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3392" w14:textId="33757D73" w:rsidR="00DC1291" w:rsidRDefault="00DC1291" w:rsidP="00C93F14">
      <w:pPr>
        <w:spacing w:after="0" w:line="240" w:lineRule="auto"/>
        <w:jc w:val="both"/>
        <w:divId w:val="1316184749"/>
      </w:pPr>
    </w:p>
    <w:p w14:paraId="64BB8065" w14:textId="77777777" w:rsidR="00761E9C" w:rsidRDefault="00761E9C" w:rsidP="00C93F14">
      <w:pPr>
        <w:spacing w:after="0" w:line="240" w:lineRule="auto"/>
        <w:jc w:val="both"/>
        <w:divId w:val="1316184749"/>
      </w:pPr>
    </w:p>
    <w:p w14:paraId="6F22D4C1" w14:textId="77777777" w:rsidR="00761E9C" w:rsidRDefault="00761E9C" w:rsidP="00C93F14">
      <w:pPr>
        <w:spacing w:after="0" w:line="240" w:lineRule="auto"/>
        <w:jc w:val="both"/>
        <w:divId w:val="1316184749"/>
      </w:pPr>
    </w:p>
    <w:p w14:paraId="67D37C1A" w14:textId="24877449" w:rsidR="0013264F" w:rsidRDefault="0013264F" w:rsidP="00C93F14">
      <w:pPr>
        <w:spacing w:after="0" w:line="240" w:lineRule="auto"/>
        <w:jc w:val="both"/>
        <w:divId w:val="1316184749"/>
      </w:pPr>
    </w:p>
    <w:p w14:paraId="27BA32AF" w14:textId="77777777" w:rsidR="00DC1291" w:rsidRDefault="00DC1291" w:rsidP="00C93F14">
      <w:pPr>
        <w:spacing w:after="0" w:line="240" w:lineRule="auto"/>
        <w:jc w:val="both"/>
        <w:divId w:val="1316184749"/>
        <w:rPr>
          <w:szCs w:val="24"/>
        </w:rPr>
      </w:pPr>
    </w:p>
    <w:p w14:paraId="396E25F2" w14:textId="54C8D948" w:rsidR="004B6D59" w:rsidRPr="004B6D59" w:rsidRDefault="004B6D59" w:rsidP="00150087">
      <w:pPr>
        <w:spacing w:after="0" w:line="240" w:lineRule="auto"/>
        <w:jc w:val="right"/>
        <w:divId w:val="1316184749"/>
        <w:rPr>
          <w:szCs w:val="24"/>
        </w:rPr>
      </w:pPr>
    </w:p>
    <w:p w14:paraId="582E4E0F" w14:textId="4B3F1E3A" w:rsidR="00150087" w:rsidRDefault="00150087" w:rsidP="00150087">
      <w:pPr>
        <w:jc w:val="right"/>
        <w:divId w:val="1316184749"/>
        <w:rPr>
          <w:b/>
        </w:rPr>
      </w:pPr>
    </w:p>
    <w:p w14:paraId="490FFFD0" w14:textId="77777777" w:rsidR="004B6D59" w:rsidRPr="004B6D59" w:rsidRDefault="004B6D59" w:rsidP="004B6D59">
      <w:pPr>
        <w:spacing w:after="0" w:line="240" w:lineRule="auto"/>
        <w:jc w:val="both"/>
        <w:divId w:val="1316184749"/>
        <w:rPr>
          <w:szCs w:val="24"/>
        </w:rPr>
      </w:pPr>
    </w:p>
    <w:p w14:paraId="05D5A795" w14:textId="77777777" w:rsidR="004B6D59" w:rsidRPr="004B6D59" w:rsidRDefault="004B6D59" w:rsidP="004B6D59">
      <w:pPr>
        <w:spacing w:after="0" w:line="240" w:lineRule="auto"/>
        <w:jc w:val="both"/>
        <w:divId w:val="1316184749"/>
        <w:rPr>
          <w:szCs w:val="24"/>
        </w:rPr>
      </w:pPr>
    </w:p>
    <w:p w14:paraId="708AAA82" w14:textId="5F1706A4" w:rsidR="004B6D59" w:rsidRPr="004B6D59" w:rsidRDefault="004B6D59" w:rsidP="004B6D59">
      <w:pPr>
        <w:spacing w:after="0" w:line="240" w:lineRule="auto"/>
        <w:jc w:val="both"/>
        <w:divId w:val="1316184749"/>
        <w:rPr>
          <w:szCs w:val="24"/>
        </w:rPr>
      </w:pPr>
    </w:p>
    <w:p w14:paraId="12BC43F3" w14:textId="77777777" w:rsidR="004B6D59" w:rsidRPr="004B6D59" w:rsidRDefault="004B6D59" w:rsidP="004B6D59">
      <w:pPr>
        <w:spacing w:after="0" w:line="240" w:lineRule="auto"/>
        <w:jc w:val="both"/>
        <w:divId w:val="1316184749"/>
        <w:rPr>
          <w:szCs w:val="24"/>
        </w:rPr>
      </w:pPr>
      <w:r w:rsidRPr="004B6D59">
        <w:rPr>
          <w:szCs w:val="24"/>
        </w:rPr>
        <w:t>MÄÄRUS</w:t>
      </w:r>
    </w:p>
    <w:p w14:paraId="5B878B88" w14:textId="77777777" w:rsidR="004B6D59" w:rsidRDefault="004B6D59" w:rsidP="004B6D59">
      <w:pPr>
        <w:spacing w:after="0" w:line="240" w:lineRule="auto"/>
        <w:jc w:val="both"/>
        <w:divId w:val="1316184749"/>
        <w:rPr>
          <w:szCs w:val="24"/>
        </w:rPr>
      </w:pPr>
    </w:p>
    <w:p w14:paraId="09F12504" w14:textId="77777777" w:rsidR="000D0677" w:rsidRDefault="000D0677" w:rsidP="004B6D59">
      <w:pPr>
        <w:spacing w:after="0" w:line="240" w:lineRule="auto"/>
        <w:jc w:val="both"/>
        <w:divId w:val="1316184749"/>
        <w:rPr>
          <w:szCs w:val="24"/>
        </w:rPr>
      </w:pPr>
    </w:p>
    <w:p w14:paraId="581CBA57" w14:textId="77777777" w:rsidR="000D0677" w:rsidRPr="004B6D59" w:rsidRDefault="000D0677" w:rsidP="004B6D59">
      <w:pPr>
        <w:spacing w:after="0" w:line="240" w:lineRule="auto"/>
        <w:jc w:val="both"/>
        <w:divId w:val="1316184749"/>
        <w:rPr>
          <w:szCs w:val="24"/>
        </w:rPr>
      </w:pPr>
    </w:p>
    <w:p w14:paraId="24BB8916" w14:textId="77777777" w:rsidR="004B6D59" w:rsidRPr="004B6D59" w:rsidRDefault="004B6D59" w:rsidP="004B6D59">
      <w:pPr>
        <w:spacing w:after="0" w:line="240" w:lineRule="auto"/>
        <w:jc w:val="both"/>
        <w:divId w:val="1316184749"/>
        <w:rPr>
          <w:szCs w:val="24"/>
        </w:rPr>
      </w:pPr>
    </w:p>
    <w:p w14:paraId="5EC775F6" w14:textId="77777777" w:rsidR="00FC03C2" w:rsidRPr="000D0677" w:rsidRDefault="004B6D59" w:rsidP="000D0677">
      <w:pPr>
        <w:spacing w:after="0" w:line="240" w:lineRule="auto"/>
        <w:divId w:val="1316184749"/>
        <w:rPr>
          <w:b/>
          <w:bCs/>
          <w:szCs w:val="24"/>
        </w:rPr>
      </w:pPr>
      <w:r w:rsidRPr="000D0677">
        <w:rPr>
          <w:b/>
          <w:bCs/>
          <w:szCs w:val="24"/>
        </w:rPr>
        <w:t>Tervisekassa tervishoiuteenuste loetelu</w:t>
      </w:r>
    </w:p>
    <w:p w14:paraId="12E50C05" w14:textId="77777777" w:rsidR="00FC03C2" w:rsidRDefault="00FC03C2" w:rsidP="004B6D59">
      <w:pPr>
        <w:spacing w:after="0" w:line="240" w:lineRule="auto"/>
        <w:jc w:val="both"/>
        <w:divId w:val="1316184749"/>
        <w:rPr>
          <w:szCs w:val="24"/>
        </w:rPr>
      </w:pPr>
    </w:p>
    <w:p w14:paraId="363E94C8" w14:textId="77777777" w:rsidR="000D0677" w:rsidRDefault="000D0677" w:rsidP="004B6D59">
      <w:pPr>
        <w:spacing w:after="0" w:line="240" w:lineRule="auto"/>
        <w:jc w:val="both"/>
        <w:divId w:val="1316184749"/>
        <w:rPr>
          <w:szCs w:val="24"/>
        </w:rPr>
      </w:pPr>
    </w:p>
    <w:p w14:paraId="08EAEE20" w14:textId="7906BF47" w:rsidR="00976487" w:rsidRPr="00687DE8" w:rsidRDefault="00976487" w:rsidP="004B6D59">
      <w:pPr>
        <w:spacing w:after="0" w:line="240" w:lineRule="auto"/>
        <w:jc w:val="both"/>
        <w:divId w:val="1316184749"/>
        <w:rPr>
          <w:szCs w:val="24"/>
        </w:rPr>
      </w:pPr>
      <w:r w:rsidRPr="00687DE8">
        <w:rPr>
          <w:szCs w:val="24"/>
        </w:rPr>
        <w:t>Määrus kehtestatakse ravikindlustuse seaduse § 30 lõike 1 ja § 33</w:t>
      </w:r>
      <w:r w:rsidRPr="00687DE8">
        <w:rPr>
          <w:szCs w:val="24"/>
          <w:vertAlign w:val="superscript"/>
        </w:rPr>
        <w:t>1</w:t>
      </w:r>
      <w:r w:rsidRPr="00687DE8">
        <w:rPr>
          <w:szCs w:val="24"/>
        </w:rPr>
        <w:t xml:space="preserve"> lõike 1 alusel.</w:t>
      </w:r>
    </w:p>
    <w:p w14:paraId="37BDF6D3" w14:textId="77777777" w:rsidR="00976487" w:rsidRPr="00687DE8" w:rsidRDefault="00976487" w:rsidP="00976487">
      <w:pPr>
        <w:spacing w:after="0" w:line="240" w:lineRule="auto"/>
        <w:divId w:val="1316184749"/>
        <w:rPr>
          <w:szCs w:val="24"/>
        </w:rPr>
      </w:pPr>
    </w:p>
    <w:p w14:paraId="0DB2D525" w14:textId="77777777" w:rsidR="00976487" w:rsidRPr="00687DE8" w:rsidRDefault="00976487" w:rsidP="00976487">
      <w:pPr>
        <w:spacing w:after="0" w:line="240" w:lineRule="auto"/>
        <w:jc w:val="center"/>
        <w:outlineLvl w:val="1"/>
        <w:divId w:val="1316184749"/>
        <w:rPr>
          <w:b/>
          <w:bCs/>
          <w:szCs w:val="24"/>
        </w:rPr>
      </w:pPr>
      <w:r w:rsidRPr="00687DE8">
        <w:rPr>
          <w:b/>
          <w:bCs/>
          <w:szCs w:val="24"/>
        </w:rPr>
        <w:t xml:space="preserve">1. peatükk </w:t>
      </w:r>
      <w:r w:rsidRPr="00687DE8">
        <w:rPr>
          <w:b/>
          <w:bCs/>
          <w:szCs w:val="24"/>
        </w:rPr>
        <w:br/>
        <w:t>Üldsätted</w:t>
      </w:r>
    </w:p>
    <w:p w14:paraId="20A7B3C6" w14:textId="77777777" w:rsidR="00976487" w:rsidRPr="00687DE8" w:rsidRDefault="00976487" w:rsidP="00976487">
      <w:pPr>
        <w:spacing w:after="0" w:line="240" w:lineRule="auto"/>
        <w:jc w:val="center"/>
        <w:outlineLvl w:val="1"/>
        <w:divId w:val="1316184749"/>
        <w:rPr>
          <w:b/>
          <w:bCs/>
          <w:szCs w:val="24"/>
        </w:rPr>
      </w:pPr>
    </w:p>
    <w:p w14:paraId="5CA889C5" w14:textId="2CA24B1E" w:rsidR="00976487" w:rsidRDefault="00976487" w:rsidP="00976487">
      <w:pPr>
        <w:spacing w:after="0" w:line="240" w:lineRule="auto"/>
        <w:outlineLvl w:val="2"/>
        <w:divId w:val="1316184749"/>
        <w:rPr>
          <w:b/>
        </w:rPr>
      </w:pPr>
      <w:r w:rsidRPr="49798C50">
        <w:rPr>
          <w:b/>
        </w:rPr>
        <w:t>§ 1. Reguleerimisala</w:t>
      </w:r>
    </w:p>
    <w:p w14:paraId="758BAC6A" w14:textId="04D16B0C" w:rsidR="49798C50" w:rsidRDefault="49798C50" w:rsidP="49798C50">
      <w:pPr>
        <w:spacing w:after="0" w:line="240" w:lineRule="auto"/>
        <w:outlineLvl w:val="2"/>
        <w:rPr>
          <w:b/>
          <w:bCs/>
        </w:rPr>
      </w:pPr>
    </w:p>
    <w:p w14:paraId="48BA3869" w14:textId="519DF52E" w:rsidR="00976487" w:rsidRPr="00687DE8" w:rsidRDefault="00976487" w:rsidP="00976487">
      <w:pPr>
        <w:spacing w:after="0" w:line="240" w:lineRule="auto"/>
        <w:jc w:val="both"/>
        <w:divId w:val="1316184749"/>
      </w:pPr>
      <w:r>
        <w:t xml:space="preserve">(1) Määrusega kehtestatakse tervishoiuteenuste loetelu ja tervishoiuteenuste rakendamise tingimused, mis on aluseks kindlustatud isikule osutatud tervishoiuteenuse eest tasu maksmise kohustuse ülevõtmisel </w:t>
      </w:r>
      <w:r w:rsidR="000D333A">
        <w:t xml:space="preserve">Tervisekassa </w:t>
      </w:r>
      <w:r>
        <w:t>poolt.</w:t>
      </w:r>
    </w:p>
    <w:p w14:paraId="2B12F8ED" w14:textId="77777777" w:rsidR="00976487" w:rsidRPr="00687DE8" w:rsidRDefault="00976487" w:rsidP="00976487">
      <w:pPr>
        <w:spacing w:after="0" w:line="240" w:lineRule="auto"/>
        <w:jc w:val="both"/>
        <w:divId w:val="1316184749"/>
        <w:rPr>
          <w:szCs w:val="24"/>
        </w:rPr>
      </w:pPr>
    </w:p>
    <w:p w14:paraId="11E45B57" w14:textId="38E1EF16" w:rsidR="00976487" w:rsidRPr="00687DE8" w:rsidRDefault="00976487" w:rsidP="00976487">
      <w:pPr>
        <w:spacing w:after="0" w:line="240" w:lineRule="auto"/>
        <w:jc w:val="both"/>
        <w:divId w:val="1316184749"/>
        <w:rPr>
          <w:szCs w:val="24"/>
        </w:rPr>
      </w:pPr>
      <w:r w:rsidRPr="00687DE8">
        <w:rPr>
          <w:szCs w:val="24"/>
        </w:rPr>
        <w:t>(2) Tervishoiuteenuste loetelus sätestatud piirhindu ja piirmäärasid rakendatakse ravikindlustuse seaduse §</w:t>
      </w:r>
      <w:r w:rsidR="0029729F">
        <w:rPr>
          <w:szCs w:val="24"/>
        </w:rPr>
        <w:t xml:space="preserve"> </w:t>
      </w:r>
      <w:r w:rsidRPr="00687DE8">
        <w:rPr>
          <w:szCs w:val="24"/>
        </w:rPr>
        <w:t xml:space="preserve">32 alusel kehtestatud kindlustatud isikult </w:t>
      </w:r>
      <w:r w:rsidR="005023FD" w:rsidRPr="00687DE8">
        <w:rPr>
          <w:szCs w:val="24"/>
        </w:rPr>
        <w:t>Tervisekassa</w:t>
      </w:r>
      <w:r w:rsidRPr="00687DE8">
        <w:rPr>
          <w:szCs w:val="24"/>
        </w:rPr>
        <w:t xml:space="preserve"> poolt tasu maksmise kohustuse ülevõtmise korra ja tervishoiuteenuse osutajatele makstava tasu arvutamise metoodika alusel.</w:t>
      </w:r>
    </w:p>
    <w:p w14:paraId="0090D7C6" w14:textId="77777777" w:rsidR="00976487" w:rsidRPr="00687DE8" w:rsidRDefault="00976487" w:rsidP="00976487">
      <w:pPr>
        <w:spacing w:after="0" w:line="240" w:lineRule="auto"/>
        <w:jc w:val="center"/>
        <w:outlineLvl w:val="1"/>
        <w:divId w:val="1316184749"/>
        <w:rPr>
          <w:b/>
          <w:bCs/>
          <w:szCs w:val="24"/>
        </w:rPr>
      </w:pPr>
    </w:p>
    <w:p w14:paraId="4FB27F20" w14:textId="5561F4F5" w:rsidR="00976487" w:rsidRPr="00687DE8" w:rsidRDefault="00976487" w:rsidP="00976487">
      <w:pPr>
        <w:spacing w:after="0" w:line="240" w:lineRule="auto"/>
        <w:jc w:val="center"/>
        <w:outlineLvl w:val="1"/>
        <w:divId w:val="1316184749"/>
        <w:rPr>
          <w:b/>
          <w:bCs/>
          <w:szCs w:val="24"/>
        </w:rPr>
      </w:pPr>
      <w:r w:rsidRPr="00687DE8">
        <w:rPr>
          <w:b/>
          <w:bCs/>
          <w:szCs w:val="24"/>
        </w:rPr>
        <w:t xml:space="preserve">2. peatükk </w:t>
      </w:r>
      <w:r w:rsidRPr="00687DE8">
        <w:rPr>
          <w:b/>
          <w:bCs/>
          <w:szCs w:val="24"/>
        </w:rPr>
        <w:br/>
      </w:r>
      <w:r w:rsidR="005E30C2">
        <w:rPr>
          <w:b/>
          <w:bCs/>
          <w:szCs w:val="24"/>
        </w:rPr>
        <w:t>Pere</w:t>
      </w:r>
      <w:r w:rsidRPr="00687DE8">
        <w:rPr>
          <w:b/>
          <w:bCs/>
          <w:szCs w:val="24"/>
        </w:rPr>
        <w:t>arstiabi</w:t>
      </w:r>
    </w:p>
    <w:p w14:paraId="0DC3D14F" w14:textId="77777777" w:rsidR="00976487" w:rsidRPr="00687DE8" w:rsidRDefault="00976487" w:rsidP="00976487">
      <w:pPr>
        <w:spacing w:after="0" w:line="240" w:lineRule="auto"/>
        <w:jc w:val="center"/>
        <w:outlineLvl w:val="1"/>
        <w:divId w:val="1316184749"/>
        <w:rPr>
          <w:b/>
          <w:bCs/>
          <w:szCs w:val="24"/>
        </w:rPr>
      </w:pPr>
    </w:p>
    <w:p w14:paraId="2C418B1B" w14:textId="708A484B" w:rsidR="00976487" w:rsidRDefault="00976487" w:rsidP="00976487">
      <w:pPr>
        <w:spacing w:after="0" w:line="240" w:lineRule="auto"/>
        <w:outlineLvl w:val="2"/>
        <w:divId w:val="1316184749"/>
        <w:rPr>
          <w:b/>
        </w:rPr>
      </w:pPr>
      <w:r w:rsidRPr="5C3F78E7">
        <w:rPr>
          <w:b/>
        </w:rPr>
        <w:t>§ 2. Kindlustatud isiku pearaha</w:t>
      </w:r>
      <w:r w:rsidR="00470E98" w:rsidRPr="5C3F78E7">
        <w:rPr>
          <w:b/>
        </w:rPr>
        <w:t xml:space="preserve"> ja nimistuülene teenusekorralduse lisakomponent</w:t>
      </w:r>
    </w:p>
    <w:p w14:paraId="1B5F0B44" w14:textId="7D683CB5" w:rsidR="5C3F78E7" w:rsidRDefault="5C3F78E7" w:rsidP="5C3F78E7">
      <w:pPr>
        <w:spacing w:after="0" w:line="240" w:lineRule="auto"/>
        <w:outlineLvl w:val="2"/>
        <w:rPr>
          <w:b/>
          <w:bCs/>
        </w:rPr>
      </w:pPr>
    </w:p>
    <w:p w14:paraId="6982689E" w14:textId="18159843" w:rsidR="00976487" w:rsidRPr="00687DE8" w:rsidRDefault="00976487" w:rsidP="00976487">
      <w:pPr>
        <w:spacing w:after="0" w:line="240" w:lineRule="auto"/>
        <w:jc w:val="both"/>
        <w:outlineLvl w:val="2"/>
        <w:divId w:val="1316184749"/>
      </w:pPr>
      <w:r>
        <w:t>(1) Pearaha</w:t>
      </w:r>
      <w:r w:rsidR="00470E98">
        <w:t xml:space="preserve"> ja nimistuülene teenusekorralduse lisakomponent</w:t>
      </w:r>
      <w:r>
        <w:t xml:space="preserve"> on tasu</w:t>
      </w:r>
      <w:r w:rsidR="00470E98">
        <w:t>d</w:t>
      </w:r>
      <w:r>
        <w:t xml:space="preserve">, mida </w:t>
      </w:r>
      <w:r w:rsidR="000761CF">
        <w:t>Tervisekassa</w:t>
      </w:r>
      <w:r>
        <w:t xml:space="preserve"> maksab perearstile perearsti nimistusse kantud kindlustatud isikule vajalike tervishoiuteenuste osutamise kulude katmiseks.</w:t>
      </w:r>
    </w:p>
    <w:p w14:paraId="4AF45F1F" w14:textId="77777777" w:rsidR="00976487" w:rsidRPr="00687DE8" w:rsidRDefault="00976487" w:rsidP="00976487">
      <w:pPr>
        <w:spacing w:after="0" w:line="240" w:lineRule="auto"/>
        <w:outlineLvl w:val="2"/>
        <w:divId w:val="1316184749"/>
        <w:rPr>
          <w:szCs w:val="24"/>
        </w:rPr>
      </w:pPr>
    </w:p>
    <w:p w14:paraId="13BDA291" w14:textId="1FA1625F" w:rsidR="00DF2B42" w:rsidRDefault="00976487" w:rsidP="006D426D">
      <w:pPr>
        <w:spacing w:after="0" w:line="240" w:lineRule="auto"/>
        <w:jc w:val="both"/>
        <w:outlineLvl w:val="2"/>
        <w:divId w:val="1316184749"/>
        <w:rPr>
          <w:rFonts w:eastAsia="Calibri"/>
          <w:color w:val="000000" w:themeColor="text1"/>
        </w:rPr>
      </w:pPr>
      <w:r>
        <w:t xml:space="preserve">(2) </w:t>
      </w:r>
      <w:r w:rsidR="00BD200E" w:rsidRPr="7B35C387">
        <w:rPr>
          <w:color w:val="333333"/>
        </w:rPr>
        <w:t>Perearstile makstava pearaha piirhind</w:t>
      </w:r>
      <w:r w:rsidR="001962C9" w:rsidRPr="7B35C387">
        <w:rPr>
          <w:color w:val="000000" w:themeColor="text1"/>
        </w:rPr>
        <w:t xml:space="preserve"> </w:t>
      </w:r>
      <w:r w:rsidR="00BD200E" w:rsidRPr="7B35C387">
        <w:rPr>
          <w:color w:val="000000" w:themeColor="text1"/>
        </w:rPr>
        <w:t>ühe kalendrikuu kohta sõltuvalt kindlustatud isiku vanusest ja haiguskoormusest on järgmine:</w:t>
      </w:r>
    </w:p>
    <w:p w14:paraId="4C169673" w14:textId="77777777" w:rsidR="005118BE" w:rsidRPr="00687DE8" w:rsidRDefault="005118BE" w:rsidP="54BD0D14">
      <w:pPr>
        <w:spacing w:after="0" w:line="240" w:lineRule="auto"/>
        <w:outlineLvl w:val="2"/>
        <w:divId w:val="1316184749"/>
        <w:rPr>
          <w:rFonts w:ascii="Calibri" w:eastAsia="Calibri" w:hAnsi="Calibri" w:cs="Calibri"/>
          <w:color w:val="000000" w:themeColor="text1"/>
          <w:sz w:val="22"/>
        </w:rPr>
      </w:pPr>
    </w:p>
    <w:tbl>
      <w:tblPr>
        <w:tblStyle w:val="Kontuurtabel"/>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90"/>
        <w:gridCol w:w="1557"/>
        <w:gridCol w:w="1701"/>
      </w:tblGrid>
      <w:tr w:rsidR="54BD0D14" w14:paraId="08B5002F" w14:textId="77777777" w:rsidTr="00EB7A71">
        <w:trPr>
          <w:trHeight w:val="300"/>
        </w:trPr>
        <w:tc>
          <w:tcPr>
            <w:tcW w:w="6090" w:type="dxa"/>
            <w:tcMar>
              <w:left w:w="105" w:type="dxa"/>
              <w:right w:w="105" w:type="dxa"/>
            </w:tcMar>
          </w:tcPr>
          <w:p w14:paraId="7461F924" w14:textId="530B8DB6" w:rsidR="54BD0D14" w:rsidRPr="00D30B8D" w:rsidRDefault="54BD0D14" w:rsidP="00D30B8D">
            <w:pPr>
              <w:jc w:val="center"/>
              <w:rPr>
                <w:b/>
                <w:szCs w:val="24"/>
              </w:rPr>
            </w:pPr>
            <w:r w:rsidRPr="00D30B8D">
              <w:rPr>
                <w:rFonts w:eastAsia="Times New Roman"/>
                <w:b/>
                <w:szCs w:val="24"/>
              </w:rPr>
              <w:lastRenderedPageBreak/>
              <w:t>Pearaha</w:t>
            </w:r>
          </w:p>
        </w:tc>
        <w:tc>
          <w:tcPr>
            <w:tcW w:w="1557" w:type="dxa"/>
            <w:tcMar>
              <w:left w:w="105" w:type="dxa"/>
              <w:right w:w="105" w:type="dxa"/>
            </w:tcMar>
          </w:tcPr>
          <w:p w14:paraId="3B010604" w14:textId="2ACFBC7B" w:rsidR="54BD0D14" w:rsidRPr="00195512" w:rsidRDefault="54BD0D14" w:rsidP="00D30B8D">
            <w:pPr>
              <w:jc w:val="center"/>
              <w:rPr>
                <w:b/>
                <w:szCs w:val="24"/>
              </w:rPr>
            </w:pPr>
            <w:r w:rsidRPr="00195512">
              <w:rPr>
                <w:rFonts w:eastAsia="Times New Roman"/>
                <w:b/>
                <w:szCs w:val="24"/>
              </w:rPr>
              <w:t>Kood</w:t>
            </w:r>
          </w:p>
        </w:tc>
        <w:tc>
          <w:tcPr>
            <w:tcW w:w="1701" w:type="dxa"/>
            <w:tcBorders>
              <w:bottom w:val="single" w:sz="4" w:space="0" w:color="auto"/>
            </w:tcBorders>
            <w:tcMar>
              <w:left w:w="105" w:type="dxa"/>
              <w:right w:w="105" w:type="dxa"/>
            </w:tcMar>
          </w:tcPr>
          <w:p w14:paraId="3B55F376" w14:textId="13539E45" w:rsidR="54BD0D14" w:rsidRPr="00D30B8D" w:rsidRDefault="54BD0D14" w:rsidP="00D30B8D">
            <w:pPr>
              <w:jc w:val="center"/>
              <w:rPr>
                <w:b/>
                <w:szCs w:val="24"/>
              </w:rPr>
            </w:pPr>
            <w:r w:rsidRPr="00D30B8D">
              <w:rPr>
                <w:rFonts w:eastAsia="Times New Roman"/>
                <w:b/>
                <w:szCs w:val="24"/>
              </w:rPr>
              <w:t>Piirhind</w:t>
            </w:r>
            <w:r w:rsidRPr="00D30B8D">
              <w:rPr>
                <w:rFonts w:eastAsia="Calibri"/>
                <w:szCs w:val="24"/>
              </w:rPr>
              <w:t xml:space="preserve"> </w:t>
            </w:r>
            <w:r w:rsidRPr="00007745">
              <w:rPr>
                <w:rFonts w:eastAsia="Calibri"/>
                <w:b/>
                <w:bCs/>
                <w:szCs w:val="24"/>
              </w:rPr>
              <w:t>eurodes</w:t>
            </w:r>
          </w:p>
        </w:tc>
      </w:tr>
      <w:tr w:rsidR="54BD0D14" w14:paraId="69F7A846" w14:textId="77777777" w:rsidTr="00EB7A71">
        <w:trPr>
          <w:trHeight w:val="300"/>
        </w:trPr>
        <w:tc>
          <w:tcPr>
            <w:tcW w:w="6090" w:type="dxa"/>
            <w:tcMar>
              <w:left w:w="105" w:type="dxa"/>
              <w:right w:w="105" w:type="dxa"/>
            </w:tcMar>
          </w:tcPr>
          <w:p w14:paraId="34CDCEF2" w14:textId="7B4D397B" w:rsidR="54BD0D14" w:rsidRPr="00D30B8D" w:rsidRDefault="54BD0D14">
            <w:pPr>
              <w:rPr>
                <w:rFonts w:eastAsia="Calibri"/>
                <w:szCs w:val="24"/>
              </w:rPr>
            </w:pPr>
            <w:r w:rsidRPr="00D30B8D">
              <w:rPr>
                <w:rFonts w:eastAsia="Calibri"/>
                <w:szCs w:val="24"/>
              </w:rPr>
              <w:t>Pearaha ühe alla 3-aastase kindlustatud isiku kohta</w:t>
            </w:r>
            <w:r w:rsidRPr="00D30B8D">
              <w:rPr>
                <w:rFonts w:eastAsia="Calibri"/>
                <w:color w:val="D13438"/>
                <w:szCs w:val="24"/>
                <w:u w:val="single"/>
              </w:rPr>
              <w:t xml:space="preserve"> </w:t>
            </w:r>
          </w:p>
        </w:tc>
        <w:tc>
          <w:tcPr>
            <w:tcW w:w="1557" w:type="dxa"/>
            <w:tcMar>
              <w:left w:w="105" w:type="dxa"/>
              <w:right w:w="105" w:type="dxa"/>
            </w:tcMar>
          </w:tcPr>
          <w:p w14:paraId="0579FD57" w14:textId="412CF801" w:rsidR="54BD0D14" w:rsidRPr="00195512" w:rsidRDefault="54BD0D14" w:rsidP="00D30B8D">
            <w:pPr>
              <w:jc w:val="center"/>
              <w:rPr>
                <w:rFonts w:eastAsia="Arial"/>
                <w:szCs w:val="24"/>
              </w:rPr>
            </w:pPr>
            <w:r w:rsidRPr="00395B81">
              <w:rPr>
                <w:rFonts w:eastAsia="Arial"/>
                <w:szCs w:val="24"/>
              </w:rPr>
              <w:t>3301</w:t>
            </w:r>
          </w:p>
        </w:tc>
        <w:tc>
          <w:tcPr>
            <w:tcW w:w="1701" w:type="dxa"/>
            <w:tcBorders>
              <w:top w:val="single" w:sz="4" w:space="0" w:color="auto"/>
              <w:left w:val="nil"/>
              <w:bottom w:val="single" w:sz="4" w:space="0" w:color="auto"/>
              <w:right w:val="single" w:sz="4" w:space="0" w:color="auto"/>
            </w:tcBorders>
            <w:tcMar>
              <w:left w:w="105" w:type="dxa"/>
              <w:right w:w="105" w:type="dxa"/>
            </w:tcMar>
            <w:vAlign w:val="center"/>
          </w:tcPr>
          <w:p w14:paraId="794D4F1F" w14:textId="2DE05D1F" w:rsidR="54BD0D14" w:rsidRPr="00D30B8D" w:rsidRDefault="00F71CD8" w:rsidP="00D30B8D">
            <w:pPr>
              <w:jc w:val="center"/>
              <w:rPr>
                <w:rFonts w:eastAsia="Arial"/>
                <w:color w:val="000000" w:themeColor="text1"/>
                <w:szCs w:val="24"/>
                <w:lang w:val="en-US"/>
              </w:rPr>
            </w:pPr>
            <w:r>
              <w:rPr>
                <w:color w:val="000000"/>
              </w:rPr>
              <w:t>16,06</w:t>
            </w:r>
          </w:p>
        </w:tc>
      </w:tr>
      <w:tr w:rsidR="54BD0D14" w14:paraId="4E62535E" w14:textId="77777777" w:rsidTr="00EB7A71">
        <w:trPr>
          <w:trHeight w:val="300"/>
        </w:trPr>
        <w:tc>
          <w:tcPr>
            <w:tcW w:w="6090" w:type="dxa"/>
            <w:tcMar>
              <w:left w:w="105" w:type="dxa"/>
              <w:right w:w="105" w:type="dxa"/>
            </w:tcMar>
          </w:tcPr>
          <w:p w14:paraId="5FCA3A64" w14:textId="1E5A89B0" w:rsidR="54BD0D14" w:rsidRPr="00D30B8D" w:rsidRDefault="54BD0D14">
            <w:pPr>
              <w:rPr>
                <w:rFonts w:eastAsia="Calibri"/>
                <w:szCs w:val="24"/>
              </w:rPr>
            </w:pPr>
            <w:r w:rsidRPr="00D30B8D">
              <w:rPr>
                <w:rFonts w:eastAsia="Calibri"/>
                <w:szCs w:val="24"/>
              </w:rPr>
              <w:t>Pearaha ühe 3- kuni alla 7-aastase kindlustatud isiku kohta</w:t>
            </w:r>
          </w:p>
        </w:tc>
        <w:tc>
          <w:tcPr>
            <w:tcW w:w="1557" w:type="dxa"/>
            <w:tcMar>
              <w:left w:w="105" w:type="dxa"/>
              <w:right w:w="105" w:type="dxa"/>
            </w:tcMar>
          </w:tcPr>
          <w:p w14:paraId="5CED42E7" w14:textId="2C50D7F0" w:rsidR="54BD0D14" w:rsidRPr="00195512" w:rsidRDefault="54BD0D14" w:rsidP="00D30B8D">
            <w:pPr>
              <w:jc w:val="center"/>
              <w:rPr>
                <w:rFonts w:eastAsia="Arial"/>
                <w:szCs w:val="24"/>
              </w:rPr>
            </w:pPr>
            <w:r w:rsidRPr="00395B81">
              <w:rPr>
                <w:rFonts w:eastAsia="Arial"/>
                <w:szCs w:val="24"/>
              </w:rPr>
              <w:t>3302</w:t>
            </w:r>
          </w:p>
        </w:tc>
        <w:tc>
          <w:tcPr>
            <w:tcW w:w="1701" w:type="dxa"/>
            <w:tcBorders>
              <w:top w:val="single" w:sz="4" w:space="0" w:color="auto"/>
              <w:left w:val="nil"/>
              <w:bottom w:val="single" w:sz="4" w:space="0" w:color="auto"/>
              <w:right w:val="single" w:sz="4" w:space="0" w:color="auto"/>
            </w:tcBorders>
            <w:tcMar>
              <w:left w:w="105" w:type="dxa"/>
              <w:right w:w="105" w:type="dxa"/>
            </w:tcMar>
            <w:vAlign w:val="center"/>
          </w:tcPr>
          <w:p w14:paraId="7E6677FD" w14:textId="626174EF" w:rsidR="54BD0D14" w:rsidRPr="00D30B8D" w:rsidRDefault="00F71CD8" w:rsidP="00D30B8D">
            <w:pPr>
              <w:jc w:val="center"/>
              <w:rPr>
                <w:rFonts w:eastAsia="Arial"/>
                <w:color w:val="000000" w:themeColor="text1"/>
                <w:szCs w:val="24"/>
                <w:lang w:val="en-US"/>
              </w:rPr>
            </w:pPr>
            <w:r>
              <w:rPr>
                <w:color w:val="000000"/>
              </w:rPr>
              <w:t>10,77</w:t>
            </w:r>
          </w:p>
        </w:tc>
      </w:tr>
      <w:tr w:rsidR="54BD0D14" w14:paraId="546282E8" w14:textId="77777777" w:rsidTr="00EB7A71">
        <w:trPr>
          <w:trHeight w:val="300"/>
        </w:trPr>
        <w:tc>
          <w:tcPr>
            <w:tcW w:w="6090" w:type="dxa"/>
            <w:tcMar>
              <w:left w:w="105" w:type="dxa"/>
              <w:right w:w="105" w:type="dxa"/>
            </w:tcMar>
          </w:tcPr>
          <w:p w14:paraId="15CF65AE" w14:textId="021158CB" w:rsidR="54BD0D14" w:rsidRPr="00D30B8D" w:rsidRDefault="54BD0D14">
            <w:pPr>
              <w:rPr>
                <w:rFonts w:eastAsia="Calibri"/>
                <w:szCs w:val="24"/>
              </w:rPr>
            </w:pPr>
            <w:r w:rsidRPr="00D30B8D">
              <w:rPr>
                <w:rFonts w:eastAsia="Calibri"/>
                <w:szCs w:val="24"/>
              </w:rPr>
              <w:t>Pearaha ühe 7-aastase ja vanema kindlustatud isiku kohta</w:t>
            </w:r>
          </w:p>
        </w:tc>
        <w:tc>
          <w:tcPr>
            <w:tcW w:w="1557" w:type="dxa"/>
            <w:tcMar>
              <w:left w:w="105" w:type="dxa"/>
              <w:right w:w="105" w:type="dxa"/>
            </w:tcMar>
          </w:tcPr>
          <w:p w14:paraId="0DEA1A41" w14:textId="6463E91E" w:rsidR="54BD0D14" w:rsidRPr="00195512" w:rsidRDefault="54BD0D14" w:rsidP="00D30B8D">
            <w:pPr>
              <w:jc w:val="center"/>
              <w:rPr>
                <w:rFonts w:eastAsia="Arial"/>
                <w:szCs w:val="24"/>
              </w:rPr>
            </w:pPr>
            <w:r w:rsidRPr="00395B81">
              <w:rPr>
                <w:rFonts w:eastAsia="Arial"/>
                <w:szCs w:val="24"/>
              </w:rPr>
              <w:t>3303</w:t>
            </w:r>
          </w:p>
        </w:tc>
        <w:tc>
          <w:tcPr>
            <w:tcW w:w="1701" w:type="dxa"/>
            <w:tcBorders>
              <w:top w:val="single" w:sz="4" w:space="0" w:color="auto"/>
              <w:left w:val="nil"/>
              <w:bottom w:val="single" w:sz="4" w:space="0" w:color="auto"/>
              <w:right w:val="single" w:sz="4" w:space="0" w:color="auto"/>
            </w:tcBorders>
            <w:tcMar>
              <w:left w:w="105" w:type="dxa"/>
              <w:right w:w="105" w:type="dxa"/>
            </w:tcMar>
            <w:vAlign w:val="center"/>
          </w:tcPr>
          <w:p w14:paraId="35EEBFD9" w14:textId="5BF30D99" w:rsidR="54BD0D14" w:rsidRPr="00D30B8D" w:rsidRDefault="00F71CD8" w:rsidP="00D30B8D">
            <w:pPr>
              <w:jc w:val="center"/>
              <w:rPr>
                <w:rFonts w:eastAsia="Arial"/>
                <w:color w:val="000000" w:themeColor="text1"/>
                <w:szCs w:val="24"/>
                <w:lang w:val="en-US"/>
              </w:rPr>
            </w:pPr>
            <w:r>
              <w:rPr>
                <w:color w:val="000000"/>
              </w:rPr>
              <w:t>6,68</w:t>
            </w:r>
          </w:p>
        </w:tc>
      </w:tr>
      <w:tr w:rsidR="54BD0D14" w14:paraId="2CC1666E" w14:textId="77777777" w:rsidTr="00EB7A71">
        <w:trPr>
          <w:trHeight w:val="300"/>
        </w:trPr>
        <w:tc>
          <w:tcPr>
            <w:tcW w:w="6090" w:type="dxa"/>
            <w:tcMar>
              <w:left w:w="105" w:type="dxa"/>
              <w:right w:w="105" w:type="dxa"/>
            </w:tcMar>
          </w:tcPr>
          <w:p w14:paraId="08C83AE0" w14:textId="045B3E5D" w:rsidR="54BD0D14" w:rsidRPr="00D30B8D" w:rsidRDefault="54BD0D14">
            <w:pPr>
              <w:rPr>
                <w:rFonts w:eastAsia="Calibri"/>
                <w:szCs w:val="24"/>
              </w:rPr>
            </w:pPr>
            <w:r w:rsidRPr="00D30B8D">
              <w:rPr>
                <w:rFonts w:eastAsia="Calibri"/>
                <w:szCs w:val="24"/>
              </w:rPr>
              <w:t>Täiendav pearaha 1 haigusega kindlustatud isiku koha</w:t>
            </w:r>
          </w:p>
        </w:tc>
        <w:tc>
          <w:tcPr>
            <w:tcW w:w="1557" w:type="dxa"/>
            <w:tcMar>
              <w:left w:w="105" w:type="dxa"/>
              <w:right w:w="105" w:type="dxa"/>
            </w:tcMar>
          </w:tcPr>
          <w:p w14:paraId="396D4A87" w14:textId="4F30DE7C" w:rsidR="54BD0D14" w:rsidRPr="00195512" w:rsidRDefault="54BD0D14" w:rsidP="00D30B8D">
            <w:pPr>
              <w:jc w:val="center"/>
              <w:rPr>
                <w:rFonts w:eastAsia="Arial"/>
                <w:szCs w:val="24"/>
              </w:rPr>
            </w:pPr>
            <w:r w:rsidRPr="00395B81">
              <w:rPr>
                <w:rFonts w:eastAsia="Arial"/>
                <w:szCs w:val="24"/>
              </w:rPr>
              <w:t>3304</w:t>
            </w:r>
          </w:p>
        </w:tc>
        <w:tc>
          <w:tcPr>
            <w:tcW w:w="1701" w:type="dxa"/>
            <w:tcBorders>
              <w:top w:val="single" w:sz="4" w:space="0" w:color="auto"/>
              <w:left w:val="nil"/>
              <w:bottom w:val="single" w:sz="4" w:space="0" w:color="auto"/>
              <w:right w:val="single" w:sz="4" w:space="0" w:color="auto"/>
            </w:tcBorders>
            <w:tcMar>
              <w:left w:w="105" w:type="dxa"/>
              <w:right w:w="105" w:type="dxa"/>
            </w:tcMar>
            <w:vAlign w:val="center"/>
          </w:tcPr>
          <w:p w14:paraId="19A91B2D" w14:textId="123F50CF" w:rsidR="54BD0D14" w:rsidRPr="00D30B8D" w:rsidRDefault="00F71CD8" w:rsidP="00D30B8D">
            <w:pPr>
              <w:jc w:val="center"/>
              <w:rPr>
                <w:rFonts w:eastAsia="Arial"/>
                <w:color w:val="202020"/>
                <w:szCs w:val="24"/>
                <w:lang w:val="en-US"/>
              </w:rPr>
            </w:pPr>
            <w:r>
              <w:rPr>
                <w:color w:val="000000"/>
              </w:rPr>
              <w:t>4,25</w:t>
            </w:r>
          </w:p>
        </w:tc>
      </w:tr>
      <w:tr w:rsidR="54BD0D14" w14:paraId="123130D6" w14:textId="77777777" w:rsidTr="00EB7A71">
        <w:trPr>
          <w:trHeight w:val="300"/>
        </w:trPr>
        <w:tc>
          <w:tcPr>
            <w:tcW w:w="6090" w:type="dxa"/>
            <w:tcMar>
              <w:left w:w="105" w:type="dxa"/>
              <w:right w:w="105" w:type="dxa"/>
            </w:tcMar>
          </w:tcPr>
          <w:p w14:paraId="6A3ECA3F" w14:textId="1BFF919F" w:rsidR="54BD0D14" w:rsidRPr="00D30B8D" w:rsidRDefault="54BD0D14">
            <w:pPr>
              <w:rPr>
                <w:rFonts w:eastAsia="Calibri"/>
                <w:szCs w:val="24"/>
              </w:rPr>
            </w:pPr>
            <w:r w:rsidRPr="00D30B8D">
              <w:rPr>
                <w:rFonts w:eastAsia="Calibri"/>
                <w:szCs w:val="24"/>
              </w:rPr>
              <w:t xml:space="preserve">Täiendav pearaha 2 haigusega kindlustatud isiku kohta </w:t>
            </w:r>
          </w:p>
        </w:tc>
        <w:tc>
          <w:tcPr>
            <w:tcW w:w="1557" w:type="dxa"/>
            <w:tcMar>
              <w:left w:w="105" w:type="dxa"/>
              <w:right w:w="105" w:type="dxa"/>
            </w:tcMar>
          </w:tcPr>
          <w:p w14:paraId="39F0F2B5" w14:textId="153BA068" w:rsidR="54BD0D14" w:rsidRPr="00195512" w:rsidRDefault="54BD0D14" w:rsidP="00D30B8D">
            <w:pPr>
              <w:jc w:val="center"/>
              <w:rPr>
                <w:rFonts w:eastAsia="Arial"/>
                <w:szCs w:val="24"/>
              </w:rPr>
            </w:pPr>
            <w:r w:rsidRPr="00395B81">
              <w:rPr>
                <w:rFonts w:eastAsia="Arial"/>
                <w:szCs w:val="24"/>
              </w:rPr>
              <w:t>3305</w:t>
            </w:r>
          </w:p>
        </w:tc>
        <w:tc>
          <w:tcPr>
            <w:tcW w:w="1701" w:type="dxa"/>
            <w:tcBorders>
              <w:top w:val="single" w:sz="4" w:space="0" w:color="auto"/>
              <w:left w:val="nil"/>
              <w:bottom w:val="single" w:sz="4" w:space="0" w:color="auto"/>
              <w:right w:val="single" w:sz="4" w:space="0" w:color="auto"/>
            </w:tcBorders>
            <w:tcMar>
              <w:left w:w="105" w:type="dxa"/>
              <w:right w:w="105" w:type="dxa"/>
            </w:tcMar>
            <w:vAlign w:val="center"/>
          </w:tcPr>
          <w:p w14:paraId="284E45D9" w14:textId="1B18284B" w:rsidR="54BD0D14" w:rsidRPr="00D30B8D" w:rsidRDefault="00260AAE" w:rsidP="00D30B8D">
            <w:pPr>
              <w:jc w:val="center"/>
              <w:rPr>
                <w:rFonts w:eastAsia="Arial"/>
                <w:color w:val="202020"/>
                <w:szCs w:val="24"/>
                <w:lang w:val="en-US"/>
              </w:rPr>
            </w:pPr>
            <w:r>
              <w:rPr>
                <w:color w:val="000000"/>
              </w:rPr>
              <w:t>7,09</w:t>
            </w:r>
          </w:p>
        </w:tc>
      </w:tr>
      <w:tr w:rsidR="54BD0D14" w14:paraId="32032C1A" w14:textId="77777777" w:rsidTr="00EB7A71">
        <w:trPr>
          <w:trHeight w:val="300"/>
        </w:trPr>
        <w:tc>
          <w:tcPr>
            <w:tcW w:w="6090" w:type="dxa"/>
            <w:tcMar>
              <w:left w:w="105" w:type="dxa"/>
              <w:right w:w="105" w:type="dxa"/>
            </w:tcMar>
          </w:tcPr>
          <w:p w14:paraId="4CD8CB99" w14:textId="78BF582B" w:rsidR="54BD0D14" w:rsidRPr="00D30B8D" w:rsidRDefault="54BD0D14">
            <w:pPr>
              <w:rPr>
                <w:rFonts w:eastAsia="Calibri"/>
                <w:szCs w:val="24"/>
              </w:rPr>
            </w:pPr>
            <w:r w:rsidRPr="00D30B8D">
              <w:rPr>
                <w:rFonts w:eastAsia="Calibri"/>
                <w:szCs w:val="24"/>
              </w:rPr>
              <w:t>Täiendav pearaha 3</w:t>
            </w:r>
            <w:r w:rsidR="00702083">
              <w:rPr>
                <w:rFonts w:eastAsia="Calibri"/>
                <w:szCs w:val="24"/>
              </w:rPr>
              <w:t>–</w:t>
            </w:r>
            <w:r w:rsidRPr="00D30B8D">
              <w:rPr>
                <w:rFonts w:eastAsia="Calibri"/>
                <w:szCs w:val="24"/>
              </w:rPr>
              <w:t>4 haigusega kindlustatud isiku kohta</w:t>
            </w:r>
          </w:p>
        </w:tc>
        <w:tc>
          <w:tcPr>
            <w:tcW w:w="1557" w:type="dxa"/>
            <w:tcMar>
              <w:left w:w="105" w:type="dxa"/>
              <w:right w:w="105" w:type="dxa"/>
            </w:tcMar>
          </w:tcPr>
          <w:p w14:paraId="654D3C6E" w14:textId="21192164" w:rsidR="54BD0D14" w:rsidRPr="00195512" w:rsidRDefault="54BD0D14" w:rsidP="00D30B8D">
            <w:pPr>
              <w:jc w:val="center"/>
              <w:rPr>
                <w:rFonts w:eastAsia="Arial"/>
                <w:szCs w:val="24"/>
              </w:rPr>
            </w:pPr>
            <w:r w:rsidRPr="00395B81">
              <w:rPr>
                <w:rFonts w:eastAsia="Arial"/>
                <w:szCs w:val="24"/>
              </w:rPr>
              <w:t>3306</w:t>
            </w:r>
          </w:p>
        </w:tc>
        <w:tc>
          <w:tcPr>
            <w:tcW w:w="1701" w:type="dxa"/>
            <w:tcBorders>
              <w:top w:val="single" w:sz="4" w:space="0" w:color="auto"/>
              <w:left w:val="nil"/>
              <w:bottom w:val="single" w:sz="4" w:space="0" w:color="auto"/>
              <w:right w:val="single" w:sz="4" w:space="0" w:color="auto"/>
            </w:tcBorders>
            <w:tcMar>
              <w:left w:w="105" w:type="dxa"/>
              <w:right w:w="105" w:type="dxa"/>
            </w:tcMar>
            <w:vAlign w:val="center"/>
          </w:tcPr>
          <w:p w14:paraId="418D0B74" w14:textId="3C8CA2F9" w:rsidR="54BD0D14" w:rsidRPr="00D30B8D" w:rsidRDefault="00260AAE" w:rsidP="00D30B8D">
            <w:pPr>
              <w:jc w:val="center"/>
              <w:rPr>
                <w:rFonts w:eastAsia="Arial"/>
                <w:color w:val="202020"/>
                <w:szCs w:val="24"/>
                <w:lang w:val="en-US"/>
              </w:rPr>
            </w:pPr>
            <w:r>
              <w:rPr>
                <w:color w:val="000000"/>
              </w:rPr>
              <w:t>10,1</w:t>
            </w:r>
            <w:r w:rsidR="002F5654">
              <w:rPr>
                <w:color w:val="000000"/>
              </w:rPr>
              <w:t>0</w:t>
            </w:r>
          </w:p>
        </w:tc>
      </w:tr>
      <w:tr w:rsidR="54BD0D14" w14:paraId="498772D3" w14:textId="77777777" w:rsidTr="00EB7A71">
        <w:trPr>
          <w:trHeight w:val="300"/>
        </w:trPr>
        <w:tc>
          <w:tcPr>
            <w:tcW w:w="6090" w:type="dxa"/>
            <w:tcMar>
              <w:left w:w="105" w:type="dxa"/>
              <w:right w:w="105" w:type="dxa"/>
            </w:tcMar>
          </w:tcPr>
          <w:p w14:paraId="5B612C31" w14:textId="2C049B22" w:rsidR="54BD0D14" w:rsidRPr="00D30B8D" w:rsidRDefault="54BD0D14">
            <w:pPr>
              <w:rPr>
                <w:rFonts w:eastAsia="Calibri"/>
                <w:szCs w:val="24"/>
              </w:rPr>
            </w:pPr>
            <w:r w:rsidRPr="00D30B8D">
              <w:rPr>
                <w:rFonts w:eastAsia="Calibri"/>
                <w:szCs w:val="24"/>
              </w:rPr>
              <w:t>Täiendav pearaha 5 ja enama haigusega kindlustatud isiku kohta</w:t>
            </w:r>
          </w:p>
        </w:tc>
        <w:tc>
          <w:tcPr>
            <w:tcW w:w="1557" w:type="dxa"/>
            <w:tcMar>
              <w:left w:w="105" w:type="dxa"/>
              <w:right w:w="105" w:type="dxa"/>
            </w:tcMar>
          </w:tcPr>
          <w:p w14:paraId="7F4D2DD0" w14:textId="301068C1" w:rsidR="54BD0D14" w:rsidRPr="00195512" w:rsidRDefault="54BD0D14" w:rsidP="00D30B8D">
            <w:pPr>
              <w:jc w:val="center"/>
              <w:rPr>
                <w:rFonts w:eastAsia="Arial"/>
                <w:szCs w:val="24"/>
              </w:rPr>
            </w:pPr>
            <w:r w:rsidRPr="00395B81">
              <w:rPr>
                <w:rFonts w:eastAsia="Arial"/>
                <w:szCs w:val="24"/>
              </w:rPr>
              <w:t>3307</w:t>
            </w:r>
          </w:p>
        </w:tc>
        <w:tc>
          <w:tcPr>
            <w:tcW w:w="1701" w:type="dxa"/>
            <w:tcBorders>
              <w:top w:val="single" w:sz="4" w:space="0" w:color="auto"/>
              <w:left w:val="nil"/>
              <w:bottom w:val="single" w:sz="4" w:space="0" w:color="auto"/>
              <w:right w:val="single" w:sz="4" w:space="0" w:color="auto"/>
            </w:tcBorders>
            <w:tcMar>
              <w:left w:w="105" w:type="dxa"/>
              <w:right w:w="105" w:type="dxa"/>
            </w:tcMar>
            <w:vAlign w:val="center"/>
          </w:tcPr>
          <w:p w14:paraId="1495DD91" w14:textId="595BECC2" w:rsidR="54BD0D14" w:rsidRPr="00D30B8D" w:rsidRDefault="00260AAE" w:rsidP="00D30B8D">
            <w:pPr>
              <w:jc w:val="center"/>
              <w:rPr>
                <w:rFonts w:eastAsia="Arial"/>
                <w:color w:val="202020"/>
                <w:szCs w:val="24"/>
                <w:lang w:val="en-US"/>
              </w:rPr>
            </w:pPr>
            <w:r>
              <w:rPr>
                <w:color w:val="000000"/>
              </w:rPr>
              <w:t>14,26</w:t>
            </w:r>
          </w:p>
        </w:tc>
      </w:tr>
    </w:tbl>
    <w:p w14:paraId="04E660E1" w14:textId="77777777" w:rsidR="00976487" w:rsidRPr="00687DE8" w:rsidRDefault="00976487" w:rsidP="00976487">
      <w:pPr>
        <w:spacing w:after="0" w:line="240" w:lineRule="auto"/>
        <w:jc w:val="both"/>
        <w:divId w:val="1316184749"/>
        <w:rPr>
          <w:szCs w:val="24"/>
        </w:rPr>
      </w:pPr>
    </w:p>
    <w:p w14:paraId="0732DCA6" w14:textId="33AA5E09" w:rsidR="419CE3B0" w:rsidRPr="00E63E44" w:rsidRDefault="00A441FC" w:rsidP="00C627DC">
      <w:pPr>
        <w:spacing w:after="0" w:line="240" w:lineRule="auto"/>
        <w:jc w:val="both"/>
        <w:rPr>
          <w:szCs w:val="24"/>
        </w:rPr>
      </w:pPr>
      <w:r>
        <w:rPr>
          <w:rFonts w:eastAsia="Calibri"/>
          <w:color w:val="000000" w:themeColor="text1"/>
          <w:szCs w:val="24"/>
        </w:rPr>
        <w:t>(</w:t>
      </w:r>
      <w:r w:rsidR="419CE3B0" w:rsidRPr="00D30B8D">
        <w:rPr>
          <w:rFonts w:eastAsia="Calibri"/>
          <w:color w:val="000000" w:themeColor="text1"/>
          <w:szCs w:val="24"/>
        </w:rPr>
        <w:t xml:space="preserve">3) </w:t>
      </w:r>
      <w:r w:rsidR="00694903" w:rsidRPr="0046015F">
        <w:rPr>
          <w:szCs w:val="24"/>
        </w:rPr>
        <w:t>Tervisekeskuse kaudu tegutsevale perearstile</w:t>
      </w:r>
      <w:r w:rsidR="00A923F3">
        <w:rPr>
          <w:szCs w:val="24"/>
        </w:rPr>
        <w:t xml:space="preserve"> </w:t>
      </w:r>
      <w:r w:rsidR="00694903" w:rsidRPr="0046015F">
        <w:rPr>
          <w:szCs w:val="24"/>
        </w:rPr>
        <w:t>makstava</w:t>
      </w:r>
      <w:r w:rsidR="00A923F3">
        <w:rPr>
          <w:szCs w:val="24"/>
        </w:rPr>
        <w:t xml:space="preserve"> </w:t>
      </w:r>
      <w:r w:rsidR="00694903" w:rsidRPr="0046015F">
        <w:rPr>
          <w:szCs w:val="24"/>
        </w:rPr>
        <w:t>nimistuülese teenus</w:t>
      </w:r>
      <w:r w:rsidR="00672F1B">
        <w:rPr>
          <w:szCs w:val="24"/>
        </w:rPr>
        <w:t>e</w:t>
      </w:r>
      <w:r w:rsidR="00694903" w:rsidRPr="0046015F">
        <w:rPr>
          <w:szCs w:val="24"/>
        </w:rPr>
        <w:t>korralduse lisakomponendi piirhind ühe kalendrikuu kohta sõltuvalt kindlustatud isiku vanusest ja haiguskoormusest</w:t>
      </w:r>
      <w:r w:rsidR="00A923F3">
        <w:rPr>
          <w:szCs w:val="24"/>
        </w:rPr>
        <w:t xml:space="preserve"> </w:t>
      </w:r>
      <w:r w:rsidR="00694903" w:rsidRPr="0046015F">
        <w:rPr>
          <w:szCs w:val="24"/>
        </w:rPr>
        <w:t>juhul,</w:t>
      </w:r>
      <w:r w:rsidR="00A923F3">
        <w:rPr>
          <w:szCs w:val="24"/>
        </w:rPr>
        <w:t xml:space="preserve"> </w:t>
      </w:r>
      <w:r w:rsidR="00694903" w:rsidRPr="0046015F">
        <w:rPr>
          <w:szCs w:val="24"/>
        </w:rPr>
        <w:t>kui</w:t>
      </w:r>
      <w:r w:rsidR="00A923F3">
        <w:rPr>
          <w:szCs w:val="24"/>
        </w:rPr>
        <w:t xml:space="preserve"> </w:t>
      </w:r>
      <w:r w:rsidR="00694903" w:rsidRPr="0046015F">
        <w:rPr>
          <w:szCs w:val="24"/>
        </w:rPr>
        <w:t xml:space="preserve">tervisekeskuses on tagatud </w:t>
      </w:r>
      <w:r w:rsidR="00470E98">
        <w:rPr>
          <w:szCs w:val="24"/>
        </w:rPr>
        <w:t xml:space="preserve">personali koordineeritud juhtimine, </w:t>
      </w:r>
      <w:r w:rsidR="00694903" w:rsidRPr="0046015F">
        <w:rPr>
          <w:szCs w:val="24"/>
        </w:rPr>
        <w:t>ühine infosüsteem, telefon, e-posti aadress</w:t>
      </w:r>
      <w:r w:rsidR="00A923F3">
        <w:rPr>
          <w:szCs w:val="24"/>
        </w:rPr>
        <w:t xml:space="preserve">, </w:t>
      </w:r>
      <w:r w:rsidR="00A23134" w:rsidRPr="00A23134">
        <w:rPr>
          <w:szCs w:val="24"/>
        </w:rPr>
        <w:t>digiteenindusplatvorm, nimistuüle</w:t>
      </w:r>
      <w:r w:rsidR="00470E98">
        <w:rPr>
          <w:szCs w:val="24"/>
        </w:rPr>
        <w:t>seks</w:t>
      </w:r>
      <w:r w:rsidR="00A23134" w:rsidRPr="00A23134">
        <w:rPr>
          <w:szCs w:val="24"/>
        </w:rPr>
        <w:t xml:space="preserve"> teenus</w:t>
      </w:r>
      <w:r w:rsidR="00672F1B">
        <w:rPr>
          <w:szCs w:val="24"/>
        </w:rPr>
        <w:t>e</w:t>
      </w:r>
      <w:r w:rsidR="00A23134" w:rsidRPr="00A23134">
        <w:rPr>
          <w:szCs w:val="24"/>
        </w:rPr>
        <w:t>korraldus</w:t>
      </w:r>
      <w:r w:rsidR="00470E98">
        <w:rPr>
          <w:szCs w:val="24"/>
        </w:rPr>
        <w:t>eks vajalik lisapersonal</w:t>
      </w:r>
      <w:r w:rsidR="00A923F3">
        <w:rPr>
          <w:szCs w:val="24"/>
        </w:rPr>
        <w:t>,</w:t>
      </w:r>
      <w:r w:rsidR="00A23134">
        <w:rPr>
          <w:szCs w:val="24"/>
        </w:rPr>
        <w:t xml:space="preserve"> </w:t>
      </w:r>
      <w:r w:rsidR="00694903" w:rsidRPr="0046015F">
        <w:rPr>
          <w:szCs w:val="24"/>
        </w:rPr>
        <w:t>ning</w:t>
      </w:r>
      <w:r w:rsidR="001962C9">
        <w:rPr>
          <w:szCs w:val="24"/>
        </w:rPr>
        <w:t xml:space="preserve"> </w:t>
      </w:r>
      <w:r w:rsidR="00694903" w:rsidRPr="0046015F">
        <w:rPr>
          <w:szCs w:val="24"/>
        </w:rPr>
        <w:t xml:space="preserve">täidetud </w:t>
      </w:r>
      <w:r w:rsidR="00A923F3">
        <w:rPr>
          <w:szCs w:val="24"/>
        </w:rPr>
        <w:t xml:space="preserve">on </w:t>
      </w:r>
      <w:r w:rsidR="00694903" w:rsidRPr="0046015F">
        <w:rPr>
          <w:szCs w:val="24"/>
        </w:rPr>
        <w:t>ravikindlustuse seaduse</w:t>
      </w:r>
      <w:r w:rsidR="00A923F3">
        <w:rPr>
          <w:szCs w:val="24"/>
        </w:rPr>
        <w:t xml:space="preserve"> </w:t>
      </w:r>
      <w:r w:rsidR="00694903" w:rsidRPr="0046015F">
        <w:rPr>
          <w:szCs w:val="24"/>
        </w:rPr>
        <w:t>§</w:t>
      </w:r>
      <w:r w:rsidR="00A923F3">
        <w:rPr>
          <w:szCs w:val="24"/>
        </w:rPr>
        <w:t xml:space="preserve"> </w:t>
      </w:r>
      <w:r w:rsidR="00694903" w:rsidRPr="0046015F">
        <w:rPr>
          <w:szCs w:val="24"/>
        </w:rPr>
        <w:t>32 alusel antud määruse</w:t>
      </w:r>
      <w:r w:rsidR="00A923F3">
        <w:rPr>
          <w:szCs w:val="24"/>
        </w:rPr>
        <w:t xml:space="preserve"> </w:t>
      </w:r>
      <w:r w:rsidR="00694903" w:rsidRPr="0046015F">
        <w:rPr>
          <w:szCs w:val="24"/>
        </w:rPr>
        <w:t>§-s</w:t>
      </w:r>
      <w:r w:rsidR="00A923F3">
        <w:rPr>
          <w:szCs w:val="24"/>
        </w:rPr>
        <w:t xml:space="preserve"> </w:t>
      </w:r>
      <w:r w:rsidR="00694903" w:rsidRPr="0046015F">
        <w:rPr>
          <w:szCs w:val="24"/>
        </w:rPr>
        <w:t>4</w:t>
      </w:r>
      <w:r w:rsidR="00741CBA">
        <w:rPr>
          <w:szCs w:val="24"/>
          <w:vertAlign w:val="superscript"/>
        </w:rPr>
        <w:t>1</w:t>
      </w:r>
      <w:r w:rsidR="00A923F3">
        <w:rPr>
          <w:szCs w:val="24"/>
        </w:rPr>
        <w:t xml:space="preserve"> </w:t>
      </w:r>
      <w:r w:rsidR="00694903" w:rsidRPr="0046015F">
        <w:rPr>
          <w:szCs w:val="24"/>
        </w:rPr>
        <w:t>sätestatud tingimused,</w:t>
      </w:r>
      <w:r w:rsidR="00A923F3">
        <w:rPr>
          <w:szCs w:val="24"/>
        </w:rPr>
        <w:t xml:space="preserve"> </w:t>
      </w:r>
      <w:r w:rsidR="00694903" w:rsidRPr="0046015F">
        <w:rPr>
          <w:szCs w:val="24"/>
        </w:rPr>
        <w:t>on järgmine:</w:t>
      </w:r>
    </w:p>
    <w:p w14:paraId="2441A94A" w14:textId="77777777" w:rsidR="00E363C0" w:rsidRPr="00E63E44" w:rsidRDefault="00E363C0" w:rsidP="00C627DC">
      <w:pPr>
        <w:spacing w:after="0" w:line="240" w:lineRule="auto"/>
        <w:jc w:val="both"/>
        <w:rPr>
          <w:szCs w:val="24"/>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5"/>
        <w:gridCol w:w="1275"/>
        <w:gridCol w:w="1980"/>
      </w:tblGrid>
      <w:tr w:rsidR="00796B69" w:rsidRPr="000A577B" w14:paraId="5BCBA72E" w14:textId="77777777" w:rsidTr="00EB7A71">
        <w:trPr>
          <w:trHeight w:val="285"/>
        </w:trPr>
        <w:tc>
          <w:tcPr>
            <w:tcW w:w="6075" w:type="dxa"/>
            <w:tcBorders>
              <w:top w:val="single" w:sz="6" w:space="0" w:color="auto"/>
              <w:left w:val="single" w:sz="6" w:space="0" w:color="auto"/>
              <w:bottom w:val="single" w:sz="6" w:space="0" w:color="auto"/>
              <w:right w:val="single" w:sz="6" w:space="0" w:color="auto"/>
            </w:tcBorders>
            <w:hideMark/>
          </w:tcPr>
          <w:p w14:paraId="61869610" w14:textId="77777777" w:rsidR="00796B69" w:rsidRDefault="00470E98" w:rsidP="00B615A3">
            <w:pPr>
              <w:spacing w:after="0" w:line="240" w:lineRule="auto"/>
              <w:jc w:val="center"/>
              <w:textAlignment w:val="baseline"/>
              <w:rPr>
                <w:b/>
                <w:bCs/>
                <w:szCs w:val="24"/>
              </w:rPr>
            </w:pPr>
            <w:r w:rsidRPr="00B615A3">
              <w:rPr>
                <w:b/>
                <w:bCs/>
                <w:szCs w:val="24"/>
              </w:rPr>
              <w:t>Nimistuülene teenusekorralduse lisakomponent</w:t>
            </w:r>
          </w:p>
          <w:p w14:paraId="0F929D64" w14:textId="77777777" w:rsidR="00B615A3" w:rsidRPr="00B615A3" w:rsidRDefault="00B615A3" w:rsidP="00B615A3">
            <w:pPr>
              <w:spacing w:after="0" w:line="240" w:lineRule="auto"/>
              <w:jc w:val="center"/>
              <w:textAlignment w:val="baseline"/>
              <w:rPr>
                <w:b/>
                <w:bCs/>
                <w:szCs w:val="24"/>
              </w:rPr>
            </w:pPr>
          </w:p>
          <w:p w14:paraId="1A8A5785" w14:textId="1CD7435E" w:rsidR="00B615A3" w:rsidRPr="00B615A3" w:rsidRDefault="00B615A3" w:rsidP="00B615A3">
            <w:pPr>
              <w:spacing w:after="0" w:line="240" w:lineRule="auto"/>
              <w:textAlignment w:val="baseline"/>
              <w:rPr>
                <w:szCs w:val="24"/>
              </w:rPr>
            </w:pPr>
          </w:p>
        </w:tc>
        <w:tc>
          <w:tcPr>
            <w:tcW w:w="1275" w:type="dxa"/>
            <w:tcBorders>
              <w:top w:val="single" w:sz="6" w:space="0" w:color="auto"/>
              <w:left w:val="single" w:sz="6" w:space="0" w:color="auto"/>
              <w:bottom w:val="single" w:sz="6" w:space="0" w:color="auto"/>
              <w:right w:val="single" w:sz="6" w:space="0" w:color="auto"/>
            </w:tcBorders>
            <w:hideMark/>
          </w:tcPr>
          <w:p w14:paraId="484C5585" w14:textId="77777777" w:rsidR="00796B69" w:rsidRPr="000A577B" w:rsidRDefault="00796B69" w:rsidP="00182F55">
            <w:pPr>
              <w:spacing w:after="0" w:line="240" w:lineRule="auto"/>
              <w:jc w:val="center"/>
              <w:textAlignment w:val="baseline"/>
              <w:rPr>
                <w:szCs w:val="24"/>
                <w:lang w:val="en-US"/>
              </w:rPr>
            </w:pPr>
            <w:r w:rsidRPr="000A577B">
              <w:rPr>
                <w:b/>
                <w:bCs/>
                <w:szCs w:val="24"/>
              </w:rPr>
              <w:t>Kood</w:t>
            </w:r>
            <w:r w:rsidRPr="000A577B">
              <w:rPr>
                <w:szCs w:val="24"/>
                <w:lang w:val="en-US"/>
              </w:rPr>
              <w:t> </w:t>
            </w:r>
          </w:p>
        </w:tc>
        <w:tc>
          <w:tcPr>
            <w:tcW w:w="1980" w:type="dxa"/>
            <w:tcBorders>
              <w:top w:val="single" w:sz="6" w:space="0" w:color="auto"/>
              <w:left w:val="single" w:sz="6" w:space="0" w:color="auto"/>
              <w:bottom w:val="single" w:sz="4" w:space="0" w:color="auto"/>
              <w:right w:val="single" w:sz="6" w:space="0" w:color="auto"/>
            </w:tcBorders>
            <w:hideMark/>
          </w:tcPr>
          <w:p w14:paraId="33799EBE" w14:textId="77777777" w:rsidR="00796B69" w:rsidRPr="000A577B" w:rsidRDefault="00796B69" w:rsidP="00182F55">
            <w:pPr>
              <w:spacing w:after="0" w:line="240" w:lineRule="auto"/>
              <w:jc w:val="center"/>
              <w:textAlignment w:val="baseline"/>
              <w:rPr>
                <w:szCs w:val="24"/>
                <w:lang w:val="en-US"/>
              </w:rPr>
            </w:pPr>
            <w:r w:rsidRPr="000A577B">
              <w:rPr>
                <w:b/>
                <w:bCs/>
                <w:szCs w:val="24"/>
              </w:rPr>
              <w:t>Piirhind eurodes</w:t>
            </w:r>
            <w:r w:rsidRPr="000A577B">
              <w:rPr>
                <w:szCs w:val="24"/>
                <w:lang w:val="en-US"/>
              </w:rPr>
              <w:t> </w:t>
            </w:r>
          </w:p>
        </w:tc>
      </w:tr>
      <w:tr w:rsidR="00796B69" w:rsidRPr="000A577B" w14:paraId="2EE09B0B" w14:textId="77777777" w:rsidTr="00EB7A71">
        <w:trPr>
          <w:trHeight w:val="285"/>
        </w:trPr>
        <w:tc>
          <w:tcPr>
            <w:tcW w:w="6075" w:type="dxa"/>
            <w:tcBorders>
              <w:top w:val="single" w:sz="6" w:space="0" w:color="auto"/>
              <w:left w:val="single" w:sz="6" w:space="0" w:color="auto"/>
              <w:bottom w:val="single" w:sz="6" w:space="0" w:color="auto"/>
              <w:right w:val="single" w:sz="6" w:space="0" w:color="auto"/>
            </w:tcBorders>
            <w:hideMark/>
          </w:tcPr>
          <w:p w14:paraId="2ED9667B" w14:textId="49BB0AE2" w:rsidR="00796B69" w:rsidRPr="00B615A3" w:rsidRDefault="00796B69" w:rsidP="00182F55">
            <w:pPr>
              <w:spacing w:after="0" w:line="240" w:lineRule="auto"/>
              <w:textAlignment w:val="baseline"/>
              <w:rPr>
                <w:szCs w:val="24"/>
              </w:rPr>
            </w:pPr>
            <w:r w:rsidRPr="00B615A3">
              <w:rPr>
                <w:szCs w:val="24"/>
              </w:rPr>
              <w:t>Nimistuülene teenus</w:t>
            </w:r>
            <w:r w:rsidR="00F80E39">
              <w:rPr>
                <w:szCs w:val="24"/>
              </w:rPr>
              <w:t>e</w:t>
            </w:r>
            <w:r w:rsidRPr="00B615A3">
              <w:rPr>
                <w:szCs w:val="24"/>
              </w:rPr>
              <w:t>korralduse lisakomponent</w:t>
            </w:r>
            <w:r w:rsidR="00B77865" w:rsidRPr="00B615A3">
              <w:rPr>
                <w:szCs w:val="24"/>
              </w:rPr>
              <w:t xml:space="preserve"> </w:t>
            </w:r>
            <w:r w:rsidRPr="00B615A3">
              <w:rPr>
                <w:szCs w:val="24"/>
              </w:rPr>
              <w:t>ühe alla 3-aastase kindlustatud isiku kohta tervisekeskuses</w:t>
            </w:r>
          </w:p>
        </w:tc>
        <w:tc>
          <w:tcPr>
            <w:tcW w:w="1275" w:type="dxa"/>
            <w:tcBorders>
              <w:top w:val="single" w:sz="6" w:space="0" w:color="auto"/>
              <w:left w:val="single" w:sz="6" w:space="0" w:color="auto"/>
              <w:bottom w:val="single" w:sz="6" w:space="0" w:color="auto"/>
              <w:right w:val="single" w:sz="4" w:space="0" w:color="auto"/>
            </w:tcBorders>
            <w:hideMark/>
          </w:tcPr>
          <w:p w14:paraId="653D3D32" w14:textId="77777777" w:rsidR="00796B69" w:rsidRPr="000A577B" w:rsidRDefault="00796B69" w:rsidP="00182F55">
            <w:pPr>
              <w:spacing w:after="0" w:line="240" w:lineRule="auto"/>
              <w:jc w:val="center"/>
              <w:textAlignment w:val="baseline"/>
              <w:rPr>
                <w:szCs w:val="24"/>
                <w:lang w:val="en-US"/>
              </w:rPr>
            </w:pPr>
            <w:r w:rsidRPr="000A577B">
              <w:rPr>
                <w:szCs w:val="24"/>
              </w:rPr>
              <w:t>3308</w:t>
            </w:r>
            <w:r w:rsidRPr="000A577B">
              <w:rPr>
                <w:szCs w:val="24"/>
                <w:lang w:val="en-US"/>
              </w:rPr>
              <w:t>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961900F" w14:textId="4F2281CF" w:rsidR="00796B69" w:rsidRPr="000A577B" w:rsidRDefault="003C173E" w:rsidP="00182F55">
            <w:pPr>
              <w:spacing w:after="0" w:line="240" w:lineRule="auto"/>
              <w:jc w:val="center"/>
              <w:textAlignment w:val="baseline"/>
              <w:rPr>
                <w:szCs w:val="24"/>
                <w:lang w:val="en-US"/>
              </w:rPr>
            </w:pPr>
            <w:r>
              <w:rPr>
                <w:color w:val="000000"/>
              </w:rPr>
              <w:t>1,21</w:t>
            </w:r>
          </w:p>
        </w:tc>
      </w:tr>
      <w:tr w:rsidR="00796B69" w:rsidRPr="000A577B" w14:paraId="22A7B712" w14:textId="77777777" w:rsidTr="00EB7A71">
        <w:trPr>
          <w:trHeight w:val="285"/>
        </w:trPr>
        <w:tc>
          <w:tcPr>
            <w:tcW w:w="6075" w:type="dxa"/>
            <w:tcBorders>
              <w:top w:val="single" w:sz="6" w:space="0" w:color="auto"/>
              <w:left w:val="single" w:sz="6" w:space="0" w:color="auto"/>
              <w:bottom w:val="single" w:sz="6" w:space="0" w:color="auto"/>
              <w:right w:val="single" w:sz="6" w:space="0" w:color="auto"/>
            </w:tcBorders>
            <w:hideMark/>
          </w:tcPr>
          <w:p w14:paraId="79A8B7C1" w14:textId="2F257CBD" w:rsidR="00796B69" w:rsidRPr="00B615A3" w:rsidRDefault="00796B69" w:rsidP="00182F55">
            <w:pPr>
              <w:spacing w:after="0" w:line="240" w:lineRule="auto"/>
              <w:textAlignment w:val="baseline"/>
              <w:rPr>
                <w:szCs w:val="24"/>
              </w:rPr>
            </w:pPr>
            <w:r w:rsidRPr="00B615A3">
              <w:rPr>
                <w:szCs w:val="24"/>
              </w:rPr>
              <w:t>Nimistuülene teenus</w:t>
            </w:r>
            <w:r w:rsidR="00F80E39">
              <w:rPr>
                <w:szCs w:val="24"/>
              </w:rPr>
              <w:t>e</w:t>
            </w:r>
            <w:r w:rsidRPr="00B615A3">
              <w:rPr>
                <w:szCs w:val="24"/>
              </w:rPr>
              <w:t>korralduse lisakomponent</w:t>
            </w:r>
            <w:r w:rsidR="00B77865" w:rsidRPr="00B615A3">
              <w:rPr>
                <w:szCs w:val="24"/>
              </w:rPr>
              <w:t xml:space="preserve"> </w:t>
            </w:r>
            <w:r w:rsidRPr="00B615A3">
              <w:rPr>
                <w:szCs w:val="24"/>
              </w:rPr>
              <w:t>ühe 3- kuni alla 7-aastase kindlustatud isiku kohta tervisekeskuses </w:t>
            </w:r>
          </w:p>
        </w:tc>
        <w:tc>
          <w:tcPr>
            <w:tcW w:w="1275" w:type="dxa"/>
            <w:tcBorders>
              <w:top w:val="single" w:sz="6" w:space="0" w:color="auto"/>
              <w:left w:val="single" w:sz="6" w:space="0" w:color="auto"/>
              <w:bottom w:val="single" w:sz="6" w:space="0" w:color="auto"/>
              <w:right w:val="single" w:sz="4" w:space="0" w:color="auto"/>
            </w:tcBorders>
            <w:hideMark/>
          </w:tcPr>
          <w:p w14:paraId="589E613F" w14:textId="77777777" w:rsidR="00796B69" w:rsidRPr="000A577B" w:rsidRDefault="00796B69" w:rsidP="00182F55">
            <w:pPr>
              <w:spacing w:after="0" w:line="240" w:lineRule="auto"/>
              <w:jc w:val="center"/>
              <w:textAlignment w:val="baseline"/>
              <w:rPr>
                <w:szCs w:val="24"/>
                <w:lang w:val="en-US"/>
              </w:rPr>
            </w:pPr>
            <w:r w:rsidRPr="000A577B">
              <w:rPr>
                <w:szCs w:val="24"/>
              </w:rPr>
              <w:t>3309</w:t>
            </w:r>
            <w:r w:rsidRPr="000A577B">
              <w:rPr>
                <w:szCs w:val="24"/>
                <w:lang w:val="en-US"/>
              </w:rPr>
              <w:t>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F058AB9" w14:textId="5946E7F7" w:rsidR="00796B69" w:rsidRPr="000A577B" w:rsidRDefault="003C173E" w:rsidP="00182F55">
            <w:pPr>
              <w:spacing w:after="0" w:line="240" w:lineRule="auto"/>
              <w:jc w:val="center"/>
              <w:textAlignment w:val="baseline"/>
              <w:rPr>
                <w:szCs w:val="24"/>
                <w:lang w:val="en-US"/>
              </w:rPr>
            </w:pPr>
            <w:r>
              <w:rPr>
                <w:color w:val="000000"/>
              </w:rPr>
              <w:t>0,93</w:t>
            </w:r>
          </w:p>
        </w:tc>
      </w:tr>
      <w:tr w:rsidR="00796B69" w:rsidRPr="000A577B" w14:paraId="5F8DA875" w14:textId="77777777" w:rsidTr="00EB7A71">
        <w:trPr>
          <w:trHeight w:val="285"/>
        </w:trPr>
        <w:tc>
          <w:tcPr>
            <w:tcW w:w="6075" w:type="dxa"/>
            <w:tcBorders>
              <w:top w:val="single" w:sz="6" w:space="0" w:color="auto"/>
              <w:left w:val="single" w:sz="6" w:space="0" w:color="auto"/>
              <w:bottom w:val="single" w:sz="6" w:space="0" w:color="auto"/>
              <w:right w:val="single" w:sz="6" w:space="0" w:color="auto"/>
            </w:tcBorders>
            <w:hideMark/>
          </w:tcPr>
          <w:p w14:paraId="1726FB8B" w14:textId="71ECFBC1" w:rsidR="00796B69" w:rsidRPr="00B615A3" w:rsidRDefault="00796B69" w:rsidP="00182F55">
            <w:pPr>
              <w:spacing w:after="0" w:line="240" w:lineRule="auto"/>
              <w:textAlignment w:val="baseline"/>
              <w:rPr>
                <w:szCs w:val="24"/>
              </w:rPr>
            </w:pPr>
            <w:r w:rsidRPr="00B615A3">
              <w:rPr>
                <w:szCs w:val="24"/>
              </w:rPr>
              <w:t>Nimistuülene teenus</w:t>
            </w:r>
            <w:r w:rsidR="00F80E39">
              <w:rPr>
                <w:szCs w:val="24"/>
              </w:rPr>
              <w:t>e</w:t>
            </w:r>
            <w:r w:rsidRPr="00B615A3">
              <w:rPr>
                <w:szCs w:val="24"/>
              </w:rPr>
              <w:t>korralduse lisakomponent ühe 7-aastase ja vanema kindlustatud isiku kohta tervisekeskuses</w:t>
            </w:r>
          </w:p>
        </w:tc>
        <w:tc>
          <w:tcPr>
            <w:tcW w:w="1275" w:type="dxa"/>
            <w:tcBorders>
              <w:top w:val="single" w:sz="6" w:space="0" w:color="auto"/>
              <w:left w:val="single" w:sz="6" w:space="0" w:color="auto"/>
              <w:bottom w:val="single" w:sz="6" w:space="0" w:color="auto"/>
              <w:right w:val="single" w:sz="4" w:space="0" w:color="auto"/>
            </w:tcBorders>
            <w:hideMark/>
          </w:tcPr>
          <w:p w14:paraId="4D8CBA58" w14:textId="77777777" w:rsidR="00796B69" w:rsidRPr="000A577B" w:rsidRDefault="00796B69" w:rsidP="00182F55">
            <w:pPr>
              <w:spacing w:after="0" w:line="240" w:lineRule="auto"/>
              <w:jc w:val="center"/>
              <w:textAlignment w:val="baseline"/>
              <w:rPr>
                <w:szCs w:val="24"/>
                <w:lang w:val="en-US"/>
              </w:rPr>
            </w:pPr>
            <w:r w:rsidRPr="000A577B">
              <w:rPr>
                <w:szCs w:val="24"/>
              </w:rPr>
              <w:t>3310</w:t>
            </w:r>
            <w:r w:rsidRPr="000A577B">
              <w:rPr>
                <w:szCs w:val="24"/>
                <w:lang w:val="en-US"/>
              </w:rPr>
              <w:t>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AD59A50" w14:textId="2ECB4920" w:rsidR="00796B69" w:rsidRPr="000A577B" w:rsidRDefault="003C173E" w:rsidP="00182F55">
            <w:pPr>
              <w:spacing w:after="0" w:line="240" w:lineRule="auto"/>
              <w:jc w:val="center"/>
              <w:textAlignment w:val="baseline"/>
              <w:rPr>
                <w:szCs w:val="24"/>
                <w:lang w:val="en-US"/>
              </w:rPr>
            </w:pPr>
            <w:r>
              <w:rPr>
                <w:color w:val="000000"/>
              </w:rPr>
              <w:t>0,71</w:t>
            </w:r>
          </w:p>
        </w:tc>
      </w:tr>
      <w:tr w:rsidR="00796B69" w:rsidRPr="000A577B" w14:paraId="313DFD97" w14:textId="77777777" w:rsidTr="00EB7A71">
        <w:trPr>
          <w:trHeight w:val="285"/>
        </w:trPr>
        <w:tc>
          <w:tcPr>
            <w:tcW w:w="6075" w:type="dxa"/>
            <w:tcBorders>
              <w:top w:val="single" w:sz="6" w:space="0" w:color="auto"/>
              <w:left w:val="single" w:sz="6" w:space="0" w:color="auto"/>
              <w:bottom w:val="single" w:sz="6" w:space="0" w:color="auto"/>
              <w:right w:val="single" w:sz="6" w:space="0" w:color="auto"/>
            </w:tcBorders>
            <w:hideMark/>
          </w:tcPr>
          <w:p w14:paraId="58846F96" w14:textId="25B6159C" w:rsidR="00796B69" w:rsidRPr="00B615A3" w:rsidRDefault="00796B69" w:rsidP="00182F55">
            <w:pPr>
              <w:spacing w:after="0" w:line="240" w:lineRule="auto"/>
              <w:textAlignment w:val="baseline"/>
              <w:rPr>
                <w:szCs w:val="24"/>
              </w:rPr>
            </w:pPr>
            <w:r w:rsidRPr="00B615A3">
              <w:rPr>
                <w:szCs w:val="24"/>
              </w:rPr>
              <w:t>Nimistuülene teenus</w:t>
            </w:r>
            <w:r w:rsidR="00F80E39">
              <w:rPr>
                <w:szCs w:val="24"/>
              </w:rPr>
              <w:t>e</w:t>
            </w:r>
            <w:r w:rsidRPr="00B615A3">
              <w:rPr>
                <w:szCs w:val="24"/>
              </w:rPr>
              <w:t>korralduse lisakomponent</w:t>
            </w:r>
            <w:r w:rsidR="00A923F3" w:rsidRPr="00B615A3">
              <w:rPr>
                <w:szCs w:val="24"/>
              </w:rPr>
              <w:t xml:space="preserve"> </w:t>
            </w:r>
            <w:r w:rsidRPr="00B615A3">
              <w:rPr>
                <w:szCs w:val="24"/>
              </w:rPr>
              <w:t>1 haigusega kindlustatud isiku koha tervisekeskuses</w:t>
            </w:r>
          </w:p>
        </w:tc>
        <w:tc>
          <w:tcPr>
            <w:tcW w:w="1275" w:type="dxa"/>
            <w:tcBorders>
              <w:top w:val="single" w:sz="6" w:space="0" w:color="auto"/>
              <w:left w:val="single" w:sz="6" w:space="0" w:color="auto"/>
              <w:bottom w:val="single" w:sz="6" w:space="0" w:color="auto"/>
              <w:right w:val="single" w:sz="4" w:space="0" w:color="auto"/>
            </w:tcBorders>
            <w:hideMark/>
          </w:tcPr>
          <w:p w14:paraId="6BB9BA96" w14:textId="77777777" w:rsidR="00796B69" w:rsidRPr="000A577B" w:rsidRDefault="00796B69" w:rsidP="00182F55">
            <w:pPr>
              <w:spacing w:after="0" w:line="240" w:lineRule="auto"/>
              <w:jc w:val="center"/>
              <w:textAlignment w:val="baseline"/>
              <w:rPr>
                <w:szCs w:val="24"/>
                <w:lang w:val="en-US"/>
              </w:rPr>
            </w:pPr>
            <w:r w:rsidRPr="000A577B">
              <w:rPr>
                <w:szCs w:val="24"/>
              </w:rPr>
              <w:t>3311</w:t>
            </w:r>
            <w:r w:rsidRPr="000A577B">
              <w:rPr>
                <w:szCs w:val="24"/>
                <w:lang w:val="en-US"/>
              </w:rPr>
              <w:t>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F37F850" w14:textId="54F4D207" w:rsidR="00796B69" w:rsidRPr="000A577B" w:rsidRDefault="003C173E" w:rsidP="00182F55">
            <w:pPr>
              <w:spacing w:after="0" w:line="240" w:lineRule="auto"/>
              <w:jc w:val="center"/>
              <w:textAlignment w:val="baseline"/>
              <w:rPr>
                <w:szCs w:val="24"/>
                <w:lang w:val="en-US"/>
              </w:rPr>
            </w:pPr>
            <w:r>
              <w:rPr>
                <w:color w:val="000000"/>
              </w:rPr>
              <w:t>0,23</w:t>
            </w:r>
          </w:p>
        </w:tc>
      </w:tr>
      <w:tr w:rsidR="00796B69" w:rsidRPr="000A577B" w14:paraId="4A882E9C" w14:textId="77777777" w:rsidTr="00EB7A71">
        <w:trPr>
          <w:trHeight w:val="285"/>
        </w:trPr>
        <w:tc>
          <w:tcPr>
            <w:tcW w:w="6075" w:type="dxa"/>
            <w:tcBorders>
              <w:top w:val="single" w:sz="6" w:space="0" w:color="auto"/>
              <w:left w:val="single" w:sz="6" w:space="0" w:color="auto"/>
              <w:bottom w:val="single" w:sz="6" w:space="0" w:color="auto"/>
              <w:right w:val="single" w:sz="6" w:space="0" w:color="auto"/>
            </w:tcBorders>
            <w:hideMark/>
          </w:tcPr>
          <w:p w14:paraId="32364C3E" w14:textId="7BBAE6CD" w:rsidR="00796B69" w:rsidRPr="00B615A3" w:rsidRDefault="00796B69" w:rsidP="00182F55">
            <w:pPr>
              <w:spacing w:after="0" w:line="240" w:lineRule="auto"/>
              <w:textAlignment w:val="baseline"/>
              <w:rPr>
                <w:szCs w:val="24"/>
              </w:rPr>
            </w:pPr>
            <w:r w:rsidRPr="00B615A3">
              <w:rPr>
                <w:szCs w:val="24"/>
              </w:rPr>
              <w:t>Nimistuülene teenus</w:t>
            </w:r>
            <w:r w:rsidR="00F80E39">
              <w:rPr>
                <w:szCs w:val="24"/>
              </w:rPr>
              <w:t>e</w:t>
            </w:r>
            <w:r w:rsidRPr="00B615A3">
              <w:rPr>
                <w:szCs w:val="24"/>
              </w:rPr>
              <w:t>korralduse lisakomponent 2 haigusega kindlustatud isiku kohta tervisekeskuses</w:t>
            </w:r>
          </w:p>
        </w:tc>
        <w:tc>
          <w:tcPr>
            <w:tcW w:w="1275" w:type="dxa"/>
            <w:tcBorders>
              <w:top w:val="single" w:sz="6" w:space="0" w:color="auto"/>
              <w:left w:val="single" w:sz="6" w:space="0" w:color="auto"/>
              <w:bottom w:val="single" w:sz="6" w:space="0" w:color="auto"/>
              <w:right w:val="single" w:sz="4" w:space="0" w:color="auto"/>
            </w:tcBorders>
            <w:hideMark/>
          </w:tcPr>
          <w:p w14:paraId="6817BDD0" w14:textId="77777777" w:rsidR="00796B69" w:rsidRPr="000A577B" w:rsidRDefault="00796B69" w:rsidP="00182F55">
            <w:pPr>
              <w:spacing w:after="0" w:line="240" w:lineRule="auto"/>
              <w:jc w:val="center"/>
              <w:textAlignment w:val="baseline"/>
              <w:rPr>
                <w:szCs w:val="24"/>
                <w:lang w:val="en-US"/>
              </w:rPr>
            </w:pPr>
            <w:r w:rsidRPr="000A577B">
              <w:rPr>
                <w:szCs w:val="24"/>
              </w:rPr>
              <w:t>3312</w:t>
            </w:r>
            <w:r w:rsidRPr="000A577B">
              <w:rPr>
                <w:szCs w:val="24"/>
                <w:lang w:val="en-US"/>
              </w:rPr>
              <w:t>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1D9C5DA" w14:textId="21696772" w:rsidR="00796B69" w:rsidRPr="000A577B" w:rsidRDefault="003C173E" w:rsidP="00182F55">
            <w:pPr>
              <w:spacing w:after="0" w:line="240" w:lineRule="auto"/>
              <w:jc w:val="center"/>
              <w:textAlignment w:val="baseline"/>
              <w:rPr>
                <w:szCs w:val="24"/>
                <w:lang w:val="en-US"/>
              </w:rPr>
            </w:pPr>
            <w:r>
              <w:rPr>
                <w:color w:val="000000"/>
              </w:rPr>
              <w:t>0,38</w:t>
            </w:r>
          </w:p>
        </w:tc>
      </w:tr>
      <w:tr w:rsidR="00796B69" w:rsidRPr="000A577B" w14:paraId="594C2C47" w14:textId="77777777" w:rsidTr="00EB7A71">
        <w:trPr>
          <w:trHeight w:val="285"/>
        </w:trPr>
        <w:tc>
          <w:tcPr>
            <w:tcW w:w="6075" w:type="dxa"/>
            <w:tcBorders>
              <w:top w:val="single" w:sz="6" w:space="0" w:color="auto"/>
              <w:left w:val="single" w:sz="6" w:space="0" w:color="auto"/>
              <w:bottom w:val="single" w:sz="6" w:space="0" w:color="auto"/>
              <w:right w:val="single" w:sz="6" w:space="0" w:color="auto"/>
            </w:tcBorders>
            <w:hideMark/>
          </w:tcPr>
          <w:p w14:paraId="6570FE98" w14:textId="11F51A4E" w:rsidR="00796B69" w:rsidRPr="00B615A3" w:rsidRDefault="00796B69" w:rsidP="00182F55">
            <w:pPr>
              <w:spacing w:after="0" w:line="240" w:lineRule="auto"/>
              <w:textAlignment w:val="baseline"/>
              <w:rPr>
                <w:szCs w:val="24"/>
              </w:rPr>
            </w:pPr>
            <w:r w:rsidRPr="00B615A3">
              <w:rPr>
                <w:szCs w:val="24"/>
              </w:rPr>
              <w:t>Nimistuülene teenus</w:t>
            </w:r>
            <w:r w:rsidR="00F80E39">
              <w:rPr>
                <w:szCs w:val="24"/>
              </w:rPr>
              <w:t>e</w:t>
            </w:r>
            <w:r w:rsidRPr="00B615A3">
              <w:rPr>
                <w:szCs w:val="24"/>
              </w:rPr>
              <w:t>korralduse lisakomponent 3–4 haigusega kindlustatud isiku kohta tervisekeskuses</w:t>
            </w:r>
          </w:p>
        </w:tc>
        <w:tc>
          <w:tcPr>
            <w:tcW w:w="1275" w:type="dxa"/>
            <w:tcBorders>
              <w:top w:val="single" w:sz="6" w:space="0" w:color="auto"/>
              <w:left w:val="single" w:sz="6" w:space="0" w:color="auto"/>
              <w:bottom w:val="single" w:sz="6" w:space="0" w:color="auto"/>
              <w:right w:val="single" w:sz="4" w:space="0" w:color="auto"/>
            </w:tcBorders>
            <w:hideMark/>
          </w:tcPr>
          <w:p w14:paraId="3AE40AF3" w14:textId="77777777" w:rsidR="00796B69" w:rsidRPr="000A577B" w:rsidRDefault="00796B69" w:rsidP="00182F55">
            <w:pPr>
              <w:spacing w:after="0" w:line="240" w:lineRule="auto"/>
              <w:jc w:val="center"/>
              <w:textAlignment w:val="baseline"/>
              <w:rPr>
                <w:szCs w:val="24"/>
                <w:lang w:val="en-US"/>
              </w:rPr>
            </w:pPr>
            <w:r w:rsidRPr="000A577B">
              <w:rPr>
                <w:szCs w:val="24"/>
              </w:rPr>
              <w:t>3313</w:t>
            </w:r>
            <w:r w:rsidRPr="000A577B">
              <w:rPr>
                <w:szCs w:val="24"/>
                <w:lang w:val="en-US"/>
              </w:rPr>
              <w:t>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984DE2C" w14:textId="4B3A8CED" w:rsidR="00796B69" w:rsidRPr="000A577B" w:rsidRDefault="003C173E" w:rsidP="00182F55">
            <w:pPr>
              <w:spacing w:after="0" w:line="240" w:lineRule="auto"/>
              <w:jc w:val="center"/>
              <w:textAlignment w:val="baseline"/>
              <w:rPr>
                <w:szCs w:val="24"/>
                <w:lang w:val="en-US"/>
              </w:rPr>
            </w:pPr>
            <w:r>
              <w:rPr>
                <w:color w:val="000000"/>
              </w:rPr>
              <w:t>0,53</w:t>
            </w:r>
          </w:p>
        </w:tc>
      </w:tr>
      <w:tr w:rsidR="00796B69" w:rsidRPr="000A577B" w14:paraId="626F52B2" w14:textId="77777777" w:rsidTr="00EB7A71">
        <w:trPr>
          <w:trHeight w:val="285"/>
        </w:trPr>
        <w:tc>
          <w:tcPr>
            <w:tcW w:w="6075" w:type="dxa"/>
            <w:tcBorders>
              <w:top w:val="single" w:sz="6" w:space="0" w:color="auto"/>
              <w:left w:val="single" w:sz="6" w:space="0" w:color="auto"/>
              <w:bottom w:val="single" w:sz="6" w:space="0" w:color="auto"/>
              <w:right w:val="single" w:sz="6" w:space="0" w:color="auto"/>
            </w:tcBorders>
            <w:hideMark/>
          </w:tcPr>
          <w:p w14:paraId="5A4B8804" w14:textId="1999168B" w:rsidR="00796B69" w:rsidRPr="00B615A3" w:rsidRDefault="00796B69" w:rsidP="00182F55">
            <w:pPr>
              <w:spacing w:after="0" w:line="240" w:lineRule="auto"/>
              <w:textAlignment w:val="baseline"/>
              <w:rPr>
                <w:szCs w:val="24"/>
              </w:rPr>
            </w:pPr>
            <w:r w:rsidRPr="00B615A3">
              <w:rPr>
                <w:szCs w:val="24"/>
              </w:rPr>
              <w:t>Nimistuülene teenus</w:t>
            </w:r>
            <w:r w:rsidR="00F80E39">
              <w:rPr>
                <w:szCs w:val="24"/>
              </w:rPr>
              <w:t>e</w:t>
            </w:r>
            <w:r w:rsidRPr="00B615A3">
              <w:rPr>
                <w:szCs w:val="24"/>
              </w:rPr>
              <w:t>korralduse lisakomponent 5 ja enama haigusega kindlustatud isiku kohta tervisekeskuses</w:t>
            </w:r>
          </w:p>
        </w:tc>
        <w:tc>
          <w:tcPr>
            <w:tcW w:w="1275" w:type="dxa"/>
            <w:tcBorders>
              <w:top w:val="single" w:sz="6" w:space="0" w:color="auto"/>
              <w:left w:val="single" w:sz="6" w:space="0" w:color="auto"/>
              <w:bottom w:val="single" w:sz="6" w:space="0" w:color="auto"/>
              <w:right w:val="single" w:sz="4" w:space="0" w:color="auto"/>
            </w:tcBorders>
            <w:hideMark/>
          </w:tcPr>
          <w:p w14:paraId="1EADF4B2" w14:textId="77777777" w:rsidR="00796B69" w:rsidRPr="000A577B" w:rsidRDefault="00796B69" w:rsidP="00182F55">
            <w:pPr>
              <w:spacing w:after="0" w:line="240" w:lineRule="auto"/>
              <w:jc w:val="center"/>
              <w:textAlignment w:val="baseline"/>
              <w:rPr>
                <w:szCs w:val="24"/>
                <w:lang w:val="en-US"/>
              </w:rPr>
            </w:pPr>
            <w:r w:rsidRPr="000A577B">
              <w:rPr>
                <w:szCs w:val="24"/>
              </w:rPr>
              <w:t>3314</w:t>
            </w:r>
            <w:r w:rsidRPr="000A577B">
              <w:rPr>
                <w:szCs w:val="24"/>
                <w:lang w:val="en-US"/>
              </w:rPr>
              <w:t>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2911214" w14:textId="65EA949E" w:rsidR="00796B69" w:rsidRPr="000A577B" w:rsidRDefault="003C173E" w:rsidP="00182F55">
            <w:pPr>
              <w:spacing w:after="0" w:line="240" w:lineRule="auto"/>
              <w:jc w:val="center"/>
              <w:textAlignment w:val="baseline"/>
              <w:rPr>
                <w:szCs w:val="24"/>
                <w:lang w:val="en-US"/>
              </w:rPr>
            </w:pPr>
            <w:r>
              <w:rPr>
                <w:color w:val="000000"/>
              </w:rPr>
              <w:t>0,75</w:t>
            </w:r>
          </w:p>
        </w:tc>
      </w:tr>
    </w:tbl>
    <w:p w14:paraId="3CC44A44" w14:textId="583C19BB" w:rsidR="24CF3808" w:rsidRPr="00095BE0" w:rsidRDefault="24CF3808" w:rsidP="24CF3808">
      <w:pPr>
        <w:spacing w:after="0" w:line="240" w:lineRule="auto"/>
        <w:jc w:val="both"/>
      </w:pPr>
    </w:p>
    <w:p w14:paraId="09A86C62" w14:textId="3405CE6C" w:rsidR="00195512" w:rsidRPr="00E63E44" w:rsidRDefault="00095BE0" w:rsidP="615F773B">
      <w:pPr>
        <w:pStyle w:val="paragraph"/>
        <w:spacing w:before="0" w:beforeAutospacing="0" w:after="0" w:afterAutospacing="0"/>
        <w:jc w:val="both"/>
      </w:pPr>
      <w:r w:rsidRPr="615F773B">
        <w:rPr>
          <w:rFonts w:eastAsia="Times New Roman"/>
        </w:rPr>
        <w:t xml:space="preserve">(4) </w:t>
      </w:r>
      <w:r w:rsidR="002E6FC9">
        <w:t>Tervisekassa tasub perearstile täiendavalt koodidega 3304, 3305, 3306, 3307, 3311, 3312, 3313</w:t>
      </w:r>
      <w:r w:rsidR="001962C9">
        <w:t xml:space="preserve"> </w:t>
      </w:r>
      <w:r w:rsidR="002E6FC9">
        <w:t>ja</w:t>
      </w:r>
      <w:r w:rsidR="001962C9">
        <w:t xml:space="preserve"> </w:t>
      </w:r>
      <w:r w:rsidR="002E6FC9">
        <w:t>3314  tähistatud pearaha</w:t>
      </w:r>
      <w:r w:rsidR="001962C9">
        <w:t xml:space="preserve"> </w:t>
      </w:r>
      <w:bookmarkStart w:id="0" w:name="_Hlk215719656"/>
      <w:r w:rsidR="002E6FC9">
        <w:t>ja nimistuülest teenus</w:t>
      </w:r>
      <w:r w:rsidR="00F80E39">
        <w:t>e</w:t>
      </w:r>
      <w:r w:rsidR="002E6FC9">
        <w:t>korralduse lisakomponenti</w:t>
      </w:r>
      <w:r w:rsidR="001962C9">
        <w:t xml:space="preserve"> </w:t>
      </w:r>
      <w:bookmarkEnd w:id="0"/>
      <w:r w:rsidR="002E6FC9">
        <w:t xml:space="preserve">nimistusse kuuluva kindlustatud isiku eest, kelle kohta on viimase </w:t>
      </w:r>
      <w:r w:rsidR="70006A03">
        <w:t>24 kalendrikuu</w:t>
      </w:r>
      <w:r w:rsidR="002E6FC9">
        <w:t xml:space="preserve"> jooksul vähemalt kaks korda vähemalt 60-päevase vahega Tervisekassale</w:t>
      </w:r>
      <w:r w:rsidR="001962C9">
        <w:t xml:space="preserve"> </w:t>
      </w:r>
      <w:r w:rsidR="002E6FC9">
        <w:t>esitatud</w:t>
      </w:r>
      <w:r w:rsidR="001962C9">
        <w:t xml:space="preserve"> </w:t>
      </w:r>
      <w:r w:rsidR="002E6FC9">
        <w:t>raviarvel või väljastatud ravimiretseptil märgitud põhi- või kaasuva diagnoosina haigus järgnevast loetelust:</w:t>
      </w:r>
    </w:p>
    <w:p w14:paraId="7D408401" w14:textId="77777777" w:rsidR="002E6FC9" w:rsidRPr="00095BE0" w:rsidRDefault="002E6FC9">
      <w:pPr>
        <w:pStyle w:val="paragraph"/>
        <w:spacing w:before="0" w:beforeAutospacing="0" w:after="0" w:afterAutospacing="0"/>
        <w:jc w:val="both"/>
        <w:rPr>
          <w:rFonts w:eastAsia="Calibri"/>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25"/>
        <w:gridCol w:w="5280"/>
      </w:tblGrid>
      <w:tr w:rsidR="00195512" w:rsidRPr="00D32A2D" w14:paraId="1934B8CB"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6D5D5C" w14:textId="77777777" w:rsidR="00195512" w:rsidRPr="00AE10A7" w:rsidRDefault="00195512" w:rsidP="001E5DAE">
            <w:pPr>
              <w:spacing w:after="0" w:line="240" w:lineRule="auto"/>
              <w:jc w:val="both"/>
              <w:rPr>
                <w:rFonts w:eastAsia="Calibri"/>
                <w:szCs w:val="24"/>
              </w:rPr>
            </w:pPr>
            <w:r w:rsidRPr="00AE10A7">
              <w:rPr>
                <w:rFonts w:eastAsia="Calibri"/>
                <w:b/>
                <w:szCs w:val="24"/>
              </w:rPr>
              <w:t>Haigusrühm</w:t>
            </w:r>
            <w:r w:rsidRPr="00AE10A7">
              <w:rPr>
                <w:rFonts w:eastAsia="Calibri"/>
                <w:szCs w:val="24"/>
              </w:rPr>
              <w:t>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6A37E65" w14:textId="0C4180B6" w:rsidR="00195512" w:rsidRPr="00AE10A7" w:rsidRDefault="00195512" w:rsidP="001E5DAE">
            <w:pPr>
              <w:spacing w:after="0" w:line="240" w:lineRule="auto"/>
              <w:ind w:left="720"/>
              <w:jc w:val="both"/>
              <w:rPr>
                <w:rFonts w:eastAsia="Calibri"/>
                <w:szCs w:val="24"/>
              </w:rPr>
            </w:pPr>
            <w:r w:rsidRPr="00AE10A7">
              <w:rPr>
                <w:rFonts w:eastAsia="Calibri"/>
                <w:b/>
                <w:szCs w:val="24"/>
              </w:rPr>
              <w:t>RHK</w:t>
            </w:r>
            <w:r w:rsidR="0059378A">
              <w:rPr>
                <w:rFonts w:eastAsia="Calibri"/>
                <w:b/>
                <w:szCs w:val="24"/>
              </w:rPr>
              <w:t xml:space="preserve"> </w:t>
            </w:r>
            <w:r w:rsidRPr="00AE10A7">
              <w:rPr>
                <w:rFonts w:eastAsia="Calibri"/>
                <w:b/>
                <w:szCs w:val="24"/>
              </w:rPr>
              <w:t>10</w:t>
            </w:r>
            <w:r w:rsidRPr="00AE10A7">
              <w:rPr>
                <w:rFonts w:eastAsia="Calibri"/>
                <w:szCs w:val="24"/>
              </w:rPr>
              <w:t> </w:t>
            </w:r>
            <w:r w:rsidRPr="00AE10A7">
              <w:rPr>
                <w:rFonts w:eastAsia="Calibri"/>
                <w:b/>
                <w:bCs/>
                <w:szCs w:val="24"/>
              </w:rPr>
              <w:t>kood</w:t>
            </w:r>
          </w:p>
        </w:tc>
      </w:tr>
      <w:tr w:rsidR="00195512" w:rsidRPr="00D32A2D" w14:paraId="15868DE6"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6A1FDE5" w14:textId="77777777" w:rsidR="00195512" w:rsidRPr="00AE10A7" w:rsidRDefault="00195512" w:rsidP="00AE10A7">
            <w:pPr>
              <w:spacing w:after="0" w:line="240" w:lineRule="auto"/>
              <w:rPr>
                <w:rFonts w:eastAsia="Calibri"/>
                <w:szCs w:val="24"/>
              </w:rPr>
            </w:pPr>
            <w:r w:rsidRPr="00AE10A7">
              <w:rPr>
                <w:rFonts w:eastAsia="Calibri"/>
                <w:szCs w:val="24"/>
              </w:rPr>
              <w:t>Hüpertensioon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F95EBDE" w14:textId="77777777" w:rsidR="00195512" w:rsidRPr="00AE10A7" w:rsidRDefault="00195512" w:rsidP="001E5DAE">
            <w:pPr>
              <w:spacing w:after="0" w:line="240" w:lineRule="auto"/>
              <w:ind w:left="720"/>
              <w:jc w:val="both"/>
              <w:rPr>
                <w:rFonts w:eastAsia="Calibri"/>
                <w:szCs w:val="24"/>
              </w:rPr>
            </w:pPr>
            <w:r w:rsidRPr="00AE10A7">
              <w:rPr>
                <w:rFonts w:eastAsia="Calibri"/>
                <w:szCs w:val="24"/>
              </w:rPr>
              <w:t>I10–I15 </w:t>
            </w:r>
          </w:p>
        </w:tc>
      </w:tr>
      <w:tr w:rsidR="00195512" w:rsidRPr="00D32A2D" w14:paraId="7026F372"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5FE79C2" w14:textId="77777777" w:rsidR="00195512" w:rsidRPr="00AE10A7" w:rsidRDefault="00195512" w:rsidP="00AE10A7">
            <w:pPr>
              <w:spacing w:after="0" w:line="240" w:lineRule="auto"/>
              <w:rPr>
                <w:rFonts w:eastAsia="Calibri"/>
                <w:szCs w:val="24"/>
              </w:rPr>
            </w:pPr>
            <w:r w:rsidRPr="00AE10A7">
              <w:rPr>
                <w:rFonts w:eastAsia="Calibri"/>
                <w:szCs w:val="24"/>
              </w:rPr>
              <w:t>Südamepuudulikkus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E91F312" w14:textId="77777777" w:rsidR="00195512" w:rsidRPr="00AE10A7" w:rsidRDefault="00195512" w:rsidP="001E5DAE">
            <w:pPr>
              <w:spacing w:after="0" w:line="240" w:lineRule="auto"/>
              <w:ind w:left="720"/>
              <w:jc w:val="both"/>
              <w:rPr>
                <w:rFonts w:eastAsia="Calibri"/>
                <w:szCs w:val="24"/>
              </w:rPr>
            </w:pPr>
            <w:r w:rsidRPr="00AE10A7">
              <w:rPr>
                <w:rFonts w:eastAsia="Calibri"/>
                <w:szCs w:val="24"/>
              </w:rPr>
              <w:t>I50 </w:t>
            </w:r>
          </w:p>
        </w:tc>
      </w:tr>
      <w:tr w:rsidR="00195512" w:rsidRPr="00D32A2D" w14:paraId="12E5850B"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1564AA3" w14:textId="77777777" w:rsidR="00195512" w:rsidRPr="00AE10A7" w:rsidRDefault="00195512" w:rsidP="00AE10A7">
            <w:pPr>
              <w:spacing w:after="0" w:line="240" w:lineRule="auto"/>
              <w:rPr>
                <w:rFonts w:eastAsia="Calibri"/>
                <w:szCs w:val="24"/>
              </w:rPr>
            </w:pPr>
            <w:r w:rsidRPr="00AE10A7">
              <w:rPr>
                <w:rFonts w:eastAsia="Calibri"/>
                <w:szCs w:val="24"/>
              </w:rPr>
              <w:t>Isheemiline südametõbi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67A0A30" w14:textId="77777777" w:rsidR="00195512" w:rsidRPr="00AE10A7" w:rsidRDefault="00195512" w:rsidP="001E5DAE">
            <w:pPr>
              <w:spacing w:after="0" w:line="240" w:lineRule="auto"/>
              <w:ind w:left="720"/>
              <w:jc w:val="both"/>
              <w:rPr>
                <w:rFonts w:eastAsia="Calibri"/>
                <w:szCs w:val="24"/>
              </w:rPr>
            </w:pPr>
            <w:r w:rsidRPr="00AE10A7">
              <w:rPr>
                <w:rFonts w:eastAsia="Calibri"/>
                <w:szCs w:val="24"/>
              </w:rPr>
              <w:t>I20–I25 </w:t>
            </w:r>
          </w:p>
        </w:tc>
      </w:tr>
      <w:tr w:rsidR="00195512" w:rsidRPr="00D32A2D" w14:paraId="5E79D91A"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A2DB3EB" w14:textId="77777777" w:rsidR="00195512" w:rsidRPr="00AE10A7" w:rsidRDefault="00195512" w:rsidP="00AE10A7">
            <w:pPr>
              <w:spacing w:after="0" w:line="240" w:lineRule="auto"/>
              <w:rPr>
                <w:rFonts w:eastAsia="Calibri"/>
                <w:szCs w:val="24"/>
              </w:rPr>
            </w:pPr>
            <w:r w:rsidRPr="00AE10A7">
              <w:rPr>
                <w:rFonts w:eastAsia="Calibri"/>
                <w:szCs w:val="24"/>
              </w:rPr>
              <w:lastRenderedPageBreak/>
              <w:t>Insult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65BE556" w14:textId="77777777" w:rsidR="00195512" w:rsidRPr="00AE10A7" w:rsidRDefault="00195512" w:rsidP="001E5DAE">
            <w:pPr>
              <w:spacing w:after="0" w:line="240" w:lineRule="auto"/>
              <w:ind w:left="720"/>
              <w:jc w:val="both"/>
              <w:rPr>
                <w:rFonts w:eastAsia="Calibri"/>
                <w:szCs w:val="24"/>
              </w:rPr>
            </w:pPr>
            <w:r w:rsidRPr="00AE10A7">
              <w:rPr>
                <w:rFonts w:eastAsia="Calibri"/>
                <w:szCs w:val="24"/>
              </w:rPr>
              <w:t>I60–I64, I69, G45 </w:t>
            </w:r>
          </w:p>
        </w:tc>
      </w:tr>
      <w:tr w:rsidR="00195512" w:rsidRPr="00D32A2D" w14:paraId="0C66913D"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38A9184" w14:textId="77777777" w:rsidR="00195512" w:rsidRPr="00AE10A7" w:rsidRDefault="00195512" w:rsidP="00AE10A7">
            <w:pPr>
              <w:spacing w:after="0" w:line="240" w:lineRule="auto"/>
              <w:rPr>
                <w:rFonts w:eastAsia="Calibri"/>
                <w:szCs w:val="24"/>
              </w:rPr>
            </w:pPr>
            <w:r w:rsidRPr="00AE10A7">
              <w:rPr>
                <w:rFonts w:eastAsia="Calibri"/>
                <w:szCs w:val="24"/>
              </w:rPr>
              <w:t>Rütmihäired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5FD2AF9" w14:textId="77777777" w:rsidR="00195512" w:rsidRPr="00AE10A7" w:rsidRDefault="00195512" w:rsidP="001E5DAE">
            <w:pPr>
              <w:spacing w:after="0" w:line="240" w:lineRule="auto"/>
              <w:ind w:left="720"/>
              <w:jc w:val="both"/>
              <w:rPr>
                <w:rFonts w:eastAsia="Calibri"/>
                <w:szCs w:val="24"/>
              </w:rPr>
            </w:pPr>
            <w:r w:rsidRPr="00AE10A7">
              <w:rPr>
                <w:rFonts w:eastAsia="Calibri"/>
                <w:szCs w:val="24"/>
              </w:rPr>
              <w:t>I48 </w:t>
            </w:r>
          </w:p>
        </w:tc>
      </w:tr>
      <w:tr w:rsidR="00195512" w:rsidRPr="00D32A2D" w14:paraId="45632D0C"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5DE9186" w14:textId="77777777" w:rsidR="00195512" w:rsidRPr="00AE10A7" w:rsidRDefault="00195512" w:rsidP="00AE10A7">
            <w:pPr>
              <w:spacing w:after="0" w:line="240" w:lineRule="auto"/>
              <w:rPr>
                <w:rFonts w:eastAsia="Calibri"/>
                <w:szCs w:val="24"/>
              </w:rPr>
            </w:pPr>
            <w:r w:rsidRPr="00AE10A7">
              <w:rPr>
                <w:rFonts w:eastAsia="Calibri"/>
                <w:szCs w:val="24"/>
              </w:rPr>
              <w:t>Diabeet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6819CA4" w14:textId="77777777" w:rsidR="00195512" w:rsidRPr="00AE10A7" w:rsidRDefault="00195512" w:rsidP="001E5DAE">
            <w:pPr>
              <w:spacing w:after="0" w:line="240" w:lineRule="auto"/>
              <w:ind w:left="720"/>
              <w:jc w:val="both"/>
              <w:rPr>
                <w:rFonts w:eastAsia="Calibri"/>
                <w:szCs w:val="24"/>
              </w:rPr>
            </w:pPr>
            <w:r w:rsidRPr="00AE10A7">
              <w:rPr>
                <w:rFonts w:eastAsia="Calibri"/>
                <w:szCs w:val="24"/>
              </w:rPr>
              <w:t>E10–E14 </w:t>
            </w:r>
          </w:p>
        </w:tc>
      </w:tr>
      <w:tr w:rsidR="00195512" w:rsidRPr="00D32A2D" w14:paraId="744367D0"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8C40DAA" w14:textId="77777777" w:rsidR="00195512" w:rsidRPr="00AE10A7" w:rsidRDefault="00195512" w:rsidP="00AE10A7">
            <w:pPr>
              <w:spacing w:after="0" w:line="240" w:lineRule="auto"/>
              <w:rPr>
                <w:rFonts w:eastAsia="Calibri"/>
                <w:szCs w:val="24"/>
              </w:rPr>
            </w:pPr>
            <w:r w:rsidRPr="00AE10A7">
              <w:rPr>
                <w:rFonts w:eastAsia="Calibri"/>
                <w:szCs w:val="24"/>
              </w:rPr>
              <w:t>Kilpnäärme haigused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44CE03D" w14:textId="77777777" w:rsidR="00195512" w:rsidRPr="00AE10A7" w:rsidRDefault="00195512" w:rsidP="001E5DAE">
            <w:pPr>
              <w:spacing w:after="0" w:line="240" w:lineRule="auto"/>
              <w:ind w:left="720"/>
              <w:jc w:val="both"/>
              <w:rPr>
                <w:rFonts w:eastAsia="Calibri"/>
                <w:szCs w:val="24"/>
              </w:rPr>
            </w:pPr>
            <w:r w:rsidRPr="00AE10A7">
              <w:rPr>
                <w:rFonts w:eastAsia="Calibri"/>
                <w:szCs w:val="24"/>
              </w:rPr>
              <w:t>E03, E04, E06 </w:t>
            </w:r>
          </w:p>
        </w:tc>
      </w:tr>
      <w:tr w:rsidR="00195512" w:rsidRPr="00D32A2D" w14:paraId="66FDFC08"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8F286BB" w14:textId="77777777" w:rsidR="00195512" w:rsidRPr="00AE10A7" w:rsidRDefault="00195512" w:rsidP="00AE10A7">
            <w:pPr>
              <w:spacing w:after="0" w:line="240" w:lineRule="auto"/>
              <w:rPr>
                <w:rFonts w:eastAsia="Calibri"/>
                <w:szCs w:val="24"/>
              </w:rPr>
            </w:pPr>
            <w:r w:rsidRPr="00AE10A7">
              <w:rPr>
                <w:rFonts w:eastAsia="Calibri"/>
                <w:szCs w:val="24"/>
              </w:rPr>
              <w:t>Krooniline neeruhaigus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B278AA0" w14:textId="46E33DA3" w:rsidR="00195512" w:rsidRPr="00AE10A7" w:rsidRDefault="00195512" w:rsidP="001E5DAE">
            <w:pPr>
              <w:spacing w:after="0" w:line="240" w:lineRule="auto"/>
              <w:ind w:left="720"/>
              <w:jc w:val="both"/>
              <w:rPr>
                <w:rFonts w:eastAsia="Calibri"/>
                <w:szCs w:val="24"/>
              </w:rPr>
            </w:pPr>
            <w:r w:rsidRPr="00AE10A7">
              <w:rPr>
                <w:rFonts w:eastAsia="Calibri"/>
                <w:szCs w:val="24"/>
              </w:rPr>
              <w:t>N18,</w:t>
            </w:r>
            <w:r w:rsidR="00784358">
              <w:rPr>
                <w:rFonts w:eastAsia="Calibri"/>
                <w:szCs w:val="24"/>
              </w:rPr>
              <w:t xml:space="preserve"> </w:t>
            </w:r>
            <w:r w:rsidRPr="00AE10A7">
              <w:rPr>
                <w:rFonts w:eastAsia="Calibri"/>
                <w:szCs w:val="24"/>
              </w:rPr>
              <w:t>N19 </w:t>
            </w:r>
          </w:p>
        </w:tc>
      </w:tr>
      <w:tr w:rsidR="00195512" w:rsidRPr="00D32A2D" w14:paraId="1B0661DA"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8BAABED" w14:textId="77777777" w:rsidR="00195512" w:rsidRPr="00AE10A7" w:rsidRDefault="00195512" w:rsidP="00AE10A7">
            <w:pPr>
              <w:spacing w:after="0" w:line="240" w:lineRule="auto"/>
              <w:rPr>
                <w:rFonts w:eastAsia="Calibri"/>
                <w:szCs w:val="24"/>
              </w:rPr>
            </w:pPr>
            <w:r w:rsidRPr="00AE10A7">
              <w:rPr>
                <w:rFonts w:eastAsia="Calibri"/>
                <w:szCs w:val="24"/>
              </w:rPr>
              <w:t>Astma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C6287F3" w14:textId="77777777" w:rsidR="00195512" w:rsidRPr="00AE10A7" w:rsidRDefault="00195512" w:rsidP="001E5DAE">
            <w:pPr>
              <w:spacing w:after="0" w:line="240" w:lineRule="auto"/>
              <w:ind w:left="720"/>
              <w:jc w:val="both"/>
              <w:rPr>
                <w:rFonts w:eastAsia="Calibri"/>
                <w:szCs w:val="24"/>
              </w:rPr>
            </w:pPr>
            <w:r w:rsidRPr="00AE10A7">
              <w:rPr>
                <w:rFonts w:eastAsia="Calibri"/>
                <w:szCs w:val="24"/>
              </w:rPr>
              <w:t>J45–J46 </w:t>
            </w:r>
          </w:p>
        </w:tc>
      </w:tr>
      <w:tr w:rsidR="00195512" w:rsidRPr="00D32A2D" w14:paraId="0FA2F3C6"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EE4A350" w14:textId="77777777" w:rsidR="00195512" w:rsidRPr="00AE10A7" w:rsidRDefault="00195512" w:rsidP="00AE10A7">
            <w:pPr>
              <w:spacing w:after="0" w:line="240" w:lineRule="auto"/>
              <w:rPr>
                <w:rFonts w:eastAsia="Calibri"/>
                <w:szCs w:val="24"/>
              </w:rPr>
            </w:pPr>
            <w:r w:rsidRPr="00AE10A7">
              <w:rPr>
                <w:rFonts w:eastAsia="Calibri"/>
                <w:szCs w:val="24"/>
              </w:rPr>
              <w:t>KOK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45A19F8" w14:textId="77777777" w:rsidR="00195512" w:rsidRPr="00AE10A7" w:rsidRDefault="00195512" w:rsidP="001E5DAE">
            <w:pPr>
              <w:spacing w:after="0" w:line="240" w:lineRule="auto"/>
              <w:ind w:left="720"/>
              <w:jc w:val="both"/>
              <w:rPr>
                <w:rFonts w:eastAsia="Calibri"/>
                <w:szCs w:val="24"/>
              </w:rPr>
            </w:pPr>
            <w:r w:rsidRPr="00AE10A7">
              <w:rPr>
                <w:rFonts w:eastAsia="Calibri"/>
                <w:szCs w:val="24"/>
              </w:rPr>
              <w:t>J40–J44, J47  </w:t>
            </w:r>
          </w:p>
        </w:tc>
      </w:tr>
      <w:tr w:rsidR="00195512" w:rsidRPr="00D32A2D" w14:paraId="6CF90BC5"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96E9AA3" w14:textId="77777777" w:rsidR="00195512" w:rsidRPr="00AE10A7" w:rsidRDefault="00195512" w:rsidP="00AE10A7">
            <w:pPr>
              <w:spacing w:after="0" w:line="240" w:lineRule="auto"/>
              <w:rPr>
                <w:rFonts w:eastAsia="Calibri"/>
                <w:szCs w:val="24"/>
              </w:rPr>
            </w:pPr>
            <w:r w:rsidRPr="00AE10A7">
              <w:rPr>
                <w:rFonts w:eastAsia="Calibri"/>
                <w:szCs w:val="24"/>
              </w:rPr>
              <w:t>Depressioon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32F69C2" w14:textId="77777777" w:rsidR="00195512" w:rsidRPr="00AE10A7" w:rsidRDefault="00195512" w:rsidP="001E5DAE">
            <w:pPr>
              <w:spacing w:after="0" w:line="240" w:lineRule="auto"/>
              <w:ind w:left="720"/>
              <w:jc w:val="both"/>
              <w:rPr>
                <w:rFonts w:eastAsia="Calibri"/>
                <w:szCs w:val="24"/>
              </w:rPr>
            </w:pPr>
            <w:r w:rsidRPr="00AE10A7">
              <w:rPr>
                <w:rFonts w:eastAsia="Calibri"/>
                <w:szCs w:val="24"/>
              </w:rPr>
              <w:t>F32–F34 </w:t>
            </w:r>
          </w:p>
        </w:tc>
      </w:tr>
      <w:tr w:rsidR="00195512" w:rsidRPr="00D32A2D" w14:paraId="2A45AB2E"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9456BAB" w14:textId="77777777" w:rsidR="00195512" w:rsidRPr="00AE10A7" w:rsidRDefault="00195512" w:rsidP="00AE10A7">
            <w:pPr>
              <w:spacing w:after="0" w:line="240" w:lineRule="auto"/>
              <w:rPr>
                <w:rFonts w:eastAsia="Calibri"/>
                <w:szCs w:val="24"/>
              </w:rPr>
            </w:pPr>
            <w:r w:rsidRPr="00AE10A7">
              <w:rPr>
                <w:rFonts w:eastAsia="Calibri"/>
                <w:szCs w:val="24"/>
              </w:rPr>
              <w:t>Skisofreenia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740568F" w14:textId="77777777" w:rsidR="00195512" w:rsidRPr="00AE10A7" w:rsidRDefault="00195512" w:rsidP="001E5DAE">
            <w:pPr>
              <w:spacing w:after="0" w:line="240" w:lineRule="auto"/>
              <w:ind w:left="720"/>
              <w:jc w:val="both"/>
              <w:rPr>
                <w:rFonts w:eastAsia="Calibri"/>
                <w:szCs w:val="24"/>
              </w:rPr>
            </w:pPr>
            <w:r w:rsidRPr="00AE10A7">
              <w:rPr>
                <w:rFonts w:eastAsia="Calibri"/>
                <w:szCs w:val="24"/>
              </w:rPr>
              <w:t>F20, F25 </w:t>
            </w:r>
          </w:p>
        </w:tc>
      </w:tr>
      <w:tr w:rsidR="00195512" w:rsidRPr="00D32A2D" w14:paraId="254CFDBA"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DC4C785" w14:textId="77777777" w:rsidR="00195512" w:rsidRPr="00AE10A7" w:rsidRDefault="00195512" w:rsidP="00AE10A7">
            <w:pPr>
              <w:spacing w:after="0" w:line="240" w:lineRule="auto"/>
              <w:rPr>
                <w:rFonts w:eastAsia="Calibri"/>
                <w:szCs w:val="24"/>
              </w:rPr>
            </w:pPr>
            <w:r w:rsidRPr="00AE10A7">
              <w:rPr>
                <w:rFonts w:eastAsia="Calibri"/>
                <w:szCs w:val="24"/>
              </w:rPr>
              <w:t>Meeleoluhäired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12721EB" w14:textId="77777777" w:rsidR="00195512" w:rsidRPr="00AE10A7" w:rsidRDefault="00195512" w:rsidP="001E5DAE">
            <w:pPr>
              <w:spacing w:after="0" w:line="240" w:lineRule="auto"/>
              <w:ind w:left="720"/>
              <w:jc w:val="both"/>
              <w:rPr>
                <w:rFonts w:eastAsia="Calibri"/>
                <w:szCs w:val="24"/>
              </w:rPr>
            </w:pPr>
            <w:r w:rsidRPr="00AE10A7">
              <w:rPr>
                <w:rFonts w:eastAsia="Calibri"/>
                <w:szCs w:val="24"/>
              </w:rPr>
              <w:t>F30–F39 </w:t>
            </w:r>
          </w:p>
        </w:tc>
      </w:tr>
      <w:tr w:rsidR="00195512" w:rsidRPr="00D32A2D" w14:paraId="2CB5C60C"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5AE9BBE" w14:textId="77777777" w:rsidR="00195512" w:rsidRPr="00AE10A7" w:rsidRDefault="00195512" w:rsidP="00AE10A7">
            <w:pPr>
              <w:spacing w:after="0" w:line="240" w:lineRule="auto"/>
              <w:rPr>
                <w:rFonts w:eastAsia="Calibri"/>
                <w:szCs w:val="24"/>
              </w:rPr>
            </w:pPr>
            <w:r w:rsidRPr="00AE10A7">
              <w:rPr>
                <w:rFonts w:eastAsia="Calibri"/>
                <w:szCs w:val="24"/>
              </w:rPr>
              <w:t>Ärevushäired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6999353" w14:textId="77777777" w:rsidR="00195512" w:rsidRPr="00AE10A7" w:rsidRDefault="00195512" w:rsidP="001E5DAE">
            <w:pPr>
              <w:spacing w:after="0" w:line="240" w:lineRule="auto"/>
              <w:ind w:left="720"/>
              <w:jc w:val="both"/>
              <w:rPr>
                <w:rFonts w:eastAsia="Calibri"/>
                <w:szCs w:val="24"/>
              </w:rPr>
            </w:pPr>
            <w:r w:rsidRPr="00AE10A7">
              <w:rPr>
                <w:rFonts w:eastAsia="Calibri"/>
                <w:szCs w:val="24"/>
              </w:rPr>
              <w:t>F40–F41 </w:t>
            </w:r>
          </w:p>
        </w:tc>
      </w:tr>
      <w:tr w:rsidR="00195512" w:rsidRPr="00D32A2D" w14:paraId="101E298B"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47B8D9B" w14:textId="77777777" w:rsidR="00195512" w:rsidRPr="00FC718D" w:rsidRDefault="00195512" w:rsidP="00FC718D">
            <w:pPr>
              <w:spacing w:after="0" w:line="240" w:lineRule="auto"/>
              <w:rPr>
                <w:rFonts w:eastAsia="Calibri"/>
                <w:szCs w:val="24"/>
              </w:rPr>
            </w:pPr>
            <w:r w:rsidRPr="00FC718D">
              <w:rPr>
                <w:rFonts w:eastAsia="Calibri"/>
                <w:szCs w:val="24"/>
              </w:rPr>
              <w:t>Ravimisõltuvus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2F44595" w14:textId="77777777" w:rsidR="00195512" w:rsidRPr="00FC718D" w:rsidRDefault="00195512">
            <w:pPr>
              <w:spacing w:after="0" w:line="240" w:lineRule="auto"/>
              <w:ind w:left="720"/>
              <w:rPr>
                <w:rFonts w:eastAsia="Calibri"/>
                <w:szCs w:val="24"/>
              </w:rPr>
            </w:pPr>
            <w:r w:rsidRPr="00FC718D">
              <w:rPr>
                <w:rFonts w:eastAsia="Calibri"/>
                <w:szCs w:val="24"/>
              </w:rPr>
              <w:t>F11, F13 </w:t>
            </w:r>
          </w:p>
        </w:tc>
      </w:tr>
      <w:tr w:rsidR="00195512" w:rsidRPr="00D32A2D" w14:paraId="1F1C9C88"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02C66C0" w14:textId="77777777" w:rsidR="00195512" w:rsidRPr="00FC718D" w:rsidRDefault="00195512" w:rsidP="00FC718D">
            <w:pPr>
              <w:spacing w:after="0" w:line="240" w:lineRule="auto"/>
              <w:rPr>
                <w:rFonts w:eastAsia="Calibri"/>
                <w:szCs w:val="24"/>
              </w:rPr>
            </w:pPr>
            <w:r w:rsidRPr="00FC718D">
              <w:rPr>
                <w:rFonts w:eastAsia="Calibri"/>
                <w:szCs w:val="24"/>
              </w:rPr>
              <w:t>Dementsus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26EC8DC" w14:textId="77777777" w:rsidR="00195512" w:rsidRPr="00FC718D" w:rsidRDefault="00195512">
            <w:pPr>
              <w:spacing w:after="0" w:line="240" w:lineRule="auto"/>
              <w:ind w:left="720"/>
              <w:rPr>
                <w:rFonts w:eastAsia="Calibri"/>
                <w:szCs w:val="24"/>
              </w:rPr>
            </w:pPr>
            <w:r w:rsidRPr="00FC718D">
              <w:rPr>
                <w:rFonts w:eastAsia="Calibri"/>
                <w:szCs w:val="24"/>
                <w:lang w:val="pt-BR"/>
              </w:rPr>
              <w:t>F00–F03, G30, G31, R54</w:t>
            </w:r>
            <w:r w:rsidRPr="00FC718D">
              <w:rPr>
                <w:rFonts w:eastAsia="Calibri"/>
                <w:szCs w:val="24"/>
              </w:rPr>
              <w:t> </w:t>
            </w:r>
          </w:p>
        </w:tc>
      </w:tr>
      <w:tr w:rsidR="00195512" w:rsidRPr="00D32A2D" w14:paraId="192CBC63"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7ADC395" w14:textId="77777777" w:rsidR="00195512" w:rsidRPr="00FC718D" w:rsidRDefault="00195512" w:rsidP="00FC718D">
            <w:pPr>
              <w:spacing w:after="0" w:line="240" w:lineRule="auto"/>
              <w:rPr>
                <w:rFonts w:eastAsia="Calibri"/>
                <w:szCs w:val="24"/>
              </w:rPr>
            </w:pPr>
            <w:r w:rsidRPr="00FC718D">
              <w:rPr>
                <w:rFonts w:eastAsia="Calibri"/>
                <w:szCs w:val="24"/>
              </w:rPr>
              <w:t>Artroos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034EB1E" w14:textId="77777777" w:rsidR="00195512" w:rsidRPr="00FC718D" w:rsidRDefault="00195512">
            <w:pPr>
              <w:spacing w:after="0" w:line="240" w:lineRule="auto"/>
              <w:ind w:left="720"/>
              <w:rPr>
                <w:rFonts w:eastAsia="Calibri"/>
                <w:szCs w:val="24"/>
              </w:rPr>
            </w:pPr>
            <w:r w:rsidRPr="00FC718D">
              <w:rPr>
                <w:rFonts w:eastAsia="Calibri"/>
                <w:szCs w:val="24"/>
              </w:rPr>
              <w:t>M15–M19 </w:t>
            </w:r>
          </w:p>
        </w:tc>
      </w:tr>
      <w:tr w:rsidR="00195512" w:rsidRPr="00D32A2D" w14:paraId="5CDAE6DD"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443D750" w14:textId="77777777" w:rsidR="00195512" w:rsidRPr="00FC718D" w:rsidRDefault="00195512" w:rsidP="00FC718D">
            <w:pPr>
              <w:spacing w:after="0" w:line="240" w:lineRule="auto"/>
              <w:rPr>
                <w:rFonts w:eastAsia="Calibri"/>
                <w:szCs w:val="24"/>
              </w:rPr>
            </w:pPr>
            <w:r w:rsidRPr="00FC718D">
              <w:rPr>
                <w:rFonts w:eastAsia="Calibri"/>
                <w:szCs w:val="24"/>
              </w:rPr>
              <w:t>Osteoporoos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9A7FE7E" w14:textId="77777777" w:rsidR="00195512" w:rsidRPr="00FC718D" w:rsidRDefault="00195512">
            <w:pPr>
              <w:spacing w:after="0" w:line="240" w:lineRule="auto"/>
              <w:ind w:left="720"/>
              <w:rPr>
                <w:rFonts w:eastAsia="Calibri"/>
                <w:szCs w:val="24"/>
              </w:rPr>
            </w:pPr>
            <w:r w:rsidRPr="00FC718D">
              <w:rPr>
                <w:rFonts w:eastAsia="Calibri"/>
                <w:szCs w:val="24"/>
              </w:rPr>
              <w:t>M80–M82 </w:t>
            </w:r>
          </w:p>
        </w:tc>
      </w:tr>
      <w:tr w:rsidR="00195512" w:rsidRPr="00D32A2D" w14:paraId="56B21347"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4D783E0" w14:textId="77777777" w:rsidR="00195512" w:rsidRPr="00FC718D" w:rsidRDefault="00195512" w:rsidP="00FC718D">
            <w:pPr>
              <w:spacing w:after="0" w:line="240" w:lineRule="auto"/>
              <w:rPr>
                <w:rFonts w:eastAsia="Calibri"/>
                <w:szCs w:val="24"/>
              </w:rPr>
            </w:pPr>
            <w:r w:rsidRPr="00FC718D">
              <w:rPr>
                <w:rFonts w:eastAsia="Calibri"/>
                <w:szCs w:val="24"/>
              </w:rPr>
              <w:t>Artriit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AEB0F2D" w14:textId="77777777" w:rsidR="00195512" w:rsidRPr="00FC718D" w:rsidRDefault="00195512">
            <w:pPr>
              <w:spacing w:after="0" w:line="240" w:lineRule="auto"/>
              <w:ind w:left="720"/>
              <w:rPr>
                <w:rFonts w:eastAsia="Calibri"/>
                <w:szCs w:val="24"/>
              </w:rPr>
            </w:pPr>
            <w:r w:rsidRPr="00FC718D">
              <w:rPr>
                <w:rFonts w:eastAsia="Calibri"/>
                <w:szCs w:val="24"/>
              </w:rPr>
              <w:t>M05.0–M05.9, M06.0, M06.4–M06.9, M13 </w:t>
            </w:r>
          </w:p>
        </w:tc>
      </w:tr>
      <w:tr w:rsidR="00195512" w:rsidRPr="00D32A2D" w14:paraId="6B6D3353"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89A7439" w14:textId="77777777" w:rsidR="00195512" w:rsidRPr="00FC718D" w:rsidRDefault="00195512" w:rsidP="00FC718D">
            <w:pPr>
              <w:spacing w:after="0" w:line="240" w:lineRule="auto"/>
              <w:rPr>
                <w:rFonts w:eastAsia="Calibri"/>
                <w:szCs w:val="24"/>
              </w:rPr>
            </w:pPr>
            <w:r w:rsidRPr="00FC718D">
              <w:rPr>
                <w:rFonts w:eastAsia="Calibri"/>
                <w:szCs w:val="24"/>
              </w:rPr>
              <w:t>Tsirroos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86951A0" w14:textId="77777777" w:rsidR="00195512" w:rsidRPr="00FC718D" w:rsidRDefault="00195512">
            <w:pPr>
              <w:spacing w:after="0" w:line="240" w:lineRule="auto"/>
              <w:ind w:left="720"/>
              <w:rPr>
                <w:rFonts w:eastAsia="Calibri"/>
                <w:szCs w:val="24"/>
              </w:rPr>
            </w:pPr>
            <w:r w:rsidRPr="00FC718D">
              <w:rPr>
                <w:rFonts w:eastAsia="Calibri"/>
                <w:szCs w:val="24"/>
              </w:rPr>
              <w:t>K70.3, K74.3–K74.9 </w:t>
            </w:r>
          </w:p>
        </w:tc>
      </w:tr>
      <w:tr w:rsidR="00195512" w:rsidRPr="00D32A2D" w14:paraId="11647386"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756ECF0" w14:textId="77777777" w:rsidR="00195512" w:rsidRPr="00FC718D" w:rsidRDefault="00195512" w:rsidP="00FC718D">
            <w:pPr>
              <w:spacing w:after="0" w:line="240" w:lineRule="auto"/>
              <w:rPr>
                <w:rFonts w:eastAsia="Calibri"/>
                <w:szCs w:val="24"/>
              </w:rPr>
            </w:pPr>
            <w:r w:rsidRPr="00FC718D">
              <w:rPr>
                <w:rFonts w:eastAsia="Calibri"/>
                <w:szCs w:val="24"/>
              </w:rPr>
              <w:t>Hüperlipideemia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CCCA1B5" w14:textId="77777777" w:rsidR="00195512" w:rsidRPr="00FC718D" w:rsidRDefault="00195512">
            <w:pPr>
              <w:spacing w:after="0" w:line="240" w:lineRule="auto"/>
              <w:ind w:left="720"/>
              <w:rPr>
                <w:rFonts w:eastAsia="Calibri"/>
                <w:szCs w:val="24"/>
              </w:rPr>
            </w:pPr>
            <w:r w:rsidRPr="00FC718D">
              <w:rPr>
                <w:rFonts w:eastAsia="Calibri"/>
                <w:szCs w:val="24"/>
              </w:rPr>
              <w:t>E78, I70 </w:t>
            </w:r>
          </w:p>
        </w:tc>
      </w:tr>
      <w:tr w:rsidR="00195512" w:rsidRPr="00D32A2D" w14:paraId="01D97442" w14:textId="77777777">
        <w:trPr>
          <w:trHeight w:val="300"/>
        </w:trPr>
        <w:tc>
          <w:tcPr>
            <w:tcW w:w="3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5B09C31" w14:textId="77777777" w:rsidR="00195512" w:rsidRPr="00FC718D" w:rsidRDefault="00195512" w:rsidP="00FC718D">
            <w:pPr>
              <w:spacing w:after="0" w:line="240" w:lineRule="auto"/>
              <w:rPr>
                <w:rFonts w:eastAsia="Calibri"/>
                <w:szCs w:val="24"/>
              </w:rPr>
            </w:pPr>
            <w:r w:rsidRPr="00FC718D">
              <w:rPr>
                <w:rFonts w:eastAsia="Calibri"/>
                <w:szCs w:val="24"/>
              </w:rPr>
              <w:t>Kasvajad </w:t>
            </w:r>
          </w:p>
        </w:tc>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364ECB3" w14:textId="77777777" w:rsidR="00195512" w:rsidRPr="00FC718D" w:rsidRDefault="00195512">
            <w:pPr>
              <w:spacing w:after="0" w:line="240" w:lineRule="auto"/>
              <w:ind w:left="720"/>
              <w:rPr>
                <w:rFonts w:eastAsia="Calibri"/>
                <w:szCs w:val="24"/>
              </w:rPr>
            </w:pPr>
            <w:r w:rsidRPr="00FC718D">
              <w:rPr>
                <w:rFonts w:eastAsia="Calibri"/>
                <w:szCs w:val="24"/>
              </w:rPr>
              <w:t>C </w:t>
            </w:r>
          </w:p>
        </w:tc>
      </w:tr>
    </w:tbl>
    <w:p w14:paraId="0D7F3DA5" w14:textId="49366132" w:rsidR="0CAD9CAD" w:rsidRDefault="0CAD9CAD" w:rsidP="005B28AE">
      <w:pPr>
        <w:spacing w:after="0" w:line="240" w:lineRule="auto"/>
        <w:rPr>
          <w:rFonts w:ascii="Calibri" w:eastAsia="Calibri" w:hAnsi="Calibri" w:cs="Calibri"/>
          <w:color w:val="D13438"/>
          <w:sz w:val="22"/>
        </w:rPr>
      </w:pPr>
    </w:p>
    <w:p w14:paraId="1688EDF6" w14:textId="16386957" w:rsidR="005B1E00" w:rsidRPr="00BD681B" w:rsidRDefault="006A1FC3" w:rsidP="005B1E00">
      <w:pPr>
        <w:spacing w:after="0" w:line="240" w:lineRule="auto"/>
        <w:jc w:val="both"/>
        <w:textAlignment w:val="baseline"/>
        <w:rPr>
          <w:rFonts w:ascii="Segoe UI" w:hAnsi="Segoe UI" w:cs="Segoe UI"/>
          <w:sz w:val="18"/>
          <w:szCs w:val="18"/>
          <w:lang w:val="en-US"/>
        </w:rPr>
      </w:pPr>
      <w:r w:rsidRPr="2072763D">
        <w:rPr>
          <w:rFonts w:eastAsia="Arial"/>
          <w:color w:val="202020"/>
        </w:rPr>
        <w:t xml:space="preserve">(5) </w:t>
      </w:r>
      <w:r w:rsidR="009D7078" w:rsidRPr="2072763D">
        <w:rPr>
          <w:rFonts w:eastAsia="Arial"/>
          <w:color w:val="202020"/>
        </w:rPr>
        <w:t>Koodidega 3301–3314 tähistatud pearaha ja nimistuülest teenusekorralduse komponenti makstakse perearstile koefitsiendiga 1,1, kui tervishoiuteenuse osutaja, kelle kaudu perearst tegutseb, paigutub kvaliteedihindamise tulemusel A- või B-tasemele. Tervisekassa kinnitab nõuetele vastavate tervishoiuteenuse osutajate nimekirja üks kord aastas 1. novembriks</w:t>
      </w:r>
      <w:r w:rsidR="00027B7F">
        <w:rPr>
          <w:rFonts w:eastAsia="Arial"/>
          <w:color w:val="202020"/>
        </w:rPr>
        <w:t>.</w:t>
      </w:r>
    </w:p>
    <w:p w14:paraId="1769171C" w14:textId="1E1DA619" w:rsidR="00CE1D6A" w:rsidRDefault="00CE1D6A" w:rsidP="24CF3808">
      <w:pPr>
        <w:spacing w:after="0" w:line="240" w:lineRule="auto"/>
        <w:jc w:val="both"/>
      </w:pPr>
    </w:p>
    <w:p w14:paraId="151F59E7" w14:textId="558BA2F1" w:rsidR="00976487" w:rsidRPr="00687DE8" w:rsidRDefault="00976487" w:rsidP="00976487">
      <w:pPr>
        <w:spacing w:after="0" w:line="240" w:lineRule="auto"/>
        <w:jc w:val="both"/>
        <w:divId w:val="1316184749"/>
        <w:rPr>
          <w:lang w:val="sv-SE"/>
        </w:rPr>
      </w:pPr>
      <w:r>
        <w:t>(</w:t>
      </w:r>
      <w:r w:rsidR="02075EF1" w:rsidRPr="24CF3808">
        <w:rPr>
          <w:color w:val="000000" w:themeColor="text1"/>
        </w:rPr>
        <w:t>6</w:t>
      </w:r>
      <w:r w:rsidRPr="24CF3808">
        <w:rPr>
          <w:color w:val="000000" w:themeColor="text1"/>
        </w:rPr>
        <w:t xml:space="preserve">) </w:t>
      </w:r>
      <w:r w:rsidR="00F83B01" w:rsidRPr="000A577B">
        <w:rPr>
          <w:szCs w:val="24"/>
        </w:rPr>
        <w:t>Perearstile, kelle nimistus on vähem kui 1200 kindlustatud isikut, tasutakse pearaha 1200 kindlustatud isiku eest</w:t>
      </w:r>
      <w:r w:rsidR="001962C9">
        <w:rPr>
          <w:szCs w:val="24"/>
        </w:rPr>
        <w:t xml:space="preserve"> </w:t>
      </w:r>
      <w:r w:rsidR="00F83B01" w:rsidRPr="000A577B">
        <w:rPr>
          <w:szCs w:val="24"/>
        </w:rPr>
        <w:t>Tervisekassa</w:t>
      </w:r>
      <w:r w:rsidR="001962C9">
        <w:rPr>
          <w:szCs w:val="24"/>
        </w:rPr>
        <w:t xml:space="preserve"> </w:t>
      </w:r>
      <w:r w:rsidR="00F83B01" w:rsidRPr="000A577B">
        <w:rPr>
          <w:szCs w:val="24"/>
        </w:rPr>
        <w:t>otsuse</w:t>
      </w:r>
      <w:r w:rsidR="001962C9">
        <w:rPr>
          <w:szCs w:val="24"/>
        </w:rPr>
        <w:t xml:space="preserve"> </w:t>
      </w:r>
      <w:r w:rsidR="00F83B01" w:rsidRPr="000A577B">
        <w:rPr>
          <w:szCs w:val="24"/>
        </w:rPr>
        <w:t>alusel. Nimistus olevate kindlustatud isikute arvu ületava osa eest tasutakse koodidega</w:t>
      </w:r>
      <w:r w:rsidR="001962C9">
        <w:rPr>
          <w:szCs w:val="24"/>
        </w:rPr>
        <w:t xml:space="preserve"> </w:t>
      </w:r>
      <w:r w:rsidR="00F83B01" w:rsidRPr="000A577B">
        <w:rPr>
          <w:szCs w:val="24"/>
        </w:rPr>
        <w:t>3303</w:t>
      </w:r>
      <w:r w:rsidR="001962C9">
        <w:rPr>
          <w:szCs w:val="24"/>
        </w:rPr>
        <w:t xml:space="preserve"> </w:t>
      </w:r>
      <w:r w:rsidR="00F83B01" w:rsidRPr="000A577B">
        <w:rPr>
          <w:szCs w:val="24"/>
        </w:rPr>
        <w:t>ja</w:t>
      </w:r>
      <w:r w:rsidR="001962C9">
        <w:rPr>
          <w:szCs w:val="24"/>
        </w:rPr>
        <w:t xml:space="preserve"> </w:t>
      </w:r>
      <w:r w:rsidR="00F83B01" w:rsidRPr="000A577B">
        <w:rPr>
          <w:szCs w:val="24"/>
        </w:rPr>
        <w:t>3310</w:t>
      </w:r>
      <w:r w:rsidR="001962C9">
        <w:rPr>
          <w:szCs w:val="24"/>
        </w:rPr>
        <w:t xml:space="preserve"> </w:t>
      </w:r>
      <w:r w:rsidR="00F83B01" w:rsidRPr="006164E3">
        <w:rPr>
          <w:color w:val="000000"/>
          <w:szCs w:val="24"/>
        </w:rPr>
        <w:t>tähistatud tervishoiuteenuste piirhinna järgi.</w:t>
      </w:r>
      <w:r w:rsidR="001962C9">
        <w:rPr>
          <w:color w:val="000000"/>
          <w:szCs w:val="24"/>
        </w:rPr>
        <w:t xml:space="preserve"> </w:t>
      </w:r>
      <w:r w:rsidR="00F83B01" w:rsidRPr="006164E3">
        <w:rPr>
          <w:szCs w:val="24"/>
        </w:rPr>
        <w:t>Tervisekassa</w:t>
      </w:r>
      <w:r w:rsidR="001962C9">
        <w:rPr>
          <w:szCs w:val="24"/>
        </w:rPr>
        <w:t xml:space="preserve"> </w:t>
      </w:r>
      <w:r w:rsidR="00F83B01" w:rsidRPr="006164E3">
        <w:rPr>
          <w:szCs w:val="24"/>
        </w:rPr>
        <w:t>teeb otsuse</w:t>
      </w:r>
      <w:r w:rsidR="00B77865">
        <w:rPr>
          <w:szCs w:val="24"/>
        </w:rPr>
        <w:t xml:space="preserve"> </w:t>
      </w:r>
      <w:r w:rsidR="00F83B01" w:rsidRPr="006164E3">
        <w:rPr>
          <w:szCs w:val="24"/>
        </w:rPr>
        <w:t>üks kord aastas 1. novembriks järgmise kalendriaasta kohta.</w:t>
      </w:r>
    </w:p>
    <w:p w14:paraId="6EC8B54D" w14:textId="77777777" w:rsidR="00976487" w:rsidRPr="00687DE8" w:rsidRDefault="00976487" w:rsidP="00976487">
      <w:pPr>
        <w:spacing w:after="0" w:line="240" w:lineRule="auto"/>
        <w:jc w:val="both"/>
        <w:divId w:val="1316184749"/>
        <w:rPr>
          <w:szCs w:val="24"/>
        </w:rPr>
      </w:pPr>
    </w:p>
    <w:p w14:paraId="4DE81031" w14:textId="7D4B9076" w:rsidR="00F83B01" w:rsidRPr="00BD681B" w:rsidRDefault="00976487" w:rsidP="00F83B01">
      <w:pPr>
        <w:spacing w:after="0" w:line="240" w:lineRule="auto"/>
        <w:jc w:val="both"/>
        <w:textAlignment w:val="baseline"/>
        <w:divId w:val="1316184749"/>
        <w:rPr>
          <w:rFonts w:ascii="Segoe UI" w:hAnsi="Segoe UI" w:cs="Segoe UI"/>
          <w:sz w:val="18"/>
          <w:szCs w:val="18"/>
          <w:lang w:val="en-US"/>
        </w:rPr>
      </w:pPr>
      <w:r>
        <w:t>(</w:t>
      </w:r>
      <w:r w:rsidR="393C0358">
        <w:t>7</w:t>
      </w:r>
      <w:r>
        <w:t xml:space="preserve">) </w:t>
      </w:r>
      <w:bookmarkStart w:id="1" w:name="_Hlk215673638"/>
      <w:r w:rsidR="000A5928" w:rsidRPr="000A577B">
        <w:rPr>
          <w:szCs w:val="24"/>
        </w:rPr>
        <w:t>Perearstile, kelle nimistu suurus on üle 1200 kindlustatud isiku</w:t>
      </w:r>
      <w:r w:rsidR="001962C9">
        <w:rPr>
          <w:szCs w:val="24"/>
        </w:rPr>
        <w:t xml:space="preserve"> </w:t>
      </w:r>
      <w:r w:rsidR="000A5928" w:rsidRPr="000A577B">
        <w:rPr>
          <w:szCs w:val="24"/>
        </w:rPr>
        <w:t>ning kes osutab tervishoiuteenust tervishoiukorralduse infosüsteemi kohaselt ühe</w:t>
      </w:r>
      <w:r w:rsidR="00294AC2">
        <w:rPr>
          <w:szCs w:val="24"/>
        </w:rPr>
        <w:t xml:space="preserve"> </w:t>
      </w:r>
      <w:r w:rsidR="000A5928" w:rsidRPr="000A577B">
        <w:rPr>
          <w:szCs w:val="24"/>
        </w:rPr>
        <w:t>pereõega, makstakse pearaha koefitsiendiga. Koefitsienti 0,58 rakendatakse pearaha</w:t>
      </w:r>
      <w:r w:rsidR="00294AC2">
        <w:rPr>
          <w:szCs w:val="24"/>
        </w:rPr>
        <w:t xml:space="preserve"> </w:t>
      </w:r>
      <w:r w:rsidR="000A5928" w:rsidRPr="000A577B">
        <w:rPr>
          <w:szCs w:val="24"/>
        </w:rPr>
        <w:t>ja nimistuülese teenus</w:t>
      </w:r>
      <w:r w:rsidR="002A7C19">
        <w:rPr>
          <w:szCs w:val="24"/>
        </w:rPr>
        <w:t>e</w:t>
      </w:r>
      <w:r w:rsidR="000A5928" w:rsidRPr="000A577B">
        <w:rPr>
          <w:szCs w:val="24"/>
        </w:rPr>
        <w:t>korralduse komponendi</w:t>
      </w:r>
      <w:r w:rsidR="001962C9">
        <w:rPr>
          <w:szCs w:val="24"/>
        </w:rPr>
        <w:t xml:space="preserve"> </w:t>
      </w:r>
      <w:r w:rsidR="000A5928" w:rsidRPr="000A577B">
        <w:rPr>
          <w:szCs w:val="24"/>
        </w:rPr>
        <w:t>summale, mis ületab 1200 kindlustatud isikuga nimistule makstavat aritmeetilist keskmist pearaha</w:t>
      </w:r>
      <w:r w:rsidR="001962C9">
        <w:rPr>
          <w:szCs w:val="24"/>
        </w:rPr>
        <w:t xml:space="preserve"> </w:t>
      </w:r>
      <w:r w:rsidR="000A5928" w:rsidRPr="000A577B">
        <w:rPr>
          <w:szCs w:val="24"/>
        </w:rPr>
        <w:t>ja nimistuülese teenus</w:t>
      </w:r>
      <w:r w:rsidR="003A1CEE">
        <w:rPr>
          <w:szCs w:val="24"/>
        </w:rPr>
        <w:t>e</w:t>
      </w:r>
      <w:r w:rsidR="000A5928" w:rsidRPr="000A577B">
        <w:rPr>
          <w:szCs w:val="24"/>
        </w:rPr>
        <w:t>korralduse komponendi</w:t>
      </w:r>
      <w:r w:rsidR="001962C9">
        <w:rPr>
          <w:szCs w:val="24"/>
        </w:rPr>
        <w:t xml:space="preserve"> </w:t>
      </w:r>
      <w:r w:rsidR="000A5928" w:rsidRPr="000A577B">
        <w:rPr>
          <w:szCs w:val="24"/>
        </w:rPr>
        <w:t>summat. Koefitsienti rakendatakse juhul, kui nimistu juures ei ole teist pereõde olnud vähemalt kaks järjestikust kalendrikuud enne andmete hindamise kuupäeva. Andmete hindamise kuupäevaks loetakse iga kuu esimene kuupäev.</w:t>
      </w:r>
      <w:bookmarkEnd w:id="1"/>
    </w:p>
    <w:p w14:paraId="4B4F137E" w14:textId="5AC1FD25" w:rsidR="00417A8A" w:rsidRPr="00687DE8" w:rsidRDefault="00417A8A" w:rsidP="00976487">
      <w:pPr>
        <w:spacing w:after="0" w:line="240" w:lineRule="auto"/>
        <w:jc w:val="both"/>
        <w:divId w:val="1316184749"/>
        <w:rPr>
          <w:szCs w:val="24"/>
        </w:rPr>
      </w:pPr>
    </w:p>
    <w:p w14:paraId="33AB9BCC" w14:textId="6135EAB4" w:rsidR="00976487" w:rsidRPr="00687DE8" w:rsidRDefault="00417A8A" w:rsidP="00D22CAA">
      <w:pPr>
        <w:spacing w:after="0" w:line="240" w:lineRule="auto"/>
        <w:jc w:val="both"/>
        <w:divId w:val="1316184749"/>
        <w:rPr>
          <w:color w:val="202020"/>
          <w:shd w:val="clear" w:color="auto" w:fill="FFFFFF"/>
        </w:rPr>
      </w:pPr>
      <w:r w:rsidRPr="0820B6CA">
        <w:t>(</w:t>
      </w:r>
      <w:r w:rsidR="00C079E1">
        <w:t>8</w:t>
      </w:r>
      <w:r w:rsidRPr="0820B6CA">
        <w:t>)</w:t>
      </w:r>
      <w:r w:rsidR="00AE3E92" w:rsidRPr="0820B6CA">
        <w:t xml:space="preserve"> </w:t>
      </w:r>
      <w:r w:rsidR="0F269F0B" w:rsidRPr="0820B6CA">
        <w:t>Uue perearsti nimistu loomisel</w:t>
      </w:r>
      <w:r w:rsidR="00AE3E92" w:rsidRPr="0820B6CA">
        <w:t xml:space="preserve"> tasutakse perearstile, kelle nimistus on vähem kui 1200 kindlustatud isikut, </w:t>
      </w:r>
      <w:r w:rsidR="005023FD" w:rsidRPr="0820B6CA">
        <w:t>Tervisekassa</w:t>
      </w:r>
      <w:r w:rsidR="00385CFF" w:rsidRPr="0820B6CA">
        <w:t xml:space="preserve"> otsuse alusel </w:t>
      </w:r>
      <w:r w:rsidR="00AE3E92" w:rsidRPr="0820B6CA">
        <w:t>pearaha 1200 kindlustatud isiku eest. Nimistus olevate kindlustatud isikute arvu ületava osa eest tasutakse koodi</w:t>
      </w:r>
      <w:r w:rsidR="00C04BD4">
        <w:t>de</w:t>
      </w:r>
      <w:r w:rsidR="00AE3E92" w:rsidRPr="0820B6CA">
        <w:t xml:space="preserve">ga </w:t>
      </w:r>
      <w:r w:rsidR="1D7121EE" w:rsidRPr="00660AF3">
        <w:rPr>
          <w:rFonts w:eastAsia="Calibri"/>
          <w:color w:val="000000" w:themeColor="text1"/>
          <w:szCs w:val="24"/>
        </w:rPr>
        <w:t xml:space="preserve">3303 </w:t>
      </w:r>
      <w:r w:rsidR="00B114C7">
        <w:rPr>
          <w:rFonts w:eastAsia="Calibri"/>
          <w:color w:val="000000" w:themeColor="text1"/>
          <w:szCs w:val="24"/>
        </w:rPr>
        <w:t>ja</w:t>
      </w:r>
      <w:r w:rsidR="1D7121EE" w:rsidRPr="00660AF3">
        <w:rPr>
          <w:rFonts w:eastAsia="Calibri"/>
          <w:color w:val="000000" w:themeColor="text1"/>
          <w:szCs w:val="24"/>
        </w:rPr>
        <w:t xml:space="preserve"> 3310</w:t>
      </w:r>
      <w:r w:rsidR="00AE3E92" w:rsidRPr="0820B6CA">
        <w:t xml:space="preserve"> tähistatud tervishoiuteenus</w:t>
      </w:r>
      <w:r w:rsidR="00C04BD4">
        <w:t>t</w:t>
      </w:r>
      <w:r w:rsidR="00AE3E92" w:rsidRPr="0820B6CA">
        <w:t>e piirhinna järgi</w:t>
      </w:r>
      <w:r w:rsidR="001C5CC1" w:rsidRPr="0820B6CA">
        <w:rPr>
          <w:color w:val="202020"/>
        </w:rPr>
        <w:t xml:space="preserve"> tervishoiuteenuse osutajale kuni 12</w:t>
      </w:r>
      <w:r w:rsidR="00B77865">
        <w:rPr>
          <w:color w:val="202020"/>
        </w:rPr>
        <w:t xml:space="preserve"> </w:t>
      </w:r>
      <w:r w:rsidR="001C5CC1" w:rsidRPr="0820B6CA">
        <w:rPr>
          <w:color w:val="202020"/>
        </w:rPr>
        <w:t>kuu</w:t>
      </w:r>
      <w:r w:rsidR="00385CFF" w:rsidRPr="0820B6CA">
        <w:rPr>
          <w:color w:val="202020"/>
        </w:rPr>
        <w:t xml:space="preserve"> vältel</w:t>
      </w:r>
      <w:r w:rsidR="001C5CC1" w:rsidRPr="0820B6CA">
        <w:rPr>
          <w:color w:val="202020"/>
        </w:rPr>
        <w:t xml:space="preserve"> või </w:t>
      </w:r>
      <w:r w:rsidR="001C5CC1" w:rsidRPr="0820B6CA">
        <w:rPr>
          <w:color w:val="202020"/>
          <w:shd w:val="clear" w:color="auto" w:fill="FFFFFF"/>
        </w:rPr>
        <w:t>nim</w:t>
      </w:r>
      <w:r w:rsidR="001C6150" w:rsidRPr="0820B6CA">
        <w:rPr>
          <w:color w:val="202020"/>
          <w:shd w:val="clear" w:color="auto" w:fill="FFFFFF"/>
        </w:rPr>
        <w:t>i</w:t>
      </w:r>
      <w:r w:rsidR="001C5CC1" w:rsidRPr="0820B6CA">
        <w:rPr>
          <w:color w:val="202020"/>
          <w:shd w:val="clear" w:color="auto" w:fill="FFFFFF"/>
        </w:rPr>
        <w:t xml:space="preserve">stu </w:t>
      </w:r>
      <w:r w:rsidR="001C5CC1" w:rsidRPr="0820B6CA">
        <w:rPr>
          <w:color w:val="202020"/>
        </w:rPr>
        <w:t>piirsuuruse 1200 täitumiseni</w:t>
      </w:r>
      <w:r w:rsidR="001C6150" w:rsidRPr="0820B6CA">
        <w:rPr>
          <w:color w:val="202020"/>
          <w:shd w:val="clear" w:color="auto" w:fill="FFFFFF"/>
        </w:rPr>
        <w:t>.</w:t>
      </w:r>
    </w:p>
    <w:p w14:paraId="59849E79" w14:textId="77777777" w:rsidR="00B00AFE" w:rsidRPr="00687DE8" w:rsidRDefault="00B00AFE" w:rsidP="00D22CAA">
      <w:pPr>
        <w:spacing w:after="0" w:line="240" w:lineRule="auto"/>
        <w:jc w:val="both"/>
        <w:divId w:val="1316184749"/>
        <w:rPr>
          <w:b/>
          <w:bCs/>
          <w:szCs w:val="24"/>
        </w:rPr>
      </w:pPr>
    </w:p>
    <w:p w14:paraId="4FC07F18" w14:textId="708CA74E" w:rsidR="00976487" w:rsidRDefault="00976487" w:rsidP="00976487">
      <w:pPr>
        <w:spacing w:after="0" w:line="240" w:lineRule="auto"/>
        <w:outlineLvl w:val="2"/>
        <w:divId w:val="1316184749"/>
        <w:rPr>
          <w:b/>
          <w:bCs/>
          <w:szCs w:val="24"/>
        </w:rPr>
      </w:pPr>
      <w:r w:rsidRPr="00687DE8">
        <w:rPr>
          <w:b/>
          <w:bCs/>
          <w:szCs w:val="24"/>
        </w:rPr>
        <w:t>§ 3.</w:t>
      </w:r>
      <w:r w:rsidR="001962C9">
        <w:rPr>
          <w:b/>
          <w:bCs/>
          <w:szCs w:val="24"/>
        </w:rPr>
        <w:t xml:space="preserve"> </w:t>
      </w:r>
      <w:r w:rsidRPr="00687DE8">
        <w:rPr>
          <w:b/>
          <w:bCs/>
          <w:szCs w:val="24"/>
        </w:rPr>
        <w:t>Baasraha</w:t>
      </w:r>
      <w:r w:rsidR="00907CAA">
        <w:rPr>
          <w:b/>
          <w:bCs/>
          <w:szCs w:val="24"/>
        </w:rPr>
        <w:t xml:space="preserve"> ja</w:t>
      </w:r>
      <w:r w:rsidRPr="00687DE8">
        <w:rPr>
          <w:b/>
          <w:bCs/>
          <w:szCs w:val="24"/>
        </w:rPr>
        <w:t xml:space="preserve"> lisatasu</w:t>
      </w:r>
    </w:p>
    <w:p w14:paraId="7A0EC494" w14:textId="77777777" w:rsidR="009C5986" w:rsidRDefault="009C5986" w:rsidP="0820B6CA">
      <w:pPr>
        <w:spacing w:after="0" w:line="240" w:lineRule="auto"/>
        <w:jc w:val="both"/>
      </w:pPr>
    </w:p>
    <w:p w14:paraId="0E4B25F6" w14:textId="38DFBAD1" w:rsidR="1FB328DE" w:rsidRDefault="1FB328DE" w:rsidP="0820B6CA">
      <w:pPr>
        <w:spacing w:after="0" w:line="240" w:lineRule="auto"/>
        <w:jc w:val="both"/>
        <w:rPr>
          <w:szCs w:val="24"/>
        </w:rPr>
      </w:pPr>
      <w:r>
        <w:t xml:space="preserve">(1) </w:t>
      </w:r>
      <w:r w:rsidR="49BCC99F" w:rsidRPr="0820B6CA">
        <w:rPr>
          <w:rStyle w:val="normaltextrun"/>
          <w:color w:val="000000" w:themeColor="text1"/>
          <w:szCs w:val="24"/>
        </w:rPr>
        <w:t xml:space="preserve">Baasraha </w:t>
      </w:r>
      <w:r w:rsidR="00B114C7">
        <w:rPr>
          <w:rStyle w:val="normaltextrun"/>
          <w:color w:val="000000" w:themeColor="text1"/>
          <w:szCs w:val="24"/>
        </w:rPr>
        <w:t xml:space="preserve">ja </w:t>
      </w:r>
      <w:r w:rsidR="49BCC99F" w:rsidRPr="0820B6CA">
        <w:rPr>
          <w:rStyle w:val="normaltextrun"/>
          <w:color w:val="000000" w:themeColor="text1"/>
          <w:szCs w:val="24"/>
        </w:rPr>
        <w:t>koodiga 3317</w:t>
      </w:r>
      <w:r w:rsidR="49BCC99F" w:rsidRPr="0820B6CA">
        <w:rPr>
          <w:rStyle w:val="normaltextrun"/>
          <w:b/>
          <w:bCs/>
          <w:color w:val="000000" w:themeColor="text1"/>
          <w:szCs w:val="24"/>
        </w:rPr>
        <w:t xml:space="preserve"> </w:t>
      </w:r>
      <w:r w:rsidR="49BCC99F" w:rsidRPr="0820B6CA">
        <w:rPr>
          <w:rStyle w:val="normaltextrun"/>
          <w:color w:val="000000" w:themeColor="text1"/>
          <w:szCs w:val="24"/>
        </w:rPr>
        <w:t>tähistatud lisatasu maksab Tervisekassa perearsti nimistut teenindavale perearstile või muule isikule kindlustatud isikule vajalike tervishoiuteenuste osutamise kulude katmiseks.</w:t>
      </w:r>
    </w:p>
    <w:p w14:paraId="5CD4AD4B" w14:textId="77777777" w:rsidR="00976487" w:rsidRPr="00687DE8" w:rsidRDefault="00976487" w:rsidP="00976487">
      <w:pPr>
        <w:spacing w:after="0" w:line="240" w:lineRule="auto"/>
        <w:jc w:val="both"/>
        <w:divId w:val="1316184749"/>
        <w:rPr>
          <w:szCs w:val="24"/>
        </w:rPr>
      </w:pPr>
    </w:p>
    <w:p w14:paraId="660903DD" w14:textId="77777777" w:rsidR="00976487" w:rsidRPr="00687DE8" w:rsidRDefault="00976487" w:rsidP="00976487">
      <w:pPr>
        <w:spacing w:after="0" w:line="240" w:lineRule="auto"/>
        <w:jc w:val="both"/>
        <w:divId w:val="1316184749"/>
        <w:rPr>
          <w:szCs w:val="24"/>
        </w:rPr>
      </w:pPr>
      <w:r w:rsidRPr="00687DE8">
        <w:rPr>
          <w:szCs w:val="24"/>
        </w:rPr>
        <w:t>(2) Baasraha ja lisatasu rakendamise tingimused ning piirhind ühes kalendrikuus on järgmised:</w:t>
      </w:r>
    </w:p>
    <w:p w14:paraId="02E62B87" w14:textId="77777777" w:rsidR="00976487" w:rsidRPr="00687DE8" w:rsidRDefault="00976487" w:rsidP="00976487">
      <w:pPr>
        <w:spacing w:after="0" w:line="240" w:lineRule="auto"/>
        <w:jc w:val="both"/>
        <w:divId w:val="1316184749"/>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2222"/>
        <w:gridCol w:w="3955"/>
      </w:tblGrid>
      <w:tr w:rsidR="00976487" w:rsidRPr="00687DE8" w14:paraId="55CDD8F8" w14:textId="77777777" w:rsidTr="00B4152F">
        <w:trPr>
          <w:divId w:val="1316184749"/>
        </w:trPr>
        <w:tc>
          <w:tcPr>
            <w:tcW w:w="3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207F48" w14:textId="77777777" w:rsidR="00976487" w:rsidRPr="00687DE8" w:rsidRDefault="00976487">
            <w:pPr>
              <w:spacing w:after="0" w:line="240" w:lineRule="auto"/>
              <w:jc w:val="center"/>
              <w:rPr>
                <w:szCs w:val="24"/>
              </w:rPr>
            </w:pPr>
            <w:r w:rsidRPr="00687DE8">
              <w:rPr>
                <w:b/>
                <w:bCs/>
                <w:szCs w:val="24"/>
              </w:rPr>
              <w:t>Baasraha ja lisatasu</w:t>
            </w:r>
          </w:p>
        </w:tc>
        <w:tc>
          <w:tcPr>
            <w:tcW w:w="2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BFD191" w14:textId="77777777" w:rsidR="00976487" w:rsidRPr="00687DE8" w:rsidRDefault="00976487">
            <w:pPr>
              <w:spacing w:after="0" w:line="240" w:lineRule="auto"/>
              <w:jc w:val="center"/>
              <w:rPr>
                <w:szCs w:val="24"/>
              </w:rPr>
            </w:pPr>
            <w:r w:rsidRPr="00687DE8">
              <w:rPr>
                <w:b/>
                <w:bCs/>
                <w:szCs w:val="24"/>
              </w:rPr>
              <w:t>Kood</w:t>
            </w:r>
          </w:p>
        </w:tc>
        <w:tc>
          <w:tcPr>
            <w:tcW w:w="3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D75B13"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A1543C" w:rsidRPr="00687DE8" w14:paraId="67140968" w14:textId="77777777" w:rsidTr="00EB7A71">
        <w:trPr>
          <w:divId w:val="1316184749"/>
          <w:trHeight w:val="300"/>
        </w:trPr>
        <w:tc>
          <w:tcPr>
            <w:tcW w:w="3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4B27A9" w14:textId="2E988FE8" w:rsidR="00A1543C" w:rsidRPr="00687DE8" w:rsidRDefault="7027AC38" w:rsidP="0820B6CA">
            <w:pPr>
              <w:spacing w:after="0" w:line="240" w:lineRule="auto"/>
              <w:jc w:val="both"/>
              <w:rPr>
                <w:szCs w:val="24"/>
              </w:rPr>
            </w:pPr>
            <w:r w:rsidRPr="00530743">
              <w:rPr>
                <w:rFonts w:eastAsia="Segoe UI"/>
                <w:color w:val="000000" w:themeColor="text1"/>
                <w:szCs w:val="24"/>
              </w:rPr>
              <w:t>Baasraha perearsti nimistu eest</w:t>
            </w:r>
          </w:p>
          <w:p w14:paraId="55097FAE" w14:textId="43D4BCEF" w:rsidR="00A1543C" w:rsidRPr="00687DE8" w:rsidRDefault="00A1543C" w:rsidP="00A1543C">
            <w:pPr>
              <w:spacing w:after="0" w:line="240" w:lineRule="auto"/>
            </w:pPr>
          </w:p>
        </w:tc>
        <w:tc>
          <w:tcPr>
            <w:tcW w:w="2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740B07" w14:textId="0020C87D" w:rsidR="00A1543C" w:rsidRPr="00687DE8" w:rsidRDefault="7810E6A2" w:rsidP="00A1543C">
            <w:pPr>
              <w:spacing w:after="0" w:line="240" w:lineRule="auto"/>
              <w:jc w:val="center"/>
            </w:pPr>
            <w:r>
              <w:t>3315</w:t>
            </w:r>
          </w:p>
        </w:tc>
        <w:tc>
          <w:tcPr>
            <w:tcW w:w="3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D1280B" w14:textId="08FBB99B" w:rsidR="00A1543C" w:rsidRPr="00687DE8" w:rsidRDefault="002909CE" w:rsidP="00A1543C">
            <w:pPr>
              <w:spacing w:after="0"/>
              <w:jc w:val="center"/>
              <w:rPr>
                <w:rFonts w:eastAsia="Calibri"/>
                <w:color w:val="000000" w:themeColor="text1"/>
              </w:rPr>
            </w:pPr>
            <w:r>
              <w:rPr>
                <w:color w:val="000000"/>
              </w:rPr>
              <w:t>3 707,84</w:t>
            </w:r>
          </w:p>
        </w:tc>
      </w:tr>
      <w:tr w:rsidR="00A1543C" w:rsidRPr="00687DE8" w14:paraId="53C8B025" w14:textId="77777777" w:rsidTr="00EB7A71">
        <w:trPr>
          <w:divId w:val="1316184749"/>
          <w:trHeight w:val="300"/>
        </w:trPr>
        <w:tc>
          <w:tcPr>
            <w:tcW w:w="3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B9B646" w14:textId="2DD57DA4" w:rsidR="00A1543C" w:rsidRPr="00687DE8" w:rsidRDefault="3B9C7490" w:rsidP="00A1543C">
            <w:pPr>
              <w:spacing w:after="0" w:line="240" w:lineRule="auto"/>
            </w:pPr>
            <w:r w:rsidRPr="0820B6CA">
              <w:rPr>
                <w:color w:val="202020"/>
              </w:rPr>
              <w:t xml:space="preserve">Baasraha tervisekeskuses teenindatava perearsti nimistu eest  </w:t>
            </w:r>
          </w:p>
        </w:tc>
        <w:tc>
          <w:tcPr>
            <w:tcW w:w="2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AADA50" w14:textId="0D822813" w:rsidR="00A1543C" w:rsidRPr="00687DE8" w:rsidRDefault="00A1543C" w:rsidP="00A1543C">
            <w:pPr>
              <w:spacing w:after="0" w:line="240" w:lineRule="auto"/>
              <w:jc w:val="center"/>
            </w:pPr>
            <w:r>
              <w:t>3</w:t>
            </w:r>
            <w:r w:rsidR="1A4C516E">
              <w:t>316</w:t>
            </w:r>
          </w:p>
        </w:tc>
        <w:tc>
          <w:tcPr>
            <w:tcW w:w="395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83DC4B" w14:textId="3768D8A9" w:rsidR="00A1543C" w:rsidRPr="00687DE8" w:rsidRDefault="002909CE" w:rsidP="00A1543C">
            <w:pPr>
              <w:spacing w:after="0"/>
              <w:jc w:val="center"/>
              <w:rPr>
                <w:rFonts w:eastAsia="Calibri"/>
                <w:color w:val="000000" w:themeColor="text1"/>
              </w:rPr>
            </w:pPr>
            <w:r>
              <w:rPr>
                <w:color w:val="000000"/>
              </w:rPr>
              <w:t>6 024,52</w:t>
            </w:r>
          </w:p>
        </w:tc>
      </w:tr>
      <w:tr w:rsidR="00A1543C" w:rsidRPr="00687DE8" w14:paraId="4DB31FA0" w14:textId="77777777" w:rsidTr="00EB7A71">
        <w:trPr>
          <w:divId w:val="1316184749"/>
          <w:trHeight w:val="300"/>
        </w:trPr>
        <w:tc>
          <w:tcPr>
            <w:tcW w:w="3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1A5F2C" w14:textId="4BC4D490" w:rsidR="00A1543C" w:rsidRPr="00687DE8" w:rsidRDefault="216F6BA6" w:rsidP="00A1543C">
            <w:pPr>
              <w:spacing w:after="0" w:line="240" w:lineRule="auto"/>
            </w:pPr>
            <w:r w:rsidRPr="0820B6CA">
              <w:rPr>
                <w:color w:val="202020"/>
                <w:lang w:eastAsia="et-EE"/>
              </w:rPr>
              <w:t xml:space="preserve">Lisatasu, kui perearsti peamine tegevuskoht asub </w:t>
            </w:r>
            <w:r w:rsidR="00F34ECD" w:rsidRPr="06AA2521">
              <w:rPr>
                <w:color w:val="202020"/>
                <w:lang w:eastAsia="et-EE"/>
              </w:rPr>
              <w:t>R</w:t>
            </w:r>
            <w:r w:rsidRPr="0820B6CA">
              <w:rPr>
                <w:color w:val="202020"/>
                <w:lang w:eastAsia="et-EE"/>
              </w:rPr>
              <w:t>aekoja platsist Tallinnas rohkem kui 30 km ja Tartus rohkem kui 18 km kaugusel</w:t>
            </w:r>
            <w:r w:rsidR="00406044">
              <w:rPr>
                <w:color w:val="202020"/>
                <w:lang w:eastAsia="et-EE"/>
              </w:rPr>
              <w:t>,</w:t>
            </w:r>
            <w:r w:rsidRPr="0820B6CA">
              <w:rPr>
                <w:color w:val="202020"/>
                <w:lang w:eastAsia="et-EE"/>
              </w:rPr>
              <w:t xml:space="preserve"> </w:t>
            </w:r>
            <w:r w:rsidR="00962B25" w:rsidRPr="06AA2521">
              <w:rPr>
                <w:color w:val="202020"/>
                <w:lang w:eastAsia="et-EE"/>
              </w:rPr>
              <w:t>ehk kaugusetasu</w:t>
            </w:r>
            <w:r w:rsidRPr="06AA2521">
              <w:rPr>
                <w:color w:val="202020"/>
                <w:lang w:eastAsia="et-EE"/>
              </w:rPr>
              <w:t xml:space="preserve">  </w:t>
            </w:r>
          </w:p>
        </w:tc>
        <w:tc>
          <w:tcPr>
            <w:tcW w:w="2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C1EBC1" w14:textId="77777777" w:rsidR="00A1543C" w:rsidRPr="00687DE8" w:rsidRDefault="00A1543C" w:rsidP="00A1543C">
            <w:pPr>
              <w:spacing w:after="0" w:line="240" w:lineRule="auto"/>
              <w:jc w:val="center"/>
              <w:rPr>
                <w:szCs w:val="24"/>
              </w:rPr>
            </w:pPr>
          </w:p>
          <w:p w14:paraId="700280D8" w14:textId="52EAD06D" w:rsidR="00A1543C" w:rsidRPr="00687DE8" w:rsidRDefault="00A1543C" w:rsidP="00A1543C">
            <w:pPr>
              <w:spacing w:after="0" w:line="240" w:lineRule="auto"/>
              <w:jc w:val="center"/>
            </w:pPr>
            <w:r>
              <w:t>3</w:t>
            </w:r>
            <w:r w:rsidR="42D9B938">
              <w:t>317</w:t>
            </w:r>
          </w:p>
        </w:tc>
        <w:tc>
          <w:tcPr>
            <w:tcW w:w="395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ADA97B5" w14:textId="31101BA1" w:rsidR="00A1543C" w:rsidRPr="00687DE8" w:rsidRDefault="002909CE" w:rsidP="00A1543C">
            <w:pPr>
              <w:spacing w:after="0"/>
              <w:jc w:val="center"/>
              <w:rPr>
                <w:rFonts w:eastAsia="Calibri"/>
                <w:color w:val="000000" w:themeColor="text1"/>
              </w:rPr>
            </w:pPr>
            <w:r>
              <w:rPr>
                <w:color w:val="000000"/>
              </w:rPr>
              <w:t>750,00</w:t>
            </w:r>
          </w:p>
        </w:tc>
      </w:tr>
      <w:tr w:rsidR="0B69D917" w14:paraId="6B115415" w14:textId="77777777" w:rsidTr="00B4152F">
        <w:trPr>
          <w:divId w:val="1316184749"/>
          <w:trHeight w:val="300"/>
        </w:trPr>
        <w:tc>
          <w:tcPr>
            <w:tcW w:w="3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F52894" w14:textId="5435FA5B" w:rsidR="0B69D917" w:rsidRDefault="22AF35D3" w:rsidP="0B69D917">
            <w:pPr>
              <w:spacing w:line="240" w:lineRule="auto"/>
            </w:pPr>
            <w:r>
              <w:t xml:space="preserve">Lisatasu ühes kuus perearstiabi ravi rahastamise lepingut omavale tervishoiuteenuse osutajale, välja arvatud Tallinnas ja Tartus, kes perearstiteenuse järjepidevuse tagamiseks võtab nimistu üleandmise eesmärgil tööle peremeditsiini residendi või nimistuta perearsti  </w:t>
            </w:r>
          </w:p>
        </w:tc>
        <w:tc>
          <w:tcPr>
            <w:tcW w:w="2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147D48" w14:textId="68DFF98A" w:rsidR="24BBC29C" w:rsidRDefault="00667E25" w:rsidP="24BBC29C">
            <w:pPr>
              <w:jc w:val="center"/>
            </w:pPr>
            <w:r>
              <w:t>3052</w:t>
            </w:r>
          </w:p>
        </w:tc>
        <w:tc>
          <w:tcPr>
            <w:tcW w:w="3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3EA072" w14:textId="5200B7F1" w:rsidR="00CC5ACB" w:rsidRDefault="00CC5ACB" w:rsidP="002909CE">
            <w:pPr>
              <w:jc w:val="center"/>
              <w:rPr>
                <w:color w:val="000000" w:themeColor="text1"/>
                <w:lang w:val="en-GB"/>
              </w:rPr>
            </w:pPr>
          </w:p>
          <w:p w14:paraId="1A549AFD" w14:textId="77777777" w:rsidR="00CC5ACB" w:rsidRPr="00CC5ACB" w:rsidRDefault="00CC5ACB" w:rsidP="00CC5ACB">
            <w:pPr>
              <w:jc w:val="center"/>
              <w:rPr>
                <w:color w:val="000000" w:themeColor="text1"/>
              </w:rPr>
            </w:pPr>
            <w:r w:rsidRPr="00CC5ACB">
              <w:rPr>
                <w:color w:val="000000" w:themeColor="text1"/>
              </w:rPr>
              <w:t>5 127,32</w:t>
            </w:r>
          </w:p>
          <w:p w14:paraId="1E26E9C8" w14:textId="1A2597D6" w:rsidR="24BBC29C" w:rsidRDefault="24BBC29C" w:rsidP="24BBC29C">
            <w:pPr>
              <w:jc w:val="center"/>
              <w:rPr>
                <w:color w:val="000000" w:themeColor="text1"/>
                <w:lang w:val="en-GB"/>
              </w:rPr>
            </w:pPr>
          </w:p>
        </w:tc>
      </w:tr>
      <w:tr w:rsidR="00A1543C" w:rsidRPr="00687DE8" w14:paraId="757232DA" w14:textId="77777777" w:rsidTr="00EB7A71">
        <w:trPr>
          <w:divId w:val="1316184749"/>
          <w:trHeight w:val="300"/>
        </w:trPr>
        <w:tc>
          <w:tcPr>
            <w:tcW w:w="3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9CEB98" w14:textId="24B1B65C" w:rsidR="00A1543C" w:rsidRPr="004E4882" w:rsidRDefault="00A1543C" w:rsidP="00A1543C">
            <w:pPr>
              <w:jc w:val="both"/>
            </w:pPr>
            <w:bookmarkStart w:id="2" w:name="_Hlk191654678"/>
            <w:r>
              <w:t>Lisatasu perearstikeskuses töötava täistööajaga vaimse tervise õe eest</w:t>
            </w:r>
            <w:bookmarkEnd w:id="2"/>
          </w:p>
        </w:tc>
        <w:tc>
          <w:tcPr>
            <w:tcW w:w="2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06EAC6" w14:textId="685E6768" w:rsidR="00A1543C" w:rsidRPr="004E4882" w:rsidRDefault="009D1D0E" w:rsidP="00A1543C">
            <w:pPr>
              <w:spacing w:after="0" w:line="240" w:lineRule="auto"/>
              <w:jc w:val="center"/>
              <w:rPr>
                <w:szCs w:val="24"/>
              </w:rPr>
            </w:pPr>
            <w:r>
              <w:rPr>
                <w:szCs w:val="24"/>
              </w:rPr>
              <w:t>3132</w:t>
            </w:r>
          </w:p>
        </w:tc>
        <w:tc>
          <w:tcPr>
            <w:tcW w:w="3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69B5D9" w14:textId="36F1AD32" w:rsidR="00A1543C" w:rsidRPr="004E4882" w:rsidRDefault="00627C83" w:rsidP="00A1543C">
            <w:pPr>
              <w:spacing w:after="0"/>
              <w:jc w:val="center"/>
              <w:rPr>
                <w:rFonts w:eastAsia="Calibri"/>
                <w:color w:val="000000" w:themeColor="text1"/>
              </w:rPr>
            </w:pPr>
            <w:r>
              <w:rPr>
                <w:color w:val="000000"/>
              </w:rPr>
              <w:t>2 982,88</w:t>
            </w:r>
          </w:p>
        </w:tc>
      </w:tr>
      <w:tr w:rsidR="00A1543C" w:rsidRPr="00687DE8" w14:paraId="1C0705DD" w14:textId="77777777" w:rsidTr="00EB7A71">
        <w:trPr>
          <w:divId w:val="1316184749"/>
          <w:trHeight w:val="300"/>
        </w:trPr>
        <w:tc>
          <w:tcPr>
            <w:tcW w:w="3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DDB806" w14:textId="26621C51" w:rsidR="00A1543C" w:rsidRPr="00687DE8" w:rsidRDefault="00A1543C" w:rsidP="00A1543C">
            <w:pPr>
              <w:spacing w:after="0" w:line="240" w:lineRule="auto"/>
              <w:rPr>
                <w:szCs w:val="24"/>
              </w:rPr>
            </w:pPr>
            <w:r w:rsidRPr="00687DE8">
              <w:rPr>
                <w:szCs w:val="24"/>
              </w:rPr>
              <w:t>Lisatasu perearsti nimistut teenindava kliinilise assistendi / registraatori eest</w:t>
            </w:r>
          </w:p>
        </w:tc>
        <w:tc>
          <w:tcPr>
            <w:tcW w:w="2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3A986F" w14:textId="4DC6A9BC" w:rsidR="00A1543C" w:rsidRPr="00687DE8" w:rsidRDefault="00A1543C" w:rsidP="00A1543C">
            <w:pPr>
              <w:spacing w:after="0" w:line="240" w:lineRule="auto"/>
              <w:jc w:val="center"/>
              <w:rPr>
                <w:szCs w:val="24"/>
              </w:rPr>
            </w:pPr>
            <w:r w:rsidRPr="00687DE8">
              <w:rPr>
                <w:szCs w:val="24"/>
              </w:rPr>
              <w:t>3057</w:t>
            </w:r>
          </w:p>
        </w:tc>
        <w:tc>
          <w:tcPr>
            <w:tcW w:w="395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F1F000F" w14:textId="708E1B33" w:rsidR="00A1543C" w:rsidRPr="00687DE8" w:rsidRDefault="00627C83" w:rsidP="00A1543C">
            <w:pPr>
              <w:spacing w:after="0"/>
              <w:jc w:val="center"/>
              <w:rPr>
                <w:rFonts w:eastAsia="Calibri"/>
                <w:color w:val="000000" w:themeColor="text1"/>
                <w:szCs w:val="24"/>
              </w:rPr>
            </w:pPr>
            <w:r>
              <w:rPr>
                <w:color w:val="000000"/>
              </w:rPr>
              <w:t>2 235,51</w:t>
            </w:r>
          </w:p>
        </w:tc>
      </w:tr>
      <w:tr w:rsidR="00A1543C" w:rsidRPr="00687DE8" w14:paraId="574045F5" w14:textId="77777777" w:rsidTr="00EB7A71">
        <w:trPr>
          <w:divId w:val="1316184749"/>
          <w:trHeight w:val="300"/>
        </w:trPr>
        <w:tc>
          <w:tcPr>
            <w:tcW w:w="3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0DD6CD" w14:textId="35A752B0" w:rsidR="00A1543C" w:rsidRPr="00687DE8" w:rsidRDefault="00A1543C" w:rsidP="00A1543C">
            <w:pPr>
              <w:spacing w:after="0" w:line="240" w:lineRule="auto"/>
              <w:rPr>
                <w:rFonts w:eastAsia="Aptos"/>
                <w:szCs w:val="24"/>
              </w:rPr>
            </w:pPr>
            <w:bookmarkStart w:id="3" w:name="_Hlk191655010"/>
            <w:r w:rsidRPr="00687DE8">
              <w:rPr>
                <w:rFonts w:eastAsia="Aptos"/>
                <w:szCs w:val="24"/>
              </w:rPr>
              <w:t>Lisatasu perearsti nimistut teenindava eriõe eest</w:t>
            </w:r>
            <w:bookmarkEnd w:id="3"/>
          </w:p>
        </w:tc>
        <w:tc>
          <w:tcPr>
            <w:tcW w:w="2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BF8FB7" w14:textId="24B4557E" w:rsidR="00A1543C" w:rsidRPr="00687DE8" w:rsidRDefault="00A1543C" w:rsidP="00A1543C">
            <w:pPr>
              <w:spacing w:after="0" w:line="240" w:lineRule="auto"/>
              <w:jc w:val="center"/>
              <w:rPr>
                <w:szCs w:val="24"/>
              </w:rPr>
            </w:pPr>
            <w:r w:rsidRPr="00687DE8">
              <w:rPr>
                <w:szCs w:val="24"/>
              </w:rPr>
              <w:t>3129</w:t>
            </w:r>
          </w:p>
        </w:tc>
        <w:tc>
          <w:tcPr>
            <w:tcW w:w="395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E207941" w14:textId="16B65623" w:rsidR="00A1543C" w:rsidRPr="00687DE8" w:rsidRDefault="00627C83" w:rsidP="00A1543C">
            <w:pPr>
              <w:spacing w:after="0" w:line="240" w:lineRule="auto"/>
              <w:jc w:val="center"/>
              <w:rPr>
                <w:szCs w:val="24"/>
              </w:rPr>
            </w:pPr>
            <w:r>
              <w:rPr>
                <w:color w:val="000000"/>
              </w:rPr>
              <w:t>107,90</w:t>
            </w:r>
          </w:p>
        </w:tc>
      </w:tr>
    </w:tbl>
    <w:p w14:paraId="7E545799" w14:textId="77777777" w:rsidR="00976487" w:rsidRPr="00687DE8" w:rsidRDefault="00976487" w:rsidP="00976487">
      <w:pPr>
        <w:spacing w:after="0" w:line="240" w:lineRule="auto"/>
        <w:divId w:val="1316184749"/>
        <w:rPr>
          <w:szCs w:val="24"/>
        </w:rPr>
      </w:pPr>
    </w:p>
    <w:p w14:paraId="00258551" w14:textId="304D84E1" w:rsidR="00CC56AB" w:rsidRDefault="00976487" w:rsidP="00976487">
      <w:pPr>
        <w:pStyle w:val="Vahedeta"/>
        <w:jc w:val="both"/>
        <w:divId w:val="1316184749"/>
        <w:rPr>
          <w:lang w:val="et-EE"/>
        </w:rPr>
      </w:pPr>
      <w:r w:rsidRPr="0820B6CA">
        <w:rPr>
          <w:lang w:val="et-EE"/>
        </w:rPr>
        <w:t>(</w:t>
      </w:r>
      <w:r w:rsidR="00130AFC" w:rsidRPr="0820B6CA">
        <w:rPr>
          <w:lang w:val="et-EE"/>
        </w:rPr>
        <w:t>3</w:t>
      </w:r>
      <w:r w:rsidRPr="0820B6CA">
        <w:rPr>
          <w:lang w:val="et-EE"/>
        </w:rPr>
        <w:t xml:space="preserve">) </w:t>
      </w:r>
      <w:r w:rsidR="0671D6DD" w:rsidRPr="50BAB3A6">
        <w:rPr>
          <w:rStyle w:val="eop"/>
          <w:color w:val="000000" w:themeColor="text1"/>
          <w:lang w:val="et-EE"/>
        </w:rPr>
        <w:t>Koodiga 3317 tähistatud lisatasu</w:t>
      </w:r>
      <w:r w:rsidR="00722E78" w:rsidRPr="50BAB3A6">
        <w:rPr>
          <w:rStyle w:val="eop"/>
          <w:color w:val="000000" w:themeColor="text1"/>
          <w:lang w:val="et-EE"/>
        </w:rPr>
        <w:t>le rakendatav</w:t>
      </w:r>
      <w:r w:rsidR="0671D6DD" w:rsidRPr="50BAB3A6">
        <w:rPr>
          <w:rStyle w:val="eop"/>
          <w:color w:val="000000" w:themeColor="text1"/>
          <w:lang w:val="et-EE"/>
        </w:rPr>
        <w:t xml:space="preserve"> koefitsient määratakse iga nimistu kohta individuaalselt, lähtudes nimistu peamise tegevuskoha aadressist, milleks on tervishoiukorralduse infosüsteemi </w:t>
      </w:r>
      <w:r w:rsidR="0671D6DD" w:rsidRPr="6929D733">
        <w:rPr>
          <w:rStyle w:val="eop"/>
          <w:color w:val="000000" w:themeColor="text1"/>
          <w:lang w:val="et-EE"/>
        </w:rPr>
        <w:t>ko</w:t>
      </w:r>
      <w:r w:rsidR="10E0657C" w:rsidRPr="6929D733">
        <w:rPr>
          <w:rStyle w:val="eop"/>
          <w:color w:val="000000" w:themeColor="text1"/>
          <w:lang w:val="et-EE"/>
        </w:rPr>
        <w:t>n</w:t>
      </w:r>
      <w:r w:rsidR="0671D6DD" w:rsidRPr="6929D733">
        <w:rPr>
          <w:rStyle w:val="eop"/>
          <w:color w:val="000000" w:themeColor="text1"/>
          <w:lang w:val="et-EE"/>
        </w:rPr>
        <w:t>taktandmete</w:t>
      </w:r>
      <w:r w:rsidR="0671D6DD" w:rsidRPr="50BAB3A6">
        <w:rPr>
          <w:rStyle w:val="eop"/>
          <w:color w:val="000000" w:themeColor="text1"/>
          <w:lang w:val="et-EE"/>
        </w:rPr>
        <w:t xml:space="preserve"> väljal olev perearsti vastuvõtu aadress. Koefitsiendi suuruse leidmisel lähtutakse 50% ulatuses perearsti peamise tegevuskoha kaugusest lähimast </w:t>
      </w:r>
      <w:r w:rsidR="00C55211">
        <w:rPr>
          <w:rStyle w:val="eop"/>
          <w:color w:val="000000" w:themeColor="text1"/>
          <w:lang w:val="et-EE"/>
        </w:rPr>
        <w:t xml:space="preserve">tervishoiuteenuste korraldamise seaduse § 55 lõike 1 alusel kehtestatud </w:t>
      </w:r>
      <w:r w:rsidR="0671D6DD" w:rsidRPr="50BAB3A6">
        <w:rPr>
          <w:rStyle w:val="eop"/>
          <w:color w:val="000000" w:themeColor="text1"/>
          <w:lang w:val="et-EE"/>
        </w:rPr>
        <w:t>haiglavõrgu arengukava</w:t>
      </w:r>
      <w:r w:rsidR="00DC70FD">
        <w:rPr>
          <w:rStyle w:val="eop"/>
          <w:color w:val="000000" w:themeColor="text1"/>
          <w:lang w:val="et-EE"/>
        </w:rPr>
        <w:t>s</w:t>
      </w:r>
      <w:r w:rsidR="0671D6DD" w:rsidRPr="50BAB3A6">
        <w:rPr>
          <w:rStyle w:val="eop"/>
          <w:color w:val="000000" w:themeColor="text1"/>
          <w:lang w:val="et-EE"/>
        </w:rPr>
        <w:t xml:space="preserve"> </w:t>
      </w:r>
      <w:r w:rsidR="00C55211">
        <w:rPr>
          <w:rStyle w:val="eop"/>
          <w:color w:val="000000" w:themeColor="text1"/>
          <w:lang w:val="et-EE"/>
        </w:rPr>
        <w:t xml:space="preserve">(edaspidi </w:t>
      </w:r>
      <w:r w:rsidR="00C55211" w:rsidRPr="00C55211">
        <w:rPr>
          <w:rStyle w:val="eop"/>
          <w:i/>
          <w:iCs/>
          <w:color w:val="000000" w:themeColor="text1"/>
          <w:lang w:val="et-EE"/>
        </w:rPr>
        <w:t>haiglate loetelu</w:t>
      </w:r>
      <w:r w:rsidR="00C55211">
        <w:rPr>
          <w:rStyle w:val="eop"/>
          <w:color w:val="000000" w:themeColor="text1"/>
          <w:lang w:val="et-EE"/>
        </w:rPr>
        <w:t>)</w:t>
      </w:r>
      <w:r w:rsidR="00DC70FD">
        <w:rPr>
          <w:rStyle w:val="eop"/>
          <w:color w:val="000000" w:themeColor="text1"/>
          <w:lang w:val="et-EE"/>
        </w:rPr>
        <w:t xml:space="preserve"> nimetatud</w:t>
      </w:r>
      <w:r w:rsidR="00C55211">
        <w:rPr>
          <w:rStyle w:val="eop"/>
          <w:color w:val="000000" w:themeColor="text1"/>
          <w:lang w:val="et-EE"/>
        </w:rPr>
        <w:t xml:space="preserve"> </w:t>
      </w:r>
      <w:r w:rsidR="00DC70FD" w:rsidRPr="50BAB3A6">
        <w:rPr>
          <w:rStyle w:val="eop"/>
          <w:color w:val="000000" w:themeColor="text1"/>
          <w:lang w:val="et-EE"/>
        </w:rPr>
        <w:t xml:space="preserve">haigla </w:t>
      </w:r>
      <w:r w:rsidR="0671D6DD" w:rsidRPr="50BAB3A6">
        <w:rPr>
          <w:rStyle w:val="eop"/>
          <w:color w:val="000000" w:themeColor="text1"/>
          <w:lang w:val="et-EE"/>
        </w:rPr>
        <w:t xml:space="preserve">erakorralise meditsiini osakonnast </w:t>
      </w:r>
      <w:r w:rsidR="00F05B09" w:rsidRPr="50BAB3A6">
        <w:rPr>
          <w:rStyle w:val="eop"/>
          <w:color w:val="000000" w:themeColor="text1"/>
          <w:lang w:val="et-EE"/>
        </w:rPr>
        <w:t>(</w:t>
      </w:r>
      <w:r w:rsidR="0671D6DD" w:rsidRPr="50BAB3A6">
        <w:rPr>
          <w:rStyle w:val="eop"/>
          <w:color w:val="000000" w:themeColor="text1"/>
          <w:lang w:val="et-EE"/>
        </w:rPr>
        <w:t xml:space="preserve">v.a Tallinna </w:t>
      </w:r>
      <w:r w:rsidR="0671D6DD" w:rsidRPr="50BAB3A6">
        <w:rPr>
          <w:rStyle w:val="eop"/>
          <w:color w:val="000000" w:themeColor="text1"/>
          <w:lang w:val="et-EE"/>
        </w:rPr>
        <w:lastRenderedPageBreak/>
        <w:t>Lastehaigla</w:t>
      </w:r>
      <w:r w:rsidR="00F05B09" w:rsidRPr="50BAB3A6">
        <w:rPr>
          <w:rStyle w:val="eop"/>
          <w:color w:val="000000" w:themeColor="text1"/>
          <w:lang w:val="et-EE"/>
        </w:rPr>
        <w:t>)</w:t>
      </w:r>
      <w:r w:rsidR="00EB531C" w:rsidRPr="50BAB3A6">
        <w:rPr>
          <w:rStyle w:val="eop"/>
          <w:color w:val="000000" w:themeColor="text1"/>
          <w:lang w:val="et-EE"/>
        </w:rPr>
        <w:t>,</w:t>
      </w:r>
      <w:r w:rsidR="0671D6DD" w:rsidRPr="50BAB3A6">
        <w:rPr>
          <w:rStyle w:val="eop"/>
          <w:color w:val="000000" w:themeColor="text1"/>
          <w:lang w:val="et-EE"/>
        </w:rPr>
        <w:t xml:space="preserve"> 30% ulatuses peamise tegevuskoha kohaliku omavalitsuse üksuse asustustihedusest ja 20% ulatuses peamise tegevuskoha maakonna või pealinna suhtelisest vaesusest. Koefitsiendi suuruse määrab Tervisekassa ravikindlustuse seaduse § 32 alusel kehtestatud määruses sätestatud metoodika alusel ja korras.</w:t>
      </w:r>
    </w:p>
    <w:p w14:paraId="0DF4BD07" w14:textId="77777777" w:rsidR="00976487" w:rsidRPr="00687DE8" w:rsidRDefault="00976487" w:rsidP="00976487">
      <w:pPr>
        <w:pStyle w:val="Vahedeta"/>
        <w:jc w:val="both"/>
        <w:divId w:val="1316184749"/>
        <w:rPr>
          <w:szCs w:val="24"/>
          <w:lang w:val="et-EE"/>
        </w:rPr>
      </w:pPr>
    </w:p>
    <w:p w14:paraId="01045F82" w14:textId="7DC06855" w:rsidR="00976487" w:rsidRPr="00687DE8" w:rsidRDefault="00976487" w:rsidP="00976487">
      <w:pPr>
        <w:pStyle w:val="Vahedeta"/>
        <w:jc w:val="both"/>
        <w:divId w:val="1316184749"/>
        <w:rPr>
          <w:lang w:val="et-EE"/>
        </w:rPr>
      </w:pPr>
      <w:r w:rsidRPr="0820B6CA">
        <w:rPr>
          <w:lang w:val="et-EE"/>
        </w:rPr>
        <w:t>(</w:t>
      </w:r>
      <w:r w:rsidR="00130AFC" w:rsidRPr="0820B6CA">
        <w:rPr>
          <w:lang w:val="et-EE"/>
        </w:rPr>
        <w:t>4</w:t>
      </w:r>
      <w:r w:rsidRPr="0820B6CA">
        <w:rPr>
          <w:lang w:val="et-EE"/>
        </w:rPr>
        <w:t xml:space="preserve">) </w:t>
      </w:r>
      <w:r w:rsidR="3ADF2E74" w:rsidRPr="0820B6CA">
        <w:rPr>
          <w:lang w:val="et-EE"/>
        </w:rPr>
        <w:t>Perearstile makstakse koodiga 3315 tähistatud baasraha koefitsiendiga 0,4</w:t>
      </w:r>
      <w:r w:rsidR="009D2428">
        <w:rPr>
          <w:lang w:val="et-EE"/>
        </w:rPr>
        <w:t>,</w:t>
      </w:r>
      <w:r w:rsidR="3ADF2E74" w:rsidRPr="0820B6CA">
        <w:rPr>
          <w:lang w:val="et-EE"/>
        </w:rPr>
        <w:t xml:space="preserve"> kui perearstil on mitu tegevuskohta ja need asuvad haldusterritoriaalse korralduse tõttu mitmes linnas, alevis, alevikus või külas ning täidetud </w:t>
      </w:r>
      <w:r w:rsidR="00A36FFD">
        <w:rPr>
          <w:lang w:val="et-EE"/>
        </w:rPr>
        <w:t xml:space="preserve">on </w:t>
      </w:r>
      <w:r w:rsidR="3ADF2E74" w:rsidRPr="0820B6CA">
        <w:rPr>
          <w:lang w:val="et-EE"/>
        </w:rPr>
        <w:t xml:space="preserve">järgmised tingimused:   </w:t>
      </w:r>
    </w:p>
    <w:p w14:paraId="1FD0A6EA" w14:textId="77777777" w:rsidR="00976487" w:rsidRPr="00687DE8" w:rsidRDefault="00976487" w:rsidP="00976487">
      <w:pPr>
        <w:spacing w:after="0" w:line="240" w:lineRule="auto"/>
        <w:jc w:val="both"/>
        <w:divId w:val="1316184749"/>
        <w:rPr>
          <w:szCs w:val="24"/>
        </w:rPr>
      </w:pPr>
      <w:r w:rsidRPr="00687DE8">
        <w:rPr>
          <w:szCs w:val="24"/>
        </w:rPr>
        <w:t>1) perearsti kõigis tegevuskohtades on täidetud tervishoiuteenuste korraldamise seaduse § 10 alusel kehtestatud määruses sätestatud nõuded;</w:t>
      </w:r>
    </w:p>
    <w:p w14:paraId="22A02AB0" w14:textId="77777777" w:rsidR="00976487" w:rsidRPr="00687DE8" w:rsidRDefault="00976487" w:rsidP="00976487">
      <w:pPr>
        <w:spacing w:after="0" w:line="240" w:lineRule="auto"/>
        <w:jc w:val="both"/>
        <w:divId w:val="1316184749"/>
        <w:rPr>
          <w:szCs w:val="24"/>
        </w:rPr>
      </w:pPr>
      <w:r w:rsidRPr="00687DE8">
        <w:rPr>
          <w:szCs w:val="24"/>
        </w:rPr>
        <w:t>2) perearsti nimistusse kantud isikute arv ei ületa tervishoiuteenuste korraldamise seaduse §</w:t>
      </w:r>
      <w:r w:rsidR="00B62082" w:rsidRPr="00687DE8">
        <w:rPr>
          <w:szCs w:val="24"/>
        </w:rPr>
        <w:t> </w:t>
      </w:r>
      <w:r w:rsidRPr="00687DE8">
        <w:rPr>
          <w:szCs w:val="24"/>
        </w:rPr>
        <w:t>8 lõikes 4</w:t>
      </w:r>
      <w:r w:rsidRPr="00687DE8">
        <w:rPr>
          <w:szCs w:val="24"/>
          <w:vertAlign w:val="superscript"/>
        </w:rPr>
        <w:t>1</w:t>
      </w:r>
      <w:r w:rsidRPr="00687DE8">
        <w:rPr>
          <w:szCs w:val="24"/>
        </w:rPr>
        <w:t xml:space="preserve"> sätestatud nimistu piirsuurust;</w:t>
      </w:r>
    </w:p>
    <w:p w14:paraId="75927272" w14:textId="77777777" w:rsidR="00976487" w:rsidRPr="00687DE8" w:rsidRDefault="00976487" w:rsidP="00976487">
      <w:pPr>
        <w:spacing w:after="0" w:line="240" w:lineRule="auto"/>
        <w:jc w:val="both"/>
        <w:divId w:val="1316184749"/>
        <w:rPr>
          <w:szCs w:val="24"/>
        </w:rPr>
      </w:pPr>
      <w:r w:rsidRPr="00687DE8">
        <w:rPr>
          <w:szCs w:val="24"/>
        </w:rPr>
        <w:t>3) perearsti vastuvõtuaeg teises tegevuskohas või teistes tegevuskohtades on vähemalt kolm tundi nädalas;</w:t>
      </w:r>
    </w:p>
    <w:p w14:paraId="0E3D7312" w14:textId="77777777" w:rsidR="00976487" w:rsidRPr="00687DE8" w:rsidRDefault="00976487" w:rsidP="00976487">
      <w:pPr>
        <w:spacing w:after="0" w:line="240" w:lineRule="auto"/>
        <w:jc w:val="both"/>
        <w:divId w:val="1316184749"/>
        <w:rPr>
          <w:szCs w:val="24"/>
        </w:rPr>
      </w:pPr>
      <w:r w:rsidRPr="00687DE8">
        <w:rPr>
          <w:szCs w:val="24"/>
        </w:rPr>
        <w:t>4) perearsti teine tegevuskoht paikneb või teised tegevuskohad paiknevad põhilisest tegevuskohast kaugemal kui 10 kilomeetrit.</w:t>
      </w:r>
    </w:p>
    <w:p w14:paraId="0F02E4AC" w14:textId="77777777" w:rsidR="00976487" w:rsidRPr="00687DE8" w:rsidRDefault="00976487" w:rsidP="00976487">
      <w:pPr>
        <w:spacing w:after="0" w:line="240" w:lineRule="auto"/>
        <w:jc w:val="both"/>
        <w:divId w:val="1316184749"/>
        <w:rPr>
          <w:szCs w:val="24"/>
        </w:rPr>
      </w:pPr>
    </w:p>
    <w:p w14:paraId="7D0B4E7B" w14:textId="1273E526" w:rsidR="00976487" w:rsidRPr="00687DE8" w:rsidRDefault="00976487" w:rsidP="00976487">
      <w:pPr>
        <w:spacing w:after="0" w:line="240" w:lineRule="auto"/>
        <w:jc w:val="both"/>
        <w:divId w:val="1316184749"/>
        <w:rPr>
          <w:szCs w:val="24"/>
        </w:rPr>
      </w:pPr>
      <w:r w:rsidRPr="00687DE8">
        <w:rPr>
          <w:color w:val="202020"/>
          <w:szCs w:val="24"/>
          <w:lang w:eastAsia="et-EE"/>
        </w:rPr>
        <w:t>(</w:t>
      </w:r>
      <w:r w:rsidR="006165FF">
        <w:rPr>
          <w:color w:val="202020"/>
          <w:szCs w:val="24"/>
          <w:lang w:eastAsia="et-EE"/>
        </w:rPr>
        <w:t>5</w:t>
      </w:r>
      <w:r w:rsidRPr="00687DE8">
        <w:rPr>
          <w:color w:val="202020"/>
          <w:szCs w:val="24"/>
          <w:lang w:eastAsia="et-EE"/>
        </w:rPr>
        <w:t xml:space="preserve">) </w:t>
      </w:r>
      <w:r w:rsidRPr="00687DE8">
        <w:rPr>
          <w:szCs w:val="24"/>
        </w:rPr>
        <w:t xml:space="preserve">Tervisekeskus käesoleva määruse tähenduses on ühtses taristus </w:t>
      </w:r>
      <w:r w:rsidR="0071555A">
        <w:rPr>
          <w:szCs w:val="24"/>
        </w:rPr>
        <w:t>pere</w:t>
      </w:r>
      <w:r w:rsidRPr="00687DE8">
        <w:rPr>
          <w:szCs w:val="24"/>
        </w:rPr>
        <w:t xml:space="preserve">arstiabi osutav juriidiline isik või füüsilisest isikust ettevõtja ning selles osutab </w:t>
      </w:r>
      <w:r w:rsidR="0071555A">
        <w:rPr>
          <w:szCs w:val="24"/>
        </w:rPr>
        <w:t>pere</w:t>
      </w:r>
      <w:r w:rsidRPr="00687DE8">
        <w:rPr>
          <w:szCs w:val="24"/>
        </w:rPr>
        <w:t xml:space="preserve">arstiabi vähemalt kolm nimistuga perearsti, </w:t>
      </w:r>
      <w:bookmarkStart w:id="4" w:name="_Hlk152081374"/>
      <w:r w:rsidRPr="00687DE8">
        <w:rPr>
          <w:szCs w:val="24"/>
        </w:rPr>
        <w:t>kelle nimistute suurus kokku on vähemalt 4500 isikut</w:t>
      </w:r>
      <w:bookmarkEnd w:id="4"/>
      <w:r w:rsidRPr="00687DE8">
        <w:rPr>
          <w:szCs w:val="24"/>
        </w:rPr>
        <w:t xml:space="preserve">, täidetud on tervise- ja tööministri 29. oktoobri 2015. a käskkirjaga nr 163 sätestatud ruuminõuded ning seal osutatakse ka ämmaemanda iseseisva vastuvõtu teenust, füsioteraapiateenust ja koduõendusteenust. </w:t>
      </w:r>
    </w:p>
    <w:p w14:paraId="35CEC722" w14:textId="77777777" w:rsidR="00976487" w:rsidRPr="00687DE8" w:rsidRDefault="00976487" w:rsidP="00976487">
      <w:pPr>
        <w:spacing w:after="0" w:line="240" w:lineRule="auto"/>
        <w:jc w:val="both"/>
        <w:divId w:val="1316184749"/>
        <w:rPr>
          <w:szCs w:val="24"/>
        </w:rPr>
      </w:pPr>
    </w:p>
    <w:p w14:paraId="58BA4655" w14:textId="032A935D" w:rsidR="00976487" w:rsidRPr="00687DE8" w:rsidRDefault="00976487" w:rsidP="00976487">
      <w:pPr>
        <w:spacing w:after="0" w:line="240" w:lineRule="auto"/>
        <w:jc w:val="both"/>
        <w:divId w:val="1316184749"/>
        <w:rPr>
          <w:szCs w:val="24"/>
        </w:rPr>
      </w:pPr>
      <w:r w:rsidRPr="00687DE8">
        <w:rPr>
          <w:szCs w:val="24"/>
        </w:rPr>
        <w:t>(</w:t>
      </w:r>
      <w:r w:rsidR="006165FF">
        <w:rPr>
          <w:szCs w:val="24"/>
        </w:rPr>
        <w:t>6</w:t>
      </w:r>
      <w:r w:rsidRPr="00687DE8">
        <w:rPr>
          <w:szCs w:val="24"/>
        </w:rPr>
        <w:t xml:space="preserve">) Tervisekeskuse võivad moodustada ka mitu </w:t>
      </w:r>
      <w:r w:rsidR="0071555A">
        <w:rPr>
          <w:szCs w:val="24"/>
        </w:rPr>
        <w:t>pere</w:t>
      </w:r>
      <w:r w:rsidRPr="00687DE8">
        <w:rPr>
          <w:szCs w:val="24"/>
        </w:rPr>
        <w:t xml:space="preserve">arstiabi osutavat äriühingut või füüsilisest isikust ettevõtjat koos, vastutades tervisekeskusele esitatavate nõuete täitmise eest solidaarselt ning tehes koostööd ämmaemanda iseseisva vastuvõtu teenuse, füsioteraapiateenuse ja koduõendusteenuse osutajatega. </w:t>
      </w:r>
    </w:p>
    <w:p w14:paraId="7D2902B1" w14:textId="77777777" w:rsidR="00976487" w:rsidRPr="00687DE8" w:rsidRDefault="00976487" w:rsidP="00976487">
      <w:pPr>
        <w:spacing w:after="0" w:line="240" w:lineRule="auto"/>
        <w:jc w:val="both"/>
        <w:divId w:val="1316184749"/>
        <w:rPr>
          <w:szCs w:val="24"/>
        </w:rPr>
      </w:pPr>
    </w:p>
    <w:p w14:paraId="29593C02" w14:textId="1363FEE0" w:rsidR="00976487" w:rsidRPr="00687DE8" w:rsidRDefault="00976487" w:rsidP="00976487">
      <w:pPr>
        <w:spacing w:after="0" w:line="240" w:lineRule="auto"/>
        <w:jc w:val="both"/>
        <w:divId w:val="1316184749"/>
        <w:rPr>
          <w:szCs w:val="24"/>
        </w:rPr>
      </w:pPr>
      <w:r w:rsidRPr="00687DE8">
        <w:rPr>
          <w:szCs w:val="24"/>
        </w:rPr>
        <w:t>(</w:t>
      </w:r>
      <w:r w:rsidR="006165FF">
        <w:rPr>
          <w:szCs w:val="24"/>
        </w:rPr>
        <w:t>7</w:t>
      </w:r>
      <w:r w:rsidRPr="00687DE8">
        <w:rPr>
          <w:szCs w:val="24"/>
        </w:rPr>
        <w:t xml:space="preserve">) Tervisekeskuse nimistute suurus võib olla alla 4500 isiku juhul, kui </w:t>
      </w:r>
      <w:r w:rsidR="36A001B6" w:rsidRPr="00687DE8">
        <w:rPr>
          <w:szCs w:val="24"/>
        </w:rPr>
        <w:t xml:space="preserve">seal osutab teenust kolm nimistuga </w:t>
      </w:r>
      <w:r w:rsidRPr="00687DE8">
        <w:rPr>
          <w:szCs w:val="24"/>
        </w:rPr>
        <w:t xml:space="preserve">perearsti </w:t>
      </w:r>
      <w:r w:rsidR="4E17FB07" w:rsidRPr="00687DE8">
        <w:rPr>
          <w:szCs w:val="24"/>
        </w:rPr>
        <w:t>ja</w:t>
      </w:r>
      <w:r w:rsidRPr="00687DE8">
        <w:rPr>
          <w:szCs w:val="24"/>
        </w:rPr>
        <w:t xml:space="preserve"> teeninduspiirkond asub valla territooriumil ning tervisekeskuse teenuse osutamata jätmine avaldab mõju </w:t>
      </w:r>
      <w:r w:rsidR="0071555A">
        <w:rPr>
          <w:szCs w:val="24"/>
        </w:rPr>
        <w:t>pere</w:t>
      </w:r>
      <w:r w:rsidRPr="00687DE8">
        <w:rPr>
          <w:szCs w:val="24"/>
        </w:rPr>
        <w:t>arstiabi kättesaadavusele ja kvaliteedile.</w:t>
      </w:r>
    </w:p>
    <w:p w14:paraId="5F5FEE5E" w14:textId="77777777" w:rsidR="00976487" w:rsidRPr="00687DE8" w:rsidRDefault="00976487" w:rsidP="00976487">
      <w:pPr>
        <w:spacing w:after="0" w:line="240" w:lineRule="auto"/>
        <w:jc w:val="both"/>
        <w:divId w:val="1316184749"/>
        <w:rPr>
          <w:szCs w:val="24"/>
        </w:rPr>
      </w:pPr>
    </w:p>
    <w:p w14:paraId="7E487D96" w14:textId="68224A19" w:rsidR="00976487" w:rsidRPr="00687DE8" w:rsidRDefault="00FC76B5" w:rsidP="00976487">
      <w:pPr>
        <w:spacing w:after="0" w:line="240" w:lineRule="auto"/>
        <w:jc w:val="both"/>
        <w:divId w:val="1316184749"/>
      </w:pPr>
      <w:r>
        <w:t>(</w:t>
      </w:r>
      <w:r w:rsidR="006165FF">
        <w:t>8</w:t>
      </w:r>
      <w:r>
        <w:t>) L</w:t>
      </w:r>
      <w:r w:rsidR="00976487">
        <w:t xml:space="preserve">õikes </w:t>
      </w:r>
      <w:r w:rsidR="006165FF">
        <w:t>5</w:t>
      </w:r>
      <w:r w:rsidR="00976487">
        <w:t xml:space="preserve"> viidatud ruuminõuetest erinevalt on tervisekeskuses lubatud ühe nimistuga perearsti lisandumise korral lisanduva arsti vastuvõturuumina kasutada ühiskasutuses olevaid teiste tervisekeskuse arstide vastuvõturuume. </w:t>
      </w:r>
    </w:p>
    <w:p w14:paraId="3E06E3D8" w14:textId="77777777" w:rsidR="00B8140D" w:rsidRPr="00687DE8" w:rsidRDefault="00B8140D" w:rsidP="00976487">
      <w:pPr>
        <w:spacing w:after="0" w:line="240" w:lineRule="auto"/>
        <w:jc w:val="both"/>
        <w:divId w:val="1316184749"/>
        <w:rPr>
          <w:szCs w:val="24"/>
        </w:rPr>
      </w:pPr>
    </w:p>
    <w:p w14:paraId="5E5ED8D9" w14:textId="70C898C0" w:rsidR="003F0A55" w:rsidRDefault="00976487" w:rsidP="00A914CB">
      <w:pPr>
        <w:pStyle w:val="Vahedeta"/>
        <w:jc w:val="both"/>
        <w:divId w:val="1316184749"/>
        <w:rPr>
          <w:lang w:val="et-EE"/>
        </w:rPr>
      </w:pPr>
      <w:r w:rsidRPr="00BD681B">
        <w:t>(</w:t>
      </w:r>
      <w:r w:rsidR="0018351B" w:rsidRPr="00BD681B">
        <w:t>9</w:t>
      </w:r>
      <w:r w:rsidRPr="00BD681B">
        <w:t xml:space="preserve">) </w:t>
      </w:r>
      <w:r w:rsidR="1DF8E15B" w:rsidRPr="0820B6CA">
        <w:rPr>
          <w:lang w:val="et-EE"/>
        </w:rPr>
        <w:t>Koodiga 3316 tähistatud baasraha makstakse koefitsiendiga vastavalt tervisekeskuses teeninda</w:t>
      </w:r>
      <w:r w:rsidR="007D2AE9">
        <w:rPr>
          <w:lang w:val="et-EE"/>
        </w:rPr>
        <w:t>ta</w:t>
      </w:r>
      <w:r w:rsidR="1DF8E15B" w:rsidRPr="0820B6CA">
        <w:rPr>
          <w:lang w:val="et-EE"/>
        </w:rPr>
        <w:t>vate nimistute</w:t>
      </w:r>
      <w:r w:rsidR="000943DD">
        <w:rPr>
          <w:lang w:val="et-EE"/>
        </w:rPr>
        <w:t>, sealhulgas filiaalis paiknevate nimistute</w:t>
      </w:r>
      <w:r w:rsidR="1DF8E15B" w:rsidRPr="0820B6CA">
        <w:rPr>
          <w:lang w:val="et-EE"/>
        </w:rPr>
        <w:t xml:space="preserve"> arvule järgmiselt: </w:t>
      </w:r>
    </w:p>
    <w:p w14:paraId="60EDFD20" w14:textId="5A98E4C6" w:rsidR="00976487" w:rsidRPr="00687DE8" w:rsidRDefault="1DF8E15B" w:rsidP="0820B6CA">
      <w:pPr>
        <w:pStyle w:val="Vahedeta"/>
        <w:divId w:val="1316184749"/>
        <w:rPr>
          <w:lang w:val="et-EE"/>
        </w:rPr>
      </w:pPr>
      <w:r w:rsidRPr="0820B6CA">
        <w:rPr>
          <w:lang w:val="et-EE"/>
        </w:rPr>
        <w:t>1) 1–6 perearsti nimistu</w:t>
      </w:r>
      <w:r w:rsidR="003F0A55">
        <w:rPr>
          <w:lang w:val="et-EE"/>
        </w:rPr>
        <w:t xml:space="preserve"> korral</w:t>
      </w:r>
      <w:r w:rsidRPr="0820B6CA">
        <w:rPr>
          <w:lang w:val="et-EE"/>
        </w:rPr>
        <w:t xml:space="preserve"> rakendatakse koefitsienti 1,00; </w:t>
      </w:r>
    </w:p>
    <w:p w14:paraId="672B02F1" w14:textId="554D45AE" w:rsidR="00976487" w:rsidRPr="00BD681B" w:rsidRDefault="006165FF" w:rsidP="0018351B">
      <w:pPr>
        <w:pStyle w:val="Vahedeta"/>
        <w:divId w:val="1316184749"/>
      </w:pPr>
      <w:r>
        <w:rPr>
          <w:lang w:val="et-EE"/>
        </w:rPr>
        <w:t xml:space="preserve">2) </w:t>
      </w:r>
      <w:r w:rsidR="1DF8E15B" w:rsidRPr="0820B6CA">
        <w:rPr>
          <w:lang w:val="et-EE"/>
        </w:rPr>
        <w:t xml:space="preserve">seitsme perearsti nimistu korral rakendatakse koefitsienti 0,88; </w:t>
      </w:r>
    </w:p>
    <w:p w14:paraId="7CF8E301" w14:textId="2EE84A97" w:rsidR="00976487" w:rsidRPr="00BD681B" w:rsidRDefault="006165FF" w:rsidP="00E30D6C">
      <w:pPr>
        <w:pStyle w:val="Vahedeta"/>
        <w:jc w:val="both"/>
        <w:divId w:val="1316184749"/>
      </w:pPr>
      <w:r>
        <w:rPr>
          <w:lang w:val="et-EE"/>
        </w:rPr>
        <w:t xml:space="preserve">3) </w:t>
      </w:r>
      <w:r w:rsidR="1DF8E15B" w:rsidRPr="0820B6CA">
        <w:rPr>
          <w:lang w:val="et-EE"/>
        </w:rPr>
        <w:t xml:space="preserve">alates kaheksandast perearsti nimistust </w:t>
      </w:r>
      <w:r w:rsidR="33EB1EAB" w:rsidRPr="59953EE9">
        <w:rPr>
          <w:lang w:val="et-EE"/>
        </w:rPr>
        <w:t>väheneb</w:t>
      </w:r>
      <w:r w:rsidR="1DF8E15B" w:rsidRPr="0820B6CA">
        <w:rPr>
          <w:lang w:val="et-EE"/>
        </w:rPr>
        <w:t xml:space="preserve"> tervisekeskuse baasraha maksmisel rakendatav koefitsient iga järg</w:t>
      </w:r>
      <w:r w:rsidR="00CF44BB">
        <w:rPr>
          <w:lang w:val="et-EE"/>
        </w:rPr>
        <w:t>mise</w:t>
      </w:r>
      <w:r w:rsidR="1DF8E15B" w:rsidRPr="0820B6CA">
        <w:rPr>
          <w:lang w:val="et-EE"/>
        </w:rPr>
        <w:t xml:space="preserve"> nimistu lisandumisel 0,005 võrra.</w:t>
      </w:r>
    </w:p>
    <w:p w14:paraId="73299FE3" w14:textId="3D0B5282" w:rsidR="00313B0A" w:rsidRPr="00687DE8" w:rsidRDefault="00313B0A" w:rsidP="00313B0A">
      <w:pPr>
        <w:spacing w:after="0" w:line="240" w:lineRule="auto"/>
        <w:jc w:val="both"/>
        <w:divId w:val="1316184749"/>
      </w:pPr>
    </w:p>
    <w:p w14:paraId="1EE7B17E" w14:textId="24E2CBBA" w:rsidR="00976487" w:rsidRPr="00687DE8" w:rsidRDefault="00976487" w:rsidP="00976487">
      <w:pPr>
        <w:pStyle w:val="Vahedeta"/>
        <w:jc w:val="both"/>
        <w:divId w:val="1316184749"/>
        <w:rPr>
          <w:szCs w:val="24"/>
          <w:shd w:val="clear" w:color="auto" w:fill="FFFFFF"/>
          <w:lang w:val="et-EE"/>
        </w:rPr>
      </w:pPr>
      <w:r w:rsidRPr="00687DE8">
        <w:rPr>
          <w:szCs w:val="24"/>
          <w:shd w:val="clear" w:color="auto" w:fill="FFFFFF"/>
          <w:lang w:val="et-EE"/>
        </w:rPr>
        <w:t>(</w:t>
      </w:r>
      <w:r w:rsidR="00B8546A">
        <w:rPr>
          <w:szCs w:val="24"/>
          <w:shd w:val="clear" w:color="auto" w:fill="FFFFFF"/>
          <w:lang w:val="et-EE"/>
        </w:rPr>
        <w:t>1</w:t>
      </w:r>
      <w:r w:rsidR="0018351B">
        <w:rPr>
          <w:szCs w:val="24"/>
          <w:shd w:val="clear" w:color="auto" w:fill="FFFFFF"/>
          <w:lang w:val="et-EE"/>
        </w:rPr>
        <w:t>0</w:t>
      </w:r>
      <w:r w:rsidRPr="00687DE8">
        <w:rPr>
          <w:szCs w:val="24"/>
          <w:shd w:val="clear" w:color="auto" w:fill="FFFFFF"/>
          <w:lang w:val="et-EE"/>
        </w:rPr>
        <w:t xml:space="preserve">) Tervisekeskuse filiaal käesoleva määruse tähenduses on tervisekeskuse tegevuskoht, mis ei asu tervisekeskusega ühtses taristus ja kus osutab </w:t>
      </w:r>
      <w:r w:rsidR="0071555A">
        <w:rPr>
          <w:szCs w:val="24"/>
          <w:shd w:val="clear" w:color="auto" w:fill="FFFFFF"/>
          <w:lang w:val="et-EE"/>
        </w:rPr>
        <w:t>pere</w:t>
      </w:r>
      <w:r w:rsidRPr="00687DE8">
        <w:rPr>
          <w:szCs w:val="24"/>
          <w:shd w:val="clear" w:color="auto" w:fill="FFFFFF"/>
          <w:lang w:val="et-EE"/>
        </w:rPr>
        <w:t>arstiabi kuni kaks nimistuga perearsti</w:t>
      </w:r>
      <w:r w:rsidR="00673640" w:rsidRPr="00687DE8">
        <w:rPr>
          <w:szCs w:val="24"/>
          <w:shd w:val="clear" w:color="auto" w:fill="FFFFFF"/>
          <w:lang w:val="et-EE"/>
        </w:rPr>
        <w:t>, vastutades tervisekeskusele esitatavate nõuete täitmise eest solidaarselt koos tervisekeskuses paiknevate nimistutega</w:t>
      </w:r>
      <w:r w:rsidRPr="00687DE8">
        <w:rPr>
          <w:szCs w:val="24"/>
          <w:shd w:val="clear" w:color="auto" w:fill="FFFFFF"/>
          <w:lang w:val="et-EE"/>
        </w:rPr>
        <w:t xml:space="preserve">. Filiaalis võib osutada ämmaemanda iseseisva vastuvõtu teenust, </w:t>
      </w:r>
      <w:r w:rsidRPr="00687DE8">
        <w:rPr>
          <w:szCs w:val="24"/>
          <w:shd w:val="clear" w:color="auto" w:fill="FFFFFF"/>
          <w:lang w:val="et-EE"/>
        </w:rPr>
        <w:lastRenderedPageBreak/>
        <w:t>füsioteraapiateenust ja koduõendusteenust juhul, kui on tagatud nimetatud teenuste osutamine tervisekeskuses. Tervisekeskusel võib olla mitu filiaali eri taristutes.</w:t>
      </w:r>
    </w:p>
    <w:p w14:paraId="38AC67D0" w14:textId="77777777" w:rsidR="00976487" w:rsidRPr="00687DE8" w:rsidRDefault="00976487" w:rsidP="00976487">
      <w:pPr>
        <w:spacing w:after="0" w:line="240" w:lineRule="auto"/>
        <w:jc w:val="both"/>
        <w:divId w:val="1316184749"/>
        <w:rPr>
          <w:szCs w:val="24"/>
        </w:rPr>
      </w:pPr>
    </w:p>
    <w:p w14:paraId="587E9A0A" w14:textId="307EBE03" w:rsidR="29718B27" w:rsidRPr="00687DE8" w:rsidRDefault="3781C035" w:rsidP="29718B27">
      <w:pPr>
        <w:spacing w:after="0" w:line="240" w:lineRule="auto"/>
        <w:jc w:val="both"/>
        <w:rPr>
          <w:szCs w:val="24"/>
        </w:rPr>
      </w:pPr>
      <w:bookmarkStart w:id="5" w:name="_Hlk129858052"/>
      <w:r>
        <w:t>(</w:t>
      </w:r>
      <w:r w:rsidR="7CDE7BF2">
        <w:t>1</w:t>
      </w:r>
      <w:r w:rsidR="0018351B">
        <w:t>1</w:t>
      </w:r>
      <w:r>
        <w:t xml:space="preserve">) Koodiga 3057 tähistatud lisatasu makstakse </w:t>
      </w:r>
      <w:r w:rsidR="00D96619">
        <w:t>tervisekeskusesse mittekuuluva</w:t>
      </w:r>
      <w:r w:rsidR="4B06A1D3">
        <w:t>t</w:t>
      </w:r>
      <w:r w:rsidR="00D96619">
        <w:t xml:space="preserve"> nimistu</w:t>
      </w:r>
      <w:r w:rsidR="64047BF7">
        <w:t>t</w:t>
      </w:r>
      <w:r w:rsidR="00D96619">
        <w:t xml:space="preserve"> </w:t>
      </w:r>
      <w:r w:rsidR="00380BAF">
        <w:t xml:space="preserve">teenindavale </w:t>
      </w:r>
      <w:r w:rsidR="004D0629">
        <w:t>tervishoiuteenuse osutaja</w:t>
      </w:r>
      <w:r w:rsidR="00380BAF">
        <w:t xml:space="preserve">le </w:t>
      </w:r>
      <w:r w:rsidR="00EE7A61">
        <w:t xml:space="preserve">mahus, mis vastab 1. detsembri 2025. a seisuga </w:t>
      </w:r>
      <w:r w:rsidR="00DC69FE">
        <w:t xml:space="preserve">makstavale lisatasule. </w:t>
      </w:r>
      <w:r w:rsidR="00021BFE">
        <w:t>Kliinilise assistendi</w:t>
      </w:r>
      <w:r w:rsidR="00E65830">
        <w:t xml:space="preserve"> </w:t>
      </w:r>
      <w:r w:rsidR="00021BFE">
        <w:t>/</w:t>
      </w:r>
      <w:r w:rsidR="00E65830">
        <w:t xml:space="preserve"> </w:t>
      </w:r>
      <w:r w:rsidR="00021BFE">
        <w:t>registraatoriga töösuhte lõpetamisel</w:t>
      </w:r>
      <w:r w:rsidR="00E97B53">
        <w:t xml:space="preserve"> lõpetatakse koodiga 3057 tähistatud lisata</w:t>
      </w:r>
      <w:r w:rsidR="009B40C9">
        <w:t>su</w:t>
      </w:r>
      <w:r w:rsidR="00E97B53">
        <w:t xml:space="preserve"> maksmine töölepingu lõppemise </w:t>
      </w:r>
      <w:r w:rsidR="009B40C9">
        <w:t>kalendri</w:t>
      </w:r>
      <w:r w:rsidR="00E97B53">
        <w:t>kuule</w:t>
      </w:r>
      <w:r w:rsidR="009B40C9">
        <w:t xml:space="preserve"> järgnevast kalendrikuust. </w:t>
      </w:r>
    </w:p>
    <w:p w14:paraId="5992C399" w14:textId="0D5CC994" w:rsidR="1F3FA69E" w:rsidRDefault="1F3FA69E" w:rsidP="1013A6C4">
      <w:pPr>
        <w:spacing w:after="0" w:line="240" w:lineRule="auto"/>
        <w:jc w:val="both"/>
        <w:rPr>
          <w:color w:val="202020"/>
        </w:rPr>
      </w:pPr>
    </w:p>
    <w:p w14:paraId="376E491B" w14:textId="5149430F" w:rsidR="505C28D9" w:rsidRDefault="505C28D9" w:rsidP="755315A2">
      <w:pPr>
        <w:pStyle w:val="Vahedeta"/>
        <w:jc w:val="both"/>
        <w:rPr>
          <w:lang w:val="et-EE"/>
        </w:rPr>
      </w:pPr>
      <w:r w:rsidRPr="755315A2">
        <w:rPr>
          <w:lang w:val="et-EE"/>
        </w:rPr>
        <w:t>(1</w:t>
      </w:r>
      <w:r w:rsidR="009B40C9">
        <w:rPr>
          <w:lang w:val="et-EE"/>
        </w:rPr>
        <w:t>2</w:t>
      </w:r>
      <w:r w:rsidRPr="755315A2">
        <w:rPr>
          <w:lang w:val="et-EE"/>
        </w:rPr>
        <w:t>) Koodiga 3052 tähistatud lisatasu makstakse ühele perearstiabi ravi rahastamise lepingut omavale tervishoiuteenuse osutajale kuni 12 kuud ühe nimistu kohta.</w:t>
      </w:r>
    </w:p>
    <w:p w14:paraId="4F75D6C3" w14:textId="06A1F698" w:rsidR="0398FD7B" w:rsidRPr="00687DE8" w:rsidRDefault="0398FD7B" w:rsidP="0398FD7B">
      <w:pPr>
        <w:spacing w:after="0" w:line="240" w:lineRule="auto"/>
        <w:jc w:val="both"/>
        <w:rPr>
          <w:color w:val="202020"/>
        </w:rPr>
      </w:pPr>
    </w:p>
    <w:p w14:paraId="64293867" w14:textId="3BADEFFC" w:rsidR="1C79870C" w:rsidRDefault="1C79870C" w:rsidP="0398FD7B">
      <w:pPr>
        <w:spacing w:after="0" w:line="240" w:lineRule="auto"/>
        <w:jc w:val="both"/>
        <w:rPr>
          <w:color w:val="202020"/>
        </w:rPr>
      </w:pPr>
      <w:r w:rsidRPr="755315A2">
        <w:rPr>
          <w:color w:val="202020"/>
        </w:rPr>
        <w:t>(</w:t>
      </w:r>
      <w:r w:rsidR="00C211F6" w:rsidRPr="755315A2">
        <w:rPr>
          <w:color w:val="202020"/>
        </w:rPr>
        <w:t>1</w:t>
      </w:r>
      <w:r w:rsidR="009B40C9">
        <w:rPr>
          <w:color w:val="202020"/>
        </w:rPr>
        <w:t>3</w:t>
      </w:r>
      <w:r w:rsidRPr="755315A2">
        <w:rPr>
          <w:color w:val="202020"/>
        </w:rPr>
        <w:t xml:space="preserve">) </w:t>
      </w:r>
      <w:r w:rsidR="0004013D" w:rsidRPr="755315A2">
        <w:rPr>
          <w:color w:val="202020"/>
        </w:rPr>
        <w:t>Koodiga 3129 tähistatud lisatasule rakendu</w:t>
      </w:r>
      <w:r w:rsidR="00707119" w:rsidRPr="755315A2">
        <w:rPr>
          <w:color w:val="202020"/>
        </w:rPr>
        <w:t>b</w:t>
      </w:r>
      <w:r w:rsidR="0004013D" w:rsidRPr="755315A2">
        <w:rPr>
          <w:color w:val="202020"/>
        </w:rPr>
        <w:t xml:space="preserve"> koefitsient kuni 1,0 vastavalt eriõe tegelikule töökoormusele.</w:t>
      </w:r>
    </w:p>
    <w:p w14:paraId="06BEEE42" w14:textId="77777777" w:rsidR="005D7CB7" w:rsidRPr="00687DE8" w:rsidRDefault="005D7CB7" w:rsidP="0398FD7B">
      <w:pPr>
        <w:spacing w:after="0" w:line="240" w:lineRule="auto"/>
        <w:jc w:val="both"/>
        <w:divId w:val="1316184749"/>
        <w:rPr>
          <w:color w:val="202020"/>
        </w:rPr>
      </w:pPr>
    </w:p>
    <w:p w14:paraId="235D929B" w14:textId="1ADC5963" w:rsidR="00A47934" w:rsidRDefault="00A47934" w:rsidP="1013A6C4">
      <w:pPr>
        <w:spacing w:after="0" w:line="240" w:lineRule="auto"/>
        <w:jc w:val="both"/>
        <w:rPr>
          <w:rFonts w:eastAsia="Calibri"/>
        </w:rPr>
      </w:pPr>
      <w:r w:rsidRPr="0063141B">
        <w:t>(</w:t>
      </w:r>
      <w:r w:rsidR="00806E22" w:rsidRPr="0063141B">
        <w:t>1</w:t>
      </w:r>
      <w:r w:rsidR="009B40C9">
        <w:t>4</w:t>
      </w:r>
      <w:r w:rsidRPr="0063141B">
        <w:t xml:space="preserve">) </w:t>
      </w:r>
      <w:r w:rsidRPr="0063141B">
        <w:rPr>
          <w:rFonts w:eastAsia="Calibri"/>
        </w:rPr>
        <w:t xml:space="preserve">Tervisekassa võtab koodiga </w:t>
      </w:r>
      <w:r w:rsidR="003747F4" w:rsidRPr="0063141B">
        <w:rPr>
          <w:rFonts w:eastAsia="Calibri"/>
        </w:rPr>
        <w:t>3129</w:t>
      </w:r>
      <w:r w:rsidRPr="0063141B">
        <w:rPr>
          <w:rFonts w:eastAsia="Calibri"/>
        </w:rPr>
        <w:t xml:space="preserve"> tähistatud tervishoiuteenuse eest tasu maksmise kohustuse üle </w:t>
      </w:r>
      <w:r w:rsidR="00D475E6" w:rsidRPr="0063141B">
        <w:rPr>
          <w:rFonts w:eastAsia="Calibri"/>
        </w:rPr>
        <w:t>juhul,</w:t>
      </w:r>
      <w:r w:rsidRPr="0063141B">
        <w:rPr>
          <w:rFonts w:eastAsia="Calibri"/>
        </w:rPr>
        <w:t xml:space="preserve"> kui </w:t>
      </w:r>
      <w:r w:rsidR="000F708D" w:rsidRPr="0063141B">
        <w:rPr>
          <w:rFonts w:eastAsia="Calibri"/>
        </w:rPr>
        <w:t>perearsti nimistut teenindab</w:t>
      </w:r>
      <w:r w:rsidRPr="0063141B">
        <w:rPr>
          <w:rFonts w:eastAsia="Calibri"/>
        </w:rPr>
        <w:t xml:space="preserve"> eriõe pädevusega isik, kes täidab eriõe pädevust nõudva</w:t>
      </w:r>
      <w:r w:rsidR="00E16199" w:rsidRPr="0063141B">
        <w:rPr>
          <w:rFonts w:eastAsia="Calibri"/>
        </w:rPr>
        <w:t>i</w:t>
      </w:r>
      <w:r w:rsidRPr="0063141B">
        <w:rPr>
          <w:rFonts w:eastAsia="Calibri"/>
        </w:rPr>
        <w:t>d ülesandeid</w:t>
      </w:r>
      <w:r w:rsidR="00692864" w:rsidRPr="0063141B">
        <w:rPr>
          <w:rFonts w:eastAsia="Calibri"/>
        </w:rPr>
        <w:t>, välja arvatud vaimse tervise õde, kelle eest makstak</w:t>
      </w:r>
      <w:r w:rsidR="00A89865" w:rsidRPr="0063141B">
        <w:rPr>
          <w:rFonts w:eastAsia="Calibri"/>
        </w:rPr>
        <w:t>s</w:t>
      </w:r>
      <w:r w:rsidR="00692864" w:rsidRPr="0063141B">
        <w:rPr>
          <w:rFonts w:eastAsia="Calibri"/>
        </w:rPr>
        <w:t xml:space="preserve">e koodiga </w:t>
      </w:r>
      <w:r w:rsidR="007F76E3">
        <w:rPr>
          <w:rFonts w:eastAsia="Calibri"/>
        </w:rPr>
        <w:t xml:space="preserve">3132 </w:t>
      </w:r>
      <w:r w:rsidR="00692864" w:rsidRPr="0063141B">
        <w:rPr>
          <w:rFonts w:eastAsia="Calibri"/>
        </w:rPr>
        <w:t>tähistatud lisatasu.</w:t>
      </w:r>
    </w:p>
    <w:p w14:paraId="3C7D2886" w14:textId="77777777" w:rsidR="001561E4" w:rsidRDefault="001561E4" w:rsidP="001561E4">
      <w:pPr>
        <w:spacing w:after="0" w:line="240" w:lineRule="auto"/>
        <w:jc w:val="both"/>
        <w:rPr>
          <w:szCs w:val="24"/>
        </w:rPr>
      </w:pPr>
    </w:p>
    <w:p w14:paraId="6D22C592" w14:textId="24513202" w:rsidR="00077CC1" w:rsidRPr="00077CC1" w:rsidRDefault="00077CC1" w:rsidP="00077CC1">
      <w:pPr>
        <w:spacing w:after="0" w:line="240" w:lineRule="auto"/>
        <w:jc w:val="both"/>
      </w:pPr>
      <w:bookmarkStart w:id="6" w:name="_Hlk191654251"/>
      <w:r>
        <w:t>(</w:t>
      </w:r>
      <w:r w:rsidR="3C0B06CC">
        <w:t>1</w:t>
      </w:r>
      <w:r w:rsidR="009B40C9">
        <w:t>5</w:t>
      </w:r>
      <w:r>
        <w:t xml:space="preserve">) Koodiga </w:t>
      </w:r>
      <w:r w:rsidR="007F76E3">
        <w:t xml:space="preserve">3132 </w:t>
      </w:r>
      <w:r>
        <w:t>tähistatud lisatasule rakendub koefitsient vastavalt vaimse tervise õe tegelikule töökoormusele, mis ei tohi olla suurem kui 0,25 ühe kinnitatud nimistuga töötava perearsti kohta.</w:t>
      </w:r>
    </w:p>
    <w:bookmarkEnd w:id="6"/>
    <w:p w14:paraId="00E032CE" w14:textId="77777777" w:rsidR="00A47934" w:rsidRPr="00687DE8" w:rsidRDefault="00A47934" w:rsidP="119F3E55">
      <w:pPr>
        <w:spacing w:after="0" w:line="240" w:lineRule="auto"/>
        <w:jc w:val="both"/>
        <w:divId w:val="1316184749"/>
        <w:rPr>
          <w:szCs w:val="24"/>
        </w:rPr>
      </w:pPr>
    </w:p>
    <w:bookmarkEnd w:id="5"/>
    <w:p w14:paraId="54E134BC" w14:textId="0C81F019" w:rsidR="00976487" w:rsidRPr="00687DE8" w:rsidRDefault="00976487" w:rsidP="00976487">
      <w:pPr>
        <w:spacing w:after="0" w:line="240" w:lineRule="auto"/>
        <w:jc w:val="both"/>
        <w:divId w:val="1316184749"/>
      </w:pPr>
      <w:r>
        <w:t>(</w:t>
      </w:r>
      <w:r w:rsidR="72F36C78">
        <w:t>1</w:t>
      </w:r>
      <w:r w:rsidR="009B40C9">
        <w:t>6</w:t>
      </w:r>
      <w:r>
        <w:t>) Lisatasu rakendamise tingimused ja piirhind kalendriaastas on järgmised:</w:t>
      </w:r>
    </w:p>
    <w:p w14:paraId="5EB1058F" w14:textId="77777777" w:rsidR="00976487" w:rsidRPr="00687DE8" w:rsidRDefault="00976487" w:rsidP="00976487">
      <w:pPr>
        <w:spacing w:after="0" w:line="240" w:lineRule="auto"/>
        <w:jc w:val="both"/>
        <w:divId w:val="1316184749"/>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1"/>
        <w:gridCol w:w="1104"/>
        <w:gridCol w:w="1470"/>
      </w:tblGrid>
      <w:tr w:rsidR="00976487" w:rsidRPr="00687DE8" w14:paraId="34CB7353" w14:textId="77777777" w:rsidTr="00BC2B9B">
        <w:trPr>
          <w:divId w:val="1316184749"/>
          <w:tblHeader/>
        </w:trPr>
        <w:tc>
          <w:tcPr>
            <w:tcW w:w="6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2F230E" w14:textId="77777777" w:rsidR="00976487" w:rsidRPr="00687DE8" w:rsidRDefault="00976487">
            <w:pPr>
              <w:spacing w:after="0" w:line="240" w:lineRule="auto"/>
              <w:jc w:val="center"/>
              <w:rPr>
                <w:szCs w:val="24"/>
              </w:rPr>
            </w:pPr>
            <w:r w:rsidRPr="00687DE8">
              <w:rPr>
                <w:b/>
                <w:bCs/>
                <w:szCs w:val="24"/>
              </w:rPr>
              <w:t>Lisatasu</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609D56" w14:textId="77777777" w:rsidR="00976487" w:rsidRPr="00687DE8" w:rsidRDefault="00976487">
            <w:pPr>
              <w:spacing w:after="0" w:line="240" w:lineRule="auto"/>
              <w:jc w:val="center"/>
              <w:rPr>
                <w:szCs w:val="24"/>
              </w:rPr>
            </w:pPr>
            <w:r w:rsidRPr="00687DE8">
              <w:rPr>
                <w:b/>
                <w:bCs/>
                <w:szCs w:val="24"/>
              </w:rPr>
              <w:t>Kood</w:t>
            </w: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80D07F"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BC2B9B" w:rsidRPr="00687DE8" w14:paraId="4B87ACE6" w14:textId="77777777" w:rsidTr="00EB7A71">
        <w:trPr>
          <w:divId w:val="1316184749"/>
          <w:trHeight w:val="300"/>
        </w:trPr>
        <w:tc>
          <w:tcPr>
            <w:tcW w:w="6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8826D2" w14:textId="7174C72B" w:rsidR="00BC2B9B" w:rsidRPr="00687DE8" w:rsidRDefault="5089D45F" w:rsidP="0820B6CA">
            <w:pPr>
              <w:spacing w:before="105" w:after="0" w:line="240" w:lineRule="auto"/>
              <w:rPr>
                <w:szCs w:val="24"/>
              </w:rPr>
            </w:pPr>
            <w:r w:rsidRPr="00530743">
              <w:rPr>
                <w:rFonts w:eastAsia="Arial"/>
                <w:color w:val="202020"/>
                <w:szCs w:val="24"/>
              </w:rPr>
              <w:t>Lisatasu kinnitatud nimistuga töötavale perearstile haigusi ennetava ja krooniliste haigete jälgimise tulemusliku töö eest, kui nimistu juures töötab üks pereõde</w:t>
            </w:r>
          </w:p>
          <w:p w14:paraId="7C141329" w14:textId="466EBACB" w:rsidR="00BC2B9B" w:rsidRPr="00687DE8" w:rsidRDefault="00BC2B9B" w:rsidP="00BC2B9B">
            <w:pPr>
              <w:spacing w:after="0" w:line="240" w:lineRule="auto"/>
              <w:rPr>
                <w:szCs w:val="24"/>
              </w:rPr>
            </w:pP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300E32" w14:textId="77777777" w:rsidR="00BC2B9B" w:rsidRPr="00687DE8" w:rsidRDefault="00BC2B9B" w:rsidP="00BC2B9B">
            <w:pPr>
              <w:spacing w:after="0" w:line="240" w:lineRule="auto"/>
              <w:jc w:val="center"/>
              <w:rPr>
                <w:szCs w:val="24"/>
              </w:rPr>
            </w:pPr>
          </w:p>
          <w:p w14:paraId="339D6935" w14:textId="77777777" w:rsidR="00BC2B9B" w:rsidRPr="00687DE8" w:rsidRDefault="00BC2B9B" w:rsidP="00BC2B9B">
            <w:pPr>
              <w:spacing w:after="0" w:line="240" w:lineRule="auto"/>
              <w:jc w:val="center"/>
              <w:rPr>
                <w:szCs w:val="24"/>
              </w:rPr>
            </w:pPr>
            <w:r w:rsidRPr="00687DE8">
              <w:rPr>
                <w:szCs w:val="24"/>
              </w:rPr>
              <w:t>3061</w:t>
            </w: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2A888F" w14:textId="6C1331B0" w:rsidR="00BC2B9B" w:rsidRPr="00687DE8" w:rsidRDefault="00326955" w:rsidP="00BC2B9B">
            <w:pPr>
              <w:spacing w:after="0"/>
              <w:jc w:val="center"/>
              <w:rPr>
                <w:rFonts w:eastAsia="Calibri"/>
                <w:color w:val="000000" w:themeColor="text1"/>
                <w:szCs w:val="24"/>
              </w:rPr>
            </w:pPr>
            <w:r>
              <w:rPr>
                <w:color w:val="000000"/>
              </w:rPr>
              <w:t>5 965,98</w:t>
            </w:r>
          </w:p>
        </w:tc>
      </w:tr>
      <w:tr w:rsidR="00BC2B9B" w:rsidRPr="00687DE8" w14:paraId="7F191201" w14:textId="77777777" w:rsidTr="00EB7A71">
        <w:trPr>
          <w:divId w:val="1316184749"/>
          <w:trHeight w:val="300"/>
        </w:trPr>
        <w:tc>
          <w:tcPr>
            <w:tcW w:w="6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00CDEB" w14:textId="349E52B2" w:rsidR="00BC2B9B" w:rsidRPr="00687DE8" w:rsidRDefault="00BC2B9B" w:rsidP="00BC2B9B">
            <w:pPr>
              <w:spacing w:after="0" w:line="240" w:lineRule="auto"/>
              <w:rPr>
                <w:szCs w:val="24"/>
              </w:rPr>
            </w:pPr>
            <w:r w:rsidRPr="00687DE8">
              <w:rPr>
                <w:szCs w:val="24"/>
              </w:rPr>
              <w:t>Lisatasu kinnitatud nimistuga töötavale perearstile, haigusi ennetava ja krooniliste haigete jälgimise tulemusliku töö eest</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E88C75" w14:textId="77777777" w:rsidR="00BC2B9B" w:rsidRPr="00687DE8" w:rsidRDefault="00BC2B9B" w:rsidP="00BC2B9B">
            <w:pPr>
              <w:spacing w:after="0" w:line="240" w:lineRule="auto"/>
              <w:jc w:val="center"/>
              <w:rPr>
                <w:szCs w:val="24"/>
              </w:rPr>
            </w:pPr>
          </w:p>
          <w:p w14:paraId="1061476A" w14:textId="77777777" w:rsidR="00BC2B9B" w:rsidRPr="00687DE8" w:rsidRDefault="00BC2B9B" w:rsidP="00BC2B9B">
            <w:pPr>
              <w:spacing w:after="0" w:line="240" w:lineRule="auto"/>
              <w:jc w:val="center"/>
              <w:rPr>
                <w:szCs w:val="24"/>
              </w:rPr>
            </w:pPr>
          </w:p>
          <w:p w14:paraId="7EFD57FD" w14:textId="77777777" w:rsidR="00BC2B9B" w:rsidRPr="00687DE8" w:rsidRDefault="00BC2B9B" w:rsidP="00BC2B9B">
            <w:pPr>
              <w:spacing w:after="0" w:line="240" w:lineRule="auto"/>
              <w:jc w:val="center"/>
              <w:rPr>
                <w:szCs w:val="24"/>
              </w:rPr>
            </w:pPr>
            <w:r w:rsidRPr="00687DE8">
              <w:rPr>
                <w:szCs w:val="24"/>
              </w:rPr>
              <w:t>3069</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5658401" w14:textId="376616E3" w:rsidR="00BC2B9B" w:rsidRPr="00687DE8" w:rsidRDefault="00326955" w:rsidP="00BC2B9B">
            <w:pPr>
              <w:spacing w:after="0"/>
              <w:jc w:val="center"/>
              <w:rPr>
                <w:rFonts w:eastAsia="Calibri"/>
                <w:color w:val="000000" w:themeColor="text1"/>
                <w:szCs w:val="24"/>
              </w:rPr>
            </w:pPr>
            <w:r>
              <w:rPr>
                <w:color w:val="000000"/>
              </w:rPr>
              <w:t>7 470,92</w:t>
            </w:r>
          </w:p>
        </w:tc>
      </w:tr>
      <w:tr w:rsidR="00BC2B9B" w:rsidRPr="00687DE8" w14:paraId="67B15715" w14:textId="77777777" w:rsidTr="00EB7A71">
        <w:trPr>
          <w:divId w:val="1316184749"/>
          <w:trHeight w:val="300"/>
        </w:trPr>
        <w:tc>
          <w:tcPr>
            <w:tcW w:w="6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D4BCED" w14:textId="77777777" w:rsidR="00BC2B9B" w:rsidRPr="00687DE8" w:rsidRDefault="00BC2B9B" w:rsidP="00BC2B9B">
            <w:pPr>
              <w:spacing w:after="0" w:line="240" w:lineRule="auto"/>
              <w:rPr>
                <w:szCs w:val="24"/>
              </w:rPr>
            </w:pPr>
            <w:r w:rsidRPr="00687DE8">
              <w:rPr>
                <w:szCs w:val="24"/>
              </w:rPr>
              <w:t>Lisatasu kinnitatud nimistuga töötavale perearstile erialase lisapädevuse eest</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60C703" w14:textId="77777777" w:rsidR="00BC2B9B" w:rsidRPr="00687DE8" w:rsidRDefault="00BC2B9B" w:rsidP="00BC2B9B">
            <w:pPr>
              <w:spacing w:after="0" w:line="240" w:lineRule="auto"/>
              <w:jc w:val="center"/>
              <w:rPr>
                <w:szCs w:val="24"/>
              </w:rPr>
            </w:pPr>
          </w:p>
          <w:p w14:paraId="5EBF7BC1" w14:textId="77777777" w:rsidR="00BC2B9B" w:rsidRPr="00687DE8" w:rsidRDefault="00BC2B9B" w:rsidP="00BC2B9B">
            <w:pPr>
              <w:spacing w:after="0" w:line="240" w:lineRule="auto"/>
              <w:jc w:val="center"/>
              <w:rPr>
                <w:szCs w:val="24"/>
              </w:rPr>
            </w:pPr>
            <w:r w:rsidRPr="00687DE8">
              <w:rPr>
                <w:szCs w:val="24"/>
              </w:rPr>
              <w:t>3062</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019B5A" w14:textId="6288D64F" w:rsidR="00BC2B9B" w:rsidRPr="00687DE8" w:rsidRDefault="00326955" w:rsidP="00BC2B9B">
            <w:pPr>
              <w:spacing w:after="0"/>
              <w:jc w:val="center"/>
              <w:rPr>
                <w:rFonts w:eastAsia="Calibri"/>
                <w:color w:val="000000" w:themeColor="text1"/>
                <w:szCs w:val="24"/>
              </w:rPr>
            </w:pPr>
            <w:r>
              <w:rPr>
                <w:color w:val="000000"/>
              </w:rPr>
              <w:t>1 306,20</w:t>
            </w:r>
          </w:p>
        </w:tc>
      </w:tr>
      <w:tr w:rsidR="00BC2B9B" w:rsidRPr="00687DE8" w14:paraId="52AA3A6F" w14:textId="77777777" w:rsidTr="00EB7A71">
        <w:trPr>
          <w:divId w:val="1316184749"/>
          <w:trHeight w:val="300"/>
        </w:trPr>
        <w:tc>
          <w:tcPr>
            <w:tcW w:w="6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AB5989" w14:textId="77777777" w:rsidR="00BC2B9B" w:rsidRPr="00687DE8" w:rsidRDefault="00BC2B9B" w:rsidP="00BC2B9B">
            <w:pPr>
              <w:spacing w:after="0" w:line="240" w:lineRule="auto"/>
              <w:rPr>
                <w:szCs w:val="24"/>
              </w:rPr>
            </w:pPr>
            <w:r w:rsidRPr="00687DE8">
              <w:rPr>
                <w:szCs w:val="24"/>
              </w:rPr>
              <w:t>Lisatasu kinnitatud nimistuga töötavale perearstile jämesoolevähi ennetuse eest</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9694F7" w14:textId="77777777" w:rsidR="00BC2B9B" w:rsidRPr="00687DE8" w:rsidRDefault="00BC2B9B" w:rsidP="00BC2B9B">
            <w:pPr>
              <w:spacing w:after="0" w:line="240" w:lineRule="auto"/>
              <w:jc w:val="center"/>
              <w:rPr>
                <w:szCs w:val="24"/>
              </w:rPr>
            </w:pPr>
          </w:p>
          <w:p w14:paraId="18DDAA6A" w14:textId="77777777" w:rsidR="00BC2B9B" w:rsidRPr="00687DE8" w:rsidRDefault="00BC2B9B" w:rsidP="00BC2B9B">
            <w:pPr>
              <w:spacing w:after="0" w:line="240" w:lineRule="auto"/>
              <w:jc w:val="center"/>
              <w:rPr>
                <w:szCs w:val="24"/>
              </w:rPr>
            </w:pPr>
            <w:r w:rsidRPr="00687DE8">
              <w:rPr>
                <w:szCs w:val="24"/>
              </w:rPr>
              <w:t>3083</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4B29BEC" w14:textId="3692785B" w:rsidR="00BC2B9B" w:rsidRPr="00687DE8" w:rsidRDefault="00326955" w:rsidP="00BC2B9B">
            <w:pPr>
              <w:spacing w:after="0"/>
              <w:jc w:val="center"/>
              <w:rPr>
                <w:rFonts w:eastAsia="Calibri"/>
                <w:color w:val="000000" w:themeColor="text1"/>
                <w:szCs w:val="24"/>
              </w:rPr>
            </w:pPr>
            <w:r>
              <w:rPr>
                <w:color w:val="000000"/>
              </w:rPr>
              <w:t>1 306,20</w:t>
            </w:r>
          </w:p>
        </w:tc>
      </w:tr>
    </w:tbl>
    <w:p w14:paraId="6B0A8E8E" w14:textId="77777777" w:rsidR="00976487" w:rsidRPr="00687DE8" w:rsidRDefault="00976487" w:rsidP="00976487">
      <w:pPr>
        <w:spacing w:after="0" w:line="240" w:lineRule="auto"/>
        <w:jc w:val="both"/>
        <w:divId w:val="1316184749"/>
        <w:rPr>
          <w:szCs w:val="24"/>
        </w:rPr>
      </w:pPr>
    </w:p>
    <w:p w14:paraId="0F0BD1A7" w14:textId="0F0439F0" w:rsidR="00976487" w:rsidRPr="00687DE8" w:rsidRDefault="00976487" w:rsidP="00976487">
      <w:pPr>
        <w:spacing w:after="0" w:line="240" w:lineRule="auto"/>
        <w:jc w:val="both"/>
        <w:divId w:val="1316184749"/>
      </w:pPr>
      <w:r>
        <w:t>(</w:t>
      </w:r>
      <w:r w:rsidR="69730624">
        <w:t>1</w:t>
      </w:r>
      <w:r w:rsidR="009B40C9">
        <w:t>7</w:t>
      </w:r>
      <w:r>
        <w:t xml:space="preserve">) </w:t>
      </w:r>
      <w:r w:rsidR="008E35E3">
        <w:t xml:space="preserve">Koodidega 3061, 3069, 3062 ja 3083 tähistatud lisatasu makstakse koefitsiendiga kuni 1,0. Koefitsiendi suuruse määrab </w:t>
      </w:r>
      <w:r w:rsidR="005023FD">
        <w:t>Tervisekassa</w:t>
      </w:r>
      <w:r w:rsidR="008E35E3">
        <w:t xml:space="preserve"> ravikindlustuse seaduse § 32 alusel kehtestatud määruses sätestatud korras.</w:t>
      </w:r>
    </w:p>
    <w:p w14:paraId="5376B514" w14:textId="77777777" w:rsidR="008E35E3" w:rsidRPr="00687DE8" w:rsidRDefault="008E35E3" w:rsidP="00976487">
      <w:pPr>
        <w:spacing w:after="0" w:line="240" w:lineRule="auto"/>
        <w:jc w:val="both"/>
        <w:divId w:val="1316184749"/>
        <w:rPr>
          <w:szCs w:val="24"/>
        </w:rPr>
      </w:pPr>
    </w:p>
    <w:p w14:paraId="0C0DB010" w14:textId="143976B5" w:rsidR="008E35E3" w:rsidRPr="00687DE8" w:rsidRDefault="00276A96" w:rsidP="008E35E3">
      <w:pPr>
        <w:spacing w:after="0" w:line="240" w:lineRule="auto"/>
        <w:jc w:val="both"/>
        <w:divId w:val="1316184749"/>
      </w:pPr>
      <w:r>
        <w:t>(</w:t>
      </w:r>
      <w:r w:rsidR="5FB2411D">
        <w:t>1</w:t>
      </w:r>
      <w:r w:rsidR="009B40C9">
        <w:t>8</w:t>
      </w:r>
      <w:r w:rsidR="00976487">
        <w:t xml:space="preserve">) </w:t>
      </w:r>
      <w:r w:rsidR="1DAC4E98">
        <w:t xml:space="preserve">Koodiga 3061 tähistatud lisatasu makstakse juhul, kui Tervisekassa on </w:t>
      </w:r>
      <w:r w:rsidR="00406EE6">
        <w:t xml:space="preserve">hinnataval </w:t>
      </w:r>
      <w:r w:rsidR="1DAC4E98">
        <w:t>kalendriaastal maksnud perearstile koodidega 3301</w:t>
      </w:r>
      <w:r w:rsidR="003A1F10">
        <w:t>–</w:t>
      </w:r>
      <w:r w:rsidR="1DAC4E98">
        <w:t>3314 tähistatud pearaha koefitsiendiga 0,58 või kui nimistu suurus on 1200 või väiksem.</w:t>
      </w:r>
    </w:p>
    <w:p w14:paraId="530D113D" w14:textId="7B61D24D" w:rsidR="00976487" w:rsidRPr="007F2A88" w:rsidRDefault="00976487" w:rsidP="007F2A88">
      <w:pPr>
        <w:spacing w:after="0" w:line="240" w:lineRule="auto"/>
        <w:jc w:val="both"/>
        <w:divId w:val="1316184749"/>
        <w:rPr>
          <w:szCs w:val="24"/>
        </w:rPr>
      </w:pPr>
    </w:p>
    <w:p w14:paraId="375B39E9" w14:textId="77777777" w:rsidR="00976487" w:rsidRDefault="00976487" w:rsidP="00976487">
      <w:pPr>
        <w:spacing w:after="0" w:line="240" w:lineRule="auto"/>
        <w:outlineLvl w:val="2"/>
        <w:divId w:val="1316184749"/>
        <w:rPr>
          <w:b/>
        </w:rPr>
      </w:pPr>
      <w:r w:rsidRPr="5C3F78E7">
        <w:rPr>
          <w:b/>
        </w:rPr>
        <w:lastRenderedPageBreak/>
        <w:t xml:space="preserve">§ </w:t>
      </w:r>
      <w:r w:rsidR="0076079F" w:rsidRPr="5C3F78E7">
        <w:rPr>
          <w:b/>
        </w:rPr>
        <w:t>4</w:t>
      </w:r>
      <w:r w:rsidRPr="5C3F78E7">
        <w:rPr>
          <w:b/>
        </w:rPr>
        <w:t>. Üleriigilise perearsti nõuandetelefoni teenus</w:t>
      </w:r>
    </w:p>
    <w:p w14:paraId="442DD0EC" w14:textId="01250115" w:rsidR="5C3F78E7" w:rsidRDefault="5C3F78E7" w:rsidP="5C3F78E7">
      <w:pPr>
        <w:spacing w:after="0" w:line="240" w:lineRule="auto"/>
        <w:outlineLvl w:val="2"/>
        <w:rPr>
          <w:b/>
          <w:bCs/>
        </w:rPr>
      </w:pPr>
    </w:p>
    <w:p w14:paraId="41C976F0" w14:textId="44789722" w:rsidR="00976487" w:rsidRPr="003E5485" w:rsidRDefault="00B2439C" w:rsidP="00E65830">
      <w:pPr>
        <w:pStyle w:val="Loendilik"/>
        <w:numPr>
          <w:ilvl w:val="0"/>
          <w:numId w:val="28"/>
        </w:numPr>
        <w:spacing w:after="0" w:line="240" w:lineRule="auto"/>
        <w:ind w:left="284" w:hanging="284"/>
        <w:jc w:val="both"/>
        <w:divId w:val="1316184749"/>
      </w:pPr>
      <w:r>
        <w:t xml:space="preserve"> </w:t>
      </w:r>
      <w:r w:rsidR="00976487">
        <w:t>Üleriigilise perearsti nõuandetelefoni teenuse piirhind ühes kalendrikuus on järgmine:</w:t>
      </w:r>
    </w:p>
    <w:p w14:paraId="68E4A01D" w14:textId="77777777" w:rsidR="00976487" w:rsidRPr="00687DE8" w:rsidRDefault="00976487" w:rsidP="00976487">
      <w:pPr>
        <w:pStyle w:val="Vahedeta"/>
        <w:divId w:val="1316184749"/>
        <w:rPr>
          <w:szCs w:val="24"/>
          <w:lang w:val="et-EE" w:eastAsia="et-EE"/>
        </w:rPr>
      </w:pPr>
    </w:p>
    <w:tbl>
      <w:tblPr>
        <w:tblStyle w:val="Kontuurtabel"/>
        <w:tblW w:w="5000" w:type="pct"/>
        <w:tblLook w:val="04A0" w:firstRow="1" w:lastRow="0" w:firstColumn="1" w:lastColumn="0" w:noHBand="0" w:noVBand="1"/>
      </w:tblPr>
      <w:tblGrid>
        <w:gridCol w:w="6677"/>
        <w:gridCol w:w="838"/>
        <w:gridCol w:w="1860"/>
      </w:tblGrid>
      <w:tr w:rsidR="00976487" w:rsidRPr="00687DE8" w14:paraId="2ACB99FC" w14:textId="77777777" w:rsidTr="00DD79D3">
        <w:trPr>
          <w:divId w:val="1316184749"/>
        </w:trPr>
        <w:tc>
          <w:tcPr>
            <w:tcW w:w="6676" w:type="dxa"/>
            <w:hideMark/>
          </w:tcPr>
          <w:p w14:paraId="25DF6AF4" w14:textId="77777777" w:rsidR="00976487" w:rsidRPr="00687DE8" w:rsidRDefault="00976487">
            <w:pPr>
              <w:jc w:val="center"/>
              <w:rPr>
                <w:b/>
                <w:bCs/>
                <w:szCs w:val="24"/>
              </w:rPr>
            </w:pPr>
            <w:r w:rsidRPr="00687DE8">
              <w:rPr>
                <w:b/>
                <w:bCs/>
                <w:szCs w:val="24"/>
              </w:rPr>
              <w:t>Tervishoiuteenuse nimetus</w:t>
            </w:r>
          </w:p>
        </w:tc>
        <w:tc>
          <w:tcPr>
            <w:tcW w:w="838" w:type="dxa"/>
            <w:hideMark/>
          </w:tcPr>
          <w:p w14:paraId="0716D422" w14:textId="77777777" w:rsidR="00976487" w:rsidRPr="00687DE8" w:rsidRDefault="00976487">
            <w:pPr>
              <w:jc w:val="center"/>
              <w:rPr>
                <w:b/>
                <w:bCs/>
                <w:szCs w:val="24"/>
              </w:rPr>
            </w:pPr>
            <w:r w:rsidRPr="00687DE8">
              <w:rPr>
                <w:b/>
                <w:bCs/>
                <w:szCs w:val="24"/>
              </w:rPr>
              <w:t>Kood</w:t>
            </w:r>
          </w:p>
        </w:tc>
        <w:tc>
          <w:tcPr>
            <w:tcW w:w="1860" w:type="dxa"/>
            <w:hideMark/>
          </w:tcPr>
          <w:p w14:paraId="11D4C664" w14:textId="77777777" w:rsidR="00976487" w:rsidRPr="00687DE8" w:rsidRDefault="00976487">
            <w:pPr>
              <w:jc w:val="center"/>
              <w:rPr>
                <w:b/>
                <w:bCs/>
                <w:szCs w:val="24"/>
              </w:rPr>
            </w:pPr>
            <w:r w:rsidRPr="00687DE8">
              <w:rPr>
                <w:b/>
                <w:bCs/>
                <w:szCs w:val="24"/>
              </w:rPr>
              <w:t>Piirhind</w:t>
            </w:r>
            <w:r w:rsidRPr="00687DE8">
              <w:rPr>
                <w:b/>
                <w:bCs/>
                <w:szCs w:val="24"/>
              </w:rPr>
              <w:br/>
              <w:t>eurodes</w:t>
            </w:r>
          </w:p>
        </w:tc>
      </w:tr>
      <w:tr w:rsidR="00976487" w:rsidRPr="00687DE8" w14:paraId="68D0897C" w14:textId="77777777" w:rsidTr="00DD79D3">
        <w:trPr>
          <w:divId w:val="1316184749"/>
          <w:trHeight w:val="438"/>
        </w:trPr>
        <w:tc>
          <w:tcPr>
            <w:tcW w:w="6676" w:type="dxa"/>
            <w:hideMark/>
          </w:tcPr>
          <w:p w14:paraId="5FDF201A" w14:textId="77777777" w:rsidR="00976487" w:rsidRPr="00687DE8" w:rsidRDefault="00976487">
            <w:pPr>
              <w:rPr>
                <w:szCs w:val="24"/>
              </w:rPr>
            </w:pPr>
            <w:r w:rsidRPr="00687DE8">
              <w:rPr>
                <w:szCs w:val="24"/>
              </w:rPr>
              <w:t>Üleriigilise perearsti nõuandetelefoni ööpäevaringne teenus ühes kalendrikuus</w:t>
            </w:r>
          </w:p>
        </w:tc>
        <w:tc>
          <w:tcPr>
            <w:tcW w:w="838" w:type="dxa"/>
          </w:tcPr>
          <w:p w14:paraId="0DDF7132" w14:textId="77777777" w:rsidR="00976487" w:rsidRPr="00687DE8" w:rsidRDefault="00976487">
            <w:pPr>
              <w:jc w:val="center"/>
              <w:rPr>
                <w:szCs w:val="24"/>
              </w:rPr>
            </w:pPr>
          </w:p>
          <w:p w14:paraId="50064648" w14:textId="77777777" w:rsidR="00976487" w:rsidRPr="00687DE8" w:rsidRDefault="00976487">
            <w:pPr>
              <w:jc w:val="center"/>
              <w:rPr>
                <w:szCs w:val="24"/>
              </w:rPr>
            </w:pPr>
            <w:r w:rsidRPr="00687DE8">
              <w:rPr>
                <w:szCs w:val="24"/>
              </w:rPr>
              <w:t>3090</w:t>
            </w:r>
          </w:p>
        </w:tc>
        <w:tc>
          <w:tcPr>
            <w:tcW w:w="1860" w:type="dxa"/>
          </w:tcPr>
          <w:p w14:paraId="63993EFD" w14:textId="5A6A2E01" w:rsidR="00323EB9" w:rsidRPr="00687DE8" w:rsidRDefault="00323EB9" w:rsidP="6E4E92A6">
            <w:pPr>
              <w:jc w:val="center"/>
              <w:rPr>
                <w:szCs w:val="24"/>
              </w:rPr>
            </w:pPr>
          </w:p>
          <w:p w14:paraId="15A666F9" w14:textId="2C2004DD" w:rsidR="00991EB1" w:rsidRPr="00323EB9" w:rsidRDefault="00991EB1" w:rsidP="00323EB9">
            <w:pPr>
              <w:jc w:val="center"/>
              <w:rPr>
                <w:rFonts w:eastAsia="Calibri"/>
                <w:color w:val="000000" w:themeColor="text1"/>
              </w:rPr>
            </w:pPr>
          </w:p>
          <w:p w14:paraId="32A24610" w14:textId="77777777" w:rsidR="00991EB1" w:rsidRPr="00991EB1" w:rsidRDefault="00991EB1" w:rsidP="00991EB1">
            <w:pPr>
              <w:jc w:val="center"/>
              <w:rPr>
                <w:rFonts w:eastAsia="Calibri"/>
                <w:color w:val="000000" w:themeColor="text1"/>
              </w:rPr>
            </w:pPr>
            <w:r w:rsidRPr="00991EB1">
              <w:rPr>
                <w:rFonts w:eastAsia="Calibri"/>
                <w:color w:val="000000" w:themeColor="text1"/>
              </w:rPr>
              <w:t>115 692,82</w:t>
            </w:r>
          </w:p>
          <w:p w14:paraId="5BC69C64" w14:textId="4D5A20BA" w:rsidR="00323EB9" w:rsidRPr="00323EB9" w:rsidRDefault="00323EB9" w:rsidP="00323EB9">
            <w:pPr>
              <w:jc w:val="center"/>
              <w:rPr>
                <w:rFonts w:eastAsia="Calibri"/>
                <w:color w:val="000000" w:themeColor="text1"/>
              </w:rPr>
            </w:pPr>
          </w:p>
          <w:p w14:paraId="64B698B6" w14:textId="7EE99F82" w:rsidR="48242DE0" w:rsidRPr="00687DE8" w:rsidRDefault="48242DE0" w:rsidP="6E4E92A6">
            <w:pPr>
              <w:jc w:val="center"/>
              <w:rPr>
                <w:szCs w:val="24"/>
              </w:rPr>
            </w:pPr>
          </w:p>
        </w:tc>
      </w:tr>
    </w:tbl>
    <w:p w14:paraId="6D4A56FD" w14:textId="77777777" w:rsidR="00976487" w:rsidRPr="00687DE8" w:rsidRDefault="00976487" w:rsidP="00976487">
      <w:pPr>
        <w:spacing w:after="0" w:line="240" w:lineRule="auto"/>
        <w:jc w:val="both"/>
        <w:divId w:val="1316184749"/>
        <w:rPr>
          <w:szCs w:val="24"/>
        </w:rPr>
      </w:pPr>
    </w:p>
    <w:p w14:paraId="57F8294F" w14:textId="77777777" w:rsidR="00976487" w:rsidRPr="00687DE8" w:rsidRDefault="00976487" w:rsidP="00976487">
      <w:pPr>
        <w:spacing w:after="0" w:line="240" w:lineRule="auto"/>
        <w:jc w:val="both"/>
        <w:divId w:val="1316184749"/>
        <w:rPr>
          <w:szCs w:val="24"/>
        </w:rPr>
      </w:pPr>
      <w:r w:rsidRPr="00687DE8">
        <w:rPr>
          <w:szCs w:val="24"/>
        </w:rPr>
        <w:t>(2) Üleriigilise perearsti nõuandetelefoni ühes telefonikõnes antud konsultatsiooni piirhind on järgmine:</w:t>
      </w:r>
    </w:p>
    <w:p w14:paraId="6655B036" w14:textId="77777777" w:rsidR="00976487" w:rsidRPr="00687DE8" w:rsidRDefault="00976487" w:rsidP="00976487">
      <w:pPr>
        <w:shd w:val="clear" w:color="auto" w:fill="FFFFFF"/>
        <w:spacing w:after="0" w:line="240" w:lineRule="auto"/>
        <w:divId w:val="1316184749"/>
        <w:rPr>
          <w:color w:val="202020"/>
          <w:szCs w:val="24"/>
          <w:lang w:val="sv-SE" w:eastAsia="et-EE"/>
        </w:rPr>
      </w:pPr>
    </w:p>
    <w:tbl>
      <w:tblPr>
        <w:tblStyle w:val="Kontuurtabel"/>
        <w:tblW w:w="5000" w:type="pct"/>
        <w:tblInd w:w="-5" w:type="dxa"/>
        <w:tblLook w:val="04A0" w:firstRow="1" w:lastRow="0" w:firstColumn="1" w:lastColumn="0" w:noHBand="0" w:noVBand="1"/>
      </w:tblPr>
      <w:tblGrid>
        <w:gridCol w:w="7223"/>
        <w:gridCol w:w="850"/>
        <w:gridCol w:w="1302"/>
      </w:tblGrid>
      <w:tr w:rsidR="00976487" w:rsidRPr="00687DE8" w14:paraId="3949781C" w14:textId="77777777" w:rsidTr="00D30B8D">
        <w:trPr>
          <w:divId w:val="1316184749"/>
        </w:trPr>
        <w:tc>
          <w:tcPr>
            <w:tcW w:w="7222" w:type="dxa"/>
            <w:hideMark/>
          </w:tcPr>
          <w:p w14:paraId="0055F2C5" w14:textId="77777777" w:rsidR="00976487" w:rsidRPr="00687DE8" w:rsidRDefault="00976487">
            <w:pPr>
              <w:jc w:val="center"/>
              <w:rPr>
                <w:b/>
                <w:bCs/>
                <w:szCs w:val="24"/>
              </w:rPr>
            </w:pPr>
            <w:r w:rsidRPr="00687DE8">
              <w:rPr>
                <w:b/>
                <w:bCs/>
                <w:szCs w:val="24"/>
              </w:rPr>
              <w:t>Tervishoiuteenuse nimetus</w:t>
            </w:r>
          </w:p>
        </w:tc>
        <w:tc>
          <w:tcPr>
            <w:tcW w:w="850" w:type="dxa"/>
            <w:hideMark/>
          </w:tcPr>
          <w:p w14:paraId="7C4F194C" w14:textId="77777777" w:rsidR="00976487" w:rsidRPr="00687DE8" w:rsidRDefault="00976487">
            <w:pPr>
              <w:jc w:val="center"/>
              <w:rPr>
                <w:b/>
                <w:bCs/>
                <w:szCs w:val="24"/>
              </w:rPr>
            </w:pPr>
            <w:r w:rsidRPr="00687DE8">
              <w:rPr>
                <w:b/>
                <w:bCs/>
                <w:szCs w:val="24"/>
              </w:rPr>
              <w:t>Kood</w:t>
            </w:r>
          </w:p>
        </w:tc>
        <w:tc>
          <w:tcPr>
            <w:tcW w:w="1302" w:type="dxa"/>
            <w:hideMark/>
          </w:tcPr>
          <w:p w14:paraId="018A7F7C" w14:textId="77777777" w:rsidR="00976487" w:rsidRPr="00687DE8" w:rsidRDefault="00976487">
            <w:pPr>
              <w:jc w:val="center"/>
              <w:rPr>
                <w:b/>
                <w:bCs/>
                <w:szCs w:val="24"/>
              </w:rPr>
            </w:pPr>
            <w:r w:rsidRPr="00687DE8">
              <w:rPr>
                <w:b/>
                <w:bCs/>
                <w:szCs w:val="24"/>
              </w:rPr>
              <w:t>Piirhind</w:t>
            </w:r>
            <w:r w:rsidRPr="00687DE8">
              <w:rPr>
                <w:b/>
                <w:bCs/>
                <w:szCs w:val="24"/>
              </w:rPr>
              <w:br/>
              <w:t>eurodes</w:t>
            </w:r>
          </w:p>
        </w:tc>
      </w:tr>
      <w:tr w:rsidR="00976487" w:rsidRPr="00687DE8" w14:paraId="74EAA05B" w14:textId="77777777" w:rsidTr="00D30B8D">
        <w:trPr>
          <w:divId w:val="1316184749"/>
          <w:trHeight w:val="300"/>
        </w:trPr>
        <w:tc>
          <w:tcPr>
            <w:tcW w:w="7222" w:type="dxa"/>
            <w:hideMark/>
          </w:tcPr>
          <w:p w14:paraId="5291AFA0" w14:textId="77777777" w:rsidR="00976487" w:rsidRPr="00687DE8" w:rsidRDefault="00976487">
            <w:pPr>
              <w:rPr>
                <w:color w:val="202020"/>
                <w:szCs w:val="24"/>
                <w:lang w:eastAsia="et-EE"/>
              </w:rPr>
            </w:pPr>
            <w:r w:rsidRPr="00687DE8">
              <w:rPr>
                <w:szCs w:val="24"/>
              </w:rPr>
              <w:t>Üleriigilise perearsti nõuandetelefoni konsultatsioon</w:t>
            </w:r>
          </w:p>
        </w:tc>
        <w:tc>
          <w:tcPr>
            <w:tcW w:w="850" w:type="dxa"/>
            <w:hideMark/>
          </w:tcPr>
          <w:p w14:paraId="3A0B702E" w14:textId="77777777" w:rsidR="00976487" w:rsidRPr="00687DE8" w:rsidRDefault="00976487">
            <w:pPr>
              <w:jc w:val="center"/>
              <w:rPr>
                <w:szCs w:val="24"/>
              </w:rPr>
            </w:pPr>
            <w:r w:rsidRPr="00687DE8">
              <w:rPr>
                <w:szCs w:val="24"/>
              </w:rPr>
              <w:t>3091</w:t>
            </w:r>
          </w:p>
        </w:tc>
        <w:tc>
          <w:tcPr>
            <w:tcW w:w="1302" w:type="dxa"/>
            <w:hideMark/>
          </w:tcPr>
          <w:p w14:paraId="406CA4C2" w14:textId="77777777" w:rsidR="00F656F8" w:rsidRDefault="00F656F8" w:rsidP="00F656F8">
            <w:pPr>
              <w:jc w:val="center"/>
              <w:rPr>
                <w:color w:val="000000"/>
              </w:rPr>
            </w:pPr>
            <w:r>
              <w:rPr>
                <w:color w:val="000000"/>
              </w:rPr>
              <w:t>2,17</w:t>
            </w:r>
          </w:p>
          <w:p w14:paraId="20321A53" w14:textId="11303EDC" w:rsidR="62E079DB" w:rsidRPr="00687DE8" w:rsidRDefault="62E079DB" w:rsidP="6E4E92A6">
            <w:pPr>
              <w:jc w:val="center"/>
              <w:rPr>
                <w:rFonts w:eastAsia="Calibri"/>
                <w:color w:val="000000" w:themeColor="text1"/>
              </w:rPr>
            </w:pPr>
          </w:p>
        </w:tc>
      </w:tr>
    </w:tbl>
    <w:p w14:paraId="6816BF5D" w14:textId="77777777" w:rsidR="00976487" w:rsidRPr="00687DE8" w:rsidRDefault="00976487" w:rsidP="00976487">
      <w:pPr>
        <w:spacing w:after="0" w:line="240" w:lineRule="auto"/>
        <w:jc w:val="both"/>
        <w:divId w:val="1316184749"/>
        <w:rPr>
          <w:szCs w:val="24"/>
        </w:rPr>
      </w:pPr>
    </w:p>
    <w:p w14:paraId="4BB839D0" w14:textId="708FEE00" w:rsidR="00976487" w:rsidRPr="00687DE8" w:rsidRDefault="00976487" w:rsidP="00976487">
      <w:pPr>
        <w:spacing w:after="0" w:line="240" w:lineRule="auto"/>
        <w:jc w:val="both"/>
        <w:divId w:val="1316184749"/>
      </w:pPr>
      <w:r>
        <w:t xml:space="preserve">(3) </w:t>
      </w:r>
      <w:r w:rsidR="005023FD">
        <w:t>Tervisekassa</w:t>
      </w:r>
      <w:r>
        <w:t xml:space="preserve"> võtab koodidega 3090 </w:t>
      </w:r>
      <w:r w:rsidR="00D06250">
        <w:t>ja</w:t>
      </w:r>
      <w:r>
        <w:t xml:space="preserve"> 3091 tähistatud tervishoiuteenuste eest tasu maksmise kohustuse üle ühelt tervishoiuteenuse osutajalt temaga sõlmitud ravi rahastamise lepingus kokku</w:t>
      </w:r>
      <w:r w:rsidR="001F0B57">
        <w:t xml:space="preserve"> </w:t>
      </w:r>
      <w:r>
        <w:t>lepitud tingimustel ja korras.</w:t>
      </w:r>
    </w:p>
    <w:p w14:paraId="758EB108" w14:textId="77777777" w:rsidR="00976487" w:rsidRPr="00687DE8" w:rsidRDefault="00976487" w:rsidP="00976487">
      <w:pPr>
        <w:spacing w:after="0" w:line="240" w:lineRule="auto"/>
        <w:outlineLvl w:val="2"/>
        <w:divId w:val="1316184749"/>
        <w:rPr>
          <w:b/>
          <w:bCs/>
          <w:szCs w:val="24"/>
        </w:rPr>
      </w:pPr>
    </w:p>
    <w:p w14:paraId="7E2A8341" w14:textId="61C0FF1D" w:rsidR="00976487" w:rsidRDefault="00976487" w:rsidP="5E6ECD53">
      <w:pPr>
        <w:spacing w:after="0" w:line="240" w:lineRule="auto"/>
        <w:outlineLvl w:val="2"/>
        <w:divId w:val="1316184749"/>
        <w:rPr>
          <w:b/>
          <w:bCs/>
        </w:rPr>
      </w:pPr>
      <w:r w:rsidRPr="5E6ECD53">
        <w:rPr>
          <w:b/>
          <w:bCs/>
        </w:rPr>
        <w:t xml:space="preserve">§ </w:t>
      </w:r>
      <w:r w:rsidR="0076079F" w:rsidRPr="5E6ECD53">
        <w:rPr>
          <w:b/>
          <w:bCs/>
        </w:rPr>
        <w:t>5</w:t>
      </w:r>
      <w:r w:rsidRPr="5E6ECD53">
        <w:rPr>
          <w:b/>
          <w:bCs/>
        </w:rPr>
        <w:t>. Koolitervishoiuteenus</w:t>
      </w:r>
    </w:p>
    <w:p w14:paraId="06413B73" w14:textId="754123DA" w:rsidR="5C3F78E7" w:rsidRDefault="5C3F78E7" w:rsidP="5C3F78E7">
      <w:pPr>
        <w:spacing w:after="0" w:line="240" w:lineRule="auto"/>
        <w:outlineLvl w:val="2"/>
        <w:rPr>
          <w:b/>
          <w:bCs/>
        </w:rPr>
      </w:pPr>
    </w:p>
    <w:p w14:paraId="3FFA3E7D" w14:textId="432E8120" w:rsidR="00976487" w:rsidRPr="00687DE8" w:rsidRDefault="00976487" w:rsidP="00976487">
      <w:pPr>
        <w:spacing w:after="0" w:line="240" w:lineRule="auto"/>
        <w:jc w:val="both"/>
        <w:divId w:val="1316184749"/>
        <w:rPr>
          <w:szCs w:val="24"/>
        </w:rPr>
      </w:pPr>
      <w:r w:rsidRPr="00687DE8">
        <w:rPr>
          <w:szCs w:val="24"/>
        </w:rPr>
        <w:t xml:space="preserve">(1) </w:t>
      </w:r>
      <w:r w:rsidR="005023FD" w:rsidRPr="00687DE8">
        <w:rPr>
          <w:szCs w:val="24"/>
        </w:rPr>
        <w:t>Tervisekassa</w:t>
      </w:r>
      <w:r w:rsidRPr="00687DE8">
        <w:rPr>
          <w:szCs w:val="24"/>
        </w:rPr>
        <w:t xml:space="preserve"> võtab koolitervishoiuteenuse eest tasu maksmise kohustuse üle </w:t>
      </w:r>
      <w:r w:rsidR="004A5472" w:rsidRPr="00687DE8">
        <w:rPr>
          <w:szCs w:val="24"/>
        </w:rPr>
        <w:t xml:space="preserve">12 </w:t>
      </w:r>
      <w:r w:rsidRPr="00687DE8">
        <w:rPr>
          <w:szCs w:val="24"/>
        </w:rPr>
        <w:t>kalendrikuul aastas.</w:t>
      </w:r>
    </w:p>
    <w:p w14:paraId="7E3C0E35" w14:textId="77777777" w:rsidR="00976487" w:rsidRPr="00687DE8" w:rsidRDefault="00976487" w:rsidP="00976487">
      <w:pPr>
        <w:spacing w:after="0" w:line="240" w:lineRule="auto"/>
        <w:jc w:val="both"/>
        <w:divId w:val="1316184749"/>
        <w:rPr>
          <w:szCs w:val="24"/>
        </w:rPr>
      </w:pPr>
    </w:p>
    <w:p w14:paraId="41A80BBB" w14:textId="4D4ECE7F" w:rsidR="00E1461F" w:rsidRDefault="00E1461F" w:rsidP="00000475">
      <w:pPr>
        <w:spacing w:after="0" w:line="240" w:lineRule="auto"/>
        <w:jc w:val="both"/>
        <w:divId w:val="1316184749"/>
        <w:rPr>
          <w:szCs w:val="24"/>
        </w:rPr>
      </w:pPr>
      <w:r>
        <w:rPr>
          <w:szCs w:val="24"/>
        </w:rPr>
        <w:t>(</w:t>
      </w:r>
      <w:r w:rsidR="00C0542F">
        <w:rPr>
          <w:szCs w:val="24"/>
        </w:rPr>
        <w:t>2</w:t>
      </w:r>
      <w:r>
        <w:rPr>
          <w:szCs w:val="24"/>
        </w:rPr>
        <w:t xml:space="preserve">) </w:t>
      </w:r>
      <w:r w:rsidRPr="00E1461F">
        <w:rPr>
          <w:szCs w:val="24"/>
        </w:rPr>
        <w:t>Koolitervishoiuteenuse piirhind ühe õpilase kohta ühes kalendrikuus on järgmine:</w:t>
      </w:r>
    </w:p>
    <w:p w14:paraId="4FF67DC6" w14:textId="77777777" w:rsidR="00E1461F" w:rsidRDefault="00E1461F" w:rsidP="00000475">
      <w:pPr>
        <w:spacing w:after="0" w:line="240" w:lineRule="auto"/>
        <w:jc w:val="both"/>
        <w:divId w:val="1316184749"/>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134"/>
        <w:gridCol w:w="1134"/>
      </w:tblGrid>
      <w:tr w:rsidR="00CB674C" w:rsidRPr="004204EC" w14:paraId="597D0E50" w14:textId="77777777" w:rsidTr="00CB674C">
        <w:trPr>
          <w:divId w:val="1316184749"/>
          <w:tblHeader/>
        </w:trPr>
        <w:tc>
          <w:tcPr>
            <w:tcW w:w="70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50F043" w14:textId="254A637D" w:rsidR="00CB674C" w:rsidRPr="004204EC" w:rsidRDefault="00CB674C">
            <w:pPr>
              <w:spacing w:after="0" w:line="240" w:lineRule="auto"/>
              <w:jc w:val="center"/>
              <w:rPr>
                <w:szCs w:val="24"/>
              </w:rPr>
            </w:pPr>
            <w:r w:rsidRPr="004204EC">
              <w:rPr>
                <w:b/>
                <w:bCs/>
                <w:szCs w:val="24"/>
              </w:rPr>
              <w:t>Tervishoiuteenuse nimetus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1DEE43" w14:textId="77777777" w:rsidR="00CB674C" w:rsidRPr="004204EC" w:rsidRDefault="00CB674C">
            <w:pPr>
              <w:spacing w:after="0" w:line="240" w:lineRule="auto"/>
              <w:jc w:val="center"/>
              <w:rPr>
                <w:szCs w:val="24"/>
              </w:rPr>
            </w:pPr>
            <w:r w:rsidRPr="004204EC">
              <w:rPr>
                <w:b/>
                <w:bCs/>
                <w:szCs w:val="24"/>
              </w:rPr>
              <w:t>Kood</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4A7BD3" w14:textId="77777777" w:rsidR="00CB674C" w:rsidRPr="004204EC" w:rsidRDefault="00CB674C">
            <w:pPr>
              <w:tabs>
                <w:tab w:val="decimal" w:pos="635"/>
              </w:tabs>
              <w:spacing w:after="0" w:line="240" w:lineRule="auto"/>
              <w:jc w:val="center"/>
              <w:rPr>
                <w:szCs w:val="24"/>
              </w:rPr>
            </w:pPr>
            <w:r w:rsidRPr="004204EC">
              <w:rPr>
                <w:b/>
                <w:bCs/>
                <w:szCs w:val="24"/>
              </w:rPr>
              <w:t>Piirhind</w:t>
            </w:r>
            <w:r w:rsidRPr="004204EC">
              <w:rPr>
                <w:b/>
                <w:bCs/>
                <w:szCs w:val="24"/>
              </w:rPr>
              <w:br/>
              <w:t>eurodes</w:t>
            </w:r>
          </w:p>
        </w:tc>
      </w:tr>
      <w:tr w:rsidR="00295AA1" w:rsidRPr="004204EC" w14:paraId="560A9295" w14:textId="77777777" w:rsidTr="00EB7A71">
        <w:trPr>
          <w:divId w:val="1316184749"/>
          <w:trHeight w:val="300"/>
        </w:trPr>
        <w:tc>
          <w:tcPr>
            <w:tcW w:w="70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9B09E6" w14:textId="77777777" w:rsidR="00295AA1" w:rsidRPr="004204EC" w:rsidRDefault="00295AA1" w:rsidP="00295AA1">
            <w:pPr>
              <w:spacing w:after="0" w:line="240" w:lineRule="auto"/>
              <w:rPr>
                <w:szCs w:val="24"/>
              </w:rPr>
            </w:pPr>
            <w:r w:rsidRPr="004204EC">
              <w:rPr>
                <w:szCs w:val="24"/>
              </w:rPr>
              <w:t>Koolitervishoiuteenus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D7998B" w14:textId="77777777" w:rsidR="00295AA1" w:rsidRPr="006919AE" w:rsidRDefault="00295AA1" w:rsidP="00295AA1">
            <w:pPr>
              <w:spacing w:after="0" w:line="240" w:lineRule="auto"/>
              <w:jc w:val="center"/>
              <w:rPr>
                <w:szCs w:val="24"/>
              </w:rPr>
            </w:pPr>
            <w:r w:rsidRPr="006919AE">
              <w:rPr>
                <w:szCs w:val="24"/>
              </w:rPr>
              <w:t>3081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2A2CEE" w14:textId="02E848B4" w:rsidR="00295AA1" w:rsidRPr="004204EC" w:rsidRDefault="00210D43" w:rsidP="00295AA1">
            <w:pPr>
              <w:spacing w:after="0"/>
              <w:jc w:val="center"/>
              <w:rPr>
                <w:rFonts w:eastAsia="Calibri"/>
                <w:color w:val="000000"/>
                <w:szCs w:val="24"/>
              </w:rPr>
            </w:pPr>
            <w:r>
              <w:rPr>
                <w:color w:val="000000"/>
              </w:rPr>
              <w:t>6,48</w:t>
            </w:r>
          </w:p>
        </w:tc>
      </w:tr>
      <w:tr w:rsidR="00295AA1" w:rsidRPr="004204EC" w14:paraId="614B987B" w14:textId="77777777" w:rsidTr="00EB7A71">
        <w:trPr>
          <w:divId w:val="1316184749"/>
          <w:trHeight w:val="300"/>
        </w:trPr>
        <w:tc>
          <w:tcPr>
            <w:tcW w:w="70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A63C29" w14:textId="77777777" w:rsidR="00295AA1" w:rsidRPr="004204EC" w:rsidRDefault="00295AA1" w:rsidP="00295AA1">
            <w:pPr>
              <w:spacing w:after="0" w:line="240" w:lineRule="auto"/>
              <w:rPr>
                <w:szCs w:val="24"/>
              </w:rPr>
            </w:pPr>
            <w:r w:rsidRPr="004204EC">
              <w:rPr>
                <w:szCs w:val="24"/>
              </w:rPr>
              <w:t>Koolitervishoiuteenus erituge vajavale õpilasele</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17C09F" w14:textId="77777777" w:rsidR="00295AA1" w:rsidRPr="006919AE" w:rsidRDefault="00295AA1" w:rsidP="00295AA1">
            <w:pPr>
              <w:spacing w:after="0" w:line="240" w:lineRule="auto"/>
              <w:jc w:val="center"/>
              <w:rPr>
                <w:szCs w:val="24"/>
              </w:rPr>
            </w:pPr>
            <w:r w:rsidRPr="006919AE">
              <w:rPr>
                <w:szCs w:val="24"/>
              </w:rPr>
              <w:t>3082</w:t>
            </w:r>
          </w:p>
        </w:tc>
        <w:tc>
          <w:tcPr>
            <w:tcW w:w="113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455E9D" w14:textId="2439DF82" w:rsidR="00295AA1" w:rsidRPr="004204EC" w:rsidRDefault="00210D43" w:rsidP="00295AA1">
            <w:pPr>
              <w:spacing w:after="0"/>
              <w:jc w:val="center"/>
              <w:rPr>
                <w:rFonts w:eastAsia="Calibri"/>
                <w:color w:val="000000"/>
                <w:szCs w:val="24"/>
              </w:rPr>
            </w:pPr>
            <w:r>
              <w:rPr>
                <w:color w:val="000000"/>
              </w:rPr>
              <w:t>30,15</w:t>
            </w:r>
          </w:p>
        </w:tc>
      </w:tr>
      <w:tr w:rsidR="00295AA1" w:rsidRPr="004204EC" w14:paraId="53E73F49" w14:textId="77777777" w:rsidTr="00EB7A71">
        <w:trPr>
          <w:divId w:val="1316184749"/>
          <w:trHeight w:val="300"/>
        </w:trPr>
        <w:tc>
          <w:tcPr>
            <w:tcW w:w="70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2592A8" w14:textId="77777777" w:rsidR="00295AA1" w:rsidRPr="004204EC" w:rsidRDefault="00295AA1" w:rsidP="00295AA1">
            <w:pPr>
              <w:spacing w:after="0" w:line="240" w:lineRule="auto"/>
              <w:rPr>
                <w:szCs w:val="24"/>
              </w:rPr>
            </w:pPr>
            <w:r w:rsidRPr="004204EC">
              <w:rPr>
                <w:szCs w:val="24"/>
              </w:rPr>
              <w:t>Koolitervishoiuteenus tõhustatud tuge vajavale õpilasele</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78070E" w14:textId="77777777" w:rsidR="00295AA1" w:rsidRPr="006919AE" w:rsidRDefault="00295AA1" w:rsidP="00295AA1">
            <w:pPr>
              <w:spacing w:after="0" w:line="240" w:lineRule="auto"/>
              <w:jc w:val="center"/>
              <w:rPr>
                <w:szCs w:val="24"/>
              </w:rPr>
            </w:pPr>
            <w:r w:rsidRPr="006919AE">
              <w:rPr>
                <w:szCs w:val="24"/>
              </w:rPr>
              <w:t>3182</w:t>
            </w:r>
          </w:p>
        </w:tc>
        <w:tc>
          <w:tcPr>
            <w:tcW w:w="113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FB37D9F" w14:textId="5B4047F5" w:rsidR="00295AA1" w:rsidRPr="004204EC" w:rsidRDefault="00210D43" w:rsidP="00295AA1">
            <w:pPr>
              <w:spacing w:after="0"/>
              <w:jc w:val="center"/>
              <w:rPr>
                <w:rFonts w:eastAsia="Calibri"/>
                <w:color w:val="000000"/>
                <w:szCs w:val="24"/>
              </w:rPr>
            </w:pPr>
            <w:r>
              <w:rPr>
                <w:color w:val="000000"/>
              </w:rPr>
              <w:t>8,81</w:t>
            </w:r>
          </w:p>
        </w:tc>
      </w:tr>
    </w:tbl>
    <w:p w14:paraId="71E0C6D1" w14:textId="77777777" w:rsidR="00F2437E" w:rsidRPr="00687DE8" w:rsidRDefault="00F2437E" w:rsidP="00000475">
      <w:pPr>
        <w:spacing w:after="0" w:line="240" w:lineRule="auto"/>
        <w:jc w:val="both"/>
        <w:divId w:val="1316184749"/>
        <w:rPr>
          <w:szCs w:val="24"/>
        </w:rPr>
      </w:pPr>
    </w:p>
    <w:p w14:paraId="4EA2DF64" w14:textId="6354CE74" w:rsidR="42CB3EE3" w:rsidRPr="00687DE8" w:rsidRDefault="7E26AF6B" w:rsidP="008B60C1">
      <w:pPr>
        <w:spacing w:after="0" w:line="240" w:lineRule="auto"/>
        <w:jc w:val="both"/>
        <w:rPr>
          <w:szCs w:val="24"/>
        </w:rPr>
      </w:pPr>
      <w:r w:rsidRPr="00687DE8">
        <w:rPr>
          <w:szCs w:val="24"/>
        </w:rPr>
        <w:t>(</w:t>
      </w:r>
      <w:r w:rsidR="00C0542F">
        <w:rPr>
          <w:szCs w:val="24"/>
        </w:rPr>
        <w:t>3</w:t>
      </w:r>
      <w:r w:rsidRPr="00687DE8">
        <w:rPr>
          <w:szCs w:val="24"/>
        </w:rPr>
        <w:t xml:space="preserve">) </w:t>
      </w:r>
      <w:r w:rsidR="42CB3EE3" w:rsidRPr="00687DE8">
        <w:rPr>
          <w:szCs w:val="24"/>
        </w:rPr>
        <w:t>Koodidega 3081, 3082 ja 3182 tähistatud tervishoiuteenuste eest tasumisel rakendatakse koefitsienti 1,05, kui teenuse osana on tagatud</w:t>
      </w:r>
      <w:r w:rsidR="00C432FE">
        <w:rPr>
          <w:szCs w:val="24"/>
        </w:rPr>
        <w:t>, et</w:t>
      </w:r>
      <w:r w:rsidR="42CB3EE3" w:rsidRPr="00687DE8">
        <w:rPr>
          <w:szCs w:val="24"/>
        </w:rPr>
        <w:t xml:space="preserve"> vaimse tervise õ</w:t>
      </w:r>
      <w:r w:rsidR="00C432FE">
        <w:rPr>
          <w:szCs w:val="24"/>
        </w:rPr>
        <w:t>d</w:t>
      </w:r>
      <w:r w:rsidR="42CB3EE3" w:rsidRPr="00687DE8">
        <w:rPr>
          <w:szCs w:val="24"/>
        </w:rPr>
        <w:t xml:space="preserve">e </w:t>
      </w:r>
      <w:r w:rsidR="00C432FE" w:rsidRPr="00687DE8">
        <w:rPr>
          <w:szCs w:val="24"/>
        </w:rPr>
        <w:t>juhenda</w:t>
      </w:r>
      <w:r w:rsidR="00C432FE">
        <w:rPr>
          <w:szCs w:val="24"/>
        </w:rPr>
        <w:t xml:space="preserve">b </w:t>
      </w:r>
      <w:r w:rsidR="00C432FE" w:rsidRPr="00687DE8">
        <w:rPr>
          <w:szCs w:val="24"/>
        </w:rPr>
        <w:t>kooliõ</w:t>
      </w:r>
      <w:r w:rsidR="00C432FE">
        <w:rPr>
          <w:szCs w:val="24"/>
        </w:rPr>
        <w:t>d</w:t>
      </w:r>
      <w:r w:rsidR="00C432FE" w:rsidRPr="00687DE8">
        <w:rPr>
          <w:szCs w:val="24"/>
        </w:rPr>
        <w:t xml:space="preserve">e </w:t>
      </w:r>
      <w:r w:rsidR="42CB3EE3" w:rsidRPr="00687DE8">
        <w:rPr>
          <w:szCs w:val="24"/>
        </w:rPr>
        <w:t>koolitervishoiuteenuse rahastamise lepingu lisas kokku</w:t>
      </w:r>
      <w:r w:rsidR="001F0B57" w:rsidRPr="00687DE8">
        <w:rPr>
          <w:szCs w:val="24"/>
        </w:rPr>
        <w:t xml:space="preserve"> </w:t>
      </w:r>
      <w:r w:rsidR="42CB3EE3" w:rsidRPr="00687DE8">
        <w:rPr>
          <w:szCs w:val="24"/>
        </w:rPr>
        <w:t>lepitud tingimustel ja korras.</w:t>
      </w:r>
    </w:p>
    <w:p w14:paraId="264FC3B0" w14:textId="77777777" w:rsidR="00000475" w:rsidRPr="00687DE8" w:rsidRDefault="00000475" w:rsidP="00000475">
      <w:pPr>
        <w:spacing w:after="0" w:line="240" w:lineRule="auto"/>
        <w:jc w:val="both"/>
        <w:divId w:val="1316184749"/>
        <w:rPr>
          <w:szCs w:val="24"/>
        </w:rPr>
      </w:pPr>
    </w:p>
    <w:p w14:paraId="5D12F9B2" w14:textId="47811CB2" w:rsidR="00000475" w:rsidRPr="00687DE8" w:rsidRDefault="00000475" w:rsidP="00000475">
      <w:pPr>
        <w:spacing w:after="0" w:line="240" w:lineRule="auto"/>
        <w:jc w:val="both"/>
        <w:divId w:val="1316184749"/>
      </w:pPr>
      <w:r>
        <w:t>(</w:t>
      </w:r>
      <w:r w:rsidR="00053178">
        <w:t>4</w:t>
      </w:r>
      <w:r>
        <w:t xml:space="preserve">) </w:t>
      </w:r>
      <w:r w:rsidRPr="00272BF7">
        <w:t>Koodiga</w:t>
      </w:r>
      <w:r>
        <w:t xml:space="preserve"> 3081 tähistatud tervishoiuteenuse piirhinda rakendatakse teenuse osutamisel </w:t>
      </w:r>
      <w:r w:rsidR="00FD3E48">
        <w:t xml:space="preserve">õpilasele, kes omandab </w:t>
      </w:r>
      <w:r>
        <w:t>statsionaarses õppes põhiharidust või üldkeskharidust, samuti kutseõppe tasemeõppe statsionaarses õppevormis õppivale kuni 19-aastasele (k</w:t>
      </w:r>
      <w:r w:rsidR="00216028">
        <w:t>aasa</w:t>
      </w:r>
      <w:r w:rsidR="00A40861">
        <w:t xml:space="preserve"> arvatud</w:t>
      </w:r>
      <w:r>
        <w:t xml:space="preserve">) õpilasele, välja arvatud </w:t>
      </w:r>
      <w:r w:rsidR="00184C74">
        <w:t xml:space="preserve">juhul, kui osutatakse koodiga 3082 </w:t>
      </w:r>
      <w:r w:rsidR="00184C74" w:rsidRPr="00C758A8">
        <w:t>või 3182 tähistatud</w:t>
      </w:r>
      <w:r w:rsidR="00184C74">
        <w:t xml:space="preserve"> tervishoiuteenust</w:t>
      </w:r>
      <w:r w:rsidR="00272BF7">
        <w:t>.</w:t>
      </w:r>
    </w:p>
    <w:p w14:paraId="1BF7152C" w14:textId="77777777" w:rsidR="00E1461F" w:rsidRDefault="00E1461F" w:rsidP="00000475">
      <w:pPr>
        <w:spacing w:after="0" w:line="240" w:lineRule="auto"/>
        <w:jc w:val="both"/>
        <w:divId w:val="1316184749"/>
      </w:pPr>
    </w:p>
    <w:p w14:paraId="63493B5A" w14:textId="54CC6404" w:rsidR="007964B7" w:rsidRPr="00687DE8" w:rsidRDefault="00E1461F" w:rsidP="00000475">
      <w:pPr>
        <w:spacing w:after="0" w:line="240" w:lineRule="auto"/>
        <w:jc w:val="both"/>
        <w:divId w:val="1316184749"/>
      </w:pPr>
      <w:r>
        <w:lastRenderedPageBreak/>
        <w:t>(</w:t>
      </w:r>
      <w:r w:rsidR="00E81AA3">
        <w:t>5</w:t>
      </w:r>
      <w:r>
        <w:t xml:space="preserve">) </w:t>
      </w:r>
      <w:r w:rsidR="007964B7" w:rsidRPr="007964B7">
        <w:t xml:space="preserve">Koodiga </w:t>
      </w:r>
      <w:r w:rsidR="007964B7" w:rsidRPr="006919AE">
        <w:t xml:space="preserve">3082 tähistatud tervishoiuteenuse piirhinda rakendatakse teenuse osutamisel erituge vajavale õpilasele, kes omandab statsionaarses õppes põhiharidust või üldkeskharidust, </w:t>
      </w:r>
      <w:r w:rsidR="006919AE" w:rsidRPr="006919AE">
        <w:t>samuti</w:t>
      </w:r>
      <w:r w:rsidR="007964B7" w:rsidRPr="006919AE">
        <w:t xml:space="preserve"> kutseõppe tasemeõppe statsionaarses õppevormis õppivale</w:t>
      </w:r>
      <w:r w:rsidR="00CF2149">
        <w:t xml:space="preserve"> põhjalikku pedagoogilist sekkumist vajavale</w:t>
      </w:r>
      <w:r w:rsidR="007964B7" w:rsidRPr="006919AE">
        <w:t xml:space="preserve"> kuni 19-aastasele (kaasa arvatud) õpilasele.</w:t>
      </w:r>
    </w:p>
    <w:p w14:paraId="6CDA4ABF" w14:textId="77777777" w:rsidR="001032C8" w:rsidRDefault="001032C8" w:rsidP="00976487">
      <w:pPr>
        <w:spacing w:after="0" w:line="240" w:lineRule="auto"/>
        <w:jc w:val="both"/>
        <w:divId w:val="1316184749"/>
        <w:rPr>
          <w:color w:val="000000"/>
          <w:bdr w:val="none" w:sz="0" w:space="0" w:color="auto" w:frame="1"/>
          <w:lang w:eastAsia="et-EE"/>
        </w:rPr>
      </w:pPr>
    </w:p>
    <w:p w14:paraId="4308DDF3" w14:textId="6BE30EEB" w:rsidR="007964B7" w:rsidRPr="00687DE8" w:rsidRDefault="00E1461F" w:rsidP="00976487">
      <w:pPr>
        <w:spacing w:after="0" w:line="240" w:lineRule="auto"/>
        <w:jc w:val="both"/>
        <w:divId w:val="1316184749"/>
        <w:rPr>
          <w:color w:val="000000"/>
          <w:bdr w:val="none" w:sz="0" w:space="0" w:color="auto" w:frame="1"/>
          <w:lang w:eastAsia="et-EE"/>
        </w:rPr>
      </w:pPr>
      <w:r>
        <w:rPr>
          <w:color w:val="000000"/>
          <w:bdr w:val="none" w:sz="0" w:space="0" w:color="auto" w:frame="1"/>
          <w:lang w:eastAsia="et-EE"/>
        </w:rPr>
        <w:t>(</w:t>
      </w:r>
      <w:r w:rsidR="00E81AA3">
        <w:rPr>
          <w:color w:val="000000"/>
          <w:bdr w:val="none" w:sz="0" w:space="0" w:color="auto" w:frame="1"/>
          <w:lang w:eastAsia="et-EE"/>
        </w:rPr>
        <w:t>6</w:t>
      </w:r>
      <w:r>
        <w:rPr>
          <w:color w:val="000000"/>
          <w:bdr w:val="none" w:sz="0" w:space="0" w:color="auto" w:frame="1"/>
          <w:lang w:eastAsia="et-EE"/>
        </w:rPr>
        <w:t xml:space="preserve">) </w:t>
      </w:r>
      <w:r w:rsidR="00F254A7" w:rsidRPr="00F254A7">
        <w:rPr>
          <w:color w:val="000000"/>
          <w:bdr w:val="none" w:sz="0" w:space="0" w:color="auto" w:frame="1"/>
          <w:lang w:eastAsia="et-EE"/>
        </w:rPr>
        <w:t xml:space="preserve">Koodiga </w:t>
      </w:r>
      <w:r w:rsidR="00F254A7" w:rsidRPr="006919AE">
        <w:rPr>
          <w:color w:val="000000"/>
          <w:bdr w:val="none" w:sz="0" w:space="0" w:color="auto" w:frame="1"/>
          <w:lang w:eastAsia="et-EE"/>
        </w:rPr>
        <w:t>3182 tähistatud tervishoiuteenuse piirhinda rakendatakse teenuse osutamisel tõhustatud tuge vajavale õpilasele,</w:t>
      </w:r>
      <w:r w:rsidR="00F254A7" w:rsidRPr="00F254A7">
        <w:rPr>
          <w:color w:val="000000"/>
          <w:bdr w:val="none" w:sz="0" w:space="0" w:color="auto" w:frame="1"/>
          <w:lang w:eastAsia="et-EE"/>
        </w:rPr>
        <w:t xml:space="preserve"> kes omandab statsionaarses õppes põhiharidust või üldkeskharidust</w:t>
      </w:r>
      <w:r w:rsidR="00272BF7">
        <w:rPr>
          <w:color w:val="000000"/>
          <w:bdr w:val="none" w:sz="0" w:space="0" w:color="auto" w:frame="1"/>
          <w:lang w:eastAsia="et-EE"/>
        </w:rPr>
        <w:t>,</w:t>
      </w:r>
      <w:r w:rsidR="00F254A7" w:rsidRPr="00F254A7">
        <w:rPr>
          <w:color w:val="000000"/>
          <w:bdr w:val="none" w:sz="0" w:space="0" w:color="auto" w:frame="1"/>
          <w:lang w:eastAsia="et-EE"/>
        </w:rPr>
        <w:t xml:space="preserve"> </w:t>
      </w:r>
      <w:r w:rsidR="006919AE">
        <w:rPr>
          <w:color w:val="000000"/>
          <w:bdr w:val="none" w:sz="0" w:space="0" w:color="auto" w:frame="1"/>
          <w:lang w:eastAsia="et-EE"/>
        </w:rPr>
        <w:t>samuti</w:t>
      </w:r>
      <w:r w:rsidR="00F254A7" w:rsidRPr="00F254A7">
        <w:rPr>
          <w:color w:val="000000"/>
          <w:bdr w:val="none" w:sz="0" w:space="0" w:color="auto" w:frame="1"/>
          <w:lang w:eastAsia="et-EE"/>
        </w:rPr>
        <w:t xml:space="preserve"> kutseõppe tasemeõppe statsionaarses õppevormis õppivale </w:t>
      </w:r>
      <w:r w:rsidR="007424A4">
        <w:rPr>
          <w:color w:val="000000"/>
          <w:bdr w:val="none" w:sz="0" w:space="0" w:color="auto" w:frame="1"/>
          <w:lang w:eastAsia="et-EE"/>
        </w:rPr>
        <w:t xml:space="preserve">mõõdukat pedagoogilist sekkumist vajavale </w:t>
      </w:r>
      <w:r w:rsidR="00F254A7" w:rsidRPr="00F254A7">
        <w:rPr>
          <w:color w:val="000000"/>
          <w:bdr w:val="none" w:sz="0" w:space="0" w:color="auto" w:frame="1"/>
          <w:lang w:eastAsia="et-EE"/>
        </w:rPr>
        <w:t>kuni 19-aastasele (kaasa arvatud) õpilasele.</w:t>
      </w:r>
    </w:p>
    <w:p w14:paraId="5B8E220D" w14:textId="77777777" w:rsidR="00976487" w:rsidRPr="00687DE8" w:rsidRDefault="00976487" w:rsidP="00976487">
      <w:pPr>
        <w:spacing w:after="0"/>
        <w:divId w:val="1316184749"/>
        <w:rPr>
          <w:b/>
          <w:bCs/>
          <w:color w:val="000000"/>
          <w:szCs w:val="24"/>
          <w:bdr w:val="none" w:sz="0" w:space="0" w:color="auto" w:frame="1"/>
          <w:lang w:eastAsia="et-EE"/>
        </w:rPr>
      </w:pPr>
    </w:p>
    <w:p w14:paraId="76BD2C41" w14:textId="00C02B69" w:rsidR="00B7025C" w:rsidRPr="00687DE8" w:rsidRDefault="00B7025C" w:rsidP="5049D229">
      <w:pPr>
        <w:shd w:val="clear" w:color="auto" w:fill="FFFFFF" w:themeFill="background1"/>
        <w:spacing w:after="0" w:line="240" w:lineRule="auto"/>
        <w:jc w:val="both"/>
        <w:divId w:val="1316184749"/>
        <w:rPr>
          <w:szCs w:val="24"/>
        </w:rPr>
      </w:pPr>
      <w:r w:rsidRPr="00687DE8">
        <w:rPr>
          <w:szCs w:val="24"/>
        </w:rPr>
        <w:t>(</w:t>
      </w:r>
      <w:r w:rsidR="007B445A">
        <w:rPr>
          <w:szCs w:val="24"/>
        </w:rPr>
        <w:t>7</w:t>
      </w:r>
      <w:r w:rsidRPr="00687DE8">
        <w:rPr>
          <w:szCs w:val="24"/>
        </w:rPr>
        <w:t>) Koolitervishoiuteenuse piirhind vähemalt 20-aastasele</w:t>
      </w:r>
      <w:r w:rsidR="00FD3E48" w:rsidRPr="00687DE8">
        <w:rPr>
          <w:szCs w:val="24"/>
        </w:rPr>
        <w:t xml:space="preserve"> õpilasele, kes õpib</w:t>
      </w:r>
      <w:r w:rsidRPr="00687DE8">
        <w:rPr>
          <w:szCs w:val="24"/>
        </w:rPr>
        <w:t xml:space="preserve"> kutseõppe tasemeõppe statsionaarses õppes</w:t>
      </w:r>
      <w:r w:rsidR="00FD3E48" w:rsidRPr="00687DE8">
        <w:rPr>
          <w:szCs w:val="24"/>
        </w:rPr>
        <w:t xml:space="preserve">, </w:t>
      </w:r>
      <w:r w:rsidRPr="00687DE8">
        <w:rPr>
          <w:szCs w:val="24"/>
        </w:rPr>
        <w:t>on järgmine</w:t>
      </w:r>
      <w:r w:rsidR="005E3A59" w:rsidRPr="00687DE8">
        <w:rPr>
          <w:szCs w:val="24"/>
        </w:rPr>
        <w:t>:</w:t>
      </w:r>
    </w:p>
    <w:p w14:paraId="5257AA28" w14:textId="77777777" w:rsidR="00AE018F" w:rsidRPr="00687DE8" w:rsidRDefault="00AE018F" w:rsidP="00B7025C">
      <w:pPr>
        <w:shd w:val="clear" w:color="auto" w:fill="FFFFFF"/>
        <w:spacing w:after="0" w:line="240" w:lineRule="auto"/>
        <w:jc w:val="both"/>
        <w:divId w:val="1316184749"/>
        <w:rPr>
          <w:szCs w:val="24"/>
        </w:rPr>
      </w:pPr>
    </w:p>
    <w:tbl>
      <w:tblPr>
        <w:tblStyle w:val="Kontuurtabel"/>
        <w:tblW w:w="9348" w:type="dxa"/>
        <w:tblInd w:w="-3" w:type="dxa"/>
        <w:tblLook w:val="04A0" w:firstRow="1" w:lastRow="0" w:firstColumn="1" w:lastColumn="0" w:noHBand="0" w:noVBand="1"/>
      </w:tblPr>
      <w:tblGrid>
        <w:gridCol w:w="7274"/>
        <w:gridCol w:w="777"/>
        <w:gridCol w:w="1297"/>
      </w:tblGrid>
      <w:tr w:rsidR="00B7025C" w:rsidRPr="00687DE8" w14:paraId="7D9EE5AF" w14:textId="77777777" w:rsidTr="00DE3400">
        <w:trPr>
          <w:divId w:val="1316184749"/>
          <w:trHeight w:val="565"/>
        </w:trPr>
        <w:tc>
          <w:tcPr>
            <w:tcW w:w="7308" w:type="dxa"/>
          </w:tcPr>
          <w:p w14:paraId="082793C8" w14:textId="77777777" w:rsidR="00B7025C" w:rsidRPr="00687DE8" w:rsidRDefault="00B7025C" w:rsidP="002355C5">
            <w:pPr>
              <w:spacing w:before="120"/>
              <w:jc w:val="both"/>
              <w:rPr>
                <w:color w:val="202020"/>
                <w:szCs w:val="24"/>
                <w:lang w:eastAsia="et-EE"/>
              </w:rPr>
            </w:pPr>
            <w:r w:rsidRPr="00687DE8">
              <w:rPr>
                <w:b/>
                <w:color w:val="202020"/>
                <w:szCs w:val="24"/>
                <w:bdr w:val="none" w:sz="0" w:space="0" w:color="auto" w:frame="1"/>
                <w:lang w:eastAsia="et-EE"/>
              </w:rPr>
              <w:t>Tervishoiuteenuse nimetus</w:t>
            </w:r>
          </w:p>
        </w:tc>
        <w:tc>
          <w:tcPr>
            <w:tcW w:w="741" w:type="dxa"/>
          </w:tcPr>
          <w:p w14:paraId="715D0B90" w14:textId="77777777" w:rsidR="00B7025C" w:rsidRPr="00687DE8" w:rsidRDefault="00B7025C" w:rsidP="002355C5">
            <w:pPr>
              <w:spacing w:before="120"/>
              <w:jc w:val="both"/>
              <w:rPr>
                <w:color w:val="202020"/>
                <w:szCs w:val="24"/>
                <w:lang w:eastAsia="et-EE"/>
              </w:rPr>
            </w:pPr>
            <w:r w:rsidRPr="00687DE8">
              <w:rPr>
                <w:b/>
                <w:color w:val="202020"/>
                <w:szCs w:val="24"/>
                <w:bdr w:val="none" w:sz="0" w:space="0" w:color="auto" w:frame="1"/>
                <w:lang w:eastAsia="et-EE"/>
              </w:rPr>
              <w:t>Kood</w:t>
            </w:r>
          </w:p>
        </w:tc>
        <w:tc>
          <w:tcPr>
            <w:tcW w:w="1299" w:type="dxa"/>
          </w:tcPr>
          <w:p w14:paraId="19917E17" w14:textId="77777777" w:rsidR="00B7025C" w:rsidRPr="00687DE8" w:rsidRDefault="00B7025C" w:rsidP="002355C5">
            <w:pPr>
              <w:spacing w:before="120"/>
              <w:jc w:val="both"/>
              <w:rPr>
                <w:color w:val="202020"/>
                <w:szCs w:val="24"/>
                <w:lang w:eastAsia="et-EE"/>
              </w:rPr>
            </w:pPr>
            <w:r w:rsidRPr="00687DE8">
              <w:rPr>
                <w:b/>
                <w:color w:val="202020"/>
                <w:szCs w:val="24"/>
                <w:bdr w:val="none" w:sz="0" w:space="0" w:color="auto" w:frame="1"/>
                <w:lang w:eastAsia="et-EE"/>
              </w:rPr>
              <w:t>Piirhind</w:t>
            </w:r>
            <w:r w:rsidRPr="00687DE8">
              <w:rPr>
                <w:b/>
                <w:color w:val="202020"/>
                <w:szCs w:val="24"/>
                <w:bdr w:val="none" w:sz="0" w:space="0" w:color="auto" w:frame="1"/>
                <w:lang w:eastAsia="et-EE"/>
              </w:rPr>
              <w:br/>
              <w:t>eurodes</w:t>
            </w:r>
          </w:p>
        </w:tc>
      </w:tr>
      <w:tr w:rsidR="00F5072C" w:rsidRPr="00687DE8" w14:paraId="5D908E55" w14:textId="77777777" w:rsidTr="00DE3400">
        <w:trPr>
          <w:divId w:val="1316184749"/>
          <w:trHeight w:val="18"/>
        </w:trPr>
        <w:tc>
          <w:tcPr>
            <w:tcW w:w="7308" w:type="dxa"/>
          </w:tcPr>
          <w:p w14:paraId="53DE66A8" w14:textId="77777777" w:rsidR="00B7025C" w:rsidRPr="00687DE8" w:rsidRDefault="00B7025C" w:rsidP="002214DC">
            <w:pPr>
              <w:rPr>
                <w:color w:val="202020"/>
                <w:szCs w:val="24"/>
                <w:lang w:eastAsia="et-EE"/>
              </w:rPr>
            </w:pPr>
            <w:r w:rsidRPr="00687DE8">
              <w:rPr>
                <w:color w:val="202020"/>
                <w:szCs w:val="24"/>
                <w:lang w:eastAsia="et-EE"/>
              </w:rPr>
              <w:t>Koolitervishoiuteenus kutseõppeasutuses vähemalt 20-aastasele õpilasele</w:t>
            </w:r>
          </w:p>
        </w:tc>
        <w:tc>
          <w:tcPr>
            <w:tcW w:w="741" w:type="dxa"/>
          </w:tcPr>
          <w:p w14:paraId="16150D15" w14:textId="77777777" w:rsidR="00B7025C" w:rsidRPr="00687DE8" w:rsidRDefault="00B7025C" w:rsidP="002214DC">
            <w:pPr>
              <w:jc w:val="center"/>
              <w:rPr>
                <w:color w:val="202020"/>
                <w:szCs w:val="24"/>
                <w:lang w:eastAsia="et-EE"/>
              </w:rPr>
            </w:pPr>
            <w:r w:rsidRPr="00687DE8">
              <w:rPr>
                <w:color w:val="202020"/>
                <w:szCs w:val="24"/>
                <w:lang w:eastAsia="et-EE"/>
              </w:rPr>
              <w:t>3181</w:t>
            </w:r>
          </w:p>
        </w:tc>
        <w:tc>
          <w:tcPr>
            <w:tcW w:w="1299" w:type="dxa"/>
          </w:tcPr>
          <w:p w14:paraId="57E37202" w14:textId="6C5CC906" w:rsidR="00C478CF" w:rsidRPr="00687DE8" w:rsidRDefault="00C478CF" w:rsidP="009E116C">
            <w:pPr>
              <w:jc w:val="center"/>
              <w:rPr>
                <w:rFonts w:eastAsia="Calibri"/>
                <w:color w:val="000000" w:themeColor="text1"/>
              </w:rPr>
            </w:pPr>
          </w:p>
          <w:p w14:paraId="6BC6125F" w14:textId="2CBFE32F" w:rsidR="7EE15EB5" w:rsidRPr="00EB7A71" w:rsidRDefault="00C478CF" w:rsidP="009E116C">
            <w:pPr>
              <w:jc w:val="center"/>
              <w:rPr>
                <w:rFonts w:eastAsia="Calibri"/>
              </w:rPr>
            </w:pPr>
            <w:r w:rsidRPr="00C478CF">
              <w:rPr>
                <w:rFonts w:eastAsia="Calibri"/>
              </w:rPr>
              <w:t>9,05</w:t>
            </w:r>
          </w:p>
        </w:tc>
      </w:tr>
    </w:tbl>
    <w:p w14:paraId="0DB146DF" w14:textId="77777777" w:rsidR="00B7025C" w:rsidRPr="00687DE8" w:rsidRDefault="00B7025C" w:rsidP="003E313B">
      <w:pPr>
        <w:pStyle w:val="Vahedeta"/>
        <w:divId w:val="1316184749"/>
        <w:rPr>
          <w:szCs w:val="24"/>
          <w:lang w:val="et-EE"/>
        </w:rPr>
      </w:pPr>
    </w:p>
    <w:p w14:paraId="64F89361" w14:textId="674E0D1F" w:rsidR="00B7025C" w:rsidRPr="00687DE8" w:rsidRDefault="00B7025C" w:rsidP="003E313B">
      <w:pPr>
        <w:pStyle w:val="Vahedeta"/>
        <w:jc w:val="both"/>
        <w:divId w:val="1316184749"/>
        <w:rPr>
          <w:szCs w:val="24"/>
          <w:lang w:val="et-EE"/>
        </w:rPr>
      </w:pPr>
      <w:r w:rsidRPr="00687DE8">
        <w:rPr>
          <w:szCs w:val="24"/>
          <w:lang w:val="et-EE"/>
        </w:rPr>
        <w:t>(</w:t>
      </w:r>
      <w:r w:rsidR="007B445A">
        <w:rPr>
          <w:szCs w:val="24"/>
          <w:lang w:val="et-EE"/>
        </w:rPr>
        <w:t>8</w:t>
      </w:r>
      <w:r w:rsidRPr="00687DE8">
        <w:rPr>
          <w:szCs w:val="24"/>
          <w:lang w:val="et-EE"/>
        </w:rPr>
        <w:t xml:space="preserve">) Koodiga 3181 tähistatud tervishoiuteenuse piirhinda rakendatakse ainult </w:t>
      </w:r>
      <w:r w:rsidRPr="00687DE8">
        <w:rPr>
          <w:color w:val="202020"/>
          <w:szCs w:val="24"/>
          <w:lang w:val="et-EE" w:eastAsia="et-EE"/>
        </w:rPr>
        <w:t>esmaabi osutamisel</w:t>
      </w:r>
      <w:r w:rsidR="00C8210F" w:rsidRPr="00687DE8">
        <w:rPr>
          <w:color w:val="202020"/>
          <w:szCs w:val="24"/>
          <w:lang w:val="et-EE" w:eastAsia="et-EE"/>
        </w:rPr>
        <w:t xml:space="preserve"> õpilasele, kes õpib</w:t>
      </w:r>
      <w:r w:rsidRPr="00687DE8">
        <w:rPr>
          <w:color w:val="202020"/>
          <w:szCs w:val="24"/>
          <w:lang w:val="et-EE" w:eastAsia="et-EE"/>
        </w:rPr>
        <w:t xml:space="preserve"> kutseõppe tasemeõppe statsionaarses õppevormis</w:t>
      </w:r>
      <w:r w:rsidR="00C8210F" w:rsidRPr="00687DE8">
        <w:rPr>
          <w:color w:val="202020"/>
          <w:szCs w:val="24"/>
          <w:lang w:val="et-EE" w:eastAsia="et-EE"/>
        </w:rPr>
        <w:t xml:space="preserve"> ja</w:t>
      </w:r>
      <w:r w:rsidRPr="00687DE8">
        <w:rPr>
          <w:color w:val="202020"/>
          <w:szCs w:val="24"/>
          <w:lang w:val="et-EE" w:eastAsia="et-EE"/>
        </w:rPr>
        <w:t xml:space="preserve"> kelle vanus on vähemalt 20 aastat. Esmaabi on</w:t>
      </w:r>
      <w:r w:rsidR="00C70544" w:rsidRPr="00687DE8">
        <w:rPr>
          <w:color w:val="202020"/>
          <w:szCs w:val="24"/>
          <w:lang w:val="et-EE" w:eastAsia="et-EE"/>
        </w:rPr>
        <w:t xml:space="preserve"> kohe osutatav</w:t>
      </w:r>
      <w:r w:rsidRPr="00687DE8">
        <w:rPr>
          <w:color w:val="202020"/>
          <w:szCs w:val="24"/>
          <w:lang w:val="et-EE" w:eastAsia="et-EE"/>
        </w:rPr>
        <w:t xml:space="preserve"> </w:t>
      </w:r>
      <w:r w:rsidR="00C70544" w:rsidRPr="00687DE8">
        <w:rPr>
          <w:color w:val="202020"/>
          <w:szCs w:val="24"/>
          <w:lang w:val="et-EE" w:eastAsia="et-EE"/>
        </w:rPr>
        <w:t>a</w:t>
      </w:r>
      <w:r w:rsidRPr="00687DE8">
        <w:rPr>
          <w:color w:val="202020"/>
          <w:szCs w:val="24"/>
          <w:lang w:val="et-EE" w:eastAsia="et-EE"/>
        </w:rPr>
        <w:t>bi</w:t>
      </w:r>
      <w:r w:rsidR="00C70544" w:rsidRPr="00687DE8">
        <w:rPr>
          <w:color w:val="202020"/>
          <w:szCs w:val="24"/>
          <w:lang w:val="et-EE" w:eastAsia="et-EE"/>
        </w:rPr>
        <w:t xml:space="preserve"> </w:t>
      </w:r>
      <w:r w:rsidRPr="00687DE8">
        <w:rPr>
          <w:color w:val="202020"/>
          <w:szCs w:val="24"/>
          <w:lang w:val="et-EE" w:eastAsia="et-EE"/>
        </w:rPr>
        <w:t>äkilise haigestumise või vigastuse korral</w:t>
      </w:r>
      <w:r w:rsidR="00987200" w:rsidRPr="00687DE8">
        <w:rPr>
          <w:color w:val="202020"/>
          <w:szCs w:val="24"/>
          <w:lang w:val="et-EE" w:eastAsia="et-EE"/>
        </w:rPr>
        <w:t xml:space="preserve"> kooliõe vastuvõtu aja</w:t>
      </w:r>
      <w:r w:rsidR="00DD55EF" w:rsidRPr="00687DE8">
        <w:rPr>
          <w:color w:val="202020"/>
          <w:szCs w:val="24"/>
          <w:lang w:val="et-EE" w:eastAsia="et-EE"/>
        </w:rPr>
        <w:t xml:space="preserve"> jooksul</w:t>
      </w:r>
      <w:r w:rsidRPr="00687DE8">
        <w:rPr>
          <w:color w:val="202020"/>
          <w:szCs w:val="24"/>
          <w:lang w:val="et-EE" w:eastAsia="et-EE"/>
        </w:rPr>
        <w:t>.</w:t>
      </w:r>
    </w:p>
    <w:p w14:paraId="2F3ADD2F" w14:textId="77777777" w:rsidR="6F665D5B" w:rsidRPr="00687DE8" w:rsidRDefault="6F665D5B" w:rsidP="6F665D5B">
      <w:pPr>
        <w:pStyle w:val="Vahedeta"/>
        <w:jc w:val="both"/>
        <w:rPr>
          <w:color w:val="202020"/>
          <w:szCs w:val="24"/>
          <w:lang w:val="et-EE" w:eastAsia="et-EE"/>
        </w:rPr>
      </w:pPr>
    </w:p>
    <w:p w14:paraId="004431F7" w14:textId="11744BCA" w:rsidR="55077FBC" w:rsidRPr="00687DE8" w:rsidRDefault="55077FBC" w:rsidP="00334F99">
      <w:pPr>
        <w:spacing w:after="0" w:line="240" w:lineRule="auto"/>
        <w:jc w:val="both"/>
        <w:rPr>
          <w:rFonts w:eastAsia="Arial"/>
          <w:color w:val="202020"/>
          <w:lang w:val="sv-SE"/>
        </w:rPr>
      </w:pPr>
      <w:r w:rsidRPr="5C3F78E7">
        <w:rPr>
          <w:rFonts w:eastAsia="Arial"/>
          <w:color w:val="202020"/>
          <w:lang w:val="sv-SE"/>
        </w:rPr>
        <w:t>(</w:t>
      </w:r>
      <w:r w:rsidR="007B445A" w:rsidRPr="5C3F78E7">
        <w:rPr>
          <w:rFonts w:eastAsia="Arial"/>
          <w:color w:val="202020"/>
          <w:lang w:val="sv-SE"/>
        </w:rPr>
        <w:t>9</w:t>
      </w:r>
      <w:r w:rsidRPr="5C3F78E7">
        <w:rPr>
          <w:rFonts w:eastAsia="Arial"/>
          <w:color w:val="202020"/>
          <w:lang w:val="sv-SE"/>
        </w:rPr>
        <w:t xml:space="preserve">) Lisatasu piirhind </w:t>
      </w:r>
      <w:r w:rsidR="6F20358A" w:rsidRPr="5C3F78E7">
        <w:rPr>
          <w:rFonts w:eastAsia="Arial"/>
          <w:color w:val="202020"/>
        </w:rPr>
        <w:t>koolitervishoiuteenuse osutajale haigusi ennetava tulemusliku töö eest</w:t>
      </w:r>
      <w:r w:rsidR="6F20358A" w:rsidRPr="5C3F78E7">
        <w:rPr>
          <w:rFonts w:eastAsia="Arial"/>
          <w:color w:val="202020"/>
          <w:lang w:val="sv-SE"/>
        </w:rPr>
        <w:t xml:space="preserve"> </w:t>
      </w:r>
      <w:r w:rsidRPr="5C3F78E7">
        <w:rPr>
          <w:rFonts w:eastAsia="Arial"/>
          <w:color w:val="202020"/>
          <w:lang w:val="sv-SE"/>
        </w:rPr>
        <w:t>kalendriaastas on järgmi</w:t>
      </w:r>
      <w:r w:rsidR="23D234E9" w:rsidRPr="5C3F78E7">
        <w:rPr>
          <w:rFonts w:eastAsia="Arial"/>
          <w:color w:val="202020"/>
          <w:lang w:val="sv-SE"/>
        </w:rPr>
        <w:t>ne</w:t>
      </w:r>
      <w:r w:rsidRPr="5C3F78E7">
        <w:rPr>
          <w:rFonts w:eastAsia="Arial"/>
          <w:color w:val="202020"/>
          <w:lang w:val="sv-SE"/>
        </w:rPr>
        <w:t>:</w:t>
      </w:r>
    </w:p>
    <w:p w14:paraId="533D74B2" w14:textId="77777777" w:rsidR="00593BBF" w:rsidRPr="00687DE8" w:rsidRDefault="00593BBF" w:rsidP="00334F99">
      <w:pPr>
        <w:spacing w:after="0" w:line="240" w:lineRule="auto"/>
        <w:jc w:val="both"/>
        <w:rPr>
          <w:rFonts w:eastAsia="Arial"/>
          <w:color w:val="202020"/>
          <w:szCs w:val="24"/>
          <w:lang w:val="sv-SE"/>
        </w:rPr>
      </w:pPr>
    </w:p>
    <w:tbl>
      <w:tblPr>
        <w:tblStyle w:val="Kontuurtabel"/>
        <w:tblW w:w="9346" w:type="dxa"/>
        <w:tblInd w:w="-3" w:type="dxa"/>
        <w:tblLayout w:type="fixed"/>
        <w:tblLook w:val="04A0" w:firstRow="1" w:lastRow="0" w:firstColumn="1" w:lastColumn="0" w:noHBand="0" w:noVBand="1"/>
      </w:tblPr>
      <w:tblGrid>
        <w:gridCol w:w="6780"/>
        <w:gridCol w:w="960"/>
        <w:gridCol w:w="1606"/>
      </w:tblGrid>
      <w:tr w:rsidR="6F665D5B" w:rsidRPr="00687DE8" w14:paraId="47A59655" w14:textId="77777777" w:rsidTr="00DE3400">
        <w:trPr>
          <w:trHeight w:val="435"/>
        </w:trPr>
        <w:tc>
          <w:tcPr>
            <w:tcW w:w="6780" w:type="dxa"/>
          </w:tcPr>
          <w:p w14:paraId="77B2B1B2" w14:textId="77777777" w:rsidR="6F665D5B" w:rsidRPr="00687DE8" w:rsidRDefault="6F665D5B" w:rsidP="003C4BEC">
            <w:pPr>
              <w:jc w:val="center"/>
              <w:rPr>
                <w:rFonts w:eastAsia="Arial"/>
                <w:b/>
                <w:color w:val="202020"/>
                <w:szCs w:val="24"/>
              </w:rPr>
            </w:pPr>
            <w:r w:rsidRPr="00687DE8">
              <w:rPr>
                <w:rFonts w:eastAsia="Arial"/>
                <w:b/>
                <w:color w:val="202020"/>
                <w:szCs w:val="24"/>
              </w:rPr>
              <w:t>Lisatasu</w:t>
            </w:r>
          </w:p>
        </w:tc>
        <w:tc>
          <w:tcPr>
            <w:tcW w:w="960" w:type="dxa"/>
          </w:tcPr>
          <w:p w14:paraId="1D57EA82" w14:textId="77777777" w:rsidR="6F665D5B" w:rsidRPr="00687DE8" w:rsidRDefault="6F665D5B" w:rsidP="003C4BEC">
            <w:pPr>
              <w:jc w:val="center"/>
              <w:rPr>
                <w:rFonts w:eastAsia="Arial"/>
                <w:b/>
                <w:color w:val="202020"/>
                <w:szCs w:val="24"/>
              </w:rPr>
            </w:pPr>
            <w:r w:rsidRPr="00687DE8">
              <w:rPr>
                <w:rFonts w:eastAsia="Arial"/>
                <w:b/>
                <w:color w:val="202020"/>
                <w:szCs w:val="24"/>
              </w:rPr>
              <w:t>Kood</w:t>
            </w:r>
          </w:p>
        </w:tc>
        <w:tc>
          <w:tcPr>
            <w:tcW w:w="1606" w:type="dxa"/>
          </w:tcPr>
          <w:p w14:paraId="50CC45FB" w14:textId="77777777" w:rsidR="6F665D5B" w:rsidRPr="00687DE8" w:rsidRDefault="6F665D5B" w:rsidP="003C4BEC">
            <w:pPr>
              <w:jc w:val="center"/>
              <w:rPr>
                <w:rFonts w:eastAsia="Arial"/>
                <w:b/>
                <w:color w:val="202020"/>
                <w:szCs w:val="24"/>
              </w:rPr>
            </w:pPr>
            <w:r w:rsidRPr="00687DE8">
              <w:rPr>
                <w:rFonts w:eastAsia="Arial"/>
                <w:b/>
                <w:color w:val="202020"/>
                <w:szCs w:val="24"/>
              </w:rPr>
              <w:t>Piirhind</w:t>
            </w:r>
            <w:r w:rsidRPr="00687DE8">
              <w:rPr>
                <w:szCs w:val="24"/>
              </w:rPr>
              <w:br/>
            </w:r>
            <w:r w:rsidRPr="00687DE8">
              <w:rPr>
                <w:rFonts w:eastAsia="Arial"/>
                <w:b/>
                <w:color w:val="202020"/>
                <w:szCs w:val="24"/>
              </w:rPr>
              <w:t xml:space="preserve"> eurodes</w:t>
            </w:r>
          </w:p>
        </w:tc>
      </w:tr>
      <w:tr w:rsidR="6F665D5B" w:rsidRPr="00687DE8" w14:paraId="3DF37513" w14:textId="77777777" w:rsidTr="00DE3400">
        <w:trPr>
          <w:trHeight w:val="375"/>
        </w:trPr>
        <w:tc>
          <w:tcPr>
            <w:tcW w:w="6780" w:type="dxa"/>
          </w:tcPr>
          <w:p w14:paraId="36852727" w14:textId="2BCF9C22" w:rsidR="6F665D5B" w:rsidRPr="00687DE8" w:rsidRDefault="6F665D5B" w:rsidP="002214DC">
            <w:pPr>
              <w:rPr>
                <w:color w:val="202020"/>
                <w:szCs w:val="24"/>
              </w:rPr>
            </w:pPr>
            <w:r w:rsidRPr="00687DE8">
              <w:rPr>
                <w:rFonts w:eastAsia="Arial"/>
                <w:color w:val="202020"/>
                <w:szCs w:val="24"/>
              </w:rPr>
              <w:t>Lisatasu koolitervishoiuteenuse osutajale haigusi ennetava tulemusliku töö eest</w:t>
            </w:r>
          </w:p>
        </w:tc>
        <w:tc>
          <w:tcPr>
            <w:tcW w:w="960" w:type="dxa"/>
          </w:tcPr>
          <w:p w14:paraId="28BC1D54" w14:textId="0EC33338" w:rsidR="009E116C" w:rsidRPr="00687DE8" w:rsidRDefault="009E116C" w:rsidP="2E1E8EE1">
            <w:pPr>
              <w:jc w:val="center"/>
              <w:rPr>
                <w:rFonts w:eastAsia="Arial"/>
                <w:color w:val="202020"/>
                <w:szCs w:val="24"/>
                <w:lang w:eastAsia="et-EE"/>
              </w:rPr>
            </w:pPr>
          </w:p>
          <w:p w14:paraId="2D3BC8B4" w14:textId="638C53DE" w:rsidR="6F665D5B" w:rsidRPr="00687DE8" w:rsidRDefault="758AF389" w:rsidP="002214DC">
            <w:pPr>
              <w:jc w:val="center"/>
              <w:rPr>
                <w:rFonts w:eastAsia="Arial"/>
                <w:color w:val="202020"/>
                <w:szCs w:val="24"/>
                <w:lang w:eastAsia="et-EE"/>
              </w:rPr>
            </w:pPr>
            <w:r w:rsidRPr="00687DE8">
              <w:rPr>
                <w:rFonts w:eastAsia="Arial"/>
                <w:color w:val="202020"/>
                <w:szCs w:val="24"/>
                <w:lang w:eastAsia="et-EE"/>
              </w:rPr>
              <w:t>3178</w:t>
            </w:r>
          </w:p>
        </w:tc>
        <w:tc>
          <w:tcPr>
            <w:tcW w:w="1606" w:type="dxa"/>
          </w:tcPr>
          <w:p w14:paraId="6AF76B3E" w14:textId="440B62A8" w:rsidR="00BF0A04" w:rsidRPr="00687DE8" w:rsidRDefault="00BF0A04">
            <w:pPr>
              <w:jc w:val="center"/>
              <w:rPr>
                <w:rFonts w:eastAsia="Calibri"/>
                <w:color w:val="000000" w:themeColor="text1"/>
                <w:szCs w:val="24"/>
              </w:rPr>
            </w:pPr>
          </w:p>
          <w:p w14:paraId="3A7589B8" w14:textId="7778DEAF" w:rsidR="6948337B" w:rsidRPr="00687DE8" w:rsidRDefault="6948337B">
            <w:pPr>
              <w:jc w:val="center"/>
              <w:rPr>
                <w:rFonts w:eastAsia="Calibri"/>
                <w:color w:val="000000" w:themeColor="text1"/>
                <w:szCs w:val="24"/>
              </w:rPr>
            </w:pPr>
            <w:r w:rsidRPr="00687DE8">
              <w:rPr>
                <w:rFonts w:eastAsia="Calibri"/>
                <w:color w:val="000000" w:themeColor="text1"/>
                <w:szCs w:val="24"/>
              </w:rPr>
              <w:t>2034,30</w:t>
            </w:r>
          </w:p>
        </w:tc>
      </w:tr>
    </w:tbl>
    <w:p w14:paraId="3FDF35B1" w14:textId="77777777" w:rsidR="6F665D5B" w:rsidRPr="00687DE8" w:rsidRDefault="6F665D5B" w:rsidP="003C4BEC">
      <w:pPr>
        <w:pStyle w:val="Vahedeta"/>
        <w:rPr>
          <w:rFonts w:eastAsia="Calibri"/>
          <w:szCs w:val="24"/>
        </w:rPr>
      </w:pPr>
    </w:p>
    <w:p w14:paraId="711B8E55" w14:textId="790A305C" w:rsidR="6F665D5B" w:rsidRPr="00687DE8" w:rsidRDefault="55077FBC" w:rsidP="00334F99">
      <w:pPr>
        <w:spacing w:after="0" w:line="240" w:lineRule="auto"/>
        <w:jc w:val="both"/>
        <w:rPr>
          <w:rFonts w:eastAsia="Calibri"/>
          <w:color w:val="202020"/>
          <w:szCs w:val="24"/>
          <w:lang w:eastAsia="et-EE"/>
        </w:rPr>
      </w:pPr>
      <w:r w:rsidRPr="00687DE8">
        <w:rPr>
          <w:rFonts w:eastAsia="Calibri"/>
          <w:szCs w:val="24"/>
          <w:lang w:val="sv-SE"/>
        </w:rPr>
        <w:t>(1</w:t>
      </w:r>
      <w:r w:rsidR="007B445A">
        <w:rPr>
          <w:rFonts w:eastAsia="Calibri"/>
          <w:szCs w:val="24"/>
          <w:lang w:val="sv-SE"/>
        </w:rPr>
        <w:t>0</w:t>
      </w:r>
      <w:r w:rsidRPr="00687DE8">
        <w:rPr>
          <w:rFonts w:eastAsia="Calibri"/>
          <w:szCs w:val="24"/>
          <w:lang w:val="sv-SE"/>
        </w:rPr>
        <w:t xml:space="preserve">) Koodiga </w:t>
      </w:r>
      <w:r w:rsidR="75391ACC" w:rsidRPr="00687DE8">
        <w:rPr>
          <w:rFonts w:eastAsia="Calibri"/>
          <w:szCs w:val="24"/>
          <w:lang w:val="sv-SE"/>
        </w:rPr>
        <w:t>3178</w:t>
      </w:r>
      <w:r w:rsidRPr="00687DE8">
        <w:rPr>
          <w:rFonts w:eastAsia="Calibri"/>
          <w:szCs w:val="24"/>
          <w:lang w:val="sv-SE"/>
        </w:rPr>
        <w:t xml:space="preserve"> tähistatud lisatasu makstakse koefitsiendiga kuni 1,0.</w:t>
      </w:r>
      <w:r w:rsidR="2362FC4F" w:rsidRPr="00687DE8">
        <w:rPr>
          <w:rFonts w:eastAsia="Calibri"/>
          <w:szCs w:val="24"/>
          <w:lang w:val="sv-SE"/>
        </w:rPr>
        <w:t xml:space="preserve"> </w:t>
      </w:r>
      <w:r w:rsidR="2362FC4F" w:rsidRPr="00687DE8">
        <w:rPr>
          <w:szCs w:val="24"/>
          <w:lang w:val="sv-SE"/>
        </w:rPr>
        <w:t xml:space="preserve">Koefitsiendi suuruse määrab </w:t>
      </w:r>
      <w:r w:rsidR="005023FD" w:rsidRPr="00687DE8">
        <w:rPr>
          <w:szCs w:val="24"/>
          <w:lang w:val="sv-SE"/>
        </w:rPr>
        <w:t>Tervisekassa</w:t>
      </w:r>
      <w:r w:rsidR="2362FC4F" w:rsidRPr="00687DE8">
        <w:rPr>
          <w:szCs w:val="24"/>
          <w:lang w:val="sv-SE"/>
        </w:rPr>
        <w:t xml:space="preserve"> ravikindlustuse seaduse § 32 alusel kehtestatud määruses sätestatud korras</w:t>
      </w:r>
      <w:r w:rsidR="3391F9E2" w:rsidRPr="00687DE8">
        <w:rPr>
          <w:szCs w:val="24"/>
          <w:lang w:val="sv-SE"/>
        </w:rPr>
        <w:t>.</w:t>
      </w:r>
    </w:p>
    <w:p w14:paraId="49303436" w14:textId="77777777" w:rsidR="3E2EACE4" w:rsidRPr="00687DE8" w:rsidRDefault="3E2EACE4" w:rsidP="00334F99">
      <w:pPr>
        <w:spacing w:after="0" w:line="240" w:lineRule="auto"/>
        <w:jc w:val="both"/>
        <w:rPr>
          <w:szCs w:val="24"/>
          <w:lang w:val="sv-SE"/>
        </w:rPr>
      </w:pPr>
    </w:p>
    <w:p w14:paraId="1ACB995D" w14:textId="77777777" w:rsidR="00976487" w:rsidRDefault="05D93839" w:rsidP="25F5D88D">
      <w:pPr>
        <w:spacing w:after="0" w:line="240" w:lineRule="auto"/>
        <w:divId w:val="1316184749"/>
        <w:rPr>
          <w:b/>
          <w:szCs w:val="24"/>
          <w:bdr w:val="none" w:sz="0" w:space="0" w:color="auto" w:frame="1"/>
          <w:lang w:eastAsia="et-EE"/>
        </w:rPr>
      </w:pPr>
      <w:r w:rsidRPr="00687DE8">
        <w:rPr>
          <w:b/>
          <w:color w:val="000000"/>
          <w:szCs w:val="24"/>
          <w:bdr w:val="none" w:sz="0" w:space="0" w:color="auto" w:frame="1"/>
          <w:lang w:eastAsia="et-EE"/>
        </w:rPr>
        <w:t xml:space="preserve">§ </w:t>
      </w:r>
      <w:r w:rsidR="6D2B967E" w:rsidRPr="00687DE8">
        <w:rPr>
          <w:b/>
          <w:color w:val="000000"/>
          <w:szCs w:val="24"/>
          <w:bdr w:val="none" w:sz="0" w:space="0" w:color="auto" w:frame="1"/>
          <w:lang w:eastAsia="et-EE"/>
        </w:rPr>
        <w:t>6</w:t>
      </w:r>
      <w:r w:rsidRPr="00687DE8">
        <w:rPr>
          <w:b/>
          <w:color w:val="000000"/>
          <w:szCs w:val="24"/>
          <w:bdr w:val="none" w:sz="0" w:space="0" w:color="auto" w:frame="1"/>
          <w:lang w:eastAsia="et-EE"/>
        </w:rPr>
        <w:t>.</w:t>
      </w:r>
      <w:r w:rsidR="70B0EC54" w:rsidRPr="00687DE8">
        <w:rPr>
          <w:b/>
          <w:color w:val="0061AA"/>
          <w:szCs w:val="24"/>
          <w:bdr w:val="none" w:sz="0" w:space="0" w:color="auto" w:frame="1"/>
          <w:lang w:eastAsia="et-EE"/>
        </w:rPr>
        <w:t xml:space="preserve"> </w:t>
      </w:r>
      <w:r w:rsidR="5ABED88D" w:rsidRPr="00197F24">
        <w:rPr>
          <w:b/>
          <w:szCs w:val="24"/>
          <w:bdr w:val="none" w:sz="0" w:space="0" w:color="auto" w:frame="1"/>
          <w:lang w:eastAsia="et-EE"/>
        </w:rPr>
        <w:t>Nakkushaiguste</w:t>
      </w:r>
      <w:r w:rsidR="5ABED88D" w:rsidRPr="00687DE8">
        <w:rPr>
          <w:b/>
          <w:szCs w:val="24"/>
          <w:bdr w:val="none" w:sz="0" w:space="0" w:color="auto" w:frame="1"/>
          <w:lang w:eastAsia="et-EE"/>
        </w:rPr>
        <w:t xml:space="preserve"> leviku tõkestamine</w:t>
      </w:r>
      <w:r w:rsidR="70B0EC54" w:rsidRPr="00687DE8">
        <w:rPr>
          <w:b/>
          <w:szCs w:val="24"/>
          <w:bdr w:val="none" w:sz="0" w:space="0" w:color="auto" w:frame="1"/>
          <w:lang w:eastAsia="et-EE"/>
        </w:rPr>
        <w:t xml:space="preserve"> </w:t>
      </w:r>
    </w:p>
    <w:p w14:paraId="4FF388B4" w14:textId="77777777" w:rsidR="009C5986" w:rsidRDefault="009C5986" w:rsidP="50437F11">
      <w:pPr>
        <w:shd w:val="clear" w:color="auto" w:fill="FFFFFF" w:themeFill="background1"/>
        <w:spacing w:after="0" w:line="240" w:lineRule="auto"/>
        <w:jc w:val="both"/>
        <w:divId w:val="1316184749"/>
        <w:rPr>
          <w:color w:val="202020"/>
          <w:szCs w:val="24"/>
          <w:lang w:val="en-US" w:eastAsia="et-EE"/>
        </w:rPr>
      </w:pPr>
    </w:p>
    <w:p w14:paraId="3E695497" w14:textId="499E10B3" w:rsidR="00976487" w:rsidRPr="00687DE8" w:rsidRDefault="00976487" w:rsidP="50437F11">
      <w:pPr>
        <w:shd w:val="clear" w:color="auto" w:fill="FFFFFF" w:themeFill="background1"/>
        <w:spacing w:after="0" w:line="240" w:lineRule="auto"/>
        <w:jc w:val="both"/>
        <w:divId w:val="1316184749"/>
        <w:rPr>
          <w:color w:val="202020"/>
          <w:szCs w:val="24"/>
          <w:lang w:eastAsia="et-EE"/>
        </w:rPr>
      </w:pPr>
      <w:r w:rsidRPr="00687DE8">
        <w:rPr>
          <w:color w:val="202020"/>
          <w:szCs w:val="24"/>
          <w:lang w:val="en-US" w:eastAsia="et-EE"/>
        </w:rPr>
        <w:t>(</w:t>
      </w:r>
      <w:r w:rsidR="16E6EE71" w:rsidRPr="00687DE8">
        <w:rPr>
          <w:color w:val="202020"/>
          <w:szCs w:val="24"/>
          <w:lang w:eastAsia="et-EE"/>
        </w:rPr>
        <w:t>1</w:t>
      </w:r>
      <w:r w:rsidRPr="00687DE8">
        <w:rPr>
          <w:color w:val="202020"/>
          <w:szCs w:val="24"/>
          <w:lang w:val="en-US" w:eastAsia="et-EE"/>
        </w:rPr>
        <w:t xml:space="preserve">) </w:t>
      </w:r>
      <w:r w:rsidR="00F954F7" w:rsidRPr="00687DE8">
        <w:rPr>
          <w:color w:val="202020"/>
          <w:szCs w:val="24"/>
          <w:lang w:eastAsia="et-EE"/>
        </w:rPr>
        <w:t>Ühe</w:t>
      </w:r>
      <w:r w:rsidRPr="00687DE8">
        <w:rPr>
          <w:color w:val="202020"/>
          <w:szCs w:val="24"/>
          <w:lang w:eastAsia="et-EE"/>
        </w:rPr>
        <w:t xml:space="preserve"> </w:t>
      </w:r>
      <w:r w:rsidR="00B532FB" w:rsidRPr="00687DE8">
        <w:rPr>
          <w:color w:val="202020"/>
          <w:szCs w:val="24"/>
          <w:lang w:eastAsia="et-EE"/>
        </w:rPr>
        <w:t>inimese vaktsineerimise</w:t>
      </w:r>
      <w:r w:rsidRPr="00687DE8">
        <w:rPr>
          <w:color w:val="202020"/>
          <w:szCs w:val="24"/>
          <w:lang w:eastAsia="et-EE"/>
        </w:rPr>
        <w:t xml:space="preserve"> piirhin</w:t>
      </w:r>
      <w:r w:rsidR="004905C4" w:rsidRPr="00687DE8">
        <w:rPr>
          <w:color w:val="202020"/>
          <w:szCs w:val="24"/>
          <w:lang w:eastAsia="et-EE"/>
        </w:rPr>
        <w:t>nad</w:t>
      </w:r>
      <w:r w:rsidRPr="00687DE8">
        <w:rPr>
          <w:color w:val="202020"/>
          <w:szCs w:val="24"/>
          <w:lang w:eastAsia="et-EE"/>
        </w:rPr>
        <w:t xml:space="preserve"> on järgmi</w:t>
      </w:r>
      <w:r w:rsidR="004905C4" w:rsidRPr="00687DE8">
        <w:rPr>
          <w:color w:val="202020"/>
          <w:szCs w:val="24"/>
          <w:lang w:eastAsia="et-EE"/>
        </w:rPr>
        <w:t>sed</w:t>
      </w:r>
      <w:r w:rsidRPr="00687DE8">
        <w:rPr>
          <w:color w:val="202020"/>
          <w:szCs w:val="24"/>
          <w:lang w:eastAsia="et-EE"/>
        </w:rPr>
        <w:t>:</w:t>
      </w:r>
    </w:p>
    <w:p w14:paraId="1C21D1A1" w14:textId="77777777" w:rsidR="00007B36" w:rsidRPr="00687DE8" w:rsidRDefault="00007B36" w:rsidP="50437F11">
      <w:pPr>
        <w:shd w:val="clear" w:color="auto" w:fill="FFFFFF" w:themeFill="background1"/>
        <w:spacing w:after="0" w:line="240" w:lineRule="auto"/>
        <w:jc w:val="both"/>
        <w:divId w:val="1316184749"/>
        <w:rPr>
          <w:color w:val="202020"/>
          <w:szCs w:val="24"/>
          <w:lang w:val="en-US" w:eastAsia="et-EE"/>
        </w:rPr>
      </w:pPr>
    </w:p>
    <w:tbl>
      <w:tblPr>
        <w:tblStyle w:val="Kontuurtabel"/>
        <w:tblW w:w="9374" w:type="dxa"/>
        <w:tblInd w:w="-3" w:type="dxa"/>
        <w:tblLook w:val="04A0" w:firstRow="1" w:lastRow="0" w:firstColumn="1" w:lastColumn="0" w:noHBand="0" w:noVBand="1"/>
      </w:tblPr>
      <w:tblGrid>
        <w:gridCol w:w="7350"/>
        <w:gridCol w:w="870"/>
        <w:gridCol w:w="1154"/>
      </w:tblGrid>
      <w:tr w:rsidR="002D3032" w:rsidRPr="00687DE8" w14:paraId="5C93625F" w14:textId="77777777" w:rsidTr="00026C21">
        <w:trPr>
          <w:divId w:val="1316184749"/>
          <w:trHeight w:val="690"/>
        </w:trPr>
        <w:tc>
          <w:tcPr>
            <w:tcW w:w="7350" w:type="dxa"/>
            <w:hideMark/>
          </w:tcPr>
          <w:p w14:paraId="2B9B7BCD" w14:textId="77777777" w:rsidR="00976487" w:rsidRPr="00687DE8" w:rsidRDefault="00976487">
            <w:pPr>
              <w:jc w:val="center"/>
              <w:rPr>
                <w:color w:val="202020"/>
                <w:szCs w:val="24"/>
                <w:lang w:eastAsia="et-EE"/>
              </w:rPr>
            </w:pPr>
            <w:r w:rsidRPr="00687DE8">
              <w:rPr>
                <w:b/>
                <w:bCs/>
                <w:color w:val="202020"/>
                <w:szCs w:val="24"/>
                <w:bdr w:val="none" w:sz="0" w:space="0" w:color="auto" w:frame="1"/>
                <w:lang w:eastAsia="et-EE"/>
              </w:rPr>
              <w:t>Tervishoiuteenuse nimetus</w:t>
            </w:r>
          </w:p>
        </w:tc>
        <w:tc>
          <w:tcPr>
            <w:tcW w:w="870" w:type="dxa"/>
            <w:hideMark/>
          </w:tcPr>
          <w:p w14:paraId="06E93D6B" w14:textId="77777777" w:rsidR="00976487" w:rsidRPr="00687DE8" w:rsidRDefault="00976487">
            <w:pPr>
              <w:jc w:val="center"/>
              <w:rPr>
                <w:color w:val="202020"/>
                <w:szCs w:val="24"/>
                <w:lang w:eastAsia="et-EE"/>
              </w:rPr>
            </w:pPr>
            <w:r w:rsidRPr="00687DE8">
              <w:rPr>
                <w:b/>
                <w:bCs/>
                <w:color w:val="202020"/>
                <w:szCs w:val="24"/>
                <w:bdr w:val="none" w:sz="0" w:space="0" w:color="auto" w:frame="1"/>
                <w:lang w:eastAsia="et-EE"/>
              </w:rPr>
              <w:t>Kood</w:t>
            </w:r>
          </w:p>
        </w:tc>
        <w:tc>
          <w:tcPr>
            <w:tcW w:w="1154" w:type="dxa"/>
            <w:hideMark/>
          </w:tcPr>
          <w:p w14:paraId="3CE5F276" w14:textId="77777777" w:rsidR="00976487" w:rsidRPr="00687DE8" w:rsidRDefault="00976487">
            <w:pPr>
              <w:jc w:val="center"/>
              <w:rPr>
                <w:color w:val="202020"/>
                <w:szCs w:val="24"/>
                <w:lang w:eastAsia="et-EE"/>
              </w:rPr>
            </w:pPr>
            <w:r w:rsidRPr="00687DE8">
              <w:rPr>
                <w:b/>
                <w:bCs/>
                <w:color w:val="202020"/>
                <w:szCs w:val="24"/>
                <w:bdr w:val="none" w:sz="0" w:space="0" w:color="auto" w:frame="1"/>
                <w:lang w:eastAsia="et-EE"/>
              </w:rPr>
              <w:t>Piirhind</w:t>
            </w:r>
            <w:r w:rsidRPr="00687DE8">
              <w:rPr>
                <w:b/>
                <w:bCs/>
                <w:color w:val="202020"/>
                <w:szCs w:val="24"/>
                <w:bdr w:val="none" w:sz="0" w:space="0" w:color="auto" w:frame="1"/>
                <w:lang w:eastAsia="et-EE"/>
              </w:rPr>
              <w:br/>
              <w:t>eurodes</w:t>
            </w:r>
          </w:p>
        </w:tc>
      </w:tr>
      <w:tr w:rsidR="00E21621" w:rsidRPr="00687DE8" w14:paraId="1C5FF055" w14:textId="77777777" w:rsidTr="00EB7A71">
        <w:trPr>
          <w:divId w:val="1316184749"/>
          <w:trHeight w:val="300"/>
        </w:trPr>
        <w:tc>
          <w:tcPr>
            <w:tcW w:w="7350" w:type="dxa"/>
            <w:hideMark/>
          </w:tcPr>
          <w:p w14:paraId="1F0B18F8" w14:textId="6780744B" w:rsidR="00E21621" w:rsidRPr="00687DE8" w:rsidRDefault="00E21621" w:rsidP="00E21621">
            <w:pPr>
              <w:rPr>
                <w:color w:val="202020"/>
                <w:szCs w:val="24"/>
                <w:lang w:val="sv-SE" w:eastAsia="et-EE"/>
              </w:rPr>
            </w:pPr>
            <w:r w:rsidRPr="00687DE8">
              <w:rPr>
                <w:color w:val="202020"/>
                <w:szCs w:val="24"/>
                <w:lang w:val="sv-SE" w:eastAsia="et-EE"/>
              </w:rPr>
              <w:t>Ühe inimese gripivastane vaktsineerimine</w:t>
            </w:r>
          </w:p>
        </w:tc>
        <w:tc>
          <w:tcPr>
            <w:tcW w:w="870" w:type="dxa"/>
            <w:hideMark/>
          </w:tcPr>
          <w:p w14:paraId="07C9AA41" w14:textId="77777777" w:rsidR="00E21621" w:rsidRPr="00687DE8" w:rsidRDefault="00E21621" w:rsidP="00E21621">
            <w:pPr>
              <w:jc w:val="center"/>
              <w:rPr>
                <w:color w:val="202020"/>
                <w:szCs w:val="24"/>
                <w:lang w:eastAsia="et-EE"/>
              </w:rPr>
            </w:pPr>
            <w:r w:rsidRPr="00687DE8">
              <w:rPr>
                <w:color w:val="202020"/>
                <w:szCs w:val="24"/>
                <w:lang w:eastAsia="et-EE"/>
              </w:rPr>
              <w:t>3089</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E5AD073" w14:textId="3E98DCC5" w:rsidR="00E21621" w:rsidRPr="00687DE8" w:rsidRDefault="00155385" w:rsidP="00E21621">
            <w:pPr>
              <w:jc w:val="center"/>
              <w:rPr>
                <w:rFonts w:eastAsia="Calibri"/>
                <w:color w:val="000000" w:themeColor="text1"/>
                <w:szCs w:val="24"/>
              </w:rPr>
            </w:pPr>
            <w:r>
              <w:rPr>
                <w:color w:val="000000"/>
              </w:rPr>
              <w:t>8,85</w:t>
            </w:r>
          </w:p>
        </w:tc>
      </w:tr>
      <w:tr w:rsidR="00E21621" w:rsidRPr="00687DE8" w14:paraId="77426E21" w14:textId="77777777" w:rsidTr="00EB7A71">
        <w:trPr>
          <w:divId w:val="1316184749"/>
          <w:trHeight w:val="300"/>
        </w:trPr>
        <w:tc>
          <w:tcPr>
            <w:tcW w:w="7350" w:type="dxa"/>
            <w:hideMark/>
          </w:tcPr>
          <w:p w14:paraId="2793AF6B" w14:textId="244F672E" w:rsidR="00E21621" w:rsidRPr="00687DE8" w:rsidRDefault="00E21621" w:rsidP="00E21621">
            <w:pPr>
              <w:rPr>
                <w:color w:val="202020"/>
                <w:szCs w:val="24"/>
                <w:lang w:val="sv-SE" w:eastAsia="et-EE"/>
              </w:rPr>
            </w:pPr>
            <w:r w:rsidRPr="00687DE8">
              <w:rPr>
                <w:color w:val="202020"/>
                <w:szCs w:val="24"/>
                <w:lang w:val="sv-SE" w:eastAsia="et-EE"/>
              </w:rPr>
              <w:t>Ühe inimese vaktsineerimine (välja arvatud COVID-19 ja gripp)</w:t>
            </w:r>
          </w:p>
        </w:tc>
        <w:tc>
          <w:tcPr>
            <w:tcW w:w="870" w:type="dxa"/>
            <w:hideMark/>
          </w:tcPr>
          <w:p w14:paraId="67BD5ABC" w14:textId="77777777" w:rsidR="00E21621" w:rsidRPr="00687DE8" w:rsidRDefault="00E21621" w:rsidP="00E21621">
            <w:pPr>
              <w:jc w:val="center"/>
              <w:rPr>
                <w:color w:val="202020"/>
                <w:szCs w:val="24"/>
                <w:lang w:eastAsia="et-EE"/>
              </w:rPr>
            </w:pPr>
            <w:r w:rsidRPr="00687DE8">
              <w:rPr>
                <w:color w:val="202020"/>
                <w:szCs w:val="24"/>
                <w:lang w:eastAsia="et-EE"/>
              </w:rPr>
              <w:t>3196</w:t>
            </w:r>
          </w:p>
        </w:tc>
        <w:tc>
          <w:tcPr>
            <w:tcW w:w="1154" w:type="dxa"/>
            <w:tcBorders>
              <w:top w:val="nil"/>
              <w:left w:val="single" w:sz="4" w:space="0" w:color="auto"/>
              <w:bottom w:val="single" w:sz="4" w:space="0" w:color="auto"/>
              <w:right w:val="single" w:sz="4" w:space="0" w:color="auto"/>
            </w:tcBorders>
            <w:vAlign w:val="center"/>
            <w:hideMark/>
          </w:tcPr>
          <w:p w14:paraId="4D4CA7A0" w14:textId="095A597F" w:rsidR="00E21621" w:rsidRPr="00687DE8" w:rsidRDefault="00155385" w:rsidP="00E21621">
            <w:pPr>
              <w:jc w:val="center"/>
              <w:rPr>
                <w:rFonts w:eastAsia="Calibri"/>
                <w:color w:val="000000" w:themeColor="text1"/>
                <w:szCs w:val="24"/>
              </w:rPr>
            </w:pPr>
            <w:r>
              <w:rPr>
                <w:color w:val="000000"/>
              </w:rPr>
              <w:t>8,85</w:t>
            </w:r>
          </w:p>
        </w:tc>
      </w:tr>
      <w:tr w:rsidR="00E21621" w:rsidRPr="00687DE8" w14:paraId="1A622ECE" w14:textId="77777777" w:rsidTr="00EB7A71">
        <w:trPr>
          <w:divId w:val="1316184749"/>
          <w:trHeight w:val="300"/>
        </w:trPr>
        <w:tc>
          <w:tcPr>
            <w:tcW w:w="7350" w:type="dxa"/>
          </w:tcPr>
          <w:p w14:paraId="340AEE50" w14:textId="67083A00" w:rsidR="00E21621" w:rsidRPr="00687DE8" w:rsidRDefault="00E21621" w:rsidP="00E21621">
            <w:pPr>
              <w:shd w:val="clear" w:color="auto" w:fill="FFFFFF" w:themeFill="background1"/>
              <w:rPr>
                <w:color w:val="202020"/>
                <w:szCs w:val="24"/>
                <w:lang w:eastAsia="et-EE"/>
              </w:rPr>
            </w:pPr>
            <w:r w:rsidRPr="00687DE8">
              <w:rPr>
                <w:color w:val="202020"/>
                <w:szCs w:val="24"/>
                <w:lang w:eastAsia="et-EE"/>
              </w:rPr>
              <w:t>Ühe inimese vaktsineerimine COVID-19 vastu</w:t>
            </w:r>
          </w:p>
        </w:tc>
        <w:tc>
          <w:tcPr>
            <w:tcW w:w="870" w:type="dxa"/>
          </w:tcPr>
          <w:p w14:paraId="2265439D" w14:textId="68E1F20B" w:rsidR="00E21621" w:rsidRPr="00687DE8" w:rsidRDefault="00E21621" w:rsidP="00E21621">
            <w:pPr>
              <w:shd w:val="clear" w:color="auto" w:fill="FFFFFF" w:themeFill="background1"/>
              <w:jc w:val="center"/>
              <w:rPr>
                <w:color w:val="202020"/>
                <w:lang w:eastAsia="et-EE"/>
              </w:rPr>
            </w:pPr>
            <w:r w:rsidRPr="01B70A9E">
              <w:rPr>
                <w:color w:val="202020"/>
                <w:lang w:eastAsia="et-EE"/>
              </w:rPr>
              <w:t>3199</w:t>
            </w:r>
          </w:p>
        </w:tc>
        <w:tc>
          <w:tcPr>
            <w:tcW w:w="1154" w:type="dxa"/>
            <w:tcBorders>
              <w:top w:val="nil"/>
              <w:left w:val="single" w:sz="4" w:space="0" w:color="auto"/>
              <w:bottom w:val="single" w:sz="4" w:space="0" w:color="auto"/>
              <w:right w:val="single" w:sz="4" w:space="0" w:color="auto"/>
            </w:tcBorders>
            <w:vAlign w:val="center"/>
          </w:tcPr>
          <w:p w14:paraId="2620D063" w14:textId="6A280E23" w:rsidR="00E21621" w:rsidRPr="00687DE8" w:rsidRDefault="00155385" w:rsidP="00E21621">
            <w:pPr>
              <w:jc w:val="center"/>
              <w:rPr>
                <w:rFonts w:eastAsia="Calibri"/>
                <w:color w:val="000000" w:themeColor="text1"/>
                <w:szCs w:val="24"/>
              </w:rPr>
            </w:pPr>
            <w:r>
              <w:rPr>
                <w:color w:val="000000"/>
              </w:rPr>
              <w:t>8,85</w:t>
            </w:r>
          </w:p>
        </w:tc>
      </w:tr>
    </w:tbl>
    <w:p w14:paraId="37D7691B" w14:textId="291CA7F3" w:rsidR="7C0515C2" w:rsidRPr="00687DE8" w:rsidRDefault="7C0515C2" w:rsidP="7C0515C2">
      <w:pPr>
        <w:shd w:val="clear" w:color="auto" w:fill="FFFFFF" w:themeFill="background1"/>
        <w:spacing w:after="0" w:line="240" w:lineRule="auto"/>
        <w:jc w:val="both"/>
        <w:rPr>
          <w:color w:val="202020"/>
          <w:szCs w:val="24"/>
          <w:lang w:eastAsia="et-EE"/>
        </w:rPr>
      </w:pPr>
    </w:p>
    <w:p w14:paraId="213B7A7B" w14:textId="601676D7" w:rsidR="00A81AF8" w:rsidRPr="00687DE8" w:rsidRDefault="7CBE3B20" w:rsidP="55497F8E">
      <w:pPr>
        <w:shd w:val="clear" w:color="auto" w:fill="FFFFFF" w:themeFill="background1"/>
        <w:spacing w:after="0" w:line="240" w:lineRule="auto"/>
        <w:jc w:val="both"/>
        <w:divId w:val="1316184749"/>
        <w:rPr>
          <w:color w:val="202020"/>
          <w:szCs w:val="24"/>
          <w:lang w:eastAsia="et-EE"/>
        </w:rPr>
      </w:pPr>
      <w:r w:rsidRPr="00687DE8">
        <w:rPr>
          <w:color w:val="202020"/>
          <w:szCs w:val="24"/>
          <w:lang w:eastAsia="et-EE"/>
        </w:rPr>
        <w:lastRenderedPageBreak/>
        <w:t>(</w:t>
      </w:r>
      <w:r w:rsidR="4AFB2668" w:rsidRPr="00687DE8">
        <w:rPr>
          <w:color w:val="202020"/>
          <w:szCs w:val="24"/>
          <w:lang w:eastAsia="et-EE"/>
        </w:rPr>
        <w:t>2</w:t>
      </w:r>
      <w:r w:rsidRPr="00687DE8">
        <w:rPr>
          <w:color w:val="202020"/>
          <w:szCs w:val="24"/>
          <w:lang w:eastAsia="et-EE"/>
        </w:rPr>
        <w:t>) Koodi</w:t>
      </w:r>
      <w:r w:rsidR="00B07B5A">
        <w:rPr>
          <w:color w:val="202020"/>
          <w:szCs w:val="24"/>
          <w:lang w:eastAsia="et-EE"/>
        </w:rPr>
        <w:t>de</w:t>
      </w:r>
      <w:r w:rsidRPr="00687DE8">
        <w:rPr>
          <w:color w:val="202020"/>
          <w:szCs w:val="24"/>
          <w:lang w:eastAsia="et-EE"/>
        </w:rPr>
        <w:t xml:space="preserve">ga 3089 </w:t>
      </w:r>
      <w:r w:rsidR="006F199A">
        <w:rPr>
          <w:color w:val="202020"/>
          <w:szCs w:val="24"/>
          <w:lang w:eastAsia="et-EE"/>
        </w:rPr>
        <w:t xml:space="preserve">ja 3199 </w:t>
      </w:r>
      <w:r w:rsidRPr="00687DE8">
        <w:rPr>
          <w:color w:val="202020"/>
          <w:szCs w:val="24"/>
          <w:lang w:eastAsia="et-EE"/>
        </w:rPr>
        <w:t>tähistatud tervishoiuteenus</w:t>
      </w:r>
      <w:r w:rsidR="006F199A">
        <w:rPr>
          <w:color w:val="202020"/>
          <w:szCs w:val="24"/>
          <w:lang w:eastAsia="et-EE"/>
        </w:rPr>
        <w:t xml:space="preserve">eid </w:t>
      </w:r>
      <w:r w:rsidRPr="00687DE8">
        <w:rPr>
          <w:color w:val="202020"/>
          <w:szCs w:val="24"/>
          <w:lang w:eastAsia="et-EE"/>
        </w:rPr>
        <w:t>rakendatakse</w:t>
      </w:r>
      <w:r w:rsidR="006F199A">
        <w:rPr>
          <w:color w:val="202020"/>
          <w:szCs w:val="24"/>
          <w:lang w:eastAsia="et-EE"/>
        </w:rPr>
        <w:t xml:space="preserve"> </w:t>
      </w:r>
      <w:r w:rsidR="00E13CED">
        <w:rPr>
          <w:color w:val="202020"/>
          <w:szCs w:val="24"/>
          <w:lang w:eastAsia="et-EE"/>
        </w:rPr>
        <w:t xml:space="preserve">nakkushaiguste </w:t>
      </w:r>
      <w:r w:rsidR="00EF2551">
        <w:rPr>
          <w:color w:val="202020"/>
          <w:szCs w:val="24"/>
          <w:lang w:eastAsia="et-EE"/>
        </w:rPr>
        <w:t xml:space="preserve">ennetamise ja tõrje seaduse § 10 lõike 3 alusel kehtestatud </w:t>
      </w:r>
      <w:r w:rsidR="006F199A">
        <w:rPr>
          <w:color w:val="202020"/>
          <w:szCs w:val="24"/>
          <w:lang w:eastAsia="et-EE"/>
        </w:rPr>
        <w:t>immuniseerimiskavas</w:t>
      </w:r>
      <w:r w:rsidR="00561076">
        <w:rPr>
          <w:color w:val="202020"/>
          <w:szCs w:val="24"/>
          <w:lang w:eastAsia="et-EE"/>
        </w:rPr>
        <w:t xml:space="preserve"> nimetatud sihtrühmale.</w:t>
      </w:r>
    </w:p>
    <w:p w14:paraId="4569411C" w14:textId="6082832A" w:rsidR="25F5D88D" w:rsidRPr="00687DE8" w:rsidRDefault="25F5D88D" w:rsidP="25F5D88D">
      <w:pPr>
        <w:shd w:val="clear" w:color="auto" w:fill="FFFFFF" w:themeFill="background1"/>
        <w:spacing w:after="0" w:line="240" w:lineRule="auto"/>
        <w:jc w:val="both"/>
        <w:rPr>
          <w:color w:val="202020"/>
          <w:szCs w:val="24"/>
          <w:lang w:eastAsia="et-EE"/>
        </w:rPr>
      </w:pPr>
    </w:p>
    <w:p w14:paraId="6E3DBE95" w14:textId="444BD72D" w:rsidR="04A78021" w:rsidRPr="00687DE8" w:rsidRDefault="04A78021" w:rsidP="25F5D88D">
      <w:pPr>
        <w:shd w:val="clear" w:color="auto" w:fill="FFFFFF" w:themeFill="background1"/>
        <w:spacing w:after="0" w:line="240" w:lineRule="auto"/>
        <w:jc w:val="both"/>
        <w:rPr>
          <w:color w:val="202020"/>
          <w:lang w:eastAsia="et-EE"/>
        </w:rPr>
      </w:pPr>
      <w:r w:rsidRPr="71FDBEE4">
        <w:rPr>
          <w:color w:val="202020"/>
          <w:lang w:eastAsia="et-EE"/>
        </w:rPr>
        <w:t>(</w:t>
      </w:r>
      <w:r w:rsidR="00C17D6C" w:rsidRPr="71FDBEE4">
        <w:rPr>
          <w:color w:val="202020"/>
          <w:lang w:eastAsia="et-EE"/>
        </w:rPr>
        <w:t>3</w:t>
      </w:r>
      <w:r w:rsidRPr="71FDBEE4">
        <w:rPr>
          <w:color w:val="202020"/>
          <w:lang w:eastAsia="et-EE"/>
        </w:rPr>
        <w:t>) Koodi</w:t>
      </w:r>
      <w:r w:rsidR="008F7CD5">
        <w:rPr>
          <w:color w:val="202020"/>
          <w:lang w:eastAsia="et-EE"/>
        </w:rPr>
        <w:t>de</w:t>
      </w:r>
      <w:r w:rsidRPr="71FDBEE4">
        <w:rPr>
          <w:color w:val="202020"/>
          <w:lang w:eastAsia="et-EE"/>
        </w:rPr>
        <w:t xml:space="preserve">ga 3089 </w:t>
      </w:r>
      <w:r w:rsidR="0038159A" w:rsidRPr="71FDBEE4">
        <w:rPr>
          <w:color w:val="202020"/>
          <w:lang w:eastAsia="et-EE"/>
        </w:rPr>
        <w:t xml:space="preserve">ja 3199 </w:t>
      </w:r>
      <w:r w:rsidRPr="71FDBEE4">
        <w:rPr>
          <w:color w:val="202020"/>
          <w:lang w:eastAsia="et-EE"/>
        </w:rPr>
        <w:t>tähistatud tervishoiuteenus</w:t>
      </w:r>
      <w:r w:rsidR="00B355CB" w:rsidRPr="71FDBEE4">
        <w:rPr>
          <w:color w:val="202020"/>
          <w:lang w:eastAsia="et-EE"/>
        </w:rPr>
        <w:t>eid</w:t>
      </w:r>
      <w:r w:rsidRPr="71FDBEE4">
        <w:rPr>
          <w:color w:val="202020"/>
          <w:lang w:eastAsia="et-EE"/>
        </w:rPr>
        <w:t xml:space="preserve"> ei rakendata isikule, kes </w:t>
      </w:r>
      <w:r w:rsidR="00197F24">
        <w:rPr>
          <w:color w:val="202020"/>
          <w:lang w:eastAsia="et-EE"/>
        </w:rPr>
        <w:t xml:space="preserve">saab </w:t>
      </w:r>
      <w:r w:rsidRPr="71FDBEE4">
        <w:rPr>
          <w:color w:val="202020"/>
          <w:lang w:eastAsia="et-EE"/>
        </w:rPr>
        <w:t xml:space="preserve">vaktsineerimise ajal </w:t>
      </w:r>
      <w:r w:rsidR="00E15184">
        <w:rPr>
          <w:color w:val="202020"/>
          <w:lang w:eastAsia="et-EE"/>
        </w:rPr>
        <w:t>ööpäevaringse</w:t>
      </w:r>
      <w:r w:rsidR="00197F24">
        <w:rPr>
          <w:color w:val="202020"/>
          <w:lang w:eastAsia="et-EE"/>
        </w:rPr>
        <w:t>t</w:t>
      </w:r>
      <w:r w:rsidR="00E15184">
        <w:rPr>
          <w:color w:val="202020"/>
          <w:lang w:eastAsia="et-EE"/>
        </w:rPr>
        <w:t xml:space="preserve"> hooldusteenus</w:t>
      </w:r>
      <w:r w:rsidR="00197F24">
        <w:rPr>
          <w:color w:val="202020"/>
          <w:lang w:eastAsia="et-EE"/>
        </w:rPr>
        <w:t>t</w:t>
      </w:r>
      <w:r w:rsidRPr="71FDBEE4">
        <w:rPr>
          <w:color w:val="202020"/>
          <w:lang w:eastAsia="et-EE"/>
        </w:rPr>
        <w:t xml:space="preserve">, </w:t>
      </w:r>
      <w:r w:rsidR="001854F0">
        <w:rPr>
          <w:color w:val="202020"/>
          <w:lang w:eastAsia="et-EE"/>
        </w:rPr>
        <w:t>mille puhul</w:t>
      </w:r>
      <w:r w:rsidRPr="71FDBEE4">
        <w:rPr>
          <w:color w:val="202020"/>
          <w:lang w:eastAsia="et-EE"/>
        </w:rPr>
        <w:t xml:space="preserve"> on tagatud koodiga 3097 </w:t>
      </w:r>
      <w:r w:rsidR="00CB506E">
        <w:rPr>
          <w:color w:val="202020"/>
          <w:lang w:eastAsia="et-EE"/>
        </w:rPr>
        <w:t>või 3117</w:t>
      </w:r>
      <w:r w:rsidRPr="71FDBEE4">
        <w:rPr>
          <w:color w:val="202020"/>
          <w:lang w:eastAsia="et-EE"/>
        </w:rPr>
        <w:t xml:space="preserve"> tähistatud õendusteenus.</w:t>
      </w:r>
    </w:p>
    <w:p w14:paraId="420E333E" w14:textId="02954E3C" w:rsidR="00BF9AD5" w:rsidRPr="00687DE8" w:rsidRDefault="00BF9AD5" w:rsidP="00BF9AD5">
      <w:pPr>
        <w:shd w:val="clear" w:color="auto" w:fill="FFFFFF" w:themeFill="background1"/>
        <w:spacing w:after="0" w:line="240" w:lineRule="auto"/>
        <w:jc w:val="both"/>
        <w:rPr>
          <w:color w:val="202020"/>
          <w:szCs w:val="24"/>
          <w:lang w:eastAsia="et-EE"/>
        </w:rPr>
      </w:pPr>
    </w:p>
    <w:p w14:paraId="5ABFE12A" w14:textId="4900B522" w:rsidR="00421965" w:rsidRPr="00687DE8" w:rsidRDefault="398A1F14" w:rsidP="00BF9AD5">
      <w:pPr>
        <w:shd w:val="clear" w:color="auto" w:fill="FFFFFF" w:themeFill="background1"/>
        <w:spacing w:after="0" w:line="240" w:lineRule="auto"/>
        <w:jc w:val="both"/>
        <w:rPr>
          <w:color w:val="202020"/>
          <w:szCs w:val="24"/>
          <w:lang w:eastAsia="et-EE"/>
        </w:rPr>
      </w:pPr>
      <w:r w:rsidRPr="00687DE8">
        <w:rPr>
          <w:color w:val="202020"/>
          <w:szCs w:val="24"/>
          <w:lang w:eastAsia="et-EE"/>
        </w:rPr>
        <w:t>(</w:t>
      </w:r>
      <w:r w:rsidR="00C17D6C" w:rsidRPr="00687DE8">
        <w:rPr>
          <w:color w:val="202020"/>
          <w:szCs w:val="24"/>
          <w:lang w:eastAsia="et-EE"/>
        </w:rPr>
        <w:t>4</w:t>
      </w:r>
      <w:r w:rsidRPr="00687DE8">
        <w:rPr>
          <w:color w:val="202020"/>
          <w:szCs w:val="24"/>
          <w:lang w:eastAsia="et-EE"/>
        </w:rPr>
        <w:t xml:space="preserve">) </w:t>
      </w:r>
      <w:r w:rsidR="6A98651E" w:rsidRPr="00687DE8">
        <w:rPr>
          <w:color w:val="202020"/>
          <w:szCs w:val="24"/>
          <w:lang w:eastAsia="et-EE"/>
        </w:rPr>
        <w:t>Koodiga 3196 tähistatud tervishoiuteenust rakendatakse Terviseame</w:t>
      </w:r>
      <w:r w:rsidR="0D9F2B43" w:rsidRPr="00687DE8">
        <w:rPr>
          <w:color w:val="202020"/>
          <w:szCs w:val="24"/>
          <w:lang w:eastAsia="et-EE"/>
        </w:rPr>
        <w:t xml:space="preserve">ti ettepaneku alusel nakkushaiguste leviku tõkestamiseks </w:t>
      </w:r>
      <w:r w:rsidR="009D1CE4" w:rsidRPr="00687DE8">
        <w:rPr>
          <w:color w:val="202020"/>
          <w:szCs w:val="24"/>
          <w:lang w:eastAsia="et-EE"/>
        </w:rPr>
        <w:t>tehtud</w:t>
      </w:r>
      <w:r w:rsidR="0D9F2B43" w:rsidRPr="00687DE8">
        <w:rPr>
          <w:color w:val="202020"/>
          <w:szCs w:val="24"/>
          <w:lang w:eastAsia="et-EE"/>
        </w:rPr>
        <w:t xml:space="preserve"> immuniseerimiste korral</w:t>
      </w:r>
      <w:r w:rsidR="00763A21" w:rsidRPr="00687DE8">
        <w:rPr>
          <w:color w:val="202020"/>
          <w:szCs w:val="24"/>
          <w:lang w:eastAsia="et-EE"/>
        </w:rPr>
        <w:t xml:space="preserve"> </w:t>
      </w:r>
      <w:r w:rsidR="00B704BE" w:rsidRPr="00687DE8">
        <w:rPr>
          <w:color w:val="202020"/>
          <w:szCs w:val="24"/>
          <w:lang w:eastAsia="et-EE"/>
        </w:rPr>
        <w:t>ja</w:t>
      </w:r>
      <w:r w:rsidR="009D2EC8" w:rsidRPr="00687DE8">
        <w:rPr>
          <w:color w:val="202020"/>
          <w:szCs w:val="24"/>
          <w:lang w:eastAsia="et-EE"/>
        </w:rPr>
        <w:t xml:space="preserve"> </w:t>
      </w:r>
      <w:r w:rsidR="0054429F" w:rsidRPr="00687DE8">
        <w:rPr>
          <w:color w:val="202020"/>
          <w:szCs w:val="24"/>
          <w:lang w:eastAsia="et-EE"/>
        </w:rPr>
        <w:t>juhul, kui</w:t>
      </w:r>
      <w:r w:rsidR="000C5A21" w:rsidRPr="00687DE8">
        <w:rPr>
          <w:color w:val="202020"/>
          <w:szCs w:val="24"/>
          <w:lang w:eastAsia="et-EE"/>
        </w:rPr>
        <w:t xml:space="preserve"> </w:t>
      </w:r>
      <w:r w:rsidR="003232F9" w:rsidRPr="00687DE8">
        <w:rPr>
          <w:color w:val="202020"/>
          <w:szCs w:val="24"/>
          <w:lang w:eastAsia="et-EE"/>
        </w:rPr>
        <w:t xml:space="preserve">isik pöördub </w:t>
      </w:r>
      <w:r w:rsidR="00B216A2" w:rsidRPr="00687DE8">
        <w:rPr>
          <w:color w:val="202020"/>
          <w:szCs w:val="24"/>
          <w:lang w:eastAsia="et-EE"/>
        </w:rPr>
        <w:t>eri</w:t>
      </w:r>
      <w:r w:rsidR="003232F9" w:rsidRPr="00687DE8">
        <w:rPr>
          <w:color w:val="202020"/>
          <w:szCs w:val="24"/>
          <w:lang w:eastAsia="et-EE"/>
        </w:rPr>
        <w:t xml:space="preserve">arsti või õe </w:t>
      </w:r>
      <w:r w:rsidR="009D1CE4" w:rsidRPr="00687DE8">
        <w:rPr>
          <w:color w:val="202020"/>
          <w:szCs w:val="24"/>
          <w:lang w:eastAsia="et-EE"/>
        </w:rPr>
        <w:t>poole</w:t>
      </w:r>
      <w:r w:rsidR="00B216A2" w:rsidRPr="00687DE8">
        <w:rPr>
          <w:color w:val="202020"/>
          <w:szCs w:val="24"/>
          <w:lang w:eastAsia="et-EE"/>
        </w:rPr>
        <w:t xml:space="preserve"> </w:t>
      </w:r>
      <w:r w:rsidR="003232F9" w:rsidRPr="00687DE8">
        <w:rPr>
          <w:color w:val="202020"/>
          <w:szCs w:val="24"/>
          <w:lang w:eastAsia="et-EE"/>
        </w:rPr>
        <w:t>eesmärgiga sa</w:t>
      </w:r>
      <w:r w:rsidR="004236D5" w:rsidRPr="00687DE8">
        <w:rPr>
          <w:color w:val="202020"/>
          <w:szCs w:val="24"/>
          <w:lang w:eastAsia="et-EE"/>
        </w:rPr>
        <w:t>ada immuniseerimiskava alusel ette</w:t>
      </w:r>
      <w:r w:rsidR="009D1CE4" w:rsidRPr="00687DE8">
        <w:rPr>
          <w:color w:val="202020"/>
          <w:szCs w:val="24"/>
          <w:lang w:eastAsia="et-EE"/>
        </w:rPr>
        <w:t xml:space="preserve"> nähtud</w:t>
      </w:r>
      <w:r w:rsidR="004236D5" w:rsidRPr="00687DE8">
        <w:rPr>
          <w:color w:val="202020"/>
          <w:szCs w:val="24"/>
          <w:lang w:eastAsia="et-EE"/>
        </w:rPr>
        <w:t xml:space="preserve"> vaktsiin.</w:t>
      </w:r>
    </w:p>
    <w:p w14:paraId="3A48948A" w14:textId="77777777" w:rsidR="00D26B73" w:rsidRPr="00687DE8" w:rsidRDefault="00D26B73" w:rsidP="00BF9AD5">
      <w:pPr>
        <w:shd w:val="clear" w:color="auto" w:fill="FFFFFF" w:themeFill="background1"/>
        <w:spacing w:after="0" w:line="240" w:lineRule="auto"/>
        <w:jc w:val="both"/>
        <w:rPr>
          <w:color w:val="202020"/>
          <w:szCs w:val="24"/>
          <w:lang w:eastAsia="et-EE"/>
        </w:rPr>
      </w:pPr>
    </w:p>
    <w:p w14:paraId="700A9D95" w14:textId="001239FF" w:rsidR="00976487" w:rsidRPr="00687DE8" w:rsidRDefault="00D26B73" w:rsidP="00FD4C7A">
      <w:pPr>
        <w:shd w:val="clear" w:color="auto" w:fill="FFFFFF" w:themeFill="background1"/>
        <w:spacing w:after="0" w:line="240" w:lineRule="auto"/>
        <w:jc w:val="both"/>
        <w:divId w:val="1316184749"/>
        <w:rPr>
          <w:color w:val="202020"/>
          <w:lang w:eastAsia="et-EE"/>
        </w:rPr>
      </w:pPr>
      <w:r w:rsidRPr="46F3B287">
        <w:rPr>
          <w:color w:val="202020"/>
          <w:lang w:eastAsia="et-EE"/>
        </w:rPr>
        <w:t xml:space="preserve">(5) </w:t>
      </w:r>
      <w:r w:rsidR="00E00D5C" w:rsidRPr="46F3B287">
        <w:rPr>
          <w:color w:val="202020"/>
          <w:lang w:eastAsia="et-EE"/>
        </w:rPr>
        <w:t xml:space="preserve">Lõikes 1 </w:t>
      </w:r>
      <w:r w:rsidR="00B96FD8" w:rsidRPr="46F3B287">
        <w:rPr>
          <w:color w:val="202020"/>
          <w:lang w:eastAsia="et-EE"/>
        </w:rPr>
        <w:t>nimetatud</w:t>
      </w:r>
      <w:r w:rsidR="00E00D5C" w:rsidRPr="46F3B287">
        <w:rPr>
          <w:color w:val="202020"/>
          <w:lang w:eastAsia="et-EE"/>
        </w:rPr>
        <w:t xml:space="preserve"> </w:t>
      </w:r>
      <w:r w:rsidRPr="46F3B287">
        <w:rPr>
          <w:color w:val="202020"/>
          <w:lang w:eastAsia="et-EE"/>
        </w:rPr>
        <w:t>tervishoiuteenus</w:t>
      </w:r>
      <w:r w:rsidR="00F73C2B" w:rsidRPr="46F3B287">
        <w:rPr>
          <w:color w:val="202020"/>
          <w:lang w:eastAsia="et-EE"/>
        </w:rPr>
        <w:t>eid</w:t>
      </w:r>
      <w:r w:rsidRPr="46F3B287">
        <w:rPr>
          <w:color w:val="202020"/>
          <w:lang w:eastAsia="et-EE"/>
        </w:rPr>
        <w:t xml:space="preserve"> </w:t>
      </w:r>
      <w:r w:rsidR="009E50D5" w:rsidRPr="46F3B287">
        <w:rPr>
          <w:color w:val="202020"/>
          <w:lang w:eastAsia="et-EE"/>
        </w:rPr>
        <w:t xml:space="preserve">ei rakendata </w:t>
      </w:r>
      <w:r w:rsidR="001F0B57" w:rsidRPr="46F3B287">
        <w:rPr>
          <w:color w:val="202020"/>
          <w:lang w:eastAsia="et-EE"/>
        </w:rPr>
        <w:t xml:space="preserve">samal ajal </w:t>
      </w:r>
      <w:r w:rsidR="009E50D5" w:rsidRPr="46F3B287">
        <w:rPr>
          <w:color w:val="202020"/>
          <w:lang w:eastAsia="et-EE"/>
        </w:rPr>
        <w:t xml:space="preserve">koodidega </w:t>
      </w:r>
      <w:r w:rsidR="00512B69" w:rsidRPr="46F3B287">
        <w:rPr>
          <w:color w:val="202020"/>
          <w:lang w:eastAsia="et-EE"/>
        </w:rPr>
        <w:t>303</w:t>
      </w:r>
      <w:r w:rsidR="006A6C35" w:rsidRPr="46F3B287">
        <w:rPr>
          <w:color w:val="202020"/>
          <w:lang w:eastAsia="et-EE"/>
        </w:rPr>
        <w:t>5,</w:t>
      </w:r>
      <w:r w:rsidR="002E46F5" w:rsidRPr="46F3B287">
        <w:rPr>
          <w:color w:val="202020"/>
          <w:lang w:eastAsia="et-EE"/>
        </w:rPr>
        <w:t xml:space="preserve"> </w:t>
      </w:r>
      <w:r w:rsidR="004E585C" w:rsidRPr="46F3B287">
        <w:rPr>
          <w:color w:val="202020"/>
          <w:lang w:eastAsia="et-EE"/>
        </w:rPr>
        <w:t>3018</w:t>
      </w:r>
      <w:r w:rsidR="4A175D93" w:rsidRPr="2FEC1421">
        <w:rPr>
          <w:color w:val="202020"/>
          <w:lang w:eastAsia="et-EE"/>
        </w:rPr>
        <w:t>,</w:t>
      </w:r>
      <w:r w:rsidR="00061DD7">
        <w:rPr>
          <w:color w:val="202020"/>
          <w:lang w:eastAsia="et-EE"/>
        </w:rPr>
        <w:t xml:space="preserve"> </w:t>
      </w:r>
      <w:r w:rsidR="006A6C35" w:rsidRPr="46F3B287">
        <w:rPr>
          <w:color w:val="202020"/>
          <w:lang w:eastAsia="et-EE"/>
        </w:rPr>
        <w:t>3019</w:t>
      </w:r>
      <w:r w:rsidR="76F7BE20" w:rsidRPr="754C09C4">
        <w:rPr>
          <w:color w:val="202020"/>
          <w:lang w:eastAsia="et-EE"/>
        </w:rPr>
        <w:t>, 3021</w:t>
      </w:r>
      <w:r w:rsidR="000D6211">
        <w:rPr>
          <w:color w:val="202020"/>
          <w:lang w:eastAsia="et-EE"/>
        </w:rPr>
        <w:t>, 3026</w:t>
      </w:r>
      <w:r w:rsidR="5008B44C" w:rsidRPr="754C09C4">
        <w:rPr>
          <w:color w:val="202020"/>
          <w:lang w:eastAsia="et-EE"/>
        </w:rPr>
        <w:t xml:space="preserve"> </w:t>
      </w:r>
      <w:r w:rsidR="5C4F680A" w:rsidRPr="754C09C4">
        <w:rPr>
          <w:color w:val="202020"/>
          <w:lang w:eastAsia="et-EE"/>
        </w:rPr>
        <w:t>ja</w:t>
      </w:r>
      <w:r w:rsidR="039CC9A7" w:rsidRPr="2FEC1421">
        <w:rPr>
          <w:color w:val="202020"/>
          <w:lang w:eastAsia="et-EE"/>
        </w:rPr>
        <w:t xml:space="preserve"> 3036 </w:t>
      </w:r>
      <w:r w:rsidR="00BD6DCF" w:rsidRPr="46F3B287">
        <w:rPr>
          <w:color w:val="202020"/>
          <w:lang w:eastAsia="et-EE"/>
        </w:rPr>
        <w:t>tähistatud tervis</w:t>
      </w:r>
      <w:r w:rsidR="007356CE" w:rsidRPr="46F3B287">
        <w:rPr>
          <w:color w:val="202020"/>
          <w:lang w:eastAsia="et-EE"/>
        </w:rPr>
        <w:t>hoiuteenustega</w:t>
      </w:r>
      <w:r w:rsidR="006A6C35" w:rsidRPr="615D1F45">
        <w:rPr>
          <w:color w:val="202020"/>
          <w:lang w:eastAsia="et-EE"/>
        </w:rPr>
        <w:t>.</w:t>
      </w:r>
    </w:p>
    <w:p w14:paraId="2ECD5415" w14:textId="77777777" w:rsidR="005C65C3" w:rsidRPr="00687DE8" w:rsidRDefault="005C65C3" w:rsidP="00FD4C7A">
      <w:pPr>
        <w:shd w:val="clear" w:color="auto" w:fill="FFFFFF" w:themeFill="background1"/>
        <w:spacing w:after="0" w:line="240" w:lineRule="auto"/>
        <w:jc w:val="both"/>
        <w:divId w:val="1316184749"/>
        <w:rPr>
          <w:b/>
          <w:bCs/>
          <w:color w:val="000000"/>
          <w:szCs w:val="24"/>
          <w:bdr w:val="none" w:sz="0" w:space="0" w:color="auto" w:frame="1"/>
          <w:lang w:eastAsia="et-EE"/>
        </w:rPr>
      </w:pPr>
    </w:p>
    <w:p w14:paraId="624C5756" w14:textId="51391CB7" w:rsidR="00976487" w:rsidRDefault="00976487" w:rsidP="00976487">
      <w:pPr>
        <w:spacing w:after="0" w:line="240" w:lineRule="auto"/>
        <w:jc w:val="both"/>
        <w:divId w:val="1316184749"/>
        <w:rPr>
          <w:b/>
          <w:color w:val="000000"/>
          <w:bdr w:val="none" w:sz="0" w:space="0" w:color="auto" w:frame="1"/>
          <w:lang w:eastAsia="et-EE"/>
        </w:rPr>
      </w:pPr>
      <w:r w:rsidRPr="041F02E9">
        <w:rPr>
          <w:b/>
          <w:color w:val="000000"/>
          <w:bdr w:val="none" w:sz="0" w:space="0" w:color="auto" w:frame="1"/>
          <w:lang w:eastAsia="et-EE"/>
        </w:rPr>
        <w:t xml:space="preserve">§ </w:t>
      </w:r>
      <w:r w:rsidR="0076079F" w:rsidRPr="041F02E9">
        <w:rPr>
          <w:b/>
          <w:color w:val="000000"/>
          <w:bdr w:val="none" w:sz="0" w:space="0" w:color="auto" w:frame="1"/>
          <w:lang w:eastAsia="et-EE"/>
        </w:rPr>
        <w:t>7</w:t>
      </w:r>
      <w:r w:rsidRPr="041F02E9">
        <w:rPr>
          <w:b/>
          <w:color w:val="000000"/>
          <w:bdr w:val="none" w:sz="0" w:space="0" w:color="auto" w:frame="1"/>
          <w:lang w:eastAsia="et-EE"/>
        </w:rPr>
        <w:t xml:space="preserve">. </w:t>
      </w:r>
      <w:r w:rsidR="00DC1261">
        <w:rPr>
          <w:b/>
          <w:color w:val="000000"/>
          <w:bdr w:val="none" w:sz="0" w:space="0" w:color="auto" w:frame="1"/>
          <w:lang w:eastAsia="et-EE"/>
        </w:rPr>
        <w:t>Väljaspool kodu osutatava üldhooldusteenuse ja ööpäevaringse erihooldusteenuse õendusteenus</w:t>
      </w:r>
    </w:p>
    <w:p w14:paraId="6E48D7E7" w14:textId="77777777" w:rsidR="009C5986" w:rsidRDefault="009C5986" w:rsidP="00976487">
      <w:pPr>
        <w:spacing w:after="0" w:line="240" w:lineRule="auto"/>
        <w:jc w:val="both"/>
        <w:divId w:val="1316184749"/>
        <w:rPr>
          <w:color w:val="000000"/>
          <w:bdr w:val="none" w:sz="0" w:space="0" w:color="auto" w:frame="1"/>
          <w:lang w:eastAsia="et-EE"/>
        </w:rPr>
      </w:pPr>
    </w:p>
    <w:p w14:paraId="25BF61F9" w14:textId="4CD04DE3" w:rsidR="00976487" w:rsidRPr="00687DE8" w:rsidRDefault="00F337A2" w:rsidP="00976487">
      <w:pPr>
        <w:spacing w:after="0" w:line="240" w:lineRule="auto"/>
        <w:jc w:val="both"/>
        <w:divId w:val="1316184749"/>
        <w:rPr>
          <w:color w:val="000000"/>
          <w:bdr w:val="none" w:sz="0" w:space="0" w:color="auto" w:frame="1"/>
          <w:lang w:eastAsia="et-EE"/>
        </w:rPr>
      </w:pPr>
      <w:r w:rsidRPr="70C4125D">
        <w:rPr>
          <w:color w:val="000000"/>
          <w:bdr w:val="none" w:sz="0" w:space="0" w:color="auto" w:frame="1"/>
          <w:lang w:eastAsia="et-EE"/>
        </w:rPr>
        <w:t xml:space="preserve">(1) </w:t>
      </w:r>
      <w:r w:rsidR="00976487" w:rsidRPr="70C4125D">
        <w:rPr>
          <w:color w:val="000000"/>
          <w:bdr w:val="none" w:sz="0" w:space="0" w:color="auto" w:frame="1"/>
          <w:lang w:eastAsia="et-EE"/>
        </w:rPr>
        <w:t>Väljaspool kodu osutatava</w:t>
      </w:r>
      <w:r w:rsidR="00976487" w:rsidRPr="772488EC">
        <w:rPr>
          <w:color w:val="000000" w:themeColor="text1"/>
          <w:lang w:eastAsia="et-EE"/>
        </w:rPr>
        <w:t xml:space="preserve"> </w:t>
      </w:r>
      <w:r w:rsidR="00144058">
        <w:rPr>
          <w:color w:val="000000" w:themeColor="text1"/>
          <w:lang w:eastAsia="et-EE"/>
        </w:rPr>
        <w:t xml:space="preserve">üldhooldusteenuse ja </w:t>
      </w:r>
      <w:r w:rsidR="3BBD58FE" w:rsidRPr="772488EC">
        <w:rPr>
          <w:color w:val="000000" w:themeColor="text1"/>
          <w:lang w:eastAsia="et-EE"/>
        </w:rPr>
        <w:t>ööpäevaringse</w:t>
      </w:r>
      <w:r w:rsidR="00976487" w:rsidRPr="70C4125D">
        <w:rPr>
          <w:color w:val="000000"/>
          <w:bdr w:val="none" w:sz="0" w:space="0" w:color="auto" w:frame="1"/>
          <w:lang w:eastAsia="et-EE"/>
        </w:rPr>
        <w:t xml:space="preserve"> </w:t>
      </w:r>
      <w:r w:rsidR="3CDA5ED2" w:rsidRPr="772488EC">
        <w:rPr>
          <w:color w:val="000000" w:themeColor="text1"/>
          <w:lang w:eastAsia="et-EE"/>
        </w:rPr>
        <w:t>er</w:t>
      </w:r>
      <w:r w:rsidR="00ED3DBF" w:rsidRPr="772488EC">
        <w:rPr>
          <w:color w:val="000000" w:themeColor="text1"/>
          <w:lang w:eastAsia="et-EE"/>
        </w:rPr>
        <w:t>i</w:t>
      </w:r>
      <w:r w:rsidR="00976487" w:rsidRPr="70C4125D">
        <w:rPr>
          <w:color w:val="000000"/>
          <w:bdr w:val="none" w:sz="0" w:space="0" w:color="auto" w:frame="1"/>
          <w:lang w:eastAsia="et-EE"/>
        </w:rPr>
        <w:t>hooldusteenuse õendusteenuse piirhind ühe</w:t>
      </w:r>
      <w:r w:rsidR="00976487" w:rsidRPr="772488EC">
        <w:rPr>
          <w:color w:val="000000" w:themeColor="text1"/>
          <w:lang w:eastAsia="et-EE"/>
        </w:rPr>
        <w:t xml:space="preserve"> </w:t>
      </w:r>
      <w:r w:rsidR="00620996" w:rsidRPr="772488EC">
        <w:rPr>
          <w:color w:val="000000" w:themeColor="text1"/>
          <w:lang w:eastAsia="et-EE"/>
        </w:rPr>
        <w:t>hooldusteenus</w:t>
      </w:r>
      <w:r w:rsidR="00144058">
        <w:rPr>
          <w:color w:val="000000" w:themeColor="text1"/>
          <w:lang w:eastAsia="et-EE"/>
        </w:rPr>
        <w:t>t saava</w:t>
      </w:r>
      <w:r w:rsidR="001C1530" w:rsidRPr="772488EC">
        <w:rPr>
          <w:color w:val="000000" w:themeColor="text1"/>
          <w:lang w:eastAsia="et-EE"/>
        </w:rPr>
        <w:t xml:space="preserve"> isiku</w:t>
      </w:r>
      <w:r w:rsidR="00976487" w:rsidRPr="70C4125D">
        <w:rPr>
          <w:color w:val="000000"/>
          <w:bdr w:val="none" w:sz="0" w:space="0" w:color="auto" w:frame="1"/>
          <w:lang w:eastAsia="et-EE"/>
        </w:rPr>
        <w:t xml:space="preserve"> kohta ühes kalendrikuus on järgmine:</w:t>
      </w:r>
    </w:p>
    <w:p w14:paraId="3A1E5E3B" w14:textId="77777777" w:rsidR="00976487" w:rsidRPr="00687DE8" w:rsidRDefault="00976487" w:rsidP="00976487">
      <w:pPr>
        <w:spacing w:after="0" w:line="240" w:lineRule="auto"/>
        <w:jc w:val="both"/>
        <w:divId w:val="1316184749"/>
        <w:rPr>
          <w:color w:val="000000"/>
          <w:szCs w:val="24"/>
          <w:bdr w:val="none" w:sz="0" w:space="0" w:color="auto" w:frame="1"/>
          <w:lang w:eastAsia="et-EE"/>
        </w:rPr>
      </w:pPr>
    </w:p>
    <w:tbl>
      <w:tblPr>
        <w:tblStyle w:val="Kontuurtabel"/>
        <w:tblW w:w="5000" w:type="pct"/>
        <w:tblInd w:w="-3" w:type="dxa"/>
        <w:tblLayout w:type="fixed"/>
        <w:tblLook w:val="04A0" w:firstRow="1" w:lastRow="0" w:firstColumn="1" w:lastColumn="0" w:noHBand="0" w:noVBand="1"/>
      </w:tblPr>
      <w:tblGrid>
        <w:gridCol w:w="6655"/>
        <w:gridCol w:w="1133"/>
        <w:gridCol w:w="1564"/>
        <w:gridCol w:w="23"/>
      </w:tblGrid>
      <w:tr w:rsidR="00976487" w:rsidRPr="00687DE8" w14:paraId="5C306C18" w14:textId="77777777" w:rsidTr="00167397">
        <w:trPr>
          <w:gridAfter w:val="1"/>
          <w:divId w:val="1316184749"/>
          <w:wAfter w:w="12" w:type="pct"/>
        </w:trPr>
        <w:tc>
          <w:tcPr>
            <w:tcW w:w="3549" w:type="pct"/>
            <w:hideMark/>
          </w:tcPr>
          <w:p w14:paraId="3A11CFEE" w14:textId="77777777" w:rsidR="00976487" w:rsidRPr="00687DE8" w:rsidRDefault="00976487">
            <w:pPr>
              <w:jc w:val="center"/>
              <w:rPr>
                <w:color w:val="202020"/>
                <w:szCs w:val="24"/>
                <w:lang w:eastAsia="et-EE"/>
              </w:rPr>
            </w:pPr>
            <w:r w:rsidRPr="00687DE8">
              <w:rPr>
                <w:b/>
                <w:bCs/>
                <w:color w:val="202020"/>
                <w:szCs w:val="24"/>
                <w:bdr w:val="none" w:sz="0" w:space="0" w:color="auto" w:frame="1"/>
                <w:lang w:eastAsia="et-EE"/>
              </w:rPr>
              <w:t>Tervishoiuteenuse nimetus</w:t>
            </w:r>
          </w:p>
        </w:tc>
        <w:tc>
          <w:tcPr>
            <w:tcW w:w="604" w:type="pct"/>
            <w:hideMark/>
          </w:tcPr>
          <w:p w14:paraId="5862B6C6" w14:textId="77777777" w:rsidR="00976487" w:rsidRPr="00687DE8" w:rsidRDefault="00976487">
            <w:pPr>
              <w:jc w:val="center"/>
              <w:rPr>
                <w:color w:val="202020"/>
                <w:szCs w:val="24"/>
                <w:lang w:eastAsia="et-EE"/>
              </w:rPr>
            </w:pPr>
            <w:r w:rsidRPr="00687DE8">
              <w:rPr>
                <w:b/>
                <w:bCs/>
                <w:color w:val="202020"/>
                <w:szCs w:val="24"/>
                <w:bdr w:val="none" w:sz="0" w:space="0" w:color="auto" w:frame="1"/>
                <w:lang w:eastAsia="et-EE"/>
              </w:rPr>
              <w:t>Kood</w:t>
            </w:r>
          </w:p>
        </w:tc>
        <w:tc>
          <w:tcPr>
            <w:tcW w:w="834" w:type="pct"/>
            <w:hideMark/>
          </w:tcPr>
          <w:p w14:paraId="5E0AB78C" w14:textId="77777777" w:rsidR="00976487" w:rsidRPr="00687DE8" w:rsidRDefault="00976487">
            <w:pPr>
              <w:jc w:val="center"/>
              <w:rPr>
                <w:color w:val="202020"/>
                <w:szCs w:val="24"/>
                <w:lang w:eastAsia="et-EE"/>
              </w:rPr>
            </w:pPr>
            <w:r w:rsidRPr="00687DE8">
              <w:rPr>
                <w:b/>
                <w:bCs/>
                <w:color w:val="202020"/>
                <w:szCs w:val="24"/>
                <w:bdr w:val="none" w:sz="0" w:space="0" w:color="auto" w:frame="1"/>
                <w:lang w:eastAsia="et-EE"/>
              </w:rPr>
              <w:t>Piirhind</w:t>
            </w:r>
            <w:r w:rsidRPr="00687DE8">
              <w:rPr>
                <w:b/>
                <w:bCs/>
                <w:color w:val="202020"/>
                <w:szCs w:val="24"/>
                <w:bdr w:val="none" w:sz="0" w:space="0" w:color="auto" w:frame="1"/>
                <w:lang w:eastAsia="et-EE"/>
              </w:rPr>
              <w:br/>
              <w:t>eurodes</w:t>
            </w:r>
          </w:p>
        </w:tc>
      </w:tr>
      <w:tr w:rsidR="00EA77EC" w:rsidRPr="00687DE8" w14:paraId="3BD53DAF" w14:textId="77777777" w:rsidTr="00EB7A71">
        <w:trPr>
          <w:gridAfter w:val="1"/>
          <w:divId w:val="1316184749"/>
          <w:wAfter w:w="12" w:type="pct"/>
          <w:trHeight w:val="300"/>
        </w:trPr>
        <w:tc>
          <w:tcPr>
            <w:tcW w:w="3549" w:type="pct"/>
            <w:hideMark/>
          </w:tcPr>
          <w:p w14:paraId="48AFC6AF" w14:textId="24FC1AE8" w:rsidR="00EA77EC" w:rsidRPr="00687DE8" w:rsidRDefault="00EA77EC" w:rsidP="00EA77EC">
            <w:pPr>
              <w:rPr>
                <w:color w:val="202020"/>
                <w:lang w:eastAsia="et-EE"/>
              </w:rPr>
            </w:pPr>
            <w:r>
              <w:t>Väljaspool kodu osutatava üldhooldusteenuse õendusteenus</w:t>
            </w:r>
          </w:p>
        </w:tc>
        <w:tc>
          <w:tcPr>
            <w:tcW w:w="604" w:type="pct"/>
            <w:hideMark/>
          </w:tcPr>
          <w:p w14:paraId="1A660BFB" w14:textId="77777777" w:rsidR="00EA77EC" w:rsidRPr="00687DE8" w:rsidRDefault="00EA77EC" w:rsidP="00EA77EC">
            <w:pPr>
              <w:jc w:val="center"/>
              <w:rPr>
                <w:color w:val="202020"/>
                <w:szCs w:val="24"/>
                <w:lang w:eastAsia="et-EE"/>
              </w:rPr>
            </w:pPr>
            <w:r w:rsidRPr="00687DE8">
              <w:rPr>
                <w:szCs w:val="24"/>
              </w:rPr>
              <w:t>3097</w:t>
            </w:r>
          </w:p>
        </w:tc>
        <w:tc>
          <w:tcPr>
            <w:tcW w:w="834" w:type="pct"/>
            <w:tcBorders>
              <w:top w:val="single" w:sz="4" w:space="0" w:color="auto"/>
              <w:left w:val="single" w:sz="4" w:space="0" w:color="auto"/>
              <w:bottom w:val="single" w:sz="4" w:space="0" w:color="auto"/>
              <w:right w:val="single" w:sz="4" w:space="0" w:color="auto"/>
            </w:tcBorders>
            <w:vAlign w:val="center"/>
            <w:hideMark/>
          </w:tcPr>
          <w:p w14:paraId="30A64D82" w14:textId="1DB34CFA" w:rsidR="00EA77EC" w:rsidRPr="00687DE8" w:rsidRDefault="00167397" w:rsidP="00EA77EC">
            <w:pPr>
              <w:jc w:val="center"/>
              <w:rPr>
                <w:rFonts w:eastAsia="Calibri"/>
                <w:color w:val="000000" w:themeColor="text1"/>
              </w:rPr>
            </w:pPr>
            <w:r>
              <w:rPr>
                <w:color w:val="000000"/>
              </w:rPr>
              <w:t>93,92</w:t>
            </w:r>
          </w:p>
        </w:tc>
      </w:tr>
      <w:tr w:rsidR="00EA77EC" w14:paraId="410C6E80" w14:textId="77777777" w:rsidTr="00EB7A71">
        <w:trPr>
          <w:divId w:val="1316184749"/>
          <w:trHeight w:val="300"/>
        </w:trPr>
        <w:tc>
          <w:tcPr>
            <w:tcW w:w="3549" w:type="pct"/>
            <w:hideMark/>
          </w:tcPr>
          <w:p w14:paraId="5AF79A5A" w14:textId="575FB7A9" w:rsidR="00EA77EC" w:rsidRDefault="00EA77EC" w:rsidP="00EA77EC">
            <w:r>
              <w:t>Ööpäevaringse erihooldusteenuse õendusteenus</w:t>
            </w:r>
          </w:p>
        </w:tc>
        <w:tc>
          <w:tcPr>
            <w:tcW w:w="604" w:type="pct"/>
            <w:hideMark/>
          </w:tcPr>
          <w:p w14:paraId="48D71728" w14:textId="7EB0D619" w:rsidR="00EA77EC" w:rsidRDefault="00EA77EC" w:rsidP="00EA77EC">
            <w:pPr>
              <w:jc w:val="center"/>
            </w:pPr>
            <w:r>
              <w:t>3117</w:t>
            </w:r>
          </w:p>
        </w:tc>
        <w:tc>
          <w:tcPr>
            <w:tcW w:w="846" w:type="pct"/>
            <w:gridSpan w:val="2"/>
            <w:tcBorders>
              <w:top w:val="nil"/>
              <w:left w:val="single" w:sz="4" w:space="0" w:color="auto"/>
              <w:bottom w:val="single" w:sz="4" w:space="0" w:color="auto"/>
              <w:right w:val="single" w:sz="4" w:space="0" w:color="auto"/>
            </w:tcBorders>
            <w:vAlign w:val="center"/>
            <w:hideMark/>
          </w:tcPr>
          <w:p w14:paraId="7BFB1567" w14:textId="029CDAC1" w:rsidR="00EA77EC" w:rsidRDefault="00167397" w:rsidP="00EA77EC">
            <w:pPr>
              <w:jc w:val="center"/>
              <w:rPr>
                <w:rFonts w:eastAsia="Calibri"/>
                <w:color w:val="000000" w:themeColor="text1"/>
              </w:rPr>
            </w:pPr>
            <w:r>
              <w:rPr>
                <w:color w:val="000000"/>
              </w:rPr>
              <w:t>93,92</w:t>
            </w:r>
          </w:p>
        </w:tc>
      </w:tr>
    </w:tbl>
    <w:p w14:paraId="7EAC3F42" w14:textId="77777777" w:rsidR="00976487" w:rsidRPr="00687DE8" w:rsidRDefault="00976487" w:rsidP="00976487">
      <w:pPr>
        <w:spacing w:after="0" w:line="240" w:lineRule="auto"/>
        <w:jc w:val="both"/>
        <w:divId w:val="1316184749"/>
        <w:rPr>
          <w:szCs w:val="24"/>
        </w:rPr>
      </w:pPr>
    </w:p>
    <w:p w14:paraId="3103BB44" w14:textId="6D596DC8" w:rsidR="0084355C" w:rsidRPr="00687DE8" w:rsidRDefault="004D4946" w:rsidP="0084355C">
      <w:pPr>
        <w:spacing w:after="0" w:line="240" w:lineRule="auto"/>
        <w:jc w:val="both"/>
        <w:divId w:val="1316184749"/>
        <w:rPr>
          <w:color w:val="000000" w:themeColor="text1"/>
        </w:rPr>
      </w:pPr>
      <w:r>
        <w:t>(</w:t>
      </w:r>
      <w:r w:rsidR="00F337A2">
        <w:t>2</w:t>
      </w:r>
      <w:r>
        <w:t>)</w:t>
      </w:r>
      <w:r w:rsidR="00531818">
        <w:t xml:space="preserve"> </w:t>
      </w:r>
      <w:r w:rsidR="00F720C6">
        <w:t>Väljaspool kodu osutatava üldhooldusteenuse</w:t>
      </w:r>
      <w:r w:rsidR="00531818">
        <w:t xml:space="preserve"> </w:t>
      </w:r>
      <w:r w:rsidR="007E39BC">
        <w:t>pakkuja tegevuskohas</w:t>
      </w:r>
      <w:r w:rsidR="00531818" w:rsidRPr="576470E3">
        <w:rPr>
          <w:color w:val="000000" w:themeColor="text1"/>
        </w:rPr>
        <w:t xml:space="preserve">, </w:t>
      </w:r>
      <w:r w:rsidR="0002286A" w:rsidRPr="576470E3">
        <w:rPr>
          <w:color w:val="000000" w:themeColor="text1"/>
        </w:rPr>
        <w:t>kus</w:t>
      </w:r>
      <w:r w:rsidR="00531818" w:rsidRPr="576470E3">
        <w:rPr>
          <w:color w:val="000000" w:themeColor="text1"/>
        </w:rPr>
        <w:t xml:space="preserve"> on vähem kui </w:t>
      </w:r>
      <w:r w:rsidR="0032781F" w:rsidRPr="576470E3">
        <w:rPr>
          <w:color w:val="000000" w:themeColor="text1"/>
        </w:rPr>
        <w:t>20</w:t>
      </w:r>
      <w:r w:rsidR="00531818" w:rsidRPr="576470E3">
        <w:rPr>
          <w:color w:val="000000" w:themeColor="text1"/>
        </w:rPr>
        <w:t xml:space="preserve"> </w:t>
      </w:r>
      <w:r w:rsidR="316A454D" w:rsidRPr="576470E3">
        <w:rPr>
          <w:color w:val="000000" w:themeColor="text1"/>
        </w:rPr>
        <w:t>voodikohta</w:t>
      </w:r>
      <w:r w:rsidR="00531818" w:rsidRPr="576470E3">
        <w:rPr>
          <w:color w:val="000000" w:themeColor="text1"/>
        </w:rPr>
        <w:t xml:space="preserve">, tasutakse </w:t>
      </w:r>
      <w:r w:rsidR="007F271A" w:rsidRPr="576470E3">
        <w:rPr>
          <w:color w:val="000000" w:themeColor="text1"/>
        </w:rPr>
        <w:t>piirhind</w:t>
      </w:r>
      <w:r w:rsidR="008E35E3" w:rsidRPr="576470E3">
        <w:rPr>
          <w:color w:val="000000" w:themeColor="text1"/>
        </w:rPr>
        <w:t>a</w:t>
      </w:r>
      <w:r w:rsidR="007F271A" w:rsidRPr="576470E3">
        <w:rPr>
          <w:color w:val="000000" w:themeColor="text1"/>
        </w:rPr>
        <w:t xml:space="preserve"> </w:t>
      </w:r>
      <w:r w:rsidR="00043302" w:rsidRPr="576470E3">
        <w:rPr>
          <w:color w:val="000000" w:themeColor="text1"/>
        </w:rPr>
        <w:t>20</w:t>
      </w:r>
      <w:r w:rsidR="4569816D" w:rsidRPr="576470E3">
        <w:rPr>
          <w:color w:val="000000" w:themeColor="text1"/>
        </w:rPr>
        <w:t xml:space="preserve"> </w:t>
      </w:r>
      <w:r w:rsidR="001C1530">
        <w:rPr>
          <w:color w:val="000000" w:themeColor="text1"/>
        </w:rPr>
        <w:t>isiku</w:t>
      </w:r>
      <w:r w:rsidR="001C1530" w:rsidRPr="576470E3">
        <w:rPr>
          <w:color w:val="000000" w:themeColor="text1"/>
        </w:rPr>
        <w:t xml:space="preserve"> </w:t>
      </w:r>
      <w:r w:rsidR="00531818" w:rsidRPr="576470E3">
        <w:rPr>
          <w:color w:val="000000" w:themeColor="text1"/>
        </w:rPr>
        <w:t>eest.</w:t>
      </w:r>
    </w:p>
    <w:p w14:paraId="1F97723E" w14:textId="77777777" w:rsidR="00144058" w:rsidRDefault="00144058" w:rsidP="00C54332">
      <w:pPr>
        <w:spacing w:after="0" w:line="240" w:lineRule="auto"/>
        <w:rPr>
          <w:color w:val="000000" w:themeColor="text1"/>
          <w:szCs w:val="24"/>
        </w:rPr>
      </w:pPr>
    </w:p>
    <w:p w14:paraId="017C2E25" w14:textId="6B419859" w:rsidR="0007306A" w:rsidRDefault="7D4F146C" w:rsidP="00C54332">
      <w:pPr>
        <w:spacing w:after="0" w:line="240" w:lineRule="auto"/>
        <w:jc w:val="both"/>
        <w:rPr>
          <w:color w:val="000000" w:themeColor="text1"/>
        </w:rPr>
      </w:pPr>
      <w:r w:rsidRPr="009F5647">
        <w:rPr>
          <w:color w:val="000000" w:themeColor="text1"/>
          <w:szCs w:val="24"/>
        </w:rPr>
        <w:t xml:space="preserve">(3) </w:t>
      </w:r>
      <w:r w:rsidR="00144058">
        <w:rPr>
          <w:color w:val="000000" w:themeColor="text1"/>
        </w:rPr>
        <w:t xml:space="preserve">Kuuele </w:t>
      </w:r>
      <w:r w:rsidR="00DC1261">
        <w:rPr>
          <w:color w:val="000000" w:themeColor="text1"/>
        </w:rPr>
        <w:t xml:space="preserve">kuni </w:t>
      </w:r>
      <w:r w:rsidR="00144058">
        <w:rPr>
          <w:color w:val="000000" w:themeColor="text1"/>
        </w:rPr>
        <w:t>kümnele isikule ö</w:t>
      </w:r>
      <w:r w:rsidR="00134D3A" w:rsidRPr="00134D3A">
        <w:rPr>
          <w:color w:val="000000" w:themeColor="text1"/>
        </w:rPr>
        <w:t>öpäevaringse erihooldusteenuse</w:t>
      </w:r>
      <w:r w:rsidR="00144058">
        <w:rPr>
          <w:color w:val="000000" w:themeColor="text1"/>
        </w:rPr>
        <w:t xml:space="preserve"> osutamise korral</w:t>
      </w:r>
      <w:r w:rsidR="00134D3A" w:rsidRPr="00134D3A">
        <w:rPr>
          <w:color w:val="000000" w:themeColor="text1"/>
        </w:rPr>
        <w:t xml:space="preserve"> </w:t>
      </w:r>
      <w:r w:rsidR="00CB1266">
        <w:rPr>
          <w:color w:val="000000" w:themeColor="text1"/>
        </w:rPr>
        <w:t xml:space="preserve">tasutakse piirhinda </w:t>
      </w:r>
      <w:r w:rsidR="00144058">
        <w:rPr>
          <w:color w:val="000000" w:themeColor="text1"/>
        </w:rPr>
        <w:t>kümne</w:t>
      </w:r>
      <w:r w:rsidR="005D189D">
        <w:rPr>
          <w:color w:val="000000" w:themeColor="text1"/>
        </w:rPr>
        <w:t xml:space="preserve"> </w:t>
      </w:r>
      <w:r w:rsidR="00C3557D">
        <w:rPr>
          <w:color w:val="000000" w:themeColor="text1"/>
        </w:rPr>
        <w:t xml:space="preserve">isiku </w:t>
      </w:r>
      <w:r w:rsidR="005D189D">
        <w:rPr>
          <w:color w:val="000000" w:themeColor="text1"/>
        </w:rPr>
        <w:t>eest.</w:t>
      </w:r>
    </w:p>
    <w:p w14:paraId="44BFEE95" w14:textId="77777777" w:rsidR="00692A27" w:rsidRPr="00687DE8" w:rsidRDefault="00692A27" w:rsidP="00C54332">
      <w:pPr>
        <w:spacing w:after="0" w:line="240" w:lineRule="auto"/>
        <w:jc w:val="both"/>
        <w:rPr>
          <w:b/>
          <w:szCs w:val="24"/>
        </w:rPr>
      </w:pPr>
    </w:p>
    <w:p w14:paraId="1402EF73" w14:textId="4E7E7FD9" w:rsidR="00D32803" w:rsidRDefault="006A5198" w:rsidP="12F5FC8C">
      <w:pPr>
        <w:shd w:val="clear" w:color="auto" w:fill="FFFFFF" w:themeFill="background1"/>
        <w:spacing w:after="0" w:line="240" w:lineRule="auto"/>
        <w:rPr>
          <w:b/>
          <w:color w:val="000000"/>
          <w:szCs w:val="24"/>
          <w:bdr w:val="none" w:sz="0" w:space="0" w:color="auto" w:frame="1"/>
          <w:lang w:eastAsia="et-EE"/>
        </w:rPr>
      </w:pPr>
      <w:r w:rsidRPr="00687DE8">
        <w:rPr>
          <w:b/>
          <w:szCs w:val="24"/>
        </w:rPr>
        <w:t xml:space="preserve">§ </w:t>
      </w:r>
      <w:r w:rsidR="00DB203B">
        <w:rPr>
          <w:b/>
          <w:szCs w:val="24"/>
        </w:rPr>
        <w:t>8</w:t>
      </w:r>
      <w:r w:rsidRPr="00687DE8">
        <w:rPr>
          <w:b/>
          <w:szCs w:val="24"/>
        </w:rPr>
        <w:t>.</w:t>
      </w:r>
      <w:r w:rsidR="00D51B21" w:rsidRPr="00687DE8">
        <w:rPr>
          <w:b/>
          <w:color w:val="000000"/>
          <w:szCs w:val="24"/>
          <w:bdr w:val="none" w:sz="0" w:space="0" w:color="auto" w:frame="1"/>
          <w:lang w:eastAsia="et-EE"/>
        </w:rPr>
        <w:t xml:space="preserve"> </w:t>
      </w:r>
      <w:r w:rsidR="00A81AF8" w:rsidRPr="00687DE8">
        <w:rPr>
          <w:b/>
          <w:color w:val="000000"/>
          <w:szCs w:val="24"/>
          <w:bdr w:val="none" w:sz="0" w:space="0" w:color="auto" w:frame="1"/>
          <w:lang w:eastAsia="et-EE"/>
        </w:rPr>
        <w:t>Täienda</w:t>
      </w:r>
      <w:r w:rsidR="00F650E4" w:rsidRPr="00687DE8">
        <w:rPr>
          <w:b/>
          <w:color w:val="000000"/>
          <w:szCs w:val="24"/>
          <w:bdr w:val="none" w:sz="0" w:space="0" w:color="auto" w:frame="1"/>
          <w:lang w:eastAsia="et-EE"/>
        </w:rPr>
        <w:t>va</w:t>
      </w:r>
      <w:r w:rsidR="00096D26" w:rsidRPr="00687DE8">
        <w:rPr>
          <w:b/>
          <w:color w:val="000000"/>
          <w:szCs w:val="24"/>
          <w:bdr w:val="none" w:sz="0" w:space="0" w:color="auto" w:frame="1"/>
          <w:lang w:eastAsia="et-EE"/>
        </w:rPr>
        <w:t xml:space="preserve">te </w:t>
      </w:r>
      <w:r w:rsidR="00F650E4" w:rsidRPr="00687DE8">
        <w:rPr>
          <w:b/>
          <w:color w:val="000000"/>
          <w:szCs w:val="24"/>
          <w:bdr w:val="none" w:sz="0" w:space="0" w:color="auto" w:frame="1"/>
          <w:lang w:eastAsia="et-EE"/>
        </w:rPr>
        <w:t>teenus</w:t>
      </w:r>
      <w:r w:rsidR="00096D26" w:rsidRPr="00687DE8">
        <w:rPr>
          <w:b/>
          <w:color w:val="000000"/>
          <w:szCs w:val="24"/>
          <w:bdr w:val="none" w:sz="0" w:space="0" w:color="auto" w:frame="1"/>
          <w:lang w:eastAsia="et-EE"/>
        </w:rPr>
        <w:t>t</w:t>
      </w:r>
      <w:r w:rsidR="00F650E4" w:rsidRPr="00687DE8">
        <w:rPr>
          <w:b/>
          <w:color w:val="000000"/>
          <w:szCs w:val="24"/>
          <w:bdr w:val="none" w:sz="0" w:space="0" w:color="auto" w:frame="1"/>
          <w:lang w:eastAsia="et-EE"/>
        </w:rPr>
        <w:t>e</w:t>
      </w:r>
      <w:r w:rsidR="00096D26" w:rsidRPr="00687DE8">
        <w:rPr>
          <w:b/>
          <w:color w:val="000000"/>
          <w:szCs w:val="24"/>
          <w:bdr w:val="none" w:sz="0" w:space="0" w:color="auto" w:frame="1"/>
          <w:lang w:eastAsia="et-EE"/>
        </w:rPr>
        <w:t xml:space="preserve"> piirhinnad</w:t>
      </w:r>
    </w:p>
    <w:p w14:paraId="4F5F7E64" w14:textId="77777777" w:rsidR="009C5986" w:rsidRDefault="009C5986" w:rsidP="12F5FC8C">
      <w:pPr>
        <w:shd w:val="clear" w:color="auto" w:fill="FFFFFF" w:themeFill="background1"/>
        <w:spacing w:after="0" w:line="240" w:lineRule="auto"/>
        <w:jc w:val="both"/>
        <w:rPr>
          <w:color w:val="000000"/>
          <w:szCs w:val="24"/>
          <w:bdr w:val="none" w:sz="0" w:space="0" w:color="auto" w:frame="1"/>
          <w:lang w:eastAsia="et-EE"/>
        </w:rPr>
      </w:pPr>
    </w:p>
    <w:p w14:paraId="4FA8D67C" w14:textId="7B8F9BF8" w:rsidR="00AE46B5" w:rsidRPr="00687DE8" w:rsidRDefault="00AE46B5" w:rsidP="12F5FC8C">
      <w:pPr>
        <w:shd w:val="clear" w:color="auto" w:fill="FFFFFF" w:themeFill="background1"/>
        <w:spacing w:after="0" w:line="240" w:lineRule="auto"/>
        <w:jc w:val="both"/>
        <w:rPr>
          <w:color w:val="000000"/>
          <w:szCs w:val="24"/>
          <w:bdr w:val="none" w:sz="0" w:space="0" w:color="auto" w:frame="1"/>
          <w:lang w:eastAsia="et-EE"/>
        </w:rPr>
      </w:pPr>
      <w:r w:rsidRPr="00687DE8">
        <w:rPr>
          <w:color w:val="000000"/>
          <w:szCs w:val="24"/>
          <w:bdr w:val="none" w:sz="0" w:space="0" w:color="auto" w:frame="1"/>
          <w:lang w:eastAsia="et-EE"/>
        </w:rPr>
        <w:t xml:space="preserve">(1) </w:t>
      </w:r>
      <w:r w:rsidR="005C0E62" w:rsidRPr="00687DE8">
        <w:rPr>
          <w:color w:val="000000"/>
          <w:szCs w:val="24"/>
          <w:bdr w:val="none" w:sz="0" w:space="0" w:color="auto" w:frame="1"/>
          <w:lang w:eastAsia="et-EE"/>
        </w:rPr>
        <w:t>Täiendavate teenuste korral rakendatakse järgmisi piirhindu:</w:t>
      </w:r>
    </w:p>
    <w:p w14:paraId="1B3931DF" w14:textId="77777777" w:rsidR="00700B1B" w:rsidRPr="00687DE8" w:rsidRDefault="00700B1B" w:rsidP="004D3F60">
      <w:pPr>
        <w:shd w:val="clear" w:color="auto" w:fill="FFFFFF"/>
        <w:spacing w:after="0" w:line="240" w:lineRule="auto"/>
        <w:jc w:val="both"/>
        <w:rPr>
          <w:color w:val="000000"/>
          <w:szCs w:val="24"/>
          <w:bdr w:val="none" w:sz="0" w:space="0" w:color="auto" w:frame="1"/>
          <w:lang w:eastAsia="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134"/>
        <w:gridCol w:w="1134"/>
      </w:tblGrid>
      <w:tr w:rsidR="00700B1B" w:rsidRPr="00687DE8" w14:paraId="2815F2E8" w14:textId="77777777" w:rsidTr="00B51B06">
        <w:trPr>
          <w:tblHeader/>
        </w:trPr>
        <w:tc>
          <w:tcPr>
            <w:tcW w:w="70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3AF97F" w14:textId="77777777" w:rsidR="00700B1B" w:rsidRPr="00687DE8" w:rsidRDefault="00700B1B" w:rsidP="00B51B06">
            <w:pPr>
              <w:spacing w:after="0" w:line="240" w:lineRule="auto"/>
              <w:jc w:val="center"/>
              <w:rPr>
                <w:szCs w:val="24"/>
              </w:rPr>
            </w:pPr>
            <w:r w:rsidRPr="00687DE8">
              <w:rPr>
                <w:b/>
                <w:bCs/>
                <w:szCs w:val="24"/>
              </w:rPr>
              <w:t>Tervishoiuteenuse nimetus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8273E5" w14:textId="77777777" w:rsidR="00700B1B" w:rsidRPr="00687DE8" w:rsidRDefault="00700B1B" w:rsidP="00B51B06">
            <w:pPr>
              <w:spacing w:after="0" w:line="240" w:lineRule="auto"/>
              <w:jc w:val="center"/>
              <w:rPr>
                <w:szCs w:val="24"/>
              </w:rPr>
            </w:pPr>
            <w:r w:rsidRPr="00687DE8">
              <w:rPr>
                <w:b/>
                <w:bCs/>
                <w:szCs w:val="24"/>
              </w:rPr>
              <w:t>Kood</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A514A7" w14:textId="77777777" w:rsidR="00700B1B" w:rsidRPr="00687DE8" w:rsidRDefault="00700B1B" w:rsidP="00B51B06">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D65CBB" w:rsidRPr="00687DE8" w14:paraId="206E5C6E" w14:textId="77777777" w:rsidTr="00D30B8D">
        <w:trPr>
          <w:trHeight w:val="280"/>
          <w:tblHeader/>
        </w:trPr>
        <w:tc>
          <w:tcPr>
            <w:tcW w:w="70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147682" w14:textId="77777777" w:rsidR="00D65CBB" w:rsidRPr="00687DE8" w:rsidRDefault="00D65CBB" w:rsidP="00D65CBB">
            <w:pPr>
              <w:spacing w:after="0" w:line="240" w:lineRule="auto"/>
              <w:rPr>
                <w:b/>
                <w:bCs/>
                <w:szCs w:val="24"/>
              </w:rPr>
            </w:pPr>
            <w:r w:rsidRPr="00687DE8">
              <w:rPr>
                <w:color w:val="202020"/>
                <w:szCs w:val="24"/>
                <w:lang w:eastAsia="et-EE"/>
              </w:rPr>
              <w:t>Tubaka- või nikotiinitoodetest loobumise esmane nõustamine (50 min)</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135D53" w14:textId="77777777" w:rsidR="00D65CBB" w:rsidRPr="00687DE8" w:rsidRDefault="00D65CBB" w:rsidP="00D65CBB">
            <w:pPr>
              <w:spacing w:after="0" w:line="240" w:lineRule="auto"/>
              <w:jc w:val="center"/>
              <w:rPr>
                <w:b/>
                <w:bCs/>
                <w:szCs w:val="24"/>
              </w:rPr>
            </w:pPr>
            <w:r w:rsidRPr="00687DE8">
              <w:rPr>
                <w:szCs w:val="24"/>
              </w:rPr>
              <w:t>3119</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350AF2" w14:textId="5680DFF9" w:rsidR="00D65CBB" w:rsidRPr="00687DE8" w:rsidRDefault="00CD1574" w:rsidP="00D65CBB">
            <w:pPr>
              <w:spacing w:after="0"/>
              <w:jc w:val="center"/>
              <w:rPr>
                <w:color w:val="000000" w:themeColor="text1"/>
                <w:szCs w:val="24"/>
              </w:rPr>
            </w:pPr>
            <w:r>
              <w:rPr>
                <w:color w:val="000000"/>
              </w:rPr>
              <w:t>34,88</w:t>
            </w:r>
          </w:p>
        </w:tc>
      </w:tr>
      <w:tr w:rsidR="00D65CBB" w:rsidRPr="00687DE8" w14:paraId="0A236EEE" w14:textId="77777777" w:rsidTr="00D30B8D">
        <w:trPr>
          <w:trHeight w:val="300"/>
          <w:tblHeader/>
        </w:trPr>
        <w:tc>
          <w:tcPr>
            <w:tcW w:w="70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DC9F2F" w14:textId="77777777" w:rsidR="00D65CBB" w:rsidRPr="00687DE8" w:rsidRDefault="00D65CBB" w:rsidP="00D65CBB">
            <w:pPr>
              <w:spacing w:after="0" w:line="240" w:lineRule="auto"/>
              <w:rPr>
                <w:b/>
                <w:bCs/>
                <w:szCs w:val="24"/>
              </w:rPr>
            </w:pPr>
            <w:r w:rsidRPr="00687DE8">
              <w:rPr>
                <w:szCs w:val="24"/>
              </w:rPr>
              <w:t>Tubaka- või nikotiinitoodetest loobumise nõustamine (15 min)</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D3A2E4" w14:textId="77777777" w:rsidR="00D65CBB" w:rsidRPr="00687DE8" w:rsidRDefault="00D65CBB" w:rsidP="00D65CBB">
            <w:pPr>
              <w:spacing w:after="0" w:line="240" w:lineRule="auto"/>
              <w:jc w:val="center"/>
              <w:rPr>
                <w:b/>
                <w:bCs/>
                <w:szCs w:val="24"/>
              </w:rPr>
            </w:pPr>
            <w:r w:rsidRPr="00687DE8">
              <w:rPr>
                <w:szCs w:val="24"/>
              </w:rPr>
              <w:t>3120</w:t>
            </w:r>
          </w:p>
        </w:tc>
        <w:tc>
          <w:tcPr>
            <w:tcW w:w="113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DEA339C" w14:textId="291D46B3" w:rsidR="00D65CBB" w:rsidRPr="00687DE8" w:rsidRDefault="00CD1574" w:rsidP="00D65CBB">
            <w:pPr>
              <w:spacing w:after="0"/>
              <w:jc w:val="center"/>
              <w:rPr>
                <w:color w:val="000000" w:themeColor="text1"/>
                <w:szCs w:val="24"/>
              </w:rPr>
            </w:pPr>
            <w:r>
              <w:rPr>
                <w:color w:val="000000"/>
              </w:rPr>
              <w:t>12,74</w:t>
            </w:r>
          </w:p>
        </w:tc>
      </w:tr>
      <w:tr w:rsidR="00D65CBB" w:rsidRPr="00687DE8" w14:paraId="6BA8E427" w14:textId="77777777" w:rsidTr="00D30B8D">
        <w:trPr>
          <w:trHeight w:val="132"/>
          <w:tblHeader/>
        </w:trPr>
        <w:tc>
          <w:tcPr>
            <w:tcW w:w="70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6355BD" w14:textId="77777777" w:rsidR="00D65CBB" w:rsidRPr="00687DE8" w:rsidRDefault="00D65CBB" w:rsidP="00D65CBB">
            <w:pPr>
              <w:spacing w:after="0" w:line="240" w:lineRule="auto"/>
              <w:rPr>
                <w:b/>
                <w:bCs/>
                <w:szCs w:val="24"/>
              </w:rPr>
            </w:pPr>
            <w:r w:rsidRPr="00687DE8">
              <w:rPr>
                <w:szCs w:val="24"/>
              </w:rPr>
              <w:t>Tubaka- või nikotiinitoodetest loobumise kaugnõustamine (15 min)</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9DCECC1" w14:textId="77777777" w:rsidR="00D65CBB" w:rsidRPr="00687DE8" w:rsidRDefault="00D65CBB" w:rsidP="00D65CBB">
            <w:pPr>
              <w:spacing w:after="0" w:line="240" w:lineRule="auto"/>
              <w:jc w:val="center"/>
              <w:rPr>
                <w:b/>
                <w:bCs/>
                <w:szCs w:val="24"/>
              </w:rPr>
            </w:pPr>
            <w:r w:rsidRPr="00687DE8">
              <w:rPr>
                <w:szCs w:val="24"/>
              </w:rPr>
              <w:t>3232</w:t>
            </w:r>
          </w:p>
        </w:tc>
        <w:tc>
          <w:tcPr>
            <w:tcW w:w="113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70CAEDA" w14:textId="632E1971" w:rsidR="00D65CBB" w:rsidRPr="00687DE8" w:rsidRDefault="00CD1574" w:rsidP="00D65CBB">
            <w:pPr>
              <w:spacing w:after="0"/>
              <w:jc w:val="center"/>
              <w:rPr>
                <w:color w:val="000000" w:themeColor="text1"/>
                <w:szCs w:val="24"/>
              </w:rPr>
            </w:pPr>
            <w:r>
              <w:rPr>
                <w:color w:val="000000"/>
              </w:rPr>
              <w:t>12,74</w:t>
            </w:r>
          </w:p>
        </w:tc>
      </w:tr>
      <w:tr w:rsidR="00D65CBB" w:rsidRPr="00687DE8" w14:paraId="64BBC023" w14:textId="77777777" w:rsidTr="00D30B8D">
        <w:trPr>
          <w:trHeight w:val="300"/>
          <w:tblHeader/>
        </w:trPr>
        <w:tc>
          <w:tcPr>
            <w:tcW w:w="70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45967E" w14:textId="77777777" w:rsidR="00D65CBB" w:rsidRPr="00687DE8" w:rsidRDefault="00D65CBB" w:rsidP="00D65CBB">
            <w:pPr>
              <w:spacing w:after="0" w:line="240" w:lineRule="auto"/>
              <w:rPr>
                <w:b/>
                <w:bCs/>
                <w:szCs w:val="24"/>
              </w:rPr>
            </w:pPr>
            <w:r w:rsidRPr="00687DE8">
              <w:rPr>
                <w:szCs w:val="24"/>
              </w:rPr>
              <w:t>Tubaka- või nikotiinitoodetest loobumise videonõustamine (15 min)</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AB3006" w14:textId="77777777" w:rsidR="00D65CBB" w:rsidRPr="00687DE8" w:rsidRDefault="00D65CBB" w:rsidP="00D65CBB">
            <w:pPr>
              <w:spacing w:after="0" w:line="240" w:lineRule="auto"/>
              <w:jc w:val="center"/>
              <w:rPr>
                <w:b/>
                <w:bCs/>
                <w:szCs w:val="24"/>
              </w:rPr>
            </w:pPr>
            <w:r w:rsidRPr="00687DE8">
              <w:rPr>
                <w:szCs w:val="24"/>
              </w:rPr>
              <w:t>3233</w:t>
            </w:r>
          </w:p>
        </w:tc>
        <w:tc>
          <w:tcPr>
            <w:tcW w:w="113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226531A" w14:textId="7A92EAC6" w:rsidR="00D65CBB" w:rsidRPr="00687DE8" w:rsidRDefault="00CD1574" w:rsidP="00D65CBB">
            <w:pPr>
              <w:spacing w:after="0"/>
              <w:jc w:val="center"/>
              <w:rPr>
                <w:color w:val="000000" w:themeColor="text1"/>
                <w:szCs w:val="24"/>
              </w:rPr>
            </w:pPr>
            <w:r>
              <w:rPr>
                <w:color w:val="000000"/>
              </w:rPr>
              <w:t>12,74</w:t>
            </w:r>
          </w:p>
        </w:tc>
      </w:tr>
    </w:tbl>
    <w:p w14:paraId="11C6E9CA" w14:textId="77777777" w:rsidR="00700B1B" w:rsidRPr="00687DE8" w:rsidRDefault="00700B1B" w:rsidP="004D3F60">
      <w:pPr>
        <w:shd w:val="clear" w:color="auto" w:fill="FFFFFF"/>
        <w:spacing w:after="0" w:line="240" w:lineRule="auto"/>
        <w:jc w:val="both"/>
        <w:rPr>
          <w:color w:val="000000"/>
          <w:szCs w:val="24"/>
          <w:bdr w:val="none" w:sz="0" w:space="0" w:color="auto" w:frame="1"/>
          <w:lang w:eastAsia="et-EE"/>
        </w:rPr>
      </w:pPr>
    </w:p>
    <w:p w14:paraId="1703B384" w14:textId="1B8B3BF4" w:rsidR="001E7D68" w:rsidRPr="00687DE8" w:rsidDel="00A2129F" w:rsidRDefault="001E7D68" w:rsidP="00F5533B">
      <w:pPr>
        <w:spacing w:after="0" w:line="240" w:lineRule="auto"/>
        <w:jc w:val="both"/>
        <w:rPr>
          <w:szCs w:val="24"/>
        </w:rPr>
      </w:pPr>
      <w:r w:rsidRPr="00687DE8">
        <w:rPr>
          <w:szCs w:val="24"/>
        </w:rPr>
        <w:t xml:space="preserve">(2) </w:t>
      </w:r>
      <w:r w:rsidR="005023FD" w:rsidRPr="00687DE8">
        <w:rPr>
          <w:szCs w:val="24"/>
        </w:rPr>
        <w:t>Tervisekassa</w:t>
      </w:r>
      <w:r w:rsidRPr="00687DE8">
        <w:rPr>
          <w:szCs w:val="24"/>
        </w:rPr>
        <w:t xml:space="preserve"> võtab koodidega 3119, 3120, 3232 ja 3233 tähistatud tervishoiuteenuste eest tasu maksmise kohustuse üle juhul, kui teenust osutab vastava koolitusega tervishoiutöötaja või </w:t>
      </w:r>
      <w:r w:rsidRPr="00687DE8">
        <w:rPr>
          <w:szCs w:val="24"/>
        </w:rPr>
        <w:lastRenderedPageBreak/>
        <w:t xml:space="preserve">tervishoiuspetsialist ning teenust osutatakse </w:t>
      </w:r>
      <w:r w:rsidR="00EA2568">
        <w:rPr>
          <w:szCs w:val="24"/>
        </w:rPr>
        <w:t>pere</w:t>
      </w:r>
      <w:r w:rsidRPr="00687DE8">
        <w:rPr>
          <w:szCs w:val="24"/>
        </w:rPr>
        <w:t>arstiabi</w:t>
      </w:r>
      <w:r w:rsidR="2BDF9BDF" w:rsidRPr="00687DE8">
        <w:rPr>
          <w:szCs w:val="24"/>
        </w:rPr>
        <w:t xml:space="preserve"> või</w:t>
      </w:r>
      <w:r w:rsidR="5EDF0FF7" w:rsidRPr="00687DE8">
        <w:rPr>
          <w:szCs w:val="24"/>
        </w:rPr>
        <w:t xml:space="preserve"> </w:t>
      </w:r>
      <w:r w:rsidRPr="00687DE8">
        <w:rPr>
          <w:szCs w:val="24"/>
        </w:rPr>
        <w:t>koolitervishoiuteenuse rahastamise lepingus kokku</w:t>
      </w:r>
      <w:r w:rsidR="001F0B57" w:rsidRPr="00687DE8">
        <w:rPr>
          <w:szCs w:val="24"/>
        </w:rPr>
        <w:t xml:space="preserve"> </w:t>
      </w:r>
      <w:r w:rsidRPr="00687DE8">
        <w:rPr>
          <w:szCs w:val="24"/>
        </w:rPr>
        <w:t>lepitud tingimustel ja korras.</w:t>
      </w:r>
    </w:p>
    <w:p w14:paraId="040A8D39" w14:textId="77777777" w:rsidR="001B4653" w:rsidRPr="00687DE8" w:rsidRDefault="001B4653" w:rsidP="00F5533B">
      <w:pPr>
        <w:spacing w:after="0" w:line="240" w:lineRule="auto"/>
        <w:jc w:val="both"/>
        <w:rPr>
          <w:szCs w:val="24"/>
        </w:rPr>
      </w:pPr>
    </w:p>
    <w:p w14:paraId="23D87503" w14:textId="77777777" w:rsidR="00DA7354" w:rsidRPr="00687DE8" w:rsidDel="00A2129F" w:rsidRDefault="00DA7354" w:rsidP="16AE19FF">
      <w:pPr>
        <w:spacing w:after="0" w:line="240" w:lineRule="auto"/>
        <w:jc w:val="both"/>
        <w:rPr>
          <w:szCs w:val="24"/>
        </w:rPr>
      </w:pPr>
      <w:r w:rsidRPr="00687DE8">
        <w:rPr>
          <w:szCs w:val="24"/>
        </w:rPr>
        <w:t xml:space="preserve">(3) Täiendavate </w:t>
      </w:r>
      <w:r w:rsidR="00E37B19" w:rsidRPr="00687DE8">
        <w:rPr>
          <w:rStyle w:val="normaltextrun"/>
          <w:color w:val="000000" w:themeColor="text1"/>
          <w:szCs w:val="24"/>
        </w:rPr>
        <w:t>a</w:t>
      </w:r>
      <w:r w:rsidR="7203C8C4" w:rsidRPr="00687DE8">
        <w:rPr>
          <w:rStyle w:val="normaltextrun"/>
          <w:color w:val="000000" w:themeColor="text1"/>
          <w:szCs w:val="24"/>
        </w:rPr>
        <w:t>lkoholitarvitamise häire ennetuse</w:t>
      </w:r>
      <w:r w:rsidRPr="00687DE8">
        <w:rPr>
          <w:szCs w:val="24"/>
        </w:rPr>
        <w:t xml:space="preserve"> ja nõustamise teenuste puhul rakendatakse järgmisi piirhindu:</w:t>
      </w:r>
    </w:p>
    <w:p w14:paraId="420DBB7F" w14:textId="77777777" w:rsidR="00B32F40" w:rsidRPr="00687DE8" w:rsidRDefault="00B32F40" w:rsidP="00F5533B">
      <w:pPr>
        <w:spacing w:after="0" w:line="240" w:lineRule="auto"/>
        <w:jc w:val="both"/>
        <w:rPr>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38"/>
        <w:gridCol w:w="1276"/>
        <w:gridCol w:w="1134"/>
      </w:tblGrid>
      <w:tr w:rsidR="00DA7354" w:rsidRPr="00687DE8" w14:paraId="41A53B3B" w14:textId="77777777" w:rsidTr="0076647B">
        <w:tc>
          <w:tcPr>
            <w:tcW w:w="6938" w:type="dxa"/>
          </w:tcPr>
          <w:p w14:paraId="23DED4F3" w14:textId="77777777" w:rsidR="00DA7354" w:rsidRPr="00687DE8" w:rsidRDefault="00DA7354" w:rsidP="008907C9">
            <w:pPr>
              <w:spacing w:after="0" w:line="240" w:lineRule="auto"/>
              <w:jc w:val="center"/>
              <w:textAlignment w:val="baseline"/>
              <w:rPr>
                <w:b/>
                <w:szCs w:val="24"/>
                <w:lang w:eastAsia="et-EE"/>
              </w:rPr>
            </w:pPr>
            <w:r w:rsidRPr="00687DE8">
              <w:rPr>
                <w:b/>
                <w:szCs w:val="24"/>
                <w:lang w:eastAsia="et-EE"/>
              </w:rPr>
              <w:t>Tervishoiuteenuse nimetus</w:t>
            </w:r>
          </w:p>
        </w:tc>
        <w:tc>
          <w:tcPr>
            <w:tcW w:w="1276" w:type="dxa"/>
          </w:tcPr>
          <w:p w14:paraId="369C31A4" w14:textId="77777777" w:rsidR="00DA7354" w:rsidRPr="00687DE8" w:rsidRDefault="00DA7354" w:rsidP="008907C9">
            <w:pPr>
              <w:spacing w:after="0" w:line="240" w:lineRule="auto"/>
              <w:jc w:val="center"/>
              <w:textAlignment w:val="baseline"/>
              <w:rPr>
                <w:b/>
                <w:szCs w:val="24"/>
                <w:lang w:eastAsia="et-EE"/>
              </w:rPr>
            </w:pPr>
            <w:r w:rsidRPr="00687DE8">
              <w:rPr>
                <w:b/>
                <w:szCs w:val="24"/>
                <w:lang w:eastAsia="et-EE"/>
              </w:rPr>
              <w:t>Kood</w:t>
            </w:r>
          </w:p>
        </w:tc>
        <w:tc>
          <w:tcPr>
            <w:tcW w:w="1134" w:type="dxa"/>
            <w:vAlign w:val="center"/>
          </w:tcPr>
          <w:p w14:paraId="21291F5F" w14:textId="77777777" w:rsidR="00DA7354" w:rsidRPr="00687DE8" w:rsidRDefault="00DA7354" w:rsidP="008907C9">
            <w:pPr>
              <w:spacing w:after="0" w:line="240" w:lineRule="auto"/>
              <w:jc w:val="right"/>
              <w:textAlignment w:val="baseline"/>
              <w:rPr>
                <w:b/>
                <w:szCs w:val="24"/>
                <w:lang w:eastAsia="et-EE"/>
              </w:rPr>
            </w:pPr>
            <w:r w:rsidRPr="00687DE8">
              <w:rPr>
                <w:b/>
                <w:szCs w:val="24"/>
                <w:lang w:eastAsia="et-EE"/>
              </w:rPr>
              <w:t>Piirhind eurodes</w:t>
            </w:r>
          </w:p>
        </w:tc>
      </w:tr>
      <w:tr w:rsidR="008B15AF" w:rsidRPr="00687DE8" w14:paraId="1EF624B6" w14:textId="77777777" w:rsidTr="00D30B8D">
        <w:trPr>
          <w:trHeight w:val="300"/>
        </w:trPr>
        <w:tc>
          <w:tcPr>
            <w:tcW w:w="6938" w:type="dxa"/>
            <w:hideMark/>
          </w:tcPr>
          <w:p w14:paraId="7ADE175A" w14:textId="77777777" w:rsidR="008B15AF" w:rsidRPr="00687DE8" w:rsidRDefault="008B15AF" w:rsidP="008B15AF">
            <w:pPr>
              <w:spacing w:after="0" w:line="240" w:lineRule="auto"/>
              <w:textAlignment w:val="baseline"/>
              <w:rPr>
                <w:szCs w:val="24"/>
                <w:lang w:eastAsia="et-EE"/>
              </w:rPr>
            </w:pPr>
            <w:r w:rsidRPr="00687DE8">
              <w:rPr>
                <w:rStyle w:val="normaltextrun"/>
                <w:color w:val="000000"/>
                <w:szCs w:val="24"/>
                <w:shd w:val="clear" w:color="auto" w:fill="FFFFFF"/>
              </w:rPr>
              <w:t>AUDIT test koos tagasisidestamisega (10 minutit)</w:t>
            </w:r>
          </w:p>
        </w:tc>
        <w:tc>
          <w:tcPr>
            <w:tcW w:w="1276" w:type="dxa"/>
            <w:vAlign w:val="center"/>
            <w:hideMark/>
          </w:tcPr>
          <w:p w14:paraId="3532DE7E" w14:textId="77777777" w:rsidR="008B15AF" w:rsidRPr="00687DE8" w:rsidRDefault="008B15AF" w:rsidP="008B15AF">
            <w:pPr>
              <w:spacing w:after="0" w:line="240" w:lineRule="auto"/>
              <w:jc w:val="center"/>
              <w:textAlignment w:val="baseline"/>
              <w:rPr>
                <w:szCs w:val="24"/>
                <w:lang w:eastAsia="et-EE"/>
              </w:rPr>
            </w:pPr>
            <w:r w:rsidRPr="00687DE8">
              <w:rPr>
                <w:szCs w:val="24"/>
                <w:lang w:eastAsia="et-EE"/>
              </w:rPr>
              <w:t>3127</w:t>
            </w:r>
          </w:p>
        </w:tc>
        <w:tc>
          <w:tcPr>
            <w:tcW w:w="1134" w:type="dxa"/>
            <w:tcBorders>
              <w:top w:val="single" w:sz="4" w:space="0" w:color="auto"/>
              <w:left w:val="single" w:sz="4" w:space="0" w:color="auto"/>
              <w:bottom w:val="single" w:sz="4" w:space="0" w:color="auto"/>
              <w:right w:val="single" w:sz="4" w:space="0" w:color="auto"/>
            </w:tcBorders>
            <w:vAlign w:val="center"/>
          </w:tcPr>
          <w:p w14:paraId="61AE2F46" w14:textId="7145AF41" w:rsidR="008B15AF" w:rsidRPr="00687DE8" w:rsidRDefault="00BB07E6" w:rsidP="008B15AF">
            <w:pPr>
              <w:spacing w:after="0" w:line="240" w:lineRule="auto"/>
              <w:jc w:val="center"/>
              <w:rPr>
                <w:color w:val="000000" w:themeColor="text1"/>
                <w:szCs w:val="24"/>
              </w:rPr>
            </w:pPr>
            <w:r>
              <w:rPr>
                <w:color w:val="000000"/>
              </w:rPr>
              <w:t>16,08</w:t>
            </w:r>
          </w:p>
        </w:tc>
      </w:tr>
      <w:tr w:rsidR="008B15AF" w:rsidRPr="00687DE8" w14:paraId="3DD3EE9C" w14:textId="77777777" w:rsidTr="00D30B8D">
        <w:trPr>
          <w:trHeight w:val="300"/>
        </w:trPr>
        <w:tc>
          <w:tcPr>
            <w:tcW w:w="6938" w:type="dxa"/>
            <w:hideMark/>
          </w:tcPr>
          <w:p w14:paraId="63EB1EF9" w14:textId="77777777" w:rsidR="008B15AF" w:rsidRPr="00687DE8" w:rsidRDefault="008B15AF" w:rsidP="008B15AF">
            <w:pPr>
              <w:spacing w:after="0" w:line="240" w:lineRule="auto"/>
              <w:textAlignment w:val="baseline"/>
              <w:rPr>
                <w:szCs w:val="24"/>
                <w:lang w:eastAsia="et-EE"/>
              </w:rPr>
            </w:pPr>
            <w:r w:rsidRPr="00687DE8">
              <w:rPr>
                <w:rStyle w:val="normaltextrun"/>
                <w:color w:val="000000" w:themeColor="text1"/>
                <w:szCs w:val="24"/>
              </w:rPr>
              <w:t>Alkoholitarvitamise häire ennetus ja lühinõustamine</w:t>
            </w:r>
            <w:r w:rsidRPr="00687DE8">
              <w:rPr>
                <w:szCs w:val="24"/>
                <w:lang w:eastAsia="et-EE"/>
              </w:rPr>
              <w:t> (15 minutit)</w:t>
            </w:r>
          </w:p>
        </w:tc>
        <w:tc>
          <w:tcPr>
            <w:tcW w:w="1276" w:type="dxa"/>
            <w:vAlign w:val="center"/>
          </w:tcPr>
          <w:p w14:paraId="4E1033E3" w14:textId="77777777" w:rsidR="008B15AF" w:rsidRPr="00687DE8" w:rsidRDefault="008B15AF" w:rsidP="008B15AF">
            <w:pPr>
              <w:spacing w:after="0" w:line="240" w:lineRule="auto"/>
              <w:jc w:val="center"/>
              <w:textAlignment w:val="baseline"/>
              <w:rPr>
                <w:szCs w:val="24"/>
                <w:lang w:eastAsia="et-EE"/>
              </w:rPr>
            </w:pPr>
            <w:r w:rsidRPr="00687DE8">
              <w:rPr>
                <w:szCs w:val="24"/>
                <w:lang w:eastAsia="et-EE"/>
              </w:rPr>
              <w:t>3122</w:t>
            </w:r>
          </w:p>
        </w:tc>
        <w:tc>
          <w:tcPr>
            <w:tcW w:w="1134" w:type="dxa"/>
            <w:tcBorders>
              <w:top w:val="nil"/>
              <w:left w:val="single" w:sz="4" w:space="0" w:color="auto"/>
              <w:bottom w:val="single" w:sz="4" w:space="0" w:color="auto"/>
              <w:right w:val="single" w:sz="4" w:space="0" w:color="auto"/>
            </w:tcBorders>
            <w:vAlign w:val="center"/>
          </w:tcPr>
          <w:p w14:paraId="23D6057F" w14:textId="19613E3C" w:rsidR="008B15AF" w:rsidRPr="00687DE8" w:rsidRDefault="00BB07E6" w:rsidP="008B15AF">
            <w:pPr>
              <w:spacing w:after="0" w:line="240" w:lineRule="auto"/>
              <w:jc w:val="center"/>
              <w:rPr>
                <w:color w:val="000000" w:themeColor="text1"/>
                <w:szCs w:val="24"/>
              </w:rPr>
            </w:pPr>
            <w:r>
              <w:rPr>
                <w:color w:val="000000"/>
              </w:rPr>
              <w:t>18,10</w:t>
            </w:r>
          </w:p>
        </w:tc>
      </w:tr>
      <w:tr w:rsidR="008B15AF" w:rsidRPr="00687DE8" w14:paraId="3F9EE91C" w14:textId="77777777" w:rsidTr="00D30B8D">
        <w:trPr>
          <w:trHeight w:val="300"/>
        </w:trPr>
        <w:tc>
          <w:tcPr>
            <w:tcW w:w="6938" w:type="dxa"/>
            <w:hideMark/>
          </w:tcPr>
          <w:p w14:paraId="0675BD67" w14:textId="374AAEB9" w:rsidR="008B15AF" w:rsidRPr="00687DE8" w:rsidRDefault="008B15AF" w:rsidP="008B15AF">
            <w:pPr>
              <w:spacing w:after="0" w:line="240" w:lineRule="auto"/>
              <w:textAlignment w:val="baseline"/>
              <w:rPr>
                <w:szCs w:val="24"/>
                <w:lang w:eastAsia="et-EE"/>
              </w:rPr>
            </w:pPr>
            <w:r w:rsidRPr="00687DE8">
              <w:rPr>
                <w:rStyle w:val="normaltextrun"/>
                <w:color w:val="000000" w:themeColor="text1"/>
                <w:szCs w:val="24"/>
              </w:rPr>
              <w:t xml:space="preserve">Alkoholitarvitamise häire ennetus ja laiendatud nõustamine </w:t>
            </w:r>
            <w:r w:rsidRPr="00687DE8">
              <w:rPr>
                <w:szCs w:val="24"/>
                <w:lang w:eastAsia="et-EE"/>
              </w:rPr>
              <w:t>(50 minutit)</w:t>
            </w:r>
          </w:p>
        </w:tc>
        <w:tc>
          <w:tcPr>
            <w:tcW w:w="1276" w:type="dxa"/>
            <w:vAlign w:val="center"/>
          </w:tcPr>
          <w:p w14:paraId="6DEFCD04" w14:textId="77777777" w:rsidR="008B15AF" w:rsidRPr="00687DE8" w:rsidRDefault="008B15AF" w:rsidP="008B15AF">
            <w:pPr>
              <w:spacing w:after="0" w:line="240" w:lineRule="auto"/>
              <w:jc w:val="center"/>
              <w:textAlignment w:val="baseline"/>
              <w:rPr>
                <w:szCs w:val="24"/>
                <w:lang w:eastAsia="et-EE"/>
              </w:rPr>
            </w:pPr>
            <w:r w:rsidRPr="00687DE8">
              <w:rPr>
                <w:szCs w:val="24"/>
                <w:lang w:eastAsia="et-EE"/>
              </w:rPr>
              <w:t>3123</w:t>
            </w:r>
          </w:p>
        </w:tc>
        <w:tc>
          <w:tcPr>
            <w:tcW w:w="1134" w:type="dxa"/>
            <w:tcBorders>
              <w:top w:val="nil"/>
              <w:left w:val="single" w:sz="4" w:space="0" w:color="auto"/>
              <w:bottom w:val="single" w:sz="4" w:space="0" w:color="auto"/>
              <w:right w:val="single" w:sz="4" w:space="0" w:color="auto"/>
            </w:tcBorders>
            <w:vAlign w:val="center"/>
          </w:tcPr>
          <w:p w14:paraId="5D04188D" w14:textId="429D53BF" w:rsidR="008B15AF" w:rsidRPr="00687DE8" w:rsidRDefault="00BB07E6" w:rsidP="008B15AF">
            <w:pPr>
              <w:spacing w:after="0" w:line="240" w:lineRule="auto"/>
              <w:jc w:val="center"/>
              <w:rPr>
                <w:color w:val="000000" w:themeColor="text1"/>
                <w:szCs w:val="24"/>
              </w:rPr>
            </w:pPr>
            <w:r>
              <w:rPr>
                <w:color w:val="000000"/>
              </w:rPr>
              <w:t>37,86</w:t>
            </w:r>
          </w:p>
        </w:tc>
      </w:tr>
      <w:tr w:rsidR="008B15AF" w:rsidRPr="00687DE8" w14:paraId="2C58F6F2" w14:textId="77777777" w:rsidTr="00D30B8D">
        <w:trPr>
          <w:trHeight w:val="300"/>
        </w:trPr>
        <w:tc>
          <w:tcPr>
            <w:tcW w:w="6938" w:type="dxa"/>
          </w:tcPr>
          <w:p w14:paraId="14F5F015" w14:textId="7D1679CC" w:rsidR="008B15AF" w:rsidRPr="00687DE8" w:rsidRDefault="008B15AF" w:rsidP="008B15AF">
            <w:pPr>
              <w:spacing w:after="0" w:line="240" w:lineRule="auto"/>
              <w:textAlignment w:val="baseline"/>
              <w:rPr>
                <w:rStyle w:val="normaltextrun"/>
                <w:color w:val="000000"/>
                <w:szCs w:val="24"/>
                <w:shd w:val="clear" w:color="auto" w:fill="FFFFFF"/>
              </w:rPr>
            </w:pPr>
            <w:r w:rsidRPr="00687DE8">
              <w:rPr>
                <w:rStyle w:val="normaltextrun"/>
                <w:color w:val="000000" w:themeColor="text1"/>
                <w:szCs w:val="24"/>
              </w:rPr>
              <w:t>AUDIT test koos tagasisidestamisega kaugvastuvõtuna</w:t>
            </w:r>
            <w:r w:rsidRPr="00687DE8">
              <w:rPr>
                <w:rStyle w:val="normaltextrun"/>
                <w:color w:val="000000"/>
                <w:szCs w:val="24"/>
                <w:shd w:val="clear" w:color="auto" w:fill="FFFFFF"/>
              </w:rPr>
              <w:t xml:space="preserve"> (10 minutit)</w:t>
            </w:r>
          </w:p>
        </w:tc>
        <w:tc>
          <w:tcPr>
            <w:tcW w:w="1276" w:type="dxa"/>
            <w:vAlign w:val="center"/>
          </w:tcPr>
          <w:p w14:paraId="3A081FCF" w14:textId="77777777" w:rsidR="008B15AF" w:rsidRPr="00687DE8" w:rsidRDefault="008B15AF" w:rsidP="008B15AF">
            <w:pPr>
              <w:spacing w:after="0" w:line="240" w:lineRule="auto"/>
              <w:jc w:val="center"/>
              <w:textAlignment w:val="baseline"/>
              <w:rPr>
                <w:szCs w:val="24"/>
                <w:lang w:eastAsia="et-EE"/>
              </w:rPr>
            </w:pPr>
            <w:r w:rsidRPr="00687DE8">
              <w:rPr>
                <w:szCs w:val="24"/>
                <w:lang w:eastAsia="et-EE"/>
              </w:rPr>
              <w:t>3234</w:t>
            </w:r>
          </w:p>
        </w:tc>
        <w:tc>
          <w:tcPr>
            <w:tcW w:w="1134" w:type="dxa"/>
            <w:tcBorders>
              <w:top w:val="nil"/>
              <w:left w:val="single" w:sz="4" w:space="0" w:color="auto"/>
              <w:bottom w:val="single" w:sz="4" w:space="0" w:color="auto"/>
              <w:right w:val="single" w:sz="4" w:space="0" w:color="auto"/>
            </w:tcBorders>
            <w:vAlign w:val="center"/>
          </w:tcPr>
          <w:p w14:paraId="06287901" w14:textId="28A298F6" w:rsidR="008B15AF" w:rsidRPr="00687DE8" w:rsidRDefault="00BB07E6" w:rsidP="008B15AF">
            <w:pPr>
              <w:spacing w:after="0" w:line="240" w:lineRule="auto"/>
              <w:jc w:val="center"/>
              <w:rPr>
                <w:color w:val="000000" w:themeColor="text1"/>
                <w:szCs w:val="24"/>
              </w:rPr>
            </w:pPr>
            <w:r>
              <w:rPr>
                <w:color w:val="000000"/>
              </w:rPr>
              <w:t>16,08</w:t>
            </w:r>
          </w:p>
        </w:tc>
      </w:tr>
      <w:tr w:rsidR="008B15AF" w:rsidRPr="00687DE8" w14:paraId="2C02C11B" w14:textId="77777777" w:rsidTr="00D30B8D">
        <w:trPr>
          <w:trHeight w:val="300"/>
        </w:trPr>
        <w:tc>
          <w:tcPr>
            <w:tcW w:w="6938" w:type="dxa"/>
          </w:tcPr>
          <w:p w14:paraId="4DCC838C" w14:textId="39032852" w:rsidR="008B15AF" w:rsidRPr="00687DE8" w:rsidRDefault="008B15AF" w:rsidP="008B15AF">
            <w:pPr>
              <w:spacing w:after="0" w:line="240" w:lineRule="auto"/>
              <w:textAlignment w:val="baseline"/>
              <w:rPr>
                <w:rStyle w:val="normaltextrun"/>
                <w:color w:val="000000"/>
                <w:szCs w:val="24"/>
                <w:shd w:val="clear" w:color="auto" w:fill="FFFFFF"/>
              </w:rPr>
            </w:pPr>
            <w:r w:rsidRPr="00687DE8">
              <w:rPr>
                <w:rStyle w:val="normaltextrun"/>
                <w:color w:val="000000"/>
                <w:szCs w:val="24"/>
                <w:shd w:val="clear" w:color="auto" w:fill="FFFFFF"/>
              </w:rPr>
              <w:t>AUDIT test koos tagasisidestamisega videovastuvõtuna (10 minutit)</w:t>
            </w:r>
          </w:p>
        </w:tc>
        <w:tc>
          <w:tcPr>
            <w:tcW w:w="1276" w:type="dxa"/>
            <w:vAlign w:val="center"/>
          </w:tcPr>
          <w:p w14:paraId="39DF67CE" w14:textId="77777777" w:rsidR="008B15AF" w:rsidRPr="00687DE8" w:rsidRDefault="008B15AF" w:rsidP="008B15AF">
            <w:pPr>
              <w:spacing w:after="0" w:line="240" w:lineRule="auto"/>
              <w:jc w:val="center"/>
              <w:textAlignment w:val="baseline"/>
              <w:rPr>
                <w:szCs w:val="24"/>
                <w:lang w:eastAsia="et-EE"/>
              </w:rPr>
            </w:pPr>
            <w:r w:rsidRPr="00687DE8">
              <w:rPr>
                <w:szCs w:val="24"/>
                <w:lang w:eastAsia="et-EE"/>
              </w:rPr>
              <w:t>3235</w:t>
            </w:r>
          </w:p>
        </w:tc>
        <w:tc>
          <w:tcPr>
            <w:tcW w:w="1134" w:type="dxa"/>
            <w:tcBorders>
              <w:top w:val="nil"/>
              <w:left w:val="single" w:sz="4" w:space="0" w:color="auto"/>
              <w:bottom w:val="single" w:sz="4" w:space="0" w:color="auto"/>
              <w:right w:val="single" w:sz="4" w:space="0" w:color="auto"/>
            </w:tcBorders>
            <w:vAlign w:val="center"/>
          </w:tcPr>
          <w:p w14:paraId="45220CD1" w14:textId="00D2CF4A" w:rsidR="008B15AF" w:rsidRPr="00687DE8" w:rsidRDefault="00BB07E6" w:rsidP="008B15AF">
            <w:pPr>
              <w:spacing w:after="0" w:line="240" w:lineRule="auto"/>
              <w:jc w:val="center"/>
              <w:rPr>
                <w:color w:val="000000" w:themeColor="text1"/>
                <w:szCs w:val="24"/>
              </w:rPr>
            </w:pPr>
            <w:r>
              <w:rPr>
                <w:color w:val="000000"/>
              </w:rPr>
              <w:t>16,08</w:t>
            </w:r>
          </w:p>
        </w:tc>
      </w:tr>
      <w:tr w:rsidR="008B15AF" w:rsidRPr="00687DE8" w14:paraId="71EE0031" w14:textId="77777777" w:rsidTr="00D30B8D">
        <w:trPr>
          <w:trHeight w:val="300"/>
        </w:trPr>
        <w:tc>
          <w:tcPr>
            <w:tcW w:w="6938" w:type="dxa"/>
          </w:tcPr>
          <w:p w14:paraId="00B6E38E" w14:textId="77777777" w:rsidR="008B15AF" w:rsidRPr="00687DE8" w:rsidRDefault="008B15AF" w:rsidP="008B15AF">
            <w:pPr>
              <w:spacing w:after="0" w:line="240" w:lineRule="auto"/>
              <w:textAlignment w:val="baseline"/>
              <w:rPr>
                <w:szCs w:val="24"/>
                <w:lang w:eastAsia="et-EE"/>
              </w:rPr>
            </w:pPr>
            <w:r w:rsidRPr="00687DE8">
              <w:rPr>
                <w:rStyle w:val="normaltextrun"/>
                <w:color w:val="000000" w:themeColor="text1"/>
                <w:szCs w:val="24"/>
              </w:rPr>
              <w:t>Alkoholitarvitamise häire ennetus ja lühinõustamine kaugvastuvõtuna</w:t>
            </w:r>
            <w:r w:rsidRPr="00687DE8">
              <w:rPr>
                <w:szCs w:val="24"/>
                <w:lang w:eastAsia="et-EE"/>
              </w:rPr>
              <w:t> (15 minutit)</w:t>
            </w:r>
          </w:p>
        </w:tc>
        <w:tc>
          <w:tcPr>
            <w:tcW w:w="1276" w:type="dxa"/>
            <w:vAlign w:val="center"/>
          </w:tcPr>
          <w:p w14:paraId="5018CEF5" w14:textId="77777777" w:rsidR="008B15AF" w:rsidRDefault="008B15AF" w:rsidP="008B15AF">
            <w:pPr>
              <w:spacing w:after="0" w:line="240" w:lineRule="auto"/>
              <w:jc w:val="center"/>
              <w:textAlignment w:val="baseline"/>
              <w:rPr>
                <w:szCs w:val="24"/>
                <w:lang w:eastAsia="et-EE"/>
              </w:rPr>
            </w:pPr>
          </w:p>
          <w:p w14:paraId="034481A7" w14:textId="6D6ED61C" w:rsidR="008B15AF" w:rsidRPr="00687DE8" w:rsidRDefault="008B15AF" w:rsidP="008B15AF">
            <w:pPr>
              <w:spacing w:after="0" w:line="240" w:lineRule="auto"/>
              <w:jc w:val="center"/>
              <w:textAlignment w:val="baseline"/>
              <w:rPr>
                <w:szCs w:val="24"/>
                <w:lang w:eastAsia="et-EE"/>
              </w:rPr>
            </w:pPr>
            <w:r w:rsidRPr="00687DE8">
              <w:rPr>
                <w:szCs w:val="24"/>
                <w:lang w:eastAsia="et-EE"/>
              </w:rPr>
              <w:t>3236</w:t>
            </w:r>
          </w:p>
        </w:tc>
        <w:tc>
          <w:tcPr>
            <w:tcW w:w="1134" w:type="dxa"/>
            <w:tcBorders>
              <w:top w:val="nil"/>
              <w:left w:val="single" w:sz="4" w:space="0" w:color="auto"/>
              <w:bottom w:val="single" w:sz="4" w:space="0" w:color="auto"/>
              <w:right w:val="single" w:sz="4" w:space="0" w:color="auto"/>
            </w:tcBorders>
            <w:vAlign w:val="center"/>
          </w:tcPr>
          <w:p w14:paraId="009AFDE1" w14:textId="32670D05" w:rsidR="008B15AF" w:rsidRPr="00687DE8" w:rsidRDefault="00BB07E6" w:rsidP="008B15AF">
            <w:pPr>
              <w:spacing w:after="0" w:line="240" w:lineRule="auto"/>
              <w:jc w:val="center"/>
              <w:rPr>
                <w:color w:val="000000" w:themeColor="text1"/>
                <w:szCs w:val="24"/>
              </w:rPr>
            </w:pPr>
            <w:r>
              <w:rPr>
                <w:color w:val="000000"/>
              </w:rPr>
              <w:t>18,10</w:t>
            </w:r>
          </w:p>
        </w:tc>
      </w:tr>
      <w:tr w:rsidR="008B15AF" w:rsidRPr="00687DE8" w14:paraId="5234D2D1" w14:textId="77777777" w:rsidTr="00D30B8D">
        <w:trPr>
          <w:trHeight w:val="300"/>
        </w:trPr>
        <w:tc>
          <w:tcPr>
            <w:tcW w:w="6938" w:type="dxa"/>
          </w:tcPr>
          <w:p w14:paraId="528A4545" w14:textId="77777777" w:rsidR="008B15AF" w:rsidRPr="00687DE8" w:rsidRDefault="008B15AF" w:rsidP="008B15AF">
            <w:pPr>
              <w:spacing w:after="0" w:line="240" w:lineRule="auto"/>
              <w:textAlignment w:val="baseline"/>
              <w:rPr>
                <w:szCs w:val="24"/>
                <w:lang w:eastAsia="et-EE"/>
              </w:rPr>
            </w:pPr>
            <w:r w:rsidRPr="00687DE8">
              <w:rPr>
                <w:rStyle w:val="normaltextrun"/>
                <w:color w:val="000000" w:themeColor="text1"/>
                <w:szCs w:val="24"/>
              </w:rPr>
              <w:t>Alkoholitarvitamise häire ennetus ja lühinõustamine videovastuvõtuna</w:t>
            </w:r>
            <w:r w:rsidRPr="00687DE8">
              <w:rPr>
                <w:szCs w:val="24"/>
                <w:lang w:eastAsia="et-EE"/>
              </w:rPr>
              <w:t> (15 minutit)</w:t>
            </w:r>
          </w:p>
        </w:tc>
        <w:tc>
          <w:tcPr>
            <w:tcW w:w="1276" w:type="dxa"/>
            <w:vAlign w:val="center"/>
          </w:tcPr>
          <w:p w14:paraId="3BD68CE2" w14:textId="77777777" w:rsidR="008B15AF" w:rsidRDefault="008B15AF" w:rsidP="008B15AF">
            <w:pPr>
              <w:spacing w:after="0" w:line="240" w:lineRule="auto"/>
              <w:jc w:val="center"/>
              <w:textAlignment w:val="baseline"/>
              <w:rPr>
                <w:szCs w:val="24"/>
                <w:lang w:eastAsia="et-EE"/>
              </w:rPr>
            </w:pPr>
          </w:p>
          <w:p w14:paraId="1D905072" w14:textId="62C85E4D" w:rsidR="008B15AF" w:rsidRPr="00687DE8" w:rsidRDefault="008B15AF" w:rsidP="008B15AF">
            <w:pPr>
              <w:spacing w:after="0" w:line="240" w:lineRule="auto"/>
              <w:jc w:val="center"/>
              <w:textAlignment w:val="baseline"/>
              <w:rPr>
                <w:szCs w:val="24"/>
                <w:lang w:eastAsia="et-EE"/>
              </w:rPr>
            </w:pPr>
            <w:r w:rsidRPr="00687DE8">
              <w:rPr>
                <w:szCs w:val="24"/>
                <w:lang w:eastAsia="et-EE"/>
              </w:rPr>
              <w:t>3237</w:t>
            </w:r>
          </w:p>
        </w:tc>
        <w:tc>
          <w:tcPr>
            <w:tcW w:w="1134" w:type="dxa"/>
            <w:tcBorders>
              <w:top w:val="nil"/>
              <w:left w:val="single" w:sz="4" w:space="0" w:color="auto"/>
              <w:bottom w:val="single" w:sz="4" w:space="0" w:color="auto"/>
              <w:right w:val="single" w:sz="4" w:space="0" w:color="auto"/>
            </w:tcBorders>
            <w:vAlign w:val="center"/>
          </w:tcPr>
          <w:p w14:paraId="3D5F86EC" w14:textId="366B4911" w:rsidR="008B15AF" w:rsidRPr="00687DE8" w:rsidRDefault="00BB07E6" w:rsidP="008B15AF">
            <w:pPr>
              <w:spacing w:after="0" w:line="240" w:lineRule="auto"/>
              <w:jc w:val="center"/>
              <w:rPr>
                <w:color w:val="000000" w:themeColor="text1"/>
                <w:szCs w:val="24"/>
              </w:rPr>
            </w:pPr>
            <w:r>
              <w:rPr>
                <w:color w:val="000000"/>
              </w:rPr>
              <w:t>18,10</w:t>
            </w:r>
          </w:p>
        </w:tc>
      </w:tr>
      <w:tr w:rsidR="008B15AF" w:rsidRPr="00687DE8" w14:paraId="27B795DE" w14:textId="77777777" w:rsidTr="00D30B8D">
        <w:trPr>
          <w:trHeight w:val="300"/>
        </w:trPr>
        <w:tc>
          <w:tcPr>
            <w:tcW w:w="6938" w:type="dxa"/>
          </w:tcPr>
          <w:p w14:paraId="4F888C78" w14:textId="54461CEB" w:rsidR="008B15AF" w:rsidRPr="00687DE8" w:rsidRDefault="008B15AF" w:rsidP="008B15AF">
            <w:pPr>
              <w:spacing w:after="0" w:line="240" w:lineRule="auto"/>
              <w:textAlignment w:val="baseline"/>
              <w:rPr>
                <w:rStyle w:val="normaltextrun"/>
                <w:color w:val="000000"/>
                <w:szCs w:val="24"/>
                <w:shd w:val="clear" w:color="auto" w:fill="FFFFFF"/>
              </w:rPr>
            </w:pPr>
            <w:r w:rsidRPr="00687DE8">
              <w:rPr>
                <w:rStyle w:val="normaltextrun"/>
                <w:color w:val="000000" w:themeColor="text1"/>
                <w:szCs w:val="24"/>
              </w:rPr>
              <w:t>Alkoholitarvitamise häire ennetus ja laiendatud nõustamine kaugvastuvõtuna</w:t>
            </w:r>
            <w:r w:rsidRPr="00687DE8">
              <w:rPr>
                <w:szCs w:val="24"/>
                <w:lang w:eastAsia="et-EE"/>
              </w:rPr>
              <w:t xml:space="preserve"> (50 minutit)</w:t>
            </w:r>
          </w:p>
        </w:tc>
        <w:tc>
          <w:tcPr>
            <w:tcW w:w="1276" w:type="dxa"/>
            <w:vAlign w:val="center"/>
          </w:tcPr>
          <w:p w14:paraId="7DAFFFA3" w14:textId="77777777" w:rsidR="008B15AF" w:rsidRDefault="008B15AF" w:rsidP="008B15AF">
            <w:pPr>
              <w:spacing w:after="0" w:line="240" w:lineRule="auto"/>
              <w:jc w:val="center"/>
              <w:textAlignment w:val="baseline"/>
              <w:rPr>
                <w:szCs w:val="24"/>
                <w:lang w:eastAsia="et-EE"/>
              </w:rPr>
            </w:pPr>
          </w:p>
          <w:p w14:paraId="4481AAB0" w14:textId="7AB144F9" w:rsidR="008B15AF" w:rsidRPr="00687DE8" w:rsidRDefault="008B15AF" w:rsidP="008B15AF">
            <w:pPr>
              <w:spacing w:after="0" w:line="240" w:lineRule="auto"/>
              <w:jc w:val="center"/>
              <w:textAlignment w:val="baseline"/>
              <w:rPr>
                <w:szCs w:val="24"/>
                <w:lang w:eastAsia="et-EE"/>
              </w:rPr>
            </w:pPr>
            <w:r w:rsidRPr="00687DE8">
              <w:rPr>
                <w:szCs w:val="24"/>
                <w:lang w:eastAsia="et-EE"/>
              </w:rPr>
              <w:t>3238</w:t>
            </w:r>
          </w:p>
        </w:tc>
        <w:tc>
          <w:tcPr>
            <w:tcW w:w="1134" w:type="dxa"/>
            <w:tcBorders>
              <w:top w:val="nil"/>
              <w:left w:val="single" w:sz="4" w:space="0" w:color="auto"/>
              <w:bottom w:val="single" w:sz="4" w:space="0" w:color="auto"/>
              <w:right w:val="single" w:sz="4" w:space="0" w:color="auto"/>
            </w:tcBorders>
            <w:vAlign w:val="center"/>
          </w:tcPr>
          <w:p w14:paraId="010ED3DB" w14:textId="4CDEE4C2" w:rsidR="008B15AF" w:rsidRPr="00687DE8" w:rsidRDefault="00BB07E6" w:rsidP="008B15AF">
            <w:pPr>
              <w:spacing w:after="0" w:line="240" w:lineRule="auto"/>
              <w:jc w:val="center"/>
              <w:rPr>
                <w:color w:val="000000" w:themeColor="text1"/>
                <w:szCs w:val="24"/>
              </w:rPr>
            </w:pPr>
            <w:r>
              <w:rPr>
                <w:color w:val="000000"/>
              </w:rPr>
              <w:t>37,86</w:t>
            </w:r>
          </w:p>
        </w:tc>
      </w:tr>
      <w:tr w:rsidR="008B15AF" w:rsidRPr="00687DE8" w14:paraId="1A06FE30" w14:textId="77777777" w:rsidTr="00EB7A71">
        <w:trPr>
          <w:trHeight w:val="300"/>
        </w:trPr>
        <w:tc>
          <w:tcPr>
            <w:tcW w:w="6938" w:type="dxa"/>
          </w:tcPr>
          <w:p w14:paraId="48FD3885" w14:textId="77777777" w:rsidR="008B15AF" w:rsidRPr="00687DE8" w:rsidRDefault="008B15AF" w:rsidP="008B15AF">
            <w:pPr>
              <w:spacing w:after="0" w:line="240" w:lineRule="auto"/>
              <w:textAlignment w:val="baseline"/>
              <w:rPr>
                <w:rStyle w:val="normaltextrun"/>
                <w:color w:val="000000"/>
                <w:szCs w:val="24"/>
                <w:shd w:val="clear" w:color="auto" w:fill="FFFFFF"/>
              </w:rPr>
            </w:pPr>
            <w:r w:rsidRPr="00687DE8">
              <w:rPr>
                <w:rStyle w:val="normaltextrun"/>
                <w:color w:val="000000" w:themeColor="text1"/>
                <w:szCs w:val="24"/>
              </w:rPr>
              <w:t xml:space="preserve">Alkoholitarvitamise häire ennetus ja laiendatud nõustamine videovastuvõtuna </w:t>
            </w:r>
            <w:r w:rsidRPr="00687DE8">
              <w:rPr>
                <w:szCs w:val="24"/>
                <w:lang w:eastAsia="et-EE"/>
              </w:rPr>
              <w:t>(50 minutit)</w:t>
            </w:r>
          </w:p>
        </w:tc>
        <w:tc>
          <w:tcPr>
            <w:tcW w:w="1276" w:type="dxa"/>
            <w:vAlign w:val="center"/>
          </w:tcPr>
          <w:p w14:paraId="02B627D8" w14:textId="77777777" w:rsidR="008B15AF" w:rsidRDefault="008B15AF" w:rsidP="008B15AF">
            <w:pPr>
              <w:spacing w:after="0" w:line="240" w:lineRule="auto"/>
              <w:jc w:val="center"/>
              <w:textAlignment w:val="baseline"/>
              <w:rPr>
                <w:szCs w:val="24"/>
                <w:lang w:eastAsia="et-EE"/>
              </w:rPr>
            </w:pPr>
          </w:p>
          <w:p w14:paraId="356E1C1C" w14:textId="34963D30" w:rsidR="008B15AF" w:rsidRPr="00687DE8" w:rsidRDefault="008B15AF" w:rsidP="008B15AF">
            <w:pPr>
              <w:spacing w:after="0" w:line="240" w:lineRule="auto"/>
              <w:jc w:val="center"/>
              <w:textAlignment w:val="baseline"/>
              <w:rPr>
                <w:szCs w:val="24"/>
                <w:lang w:eastAsia="et-EE"/>
              </w:rPr>
            </w:pPr>
            <w:r w:rsidRPr="00687DE8">
              <w:rPr>
                <w:szCs w:val="24"/>
                <w:lang w:eastAsia="et-EE"/>
              </w:rPr>
              <w:t>3239</w:t>
            </w:r>
          </w:p>
        </w:tc>
        <w:tc>
          <w:tcPr>
            <w:tcW w:w="1134" w:type="dxa"/>
            <w:tcBorders>
              <w:top w:val="nil"/>
              <w:left w:val="single" w:sz="4" w:space="0" w:color="auto"/>
              <w:bottom w:val="single" w:sz="4" w:space="0" w:color="auto"/>
              <w:right w:val="single" w:sz="4" w:space="0" w:color="auto"/>
            </w:tcBorders>
            <w:vAlign w:val="center"/>
          </w:tcPr>
          <w:p w14:paraId="7C2F732C" w14:textId="57E794CD" w:rsidR="008B15AF" w:rsidRPr="00687DE8" w:rsidRDefault="00BB07E6" w:rsidP="008B15AF">
            <w:pPr>
              <w:spacing w:after="0" w:line="240" w:lineRule="auto"/>
              <w:jc w:val="center"/>
              <w:rPr>
                <w:color w:val="000000" w:themeColor="text1"/>
                <w:szCs w:val="24"/>
              </w:rPr>
            </w:pPr>
            <w:r>
              <w:rPr>
                <w:color w:val="000000"/>
              </w:rPr>
              <w:t>37,86</w:t>
            </w:r>
          </w:p>
        </w:tc>
      </w:tr>
    </w:tbl>
    <w:p w14:paraId="1952316F" w14:textId="77777777" w:rsidR="0041316F" w:rsidRPr="00687DE8" w:rsidRDefault="0041316F" w:rsidP="00F5533B">
      <w:pPr>
        <w:spacing w:after="0" w:line="240" w:lineRule="auto"/>
        <w:jc w:val="both"/>
        <w:rPr>
          <w:szCs w:val="24"/>
        </w:rPr>
      </w:pPr>
    </w:p>
    <w:p w14:paraId="013F396F" w14:textId="431FEA1E" w:rsidR="00DA7354" w:rsidRPr="00687DE8" w:rsidRDefault="00DA7354" w:rsidP="00DA7354">
      <w:pPr>
        <w:spacing w:after="0" w:line="240" w:lineRule="auto"/>
        <w:jc w:val="both"/>
        <w:rPr>
          <w:rFonts w:eastAsiaTheme="minorEastAsia"/>
          <w:color w:val="000000" w:themeColor="text1"/>
          <w:szCs w:val="24"/>
        </w:rPr>
      </w:pPr>
      <w:r w:rsidRPr="00687DE8">
        <w:rPr>
          <w:szCs w:val="24"/>
        </w:rPr>
        <w:t xml:space="preserve">(4) </w:t>
      </w:r>
      <w:r w:rsidR="005023FD" w:rsidRPr="00687DE8">
        <w:rPr>
          <w:color w:val="000000" w:themeColor="text1"/>
          <w:szCs w:val="24"/>
        </w:rPr>
        <w:t>Tervisekassa</w:t>
      </w:r>
      <w:r w:rsidRPr="00687DE8">
        <w:rPr>
          <w:color w:val="000000" w:themeColor="text1"/>
          <w:szCs w:val="24"/>
        </w:rPr>
        <w:t xml:space="preserve"> võtab koodidega 3122, 3123,</w:t>
      </w:r>
      <w:r w:rsidR="00FC00E4" w:rsidRPr="00687DE8">
        <w:rPr>
          <w:color w:val="000000" w:themeColor="text1"/>
          <w:szCs w:val="24"/>
        </w:rPr>
        <w:t xml:space="preserve"> </w:t>
      </w:r>
      <w:r w:rsidR="361FE052" w:rsidRPr="00687DE8">
        <w:rPr>
          <w:color w:val="000000" w:themeColor="text1"/>
          <w:szCs w:val="24"/>
        </w:rPr>
        <w:t>3127,</w:t>
      </w:r>
      <w:r w:rsidRPr="00687DE8">
        <w:rPr>
          <w:color w:val="000000" w:themeColor="text1"/>
          <w:szCs w:val="24"/>
        </w:rPr>
        <w:t xml:space="preserve"> 3234, 3235, 3236, 3237, 3238 ja 3239 tähistatud tervishoiuteenuste eest tasu maksmise kohustuse üle juhul, kui teenust osutab vastava koolitusega tervishoiutöötaja või tervishoiuspetsialist ning teenust osutatakse </w:t>
      </w:r>
      <w:r w:rsidR="00EA2568">
        <w:rPr>
          <w:color w:val="000000" w:themeColor="text1"/>
          <w:szCs w:val="24"/>
        </w:rPr>
        <w:t>pere</w:t>
      </w:r>
      <w:r w:rsidR="00D96A71">
        <w:rPr>
          <w:color w:val="000000" w:themeColor="text1"/>
          <w:szCs w:val="24"/>
        </w:rPr>
        <w:t>a</w:t>
      </w:r>
      <w:r w:rsidRPr="00687DE8">
        <w:rPr>
          <w:color w:val="000000" w:themeColor="text1"/>
          <w:szCs w:val="24"/>
        </w:rPr>
        <w:t>rstiabi rahastamise lepingus kokku</w:t>
      </w:r>
      <w:r w:rsidR="001F0B57" w:rsidRPr="00687DE8">
        <w:rPr>
          <w:color w:val="000000" w:themeColor="text1"/>
          <w:szCs w:val="24"/>
        </w:rPr>
        <w:t xml:space="preserve"> </w:t>
      </w:r>
      <w:r w:rsidRPr="00687DE8">
        <w:rPr>
          <w:color w:val="000000" w:themeColor="text1"/>
          <w:szCs w:val="24"/>
        </w:rPr>
        <w:t>lepitud tingimustel ja korras.</w:t>
      </w:r>
    </w:p>
    <w:p w14:paraId="718AFD16" w14:textId="77777777" w:rsidR="00DA7354" w:rsidRPr="00687DE8" w:rsidRDefault="00DA7354" w:rsidP="00DA7354">
      <w:pPr>
        <w:spacing w:after="0" w:line="240" w:lineRule="auto"/>
        <w:jc w:val="both"/>
        <w:rPr>
          <w:color w:val="000000" w:themeColor="text1"/>
          <w:szCs w:val="24"/>
        </w:rPr>
      </w:pPr>
    </w:p>
    <w:p w14:paraId="7C1C23CF" w14:textId="4B4702EA" w:rsidR="00DA7354" w:rsidRPr="00687DE8" w:rsidRDefault="00DA7354" w:rsidP="00DA7354">
      <w:pPr>
        <w:spacing w:after="0" w:line="240" w:lineRule="auto"/>
        <w:jc w:val="both"/>
        <w:rPr>
          <w:rFonts w:eastAsia="Calibri"/>
          <w:szCs w:val="24"/>
        </w:rPr>
      </w:pPr>
      <w:r w:rsidRPr="00687DE8">
        <w:rPr>
          <w:rFonts w:eastAsia="Calibri"/>
          <w:szCs w:val="24"/>
        </w:rPr>
        <w:t xml:space="preserve">(5) Koodidega </w:t>
      </w:r>
      <w:r w:rsidR="3BCEFB4B" w:rsidRPr="00687DE8">
        <w:rPr>
          <w:rFonts w:eastAsia="Calibri"/>
          <w:szCs w:val="24"/>
        </w:rPr>
        <w:t xml:space="preserve">3232, 3233, </w:t>
      </w:r>
      <w:r w:rsidRPr="00687DE8">
        <w:rPr>
          <w:rFonts w:eastAsia="Calibri"/>
          <w:szCs w:val="24"/>
        </w:rPr>
        <w:t>3234, 3235, 3236, 3237, 3238 ja 3239 tähistatud kaug- ja videovastuvõtud on ambulatoorsed vastuvõtud, mis toimuvad vahetu kontaktita, kasutades turvalist info- ja kommunikatsioonitehnoloogilist lahendust</w:t>
      </w:r>
      <w:r w:rsidR="009F6F67" w:rsidRPr="00687DE8">
        <w:rPr>
          <w:rFonts w:eastAsia="Calibri"/>
          <w:szCs w:val="24"/>
        </w:rPr>
        <w:t>,</w:t>
      </w:r>
      <w:r w:rsidRPr="00687DE8">
        <w:rPr>
          <w:rFonts w:eastAsia="Calibri"/>
          <w:szCs w:val="24"/>
        </w:rPr>
        <w:t xml:space="preserve"> ja neid rakendatakse järgmistel tingimustel:</w:t>
      </w:r>
    </w:p>
    <w:p w14:paraId="5E96BA74" w14:textId="77777777" w:rsidR="00DA7354" w:rsidRPr="00687DE8" w:rsidRDefault="00DA7354" w:rsidP="00DA7354">
      <w:pPr>
        <w:spacing w:after="0" w:line="240" w:lineRule="auto"/>
        <w:jc w:val="both"/>
        <w:rPr>
          <w:rFonts w:eastAsia="Calibri"/>
          <w:szCs w:val="24"/>
        </w:rPr>
      </w:pPr>
      <w:r w:rsidRPr="00687DE8">
        <w:rPr>
          <w:rFonts w:eastAsia="Calibri"/>
          <w:szCs w:val="24"/>
        </w:rPr>
        <w:t>1) võrreldes kontaktvastuvõtuga tervishoiuteenuse kvaliteet säilib või paraneb;</w:t>
      </w:r>
    </w:p>
    <w:p w14:paraId="577BD087" w14:textId="77777777" w:rsidR="00DA7354" w:rsidRPr="00687DE8" w:rsidRDefault="00DA7354" w:rsidP="00DA7354">
      <w:pPr>
        <w:spacing w:after="0" w:line="240" w:lineRule="auto"/>
        <w:jc w:val="both"/>
        <w:rPr>
          <w:rFonts w:eastAsia="Calibri"/>
          <w:szCs w:val="24"/>
        </w:rPr>
      </w:pPr>
      <w:r w:rsidRPr="00687DE8">
        <w:rPr>
          <w:rFonts w:eastAsia="Calibri"/>
          <w:szCs w:val="24"/>
        </w:rPr>
        <w:t>2) kaugvastuvõtu sobivuse konkreetse patsiendi terviseprobleemi käsitlemisel otsustab vastuvõttev või vastuvõtule suunav tervishoiutöötaja, patsiendi tehnilist valmisolekut hindab tervishoiuteenuse osutaja;</w:t>
      </w:r>
    </w:p>
    <w:p w14:paraId="43FBA375" w14:textId="77777777" w:rsidR="00DA7354" w:rsidRPr="00687DE8" w:rsidRDefault="00DA7354" w:rsidP="00DA7354">
      <w:pPr>
        <w:spacing w:after="0" w:line="240" w:lineRule="auto"/>
        <w:jc w:val="both"/>
        <w:rPr>
          <w:rFonts w:eastAsia="Calibri"/>
          <w:szCs w:val="24"/>
        </w:rPr>
      </w:pPr>
      <w:r w:rsidRPr="00687DE8">
        <w:rPr>
          <w:rFonts w:eastAsia="Calibri"/>
          <w:szCs w:val="24"/>
        </w:rPr>
        <w:t>3) kaugvastuvõtt toimub patsiendi nõusolekul, mis on dokumenteeritud;</w:t>
      </w:r>
    </w:p>
    <w:p w14:paraId="27BAA63B" w14:textId="77777777" w:rsidR="00DA7354" w:rsidRPr="00687DE8" w:rsidRDefault="00DA7354" w:rsidP="00DA7354">
      <w:pPr>
        <w:spacing w:after="0" w:line="240" w:lineRule="auto"/>
        <w:jc w:val="both"/>
        <w:rPr>
          <w:rFonts w:eastAsia="Calibri"/>
          <w:szCs w:val="24"/>
        </w:rPr>
      </w:pPr>
      <w:r w:rsidRPr="00687DE8">
        <w:rPr>
          <w:rFonts w:eastAsia="Calibri"/>
          <w:szCs w:val="24"/>
        </w:rPr>
        <w:t>4) kaugvastuvõtt toimub kokkulepitud ajal ja viisil, sünkroonse suhtlusena;</w:t>
      </w:r>
    </w:p>
    <w:p w14:paraId="3E880066" w14:textId="77777777" w:rsidR="00DA7354" w:rsidRPr="00687DE8" w:rsidRDefault="00DA7354" w:rsidP="00DA7354">
      <w:pPr>
        <w:spacing w:after="0" w:line="240" w:lineRule="auto"/>
        <w:jc w:val="both"/>
        <w:rPr>
          <w:rFonts w:eastAsia="Calibri"/>
          <w:szCs w:val="24"/>
        </w:rPr>
      </w:pPr>
      <w:r w:rsidRPr="00687DE8">
        <w:rPr>
          <w:rFonts w:eastAsia="Calibri"/>
          <w:szCs w:val="24"/>
        </w:rPr>
        <w:t>5) kaugvastuvõtuks kasutatav info- ja kommunikatsioonitehnoloogiline lahendus ning selle kasutamine vastavad õigusaktides (sealhulgas isikuandmete kaitse seadus, isikuandmete kaitse üldmäärus) sätestatud põhimõtetele;</w:t>
      </w:r>
    </w:p>
    <w:p w14:paraId="0284102A" w14:textId="77777777" w:rsidR="00DA7354" w:rsidRPr="00687DE8" w:rsidRDefault="00DA7354" w:rsidP="00DA7354">
      <w:pPr>
        <w:spacing w:after="0" w:line="240" w:lineRule="auto"/>
        <w:jc w:val="both"/>
        <w:rPr>
          <w:rFonts w:eastAsia="Calibri"/>
          <w:szCs w:val="24"/>
        </w:rPr>
      </w:pPr>
      <w:r w:rsidRPr="00687DE8">
        <w:rPr>
          <w:rFonts w:eastAsia="Calibri"/>
          <w:szCs w:val="24"/>
        </w:rPr>
        <w:t>6) patsiendi isiku tuvastamise eest vastutab tervishoiuteenuse osutaja.</w:t>
      </w:r>
    </w:p>
    <w:p w14:paraId="1F6CDD32" w14:textId="77777777" w:rsidR="000926AB" w:rsidRPr="00687DE8" w:rsidRDefault="000926AB" w:rsidP="5DEA9183">
      <w:pPr>
        <w:spacing w:after="0" w:line="240" w:lineRule="auto"/>
        <w:jc w:val="both"/>
        <w:rPr>
          <w:rFonts w:eastAsiaTheme="minorEastAsia"/>
          <w:szCs w:val="24"/>
        </w:rPr>
      </w:pPr>
    </w:p>
    <w:p w14:paraId="2E6E9B03" w14:textId="77777777" w:rsidR="00976487" w:rsidRPr="00687DE8" w:rsidRDefault="00976487" w:rsidP="00976487">
      <w:pPr>
        <w:spacing w:after="0" w:line="240" w:lineRule="auto"/>
        <w:jc w:val="center"/>
        <w:outlineLvl w:val="1"/>
        <w:divId w:val="1316184749"/>
        <w:rPr>
          <w:b/>
          <w:szCs w:val="24"/>
        </w:rPr>
      </w:pPr>
      <w:r w:rsidRPr="00687DE8">
        <w:rPr>
          <w:b/>
          <w:szCs w:val="24"/>
        </w:rPr>
        <w:t xml:space="preserve">3. peatükk </w:t>
      </w:r>
      <w:r w:rsidRPr="00687DE8">
        <w:rPr>
          <w:szCs w:val="24"/>
        </w:rPr>
        <w:br/>
      </w:r>
      <w:r w:rsidRPr="00687DE8">
        <w:rPr>
          <w:b/>
          <w:szCs w:val="24"/>
        </w:rPr>
        <w:t>Eriarstiabi ja õendusabi</w:t>
      </w:r>
    </w:p>
    <w:p w14:paraId="643D9662" w14:textId="77777777" w:rsidR="00976487" w:rsidRPr="00687DE8" w:rsidRDefault="00976487" w:rsidP="00976487">
      <w:pPr>
        <w:spacing w:after="0" w:line="240" w:lineRule="auto"/>
        <w:jc w:val="center"/>
        <w:outlineLvl w:val="1"/>
        <w:divId w:val="1316184749"/>
        <w:rPr>
          <w:b/>
          <w:bCs/>
          <w:szCs w:val="24"/>
        </w:rPr>
      </w:pPr>
    </w:p>
    <w:p w14:paraId="29BF14B4" w14:textId="77777777" w:rsidR="00976487" w:rsidRPr="00687DE8" w:rsidRDefault="00976487" w:rsidP="00976487">
      <w:pPr>
        <w:spacing w:after="0" w:line="240" w:lineRule="auto"/>
        <w:jc w:val="center"/>
        <w:outlineLvl w:val="1"/>
        <w:divId w:val="1316184749"/>
        <w:rPr>
          <w:b/>
          <w:bCs/>
          <w:szCs w:val="24"/>
        </w:rPr>
      </w:pPr>
      <w:r w:rsidRPr="00687DE8">
        <w:rPr>
          <w:b/>
          <w:bCs/>
          <w:szCs w:val="24"/>
        </w:rPr>
        <w:lastRenderedPageBreak/>
        <w:t>1. jagu</w:t>
      </w:r>
      <w:r w:rsidRPr="00687DE8">
        <w:rPr>
          <w:b/>
          <w:bCs/>
          <w:szCs w:val="24"/>
        </w:rPr>
        <w:br/>
        <w:t>Ambulatoorne tervishoiuteenus</w:t>
      </w:r>
    </w:p>
    <w:p w14:paraId="228A14D6" w14:textId="77777777" w:rsidR="00976487" w:rsidRPr="00687DE8" w:rsidRDefault="00976487" w:rsidP="00976487">
      <w:pPr>
        <w:spacing w:after="0" w:line="240" w:lineRule="auto"/>
        <w:jc w:val="center"/>
        <w:outlineLvl w:val="1"/>
        <w:divId w:val="1316184749"/>
        <w:rPr>
          <w:b/>
          <w:bCs/>
          <w:szCs w:val="24"/>
        </w:rPr>
      </w:pPr>
    </w:p>
    <w:p w14:paraId="264E083F" w14:textId="46E0F620" w:rsidR="00976487" w:rsidRDefault="00976487" w:rsidP="3D32B143">
      <w:pPr>
        <w:spacing w:after="0" w:line="240" w:lineRule="auto"/>
        <w:jc w:val="both"/>
        <w:outlineLvl w:val="2"/>
        <w:divId w:val="1316184749"/>
        <w:rPr>
          <w:b/>
        </w:rPr>
      </w:pPr>
      <w:r w:rsidRPr="4D7E472D">
        <w:rPr>
          <w:b/>
        </w:rPr>
        <w:t xml:space="preserve">§ </w:t>
      </w:r>
      <w:r w:rsidR="00DB203B" w:rsidRPr="4D7E472D">
        <w:rPr>
          <w:b/>
        </w:rPr>
        <w:t>9</w:t>
      </w:r>
      <w:r w:rsidRPr="4D7E472D">
        <w:rPr>
          <w:b/>
        </w:rPr>
        <w:t>. Ambulatoors</w:t>
      </w:r>
      <w:r w:rsidR="1EA94BAF" w:rsidRPr="4D7E472D">
        <w:rPr>
          <w:b/>
        </w:rPr>
        <w:t>e</w:t>
      </w:r>
      <w:r w:rsidR="0479B826" w:rsidRPr="4D7E472D">
        <w:rPr>
          <w:b/>
        </w:rPr>
        <w:t>t</w:t>
      </w:r>
      <w:r w:rsidRPr="4D7E472D">
        <w:rPr>
          <w:b/>
        </w:rPr>
        <w:t>e vastuvõt</w:t>
      </w:r>
      <w:r w:rsidR="411EA4E6" w:rsidRPr="4D7E472D">
        <w:rPr>
          <w:b/>
        </w:rPr>
        <w:t>t</w:t>
      </w:r>
      <w:r w:rsidRPr="4D7E472D">
        <w:rPr>
          <w:b/>
        </w:rPr>
        <w:t>u</w:t>
      </w:r>
      <w:r w:rsidR="03E6C24E" w:rsidRPr="4D7E472D">
        <w:rPr>
          <w:b/>
        </w:rPr>
        <w:t xml:space="preserve">de </w:t>
      </w:r>
      <w:r w:rsidR="00000475" w:rsidRPr="4D7E472D">
        <w:rPr>
          <w:b/>
        </w:rPr>
        <w:t>–</w:t>
      </w:r>
      <w:r w:rsidR="03E6C24E" w:rsidRPr="4D7E472D">
        <w:rPr>
          <w:b/>
        </w:rPr>
        <w:t xml:space="preserve"> kontaktvastuvõtu</w:t>
      </w:r>
      <w:r w:rsidR="005A2D00" w:rsidRPr="4D7E472D">
        <w:rPr>
          <w:b/>
        </w:rPr>
        <w:t>, kaug</w:t>
      </w:r>
      <w:r w:rsidR="005F07F5" w:rsidRPr="4D7E472D">
        <w:rPr>
          <w:b/>
        </w:rPr>
        <w:t>vastuvõt</w:t>
      </w:r>
      <w:r w:rsidR="00771AB8" w:rsidRPr="4D7E472D">
        <w:rPr>
          <w:b/>
        </w:rPr>
        <w:t>u</w:t>
      </w:r>
      <w:r w:rsidR="00670738" w:rsidRPr="4D7E472D">
        <w:rPr>
          <w:b/>
        </w:rPr>
        <w:t>, videovastuvõtu</w:t>
      </w:r>
      <w:r w:rsidR="00AF4D56" w:rsidRPr="4D7E472D">
        <w:rPr>
          <w:b/>
        </w:rPr>
        <w:t xml:space="preserve"> </w:t>
      </w:r>
      <w:r w:rsidR="00980E19" w:rsidRPr="4D7E472D">
        <w:rPr>
          <w:b/>
        </w:rPr>
        <w:t>ja</w:t>
      </w:r>
      <w:r w:rsidRPr="4D7E472D">
        <w:rPr>
          <w:b/>
        </w:rPr>
        <w:t xml:space="preserve"> koduvisiidi piirhinnad</w:t>
      </w:r>
    </w:p>
    <w:p w14:paraId="6AC2E5FB" w14:textId="77777777" w:rsidR="009C5986" w:rsidRDefault="009C5986" w:rsidP="3D32B143">
      <w:pPr>
        <w:spacing w:after="0" w:line="240" w:lineRule="auto"/>
        <w:jc w:val="both"/>
        <w:divId w:val="1316184749"/>
        <w:rPr>
          <w:szCs w:val="24"/>
        </w:rPr>
      </w:pPr>
    </w:p>
    <w:p w14:paraId="1A9F1CB3" w14:textId="1D80A190" w:rsidR="00976487" w:rsidRPr="00687DE8" w:rsidRDefault="00976487" w:rsidP="3D32B143">
      <w:pPr>
        <w:spacing w:after="0" w:line="240" w:lineRule="auto"/>
        <w:jc w:val="both"/>
        <w:divId w:val="1316184749"/>
        <w:rPr>
          <w:szCs w:val="24"/>
        </w:rPr>
      </w:pPr>
      <w:r w:rsidRPr="00687DE8">
        <w:rPr>
          <w:szCs w:val="24"/>
        </w:rPr>
        <w:t>(1) Ambulatoorse</w:t>
      </w:r>
      <w:r w:rsidR="097D2063" w:rsidRPr="00687DE8">
        <w:rPr>
          <w:szCs w:val="24"/>
        </w:rPr>
        <w:t>te</w:t>
      </w:r>
      <w:r w:rsidRPr="00687DE8">
        <w:rPr>
          <w:szCs w:val="24"/>
        </w:rPr>
        <w:t xml:space="preserve"> vastuvõt</w:t>
      </w:r>
      <w:r w:rsidR="456ED8BC" w:rsidRPr="00687DE8">
        <w:rPr>
          <w:szCs w:val="24"/>
        </w:rPr>
        <w:t>t</w:t>
      </w:r>
      <w:r w:rsidRPr="00687DE8">
        <w:rPr>
          <w:szCs w:val="24"/>
        </w:rPr>
        <w:t>u</w:t>
      </w:r>
      <w:r w:rsidR="0CF85510" w:rsidRPr="00687DE8">
        <w:rPr>
          <w:szCs w:val="24"/>
        </w:rPr>
        <w:t xml:space="preserve">de </w:t>
      </w:r>
      <w:r w:rsidR="00000475" w:rsidRPr="00687DE8">
        <w:rPr>
          <w:szCs w:val="24"/>
        </w:rPr>
        <w:t>–</w:t>
      </w:r>
      <w:r w:rsidR="0CF85510" w:rsidRPr="00687DE8">
        <w:rPr>
          <w:szCs w:val="24"/>
        </w:rPr>
        <w:t xml:space="preserve"> kontaktvastuvõt</w:t>
      </w:r>
      <w:r w:rsidR="34506DA7" w:rsidRPr="00687DE8">
        <w:rPr>
          <w:szCs w:val="24"/>
        </w:rPr>
        <w:t>u</w:t>
      </w:r>
      <w:r w:rsidR="005C21E9" w:rsidRPr="00687DE8">
        <w:rPr>
          <w:szCs w:val="24"/>
        </w:rPr>
        <w:t>, kaugvastuvõtu</w:t>
      </w:r>
      <w:r w:rsidR="00670738" w:rsidRPr="00687DE8">
        <w:rPr>
          <w:szCs w:val="24"/>
        </w:rPr>
        <w:t>, videovastuvõtu</w:t>
      </w:r>
      <w:r w:rsidRPr="00687DE8">
        <w:rPr>
          <w:szCs w:val="24"/>
        </w:rPr>
        <w:t xml:space="preserve"> ja koduvisiidi korral rakendatakse järgmisi piirhindu:</w:t>
      </w:r>
    </w:p>
    <w:p w14:paraId="651CC143" w14:textId="77777777" w:rsidR="00976487" w:rsidRPr="00687DE8" w:rsidRDefault="00976487" w:rsidP="00976487">
      <w:pPr>
        <w:spacing w:after="0" w:line="240" w:lineRule="auto"/>
        <w:jc w:val="both"/>
        <w:divId w:val="1316184749"/>
        <w:rPr>
          <w:szCs w:val="24"/>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0"/>
        <w:gridCol w:w="1003"/>
        <w:gridCol w:w="1020"/>
      </w:tblGrid>
      <w:tr w:rsidR="00976487" w:rsidRPr="00687DE8" w14:paraId="7AF9ACC7" w14:textId="77777777" w:rsidTr="13957D57">
        <w:trPr>
          <w:divId w:val="1316184749"/>
          <w:trHeight w:val="299"/>
          <w:tblHeader/>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2F170F" w14:textId="77777777" w:rsidR="00976487" w:rsidRPr="00687DE8" w:rsidRDefault="00976487">
            <w:pPr>
              <w:spacing w:after="0" w:line="240" w:lineRule="auto"/>
              <w:jc w:val="center"/>
              <w:rPr>
                <w:szCs w:val="24"/>
              </w:rPr>
            </w:pPr>
            <w:r w:rsidRPr="00687DE8">
              <w:rPr>
                <w:b/>
                <w:bCs/>
                <w:szCs w:val="24"/>
              </w:rPr>
              <w:t>Tervishoiuteenuse nimetus</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946D9E" w14:textId="77777777" w:rsidR="00976487" w:rsidRPr="00687DE8" w:rsidRDefault="00976487">
            <w:pPr>
              <w:spacing w:after="0" w:line="240" w:lineRule="auto"/>
              <w:jc w:val="center"/>
              <w:rPr>
                <w:szCs w:val="24"/>
              </w:rPr>
            </w:pPr>
            <w:r w:rsidRPr="00687DE8">
              <w:rPr>
                <w:b/>
                <w:bCs/>
                <w:szCs w:val="24"/>
              </w:rPr>
              <w:t>Kood</w:t>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3E3810"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534084" w:rsidRPr="00687DE8" w14:paraId="213D4731"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664EF2" w14:textId="77777777" w:rsidR="00534084" w:rsidRPr="00687DE8" w:rsidRDefault="00534084" w:rsidP="00534084">
            <w:pPr>
              <w:spacing w:after="0" w:line="240" w:lineRule="auto"/>
              <w:rPr>
                <w:szCs w:val="24"/>
              </w:rPr>
            </w:pPr>
            <w:r w:rsidRPr="00687DE8">
              <w:rPr>
                <w:szCs w:val="24"/>
              </w:rPr>
              <w:t>Eriarsti esmane vastuvõtt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EF6F1C" w14:textId="77777777" w:rsidR="00534084" w:rsidRPr="00687DE8" w:rsidRDefault="00534084" w:rsidP="00534084">
            <w:pPr>
              <w:spacing w:after="0" w:line="240" w:lineRule="auto"/>
              <w:jc w:val="center"/>
              <w:rPr>
                <w:szCs w:val="24"/>
              </w:rPr>
            </w:pPr>
            <w:r w:rsidRPr="00687DE8">
              <w:rPr>
                <w:szCs w:val="24"/>
              </w:rPr>
              <w:t>3002</w:t>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7A3837" w14:textId="6A44618C" w:rsidR="00534084" w:rsidRPr="00687DE8" w:rsidRDefault="004A64E4" w:rsidP="00534084">
            <w:pPr>
              <w:spacing w:after="0"/>
              <w:jc w:val="center"/>
              <w:rPr>
                <w:color w:val="000000" w:themeColor="text1"/>
                <w:szCs w:val="24"/>
              </w:rPr>
            </w:pPr>
            <w:r>
              <w:rPr>
                <w:color w:val="000000"/>
              </w:rPr>
              <w:t>39,92</w:t>
            </w:r>
          </w:p>
        </w:tc>
      </w:tr>
      <w:tr w:rsidR="00534084" w:rsidRPr="00687DE8" w14:paraId="6B809C84"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E0D9CC" w14:textId="77777777" w:rsidR="00534084" w:rsidRPr="00687DE8" w:rsidRDefault="00534084" w:rsidP="00534084">
            <w:pPr>
              <w:spacing w:after="0" w:line="240" w:lineRule="auto"/>
              <w:rPr>
                <w:szCs w:val="24"/>
              </w:rPr>
            </w:pPr>
            <w:r w:rsidRPr="00687DE8">
              <w:rPr>
                <w:szCs w:val="24"/>
              </w:rPr>
              <w:t>Eriarsti korduv vastuvõtt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104D63" w14:textId="77777777" w:rsidR="00534084" w:rsidRPr="00687DE8" w:rsidRDefault="00534084" w:rsidP="00534084">
            <w:pPr>
              <w:spacing w:after="0" w:line="240" w:lineRule="auto"/>
              <w:jc w:val="center"/>
              <w:rPr>
                <w:szCs w:val="24"/>
              </w:rPr>
            </w:pPr>
            <w:r w:rsidRPr="00687DE8">
              <w:rPr>
                <w:szCs w:val="24"/>
              </w:rPr>
              <w:t>3004</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72E7EE" w14:textId="5C5F3956" w:rsidR="00534084" w:rsidRPr="00687DE8" w:rsidRDefault="004A64E4" w:rsidP="00534084">
            <w:pPr>
              <w:spacing w:after="0"/>
              <w:jc w:val="center"/>
              <w:rPr>
                <w:color w:val="000000" w:themeColor="text1"/>
                <w:szCs w:val="24"/>
              </w:rPr>
            </w:pPr>
            <w:r>
              <w:rPr>
                <w:color w:val="000000"/>
              </w:rPr>
              <w:t>25,25</w:t>
            </w:r>
          </w:p>
        </w:tc>
      </w:tr>
      <w:tr w:rsidR="00534084" w:rsidRPr="00687DE8" w14:paraId="487523B6"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015A15" w14:textId="77777777" w:rsidR="00534084" w:rsidRPr="00687DE8" w:rsidRDefault="00534084" w:rsidP="00534084">
            <w:pPr>
              <w:spacing w:after="0" w:line="240" w:lineRule="auto"/>
              <w:rPr>
                <w:szCs w:val="24"/>
              </w:rPr>
            </w:pPr>
            <w:r w:rsidRPr="00687DE8">
              <w:rPr>
                <w:szCs w:val="24"/>
              </w:rPr>
              <w:t>Eriarsti kaugvastuvõtt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E9A149" w14:textId="77777777" w:rsidR="00534084" w:rsidRPr="00687DE8" w:rsidRDefault="00534084" w:rsidP="00534084">
            <w:pPr>
              <w:spacing w:after="0" w:line="240" w:lineRule="auto"/>
              <w:jc w:val="center"/>
              <w:rPr>
                <w:szCs w:val="24"/>
              </w:rPr>
            </w:pPr>
            <w:r w:rsidRPr="00687DE8">
              <w:rPr>
                <w:szCs w:val="24"/>
              </w:rPr>
              <w:t>3201</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DD10FD9" w14:textId="4C276D49" w:rsidR="00534084" w:rsidRPr="00687DE8" w:rsidRDefault="004A64E4" w:rsidP="00534084">
            <w:pPr>
              <w:spacing w:after="0"/>
              <w:jc w:val="center"/>
              <w:rPr>
                <w:color w:val="000000" w:themeColor="text1"/>
                <w:szCs w:val="24"/>
              </w:rPr>
            </w:pPr>
            <w:r>
              <w:rPr>
                <w:color w:val="000000"/>
              </w:rPr>
              <w:t>25,25</w:t>
            </w:r>
          </w:p>
        </w:tc>
      </w:tr>
      <w:tr w:rsidR="00534084" w:rsidRPr="00687DE8" w14:paraId="7AACBB99"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E7C725" w14:textId="77777777" w:rsidR="00534084" w:rsidRPr="00687DE8" w:rsidRDefault="00534084" w:rsidP="00534084">
            <w:pPr>
              <w:spacing w:after="0" w:line="240" w:lineRule="auto"/>
              <w:rPr>
                <w:szCs w:val="24"/>
              </w:rPr>
            </w:pPr>
            <w:r w:rsidRPr="00687DE8">
              <w:rPr>
                <w:szCs w:val="24"/>
              </w:rPr>
              <w:t>Eriarsti videovastuvõtt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CFC1F6" w14:textId="77777777" w:rsidR="00534084" w:rsidRPr="00687DE8" w:rsidRDefault="00534084" w:rsidP="00534084">
            <w:pPr>
              <w:spacing w:after="0" w:line="240" w:lineRule="auto"/>
              <w:jc w:val="center"/>
              <w:rPr>
                <w:szCs w:val="24"/>
              </w:rPr>
            </w:pPr>
            <w:r w:rsidRPr="00687DE8">
              <w:rPr>
                <w:szCs w:val="24"/>
              </w:rPr>
              <w:t>3222</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9E0FC34" w14:textId="1F986994" w:rsidR="00534084" w:rsidRPr="00687DE8" w:rsidRDefault="004A64E4" w:rsidP="00534084">
            <w:pPr>
              <w:spacing w:after="0"/>
              <w:jc w:val="center"/>
              <w:rPr>
                <w:color w:val="000000" w:themeColor="text1"/>
                <w:szCs w:val="24"/>
              </w:rPr>
            </w:pPr>
            <w:r>
              <w:rPr>
                <w:color w:val="000000"/>
              </w:rPr>
              <w:t>25,25</w:t>
            </w:r>
          </w:p>
        </w:tc>
      </w:tr>
      <w:tr w:rsidR="00534084" w:rsidRPr="00687DE8" w14:paraId="238608B0"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954BFC" w14:textId="10169B58" w:rsidR="00534084" w:rsidRPr="00687DE8" w:rsidRDefault="00534084" w:rsidP="00534084">
            <w:pPr>
              <w:spacing w:after="0" w:line="240" w:lineRule="auto"/>
              <w:rPr>
                <w:color w:val="202020"/>
                <w:szCs w:val="24"/>
                <w:lang w:eastAsia="et-EE"/>
              </w:rPr>
            </w:pPr>
            <w:r w:rsidRPr="00687DE8">
              <w:rPr>
                <w:color w:val="202020"/>
                <w:szCs w:val="24"/>
                <w:lang w:eastAsia="et-EE"/>
              </w:rPr>
              <w:t>Eriõe esmane vastuvõtt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B9E66B" w14:textId="3FFC52EC" w:rsidR="00534084" w:rsidRPr="00687DE8" w:rsidRDefault="00534084" w:rsidP="00534084">
            <w:pPr>
              <w:spacing w:after="0" w:line="240" w:lineRule="auto"/>
              <w:jc w:val="center"/>
              <w:rPr>
                <w:color w:val="202020"/>
                <w:szCs w:val="24"/>
                <w:lang w:eastAsia="et-EE"/>
              </w:rPr>
            </w:pPr>
            <w:r w:rsidRPr="00687DE8">
              <w:rPr>
                <w:color w:val="202020"/>
                <w:szCs w:val="24"/>
                <w:lang w:eastAsia="et-EE"/>
              </w:rPr>
              <w:t>3018</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42B29D" w14:textId="3517275C" w:rsidR="00534084" w:rsidRPr="00687DE8" w:rsidRDefault="004A64E4" w:rsidP="00534084">
            <w:pPr>
              <w:spacing w:after="0" w:line="240" w:lineRule="auto"/>
              <w:jc w:val="center"/>
              <w:rPr>
                <w:color w:val="202020"/>
                <w:szCs w:val="24"/>
                <w:lang w:eastAsia="et-EE"/>
              </w:rPr>
            </w:pPr>
            <w:r>
              <w:rPr>
                <w:color w:val="000000"/>
              </w:rPr>
              <w:t>29,29</w:t>
            </w:r>
          </w:p>
        </w:tc>
      </w:tr>
      <w:tr w:rsidR="00534084" w:rsidRPr="00687DE8" w14:paraId="2EE42DC0"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5CE56D" w14:textId="0C43586B" w:rsidR="00534084" w:rsidRPr="00687DE8" w:rsidRDefault="00534084" w:rsidP="00534084">
            <w:pPr>
              <w:spacing w:after="0" w:line="240" w:lineRule="auto"/>
              <w:rPr>
                <w:color w:val="202020"/>
                <w:szCs w:val="24"/>
                <w:lang w:eastAsia="et-EE"/>
              </w:rPr>
            </w:pPr>
            <w:r w:rsidRPr="00687DE8">
              <w:rPr>
                <w:color w:val="202020"/>
                <w:szCs w:val="24"/>
                <w:lang w:eastAsia="et-EE"/>
              </w:rPr>
              <w:t>Eriõe korduv vastuvõtt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6501FD" w14:textId="27DE0CFE" w:rsidR="00534084" w:rsidRPr="00687DE8" w:rsidRDefault="00534084" w:rsidP="00534084">
            <w:pPr>
              <w:spacing w:after="0" w:line="240" w:lineRule="auto"/>
              <w:jc w:val="center"/>
              <w:rPr>
                <w:color w:val="202020"/>
                <w:szCs w:val="24"/>
                <w:lang w:eastAsia="et-EE"/>
              </w:rPr>
            </w:pPr>
            <w:r w:rsidRPr="00687DE8">
              <w:rPr>
                <w:color w:val="202020"/>
                <w:szCs w:val="24"/>
                <w:lang w:eastAsia="et-EE"/>
              </w:rPr>
              <w:t>3019</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297E9B" w14:textId="544DD108" w:rsidR="00534084" w:rsidRPr="00687DE8" w:rsidRDefault="004A64E4" w:rsidP="00534084">
            <w:pPr>
              <w:spacing w:after="0" w:line="240" w:lineRule="auto"/>
              <w:jc w:val="center"/>
              <w:rPr>
                <w:color w:val="202020"/>
                <w:szCs w:val="24"/>
                <w:lang w:eastAsia="et-EE"/>
              </w:rPr>
            </w:pPr>
            <w:r>
              <w:rPr>
                <w:color w:val="000000"/>
              </w:rPr>
              <w:t>20,61</w:t>
            </w:r>
          </w:p>
        </w:tc>
      </w:tr>
      <w:tr w:rsidR="00534084" w:rsidRPr="00687DE8" w14:paraId="34E04814"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21D1C8" w14:textId="037A6516" w:rsidR="00534084" w:rsidRPr="00687DE8" w:rsidRDefault="00534084" w:rsidP="00534084">
            <w:pPr>
              <w:spacing w:after="0" w:line="240" w:lineRule="auto"/>
              <w:rPr>
                <w:color w:val="202020"/>
                <w:szCs w:val="24"/>
                <w:lang w:eastAsia="et-EE"/>
              </w:rPr>
            </w:pPr>
            <w:r w:rsidRPr="00687DE8">
              <w:rPr>
                <w:color w:val="202020"/>
                <w:szCs w:val="24"/>
                <w:lang w:eastAsia="et-EE"/>
              </w:rPr>
              <w:t>Eriõe kaugvastuvõtt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7F6539" w14:textId="6BD2B9C7" w:rsidR="00534084" w:rsidRPr="00687DE8" w:rsidRDefault="00534084" w:rsidP="00534084">
            <w:pPr>
              <w:spacing w:after="0" w:line="240" w:lineRule="auto"/>
              <w:jc w:val="center"/>
              <w:rPr>
                <w:color w:val="202020"/>
                <w:szCs w:val="24"/>
                <w:lang w:eastAsia="et-EE"/>
              </w:rPr>
            </w:pPr>
            <w:r w:rsidRPr="00687DE8">
              <w:rPr>
                <w:color w:val="202020"/>
                <w:szCs w:val="24"/>
                <w:lang w:eastAsia="et-EE"/>
              </w:rPr>
              <w:t>3219</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430BFC" w14:textId="48590D3A" w:rsidR="00534084" w:rsidRPr="00687DE8" w:rsidRDefault="004A64E4" w:rsidP="00534084">
            <w:pPr>
              <w:spacing w:after="0" w:line="240" w:lineRule="auto"/>
              <w:jc w:val="center"/>
              <w:rPr>
                <w:color w:val="202020"/>
                <w:szCs w:val="24"/>
                <w:lang w:eastAsia="et-EE"/>
              </w:rPr>
            </w:pPr>
            <w:r>
              <w:rPr>
                <w:color w:val="000000"/>
              </w:rPr>
              <w:t>20,61</w:t>
            </w:r>
          </w:p>
        </w:tc>
      </w:tr>
      <w:tr w:rsidR="00534084" w:rsidRPr="00687DE8" w14:paraId="5C4FE946"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55D866" w14:textId="1AFB3069" w:rsidR="00534084" w:rsidRPr="00687DE8" w:rsidRDefault="00534084" w:rsidP="00534084">
            <w:pPr>
              <w:spacing w:after="0" w:line="240" w:lineRule="auto"/>
              <w:rPr>
                <w:color w:val="202020"/>
                <w:szCs w:val="24"/>
                <w:lang w:eastAsia="et-EE"/>
              </w:rPr>
            </w:pPr>
            <w:r w:rsidRPr="00687DE8">
              <w:rPr>
                <w:color w:val="202020"/>
                <w:szCs w:val="24"/>
                <w:lang w:eastAsia="et-EE"/>
              </w:rPr>
              <w:t>Eriõe videovastuvõtt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2CAE1E" w14:textId="578FD8E0" w:rsidR="00534084" w:rsidRPr="00687DE8" w:rsidRDefault="00534084" w:rsidP="00534084">
            <w:pPr>
              <w:spacing w:after="0" w:line="240" w:lineRule="auto"/>
              <w:jc w:val="center"/>
              <w:rPr>
                <w:color w:val="202020"/>
                <w:szCs w:val="24"/>
                <w:lang w:eastAsia="et-EE"/>
              </w:rPr>
            </w:pPr>
            <w:r w:rsidRPr="00687DE8">
              <w:rPr>
                <w:color w:val="202020"/>
                <w:szCs w:val="24"/>
                <w:lang w:eastAsia="et-EE"/>
              </w:rPr>
              <w:t>3231</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59E2B4" w14:textId="1B5D4470" w:rsidR="0082010A" w:rsidRPr="00687DE8" w:rsidRDefault="0082010A" w:rsidP="004A64E4">
            <w:pPr>
              <w:spacing w:after="0" w:line="240" w:lineRule="auto"/>
              <w:jc w:val="center"/>
              <w:rPr>
                <w:color w:val="202020"/>
                <w:szCs w:val="24"/>
                <w:lang w:eastAsia="et-EE"/>
              </w:rPr>
            </w:pPr>
          </w:p>
          <w:p w14:paraId="74A35A98" w14:textId="77777777" w:rsidR="0082010A" w:rsidRPr="0082010A" w:rsidRDefault="0082010A" w:rsidP="0082010A">
            <w:pPr>
              <w:spacing w:after="0" w:line="240" w:lineRule="auto"/>
              <w:jc w:val="center"/>
              <w:rPr>
                <w:color w:val="000000"/>
              </w:rPr>
            </w:pPr>
            <w:r w:rsidRPr="0082010A">
              <w:rPr>
                <w:color w:val="000000"/>
              </w:rPr>
              <w:t>20,61</w:t>
            </w:r>
          </w:p>
          <w:p w14:paraId="25589492" w14:textId="486B604A" w:rsidR="00534084" w:rsidRPr="00687DE8" w:rsidRDefault="00534084" w:rsidP="00534084">
            <w:pPr>
              <w:spacing w:after="0" w:line="240" w:lineRule="auto"/>
              <w:jc w:val="center"/>
              <w:rPr>
                <w:color w:val="202020"/>
                <w:szCs w:val="24"/>
                <w:lang w:eastAsia="et-EE"/>
              </w:rPr>
            </w:pPr>
          </w:p>
        </w:tc>
      </w:tr>
      <w:tr w:rsidR="0E13892C" w14:paraId="0F5E0CC4" w14:textId="77777777" w:rsidTr="13957D57">
        <w:trPr>
          <w:divId w:val="1316184749"/>
          <w:trHeight w:val="300"/>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3F0800" w14:textId="37E81558" w:rsidR="3CCC2FC3" w:rsidRDefault="3CCC2FC3" w:rsidP="0E13892C">
            <w:pPr>
              <w:spacing w:line="240" w:lineRule="auto"/>
            </w:pPr>
            <w:r>
              <w:t>Eriõe koduvisiit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1E0ED" w14:textId="333DC7C2" w:rsidR="3CCC2FC3" w:rsidRDefault="3CCC2FC3" w:rsidP="0E13892C">
            <w:pPr>
              <w:spacing w:line="240" w:lineRule="auto"/>
              <w:jc w:val="center"/>
            </w:pPr>
            <w:r>
              <w:t>3021</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2073D77" w14:textId="64173269" w:rsidR="00BD6693" w:rsidRDefault="00BD6693" w:rsidP="004A64E4">
            <w:pPr>
              <w:jc w:val="center"/>
              <w:rPr>
                <w:color w:val="000000" w:themeColor="text1"/>
              </w:rPr>
            </w:pPr>
          </w:p>
          <w:p w14:paraId="4C000874" w14:textId="0DCFD954" w:rsidR="3CCC2FC3" w:rsidRDefault="00BD6693" w:rsidP="0E13892C">
            <w:pPr>
              <w:jc w:val="center"/>
              <w:rPr>
                <w:color w:val="000000" w:themeColor="text1"/>
              </w:rPr>
            </w:pPr>
            <w:r w:rsidRPr="00BD6693">
              <w:rPr>
                <w:color w:val="000000" w:themeColor="text1"/>
              </w:rPr>
              <w:t>35,91</w:t>
            </w:r>
          </w:p>
        </w:tc>
      </w:tr>
      <w:tr w:rsidR="00534084" w:rsidRPr="00687DE8" w14:paraId="61DEE3BA"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A5DCDC" w14:textId="77777777" w:rsidR="00534084" w:rsidRPr="00687DE8" w:rsidRDefault="00534084" w:rsidP="00534084">
            <w:pPr>
              <w:spacing w:after="0" w:line="240" w:lineRule="auto"/>
              <w:rPr>
                <w:szCs w:val="24"/>
              </w:rPr>
            </w:pPr>
            <w:r w:rsidRPr="00687DE8">
              <w:rPr>
                <w:szCs w:val="24"/>
              </w:rPr>
              <w:t>Vaimse tervise õe vastuvõtt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16BC90" w14:textId="77777777" w:rsidR="00534084" w:rsidRPr="00687DE8" w:rsidRDefault="00534084" w:rsidP="00534084">
            <w:pPr>
              <w:spacing w:after="0" w:line="240" w:lineRule="auto"/>
              <w:jc w:val="center"/>
              <w:rPr>
                <w:szCs w:val="24"/>
              </w:rPr>
            </w:pPr>
            <w:r w:rsidRPr="00687DE8">
              <w:rPr>
                <w:szCs w:val="24"/>
              </w:rPr>
              <w:t>3015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52E2D2" w14:textId="68F5C90C" w:rsidR="00534084" w:rsidRPr="00687DE8" w:rsidRDefault="00746D13" w:rsidP="00534084">
            <w:pPr>
              <w:spacing w:after="0"/>
              <w:jc w:val="center"/>
              <w:rPr>
                <w:color w:val="000000" w:themeColor="text1"/>
                <w:szCs w:val="24"/>
              </w:rPr>
            </w:pPr>
            <w:r>
              <w:rPr>
                <w:color w:val="000000"/>
              </w:rPr>
              <w:t>36,88</w:t>
            </w:r>
          </w:p>
        </w:tc>
      </w:tr>
      <w:tr w:rsidR="00534084" w:rsidRPr="00687DE8" w14:paraId="723CFDD1"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D3452A" w14:textId="77777777" w:rsidR="00534084" w:rsidRPr="00687DE8" w:rsidRDefault="00534084" w:rsidP="00534084">
            <w:pPr>
              <w:spacing w:after="0" w:line="240" w:lineRule="auto"/>
              <w:rPr>
                <w:szCs w:val="24"/>
              </w:rPr>
            </w:pPr>
            <w:r w:rsidRPr="00687DE8">
              <w:rPr>
                <w:szCs w:val="24"/>
              </w:rPr>
              <w:t>Vaimse tervise õe kaugvastuvõtt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1139FE" w14:textId="77777777" w:rsidR="00534084" w:rsidRPr="00687DE8" w:rsidRDefault="00534084" w:rsidP="00534084">
            <w:pPr>
              <w:spacing w:after="0" w:line="240" w:lineRule="auto"/>
              <w:jc w:val="center"/>
              <w:rPr>
                <w:szCs w:val="24"/>
              </w:rPr>
            </w:pPr>
            <w:r w:rsidRPr="00687DE8">
              <w:rPr>
                <w:szCs w:val="24"/>
              </w:rPr>
              <w:t>3207</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5713A48" w14:textId="382EC892" w:rsidR="00534084" w:rsidRPr="00687DE8" w:rsidRDefault="00746D13" w:rsidP="00534084">
            <w:pPr>
              <w:spacing w:after="0"/>
              <w:jc w:val="center"/>
              <w:rPr>
                <w:color w:val="000000" w:themeColor="text1"/>
                <w:szCs w:val="24"/>
              </w:rPr>
            </w:pPr>
            <w:r>
              <w:rPr>
                <w:color w:val="000000"/>
              </w:rPr>
              <w:t>36,88</w:t>
            </w:r>
          </w:p>
        </w:tc>
      </w:tr>
      <w:tr w:rsidR="00534084" w:rsidRPr="00687DE8" w14:paraId="6AA9A8B7"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E21CA2" w14:textId="77777777" w:rsidR="00534084" w:rsidRPr="00687DE8" w:rsidRDefault="00534084" w:rsidP="00534084">
            <w:pPr>
              <w:spacing w:after="0" w:line="240" w:lineRule="auto"/>
              <w:rPr>
                <w:szCs w:val="24"/>
              </w:rPr>
            </w:pPr>
            <w:r w:rsidRPr="00687DE8">
              <w:rPr>
                <w:szCs w:val="24"/>
              </w:rPr>
              <w:t>Vaimse tervise õe videovastuvõtt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71474D" w14:textId="77777777" w:rsidR="00534084" w:rsidRPr="00687DE8" w:rsidRDefault="00534084" w:rsidP="00534084">
            <w:pPr>
              <w:spacing w:after="0" w:line="240" w:lineRule="auto"/>
              <w:jc w:val="center"/>
              <w:rPr>
                <w:szCs w:val="24"/>
              </w:rPr>
            </w:pPr>
            <w:r w:rsidRPr="00687DE8">
              <w:rPr>
                <w:szCs w:val="24"/>
              </w:rPr>
              <w:t>3228</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06477C8" w14:textId="75D16280" w:rsidR="00534084" w:rsidRPr="00687DE8" w:rsidRDefault="00746D13" w:rsidP="00534084">
            <w:pPr>
              <w:spacing w:after="0"/>
              <w:jc w:val="center"/>
              <w:rPr>
                <w:color w:val="000000" w:themeColor="text1"/>
                <w:szCs w:val="24"/>
              </w:rPr>
            </w:pPr>
            <w:r>
              <w:rPr>
                <w:color w:val="000000"/>
              </w:rPr>
              <w:t>36,88</w:t>
            </w:r>
          </w:p>
        </w:tc>
      </w:tr>
      <w:tr w:rsidR="00534084" w:rsidRPr="00687DE8" w14:paraId="08524A6A"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BA7476" w14:textId="77777777" w:rsidR="00534084" w:rsidRPr="00687DE8" w:rsidRDefault="00534084" w:rsidP="00534084">
            <w:pPr>
              <w:spacing w:after="0" w:line="240" w:lineRule="auto"/>
              <w:rPr>
                <w:szCs w:val="24"/>
              </w:rPr>
            </w:pPr>
            <w:r w:rsidRPr="00687DE8">
              <w:rPr>
                <w:szCs w:val="24"/>
              </w:rPr>
              <w:t>Vaimse tervise õe vastuvõtt (alla 19-aastasele isikule)</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128FA2" w14:textId="77777777" w:rsidR="00534084" w:rsidRPr="00687DE8" w:rsidRDefault="00534084" w:rsidP="00534084">
            <w:pPr>
              <w:spacing w:after="0" w:line="240" w:lineRule="auto"/>
              <w:jc w:val="center"/>
              <w:rPr>
                <w:szCs w:val="24"/>
              </w:rPr>
            </w:pPr>
            <w:r w:rsidRPr="00687DE8">
              <w:rPr>
                <w:szCs w:val="24"/>
              </w:rPr>
              <w:t>3118</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E1E2024" w14:textId="7CBCC40E" w:rsidR="00534084" w:rsidRPr="00687DE8" w:rsidRDefault="00746D13" w:rsidP="00534084">
            <w:pPr>
              <w:spacing w:after="0"/>
              <w:jc w:val="center"/>
              <w:rPr>
                <w:color w:val="000000" w:themeColor="text1"/>
                <w:szCs w:val="24"/>
              </w:rPr>
            </w:pPr>
            <w:r>
              <w:rPr>
                <w:color w:val="000000"/>
              </w:rPr>
              <w:t>53,69</w:t>
            </w:r>
          </w:p>
        </w:tc>
      </w:tr>
      <w:tr w:rsidR="00534084" w:rsidRPr="00687DE8" w14:paraId="2D8EB9FE"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FD7476" w14:textId="77777777" w:rsidR="00534084" w:rsidRPr="00687DE8" w:rsidRDefault="00534084" w:rsidP="00534084">
            <w:pPr>
              <w:spacing w:after="0" w:line="240" w:lineRule="auto"/>
              <w:rPr>
                <w:szCs w:val="24"/>
              </w:rPr>
            </w:pPr>
            <w:r w:rsidRPr="00687DE8">
              <w:rPr>
                <w:szCs w:val="24"/>
              </w:rPr>
              <w:t>Vaimse tervise õe kaugvastuvõtt (alla 19-aastasele isikule)</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69B64C" w14:textId="77777777" w:rsidR="00534084" w:rsidRPr="00687DE8" w:rsidRDefault="00534084" w:rsidP="00534084">
            <w:pPr>
              <w:spacing w:after="0" w:line="240" w:lineRule="auto"/>
              <w:jc w:val="center"/>
              <w:rPr>
                <w:szCs w:val="24"/>
              </w:rPr>
            </w:pPr>
            <w:r w:rsidRPr="00687DE8">
              <w:rPr>
                <w:szCs w:val="24"/>
              </w:rPr>
              <w:t>3220</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7953792" w14:textId="70BA3B27" w:rsidR="00534084" w:rsidRPr="00687DE8" w:rsidRDefault="00746D13" w:rsidP="00534084">
            <w:pPr>
              <w:spacing w:after="0"/>
              <w:jc w:val="center"/>
              <w:rPr>
                <w:color w:val="000000" w:themeColor="text1"/>
                <w:szCs w:val="24"/>
              </w:rPr>
            </w:pPr>
            <w:r>
              <w:rPr>
                <w:color w:val="000000"/>
              </w:rPr>
              <w:t>53,69</w:t>
            </w:r>
          </w:p>
        </w:tc>
      </w:tr>
      <w:tr w:rsidR="00534084" w:rsidRPr="00687DE8" w14:paraId="5BE109B1"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821D17" w14:textId="77777777" w:rsidR="00534084" w:rsidRPr="00687DE8" w:rsidRDefault="00534084" w:rsidP="00534084">
            <w:pPr>
              <w:spacing w:after="0" w:line="240" w:lineRule="auto"/>
              <w:rPr>
                <w:szCs w:val="24"/>
              </w:rPr>
            </w:pPr>
            <w:r w:rsidRPr="00687DE8">
              <w:rPr>
                <w:szCs w:val="24"/>
              </w:rPr>
              <w:t>Vaimse tervise õe videovastuvõtt (alla 19-aastasele isikule)</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A2D0B3" w14:textId="77777777" w:rsidR="00534084" w:rsidRPr="00687DE8" w:rsidRDefault="00534084" w:rsidP="00534084">
            <w:pPr>
              <w:spacing w:after="0" w:line="240" w:lineRule="auto"/>
              <w:jc w:val="center"/>
              <w:rPr>
                <w:szCs w:val="24"/>
              </w:rPr>
            </w:pPr>
            <w:r w:rsidRPr="00687DE8">
              <w:rPr>
                <w:szCs w:val="24"/>
              </w:rPr>
              <w:t>3221</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59289C5" w14:textId="337C40ED" w:rsidR="00534084" w:rsidRPr="00687DE8" w:rsidRDefault="00746D13" w:rsidP="00534084">
            <w:pPr>
              <w:spacing w:after="0"/>
              <w:jc w:val="center"/>
              <w:rPr>
                <w:color w:val="000000" w:themeColor="text1"/>
                <w:szCs w:val="24"/>
              </w:rPr>
            </w:pPr>
            <w:r>
              <w:rPr>
                <w:color w:val="000000"/>
              </w:rPr>
              <w:t>53,69</w:t>
            </w:r>
          </w:p>
        </w:tc>
      </w:tr>
      <w:tr w:rsidR="00534084" w:rsidRPr="00687DE8" w14:paraId="780F70DC"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3DA969" w14:textId="77777777" w:rsidR="00534084" w:rsidRPr="00687DE8" w:rsidRDefault="00534084" w:rsidP="00534084">
            <w:pPr>
              <w:spacing w:after="0" w:line="240" w:lineRule="auto"/>
              <w:rPr>
                <w:szCs w:val="24"/>
              </w:rPr>
            </w:pPr>
            <w:r w:rsidRPr="00687DE8">
              <w:rPr>
                <w:szCs w:val="24"/>
              </w:rPr>
              <w:t>Eriarsti koduvisiit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990061" w14:textId="77777777" w:rsidR="00534084" w:rsidRPr="00687DE8" w:rsidRDefault="00534084" w:rsidP="00534084">
            <w:pPr>
              <w:spacing w:after="0" w:line="240" w:lineRule="auto"/>
              <w:jc w:val="center"/>
              <w:rPr>
                <w:szCs w:val="24"/>
              </w:rPr>
            </w:pPr>
            <w:r w:rsidRPr="00687DE8">
              <w:rPr>
                <w:szCs w:val="24"/>
              </w:rPr>
              <w:t>3020</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E11679" w14:textId="40D3A461" w:rsidR="00534084" w:rsidRPr="00687DE8" w:rsidRDefault="00746D13" w:rsidP="00534084">
            <w:pPr>
              <w:spacing w:after="0"/>
              <w:jc w:val="center"/>
              <w:rPr>
                <w:color w:val="000000" w:themeColor="text1"/>
                <w:szCs w:val="24"/>
              </w:rPr>
            </w:pPr>
            <w:r>
              <w:rPr>
                <w:color w:val="000000"/>
              </w:rPr>
              <w:t>42,50</w:t>
            </w:r>
          </w:p>
        </w:tc>
      </w:tr>
      <w:tr w:rsidR="00534084" w:rsidRPr="00687DE8" w14:paraId="107255FB"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699120" w14:textId="3F5D2F45" w:rsidR="00534084" w:rsidRPr="00687DE8" w:rsidRDefault="00534084" w:rsidP="00534084">
            <w:pPr>
              <w:spacing w:after="0" w:line="240" w:lineRule="auto"/>
              <w:rPr>
                <w:szCs w:val="24"/>
              </w:rPr>
            </w:pPr>
            <w:r w:rsidRPr="00687DE8">
              <w:rPr>
                <w:szCs w:val="24"/>
              </w:rPr>
              <w:t>Koduõendusteenus</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F12D01" w14:textId="77777777" w:rsidR="00534084" w:rsidRPr="00687DE8" w:rsidRDefault="00534084" w:rsidP="00534084">
            <w:pPr>
              <w:spacing w:after="0" w:line="240" w:lineRule="auto"/>
              <w:jc w:val="center"/>
              <w:rPr>
                <w:szCs w:val="24"/>
              </w:rPr>
            </w:pPr>
            <w:r w:rsidRPr="00687DE8">
              <w:rPr>
                <w:szCs w:val="24"/>
              </w:rPr>
              <w:t>3026</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0A8472" w14:textId="125606BE" w:rsidR="00534084" w:rsidRPr="00687DE8" w:rsidRDefault="00746D13" w:rsidP="00534084">
            <w:pPr>
              <w:spacing w:after="0"/>
              <w:jc w:val="center"/>
              <w:rPr>
                <w:color w:val="000000" w:themeColor="text1"/>
                <w:szCs w:val="24"/>
              </w:rPr>
            </w:pPr>
            <w:r>
              <w:rPr>
                <w:color w:val="000000"/>
              </w:rPr>
              <w:t>54,75</w:t>
            </w:r>
          </w:p>
        </w:tc>
      </w:tr>
      <w:tr w:rsidR="00534084" w:rsidRPr="00687DE8" w14:paraId="68B078A3"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592A8B" w14:textId="77777777" w:rsidR="00534084" w:rsidRPr="00687DE8" w:rsidRDefault="00534084" w:rsidP="00534084">
            <w:pPr>
              <w:spacing w:after="0" w:line="240" w:lineRule="auto"/>
              <w:rPr>
                <w:szCs w:val="24"/>
              </w:rPr>
            </w:pPr>
            <w:r w:rsidRPr="00687DE8">
              <w:rPr>
                <w:szCs w:val="24"/>
              </w:rPr>
              <w:t>Geriaatrilise seisundi hindamine</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C1DE5B" w14:textId="77777777" w:rsidR="00534084" w:rsidRPr="00687DE8" w:rsidRDefault="00534084" w:rsidP="00534084">
            <w:pPr>
              <w:spacing w:after="0" w:line="240" w:lineRule="auto"/>
              <w:jc w:val="center"/>
              <w:rPr>
                <w:szCs w:val="24"/>
              </w:rPr>
            </w:pPr>
            <w:r w:rsidRPr="00687DE8">
              <w:rPr>
                <w:szCs w:val="24"/>
              </w:rPr>
              <w:t>3027</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DC6090" w14:textId="094D50E9" w:rsidR="00534084" w:rsidRPr="00687DE8" w:rsidRDefault="00746D13" w:rsidP="00534084">
            <w:pPr>
              <w:spacing w:after="0"/>
              <w:jc w:val="center"/>
              <w:rPr>
                <w:color w:val="000000" w:themeColor="text1"/>
                <w:szCs w:val="24"/>
              </w:rPr>
            </w:pPr>
            <w:r>
              <w:rPr>
                <w:color w:val="000000"/>
              </w:rPr>
              <w:t>216,55</w:t>
            </w:r>
          </w:p>
        </w:tc>
      </w:tr>
      <w:tr w:rsidR="00534084" w:rsidRPr="00687DE8" w14:paraId="20711F89"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B2C6A5" w14:textId="56104CF1" w:rsidR="00534084" w:rsidRPr="00687DE8" w:rsidRDefault="00534084" w:rsidP="00534084">
            <w:pPr>
              <w:spacing w:after="0" w:line="240" w:lineRule="auto"/>
              <w:rPr>
                <w:szCs w:val="24"/>
              </w:rPr>
            </w:pPr>
            <w:bookmarkStart w:id="7" w:name="_Hlk151719443"/>
            <w:r w:rsidRPr="00687DE8">
              <w:rPr>
                <w:rFonts w:eastAsia="Calibri"/>
                <w:szCs w:val="24"/>
              </w:rPr>
              <w:t>Suuõõne hindamine õendusteenusel videokonsultatsiooni</w:t>
            </w:r>
            <w:bookmarkEnd w:id="7"/>
            <w:r>
              <w:rPr>
                <w:rFonts w:eastAsia="Calibri"/>
                <w:szCs w:val="24"/>
              </w:rPr>
              <w:t xml:space="preserve"> teel</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27B8993" w14:textId="5E43A0BF" w:rsidR="00534084" w:rsidRPr="00687DE8" w:rsidRDefault="00534084" w:rsidP="00534084">
            <w:pPr>
              <w:spacing w:after="0" w:line="240" w:lineRule="auto"/>
              <w:jc w:val="center"/>
              <w:rPr>
                <w:szCs w:val="24"/>
              </w:rPr>
            </w:pPr>
            <w:r w:rsidRPr="00687DE8">
              <w:rPr>
                <w:color w:val="202020"/>
                <w:szCs w:val="24"/>
                <w:lang w:eastAsia="et-EE"/>
              </w:rPr>
              <w:t>3191</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0D20A95" w14:textId="7625C2B9" w:rsidR="00534084" w:rsidRPr="00687DE8" w:rsidRDefault="00746D13" w:rsidP="00534084">
            <w:pPr>
              <w:spacing w:after="0"/>
              <w:jc w:val="center"/>
              <w:rPr>
                <w:color w:val="000000" w:themeColor="text1"/>
                <w:szCs w:val="24"/>
              </w:rPr>
            </w:pPr>
            <w:r>
              <w:rPr>
                <w:color w:val="000000"/>
              </w:rPr>
              <w:t>34,65</w:t>
            </w:r>
          </w:p>
        </w:tc>
      </w:tr>
      <w:tr w:rsidR="00534084" w:rsidRPr="00687DE8" w14:paraId="03433B94"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10EC9D" w14:textId="77777777" w:rsidR="00534084" w:rsidRPr="00687DE8" w:rsidRDefault="00534084" w:rsidP="00534084">
            <w:pPr>
              <w:spacing w:after="0" w:line="240" w:lineRule="auto"/>
              <w:rPr>
                <w:szCs w:val="24"/>
              </w:rPr>
            </w:pPr>
            <w:r w:rsidRPr="00687DE8">
              <w:rPr>
                <w:szCs w:val="24"/>
              </w:rPr>
              <w:t>Välisriigist kutsutud eriarsti konsultatsioon</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52365B" w14:textId="77777777" w:rsidR="00534084" w:rsidRPr="00687DE8" w:rsidRDefault="00534084" w:rsidP="00534084">
            <w:pPr>
              <w:spacing w:after="0" w:line="240" w:lineRule="auto"/>
              <w:jc w:val="center"/>
              <w:rPr>
                <w:szCs w:val="24"/>
              </w:rPr>
            </w:pPr>
            <w:r w:rsidRPr="00687DE8">
              <w:rPr>
                <w:szCs w:val="24"/>
              </w:rPr>
              <w:t>3030</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01575B" w14:textId="21AC295F" w:rsidR="00534084" w:rsidRPr="00687DE8" w:rsidRDefault="00746D13" w:rsidP="00534084">
            <w:pPr>
              <w:spacing w:after="0"/>
              <w:jc w:val="center"/>
              <w:rPr>
                <w:color w:val="000000" w:themeColor="text1"/>
                <w:szCs w:val="24"/>
              </w:rPr>
            </w:pPr>
            <w:r>
              <w:rPr>
                <w:color w:val="000000"/>
              </w:rPr>
              <w:t>255,84</w:t>
            </w:r>
          </w:p>
        </w:tc>
      </w:tr>
      <w:tr w:rsidR="00534084" w:rsidRPr="00687DE8" w14:paraId="63AF86EE"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5150EA" w14:textId="77777777" w:rsidR="00534084" w:rsidRPr="00687DE8" w:rsidRDefault="00534084" w:rsidP="00534084">
            <w:pPr>
              <w:spacing w:after="0" w:line="240" w:lineRule="auto"/>
              <w:rPr>
                <w:szCs w:val="24"/>
              </w:rPr>
            </w:pPr>
            <w:r w:rsidRPr="00687DE8">
              <w:rPr>
                <w:szCs w:val="24"/>
              </w:rPr>
              <w:t>Psühhiaatri ja õe vastuvõtt aktiivravi perioodis</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9A0B08" w14:textId="77777777" w:rsidR="00534084" w:rsidRPr="00687DE8" w:rsidRDefault="00534084" w:rsidP="00534084">
            <w:pPr>
              <w:spacing w:after="0" w:line="240" w:lineRule="auto"/>
              <w:jc w:val="center"/>
              <w:rPr>
                <w:szCs w:val="24"/>
              </w:rPr>
            </w:pPr>
            <w:r w:rsidRPr="00687DE8">
              <w:rPr>
                <w:szCs w:val="24"/>
              </w:rPr>
              <w:t>3031</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68FE61" w14:textId="64BBE638" w:rsidR="00534084" w:rsidRPr="00687DE8" w:rsidRDefault="00746D13" w:rsidP="00534084">
            <w:pPr>
              <w:spacing w:after="0"/>
              <w:jc w:val="center"/>
              <w:rPr>
                <w:color w:val="000000" w:themeColor="text1"/>
                <w:szCs w:val="24"/>
              </w:rPr>
            </w:pPr>
            <w:r>
              <w:rPr>
                <w:color w:val="000000"/>
              </w:rPr>
              <w:t>70,67</w:t>
            </w:r>
          </w:p>
        </w:tc>
      </w:tr>
      <w:tr w:rsidR="00C04E5E" w:rsidRPr="00687DE8" w14:paraId="248E3514"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D85211" w14:textId="77777777" w:rsidR="00C04E5E" w:rsidRPr="00687DE8" w:rsidRDefault="00C04E5E" w:rsidP="00C04E5E">
            <w:pPr>
              <w:spacing w:after="0" w:line="240" w:lineRule="auto"/>
              <w:rPr>
                <w:szCs w:val="24"/>
              </w:rPr>
            </w:pPr>
            <w:r w:rsidRPr="00687DE8">
              <w:rPr>
                <w:szCs w:val="24"/>
              </w:rPr>
              <w:t>Psühhiaatri ja õe kaugvastuvõtt aktiivravi perioodis</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D14ED0" w14:textId="77777777" w:rsidR="00C04E5E" w:rsidRPr="00687DE8" w:rsidRDefault="00C04E5E" w:rsidP="00C04E5E">
            <w:pPr>
              <w:spacing w:after="0" w:line="240" w:lineRule="auto"/>
              <w:jc w:val="center"/>
              <w:rPr>
                <w:szCs w:val="24"/>
              </w:rPr>
            </w:pPr>
            <w:r w:rsidRPr="00687DE8">
              <w:rPr>
                <w:szCs w:val="24"/>
              </w:rPr>
              <w:t>3202</w:t>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E19C3A" w14:textId="177BE1D7" w:rsidR="00C04E5E" w:rsidRPr="00687DE8" w:rsidRDefault="000044AE" w:rsidP="00C04E5E">
            <w:pPr>
              <w:spacing w:after="0"/>
              <w:jc w:val="center"/>
              <w:rPr>
                <w:color w:val="000000" w:themeColor="text1"/>
                <w:szCs w:val="24"/>
              </w:rPr>
            </w:pPr>
            <w:r>
              <w:rPr>
                <w:color w:val="000000"/>
              </w:rPr>
              <w:t>70,67</w:t>
            </w:r>
          </w:p>
        </w:tc>
      </w:tr>
      <w:tr w:rsidR="00C04E5E" w:rsidRPr="00687DE8" w14:paraId="3BAE37DC"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970F03" w14:textId="77777777" w:rsidR="00C04E5E" w:rsidRPr="00687DE8" w:rsidRDefault="00C04E5E" w:rsidP="00C04E5E">
            <w:pPr>
              <w:spacing w:after="0" w:line="240" w:lineRule="auto"/>
              <w:rPr>
                <w:szCs w:val="24"/>
              </w:rPr>
            </w:pPr>
            <w:r w:rsidRPr="00687DE8">
              <w:rPr>
                <w:szCs w:val="24"/>
              </w:rPr>
              <w:t>Psühhiaatri ja õe videovastuvõtt aktiivravi perioodis</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27E2A0" w14:textId="77777777" w:rsidR="00C04E5E" w:rsidRPr="00687DE8" w:rsidRDefault="00C04E5E" w:rsidP="00C04E5E">
            <w:pPr>
              <w:spacing w:after="0" w:line="240" w:lineRule="auto"/>
              <w:jc w:val="center"/>
              <w:rPr>
                <w:szCs w:val="24"/>
              </w:rPr>
            </w:pPr>
            <w:r w:rsidRPr="00687DE8">
              <w:rPr>
                <w:szCs w:val="24"/>
              </w:rPr>
              <w:t>3223</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B802B4E" w14:textId="0693B360" w:rsidR="00C04E5E" w:rsidRPr="00687DE8" w:rsidRDefault="000044AE" w:rsidP="00C04E5E">
            <w:pPr>
              <w:spacing w:after="0"/>
              <w:jc w:val="center"/>
              <w:rPr>
                <w:color w:val="000000" w:themeColor="text1"/>
                <w:szCs w:val="24"/>
              </w:rPr>
            </w:pPr>
            <w:r>
              <w:rPr>
                <w:color w:val="000000"/>
              </w:rPr>
              <w:t>70,67</w:t>
            </w:r>
          </w:p>
        </w:tc>
      </w:tr>
      <w:tr w:rsidR="00C04E5E" w:rsidRPr="00687DE8" w14:paraId="69A033D0"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A1CCEA" w14:textId="77777777" w:rsidR="00C04E5E" w:rsidRPr="00687DE8" w:rsidRDefault="00C04E5E" w:rsidP="00C04E5E">
            <w:pPr>
              <w:spacing w:after="0" w:line="240" w:lineRule="auto"/>
              <w:rPr>
                <w:szCs w:val="24"/>
              </w:rPr>
            </w:pPr>
            <w:r w:rsidRPr="00687DE8">
              <w:rPr>
                <w:szCs w:val="24"/>
              </w:rPr>
              <w:t>Psühhiaatri vastuvõtt aktiivravi perioodis</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3EE641" w14:textId="77777777" w:rsidR="00C04E5E" w:rsidRPr="00687DE8" w:rsidRDefault="00C04E5E" w:rsidP="00C04E5E">
            <w:pPr>
              <w:spacing w:after="0" w:line="240" w:lineRule="auto"/>
              <w:jc w:val="center"/>
              <w:rPr>
                <w:szCs w:val="24"/>
              </w:rPr>
            </w:pPr>
            <w:r w:rsidRPr="00687DE8">
              <w:rPr>
                <w:szCs w:val="24"/>
              </w:rPr>
              <w:t>3032</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AE37FB" w14:textId="6B551B2D" w:rsidR="00C04E5E" w:rsidRPr="00687DE8" w:rsidRDefault="000044AE" w:rsidP="00C04E5E">
            <w:pPr>
              <w:spacing w:after="0"/>
              <w:jc w:val="center"/>
              <w:rPr>
                <w:color w:val="000000" w:themeColor="text1"/>
                <w:szCs w:val="24"/>
              </w:rPr>
            </w:pPr>
            <w:r>
              <w:rPr>
                <w:color w:val="000000"/>
              </w:rPr>
              <w:t>57,71</w:t>
            </w:r>
          </w:p>
        </w:tc>
      </w:tr>
      <w:tr w:rsidR="00C04E5E" w:rsidRPr="00687DE8" w14:paraId="11058040"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F09DA3" w14:textId="77777777" w:rsidR="00C04E5E" w:rsidRPr="00687DE8" w:rsidRDefault="00C04E5E" w:rsidP="00C04E5E">
            <w:pPr>
              <w:spacing w:after="0" w:line="240" w:lineRule="auto"/>
              <w:rPr>
                <w:szCs w:val="24"/>
              </w:rPr>
            </w:pPr>
            <w:r w:rsidRPr="00687DE8">
              <w:rPr>
                <w:szCs w:val="24"/>
              </w:rPr>
              <w:t>Psühhiaatri kaugvastuvõtt aktiivravi perioodis</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DC3F58" w14:textId="77777777" w:rsidR="00C04E5E" w:rsidRPr="00687DE8" w:rsidRDefault="00C04E5E" w:rsidP="00C04E5E">
            <w:pPr>
              <w:spacing w:after="0" w:line="240" w:lineRule="auto"/>
              <w:jc w:val="center"/>
              <w:rPr>
                <w:szCs w:val="24"/>
              </w:rPr>
            </w:pPr>
            <w:r w:rsidRPr="00687DE8">
              <w:rPr>
                <w:szCs w:val="24"/>
              </w:rPr>
              <w:t>3203</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B521F84" w14:textId="3B007B1E" w:rsidR="00C04E5E" w:rsidRPr="00687DE8" w:rsidRDefault="000044AE" w:rsidP="00C04E5E">
            <w:pPr>
              <w:spacing w:after="0"/>
              <w:jc w:val="center"/>
              <w:rPr>
                <w:color w:val="000000" w:themeColor="text1"/>
                <w:szCs w:val="24"/>
              </w:rPr>
            </w:pPr>
            <w:r>
              <w:rPr>
                <w:color w:val="000000"/>
              </w:rPr>
              <w:t>57,71</w:t>
            </w:r>
          </w:p>
        </w:tc>
      </w:tr>
      <w:tr w:rsidR="00C04E5E" w:rsidRPr="00687DE8" w14:paraId="2094D72C"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15DEA9" w14:textId="77777777" w:rsidR="00C04E5E" w:rsidRPr="00687DE8" w:rsidRDefault="00C04E5E" w:rsidP="00C04E5E">
            <w:pPr>
              <w:spacing w:after="0" w:line="240" w:lineRule="auto"/>
              <w:rPr>
                <w:szCs w:val="24"/>
              </w:rPr>
            </w:pPr>
            <w:r w:rsidRPr="00687DE8">
              <w:rPr>
                <w:szCs w:val="24"/>
              </w:rPr>
              <w:t>Psühhiaatri videovastuvõtt aktiivravi perioodis</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0BB0D8" w14:textId="77777777" w:rsidR="00C04E5E" w:rsidRPr="00687DE8" w:rsidRDefault="00C04E5E" w:rsidP="00C04E5E">
            <w:pPr>
              <w:spacing w:after="0" w:line="240" w:lineRule="auto"/>
              <w:jc w:val="center"/>
              <w:rPr>
                <w:szCs w:val="24"/>
              </w:rPr>
            </w:pPr>
            <w:r w:rsidRPr="00687DE8">
              <w:rPr>
                <w:szCs w:val="24"/>
              </w:rPr>
              <w:t>3224</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9EDF1C4" w14:textId="1C800BC9" w:rsidR="00C04E5E" w:rsidRPr="00687DE8" w:rsidRDefault="000044AE" w:rsidP="00C04E5E">
            <w:pPr>
              <w:spacing w:after="0"/>
              <w:jc w:val="center"/>
              <w:rPr>
                <w:color w:val="000000" w:themeColor="text1"/>
                <w:szCs w:val="24"/>
              </w:rPr>
            </w:pPr>
            <w:r>
              <w:rPr>
                <w:color w:val="000000"/>
              </w:rPr>
              <w:t>57,71</w:t>
            </w:r>
          </w:p>
        </w:tc>
      </w:tr>
      <w:tr w:rsidR="00C04E5E" w:rsidRPr="00687DE8" w14:paraId="7192E235"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0F6EB5" w14:textId="77777777" w:rsidR="00C04E5E" w:rsidRPr="00687DE8" w:rsidRDefault="00C04E5E" w:rsidP="00C04E5E">
            <w:pPr>
              <w:spacing w:after="0" w:line="240" w:lineRule="auto"/>
              <w:rPr>
                <w:szCs w:val="24"/>
              </w:rPr>
            </w:pPr>
            <w:r w:rsidRPr="00687DE8">
              <w:rPr>
                <w:szCs w:val="24"/>
              </w:rPr>
              <w:t>Psühhiaatri vastuvõtt toetusravi perioodis</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16C051" w14:textId="77777777" w:rsidR="00C04E5E" w:rsidRPr="00687DE8" w:rsidRDefault="00C04E5E" w:rsidP="00C04E5E">
            <w:pPr>
              <w:spacing w:after="0" w:line="240" w:lineRule="auto"/>
              <w:jc w:val="center"/>
              <w:rPr>
                <w:szCs w:val="24"/>
              </w:rPr>
            </w:pPr>
            <w:r w:rsidRPr="00687DE8">
              <w:rPr>
                <w:szCs w:val="24"/>
              </w:rPr>
              <w:t>3033</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FEE4A3" w14:textId="7750E858" w:rsidR="00C04E5E" w:rsidRPr="00687DE8" w:rsidRDefault="000044AE" w:rsidP="00C04E5E">
            <w:pPr>
              <w:spacing w:after="0"/>
              <w:jc w:val="center"/>
              <w:rPr>
                <w:color w:val="000000" w:themeColor="text1"/>
                <w:szCs w:val="24"/>
              </w:rPr>
            </w:pPr>
            <w:r>
              <w:rPr>
                <w:color w:val="000000"/>
              </w:rPr>
              <w:t>32,96</w:t>
            </w:r>
          </w:p>
        </w:tc>
      </w:tr>
      <w:tr w:rsidR="00C04E5E" w:rsidRPr="00687DE8" w14:paraId="2F6D56ED"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FCF9C6" w14:textId="77777777" w:rsidR="00C04E5E" w:rsidRPr="00687DE8" w:rsidRDefault="00C04E5E" w:rsidP="00C04E5E">
            <w:pPr>
              <w:spacing w:after="0" w:line="240" w:lineRule="auto"/>
              <w:rPr>
                <w:szCs w:val="24"/>
              </w:rPr>
            </w:pPr>
            <w:r w:rsidRPr="00687DE8">
              <w:rPr>
                <w:szCs w:val="24"/>
              </w:rPr>
              <w:lastRenderedPageBreak/>
              <w:t>Psühhiaatri kaugvastuvõtt toetusravi perioodis</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06F7C6" w14:textId="77777777" w:rsidR="00C04E5E" w:rsidRPr="00687DE8" w:rsidRDefault="00C04E5E" w:rsidP="00C04E5E">
            <w:pPr>
              <w:spacing w:after="0" w:line="240" w:lineRule="auto"/>
              <w:jc w:val="center"/>
              <w:rPr>
                <w:szCs w:val="24"/>
              </w:rPr>
            </w:pPr>
            <w:r w:rsidRPr="00687DE8">
              <w:rPr>
                <w:szCs w:val="24"/>
              </w:rPr>
              <w:t>3204</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F13B652" w14:textId="75EE7F5C" w:rsidR="00C04E5E" w:rsidRPr="00687DE8" w:rsidRDefault="000044AE" w:rsidP="00C04E5E">
            <w:pPr>
              <w:spacing w:after="0"/>
              <w:jc w:val="center"/>
              <w:rPr>
                <w:color w:val="000000" w:themeColor="text1"/>
                <w:szCs w:val="24"/>
              </w:rPr>
            </w:pPr>
            <w:r>
              <w:rPr>
                <w:color w:val="000000"/>
              </w:rPr>
              <w:t>32,96</w:t>
            </w:r>
          </w:p>
        </w:tc>
      </w:tr>
      <w:tr w:rsidR="00C04E5E" w:rsidRPr="00687DE8" w14:paraId="375C8F4E"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AC8157" w14:textId="77777777" w:rsidR="00C04E5E" w:rsidRPr="00687DE8" w:rsidRDefault="00C04E5E" w:rsidP="00C04E5E">
            <w:pPr>
              <w:spacing w:after="0" w:line="240" w:lineRule="auto"/>
              <w:rPr>
                <w:szCs w:val="24"/>
              </w:rPr>
            </w:pPr>
            <w:r w:rsidRPr="00687DE8">
              <w:rPr>
                <w:szCs w:val="24"/>
              </w:rPr>
              <w:t>Psühhiaatri videovastuvõtt toetusravi perioodis</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EAA5C5" w14:textId="77777777" w:rsidR="00C04E5E" w:rsidRPr="00687DE8" w:rsidRDefault="00C04E5E" w:rsidP="00C04E5E">
            <w:pPr>
              <w:spacing w:after="0" w:line="240" w:lineRule="auto"/>
              <w:jc w:val="center"/>
              <w:rPr>
                <w:szCs w:val="24"/>
              </w:rPr>
            </w:pPr>
            <w:r w:rsidRPr="00687DE8">
              <w:rPr>
                <w:szCs w:val="24"/>
              </w:rPr>
              <w:t>3225</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7A43F29" w14:textId="5998F551" w:rsidR="00C04E5E" w:rsidRPr="00687DE8" w:rsidRDefault="000044AE" w:rsidP="00C04E5E">
            <w:pPr>
              <w:spacing w:after="0"/>
              <w:jc w:val="center"/>
              <w:rPr>
                <w:color w:val="000000" w:themeColor="text1"/>
                <w:szCs w:val="24"/>
              </w:rPr>
            </w:pPr>
            <w:r>
              <w:rPr>
                <w:color w:val="000000"/>
              </w:rPr>
              <w:t>32,96</w:t>
            </w:r>
          </w:p>
        </w:tc>
      </w:tr>
      <w:tr w:rsidR="00C04E5E" w:rsidRPr="00687DE8" w14:paraId="12698381"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F285B7" w14:textId="77777777" w:rsidR="00C04E5E" w:rsidRPr="00687DE8" w:rsidRDefault="00C04E5E" w:rsidP="00C04E5E">
            <w:pPr>
              <w:spacing w:after="0" w:line="240" w:lineRule="auto"/>
              <w:rPr>
                <w:szCs w:val="24"/>
              </w:rPr>
            </w:pPr>
            <w:r w:rsidRPr="00687DE8">
              <w:rPr>
                <w:szCs w:val="24"/>
              </w:rPr>
              <w:t>Hinnangu andmine tervishoiuteenuse vastavusele ravikindlustuse seaduse § 27</w:t>
            </w:r>
            <w:r w:rsidRPr="00687DE8">
              <w:rPr>
                <w:szCs w:val="24"/>
                <w:vertAlign w:val="superscript"/>
              </w:rPr>
              <w:t>1</w:t>
            </w:r>
            <w:r w:rsidRPr="00687DE8">
              <w:rPr>
                <w:szCs w:val="24"/>
              </w:rPr>
              <w:t xml:space="preserve"> lõikes 1 sätestatud kriteeriumidele</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BDB71B" w14:textId="77777777" w:rsidR="00C04E5E" w:rsidRDefault="00C04E5E" w:rsidP="00C04E5E">
            <w:pPr>
              <w:spacing w:after="0" w:line="240" w:lineRule="auto"/>
              <w:jc w:val="center"/>
              <w:rPr>
                <w:szCs w:val="24"/>
              </w:rPr>
            </w:pPr>
          </w:p>
          <w:p w14:paraId="0F9135BF" w14:textId="3D233BE6" w:rsidR="00C04E5E" w:rsidRPr="00687DE8" w:rsidRDefault="00C04E5E" w:rsidP="00C04E5E">
            <w:pPr>
              <w:spacing w:after="0" w:line="240" w:lineRule="auto"/>
              <w:jc w:val="center"/>
              <w:rPr>
                <w:szCs w:val="24"/>
              </w:rPr>
            </w:pPr>
            <w:r w:rsidRPr="00687DE8">
              <w:rPr>
                <w:szCs w:val="24"/>
              </w:rPr>
              <w:t>3034</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F3CD3ED" w14:textId="5C07F8DE" w:rsidR="00C04E5E" w:rsidRPr="00687DE8" w:rsidRDefault="000044AE" w:rsidP="00C04E5E">
            <w:pPr>
              <w:spacing w:after="0"/>
              <w:jc w:val="center"/>
              <w:rPr>
                <w:color w:val="000000" w:themeColor="text1"/>
                <w:szCs w:val="24"/>
              </w:rPr>
            </w:pPr>
            <w:r>
              <w:rPr>
                <w:color w:val="000000"/>
              </w:rPr>
              <w:t>398,37</w:t>
            </w:r>
          </w:p>
        </w:tc>
      </w:tr>
      <w:tr w:rsidR="00C04E5E" w:rsidRPr="00687DE8" w14:paraId="652FAA8C"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E6AEFF" w14:textId="77777777" w:rsidR="00C04E5E" w:rsidRPr="00687DE8" w:rsidRDefault="00C04E5E" w:rsidP="00C04E5E">
            <w:pPr>
              <w:spacing w:after="0" w:line="240" w:lineRule="auto"/>
              <w:rPr>
                <w:szCs w:val="24"/>
              </w:rPr>
            </w:pPr>
            <w:r w:rsidRPr="00687DE8">
              <w:rPr>
                <w:szCs w:val="24"/>
              </w:rPr>
              <w:t>Õe vastuvõtt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D4633F" w14:textId="77777777" w:rsidR="00C04E5E" w:rsidRPr="00687DE8" w:rsidRDefault="00C04E5E" w:rsidP="00C04E5E">
            <w:pPr>
              <w:spacing w:after="0" w:line="240" w:lineRule="auto"/>
              <w:jc w:val="center"/>
              <w:rPr>
                <w:szCs w:val="24"/>
              </w:rPr>
            </w:pPr>
            <w:r w:rsidRPr="00687DE8">
              <w:rPr>
                <w:szCs w:val="24"/>
              </w:rPr>
              <w:t>3035</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96AC87" w14:textId="38E351B0" w:rsidR="00C04E5E" w:rsidRPr="00687DE8" w:rsidRDefault="000044AE" w:rsidP="00C04E5E">
            <w:pPr>
              <w:spacing w:after="0"/>
              <w:jc w:val="center"/>
              <w:rPr>
                <w:color w:val="000000" w:themeColor="text1"/>
                <w:szCs w:val="24"/>
              </w:rPr>
            </w:pPr>
            <w:r>
              <w:rPr>
                <w:color w:val="000000"/>
              </w:rPr>
              <w:t>20,32</w:t>
            </w:r>
          </w:p>
        </w:tc>
      </w:tr>
      <w:tr w:rsidR="00C04E5E" w:rsidRPr="00687DE8" w14:paraId="4D57E899"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AEA3E2" w14:textId="77777777" w:rsidR="00C04E5E" w:rsidRPr="00687DE8" w:rsidRDefault="00C04E5E" w:rsidP="00C04E5E">
            <w:pPr>
              <w:spacing w:after="0" w:line="240" w:lineRule="auto"/>
              <w:rPr>
                <w:szCs w:val="24"/>
              </w:rPr>
            </w:pPr>
            <w:r w:rsidRPr="00687DE8">
              <w:rPr>
                <w:szCs w:val="24"/>
              </w:rPr>
              <w:t>Õe kaugvastuvõtt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D20BEF" w14:textId="77777777" w:rsidR="00C04E5E" w:rsidRPr="00687DE8" w:rsidRDefault="00C04E5E" w:rsidP="00C04E5E">
            <w:pPr>
              <w:spacing w:after="0" w:line="240" w:lineRule="auto"/>
              <w:jc w:val="center"/>
              <w:rPr>
                <w:szCs w:val="24"/>
              </w:rPr>
            </w:pPr>
            <w:r w:rsidRPr="00687DE8">
              <w:rPr>
                <w:szCs w:val="24"/>
              </w:rPr>
              <w:t>3206</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A4C438C" w14:textId="03C19C24" w:rsidR="00C04E5E" w:rsidRPr="00687DE8" w:rsidRDefault="000044AE" w:rsidP="00C04E5E">
            <w:pPr>
              <w:spacing w:after="0"/>
              <w:jc w:val="center"/>
              <w:rPr>
                <w:color w:val="000000" w:themeColor="text1"/>
                <w:szCs w:val="24"/>
              </w:rPr>
            </w:pPr>
            <w:r>
              <w:rPr>
                <w:color w:val="000000"/>
              </w:rPr>
              <w:t>20,32</w:t>
            </w:r>
          </w:p>
        </w:tc>
      </w:tr>
      <w:tr w:rsidR="00C04E5E" w:rsidRPr="00687DE8" w14:paraId="32C456F1"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832081" w14:textId="77777777" w:rsidR="00C04E5E" w:rsidRPr="00687DE8" w:rsidRDefault="00C04E5E" w:rsidP="00C04E5E">
            <w:pPr>
              <w:spacing w:after="0" w:line="240" w:lineRule="auto"/>
              <w:rPr>
                <w:szCs w:val="24"/>
              </w:rPr>
            </w:pPr>
            <w:r w:rsidRPr="00687DE8">
              <w:rPr>
                <w:szCs w:val="24"/>
              </w:rPr>
              <w:t>Õe videovastuvõtt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82D66D" w14:textId="77777777" w:rsidR="00C04E5E" w:rsidRPr="00687DE8" w:rsidRDefault="00C04E5E" w:rsidP="00C04E5E">
            <w:pPr>
              <w:spacing w:after="0" w:line="240" w:lineRule="auto"/>
              <w:jc w:val="center"/>
              <w:rPr>
                <w:szCs w:val="24"/>
              </w:rPr>
            </w:pPr>
            <w:r w:rsidRPr="00687DE8">
              <w:rPr>
                <w:szCs w:val="24"/>
              </w:rPr>
              <w:t>3227</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111064E" w14:textId="358FC454" w:rsidR="00C04E5E" w:rsidRPr="00687DE8" w:rsidRDefault="000044AE" w:rsidP="00C04E5E">
            <w:pPr>
              <w:spacing w:after="0"/>
              <w:jc w:val="center"/>
              <w:rPr>
                <w:color w:val="000000" w:themeColor="text1"/>
                <w:szCs w:val="24"/>
              </w:rPr>
            </w:pPr>
            <w:r>
              <w:rPr>
                <w:color w:val="000000"/>
              </w:rPr>
              <w:t>20,32</w:t>
            </w:r>
          </w:p>
        </w:tc>
      </w:tr>
      <w:tr w:rsidR="00C04E5E" w:rsidRPr="00687DE8" w14:paraId="2CAADEE5"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483581" w14:textId="77777777" w:rsidR="00C04E5E" w:rsidRPr="00687DE8" w:rsidRDefault="00C04E5E" w:rsidP="00C04E5E">
            <w:pPr>
              <w:spacing w:after="0" w:line="240" w:lineRule="auto"/>
              <w:rPr>
                <w:szCs w:val="24"/>
              </w:rPr>
            </w:pPr>
            <w:r w:rsidRPr="00687DE8">
              <w:rPr>
                <w:szCs w:val="24"/>
              </w:rPr>
              <w:t>Õe koduvisiit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395ECF" w14:textId="77777777" w:rsidR="00C04E5E" w:rsidRPr="00687DE8" w:rsidRDefault="00C04E5E" w:rsidP="00C04E5E">
            <w:pPr>
              <w:spacing w:after="0" w:line="240" w:lineRule="auto"/>
              <w:jc w:val="center"/>
              <w:rPr>
                <w:szCs w:val="24"/>
              </w:rPr>
            </w:pPr>
            <w:r w:rsidRPr="00687DE8">
              <w:rPr>
                <w:szCs w:val="24"/>
              </w:rPr>
              <w:t>3036</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BEB3F7" w14:textId="676BADA5" w:rsidR="00C04E5E" w:rsidRPr="00687DE8" w:rsidRDefault="000044AE" w:rsidP="00C04E5E">
            <w:pPr>
              <w:spacing w:after="0"/>
              <w:jc w:val="center"/>
              <w:rPr>
                <w:color w:val="000000" w:themeColor="text1"/>
                <w:szCs w:val="24"/>
              </w:rPr>
            </w:pPr>
            <w:r>
              <w:rPr>
                <w:color w:val="000000"/>
              </w:rPr>
              <w:t>34,86</w:t>
            </w:r>
          </w:p>
        </w:tc>
      </w:tr>
      <w:tr w:rsidR="00C04E5E" w:rsidRPr="00687DE8" w14:paraId="173E59AE"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35D454" w14:textId="77777777" w:rsidR="00C04E5E" w:rsidRPr="00687DE8" w:rsidRDefault="00C04E5E" w:rsidP="00C04E5E">
            <w:pPr>
              <w:spacing w:after="0" w:line="240" w:lineRule="auto"/>
              <w:rPr>
                <w:szCs w:val="24"/>
              </w:rPr>
            </w:pPr>
            <w:r w:rsidRPr="00687DE8">
              <w:rPr>
                <w:szCs w:val="24"/>
              </w:rPr>
              <w:t>Ämmaemanda vastuvõtt (60 min)</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1F6BE3" w14:textId="77777777" w:rsidR="00C04E5E" w:rsidRPr="00687DE8" w:rsidRDefault="00C04E5E" w:rsidP="00C04E5E">
            <w:pPr>
              <w:spacing w:after="0" w:line="240" w:lineRule="auto"/>
              <w:jc w:val="center"/>
              <w:rPr>
                <w:szCs w:val="24"/>
              </w:rPr>
            </w:pPr>
            <w:r w:rsidRPr="00687DE8">
              <w:rPr>
                <w:szCs w:val="24"/>
              </w:rPr>
              <w:t>3111</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D22A84" w14:textId="28F178B2" w:rsidR="00C04E5E" w:rsidRPr="00687DE8" w:rsidRDefault="000044AE" w:rsidP="00C04E5E">
            <w:pPr>
              <w:spacing w:after="0"/>
              <w:jc w:val="center"/>
              <w:rPr>
                <w:color w:val="000000" w:themeColor="text1"/>
                <w:szCs w:val="24"/>
              </w:rPr>
            </w:pPr>
            <w:r>
              <w:rPr>
                <w:color w:val="000000"/>
              </w:rPr>
              <w:t>41,18</w:t>
            </w:r>
          </w:p>
        </w:tc>
      </w:tr>
      <w:tr w:rsidR="00C04E5E" w:rsidRPr="00687DE8" w14:paraId="468D83C1"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033277" w14:textId="77777777" w:rsidR="00C04E5E" w:rsidRPr="00687DE8" w:rsidRDefault="00C04E5E" w:rsidP="00C04E5E">
            <w:pPr>
              <w:spacing w:after="0" w:line="240" w:lineRule="auto"/>
              <w:rPr>
                <w:szCs w:val="24"/>
              </w:rPr>
            </w:pPr>
            <w:r w:rsidRPr="00687DE8">
              <w:rPr>
                <w:szCs w:val="24"/>
              </w:rPr>
              <w:t>Ämmaemanda vastuvõtt (30 min)</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B3D94B" w14:textId="023DB613" w:rsidR="00C04E5E" w:rsidRPr="00687DE8" w:rsidRDefault="00C04E5E" w:rsidP="00C04E5E">
            <w:pPr>
              <w:spacing w:after="0" w:line="240" w:lineRule="auto"/>
              <w:jc w:val="center"/>
              <w:rPr>
                <w:szCs w:val="24"/>
              </w:rPr>
            </w:pPr>
            <w:r w:rsidRPr="00687DE8">
              <w:rPr>
                <w:szCs w:val="24"/>
              </w:rPr>
              <w:t>3112</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C4B45C" w14:textId="52B011C4" w:rsidR="00C04E5E" w:rsidRPr="00687DE8" w:rsidRDefault="000044AE" w:rsidP="00C04E5E">
            <w:pPr>
              <w:spacing w:after="0"/>
              <w:jc w:val="center"/>
              <w:rPr>
                <w:color w:val="000000" w:themeColor="text1"/>
                <w:szCs w:val="24"/>
              </w:rPr>
            </w:pPr>
            <w:r>
              <w:rPr>
                <w:color w:val="000000"/>
              </w:rPr>
              <w:t>23,27</w:t>
            </w:r>
          </w:p>
        </w:tc>
      </w:tr>
      <w:tr w:rsidR="00C04E5E" w:rsidRPr="00687DE8" w14:paraId="6A474309" w14:textId="77777777" w:rsidTr="13957D57">
        <w:trPr>
          <w:divId w:val="1316184749"/>
          <w:trHeight w:val="301"/>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045982" w14:textId="77777777" w:rsidR="00C04E5E" w:rsidRPr="00687DE8" w:rsidRDefault="00C04E5E" w:rsidP="00C04E5E">
            <w:pPr>
              <w:spacing w:after="0" w:line="240" w:lineRule="auto"/>
              <w:rPr>
                <w:szCs w:val="24"/>
              </w:rPr>
            </w:pPr>
            <w:r w:rsidRPr="00687DE8">
              <w:rPr>
                <w:szCs w:val="24"/>
              </w:rPr>
              <w:t>Ämmaemanda kaugvastuvõtt (30 min)</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EA9443" w14:textId="77777777" w:rsidR="00C04E5E" w:rsidRPr="00687DE8" w:rsidRDefault="00C04E5E" w:rsidP="00C04E5E">
            <w:pPr>
              <w:spacing w:after="0" w:line="240" w:lineRule="auto"/>
              <w:jc w:val="center"/>
              <w:rPr>
                <w:szCs w:val="24"/>
              </w:rPr>
            </w:pPr>
            <w:r w:rsidRPr="00687DE8">
              <w:rPr>
                <w:szCs w:val="24"/>
              </w:rPr>
              <w:t>3208</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6E00E36" w14:textId="47A66285" w:rsidR="00C04E5E" w:rsidRPr="00687DE8" w:rsidRDefault="000044AE" w:rsidP="00C04E5E">
            <w:pPr>
              <w:spacing w:after="0"/>
              <w:jc w:val="center"/>
              <w:rPr>
                <w:color w:val="000000" w:themeColor="text1"/>
                <w:szCs w:val="24"/>
              </w:rPr>
            </w:pPr>
            <w:r>
              <w:rPr>
                <w:color w:val="000000"/>
              </w:rPr>
              <w:t>23,27</w:t>
            </w:r>
          </w:p>
        </w:tc>
      </w:tr>
      <w:tr w:rsidR="00C04E5E" w:rsidRPr="00687DE8" w14:paraId="5A2A06F5" w14:textId="77777777" w:rsidTr="13957D57">
        <w:trPr>
          <w:divId w:val="1316184749"/>
          <w:trHeight w:val="301"/>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E3AAED" w14:textId="77777777" w:rsidR="00C04E5E" w:rsidRPr="00687DE8" w:rsidRDefault="00C04E5E" w:rsidP="00C04E5E">
            <w:pPr>
              <w:spacing w:after="0" w:line="240" w:lineRule="auto"/>
              <w:rPr>
                <w:szCs w:val="24"/>
              </w:rPr>
            </w:pPr>
            <w:r w:rsidRPr="00687DE8">
              <w:rPr>
                <w:szCs w:val="24"/>
              </w:rPr>
              <w:t>Ämmaemanda videovastuvõtt (30 min)</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212D34" w14:textId="77777777" w:rsidR="00C04E5E" w:rsidRPr="00687DE8" w:rsidRDefault="00C04E5E" w:rsidP="00C04E5E">
            <w:pPr>
              <w:spacing w:after="0" w:line="240" w:lineRule="auto"/>
              <w:jc w:val="center"/>
              <w:rPr>
                <w:szCs w:val="24"/>
              </w:rPr>
            </w:pPr>
            <w:r w:rsidRPr="00687DE8">
              <w:rPr>
                <w:szCs w:val="24"/>
              </w:rPr>
              <w:t>3229</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058FF93" w14:textId="551E6BBF" w:rsidR="00C04E5E" w:rsidRPr="00687DE8" w:rsidRDefault="000044AE" w:rsidP="00C04E5E">
            <w:pPr>
              <w:spacing w:after="0"/>
              <w:jc w:val="center"/>
              <w:rPr>
                <w:color w:val="000000" w:themeColor="text1"/>
                <w:szCs w:val="24"/>
              </w:rPr>
            </w:pPr>
            <w:r>
              <w:rPr>
                <w:color w:val="000000"/>
              </w:rPr>
              <w:t>23,27</w:t>
            </w:r>
          </w:p>
        </w:tc>
      </w:tr>
      <w:tr w:rsidR="00C04E5E" w:rsidRPr="00687DE8" w14:paraId="2D0B0206" w14:textId="77777777" w:rsidTr="13957D57">
        <w:trPr>
          <w:divId w:val="1316184749"/>
          <w:trHeight w:val="301"/>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59CF2E" w14:textId="77777777" w:rsidR="00C04E5E" w:rsidRPr="00687DE8" w:rsidRDefault="00C04E5E" w:rsidP="00C04E5E">
            <w:pPr>
              <w:spacing w:after="0" w:line="240" w:lineRule="auto"/>
              <w:rPr>
                <w:szCs w:val="24"/>
              </w:rPr>
            </w:pPr>
            <w:r w:rsidRPr="00687DE8">
              <w:rPr>
                <w:szCs w:val="24"/>
              </w:rPr>
              <w:t xml:space="preserve">Ämmaemanda koduvisiit </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6DD9F3" w14:textId="77777777" w:rsidR="00C04E5E" w:rsidRPr="00687DE8" w:rsidRDefault="00C04E5E" w:rsidP="00C04E5E">
            <w:pPr>
              <w:spacing w:after="0" w:line="240" w:lineRule="auto"/>
              <w:jc w:val="center"/>
              <w:rPr>
                <w:szCs w:val="24"/>
              </w:rPr>
            </w:pPr>
            <w:r w:rsidRPr="00687DE8">
              <w:rPr>
                <w:szCs w:val="24"/>
              </w:rPr>
              <w:t>3038</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322C5D" w14:textId="0B1859A7" w:rsidR="00C04E5E" w:rsidRPr="00687DE8" w:rsidRDefault="000044AE" w:rsidP="00C04E5E">
            <w:pPr>
              <w:spacing w:after="0"/>
              <w:jc w:val="center"/>
              <w:rPr>
                <w:color w:val="000000" w:themeColor="text1"/>
                <w:szCs w:val="24"/>
              </w:rPr>
            </w:pPr>
            <w:r>
              <w:rPr>
                <w:color w:val="000000"/>
              </w:rPr>
              <w:t>66,49</w:t>
            </w:r>
          </w:p>
        </w:tc>
      </w:tr>
      <w:tr w:rsidR="00C04E5E" w:rsidRPr="00687DE8" w14:paraId="4DFBBAF2" w14:textId="77777777" w:rsidTr="13957D57">
        <w:trPr>
          <w:divId w:val="1316184749"/>
          <w:trHeight w:val="135"/>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596B7D" w14:textId="77777777" w:rsidR="00C04E5E" w:rsidRPr="00687DE8" w:rsidRDefault="00C04E5E" w:rsidP="00C04E5E">
            <w:pPr>
              <w:spacing w:after="0" w:line="240" w:lineRule="auto"/>
              <w:rPr>
                <w:szCs w:val="24"/>
              </w:rPr>
            </w:pPr>
            <w:r w:rsidRPr="00687DE8">
              <w:rPr>
                <w:szCs w:val="24"/>
              </w:rPr>
              <w:t xml:space="preserve">Esmatasandi tervisekeskuses töötava ämmaemanda koduvisiit </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7D5394" w14:textId="77777777" w:rsidR="00C04E5E" w:rsidRPr="00687DE8" w:rsidRDefault="00C04E5E" w:rsidP="00C04E5E">
            <w:pPr>
              <w:spacing w:after="0" w:line="240" w:lineRule="auto"/>
              <w:jc w:val="center"/>
              <w:rPr>
                <w:szCs w:val="24"/>
              </w:rPr>
            </w:pPr>
            <w:r w:rsidRPr="00687DE8">
              <w:rPr>
                <w:szCs w:val="24"/>
              </w:rPr>
              <w:t>3028</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1EA48F" w14:textId="40341849" w:rsidR="00C04E5E" w:rsidRPr="00687DE8" w:rsidRDefault="000044AE" w:rsidP="00C04E5E">
            <w:pPr>
              <w:spacing w:after="0"/>
              <w:jc w:val="center"/>
              <w:rPr>
                <w:color w:val="000000" w:themeColor="text1"/>
                <w:szCs w:val="24"/>
              </w:rPr>
            </w:pPr>
            <w:r>
              <w:rPr>
                <w:color w:val="000000"/>
              </w:rPr>
              <w:t>58,23</w:t>
            </w:r>
          </w:p>
        </w:tc>
      </w:tr>
      <w:tr w:rsidR="00C04E5E" w:rsidRPr="00687DE8" w14:paraId="34B1CDE4" w14:textId="77777777" w:rsidTr="13957D57">
        <w:trPr>
          <w:divId w:val="1316184749"/>
          <w:trHeight w:val="135"/>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3FA82F" w14:textId="77777777" w:rsidR="00C04E5E" w:rsidRPr="00687DE8" w:rsidRDefault="00C04E5E" w:rsidP="00C04E5E">
            <w:pPr>
              <w:spacing w:after="0" w:line="240" w:lineRule="auto"/>
              <w:rPr>
                <w:szCs w:val="24"/>
              </w:rPr>
            </w:pPr>
            <w:r w:rsidRPr="00687DE8">
              <w:rPr>
                <w:szCs w:val="24"/>
              </w:rPr>
              <w:t>Ämmaemanda vastuvõtt esmatasandi tervisekeskuses (60 min)</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23FDD9" w14:textId="77777777" w:rsidR="00C04E5E" w:rsidRPr="00687DE8" w:rsidRDefault="00C04E5E" w:rsidP="00C04E5E">
            <w:pPr>
              <w:spacing w:after="0" w:line="240" w:lineRule="auto"/>
              <w:jc w:val="center"/>
              <w:rPr>
                <w:szCs w:val="24"/>
              </w:rPr>
            </w:pPr>
            <w:r w:rsidRPr="00687DE8">
              <w:rPr>
                <w:szCs w:val="24"/>
              </w:rPr>
              <w:t>3098</w:t>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993952" w14:textId="29948056" w:rsidR="00C04E5E" w:rsidRPr="00687DE8" w:rsidRDefault="00254E6E" w:rsidP="00C04E5E">
            <w:pPr>
              <w:spacing w:after="0"/>
              <w:jc w:val="center"/>
              <w:rPr>
                <w:color w:val="000000" w:themeColor="text1"/>
                <w:szCs w:val="24"/>
              </w:rPr>
            </w:pPr>
            <w:r>
              <w:rPr>
                <w:color w:val="000000"/>
              </w:rPr>
              <w:t>33,82</w:t>
            </w:r>
          </w:p>
        </w:tc>
      </w:tr>
      <w:tr w:rsidR="00C04E5E" w:rsidRPr="00687DE8" w14:paraId="03B6EE02" w14:textId="77777777" w:rsidTr="13957D57">
        <w:trPr>
          <w:divId w:val="1316184749"/>
          <w:trHeight w:val="135"/>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3479FF" w14:textId="77777777" w:rsidR="00C04E5E" w:rsidRPr="00687DE8" w:rsidRDefault="00C04E5E" w:rsidP="00C04E5E">
            <w:pPr>
              <w:spacing w:after="0" w:line="240" w:lineRule="auto"/>
              <w:rPr>
                <w:szCs w:val="24"/>
              </w:rPr>
            </w:pPr>
            <w:r w:rsidRPr="00687DE8">
              <w:rPr>
                <w:szCs w:val="24"/>
              </w:rPr>
              <w:t>Ämmaemanda vastuvõtt esmatasandi tervisekeskuses (30 min)</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390122" w14:textId="77777777" w:rsidR="00C04E5E" w:rsidRPr="00687DE8" w:rsidRDefault="00C04E5E" w:rsidP="00C04E5E">
            <w:pPr>
              <w:spacing w:after="0" w:line="240" w:lineRule="auto"/>
              <w:jc w:val="center"/>
              <w:rPr>
                <w:szCs w:val="24"/>
              </w:rPr>
            </w:pPr>
            <w:r w:rsidRPr="00687DE8">
              <w:rPr>
                <w:szCs w:val="24"/>
              </w:rPr>
              <w:t>3099</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DBCA78" w14:textId="410C3896" w:rsidR="00C04E5E" w:rsidRPr="00687DE8" w:rsidRDefault="00254E6E" w:rsidP="00C04E5E">
            <w:pPr>
              <w:spacing w:after="0"/>
              <w:jc w:val="center"/>
              <w:rPr>
                <w:color w:val="000000" w:themeColor="text1"/>
                <w:szCs w:val="24"/>
              </w:rPr>
            </w:pPr>
            <w:r>
              <w:rPr>
                <w:color w:val="000000"/>
              </w:rPr>
              <w:t>17,56</w:t>
            </w:r>
          </w:p>
        </w:tc>
      </w:tr>
      <w:tr w:rsidR="00F67CEA" w:rsidRPr="00687DE8" w14:paraId="102EB359" w14:textId="77777777" w:rsidTr="13957D57">
        <w:trPr>
          <w:divId w:val="1316184749"/>
          <w:trHeight w:val="135"/>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D57B3A" w14:textId="77777777" w:rsidR="00F67CEA" w:rsidRPr="00687DE8" w:rsidRDefault="00F67CEA" w:rsidP="00F67CEA">
            <w:pPr>
              <w:spacing w:after="0" w:line="240" w:lineRule="auto"/>
              <w:rPr>
                <w:szCs w:val="24"/>
              </w:rPr>
            </w:pPr>
            <w:r w:rsidRPr="00687DE8">
              <w:rPr>
                <w:szCs w:val="24"/>
              </w:rPr>
              <w:t>Ämmaemanda kaugvastuvõtt esmatasandi tervisekeskuses (30 min)</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E528E4" w14:textId="77777777" w:rsidR="00F67CEA" w:rsidRPr="00687DE8" w:rsidRDefault="00F67CEA" w:rsidP="00F67CEA">
            <w:pPr>
              <w:spacing w:after="0" w:line="240" w:lineRule="auto"/>
              <w:jc w:val="center"/>
              <w:rPr>
                <w:szCs w:val="24"/>
              </w:rPr>
            </w:pPr>
            <w:r w:rsidRPr="00687DE8">
              <w:rPr>
                <w:szCs w:val="24"/>
              </w:rPr>
              <w:t>3218</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65B30A" w14:textId="0CE3A810" w:rsidR="00F67CEA" w:rsidRPr="00687DE8" w:rsidRDefault="00254E6E" w:rsidP="00F67CEA">
            <w:pPr>
              <w:spacing w:after="0"/>
              <w:jc w:val="center"/>
              <w:rPr>
                <w:color w:val="000000" w:themeColor="text1"/>
                <w:szCs w:val="24"/>
              </w:rPr>
            </w:pPr>
            <w:r>
              <w:rPr>
                <w:color w:val="000000"/>
              </w:rPr>
              <w:t>17,56</w:t>
            </w:r>
          </w:p>
        </w:tc>
      </w:tr>
      <w:tr w:rsidR="00F67CEA" w:rsidRPr="00687DE8" w14:paraId="0543619A"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A31A65" w14:textId="77777777" w:rsidR="00F67CEA" w:rsidRPr="00687DE8" w:rsidRDefault="00F67CEA" w:rsidP="00F67CEA">
            <w:pPr>
              <w:spacing w:after="0" w:line="240" w:lineRule="auto"/>
              <w:rPr>
                <w:szCs w:val="24"/>
              </w:rPr>
            </w:pPr>
            <w:r w:rsidRPr="00687DE8">
              <w:rPr>
                <w:szCs w:val="24"/>
              </w:rPr>
              <w:t>Ämmaemanda videovastuvõtt esmatasandi tervisekeskuses (30 min)</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389652" w14:textId="77777777" w:rsidR="00F67CEA" w:rsidRPr="00687DE8" w:rsidRDefault="00F67CEA" w:rsidP="00F67CEA">
            <w:pPr>
              <w:spacing w:after="0" w:line="240" w:lineRule="auto"/>
              <w:jc w:val="center"/>
              <w:rPr>
                <w:szCs w:val="24"/>
              </w:rPr>
            </w:pPr>
            <w:r w:rsidRPr="00687DE8">
              <w:rPr>
                <w:szCs w:val="24"/>
              </w:rPr>
              <w:t>3230</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8892A23" w14:textId="14B331ED" w:rsidR="00F67CEA" w:rsidRPr="00687DE8" w:rsidRDefault="00254E6E" w:rsidP="00F67CEA">
            <w:pPr>
              <w:spacing w:after="0"/>
              <w:jc w:val="center"/>
              <w:rPr>
                <w:color w:val="000000" w:themeColor="text1"/>
                <w:szCs w:val="24"/>
              </w:rPr>
            </w:pPr>
            <w:r>
              <w:rPr>
                <w:color w:val="000000"/>
              </w:rPr>
              <w:t>17,56</w:t>
            </w:r>
          </w:p>
        </w:tc>
      </w:tr>
      <w:tr w:rsidR="00F67CEA" w:rsidRPr="00687DE8" w14:paraId="2C30E4BB"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03FFEE" w14:textId="77777777" w:rsidR="00F67CEA" w:rsidRPr="00687DE8" w:rsidRDefault="00F67CEA" w:rsidP="00F67CEA">
            <w:pPr>
              <w:spacing w:after="0" w:line="240" w:lineRule="auto"/>
              <w:rPr>
                <w:szCs w:val="24"/>
              </w:rPr>
            </w:pPr>
            <w:r w:rsidRPr="00687DE8">
              <w:rPr>
                <w:szCs w:val="24"/>
              </w:rPr>
              <w:t>Pahaloomulise kasvaja esmase raviplaani koostamine või muutmine paikmepõhise multidistsiplinaarse eksperdikomisjoni poolt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0CA576" w14:textId="77777777" w:rsidR="00F67CEA" w:rsidRDefault="00F67CEA" w:rsidP="00F67CEA">
            <w:pPr>
              <w:spacing w:after="0" w:line="240" w:lineRule="auto"/>
              <w:jc w:val="center"/>
              <w:rPr>
                <w:szCs w:val="24"/>
              </w:rPr>
            </w:pPr>
          </w:p>
          <w:p w14:paraId="4D52F03B" w14:textId="51E06EEF" w:rsidR="00F67CEA" w:rsidRPr="00687DE8" w:rsidRDefault="00F67CEA" w:rsidP="00F67CEA">
            <w:pPr>
              <w:spacing w:after="0" w:line="240" w:lineRule="auto"/>
              <w:jc w:val="center"/>
              <w:rPr>
                <w:szCs w:val="24"/>
              </w:rPr>
            </w:pPr>
            <w:r w:rsidRPr="00687DE8">
              <w:rPr>
                <w:szCs w:val="24"/>
              </w:rPr>
              <w:t>3042</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01BF574" w14:textId="398F08D8" w:rsidR="00F67CEA" w:rsidRPr="00687DE8" w:rsidRDefault="00254E6E" w:rsidP="00F67CEA">
            <w:pPr>
              <w:spacing w:after="0"/>
              <w:jc w:val="center"/>
              <w:rPr>
                <w:color w:val="000000" w:themeColor="text1"/>
                <w:szCs w:val="24"/>
              </w:rPr>
            </w:pPr>
            <w:r>
              <w:rPr>
                <w:color w:val="000000"/>
              </w:rPr>
              <w:t>70,46</w:t>
            </w:r>
          </w:p>
        </w:tc>
      </w:tr>
      <w:tr w:rsidR="00F67CEA" w:rsidRPr="00687DE8" w14:paraId="1E5BBF15"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C3AE9A" w14:textId="77777777" w:rsidR="00F67CEA" w:rsidRPr="00687DE8" w:rsidRDefault="00F67CEA" w:rsidP="00F67CEA">
            <w:pPr>
              <w:spacing w:after="0" w:line="240" w:lineRule="auto"/>
              <w:rPr>
                <w:szCs w:val="24"/>
              </w:rPr>
            </w:pPr>
            <w:r w:rsidRPr="00687DE8">
              <w:rPr>
                <w:szCs w:val="24"/>
              </w:rPr>
              <w:t>Hematoloogilise kasvaja esmase raviplaani koostamine või muutmine eksperdikomisjoni poolt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EE4C29" w14:textId="77777777" w:rsidR="00F67CEA" w:rsidRDefault="00F67CEA" w:rsidP="00F67CEA">
            <w:pPr>
              <w:spacing w:after="0" w:line="240" w:lineRule="auto"/>
              <w:jc w:val="center"/>
              <w:rPr>
                <w:szCs w:val="24"/>
              </w:rPr>
            </w:pPr>
          </w:p>
          <w:p w14:paraId="6E67CF2C" w14:textId="1EB64128" w:rsidR="00F67CEA" w:rsidRPr="00687DE8" w:rsidRDefault="00F67CEA" w:rsidP="00F67CEA">
            <w:pPr>
              <w:spacing w:after="0" w:line="240" w:lineRule="auto"/>
              <w:jc w:val="center"/>
              <w:rPr>
                <w:szCs w:val="24"/>
              </w:rPr>
            </w:pPr>
            <w:r w:rsidRPr="00687DE8">
              <w:rPr>
                <w:szCs w:val="24"/>
              </w:rPr>
              <w:t>3043</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1E644A9" w14:textId="3F5325B4" w:rsidR="00F67CEA" w:rsidRPr="00687DE8" w:rsidRDefault="00254E6E" w:rsidP="00F67CEA">
            <w:pPr>
              <w:spacing w:after="0"/>
              <w:jc w:val="center"/>
              <w:rPr>
                <w:color w:val="000000" w:themeColor="text1"/>
                <w:szCs w:val="24"/>
              </w:rPr>
            </w:pPr>
            <w:r>
              <w:rPr>
                <w:color w:val="000000"/>
              </w:rPr>
              <w:t>56,29</w:t>
            </w:r>
          </w:p>
        </w:tc>
      </w:tr>
      <w:tr w:rsidR="00F67CEA" w:rsidRPr="00687DE8" w14:paraId="6A1045DD"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D33E7E" w14:textId="77777777" w:rsidR="00F67CEA" w:rsidRPr="00687DE8" w:rsidRDefault="00F67CEA" w:rsidP="00F67CEA">
            <w:pPr>
              <w:spacing w:after="0" w:line="240" w:lineRule="auto"/>
              <w:rPr>
                <w:szCs w:val="24"/>
              </w:rPr>
            </w:pPr>
            <w:r w:rsidRPr="00687DE8">
              <w:rPr>
                <w:szCs w:val="24"/>
              </w:rPr>
              <w:t>Psühhiaatri vastuvõtt (alla 19-aastasele isikule)</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1127C3" w14:textId="77777777" w:rsidR="00F67CEA" w:rsidRPr="00687DE8" w:rsidRDefault="00F67CEA" w:rsidP="00F67CEA">
            <w:pPr>
              <w:spacing w:after="0" w:line="240" w:lineRule="auto"/>
              <w:jc w:val="center"/>
              <w:rPr>
                <w:szCs w:val="24"/>
              </w:rPr>
            </w:pPr>
            <w:r w:rsidRPr="00687DE8">
              <w:rPr>
                <w:szCs w:val="24"/>
              </w:rPr>
              <w:t>3100</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92B916" w14:textId="73DA3F0F" w:rsidR="00F67CEA" w:rsidRPr="00687DE8" w:rsidRDefault="00254E6E" w:rsidP="00F67CEA">
            <w:pPr>
              <w:spacing w:after="0"/>
              <w:jc w:val="center"/>
              <w:rPr>
                <w:color w:val="000000" w:themeColor="text1"/>
                <w:szCs w:val="24"/>
              </w:rPr>
            </w:pPr>
            <w:r>
              <w:rPr>
                <w:color w:val="000000"/>
              </w:rPr>
              <w:t>100,15</w:t>
            </w:r>
          </w:p>
        </w:tc>
      </w:tr>
      <w:tr w:rsidR="00F67CEA" w:rsidRPr="00687DE8" w14:paraId="75DD07B8"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5515B8" w14:textId="77777777" w:rsidR="00F67CEA" w:rsidRPr="00687DE8" w:rsidRDefault="00F67CEA" w:rsidP="00F67CEA">
            <w:pPr>
              <w:spacing w:after="0" w:line="240" w:lineRule="auto"/>
              <w:rPr>
                <w:szCs w:val="24"/>
              </w:rPr>
            </w:pPr>
            <w:r w:rsidRPr="00687DE8">
              <w:rPr>
                <w:szCs w:val="24"/>
              </w:rPr>
              <w:t>Psühhiaatri kaugvastuvõtt (alla 19-aastasele isikule)</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2EE393" w14:textId="77777777" w:rsidR="00F67CEA" w:rsidRPr="00687DE8" w:rsidRDefault="00F67CEA" w:rsidP="00F67CEA">
            <w:pPr>
              <w:spacing w:after="0" w:line="240" w:lineRule="auto"/>
              <w:jc w:val="center"/>
              <w:rPr>
                <w:szCs w:val="24"/>
              </w:rPr>
            </w:pPr>
            <w:r w:rsidRPr="00687DE8">
              <w:rPr>
                <w:szCs w:val="24"/>
              </w:rPr>
              <w:t>3205</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987C3ED" w14:textId="16B20608" w:rsidR="00F67CEA" w:rsidRPr="00687DE8" w:rsidRDefault="00254E6E" w:rsidP="00F67CEA">
            <w:pPr>
              <w:spacing w:after="0"/>
              <w:jc w:val="center"/>
              <w:rPr>
                <w:color w:val="000000" w:themeColor="text1"/>
                <w:szCs w:val="24"/>
              </w:rPr>
            </w:pPr>
            <w:r>
              <w:rPr>
                <w:color w:val="000000"/>
              </w:rPr>
              <w:t>100,15</w:t>
            </w:r>
          </w:p>
        </w:tc>
      </w:tr>
      <w:tr w:rsidR="00F67CEA" w:rsidRPr="00687DE8" w14:paraId="18738B77"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7E2610" w14:textId="77777777" w:rsidR="00F67CEA" w:rsidRPr="00687DE8" w:rsidRDefault="00F67CEA" w:rsidP="00F67CEA">
            <w:pPr>
              <w:spacing w:after="0" w:line="240" w:lineRule="auto"/>
              <w:rPr>
                <w:szCs w:val="24"/>
              </w:rPr>
            </w:pPr>
            <w:r w:rsidRPr="00687DE8">
              <w:rPr>
                <w:szCs w:val="24"/>
              </w:rPr>
              <w:t>Psühhiaatri videovastuvõtt (alla 19-aastasele isikule)</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871657" w14:textId="77777777" w:rsidR="00F67CEA" w:rsidRPr="00687DE8" w:rsidRDefault="00F67CEA" w:rsidP="00F67CEA">
            <w:pPr>
              <w:spacing w:after="0" w:line="240" w:lineRule="auto"/>
              <w:jc w:val="center"/>
              <w:rPr>
                <w:szCs w:val="24"/>
              </w:rPr>
            </w:pPr>
            <w:r w:rsidRPr="00687DE8">
              <w:rPr>
                <w:szCs w:val="24"/>
              </w:rPr>
              <w:t>3226</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928604A" w14:textId="469E23D1" w:rsidR="00F67CEA" w:rsidRPr="00687DE8" w:rsidRDefault="00254E6E" w:rsidP="00F67CEA">
            <w:pPr>
              <w:spacing w:after="0"/>
              <w:jc w:val="center"/>
              <w:rPr>
                <w:color w:val="000000" w:themeColor="text1"/>
                <w:szCs w:val="24"/>
              </w:rPr>
            </w:pPr>
            <w:r>
              <w:rPr>
                <w:color w:val="000000"/>
              </w:rPr>
              <w:t>100,15</w:t>
            </w:r>
          </w:p>
        </w:tc>
      </w:tr>
      <w:tr w:rsidR="00F67CEA" w:rsidRPr="00687DE8" w14:paraId="7DA1B5FF"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BA0F20" w14:textId="77777777" w:rsidR="00F67CEA" w:rsidRPr="00687DE8" w:rsidRDefault="00F67CEA" w:rsidP="00F67CEA">
            <w:pPr>
              <w:spacing w:after="0" w:line="240" w:lineRule="auto"/>
              <w:rPr>
                <w:szCs w:val="24"/>
              </w:rPr>
            </w:pPr>
            <w:r w:rsidRPr="00687DE8">
              <w:rPr>
                <w:szCs w:val="24"/>
              </w:rPr>
              <w:t>Elundisiirdamise ootelehele võtmise otsustamine või otsuse ülevaatamine multidistsiplinaarse eksperdikomisjoni poolt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19AA46" w14:textId="77777777" w:rsidR="00F67CEA" w:rsidRDefault="00F67CEA" w:rsidP="00F67CEA">
            <w:pPr>
              <w:spacing w:after="0" w:line="240" w:lineRule="auto"/>
              <w:jc w:val="center"/>
              <w:rPr>
                <w:szCs w:val="24"/>
              </w:rPr>
            </w:pPr>
          </w:p>
          <w:p w14:paraId="28DB2E2A" w14:textId="1000D5E0" w:rsidR="00F67CEA" w:rsidRPr="00687DE8" w:rsidRDefault="00F67CEA" w:rsidP="00F67CEA">
            <w:pPr>
              <w:spacing w:after="0" w:line="240" w:lineRule="auto"/>
              <w:jc w:val="center"/>
              <w:rPr>
                <w:szCs w:val="24"/>
              </w:rPr>
            </w:pPr>
            <w:r w:rsidRPr="00687DE8">
              <w:rPr>
                <w:szCs w:val="24"/>
              </w:rPr>
              <w:t>3101</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CFC3FD8" w14:textId="3BD0EAA2" w:rsidR="00F67CEA" w:rsidRPr="00687DE8" w:rsidRDefault="00254E6E" w:rsidP="00F67CEA">
            <w:pPr>
              <w:spacing w:after="0" w:line="240" w:lineRule="auto"/>
              <w:jc w:val="center"/>
              <w:rPr>
                <w:color w:val="000000" w:themeColor="text1"/>
                <w:szCs w:val="24"/>
              </w:rPr>
            </w:pPr>
            <w:r>
              <w:rPr>
                <w:color w:val="000000"/>
              </w:rPr>
              <w:t>282,81</w:t>
            </w:r>
          </w:p>
        </w:tc>
      </w:tr>
      <w:tr w:rsidR="00F67CEA" w:rsidRPr="00687DE8" w14:paraId="56433D89"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CFE375" w14:textId="77777777" w:rsidR="00F67CEA" w:rsidRPr="00687DE8" w:rsidRDefault="00F67CEA" w:rsidP="00F67CEA">
            <w:pPr>
              <w:spacing w:after="0" w:line="240" w:lineRule="auto"/>
              <w:rPr>
                <w:szCs w:val="24"/>
              </w:rPr>
            </w:pPr>
            <w:r w:rsidRPr="00687DE8">
              <w:rPr>
                <w:szCs w:val="24"/>
              </w:rPr>
              <w:t>Psühhiaatrilise ravimeeskonna koduvisiit (alla 19-aastasele isikule)</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55E808" w14:textId="77777777" w:rsidR="00F67CEA" w:rsidRPr="00687DE8" w:rsidRDefault="00F67CEA" w:rsidP="00F67CEA">
            <w:pPr>
              <w:spacing w:after="0" w:line="240" w:lineRule="auto"/>
              <w:jc w:val="center"/>
              <w:rPr>
                <w:szCs w:val="24"/>
              </w:rPr>
            </w:pPr>
            <w:r w:rsidRPr="00687DE8">
              <w:rPr>
                <w:szCs w:val="24"/>
              </w:rPr>
              <w:t>3103</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769EB0" w14:textId="58C61D4B" w:rsidR="00F67CEA" w:rsidRPr="00687DE8" w:rsidRDefault="00254E6E" w:rsidP="00F67CEA">
            <w:pPr>
              <w:spacing w:after="0" w:line="240" w:lineRule="auto"/>
              <w:jc w:val="center"/>
              <w:rPr>
                <w:color w:val="000000" w:themeColor="text1"/>
                <w:szCs w:val="24"/>
              </w:rPr>
            </w:pPr>
            <w:r>
              <w:rPr>
                <w:color w:val="000000"/>
              </w:rPr>
              <w:t>294,42</w:t>
            </w:r>
          </w:p>
        </w:tc>
      </w:tr>
      <w:tr w:rsidR="00F67CEA" w:rsidRPr="00687DE8" w14:paraId="5BB43050" w14:textId="77777777" w:rsidTr="13957D57">
        <w:trPr>
          <w:divId w:val="1316184749"/>
          <w:trHeight w:val="29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9CA222" w14:textId="77777777" w:rsidR="00F67CEA" w:rsidRPr="00687DE8" w:rsidRDefault="00F67CEA" w:rsidP="00F67CEA">
            <w:pPr>
              <w:spacing w:after="0" w:line="240" w:lineRule="auto"/>
              <w:rPr>
                <w:szCs w:val="24"/>
              </w:rPr>
            </w:pPr>
            <w:r w:rsidRPr="00687DE8">
              <w:rPr>
                <w:szCs w:val="24"/>
              </w:rPr>
              <w:t>Ambulatoorse patsiendi esmase raviplaani koostamine või muutmine multidistsiplinaarse eksperdikomisjoni poolt (meeskonnas vähemalt üks eriarst)</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510E73" w14:textId="77777777" w:rsidR="00F67CEA" w:rsidRDefault="00F67CEA" w:rsidP="00F67CEA">
            <w:pPr>
              <w:spacing w:after="0" w:line="240" w:lineRule="auto"/>
              <w:jc w:val="center"/>
              <w:rPr>
                <w:szCs w:val="24"/>
              </w:rPr>
            </w:pPr>
          </w:p>
          <w:p w14:paraId="581FA3A5" w14:textId="77777777" w:rsidR="00F67CEA" w:rsidRDefault="00F67CEA" w:rsidP="00F67CEA">
            <w:pPr>
              <w:spacing w:after="0" w:line="240" w:lineRule="auto"/>
              <w:jc w:val="center"/>
              <w:rPr>
                <w:szCs w:val="24"/>
              </w:rPr>
            </w:pPr>
          </w:p>
          <w:p w14:paraId="5004EBBC" w14:textId="3DA4034E" w:rsidR="00F67CEA" w:rsidRPr="00687DE8" w:rsidRDefault="00F67CEA" w:rsidP="00F67CEA">
            <w:pPr>
              <w:spacing w:after="0" w:line="240" w:lineRule="auto"/>
              <w:jc w:val="center"/>
              <w:rPr>
                <w:szCs w:val="24"/>
              </w:rPr>
            </w:pPr>
            <w:r w:rsidRPr="00687DE8">
              <w:rPr>
                <w:szCs w:val="24"/>
              </w:rPr>
              <w:t>3113</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F97F511" w14:textId="435EBB49" w:rsidR="00F67CEA" w:rsidRPr="00687DE8" w:rsidRDefault="00254E6E" w:rsidP="00F67CEA">
            <w:pPr>
              <w:spacing w:after="0" w:line="240" w:lineRule="auto"/>
              <w:jc w:val="center"/>
              <w:rPr>
                <w:color w:val="000000" w:themeColor="text1"/>
                <w:szCs w:val="24"/>
              </w:rPr>
            </w:pPr>
            <w:r>
              <w:rPr>
                <w:color w:val="000000"/>
              </w:rPr>
              <w:t>68,37</w:t>
            </w:r>
          </w:p>
        </w:tc>
      </w:tr>
      <w:tr w:rsidR="00F67CEA" w:rsidRPr="00687DE8" w14:paraId="6CC7CA21" w14:textId="77777777" w:rsidTr="13957D57">
        <w:trPr>
          <w:divId w:val="1316184749"/>
          <w:trHeight w:val="678"/>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AE65EC" w14:textId="77777777" w:rsidR="00F67CEA" w:rsidRPr="00687DE8" w:rsidRDefault="00F67CEA" w:rsidP="00F67CEA">
            <w:pPr>
              <w:spacing w:after="0" w:line="240" w:lineRule="auto"/>
              <w:rPr>
                <w:szCs w:val="24"/>
              </w:rPr>
            </w:pPr>
            <w:r w:rsidRPr="00687DE8">
              <w:rPr>
                <w:szCs w:val="24"/>
              </w:rPr>
              <w:t>Ambulatoorse patsiendi esmase raviplaani koostamine või muutmine multidistsiplinaarse eksperdikomisjoni poolt (meeskonnas vähemalt kolm eriarsti)</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A28C76" w14:textId="77777777" w:rsidR="00F67CEA" w:rsidRDefault="00F67CEA" w:rsidP="00F67CEA">
            <w:pPr>
              <w:spacing w:after="0" w:line="240" w:lineRule="auto"/>
              <w:jc w:val="center"/>
              <w:rPr>
                <w:szCs w:val="24"/>
              </w:rPr>
            </w:pPr>
          </w:p>
          <w:p w14:paraId="6FEC1ABC" w14:textId="77777777" w:rsidR="00F67CEA" w:rsidRDefault="00F67CEA" w:rsidP="00F67CEA">
            <w:pPr>
              <w:spacing w:after="0" w:line="240" w:lineRule="auto"/>
              <w:jc w:val="center"/>
              <w:rPr>
                <w:szCs w:val="24"/>
              </w:rPr>
            </w:pPr>
          </w:p>
          <w:p w14:paraId="7F88E80C" w14:textId="7BC5D793" w:rsidR="00F67CEA" w:rsidRPr="00687DE8" w:rsidRDefault="00F67CEA" w:rsidP="00F67CEA">
            <w:pPr>
              <w:spacing w:after="0" w:line="240" w:lineRule="auto"/>
              <w:jc w:val="center"/>
              <w:rPr>
                <w:szCs w:val="24"/>
              </w:rPr>
            </w:pPr>
            <w:r w:rsidRPr="00687DE8">
              <w:rPr>
                <w:szCs w:val="24"/>
              </w:rPr>
              <w:t>3114</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7834BB4" w14:textId="2443AEB9" w:rsidR="00F67CEA" w:rsidRPr="00687DE8" w:rsidRDefault="00254E6E" w:rsidP="00F67CEA">
            <w:pPr>
              <w:spacing w:after="0" w:line="240" w:lineRule="auto"/>
              <w:jc w:val="center"/>
              <w:rPr>
                <w:color w:val="000000" w:themeColor="text1"/>
                <w:szCs w:val="24"/>
              </w:rPr>
            </w:pPr>
            <w:r>
              <w:rPr>
                <w:color w:val="000000"/>
              </w:rPr>
              <w:t>102,17</w:t>
            </w:r>
          </w:p>
        </w:tc>
      </w:tr>
      <w:tr w:rsidR="00844EFB" w:rsidRPr="00687DE8" w14:paraId="5B2498AB" w14:textId="77777777" w:rsidTr="13957D57">
        <w:trPr>
          <w:divId w:val="1316184749"/>
          <w:trHeight w:val="569"/>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A24CEC" w14:textId="77777777" w:rsidR="00844EFB" w:rsidRPr="00687DE8" w:rsidRDefault="00844EFB" w:rsidP="00844EFB">
            <w:pPr>
              <w:spacing w:after="0" w:line="240" w:lineRule="auto"/>
              <w:rPr>
                <w:szCs w:val="24"/>
              </w:rPr>
            </w:pPr>
            <w:r w:rsidRPr="00687DE8">
              <w:rPr>
                <w:szCs w:val="24"/>
              </w:rPr>
              <w:t>Kohtu määratud psühhiaatriline ambulatoorne sundravi ühes kuus ühe patsiendi kohta</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D617B2" w14:textId="77777777" w:rsidR="00844EFB" w:rsidRDefault="00844EFB" w:rsidP="00844EFB">
            <w:pPr>
              <w:spacing w:after="0" w:line="240" w:lineRule="auto"/>
              <w:jc w:val="center"/>
              <w:rPr>
                <w:szCs w:val="24"/>
              </w:rPr>
            </w:pPr>
          </w:p>
          <w:p w14:paraId="386DDA2B" w14:textId="7FA06F2D" w:rsidR="00844EFB" w:rsidRPr="00687DE8" w:rsidRDefault="00844EFB" w:rsidP="00844EFB">
            <w:pPr>
              <w:spacing w:after="0" w:line="240" w:lineRule="auto"/>
              <w:jc w:val="center"/>
              <w:rPr>
                <w:szCs w:val="24"/>
              </w:rPr>
            </w:pPr>
            <w:r w:rsidRPr="00687DE8">
              <w:rPr>
                <w:szCs w:val="24"/>
              </w:rPr>
              <w:t>3121</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899516E" w14:textId="5392A275" w:rsidR="00844EFB" w:rsidRPr="00687DE8" w:rsidRDefault="00254E6E" w:rsidP="00844EFB">
            <w:pPr>
              <w:spacing w:after="0" w:line="240" w:lineRule="auto"/>
              <w:jc w:val="center"/>
              <w:rPr>
                <w:color w:val="000000" w:themeColor="text1"/>
                <w:szCs w:val="24"/>
              </w:rPr>
            </w:pPr>
            <w:r>
              <w:rPr>
                <w:color w:val="000000"/>
              </w:rPr>
              <w:t>880,02</w:t>
            </w:r>
          </w:p>
        </w:tc>
      </w:tr>
      <w:tr w:rsidR="00844EFB" w:rsidRPr="00687DE8" w14:paraId="44D3D5E9" w14:textId="77777777" w:rsidTr="13957D57">
        <w:trPr>
          <w:divId w:val="1316184749"/>
          <w:trHeight w:val="575"/>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6CA01F" w14:textId="79062357" w:rsidR="00844EFB" w:rsidRPr="00687DE8" w:rsidRDefault="00844EFB" w:rsidP="00844EFB">
            <w:pPr>
              <w:spacing w:after="0" w:line="240" w:lineRule="auto"/>
              <w:rPr>
                <w:szCs w:val="24"/>
              </w:rPr>
            </w:pPr>
            <w:r w:rsidRPr="00687DE8">
              <w:rPr>
                <w:szCs w:val="24"/>
              </w:rPr>
              <w:t>Tuberkuloosi otseselt kontrollitav ambulatoorne ravi ühes kalendrikuus ühe patsiendi kohta</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71E659" w14:textId="77777777" w:rsidR="00844EFB" w:rsidRDefault="00844EFB" w:rsidP="00844EFB">
            <w:pPr>
              <w:spacing w:after="0" w:line="240" w:lineRule="auto"/>
              <w:jc w:val="center"/>
              <w:rPr>
                <w:szCs w:val="24"/>
              </w:rPr>
            </w:pPr>
          </w:p>
          <w:p w14:paraId="33ED4628" w14:textId="7C9EAF68" w:rsidR="00844EFB" w:rsidRPr="00687DE8" w:rsidRDefault="00844EFB" w:rsidP="00844EFB">
            <w:pPr>
              <w:spacing w:after="0" w:line="240" w:lineRule="auto"/>
              <w:jc w:val="center"/>
              <w:rPr>
                <w:szCs w:val="24"/>
              </w:rPr>
            </w:pPr>
            <w:r w:rsidRPr="00687DE8">
              <w:rPr>
                <w:szCs w:val="24"/>
              </w:rPr>
              <w:t>3128</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BE2B75E" w14:textId="3B6F45A2" w:rsidR="00844EFB" w:rsidRPr="00687DE8" w:rsidRDefault="00254E6E" w:rsidP="00844EFB">
            <w:pPr>
              <w:spacing w:after="0" w:line="240" w:lineRule="auto"/>
              <w:jc w:val="center"/>
              <w:rPr>
                <w:color w:val="000000" w:themeColor="text1"/>
                <w:szCs w:val="24"/>
              </w:rPr>
            </w:pPr>
            <w:r>
              <w:rPr>
                <w:color w:val="000000"/>
              </w:rPr>
              <w:t>276,19</w:t>
            </w:r>
          </w:p>
        </w:tc>
      </w:tr>
      <w:tr w:rsidR="00844EFB" w:rsidRPr="00687DE8" w14:paraId="1EA08CE4" w14:textId="77777777" w:rsidTr="13957D57">
        <w:trPr>
          <w:divId w:val="1316184749"/>
          <w:trHeight w:val="527"/>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B989C1" w14:textId="4720B14C" w:rsidR="00844EFB" w:rsidRPr="00687DE8" w:rsidRDefault="00844EFB" w:rsidP="00844EFB">
            <w:pPr>
              <w:spacing w:after="0" w:line="240" w:lineRule="auto"/>
              <w:rPr>
                <w:szCs w:val="24"/>
              </w:rPr>
            </w:pPr>
            <w:r w:rsidRPr="00687DE8">
              <w:rPr>
                <w:szCs w:val="24"/>
              </w:rPr>
              <w:lastRenderedPageBreak/>
              <w:t>Insuldi raviteekonna koordineerimine (1 kuu)</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E669C3" w14:textId="23A4706B" w:rsidR="00844EFB" w:rsidRPr="00687DE8" w:rsidRDefault="00844EFB" w:rsidP="00844EFB">
            <w:pPr>
              <w:spacing w:after="0" w:line="240" w:lineRule="auto"/>
              <w:jc w:val="center"/>
              <w:rPr>
                <w:szCs w:val="24"/>
              </w:rPr>
            </w:pPr>
            <w:r w:rsidRPr="00687DE8">
              <w:rPr>
                <w:szCs w:val="24"/>
              </w:rPr>
              <w:t>3130</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1741D9B" w14:textId="36CF3D9B" w:rsidR="00844EFB" w:rsidRPr="00687DE8" w:rsidRDefault="00254E6E" w:rsidP="00844EFB">
            <w:pPr>
              <w:spacing w:after="0" w:line="240" w:lineRule="auto"/>
              <w:jc w:val="center"/>
              <w:rPr>
                <w:szCs w:val="24"/>
              </w:rPr>
            </w:pPr>
            <w:r>
              <w:rPr>
                <w:color w:val="000000"/>
              </w:rPr>
              <w:t>4 285,30</w:t>
            </w:r>
          </w:p>
        </w:tc>
      </w:tr>
      <w:tr w:rsidR="7A2FE8DD" w14:paraId="3F318B34" w14:textId="77777777" w:rsidTr="13957D57">
        <w:trPr>
          <w:divId w:val="1316184749"/>
          <w:trHeight w:val="527"/>
        </w:trPr>
        <w:tc>
          <w:tcPr>
            <w:tcW w:w="7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6999AD" w14:textId="277B2391" w:rsidR="7A2FE8DD" w:rsidRDefault="4909A013" w:rsidP="64CF9F09">
            <w:pPr>
              <w:rPr>
                <w:color w:val="000000" w:themeColor="text1"/>
              </w:rPr>
            </w:pPr>
            <w:r w:rsidRPr="13957D57">
              <w:rPr>
                <w:color w:val="000000" w:themeColor="text1"/>
              </w:rPr>
              <w:t xml:space="preserve">Hinnangu andmine eksperdikomisjoni poolt ultraharvikhaiguse ravimi hüvitamiseks </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D15DCD" w14:textId="460D9133" w:rsidR="1AB58D67" w:rsidRDefault="1AB58D67" w:rsidP="1AB58D67">
            <w:pPr>
              <w:spacing w:after="0" w:line="240" w:lineRule="auto"/>
              <w:jc w:val="center"/>
            </w:pPr>
          </w:p>
          <w:p w14:paraId="0150300B" w14:textId="125FCF3B" w:rsidR="7A2FE8DD" w:rsidRDefault="33C51D11" w:rsidP="00EB7A71">
            <w:pPr>
              <w:spacing w:after="0" w:line="240" w:lineRule="auto"/>
              <w:jc w:val="center"/>
            </w:pPr>
            <w:r>
              <w:t>3134</w:t>
            </w:r>
          </w:p>
        </w:tc>
        <w:tc>
          <w:tcPr>
            <w:tcW w:w="10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6C1E877" w14:textId="7897365E" w:rsidR="7A2FE8DD" w:rsidRDefault="00711ED4" w:rsidP="00FE2EFE">
            <w:pPr>
              <w:jc w:val="center"/>
              <w:rPr>
                <w:szCs w:val="24"/>
              </w:rPr>
            </w:pPr>
            <w:r>
              <w:rPr>
                <w:color w:val="000000" w:themeColor="text1"/>
                <w:szCs w:val="24"/>
              </w:rPr>
              <w:t>398,37</w:t>
            </w:r>
          </w:p>
        </w:tc>
      </w:tr>
    </w:tbl>
    <w:p w14:paraId="2601C751" w14:textId="77777777" w:rsidR="00976487" w:rsidRPr="00687DE8" w:rsidRDefault="00976487" w:rsidP="00A43B26">
      <w:pPr>
        <w:spacing w:after="0" w:line="240" w:lineRule="auto"/>
        <w:divId w:val="1316184749"/>
        <w:rPr>
          <w:szCs w:val="24"/>
        </w:rPr>
      </w:pPr>
    </w:p>
    <w:p w14:paraId="2D48372F" w14:textId="77777777" w:rsidR="00000475" w:rsidRPr="00687DE8" w:rsidRDefault="00976487" w:rsidP="0033350A">
      <w:pPr>
        <w:spacing w:after="0" w:line="240" w:lineRule="auto"/>
        <w:jc w:val="both"/>
        <w:divId w:val="1316184749"/>
        <w:rPr>
          <w:szCs w:val="24"/>
          <w:lang w:eastAsia="et-EE"/>
        </w:rPr>
      </w:pPr>
      <w:r w:rsidRPr="00687DE8">
        <w:rPr>
          <w:szCs w:val="24"/>
        </w:rPr>
        <w:t xml:space="preserve">(2) Koodidega </w:t>
      </w:r>
      <w:r w:rsidR="00000475" w:rsidRPr="00687DE8">
        <w:rPr>
          <w:szCs w:val="24"/>
        </w:rPr>
        <w:t>3002, 3004, 3031, 3032, 3033, 3100, 3201, 3202, 3203, 3204</w:t>
      </w:r>
      <w:r w:rsidR="008952C9" w:rsidRPr="00687DE8">
        <w:rPr>
          <w:szCs w:val="24"/>
        </w:rPr>
        <w:t>,</w:t>
      </w:r>
      <w:r w:rsidR="00000475" w:rsidRPr="00687DE8">
        <w:rPr>
          <w:szCs w:val="24"/>
        </w:rPr>
        <w:t xml:space="preserve"> 3205</w:t>
      </w:r>
      <w:r w:rsidR="00F911F6" w:rsidRPr="00687DE8">
        <w:rPr>
          <w:szCs w:val="24"/>
        </w:rPr>
        <w:t xml:space="preserve">, </w:t>
      </w:r>
      <w:r w:rsidR="007370DC" w:rsidRPr="00687DE8">
        <w:rPr>
          <w:szCs w:val="24"/>
        </w:rPr>
        <w:t xml:space="preserve">3222, </w:t>
      </w:r>
      <w:r w:rsidR="008952C9" w:rsidRPr="00687DE8">
        <w:rPr>
          <w:szCs w:val="24"/>
        </w:rPr>
        <w:t>3223, 3224, 3225 ja 3226</w:t>
      </w:r>
      <w:r w:rsidR="00000475" w:rsidRPr="00687DE8">
        <w:rPr>
          <w:szCs w:val="24"/>
        </w:rPr>
        <w:t xml:space="preserve"> tähistatud tervishoiuteenuste piirhinnad sisaldavad järgmisi tegevusi:</w:t>
      </w:r>
      <w:r w:rsidR="00000475" w:rsidRPr="00687DE8">
        <w:rPr>
          <w:szCs w:val="24"/>
          <w:lang w:eastAsia="et-EE"/>
        </w:rPr>
        <w:t xml:space="preserve"> </w:t>
      </w:r>
    </w:p>
    <w:p w14:paraId="4679C7DC" w14:textId="77777777" w:rsidR="00976487" w:rsidRPr="00687DE8" w:rsidRDefault="00976487" w:rsidP="00976487">
      <w:pPr>
        <w:pStyle w:val="Vahedeta"/>
        <w:jc w:val="both"/>
        <w:divId w:val="1316184749"/>
        <w:rPr>
          <w:szCs w:val="24"/>
          <w:lang w:val="et-EE"/>
        </w:rPr>
      </w:pPr>
      <w:r w:rsidRPr="00687DE8">
        <w:rPr>
          <w:szCs w:val="24"/>
          <w:lang w:val="et-EE"/>
        </w:rPr>
        <w:t>1) vestlus haigega ning anamneesi kogumine ja talletamine;</w:t>
      </w:r>
    </w:p>
    <w:p w14:paraId="48F52F31" w14:textId="77777777" w:rsidR="00976487" w:rsidRPr="00687DE8" w:rsidRDefault="00976487" w:rsidP="00976487">
      <w:pPr>
        <w:pStyle w:val="Vahedeta"/>
        <w:jc w:val="both"/>
        <w:divId w:val="1316184749"/>
        <w:rPr>
          <w:szCs w:val="24"/>
          <w:lang w:val="et-EE"/>
        </w:rPr>
      </w:pPr>
      <w:r w:rsidRPr="00687DE8">
        <w:rPr>
          <w:szCs w:val="24"/>
          <w:lang w:val="et-EE"/>
        </w:rPr>
        <w:t>2) haige läbivaatus</w:t>
      </w:r>
      <w:r w:rsidR="007C648D" w:rsidRPr="00687DE8">
        <w:rPr>
          <w:szCs w:val="24"/>
          <w:lang w:val="et-EE"/>
        </w:rPr>
        <w:t xml:space="preserve"> (</w:t>
      </w:r>
      <w:r w:rsidR="00DC4841" w:rsidRPr="00687DE8">
        <w:rPr>
          <w:szCs w:val="24"/>
          <w:lang w:val="et-EE"/>
        </w:rPr>
        <w:t>välja arvatud</w:t>
      </w:r>
      <w:r w:rsidR="007C648D" w:rsidRPr="00687DE8">
        <w:rPr>
          <w:szCs w:val="24"/>
          <w:lang w:val="et-EE"/>
        </w:rPr>
        <w:t xml:space="preserve"> koodidega 3201, 3202, 3203, 3204</w:t>
      </w:r>
      <w:r w:rsidR="00FF1212" w:rsidRPr="00687DE8">
        <w:rPr>
          <w:szCs w:val="24"/>
          <w:lang w:val="et-EE"/>
        </w:rPr>
        <w:t>,</w:t>
      </w:r>
      <w:r w:rsidR="003E6DE6" w:rsidRPr="00687DE8">
        <w:rPr>
          <w:szCs w:val="24"/>
          <w:lang w:val="et-EE"/>
        </w:rPr>
        <w:t xml:space="preserve"> </w:t>
      </w:r>
      <w:r w:rsidR="007C648D" w:rsidRPr="00687DE8">
        <w:rPr>
          <w:szCs w:val="24"/>
          <w:lang w:val="et-EE"/>
        </w:rPr>
        <w:t>3205</w:t>
      </w:r>
      <w:r w:rsidR="00FF1212" w:rsidRPr="00687DE8">
        <w:rPr>
          <w:szCs w:val="24"/>
          <w:lang w:val="et-EE"/>
        </w:rPr>
        <w:t>, 322</w:t>
      </w:r>
      <w:r w:rsidR="007370DC" w:rsidRPr="00687DE8">
        <w:rPr>
          <w:szCs w:val="24"/>
          <w:lang w:val="et-EE"/>
        </w:rPr>
        <w:t>2</w:t>
      </w:r>
      <w:r w:rsidR="00FF1212" w:rsidRPr="00687DE8">
        <w:rPr>
          <w:szCs w:val="24"/>
          <w:lang w:val="et-EE"/>
        </w:rPr>
        <w:t xml:space="preserve">, 3223, 3224, 3225 ja 3226 </w:t>
      </w:r>
      <w:r w:rsidR="007C648D" w:rsidRPr="00687DE8">
        <w:rPr>
          <w:szCs w:val="24"/>
          <w:lang w:val="et-EE"/>
        </w:rPr>
        <w:t>tähistatud kaugteenused)</w:t>
      </w:r>
      <w:r w:rsidRPr="00687DE8">
        <w:rPr>
          <w:szCs w:val="24"/>
          <w:lang w:val="et-EE"/>
        </w:rPr>
        <w:t>, diagnostika, raviplaani koostamine ja diagnoosi määramine;</w:t>
      </w:r>
    </w:p>
    <w:p w14:paraId="012056B4" w14:textId="77777777" w:rsidR="00976487" w:rsidRPr="00687DE8" w:rsidRDefault="00976487" w:rsidP="00976487">
      <w:pPr>
        <w:pStyle w:val="Vahedeta"/>
        <w:jc w:val="both"/>
        <w:divId w:val="1316184749"/>
        <w:rPr>
          <w:szCs w:val="24"/>
          <w:lang w:val="et-EE"/>
        </w:rPr>
      </w:pPr>
      <w:r w:rsidRPr="00687DE8">
        <w:rPr>
          <w:szCs w:val="24"/>
          <w:lang w:val="et-EE"/>
        </w:rPr>
        <w:t>3) ravi määramine;</w:t>
      </w:r>
    </w:p>
    <w:p w14:paraId="50AADA15" w14:textId="77777777" w:rsidR="00976487" w:rsidRPr="00687DE8" w:rsidRDefault="00976487" w:rsidP="00976487">
      <w:pPr>
        <w:pStyle w:val="Vahedeta"/>
        <w:jc w:val="both"/>
        <w:divId w:val="1316184749"/>
        <w:rPr>
          <w:szCs w:val="24"/>
          <w:lang w:val="et-EE"/>
        </w:rPr>
      </w:pPr>
      <w:r w:rsidRPr="00687DE8">
        <w:rPr>
          <w:szCs w:val="24"/>
          <w:lang w:val="et-EE"/>
        </w:rPr>
        <w:t>4) nõustamine tervise säilitamiseks ja parandamiseks;</w:t>
      </w:r>
    </w:p>
    <w:p w14:paraId="457D354A" w14:textId="77777777" w:rsidR="00976487" w:rsidRPr="00687DE8" w:rsidRDefault="00976487" w:rsidP="00976487">
      <w:pPr>
        <w:pStyle w:val="Vahedeta"/>
        <w:jc w:val="both"/>
        <w:divId w:val="1316184749"/>
        <w:rPr>
          <w:szCs w:val="24"/>
          <w:lang w:val="et-EE"/>
        </w:rPr>
      </w:pPr>
      <w:r w:rsidRPr="00687DE8">
        <w:rPr>
          <w:szCs w:val="24"/>
          <w:lang w:val="et-EE"/>
        </w:rPr>
        <w:t>5) nõustamine töö- ja elukorralduse kohta;</w:t>
      </w:r>
    </w:p>
    <w:p w14:paraId="6F723F22" w14:textId="77777777" w:rsidR="00976487" w:rsidRPr="00687DE8" w:rsidRDefault="00976487" w:rsidP="00976487">
      <w:pPr>
        <w:pStyle w:val="Vahedeta"/>
        <w:jc w:val="both"/>
        <w:divId w:val="1316184749"/>
        <w:rPr>
          <w:szCs w:val="24"/>
          <w:lang w:val="et-EE"/>
        </w:rPr>
      </w:pPr>
      <w:r w:rsidRPr="00687DE8">
        <w:rPr>
          <w:szCs w:val="24"/>
          <w:lang w:val="et-EE"/>
        </w:rPr>
        <w:t>6) ravimite soovitamine ja retsepti väljakirjutamine;</w:t>
      </w:r>
    </w:p>
    <w:p w14:paraId="0CECE0BC" w14:textId="77777777" w:rsidR="00976487" w:rsidRPr="00687DE8" w:rsidRDefault="00976487" w:rsidP="00976487">
      <w:pPr>
        <w:pStyle w:val="Vahedeta"/>
        <w:jc w:val="both"/>
        <w:divId w:val="1316184749"/>
        <w:rPr>
          <w:szCs w:val="24"/>
          <w:lang w:val="et-EE"/>
        </w:rPr>
      </w:pPr>
      <w:r w:rsidRPr="00687DE8">
        <w:rPr>
          <w:szCs w:val="24"/>
          <w:lang w:val="et-EE"/>
        </w:rPr>
        <w:t>7) teenuste osutamist tõendavate dokumentide vormistamine ning patsiendile tervishoiuteenuse osutamisega seotud andmete töötlemine tervise infosüsteemis;</w:t>
      </w:r>
    </w:p>
    <w:p w14:paraId="767636A1" w14:textId="7F46099B" w:rsidR="00976487" w:rsidRPr="00687DE8" w:rsidRDefault="00976487" w:rsidP="00574F9C">
      <w:pPr>
        <w:pStyle w:val="Vahedeta"/>
        <w:jc w:val="both"/>
        <w:divId w:val="1316184749"/>
        <w:rPr>
          <w:szCs w:val="24"/>
          <w:lang w:val="et-EE"/>
        </w:rPr>
      </w:pPr>
      <w:r w:rsidRPr="00687DE8">
        <w:rPr>
          <w:szCs w:val="24"/>
          <w:lang w:val="et-EE"/>
        </w:rPr>
        <w:t xml:space="preserve">8) lihtsamate raviprotseduuride tegemine </w:t>
      </w:r>
      <w:r w:rsidR="4CDB6DDD" w:rsidRPr="00687DE8">
        <w:rPr>
          <w:szCs w:val="24"/>
          <w:lang w:val="et-EE"/>
        </w:rPr>
        <w:t>(</w:t>
      </w:r>
      <w:r w:rsidRPr="00687DE8">
        <w:rPr>
          <w:szCs w:val="24"/>
          <w:lang w:val="et-EE"/>
        </w:rPr>
        <w:t>sh süstimine</w:t>
      </w:r>
      <w:r w:rsidR="00DC4841" w:rsidRPr="00687DE8">
        <w:rPr>
          <w:szCs w:val="24"/>
          <w:lang w:val="et-EE"/>
        </w:rPr>
        <w:t xml:space="preserve"> ja</w:t>
      </w:r>
      <w:r w:rsidRPr="00687DE8">
        <w:rPr>
          <w:szCs w:val="24"/>
          <w:lang w:val="et-EE"/>
        </w:rPr>
        <w:t xml:space="preserve"> sidumine, </w:t>
      </w:r>
      <w:r w:rsidR="00DC4841" w:rsidRPr="00687DE8">
        <w:rPr>
          <w:szCs w:val="24"/>
          <w:lang w:val="et-EE"/>
        </w:rPr>
        <w:t>välja arvatud</w:t>
      </w:r>
      <w:r w:rsidRPr="00687DE8">
        <w:rPr>
          <w:szCs w:val="24"/>
          <w:lang w:val="et-EE"/>
        </w:rPr>
        <w:t xml:space="preserve"> koodiga 7141 tähistatud tervishoiuteenus</w:t>
      </w:r>
      <w:r w:rsidR="3F6E8C94" w:rsidRPr="00687DE8">
        <w:rPr>
          <w:szCs w:val="24"/>
          <w:lang w:val="et-EE"/>
        </w:rPr>
        <w:t>)</w:t>
      </w:r>
      <w:r w:rsidR="00D936E5" w:rsidRPr="00687DE8">
        <w:rPr>
          <w:szCs w:val="24"/>
          <w:lang w:val="et-EE"/>
        </w:rPr>
        <w:t>,</w:t>
      </w:r>
      <w:r w:rsidR="00604765" w:rsidRPr="00687DE8">
        <w:rPr>
          <w:szCs w:val="24"/>
          <w:lang w:val="et-EE"/>
        </w:rPr>
        <w:t xml:space="preserve"> </w:t>
      </w:r>
      <w:r w:rsidR="00DC4841" w:rsidRPr="00687DE8">
        <w:rPr>
          <w:szCs w:val="24"/>
          <w:lang w:val="et-EE"/>
        </w:rPr>
        <w:t>välja arvatud</w:t>
      </w:r>
      <w:r w:rsidR="19B1EB4D" w:rsidRPr="00687DE8">
        <w:rPr>
          <w:szCs w:val="24"/>
          <w:lang w:val="et-EE"/>
        </w:rPr>
        <w:t xml:space="preserve"> </w:t>
      </w:r>
      <w:r w:rsidR="007A6C98" w:rsidRPr="00687DE8">
        <w:rPr>
          <w:szCs w:val="24"/>
          <w:lang w:val="et-EE"/>
        </w:rPr>
        <w:t>koodi</w:t>
      </w:r>
      <w:r w:rsidR="00BA1122" w:rsidRPr="00687DE8">
        <w:rPr>
          <w:szCs w:val="24"/>
          <w:lang w:val="et-EE"/>
        </w:rPr>
        <w:t>de</w:t>
      </w:r>
      <w:r w:rsidR="007A6C98" w:rsidRPr="00687DE8">
        <w:rPr>
          <w:szCs w:val="24"/>
          <w:lang w:val="et-EE"/>
        </w:rPr>
        <w:t>ga 3201,</w:t>
      </w:r>
      <w:r w:rsidR="0086165B" w:rsidRPr="00687DE8">
        <w:rPr>
          <w:szCs w:val="24"/>
          <w:lang w:val="et-EE"/>
        </w:rPr>
        <w:t xml:space="preserve"> 3</w:t>
      </w:r>
      <w:r w:rsidR="00BA1122" w:rsidRPr="00687DE8">
        <w:rPr>
          <w:szCs w:val="24"/>
          <w:lang w:val="et-EE"/>
        </w:rPr>
        <w:t>202,</w:t>
      </w:r>
      <w:r w:rsidR="0086165B" w:rsidRPr="00687DE8">
        <w:rPr>
          <w:szCs w:val="24"/>
          <w:lang w:val="et-EE"/>
        </w:rPr>
        <w:t xml:space="preserve"> </w:t>
      </w:r>
      <w:r w:rsidR="00BA1122" w:rsidRPr="00687DE8">
        <w:rPr>
          <w:szCs w:val="24"/>
          <w:lang w:val="et-EE"/>
        </w:rPr>
        <w:t>3203,</w:t>
      </w:r>
      <w:r w:rsidR="0086165B" w:rsidRPr="00687DE8">
        <w:rPr>
          <w:szCs w:val="24"/>
          <w:lang w:val="et-EE"/>
        </w:rPr>
        <w:t xml:space="preserve"> </w:t>
      </w:r>
      <w:r w:rsidR="00BA1122" w:rsidRPr="00687DE8">
        <w:rPr>
          <w:szCs w:val="24"/>
          <w:lang w:val="et-EE"/>
        </w:rPr>
        <w:t>3204</w:t>
      </w:r>
      <w:r w:rsidR="000B2A2C" w:rsidRPr="00687DE8">
        <w:rPr>
          <w:szCs w:val="24"/>
          <w:lang w:val="et-EE"/>
        </w:rPr>
        <w:t>,</w:t>
      </w:r>
      <w:r w:rsidR="003E6DE6" w:rsidRPr="00687DE8">
        <w:rPr>
          <w:szCs w:val="24"/>
          <w:lang w:val="et-EE"/>
        </w:rPr>
        <w:t xml:space="preserve"> </w:t>
      </w:r>
      <w:r w:rsidR="00BA1122" w:rsidRPr="00687DE8">
        <w:rPr>
          <w:szCs w:val="24"/>
          <w:lang w:val="et-EE"/>
        </w:rPr>
        <w:t>3205</w:t>
      </w:r>
      <w:r w:rsidR="000B2A2C" w:rsidRPr="00687DE8">
        <w:rPr>
          <w:szCs w:val="24"/>
          <w:lang w:val="et-EE"/>
        </w:rPr>
        <w:t xml:space="preserve">, 3222, 3223, 3224, 3225 ja 3226 </w:t>
      </w:r>
      <w:r w:rsidR="70903E24" w:rsidRPr="00687DE8">
        <w:rPr>
          <w:szCs w:val="24"/>
          <w:lang w:val="et-EE"/>
        </w:rPr>
        <w:t>tähistatud kaugteenused</w:t>
      </w:r>
      <w:r w:rsidRPr="00687DE8">
        <w:rPr>
          <w:szCs w:val="24"/>
          <w:lang w:val="et-EE"/>
        </w:rPr>
        <w:t>;</w:t>
      </w:r>
    </w:p>
    <w:p w14:paraId="301AB061" w14:textId="77777777" w:rsidR="00976487" w:rsidRPr="00687DE8" w:rsidRDefault="00976487" w:rsidP="00976487">
      <w:pPr>
        <w:pStyle w:val="Vahedeta"/>
        <w:jc w:val="both"/>
        <w:divId w:val="1316184749"/>
        <w:rPr>
          <w:szCs w:val="24"/>
          <w:lang w:val="et-EE"/>
        </w:rPr>
      </w:pPr>
      <w:r w:rsidRPr="00687DE8">
        <w:rPr>
          <w:szCs w:val="24"/>
          <w:lang w:val="et-EE"/>
        </w:rPr>
        <w:t>9) muud vastuvõtu käigus vajalikud tegevused, mis on otseselt seotud teenuste osutamisega.</w:t>
      </w:r>
    </w:p>
    <w:p w14:paraId="0AED56AD" w14:textId="77777777" w:rsidR="00976487" w:rsidRPr="00687DE8" w:rsidRDefault="00976487" w:rsidP="00976487">
      <w:pPr>
        <w:pStyle w:val="Vahedeta"/>
        <w:jc w:val="both"/>
        <w:divId w:val="1316184749"/>
        <w:rPr>
          <w:szCs w:val="24"/>
          <w:lang w:val="et-EE"/>
        </w:rPr>
      </w:pPr>
    </w:p>
    <w:p w14:paraId="4E22F1BB" w14:textId="77777777" w:rsidR="00976487" w:rsidRPr="00687DE8" w:rsidRDefault="00976487" w:rsidP="00976487">
      <w:pPr>
        <w:pStyle w:val="Vahedeta"/>
        <w:jc w:val="both"/>
        <w:divId w:val="1316184749"/>
        <w:rPr>
          <w:szCs w:val="24"/>
          <w:lang w:val="et-EE"/>
        </w:rPr>
      </w:pPr>
      <w:r w:rsidRPr="00687DE8">
        <w:rPr>
          <w:szCs w:val="24"/>
          <w:lang w:val="et-EE"/>
        </w:rPr>
        <w:t xml:space="preserve">(3) Koodiga 3002 tähistatud tervishoiuteenuse piirhinda rakendatakse juhul, kui patsient pöördub sama terviseseisundiga selle eriarsti vastuvõtule esimest korda või kui kroonilise haigusega patsiendi vastuvõtust on möödunud vähemalt üks aasta. </w:t>
      </w:r>
    </w:p>
    <w:p w14:paraId="2DA06655" w14:textId="77777777" w:rsidR="00976487" w:rsidRPr="00687DE8" w:rsidRDefault="00976487" w:rsidP="00976487">
      <w:pPr>
        <w:spacing w:after="0" w:line="240" w:lineRule="auto"/>
        <w:jc w:val="both"/>
        <w:divId w:val="1316184749"/>
        <w:rPr>
          <w:szCs w:val="24"/>
        </w:rPr>
      </w:pPr>
    </w:p>
    <w:p w14:paraId="7D8284B8" w14:textId="77777777" w:rsidR="00976487" w:rsidRPr="00687DE8" w:rsidRDefault="00976487" w:rsidP="00976487">
      <w:pPr>
        <w:spacing w:after="0" w:line="240" w:lineRule="auto"/>
        <w:jc w:val="both"/>
        <w:divId w:val="1316184749"/>
        <w:rPr>
          <w:szCs w:val="24"/>
        </w:rPr>
      </w:pPr>
      <w:r w:rsidRPr="00687DE8">
        <w:rPr>
          <w:szCs w:val="24"/>
        </w:rPr>
        <w:t xml:space="preserve">(4) </w:t>
      </w:r>
      <w:r w:rsidR="0033350A" w:rsidRPr="00687DE8">
        <w:rPr>
          <w:szCs w:val="24"/>
        </w:rPr>
        <w:t>L</w:t>
      </w:r>
      <w:r w:rsidR="3EACD16B" w:rsidRPr="00687DE8">
        <w:rPr>
          <w:szCs w:val="24"/>
        </w:rPr>
        <w:t>õikes 1 kajastuvate tervishoiuteenuste piirhindu ei rakendata korralduslike tegevuste korral, millel puudub kliiniline sisu.</w:t>
      </w:r>
    </w:p>
    <w:p w14:paraId="132A8FBE" w14:textId="77777777" w:rsidR="002023BD" w:rsidRPr="00687DE8" w:rsidRDefault="002023BD" w:rsidP="00976487">
      <w:pPr>
        <w:spacing w:after="0" w:line="240" w:lineRule="auto"/>
        <w:jc w:val="both"/>
        <w:divId w:val="1316184749"/>
        <w:rPr>
          <w:szCs w:val="24"/>
          <w:highlight w:val="yellow"/>
        </w:rPr>
      </w:pPr>
    </w:p>
    <w:p w14:paraId="62D91A1A" w14:textId="77777777" w:rsidR="00976487" w:rsidRPr="00687DE8" w:rsidRDefault="00976487" w:rsidP="00976487">
      <w:pPr>
        <w:spacing w:after="0" w:line="240" w:lineRule="auto"/>
        <w:jc w:val="both"/>
        <w:divId w:val="1316184749"/>
        <w:rPr>
          <w:szCs w:val="24"/>
        </w:rPr>
      </w:pPr>
      <w:r w:rsidRPr="00687DE8">
        <w:rPr>
          <w:szCs w:val="24"/>
        </w:rPr>
        <w:t>(5) Koodiga 3030 tähistatud tervishoiuteenuse piirhinda ei rakendata, kui konsultatsiooni on antud elektroonilise sidevahendi kaudu.</w:t>
      </w:r>
    </w:p>
    <w:p w14:paraId="3DCB4C7C" w14:textId="77777777" w:rsidR="00976487" w:rsidRPr="00687DE8" w:rsidRDefault="00976487" w:rsidP="00976487">
      <w:pPr>
        <w:spacing w:after="0" w:line="240" w:lineRule="auto"/>
        <w:jc w:val="both"/>
        <w:divId w:val="1316184749"/>
        <w:rPr>
          <w:szCs w:val="24"/>
        </w:rPr>
      </w:pPr>
    </w:p>
    <w:p w14:paraId="3B42003F" w14:textId="77777777" w:rsidR="00D936E5" w:rsidRPr="00687DE8" w:rsidRDefault="00D936E5" w:rsidP="00D936E5">
      <w:pPr>
        <w:spacing w:after="0" w:line="240" w:lineRule="auto"/>
        <w:jc w:val="both"/>
        <w:divId w:val="1316184749"/>
        <w:rPr>
          <w:szCs w:val="24"/>
        </w:rPr>
      </w:pPr>
      <w:r w:rsidRPr="00687DE8">
        <w:rPr>
          <w:szCs w:val="24"/>
        </w:rPr>
        <w:t>(6) Koodidega 3015, 3031, 3032, 3033, 3100, 3202, 3203, 3204, 3205</w:t>
      </w:r>
      <w:r w:rsidR="2888FB98" w:rsidRPr="00687DE8">
        <w:rPr>
          <w:szCs w:val="24"/>
        </w:rPr>
        <w:t>,</w:t>
      </w:r>
      <w:r w:rsidRPr="00687DE8">
        <w:rPr>
          <w:szCs w:val="24"/>
        </w:rPr>
        <w:t xml:space="preserve"> 3207</w:t>
      </w:r>
      <w:r w:rsidR="299DB732" w:rsidRPr="00687DE8">
        <w:rPr>
          <w:szCs w:val="24"/>
        </w:rPr>
        <w:t>, 3118</w:t>
      </w:r>
      <w:r w:rsidR="000B2A2C" w:rsidRPr="00687DE8">
        <w:rPr>
          <w:szCs w:val="24"/>
        </w:rPr>
        <w:t>,</w:t>
      </w:r>
      <w:r w:rsidR="299DB732" w:rsidRPr="00687DE8">
        <w:rPr>
          <w:szCs w:val="24"/>
        </w:rPr>
        <w:t xml:space="preserve"> 3220</w:t>
      </w:r>
      <w:r w:rsidR="00660532" w:rsidRPr="00687DE8">
        <w:rPr>
          <w:szCs w:val="24"/>
        </w:rPr>
        <w:t>,</w:t>
      </w:r>
      <w:r w:rsidR="000B2A2C" w:rsidRPr="00687DE8">
        <w:rPr>
          <w:szCs w:val="24"/>
        </w:rPr>
        <w:t xml:space="preserve"> 3221</w:t>
      </w:r>
      <w:r w:rsidR="00660532" w:rsidRPr="00687DE8">
        <w:rPr>
          <w:szCs w:val="24"/>
        </w:rPr>
        <w:t xml:space="preserve">, </w:t>
      </w:r>
      <w:r w:rsidR="00FD5BEA" w:rsidRPr="00687DE8">
        <w:rPr>
          <w:szCs w:val="24"/>
        </w:rPr>
        <w:t>3223,</w:t>
      </w:r>
      <w:r w:rsidR="00FE7E13" w:rsidRPr="00687DE8">
        <w:rPr>
          <w:szCs w:val="24"/>
        </w:rPr>
        <w:t xml:space="preserve"> </w:t>
      </w:r>
      <w:r w:rsidR="00FD5BEA" w:rsidRPr="00687DE8">
        <w:rPr>
          <w:szCs w:val="24"/>
        </w:rPr>
        <w:t xml:space="preserve">3224, </w:t>
      </w:r>
      <w:r w:rsidR="00660532" w:rsidRPr="00687DE8">
        <w:rPr>
          <w:szCs w:val="24"/>
        </w:rPr>
        <w:t>3225, 3226</w:t>
      </w:r>
      <w:r w:rsidRPr="00687DE8">
        <w:rPr>
          <w:szCs w:val="24"/>
        </w:rPr>
        <w:t xml:space="preserve"> </w:t>
      </w:r>
      <w:r w:rsidR="000B2A2C" w:rsidRPr="00687DE8">
        <w:rPr>
          <w:szCs w:val="24"/>
        </w:rPr>
        <w:t xml:space="preserve">ja </w:t>
      </w:r>
      <w:r w:rsidR="00660532" w:rsidRPr="00687DE8">
        <w:rPr>
          <w:szCs w:val="24"/>
        </w:rPr>
        <w:t>3228</w:t>
      </w:r>
      <w:r w:rsidRPr="00687DE8">
        <w:rPr>
          <w:szCs w:val="24"/>
        </w:rPr>
        <w:t xml:space="preserve"> tähistatud tervishoiuteenuste piirhinnad sisaldavad teenust osutava tervishoiutöötaja superviseerimist üks kord kvartalis.</w:t>
      </w:r>
    </w:p>
    <w:p w14:paraId="6E104A80" w14:textId="77777777" w:rsidR="00976487" w:rsidRPr="00687DE8" w:rsidRDefault="00976487" w:rsidP="00976487">
      <w:pPr>
        <w:spacing w:after="0" w:line="240" w:lineRule="auto"/>
        <w:jc w:val="both"/>
        <w:divId w:val="1316184749"/>
        <w:rPr>
          <w:szCs w:val="24"/>
        </w:rPr>
      </w:pPr>
    </w:p>
    <w:p w14:paraId="0206F3A2" w14:textId="16C29092" w:rsidR="00976487" w:rsidRPr="00687DE8" w:rsidRDefault="00976487" w:rsidP="00976487">
      <w:pPr>
        <w:spacing w:after="0" w:line="240" w:lineRule="auto"/>
        <w:jc w:val="both"/>
        <w:divId w:val="1316184749"/>
        <w:rPr>
          <w:szCs w:val="24"/>
        </w:rPr>
      </w:pPr>
      <w:r w:rsidRPr="00687DE8">
        <w:rPr>
          <w:szCs w:val="24"/>
        </w:rPr>
        <w:t xml:space="preserve">(7) </w:t>
      </w:r>
      <w:r w:rsidR="005023FD" w:rsidRPr="00687DE8">
        <w:rPr>
          <w:szCs w:val="24"/>
        </w:rPr>
        <w:t>Tervisekassa</w:t>
      </w:r>
      <w:r w:rsidRPr="00687DE8">
        <w:rPr>
          <w:szCs w:val="24"/>
        </w:rPr>
        <w:t xml:space="preserve"> võtab koodi</w:t>
      </w:r>
      <w:r w:rsidR="00FF0FE3" w:rsidRPr="00687DE8">
        <w:rPr>
          <w:szCs w:val="24"/>
        </w:rPr>
        <w:t>de</w:t>
      </w:r>
      <w:r w:rsidRPr="00687DE8">
        <w:rPr>
          <w:szCs w:val="24"/>
        </w:rPr>
        <w:t>ga 3031</w:t>
      </w:r>
      <w:r w:rsidR="00660532" w:rsidRPr="00687DE8">
        <w:rPr>
          <w:szCs w:val="24"/>
        </w:rPr>
        <w:t>,</w:t>
      </w:r>
      <w:r w:rsidR="003E6DE6" w:rsidRPr="00687DE8">
        <w:rPr>
          <w:szCs w:val="24"/>
        </w:rPr>
        <w:t xml:space="preserve"> </w:t>
      </w:r>
      <w:r w:rsidR="00FF0FE3" w:rsidRPr="00687DE8">
        <w:rPr>
          <w:szCs w:val="24"/>
        </w:rPr>
        <w:t>320</w:t>
      </w:r>
      <w:r w:rsidR="60D4E3F4" w:rsidRPr="00687DE8">
        <w:rPr>
          <w:szCs w:val="24"/>
        </w:rPr>
        <w:t>2</w:t>
      </w:r>
      <w:r w:rsidR="00660532" w:rsidRPr="00687DE8">
        <w:rPr>
          <w:szCs w:val="24"/>
        </w:rPr>
        <w:t xml:space="preserve"> ja 3223</w:t>
      </w:r>
      <w:r w:rsidRPr="00687DE8">
        <w:rPr>
          <w:szCs w:val="24"/>
        </w:rPr>
        <w:t xml:space="preserve"> tähistatud tervishoiuteenuse eest tasu maksmise kohustuse üle aktiivravi vajavalt kindlustatud isikult, kes vajab oma seisundi tõttu õe osalust raviotsuste tegemiseks, raviplaani koostamiseks, raviprotseduuride tegemiseks või ohutuse tagamiseks.</w:t>
      </w:r>
    </w:p>
    <w:p w14:paraId="5FBD4D50" w14:textId="77777777" w:rsidR="00976487" w:rsidRPr="00687DE8" w:rsidRDefault="00976487" w:rsidP="00976487">
      <w:pPr>
        <w:spacing w:after="0" w:line="240" w:lineRule="auto"/>
        <w:jc w:val="both"/>
        <w:divId w:val="1316184749"/>
        <w:rPr>
          <w:bCs/>
          <w:szCs w:val="24"/>
        </w:rPr>
      </w:pPr>
    </w:p>
    <w:p w14:paraId="7C4BF07F" w14:textId="75B9A074" w:rsidR="00D936E5" w:rsidRPr="00687DE8" w:rsidRDefault="00D936E5" w:rsidP="002A1C04">
      <w:pPr>
        <w:spacing w:after="0" w:line="240" w:lineRule="auto"/>
        <w:jc w:val="both"/>
        <w:divId w:val="1316184749"/>
      </w:pPr>
      <w:r>
        <w:t xml:space="preserve">(8) </w:t>
      </w:r>
      <w:r w:rsidR="00402E33">
        <w:t xml:space="preserve">Koodidega 3015, 3018, 3019, </w:t>
      </w:r>
      <w:r w:rsidR="27AC62EF">
        <w:t xml:space="preserve">3021, </w:t>
      </w:r>
      <w:r w:rsidR="00402E33">
        <w:t xml:space="preserve">3035, 3036, 3206, 3207, 3118, 3219, 3220, 3221, 3227, 3228 ja 3231 </w:t>
      </w:r>
      <w:r>
        <w:t>tähistatud tervishoiuteenuste piirhinnad sisaldavad järgmisi tegevusi:</w:t>
      </w:r>
    </w:p>
    <w:p w14:paraId="08562157" w14:textId="77777777" w:rsidR="00976487" w:rsidRPr="00687DE8" w:rsidRDefault="00976487" w:rsidP="002A1C04">
      <w:pPr>
        <w:spacing w:after="0" w:line="240" w:lineRule="auto"/>
        <w:jc w:val="both"/>
        <w:divId w:val="1316184749"/>
        <w:rPr>
          <w:bCs/>
          <w:szCs w:val="24"/>
        </w:rPr>
      </w:pPr>
      <w:r w:rsidRPr="00687DE8">
        <w:rPr>
          <w:bCs/>
          <w:szCs w:val="24"/>
        </w:rPr>
        <w:lastRenderedPageBreak/>
        <w:t>1) patsiendi ja tema lähedaste tervisealane nõustamine ja õpetamine tervise säilitamiseks, edendamiseks ja haiguste ennetamiseks, iseseisvaks kasutamiseks mõeldud meditsiiniseadmete ja abivahendite kasutamise õpetamine ning toimetulekut ja turvalisust toetav nõustamine;</w:t>
      </w:r>
    </w:p>
    <w:p w14:paraId="6B49BAFA" w14:textId="3905887D" w:rsidR="00976487" w:rsidRPr="00687DE8" w:rsidRDefault="00976487" w:rsidP="002A1C04">
      <w:pPr>
        <w:spacing w:after="0" w:line="240" w:lineRule="auto"/>
        <w:jc w:val="both"/>
        <w:divId w:val="1316184749"/>
        <w:rPr>
          <w:szCs w:val="24"/>
        </w:rPr>
      </w:pPr>
      <w:r w:rsidRPr="00687DE8">
        <w:rPr>
          <w:szCs w:val="24"/>
        </w:rPr>
        <w:t>2) patsiendi terviseseisundi hindamine ja terviseriskide analüüs jälgimisperioodil, täiendavate</w:t>
      </w:r>
      <w:r w:rsidR="00313B0A" w:rsidRPr="00687DE8">
        <w:rPr>
          <w:szCs w:val="24"/>
        </w:rPr>
        <w:t xml:space="preserve"> </w:t>
      </w:r>
      <w:r w:rsidRPr="00687DE8">
        <w:rPr>
          <w:szCs w:val="24"/>
        </w:rPr>
        <w:t xml:space="preserve">uuringute vajaduse väljaselgitamine, objektiivsete tervisenäitajate seire ning ravisoostumuse jälgimine ja nõustamine lähtuvalt arsti otsusest ja ravijuhenditest. Kõrvalekallete ilmnemisel terviseprobleemide lahendamine iseseisvalt või koostöös teiste tervishoiutöötajatega; </w:t>
      </w:r>
    </w:p>
    <w:p w14:paraId="069707C1" w14:textId="1AEF7D5D" w:rsidR="00976487" w:rsidRPr="00687DE8" w:rsidRDefault="00976487" w:rsidP="002A1C04">
      <w:pPr>
        <w:spacing w:after="0" w:line="240" w:lineRule="auto"/>
        <w:jc w:val="both"/>
        <w:divId w:val="1316184749"/>
        <w:rPr>
          <w:szCs w:val="24"/>
        </w:rPr>
      </w:pPr>
      <w:r w:rsidRPr="00687DE8">
        <w:rPr>
          <w:szCs w:val="24"/>
        </w:rPr>
        <w:t xml:space="preserve">3) </w:t>
      </w:r>
      <w:r w:rsidR="00BB53A1" w:rsidRPr="00687DE8">
        <w:rPr>
          <w:szCs w:val="24"/>
        </w:rPr>
        <w:t>tervishoiuteenuste loetelus mittesisalduvate</w:t>
      </w:r>
      <w:r w:rsidRPr="00687DE8">
        <w:rPr>
          <w:szCs w:val="24"/>
        </w:rPr>
        <w:t xml:space="preserve"> õendussekkumiste ja lihtsamate raviprotseduuride tegemine</w:t>
      </w:r>
      <w:r w:rsidR="00117B14" w:rsidRPr="00687DE8">
        <w:rPr>
          <w:szCs w:val="24"/>
        </w:rPr>
        <w:t xml:space="preserve">, </w:t>
      </w:r>
      <w:r w:rsidR="001F0B57" w:rsidRPr="00687DE8">
        <w:rPr>
          <w:szCs w:val="24"/>
        </w:rPr>
        <w:t xml:space="preserve">sealhulgas </w:t>
      </w:r>
      <w:r w:rsidR="00CB09B8" w:rsidRPr="00687DE8">
        <w:rPr>
          <w:szCs w:val="24"/>
        </w:rPr>
        <w:t xml:space="preserve">vaktsineerimiste tegemine, </w:t>
      </w:r>
      <w:r w:rsidR="6EA55948" w:rsidRPr="00687DE8">
        <w:rPr>
          <w:szCs w:val="24"/>
        </w:rPr>
        <w:t>v</w:t>
      </w:r>
      <w:r w:rsidR="00711111" w:rsidRPr="00687DE8">
        <w:rPr>
          <w:szCs w:val="24"/>
        </w:rPr>
        <w:t>älja arvatud</w:t>
      </w:r>
      <w:r w:rsidR="00CE5B2C" w:rsidRPr="00687DE8">
        <w:rPr>
          <w:szCs w:val="24"/>
        </w:rPr>
        <w:t xml:space="preserve"> koodid</w:t>
      </w:r>
      <w:r w:rsidR="00560D42" w:rsidRPr="00687DE8">
        <w:rPr>
          <w:szCs w:val="24"/>
        </w:rPr>
        <w:t>ega</w:t>
      </w:r>
      <w:r w:rsidR="00CE5B2C" w:rsidRPr="00687DE8">
        <w:rPr>
          <w:szCs w:val="24"/>
        </w:rPr>
        <w:t xml:space="preserve"> </w:t>
      </w:r>
      <w:r w:rsidR="00311BDD" w:rsidRPr="00687DE8">
        <w:rPr>
          <w:szCs w:val="24"/>
        </w:rPr>
        <w:t>3206</w:t>
      </w:r>
      <w:r w:rsidR="120FAB60" w:rsidRPr="00687DE8">
        <w:rPr>
          <w:szCs w:val="24"/>
        </w:rPr>
        <w:t>,</w:t>
      </w:r>
      <w:r w:rsidR="004E2C37" w:rsidRPr="00687DE8">
        <w:rPr>
          <w:szCs w:val="24"/>
        </w:rPr>
        <w:t xml:space="preserve"> </w:t>
      </w:r>
      <w:r w:rsidR="00311BDD" w:rsidRPr="00687DE8">
        <w:rPr>
          <w:szCs w:val="24"/>
        </w:rPr>
        <w:t>3207</w:t>
      </w:r>
      <w:r w:rsidR="004674D4" w:rsidRPr="00687DE8">
        <w:rPr>
          <w:szCs w:val="24"/>
        </w:rPr>
        <w:t>,</w:t>
      </w:r>
      <w:r w:rsidR="55CA91E0" w:rsidRPr="00687DE8">
        <w:rPr>
          <w:szCs w:val="24"/>
        </w:rPr>
        <w:t xml:space="preserve"> 3220</w:t>
      </w:r>
      <w:r w:rsidR="00977B8E" w:rsidRPr="00687DE8">
        <w:rPr>
          <w:szCs w:val="24"/>
        </w:rPr>
        <w:t>,</w:t>
      </w:r>
      <w:r w:rsidR="55CA91E0" w:rsidRPr="00687DE8">
        <w:rPr>
          <w:szCs w:val="24"/>
        </w:rPr>
        <w:t xml:space="preserve"> 322</w:t>
      </w:r>
      <w:r w:rsidR="004674D4" w:rsidRPr="00687DE8">
        <w:rPr>
          <w:szCs w:val="24"/>
        </w:rPr>
        <w:t>1</w:t>
      </w:r>
      <w:r w:rsidR="00977B8E" w:rsidRPr="00687DE8">
        <w:rPr>
          <w:szCs w:val="24"/>
        </w:rPr>
        <w:t>,</w:t>
      </w:r>
      <w:r w:rsidR="00CD7555" w:rsidRPr="00687DE8">
        <w:rPr>
          <w:szCs w:val="24"/>
        </w:rPr>
        <w:t xml:space="preserve"> </w:t>
      </w:r>
      <w:r w:rsidR="00C437C1" w:rsidRPr="00687DE8">
        <w:rPr>
          <w:szCs w:val="24"/>
        </w:rPr>
        <w:t>3228</w:t>
      </w:r>
      <w:r w:rsidR="00977B8E" w:rsidRPr="00687DE8">
        <w:rPr>
          <w:szCs w:val="24"/>
        </w:rPr>
        <w:t>,</w:t>
      </w:r>
      <w:r w:rsidR="004674D4" w:rsidRPr="00687DE8">
        <w:rPr>
          <w:szCs w:val="24"/>
        </w:rPr>
        <w:t xml:space="preserve"> </w:t>
      </w:r>
      <w:r w:rsidR="00CD7555" w:rsidRPr="00687DE8">
        <w:rPr>
          <w:szCs w:val="24"/>
        </w:rPr>
        <w:t>3219 ja 3231</w:t>
      </w:r>
      <w:r w:rsidR="004674D4" w:rsidRPr="00687DE8">
        <w:rPr>
          <w:szCs w:val="24"/>
        </w:rPr>
        <w:t xml:space="preserve"> t</w:t>
      </w:r>
      <w:r w:rsidR="00AB35F8" w:rsidRPr="00687DE8">
        <w:rPr>
          <w:szCs w:val="24"/>
        </w:rPr>
        <w:t>ähistatud kaugteenus</w:t>
      </w:r>
      <w:r w:rsidR="00E777EC" w:rsidRPr="00687DE8">
        <w:rPr>
          <w:szCs w:val="24"/>
        </w:rPr>
        <w:t>t</w:t>
      </w:r>
      <w:r w:rsidR="00AB35F8" w:rsidRPr="00687DE8">
        <w:rPr>
          <w:szCs w:val="24"/>
        </w:rPr>
        <w:t>e</w:t>
      </w:r>
      <w:r w:rsidR="00FF1640" w:rsidRPr="00687DE8">
        <w:rPr>
          <w:szCs w:val="24"/>
        </w:rPr>
        <w:t xml:space="preserve"> osutamisel</w:t>
      </w:r>
      <w:r w:rsidRPr="00687DE8">
        <w:rPr>
          <w:szCs w:val="24"/>
        </w:rPr>
        <w:t xml:space="preserve">; </w:t>
      </w:r>
    </w:p>
    <w:p w14:paraId="6B111F33" w14:textId="77777777" w:rsidR="00976487" w:rsidRPr="00687DE8" w:rsidRDefault="00976487" w:rsidP="002A1C04">
      <w:pPr>
        <w:spacing w:after="0" w:line="240" w:lineRule="auto"/>
        <w:jc w:val="both"/>
        <w:divId w:val="1316184749"/>
        <w:rPr>
          <w:szCs w:val="24"/>
        </w:rPr>
      </w:pPr>
      <w:r w:rsidRPr="00687DE8">
        <w:rPr>
          <w:szCs w:val="24"/>
        </w:rPr>
        <w:t>4) tegevuse dokumenteerimine (anamneesi kogumine, plaani koostamine, sekkumise ja õendus</w:t>
      </w:r>
      <w:r w:rsidR="000157FE" w:rsidRPr="00687DE8">
        <w:rPr>
          <w:szCs w:val="24"/>
        </w:rPr>
        <w:t>-/ämmaemandus</w:t>
      </w:r>
      <w:r w:rsidRPr="00687DE8">
        <w:rPr>
          <w:szCs w:val="24"/>
        </w:rPr>
        <w:t>abi tulemuste hindamine, epikriisi koostamine, andmete töötlemine tervise infosüsteemis, tervishoiuteenuse osutamisega seotud dokumentide väljastamine).</w:t>
      </w:r>
    </w:p>
    <w:p w14:paraId="0AE6C830" w14:textId="77777777" w:rsidR="00976487" w:rsidRPr="00687DE8" w:rsidRDefault="00976487" w:rsidP="00976487">
      <w:pPr>
        <w:spacing w:after="0" w:line="240" w:lineRule="auto"/>
        <w:jc w:val="both"/>
        <w:divId w:val="1316184749"/>
        <w:rPr>
          <w:bCs/>
          <w:szCs w:val="24"/>
        </w:rPr>
      </w:pPr>
    </w:p>
    <w:p w14:paraId="529A9933" w14:textId="0CCF8F76" w:rsidR="00976487" w:rsidRPr="00687DE8" w:rsidRDefault="00976487" w:rsidP="00976487">
      <w:pPr>
        <w:pStyle w:val="Kommentaaritekst"/>
        <w:tabs>
          <w:tab w:val="left" w:pos="8931"/>
        </w:tabs>
        <w:spacing w:after="0"/>
        <w:jc w:val="both"/>
        <w:divId w:val="1316184749"/>
        <w:rPr>
          <w:sz w:val="24"/>
          <w:szCs w:val="24"/>
        </w:rPr>
      </w:pPr>
      <w:r w:rsidRPr="00687DE8">
        <w:rPr>
          <w:sz w:val="24"/>
          <w:szCs w:val="24"/>
        </w:rPr>
        <w:t>(9) Koodidega 3015</w:t>
      </w:r>
      <w:r w:rsidR="4814C654" w:rsidRPr="00687DE8">
        <w:rPr>
          <w:sz w:val="24"/>
          <w:szCs w:val="24"/>
        </w:rPr>
        <w:t>,</w:t>
      </w:r>
      <w:r w:rsidR="003E6DE6" w:rsidRPr="00687DE8">
        <w:rPr>
          <w:sz w:val="24"/>
          <w:szCs w:val="24"/>
        </w:rPr>
        <w:t xml:space="preserve"> </w:t>
      </w:r>
      <w:r w:rsidR="00842A58" w:rsidRPr="00687DE8">
        <w:rPr>
          <w:sz w:val="24"/>
          <w:szCs w:val="24"/>
        </w:rPr>
        <w:t>3018, 3019</w:t>
      </w:r>
      <w:r w:rsidR="00825F9D" w:rsidRPr="00687DE8">
        <w:rPr>
          <w:sz w:val="24"/>
          <w:szCs w:val="24"/>
        </w:rPr>
        <w:t>,</w:t>
      </w:r>
      <w:r w:rsidR="00842A58" w:rsidRPr="00687DE8">
        <w:rPr>
          <w:sz w:val="24"/>
          <w:szCs w:val="24"/>
        </w:rPr>
        <w:t xml:space="preserve"> </w:t>
      </w:r>
      <w:r w:rsidRPr="00687DE8">
        <w:rPr>
          <w:sz w:val="24"/>
          <w:szCs w:val="24"/>
        </w:rPr>
        <w:t>3035</w:t>
      </w:r>
      <w:r w:rsidR="00EA7647" w:rsidRPr="00687DE8">
        <w:rPr>
          <w:sz w:val="24"/>
          <w:szCs w:val="24"/>
        </w:rPr>
        <w:t>, 3036,</w:t>
      </w:r>
      <w:r w:rsidR="003E6DE6" w:rsidRPr="00687DE8">
        <w:rPr>
          <w:sz w:val="24"/>
          <w:szCs w:val="24"/>
        </w:rPr>
        <w:t xml:space="preserve"> </w:t>
      </w:r>
      <w:r w:rsidR="00EA7647" w:rsidRPr="00687DE8">
        <w:rPr>
          <w:sz w:val="24"/>
          <w:szCs w:val="24"/>
        </w:rPr>
        <w:t>3118</w:t>
      </w:r>
      <w:r w:rsidR="006453A3" w:rsidRPr="00687DE8">
        <w:rPr>
          <w:sz w:val="24"/>
          <w:szCs w:val="24"/>
        </w:rPr>
        <w:t xml:space="preserve">, </w:t>
      </w:r>
      <w:r w:rsidR="6551677A" w:rsidRPr="27AFFAA6">
        <w:rPr>
          <w:sz w:val="24"/>
          <w:szCs w:val="24"/>
        </w:rPr>
        <w:t>3021,</w:t>
      </w:r>
      <w:r w:rsidR="006453A3" w:rsidRPr="27AFFAA6">
        <w:rPr>
          <w:sz w:val="24"/>
          <w:szCs w:val="24"/>
        </w:rPr>
        <w:t xml:space="preserve"> </w:t>
      </w:r>
      <w:r w:rsidR="006453A3" w:rsidRPr="00687DE8">
        <w:rPr>
          <w:sz w:val="24"/>
          <w:szCs w:val="24"/>
        </w:rPr>
        <w:t>3206, 3207,</w:t>
      </w:r>
      <w:r w:rsidR="003E6DE6" w:rsidRPr="00687DE8">
        <w:rPr>
          <w:sz w:val="24"/>
          <w:szCs w:val="24"/>
        </w:rPr>
        <w:t xml:space="preserve"> </w:t>
      </w:r>
      <w:r w:rsidR="00842A58" w:rsidRPr="00687DE8">
        <w:rPr>
          <w:sz w:val="24"/>
          <w:szCs w:val="24"/>
        </w:rPr>
        <w:t xml:space="preserve">3219, </w:t>
      </w:r>
      <w:r w:rsidR="00EA7647" w:rsidRPr="00687DE8">
        <w:rPr>
          <w:sz w:val="24"/>
          <w:szCs w:val="24"/>
        </w:rPr>
        <w:t>3220, 3221, 3227</w:t>
      </w:r>
      <w:r w:rsidR="00842A58" w:rsidRPr="00687DE8">
        <w:rPr>
          <w:sz w:val="24"/>
          <w:szCs w:val="24"/>
        </w:rPr>
        <w:t xml:space="preserve">, </w:t>
      </w:r>
      <w:r w:rsidR="00EA7647" w:rsidRPr="00687DE8">
        <w:rPr>
          <w:sz w:val="24"/>
          <w:szCs w:val="24"/>
        </w:rPr>
        <w:t xml:space="preserve">3228 </w:t>
      </w:r>
      <w:r w:rsidR="00842A58" w:rsidRPr="00687DE8">
        <w:rPr>
          <w:sz w:val="24"/>
          <w:szCs w:val="24"/>
        </w:rPr>
        <w:t>ja 3231</w:t>
      </w:r>
      <w:r w:rsidR="00EA7647" w:rsidRPr="00687DE8">
        <w:rPr>
          <w:sz w:val="24"/>
          <w:szCs w:val="24"/>
        </w:rPr>
        <w:t xml:space="preserve"> </w:t>
      </w:r>
      <w:r w:rsidRPr="00687DE8">
        <w:rPr>
          <w:sz w:val="24"/>
          <w:szCs w:val="24"/>
        </w:rPr>
        <w:t>tähistatud tervishoiuteenuste piirhindu rakendatakse juhul, kui vastuvõtt toimub eriarsti osaluseta</w:t>
      </w:r>
      <w:r w:rsidRPr="00687DE8">
        <w:rPr>
          <w:color w:val="000000" w:themeColor="text1"/>
          <w:sz w:val="24"/>
          <w:szCs w:val="24"/>
        </w:rPr>
        <w:t xml:space="preserve"> ja </w:t>
      </w:r>
      <w:r w:rsidR="005A395E" w:rsidRPr="005A395E">
        <w:rPr>
          <w:color w:val="000000" w:themeColor="text1"/>
          <w:sz w:val="24"/>
          <w:szCs w:val="24"/>
        </w:rPr>
        <w:t>saatekirja õigusega tervishoiutöötaja suunamisel</w:t>
      </w:r>
      <w:r w:rsidR="005A395E">
        <w:rPr>
          <w:color w:val="000000" w:themeColor="text1"/>
          <w:sz w:val="24"/>
          <w:szCs w:val="24"/>
        </w:rPr>
        <w:t xml:space="preserve"> </w:t>
      </w:r>
      <w:r w:rsidRPr="00687DE8">
        <w:rPr>
          <w:color w:val="000000" w:themeColor="text1"/>
          <w:sz w:val="24"/>
          <w:szCs w:val="24"/>
        </w:rPr>
        <w:t xml:space="preserve">õe vastuvõtule. Suunamine ei ole vajalik erialadel, kus saatekiri ei ole nõutav vastavalt ravikindlustuse seaduse </w:t>
      </w:r>
      <w:r w:rsidR="00931A5F" w:rsidRPr="00687DE8">
        <w:rPr>
          <w:sz w:val="24"/>
          <w:szCs w:val="24"/>
        </w:rPr>
        <w:t xml:space="preserve">§ 70 </w:t>
      </w:r>
      <w:r w:rsidRPr="00687DE8">
        <w:rPr>
          <w:sz w:val="24"/>
          <w:szCs w:val="24"/>
        </w:rPr>
        <w:t>lõikele 3.</w:t>
      </w:r>
    </w:p>
    <w:p w14:paraId="0FF42979" w14:textId="77777777" w:rsidR="00976487" w:rsidRPr="00687DE8" w:rsidRDefault="00976487" w:rsidP="00976487">
      <w:pPr>
        <w:pStyle w:val="Kommentaaritekst"/>
        <w:tabs>
          <w:tab w:val="left" w:pos="8931"/>
        </w:tabs>
        <w:spacing w:after="0"/>
        <w:jc w:val="both"/>
        <w:divId w:val="1316184749"/>
        <w:rPr>
          <w:sz w:val="24"/>
          <w:szCs w:val="24"/>
        </w:rPr>
      </w:pPr>
    </w:p>
    <w:p w14:paraId="24E7C8AC" w14:textId="14F31CDE" w:rsidR="00976487" w:rsidRPr="00687DE8" w:rsidRDefault="00D936E5" w:rsidP="00976487">
      <w:pPr>
        <w:pStyle w:val="Kommentaaritekst"/>
        <w:tabs>
          <w:tab w:val="left" w:pos="8931"/>
        </w:tabs>
        <w:spacing w:after="0"/>
        <w:jc w:val="both"/>
        <w:divId w:val="1316184749"/>
        <w:rPr>
          <w:sz w:val="24"/>
          <w:szCs w:val="24"/>
        </w:rPr>
      </w:pPr>
      <w:r w:rsidRPr="00687DE8">
        <w:rPr>
          <w:sz w:val="24"/>
          <w:szCs w:val="24"/>
        </w:rPr>
        <w:t xml:space="preserve">(10) Koodidega 3111, 3112, </w:t>
      </w:r>
      <w:r w:rsidR="00BC0389" w:rsidRPr="00687DE8">
        <w:rPr>
          <w:sz w:val="24"/>
          <w:szCs w:val="24"/>
        </w:rPr>
        <w:t>30</w:t>
      </w:r>
      <w:r w:rsidR="00656B85" w:rsidRPr="00687DE8">
        <w:rPr>
          <w:sz w:val="24"/>
          <w:szCs w:val="24"/>
        </w:rPr>
        <w:t>98</w:t>
      </w:r>
      <w:r w:rsidR="00825F9D" w:rsidRPr="00687DE8">
        <w:rPr>
          <w:sz w:val="24"/>
          <w:szCs w:val="24"/>
        </w:rPr>
        <w:t>,</w:t>
      </w:r>
      <w:r w:rsidR="00BC0389" w:rsidRPr="00687DE8">
        <w:rPr>
          <w:sz w:val="24"/>
          <w:szCs w:val="24"/>
        </w:rPr>
        <w:t xml:space="preserve"> </w:t>
      </w:r>
      <w:r w:rsidR="00D235D6" w:rsidRPr="00687DE8">
        <w:rPr>
          <w:sz w:val="24"/>
          <w:szCs w:val="24"/>
        </w:rPr>
        <w:t xml:space="preserve">3099, </w:t>
      </w:r>
      <w:r w:rsidRPr="00687DE8">
        <w:rPr>
          <w:sz w:val="24"/>
          <w:szCs w:val="24"/>
        </w:rPr>
        <w:t>3208</w:t>
      </w:r>
      <w:r w:rsidR="004E2D7F" w:rsidRPr="00687DE8">
        <w:rPr>
          <w:sz w:val="24"/>
          <w:szCs w:val="24"/>
        </w:rPr>
        <w:t>,</w:t>
      </w:r>
      <w:r w:rsidRPr="00687DE8">
        <w:rPr>
          <w:sz w:val="24"/>
          <w:szCs w:val="24"/>
        </w:rPr>
        <w:t xml:space="preserve"> 3218</w:t>
      </w:r>
      <w:r w:rsidR="004E2D7F" w:rsidRPr="00687DE8">
        <w:rPr>
          <w:sz w:val="24"/>
          <w:szCs w:val="24"/>
        </w:rPr>
        <w:t xml:space="preserve">, 3229 ja 3230 </w:t>
      </w:r>
      <w:r w:rsidRPr="00687DE8">
        <w:rPr>
          <w:sz w:val="24"/>
          <w:szCs w:val="24"/>
        </w:rPr>
        <w:t>tähistatud tervishoiuteenuste piirhindu rakendatakse juhul, kui vastuvõtt toimub eriarsti osaluseta.</w:t>
      </w:r>
    </w:p>
    <w:p w14:paraId="6B0A2D6C" w14:textId="77777777" w:rsidR="00D936E5" w:rsidRPr="00687DE8" w:rsidRDefault="00D936E5" w:rsidP="00976487">
      <w:pPr>
        <w:pStyle w:val="Kommentaaritekst"/>
        <w:tabs>
          <w:tab w:val="left" w:pos="8931"/>
        </w:tabs>
        <w:spacing w:after="0"/>
        <w:jc w:val="both"/>
        <w:divId w:val="1316184749"/>
        <w:rPr>
          <w:strike/>
          <w:sz w:val="24"/>
          <w:szCs w:val="24"/>
        </w:rPr>
      </w:pPr>
    </w:p>
    <w:p w14:paraId="007D7842" w14:textId="6B846287" w:rsidR="00976487" w:rsidRPr="00687DE8" w:rsidRDefault="00976487" w:rsidP="00976487">
      <w:pPr>
        <w:pStyle w:val="Vahedeta"/>
        <w:jc w:val="both"/>
        <w:divId w:val="1316184749"/>
        <w:rPr>
          <w:szCs w:val="24"/>
          <w:lang w:val="et-EE"/>
        </w:rPr>
      </w:pPr>
      <w:r w:rsidRPr="00687DE8">
        <w:rPr>
          <w:szCs w:val="24"/>
          <w:lang w:val="et-EE"/>
        </w:rPr>
        <w:t>(11) Koodi</w:t>
      </w:r>
      <w:r w:rsidR="00DC56F2" w:rsidRPr="00687DE8">
        <w:rPr>
          <w:szCs w:val="24"/>
          <w:lang w:val="et-EE"/>
        </w:rPr>
        <w:t>de</w:t>
      </w:r>
      <w:r w:rsidRPr="00687DE8">
        <w:rPr>
          <w:szCs w:val="24"/>
          <w:lang w:val="et-EE"/>
        </w:rPr>
        <w:t xml:space="preserve">ga 3111 </w:t>
      </w:r>
      <w:r w:rsidR="001E34F4" w:rsidRPr="00687DE8">
        <w:rPr>
          <w:szCs w:val="24"/>
          <w:lang w:val="et-EE"/>
        </w:rPr>
        <w:t>ja</w:t>
      </w:r>
      <w:r w:rsidR="00DC56F2" w:rsidRPr="00687DE8">
        <w:rPr>
          <w:szCs w:val="24"/>
          <w:lang w:val="et-EE"/>
        </w:rPr>
        <w:t xml:space="preserve"> 3098</w:t>
      </w:r>
      <w:r w:rsidRPr="00687DE8">
        <w:rPr>
          <w:szCs w:val="24"/>
          <w:lang w:val="et-EE"/>
        </w:rPr>
        <w:t xml:space="preserve"> tähistatud tervishoiuteenus</w:t>
      </w:r>
      <w:r w:rsidR="001D2BB3" w:rsidRPr="00687DE8">
        <w:rPr>
          <w:szCs w:val="24"/>
          <w:lang w:val="et-EE"/>
        </w:rPr>
        <w:t>t</w:t>
      </w:r>
      <w:r w:rsidRPr="00687DE8">
        <w:rPr>
          <w:szCs w:val="24"/>
          <w:lang w:val="et-EE"/>
        </w:rPr>
        <w:t xml:space="preserve">e </w:t>
      </w:r>
      <w:r w:rsidR="00207B57" w:rsidRPr="00687DE8">
        <w:rPr>
          <w:szCs w:val="24"/>
          <w:lang w:val="et-EE"/>
        </w:rPr>
        <w:t xml:space="preserve">piirhinda rakendatakse </w:t>
      </w:r>
      <w:r w:rsidRPr="00687DE8">
        <w:rPr>
          <w:szCs w:val="24"/>
          <w:lang w:val="et-EE"/>
        </w:rPr>
        <w:t>järgmis</w:t>
      </w:r>
      <w:r w:rsidR="00A72C8F" w:rsidRPr="00687DE8">
        <w:rPr>
          <w:szCs w:val="24"/>
          <w:lang w:val="et-EE"/>
        </w:rPr>
        <w:t>tel</w:t>
      </w:r>
      <w:r w:rsidR="00207B57" w:rsidRPr="00687DE8">
        <w:rPr>
          <w:szCs w:val="24"/>
          <w:lang w:val="et-EE"/>
        </w:rPr>
        <w:t xml:space="preserve"> juhtudel</w:t>
      </w:r>
      <w:r w:rsidRPr="00687DE8">
        <w:rPr>
          <w:szCs w:val="24"/>
          <w:lang w:val="et-EE"/>
        </w:rPr>
        <w:t>:</w:t>
      </w:r>
    </w:p>
    <w:p w14:paraId="687B1E5E" w14:textId="27FF5D30" w:rsidR="00976487" w:rsidRPr="00687DE8" w:rsidRDefault="00976487" w:rsidP="00976487">
      <w:pPr>
        <w:pStyle w:val="Vahedeta"/>
        <w:jc w:val="both"/>
        <w:divId w:val="1316184749"/>
        <w:rPr>
          <w:szCs w:val="24"/>
          <w:lang w:val="et-EE"/>
        </w:rPr>
      </w:pPr>
      <w:r w:rsidRPr="00687DE8">
        <w:rPr>
          <w:szCs w:val="24"/>
          <w:lang w:val="et-EE"/>
        </w:rPr>
        <w:t>1) raseduse tuvastamine</w:t>
      </w:r>
      <w:r w:rsidR="00337D47" w:rsidRPr="00687DE8">
        <w:rPr>
          <w:szCs w:val="24"/>
          <w:lang w:val="et-EE"/>
        </w:rPr>
        <w:t xml:space="preserve"> (sealhulgas rasedusriskide hindamine üld- ja sünnitusabi anamneesi alusel</w:t>
      </w:r>
      <w:r w:rsidR="00157FC4" w:rsidRPr="00687DE8">
        <w:rPr>
          <w:szCs w:val="24"/>
          <w:lang w:val="et-EE"/>
        </w:rPr>
        <w:t>,</w:t>
      </w:r>
      <w:r w:rsidR="00337D47" w:rsidRPr="00687DE8">
        <w:rPr>
          <w:szCs w:val="24"/>
          <w:lang w:val="et-EE"/>
        </w:rPr>
        <w:t xml:space="preserve"> üldseisundi hindamine</w:t>
      </w:r>
      <w:r w:rsidR="00444C4A" w:rsidRPr="00687DE8">
        <w:rPr>
          <w:szCs w:val="24"/>
          <w:lang w:val="et-EE"/>
        </w:rPr>
        <w:t>,</w:t>
      </w:r>
      <w:r w:rsidR="00337D47" w:rsidRPr="00687DE8">
        <w:rPr>
          <w:szCs w:val="24"/>
          <w:lang w:val="et-EE"/>
        </w:rPr>
        <w:t xml:space="preserve"> vaginaalne läbivaatus</w:t>
      </w:r>
      <w:r w:rsidR="00EB4DC1" w:rsidRPr="00687DE8">
        <w:rPr>
          <w:szCs w:val="24"/>
          <w:lang w:val="et-EE"/>
        </w:rPr>
        <w:t>,</w:t>
      </w:r>
      <w:r w:rsidR="00337D47" w:rsidRPr="00687DE8">
        <w:rPr>
          <w:szCs w:val="24"/>
          <w:lang w:val="et-EE"/>
        </w:rPr>
        <w:t xml:space="preserve"> analüüside võtmine</w:t>
      </w:r>
      <w:r w:rsidR="00CD0F0A" w:rsidRPr="00687DE8">
        <w:rPr>
          <w:szCs w:val="24"/>
          <w:lang w:val="et-EE"/>
        </w:rPr>
        <w:t>,</w:t>
      </w:r>
      <w:r w:rsidR="00337D47" w:rsidRPr="00687DE8">
        <w:rPr>
          <w:szCs w:val="24"/>
          <w:lang w:val="et-EE"/>
        </w:rPr>
        <w:t xml:space="preserve"> vererõhu mõõtmine</w:t>
      </w:r>
      <w:r w:rsidR="00EB4DC1" w:rsidRPr="00687DE8">
        <w:rPr>
          <w:szCs w:val="24"/>
          <w:lang w:val="et-EE"/>
        </w:rPr>
        <w:t>,</w:t>
      </w:r>
      <w:r w:rsidR="00337D47" w:rsidRPr="00687DE8">
        <w:rPr>
          <w:szCs w:val="24"/>
          <w:lang w:val="et-EE"/>
        </w:rPr>
        <w:t xml:space="preserve"> kehamassiindeksi (KMI) määramine</w:t>
      </w:r>
      <w:r w:rsidR="007136A9" w:rsidRPr="00687DE8">
        <w:rPr>
          <w:szCs w:val="24"/>
          <w:lang w:val="et-EE"/>
        </w:rPr>
        <w:t>,</w:t>
      </w:r>
      <w:r w:rsidR="00337D47" w:rsidRPr="00687DE8">
        <w:rPr>
          <w:szCs w:val="24"/>
          <w:lang w:val="et-EE"/>
        </w:rPr>
        <w:t xml:space="preserve"> </w:t>
      </w:r>
      <w:r w:rsidR="0099489D" w:rsidRPr="00687DE8">
        <w:rPr>
          <w:szCs w:val="24"/>
          <w:lang w:val="et-EE"/>
        </w:rPr>
        <w:t xml:space="preserve">raseduse ultraheliuuring, </w:t>
      </w:r>
      <w:r w:rsidR="00337D47" w:rsidRPr="00687DE8">
        <w:rPr>
          <w:szCs w:val="24"/>
          <w:lang w:val="et-EE"/>
        </w:rPr>
        <w:t xml:space="preserve">raseda küsitlemine vaevuste ja meeleolu suhtes </w:t>
      </w:r>
      <w:r w:rsidR="0065349C" w:rsidRPr="00687DE8">
        <w:rPr>
          <w:szCs w:val="24"/>
          <w:lang w:val="et-EE"/>
        </w:rPr>
        <w:t>ja</w:t>
      </w:r>
      <w:r w:rsidR="00337D47" w:rsidRPr="00687DE8">
        <w:rPr>
          <w:szCs w:val="24"/>
          <w:lang w:val="et-EE"/>
        </w:rPr>
        <w:t xml:space="preserve"> nõustamine</w:t>
      </w:r>
      <w:r w:rsidR="00B11AA4" w:rsidRPr="00687DE8">
        <w:rPr>
          <w:szCs w:val="24"/>
          <w:lang w:val="et-EE"/>
        </w:rPr>
        <w:t>,</w:t>
      </w:r>
      <w:r w:rsidR="00337D47" w:rsidRPr="00687DE8">
        <w:rPr>
          <w:szCs w:val="24"/>
          <w:lang w:val="et-EE"/>
        </w:rPr>
        <w:t xml:space="preserve"> raseduse juhtimise plaani koostamine</w:t>
      </w:r>
      <w:r w:rsidR="00B11AA4" w:rsidRPr="00687DE8">
        <w:rPr>
          <w:szCs w:val="24"/>
          <w:lang w:val="et-EE"/>
        </w:rPr>
        <w:t xml:space="preserve"> </w:t>
      </w:r>
      <w:r w:rsidR="00825F9D" w:rsidRPr="00687DE8">
        <w:rPr>
          <w:szCs w:val="24"/>
          <w:lang w:val="et-EE"/>
        </w:rPr>
        <w:t>ja</w:t>
      </w:r>
      <w:r w:rsidR="00337D47" w:rsidRPr="00687DE8">
        <w:rPr>
          <w:szCs w:val="24"/>
          <w:lang w:val="et-EE"/>
        </w:rPr>
        <w:t xml:space="preserve"> andmete dokumenteerimine</w:t>
      </w:r>
      <w:r w:rsidR="00B11AA4" w:rsidRPr="00687DE8">
        <w:rPr>
          <w:szCs w:val="24"/>
          <w:lang w:val="et-EE"/>
        </w:rPr>
        <w:t>)</w:t>
      </w:r>
      <w:r w:rsidR="008A752C" w:rsidRPr="00687DE8">
        <w:rPr>
          <w:szCs w:val="24"/>
          <w:lang w:val="et-EE"/>
        </w:rPr>
        <w:t>;</w:t>
      </w:r>
    </w:p>
    <w:p w14:paraId="63DEEF28" w14:textId="6126F9C0" w:rsidR="00976487" w:rsidRPr="00687DE8" w:rsidRDefault="00FB0CF0" w:rsidP="00976487">
      <w:pPr>
        <w:pStyle w:val="Vahedeta"/>
        <w:jc w:val="both"/>
        <w:divId w:val="1316184749"/>
        <w:rPr>
          <w:szCs w:val="24"/>
          <w:lang w:val="et-EE"/>
        </w:rPr>
      </w:pPr>
      <w:r w:rsidRPr="00687DE8">
        <w:rPr>
          <w:szCs w:val="24"/>
          <w:lang w:val="et-EE"/>
        </w:rPr>
        <w:t>2</w:t>
      </w:r>
      <w:r w:rsidR="00976487" w:rsidRPr="00687DE8">
        <w:rPr>
          <w:szCs w:val="24"/>
          <w:lang w:val="et-EE"/>
        </w:rPr>
        <w:t>) imetamisnõustamine;</w:t>
      </w:r>
    </w:p>
    <w:p w14:paraId="7A89B362" w14:textId="2F4828AC" w:rsidR="00976487" w:rsidRPr="00687DE8" w:rsidRDefault="00FB0CF0" w:rsidP="00976487">
      <w:pPr>
        <w:pStyle w:val="Vahedeta"/>
        <w:jc w:val="both"/>
        <w:divId w:val="1316184749"/>
        <w:rPr>
          <w:szCs w:val="24"/>
          <w:lang w:val="et-EE"/>
        </w:rPr>
      </w:pPr>
      <w:r w:rsidRPr="00687DE8">
        <w:rPr>
          <w:szCs w:val="24"/>
          <w:lang w:val="et-EE"/>
        </w:rPr>
        <w:t>3</w:t>
      </w:r>
      <w:r w:rsidR="00976487" w:rsidRPr="00687DE8">
        <w:rPr>
          <w:szCs w:val="24"/>
          <w:lang w:val="et-EE"/>
        </w:rPr>
        <w:t>) gestatsioonidiabeedi</w:t>
      </w:r>
      <w:r w:rsidR="00716A69" w:rsidRPr="00687DE8">
        <w:rPr>
          <w:szCs w:val="24"/>
          <w:lang w:val="et-EE"/>
        </w:rPr>
        <w:t xml:space="preserve"> </w:t>
      </w:r>
      <w:r w:rsidRPr="00687DE8">
        <w:rPr>
          <w:szCs w:val="24"/>
          <w:lang w:val="et-EE"/>
        </w:rPr>
        <w:t xml:space="preserve">esmane </w:t>
      </w:r>
      <w:r w:rsidR="00976487" w:rsidRPr="00687DE8">
        <w:rPr>
          <w:szCs w:val="24"/>
          <w:lang w:val="et-EE"/>
        </w:rPr>
        <w:t>nõustamine;</w:t>
      </w:r>
    </w:p>
    <w:p w14:paraId="0FB3BF59" w14:textId="7E4D13DD" w:rsidR="00976487" w:rsidRPr="00687DE8" w:rsidRDefault="00FB0CF0" w:rsidP="00976487">
      <w:pPr>
        <w:pStyle w:val="Vahedeta"/>
        <w:jc w:val="both"/>
        <w:divId w:val="1316184749"/>
        <w:rPr>
          <w:szCs w:val="24"/>
          <w:lang w:val="et-EE"/>
        </w:rPr>
      </w:pPr>
      <w:r w:rsidRPr="00687DE8">
        <w:rPr>
          <w:szCs w:val="24"/>
          <w:lang w:val="et-EE"/>
        </w:rPr>
        <w:t>4</w:t>
      </w:r>
      <w:r w:rsidR="00976487" w:rsidRPr="00687DE8">
        <w:rPr>
          <w:szCs w:val="24"/>
          <w:lang w:val="et-EE"/>
        </w:rPr>
        <w:t>) vaimse tervise nõustamine perinataalperioodis.</w:t>
      </w:r>
    </w:p>
    <w:p w14:paraId="7DC07FD6" w14:textId="77777777" w:rsidR="3D750BEC" w:rsidRPr="00687DE8" w:rsidRDefault="3D750BEC" w:rsidP="3D750BEC">
      <w:pPr>
        <w:spacing w:after="0" w:line="240" w:lineRule="auto"/>
        <w:jc w:val="both"/>
        <w:divId w:val="1316184749"/>
        <w:rPr>
          <w:szCs w:val="24"/>
        </w:rPr>
      </w:pPr>
    </w:p>
    <w:p w14:paraId="5CF53205" w14:textId="77777777" w:rsidR="00976487" w:rsidRPr="00687DE8" w:rsidRDefault="00976487" w:rsidP="00976487">
      <w:pPr>
        <w:spacing w:after="0" w:line="240" w:lineRule="auto"/>
        <w:jc w:val="both"/>
        <w:divId w:val="1316184749"/>
        <w:rPr>
          <w:szCs w:val="24"/>
        </w:rPr>
      </w:pPr>
      <w:r w:rsidRPr="00687DE8">
        <w:rPr>
          <w:szCs w:val="24"/>
        </w:rPr>
        <w:t>(12) Geriaatrilise seisundi hindamise (kood 3027) komisjoni kuuluvad arst, õde ja sotsiaaltöötaja ning vajaduse korral konsultandid.</w:t>
      </w:r>
    </w:p>
    <w:p w14:paraId="458CDEA1" w14:textId="77777777" w:rsidR="00976487" w:rsidRPr="00687DE8" w:rsidRDefault="00976487" w:rsidP="00976487">
      <w:pPr>
        <w:spacing w:after="0" w:line="240" w:lineRule="auto"/>
        <w:jc w:val="both"/>
        <w:divId w:val="1316184749"/>
        <w:rPr>
          <w:szCs w:val="24"/>
        </w:rPr>
      </w:pPr>
    </w:p>
    <w:p w14:paraId="4845A725" w14:textId="3ABF5788" w:rsidR="00976487" w:rsidRPr="00687DE8" w:rsidRDefault="00976487" w:rsidP="00976487">
      <w:pPr>
        <w:spacing w:after="0" w:line="240" w:lineRule="auto"/>
        <w:jc w:val="both"/>
        <w:divId w:val="1316184749"/>
        <w:rPr>
          <w:szCs w:val="24"/>
        </w:rPr>
      </w:pPr>
      <w:r w:rsidRPr="00687DE8">
        <w:rPr>
          <w:szCs w:val="24"/>
        </w:rPr>
        <w:t>(13) Koodi</w:t>
      </w:r>
      <w:r w:rsidR="00AB005C" w:rsidRPr="00687DE8">
        <w:rPr>
          <w:szCs w:val="24"/>
        </w:rPr>
        <w:t>de</w:t>
      </w:r>
      <w:r w:rsidRPr="00687DE8">
        <w:rPr>
          <w:szCs w:val="24"/>
        </w:rPr>
        <w:t>ga 3033</w:t>
      </w:r>
      <w:r w:rsidR="00A52243" w:rsidRPr="00687DE8">
        <w:rPr>
          <w:szCs w:val="24"/>
        </w:rPr>
        <w:t>,</w:t>
      </w:r>
      <w:r w:rsidR="003E6DE6" w:rsidRPr="00687DE8">
        <w:rPr>
          <w:szCs w:val="24"/>
        </w:rPr>
        <w:t xml:space="preserve"> </w:t>
      </w:r>
      <w:r w:rsidR="000C233A" w:rsidRPr="00687DE8">
        <w:rPr>
          <w:szCs w:val="24"/>
        </w:rPr>
        <w:t>3204</w:t>
      </w:r>
      <w:r w:rsidRPr="00687DE8">
        <w:rPr>
          <w:szCs w:val="24"/>
        </w:rPr>
        <w:t xml:space="preserve"> </w:t>
      </w:r>
      <w:r w:rsidR="00A52243" w:rsidRPr="00687DE8">
        <w:rPr>
          <w:szCs w:val="24"/>
        </w:rPr>
        <w:t>ja 3225</w:t>
      </w:r>
      <w:r w:rsidRPr="00687DE8">
        <w:rPr>
          <w:szCs w:val="24"/>
        </w:rPr>
        <w:t xml:space="preserve"> tähistatud tervishoiuteenus</w:t>
      </w:r>
      <w:r w:rsidR="00D936E5" w:rsidRPr="00687DE8">
        <w:rPr>
          <w:szCs w:val="24"/>
        </w:rPr>
        <w:t>t</w:t>
      </w:r>
      <w:r w:rsidRPr="00687DE8">
        <w:rPr>
          <w:szCs w:val="24"/>
        </w:rPr>
        <w:t>e piirhinda rakendatakse aktiivravijärgsel perioodil, kui patsient on stabiilses seisundis, sümptomite</w:t>
      </w:r>
      <w:r w:rsidR="00D96A71">
        <w:rPr>
          <w:szCs w:val="24"/>
        </w:rPr>
        <w:t xml:space="preserve"> </w:t>
      </w:r>
      <w:r w:rsidRPr="00687DE8">
        <w:rPr>
          <w:szCs w:val="24"/>
        </w:rPr>
        <w:t>vaba või stabiilsete jääksümptomitega osalise remissiooni seisundis, kuid vajab pikaajalist jälgimist, et vältida haigusepisoodide kordumist, või haiguse ägenemist ennetavat ravi.</w:t>
      </w:r>
    </w:p>
    <w:p w14:paraId="332A1C6B" w14:textId="77777777" w:rsidR="00976487" w:rsidRPr="00687DE8" w:rsidRDefault="00976487" w:rsidP="00976487">
      <w:pPr>
        <w:spacing w:after="0" w:line="240" w:lineRule="auto"/>
        <w:jc w:val="both"/>
        <w:divId w:val="1316184749"/>
        <w:rPr>
          <w:szCs w:val="24"/>
        </w:rPr>
      </w:pPr>
    </w:p>
    <w:p w14:paraId="719116E0" w14:textId="77777777" w:rsidR="00976487" w:rsidRPr="00687DE8" w:rsidRDefault="00976487" w:rsidP="00976487">
      <w:pPr>
        <w:spacing w:after="0" w:line="240" w:lineRule="auto"/>
        <w:jc w:val="both"/>
        <w:divId w:val="1316184749"/>
        <w:rPr>
          <w:szCs w:val="24"/>
        </w:rPr>
      </w:pPr>
      <w:r w:rsidRPr="00687DE8">
        <w:rPr>
          <w:szCs w:val="24"/>
        </w:rPr>
        <w:t>(14) Koodiga 3026 tähistatud tervishoiuteenuse osutamisel hoolekandeasutuses rakendatakse tasumisel koefitsienti 0,68, kui ühe külastuse jooksul osutatakse teenust vähemalt viiele isikule.</w:t>
      </w:r>
    </w:p>
    <w:p w14:paraId="66277FB1" w14:textId="77777777" w:rsidR="00976487" w:rsidRPr="00687DE8" w:rsidRDefault="00976487" w:rsidP="00976487">
      <w:pPr>
        <w:spacing w:after="0" w:line="240" w:lineRule="auto"/>
        <w:jc w:val="both"/>
        <w:divId w:val="1316184749"/>
        <w:rPr>
          <w:szCs w:val="24"/>
        </w:rPr>
      </w:pPr>
    </w:p>
    <w:p w14:paraId="145A8DEF" w14:textId="057E0187" w:rsidR="00976487" w:rsidRPr="00687DE8" w:rsidRDefault="00976487" w:rsidP="00976487">
      <w:pPr>
        <w:spacing w:after="0" w:line="240" w:lineRule="auto"/>
        <w:jc w:val="both"/>
        <w:divId w:val="1316184749"/>
        <w:rPr>
          <w:szCs w:val="24"/>
        </w:rPr>
      </w:pPr>
      <w:r w:rsidRPr="00687DE8">
        <w:rPr>
          <w:szCs w:val="24"/>
        </w:rPr>
        <w:t xml:space="preserve">(15) Koodiga 3026 tähistatud tervishoiuteenuse piirhind sisaldab tervishoiuteenuste korraldamise seaduse § 25 lõike 3 alusel kehtestatud määruses </w:t>
      </w:r>
      <w:r w:rsidR="001127EE">
        <w:rPr>
          <w:szCs w:val="24"/>
        </w:rPr>
        <w:t xml:space="preserve">ja ravikindlustuse </w:t>
      </w:r>
      <w:r w:rsidR="00AC490D">
        <w:rPr>
          <w:szCs w:val="24"/>
        </w:rPr>
        <w:t xml:space="preserve">seaduse § 32 alusel </w:t>
      </w:r>
      <w:r w:rsidR="00BC78CA">
        <w:rPr>
          <w:szCs w:val="24"/>
        </w:rPr>
        <w:t>kehtestatud</w:t>
      </w:r>
      <w:r w:rsidR="00AC490D">
        <w:rPr>
          <w:szCs w:val="24"/>
        </w:rPr>
        <w:t xml:space="preserve"> määruse lisas </w:t>
      </w:r>
      <w:r w:rsidRPr="00687DE8">
        <w:rPr>
          <w:szCs w:val="24"/>
        </w:rPr>
        <w:t xml:space="preserve">sätestatud koduõendusteenuse hulka kuuluvaid tegevusi koos teenuse osutamiseks </w:t>
      </w:r>
      <w:r w:rsidRPr="00687DE8">
        <w:rPr>
          <w:szCs w:val="24"/>
        </w:rPr>
        <w:lastRenderedPageBreak/>
        <w:t>vajalike ravimite ja materjalidega, välja arvatud arsti poolt eelnevalt määratud krooniliste haiguste retseptiravimid ja meditsiiniseadme kaardiga määratud meditsiiniseadmed</w:t>
      </w:r>
      <w:r w:rsidR="277C71A9" w:rsidRPr="00687DE8">
        <w:rPr>
          <w:szCs w:val="24"/>
        </w:rPr>
        <w:t>.</w:t>
      </w:r>
    </w:p>
    <w:p w14:paraId="7103BB20" w14:textId="77777777" w:rsidR="00976487" w:rsidRPr="00687DE8" w:rsidRDefault="00976487" w:rsidP="00976487">
      <w:pPr>
        <w:spacing w:after="0" w:line="240" w:lineRule="auto"/>
        <w:jc w:val="both"/>
        <w:divId w:val="1316184749"/>
        <w:rPr>
          <w:szCs w:val="24"/>
        </w:rPr>
      </w:pPr>
    </w:p>
    <w:p w14:paraId="372EA865" w14:textId="0B81D066" w:rsidR="00976487" w:rsidRPr="00687DE8" w:rsidRDefault="00976487" w:rsidP="00976487">
      <w:pPr>
        <w:spacing w:after="0" w:line="240" w:lineRule="auto"/>
        <w:jc w:val="both"/>
        <w:divId w:val="1316184749"/>
        <w:rPr>
          <w:szCs w:val="24"/>
        </w:rPr>
      </w:pPr>
      <w:r w:rsidRPr="00687DE8">
        <w:rPr>
          <w:szCs w:val="24"/>
        </w:rPr>
        <w:t xml:space="preserve">(16) Koodiga 3026 tähistatud tervishoiuteenusele </w:t>
      </w:r>
      <w:r w:rsidR="67D665A6" w:rsidRPr="00687DE8">
        <w:rPr>
          <w:szCs w:val="24"/>
        </w:rPr>
        <w:t xml:space="preserve">võib </w:t>
      </w:r>
      <w:r w:rsidR="00CB2F89" w:rsidRPr="00687DE8">
        <w:rPr>
          <w:szCs w:val="24"/>
        </w:rPr>
        <w:t>vajaduse</w:t>
      </w:r>
      <w:r w:rsidR="00825F9D" w:rsidRPr="00687DE8">
        <w:rPr>
          <w:szCs w:val="24"/>
        </w:rPr>
        <w:t xml:space="preserve"> korra</w:t>
      </w:r>
      <w:r w:rsidR="00CB2F89" w:rsidRPr="00687DE8">
        <w:rPr>
          <w:szCs w:val="24"/>
        </w:rPr>
        <w:t xml:space="preserve">l </w:t>
      </w:r>
      <w:r w:rsidR="67D665A6" w:rsidRPr="00687DE8">
        <w:rPr>
          <w:szCs w:val="24"/>
        </w:rPr>
        <w:t xml:space="preserve">juurde kodeerida </w:t>
      </w:r>
      <w:r w:rsidRPr="00687DE8">
        <w:rPr>
          <w:szCs w:val="24"/>
        </w:rPr>
        <w:t xml:space="preserve">eriarsti koduvisiidi </w:t>
      </w:r>
      <w:r w:rsidR="00583A16" w:rsidRPr="00687DE8">
        <w:rPr>
          <w:szCs w:val="24"/>
        </w:rPr>
        <w:t>tegemisel</w:t>
      </w:r>
      <w:r w:rsidRPr="00687DE8">
        <w:rPr>
          <w:szCs w:val="24"/>
        </w:rPr>
        <w:t xml:space="preserve"> koodi 3020 </w:t>
      </w:r>
      <w:r w:rsidR="3AFD239D" w:rsidRPr="00687DE8">
        <w:rPr>
          <w:szCs w:val="24"/>
        </w:rPr>
        <w:t xml:space="preserve">ja </w:t>
      </w:r>
      <w:r w:rsidR="57AC7997" w:rsidRPr="00687DE8">
        <w:rPr>
          <w:szCs w:val="24"/>
        </w:rPr>
        <w:t>kodu</w:t>
      </w:r>
      <w:r w:rsidR="6369658F" w:rsidRPr="00687DE8">
        <w:rPr>
          <w:szCs w:val="24"/>
        </w:rPr>
        <w:t>s</w:t>
      </w:r>
      <w:r w:rsidR="57AC7997" w:rsidRPr="00687DE8">
        <w:rPr>
          <w:szCs w:val="24"/>
        </w:rPr>
        <w:t>e palliatiiv</w:t>
      </w:r>
      <w:r w:rsidR="6C436C34" w:rsidRPr="00687DE8">
        <w:rPr>
          <w:szCs w:val="24"/>
        </w:rPr>
        <w:t>s</w:t>
      </w:r>
      <w:r w:rsidR="57AC7997" w:rsidRPr="00687DE8">
        <w:rPr>
          <w:szCs w:val="24"/>
        </w:rPr>
        <w:t xml:space="preserve">e hapnikravi </w:t>
      </w:r>
      <w:r w:rsidR="372471FF" w:rsidRPr="00687DE8">
        <w:rPr>
          <w:szCs w:val="24"/>
        </w:rPr>
        <w:t>osutamisel</w:t>
      </w:r>
      <w:r w:rsidR="57AC7997" w:rsidRPr="00687DE8">
        <w:rPr>
          <w:szCs w:val="24"/>
        </w:rPr>
        <w:t xml:space="preserve"> koodi </w:t>
      </w:r>
      <w:r w:rsidR="3AFD239D" w:rsidRPr="00687DE8">
        <w:rPr>
          <w:szCs w:val="24"/>
        </w:rPr>
        <w:t>7074</w:t>
      </w:r>
      <w:r w:rsidR="1AFC7294" w:rsidRPr="00687DE8">
        <w:rPr>
          <w:szCs w:val="24"/>
        </w:rPr>
        <w:t>.</w:t>
      </w:r>
      <w:r w:rsidRPr="00687DE8">
        <w:rPr>
          <w:szCs w:val="24"/>
        </w:rPr>
        <w:t xml:space="preserve"> Koodiga 3026 tähistatud tervishoiuteenust ei rakendata isikule, kes elab üldhooldekodus, kus on tagatud koodiga 3097 tähistatud tervishoiuteenus.</w:t>
      </w:r>
    </w:p>
    <w:p w14:paraId="13FF0894" w14:textId="77777777" w:rsidR="00976487" w:rsidRPr="00687DE8" w:rsidRDefault="00976487" w:rsidP="00976487">
      <w:pPr>
        <w:spacing w:after="0" w:line="240" w:lineRule="auto"/>
        <w:jc w:val="both"/>
        <w:divId w:val="1316184749"/>
        <w:rPr>
          <w:szCs w:val="24"/>
        </w:rPr>
      </w:pPr>
    </w:p>
    <w:p w14:paraId="39F8E018" w14:textId="0C342832" w:rsidR="00976487" w:rsidRPr="00687DE8" w:rsidRDefault="00976487" w:rsidP="00976487">
      <w:pPr>
        <w:spacing w:after="0" w:line="240" w:lineRule="auto"/>
        <w:jc w:val="both"/>
        <w:divId w:val="1316184749"/>
        <w:rPr>
          <w:szCs w:val="24"/>
        </w:rPr>
      </w:pPr>
      <w:r w:rsidRPr="00687DE8">
        <w:rPr>
          <w:szCs w:val="24"/>
        </w:rPr>
        <w:t xml:space="preserve">(17) Koodiga 3034 tähistatud tervishoiuteenuse piirhinda rakendatakse ühe juhtumi hinnangu kohta. </w:t>
      </w:r>
      <w:r w:rsidR="005023FD" w:rsidRPr="00687DE8">
        <w:rPr>
          <w:szCs w:val="24"/>
        </w:rPr>
        <w:t>Tervisekassa</w:t>
      </w:r>
      <w:r w:rsidRPr="00687DE8">
        <w:rPr>
          <w:szCs w:val="24"/>
        </w:rPr>
        <w:t xml:space="preserve"> tasub koodiga 3034 tähistatud tervishoiuteenuse osutamise eest sellele tervishoiuteenuse osutajale, kelle juures töötab kindlustatud isikule tervishoiuteenust osutanud eriarst.</w:t>
      </w:r>
    </w:p>
    <w:p w14:paraId="1BB9D9C1" w14:textId="77777777" w:rsidR="00976487" w:rsidRPr="00687DE8" w:rsidRDefault="00976487" w:rsidP="00976487">
      <w:pPr>
        <w:spacing w:after="0" w:line="240" w:lineRule="auto"/>
        <w:jc w:val="both"/>
        <w:divId w:val="1316184749"/>
        <w:rPr>
          <w:szCs w:val="24"/>
        </w:rPr>
      </w:pPr>
    </w:p>
    <w:p w14:paraId="43E37D35" w14:textId="77777777" w:rsidR="00976487" w:rsidRPr="00687DE8" w:rsidRDefault="00976487" w:rsidP="00976487">
      <w:pPr>
        <w:spacing w:after="0" w:line="240" w:lineRule="auto"/>
        <w:jc w:val="both"/>
        <w:divId w:val="1316184749"/>
        <w:rPr>
          <w:szCs w:val="24"/>
        </w:rPr>
      </w:pPr>
      <w:r w:rsidRPr="00687DE8">
        <w:rPr>
          <w:szCs w:val="24"/>
        </w:rPr>
        <w:t>(18) Koodiga 3034 tähistatud tervishoiuteenuse osutamisel meditsiinigeneetika erialal osaleb hinnangu andmisel arst-geneetik.</w:t>
      </w:r>
    </w:p>
    <w:p w14:paraId="094727A9" w14:textId="77777777" w:rsidR="00976487" w:rsidRPr="00687DE8" w:rsidRDefault="00976487" w:rsidP="00976487">
      <w:pPr>
        <w:spacing w:after="0" w:line="240" w:lineRule="auto"/>
        <w:jc w:val="both"/>
        <w:divId w:val="1316184749"/>
        <w:rPr>
          <w:szCs w:val="24"/>
        </w:rPr>
      </w:pPr>
    </w:p>
    <w:p w14:paraId="047181DF" w14:textId="01B96E2D" w:rsidR="00976487" w:rsidRPr="00687DE8" w:rsidRDefault="00976487" w:rsidP="00976487">
      <w:pPr>
        <w:spacing w:after="0" w:line="240" w:lineRule="auto"/>
        <w:jc w:val="both"/>
        <w:divId w:val="1316184749"/>
        <w:rPr>
          <w:szCs w:val="24"/>
        </w:rPr>
      </w:pPr>
      <w:r>
        <w:t xml:space="preserve">(19) </w:t>
      </w:r>
      <w:r w:rsidR="005023FD">
        <w:t>Tervisekassa</w:t>
      </w:r>
      <w:r>
        <w:t xml:space="preserve"> võtab koodiga 3034 tähistatud tervishoiuteenuse eest tasu maksmise kohustuse üle juhul, kui nimetatud tervishoiuteenuse osutamise käigus koostatud hinnang </w:t>
      </w:r>
      <w:r w:rsidR="00AE276F">
        <w:t>kajastab ravikindlustuse seaduse § 27</w:t>
      </w:r>
      <w:r w:rsidR="00AE276F" w:rsidRPr="3749B0B3">
        <w:rPr>
          <w:vertAlign w:val="superscript"/>
        </w:rPr>
        <w:t>1</w:t>
      </w:r>
      <w:r w:rsidR="00AE276F">
        <w:t xml:space="preserve"> lõikes 1 sätestatud </w:t>
      </w:r>
      <w:r w:rsidR="4AA1C336">
        <w:t>kriteeriumi</w:t>
      </w:r>
      <w:r w:rsidR="5FC0079B">
        <w:t>d</w:t>
      </w:r>
      <w:r w:rsidR="4AA1C336">
        <w:t>e</w:t>
      </w:r>
      <w:r w:rsidR="00AE276F">
        <w:t xml:space="preserve"> hindamiseks vajalikke andmeid, sealhulgas patsiendi, taotletava tervishoiuteenuse</w:t>
      </w:r>
      <w:r w:rsidR="5DAF20C5">
        <w:t>,</w:t>
      </w:r>
      <w:r w:rsidR="00AE276F">
        <w:t xml:space="preserve"> sellele eelneva ja järgneva ravi ning välisriigi raviasutuse kohta</w:t>
      </w:r>
      <w:r w:rsidR="3F2B8F80">
        <w:t>,</w:t>
      </w:r>
      <w:r w:rsidR="00AE276F">
        <w:t xml:space="preserve"> ja </w:t>
      </w:r>
      <w:r w:rsidR="41269522">
        <w:t xml:space="preserve">see </w:t>
      </w:r>
      <w:r w:rsidR="00AE276F">
        <w:t xml:space="preserve">on esitatud Tervisekassa </w:t>
      </w:r>
      <w:r w:rsidR="26A58696">
        <w:t>veebi</w:t>
      </w:r>
      <w:r w:rsidR="4AA1C336">
        <w:t>lehel</w:t>
      </w:r>
      <w:r w:rsidR="00AE276F">
        <w:t xml:space="preserve"> kättesaadaval vormil. Tervisekassal on õigus </w:t>
      </w:r>
      <w:r w:rsidR="01CB91D5">
        <w:t>esitada</w:t>
      </w:r>
      <w:r w:rsidR="00AE276F">
        <w:t xml:space="preserve"> </w:t>
      </w:r>
      <w:r w:rsidR="067D50CE">
        <w:t>lisa</w:t>
      </w:r>
      <w:r w:rsidR="4AA1C336">
        <w:t>küsimusi</w:t>
      </w:r>
      <w:r w:rsidR="671110EC">
        <w:t xml:space="preserve"> kriteeriumide täidetuse hindamiseks</w:t>
      </w:r>
      <w:r w:rsidR="00AE276F">
        <w:t xml:space="preserve">. </w:t>
      </w:r>
      <w:r w:rsidR="001617FB">
        <w:t xml:space="preserve">Kui vormil küsitavaid andmeid ei ole esitatud, </w:t>
      </w:r>
      <w:r w:rsidR="07A31E2E">
        <w:t>s</w:t>
      </w:r>
      <w:r w:rsidR="731142A1">
        <w:t>eal</w:t>
      </w:r>
      <w:r w:rsidR="07A31E2E">
        <w:t>h</w:t>
      </w:r>
      <w:r w:rsidR="4D471E60">
        <w:t>ulgas</w:t>
      </w:r>
      <w:r w:rsidR="07A31E2E">
        <w:t xml:space="preserve"> </w:t>
      </w:r>
      <w:r w:rsidR="00CA67C6">
        <w:t xml:space="preserve">peale </w:t>
      </w:r>
      <w:r w:rsidR="07A31E2E">
        <w:t xml:space="preserve">täiendavalt antud </w:t>
      </w:r>
      <w:r w:rsidR="43232CFA">
        <w:t xml:space="preserve">võimalust </w:t>
      </w:r>
      <w:r w:rsidR="00CA67C6">
        <w:t xml:space="preserve">vormi </w:t>
      </w:r>
      <w:r w:rsidR="00C34A76">
        <w:t>täi</w:t>
      </w:r>
      <w:r w:rsidR="6B6F6D64">
        <w:t>e</w:t>
      </w:r>
      <w:r w:rsidR="00C34A76">
        <w:t>nda</w:t>
      </w:r>
      <w:r w:rsidR="4FE1F45A">
        <w:t>da</w:t>
      </w:r>
      <w:r w:rsidR="0E143BA6">
        <w:t xml:space="preserve">, </w:t>
      </w:r>
      <w:r w:rsidR="001617FB">
        <w:t>ei võta Tervisekassa koodiga 3</w:t>
      </w:r>
      <w:r w:rsidR="006400D0">
        <w:t>0</w:t>
      </w:r>
      <w:r w:rsidR="001617FB">
        <w:t>34 tähistatud tervishoiuteenuse eest tasu maksmise kohustust üle.</w:t>
      </w:r>
    </w:p>
    <w:p w14:paraId="68E14624" w14:textId="77777777" w:rsidR="0097759B" w:rsidRPr="00687DE8" w:rsidRDefault="0097759B" w:rsidP="00976487">
      <w:pPr>
        <w:spacing w:after="0" w:line="240" w:lineRule="auto"/>
        <w:jc w:val="both"/>
        <w:divId w:val="1316184749"/>
        <w:rPr>
          <w:szCs w:val="24"/>
        </w:rPr>
      </w:pPr>
    </w:p>
    <w:p w14:paraId="118FFE6A" w14:textId="2E26FC66" w:rsidR="00976487" w:rsidRPr="00687DE8" w:rsidRDefault="00976487" w:rsidP="00976487">
      <w:pPr>
        <w:spacing w:after="0" w:line="240" w:lineRule="auto"/>
        <w:jc w:val="both"/>
        <w:divId w:val="1316184749"/>
      </w:pPr>
      <w:r>
        <w:t>(20) Koodiga 3034 tähistatud tervishoiuteenuse piirhinda rakendatakse Euroopa Parlamendi ja nõukogu määruse (EÜ) nr 883/2004 sotsiaalkindlustussüsteemide koordineerimise kohta (ELT L 166, 30.04.2004, lk 1–123) artiklis 20 sätestatud kriteeriumidele vastavusele hinnangu andmisel.</w:t>
      </w:r>
      <w:r w:rsidR="00821F7F" w:rsidRPr="00821F7F">
        <w:t xml:space="preserve"> </w:t>
      </w:r>
      <w:r w:rsidR="00821F7F">
        <w:t>Hindamiseks vajalikud andmed, sealhulgas patsiendi, taotletava tervishoiuteenuse</w:t>
      </w:r>
      <w:r w:rsidR="3F2D6BA1">
        <w:t>,</w:t>
      </w:r>
      <w:r w:rsidR="00821F7F">
        <w:t xml:space="preserve"> sellele eelneva ja järgneva ravi ning välisriigi raviasutuse kohta on esitatud Tervisekassa </w:t>
      </w:r>
      <w:r w:rsidR="26DE0102">
        <w:t>veebi</w:t>
      </w:r>
      <w:r w:rsidR="00BDC424">
        <w:t>lehel</w:t>
      </w:r>
      <w:r w:rsidR="00821F7F">
        <w:t xml:space="preserve"> kättesaadaval vormil. Tervisekassal on õigus </w:t>
      </w:r>
      <w:r w:rsidR="7FB5E2DF">
        <w:t>esitada</w:t>
      </w:r>
      <w:r w:rsidR="00821F7F">
        <w:t xml:space="preserve"> </w:t>
      </w:r>
      <w:r w:rsidR="5B6CB3BA">
        <w:t>lisa</w:t>
      </w:r>
      <w:r w:rsidR="00BDC424">
        <w:t>küsimusi</w:t>
      </w:r>
      <w:r w:rsidR="27D7631F">
        <w:t xml:space="preserve"> kriteeriumide täi</w:t>
      </w:r>
      <w:r w:rsidR="4C7DEABA">
        <w:t>detuse</w:t>
      </w:r>
      <w:r w:rsidR="27D7631F">
        <w:t xml:space="preserve"> hindamiseks</w:t>
      </w:r>
      <w:r w:rsidR="00821F7F">
        <w:t xml:space="preserve">. </w:t>
      </w:r>
      <w:r w:rsidR="001617FB">
        <w:t xml:space="preserve">Kui vormil küsitavaid andmeid ei ole esitatud, </w:t>
      </w:r>
      <w:r w:rsidR="27D7631F">
        <w:t>s</w:t>
      </w:r>
      <w:r w:rsidR="480EEB26">
        <w:t>eal</w:t>
      </w:r>
      <w:r w:rsidR="27D7631F">
        <w:t>h</w:t>
      </w:r>
      <w:r w:rsidR="2B6BFD66">
        <w:t>ulgas</w:t>
      </w:r>
      <w:r w:rsidR="27D7631F">
        <w:t xml:space="preserve"> </w:t>
      </w:r>
      <w:r w:rsidR="00B538D3">
        <w:t>peale</w:t>
      </w:r>
      <w:r w:rsidR="372AE60D">
        <w:t xml:space="preserve"> </w:t>
      </w:r>
      <w:r w:rsidR="27D7631F">
        <w:t>täiendava</w:t>
      </w:r>
      <w:r w:rsidR="00B538D3">
        <w:t>l</w:t>
      </w:r>
      <w:r w:rsidR="27D7631F">
        <w:t xml:space="preserve">t </w:t>
      </w:r>
      <w:r w:rsidR="00B538D3">
        <w:t xml:space="preserve">antud </w:t>
      </w:r>
      <w:r w:rsidR="2152AD3E">
        <w:t xml:space="preserve">võimalust </w:t>
      </w:r>
      <w:r w:rsidR="00B538D3">
        <w:t>vormi täienda</w:t>
      </w:r>
      <w:r w:rsidR="1964F2C1">
        <w:t>da</w:t>
      </w:r>
      <w:r w:rsidR="27D7631F">
        <w:t>,</w:t>
      </w:r>
      <w:r w:rsidR="0E143BA6">
        <w:t xml:space="preserve"> </w:t>
      </w:r>
      <w:r w:rsidR="001617FB">
        <w:t>ei võta Tervisekassa koodiga 3</w:t>
      </w:r>
      <w:r w:rsidR="006400D0">
        <w:t>0</w:t>
      </w:r>
      <w:r w:rsidR="001617FB">
        <w:t>34 tähistatud tervishoiuteenuse eest tasu maksmise kohustust üle.</w:t>
      </w:r>
    </w:p>
    <w:p w14:paraId="5C1FD709" w14:textId="77777777" w:rsidR="00976487" w:rsidRPr="00687DE8" w:rsidRDefault="00976487" w:rsidP="00976487">
      <w:pPr>
        <w:spacing w:after="0" w:line="240" w:lineRule="auto"/>
        <w:jc w:val="both"/>
        <w:divId w:val="1316184749"/>
        <w:rPr>
          <w:szCs w:val="24"/>
        </w:rPr>
      </w:pPr>
    </w:p>
    <w:p w14:paraId="4C896CC1" w14:textId="77777777" w:rsidR="00976487" w:rsidRPr="00687DE8" w:rsidRDefault="00976487" w:rsidP="00976487">
      <w:pPr>
        <w:spacing w:after="0" w:line="240" w:lineRule="auto"/>
        <w:jc w:val="both"/>
        <w:divId w:val="1316184749"/>
        <w:rPr>
          <w:szCs w:val="24"/>
        </w:rPr>
      </w:pPr>
      <w:r w:rsidRPr="00687DE8">
        <w:rPr>
          <w:szCs w:val="24"/>
        </w:rPr>
        <w:t>(21) Koodiga 3042 tähistatud tervishoiuteenuse eksper</w:t>
      </w:r>
      <w:r w:rsidR="00DE673F" w:rsidRPr="00687DE8">
        <w:rPr>
          <w:szCs w:val="24"/>
        </w:rPr>
        <w:t>di</w:t>
      </w:r>
      <w:r w:rsidRPr="00687DE8">
        <w:rPr>
          <w:szCs w:val="24"/>
        </w:rPr>
        <w:t>komisjoni kuuluvad vähemalt neli arsti, kellest vähemalt kaks on onkoloogid (onkoteraapia ja kiiritusonkoloogia spetsialist)</w:t>
      </w:r>
      <w:r w:rsidR="4AD035D0" w:rsidRPr="00687DE8">
        <w:rPr>
          <w:szCs w:val="24"/>
        </w:rPr>
        <w:t xml:space="preserve"> või vastavat lisapädevust omavad pediaatrid</w:t>
      </w:r>
      <w:r w:rsidRPr="00687DE8">
        <w:rPr>
          <w:szCs w:val="24"/>
        </w:rPr>
        <w:t xml:space="preserve"> ja üks vastava paikme pädevusega kirurg.</w:t>
      </w:r>
    </w:p>
    <w:p w14:paraId="4F1E04F3" w14:textId="77777777" w:rsidR="00976487" w:rsidRPr="00687DE8" w:rsidRDefault="00976487" w:rsidP="00976487">
      <w:pPr>
        <w:spacing w:after="0" w:line="240" w:lineRule="auto"/>
        <w:jc w:val="both"/>
        <w:divId w:val="1316184749"/>
        <w:rPr>
          <w:szCs w:val="24"/>
        </w:rPr>
      </w:pPr>
    </w:p>
    <w:p w14:paraId="4DB0BA24" w14:textId="77777777" w:rsidR="00976487" w:rsidRPr="00687DE8" w:rsidRDefault="00976487" w:rsidP="00976487">
      <w:pPr>
        <w:spacing w:after="0" w:line="240" w:lineRule="auto"/>
        <w:jc w:val="both"/>
        <w:divId w:val="1316184749"/>
        <w:rPr>
          <w:szCs w:val="24"/>
        </w:rPr>
      </w:pPr>
      <w:r w:rsidRPr="00687DE8">
        <w:rPr>
          <w:szCs w:val="24"/>
        </w:rPr>
        <w:t>(22) Koodiga 3043 tähistatud tervishoiuteenuse eksper</w:t>
      </w:r>
      <w:r w:rsidR="00DE673F" w:rsidRPr="00687DE8">
        <w:rPr>
          <w:szCs w:val="24"/>
        </w:rPr>
        <w:t>di</w:t>
      </w:r>
      <w:r w:rsidRPr="00687DE8">
        <w:rPr>
          <w:szCs w:val="24"/>
        </w:rPr>
        <w:t>komisjoni kuuluvad vähemalt kolm arsti, kellest vähemalt kaks on hematoloogid</w:t>
      </w:r>
      <w:r w:rsidR="00BE5B07" w:rsidRPr="00687DE8">
        <w:rPr>
          <w:szCs w:val="24"/>
        </w:rPr>
        <w:t xml:space="preserve"> või vastavat lisapädevust omavad pediaatrid</w:t>
      </w:r>
      <w:r w:rsidRPr="00687DE8">
        <w:rPr>
          <w:szCs w:val="24"/>
        </w:rPr>
        <w:t>.</w:t>
      </w:r>
    </w:p>
    <w:p w14:paraId="0FE1C515" w14:textId="77777777" w:rsidR="00AE018F" w:rsidRPr="00687DE8" w:rsidRDefault="00AE018F" w:rsidP="00976487">
      <w:pPr>
        <w:spacing w:after="0" w:line="240" w:lineRule="auto"/>
        <w:jc w:val="both"/>
        <w:divId w:val="1316184749"/>
        <w:rPr>
          <w:szCs w:val="24"/>
        </w:rPr>
      </w:pPr>
    </w:p>
    <w:p w14:paraId="63526D79" w14:textId="55EF6D47" w:rsidR="00976487" w:rsidRPr="00687DE8" w:rsidRDefault="00976487" w:rsidP="00976487">
      <w:pPr>
        <w:spacing w:after="0" w:line="240" w:lineRule="auto"/>
        <w:jc w:val="both"/>
        <w:divId w:val="1316184749"/>
        <w:rPr>
          <w:szCs w:val="24"/>
        </w:rPr>
      </w:pPr>
      <w:r w:rsidRPr="00687DE8">
        <w:rPr>
          <w:szCs w:val="24"/>
        </w:rPr>
        <w:t xml:space="preserve">(23) </w:t>
      </w:r>
      <w:r w:rsidR="005023FD" w:rsidRPr="00687DE8">
        <w:rPr>
          <w:szCs w:val="24"/>
        </w:rPr>
        <w:t>Tervisekassa</w:t>
      </w:r>
      <w:r w:rsidRPr="00687DE8">
        <w:rPr>
          <w:szCs w:val="24"/>
        </w:rPr>
        <w:t xml:space="preserve"> võtab koodidega 3042 ja 3043 tähistatud tervishoiuteenuste eest tasu maksmise kohustuse üle juhul, kui nimetatud tervishoiuteenuste osutamise käigus koostatud raviplaan vastab ravikindlustuse seaduse § 32 alusel kehtestatud määruse lisas sätestatud vormile.</w:t>
      </w:r>
    </w:p>
    <w:p w14:paraId="6C3EB9A9" w14:textId="77777777" w:rsidR="00976487" w:rsidRPr="00687DE8" w:rsidRDefault="00976487" w:rsidP="00976487">
      <w:pPr>
        <w:spacing w:after="0" w:line="240" w:lineRule="auto"/>
        <w:jc w:val="both"/>
        <w:divId w:val="1316184749"/>
        <w:rPr>
          <w:szCs w:val="24"/>
        </w:rPr>
      </w:pPr>
    </w:p>
    <w:p w14:paraId="3D656827" w14:textId="77777777" w:rsidR="00976487" w:rsidRPr="00687DE8" w:rsidRDefault="00976487" w:rsidP="00976487">
      <w:pPr>
        <w:spacing w:after="0" w:line="240" w:lineRule="auto"/>
        <w:jc w:val="both"/>
        <w:divId w:val="1316184749"/>
        <w:rPr>
          <w:szCs w:val="24"/>
        </w:rPr>
      </w:pPr>
      <w:r w:rsidRPr="00687DE8">
        <w:rPr>
          <w:szCs w:val="24"/>
        </w:rPr>
        <w:lastRenderedPageBreak/>
        <w:t>(24) Koodiga 3113 tähistatud tervishoiuteenuse eksper</w:t>
      </w:r>
      <w:r w:rsidR="00DE673F" w:rsidRPr="00687DE8">
        <w:rPr>
          <w:szCs w:val="24"/>
        </w:rPr>
        <w:t>di</w:t>
      </w:r>
      <w:r w:rsidRPr="00687DE8">
        <w:rPr>
          <w:szCs w:val="24"/>
        </w:rPr>
        <w:t xml:space="preserve">komisjoni kuuluvad vähemalt üks eriarst või hambaarst ja </w:t>
      </w:r>
      <w:r w:rsidR="37D77FB5" w:rsidRPr="00687DE8">
        <w:rPr>
          <w:szCs w:val="24"/>
        </w:rPr>
        <w:t>lisaks</w:t>
      </w:r>
      <w:r w:rsidRPr="00687DE8">
        <w:rPr>
          <w:szCs w:val="24"/>
        </w:rPr>
        <w:t xml:space="preserve"> vähemalt kolm tervishoiutöötajat </w:t>
      </w:r>
      <w:r w:rsidR="18278B44" w:rsidRPr="00687DE8">
        <w:rPr>
          <w:szCs w:val="24"/>
        </w:rPr>
        <w:t xml:space="preserve">(sh eriarsti) </w:t>
      </w:r>
      <w:r w:rsidRPr="00687DE8">
        <w:rPr>
          <w:szCs w:val="24"/>
        </w:rPr>
        <w:t>või kõrgharidusega tugispetsialisti.</w:t>
      </w:r>
    </w:p>
    <w:p w14:paraId="76597F66" w14:textId="77777777" w:rsidR="00976487" w:rsidRPr="00687DE8" w:rsidRDefault="00976487" w:rsidP="00976487">
      <w:pPr>
        <w:spacing w:after="0" w:line="240" w:lineRule="auto"/>
        <w:jc w:val="both"/>
        <w:divId w:val="1316184749"/>
        <w:rPr>
          <w:szCs w:val="24"/>
        </w:rPr>
      </w:pPr>
    </w:p>
    <w:p w14:paraId="62796716" w14:textId="0FC8FAFF" w:rsidR="00976487" w:rsidRPr="00687DE8" w:rsidRDefault="00976487" w:rsidP="00976487">
      <w:pPr>
        <w:spacing w:after="0" w:line="240" w:lineRule="auto"/>
        <w:jc w:val="both"/>
        <w:divId w:val="1316184749"/>
        <w:rPr>
          <w:szCs w:val="24"/>
        </w:rPr>
      </w:pPr>
      <w:r w:rsidRPr="00687DE8">
        <w:rPr>
          <w:szCs w:val="24"/>
        </w:rPr>
        <w:t>(25) Koodiga 3114 tähistatud tervishoiuteenuse eksper</w:t>
      </w:r>
      <w:r w:rsidR="00DE673F" w:rsidRPr="00687DE8">
        <w:rPr>
          <w:szCs w:val="24"/>
        </w:rPr>
        <w:t>di</w:t>
      </w:r>
      <w:r w:rsidRPr="00687DE8">
        <w:rPr>
          <w:szCs w:val="24"/>
        </w:rPr>
        <w:t>komisjoni kuuluvad vähemalt kolm eriarsti ja vähemalt üks muu tervishoiutöötaja või kõrgharidusega tugispetsialist.</w:t>
      </w:r>
    </w:p>
    <w:p w14:paraId="66749AB8" w14:textId="77777777" w:rsidR="00976487" w:rsidRPr="00687DE8" w:rsidRDefault="00976487" w:rsidP="00101B00">
      <w:pPr>
        <w:spacing w:after="0" w:line="240" w:lineRule="auto"/>
        <w:jc w:val="both"/>
        <w:divId w:val="1316184749"/>
        <w:rPr>
          <w:szCs w:val="24"/>
        </w:rPr>
      </w:pPr>
    </w:p>
    <w:p w14:paraId="22607BFB" w14:textId="000A0702" w:rsidR="00976487" w:rsidRPr="00687DE8" w:rsidRDefault="00976487" w:rsidP="00054DE4">
      <w:pPr>
        <w:spacing w:after="0" w:line="240" w:lineRule="auto"/>
        <w:jc w:val="both"/>
        <w:divId w:val="1316184749"/>
        <w:rPr>
          <w:color w:val="202020"/>
          <w:szCs w:val="24"/>
          <w:shd w:val="clear" w:color="auto" w:fill="FFFFFF"/>
        </w:rPr>
      </w:pPr>
      <w:r w:rsidRPr="00687DE8">
        <w:rPr>
          <w:color w:val="202020"/>
          <w:szCs w:val="24"/>
          <w:shd w:val="clear" w:color="auto" w:fill="FFFFFF"/>
        </w:rPr>
        <w:t xml:space="preserve">(26) </w:t>
      </w:r>
      <w:r w:rsidR="005023FD" w:rsidRPr="00687DE8">
        <w:rPr>
          <w:color w:val="202020"/>
          <w:szCs w:val="24"/>
          <w:shd w:val="clear" w:color="auto" w:fill="FFFFFF"/>
        </w:rPr>
        <w:t>Tervisekassa</w:t>
      </w:r>
      <w:r w:rsidRPr="00687DE8">
        <w:rPr>
          <w:color w:val="202020"/>
          <w:szCs w:val="24"/>
          <w:shd w:val="clear" w:color="auto" w:fill="FFFFFF"/>
        </w:rPr>
        <w:t xml:space="preserve"> võtab koodidega 3113 ja 3114 tähistatud tervishoiuteenuste eest tasu maksmise kohustuse üle juhul, kui dokumenteeritud raviplaan sisaldab järgmisi andmeid:</w:t>
      </w:r>
    </w:p>
    <w:p w14:paraId="6A811EAD" w14:textId="77777777" w:rsidR="00976487" w:rsidRPr="00687DE8" w:rsidRDefault="00976487" w:rsidP="00054DE4">
      <w:pPr>
        <w:spacing w:after="0" w:line="240" w:lineRule="auto"/>
        <w:jc w:val="both"/>
        <w:divId w:val="1316184749"/>
        <w:rPr>
          <w:color w:val="202020"/>
          <w:szCs w:val="24"/>
          <w:shd w:val="clear" w:color="auto" w:fill="FFFFFF"/>
        </w:rPr>
      </w:pPr>
      <w:r w:rsidRPr="00687DE8">
        <w:rPr>
          <w:color w:val="202020"/>
          <w:szCs w:val="24"/>
          <w:shd w:val="clear" w:color="auto" w:fill="FFFFFF"/>
        </w:rPr>
        <w:t>1) diagnoos või seisund, mis tingib raviplaani koostamise vajaduse;</w:t>
      </w:r>
    </w:p>
    <w:p w14:paraId="7682D286" w14:textId="77777777" w:rsidR="00976487" w:rsidRPr="00687DE8" w:rsidRDefault="00976487" w:rsidP="00101B00">
      <w:pPr>
        <w:spacing w:after="0" w:line="240" w:lineRule="auto"/>
        <w:jc w:val="both"/>
        <w:divId w:val="1316184749"/>
        <w:rPr>
          <w:color w:val="202020"/>
          <w:szCs w:val="24"/>
          <w:shd w:val="clear" w:color="auto" w:fill="FFFFFF"/>
        </w:rPr>
      </w:pPr>
      <w:r w:rsidRPr="00687DE8">
        <w:rPr>
          <w:color w:val="202020"/>
          <w:szCs w:val="24"/>
          <w:shd w:val="clear" w:color="auto" w:fill="FFFFFF"/>
        </w:rPr>
        <w:t>2) raviplaani koostamise asjaolud (esmane raviplaan või raviplaani muutmine, raviplaani muutmise põhjendus);</w:t>
      </w:r>
    </w:p>
    <w:p w14:paraId="13D34C4E" w14:textId="77777777" w:rsidR="00976487" w:rsidRPr="00687DE8" w:rsidRDefault="00976487" w:rsidP="00101B00">
      <w:pPr>
        <w:spacing w:after="0" w:line="240" w:lineRule="auto"/>
        <w:jc w:val="both"/>
        <w:divId w:val="1316184749"/>
        <w:rPr>
          <w:color w:val="202020"/>
          <w:szCs w:val="24"/>
          <w:shd w:val="clear" w:color="auto" w:fill="FFFFFF"/>
        </w:rPr>
      </w:pPr>
      <w:r w:rsidRPr="00687DE8">
        <w:rPr>
          <w:color w:val="202020"/>
          <w:szCs w:val="24"/>
          <w:shd w:val="clear" w:color="auto" w:fill="FFFFFF"/>
        </w:rPr>
        <w:t>3) rakendatav raviplaan ja otsused (</w:t>
      </w:r>
      <w:r w:rsidRPr="00687DE8">
        <w:rPr>
          <w:szCs w:val="24"/>
        </w:rPr>
        <w:t>raviviis(id) koos kordade arvu ja põhjendusega);</w:t>
      </w:r>
    </w:p>
    <w:p w14:paraId="2C22F5EC" w14:textId="77777777" w:rsidR="00976487" w:rsidRPr="00687DE8" w:rsidRDefault="00976487" w:rsidP="00101B00">
      <w:pPr>
        <w:spacing w:after="0" w:line="240" w:lineRule="auto"/>
        <w:jc w:val="both"/>
        <w:divId w:val="1316184749"/>
        <w:rPr>
          <w:color w:val="202020"/>
          <w:szCs w:val="24"/>
          <w:shd w:val="clear" w:color="auto" w:fill="FFFFFF"/>
        </w:rPr>
      </w:pPr>
      <w:r w:rsidRPr="00687DE8">
        <w:rPr>
          <w:color w:val="202020"/>
          <w:szCs w:val="24"/>
          <w:shd w:val="clear" w:color="auto" w:fill="FFFFFF"/>
        </w:rPr>
        <w:t>4) raviplaani rakendamise periood;</w:t>
      </w:r>
    </w:p>
    <w:p w14:paraId="5441314E" w14:textId="77777777" w:rsidR="00976487" w:rsidRPr="00687DE8" w:rsidRDefault="00976487" w:rsidP="00101B00">
      <w:pPr>
        <w:spacing w:after="0" w:line="240" w:lineRule="auto"/>
        <w:jc w:val="both"/>
        <w:divId w:val="1316184749"/>
        <w:rPr>
          <w:color w:val="202020"/>
          <w:szCs w:val="24"/>
          <w:shd w:val="clear" w:color="auto" w:fill="FFFFFF"/>
        </w:rPr>
      </w:pPr>
      <w:r w:rsidRPr="00687DE8">
        <w:rPr>
          <w:color w:val="202020"/>
          <w:szCs w:val="24"/>
          <w:shd w:val="clear" w:color="auto" w:fill="FFFFFF"/>
        </w:rPr>
        <w:t>5) eriarvamused (mille kohta, kes esitas);</w:t>
      </w:r>
    </w:p>
    <w:p w14:paraId="640D5D9E" w14:textId="77777777" w:rsidR="00976487" w:rsidRPr="00687DE8" w:rsidRDefault="00976487" w:rsidP="00101B00">
      <w:pPr>
        <w:spacing w:after="0" w:line="240" w:lineRule="auto"/>
        <w:jc w:val="both"/>
        <w:divId w:val="1316184749"/>
        <w:rPr>
          <w:szCs w:val="24"/>
        </w:rPr>
      </w:pPr>
      <w:r w:rsidRPr="00687DE8">
        <w:rPr>
          <w:color w:val="202020"/>
          <w:szCs w:val="24"/>
          <w:shd w:val="clear" w:color="auto" w:fill="FFFFFF"/>
        </w:rPr>
        <w:t>6) raviplaani koostamisel osalejad (nimi, kood, eriala/kutse).</w:t>
      </w:r>
    </w:p>
    <w:p w14:paraId="484508FE" w14:textId="77777777" w:rsidR="00976487" w:rsidRPr="00687DE8" w:rsidRDefault="00976487" w:rsidP="00976487">
      <w:pPr>
        <w:spacing w:after="0" w:line="240" w:lineRule="auto"/>
        <w:jc w:val="both"/>
        <w:divId w:val="1316184749"/>
        <w:rPr>
          <w:szCs w:val="24"/>
        </w:rPr>
      </w:pPr>
    </w:p>
    <w:p w14:paraId="1B76CF0B" w14:textId="0DB1F6A9" w:rsidR="00976487" w:rsidRPr="00687DE8" w:rsidRDefault="00976487" w:rsidP="00976487">
      <w:pPr>
        <w:spacing w:after="0" w:line="240" w:lineRule="auto"/>
        <w:jc w:val="both"/>
        <w:divId w:val="1316184749"/>
        <w:rPr>
          <w:szCs w:val="24"/>
        </w:rPr>
      </w:pPr>
      <w:r w:rsidRPr="00687DE8">
        <w:rPr>
          <w:szCs w:val="24"/>
        </w:rPr>
        <w:t>(2</w:t>
      </w:r>
      <w:r w:rsidR="00A00F9A">
        <w:rPr>
          <w:szCs w:val="24"/>
        </w:rPr>
        <w:t>7</w:t>
      </w:r>
      <w:r w:rsidRPr="00687DE8">
        <w:rPr>
          <w:szCs w:val="24"/>
        </w:rPr>
        <w:t>) Koodiga 3101 tähistatud tervishoiuteenuse eksper</w:t>
      </w:r>
      <w:r w:rsidR="00D60F79" w:rsidRPr="00687DE8">
        <w:rPr>
          <w:szCs w:val="24"/>
        </w:rPr>
        <w:t>di</w:t>
      </w:r>
      <w:r w:rsidRPr="00687DE8">
        <w:rPr>
          <w:szCs w:val="24"/>
        </w:rPr>
        <w:t>komisjoni kuuluvad vähemalt viis arsti, kellest vähemalt üks on patsiendi eksper</w:t>
      </w:r>
      <w:r w:rsidR="00D60F79" w:rsidRPr="00687DE8">
        <w:rPr>
          <w:szCs w:val="24"/>
        </w:rPr>
        <w:t>di</w:t>
      </w:r>
      <w:r w:rsidRPr="00687DE8">
        <w:rPr>
          <w:szCs w:val="24"/>
        </w:rPr>
        <w:t>komisjoni suunanud arst, vähemalt üks vastava elundi siirdamise pädevusega kirurg ja vähemalt üks vastava paikme pädevusega sisehaiguste arst.</w:t>
      </w:r>
    </w:p>
    <w:p w14:paraId="37F19983" w14:textId="77777777" w:rsidR="00976487" w:rsidRPr="00687DE8" w:rsidRDefault="00976487" w:rsidP="00976487">
      <w:pPr>
        <w:spacing w:after="0" w:line="240" w:lineRule="auto"/>
        <w:jc w:val="both"/>
        <w:divId w:val="1316184749"/>
        <w:rPr>
          <w:szCs w:val="24"/>
        </w:rPr>
      </w:pPr>
    </w:p>
    <w:p w14:paraId="4A9AF920" w14:textId="7F506C6F" w:rsidR="00976487" w:rsidRPr="00687DE8" w:rsidRDefault="00976487" w:rsidP="00976487">
      <w:pPr>
        <w:spacing w:after="0" w:line="240" w:lineRule="auto"/>
        <w:jc w:val="both"/>
        <w:divId w:val="1316184749"/>
        <w:rPr>
          <w:szCs w:val="24"/>
        </w:rPr>
      </w:pPr>
      <w:r w:rsidRPr="00687DE8">
        <w:rPr>
          <w:szCs w:val="24"/>
        </w:rPr>
        <w:t>(2</w:t>
      </w:r>
      <w:r w:rsidR="00A00F9A">
        <w:rPr>
          <w:szCs w:val="24"/>
        </w:rPr>
        <w:t>8</w:t>
      </w:r>
      <w:r w:rsidRPr="00687DE8">
        <w:rPr>
          <w:szCs w:val="24"/>
        </w:rPr>
        <w:t xml:space="preserve">) </w:t>
      </w:r>
      <w:r w:rsidR="005023FD" w:rsidRPr="00687DE8">
        <w:rPr>
          <w:szCs w:val="24"/>
        </w:rPr>
        <w:t>Tervisekassa</w:t>
      </w:r>
      <w:r w:rsidRPr="00687DE8">
        <w:rPr>
          <w:szCs w:val="24"/>
        </w:rPr>
        <w:t xml:space="preserve"> võtab koodiga 3101 tähistatud tervishoiuteenuse eest tasu maksmise kohustuse üle juhul, kui nimetatud tervishoiuteenuse osutamise käigus koostatud otsus vastab ravikindlustuse seaduse § 32 alusel kehtestatud määruse lisas sätestatud vormile.</w:t>
      </w:r>
    </w:p>
    <w:p w14:paraId="365425DB" w14:textId="77777777" w:rsidR="00976487" w:rsidRPr="00687DE8" w:rsidRDefault="00976487" w:rsidP="00976487">
      <w:pPr>
        <w:spacing w:after="0" w:line="240" w:lineRule="auto"/>
        <w:jc w:val="both"/>
        <w:divId w:val="1316184749"/>
        <w:rPr>
          <w:szCs w:val="24"/>
        </w:rPr>
      </w:pPr>
    </w:p>
    <w:p w14:paraId="553D053E" w14:textId="4B5CE39F" w:rsidR="00976487" w:rsidRPr="00687DE8" w:rsidRDefault="00976487" w:rsidP="00976487">
      <w:pPr>
        <w:spacing w:after="0" w:line="240" w:lineRule="auto"/>
        <w:jc w:val="both"/>
        <w:divId w:val="1316184749"/>
        <w:rPr>
          <w:szCs w:val="24"/>
        </w:rPr>
      </w:pPr>
      <w:r w:rsidRPr="00687DE8">
        <w:rPr>
          <w:szCs w:val="24"/>
        </w:rPr>
        <w:t>(</w:t>
      </w:r>
      <w:r w:rsidR="00A00F9A">
        <w:rPr>
          <w:szCs w:val="24"/>
        </w:rPr>
        <w:t>29</w:t>
      </w:r>
      <w:r w:rsidRPr="00687DE8">
        <w:rPr>
          <w:szCs w:val="24"/>
        </w:rPr>
        <w:t xml:space="preserve">) </w:t>
      </w:r>
      <w:r w:rsidR="005023FD" w:rsidRPr="00687DE8">
        <w:rPr>
          <w:szCs w:val="24"/>
        </w:rPr>
        <w:t>Tervisekassa</w:t>
      </w:r>
      <w:r w:rsidRPr="00687DE8">
        <w:rPr>
          <w:szCs w:val="24"/>
        </w:rPr>
        <w:t xml:space="preserve"> võtab koodiga 3103 tähistatud tervishoiuteenuse eest tasu maksmise kohustuse üle juhul, kui raske psüühikahäirega patsiendi seisundi tõttu on raviks vajalik tagada ravimeeskonna kontakt väljaspool raviasutust ning ravivajaduse on hinnanud ja dokumenteerinud ravimeeskond, millesse kuuluvad psühhiaater ja vähemalt kliiniline psühholoog, sotsiaaltöötaja või vaimse tervise õde.</w:t>
      </w:r>
    </w:p>
    <w:p w14:paraId="20FF0EB1" w14:textId="77777777" w:rsidR="00976487" w:rsidRPr="00687DE8" w:rsidRDefault="00976487" w:rsidP="00976487">
      <w:pPr>
        <w:spacing w:after="0" w:line="240" w:lineRule="auto"/>
        <w:jc w:val="both"/>
        <w:divId w:val="1316184749"/>
        <w:rPr>
          <w:szCs w:val="24"/>
        </w:rPr>
      </w:pPr>
    </w:p>
    <w:p w14:paraId="73E356BE" w14:textId="459529FF" w:rsidR="00976487" w:rsidRPr="00687DE8" w:rsidRDefault="00976487" w:rsidP="00976487">
      <w:pPr>
        <w:spacing w:after="0" w:line="240" w:lineRule="auto"/>
        <w:jc w:val="both"/>
        <w:divId w:val="1316184749"/>
        <w:rPr>
          <w:szCs w:val="24"/>
        </w:rPr>
      </w:pPr>
      <w:r w:rsidRPr="00687DE8">
        <w:rPr>
          <w:szCs w:val="24"/>
        </w:rPr>
        <w:t>(3</w:t>
      </w:r>
      <w:r w:rsidR="00A00F9A">
        <w:rPr>
          <w:szCs w:val="24"/>
        </w:rPr>
        <w:t>0</w:t>
      </w:r>
      <w:r w:rsidRPr="00687DE8">
        <w:rPr>
          <w:szCs w:val="24"/>
        </w:rPr>
        <w:t>) Koodiga 3103 tähistatud tervishoiuteenuse piirhind sisaldab transpordikulu.</w:t>
      </w:r>
    </w:p>
    <w:p w14:paraId="7383AAEF" w14:textId="77777777" w:rsidR="00976487" w:rsidRPr="00687DE8" w:rsidRDefault="00976487" w:rsidP="00976487">
      <w:pPr>
        <w:spacing w:after="0" w:line="240" w:lineRule="auto"/>
        <w:jc w:val="both"/>
        <w:divId w:val="1316184749"/>
        <w:rPr>
          <w:szCs w:val="24"/>
        </w:rPr>
      </w:pPr>
    </w:p>
    <w:p w14:paraId="1D419307" w14:textId="0678F04F" w:rsidR="00976487" w:rsidRPr="00687DE8" w:rsidRDefault="00976487" w:rsidP="00976487">
      <w:pPr>
        <w:spacing w:after="0" w:line="240" w:lineRule="auto"/>
        <w:jc w:val="both"/>
        <w:divId w:val="1316184749"/>
        <w:rPr>
          <w:szCs w:val="24"/>
        </w:rPr>
      </w:pPr>
      <w:r w:rsidRPr="00687DE8">
        <w:rPr>
          <w:szCs w:val="24"/>
        </w:rPr>
        <w:t>(3</w:t>
      </w:r>
      <w:r w:rsidR="00A00F9A">
        <w:rPr>
          <w:szCs w:val="24"/>
        </w:rPr>
        <w:t>1</w:t>
      </w:r>
      <w:r w:rsidRPr="00687DE8">
        <w:rPr>
          <w:szCs w:val="24"/>
        </w:rPr>
        <w:t xml:space="preserve">) </w:t>
      </w:r>
      <w:r w:rsidR="005023FD" w:rsidRPr="00687DE8">
        <w:rPr>
          <w:szCs w:val="24"/>
        </w:rPr>
        <w:t>Tervisekassa</w:t>
      </w:r>
      <w:r w:rsidRPr="00687DE8">
        <w:rPr>
          <w:szCs w:val="24"/>
        </w:rPr>
        <w:t xml:space="preserve"> võtab koodidega 3042 ja 3043 tähistatud tervishoiuteenuste eest tasu maksmise kohustuse üle ka statsionaarsel ravil viibiva patsiendi eest.</w:t>
      </w:r>
    </w:p>
    <w:p w14:paraId="77B24549" w14:textId="77777777" w:rsidR="008F0516" w:rsidRPr="00687DE8" w:rsidRDefault="008F0516" w:rsidP="00976487">
      <w:pPr>
        <w:spacing w:after="0" w:line="240" w:lineRule="auto"/>
        <w:jc w:val="both"/>
        <w:divId w:val="1316184749"/>
        <w:rPr>
          <w:szCs w:val="24"/>
        </w:rPr>
      </w:pPr>
    </w:p>
    <w:p w14:paraId="0D19083E" w14:textId="68A7C3EA" w:rsidR="00D936E5" w:rsidRPr="00687DE8" w:rsidRDefault="00D936E5" w:rsidP="00D936E5">
      <w:pPr>
        <w:spacing w:after="0" w:line="240" w:lineRule="auto"/>
        <w:jc w:val="both"/>
        <w:rPr>
          <w:szCs w:val="24"/>
        </w:rPr>
      </w:pPr>
      <w:r w:rsidRPr="00687DE8">
        <w:rPr>
          <w:szCs w:val="24"/>
        </w:rPr>
        <w:t>(3</w:t>
      </w:r>
      <w:r w:rsidR="00A00F9A">
        <w:rPr>
          <w:szCs w:val="24"/>
        </w:rPr>
        <w:t>2</w:t>
      </w:r>
      <w:r w:rsidRPr="00687DE8">
        <w:rPr>
          <w:szCs w:val="24"/>
        </w:rPr>
        <w:t>) Koodidega 3201, 3202, 3203, 3204, 3205, 3206, 3207, 3208</w:t>
      </w:r>
      <w:r w:rsidR="32403703" w:rsidRPr="00687DE8">
        <w:rPr>
          <w:szCs w:val="24"/>
        </w:rPr>
        <w:t>,</w:t>
      </w:r>
      <w:r w:rsidRPr="00687DE8">
        <w:rPr>
          <w:szCs w:val="24"/>
        </w:rPr>
        <w:t xml:space="preserve"> 3218</w:t>
      </w:r>
      <w:r w:rsidR="00350AFF" w:rsidRPr="00687DE8">
        <w:rPr>
          <w:szCs w:val="24"/>
        </w:rPr>
        <w:t xml:space="preserve">, </w:t>
      </w:r>
      <w:r w:rsidR="00C47756" w:rsidRPr="00687DE8">
        <w:rPr>
          <w:szCs w:val="24"/>
        </w:rPr>
        <w:t xml:space="preserve">3219, </w:t>
      </w:r>
      <w:r w:rsidR="050B69A8" w:rsidRPr="00687DE8">
        <w:rPr>
          <w:szCs w:val="24"/>
        </w:rPr>
        <w:t>3220</w:t>
      </w:r>
      <w:r w:rsidR="00350AFF" w:rsidRPr="00687DE8">
        <w:rPr>
          <w:szCs w:val="24"/>
        </w:rPr>
        <w:t>,</w:t>
      </w:r>
      <w:r w:rsidR="00CC2DEF" w:rsidRPr="00687DE8">
        <w:rPr>
          <w:szCs w:val="24"/>
        </w:rPr>
        <w:t xml:space="preserve"> 3221,</w:t>
      </w:r>
      <w:r w:rsidR="00350AFF" w:rsidRPr="00687DE8">
        <w:rPr>
          <w:szCs w:val="24"/>
        </w:rPr>
        <w:t xml:space="preserve"> 3222, 3223, 3224, 3225</w:t>
      </w:r>
      <w:r w:rsidR="00C04AB9" w:rsidRPr="00687DE8">
        <w:rPr>
          <w:szCs w:val="24"/>
        </w:rPr>
        <w:t>,</w:t>
      </w:r>
      <w:r w:rsidR="00350AFF" w:rsidRPr="00687DE8">
        <w:rPr>
          <w:szCs w:val="24"/>
        </w:rPr>
        <w:t xml:space="preserve"> 3226</w:t>
      </w:r>
      <w:r w:rsidR="009158BD" w:rsidRPr="00687DE8">
        <w:rPr>
          <w:szCs w:val="24"/>
        </w:rPr>
        <w:t xml:space="preserve">, </w:t>
      </w:r>
      <w:r w:rsidR="004143F3" w:rsidRPr="00687DE8">
        <w:rPr>
          <w:szCs w:val="24"/>
        </w:rPr>
        <w:t xml:space="preserve">3227, 3228, </w:t>
      </w:r>
      <w:r w:rsidR="009158BD" w:rsidRPr="00687DE8">
        <w:rPr>
          <w:szCs w:val="24"/>
        </w:rPr>
        <w:t>3229</w:t>
      </w:r>
      <w:r w:rsidR="00E56E89" w:rsidRPr="00687DE8">
        <w:rPr>
          <w:szCs w:val="24"/>
        </w:rPr>
        <w:t>,</w:t>
      </w:r>
      <w:r w:rsidR="009158BD" w:rsidRPr="00687DE8">
        <w:rPr>
          <w:szCs w:val="24"/>
        </w:rPr>
        <w:t xml:space="preserve"> 3230</w:t>
      </w:r>
      <w:r w:rsidR="00E56E89" w:rsidRPr="00687DE8">
        <w:rPr>
          <w:szCs w:val="24"/>
        </w:rPr>
        <w:t xml:space="preserve"> ja </w:t>
      </w:r>
      <w:r w:rsidR="002D095A" w:rsidRPr="00687DE8">
        <w:rPr>
          <w:szCs w:val="24"/>
        </w:rPr>
        <w:t>3231</w:t>
      </w:r>
      <w:r w:rsidR="00350AFF" w:rsidRPr="00687DE8">
        <w:rPr>
          <w:szCs w:val="24"/>
        </w:rPr>
        <w:t xml:space="preserve"> </w:t>
      </w:r>
      <w:r w:rsidRPr="00687DE8">
        <w:rPr>
          <w:szCs w:val="24"/>
        </w:rPr>
        <w:t>tähistatud tervishoiuteenused on ambulatoorsed vastuvõtud, mis toimuvad vahetu kontaktita, kasutades turvalist info- ja kommunikatsioonitehnoloogi</w:t>
      </w:r>
      <w:r w:rsidR="0067547B" w:rsidRPr="00687DE8">
        <w:rPr>
          <w:szCs w:val="24"/>
        </w:rPr>
        <w:t>list</w:t>
      </w:r>
      <w:r w:rsidRPr="00687DE8">
        <w:rPr>
          <w:szCs w:val="24"/>
        </w:rPr>
        <w:t xml:space="preserve"> lahendust.</w:t>
      </w:r>
    </w:p>
    <w:p w14:paraId="145DFCC8" w14:textId="77777777" w:rsidR="00D936E5" w:rsidRPr="00687DE8" w:rsidRDefault="00D936E5" w:rsidP="00D936E5">
      <w:pPr>
        <w:pStyle w:val="Vahedeta"/>
        <w:rPr>
          <w:szCs w:val="24"/>
          <w:lang w:val="et-EE"/>
        </w:rPr>
      </w:pPr>
    </w:p>
    <w:p w14:paraId="74B7385B" w14:textId="0713D136" w:rsidR="00D936E5" w:rsidRPr="00687DE8" w:rsidRDefault="6E1A752A" w:rsidP="00D936E5">
      <w:pPr>
        <w:pStyle w:val="Vahedeta"/>
        <w:jc w:val="both"/>
        <w:rPr>
          <w:szCs w:val="24"/>
          <w:lang w:val="et-EE"/>
        </w:rPr>
      </w:pPr>
      <w:r w:rsidRPr="00687DE8">
        <w:rPr>
          <w:szCs w:val="24"/>
          <w:lang w:val="et-EE"/>
        </w:rPr>
        <w:t>(3</w:t>
      </w:r>
      <w:r w:rsidR="00A00F9A">
        <w:rPr>
          <w:szCs w:val="24"/>
          <w:lang w:val="et-EE"/>
        </w:rPr>
        <w:t>3</w:t>
      </w:r>
      <w:r w:rsidRPr="00687DE8">
        <w:rPr>
          <w:szCs w:val="24"/>
          <w:lang w:val="et-EE"/>
        </w:rPr>
        <w:t xml:space="preserve">) </w:t>
      </w:r>
      <w:r w:rsidR="005023FD" w:rsidRPr="00687DE8">
        <w:rPr>
          <w:szCs w:val="24"/>
          <w:lang w:val="et-EE"/>
        </w:rPr>
        <w:t>Tervisekassa</w:t>
      </w:r>
      <w:r w:rsidRPr="00687DE8">
        <w:rPr>
          <w:szCs w:val="24"/>
          <w:lang w:val="et-EE"/>
        </w:rPr>
        <w:t xml:space="preserve"> võtab koodidega 3201, 3202, 3203, 3204</w:t>
      </w:r>
      <w:r w:rsidR="00A979AD" w:rsidRPr="00687DE8">
        <w:rPr>
          <w:szCs w:val="24"/>
          <w:lang w:val="et-EE"/>
        </w:rPr>
        <w:t xml:space="preserve"> ja</w:t>
      </w:r>
      <w:r w:rsidR="00D04D4A" w:rsidRPr="00687DE8">
        <w:rPr>
          <w:szCs w:val="24"/>
          <w:lang w:val="et-EE"/>
        </w:rPr>
        <w:t xml:space="preserve"> </w:t>
      </w:r>
      <w:r w:rsidRPr="00687DE8">
        <w:rPr>
          <w:szCs w:val="24"/>
          <w:lang w:val="et-EE"/>
        </w:rPr>
        <w:t>3205</w:t>
      </w:r>
      <w:r w:rsidR="00D04D4A" w:rsidRPr="00687DE8">
        <w:rPr>
          <w:szCs w:val="24"/>
          <w:lang w:val="et-EE"/>
        </w:rPr>
        <w:t xml:space="preserve"> </w:t>
      </w:r>
      <w:r w:rsidRPr="00687DE8">
        <w:rPr>
          <w:szCs w:val="24"/>
          <w:lang w:val="et-EE"/>
        </w:rPr>
        <w:t>tähistatud tervishoiuteenuste eest tasu maksmise kohustuse üle eriarsti tagasikutse</w:t>
      </w:r>
      <w:r w:rsidR="00D936E5" w:rsidRPr="00687DE8">
        <w:rPr>
          <w:szCs w:val="24"/>
          <w:lang w:val="et-EE"/>
        </w:rPr>
        <w:t xml:space="preserve"> korra</w:t>
      </w:r>
      <w:r w:rsidRPr="00687DE8">
        <w:rPr>
          <w:szCs w:val="24"/>
          <w:lang w:val="et-EE"/>
        </w:rPr>
        <w:t>l</w:t>
      </w:r>
      <w:r w:rsidR="006A5A08" w:rsidRPr="00687DE8">
        <w:rPr>
          <w:szCs w:val="24"/>
          <w:lang w:val="et-EE"/>
        </w:rPr>
        <w:t xml:space="preserve"> ja koodiga 3222 tähistatud tervishoiuteenuse</w:t>
      </w:r>
      <w:r w:rsidR="00A979AD" w:rsidRPr="00687DE8">
        <w:rPr>
          <w:szCs w:val="24"/>
          <w:lang w:val="et-EE"/>
        </w:rPr>
        <w:t xml:space="preserve"> </w:t>
      </w:r>
      <w:r w:rsidR="00032ED5" w:rsidRPr="00687DE8">
        <w:rPr>
          <w:szCs w:val="24"/>
          <w:lang w:val="et-EE"/>
        </w:rPr>
        <w:t xml:space="preserve">korral eriarsti tagasikutse </w:t>
      </w:r>
      <w:r w:rsidR="00C1749D" w:rsidRPr="00687DE8">
        <w:rPr>
          <w:szCs w:val="24"/>
          <w:lang w:val="et-EE"/>
        </w:rPr>
        <w:t xml:space="preserve">korral või </w:t>
      </w:r>
      <w:r w:rsidR="008B04EF" w:rsidRPr="00687DE8">
        <w:rPr>
          <w:szCs w:val="24"/>
          <w:lang w:val="et-EE"/>
        </w:rPr>
        <w:t xml:space="preserve">e-konsultatsiooni kaudu </w:t>
      </w:r>
      <w:r w:rsidR="003C2762" w:rsidRPr="00687DE8">
        <w:rPr>
          <w:szCs w:val="24"/>
          <w:lang w:val="et-EE"/>
        </w:rPr>
        <w:t>ülevõtmisel</w:t>
      </w:r>
      <w:r w:rsidRPr="00687DE8">
        <w:rPr>
          <w:szCs w:val="24"/>
          <w:lang w:val="et-EE"/>
        </w:rPr>
        <w:t>.</w:t>
      </w:r>
    </w:p>
    <w:p w14:paraId="33F9E1A3" w14:textId="77777777" w:rsidR="6E1A752A" w:rsidRPr="00687DE8" w:rsidRDefault="6E1A752A" w:rsidP="00D936E5">
      <w:pPr>
        <w:pStyle w:val="Vahedeta"/>
        <w:jc w:val="both"/>
        <w:rPr>
          <w:strike/>
          <w:szCs w:val="24"/>
          <w:lang w:val="et-EE"/>
        </w:rPr>
      </w:pPr>
    </w:p>
    <w:p w14:paraId="1451F752" w14:textId="65E9B5F7" w:rsidR="6E1A752A" w:rsidRPr="00687DE8" w:rsidRDefault="6E1A752A" w:rsidP="006A7EF6">
      <w:pPr>
        <w:spacing w:after="0" w:line="240" w:lineRule="auto"/>
        <w:jc w:val="both"/>
        <w:rPr>
          <w:szCs w:val="24"/>
        </w:rPr>
      </w:pPr>
      <w:r w:rsidRPr="00687DE8">
        <w:rPr>
          <w:szCs w:val="24"/>
        </w:rPr>
        <w:t>(3</w:t>
      </w:r>
      <w:r w:rsidR="00A00F9A">
        <w:rPr>
          <w:szCs w:val="24"/>
        </w:rPr>
        <w:t>4</w:t>
      </w:r>
      <w:r w:rsidRPr="00687DE8">
        <w:rPr>
          <w:szCs w:val="24"/>
        </w:rPr>
        <w:t>) Koodidega 3206</w:t>
      </w:r>
      <w:r w:rsidR="1E4909B9" w:rsidRPr="00687DE8">
        <w:rPr>
          <w:szCs w:val="24"/>
        </w:rPr>
        <w:t>,</w:t>
      </w:r>
      <w:r w:rsidRPr="00687DE8">
        <w:rPr>
          <w:szCs w:val="24"/>
        </w:rPr>
        <w:t xml:space="preserve"> 3207</w:t>
      </w:r>
      <w:r w:rsidR="00603DCF" w:rsidRPr="00687DE8">
        <w:rPr>
          <w:szCs w:val="24"/>
        </w:rPr>
        <w:t>, 3220, 3221, 322</w:t>
      </w:r>
      <w:r w:rsidR="0079272A" w:rsidRPr="00687DE8">
        <w:rPr>
          <w:szCs w:val="24"/>
        </w:rPr>
        <w:t>7</w:t>
      </w:r>
      <w:r w:rsidR="00603DCF" w:rsidRPr="00687DE8">
        <w:rPr>
          <w:szCs w:val="24"/>
        </w:rPr>
        <w:t xml:space="preserve"> ja 3228</w:t>
      </w:r>
      <w:r w:rsidRPr="00687DE8">
        <w:rPr>
          <w:rFonts w:eastAsia="Calibri"/>
          <w:szCs w:val="24"/>
        </w:rPr>
        <w:t xml:space="preserve"> </w:t>
      </w:r>
      <w:r w:rsidRPr="00687DE8">
        <w:rPr>
          <w:szCs w:val="24"/>
        </w:rPr>
        <w:t xml:space="preserve">tähistatud tervishoiuteenuste piirhindu rakendatakse juhul, kui vastuvõtt toimub eriarsti osaluseta ja </w:t>
      </w:r>
      <w:r w:rsidR="00B95E57" w:rsidRPr="005A395E">
        <w:rPr>
          <w:color w:val="000000" w:themeColor="text1"/>
          <w:szCs w:val="24"/>
        </w:rPr>
        <w:t xml:space="preserve">saatekirja õigusega tervishoiutöötaja </w:t>
      </w:r>
      <w:r w:rsidRPr="00687DE8">
        <w:rPr>
          <w:szCs w:val="24"/>
        </w:rPr>
        <w:lastRenderedPageBreak/>
        <w:t>suunamisel. Erialadel, kus saatekiri ei ole nõutav vastavalt ravikindlustuse seaduse §</w:t>
      </w:r>
      <w:r w:rsidR="006F5A16" w:rsidRPr="00687DE8">
        <w:rPr>
          <w:szCs w:val="24"/>
        </w:rPr>
        <w:t> </w:t>
      </w:r>
      <w:r w:rsidRPr="00687DE8">
        <w:rPr>
          <w:szCs w:val="24"/>
        </w:rPr>
        <w:t>70 lõikele 3, rakendatakse koodidega 3206</w:t>
      </w:r>
      <w:r w:rsidR="03107B1D" w:rsidRPr="00687DE8">
        <w:rPr>
          <w:szCs w:val="24"/>
        </w:rPr>
        <w:t>,</w:t>
      </w:r>
      <w:r w:rsidRPr="00687DE8">
        <w:rPr>
          <w:szCs w:val="24"/>
        </w:rPr>
        <w:t xml:space="preserve"> 3207</w:t>
      </w:r>
      <w:r w:rsidR="000173CE" w:rsidRPr="00687DE8">
        <w:rPr>
          <w:szCs w:val="24"/>
        </w:rPr>
        <w:t>,</w:t>
      </w:r>
      <w:r w:rsidR="0A407E08" w:rsidRPr="00687DE8">
        <w:rPr>
          <w:szCs w:val="24"/>
        </w:rPr>
        <w:t xml:space="preserve"> 3220</w:t>
      </w:r>
      <w:r w:rsidR="000173CE" w:rsidRPr="00687DE8">
        <w:rPr>
          <w:szCs w:val="24"/>
        </w:rPr>
        <w:t xml:space="preserve">, </w:t>
      </w:r>
      <w:r w:rsidR="00E952F7" w:rsidRPr="00687DE8">
        <w:rPr>
          <w:szCs w:val="24"/>
        </w:rPr>
        <w:t xml:space="preserve">3221, </w:t>
      </w:r>
      <w:r w:rsidR="000173CE" w:rsidRPr="00687DE8">
        <w:rPr>
          <w:szCs w:val="24"/>
        </w:rPr>
        <w:t>3227</w:t>
      </w:r>
      <w:r w:rsidR="003E6DE6" w:rsidRPr="00687DE8">
        <w:rPr>
          <w:szCs w:val="24"/>
        </w:rPr>
        <w:t xml:space="preserve"> ja</w:t>
      </w:r>
      <w:r w:rsidR="000173CE" w:rsidRPr="00687DE8">
        <w:rPr>
          <w:szCs w:val="24"/>
        </w:rPr>
        <w:t xml:space="preserve"> 3228</w:t>
      </w:r>
      <w:r w:rsidR="0A407E08" w:rsidRPr="00687DE8">
        <w:rPr>
          <w:szCs w:val="24"/>
        </w:rPr>
        <w:t xml:space="preserve"> </w:t>
      </w:r>
      <w:r w:rsidRPr="00687DE8">
        <w:rPr>
          <w:szCs w:val="24"/>
        </w:rPr>
        <w:t>tähistatud tervishoiuteenuste piirhindu ka õe tagasikutse</w:t>
      </w:r>
      <w:r w:rsidR="00D936E5" w:rsidRPr="00687DE8">
        <w:rPr>
          <w:szCs w:val="24"/>
        </w:rPr>
        <w:t xml:space="preserve"> korra</w:t>
      </w:r>
      <w:r w:rsidRPr="00687DE8">
        <w:rPr>
          <w:szCs w:val="24"/>
        </w:rPr>
        <w:t>l.</w:t>
      </w:r>
    </w:p>
    <w:p w14:paraId="2789B4BF" w14:textId="77777777" w:rsidR="006A7EF6" w:rsidRPr="00687DE8" w:rsidRDefault="006A7EF6" w:rsidP="006A7EF6">
      <w:pPr>
        <w:spacing w:after="0" w:line="240" w:lineRule="auto"/>
        <w:jc w:val="both"/>
        <w:rPr>
          <w:szCs w:val="24"/>
        </w:rPr>
      </w:pPr>
    </w:p>
    <w:p w14:paraId="68E7C073" w14:textId="1B9C261A" w:rsidR="6E1A752A" w:rsidRPr="00687DE8" w:rsidRDefault="6E1A752A" w:rsidP="006A7EF6">
      <w:pPr>
        <w:spacing w:after="0" w:line="240" w:lineRule="auto"/>
        <w:jc w:val="both"/>
      </w:pPr>
      <w:r>
        <w:t>(3</w:t>
      </w:r>
      <w:r w:rsidR="00A00F9A">
        <w:t>5</w:t>
      </w:r>
      <w:r>
        <w:t xml:space="preserve">) </w:t>
      </w:r>
      <w:r w:rsidR="005023FD">
        <w:t>Tervisekassa</w:t>
      </w:r>
      <w:r>
        <w:t xml:space="preserve"> võtab koodi</w:t>
      </w:r>
      <w:r w:rsidR="0067547B">
        <w:t>de</w:t>
      </w:r>
      <w:r>
        <w:t>ga 3208</w:t>
      </w:r>
      <w:r w:rsidR="006E66B8">
        <w:t>,</w:t>
      </w:r>
      <w:r w:rsidR="51211378">
        <w:t xml:space="preserve"> 3218</w:t>
      </w:r>
      <w:r w:rsidR="006E66B8">
        <w:t>, 3229 ja 3230</w:t>
      </w:r>
      <w:r w:rsidR="006E66B8" w:rsidRPr="70413ACB">
        <w:rPr>
          <w:rFonts w:eastAsia="Calibri"/>
        </w:rPr>
        <w:t xml:space="preserve"> </w:t>
      </w:r>
      <w:r>
        <w:t>tähistatud tervishoiuteenus</w:t>
      </w:r>
      <w:r w:rsidR="00D936E5">
        <w:t>t</w:t>
      </w:r>
      <w:r>
        <w:t>e eest tasu maksmise kohustuse üle eriarsti (sh perearsti)</w:t>
      </w:r>
      <w:r w:rsidR="0071352E">
        <w:t xml:space="preserve"> või</w:t>
      </w:r>
      <w:r>
        <w:t xml:space="preserve"> </w:t>
      </w:r>
      <w:r w:rsidR="34C6C92E">
        <w:t>eriõe</w:t>
      </w:r>
      <w:r>
        <w:t xml:space="preserve"> suunamisel või ämmaemanda tagasikutse</w:t>
      </w:r>
      <w:r w:rsidR="00D936E5">
        <w:t xml:space="preserve"> korra</w:t>
      </w:r>
      <w:r>
        <w:t>l.</w:t>
      </w:r>
    </w:p>
    <w:p w14:paraId="1DCEFD68" w14:textId="77777777" w:rsidR="006A7EF6" w:rsidRPr="00687DE8" w:rsidRDefault="006A7EF6" w:rsidP="006A7EF6">
      <w:pPr>
        <w:spacing w:after="0" w:line="240" w:lineRule="auto"/>
        <w:jc w:val="both"/>
        <w:rPr>
          <w:szCs w:val="24"/>
        </w:rPr>
      </w:pPr>
    </w:p>
    <w:p w14:paraId="28DC3B66" w14:textId="506E8471" w:rsidR="6E1A752A" w:rsidRPr="00687DE8" w:rsidRDefault="6E1A752A" w:rsidP="006A7EF6">
      <w:pPr>
        <w:spacing w:after="0" w:line="240" w:lineRule="auto"/>
        <w:jc w:val="both"/>
        <w:rPr>
          <w:szCs w:val="24"/>
        </w:rPr>
      </w:pPr>
      <w:r w:rsidRPr="00687DE8">
        <w:rPr>
          <w:szCs w:val="24"/>
        </w:rPr>
        <w:t>(3</w:t>
      </w:r>
      <w:r w:rsidR="00A00F9A">
        <w:rPr>
          <w:szCs w:val="24"/>
        </w:rPr>
        <w:t>6</w:t>
      </w:r>
      <w:r w:rsidRPr="00687DE8">
        <w:rPr>
          <w:szCs w:val="24"/>
        </w:rPr>
        <w:t>) Koodidega 3201, 3202, 3203, 3204, 3205, 3206, 3207</w:t>
      </w:r>
      <w:r w:rsidR="00AF4D56" w:rsidRPr="00687DE8">
        <w:rPr>
          <w:szCs w:val="24"/>
        </w:rPr>
        <w:t xml:space="preserve">, </w:t>
      </w:r>
      <w:r w:rsidRPr="00687DE8">
        <w:rPr>
          <w:szCs w:val="24"/>
        </w:rPr>
        <w:t>3208</w:t>
      </w:r>
      <w:r w:rsidR="4BAFBDA3" w:rsidRPr="00687DE8">
        <w:rPr>
          <w:szCs w:val="24"/>
        </w:rPr>
        <w:t>,</w:t>
      </w:r>
      <w:r w:rsidR="00AF4D56" w:rsidRPr="00687DE8">
        <w:rPr>
          <w:szCs w:val="24"/>
        </w:rPr>
        <w:t xml:space="preserve"> 3218</w:t>
      </w:r>
      <w:r w:rsidR="003E6DE6" w:rsidRPr="00687DE8">
        <w:rPr>
          <w:szCs w:val="24"/>
        </w:rPr>
        <w:t xml:space="preserve">, </w:t>
      </w:r>
      <w:r w:rsidR="00E3750E" w:rsidRPr="00687DE8">
        <w:rPr>
          <w:szCs w:val="24"/>
        </w:rPr>
        <w:t xml:space="preserve">3219, </w:t>
      </w:r>
      <w:r w:rsidR="494C6800" w:rsidRPr="00687DE8">
        <w:rPr>
          <w:szCs w:val="24"/>
        </w:rPr>
        <w:t>3220</w:t>
      </w:r>
      <w:r w:rsidR="00C70058" w:rsidRPr="00687DE8">
        <w:rPr>
          <w:szCs w:val="24"/>
        </w:rPr>
        <w:t xml:space="preserve">, </w:t>
      </w:r>
      <w:r w:rsidR="00737F0C" w:rsidRPr="00687DE8">
        <w:rPr>
          <w:szCs w:val="24"/>
        </w:rPr>
        <w:t>3221,</w:t>
      </w:r>
      <w:r w:rsidR="000C0D5E" w:rsidRPr="00687DE8">
        <w:rPr>
          <w:szCs w:val="24"/>
        </w:rPr>
        <w:t xml:space="preserve"> </w:t>
      </w:r>
      <w:r w:rsidR="00C70058" w:rsidRPr="00687DE8">
        <w:rPr>
          <w:szCs w:val="24"/>
        </w:rPr>
        <w:t>3222, 3223, 3224, 3225</w:t>
      </w:r>
      <w:r w:rsidR="009707D1" w:rsidRPr="00687DE8">
        <w:rPr>
          <w:szCs w:val="24"/>
        </w:rPr>
        <w:t>,</w:t>
      </w:r>
      <w:r w:rsidR="00C70058" w:rsidRPr="00687DE8">
        <w:rPr>
          <w:szCs w:val="24"/>
        </w:rPr>
        <w:t xml:space="preserve"> 3226</w:t>
      </w:r>
      <w:r w:rsidR="009707D1" w:rsidRPr="00687DE8">
        <w:rPr>
          <w:szCs w:val="24"/>
        </w:rPr>
        <w:t>, 3227, 3228</w:t>
      </w:r>
      <w:r w:rsidR="00526876" w:rsidRPr="00687DE8">
        <w:rPr>
          <w:szCs w:val="24"/>
        </w:rPr>
        <w:t xml:space="preserve">, </w:t>
      </w:r>
      <w:r w:rsidR="009707D1" w:rsidRPr="00687DE8">
        <w:rPr>
          <w:szCs w:val="24"/>
        </w:rPr>
        <w:t>3229</w:t>
      </w:r>
      <w:r w:rsidR="000201FF" w:rsidRPr="00687DE8">
        <w:rPr>
          <w:szCs w:val="24"/>
        </w:rPr>
        <w:t>,</w:t>
      </w:r>
      <w:r w:rsidR="00825F9D" w:rsidRPr="00687DE8">
        <w:rPr>
          <w:szCs w:val="24"/>
        </w:rPr>
        <w:t xml:space="preserve"> </w:t>
      </w:r>
      <w:r w:rsidR="00526876" w:rsidRPr="00687DE8">
        <w:rPr>
          <w:szCs w:val="24"/>
        </w:rPr>
        <w:t>3230</w:t>
      </w:r>
      <w:r w:rsidR="00CC255D" w:rsidRPr="00687DE8">
        <w:rPr>
          <w:szCs w:val="24"/>
        </w:rPr>
        <w:t xml:space="preserve"> ja 3</w:t>
      </w:r>
      <w:r w:rsidR="000201FF" w:rsidRPr="00687DE8">
        <w:rPr>
          <w:szCs w:val="24"/>
        </w:rPr>
        <w:t>231</w:t>
      </w:r>
      <w:r w:rsidR="00672B39" w:rsidRPr="00687DE8">
        <w:rPr>
          <w:szCs w:val="24"/>
        </w:rPr>
        <w:t xml:space="preserve"> </w:t>
      </w:r>
      <w:r w:rsidRPr="00687DE8">
        <w:rPr>
          <w:szCs w:val="24"/>
        </w:rPr>
        <w:t>tähistatud tervishoiuteenuseid rakendatakse järgmistel tingimustel:</w:t>
      </w:r>
    </w:p>
    <w:p w14:paraId="23DF8FDF" w14:textId="77777777" w:rsidR="6E1A752A" w:rsidRPr="00687DE8" w:rsidRDefault="00AE018F" w:rsidP="006A7EF6">
      <w:pPr>
        <w:spacing w:after="0" w:line="240" w:lineRule="auto"/>
        <w:jc w:val="both"/>
        <w:rPr>
          <w:rFonts w:eastAsiaTheme="minorEastAsia"/>
          <w:szCs w:val="24"/>
        </w:rPr>
      </w:pPr>
      <w:r w:rsidRPr="00687DE8">
        <w:rPr>
          <w:szCs w:val="24"/>
        </w:rPr>
        <w:t xml:space="preserve">1) </w:t>
      </w:r>
      <w:r w:rsidR="6E1A752A" w:rsidRPr="00687DE8">
        <w:rPr>
          <w:szCs w:val="24"/>
        </w:rPr>
        <w:t>võrreldes kontaktvastuvõtuga tervishoiuteenuse kvaliteet säilib või paraneb;</w:t>
      </w:r>
    </w:p>
    <w:p w14:paraId="529F335B" w14:textId="77777777" w:rsidR="00E7197B" w:rsidRPr="00687DE8" w:rsidRDefault="00AE018F">
      <w:pPr>
        <w:pStyle w:val="Vahedeta"/>
        <w:jc w:val="both"/>
        <w:rPr>
          <w:szCs w:val="24"/>
          <w:lang w:val="et-EE"/>
        </w:rPr>
      </w:pPr>
      <w:r w:rsidRPr="00687DE8">
        <w:rPr>
          <w:szCs w:val="24"/>
          <w:lang w:val="et-EE"/>
        </w:rPr>
        <w:t xml:space="preserve">2) </w:t>
      </w:r>
      <w:r w:rsidR="6E1A752A" w:rsidRPr="00687DE8">
        <w:rPr>
          <w:szCs w:val="24"/>
          <w:lang w:val="et-EE"/>
        </w:rPr>
        <w:t>kaug</w:t>
      </w:r>
      <w:r w:rsidR="00672B39" w:rsidRPr="00687DE8">
        <w:rPr>
          <w:szCs w:val="24"/>
          <w:lang w:val="et-EE"/>
        </w:rPr>
        <w:t>teenuse</w:t>
      </w:r>
      <w:r w:rsidR="6E1A752A" w:rsidRPr="00687DE8">
        <w:rPr>
          <w:szCs w:val="24"/>
          <w:lang w:val="et-EE"/>
        </w:rPr>
        <w:t xml:space="preserve"> sobivuse konkreetse patsiendi terviseprobleemi käsitlemisel otsustab vastuvõtt</w:t>
      </w:r>
      <w:r w:rsidR="00D936E5" w:rsidRPr="00687DE8">
        <w:rPr>
          <w:szCs w:val="24"/>
          <w:lang w:val="et-EE"/>
        </w:rPr>
        <w:t>ev</w:t>
      </w:r>
      <w:r w:rsidR="6E1A752A" w:rsidRPr="00687DE8">
        <w:rPr>
          <w:szCs w:val="24"/>
          <w:lang w:val="et-EE"/>
        </w:rPr>
        <w:t xml:space="preserve"> või vastuvõtule suunav tervishoiutöötaja, patsiendi tehnilist valmisolekut hindab tervishoiuteenuse osutaja;</w:t>
      </w:r>
    </w:p>
    <w:p w14:paraId="4081FFA1" w14:textId="77777777" w:rsidR="6E1A752A" w:rsidRPr="00687DE8" w:rsidRDefault="00AE018F">
      <w:pPr>
        <w:pStyle w:val="Vahedeta"/>
        <w:jc w:val="both"/>
        <w:rPr>
          <w:rFonts w:eastAsiaTheme="minorEastAsia"/>
          <w:szCs w:val="24"/>
          <w:lang w:val="et-EE"/>
        </w:rPr>
      </w:pPr>
      <w:r w:rsidRPr="00687DE8">
        <w:rPr>
          <w:szCs w:val="24"/>
          <w:lang w:val="et-EE"/>
        </w:rPr>
        <w:t xml:space="preserve">3) </w:t>
      </w:r>
      <w:r w:rsidR="6E1A752A" w:rsidRPr="00687DE8">
        <w:rPr>
          <w:szCs w:val="24"/>
          <w:lang w:val="et-EE"/>
        </w:rPr>
        <w:t>kaug</w:t>
      </w:r>
      <w:r w:rsidR="00672B39" w:rsidRPr="00687DE8">
        <w:rPr>
          <w:szCs w:val="24"/>
          <w:lang w:val="et-EE"/>
        </w:rPr>
        <w:t>teenus</w:t>
      </w:r>
      <w:r w:rsidR="00FA06D7" w:rsidRPr="00687DE8">
        <w:rPr>
          <w:szCs w:val="24"/>
          <w:lang w:val="et-EE"/>
        </w:rPr>
        <w:t>t</w:t>
      </w:r>
      <w:r w:rsidR="6E1A752A" w:rsidRPr="00687DE8">
        <w:rPr>
          <w:szCs w:val="24"/>
          <w:lang w:val="et-EE"/>
        </w:rPr>
        <w:t xml:space="preserve"> </w:t>
      </w:r>
      <w:r w:rsidR="00FA06D7" w:rsidRPr="00687DE8">
        <w:rPr>
          <w:szCs w:val="24"/>
          <w:lang w:val="et-EE"/>
        </w:rPr>
        <w:t>osutatakse</w:t>
      </w:r>
      <w:r w:rsidR="6E1A752A" w:rsidRPr="00687DE8">
        <w:rPr>
          <w:szCs w:val="24"/>
          <w:lang w:val="et-EE"/>
        </w:rPr>
        <w:t xml:space="preserve"> patsiendi nõusolekul, mis on dokumenteeritud; </w:t>
      </w:r>
    </w:p>
    <w:p w14:paraId="56388799" w14:textId="77777777" w:rsidR="6E1A752A" w:rsidRPr="00687DE8" w:rsidRDefault="00AE018F">
      <w:pPr>
        <w:pStyle w:val="Vahedeta"/>
        <w:jc w:val="both"/>
        <w:rPr>
          <w:rFonts w:eastAsiaTheme="minorEastAsia"/>
          <w:szCs w:val="24"/>
          <w:lang w:val="et-EE"/>
        </w:rPr>
      </w:pPr>
      <w:r w:rsidRPr="00687DE8">
        <w:rPr>
          <w:szCs w:val="24"/>
          <w:lang w:val="et-EE"/>
        </w:rPr>
        <w:t xml:space="preserve">4) </w:t>
      </w:r>
      <w:r w:rsidR="6E1A752A" w:rsidRPr="00687DE8">
        <w:rPr>
          <w:szCs w:val="24"/>
          <w:lang w:val="et-EE"/>
        </w:rPr>
        <w:t>kaug</w:t>
      </w:r>
      <w:r w:rsidR="00672B39" w:rsidRPr="00687DE8">
        <w:rPr>
          <w:szCs w:val="24"/>
          <w:lang w:val="et-EE"/>
        </w:rPr>
        <w:t>teenus</w:t>
      </w:r>
      <w:r w:rsidR="000705F6" w:rsidRPr="00687DE8">
        <w:rPr>
          <w:szCs w:val="24"/>
          <w:lang w:val="et-EE"/>
        </w:rPr>
        <w:t>t</w:t>
      </w:r>
      <w:r w:rsidR="6E1A752A" w:rsidRPr="00687DE8">
        <w:rPr>
          <w:szCs w:val="24"/>
          <w:lang w:val="et-EE"/>
        </w:rPr>
        <w:t xml:space="preserve"> </w:t>
      </w:r>
      <w:r w:rsidR="000705F6" w:rsidRPr="00687DE8">
        <w:rPr>
          <w:szCs w:val="24"/>
          <w:lang w:val="et-EE"/>
        </w:rPr>
        <w:t>osutatakse</w:t>
      </w:r>
      <w:r w:rsidR="6E1A752A" w:rsidRPr="00687DE8">
        <w:rPr>
          <w:szCs w:val="24"/>
          <w:lang w:val="et-EE"/>
        </w:rPr>
        <w:t xml:space="preserve"> kokkulepitud ajal ja viisil, sünkroonse suhtlusena;</w:t>
      </w:r>
    </w:p>
    <w:p w14:paraId="51B6D6B1" w14:textId="77777777" w:rsidR="6E1A752A" w:rsidRPr="00687DE8" w:rsidRDefault="00AE018F">
      <w:pPr>
        <w:pStyle w:val="Vahedeta"/>
        <w:jc w:val="both"/>
        <w:rPr>
          <w:rFonts w:eastAsiaTheme="minorEastAsia"/>
          <w:szCs w:val="24"/>
          <w:lang w:val="et-EE"/>
        </w:rPr>
      </w:pPr>
      <w:r w:rsidRPr="00687DE8">
        <w:rPr>
          <w:szCs w:val="24"/>
          <w:lang w:val="et-EE"/>
        </w:rPr>
        <w:t xml:space="preserve">5) </w:t>
      </w:r>
      <w:r w:rsidR="00D936E5" w:rsidRPr="00687DE8">
        <w:rPr>
          <w:szCs w:val="24"/>
          <w:lang w:val="et-EE"/>
        </w:rPr>
        <w:t>kaug</w:t>
      </w:r>
      <w:r w:rsidR="00672B39" w:rsidRPr="00687DE8">
        <w:rPr>
          <w:szCs w:val="24"/>
          <w:lang w:val="et-EE"/>
        </w:rPr>
        <w:t>teenuse</w:t>
      </w:r>
      <w:r w:rsidR="001F746F" w:rsidRPr="00687DE8">
        <w:rPr>
          <w:szCs w:val="24"/>
          <w:lang w:val="et-EE"/>
        </w:rPr>
        <w:t xml:space="preserve"> osutamisel</w:t>
      </w:r>
      <w:r w:rsidR="00D936E5" w:rsidRPr="00687DE8">
        <w:rPr>
          <w:szCs w:val="24"/>
          <w:lang w:val="et-EE"/>
        </w:rPr>
        <w:t xml:space="preserve"> kasutatav info- ja kommunikatsioonitehnoloogi</w:t>
      </w:r>
      <w:r w:rsidR="0067547B" w:rsidRPr="00687DE8">
        <w:rPr>
          <w:szCs w:val="24"/>
          <w:lang w:val="et-EE"/>
        </w:rPr>
        <w:t>line</w:t>
      </w:r>
      <w:r w:rsidR="00D936E5" w:rsidRPr="00687DE8">
        <w:rPr>
          <w:szCs w:val="24"/>
          <w:lang w:val="et-EE"/>
        </w:rPr>
        <w:t xml:space="preserve"> lahendus </w:t>
      </w:r>
      <w:r w:rsidR="0067547B" w:rsidRPr="00687DE8">
        <w:rPr>
          <w:szCs w:val="24"/>
          <w:lang w:val="et-EE"/>
        </w:rPr>
        <w:t>ning</w:t>
      </w:r>
      <w:r w:rsidR="00D936E5" w:rsidRPr="00687DE8">
        <w:rPr>
          <w:szCs w:val="24"/>
          <w:lang w:val="et-EE"/>
        </w:rPr>
        <w:t xml:space="preserve"> selle kasutamine vastavad õigusaktides (sh isikuandmete kaitse seadus, isikuandmete kaitse üldmäärus) sätestatud põhimõtetele;</w:t>
      </w:r>
    </w:p>
    <w:p w14:paraId="6E572388" w14:textId="77777777" w:rsidR="6E1A752A" w:rsidRPr="00687DE8" w:rsidRDefault="00AE018F">
      <w:pPr>
        <w:pStyle w:val="Vahedeta"/>
        <w:rPr>
          <w:szCs w:val="24"/>
          <w:lang w:val="et-EE"/>
        </w:rPr>
      </w:pPr>
      <w:r w:rsidRPr="00687DE8">
        <w:rPr>
          <w:szCs w:val="24"/>
          <w:lang w:val="et-EE"/>
        </w:rPr>
        <w:t xml:space="preserve">6) </w:t>
      </w:r>
      <w:r w:rsidR="6E1A752A" w:rsidRPr="00687DE8">
        <w:rPr>
          <w:szCs w:val="24"/>
          <w:lang w:val="et-EE"/>
        </w:rPr>
        <w:t>patsiendi isiku tuvastamise eest vastutab tervishoiuteenuse osutaja.</w:t>
      </w:r>
    </w:p>
    <w:p w14:paraId="1FFB1371" w14:textId="77777777" w:rsidR="00E7197B" w:rsidRPr="00687DE8" w:rsidRDefault="00E7197B">
      <w:pPr>
        <w:pStyle w:val="Vahedeta"/>
        <w:rPr>
          <w:rFonts w:eastAsiaTheme="minorEastAsia"/>
          <w:szCs w:val="24"/>
          <w:lang w:val="et-EE"/>
        </w:rPr>
      </w:pPr>
    </w:p>
    <w:p w14:paraId="7E25936A" w14:textId="3ADBCA74" w:rsidR="00BF5A95" w:rsidRPr="00687DE8" w:rsidRDefault="00BF5A95">
      <w:pPr>
        <w:spacing w:after="0" w:line="240" w:lineRule="auto"/>
        <w:jc w:val="both"/>
        <w:rPr>
          <w:szCs w:val="24"/>
        </w:rPr>
      </w:pPr>
      <w:r w:rsidRPr="00687DE8">
        <w:rPr>
          <w:szCs w:val="24"/>
        </w:rPr>
        <w:t>(3</w:t>
      </w:r>
      <w:r w:rsidR="00A00F9A">
        <w:rPr>
          <w:szCs w:val="24"/>
        </w:rPr>
        <w:t>7</w:t>
      </w:r>
      <w:r w:rsidRPr="00687DE8">
        <w:rPr>
          <w:szCs w:val="24"/>
        </w:rPr>
        <w:t>) Koodidega 3201, 3202, 3203, 3204, 3205, 3206, 3207, 3208</w:t>
      </w:r>
      <w:r w:rsidR="323DF773" w:rsidRPr="00687DE8">
        <w:rPr>
          <w:szCs w:val="24"/>
        </w:rPr>
        <w:t>,</w:t>
      </w:r>
      <w:r w:rsidRPr="00687DE8">
        <w:rPr>
          <w:szCs w:val="24"/>
        </w:rPr>
        <w:t xml:space="preserve"> 3218</w:t>
      </w:r>
      <w:r w:rsidR="00D10D41" w:rsidRPr="00687DE8">
        <w:rPr>
          <w:szCs w:val="24"/>
        </w:rPr>
        <w:t>,</w:t>
      </w:r>
      <w:r w:rsidR="00066868" w:rsidRPr="00687DE8">
        <w:rPr>
          <w:szCs w:val="24"/>
        </w:rPr>
        <w:t xml:space="preserve"> </w:t>
      </w:r>
      <w:r w:rsidR="004A3D32" w:rsidRPr="00687DE8">
        <w:rPr>
          <w:szCs w:val="24"/>
        </w:rPr>
        <w:t>3219,</w:t>
      </w:r>
      <w:r w:rsidR="00066868" w:rsidRPr="00687DE8">
        <w:rPr>
          <w:szCs w:val="24"/>
        </w:rPr>
        <w:t xml:space="preserve"> </w:t>
      </w:r>
      <w:r w:rsidR="3EDF68CC" w:rsidRPr="00687DE8">
        <w:rPr>
          <w:szCs w:val="24"/>
        </w:rPr>
        <w:t>3220</w:t>
      </w:r>
      <w:r w:rsidR="004A21CF" w:rsidRPr="00687DE8">
        <w:rPr>
          <w:szCs w:val="24"/>
        </w:rPr>
        <w:t>, 3221,</w:t>
      </w:r>
      <w:r w:rsidR="3EDF68CC" w:rsidRPr="00687DE8">
        <w:rPr>
          <w:szCs w:val="24"/>
        </w:rPr>
        <w:t xml:space="preserve"> </w:t>
      </w:r>
      <w:r w:rsidR="004A21CF" w:rsidRPr="00687DE8">
        <w:rPr>
          <w:szCs w:val="24"/>
        </w:rPr>
        <w:t>3222, 3223, 3224, 3225</w:t>
      </w:r>
      <w:r w:rsidR="00526876" w:rsidRPr="00687DE8">
        <w:rPr>
          <w:szCs w:val="24"/>
        </w:rPr>
        <w:t>,</w:t>
      </w:r>
      <w:r w:rsidR="004A21CF" w:rsidRPr="00687DE8">
        <w:rPr>
          <w:szCs w:val="24"/>
        </w:rPr>
        <w:t xml:space="preserve"> 3226</w:t>
      </w:r>
      <w:r w:rsidR="00526876" w:rsidRPr="00687DE8">
        <w:rPr>
          <w:szCs w:val="24"/>
        </w:rPr>
        <w:t>, 3227, 3228, 3229</w:t>
      </w:r>
      <w:r w:rsidR="004A3D32" w:rsidRPr="00687DE8">
        <w:rPr>
          <w:szCs w:val="24"/>
        </w:rPr>
        <w:t>,</w:t>
      </w:r>
      <w:r w:rsidR="00526876" w:rsidRPr="00687DE8">
        <w:rPr>
          <w:szCs w:val="24"/>
        </w:rPr>
        <w:t xml:space="preserve"> 3230</w:t>
      </w:r>
      <w:r w:rsidR="3EDF68CC" w:rsidRPr="00687DE8">
        <w:rPr>
          <w:szCs w:val="24"/>
        </w:rPr>
        <w:t xml:space="preserve"> </w:t>
      </w:r>
      <w:r w:rsidR="004A3D32" w:rsidRPr="00687DE8">
        <w:rPr>
          <w:szCs w:val="24"/>
        </w:rPr>
        <w:t>ja 3231</w:t>
      </w:r>
      <w:r w:rsidR="3EDF68CC" w:rsidRPr="00687DE8">
        <w:rPr>
          <w:color w:val="FF0000"/>
          <w:szCs w:val="24"/>
        </w:rPr>
        <w:t xml:space="preserve"> </w:t>
      </w:r>
      <w:r w:rsidRPr="00687DE8">
        <w:rPr>
          <w:szCs w:val="24"/>
        </w:rPr>
        <w:t>tähistatud tervishoiuteenuseid ei rakendata järgmistel juhtudel:</w:t>
      </w:r>
    </w:p>
    <w:p w14:paraId="029540A6" w14:textId="77777777" w:rsidR="00BF5A95" w:rsidRPr="00687DE8" w:rsidRDefault="00BF5A95">
      <w:pPr>
        <w:pStyle w:val="Vahedeta"/>
        <w:jc w:val="both"/>
        <w:rPr>
          <w:rFonts w:eastAsiaTheme="minorEastAsia"/>
          <w:szCs w:val="24"/>
          <w:lang w:val="et-EE"/>
        </w:rPr>
      </w:pPr>
      <w:r w:rsidRPr="00687DE8">
        <w:rPr>
          <w:szCs w:val="24"/>
          <w:lang w:val="et-EE"/>
        </w:rPr>
        <w:t>1) vastuvõtuaja kokkuleppimine, muutmine või tühistamine;</w:t>
      </w:r>
    </w:p>
    <w:p w14:paraId="32DDCC97" w14:textId="77777777" w:rsidR="00BF5A95" w:rsidRPr="00687DE8" w:rsidRDefault="00BF5A95">
      <w:pPr>
        <w:pStyle w:val="Vahedeta"/>
        <w:jc w:val="both"/>
        <w:rPr>
          <w:rFonts w:eastAsiaTheme="minorEastAsia"/>
          <w:szCs w:val="24"/>
          <w:lang w:val="et-EE"/>
        </w:rPr>
      </w:pPr>
      <w:r w:rsidRPr="00687DE8">
        <w:rPr>
          <w:szCs w:val="24"/>
          <w:lang w:val="et-EE"/>
        </w:rPr>
        <w:t>2) saatekirja väljastamisest teatamine;</w:t>
      </w:r>
    </w:p>
    <w:p w14:paraId="01FE7DC0" w14:textId="77777777" w:rsidR="00BF5A95" w:rsidRPr="00687DE8" w:rsidRDefault="00BF5A95">
      <w:pPr>
        <w:pStyle w:val="Vahedeta"/>
        <w:jc w:val="both"/>
        <w:rPr>
          <w:rFonts w:eastAsiaTheme="minorEastAsia"/>
          <w:szCs w:val="24"/>
          <w:lang w:val="et-EE"/>
        </w:rPr>
      </w:pPr>
      <w:r w:rsidRPr="00687DE8">
        <w:rPr>
          <w:szCs w:val="24"/>
          <w:lang w:val="et-EE"/>
        </w:rPr>
        <w:t>3) sõeluuringu negatiivsest tulemusest teatamine;</w:t>
      </w:r>
    </w:p>
    <w:p w14:paraId="1B2ADE68" w14:textId="77777777" w:rsidR="00BF5A95" w:rsidRPr="00687DE8" w:rsidRDefault="00BF5A95">
      <w:pPr>
        <w:pStyle w:val="Vahedeta"/>
        <w:jc w:val="both"/>
        <w:rPr>
          <w:rFonts w:eastAsiaTheme="minorEastAsia"/>
          <w:szCs w:val="24"/>
          <w:lang w:val="et-EE"/>
        </w:rPr>
      </w:pPr>
      <w:r w:rsidRPr="00687DE8">
        <w:rPr>
          <w:szCs w:val="24"/>
          <w:lang w:val="et-EE"/>
        </w:rPr>
        <w:t>4) ravi ümberkorraldamise ja/või nõustamise vajaduseta analüüside ja/või uuringutulemuste teatamine;</w:t>
      </w:r>
    </w:p>
    <w:p w14:paraId="56A30357" w14:textId="77777777" w:rsidR="00BF5A95" w:rsidRPr="00687DE8" w:rsidRDefault="00BF5A95" w:rsidP="009A5F3D">
      <w:pPr>
        <w:pStyle w:val="Vahedeta"/>
        <w:jc w:val="both"/>
        <w:rPr>
          <w:rFonts w:eastAsiaTheme="minorEastAsia"/>
          <w:szCs w:val="24"/>
          <w:lang w:val="et-EE"/>
        </w:rPr>
      </w:pPr>
      <w:r w:rsidRPr="00687DE8">
        <w:rPr>
          <w:szCs w:val="24"/>
          <w:lang w:val="et-EE"/>
        </w:rPr>
        <w:t>5) ainult korduva ravimiretsepti väljastamine ravijuhiseid täpsustamata.</w:t>
      </w:r>
    </w:p>
    <w:p w14:paraId="46C3FCFE" w14:textId="77777777" w:rsidR="00BF5A95" w:rsidRPr="00687DE8" w:rsidRDefault="00BF5A95" w:rsidP="009A5F3D">
      <w:pPr>
        <w:pStyle w:val="Vahedeta"/>
        <w:jc w:val="both"/>
        <w:rPr>
          <w:szCs w:val="24"/>
          <w:lang w:val="et-EE"/>
        </w:rPr>
      </w:pPr>
    </w:p>
    <w:p w14:paraId="67CD74B0" w14:textId="1CF29118" w:rsidR="0067547B" w:rsidRPr="00687DE8" w:rsidRDefault="0067547B" w:rsidP="009A5F3D">
      <w:pPr>
        <w:pStyle w:val="Vahedeta"/>
        <w:jc w:val="both"/>
        <w:rPr>
          <w:szCs w:val="24"/>
          <w:lang w:val="et-EE"/>
        </w:rPr>
      </w:pPr>
      <w:r w:rsidRPr="00687DE8">
        <w:rPr>
          <w:szCs w:val="24"/>
          <w:lang w:val="et-EE"/>
        </w:rPr>
        <w:t>(3</w:t>
      </w:r>
      <w:r w:rsidR="00A00F9A">
        <w:rPr>
          <w:szCs w:val="24"/>
          <w:lang w:val="et-EE"/>
        </w:rPr>
        <w:t>8</w:t>
      </w:r>
      <w:r w:rsidRPr="00687DE8">
        <w:rPr>
          <w:szCs w:val="24"/>
          <w:lang w:val="et-EE"/>
        </w:rPr>
        <w:t>) Koodidega 3201, 3202, 3203, 3204, 3205, 3206, 3207, 3208</w:t>
      </w:r>
      <w:r w:rsidR="50378ECD" w:rsidRPr="00687DE8">
        <w:rPr>
          <w:szCs w:val="24"/>
          <w:lang w:val="et-EE"/>
        </w:rPr>
        <w:t>,</w:t>
      </w:r>
      <w:r w:rsidRPr="00687DE8">
        <w:rPr>
          <w:szCs w:val="24"/>
          <w:lang w:val="et-EE"/>
        </w:rPr>
        <w:t xml:space="preserve"> 3218</w:t>
      </w:r>
      <w:r w:rsidR="00D10D41" w:rsidRPr="00687DE8">
        <w:rPr>
          <w:szCs w:val="24"/>
          <w:lang w:val="et-EE"/>
        </w:rPr>
        <w:t>,</w:t>
      </w:r>
      <w:r w:rsidRPr="00687DE8">
        <w:rPr>
          <w:szCs w:val="24"/>
          <w:lang w:val="et-EE"/>
        </w:rPr>
        <w:t xml:space="preserve"> </w:t>
      </w:r>
      <w:r w:rsidR="004A3D32" w:rsidRPr="00687DE8">
        <w:rPr>
          <w:szCs w:val="24"/>
          <w:lang w:val="et-EE"/>
        </w:rPr>
        <w:t>3219,</w:t>
      </w:r>
      <w:r w:rsidR="008F2816" w:rsidRPr="00687DE8">
        <w:rPr>
          <w:szCs w:val="24"/>
          <w:lang w:val="et-EE"/>
        </w:rPr>
        <w:t xml:space="preserve"> </w:t>
      </w:r>
      <w:r w:rsidR="4C940C8E" w:rsidRPr="00687DE8">
        <w:rPr>
          <w:szCs w:val="24"/>
          <w:lang w:val="et-EE"/>
        </w:rPr>
        <w:t>3220</w:t>
      </w:r>
      <w:r w:rsidR="00D10D41" w:rsidRPr="00687DE8">
        <w:rPr>
          <w:szCs w:val="24"/>
          <w:lang w:val="et-EE"/>
        </w:rPr>
        <w:t>,</w:t>
      </w:r>
      <w:r w:rsidR="000A19F7" w:rsidRPr="00687DE8">
        <w:rPr>
          <w:szCs w:val="24"/>
          <w:lang w:val="et-EE"/>
        </w:rPr>
        <w:t xml:space="preserve"> 3221,</w:t>
      </w:r>
      <w:r w:rsidR="4C940C8E" w:rsidRPr="00687DE8">
        <w:rPr>
          <w:szCs w:val="24"/>
          <w:lang w:val="et-EE"/>
        </w:rPr>
        <w:t xml:space="preserve"> </w:t>
      </w:r>
      <w:r w:rsidR="000A19F7" w:rsidRPr="00687DE8">
        <w:rPr>
          <w:szCs w:val="24"/>
          <w:lang w:val="et-EE"/>
        </w:rPr>
        <w:t>3222, 3223, 3224, 3225</w:t>
      </w:r>
      <w:r w:rsidR="0008004D" w:rsidRPr="00687DE8">
        <w:rPr>
          <w:szCs w:val="24"/>
          <w:lang w:val="et-EE"/>
        </w:rPr>
        <w:t>,</w:t>
      </w:r>
      <w:r w:rsidR="000A19F7" w:rsidRPr="00687DE8">
        <w:rPr>
          <w:szCs w:val="24"/>
          <w:lang w:val="et-EE"/>
        </w:rPr>
        <w:t xml:space="preserve"> 3226</w:t>
      </w:r>
      <w:r w:rsidR="0008004D" w:rsidRPr="00687DE8">
        <w:rPr>
          <w:szCs w:val="24"/>
          <w:lang w:val="et-EE"/>
        </w:rPr>
        <w:t>, 3227, 3228,</w:t>
      </w:r>
      <w:r w:rsidR="0094436B" w:rsidRPr="00687DE8">
        <w:rPr>
          <w:szCs w:val="24"/>
          <w:lang w:val="et-EE"/>
        </w:rPr>
        <w:t xml:space="preserve"> </w:t>
      </w:r>
      <w:r w:rsidR="0008004D" w:rsidRPr="00687DE8">
        <w:rPr>
          <w:szCs w:val="24"/>
          <w:lang w:val="et-EE"/>
        </w:rPr>
        <w:t>3229</w:t>
      </w:r>
      <w:r w:rsidR="004A3D32" w:rsidRPr="00687DE8">
        <w:rPr>
          <w:szCs w:val="24"/>
          <w:lang w:val="et-EE"/>
        </w:rPr>
        <w:t>,</w:t>
      </w:r>
      <w:r w:rsidR="0008004D" w:rsidRPr="00687DE8">
        <w:rPr>
          <w:szCs w:val="24"/>
          <w:lang w:val="et-EE"/>
        </w:rPr>
        <w:t xml:space="preserve"> 3230</w:t>
      </w:r>
      <w:r w:rsidRPr="00687DE8">
        <w:rPr>
          <w:szCs w:val="24"/>
          <w:lang w:val="et-EE"/>
        </w:rPr>
        <w:t xml:space="preserve"> </w:t>
      </w:r>
      <w:r w:rsidR="004A3D32" w:rsidRPr="00687DE8">
        <w:rPr>
          <w:szCs w:val="24"/>
          <w:lang w:val="et-EE"/>
        </w:rPr>
        <w:t>ja 32</w:t>
      </w:r>
      <w:r w:rsidR="00F67BFA" w:rsidRPr="00687DE8">
        <w:rPr>
          <w:szCs w:val="24"/>
          <w:lang w:val="et-EE"/>
        </w:rPr>
        <w:t xml:space="preserve">31 </w:t>
      </w:r>
      <w:r w:rsidRPr="00687DE8">
        <w:rPr>
          <w:szCs w:val="24"/>
          <w:lang w:val="et-EE"/>
        </w:rPr>
        <w:t xml:space="preserve">tähistatud kaugteenuste piirhinda ei rakendata samal ajal koodidega 3004, </w:t>
      </w:r>
      <w:r w:rsidR="00645B99" w:rsidRPr="00687DE8">
        <w:rPr>
          <w:szCs w:val="24"/>
          <w:lang w:val="et-EE"/>
        </w:rPr>
        <w:t xml:space="preserve">3018, 3019, </w:t>
      </w:r>
      <w:r w:rsidRPr="00687DE8">
        <w:rPr>
          <w:szCs w:val="24"/>
          <w:lang w:val="et-EE"/>
        </w:rPr>
        <w:t>3031, 3032, 3033, 3100, 3035, 3015, 3112</w:t>
      </w:r>
      <w:r w:rsidR="009E4543" w:rsidRPr="00687DE8">
        <w:rPr>
          <w:szCs w:val="24"/>
          <w:lang w:val="et-EE"/>
        </w:rPr>
        <w:t>, 3118</w:t>
      </w:r>
      <w:r w:rsidRPr="00687DE8">
        <w:rPr>
          <w:szCs w:val="24"/>
          <w:lang w:val="et-EE"/>
        </w:rPr>
        <w:t xml:space="preserve"> ja 3099 tähistatud vastavate kontaktvastuvõttudega.</w:t>
      </w:r>
    </w:p>
    <w:p w14:paraId="50026AAA" w14:textId="77777777" w:rsidR="00BF5A95" w:rsidRPr="00687DE8" w:rsidRDefault="00BF5A95" w:rsidP="009A5F3D">
      <w:pPr>
        <w:pStyle w:val="Vahedeta"/>
        <w:jc w:val="both"/>
        <w:rPr>
          <w:szCs w:val="24"/>
          <w:lang w:val="et-EE"/>
        </w:rPr>
      </w:pPr>
    </w:p>
    <w:p w14:paraId="07C2D6B9" w14:textId="20B50E1A" w:rsidR="009E2577" w:rsidRPr="00687DE8" w:rsidRDefault="00BF5A95" w:rsidP="009A5F3D">
      <w:pPr>
        <w:spacing w:after="0" w:line="240" w:lineRule="auto"/>
        <w:jc w:val="both"/>
        <w:divId w:val="1316184749"/>
        <w:rPr>
          <w:szCs w:val="24"/>
        </w:rPr>
      </w:pPr>
      <w:r w:rsidRPr="00687DE8">
        <w:rPr>
          <w:szCs w:val="24"/>
        </w:rPr>
        <w:t>(</w:t>
      </w:r>
      <w:r w:rsidR="00A00F9A">
        <w:rPr>
          <w:szCs w:val="24"/>
        </w:rPr>
        <w:t>39</w:t>
      </w:r>
      <w:r w:rsidRPr="00687DE8">
        <w:rPr>
          <w:szCs w:val="24"/>
        </w:rPr>
        <w:t xml:space="preserve">) </w:t>
      </w:r>
      <w:r w:rsidRPr="00687DE8" w:rsidDel="003D51CB">
        <w:rPr>
          <w:szCs w:val="24"/>
        </w:rPr>
        <w:t xml:space="preserve">Koodidega </w:t>
      </w:r>
      <w:r w:rsidRPr="00687DE8">
        <w:rPr>
          <w:szCs w:val="24"/>
        </w:rPr>
        <w:t>3034, 3042, 3043, 3101, 3113 ja 3114 tähistatud tervishoiuteenuseid on võimalik rakendada kaugteenustena.</w:t>
      </w:r>
    </w:p>
    <w:p w14:paraId="58B43E50" w14:textId="77777777" w:rsidR="00517FEA" w:rsidRPr="00687DE8" w:rsidRDefault="00517FEA" w:rsidP="009A5F3D">
      <w:pPr>
        <w:spacing w:after="0" w:line="240" w:lineRule="auto"/>
        <w:jc w:val="both"/>
        <w:divId w:val="1316184749"/>
        <w:rPr>
          <w:szCs w:val="24"/>
        </w:rPr>
      </w:pPr>
    </w:p>
    <w:p w14:paraId="15C76B5E" w14:textId="5CEAC0C1" w:rsidR="002B0D57" w:rsidRPr="00687DE8" w:rsidRDefault="00517FEA" w:rsidP="009A5F3D">
      <w:pPr>
        <w:spacing w:after="0" w:line="240" w:lineRule="auto"/>
        <w:ind w:left="11"/>
        <w:jc w:val="both"/>
        <w:divId w:val="1316184749"/>
        <w:rPr>
          <w:szCs w:val="24"/>
        </w:rPr>
      </w:pPr>
      <w:r w:rsidRPr="00687DE8">
        <w:rPr>
          <w:szCs w:val="24"/>
        </w:rPr>
        <w:t>(4</w:t>
      </w:r>
      <w:r w:rsidR="00A00F9A">
        <w:rPr>
          <w:szCs w:val="24"/>
        </w:rPr>
        <w:t>0</w:t>
      </w:r>
      <w:r w:rsidRPr="00687DE8">
        <w:rPr>
          <w:szCs w:val="24"/>
        </w:rPr>
        <w:t xml:space="preserve">) </w:t>
      </w:r>
      <w:r w:rsidR="00B24AF4" w:rsidRPr="00687DE8">
        <w:rPr>
          <w:szCs w:val="24"/>
        </w:rPr>
        <w:t>Koodidega 3038 ja 3028 tähistatud tervishoiuteenus</w:t>
      </w:r>
      <w:r w:rsidR="001477CB" w:rsidRPr="00687DE8">
        <w:rPr>
          <w:szCs w:val="24"/>
        </w:rPr>
        <w:t>eid</w:t>
      </w:r>
      <w:r w:rsidR="00B24AF4" w:rsidRPr="00687DE8">
        <w:rPr>
          <w:szCs w:val="24"/>
        </w:rPr>
        <w:t xml:space="preserve"> rakendatakse sünnitusjärgse</w:t>
      </w:r>
      <w:r w:rsidR="005B008D" w:rsidRPr="00687DE8">
        <w:rPr>
          <w:szCs w:val="24"/>
        </w:rPr>
        <w:t>l</w:t>
      </w:r>
      <w:r w:rsidR="00D81FE3" w:rsidRPr="00687DE8">
        <w:rPr>
          <w:szCs w:val="24"/>
        </w:rPr>
        <w:t xml:space="preserve"> perioodi</w:t>
      </w:r>
      <w:r w:rsidR="005B008D" w:rsidRPr="00687DE8">
        <w:rPr>
          <w:szCs w:val="24"/>
        </w:rPr>
        <w:t>l</w:t>
      </w:r>
      <w:r w:rsidR="00B24AF4" w:rsidRPr="00687DE8">
        <w:rPr>
          <w:szCs w:val="24"/>
        </w:rPr>
        <w:t xml:space="preserve"> kuni 12 kuu jooksul.</w:t>
      </w:r>
    </w:p>
    <w:p w14:paraId="1E6EA2A2" w14:textId="77777777" w:rsidR="00860B9C" w:rsidRPr="00687DE8" w:rsidRDefault="00860B9C" w:rsidP="009A5F3D">
      <w:pPr>
        <w:spacing w:after="0" w:line="240" w:lineRule="auto"/>
        <w:ind w:left="11"/>
        <w:jc w:val="both"/>
        <w:divId w:val="1316184749"/>
        <w:rPr>
          <w:szCs w:val="24"/>
        </w:rPr>
      </w:pPr>
    </w:p>
    <w:p w14:paraId="1561DE25" w14:textId="34F186A1" w:rsidR="000D0D72" w:rsidRPr="00687DE8" w:rsidRDefault="00860B9C" w:rsidP="009A5F3D">
      <w:pPr>
        <w:spacing w:after="0" w:line="240" w:lineRule="auto"/>
        <w:ind w:left="11"/>
        <w:jc w:val="both"/>
        <w:divId w:val="1316184749"/>
        <w:rPr>
          <w:szCs w:val="24"/>
        </w:rPr>
      </w:pPr>
      <w:r w:rsidRPr="00687DE8">
        <w:rPr>
          <w:szCs w:val="24"/>
        </w:rPr>
        <w:t>(4</w:t>
      </w:r>
      <w:r w:rsidR="00A00F9A">
        <w:rPr>
          <w:szCs w:val="24"/>
        </w:rPr>
        <w:t>1</w:t>
      </w:r>
      <w:r w:rsidRPr="00687DE8">
        <w:rPr>
          <w:szCs w:val="24"/>
        </w:rPr>
        <w:t xml:space="preserve">) </w:t>
      </w:r>
      <w:r w:rsidR="003F7A25" w:rsidRPr="00687DE8">
        <w:rPr>
          <w:szCs w:val="24"/>
        </w:rPr>
        <w:t>Koodiga 3121 tähistatud tervishoiuteenuse piirhind sisaldab kõiki kohtu määratud psühhiaatrilise ambulatoorse sundravi</w:t>
      </w:r>
      <w:r w:rsidR="0064065B" w:rsidRPr="00687DE8">
        <w:rPr>
          <w:szCs w:val="24"/>
        </w:rPr>
        <w:t>ga</w:t>
      </w:r>
      <w:r w:rsidR="003F7A25" w:rsidRPr="00687DE8">
        <w:rPr>
          <w:szCs w:val="24"/>
        </w:rPr>
        <w:t xml:space="preserve"> seotud kulusid.</w:t>
      </w:r>
    </w:p>
    <w:p w14:paraId="2D865F7F" w14:textId="44B2821F" w:rsidR="11D58D77" w:rsidRPr="00687DE8" w:rsidRDefault="11D58D77" w:rsidP="11D58D77">
      <w:pPr>
        <w:spacing w:after="0" w:line="240" w:lineRule="auto"/>
        <w:jc w:val="both"/>
        <w:rPr>
          <w:color w:val="000000" w:themeColor="text1"/>
          <w:szCs w:val="24"/>
        </w:rPr>
      </w:pPr>
    </w:p>
    <w:p w14:paraId="3123F2E8" w14:textId="2C9FF930" w:rsidR="3E4439B9" w:rsidRPr="00687DE8" w:rsidRDefault="3E4439B9" w:rsidP="11D58D77">
      <w:pPr>
        <w:spacing w:after="0" w:line="240" w:lineRule="auto"/>
        <w:jc w:val="both"/>
        <w:rPr>
          <w:color w:val="000000" w:themeColor="text1"/>
          <w:szCs w:val="24"/>
        </w:rPr>
      </w:pPr>
      <w:r w:rsidRPr="00687DE8">
        <w:rPr>
          <w:color w:val="000000" w:themeColor="text1"/>
          <w:szCs w:val="24"/>
        </w:rPr>
        <w:lastRenderedPageBreak/>
        <w:t>(4</w:t>
      </w:r>
      <w:r w:rsidR="00A00F9A">
        <w:rPr>
          <w:color w:val="000000" w:themeColor="text1"/>
          <w:szCs w:val="24"/>
        </w:rPr>
        <w:t>2</w:t>
      </w:r>
      <w:r w:rsidRPr="00687DE8">
        <w:rPr>
          <w:color w:val="000000" w:themeColor="text1"/>
          <w:szCs w:val="24"/>
        </w:rPr>
        <w:t>) Koodiga 3128 tähistatud tervishoiuteenuse piirhind sisaldab kõiki tuberkuloosi otseselt kontrollitava ambulatoorse raviga seotud kulusid</w:t>
      </w:r>
      <w:r w:rsidR="008574F0" w:rsidRPr="00687DE8">
        <w:rPr>
          <w:color w:val="000000" w:themeColor="text1"/>
          <w:szCs w:val="24"/>
        </w:rPr>
        <w:t xml:space="preserve"> (s</w:t>
      </w:r>
      <w:r w:rsidR="005D794B" w:rsidRPr="00687DE8">
        <w:rPr>
          <w:color w:val="000000" w:themeColor="text1"/>
          <w:szCs w:val="24"/>
        </w:rPr>
        <w:t>ealhulgas</w:t>
      </w:r>
      <w:r w:rsidR="008574F0" w:rsidRPr="00687DE8">
        <w:rPr>
          <w:color w:val="000000" w:themeColor="text1"/>
          <w:szCs w:val="24"/>
        </w:rPr>
        <w:t xml:space="preserve"> arsti, õe ja sotsiaaltöötaja töötasu ja </w:t>
      </w:r>
      <w:r w:rsidR="693024A7" w:rsidRPr="00687DE8">
        <w:rPr>
          <w:color w:val="000000" w:themeColor="text1"/>
          <w:szCs w:val="24"/>
        </w:rPr>
        <w:t>mu</w:t>
      </w:r>
      <w:r w:rsidR="009C6A2C" w:rsidRPr="00687DE8">
        <w:rPr>
          <w:color w:val="000000" w:themeColor="text1"/>
          <w:szCs w:val="24"/>
        </w:rPr>
        <w:t>ud</w:t>
      </w:r>
      <w:r w:rsidR="693024A7" w:rsidRPr="00687DE8">
        <w:rPr>
          <w:color w:val="000000" w:themeColor="text1"/>
          <w:szCs w:val="24"/>
        </w:rPr>
        <w:t xml:space="preserve"> patsiendi ravisoostumust toetava</w:t>
      </w:r>
      <w:r w:rsidR="009C6A2C" w:rsidRPr="00687DE8">
        <w:rPr>
          <w:color w:val="000000" w:themeColor="text1"/>
          <w:szCs w:val="24"/>
        </w:rPr>
        <w:t>d</w:t>
      </w:r>
      <w:r w:rsidR="693024A7" w:rsidRPr="00687DE8">
        <w:rPr>
          <w:color w:val="000000" w:themeColor="text1"/>
          <w:szCs w:val="24"/>
        </w:rPr>
        <w:t xml:space="preserve"> teenusega kaasneva</w:t>
      </w:r>
      <w:r w:rsidR="009C6A2C" w:rsidRPr="00687DE8">
        <w:rPr>
          <w:color w:val="000000" w:themeColor="text1"/>
          <w:szCs w:val="24"/>
        </w:rPr>
        <w:t>d</w:t>
      </w:r>
      <w:r w:rsidR="693024A7" w:rsidRPr="00687DE8">
        <w:rPr>
          <w:color w:val="000000" w:themeColor="text1"/>
          <w:szCs w:val="24"/>
        </w:rPr>
        <w:t xml:space="preserve"> kulu</w:t>
      </w:r>
      <w:r w:rsidR="009C6A2C" w:rsidRPr="00687DE8">
        <w:rPr>
          <w:color w:val="000000" w:themeColor="text1"/>
          <w:szCs w:val="24"/>
        </w:rPr>
        <w:t>d),</w:t>
      </w:r>
      <w:r w:rsidR="00DD44E9" w:rsidRPr="00687DE8">
        <w:rPr>
          <w:color w:val="000000" w:themeColor="text1"/>
          <w:szCs w:val="24"/>
        </w:rPr>
        <w:t xml:space="preserve"> välja arvatud õe koduvisiit.</w:t>
      </w:r>
      <w:r w:rsidR="00FC00FF" w:rsidRPr="00687DE8" w:rsidDel="00FC00FF">
        <w:rPr>
          <w:color w:val="000000" w:themeColor="text1"/>
          <w:szCs w:val="24"/>
        </w:rPr>
        <w:t xml:space="preserve"> </w:t>
      </w:r>
    </w:p>
    <w:p w14:paraId="55D4CA55" w14:textId="67655C9D" w:rsidR="11D58D77" w:rsidRPr="00687DE8" w:rsidRDefault="11D58D77" w:rsidP="11D58D77">
      <w:pPr>
        <w:spacing w:after="0" w:line="240" w:lineRule="auto"/>
        <w:jc w:val="both"/>
        <w:rPr>
          <w:color w:val="000000" w:themeColor="text1"/>
          <w:szCs w:val="24"/>
        </w:rPr>
      </w:pPr>
    </w:p>
    <w:p w14:paraId="18711F42" w14:textId="10277737" w:rsidR="3E4439B9" w:rsidRPr="00687DE8" w:rsidRDefault="3E4439B9" w:rsidP="11D58D77">
      <w:pPr>
        <w:spacing w:after="0" w:line="240" w:lineRule="auto"/>
        <w:jc w:val="both"/>
        <w:rPr>
          <w:color w:val="000000" w:themeColor="text1"/>
          <w:szCs w:val="24"/>
        </w:rPr>
      </w:pPr>
      <w:r w:rsidRPr="00687DE8">
        <w:rPr>
          <w:color w:val="000000" w:themeColor="text1"/>
          <w:szCs w:val="24"/>
        </w:rPr>
        <w:t>(4</w:t>
      </w:r>
      <w:r w:rsidR="00A00F9A">
        <w:rPr>
          <w:color w:val="000000" w:themeColor="text1"/>
          <w:szCs w:val="24"/>
        </w:rPr>
        <w:t>3</w:t>
      </w:r>
      <w:r w:rsidRPr="00687DE8">
        <w:rPr>
          <w:color w:val="000000" w:themeColor="text1"/>
          <w:szCs w:val="24"/>
        </w:rPr>
        <w:t xml:space="preserve">) </w:t>
      </w:r>
      <w:r w:rsidR="6C72158B" w:rsidRPr="00687DE8">
        <w:rPr>
          <w:color w:val="000000" w:themeColor="text1"/>
          <w:szCs w:val="24"/>
        </w:rPr>
        <w:t>Koodiga 3128 tähistatud tervishoiuteenuse p</w:t>
      </w:r>
      <w:r w:rsidRPr="00687DE8">
        <w:rPr>
          <w:color w:val="000000" w:themeColor="text1"/>
          <w:szCs w:val="24"/>
        </w:rPr>
        <w:t xml:space="preserve">iirhinda rakendatakse juhul, kui </w:t>
      </w:r>
      <w:r w:rsidR="005E1CD3" w:rsidRPr="00687DE8">
        <w:rPr>
          <w:color w:val="000000" w:themeColor="text1"/>
          <w:szCs w:val="24"/>
        </w:rPr>
        <w:t xml:space="preserve">patsiendile </w:t>
      </w:r>
      <w:r w:rsidR="00B0417C" w:rsidRPr="00687DE8">
        <w:rPr>
          <w:color w:val="000000" w:themeColor="text1"/>
          <w:szCs w:val="24"/>
        </w:rPr>
        <w:t xml:space="preserve">on </w:t>
      </w:r>
      <w:r w:rsidR="00043FEE" w:rsidRPr="00687DE8">
        <w:rPr>
          <w:color w:val="000000" w:themeColor="text1"/>
          <w:szCs w:val="24"/>
        </w:rPr>
        <w:t>kalendri</w:t>
      </w:r>
      <w:r w:rsidR="005E1CD3" w:rsidRPr="00687DE8">
        <w:rPr>
          <w:color w:val="000000" w:themeColor="text1"/>
          <w:szCs w:val="24"/>
        </w:rPr>
        <w:t xml:space="preserve">kuu jooksul osutatud </w:t>
      </w:r>
      <w:r w:rsidR="001E592F" w:rsidRPr="00687DE8">
        <w:rPr>
          <w:szCs w:val="24"/>
        </w:rPr>
        <w:t>tuberkuloosi otseselt kontrollitava</w:t>
      </w:r>
      <w:r w:rsidR="00114F65" w:rsidRPr="00687DE8">
        <w:rPr>
          <w:szCs w:val="24"/>
        </w:rPr>
        <w:t>ks</w:t>
      </w:r>
      <w:r w:rsidR="001E592F" w:rsidRPr="00687DE8">
        <w:rPr>
          <w:szCs w:val="24"/>
        </w:rPr>
        <w:t xml:space="preserve"> ambulatoorse</w:t>
      </w:r>
      <w:r w:rsidR="00114F65" w:rsidRPr="00687DE8">
        <w:rPr>
          <w:szCs w:val="24"/>
        </w:rPr>
        <w:t>ks</w:t>
      </w:r>
      <w:r w:rsidR="001E592F" w:rsidRPr="00687DE8">
        <w:rPr>
          <w:szCs w:val="24"/>
        </w:rPr>
        <w:t xml:space="preserve"> ravi</w:t>
      </w:r>
      <w:r w:rsidR="00114F65" w:rsidRPr="00687DE8">
        <w:rPr>
          <w:szCs w:val="24"/>
        </w:rPr>
        <w:t>ks</w:t>
      </w:r>
      <w:r w:rsidR="00DB29C9" w:rsidRPr="00687DE8">
        <w:rPr>
          <w:szCs w:val="24"/>
        </w:rPr>
        <w:t xml:space="preserve"> vajalikke </w:t>
      </w:r>
      <w:r w:rsidR="005E1CD3" w:rsidRPr="00687DE8">
        <w:rPr>
          <w:color w:val="000000" w:themeColor="text1"/>
          <w:szCs w:val="24"/>
        </w:rPr>
        <w:t>tervishoiuteenuseid</w:t>
      </w:r>
      <w:r w:rsidR="00CB5872" w:rsidRPr="00687DE8">
        <w:rPr>
          <w:color w:val="000000" w:themeColor="text1"/>
          <w:szCs w:val="24"/>
        </w:rPr>
        <w:t xml:space="preserve"> </w:t>
      </w:r>
      <w:r w:rsidR="00577FDA" w:rsidRPr="00687DE8">
        <w:rPr>
          <w:color w:val="000000" w:themeColor="text1"/>
          <w:szCs w:val="24"/>
        </w:rPr>
        <w:t>vastavalt ravi rahastamise lepingus nimetatud tingimustele</w:t>
      </w:r>
      <w:r w:rsidR="00530634" w:rsidRPr="00687DE8">
        <w:rPr>
          <w:color w:val="000000" w:themeColor="text1"/>
          <w:szCs w:val="24"/>
        </w:rPr>
        <w:t>.</w:t>
      </w:r>
      <w:r w:rsidR="006B6980" w:rsidRPr="00687DE8">
        <w:rPr>
          <w:color w:val="000000" w:themeColor="text1"/>
          <w:szCs w:val="24"/>
        </w:rPr>
        <w:t xml:space="preserve"> </w:t>
      </w:r>
    </w:p>
    <w:p w14:paraId="5F630C2E" w14:textId="5A7345AB" w:rsidR="00E30966" w:rsidRPr="00687DE8" w:rsidRDefault="00E30966" w:rsidP="00233512">
      <w:pPr>
        <w:spacing w:after="0" w:line="240" w:lineRule="auto"/>
        <w:jc w:val="both"/>
        <w:rPr>
          <w:rFonts w:eastAsia="Calibri"/>
          <w:color w:val="000000" w:themeColor="text1"/>
          <w:szCs w:val="24"/>
        </w:rPr>
      </w:pPr>
    </w:p>
    <w:p w14:paraId="3285EC0D" w14:textId="5515251D" w:rsidR="002A4079" w:rsidRPr="00687DE8" w:rsidRDefault="002A4079" w:rsidP="00233512">
      <w:pPr>
        <w:spacing w:after="0" w:line="240" w:lineRule="auto"/>
        <w:jc w:val="both"/>
        <w:rPr>
          <w:rFonts w:eastAsia="Calibri"/>
          <w:szCs w:val="24"/>
        </w:rPr>
      </w:pPr>
      <w:bookmarkStart w:id="8" w:name="_Hlk151719358"/>
      <w:r w:rsidRPr="00687DE8">
        <w:rPr>
          <w:rFonts w:eastAsia="Calibri"/>
          <w:color w:val="000000" w:themeColor="text1"/>
          <w:szCs w:val="24"/>
        </w:rPr>
        <w:t>(4</w:t>
      </w:r>
      <w:r w:rsidR="00A00F9A">
        <w:rPr>
          <w:rFonts w:eastAsia="Calibri"/>
          <w:color w:val="000000" w:themeColor="text1"/>
          <w:szCs w:val="24"/>
        </w:rPr>
        <w:t>4</w:t>
      </w:r>
      <w:r w:rsidRPr="00687DE8">
        <w:rPr>
          <w:rFonts w:eastAsia="Calibri"/>
          <w:color w:val="000000" w:themeColor="text1"/>
          <w:szCs w:val="24"/>
        </w:rPr>
        <w:t xml:space="preserve">) </w:t>
      </w:r>
      <w:r w:rsidRPr="00687DE8">
        <w:rPr>
          <w:rFonts w:eastAsia="Calibri"/>
          <w:szCs w:val="24"/>
        </w:rPr>
        <w:t>Tervisekassa võtab koodiga 3191 tähistatud tervishoiuteenuse eest tasu maksmise kohustuse üle üldhooldekodu elanikule koodiga 52469 tähistatud tervishoiuteenuse osutamisel.</w:t>
      </w:r>
    </w:p>
    <w:bookmarkEnd w:id="8"/>
    <w:p w14:paraId="377EF405" w14:textId="16485BEC" w:rsidR="6E6DC8E3" w:rsidRPr="00687DE8" w:rsidRDefault="6E6DC8E3" w:rsidP="6E6DC8E3">
      <w:pPr>
        <w:spacing w:after="0" w:line="240" w:lineRule="auto"/>
        <w:jc w:val="both"/>
        <w:rPr>
          <w:rFonts w:eastAsia="Calibri"/>
          <w:szCs w:val="24"/>
        </w:rPr>
      </w:pPr>
    </w:p>
    <w:p w14:paraId="1B18D129" w14:textId="47212CFD" w:rsidR="00A658CA" w:rsidRPr="00687DE8" w:rsidRDefault="5657C5EC" w:rsidP="00012708">
      <w:pPr>
        <w:spacing w:after="0" w:line="240" w:lineRule="auto"/>
        <w:jc w:val="both"/>
        <w:rPr>
          <w:rFonts w:eastAsia="Calibri"/>
        </w:rPr>
      </w:pPr>
      <w:r w:rsidRPr="27AFFAA6">
        <w:rPr>
          <w:rFonts w:eastAsia="Calibri"/>
        </w:rPr>
        <w:t>(4</w:t>
      </w:r>
      <w:r w:rsidR="00A00F9A" w:rsidRPr="27AFFAA6">
        <w:rPr>
          <w:rFonts w:eastAsia="Calibri"/>
        </w:rPr>
        <w:t>5</w:t>
      </w:r>
      <w:r w:rsidRPr="27AFFAA6">
        <w:rPr>
          <w:rFonts w:eastAsia="Calibri"/>
        </w:rPr>
        <w:t xml:space="preserve">) </w:t>
      </w:r>
      <w:r w:rsidR="001E0C7F" w:rsidRPr="27AFFAA6">
        <w:rPr>
          <w:rFonts w:eastAsia="Calibri"/>
        </w:rPr>
        <w:t>Tervisekassa võtab koodi</w:t>
      </w:r>
      <w:r w:rsidR="00752B07" w:rsidRPr="27AFFAA6">
        <w:rPr>
          <w:rFonts w:eastAsia="Calibri"/>
        </w:rPr>
        <w:t>de</w:t>
      </w:r>
      <w:r w:rsidR="001E0C7F" w:rsidRPr="27AFFAA6">
        <w:rPr>
          <w:rFonts w:eastAsia="Calibri"/>
        </w:rPr>
        <w:t xml:space="preserve">ga 3018, 3019, </w:t>
      </w:r>
      <w:r w:rsidR="477D26DE" w:rsidRPr="27AFFAA6">
        <w:rPr>
          <w:rFonts w:eastAsia="Calibri"/>
        </w:rPr>
        <w:t>3021,</w:t>
      </w:r>
      <w:r w:rsidR="001E0C7F" w:rsidRPr="27AFFAA6">
        <w:rPr>
          <w:rFonts w:eastAsia="Calibri"/>
        </w:rPr>
        <w:t xml:space="preserve"> 3219 ja 3231 tähistatud tervishoiuteenus</w:t>
      </w:r>
      <w:r w:rsidR="00752B07" w:rsidRPr="27AFFAA6">
        <w:rPr>
          <w:rFonts w:eastAsia="Calibri"/>
        </w:rPr>
        <w:t>t</w:t>
      </w:r>
      <w:r w:rsidR="001E0C7F" w:rsidRPr="27AFFAA6">
        <w:rPr>
          <w:rFonts w:eastAsia="Calibri"/>
        </w:rPr>
        <w:t xml:space="preserve">e eest tasu maksmise kohustuse üle </w:t>
      </w:r>
      <w:r w:rsidR="00D6195E" w:rsidRPr="27AFFAA6">
        <w:rPr>
          <w:rFonts w:eastAsia="Calibri"/>
        </w:rPr>
        <w:t xml:space="preserve">juhul, </w:t>
      </w:r>
      <w:r w:rsidR="001E0C7F" w:rsidRPr="27AFFAA6">
        <w:rPr>
          <w:rFonts w:eastAsia="Calibri"/>
        </w:rPr>
        <w:t xml:space="preserve">kui teenust osutab eriõe pädevusega isik, kes </w:t>
      </w:r>
      <w:r w:rsidR="00C241A5" w:rsidRPr="27AFFAA6">
        <w:rPr>
          <w:rFonts w:eastAsia="Calibri"/>
        </w:rPr>
        <w:t>töötab eriõe ametikohal</w:t>
      </w:r>
      <w:r w:rsidR="00752B07" w:rsidRPr="27AFFAA6">
        <w:rPr>
          <w:rFonts w:eastAsia="Calibri"/>
        </w:rPr>
        <w:t xml:space="preserve"> ja</w:t>
      </w:r>
      <w:r w:rsidR="00C241A5" w:rsidRPr="27AFFAA6">
        <w:rPr>
          <w:rFonts w:eastAsia="Calibri"/>
        </w:rPr>
        <w:t xml:space="preserve"> </w:t>
      </w:r>
      <w:r w:rsidR="001E0C7F" w:rsidRPr="27AFFAA6">
        <w:rPr>
          <w:rFonts w:eastAsia="Calibri"/>
        </w:rPr>
        <w:t>t</w:t>
      </w:r>
      <w:r w:rsidR="005B2CA2" w:rsidRPr="27AFFAA6">
        <w:rPr>
          <w:rFonts w:eastAsia="Calibri"/>
        </w:rPr>
        <w:t>äidab</w:t>
      </w:r>
      <w:r w:rsidR="001E0C7F" w:rsidRPr="27AFFAA6">
        <w:rPr>
          <w:rFonts w:eastAsia="Calibri"/>
        </w:rPr>
        <w:t xml:space="preserve"> eriõe pädevust nõudva</w:t>
      </w:r>
      <w:r w:rsidR="007D2FFF" w:rsidRPr="27AFFAA6">
        <w:rPr>
          <w:rFonts w:eastAsia="Calibri"/>
        </w:rPr>
        <w:t>i</w:t>
      </w:r>
      <w:r w:rsidR="0023021E" w:rsidRPr="27AFFAA6">
        <w:rPr>
          <w:rFonts w:eastAsia="Calibri"/>
        </w:rPr>
        <w:t xml:space="preserve">d </w:t>
      </w:r>
      <w:r w:rsidR="005B2CA2" w:rsidRPr="27AFFAA6">
        <w:rPr>
          <w:rFonts w:eastAsia="Calibri"/>
        </w:rPr>
        <w:t>ülesandeid</w:t>
      </w:r>
      <w:r w:rsidR="001E0C7F" w:rsidRPr="27AFFAA6">
        <w:rPr>
          <w:rFonts w:eastAsia="Calibri"/>
        </w:rPr>
        <w:t xml:space="preserve"> </w:t>
      </w:r>
      <w:r w:rsidR="00825F9D" w:rsidRPr="27AFFAA6">
        <w:rPr>
          <w:rFonts w:eastAsia="Calibri"/>
        </w:rPr>
        <w:t>ning</w:t>
      </w:r>
      <w:r w:rsidR="001E0C7F" w:rsidRPr="27AFFAA6">
        <w:rPr>
          <w:rFonts w:eastAsia="Calibri"/>
        </w:rPr>
        <w:t xml:space="preserve"> </w:t>
      </w:r>
      <w:r w:rsidR="005D2601" w:rsidRPr="27AFFAA6">
        <w:rPr>
          <w:rFonts w:eastAsia="Calibri"/>
        </w:rPr>
        <w:t>raviasutuse</w:t>
      </w:r>
      <w:r w:rsidR="00752B07" w:rsidRPr="27AFFAA6">
        <w:rPr>
          <w:rFonts w:eastAsia="Calibri"/>
        </w:rPr>
        <w:t>s</w:t>
      </w:r>
      <w:r w:rsidR="005D2601" w:rsidRPr="27AFFAA6">
        <w:rPr>
          <w:rFonts w:eastAsia="Calibri"/>
        </w:rPr>
        <w:t xml:space="preserve"> on </w:t>
      </w:r>
      <w:r w:rsidR="001E0C7F" w:rsidRPr="27AFFAA6">
        <w:rPr>
          <w:rFonts w:eastAsia="Calibri"/>
        </w:rPr>
        <w:t>töökorraldus kokku lepitud.</w:t>
      </w:r>
    </w:p>
    <w:p w14:paraId="3443C01E" w14:textId="77777777" w:rsidR="00742D09" w:rsidRPr="00687DE8" w:rsidRDefault="00742D09" w:rsidP="00012708">
      <w:pPr>
        <w:spacing w:after="0" w:line="240" w:lineRule="auto"/>
        <w:jc w:val="both"/>
        <w:rPr>
          <w:rFonts w:eastAsia="Calibri"/>
          <w:szCs w:val="24"/>
        </w:rPr>
      </w:pPr>
    </w:p>
    <w:p w14:paraId="52CB0D12" w14:textId="008C6D96" w:rsidR="00742D09" w:rsidRPr="00687DE8" w:rsidRDefault="00742D09" w:rsidP="00012708">
      <w:pPr>
        <w:spacing w:after="0" w:line="240" w:lineRule="auto"/>
        <w:jc w:val="both"/>
        <w:rPr>
          <w:rFonts w:eastAsia="Calibri"/>
        </w:rPr>
      </w:pPr>
      <w:r w:rsidRPr="24E32EDE">
        <w:rPr>
          <w:rFonts w:eastAsia="Calibri"/>
        </w:rPr>
        <w:t>(4</w:t>
      </w:r>
      <w:r w:rsidR="00A00F9A" w:rsidRPr="24E32EDE">
        <w:rPr>
          <w:rFonts w:eastAsia="Calibri"/>
        </w:rPr>
        <w:t>6</w:t>
      </w:r>
      <w:r w:rsidRPr="24E32EDE">
        <w:rPr>
          <w:rFonts w:eastAsia="Calibri"/>
        </w:rPr>
        <w:t xml:space="preserve">) Koodidega 3018, 3019, </w:t>
      </w:r>
      <w:r w:rsidR="5576CF59" w:rsidRPr="24E32EDE">
        <w:rPr>
          <w:rFonts w:eastAsia="Calibri"/>
        </w:rPr>
        <w:t>3021,</w:t>
      </w:r>
      <w:r w:rsidRPr="24E32EDE">
        <w:rPr>
          <w:rFonts w:eastAsia="Calibri"/>
        </w:rPr>
        <w:t xml:space="preserve"> 3219 ja 3231 tähistatud tervishoiuteenuste piirhinnad sisaldavad lisaks lõikes 8 </w:t>
      </w:r>
      <w:r w:rsidR="009D1CE4" w:rsidRPr="24E32EDE">
        <w:rPr>
          <w:rFonts w:eastAsia="Calibri"/>
        </w:rPr>
        <w:t>sätestatud</w:t>
      </w:r>
      <w:r w:rsidRPr="24E32EDE">
        <w:rPr>
          <w:rFonts w:eastAsia="Calibri"/>
        </w:rPr>
        <w:t xml:space="preserve"> tegevustele eriõe pädevusse kuuluvaid tegevusi.</w:t>
      </w:r>
    </w:p>
    <w:p w14:paraId="4EC3DB71" w14:textId="77777777" w:rsidR="00B030BC" w:rsidRPr="00687DE8" w:rsidRDefault="00B030BC" w:rsidP="00012708">
      <w:pPr>
        <w:spacing w:after="0" w:line="240" w:lineRule="auto"/>
        <w:jc w:val="both"/>
        <w:rPr>
          <w:rFonts w:eastAsia="Calibri"/>
          <w:szCs w:val="24"/>
        </w:rPr>
      </w:pPr>
    </w:p>
    <w:p w14:paraId="3B6D87A2" w14:textId="694D58D4" w:rsidR="002D7A15" w:rsidRPr="00687DE8" w:rsidRDefault="002D7A15" w:rsidP="002D7A15">
      <w:pPr>
        <w:autoSpaceDE w:val="0"/>
        <w:autoSpaceDN w:val="0"/>
        <w:adjustRightInd w:val="0"/>
        <w:spacing w:after="0" w:line="240" w:lineRule="auto"/>
        <w:jc w:val="both"/>
        <w:rPr>
          <w:color w:val="202020"/>
          <w:szCs w:val="24"/>
          <w:lang w:eastAsia="et-EE"/>
        </w:rPr>
      </w:pPr>
      <w:r w:rsidRPr="00687DE8">
        <w:rPr>
          <w:color w:val="202020"/>
          <w:szCs w:val="24"/>
          <w:lang w:eastAsia="et-EE"/>
        </w:rPr>
        <w:t>(</w:t>
      </w:r>
      <w:r w:rsidR="00D876B5" w:rsidRPr="00687DE8">
        <w:rPr>
          <w:color w:val="202020"/>
          <w:szCs w:val="24"/>
          <w:lang w:eastAsia="et-EE"/>
        </w:rPr>
        <w:t>4</w:t>
      </w:r>
      <w:r w:rsidR="00C413E7">
        <w:rPr>
          <w:color w:val="202020"/>
          <w:szCs w:val="24"/>
          <w:lang w:eastAsia="et-EE"/>
        </w:rPr>
        <w:t>7</w:t>
      </w:r>
      <w:r w:rsidRPr="00687DE8">
        <w:rPr>
          <w:color w:val="202020"/>
          <w:szCs w:val="24"/>
          <w:lang w:eastAsia="et-EE"/>
        </w:rPr>
        <w:t xml:space="preserve">) Koodiga </w:t>
      </w:r>
      <w:r w:rsidR="00DA34C1" w:rsidRPr="00687DE8">
        <w:rPr>
          <w:color w:val="202020"/>
          <w:szCs w:val="24"/>
          <w:lang w:eastAsia="et-EE"/>
        </w:rPr>
        <w:t>3130</w:t>
      </w:r>
      <w:r w:rsidRPr="00687DE8">
        <w:rPr>
          <w:color w:val="202020"/>
          <w:szCs w:val="24"/>
          <w:lang w:eastAsia="et-EE"/>
        </w:rPr>
        <w:t xml:space="preserve"> tähistatud tervishoiuteenuse piirhinda rakendatakse SA Põhja-Eesti Regionaalhaiglas, SA Tartu Ülikooli Kliinikumis, SA Ida-Viru Keskhaiglas, AS Lääne-Tallinna Keskhaiglas, AS Ida-Tallinna Keskhaiglas ja SA Pärnu Haiglas juhul, kui kuu alguseks on loodud insuldi raviteekonna koordinaatori ametikoht ning teenust rakendatakse transitoorsesse isheemilisse atakki, isheemilisse või hemorraagilisse insulti haigestunud patsientidele, kellel on haiglaravi järel täiendavate teenuste ja koordineeriva teenuse vajadus ning kes teenust soovivad. </w:t>
      </w:r>
    </w:p>
    <w:p w14:paraId="73F91788" w14:textId="77777777" w:rsidR="002D7A15" w:rsidRPr="00687DE8" w:rsidRDefault="002D7A15" w:rsidP="002D7A15">
      <w:pPr>
        <w:autoSpaceDE w:val="0"/>
        <w:autoSpaceDN w:val="0"/>
        <w:adjustRightInd w:val="0"/>
        <w:spacing w:after="0" w:line="240" w:lineRule="auto"/>
        <w:jc w:val="both"/>
        <w:rPr>
          <w:color w:val="202020"/>
          <w:szCs w:val="24"/>
          <w:lang w:eastAsia="et-EE"/>
        </w:rPr>
      </w:pPr>
    </w:p>
    <w:p w14:paraId="3608B9C3" w14:textId="5755B7F9" w:rsidR="002D7A15" w:rsidRPr="00687DE8" w:rsidRDefault="002D7A15" w:rsidP="002D7A15">
      <w:pPr>
        <w:autoSpaceDE w:val="0"/>
        <w:autoSpaceDN w:val="0"/>
        <w:adjustRightInd w:val="0"/>
        <w:spacing w:after="0" w:line="240" w:lineRule="auto"/>
        <w:jc w:val="both"/>
        <w:rPr>
          <w:color w:val="202020"/>
          <w:szCs w:val="24"/>
          <w:lang w:eastAsia="et-EE"/>
        </w:rPr>
      </w:pPr>
      <w:r w:rsidRPr="00687DE8">
        <w:rPr>
          <w:color w:val="202020"/>
          <w:szCs w:val="24"/>
          <w:lang w:eastAsia="et-EE"/>
        </w:rPr>
        <w:t>(</w:t>
      </w:r>
      <w:r w:rsidR="00C413E7">
        <w:rPr>
          <w:color w:val="202020"/>
          <w:szCs w:val="24"/>
          <w:lang w:eastAsia="et-EE"/>
        </w:rPr>
        <w:t>48</w:t>
      </w:r>
      <w:r w:rsidRPr="00687DE8">
        <w:rPr>
          <w:color w:val="202020"/>
          <w:szCs w:val="24"/>
          <w:lang w:eastAsia="et-EE"/>
        </w:rPr>
        <w:t xml:space="preserve">) Koodiga </w:t>
      </w:r>
      <w:r w:rsidR="00864360" w:rsidRPr="00687DE8">
        <w:rPr>
          <w:color w:val="202020"/>
          <w:szCs w:val="24"/>
          <w:lang w:eastAsia="et-EE"/>
        </w:rPr>
        <w:t>3130</w:t>
      </w:r>
      <w:r w:rsidRPr="00687DE8">
        <w:rPr>
          <w:color w:val="202020"/>
          <w:szCs w:val="24"/>
          <w:lang w:eastAsia="et-EE"/>
        </w:rPr>
        <w:t xml:space="preserve"> tähistatud tervishoiuteenuse piirhinda rakendatakse piirkondlikes haiglates koefitsiendiga 1 ja keskhaiglates koefitsiendiga 0,5. </w:t>
      </w:r>
    </w:p>
    <w:p w14:paraId="07CB4356" w14:textId="77777777" w:rsidR="002D7A15" w:rsidRPr="00687DE8" w:rsidRDefault="002D7A15" w:rsidP="002D7A15">
      <w:pPr>
        <w:autoSpaceDE w:val="0"/>
        <w:autoSpaceDN w:val="0"/>
        <w:adjustRightInd w:val="0"/>
        <w:spacing w:after="0" w:line="240" w:lineRule="auto"/>
        <w:rPr>
          <w:color w:val="202020"/>
          <w:szCs w:val="24"/>
          <w:lang w:eastAsia="et-EE"/>
        </w:rPr>
      </w:pPr>
    </w:p>
    <w:p w14:paraId="1BE2F763" w14:textId="0E7FA812" w:rsidR="002D7A15" w:rsidRPr="00687DE8" w:rsidRDefault="002D7A15" w:rsidP="002D7A15">
      <w:pPr>
        <w:autoSpaceDE w:val="0"/>
        <w:autoSpaceDN w:val="0"/>
        <w:adjustRightInd w:val="0"/>
        <w:spacing w:after="0" w:line="240" w:lineRule="auto"/>
        <w:rPr>
          <w:color w:val="202020"/>
          <w:szCs w:val="24"/>
          <w:lang w:eastAsia="et-EE"/>
        </w:rPr>
      </w:pPr>
      <w:r w:rsidRPr="00687DE8">
        <w:rPr>
          <w:color w:val="202020"/>
          <w:szCs w:val="24"/>
          <w:lang w:eastAsia="et-EE"/>
        </w:rPr>
        <w:t>(</w:t>
      </w:r>
      <w:r w:rsidR="00C413E7">
        <w:rPr>
          <w:color w:val="202020"/>
          <w:szCs w:val="24"/>
          <w:lang w:eastAsia="et-EE"/>
        </w:rPr>
        <w:t>49</w:t>
      </w:r>
      <w:r w:rsidRPr="00687DE8">
        <w:rPr>
          <w:color w:val="202020"/>
          <w:szCs w:val="24"/>
          <w:lang w:eastAsia="et-EE"/>
        </w:rPr>
        <w:t xml:space="preserve">) Koodiga </w:t>
      </w:r>
      <w:r w:rsidR="00864360" w:rsidRPr="00687DE8">
        <w:rPr>
          <w:color w:val="202020"/>
          <w:szCs w:val="24"/>
          <w:lang w:eastAsia="et-EE"/>
        </w:rPr>
        <w:t>3130</w:t>
      </w:r>
      <w:r w:rsidRPr="00687DE8">
        <w:rPr>
          <w:color w:val="202020"/>
          <w:szCs w:val="24"/>
          <w:lang w:eastAsia="et-EE"/>
        </w:rPr>
        <w:t xml:space="preserve"> tähistatud tervishoiuteenuse piirhind sisaldab järgmisi tegevusi: </w:t>
      </w:r>
    </w:p>
    <w:p w14:paraId="6D394CD5" w14:textId="77777777" w:rsidR="002D7A15" w:rsidRPr="00687DE8" w:rsidRDefault="002D7A15" w:rsidP="002D7A15">
      <w:pPr>
        <w:numPr>
          <w:ilvl w:val="0"/>
          <w:numId w:val="1"/>
        </w:numPr>
        <w:autoSpaceDE w:val="0"/>
        <w:autoSpaceDN w:val="0"/>
        <w:adjustRightInd w:val="0"/>
        <w:spacing w:after="0" w:line="240" w:lineRule="auto"/>
        <w:rPr>
          <w:color w:val="202020"/>
          <w:szCs w:val="24"/>
          <w:lang w:eastAsia="et-EE"/>
        </w:rPr>
      </w:pPr>
      <w:r w:rsidRPr="00687DE8">
        <w:rPr>
          <w:color w:val="202020"/>
          <w:szCs w:val="24"/>
          <w:lang w:eastAsia="et-EE"/>
        </w:rPr>
        <w:t xml:space="preserve">1) vajaduste hindamine; </w:t>
      </w:r>
    </w:p>
    <w:p w14:paraId="4A45663D" w14:textId="77777777" w:rsidR="002D7A15" w:rsidRPr="00687DE8" w:rsidRDefault="002D7A15" w:rsidP="002D7A15">
      <w:pPr>
        <w:numPr>
          <w:ilvl w:val="0"/>
          <w:numId w:val="1"/>
        </w:numPr>
        <w:autoSpaceDE w:val="0"/>
        <w:autoSpaceDN w:val="0"/>
        <w:adjustRightInd w:val="0"/>
        <w:spacing w:after="0" w:line="240" w:lineRule="auto"/>
        <w:rPr>
          <w:color w:val="202020"/>
          <w:szCs w:val="24"/>
          <w:lang w:eastAsia="et-EE"/>
        </w:rPr>
      </w:pPr>
      <w:r w:rsidRPr="00687DE8">
        <w:rPr>
          <w:color w:val="202020"/>
          <w:szCs w:val="24"/>
          <w:lang w:eastAsia="et-EE"/>
        </w:rPr>
        <w:t xml:space="preserve">2) individuaalse </w:t>
      </w:r>
      <w:r w:rsidRPr="00687DE8" w:rsidDel="00C32C17">
        <w:rPr>
          <w:color w:val="202020"/>
          <w:szCs w:val="24"/>
          <w:lang w:eastAsia="et-EE"/>
        </w:rPr>
        <w:t>ravi</w:t>
      </w:r>
      <w:r w:rsidRPr="00687DE8">
        <w:rPr>
          <w:color w:val="202020"/>
          <w:szCs w:val="24"/>
          <w:lang w:eastAsia="et-EE"/>
        </w:rPr>
        <w:t xml:space="preserve">plaani </w:t>
      </w:r>
      <w:r w:rsidRPr="00687DE8" w:rsidDel="00206CA9">
        <w:rPr>
          <w:color w:val="202020"/>
          <w:szCs w:val="24"/>
          <w:lang w:eastAsia="et-EE"/>
        </w:rPr>
        <w:t>koondamine</w:t>
      </w:r>
      <w:r w:rsidRPr="00687DE8">
        <w:rPr>
          <w:color w:val="202020"/>
          <w:szCs w:val="24"/>
          <w:lang w:eastAsia="et-EE"/>
        </w:rPr>
        <w:t xml:space="preserve">; </w:t>
      </w:r>
    </w:p>
    <w:p w14:paraId="63700A80" w14:textId="77777777" w:rsidR="002D7A15" w:rsidRPr="00687DE8" w:rsidRDefault="002D7A15" w:rsidP="002D7A15">
      <w:pPr>
        <w:numPr>
          <w:ilvl w:val="0"/>
          <w:numId w:val="1"/>
        </w:numPr>
        <w:autoSpaceDE w:val="0"/>
        <w:autoSpaceDN w:val="0"/>
        <w:adjustRightInd w:val="0"/>
        <w:spacing w:after="0" w:line="240" w:lineRule="auto"/>
        <w:rPr>
          <w:color w:val="202020"/>
          <w:szCs w:val="24"/>
          <w:lang w:eastAsia="et-EE"/>
        </w:rPr>
      </w:pPr>
      <w:r w:rsidRPr="00687DE8">
        <w:rPr>
          <w:color w:val="202020"/>
          <w:szCs w:val="24"/>
          <w:lang w:eastAsia="et-EE"/>
        </w:rPr>
        <w:t xml:space="preserve">3) </w:t>
      </w:r>
      <w:r w:rsidRPr="00687DE8" w:rsidDel="004A3A06">
        <w:rPr>
          <w:color w:val="202020"/>
          <w:szCs w:val="24"/>
          <w:lang w:eastAsia="et-EE"/>
        </w:rPr>
        <w:t>ravi</w:t>
      </w:r>
      <w:r w:rsidRPr="00687DE8">
        <w:rPr>
          <w:color w:val="202020"/>
          <w:szCs w:val="24"/>
          <w:lang w:eastAsia="et-EE"/>
        </w:rPr>
        <w:t xml:space="preserve">plaani elluviimise toetamine ja jälgimine; </w:t>
      </w:r>
    </w:p>
    <w:p w14:paraId="5C4FB042" w14:textId="77777777" w:rsidR="002D7A15" w:rsidRPr="00687DE8" w:rsidRDefault="002D7A15" w:rsidP="002D7A15">
      <w:pPr>
        <w:numPr>
          <w:ilvl w:val="0"/>
          <w:numId w:val="1"/>
        </w:numPr>
        <w:autoSpaceDE w:val="0"/>
        <w:autoSpaceDN w:val="0"/>
        <w:adjustRightInd w:val="0"/>
        <w:spacing w:after="0" w:line="240" w:lineRule="auto"/>
        <w:rPr>
          <w:color w:val="202020"/>
          <w:szCs w:val="24"/>
          <w:lang w:eastAsia="et-EE"/>
        </w:rPr>
      </w:pPr>
      <w:r w:rsidRPr="00687DE8">
        <w:rPr>
          <w:color w:val="202020"/>
          <w:szCs w:val="24"/>
          <w:lang w:eastAsia="et-EE"/>
        </w:rPr>
        <w:t xml:space="preserve">4) teenuste (sh tervishoiu-, sotsiaal- ja kogukonnateenused) koordineerimine; </w:t>
      </w:r>
    </w:p>
    <w:p w14:paraId="7829B30F" w14:textId="77777777" w:rsidR="002D7A15" w:rsidRPr="00687DE8" w:rsidRDefault="002D7A15" w:rsidP="002D7A15">
      <w:pPr>
        <w:numPr>
          <w:ilvl w:val="0"/>
          <w:numId w:val="1"/>
        </w:numPr>
        <w:autoSpaceDE w:val="0"/>
        <w:autoSpaceDN w:val="0"/>
        <w:adjustRightInd w:val="0"/>
        <w:spacing w:after="0" w:line="240" w:lineRule="auto"/>
        <w:rPr>
          <w:color w:val="202020"/>
          <w:szCs w:val="24"/>
          <w:lang w:eastAsia="et-EE"/>
        </w:rPr>
      </w:pPr>
      <w:r w:rsidRPr="00687DE8">
        <w:rPr>
          <w:color w:val="202020"/>
          <w:szCs w:val="24"/>
          <w:lang w:eastAsia="et-EE"/>
        </w:rPr>
        <w:t xml:space="preserve">5) toimetulekuoskuste õpetamine; </w:t>
      </w:r>
    </w:p>
    <w:p w14:paraId="53BC148E" w14:textId="77777777" w:rsidR="009C6266" w:rsidRDefault="002D7A15" w:rsidP="00D07EB8">
      <w:pPr>
        <w:numPr>
          <w:ilvl w:val="0"/>
          <w:numId w:val="1"/>
        </w:numPr>
        <w:autoSpaceDE w:val="0"/>
        <w:autoSpaceDN w:val="0"/>
        <w:adjustRightInd w:val="0"/>
        <w:spacing w:after="0" w:line="240" w:lineRule="auto"/>
        <w:rPr>
          <w:color w:val="202020"/>
          <w:lang w:eastAsia="et-EE"/>
        </w:rPr>
      </w:pPr>
      <w:r w:rsidRPr="4D7E472D">
        <w:rPr>
          <w:color w:val="202020"/>
          <w:lang w:eastAsia="et-EE"/>
        </w:rPr>
        <w:t>6) motiveeriva toe ja nõustamise pakkumine.</w:t>
      </w:r>
    </w:p>
    <w:p w14:paraId="003A2C0D" w14:textId="7C7A1EC7" w:rsidR="4D7E472D" w:rsidRDefault="4D7E472D" w:rsidP="4D7E472D">
      <w:pPr>
        <w:numPr>
          <w:ilvl w:val="0"/>
          <w:numId w:val="1"/>
        </w:numPr>
        <w:spacing w:after="0" w:line="240" w:lineRule="auto"/>
        <w:rPr>
          <w:color w:val="202020"/>
          <w:lang w:eastAsia="et-EE"/>
        </w:rPr>
      </w:pPr>
    </w:p>
    <w:p w14:paraId="65E05FC0" w14:textId="3F45F385" w:rsidR="4D7E472D" w:rsidRDefault="5D1B3BCA" w:rsidP="00F84F63">
      <w:pPr>
        <w:spacing w:after="0"/>
        <w:jc w:val="both"/>
        <w:rPr>
          <w:color w:val="000000" w:themeColor="text1"/>
          <w:szCs w:val="24"/>
        </w:rPr>
      </w:pPr>
      <w:r w:rsidRPr="185B228E">
        <w:rPr>
          <w:color w:val="000000" w:themeColor="text1"/>
        </w:rPr>
        <w:t>(50) Koodiga 3134 tähistatud tervishoiuteenuse piirhinda rakendatakse ravikindlustuse seaduse § 41 lõike 8 punktis 2 sätestatud juhtudel eksperdikomisjoni otsuse koostamisel ühe juhtumi kohta.</w:t>
      </w:r>
      <w:r w:rsidR="4E255027" w:rsidRPr="185B228E">
        <w:rPr>
          <w:color w:val="000000" w:themeColor="text1"/>
        </w:rPr>
        <w:t xml:space="preserve"> </w:t>
      </w:r>
      <w:r w:rsidRPr="6BC15CD3">
        <w:rPr>
          <w:color w:val="000000" w:themeColor="text1"/>
        </w:rPr>
        <w:t>Tervisekassa tasub koodiga 3134 tähistatud tervishoiuteenuse osutamise eest sellele tervishoiuteenuse osutajale, kelle juures töötab kindlustatud isikut raviv arst.</w:t>
      </w:r>
    </w:p>
    <w:p w14:paraId="134A4CC9" w14:textId="77777777" w:rsidR="00F84F63" w:rsidRDefault="00F84F63" w:rsidP="00AA26B4">
      <w:pPr>
        <w:spacing w:after="0"/>
        <w:jc w:val="both"/>
        <w:rPr>
          <w:color w:val="000000" w:themeColor="text1"/>
          <w:szCs w:val="24"/>
        </w:rPr>
      </w:pPr>
    </w:p>
    <w:p w14:paraId="6FD3FAE6" w14:textId="47945182" w:rsidR="4D7E472D" w:rsidRDefault="5D1B3BCA" w:rsidP="00F25D88">
      <w:pPr>
        <w:jc w:val="both"/>
        <w:rPr>
          <w:color w:val="202020"/>
          <w:lang w:eastAsia="et-EE"/>
        </w:rPr>
      </w:pPr>
      <w:r w:rsidRPr="185B228E">
        <w:rPr>
          <w:color w:val="000000" w:themeColor="text1"/>
        </w:rPr>
        <w:t>(5</w:t>
      </w:r>
      <w:r w:rsidR="5252BB53" w:rsidRPr="185B228E">
        <w:rPr>
          <w:color w:val="000000" w:themeColor="text1"/>
        </w:rPr>
        <w:t>1</w:t>
      </w:r>
      <w:r w:rsidRPr="185B228E">
        <w:rPr>
          <w:color w:val="000000" w:themeColor="text1"/>
        </w:rPr>
        <w:t xml:space="preserve">) Tervisekassa võtab koodiga 3134 tähistatud tervishoiuteenuse eest tasu maksmise kohustuse üle juhul, kui nimetatud tervishoiuteenuse osutamise käigus koostatud eksperdikomisjoni otsus </w:t>
      </w:r>
      <w:r w:rsidR="00A9686E" w:rsidRPr="00A9686E">
        <w:rPr>
          <w:color w:val="000000" w:themeColor="text1"/>
        </w:rPr>
        <w:t>kajastab andmeid patsiendi, taotletava ravimi</w:t>
      </w:r>
      <w:r w:rsidR="4FEAE929" w:rsidRPr="3749B0B3">
        <w:rPr>
          <w:color w:val="000000" w:themeColor="text1"/>
        </w:rPr>
        <w:t>,</w:t>
      </w:r>
      <w:r w:rsidR="00A9686E" w:rsidRPr="00A9686E">
        <w:rPr>
          <w:color w:val="000000" w:themeColor="text1"/>
        </w:rPr>
        <w:t xml:space="preserve"> alternatiivsete ravimite ja tervishoiuteenuste olemasolu kohta ning on esitatud Tervisekassa </w:t>
      </w:r>
      <w:r w:rsidR="0C892E78" w:rsidRPr="3749B0B3">
        <w:rPr>
          <w:color w:val="000000" w:themeColor="text1"/>
        </w:rPr>
        <w:t>veebi</w:t>
      </w:r>
      <w:r w:rsidR="151473FF" w:rsidRPr="3749B0B3">
        <w:rPr>
          <w:color w:val="000000" w:themeColor="text1"/>
        </w:rPr>
        <w:t>lehel</w:t>
      </w:r>
      <w:r w:rsidR="00A9686E" w:rsidRPr="00A9686E">
        <w:rPr>
          <w:color w:val="000000" w:themeColor="text1"/>
        </w:rPr>
        <w:t xml:space="preserve"> kättesaadaval eksperdikomisjoni otsuse </w:t>
      </w:r>
      <w:r w:rsidR="00A9686E" w:rsidRPr="00A9686E">
        <w:rPr>
          <w:color w:val="000000" w:themeColor="text1"/>
        </w:rPr>
        <w:lastRenderedPageBreak/>
        <w:t>vormil.</w:t>
      </w:r>
      <w:r w:rsidR="00E17086">
        <w:rPr>
          <w:color w:val="000000" w:themeColor="text1"/>
        </w:rPr>
        <w:t xml:space="preserve"> </w:t>
      </w:r>
      <w:r w:rsidR="00E17086">
        <w:t>Tervisekassal on õigus esitada lisaküsimusi kriteeriumide täidetuse hindamiseks.</w:t>
      </w:r>
      <w:r w:rsidR="00A9686E" w:rsidRPr="00A9686E">
        <w:rPr>
          <w:color w:val="000000" w:themeColor="text1"/>
        </w:rPr>
        <w:t xml:space="preserve"> Kui vormil küsitavaid andmeid ei ole esitatud, ei võta Tervisekassa koodiga 3134 tähistatud tervishoiuteenuse eest tasu maksmise kohustust üle.</w:t>
      </w:r>
    </w:p>
    <w:p w14:paraId="41DAB906" w14:textId="16F584E4" w:rsidR="002D7A15" w:rsidRPr="00687DE8" w:rsidRDefault="002D7A15" w:rsidP="00D30B8D">
      <w:pPr>
        <w:numPr>
          <w:ilvl w:val="0"/>
          <w:numId w:val="1"/>
        </w:numPr>
        <w:autoSpaceDE w:val="0"/>
        <w:autoSpaceDN w:val="0"/>
        <w:adjustRightInd w:val="0"/>
        <w:spacing w:after="0" w:line="240" w:lineRule="auto"/>
        <w:jc w:val="both"/>
        <w:rPr>
          <w:color w:val="202020"/>
          <w:lang w:eastAsia="et-EE"/>
        </w:rPr>
      </w:pPr>
    </w:p>
    <w:p w14:paraId="28952101" w14:textId="728A550C" w:rsidR="009B57A2" w:rsidRDefault="009B57A2" w:rsidP="001319AE">
      <w:pPr>
        <w:spacing w:after="0" w:line="240" w:lineRule="auto"/>
        <w:rPr>
          <w:b/>
          <w:bCs/>
        </w:rPr>
      </w:pPr>
      <w:r w:rsidRPr="7B1D3C48">
        <w:rPr>
          <w:b/>
          <w:bCs/>
        </w:rPr>
        <w:t>§ 10. E-konsultatsioon</w:t>
      </w:r>
      <w:r w:rsidR="002A65E0">
        <w:rPr>
          <w:b/>
          <w:bCs/>
        </w:rPr>
        <w:t>i piirhinnad</w:t>
      </w:r>
    </w:p>
    <w:p w14:paraId="2BE94B4C" w14:textId="77777777" w:rsidR="00517826" w:rsidRDefault="00517826" w:rsidP="001319AE">
      <w:pPr>
        <w:spacing w:after="0" w:line="240" w:lineRule="auto"/>
      </w:pPr>
    </w:p>
    <w:p w14:paraId="21C6EE69" w14:textId="14DAE0A8" w:rsidR="00EF2A5C" w:rsidRDefault="00EF2A5C" w:rsidP="001319AE">
      <w:pPr>
        <w:spacing w:after="0" w:line="240" w:lineRule="auto"/>
      </w:pPr>
      <w:r>
        <w:t xml:space="preserve">(1) </w:t>
      </w:r>
      <w:r w:rsidRPr="00290CEA">
        <w:t>E-konsultatsiooni korral rakendatakse järgmisi piirhindu:</w:t>
      </w:r>
    </w:p>
    <w:p w14:paraId="6CC5E515" w14:textId="77777777" w:rsidR="006A1B51" w:rsidRPr="00290CEA" w:rsidRDefault="006A1B51" w:rsidP="001319A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134"/>
        <w:gridCol w:w="1134"/>
      </w:tblGrid>
      <w:tr w:rsidR="00EF2A5C" w:rsidRPr="00687DE8" w14:paraId="04C28165" w14:textId="77777777" w:rsidTr="7B1D3C48">
        <w:trPr>
          <w:trHeight w:val="300"/>
          <w:tblHeader/>
        </w:trPr>
        <w:tc>
          <w:tcPr>
            <w:tcW w:w="70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BDB09F" w14:textId="77777777" w:rsidR="00EF2A5C" w:rsidRPr="00687DE8" w:rsidRDefault="00EF2A5C" w:rsidP="00AE02C0">
            <w:pPr>
              <w:spacing w:after="0" w:line="240" w:lineRule="auto"/>
              <w:jc w:val="center"/>
              <w:rPr>
                <w:b/>
              </w:rPr>
            </w:pPr>
            <w:r w:rsidRPr="7B1D3C48">
              <w:rPr>
                <w:b/>
              </w:rPr>
              <w:t>Tervishoiuteenuse nimetus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2DADA2" w14:textId="77777777" w:rsidR="00EF2A5C" w:rsidRPr="00687DE8" w:rsidRDefault="00EF2A5C" w:rsidP="00AE02C0">
            <w:pPr>
              <w:spacing w:after="0" w:line="240" w:lineRule="auto"/>
              <w:jc w:val="center"/>
              <w:rPr>
                <w:b/>
              </w:rPr>
            </w:pPr>
            <w:r w:rsidRPr="7B1D3C48">
              <w:rPr>
                <w:b/>
              </w:rPr>
              <w:t>Kood</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6B12F0" w14:textId="77777777" w:rsidR="00EF2A5C" w:rsidRPr="00687DE8" w:rsidRDefault="00EF2A5C" w:rsidP="00AE02C0">
            <w:pPr>
              <w:tabs>
                <w:tab w:val="decimal" w:pos="635"/>
              </w:tabs>
              <w:spacing w:after="0" w:line="240" w:lineRule="auto"/>
              <w:jc w:val="center"/>
              <w:rPr>
                <w:b/>
              </w:rPr>
            </w:pPr>
            <w:r w:rsidRPr="7B1D3C48">
              <w:rPr>
                <w:b/>
              </w:rPr>
              <w:t>Piirhind</w:t>
            </w:r>
            <w:r>
              <w:br/>
            </w:r>
            <w:r w:rsidRPr="7B1D3C48">
              <w:rPr>
                <w:b/>
              </w:rPr>
              <w:t>eurodes</w:t>
            </w:r>
          </w:p>
        </w:tc>
      </w:tr>
      <w:tr w:rsidR="007D127A" w:rsidRPr="00687DE8" w14:paraId="51209C3B" w14:textId="77777777" w:rsidTr="00D30B8D">
        <w:trPr>
          <w:trHeight w:val="300"/>
        </w:trPr>
        <w:tc>
          <w:tcPr>
            <w:tcW w:w="70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0C05F3" w14:textId="1618C506" w:rsidR="007D127A" w:rsidRPr="00687DE8" w:rsidRDefault="007D127A" w:rsidP="007D127A">
            <w:pPr>
              <w:spacing w:after="0" w:line="240" w:lineRule="auto"/>
            </w:pPr>
            <w:bookmarkStart w:id="9" w:name="_Hlk191658506"/>
            <w:r w:rsidRPr="00621C6E">
              <w:t>E-konsultatsioon tervise infosüsteemi vahendusel</w:t>
            </w:r>
            <w:bookmarkEnd w:id="9"/>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E766E9" w14:textId="155396CE" w:rsidR="007D127A" w:rsidRPr="00687DE8" w:rsidRDefault="007D127A" w:rsidP="007D127A">
            <w:pPr>
              <w:spacing w:after="0" w:line="240" w:lineRule="auto"/>
              <w:jc w:val="center"/>
            </w:pPr>
            <w:r w:rsidRPr="00621C6E">
              <w:t>3039</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63F0FA" w14:textId="14544C4D" w:rsidR="007D127A" w:rsidRPr="00687DE8" w:rsidRDefault="00144393" w:rsidP="007D127A">
            <w:pPr>
              <w:spacing w:after="0"/>
              <w:jc w:val="center"/>
              <w:rPr>
                <w:rFonts w:eastAsia="Calibri"/>
                <w:color w:val="000000" w:themeColor="text1"/>
              </w:rPr>
            </w:pPr>
            <w:r>
              <w:rPr>
                <w:color w:val="000000"/>
              </w:rPr>
              <w:t>30,27</w:t>
            </w:r>
          </w:p>
        </w:tc>
      </w:tr>
      <w:tr w:rsidR="007D127A" w14:paraId="14143021" w14:textId="77777777" w:rsidTr="00D30B8D">
        <w:trPr>
          <w:trHeight w:val="300"/>
        </w:trPr>
        <w:tc>
          <w:tcPr>
            <w:tcW w:w="70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A9271C" w14:textId="2EF12489" w:rsidR="007D127A" w:rsidRDefault="007D127A" w:rsidP="007D127A">
            <w:pPr>
              <w:spacing w:line="240" w:lineRule="auto"/>
            </w:pPr>
            <w:bookmarkStart w:id="10" w:name="_Hlk191661713"/>
            <w:r w:rsidRPr="00C54F41">
              <w:t>Psühhiaatria võ</w:t>
            </w:r>
            <w:r>
              <w:t>i lastepsühhiaatria e-konsultatsioon tervise infosüsteemi vahendusel</w:t>
            </w:r>
            <w:bookmarkEnd w:id="10"/>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91C906" w14:textId="04C3E992" w:rsidR="007D127A" w:rsidRDefault="007D127A" w:rsidP="007D127A">
            <w:pPr>
              <w:spacing w:line="240" w:lineRule="auto"/>
              <w:jc w:val="center"/>
            </w:pPr>
            <w:r>
              <w:t>3049</w:t>
            </w:r>
          </w:p>
        </w:tc>
        <w:tc>
          <w:tcPr>
            <w:tcW w:w="113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00A9F3" w14:textId="00FFDAE0" w:rsidR="007D127A" w:rsidRDefault="00144393" w:rsidP="007D127A">
            <w:pPr>
              <w:jc w:val="center"/>
            </w:pPr>
            <w:r>
              <w:rPr>
                <w:color w:val="000000"/>
              </w:rPr>
              <w:t>63,89</w:t>
            </w:r>
          </w:p>
        </w:tc>
      </w:tr>
    </w:tbl>
    <w:p w14:paraId="4D46803B" w14:textId="77AF9FEE" w:rsidR="00EF2A5C" w:rsidRDefault="00EF2A5C" w:rsidP="001319AE">
      <w:pPr>
        <w:spacing w:after="0" w:line="240" w:lineRule="auto"/>
      </w:pPr>
    </w:p>
    <w:p w14:paraId="626ECF8A" w14:textId="2A1C5182" w:rsidR="00EF2A5C" w:rsidRDefault="00EF2A5C" w:rsidP="001319AE">
      <w:pPr>
        <w:spacing w:after="0" w:line="240" w:lineRule="auto"/>
        <w:jc w:val="both"/>
      </w:pPr>
      <w:r>
        <w:t>(2) Tervisekassa võtab koodiga 3039 tähistatud tervishoiuteenuse eest tasu maksmise kohustuse üle</w:t>
      </w:r>
      <w:r w:rsidR="002C1684">
        <w:t xml:space="preserve"> juhul</w:t>
      </w:r>
      <w:r w:rsidR="00230499">
        <w:t>,</w:t>
      </w:r>
      <w:r>
        <w:t xml:space="preserve"> kui arst suunab patsiendi tervise infosüsteemi vahendusel edastatud e-konsultatsiooni saatekirjaga järgmistele e-konsultatsiooni</w:t>
      </w:r>
      <w:r w:rsidR="001B1EE0">
        <w:t>dele:</w:t>
      </w:r>
    </w:p>
    <w:p w14:paraId="501CD93E" w14:textId="531A32AC" w:rsidR="00EF2A5C" w:rsidRDefault="001B1EE0" w:rsidP="001319AE">
      <w:pPr>
        <w:spacing w:after="0" w:line="240" w:lineRule="auto"/>
      </w:pPr>
      <w:r>
        <w:t xml:space="preserve">1) </w:t>
      </w:r>
      <w:r w:rsidR="00EF2A5C">
        <w:t>uroloogia;</w:t>
      </w:r>
    </w:p>
    <w:p w14:paraId="7DC6FFE1" w14:textId="5BA5C64F" w:rsidR="00EF2A5C" w:rsidRDefault="001B1EE0" w:rsidP="001319AE">
      <w:pPr>
        <w:spacing w:after="0" w:line="240" w:lineRule="auto"/>
      </w:pPr>
      <w:r>
        <w:t xml:space="preserve">2) </w:t>
      </w:r>
      <w:r w:rsidR="00EF2A5C">
        <w:t>endokrinoloogia;</w:t>
      </w:r>
    </w:p>
    <w:p w14:paraId="56534B34" w14:textId="38C0F41D" w:rsidR="00EF2A5C" w:rsidRDefault="001B1EE0" w:rsidP="001319AE">
      <w:pPr>
        <w:spacing w:after="0" w:line="240" w:lineRule="auto"/>
      </w:pPr>
      <w:r>
        <w:t xml:space="preserve">3) </w:t>
      </w:r>
      <w:r w:rsidR="00EF2A5C">
        <w:t>pulmonoloogia;</w:t>
      </w:r>
    </w:p>
    <w:p w14:paraId="5478FC74" w14:textId="5ABBD6CA" w:rsidR="00EF2A5C" w:rsidRDefault="001B1EE0" w:rsidP="001319AE">
      <w:pPr>
        <w:spacing w:after="0" w:line="240" w:lineRule="auto"/>
      </w:pPr>
      <w:r>
        <w:t xml:space="preserve">4) </w:t>
      </w:r>
      <w:r w:rsidR="00EF2A5C">
        <w:t>reumatoloog</w:t>
      </w:r>
      <w:r w:rsidR="007136E2">
        <w:t>ia</w:t>
      </w:r>
      <w:r w:rsidR="00EF2A5C">
        <w:t>;</w:t>
      </w:r>
    </w:p>
    <w:p w14:paraId="4079E3EE" w14:textId="7D6537E5" w:rsidR="00EF2A5C" w:rsidRDefault="001B1EE0" w:rsidP="001319AE">
      <w:pPr>
        <w:spacing w:after="0" w:line="240" w:lineRule="auto"/>
      </w:pPr>
      <w:r>
        <w:t xml:space="preserve">5) </w:t>
      </w:r>
      <w:r w:rsidR="00EF2A5C" w:rsidRPr="00D06EF3">
        <w:t>otorinolarüngoloogia</w:t>
      </w:r>
      <w:r w:rsidR="00EF2A5C">
        <w:t>;</w:t>
      </w:r>
    </w:p>
    <w:p w14:paraId="1F29E99F" w14:textId="04335AA9" w:rsidR="00EF2A5C" w:rsidRDefault="001B1EE0" w:rsidP="001319AE">
      <w:pPr>
        <w:spacing w:after="0" w:line="240" w:lineRule="auto"/>
      </w:pPr>
      <w:r>
        <w:t xml:space="preserve">6) </w:t>
      </w:r>
      <w:r w:rsidR="00EF2A5C">
        <w:t>pediaatria;</w:t>
      </w:r>
    </w:p>
    <w:p w14:paraId="25F4292B" w14:textId="43A763B7" w:rsidR="00EF2A5C" w:rsidRDefault="001B1EE0" w:rsidP="001319AE">
      <w:pPr>
        <w:spacing w:after="0" w:line="240" w:lineRule="auto"/>
      </w:pPr>
      <w:r>
        <w:t xml:space="preserve">7) </w:t>
      </w:r>
      <w:r w:rsidR="00EF2A5C">
        <w:t>neuroloogia;</w:t>
      </w:r>
    </w:p>
    <w:p w14:paraId="22DC1723" w14:textId="5ED5FCC6" w:rsidR="00EF2A5C" w:rsidRDefault="001B1EE0" w:rsidP="001319AE">
      <w:pPr>
        <w:spacing w:after="0" w:line="240" w:lineRule="auto"/>
      </w:pPr>
      <w:r>
        <w:t xml:space="preserve">8) </w:t>
      </w:r>
      <w:r w:rsidR="00EF2A5C">
        <w:t>hematoloogia;</w:t>
      </w:r>
    </w:p>
    <w:p w14:paraId="70705C40" w14:textId="28B31166" w:rsidR="00EF2A5C" w:rsidRDefault="001B1EE0" w:rsidP="001319AE">
      <w:pPr>
        <w:spacing w:after="0" w:line="240" w:lineRule="auto"/>
      </w:pPr>
      <w:r>
        <w:t xml:space="preserve">9) </w:t>
      </w:r>
      <w:r w:rsidR="00EF2A5C">
        <w:t>kardioloogia;</w:t>
      </w:r>
    </w:p>
    <w:p w14:paraId="218FE87B" w14:textId="1390A94A" w:rsidR="00EF2A5C" w:rsidRDefault="001B1EE0" w:rsidP="001319AE">
      <w:pPr>
        <w:spacing w:after="0" w:line="240" w:lineRule="auto"/>
      </w:pPr>
      <w:r>
        <w:t xml:space="preserve">10) </w:t>
      </w:r>
      <w:r w:rsidR="00EF2A5C">
        <w:t>ortopeedia;</w:t>
      </w:r>
    </w:p>
    <w:p w14:paraId="28D67972" w14:textId="1C83603D" w:rsidR="00EF2A5C" w:rsidRDefault="001B1EE0" w:rsidP="001319AE">
      <w:pPr>
        <w:spacing w:after="0" w:line="240" w:lineRule="auto"/>
      </w:pPr>
      <w:r>
        <w:t xml:space="preserve">11) </w:t>
      </w:r>
      <w:r w:rsidR="00EF2A5C">
        <w:t>gastroenetroloogia;</w:t>
      </w:r>
    </w:p>
    <w:p w14:paraId="46FDDE2F" w14:textId="0FD72135" w:rsidR="00EF2A5C" w:rsidRDefault="001B1EE0" w:rsidP="001319AE">
      <w:pPr>
        <w:spacing w:after="0" w:line="240" w:lineRule="auto"/>
      </w:pPr>
      <w:r>
        <w:t xml:space="preserve">12) </w:t>
      </w:r>
      <w:r w:rsidR="00EF2A5C">
        <w:t>onkoloogia;</w:t>
      </w:r>
    </w:p>
    <w:p w14:paraId="14418DC3" w14:textId="33CF0DAD" w:rsidR="00EF2A5C" w:rsidRDefault="001B1EE0" w:rsidP="001319AE">
      <w:pPr>
        <w:spacing w:after="0" w:line="240" w:lineRule="auto"/>
      </w:pPr>
      <w:r>
        <w:t xml:space="preserve">13) </w:t>
      </w:r>
      <w:r w:rsidR="00EF2A5C">
        <w:t>allergoloogia-immunoloogia;</w:t>
      </w:r>
    </w:p>
    <w:p w14:paraId="31E83FC4" w14:textId="160C84C7" w:rsidR="00EF2A5C" w:rsidRDefault="001B1EE0" w:rsidP="001319AE">
      <w:pPr>
        <w:spacing w:after="0" w:line="240" w:lineRule="auto"/>
      </w:pPr>
      <w:r>
        <w:t xml:space="preserve">14) </w:t>
      </w:r>
      <w:r w:rsidR="00EF2A5C">
        <w:t>nefroloogia;</w:t>
      </w:r>
    </w:p>
    <w:p w14:paraId="642DA9E0" w14:textId="640BCC80" w:rsidR="00EF2A5C" w:rsidRDefault="001B1EE0" w:rsidP="001319AE">
      <w:pPr>
        <w:spacing w:after="0" w:line="240" w:lineRule="auto"/>
      </w:pPr>
      <w:r>
        <w:t>1</w:t>
      </w:r>
      <w:r w:rsidR="006164AA">
        <w:t>5</w:t>
      </w:r>
      <w:r>
        <w:t xml:space="preserve">) </w:t>
      </w:r>
      <w:r w:rsidR="00EF2A5C">
        <w:t>sisearst</w:t>
      </w:r>
      <w:r>
        <w:t>;</w:t>
      </w:r>
    </w:p>
    <w:p w14:paraId="46DAD5C2" w14:textId="33B124A4" w:rsidR="00EF2A5C" w:rsidRDefault="001B1EE0" w:rsidP="001319AE">
      <w:pPr>
        <w:spacing w:after="0" w:line="240" w:lineRule="auto"/>
      </w:pPr>
      <w:r>
        <w:t>1</w:t>
      </w:r>
      <w:r w:rsidR="006164AA">
        <w:t>6</w:t>
      </w:r>
      <w:r>
        <w:t xml:space="preserve">) </w:t>
      </w:r>
      <w:r w:rsidR="00EF2A5C">
        <w:t>günekoloogia;</w:t>
      </w:r>
    </w:p>
    <w:p w14:paraId="54475615" w14:textId="2DD76EC3" w:rsidR="00EF2A5C" w:rsidRDefault="001B1EE0" w:rsidP="001319AE">
      <w:pPr>
        <w:spacing w:after="0" w:line="240" w:lineRule="auto"/>
      </w:pPr>
      <w:r>
        <w:t>1</w:t>
      </w:r>
      <w:r w:rsidR="006164AA">
        <w:t>7</w:t>
      </w:r>
      <w:r>
        <w:t xml:space="preserve">) </w:t>
      </w:r>
      <w:r w:rsidR="00EF2A5C">
        <w:t>taastusarst;</w:t>
      </w:r>
    </w:p>
    <w:p w14:paraId="4FBE3EF7" w14:textId="3CC0F7BF" w:rsidR="00EF2A5C" w:rsidRDefault="001B1EE0" w:rsidP="001319AE">
      <w:pPr>
        <w:spacing w:after="0" w:line="240" w:lineRule="auto"/>
      </w:pPr>
      <w:r>
        <w:t>1</w:t>
      </w:r>
      <w:r w:rsidR="00D225B0">
        <w:t>8</w:t>
      </w:r>
      <w:r>
        <w:t xml:space="preserve">) </w:t>
      </w:r>
      <w:r w:rsidR="00EF2A5C">
        <w:t>dermatoveneroloogia;</w:t>
      </w:r>
    </w:p>
    <w:p w14:paraId="508273AE" w14:textId="51ED2A1C" w:rsidR="00EF2A5C" w:rsidRDefault="00D225B0" w:rsidP="001319AE">
      <w:pPr>
        <w:spacing w:after="0" w:line="240" w:lineRule="auto"/>
      </w:pPr>
      <w:r>
        <w:t>19</w:t>
      </w:r>
      <w:r w:rsidR="001B1EE0">
        <w:t xml:space="preserve">) </w:t>
      </w:r>
      <w:r w:rsidR="00EF2A5C">
        <w:t>veresoontekirurgia;</w:t>
      </w:r>
    </w:p>
    <w:p w14:paraId="379CADE8" w14:textId="12755834" w:rsidR="00EF2A5C" w:rsidRDefault="001B1EE0" w:rsidP="001319AE">
      <w:pPr>
        <w:spacing w:after="0" w:line="240" w:lineRule="auto"/>
      </w:pPr>
      <w:r>
        <w:t>2</w:t>
      </w:r>
      <w:r w:rsidR="00D225B0">
        <w:t>0</w:t>
      </w:r>
      <w:r>
        <w:t xml:space="preserve">) </w:t>
      </w:r>
      <w:r w:rsidR="00EF2A5C">
        <w:t>valuraviarst;</w:t>
      </w:r>
    </w:p>
    <w:p w14:paraId="74F0990B" w14:textId="589CED0F" w:rsidR="00EF2A5C" w:rsidRPr="002073A2" w:rsidRDefault="001B1EE0" w:rsidP="001319AE">
      <w:pPr>
        <w:spacing w:after="0" w:line="240" w:lineRule="auto"/>
      </w:pPr>
      <w:r>
        <w:t>2</w:t>
      </w:r>
      <w:r w:rsidR="00D225B0">
        <w:t>1</w:t>
      </w:r>
      <w:r>
        <w:t xml:space="preserve">) </w:t>
      </w:r>
      <w:r w:rsidR="00EF2A5C" w:rsidRPr="002073A2">
        <w:t>androloogia;</w:t>
      </w:r>
    </w:p>
    <w:p w14:paraId="4D2C373A" w14:textId="173F2BB3" w:rsidR="00EF2A5C" w:rsidRPr="002073A2" w:rsidRDefault="001B1EE0" w:rsidP="001319AE">
      <w:pPr>
        <w:spacing w:after="0" w:line="240" w:lineRule="auto"/>
      </w:pPr>
      <w:r>
        <w:t>2</w:t>
      </w:r>
      <w:r w:rsidR="00D225B0">
        <w:t>2</w:t>
      </w:r>
      <w:r>
        <w:t xml:space="preserve">) </w:t>
      </w:r>
      <w:r w:rsidR="00EF2A5C" w:rsidRPr="002073A2">
        <w:t>infektsionist;</w:t>
      </w:r>
    </w:p>
    <w:p w14:paraId="344F8C34" w14:textId="6D7C1DEF" w:rsidR="00EF2A5C" w:rsidRPr="002073A2" w:rsidRDefault="001B1EE0" w:rsidP="001319AE">
      <w:pPr>
        <w:spacing w:after="0" w:line="240" w:lineRule="auto"/>
      </w:pPr>
      <w:r>
        <w:t>2</w:t>
      </w:r>
      <w:r w:rsidR="00D225B0">
        <w:t>3</w:t>
      </w:r>
      <w:r>
        <w:t xml:space="preserve">) </w:t>
      </w:r>
      <w:r w:rsidR="00EF2A5C" w:rsidRPr="002073A2">
        <w:t>üldkirurgia;</w:t>
      </w:r>
    </w:p>
    <w:p w14:paraId="6AC28273" w14:textId="4D954499" w:rsidR="00EF2A5C" w:rsidRPr="002073A2" w:rsidRDefault="001B1EE0" w:rsidP="001319AE">
      <w:pPr>
        <w:spacing w:after="0" w:line="240" w:lineRule="auto"/>
      </w:pPr>
      <w:r>
        <w:t>2</w:t>
      </w:r>
      <w:r w:rsidR="00D225B0">
        <w:t>4</w:t>
      </w:r>
      <w:r>
        <w:t xml:space="preserve">) </w:t>
      </w:r>
      <w:r w:rsidR="00EF2A5C" w:rsidRPr="002073A2">
        <w:t>meditsiinigeneetika;</w:t>
      </w:r>
    </w:p>
    <w:p w14:paraId="431374A2" w14:textId="72757546" w:rsidR="00EF2A5C" w:rsidRPr="002073A2" w:rsidRDefault="001B1EE0" w:rsidP="001319AE">
      <w:pPr>
        <w:spacing w:after="0" w:line="240" w:lineRule="auto"/>
      </w:pPr>
      <w:r>
        <w:t>2</w:t>
      </w:r>
      <w:r w:rsidR="00D225B0">
        <w:t>5</w:t>
      </w:r>
      <w:r>
        <w:t xml:space="preserve">) </w:t>
      </w:r>
      <w:r w:rsidR="00EF2A5C" w:rsidRPr="002073A2">
        <w:t>lastekirurgia;</w:t>
      </w:r>
    </w:p>
    <w:p w14:paraId="5C6E322F" w14:textId="1F20FA83" w:rsidR="00EF2A5C" w:rsidRPr="002073A2" w:rsidRDefault="001B1EE0" w:rsidP="001319AE">
      <w:pPr>
        <w:spacing w:after="0" w:line="240" w:lineRule="auto"/>
      </w:pPr>
      <w:r>
        <w:t>2</w:t>
      </w:r>
      <w:r w:rsidR="00D225B0">
        <w:t>6</w:t>
      </w:r>
      <w:r>
        <w:t xml:space="preserve">) </w:t>
      </w:r>
      <w:r w:rsidR="00EF2A5C" w:rsidRPr="002073A2">
        <w:t>neurokirurgia</w:t>
      </w:r>
      <w:r>
        <w:t>;</w:t>
      </w:r>
    </w:p>
    <w:p w14:paraId="0A880BEB" w14:textId="4F3745A3" w:rsidR="00EF2A5C" w:rsidRPr="002073A2" w:rsidRDefault="001B1EE0" w:rsidP="001319AE">
      <w:pPr>
        <w:spacing w:after="0" w:line="240" w:lineRule="auto"/>
      </w:pPr>
      <w:r>
        <w:t>2</w:t>
      </w:r>
      <w:r w:rsidR="00D225B0">
        <w:t>7</w:t>
      </w:r>
      <w:r>
        <w:t xml:space="preserve">) </w:t>
      </w:r>
      <w:r w:rsidR="00EF2A5C" w:rsidRPr="002073A2">
        <w:t>suu-</w:t>
      </w:r>
      <w:r w:rsidR="00532B96">
        <w:t>,</w:t>
      </w:r>
      <w:r w:rsidR="00EF2A5C" w:rsidRPr="002073A2">
        <w:t xml:space="preserve"> näo- ja lõualuukirurgia;</w:t>
      </w:r>
    </w:p>
    <w:p w14:paraId="203DFDDB" w14:textId="16775416" w:rsidR="00EF2A5C" w:rsidRPr="002073A2" w:rsidRDefault="00D225B0" w:rsidP="001319AE">
      <w:pPr>
        <w:spacing w:after="0" w:line="240" w:lineRule="auto"/>
      </w:pPr>
      <w:r>
        <w:t>28</w:t>
      </w:r>
      <w:r w:rsidR="001B1EE0">
        <w:t xml:space="preserve">) </w:t>
      </w:r>
      <w:r w:rsidR="00EF2A5C" w:rsidRPr="002073A2">
        <w:t>laste silmaarst;</w:t>
      </w:r>
    </w:p>
    <w:p w14:paraId="054078FA" w14:textId="7AE1899C" w:rsidR="00EF2A5C" w:rsidRPr="002073A2" w:rsidRDefault="00D225B0" w:rsidP="001319AE">
      <w:pPr>
        <w:spacing w:after="0" w:line="240" w:lineRule="auto"/>
      </w:pPr>
      <w:r>
        <w:t>29</w:t>
      </w:r>
      <w:r w:rsidR="001B1EE0">
        <w:t xml:space="preserve">) </w:t>
      </w:r>
      <w:r w:rsidR="00EF2A5C" w:rsidRPr="002073A2">
        <w:t>plastika- ja rekonstruktiivkirurgia;</w:t>
      </w:r>
    </w:p>
    <w:p w14:paraId="156DCE10" w14:textId="396919A9" w:rsidR="00EF2A5C" w:rsidRPr="002073A2" w:rsidRDefault="001B1EE0" w:rsidP="001319AE">
      <w:pPr>
        <w:spacing w:after="0" w:line="240" w:lineRule="auto"/>
      </w:pPr>
      <w:r>
        <w:lastRenderedPageBreak/>
        <w:t>3</w:t>
      </w:r>
      <w:r w:rsidR="00D225B0">
        <w:t>0</w:t>
      </w:r>
      <w:r>
        <w:t xml:space="preserve">) </w:t>
      </w:r>
      <w:r w:rsidR="00EF2A5C" w:rsidRPr="002073A2">
        <w:t>silmaarst;</w:t>
      </w:r>
    </w:p>
    <w:p w14:paraId="45572761" w14:textId="40AACB80" w:rsidR="00EF2A5C" w:rsidRPr="002073A2" w:rsidRDefault="001B1EE0" w:rsidP="001319AE">
      <w:pPr>
        <w:spacing w:after="0" w:line="240" w:lineRule="auto"/>
      </w:pPr>
      <w:r>
        <w:t>3</w:t>
      </w:r>
      <w:r w:rsidR="00D225B0">
        <w:t>1</w:t>
      </w:r>
      <w:r>
        <w:t xml:space="preserve">) </w:t>
      </w:r>
      <w:r w:rsidR="00EF2A5C" w:rsidRPr="002073A2">
        <w:t>töötervishoiuarst;</w:t>
      </w:r>
    </w:p>
    <w:p w14:paraId="3B8E96EB" w14:textId="734DCBD5" w:rsidR="00EF2A5C" w:rsidRPr="002073A2" w:rsidRDefault="001B1EE0" w:rsidP="001319AE">
      <w:pPr>
        <w:spacing w:after="0" w:line="240" w:lineRule="auto"/>
      </w:pPr>
      <w:r>
        <w:t>3</w:t>
      </w:r>
      <w:r w:rsidR="00D225B0">
        <w:t>2</w:t>
      </w:r>
      <w:r>
        <w:t xml:space="preserve">) </w:t>
      </w:r>
      <w:r w:rsidR="00EF2A5C" w:rsidRPr="002073A2">
        <w:t>pea</w:t>
      </w:r>
      <w:r w:rsidR="00532B96">
        <w:t>-</w:t>
      </w:r>
      <w:r w:rsidR="00EF2A5C" w:rsidRPr="002073A2">
        <w:t xml:space="preserve"> ja kaelakirurgia;</w:t>
      </w:r>
    </w:p>
    <w:p w14:paraId="684097AD" w14:textId="0A919E85" w:rsidR="00EF2A5C" w:rsidRPr="002073A2" w:rsidRDefault="001B1EE0" w:rsidP="001319AE">
      <w:pPr>
        <w:spacing w:after="0" w:line="240" w:lineRule="auto"/>
      </w:pPr>
      <w:r>
        <w:t>3</w:t>
      </w:r>
      <w:r w:rsidR="003F5EFF">
        <w:t>3</w:t>
      </w:r>
      <w:r>
        <w:t xml:space="preserve">) </w:t>
      </w:r>
      <w:r w:rsidR="00EF2A5C" w:rsidRPr="002073A2">
        <w:t>radioloogia;</w:t>
      </w:r>
    </w:p>
    <w:p w14:paraId="1107ADAE" w14:textId="0F7B1CC6" w:rsidR="00EF2A5C" w:rsidRPr="002073A2" w:rsidRDefault="001B1EE0" w:rsidP="001319AE">
      <w:pPr>
        <w:spacing w:after="0" w:line="240" w:lineRule="auto"/>
      </w:pPr>
      <w:r>
        <w:t>3</w:t>
      </w:r>
      <w:r w:rsidR="003F5EFF">
        <w:t>4</w:t>
      </w:r>
      <w:r>
        <w:t xml:space="preserve">) </w:t>
      </w:r>
      <w:r w:rsidR="00EF2A5C" w:rsidRPr="002073A2">
        <w:t>endoproteesimine.</w:t>
      </w:r>
    </w:p>
    <w:p w14:paraId="7543E3C3" w14:textId="77777777" w:rsidR="001B1EE0" w:rsidRDefault="001B1EE0" w:rsidP="001B1EE0">
      <w:pPr>
        <w:spacing w:after="0" w:line="240" w:lineRule="auto"/>
        <w:jc w:val="both"/>
      </w:pPr>
    </w:p>
    <w:p w14:paraId="6E9E99EA" w14:textId="1B6FBEB2" w:rsidR="00EF2A5C" w:rsidRDefault="00EF2A5C" w:rsidP="001319AE">
      <w:pPr>
        <w:spacing w:after="0" w:line="240" w:lineRule="auto"/>
        <w:jc w:val="both"/>
      </w:pPr>
      <w:r>
        <w:t>(3) Tervisekassa võtab koodiga 3039 tähistatud tervishoiuteenuse eest tasu maksmise kohustuse üle juhul, kui tervishoiuteenuse osutamise käigus koostatud e-konsultatsiooni saatekiri ja eriarsti vastus sisaldavad ravikindlustuse seaduse § 32 alusel kehtestatud määruse lisades sätestatud andmeid ning nõuetekohane vastus saadetakse tervise infosüsteemi vahendusel arstile nelja tööpäeva jooksul ja töötervishoiuarsti, radioloogia</w:t>
      </w:r>
      <w:r w:rsidR="004D5D9E">
        <w:t xml:space="preserve"> ja</w:t>
      </w:r>
      <w:r>
        <w:t xml:space="preserve"> endoproteesimise e-konsultatsiooni korral 15 tööpäeva jooksul alates e-konsultatsiooni saatekirja jõudmisest tervise infosüsteemi.</w:t>
      </w:r>
    </w:p>
    <w:p w14:paraId="296E6FB8" w14:textId="77777777" w:rsidR="003A6D3C" w:rsidRDefault="003A6D3C" w:rsidP="001B1EE0">
      <w:pPr>
        <w:spacing w:after="0" w:line="240" w:lineRule="auto"/>
        <w:jc w:val="both"/>
      </w:pPr>
    </w:p>
    <w:p w14:paraId="55839E91" w14:textId="4EB17D97" w:rsidR="00EF2A5C" w:rsidRDefault="00EF2A5C" w:rsidP="001319AE">
      <w:pPr>
        <w:spacing w:after="0" w:line="240" w:lineRule="auto"/>
        <w:jc w:val="both"/>
      </w:pPr>
      <w:r w:rsidRPr="00CA61E3">
        <w:t xml:space="preserve">(4) Tervisekassa võtab koodiga </w:t>
      </w:r>
      <w:r w:rsidR="23DFBA2F">
        <w:t>30</w:t>
      </w:r>
      <w:r w:rsidR="6F15477C">
        <w:t>3</w:t>
      </w:r>
      <w:r w:rsidR="23DFBA2F">
        <w:t>9</w:t>
      </w:r>
      <w:r w:rsidRPr="00CA61E3">
        <w:t xml:space="preserve"> tähistatud tervishoiuteenuse eest tasu maksmise kohustuse üle </w:t>
      </w:r>
      <w:r w:rsidR="23DFBA2F">
        <w:t>lõi</w:t>
      </w:r>
      <w:r w:rsidR="007E356B">
        <w:t>ke</w:t>
      </w:r>
      <w:r>
        <w:t xml:space="preserve"> 2 </w:t>
      </w:r>
      <w:r w:rsidR="007E356B">
        <w:t>punktis 31</w:t>
      </w:r>
      <w:r>
        <w:t xml:space="preserve"> ja </w:t>
      </w:r>
      <w:r w:rsidR="00254A76">
        <w:t>lõikes</w:t>
      </w:r>
      <w:r>
        <w:t xml:space="preserve"> 3 </w:t>
      </w:r>
      <w:r w:rsidRPr="00CA61E3">
        <w:t>sätestatud tingimustel ka juhul, kui töötervishoiuarsti e-konsultatsioonile suunab ämmaemand.</w:t>
      </w:r>
    </w:p>
    <w:p w14:paraId="3E5E110F" w14:textId="77777777" w:rsidR="003A6D3C" w:rsidRDefault="003A6D3C" w:rsidP="001B1EE0">
      <w:pPr>
        <w:spacing w:after="0" w:line="240" w:lineRule="auto"/>
        <w:jc w:val="both"/>
      </w:pPr>
    </w:p>
    <w:p w14:paraId="3567048E" w14:textId="55E7F2E5" w:rsidR="00EF2A5C" w:rsidRDefault="00EF2A5C" w:rsidP="001319AE">
      <w:pPr>
        <w:spacing w:after="0" w:line="240" w:lineRule="auto"/>
        <w:jc w:val="both"/>
      </w:pPr>
      <w:r>
        <w:t>(5) Tervisekassa võtab koodiga 3039 tähistatud tervishoiuteenuse eest tasu maksmise kohustuse üle ka juhul, kui hambaarst suunab patsiendi ortodondile tervise infosüsteemi vahendusel edastatud e-konsultatsiooni saatekirjaga ning kui e-konsultatsiooni saatekiri ja eriarsti vastus sisaldavad ravikindlustuse seaduse § 32 alusel kehtestatud määruse lisas sätestatud andmeid ja nõuetekohane vastus saadetakse tervise infosüsteemi vahendusel 15 tööpäeva jooksul alates e-konsultatsiooni saatekirja jõudmisest tervise infosüsteemi.</w:t>
      </w:r>
    </w:p>
    <w:p w14:paraId="4C0A7F66" w14:textId="2294D2BB" w:rsidR="77F79054" w:rsidRDefault="77F79054" w:rsidP="77F79054">
      <w:pPr>
        <w:spacing w:after="0" w:line="240" w:lineRule="auto"/>
        <w:jc w:val="both"/>
      </w:pPr>
    </w:p>
    <w:p w14:paraId="11DCB44E" w14:textId="459449AB" w:rsidR="19DD3DEB" w:rsidRDefault="19DD3DEB" w:rsidP="77F79054">
      <w:pPr>
        <w:spacing w:after="0" w:line="240" w:lineRule="auto"/>
        <w:jc w:val="both"/>
      </w:pPr>
      <w:r>
        <w:t xml:space="preserve">(6) </w:t>
      </w:r>
      <w:r w:rsidRPr="00C54F41">
        <w:t>Tervisekassa</w:t>
      </w:r>
      <w:r>
        <w:t xml:space="preserve"> võtab koodiga 3049 tähistatud tervishoiuteenuse eest tasu maksmise kohustuse üle juhul, kui tervishoiuteenuse osutamise käigus koostatud e-konsultatsiooni saatekiri ja eriarsti vastus sisaldavad ravikindlustuse seaduse § 32 alusel kehtestatud määruse lisades sätestatud andmeid ning nõuetekohane vastus saadetakse tervise infosüsteemi vahendusel perearstile </w:t>
      </w:r>
      <w:r w:rsidR="1250A590">
        <w:t>või eriarstile</w:t>
      </w:r>
      <w:r>
        <w:t xml:space="preserve"> 15 tööpäeva jooksul alates e-konsultatsiooni saatekirja jõudmisest tervise infosüsteemi.</w:t>
      </w:r>
    </w:p>
    <w:p w14:paraId="3D80DAAB" w14:textId="77777777" w:rsidR="009C6266" w:rsidRDefault="009C6266" w:rsidP="006E75D8">
      <w:pPr>
        <w:spacing w:after="0" w:line="240" w:lineRule="auto"/>
        <w:jc w:val="both"/>
      </w:pPr>
    </w:p>
    <w:p w14:paraId="6A6EA89D" w14:textId="0732DFAE" w:rsidR="00976487" w:rsidRDefault="00976487" w:rsidP="00976487">
      <w:pPr>
        <w:spacing w:after="0" w:line="240" w:lineRule="auto"/>
        <w:jc w:val="both"/>
        <w:outlineLvl w:val="2"/>
        <w:divId w:val="1316184749"/>
        <w:rPr>
          <w:b/>
          <w:szCs w:val="24"/>
        </w:rPr>
      </w:pPr>
      <w:r w:rsidRPr="00687DE8">
        <w:rPr>
          <w:b/>
          <w:szCs w:val="24"/>
        </w:rPr>
        <w:t>§ 1</w:t>
      </w:r>
      <w:r w:rsidR="00DF3890" w:rsidRPr="00687DE8">
        <w:rPr>
          <w:b/>
          <w:szCs w:val="24"/>
        </w:rPr>
        <w:t>1</w:t>
      </w:r>
      <w:r w:rsidRPr="00687DE8">
        <w:rPr>
          <w:b/>
          <w:szCs w:val="24"/>
        </w:rPr>
        <w:t>. Koduse peritoneaaldialüüsi</w:t>
      </w:r>
      <w:r w:rsidR="006F768B" w:rsidRPr="00687DE8">
        <w:rPr>
          <w:b/>
          <w:szCs w:val="24"/>
        </w:rPr>
        <w:t>,</w:t>
      </w:r>
      <w:r w:rsidRPr="00687DE8">
        <w:rPr>
          <w:b/>
          <w:szCs w:val="24"/>
        </w:rPr>
        <w:t xml:space="preserve"> koduse parenteraalse toitmis</w:t>
      </w:r>
      <w:r w:rsidR="00D129D6" w:rsidRPr="00687DE8">
        <w:rPr>
          <w:b/>
          <w:szCs w:val="24"/>
        </w:rPr>
        <w:t>ravi</w:t>
      </w:r>
      <w:r w:rsidRPr="00687DE8">
        <w:rPr>
          <w:b/>
          <w:szCs w:val="24"/>
        </w:rPr>
        <w:t xml:space="preserve"> ja enteraalse toitmis</w:t>
      </w:r>
      <w:r w:rsidR="00342C67" w:rsidRPr="00687DE8">
        <w:rPr>
          <w:b/>
          <w:szCs w:val="24"/>
        </w:rPr>
        <w:t>ravi</w:t>
      </w:r>
      <w:r w:rsidRPr="00687DE8">
        <w:rPr>
          <w:b/>
          <w:szCs w:val="24"/>
        </w:rPr>
        <w:t xml:space="preserve"> </w:t>
      </w:r>
      <w:r w:rsidR="00DD0B18" w:rsidRPr="00687DE8">
        <w:rPr>
          <w:b/>
          <w:szCs w:val="24"/>
        </w:rPr>
        <w:t>teenuste</w:t>
      </w:r>
      <w:r w:rsidR="00D06005" w:rsidRPr="00687DE8">
        <w:rPr>
          <w:b/>
          <w:szCs w:val="24"/>
        </w:rPr>
        <w:t xml:space="preserve">, sealhulgas </w:t>
      </w:r>
      <w:r w:rsidR="00026E50" w:rsidRPr="00687DE8">
        <w:rPr>
          <w:b/>
          <w:szCs w:val="24"/>
        </w:rPr>
        <w:t>toit</w:t>
      </w:r>
      <w:r w:rsidR="0019384D" w:rsidRPr="00687DE8">
        <w:rPr>
          <w:b/>
          <w:szCs w:val="24"/>
        </w:rPr>
        <w:t>misravi preparaatide</w:t>
      </w:r>
      <w:r w:rsidR="00026E50" w:rsidRPr="00687DE8">
        <w:rPr>
          <w:b/>
          <w:szCs w:val="24"/>
        </w:rPr>
        <w:t xml:space="preserve"> </w:t>
      </w:r>
      <w:r w:rsidRPr="00687DE8">
        <w:rPr>
          <w:b/>
          <w:szCs w:val="24"/>
        </w:rPr>
        <w:t>piirhinnad</w:t>
      </w:r>
    </w:p>
    <w:p w14:paraId="3731BD33" w14:textId="77777777" w:rsidR="00517826" w:rsidRDefault="00517826" w:rsidP="00976487">
      <w:pPr>
        <w:spacing w:after="0" w:line="240" w:lineRule="auto"/>
        <w:divId w:val="1316184749"/>
        <w:rPr>
          <w:szCs w:val="24"/>
        </w:rPr>
      </w:pPr>
    </w:p>
    <w:p w14:paraId="7A2758AE" w14:textId="2FFA7A47" w:rsidR="00976487" w:rsidRPr="00687DE8" w:rsidRDefault="00976487" w:rsidP="00976487">
      <w:pPr>
        <w:spacing w:after="0" w:line="240" w:lineRule="auto"/>
        <w:divId w:val="1316184749"/>
        <w:rPr>
          <w:szCs w:val="24"/>
        </w:rPr>
      </w:pPr>
      <w:r w:rsidRPr="00687DE8">
        <w:rPr>
          <w:szCs w:val="24"/>
        </w:rPr>
        <w:t>(1) Koduse peritoneaaldialüüsi ravipäeva piirhind on järgmine:</w:t>
      </w:r>
    </w:p>
    <w:p w14:paraId="52820139" w14:textId="77777777" w:rsidR="00976487" w:rsidRPr="00687DE8" w:rsidRDefault="00976487" w:rsidP="00976487">
      <w:pPr>
        <w:spacing w:after="0" w:line="240" w:lineRule="auto"/>
        <w:divId w:val="1316184749"/>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gridCol w:w="1134"/>
        <w:gridCol w:w="1134"/>
      </w:tblGrid>
      <w:tr w:rsidR="00976487" w:rsidRPr="00687DE8" w14:paraId="5F312C41" w14:textId="77777777" w:rsidTr="12076A44">
        <w:trPr>
          <w:divId w:val="1316184749"/>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75C4D7" w14:textId="77777777" w:rsidR="00976487" w:rsidRPr="00687DE8" w:rsidRDefault="00976487">
            <w:pPr>
              <w:spacing w:after="0" w:line="240" w:lineRule="auto"/>
              <w:jc w:val="center"/>
              <w:rPr>
                <w:szCs w:val="24"/>
              </w:rPr>
            </w:pPr>
            <w:r w:rsidRPr="00687DE8">
              <w:rPr>
                <w:b/>
                <w:szCs w:val="24"/>
              </w:rPr>
              <w:t>Tervishoiuteenuse nimetus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0D63D8" w14:textId="77777777" w:rsidR="00976487" w:rsidRPr="00687DE8" w:rsidRDefault="00976487">
            <w:pPr>
              <w:spacing w:after="0" w:line="240" w:lineRule="auto"/>
              <w:jc w:val="center"/>
              <w:rPr>
                <w:szCs w:val="24"/>
              </w:rPr>
            </w:pPr>
            <w:r w:rsidRPr="00687DE8">
              <w:rPr>
                <w:b/>
                <w:szCs w:val="24"/>
              </w:rPr>
              <w:t>Kood</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BC12FD"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976487" w:rsidRPr="00687DE8" w14:paraId="330ABA40" w14:textId="77777777" w:rsidTr="12076A44">
        <w:trPr>
          <w:divId w:val="1316184749"/>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7BAA3A" w14:textId="77777777" w:rsidR="00976487" w:rsidRPr="00687DE8" w:rsidRDefault="00976487">
            <w:pPr>
              <w:spacing w:after="0" w:line="240" w:lineRule="auto"/>
              <w:rPr>
                <w:szCs w:val="24"/>
              </w:rPr>
            </w:pPr>
            <w:r w:rsidRPr="00687DE8">
              <w:rPr>
                <w:szCs w:val="24"/>
              </w:rPr>
              <w:t>Kodune peritoneaaldialüüsi ravipäev</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3E7380" w14:textId="77777777" w:rsidR="00976487" w:rsidRPr="00687DE8" w:rsidRDefault="00976487">
            <w:pPr>
              <w:spacing w:after="0" w:line="240" w:lineRule="auto"/>
              <w:jc w:val="center"/>
              <w:rPr>
                <w:szCs w:val="24"/>
              </w:rPr>
            </w:pPr>
            <w:r w:rsidRPr="00687DE8">
              <w:rPr>
                <w:szCs w:val="24"/>
              </w:rPr>
              <w:t>7033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E1B5DE" w14:textId="4DDFD694" w:rsidR="00976487" w:rsidRPr="00687DE8" w:rsidRDefault="00E247D9">
            <w:pPr>
              <w:tabs>
                <w:tab w:val="decimal" w:pos="635"/>
              </w:tabs>
              <w:spacing w:after="0" w:line="240" w:lineRule="auto"/>
              <w:jc w:val="center"/>
              <w:rPr>
                <w:szCs w:val="24"/>
              </w:rPr>
            </w:pPr>
            <w:r w:rsidRPr="00687DE8">
              <w:rPr>
                <w:szCs w:val="24"/>
              </w:rPr>
              <w:t>60,40</w:t>
            </w:r>
          </w:p>
        </w:tc>
      </w:tr>
    </w:tbl>
    <w:p w14:paraId="3D97F05C" w14:textId="77777777" w:rsidR="00976487" w:rsidRPr="00687DE8" w:rsidRDefault="00976487" w:rsidP="00976487">
      <w:pPr>
        <w:spacing w:after="0" w:line="240" w:lineRule="auto"/>
        <w:jc w:val="both"/>
        <w:divId w:val="1316184749"/>
        <w:rPr>
          <w:szCs w:val="24"/>
        </w:rPr>
      </w:pPr>
    </w:p>
    <w:p w14:paraId="08ECBB5D" w14:textId="77777777" w:rsidR="00976487" w:rsidRPr="00687DE8" w:rsidRDefault="00976487" w:rsidP="00976487">
      <w:pPr>
        <w:spacing w:after="0" w:line="240" w:lineRule="auto"/>
        <w:jc w:val="both"/>
        <w:divId w:val="1316184749"/>
        <w:rPr>
          <w:szCs w:val="24"/>
        </w:rPr>
      </w:pPr>
      <w:r w:rsidRPr="00687DE8">
        <w:rPr>
          <w:szCs w:val="24"/>
        </w:rPr>
        <w:t>(2) Koodiga 7033 tähistatud tervishoiuteenuse piirhind sisaldab kulutusi vajalikele tarvikutele ja lahustele ning haige õpetamisele ja nõustamisele.</w:t>
      </w:r>
    </w:p>
    <w:p w14:paraId="7CDC8C43" w14:textId="77777777" w:rsidR="00C504F8" w:rsidRPr="00687DE8" w:rsidRDefault="00C504F8" w:rsidP="00976487">
      <w:pPr>
        <w:spacing w:after="0" w:line="240" w:lineRule="auto"/>
        <w:jc w:val="both"/>
        <w:divId w:val="1316184749"/>
        <w:rPr>
          <w:szCs w:val="24"/>
        </w:rPr>
      </w:pPr>
    </w:p>
    <w:p w14:paraId="33FDF05C" w14:textId="77777777" w:rsidR="00976487" w:rsidRPr="00687DE8" w:rsidRDefault="00976487" w:rsidP="00976487">
      <w:pPr>
        <w:spacing w:after="0" w:line="240" w:lineRule="auto"/>
        <w:jc w:val="both"/>
        <w:divId w:val="1316184749"/>
        <w:rPr>
          <w:szCs w:val="24"/>
        </w:rPr>
      </w:pPr>
      <w:r w:rsidRPr="00687DE8">
        <w:rPr>
          <w:szCs w:val="24"/>
        </w:rPr>
        <w:t>(3) Koduse parenteraalse toitmis</w:t>
      </w:r>
      <w:r w:rsidR="00B5773E" w:rsidRPr="00687DE8">
        <w:rPr>
          <w:szCs w:val="24"/>
        </w:rPr>
        <w:t>ravi</w:t>
      </w:r>
      <w:r w:rsidRPr="00687DE8">
        <w:rPr>
          <w:szCs w:val="24"/>
        </w:rPr>
        <w:t xml:space="preserve"> ravipäeva piirhind on järgmine:</w:t>
      </w:r>
    </w:p>
    <w:p w14:paraId="2FFAC361" w14:textId="77777777" w:rsidR="00976487" w:rsidRPr="00687DE8" w:rsidRDefault="00976487" w:rsidP="00976487">
      <w:pPr>
        <w:spacing w:after="0" w:line="240" w:lineRule="auto"/>
        <w:jc w:val="both"/>
        <w:divId w:val="1316184749"/>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gridCol w:w="1134"/>
        <w:gridCol w:w="1134"/>
      </w:tblGrid>
      <w:tr w:rsidR="00976487" w:rsidRPr="00687DE8" w14:paraId="0BC8632C" w14:textId="77777777" w:rsidTr="12076A44">
        <w:trPr>
          <w:divId w:val="1316184749"/>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261E6E" w14:textId="77777777" w:rsidR="00976487" w:rsidRPr="00687DE8" w:rsidRDefault="00976487">
            <w:pPr>
              <w:spacing w:after="0" w:line="240" w:lineRule="auto"/>
              <w:jc w:val="center"/>
              <w:rPr>
                <w:szCs w:val="24"/>
              </w:rPr>
            </w:pPr>
            <w:r w:rsidRPr="00687DE8">
              <w:rPr>
                <w:b/>
                <w:szCs w:val="24"/>
              </w:rPr>
              <w:t>Tervishoiuteenuse nimetus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6A32A9" w14:textId="77777777" w:rsidR="00976487" w:rsidRPr="00687DE8" w:rsidRDefault="00976487">
            <w:pPr>
              <w:spacing w:after="0" w:line="240" w:lineRule="auto"/>
              <w:jc w:val="center"/>
              <w:rPr>
                <w:szCs w:val="24"/>
              </w:rPr>
            </w:pPr>
            <w:r w:rsidRPr="00687DE8">
              <w:rPr>
                <w:b/>
                <w:szCs w:val="24"/>
              </w:rPr>
              <w:t>Kood</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2648EC"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976487" w:rsidRPr="00687DE8" w14:paraId="1F66DC6C" w14:textId="77777777" w:rsidTr="12076A44">
        <w:trPr>
          <w:divId w:val="1316184749"/>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9155DE" w14:textId="77777777" w:rsidR="00976487" w:rsidRPr="00687DE8" w:rsidRDefault="00976487">
            <w:pPr>
              <w:spacing w:after="0" w:line="240" w:lineRule="auto"/>
              <w:rPr>
                <w:szCs w:val="24"/>
              </w:rPr>
            </w:pPr>
            <w:r w:rsidRPr="00687DE8">
              <w:rPr>
                <w:szCs w:val="24"/>
              </w:rPr>
              <w:t>Parenteraalne toitmi</w:t>
            </w:r>
            <w:r w:rsidR="00CF0A3B" w:rsidRPr="00687DE8">
              <w:rPr>
                <w:szCs w:val="24"/>
              </w:rPr>
              <w:t>sravi</w:t>
            </w:r>
            <w:r w:rsidRPr="00687DE8">
              <w:rPr>
                <w:szCs w:val="24"/>
              </w:rPr>
              <w:t xml:space="preserve"> kodus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97F90B" w14:textId="77777777" w:rsidR="00976487" w:rsidRPr="00687DE8" w:rsidRDefault="00976487">
            <w:pPr>
              <w:spacing w:after="0" w:line="240" w:lineRule="auto"/>
              <w:jc w:val="center"/>
              <w:rPr>
                <w:szCs w:val="24"/>
              </w:rPr>
            </w:pPr>
            <w:r w:rsidRPr="00687DE8">
              <w:rPr>
                <w:szCs w:val="24"/>
              </w:rPr>
              <w:t>7036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39FB34" w14:textId="3600B9F9" w:rsidR="00976487" w:rsidRPr="00687DE8" w:rsidRDefault="00DA0A7F">
            <w:pPr>
              <w:tabs>
                <w:tab w:val="decimal" w:pos="635"/>
              </w:tabs>
              <w:spacing w:after="0" w:line="240" w:lineRule="auto"/>
              <w:jc w:val="center"/>
              <w:rPr>
                <w:szCs w:val="24"/>
              </w:rPr>
            </w:pPr>
            <w:r w:rsidRPr="00687DE8">
              <w:rPr>
                <w:szCs w:val="24"/>
              </w:rPr>
              <w:t>100,</w:t>
            </w:r>
            <w:r w:rsidR="00D735DB">
              <w:rPr>
                <w:szCs w:val="24"/>
              </w:rPr>
              <w:t>63</w:t>
            </w:r>
          </w:p>
        </w:tc>
      </w:tr>
    </w:tbl>
    <w:p w14:paraId="4822EF9A" w14:textId="77777777" w:rsidR="00976487" w:rsidRPr="00687DE8" w:rsidRDefault="00976487" w:rsidP="00976487">
      <w:pPr>
        <w:spacing w:after="0" w:line="240" w:lineRule="auto"/>
        <w:jc w:val="both"/>
        <w:divId w:val="1316184749"/>
        <w:rPr>
          <w:szCs w:val="24"/>
        </w:rPr>
      </w:pPr>
    </w:p>
    <w:p w14:paraId="7F4ED503" w14:textId="225F063C" w:rsidR="00976487" w:rsidRPr="00687DE8" w:rsidRDefault="00976487" w:rsidP="00976487">
      <w:pPr>
        <w:spacing w:after="0" w:line="240" w:lineRule="auto"/>
        <w:jc w:val="both"/>
        <w:divId w:val="1316184749"/>
        <w:rPr>
          <w:szCs w:val="24"/>
        </w:rPr>
      </w:pPr>
      <w:r w:rsidRPr="00687DE8">
        <w:rPr>
          <w:szCs w:val="24"/>
        </w:rPr>
        <w:lastRenderedPageBreak/>
        <w:t xml:space="preserve">(4) Koodiga 7036 tähistatud tervishoiuteenuse piirhind sisaldab kulutusi ühe </w:t>
      </w:r>
      <w:r w:rsidR="0008746E" w:rsidRPr="00687DE8">
        <w:rPr>
          <w:szCs w:val="24"/>
        </w:rPr>
        <w:t>ravi</w:t>
      </w:r>
      <w:r w:rsidRPr="00687DE8">
        <w:rPr>
          <w:szCs w:val="24"/>
        </w:rPr>
        <w:t>päeva toitelahustele</w:t>
      </w:r>
      <w:r w:rsidR="00050A22">
        <w:rPr>
          <w:szCs w:val="24"/>
        </w:rPr>
        <w:t xml:space="preserve"> ja </w:t>
      </w:r>
      <w:r w:rsidRPr="00687DE8">
        <w:rPr>
          <w:szCs w:val="24"/>
        </w:rPr>
        <w:t>vajalikele tarvikutele</w:t>
      </w:r>
      <w:r w:rsidR="0025482E">
        <w:rPr>
          <w:szCs w:val="24"/>
        </w:rPr>
        <w:t xml:space="preserve"> </w:t>
      </w:r>
      <w:r w:rsidR="00050A22">
        <w:rPr>
          <w:szCs w:val="24"/>
        </w:rPr>
        <w:t>ning nende kohaletoimetamisele</w:t>
      </w:r>
      <w:r w:rsidR="00DD23CF">
        <w:rPr>
          <w:szCs w:val="24"/>
        </w:rPr>
        <w:t xml:space="preserve"> patsiendile</w:t>
      </w:r>
      <w:r w:rsidR="00050A22">
        <w:rPr>
          <w:szCs w:val="24"/>
        </w:rPr>
        <w:t>.</w:t>
      </w:r>
      <w:r w:rsidR="00A96720">
        <w:rPr>
          <w:szCs w:val="24"/>
        </w:rPr>
        <w:t xml:space="preserve"> </w:t>
      </w:r>
    </w:p>
    <w:p w14:paraId="0E4ECDC7" w14:textId="77777777" w:rsidR="00976487" w:rsidRPr="00687DE8" w:rsidRDefault="00976487" w:rsidP="00976487">
      <w:pPr>
        <w:spacing w:after="0" w:line="240" w:lineRule="auto"/>
        <w:jc w:val="both"/>
        <w:divId w:val="1316184749"/>
        <w:rPr>
          <w:iCs/>
          <w:color w:val="000000"/>
          <w:szCs w:val="24"/>
        </w:rPr>
      </w:pPr>
    </w:p>
    <w:p w14:paraId="257B9E46" w14:textId="7A76117B" w:rsidR="00976487" w:rsidRDefault="00976487" w:rsidP="00976487">
      <w:pPr>
        <w:spacing w:after="0" w:line="240" w:lineRule="auto"/>
        <w:jc w:val="both"/>
        <w:divId w:val="1316184749"/>
        <w:rPr>
          <w:color w:val="000000" w:themeColor="text1"/>
          <w:szCs w:val="24"/>
        </w:rPr>
      </w:pPr>
      <w:r w:rsidRPr="00687DE8">
        <w:rPr>
          <w:color w:val="000000" w:themeColor="text1"/>
          <w:szCs w:val="24"/>
        </w:rPr>
        <w:t xml:space="preserve">(5) </w:t>
      </w:r>
      <w:r w:rsidR="005023FD" w:rsidRPr="00687DE8">
        <w:rPr>
          <w:color w:val="000000" w:themeColor="text1"/>
          <w:szCs w:val="24"/>
        </w:rPr>
        <w:t>Tervisekassa</w:t>
      </w:r>
      <w:r w:rsidRPr="00687DE8">
        <w:rPr>
          <w:color w:val="000000" w:themeColor="text1"/>
          <w:szCs w:val="24"/>
        </w:rPr>
        <w:t xml:space="preserve"> võtab koodiga 7036 tähistatud tervishoiuteenuse eest tasu maksmise kohustuse üle, kui patsiendi vajadustele vastavas mahus suukaudne söömine või enteraalne toitmine pole teostatav, teiste ravimeetodite mittetoimimine on tõendatud</w:t>
      </w:r>
      <w:r w:rsidR="00C17CCA">
        <w:rPr>
          <w:color w:val="000000" w:themeColor="text1"/>
          <w:szCs w:val="24"/>
        </w:rPr>
        <w:t>,</w:t>
      </w:r>
      <w:r w:rsidRPr="00687DE8">
        <w:rPr>
          <w:color w:val="000000" w:themeColor="text1"/>
          <w:szCs w:val="24"/>
        </w:rPr>
        <w:t xml:space="preserve"> raviotsuse on </w:t>
      </w:r>
      <w:r w:rsidR="00233876" w:rsidRPr="00687DE8">
        <w:rPr>
          <w:color w:val="000000" w:themeColor="text1"/>
          <w:szCs w:val="24"/>
        </w:rPr>
        <w:t>te</w:t>
      </w:r>
      <w:r w:rsidR="00BA3F04" w:rsidRPr="00687DE8">
        <w:rPr>
          <w:color w:val="000000" w:themeColor="text1"/>
          <w:szCs w:val="24"/>
        </w:rPr>
        <w:t>in</w:t>
      </w:r>
      <w:r w:rsidRPr="00687DE8">
        <w:rPr>
          <w:color w:val="000000" w:themeColor="text1"/>
          <w:szCs w:val="24"/>
        </w:rPr>
        <w:t>ud</w:t>
      </w:r>
      <w:r w:rsidR="00873095" w:rsidRPr="00687DE8">
        <w:rPr>
          <w:color w:val="000000" w:themeColor="text1"/>
          <w:szCs w:val="24"/>
        </w:rPr>
        <w:t xml:space="preserve"> koodiga 7089 tähistatud tervishoiuteenuse</w:t>
      </w:r>
      <w:r w:rsidR="00C12490" w:rsidRPr="00687DE8">
        <w:rPr>
          <w:color w:val="000000" w:themeColor="text1"/>
          <w:szCs w:val="24"/>
        </w:rPr>
        <w:t xml:space="preserve">s kirjeldatud </w:t>
      </w:r>
      <w:r w:rsidR="00703032" w:rsidRPr="00687DE8">
        <w:rPr>
          <w:color w:val="000000" w:themeColor="text1"/>
          <w:szCs w:val="24"/>
        </w:rPr>
        <w:t>eksperdikomisjon</w:t>
      </w:r>
      <w:r w:rsidR="00C17CCA">
        <w:rPr>
          <w:color w:val="000000" w:themeColor="text1"/>
          <w:szCs w:val="24"/>
        </w:rPr>
        <w:t>,</w:t>
      </w:r>
      <w:r w:rsidR="00F54890" w:rsidRPr="00687DE8">
        <w:rPr>
          <w:color w:val="000000" w:themeColor="text1"/>
          <w:szCs w:val="24"/>
        </w:rPr>
        <w:t xml:space="preserve"> </w:t>
      </w:r>
      <w:r w:rsidR="000017C9" w:rsidRPr="00687DE8">
        <w:rPr>
          <w:color w:val="000000" w:themeColor="text1"/>
          <w:szCs w:val="24"/>
        </w:rPr>
        <w:t>ravi</w:t>
      </w:r>
      <w:r w:rsidRPr="00687DE8" w:rsidDel="00AA6F13">
        <w:rPr>
          <w:color w:val="000000" w:themeColor="text1"/>
          <w:szCs w:val="24"/>
        </w:rPr>
        <w:t xml:space="preserve"> on vähemalt üks kord kvartalis </w:t>
      </w:r>
      <w:r w:rsidRPr="00687DE8">
        <w:rPr>
          <w:color w:val="000000" w:themeColor="text1"/>
          <w:szCs w:val="24"/>
        </w:rPr>
        <w:t>hinna</w:t>
      </w:r>
      <w:r w:rsidR="000017C9" w:rsidRPr="00687DE8">
        <w:rPr>
          <w:color w:val="000000" w:themeColor="text1"/>
          <w:szCs w:val="24"/>
        </w:rPr>
        <w:t>tud</w:t>
      </w:r>
      <w:r w:rsidR="002F7E8D">
        <w:rPr>
          <w:color w:val="000000" w:themeColor="text1"/>
          <w:szCs w:val="24"/>
        </w:rPr>
        <w:t xml:space="preserve"> </w:t>
      </w:r>
      <w:r w:rsidR="00C17CCA">
        <w:rPr>
          <w:color w:val="000000" w:themeColor="text1"/>
          <w:szCs w:val="24"/>
        </w:rPr>
        <w:t>ja</w:t>
      </w:r>
      <w:r w:rsidRPr="00687DE8" w:rsidDel="00AA6F13">
        <w:rPr>
          <w:color w:val="000000" w:themeColor="text1"/>
          <w:szCs w:val="24"/>
        </w:rPr>
        <w:t xml:space="preserve"> </w:t>
      </w:r>
      <w:r w:rsidR="005F2CE5" w:rsidRPr="005F2CE5">
        <w:rPr>
          <w:color w:val="000000" w:themeColor="text1"/>
          <w:szCs w:val="24"/>
        </w:rPr>
        <w:t xml:space="preserve">teenuse osutamisel järgitakse </w:t>
      </w:r>
      <w:r w:rsidR="00082EE6" w:rsidRPr="00082EE6">
        <w:rPr>
          <w:color w:val="000000" w:themeColor="text1"/>
          <w:szCs w:val="24"/>
        </w:rPr>
        <w:t>ravikindlustuse seaduse § 32 alusel</w:t>
      </w:r>
      <w:r w:rsidR="005F2CE5" w:rsidRPr="005F2CE5">
        <w:rPr>
          <w:color w:val="000000" w:themeColor="text1"/>
          <w:szCs w:val="24"/>
        </w:rPr>
        <w:t xml:space="preserve"> kehtestatud </w:t>
      </w:r>
      <w:r w:rsidR="00082EE6" w:rsidRPr="00082EE6">
        <w:rPr>
          <w:color w:val="000000" w:themeColor="text1"/>
          <w:szCs w:val="24"/>
        </w:rPr>
        <w:t>määruse lisas</w:t>
      </w:r>
      <w:r w:rsidR="00082EE6">
        <w:rPr>
          <w:color w:val="000000" w:themeColor="text1"/>
          <w:szCs w:val="24"/>
        </w:rPr>
        <w:t xml:space="preserve"> </w:t>
      </w:r>
      <w:r w:rsidR="003A6D3C">
        <w:rPr>
          <w:color w:val="000000" w:themeColor="text1"/>
          <w:szCs w:val="24"/>
        </w:rPr>
        <w:t>sätestatud</w:t>
      </w:r>
      <w:r w:rsidR="00082EE6" w:rsidRPr="00082EE6">
        <w:rPr>
          <w:color w:val="000000" w:themeColor="text1"/>
          <w:szCs w:val="24"/>
        </w:rPr>
        <w:t xml:space="preserve"> </w:t>
      </w:r>
      <w:r w:rsidR="005F2CE5" w:rsidRPr="005F2CE5">
        <w:rPr>
          <w:color w:val="000000" w:themeColor="text1"/>
          <w:szCs w:val="24"/>
        </w:rPr>
        <w:t>kvaliteedinõudeid</w:t>
      </w:r>
      <w:r w:rsidR="004C531E">
        <w:rPr>
          <w:color w:val="000000" w:themeColor="text1"/>
          <w:szCs w:val="24"/>
        </w:rPr>
        <w:t>.</w:t>
      </w:r>
    </w:p>
    <w:p w14:paraId="5DD70F45" w14:textId="77777777" w:rsidR="008D037C" w:rsidRPr="00687DE8" w:rsidRDefault="008D037C" w:rsidP="00976487">
      <w:pPr>
        <w:spacing w:after="0" w:line="240" w:lineRule="auto"/>
        <w:jc w:val="both"/>
        <w:divId w:val="1316184749"/>
        <w:rPr>
          <w:iCs/>
          <w:color w:val="0D0D0D"/>
          <w:szCs w:val="24"/>
        </w:rPr>
      </w:pPr>
    </w:p>
    <w:p w14:paraId="1273B76E" w14:textId="5941412E" w:rsidR="00976487" w:rsidRPr="00687DE8" w:rsidRDefault="00976487" w:rsidP="00976487">
      <w:pPr>
        <w:spacing w:after="0" w:line="240" w:lineRule="auto"/>
        <w:jc w:val="both"/>
        <w:divId w:val="1316184749"/>
        <w:rPr>
          <w:color w:val="000000" w:themeColor="text1"/>
        </w:rPr>
      </w:pPr>
      <w:r w:rsidRPr="187202E5">
        <w:rPr>
          <w:color w:val="000000" w:themeColor="text1"/>
        </w:rPr>
        <w:t>(6) Koodiga 7036 tähistatud tervishoiuteenust rakendatakse haiglate loetelus nimetatud piirkondlikus haiglas</w:t>
      </w:r>
      <w:r w:rsidR="006A48EC" w:rsidRPr="187202E5">
        <w:rPr>
          <w:color w:val="000000" w:themeColor="text1"/>
        </w:rPr>
        <w:t xml:space="preserve"> juhul</w:t>
      </w:r>
      <w:r w:rsidR="00B423FF">
        <w:rPr>
          <w:color w:val="000000" w:themeColor="text1"/>
        </w:rPr>
        <w:t>,</w:t>
      </w:r>
      <w:r w:rsidR="006A48EC" w:rsidRPr="187202E5">
        <w:rPr>
          <w:color w:val="000000" w:themeColor="text1"/>
        </w:rPr>
        <w:t xml:space="preserve"> kui </w:t>
      </w:r>
      <w:r w:rsidR="001316A3">
        <w:rPr>
          <w:color w:val="000000" w:themeColor="text1"/>
        </w:rPr>
        <w:t xml:space="preserve">parenteraalne toitmisravi on </w:t>
      </w:r>
      <w:r w:rsidR="00C042C1">
        <w:rPr>
          <w:color w:val="000000" w:themeColor="text1"/>
        </w:rPr>
        <w:t>juhitud</w:t>
      </w:r>
      <w:r w:rsidR="006A48EC" w:rsidRPr="187202E5">
        <w:rPr>
          <w:color w:val="000000" w:themeColor="text1"/>
        </w:rPr>
        <w:t xml:space="preserve"> soolepuudulikkuse ravile spetsialiseerunud</w:t>
      </w:r>
      <w:r w:rsidR="0084731C">
        <w:rPr>
          <w:color w:val="000000" w:themeColor="text1"/>
        </w:rPr>
        <w:t xml:space="preserve"> </w:t>
      </w:r>
      <w:r w:rsidR="000376FD">
        <w:rPr>
          <w:color w:val="000000" w:themeColor="text1"/>
        </w:rPr>
        <w:t xml:space="preserve">pädevate </w:t>
      </w:r>
      <w:r w:rsidR="006A48EC" w:rsidRPr="187202E5">
        <w:rPr>
          <w:color w:val="000000" w:themeColor="text1"/>
        </w:rPr>
        <w:t>spetsialis</w:t>
      </w:r>
      <w:r w:rsidR="000376FD">
        <w:rPr>
          <w:color w:val="000000" w:themeColor="text1"/>
        </w:rPr>
        <w:t xml:space="preserve">tide </w:t>
      </w:r>
      <w:r w:rsidR="00CD6AF3">
        <w:rPr>
          <w:color w:val="000000" w:themeColor="text1"/>
        </w:rPr>
        <w:t>koostöös</w:t>
      </w:r>
      <w:r w:rsidRPr="187202E5">
        <w:rPr>
          <w:color w:val="000000" w:themeColor="text1"/>
        </w:rPr>
        <w:t>.</w:t>
      </w:r>
    </w:p>
    <w:p w14:paraId="7C50AA35" w14:textId="77777777" w:rsidR="00976487" w:rsidRPr="00687DE8" w:rsidRDefault="00976487" w:rsidP="00976487">
      <w:pPr>
        <w:spacing w:after="0" w:line="240" w:lineRule="auto"/>
        <w:jc w:val="both"/>
        <w:divId w:val="1316184749"/>
        <w:rPr>
          <w:color w:val="000000" w:themeColor="text1"/>
          <w:szCs w:val="24"/>
        </w:rPr>
      </w:pPr>
    </w:p>
    <w:p w14:paraId="3D9EBCBF" w14:textId="6B5A43A0" w:rsidR="00976487" w:rsidRPr="00687DE8" w:rsidRDefault="00976487" w:rsidP="00976487">
      <w:pPr>
        <w:spacing w:after="0" w:line="240" w:lineRule="auto"/>
        <w:jc w:val="both"/>
        <w:divId w:val="1316184749"/>
        <w:rPr>
          <w:color w:val="000000" w:themeColor="text1"/>
        </w:rPr>
      </w:pPr>
      <w:r w:rsidRPr="630A8D74">
        <w:rPr>
          <w:color w:val="000000" w:themeColor="text1"/>
        </w:rPr>
        <w:t>(7) Enteraalse toitmis</w:t>
      </w:r>
      <w:r w:rsidR="007666AD" w:rsidRPr="630A8D74">
        <w:rPr>
          <w:color w:val="000000" w:themeColor="text1"/>
        </w:rPr>
        <w:t>ravi</w:t>
      </w:r>
      <w:r w:rsidRPr="630A8D74">
        <w:rPr>
          <w:color w:val="000000" w:themeColor="text1"/>
        </w:rPr>
        <w:t xml:space="preserve"> ravipäeva piirhinnad on järgmised:</w:t>
      </w:r>
    </w:p>
    <w:p w14:paraId="0DBBD138" w14:textId="77777777" w:rsidR="00976487" w:rsidRPr="00687DE8" w:rsidRDefault="00976487" w:rsidP="00976487">
      <w:pPr>
        <w:spacing w:after="0" w:line="240" w:lineRule="auto"/>
        <w:jc w:val="both"/>
        <w:divId w:val="1316184749"/>
        <w:rPr>
          <w:color w:val="000000" w:themeColor="text1"/>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992"/>
        <w:gridCol w:w="992"/>
        <w:gridCol w:w="1559"/>
        <w:gridCol w:w="1418"/>
      </w:tblGrid>
      <w:tr w:rsidR="00976487" w:rsidRPr="00687DE8" w14:paraId="21153DB8" w14:textId="77777777" w:rsidTr="00C62B6E">
        <w:trPr>
          <w:divId w:val="1316184749"/>
          <w:tblHeader/>
        </w:trPr>
        <w:tc>
          <w:tcPr>
            <w:tcW w:w="4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55FF0C" w14:textId="77777777" w:rsidR="00976487" w:rsidRPr="00687DE8" w:rsidRDefault="00976487">
            <w:pPr>
              <w:spacing w:after="0" w:line="240" w:lineRule="auto"/>
              <w:jc w:val="center"/>
              <w:rPr>
                <w:szCs w:val="24"/>
              </w:rPr>
            </w:pPr>
            <w:r w:rsidRPr="00687DE8">
              <w:rPr>
                <w:b/>
                <w:bCs/>
                <w:szCs w:val="24"/>
              </w:rPr>
              <w:t>Tervishoiuteenuse nimetus</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2667EB" w14:textId="77777777" w:rsidR="00976487" w:rsidRPr="00687DE8" w:rsidRDefault="00976487">
            <w:pPr>
              <w:spacing w:after="0" w:line="240" w:lineRule="auto"/>
              <w:jc w:val="center"/>
              <w:rPr>
                <w:szCs w:val="24"/>
              </w:rPr>
            </w:pPr>
            <w:r w:rsidRPr="00687DE8">
              <w:rPr>
                <w:b/>
                <w:bCs/>
                <w:szCs w:val="24"/>
              </w:rPr>
              <w:t>Kood</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6D8641"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szCs w:val="24"/>
              </w:rPr>
              <w:br/>
            </w:r>
            <w:r w:rsidRPr="00687DE8">
              <w:rPr>
                <w:b/>
                <w:bCs/>
                <w:szCs w:val="24"/>
              </w:rPr>
              <w:t>eurodes</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C42409" w14:textId="77777777" w:rsidR="00976487" w:rsidRPr="00687DE8" w:rsidRDefault="00976487">
            <w:pPr>
              <w:tabs>
                <w:tab w:val="decimal" w:pos="635"/>
              </w:tabs>
              <w:spacing w:after="0" w:line="240" w:lineRule="auto"/>
              <w:jc w:val="center"/>
              <w:rPr>
                <w:b/>
                <w:bCs/>
                <w:szCs w:val="24"/>
              </w:rPr>
            </w:pPr>
            <w:r w:rsidRPr="00687DE8">
              <w:rPr>
                <w:b/>
                <w:bCs/>
                <w:szCs w:val="24"/>
              </w:rPr>
              <w:t>Ülevõetava</w:t>
            </w:r>
            <w:r w:rsidRPr="00687DE8">
              <w:rPr>
                <w:szCs w:val="24"/>
              </w:rPr>
              <w:br/>
            </w:r>
            <w:r w:rsidRPr="00687DE8">
              <w:rPr>
                <w:b/>
                <w:bCs/>
                <w:szCs w:val="24"/>
              </w:rPr>
              <w:t>tasu maksmise</w:t>
            </w:r>
            <w:r w:rsidRPr="00687DE8">
              <w:rPr>
                <w:szCs w:val="24"/>
              </w:rPr>
              <w:br/>
            </w:r>
            <w:r w:rsidRPr="00687DE8">
              <w:rPr>
                <w:b/>
                <w:bCs/>
                <w:szCs w:val="24"/>
              </w:rPr>
              <w:t>kohustuse</w:t>
            </w:r>
            <w:r w:rsidRPr="00687DE8">
              <w:rPr>
                <w:szCs w:val="24"/>
              </w:rPr>
              <w:br/>
            </w:r>
            <w:r w:rsidRPr="00687DE8">
              <w:rPr>
                <w:b/>
                <w:bCs/>
                <w:szCs w:val="24"/>
              </w:rPr>
              <w:t>piirmäär</w:t>
            </w:r>
            <w:r w:rsidRPr="00687DE8">
              <w:rPr>
                <w:szCs w:val="24"/>
              </w:rPr>
              <w:br/>
            </w:r>
            <w:r w:rsidRPr="00687DE8">
              <w:rPr>
                <w:b/>
                <w:bCs/>
                <w:szCs w:val="24"/>
              </w:rPr>
              <w:t>(%)</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A73E7D" w14:textId="77777777" w:rsidR="00976487" w:rsidRPr="00687DE8" w:rsidRDefault="00976487">
            <w:pPr>
              <w:tabs>
                <w:tab w:val="decimal" w:pos="635"/>
              </w:tabs>
              <w:spacing w:after="0" w:line="240" w:lineRule="auto"/>
              <w:jc w:val="center"/>
              <w:rPr>
                <w:b/>
                <w:bCs/>
                <w:szCs w:val="24"/>
              </w:rPr>
            </w:pPr>
            <w:r w:rsidRPr="00687DE8">
              <w:rPr>
                <w:b/>
                <w:bCs/>
                <w:szCs w:val="24"/>
              </w:rPr>
              <w:t>Kindlustatud</w:t>
            </w:r>
            <w:r w:rsidRPr="00687DE8">
              <w:rPr>
                <w:szCs w:val="24"/>
              </w:rPr>
              <w:br/>
            </w:r>
            <w:r w:rsidRPr="00687DE8">
              <w:rPr>
                <w:b/>
                <w:bCs/>
                <w:szCs w:val="24"/>
              </w:rPr>
              <w:t>isiku</w:t>
            </w:r>
            <w:r w:rsidRPr="00687DE8">
              <w:rPr>
                <w:szCs w:val="24"/>
              </w:rPr>
              <w:br/>
            </w:r>
            <w:r w:rsidRPr="00687DE8">
              <w:rPr>
                <w:b/>
                <w:bCs/>
                <w:szCs w:val="24"/>
              </w:rPr>
              <w:t>omaosaluse</w:t>
            </w:r>
            <w:r w:rsidRPr="00687DE8">
              <w:rPr>
                <w:szCs w:val="24"/>
              </w:rPr>
              <w:br/>
            </w:r>
            <w:r w:rsidRPr="00687DE8">
              <w:rPr>
                <w:b/>
                <w:bCs/>
                <w:szCs w:val="24"/>
              </w:rPr>
              <w:t>määr</w:t>
            </w:r>
            <w:r w:rsidRPr="00687DE8">
              <w:rPr>
                <w:szCs w:val="24"/>
              </w:rPr>
              <w:br/>
            </w:r>
            <w:r w:rsidRPr="00687DE8">
              <w:rPr>
                <w:b/>
                <w:bCs/>
                <w:szCs w:val="24"/>
              </w:rPr>
              <w:t>(%)</w:t>
            </w:r>
          </w:p>
        </w:tc>
      </w:tr>
      <w:tr w:rsidR="005D4E95" w:rsidRPr="00687DE8" w14:paraId="26F63B74" w14:textId="77777777" w:rsidTr="00D30B8D">
        <w:trPr>
          <w:divId w:val="1316184749"/>
        </w:trPr>
        <w:tc>
          <w:tcPr>
            <w:tcW w:w="4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ED7C82" w14:textId="77777777" w:rsidR="005D4E95" w:rsidRPr="00687DE8" w:rsidRDefault="005D4E95" w:rsidP="005D4E95">
            <w:pPr>
              <w:spacing w:after="0" w:line="240" w:lineRule="auto"/>
              <w:rPr>
                <w:szCs w:val="24"/>
              </w:rPr>
            </w:pPr>
            <w:r w:rsidRPr="00687DE8">
              <w:rPr>
                <w:szCs w:val="24"/>
              </w:rPr>
              <w:t>Enteraalne toitmisravi boolusena</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FCE57B4" w14:textId="50287053" w:rsidR="005D4E95" w:rsidRPr="00687DE8" w:rsidRDefault="0063173D" w:rsidP="005D4E95">
            <w:pPr>
              <w:spacing w:after="0" w:line="240" w:lineRule="auto"/>
              <w:jc w:val="center"/>
            </w:pPr>
            <w:r w:rsidDel="00DD6A3C">
              <w:t>7037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074B03" w14:textId="54EB57F4" w:rsidR="005D4E95" w:rsidRPr="00687DE8" w:rsidRDefault="0057091B" w:rsidP="00D30B8D">
            <w:pPr>
              <w:tabs>
                <w:tab w:val="decimal" w:pos="635"/>
              </w:tabs>
              <w:spacing w:after="0" w:line="240" w:lineRule="auto"/>
              <w:jc w:val="center"/>
              <w:rPr>
                <w:szCs w:val="24"/>
              </w:rPr>
            </w:pPr>
            <w:r>
              <w:rPr>
                <w:color w:val="000000"/>
              </w:rPr>
              <w:t>14,10</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D59BE4" w14:textId="77777777" w:rsidR="005D4E95" w:rsidRPr="00687DE8" w:rsidRDefault="005D4E95" w:rsidP="005D4E95">
            <w:pPr>
              <w:tabs>
                <w:tab w:val="decimal" w:pos="635"/>
              </w:tabs>
              <w:spacing w:after="0" w:line="240" w:lineRule="auto"/>
              <w:jc w:val="center"/>
              <w:rPr>
                <w:szCs w:val="24"/>
              </w:rPr>
            </w:pPr>
            <w:r w:rsidRPr="00687DE8">
              <w:rPr>
                <w:szCs w:val="24"/>
              </w:rPr>
              <w:t>100</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CA3F96" w14:textId="77777777" w:rsidR="005D4E95" w:rsidRPr="00687DE8" w:rsidRDefault="005D4E95" w:rsidP="005D4E95">
            <w:pPr>
              <w:tabs>
                <w:tab w:val="decimal" w:pos="635"/>
              </w:tabs>
              <w:spacing w:after="0" w:line="240" w:lineRule="auto"/>
              <w:jc w:val="center"/>
              <w:rPr>
                <w:szCs w:val="24"/>
              </w:rPr>
            </w:pPr>
            <w:r w:rsidRPr="00687DE8">
              <w:rPr>
                <w:szCs w:val="24"/>
              </w:rPr>
              <w:t>0</w:t>
            </w:r>
          </w:p>
        </w:tc>
      </w:tr>
      <w:tr w:rsidR="005D4E95" w:rsidRPr="00687DE8" w14:paraId="7371C81D" w14:textId="77777777" w:rsidTr="00D30B8D">
        <w:trPr>
          <w:divId w:val="1316184749"/>
        </w:trPr>
        <w:tc>
          <w:tcPr>
            <w:tcW w:w="4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53A270" w14:textId="77777777" w:rsidR="005D4E95" w:rsidRPr="00687DE8" w:rsidRDefault="005D4E95" w:rsidP="005D4E95">
            <w:pPr>
              <w:spacing w:after="0" w:line="240" w:lineRule="auto"/>
              <w:rPr>
                <w:szCs w:val="24"/>
              </w:rPr>
            </w:pPr>
            <w:r w:rsidRPr="00687DE8">
              <w:rPr>
                <w:szCs w:val="24"/>
              </w:rPr>
              <w:t>Enteraalne toitmisravi püsiinfusioonina</w:t>
            </w:r>
          </w:p>
        </w:tc>
        <w:tc>
          <w:tcPr>
            <w:tcW w:w="99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68B7F99" w14:textId="5BB23C8B" w:rsidR="005D4E95" w:rsidRPr="00687DE8" w:rsidRDefault="005D4E95" w:rsidP="005D4E95">
            <w:pPr>
              <w:spacing w:after="0" w:line="240" w:lineRule="auto"/>
              <w:jc w:val="center"/>
            </w:pPr>
            <w:r w:rsidDel="00AF1680">
              <w:t>7038</w:t>
            </w:r>
          </w:p>
        </w:tc>
        <w:tc>
          <w:tcPr>
            <w:tcW w:w="99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AAF36A" w14:textId="639A04F4" w:rsidR="005D4E95" w:rsidRPr="00687DE8" w:rsidRDefault="0057091B" w:rsidP="00D30B8D">
            <w:pPr>
              <w:tabs>
                <w:tab w:val="decimal" w:pos="635"/>
              </w:tabs>
              <w:spacing w:after="0" w:line="240" w:lineRule="auto"/>
              <w:jc w:val="center"/>
              <w:rPr>
                <w:szCs w:val="24"/>
              </w:rPr>
            </w:pPr>
            <w:r>
              <w:rPr>
                <w:color w:val="000000"/>
              </w:rPr>
              <w:t>26,45</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48F362" w14:textId="77777777" w:rsidR="005D4E95" w:rsidRPr="00687DE8" w:rsidRDefault="005D4E95" w:rsidP="005D4E95">
            <w:pPr>
              <w:tabs>
                <w:tab w:val="decimal" w:pos="635"/>
              </w:tabs>
              <w:spacing w:after="0" w:line="240" w:lineRule="auto"/>
              <w:jc w:val="center"/>
              <w:rPr>
                <w:szCs w:val="24"/>
              </w:rPr>
            </w:pPr>
            <w:r w:rsidRPr="00687DE8">
              <w:rPr>
                <w:szCs w:val="24"/>
              </w:rPr>
              <w:t>100</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ADFA8C" w14:textId="77777777" w:rsidR="005D4E95" w:rsidRPr="00687DE8" w:rsidRDefault="005D4E95" w:rsidP="005D4E95">
            <w:pPr>
              <w:tabs>
                <w:tab w:val="decimal" w:pos="635"/>
              </w:tabs>
              <w:spacing w:after="0" w:line="240" w:lineRule="auto"/>
              <w:jc w:val="center"/>
              <w:rPr>
                <w:szCs w:val="24"/>
              </w:rPr>
            </w:pPr>
            <w:r w:rsidRPr="00687DE8">
              <w:rPr>
                <w:szCs w:val="24"/>
              </w:rPr>
              <w:t>0</w:t>
            </w:r>
          </w:p>
        </w:tc>
      </w:tr>
      <w:tr w:rsidR="005D4E95" w:rsidRPr="00687DE8" w14:paraId="59820330" w14:textId="77777777" w:rsidTr="00D30B8D">
        <w:trPr>
          <w:divId w:val="1316184749"/>
        </w:trPr>
        <w:tc>
          <w:tcPr>
            <w:tcW w:w="4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16F918" w14:textId="77777777" w:rsidR="005D4E95" w:rsidRPr="00687DE8" w:rsidRDefault="005D4E95" w:rsidP="005D4E95">
            <w:pPr>
              <w:spacing w:after="0" w:line="240" w:lineRule="auto"/>
              <w:rPr>
                <w:szCs w:val="24"/>
              </w:rPr>
            </w:pPr>
            <w:r w:rsidRPr="00687DE8">
              <w:rPr>
                <w:szCs w:val="24"/>
              </w:rPr>
              <w:t>Enteraalne toitelahus 1000 kcal (kodusel ravil)</w:t>
            </w:r>
          </w:p>
        </w:tc>
        <w:tc>
          <w:tcPr>
            <w:tcW w:w="99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bottom"/>
          </w:tcPr>
          <w:p w14:paraId="5867595D" w14:textId="1C9E3951" w:rsidR="005D4E95" w:rsidRPr="00687DE8" w:rsidRDefault="005D4E95" w:rsidP="005D4E95">
            <w:pPr>
              <w:spacing w:after="0" w:line="240" w:lineRule="auto"/>
              <w:jc w:val="center"/>
            </w:pPr>
            <w:r w:rsidDel="00AF1680">
              <w:t>7039</w:t>
            </w:r>
          </w:p>
        </w:tc>
        <w:tc>
          <w:tcPr>
            <w:tcW w:w="99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F04DE75" w14:textId="2FC16189" w:rsidR="005D4E95" w:rsidRPr="00687DE8" w:rsidRDefault="0057091B" w:rsidP="00D30B8D">
            <w:pPr>
              <w:tabs>
                <w:tab w:val="decimal" w:pos="635"/>
              </w:tabs>
              <w:spacing w:after="0" w:line="240" w:lineRule="auto"/>
              <w:jc w:val="center"/>
              <w:rPr>
                <w:szCs w:val="24"/>
              </w:rPr>
            </w:pPr>
            <w:r>
              <w:rPr>
                <w:color w:val="000000"/>
              </w:rPr>
              <w:t>3,65</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D6EF18" w14:textId="77777777" w:rsidR="005D4E95" w:rsidRPr="00687DE8" w:rsidRDefault="005D4E95" w:rsidP="005D4E95">
            <w:pPr>
              <w:tabs>
                <w:tab w:val="decimal" w:pos="635"/>
              </w:tabs>
              <w:spacing w:after="0" w:line="240" w:lineRule="auto"/>
              <w:jc w:val="center"/>
              <w:rPr>
                <w:szCs w:val="24"/>
              </w:rPr>
            </w:pPr>
          </w:p>
          <w:p w14:paraId="789F3538" w14:textId="77777777" w:rsidR="005D4E95" w:rsidRPr="00687DE8" w:rsidRDefault="005D4E95" w:rsidP="005D4E95">
            <w:pPr>
              <w:tabs>
                <w:tab w:val="decimal" w:pos="635"/>
              </w:tabs>
              <w:spacing w:after="0" w:line="240" w:lineRule="auto"/>
              <w:jc w:val="center"/>
              <w:rPr>
                <w:szCs w:val="24"/>
              </w:rPr>
            </w:pPr>
            <w:r w:rsidRPr="00687DE8">
              <w:rPr>
                <w:szCs w:val="24"/>
              </w:rPr>
              <w:t>50</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C9ACD1" w14:textId="77777777" w:rsidR="005D4E95" w:rsidRPr="00687DE8" w:rsidRDefault="005D4E95" w:rsidP="005D4E95">
            <w:pPr>
              <w:tabs>
                <w:tab w:val="decimal" w:pos="635"/>
              </w:tabs>
              <w:spacing w:after="0" w:line="240" w:lineRule="auto"/>
              <w:jc w:val="center"/>
              <w:rPr>
                <w:szCs w:val="24"/>
              </w:rPr>
            </w:pPr>
          </w:p>
          <w:p w14:paraId="69F790FC" w14:textId="77777777" w:rsidR="005D4E95" w:rsidRPr="00687DE8" w:rsidRDefault="005D4E95" w:rsidP="005D4E95">
            <w:pPr>
              <w:tabs>
                <w:tab w:val="decimal" w:pos="635"/>
              </w:tabs>
              <w:spacing w:after="0" w:line="240" w:lineRule="auto"/>
              <w:jc w:val="center"/>
              <w:rPr>
                <w:szCs w:val="24"/>
              </w:rPr>
            </w:pPr>
            <w:r w:rsidRPr="00687DE8">
              <w:rPr>
                <w:szCs w:val="24"/>
              </w:rPr>
              <w:t>50</w:t>
            </w:r>
          </w:p>
        </w:tc>
      </w:tr>
      <w:tr w:rsidR="005D4E95" w:rsidRPr="00687DE8" w14:paraId="2CC9DE97" w14:textId="77777777" w:rsidTr="00D30B8D">
        <w:trPr>
          <w:divId w:val="1316184749"/>
        </w:trPr>
        <w:tc>
          <w:tcPr>
            <w:tcW w:w="4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C13B00" w14:textId="77777777" w:rsidR="005D4E95" w:rsidRPr="00687DE8" w:rsidRDefault="005D4E95" w:rsidP="005D4E95">
            <w:pPr>
              <w:spacing w:after="0" w:line="240" w:lineRule="auto"/>
              <w:rPr>
                <w:szCs w:val="24"/>
              </w:rPr>
            </w:pPr>
            <w:r w:rsidRPr="00687DE8">
              <w:rPr>
                <w:szCs w:val="24"/>
              </w:rPr>
              <w:t>Enteraalne toitelahus 1000 kcal (statsionaarsel ravil)</w:t>
            </w:r>
          </w:p>
        </w:tc>
        <w:tc>
          <w:tcPr>
            <w:tcW w:w="99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bottom"/>
          </w:tcPr>
          <w:p w14:paraId="2384618A" w14:textId="2C0F97F5" w:rsidR="005D4E95" w:rsidRPr="00687DE8" w:rsidRDefault="005D4E95" w:rsidP="005D4E95">
            <w:pPr>
              <w:spacing w:after="0" w:line="240" w:lineRule="auto"/>
              <w:jc w:val="center"/>
            </w:pPr>
            <w:r w:rsidDel="00AF1680">
              <w:t>7029</w:t>
            </w:r>
          </w:p>
        </w:tc>
        <w:tc>
          <w:tcPr>
            <w:tcW w:w="99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D845B4D" w14:textId="28C0B632" w:rsidR="005D4E95" w:rsidRPr="00687DE8" w:rsidRDefault="0057091B" w:rsidP="00D30B8D">
            <w:pPr>
              <w:tabs>
                <w:tab w:val="decimal" w:pos="635"/>
              </w:tabs>
              <w:spacing w:after="0" w:line="240" w:lineRule="auto"/>
              <w:jc w:val="center"/>
              <w:rPr>
                <w:szCs w:val="24"/>
              </w:rPr>
            </w:pPr>
            <w:r>
              <w:rPr>
                <w:color w:val="000000"/>
              </w:rPr>
              <w:t>1,11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AF7DC1" w14:textId="77777777" w:rsidR="005D4E95" w:rsidRPr="00687DE8" w:rsidRDefault="005D4E95" w:rsidP="005D4E95">
            <w:pPr>
              <w:tabs>
                <w:tab w:val="decimal" w:pos="635"/>
              </w:tabs>
              <w:spacing w:after="0" w:line="240" w:lineRule="auto"/>
              <w:jc w:val="center"/>
              <w:rPr>
                <w:szCs w:val="24"/>
              </w:rPr>
            </w:pPr>
          </w:p>
          <w:p w14:paraId="2C78146E" w14:textId="77777777" w:rsidR="005D4E95" w:rsidRPr="00687DE8" w:rsidRDefault="005D4E95" w:rsidP="005D4E95">
            <w:pPr>
              <w:tabs>
                <w:tab w:val="decimal" w:pos="635"/>
              </w:tabs>
              <w:spacing w:after="0" w:line="240" w:lineRule="auto"/>
              <w:jc w:val="center"/>
              <w:rPr>
                <w:szCs w:val="24"/>
              </w:rPr>
            </w:pPr>
            <w:r w:rsidRPr="00687DE8">
              <w:rPr>
                <w:szCs w:val="24"/>
              </w:rPr>
              <w:t>100</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B48619" w14:textId="77777777" w:rsidR="005D4E95" w:rsidRPr="00687DE8" w:rsidRDefault="005D4E95" w:rsidP="005D4E95">
            <w:pPr>
              <w:tabs>
                <w:tab w:val="decimal" w:pos="635"/>
              </w:tabs>
              <w:spacing w:after="0" w:line="240" w:lineRule="auto"/>
              <w:jc w:val="center"/>
              <w:rPr>
                <w:szCs w:val="24"/>
              </w:rPr>
            </w:pPr>
          </w:p>
          <w:p w14:paraId="49892128" w14:textId="77777777" w:rsidR="005D4E95" w:rsidRPr="00687DE8" w:rsidRDefault="005D4E95" w:rsidP="005D4E95">
            <w:pPr>
              <w:tabs>
                <w:tab w:val="decimal" w:pos="635"/>
              </w:tabs>
              <w:spacing w:after="0" w:line="240" w:lineRule="auto"/>
              <w:jc w:val="center"/>
              <w:rPr>
                <w:szCs w:val="24"/>
              </w:rPr>
            </w:pPr>
            <w:r w:rsidRPr="00687DE8">
              <w:rPr>
                <w:szCs w:val="24"/>
              </w:rPr>
              <w:t>0</w:t>
            </w:r>
          </w:p>
        </w:tc>
      </w:tr>
    </w:tbl>
    <w:p w14:paraId="576CFF46" w14:textId="77777777" w:rsidR="00976487" w:rsidRPr="00687DE8" w:rsidRDefault="00976487" w:rsidP="00976487">
      <w:pPr>
        <w:spacing w:after="0" w:line="240" w:lineRule="auto"/>
        <w:jc w:val="both"/>
        <w:divId w:val="1316184749"/>
        <w:rPr>
          <w:color w:val="000000" w:themeColor="text1"/>
          <w:szCs w:val="24"/>
        </w:rPr>
      </w:pPr>
    </w:p>
    <w:p w14:paraId="0B8A1805" w14:textId="0A2BF7C8" w:rsidR="00976487" w:rsidRPr="00687DE8" w:rsidRDefault="00976487" w:rsidP="00976487">
      <w:pPr>
        <w:spacing w:after="0" w:line="240" w:lineRule="auto"/>
        <w:jc w:val="both"/>
        <w:divId w:val="1316184749"/>
        <w:rPr>
          <w:szCs w:val="24"/>
        </w:rPr>
      </w:pPr>
      <w:r w:rsidRPr="00687DE8">
        <w:rPr>
          <w:color w:val="000000" w:themeColor="text1"/>
          <w:szCs w:val="24"/>
        </w:rPr>
        <w:t xml:space="preserve">(8) </w:t>
      </w:r>
      <w:r w:rsidR="005023FD" w:rsidRPr="00687DE8">
        <w:rPr>
          <w:color w:val="000000" w:themeColor="text1"/>
          <w:szCs w:val="24"/>
        </w:rPr>
        <w:t>Tervisekassa</w:t>
      </w:r>
      <w:r w:rsidRPr="00687DE8">
        <w:rPr>
          <w:color w:val="000000" w:themeColor="text1"/>
          <w:szCs w:val="24"/>
        </w:rPr>
        <w:t xml:space="preserve"> võtab </w:t>
      </w:r>
      <w:r w:rsidR="00DB6A78">
        <w:rPr>
          <w:color w:val="000000" w:themeColor="text1"/>
          <w:szCs w:val="24"/>
        </w:rPr>
        <w:t>lõikes 7 nimetatud</w:t>
      </w:r>
      <w:r w:rsidRPr="00687DE8">
        <w:rPr>
          <w:color w:val="000000" w:themeColor="text1"/>
          <w:szCs w:val="24"/>
        </w:rPr>
        <w:t xml:space="preserve"> tervishoiuteenuste eest tasu maksmise kohustuse üle, kui patsiendile on näidustatud toitelahuse manustamine sondi või stoomi kaudu, kuna suukaudsel tavatoidu söömisel pole tal võimalik saavutada vajadustele vastavat toitainete pakkumist ja/või toitainete omastamist järgmiste seisundite tõttu:</w:t>
      </w:r>
    </w:p>
    <w:p w14:paraId="4BC82765" w14:textId="77777777" w:rsidR="00976487" w:rsidRPr="00687DE8" w:rsidRDefault="00976487" w:rsidP="0067547B">
      <w:pPr>
        <w:pStyle w:val="Vahedeta"/>
        <w:divId w:val="1316184749"/>
        <w:rPr>
          <w:szCs w:val="24"/>
          <w:lang w:val="et-EE"/>
        </w:rPr>
      </w:pPr>
      <w:r w:rsidRPr="00687DE8">
        <w:rPr>
          <w:szCs w:val="24"/>
          <w:lang w:val="et-EE"/>
        </w:rPr>
        <w:t xml:space="preserve">1) pahaloomulise kasvajalise haigusega kaasnev </w:t>
      </w:r>
      <w:r w:rsidR="008E7B4B" w:rsidRPr="00687DE8">
        <w:rPr>
          <w:szCs w:val="24"/>
          <w:lang w:val="et-EE"/>
        </w:rPr>
        <w:t xml:space="preserve">neelamishäire või </w:t>
      </w:r>
      <w:r w:rsidRPr="00687DE8">
        <w:rPr>
          <w:szCs w:val="24"/>
          <w:lang w:val="et-EE"/>
        </w:rPr>
        <w:t>alatoitumus</w:t>
      </w:r>
      <w:r w:rsidR="006D24DD" w:rsidRPr="00687DE8">
        <w:rPr>
          <w:szCs w:val="24"/>
          <w:lang w:val="et-EE"/>
        </w:rPr>
        <w:t>risk</w:t>
      </w:r>
      <w:r w:rsidRPr="00687DE8">
        <w:rPr>
          <w:szCs w:val="24"/>
          <w:lang w:val="et-EE"/>
        </w:rPr>
        <w:t>;</w:t>
      </w:r>
    </w:p>
    <w:p w14:paraId="589C34A4" w14:textId="77777777" w:rsidR="00976487" w:rsidRPr="00687DE8" w:rsidRDefault="00976487" w:rsidP="0067547B">
      <w:pPr>
        <w:pStyle w:val="Vahedeta"/>
        <w:divId w:val="1316184749"/>
        <w:rPr>
          <w:szCs w:val="24"/>
          <w:lang w:val="et-EE"/>
        </w:rPr>
      </w:pPr>
      <w:r w:rsidRPr="00687DE8">
        <w:rPr>
          <w:szCs w:val="24"/>
          <w:lang w:val="et-EE"/>
        </w:rPr>
        <w:t>2) neelamishäired lihas- ja/või närvisüsteemi haiguse või kahjustuse korral;</w:t>
      </w:r>
    </w:p>
    <w:p w14:paraId="7B9C6771" w14:textId="77777777" w:rsidR="00976487" w:rsidRPr="00687DE8" w:rsidRDefault="00976487" w:rsidP="0067547B">
      <w:pPr>
        <w:pStyle w:val="Vahedeta"/>
        <w:divId w:val="1316184749"/>
        <w:rPr>
          <w:szCs w:val="24"/>
          <w:lang w:val="et-EE"/>
        </w:rPr>
      </w:pPr>
      <w:r w:rsidRPr="00687DE8">
        <w:rPr>
          <w:szCs w:val="24"/>
          <w:lang w:val="et-EE"/>
        </w:rPr>
        <w:t>3) imendumishäirega seedetrakti haigus, väärarend või kahjustus;</w:t>
      </w:r>
    </w:p>
    <w:p w14:paraId="3A396186" w14:textId="77777777" w:rsidR="00976487" w:rsidRPr="00687DE8" w:rsidRDefault="00976487" w:rsidP="0067547B">
      <w:pPr>
        <w:pStyle w:val="Vahedeta"/>
        <w:divId w:val="1316184749"/>
        <w:rPr>
          <w:color w:val="000000" w:themeColor="text1"/>
          <w:szCs w:val="24"/>
          <w:lang w:val="et-EE"/>
        </w:rPr>
      </w:pPr>
      <w:r w:rsidRPr="00687DE8">
        <w:rPr>
          <w:szCs w:val="24"/>
          <w:lang w:val="et-EE"/>
        </w:rPr>
        <w:t>4) kaasasündinud ainevahetushäire või ebaselge kasvupeetus.</w:t>
      </w:r>
      <w:r w:rsidRPr="00687DE8">
        <w:rPr>
          <w:color w:val="000000" w:themeColor="text1"/>
          <w:szCs w:val="24"/>
          <w:lang w:val="et-EE"/>
        </w:rPr>
        <w:t xml:space="preserve"> </w:t>
      </w:r>
    </w:p>
    <w:p w14:paraId="465F14BE" w14:textId="77777777" w:rsidR="00094C14" w:rsidRPr="00687DE8" w:rsidRDefault="00094C14" w:rsidP="0067547B">
      <w:pPr>
        <w:pStyle w:val="Vahedeta"/>
        <w:divId w:val="1316184749"/>
        <w:rPr>
          <w:color w:val="000000" w:themeColor="text1"/>
          <w:szCs w:val="24"/>
          <w:lang w:val="et-EE"/>
        </w:rPr>
      </w:pPr>
    </w:p>
    <w:p w14:paraId="7DF21173" w14:textId="3BE44640" w:rsidR="00583DF9" w:rsidRDefault="00334CBB" w:rsidP="00334CBB">
      <w:pPr>
        <w:pStyle w:val="Vahedeta"/>
        <w:jc w:val="both"/>
        <w:divId w:val="1316184749"/>
        <w:rPr>
          <w:color w:val="000000" w:themeColor="text1"/>
          <w:lang w:val="et-EE"/>
        </w:rPr>
      </w:pPr>
      <w:r w:rsidRPr="3749B0B3">
        <w:rPr>
          <w:color w:val="000000" w:themeColor="text1"/>
          <w:lang w:val="et-EE"/>
        </w:rPr>
        <w:t xml:space="preserve">(9) </w:t>
      </w:r>
      <w:r w:rsidR="002E681A" w:rsidRPr="3749B0B3">
        <w:rPr>
          <w:color w:val="000000" w:themeColor="text1"/>
          <w:lang w:val="et-EE"/>
        </w:rPr>
        <w:t>Lõikes 7 nimetatud</w:t>
      </w:r>
      <w:r w:rsidRPr="3749B0B3">
        <w:rPr>
          <w:color w:val="000000" w:themeColor="text1"/>
          <w:lang w:val="et-EE"/>
        </w:rPr>
        <w:t xml:space="preserve"> tervishoiuteenuseid rakendatakse juhul,</w:t>
      </w:r>
      <w:r w:rsidRPr="00813151">
        <w:rPr>
          <w:lang w:val="et-EE"/>
        </w:rPr>
        <w:t xml:space="preserve"> </w:t>
      </w:r>
      <w:r w:rsidRPr="3749B0B3">
        <w:rPr>
          <w:color w:val="000000" w:themeColor="text1"/>
          <w:lang w:val="et-EE"/>
        </w:rPr>
        <w:t xml:space="preserve">kui </w:t>
      </w:r>
      <w:r w:rsidR="00102FFE" w:rsidRPr="3749B0B3">
        <w:rPr>
          <w:color w:val="000000" w:themeColor="text1"/>
          <w:lang w:val="et-EE"/>
        </w:rPr>
        <w:t>teenuse osutamisel järgitakse ravikindlustuse seaduse § 32 alusel kehtestatud määruse lisas sätestatud toitmisravi teenuse kvaliteedi kriteeriume</w:t>
      </w:r>
      <w:r w:rsidR="00102FFE" w:rsidRPr="3749B0B3" w:rsidDel="00E71B12">
        <w:rPr>
          <w:color w:val="000000" w:themeColor="text1"/>
          <w:lang w:val="et-EE"/>
        </w:rPr>
        <w:t xml:space="preserve"> </w:t>
      </w:r>
      <w:r w:rsidR="73CE230B" w:rsidRPr="3749B0B3">
        <w:rPr>
          <w:color w:val="000000" w:themeColor="text1"/>
          <w:lang w:val="et-EE"/>
        </w:rPr>
        <w:t>ning</w:t>
      </w:r>
      <w:r w:rsidR="008A212E" w:rsidRPr="3749B0B3">
        <w:rPr>
          <w:color w:val="000000" w:themeColor="text1"/>
          <w:lang w:val="et-EE"/>
        </w:rPr>
        <w:t>:</w:t>
      </w:r>
      <w:r w:rsidR="00102FFE" w:rsidRPr="3749B0B3">
        <w:rPr>
          <w:color w:val="000000" w:themeColor="text1"/>
          <w:lang w:val="et-EE"/>
        </w:rPr>
        <w:t xml:space="preserve"> </w:t>
      </w:r>
    </w:p>
    <w:p w14:paraId="48AB864E" w14:textId="301B4702" w:rsidR="00334CBB" w:rsidRPr="00687DE8" w:rsidRDefault="00583DF9" w:rsidP="00334CBB">
      <w:pPr>
        <w:pStyle w:val="Vahedeta"/>
        <w:jc w:val="both"/>
        <w:divId w:val="1316184749"/>
        <w:rPr>
          <w:color w:val="000000" w:themeColor="text1"/>
          <w:lang w:val="et-EE"/>
        </w:rPr>
      </w:pPr>
      <w:r w:rsidRPr="3749B0B3">
        <w:rPr>
          <w:color w:val="000000" w:themeColor="text1"/>
          <w:lang w:val="et-EE"/>
        </w:rPr>
        <w:t xml:space="preserve">1) </w:t>
      </w:r>
      <w:r w:rsidR="007952E3" w:rsidRPr="3749B0B3">
        <w:rPr>
          <w:color w:val="000000" w:themeColor="text1"/>
          <w:lang w:val="et-EE"/>
        </w:rPr>
        <w:t>koodiga 7039</w:t>
      </w:r>
      <w:r w:rsidR="007F3043" w:rsidRPr="3749B0B3">
        <w:rPr>
          <w:color w:val="000000" w:themeColor="text1"/>
          <w:lang w:val="et-EE"/>
        </w:rPr>
        <w:t xml:space="preserve"> tähistatud tervishoiuteenuse </w:t>
      </w:r>
      <w:r w:rsidR="6FB9B738" w:rsidRPr="3749B0B3">
        <w:rPr>
          <w:color w:val="000000" w:themeColor="text1"/>
          <w:lang w:val="et-EE"/>
        </w:rPr>
        <w:t>puhul</w:t>
      </w:r>
      <w:r w:rsidR="007F3043" w:rsidRPr="3749B0B3">
        <w:rPr>
          <w:color w:val="000000" w:themeColor="text1"/>
          <w:lang w:val="et-EE"/>
        </w:rPr>
        <w:t xml:space="preserve"> on</w:t>
      </w:r>
      <w:r w:rsidRPr="3749B0B3">
        <w:rPr>
          <w:color w:val="000000" w:themeColor="text1"/>
          <w:lang w:val="et-EE"/>
        </w:rPr>
        <w:t xml:space="preserve"> </w:t>
      </w:r>
      <w:r w:rsidR="2117D8D2" w:rsidRPr="3749B0B3">
        <w:rPr>
          <w:color w:val="000000" w:themeColor="text1"/>
          <w:lang w:val="et-EE"/>
        </w:rPr>
        <w:t>ravi</w:t>
      </w:r>
      <w:r w:rsidR="73DE343F" w:rsidRPr="3749B0B3">
        <w:rPr>
          <w:color w:val="000000" w:themeColor="text1"/>
          <w:lang w:val="et-EE"/>
        </w:rPr>
        <w:t xml:space="preserve"> alustamise </w:t>
      </w:r>
      <w:r w:rsidR="2117D8D2" w:rsidRPr="3749B0B3">
        <w:rPr>
          <w:color w:val="000000" w:themeColor="text1"/>
          <w:lang w:val="et-EE"/>
        </w:rPr>
        <w:t>otsuse</w:t>
      </w:r>
      <w:r w:rsidR="00DF75FE" w:rsidRPr="3749B0B3" w:rsidDel="00524966">
        <w:rPr>
          <w:color w:val="000000" w:themeColor="text1"/>
          <w:lang w:val="et-EE"/>
        </w:rPr>
        <w:t xml:space="preserve"> </w:t>
      </w:r>
      <w:r w:rsidR="00DF75FE" w:rsidRPr="3749B0B3" w:rsidDel="008C122D">
        <w:rPr>
          <w:color w:val="000000" w:themeColor="text1"/>
          <w:lang w:val="et-EE"/>
        </w:rPr>
        <w:t>teinud</w:t>
      </w:r>
      <w:r w:rsidR="00DF75FE" w:rsidRPr="3749B0B3">
        <w:rPr>
          <w:color w:val="000000" w:themeColor="text1"/>
          <w:lang w:val="et-EE"/>
        </w:rPr>
        <w:t xml:space="preserve"> vähemalt üks toitmisravi täiendkoolituse </w:t>
      </w:r>
      <w:r w:rsidR="0098661A" w:rsidRPr="3749B0B3">
        <w:rPr>
          <w:color w:val="000000" w:themeColor="text1"/>
          <w:lang w:val="et-EE"/>
        </w:rPr>
        <w:t xml:space="preserve">kehtivat </w:t>
      </w:r>
      <w:r w:rsidR="00DF75FE" w:rsidRPr="3749B0B3">
        <w:rPr>
          <w:color w:val="000000" w:themeColor="text1"/>
          <w:lang w:val="et-EE"/>
        </w:rPr>
        <w:t>sertifikaati omav spetsialist ja vähemalt üks arst</w:t>
      </w:r>
      <w:r w:rsidR="002D4846" w:rsidRPr="3749B0B3">
        <w:rPr>
          <w:color w:val="000000" w:themeColor="text1"/>
          <w:lang w:val="et-EE"/>
        </w:rPr>
        <w:t>;</w:t>
      </w:r>
    </w:p>
    <w:p w14:paraId="774C2A89" w14:textId="26410998" w:rsidR="00753138" w:rsidRPr="00687DE8" w:rsidRDefault="00583DF9" w:rsidP="0067547B">
      <w:pPr>
        <w:pStyle w:val="Vahedeta"/>
        <w:divId w:val="1316184749"/>
        <w:rPr>
          <w:color w:val="000000" w:themeColor="text1"/>
          <w:szCs w:val="24"/>
          <w:lang w:val="et-EE"/>
        </w:rPr>
      </w:pPr>
      <w:r w:rsidRPr="3749B0B3">
        <w:rPr>
          <w:color w:val="000000" w:themeColor="text1"/>
          <w:lang w:val="et-EE"/>
        </w:rPr>
        <w:t>2)</w:t>
      </w:r>
      <w:r w:rsidR="00AC2A08" w:rsidRPr="3749B0B3">
        <w:rPr>
          <w:color w:val="000000" w:themeColor="text1"/>
          <w:lang w:val="et-EE"/>
        </w:rPr>
        <w:t xml:space="preserve"> </w:t>
      </w:r>
      <w:r w:rsidR="007D614C" w:rsidRPr="3749B0B3">
        <w:rPr>
          <w:color w:val="000000" w:themeColor="text1"/>
          <w:lang w:val="et-EE"/>
        </w:rPr>
        <w:t>koodidega 7037,</w:t>
      </w:r>
      <w:r w:rsidR="008F3283" w:rsidRPr="3749B0B3">
        <w:rPr>
          <w:color w:val="000000" w:themeColor="text1"/>
          <w:lang w:val="et-EE"/>
        </w:rPr>
        <w:t xml:space="preserve"> </w:t>
      </w:r>
      <w:r w:rsidR="007D614C" w:rsidRPr="3749B0B3">
        <w:rPr>
          <w:color w:val="000000" w:themeColor="text1"/>
          <w:lang w:val="et-EE"/>
        </w:rPr>
        <w:t xml:space="preserve">7038 ja 7029 </w:t>
      </w:r>
      <w:r w:rsidR="00E41A1A" w:rsidRPr="3749B0B3">
        <w:rPr>
          <w:color w:val="000000" w:themeColor="text1"/>
          <w:lang w:val="et-EE"/>
        </w:rPr>
        <w:t xml:space="preserve">tähistatud tervishoiuteenuste </w:t>
      </w:r>
      <w:r w:rsidR="23C43CC4" w:rsidRPr="3749B0B3">
        <w:rPr>
          <w:color w:val="000000" w:themeColor="text1"/>
          <w:lang w:val="et-EE"/>
        </w:rPr>
        <w:t>puhul</w:t>
      </w:r>
      <w:r w:rsidR="060A1F8B" w:rsidRPr="3749B0B3">
        <w:rPr>
          <w:color w:val="000000" w:themeColor="text1"/>
          <w:lang w:val="et-EE"/>
        </w:rPr>
        <w:t xml:space="preserve"> on </w:t>
      </w:r>
      <w:r w:rsidR="729D41F8" w:rsidRPr="3749B0B3">
        <w:rPr>
          <w:color w:val="000000" w:themeColor="text1"/>
          <w:lang w:val="et-EE"/>
        </w:rPr>
        <w:t>ravi alustamise otsuse</w:t>
      </w:r>
      <w:r w:rsidR="00B817E7" w:rsidRPr="3749B0B3">
        <w:rPr>
          <w:color w:val="000000" w:themeColor="text1"/>
          <w:lang w:val="et-EE"/>
        </w:rPr>
        <w:t xml:space="preserve"> teinud raviarst </w:t>
      </w:r>
      <w:r w:rsidR="00AD13E3" w:rsidRPr="3749B0B3">
        <w:rPr>
          <w:color w:val="000000" w:themeColor="text1"/>
          <w:lang w:val="et-EE"/>
        </w:rPr>
        <w:t xml:space="preserve">ning hiljemalt </w:t>
      </w:r>
      <w:r w:rsidR="006F3C81" w:rsidRPr="3749B0B3">
        <w:rPr>
          <w:color w:val="000000" w:themeColor="text1"/>
          <w:lang w:val="et-EE"/>
        </w:rPr>
        <w:t xml:space="preserve">seitsmendaks </w:t>
      </w:r>
      <w:r w:rsidR="00692085" w:rsidRPr="3749B0B3">
        <w:rPr>
          <w:color w:val="000000" w:themeColor="text1"/>
          <w:lang w:val="et-EE"/>
        </w:rPr>
        <w:t>ravi</w:t>
      </w:r>
      <w:r w:rsidR="00AD13E3" w:rsidRPr="3749B0B3">
        <w:rPr>
          <w:color w:val="000000" w:themeColor="text1"/>
          <w:lang w:val="et-EE"/>
        </w:rPr>
        <w:t>päeva</w:t>
      </w:r>
      <w:r w:rsidR="00692085" w:rsidRPr="3749B0B3">
        <w:rPr>
          <w:color w:val="000000" w:themeColor="text1"/>
          <w:lang w:val="et-EE"/>
        </w:rPr>
        <w:t>ks</w:t>
      </w:r>
      <w:r w:rsidR="007642C5" w:rsidRPr="3749B0B3" w:rsidDel="008F3283">
        <w:rPr>
          <w:color w:val="000000" w:themeColor="text1"/>
          <w:lang w:val="et-EE"/>
        </w:rPr>
        <w:t xml:space="preserve"> </w:t>
      </w:r>
      <w:r w:rsidR="007642C5" w:rsidRPr="3749B0B3">
        <w:rPr>
          <w:color w:val="000000" w:themeColor="text1"/>
          <w:lang w:val="et-EE"/>
        </w:rPr>
        <w:t xml:space="preserve">on individuaalse raviplaani </w:t>
      </w:r>
      <w:r w:rsidR="000C3DAC" w:rsidRPr="3749B0B3">
        <w:rPr>
          <w:color w:val="000000" w:themeColor="text1"/>
          <w:lang w:val="et-EE"/>
        </w:rPr>
        <w:t xml:space="preserve">koostanud vähemalt üks </w:t>
      </w:r>
      <w:r w:rsidR="005A0E5D" w:rsidRPr="3749B0B3">
        <w:rPr>
          <w:color w:val="000000" w:themeColor="text1"/>
          <w:lang w:val="et-EE"/>
        </w:rPr>
        <w:t>toitmisravi täiendkoolituse</w:t>
      </w:r>
      <w:r w:rsidR="003B24F6" w:rsidRPr="3749B0B3">
        <w:rPr>
          <w:color w:val="000000" w:themeColor="text1"/>
          <w:lang w:val="et-EE"/>
        </w:rPr>
        <w:t xml:space="preserve"> kehtivat sertifikaati omav spetsialist</w:t>
      </w:r>
      <w:r w:rsidR="00F062A4" w:rsidRPr="3749B0B3">
        <w:rPr>
          <w:color w:val="000000" w:themeColor="text1"/>
          <w:lang w:val="et-EE"/>
        </w:rPr>
        <w:t xml:space="preserve"> ja vähemalt üks arst</w:t>
      </w:r>
      <w:r w:rsidR="00521D87" w:rsidRPr="3749B0B3">
        <w:rPr>
          <w:color w:val="000000" w:themeColor="text1"/>
          <w:lang w:val="et-EE"/>
        </w:rPr>
        <w:t>.</w:t>
      </w:r>
    </w:p>
    <w:p w14:paraId="0E6F6BF8" w14:textId="77777777" w:rsidR="00517826" w:rsidRDefault="00517826" w:rsidP="00753138">
      <w:pPr>
        <w:spacing w:after="0" w:line="240" w:lineRule="auto"/>
        <w:jc w:val="both"/>
        <w:divId w:val="1316184749"/>
        <w:rPr>
          <w:color w:val="000000" w:themeColor="text1"/>
          <w:szCs w:val="24"/>
        </w:rPr>
      </w:pPr>
    </w:p>
    <w:p w14:paraId="4008BF8F" w14:textId="0A342B57" w:rsidR="00753138" w:rsidRPr="00687DE8" w:rsidRDefault="00753138" w:rsidP="00753138">
      <w:pPr>
        <w:spacing w:after="0" w:line="240" w:lineRule="auto"/>
        <w:jc w:val="both"/>
        <w:divId w:val="1316184749"/>
        <w:rPr>
          <w:color w:val="000000" w:themeColor="text1"/>
          <w:szCs w:val="24"/>
        </w:rPr>
      </w:pPr>
      <w:r w:rsidRPr="00687DE8">
        <w:rPr>
          <w:color w:val="000000" w:themeColor="text1"/>
          <w:szCs w:val="24"/>
        </w:rPr>
        <w:t>(10) Koodidega 7037 ja 7038 tähistatud tervishoiuteenused sisaldavad enteraalseks toitmis</w:t>
      </w:r>
      <w:r w:rsidR="00C1565F" w:rsidRPr="00687DE8">
        <w:rPr>
          <w:color w:val="000000" w:themeColor="text1"/>
          <w:szCs w:val="24"/>
        </w:rPr>
        <w:t>ravi</w:t>
      </w:r>
      <w:r w:rsidRPr="00687DE8">
        <w:rPr>
          <w:color w:val="000000" w:themeColor="text1"/>
          <w:szCs w:val="24"/>
        </w:rPr>
        <w:t>ks vajalike ühekordsete tarvikute kulu, patsiendi halduse kulu ning toitesegude</w:t>
      </w:r>
      <w:r w:rsidR="001109F0">
        <w:rPr>
          <w:color w:val="000000" w:themeColor="text1"/>
          <w:szCs w:val="24"/>
        </w:rPr>
        <w:t>, seadme</w:t>
      </w:r>
      <w:r w:rsidR="00785EAC">
        <w:rPr>
          <w:color w:val="000000" w:themeColor="text1"/>
          <w:szCs w:val="24"/>
        </w:rPr>
        <w:t>te</w:t>
      </w:r>
      <w:r w:rsidRPr="00687DE8">
        <w:rPr>
          <w:color w:val="000000" w:themeColor="text1"/>
          <w:szCs w:val="24"/>
        </w:rPr>
        <w:t xml:space="preserve"> ja tarvikute kohaletoimetamise kulu </w:t>
      </w:r>
      <w:r w:rsidR="004F1AD8" w:rsidRPr="00687DE8">
        <w:rPr>
          <w:color w:val="000000" w:themeColor="text1"/>
          <w:szCs w:val="24"/>
        </w:rPr>
        <w:t xml:space="preserve">ühe </w:t>
      </w:r>
      <w:r w:rsidRPr="00687DE8">
        <w:rPr>
          <w:color w:val="000000" w:themeColor="text1"/>
          <w:szCs w:val="24"/>
        </w:rPr>
        <w:t xml:space="preserve">ravipäeva kohta. </w:t>
      </w:r>
    </w:p>
    <w:p w14:paraId="2AA9991B" w14:textId="00E21395" w:rsidR="00753138" w:rsidRPr="00687DE8" w:rsidRDefault="00753138" w:rsidP="00753138">
      <w:pPr>
        <w:spacing w:after="0" w:line="240" w:lineRule="auto"/>
        <w:jc w:val="both"/>
        <w:divId w:val="1316184749"/>
        <w:rPr>
          <w:color w:val="000000" w:themeColor="text1"/>
          <w:szCs w:val="24"/>
        </w:rPr>
      </w:pPr>
    </w:p>
    <w:p w14:paraId="47637793" w14:textId="5ED8B42C" w:rsidR="00753138" w:rsidRPr="00687DE8" w:rsidRDefault="00753138" w:rsidP="00753138">
      <w:pPr>
        <w:spacing w:after="0" w:line="240" w:lineRule="auto"/>
        <w:jc w:val="both"/>
        <w:divId w:val="1316184749"/>
        <w:rPr>
          <w:color w:val="000000" w:themeColor="text1"/>
          <w:szCs w:val="24"/>
        </w:rPr>
      </w:pPr>
      <w:r w:rsidRPr="00687DE8">
        <w:rPr>
          <w:color w:val="000000" w:themeColor="text1"/>
          <w:szCs w:val="24"/>
        </w:rPr>
        <w:lastRenderedPageBreak/>
        <w:t>(11) Koodiga 7038 tähistatud tervishoiuteenust rakendatakse ravipäeva kohta juhul, kui enteraalsel toitmisel kasutatakse püsiinfusiooni pumpa.</w:t>
      </w:r>
    </w:p>
    <w:p w14:paraId="4DEF2947" w14:textId="77777777" w:rsidR="00753138" w:rsidRPr="00687DE8" w:rsidRDefault="00753138" w:rsidP="00753138">
      <w:pPr>
        <w:spacing w:after="0" w:line="240" w:lineRule="auto"/>
        <w:jc w:val="both"/>
        <w:divId w:val="1316184749"/>
        <w:rPr>
          <w:color w:val="000000" w:themeColor="text1"/>
          <w:szCs w:val="24"/>
        </w:rPr>
      </w:pPr>
    </w:p>
    <w:p w14:paraId="6B0F71B1" w14:textId="77777777" w:rsidR="00753138" w:rsidRPr="00687DE8" w:rsidRDefault="00753138" w:rsidP="00753138">
      <w:pPr>
        <w:spacing w:after="0" w:line="240" w:lineRule="auto"/>
        <w:jc w:val="both"/>
        <w:divId w:val="1316184749"/>
        <w:rPr>
          <w:color w:val="000000" w:themeColor="text1"/>
          <w:szCs w:val="24"/>
        </w:rPr>
      </w:pPr>
      <w:r w:rsidRPr="00687DE8">
        <w:rPr>
          <w:color w:val="000000" w:themeColor="text1"/>
          <w:szCs w:val="24"/>
        </w:rPr>
        <w:t>(12) Koodiga 7037 tähistatud tervishoiuteenuse osutamisel statsionaarsel ravil viibivale patsiendile rakendatakse tasumisel koefitsienti 0,9.</w:t>
      </w:r>
    </w:p>
    <w:p w14:paraId="4A897887" w14:textId="77777777" w:rsidR="00753138" w:rsidRPr="00687DE8" w:rsidRDefault="00753138" w:rsidP="00753138">
      <w:pPr>
        <w:spacing w:after="0" w:line="240" w:lineRule="auto"/>
        <w:jc w:val="both"/>
        <w:divId w:val="1316184749"/>
        <w:rPr>
          <w:color w:val="000000" w:themeColor="text1"/>
          <w:szCs w:val="24"/>
        </w:rPr>
      </w:pPr>
    </w:p>
    <w:p w14:paraId="16E1BC2C" w14:textId="77777777" w:rsidR="00753138" w:rsidRPr="00687DE8" w:rsidRDefault="00753138" w:rsidP="00753138">
      <w:pPr>
        <w:spacing w:after="0" w:line="240" w:lineRule="auto"/>
        <w:jc w:val="both"/>
        <w:divId w:val="1316184749"/>
        <w:rPr>
          <w:color w:val="000000" w:themeColor="text1"/>
          <w:szCs w:val="24"/>
        </w:rPr>
      </w:pPr>
      <w:r w:rsidRPr="00687DE8">
        <w:rPr>
          <w:color w:val="000000" w:themeColor="text1"/>
          <w:szCs w:val="24"/>
        </w:rPr>
        <w:t>(13) Koodiga 7038 tähistatud tervishoiuteenuse osutamisel statsionaarsel ravil viibivale patsiendile rakendatakse tasumisel koefitsienti 0,8.</w:t>
      </w:r>
    </w:p>
    <w:p w14:paraId="6CFC9163" w14:textId="77777777" w:rsidR="00753138" w:rsidRPr="00687DE8" w:rsidRDefault="00753138" w:rsidP="00753138">
      <w:pPr>
        <w:spacing w:after="0" w:line="240" w:lineRule="auto"/>
        <w:jc w:val="both"/>
        <w:divId w:val="1316184749"/>
        <w:rPr>
          <w:color w:val="000000" w:themeColor="text1"/>
          <w:szCs w:val="24"/>
        </w:rPr>
      </w:pPr>
    </w:p>
    <w:p w14:paraId="30628604" w14:textId="30F908ED" w:rsidR="00753138" w:rsidRPr="00687DE8" w:rsidRDefault="00753138" w:rsidP="00753138">
      <w:pPr>
        <w:spacing w:after="0" w:line="240" w:lineRule="auto"/>
        <w:jc w:val="both"/>
        <w:divId w:val="1316184749"/>
        <w:rPr>
          <w:color w:val="000000" w:themeColor="text1"/>
        </w:rPr>
      </w:pPr>
      <w:r w:rsidRPr="50A700B9">
        <w:rPr>
          <w:color w:val="000000" w:themeColor="text1"/>
        </w:rPr>
        <w:t xml:space="preserve">(14) Koodidega 7039 ja 7029 tähistatud teenuseid rakendatakse </w:t>
      </w:r>
      <w:r w:rsidR="000E4CCC" w:rsidRPr="50A700B9">
        <w:rPr>
          <w:color w:val="000000" w:themeColor="text1"/>
        </w:rPr>
        <w:t xml:space="preserve">koos koodiga 7037 või 7038 </w:t>
      </w:r>
      <w:r w:rsidR="00240F05" w:rsidRPr="50A700B9">
        <w:rPr>
          <w:color w:val="000000" w:themeColor="text1"/>
        </w:rPr>
        <w:t xml:space="preserve">tähistatud </w:t>
      </w:r>
      <w:r w:rsidR="00A000EA" w:rsidRPr="50A700B9">
        <w:rPr>
          <w:color w:val="000000" w:themeColor="text1"/>
        </w:rPr>
        <w:t xml:space="preserve">tervishoiuteenusega </w:t>
      </w:r>
      <w:r w:rsidRPr="50A700B9">
        <w:rPr>
          <w:color w:val="000000" w:themeColor="text1"/>
        </w:rPr>
        <w:t xml:space="preserve">ööpäeva kohta vastavalt </w:t>
      </w:r>
      <w:r w:rsidR="00494462" w:rsidRPr="50A700B9">
        <w:rPr>
          <w:color w:val="000000" w:themeColor="text1"/>
        </w:rPr>
        <w:t>patsiendi toitmisravi preparaadist saad</w:t>
      </w:r>
      <w:r w:rsidR="005A598F">
        <w:rPr>
          <w:color w:val="000000" w:themeColor="text1"/>
        </w:rPr>
        <w:t>avale</w:t>
      </w:r>
      <w:r w:rsidR="00494462" w:rsidRPr="50A700B9">
        <w:rPr>
          <w:color w:val="000000" w:themeColor="text1"/>
        </w:rPr>
        <w:t xml:space="preserve"> toiduenergiale</w:t>
      </w:r>
      <w:r w:rsidRPr="50A700B9">
        <w:rPr>
          <w:color w:val="000000" w:themeColor="text1"/>
        </w:rPr>
        <w:t xml:space="preserve"> alates 1000 kcal-st.</w:t>
      </w:r>
    </w:p>
    <w:p w14:paraId="4EBC1574" w14:textId="77777777" w:rsidR="00753138" w:rsidRPr="00687DE8" w:rsidRDefault="00753138" w:rsidP="00753138">
      <w:pPr>
        <w:spacing w:after="0" w:line="240" w:lineRule="auto"/>
        <w:jc w:val="both"/>
        <w:divId w:val="1316184749"/>
        <w:rPr>
          <w:color w:val="000000" w:themeColor="text1"/>
          <w:szCs w:val="24"/>
        </w:rPr>
      </w:pPr>
    </w:p>
    <w:p w14:paraId="208FE05B" w14:textId="476647E3" w:rsidR="00753138" w:rsidRPr="00687DE8" w:rsidRDefault="00753138" w:rsidP="00753138">
      <w:pPr>
        <w:pStyle w:val="Vahedeta"/>
        <w:jc w:val="both"/>
        <w:divId w:val="1316184749"/>
        <w:rPr>
          <w:szCs w:val="24"/>
          <w:lang w:val="sv-SE"/>
        </w:rPr>
      </w:pPr>
      <w:r w:rsidRPr="00687DE8">
        <w:rPr>
          <w:szCs w:val="24"/>
          <w:lang w:val="sv-SE"/>
        </w:rPr>
        <w:t xml:space="preserve">(15) </w:t>
      </w:r>
      <w:r w:rsidR="004968B8" w:rsidRPr="004968B8">
        <w:rPr>
          <w:szCs w:val="24"/>
          <w:lang w:val="et-EE"/>
        </w:rPr>
        <w:t>Lõikes 7 nimetatud</w:t>
      </w:r>
      <w:r w:rsidR="005626D1">
        <w:rPr>
          <w:szCs w:val="24"/>
          <w:lang w:val="sv-SE"/>
        </w:rPr>
        <w:t xml:space="preserve"> </w:t>
      </w:r>
      <w:r w:rsidRPr="00687DE8">
        <w:rPr>
          <w:szCs w:val="24"/>
          <w:lang w:val="sv-SE"/>
        </w:rPr>
        <w:t>tervishoiuteenuseid ei rakendata koos koodidega 2070, 2071, 2072 ja 2073 tähistatud tervishoiuteenustega.</w:t>
      </w:r>
    </w:p>
    <w:p w14:paraId="4A9EB509" w14:textId="77777777" w:rsidR="00753138" w:rsidRPr="00687DE8" w:rsidRDefault="00753138" w:rsidP="0067547B">
      <w:pPr>
        <w:pStyle w:val="Vahedeta"/>
        <w:divId w:val="1316184749"/>
        <w:rPr>
          <w:color w:val="000000" w:themeColor="text1"/>
          <w:szCs w:val="24"/>
          <w:lang w:val="et-EE"/>
        </w:rPr>
      </w:pPr>
    </w:p>
    <w:p w14:paraId="4593FA07" w14:textId="6EA82FFB" w:rsidR="00094C14" w:rsidRPr="00687DE8" w:rsidRDefault="00094C14" w:rsidP="0067547B">
      <w:pPr>
        <w:pStyle w:val="Vahedeta"/>
        <w:divId w:val="1316184749"/>
        <w:rPr>
          <w:color w:val="000000" w:themeColor="text1"/>
          <w:szCs w:val="24"/>
          <w:lang w:val="et-EE"/>
        </w:rPr>
      </w:pPr>
      <w:r w:rsidRPr="00687DE8">
        <w:rPr>
          <w:color w:val="000000" w:themeColor="text1"/>
          <w:szCs w:val="24"/>
          <w:lang w:val="et-EE"/>
        </w:rPr>
        <w:t>(</w:t>
      </w:r>
      <w:r w:rsidR="00CD025D" w:rsidRPr="00687DE8">
        <w:rPr>
          <w:color w:val="000000" w:themeColor="text1"/>
          <w:szCs w:val="24"/>
          <w:lang w:val="et-EE"/>
        </w:rPr>
        <w:t>1</w:t>
      </w:r>
      <w:r w:rsidR="00753138" w:rsidRPr="00687DE8">
        <w:rPr>
          <w:color w:val="000000" w:themeColor="text1"/>
          <w:szCs w:val="24"/>
          <w:lang w:val="et-EE"/>
        </w:rPr>
        <w:t>6</w:t>
      </w:r>
      <w:r w:rsidR="003917BA" w:rsidRPr="00687DE8">
        <w:rPr>
          <w:color w:val="000000" w:themeColor="text1"/>
          <w:szCs w:val="24"/>
          <w:lang w:val="et-EE"/>
        </w:rPr>
        <w:t>) Suukaudse</w:t>
      </w:r>
      <w:r w:rsidR="007C07AE" w:rsidRPr="00687DE8">
        <w:rPr>
          <w:color w:val="000000" w:themeColor="text1"/>
          <w:szCs w:val="24"/>
          <w:lang w:val="et-EE"/>
        </w:rPr>
        <w:t>te</w:t>
      </w:r>
      <w:r w:rsidR="00090438">
        <w:rPr>
          <w:color w:val="000000" w:themeColor="text1"/>
          <w:szCs w:val="24"/>
          <w:lang w:val="et-EE"/>
        </w:rPr>
        <w:t xml:space="preserve"> ja enteraalsete </w:t>
      </w:r>
      <w:r w:rsidR="003917BA" w:rsidRPr="00687DE8">
        <w:rPr>
          <w:color w:val="000000" w:themeColor="text1"/>
          <w:szCs w:val="24"/>
          <w:lang w:val="et-EE"/>
        </w:rPr>
        <w:t>toitmis</w:t>
      </w:r>
      <w:r w:rsidR="00146B98" w:rsidRPr="00687DE8">
        <w:rPr>
          <w:color w:val="000000" w:themeColor="text1"/>
          <w:szCs w:val="24"/>
          <w:lang w:val="et-EE"/>
        </w:rPr>
        <w:t xml:space="preserve">ravi </w:t>
      </w:r>
      <w:r w:rsidR="003917BA" w:rsidRPr="00687DE8">
        <w:rPr>
          <w:color w:val="000000" w:themeColor="text1"/>
          <w:szCs w:val="24"/>
          <w:lang w:val="et-EE"/>
        </w:rPr>
        <w:t>preparaa</w:t>
      </w:r>
      <w:r w:rsidR="007C07AE" w:rsidRPr="00687DE8">
        <w:rPr>
          <w:color w:val="000000" w:themeColor="text1"/>
          <w:szCs w:val="24"/>
          <w:lang w:val="et-EE"/>
        </w:rPr>
        <w:t>tide</w:t>
      </w:r>
      <w:r w:rsidR="003917BA" w:rsidRPr="00687DE8">
        <w:rPr>
          <w:color w:val="000000" w:themeColor="text1"/>
          <w:szCs w:val="24"/>
          <w:lang w:val="et-EE"/>
        </w:rPr>
        <w:t xml:space="preserve"> </w:t>
      </w:r>
      <w:r w:rsidR="007C07AE" w:rsidRPr="00687DE8">
        <w:rPr>
          <w:color w:val="000000" w:themeColor="text1"/>
          <w:szCs w:val="24"/>
          <w:lang w:val="et-EE"/>
        </w:rPr>
        <w:t>piirhinnad on järgmised:</w:t>
      </w:r>
    </w:p>
    <w:p w14:paraId="58EBBDA0" w14:textId="77777777" w:rsidR="00F36B02" w:rsidRPr="00687DE8" w:rsidRDefault="00F36B02" w:rsidP="0067547B">
      <w:pPr>
        <w:pStyle w:val="Vahedeta"/>
        <w:divId w:val="1316184749"/>
        <w:rPr>
          <w:color w:val="000000" w:themeColor="text1"/>
          <w:szCs w:val="24"/>
          <w:lang w:val="et-EE"/>
        </w:rPr>
      </w:pPr>
    </w:p>
    <w:tbl>
      <w:tblPr>
        <w:tblW w:w="0" w:type="auto"/>
        <w:tblCellMar>
          <w:left w:w="0" w:type="dxa"/>
          <w:right w:w="0" w:type="dxa"/>
        </w:tblCellMar>
        <w:tblLook w:val="04A0" w:firstRow="1" w:lastRow="0" w:firstColumn="1" w:lastColumn="0" w:noHBand="0" w:noVBand="1"/>
      </w:tblPr>
      <w:tblGrid>
        <w:gridCol w:w="3791"/>
        <w:gridCol w:w="826"/>
        <w:gridCol w:w="1476"/>
        <w:gridCol w:w="1695"/>
        <w:gridCol w:w="1577"/>
      </w:tblGrid>
      <w:tr w:rsidR="006806E9" w:rsidRPr="00687DE8" w14:paraId="7B649689" w14:textId="77777777" w:rsidTr="00410C10">
        <w:trPr>
          <w:divId w:val="1316184749"/>
        </w:trPr>
        <w:tc>
          <w:tcPr>
            <w:tcW w:w="3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D69038" w14:textId="77777777" w:rsidR="006806E9" w:rsidRPr="00687DE8" w:rsidRDefault="006806E9" w:rsidP="00C12EA0">
            <w:pPr>
              <w:spacing w:after="0" w:line="240" w:lineRule="auto"/>
              <w:jc w:val="center"/>
              <w:rPr>
                <w:b/>
                <w:bCs/>
                <w:color w:val="202020"/>
                <w:szCs w:val="24"/>
                <w:lang w:eastAsia="et-EE"/>
              </w:rPr>
            </w:pPr>
            <w:r w:rsidRPr="00687DE8">
              <w:rPr>
                <w:b/>
                <w:bCs/>
                <w:color w:val="202020"/>
                <w:szCs w:val="24"/>
                <w:lang w:eastAsia="et-EE"/>
              </w:rPr>
              <w:t>Tervishoiuteenuse nimetus</w:t>
            </w:r>
          </w:p>
        </w:tc>
        <w:tc>
          <w:tcPr>
            <w:tcW w:w="8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67A02A" w14:textId="77777777" w:rsidR="006806E9" w:rsidRPr="00687DE8" w:rsidRDefault="006806E9" w:rsidP="00ED43E3">
            <w:pPr>
              <w:spacing w:after="0" w:line="240" w:lineRule="auto"/>
              <w:rPr>
                <w:b/>
                <w:bCs/>
                <w:color w:val="202020"/>
                <w:szCs w:val="24"/>
                <w:lang w:eastAsia="et-EE"/>
              </w:rPr>
            </w:pPr>
            <w:r w:rsidRPr="00687DE8">
              <w:rPr>
                <w:b/>
                <w:bCs/>
                <w:color w:val="202020"/>
                <w:szCs w:val="24"/>
                <w:lang w:eastAsia="et-EE"/>
              </w:rPr>
              <w:t>Kood</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7853B6" w14:textId="77777777" w:rsidR="006806E9" w:rsidRPr="00687DE8" w:rsidRDefault="006806E9" w:rsidP="00ED43E3">
            <w:pPr>
              <w:spacing w:after="0" w:line="240" w:lineRule="auto"/>
              <w:rPr>
                <w:b/>
                <w:bCs/>
                <w:color w:val="202020"/>
                <w:szCs w:val="24"/>
                <w:lang w:eastAsia="et-EE"/>
              </w:rPr>
            </w:pPr>
            <w:r w:rsidRPr="00687DE8">
              <w:rPr>
                <w:b/>
                <w:bCs/>
                <w:color w:val="202020"/>
                <w:szCs w:val="24"/>
                <w:lang w:eastAsia="et-EE"/>
              </w:rPr>
              <w:t>Piirhind</w:t>
            </w:r>
          </w:p>
          <w:p w14:paraId="4D302889" w14:textId="56C4B163" w:rsidR="006806E9" w:rsidRPr="00687DE8" w:rsidRDefault="00653750" w:rsidP="00ED43E3">
            <w:pPr>
              <w:spacing w:after="0" w:line="240" w:lineRule="auto"/>
              <w:rPr>
                <w:b/>
                <w:bCs/>
                <w:color w:val="202020"/>
                <w:szCs w:val="24"/>
                <w:lang w:eastAsia="et-EE"/>
              </w:rPr>
            </w:pPr>
            <w:r w:rsidRPr="00687DE8">
              <w:rPr>
                <w:b/>
                <w:bCs/>
                <w:color w:val="202020"/>
                <w:szCs w:val="24"/>
                <w:lang w:eastAsia="et-EE"/>
              </w:rPr>
              <w:t>E</w:t>
            </w:r>
            <w:r w:rsidR="006806E9" w:rsidRPr="00687DE8">
              <w:rPr>
                <w:b/>
                <w:bCs/>
                <w:color w:val="202020"/>
                <w:szCs w:val="24"/>
                <w:lang w:eastAsia="et-EE"/>
              </w:rPr>
              <w:t>urodes</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8FEB2F" w14:textId="77777777" w:rsidR="006806E9" w:rsidRPr="00687DE8" w:rsidRDefault="006806E9" w:rsidP="00ED43E3">
            <w:pPr>
              <w:spacing w:after="0" w:line="240" w:lineRule="auto"/>
              <w:rPr>
                <w:b/>
                <w:bCs/>
                <w:color w:val="202020"/>
                <w:szCs w:val="24"/>
                <w:lang w:eastAsia="et-EE"/>
              </w:rPr>
            </w:pPr>
            <w:r w:rsidRPr="00687DE8">
              <w:rPr>
                <w:b/>
                <w:bCs/>
                <w:color w:val="202020"/>
                <w:szCs w:val="24"/>
                <w:lang w:eastAsia="et-EE"/>
              </w:rPr>
              <w:t>Ülevõetava</w:t>
            </w:r>
          </w:p>
          <w:p w14:paraId="6B3E34A0" w14:textId="77777777" w:rsidR="006806E9" w:rsidRPr="00687DE8" w:rsidRDefault="006806E9" w:rsidP="00ED43E3">
            <w:pPr>
              <w:spacing w:after="0" w:line="240" w:lineRule="auto"/>
              <w:rPr>
                <w:b/>
                <w:bCs/>
                <w:color w:val="202020"/>
                <w:szCs w:val="24"/>
                <w:lang w:eastAsia="et-EE"/>
              </w:rPr>
            </w:pPr>
            <w:r w:rsidRPr="00687DE8">
              <w:rPr>
                <w:b/>
                <w:bCs/>
                <w:color w:val="202020"/>
                <w:szCs w:val="24"/>
                <w:lang w:eastAsia="et-EE"/>
              </w:rPr>
              <w:t>tasu maksmise</w:t>
            </w:r>
          </w:p>
          <w:p w14:paraId="4C75D410" w14:textId="77777777" w:rsidR="006806E9" w:rsidRPr="00687DE8" w:rsidRDefault="006806E9" w:rsidP="00ED43E3">
            <w:pPr>
              <w:spacing w:after="0" w:line="240" w:lineRule="auto"/>
              <w:rPr>
                <w:b/>
                <w:bCs/>
                <w:color w:val="202020"/>
                <w:szCs w:val="24"/>
                <w:lang w:eastAsia="et-EE"/>
              </w:rPr>
            </w:pPr>
            <w:r w:rsidRPr="00687DE8">
              <w:rPr>
                <w:b/>
                <w:bCs/>
                <w:color w:val="202020"/>
                <w:szCs w:val="24"/>
                <w:lang w:eastAsia="et-EE"/>
              </w:rPr>
              <w:t>kohustuse</w:t>
            </w:r>
          </w:p>
          <w:p w14:paraId="5F55400E" w14:textId="77777777" w:rsidR="006806E9" w:rsidRPr="00687DE8" w:rsidRDefault="006806E9" w:rsidP="00ED43E3">
            <w:pPr>
              <w:spacing w:after="0" w:line="240" w:lineRule="auto"/>
              <w:rPr>
                <w:b/>
                <w:bCs/>
                <w:color w:val="202020"/>
                <w:szCs w:val="24"/>
                <w:lang w:eastAsia="et-EE"/>
              </w:rPr>
            </w:pPr>
            <w:r w:rsidRPr="00687DE8">
              <w:rPr>
                <w:b/>
                <w:bCs/>
                <w:color w:val="202020"/>
                <w:szCs w:val="24"/>
                <w:lang w:eastAsia="et-EE"/>
              </w:rPr>
              <w:t>piirmäär</w:t>
            </w:r>
          </w:p>
          <w:p w14:paraId="6487358C" w14:textId="77777777" w:rsidR="006806E9" w:rsidRPr="00687DE8" w:rsidRDefault="006806E9" w:rsidP="00ED43E3">
            <w:pPr>
              <w:spacing w:after="0" w:line="240" w:lineRule="auto"/>
              <w:rPr>
                <w:b/>
                <w:bCs/>
                <w:color w:val="202020"/>
                <w:szCs w:val="24"/>
                <w:lang w:eastAsia="et-EE"/>
              </w:rPr>
            </w:pPr>
            <w:r w:rsidRPr="00687DE8">
              <w:rPr>
                <w:b/>
                <w:bCs/>
                <w:color w:val="202020"/>
                <w:szCs w:val="24"/>
                <w:lang w:eastAsia="et-EE"/>
              </w:rPr>
              <w:t>(%)</w:t>
            </w:r>
          </w:p>
        </w:tc>
        <w:tc>
          <w:tcPr>
            <w:tcW w:w="15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E1B3F" w14:textId="77777777" w:rsidR="006806E9" w:rsidRPr="00687DE8" w:rsidRDefault="006806E9" w:rsidP="00ED43E3">
            <w:pPr>
              <w:spacing w:after="0" w:line="240" w:lineRule="auto"/>
              <w:rPr>
                <w:b/>
                <w:bCs/>
                <w:color w:val="202020"/>
                <w:szCs w:val="24"/>
                <w:lang w:eastAsia="et-EE"/>
              </w:rPr>
            </w:pPr>
            <w:r w:rsidRPr="00687DE8">
              <w:rPr>
                <w:b/>
                <w:bCs/>
                <w:color w:val="202020"/>
                <w:szCs w:val="24"/>
                <w:lang w:eastAsia="et-EE"/>
              </w:rPr>
              <w:t>Kindlustatud</w:t>
            </w:r>
          </w:p>
          <w:p w14:paraId="4807FC21" w14:textId="77777777" w:rsidR="006806E9" w:rsidRPr="00687DE8" w:rsidRDefault="006806E9" w:rsidP="00ED43E3">
            <w:pPr>
              <w:spacing w:after="0" w:line="240" w:lineRule="auto"/>
              <w:rPr>
                <w:b/>
                <w:bCs/>
                <w:color w:val="202020"/>
                <w:szCs w:val="24"/>
                <w:lang w:eastAsia="et-EE"/>
              </w:rPr>
            </w:pPr>
            <w:r w:rsidRPr="00687DE8">
              <w:rPr>
                <w:b/>
                <w:bCs/>
                <w:color w:val="202020"/>
                <w:szCs w:val="24"/>
                <w:lang w:eastAsia="et-EE"/>
              </w:rPr>
              <w:t>isiku</w:t>
            </w:r>
          </w:p>
          <w:p w14:paraId="75605953" w14:textId="77777777" w:rsidR="006806E9" w:rsidRPr="00687DE8" w:rsidRDefault="006806E9" w:rsidP="00ED43E3">
            <w:pPr>
              <w:spacing w:after="0" w:line="240" w:lineRule="auto"/>
              <w:rPr>
                <w:b/>
                <w:bCs/>
                <w:color w:val="202020"/>
                <w:szCs w:val="24"/>
                <w:lang w:eastAsia="et-EE"/>
              </w:rPr>
            </w:pPr>
            <w:r w:rsidRPr="00687DE8">
              <w:rPr>
                <w:b/>
                <w:bCs/>
                <w:color w:val="202020"/>
                <w:szCs w:val="24"/>
                <w:lang w:eastAsia="et-EE"/>
              </w:rPr>
              <w:t>omaosaluse</w:t>
            </w:r>
          </w:p>
          <w:p w14:paraId="0C4FAF1B" w14:textId="77777777" w:rsidR="006806E9" w:rsidRPr="00687DE8" w:rsidRDefault="006806E9" w:rsidP="00ED43E3">
            <w:pPr>
              <w:spacing w:after="0" w:line="240" w:lineRule="auto"/>
              <w:rPr>
                <w:b/>
                <w:bCs/>
                <w:color w:val="202020"/>
                <w:szCs w:val="24"/>
                <w:lang w:eastAsia="et-EE"/>
              </w:rPr>
            </w:pPr>
            <w:r w:rsidRPr="00687DE8">
              <w:rPr>
                <w:b/>
                <w:bCs/>
                <w:color w:val="202020"/>
                <w:szCs w:val="24"/>
                <w:lang w:eastAsia="et-EE"/>
              </w:rPr>
              <w:t>määr</w:t>
            </w:r>
          </w:p>
          <w:p w14:paraId="67FD4C4A" w14:textId="77777777" w:rsidR="006806E9" w:rsidRPr="00687DE8" w:rsidRDefault="006806E9" w:rsidP="00ED43E3">
            <w:pPr>
              <w:spacing w:after="0" w:line="240" w:lineRule="auto"/>
              <w:rPr>
                <w:b/>
                <w:bCs/>
                <w:color w:val="202020"/>
                <w:szCs w:val="24"/>
                <w:lang w:eastAsia="et-EE"/>
              </w:rPr>
            </w:pPr>
            <w:r w:rsidRPr="00687DE8">
              <w:rPr>
                <w:b/>
                <w:bCs/>
                <w:color w:val="202020"/>
                <w:szCs w:val="24"/>
                <w:lang w:eastAsia="et-EE"/>
              </w:rPr>
              <w:t>(%)</w:t>
            </w:r>
          </w:p>
        </w:tc>
      </w:tr>
      <w:tr w:rsidR="00D6283A" w:rsidRPr="00687DE8" w14:paraId="75574210" w14:textId="77777777" w:rsidTr="00D30B8D">
        <w:trPr>
          <w:divId w:val="1316184749"/>
          <w:trHeight w:val="850"/>
        </w:trPr>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FF5F0" w14:textId="110CA70C" w:rsidR="00D6283A" w:rsidRPr="00687DE8" w:rsidRDefault="00D6283A" w:rsidP="00D6283A">
            <w:pPr>
              <w:spacing w:after="0" w:line="240" w:lineRule="auto"/>
              <w:rPr>
                <w:color w:val="202020"/>
                <w:szCs w:val="24"/>
                <w:lang w:eastAsia="et-EE"/>
              </w:rPr>
            </w:pPr>
            <w:r w:rsidRPr="00687DE8">
              <w:rPr>
                <w:color w:val="202020"/>
                <w:szCs w:val="24"/>
                <w:lang w:eastAsia="et-EE"/>
              </w:rPr>
              <w:t>Suukaudne standardne täisväärtuslik toitmisravi preparaat 600 kcal (kodusel ravil)</w:t>
            </w:r>
          </w:p>
        </w:tc>
        <w:tc>
          <w:tcPr>
            <w:tcW w:w="826" w:type="dxa"/>
            <w:tcBorders>
              <w:top w:val="nil"/>
              <w:left w:val="nil"/>
              <w:bottom w:val="single" w:sz="8" w:space="0" w:color="auto"/>
              <w:right w:val="single" w:sz="8" w:space="0" w:color="auto"/>
            </w:tcBorders>
            <w:tcMar>
              <w:top w:w="0" w:type="dxa"/>
              <w:left w:w="108" w:type="dxa"/>
              <w:bottom w:w="0" w:type="dxa"/>
              <w:right w:w="108" w:type="dxa"/>
            </w:tcMar>
            <w:hideMark/>
          </w:tcPr>
          <w:p w14:paraId="7CBACEE0"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7090</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9F6DA6" w14:textId="39E0AACE" w:rsidR="00D6283A" w:rsidRPr="00687DE8" w:rsidRDefault="008407E5" w:rsidP="00D6283A">
            <w:pPr>
              <w:spacing w:after="0" w:line="240" w:lineRule="auto"/>
              <w:jc w:val="center"/>
              <w:rPr>
                <w:color w:val="202020"/>
                <w:szCs w:val="24"/>
                <w:lang w:eastAsia="et-EE"/>
              </w:rPr>
            </w:pPr>
            <w:r>
              <w:rPr>
                <w:color w:val="000000"/>
              </w:rPr>
              <w:t>7,10</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703E3FF6"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75 või 100*</w:t>
            </w:r>
          </w:p>
        </w:tc>
        <w:tc>
          <w:tcPr>
            <w:tcW w:w="1577" w:type="dxa"/>
            <w:tcBorders>
              <w:top w:val="nil"/>
              <w:left w:val="nil"/>
              <w:bottom w:val="single" w:sz="8" w:space="0" w:color="auto"/>
              <w:right w:val="single" w:sz="8" w:space="0" w:color="auto"/>
            </w:tcBorders>
            <w:tcMar>
              <w:top w:w="0" w:type="dxa"/>
              <w:left w:w="108" w:type="dxa"/>
              <w:bottom w:w="0" w:type="dxa"/>
              <w:right w:w="108" w:type="dxa"/>
            </w:tcMar>
            <w:hideMark/>
          </w:tcPr>
          <w:p w14:paraId="1F28A539"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25 või 0*</w:t>
            </w:r>
          </w:p>
        </w:tc>
      </w:tr>
      <w:tr w:rsidR="00D6283A" w:rsidRPr="00687DE8" w14:paraId="267FE59C" w14:textId="77777777" w:rsidTr="00D30B8D">
        <w:trPr>
          <w:divId w:val="1316184749"/>
        </w:trPr>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E4F28" w14:textId="69981BDA" w:rsidR="00D6283A" w:rsidRPr="00687DE8" w:rsidRDefault="00D6283A" w:rsidP="00D6283A">
            <w:pPr>
              <w:spacing w:after="0" w:line="240" w:lineRule="auto"/>
              <w:rPr>
                <w:color w:val="202020"/>
                <w:szCs w:val="24"/>
                <w:lang w:eastAsia="et-EE"/>
              </w:rPr>
            </w:pPr>
            <w:r w:rsidRPr="00687DE8">
              <w:rPr>
                <w:color w:val="202020"/>
                <w:szCs w:val="24"/>
                <w:lang w:eastAsia="et-EE"/>
              </w:rPr>
              <w:t>Suukaudne standardne täisväärtuslik toitmisravi preparaat 600 kcal (statsionaarsel ravil)</w:t>
            </w:r>
          </w:p>
        </w:tc>
        <w:tc>
          <w:tcPr>
            <w:tcW w:w="826" w:type="dxa"/>
            <w:tcBorders>
              <w:top w:val="nil"/>
              <w:left w:val="nil"/>
              <w:bottom w:val="single" w:sz="8" w:space="0" w:color="auto"/>
              <w:right w:val="single" w:sz="8" w:space="0" w:color="auto"/>
            </w:tcBorders>
            <w:tcMar>
              <w:top w:w="0" w:type="dxa"/>
              <w:left w:w="108" w:type="dxa"/>
              <w:bottom w:w="0" w:type="dxa"/>
              <w:right w:w="108" w:type="dxa"/>
            </w:tcMar>
            <w:hideMark/>
          </w:tcPr>
          <w:p w14:paraId="017F8861"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7091</w:t>
            </w:r>
          </w:p>
        </w:tc>
        <w:tc>
          <w:tcPr>
            <w:tcW w:w="147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9F925C" w14:textId="7B05646B" w:rsidR="00D6283A" w:rsidRPr="00687DE8" w:rsidRDefault="008407E5" w:rsidP="00D6283A">
            <w:pPr>
              <w:spacing w:after="0" w:line="240" w:lineRule="auto"/>
              <w:jc w:val="center"/>
              <w:rPr>
                <w:color w:val="202020"/>
                <w:szCs w:val="24"/>
                <w:lang w:eastAsia="et-EE"/>
              </w:rPr>
            </w:pPr>
            <w:r>
              <w:rPr>
                <w:color w:val="000000"/>
              </w:rPr>
              <w:t>4,03</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48BE91D7"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100</w:t>
            </w:r>
          </w:p>
        </w:tc>
        <w:tc>
          <w:tcPr>
            <w:tcW w:w="1577" w:type="dxa"/>
            <w:tcBorders>
              <w:top w:val="nil"/>
              <w:left w:val="nil"/>
              <w:bottom w:val="single" w:sz="8" w:space="0" w:color="auto"/>
              <w:right w:val="single" w:sz="8" w:space="0" w:color="auto"/>
            </w:tcBorders>
            <w:tcMar>
              <w:top w:w="0" w:type="dxa"/>
              <w:left w:w="108" w:type="dxa"/>
              <w:bottom w:w="0" w:type="dxa"/>
              <w:right w:w="108" w:type="dxa"/>
            </w:tcMar>
            <w:hideMark/>
          </w:tcPr>
          <w:p w14:paraId="51EDAFD8"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0</w:t>
            </w:r>
          </w:p>
        </w:tc>
      </w:tr>
      <w:tr w:rsidR="00D6283A" w:rsidRPr="00687DE8" w14:paraId="18FC892D" w14:textId="77777777" w:rsidTr="00D30B8D">
        <w:trPr>
          <w:divId w:val="1316184749"/>
        </w:trPr>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859FB" w14:textId="413EA325" w:rsidR="00D6283A" w:rsidRPr="00687DE8" w:rsidRDefault="00143CA8" w:rsidP="00D6283A">
            <w:pPr>
              <w:spacing w:after="0" w:line="240" w:lineRule="auto"/>
              <w:rPr>
                <w:color w:val="202020"/>
                <w:szCs w:val="24"/>
                <w:lang w:eastAsia="et-EE"/>
              </w:rPr>
            </w:pPr>
            <w:r>
              <w:rPr>
                <w:color w:val="202020"/>
                <w:szCs w:val="24"/>
                <w:lang w:eastAsia="et-EE"/>
              </w:rPr>
              <w:t>K</w:t>
            </w:r>
            <w:r w:rsidR="00D6283A" w:rsidRPr="00687DE8">
              <w:rPr>
                <w:color w:val="202020"/>
                <w:szCs w:val="24"/>
                <w:lang w:eastAsia="et-EE"/>
              </w:rPr>
              <w:t>ohandatud koostisega täisväärtuslik toitmisravi preparaat 600 kcal (kodusel ravil)</w:t>
            </w:r>
          </w:p>
        </w:tc>
        <w:tc>
          <w:tcPr>
            <w:tcW w:w="826" w:type="dxa"/>
            <w:tcBorders>
              <w:top w:val="nil"/>
              <w:left w:val="nil"/>
              <w:bottom w:val="single" w:sz="8" w:space="0" w:color="auto"/>
              <w:right w:val="single" w:sz="8" w:space="0" w:color="auto"/>
            </w:tcBorders>
            <w:tcMar>
              <w:top w:w="0" w:type="dxa"/>
              <w:left w:w="108" w:type="dxa"/>
              <w:bottom w:w="0" w:type="dxa"/>
              <w:right w:w="108" w:type="dxa"/>
            </w:tcMar>
            <w:hideMark/>
          </w:tcPr>
          <w:p w14:paraId="56C0B086"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7092</w:t>
            </w:r>
          </w:p>
        </w:tc>
        <w:tc>
          <w:tcPr>
            <w:tcW w:w="147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40E351" w14:textId="18EA56EF" w:rsidR="00D6283A" w:rsidRPr="00687DE8" w:rsidRDefault="008407E5" w:rsidP="00D6283A">
            <w:pPr>
              <w:spacing w:after="0" w:line="240" w:lineRule="auto"/>
              <w:jc w:val="center"/>
              <w:rPr>
                <w:color w:val="202020"/>
                <w:szCs w:val="24"/>
                <w:lang w:eastAsia="et-EE"/>
              </w:rPr>
            </w:pPr>
            <w:r>
              <w:rPr>
                <w:color w:val="000000"/>
              </w:rPr>
              <w:t>39,57</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095D5DB7"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75 või 100*</w:t>
            </w:r>
          </w:p>
        </w:tc>
        <w:tc>
          <w:tcPr>
            <w:tcW w:w="1577" w:type="dxa"/>
            <w:tcBorders>
              <w:top w:val="nil"/>
              <w:left w:val="nil"/>
              <w:bottom w:val="single" w:sz="8" w:space="0" w:color="auto"/>
              <w:right w:val="single" w:sz="8" w:space="0" w:color="auto"/>
            </w:tcBorders>
            <w:tcMar>
              <w:top w:w="0" w:type="dxa"/>
              <w:left w:w="108" w:type="dxa"/>
              <w:bottom w:w="0" w:type="dxa"/>
              <w:right w:w="108" w:type="dxa"/>
            </w:tcMar>
            <w:hideMark/>
          </w:tcPr>
          <w:p w14:paraId="5DE0ED4D"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25 või 0*</w:t>
            </w:r>
          </w:p>
        </w:tc>
      </w:tr>
      <w:tr w:rsidR="00D6283A" w:rsidRPr="00687DE8" w14:paraId="2E54120B" w14:textId="77777777" w:rsidTr="00D30B8D">
        <w:trPr>
          <w:divId w:val="1316184749"/>
        </w:trPr>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753E6" w14:textId="69C36345" w:rsidR="00D6283A" w:rsidRPr="00687DE8" w:rsidRDefault="00143CA8" w:rsidP="00D6283A">
            <w:pPr>
              <w:spacing w:after="0" w:line="240" w:lineRule="auto"/>
              <w:rPr>
                <w:color w:val="202020"/>
                <w:szCs w:val="24"/>
                <w:lang w:eastAsia="et-EE"/>
              </w:rPr>
            </w:pPr>
            <w:r>
              <w:rPr>
                <w:color w:val="202020"/>
                <w:szCs w:val="24"/>
                <w:lang w:eastAsia="et-EE"/>
              </w:rPr>
              <w:t>K</w:t>
            </w:r>
            <w:r w:rsidR="00D6283A" w:rsidRPr="00687DE8">
              <w:rPr>
                <w:color w:val="202020"/>
                <w:szCs w:val="24"/>
                <w:lang w:eastAsia="et-EE"/>
              </w:rPr>
              <w:t>ohandatud koostisega täisväärtuslik toitmisravi preparaat 600 kcal (statsionaarsel ravil)</w:t>
            </w:r>
          </w:p>
        </w:tc>
        <w:tc>
          <w:tcPr>
            <w:tcW w:w="826" w:type="dxa"/>
            <w:tcBorders>
              <w:top w:val="nil"/>
              <w:left w:val="nil"/>
              <w:bottom w:val="single" w:sz="8" w:space="0" w:color="auto"/>
              <w:right w:val="single" w:sz="8" w:space="0" w:color="auto"/>
            </w:tcBorders>
            <w:tcMar>
              <w:top w:w="0" w:type="dxa"/>
              <w:left w:w="108" w:type="dxa"/>
              <w:bottom w:w="0" w:type="dxa"/>
              <w:right w:w="108" w:type="dxa"/>
            </w:tcMar>
            <w:hideMark/>
          </w:tcPr>
          <w:p w14:paraId="1ECA5C26"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7093</w:t>
            </w:r>
          </w:p>
        </w:tc>
        <w:tc>
          <w:tcPr>
            <w:tcW w:w="147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3DDD1E" w14:textId="7115BE40" w:rsidR="00D6283A" w:rsidRPr="00687DE8" w:rsidRDefault="008407E5" w:rsidP="00D6283A">
            <w:pPr>
              <w:spacing w:after="0" w:line="240" w:lineRule="auto"/>
              <w:jc w:val="center"/>
              <w:rPr>
                <w:color w:val="202020"/>
                <w:szCs w:val="24"/>
                <w:lang w:eastAsia="et-EE"/>
              </w:rPr>
            </w:pPr>
            <w:r>
              <w:rPr>
                <w:color w:val="000000"/>
              </w:rPr>
              <w:t>40,16</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6458B465"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100</w:t>
            </w:r>
          </w:p>
        </w:tc>
        <w:tc>
          <w:tcPr>
            <w:tcW w:w="1577" w:type="dxa"/>
            <w:tcBorders>
              <w:top w:val="nil"/>
              <w:left w:val="nil"/>
              <w:bottom w:val="single" w:sz="8" w:space="0" w:color="auto"/>
              <w:right w:val="single" w:sz="8" w:space="0" w:color="auto"/>
            </w:tcBorders>
            <w:tcMar>
              <w:top w:w="0" w:type="dxa"/>
              <w:left w:w="108" w:type="dxa"/>
              <w:bottom w:w="0" w:type="dxa"/>
              <w:right w:w="108" w:type="dxa"/>
            </w:tcMar>
            <w:hideMark/>
          </w:tcPr>
          <w:p w14:paraId="3A0D6121"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0</w:t>
            </w:r>
          </w:p>
        </w:tc>
      </w:tr>
      <w:tr w:rsidR="00D6283A" w:rsidRPr="00687DE8" w14:paraId="1096E1D7" w14:textId="77777777" w:rsidTr="00D30B8D">
        <w:trPr>
          <w:divId w:val="1316184749"/>
        </w:trPr>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50EC7" w14:textId="2393ABCD" w:rsidR="00D6283A" w:rsidRPr="00687DE8" w:rsidRDefault="00D6283A" w:rsidP="00D6283A">
            <w:pPr>
              <w:spacing w:after="0" w:line="240" w:lineRule="auto"/>
              <w:rPr>
                <w:color w:val="202020"/>
                <w:szCs w:val="24"/>
                <w:lang w:eastAsia="et-EE"/>
              </w:rPr>
            </w:pPr>
            <w:r w:rsidRPr="00687DE8">
              <w:rPr>
                <w:color w:val="202020"/>
                <w:szCs w:val="24"/>
                <w:lang w:eastAsia="et-EE"/>
              </w:rPr>
              <w:t>Suukaudne kohandatud koostisega mittetäisväärtuslik toitmisravi preparaat tavatoidu tõhustamiseks 600 kcal (kodusel ravil)</w:t>
            </w:r>
          </w:p>
        </w:tc>
        <w:tc>
          <w:tcPr>
            <w:tcW w:w="826" w:type="dxa"/>
            <w:tcBorders>
              <w:top w:val="nil"/>
              <w:left w:val="nil"/>
              <w:bottom w:val="single" w:sz="8" w:space="0" w:color="auto"/>
              <w:right w:val="single" w:sz="8" w:space="0" w:color="auto"/>
            </w:tcBorders>
            <w:tcMar>
              <w:top w:w="0" w:type="dxa"/>
              <w:left w:w="108" w:type="dxa"/>
              <w:bottom w:w="0" w:type="dxa"/>
              <w:right w:w="108" w:type="dxa"/>
            </w:tcMar>
            <w:hideMark/>
          </w:tcPr>
          <w:p w14:paraId="7654DFE0"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7094</w:t>
            </w:r>
          </w:p>
        </w:tc>
        <w:tc>
          <w:tcPr>
            <w:tcW w:w="147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1D90AF" w14:textId="6A309CA0" w:rsidR="00D6283A" w:rsidRPr="00687DE8" w:rsidRDefault="008407E5" w:rsidP="00D6283A">
            <w:pPr>
              <w:spacing w:after="0" w:line="240" w:lineRule="auto"/>
              <w:jc w:val="center"/>
              <w:rPr>
                <w:szCs w:val="24"/>
                <w:lang w:eastAsia="et-EE"/>
              </w:rPr>
            </w:pPr>
            <w:r>
              <w:rPr>
                <w:color w:val="000000"/>
              </w:rPr>
              <w:t>8,90</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56444A3C"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75 või 100*</w:t>
            </w:r>
          </w:p>
        </w:tc>
        <w:tc>
          <w:tcPr>
            <w:tcW w:w="1577" w:type="dxa"/>
            <w:tcBorders>
              <w:top w:val="nil"/>
              <w:left w:val="nil"/>
              <w:bottom w:val="single" w:sz="8" w:space="0" w:color="auto"/>
              <w:right w:val="single" w:sz="8" w:space="0" w:color="auto"/>
            </w:tcBorders>
            <w:tcMar>
              <w:top w:w="0" w:type="dxa"/>
              <w:left w:w="108" w:type="dxa"/>
              <w:bottom w:w="0" w:type="dxa"/>
              <w:right w:w="108" w:type="dxa"/>
            </w:tcMar>
            <w:hideMark/>
          </w:tcPr>
          <w:p w14:paraId="14E0D6A3"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25 või 0*</w:t>
            </w:r>
          </w:p>
        </w:tc>
      </w:tr>
      <w:tr w:rsidR="00D6283A" w:rsidRPr="00687DE8" w14:paraId="2B67F1CD" w14:textId="77777777" w:rsidTr="00D30B8D">
        <w:trPr>
          <w:divId w:val="1316184749"/>
        </w:trPr>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2B88B" w14:textId="5846325D" w:rsidR="00D6283A" w:rsidRPr="00687DE8" w:rsidRDefault="00D6283A" w:rsidP="00D6283A">
            <w:pPr>
              <w:spacing w:after="0" w:line="240" w:lineRule="auto"/>
              <w:rPr>
                <w:color w:val="202020"/>
                <w:szCs w:val="24"/>
                <w:lang w:eastAsia="et-EE"/>
              </w:rPr>
            </w:pPr>
            <w:r w:rsidRPr="00687DE8">
              <w:rPr>
                <w:color w:val="202020"/>
                <w:szCs w:val="24"/>
                <w:lang w:eastAsia="et-EE"/>
              </w:rPr>
              <w:t>Suukaudne kohandatud koostisega mittetäisväärtuslik toitmisravi preparaat tavatoidu tõhustamiseks 600 kcal (statsionaarsel ravil)</w:t>
            </w:r>
          </w:p>
        </w:tc>
        <w:tc>
          <w:tcPr>
            <w:tcW w:w="826" w:type="dxa"/>
            <w:tcBorders>
              <w:top w:val="nil"/>
              <w:left w:val="nil"/>
              <w:bottom w:val="single" w:sz="8" w:space="0" w:color="auto"/>
              <w:right w:val="single" w:sz="8" w:space="0" w:color="auto"/>
            </w:tcBorders>
            <w:tcMar>
              <w:top w:w="0" w:type="dxa"/>
              <w:left w:w="108" w:type="dxa"/>
              <w:bottom w:w="0" w:type="dxa"/>
              <w:right w:w="108" w:type="dxa"/>
            </w:tcMar>
            <w:hideMark/>
          </w:tcPr>
          <w:p w14:paraId="714E7240"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7095</w:t>
            </w:r>
          </w:p>
        </w:tc>
        <w:tc>
          <w:tcPr>
            <w:tcW w:w="147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820592" w14:textId="65F59E3C" w:rsidR="00D6283A" w:rsidRPr="00687DE8" w:rsidRDefault="008407E5" w:rsidP="00D6283A">
            <w:pPr>
              <w:spacing w:after="0" w:line="240" w:lineRule="auto"/>
              <w:jc w:val="center"/>
              <w:rPr>
                <w:color w:val="202020"/>
                <w:szCs w:val="24"/>
                <w:lang w:eastAsia="et-EE"/>
              </w:rPr>
            </w:pPr>
            <w:r>
              <w:rPr>
                <w:color w:val="000000"/>
              </w:rPr>
              <w:t>6,91</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3C1CA9DA"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100</w:t>
            </w:r>
          </w:p>
        </w:tc>
        <w:tc>
          <w:tcPr>
            <w:tcW w:w="1577" w:type="dxa"/>
            <w:tcBorders>
              <w:top w:val="nil"/>
              <w:left w:val="nil"/>
              <w:bottom w:val="single" w:sz="8" w:space="0" w:color="auto"/>
              <w:right w:val="single" w:sz="8" w:space="0" w:color="auto"/>
            </w:tcBorders>
            <w:tcMar>
              <w:top w:w="0" w:type="dxa"/>
              <w:left w:w="108" w:type="dxa"/>
              <w:bottom w:w="0" w:type="dxa"/>
              <w:right w:w="108" w:type="dxa"/>
            </w:tcMar>
            <w:hideMark/>
          </w:tcPr>
          <w:p w14:paraId="32ACD4AE" w14:textId="77777777" w:rsidR="00D6283A" w:rsidRPr="00687DE8" w:rsidRDefault="00D6283A" w:rsidP="00D6283A">
            <w:pPr>
              <w:spacing w:after="0" w:line="240" w:lineRule="auto"/>
              <w:jc w:val="center"/>
              <w:rPr>
                <w:color w:val="202020"/>
                <w:szCs w:val="24"/>
                <w:lang w:eastAsia="et-EE"/>
              </w:rPr>
            </w:pPr>
            <w:r w:rsidRPr="00687DE8">
              <w:rPr>
                <w:color w:val="202020"/>
                <w:szCs w:val="24"/>
                <w:lang w:eastAsia="et-EE"/>
              </w:rPr>
              <w:t>0</w:t>
            </w:r>
          </w:p>
        </w:tc>
      </w:tr>
    </w:tbl>
    <w:p w14:paraId="4DB4101A" w14:textId="0F7A5012" w:rsidR="006806E9" w:rsidRPr="00687DE8" w:rsidRDefault="006806E9" w:rsidP="00ED43E3">
      <w:pPr>
        <w:spacing w:after="0" w:line="240" w:lineRule="auto"/>
        <w:divId w:val="1316184749"/>
        <w:rPr>
          <w:rFonts w:eastAsiaTheme="minorEastAsia"/>
          <w:szCs w:val="24"/>
        </w:rPr>
      </w:pPr>
      <w:r w:rsidRPr="00687DE8">
        <w:rPr>
          <w:szCs w:val="24"/>
        </w:rPr>
        <w:t>*</w:t>
      </w:r>
      <w:r w:rsidR="005D794B" w:rsidRPr="00687DE8">
        <w:rPr>
          <w:szCs w:val="24"/>
        </w:rPr>
        <w:t xml:space="preserve"> </w:t>
      </w:r>
      <w:r w:rsidRPr="00687DE8">
        <w:rPr>
          <w:szCs w:val="24"/>
        </w:rPr>
        <w:t>rakendatakse päriliku ainevahetushaiguse</w:t>
      </w:r>
      <w:r w:rsidR="00B20D90">
        <w:rPr>
          <w:szCs w:val="24"/>
        </w:rPr>
        <w:t xml:space="preserve"> või ravimrefraktaarse epilepsia korral</w:t>
      </w:r>
    </w:p>
    <w:p w14:paraId="63AD0CE7" w14:textId="77777777" w:rsidR="005D794B" w:rsidRPr="00687DE8" w:rsidRDefault="005D794B" w:rsidP="2CB1C15B">
      <w:pPr>
        <w:shd w:val="clear" w:color="auto" w:fill="FFFFFF" w:themeFill="background1"/>
        <w:spacing w:after="0" w:line="240" w:lineRule="auto"/>
        <w:jc w:val="both"/>
        <w:divId w:val="1316184749"/>
        <w:rPr>
          <w:szCs w:val="24"/>
        </w:rPr>
      </w:pPr>
    </w:p>
    <w:p w14:paraId="0FDA8BFE" w14:textId="50B65084" w:rsidR="00BF5B86" w:rsidRPr="00687DE8" w:rsidRDefault="00BF5B86" w:rsidP="2CB1C15B">
      <w:pPr>
        <w:shd w:val="clear" w:color="auto" w:fill="FFFFFF" w:themeFill="background1"/>
        <w:spacing w:after="0" w:line="240" w:lineRule="auto"/>
        <w:jc w:val="both"/>
        <w:divId w:val="1316184749"/>
        <w:rPr>
          <w:color w:val="000000" w:themeColor="text1"/>
          <w:szCs w:val="24"/>
        </w:rPr>
      </w:pPr>
      <w:r w:rsidRPr="00687DE8">
        <w:rPr>
          <w:szCs w:val="24"/>
        </w:rPr>
        <w:lastRenderedPageBreak/>
        <w:t>(1</w:t>
      </w:r>
      <w:r w:rsidR="00753138" w:rsidRPr="00687DE8">
        <w:rPr>
          <w:szCs w:val="24"/>
        </w:rPr>
        <w:t>7</w:t>
      </w:r>
      <w:r w:rsidRPr="00687DE8">
        <w:rPr>
          <w:szCs w:val="24"/>
        </w:rPr>
        <w:t xml:space="preserve">) </w:t>
      </w:r>
      <w:r w:rsidR="005023FD" w:rsidRPr="00687DE8">
        <w:rPr>
          <w:szCs w:val="24"/>
        </w:rPr>
        <w:t>Tervisekassa</w:t>
      </w:r>
      <w:r w:rsidRPr="00687DE8">
        <w:rPr>
          <w:szCs w:val="24"/>
        </w:rPr>
        <w:t xml:space="preserve"> võtab </w:t>
      </w:r>
      <w:r w:rsidR="00D6681F">
        <w:rPr>
          <w:szCs w:val="24"/>
        </w:rPr>
        <w:t>lõikes 16 nimetatud</w:t>
      </w:r>
      <w:r w:rsidRPr="00687DE8">
        <w:rPr>
          <w:szCs w:val="24"/>
        </w:rPr>
        <w:t xml:space="preserve"> tervishoiuteenuste eest tasu maksmise kohustuse üle päriliku ainevahetushaigusega, seedetrakti kaasasündinud või omandatud </w:t>
      </w:r>
      <w:r w:rsidR="005B14A3" w:rsidRPr="00687DE8">
        <w:rPr>
          <w:szCs w:val="24"/>
        </w:rPr>
        <w:t>puudulikkusega</w:t>
      </w:r>
      <w:r w:rsidR="00C52FAC">
        <w:rPr>
          <w:szCs w:val="24"/>
        </w:rPr>
        <w:t xml:space="preserve">, </w:t>
      </w:r>
      <w:r w:rsidR="00D9309B">
        <w:rPr>
          <w:szCs w:val="24"/>
        </w:rPr>
        <w:t>söögitoru ahenemisega</w:t>
      </w:r>
      <w:r w:rsidR="000C7110">
        <w:rPr>
          <w:szCs w:val="24"/>
        </w:rPr>
        <w:t>,</w:t>
      </w:r>
      <w:r w:rsidRPr="00687DE8">
        <w:rPr>
          <w:szCs w:val="24"/>
        </w:rPr>
        <w:t xml:space="preserve"> põletikulise soolehaigusega</w:t>
      </w:r>
      <w:r w:rsidR="00B20D90">
        <w:rPr>
          <w:szCs w:val="24"/>
        </w:rPr>
        <w:t xml:space="preserve"> või ravimrefraktaarse epilepsiaga</w:t>
      </w:r>
      <w:r w:rsidRPr="00687DE8">
        <w:rPr>
          <w:szCs w:val="24"/>
        </w:rPr>
        <w:t xml:space="preserve"> </w:t>
      </w:r>
      <w:r w:rsidR="00E75C2D" w:rsidRPr="00687DE8">
        <w:rPr>
          <w:szCs w:val="24"/>
        </w:rPr>
        <w:t>patsiendilt</w:t>
      </w:r>
      <w:r w:rsidRPr="00687DE8">
        <w:rPr>
          <w:szCs w:val="24"/>
        </w:rPr>
        <w:t xml:space="preserve"> juhul</w:t>
      </w:r>
      <w:r w:rsidR="00A17DCA" w:rsidRPr="00687DE8">
        <w:rPr>
          <w:szCs w:val="24"/>
        </w:rPr>
        <w:t>,</w:t>
      </w:r>
      <w:r w:rsidRPr="00687DE8">
        <w:rPr>
          <w:szCs w:val="24"/>
        </w:rPr>
        <w:t xml:space="preserve"> kui patsiendil on säilinud suukaudse </w:t>
      </w:r>
      <w:r w:rsidR="00926BEC" w:rsidRPr="00687DE8">
        <w:rPr>
          <w:szCs w:val="24"/>
        </w:rPr>
        <w:t>söömis</w:t>
      </w:r>
      <w:r w:rsidR="00F54E2F" w:rsidRPr="00687DE8">
        <w:rPr>
          <w:szCs w:val="24"/>
        </w:rPr>
        <w:t>e</w:t>
      </w:r>
      <w:r w:rsidRPr="00687DE8">
        <w:rPr>
          <w:szCs w:val="24"/>
        </w:rPr>
        <w:t xml:space="preserve"> võime</w:t>
      </w:r>
      <w:r w:rsidR="00B40291" w:rsidRPr="00687DE8">
        <w:rPr>
          <w:szCs w:val="24"/>
        </w:rPr>
        <w:t xml:space="preserve"> </w:t>
      </w:r>
      <w:r w:rsidR="00361823">
        <w:rPr>
          <w:szCs w:val="24"/>
        </w:rPr>
        <w:t>ja/või</w:t>
      </w:r>
      <w:r w:rsidR="00361823" w:rsidRPr="00687DE8">
        <w:rPr>
          <w:szCs w:val="24"/>
        </w:rPr>
        <w:t xml:space="preserve"> </w:t>
      </w:r>
      <w:r w:rsidRPr="00687DE8">
        <w:rPr>
          <w:szCs w:val="24"/>
        </w:rPr>
        <w:t>tema seedetrakt on vähemalt osaliselt toimiv</w:t>
      </w:r>
      <w:r w:rsidR="00634DBA" w:rsidRPr="00687DE8">
        <w:rPr>
          <w:szCs w:val="24"/>
        </w:rPr>
        <w:t>.</w:t>
      </w:r>
    </w:p>
    <w:p w14:paraId="4E393AE2" w14:textId="77777777" w:rsidR="00BF5B86" w:rsidRPr="00687DE8" w:rsidRDefault="00BF5B86" w:rsidP="00BF5B86">
      <w:pPr>
        <w:pStyle w:val="Vahedeta"/>
        <w:jc w:val="both"/>
        <w:divId w:val="1316184749"/>
        <w:rPr>
          <w:color w:val="000000" w:themeColor="text1"/>
          <w:szCs w:val="24"/>
          <w:lang w:val="et-EE"/>
        </w:rPr>
      </w:pPr>
    </w:p>
    <w:p w14:paraId="4BA5998F" w14:textId="1628F5E8" w:rsidR="00597354" w:rsidRDefault="00BF5B86" w:rsidP="00BF5B86">
      <w:pPr>
        <w:pStyle w:val="Vahedeta"/>
        <w:jc w:val="both"/>
        <w:divId w:val="1316184749"/>
        <w:rPr>
          <w:color w:val="000000" w:themeColor="text1"/>
          <w:szCs w:val="24"/>
          <w:lang w:val="et-EE"/>
        </w:rPr>
      </w:pPr>
      <w:r w:rsidRPr="00687DE8">
        <w:rPr>
          <w:color w:val="000000" w:themeColor="text1"/>
          <w:szCs w:val="24"/>
          <w:lang w:val="et-EE"/>
        </w:rPr>
        <w:t>(1</w:t>
      </w:r>
      <w:r w:rsidR="00CA5676" w:rsidRPr="00687DE8">
        <w:rPr>
          <w:color w:val="000000" w:themeColor="text1"/>
          <w:szCs w:val="24"/>
          <w:lang w:val="et-EE"/>
        </w:rPr>
        <w:t>8</w:t>
      </w:r>
      <w:r w:rsidRPr="00687DE8">
        <w:rPr>
          <w:color w:val="000000" w:themeColor="text1"/>
          <w:szCs w:val="24"/>
          <w:lang w:val="et-EE"/>
        </w:rPr>
        <w:t>)</w:t>
      </w:r>
      <w:r w:rsidR="00592E7E" w:rsidRPr="00687DE8">
        <w:rPr>
          <w:color w:val="000000" w:themeColor="text1"/>
          <w:szCs w:val="24"/>
          <w:lang w:val="et-EE"/>
        </w:rPr>
        <w:t xml:space="preserve"> </w:t>
      </w:r>
      <w:r w:rsidR="005023FD" w:rsidRPr="00687DE8">
        <w:rPr>
          <w:color w:val="000000" w:themeColor="text1"/>
          <w:szCs w:val="24"/>
          <w:lang w:val="et-EE"/>
        </w:rPr>
        <w:t>Tervisekassa</w:t>
      </w:r>
      <w:r w:rsidR="001D1040" w:rsidRPr="00687DE8">
        <w:rPr>
          <w:color w:val="000000" w:themeColor="text1"/>
          <w:szCs w:val="24"/>
          <w:lang w:val="et-EE"/>
        </w:rPr>
        <w:t xml:space="preserve"> võtab </w:t>
      </w:r>
      <w:r w:rsidR="00D6681F">
        <w:rPr>
          <w:color w:val="000000" w:themeColor="text1"/>
          <w:szCs w:val="24"/>
          <w:lang w:val="et-EE"/>
        </w:rPr>
        <w:t>lõikes 16 nimet</w:t>
      </w:r>
      <w:r w:rsidR="00031F25">
        <w:rPr>
          <w:color w:val="000000" w:themeColor="text1"/>
          <w:szCs w:val="24"/>
          <w:lang w:val="et-EE"/>
        </w:rPr>
        <w:t>a</w:t>
      </w:r>
      <w:r w:rsidR="00D6681F">
        <w:rPr>
          <w:color w:val="000000" w:themeColor="text1"/>
          <w:szCs w:val="24"/>
          <w:lang w:val="et-EE"/>
        </w:rPr>
        <w:t xml:space="preserve">tud </w:t>
      </w:r>
      <w:r w:rsidR="001D1040" w:rsidRPr="00687DE8">
        <w:rPr>
          <w:color w:val="000000" w:themeColor="text1"/>
          <w:szCs w:val="24"/>
          <w:lang w:val="et-EE"/>
        </w:rPr>
        <w:t xml:space="preserve">tervishoiuteenuste eest tasu maksmise kohustuse üle </w:t>
      </w:r>
      <w:r w:rsidR="00597354">
        <w:rPr>
          <w:color w:val="000000" w:themeColor="text1"/>
          <w:szCs w:val="24"/>
          <w:lang w:val="et-EE"/>
        </w:rPr>
        <w:t xml:space="preserve">järgmistel </w:t>
      </w:r>
      <w:r w:rsidR="00703DAE" w:rsidRPr="00687DE8">
        <w:rPr>
          <w:color w:val="000000" w:themeColor="text1"/>
          <w:szCs w:val="24"/>
          <w:lang w:val="et-EE"/>
        </w:rPr>
        <w:t>juh</w:t>
      </w:r>
      <w:r w:rsidR="00597354">
        <w:rPr>
          <w:color w:val="000000" w:themeColor="text1"/>
          <w:szCs w:val="24"/>
          <w:lang w:val="et-EE"/>
        </w:rPr>
        <w:t>t</w:t>
      </w:r>
      <w:r w:rsidR="00703DAE" w:rsidRPr="00687DE8">
        <w:rPr>
          <w:color w:val="000000" w:themeColor="text1"/>
          <w:szCs w:val="24"/>
          <w:lang w:val="et-EE"/>
        </w:rPr>
        <w:t>u</w:t>
      </w:r>
      <w:r w:rsidR="00597354">
        <w:rPr>
          <w:color w:val="000000" w:themeColor="text1"/>
          <w:szCs w:val="24"/>
          <w:lang w:val="et-EE"/>
        </w:rPr>
        <w:t>de</w:t>
      </w:r>
      <w:r w:rsidR="00703DAE" w:rsidRPr="00687DE8">
        <w:rPr>
          <w:color w:val="000000" w:themeColor="text1"/>
          <w:szCs w:val="24"/>
          <w:lang w:val="et-EE"/>
        </w:rPr>
        <w:t>l</w:t>
      </w:r>
      <w:r w:rsidR="005331A4">
        <w:rPr>
          <w:color w:val="000000" w:themeColor="text1"/>
          <w:szCs w:val="24"/>
          <w:lang w:val="et-EE"/>
        </w:rPr>
        <w:t>:</w:t>
      </w:r>
      <w:r w:rsidR="00703DAE" w:rsidRPr="00687DE8">
        <w:rPr>
          <w:color w:val="000000" w:themeColor="text1"/>
          <w:szCs w:val="24"/>
          <w:lang w:val="et-EE"/>
        </w:rPr>
        <w:t xml:space="preserve"> </w:t>
      </w:r>
    </w:p>
    <w:p w14:paraId="097261AB" w14:textId="723E76C0" w:rsidR="00597354" w:rsidRDefault="00597354" w:rsidP="00BF5B86">
      <w:pPr>
        <w:pStyle w:val="Vahedeta"/>
        <w:jc w:val="both"/>
        <w:divId w:val="1316184749"/>
        <w:rPr>
          <w:color w:val="000000" w:themeColor="text1"/>
          <w:lang w:val="et-EE"/>
        </w:rPr>
      </w:pPr>
      <w:r w:rsidRPr="3749B0B3">
        <w:rPr>
          <w:color w:val="000000" w:themeColor="text1"/>
          <w:lang w:val="et-EE"/>
        </w:rPr>
        <w:t>1)</w:t>
      </w:r>
      <w:r w:rsidR="00703DAE" w:rsidRPr="3749B0B3">
        <w:rPr>
          <w:color w:val="000000" w:themeColor="text1"/>
          <w:lang w:val="et-EE"/>
        </w:rPr>
        <w:t xml:space="preserve"> ravi </w:t>
      </w:r>
      <w:r w:rsidR="00703DAE" w:rsidRPr="3749B0B3" w:rsidDel="0093590D">
        <w:rPr>
          <w:color w:val="000000" w:themeColor="text1"/>
          <w:lang w:val="et-EE"/>
        </w:rPr>
        <w:t>alustamise otsus</w:t>
      </w:r>
      <w:r w:rsidR="00703DAE" w:rsidRPr="3749B0B3" w:rsidDel="004D5D43">
        <w:rPr>
          <w:color w:val="000000" w:themeColor="text1"/>
          <w:lang w:val="et-EE"/>
        </w:rPr>
        <w:t xml:space="preserve"> </w:t>
      </w:r>
      <w:r w:rsidR="00703DAE" w:rsidRPr="3749B0B3" w:rsidDel="0093590D">
        <w:rPr>
          <w:color w:val="000000" w:themeColor="text1"/>
          <w:lang w:val="et-EE"/>
        </w:rPr>
        <w:t xml:space="preserve">on tehtud </w:t>
      </w:r>
      <w:r w:rsidR="003F3695" w:rsidRPr="3749B0B3">
        <w:rPr>
          <w:color w:val="000000" w:themeColor="text1"/>
          <w:lang w:val="et-EE"/>
        </w:rPr>
        <w:t>lõikes 21 nimetatud tervishoiu</w:t>
      </w:r>
      <w:r w:rsidR="00F54E2F" w:rsidRPr="3749B0B3">
        <w:rPr>
          <w:color w:val="000000" w:themeColor="text1"/>
          <w:lang w:val="et-EE"/>
        </w:rPr>
        <w:t>teenuse osutamisel</w:t>
      </w:r>
      <w:r w:rsidR="00202E4D" w:rsidRPr="3749B0B3">
        <w:rPr>
          <w:color w:val="000000" w:themeColor="text1"/>
          <w:lang w:val="et-EE"/>
        </w:rPr>
        <w:t xml:space="preserve"> või</w:t>
      </w:r>
    </w:p>
    <w:p w14:paraId="0494BF01" w14:textId="0E288AE1" w:rsidR="00BF5B86" w:rsidRPr="00687DE8" w:rsidRDefault="00597354" w:rsidP="00BF5B86">
      <w:pPr>
        <w:pStyle w:val="Vahedeta"/>
        <w:jc w:val="both"/>
        <w:divId w:val="1316184749"/>
        <w:rPr>
          <w:color w:val="000000" w:themeColor="text1"/>
          <w:lang w:val="et-EE"/>
        </w:rPr>
      </w:pPr>
      <w:r w:rsidRPr="3749B0B3">
        <w:rPr>
          <w:color w:val="000000" w:themeColor="text1"/>
          <w:lang w:val="et-EE"/>
        </w:rPr>
        <w:t>2)</w:t>
      </w:r>
      <w:r w:rsidR="00DC6AD0" w:rsidRPr="3749B0B3" w:rsidDel="009348E9">
        <w:rPr>
          <w:color w:val="000000" w:themeColor="text1"/>
          <w:lang w:val="et-EE"/>
        </w:rPr>
        <w:t xml:space="preserve"> </w:t>
      </w:r>
      <w:r w:rsidR="00563327" w:rsidRPr="3749B0B3">
        <w:rPr>
          <w:color w:val="000000" w:themeColor="text1"/>
          <w:lang w:val="et-EE"/>
        </w:rPr>
        <w:t>koodidega 7091, 7093 ja 7095 tähistatud tervishoiuteenuste</w:t>
      </w:r>
      <w:r w:rsidR="00DC4820" w:rsidRPr="3749B0B3">
        <w:rPr>
          <w:color w:val="000000" w:themeColor="text1"/>
          <w:lang w:val="et-EE"/>
        </w:rPr>
        <w:t xml:space="preserve"> </w:t>
      </w:r>
      <w:r w:rsidR="5E09C5F5" w:rsidRPr="3749B0B3">
        <w:rPr>
          <w:color w:val="000000" w:themeColor="text1"/>
          <w:lang w:val="et-EE"/>
        </w:rPr>
        <w:t>puhul</w:t>
      </w:r>
      <w:r w:rsidR="00DC6AD0" w:rsidRPr="3749B0B3">
        <w:rPr>
          <w:color w:val="000000" w:themeColor="text1"/>
          <w:lang w:val="et-EE"/>
        </w:rPr>
        <w:t xml:space="preserve"> </w:t>
      </w:r>
      <w:r w:rsidR="004A687B" w:rsidRPr="3749B0B3">
        <w:rPr>
          <w:color w:val="000000" w:themeColor="text1"/>
          <w:lang w:val="et-EE"/>
        </w:rPr>
        <w:t>on</w:t>
      </w:r>
      <w:r w:rsidR="00DC6AD0" w:rsidRPr="3749B0B3" w:rsidDel="004A687B">
        <w:rPr>
          <w:color w:val="000000" w:themeColor="text1"/>
          <w:lang w:val="et-EE"/>
        </w:rPr>
        <w:t xml:space="preserve"> </w:t>
      </w:r>
      <w:r w:rsidR="00DC4820" w:rsidRPr="3749B0B3">
        <w:rPr>
          <w:color w:val="000000" w:themeColor="text1"/>
          <w:lang w:val="et-EE"/>
        </w:rPr>
        <w:t xml:space="preserve">ravi alustamise otsuse teinud raviarst </w:t>
      </w:r>
      <w:r w:rsidR="003C782F" w:rsidRPr="3749B0B3">
        <w:rPr>
          <w:color w:val="000000" w:themeColor="text1"/>
          <w:lang w:val="et-EE"/>
        </w:rPr>
        <w:t>ning</w:t>
      </w:r>
      <w:r w:rsidR="00145E81" w:rsidRPr="3749B0B3">
        <w:rPr>
          <w:color w:val="000000" w:themeColor="text1"/>
          <w:lang w:val="et-EE"/>
        </w:rPr>
        <w:t xml:space="preserve"> ravivajaduse </w:t>
      </w:r>
      <w:r w:rsidR="2A725F6E" w:rsidRPr="3749B0B3">
        <w:rPr>
          <w:color w:val="000000" w:themeColor="text1"/>
          <w:lang w:val="et-EE"/>
        </w:rPr>
        <w:t>püsimise</w:t>
      </w:r>
      <w:r w:rsidR="42E13F5A" w:rsidRPr="3749B0B3">
        <w:rPr>
          <w:color w:val="000000" w:themeColor="text1"/>
          <w:lang w:val="et-EE"/>
        </w:rPr>
        <w:t xml:space="preserve"> korra</w:t>
      </w:r>
      <w:r w:rsidR="2A725F6E" w:rsidRPr="3749B0B3">
        <w:rPr>
          <w:color w:val="000000" w:themeColor="text1"/>
          <w:lang w:val="et-EE"/>
        </w:rPr>
        <w:t xml:space="preserve">l </w:t>
      </w:r>
      <w:r w:rsidR="1958E568" w:rsidRPr="3749B0B3">
        <w:rPr>
          <w:color w:val="000000" w:themeColor="text1"/>
          <w:lang w:val="et-EE"/>
        </w:rPr>
        <w:t xml:space="preserve">on </w:t>
      </w:r>
      <w:r w:rsidR="00116190" w:rsidRPr="3749B0B3">
        <w:rPr>
          <w:color w:val="000000" w:themeColor="text1"/>
          <w:lang w:val="et-EE"/>
        </w:rPr>
        <w:t xml:space="preserve">alates seitsmendast </w:t>
      </w:r>
      <w:r w:rsidR="637B93F3" w:rsidRPr="3749B0B3">
        <w:rPr>
          <w:color w:val="000000" w:themeColor="text1"/>
          <w:lang w:val="et-EE"/>
        </w:rPr>
        <w:t>ravi</w:t>
      </w:r>
      <w:r w:rsidR="3816FEBE" w:rsidRPr="3749B0B3">
        <w:rPr>
          <w:color w:val="000000" w:themeColor="text1"/>
          <w:lang w:val="et-EE"/>
        </w:rPr>
        <w:t>päeva</w:t>
      </w:r>
      <w:r w:rsidR="1958E568" w:rsidRPr="3749B0B3">
        <w:rPr>
          <w:color w:val="000000" w:themeColor="text1"/>
          <w:lang w:val="et-EE"/>
        </w:rPr>
        <w:t>st</w:t>
      </w:r>
      <w:r w:rsidR="00116190" w:rsidRPr="3749B0B3">
        <w:rPr>
          <w:color w:val="000000" w:themeColor="text1"/>
          <w:lang w:val="et-EE"/>
        </w:rPr>
        <w:t xml:space="preserve"> </w:t>
      </w:r>
      <w:r w:rsidR="00DC4820" w:rsidRPr="3749B0B3">
        <w:rPr>
          <w:color w:val="000000" w:themeColor="text1"/>
          <w:lang w:val="et-EE"/>
        </w:rPr>
        <w:t xml:space="preserve">koostatud </w:t>
      </w:r>
      <w:r w:rsidR="007A49C4" w:rsidRPr="3749B0B3">
        <w:rPr>
          <w:color w:val="000000" w:themeColor="text1"/>
          <w:lang w:val="et-EE"/>
        </w:rPr>
        <w:t>toitmis</w:t>
      </w:r>
      <w:r w:rsidR="00DC4820" w:rsidRPr="3749B0B3">
        <w:rPr>
          <w:color w:val="000000" w:themeColor="text1"/>
          <w:lang w:val="et-EE"/>
        </w:rPr>
        <w:t>raviplaan</w:t>
      </w:r>
      <w:r w:rsidR="003F3695" w:rsidRPr="3749B0B3">
        <w:rPr>
          <w:color w:val="000000" w:themeColor="text1"/>
          <w:lang w:val="et-EE"/>
        </w:rPr>
        <w:t xml:space="preserve"> lõikes 21 nimetatud tervishoi</w:t>
      </w:r>
      <w:r w:rsidR="00A974EA" w:rsidRPr="3749B0B3">
        <w:rPr>
          <w:color w:val="000000" w:themeColor="text1"/>
          <w:lang w:val="et-EE"/>
        </w:rPr>
        <w:t>u</w:t>
      </w:r>
      <w:r w:rsidR="00DC4820" w:rsidRPr="3749B0B3">
        <w:rPr>
          <w:color w:val="000000" w:themeColor="text1"/>
          <w:lang w:val="et-EE"/>
        </w:rPr>
        <w:t>teenuse osutamis</w:t>
      </w:r>
      <w:r w:rsidR="00202E4D" w:rsidRPr="3749B0B3">
        <w:rPr>
          <w:color w:val="000000" w:themeColor="text1"/>
          <w:lang w:val="et-EE"/>
        </w:rPr>
        <w:t>el</w:t>
      </w:r>
      <w:r w:rsidR="00703DAE" w:rsidRPr="3749B0B3">
        <w:rPr>
          <w:color w:val="000000" w:themeColor="text1"/>
          <w:lang w:val="et-EE"/>
        </w:rPr>
        <w:t>.</w:t>
      </w:r>
    </w:p>
    <w:p w14:paraId="5970471A" w14:textId="77777777" w:rsidR="00BF5B86" w:rsidRPr="00687DE8" w:rsidRDefault="00BF5B86" w:rsidP="00BF5B86">
      <w:pPr>
        <w:pStyle w:val="Vahedeta"/>
        <w:jc w:val="both"/>
        <w:divId w:val="1316184749"/>
        <w:rPr>
          <w:color w:val="000000" w:themeColor="text1"/>
          <w:szCs w:val="24"/>
          <w:lang w:val="et-EE"/>
        </w:rPr>
      </w:pPr>
    </w:p>
    <w:p w14:paraId="4364A40F" w14:textId="0A5C10A1" w:rsidR="00BF5B86" w:rsidRPr="00687DE8" w:rsidRDefault="00BF5B86" w:rsidP="00BF5B86">
      <w:pPr>
        <w:pStyle w:val="Vahedeta"/>
        <w:jc w:val="both"/>
        <w:divId w:val="1316184749"/>
        <w:rPr>
          <w:color w:val="000000" w:themeColor="text1"/>
          <w:szCs w:val="24"/>
          <w:lang w:val="et-EE"/>
        </w:rPr>
      </w:pPr>
      <w:r w:rsidRPr="00687DE8">
        <w:rPr>
          <w:color w:val="000000" w:themeColor="text1"/>
          <w:szCs w:val="24"/>
          <w:lang w:val="et-EE"/>
        </w:rPr>
        <w:t>(1</w:t>
      </w:r>
      <w:r w:rsidR="00CA5676" w:rsidRPr="00687DE8">
        <w:rPr>
          <w:color w:val="000000" w:themeColor="text1"/>
          <w:szCs w:val="24"/>
          <w:lang w:val="et-EE"/>
        </w:rPr>
        <w:t>9</w:t>
      </w:r>
      <w:r w:rsidRPr="00687DE8">
        <w:rPr>
          <w:color w:val="000000" w:themeColor="text1"/>
          <w:szCs w:val="24"/>
          <w:lang w:val="et-EE"/>
        </w:rPr>
        <w:t xml:space="preserve">) </w:t>
      </w:r>
      <w:r w:rsidR="00AB14D7">
        <w:rPr>
          <w:color w:val="000000" w:themeColor="text1"/>
          <w:szCs w:val="24"/>
          <w:lang w:val="et-EE"/>
        </w:rPr>
        <w:t xml:space="preserve">Lõikes 16 nimetatud </w:t>
      </w:r>
      <w:r w:rsidRPr="00687DE8">
        <w:rPr>
          <w:color w:val="000000" w:themeColor="text1"/>
          <w:szCs w:val="24"/>
          <w:lang w:val="et-EE"/>
        </w:rPr>
        <w:t xml:space="preserve">tervishoiuteenuseid rakendatakse ööpäeva kohta vastavalt </w:t>
      </w:r>
      <w:r w:rsidR="007A52E1" w:rsidRPr="00687DE8">
        <w:rPr>
          <w:color w:val="000000" w:themeColor="text1"/>
          <w:szCs w:val="24"/>
          <w:lang w:val="et-EE"/>
        </w:rPr>
        <w:t>individuaalsele toiduenergia</w:t>
      </w:r>
      <w:r w:rsidR="00674C22" w:rsidRPr="00687DE8">
        <w:rPr>
          <w:color w:val="000000" w:themeColor="text1"/>
          <w:szCs w:val="24"/>
          <w:lang w:val="et-EE"/>
        </w:rPr>
        <w:t xml:space="preserve"> </w:t>
      </w:r>
      <w:r w:rsidR="007A52E1" w:rsidRPr="00687DE8">
        <w:rPr>
          <w:color w:val="000000" w:themeColor="text1"/>
          <w:szCs w:val="24"/>
          <w:lang w:val="et-EE"/>
        </w:rPr>
        <w:t>v</w:t>
      </w:r>
      <w:r w:rsidR="00674C22" w:rsidRPr="00687DE8">
        <w:rPr>
          <w:color w:val="000000" w:themeColor="text1"/>
          <w:szCs w:val="24"/>
          <w:lang w:val="et-EE"/>
        </w:rPr>
        <w:t>a</w:t>
      </w:r>
      <w:r w:rsidR="007A52E1" w:rsidRPr="00687DE8">
        <w:rPr>
          <w:color w:val="000000" w:themeColor="text1"/>
          <w:szCs w:val="24"/>
          <w:lang w:val="et-EE"/>
        </w:rPr>
        <w:t>jadusele</w:t>
      </w:r>
      <w:r w:rsidRPr="00687DE8">
        <w:rPr>
          <w:color w:val="000000" w:themeColor="text1"/>
          <w:szCs w:val="24"/>
          <w:lang w:val="et-EE"/>
        </w:rPr>
        <w:t xml:space="preserve"> 600 kcal</w:t>
      </w:r>
      <w:r w:rsidR="007A52E1" w:rsidRPr="00687DE8">
        <w:rPr>
          <w:color w:val="000000" w:themeColor="text1"/>
          <w:szCs w:val="24"/>
          <w:lang w:val="et-EE"/>
        </w:rPr>
        <w:t xml:space="preserve"> kaupa</w:t>
      </w:r>
      <w:r w:rsidRPr="00687DE8">
        <w:rPr>
          <w:color w:val="000000" w:themeColor="text1"/>
          <w:szCs w:val="24"/>
          <w:lang w:val="et-EE"/>
        </w:rPr>
        <w:t>.</w:t>
      </w:r>
    </w:p>
    <w:p w14:paraId="06F6B7B5" w14:textId="08F6B0DB" w:rsidR="00BF5B86" w:rsidRPr="00687DE8" w:rsidRDefault="00BF5B86" w:rsidP="00416497">
      <w:pPr>
        <w:pStyle w:val="Vahedeta"/>
        <w:jc w:val="both"/>
        <w:divId w:val="1316184749"/>
        <w:rPr>
          <w:color w:val="000000" w:themeColor="text1"/>
          <w:szCs w:val="24"/>
          <w:lang w:val="et-EE"/>
        </w:rPr>
      </w:pPr>
    </w:p>
    <w:p w14:paraId="41F24F94" w14:textId="77777777" w:rsidR="00BF5B86" w:rsidRPr="00687DE8" w:rsidRDefault="00BF5B86" w:rsidP="00054DE4">
      <w:pPr>
        <w:spacing w:after="0" w:line="240" w:lineRule="auto"/>
        <w:jc w:val="both"/>
        <w:divId w:val="1316184749"/>
        <w:rPr>
          <w:szCs w:val="24"/>
        </w:rPr>
      </w:pPr>
      <w:r w:rsidRPr="00687DE8">
        <w:rPr>
          <w:szCs w:val="24"/>
        </w:rPr>
        <w:t>(</w:t>
      </w:r>
      <w:r w:rsidR="00CA5676" w:rsidRPr="00687DE8">
        <w:rPr>
          <w:szCs w:val="24"/>
        </w:rPr>
        <w:t>20</w:t>
      </w:r>
      <w:r w:rsidRPr="00687DE8">
        <w:rPr>
          <w:szCs w:val="24"/>
        </w:rPr>
        <w:t xml:space="preserve">) </w:t>
      </w:r>
      <w:r w:rsidR="007A52E1" w:rsidRPr="00687DE8">
        <w:rPr>
          <w:szCs w:val="24"/>
        </w:rPr>
        <w:t>T</w:t>
      </w:r>
      <w:r w:rsidRPr="00687DE8">
        <w:rPr>
          <w:szCs w:val="24"/>
        </w:rPr>
        <w:t>oitmisravi lõpetatakse, kui patsiendil on saavutatud oodatud ravitulemused, patsiendi haigusseisund ei võimalda enam suukaudset</w:t>
      </w:r>
      <w:r w:rsidR="00066BA8" w:rsidRPr="00687DE8">
        <w:rPr>
          <w:szCs w:val="24"/>
        </w:rPr>
        <w:t>, enteraalselt või parenteraalset</w:t>
      </w:r>
      <w:r w:rsidRPr="00687DE8">
        <w:rPr>
          <w:szCs w:val="24"/>
        </w:rPr>
        <w:t xml:space="preserve"> toitmist, patsiendil puudub piisav ravisoostumus või patsient on terminaalses seisundis.</w:t>
      </w:r>
    </w:p>
    <w:p w14:paraId="07E3BCC8" w14:textId="77777777" w:rsidR="000F1BA4" w:rsidRPr="00687DE8" w:rsidRDefault="000F1BA4" w:rsidP="00416497">
      <w:pPr>
        <w:pStyle w:val="Vahedeta"/>
        <w:divId w:val="1316184749"/>
        <w:rPr>
          <w:color w:val="000000" w:themeColor="text1"/>
          <w:szCs w:val="24"/>
          <w:lang w:val="et-EE"/>
        </w:rPr>
      </w:pPr>
    </w:p>
    <w:p w14:paraId="46CDFA3B" w14:textId="77777777" w:rsidR="00B12DD1" w:rsidRPr="00687DE8" w:rsidRDefault="00B12DD1" w:rsidP="0067547B">
      <w:pPr>
        <w:pStyle w:val="Vahedeta"/>
        <w:divId w:val="1316184749"/>
        <w:rPr>
          <w:color w:val="000000" w:themeColor="text1"/>
          <w:szCs w:val="24"/>
          <w:lang w:val="et-EE"/>
        </w:rPr>
      </w:pPr>
      <w:r w:rsidRPr="00687DE8">
        <w:rPr>
          <w:color w:val="000000" w:themeColor="text1"/>
          <w:szCs w:val="24"/>
          <w:lang w:val="et-EE"/>
        </w:rPr>
        <w:t>(</w:t>
      </w:r>
      <w:r w:rsidR="00CA5676" w:rsidRPr="00687DE8">
        <w:rPr>
          <w:color w:val="000000" w:themeColor="text1"/>
          <w:szCs w:val="24"/>
          <w:lang w:val="et-EE"/>
        </w:rPr>
        <w:t>21</w:t>
      </w:r>
      <w:r w:rsidRPr="00687DE8">
        <w:rPr>
          <w:color w:val="000000" w:themeColor="text1"/>
          <w:szCs w:val="24"/>
          <w:lang w:val="et-EE"/>
        </w:rPr>
        <w:t xml:space="preserve">) </w:t>
      </w:r>
      <w:r w:rsidR="00A213F1" w:rsidRPr="00687DE8">
        <w:rPr>
          <w:color w:val="000000" w:themeColor="text1"/>
          <w:szCs w:val="24"/>
          <w:lang w:val="et-EE"/>
        </w:rPr>
        <w:t>Haiguspuhuse</w:t>
      </w:r>
      <w:r w:rsidR="008A3ED3" w:rsidRPr="00687DE8">
        <w:rPr>
          <w:color w:val="000000" w:themeColor="text1"/>
          <w:szCs w:val="24"/>
          <w:lang w:val="et-EE"/>
        </w:rPr>
        <w:t xml:space="preserve"> toitmis</w:t>
      </w:r>
      <w:r w:rsidR="00B728EC" w:rsidRPr="00687DE8">
        <w:rPr>
          <w:color w:val="000000" w:themeColor="text1"/>
          <w:szCs w:val="24"/>
          <w:lang w:val="et-EE"/>
        </w:rPr>
        <w:t>ravi</w:t>
      </w:r>
      <w:r w:rsidR="008A3ED3" w:rsidRPr="00687DE8">
        <w:rPr>
          <w:color w:val="000000" w:themeColor="text1"/>
          <w:szCs w:val="24"/>
          <w:lang w:val="et-EE"/>
        </w:rPr>
        <w:t xml:space="preserve"> </w:t>
      </w:r>
      <w:r w:rsidR="00630300" w:rsidRPr="00687DE8">
        <w:rPr>
          <w:color w:val="000000" w:themeColor="text1"/>
          <w:szCs w:val="24"/>
          <w:lang w:val="et-EE"/>
        </w:rPr>
        <w:t>konsultatsiooni</w:t>
      </w:r>
      <w:r w:rsidR="006F5383" w:rsidRPr="00687DE8">
        <w:rPr>
          <w:color w:val="000000" w:themeColor="text1"/>
          <w:szCs w:val="24"/>
          <w:lang w:val="et-EE"/>
        </w:rPr>
        <w:t>teenuse</w:t>
      </w:r>
      <w:r w:rsidR="00BF538E" w:rsidRPr="00687DE8">
        <w:rPr>
          <w:color w:val="000000" w:themeColor="text1"/>
          <w:szCs w:val="24"/>
          <w:lang w:val="et-EE"/>
        </w:rPr>
        <w:t xml:space="preserve"> piirhinnad </w:t>
      </w:r>
      <w:r w:rsidR="00E657BA" w:rsidRPr="00687DE8">
        <w:rPr>
          <w:color w:val="000000" w:themeColor="text1"/>
          <w:szCs w:val="24"/>
          <w:lang w:val="et-EE"/>
        </w:rPr>
        <w:t>on järgmised:</w:t>
      </w:r>
    </w:p>
    <w:p w14:paraId="67057E66" w14:textId="77777777" w:rsidR="00B12DD1" w:rsidRPr="00687DE8" w:rsidRDefault="00B12DD1" w:rsidP="0067547B">
      <w:pPr>
        <w:pStyle w:val="Vahedeta"/>
        <w:divId w:val="1316184749"/>
        <w:rPr>
          <w:color w:val="000000" w:themeColor="text1"/>
          <w:szCs w:val="24"/>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gridCol w:w="1134"/>
        <w:gridCol w:w="1134"/>
      </w:tblGrid>
      <w:tr w:rsidR="00B12DD1" w:rsidRPr="00687DE8" w14:paraId="608EF5DC" w14:textId="77777777" w:rsidTr="00B12DD1">
        <w:trPr>
          <w:divId w:val="1316184749"/>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CF0E82" w14:textId="77777777" w:rsidR="00B12DD1" w:rsidRPr="00687DE8" w:rsidRDefault="00B12DD1" w:rsidP="00860E95">
            <w:pPr>
              <w:spacing w:after="0" w:line="240" w:lineRule="auto"/>
              <w:jc w:val="center"/>
              <w:rPr>
                <w:szCs w:val="24"/>
              </w:rPr>
            </w:pPr>
            <w:r w:rsidRPr="00687DE8">
              <w:rPr>
                <w:b/>
                <w:szCs w:val="24"/>
              </w:rPr>
              <w:t>Tervishoiuteenuse nimetus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6C69F2" w14:textId="77777777" w:rsidR="00B12DD1" w:rsidRPr="00687DE8" w:rsidRDefault="00B12DD1" w:rsidP="00860E95">
            <w:pPr>
              <w:spacing w:after="0" w:line="240" w:lineRule="auto"/>
              <w:jc w:val="center"/>
              <w:rPr>
                <w:szCs w:val="24"/>
              </w:rPr>
            </w:pPr>
            <w:r w:rsidRPr="00687DE8">
              <w:rPr>
                <w:b/>
                <w:szCs w:val="24"/>
              </w:rPr>
              <w:t>Kood</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291EC9" w14:textId="77777777" w:rsidR="00B12DD1" w:rsidRPr="00687DE8" w:rsidRDefault="00B12DD1" w:rsidP="00860E95">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523437" w:rsidRPr="00687DE8" w14:paraId="4D050AAA" w14:textId="77777777" w:rsidTr="00D30B8D">
        <w:trPr>
          <w:divId w:val="1316184749"/>
          <w:trHeight w:val="300"/>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7AE7E3" w14:textId="77777777" w:rsidR="00523437" w:rsidRPr="00687DE8" w:rsidRDefault="00523437" w:rsidP="00523437">
            <w:pPr>
              <w:spacing w:after="0" w:line="240" w:lineRule="auto"/>
              <w:rPr>
                <w:szCs w:val="24"/>
              </w:rPr>
            </w:pPr>
            <w:r w:rsidRPr="00687DE8">
              <w:rPr>
                <w:szCs w:val="24"/>
              </w:rPr>
              <w:t>Esmane haiguspuhuse toitmisravi konsultatsioon</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1EF00A" w14:textId="77777777" w:rsidR="00523437" w:rsidRPr="00687DE8" w:rsidRDefault="00523437" w:rsidP="00523437">
            <w:pPr>
              <w:spacing w:after="0" w:line="240" w:lineRule="auto"/>
              <w:jc w:val="center"/>
              <w:rPr>
                <w:szCs w:val="24"/>
              </w:rPr>
            </w:pPr>
            <w:r w:rsidRPr="00687DE8">
              <w:rPr>
                <w:szCs w:val="24"/>
              </w:rPr>
              <w:t>7087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CEF633" w14:textId="727C7FFD" w:rsidR="00523437" w:rsidRPr="00687DE8" w:rsidRDefault="00E26209" w:rsidP="00523437">
            <w:pPr>
              <w:spacing w:after="0"/>
              <w:jc w:val="center"/>
              <w:rPr>
                <w:color w:val="000000" w:themeColor="text1"/>
                <w:szCs w:val="24"/>
              </w:rPr>
            </w:pPr>
            <w:r>
              <w:rPr>
                <w:color w:val="000000"/>
              </w:rPr>
              <w:t>61,78</w:t>
            </w:r>
          </w:p>
        </w:tc>
      </w:tr>
      <w:tr w:rsidR="00523437" w:rsidRPr="00687DE8" w14:paraId="1072F817" w14:textId="77777777" w:rsidTr="00D30B8D">
        <w:trPr>
          <w:divId w:val="1316184749"/>
          <w:trHeight w:val="300"/>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76F2D3" w14:textId="77777777" w:rsidR="00523437" w:rsidRPr="00687DE8" w:rsidRDefault="00523437" w:rsidP="00523437">
            <w:pPr>
              <w:spacing w:after="0" w:line="240" w:lineRule="auto"/>
              <w:rPr>
                <w:szCs w:val="24"/>
              </w:rPr>
            </w:pPr>
            <w:r w:rsidRPr="00687DE8">
              <w:rPr>
                <w:szCs w:val="24"/>
              </w:rPr>
              <w:t xml:space="preserve">Korduv haiguspuhuse toitmisravi konsultatsioon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4E650A" w14:textId="77777777" w:rsidR="00523437" w:rsidRPr="00687DE8" w:rsidRDefault="00523437" w:rsidP="00523437">
            <w:pPr>
              <w:spacing w:after="0" w:line="240" w:lineRule="auto"/>
              <w:jc w:val="center"/>
              <w:rPr>
                <w:szCs w:val="24"/>
              </w:rPr>
            </w:pPr>
            <w:r w:rsidRPr="00687DE8">
              <w:rPr>
                <w:szCs w:val="24"/>
              </w:rPr>
              <w:t>7088</w:t>
            </w:r>
          </w:p>
        </w:tc>
        <w:tc>
          <w:tcPr>
            <w:tcW w:w="113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05A811C" w14:textId="2D470B18" w:rsidR="00523437" w:rsidRPr="00687DE8" w:rsidRDefault="00E26209" w:rsidP="00523437">
            <w:pPr>
              <w:spacing w:after="0"/>
              <w:jc w:val="center"/>
              <w:rPr>
                <w:color w:val="000000" w:themeColor="text1"/>
                <w:szCs w:val="24"/>
              </w:rPr>
            </w:pPr>
            <w:r>
              <w:rPr>
                <w:color w:val="000000"/>
              </w:rPr>
              <w:t>39,47</w:t>
            </w:r>
          </w:p>
        </w:tc>
      </w:tr>
      <w:tr w:rsidR="00523437" w:rsidRPr="00687DE8" w14:paraId="06B88BCE" w14:textId="77777777" w:rsidTr="00D30B8D">
        <w:trPr>
          <w:divId w:val="1316184749"/>
          <w:trHeight w:val="300"/>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A43EF5" w14:textId="77777777" w:rsidR="00523437" w:rsidRPr="00687DE8" w:rsidRDefault="00523437" w:rsidP="00523437">
            <w:pPr>
              <w:spacing w:after="0" w:line="240" w:lineRule="auto"/>
              <w:rPr>
                <w:szCs w:val="24"/>
              </w:rPr>
            </w:pPr>
            <w:r w:rsidRPr="00687DE8">
              <w:rPr>
                <w:szCs w:val="24"/>
              </w:rPr>
              <w:t>Korduv haiguspuhuse toitmisravi kaugkonsultatsioon</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10041D" w14:textId="77777777" w:rsidR="00523437" w:rsidRPr="00687DE8" w:rsidRDefault="00523437" w:rsidP="00523437">
            <w:pPr>
              <w:spacing w:after="0" w:line="240" w:lineRule="auto"/>
              <w:jc w:val="center"/>
              <w:rPr>
                <w:szCs w:val="24"/>
              </w:rPr>
            </w:pPr>
            <w:r w:rsidRPr="00687DE8">
              <w:rPr>
                <w:szCs w:val="24"/>
              </w:rPr>
              <w:t>7099</w:t>
            </w:r>
          </w:p>
        </w:tc>
        <w:tc>
          <w:tcPr>
            <w:tcW w:w="113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69B8462" w14:textId="1981523E" w:rsidR="00523437" w:rsidRPr="00687DE8" w:rsidRDefault="00E26209" w:rsidP="00523437">
            <w:pPr>
              <w:spacing w:after="0"/>
              <w:jc w:val="center"/>
              <w:rPr>
                <w:color w:val="000000" w:themeColor="text1"/>
                <w:szCs w:val="24"/>
              </w:rPr>
            </w:pPr>
            <w:r>
              <w:rPr>
                <w:color w:val="000000"/>
              </w:rPr>
              <w:t>39,47</w:t>
            </w:r>
          </w:p>
        </w:tc>
      </w:tr>
      <w:tr w:rsidR="00523437" w:rsidRPr="00687DE8" w14:paraId="0CEBFC99" w14:textId="77777777" w:rsidTr="00D30B8D">
        <w:trPr>
          <w:divId w:val="1316184749"/>
          <w:trHeight w:val="300"/>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D81B20" w14:textId="6409B810" w:rsidR="00523437" w:rsidRPr="00687DE8" w:rsidRDefault="00523437" w:rsidP="00523437">
            <w:pPr>
              <w:spacing w:after="0" w:line="240" w:lineRule="auto"/>
              <w:rPr>
                <w:szCs w:val="24"/>
              </w:rPr>
            </w:pPr>
            <w:r w:rsidRPr="00687DE8">
              <w:rPr>
                <w:szCs w:val="24"/>
              </w:rPr>
              <w:t>Haiguspuhuse toitmisravi raviplaani koostamine või muutmine eksperdikomisjonis (</w:t>
            </w:r>
            <w:r w:rsidRPr="007337EA">
              <w:rPr>
                <w:szCs w:val="24"/>
              </w:rPr>
              <w:t>vähemalt kaks kehtiva toitmisravi täiendkoolituse sertifikaadiga liiget, kellest vähemalt üks on arst)</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958ACB" w14:textId="695F44E6" w:rsidR="00523437" w:rsidRPr="00687DE8" w:rsidRDefault="00523437" w:rsidP="00523437">
            <w:pPr>
              <w:spacing w:after="0" w:line="240" w:lineRule="auto"/>
              <w:jc w:val="center"/>
              <w:rPr>
                <w:szCs w:val="24"/>
              </w:rPr>
            </w:pPr>
            <w:r w:rsidRPr="00687DE8">
              <w:rPr>
                <w:szCs w:val="24"/>
              </w:rPr>
              <w:t>7089</w:t>
            </w:r>
          </w:p>
        </w:tc>
        <w:tc>
          <w:tcPr>
            <w:tcW w:w="113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F42E3AD" w14:textId="113CC2AF" w:rsidR="00523437" w:rsidRPr="00687DE8" w:rsidRDefault="00E26209" w:rsidP="00523437">
            <w:pPr>
              <w:spacing w:after="0"/>
              <w:jc w:val="center"/>
              <w:rPr>
                <w:color w:val="000000" w:themeColor="text1"/>
                <w:szCs w:val="24"/>
              </w:rPr>
            </w:pPr>
            <w:r>
              <w:rPr>
                <w:color w:val="000000"/>
              </w:rPr>
              <w:t>94,23</w:t>
            </w:r>
          </w:p>
        </w:tc>
      </w:tr>
    </w:tbl>
    <w:p w14:paraId="5446403D" w14:textId="77777777" w:rsidR="00B12DD1" w:rsidRPr="00687DE8" w:rsidRDefault="00B12DD1" w:rsidP="78184276">
      <w:pPr>
        <w:pStyle w:val="Vahedeta"/>
        <w:divId w:val="1316184749"/>
        <w:rPr>
          <w:szCs w:val="24"/>
          <w:lang w:val="et-EE"/>
        </w:rPr>
      </w:pPr>
    </w:p>
    <w:p w14:paraId="261B4904" w14:textId="0EE3416B" w:rsidR="004A57E9" w:rsidRPr="00687DE8" w:rsidRDefault="001A2D07" w:rsidP="00054DE4">
      <w:pPr>
        <w:spacing w:after="0" w:line="240" w:lineRule="auto"/>
        <w:jc w:val="both"/>
        <w:divId w:val="1316184749"/>
        <w:rPr>
          <w:szCs w:val="24"/>
        </w:rPr>
      </w:pPr>
      <w:bookmarkStart w:id="11" w:name="_Hlk151732858"/>
      <w:r w:rsidRPr="00687DE8">
        <w:rPr>
          <w:color w:val="000000" w:themeColor="text1"/>
          <w:szCs w:val="24"/>
        </w:rPr>
        <w:t>(</w:t>
      </w:r>
      <w:r w:rsidR="007C77BB" w:rsidRPr="00687DE8">
        <w:rPr>
          <w:color w:val="000000" w:themeColor="text1"/>
          <w:szCs w:val="24"/>
        </w:rPr>
        <w:t>22</w:t>
      </w:r>
      <w:r w:rsidRPr="00687DE8">
        <w:rPr>
          <w:color w:val="000000" w:themeColor="text1"/>
          <w:szCs w:val="24"/>
        </w:rPr>
        <w:t xml:space="preserve">) </w:t>
      </w:r>
      <w:r w:rsidR="005A08BD" w:rsidRPr="00687DE8">
        <w:rPr>
          <w:color w:val="000000" w:themeColor="text1"/>
          <w:szCs w:val="24"/>
        </w:rPr>
        <w:t>Koodide</w:t>
      </w:r>
      <w:r w:rsidR="00730416" w:rsidRPr="00687DE8">
        <w:rPr>
          <w:color w:val="000000" w:themeColor="text1"/>
          <w:szCs w:val="24"/>
        </w:rPr>
        <w:t xml:space="preserve">ga </w:t>
      </w:r>
      <w:r w:rsidR="00BF2E13" w:rsidRPr="00687DE8">
        <w:rPr>
          <w:szCs w:val="24"/>
        </w:rPr>
        <w:t>70</w:t>
      </w:r>
      <w:r w:rsidR="00D035BB" w:rsidRPr="00687DE8">
        <w:rPr>
          <w:szCs w:val="24"/>
        </w:rPr>
        <w:t>87</w:t>
      </w:r>
      <w:r w:rsidR="00C02B6E" w:rsidRPr="00687DE8">
        <w:rPr>
          <w:szCs w:val="24"/>
        </w:rPr>
        <w:t>,</w:t>
      </w:r>
      <w:r w:rsidR="009A5B81" w:rsidRPr="00687DE8">
        <w:rPr>
          <w:szCs w:val="24"/>
        </w:rPr>
        <w:t xml:space="preserve"> </w:t>
      </w:r>
      <w:r w:rsidR="00CB1EEC" w:rsidRPr="00687DE8">
        <w:rPr>
          <w:szCs w:val="24"/>
        </w:rPr>
        <w:t>7088</w:t>
      </w:r>
      <w:r w:rsidR="00BF19E6" w:rsidRPr="00687DE8">
        <w:rPr>
          <w:szCs w:val="24"/>
        </w:rPr>
        <w:t xml:space="preserve"> ja </w:t>
      </w:r>
      <w:r w:rsidR="00C02B6E" w:rsidRPr="00687DE8">
        <w:rPr>
          <w:szCs w:val="24"/>
        </w:rPr>
        <w:t>7099</w:t>
      </w:r>
      <w:r w:rsidR="008E2C73" w:rsidRPr="00687DE8">
        <w:rPr>
          <w:szCs w:val="24"/>
        </w:rPr>
        <w:t xml:space="preserve"> </w:t>
      </w:r>
      <w:r w:rsidR="007E4D76" w:rsidRPr="00687DE8">
        <w:rPr>
          <w:szCs w:val="24"/>
        </w:rPr>
        <w:t xml:space="preserve">tähistatud tervishoiuteenuseid rakendatakse </w:t>
      </w:r>
      <w:r w:rsidR="00BF19E6" w:rsidRPr="00687DE8">
        <w:rPr>
          <w:szCs w:val="24"/>
        </w:rPr>
        <w:t>suukaudse</w:t>
      </w:r>
      <w:r w:rsidR="00C467A1" w:rsidRPr="00687DE8">
        <w:rPr>
          <w:szCs w:val="24"/>
        </w:rPr>
        <w:t>te toitmis</w:t>
      </w:r>
      <w:r w:rsidR="008060C3" w:rsidRPr="00687DE8">
        <w:rPr>
          <w:szCs w:val="24"/>
        </w:rPr>
        <w:t xml:space="preserve">ravi </w:t>
      </w:r>
      <w:r w:rsidR="00C467A1" w:rsidRPr="00687DE8">
        <w:rPr>
          <w:szCs w:val="24"/>
        </w:rPr>
        <w:t>preparaa</w:t>
      </w:r>
      <w:r w:rsidR="008060C3" w:rsidRPr="00687DE8">
        <w:rPr>
          <w:szCs w:val="24"/>
        </w:rPr>
        <w:t>t</w:t>
      </w:r>
      <w:r w:rsidR="00C467A1" w:rsidRPr="00687DE8">
        <w:rPr>
          <w:szCs w:val="24"/>
        </w:rPr>
        <w:t>ide,</w:t>
      </w:r>
      <w:r w:rsidR="004A57E9" w:rsidRPr="00687DE8">
        <w:rPr>
          <w:szCs w:val="24"/>
        </w:rPr>
        <w:t xml:space="preserve"> enteraalse või parenteraalse </w:t>
      </w:r>
      <w:r w:rsidR="006852AF" w:rsidRPr="00687DE8">
        <w:rPr>
          <w:szCs w:val="24"/>
        </w:rPr>
        <w:t>toitmisravi</w:t>
      </w:r>
      <w:r w:rsidR="004A57E9" w:rsidRPr="00687DE8">
        <w:rPr>
          <w:szCs w:val="24"/>
        </w:rPr>
        <w:t xml:space="preserve"> vajaduse hindamisel</w:t>
      </w:r>
      <w:r w:rsidR="00C77C0E" w:rsidRPr="00687DE8">
        <w:rPr>
          <w:szCs w:val="24"/>
        </w:rPr>
        <w:t>,</w:t>
      </w:r>
      <w:r w:rsidR="007B2917" w:rsidRPr="00687DE8">
        <w:rPr>
          <w:szCs w:val="24"/>
        </w:rPr>
        <w:t xml:space="preserve"> raviplaani </w:t>
      </w:r>
      <w:r w:rsidR="006852AF" w:rsidRPr="00687DE8">
        <w:rPr>
          <w:szCs w:val="24"/>
        </w:rPr>
        <w:t>koostamisel</w:t>
      </w:r>
      <w:r w:rsidR="007B2917" w:rsidRPr="00687DE8">
        <w:rPr>
          <w:szCs w:val="24"/>
        </w:rPr>
        <w:t xml:space="preserve"> või muutmisel</w:t>
      </w:r>
      <w:r w:rsidR="004A57E9" w:rsidRPr="00687DE8">
        <w:rPr>
          <w:szCs w:val="24"/>
        </w:rPr>
        <w:t xml:space="preserve"> juhul</w:t>
      </w:r>
      <w:r w:rsidR="0006125D" w:rsidRPr="00687DE8">
        <w:rPr>
          <w:szCs w:val="24"/>
        </w:rPr>
        <w:t>,</w:t>
      </w:r>
      <w:r w:rsidR="004A57E9" w:rsidRPr="00687DE8">
        <w:rPr>
          <w:szCs w:val="24"/>
        </w:rPr>
        <w:t xml:space="preserve"> kui teenust osutab </w:t>
      </w:r>
      <w:r w:rsidR="0076250F" w:rsidRPr="0076250F">
        <w:rPr>
          <w:szCs w:val="24"/>
        </w:rPr>
        <w:t>kehtiva toitmisravi täiendkoolituse sertifikaadiga spetsialist</w:t>
      </w:r>
      <w:r w:rsidR="0076250F">
        <w:rPr>
          <w:szCs w:val="24"/>
        </w:rPr>
        <w:t>.</w:t>
      </w:r>
    </w:p>
    <w:bookmarkEnd w:id="11"/>
    <w:p w14:paraId="761AA0CF" w14:textId="77777777" w:rsidR="008B2D53" w:rsidRPr="00687DE8" w:rsidRDefault="008B2D53" w:rsidP="00054DE4">
      <w:pPr>
        <w:spacing w:after="0" w:line="240" w:lineRule="auto"/>
        <w:jc w:val="both"/>
        <w:divId w:val="1316184749"/>
        <w:rPr>
          <w:szCs w:val="24"/>
        </w:rPr>
      </w:pPr>
    </w:p>
    <w:p w14:paraId="726D08CC" w14:textId="4BCDDDB4" w:rsidR="00EA18BE" w:rsidRPr="00687DE8" w:rsidRDefault="00D20EC9" w:rsidP="00EA18BE">
      <w:pPr>
        <w:spacing w:after="0" w:line="240" w:lineRule="auto"/>
        <w:jc w:val="both"/>
        <w:divId w:val="1316184749"/>
        <w:rPr>
          <w:szCs w:val="24"/>
        </w:rPr>
      </w:pPr>
      <w:r w:rsidRPr="00687DE8">
        <w:rPr>
          <w:szCs w:val="24"/>
        </w:rPr>
        <w:t xml:space="preserve">(23) </w:t>
      </w:r>
      <w:r w:rsidR="00EC6706" w:rsidRPr="00687DE8">
        <w:rPr>
          <w:szCs w:val="24"/>
        </w:rPr>
        <w:t>Koodiga 7099 tähistatud t</w:t>
      </w:r>
      <w:r w:rsidRPr="00687DE8">
        <w:rPr>
          <w:szCs w:val="24"/>
        </w:rPr>
        <w:t>ervishoiuteenus</w:t>
      </w:r>
      <w:r w:rsidR="00EA18BE" w:rsidRPr="00687DE8">
        <w:rPr>
          <w:szCs w:val="24"/>
        </w:rPr>
        <w:t>t rakendatakse järgmistel tingimustel:</w:t>
      </w:r>
    </w:p>
    <w:p w14:paraId="5BF77F68" w14:textId="77777777" w:rsidR="00EA18BE" w:rsidRPr="00687DE8" w:rsidRDefault="00EA18BE" w:rsidP="00EA18BE">
      <w:pPr>
        <w:spacing w:after="0" w:line="240" w:lineRule="auto"/>
        <w:jc w:val="both"/>
        <w:divId w:val="1316184749"/>
        <w:rPr>
          <w:szCs w:val="24"/>
        </w:rPr>
      </w:pPr>
      <w:r w:rsidRPr="00687DE8">
        <w:rPr>
          <w:szCs w:val="24"/>
        </w:rPr>
        <w:t>1) võrreldes kontaktteenusega tervishoiuteenuse kvaliteet säilib või paraneb;</w:t>
      </w:r>
    </w:p>
    <w:p w14:paraId="40DF9804" w14:textId="77777777" w:rsidR="00EA18BE" w:rsidRPr="00687DE8" w:rsidRDefault="00EA18BE" w:rsidP="00EA18BE">
      <w:pPr>
        <w:spacing w:after="0" w:line="240" w:lineRule="auto"/>
        <w:jc w:val="both"/>
        <w:divId w:val="1316184749"/>
        <w:rPr>
          <w:szCs w:val="24"/>
        </w:rPr>
      </w:pPr>
      <w:r w:rsidRPr="00687DE8">
        <w:rPr>
          <w:szCs w:val="24"/>
        </w:rPr>
        <w:t xml:space="preserve">2) kaugteenuse sobivuse konkreetse patsiendi terviseprobleemi käsitlemisel otsustab teenust osutav </w:t>
      </w:r>
      <w:r w:rsidR="005511D0" w:rsidRPr="00687DE8">
        <w:rPr>
          <w:szCs w:val="24"/>
        </w:rPr>
        <w:t>spetsialist</w:t>
      </w:r>
      <w:r w:rsidRPr="00687DE8">
        <w:rPr>
          <w:szCs w:val="24"/>
        </w:rPr>
        <w:t>, patsiendi tehnilist valmisolekut hindab tervishoiuteenuse osutaja;</w:t>
      </w:r>
    </w:p>
    <w:p w14:paraId="5CD7A61F" w14:textId="77777777" w:rsidR="00EA18BE" w:rsidRPr="00687DE8" w:rsidRDefault="00EA18BE" w:rsidP="00EA18BE">
      <w:pPr>
        <w:autoSpaceDE w:val="0"/>
        <w:autoSpaceDN w:val="0"/>
        <w:adjustRightInd w:val="0"/>
        <w:spacing w:after="0" w:line="240" w:lineRule="auto"/>
        <w:divId w:val="1316184749"/>
        <w:rPr>
          <w:color w:val="000000"/>
          <w:szCs w:val="24"/>
        </w:rPr>
      </w:pPr>
      <w:r w:rsidRPr="00687DE8">
        <w:rPr>
          <w:color w:val="000000" w:themeColor="text1"/>
          <w:szCs w:val="24"/>
        </w:rPr>
        <w:t>3) kaugteeenust osutatakse patsiendi nõusolekul, mis on dokumenteeritud;</w:t>
      </w:r>
    </w:p>
    <w:p w14:paraId="580CD6D7" w14:textId="77777777" w:rsidR="00EA18BE" w:rsidRPr="00687DE8" w:rsidRDefault="00EA18BE" w:rsidP="00EA18BE">
      <w:pPr>
        <w:autoSpaceDE w:val="0"/>
        <w:autoSpaceDN w:val="0"/>
        <w:adjustRightInd w:val="0"/>
        <w:spacing w:after="0" w:line="240" w:lineRule="auto"/>
        <w:divId w:val="1316184749"/>
        <w:rPr>
          <w:color w:val="000000"/>
          <w:szCs w:val="24"/>
        </w:rPr>
      </w:pPr>
      <w:r w:rsidRPr="00687DE8">
        <w:rPr>
          <w:color w:val="000000" w:themeColor="text1"/>
          <w:szCs w:val="24"/>
        </w:rPr>
        <w:t>4) kaugteenust osutatakse kokkulepitud ajal ja viisil, sünkroonse suhtlusena;</w:t>
      </w:r>
    </w:p>
    <w:p w14:paraId="7F9ADF4D" w14:textId="77777777" w:rsidR="00EA18BE" w:rsidRPr="00687DE8" w:rsidRDefault="00EA18BE" w:rsidP="00EA18BE">
      <w:pPr>
        <w:autoSpaceDE w:val="0"/>
        <w:autoSpaceDN w:val="0"/>
        <w:adjustRightInd w:val="0"/>
        <w:spacing w:after="0" w:line="240" w:lineRule="auto"/>
        <w:jc w:val="both"/>
        <w:divId w:val="1316184749"/>
        <w:rPr>
          <w:color w:val="000000"/>
          <w:szCs w:val="24"/>
        </w:rPr>
      </w:pPr>
      <w:r w:rsidRPr="00687DE8">
        <w:rPr>
          <w:color w:val="000000" w:themeColor="text1"/>
          <w:szCs w:val="24"/>
        </w:rPr>
        <w:t>5) kaugteenuse osutamisel kasutatav info- ja kommunikatsioonitehnoloogiline lahendus ning selle kasutamine vastavad õigusaktides (sealhulgas isikuandmete kaitse seadus, isikuandmete kaitse üldmäärus) sätestatud põhimõtetele;</w:t>
      </w:r>
    </w:p>
    <w:p w14:paraId="73758E12" w14:textId="77777777" w:rsidR="00EA18BE" w:rsidRPr="00687DE8" w:rsidRDefault="00EA18BE" w:rsidP="00EA18BE">
      <w:pPr>
        <w:autoSpaceDE w:val="0"/>
        <w:autoSpaceDN w:val="0"/>
        <w:adjustRightInd w:val="0"/>
        <w:spacing w:after="0" w:line="240" w:lineRule="auto"/>
        <w:jc w:val="both"/>
        <w:divId w:val="1316184749"/>
        <w:rPr>
          <w:color w:val="000000"/>
          <w:szCs w:val="24"/>
        </w:rPr>
      </w:pPr>
      <w:r w:rsidRPr="00687DE8">
        <w:rPr>
          <w:color w:val="000000" w:themeColor="text1"/>
          <w:szCs w:val="24"/>
        </w:rPr>
        <w:t>6) patsiendi isiku tuvastamise eest vastutab tervishoiuteenuse osutaja.</w:t>
      </w:r>
    </w:p>
    <w:p w14:paraId="7FD8478A" w14:textId="77777777" w:rsidR="00976487" w:rsidRPr="00687DE8" w:rsidRDefault="00976487" w:rsidP="00976487">
      <w:pPr>
        <w:pStyle w:val="Vahedeta"/>
        <w:divId w:val="1316184749"/>
        <w:rPr>
          <w:b/>
          <w:szCs w:val="24"/>
          <w:lang w:val="et-EE"/>
        </w:rPr>
      </w:pPr>
    </w:p>
    <w:p w14:paraId="273D74D7" w14:textId="77777777" w:rsidR="00976487" w:rsidRDefault="00976487" w:rsidP="00976487">
      <w:pPr>
        <w:spacing w:after="0" w:line="240" w:lineRule="auto"/>
        <w:jc w:val="both"/>
        <w:outlineLvl w:val="2"/>
        <w:divId w:val="1316184749"/>
        <w:rPr>
          <w:b/>
          <w:szCs w:val="24"/>
        </w:rPr>
      </w:pPr>
      <w:r w:rsidRPr="00687DE8">
        <w:rPr>
          <w:b/>
          <w:szCs w:val="24"/>
        </w:rPr>
        <w:t>§ 1</w:t>
      </w:r>
      <w:r w:rsidR="00EF4EA9" w:rsidRPr="00687DE8">
        <w:rPr>
          <w:b/>
          <w:szCs w:val="24"/>
        </w:rPr>
        <w:t>2</w:t>
      </w:r>
      <w:r w:rsidRPr="00687DE8">
        <w:rPr>
          <w:b/>
          <w:szCs w:val="24"/>
        </w:rPr>
        <w:t>. Koduse ventilaatorravi, koduse hapnikravi, koduse pulssoksümeetria, aspiraatori kodukasutuse ja köhimisaparaadi kodukasutuse piirhinnad</w:t>
      </w:r>
    </w:p>
    <w:p w14:paraId="513A0B2F" w14:textId="77777777" w:rsidR="00517826" w:rsidRDefault="00517826" w:rsidP="00976487">
      <w:pPr>
        <w:spacing w:after="0" w:line="240" w:lineRule="auto"/>
        <w:divId w:val="1316184749"/>
      </w:pPr>
    </w:p>
    <w:p w14:paraId="7BB831BF" w14:textId="638DC7E2" w:rsidR="00976487" w:rsidRPr="00687DE8" w:rsidRDefault="00976487" w:rsidP="00976487">
      <w:pPr>
        <w:spacing w:after="0" w:line="240" w:lineRule="auto"/>
        <w:divId w:val="1316184749"/>
      </w:pPr>
      <w:r>
        <w:t>(1) Koduse ventilaatorravi ja hapnikravi ravipäeva piirhind on järgmine:</w:t>
      </w:r>
    </w:p>
    <w:p w14:paraId="64595DD4" w14:textId="77777777" w:rsidR="00976487" w:rsidRPr="00687DE8" w:rsidRDefault="00976487" w:rsidP="00976487">
      <w:pPr>
        <w:spacing w:after="0" w:line="240" w:lineRule="auto"/>
        <w:divId w:val="1316184749"/>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gridCol w:w="1134"/>
        <w:gridCol w:w="1134"/>
      </w:tblGrid>
      <w:tr w:rsidR="00976487" w:rsidRPr="00687DE8" w14:paraId="7B399BAF" w14:textId="77777777" w:rsidTr="00976487">
        <w:trPr>
          <w:divId w:val="1316184749"/>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716827" w14:textId="77777777" w:rsidR="00976487" w:rsidRPr="00687DE8" w:rsidRDefault="00976487">
            <w:pPr>
              <w:spacing w:after="0" w:line="240" w:lineRule="auto"/>
              <w:jc w:val="center"/>
              <w:rPr>
                <w:szCs w:val="24"/>
              </w:rPr>
            </w:pPr>
            <w:r w:rsidRPr="00687DE8">
              <w:rPr>
                <w:b/>
                <w:szCs w:val="24"/>
              </w:rPr>
              <w:t>Tervishoiuteenuse nimetus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B58DB7" w14:textId="77777777" w:rsidR="00976487" w:rsidRPr="00687DE8" w:rsidRDefault="00976487">
            <w:pPr>
              <w:spacing w:after="0" w:line="240" w:lineRule="auto"/>
              <w:jc w:val="center"/>
              <w:rPr>
                <w:szCs w:val="24"/>
              </w:rPr>
            </w:pPr>
            <w:r w:rsidRPr="00687DE8">
              <w:rPr>
                <w:b/>
                <w:szCs w:val="24"/>
              </w:rPr>
              <w:t>Kood</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0A6E64"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377C3C" w:rsidRPr="00687DE8" w14:paraId="4C5244D3" w14:textId="77777777" w:rsidTr="00D30B8D">
        <w:trPr>
          <w:divId w:val="1316184749"/>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1692F7" w14:textId="77777777" w:rsidR="00377C3C" w:rsidRPr="00687DE8" w:rsidRDefault="00377C3C" w:rsidP="00377C3C">
            <w:pPr>
              <w:spacing w:after="0" w:line="240" w:lineRule="auto"/>
              <w:rPr>
                <w:szCs w:val="24"/>
              </w:rPr>
            </w:pPr>
            <w:r w:rsidRPr="00687DE8">
              <w:rPr>
                <w:szCs w:val="24"/>
              </w:rPr>
              <w:t xml:space="preserve">Kodune hapnikravi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10FA74" w14:textId="77777777" w:rsidR="00377C3C" w:rsidRPr="00687DE8" w:rsidRDefault="00377C3C" w:rsidP="00377C3C">
            <w:pPr>
              <w:spacing w:after="0" w:line="240" w:lineRule="auto"/>
              <w:jc w:val="center"/>
              <w:rPr>
                <w:szCs w:val="24"/>
              </w:rPr>
            </w:pPr>
            <w:r w:rsidRPr="00687DE8">
              <w:rPr>
                <w:szCs w:val="24"/>
              </w:rPr>
              <w:t>7046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64FD32" w14:textId="630562DA" w:rsidR="00377C3C" w:rsidRPr="00687DE8" w:rsidRDefault="00C35E50" w:rsidP="00377C3C">
            <w:pPr>
              <w:tabs>
                <w:tab w:val="decimal" w:pos="635"/>
              </w:tabs>
              <w:spacing w:after="0" w:line="240" w:lineRule="auto"/>
              <w:jc w:val="center"/>
              <w:rPr>
                <w:szCs w:val="24"/>
              </w:rPr>
            </w:pPr>
            <w:r>
              <w:rPr>
                <w:color w:val="000000"/>
              </w:rPr>
              <w:t>5,61</w:t>
            </w:r>
          </w:p>
        </w:tc>
      </w:tr>
      <w:tr w:rsidR="00377C3C" w:rsidRPr="00687DE8" w14:paraId="124DAF69" w14:textId="77777777" w:rsidTr="00D30B8D">
        <w:trPr>
          <w:divId w:val="1316184749"/>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272E71" w14:textId="77777777" w:rsidR="00377C3C" w:rsidRPr="00687DE8" w:rsidRDefault="00377C3C" w:rsidP="00377C3C">
            <w:pPr>
              <w:spacing w:after="0" w:line="240" w:lineRule="auto"/>
              <w:rPr>
                <w:szCs w:val="24"/>
              </w:rPr>
            </w:pPr>
            <w:r w:rsidRPr="00687DE8">
              <w:rPr>
                <w:szCs w:val="24"/>
              </w:rPr>
              <w:t xml:space="preserve">Invasiivne kodune ventilaatorravi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2D6C14" w14:textId="77777777" w:rsidR="00377C3C" w:rsidRPr="00687DE8" w:rsidRDefault="00377C3C" w:rsidP="00377C3C">
            <w:pPr>
              <w:spacing w:after="0" w:line="240" w:lineRule="auto"/>
              <w:jc w:val="center"/>
              <w:rPr>
                <w:szCs w:val="24"/>
              </w:rPr>
            </w:pPr>
            <w:r w:rsidRPr="00687DE8">
              <w:rPr>
                <w:szCs w:val="24"/>
              </w:rPr>
              <w:t>7070</w:t>
            </w:r>
          </w:p>
        </w:tc>
        <w:tc>
          <w:tcPr>
            <w:tcW w:w="113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9842F6" w14:textId="60AE36A3" w:rsidR="00377C3C" w:rsidRPr="00687DE8" w:rsidRDefault="00C35E50" w:rsidP="00377C3C">
            <w:pPr>
              <w:tabs>
                <w:tab w:val="decimal" w:pos="635"/>
              </w:tabs>
              <w:spacing w:after="0" w:line="240" w:lineRule="auto"/>
              <w:jc w:val="center"/>
              <w:rPr>
                <w:szCs w:val="24"/>
              </w:rPr>
            </w:pPr>
            <w:r>
              <w:rPr>
                <w:color w:val="000000"/>
              </w:rPr>
              <w:t>29,99</w:t>
            </w:r>
          </w:p>
        </w:tc>
      </w:tr>
      <w:tr w:rsidR="00377C3C" w:rsidRPr="00687DE8" w14:paraId="6E1A1D1C" w14:textId="77777777" w:rsidTr="00D30B8D">
        <w:trPr>
          <w:divId w:val="1316184749"/>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4F1308" w14:textId="77777777" w:rsidR="00377C3C" w:rsidRPr="00687DE8" w:rsidRDefault="00377C3C" w:rsidP="00377C3C">
            <w:pPr>
              <w:spacing w:after="0" w:line="240" w:lineRule="auto"/>
              <w:rPr>
                <w:szCs w:val="24"/>
              </w:rPr>
            </w:pPr>
            <w:r w:rsidRPr="00687DE8">
              <w:rPr>
                <w:szCs w:val="24"/>
              </w:rPr>
              <w:t>Mitteinvasiivne kodune ventilaatorravi</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99E31C" w14:textId="77777777" w:rsidR="00377C3C" w:rsidRPr="00687DE8" w:rsidRDefault="00377C3C" w:rsidP="00377C3C">
            <w:pPr>
              <w:spacing w:after="0" w:line="240" w:lineRule="auto"/>
              <w:jc w:val="center"/>
              <w:rPr>
                <w:szCs w:val="24"/>
              </w:rPr>
            </w:pPr>
            <w:r w:rsidRPr="00687DE8">
              <w:rPr>
                <w:szCs w:val="24"/>
              </w:rPr>
              <w:t>7071</w:t>
            </w:r>
          </w:p>
        </w:tc>
        <w:tc>
          <w:tcPr>
            <w:tcW w:w="113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AA94C5" w14:textId="1672E535" w:rsidR="00377C3C" w:rsidRPr="00687DE8" w:rsidRDefault="00C35E50" w:rsidP="00377C3C">
            <w:pPr>
              <w:tabs>
                <w:tab w:val="decimal" w:pos="635"/>
              </w:tabs>
              <w:spacing w:after="0" w:line="240" w:lineRule="auto"/>
              <w:jc w:val="center"/>
              <w:rPr>
                <w:szCs w:val="24"/>
              </w:rPr>
            </w:pPr>
            <w:r>
              <w:rPr>
                <w:color w:val="000000"/>
              </w:rPr>
              <w:t>22,99</w:t>
            </w:r>
          </w:p>
        </w:tc>
      </w:tr>
      <w:tr w:rsidR="00377C3C" w:rsidRPr="00687DE8" w14:paraId="18B31743" w14:textId="77777777" w:rsidTr="00D30B8D">
        <w:trPr>
          <w:divId w:val="1316184749"/>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DBA950" w14:textId="77777777" w:rsidR="00377C3C" w:rsidRPr="00687DE8" w:rsidRDefault="00377C3C" w:rsidP="00377C3C">
            <w:pPr>
              <w:spacing w:after="0" w:line="240" w:lineRule="auto"/>
              <w:rPr>
                <w:szCs w:val="24"/>
              </w:rPr>
            </w:pPr>
            <w:r w:rsidRPr="00687DE8">
              <w:rPr>
                <w:szCs w:val="24"/>
              </w:rPr>
              <w:t>Kodune palliatiivne hapnikravi</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FB62DD" w14:textId="77777777" w:rsidR="00377C3C" w:rsidRPr="00687DE8" w:rsidRDefault="00377C3C" w:rsidP="00377C3C">
            <w:pPr>
              <w:spacing w:after="0" w:line="240" w:lineRule="auto"/>
              <w:jc w:val="center"/>
              <w:rPr>
                <w:szCs w:val="24"/>
              </w:rPr>
            </w:pPr>
            <w:r w:rsidRPr="00687DE8">
              <w:rPr>
                <w:szCs w:val="24"/>
              </w:rPr>
              <w:t>7074</w:t>
            </w:r>
          </w:p>
        </w:tc>
        <w:tc>
          <w:tcPr>
            <w:tcW w:w="113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20C9B6A" w14:textId="50CFDB80" w:rsidR="00377C3C" w:rsidRPr="00687DE8" w:rsidRDefault="00C35E50" w:rsidP="00377C3C">
            <w:pPr>
              <w:tabs>
                <w:tab w:val="decimal" w:pos="635"/>
              </w:tabs>
              <w:spacing w:after="0" w:line="240" w:lineRule="auto"/>
              <w:jc w:val="center"/>
              <w:rPr>
                <w:szCs w:val="24"/>
              </w:rPr>
            </w:pPr>
            <w:r>
              <w:rPr>
                <w:color w:val="000000"/>
              </w:rPr>
              <w:t>4,25</w:t>
            </w:r>
          </w:p>
        </w:tc>
      </w:tr>
    </w:tbl>
    <w:p w14:paraId="29903271" w14:textId="77777777" w:rsidR="00976487" w:rsidRPr="00687DE8" w:rsidRDefault="00976487" w:rsidP="00AE1CE9">
      <w:pPr>
        <w:spacing w:after="0" w:line="240" w:lineRule="auto"/>
        <w:jc w:val="both"/>
        <w:divId w:val="1316184749"/>
        <w:rPr>
          <w:szCs w:val="24"/>
        </w:rPr>
      </w:pPr>
    </w:p>
    <w:p w14:paraId="1BEBEF5F" w14:textId="2C5F290F" w:rsidR="00976487" w:rsidRPr="00687DE8" w:rsidRDefault="00976487" w:rsidP="00AE1CE9">
      <w:pPr>
        <w:pStyle w:val="Vahedeta"/>
        <w:jc w:val="both"/>
        <w:divId w:val="1316184749"/>
        <w:rPr>
          <w:szCs w:val="24"/>
          <w:lang w:val="et-EE"/>
        </w:rPr>
      </w:pPr>
      <w:r w:rsidRPr="00687DE8">
        <w:rPr>
          <w:szCs w:val="24"/>
          <w:lang w:val="et-EE"/>
        </w:rPr>
        <w:t xml:space="preserve">(2) </w:t>
      </w:r>
      <w:r w:rsidR="005023FD" w:rsidRPr="00687DE8">
        <w:rPr>
          <w:szCs w:val="24"/>
          <w:lang w:val="et-EE"/>
        </w:rPr>
        <w:t>Tervisekassa</w:t>
      </w:r>
      <w:r w:rsidRPr="00687DE8">
        <w:rPr>
          <w:szCs w:val="24"/>
          <w:lang w:val="et-EE"/>
        </w:rPr>
        <w:t xml:space="preserve"> võtab koodiga 7046 tähistatud tervishoiuteenuse eest tasu maksmise kohustuse üle</w:t>
      </w:r>
      <w:r w:rsidR="0067547B" w:rsidRPr="00687DE8">
        <w:rPr>
          <w:szCs w:val="24"/>
          <w:lang w:val="et-EE"/>
        </w:rPr>
        <w:t xml:space="preserve"> juhul</w:t>
      </w:r>
      <w:r w:rsidRPr="00687DE8">
        <w:rPr>
          <w:szCs w:val="24"/>
          <w:lang w:val="et-EE"/>
        </w:rPr>
        <w:t>, kui patsiendil esineb krooniline hüpokseemia</w:t>
      </w:r>
      <w:r w:rsidR="00825683" w:rsidRPr="00687DE8">
        <w:rPr>
          <w:szCs w:val="24"/>
          <w:lang w:val="et-EE"/>
        </w:rPr>
        <w:t>,</w:t>
      </w:r>
      <w:r w:rsidRPr="00687DE8">
        <w:rPr>
          <w:szCs w:val="24"/>
          <w:lang w:val="et-EE"/>
        </w:rPr>
        <w:t xml:space="preserve"> hingamispuudulikkus </w:t>
      </w:r>
      <w:r w:rsidR="00185EA9" w:rsidRPr="00687DE8">
        <w:rPr>
          <w:szCs w:val="24"/>
          <w:lang w:val="et-EE"/>
        </w:rPr>
        <w:t>või ägeda kopsuhaiguse järel tekkinud hüpoks</w:t>
      </w:r>
      <w:r w:rsidR="001D6A8C" w:rsidRPr="00687DE8">
        <w:rPr>
          <w:szCs w:val="24"/>
          <w:lang w:val="et-EE"/>
        </w:rPr>
        <w:t>eemia</w:t>
      </w:r>
      <w:r w:rsidR="00185EA9" w:rsidRPr="00687DE8">
        <w:rPr>
          <w:szCs w:val="24"/>
          <w:lang w:val="et-EE"/>
        </w:rPr>
        <w:t xml:space="preserve"> </w:t>
      </w:r>
      <w:r w:rsidR="004010E0" w:rsidRPr="00687DE8">
        <w:rPr>
          <w:szCs w:val="24"/>
          <w:lang w:val="et-EE"/>
        </w:rPr>
        <w:t xml:space="preserve">ja </w:t>
      </w:r>
      <w:r w:rsidRPr="00687DE8">
        <w:rPr>
          <w:szCs w:val="24"/>
          <w:lang w:val="et-EE"/>
        </w:rPr>
        <w:t>kui raviotsuse on teinud pulmonoloog.</w:t>
      </w:r>
    </w:p>
    <w:p w14:paraId="454ACC94" w14:textId="77777777" w:rsidR="00AE1CE9" w:rsidRPr="00687DE8" w:rsidRDefault="00AE1CE9" w:rsidP="00176823">
      <w:pPr>
        <w:pStyle w:val="Vahedeta"/>
        <w:jc w:val="both"/>
        <w:divId w:val="1316184749"/>
        <w:rPr>
          <w:szCs w:val="24"/>
          <w:lang w:val="et-EE"/>
        </w:rPr>
      </w:pPr>
    </w:p>
    <w:p w14:paraId="61972507" w14:textId="5B7A17BC" w:rsidR="00976487" w:rsidRPr="00687DE8" w:rsidRDefault="00976487" w:rsidP="00334F99">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koodiga 7070 tähistatud tervishoiuteenuse eest tasu maksmise kohustuse üle patsiendilt, kellel on trahheostoom või kes on ventilaatorravist elusõltuv.</w:t>
      </w:r>
    </w:p>
    <w:p w14:paraId="7E746085" w14:textId="77777777" w:rsidR="00AE1CE9" w:rsidRPr="00687DE8" w:rsidRDefault="00AE1CE9" w:rsidP="00334F99">
      <w:pPr>
        <w:spacing w:after="0" w:line="240" w:lineRule="auto"/>
        <w:jc w:val="both"/>
        <w:divId w:val="1316184749"/>
        <w:rPr>
          <w:szCs w:val="24"/>
        </w:rPr>
      </w:pPr>
    </w:p>
    <w:p w14:paraId="51A7CC7F" w14:textId="323DC4A6" w:rsidR="00976487" w:rsidRPr="00687DE8" w:rsidRDefault="00976487" w:rsidP="00334F99">
      <w:pPr>
        <w:spacing w:after="0" w:line="240" w:lineRule="auto"/>
        <w:jc w:val="both"/>
        <w:divId w:val="1316184749"/>
        <w:rPr>
          <w:szCs w:val="24"/>
        </w:rPr>
      </w:pPr>
      <w:r w:rsidRPr="00687DE8">
        <w:rPr>
          <w:szCs w:val="24"/>
        </w:rPr>
        <w:t xml:space="preserve">(4) </w:t>
      </w:r>
      <w:r w:rsidR="005023FD" w:rsidRPr="00687DE8">
        <w:rPr>
          <w:szCs w:val="24"/>
        </w:rPr>
        <w:t>Tervisekassa</w:t>
      </w:r>
      <w:r w:rsidRPr="00687DE8">
        <w:rPr>
          <w:szCs w:val="24"/>
        </w:rPr>
        <w:t xml:space="preserve"> võtab koodiga 7071 tähistatud tervishoiuteenuse eest tasu maksmise kohustuse üle patsiendilt, kellel esine</w:t>
      </w:r>
      <w:r w:rsidR="00960EA8" w:rsidRPr="00687DE8">
        <w:rPr>
          <w:szCs w:val="24"/>
        </w:rPr>
        <w:t>vad</w:t>
      </w:r>
      <w:r w:rsidRPr="00687DE8">
        <w:rPr>
          <w:szCs w:val="24"/>
        </w:rPr>
        <w:t xml:space="preserve"> ventilatsioonipuudulikkus</w:t>
      </w:r>
      <w:r w:rsidR="003C60F1" w:rsidRPr="00687DE8">
        <w:rPr>
          <w:szCs w:val="24"/>
        </w:rPr>
        <w:t xml:space="preserve">est tingitud </w:t>
      </w:r>
      <w:r w:rsidR="00CB033F" w:rsidRPr="00687DE8">
        <w:rPr>
          <w:szCs w:val="24"/>
        </w:rPr>
        <w:t xml:space="preserve">krooniline </w:t>
      </w:r>
      <w:r w:rsidR="00960EA8" w:rsidRPr="00687DE8">
        <w:rPr>
          <w:szCs w:val="24"/>
        </w:rPr>
        <w:t>hüpoksia ja hüperkapnia</w:t>
      </w:r>
      <w:r w:rsidR="00174A44" w:rsidRPr="00687DE8">
        <w:rPr>
          <w:szCs w:val="24"/>
        </w:rPr>
        <w:t xml:space="preserve"> </w:t>
      </w:r>
      <w:r w:rsidR="00960EA8" w:rsidRPr="00687DE8">
        <w:rPr>
          <w:szCs w:val="24"/>
        </w:rPr>
        <w:t>ning</w:t>
      </w:r>
      <w:r w:rsidRPr="00687DE8">
        <w:rPr>
          <w:szCs w:val="24"/>
        </w:rPr>
        <w:t xml:space="preserve"> kelle spontaanne hingamine ei taga kopsudes piisavat gaasivahetust.</w:t>
      </w:r>
    </w:p>
    <w:p w14:paraId="2D5CF97B" w14:textId="77777777" w:rsidR="00AE1CE9" w:rsidRPr="00687DE8" w:rsidRDefault="00AE1CE9" w:rsidP="00AE1CE9">
      <w:pPr>
        <w:spacing w:after="0" w:line="240" w:lineRule="auto"/>
        <w:jc w:val="both"/>
        <w:divId w:val="1316184749"/>
        <w:rPr>
          <w:szCs w:val="24"/>
        </w:rPr>
      </w:pPr>
    </w:p>
    <w:p w14:paraId="62DBB940" w14:textId="5A760906" w:rsidR="00452DC7" w:rsidRPr="00687DE8" w:rsidRDefault="00452DC7" w:rsidP="00AE1CE9">
      <w:pPr>
        <w:spacing w:after="0" w:line="240" w:lineRule="auto"/>
        <w:jc w:val="both"/>
        <w:divId w:val="1316184749"/>
        <w:rPr>
          <w:szCs w:val="24"/>
        </w:rPr>
      </w:pPr>
      <w:r w:rsidRPr="00687DE8">
        <w:rPr>
          <w:szCs w:val="24"/>
        </w:rPr>
        <w:t xml:space="preserve">(5) </w:t>
      </w:r>
      <w:r w:rsidR="005023FD" w:rsidRPr="00687DE8">
        <w:rPr>
          <w:szCs w:val="24"/>
        </w:rPr>
        <w:t>Tervisekassa</w:t>
      </w:r>
      <w:r w:rsidR="005738A5" w:rsidRPr="00687DE8">
        <w:rPr>
          <w:szCs w:val="24"/>
        </w:rPr>
        <w:t xml:space="preserve"> võtab </w:t>
      </w:r>
      <w:r w:rsidR="004448BE" w:rsidRPr="00687DE8">
        <w:rPr>
          <w:szCs w:val="24"/>
        </w:rPr>
        <w:t xml:space="preserve">koodiga 7074 </w:t>
      </w:r>
      <w:r w:rsidR="005738A5" w:rsidRPr="00687DE8">
        <w:rPr>
          <w:szCs w:val="24"/>
        </w:rPr>
        <w:t>tähistatud tervishoiuteenuse eest tasu maksmise kohustuse üle</w:t>
      </w:r>
      <w:r w:rsidR="00E36ADA" w:rsidRPr="00687DE8">
        <w:rPr>
          <w:szCs w:val="24"/>
        </w:rPr>
        <w:t xml:space="preserve"> juhul</w:t>
      </w:r>
      <w:r w:rsidR="00F90EEB" w:rsidRPr="00687DE8">
        <w:rPr>
          <w:szCs w:val="24"/>
        </w:rPr>
        <w:t>,</w:t>
      </w:r>
      <w:r w:rsidR="003B5922" w:rsidRPr="00687DE8">
        <w:rPr>
          <w:szCs w:val="24"/>
        </w:rPr>
        <w:t xml:space="preserve"> kui lisahapnik on vajalik patsiendi üldseisundist tulenevast</w:t>
      </w:r>
      <w:r w:rsidR="007112BB" w:rsidRPr="00687DE8">
        <w:rPr>
          <w:szCs w:val="24"/>
        </w:rPr>
        <w:t xml:space="preserve"> düspnoest.</w:t>
      </w:r>
    </w:p>
    <w:p w14:paraId="225EB6BA" w14:textId="77777777" w:rsidR="00722AE1" w:rsidRPr="00687DE8" w:rsidRDefault="00722AE1" w:rsidP="00AE1CE9">
      <w:pPr>
        <w:spacing w:after="0" w:line="240" w:lineRule="auto"/>
        <w:jc w:val="both"/>
        <w:divId w:val="1316184749"/>
        <w:rPr>
          <w:szCs w:val="24"/>
        </w:rPr>
      </w:pPr>
    </w:p>
    <w:p w14:paraId="2694B552" w14:textId="77777777" w:rsidR="00D755CB" w:rsidRPr="00687DE8" w:rsidRDefault="31ADF16C" w:rsidP="00AE1CE9">
      <w:pPr>
        <w:spacing w:after="0" w:line="240" w:lineRule="auto"/>
        <w:jc w:val="both"/>
        <w:divId w:val="1316184749"/>
        <w:rPr>
          <w:szCs w:val="24"/>
        </w:rPr>
      </w:pPr>
      <w:r w:rsidRPr="00687DE8">
        <w:rPr>
          <w:szCs w:val="24"/>
        </w:rPr>
        <w:t>(</w:t>
      </w:r>
      <w:r w:rsidR="7DE64A9E" w:rsidRPr="00687DE8">
        <w:rPr>
          <w:szCs w:val="24"/>
        </w:rPr>
        <w:t xml:space="preserve">6) </w:t>
      </w:r>
      <w:r w:rsidR="00CE5C7B" w:rsidRPr="00687DE8">
        <w:rPr>
          <w:szCs w:val="24"/>
        </w:rPr>
        <w:t>K</w:t>
      </w:r>
      <w:r w:rsidR="0F30D691" w:rsidRPr="00687DE8">
        <w:rPr>
          <w:szCs w:val="24"/>
        </w:rPr>
        <w:t>o</w:t>
      </w:r>
      <w:r w:rsidR="00D755CB" w:rsidRPr="00687DE8">
        <w:rPr>
          <w:szCs w:val="24"/>
        </w:rPr>
        <w:t>odidega</w:t>
      </w:r>
      <w:r w:rsidR="602DB1EA" w:rsidRPr="00687DE8">
        <w:rPr>
          <w:szCs w:val="24"/>
        </w:rPr>
        <w:t xml:space="preserve"> 7046</w:t>
      </w:r>
      <w:r w:rsidR="00D755CB" w:rsidRPr="00687DE8">
        <w:rPr>
          <w:szCs w:val="24"/>
        </w:rPr>
        <w:t>,</w:t>
      </w:r>
      <w:r w:rsidR="602DB1EA" w:rsidRPr="00687DE8">
        <w:rPr>
          <w:szCs w:val="24"/>
        </w:rPr>
        <w:t xml:space="preserve"> 7070 ja 7071</w:t>
      </w:r>
      <w:r w:rsidR="437CCB04" w:rsidRPr="00687DE8">
        <w:rPr>
          <w:szCs w:val="24"/>
        </w:rPr>
        <w:t xml:space="preserve"> </w:t>
      </w:r>
      <w:r w:rsidR="00983CFF" w:rsidRPr="00687DE8">
        <w:rPr>
          <w:szCs w:val="24"/>
        </w:rPr>
        <w:t xml:space="preserve">tähistatud </w:t>
      </w:r>
      <w:r w:rsidR="00D755CB" w:rsidRPr="00687DE8">
        <w:rPr>
          <w:szCs w:val="24"/>
        </w:rPr>
        <w:t>tervishoiuteenus</w:t>
      </w:r>
      <w:r w:rsidR="00CE5C7B" w:rsidRPr="00687DE8">
        <w:rPr>
          <w:szCs w:val="24"/>
        </w:rPr>
        <w:t>e</w:t>
      </w:r>
      <w:r w:rsidR="003715B3" w:rsidRPr="00687DE8">
        <w:rPr>
          <w:szCs w:val="24"/>
        </w:rPr>
        <w:t>i</w:t>
      </w:r>
      <w:r w:rsidR="00CE5C7B" w:rsidRPr="00687DE8">
        <w:rPr>
          <w:szCs w:val="24"/>
        </w:rPr>
        <w:t>d ei rakendata palli</w:t>
      </w:r>
      <w:r w:rsidR="3B18CB06" w:rsidRPr="00687DE8">
        <w:rPr>
          <w:szCs w:val="24"/>
        </w:rPr>
        <w:t>ati</w:t>
      </w:r>
      <w:r w:rsidR="00CE5C7B" w:rsidRPr="00687DE8">
        <w:rPr>
          <w:szCs w:val="24"/>
        </w:rPr>
        <w:t>ivse ravi korral</w:t>
      </w:r>
      <w:r w:rsidR="00D755CB" w:rsidRPr="00687DE8">
        <w:rPr>
          <w:szCs w:val="24"/>
        </w:rPr>
        <w:t>.</w:t>
      </w:r>
    </w:p>
    <w:p w14:paraId="31FCC3A9" w14:textId="77777777" w:rsidR="00D755CB" w:rsidRPr="00687DE8" w:rsidRDefault="00D755CB" w:rsidP="003E688C">
      <w:pPr>
        <w:spacing w:after="0" w:line="240" w:lineRule="auto"/>
        <w:jc w:val="both"/>
        <w:divId w:val="1316184749"/>
        <w:rPr>
          <w:szCs w:val="24"/>
        </w:rPr>
      </w:pPr>
    </w:p>
    <w:p w14:paraId="48EAFF10" w14:textId="77777777" w:rsidR="00976487" w:rsidRPr="00687DE8" w:rsidRDefault="00976487" w:rsidP="00976487">
      <w:pPr>
        <w:spacing w:after="0" w:line="240" w:lineRule="auto"/>
        <w:jc w:val="both"/>
        <w:divId w:val="1316184749"/>
        <w:rPr>
          <w:szCs w:val="24"/>
        </w:rPr>
      </w:pPr>
      <w:r w:rsidRPr="00687DE8">
        <w:rPr>
          <w:szCs w:val="24"/>
        </w:rPr>
        <w:t>(</w:t>
      </w:r>
      <w:r w:rsidR="00D1249D" w:rsidRPr="00687DE8">
        <w:rPr>
          <w:szCs w:val="24"/>
        </w:rPr>
        <w:t>7</w:t>
      </w:r>
      <w:r w:rsidRPr="00687DE8">
        <w:rPr>
          <w:szCs w:val="24"/>
        </w:rPr>
        <w:t>) Aspiraatori ja köhimisaparaadi kodukasutuse ning koduse pulssoksümeetria ravipäeva piirhind on järgmine:</w:t>
      </w:r>
    </w:p>
    <w:p w14:paraId="7A47EC64" w14:textId="77777777" w:rsidR="00976487" w:rsidRPr="00687DE8" w:rsidRDefault="00976487" w:rsidP="00976487">
      <w:pPr>
        <w:spacing w:after="0" w:line="240" w:lineRule="auto"/>
        <w:jc w:val="both"/>
        <w:divId w:val="1316184749"/>
        <w:rPr>
          <w:szCs w:val="24"/>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2"/>
        <w:gridCol w:w="1048"/>
        <w:gridCol w:w="1385"/>
      </w:tblGrid>
      <w:tr w:rsidR="00976487" w:rsidRPr="00687DE8" w14:paraId="0F42E803" w14:textId="77777777" w:rsidTr="001843EF">
        <w:trPr>
          <w:divId w:val="1316184749"/>
        </w:trPr>
        <w:tc>
          <w:tcPr>
            <w:tcW w:w="68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44A187" w14:textId="77777777" w:rsidR="00976487" w:rsidRPr="00687DE8" w:rsidRDefault="00976487">
            <w:pPr>
              <w:spacing w:after="0" w:line="240" w:lineRule="auto"/>
              <w:jc w:val="center"/>
              <w:rPr>
                <w:szCs w:val="24"/>
              </w:rPr>
            </w:pPr>
            <w:r w:rsidRPr="00687DE8">
              <w:rPr>
                <w:b/>
                <w:szCs w:val="24"/>
              </w:rPr>
              <w:t>Tervishoiuteenuse nimetus</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F592C8" w14:textId="77777777" w:rsidR="00976487" w:rsidRPr="00687DE8" w:rsidRDefault="00976487">
            <w:pPr>
              <w:spacing w:after="0" w:line="240" w:lineRule="auto"/>
              <w:jc w:val="center"/>
              <w:rPr>
                <w:szCs w:val="24"/>
              </w:rPr>
            </w:pPr>
            <w:r w:rsidRPr="00687DE8">
              <w:rPr>
                <w:b/>
                <w:szCs w:val="24"/>
              </w:rPr>
              <w:t>Kood</w:t>
            </w:r>
          </w:p>
        </w:tc>
        <w:tc>
          <w:tcPr>
            <w:tcW w:w="13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0CDB39"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E10D84" w:rsidRPr="00687DE8" w14:paraId="60B8E92B" w14:textId="77777777" w:rsidTr="00EB7A71">
        <w:trPr>
          <w:divId w:val="1316184749"/>
        </w:trPr>
        <w:tc>
          <w:tcPr>
            <w:tcW w:w="68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CB6773" w14:textId="77777777" w:rsidR="00E10D84" w:rsidRPr="00687DE8" w:rsidRDefault="00E10D84" w:rsidP="00E10D84">
            <w:pPr>
              <w:spacing w:after="0" w:line="240" w:lineRule="auto"/>
              <w:rPr>
                <w:szCs w:val="24"/>
              </w:rPr>
            </w:pPr>
            <w:r w:rsidRPr="00687DE8">
              <w:rPr>
                <w:szCs w:val="24"/>
              </w:rPr>
              <w:t>Aspiraatori kodukasutus</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4C6EA2" w14:textId="77777777" w:rsidR="00E10D84" w:rsidRPr="00687DE8" w:rsidRDefault="00E10D84" w:rsidP="00E10D84">
            <w:pPr>
              <w:spacing w:after="0" w:line="240" w:lineRule="auto"/>
              <w:jc w:val="center"/>
              <w:rPr>
                <w:szCs w:val="24"/>
              </w:rPr>
            </w:pPr>
            <w:r w:rsidRPr="00687DE8">
              <w:rPr>
                <w:szCs w:val="24"/>
              </w:rPr>
              <w:t>7035</w:t>
            </w:r>
          </w:p>
        </w:tc>
        <w:tc>
          <w:tcPr>
            <w:tcW w:w="13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3D1E1C" w14:textId="51248EA6" w:rsidR="00E10D84" w:rsidRPr="00687DE8" w:rsidRDefault="00C83898" w:rsidP="00E10D84">
            <w:pPr>
              <w:tabs>
                <w:tab w:val="decimal" w:pos="635"/>
              </w:tabs>
              <w:spacing w:after="0" w:line="240" w:lineRule="auto"/>
              <w:jc w:val="center"/>
              <w:rPr>
                <w:szCs w:val="24"/>
              </w:rPr>
            </w:pPr>
            <w:r>
              <w:rPr>
                <w:color w:val="000000"/>
              </w:rPr>
              <w:t>2,81</w:t>
            </w:r>
          </w:p>
        </w:tc>
      </w:tr>
      <w:tr w:rsidR="00E10D84" w:rsidRPr="00687DE8" w14:paraId="7C6DD29A" w14:textId="77777777" w:rsidTr="00EB7A71">
        <w:trPr>
          <w:divId w:val="1316184749"/>
        </w:trPr>
        <w:tc>
          <w:tcPr>
            <w:tcW w:w="68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D5FE06" w14:textId="77777777" w:rsidR="00E10D84" w:rsidRPr="00687DE8" w:rsidRDefault="00E10D84" w:rsidP="00E10D84">
            <w:pPr>
              <w:spacing w:after="0" w:line="240" w:lineRule="auto"/>
              <w:rPr>
                <w:szCs w:val="24"/>
              </w:rPr>
            </w:pPr>
            <w:r w:rsidRPr="00687DE8">
              <w:rPr>
                <w:szCs w:val="24"/>
              </w:rPr>
              <w:t>Köhimisaparaadi kodukasutus</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7EF922" w14:textId="77777777" w:rsidR="00E10D84" w:rsidRPr="00687DE8" w:rsidRDefault="00E10D84" w:rsidP="00E10D84">
            <w:pPr>
              <w:spacing w:after="0" w:line="240" w:lineRule="auto"/>
              <w:jc w:val="center"/>
              <w:rPr>
                <w:szCs w:val="24"/>
              </w:rPr>
            </w:pPr>
            <w:r w:rsidRPr="00687DE8">
              <w:rPr>
                <w:szCs w:val="24"/>
              </w:rPr>
              <w:t>7072</w:t>
            </w:r>
          </w:p>
        </w:tc>
        <w:tc>
          <w:tcPr>
            <w:tcW w:w="13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2855BB" w14:textId="02814548" w:rsidR="00E10D84" w:rsidRPr="00687DE8" w:rsidRDefault="00C83898" w:rsidP="00E10D84">
            <w:pPr>
              <w:tabs>
                <w:tab w:val="decimal" w:pos="635"/>
              </w:tabs>
              <w:spacing w:after="0" w:line="240" w:lineRule="auto"/>
              <w:jc w:val="center"/>
              <w:rPr>
                <w:szCs w:val="24"/>
              </w:rPr>
            </w:pPr>
            <w:r>
              <w:rPr>
                <w:color w:val="000000"/>
              </w:rPr>
              <w:t>6,13</w:t>
            </w:r>
          </w:p>
        </w:tc>
      </w:tr>
      <w:tr w:rsidR="00E10D84" w:rsidRPr="00687DE8" w14:paraId="13C6942C" w14:textId="77777777" w:rsidTr="00EB7A71">
        <w:trPr>
          <w:divId w:val="1316184749"/>
        </w:trPr>
        <w:tc>
          <w:tcPr>
            <w:tcW w:w="68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355ED3" w14:textId="77777777" w:rsidR="00E10D84" w:rsidRPr="00687DE8" w:rsidRDefault="00E10D84" w:rsidP="00E10D84">
            <w:pPr>
              <w:spacing w:after="0" w:line="240" w:lineRule="auto"/>
              <w:rPr>
                <w:szCs w:val="24"/>
              </w:rPr>
            </w:pPr>
            <w:r w:rsidRPr="00687DE8">
              <w:rPr>
                <w:szCs w:val="24"/>
              </w:rPr>
              <w:t>Kodune pulssoksümeetria</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838850" w14:textId="77777777" w:rsidR="00E10D84" w:rsidRPr="00687DE8" w:rsidRDefault="00E10D84" w:rsidP="00E10D84">
            <w:pPr>
              <w:spacing w:after="0" w:line="240" w:lineRule="auto"/>
              <w:jc w:val="center"/>
              <w:rPr>
                <w:szCs w:val="24"/>
              </w:rPr>
            </w:pPr>
            <w:r w:rsidRPr="00687DE8">
              <w:rPr>
                <w:szCs w:val="24"/>
              </w:rPr>
              <w:t>7073</w:t>
            </w:r>
          </w:p>
        </w:tc>
        <w:tc>
          <w:tcPr>
            <w:tcW w:w="13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113FBA" w14:textId="344B9FDE" w:rsidR="00E10D84" w:rsidRPr="00687DE8" w:rsidRDefault="00C83898" w:rsidP="00E10D84">
            <w:pPr>
              <w:tabs>
                <w:tab w:val="decimal" w:pos="635"/>
              </w:tabs>
              <w:spacing w:after="0" w:line="240" w:lineRule="auto"/>
              <w:jc w:val="center"/>
              <w:rPr>
                <w:szCs w:val="24"/>
              </w:rPr>
            </w:pPr>
            <w:r>
              <w:rPr>
                <w:color w:val="000000"/>
              </w:rPr>
              <w:t>3,69</w:t>
            </w:r>
          </w:p>
        </w:tc>
      </w:tr>
    </w:tbl>
    <w:p w14:paraId="442F080B" w14:textId="77777777" w:rsidR="00976487" w:rsidRPr="00687DE8" w:rsidRDefault="00976487" w:rsidP="00976487">
      <w:pPr>
        <w:spacing w:after="0" w:line="240" w:lineRule="auto"/>
        <w:jc w:val="both"/>
        <w:divId w:val="1316184749"/>
        <w:rPr>
          <w:szCs w:val="24"/>
        </w:rPr>
      </w:pPr>
    </w:p>
    <w:p w14:paraId="5B546057" w14:textId="5F5F3A23" w:rsidR="00976487" w:rsidRPr="00687DE8" w:rsidRDefault="00976487" w:rsidP="00976487">
      <w:pPr>
        <w:pStyle w:val="Vahedeta"/>
        <w:jc w:val="both"/>
        <w:divId w:val="1316184749"/>
        <w:rPr>
          <w:szCs w:val="24"/>
          <w:lang w:val="et-EE"/>
        </w:rPr>
      </w:pPr>
      <w:r w:rsidRPr="00687DE8">
        <w:rPr>
          <w:szCs w:val="24"/>
          <w:lang w:val="et-EE"/>
        </w:rPr>
        <w:t>(</w:t>
      </w:r>
      <w:r w:rsidR="00857DFD" w:rsidRPr="00687DE8">
        <w:rPr>
          <w:szCs w:val="24"/>
          <w:lang w:val="et-EE"/>
        </w:rPr>
        <w:t>8</w:t>
      </w:r>
      <w:r w:rsidRPr="00687DE8">
        <w:rPr>
          <w:szCs w:val="24"/>
          <w:lang w:val="et-EE"/>
        </w:rPr>
        <w:t xml:space="preserve">) </w:t>
      </w:r>
      <w:r w:rsidR="005023FD" w:rsidRPr="00687DE8">
        <w:rPr>
          <w:szCs w:val="24"/>
          <w:lang w:val="et-EE"/>
        </w:rPr>
        <w:t>Tervisekassa</w:t>
      </w:r>
      <w:r w:rsidRPr="00687DE8">
        <w:rPr>
          <w:szCs w:val="24"/>
          <w:lang w:val="et-EE"/>
        </w:rPr>
        <w:t xml:space="preserve"> võtab koodiga 7035 tähistatud tervishoiuteenuse eest tasu maksmise kohustuse üle patsiendilt, kes viibib kodusel ventilaatorravil (kood 7070 või 7071) või kellel on trahheostoom, neuroloogilisest kahjustusest tingitud neelamishäire või neuromuskulaarsest haigusest tingitud köharefleksi puudumine.</w:t>
      </w:r>
    </w:p>
    <w:p w14:paraId="4F00DB59" w14:textId="77777777" w:rsidR="00976487" w:rsidRPr="00687DE8" w:rsidRDefault="00976487" w:rsidP="00976487">
      <w:pPr>
        <w:pStyle w:val="Vahedeta"/>
        <w:jc w:val="both"/>
        <w:divId w:val="1316184749"/>
        <w:rPr>
          <w:szCs w:val="24"/>
          <w:lang w:val="et-EE"/>
        </w:rPr>
      </w:pPr>
    </w:p>
    <w:p w14:paraId="6EEBB4D4" w14:textId="1898BBB4" w:rsidR="00976487" w:rsidRPr="00687DE8" w:rsidRDefault="00976487" w:rsidP="00976487">
      <w:pPr>
        <w:pStyle w:val="Vahedeta"/>
        <w:jc w:val="both"/>
        <w:divId w:val="1316184749"/>
        <w:rPr>
          <w:szCs w:val="24"/>
          <w:lang w:val="et-EE"/>
        </w:rPr>
      </w:pPr>
      <w:r w:rsidRPr="00687DE8">
        <w:rPr>
          <w:szCs w:val="24"/>
          <w:lang w:val="et-EE"/>
        </w:rPr>
        <w:t>(</w:t>
      </w:r>
      <w:r w:rsidR="00857DFD" w:rsidRPr="00687DE8">
        <w:rPr>
          <w:szCs w:val="24"/>
          <w:lang w:val="et-EE"/>
        </w:rPr>
        <w:t>9</w:t>
      </w:r>
      <w:r w:rsidRPr="00687DE8">
        <w:rPr>
          <w:szCs w:val="24"/>
          <w:lang w:val="et-EE"/>
        </w:rPr>
        <w:t xml:space="preserve">) </w:t>
      </w:r>
      <w:r w:rsidR="005023FD" w:rsidRPr="00687DE8">
        <w:rPr>
          <w:szCs w:val="24"/>
          <w:lang w:val="et-EE"/>
        </w:rPr>
        <w:t>Tervisekassa</w:t>
      </w:r>
      <w:r w:rsidRPr="00687DE8">
        <w:rPr>
          <w:szCs w:val="24"/>
          <w:lang w:val="et-EE"/>
        </w:rPr>
        <w:t xml:space="preserve"> võtab koodiga 7072 tähistatud tervishoiuteenuse eest tasu maksmise kohustuse üle, kui patsiendil on diagnoositud neurodegeneratiivne või neuromuskulaarne haigus või püsiv </w:t>
      </w:r>
      <w:r w:rsidRPr="00687DE8">
        <w:rPr>
          <w:szCs w:val="24"/>
          <w:lang w:val="et-EE"/>
        </w:rPr>
        <w:lastRenderedPageBreak/>
        <w:t>neuroloogiline kahjustus või tsüstiline fibroos, millest on põhjustatud ebaefektiivne köharefleks</w:t>
      </w:r>
      <w:r w:rsidR="00973B3A" w:rsidRPr="00687DE8">
        <w:rPr>
          <w:szCs w:val="24"/>
          <w:lang w:val="et-EE"/>
        </w:rPr>
        <w:t>,</w:t>
      </w:r>
      <w:r w:rsidRPr="00687DE8">
        <w:rPr>
          <w:szCs w:val="24"/>
          <w:lang w:val="et-EE"/>
        </w:rPr>
        <w:t xml:space="preserve"> ning patsient ei tule toime manuaalsete tehnikatega või need on ebaefektiivsed.</w:t>
      </w:r>
    </w:p>
    <w:p w14:paraId="63851E80" w14:textId="77777777" w:rsidR="00976487" w:rsidRPr="00687DE8" w:rsidRDefault="00976487" w:rsidP="00976487">
      <w:pPr>
        <w:pStyle w:val="Vahedeta"/>
        <w:jc w:val="both"/>
        <w:divId w:val="1316184749"/>
        <w:rPr>
          <w:szCs w:val="24"/>
          <w:lang w:val="et-EE"/>
        </w:rPr>
      </w:pPr>
    </w:p>
    <w:p w14:paraId="04F00D83" w14:textId="779171D8" w:rsidR="00976487" w:rsidRPr="00687DE8" w:rsidRDefault="00976487" w:rsidP="00976487">
      <w:pPr>
        <w:spacing w:after="0" w:line="240" w:lineRule="auto"/>
        <w:jc w:val="both"/>
        <w:divId w:val="1316184749"/>
        <w:rPr>
          <w:szCs w:val="24"/>
        </w:rPr>
      </w:pPr>
      <w:r w:rsidRPr="00687DE8">
        <w:rPr>
          <w:szCs w:val="24"/>
        </w:rPr>
        <w:t>(</w:t>
      </w:r>
      <w:r w:rsidR="00857DFD" w:rsidRPr="00687DE8">
        <w:rPr>
          <w:szCs w:val="24"/>
        </w:rPr>
        <w:t>10</w:t>
      </w:r>
      <w:r w:rsidRPr="00687DE8">
        <w:rPr>
          <w:szCs w:val="24"/>
        </w:rPr>
        <w:t xml:space="preserve">) </w:t>
      </w:r>
      <w:r w:rsidR="005023FD" w:rsidRPr="00687DE8">
        <w:rPr>
          <w:szCs w:val="24"/>
        </w:rPr>
        <w:t>Tervisekassa</w:t>
      </w:r>
      <w:r w:rsidRPr="00687DE8">
        <w:rPr>
          <w:szCs w:val="24"/>
        </w:rPr>
        <w:t xml:space="preserve"> võtab koodiga 7072 tähistatud tervishoiuteenuse eest tasu maksmise kohustuse üle, kui raviotsuse on teinud eksper</w:t>
      </w:r>
      <w:r w:rsidR="003873A9" w:rsidRPr="00687DE8">
        <w:rPr>
          <w:szCs w:val="24"/>
        </w:rPr>
        <w:t>di</w:t>
      </w:r>
      <w:r w:rsidRPr="00687DE8">
        <w:rPr>
          <w:szCs w:val="24"/>
        </w:rPr>
        <w:t>komisjon, millesse kuulub vähemalt kaks eriarsti järgmisest loetelust: neuroloog, pulmonoloog, pediaater.</w:t>
      </w:r>
    </w:p>
    <w:p w14:paraId="08431B7B" w14:textId="77777777" w:rsidR="00976487" w:rsidRPr="00687DE8" w:rsidRDefault="00976487" w:rsidP="00976487">
      <w:pPr>
        <w:spacing w:after="0" w:line="240" w:lineRule="auto"/>
        <w:jc w:val="both"/>
        <w:divId w:val="1316184749"/>
        <w:rPr>
          <w:szCs w:val="24"/>
        </w:rPr>
      </w:pPr>
    </w:p>
    <w:p w14:paraId="1BCD8840" w14:textId="015AC1F4" w:rsidR="00255EF7" w:rsidRPr="00687DE8" w:rsidRDefault="00976487" w:rsidP="00976487">
      <w:pPr>
        <w:spacing w:after="0" w:line="240" w:lineRule="auto"/>
        <w:jc w:val="both"/>
        <w:divId w:val="1316184749"/>
        <w:rPr>
          <w:szCs w:val="24"/>
        </w:rPr>
      </w:pPr>
      <w:r w:rsidRPr="00687DE8">
        <w:rPr>
          <w:szCs w:val="24"/>
        </w:rPr>
        <w:t>(</w:t>
      </w:r>
      <w:r w:rsidR="00857DFD" w:rsidRPr="00687DE8">
        <w:rPr>
          <w:szCs w:val="24"/>
        </w:rPr>
        <w:t>11</w:t>
      </w:r>
      <w:r w:rsidRPr="00687DE8">
        <w:rPr>
          <w:szCs w:val="24"/>
        </w:rPr>
        <w:t xml:space="preserve">) </w:t>
      </w:r>
      <w:r w:rsidR="005023FD" w:rsidRPr="00687DE8">
        <w:rPr>
          <w:szCs w:val="24"/>
        </w:rPr>
        <w:t>Tervisekassa</w:t>
      </w:r>
      <w:r w:rsidRPr="00687DE8">
        <w:rPr>
          <w:szCs w:val="24"/>
        </w:rPr>
        <w:t xml:space="preserve"> võtab koodiga 7073 tähistatud tervishoiuteenuse eest tasu maksmise kohustuse üle</w:t>
      </w:r>
      <w:r w:rsidR="00255EF7" w:rsidRPr="00687DE8">
        <w:rPr>
          <w:szCs w:val="24"/>
        </w:rPr>
        <w:t>:</w:t>
      </w:r>
    </w:p>
    <w:p w14:paraId="1181FCB4" w14:textId="23401353" w:rsidR="00053564" w:rsidRPr="00687DE8" w:rsidRDefault="00E864A1" w:rsidP="00976487">
      <w:pPr>
        <w:spacing w:after="0" w:line="240" w:lineRule="auto"/>
        <w:jc w:val="both"/>
        <w:divId w:val="1316184749"/>
        <w:rPr>
          <w:szCs w:val="24"/>
        </w:rPr>
      </w:pPr>
      <w:r w:rsidRPr="00687DE8">
        <w:rPr>
          <w:szCs w:val="24"/>
        </w:rPr>
        <w:t xml:space="preserve">1) </w:t>
      </w:r>
      <w:r w:rsidR="00976487" w:rsidRPr="00687DE8">
        <w:rPr>
          <w:szCs w:val="24"/>
        </w:rPr>
        <w:t>koos koodiga 7046 tähistatud teenusega juhul, kui kuni 19-aastane patsient on hapnikravist elusõltuv</w:t>
      </w:r>
      <w:r w:rsidRPr="00687DE8">
        <w:rPr>
          <w:szCs w:val="24"/>
        </w:rPr>
        <w:t>;</w:t>
      </w:r>
    </w:p>
    <w:p w14:paraId="28B36EEC" w14:textId="42ABCBE2" w:rsidR="00E864A1" w:rsidRPr="00687DE8" w:rsidRDefault="00E864A1" w:rsidP="00976487">
      <w:pPr>
        <w:spacing w:after="0" w:line="240" w:lineRule="auto"/>
        <w:jc w:val="both"/>
        <w:divId w:val="1316184749"/>
        <w:rPr>
          <w:szCs w:val="24"/>
        </w:rPr>
      </w:pPr>
      <w:r w:rsidRPr="00687DE8">
        <w:rPr>
          <w:szCs w:val="24"/>
        </w:rPr>
        <w:t xml:space="preserve">2) </w:t>
      </w:r>
      <w:r w:rsidR="00A03BD1" w:rsidRPr="00687DE8">
        <w:rPr>
          <w:szCs w:val="24"/>
        </w:rPr>
        <w:t xml:space="preserve">juhul, kui </w:t>
      </w:r>
      <w:r w:rsidR="003D5CCF" w:rsidRPr="00687DE8">
        <w:rPr>
          <w:szCs w:val="24"/>
        </w:rPr>
        <w:t>patsiendile on paigaldatud diafragma</w:t>
      </w:r>
      <w:r w:rsidR="00CB09B8" w:rsidRPr="00687DE8">
        <w:rPr>
          <w:szCs w:val="24"/>
        </w:rPr>
        <w:t xml:space="preserve"> </w:t>
      </w:r>
      <w:r w:rsidR="003D5CCF" w:rsidRPr="00687DE8">
        <w:rPr>
          <w:szCs w:val="24"/>
        </w:rPr>
        <w:t>/</w:t>
      </w:r>
      <w:r w:rsidR="00CB09B8" w:rsidRPr="00687DE8">
        <w:rPr>
          <w:szCs w:val="24"/>
        </w:rPr>
        <w:t xml:space="preserve"> </w:t>
      </w:r>
      <w:r w:rsidR="003D5CCF" w:rsidRPr="00687DE8">
        <w:rPr>
          <w:szCs w:val="24"/>
        </w:rPr>
        <w:t>freenilise närvi stimulaator</w:t>
      </w:r>
      <w:r w:rsidR="00EE12C7" w:rsidRPr="00687DE8">
        <w:rPr>
          <w:szCs w:val="24"/>
        </w:rPr>
        <w:t>.</w:t>
      </w:r>
    </w:p>
    <w:p w14:paraId="42C82FA6" w14:textId="77777777" w:rsidR="00B67A75" w:rsidRPr="00687DE8" w:rsidRDefault="00B67A75" w:rsidP="00976487">
      <w:pPr>
        <w:spacing w:after="0" w:line="240" w:lineRule="auto"/>
        <w:jc w:val="both"/>
        <w:divId w:val="1316184749"/>
        <w:rPr>
          <w:szCs w:val="24"/>
        </w:rPr>
      </w:pPr>
    </w:p>
    <w:p w14:paraId="14D8DE3B" w14:textId="77777777" w:rsidR="00CA07D6" w:rsidRPr="00687DE8" w:rsidRDefault="00973B3A" w:rsidP="00976487">
      <w:pPr>
        <w:spacing w:after="0" w:line="240" w:lineRule="auto"/>
        <w:jc w:val="both"/>
        <w:divId w:val="1316184749"/>
        <w:rPr>
          <w:szCs w:val="24"/>
        </w:rPr>
      </w:pPr>
      <w:r w:rsidRPr="00687DE8">
        <w:rPr>
          <w:szCs w:val="24"/>
        </w:rPr>
        <w:t>(1</w:t>
      </w:r>
      <w:r w:rsidR="00857DFD" w:rsidRPr="00687DE8">
        <w:rPr>
          <w:szCs w:val="24"/>
        </w:rPr>
        <w:t>2</w:t>
      </w:r>
      <w:r w:rsidRPr="00687DE8">
        <w:rPr>
          <w:szCs w:val="24"/>
        </w:rPr>
        <w:t>) L</w:t>
      </w:r>
      <w:r w:rsidR="00976487" w:rsidRPr="00687DE8">
        <w:rPr>
          <w:szCs w:val="24"/>
        </w:rPr>
        <w:t xml:space="preserve">õigetes 1 ja </w:t>
      </w:r>
      <w:r w:rsidR="00A84D65" w:rsidRPr="00687DE8">
        <w:rPr>
          <w:szCs w:val="24"/>
        </w:rPr>
        <w:t>7</w:t>
      </w:r>
      <w:r w:rsidR="00976487" w:rsidRPr="00687DE8">
        <w:rPr>
          <w:szCs w:val="24"/>
        </w:rPr>
        <w:t xml:space="preserve"> nimetatud teenused sisaldavad teenuse osutamiseks vajalikku aparatuuri ja tarvikuid ning nende kohaletoimetamise ja hoolduse kulu iga ravipäeva kohta.</w:t>
      </w:r>
    </w:p>
    <w:p w14:paraId="5ED238A0" w14:textId="77777777" w:rsidR="00976487" w:rsidRPr="00687DE8" w:rsidRDefault="00976487" w:rsidP="00976487">
      <w:pPr>
        <w:spacing w:after="0" w:line="240" w:lineRule="auto"/>
        <w:jc w:val="both"/>
        <w:divId w:val="1316184749"/>
        <w:rPr>
          <w:szCs w:val="24"/>
        </w:rPr>
      </w:pPr>
    </w:p>
    <w:p w14:paraId="41D33EFF" w14:textId="77777777" w:rsidR="00976487" w:rsidRDefault="00976487" w:rsidP="00976487">
      <w:pPr>
        <w:spacing w:after="0" w:line="240" w:lineRule="auto"/>
        <w:jc w:val="both"/>
        <w:divId w:val="1316184749"/>
        <w:rPr>
          <w:b/>
          <w:szCs w:val="24"/>
        </w:rPr>
      </w:pPr>
      <w:r w:rsidRPr="00687DE8">
        <w:rPr>
          <w:b/>
          <w:szCs w:val="24"/>
        </w:rPr>
        <w:t>§ 1</w:t>
      </w:r>
      <w:r w:rsidR="00EF4EA9" w:rsidRPr="00687DE8">
        <w:rPr>
          <w:b/>
          <w:szCs w:val="24"/>
        </w:rPr>
        <w:t>3</w:t>
      </w:r>
      <w:r w:rsidRPr="00687DE8">
        <w:rPr>
          <w:b/>
          <w:szCs w:val="24"/>
        </w:rPr>
        <w:t>.</w:t>
      </w:r>
      <w:r w:rsidR="00AF29C7" w:rsidRPr="00687DE8">
        <w:rPr>
          <w:b/>
          <w:szCs w:val="24"/>
        </w:rPr>
        <w:t xml:space="preserve"> </w:t>
      </w:r>
      <w:r w:rsidRPr="00687DE8">
        <w:rPr>
          <w:b/>
          <w:szCs w:val="24"/>
        </w:rPr>
        <w:t>Päevaravi ja päevakirurgia piirhinnad</w:t>
      </w:r>
    </w:p>
    <w:p w14:paraId="1FADD191" w14:textId="77777777" w:rsidR="00D622B8" w:rsidRDefault="00D622B8" w:rsidP="00976487">
      <w:pPr>
        <w:spacing w:after="0" w:line="240" w:lineRule="auto"/>
        <w:jc w:val="both"/>
        <w:divId w:val="1316184749"/>
        <w:rPr>
          <w:szCs w:val="24"/>
        </w:rPr>
      </w:pPr>
    </w:p>
    <w:p w14:paraId="6024938D" w14:textId="1E04228A" w:rsidR="00976487" w:rsidRPr="00687DE8" w:rsidRDefault="00976487" w:rsidP="00976487">
      <w:pPr>
        <w:spacing w:after="0" w:line="240" w:lineRule="auto"/>
        <w:jc w:val="both"/>
        <w:divId w:val="1316184749"/>
        <w:rPr>
          <w:szCs w:val="24"/>
        </w:rPr>
      </w:pPr>
      <w:r w:rsidRPr="00687DE8">
        <w:rPr>
          <w:szCs w:val="24"/>
        </w:rPr>
        <w:t>(1) Päevaravi ja päevakirurgia korras osutatud tervishoiuteenuste piirhinnad on järgmised:</w:t>
      </w:r>
    </w:p>
    <w:p w14:paraId="763D7D08" w14:textId="77777777" w:rsidR="00976487" w:rsidRPr="00687DE8" w:rsidRDefault="00976487" w:rsidP="00976487">
      <w:pPr>
        <w:spacing w:after="0" w:line="240" w:lineRule="auto"/>
        <w:divId w:val="1316184749"/>
        <w:rPr>
          <w:szCs w:val="24"/>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4"/>
        <w:gridCol w:w="1051"/>
        <w:gridCol w:w="1350"/>
      </w:tblGrid>
      <w:tr w:rsidR="00976487" w:rsidRPr="00687DE8" w14:paraId="53A17E61" w14:textId="77777777" w:rsidTr="00076242">
        <w:trPr>
          <w:divId w:val="1316184749"/>
          <w:tblHeader/>
        </w:trPr>
        <w:tc>
          <w:tcPr>
            <w:tcW w:w="6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F2A2EE" w14:textId="77777777" w:rsidR="00976487" w:rsidRPr="00687DE8" w:rsidRDefault="00976487">
            <w:pPr>
              <w:spacing w:after="0" w:line="240" w:lineRule="auto"/>
              <w:jc w:val="center"/>
              <w:rPr>
                <w:szCs w:val="24"/>
              </w:rPr>
            </w:pPr>
            <w:r w:rsidRPr="00687DE8">
              <w:rPr>
                <w:b/>
                <w:szCs w:val="24"/>
              </w:rPr>
              <w:t>Tervishoiuteenuse nimetus</w:t>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61443A" w14:textId="77777777" w:rsidR="00976487" w:rsidRPr="00687DE8" w:rsidRDefault="00976487">
            <w:pPr>
              <w:spacing w:after="0" w:line="240" w:lineRule="auto"/>
              <w:jc w:val="center"/>
              <w:rPr>
                <w:szCs w:val="24"/>
              </w:rPr>
            </w:pPr>
            <w:r w:rsidRPr="00687DE8">
              <w:rPr>
                <w:b/>
                <w:szCs w:val="24"/>
              </w:rPr>
              <w:t>Kood</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832EA6"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AA0A2D" w:rsidRPr="00687DE8" w14:paraId="55C277F5" w14:textId="77777777" w:rsidTr="00D30B8D">
        <w:trPr>
          <w:divId w:val="1316184749"/>
          <w:trHeight w:val="300"/>
        </w:trPr>
        <w:tc>
          <w:tcPr>
            <w:tcW w:w="6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7A348A" w14:textId="77777777" w:rsidR="00AA0A2D" w:rsidRPr="00687DE8" w:rsidRDefault="00AA0A2D" w:rsidP="00AA0A2D">
            <w:pPr>
              <w:spacing w:after="0" w:line="240" w:lineRule="auto"/>
              <w:rPr>
                <w:szCs w:val="24"/>
              </w:rPr>
            </w:pPr>
            <w:r w:rsidRPr="00687DE8">
              <w:rPr>
                <w:szCs w:val="24"/>
              </w:rPr>
              <w:t>Tervishoiuteenused päevaravis</w:t>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3E8226" w14:textId="77777777" w:rsidR="00AA0A2D" w:rsidRPr="00687DE8" w:rsidRDefault="00AA0A2D" w:rsidP="00AA0A2D">
            <w:pPr>
              <w:spacing w:after="0" w:line="240" w:lineRule="auto"/>
              <w:jc w:val="center"/>
              <w:rPr>
                <w:szCs w:val="24"/>
              </w:rPr>
            </w:pPr>
            <w:r w:rsidRPr="00687DE8">
              <w:rPr>
                <w:szCs w:val="24"/>
              </w:rPr>
              <w:t>3075</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FDC99A" w14:textId="5440D0C8" w:rsidR="00AA0A2D" w:rsidRPr="00687DE8" w:rsidRDefault="00727732" w:rsidP="00AA0A2D">
            <w:pPr>
              <w:spacing w:after="0"/>
              <w:jc w:val="center"/>
              <w:rPr>
                <w:color w:val="000000" w:themeColor="text1"/>
                <w:szCs w:val="24"/>
              </w:rPr>
            </w:pPr>
            <w:r>
              <w:rPr>
                <w:color w:val="000000"/>
              </w:rPr>
              <w:t>92,58</w:t>
            </w:r>
          </w:p>
        </w:tc>
      </w:tr>
      <w:tr w:rsidR="00AA0A2D" w:rsidRPr="00687DE8" w14:paraId="19082B8F" w14:textId="77777777" w:rsidTr="00D30B8D">
        <w:trPr>
          <w:divId w:val="1316184749"/>
          <w:trHeight w:val="300"/>
        </w:trPr>
        <w:tc>
          <w:tcPr>
            <w:tcW w:w="6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80E53F" w14:textId="77777777" w:rsidR="00AA0A2D" w:rsidRPr="00687DE8" w:rsidRDefault="00AA0A2D" w:rsidP="00AA0A2D">
            <w:pPr>
              <w:spacing w:after="0" w:line="240" w:lineRule="auto"/>
              <w:rPr>
                <w:szCs w:val="24"/>
              </w:rPr>
            </w:pPr>
            <w:r w:rsidRPr="00687DE8">
              <w:rPr>
                <w:szCs w:val="24"/>
              </w:rPr>
              <w:t>Päevakirurgia</w:t>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E7634D" w14:textId="77777777" w:rsidR="00AA0A2D" w:rsidRPr="00687DE8" w:rsidRDefault="00AA0A2D" w:rsidP="00AA0A2D">
            <w:pPr>
              <w:spacing w:after="0" w:line="240" w:lineRule="auto"/>
              <w:jc w:val="center"/>
              <w:rPr>
                <w:szCs w:val="24"/>
              </w:rPr>
            </w:pPr>
            <w:r w:rsidRPr="00687DE8">
              <w:rPr>
                <w:szCs w:val="24"/>
              </w:rPr>
              <w:t>3076</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7FB364" w14:textId="55965DEC" w:rsidR="00AA0A2D" w:rsidRPr="00687DE8" w:rsidDel="003811EC" w:rsidRDefault="00727732" w:rsidP="00AA0A2D">
            <w:pPr>
              <w:spacing w:after="0"/>
              <w:jc w:val="center"/>
              <w:rPr>
                <w:szCs w:val="24"/>
              </w:rPr>
            </w:pPr>
            <w:r>
              <w:rPr>
                <w:color w:val="000000"/>
              </w:rPr>
              <w:t>115,81</w:t>
            </w:r>
          </w:p>
        </w:tc>
      </w:tr>
    </w:tbl>
    <w:p w14:paraId="697BD421" w14:textId="77777777" w:rsidR="00976487" w:rsidRPr="00687DE8" w:rsidRDefault="00976487" w:rsidP="00976487">
      <w:pPr>
        <w:spacing w:after="0" w:line="240" w:lineRule="auto"/>
        <w:jc w:val="both"/>
        <w:divId w:val="1316184749"/>
        <w:rPr>
          <w:szCs w:val="24"/>
        </w:rPr>
      </w:pPr>
    </w:p>
    <w:p w14:paraId="4E85E542" w14:textId="77777777" w:rsidR="00976487" w:rsidRPr="00687DE8" w:rsidRDefault="00976487" w:rsidP="00976487">
      <w:pPr>
        <w:spacing w:after="0" w:line="240" w:lineRule="auto"/>
        <w:jc w:val="both"/>
        <w:divId w:val="1316184749"/>
        <w:rPr>
          <w:szCs w:val="24"/>
        </w:rPr>
      </w:pPr>
      <w:r w:rsidRPr="00687DE8">
        <w:rPr>
          <w:szCs w:val="24"/>
        </w:rPr>
        <w:t>(2) Päevaravi (kood 3075) ja päevakirurgia (kood 3076) ühe päeva piirhind sisaldab kulutusi järgmistele tegevustele:</w:t>
      </w:r>
    </w:p>
    <w:p w14:paraId="01B8E4B4" w14:textId="77777777" w:rsidR="00976487" w:rsidRPr="00687DE8" w:rsidRDefault="00976487" w:rsidP="00976487">
      <w:pPr>
        <w:spacing w:after="0" w:line="240" w:lineRule="auto"/>
        <w:jc w:val="both"/>
        <w:divId w:val="1316184749"/>
        <w:rPr>
          <w:szCs w:val="24"/>
        </w:rPr>
      </w:pPr>
      <w:r w:rsidRPr="00687DE8">
        <w:rPr>
          <w:szCs w:val="24"/>
        </w:rPr>
        <w:t>1) soovitused tervise säilitamiseks ja parandamiseks;</w:t>
      </w:r>
    </w:p>
    <w:p w14:paraId="2D2A8B0F" w14:textId="77777777" w:rsidR="00976487" w:rsidRPr="00687DE8" w:rsidRDefault="00976487" w:rsidP="00976487">
      <w:pPr>
        <w:spacing w:after="0" w:line="240" w:lineRule="auto"/>
        <w:jc w:val="both"/>
        <w:divId w:val="1316184749"/>
        <w:rPr>
          <w:szCs w:val="24"/>
        </w:rPr>
      </w:pPr>
      <w:r w:rsidRPr="00687DE8">
        <w:rPr>
          <w:szCs w:val="24"/>
        </w:rPr>
        <w:t>2) soovitused töö- ja elukorralduse kohta;</w:t>
      </w:r>
    </w:p>
    <w:p w14:paraId="542584BC" w14:textId="77777777" w:rsidR="00976487" w:rsidRPr="00687DE8" w:rsidRDefault="00976487" w:rsidP="00976487">
      <w:pPr>
        <w:spacing w:after="0" w:line="240" w:lineRule="auto"/>
        <w:jc w:val="both"/>
        <w:divId w:val="1316184749"/>
        <w:rPr>
          <w:szCs w:val="24"/>
        </w:rPr>
      </w:pPr>
      <w:r w:rsidRPr="00687DE8">
        <w:rPr>
          <w:szCs w:val="24"/>
        </w:rPr>
        <w:t>3) ravimite soovitamine ja retsepti väljakirjutamine;</w:t>
      </w:r>
    </w:p>
    <w:p w14:paraId="3E61F950" w14:textId="77777777" w:rsidR="00976487" w:rsidRPr="00687DE8" w:rsidRDefault="00976487" w:rsidP="00976487">
      <w:pPr>
        <w:spacing w:after="0" w:line="240" w:lineRule="auto"/>
        <w:jc w:val="both"/>
        <w:divId w:val="1316184749"/>
        <w:rPr>
          <w:szCs w:val="24"/>
        </w:rPr>
      </w:pPr>
      <w:r w:rsidRPr="00687DE8">
        <w:rPr>
          <w:szCs w:val="24"/>
        </w:rPr>
        <w:t>4) teenuste osutamist tõendavate dokumentide vormistamine ning patsiendile tervishoiuteenuse osutamisega seotud andmete töötlemine tervise infosüsteemis;</w:t>
      </w:r>
    </w:p>
    <w:p w14:paraId="4FA643CF" w14:textId="77777777" w:rsidR="00976487" w:rsidRPr="00687DE8" w:rsidRDefault="00976487" w:rsidP="00976487">
      <w:pPr>
        <w:spacing w:after="0" w:line="240" w:lineRule="auto"/>
        <w:jc w:val="both"/>
        <w:divId w:val="1316184749"/>
        <w:rPr>
          <w:szCs w:val="24"/>
        </w:rPr>
      </w:pPr>
      <w:r w:rsidRPr="00687DE8">
        <w:rPr>
          <w:szCs w:val="24"/>
        </w:rPr>
        <w:t>5) lihtsamate raviprotseduuride tegemine, sh süstimine</w:t>
      </w:r>
      <w:r w:rsidR="00053564" w:rsidRPr="00687DE8">
        <w:rPr>
          <w:szCs w:val="24"/>
        </w:rPr>
        <w:t xml:space="preserve"> ja</w:t>
      </w:r>
      <w:r w:rsidRPr="00687DE8">
        <w:rPr>
          <w:szCs w:val="24"/>
        </w:rPr>
        <w:t xml:space="preserve"> sidumine, </w:t>
      </w:r>
      <w:r w:rsidR="00DC4841" w:rsidRPr="00687DE8">
        <w:rPr>
          <w:szCs w:val="24"/>
        </w:rPr>
        <w:t>välja arvatud</w:t>
      </w:r>
      <w:r w:rsidRPr="00687DE8">
        <w:rPr>
          <w:szCs w:val="24"/>
        </w:rPr>
        <w:t xml:space="preserve"> koodidega 7141 ja 7142 tähistatud tervishoiuteenused;</w:t>
      </w:r>
    </w:p>
    <w:p w14:paraId="38843C8F" w14:textId="77777777" w:rsidR="00976487" w:rsidRPr="00687DE8" w:rsidRDefault="00976487" w:rsidP="00976487">
      <w:pPr>
        <w:spacing w:after="0" w:line="240" w:lineRule="auto"/>
        <w:jc w:val="both"/>
        <w:divId w:val="1316184749"/>
        <w:rPr>
          <w:szCs w:val="24"/>
        </w:rPr>
      </w:pPr>
      <w:r w:rsidRPr="00687DE8">
        <w:rPr>
          <w:szCs w:val="24"/>
        </w:rPr>
        <w:t xml:space="preserve">6) </w:t>
      </w:r>
      <w:r w:rsidR="00660DB2" w:rsidRPr="00687DE8">
        <w:rPr>
          <w:szCs w:val="24"/>
        </w:rPr>
        <w:t xml:space="preserve">päevaravi või päevakirurgia </w:t>
      </w:r>
      <w:r w:rsidR="0070717A" w:rsidRPr="00687DE8">
        <w:rPr>
          <w:szCs w:val="24"/>
        </w:rPr>
        <w:t xml:space="preserve">osutamisega otseselt seotud </w:t>
      </w:r>
      <w:r w:rsidRPr="00687DE8">
        <w:rPr>
          <w:szCs w:val="24"/>
        </w:rPr>
        <w:t>muud vajalikud tegevused;</w:t>
      </w:r>
    </w:p>
    <w:p w14:paraId="4414040E" w14:textId="77777777" w:rsidR="00976487" w:rsidRPr="00687DE8" w:rsidRDefault="00976487" w:rsidP="00976487">
      <w:pPr>
        <w:spacing w:after="0" w:line="240" w:lineRule="auto"/>
        <w:jc w:val="both"/>
        <w:divId w:val="1316184749"/>
        <w:rPr>
          <w:szCs w:val="24"/>
        </w:rPr>
      </w:pPr>
      <w:r w:rsidRPr="00687DE8">
        <w:rPr>
          <w:szCs w:val="24"/>
        </w:rPr>
        <w:t>7) vajalikud õendustoimingud, haige hooldus, ravimid ning üks söögikord.</w:t>
      </w:r>
    </w:p>
    <w:p w14:paraId="4EEC5936" w14:textId="77777777" w:rsidR="00976487" w:rsidRPr="00687DE8" w:rsidRDefault="00976487" w:rsidP="00976487">
      <w:pPr>
        <w:spacing w:after="0" w:line="240" w:lineRule="auto"/>
        <w:jc w:val="both"/>
        <w:divId w:val="1316184749"/>
        <w:rPr>
          <w:szCs w:val="24"/>
        </w:rPr>
      </w:pPr>
    </w:p>
    <w:p w14:paraId="5C275B6F" w14:textId="240AB82F"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kindlustatud isikult tasu maksmise kohustuse üle päevaravi (kood 3075) piirhinna alusel juhul, kui kindlustatud isikule osutatakse tervishoiuteenuseid plaanilise ravi käigus, ta viibib </w:t>
      </w:r>
      <w:r w:rsidR="00FA5266" w:rsidRPr="00687DE8">
        <w:rPr>
          <w:szCs w:val="24"/>
        </w:rPr>
        <w:t xml:space="preserve">aktiivset jälgimist vajaval </w:t>
      </w:r>
      <w:r w:rsidRPr="00687DE8">
        <w:rPr>
          <w:szCs w:val="24"/>
        </w:rPr>
        <w:t>ravil üle nelja tunni päevas ning lahkub ravilt samal päeval.</w:t>
      </w:r>
    </w:p>
    <w:p w14:paraId="6CEBA3F6" w14:textId="77777777" w:rsidR="00976487" w:rsidRPr="00687DE8" w:rsidRDefault="00976487" w:rsidP="00976487">
      <w:pPr>
        <w:spacing w:after="0" w:line="240" w:lineRule="auto"/>
        <w:jc w:val="both"/>
        <w:divId w:val="1316184749"/>
        <w:rPr>
          <w:szCs w:val="24"/>
        </w:rPr>
      </w:pPr>
    </w:p>
    <w:p w14:paraId="26FE1120" w14:textId="61620740" w:rsidR="00976487" w:rsidRPr="00687DE8" w:rsidRDefault="00976487" w:rsidP="00976487">
      <w:pPr>
        <w:spacing w:after="0" w:line="240" w:lineRule="auto"/>
        <w:jc w:val="both"/>
        <w:divId w:val="1316184749"/>
        <w:rPr>
          <w:szCs w:val="24"/>
        </w:rPr>
      </w:pPr>
      <w:r w:rsidRPr="00687DE8">
        <w:rPr>
          <w:szCs w:val="24"/>
        </w:rPr>
        <w:t xml:space="preserve">(4) </w:t>
      </w:r>
      <w:r w:rsidR="005023FD" w:rsidRPr="00687DE8">
        <w:rPr>
          <w:szCs w:val="24"/>
        </w:rPr>
        <w:t>Tervisekassa</w:t>
      </w:r>
      <w:r w:rsidRPr="00687DE8">
        <w:rPr>
          <w:szCs w:val="24"/>
        </w:rPr>
        <w:t xml:space="preserve"> võtab kindlustatud isikult tasu maksmise kohustuse üle päevakirurgia (kood 3076) piirhinna alusel juhul, kui </w:t>
      </w:r>
      <w:r w:rsidR="00363FC6" w:rsidRPr="00687DE8">
        <w:rPr>
          <w:szCs w:val="24"/>
        </w:rPr>
        <w:t xml:space="preserve">kindlustatud isikule tehakse </w:t>
      </w:r>
      <w:r w:rsidR="00C32C6D" w:rsidRPr="00687DE8">
        <w:rPr>
          <w:szCs w:val="24"/>
        </w:rPr>
        <w:t xml:space="preserve">ambulatoorse kirurgia nõuetele vastavas operatsioonitoas 4. peatükis nimetatud kirurgiline protseduur </w:t>
      </w:r>
      <w:r w:rsidR="00CC1FD5" w:rsidRPr="00687DE8">
        <w:rPr>
          <w:szCs w:val="24"/>
        </w:rPr>
        <w:t>või 6. peatükis nimetatud operatsioon ning isik vajab kirurgilise protseduuri</w:t>
      </w:r>
      <w:r w:rsidR="002877F6" w:rsidRPr="00687DE8">
        <w:rPr>
          <w:szCs w:val="24"/>
        </w:rPr>
        <w:t xml:space="preserve"> või operatsiooni</w:t>
      </w:r>
      <w:r w:rsidR="00CC1FD5" w:rsidRPr="00687DE8">
        <w:rPr>
          <w:szCs w:val="24"/>
        </w:rPr>
        <w:t xml:space="preserve"> järgset jälgimist enam kui üks tund </w:t>
      </w:r>
      <w:r w:rsidR="00F32AE5" w:rsidRPr="00687DE8">
        <w:rPr>
          <w:szCs w:val="24"/>
        </w:rPr>
        <w:t>ja</w:t>
      </w:r>
      <w:r w:rsidRPr="00687DE8">
        <w:rPr>
          <w:szCs w:val="24"/>
        </w:rPr>
        <w:t xml:space="preserve"> lahkub ravilt samal päeval.</w:t>
      </w:r>
    </w:p>
    <w:p w14:paraId="7BE3BCBB" w14:textId="77777777" w:rsidR="00976487" w:rsidRPr="00687DE8" w:rsidRDefault="00976487" w:rsidP="00976487">
      <w:pPr>
        <w:spacing w:after="0" w:line="240" w:lineRule="auto"/>
        <w:jc w:val="both"/>
        <w:divId w:val="1316184749"/>
        <w:rPr>
          <w:szCs w:val="24"/>
        </w:rPr>
      </w:pPr>
    </w:p>
    <w:p w14:paraId="6ACC5668" w14:textId="77777777" w:rsidR="00976487" w:rsidRPr="00687DE8" w:rsidRDefault="00976487" w:rsidP="00976487">
      <w:pPr>
        <w:spacing w:after="0" w:line="240" w:lineRule="auto"/>
        <w:jc w:val="both"/>
        <w:divId w:val="1316184749"/>
        <w:rPr>
          <w:szCs w:val="24"/>
        </w:rPr>
      </w:pPr>
      <w:r w:rsidRPr="00687DE8">
        <w:rPr>
          <w:szCs w:val="24"/>
        </w:rPr>
        <w:lastRenderedPageBreak/>
        <w:t>(5) Päevakirurgias kasutatava anesteesia eest rakendatakse §-s 4</w:t>
      </w:r>
      <w:r w:rsidR="000714AB" w:rsidRPr="00687DE8">
        <w:rPr>
          <w:szCs w:val="24"/>
        </w:rPr>
        <w:t>4</w:t>
      </w:r>
      <w:r w:rsidRPr="00687DE8">
        <w:rPr>
          <w:szCs w:val="24"/>
        </w:rPr>
        <w:t xml:space="preserve"> sätestatud anesteesia piirhindu.</w:t>
      </w:r>
    </w:p>
    <w:p w14:paraId="3C1BB304" w14:textId="77777777" w:rsidR="00976487" w:rsidRPr="00687DE8" w:rsidRDefault="00976487" w:rsidP="00976487">
      <w:pPr>
        <w:spacing w:after="0" w:line="240" w:lineRule="auto"/>
        <w:outlineLvl w:val="2"/>
        <w:divId w:val="1316184749"/>
        <w:rPr>
          <w:b/>
          <w:bCs/>
          <w:szCs w:val="24"/>
        </w:rPr>
      </w:pPr>
    </w:p>
    <w:p w14:paraId="0DAF7533" w14:textId="77777777" w:rsidR="00976487" w:rsidRDefault="00976487" w:rsidP="005364F4">
      <w:pPr>
        <w:spacing w:after="0" w:line="240" w:lineRule="auto"/>
        <w:outlineLvl w:val="2"/>
        <w:divId w:val="1316184749"/>
        <w:rPr>
          <w:b/>
          <w:szCs w:val="24"/>
        </w:rPr>
      </w:pPr>
      <w:r w:rsidRPr="00687DE8">
        <w:rPr>
          <w:b/>
          <w:szCs w:val="24"/>
        </w:rPr>
        <w:t>§ 1</w:t>
      </w:r>
      <w:r w:rsidR="00EF4EA9" w:rsidRPr="00687DE8">
        <w:rPr>
          <w:b/>
          <w:szCs w:val="24"/>
        </w:rPr>
        <w:t>4</w:t>
      </w:r>
      <w:r w:rsidRPr="00687DE8">
        <w:rPr>
          <w:b/>
          <w:szCs w:val="24"/>
        </w:rPr>
        <w:t>. Tervishoiuteenuse osutamiseks vajaliku veoteenuse piirhinnad</w:t>
      </w:r>
    </w:p>
    <w:p w14:paraId="34BA3853" w14:textId="77777777" w:rsidR="00D622B8" w:rsidRDefault="00D622B8" w:rsidP="005364F4">
      <w:pPr>
        <w:spacing w:after="0" w:line="240" w:lineRule="auto"/>
        <w:divId w:val="1316184749"/>
        <w:rPr>
          <w:szCs w:val="24"/>
        </w:rPr>
      </w:pPr>
    </w:p>
    <w:p w14:paraId="1F2FE9B7" w14:textId="6A4D5B73" w:rsidR="00976487" w:rsidRPr="00687DE8" w:rsidRDefault="00976487" w:rsidP="005364F4">
      <w:pPr>
        <w:spacing w:after="0" w:line="240" w:lineRule="auto"/>
        <w:divId w:val="1316184749"/>
        <w:rPr>
          <w:szCs w:val="24"/>
        </w:rPr>
      </w:pPr>
      <w:r w:rsidRPr="00687DE8">
        <w:rPr>
          <w:szCs w:val="24"/>
        </w:rPr>
        <w:t>(1) Tervishoiuteenuse osutamiseks vajalike veoteenuste piirhinnad on järgmised:</w:t>
      </w:r>
    </w:p>
    <w:p w14:paraId="0C25D033" w14:textId="77777777" w:rsidR="00976487" w:rsidRPr="00687DE8" w:rsidRDefault="00976487" w:rsidP="00976487">
      <w:pPr>
        <w:spacing w:after="0" w:line="240" w:lineRule="auto"/>
        <w:divId w:val="1316184749"/>
        <w:rPr>
          <w:szCs w:val="24"/>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3"/>
        <w:gridCol w:w="1008"/>
        <w:gridCol w:w="1978"/>
      </w:tblGrid>
      <w:tr w:rsidR="00976487" w:rsidRPr="00687DE8" w14:paraId="30C6DF11" w14:textId="77777777" w:rsidTr="00EB0C67">
        <w:trPr>
          <w:divId w:val="1316184749"/>
          <w:tblHeader/>
        </w:trPr>
        <w:tc>
          <w:tcPr>
            <w:tcW w:w="62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B0E947" w14:textId="77777777" w:rsidR="00976487" w:rsidRPr="00687DE8" w:rsidRDefault="00976487">
            <w:pPr>
              <w:spacing w:after="0" w:line="240" w:lineRule="auto"/>
              <w:jc w:val="center"/>
              <w:rPr>
                <w:szCs w:val="24"/>
              </w:rPr>
            </w:pPr>
            <w:r w:rsidRPr="00687DE8">
              <w:rPr>
                <w:b/>
                <w:szCs w:val="24"/>
              </w:rPr>
              <w:t>Veoteenuse nimetus</w:t>
            </w:r>
          </w:p>
        </w:tc>
        <w:tc>
          <w:tcPr>
            <w:tcW w:w="10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F21DD7" w14:textId="77777777" w:rsidR="00976487" w:rsidRPr="00687DE8" w:rsidRDefault="00976487">
            <w:pPr>
              <w:spacing w:after="0" w:line="240" w:lineRule="auto"/>
              <w:jc w:val="center"/>
              <w:rPr>
                <w:szCs w:val="24"/>
              </w:rPr>
            </w:pPr>
            <w:r w:rsidRPr="00687DE8">
              <w:rPr>
                <w:b/>
                <w:szCs w:val="24"/>
              </w:rPr>
              <w:t>Kood</w:t>
            </w:r>
          </w:p>
        </w:tc>
        <w:tc>
          <w:tcPr>
            <w:tcW w:w="19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6F7ACD"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28386B" w:rsidRPr="00687DE8" w14:paraId="3EA3C93F" w14:textId="77777777" w:rsidTr="00EB7A71">
        <w:trPr>
          <w:divId w:val="1316184749"/>
        </w:trPr>
        <w:tc>
          <w:tcPr>
            <w:tcW w:w="62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686BC9" w14:textId="77777777" w:rsidR="0028386B" w:rsidRPr="00687DE8" w:rsidRDefault="0028386B" w:rsidP="0028386B">
            <w:pPr>
              <w:spacing w:after="0" w:line="240" w:lineRule="auto"/>
              <w:rPr>
                <w:szCs w:val="24"/>
              </w:rPr>
            </w:pPr>
            <w:r w:rsidRPr="00687DE8">
              <w:rPr>
                <w:szCs w:val="24"/>
              </w:rPr>
              <w:t>Haige, surnu ja/või doonorelundi või doonorelundi analüüside vedu – üks km</w:t>
            </w:r>
          </w:p>
        </w:tc>
        <w:tc>
          <w:tcPr>
            <w:tcW w:w="10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FBEB57" w14:textId="77777777" w:rsidR="0028386B" w:rsidRPr="00687DE8" w:rsidRDefault="0028386B" w:rsidP="0028386B">
            <w:pPr>
              <w:spacing w:after="0" w:line="240" w:lineRule="auto"/>
              <w:jc w:val="center"/>
              <w:rPr>
                <w:szCs w:val="24"/>
              </w:rPr>
            </w:pPr>
          </w:p>
          <w:p w14:paraId="338042F8" w14:textId="77777777" w:rsidR="0028386B" w:rsidRPr="00687DE8" w:rsidRDefault="0028386B" w:rsidP="0028386B">
            <w:pPr>
              <w:spacing w:after="0" w:line="240" w:lineRule="auto"/>
              <w:jc w:val="center"/>
              <w:rPr>
                <w:szCs w:val="24"/>
              </w:rPr>
            </w:pPr>
            <w:r w:rsidRPr="00687DE8">
              <w:rPr>
                <w:szCs w:val="24"/>
              </w:rPr>
              <w:t>3071</w:t>
            </w:r>
          </w:p>
        </w:tc>
        <w:tc>
          <w:tcPr>
            <w:tcW w:w="19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91C79E" w14:textId="049E1BB4" w:rsidR="0028386B" w:rsidRPr="00687DE8" w:rsidRDefault="00DF2041" w:rsidP="00A46089">
            <w:pPr>
              <w:tabs>
                <w:tab w:val="decimal" w:pos="1107"/>
              </w:tabs>
              <w:spacing w:after="0" w:line="240" w:lineRule="auto"/>
              <w:jc w:val="center"/>
              <w:rPr>
                <w:szCs w:val="24"/>
              </w:rPr>
            </w:pPr>
            <w:r>
              <w:rPr>
                <w:color w:val="000000"/>
              </w:rPr>
              <w:t>0,77</w:t>
            </w:r>
          </w:p>
        </w:tc>
      </w:tr>
      <w:tr w:rsidR="0028386B" w:rsidRPr="00687DE8" w14:paraId="1B1EBD0D" w14:textId="77777777" w:rsidTr="00EB7A71">
        <w:trPr>
          <w:divId w:val="1316184749"/>
        </w:trPr>
        <w:tc>
          <w:tcPr>
            <w:tcW w:w="62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F106B5" w14:textId="77777777" w:rsidR="0028386B" w:rsidRPr="00687DE8" w:rsidRDefault="0028386B" w:rsidP="0028386B">
            <w:pPr>
              <w:spacing w:after="0" w:line="240" w:lineRule="auto"/>
              <w:rPr>
                <w:szCs w:val="24"/>
              </w:rPr>
            </w:pPr>
            <w:r w:rsidRPr="00687DE8">
              <w:rPr>
                <w:szCs w:val="24"/>
              </w:rPr>
              <w:t>Vedu helikopteriga – üks tund</w:t>
            </w:r>
          </w:p>
        </w:tc>
        <w:tc>
          <w:tcPr>
            <w:tcW w:w="10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9B0DAC" w14:textId="77777777" w:rsidR="0028386B" w:rsidRPr="00687DE8" w:rsidRDefault="0028386B" w:rsidP="0028386B">
            <w:pPr>
              <w:spacing w:after="0" w:line="240" w:lineRule="auto"/>
              <w:jc w:val="center"/>
              <w:rPr>
                <w:szCs w:val="24"/>
              </w:rPr>
            </w:pPr>
            <w:r w:rsidRPr="00687DE8">
              <w:rPr>
                <w:szCs w:val="24"/>
              </w:rPr>
              <w:t>3073</w:t>
            </w:r>
          </w:p>
        </w:tc>
        <w:tc>
          <w:tcPr>
            <w:tcW w:w="197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6830A3" w14:textId="40996A42" w:rsidR="0028386B" w:rsidRPr="00687DE8" w:rsidRDefault="00DF2041" w:rsidP="00A46089">
            <w:pPr>
              <w:tabs>
                <w:tab w:val="decimal" w:pos="1107"/>
              </w:tabs>
              <w:spacing w:after="0" w:line="240" w:lineRule="auto"/>
              <w:jc w:val="center"/>
              <w:rPr>
                <w:szCs w:val="24"/>
              </w:rPr>
            </w:pPr>
            <w:r>
              <w:rPr>
                <w:color w:val="000000"/>
              </w:rPr>
              <w:t>8 535,00</w:t>
            </w:r>
          </w:p>
        </w:tc>
      </w:tr>
      <w:tr w:rsidR="0028386B" w:rsidRPr="00687DE8" w14:paraId="4B483E4C" w14:textId="77777777" w:rsidTr="00EB7A71">
        <w:trPr>
          <w:divId w:val="1316184749"/>
        </w:trPr>
        <w:tc>
          <w:tcPr>
            <w:tcW w:w="62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B29D8F" w14:textId="77777777" w:rsidR="0028386B" w:rsidRPr="00687DE8" w:rsidRDefault="0028386B" w:rsidP="0028386B">
            <w:pPr>
              <w:spacing w:after="0" w:line="240" w:lineRule="auto"/>
              <w:rPr>
                <w:szCs w:val="24"/>
              </w:rPr>
            </w:pPr>
            <w:r w:rsidRPr="00687DE8">
              <w:rPr>
                <w:szCs w:val="24"/>
              </w:rPr>
              <w:t>Edasi-tagasivedu parvlaevaga</w:t>
            </w:r>
          </w:p>
        </w:tc>
        <w:tc>
          <w:tcPr>
            <w:tcW w:w="10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5334E9" w14:textId="77777777" w:rsidR="0028386B" w:rsidRPr="00687DE8" w:rsidRDefault="0028386B" w:rsidP="0028386B">
            <w:pPr>
              <w:spacing w:after="0" w:line="240" w:lineRule="auto"/>
              <w:jc w:val="center"/>
              <w:rPr>
                <w:szCs w:val="24"/>
              </w:rPr>
            </w:pPr>
            <w:r w:rsidRPr="00687DE8">
              <w:rPr>
                <w:szCs w:val="24"/>
              </w:rPr>
              <w:t>3074</w:t>
            </w:r>
          </w:p>
        </w:tc>
        <w:tc>
          <w:tcPr>
            <w:tcW w:w="197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21D72A" w14:textId="588E43B6" w:rsidR="0028386B" w:rsidRPr="00687DE8" w:rsidRDefault="00DF2041" w:rsidP="00A46089">
            <w:pPr>
              <w:tabs>
                <w:tab w:val="decimal" w:pos="1107"/>
              </w:tabs>
              <w:spacing w:after="0" w:line="240" w:lineRule="auto"/>
              <w:jc w:val="center"/>
              <w:rPr>
                <w:szCs w:val="24"/>
              </w:rPr>
            </w:pPr>
            <w:r>
              <w:rPr>
                <w:color w:val="000000"/>
              </w:rPr>
              <w:t>76,18</w:t>
            </w:r>
          </w:p>
        </w:tc>
      </w:tr>
      <w:tr w:rsidR="0028386B" w:rsidRPr="00687DE8" w14:paraId="70A68140" w14:textId="77777777" w:rsidTr="00EB7A71">
        <w:trPr>
          <w:divId w:val="1316184749"/>
        </w:trPr>
        <w:tc>
          <w:tcPr>
            <w:tcW w:w="62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8AD3DC" w14:textId="77777777" w:rsidR="0028386B" w:rsidRPr="00687DE8" w:rsidRDefault="0028386B" w:rsidP="0028386B">
            <w:pPr>
              <w:spacing w:after="0" w:line="240" w:lineRule="auto"/>
              <w:rPr>
                <w:szCs w:val="24"/>
              </w:rPr>
            </w:pPr>
            <w:r w:rsidRPr="00687DE8">
              <w:rPr>
                <w:szCs w:val="24"/>
              </w:rPr>
              <w:t>Doonorelundi, retsipiendi või haige vedu lennukiga – üks tund</w:t>
            </w:r>
          </w:p>
        </w:tc>
        <w:tc>
          <w:tcPr>
            <w:tcW w:w="10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EE6821" w14:textId="77777777" w:rsidR="0028386B" w:rsidRPr="00687DE8" w:rsidRDefault="0028386B" w:rsidP="0028386B">
            <w:pPr>
              <w:spacing w:after="0" w:line="240" w:lineRule="auto"/>
              <w:jc w:val="center"/>
              <w:rPr>
                <w:szCs w:val="24"/>
              </w:rPr>
            </w:pPr>
            <w:r w:rsidRPr="00687DE8">
              <w:rPr>
                <w:szCs w:val="24"/>
              </w:rPr>
              <w:t>3085</w:t>
            </w:r>
          </w:p>
        </w:tc>
        <w:tc>
          <w:tcPr>
            <w:tcW w:w="197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1D7F38" w14:textId="64C87FDF" w:rsidR="0028386B" w:rsidRPr="00687DE8" w:rsidRDefault="00DF2041" w:rsidP="00A46089">
            <w:pPr>
              <w:tabs>
                <w:tab w:val="decimal" w:pos="1107"/>
              </w:tabs>
              <w:spacing w:after="0" w:line="240" w:lineRule="auto"/>
              <w:jc w:val="center"/>
              <w:rPr>
                <w:szCs w:val="24"/>
              </w:rPr>
            </w:pPr>
            <w:r>
              <w:rPr>
                <w:color w:val="000000"/>
              </w:rPr>
              <w:t>2 820,00</w:t>
            </w:r>
          </w:p>
        </w:tc>
      </w:tr>
      <w:tr w:rsidR="0028386B" w:rsidRPr="00687DE8" w14:paraId="351E5B18" w14:textId="77777777" w:rsidTr="00EB7A71">
        <w:trPr>
          <w:divId w:val="1316184749"/>
          <w:trHeight w:val="300"/>
        </w:trPr>
        <w:tc>
          <w:tcPr>
            <w:tcW w:w="62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B96278" w14:textId="77777777" w:rsidR="0028386B" w:rsidRPr="00687DE8" w:rsidRDefault="0028386B" w:rsidP="0028386B">
            <w:pPr>
              <w:spacing w:after="0" w:line="240" w:lineRule="auto"/>
              <w:rPr>
                <w:szCs w:val="24"/>
              </w:rPr>
            </w:pPr>
            <w:r w:rsidRPr="00687DE8">
              <w:rPr>
                <w:szCs w:val="24"/>
              </w:rPr>
              <w:t>Vereloome tüvirakkude ja terapeutiliste rakkude kullerteenus</w:t>
            </w:r>
          </w:p>
        </w:tc>
        <w:tc>
          <w:tcPr>
            <w:tcW w:w="10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0376EC" w14:textId="77777777" w:rsidR="0028386B" w:rsidRPr="00687DE8" w:rsidRDefault="0028386B" w:rsidP="0028386B">
            <w:pPr>
              <w:spacing w:after="0" w:line="240" w:lineRule="auto"/>
              <w:jc w:val="center"/>
              <w:rPr>
                <w:szCs w:val="24"/>
              </w:rPr>
            </w:pPr>
            <w:r w:rsidRPr="00687DE8">
              <w:rPr>
                <w:szCs w:val="24"/>
              </w:rPr>
              <w:t>3086</w:t>
            </w:r>
          </w:p>
        </w:tc>
        <w:tc>
          <w:tcPr>
            <w:tcW w:w="197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2624B7" w14:textId="43930D3A" w:rsidR="0028386B" w:rsidRPr="00687DE8" w:rsidRDefault="00DF2041" w:rsidP="00A46089">
            <w:pPr>
              <w:tabs>
                <w:tab w:val="decimal" w:pos="1107"/>
              </w:tabs>
              <w:spacing w:after="0"/>
              <w:jc w:val="center"/>
              <w:rPr>
                <w:color w:val="000000" w:themeColor="text1"/>
                <w:szCs w:val="24"/>
              </w:rPr>
            </w:pPr>
            <w:r>
              <w:rPr>
                <w:color w:val="000000"/>
              </w:rPr>
              <w:t>1 406,09</w:t>
            </w:r>
          </w:p>
        </w:tc>
      </w:tr>
    </w:tbl>
    <w:p w14:paraId="6899750B" w14:textId="77777777" w:rsidR="00976487" w:rsidRPr="00687DE8" w:rsidRDefault="00976487" w:rsidP="00976487">
      <w:pPr>
        <w:spacing w:after="0" w:line="240" w:lineRule="auto"/>
        <w:jc w:val="both"/>
        <w:divId w:val="1316184749"/>
        <w:rPr>
          <w:szCs w:val="24"/>
        </w:rPr>
      </w:pPr>
    </w:p>
    <w:p w14:paraId="622C1237" w14:textId="77777777" w:rsidR="00976487" w:rsidRPr="00687DE8" w:rsidRDefault="00976487" w:rsidP="00976487">
      <w:pPr>
        <w:spacing w:after="0" w:line="240" w:lineRule="auto"/>
        <w:jc w:val="both"/>
        <w:divId w:val="1316184749"/>
        <w:rPr>
          <w:szCs w:val="24"/>
        </w:rPr>
      </w:pPr>
      <w:r w:rsidRPr="00687DE8">
        <w:rPr>
          <w:szCs w:val="24"/>
        </w:rPr>
        <w:t xml:space="preserve">(2) Koodiga 3071 tähistatud veoteenuseid rakendatakse haige transportimisel teise tervishoiuteenuse osutaja juurde tervishoiuteenuse osutaja korraldatud sõiduga, </w:t>
      </w:r>
      <w:r w:rsidR="00DC4841" w:rsidRPr="00687DE8">
        <w:rPr>
          <w:szCs w:val="24"/>
        </w:rPr>
        <w:t>välja arvatud</w:t>
      </w:r>
      <w:r w:rsidRPr="00687DE8">
        <w:rPr>
          <w:szCs w:val="24"/>
        </w:rPr>
        <w:t xml:space="preserve"> juhul, kui haige transportimisel on vajalik meditsiiniline jälgimine ning </w:t>
      </w:r>
      <w:r w:rsidR="003715B3" w:rsidRPr="00687DE8">
        <w:rPr>
          <w:szCs w:val="24"/>
        </w:rPr>
        <w:t>H</w:t>
      </w:r>
      <w:r w:rsidRPr="00687DE8">
        <w:rPr>
          <w:szCs w:val="24"/>
        </w:rPr>
        <w:t>äirekeskuse kaudu on tellitud arsti- või õebrigaadiga kiirabi, arsti saatekirja alusel surnu patoanatoomilisele lahangule vedamisel ja seejärel surnukambrisse viimisel, doonorelundi või doonorelundi analüüside transportimisel või surnud doonori viimisel surnukambrisse.</w:t>
      </w:r>
    </w:p>
    <w:p w14:paraId="4FC3C569" w14:textId="77777777" w:rsidR="00976487" w:rsidRPr="00687DE8" w:rsidRDefault="00976487" w:rsidP="00976487">
      <w:pPr>
        <w:spacing w:after="0" w:line="240" w:lineRule="auto"/>
        <w:jc w:val="both"/>
        <w:divId w:val="1316184749"/>
        <w:rPr>
          <w:szCs w:val="24"/>
        </w:rPr>
      </w:pPr>
    </w:p>
    <w:p w14:paraId="24792988" w14:textId="77777777" w:rsidR="00976487" w:rsidRPr="00687DE8" w:rsidRDefault="00976487" w:rsidP="00976487">
      <w:pPr>
        <w:pStyle w:val="Vahedeta"/>
        <w:jc w:val="both"/>
        <w:divId w:val="1316184749"/>
        <w:rPr>
          <w:szCs w:val="24"/>
          <w:lang w:val="et-EE"/>
        </w:rPr>
      </w:pPr>
      <w:r w:rsidRPr="00687DE8">
        <w:rPr>
          <w:szCs w:val="24"/>
          <w:lang w:val="et-EE"/>
        </w:rPr>
        <w:t>(3) Koodiga 3071 tähistatud veoteenust rakendatakse nii haige, surnu ja/või doonorelundi või doonorelundi analüüside transportimisel teise tervishoiuteenuse osutaja juurde kui ka sõiduki tagasisõidul vastavalt läbitud kilomeetritele. Kui sama sõidukiga transporditakse samal ajal mitut haiget, rakendatakse teenust vastavalt läbitud kilometraažile ainult ühe kindlustatud isiku kohta.</w:t>
      </w:r>
    </w:p>
    <w:p w14:paraId="573B1ED2" w14:textId="77777777" w:rsidR="5DAFA039" w:rsidRPr="00687DE8" w:rsidRDefault="5DAFA039" w:rsidP="5DAFA039">
      <w:pPr>
        <w:pStyle w:val="Vahedeta"/>
        <w:jc w:val="both"/>
        <w:rPr>
          <w:szCs w:val="24"/>
          <w:lang w:val="et-EE"/>
        </w:rPr>
      </w:pPr>
    </w:p>
    <w:p w14:paraId="121A4505" w14:textId="2684C764" w:rsidR="0067547B" w:rsidRPr="00687DE8" w:rsidRDefault="0067547B" w:rsidP="009A5F3D">
      <w:pPr>
        <w:spacing w:after="0" w:line="240" w:lineRule="auto"/>
        <w:jc w:val="both"/>
        <w:divId w:val="1316184749"/>
        <w:rPr>
          <w:rFonts w:eastAsia="Calibri"/>
          <w:color w:val="202020"/>
          <w:szCs w:val="24"/>
        </w:rPr>
      </w:pPr>
      <w:r w:rsidRPr="00687DE8">
        <w:rPr>
          <w:rFonts w:eastAsia="Calibri"/>
          <w:color w:val="202020"/>
          <w:szCs w:val="24"/>
        </w:rPr>
        <w:t>(4) Koodi</w:t>
      </w:r>
      <w:r w:rsidR="00CF1C3D" w:rsidRPr="00687DE8">
        <w:rPr>
          <w:rFonts w:eastAsia="Calibri"/>
          <w:color w:val="202020"/>
          <w:szCs w:val="24"/>
        </w:rPr>
        <w:t>ga</w:t>
      </w:r>
      <w:r w:rsidRPr="00687DE8">
        <w:rPr>
          <w:rFonts w:eastAsia="Calibri"/>
          <w:color w:val="202020"/>
          <w:szCs w:val="24"/>
        </w:rPr>
        <w:t xml:space="preserve"> 3073 tähistatud veoteenus</w:t>
      </w:r>
      <w:r w:rsidR="00CF1C3D" w:rsidRPr="00687DE8">
        <w:rPr>
          <w:rFonts w:eastAsia="Calibri"/>
          <w:color w:val="202020"/>
          <w:szCs w:val="24"/>
        </w:rPr>
        <w:t>t</w:t>
      </w:r>
      <w:r w:rsidRPr="00687DE8">
        <w:rPr>
          <w:rFonts w:eastAsia="Calibri"/>
          <w:color w:val="202020"/>
          <w:szCs w:val="24"/>
        </w:rPr>
        <w:t xml:space="preserve"> rakendatakse järgmistel juhtudel:</w:t>
      </w:r>
    </w:p>
    <w:p w14:paraId="14D6856B" w14:textId="576A35A5" w:rsidR="0067547B" w:rsidRPr="00687DE8" w:rsidRDefault="0067547B" w:rsidP="009A5F3D">
      <w:pPr>
        <w:spacing w:after="0" w:line="240" w:lineRule="auto"/>
        <w:jc w:val="both"/>
        <w:divId w:val="1316184749"/>
        <w:rPr>
          <w:rFonts w:eastAsia="Calibri"/>
          <w:color w:val="000000" w:themeColor="text1"/>
          <w:szCs w:val="24"/>
        </w:rPr>
      </w:pPr>
      <w:r w:rsidRPr="00687DE8">
        <w:rPr>
          <w:rFonts w:eastAsia="Calibri"/>
          <w:color w:val="202020"/>
          <w:szCs w:val="24"/>
        </w:rPr>
        <w:t xml:space="preserve">1) </w:t>
      </w:r>
      <w:r w:rsidRPr="00687DE8" w:rsidDel="006852AB">
        <w:rPr>
          <w:rFonts w:eastAsia="Calibri"/>
          <w:color w:val="202020"/>
          <w:szCs w:val="24"/>
          <w:shd w:val="clear" w:color="auto" w:fill="FFFFFF"/>
        </w:rPr>
        <w:t>haige</w:t>
      </w:r>
      <w:r w:rsidRPr="00687DE8">
        <w:rPr>
          <w:rFonts w:eastAsia="Calibri"/>
          <w:color w:val="202020"/>
          <w:szCs w:val="24"/>
          <w:shd w:val="clear" w:color="auto" w:fill="FFFFFF"/>
        </w:rPr>
        <w:t xml:space="preserve"> transporditakse teise </w:t>
      </w:r>
      <w:r w:rsidRPr="00687DE8" w:rsidDel="00AC189E">
        <w:rPr>
          <w:rFonts w:eastAsia="Calibri"/>
          <w:color w:val="202020"/>
          <w:szCs w:val="24"/>
          <w:shd w:val="clear" w:color="auto" w:fill="FFFFFF"/>
        </w:rPr>
        <w:t>eriarstiabi</w:t>
      </w:r>
      <w:r w:rsidRPr="00687DE8">
        <w:rPr>
          <w:color w:val="202020"/>
          <w:szCs w:val="24"/>
          <w:shd w:val="clear" w:color="auto" w:fill="FFFFFF"/>
        </w:rPr>
        <w:t xml:space="preserve"> andva tervishoiuteenuse osutaja juurde </w:t>
      </w:r>
      <w:r w:rsidR="005023FD" w:rsidRPr="00687DE8">
        <w:rPr>
          <w:color w:val="202020"/>
          <w:szCs w:val="24"/>
          <w:shd w:val="clear" w:color="auto" w:fill="FFFFFF"/>
        </w:rPr>
        <w:t>Tervisekassa</w:t>
      </w:r>
      <w:r w:rsidRPr="00687DE8">
        <w:rPr>
          <w:color w:val="202020"/>
          <w:szCs w:val="24"/>
          <w:shd w:val="clear" w:color="auto" w:fill="FFFFFF"/>
        </w:rPr>
        <w:t>ga sõlmitud lepingu alusel vältimatu arstiabi osutamise eesmärgil</w:t>
      </w:r>
      <w:r w:rsidRPr="00687DE8">
        <w:rPr>
          <w:rFonts w:eastAsia="Calibri"/>
          <w:color w:val="000000" w:themeColor="text1"/>
          <w:szCs w:val="24"/>
        </w:rPr>
        <w:t>;</w:t>
      </w:r>
    </w:p>
    <w:p w14:paraId="04C920FB" w14:textId="77777777" w:rsidR="0067547B" w:rsidRPr="00687DE8" w:rsidRDefault="0067547B" w:rsidP="009A5F3D">
      <w:pPr>
        <w:spacing w:after="0" w:line="240" w:lineRule="auto"/>
        <w:jc w:val="both"/>
        <w:divId w:val="1316184749"/>
        <w:rPr>
          <w:rFonts w:eastAsia="Calibri"/>
          <w:szCs w:val="24"/>
        </w:rPr>
      </w:pPr>
      <w:r w:rsidRPr="00687DE8">
        <w:rPr>
          <w:rFonts w:eastAsia="Calibri"/>
          <w:color w:val="000000" w:themeColor="text1"/>
          <w:szCs w:val="24"/>
        </w:rPr>
        <w:t xml:space="preserve">2) arstiabi eest tasutakse ravikindlustuse seaduse § 27 lõikes 2 nimetatud loa alusel ning </w:t>
      </w:r>
      <w:r w:rsidRPr="00687DE8">
        <w:rPr>
          <w:szCs w:val="24"/>
        </w:rPr>
        <w:t>vajalik on haige meditsiiniline transport</w:t>
      </w:r>
      <w:r w:rsidRPr="00687DE8" w:rsidDel="00B44E72">
        <w:rPr>
          <w:rFonts w:eastAsia="Calibri"/>
          <w:color w:val="000000" w:themeColor="text1"/>
          <w:szCs w:val="24"/>
        </w:rPr>
        <w:t xml:space="preserve">, </w:t>
      </w:r>
      <w:r w:rsidRPr="00687DE8">
        <w:rPr>
          <w:rFonts w:eastAsia="Calibri"/>
          <w:color w:val="000000" w:themeColor="text1"/>
          <w:szCs w:val="24"/>
        </w:rPr>
        <w:t>sest haige terviseseisundi tõttu ei ole muu transpordivahendi kasutamine võimalik;</w:t>
      </w:r>
    </w:p>
    <w:p w14:paraId="3302FF1F" w14:textId="77777777" w:rsidR="00976487" w:rsidRPr="00687DE8" w:rsidRDefault="0067547B" w:rsidP="009A5F3D">
      <w:pPr>
        <w:spacing w:after="0" w:line="240" w:lineRule="auto"/>
        <w:jc w:val="both"/>
        <w:divId w:val="1316184749"/>
        <w:rPr>
          <w:rFonts w:eastAsia="Calibri"/>
          <w:color w:val="000000" w:themeColor="text1"/>
          <w:szCs w:val="24"/>
        </w:rPr>
      </w:pPr>
      <w:r w:rsidRPr="00687DE8">
        <w:rPr>
          <w:rFonts w:eastAsia="Calibri"/>
          <w:color w:val="000000" w:themeColor="text1"/>
          <w:szCs w:val="24"/>
        </w:rPr>
        <w:t xml:space="preserve">3) </w:t>
      </w:r>
      <w:r w:rsidRPr="00687DE8">
        <w:rPr>
          <w:szCs w:val="24"/>
        </w:rPr>
        <w:t xml:space="preserve">haige transporditakse Euroopa Liidu liikmesriigi, </w:t>
      </w:r>
      <w:r w:rsidR="00651D6F" w:rsidRPr="00687DE8">
        <w:rPr>
          <w:szCs w:val="24"/>
        </w:rPr>
        <w:t>Ühendkuningriigi</w:t>
      </w:r>
      <w:r w:rsidR="000D7043" w:rsidRPr="00687DE8">
        <w:rPr>
          <w:szCs w:val="24"/>
        </w:rPr>
        <w:t xml:space="preserve">, </w:t>
      </w:r>
      <w:r w:rsidRPr="00687DE8">
        <w:rPr>
          <w:szCs w:val="24"/>
        </w:rPr>
        <w:t>Liechtensteini, Norra, Islandi või Šveitsi</w:t>
      </w:r>
      <w:r w:rsidRPr="00687DE8" w:rsidDel="00891240">
        <w:rPr>
          <w:szCs w:val="24"/>
        </w:rPr>
        <w:t xml:space="preserve"> </w:t>
      </w:r>
      <w:r w:rsidRPr="00687DE8">
        <w:rPr>
          <w:szCs w:val="24"/>
        </w:rPr>
        <w:t xml:space="preserve">tervishoiuteenuse osutaja juurest Eesti tervishoiuteenuse osutaja juurde ning vajalik on haige meditsiiniline transport, </w:t>
      </w:r>
      <w:r w:rsidRPr="00687DE8">
        <w:rPr>
          <w:rFonts w:eastAsia="Calibri"/>
          <w:color w:val="000000" w:themeColor="text1"/>
          <w:szCs w:val="24"/>
        </w:rPr>
        <w:t>sest haige terviseseisundi tõttu ei ole muu transpordivahendi kasutamine võimalik.</w:t>
      </w:r>
    </w:p>
    <w:p w14:paraId="15021C1C" w14:textId="77777777" w:rsidR="6DCBB02A" w:rsidRPr="00687DE8" w:rsidRDefault="6DCBB02A" w:rsidP="6DCBB02A">
      <w:pPr>
        <w:spacing w:after="0" w:line="240" w:lineRule="auto"/>
        <w:jc w:val="both"/>
        <w:divId w:val="1316184749"/>
        <w:rPr>
          <w:szCs w:val="24"/>
        </w:rPr>
      </w:pPr>
    </w:p>
    <w:p w14:paraId="0CFD1B77" w14:textId="551FC051" w:rsidR="00976487" w:rsidRPr="00687DE8" w:rsidRDefault="00976487" w:rsidP="00976487">
      <w:pPr>
        <w:spacing w:after="0" w:line="240" w:lineRule="auto"/>
        <w:jc w:val="both"/>
        <w:divId w:val="1316184749"/>
        <w:rPr>
          <w:szCs w:val="24"/>
        </w:rPr>
      </w:pPr>
      <w:r w:rsidRPr="00687DE8">
        <w:rPr>
          <w:szCs w:val="24"/>
        </w:rPr>
        <w:t>(5) Koodi</w:t>
      </w:r>
      <w:r w:rsidR="00AF7B62" w:rsidRPr="00687DE8">
        <w:rPr>
          <w:szCs w:val="24"/>
        </w:rPr>
        <w:t>ga</w:t>
      </w:r>
      <w:r w:rsidRPr="00687DE8">
        <w:rPr>
          <w:szCs w:val="24"/>
        </w:rPr>
        <w:t xml:space="preserve"> 3073 tähistatud veoteenus</w:t>
      </w:r>
      <w:r w:rsidR="00D4500E" w:rsidRPr="00687DE8">
        <w:rPr>
          <w:szCs w:val="24"/>
        </w:rPr>
        <w:t>t</w:t>
      </w:r>
      <w:r w:rsidRPr="00687DE8">
        <w:rPr>
          <w:szCs w:val="24"/>
        </w:rPr>
        <w:t xml:space="preserve"> rakendatakse nii teise tervishoiuteenuse osutaja juurde transpordi kui ka tagasilennu korral. Teenus esitatakse koefitsiendiga vastavalt lennuminutite arvule. Kui sama sõidukiga transporditakse samal ajal ravimeeskonda, doonorelundit, kindlustatud isikut (retsipienti) ja/või mitut kindlustatud isikut, rakendatakse teenust vastavalt lennuminutite arvule ainult ühe kindlustatud isiku kohta.</w:t>
      </w:r>
    </w:p>
    <w:p w14:paraId="082FC655" w14:textId="77777777" w:rsidR="00EB7177" w:rsidRPr="00687DE8" w:rsidRDefault="00EB7177" w:rsidP="00976487">
      <w:pPr>
        <w:spacing w:after="0" w:line="240" w:lineRule="auto"/>
        <w:jc w:val="both"/>
        <w:divId w:val="1316184749"/>
        <w:rPr>
          <w:szCs w:val="24"/>
        </w:rPr>
      </w:pPr>
    </w:p>
    <w:p w14:paraId="52D6DEDD" w14:textId="6B8AFF2E" w:rsidR="00D64097" w:rsidRPr="00687DE8" w:rsidRDefault="00EB7177" w:rsidP="00976487">
      <w:pPr>
        <w:spacing w:after="0" w:line="240" w:lineRule="auto"/>
        <w:jc w:val="both"/>
        <w:divId w:val="1316184749"/>
        <w:rPr>
          <w:szCs w:val="24"/>
        </w:rPr>
      </w:pPr>
      <w:r w:rsidRPr="00687DE8">
        <w:rPr>
          <w:szCs w:val="24"/>
        </w:rPr>
        <w:t xml:space="preserve">(6) </w:t>
      </w:r>
      <w:r w:rsidR="00CB09B8" w:rsidRPr="00687DE8">
        <w:rPr>
          <w:szCs w:val="24"/>
        </w:rPr>
        <w:t>Tervishoiuteenuse osutaja ei kodeeri k</w:t>
      </w:r>
      <w:r w:rsidRPr="00687DE8">
        <w:rPr>
          <w:szCs w:val="24"/>
        </w:rPr>
        <w:t>oodi</w:t>
      </w:r>
      <w:r w:rsidR="005A17B8" w:rsidRPr="00687DE8">
        <w:rPr>
          <w:szCs w:val="24"/>
        </w:rPr>
        <w:t>de</w:t>
      </w:r>
      <w:r w:rsidRPr="00687DE8">
        <w:rPr>
          <w:szCs w:val="24"/>
        </w:rPr>
        <w:t>ga 3073</w:t>
      </w:r>
      <w:r w:rsidR="005A17B8" w:rsidRPr="00687DE8">
        <w:rPr>
          <w:szCs w:val="24"/>
        </w:rPr>
        <w:t xml:space="preserve"> ja 3085</w:t>
      </w:r>
      <w:r w:rsidR="00CD2512" w:rsidRPr="00687DE8">
        <w:rPr>
          <w:szCs w:val="24"/>
        </w:rPr>
        <w:t xml:space="preserve"> </w:t>
      </w:r>
      <w:r w:rsidR="00477B47" w:rsidRPr="00687DE8">
        <w:rPr>
          <w:szCs w:val="24"/>
        </w:rPr>
        <w:t>tähistatud veoteenus</w:t>
      </w:r>
      <w:r w:rsidR="00963111" w:rsidRPr="00687DE8">
        <w:rPr>
          <w:szCs w:val="24"/>
        </w:rPr>
        <w:t>eid</w:t>
      </w:r>
      <w:r w:rsidR="00477B47" w:rsidRPr="00687DE8">
        <w:rPr>
          <w:szCs w:val="24"/>
        </w:rPr>
        <w:t xml:space="preserve"> </w:t>
      </w:r>
      <w:r w:rsidR="005F6413" w:rsidRPr="00687DE8">
        <w:rPr>
          <w:szCs w:val="24"/>
        </w:rPr>
        <w:t>raviarvel juhul</w:t>
      </w:r>
      <w:r w:rsidR="002E44A5" w:rsidRPr="00687DE8">
        <w:rPr>
          <w:szCs w:val="24"/>
        </w:rPr>
        <w:t>,</w:t>
      </w:r>
      <w:r w:rsidR="005F6413" w:rsidRPr="00687DE8">
        <w:rPr>
          <w:szCs w:val="24"/>
        </w:rPr>
        <w:t xml:space="preserve"> kui veoteenust on osutanud Politsei- ja Piirivalveamet</w:t>
      </w:r>
      <w:r w:rsidR="00BF1E3B" w:rsidRPr="00687DE8">
        <w:rPr>
          <w:szCs w:val="24"/>
        </w:rPr>
        <w:t>.</w:t>
      </w:r>
      <w:r w:rsidR="003904DB" w:rsidRPr="00687DE8">
        <w:rPr>
          <w:szCs w:val="24"/>
        </w:rPr>
        <w:t xml:space="preserve"> </w:t>
      </w:r>
    </w:p>
    <w:p w14:paraId="2A73F49B" w14:textId="77777777" w:rsidR="00D64097" w:rsidRPr="00687DE8" w:rsidRDefault="00D64097" w:rsidP="00976487">
      <w:pPr>
        <w:spacing w:after="0" w:line="240" w:lineRule="auto"/>
        <w:jc w:val="both"/>
        <w:divId w:val="1316184749"/>
        <w:rPr>
          <w:szCs w:val="24"/>
        </w:rPr>
      </w:pPr>
    </w:p>
    <w:p w14:paraId="6567F5CC" w14:textId="7F87C1FF" w:rsidR="00EB7177" w:rsidRPr="00687DE8" w:rsidRDefault="000530B5" w:rsidP="00976487">
      <w:pPr>
        <w:spacing w:after="0" w:line="240" w:lineRule="auto"/>
        <w:jc w:val="both"/>
        <w:divId w:val="1316184749"/>
        <w:rPr>
          <w:szCs w:val="24"/>
        </w:rPr>
      </w:pPr>
      <w:r w:rsidRPr="00687DE8">
        <w:rPr>
          <w:szCs w:val="24"/>
        </w:rPr>
        <w:lastRenderedPageBreak/>
        <w:t>(</w:t>
      </w:r>
      <w:r w:rsidR="00D45361" w:rsidRPr="00687DE8">
        <w:rPr>
          <w:szCs w:val="24"/>
        </w:rPr>
        <w:t xml:space="preserve">7) </w:t>
      </w:r>
      <w:r w:rsidR="003904DB" w:rsidRPr="00687DE8">
        <w:rPr>
          <w:szCs w:val="24"/>
        </w:rPr>
        <w:t>Tervisekassa tasub Politsei- ja Piirivalveameti</w:t>
      </w:r>
      <w:r w:rsidR="00495CFF" w:rsidRPr="00687DE8">
        <w:rPr>
          <w:szCs w:val="24"/>
        </w:rPr>
        <w:t>le kopteri kiirabilennu eest</w:t>
      </w:r>
      <w:r w:rsidR="003904DB" w:rsidRPr="00687DE8">
        <w:rPr>
          <w:szCs w:val="24"/>
        </w:rPr>
        <w:t xml:space="preserve"> </w:t>
      </w:r>
      <w:r w:rsidR="00170907" w:rsidRPr="00687DE8">
        <w:rPr>
          <w:szCs w:val="24"/>
        </w:rPr>
        <w:t xml:space="preserve">koodiga 3073 tähistatud veoteenuse </w:t>
      </w:r>
      <w:r w:rsidR="00495CFF" w:rsidRPr="00687DE8">
        <w:rPr>
          <w:szCs w:val="24"/>
        </w:rPr>
        <w:t>piirhinna alusel</w:t>
      </w:r>
      <w:r w:rsidR="00170907" w:rsidRPr="00687DE8">
        <w:rPr>
          <w:szCs w:val="24"/>
        </w:rPr>
        <w:t xml:space="preserve"> </w:t>
      </w:r>
      <w:r w:rsidR="00540550">
        <w:rPr>
          <w:szCs w:val="24"/>
        </w:rPr>
        <w:t xml:space="preserve">koostöökokkuleppes </w:t>
      </w:r>
      <w:r w:rsidR="0019620B" w:rsidRPr="00687DE8">
        <w:rPr>
          <w:szCs w:val="24"/>
        </w:rPr>
        <w:t>kokku</w:t>
      </w:r>
      <w:r w:rsidR="00CB09B8" w:rsidRPr="00687DE8">
        <w:rPr>
          <w:szCs w:val="24"/>
        </w:rPr>
        <w:t xml:space="preserve"> </w:t>
      </w:r>
      <w:r w:rsidR="0019620B" w:rsidRPr="00687DE8">
        <w:rPr>
          <w:szCs w:val="24"/>
        </w:rPr>
        <w:t>lepitud tingimustel ja korras.</w:t>
      </w:r>
    </w:p>
    <w:p w14:paraId="65136E08" w14:textId="77777777" w:rsidR="00976487" w:rsidRPr="00687DE8" w:rsidRDefault="00976487" w:rsidP="00976487">
      <w:pPr>
        <w:spacing w:after="0" w:line="240" w:lineRule="auto"/>
        <w:jc w:val="both"/>
        <w:divId w:val="1316184749"/>
        <w:rPr>
          <w:szCs w:val="24"/>
        </w:rPr>
      </w:pPr>
    </w:p>
    <w:p w14:paraId="357125E3" w14:textId="42555B6B" w:rsidR="00976487" w:rsidRPr="00687DE8" w:rsidRDefault="00976487" w:rsidP="00976487">
      <w:pPr>
        <w:spacing w:after="0" w:line="240" w:lineRule="auto"/>
        <w:jc w:val="both"/>
        <w:divId w:val="1316184749"/>
        <w:rPr>
          <w:szCs w:val="24"/>
        </w:rPr>
      </w:pPr>
      <w:r w:rsidRPr="00687DE8">
        <w:rPr>
          <w:szCs w:val="24"/>
        </w:rPr>
        <w:t>(</w:t>
      </w:r>
      <w:r w:rsidR="004622C2" w:rsidRPr="00687DE8">
        <w:rPr>
          <w:szCs w:val="24"/>
        </w:rPr>
        <w:t>8</w:t>
      </w:r>
      <w:r w:rsidRPr="00687DE8">
        <w:rPr>
          <w:szCs w:val="24"/>
        </w:rPr>
        <w:t xml:space="preserve">) Koodiga 3074 tähistatud veoteenust rakendatakse </w:t>
      </w:r>
      <w:r w:rsidR="005023FD" w:rsidRPr="00687DE8">
        <w:rPr>
          <w:szCs w:val="24"/>
        </w:rPr>
        <w:t>Tervisekassa</w:t>
      </w:r>
      <w:r w:rsidRPr="00687DE8">
        <w:rPr>
          <w:szCs w:val="24"/>
        </w:rPr>
        <w:t>ga sõlmitud lepingu alusel eriarstiabi osutamise eesmärgil haige transportimisel teise eriarstiabi andva tervishoiuteenuse osutaja juurde või arsti saatekirja alusel surnu patoanatoomilisele lahangule vedamise korral.</w:t>
      </w:r>
    </w:p>
    <w:p w14:paraId="50C74E67" w14:textId="77777777" w:rsidR="00976487" w:rsidRPr="00687DE8" w:rsidRDefault="00976487" w:rsidP="00976487">
      <w:pPr>
        <w:spacing w:after="0" w:line="240" w:lineRule="auto"/>
        <w:jc w:val="both"/>
        <w:divId w:val="1316184749"/>
        <w:rPr>
          <w:szCs w:val="24"/>
        </w:rPr>
      </w:pPr>
    </w:p>
    <w:p w14:paraId="0917B690" w14:textId="5FA0F0F6" w:rsidR="00976487" w:rsidRPr="00687DE8" w:rsidRDefault="00976487" w:rsidP="00976487">
      <w:pPr>
        <w:spacing w:after="0" w:line="240" w:lineRule="auto"/>
        <w:jc w:val="both"/>
        <w:divId w:val="1316184749"/>
        <w:rPr>
          <w:szCs w:val="24"/>
        </w:rPr>
      </w:pPr>
      <w:r w:rsidRPr="00687DE8">
        <w:rPr>
          <w:szCs w:val="24"/>
        </w:rPr>
        <w:t>(</w:t>
      </w:r>
      <w:r w:rsidR="004622C2" w:rsidRPr="00687DE8">
        <w:rPr>
          <w:szCs w:val="24"/>
        </w:rPr>
        <w:t>9</w:t>
      </w:r>
      <w:r w:rsidRPr="00687DE8">
        <w:rPr>
          <w:szCs w:val="24"/>
        </w:rPr>
        <w:t>) Koodiga 3074 tähistatud veoteenus sisaldab nii transporti teise tervishoiuteenuse osutaja juurde kui ka tagasisõidu parvlaeva piletite maksumusi ning autojuhi ja tervishoiutöötaja tööaja kulu parvlaeval. Koodiga 3074 tähistatud veoteenuse eest tasutakse Kuressaare Haigla Sihtasutusele koefitsiendiga 0,5. Kui sama sõidukiga transporditakse samal ajal mitut haiget või surnut, rakendatakse teenust ainult ühe kindlustatud isiku kohta. Teenus ei sisalda koodiga 3071 tähistatud veoteenuse kulusid.</w:t>
      </w:r>
    </w:p>
    <w:p w14:paraId="6DC3706D" w14:textId="77777777" w:rsidR="00976487" w:rsidRPr="00687DE8" w:rsidRDefault="00976487" w:rsidP="00976487">
      <w:pPr>
        <w:spacing w:after="0" w:line="240" w:lineRule="auto"/>
        <w:jc w:val="both"/>
        <w:divId w:val="1316184749"/>
        <w:rPr>
          <w:szCs w:val="24"/>
        </w:rPr>
      </w:pPr>
    </w:p>
    <w:p w14:paraId="7DBCF5B0" w14:textId="3C48E615" w:rsidR="00976487" w:rsidRPr="00687DE8" w:rsidRDefault="00976487" w:rsidP="00976487">
      <w:pPr>
        <w:spacing w:after="0" w:line="240" w:lineRule="auto"/>
        <w:jc w:val="both"/>
        <w:divId w:val="1316184749"/>
        <w:rPr>
          <w:szCs w:val="24"/>
        </w:rPr>
      </w:pPr>
      <w:r w:rsidRPr="00687DE8">
        <w:rPr>
          <w:szCs w:val="24"/>
        </w:rPr>
        <w:t>(</w:t>
      </w:r>
      <w:r w:rsidR="004622C2" w:rsidRPr="00687DE8">
        <w:rPr>
          <w:szCs w:val="24"/>
        </w:rPr>
        <w:t>10</w:t>
      </w:r>
      <w:r w:rsidRPr="00687DE8">
        <w:rPr>
          <w:szCs w:val="24"/>
        </w:rPr>
        <w:t xml:space="preserve">) Koodiga 3085 tähistatud veoteenust rakendatakse </w:t>
      </w:r>
      <w:r w:rsidR="005023FD" w:rsidRPr="00687DE8">
        <w:rPr>
          <w:szCs w:val="24"/>
        </w:rPr>
        <w:t>Tervisekassa</w:t>
      </w:r>
      <w:r w:rsidRPr="00687DE8">
        <w:rPr>
          <w:szCs w:val="24"/>
        </w:rPr>
        <w:t>ga sõlmitud lepingu alusel järgmistel juhtudel:</w:t>
      </w:r>
    </w:p>
    <w:p w14:paraId="552A56F3" w14:textId="77777777" w:rsidR="00976487" w:rsidRPr="00687DE8" w:rsidRDefault="00976487" w:rsidP="00976487">
      <w:pPr>
        <w:spacing w:after="0" w:line="240" w:lineRule="auto"/>
        <w:jc w:val="both"/>
        <w:divId w:val="1316184749"/>
        <w:rPr>
          <w:szCs w:val="24"/>
        </w:rPr>
      </w:pPr>
      <w:r w:rsidRPr="00687DE8">
        <w:rPr>
          <w:szCs w:val="24"/>
        </w:rPr>
        <w:t>1) doonorelundite transportimisel välismaalt Eestisse eriarstiabi andva tervishoiuteenuse osutaja juurde siirdamise eesmärgil;</w:t>
      </w:r>
    </w:p>
    <w:p w14:paraId="5456856A" w14:textId="77777777" w:rsidR="00976487" w:rsidRPr="00687DE8" w:rsidRDefault="00976487" w:rsidP="00976487">
      <w:pPr>
        <w:spacing w:after="0" w:line="240" w:lineRule="auto"/>
        <w:jc w:val="both"/>
        <w:divId w:val="1316184749"/>
        <w:rPr>
          <w:szCs w:val="24"/>
        </w:rPr>
      </w:pPr>
      <w:r w:rsidRPr="00687DE8">
        <w:rPr>
          <w:szCs w:val="24"/>
        </w:rPr>
        <w:t>2) ravimeeskonna transportimisel välismaalt Eestisse doonorsüdame eemaldamise eesmärgil ja Eestist tagasi välismaale eriarstiabi andva tervishoiuteenuse osutaja juurde;</w:t>
      </w:r>
    </w:p>
    <w:p w14:paraId="164904E2" w14:textId="68D5A30F" w:rsidR="00976487" w:rsidRPr="00687DE8" w:rsidRDefault="00976487" w:rsidP="00976487">
      <w:pPr>
        <w:spacing w:after="0" w:line="240" w:lineRule="auto"/>
        <w:jc w:val="both"/>
        <w:divId w:val="1316184749"/>
        <w:rPr>
          <w:szCs w:val="24"/>
        </w:rPr>
      </w:pPr>
      <w:r w:rsidRPr="00687DE8">
        <w:rPr>
          <w:szCs w:val="24"/>
        </w:rPr>
        <w:t>3) doonorsüdame transportimisel Eestist välismaale eriarstiabi andva tervishoiuteenuse osutaja juurde kindlustatud isikule südame siirdamise eesmärgil</w:t>
      </w:r>
      <w:r w:rsidR="00CB09B8" w:rsidRPr="00687DE8">
        <w:rPr>
          <w:szCs w:val="24"/>
        </w:rPr>
        <w:t>;</w:t>
      </w:r>
    </w:p>
    <w:p w14:paraId="0A4D0F9F" w14:textId="162A4275" w:rsidR="00976487" w:rsidRPr="00687DE8" w:rsidRDefault="00976487" w:rsidP="00976487">
      <w:pPr>
        <w:spacing w:after="0" w:line="240" w:lineRule="auto"/>
        <w:jc w:val="both"/>
        <w:divId w:val="1316184749"/>
        <w:rPr>
          <w:szCs w:val="24"/>
        </w:rPr>
      </w:pPr>
      <w:r w:rsidRPr="00687DE8">
        <w:rPr>
          <w:szCs w:val="24"/>
        </w:rPr>
        <w:t>4) kindlustatud isiku transportimisel Eestist välismaale elundisiirdamise ettevalmistamiseks või elundi siirdamiseks või tagasi välismaalt Eestisse eriarstiabi andva tervishoiuteenuse osutaja juurde siirdamise ettevalmistamise või siirdamise järel juhul, kui vältimatu arstiabi eest tasutakse ravikindlustuse seaduse § 27 lõikes 2 nimetatud loa alusel</w:t>
      </w:r>
      <w:r w:rsidR="00F1494C">
        <w:rPr>
          <w:szCs w:val="24"/>
        </w:rPr>
        <w:t>;</w:t>
      </w:r>
    </w:p>
    <w:p w14:paraId="1B680FB5" w14:textId="73D4227D" w:rsidR="00F1494C" w:rsidRPr="00687DE8" w:rsidRDefault="00F1494C" w:rsidP="00976487">
      <w:pPr>
        <w:spacing w:after="0" w:line="240" w:lineRule="auto"/>
        <w:jc w:val="both"/>
        <w:divId w:val="1316184749"/>
        <w:rPr>
          <w:szCs w:val="24"/>
        </w:rPr>
      </w:pPr>
      <w:r>
        <w:rPr>
          <w:szCs w:val="24"/>
        </w:rPr>
        <w:t xml:space="preserve">5) </w:t>
      </w:r>
      <w:r w:rsidR="00B218F7">
        <w:rPr>
          <w:szCs w:val="24"/>
        </w:rPr>
        <w:t>l</w:t>
      </w:r>
      <w:r w:rsidR="00B218F7" w:rsidRPr="00B218F7">
        <w:rPr>
          <w:szCs w:val="24"/>
        </w:rPr>
        <w:t>õikes 4 nimetatud juhtudel, kui veoteenust ei osutata kopteriga</w:t>
      </w:r>
      <w:r w:rsidR="00B218F7">
        <w:rPr>
          <w:szCs w:val="24"/>
        </w:rPr>
        <w:t>.</w:t>
      </w:r>
    </w:p>
    <w:p w14:paraId="0FB39F6E" w14:textId="77777777" w:rsidR="00231985" w:rsidRPr="00687DE8" w:rsidRDefault="00231985" w:rsidP="00976487">
      <w:pPr>
        <w:spacing w:after="0" w:line="240" w:lineRule="auto"/>
        <w:jc w:val="both"/>
        <w:divId w:val="1316184749"/>
        <w:rPr>
          <w:szCs w:val="24"/>
        </w:rPr>
      </w:pPr>
    </w:p>
    <w:p w14:paraId="78F7F2A9" w14:textId="637D9911" w:rsidR="00976487" w:rsidRPr="00687DE8" w:rsidRDefault="00976487" w:rsidP="00976487">
      <w:pPr>
        <w:spacing w:after="0" w:line="240" w:lineRule="auto"/>
        <w:jc w:val="both"/>
        <w:divId w:val="1316184749"/>
        <w:rPr>
          <w:szCs w:val="24"/>
        </w:rPr>
      </w:pPr>
      <w:r w:rsidRPr="00687DE8">
        <w:rPr>
          <w:szCs w:val="24"/>
        </w:rPr>
        <w:t>(</w:t>
      </w:r>
      <w:r w:rsidR="00584C97" w:rsidRPr="00687DE8">
        <w:rPr>
          <w:szCs w:val="24"/>
        </w:rPr>
        <w:t>1</w:t>
      </w:r>
      <w:r w:rsidR="004622C2" w:rsidRPr="00687DE8">
        <w:rPr>
          <w:szCs w:val="24"/>
        </w:rPr>
        <w:t>1</w:t>
      </w:r>
      <w:r w:rsidRPr="00687DE8">
        <w:rPr>
          <w:szCs w:val="24"/>
        </w:rPr>
        <w:t>) Koodiga 3085 tähistatud veoteenuseid rakendatakse nii teise tervishoiuteenuse osutaja juurde transpordi kui ka tagasilennu korral. Teenuse piirhind sisaldab lisaks lennutunni maksumusele keskmist ootetunni maksumust. Teenuse eest tasutakse koefitsiendiga vastavalt lennuminutite arvule. Kui sama sõidukiga transporditakse samal ajal ravimeeskonda, doonorelundit, kindlustatud isikut (retsipienti) ja/või mitut kindlustatud isikut, rakendatakse teenust vastavalt lennuminutite arvule ainult ühe kindlustatud isiku kohta.</w:t>
      </w:r>
    </w:p>
    <w:p w14:paraId="5B2523F8" w14:textId="77777777" w:rsidR="00976487" w:rsidRPr="00687DE8" w:rsidRDefault="00976487" w:rsidP="00976487">
      <w:pPr>
        <w:spacing w:after="0" w:line="240" w:lineRule="auto"/>
        <w:jc w:val="both"/>
        <w:divId w:val="1316184749"/>
        <w:rPr>
          <w:szCs w:val="24"/>
        </w:rPr>
      </w:pPr>
    </w:p>
    <w:p w14:paraId="3AE1D48F" w14:textId="39FC3BDD" w:rsidR="00976487" w:rsidRPr="00687DE8" w:rsidRDefault="00976487" w:rsidP="00976487">
      <w:pPr>
        <w:spacing w:after="0" w:line="240" w:lineRule="auto"/>
        <w:jc w:val="both"/>
        <w:divId w:val="1316184749"/>
        <w:rPr>
          <w:szCs w:val="24"/>
        </w:rPr>
      </w:pPr>
      <w:r w:rsidRPr="00687DE8">
        <w:rPr>
          <w:szCs w:val="24"/>
        </w:rPr>
        <w:t>(1</w:t>
      </w:r>
      <w:r w:rsidR="004622C2" w:rsidRPr="00687DE8">
        <w:rPr>
          <w:szCs w:val="24"/>
        </w:rPr>
        <w:t>2</w:t>
      </w:r>
      <w:r w:rsidRPr="00687DE8">
        <w:rPr>
          <w:szCs w:val="24"/>
        </w:rPr>
        <w:t xml:space="preserve">) Koodiga 3086 tähistatud veoteenust rakendatakse </w:t>
      </w:r>
      <w:r w:rsidR="005023FD" w:rsidRPr="00687DE8">
        <w:rPr>
          <w:szCs w:val="24"/>
        </w:rPr>
        <w:t>Tervisekassa</w:t>
      </w:r>
      <w:r w:rsidRPr="00687DE8">
        <w:rPr>
          <w:szCs w:val="24"/>
        </w:rPr>
        <w:t>ga sõlmitud lepingu alusel vereloome tüvirakkude või terapeutiliste rakkude transportimisel välismaalt Eestisse eriarstiabi andva tervishoiuteenuse osutaja juurde siirdamise eesmärgil. Teenuse piirhinda rakendatakse üks kord ühe veo kohta.</w:t>
      </w:r>
    </w:p>
    <w:p w14:paraId="04A44845" w14:textId="77777777" w:rsidR="00976487" w:rsidRPr="00687DE8" w:rsidRDefault="00976487" w:rsidP="00976487">
      <w:pPr>
        <w:spacing w:after="0" w:line="240" w:lineRule="auto"/>
        <w:jc w:val="both"/>
        <w:divId w:val="1316184749"/>
        <w:rPr>
          <w:szCs w:val="24"/>
        </w:rPr>
      </w:pPr>
    </w:p>
    <w:p w14:paraId="2D753C22" w14:textId="1C91616F" w:rsidR="00B32C18" w:rsidRPr="00687DE8" w:rsidRDefault="00976487">
      <w:pPr>
        <w:spacing w:after="0" w:line="240" w:lineRule="auto"/>
        <w:jc w:val="both"/>
        <w:divId w:val="1316184749"/>
        <w:rPr>
          <w:szCs w:val="24"/>
        </w:rPr>
      </w:pPr>
      <w:r w:rsidRPr="00687DE8">
        <w:rPr>
          <w:szCs w:val="24"/>
        </w:rPr>
        <w:t>(1</w:t>
      </w:r>
      <w:r w:rsidR="004622C2" w:rsidRPr="00687DE8">
        <w:rPr>
          <w:szCs w:val="24"/>
        </w:rPr>
        <w:t>3</w:t>
      </w:r>
      <w:r w:rsidRPr="00687DE8">
        <w:rPr>
          <w:szCs w:val="24"/>
        </w:rPr>
        <w:t>) Koodiga 3086 tähistatud veoteenus sisaldab tervishoiutöötaja tööjõukulu, päevaraha, transpordi- ja majutuskulusid (</w:t>
      </w:r>
      <w:r w:rsidR="00DC4841" w:rsidRPr="00687DE8">
        <w:rPr>
          <w:szCs w:val="24"/>
        </w:rPr>
        <w:t>välja arvatud</w:t>
      </w:r>
      <w:r w:rsidRPr="00687DE8">
        <w:rPr>
          <w:szCs w:val="24"/>
        </w:rPr>
        <w:t xml:space="preserve"> lennutransport).</w:t>
      </w:r>
    </w:p>
    <w:p w14:paraId="1BACEA46" w14:textId="77777777" w:rsidR="00976487" w:rsidRPr="00687DE8" w:rsidRDefault="00976487" w:rsidP="008B792E">
      <w:pPr>
        <w:pStyle w:val="Vahedeta"/>
        <w:jc w:val="both"/>
        <w:divId w:val="1316184749"/>
        <w:rPr>
          <w:szCs w:val="24"/>
          <w:lang w:val="et-EE"/>
        </w:rPr>
      </w:pPr>
    </w:p>
    <w:p w14:paraId="53A42E69" w14:textId="77777777" w:rsidR="00976487" w:rsidRPr="00687DE8" w:rsidRDefault="00976487" w:rsidP="00976487">
      <w:pPr>
        <w:pStyle w:val="Vahedeta"/>
        <w:jc w:val="center"/>
        <w:divId w:val="1316184749"/>
        <w:rPr>
          <w:b/>
          <w:szCs w:val="24"/>
          <w:lang w:val="et-EE"/>
        </w:rPr>
      </w:pPr>
      <w:r w:rsidRPr="00687DE8">
        <w:rPr>
          <w:b/>
          <w:szCs w:val="24"/>
          <w:lang w:val="et-EE"/>
        </w:rPr>
        <w:t>2. jagu</w:t>
      </w:r>
    </w:p>
    <w:p w14:paraId="5C9547B6" w14:textId="77777777" w:rsidR="00976487" w:rsidRPr="00687DE8" w:rsidRDefault="00976487" w:rsidP="00976487">
      <w:pPr>
        <w:spacing w:after="0" w:line="240" w:lineRule="auto"/>
        <w:jc w:val="center"/>
        <w:outlineLvl w:val="1"/>
        <w:divId w:val="1316184749"/>
        <w:rPr>
          <w:b/>
          <w:szCs w:val="24"/>
        </w:rPr>
      </w:pPr>
      <w:r w:rsidRPr="00687DE8">
        <w:rPr>
          <w:b/>
          <w:szCs w:val="24"/>
        </w:rPr>
        <w:t>Statsionaarne tervishoiuteenus</w:t>
      </w:r>
    </w:p>
    <w:p w14:paraId="65ECFB97" w14:textId="77777777" w:rsidR="00976487" w:rsidRPr="00687DE8" w:rsidRDefault="00976487" w:rsidP="00976487">
      <w:pPr>
        <w:spacing w:after="0" w:line="240" w:lineRule="auto"/>
        <w:outlineLvl w:val="2"/>
        <w:divId w:val="1316184749"/>
        <w:rPr>
          <w:bCs/>
          <w:szCs w:val="24"/>
        </w:rPr>
      </w:pPr>
    </w:p>
    <w:p w14:paraId="4F7CADF7" w14:textId="77777777" w:rsidR="00976487" w:rsidRDefault="00976487" w:rsidP="00976487">
      <w:pPr>
        <w:spacing w:after="0" w:line="240" w:lineRule="auto"/>
        <w:outlineLvl w:val="2"/>
        <w:divId w:val="1316184749"/>
        <w:rPr>
          <w:b/>
          <w:szCs w:val="24"/>
        </w:rPr>
      </w:pPr>
      <w:r w:rsidRPr="00687DE8">
        <w:rPr>
          <w:b/>
          <w:szCs w:val="24"/>
        </w:rPr>
        <w:t>§ 1</w:t>
      </w:r>
      <w:r w:rsidR="00EF4EA9" w:rsidRPr="00687DE8">
        <w:rPr>
          <w:b/>
          <w:szCs w:val="24"/>
        </w:rPr>
        <w:t>5</w:t>
      </w:r>
      <w:r w:rsidRPr="00687DE8">
        <w:rPr>
          <w:b/>
          <w:szCs w:val="24"/>
        </w:rPr>
        <w:t>. Voodipäeva arvestus haiglas</w:t>
      </w:r>
    </w:p>
    <w:p w14:paraId="5B3CBC2C" w14:textId="77777777" w:rsidR="00D622B8" w:rsidRDefault="00D622B8" w:rsidP="00976487">
      <w:pPr>
        <w:spacing w:after="0" w:line="240" w:lineRule="auto"/>
        <w:jc w:val="both"/>
        <w:divId w:val="1316184749"/>
        <w:rPr>
          <w:szCs w:val="24"/>
        </w:rPr>
      </w:pPr>
    </w:p>
    <w:p w14:paraId="7D2ABBF6" w14:textId="670F910E" w:rsidR="00976487" w:rsidRPr="00687DE8" w:rsidRDefault="00976487" w:rsidP="00976487">
      <w:pPr>
        <w:spacing w:after="0" w:line="240" w:lineRule="auto"/>
        <w:jc w:val="both"/>
        <w:divId w:val="1316184749"/>
        <w:rPr>
          <w:szCs w:val="24"/>
        </w:rPr>
      </w:pPr>
      <w:r w:rsidRPr="00687DE8">
        <w:rPr>
          <w:szCs w:val="24"/>
        </w:rPr>
        <w:t>(1) Haigla voodipäevade maksimaalne arv, voodipäeva piirhinnad, ülevõetava tasu maksmise kohustuse piirmäär ja kindlustatud isiku omaosaluse määr on järgmised:</w:t>
      </w:r>
    </w:p>
    <w:p w14:paraId="6B79C766" w14:textId="77777777" w:rsidR="00976487" w:rsidRPr="00687DE8" w:rsidRDefault="00976487" w:rsidP="00976487">
      <w:pPr>
        <w:spacing w:after="0" w:line="240" w:lineRule="auto"/>
        <w:divId w:val="1316184749"/>
        <w:rPr>
          <w:szCs w:val="24"/>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709"/>
        <w:gridCol w:w="1275"/>
        <w:gridCol w:w="1419"/>
        <w:gridCol w:w="1984"/>
        <w:gridCol w:w="1558"/>
      </w:tblGrid>
      <w:tr w:rsidR="00976487" w:rsidRPr="00687DE8" w14:paraId="6F652AFA" w14:textId="77777777" w:rsidTr="3C30D054">
        <w:trPr>
          <w:divId w:val="1316184749"/>
          <w:trHeight w:val="1662"/>
          <w:tblHeader/>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E377C9" w14:textId="77777777" w:rsidR="00976487" w:rsidRPr="00687DE8" w:rsidRDefault="00976487">
            <w:pPr>
              <w:spacing w:after="0" w:line="240" w:lineRule="auto"/>
              <w:jc w:val="center"/>
              <w:rPr>
                <w:szCs w:val="24"/>
              </w:rPr>
            </w:pPr>
            <w:r w:rsidRPr="00687DE8">
              <w:rPr>
                <w:b/>
                <w:szCs w:val="24"/>
              </w:rPr>
              <w:t>Tervishoiuteenuse nimetus</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772ADD" w14:textId="77777777" w:rsidR="00976487" w:rsidRPr="00687DE8" w:rsidRDefault="00976487">
            <w:pPr>
              <w:spacing w:after="0" w:line="240" w:lineRule="auto"/>
              <w:jc w:val="center"/>
              <w:rPr>
                <w:szCs w:val="24"/>
              </w:rPr>
            </w:pPr>
            <w:r w:rsidRPr="00687DE8">
              <w:rPr>
                <w:b/>
                <w:szCs w:val="24"/>
              </w:rPr>
              <w:t>Kood</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B4601E" w14:textId="77777777" w:rsidR="00976487" w:rsidRPr="00687DE8" w:rsidRDefault="00976487">
            <w:pPr>
              <w:spacing w:after="0" w:line="240" w:lineRule="auto"/>
              <w:jc w:val="center"/>
              <w:rPr>
                <w:szCs w:val="24"/>
              </w:rPr>
            </w:pPr>
            <w:r w:rsidRPr="00687DE8">
              <w:rPr>
                <w:b/>
                <w:szCs w:val="24"/>
              </w:rPr>
              <w:t>Voodi-</w:t>
            </w:r>
            <w:r w:rsidRPr="00687DE8">
              <w:rPr>
                <w:szCs w:val="24"/>
              </w:rPr>
              <w:br/>
            </w:r>
            <w:r w:rsidRPr="00687DE8">
              <w:rPr>
                <w:b/>
                <w:szCs w:val="24"/>
              </w:rPr>
              <w:t>päevade</w:t>
            </w:r>
            <w:r w:rsidRPr="00687DE8">
              <w:rPr>
                <w:szCs w:val="24"/>
              </w:rPr>
              <w:br/>
            </w:r>
            <w:r w:rsidRPr="00687DE8">
              <w:rPr>
                <w:b/>
                <w:szCs w:val="24"/>
              </w:rPr>
              <w:t>maksimum-</w:t>
            </w:r>
            <w:r w:rsidRPr="00687DE8">
              <w:rPr>
                <w:szCs w:val="24"/>
              </w:rPr>
              <w:br/>
            </w:r>
            <w:r w:rsidRPr="00687DE8">
              <w:rPr>
                <w:b/>
                <w:szCs w:val="24"/>
              </w:rPr>
              <w:t>arv</w:t>
            </w:r>
          </w:p>
        </w:tc>
        <w:tc>
          <w:tcPr>
            <w:tcW w:w="75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D80DBB" w14:textId="77777777" w:rsidR="00976487" w:rsidRPr="00687DE8" w:rsidRDefault="00976487">
            <w:pPr>
              <w:spacing w:after="0" w:line="240" w:lineRule="auto"/>
              <w:jc w:val="center"/>
              <w:rPr>
                <w:szCs w:val="24"/>
              </w:rPr>
            </w:pPr>
            <w:r w:rsidRPr="00687DE8">
              <w:rPr>
                <w:b/>
                <w:szCs w:val="24"/>
              </w:rPr>
              <w:t>Ühe haige</w:t>
            </w:r>
            <w:r w:rsidRPr="00687DE8">
              <w:rPr>
                <w:szCs w:val="24"/>
              </w:rPr>
              <w:br/>
            </w:r>
            <w:r w:rsidRPr="00687DE8">
              <w:rPr>
                <w:b/>
                <w:szCs w:val="24"/>
              </w:rPr>
              <w:t>voodipäeva</w:t>
            </w:r>
            <w:r w:rsidRPr="00687DE8">
              <w:rPr>
                <w:szCs w:val="24"/>
              </w:rPr>
              <w:br/>
            </w:r>
            <w:r w:rsidRPr="00687DE8">
              <w:rPr>
                <w:b/>
                <w:szCs w:val="24"/>
              </w:rPr>
              <w:t>piirhind</w:t>
            </w:r>
            <w:r w:rsidRPr="00687DE8">
              <w:rPr>
                <w:szCs w:val="24"/>
              </w:rPr>
              <w:br/>
            </w:r>
            <w:r w:rsidRPr="00687DE8">
              <w:rPr>
                <w:b/>
                <w:szCs w:val="24"/>
              </w:rPr>
              <w:t>eurodes</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938690" w14:textId="77777777" w:rsidR="00976487" w:rsidRPr="00687DE8" w:rsidRDefault="00976487">
            <w:pPr>
              <w:spacing w:after="0" w:line="240" w:lineRule="auto"/>
              <w:jc w:val="center"/>
              <w:rPr>
                <w:szCs w:val="24"/>
              </w:rPr>
            </w:pPr>
            <w:r w:rsidRPr="00687DE8">
              <w:rPr>
                <w:b/>
                <w:szCs w:val="24"/>
              </w:rPr>
              <w:t>Ülevõetava</w:t>
            </w:r>
            <w:r w:rsidRPr="00687DE8">
              <w:rPr>
                <w:szCs w:val="24"/>
              </w:rPr>
              <w:br/>
            </w:r>
            <w:r w:rsidRPr="00687DE8">
              <w:rPr>
                <w:b/>
                <w:szCs w:val="24"/>
              </w:rPr>
              <w:t>tasu maksmise</w:t>
            </w:r>
            <w:r w:rsidRPr="00687DE8">
              <w:rPr>
                <w:szCs w:val="24"/>
              </w:rPr>
              <w:br/>
            </w:r>
            <w:r w:rsidRPr="00687DE8">
              <w:rPr>
                <w:b/>
                <w:szCs w:val="24"/>
              </w:rPr>
              <w:t>kohustuse</w:t>
            </w:r>
            <w:r w:rsidRPr="00687DE8">
              <w:rPr>
                <w:szCs w:val="24"/>
              </w:rPr>
              <w:br/>
            </w:r>
            <w:r w:rsidRPr="00687DE8">
              <w:rPr>
                <w:b/>
                <w:szCs w:val="24"/>
              </w:rPr>
              <w:t>piirmäär</w:t>
            </w:r>
            <w:r w:rsidRPr="00687DE8">
              <w:rPr>
                <w:szCs w:val="24"/>
              </w:rPr>
              <w:br/>
            </w:r>
            <w:r w:rsidRPr="00687DE8">
              <w:rPr>
                <w:b/>
                <w:szCs w:val="24"/>
              </w:rPr>
              <w:t>(%)</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9E3507" w14:textId="77777777" w:rsidR="00976487" w:rsidRPr="00687DE8" w:rsidRDefault="00976487">
            <w:pPr>
              <w:spacing w:after="0" w:line="240" w:lineRule="auto"/>
              <w:jc w:val="center"/>
              <w:rPr>
                <w:szCs w:val="24"/>
              </w:rPr>
            </w:pPr>
            <w:r w:rsidRPr="00687DE8">
              <w:rPr>
                <w:b/>
                <w:szCs w:val="24"/>
              </w:rPr>
              <w:t>Kindlustatud</w:t>
            </w:r>
            <w:r w:rsidRPr="00687DE8">
              <w:rPr>
                <w:szCs w:val="24"/>
              </w:rPr>
              <w:br/>
            </w:r>
            <w:r w:rsidRPr="00687DE8">
              <w:rPr>
                <w:b/>
                <w:szCs w:val="24"/>
              </w:rPr>
              <w:t>isiku</w:t>
            </w:r>
            <w:r w:rsidRPr="00687DE8">
              <w:rPr>
                <w:szCs w:val="24"/>
              </w:rPr>
              <w:br/>
            </w:r>
            <w:r w:rsidRPr="00687DE8">
              <w:rPr>
                <w:b/>
                <w:szCs w:val="24"/>
              </w:rPr>
              <w:t>omaosaluse</w:t>
            </w:r>
            <w:r w:rsidRPr="00687DE8">
              <w:rPr>
                <w:szCs w:val="24"/>
              </w:rPr>
              <w:br/>
            </w:r>
            <w:r w:rsidRPr="00687DE8">
              <w:rPr>
                <w:b/>
                <w:szCs w:val="24"/>
              </w:rPr>
              <w:t>määr</w:t>
            </w:r>
            <w:r w:rsidRPr="00687DE8">
              <w:rPr>
                <w:szCs w:val="24"/>
              </w:rPr>
              <w:br/>
            </w:r>
            <w:r w:rsidRPr="00687DE8">
              <w:rPr>
                <w:b/>
                <w:szCs w:val="24"/>
              </w:rPr>
              <w:t>(%)</w:t>
            </w:r>
          </w:p>
        </w:tc>
      </w:tr>
      <w:tr w:rsidR="003445E8" w:rsidRPr="00687DE8" w14:paraId="41B938F9" w14:textId="77777777" w:rsidTr="00D30B8D">
        <w:trPr>
          <w:divId w:val="1316184749"/>
          <w:trHeight w:val="272"/>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2EA612" w14:textId="77777777" w:rsidR="003445E8" w:rsidRPr="00687DE8" w:rsidRDefault="003445E8" w:rsidP="003445E8">
            <w:pPr>
              <w:spacing w:after="0" w:line="240" w:lineRule="auto"/>
              <w:rPr>
                <w:szCs w:val="24"/>
              </w:rPr>
            </w:pPr>
            <w:r w:rsidRPr="00687DE8">
              <w:rPr>
                <w:szCs w:val="24"/>
              </w:rPr>
              <w:t>Sisehaigused</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A5ADB8" w14:textId="77777777" w:rsidR="003445E8" w:rsidRPr="00687DE8" w:rsidRDefault="003445E8" w:rsidP="003445E8">
            <w:pPr>
              <w:spacing w:after="0" w:line="240" w:lineRule="auto"/>
              <w:jc w:val="center"/>
              <w:rPr>
                <w:szCs w:val="24"/>
              </w:rPr>
            </w:pPr>
            <w:r w:rsidRPr="00687DE8">
              <w:rPr>
                <w:szCs w:val="24"/>
              </w:rPr>
              <w:t>2065</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0659FD" w14:textId="77777777" w:rsidR="003445E8" w:rsidRPr="00687DE8" w:rsidRDefault="003445E8" w:rsidP="003445E8">
            <w:pPr>
              <w:spacing w:after="0" w:line="240" w:lineRule="auto"/>
              <w:jc w:val="center"/>
              <w:rPr>
                <w:szCs w:val="24"/>
              </w:rPr>
            </w:pPr>
            <w:r w:rsidRPr="00687DE8">
              <w:rPr>
                <w:szCs w:val="24"/>
              </w:rPr>
              <w:t>10</w:t>
            </w:r>
          </w:p>
        </w:tc>
        <w:tc>
          <w:tcPr>
            <w:tcW w:w="75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4016D8" w14:textId="7B6F3E83" w:rsidR="003445E8" w:rsidRPr="00687DE8" w:rsidRDefault="00DC45A1" w:rsidP="003445E8">
            <w:pPr>
              <w:spacing w:after="0"/>
              <w:jc w:val="center"/>
              <w:rPr>
                <w:color w:val="000000" w:themeColor="text1"/>
                <w:szCs w:val="24"/>
              </w:rPr>
            </w:pPr>
            <w:r>
              <w:rPr>
                <w:color w:val="000000"/>
              </w:rPr>
              <w:t>209,73</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544E64" w14:textId="77777777" w:rsidR="003445E8" w:rsidRPr="00687DE8" w:rsidRDefault="003445E8" w:rsidP="003445E8">
            <w:pPr>
              <w:spacing w:after="0" w:line="240" w:lineRule="auto"/>
              <w:jc w:val="center"/>
              <w:rPr>
                <w:szCs w:val="24"/>
              </w:rPr>
            </w:pPr>
            <w:r w:rsidRPr="00687DE8">
              <w:rPr>
                <w:szCs w:val="24"/>
              </w:rPr>
              <w:t>100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500AC0" w14:textId="77777777" w:rsidR="003445E8" w:rsidRPr="00687DE8" w:rsidRDefault="003445E8" w:rsidP="003445E8">
            <w:pPr>
              <w:spacing w:after="0" w:line="240" w:lineRule="auto"/>
              <w:jc w:val="center"/>
              <w:rPr>
                <w:szCs w:val="24"/>
              </w:rPr>
            </w:pPr>
            <w:r w:rsidRPr="00687DE8">
              <w:rPr>
                <w:szCs w:val="24"/>
              </w:rPr>
              <w:t>0</w:t>
            </w:r>
          </w:p>
        </w:tc>
      </w:tr>
      <w:tr w:rsidR="003445E8" w:rsidRPr="00687DE8" w14:paraId="3C89A0AC" w14:textId="77777777" w:rsidTr="00D30B8D">
        <w:trPr>
          <w:divId w:val="1316184749"/>
          <w:trHeight w:val="272"/>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CB7E66" w14:textId="77777777" w:rsidR="003445E8" w:rsidRPr="00687DE8" w:rsidRDefault="003445E8" w:rsidP="003445E8">
            <w:pPr>
              <w:spacing w:after="0" w:line="240" w:lineRule="auto"/>
              <w:rPr>
                <w:szCs w:val="24"/>
              </w:rPr>
            </w:pPr>
            <w:r w:rsidRPr="00687DE8">
              <w:rPr>
                <w:szCs w:val="24"/>
              </w:rPr>
              <w:t xml:space="preserve">Kirurgia </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BCF602" w14:textId="77777777" w:rsidR="003445E8" w:rsidRPr="00687DE8" w:rsidRDefault="003445E8" w:rsidP="003445E8">
            <w:pPr>
              <w:spacing w:after="0" w:line="240" w:lineRule="auto"/>
              <w:jc w:val="center"/>
              <w:rPr>
                <w:szCs w:val="24"/>
              </w:rPr>
            </w:pPr>
            <w:r w:rsidRPr="00687DE8">
              <w:rPr>
                <w:szCs w:val="24"/>
              </w:rPr>
              <w:t>2066</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367463" w14:textId="77777777" w:rsidR="003445E8" w:rsidRPr="00687DE8" w:rsidRDefault="003445E8" w:rsidP="003445E8">
            <w:pPr>
              <w:spacing w:after="0" w:line="240" w:lineRule="auto"/>
              <w:jc w:val="center"/>
              <w:rPr>
                <w:szCs w:val="24"/>
              </w:rPr>
            </w:pPr>
            <w:r w:rsidRPr="00687DE8">
              <w:rPr>
                <w:szCs w:val="24"/>
              </w:rPr>
              <w:t>9</w:t>
            </w:r>
          </w:p>
        </w:tc>
        <w:tc>
          <w:tcPr>
            <w:tcW w:w="759"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5F5273" w14:textId="75BE1CA0" w:rsidR="003445E8" w:rsidRPr="00687DE8" w:rsidRDefault="00DC45A1" w:rsidP="003445E8">
            <w:pPr>
              <w:spacing w:after="0"/>
              <w:jc w:val="center"/>
              <w:rPr>
                <w:color w:val="000000" w:themeColor="text1"/>
                <w:szCs w:val="24"/>
              </w:rPr>
            </w:pPr>
            <w:r>
              <w:rPr>
                <w:color w:val="000000"/>
              </w:rPr>
              <w:t>201,88</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475758" w14:textId="77777777" w:rsidR="003445E8" w:rsidRPr="00687DE8" w:rsidRDefault="003445E8" w:rsidP="003445E8">
            <w:pPr>
              <w:spacing w:after="0" w:line="240" w:lineRule="auto"/>
              <w:jc w:val="center"/>
              <w:rPr>
                <w:szCs w:val="24"/>
              </w:rPr>
            </w:pPr>
            <w:r w:rsidRPr="00687DE8">
              <w:rPr>
                <w:szCs w:val="24"/>
              </w:rPr>
              <w:t>100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EE85A3" w14:textId="77777777" w:rsidR="003445E8" w:rsidRPr="00687DE8" w:rsidRDefault="003445E8" w:rsidP="003445E8">
            <w:pPr>
              <w:spacing w:after="0" w:line="240" w:lineRule="auto"/>
              <w:jc w:val="center"/>
              <w:rPr>
                <w:szCs w:val="24"/>
              </w:rPr>
            </w:pPr>
            <w:r w:rsidRPr="00687DE8">
              <w:rPr>
                <w:szCs w:val="24"/>
              </w:rPr>
              <w:t>0</w:t>
            </w:r>
          </w:p>
        </w:tc>
      </w:tr>
      <w:tr w:rsidR="003445E8" w:rsidRPr="00687DE8" w14:paraId="43957419" w14:textId="77777777" w:rsidTr="00D30B8D">
        <w:trPr>
          <w:divId w:val="1316184749"/>
          <w:trHeight w:val="559"/>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E5B3E4" w14:textId="77777777" w:rsidR="003445E8" w:rsidRPr="00687DE8" w:rsidRDefault="003445E8" w:rsidP="003445E8">
            <w:pPr>
              <w:spacing w:after="0" w:line="240" w:lineRule="auto"/>
              <w:rPr>
                <w:szCs w:val="24"/>
              </w:rPr>
            </w:pPr>
            <w:r w:rsidRPr="00687DE8">
              <w:rPr>
                <w:szCs w:val="24"/>
              </w:rPr>
              <w:t>Akuutpsühhiaatria (tahtest olenematu ravi korral)</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7A2B30" w14:textId="77777777" w:rsidR="003445E8" w:rsidRPr="00687DE8" w:rsidRDefault="003445E8" w:rsidP="003445E8">
            <w:pPr>
              <w:spacing w:after="0" w:line="240" w:lineRule="auto"/>
              <w:jc w:val="center"/>
              <w:rPr>
                <w:szCs w:val="24"/>
              </w:rPr>
            </w:pPr>
            <w:r w:rsidRPr="00687DE8">
              <w:rPr>
                <w:szCs w:val="24"/>
              </w:rPr>
              <w:t>2058</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D7D390" w14:textId="77777777" w:rsidR="003445E8" w:rsidRPr="00687DE8" w:rsidRDefault="003445E8" w:rsidP="003445E8">
            <w:pPr>
              <w:spacing w:after="0" w:line="240" w:lineRule="auto"/>
              <w:jc w:val="center"/>
              <w:rPr>
                <w:szCs w:val="24"/>
              </w:rPr>
            </w:pPr>
            <w:r w:rsidRPr="00687DE8">
              <w:rPr>
                <w:szCs w:val="24"/>
              </w:rPr>
              <w:t>–</w:t>
            </w:r>
          </w:p>
        </w:tc>
        <w:tc>
          <w:tcPr>
            <w:tcW w:w="759"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4747302" w14:textId="195D1BD7" w:rsidR="003445E8" w:rsidRPr="00687DE8" w:rsidRDefault="00DC45A1" w:rsidP="003445E8">
            <w:pPr>
              <w:spacing w:after="0"/>
              <w:jc w:val="center"/>
              <w:rPr>
                <w:color w:val="000000" w:themeColor="text1"/>
                <w:szCs w:val="24"/>
              </w:rPr>
            </w:pPr>
            <w:r>
              <w:rPr>
                <w:color w:val="000000"/>
              </w:rPr>
              <w:t>422,04</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26C531E" w14:textId="77777777" w:rsidR="003445E8" w:rsidRPr="00687DE8" w:rsidRDefault="003445E8" w:rsidP="003445E8">
            <w:pPr>
              <w:spacing w:after="0" w:line="240" w:lineRule="auto"/>
              <w:jc w:val="center"/>
              <w:rPr>
                <w:szCs w:val="24"/>
              </w:rPr>
            </w:pPr>
          </w:p>
          <w:p w14:paraId="20BD7A7F" w14:textId="77777777" w:rsidR="003445E8" w:rsidRPr="00687DE8" w:rsidRDefault="003445E8" w:rsidP="003445E8">
            <w:pPr>
              <w:spacing w:after="0" w:line="240" w:lineRule="auto"/>
              <w:jc w:val="center"/>
              <w:rPr>
                <w:szCs w:val="24"/>
              </w:rPr>
            </w:pPr>
            <w:r w:rsidRPr="00687DE8">
              <w:rPr>
                <w:szCs w:val="24"/>
              </w:rPr>
              <w:t>100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111063" w14:textId="77777777" w:rsidR="003445E8" w:rsidRPr="00687DE8" w:rsidRDefault="003445E8" w:rsidP="003445E8">
            <w:pPr>
              <w:spacing w:after="0" w:line="240" w:lineRule="auto"/>
              <w:jc w:val="center"/>
              <w:rPr>
                <w:szCs w:val="24"/>
              </w:rPr>
            </w:pPr>
          </w:p>
          <w:p w14:paraId="49AE6CEC" w14:textId="77777777" w:rsidR="003445E8" w:rsidRPr="00687DE8" w:rsidRDefault="003445E8" w:rsidP="003445E8">
            <w:pPr>
              <w:spacing w:after="0" w:line="240" w:lineRule="auto"/>
              <w:jc w:val="center"/>
              <w:rPr>
                <w:szCs w:val="24"/>
              </w:rPr>
            </w:pPr>
            <w:r w:rsidRPr="00687DE8">
              <w:rPr>
                <w:szCs w:val="24"/>
              </w:rPr>
              <w:t>0</w:t>
            </w:r>
          </w:p>
        </w:tc>
      </w:tr>
      <w:tr w:rsidR="003445E8" w:rsidRPr="00687DE8" w14:paraId="7CB439D0" w14:textId="77777777" w:rsidTr="00D30B8D">
        <w:trPr>
          <w:divId w:val="1316184749"/>
          <w:trHeight w:val="262"/>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93BF2B" w14:textId="77777777" w:rsidR="003445E8" w:rsidRPr="00687DE8" w:rsidRDefault="003445E8" w:rsidP="003445E8">
            <w:pPr>
              <w:spacing w:after="0" w:line="240" w:lineRule="auto"/>
              <w:rPr>
                <w:szCs w:val="24"/>
              </w:rPr>
            </w:pPr>
            <w:r w:rsidRPr="00687DE8">
              <w:rPr>
                <w:szCs w:val="24"/>
              </w:rPr>
              <w:t>Lastepsühhiaatria (alla 19-aastane isik)</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A286E4" w14:textId="77777777" w:rsidR="003445E8" w:rsidRPr="00687DE8" w:rsidRDefault="003445E8" w:rsidP="003445E8">
            <w:pPr>
              <w:spacing w:after="0" w:line="240" w:lineRule="auto"/>
              <w:jc w:val="center"/>
              <w:rPr>
                <w:szCs w:val="24"/>
              </w:rPr>
            </w:pPr>
            <w:r w:rsidRPr="00687DE8">
              <w:rPr>
                <w:szCs w:val="24"/>
              </w:rPr>
              <w:t>2060</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4DBC71" w14:textId="77777777" w:rsidR="003445E8" w:rsidRPr="00687DE8" w:rsidRDefault="003445E8" w:rsidP="003445E8">
            <w:pPr>
              <w:spacing w:after="0" w:line="240" w:lineRule="auto"/>
              <w:jc w:val="center"/>
              <w:rPr>
                <w:szCs w:val="24"/>
              </w:rPr>
            </w:pPr>
            <w:r w:rsidRPr="00687DE8">
              <w:rPr>
                <w:szCs w:val="24"/>
              </w:rPr>
              <w:t>20</w:t>
            </w:r>
          </w:p>
        </w:tc>
        <w:tc>
          <w:tcPr>
            <w:tcW w:w="759"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BA4C422" w14:textId="2401C85F" w:rsidR="003445E8" w:rsidRPr="00687DE8" w:rsidRDefault="00DC45A1" w:rsidP="003445E8">
            <w:pPr>
              <w:spacing w:after="0"/>
              <w:jc w:val="center"/>
              <w:rPr>
                <w:color w:val="000000" w:themeColor="text1"/>
                <w:szCs w:val="24"/>
              </w:rPr>
            </w:pPr>
            <w:r>
              <w:rPr>
                <w:color w:val="000000"/>
              </w:rPr>
              <w:t>417,12</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CABFED" w14:textId="77777777" w:rsidR="003445E8" w:rsidRPr="00687DE8" w:rsidRDefault="003445E8" w:rsidP="003445E8">
            <w:pPr>
              <w:spacing w:after="0" w:line="240" w:lineRule="auto"/>
              <w:jc w:val="center"/>
              <w:rPr>
                <w:szCs w:val="24"/>
              </w:rPr>
            </w:pPr>
          </w:p>
          <w:p w14:paraId="2E31C476" w14:textId="77777777" w:rsidR="003445E8" w:rsidRPr="00687DE8" w:rsidRDefault="003445E8" w:rsidP="003445E8">
            <w:pPr>
              <w:spacing w:after="0" w:line="240" w:lineRule="auto"/>
              <w:jc w:val="center"/>
              <w:rPr>
                <w:szCs w:val="24"/>
              </w:rPr>
            </w:pPr>
            <w:r w:rsidRPr="00687DE8">
              <w:rPr>
                <w:szCs w:val="24"/>
              </w:rPr>
              <w:t>100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4AA2C8" w14:textId="77777777" w:rsidR="003445E8" w:rsidRPr="00687DE8" w:rsidRDefault="003445E8" w:rsidP="003445E8">
            <w:pPr>
              <w:spacing w:after="0" w:line="240" w:lineRule="auto"/>
              <w:jc w:val="center"/>
              <w:rPr>
                <w:szCs w:val="24"/>
              </w:rPr>
            </w:pPr>
          </w:p>
          <w:p w14:paraId="3853AA2C" w14:textId="77777777" w:rsidR="003445E8" w:rsidRPr="00687DE8" w:rsidRDefault="003445E8" w:rsidP="003445E8">
            <w:pPr>
              <w:spacing w:after="0" w:line="240" w:lineRule="auto"/>
              <w:jc w:val="center"/>
              <w:rPr>
                <w:szCs w:val="24"/>
              </w:rPr>
            </w:pPr>
            <w:r w:rsidRPr="00687DE8">
              <w:rPr>
                <w:szCs w:val="24"/>
              </w:rPr>
              <w:t>0</w:t>
            </w:r>
          </w:p>
        </w:tc>
      </w:tr>
      <w:tr w:rsidR="003445E8" w:rsidRPr="00687DE8" w14:paraId="6AE91A60" w14:textId="77777777" w:rsidTr="00D30B8D">
        <w:trPr>
          <w:divId w:val="1316184749"/>
          <w:trHeight w:val="272"/>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1AECFB" w14:textId="77777777" w:rsidR="003445E8" w:rsidRPr="00687DE8" w:rsidRDefault="003445E8" w:rsidP="003445E8">
            <w:pPr>
              <w:spacing w:after="0" w:line="240" w:lineRule="auto"/>
              <w:rPr>
                <w:szCs w:val="24"/>
              </w:rPr>
            </w:pPr>
            <w:r w:rsidRPr="00687DE8">
              <w:rPr>
                <w:szCs w:val="24"/>
              </w:rPr>
              <w:t>Sünnitusabi</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021BF3" w14:textId="77777777" w:rsidR="003445E8" w:rsidRPr="00687DE8" w:rsidRDefault="003445E8" w:rsidP="003445E8">
            <w:pPr>
              <w:spacing w:after="0" w:line="240" w:lineRule="auto"/>
              <w:jc w:val="center"/>
              <w:rPr>
                <w:szCs w:val="24"/>
              </w:rPr>
            </w:pPr>
            <w:r w:rsidRPr="00687DE8">
              <w:rPr>
                <w:szCs w:val="24"/>
              </w:rPr>
              <w:t>2026</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F6E6AF" w14:textId="77777777" w:rsidR="003445E8" w:rsidRPr="00687DE8" w:rsidRDefault="003445E8" w:rsidP="003445E8">
            <w:pPr>
              <w:spacing w:after="0" w:line="240" w:lineRule="auto"/>
              <w:jc w:val="center"/>
              <w:rPr>
                <w:szCs w:val="24"/>
              </w:rPr>
            </w:pPr>
            <w:r w:rsidRPr="00687DE8">
              <w:rPr>
                <w:szCs w:val="24"/>
              </w:rPr>
              <w:t>4</w:t>
            </w:r>
          </w:p>
        </w:tc>
        <w:tc>
          <w:tcPr>
            <w:tcW w:w="759"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75E3C2" w14:textId="7370A001" w:rsidR="003445E8" w:rsidRPr="00687DE8" w:rsidRDefault="00DC45A1" w:rsidP="003445E8">
            <w:pPr>
              <w:spacing w:after="0"/>
              <w:jc w:val="center"/>
              <w:rPr>
                <w:color w:val="000000" w:themeColor="text1"/>
                <w:szCs w:val="24"/>
              </w:rPr>
            </w:pPr>
            <w:r>
              <w:rPr>
                <w:color w:val="000000"/>
              </w:rPr>
              <w:t>272,76</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366C45" w14:textId="77777777" w:rsidR="003445E8" w:rsidRPr="00687DE8" w:rsidRDefault="003445E8" w:rsidP="003445E8">
            <w:pPr>
              <w:spacing w:after="0" w:line="240" w:lineRule="auto"/>
              <w:jc w:val="center"/>
              <w:rPr>
                <w:szCs w:val="24"/>
              </w:rPr>
            </w:pPr>
            <w:r w:rsidRPr="00687DE8">
              <w:rPr>
                <w:szCs w:val="24"/>
              </w:rPr>
              <w:t>100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E442F2" w14:textId="77777777" w:rsidR="003445E8" w:rsidRPr="00687DE8" w:rsidRDefault="003445E8" w:rsidP="003445E8">
            <w:pPr>
              <w:spacing w:after="0" w:line="240" w:lineRule="auto"/>
              <w:jc w:val="center"/>
              <w:rPr>
                <w:szCs w:val="24"/>
              </w:rPr>
            </w:pPr>
            <w:r w:rsidRPr="00687DE8">
              <w:rPr>
                <w:szCs w:val="24"/>
              </w:rPr>
              <w:t>0</w:t>
            </w:r>
          </w:p>
        </w:tc>
      </w:tr>
      <w:tr w:rsidR="003445E8" w:rsidRPr="00687DE8" w14:paraId="62745631" w14:textId="77777777" w:rsidTr="00D30B8D">
        <w:trPr>
          <w:divId w:val="1316184749"/>
          <w:trHeight w:val="272"/>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A5B443" w14:textId="77777777" w:rsidR="003445E8" w:rsidRPr="00687DE8" w:rsidRDefault="003445E8" w:rsidP="003445E8">
            <w:pPr>
              <w:spacing w:after="0" w:line="240" w:lineRule="auto"/>
              <w:rPr>
                <w:szCs w:val="24"/>
              </w:rPr>
            </w:pPr>
            <w:r w:rsidRPr="00687DE8">
              <w:rPr>
                <w:szCs w:val="24"/>
              </w:rPr>
              <w:t>Neonatoloogia</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012AA8" w14:textId="77777777" w:rsidR="003445E8" w:rsidRPr="00687DE8" w:rsidRDefault="003445E8" w:rsidP="003445E8">
            <w:pPr>
              <w:spacing w:after="0" w:line="240" w:lineRule="auto"/>
              <w:jc w:val="center"/>
              <w:rPr>
                <w:szCs w:val="24"/>
              </w:rPr>
            </w:pPr>
            <w:r w:rsidRPr="00687DE8">
              <w:rPr>
                <w:szCs w:val="24"/>
              </w:rPr>
              <w:t>2034</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CE5157" w14:textId="77777777" w:rsidR="003445E8" w:rsidRPr="00687DE8" w:rsidRDefault="003445E8" w:rsidP="003445E8">
            <w:pPr>
              <w:spacing w:after="0" w:line="240" w:lineRule="auto"/>
              <w:jc w:val="center"/>
              <w:rPr>
                <w:szCs w:val="24"/>
              </w:rPr>
            </w:pPr>
            <w:r w:rsidRPr="00687DE8">
              <w:rPr>
                <w:szCs w:val="24"/>
              </w:rPr>
              <w:t>20</w:t>
            </w:r>
          </w:p>
        </w:tc>
        <w:tc>
          <w:tcPr>
            <w:tcW w:w="759"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8B6A5A" w14:textId="42B728BF" w:rsidR="003445E8" w:rsidRPr="00687DE8" w:rsidRDefault="00DC45A1" w:rsidP="003445E8">
            <w:pPr>
              <w:spacing w:after="0"/>
              <w:jc w:val="center"/>
              <w:rPr>
                <w:color w:val="000000" w:themeColor="text1"/>
                <w:szCs w:val="24"/>
              </w:rPr>
            </w:pPr>
            <w:r>
              <w:rPr>
                <w:color w:val="000000"/>
              </w:rPr>
              <w:t>270,69</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0E249D" w14:textId="77777777" w:rsidR="003445E8" w:rsidRPr="00687DE8" w:rsidRDefault="003445E8" w:rsidP="003445E8">
            <w:pPr>
              <w:spacing w:after="0" w:line="240" w:lineRule="auto"/>
              <w:jc w:val="center"/>
              <w:rPr>
                <w:szCs w:val="24"/>
              </w:rPr>
            </w:pPr>
            <w:r w:rsidRPr="00687DE8">
              <w:rPr>
                <w:szCs w:val="24"/>
              </w:rPr>
              <w:t>100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9F4704" w14:textId="77777777" w:rsidR="003445E8" w:rsidRPr="00687DE8" w:rsidRDefault="003445E8" w:rsidP="003445E8">
            <w:pPr>
              <w:spacing w:after="0" w:line="240" w:lineRule="auto"/>
              <w:jc w:val="center"/>
              <w:rPr>
                <w:szCs w:val="24"/>
              </w:rPr>
            </w:pPr>
            <w:r w:rsidRPr="00687DE8">
              <w:rPr>
                <w:szCs w:val="24"/>
              </w:rPr>
              <w:t>0</w:t>
            </w:r>
          </w:p>
        </w:tc>
      </w:tr>
      <w:tr w:rsidR="003445E8" w:rsidRPr="00687DE8" w14:paraId="73E46956" w14:textId="77777777" w:rsidTr="00D30B8D">
        <w:trPr>
          <w:divId w:val="1316184749"/>
          <w:trHeight w:val="272"/>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1B8BD1" w14:textId="77777777" w:rsidR="003445E8" w:rsidRPr="00687DE8" w:rsidRDefault="003445E8" w:rsidP="003445E8">
            <w:pPr>
              <w:spacing w:after="0" w:line="240" w:lineRule="auto"/>
              <w:rPr>
                <w:szCs w:val="24"/>
              </w:rPr>
            </w:pPr>
            <w:r w:rsidRPr="00687DE8">
              <w:rPr>
                <w:szCs w:val="24"/>
              </w:rPr>
              <w:t>I astme intensiivravi</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CF879F" w14:textId="77777777" w:rsidR="003445E8" w:rsidRPr="00687DE8" w:rsidRDefault="003445E8" w:rsidP="003445E8">
            <w:pPr>
              <w:spacing w:after="0" w:line="240" w:lineRule="auto"/>
              <w:jc w:val="center"/>
              <w:rPr>
                <w:szCs w:val="24"/>
              </w:rPr>
            </w:pPr>
            <w:r w:rsidRPr="00687DE8">
              <w:rPr>
                <w:szCs w:val="24"/>
              </w:rPr>
              <w:t>2070</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92CF87" w14:textId="77777777" w:rsidR="003445E8" w:rsidRPr="00687DE8" w:rsidRDefault="003445E8" w:rsidP="003445E8">
            <w:pPr>
              <w:spacing w:after="0" w:line="240" w:lineRule="auto"/>
              <w:jc w:val="center"/>
              <w:rPr>
                <w:szCs w:val="24"/>
              </w:rPr>
            </w:pPr>
            <w:r w:rsidRPr="00687DE8">
              <w:rPr>
                <w:szCs w:val="24"/>
              </w:rPr>
              <w:t>5</w:t>
            </w:r>
          </w:p>
        </w:tc>
        <w:tc>
          <w:tcPr>
            <w:tcW w:w="759"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A6825E" w14:textId="07A2EDE6" w:rsidR="003445E8" w:rsidRPr="00687DE8" w:rsidRDefault="00DC45A1" w:rsidP="003445E8">
            <w:pPr>
              <w:spacing w:after="0"/>
              <w:jc w:val="center"/>
              <w:rPr>
                <w:color w:val="000000" w:themeColor="text1"/>
                <w:szCs w:val="24"/>
              </w:rPr>
            </w:pPr>
            <w:r>
              <w:rPr>
                <w:color w:val="000000"/>
              </w:rPr>
              <w:t>298,18</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61C256" w14:textId="77777777" w:rsidR="003445E8" w:rsidRPr="00687DE8" w:rsidRDefault="003445E8" w:rsidP="003445E8">
            <w:pPr>
              <w:spacing w:after="0" w:line="240" w:lineRule="auto"/>
              <w:jc w:val="center"/>
              <w:rPr>
                <w:szCs w:val="24"/>
              </w:rPr>
            </w:pPr>
            <w:r w:rsidRPr="00687DE8">
              <w:rPr>
                <w:szCs w:val="24"/>
              </w:rPr>
              <w:t>100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6904A7" w14:textId="77777777" w:rsidR="003445E8" w:rsidRPr="00687DE8" w:rsidRDefault="003445E8" w:rsidP="003445E8">
            <w:pPr>
              <w:spacing w:after="0" w:line="240" w:lineRule="auto"/>
              <w:jc w:val="center"/>
              <w:rPr>
                <w:szCs w:val="24"/>
              </w:rPr>
            </w:pPr>
            <w:r w:rsidRPr="00687DE8">
              <w:rPr>
                <w:szCs w:val="24"/>
              </w:rPr>
              <w:t>0</w:t>
            </w:r>
          </w:p>
        </w:tc>
      </w:tr>
      <w:tr w:rsidR="003445E8" w:rsidRPr="00687DE8" w14:paraId="67C502B1" w14:textId="77777777" w:rsidTr="00D30B8D">
        <w:trPr>
          <w:divId w:val="1316184749"/>
          <w:trHeight w:val="272"/>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A9ECF3" w14:textId="77777777" w:rsidR="003445E8" w:rsidRPr="00687DE8" w:rsidRDefault="003445E8" w:rsidP="003445E8">
            <w:pPr>
              <w:spacing w:after="0" w:line="240" w:lineRule="auto"/>
              <w:rPr>
                <w:szCs w:val="24"/>
              </w:rPr>
            </w:pPr>
            <w:r w:rsidRPr="00687DE8">
              <w:rPr>
                <w:szCs w:val="24"/>
              </w:rPr>
              <w:t>II astme intensiivravi</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F3DE8D" w14:textId="77777777" w:rsidR="003445E8" w:rsidRPr="00687DE8" w:rsidRDefault="003445E8" w:rsidP="003445E8">
            <w:pPr>
              <w:spacing w:after="0" w:line="240" w:lineRule="auto"/>
              <w:jc w:val="center"/>
              <w:rPr>
                <w:szCs w:val="24"/>
              </w:rPr>
            </w:pPr>
            <w:r w:rsidRPr="00687DE8">
              <w:rPr>
                <w:szCs w:val="24"/>
              </w:rPr>
              <w:t>2071</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AD8A82" w14:textId="77777777" w:rsidR="003445E8" w:rsidRPr="00687DE8" w:rsidRDefault="003445E8" w:rsidP="003445E8">
            <w:pPr>
              <w:spacing w:after="0" w:line="240" w:lineRule="auto"/>
              <w:jc w:val="center"/>
              <w:rPr>
                <w:szCs w:val="24"/>
              </w:rPr>
            </w:pPr>
            <w:r w:rsidRPr="00687DE8">
              <w:rPr>
                <w:szCs w:val="24"/>
              </w:rPr>
              <w:t>10</w:t>
            </w:r>
          </w:p>
        </w:tc>
        <w:tc>
          <w:tcPr>
            <w:tcW w:w="759"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1DDC79" w14:textId="108D411D" w:rsidR="003445E8" w:rsidRPr="00687DE8" w:rsidRDefault="00DC45A1" w:rsidP="003445E8">
            <w:pPr>
              <w:spacing w:after="0"/>
              <w:jc w:val="center"/>
              <w:rPr>
                <w:color w:val="000000" w:themeColor="text1"/>
                <w:szCs w:val="24"/>
              </w:rPr>
            </w:pPr>
            <w:r>
              <w:rPr>
                <w:color w:val="000000"/>
              </w:rPr>
              <w:t>661,51</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365158" w14:textId="77777777" w:rsidR="003445E8" w:rsidRPr="00687DE8" w:rsidRDefault="003445E8" w:rsidP="003445E8">
            <w:pPr>
              <w:spacing w:after="0" w:line="240" w:lineRule="auto"/>
              <w:jc w:val="center"/>
              <w:rPr>
                <w:szCs w:val="24"/>
              </w:rPr>
            </w:pPr>
            <w:r w:rsidRPr="00687DE8">
              <w:rPr>
                <w:szCs w:val="24"/>
              </w:rPr>
              <w:t>100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DB93E2" w14:textId="77777777" w:rsidR="003445E8" w:rsidRPr="00687DE8" w:rsidRDefault="003445E8" w:rsidP="003445E8">
            <w:pPr>
              <w:spacing w:after="0" w:line="240" w:lineRule="auto"/>
              <w:jc w:val="center"/>
              <w:rPr>
                <w:szCs w:val="24"/>
              </w:rPr>
            </w:pPr>
            <w:r w:rsidRPr="00687DE8">
              <w:rPr>
                <w:szCs w:val="24"/>
              </w:rPr>
              <w:t>0</w:t>
            </w:r>
          </w:p>
        </w:tc>
      </w:tr>
      <w:tr w:rsidR="003445E8" w:rsidRPr="00687DE8" w14:paraId="39126E2B" w14:textId="77777777" w:rsidTr="00D30B8D">
        <w:trPr>
          <w:divId w:val="1316184749"/>
          <w:trHeight w:val="272"/>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0525FB" w14:textId="77777777" w:rsidR="003445E8" w:rsidRPr="00687DE8" w:rsidRDefault="003445E8" w:rsidP="003445E8">
            <w:pPr>
              <w:spacing w:after="0" w:line="240" w:lineRule="auto"/>
              <w:rPr>
                <w:szCs w:val="24"/>
              </w:rPr>
            </w:pPr>
            <w:r w:rsidRPr="00687DE8">
              <w:rPr>
                <w:szCs w:val="24"/>
              </w:rPr>
              <w:t>III astme intensiivravi</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8ED451" w14:textId="77777777" w:rsidR="003445E8" w:rsidRPr="00687DE8" w:rsidRDefault="003445E8" w:rsidP="003445E8">
            <w:pPr>
              <w:spacing w:after="0" w:line="240" w:lineRule="auto"/>
              <w:jc w:val="center"/>
              <w:rPr>
                <w:szCs w:val="24"/>
              </w:rPr>
            </w:pPr>
            <w:r w:rsidRPr="00687DE8">
              <w:rPr>
                <w:szCs w:val="24"/>
              </w:rPr>
              <w:t>2072</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7401DD" w14:textId="77777777" w:rsidR="003445E8" w:rsidRPr="00687DE8" w:rsidRDefault="003445E8" w:rsidP="003445E8">
            <w:pPr>
              <w:spacing w:after="0" w:line="240" w:lineRule="auto"/>
              <w:jc w:val="center"/>
              <w:rPr>
                <w:szCs w:val="24"/>
              </w:rPr>
            </w:pPr>
            <w:r w:rsidRPr="00687DE8">
              <w:rPr>
                <w:szCs w:val="24"/>
              </w:rPr>
              <w:t>25</w:t>
            </w:r>
          </w:p>
        </w:tc>
        <w:tc>
          <w:tcPr>
            <w:tcW w:w="759"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88987A" w14:textId="16079DA0" w:rsidR="003445E8" w:rsidRPr="00687DE8" w:rsidRDefault="00DC45A1" w:rsidP="003445E8">
            <w:pPr>
              <w:spacing w:after="0"/>
              <w:jc w:val="center"/>
              <w:rPr>
                <w:color w:val="000000" w:themeColor="text1"/>
                <w:szCs w:val="24"/>
              </w:rPr>
            </w:pPr>
            <w:r>
              <w:rPr>
                <w:color w:val="000000"/>
              </w:rPr>
              <w:t>1 401,55</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C80E64" w14:textId="77777777" w:rsidR="003445E8" w:rsidRPr="00687DE8" w:rsidRDefault="003445E8" w:rsidP="003445E8">
            <w:pPr>
              <w:spacing w:after="0" w:line="240" w:lineRule="auto"/>
              <w:jc w:val="center"/>
              <w:rPr>
                <w:szCs w:val="24"/>
              </w:rPr>
            </w:pPr>
            <w:r w:rsidRPr="00687DE8">
              <w:rPr>
                <w:szCs w:val="24"/>
              </w:rPr>
              <w:t>100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DCE38D" w14:textId="77777777" w:rsidR="003445E8" w:rsidRPr="00687DE8" w:rsidRDefault="003445E8" w:rsidP="003445E8">
            <w:pPr>
              <w:spacing w:after="0" w:line="240" w:lineRule="auto"/>
              <w:jc w:val="center"/>
              <w:rPr>
                <w:szCs w:val="24"/>
              </w:rPr>
            </w:pPr>
            <w:r w:rsidRPr="00687DE8">
              <w:rPr>
                <w:szCs w:val="24"/>
              </w:rPr>
              <w:t>0</w:t>
            </w:r>
          </w:p>
        </w:tc>
      </w:tr>
      <w:tr w:rsidR="003445E8" w:rsidRPr="00687DE8" w14:paraId="00BDC29D" w14:textId="77777777" w:rsidTr="00D30B8D">
        <w:trPr>
          <w:divId w:val="1316184749"/>
          <w:trHeight w:val="272"/>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192836" w14:textId="77777777" w:rsidR="003445E8" w:rsidRPr="00687DE8" w:rsidRDefault="003445E8" w:rsidP="003445E8">
            <w:pPr>
              <w:spacing w:after="0" w:line="240" w:lineRule="auto"/>
              <w:rPr>
                <w:szCs w:val="24"/>
              </w:rPr>
            </w:pPr>
            <w:r w:rsidRPr="00687DE8">
              <w:rPr>
                <w:szCs w:val="24"/>
              </w:rPr>
              <w:t>III A astme intensiivravi</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28691F" w14:textId="77777777" w:rsidR="003445E8" w:rsidRPr="00687DE8" w:rsidRDefault="003445E8" w:rsidP="003445E8">
            <w:pPr>
              <w:spacing w:after="0" w:line="240" w:lineRule="auto"/>
              <w:jc w:val="center"/>
              <w:rPr>
                <w:szCs w:val="24"/>
              </w:rPr>
            </w:pPr>
            <w:r w:rsidRPr="00687DE8">
              <w:rPr>
                <w:szCs w:val="24"/>
              </w:rPr>
              <w:t>2073</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55AB5E" w14:textId="77777777" w:rsidR="003445E8" w:rsidRPr="00687DE8" w:rsidRDefault="003445E8" w:rsidP="003445E8">
            <w:pPr>
              <w:spacing w:after="0" w:line="240" w:lineRule="auto"/>
              <w:jc w:val="center"/>
              <w:rPr>
                <w:szCs w:val="24"/>
              </w:rPr>
            </w:pPr>
            <w:r w:rsidRPr="00687DE8">
              <w:rPr>
                <w:szCs w:val="24"/>
              </w:rPr>
              <w:t>25</w:t>
            </w:r>
          </w:p>
        </w:tc>
        <w:tc>
          <w:tcPr>
            <w:tcW w:w="759"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99F39E" w14:textId="3D36BD6B" w:rsidR="003445E8" w:rsidRPr="00687DE8" w:rsidRDefault="00DC45A1" w:rsidP="003445E8">
            <w:pPr>
              <w:spacing w:after="0"/>
              <w:jc w:val="center"/>
              <w:rPr>
                <w:color w:val="000000" w:themeColor="text1"/>
                <w:szCs w:val="24"/>
              </w:rPr>
            </w:pPr>
            <w:r>
              <w:rPr>
                <w:color w:val="000000"/>
              </w:rPr>
              <w:t>1 665,25</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4DB6C2" w14:textId="77777777" w:rsidR="003445E8" w:rsidRPr="00687DE8" w:rsidRDefault="003445E8" w:rsidP="003445E8">
            <w:pPr>
              <w:spacing w:after="0" w:line="240" w:lineRule="auto"/>
              <w:jc w:val="center"/>
              <w:rPr>
                <w:szCs w:val="24"/>
              </w:rPr>
            </w:pPr>
            <w:r w:rsidRPr="00687DE8">
              <w:rPr>
                <w:szCs w:val="24"/>
              </w:rPr>
              <w:t>100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6903A6" w14:textId="77777777" w:rsidR="003445E8" w:rsidRPr="00687DE8" w:rsidRDefault="003445E8" w:rsidP="003445E8">
            <w:pPr>
              <w:spacing w:after="0" w:line="240" w:lineRule="auto"/>
              <w:jc w:val="center"/>
              <w:rPr>
                <w:szCs w:val="24"/>
              </w:rPr>
            </w:pPr>
            <w:r w:rsidRPr="00687DE8">
              <w:rPr>
                <w:szCs w:val="24"/>
              </w:rPr>
              <w:t>0</w:t>
            </w:r>
          </w:p>
        </w:tc>
      </w:tr>
      <w:tr w:rsidR="003445E8" w:rsidRPr="00687DE8" w14:paraId="5276B066" w14:textId="77777777" w:rsidTr="00D30B8D">
        <w:trPr>
          <w:divId w:val="1316184749"/>
          <w:trHeight w:val="247"/>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DFA335" w14:textId="3D534F55" w:rsidR="003445E8" w:rsidRPr="00687DE8" w:rsidRDefault="003445E8" w:rsidP="003445E8">
            <w:pPr>
              <w:spacing w:after="0" w:line="240" w:lineRule="auto"/>
              <w:rPr>
                <w:szCs w:val="24"/>
              </w:rPr>
            </w:pPr>
            <w:r w:rsidRPr="00687DE8">
              <w:rPr>
                <w:szCs w:val="24"/>
              </w:rPr>
              <w:t>Järelravi</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84D523" w14:textId="77777777" w:rsidR="003445E8" w:rsidRPr="00687DE8" w:rsidRDefault="003445E8" w:rsidP="003445E8">
            <w:pPr>
              <w:spacing w:after="0" w:line="240" w:lineRule="auto"/>
              <w:jc w:val="center"/>
              <w:rPr>
                <w:szCs w:val="24"/>
              </w:rPr>
            </w:pPr>
            <w:r w:rsidRPr="00687DE8">
              <w:rPr>
                <w:szCs w:val="24"/>
              </w:rPr>
              <w:t>2047</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17D7D" w14:textId="77777777" w:rsidR="003445E8" w:rsidRPr="00687DE8" w:rsidRDefault="003445E8" w:rsidP="003445E8">
            <w:pPr>
              <w:spacing w:after="0" w:line="240" w:lineRule="auto"/>
              <w:jc w:val="center"/>
              <w:rPr>
                <w:szCs w:val="24"/>
              </w:rPr>
            </w:pPr>
            <w:r w:rsidRPr="00687DE8">
              <w:rPr>
                <w:szCs w:val="24"/>
              </w:rPr>
              <w:t>60</w:t>
            </w:r>
          </w:p>
        </w:tc>
        <w:tc>
          <w:tcPr>
            <w:tcW w:w="759"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0506FF" w14:textId="780D97D8" w:rsidR="003445E8" w:rsidRPr="00687DE8" w:rsidRDefault="00DC45A1" w:rsidP="003445E8">
            <w:pPr>
              <w:spacing w:after="0"/>
              <w:jc w:val="center"/>
              <w:rPr>
                <w:color w:val="000000" w:themeColor="text1"/>
                <w:szCs w:val="24"/>
              </w:rPr>
            </w:pPr>
            <w:r>
              <w:rPr>
                <w:color w:val="000000"/>
              </w:rPr>
              <w:t>110,96</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8C1AB1" w14:textId="77777777" w:rsidR="003445E8" w:rsidRPr="00687DE8" w:rsidRDefault="003445E8" w:rsidP="003445E8">
            <w:pPr>
              <w:spacing w:after="0" w:line="240" w:lineRule="auto"/>
              <w:jc w:val="center"/>
              <w:rPr>
                <w:szCs w:val="24"/>
              </w:rPr>
            </w:pPr>
            <w:r w:rsidRPr="00687DE8">
              <w:rPr>
                <w:szCs w:val="24"/>
              </w:rPr>
              <w:t>100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E8C912" w14:textId="77777777" w:rsidR="003445E8" w:rsidRPr="00687DE8" w:rsidRDefault="003445E8" w:rsidP="003445E8">
            <w:pPr>
              <w:spacing w:after="0" w:line="240" w:lineRule="auto"/>
              <w:jc w:val="center"/>
              <w:rPr>
                <w:szCs w:val="24"/>
              </w:rPr>
            </w:pPr>
            <w:r w:rsidRPr="00687DE8">
              <w:rPr>
                <w:szCs w:val="24"/>
              </w:rPr>
              <w:t>0</w:t>
            </w:r>
          </w:p>
        </w:tc>
      </w:tr>
      <w:tr w:rsidR="003445E8" w:rsidRPr="00687DE8" w14:paraId="5160AF87" w14:textId="77777777" w:rsidTr="00D30B8D">
        <w:trPr>
          <w:divId w:val="1316184749"/>
          <w:trHeight w:val="311"/>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5A125F" w14:textId="77777777" w:rsidR="003445E8" w:rsidRPr="00687DE8" w:rsidRDefault="003445E8" w:rsidP="003445E8">
            <w:pPr>
              <w:spacing w:after="0" w:line="240" w:lineRule="auto"/>
              <w:rPr>
                <w:szCs w:val="24"/>
              </w:rPr>
            </w:pPr>
            <w:r w:rsidRPr="00687DE8">
              <w:rPr>
                <w:szCs w:val="24"/>
              </w:rPr>
              <w:t xml:space="preserve">Majutuse voodipäev </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07F8DC5" w14:textId="77777777" w:rsidR="003445E8" w:rsidRPr="00687DE8" w:rsidRDefault="003445E8" w:rsidP="003445E8">
            <w:pPr>
              <w:spacing w:after="0" w:line="240" w:lineRule="auto"/>
              <w:jc w:val="center"/>
              <w:rPr>
                <w:szCs w:val="24"/>
              </w:rPr>
            </w:pPr>
            <w:r w:rsidRPr="00687DE8">
              <w:rPr>
                <w:szCs w:val="24"/>
              </w:rPr>
              <w:t>2067</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86E8E71" w14:textId="77777777" w:rsidR="003445E8" w:rsidRPr="00687DE8" w:rsidRDefault="003445E8" w:rsidP="003445E8">
            <w:pPr>
              <w:spacing w:after="0" w:line="240" w:lineRule="auto"/>
              <w:jc w:val="center"/>
              <w:rPr>
                <w:szCs w:val="24"/>
              </w:rPr>
            </w:pPr>
            <w:r w:rsidRPr="00687DE8">
              <w:rPr>
                <w:szCs w:val="24"/>
              </w:rPr>
              <w:t>–</w:t>
            </w:r>
          </w:p>
        </w:tc>
        <w:tc>
          <w:tcPr>
            <w:tcW w:w="759"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15AA326" w14:textId="3C8741D7" w:rsidR="003445E8" w:rsidRPr="00687DE8" w:rsidRDefault="00DC45A1" w:rsidP="003445E8">
            <w:pPr>
              <w:spacing w:after="0"/>
              <w:jc w:val="center"/>
              <w:rPr>
                <w:color w:val="000000" w:themeColor="text1"/>
                <w:szCs w:val="24"/>
              </w:rPr>
            </w:pPr>
            <w:r>
              <w:rPr>
                <w:color w:val="000000"/>
              </w:rPr>
              <w:t>22,16</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E31FB12" w14:textId="77777777" w:rsidR="003445E8" w:rsidRPr="00687DE8" w:rsidRDefault="003445E8" w:rsidP="003445E8">
            <w:pPr>
              <w:spacing w:after="0" w:line="240" w:lineRule="auto"/>
              <w:jc w:val="center"/>
              <w:rPr>
                <w:szCs w:val="24"/>
              </w:rPr>
            </w:pPr>
            <w:r w:rsidRPr="00687DE8">
              <w:rPr>
                <w:szCs w:val="24"/>
              </w:rPr>
              <w:t>100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E79CAA9" w14:textId="77777777" w:rsidR="003445E8" w:rsidRPr="00687DE8" w:rsidRDefault="003445E8" w:rsidP="003445E8">
            <w:pPr>
              <w:spacing w:after="0" w:line="240" w:lineRule="auto"/>
              <w:jc w:val="center"/>
              <w:rPr>
                <w:szCs w:val="24"/>
              </w:rPr>
            </w:pPr>
            <w:r w:rsidRPr="00687DE8">
              <w:rPr>
                <w:szCs w:val="24"/>
              </w:rPr>
              <w:t>0</w:t>
            </w:r>
          </w:p>
        </w:tc>
      </w:tr>
      <w:tr w:rsidR="003445E8" w:rsidRPr="00687DE8" w14:paraId="629D137E" w14:textId="77777777" w:rsidTr="00D30B8D">
        <w:trPr>
          <w:divId w:val="1316184749"/>
          <w:trHeight w:val="352"/>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3AAAE2" w14:textId="77777777" w:rsidR="003445E8" w:rsidRPr="00687DE8" w:rsidRDefault="003445E8" w:rsidP="003445E8">
            <w:pPr>
              <w:spacing w:after="0" w:line="240" w:lineRule="auto"/>
              <w:rPr>
                <w:szCs w:val="24"/>
              </w:rPr>
            </w:pPr>
            <w:r w:rsidRPr="00687DE8">
              <w:rPr>
                <w:szCs w:val="24"/>
              </w:rPr>
              <w:t>Lapse hooldaja majutuse voodipäev</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36BA559A" w14:textId="77777777" w:rsidR="003445E8" w:rsidRPr="00687DE8" w:rsidRDefault="003445E8" w:rsidP="003445E8">
            <w:pPr>
              <w:spacing w:after="0" w:line="240" w:lineRule="auto"/>
              <w:jc w:val="center"/>
              <w:rPr>
                <w:szCs w:val="24"/>
              </w:rPr>
            </w:pPr>
            <w:r w:rsidRPr="00687DE8">
              <w:rPr>
                <w:szCs w:val="24"/>
              </w:rPr>
              <w:t>2069</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572C2F3" w14:textId="77777777" w:rsidR="003445E8" w:rsidRPr="00687DE8" w:rsidRDefault="003445E8" w:rsidP="003445E8">
            <w:pPr>
              <w:spacing w:after="0" w:line="240" w:lineRule="auto"/>
              <w:jc w:val="center"/>
              <w:rPr>
                <w:szCs w:val="24"/>
              </w:rPr>
            </w:pPr>
            <w:r w:rsidRPr="00687DE8">
              <w:rPr>
                <w:szCs w:val="24"/>
              </w:rPr>
              <w:t>–</w:t>
            </w:r>
          </w:p>
        </w:tc>
        <w:tc>
          <w:tcPr>
            <w:tcW w:w="759"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DD3914A" w14:textId="2BF59F10" w:rsidR="003445E8" w:rsidRPr="00687DE8" w:rsidRDefault="00DC45A1" w:rsidP="003445E8">
            <w:pPr>
              <w:spacing w:after="0"/>
              <w:jc w:val="center"/>
              <w:rPr>
                <w:color w:val="000000" w:themeColor="text1"/>
                <w:szCs w:val="24"/>
              </w:rPr>
            </w:pPr>
            <w:r>
              <w:rPr>
                <w:color w:val="000000"/>
              </w:rPr>
              <w:t>43,03</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524F2F8" w14:textId="77777777" w:rsidR="003445E8" w:rsidRPr="00687DE8" w:rsidRDefault="003445E8" w:rsidP="003445E8">
            <w:pPr>
              <w:spacing w:after="0" w:line="240" w:lineRule="auto"/>
              <w:jc w:val="center"/>
              <w:rPr>
                <w:szCs w:val="24"/>
              </w:rPr>
            </w:pPr>
            <w:r w:rsidRPr="00687DE8">
              <w:rPr>
                <w:szCs w:val="24"/>
              </w:rPr>
              <w:t>100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1589CD7E" w14:textId="77777777" w:rsidR="003445E8" w:rsidRPr="00687DE8" w:rsidRDefault="003445E8" w:rsidP="003445E8">
            <w:pPr>
              <w:spacing w:after="0" w:line="240" w:lineRule="auto"/>
              <w:jc w:val="center"/>
              <w:rPr>
                <w:szCs w:val="24"/>
              </w:rPr>
            </w:pPr>
            <w:r w:rsidRPr="00687DE8">
              <w:rPr>
                <w:szCs w:val="24"/>
              </w:rPr>
              <w:t>0</w:t>
            </w:r>
          </w:p>
        </w:tc>
      </w:tr>
      <w:tr w:rsidR="003445E8" w:rsidRPr="00687DE8" w14:paraId="6B06FF4A" w14:textId="77777777" w:rsidTr="00D30B8D">
        <w:trPr>
          <w:divId w:val="1316184749"/>
          <w:trHeight w:val="544"/>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01B5DF" w14:textId="77777777" w:rsidR="003445E8" w:rsidRPr="00687DE8" w:rsidRDefault="003445E8" w:rsidP="003445E8">
            <w:pPr>
              <w:spacing w:after="0" w:line="240" w:lineRule="auto"/>
              <w:rPr>
                <w:szCs w:val="24"/>
              </w:rPr>
            </w:pPr>
            <w:r w:rsidRPr="00687DE8">
              <w:rPr>
                <w:szCs w:val="24"/>
              </w:rPr>
              <w:t>Iseseisev statsionaarne õendusabi</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AAF178" w14:textId="77777777" w:rsidR="003445E8" w:rsidRPr="00687DE8" w:rsidRDefault="003445E8" w:rsidP="003445E8">
            <w:pPr>
              <w:spacing w:after="0" w:line="240" w:lineRule="auto"/>
              <w:jc w:val="center"/>
              <w:rPr>
                <w:szCs w:val="24"/>
              </w:rPr>
            </w:pPr>
          </w:p>
          <w:p w14:paraId="1BFE710C" w14:textId="77777777" w:rsidR="003445E8" w:rsidRPr="00687DE8" w:rsidRDefault="003445E8" w:rsidP="003445E8">
            <w:pPr>
              <w:spacing w:after="0" w:line="240" w:lineRule="auto"/>
              <w:jc w:val="center"/>
              <w:rPr>
                <w:szCs w:val="24"/>
              </w:rPr>
            </w:pPr>
            <w:r w:rsidRPr="00687DE8">
              <w:rPr>
                <w:szCs w:val="24"/>
              </w:rPr>
              <w:t>2063</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4394C8" w14:textId="77777777" w:rsidR="003445E8" w:rsidRPr="00687DE8" w:rsidRDefault="003445E8" w:rsidP="003445E8">
            <w:pPr>
              <w:spacing w:after="0" w:line="240" w:lineRule="auto"/>
              <w:jc w:val="center"/>
              <w:rPr>
                <w:szCs w:val="24"/>
              </w:rPr>
            </w:pPr>
          </w:p>
          <w:p w14:paraId="3AAF71B5" w14:textId="77777777" w:rsidR="003445E8" w:rsidRPr="00687DE8" w:rsidRDefault="003445E8" w:rsidP="003445E8">
            <w:pPr>
              <w:spacing w:after="0" w:line="240" w:lineRule="auto"/>
              <w:jc w:val="center"/>
              <w:rPr>
                <w:szCs w:val="24"/>
              </w:rPr>
            </w:pPr>
            <w:r w:rsidRPr="00687DE8">
              <w:rPr>
                <w:szCs w:val="24"/>
              </w:rPr>
              <w:t>60</w:t>
            </w:r>
          </w:p>
        </w:tc>
        <w:tc>
          <w:tcPr>
            <w:tcW w:w="759"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68BEBD1" w14:textId="08E3E702" w:rsidR="003445E8" w:rsidRPr="00687DE8" w:rsidRDefault="00DC45A1" w:rsidP="003445E8">
            <w:pPr>
              <w:tabs>
                <w:tab w:val="left" w:pos="338"/>
                <w:tab w:val="center" w:pos="694"/>
              </w:tabs>
              <w:spacing w:after="0"/>
              <w:rPr>
                <w:color w:val="000000" w:themeColor="text1"/>
                <w:szCs w:val="24"/>
              </w:rPr>
            </w:pPr>
            <w:r>
              <w:rPr>
                <w:color w:val="000000"/>
              </w:rPr>
              <w:t>142,91</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816146" w14:textId="77777777" w:rsidR="003445E8" w:rsidRPr="00687DE8" w:rsidRDefault="003445E8" w:rsidP="003445E8">
            <w:pPr>
              <w:spacing w:after="0" w:line="240" w:lineRule="auto"/>
              <w:jc w:val="center"/>
            </w:pPr>
          </w:p>
          <w:p w14:paraId="547D90AC" w14:textId="5E47AC68" w:rsidR="003445E8" w:rsidRPr="00687DE8" w:rsidRDefault="003445E8" w:rsidP="003445E8">
            <w:pPr>
              <w:spacing w:after="0" w:line="240" w:lineRule="auto"/>
              <w:jc w:val="center"/>
            </w:pPr>
            <w:r>
              <w:t>90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23F2F1" w14:textId="77777777" w:rsidR="003445E8" w:rsidRPr="00687DE8" w:rsidRDefault="003445E8" w:rsidP="003445E8">
            <w:pPr>
              <w:spacing w:after="0" w:line="240" w:lineRule="auto"/>
              <w:jc w:val="center"/>
              <w:rPr>
                <w:szCs w:val="24"/>
              </w:rPr>
            </w:pPr>
          </w:p>
          <w:p w14:paraId="2E2C0D4D" w14:textId="7EADF5A8" w:rsidR="003445E8" w:rsidRPr="00687DE8" w:rsidRDefault="003445E8" w:rsidP="003445E8">
            <w:pPr>
              <w:spacing w:after="0" w:line="240" w:lineRule="auto"/>
              <w:jc w:val="center"/>
            </w:pPr>
            <w:r>
              <w:t>10</w:t>
            </w:r>
          </w:p>
        </w:tc>
      </w:tr>
      <w:tr w:rsidR="003445E8" w:rsidRPr="00687DE8" w14:paraId="0BE2372D" w14:textId="77777777" w:rsidTr="00D30B8D">
        <w:trPr>
          <w:divId w:val="1316184749"/>
          <w:trHeight w:val="272"/>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7C9C31" w14:textId="77777777" w:rsidR="003445E8" w:rsidRPr="00687DE8" w:rsidRDefault="003445E8" w:rsidP="003445E8">
            <w:pPr>
              <w:spacing w:after="0" w:line="240" w:lineRule="auto"/>
              <w:rPr>
                <w:szCs w:val="24"/>
              </w:rPr>
            </w:pPr>
            <w:r w:rsidRPr="00687DE8">
              <w:rPr>
                <w:szCs w:val="24"/>
              </w:rPr>
              <w:t>Statsionaarne hospiitsravi</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43639C" w14:textId="77777777" w:rsidR="003445E8" w:rsidRDefault="003445E8" w:rsidP="003445E8">
            <w:pPr>
              <w:spacing w:after="0" w:line="240" w:lineRule="auto"/>
              <w:jc w:val="center"/>
              <w:rPr>
                <w:szCs w:val="24"/>
              </w:rPr>
            </w:pPr>
          </w:p>
          <w:p w14:paraId="7580C343" w14:textId="3AD1374D" w:rsidR="003445E8" w:rsidRPr="00687DE8" w:rsidRDefault="003445E8" w:rsidP="003445E8">
            <w:pPr>
              <w:spacing w:after="0" w:line="240" w:lineRule="auto"/>
              <w:jc w:val="center"/>
              <w:rPr>
                <w:szCs w:val="24"/>
              </w:rPr>
            </w:pPr>
            <w:r w:rsidRPr="00687DE8">
              <w:rPr>
                <w:szCs w:val="24"/>
              </w:rPr>
              <w:t>2068</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840731" w14:textId="77777777" w:rsidR="003445E8" w:rsidRDefault="003445E8" w:rsidP="003445E8">
            <w:pPr>
              <w:spacing w:after="0" w:line="240" w:lineRule="auto"/>
              <w:jc w:val="center"/>
              <w:rPr>
                <w:szCs w:val="24"/>
              </w:rPr>
            </w:pPr>
          </w:p>
          <w:p w14:paraId="67CFDBC5" w14:textId="3F511AF5" w:rsidR="003445E8" w:rsidRPr="00687DE8" w:rsidRDefault="003445E8" w:rsidP="003445E8">
            <w:pPr>
              <w:spacing w:after="0" w:line="240" w:lineRule="auto"/>
              <w:jc w:val="center"/>
              <w:rPr>
                <w:szCs w:val="24"/>
              </w:rPr>
            </w:pPr>
            <w:r w:rsidRPr="00687DE8">
              <w:rPr>
                <w:szCs w:val="24"/>
              </w:rPr>
              <w:t>14</w:t>
            </w:r>
          </w:p>
        </w:tc>
        <w:tc>
          <w:tcPr>
            <w:tcW w:w="759"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F8E3AE" w14:textId="2A21E210" w:rsidR="003445E8" w:rsidRPr="00687DE8" w:rsidRDefault="00DC45A1" w:rsidP="003445E8">
            <w:pPr>
              <w:spacing w:after="0"/>
              <w:jc w:val="center"/>
              <w:rPr>
                <w:color w:val="000000" w:themeColor="text1"/>
                <w:szCs w:val="24"/>
              </w:rPr>
            </w:pPr>
            <w:r>
              <w:rPr>
                <w:color w:val="000000"/>
              </w:rPr>
              <w:t>180,44</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1D282C" w14:textId="77777777" w:rsidR="003445E8" w:rsidRPr="00687DE8" w:rsidRDefault="003445E8" w:rsidP="003445E8">
            <w:pPr>
              <w:spacing w:after="0" w:line="240" w:lineRule="auto"/>
              <w:jc w:val="center"/>
              <w:rPr>
                <w:szCs w:val="24"/>
              </w:rPr>
            </w:pPr>
            <w:r w:rsidRPr="00687DE8">
              <w:rPr>
                <w:szCs w:val="24"/>
              </w:rPr>
              <w:t>100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9AEF7D" w14:textId="77777777" w:rsidR="003445E8" w:rsidRPr="00687DE8" w:rsidRDefault="003445E8" w:rsidP="003445E8">
            <w:pPr>
              <w:spacing w:after="0" w:line="240" w:lineRule="auto"/>
              <w:jc w:val="center"/>
              <w:rPr>
                <w:szCs w:val="24"/>
              </w:rPr>
            </w:pPr>
            <w:r w:rsidRPr="00687DE8">
              <w:rPr>
                <w:szCs w:val="24"/>
              </w:rPr>
              <w:t>0</w:t>
            </w:r>
          </w:p>
        </w:tc>
      </w:tr>
      <w:tr w:rsidR="003445E8" w14:paraId="2F4B9151" w14:textId="77777777" w:rsidTr="00D30B8D">
        <w:trPr>
          <w:divId w:val="1316184749"/>
          <w:trHeight w:val="300"/>
        </w:trPr>
        <w:tc>
          <w:tcPr>
            <w:tcW w:w="12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0B03EE" w14:textId="045FBB67" w:rsidR="003445E8" w:rsidRPr="00FD6847" w:rsidRDefault="003445E8" w:rsidP="003445E8">
            <w:pPr>
              <w:spacing w:after="0" w:line="240" w:lineRule="auto"/>
              <w:rPr>
                <w:rFonts w:eastAsia="Arial"/>
                <w:szCs w:val="24"/>
              </w:rPr>
            </w:pPr>
            <w:r w:rsidRPr="00FD6847">
              <w:rPr>
                <w:rFonts w:eastAsia="Arial"/>
                <w:szCs w:val="24"/>
              </w:rPr>
              <w:t>Insuldi voodipäev</w:t>
            </w:r>
          </w:p>
        </w:tc>
        <w:tc>
          <w:tcPr>
            <w:tcW w:w="3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3EB3E3" w14:textId="5DC141F2" w:rsidR="003445E8" w:rsidRPr="00FD6847" w:rsidRDefault="003445E8" w:rsidP="003445E8">
            <w:pPr>
              <w:spacing w:after="0" w:line="240" w:lineRule="auto"/>
              <w:jc w:val="center"/>
              <w:rPr>
                <w:szCs w:val="24"/>
              </w:rPr>
            </w:pPr>
            <w:r w:rsidRPr="00FD6847">
              <w:rPr>
                <w:szCs w:val="24"/>
              </w:rPr>
              <w:t>2075</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746B8E" w14:textId="2D37CB46" w:rsidR="003445E8" w:rsidRPr="00FD6847" w:rsidRDefault="003445E8" w:rsidP="003445E8">
            <w:pPr>
              <w:spacing w:after="0" w:line="240" w:lineRule="auto"/>
              <w:jc w:val="center"/>
              <w:rPr>
                <w:szCs w:val="24"/>
              </w:rPr>
            </w:pPr>
            <w:r w:rsidRPr="00FD6847">
              <w:rPr>
                <w:szCs w:val="24"/>
              </w:rPr>
              <w:t>10</w:t>
            </w:r>
          </w:p>
        </w:tc>
        <w:tc>
          <w:tcPr>
            <w:tcW w:w="759"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5E3649" w14:textId="70EA4B56" w:rsidR="003445E8" w:rsidRPr="00FD6847" w:rsidRDefault="00DC45A1" w:rsidP="003445E8">
            <w:pPr>
              <w:spacing w:after="0" w:line="240" w:lineRule="auto"/>
              <w:jc w:val="center"/>
              <w:rPr>
                <w:rFonts w:eastAsia="Arial"/>
                <w:szCs w:val="24"/>
              </w:rPr>
            </w:pPr>
            <w:r>
              <w:rPr>
                <w:color w:val="000000"/>
              </w:rPr>
              <w:t>241,41</w:t>
            </w:r>
          </w:p>
        </w:tc>
        <w:tc>
          <w:tcPr>
            <w:tcW w:w="10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0901C0" w14:textId="2D7E462D" w:rsidR="003445E8" w:rsidRPr="00FD6847" w:rsidRDefault="003445E8" w:rsidP="003445E8">
            <w:pPr>
              <w:spacing w:after="0" w:line="240" w:lineRule="auto"/>
              <w:jc w:val="center"/>
              <w:rPr>
                <w:szCs w:val="24"/>
              </w:rPr>
            </w:pPr>
            <w:r w:rsidRPr="00FD6847">
              <w:rPr>
                <w:szCs w:val="24"/>
              </w:rPr>
              <w:t>100</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6963E8" w14:textId="12AF74D0" w:rsidR="003445E8" w:rsidRPr="00FD6847" w:rsidRDefault="003445E8" w:rsidP="003445E8">
            <w:pPr>
              <w:spacing w:after="0" w:line="240" w:lineRule="auto"/>
              <w:jc w:val="center"/>
              <w:rPr>
                <w:szCs w:val="24"/>
              </w:rPr>
            </w:pPr>
            <w:r w:rsidRPr="00FD6847">
              <w:rPr>
                <w:szCs w:val="24"/>
              </w:rPr>
              <w:t>0</w:t>
            </w:r>
          </w:p>
        </w:tc>
      </w:tr>
    </w:tbl>
    <w:p w14:paraId="006B65A2" w14:textId="77777777" w:rsidR="00976487" w:rsidRPr="00687DE8" w:rsidRDefault="00976487" w:rsidP="00976487">
      <w:pPr>
        <w:spacing w:after="0" w:line="240" w:lineRule="auto"/>
        <w:jc w:val="both"/>
        <w:divId w:val="1316184749"/>
        <w:rPr>
          <w:szCs w:val="24"/>
        </w:rPr>
      </w:pPr>
    </w:p>
    <w:p w14:paraId="3326B8BE" w14:textId="77777777" w:rsidR="00976487" w:rsidRPr="00687DE8" w:rsidRDefault="00976487" w:rsidP="00976487">
      <w:pPr>
        <w:shd w:val="clear" w:color="auto" w:fill="FFFFFF" w:themeFill="background1"/>
        <w:spacing w:after="0" w:line="240" w:lineRule="auto"/>
        <w:jc w:val="both"/>
        <w:divId w:val="1316184749"/>
        <w:rPr>
          <w:color w:val="202020"/>
          <w:szCs w:val="24"/>
          <w:lang w:eastAsia="et-EE"/>
        </w:rPr>
      </w:pPr>
      <w:r w:rsidRPr="00687DE8">
        <w:rPr>
          <w:color w:val="202020"/>
          <w:szCs w:val="24"/>
          <w:lang w:eastAsia="et-EE"/>
        </w:rPr>
        <w:t xml:space="preserve">(2) Statsionaarse eriarstiabi voodipäev on arvestusühik, mille maksumuse aluseks on haige ravil viibimise ööpäevane kestus, </w:t>
      </w:r>
      <w:r w:rsidR="00DC4841" w:rsidRPr="00687DE8">
        <w:rPr>
          <w:color w:val="202020"/>
          <w:szCs w:val="24"/>
          <w:lang w:eastAsia="et-EE"/>
        </w:rPr>
        <w:t>välja arvatud</w:t>
      </w:r>
      <w:r w:rsidRPr="00687DE8">
        <w:rPr>
          <w:color w:val="202020"/>
          <w:szCs w:val="24"/>
          <w:lang w:eastAsia="et-EE"/>
        </w:rPr>
        <w:t xml:space="preserve"> käesolevas määruses sätestatud juhtudel.</w:t>
      </w:r>
    </w:p>
    <w:p w14:paraId="6F8A1009" w14:textId="77777777" w:rsidR="00976487" w:rsidRPr="00687DE8" w:rsidRDefault="00976487" w:rsidP="00976487">
      <w:pPr>
        <w:shd w:val="clear" w:color="auto" w:fill="FFFFFF" w:themeFill="background1"/>
        <w:spacing w:after="0" w:line="240" w:lineRule="auto"/>
        <w:divId w:val="1316184749"/>
        <w:rPr>
          <w:color w:val="202020"/>
          <w:szCs w:val="24"/>
          <w:lang w:eastAsia="et-EE"/>
        </w:rPr>
      </w:pPr>
    </w:p>
    <w:p w14:paraId="1E962BC2" w14:textId="77777777" w:rsidR="00976487" w:rsidRPr="00687DE8" w:rsidRDefault="00976487" w:rsidP="00976487">
      <w:pPr>
        <w:pStyle w:val="Vahedeta"/>
        <w:jc w:val="both"/>
        <w:divId w:val="1316184749"/>
        <w:rPr>
          <w:szCs w:val="24"/>
          <w:lang w:val="et-EE"/>
        </w:rPr>
      </w:pPr>
      <w:r w:rsidRPr="00687DE8">
        <w:rPr>
          <w:szCs w:val="24"/>
          <w:lang w:val="et-EE"/>
        </w:rPr>
        <w:t>(3) Koodiga 2065 tähistatud tervishoiuteenuse voodipäeva piirhinda rakendatakse järgmiste kuni 2017. aastani kehtinud erialade voodipäevade puhul: sisehaigused, kardioloogia, kutsehaigused, endokrinoloogia, nakkushaigused, hematoloogia, nefroloogia, gastroenteroloogia, tuberkuloos, psühhiaatria, neuroloogia, dermatoveneroloogia, radioloogia, pediaatria, pulmonoloogia, onkoloogia, reumatoloogia, lasteneuroloogia, psühhiaatria ebastabiilse remissiooniga patsiendi korral.</w:t>
      </w:r>
    </w:p>
    <w:p w14:paraId="021984BA" w14:textId="77777777" w:rsidR="00976487" w:rsidRPr="00687DE8" w:rsidRDefault="00976487" w:rsidP="00976487">
      <w:pPr>
        <w:spacing w:after="0" w:line="240" w:lineRule="auto"/>
        <w:jc w:val="both"/>
        <w:divId w:val="1316184749"/>
        <w:rPr>
          <w:szCs w:val="24"/>
        </w:rPr>
      </w:pPr>
    </w:p>
    <w:p w14:paraId="28057F7B" w14:textId="77777777" w:rsidR="00976487" w:rsidRPr="00687DE8" w:rsidRDefault="00976487" w:rsidP="00976487">
      <w:pPr>
        <w:pStyle w:val="Vahedeta"/>
        <w:jc w:val="both"/>
        <w:divId w:val="1316184749"/>
        <w:rPr>
          <w:szCs w:val="24"/>
          <w:lang w:val="et-EE"/>
        </w:rPr>
      </w:pPr>
      <w:r w:rsidRPr="00687DE8">
        <w:rPr>
          <w:szCs w:val="24"/>
          <w:lang w:val="et-EE"/>
        </w:rPr>
        <w:t xml:space="preserve">(4) Koodiga 2066 tähistatud tervishoiuteenuse voodipäeva piirhinda rakendatakse järgmiste kuni 2017. aastani kehtinud erialade voodipäevade puhul: kirurgia, neurokirurgia, torakaalkirurgia, </w:t>
      </w:r>
      <w:r w:rsidRPr="00687DE8">
        <w:rPr>
          <w:szCs w:val="24"/>
          <w:lang w:val="et-EE"/>
        </w:rPr>
        <w:lastRenderedPageBreak/>
        <w:t>kardiokirurgia, traumatoloogia, septiline luu-liigesekirurgia, põletus, ortopeedia, günekoloogia, raseduspatoloogia, uroloogia, oftalmoloogia, otorinolarüngoloogia (sh laste otorinolarüngoloogia), näo-lõualuukirurgia, veresoontekirurgia.</w:t>
      </w:r>
    </w:p>
    <w:p w14:paraId="75F85618" w14:textId="77777777" w:rsidR="00976487" w:rsidRPr="00687DE8" w:rsidRDefault="00976487" w:rsidP="00976487">
      <w:pPr>
        <w:spacing w:after="0" w:line="240" w:lineRule="auto"/>
        <w:jc w:val="both"/>
        <w:divId w:val="1316184749"/>
        <w:rPr>
          <w:szCs w:val="24"/>
        </w:rPr>
      </w:pPr>
    </w:p>
    <w:p w14:paraId="530BC157" w14:textId="407704F7" w:rsidR="00976487" w:rsidRPr="00687DE8" w:rsidRDefault="00976487" w:rsidP="00976487">
      <w:pPr>
        <w:spacing w:after="0" w:line="240" w:lineRule="auto"/>
        <w:jc w:val="both"/>
        <w:divId w:val="1316184749"/>
        <w:rPr>
          <w:szCs w:val="24"/>
        </w:rPr>
      </w:pPr>
      <w:r w:rsidRPr="00687DE8">
        <w:rPr>
          <w:szCs w:val="24"/>
        </w:rPr>
        <w:t xml:space="preserve">(5) Koodiga 2065 tähistatud tervishoiuteenuse voodipäeva eest võtab </w:t>
      </w:r>
      <w:r w:rsidR="005023FD" w:rsidRPr="00687DE8">
        <w:rPr>
          <w:szCs w:val="24"/>
        </w:rPr>
        <w:t>Tervisekassa</w:t>
      </w:r>
      <w:r w:rsidRPr="00687DE8">
        <w:rPr>
          <w:szCs w:val="24"/>
        </w:rPr>
        <w:t xml:space="preserve"> tasu maksmise kohustuse üle</w:t>
      </w:r>
      <w:r w:rsidR="00F342C2" w:rsidRPr="00687DE8">
        <w:rPr>
          <w:szCs w:val="24"/>
        </w:rPr>
        <w:t>:</w:t>
      </w:r>
    </w:p>
    <w:p w14:paraId="050512BB" w14:textId="77777777" w:rsidR="00976487" w:rsidRPr="00687DE8" w:rsidRDefault="00976487" w:rsidP="00976487">
      <w:pPr>
        <w:autoSpaceDN w:val="0"/>
        <w:spacing w:after="0" w:line="240" w:lineRule="auto"/>
        <w:jc w:val="both"/>
        <w:divId w:val="1316184749"/>
        <w:rPr>
          <w:szCs w:val="24"/>
        </w:rPr>
      </w:pPr>
      <w:r w:rsidRPr="00687DE8">
        <w:rPr>
          <w:szCs w:val="24"/>
        </w:rPr>
        <w:t>1) hematoloogilise ravi korral kuni 45 päeva eest;</w:t>
      </w:r>
    </w:p>
    <w:p w14:paraId="2EAC4788" w14:textId="77777777" w:rsidR="00976487" w:rsidRPr="00687DE8" w:rsidRDefault="00976487" w:rsidP="00976487">
      <w:pPr>
        <w:autoSpaceDN w:val="0"/>
        <w:spacing w:after="0" w:line="240" w:lineRule="auto"/>
        <w:jc w:val="both"/>
        <w:divId w:val="1316184749"/>
        <w:rPr>
          <w:szCs w:val="24"/>
        </w:rPr>
      </w:pPr>
      <w:r w:rsidRPr="00687DE8">
        <w:rPr>
          <w:szCs w:val="24"/>
        </w:rPr>
        <w:t>2) tuberkuloosi tahtest sõltumatu ravi korral kuni 180 päeva eest;</w:t>
      </w:r>
    </w:p>
    <w:p w14:paraId="2240FDB5" w14:textId="77777777" w:rsidR="00976487" w:rsidRPr="00687DE8" w:rsidRDefault="00976487" w:rsidP="00976487">
      <w:pPr>
        <w:autoSpaceDN w:val="0"/>
        <w:spacing w:after="0" w:line="240" w:lineRule="auto"/>
        <w:jc w:val="both"/>
        <w:divId w:val="1316184749"/>
        <w:rPr>
          <w:szCs w:val="24"/>
        </w:rPr>
      </w:pPr>
      <w:r w:rsidRPr="00687DE8">
        <w:rPr>
          <w:szCs w:val="24"/>
        </w:rPr>
        <w:t>3) tuberkuloosihaige ravi korral kuni 60 päeva eest;</w:t>
      </w:r>
    </w:p>
    <w:p w14:paraId="3251BF4E" w14:textId="77777777" w:rsidR="00976487" w:rsidRPr="00687DE8" w:rsidRDefault="00976487" w:rsidP="00976487">
      <w:pPr>
        <w:autoSpaceDN w:val="0"/>
        <w:spacing w:after="0" w:line="240" w:lineRule="auto"/>
        <w:jc w:val="both"/>
        <w:divId w:val="1316184749"/>
        <w:rPr>
          <w:szCs w:val="24"/>
        </w:rPr>
      </w:pPr>
      <w:r w:rsidRPr="00687DE8">
        <w:rPr>
          <w:szCs w:val="24"/>
        </w:rPr>
        <w:t>4) psühhiaatrilise ravi korral kuni 20 päeva eest;</w:t>
      </w:r>
    </w:p>
    <w:p w14:paraId="0524CFCF" w14:textId="77777777" w:rsidR="00976487" w:rsidRPr="00687DE8" w:rsidRDefault="00976487" w:rsidP="00976487">
      <w:pPr>
        <w:autoSpaceDN w:val="0"/>
        <w:spacing w:after="0" w:line="240" w:lineRule="auto"/>
        <w:jc w:val="both"/>
        <w:divId w:val="1316184749"/>
        <w:rPr>
          <w:szCs w:val="24"/>
        </w:rPr>
      </w:pPr>
      <w:r w:rsidRPr="00687DE8">
        <w:rPr>
          <w:szCs w:val="24"/>
        </w:rPr>
        <w:t xml:space="preserve">5) ebastabiilse remissiooniga patsiendi psühhiaatrilise ravi korral piiramatult. </w:t>
      </w:r>
    </w:p>
    <w:p w14:paraId="7044DBB6" w14:textId="77777777" w:rsidR="00976487" w:rsidRPr="00687DE8" w:rsidRDefault="00976487" w:rsidP="00976487">
      <w:pPr>
        <w:spacing w:after="0" w:line="240" w:lineRule="auto"/>
        <w:jc w:val="both"/>
        <w:divId w:val="1316184749"/>
        <w:rPr>
          <w:szCs w:val="24"/>
        </w:rPr>
      </w:pPr>
    </w:p>
    <w:p w14:paraId="1CADD912" w14:textId="5A93BE49" w:rsidR="00976487" w:rsidRPr="00687DE8" w:rsidRDefault="00976487" w:rsidP="00976487">
      <w:pPr>
        <w:spacing w:after="0" w:line="240" w:lineRule="auto"/>
        <w:jc w:val="both"/>
        <w:divId w:val="1316184749"/>
        <w:rPr>
          <w:szCs w:val="24"/>
        </w:rPr>
      </w:pPr>
      <w:r w:rsidRPr="00687DE8">
        <w:rPr>
          <w:szCs w:val="24"/>
        </w:rPr>
        <w:t xml:space="preserve">(6) Koodiga 2066 tähistatud tervishoiuteenuse voodipäeva eest võtab </w:t>
      </w:r>
      <w:r w:rsidR="005023FD" w:rsidRPr="00687DE8">
        <w:rPr>
          <w:szCs w:val="24"/>
        </w:rPr>
        <w:t>Tervisekassa</w:t>
      </w:r>
      <w:r w:rsidRPr="00687DE8">
        <w:rPr>
          <w:szCs w:val="24"/>
        </w:rPr>
        <w:t xml:space="preserve"> tasu maksmise kohustuse üle septilise luu-liigesekirurgilise ravi korral kuni 20 päeva eest.</w:t>
      </w:r>
    </w:p>
    <w:p w14:paraId="546D3612" w14:textId="77777777" w:rsidR="00976487" w:rsidRPr="00687DE8" w:rsidRDefault="00976487" w:rsidP="00976487">
      <w:pPr>
        <w:pStyle w:val="Vahedeta"/>
        <w:divId w:val="1316184749"/>
        <w:rPr>
          <w:szCs w:val="24"/>
          <w:lang w:val="et-EE"/>
        </w:rPr>
      </w:pPr>
    </w:p>
    <w:p w14:paraId="7CC022A8" w14:textId="77777777" w:rsidR="00976487" w:rsidRPr="00687DE8" w:rsidRDefault="00976487" w:rsidP="00976487">
      <w:pPr>
        <w:pStyle w:val="Vahedeta"/>
        <w:jc w:val="both"/>
        <w:divId w:val="1316184749"/>
        <w:rPr>
          <w:szCs w:val="24"/>
          <w:shd w:val="clear" w:color="auto" w:fill="FFFFFF"/>
          <w:lang w:val="et-EE"/>
        </w:rPr>
      </w:pPr>
      <w:r w:rsidRPr="00687DE8">
        <w:rPr>
          <w:color w:val="202020"/>
          <w:szCs w:val="24"/>
          <w:shd w:val="clear" w:color="auto" w:fill="FFFFFF"/>
          <w:lang w:val="et-EE"/>
        </w:rPr>
        <w:t>(</w:t>
      </w:r>
      <w:r w:rsidR="00644BC9" w:rsidRPr="00687DE8">
        <w:rPr>
          <w:szCs w:val="24"/>
          <w:shd w:val="clear" w:color="auto" w:fill="FFFFFF"/>
          <w:lang w:val="et-EE"/>
        </w:rPr>
        <w:t>7) L</w:t>
      </w:r>
      <w:r w:rsidRPr="00687DE8">
        <w:rPr>
          <w:szCs w:val="24"/>
          <w:shd w:val="clear" w:color="auto" w:fill="FFFFFF"/>
          <w:lang w:val="et-EE"/>
        </w:rPr>
        <w:t>õikes 1 sätestatud ühe haige voodipäeva (v</w:t>
      </w:r>
      <w:r w:rsidR="00D2125D" w:rsidRPr="00687DE8">
        <w:rPr>
          <w:szCs w:val="24"/>
          <w:shd w:val="clear" w:color="auto" w:fill="FFFFFF"/>
          <w:lang w:val="et-EE"/>
        </w:rPr>
        <w:t>älja arvatud</w:t>
      </w:r>
      <w:r w:rsidRPr="00687DE8">
        <w:rPr>
          <w:szCs w:val="24"/>
          <w:shd w:val="clear" w:color="auto" w:fill="FFFFFF"/>
          <w:lang w:val="et-EE"/>
        </w:rPr>
        <w:t xml:space="preserve"> koodid 2063, 2067</w:t>
      </w:r>
      <w:r w:rsidR="00832DDE" w:rsidRPr="00687DE8">
        <w:rPr>
          <w:szCs w:val="24"/>
          <w:shd w:val="clear" w:color="auto" w:fill="FFFFFF"/>
          <w:lang w:val="et-EE"/>
        </w:rPr>
        <w:t>,</w:t>
      </w:r>
      <w:r w:rsidRPr="00687DE8">
        <w:rPr>
          <w:szCs w:val="24"/>
          <w:shd w:val="clear" w:color="auto" w:fill="FFFFFF"/>
          <w:lang w:val="et-EE"/>
        </w:rPr>
        <w:t xml:space="preserve"> 2068</w:t>
      </w:r>
      <w:r w:rsidR="00832DDE" w:rsidRPr="00687DE8">
        <w:rPr>
          <w:szCs w:val="24"/>
          <w:shd w:val="clear" w:color="auto" w:fill="FFFFFF"/>
          <w:lang w:val="et-EE"/>
        </w:rPr>
        <w:t xml:space="preserve"> ja 2069</w:t>
      </w:r>
      <w:r w:rsidRPr="00687DE8">
        <w:rPr>
          <w:szCs w:val="24"/>
          <w:shd w:val="clear" w:color="auto" w:fill="FFFFFF"/>
          <w:lang w:val="et-EE"/>
        </w:rPr>
        <w:t>) piirhind sisaldab kulutusi järgmistele tegevustele:</w:t>
      </w:r>
    </w:p>
    <w:p w14:paraId="71FE8A3A" w14:textId="77777777" w:rsidR="00976487" w:rsidRPr="00687DE8" w:rsidRDefault="00976487" w:rsidP="00976487">
      <w:pPr>
        <w:pStyle w:val="Vahedeta"/>
        <w:jc w:val="both"/>
        <w:divId w:val="1316184749"/>
        <w:rPr>
          <w:szCs w:val="24"/>
          <w:shd w:val="clear" w:color="auto" w:fill="FFFFFF"/>
          <w:lang w:val="et-EE"/>
        </w:rPr>
      </w:pPr>
      <w:r w:rsidRPr="00687DE8">
        <w:rPr>
          <w:szCs w:val="24"/>
          <w:shd w:val="clear" w:color="auto" w:fill="FFFFFF"/>
          <w:lang w:val="et-EE"/>
        </w:rPr>
        <w:t>1)</w:t>
      </w:r>
      <w:r w:rsidRPr="00687DE8">
        <w:rPr>
          <w:rStyle w:val="tyhik"/>
          <w:szCs w:val="24"/>
          <w:bdr w:val="none" w:sz="0" w:space="0" w:color="auto" w:frame="1"/>
          <w:shd w:val="clear" w:color="auto" w:fill="FFFFFF"/>
          <w:lang w:val="et-EE"/>
        </w:rPr>
        <w:t> </w:t>
      </w:r>
      <w:r w:rsidRPr="00687DE8">
        <w:rPr>
          <w:szCs w:val="24"/>
          <w:shd w:val="clear" w:color="auto" w:fill="FFFFFF"/>
          <w:lang w:val="et-EE"/>
        </w:rPr>
        <w:t>vestlus haigega, anamneesi kogumine ja talletamine ning patsiendile tervishoiuteenuse osutamisega seotud andmete töötlemine tervise infosüsteemis;</w:t>
      </w:r>
    </w:p>
    <w:p w14:paraId="4D09D55F" w14:textId="77777777" w:rsidR="00976487" w:rsidRPr="00687DE8" w:rsidRDefault="00976487" w:rsidP="00976487">
      <w:pPr>
        <w:pStyle w:val="Vahedeta"/>
        <w:jc w:val="both"/>
        <w:divId w:val="1316184749"/>
        <w:rPr>
          <w:szCs w:val="24"/>
          <w:shd w:val="clear" w:color="auto" w:fill="FFFFFF"/>
          <w:lang w:val="et-EE"/>
        </w:rPr>
      </w:pPr>
      <w:r w:rsidRPr="00687DE8">
        <w:rPr>
          <w:szCs w:val="24"/>
          <w:shd w:val="clear" w:color="auto" w:fill="FFFFFF"/>
          <w:lang w:val="et-EE"/>
        </w:rPr>
        <w:t>2)</w:t>
      </w:r>
      <w:r w:rsidRPr="00687DE8">
        <w:rPr>
          <w:rStyle w:val="tyhik"/>
          <w:szCs w:val="24"/>
          <w:bdr w:val="none" w:sz="0" w:space="0" w:color="auto" w:frame="1"/>
          <w:shd w:val="clear" w:color="auto" w:fill="FFFFFF"/>
          <w:lang w:val="et-EE"/>
        </w:rPr>
        <w:t> </w:t>
      </w:r>
      <w:r w:rsidRPr="00687DE8">
        <w:rPr>
          <w:szCs w:val="24"/>
          <w:shd w:val="clear" w:color="auto" w:fill="FFFFFF"/>
          <w:lang w:val="et-EE"/>
        </w:rPr>
        <w:t>haige läbivaatus, diagnostika, raviplaani koostamine, kliinilise diagnoosi püstitamine, ravi määramine;</w:t>
      </w:r>
    </w:p>
    <w:p w14:paraId="0D4B728F" w14:textId="77777777" w:rsidR="00976487" w:rsidRPr="00687DE8" w:rsidRDefault="00976487" w:rsidP="00976487">
      <w:pPr>
        <w:pStyle w:val="Vahedeta"/>
        <w:jc w:val="both"/>
        <w:divId w:val="1316184749"/>
        <w:rPr>
          <w:szCs w:val="24"/>
          <w:shd w:val="clear" w:color="auto" w:fill="FFFFFF"/>
          <w:lang w:val="et-EE"/>
        </w:rPr>
      </w:pPr>
      <w:r w:rsidRPr="00687DE8">
        <w:rPr>
          <w:szCs w:val="24"/>
          <w:shd w:val="clear" w:color="auto" w:fill="FFFFFF"/>
          <w:lang w:val="et-EE"/>
        </w:rPr>
        <w:t>3)</w:t>
      </w:r>
      <w:r w:rsidRPr="00687DE8">
        <w:rPr>
          <w:rStyle w:val="tyhik"/>
          <w:szCs w:val="24"/>
          <w:bdr w:val="none" w:sz="0" w:space="0" w:color="auto" w:frame="1"/>
          <w:shd w:val="clear" w:color="auto" w:fill="FFFFFF"/>
          <w:lang w:val="et-EE"/>
        </w:rPr>
        <w:t> </w:t>
      </w:r>
      <w:r w:rsidRPr="00687DE8">
        <w:rPr>
          <w:szCs w:val="24"/>
          <w:shd w:val="clear" w:color="auto" w:fill="FFFFFF"/>
          <w:lang w:val="et-EE"/>
        </w:rPr>
        <w:t>soovitused tervise säilitamiseks ja parandamiseks;</w:t>
      </w:r>
    </w:p>
    <w:p w14:paraId="227691A5" w14:textId="77777777" w:rsidR="00976487" w:rsidRPr="00687DE8" w:rsidRDefault="00976487" w:rsidP="00976487">
      <w:pPr>
        <w:pStyle w:val="Vahedeta"/>
        <w:jc w:val="both"/>
        <w:divId w:val="1316184749"/>
        <w:rPr>
          <w:szCs w:val="24"/>
          <w:shd w:val="clear" w:color="auto" w:fill="FFFFFF"/>
          <w:lang w:val="et-EE"/>
        </w:rPr>
      </w:pPr>
      <w:r w:rsidRPr="00687DE8">
        <w:rPr>
          <w:szCs w:val="24"/>
          <w:shd w:val="clear" w:color="auto" w:fill="FFFFFF"/>
          <w:lang w:val="et-EE"/>
        </w:rPr>
        <w:t>4)</w:t>
      </w:r>
      <w:r w:rsidRPr="00687DE8">
        <w:rPr>
          <w:rStyle w:val="tyhik"/>
          <w:szCs w:val="24"/>
          <w:bdr w:val="none" w:sz="0" w:space="0" w:color="auto" w:frame="1"/>
          <w:shd w:val="clear" w:color="auto" w:fill="FFFFFF"/>
          <w:lang w:val="et-EE"/>
        </w:rPr>
        <w:t> </w:t>
      </w:r>
      <w:r w:rsidRPr="00687DE8">
        <w:rPr>
          <w:szCs w:val="24"/>
          <w:shd w:val="clear" w:color="auto" w:fill="FFFFFF"/>
          <w:lang w:val="et-EE"/>
        </w:rPr>
        <w:t>soovitused töö- ja elukorralduse kohta;</w:t>
      </w:r>
    </w:p>
    <w:p w14:paraId="39BE3B89" w14:textId="77777777" w:rsidR="00976487" w:rsidRPr="00687DE8" w:rsidRDefault="00976487" w:rsidP="00976487">
      <w:pPr>
        <w:pStyle w:val="Vahedeta"/>
        <w:jc w:val="both"/>
        <w:divId w:val="1316184749"/>
        <w:rPr>
          <w:szCs w:val="24"/>
          <w:shd w:val="clear" w:color="auto" w:fill="FFFFFF"/>
          <w:lang w:val="et-EE"/>
        </w:rPr>
      </w:pPr>
      <w:r w:rsidRPr="00687DE8">
        <w:rPr>
          <w:szCs w:val="24"/>
          <w:shd w:val="clear" w:color="auto" w:fill="FFFFFF"/>
          <w:lang w:val="et-EE"/>
        </w:rPr>
        <w:t>5)</w:t>
      </w:r>
      <w:r w:rsidRPr="00687DE8">
        <w:rPr>
          <w:rStyle w:val="tyhik"/>
          <w:szCs w:val="24"/>
          <w:bdr w:val="none" w:sz="0" w:space="0" w:color="auto" w:frame="1"/>
          <w:shd w:val="clear" w:color="auto" w:fill="FFFFFF"/>
          <w:lang w:val="et-EE"/>
        </w:rPr>
        <w:t> </w:t>
      </w:r>
      <w:r w:rsidRPr="00687DE8">
        <w:rPr>
          <w:szCs w:val="24"/>
          <w:shd w:val="clear" w:color="auto" w:fill="FFFFFF"/>
          <w:lang w:val="et-EE"/>
        </w:rPr>
        <w:t>haige hooldus, õendusabi, toitlustamine;</w:t>
      </w:r>
    </w:p>
    <w:p w14:paraId="51FED361" w14:textId="1EAE4814" w:rsidR="00976487" w:rsidRPr="00687DE8" w:rsidRDefault="00976487" w:rsidP="00976487">
      <w:pPr>
        <w:pStyle w:val="Vahedeta"/>
        <w:jc w:val="both"/>
        <w:divId w:val="1316184749"/>
        <w:rPr>
          <w:szCs w:val="24"/>
          <w:shd w:val="clear" w:color="auto" w:fill="FFFFFF"/>
          <w:lang w:val="et-EE"/>
        </w:rPr>
      </w:pPr>
      <w:r w:rsidRPr="00687DE8">
        <w:rPr>
          <w:szCs w:val="24"/>
          <w:shd w:val="clear" w:color="auto" w:fill="FFFFFF"/>
          <w:lang w:val="et-EE"/>
        </w:rPr>
        <w:t>6)</w:t>
      </w:r>
      <w:r w:rsidRPr="00687DE8">
        <w:rPr>
          <w:rStyle w:val="tyhik"/>
          <w:szCs w:val="24"/>
          <w:bdr w:val="none" w:sz="0" w:space="0" w:color="auto" w:frame="1"/>
          <w:shd w:val="clear" w:color="auto" w:fill="FFFFFF"/>
          <w:lang w:val="et-EE"/>
        </w:rPr>
        <w:t> </w:t>
      </w:r>
      <w:r w:rsidRPr="00687DE8">
        <w:rPr>
          <w:szCs w:val="24"/>
          <w:shd w:val="clear" w:color="auto" w:fill="FFFFFF"/>
          <w:lang w:val="et-EE"/>
        </w:rPr>
        <w:t>lihtsamate raviprotseduuride tegemine, s</w:t>
      </w:r>
      <w:r w:rsidR="0091212B" w:rsidRPr="00687DE8">
        <w:rPr>
          <w:szCs w:val="24"/>
          <w:shd w:val="clear" w:color="auto" w:fill="FFFFFF"/>
          <w:lang w:val="et-EE"/>
        </w:rPr>
        <w:t>ealhulgas</w:t>
      </w:r>
      <w:r w:rsidRPr="00687DE8">
        <w:rPr>
          <w:szCs w:val="24"/>
          <w:shd w:val="clear" w:color="auto" w:fill="FFFFFF"/>
          <w:lang w:val="et-EE"/>
        </w:rPr>
        <w:t xml:space="preserve"> süstimine</w:t>
      </w:r>
      <w:r w:rsidR="00AD2361" w:rsidRPr="00687DE8">
        <w:rPr>
          <w:szCs w:val="24"/>
          <w:shd w:val="clear" w:color="auto" w:fill="FFFFFF"/>
          <w:lang w:val="et-EE"/>
        </w:rPr>
        <w:t xml:space="preserve"> ja</w:t>
      </w:r>
      <w:r w:rsidRPr="00687DE8">
        <w:rPr>
          <w:szCs w:val="24"/>
          <w:shd w:val="clear" w:color="auto" w:fill="FFFFFF"/>
          <w:lang w:val="et-EE"/>
        </w:rPr>
        <w:t xml:space="preserve"> sidumine, </w:t>
      </w:r>
      <w:r w:rsidR="00DC4841" w:rsidRPr="00687DE8">
        <w:rPr>
          <w:szCs w:val="24"/>
          <w:shd w:val="clear" w:color="auto" w:fill="FFFFFF"/>
          <w:lang w:val="et-EE"/>
        </w:rPr>
        <w:t>välja arvatud</w:t>
      </w:r>
      <w:r w:rsidRPr="00687DE8">
        <w:rPr>
          <w:szCs w:val="24"/>
          <w:shd w:val="clear" w:color="auto" w:fill="FFFFFF"/>
          <w:lang w:val="et-EE"/>
        </w:rPr>
        <w:t xml:space="preserve"> koodiga 7142 tähistatud tervishoiuteenus;</w:t>
      </w:r>
    </w:p>
    <w:p w14:paraId="38001D8F" w14:textId="77777777" w:rsidR="00976487" w:rsidRPr="00687DE8" w:rsidRDefault="00976487" w:rsidP="00976487">
      <w:pPr>
        <w:pStyle w:val="Vahedeta"/>
        <w:jc w:val="both"/>
        <w:divId w:val="1316184749"/>
        <w:rPr>
          <w:szCs w:val="24"/>
          <w:shd w:val="clear" w:color="auto" w:fill="FFFFFF"/>
          <w:lang w:val="et-EE"/>
        </w:rPr>
      </w:pPr>
      <w:r w:rsidRPr="00687DE8">
        <w:rPr>
          <w:szCs w:val="24"/>
          <w:shd w:val="clear" w:color="auto" w:fill="FFFFFF"/>
          <w:lang w:val="et-EE"/>
        </w:rPr>
        <w:t>7)</w:t>
      </w:r>
      <w:r w:rsidRPr="00687DE8">
        <w:rPr>
          <w:rStyle w:val="tyhik"/>
          <w:szCs w:val="24"/>
          <w:bdr w:val="none" w:sz="0" w:space="0" w:color="auto" w:frame="1"/>
          <w:shd w:val="clear" w:color="auto" w:fill="FFFFFF"/>
          <w:lang w:val="et-EE"/>
        </w:rPr>
        <w:t> </w:t>
      </w:r>
      <w:r w:rsidRPr="00687DE8">
        <w:rPr>
          <w:szCs w:val="24"/>
          <w:shd w:val="clear" w:color="auto" w:fill="FFFFFF"/>
          <w:lang w:val="et-EE"/>
        </w:rPr>
        <w:t xml:space="preserve">ravimid, </w:t>
      </w:r>
      <w:r w:rsidR="00DC4841" w:rsidRPr="00687DE8">
        <w:rPr>
          <w:szCs w:val="24"/>
          <w:shd w:val="clear" w:color="auto" w:fill="FFFFFF"/>
          <w:lang w:val="et-EE"/>
        </w:rPr>
        <w:t>välja arvatud</w:t>
      </w:r>
      <w:r w:rsidRPr="00687DE8">
        <w:rPr>
          <w:szCs w:val="24"/>
          <w:shd w:val="clear" w:color="auto" w:fill="FFFFFF"/>
          <w:lang w:val="et-EE"/>
        </w:rPr>
        <w:t xml:space="preserve"> 7. peatükis sätestatud ravimid;</w:t>
      </w:r>
    </w:p>
    <w:p w14:paraId="777AD14F" w14:textId="643CC124" w:rsidR="00976487" w:rsidRPr="00687DE8" w:rsidRDefault="00976487" w:rsidP="00976487">
      <w:pPr>
        <w:pStyle w:val="Vahedeta"/>
        <w:jc w:val="both"/>
        <w:divId w:val="1316184749"/>
        <w:rPr>
          <w:shd w:val="clear" w:color="auto" w:fill="FFFFFF"/>
          <w:lang w:val="et-EE"/>
        </w:rPr>
      </w:pPr>
      <w:r w:rsidRPr="5AEF6F11">
        <w:rPr>
          <w:shd w:val="clear" w:color="auto" w:fill="FFFFFF"/>
          <w:lang w:val="et-EE"/>
        </w:rPr>
        <w:t>8)</w:t>
      </w:r>
      <w:r w:rsidRPr="5AEF6F11">
        <w:rPr>
          <w:rStyle w:val="tyhik"/>
          <w:bdr w:val="none" w:sz="0" w:space="0" w:color="auto" w:frame="1"/>
          <w:shd w:val="clear" w:color="auto" w:fill="FFFFFF"/>
          <w:lang w:val="et-EE"/>
        </w:rPr>
        <w:t> </w:t>
      </w:r>
      <w:r w:rsidRPr="5AEF6F11">
        <w:rPr>
          <w:shd w:val="clear" w:color="auto" w:fill="FFFFFF"/>
          <w:lang w:val="et-EE"/>
        </w:rPr>
        <w:t xml:space="preserve">eriarstide, </w:t>
      </w:r>
      <w:r w:rsidR="1192136B" w:rsidRPr="481B2F08">
        <w:rPr>
          <w:shd w:val="clear" w:color="auto" w:fill="FFFFFF"/>
          <w:lang w:val="et-EE"/>
        </w:rPr>
        <w:t>eriõdede,</w:t>
      </w:r>
      <w:r w:rsidRPr="5AEF6F11">
        <w:rPr>
          <w:shd w:val="clear" w:color="auto" w:fill="FFFFFF"/>
          <w:lang w:val="et-EE"/>
        </w:rPr>
        <w:t xml:space="preserve"> õdede ja ämmaemandate konsultatsioonid.</w:t>
      </w:r>
    </w:p>
    <w:p w14:paraId="3DBCC626" w14:textId="77777777" w:rsidR="00976487" w:rsidRPr="00687DE8" w:rsidRDefault="00976487" w:rsidP="00976487">
      <w:pPr>
        <w:pStyle w:val="Vahedeta"/>
        <w:divId w:val="1316184749"/>
        <w:rPr>
          <w:szCs w:val="24"/>
          <w:lang w:val="et-EE"/>
        </w:rPr>
      </w:pPr>
    </w:p>
    <w:p w14:paraId="0E0A82CA" w14:textId="6636948D" w:rsidR="00976487" w:rsidRPr="00687DE8" w:rsidRDefault="00976487" w:rsidP="00976487">
      <w:pPr>
        <w:pStyle w:val="Vahedeta"/>
        <w:jc w:val="both"/>
        <w:divId w:val="1316184749"/>
        <w:rPr>
          <w:szCs w:val="24"/>
          <w:lang w:val="et-EE"/>
        </w:rPr>
      </w:pPr>
      <w:r w:rsidRPr="00687DE8">
        <w:rPr>
          <w:szCs w:val="24"/>
          <w:lang w:val="et-EE"/>
        </w:rPr>
        <w:t>(8) Iseseisva statsionaarse õendusabi (kood 2063) voodipäeva piirhind sisaldab</w:t>
      </w:r>
      <w:r w:rsidR="00941214">
        <w:rPr>
          <w:szCs w:val="24"/>
          <w:lang w:val="et-EE"/>
        </w:rPr>
        <w:t xml:space="preserve"> ravikindlustuse seaduse § 32 alusel </w:t>
      </w:r>
      <w:r w:rsidR="00E42605">
        <w:rPr>
          <w:szCs w:val="24"/>
          <w:lang w:val="et-EE"/>
        </w:rPr>
        <w:t>kehtestatud</w:t>
      </w:r>
      <w:r w:rsidR="00941214">
        <w:rPr>
          <w:szCs w:val="24"/>
          <w:lang w:val="et-EE"/>
        </w:rPr>
        <w:t xml:space="preserve"> määruse</w:t>
      </w:r>
      <w:r w:rsidR="00E42605">
        <w:rPr>
          <w:szCs w:val="24"/>
          <w:lang w:val="et-EE"/>
        </w:rPr>
        <w:t xml:space="preserve"> lisas sätestat</w:t>
      </w:r>
      <w:r w:rsidR="00D17A05">
        <w:rPr>
          <w:szCs w:val="24"/>
          <w:lang w:val="et-EE"/>
        </w:rPr>
        <w:t>ud</w:t>
      </w:r>
      <w:r w:rsidRPr="00687DE8">
        <w:rPr>
          <w:szCs w:val="24"/>
          <w:lang w:val="et-EE"/>
        </w:rPr>
        <w:t xml:space="preserve"> õendustoimingute ja nendega haakuvate hooldustegevuste </w:t>
      </w:r>
      <w:r w:rsidR="00C764F3" w:rsidRPr="00687DE8">
        <w:rPr>
          <w:szCs w:val="24"/>
          <w:lang w:val="et-EE"/>
        </w:rPr>
        <w:t>(k</w:t>
      </w:r>
      <w:r w:rsidR="00E377A6" w:rsidRPr="00687DE8">
        <w:rPr>
          <w:szCs w:val="24"/>
          <w:lang w:val="et-EE"/>
        </w:rPr>
        <w:t>aasa arvatud</w:t>
      </w:r>
      <w:r w:rsidR="00C764F3" w:rsidRPr="00687DE8">
        <w:rPr>
          <w:szCs w:val="24"/>
          <w:lang w:val="et-EE"/>
        </w:rPr>
        <w:t xml:space="preserve"> </w:t>
      </w:r>
      <w:r w:rsidR="003848BA" w:rsidRPr="00687DE8">
        <w:rPr>
          <w:szCs w:val="24"/>
          <w:lang w:val="et-EE"/>
        </w:rPr>
        <w:t>koodiga</w:t>
      </w:r>
      <w:r w:rsidR="00C764F3" w:rsidRPr="00687DE8">
        <w:rPr>
          <w:szCs w:val="24"/>
          <w:lang w:val="et-EE"/>
        </w:rPr>
        <w:t xml:space="preserve"> 7142</w:t>
      </w:r>
      <w:r w:rsidR="003848BA" w:rsidRPr="00687DE8">
        <w:rPr>
          <w:szCs w:val="24"/>
          <w:lang w:val="et-EE"/>
        </w:rPr>
        <w:t xml:space="preserve"> tähistatud tervishoiuteenuse</w:t>
      </w:r>
      <w:r w:rsidR="00C764F3" w:rsidRPr="00687DE8">
        <w:rPr>
          <w:szCs w:val="24"/>
          <w:lang w:val="et-EE"/>
        </w:rPr>
        <w:t xml:space="preserve">) </w:t>
      </w:r>
      <w:r w:rsidR="0087058A" w:rsidRPr="00687DE8">
        <w:rPr>
          <w:szCs w:val="24"/>
          <w:lang w:val="et-EE"/>
        </w:rPr>
        <w:t xml:space="preserve">maksumust </w:t>
      </w:r>
      <w:r w:rsidRPr="00687DE8">
        <w:rPr>
          <w:szCs w:val="24"/>
          <w:lang w:val="et-EE"/>
        </w:rPr>
        <w:t xml:space="preserve">ning ravimeid, </w:t>
      </w:r>
      <w:r w:rsidR="00DC4841" w:rsidRPr="00687DE8">
        <w:rPr>
          <w:szCs w:val="24"/>
          <w:lang w:val="et-EE"/>
        </w:rPr>
        <w:t>välja arvatud</w:t>
      </w:r>
      <w:r w:rsidRPr="00687DE8">
        <w:rPr>
          <w:szCs w:val="24"/>
          <w:lang w:val="et-EE"/>
        </w:rPr>
        <w:t xml:space="preserve"> 7. peatükis sätestatud ravimid.</w:t>
      </w:r>
    </w:p>
    <w:p w14:paraId="444830D6" w14:textId="77777777" w:rsidR="00976487" w:rsidRPr="00687DE8" w:rsidRDefault="00976487" w:rsidP="00976487">
      <w:pPr>
        <w:spacing w:after="0" w:line="240" w:lineRule="auto"/>
        <w:jc w:val="both"/>
        <w:divId w:val="1316184749"/>
        <w:rPr>
          <w:szCs w:val="24"/>
        </w:rPr>
      </w:pPr>
    </w:p>
    <w:p w14:paraId="20865716" w14:textId="77777777" w:rsidR="00976487" w:rsidRPr="00687DE8" w:rsidRDefault="00976487" w:rsidP="00976487">
      <w:pPr>
        <w:spacing w:after="0" w:line="240" w:lineRule="auto"/>
        <w:jc w:val="both"/>
        <w:divId w:val="1316184749"/>
        <w:rPr>
          <w:szCs w:val="24"/>
        </w:rPr>
      </w:pPr>
      <w:r w:rsidRPr="00687DE8">
        <w:rPr>
          <w:szCs w:val="24"/>
        </w:rPr>
        <w:t>(9) Koodiga 2063 tähistatud tervishoiuteenusega rakendatakse koodiga 3002 või 3004 tähistatud tervishoiuteenust, kui toimub eriarsti konsultatsioon.</w:t>
      </w:r>
    </w:p>
    <w:p w14:paraId="5CC7BC8F" w14:textId="77777777" w:rsidR="00976487" w:rsidRPr="00687DE8" w:rsidRDefault="00976487" w:rsidP="00976487">
      <w:pPr>
        <w:spacing w:after="0" w:line="240" w:lineRule="auto"/>
        <w:jc w:val="both"/>
        <w:divId w:val="1316184749"/>
        <w:rPr>
          <w:szCs w:val="24"/>
        </w:rPr>
      </w:pPr>
    </w:p>
    <w:p w14:paraId="7599A46B" w14:textId="77777777" w:rsidR="00976487" w:rsidRPr="00687DE8" w:rsidRDefault="00976487" w:rsidP="00976487">
      <w:pPr>
        <w:spacing w:after="0" w:line="240" w:lineRule="auto"/>
        <w:jc w:val="both"/>
        <w:divId w:val="1316184749"/>
        <w:rPr>
          <w:szCs w:val="24"/>
        </w:rPr>
      </w:pPr>
      <w:r w:rsidRPr="00687DE8">
        <w:rPr>
          <w:szCs w:val="24"/>
        </w:rPr>
        <w:t>(10) Kindlustatud isiku statsionaarsele ravile saabumise ja ravilt lahkumise päev arvestatakse ühe päevana.</w:t>
      </w:r>
    </w:p>
    <w:p w14:paraId="2245A159" w14:textId="77777777" w:rsidR="00976487" w:rsidRPr="00687DE8" w:rsidRDefault="00976487" w:rsidP="00976487">
      <w:pPr>
        <w:spacing w:after="0" w:line="240" w:lineRule="auto"/>
        <w:jc w:val="both"/>
        <w:divId w:val="1316184749"/>
        <w:rPr>
          <w:szCs w:val="24"/>
        </w:rPr>
      </w:pPr>
    </w:p>
    <w:p w14:paraId="644B8C33" w14:textId="72A455AE" w:rsidR="00976487" w:rsidRPr="00687DE8" w:rsidRDefault="00976487" w:rsidP="00976487">
      <w:pPr>
        <w:spacing w:after="0" w:line="240" w:lineRule="auto"/>
        <w:jc w:val="both"/>
        <w:divId w:val="1316184749"/>
        <w:rPr>
          <w:szCs w:val="24"/>
        </w:rPr>
      </w:pPr>
      <w:r w:rsidRPr="00687DE8">
        <w:rPr>
          <w:szCs w:val="24"/>
        </w:rPr>
        <w:t xml:space="preserve">(11) </w:t>
      </w:r>
      <w:r w:rsidR="005023FD" w:rsidRPr="00687DE8">
        <w:rPr>
          <w:szCs w:val="24"/>
        </w:rPr>
        <w:t>Tervisekassa</w:t>
      </w:r>
      <w:r w:rsidRPr="00687DE8">
        <w:rPr>
          <w:szCs w:val="24"/>
        </w:rPr>
        <w:t xml:space="preserve"> võtab alla ühe ööpäeva statsionaarsel ravil viibinud kindlustatud isiku eest tasu maksmise kohustuse üle järgmiselt:</w:t>
      </w:r>
    </w:p>
    <w:p w14:paraId="414E7B8F" w14:textId="77777777" w:rsidR="00976487" w:rsidRPr="00687DE8" w:rsidRDefault="00976487" w:rsidP="00976487">
      <w:pPr>
        <w:spacing w:after="0" w:line="240" w:lineRule="auto"/>
        <w:jc w:val="both"/>
        <w:divId w:val="1316184749"/>
        <w:rPr>
          <w:szCs w:val="24"/>
        </w:rPr>
      </w:pPr>
      <w:r w:rsidRPr="00687DE8">
        <w:rPr>
          <w:szCs w:val="24"/>
        </w:rPr>
        <w:t xml:space="preserve">1) isiku suunamisel statsionaarsele ravile teise tervishoiuteenuse osutaja juurde või isiku surma korral statsionaarsele ravile saabumise päeval – eriarstiabi voodipäeva piirhinnaga; </w:t>
      </w:r>
    </w:p>
    <w:p w14:paraId="7AE70087" w14:textId="77777777" w:rsidR="00976487" w:rsidRPr="00687DE8" w:rsidRDefault="00976487" w:rsidP="00976487">
      <w:pPr>
        <w:spacing w:after="0" w:line="240" w:lineRule="auto"/>
        <w:jc w:val="both"/>
        <w:divId w:val="1316184749"/>
        <w:rPr>
          <w:szCs w:val="24"/>
        </w:rPr>
      </w:pPr>
      <w:r w:rsidRPr="00687DE8">
        <w:rPr>
          <w:szCs w:val="24"/>
        </w:rPr>
        <w:t>2) üle kuue tunni ravil viibinud isiku eest – ühe voodipäeva piirhinnaga.</w:t>
      </w:r>
    </w:p>
    <w:p w14:paraId="0B0C243F" w14:textId="77777777" w:rsidR="00976487" w:rsidRPr="00687DE8" w:rsidRDefault="00976487" w:rsidP="00976487">
      <w:pPr>
        <w:spacing w:after="0" w:line="240" w:lineRule="auto"/>
        <w:jc w:val="both"/>
        <w:divId w:val="1316184749"/>
        <w:rPr>
          <w:szCs w:val="24"/>
        </w:rPr>
      </w:pPr>
    </w:p>
    <w:p w14:paraId="6BD73942" w14:textId="77777777" w:rsidR="00B7695A" w:rsidRPr="00687DE8" w:rsidRDefault="00B7695A" w:rsidP="00B7695A">
      <w:pPr>
        <w:spacing w:after="0" w:line="240" w:lineRule="auto"/>
        <w:jc w:val="both"/>
        <w:divId w:val="1316184749"/>
        <w:rPr>
          <w:szCs w:val="24"/>
        </w:rPr>
      </w:pPr>
      <w:r w:rsidRPr="00687DE8">
        <w:rPr>
          <w:szCs w:val="24"/>
        </w:rPr>
        <w:lastRenderedPageBreak/>
        <w:t>(12) Kui haige viibib ravil sama tervishoiuteenuse osutaja eri osakondades, ei tohi lõikes 1 loetletud erialajärgsete voodipäevade arv eraldi ületada vastavat voodipäevade maksimumarvu ning kokku suurimat voodipäevade maksimumarvu (välja arvatud koodidega 2047, 2063, 2067, 2068, 2069, 2071, 2072 ja 2073 tähistatud tervishoiuteenused).</w:t>
      </w:r>
    </w:p>
    <w:p w14:paraId="3ABC97E8" w14:textId="77777777" w:rsidR="00B7695A" w:rsidRPr="00687DE8" w:rsidRDefault="00B7695A" w:rsidP="00B7695A">
      <w:pPr>
        <w:spacing w:after="0" w:line="240" w:lineRule="auto"/>
        <w:jc w:val="both"/>
        <w:divId w:val="1316184749"/>
        <w:rPr>
          <w:szCs w:val="24"/>
        </w:rPr>
      </w:pPr>
    </w:p>
    <w:p w14:paraId="701C6DBB" w14:textId="013FED85" w:rsidR="00B7695A" w:rsidRPr="00687DE8" w:rsidRDefault="00B7695A" w:rsidP="00B7695A">
      <w:pPr>
        <w:spacing w:after="0" w:line="240" w:lineRule="auto"/>
        <w:jc w:val="both"/>
        <w:divId w:val="1316184749"/>
        <w:rPr>
          <w:szCs w:val="24"/>
        </w:rPr>
      </w:pPr>
      <w:r w:rsidRPr="00687DE8">
        <w:rPr>
          <w:szCs w:val="24"/>
        </w:rPr>
        <w:t>(13) Kui haige viibib ravil sama tervishoiuteenuse osutaja intensiivraviosakonnas ja teistes osakondades, ei rakendata koodidega 2065, 2066, 2058, 2060, 2026, 2034, 2047, 2063</w:t>
      </w:r>
      <w:r w:rsidR="00364313">
        <w:rPr>
          <w:szCs w:val="24"/>
        </w:rPr>
        <w:t xml:space="preserve">, </w:t>
      </w:r>
      <w:r w:rsidRPr="00687DE8">
        <w:rPr>
          <w:szCs w:val="24"/>
        </w:rPr>
        <w:t>2068</w:t>
      </w:r>
      <w:r w:rsidR="003C2F32">
        <w:rPr>
          <w:szCs w:val="24"/>
        </w:rPr>
        <w:t xml:space="preserve"> ja</w:t>
      </w:r>
      <w:r w:rsidR="00364313">
        <w:rPr>
          <w:szCs w:val="24"/>
        </w:rPr>
        <w:t xml:space="preserve"> 2075</w:t>
      </w:r>
      <w:r w:rsidRPr="00687DE8">
        <w:rPr>
          <w:szCs w:val="24"/>
        </w:rPr>
        <w:t xml:space="preserve"> tähistatud tervishoiuteenuse voodipäeva piirhinda juhul, kui haige viibis vastavas osakonnas vähem kui kuus tundi (välja arvatud koodidega 2070, 2071, 2072 ja 2073 tähistatud tervishoiuteenused).</w:t>
      </w:r>
    </w:p>
    <w:p w14:paraId="0DAA7F98" w14:textId="77777777" w:rsidR="00976487" w:rsidRPr="00687DE8" w:rsidRDefault="00976487" w:rsidP="00976487">
      <w:pPr>
        <w:spacing w:after="0" w:line="240" w:lineRule="auto"/>
        <w:jc w:val="both"/>
        <w:divId w:val="1316184749"/>
        <w:rPr>
          <w:szCs w:val="24"/>
        </w:rPr>
      </w:pPr>
    </w:p>
    <w:p w14:paraId="60EDA9FB" w14:textId="77777777" w:rsidR="00976487" w:rsidRPr="00687DE8" w:rsidRDefault="00644BC9" w:rsidP="00976487">
      <w:pPr>
        <w:spacing w:after="0" w:line="240" w:lineRule="auto"/>
        <w:jc w:val="both"/>
        <w:divId w:val="1316184749"/>
        <w:rPr>
          <w:szCs w:val="24"/>
        </w:rPr>
      </w:pPr>
      <w:r w:rsidRPr="00687DE8">
        <w:rPr>
          <w:szCs w:val="24"/>
        </w:rPr>
        <w:t>(14) L</w:t>
      </w:r>
      <w:r w:rsidR="00976487" w:rsidRPr="00687DE8">
        <w:rPr>
          <w:szCs w:val="24"/>
        </w:rPr>
        <w:t>õikes 12 nimetatud erialajärgsete voodipäevade arvu hulka loetakse ka I astme intensiivravi päevad.</w:t>
      </w:r>
    </w:p>
    <w:p w14:paraId="189EF221" w14:textId="77777777" w:rsidR="00976487" w:rsidRPr="00687DE8" w:rsidRDefault="00976487" w:rsidP="00976487">
      <w:pPr>
        <w:spacing w:after="0" w:line="240" w:lineRule="auto"/>
        <w:jc w:val="both"/>
        <w:divId w:val="1316184749"/>
        <w:rPr>
          <w:szCs w:val="24"/>
        </w:rPr>
      </w:pPr>
    </w:p>
    <w:p w14:paraId="24BB9DB4" w14:textId="03C07117" w:rsidR="00976487" w:rsidRPr="00687DE8" w:rsidRDefault="00976487" w:rsidP="00976487">
      <w:pPr>
        <w:spacing w:after="0" w:line="240" w:lineRule="auto"/>
        <w:jc w:val="both"/>
        <w:divId w:val="1316184749"/>
        <w:rPr>
          <w:szCs w:val="24"/>
        </w:rPr>
      </w:pPr>
      <w:r w:rsidRPr="00687DE8">
        <w:rPr>
          <w:szCs w:val="24"/>
        </w:rPr>
        <w:t xml:space="preserve">(15) </w:t>
      </w:r>
      <w:r w:rsidR="005023FD" w:rsidRPr="00687DE8">
        <w:rPr>
          <w:szCs w:val="24"/>
        </w:rPr>
        <w:t>Tervisekassa</w:t>
      </w:r>
      <w:r w:rsidRPr="00687DE8">
        <w:rPr>
          <w:szCs w:val="24"/>
        </w:rPr>
        <w:t xml:space="preserve"> tasub tervishoiuteenuse osutajale intensiivravi voodipäeva eest tervishoiuteenuste korraldamise seaduse § 4</w:t>
      </w:r>
      <w:r w:rsidRPr="00687DE8">
        <w:rPr>
          <w:szCs w:val="24"/>
          <w:vertAlign w:val="superscript"/>
        </w:rPr>
        <w:t>2</w:t>
      </w:r>
      <w:r w:rsidRPr="00687DE8">
        <w:rPr>
          <w:szCs w:val="24"/>
        </w:rPr>
        <w:t xml:space="preserve"> lõike 3 alusel kehtestatud määruse lisades 19 ja 20 sätestatud ning haigusloos TISS (</w:t>
      </w:r>
      <w:r w:rsidRPr="00687DE8">
        <w:rPr>
          <w:i/>
          <w:szCs w:val="24"/>
        </w:rPr>
        <w:t>Therapeutic Intervention Scoring System</w:t>
      </w:r>
      <w:r w:rsidRPr="00687DE8">
        <w:rPr>
          <w:szCs w:val="24"/>
        </w:rPr>
        <w:t>)</w:t>
      </w:r>
      <w:r w:rsidRPr="00687DE8">
        <w:rPr>
          <w:i/>
          <w:iCs/>
          <w:color w:val="202020"/>
          <w:szCs w:val="24"/>
          <w:bdr w:val="none" w:sz="0" w:space="0" w:color="auto" w:frame="1"/>
          <w:shd w:val="clear" w:color="auto" w:fill="FFFFFF"/>
        </w:rPr>
        <w:t> </w:t>
      </w:r>
      <w:r w:rsidRPr="00687DE8">
        <w:rPr>
          <w:szCs w:val="24"/>
        </w:rPr>
        <w:t xml:space="preserve">lehele (edaspidi </w:t>
      </w:r>
      <w:r w:rsidRPr="00687DE8">
        <w:rPr>
          <w:i/>
          <w:iCs/>
          <w:szCs w:val="24"/>
        </w:rPr>
        <w:t>TISS-leht</w:t>
      </w:r>
      <w:r w:rsidRPr="00687DE8">
        <w:rPr>
          <w:szCs w:val="24"/>
        </w:rPr>
        <w:t>) kantud toimingute ja nende ühe ööpäeva (kell 00.00–23.59) jooksul kogutud hindepunktide alusel punktide arvu järgi järgmiselt:</w:t>
      </w:r>
    </w:p>
    <w:p w14:paraId="4C9DC154" w14:textId="77777777" w:rsidR="00976487" w:rsidRPr="00687DE8" w:rsidRDefault="00976487" w:rsidP="00976487">
      <w:pPr>
        <w:spacing w:after="0" w:line="240" w:lineRule="auto"/>
        <w:jc w:val="both"/>
        <w:divId w:val="1316184749"/>
        <w:rPr>
          <w:szCs w:val="24"/>
        </w:rPr>
      </w:pPr>
      <w:r w:rsidRPr="00687DE8">
        <w:rPr>
          <w:szCs w:val="24"/>
        </w:rPr>
        <w:t>1) 8–14 punkti – I aste (kood 2070);</w:t>
      </w:r>
    </w:p>
    <w:p w14:paraId="5B0EA388" w14:textId="77777777" w:rsidR="00976487" w:rsidRPr="00687DE8" w:rsidRDefault="00976487" w:rsidP="00976487">
      <w:pPr>
        <w:spacing w:after="0" w:line="240" w:lineRule="auto"/>
        <w:jc w:val="both"/>
        <w:divId w:val="1316184749"/>
        <w:rPr>
          <w:szCs w:val="24"/>
        </w:rPr>
      </w:pPr>
      <w:r w:rsidRPr="00687DE8">
        <w:rPr>
          <w:szCs w:val="24"/>
        </w:rPr>
        <w:t>2) 15–24 punkti – II aste (kood 2071);</w:t>
      </w:r>
    </w:p>
    <w:p w14:paraId="5BA48773" w14:textId="77777777" w:rsidR="00976487" w:rsidRPr="00687DE8" w:rsidRDefault="00976487" w:rsidP="00976487">
      <w:pPr>
        <w:spacing w:after="0" w:line="240" w:lineRule="auto"/>
        <w:jc w:val="both"/>
        <w:divId w:val="1316184749"/>
        <w:rPr>
          <w:szCs w:val="24"/>
        </w:rPr>
      </w:pPr>
      <w:r w:rsidRPr="00687DE8">
        <w:rPr>
          <w:szCs w:val="24"/>
        </w:rPr>
        <w:t>3) 25–39 punkti – III aste (kood 2072);</w:t>
      </w:r>
    </w:p>
    <w:p w14:paraId="51ED27F5" w14:textId="77777777" w:rsidR="00976487" w:rsidRPr="00687DE8" w:rsidRDefault="00976487" w:rsidP="00976487">
      <w:pPr>
        <w:spacing w:after="0" w:line="240" w:lineRule="auto"/>
        <w:jc w:val="both"/>
        <w:divId w:val="1316184749"/>
        <w:rPr>
          <w:szCs w:val="24"/>
        </w:rPr>
      </w:pPr>
      <w:r w:rsidRPr="00687DE8">
        <w:rPr>
          <w:szCs w:val="24"/>
        </w:rPr>
        <w:t>4) 40 ja enam punkti – III A aste (kood 2073).</w:t>
      </w:r>
    </w:p>
    <w:p w14:paraId="1222D266" w14:textId="77777777" w:rsidR="00976487" w:rsidRPr="00687DE8" w:rsidRDefault="00976487" w:rsidP="00976487">
      <w:pPr>
        <w:spacing w:after="0" w:line="240" w:lineRule="auto"/>
        <w:jc w:val="both"/>
        <w:divId w:val="1316184749"/>
        <w:rPr>
          <w:szCs w:val="24"/>
        </w:rPr>
      </w:pPr>
    </w:p>
    <w:p w14:paraId="5CEE5836" w14:textId="28E014A2" w:rsidR="00976487" w:rsidRPr="00687DE8" w:rsidRDefault="00976487" w:rsidP="00976487">
      <w:pPr>
        <w:spacing w:after="0" w:line="240" w:lineRule="auto"/>
        <w:jc w:val="both"/>
        <w:divId w:val="1316184749"/>
        <w:rPr>
          <w:szCs w:val="24"/>
        </w:rPr>
      </w:pPr>
      <w:r w:rsidRPr="00687DE8">
        <w:rPr>
          <w:szCs w:val="24"/>
        </w:rPr>
        <w:t xml:space="preserve">(16) Vähem kui kaheksa TISS punkti korral tasub </w:t>
      </w:r>
      <w:r w:rsidR="005023FD" w:rsidRPr="00687DE8">
        <w:rPr>
          <w:szCs w:val="24"/>
        </w:rPr>
        <w:t>Tervisekassa</w:t>
      </w:r>
      <w:r w:rsidRPr="00687DE8">
        <w:rPr>
          <w:szCs w:val="24"/>
        </w:rPr>
        <w:t xml:space="preserve"> lõikes 1 loetletud muu erialajärgse voodipäeva piirhinna.</w:t>
      </w:r>
    </w:p>
    <w:p w14:paraId="3EBB028F" w14:textId="77777777" w:rsidR="00976487" w:rsidRPr="00687DE8" w:rsidRDefault="00976487" w:rsidP="00976487">
      <w:pPr>
        <w:spacing w:after="0" w:line="240" w:lineRule="auto"/>
        <w:jc w:val="both"/>
        <w:divId w:val="1316184749"/>
        <w:rPr>
          <w:szCs w:val="24"/>
        </w:rPr>
      </w:pPr>
    </w:p>
    <w:p w14:paraId="275DF3DA" w14:textId="77777777" w:rsidR="00976487" w:rsidRPr="00687DE8" w:rsidRDefault="00976487" w:rsidP="00976487">
      <w:pPr>
        <w:spacing w:after="0" w:line="240" w:lineRule="auto"/>
        <w:jc w:val="both"/>
        <w:divId w:val="1316184749"/>
        <w:rPr>
          <w:szCs w:val="24"/>
        </w:rPr>
      </w:pPr>
      <w:r w:rsidRPr="00687DE8">
        <w:rPr>
          <w:szCs w:val="24"/>
        </w:rPr>
        <w:t>(17) Ravi eest kõrgema astme tegevusloaga intensiivraviosakonnas tasutakse vastavalt TISS-lehele kantud hindepunktide arvule ka madalama astme intensiivravi voodipäeva alusel.</w:t>
      </w:r>
    </w:p>
    <w:p w14:paraId="5A60CC1C" w14:textId="77777777" w:rsidR="00976487" w:rsidRPr="00687DE8" w:rsidRDefault="00976487" w:rsidP="00976487">
      <w:pPr>
        <w:spacing w:after="0" w:line="240" w:lineRule="auto"/>
        <w:jc w:val="both"/>
        <w:divId w:val="1316184749"/>
        <w:rPr>
          <w:szCs w:val="24"/>
        </w:rPr>
      </w:pPr>
    </w:p>
    <w:p w14:paraId="4E8326D0" w14:textId="68E1BC78" w:rsidR="00976487" w:rsidRPr="00687DE8" w:rsidRDefault="00976487" w:rsidP="00976487">
      <w:pPr>
        <w:spacing w:after="0" w:line="240" w:lineRule="auto"/>
        <w:jc w:val="both"/>
        <w:divId w:val="1316184749"/>
        <w:rPr>
          <w:szCs w:val="24"/>
        </w:rPr>
      </w:pPr>
      <w:r w:rsidRPr="00687DE8">
        <w:rPr>
          <w:szCs w:val="24"/>
        </w:rPr>
        <w:t xml:space="preserve">(18) </w:t>
      </w:r>
      <w:r w:rsidR="00B7695A" w:rsidRPr="00687DE8">
        <w:rPr>
          <w:szCs w:val="24"/>
        </w:rPr>
        <w:t xml:space="preserve">Kui haige viibib intensiivravil järjestikku 18 või enam tundi, võtab </w:t>
      </w:r>
      <w:r w:rsidR="005023FD" w:rsidRPr="00687DE8">
        <w:rPr>
          <w:szCs w:val="24"/>
        </w:rPr>
        <w:t>Tervisekassa</w:t>
      </w:r>
      <w:r w:rsidR="00B7695A" w:rsidRPr="00687DE8">
        <w:rPr>
          <w:szCs w:val="24"/>
        </w:rPr>
        <w:t xml:space="preserve"> tasu maksmise kohustuse üle voodipäevajärgse piirhinna alusel</w:t>
      </w:r>
      <w:r w:rsidR="007B603E" w:rsidRPr="00687DE8">
        <w:rPr>
          <w:szCs w:val="24"/>
        </w:rPr>
        <w:t>,</w:t>
      </w:r>
      <w:r w:rsidR="00B7695A" w:rsidRPr="00687DE8">
        <w:rPr>
          <w:szCs w:val="24"/>
        </w:rPr>
        <w:t xml:space="preserve"> ning alla 18-tunnise viibimise korral tegelikult viibitud tundide eest.</w:t>
      </w:r>
    </w:p>
    <w:p w14:paraId="1874CED5" w14:textId="77777777" w:rsidR="00B7695A" w:rsidRPr="00687DE8" w:rsidRDefault="00B7695A" w:rsidP="00976487">
      <w:pPr>
        <w:spacing w:after="0" w:line="240" w:lineRule="auto"/>
        <w:jc w:val="both"/>
        <w:divId w:val="1316184749"/>
        <w:rPr>
          <w:szCs w:val="24"/>
        </w:rPr>
      </w:pPr>
    </w:p>
    <w:p w14:paraId="542F8FFA" w14:textId="4F86FF05" w:rsidR="00976487" w:rsidRPr="00687DE8" w:rsidRDefault="00976487" w:rsidP="00976487">
      <w:pPr>
        <w:spacing w:after="0" w:line="240" w:lineRule="auto"/>
        <w:jc w:val="both"/>
        <w:divId w:val="1316184749"/>
        <w:rPr>
          <w:szCs w:val="24"/>
        </w:rPr>
      </w:pPr>
      <w:r w:rsidRPr="00687DE8">
        <w:rPr>
          <w:szCs w:val="24"/>
        </w:rPr>
        <w:t xml:space="preserve">(19) Põletushaige I ja II astme intensiivravi (koodid 2070 ja 2071) korral võtab </w:t>
      </w:r>
      <w:r w:rsidR="005023FD" w:rsidRPr="00687DE8">
        <w:rPr>
          <w:szCs w:val="24"/>
        </w:rPr>
        <w:t>Tervisekassa</w:t>
      </w:r>
      <w:r w:rsidRPr="00687DE8">
        <w:rPr>
          <w:szCs w:val="24"/>
        </w:rPr>
        <w:t xml:space="preserve"> tasu maksmise kohustuse üle kokku kuni 25 intensiivravi voodipäeva eest.</w:t>
      </w:r>
    </w:p>
    <w:p w14:paraId="3FB3586A" w14:textId="77777777" w:rsidR="00976487" w:rsidRPr="00687DE8" w:rsidRDefault="00976487" w:rsidP="00976487">
      <w:pPr>
        <w:spacing w:after="0" w:line="240" w:lineRule="auto"/>
        <w:jc w:val="both"/>
        <w:divId w:val="1316184749"/>
        <w:rPr>
          <w:szCs w:val="24"/>
        </w:rPr>
      </w:pPr>
    </w:p>
    <w:p w14:paraId="5E53B83E" w14:textId="6FEDEAE9" w:rsidR="00976487" w:rsidRPr="00687DE8" w:rsidRDefault="00976487" w:rsidP="00976487">
      <w:pPr>
        <w:spacing w:after="0" w:line="240" w:lineRule="auto"/>
        <w:jc w:val="both"/>
        <w:divId w:val="1316184749"/>
        <w:rPr>
          <w:szCs w:val="24"/>
        </w:rPr>
      </w:pPr>
      <w:r w:rsidRPr="00687DE8">
        <w:rPr>
          <w:szCs w:val="24"/>
        </w:rPr>
        <w:t>(20) Koodidega 2071, 2072 ja 2073 tähistatud tervishoiuteenuste voodipäevade maksi</w:t>
      </w:r>
      <w:r w:rsidR="008732EF" w:rsidRPr="00687DE8">
        <w:rPr>
          <w:szCs w:val="24"/>
        </w:rPr>
        <w:t xml:space="preserve">mumarvu ja </w:t>
      </w:r>
      <w:r w:rsidRPr="00687DE8">
        <w:rPr>
          <w:szCs w:val="24"/>
        </w:rPr>
        <w:t xml:space="preserve">lõikes 19 kehtestatud intensiivravi voodipäevade maksimumarvu võib pikendada tervishoiuteenuse osutaja ja </w:t>
      </w:r>
      <w:r w:rsidR="005023FD" w:rsidRPr="00687DE8">
        <w:rPr>
          <w:szCs w:val="24"/>
        </w:rPr>
        <w:t>Tervisekassa</w:t>
      </w:r>
      <w:r w:rsidRPr="00687DE8">
        <w:rPr>
          <w:szCs w:val="24"/>
        </w:rPr>
        <w:t xml:space="preserve"> vahel ravi rahastamise lepingus kokku</w:t>
      </w:r>
      <w:r w:rsidR="00CB09B8" w:rsidRPr="00687DE8">
        <w:rPr>
          <w:szCs w:val="24"/>
        </w:rPr>
        <w:t xml:space="preserve"> </w:t>
      </w:r>
      <w:r w:rsidRPr="00687DE8">
        <w:rPr>
          <w:szCs w:val="24"/>
        </w:rPr>
        <w:t>lepitud tingimustel.</w:t>
      </w:r>
    </w:p>
    <w:p w14:paraId="4CD00547" w14:textId="77777777" w:rsidR="00976487" w:rsidRPr="00687DE8" w:rsidRDefault="00976487" w:rsidP="00976487">
      <w:pPr>
        <w:spacing w:after="0" w:line="240" w:lineRule="auto"/>
        <w:jc w:val="both"/>
        <w:divId w:val="1316184749"/>
        <w:rPr>
          <w:szCs w:val="24"/>
        </w:rPr>
      </w:pPr>
    </w:p>
    <w:p w14:paraId="63675E11" w14:textId="0068C0C4" w:rsidR="00976487" w:rsidRPr="00687DE8" w:rsidRDefault="008732EF" w:rsidP="00976487">
      <w:pPr>
        <w:spacing w:after="0" w:line="240" w:lineRule="auto"/>
        <w:jc w:val="both"/>
        <w:divId w:val="1316184749"/>
        <w:rPr>
          <w:szCs w:val="24"/>
        </w:rPr>
      </w:pPr>
      <w:r w:rsidRPr="00687DE8">
        <w:rPr>
          <w:szCs w:val="24"/>
        </w:rPr>
        <w:t>(21) L</w:t>
      </w:r>
      <w:r w:rsidR="00976487" w:rsidRPr="00687DE8">
        <w:rPr>
          <w:szCs w:val="24"/>
        </w:rPr>
        <w:t xml:space="preserve">õikes 1 ettenähtud voodipäevade maksimaalset arvu ületavate päevade eest, </w:t>
      </w:r>
      <w:r w:rsidR="00DC4841" w:rsidRPr="00687DE8">
        <w:rPr>
          <w:szCs w:val="24"/>
        </w:rPr>
        <w:t>välja arvatud</w:t>
      </w:r>
      <w:r w:rsidR="00976487" w:rsidRPr="00687DE8">
        <w:rPr>
          <w:szCs w:val="24"/>
        </w:rPr>
        <w:t xml:space="preserve"> koodidega 2047 ja 2063 tähistatud tervishoiuteenuste korral, võtab </w:t>
      </w:r>
      <w:r w:rsidR="005023FD" w:rsidRPr="00687DE8">
        <w:rPr>
          <w:szCs w:val="24"/>
        </w:rPr>
        <w:t>Tervisekassa</w:t>
      </w:r>
      <w:r w:rsidR="00976487" w:rsidRPr="00687DE8">
        <w:rPr>
          <w:szCs w:val="24"/>
        </w:rPr>
        <w:t xml:space="preserve"> tasu maksmise kohustuse üle järelravi (kood 2047) tervishoiuteenusena kuni 60 päeva eest.</w:t>
      </w:r>
    </w:p>
    <w:p w14:paraId="0F9093E3" w14:textId="77777777" w:rsidR="00976487" w:rsidRPr="00687DE8" w:rsidRDefault="00976487" w:rsidP="00976487">
      <w:pPr>
        <w:spacing w:after="0" w:line="240" w:lineRule="auto"/>
        <w:jc w:val="both"/>
        <w:divId w:val="1316184749"/>
        <w:rPr>
          <w:szCs w:val="24"/>
        </w:rPr>
      </w:pPr>
    </w:p>
    <w:p w14:paraId="3886198C" w14:textId="1FEF10D4" w:rsidR="0003458D" w:rsidRPr="00687DE8" w:rsidRDefault="00976487" w:rsidP="00976487">
      <w:pPr>
        <w:spacing w:after="0" w:line="240" w:lineRule="auto"/>
        <w:jc w:val="both"/>
        <w:divId w:val="1316184749"/>
        <w:rPr>
          <w:szCs w:val="24"/>
        </w:rPr>
      </w:pPr>
      <w:r w:rsidRPr="00687DE8">
        <w:rPr>
          <w:szCs w:val="24"/>
        </w:rPr>
        <w:t xml:space="preserve">(22) </w:t>
      </w:r>
      <w:r w:rsidR="005023FD" w:rsidRPr="00687DE8">
        <w:rPr>
          <w:szCs w:val="24"/>
        </w:rPr>
        <w:t>Tervisekassa</w:t>
      </w:r>
      <w:r w:rsidRPr="00687DE8">
        <w:rPr>
          <w:szCs w:val="24"/>
        </w:rPr>
        <w:t xml:space="preserve"> võtab koodiga 2067 tähistatud tervishoiuteenuse eest tasu maksmise kohustuse üle akt</w:t>
      </w:r>
      <w:r w:rsidR="008732EF" w:rsidRPr="00687DE8">
        <w:rPr>
          <w:szCs w:val="24"/>
        </w:rPr>
        <w:t xml:space="preserve">iivravi ja </w:t>
      </w:r>
      <w:r w:rsidRPr="00687DE8">
        <w:rPr>
          <w:szCs w:val="24"/>
        </w:rPr>
        <w:t xml:space="preserve">lõikes 7 sätestatud tegevusi mittevajava patsiendi </w:t>
      </w:r>
      <w:r w:rsidR="00735C96" w:rsidRPr="00687DE8">
        <w:rPr>
          <w:szCs w:val="24"/>
        </w:rPr>
        <w:t>korral</w:t>
      </w:r>
      <w:r w:rsidR="001F587D" w:rsidRPr="00687DE8">
        <w:rPr>
          <w:szCs w:val="24"/>
        </w:rPr>
        <w:t xml:space="preserve"> </w:t>
      </w:r>
      <w:r w:rsidR="005E4963" w:rsidRPr="00687DE8">
        <w:rPr>
          <w:szCs w:val="24"/>
        </w:rPr>
        <w:t>kuni kahe ööpäeva eest</w:t>
      </w:r>
      <w:r w:rsidRPr="00687DE8">
        <w:rPr>
          <w:szCs w:val="24"/>
        </w:rPr>
        <w:t>.</w:t>
      </w:r>
    </w:p>
    <w:p w14:paraId="0B8EDE8A" w14:textId="77777777" w:rsidR="00976487" w:rsidRPr="00687DE8" w:rsidRDefault="00976487" w:rsidP="00976487">
      <w:pPr>
        <w:spacing w:after="0" w:line="240" w:lineRule="auto"/>
        <w:jc w:val="both"/>
        <w:divId w:val="1316184749"/>
        <w:rPr>
          <w:szCs w:val="24"/>
        </w:rPr>
      </w:pPr>
    </w:p>
    <w:p w14:paraId="7B368165" w14:textId="0C87A73D" w:rsidR="001018F9" w:rsidRPr="001018F9" w:rsidRDefault="00B7695A" w:rsidP="001018F9">
      <w:pPr>
        <w:spacing w:after="0" w:line="240" w:lineRule="auto"/>
        <w:jc w:val="both"/>
        <w:divId w:val="1316184749"/>
        <w:rPr>
          <w:szCs w:val="24"/>
        </w:rPr>
      </w:pPr>
      <w:r w:rsidRPr="00687DE8">
        <w:rPr>
          <w:szCs w:val="24"/>
        </w:rPr>
        <w:t xml:space="preserve">(23) </w:t>
      </w:r>
      <w:r w:rsidR="005023FD" w:rsidRPr="00687DE8">
        <w:rPr>
          <w:szCs w:val="24"/>
        </w:rPr>
        <w:t>Tervisekassa</w:t>
      </w:r>
      <w:r w:rsidRPr="00687DE8">
        <w:rPr>
          <w:szCs w:val="24"/>
        </w:rPr>
        <w:t xml:space="preserve"> võtab koodiga 2069 tähistatud tervishoiuteenuse tasu maksmise kohustuse üle </w:t>
      </w:r>
      <w:r w:rsidR="001018F9" w:rsidRPr="001018F9">
        <w:rPr>
          <w:szCs w:val="24"/>
        </w:rPr>
        <w:t>juhul</w:t>
      </w:r>
      <w:r w:rsidR="002E4BD5">
        <w:rPr>
          <w:szCs w:val="24"/>
        </w:rPr>
        <w:t>,</w:t>
      </w:r>
      <w:r w:rsidR="001018F9" w:rsidRPr="001018F9">
        <w:rPr>
          <w:szCs w:val="24"/>
        </w:rPr>
        <w:t xml:space="preserve"> kui lapsevanema või muu tegeliku põetaja või hooldaja viibimine haiglas on vajalik tulenevalt lapse tervis</w:t>
      </w:r>
      <w:r w:rsidR="00F37DC9">
        <w:rPr>
          <w:szCs w:val="24"/>
        </w:rPr>
        <w:t>e</w:t>
      </w:r>
      <w:r w:rsidR="001018F9" w:rsidRPr="001018F9">
        <w:rPr>
          <w:szCs w:val="24"/>
        </w:rPr>
        <w:t>seisundist järg</w:t>
      </w:r>
      <w:r w:rsidR="00DA2A65">
        <w:rPr>
          <w:szCs w:val="24"/>
        </w:rPr>
        <w:t>miselt:</w:t>
      </w:r>
    </w:p>
    <w:p w14:paraId="18248FB6" w14:textId="1B66F668" w:rsidR="00B7695A" w:rsidRPr="00687DE8" w:rsidRDefault="00B7695A" w:rsidP="00B7695A">
      <w:pPr>
        <w:spacing w:after="0" w:line="240" w:lineRule="auto"/>
        <w:jc w:val="both"/>
        <w:divId w:val="1316184749"/>
        <w:rPr>
          <w:szCs w:val="24"/>
        </w:rPr>
      </w:pPr>
      <w:r w:rsidRPr="00687DE8">
        <w:rPr>
          <w:szCs w:val="24"/>
        </w:rPr>
        <w:t xml:space="preserve">1) alla </w:t>
      </w:r>
      <w:r w:rsidR="00016DC7">
        <w:rPr>
          <w:szCs w:val="24"/>
        </w:rPr>
        <w:t>3</w:t>
      </w:r>
      <w:r w:rsidRPr="00687DE8">
        <w:rPr>
          <w:szCs w:val="24"/>
        </w:rPr>
        <w:t>-aastase lapsega haiglas viibimise päevade eest;</w:t>
      </w:r>
    </w:p>
    <w:p w14:paraId="0C4ADBDC" w14:textId="2A8A6956" w:rsidR="00B7695A" w:rsidRPr="00687DE8" w:rsidRDefault="005835A3" w:rsidP="00B7695A">
      <w:pPr>
        <w:spacing w:after="0" w:line="240" w:lineRule="auto"/>
        <w:jc w:val="both"/>
        <w:divId w:val="1316184749"/>
        <w:rPr>
          <w:szCs w:val="24"/>
        </w:rPr>
      </w:pPr>
      <w:r>
        <w:rPr>
          <w:szCs w:val="24"/>
        </w:rPr>
        <w:t>2</w:t>
      </w:r>
      <w:r w:rsidR="00B7695A" w:rsidRPr="00687DE8">
        <w:rPr>
          <w:szCs w:val="24"/>
        </w:rPr>
        <w:t>) alla 1</w:t>
      </w:r>
      <w:r w:rsidR="00965C29">
        <w:rPr>
          <w:szCs w:val="24"/>
        </w:rPr>
        <w:t>6</w:t>
      </w:r>
      <w:r w:rsidR="00B7695A" w:rsidRPr="00687DE8">
        <w:rPr>
          <w:szCs w:val="24"/>
        </w:rPr>
        <w:t>-aastase lapsega haiglas viibimise korral kuni 14 päeva eest;</w:t>
      </w:r>
    </w:p>
    <w:p w14:paraId="14057026" w14:textId="2DBE19D1" w:rsidR="00B7695A" w:rsidRPr="00687DE8" w:rsidRDefault="005835A3" w:rsidP="00B7695A">
      <w:pPr>
        <w:spacing w:after="0" w:line="240" w:lineRule="auto"/>
        <w:jc w:val="both"/>
        <w:divId w:val="1316184749"/>
        <w:rPr>
          <w:szCs w:val="24"/>
        </w:rPr>
      </w:pPr>
      <w:r>
        <w:rPr>
          <w:szCs w:val="24"/>
        </w:rPr>
        <w:t>3</w:t>
      </w:r>
      <w:r w:rsidR="00B7695A" w:rsidRPr="00687DE8">
        <w:rPr>
          <w:szCs w:val="24"/>
        </w:rPr>
        <w:t>) alla 1</w:t>
      </w:r>
      <w:r w:rsidR="00EF50B5">
        <w:rPr>
          <w:szCs w:val="24"/>
        </w:rPr>
        <w:t>9</w:t>
      </w:r>
      <w:r w:rsidR="00B7695A" w:rsidRPr="00687DE8">
        <w:rPr>
          <w:szCs w:val="24"/>
        </w:rPr>
        <w:t>-aastase sügava või raske puudega lapsega haiglas viibimise korral kuni 14</w:t>
      </w:r>
      <w:r w:rsidR="00AF29C7" w:rsidRPr="00687DE8">
        <w:rPr>
          <w:szCs w:val="24"/>
        </w:rPr>
        <w:t xml:space="preserve"> </w:t>
      </w:r>
      <w:r w:rsidR="00B7695A" w:rsidRPr="00687DE8">
        <w:rPr>
          <w:szCs w:val="24"/>
        </w:rPr>
        <w:t>päeva eest.</w:t>
      </w:r>
    </w:p>
    <w:p w14:paraId="2FAC1ECC" w14:textId="77777777" w:rsidR="00976487" w:rsidRPr="00687DE8" w:rsidRDefault="00976487" w:rsidP="00976487">
      <w:pPr>
        <w:spacing w:after="0" w:line="240" w:lineRule="auto"/>
        <w:jc w:val="both"/>
        <w:divId w:val="1316184749"/>
        <w:rPr>
          <w:szCs w:val="24"/>
        </w:rPr>
      </w:pPr>
    </w:p>
    <w:p w14:paraId="79264C67" w14:textId="70F12184" w:rsidR="00976487" w:rsidRPr="00687DE8" w:rsidRDefault="00976487" w:rsidP="00976487">
      <w:pPr>
        <w:pStyle w:val="Vahedeta"/>
        <w:jc w:val="both"/>
        <w:divId w:val="1316184749"/>
        <w:rPr>
          <w:lang w:val="et-EE"/>
        </w:rPr>
      </w:pPr>
      <w:r w:rsidRPr="5B97B42E">
        <w:rPr>
          <w:lang w:val="et-EE"/>
        </w:rPr>
        <w:t>(2</w:t>
      </w:r>
      <w:r w:rsidR="001646F6" w:rsidRPr="5B97B42E">
        <w:rPr>
          <w:lang w:val="et-EE"/>
        </w:rPr>
        <w:t>4</w:t>
      </w:r>
      <w:r w:rsidRPr="5B97B42E">
        <w:rPr>
          <w:lang w:val="et-EE"/>
        </w:rPr>
        <w:t xml:space="preserve">) Koodiga </w:t>
      </w:r>
      <w:r w:rsidR="005E4963" w:rsidRPr="5B97B42E">
        <w:rPr>
          <w:lang w:val="et-EE"/>
        </w:rPr>
        <w:t>2069</w:t>
      </w:r>
      <w:r w:rsidRPr="5B97B42E">
        <w:rPr>
          <w:lang w:val="et-EE"/>
        </w:rPr>
        <w:t xml:space="preserve"> tähistatud tervishoiuteenus</w:t>
      </w:r>
      <w:r w:rsidR="008F27C5" w:rsidRPr="5B97B42E">
        <w:rPr>
          <w:lang w:val="et-EE"/>
        </w:rPr>
        <w:t>t</w:t>
      </w:r>
      <w:r w:rsidRPr="5B97B42E">
        <w:rPr>
          <w:lang w:val="et-EE"/>
        </w:rPr>
        <w:t>e voodipäevade maksimaalset arvu võib</w:t>
      </w:r>
      <w:r w:rsidR="008732EF" w:rsidRPr="5B97B42E">
        <w:rPr>
          <w:lang w:val="et-EE"/>
        </w:rPr>
        <w:t xml:space="preserve"> pikendada </w:t>
      </w:r>
      <w:r w:rsidRPr="5B97B42E">
        <w:rPr>
          <w:lang w:val="et-EE"/>
        </w:rPr>
        <w:t xml:space="preserve">lõike 23 </w:t>
      </w:r>
      <w:r w:rsidRPr="6CB33C69">
        <w:rPr>
          <w:lang w:val="et-EE"/>
        </w:rPr>
        <w:t>punktides</w:t>
      </w:r>
      <w:r w:rsidR="38D3D58B" w:rsidRPr="6CB33C69">
        <w:rPr>
          <w:lang w:val="et-EE"/>
        </w:rPr>
        <w:t xml:space="preserve"> </w:t>
      </w:r>
      <w:r w:rsidR="00AB4AA0">
        <w:rPr>
          <w:lang w:val="et-EE"/>
        </w:rPr>
        <w:t xml:space="preserve">2 ja </w:t>
      </w:r>
      <w:r w:rsidR="00DA2A65">
        <w:rPr>
          <w:lang w:val="et-EE"/>
        </w:rPr>
        <w:t>3</w:t>
      </w:r>
      <w:r w:rsidRPr="5B97B42E">
        <w:rPr>
          <w:lang w:val="et-EE"/>
        </w:rPr>
        <w:t xml:space="preserve"> nimetatud juhtudel kuni 60 päeva kaupa tervishoiuteenuse osutaja ja </w:t>
      </w:r>
      <w:r w:rsidR="005023FD" w:rsidRPr="5B97B42E">
        <w:rPr>
          <w:lang w:val="et-EE"/>
        </w:rPr>
        <w:t>Tervisekassa</w:t>
      </w:r>
      <w:r w:rsidRPr="5B97B42E">
        <w:rPr>
          <w:lang w:val="et-EE"/>
        </w:rPr>
        <w:t xml:space="preserve"> vahel ravi rahastamise lepingus kokku</w:t>
      </w:r>
      <w:r w:rsidR="00CB09B8" w:rsidRPr="5B97B42E">
        <w:rPr>
          <w:lang w:val="et-EE"/>
        </w:rPr>
        <w:t xml:space="preserve"> </w:t>
      </w:r>
      <w:r w:rsidRPr="5B97B42E">
        <w:rPr>
          <w:lang w:val="et-EE"/>
        </w:rPr>
        <w:t>lepitud tingimustel.</w:t>
      </w:r>
    </w:p>
    <w:p w14:paraId="4D4DF285" w14:textId="77777777" w:rsidR="00976487" w:rsidRPr="00687DE8" w:rsidRDefault="00976487" w:rsidP="00976487">
      <w:pPr>
        <w:pStyle w:val="Vahedeta"/>
        <w:divId w:val="1316184749"/>
        <w:rPr>
          <w:color w:val="0D0D0D"/>
          <w:szCs w:val="24"/>
          <w:lang w:val="et-EE"/>
        </w:rPr>
      </w:pPr>
    </w:p>
    <w:p w14:paraId="425DAFC2" w14:textId="77777777" w:rsidR="00976487" w:rsidRPr="00687DE8" w:rsidRDefault="00976487" w:rsidP="00976487">
      <w:pPr>
        <w:spacing w:after="0" w:line="240" w:lineRule="auto"/>
        <w:jc w:val="both"/>
        <w:divId w:val="1316184749"/>
        <w:rPr>
          <w:szCs w:val="24"/>
        </w:rPr>
      </w:pPr>
      <w:r w:rsidRPr="00687DE8">
        <w:rPr>
          <w:szCs w:val="24"/>
        </w:rPr>
        <w:t>(2</w:t>
      </w:r>
      <w:r w:rsidR="001646F6" w:rsidRPr="00687DE8">
        <w:rPr>
          <w:szCs w:val="24"/>
        </w:rPr>
        <w:t>5</w:t>
      </w:r>
      <w:r w:rsidRPr="00687DE8">
        <w:rPr>
          <w:szCs w:val="24"/>
        </w:rPr>
        <w:t>) Koodiga 2034 tähistatud tervishoiuteenust rakendatakse haiglate loetelus nimetatud kesk- või piirkondlikus haiglas.</w:t>
      </w:r>
    </w:p>
    <w:p w14:paraId="1F2C7E58" w14:textId="77777777" w:rsidR="00976487" w:rsidRPr="00687DE8" w:rsidRDefault="00976487" w:rsidP="00976487">
      <w:pPr>
        <w:spacing w:after="0" w:line="240" w:lineRule="auto"/>
        <w:jc w:val="both"/>
        <w:divId w:val="1316184749"/>
        <w:rPr>
          <w:szCs w:val="24"/>
        </w:rPr>
      </w:pPr>
    </w:p>
    <w:p w14:paraId="08F7B9C8" w14:textId="33C3AAE5" w:rsidR="00976487" w:rsidRPr="00687DE8" w:rsidRDefault="00976487" w:rsidP="00976487">
      <w:pPr>
        <w:spacing w:after="0" w:line="240" w:lineRule="auto"/>
        <w:jc w:val="both"/>
        <w:divId w:val="1316184749"/>
        <w:rPr>
          <w:szCs w:val="24"/>
        </w:rPr>
      </w:pPr>
      <w:r w:rsidRPr="00687DE8">
        <w:rPr>
          <w:szCs w:val="24"/>
        </w:rPr>
        <w:t>(2</w:t>
      </w:r>
      <w:r w:rsidR="001646F6" w:rsidRPr="00687DE8">
        <w:rPr>
          <w:szCs w:val="24"/>
        </w:rPr>
        <w:t>6</w:t>
      </w:r>
      <w:r w:rsidRPr="00687DE8">
        <w:rPr>
          <w:szCs w:val="24"/>
        </w:rPr>
        <w:t xml:space="preserve">) Koodiga 2063 tähistatud tervishoiuteenuse voodipäevade maksimaalset arvu võib pikendada kuni 60 päeva kaupa tervishoiuteenuse osutaja ja </w:t>
      </w:r>
      <w:r w:rsidR="005023FD" w:rsidRPr="00687DE8">
        <w:rPr>
          <w:szCs w:val="24"/>
        </w:rPr>
        <w:t>Tervisekassa</w:t>
      </w:r>
      <w:r w:rsidRPr="00687DE8">
        <w:rPr>
          <w:szCs w:val="24"/>
        </w:rPr>
        <w:t xml:space="preserve"> vahel ravi rahastamise lepingus kokku</w:t>
      </w:r>
      <w:r w:rsidR="00CB09B8" w:rsidRPr="00687DE8">
        <w:rPr>
          <w:szCs w:val="24"/>
        </w:rPr>
        <w:t xml:space="preserve"> </w:t>
      </w:r>
      <w:r w:rsidRPr="00687DE8">
        <w:rPr>
          <w:szCs w:val="24"/>
        </w:rPr>
        <w:t>lepitud tingimustel.</w:t>
      </w:r>
    </w:p>
    <w:p w14:paraId="229EEFE5" w14:textId="77777777" w:rsidR="00976487" w:rsidRPr="00687DE8" w:rsidRDefault="00976487" w:rsidP="00976487">
      <w:pPr>
        <w:spacing w:after="0" w:line="240" w:lineRule="auto"/>
        <w:jc w:val="both"/>
        <w:divId w:val="1316184749"/>
        <w:rPr>
          <w:szCs w:val="24"/>
        </w:rPr>
      </w:pPr>
    </w:p>
    <w:p w14:paraId="4665ED8C" w14:textId="747FD4AD" w:rsidR="00976487" w:rsidRPr="00687DE8" w:rsidRDefault="00976487" w:rsidP="00976487">
      <w:pPr>
        <w:spacing w:after="0" w:line="240" w:lineRule="auto"/>
        <w:jc w:val="both"/>
        <w:divId w:val="1316184749"/>
        <w:rPr>
          <w:szCs w:val="24"/>
        </w:rPr>
      </w:pPr>
      <w:r w:rsidRPr="00687DE8">
        <w:rPr>
          <w:szCs w:val="24"/>
        </w:rPr>
        <w:t>(2</w:t>
      </w:r>
      <w:r w:rsidR="001646F6" w:rsidRPr="00687DE8">
        <w:rPr>
          <w:szCs w:val="24"/>
        </w:rPr>
        <w:t>7</w:t>
      </w:r>
      <w:r w:rsidRPr="00687DE8">
        <w:rPr>
          <w:szCs w:val="24"/>
        </w:rPr>
        <w:t xml:space="preserve">) Koodiga 2047 tähistatud tervishoiuteenuse voodipäevade maksimaalset arvu võib pikendada kuni 60 päeva kaupa tervishoiuteenuse osutaja ja </w:t>
      </w:r>
      <w:r w:rsidR="005023FD" w:rsidRPr="00687DE8">
        <w:rPr>
          <w:szCs w:val="24"/>
        </w:rPr>
        <w:t>Tervisekassa</w:t>
      </w:r>
      <w:r w:rsidRPr="00687DE8">
        <w:rPr>
          <w:szCs w:val="24"/>
        </w:rPr>
        <w:t xml:space="preserve"> vahel ravi rahastamise lepingus kokku</w:t>
      </w:r>
      <w:r w:rsidR="00CB09B8" w:rsidRPr="00687DE8">
        <w:rPr>
          <w:szCs w:val="24"/>
        </w:rPr>
        <w:t xml:space="preserve"> </w:t>
      </w:r>
      <w:r w:rsidRPr="00687DE8">
        <w:rPr>
          <w:szCs w:val="24"/>
        </w:rPr>
        <w:t>lepitud tingimustel.</w:t>
      </w:r>
    </w:p>
    <w:p w14:paraId="4F56E707" w14:textId="77777777" w:rsidR="00976487" w:rsidRPr="00687DE8" w:rsidRDefault="00976487" w:rsidP="00976487">
      <w:pPr>
        <w:spacing w:after="0" w:line="240" w:lineRule="auto"/>
        <w:jc w:val="both"/>
        <w:divId w:val="1316184749"/>
        <w:rPr>
          <w:szCs w:val="24"/>
        </w:rPr>
      </w:pPr>
    </w:p>
    <w:p w14:paraId="53E9E935" w14:textId="77777777" w:rsidR="00976487" w:rsidRPr="00687DE8" w:rsidRDefault="00976487" w:rsidP="00976487">
      <w:pPr>
        <w:spacing w:after="0" w:line="240" w:lineRule="auto"/>
        <w:jc w:val="both"/>
        <w:divId w:val="1316184749"/>
        <w:rPr>
          <w:szCs w:val="24"/>
        </w:rPr>
      </w:pPr>
      <w:r w:rsidRPr="00687DE8">
        <w:rPr>
          <w:szCs w:val="24"/>
        </w:rPr>
        <w:t>(2</w:t>
      </w:r>
      <w:r w:rsidR="001646F6" w:rsidRPr="00687DE8">
        <w:rPr>
          <w:szCs w:val="24"/>
        </w:rPr>
        <w:t>8</w:t>
      </w:r>
      <w:r w:rsidRPr="00687DE8">
        <w:rPr>
          <w:szCs w:val="24"/>
        </w:rPr>
        <w:t>) Koodiga 8101 või 8102 tähistatud tervishoiuteenuse osutamisel on koodiga 2065 tähistatud tervishoiuteenuse voodipäevade maksimaalne arv 45 päeva.</w:t>
      </w:r>
    </w:p>
    <w:p w14:paraId="4FA48526" w14:textId="77777777" w:rsidR="00976487" w:rsidRPr="00687DE8" w:rsidRDefault="00976487" w:rsidP="00976487">
      <w:pPr>
        <w:spacing w:after="0" w:line="240" w:lineRule="auto"/>
        <w:jc w:val="both"/>
        <w:divId w:val="1316184749"/>
        <w:rPr>
          <w:szCs w:val="24"/>
        </w:rPr>
      </w:pPr>
    </w:p>
    <w:p w14:paraId="7594D60C" w14:textId="77777777" w:rsidR="00976487" w:rsidRPr="00687DE8" w:rsidRDefault="00976487" w:rsidP="00976487">
      <w:pPr>
        <w:spacing w:after="0" w:line="240" w:lineRule="auto"/>
        <w:jc w:val="both"/>
        <w:divId w:val="1316184749"/>
        <w:rPr>
          <w:szCs w:val="24"/>
        </w:rPr>
      </w:pPr>
      <w:r w:rsidRPr="00687DE8">
        <w:rPr>
          <w:szCs w:val="24"/>
        </w:rPr>
        <w:t>(</w:t>
      </w:r>
      <w:r w:rsidR="0079211C" w:rsidRPr="00687DE8">
        <w:rPr>
          <w:szCs w:val="24"/>
        </w:rPr>
        <w:t>29</w:t>
      </w:r>
      <w:r w:rsidRPr="00687DE8">
        <w:rPr>
          <w:szCs w:val="24"/>
        </w:rPr>
        <w:t>) Koodiga 372R, 373R, 374R, 375R, 376R või 8105 tähistatud tervishoiuteenuse osutamisel on koodiga 2065 tähistatud tervishoiuteenuse voodipäevade maksimaalne arv 21 päeva.</w:t>
      </w:r>
    </w:p>
    <w:p w14:paraId="69E482FE" w14:textId="77777777" w:rsidR="00976487" w:rsidRPr="00687DE8" w:rsidRDefault="00976487" w:rsidP="00976487">
      <w:pPr>
        <w:spacing w:after="0" w:line="240" w:lineRule="auto"/>
        <w:jc w:val="both"/>
        <w:divId w:val="1316184749"/>
        <w:rPr>
          <w:szCs w:val="24"/>
        </w:rPr>
      </w:pPr>
    </w:p>
    <w:p w14:paraId="7E823531" w14:textId="2AAA7839" w:rsidR="00976487" w:rsidRPr="00687DE8" w:rsidRDefault="008732EF" w:rsidP="00976487">
      <w:pPr>
        <w:spacing w:after="0" w:line="240" w:lineRule="auto"/>
        <w:jc w:val="both"/>
        <w:divId w:val="1316184749"/>
        <w:rPr>
          <w:szCs w:val="24"/>
        </w:rPr>
      </w:pPr>
      <w:r w:rsidRPr="00687DE8">
        <w:rPr>
          <w:szCs w:val="24"/>
        </w:rPr>
        <w:t>(3</w:t>
      </w:r>
      <w:r w:rsidR="0079211C" w:rsidRPr="00687DE8">
        <w:rPr>
          <w:szCs w:val="24"/>
        </w:rPr>
        <w:t>0</w:t>
      </w:r>
      <w:r w:rsidRPr="00687DE8">
        <w:rPr>
          <w:szCs w:val="24"/>
        </w:rPr>
        <w:t xml:space="preserve">) </w:t>
      </w:r>
      <w:r w:rsidR="005023FD" w:rsidRPr="00687DE8">
        <w:rPr>
          <w:szCs w:val="24"/>
        </w:rPr>
        <w:t>Tervisekassa</w:t>
      </w:r>
      <w:r w:rsidRPr="00687DE8">
        <w:rPr>
          <w:szCs w:val="24"/>
        </w:rPr>
        <w:t xml:space="preserve"> võtab </w:t>
      </w:r>
      <w:r w:rsidR="00976487" w:rsidRPr="00687DE8">
        <w:rPr>
          <w:szCs w:val="24"/>
        </w:rPr>
        <w:t>lõike 5 punktis 5 viidatud juhul tasu maksmise kohustuse üle</w:t>
      </w:r>
      <w:r w:rsidR="00B7695A" w:rsidRPr="00687DE8">
        <w:rPr>
          <w:szCs w:val="24"/>
        </w:rPr>
        <w:t xml:space="preserve"> juhul</w:t>
      </w:r>
      <w:r w:rsidR="00976487" w:rsidRPr="00687DE8">
        <w:rPr>
          <w:szCs w:val="24"/>
        </w:rPr>
        <w:t xml:space="preserve">, kui: </w:t>
      </w:r>
    </w:p>
    <w:p w14:paraId="643FA0B8" w14:textId="77777777" w:rsidR="00976487" w:rsidRPr="00687DE8" w:rsidRDefault="00976487" w:rsidP="00976487">
      <w:pPr>
        <w:spacing w:after="0" w:line="240" w:lineRule="auto"/>
        <w:jc w:val="both"/>
        <w:divId w:val="1316184749"/>
        <w:rPr>
          <w:szCs w:val="24"/>
        </w:rPr>
      </w:pPr>
      <w:r w:rsidRPr="00687DE8">
        <w:rPr>
          <w:szCs w:val="24"/>
        </w:rPr>
        <w:t>1) patsient on ebastabiilses remissioonis;</w:t>
      </w:r>
    </w:p>
    <w:p w14:paraId="78059FDC" w14:textId="77777777" w:rsidR="00976487" w:rsidRPr="00687DE8" w:rsidRDefault="00976487" w:rsidP="00976487">
      <w:pPr>
        <w:spacing w:after="0" w:line="240" w:lineRule="auto"/>
        <w:jc w:val="both"/>
        <w:divId w:val="1316184749"/>
        <w:rPr>
          <w:szCs w:val="24"/>
        </w:rPr>
      </w:pPr>
      <w:r w:rsidRPr="00687DE8">
        <w:rPr>
          <w:szCs w:val="24"/>
        </w:rPr>
        <w:t>2) ravi alustamise ja jätkamise otsustab eksper</w:t>
      </w:r>
      <w:r w:rsidR="00F71ACC" w:rsidRPr="00687DE8">
        <w:rPr>
          <w:szCs w:val="24"/>
        </w:rPr>
        <w:t>di</w:t>
      </w:r>
      <w:r w:rsidRPr="00687DE8">
        <w:rPr>
          <w:szCs w:val="24"/>
        </w:rPr>
        <w:t>komisjon, kuhu kuuluvad vähemalt kaks psühhiaatrit, ja otsus on vormistatud ravikindlustuse seaduse § 32 alusel kehtestatud määruse lisas sätestatud vormi alusel;</w:t>
      </w:r>
    </w:p>
    <w:p w14:paraId="0AD2C624" w14:textId="77777777" w:rsidR="00976487" w:rsidRPr="00687DE8" w:rsidRDefault="00976487" w:rsidP="00976487">
      <w:pPr>
        <w:spacing w:after="0" w:line="240" w:lineRule="auto"/>
        <w:jc w:val="both"/>
        <w:divId w:val="1316184749"/>
        <w:rPr>
          <w:szCs w:val="24"/>
        </w:rPr>
      </w:pPr>
      <w:r w:rsidRPr="00687DE8">
        <w:rPr>
          <w:szCs w:val="24"/>
        </w:rPr>
        <w:t>3) on tagatud psühhiaatri ööpäevaringne valmisolek konsulteeri</w:t>
      </w:r>
      <w:r w:rsidR="00B7695A" w:rsidRPr="00687DE8">
        <w:rPr>
          <w:szCs w:val="24"/>
        </w:rPr>
        <w:t>da</w:t>
      </w:r>
      <w:r w:rsidRPr="00687DE8">
        <w:rPr>
          <w:szCs w:val="24"/>
        </w:rPr>
        <w:t>.</w:t>
      </w:r>
    </w:p>
    <w:p w14:paraId="5308196F" w14:textId="77777777" w:rsidR="00976487" w:rsidRPr="00687DE8" w:rsidRDefault="00976487" w:rsidP="00976487">
      <w:pPr>
        <w:spacing w:after="0" w:line="240" w:lineRule="auto"/>
        <w:jc w:val="both"/>
        <w:divId w:val="1316184749"/>
        <w:rPr>
          <w:szCs w:val="24"/>
        </w:rPr>
      </w:pPr>
    </w:p>
    <w:p w14:paraId="78C4A6AA" w14:textId="77777777" w:rsidR="00976487" w:rsidRPr="00687DE8" w:rsidRDefault="008732EF" w:rsidP="00976487">
      <w:pPr>
        <w:spacing w:after="0" w:line="240" w:lineRule="auto"/>
        <w:jc w:val="both"/>
        <w:divId w:val="1316184749"/>
        <w:rPr>
          <w:szCs w:val="24"/>
        </w:rPr>
      </w:pPr>
      <w:r w:rsidRPr="00687DE8">
        <w:rPr>
          <w:szCs w:val="24"/>
        </w:rPr>
        <w:t>(3</w:t>
      </w:r>
      <w:r w:rsidR="0079211C" w:rsidRPr="00687DE8">
        <w:rPr>
          <w:szCs w:val="24"/>
        </w:rPr>
        <w:t>1</w:t>
      </w:r>
      <w:r w:rsidRPr="00687DE8">
        <w:rPr>
          <w:szCs w:val="24"/>
        </w:rPr>
        <w:t>) L</w:t>
      </w:r>
      <w:r w:rsidR="00976487" w:rsidRPr="00687DE8">
        <w:rPr>
          <w:szCs w:val="24"/>
        </w:rPr>
        <w:t>õikes 3</w:t>
      </w:r>
      <w:r w:rsidR="009B7476" w:rsidRPr="00687DE8">
        <w:rPr>
          <w:szCs w:val="24"/>
        </w:rPr>
        <w:t>0</w:t>
      </w:r>
      <w:r w:rsidR="00976487" w:rsidRPr="00687DE8">
        <w:rPr>
          <w:szCs w:val="24"/>
        </w:rPr>
        <w:t xml:space="preserve"> nimetatud eksper</w:t>
      </w:r>
      <w:r w:rsidR="00F71ACC" w:rsidRPr="00687DE8">
        <w:rPr>
          <w:szCs w:val="24"/>
        </w:rPr>
        <w:t>di</w:t>
      </w:r>
      <w:r w:rsidR="00976487" w:rsidRPr="00687DE8">
        <w:rPr>
          <w:szCs w:val="24"/>
        </w:rPr>
        <w:t>komisjon peab ravi edasist vajalikkust hindama ning uue raviplaani koostama hiljemalt 180 päeva möödumisel eelmise raviplaani koostamisest.</w:t>
      </w:r>
    </w:p>
    <w:p w14:paraId="2B3AC4D1" w14:textId="77777777" w:rsidR="00976487" w:rsidRPr="00687DE8" w:rsidRDefault="00976487" w:rsidP="00976487">
      <w:pPr>
        <w:spacing w:after="0" w:line="240" w:lineRule="auto"/>
        <w:jc w:val="both"/>
        <w:divId w:val="1316184749"/>
        <w:rPr>
          <w:szCs w:val="24"/>
        </w:rPr>
      </w:pPr>
    </w:p>
    <w:p w14:paraId="089D3F8D" w14:textId="7FB9A957" w:rsidR="00976487" w:rsidRPr="00687DE8" w:rsidRDefault="00976487" w:rsidP="00976487">
      <w:pPr>
        <w:spacing w:after="0" w:line="240" w:lineRule="auto"/>
        <w:jc w:val="both"/>
        <w:divId w:val="1316184749"/>
        <w:rPr>
          <w:szCs w:val="24"/>
        </w:rPr>
      </w:pPr>
      <w:r w:rsidRPr="00687DE8">
        <w:rPr>
          <w:szCs w:val="24"/>
        </w:rPr>
        <w:t>(3</w:t>
      </w:r>
      <w:r w:rsidR="0079211C" w:rsidRPr="00687DE8">
        <w:rPr>
          <w:szCs w:val="24"/>
        </w:rPr>
        <w:t>2</w:t>
      </w:r>
      <w:r w:rsidRPr="00687DE8">
        <w:rPr>
          <w:szCs w:val="24"/>
        </w:rPr>
        <w:t xml:space="preserve">) </w:t>
      </w:r>
      <w:r w:rsidR="005023FD" w:rsidRPr="00687DE8">
        <w:rPr>
          <w:szCs w:val="24"/>
        </w:rPr>
        <w:t>Tervisekassa</w:t>
      </w:r>
      <w:r w:rsidRPr="00687DE8">
        <w:rPr>
          <w:szCs w:val="24"/>
        </w:rPr>
        <w:t xml:space="preserve"> võtab koodiga 2058 tähistatud tervishoiuteenuse eest tasu maksmise kohustuse üle, kui raviasutuses on tagatud ööpäevaringne psühhiaatri valve.</w:t>
      </w:r>
    </w:p>
    <w:p w14:paraId="139BAB7D" w14:textId="77777777" w:rsidR="00976487" w:rsidRPr="00687DE8" w:rsidRDefault="00976487" w:rsidP="00976487">
      <w:pPr>
        <w:spacing w:after="0" w:line="240" w:lineRule="auto"/>
        <w:jc w:val="both"/>
        <w:divId w:val="1316184749"/>
        <w:rPr>
          <w:szCs w:val="24"/>
        </w:rPr>
      </w:pPr>
    </w:p>
    <w:p w14:paraId="560E94C7" w14:textId="423CD00D" w:rsidR="00976487" w:rsidRPr="00687DE8" w:rsidRDefault="00976487" w:rsidP="00976487">
      <w:pPr>
        <w:spacing w:after="0" w:line="240" w:lineRule="auto"/>
        <w:jc w:val="both"/>
        <w:divId w:val="1316184749"/>
        <w:rPr>
          <w:szCs w:val="24"/>
        </w:rPr>
      </w:pPr>
      <w:r w:rsidRPr="00687DE8">
        <w:rPr>
          <w:szCs w:val="24"/>
        </w:rPr>
        <w:t>(3</w:t>
      </w:r>
      <w:r w:rsidR="0079211C" w:rsidRPr="00687DE8">
        <w:rPr>
          <w:szCs w:val="24"/>
        </w:rPr>
        <w:t>3</w:t>
      </w:r>
      <w:r w:rsidRPr="00687DE8">
        <w:rPr>
          <w:szCs w:val="24"/>
        </w:rPr>
        <w:t xml:space="preserve">) </w:t>
      </w:r>
      <w:r w:rsidR="005023FD" w:rsidRPr="00687DE8">
        <w:rPr>
          <w:szCs w:val="24"/>
        </w:rPr>
        <w:t>Tervisekassa</w:t>
      </w:r>
      <w:r w:rsidR="008732EF" w:rsidRPr="00687DE8">
        <w:rPr>
          <w:szCs w:val="24"/>
        </w:rPr>
        <w:t xml:space="preserve"> võtab </w:t>
      </w:r>
      <w:r w:rsidRPr="00687DE8">
        <w:rPr>
          <w:szCs w:val="24"/>
        </w:rPr>
        <w:t>lõike 5 punktides 2 ja 3 viidatud juhul tasu maksmise kohustuse üle tuberkuloosi ja sõltuvushäire kaksikdiagnoosiga patsiendilt juhul, kui patsiendi ravivajaduse on hinnanud ning dokumenteerinud ravi alguses ja lõpus ravimeeskond, millesse kuuluvad kopsuarst ja vähemalt kaks liiget järgmisest loetelust: psühhiaater, vaimse tervise õde, sotsiaaltöötaja, tegevusterapeut ja kliiniline psühholoog.</w:t>
      </w:r>
    </w:p>
    <w:p w14:paraId="086E833E" w14:textId="77777777" w:rsidR="00976487" w:rsidRPr="00687DE8" w:rsidRDefault="00976487" w:rsidP="00976487">
      <w:pPr>
        <w:spacing w:after="0" w:line="240" w:lineRule="auto"/>
        <w:jc w:val="both"/>
        <w:divId w:val="1316184749"/>
        <w:rPr>
          <w:szCs w:val="24"/>
        </w:rPr>
      </w:pPr>
    </w:p>
    <w:p w14:paraId="12AD990C" w14:textId="670EE79B" w:rsidR="00976487" w:rsidRPr="00687DE8" w:rsidRDefault="00976487" w:rsidP="00976487">
      <w:pPr>
        <w:pStyle w:val="Vahedeta"/>
        <w:jc w:val="both"/>
        <w:divId w:val="1316184749"/>
        <w:rPr>
          <w:szCs w:val="24"/>
          <w:lang w:val="et-EE"/>
        </w:rPr>
      </w:pPr>
      <w:r w:rsidRPr="00687DE8">
        <w:rPr>
          <w:szCs w:val="24"/>
          <w:lang w:val="et-EE"/>
        </w:rPr>
        <w:t>(3</w:t>
      </w:r>
      <w:r w:rsidR="00DA7927" w:rsidRPr="00687DE8">
        <w:rPr>
          <w:szCs w:val="24"/>
          <w:lang w:val="et-EE"/>
        </w:rPr>
        <w:t>4</w:t>
      </w:r>
      <w:r w:rsidRPr="00687DE8">
        <w:rPr>
          <w:szCs w:val="24"/>
          <w:lang w:val="et-EE"/>
        </w:rPr>
        <w:t xml:space="preserve">) </w:t>
      </w:r>
      <w:r w:rsidR="008732EF" w:rsidRPr="00687DE8">
        <w:rPr>
          <w:szCs w:val="24"/>
          <w:lang w:val="et-EE"/>
        </w:rPr>
        <w:t>L</w:t>
      </w:r>
      <w:r w:rsidRPr="00687DE8">
        <w:rPr>
          <w:szCs w:val="24"/>
          <w:lang w:val="et-EE"/>
        </w:rPr>
        <w:t xml:space="preserve">õike 5 punktides 2 ja 3 viidatud juhul võib voodipäevade maksimaalset arvu suurendada tuberkuloosi ja sõltuvushäire kaksikdiagnoosiga patsiendil tervishoiuteenuse osutaja ja </w:t>
      </w:r>
      <w:r w:rsidR="005023FD" w:rsidRPr="00687DE8">
        <w:rPr>
          <w:szCs w:val="24"/>
          <w:lang w:val="et-EE"/>
        </w:rPr>
        <w:t>Tervisekassa</w:t>
      </w:r>
      <w:r w:rsidRPr="00687DE8">
        <w:rPr>
          <w:szCs w:val="24"/>
          <w:lang w:val="et-EE"/>
        </w:rPr>
        <w:t xml:space="preserve"> vahel ravi rahastamise lepingus kokku</w:t>
      </w:r>
      <w:r w:rsidR="00CB09B8" w:rsidRPr="00687DE8">
        <w:rPr>
          <w:szCs w:val="24"/>
          <w:lang w:val="et-EE"/>
        </w:rPr>
        <w:t xml:space="preserve"> </w:t>
      </w:r>
      <w:r w:rsidRPr="00687DE8">
        <w:rPr>
          <w:szCs w:val="24"/>
          <w:lang w:val="et-EE"/>
        </w:rPr>
        <w:t>lepitud tingimustel juhul, kui on dokumenteeritud senise ravi tulemuslikkus ja põhjendatud ravi jätkamise vajadus.</w:t>
      </w:r>
    </w:p>
    <w:p w14:paraId="28D52BB1" w14:textId="77777777" w:rsidR="00976487" w:rsidRPr="00687DE8" w:rsidRDefault="00976487" w:rsidP="00976487">
      <w:pPr>
        <w:spacing w:after="0" w:line="240" w:lineRule="auto"/>
        <w:jc w:val="both"/>
        <w:divId w:val="1316184749"/>
        <w:rPr>
          <w:szCs w:val="24"/>
        </w:rPr>
      </w:pPr>
    </w:p>
    <w:p w14:paraId="3CEB61A0" w14:textId="22449005" w:rsidR="00976487" w:rsidRPr="00687DE8" w:rsidRDefault="00976487" w:rsidP="00976487">
      <w:pPr>
        <w:spacing w:after="0" w:line="240" w:lineRule="auto"/>
        <w:jc w:val="both"/>
        <w:divId w:val="1316184749"/>
        <w:rPr>
          <w:szCs w:val="24"/>
        </w:rPr>
      </w:pPr>
      <w:r w:rsidRPr="00687DE8">
        <w:rPr>
          <w:szCs w:val="24"/>
        </w:rPr>
        <w:t>(3</w:t>
      </w:r>
      <w:r w:rsidR="00BD6A62" w:rsidRPr="00687DE8">
        <w:rPr>
          <w:szCs w:val="24"/>
        </w:rPr>
        <w:t>5</w:t>
      </w:r>
      <w:r w:rsidRPr="00687DE8">
        <w:rPr>
          <w:szCs w:val="24"/>
        </w:rPr>
        <w:t>) Koodidega 2058 ja 2060 tähistatud tervishoiuteenuste piirhinnad sisaldavad koodidega 7053 ja 7054 tähistatud tervishoiuteenuste kulusid.</w:t>
      </w:r>
    </w:p>
    <w:p w14:paraId="2D0D02F4" w14:textId="77777777" w:rsidR="00976487" w:rsidRPr="00687DE8" w:rsidRDefault="00976487" w:rsidP="00976487">
      <w:pPr>
        <w:spacing w:after="0" w:line="240" w:lineRule="auto"/>
        <w:jc w:val="both"/>
        <w:divId w:val="1316184749"/>
        <w:rPr>
          <w:szCs w:val="24"/>
        </w:rPr>
      </w:pPr>
    </w:p>
    <w:p w14:paraId="67371D96" w14:textId="3B55C564" w:rsidR="00976487" w:rsidRPr="00687DE8" w:rsidRDefault="00976487" w:rsidP="00976487">
      <w:pPr>
        <w:pStyle w:val="Vahedeta"/>
        <w:jc w:val="both"/>
        <w:divId w:val="1316184749"/>
        <w:rPr>
          <w:szCs w:val="24"/>
          <w:lang w:val="et-EE"/>
        </w:rPr>
      </w:pPr>
      <w:r w:rsidRPr="00687DE8">
        <w:rPr>
          <w:szCs w:val="24"/>
          <w:lang w:val="et-EE"/>
        </w:rPr>
        <w:t>(3</w:t>
      </w:r>
      <w:r w:rsidR="00BD6A62" w:rsidRPr="00687DE8">
        <w:rPr>
          <w:szCs w:val="24"/>
          <w:lang w:val="et-EE"/>
        </w:rPr>
        <w:t>6</w:t>
      </w:r>
      <w:r w:rsidRPr="00687DE8">
        <w:rPr>
          <w:szCs w:val="24"/>
          <w:lang w:val="et-EE"/>
        </w:rPr>
        <w:t xml:space="preserve">) </w:t>
      </w:r>
      <w:r w:rsidR="005023FD" w:rsidRPr="00687DE8">
        <w:rPr>
          <w:szCs w:val="24"/>
          <w:lang w:val="et-EE"/>
        </w:rPr>
        <w:t>Tervisekassa</w:t>
      </w:r>
      <w:r w:rsidRPr="00687DE8">
        <w:rPr>
          <w:szCs w:val="24"/>
          <w:lang w:val="et-EE"/>
        </w:rPr>
        <w:t xml:space="preserve"> võtab koodiga 2068 tähistatud tervishoiuteenuse eest tasu maksmise kohustuse üle järgmistel juhtudel:</w:t>
      </w:r>
    </w:p>
    <w:p w14:paraId="4876E041" w14:textId="77777777" w:rsidR="00976487" w:rsidRPr="00687DE8" w:rsidRDefault="00976487" w:rsidP="00976487">
      <w:pPr>
        <w:pStyle w:val="Vahedeta"/>
        <w:jc w:val="both"/>
        <w:divId w:val="1316184749"/>
        <w:rPr>
          <w:szCs w:val="24"/>
          <w:lang w:val="et-EE"/>
        </w:rPr>
      </w:pPr>
      <w:r w:rsidRPr="00687DE8">
        <w:rPr>
          <w:szCs w:val="24"/>
          <w:lang w:val="et-EE"/>
        </w:rPr>
        <w:t>1) ravidokumentides on fikseeritud parima toetava ravi otsus või otsus haigusspetsiifilise ravi lõpetamise kohta (sh konsiiliumi otsus);</w:t>
      </w:r>
    </w:p>
    <w:p w14:paraId="1385F283" w14:textId="77777777" w:rsidR="008732EF" w:rsidRPr="00687DE8" w:rsidRDefault="00976487" w:rsidP="00976487">
      <w:pPr>
        <w:pStyle w:val="Vahedeta"/>
        <w:jc w:val="both"/>
        <w:divId w:val="1316184749"/>
        <w:rPr>
          <w:szCs w:val="24"/>
          <w:lang w:val="et-EE"/>
        </w:rPr>
      </w:pPr>
      <w:r w:rsidRPr="00687DE8">
        <w:rPr>
          <w:szCs w:val="24"/>
          <w:lang w:val="et-EE"/>
        </w:rPr>
        <w:t>2) patsient on hinnatud PPSv2 (</w:t>
      </w:r>
      <w:r w:rsidRPr="00687DE8">
        <w:rPr>
          <w:i/>
          <w:szCs w:val="24"/>
          <w:lang w:val="et-EE"/>
        </w:rPr>
        <w:t>Palliative Performance Scale</w:t>
      </w:r>
      <w:r w:rsidRPr="00687DE8">
        <w:rPr>
          <w:szCs w:val="24"/>
          <w:lang w:val="et-EE"/>
        </w:rPr>
        <w:t>) alusel;</w:t>
      </w:r>
    </w:p>
    <w:p w14:paraId="14B5375A" w14:textId="77777777" w:rsidR="008732EF" w:rsidRPr="00687DE8" w:rsidRDefault="00976487" w:rsidP="00976487">
      <w:pPr>
        <w:pStyle w:val="Vahedeta"/>
        <w:jc w:val="both"/>
        <w:divId w:val="1316184749"/>
        <w:rPr>
          <w:szCs w:val="24"/>
          <w:lang w:val="et-EE"/>
        </w:rPr>
      </w:pPr>
      <w:r w:rsidRPr="00687DE8">
        <w:rPr>
          <w:szCs w:val="24"/>
          <w:lang w:val="et-EE"/>
        </w:rPr>
        <w:t>3) patsiendil on hinnatud hospiitsravi vajaduse indikaatorseisundid;</w:t>
      </w:r>
    </w:p>
    <w:p w14:paraId="07192E2C" w14:textId="77777777" w:rsidR="00976487" w:rsidRPr="00687DE8" w:rsidRDefault="00976487" w:rsidP="00976487">
      <w:pPr>
        <w:pStyle w:val="Vahedeta"/>
        <w:jc w:val="both"/>
        <w:divId w:val="1316184749"/>
        <w:rPr>
          <w:szCs w:val="24"/>
          <w:lang w:val="et-EE"/>
        </w:rPr>
      </w:pPr>
      <w:r w:rsidRPr="00687DE8">
        <w:rPr>
          <w:szCs w:val="24"/>
          <w:lang w:val="et-EE"/>
        </w:rPr>
        <w:t>4) tervishoiuteenuse osutamine toimub hospiitsravi osutamiseks kohandatud palatiplokis, kus töötab palliatiivse ravi ettevalmistusega eriarst ning vähemalt 30% tervishoiuteenust osutavatest õdedest ja hooldajatest on palliatiivse ravi ettevalmistusega. Tagatud on ööpäevaringne eriarsti valmisolek konsulteerida. Vajaduse korral on ravisse kaasatud sotsiaaltöötaja, hingehoidja, psühholoog, füsioterapeut, logopeed või muu patsiendi terviklikuks hoolduseks vajalik spetsialist;</w:t>
      </w:r>
    </w:p>
    <w:p w14:paraId="6C0D037B" w14:textId="77777777" w:rsidR="008732EF" w:rsidRPr="00687DE8" w:rsidRDefault="00976487" w:rsidP="00976487">
      <w:pPr>
        <w:pStyle w:val="Vahedeta"/>
        <w:jc w:val="both"/>
        <w:divId w:val="1316184749"/>
        <w:rPr>
          <w:szCs w:val="24"/>
          <w:lang w:val="et-EE"/>
        </w:rPr>
      </w:pPr>
      <w:r w:rsidRPr="00687DE8">
        <w:rPr>
          <w:szCs w:val="24"/>
          <w:lang w:val="et-EE"/>
        </w:rPr>
        <w:t>5) koodiga 2068 tähistatud tervishoiuteenusele rakendatakse koodiga 7765 tähistatud tervishoiuteenust, kui osutub vajalikuks patsiendi kontrollitud analgeesiaseadme paigaldus;</w:t>
      </w:r>
    </w:p>
    <w:p w14:paraId="4A4B7A0C" w14:textId="77777777" w:rsidR="008732EF" w:rsidRPr="00687DE8" w:rsidRDefault="00976487" w:rsidP="00D245D1">
      <w:pPr>
        <w:pStyle w:val="Vahedeta"/>
        <w:jc w:val="both"/>
        <w:divId w:val="1316184749"/>
        <w:rPr>
          <w:szCs w:val="24"/>
          <w:lang w:val="et-EE"/>
        </w:rPr>
      </w:pPr>
      <w:r w:rsidRPr="00687DE8">
        <w:rPr>
          <w:szCs w:val="24"/>
          <w:lang w:val="et-EE"/>
        </w:rPr>
        <w:t>6) koodiga 2068 tähistatud tervishoiuteenuse voodipäevade maksimumarvu võib pikendada, kui on toimunud uus hindamine punktides 1–3 nimetatud tingimustel;</w:t>
      </w:r>
    </w:p>
    <w:p w14:paraId="4C95FBA5" w14:textId="481FDF40" w:rsidR="00445B26" w:rsidRPr="00687DE8" w:rsidRDefault="00976487" w:rsidP="00D245D1">
      <w:pPr>
        <w:spacing w:after="0" w:line="240" w:lineRule="auto"/>
        <w:jc w:val="both"/>
        <w:divId w:val="1316184749"/>
        <w:rPr>
          <w:szCs w:val="24"/>
        </w:rPr>
      </w:pPr>
      <w:r w:rsidRPr="00687DE8">
        <w:rPr>
          <w:szCs w:val="24"/>
        </w:rPr>
        <w:t>7) koodiga 2068 tähistatud tervishoiuteenusega koos ei rakendata koodiga 7142 tähistatud teenust.</w:t>
      </w:r>
    </w:p>
    <w:p w14:paraId="30E3C840" w14:textId="77777777" w:rsidR="00AE2237" w:rsidRPr="00687DE8" w:rsidRDefault="00AE2237" w:rsidP="00D245D1">
      <w:pPr>
        <w:spacing w:after="0" w:line="240" w:lineRule="auto"/>
        <w:jc w:val="both"/>
        <w:divId w:val="1316184749"/>
        <w:rPr>
          <w:szCs w:val="24"/>
        </w:rPr>
      </w:pPr>
    </w:p>
    <w:p w14:paraId="2D861AE4" w14:textId="6482624B" w:rsidR="00AE2237" w:rsidRPr="00687DE8" w:rsidRDefault="00AE2237" w:rsidP="00D245D1">
      <w:pPr>
        <w:spacing w:after="0" w:line="240" w:lineRule="auto"/>
        <w:jc w:val="both"/>
        <w:divId w:val="1316184749"/>
        <w:rPr>
          <w:szCs w:val="24"/>
        </w:rPr>
      </w:pPr>
      <w:r w:rsidRPr="00687DE8">
        <w:rPr>
          <w:szCs w:val="24"/>
        </w:rPr>
        <w:t>(3</w:t>
      </w:r>
      <w:r w:rsidR="00BD6A62" w:rsidRPr="00687DE8">
        <w:rPr>
          <w:szCs w:val="24"/>
        </w:rPr>
        <w:t>7</w:t>
      </w:r>
      <w:r w:rsidRPr="00687DE8">
        <w:rPr>
          <w:szCs w:val="24"/>
        </w:rPr>
        <w:t xml:space="preserve">) </w:t>
      </w:r>
      <w:r w:rsidR="005F397F" w:rsidRPr="00687DE8">
        <w:rPr>
          <w:szCs w:val="24"/>
        </w:rPr>
        <w:t>Koodiga 2058 tähistatud tervishoiuteenuse piirhinda rakendatakse kohtu määratud psühhiaatrilise statsionaarse sundravi korral koefitsiendiga 0,72. Teenus sisaldab kõiki kohtu määratud psühhiaatrilise statsionaarse sundravi</w:t>
      </w:r>
      <w:r w:rsidR="002731C4" w:rsidRPr="00687DE8">
        <w:rPr>
          <w:szCs w:val="24"/>
        </w:rPr>
        <w:t>ga</w:t>
      </w:r>
      <w:r w:rsidR="005F397F" w:rsidRPr="00687DE8">
        <w:rPr>
          <w:szCs w:val="24"/>
        </w:rPr>
        <w:t xml:space="preserve"> seotud kulusid.</w:t>
      </w:r>
    </w:p>
    <w:p w14:paraId="6CB18E7C" w14:textId="77777777" w:rsidR="003066E3" w:rsidRDefault="003066E3" w:rsidP="00D245D1">
      <w:pPr>
        <w:spacing w:after="0" w:line="240" w:lineRule="auto"/>
        <w:jc w:val="both"/>
        <w:divId w:val="1316184749"/>
        <w:rPr>
          <w:szCs w:val="24"/>
        </w:rPr>
      </w:pPr>
    </w:p>
    <w:p w14:paraId="5D08C535" w14:textId="37BCDAD2" w:rsidR="00150545" w:rsidRPr="00490626" w:rsidRDefault="00150545" w:rsidP="00150545">
      <w:pPr>
        <w:spacing w:after="0" w:line="240" w:lineRule="auto"/>
        <w:jc w:val="both"/>
        <w:divId w:val="1316184749"/>
      </w:pPr>
      <w:r>
        <w:t>(38) Koodiga 2075 tähistatud tervishoiuteenust rakendatakse vähemalt 19-aastase isiku ägeda isheemilise või hemorraagilise insuldi ravi korral, k</w:t>
      </w:r>
      <w:r w:rsidR="001105D4">
        <w:t>ui</w:t>
      </w:r>
      <w:r>
        <w:t xml:space="preserve"> raviarvele on märgitud põhi</w:t>
      </w:r>
      <w:r w:rsidR="006A4A92">
        <w:t>diagnoosi</w:t>
      </w:r>
      <w:r w:rsidR="00A2120B">
        <w:t xml:space="preserve"> või kaasuva </w:t>
      </w:r>
      <w:r>
        <w:t>diagnoosi kood vahemikus I60.0</w:t>
      </w:r>
      <w:r w:rsidR="00DA2A65">
        <w:t>–</w:t>
      </w:r>
      <w:r>
        <w:t>I64 ja tunnus 5.</w:t>
      </w:r>
    </w:p>
    <w:p w14:paraId="4FF5CC94" w14:textId="77777777" w:rsidR="00150545" w:rsidRPr="00687DE8" w:rsidRDefault="00150545" w:rsidP="00D245D1">
      <w:pPr>
        <w:spacing w:after="0" w:line="240" w:lineRule="auto"/>
        <w:jc w:val="both"/>
        <w:divId w:val="1316184749"/>
        <w:rPr>
          <w:szCs w:val="24"/>
        </w:rPr>
      </w:pPr>
    </w:p>
    <w:p w14:paraId="7569D70A" w14:textId="76B1E84E" w:rsidR="003066E3" w:rsidRPr="00490626" w:rsidRDefault="003066E3" w:rsidP="003066E3">
      <w:pPr>
        <w:spacing w:after="0" w:line="240" w:lineRule="auto"/>
        <w:jc w:val="both"/>
        <w:divId w:val="1316184749"/>
        <w:rPr>
          <w:szCs w:val="24"/>
        </w:rPr>
      </w:pPr>
      <w:r w:rsidRPr="003066E3">
        <w:rPr>
          <w:szCs w:val="24"/>
        </w:rPr>
        <w:t xml:space="preserve">(39) Tervisekassa võtab koodiga 2075 tähistatud tervishoiuteenuse eest tasu maksmise kohustuse üle juhul, kui </w:t>
      </w:r>
      <w:r w:rsidR="00304BB3">
        <w:rPr>
          <w:szCs w:val="24"/>
        </w:rPr>
        <w:t>teenust osutatakse</w:t>
      </w:r>
      <w:r w:rsidRPr="003066E3">
        <w:rPr>
          <w:szCs w:val="24"/>
        </w:rPr>
        <w:t xml:space="preserve"> </w:t>
      </w:r>
      <w:r w:rsidR="007C252B">
        <w:rPr>
          <w:szCs w:val="24"/>
        </w:rPr>
        <w:t>haiglate loetelus nimetatud</w:t>
      </w:r>
      <w:r w:rsidR="00FB7572">
        <w:rPr>
          <w:szCs w:val="24"/>
        </w:rPr>
        <w:t xml:space="preserve"> piirkondlikus või keskhaiglas.</w:t>
      </w:r>
    </w:p>
    <w:p w14:paraId="0CC255ED" w14:textId="77777777" w:rsidR="00445B26" w:rsidRPr="00687DE8" w:rsidRDefault="00445B26" w:rsidP="00D245D1">
      <w:pPr>
        <w:spacing w:after="0" w:line="240" w:lineRule="auto"/>
        <w:jc w:val="both"/>
        <w:divId w:val="1316184749"/>
        <w:rPr>
          <w:szCs w:val="24"/>
        </w:rPr>
      </w:pPr>
    </w:p>
    <w:p w14:paraId="16672850" w14:textId="77777777" w:rsidR="00976487" w:rsidRDefault="00976487" w:rsidP="00976487">
      <w:pPr>
        <w:spacing w:after="0" w:line="240" w:lineRule="auto"/>
        <w:outlineLvl w:val="2"/>
        <w:divId w:val="1316184749"/>
        <w:rPr>
          <w:b/>
          <w:szCs w:val="24"/>
        </w:rPr>
      </w:pPr>
      <w:r w:rsidRPr="00687DE8">
        <w:rPr>
          <w:b/>
          <w:szCs w:val="24"/>
        </w:rPr>
        <w:t>§ 1</w:t>
      </w:r>
      <w:r w:rsidR="00EF4EA9" w:rsidRPr="00687DE8">
        <w:rPr>
          <w:b/>
          <w:szCs w:val="24"/>
        </w:rPr>
        <w:t>6</w:t>
      </w:r>
      <w:r w:rsidRPr="00687DE8">
        <w:rPr>
          <w:b/>
          <w:szCs w:val="24"/>
        </w:rPr>
        <w:t>. Statsionaarne taastusravi</w:t>
      </w:r>
    </w:p>
    <w:p w14:paraId="130507BD" w14:textId="77777777" w:rsidR="00D622B8" w:rsidRDefault="00D622B8" w:rsidP="00976487">
      <w:pPr>
        <w:spacing w:after="0" w:line="240" w:lineRule="auto"/>
        <w:jc w:val="both"/>
        <w:divId w:val="1316184749"/>
        <w:rPr>
          <w:szCs w:val="24"/>
        </w:rPr>
      </w:pPr>
    </w:p>
    <w:p w14:paraId="0E8235EB" w14:textId="440BC804" w:rsidR="00976487" w:rsidRPr="00687DE8" w:rsidRDefault="00976487" w:rsidP="00976487">
      <w:pPr>
        <w:spacing w:after="0" w:line="240" w:lineRule="auto"/>
        <w:jc w:val="both"/>
        <w:divId w:val="1316184749"/>
        <w:rPr>
          <w:szCs w:val="24"/>
        </w:rPr>
      </w:pPr>
      <w:r w:rsidRPr="00687DE8">
        <w:rPr>
          <w:szCs w:val="24"/>
        </w:rPr>
        <w:t>(1) Statsionaarse taastusravi voodipäevade maksimaalne arv ja piirhinnad</w:t>
      </w:r>
      <w:r w:rsidR="00B130AA" w:rsidRPr="00687DE8">
        <w:rPr>
          <w:szCs w:val="24"/>
        </w:rPr>
        <w:t xml:space="preserve"> ning</w:t>
      </w:r>
      <w:r w:rsidRPr="00687DE8">
        <w:rPr>
          <w:szCs w:val="24"/>
        </w:rPr>
        <w:t xml:space="preserve"> ülevõetava tasu maksmise kohustuse piirmäär</w:t>
      </w:r>
      <w:r w:rsidR="008E11CE" w:rsidRPr="00687DE8">
        <w:rPr>
          <w:szCs w:val="24"/>
        </w:rPr>
        <w:t>ad</w:t>
      </w:r>
      <w:r w:rsidRPr="00687DE8">
        <w:rPr>
          <w:szCs w:val="24"/>
        </w:rPr>
        <w:t xml:space="preserve"> on järgmised:</w:t>
      </w:r>
    </w:p>
    <w:p w14:paraId="345B3C55" w14:textId="77777777" w:rsidR="00976487" w:rsidRPr="00687DE8" w:rsidRDefault="00976487" w:rsidP="00976487">
      <w:pPr>
        <w:spacing w:after="0" w:line="240" w:lineRule="auto"/>
        <w:divId w:val="1316184749"/>
        <w:rPr>
          <w:szCs w:val="24"/>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928"/>
        <w:gridCol w:w="1259"/>
        <w:gridCol w:w="1853"/>
        <w:gridCol w:w="1556"/>
      </w:tblGrid>
      <w:tr w:rsidR="00640D26" w:rsidRPr="00687DE8" w14:paraId="55ECC291" w14:textId="77777777" w:rsidTr="00BF13D8">
        <w:trPr>
          <w:divId w:val="1316184749"/>
          <w:tblHeader/>
        </w:trPr>
        <w:tc>
          <w:tcPr>
            <w:tcW w:w="200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26590E" w14:textId="77777777" w:rsidR="00640D26" w:rsidRPr="00687DE8" w:rsidRDefault="00640D26">
            <w:pPr>
              <w:spacing w:after="0" w:line="240" w:lineRule="auto"/>
              <w:jc w:val="center"/>
              <w:rPr>
                <w:szCs w:val="24"/>
              </w:rPr>
            </w:pPr>
            <w:r w:rsidRPr="00687DE8">
              <w:rPr>
                <w:b/>
                <w:szCs w:val="24"/>
              </w:rPr>
              <w:lastRenderedPageBreak/>
              <w:t>Tervishoiuteenuse nimetus</w:t>
            </w:r>
          </w:p>
        </w:tc>
        <w:tc>
          <w:tcPr>
            <w:tcW w:w="49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332F32" w14:textId="77777777" w:rsidR="00640D26" w:rsidRPr="00687DE8" w:rsidRDefault="00640D26">
            <w:pPr>
              <w:spacing w:after="0" w:line="240" w:lineRule="auto"/>
              <w:jc w:val="center"/>
              <w:rPr>
                <w:szCs w:val="24"/>
              </w:rPr>
            </w:pPr>
            <w:r w:rsidRPr="00687DE8">
              <w:rPr>
                <w:b/>
                <w:szCs w:val="24"/>
              </w:rPr>
              <w:t>Kood</w:t>
            </w:r>
          </w:p>
        </w:tc>
        <w:tc>
          <w:tcPr>
            <w:tcW w:w="6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A68B73" w14:textId="77777777" w:rsidR="00640D26" w:rsidRPr="00687DE8" w:rsidRDefault="00640D26">
            <w:pPr>
              <w:spacing w:after="0" w:line="240" w:lineRule="auto"/>
              <w:jc w:val="center"/>
              <w:rPr>
                <w:szCs w:val="24"/>
              </w:rPr>
            </w:pPr>
            <w:r w:rsidRPr="00687DE8">
              <w:rPr>
                <w:b/>
                <w:szCs w:val="24"/>
              </w:rPr>
              <w:t>Voodi-</w:t>
            </w:r>
            <w:r w:rsidRPr="00687DE8">
              <w:rPr>
                <w:szCs w:val="24"/>
              </w:rPr>
              <w:br/>
            </w:r>
            <w:r w:rsidRPr="00687DE8">
              <w:rPr>
                <w:b/>
                <w:szCs w:val="24"/>
              </w:rPr>
              <w:t>päevade</w:t>
            </w:r>
            <w:r w:rsidRPr="00687DE8">
              <w:rPr>
                <w:szCs w:val="24"/>
              </w:rPr>
              <w:br/>
            </w:r>
            <w:r w:rsidRPr="00687DE8">
              <w:rPr>
                <w:b/>
                <w:szCs w:val="24"/>
              </w:rPr>
              <w:t>maksimum-</w:t>
            </w:r>
            <w:r w:rsidRPr="00687DE8">
              <w:rPr>
                <w:szCs w:val="24"/>
              </w:rPr>
              <w:br/>
            </w:r>
            <w:r w:rsidRPr="00687DE8">
              <w:rPr>
                <w:b/>
                <w:szCs w:val="24"/>
              </w:rPr>
              <w:t>arv</w:t>
            </w:r>
          </w:p>
        </w:tc>
        <w:tc>
          <w:tcPr>
            <w:tcW w:w="99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407F09" w14:textId="77777777" w:rsidR="00640D26" w:rsidRPr="00687DE8" w:rsidRDefault="00640D26">
            <w:pPr>
              <w:spacing w:after="0" w:line="240" w:lineRule="auto"/>
              <w:jc w:val="center"/>
              <w:rPr>
                <w:szCs w:val="24"/>
              </w:rPr>
            </w:pPr>
            <w:r w:rsidRPr="00687DE8">
              <w:rPr>
                <w:b/>
                <w:szCs w:val="24"/>
              </w:rPr>
              <w:t>Ülevõetava tasu</w:t>
            </w:r>
            <w:r w:rsidRPr="00687DE8">
              <w:rPr>
                <w:szCs w:val="24"/>
              </w:rPr>
              <w:br/>
            </w:r>
            <w:r w:rsidRPr="00687DE8">
              <w:rPr>
                <w:b/>
                <w:szCs w:val="24"/>
              </w:rPr>
              <w:t>maksmise</w:t>
            </w:r>
            <w:r w:rsidRPr="00687DE8">
              <w:rPr>
                <w:szCs w:val="24"/>
              </w:rPr>
              <w:br/>
            </w:r>
            <w:r w:rsidRPr="00687DE8">
              <w:rPr>
                <w:b/>
                <w:szCs w:val="24"/>
              </w:rPr>
              <w:t>kohustuse piirmäär</w:t>
            </w:r>
            <w:r w:rsidRPr="00687DE8">
              <w:rPr>
                <w:szCs w:val="24"/>
              </w:rPr>
              <w:br/>
            </w:r>
            <w:r w:rsidRPr="00687DE8">
              <w:rPr>
                <w:b/>
                <w:szCs w:val="24"/>
              </w:rPr>
              <w:t>(% voodipäeva</w:t>
            </w:r>
            <w:r w:rsidRPr="00687DE8">
              <w:rPr>
                <w:szCs w:val="24"/>
              </w:rPr>
              <w:br/>
            </w:r>
            <w:r w:rsidRPr="00687DE8">
              <w:rPr>
                <w:b/>
                <w:szCs w:val="24"/>
              </w:rPr>
              <w:t>piirhinnast)</w:t>
            </w:r>
          </w:p>
        </w:tc>
        <w:tc>
          <w:tcPr>
            <w:tcW w:w="83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566850" w14:textId="77777777" w:rsidR="00640D26" w:rsidRPr="00687DE8" w:rsidRDefault="00640D26">
            <w:pPr>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4A407C" w:rsidRPr="00687DE8" w14:paraId="38F305EB" w14:textId="77777777" w:rsidTr="00D30B8D">
        <w:trPr>
          <w:divId w:val="1316184749"/>
          <w:trHeight w:val="300"/>
        </w:trPr>
        <w:tc>
          <w:tcPr>
            <w:tcW w:w="200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F11807" w14:textId="77777777" w:rsidR="004A407C" w:rsidRPr="00687DE8" w:rsidRDefault="004A407C" w:rsidP="004A407C">
            <w:pPr>
              <w:spacing w:after="0" w:line="240" w:lineRule="auto"/>
              <w:rPr>
                <w:szCs w:val="24"/>
              </w:rPr>
            </w:pPr>
            <w:r w:rsidRPr="00687DE8">
              <w:rPr>
                <w:szCs w:val="24"/>
              </w:rPr>
              <w:t>Intensiivne funktsioone taastav taastusravi</w:t>
            </w:r>
          </w:p>
        </w:tc>
        <w:tc>
          <w:tcPr>
            <w:tcW w:w="49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33BF34" w14:textId="77777777" w:rsidR="004A407C" w:rsidRPr="00687DE8" w:rsidRDefault="004A407C" w:rsidP="004A407C">
            <w:pPr>
              <w:spacing w:after="0" w:line="240" w:lineRule="auto"/>
              <w:jc w:val="center"/>
              <w:rPr>
                <w:szCs w:val="24"/>
              </w:rPr>
            </w:pPr>
          </w:p>
          <w:p w14:paraId="4E3AEEB4" w14:textId="77777777" w:rsidR="004A407C" w:rsidRPr="00687DE8" w:rsidRDefault="004A407C" w:rsidP="004A407C">
            <w:pPr>
              <w:spacing w:after="0" w:line="240" w:lineRule="auto"/>
              <w:jc w:val="center"/>
              <w:rPr>
                <w:szCs w:val="24"/>
              </w:rPr>
            </w:pPr>
            <w:r w:rsidRPr="00687DE8">
              <w:rPr>
                <w:szCs w:val="24"/>
              </w:rPr>
              <w:t>8029</w:t>
            </w:r>
          </w:p>
        </w:tc>
        <w:tc>
          <w:tcPr>
            <w:tcW w:w="6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E44DCD" w14:textId="77777777" w:rsidR="004A407C" w:rsidRPr="00687DE8" w:rsidRDefault="004A407C" w:rsidP="004A407C">
            <w:pPr>
              <w:spacing w:after="0" w:line="240" w:lineRule="auto"/>
              <w:jc w:val="center"/>
              <w:rPr>
                <w:szCs w:val="24"/>
              </w:rPr>
            </w:pPr>
          </w:p>
          <w:p w14:paraId="62898637" w14:textId="77777777" w:rsidR="004A407C" w:rsidRPr="00687DE8" w:rsidRDefault="004A407C" w:rsidP="004A407C">
            <w:pPr>
              <w:spacing w:after="0" w:line="240" w:lineRule="auto"/>
              <w:jc w:val="center"/>
              <w:rPr>
                <w:szCs w:val="24"/>
              </w:rPr>
            </w:pPr>
            <w:r w:rsidRPr="00687DE8">
              <w:rPr>
                <w:szCs w:val="24"/>
              </w:rPr>
              <w:t>21</w:t>
            </w:r>
          </w:p>
        </w:tc>
        <w:tc>
          <w:tcPr>
            <w:tcW w:w="99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EED687" w14:textId="77777777" w:rsidR="004A407C" w:rsidRPr="00687DE8" w:rsidRDefault="004A407C" w:rsidP="004A407C">
            <w:pPr>
              <w:spacing w:after="0" w:line="240" w:lineRule="auto"/>
              <w:jc w:val="center"/>
              <w:rPr>
                <w:szCs w:val="24"/>
              </w:rPr>
            </w:pPr>
          </w:p>
          <w:p w14:paraId="75A8DE1E" w14:textId="77777777" w:rsidR="004A407C" w:rsidRPr="00687DE8" w:rsidRDefault="004A407C" w:rsidP="004A407C">
            <w:pPr>
              <w:spacing w:after="0" w:line="240" w:lineRule="auto"/>
              <w:jc w:val="center"/>
              <w:rPr>
                <w:szCs w:val="24"/>
              </w:rPr>
            </w:pPr>
            <w:r w:rsidRPr="00687DE8">
              <w:rPr>
                <w:szCs w:val="24"/>
              </w:rPr>
              <w:t>100</w:t>
            </w:r>
          </w:p>
        </w:tc>
        <w:tc>
          <w:tcPr>
            <w:tcW w:w="83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4CC7F6" w14:textId="6759260A" w:rsidR="004A407C" w:rsidRPr="00687DE8" w:rsidRDefault="00A137DD" w:rsidP="004A407C">
            <w:pPr>
              <w:spacing w:after="0"/>
              <w:jc w:val="center"/>
              <w:rPr>
                <w:color w:val="000000" w:themeColor="text1"/>
                <w:szCs w:val="24"/>
              </w:rPr>
            </w:pPr>
            <w:r>
              <w:rPr>
                <w:color w:val="000000"/>
              </w:rPr>
              <w:t>257,29</w:t>
            </w:r>
          </w:p>
        </w:tc>
      </w:tr>
      <w:tr w:rsidR="004A407C" w:rsidRPr="00687DE8" w14:paraId="125119AF" w14:textId="77777777" w:rsidTr="00D30B8D">
        <w:trPr>
          <w:divId w:val="1316184749"/>
          <w:trHeight w:val="250"/>
        </w:trPr>
        <w:tc>
          <w:tcPr>
            <w:tcW w:w="200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E36E86D" w14:textId="77777777" w:rsidR="004A407C" w:rsidRPr="00687DE8" w:rsidRDefault="004A407C" w:rsidP="004A407C">
            <w:pPr>
              <w:spacing w:after="0" w:line="240" w:lineRule="auto"/>
              <w:rPr>
                <w:szCs w:val="24"/>
              </w:rPr>
            </w:pPr>
            <w:r w:rsidRPr="00687DE8">
              <w:rPr>
                <w:szCs w:val="24"/>
              </w:rPr>
              <w:t>Funktsioone taastav taastusravi</w:t>
            </w:r>
          </w:p>
        </w:tc>
        <w:tc>
          <w:tcPr>
            <w:tcW w:w="49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7F988D" w14:textId="77777777" w:rsidR="004A407C" w:rsidRPr="00687DE8" w:rsidRDefault="004A407C" w:rsidP="004A407C">
            <w:pPr>
              <w:spacing w:after="0" w:line="240" w:lineRule="auto"/>
              <w:jc w:val="center"/>
              <w:rPr>
                <w:szCs w:val="24"/>
              </w:rPr>
            </w:pPr>
          </w:p>
          <w:p w14:paraId="690C5C32" w14:textId="77777777" w:rsidR="004A407C" w:rsidRPr="00687DE8" w:rsidRDefault="004A407C" w:rsidP="004A407C">
            <w:pPr>
              <w:spacing w:after="0" w:line="240" w:lineRule="auto"/>
              <w:jc w:val="center"/>
              <w:rPr>
                <w:szCs w:val="24"/>
              </w:rPr>
            </w:pPr>
            <w:r w:rsidRPr="00687DE8">
              <w:rPr>
                <w:szCs w:val="24"/>
              </w:rPr>
              <w:t>8028</w:t>
            </w:r>
          </w:p>
        </w:tc>
        <w:tc>
          <w:tcPr>
            <w:tcW w:w="6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39D77D" w14:textId="77777777" w:rsidR="004A407C" w:rsidRPr="00687DE8" w:rsidRDefault="004A407C" w:rsidP="004A407C">
            <w:pPr>
              <w:spacing w:after="0" w:line="240" w:lineRule="auto"/>
              <w:jc w:val="center"/>
              <w:rPr>
                <w:szCs w:val="24"/>
              </w:rPr>
            </w:pPr>
          </w:p>
          <w:p w14:paraId="380C8A69" w14:textId="77777777" w:rsidR="004A407C" w:rsidRPr="00687DE8" w:rsidRDefault="004A407C" w:rsidP="004A407C">
            <w:pPr>
              <w:spacing w:after="0" w:line="240" w:lineRule="auto"/>
              <w:jc w:val="center"/>
              <w:rPr>
                <w:szCs w:val="24"/>
              </w:rPr>
            </w:pPr>
            <w:r w:rsidRPr="00687DE8">
              <w:rPr>
                <w:szCs w:val="24"/>
              </w:rPr>
              <w:t>14</w:t>
            </w:r>
          </w:p>
        </w:tc>
        <w:tc>
          <w:tcPr>
            <w:tcW w:w="99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26BA3B" w14:textId="77777777" w:rsidR="004A407C" w:rsidRPr="00687DE8" w:rsidRDefault="004A407C" w:rsidP="004A407C">
            <w:pPr>
              <w:spacing w:after="0" w:line="240" w:lineRule="auto"/>
              <w:jc w:val="center"/>
              <w:rPr>
                <w:szCs w:val="24"/>
              </w:rPr>
            </w:pPr>
          </w:p>
          <w:p w14:paraId="6CC34C56" w14:textId="77777777" w:rsidR="004A407C" w:rsidRPr="00687DE8" w:rsidRDefault="004A407C" w:rsidP="004A407C">
            <w:pPr>
              <w:spacing w:after="0" w:line="240" w:lineRule="auto"/>
              <w:jc w:val="center"/>
              <w:rPr>
                <w:szCs w:val="24"/>
              </w:rPr>
            </w:pPr>
            <w:r w:rsidRPr="00687DE8">
              <w:rPr>
                <w:szCs w:val="24"/>
              </w:rPr>
              <w:t>100</w:t>
            </w:r>
          </w:p>
        </w:tc>
        <w:tc>
          <w:tcPr>
            <w:tcW w:w="832"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517FD68" w14:textId="62153AF4" w:rsidR="004A407C" w:rsidRPr="00687DE8" w:rsidRDefault="00A137DD" w:rsidP="004A407C">
            <w:pPr>
              <w:spacing w:after="0"/>
              <w:jc w:val="center"/>
              <w:rPr>
                <w:color w:val="000000" w:themeColor="text1"/>
                <w:szCs w:val="24"/>
              </w:rPr>
            </w:pPr>
            <w:r>
              <w:rPr>
                <w:color w:val="000000"/>
              </w:rPr>
              <w:t>169,19</w:t>
            </w:r>
          </w:p>
        </w:tc>
      </w:tr>
      <w:tr w:rsidR="004A407C" w:rsidRPr="00687DE8" w14:paraId="34BEDA55" w14:textId="77777777" w:rsidTr="00D30B8D">
        <w:trPr>
          <w:divId w:val="1316184749"/>
          <w:trHeight w:val="300"/>
        </w:trPr>
        <w:tc>
          <w:tcPr>
            <w:tcW w:w="200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53045F" w14:textId="77777777" w:rsidR="004A407C" w:rsidRPr="00687DE8" w:rsidRDefault="004A407C" w:rsidP="004A407C">
            <w:pPr>
              <w:spacing w:after="0" w:line="240" w:lineRule="auto"/>
              <w:rPr>
                <w:szCs w:val="24"/>
              </w:rPr>
            </w:pPr>
            <w:r w:rsidRPr="00687DE8">
              <w:rPr>
                <w:szCs w:val="24"/>
              </w:rPr>
              <w:t>Funktsioone toetav taastusravi (vähemalt 19-aastasele isikule)</w:t>
            </w:r>
          </w:p>
        </w:tc>
        <w:tc>
          <w:tcPr>
            <w:tcW w:w="49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DB9A63" w14:textId="77777777" w:rsidR="004A407C" w:rsidRPr="00687DE8" w:rsidRDefault="004A407C" w:rsidP="004A407C">
            <w:pPr>
              <w:spacing w:after="0" w:line="240" w:lineRule="auto"/>
              <w:jc w:val="center"/>
              <w:rPr>
                <w:szCs w:val="24"/>
              </w:rPr>
            </w:pPr>
          </w:p>
          <w:p w14:paraId="2EBE94B1" w14:textId="77777777" w:rsidR="004A407C" w:rsidRPr="00687DE8" w:rsidRDefault="004A407C" w:rsidP="004A407C">
            <w:pPr>
              <w:spacing w:after="0" w:line="240" w:lineRule="auto"/>
              <w:jc w:val="center"/>
              <w:rPr>
                <w:szCs w:val="24"/>
              </w:rPr>
            </w:pPr>
            <w:r w:rsidRPr="00687DE8">
              <w:rPr>
                <w:szCs w:val="24"/>
              </w:rPr>
              <w:t>8030</w:t>
            </w:r>
          </w:p>
        </w:tc>
        <w:tc>
          <w:tcPr>
            <w:tcW w:w="6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5B2423" w14:textId="77777777" w:rsidR="004A407C" w:rsidRPr="00687DE8" w:rsidRDefault="004A407C" w:rsidP="004A407C">
            <w:pPr>
              <w:spacing w:after="0" w:line="240" w:lineRule="auto"/>
              <w:jc w:val="center"/>
              <w:rPr>
                <w:szCs w:val="24"/>
              </w:rPr>
            </w:pPr>
          </w:p>
          <w:p w14:paraId="23864AC1" w14:textId="77777777" w:rsidR="004A407C" w:rsidRPr="00687DE8" w:rsidRDefault="004A407C" w:rsidP="004A407C">
            <w:pPr>
              <w:spacing w:after="0" w:line="240" w:lineRule="auto"/>
              <w:jc w:val="center"/>
              <w:rPr>
                <w:szCs w:val="24"/>
              </w:rPr>
            </w:pPr>
            <w:r w:rsidRPr="00687DE8">
              <w:rPr>
                <w:szCs w:val="24"/>
              </w:rPr>
              <w:t>10</w:t>
            </w:r>
          </w:p>
        </w:tc>
        <w:tc>
          <w:tcPr>
            <w:tcW w:w="99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EE8123" w14:textId="77777777" w:rsidR="004A407C" w:rsidRPr="00687DE8" w:rsidRDefault="004A407C" w:rsidP="004A407C">
            <w:pPr>
              <w:spacing w:after="0" w:line="240" w:lineRule="auto"/>
              <w:jc w:val="center"/>
              <w:rPr>
                <w:szCs w:val="24"/>
              </w:rPr>
            </w:pPr>
          </w:p>
          <w:p w14:paraId="65DD104D" w14:textId="77777777" w:rsidR="004A407C" w:rsidRPr="00687DE8" w:rsidRDefault="004A407C" w:rsidP="004A407C">
            <w:pPr>
              <w:spacing w:after="0" w:line="240" w:lineRule="auto"/>
              <w:jc w:val="center"/>
              <w:rPr>
                <w:szCs w:val="24"/>
              </w:rPr>
            </w:pPr>
            <w:r w:rsidRPr="00687DE8">
              <w:rPr>
                <w:szCs w:val="24"/>
              </w:rPr>
              <w:t>100</w:t>
            </w:r>
          </w:p>
        </w:tc>
        <w:tc>
          <w:tcPr>
            <w:tcW w:w="832"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990F7AC" w14:textId="63837D01" w:rsidR="004A407C" w:rsidRPr="00687DE8" w:rsidRDefault="00A137DD" w:rsidP="004A407C">
            <w:pPr>
              <w:spacing w:after="0"/>
              <w:jc w:val="center"/>
              <w:rPr>
                <w:color w:val="000000" w:themeColor="text1"/>
                <w:szCs w:val="24"/>
              </w:rPr>
            </w:pPr>
            <w:r>
              <w:rPr>
                <w:color w:val="000000"/>
              </w:rPr>
              <w:t>169,19</w:t>
            </w:r>
          </w:p>
        </w:tc>
      </w:tr>
      <w:tr w:rsidR="004A407C" w:rsidRPr="00687DE8" w14:paraId="51BC6CBC" w14:textId="77777777" w:rsidTr="00D30B8D">
        <w:trPr>
          <w:divId w:val="1316184749"/>
          <w:trHeight w:val="300"/>
        </w:trPr>
        <w:tc>
          <w:tcPr>
            <w:tcW w:w="200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CACFEA" w14:textId="77777777" w:rsidR="004A407C" w:rsidRPr="00687DE8" w:rsidRDefault="004A407C" w:rsidP="004A407C">
            <w:pPr>
              <w:spacing w:after="0" w:line="240" w:lineRule="auto"/>
              <w:rPr>
                <w:szCs w:val="24"/>
              </w:rPr>
            </w:pPr>
            <w:r w:rsidRPr="00687DE8">
              <w:rPr>
                <w:szCs w:val="24"/>
              </w:rPr>
              <w:t>Funktsioone toetav taastusravi (alla 19-aastasele isikule)</w:t>
            </w:r>
          </w:p>
        </w:tc>
        <w:tc>
          <w:tcPr>
            <w:tcW w:w="49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97001A" w14:textId="77777777" w:rsidR="004A407C" w:rsidRPr="00687DE8" w:rsidRDefault="004A407C" w:rsidP="004A407C">
            <w:pPr>
              <w:spacing w:after="0" w:line="240" w:lineRule="auto"/>
              <w:jc w:val="center"/>
              <w:rPr>
                <w:szCs w:val="24"/>
              </w:rPr>
            </w:pPr>
          </w:p>
          <w:p w14:paraId="36EBB2D9" w14:textId="77777777" w:rsidR="004A407C" w:rsidRPr="00687DE8" w:rsidRDefault="004A407C" w:rsidP="004A407C">
            <w:pPr>
              <w:spacing w:after="0" w:line="240" w:lineRule="auto"/>
              <w:jc w:val="center"/>
              <w:rPr>
                <w:szCs w:val="24"/>
              </w:rPr>
            </w:pPr>
            <w:r w:rsidRPr="00687DE8">
              <w:rPr>
                <w:szCs w:val="24"/>
              </w:rPr>
              <w:t>8031</w:t>
            </w:r>
          </w:p>
        </w:tc>
        <w:tc>
          <w:tcPr>
            <w:tcW w:w="6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38FAAA" w14:textId="77777777" w:rsidR="004A407C" w:rsidRPr="00687DE8" w:rsidRDefault="004A407C" w:rsidP="004A407C">
            <w:pPr>
              <w:spacing w:after="0" w:line="240" w:lineRule="auto"/>
              <w:jc w:val="center"/>
              <w:rPr>
                <w:szCs w:val="24"/>
              </w:rPr>
            </w:pPr>
          </w:p>
          <w:p w14:paraId="23F4F858" w14:textId="77777777" w:rsidR="004A407C" w:rsidRPr="00687DE8" w:rsidRDefault="004A407C" w:rsidP="004A407C">
            <w:pPr>
              <w:spacing w:after="0" w:line="240" w:lineRule="auto"/>
              <w:jc w:val="center"/>
              <w:rPr>
                <w:szCs w:val="24"/>
              </w:rPr>
            </w:pPr>
            <w:r w:rsidRPr="00687DE8">
              <w:rPr>
                <w:szCs w:val="24"/>
              </w:rPr>
              <w:t>14</w:t>
            </w:r>
          </w:p>
        </w:tc>
        <w:tc>
          <w:tcPr>
            <w:tcW w:w="99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E7FE5F" w14:textId="77777777" w:rsidR="004A407C" w:rsidRPr="00687DE8" w:rsidRDefault="004A407C" w:rsidP="004A407C">
            <w:pPr>
              <w:spacing w:after="0" w:line="240" w:lineRule="auto"/>
              <w:jc w:val="center"/>
              <w:rPr>
                <w:szCs w:val="24"/>
              </w:rPr>
            </w:pPr>
          </w:p>
          <w:p w14:paraId="6A16310A" w14:textId="77777777" w:rsidR="004A407C" w:rsidRPr="00687DE8" w:rsidRDefault="004A407C" w:rsidP="004A407C">
            <w:pPr>
              <w:spacing w:after="0" w:line="240" w:lineRule="auto"/>
              <w:jc w:val="center"/>
              <w:rPr>
                <w:szCs w:val="24"/>
              </w:rPr>
            </w:pPr>
            <w:r w:rsidRPr="00687DE8">
              <w:rPr>
                <w:szCs w:val="24"/>
              </w:rPr>
              <w:t>100</w:t>
            </w:r>
          </w:p>
        </w:tc>
        <w:tc>
          <w:tcPr>
            <w:tcW w:w="832"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73972A8" w14:textId="465F6B73" w:rsidR="004A407C" w:rsidRPr="00687DE8" w:rsidRDefault="00A137DD" w:rsidP="004A407C">
            <w:pPr>
              <w:spacing w:after="0"/>
              <w:jc w:val="center"/>
              <w:rPr>
                <w:color w:val="000000" w:themeColor="text1"/>
                <w:szCs w:val="24"/>
              </w:rPr>
            </w:pPr>
            <w:r>
              <w:rPr>
                <w:color w:val="000000"/>
              </w:rPr>
              <w:t>169,19</w:t>
            </w:r>
          </w:p>
        </w:tc>
      </w:tr>
    </w:tbl>
    <w:p w14:paraId="44A4443C" w14:textId="77777777" w:rsidR="00976487" w:rsidRPr="00687DE8" w:rsidRDefault="00976487" w:rsidP="00976487">
      <w:pPr>
        <w:spacing w:after="0" w:line="240" w:lineRule="auto"/>
        <w:jc w:val="both"/>
        <w:divId w:val="1316184749"/>
        <w:rPr>
          <w:szCs w:val="24"/>
        </w:rPr>
      </w:pPr>
    </w:p>
    <w:p w14:paraId="6CDA86C3" w14:textId="77777777" w:rsidR="00976487" w:rsidRPr="00687DE8" w:rsidRDefault="00976487" w:rsidP="00976487">
      <w:pPr>
        <w:spacing w:after="0" w:line="240" w:lineRule="auto"/>
        <w:jc w:val="both"/>
        <w:divId w:val="1316184749"/>
        <w:rPr>
          <w:szCs w:val="24"/>
        </w:rPr>
      </w:pPr>
      <w:r w:rsidRPr="00687DE8">
        <w:rPr>
          <w:szCs w:val="24"/>
        </w:rPr>
        <w:t>(2) Taastusravi (koodid 8029, 8028, 8030 ja 8031) piirhinnad sisaldavad kulutusi § 1</w:t>
      </w:r>
      <w:r w:rsidR="00066F6A" w:rsidRPr="00687DE8">
        <w:rPr>
          <w:szCs w:val="24"/>
        </w:rPr>
        <w:t>5</w:t>
      </w:r>
      <w:r w:rsidRPr="00687DE8">
        <w:rPr>
          <w:szCs w:val="24"/>
        </w:rPr>
        <w:t xml:space="preserve"> lõikes 7 nimetatud tegevustele.</w:t>
      </w:r>
    </w:p>
    <w:p w14:paraId="1670E64C" w14:textId="77777777" w:rsidR="00976487" w:rsidRPr="00687DE8" w:rsidRDefault="00976487" w:rsidP="00976487">
      <w:pPr>
        <w:spacing w:after="0" w:line="240" w:lineRule="auto"/>
        <w:jc w:val="both"/>
        <w:divId w:val="1316184749"/>
        <w:rPr>
          <w:szCs w:val="24"/>
        </w:rPr>
      </w:pPr>
    </w:p>
    <w:p w14:paraId="043FA40A" w14:textId="5791AF63"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koodiga 8029 tähistatud tervishoiuteenuse eest tasu maksmise kohustuse üle juhul, kui patsiendi funktsioonid ja ravivajaduse on </w:t>
      </w:r>
      <w:r w:rsidR="00044086" w:rsidRPr="00687DE8">
        <w:rPr>
          <w:szCs w:val="24"/>
        </w:rPr>
        <w:t xml:space="preserve">vähemalt ravi alguses ja lõpus </w:t>
      </w:r>
      <w:r w:rsidRPr="00687DE8">
        <w:rPr>
          <w:szCs w:val="24"/>
        </w:rPr>
        <w:t>hinnanud ning dokumenteerinud ravimeeskond</w:t>
      </w:r>
      <w:r w:rsidR="00CE4124" w:rsidRPr="00687DE8">
        <w:rPr>
          <w:szCs w:val="24"/>
        </w:rPr>
        <w:t>.</w:t>
      </w:r>
    </w:p>
    <w:p w14:paraId="1884D07A" w14:textId="77777777" w:rsidR="00976487" w:rsidRPr="00687DE8" w:rsidRDefault="00976487" w:rsidP="00976487">
      <w:pPr>
        <w:spacing w:after="0" w:line="240" w:lineRule="auto"/>
        <w:jc w:val="both"/>
        <w:divId w:val="1316184749"/>
        <w:rPr>
          <w:szCs w:val="24"/>
        </w:rPr>
      </w:pPr>
    </w:p>
    <w:p w14:paraId="3A3E9EAE" w14:textId="70201223" w:rsidR="00976487" w:rsidRPr="00687DE8" w:rsidRDefault="00976487" w:rsidP="00976487">
      <w:pPr>
        <w:spacing w:after="0" w:line="240" w:lineRule="auto"/>
        <w:jc w:val="both"/>
        <w:divId w:val="1316184749"/>
        <w:rPr>
          <w:szCs w:val="24"/>
        </w:rPr>
      </w:pPr>
      <w:r w:rsidRPr="00687DE8">
        <w:rPr>
          <w:szCs w:val="24"/>
        </w:rPr>
        <w:t xml:space="preserve">(4) </w:t>
      </w:r>
      <w:r w:rsidR="005023FD" w:rsidRPr="00687DE8">
        <w:rPr>
          <w:szCs w:val="24"/>
        </w:rPr>
        <w:t>Tervisekassa</w:t>
      </w:r>
      <w:r w:rsidRPr="00687DE8">
        <w:rPr>
          <w:szCs w:val="24"/>
        </w:rPr>
        <w:t xml:space="preserve"> võtab koodiga 8029 tähistatud tervishoiuteenuse eest tasu maksmise koh</w:t>
      </w:r>
      <w:r w:rsidR="003C2892" w:rsidRPr="00687DE8">
        <w:rPr>
          <w:szCs w:val="24"/>
        </w:rPr>
        <w:t xml:space="preserve">ustuse üle </w:t>
      </w:r>
      <w:r w:rsidRPr="00687DE8">
        <w:rPr>
          <w:szCs w:val="24"/>
        </w:rPr>
        <w:t xml:space="preserve">lõikes 1 nimetatud voodipäevade maksimumarvu alusel </w:t>
      </w:r>
      <w:r w:rsidR="00F22F58" w:rsidRPr="00687DE8">
        <w:rPr>
          <w:szCs w:val="24"/>
        </w:rPr>
        <w:t>kolm</w:t>
      </w:r>
      <w:r w:rsidRPr="00687DE8">
        <w:rPr>
          <w:szCs w:val="24"/>
        </w:rPr>
        <w:t xml:space="preserve"> kord</w:t>
      </w:r>
      <w:r w:rsidR="00F22F58" w:rsidRPr="00687DE8">
        <w:rPr>
          <w:szCs w:val="24"/>
        </w:rPr>
        <w:t>a</w:t>
      </w:r>
      <w:r w:rsidRPr="00687DE8">
        <w:rPr>
          <w:szCs w:val="24"/>
        </w:rPr>
        <w:t xml:space="preserve"> isiku kohta </w:t>
      </w:r>
      <w:r w:rsidR="00CA489C" w:rsidRPr="00687DE8">
        <w:rPr>
          <w:szCs w:val="24"/>
        </w:rPr>
        <w:t xml:space="preserve">18 </w:t>
      </w:r>
      <w:r w:rsidRPr="00687DE8">
        <w:rPr>
          <w:szCs w:val="24"/>
        </w:rPr>
        <w:t>järjestikuse kuu jooksul pärast ägedat haigestumist, traumat või operatsiooni, mille tagajärjel on tekkinud raskekujuline liikumis- ja/või siirdumisfunktsiooni häire või mõõdukas liikumis- ja/või siirdumisfunktsiooni häire ning lisaks vähemalt kaks raskekujulist või mõõdukat funktsioonihäiret alljärgnevast loetelust:</w:t>
      </w:r>
    </w:p>
    <w:p w14:paraId="0F5A4232" w14:textId="77777777" w:rsidR="00976487" w:rsidRPr="00687DE8" w:rsidRDefault="00976487" w:rsidP="00976487">
      <w:pPr>
        <w:spacing w:after="0" w:line="240" w:lineRule="auto"/>
        <w:jc w:val="both"/>
        <w:divId w:val="1316184749"/>
        <w:rPr>
          <w:szCs w:val="24"/>
        </w:rPr>
      </w:pPr>
      <w:r w:rsidRPr="00687DE8">
        <w:rPr>
          <w:szCs w:val="24"/>
        </w:rPr>
        <w:t>1) kõnefunktsiooni häire;</w:t>
      </w:r>
    </w:p>
    <w:p w14:paraId="14AA287F" w14:textId="77777777" w:rsidR="00976487" w:rsidRPr="00687DE8" w:rsidRDefault="00976487" w:rsidP="00976487">
      <w:pPr>
        <w:spacing w:after="0" w:line="240" w:lineRule="auto"/>
        <w:jc w:val="both"/>
        <w:divId w:val="1316184749"/>
        <w:rPr>
          <w:szCs w:val="24"/>
        </w:rPr>
      </w:pPr>
      <w:r w:rsidRPr="00687DE8">
        <w:rPr>
          <w:szCs w:val="24"/>
        </w:rPr>
        <w:t>2) neelamisfunktsiooni häire;</w:t>
      </w:r>
    </w:p>
    <w:p w14:paraId="5EE049AE" w14:textId="77777777" w:rsidR="00976487" w:rsidRPr="00687DE8" w:rsidRDefault="00976487" w:rsidP="00976487">
      <w:pPr>
        <w:spacing w:after="0" w:line="240" w:lineRule="auto"/>
        <w:jc w:val="both"/>
        <w:divId w:val="1316184749"/>
        <w:rPr>
          <w:szCs w:val="24"/>
        </w:rPr>
      </w:pPr>
      <w:r w:rsidRPr="00687DE8">
        <w:rPr>
          <w:szCs w:val="24"/>
        </w:rPr>
        <w:t>3) mälu- ja/või kognitiivsete funktsioonide häired;</w:t>
      </w:r>
    </w:p>
    <w:p w14:paraId="5D77853B" w14:textId="77777777" w:rsidR="00976487" w:rsidRPr="00687DE8" w:rsidRDefault="00976487" w:rsidP="00976487">
      <w:pPr>
        <w:spacing w:after="0" w:line="240" w:lineRule="auto"/>
        <w:jc w:val="both"/>
        <w:divId w:val="1316184749"/>
        <w:rPr>
          <w:szCs w:val="24"/>
        </w:rPr>
      </w:pPr>
      <w:r w:rsidRPr="00687DE8">
        <w:rPr>
          <w:szCs w:val="24"/>
        </w:rPr>
        <w:t>4) põie- ja/või soolefunktsioonide häired;</w:t>
      </w:r>
    </w:p>
    <w:p w14:paraId="4D3F0D49" w14:textId="77777777" w:rsidR="00976487" w:rsidRPr="00687DE8" w:rsidRDefault="00976487" w:rsidP="00976487">
      <w:pPr>
        <w:spacing w:after="0" w:line="240" w:lineRule="auto"/>
        <w:jc w:val="both"/>
        <w:divId w:val="1316184749"/>
        <w:rPr>
          <w:szCs w:val="24"/>
        </w:rPr>
      </w:pPr>
      <w:r w:rsidRPr="00687DE8">
        <w:rPr>
          <w:szCs w:val="24"/>
        </w:rPr>
        <w:t>5) tegutsemis- ja osalusfunktsioonihäire tingituna käe motoorikahäirest.</w:t>
      </w:r>
    </w:p>
    <w:p w14:paraId="06ED9618" w14:textId="77777777" w:rsidR="00976487" w:rsidRPr="00687DE8" w:rsidRDefault="00976487" w:rsidP="00976487">
      <w:pPr>
        <w:spacing w:after="0" w:line="240" w:lineRule="auto"/>
        <w:jc w:val="both"/>
        <w:divId w:val="1316184749"/>
        <w:rPr>
          <w:szCs w:val="24"/>
        </w:rPr>
      </w:pPr>
    </w:p>
    <w:p w14:paraId="63A3D1C3" w14:textId="469CFDCF" w:rsidR="00976487" w:rsidRPr="00687DE8" w:rsidRDefault="00976487" w:rsidP="00976487">
      <w:pPr>
        <w:spacing w:after="0" w:line="240" w:lineRule="auto"/>
        <w:jc w:val="both"/>
        <w:divId w:val="1316184749"/>
        <w:rPr>
          <w:szCs w:val="24"/>
        </w:rPr>
      </w:pPr>
      <w:r w:rsidRPr="00687DE8">
        <w:rPr>
          <w:szCs w:val="24"/>
        </w:rPr>
        <w:t xml:space="preserve">(5) </w:t>
      </w:r>
      <w:r w:rsidR="005023FD" w:rsidRPr="00687DE8">
        <w:rPr>
          <w:szCs w:val="24"/>
        </w:rPr>
        <w:t>Tervisekassa</w:t>
      </w:r>
      <w:r w:rsidRPr="00687DE8">
        <w:rPr>
          <w:szCs w:val="24"/>
        </w:rPr>
        <w:t xml:space="preserve"> võtab koodiga 8028 tähistatud tervishoiuteenuse eest tasu maksmise kohustuse üle lõikes</w:t>
      </w:r>
      <w:r w:rsidR="00AF29C7" w:rsidRPr="00687DE8">
        <w:rPr>
          <w:szCs w:val="24"/>
        </w:rPr>
        <w:t xml:space="preserve"> </w:t>
      </w:r>
      <w:r w:rsidRPr="00687DE8">
        <w:rPr>
          <w:szCs w:val="24"/>
        </w:rPr>
        <w:t xml:space="preserve">1 nimetatud voodipäevade maksimumarvu alusel </w:t>
      </w:r>
      <w:r w:rsidR="00D44CD7" w:rsidRPr="00687DE8">
        <w:rPr>
          <w:szCs w:val="24"/>
        </w:rPr>
        <w:t>kaks</w:t>
      </w:r>
      <w:r w:rsidRPr="00687DE8">
        <w:rPr>
          <w:szCs w:val="24"/>
        </w:rPr>
        <w:t xml:space="preserve"> kord</w:t>
      </w:r>
      <w:r w:rsidR="00D44CD7" w:rsidRPr="00687DE8">
        <w:rPr>
          <w:szCs w:val="24"/>
        </w:rPr>
        <w:t>a</w:t>
      </w:r>
      <w:r w:rsidRPr="00687DE8">
        <w:rPr>
          <w:szCs w:val="24"/>
        </w:rPr>
        <w:t xml:space="preserve"> </w:t>
      </w:r>
      <w:r w:rsidR="005B008D" w:rsidRPr="00687DE8">
        <w:rPr>
          <w:szCs w:val="24"/>
        </w:rPr>
        <w:t xml:space="preserve">isiku kohta </w:t>
      </w:r>
      <w:r w:rsidR="00D44CD7" w:rsidRPr="00687DE8">
        <w:rPr>
          <w:szCs w:val="24"/>
        </w:rPr>
        <w:t xml:space="preserve">12 </w:t>
      </w:r>
      <w:r w:rsidRPr="00687DE8">
        <w:rPr>
          <w:szCs w:val="24"/>
        </w:rPr>
        <w:t>järjestikuse kuu jooksul pärast ägedat haigestumist, traumat või operatsiooni, mille tagajärjel on tekkinud raskekujulisest või mõõdukast funktsioonihäirest tulenev näidustus statsionaarseks taastusraviks, välja arvatud lõikes</w:t>
      </w:r>
      <w:r w:rsidR="00AF29C7" w:rsidRPr="00687DE8">
        <w:rPr>
          <w:szCs w:val="24"/>
        </w:rPr>
        <w:t xml:space="preserve"> </w:t>
      </w:r>
      <w:r w:rsidRPr="00687DE8">
        <w:rPr>
          <w:szCs w:val="24"/>
        </w:rPr>
        <w:t>4 nimetatud seisundid.</w:t>
      </w:r>
    </w:p>
    <w:p w14:paraId="1EB304C7" w14:textId="77777777" w:rsidR="00976487" w:rsidRPr="00687DE8" w:rsidRDefault="00976487" w:rsidP="00976487">
      <w:pPr>
        <w:spacing w:after="0" w:line="240" w:lineRule="auto"/>
        <w:jc w:val="both"/>
        <w:divId w:val="1316184749"/>
        <w:rPr>
          <w:szCs w:val="24"/>
        </w:rPr>
      </w:pPr>
    </w:p>
    <w:p w14:paraId="54CAFF16" w14:textId="1A827E05" w:rsidR="00976487" w:rsidRPr="00687DE8" w:rsidRDefault="00976487" w:rsidP="00976487">
      <w:pPr>
        <w:spacing w:after="0" w:line="240" w:lineRule="auto"/>
        <w:jc w:val="both"/>
        <w:divId w:val="1316184749"/>
        <w:rPr>
          <w:szCs w:val="24"/>
        </w:rPr>
      </w:pPr>
      <w:r w:rsidRPr="00687DE8">
        <w:rPr>
          <w:szCs w:val="24"/>
        </w:rPr>
        <w:t xml:space="preserve">(6) </w:t>
      </w:r>
      <w:r w:rsidR="005023FD" w:rsidRPr="00687DE8">
        <w:rPr>
          <w:szCs w:val="24"/>
        </w:rPr>
        <w:t>Tervisekassa</w:t>
      </w:r>
      <w:r w:rsidRPr="00687DE8">
        <w:rPr>
          <w:szCs w:val="24"/>
        </w:rPr>
        <w:t xml:space="preserve"> võtab koodiga 8030 tähistatud tervishoiuteenuse eest tasu maksmise kohustuse üle krooniliste tugi- ja liikumiselundkonna funktsioonihäirete, tasakaalu- ja propriotseptsiooni-, südame- või hingamisfunktsiooni häirete korral</w:t>
      </w:r>
      <w:r w:rsidR="00383305" w:rsidRPr="00687DE8">
        <w:rPr>
          <w:szCs w:val="24"/>
        </w:rPr>
        <w:t xml:space="preserve">, kui </w:t>
      </w:r>
      <w:r w:rsidR="00AD22D8" w:rsidRPr="00687DE8">
        <w:rPr>
          <w:szCs w:val="24"/>
        </w:rPr>
        <w:t xml:space="preserve">eelnev taastusravi on olnud tulemuslik ja/või </w:t>
      </w:r>
      <w:r w:rsidR="00FE7414" w:rsidRPr="00687DE8">
        <w:rPr>
          <w:szCs w:val="24"/>
        </w:rPr>
        <w:t>statsionaarne käsitlus on taastusarsti hinnangul näidustatud</w:t>
      </w:r>
      <w:r w:rsidRPr="00687DE8">
        <w:rPr>
          <w:szCs w:val="24"/>
        </w:rPr>
        <w:t>.</w:t>
      </w:r>
    </w:p>
    <w:p w14:paraId="0AA8E30F" w14:textId="77777777" w:rsidR="00976487" w:rsidRPr="00687DE8" w:rsidRDefault="00976487" w:rsidP="00976487">
      <w:pPr>
        <w:spacing w:after="0" w:line="240" w:lineRule="auto"/>
        <w:jc w:val="both"/>
        <w:divId w:val="1316184749"/>
        <w:rPr>
          <w:szCs w:val="24"/>
        </w:rPr>
      </w:pPr>
    </w:p>
    <w:p w14:paraId="0C1B77CA" w14:textId="19620E95" w:rsidR="00976487" w:rsidRPr="00687DE8" w:rsidRDefault="00976487" w:rsidP="00976487">
      <w:pPr>
        <w:spacing w:after="0" w:line="240" w:lineRule="auto"/>
        <w:jc w:val="both"/>
        <w:divId w:val="1316184749"/>
        <w:rPr>
          <w:szCs w:val="24"/>
        </w:rPr>
      </w:pPr>
      <w:r w:rsidRPr="00687DE8">
        <w:rPr>
          <w:szCs w:val="24"/>
        </w:rPr>
        <w:lastRenderedPageBreak/>
        <w:t xml:space="preserve">(7) </w:t>
      </w:r>
      <w:r w:rsidR="005023FD" w:rsidRPr="00687DE8">
        <w:rPr>
          <w:szCs w:val="24"/>
        </w:rPr>
        <w:t>Tervisekassa</w:t>
      </w:r>
      <w:r w:rsidRPr="00687DE8">
        <w:rPr>
          <w:szCs w:val="24"/>
        </w:rPr>
        <w:t xml:space="preserve"> võtab koodiga 8031 tähistatud tervishoiuteenuse eest tasu maksmise kohustuse üle kuni 19-aastaste laste neuroarengulise ja taastusravi näidustuste esinemisel.</w:t>
      </w:r>
    </w:p>
    <w:p w14:paraId="14CF42D9" w14:textId="77777777" w:rsidR="00976487" w:rsidRPr="00687DE8" w:rsidRDefault="00976487" w:rsidP="00976487">
      <w:pPr>
        <w:spacing w:after="0" w:line="240" w:lineRule="auto"/>
        <w:jc w:val="both"/>
        <w:divId w:val="1316184749"/>
        <w:rPr>
          <w:szCs w:val="24"/>
        </w:rPr>
      </w:pPr>
    </w:p>
    <w:p w14:paraId="6E4436BA" w14:textId="77777777" w:rsidR="00976487" w:rsidRPr="00687DE8" w:rsidRDefault="00976487" w:rsidP="00976487">
      <w:pPr>
        <w:spacing w:after="0" w:line="240" w:lineRule="auto"/>
        <w:jc w:val="both"/>
        <w:divId w:val="1316184749"/>
        <w:rPr>
          <w:szCs w:val="24"/>
        </w:rPr>
      </w:pPr>
      <w:r w:rsidRPr="00687DE8">
        <w:rPr>
          <w:szCs w:val="24"/>
        </w:rPr>
        <w:t>(8) Kindlustatud isiku statsionaarsele taastusravile saabumise ja taastusravilt lahkumise päev arvestatakse ühe päevana.</w:t>
      </w:r>
    </w:p>
    <w:p w14:paraId="49F46ABE" w14:textId="77777777" w:rsidR="00976487" w:rsidRPr="00687DE8" w:rsidRDefault="00976487" w:rsidP="00976487">
      <w:pPr>
        <w:spacing w:after="0" w:line="240" w:lineRule="auto"/>
        <w:jc w:val="both"/>
        <w:divId w:val="1316184749"/>
        <w:rPr>
          <w:szCs w:val="24"/>
        </w:rPr>
      </w:pPr>
    </w:p>
    <w:p w14:paraId="64F736DA" w14:textId="3BEDFCE0" w:rsidR="00976487" w:rsidRPr="00687DE8" w:rsidRDefault="00976487" w:rsidP="00976487">
      <w:pPr>
        <w:spacing w:after="0" w:line="240" w:lineRule="auto"/>
        <w:jc w:val="both"/>
        <w:divId w:val="1316184749"/>
        <w:rPr>
          <w:szCs w:val="24"/>
        </w:rPr>
      </w:pPr>
      <w:r w:rsidRPr="00687DE8">
        <w:rPr>
          <w:szCs w:val="24"/>
        </w:rPr>
        <w:t>(9) Koos haige lapsega haiglas taastusravil viibiva lapsevanema või muu tegeliku põetaja või hooldaja eest tasutakse täiendavalt majutuse voodipäeva järgi koodiga </w:t>
      </w:r>
      <w:r w:rsidR="00751CF5" w:rsidRPr="00687DE8">
        <w:rPr>
          <w:szCs w:val="24"/>
        </w:rPr>
        <w:t>2069</w:t>
      </w:r>
      <w:r w:rsidRPr="00687DE8">
        <w:rPr>
          <w:szCs w:val="24"/>
        </w:rPr>
        <w:t xml:space="preserve"> tähistatud teenuse eest </w:t>
      </w:r>
      <w:r w:rsidR="00933BF4">
        <w:t xml:space="preserve">vastavalt </w:t>
      </w:r>
      <w:r w:rsidR="00933BF4" w:rsidRPr="00933BF4">
        <w:rPr>
          <w:szCs w:val="24"/>
        </w:rPr>
        <w:t>§</w:t>
      </w:r>
      <w:r w:rsidR="003626CB">
        <w:rPr>
          <w:szCs w:val="24"/>
        </w:rPr>
        <w:t xml:space="preserve"> </w:t>
      </w:r>
      <w:r w:rsidR="00933BF4" w:rsidRPr="00933BF4">
        <w:rPr>
          <w:szCs w:val="24"/>
        </w:rPr>
        <w:t>15 l</w:t>
      </w:r>
      <w:r w:rsidR="00992385">
        <w:rPr>
          <w:szCs w:val="24"/>
        </w:rPr>
        <w:t>õi</w:t>
      </w:r>
      <w:r w:rsidR="003451EF">
        <w:rPr>
          <w:szCs w:val="24"/>
        </w:rPr>
        <w:t>getes</w:t>
      </w:r>
      <w:r w:rsidR="00933BF4" w:rsidRPr="00933BF4">
        <w:rPr>
          <w:szCs w:val="24"/>
        </w:rPr>
        <w:t xml:space="preserve"> 23</w:t>
      </w:r>
      <w:r w:rsidR="003451EF">
        <w:rPr>
          <w:szCs w:val="24"/>
        </w:rPr>
        <w:t xml:space="preserve"> ja 24</w:t>
      </w:r>
      <w:r w:rsidR="00A50E9F">
        <w:rPr>
          <w:szCs w:val="24"/>
        </w:rPr>
        <w:t xml:space="preserve"> </w:t>
      </w:r>
      <w:r w:rsidR="00992385">
        <w:rPr>
          <w:szCs w:val="24"/>
        </w:rPr>
        <w:t xml:space="preserve">sätestatud </w:t>
      </w:r>
      <w:r w:rsidR="00A50E9F">
        <w:rPr>
          <w:szCs w:val="24"/>
        </w:rPr>
        <w:t>tingimustele.</w:t>
      </w:r>
    </w:p>
    <w:p w14:paraId="7B0047D2" w14:textId="77777777" w:rsidR="00976487" w:rsidRPr="00687DE8" w:rsidRDefault="00976487" w:rsidP="00976487">
      <w:pPr>
        <w:spacing w:after="0" w:line="240" w:lineRule="auto"/>
        <w:jc w:val="both"/>
        <w:divId w:val="1316184749"/>
        <w:rPr>
          <w:szCs w:val="24"/>
        </w:rPr>
      </w:pPr>
    </w:p>
    <w:p w14:paraId="54D04271" w14:textId="4D11C0E1" w:rsidR="00976487" w:rsidRPr="00687DE8" w:rsidRDefault="00976487" w:rsidP="00976487">
      <w:pPr>
        <w:spacing w:after="0" w:line="240" w:lineRule="auto"/>
        <w:jc w:val="both"/>
        <w:divId w:val="1316184749"/>
        <w:rPr>
          <w:szCs w:val="24"/>
        </w:rPr>
      </w:pPr>
      <w:r w:rsidRPr="00687DE8">
        <w:rPr>
          <w:szCs w:val="24"/>
        </w:rPr>
        <w:t xml:space="preserve">(10) Koodidega 8028 ja 8029 tähistatud taastusravi voodipäevade maksimaalset arvu võib suurendada tervishoiuteenuse osutaja ja </w:t>
      </w:r>
      <w:r w:rsidR="005023FD" w:rsidRPr="00687DE8">
        <w:rPr>
          <w:szCs w:val="24"/>
        </w:rPr>
        <w:t>Tervisekassa</w:t>
      </w:r>
      <w:r w:rsidRPr="00687DE8">
        <w:rPr>
          <w:szCs w:val="24"/>
        </w:rPr>
        <w:t xml:space="preserve"> vahel ravi rahastamise lepingus kokku</w:t>
      </w:r>
      <w:r w:rsidR="00CB09B8" w:rsidRPr="00687DE8">
        <w:rPr>
          <w:szCs w:val="24"/>
        </w:rPr>
        <w:t xml:space="preserve"> </w:t>
      </w:r>
      <w:r w:rsidRPr="00687DE8">
        <w:rPr>
          <w:szCs w:val="24"/>
        </w:rPr>
        <w:t>lepitud tingimustel juhul</w:t>
      </w:r>
      <w:r w:rsidR="00CB09B8" w:rsidRPr="00687DE8">
        <w:rPr>
          <w:szCs w:val="24"/>
        </w:rPr>
        <w:t>,</w:t>
      </w:r>
      <w:r w:rsidRPr="00687DE8">
        <w:rPr>
          <w:szCs w:val="24"/>
        </w:rPr>
        <w:t xml:space="preserve"> kui senise ravi tulemuslikkus</w:t>
      </w:r>
      <w:r w:rsidR="00CB09B8" w:rsidRPr="00687DE8">
        <w:rPr>
          <w:szCs w:val="24"/>
        </w:rPr>
        <w:t xml:space="preserve"> on dokumenteeritud</w:t>
      </w:r>
      <w:r w:rsidRPr="00687DE8">
        <w:rPr>
          <w:szCs w:val="24"/>
        </w:rPr>
        <w:t xml:space="preserve"> ja ravi jätkamise vajadus</w:t>
      </w:r>
      <w:r w:rsidR="00CB09B8" w:rsidRPr="00687DE8">
        <w:rPr>
          <w:szCs w:val="24"/>
        </w:rPr>
        <w:t xml:space="preserve"> on põhjendatud</w:t>
      </w:r>
      <w:r w:rsidRPr="00687DE8">
        <w:rPr>
          <w:szCs w:val="24"/>
        </w:rPr>
        <w:t>.</w:t>
      </w:r>
    </w:p>
    <w:p w14:paraId="5491CC54" w14:textId="77777777" w:rsidR="00976487" w:rsidRPr="00687DE8" w:rsidRDefault="00976487" w:rsidP="00976487">
      <w:pPr>
        <w:spacing w:after="0" w:line="240" w:lineRule="auto"/>
        <w:jc w:val="both"/>
        <w:divId w:val="1316184749"/>
        <w:rPr>
          <w:szCs w:val="24"/>
        </w:rPr>
      </w:pPr>
    </w:p>
    <w:p w14:paraId="7858A634" w14:textId="74366FE2" w:rsidR="00976487" w:rsidRPr="00687DE8" w:rsidRDefault="00976487" w:rsidP="00976487">
      <w:pPr>
        <w:spacing w:after="0" w:line="240" w:lineRule="auto"/>
        <w:jc w:val="both"/>
        <w:divId w:val="1316184749"/>
        <w:rPr>
          <w:szCs w:val="24"/>
        </w:rPr>
      </w:pPr>
      <w:r w:rsidRPr="00687DE8">
        <w:rPr>
          <w:szCs w:val="24"/>
        </w:rPr>
        <w:t>(11) Koodi</w:t>
      </w:r>
      <w:r w:rsidR="00095966" w:rsidRPr="00687DE8">
        <w:rPr>
          <w:szCs w:val="24"/>
        </w:rPr>
        <w:t>de</w:t>
      </w:r>
      <w:r w:rsidRPr="00687DE8">
        <w:rPr>
          <w:szCs w:val="24"/>
        </w:rPr>
        <w:t xml:space="preserve">ga </w:t>
      </w:r>
      <w:r w:rsidR="00095966" w:rsidRPr="00687DE8">
        <w:rPr>
          <w:szCs w:val="24"/>
        </w:rPr>
        <w:t xml:space="preserve">8028 ja </w:t>
      </w:r>
      <w:r w:rsidRPr="00687DE8">
        <w:rPr>
          <w:szCs w:val="24"/>
        </w:rPr>
        <w:t>8029 tähistatud voodipäevade maksimaalse arvu ületamisel, välja arvatud lõikes 10 määratud tingimustel, rakendatakse järelravi (kood 2047) voodipäeva piirhinda.</w:t>
      </w:r>
    </w:p>
    <w:p w14:paraId="7BED041C" w14:textId="77777777" w:rsidR="00976487" w:rsidRPr="00687DE8" w:rsidRDefault="00976487" w:rsidP="00976487">
      <w:pPr>
        <w:spacing w:after="0" w:line="240" w:lineRule="auto"/>
        <w:jc w:val="center"/>
        <w:outlineLvl w:val="1"/>
        <w:divId w:val="1316184749"/>
        <w:rPr>
          <w:b/>
          <w:bCs/>
          <w:szCs w:val="24"/>
        </w:rPr>
      </w:pPr>
    </w:p>
    <w:p w14:paraId="4EC3A3AD" w14:textId="77777777" w:rsidR="00976487" w:rsidRPr="00687DE8" w:rsidRDefault="00976487" w:rsidP="00976487">
      <w:pPr>
        <w:spacing w:after="0" w:line="240" w:lineRule="auto"/>
        <w:jc w:val="center"/>
        <w:outlineLvl w:val="1"/>
        <w:divId w:val="1316184749"/>
        <w:rPr>
          <w:b/>
          <w:szCs w:val="24"/>
        </w:rPr>
      </w:pPr>
      <w:r w:rsidRPr="00687DE8">
        <w:rPr>
          <w:b/>
          <w:szCs w:val="24"/>
        </w:rPr>
        <w:t xml:space="preserve">4. peatükk </w:t>
      </w:r>
      <w:r w:rsidRPr="00687DE8">
        <w:rPr>
          <w:szCs w:val="24"/>
        </w:rPr>
        <w:br/>
      </w:r>
      <w:r w:rsidRPr="00687DE8">
        <w:rPr>
          <w:b/>
          <w:szCs w:val="24"/>
        </w:rPr>
        <w:t>Uuringud ja protseduurid</w:t>
      </w:r>
    </w:p>
    <w:p w14:paraId="426B0747" w14:textId="77777777" w:rsidR="00976487" w:rsidRPr="00687DE8" w:rsidRDefault="00976487" w:rsidP="00976487">
      <w:pPr>
        <w:spacing w:after="0" w:line="240" w:lineRule="auto"/>
        <w:jc w:val="center"/>
        <w:outlineLvl w:val="1"/>
        <w:divId w:val="1316184749"/>
        <w:rPr>
          <w:b/>
          <w:bCs/>
          <w:szCs w:val="24"/>
        </w:rPr>
      </w:pPr>
    </w:p>
    <w:p w14:paraId="1F030A0F" w14:textId="77777777" w:rsidR="00976487" w:rsidRDefault="00976487" w:rsidP="00976487">
      <w:pPr>
        <w:spacing w:after="0" w:line="240" w:lineRule="auto"/>
        <w:outlineLvl w:val="2"/>
        <w:divId w:val="1316184749"/>
        <w:rPr>
          <w:b/>
          <w:szCs w:val="24"/>
        </w:rPr>
      </w:pPr>
      <w:r w:rsidRPr="00687DE8">
        <w:rPr>
          <w:b/>
          <w:szCs w:val="24"/>
        </w:rPr>
        <w:t>§ 1</w:t>
      </w:r>
      <w:r w:rsidR="00EF4EA9" w:rsidRPr="00687DE8">
        <w:rPr>
          <w:b/>
          <w:szCs w:val="24"/>
        </w:rPr>
        <w:t>7</w:t>
      </w:r>
      <w:r w:rsidRPr="00687DE8">
        <w:rPr>
          <w:b/>
          <w:szCs w:val="24"/>
        </w:rPr>
        <w:t>. Röntgeniülesvõtete piirhinnad</w:t>
      </w:r>
    </w:p>
    <w:p w14:paraId="7028644B" w14:textId="77777777" w:rsidR="00D622B8" w:rsidRDefault="00D622B8" w:rsidP="005364F4">
      <w:pPr>
        <w:spacing w:after="0" w:line="240" w:lineRule="auto"/>
        <w:divId w:val="1316184749"/>
        <w:rPr>
          <w:szCs w:val="24"/>
        </w:rPr>
      </w:pPr>
    </w:p>
    <w:p w14:paraId="52A59E11" w14:textId="43069FAC" w:rsidR="003209F3" w:rsidRPr="00687DE8" w:rsidRDefault="00976487" w:rsidP="005364F4">
      <w:pPr>
        <w:spacing w:after="0" w:line="240" w:lineRule="auto"/>
        <w:divId w:val="1316184749"/>
        <w:rPr>
          <w:szCs w:val="24"/>
        </w:rPr>
      </w:pPr>
      <w:r w:rsidRPr="00687DE8">
        <w:rPr>
          <w:szCs w:val="24"/>
        </w:rPr>
        <w:t>(1) Röntgeniülesvõtete piirhinnad on järgmised:</w:t>
      </w:r>
    </w:p>
    <w:p w14:paraId="36ADC9FE" w14:textId="77777777" w:rsidR="00976487" w:rsidRPr="00687DE8" w:rsidRDefault="00976487" w:rsidP="00976487">
      <w:pPr>
        <w:spacing w:after="0" w:line="240" w:lineRule="auto"/>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601"/>
        <w:gridCol w:w="4963"/>
        <w:gridCol w:w="1505"/>
      </w:tblGrid>
      <w:tr w:rsidR="00976487" w:rsidRPr="00687DE8" w14:paraId="2A03B63C" w14:textId="77777777" w:rsidTr="004F3D31">
        <w:trPr>
          <w:divId w:val="1316184749"/>
          <w:tblHeader/>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2AEA9E" w14:textId="77777777" w:rsidR="00976487" w:rsidRPr="00687DE8" w:rsidRDefault="00976487">
            <w:pPr>
              <w:spacing w:after="0" w:line="240" w:lineRule="auto"/>
              <w:jc w:val="center"/>
              <w:rPr>
                <w:szCs w:val="24"/>
              </w:rPr>
            </w:pPr>
            <w:r w:rsidRPr="00687DE8">
              <w:rPr>
                <w:b/>
                <w:szCs w:val="24"/>
              </w:rPr>
              <w:t>Tervishoiuteenuse nimetus</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7784F8" w14:textId="77777777" w:rsidR="00976487" w:rsidRPr="00687DE8" w:rsidRDefault="00976487">
            <w:pPr>
              <w:spacing w:after="0" w:line="240" w:lineRule="auto"/>
              <w:jc w:val="center"/>
              <w:rPr>
                <w:szCs w:val="24"/>
              </w:rPr>
            </w:pPr>
            <w:r w:rsidRPr="00687DE8">
              <w:rPr>
                <w:b/>
                <w:szCs w:val="24"/>
              </w:rPr>
              <w:t>Kood</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34E234" w14:textId="77777777" w:rsidR="00976487" w:rsidRPr="00687DE8" w:rsidRDefault="00976487">
            <w:pPr>
              <w:spacing w:after="0" w:line="240" w:lineRule="auto"/>
              <w:jc w:val="center"/>
              <w:rPr>
                <w:szCs w:val="24"/>
              </w:rPr>
            </w:pPr>
            <w:r w:rsidRPr="00687DE8">
              <w:rPr>
                <w:b/>
                <w:szCs w:val="24"/>
              </w:rPr>
              <w:t>Toimingu kirjeldus ja tingimused</w:t>
            </w:r>
          </w:p>
        </w:tc>
        <w:tc>
          <w:tcPr>
            <w:tcW w:w="1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D6C300"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834768" w:rsidRPr="00687DE8" w14:paraId="6D5C61BE"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72F077" w14:textId="77777777" w:rsidR="00834768" w:rsidRPr="00687DE8" w:rsidRDefault="00834768" w:rsidP="00834768">
            <w:pPr>
              <w:spacing w:after="0" w:line="240" w:lineRule="auto"/>
              <w:rPr>
                <w:szCs w:val="24"/>
              </w:rPr>
            </w:pPr>
            <w:r w:rsidRPr="00687DE8">
              <w:rPr>
                <w:szCs w:val="24"/>
              </w:rPr>
              <w:t>Röntgeniülesvõte peapiirkonnast (üks ülesvõte)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7FE8D0" w14:textId="77777777" w:rsidR="00834768" w:rsidRPr="00687DE8" w:rsidRDefault="00834768" w:rsidP="00C45753">
            <w:pPr>
              <w:spacing w:after="0" w:line="240" w:lineRule="auto"/>
              <w:rPr>
                <w:szCs w:val="24"/>
              </w:rPr>
            </w:pPr>
          </w:p>
          <w:p w14:paraId="751DA1A9" w14:textId="77777777" w:rsidR="00834768" w:rsidRPr="00687DE8" w:rsidRDefault="00834768" w:rsidP="00C45753">
            <w:pPr>
              <w:spacing w:after="0" w:line="240" w:lineRule="auto"/>
              <w:rPr>
                <w:szCs w:val="24"/>
              </w:rPr>
            </w:pPr>
            <w:r w:rsidRPr="00687DE8">
              <w:rPr>
                <w:szCs w:val="24"/>
              </w:rPr>
              <w:t>7900</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CFCB35" w14:textId="77777777" w:rsidR="00834768" w:rsidRPr="00687DE8" w:rsidRDefault="00834768" w:rsidP="00834768">
            <w:pPr>
              <w:spacing w:after="0" w:line="240" w:lineRule="auto"/>
              <w:rPr>
                <w:szCs w:val="24"/>
              </w:rPr>
            </w:pPr>
            <w:r w:rsidRPr="00687DE8">
              <w:rPr>
                <w:szCs w:val="24"/>
              </w:rPr>
              <w:t>Koodi 7900 rakendatakse juhul, kui uuringu käigus tehakse peapiirkonnast üks ülesvõte</w:t>
            </w:r>
          </w:p>
        </w:tc>
        <w:tc>
          <w:tcPr>
            <w:tcW w:w="1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22AE9" w14:textId="55A9FDAF" w:rsidR="00834768" w:rsidRPr="00687DE8" w:rsidRDefault="00897C30" w:rsidP="00834768">
            <w:pPr>
              <w:spacing w:after="0"/>
              <w:jc w:val="center"/>
              <w:rPr>
                <w:color w:val="000000" w:themeColor="text1"/>
                <w:szCs w:val="24"/>
              </w:rPr>
            </w:pPr>
            <w:r>
              <w:rPr>
                <w:color w:val="000000"/>
              </w:rPr>
              <w:t>18,92</w:t>
            </w:r>
          </w:p>
        </w:tc>
      </w:tr>
      <w:tr w:rsidR="00834768" w:rsidRPr="00687DE8" w14:paraId="18B6ADDC"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1EB1E2" w14:textId="77777777" w:rsidR="00834768" w:rsidRPr="00687DE8" w:rsidRDefault="00834768" w:rsidP="00834768">
            <w:pPr>
              <w:spacing w:after="0" w:line="240" w:lineRule="auto"/>
              <w:rPr>
                <w:szCs w:val="24"/>
              </w:rPr>
            </w:pPr>
            <w:r w:rsidRPr="00687DE8">
              <w:rPr>
                <w:szCs w:val="24"/>
              </w:rPr>
              <w:t>Röntgeniülesvõte peapiirkonnast (kaks ülesvõtet)</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CF54A1" w14:textId="77777777" w:rsidR="00834768" w:rsidRPr="00687DE8" w:rsidRDefault="00834768" w:rsidP="00C45753">
            <w:pPr>
              <w:spacing w:after="0" w:line="240" w:lineRule="auto"/>
              <w:rPr>
                <w:szCs w:val="24"/>
              </w:rPr>
            </w:pPr>
          </w:p>
          <w:p w14:paraId="29EE58DD" w14:textId="77777777" w:rsidR="00834768" w:rsidRPr="00687DE8" w:rsidRDefault="00834768" w:rsidP="00C45753">
            <w:pPr>
              <w:spacing w:after="0" w:line="240" w:lineRule="auto"/>
              <w:rPr>
                <w:szCs w:val="24"/>
              </w:rPr>
            </w:pPr>
            <w:r w:rsidRPr="00687DE8">
              <w:rPr>
                <w:szCs w:val="24"/>
              </w:rPr>
              <w:t>7901</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D3EEDA" w14:textId="77777777" w:rsidR="00834768" w:rsidRPr="00687DE8" w:rsidRDefault="00834768" w:rsidP="00834768">
            <w:pPr>
              <w:spacing w:after="0" w:line="240" w:lineRule="auto"/>
              <w:rPr>
                <w:szCs w:val="24"/>
              </w:rPr>
            </w:pPr>
            <w:r w:rsidRPr="00687DE8">
              <w:rPr>
                <w:szCs w:val="24"/>
              </w:rPr>
              <w:t>Koodi 7901 rakendatakse juhul, kui uuringu käigus tehakse peapiirkonnast kaks ülesvõtet</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763A5C2" w14:textId="7575F36B" w:rsidR="00834768" w:rsidRPr="00687DE8" w:rsidRDefault="00897C30" w:rsidP="00834768">
            <w:pPr>
              <w:spacing w:after="0"/>
              <w:jc w:val="center"/>
              <w:rPr>
                <w:color w:val="000000" w:themeColor="text1"/>
                <w:szCs w:val="24"/>
              </w:rPr>
            </w:pPr>
            <w:r>
              <w:rPr>
                <w:color w:val="000000"/>
              </w:rPr>
              <w:t>27,01</w:t>
            </w:r>
          </w:p>
        </w:tc>
      </w:tr>
      <w:tr w:rsidR="00834768" w:rsidRPr="00687DE8" w14:paraId="48163EDB"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3898C7" w14:textId="77777777" w:rsidR="00834768" w:rsidRPr="00687DE8" w:rsidRDefault="00834768" w:rsidP="00834768">
            <w:pPr>
              <w:spacing w:after="0" w:line="240" w:lineRule="auto"/>
              <w:rPr>
                <w:szCs w:val="24"/>
              </w:rPr>
            </w:pPr>
            <w:r w:rsidRPr="00687DE8">
              <w:rPr>
                <w:szCs w:val="24"/>
              </w:rPr>
              <w:t>Röntgeniülesvõte peapiirkonnast (kolm või enam ülesvõtet)</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DE5139" w14:textId="77777777" w:rsidR="00834768" w:rsidRPr="00687DE8" w:rsidRDefault="00834768" w:rsidP="00C45753">
            <w:pPr>
              <w:spacing w:after="0" w:line="240" w:lineRule="auto"/>
              <w:rPr>
                <w:szCs w:val="24"/>
              </w:rPr>
            </w:pPr>
          </w:p>
          <w:p w14:paraId="66DEB8BE" w14:textId="77777777" w:rsidR="00834768" w:rsidRPr="00687DE8" w:rsidRDefault="00834768" w:rsidP="00C45753">
            <w:pPr>
              <w:spacing w:after="0" w:line="240" w:lineRule="auto"/>
              <w:rPr>
                <w:szCs w:val="24"/>
              </w:rPr>
            </w:pPr>
          </w:p>
          <w:p w14:paraId="09624457" w14:textId="77777777" w:rsidR="00834768" w:rsidRPr="00687DE8" w:rsidRDefault="00834768" w:rsidP="00C45753">
            <w:pPr>
              <w:spacing w:after="0" w:line="240" w:lineRule="auto"/>
              <w:rPr>
                <w:szCs w:val="24"/>
              </w:rPr>
            </w:pPr>
            <w:r w:rsidRPr="00687DE8">
              <w:rPr>
                <w:szCs w:val="24"/>
              </w:rPr>
              <w:t>7902</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E485FD" w14:textId="77777777" w:rsidR="00834768" w:rsidRPr="00687DE8" w:rsidRDefault="00834768" w:rsidP="00834768">
            <w:pPr>
              <w:spacing w:after="0" w:line="240" w:lineRule="auto"/>
              <w:rPr>
                <w:szCs w:val="24"/>
              </w:rPr>
            </w:pPr>
            <w:r w:rsidRPr="00687DE8">
              <w:rPr>
                <w:szCs w:val="24"/>
              </w:rPr>
              <w:t>Koodi 7902 rakendatakse juhul, kui uuringu käigus tehakse peapiirkonnast rohkem kui kaks ülesvõtet</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1ED8970" w14:textId="49084FB3" w:rsidR="00834768" w:rsidRPr="00687DE8" w:rsidRDefault="00897C30" w:rsidP="00834768">
            <w:pPr>
              <w:spacing w:after="0"/>
              <w:jc w:val="center"/>
              <w:rPr>
                <w:color w:val="000000" w:themeColor="text1"/>
                <w:szCs w:val="24"/>
              </w:rPr>
            </w:pPr>
            <w:r>
              <w:rPr>
                <w:color w:val="000000"/>
              </w:rPr>
              <w:t>32,12</w:t>
            </w:r>
          </w:p>
        </w:tc>
      </w:tr>
      <w:tr w:rsidR="00834768" w:rsidRPr="00687DE8" w14:paraId="6303BC70"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764196" w14:textId="77777777" w:rsidR="00834768" w:rsidRPr="00687DE8" w:rsidRDefault="00834768" w:rsidP="00834768">
            <w:pPr>
              <w:spacing w:after="0" w:line="240" w:lineRule="auto"/>
              <w:rPr>
                <w:szCs w:val="24"/>
              </w:rPr>
            </w:pPr>
            <w:r w:rsidRPr="00687DE8">
              <w:rPr>
                <w:szCs w:val="24"/>
              </w:rPr>
              <w:t>Röntgeniülesvõte lülisamba piirkonnast (üks ülesvõte)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9CFC58" w14:textId="77777777" w:rsidR="00834768" w:rsidRPr="00687DE8" w:rsidRDefault="00834768" w:rsidP="00C45753">
            <w:pPr>
              <w:spacing w:after="0" w:line="240" w:lineRule="auto"/>
              <w:rPr>
                <w:szCs w:val="24"/>
              </w:rPr>
            </w:pPr>
          </w:p>
          <w:p w14:paraId="6E898E63" w14:textId="77777777" w:rsidR="00834768" w:rsidRPr="00687DE8" w:rsidRDefault="00834768" w:rsidP="00C45753">
            <w:pPr>
              <w:spacing w:after="0" w:line="240" w:lineRule="auto"/>
              <w:rPr>
                <w:szCs w:val="24"/>
              </w:rPr>
            </w:pPr>
            <w:r w:rsidRPr="00687DE8">
              <w:rPr>
                <w:szCs w:val="24"/>
              </w:rPr>
              <w:t>7906</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2864AD" w14:textId="77777777" w:rsidR="00834768" w:rsidRPr="00687DE8" w:rsidRDefault="00834768" w:rsidP="00834768">
            <w:pPr>
              <w:spacing w:after="0" w:line="240" w:lineRule="auto"/>
              <w:rPr>
                <w:szCs w:val="24"/>
              </w:rPr>
            </w:pPr>
            <w:r w:rsidRPr="00687DE8">
              <w:rPr>
                <w:szCs w:val="24"/>
              </w:rPr>
              <w:t>Koodi 7906 rakendatakse juhul, kui uuringu käigus tehakse lülisamba piirkonnast ainult üks ülesvõte</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6371D64" w14:textId="5EE65B5E" w:rsidR="00834768" w:rsidRPr="00687DE8" w:rsidRDefault="00897C30" w:rsidP="00834768">
            <w:pPr>
              <w:spacing w:after="0"/>
              <w:jc w:val="center"/>
              <w:rPr>
                <w:color w:val="000000" w:themeColor="text1"/>
                <w:szCs w:val="24"/>
              </w:rPr>
            </w:pPr>
            <w:r>
              <w:rPr>
                <w:color w:val="000000"/>
              </w:rPr>
              <w:t>21,26</w:t>
            </w:r>
          </w:p>
        </w:tc>
      </w:tr>
      <w:tr w:rsidR="00834768" w:rsidRPr="00687DE8" w14:paraId="5E31CE8A" w14:textId="77777777" w:rsidTr="00B93704">
        <w:trPr>
          <w:divId w:val="1316184749"/>
          <w:trHeight w:val="1625"/>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4ABBE8" w14:textId="77777777" w:rsidR="00834768" w:rsidRPr="00687DE8" w:rsidRDefault="00834768" w:rsidP="00834768">
            <w:pPr>
              <w:spacing w:after="0" w:line="240" w:lineRule="auto"/>
              <w:rPr>
                <w:szCs w:val="24"/>
              </w:rPr>
            </w:pPr>
            <w:r w:rsidRPr="00687DE8">
              <w:rPr>
                <w:szCs w:val="24"/>
              </w:rPr>
              <w:t>Röntgeniülesvõte lülisamba piirkonnast (kaks ülesvõtet)</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050993" w14:textId="77777777" w:rsidR="00834768" w:rsidRPr="00687DE8" w:rsidRDefault="00834768" w:rsidP="00834768">
            <w:pPr>
              <w:spacing w:after="0" w:line="240" w:lineRule="auto"/>
              <w:rPr>
                <w:szCs w:val="24"/>
              </w:rPr>
            </w:pPr>
          </w:p>
          <w:p w14:paraId="7AE54816" w14:textId="77777777" w:rsidR="00834768" w:rsidRPr="00687DE8" w:rsidRDefault="00834768" w:rsidP="00834768">
            <w:pPr>
              <w:spacing w:after="0" w:line="240" w:lineRule="auto"/>
              <w:rPr>
                <w:szCs w:val="24"/>
              </w:rPr>
            </w:pPr>
          </w:p>
          <w:p w14:paraId="5907E1CE" w14:textId="77777777" w:rsidR="00834768" w:rsidRPr="00687DE8" w:rsidRDefault="00834768" w:rsidP="00834768">
            <w:pPr>
              <w:spacing w:after="0" w:line="240" w:lineRule="auto"/>
              <w:rPr>
                <w:szCs w:val="24"/>
              </w:rPr>
            </w:pPr>
          </w:p>
          <w:p w14:paraId="0F65D6DC" w14:textId="77777777" w:rsidR="00834768" w:rsidRPr="00687DE8" w:rsidRDefault="00834768" w:rsidP="00834768">
            <w:pPr>
              <w:spacing w:after="0" w:line="240" w:lineRule="auto"/>
              <w:rPr>
                <w:szCs w:val="24"/>
              </w:rPr>
            </w:pPr>
          </w:p>
          <w:p w14:paraId="211F7DD0" w14:textId="77777777" w:rsidR="00834768" w:rsidRPr="00687DE8" w:rsidRDefault="00834768" w:rsidP="00834768">
            <w:pPr>
              <w:spacing w:after="0" w:line="240" w:lineRule="auto"/>
              <w:rPr>
                <w:szCs w:val="24"/>
              </w:rPr>
            </w:pPr>
          </w:p>
          <w:p w14:paraId="66CE8F2E" w14:textId="77777777" w:rsidR="00834768" w:rsidRPr="00687DE8" w:rsidRDefault="00834768" w:rsidP="00834768">
            <w:pPr>
              <w:spacing w:after="0" w:line="240" w:lineRule="auto"/>
              <w:rPr>
                <w:szCs w:val="24"/>
              </w:rPr>
            </w:pPr>
          </w:p>
          <w:p w14:paraId="40BA84A4" w14:textId="77777777" w:rsidR="00C45753" w:rsidRDefault="00C45753" w:rsidP="00834768">
            <w:pPr>
              <w:spacing w:after="0" w:line="240" w:lineRule="auto"/>
              <w:jc w:val="center"/>
              <w:rPr>
                <w:szCs w:val="24"/>
              </w:rPr>
            </w:pPr>
          </w:p>
          <w:p w14:paraId="08810F45" w14:textId="77777777" w:rsidR="00C45753" w:rsidRDefault="00C45753" w:rsidP="00834768">
            <w:pPr>
              <w:spacing w:after="0" w:line="240" w:lineRule="auto"/>
              <w:jc w:val="center"/>
              <w:rPr>
                <w:szCs w:val="24"/>
              </w:rPr>
            </w:pPr>
          </w:p>
          <w:p w14:paraId="3C1ED151" w14:textId="4E7F6636" w:rsidR="00834768" w:rsidRPr="00687DE8" w:rsidRDefault="00834768" w:rsidP="00834768">
            <w:pPr>
              <w:spacing w:after="0" w:line="240" w:lineRule="auto"/>
              <w:jc w:val="center"/>
              <w:rPr>
                <w:szCs w:val="24"/>
              </w:rPr>
            </w:pPr>
            <w:r w:rsidRPr="00687DE8">
              <w:rPr>
                <w:szCs w:val="24"/>
              </w:rPr>
              <w:t>7907</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50E33A" w14:textId="6E7C3300" w:rsidR="00834768" w:rsidRPr="00687DE8" w:rsidRDefault="00834768" w:rsidP="00834768">
            <w:pPr>
              <w:spacing w:after="0" w:line="240" w:lineRule="auto"/>
              <w:rPr>
                <w:szCs w:val="24"/>
              </w:rPr>
            </w:pPr>
            <w:r w:rsidRPr="00687DE8">
              <w:rPr>
                <w:szCs w:val="24"/>
              </w:rPr>
              <w:lastRenderedPageBreak/>
              <w:t>Koodi 7907 rakendatakse juhul, kui uuringu käigus tehakse lülisamba piirkonnast vähemalt kaks ülesvõtet. Kui uuringu käigus tehakse lülisamba piirkonnast rohkem kui kaks ülesvõtet, võtab Tervisekassa kolmandast ülesvõttest alates iga järgneva ülesvõtte eest tasu maksmise kohustuse üle koodi 7908 alusel</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F7E2950" w14:textId="464C2114" w:rsidR="00834768" w:rsidRPr="00687DE8" w:rsidRDefault="00897C30" w:rsidP="00834768">
            <w:pPr>
              <w:spacing w:after="0"/>
              <w:jc w:val="center"/>
              <w:rPr>
                <w:color w:val="000000" w:themeColor="text1"/>
                <w:szCs w:val="24"/>
              </w:rPr>
            </w:pPr>
            <w:r>
              <w:rPr>
                <w:color w:val="000000"/>
              </w:rPr>
              <w:t>31,07</w:t>
            </w:r>
          </w:p>
        </w:tc>
      </w:tr>
      <w:tr w:rsidR="00834768" w:rsidRPr="00687DE8" w14:paraId="28B73E27"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CD7BDE" w14:textId="77777777" w:rsidR="00834768" w:rsidRPr="00687DE8" w:rsidRDefault="00834768" w:rsidP="00834768">
            <w:pPr>
              <w:spacing w:after="0" w:line="240" w:lineRule="auto"/>
              <w:rPr>
                <w:szCs w:val="24"/>
              </w:rPr>
            </w:pPr>
            <w:r w:rsidRPr="00687DE8">
              <w:rPr>
                <w:szCs w:val="24"/>
              </w:rPr>
              <w:t>Röntgeniülesvõte lülisamba piirkonnast (iga järgmine ülesvõte)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15D787" w14:textId="77777777" w:rsidR="00834768" w:rsidRPr="00687DE8" w:rsidRDefault="00834768" w:rsidP="00834768">
            <w:pPr>
              <w:spacing w:after="0" w:line="240" w:lineRule="auto"/>
              <w:jc w:val="center"/>
              <w:rPr>
                <w:szCs w:val="24"/>
              </w:rPr>
            </w:pPr>
          </w:p>
          <w:p w14:paraId="381CE237" w14:textId="77777777" w:rsidR="00834768" w:rsidRPr="00687DE8" w:rsidRDefault="00834768" w:rsidP="00834768">
            <w:pPr>
              <w:spacing w:after="0" w:line="240" w:lineRule="auto"/>
              <w:jc w:val="center"/>
              <w:rPr>
                <w:szCs w:val="24"/>
              </w:rPr>
            </w:pPr>
            <w:r w:rsidRPr="00687DE8">
              <w:rPr>
                <w:szCs w:val="24"/>
              </w:rPr>
              <w:t>7908</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1F1832" w14:textId="77777777" w:rsidR="00834768" w:rsidRPr="00687DE8" w:rsidRDefault="00834768" w:rsidP="00834768">
            <w:pPr>
              <w:spacing w:after="0" w:line="240" w:lineRule="auto"/>
              <w:rPr>
                <w:szCs w:val="24"/>
              </w:rPr>
            </w:pPr>
            <w:r w:rsidRPr="00687DE8">
              <w:rPr>
                <w:szCs w:val="24"/>
              </w:rPr>
              <w:t>Koodi 7908 rakendatakse iga järgneva ülesvõtte puhul lisaks koodile 7907 juhul, kui uuringu käigus tehakse lülisamba piirkonnast rohkem kui kaks ülesvõtet</w:t>
            </w:r>
          </w:p>
        </w:tc>
        <w:tc>
          <w:tcPr>
            <w:tcW w:w="1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B8998C" w14:textId="719DE6BC" w:rsidR="00834768" w:rsidRPr="00687DE8" w:rsidRDefault="000F3418" w:rsidP="00834768">
            <w:pPr>
              <w:spacing w:after="0"/>
              <w:jc w:val="center"/>
              <w:rPr>
                <w:color w:val="000000" w:themeColor="text1"/>
                <w:szCs w:val="24"/>
              </w:rPr>
            </w:pPr>
            <w:r>
              <w:rPr>
                <w:color w:val="000000"/>
              </w:rPr>
              <w:t>19,40</w:t>
            </w:r>
          </w:p>
        </w:tc>
      </w:tr>
      <w:tr w:rsidR="00834768" w:rsidRPr="00687DE8" w14:paraId="49D12DA0"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D81F5C" w14:textId="77777777" w:rsidR="00834768" w:rsidRPr="00687DE8" w:rsidRDefault="00834768" w:rsidP="00834768">
            <w:pPr>
              <w:spacing w:after="0" w:line="240" w:lineRule="auto"/>
              <w:rPr>
                <w:szCs w:val="24"/>
              </w:rPr>
            </w:pPr>
            <w:r w:rsidRPr="00687DE8">
              <w:rPr>
                <w:szCs w:val="24"/>
              </w:rPr>
              <w:t>Röntgeniülesvõte rindkere piirkonnast (üks ülesvõte)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F1EA6B" w14:textId="77777777" w:rsidR="00834768" w:rsidRPr="00687DE8" w:rsidRDefault="00834768" w:rsidP="00834768">
            <w:pPr>
              <w:spacing w:after="0" w:line="240" w:lineRule="auto"/>
              <w:jc w:val="center"/>
              <w:rPr>
                <w:szCs w:val="24"/>
              </w:rPr>
            </w:pPr>
          </w:p>
          <w:p w14:paraId="42BAD0EE" w14:textId="77777777" w:rsidR="00834768" w:rsidRPr="00687DE8" w:rsidRDefault="00834768" w:rsidP="00834768">
            <w:pPr>
              <w:spacing w:after="0" w:line="240" w:lineRule="auto"/>
              <w:jc w:val="center"/>
              <w:rPr>
                <w:szCs w:val="24"/>
              </w:rPr>
            </w:pPr>
            <w:r w:rsidRPr="00687DE8">
              <w:rPr>
                <w:szCs w:val="24"/>
              </w:rPr>
              <w:t>7903</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EE0DEF" w14:textId="77777777" w:rsidR="00834768" w:rsidRPr="00687DE8" w:rsidRDefault="00834768" w:rsidP="00834768">
            <w:pPr>
              <w:spacing w:after="0" w:line="240" w:lineRule="auto"/>
              <w:rPr>
                <w:szCs w:val="24"/>
              </w:rPr>
            </w:pPr>
            <w:r w:rsidRPr="00687DE8">
              <w:rPr>
                <w:szCs w:val="24"/>
              </w:rPr>
              <w:t>Koodi 7903 rakendatakse juhul, kui uuringu käigus tehakse rindkere piirkonnast üks ülesvõte</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E5416A0" w14:textId="51A9BEC5" w:rsidR="00834768" w:rsidRPr="00687DE8" w:rsidRDefault="000F3418" w:rsidP="00834768">
            <w:pPr>
              <w:spacing w:after="0"/>
              <w:jc w:val="center"/>
              <w:rPr>
                <w:color w:val="000000" w:themeColor="text1"/>
                <w:szCs w:val="24"/>
              </w:rPr>
            </w:pPr>
            <w:r>
              <w:rPr>
                <w:color w:val="000000"/>
              </w:rPr>
              <w:t>20,99</w:t>
            </w:r>
          </w:p>
        </w:tc>
      </w:tr>
      <w:tr w:rsidR="00834768" w:rsidRPr="00687DE8" w14:paraId="054E9463"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D027DE" w14:textId="77777777" w:rsidR="00834768" w:rsidRPr="00687DE8" w:rsidRDefault="00834768" w:rsidP="00834768">
            <w:pPr>
              <w:spacing w:after="0" w:line="240" w:lineRule="auto"/>
              <w:rPr>
                <w:szCs w:val="24"/>
              </w:rPr>
            </w:pPr>
            <w:r w:rsidRPr="00687DE8">
              <w:rPr>
                <w:szCs w:val="24"/>
              </w:rPr>
              <w:t>Röntgeniülesvõte rindkere piirkonnast (kaks ülesvõtet)</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0F1564" w14:textId="77777777" w:rsidR="00834768" w:rsidRPr="00687DE8" w:rsidRDefault="00834768" w:rsidP="00834768">
            <w:pPr>
              <w:spacing w:after="0" w:line="240" w:lineRule="auto"/>
              <w:jc w:val="center"/>
              <w:rPr>
                <w:szCs w:val="24"/>
              </w:rPr>
            </w:pPr>
          </w:p>
          <w:p w14:paraId="18B48661" w14:textId="77777777" w:rsidR="00834768" w:rsidRPr="00687DE8" w:rsidRDefault="00834768" w:rsidP="00834768">
            <w:pPr>
              <w:spacing w:after="0" w:line="240" w:lineRule="auto"/>
              <w:jc w:val="center"/>
              <w:rPr>
                <w:szCs w:val="24"/>
              </w:rPr>
            </w:pPr>
            <w:r w:rsidRPr="00687DE8">
              <w:rPr>
                <w:szCs w:val="24"/>
              </w:rPr>
              <w:t>7904</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940430" w14:textId="77777777" w:rsidR="00834768" w:rsidRPr="00687DE8" w:rsidRDefault="00834768" w:rsidP="00834768">
            <w:pPr>
              <w:spacing w:after="0" w:line="240" w:lineRule="auto"/>
              <w:rPr>
                <w:szCs w:val="24"/>
              </w:rPr>
            </w:pPr>
            <w:r w:rsidRPr="00687DE8">
              <w:rPr>
                <w:szCs w:val="24"/>
              </w:rPr>
              <w:t>Koodi 7904 rakendatakse juhul, kui uuringu käigus tehakse rindkere piirkonnast kaks ülesvõtet</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3D2D807" w14:textId="78086ACC" w:rsidR="00834768" w:rsidRPr="00687DE8" w:rsidRDefault="000F3418" w:rsidP="00834768">
            <w:pPr>
              <w:spacing w:after="0"/>
              <w:jc w:val="center"/>
              <w:rPr>
                <w:color w:val="000000" w:themeColor="text1"/>
                <w:szCs w:val="24"/>
              </w:rPr>
            </w:pPr>
            <w:r>
              <w:rPr>
                <w:color w:val="000000"/>
              </w:rPr>
              <w:t>31,11</w:t>
            </w:r>
          </w:p>
        </w:tc>
      </w:tr>
      <w:tr w:rsidR="00834768" w:rsidRPr="00687DE8" w14:paraId="1EF47AFC"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9F4E1E" w14:textId="77777777" w:rsidR="00834768" w:rsidRPr="00687DE8" w:rsidRDefault="00834768" w:rsidP="00834768">
            <w:pPr>
              <w:spacing w:after="0" w:line="240" w:lineRule="auto"/>
              <w:rPr>
                <w:szCs w:val="24"/>
              </w:rPr>
            </w:pPr>
            <w:r w:rsidRPr="00687DE8">
              <w:rPr>
                <w:szCs w:val="24"/>
              </w:rPr>
              <w:t>Röntgeniülesvõte rindkere piirkonnast (kolm või enam ülesvõtet)</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9BD8A3" w14:textId="77777777" w:rsidR="00834768" w:rsidRPr="00687DE8" w:rsidRDefault="00834768" w:rsidP="00834768">
            <w:pPr>
              <w:spacing w:after="0" w:line="240" w:lineRule="auto"/>
              <w:jc w:val="center"/>
              <w:rPr>
                <w:szCs w:val="24"/>
              </w:rPr>
            </w:pPr>
          </w:p>
          <w:p w14:paraId="46D29146" w14:textId="77777777" w:rsidR="00834768" w:rsidRPr="00687DE8" w:rsidRDefault="00834768" w:rsidP="00834768">
            <w:pPr>
              <w:spacing w:after="0" w:line="240" w:lineRule="auto"/>
              <w:jc w:val="center"/>
              <w:rPr>
                <w:szCs w:val="24"/>
              </w:rPr>
            </w:pPr>
            <w:r w:rsidRPr="00687DE8">
              <w:rPr>
                <w:szCs w:val="24"/>
              </w:rPr>
              <w:t>7905</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1BFCC7" w14:textId="77777777" w:rsidR="00834768" w:rsidRPr="00687DE8" w:rsidRDefault="00834768" w:rsidP="00834768">
            <w:pPr>
              <w:spacing w:after="0" w:line="240" w:lineRule="auto"/>
              <w:rPr>
                <w:szCs w:val="24"/>
              </w:rPr>
            </w:pPr>
            <w:r w:rsidRPr="00687DE8">
              <w:rPr>
                <w:szCs w:val="24"/>
              </w:rPr>
              <w:t>Koodi 7905 rakendatakse juhul, kui uuringu käigus tehakse rindkere piirkonnast rohkem kui kaks ülesvõtet</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68DDED0" w14:textId="75F60F24" w:rsidR="00834768" w:rsidRPr="00687DE8" w:rsidRDefault="000F3418" w:rsidP="00834768">
            <w:pPr>
              <w:spacing w:after="0"/>
              <w:jc w:val="center"/>
              <w:rPr>
                <w:color w:val="000000" w:themeColor="text1"/>
                <w:szCs w:val="24"/>
              </w:rPr>
            </w:pPr>
            <w:r>
              <w:rPr>
                <w:color w:val="000000"/>
              </w:rPr>
              <w:t>37,19</w:t>
            </w:r>
          </w:p>
        </w:tc>
      </w:tr>
      <w:tr w:rsidR="00834768" w:rsidRPr="00687DE8" w14:paraId="4576ECB8"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1EE4AC" w14:textId="77777777" w:rsidR="00834768" w:rsidRPr="00687DE8" w:rsidRDefault="00834768" w:rsidP="00834768">
            <w:pPr>
              <w:spacing w:after="0" w:line="240" w:lineRule="auto"/>
              <w:rPr>
                <w:szCs w:val="24"/>
              </w:rPr>
            </w:pPr>
            <w:r w:rsidRPr="00687DE8">
              <w:rPr>
                <w:szCs w:val="24"/>
              </w:rPr>
              <w:t>Röntgeniülesvõte kõhupiirkonnast (üks ülesvõte)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62723C" w14:textId="77777777" w:rsidR="00834768" w:rsidRPr="00687DE8" w:rsidRDefault="00834768" w:rsidP="00834768">
            <w:pPr>
              <w:spacing w:after="0" w:line="240" w:lineRule="auto"/>
              <w:jc w:val="center"/>
              <w:rPr>
                <w:szCs w:val="24"/>
              </w:rPr>
            </w:pPr>
          </w:p>
          <w:p w14:paraId="50C5738A" w14:textId="77777777" w:rsidR="00834768" w:rsidRPr="00687DE8" w:rsidRDefault="00834768" w:rsidP="00834768">
            <w:pPr>
              <w:spacing w:after="0" w:line="240" w:lineRule="auto"/>
              <w:jc w:val="center"/>
              <w:rPr>
                <w:szCs w:val="24"/>
              </w:rPr>
            </w:pPr>
            <w:r w:rsidRPr="00687DE8">
              <w:rPr>
                <w:szCs w:val="24"/>
              </w:rPr>
              <w:t>7909</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EE45D5" w14:textId="77777777" w:rsidR="00834768" w:rsidRPr="00687DE8" w:rsidRDefault="00834768" w:rsidP="00834768">
            <w:pPr>
              <w:spacing w:after="0" w:line="240" w:lineRule="auto"/>
              <w:rPr>
                <w:szCs w:val="24"/>
              </w:rPr>
            </w:pPr>
            <w:r w:rsidRPr="00687DE8">
              <w:rPr>
                <w:szCs w:val="24"/>
              </w:rPr>
              <w:t>Koodi 7909 rakendatakse juhul, kui uuringu käigus tehakse kõhupiirkonnast üks ülesvõte</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B038047" w14:textId="7BAFBBCE" w:rsidR="00834768" w:rsidRPr="00687DE8" w:rsidRDefault="000F3418" w:rsidP="00834768">
            <w:pPr>
              <w:spacing w:after="0"/>
              <w:jc w:val="center"/>
              <w:rPr>
                <w:color w:val="000000" w:themeColor="text1"/>
                <w:szCs w:val="24"/>
              </w:rPr>
            </w:pPr>
            <w:r>
              <w:rPr>
                <w:color w:val="000000"/>
              </w:rPr>
              <w:t>19,33</w:t>
            </w:r>
          </w:p>
        </w:tc>
      </w:tr>
      <w:tr w:rsidR="00834768" w:rsidRPr="00687DE8" w14:paraId="6068B926"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6415CC" w14:textId="77777777" w:rsidR="00834768" w:rsidRPr="00687DE8" w:rsidRDefault="00834768" w:rsidP="00834768">
            <w:pPr>
              <w:spacing w:after="0" w:line="240" w:lineRule="auto"/>
              <w:rPr>
                <w:szCs w:val="24"/>
              </w:rPr>
            </w:pPr>
            <w:r w:rsidRPr="00687DE8">
              <w:rPr>
                <w:szCs w:val="24"/>
              </w:rPr>
              <w:t>Röntgeniülesvõte kõhupiirkonnast (kaks ülesvõtet)</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C274FB" w14:textId="77777777" w:rsidR="00834768" w:rsidRPr="00687DE8" w:rsidRDefault="00834768" w:rsidP="00834768">
            <w:pPr>
              <w:spacing w:after="0" w:line="240" w:lineRule="auto"/>
              <w:jc w:val="center"/>
              <w:rPr>
                <w:szCs w:val="24"/>
              </w:rPr>
            </w:pPr>
          </w:p>
          <w:p w14:paraId="0B0E8BAA" w14:textId="77777777" w:rsidR="00834768" w:rsidRPr="00687DE8" w:rsidRDefault="00834768" w:rsidP="00834768">
            <w:pPr>
              <w:spacing w:after="0" w:line="240" w:lineRule="auto"/>
              <w:jc w:val="center"/>
              <w:rPr>
                <w:szCs w:val="24"/>
              </w:rPr>
            </w:pPr>
            <w:r w:rsidRPr="00687DE8">
              <w:rPr>
                <w:szCs w:val="24"/>
              </w:rPr>
              <w:t>7910</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10C15D" w14:textId="77777777" w:rsidR="00834768" w:rsidRPr="00687DE8" w:rsidRDefault="00834768" w:rsidP="00834768">
            <w:pPr>
              <w:spacing w:after="0" w:line="240" w:lineRule="auto"/>
              <w:rPr>
                <w:szCs w:val="24"/>
              </w:rPr>
            </w:pPr>
            <w:r w:rsidRPr="00687DE8">
              <w:rPr>
                <w:szCs w:val="24"/>
              </w:rPr>
              <w:t>Koodi 7910 rakendatakse juhul, kui uuringu käigus tehakse kõhupiirkonnast kaks ülesvõtet</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6AA7CC1" w14:textId="1FC4C50D" w:rsidR="00834768" w:rsidRPr="00687DE8" w:rsidRDefault="000F3418" w:rsidP="00834768">
            <w:pPr>
              <w:spacing w:after="0"/>
              <w:jc w:val="center"/>
              <w:rPr>
                <w:color w:val="000000" w:themeColor="text1"/>
                <w:szCs w:val="24"/>
              </w:rPr>
            </w:pPr>
            <w:r>
              <w:rPr>
                <w:color w:val="000000"/>
              </w:rPr>
              <w:t>28,14</w:t>
            </w:r>
          </w:p>
        </w:tc>
      </w:tr>
      <w:tr w:rsidR="00834768" w:rsidRPr="00687DE8" w14:paraId="11B27F7F"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93D1F4" w14:textId="77777777" w:rsidR="00834768" w:rsidRPr="00687DE8" w:rsidRDefault="00834768" w:rsidP="00834768">
            <w:pPr>
              <w:spacing w:after="0" w:line="240" w:lineRule="auto"/>
              <w:rPr>
                <w:szCs w:val="24"/>
              </w:rPr>
            </w:pPr>
            <w:r w:rsidRPr="00687DE8">
              <w:rPr>
                <w:szCs w:val="24"/>
              </w:rPr>
              <w:t>Röntgeniülesvõte kõhupiirkonnast (kolm või enam ülesvõtet)</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B94EA4" w14:textId="77777777" w:rsidR="00834768" w:rsidRPr="00687DE8" w:rsidRDefault="00834768" w:rsidP="00834768">
            <w:pPr>
              <w:spacing w:after="0" w:line="240" w:lineRule="auto"/>
              <w:jc w:val="center"/>
              <w:rPr>
                <w:szCs w:val="24"/>
              </w:rPr>
            </w:pPr>
          </w:p>
          <w:p w14:paraId="4D0AD925" w14:textId="77777777" w:rsidR="00834768" w:rsidRPr="00687DE8" w:rsidRDefault="00834768" w:rsidP="00834768">
            <w:pPr>
              <w:spacing w:after="0" w:line="240" w:lineRule="auto"/>
              <w:jc w:val="center"/>
              <w:rPr>
                <w:szCs w:val="24"/>
              </w:rPr>
            </w:pPr>
            <w:r w:rsidRPr="00687DE8">
              <w:rPr>
                <w:szCs w:val="24"/>
              </w:rPr>
              <w:t>7911</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394C0A" w14:textId="77777777" w:rsidR="00834768" w:rsidRPr="00687DE8" w:rsidRDefault="00834768" w:rsidP="00834768">
            <w:pPr>
              <w:spacing w:after="0" w:line="240" w:lineRule="auto"/>
              <w:rPr>
                <w:szCs w:val="24"/>
              </w:rPr>
            </w:pPr>
            <w:r w:rsidRPr="00687DE8">
              <w:rPr>
                <w:szCs w:val="24"/>
              </w:rPr>
              <w:t>Koodi 7911 rakendatakse juhul, kui uuringu käigus tehakse kõhupiirkonnast rohkem kui kaks ülesvõtet</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A5FF806" w14:textId="5AC836E6" w:rsidR="00834768" w:rsidRPr="00687DE8" w:rsidRDefault="000F3418" w:rsidP="00834768">
            <w:pPr>
              <w:spacing w:after="0"/>
              <w:jc w:val="center"/>
              <w:rPr>
                <w:color w:val="000000" w:themeColor="text1"/>
                <w:szCs w:val="24"/>
              </w:rPr>
            </w:pPr>
            <w:r>
              <w:rPr>
                <w:color w:val="000000"/>
              </w:rPr>
              <w:t>33,01</w:t>
            </w:r>
          </w:p>
        </w:tc>
      </w:tr>
      <w:tr w:rsidR="00834768" w:rsidRPr="00687DE8" w14:paraId="1A3ED682"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D1DF11" w14:textId="77777777" w:rsidR="00834768" w:rsidRPr="00687DE8" w:rsidRDefault="00834768" w:rsidP="00834768">
            <w:pPr>
              <w:spacing w:after="0" w:line="240" w:lineRule="auto"/>
              <w:rPr>
                <w:szCs w:val="24"/>
              </w:rPr>
            </w:pPr>
            <w:r w:rsidRPr="00687DE8">
              <w:rPr>
                <w:szCs w:val="24"/>
              </w:rPr>
              <w:t>Röntgeniülesvõte vaagnapiirkonnast (üks ülesvõte)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BFBA7D" w14:textId="77777777" w:rsidR="00834768" w:rsidRPr="00687DE8" w:rsidRDefault="00834768" w:rsidP="00834768">
            <w:pPr>
              <w:spacing w:after="0" w:line="240" w:lineRule="auto"/>
              <w:jc w:val="center"/>
              <w:rPr>
                <w:szCs w:val="24"/>
              </w:rPr>
            </w:pPr>
          </w:p>
          <w:p w14:paraId="5E621DE2" w14:textId="77777777" w:rsidR="00834768" w:rsidRPr="00687DE8" w:rsidRDefault="00834768" w:rsidP="00834768">
            <w:pPr>
              <w:spacing w:after="0" w:line="240" w:lineRule="auto"/>
              <w:jc w:val="center"/>
              <w:rPr>
                <w:szCs w:val="24"/>
              </w:rPr>
            </w:pPr>
            <w:r w:rsidRPr="00687DE8">
              <w:rPr>
                <w:szCs w:val="24"/>
              </w:rPr>
              <w:t>7912</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214416" w14:textId="77777777" w:rsidR="00834768" w:rsidRPr="00687DE8" w:rsidRDefault="00834768" w:rsidP="00834768">
            <w:pPr>
              <w:spacing w:after="0" w:line="240" w:lineRule="auto"/>
              <w:rPr>
                <w:szCs w:val="24"/>
              </w:rPr>
            </w:pPr>
            <w:r w:rsidRPr="00687DE8">
              <w:rPr>
                <w:szCs w:val="24"/>
              </w:rPr>
              <w:t>Koodi 7912 rakendatakse juhul, kui uuringu käigus tehakse vaagnapiirkonnast üks ülesvõte</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4ACA17C" w14:textId="4DEEF1B7" w:rsidR="00834768" w:rsidRPr="00687DE8" w:rsidRDefault="000F3418" w:rsidP="00834768">
            <w:pPr>
              <w:spacing w:after="0"/>
              <w:jc w:val="center"/>
              <w:rPr>
                <w:color w:val="000000" w:themeColor="text1"/>
                <w:szCs w:val="24"/>
              </w:rPr>
            </w:pPr>
            <w:r>
              <w:rPr>
                <w:color w:val="000000"/>
              </w:rPr>
              <w:t>21,26</w:t>
            </w:r>
          </w:p>
        </w:tc>
      </w:tr>
      <w:tr w:rsidR="00834768" w:rsidRPr="00687DE8" w14:paraId="2EB585B0"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B7F0D2" w14:textId="77777777" w:rsidR="00834768" w:rsidRPr="00687DE8" w:rsidRDefault="00834768" w:rsidP="00834768">
            <w:pPr>
              <w:spacing w:after="0" w:line="240" w:lineRule="auto"/>
              <w:rPr>
                <w:szCs w:val="24"/>
              </w:rPr>
            </w:pPr>
            <w:r w:rsidRPr="00687DE8">
              <w:rPr>
                <w:szCs w:val="24"/>
              </w:rPr>
              <w:t>Röntgeniülesvõte vaagnapiirkonnast (kaks ülesvõtet)</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6B0A43" w14:textId="77777777" w:rsidR="00834768" w:rsidRPr="00687DE8" w:rsidRDefault="00834768" w:rsidP="00834768">
            <w:pPr>
              <w:spacing w:after="0" w:line="240" w:lineRule="auto"/>
              <w:jc w:val="center"/>
              <w:rPr>
                <w:szCs w:val="24"/>
              </w:rPr>
            </w:pPr>
          </w:p>
          <w:p w14:paraId="1B759624" w14:textId="77777777" w:rsidR="00834768" w:rsidRPr="00687DE8" w:rsidRDefault="00834768" w:rsidP="00834768">
            <w:pPr>
              <w:spacing w:after="0" w:line="240" w:lineRule="auto"/>
              <w:jc w:val="center"/>
              <w:rPr>
                <w:szCs w:val="24"/>
              </w:rPr>
            </w:pPr>
            <w:r w:rsidRPr="00687DE8">
              <w:rPr>
                <w:szCs w:val="24"/>
              </w:rPr>
              <w:t>7913</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0DA8D7" w14:textId="77777777" w:rsidR="00834768" w:rsidRPr="00687DE8" w:rsidRDefault="00834768" w:rsidP="00834768">
            <w:pPr>
              <w:spacing w:after="0" w:line="240" w:lineRule="auto"/>
              <w:rPr>
                <w:szCs w:val="24"/>
              </w:rPr>
            </w:pPr>
            <w:r w:rsidRPr="00687DE8">
              <w:rPr>
                <w:szCs w:val="24"/>
              </w:rPr>
              <w:t>Koodi 7913 rakendatakse juhul, kui uuringu käigus tehakse vaagnapiirkonnast kaks ülesvõtet</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03D37CD" w14:textId="62BBE35A" w:rsidR="00834768" w:rsidRPr="00687DE8" w:rsidRDefault="000F3418" w:rsidP="00834768">
            <w:pPr>
              <w:spacing w:after="0"/>
              <w:jc w:val="center"/>
              <w:rPr>
                <w:color w:val="000000" w:themeColor="text1"/>
                <w:szCs w:val="24"/>
              </w:rPr>
            </w:pPr>
            <w:r>
              <w:rPr>
                <w:color w:val="000000"/>
              </w:rPr>
              <w:t>30,07</w:t>
            </w:r>
          </w:p>
        </w:tc>
      </w:tr>
      <w:tr w:rsidR="00834768" w:rsidRPr="00687DE8" w14:paraId="076F5781"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D68DED" w14:textId="77777777" w:rsidR="00834768" w:rsidRPr="00687DE8" w:rsidRDefault="00834768" w:rsidP="00834768">
            <w:pPr>
              <w:spacing w:after="0" w:line="240" w:lineRule="auto"/>
              <w:rPr>
                <w:szCs w:val="24"/>
              </w:rPr>
            </w:pPr>
            <w:r w:rsidRPr="00687DE8">
              <w:rPr>
                <w:szCs w:val="24"/>
              </w:rPr>
              <w:t>Röntgeniülesvõte vaagnapiirkonnast (kolm või enam ülesvõtet)</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539201" w14:textId="77777777" w:rsidR="00834768" w:rsidRPr="00687DE8" w:rsidRDefault="00834768" w:rsidP="00834768">
            <w:pPr>
              <w:spacing w:after="0" w:line="240" w:lineRule="auto"/>
              <w:jc w:val="center"/>
              <w:rPr>
                <w:szCs w:val="24"/>
              </w:rPr>
            </w:pPr>
          </w:p>
          <w:p w14:paraId="601501A9" w14:textId="77777777" w:rsidR="00834768" w:rsidRPr="00687DE8" w:rsidRDefault="00834768" w:rsidP="00834768">
            <w:pPr>
              <w:spacing w:after="0" w:line="240" w:lineRule="auto"/>
              <w:jc w:val="center"/>
              <w:rPr>
                <w:szCs w:val="24"/>
              </w:rPr>
            </w:pPr>
            <w:r w:rsidRPr="00687DE8">
              <w:rPr>
                <w:szCs w:val="24"/>
              </w:rPr>
              <w:t>7914</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ED8D4F" w14:textId="1C40C263" w:rsidR="00834768" w:rsidRPr="00687DE8" w:rsidRDefault="00834768" w:rsidP="00834768">
            <w:pPr>
              <w:spacing w:after="0" w:line="240" w:lineRule="auto"/>
              <w:rPr>
                <w:szCs w:val="24"/>
              </w:rPr>
            </w:pPr>
            <w:r w:rsidRPr="00687DE8">
              <w:rPr>
                <w:szCs w:val="24"/>
              </w:rPr>
              <w:t>Koodi 7914 rakendatakse juhul, kui uuringu käigus tehakse vaagnapiirkonnast rohkem kui kaks</w:t>
            </w:r>
            <w:r w:rsidR="0062590F">
              <w:rPr>
                <w:szCs w:val="24"/>
              </w:rPr>
              <w:t xml:space="preserve"> </w:t>
            </w:r>
            <w:r w:rsidRPr="00687DE8">
              <w:rPr>
                <w:szCs w:val="24"/>
              </w:rPr>
              <w:t>ülesvõtet</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73B31B2" w14:textId="5D0DE6C9" w:rsidR="00834768" w:rsidRPr="00687DE8" w:rsidRDefault="000F3418" w:rsidP="00834768">
            <w:pPr>
              <w:spacing w:after="0"/>
              <w:jc w:val="center"/>
              <w:rPr>
                <w:color w:val="000000" w:themeColor="text1"/>
                <w:szCs w:val="24"/>
              </w:rPr>
            </w:pPr>
            <w:r>
              <w:rPr>
                <w:color w:val="000000"/>
              </w:rPr>
              <w:t>37,80</w:t>
            </w:r>
          </w:p>
        </w:tc>
      </w:tr>
      <w:tr w:rsidR="00834768" w:rsidRPr="00687DE8" w14:paraId="03F63378"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7CA716" w14:textId="77777777" w:rsidR="00834768" w:rsidRPr="00687DE8" w:rsidRDefault="00834768" w:rsidP="00834768">
            <w:pPr>
              <w:spacing w:after="0" w:line="240" w:lineRule="auto"/>
              <w:rPr>
                <w:szCs w:val="24"/>
              </w:rPr>
            </w:pPr>
            <w:r w:rsidRPr="00687DE8">
              <w:rPr>
                <w:szCs w:val="24"/>
              </w:rPr>
              <w:t>Röntgeniülesvõte ülajäsemetest ja/või liigestest (üks ülesvõte)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F1B5B8" w14:textId="77777777" w:rsidR="00834768" w:rsidRPr="00687DE8" w:rsidRDefault="00834768" w:rsidP="00834768">
            <w:pPr>
              <w:spacing w:after="0" w:line="240" w:lineRule="auto"/>
              <w:jc w:val="center"/>
              <w:rPr>
                <w:szCs w:val="24"/>
              </w:rPr>
            </w:pPr>
          </w:p>
          <w:p w14:paraId="3AD50E70" w14:textId="77777777" w:rsidR="00834768" w:rsidRPr="00687DE8" w:rsidRDefault="00834768" w:rsidP="00834768">
            <w:pPr>
              <w:spacing w:after="0" w:line="240" w:lineRule="auto"/>
              <w:jc w:val="center"/>
              <w:rPr>
                <w:szCs w:val="24"/>
              </w:rPr>
            </w:pPr>
            <w:r w:rsidRPr="00687DE8">
              <w:rPr>
                <w:szCs w:val="24"/>
              </w:rPr>
              <w:t>7915</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97BA2D" w14:textId="77777777" w:rsidR="00834768" w:rsidRPr="00687DE8" w:rsidRDefault="00834768" w:rsidP="00834768">
            <w:pPr>
              <w:spacing w:after="0" w:line="240" w:lineRule="auto"/>
              <w:rPr>
                <w:szCs w:val="24"/>
              </w:rPr>
            </w:pPr>
            <w:r w:rsidRPr="00687DE8">
              <w:rPr>
                <w:szCs w:val="24"/>
              </w:rPr>
              <w:t>Koodi 7915 rakendatakse juhul, kui uuringu käigus tehakse ülajäsemetest ja/või ülajäseme liigestest üks ülesvõte</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16FB6C6" w14:textId="795B86DB" w:rsidR="008B254C" w:rsidRPr="00687DE8" w:rsidRDefault="008B254C" w:rsidP="000F3418">
            <w:pPr>
              <w:spacing w:after="0"/>
              <w:jc w:val="center"/>
              <w:rPr>
                <w:color w:val="000000" w:themeColor="text1"/>
                <w:szCs w:val="24"/>
              </w:rPr>
            </w:pPr>
          </w:p>
          <w:p w14:paraId="1ED011B4" w14:textId="77777777" w:rsidR="008B254C" w:rsidRPr="008B254C" w:rsidRDefault="008B254C" w:rsidP="008B254C">
            <w:pPr>
              <w:spacing w:after="0"/>
              <w:jc w:val="center"/>
              <w:rPr>
                <w:color w:val="000000"/>
              </w:rPr>
            </w:pPr>
            <w:r w:rsidRPr="008B254C">
              <w:rPr>
                <w:color w:val="000000"/>
              </w:rPr>
              <w:t>21,26</w:t>
            </w:r>
          </w:p>
          <w:p w14:paraId="1943FA90" w14:textId="5332DDB1" w:rsidR="00834768" w:rsidRPr="00687DE8" w:rsidRDefault="00834768" w:rsidP="00834768">
            <w:pPr>
              <w:spacing w:after="0"/>
              <w:jc w:val="center"/>
              <w:rPr>
                <w:color w:val="000000" w:themeColor="text1"/>
                <w:szCs w:val="24"/>
              </w:rPr>
            </w:pPr>
          </w:p>
        </w:tc>
      </w:tr>
      <w:tr w:rsidR="00834768" w:rsidRPr="00687DE8" w14:paraId="118616B2" w14:textId="77777777" w:rsidTr="00EB7A71">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7D40D5" w14:textId="77777777" w:rsidR="00834768" w:rsidRPr="00687DE8" w:rsidRDefault="00834768" w:rsidP="00834768">
            <w:pPr>
              <w:spacing w:after="0" w:line="240" w:lineRule="auto"/>
              <w:rPr>
                <w:szCs w:val="24"/>
              </w:rPr>
            </w:pPr>
            <w:r w:rsidRPr="00687DE8">
              <w:rPr>
                <w:szCs w:val="24"/>
              </w:rPr>
              <w:lastRenderedPageBreak/>
              <w:t>Röntgeniülesvõte ülajäsemetest (kaks ülesvõtet)</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7A90D8" w14:textId="77777777" w:rsidR="00834768" w:rsidRDefault="00834768" w:rsidP="00834768">
            <w:pPr>
              <w:spacing w:after="0" w:line="240" w:lineRule="auto"/>
              <w:jc w:val="center"/>
              <w:rPr>
                <w:szCs w:val="24"/>
              </w:rPr>
            </w:pPr>
          </w:p>
          <w:p w14:paraId="050AC7AC" w14:textId="77777777" w:rsidR="00C45753" w:rsidRPr="00687DE8" w:rsidRDefault="00C45753" w:rsidP="00834768">
            <w:pPr>
              <w:spacing w:after="0" w:line="240" w:lineRule="auto"/>
              <w:jc w:val="center"/>
              <w:rPr>
                <w:szCs w:val="24"/>
              </w:rPr>
            </w:pPr>
          </w:p>
          <w:p w14:paraId="46137A12" w14:textId="77777777" w:rsidR="00834768" w:rsidRPr="00687DE8" w:rsidRDefault="00834768" w:rsidP="00834768">
            <w:pPr>
              <w:spacing w:after="0" w:line="240" w:lineRule="auto"/>
              <w:jc w:val="center"/>
              <w:rPr>
                <w:szCs w:val="24"/>
              </w:rPr>
            </w:pPr>
            <w:r w:rsidRPr="00687DE8">
              <w:rPr>
                <w:szCs w:val="24"/>
              </w:rPr>
              <w:t>7916</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3EE8F1" w14:textId="569D59D1" w:rsidR="00834768" w:rsidRPr="00687DE8" w:rsidRDefault="00834768" w:rsidP="00834768">
            <w:pPr>
              <w:spacing w:after="0" w:line="240" w:lineRule="auto"/>
              <w:rPr>
                <w:szCs w:val="24"/>
              </w:rPr>
            </w:pPr>
            <w:r w:rsidRPr="00687DE8">
              <w:rPr>
                <w:szCs w:val="24"/>
              </w:rPr>
              <w:t>Koodi 7916 rakendatakse juhul, kui uuringu käigus tehakse ülajäsemetest kaks ülesvõtet. Kui uuringu käigus tehakse ülajäsemetest rohkem kui kaks ülesvõtet, võtab Tervisekassa kolmandast ülesvõttest alates iga järgneva ülesvõtte eest tasu maksmise kohustuse üle koodi 7917 alusel</w:t>
            </w:r>
          </w:p>
        </w:tc>
        <w:tc>
          <w:tcPr>
            <w:tcW w:w="1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E7247E" w14:textId="47517798" w:rsidR="00834768" w:rsidRPr="00687DE8" w:rsidRDefault="008B254C" w:rsidP="00834768">
            <w:pPr>
              <w:spacing w:after="0"/>
              <w:jc w:val="center"/>
              <w:rPr>
                <w:color w:val="000000" w:themeColor="text1"/>
                <w:szCs w:val="24"/>
              </w:rPr>
            </w:pPr>
            <w:r>
              <w:rPr>
                <w:color w:val="000000"/>
              </w:rPr>
              <w:t>26,06</w:t>
            </w:r>
          </w:p>
        </w:tc>
      </w:tr>
      <w:tr w:rsidR="00834768" w:rsidRPr="00687DE8" w14:paraId="3FE4CDFF" w14:textId="77777777" w:rsidTr="00EB7A71">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2167F4" w14:textId="77777777" w:rsidR="00834768" w:rsidRPr="00687DE8" w:rsidRDefault="00834768" w:rsidP="00834768">
            <w:pPr>
              <w:spacing w:after="0" w:line="240" w:lineRule="auto"/>
              <w:rPr>
                <w:szCs w:val="24"/>
              </w:rPr>
            </w:pPr>
            <w:r w:rsidRPr="00687DE8">
              <w:rPr>
                <w:szCs w:val="24"/>
              </w:rPr>
              <w:t>Röntgeniülesvõte ülajäsemetest (iga järgmine ülesvõte)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6C3AD1" w14:textId="77777777" w:rsidR="00834768" w:rsidRPr="00687DE8" w:rsidRDefault="00834768" w:rsidP="00834768">
            <w:pPr>
              <w:spacing w:after="0" w:line="240" w:lineRule="auto"/>
              <w:jc w:val="center"/>
              <w:rPr>
                <w:szCs w:val="24"/>
              </w:rPr>
            </w:pPr>
          </w:p>
          <w:p w14:paraId="40193CDE" w14:textId="77777777" w:rsidR="00834768" w:rsidRPr="00687DE8" w:rsidRDefault="00834768" w:rsidP="00834768">
            <w:pPr>
              <w:spacing w:after="0" w:line="240" w:lineRule="auto"/>
              <w:jc w:val="center"/>
              <w:rPr>
                <w:szCs w:val="24"/>
              </w:rPr>
            </w:pPr>
            <w:r w:rsidRPr="00687DE8">
              <w:rPr>
                <w:szCs w:val="24"/>
              </w:rPr>
              <w:t>7917</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40DB6E" w14:textId="77777777" w:rsidR="00834768" w:rsidRPr="00687DE8" w:rsidRDefault="00834768" w:rsidP="00834768">
            <w:pPr>
              <w:spacing w:after="0" w:line="240" w:lineRule="auto"/>
              <w:rPr>
                <w:szCs w:val="24"/>
              </w:rPr>
            </w:pPr>
            <w:r w:rsidRPr="00687DE8">
              <w:rPr>
                <w:szCs w:val="24"/>
              </w:rPr>
              <w:t>Koodi 7917 rakendatakse iga järgneva ülesvõtte puhul lisaks koodile 7916 juhul, kui uuringu käigus tehakse ülajäsemetest rohkem kui kaks ülesvõtet</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7246E43" w14:textId="1B65DBC3" w:rsidR="00834768" w:rsidRPr="00687DE8" w:rsidRDefault="008B254C" w:rsidP="00834768">
            <w:pPr>
              <w:spacing w:after="0"/>
              <w:jc w:val="center"/>
              <w:rPr>
                <w:color w:val="000000" w:themeColor="text1"/>
                <w:szCs w:val="24"/>
              </w:rPr>
            </w:pPr>
            <w:r>
              <w:rPr>
                <w:color w:val="000000"/>
              </w:rPr>
              <w:t>18,96</w:t>
            </w:r>
          </w:p>
        </w:tc>
      </w:tr>
      <w:tr w:rsidR="00834768" w:rsidRPr="00687DE8" w14:paraId="0E968028"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BF7F49" w14:textId="77777777" w:rsidR="00834768" w:rsidRPr="00687DE8" w:rsidRDefault="00834768" w:rsidP="00834768">
            <w:pPr>
              <w:spacing w:after="0" w:line="240" w:lineRule="auto"/>
              <w:rPr>
                <w:szCs w:val="24"/>
              </w:rPr>
            </w:pPr>
            <w:r w:rsidRPr="00687DE8">
              <w:rPr>
                <w:szCs w:val="24"/>
              </w:rPr>
              <w:t>Röntgeniülesvõte alajäsemetest (üks ülesvõte)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544E88" w14:textId="77777777" w:rsidR="00834768" w:rsidRPr="00687DE8" w:rsidRDefault="00834768" w:rsidP="00834768">
            <w:pPr>
              <w:spacing w:after="0" w:line="240" w:lineRule="auto"/>
              <w:jc w:val="center"/>
              <w:rPr>
                <w:szCs w:val="24"/>
              </w:rPr>
            </w:pPr>
          </w:p>
          <w:p w14:paraId="27559F69" w14:textId="77777777" w:rsidR="00834768" w:rsidRPr="00687DE8" w:rsidRDefault="00834768" w:rsidP="00834768">
            <w:pPr>
              <w:spacing w:after="0" w:line="240" w:lineRule="auto"/>
              <w:jc w:val="center"/>
              <w:rPr>
                <w:szCs w:val="24"/>
              </w:rPr>
            </w:pPr>
            <w:r w:rsidRPr="00687DE8">
              <w:rPr>
                <w:szCs w:val="24"/>
              </w:rPr>
              <w:t>7918</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D1371E" w14:textId="77777777" w:rsidR="00834768" w:rsidRPr="00687DE8" w:rsidRDefault="00834768" w:rsidP="00834768">
            <w:pPr>
              <w:spacing w:after="0" w:line="240" w:lineRule="auto"/>
              <w:rPr>
                <w:szCs w:val="24"/>
              </w:rPr>
            </w:pPr>
            <w:r w:rsidRPr="00687DE8">
              <w:rPr>
                <w:szCs w:val="24"/>
              </w:rPr>
              <w:t>Koodi 7918 rakendatakse juhul, kui uuringu käigus tehakse alajäsemetest üks ülesvõte</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D5C9C25" w14:textId="2DAC7DA4" w:rsidR="00834768" w:rsidRPr="00687DE8" w:rsidRDefault="008B254C" w:rsidP="00834768">
            <w:pPr>
              <w:spacing w:after="0"/>
              <w:jc w:val="center"/>
              <w:rPr>
                <w:color w:val="000000" w:themeColor="text1"/>
                <w:szCs w:val="24"/>
              </w:rPr>
            </w:pPr>
            <w:r>
              <w:rPr>
                <w:color w:val="000000"/>
              </w:rPr>
              <w:t>23,12</w:t>
            </w:r>
          </w:p>
        </w:tc>
      </w:tr>
      <w:tr w:rsidR="00834768" w:rsidRPr="00687DE8" w14:paraId="21A9940F"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DA330B" w14:textId="77777777" w:rsidR="00834768" w:rsidRPr="00687DE8" w:rsidRDefault="00834768" w:rsidP="00834768">
            <w:pPr>
              <w:spacing w:after="0" w:line="240" w:lineRule="auto"/>
              <w:rPr>
                <w:szCs w:val="24"/>
              </w:rPr>
            </w:pPr>
            <w:r w:rsidRPr="00687DE8">
              <w:rPr>
                <w:szCs w:val="24"/>
              </w:rPr>
              <w:t>Röntgeniülesvõte alajäsemetest (kaks ülesvõtet)</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F1B74A" w14:textId="77777777" w:rsidR="00834768" w:rsidRPr="00687DE8" w:rsidRDefault="00834768" w:rsidP="00834768">
            <w:pPr>
              <w:spacing w:after="0" w:line="240" w:lineRule="auto"/>
              <w:jc w:val="center"/>
              <w:rPr>
                <w:szCs w:val="24"/>
              </w:rPr>
            </w:pPr>
          </w:p>
          <w:p w14:paraId="12117A69" w14:textId="77777777" w:rsidR="00834768" w:rsidRPr="00687DE8" w:rsidRDefault="00834768" w:rsidP="00834768">
            <w:pPr>
              <w:spacing w:after="0" w:line="240" w:lineRule="auto"/>
              <w:jc w:val="center"/>
              <w:rPr>
                <w:szCs w:val="24"/>
              </w:rPr>
            </w:pPr>
          </w:p>
          <w:p w14:paraId="4391D088" w14:textId="77777777" w:rsidR="00834768" w:rsidRPr="00687DE8" w:rsidRDefault="00834768" w:rsidP="00834768">
            <w:pPr>
              <w:spacing w:after="0" w:line="240" w:lineRule="auto"/>
              <w:jc w:val="center"/>
              <w:rPr>
                <w:szCs w:val="24"/>
              </w:rPr>
            </w:pPr>
            <w:r w:rsidRPr="00687DE8">
              <w:rPr>
                <w:szCs w:val="24"/>
              </w:rPr>
              <w:t>7919</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F9C8B3" w14:textId="1AFA5AD6" w:rsidR="00834768" w:rsidRPr="00687DE8" w:rsidRDefault="00834768" w:rsidP="00834768">
            <w:pPr>
              <w:spacing w:after="0" w:line="240" w:lineRule="auto"/>
              <w:rPr>
                <w:szCs w:val="24"/>
              </w:rPr>
            </w:pPr>
            <w:r w:rsidRPr="00687DE8">
              <w:rPr>
                <w:szCs w:val="24"/>
              </w:rPr>
              <w:t>Koodi 7919 rakendatakse juhul, kui uuringu käigus tehakse alajäsemetest kaks ülesvõtet. Kui uuringu käigus tehakse alajäsemetest rohkem kui kaks ülesvõtet, võtab Tervisekassa kolmandast ülesvõttest alates iga järgneva ülesvõtte eest tasu maksmise kohustuse üle koodi 7920 alusel</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77CF4EF" w14:textId="4D5CC017" w:rsidR="00834768" w:rsidRPr="00687DE8" w:rsidRDefault="008B254C" w:rsidP="00834768">
            <w:pPr>
              <w:spacing w:after="0"/>
              <w:jc w:val="center"/>
              <w:rPr>
                <w:color w:val="000000" w:themeColor="text1"/>
                <w:szCs w:val="24"/>
              </w:rPr>
            </w:pPr>
            <w:r>
              <w:rPr>
                <w:color w:val="000000"/>
              </w:rPr>
              <w:t>26,13</w:t>
            </w:r>
          </w:p>
        </w:tc>
      </w:tr>
      <w:tr w:rsidR="00834768" w:rsidRPr="00687DE8" w14:paraId="7F26A13D"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A1C4F1" w14:textId="77777777" w:rsidR="00834768" w:rsidRPr="00687DE8" w:rsidRDefault="00834768" w:rsidP="00834768">
            <w:pPr>
              <w:spacing w:after="0" w:line="240" w:lineRule="auto"/>
              <w:rPr>
                <w:szCs w:val="24"/>
              </w:rPr>
            </w:pPr>
            <w:r w:rsidRPr="00687DE8">
              <w:rPr>
                <w:szCs w:val="24"/>
              </w:rPr>
              <w:t>Röntgeniülesvõte alajäsemetest (iga järgmine ülesvõte)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1C7F83" w14:textId="77777777" w:rsidR="00834768" w:rsidRPr="00687DE8" w:rsidRDefault="00834768" w:rsidP="00834768">
            <w:pPr>
              <w:spacing w:after="0" w:line="240" w:lineRule="auto"/>
              <w:jc w:val="center"/>
              <w:rPr>
                <w:szCs w:val="24"/>
              </w:rPr>
            </w:pPr>
          </w:p>
          <w:p w14:paraId="7F54979B" w14:textId="77777777" w:rsidR="00834768" w:rsidRPr="00687DE8" w:rsidRDefault="00834768" w:rsidP="00834768">
            <w:pPr>
              <w:spacing w:after="0" w:line="240" w:lineRule="auto"/>
              <w:jc w:val="center"/>
              <w:rPr>
                <w:szCs w:val="24"/>
              </w:rPr>
            </w:pPr>
            <w:r w:rsidRPr="00687DE8">
              <w:rPr>
                <w:szCs w:val="24"/>
              </w:rPr>
              <w:t>7920</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491F66" w14:textId="77777777" w:rsidR="00834768" w:rsidRPr="00687DE8" w:rsidRDefault="00834768" w:rsidP="00834768">
            <w:pPr>
              <w:spacing w:after="0" w:line="240" w:lineRule="auto"/>
              <w:rPr>
                <w:szCs w:val="24"/>
              </w:rPr>
            </w:pPr>
            <w:r w:rsidRPr="00687DE8">
              <w:rPr>
                <w:szCs w:val="24"/>
              </w:rPr>
              <w:t>Koodi 7920 rakendatakse iga järgneva ülesvõtte puhul lisaks koodile 7919 juhul, kui uuringu käigus tehakse alajäsemetest rohkem kui kaks ülesvõtet</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A163024" w14:textId="7A41FF14" w:rsidR="00834768" w:rsidRPr="00687DE8" w:rsidRDefault="008B254C" w:rsidP="00834768">
            <w:pPr>
              <w:spacing w:after="0"/>
              <w:jc w:val="center"/>
              <w:rPr>
                <w:color w:val="000000" w:themeColor="text1"/>
                <w:szCs w:val="24"/>
              </w:rPr>
            </w:pPr>
            <w:r>
              <w:rPr>
                <w:color w:val="000000"/>
              </w:rPr>
              <w:t>19,40</w:t>
            </w:r>
          </w:p>
        </w:tc>
      </w:tr>
      <w:tr w:rsidR="00834768" w:rsidRPr="00687DE8" w14:paraId="19121C4D"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CC0445" w14:textId="77777777" w:rsidR="00834768" w:rsidRPr="00687DE8" w:rsidRDefault="00834768" w:rsidP="00834768">
            <w:pPr>
              <w:spacing w:after="0" w:line="240" w:lineRule="auto"/>
              <w:rPr>
                <w:szCs w:val="24"/>
              </w:rPr>
            </w:pPr>
            <w:r w:rsidRPr="00687DE8">
              <w:rPr>
                <w:szCs w:val="24"/>
              </w:rPr>
              <w:t>Ortopantomograafia (üks ülesvõte)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C4D87B" w14:textId="77777777" w:rsidR="00834768" w:rsidRPr="00687DE8" w:rsidRDefault="00834768" w:rsidP="00834768">
            <w:pPr>
              <w:spacing w:after="0" w:line="240" w:lineRule="auto"/>
              <w:jc w:val="center"/>
              <w:rPr>
                <w:szCs w:val="24"/>
              </w:rPr>
            </w:pPr>
          </w:p>
          <w:p w14:paraId="53B1A240" w14:textId="77777777" w:rsidR="00834768" w:rsidRPr="00687DE8" w:rsidRDefault="00834768" w:rsidP="00834768">
            <w:pPr>
              <w:spacing w:after="0" w:line="240" w:lineRule="auto"/>
              <w:jc w:val="center"/>
              <w:rPr>
                <w:szCs w:val="24"/>
              </w:rPr>
            </w:pPr>
            <w:r w:rsidRPr="00687DE8">
              <w:rPr>
                <w:szCs w:val="24"/>
              </w:rPr>
              <w:t>7922</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AA5A99" w14:textId="4A1A9FB0" w:rsidR="00834768" w:rsidRPr="00687DE8" w:rsidRDefault="00834768" w:rsidP="00834768">
            <w:pPr>
              <w:spacing w:after="0" w:line="240" w:lineRule="auto"/>
              <w:rPr>
                <w:szCs w:val="24"/>
              </w:rPr>
            </w:pPr>
            <w:r w:rsidRPr="00687DE8">
              <w:rPr>
                <w:szCs w:val="24"/>
              </w:rPr>
              <w:t>Koodi 7922 alusel võtab Tervisekassa tasu maksmise kohustuse üle ühe uuringu käigus ühe ülesvõtte eest tingimusel, et tulemust on ravidokumendis kirjeldanud radioloog</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677DF79" w14:textId="50E3A278" w:rsidR="00834768" w:rsidRPr="00687DE8" w:rsidRDefault="008B254C" w:rsidP="00834768">
            <w:pPr>
              <w:spacing w:after="0"/>
              <w:jc w:val="center"/>
              <w:rPr>
                <w:color w:val="000000" w:themeColor="text1"/>
                <w:szCs w:val="24"/>
              </w:rPr>
            </w:pPr>
            <w:r>
              <w:rPr>
                <w:color w:val="000000"/>
              </w:rPr>
              <w:t>19,20</w:t>
            </w:r>
          </w:p>
        </w:tc>
      </w:tr>
      <w:tr w:rsidR="00834768" w:rsidRPr="00687DE8" w14:paraId="72BD5B93"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0019DD" w14:textId="77777777" w:rsidR="00834768" w:rsidRPr="00687DE8" w:rsidRDefault="00834768" w:rsidP="00834768">
            <w:pPr>
              <w:spacing w:after="0" w:line="240" w:lineRule="auto"/>
              <w:rPr>
                <w:szCs w:val="24"/>
              </w:rPr>
            </w:pPr>
            <w:r w:rsidRPr="00687DE8">
              <w:rPr>
                <w:szCs w:val="24"/>
              </w:rPr>
              <w:t>Mittetransporditava haige röntgeniülesvõte väljaspool röntgenikabinetti (üks ülesvõte)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F0F49E" w14:textId="77777777" w:rsidR="00834768" w:rsidRPr="00687DE8" w:rsidRDefault="00834768" w:rsidP="00834768">
            <w:pPr>
              <w:spacing w:after="0" w:line="240" w:lineRule="auto"/>
              <w:jc w:val="center"/>
              <w:rPr>
                <w:szCs w:val="24"/>
              </w:rPr>
            </w:pPr>
          </w:p>
          <w:p w14:paraId="37E53607" w14:textId="77777777" w:rsidR="00834768" w:rsidRPr="00687DE8" w:rsidRDefault="00834768" w:rsidP="00834768">
            <w:pPr>
              <w:spacing w:after="0" w:line="240" w:lineRule="auto"/>
              <w:jc w:val="center"/>
              <w:rPr>
                <w:szCs w:val="24"/>
              </w:rPr>
            </w:pPr>
          </w:p>
          <w:p w14:paraId="6F568248" w14:textId="77777777" w:rsidR="00834768" w:rsidRPr="00687DE8" w:rsidRDefault="00834768" w:rsidP="00834768">
            <w:pPr>
              <w:spacing w:after="0" w:line="240" w:lineRule="auto"/>
              <w:jc w:val="center"/>
              <w:rPr>
                <w:szCs w:val="24"/>
              </w:rPr>
            </w:pPr>
            <w:r w:rsidRPr="00687DE8">
              <w:rPr>
                <w:szCs w:val="24"/>
              </w:rPr>
              <w:t>7923</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D0F8E5" w14:textId="3FD44ADD" w:rsidR="00834768" w:rsidRPr="00687DE8" w:rsidRDefault="00834768" w:rsidP="00834768">
            <w:pPr>
              <w:spacing w:after="0" w:line="240" w:lineRule="auto"/>
              <w:rPr>
                <w:szCs w:val="24"/>
              </w:rPr>
            </w:pPr>
            <w:r w:rsidRPr="00687DE8">
              <w:rPr>
                <w:szCs w:val="24"/>
              </w:rPr>
              <w:t>Koodi 7923 rakendatakse juhul, kui uuringu käigus tehakse mittetransporditavast haigest üks ülesvõte. Kui uuringu käigus tehakse mittetransporditavast haigest rohkem kui üks ülesvõte, võtab Tervisekassa iga järgneva ülesvõtte eest tasu maksmise kohustuse üle koodi 7924 alusel</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8C7C25B" w14:textId="47DCA757" w:rsidR="00834768" w:rsidRPr="00687DE8" w:rsidRDefault="008B254C" w:rsidP="00834768">
            <w:pPr>
              <w:spacing w:after="0"/>
              <w:jc w:val="center"/>
              <w:rPr>
                <w:color w:val="000000" w:themeColor="text1"/>
                <w:szCs w:val="24"/>
              </w:rPr>
            </w:pPr>
            <w:r>
              <w:rPr>
                <w:color w:val="000000"/>
              </w:rPr>
              <w:t>52,62</w:t>
            </w:r>
          </w:p>
        </w:tc>
      </w:tr>
      <w:tr w:rsidR="00834768" w:rsidRPr="00687DE8" w14:paraId="4DC00E1E"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6F1627" w14:textId="77777777" w:rsidR="00834768" w:rsidRPr="00687DE8" w:rsidRDefault="00834768" w:rsidP="00834768">
            <w:pPr>
              <w:spacing w:after="0" w:line="240" w:lineRule="auto"/>
              <w:rPr>
                <w:szCs w:val="24"/>
              </w:rPr>
            </w:pPr>
            <w:r w:rsidRPr="00687DE8">
              <w:rPr>
                <w:szCs w:val="24"/>
              </w:rPr>
              <w:t>Mittetransporditava haige iga järgnev röntgeniülesvõte väljaspool röntgenikabinetti</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B1CAD4" w14:textId="77777777" w:rsidR="00834768" w:rsidRPr="00687DE8" w:rsidRDefault="00834768" w:rsidP="00834768">
            <w:pPr>
              <w:spacing w:after="0" w:line="240" w:lineRule="auto"/>
              <w:jc w:val="center"/>
              <w:rPr>
                <w:szCs w:val="24"/>
              </w:rPr>
            </w:pPr>
          </w:p>
          <w:p w14:paraId="6662FC6E" w14:textId="77777777" w:rsidR="00834768" w:rsidRPr="00687DE8" w:rsidRDefault="00834768" w:rsidP="00834768">
            <w:pPr>
              <w:spacing w:after="0" w:line="240" w:lineRule="auto"/>
              <w:jc w:val="center"/>
              <w:rPr>
                <w:szCs w:val="24"/>
              </w:rPr>
            </w:pPr>
            <w:r w:rsidRPr="00687DE8">
              <w:rPr>
                <w:szCs w:val="24"/>
              </w:rPr>
              <w:t>7924</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7AEF5C" w14:textId="77777777" w:rsidR="00834768" w:rsidRPr="00687DE8" w:rsidRDefault="00834768" w:rsidP="00834768">
            <w:pPr>
              <w:spacing w:after="0" w:line="240" w:lineRule="auto"/>
              <w:rPr>
                <w:szCs w:val="24"/>
              </w:rPr>
            </w:pPr>
            <w:r w:rsidRPr="00687DE8">
              <w:rPr>
                <w:szCs w:val="24"/>
              </w:rPr>
              <w:t>Koodi 7924 rakendatakse iga järgneva ülesvõtte puhul lisaks koodile 7923 juhul, kui uuringu käigus tehakse mittetransporditavast haigest rohkem kui üks ülesvõte</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F02C0C2" w14:textId="770C94F6" w:rsidR="00834768" w:rsidRPr="00687DE8" w:rsidRDefault="008B254C" w:rsidP="00834768">
            <w:pPr>
              <w:spacing w:after="0"/>
              <w:jc w:val="center"/>
              <w:rPr>
                <w:color w:val="000000" w:themeColor="text1"/>
                <w:szCs w:val="24"/>
              </w:rPr>
            </w:pPr>
            <w:r>
              <w:rPr>
                <w:color w:val="000000"/>
              </w:rPr>
              <w:t>21,17</w:t>
            </w:r>
          </w:p>
        </w:tc>
      </w:tr>
      <w:tr w:rsidR="00834768" w:rsidRPr="00687DE8" w14:paraId="14344FD2"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EA612D" w14:textId="77777777" w:rsidR="00834768" w:rsidRPr="00687DE8" w:rsidRDefault="00834768" w:rsidP="00834768">
            <w:pPr>
              <w:spacing w:after="0" w:line="240" w:lineRule="auto"/>
              <w:rPr>
                <w:szCs w:val="24"/>
              </w:rPr>
            </w:pPr>
            <w:r w:rsidRPr="00687DE8">
              <w:rPr>
                <w:szCs w:val="24"/>
              </w:rPr>
              <w:t>Mittetransporditava haige röntgeniülesvõte väljaspool röntgenikabinetti täisdigitaalsel seadmel (üks ülesvõte)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9ED1BD" w14:textId="77777777" w:rsidR="00834768" w:rsidRPr="00687DE8" w:rsidRDefault="00834768" w:rsidP="00834768">
            <w:pPr>
              <w:spacing w:after="0" w:line="240" w:lineRule="auto"/>
              <w:jc w:val="center"/>
              <w:rPr>
                <w:szCs w:val="24"/>
              </w:rPr>
            </w:pPr>
          </w:p>
          <w:p w14:paraId="2FE2D7C9" w14:textId="77777777" w:rsidR="00834768" w:rsidRPr="00687DE8" w:rsidRDefault="00834768" w:rsidP="00834768">
            <w:pPr>
              <w:spacing w:after="0" w:line="240" w:lineRule="auto"/>
              <w:jc w:val="center"/>
              <w:rPr>
                <w:szCs w:val="24"/>
              </w:rPr>
            </w:pPr>
          </w:p>
          <w:p w14:paraId="2C7CF6A3" w14:textId="77777777" w:rsidR="00834768" w:rsidRPr="00687DE8" w:rsidRDefault="00834768" w:rsidP="00834768">
            <w:pPr>
              <w:spacing w:after="0" w:line="240" w:lineRule="auto"/>
              <w:jc w:val="center"/>
              <w:rPr>
                <w:szCs w:val="24"/>
              </w:rPr>
            </w:pPr>
            <w:r w:rsidRPr="00687DE8">
              <w:rPr>
                <w:szCs w:val="24"/>
              </w:rPr>
              <w:t>7925</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0EA308" w14:textId="5DD3390D" w:rsidR="00834768" w:rsidRPr="00687DE8" w:rsidRDefault="00834768" w:rsidP="00834768">
            <w:pPr>
              <w:spacing w:after="0" w:line="240" w:lineRule="auto"/>
              <w:rPr>
                <w:szCs w:val="24"/>
              </w:rPr>
            </w:pPr>
            <w:r w:rsidRPr="00687DE8">
              <w:rPr>
                <w:szCs w:val="24"/>
              </w:rPr>
              <w:t>Koodi 7925 rakendatakse juhul, kui uuringu käigus tehakse mittetransporditavast haigest üks ülesvõte. Kui uuringu käigus tehakse mittetransporditavast haigest rohkem kui üks ülesvõte, võtab Tervisekassa iga järgneva ülesvõtte eest tasu maksmise kohustuse üle koodi 7998 alusel</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6F1772F" w14:textId="38BB91D6" w:rsidR="00834768" w:rsidRPr="00687DE8" w:rsidRDefault="008B254C" w:rsidP="00834768">
            <w:pPr>
              <w:spacing w:after="0"/>
              <w:jc w:val="center"/>
              <w:rPr>
                <w:color w:val="000000" w:themeColor="text1"/>
                <w:szCs w:val="24"/>
              </w:rPr>
            </w:pPr>
            <w:r>
              <w:rPr>
                <w:color w:val="000000"/>
              </w:rPr>
              <w:t>61,26</w:t>
            </w:r>
          </w:p>
        </w:tc>
      </w:tr>
      <w:tr w:rsidR="00834768" w:rsidRPr="00687DE8" w14:paraId="71398C12" w14:textId="77777777" w:rsidTr="00EB7A71">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E6EF66" w14:textId="77777777" w:rsidR="00834768" w:rsidRPr="00687DE8" w:rsidRDefault="00834768" w:rsidP="00834768">
            <w:pPr>
              <w:spacing w:after="0" w:line="240" w:lineRule="auto"/>
              <w:rPr>
                <w:szCs w:val="24"/>
              </w:rPr>
            </w:pPr>
            <w:r w:rsidRPr="00687DE8">
              <w:rPr>
                <w:szCs w:val="24"/>
              </w:rPr>
              <w:lastRenderedPageBreak/>
              <w:t>Mittetransporditava haige iga järgnev röntgeniülesvõte väljaspool röntgenikabinetti täisdigitaalsel seadmel</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6EAC80" w14:textId="77777777" w:rsidR="00834768" w:rsidRPr="00687DE8" w:rsidRDefault="00834768" w:rsidP="00834768">
            <w:pPr>
              <w:spacing w:after="0" w:line="240" w:lineRule="auto"/>
              <w:jc w:val="center"/>
              <w:rPr>
                <w:szCs w:val="24"/>
              </w:rPr>
            </w:pPr>
          </w:p>
          <w:p w14:paraId="33DC8F94" w14:textId="77777777" w:rsidR="00834768" w:rsidRPr="00687DE8" w:rsidRDefault="00834768" w:rsidP="00834768">
            <w:pPr>
              <w:spacing w:after="0" w:line="240" w:lineRule="auto"/>
              <w:jc w:val="center"/>
              <w:rPr>
                <w:szCs w:val="24"/>
              </w:rPr>
            </w:pPr>
          </w:p>
          <w:p w14:paraId="2F7CFBE1" w14:textId="77777777" w:rsidR="00834768" w:rsidRPr="00687DE8" w:rsidRDefault="00834768" w:rsidP="00834768">
            <w:pPr>
              <w:spacing w:after="0" w:line="240" w:lineRule="auto"/>
              <w:jc w:val="center"/>
              <w:rPr>
                <w:szCs w:val="24"/>
              </w:rPr>
            </w:pPr>
            <w:r w:rsidRPr="00687DE8">
              <w:rPr>
                <w:szCs w:val="24"/>
              </w:rPr>
              <w:t>7998</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D7BBC8" w14:textId="77777777" w:rsidR="00834768" w:rsidRPr="00687DE8" w:rsidRDefault="00834768" w:rsidP="00834768">
            <w:pPr>
              <w:spacing w:after="0" w:line="240" w:lineRule="auto"/>
              <w:rPr>
                <w:szCs w:val="24"/>
              </w:rPr>
            </w:pPr>
            <w:r w:rsidRPr="00687DE8">
              <w:rPr>
                <w:szCs w:val="24"/>
              </w:rPr>
              <w:t>Koodi 7998 rakendatakse iga järgneva ülesvõtte puhul lisaks koodile 7925 juhul, kui uuringu käigus tehakse mittetransporditavast haigest rohkem kui üks ülesvõte</w:t>
            </w:r>
          </w:p>
        </w:tc>
        <w:tc>
          <w:tcPr>
            <w:tcW w:w="1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588467" w14:textId="0ED68AF3" w:rsidR="00834768" w:rsidRPr="00687DE8" w:rsidRDefault="008A745D" w:rsidP="00834768">
            <w:pPr>
              <w:spacing w:after="0"/>
              <w:jc w:val="center"/>
              <w:rPr>
                <w:color w:val="000000" w:themeColor="text1"/>
                <w:szCs w:val="24"/>
              </w:rPr>
            </w:pPr>
            <w:r>
              <w:rPr>
                <w:color w:val="000000"/>
              </w:rPr>
              <w:t>23,87</w:t>
            </w:r>
          </w:p>
        </w:tc>
      </w:tr>
      <w:tr w:rsidR="00834768" w:rsidRPr="00687DE8" w14:paraId="30724E71" w14:textId="77777777" w:rsidTr="00EB7A71">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BF9183" w14:textId="77777777" w:rsidR="00834768" w:rsidRPr="00687DE8" w:rsidRDefault="00834768" w:rsidP="00834768">
            <w:pPr>
              <w:spacing w:after="0" w:line="240" w:lineRule="auto"/>
              <w:rPr>
                <w:szCs w:val="24"/>
              </w:rPr>
            </w:pPr>
            <w:r w:rsidRPr="00687DE8">
              <w:rPr>
                <w:szCs w:val="24"/>
              </w:rPr>
              <w:t>Mammograafia, üks rinnanääre kahes sihis</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3E3BEA" w14:textId="77777777" w:rsidR="00834768" w:rsidRPr="00687DE8" w:rsidRDefault="00834768" w:rsidP="00834768">
            <w:pPr>
              <w:spacing w:after="0" w:line="240" w:lineRule="auto"/>
              <w:jc w:val="center"/>
              <w:rPr>
                <w:szCs w:val="24"/>
              </w:rPr>
            </w:pPr>
          </w:p>
          <w:p w14:paraId="3D8D3402" w14:textId="77777777" w:rsidR="00834768" w:rsidRPr="00687DE8" w:rsidRDefault="00834768" w:rsidP="00834768">
            <w:pPr>
              <w:spacing w:after="0" w:line="240" w:lineRule="auto"/>
              <w:jc w:val="center"/>
              <w:rPr>
                <w:szCs w:val="24"/>
              </w:rPr>
            </w:pPr>
            <w:r w:rsidRPr="00687DE8">
              <w:rPr>
                <w:szCs w:val="24"/>
              </w:rPr>
              <w:t>6074</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110CD0" w14:textId="77777777" w:rsidR="00834768" w:rsidRPr="00687DE8" w:rsidRDefault="00834768" w:rsidP="00834768">
            <w:pPr>
              <w:spacing w:after="0" w:line="240" w:lineRule="auto"/>
              <w:rPr>
                <w:szCs w:val="24"/>
              </w:rPr>
            </w:pPr>
            <w:r w:rsidRPr="00687DE8">
              <w:rPr>
                <w:szCs w:val="24"/>
              </w:rPr>
              <w:t>Üks rind kahes projektsioonis</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7DD4759" w14:textId="579D3556" w:rsidR="00834768" w:rsidRPr="00687DE8" w:rsidRDefault="008A745D" w:rsidP="00834768">
            <w:pPr>
              <w:spacing w:after="0"/>
              <w:jc w:val="center"/>
              <w:rPr>
                <w:color w:val="000000" w:themeColor="text1"/>
                <w:szCs w:val="24"/>
              </w:rPr>
            </w:pPr>
            <w:r>
              <w:rPr>
                <w:color w:val="000000"/>
              </w:rPr>
              <w:t>21,85</w:t>
            </w:r>
          </w:p>
        </w:tc>
      </w:tr>
      <w:tr w:rsidR="00834768" w:rsidRPr="00687DE8" w14:paraId="42A00F5D"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6F106F" w14:textId="77777777" w:rsidR="00834768" w:rsidRPr="00687DE8" w:rsidRDefault="00834768" w:rsidP="00834768">
            <w:pPr>
              <w:spacing w:after="0" w:line="240" w:lineRule="auto"/>
              <w:rPr>
                <w:szCs w:val="24"/>
              </w:rPr>
            </w:pPr>
            <w:r w:rsidRPr="00687DE8">
              <w:rPr>
                <w:szCs w:val="24"/>
              </w:rPr>
              <w:t>Kuseteede kontrastuuring ehk urograafia</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D6650B" w14:textId="77777777" w:rsidR="00834768" w:rsidRPr="00687DE8" w:rsidRDefault="00834768" w:rsidP="00834768">
            <w:pPr>
              <w:spacing w:after="0" w:line="240" w:lineRule="auto"/>
              <w:jc w:val="center"/>
              <w:rPr>
                <w:szCs w:val="24"/>
              </w:rPr>
            </w:pPr>
          </w:p>
          <w:p w14:paraId="6B738BBD" w14:textId="77777777" w:rsidR="00834768" w:rsidRPr="00687DE8" w:rsidRDefault="00834768" w:rsidP="00834768">
            <w:pPr>
              <w:spacing w:after="0" w:line="240" w:lineRule="auto"/>
              <w:jc w:val="center"/>
              <w:rPr>
                <w:szCs w:val="24"/>
              </w:rPr>
            </w:pPr>
          </w:p>
          <w:p w14:paraId="4AC4B17E" w14:textId="77777777" w:rsidR="00834768" w:rsidRPr="00687DE8" w:rsidRDefault="00834768" w:rsidP="00834768">
            <w:pPr>
              <w:spacing w:after="0" w:line="240" w:lineRule="auto"/>
              <w:jc w:val="center"/>
              <w:rPr>
                <w:szCs w:val="24"/>
              </w:rPr>
            </w:pPr>
            <w:r w:rsidRPr="00687DE8">
              <w:rPr>
                <w:szCs w:val="24"/>
              </w:rPr>
              <w:t>7928</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DA14E6" w14:textId="47A8611A" w:rsidR="00834768" w:rsidRPr="00687DE8" w:rsidRDefault="00834768" w:rsidP="00834768">
            <w:pPr>
              <w:spacing w:after="0" w:line="240" w:lineRule="auto"/>
              <w:rPr>
                <w:szCs w:val="24"/>
              </w:rPr>
            </w:pPr>
            <w:r w:rsidRPr="00687DE8">
              <w:rPr>
                <w:szCs w:val="24"/>
              </w:rPr>
              <w:t>Uuring (kood 7928) sisaldab kuni viit ülesvõtet (sh natiivuuring). Kui uuringu käigus tehakse üle viie ülesvõtte, võtab Tervisekassa kuuenda ja iga järgneva ülesvõtte eest tasu maksmise kohustuse üle koodi 7909 alusel</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347E971" w14:textId="451412C3" w:rsidR="00834768" w:rsidRPr="00687DE8" w:rsidRDefault="008A745D" w:rsidP="00834768">
            <w:pPr>
              <w:spacing w:after="0"/>
              <w:jc w:val="center"/>
              <w:rPr>
                <w:color w:val="000000" w:themeColor="text1"/>
                <w:szCs w:val="24"/>
              </w:rPr>
            </w:pPr>
            <w:r>
              <w:rPr>
                <w:color w:val="000000"/>
              </w:rPr>
              <w:t>87,21</w:t>
            </w:r>
          </w:p>
        </w:tc>
      </w:tr>
      <w:tr w:rsidR="00834768" w:rsidRPr="00687DE8" w14:paraId="457010C2"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834E2C" w14:textId="77777777" w:rsidR="00834768" w:rsidRPr="00687DE8" w:rsidRDefault="00834768" w:rsidP="00834768">
            <w:pPr>
              <w:spacing w:after="0" w:line="240" w:lineRule="auto"/>
              <w:rPr>
                <w:szCs w:val="24"/>
              </w:rPr>
            </w:pPr>
            <w:r w:rsidRPr="00687DE8">
              <w:rPr>
                <w:szCs w:val="24"/>
              </w:rPr>
              <w:t>Vastsündinu röntgeniülesvõte (üks ülesvõte)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5AB76B" w14:textId="77777777" w:rsidR="00834768" w:rsidRPr="00687DE8" w:rsidRDefault="00834768" w:rsidP="00834768">
            <w:pPr>
              <w:spacing w:after="0" w:line="240" w:lineRule="auto"/>
              <w:jc w:val="center"/>
              <w:rPr>
                <w:szCs w:val="24"/>
              </w:rPr>
            </w:pPr>
          </w:p>
          <w:p w14:paraId="37B05E51" w14:textId="77777777" w:rsidR="00834768" w:rsidRPr="00687DE8" w:rsidRDefault="00834768" w:rsidP="00834768">
            <w:pPr>
              <w:spacing w:after="0" w:line="240" w:lineRule="auto"/>
              <w:jc w:val="center"/>
              <w:rPr>
                <w:szCs w:val="24"/>
              </w:rPr>
            </w:pPr>
          </w:p>
          <w:p w14:paraId="041F193A" w14:textId="77777777" w:rsidR="00834768" w:rsidRPr="00687DE8" w:rsidRDefault="00834768" w:rsidP="00834768">
            <w:pPr>
              <w:spacing w:after="0" w:line="240" w:lineRule="auto"/>
              <w:jc w:val="center"/>
              <w:rPr>
                <w:szCs w:val="24"/>
              </w:rPr>
            </w:pPr>
            <w:r w:rsidRPr="00687DE8">
              <w:rPr>
                <w:szCs w:val="24"/>
              </w:rPr>
              <w:t>7929</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178AB5" w14:textId="77777777" w:rsidR="00834768" w:rsidRPr="00687DE8" w:rsidRDefault="00834768" w:rsidP="00834768">
            <w:pPr>
              <w:spacing w:after="0" w:line="240" w:lineRule="auto"/>
              <w:rPr>
                <w:szCs w:val="24"/>
              </w:rPr>
            </w:pPr>
            <w:r w:rsidRPr="00687DE8">
              <w:rPr>
                <w:szCs w:val="24"/>
              </w:rPr>
              <w:t>Koodi 7929 rakendatakse vastsündinule esimesel elukuul haiglate loetelus nimetatud piirkondlikus või keskhaiglas tehtud ülesvõtete puhul tingimusel, et tulemust on ravidokumendis kirjeldanud radioloog</w:t>
            </w: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6334ADF" w14:textId="2E20999C" w:rsidR="00834768" w:rsidRPr="00687DE8" w:rsidRDefault="008A745D" w:rsidP="00834768">
            <w:pPr>
              <w:spacing w:after="0"/>
              <w:jc w:val="center"/>
              <w:rPr>
                <w:color w:val="000000" w:themeColor="text1"/>
                <w:szCs w:val="24"/>
              </w:rPr>
            </w:pPr>
            <w:r>
              <w:rPr>
                <w:color w:val="000000"/>
              </w:rPr>
              <w:t>35,80</w:t>
            </w:r>
          </w:p>
        </w:tc>
      </w:tr>
      <w:tr w:rsidR="00834768" w:rsidRPr="00687DE8" w14:paraId="65BA5224"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3FB9EA" w14:textId="77777777" w:rsidR="00834768" w:rsidRPr="00687DE8" w:rsidRDefault="00834768" w:rsidP="00834768">
            <w:pPr>
              <w:spacing w:after="0" w:line="240" w:lineRule="auto"/>
              <w:rPr>
                <w:szCs w:val="24"/>
              </w:rPr>
            </w:pPr>
            <w:r w:rsidRPr="00687DE8">
              <w:rPr>
                <w:szCs w:val="24"/>
              </w:rPr>
              <w:t>Jäseme ülesvõte telje mõõtmiseks või täispikkuses lülisamba röntgeniülesvõte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CC453C" w14:textId="77777777" w:rsidR="00834768" w:rsidRPr="00687DE8" w:rsidRDefault="00834768" w:rsidP="00834768">
            <w:pPr>
              <w:spacing w:after="0" w:line="240" w:lineRule="auto"/>
              <w:jc w:val="center"/>
              <w:rPr>
                <w:szCs w:val="24"/>
              </w:rPr>
            </w:pPr>
          </w:p>
          <w:p w14:paraId="1B870B65" w14:textId="77777777" w:rsidR="00834768" w:rsidRPr="00687DE8" w:rsidRDefault="00834768" w:rsidP="00834768">
            <w:pPr>
              <w:spacing w:after="0" w:line="240" w:lineRule="auto"/>
              <w:jc w:val="center"/>
              <w:rPr>
                <w:szCs w:val="24"/>
              </w:rPr>
            </w:pPr>
            <w:r w:rsidRPr="00687DE8">
              <w:rPr>
                <w:szCs w:val="24"/>
              </w:rPr>
              <w:t>7930</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CCE5F4" w14:textId="77777777" w:rsidR="00834768" w:rsidRPr="00687DE8" w:rsidRDefault="00834768" w:rsidP="00834768">
            <w:pPr>
              <w:rPr>
                <w:szCs w:val="24"/>
              </w:rPr>
            </w:pP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7E3213B" w14:textId="33B1B630" w:rsidR="00834768" w:rsidRPr="00687DE8" w:rsidRDefault="008A745D" w:rsidP="00834768">
            <w:pPr>
              <w:spacing w:after="0"/>
              <w:jc w:val="center"/>
              <w:rPr>
                <w:color w:val="000000" w:themeColor="text1"/>
                <w:szCs w:val="24"/>
              </w:rPr>
            </w:pPr>
            <w:r>
              <w:rPr>
                <w:color w:val="000000"/>
              </w:rPr>
              <w:t>44,01</w:t>
            </w:r>
          </w:p>
        </w:tc>
      </w:tr>
      <w:tr w:rsidR="00834768" w:rsidRPr="00687DE8" w14:paraId="64BD3DB5"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EE2ADC" w14:textId="77777777" w:rsidR="00834768" w:rsidRPr="00687DE8" w:rsidRDefault="00834768" w:rsidP="00834768">
            <w:pPr>
              <w:spacing w:after="0" w:line="240" w:lineRule="auto"/>
              <w:rPr>
                <w:szCs w:val="24"/>
              </w:rPr>
            </w:pPr>
            <w:r w:rsidRPr="00687DE8">
              <w:rPr>
                <w:szCs w:val="24"/>
              </w:rPr>
              <w:t>Jäseme või lülisamba koonuskimp-kompuutertomograafia</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46EF1675" w14:textId="77777777" w:rsidR="00834768" w:rsidRPr="00687DE8" w:rsidRDefault="00834768" w:rsidP="00834768">
            <w:pPr>
              <w:spacing w:after="0" w:line="240" w:lineRule="auto"/>
              <w:jc w:val="center"/>
              <w:rPr>
                <w:szCs w:val="24"/>
              </w:rPr>
            </w:pPr>
            <w:r w:rsidRPr="00687DE8">
              <w:rPr>
                <w:szCs w:val="24"/>
              </w:rPr>
              <w:t>7938</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3D6CDB" w14:textId="77777777" w:rsidR="00834768" w:rsidRPr="00687DE8" w:rsidRDefault="00834768" w:rsidP="00834768">
            <w:pPr>
              <w:rPr>
                <w:szCs w:val="24"/>
              </w:rPr>
            </w:pP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FBF740E" w14:textId="43A711F9" w:rsidR="00834768" w:rsidRPr="00687DE8" w:rsidRDefault="008A745D" w:rsidP="00834768">
            <w:pPr>
              <w:spacing w:after="0"/>
              <w:jc w:val="center"/>
              <w:rPr>
                <w:color w:val="000000" w:themeColor="text1"/>
                <w:szCs w:val="24"/>
              </w:rPr>
            </w:pPr>
            <w:r>
              <w:rPr>
                <w:color w:val="000000"/>
              </w:rPr>
              <w:t>69,76</w:t>
            </w:r>
          </w:p>
        </w:tc>
      </w:tr>
      <w:tr w:rsidR="00834768" w:rsidRPr="00687DE8" w14:paraId="0875030B" w14:textId="77777777" w:rsidTr="00B93704">
        <w:trPr>
          <w:divId w:val="1316184749"/>
          <w:trHeight w:val="300"/>
        </w:trPr>
        <w:tc>
          <w:tcPr>
            <w:tcW w:w="2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F52F2E" w14:textId="77777777" w:rsidR="00834768" w:rsidRPr="00687DE8" w:rsidRDefault="00834768" w:rsidP="00834768">
            <w:pPr>
              <w:spacing w:after="0" w:line="240" w:lineRule="auto"/>
              <w:rPr>
                <w:szCs w:val="24"/>
              </w:rPr>
            </w:pPr>
            <w:r w:rsidRPr="00687DE8">
              <w:rPr>
                <w:szCs w:val="24"/>
              </w:rPr>
              <w:t>Mammograafiline sõeluuring (CC ja MLO)</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746BD9" w14:textId="77777777" w:rsidR="00834768" w:rsidRPr="00687DE8" w:rsidRDefault="00834768" w:rsidP="00834768">
            <w:pPr>
              <w:spacing w:after="0" w:line="240" w:lineRule="auto"/>
              <w:jc w:val="center"/>
              <w:rPr>
                <w:szCs w:val="24"/>
              </w:rPr>
            </w:pPr>
          </w:p>
          <w:p w14:paraId="1D5A4AA3" w14:textId="77777777" w:rsidR="00834768" w:rsidRPr="00687DE8" w:rsidRDefault="00834768" w:rsidP="00834768">
            <w:pPr>
              <w:spacing w:after="0" w:line="240" w:lineRule="auto"/>
              <w:jc w:val="center"/>
              <w:rPr>
                <w:szCs w:val="24"/>
              </w:rPr>
            </w:pPr>
            <w:r w:rsidRPr="00687DE8">
              <w:rPr>
                <w:szCs w:val="24"/>
              </w:rPr>
              <w:t>7937</w:t>
            </w:r>
          </w:p>
        </w:tc>
        <w:tc>
          <w:tcPr>
            <w:tcW w:w="4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EE0AC9" w14:textId="77777777" w:rsidR="00834768" w:rsidRPr="00687DE8" w:rsidRDefault="00834768" w:rsidP="00834768">
            <w:pPr>
              <w:spacing w:after="0" w:line="240" w:lineRule="auto"/>
              <w:rPr>
                <w:szCs w:val="24"/>
              </w:rPr>
            </w:pPr>
          </w:p>
        </w:tc>
        <w:tc>
          <w:tcPr>
            <w:tcW w:w="150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01AC26C" w14:textId="7B6962AF" w:rsidR="00834768" w:rsidRPr="00687DE8" w:rsidRDefault="008A745D" w:rsidP="00834768">
            <w:pPr>
              <w:spacing w:after="0"/>
              <w:jc w:val="center"/>
              <w:rPr>
                <w:color w:val="000000" w:themeColor="text1"/>
                <w:szCs w:val="24"/>
              </w:rPr>
            </w:pPr>
            <w:r>
              <w:rPr>
                <w:color w:val="000000"/>
              </w:rPr>
              <w:t>32,66</w:t>
            </w:r>
          </w:p>
        </w:tc>
      </w:tr>
    </w:tbl>
    <w:p w14:paraId="0C0266F6" w14:textId="77777777" w:rsidR="00976487" w:rsidRPr="00687DE8" w:rsidRDefault="00976487" w:rsidP="00976487">
      <w:pPr>
        <w:spacing w:after="0" w:line="240" w:lineRule="auto"/>
        <w:jc w:val="both"/>
        <w:divId w:val="1316184749"/>
        <w:rPr>
          <w:szCs w:val="24"/>
        </w:rPr>
      </w:pPr>
    </w:p>
    <w:p w14:paraId="5334940D" w14:textId="77777777" w:rsidR="00976487" w:rsidRPr="00687DE8" w:rsidRDefault="00392686" w:rsidP="00976487">
      <w:pPr>
        <w:spacing w:after="0" w:line="240" w:lineRule="auto"/>
        <w:jc w:val="both"/>
        <w:divId w:val="1316184749"/>
        <w:rPr>
          <w:szCs w:val="24"/>
        </w:rPr>
      </w:pPr>
      <w:r w:rsidRPr="00687DE8">
        <w:rPr>
          <w:szCs w:val="24"/>
        </w:rPr>
        <w:t>(2) L</w:t>
      </w:r>
      <w:r w:rsidR="00976487" w:rsidRPr="00687DE8">
        <w:rPr>
          <w:szCs w:val="24"/>
        </w:rPr>
        <w:t>õikes 1 sätestatud tervishoiuteenuste piirhinnad sisaldavad järgmisi tegevusi: uuringu tegemine ja tulemuse kirjeldamine ravidokumendis iga piirkonna kohta.</w:t>
      </w:r>
      <w:r w:rsidR="003E69DA" w:rsidRPr="00687DE8">
        <w:rPr>
          <w:szCs w:val="24"/>
        </w:rPr>
        <w:t xml:space="preserve"> Nimetatud teenuste puhul on tagatud piltide arhiveerimi</w:t>
      </w:r>
      <w:r w:rsidR="00AC195A" w:rsidRPr="00687DE8">
        <w:rPr>
          <w:szCs w:val="24"/>
        </w:rPr>
        <w:t>n</w:t>
      </w:r>
      <w:r w:rsidR="003E69DA" w:rsidRPr="00687DE8">
        <w:rPr>
          <w:szCs w:val="24"/>
        </w:rPr>
        <w:t>e</w:t>
      </w:r>
      <w:r w:rsidR="00C6051C" w:rsidRPr="00687DE8">
        <w:rPr>
          <w:szCs w:val="24"/>
        </w:rPr>
        <w:t xml:space="preserve"> </w:t>
      </w:r>
      <w:r w:rsidR="003E69DA" w:rsidRPr="00687DE8">
        <w:rPr>
          <w:szCs w:val="24"/>
        </w:rPr>
        <w:t>Sihtasutuses Eesti Tervishoiu Pildipank.</w:t>
      </w:r>
    </w:p>
    <w:p w14:paraId="2320A8C4" w14:textId="77777777" w:rsidR="00976487" w:rsidRPr="00687DE8" w:rsidRDefault="00976487" w:rsidP="00976487">
      <w:pPr>
        <w:spacing w:after="0" w:line="240" w:lineRule="auto"/>
        <w:jc w:val="both"/>
        <w:divId w:val="1316184749"/>
        <w:rPr>
          <w:szCs w:val="24"/>
        </w:rPr>
      </w:pPr>
    </w:p>
    <w:p w14:paraId="36F72C37" w14:textId="0748D9A7" w:rsidR="00976487" w:rsidRPr="00687DE8" w:rsidRDefault="00976487" w:rsidP="6EEBD396">
      <w:pPr>
        <w:spacing w:after="0" w:line="240" w:lineRule="auto"/>
        <w:jc w:val="both"/>
        <w:divId w:val="1316184749"/>
      </w:pPr>
      <w:r>
        <w:t>(3) Koodiga 7937 tähistatud tervishoiuteenuse piirhind sisaldab mammograafilise sõeluuringu puhul kahe radioloogi tehtud uuringu tulemuste kirjeldamist ning kindlustatud isikule kirjaliku vastuse saatmise kulu.</w:t>
      </w:r>
    </w:p>
    <w:p w14:paraId="4367F89F" w14:textId="77777777" w:rsidR="00976487" w:rsidRPr="00687DE8" w:rsidRDefault="00976487" w:rsidP="00976487">
      <w:pPr>
        <w:spacing w:after="0" w:line="240" w:lineRule="auto"/>
        <w:jc w:val="both"/>
        <w:divId w:val="1316184749"/>
        <w:rPr>
          <w:szCs w:val="24"/>
        </w:rPr>
      </w:pPr>
    </w:p>
    <w:p w14:paraId="06B9BFE9" w14:textId="5D725889" w:rsidR="00976487" w:rsidRPr="00687DE8" w:rsidRDefault="00976487" w:rsidP="00976487">
      <w:pPr>
        <w:spacing w:after="0" w:line="240" w:lineRule="auto"/>
        <w:jc w:val="both"/>
        <w:divId w:val="1316184749"/>
        <w:rPr>
          <w:szCs w:val="24"/>
        </w:rPr>
      </w:pPr>
      <w:r w:rsidRPr="00687DE8">
        <w:rPr>
          <w:szCs w:val="24"/>
        </w:rPr>
        <w:t xml:space="preserve">(4) </w:t>
      </w:r>
      <w:r w:rsidR="005023FD" w:rsidRPr="00687DE8">
        <w:rPr>
          <w:szCs w:val="24"/>
        </w:rPr>
        <w:t>Tervisekassa</w:t>
      </w:r>
      <w:r w:rsidRPr="00687DE8">
        <w:rPr>
          <w:szCs w:val="24"/>
        </w:rPr>
        <w:t xml:space="preserve"> võtab koodidega 7925 ja 7998 tähistatud tervishoiuteenuste eest tasu maksmise kohustuse üle juhul, kui ülesvõte digitaliseeritakse ilma fosforplaatide lugemise lisasüsteemita.</w:t>
      </w:r>
    </w:p>
    <w:p w14:paraId="1F040073" w14:textId="77777777" w:rsidR="00976487" w:rsidRPr="00687DE8" w:rsidRDefault="00976487" w:rsidP="00976487">
      <w:pPr>
        <w:spacing w:after="0" w:line="240" w:lineRule="auto"/>
        <w:jc w:val="both"/>
        <w:divId w:val="1316184749"/>
        <w:rPr>
          <w:szCs w:val="24"/>
        </w:rPr>
      </w:pPr>
    </w:p>
    <w:p w14:paraId="7791F518" w14:textId="77777777" w:rsidR="005E3085" w:rsidRPr="00687DE8" w:rsidRDefault="00976487" w:rsidP="00976487">
      <w:pPr>
        <w:spacing w:after="0" w:line="240" w:lineRule="auto"/>
        <w:jc w:val="both"/>
        <w:divId w:val="1316184749"/>
        <w:rPr>
          <w:szCs w:val="24"/>
        </w:rPr>
      </w:pPr>
      <w:r w:rsidRPr="00687DE8">
        <w:rPr>
          <w:szCs w:val="24"/>
        </w:rPr>
        <w:t>(5) Mittetransporditavale haigele röntgeniülesvõtete tegemisel väljaspool röntgenikabinetti rakendatakse ainult koodidega 7923, 7924, 7925 ja 7998 tähistatud tervishoiuteenuseid.</w:t>
      </w:r>
    </w:p>
    <w:p w14:paraId="35749833" w14:textId="77777777" w:rsidR="00976487" w:rsidRPr="00687DE8" w:rsidRDefault="00976487" w:rsidP="00976487">
      <w:pPr>
        <w:spacing w:after="0" w:line="240" w:lineRule="auto"/>
        <w:outlineLvl w:val="2"/>
        <w:divId w:val="1316184749"/>
        <w:rPr>
          <w:b/>
          <w:bCs/>
          <w:szCs w:val="24"/>
        </w:rPr>
      </w:pPr>
    </w:p>
    <w:p w14:paraId="5A3D85EA" w14:textId="77777777" w:rsidR="00C45753" w:rsidRDefault="00976487" w:rsidP="00C45753">
      <w:pPr>
        <w:spacing w:after="0" w:line="240" w:lineRule="auto"/>
        <w:outlineLvl w:val="2"/>
        <w:divId w:val="1316184749"/>
        <w:rPr>
          <w:b/>
          <w:szCs w:val="24"/>
        </w:rPr>
      </w:pPr>
      <w:r w:rsidRPr="00687DE8">
        <w:rPr>
          <w:b/>
          <w:szCs w:val="24"/>
        </w:rPr>
        <w:t>§ 1</w:t>
      </w:r>
      <w:r w:rsidR="007226A7" w:rsidRPr="00687DE8">
        <w:rPr>
          <w:b/>
          <w:szCs w:val="24"/>
        </w:rPr>
        <w:t>8</w:t>
      </w:r>
      <w:r w:rsidRPr="00687DE8">
        <w:rPr>
          <w:b/>
          <w:szCs w:val="24"/>
        </w:rPr>
        <w:t>. Röntgenoskoopia piirhinnad</w:t>
      </w:r>
    </w:p>
    <w:p w14:paraId="0A5F30B3" w14:textId="77777777" w:rsidR="00D622B8" w:rsidRDefault="00D622B8" w:rsidP="00C45753">
      <w:pPr>
        <w:spacing w:after="0" w:line="240" w:lineRule="auto"/>
        <w:outlineLvl w:val="2"/>
        <w:divId w:val="1316184749"/>
        <w:rPr>
          <w:szCs w:val="24"/>
        </w:rPr>
      </w:pPr>
    </w:p>
    <w:p w14:paraId="6EC51FAF" w14:textId="589C9724" w:rsidR="00976487" w:rsidRPr="00687DE8" w:rsidRDefault="00976487" w:rsidP="00C45753">
      <w:pPr>
        <w:spacing w:after="0" w:line="240" w:lineRule="auto"/>
        <w:outlineLvl w:val="2"/>
        <w:divId w:val="1316184749"/>
        <w:rPr>
          <w:szCs w:val="24"/>
        </w:rPr>
      </w:pPr>
      <w:r w:rsidRPr="00687DE8">
        <w:rPr>
          <w:szCs w:val="24"/>
        </w:rPr>
        <w:t>(1) Röntgenoskoopia piirhinnad on järgmised:</w:t>
      </w:r>
    </w:p>
    <w:p w14:paraId="1B5D688C" w14:textId="77777777" w:rsidR="00976487" w:rsidRPr="00687DE8" w:rsidRDefault="00976487" w:rsidP="00976487">
      <w:pPr>
        <w:spacing w:after="0" w:line="240" w:lineRule="auto"/>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602"/>
        <w:gridCol w:w="5135"/>
        <w:gridCol w:w="1121"/>
      </w:tblGrid>
      <w:tr w:rsidR="00976487" w:rsidRPr="00687DE8" w14:paraId="5B92E3DD" w14:textId="77777777" w:rsidTr="00CA67F2">
        <w:trPr>
          <w:divId w:val="1316184749"/>
          <w:tblHeader/>
        </w:trPr>
        <w:tc>
          <w:tcPr>
            <w:tcW w:w="25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8092F5" w14:textId="77777777" w:rsidR="00976487" w:rsidRPr="00687DE8" w:rsidRDefault="00976487">
            <w:pPr>
              <w:spacing w:after="0" w:line="240" w:lineRule="auto"/>
              <w:jc w:val="center"/>
              <w:rPr>
                <w:szCs w:val="24"/>
              </w:rPr>
            </w:pPr>
            <w:r w:rsidRPr="00687DE8">
              <w:rPr>
                <w:b/>
                <w:szCs w:val="24"/>
              </w:rPr>
              <w:t>Tervishoiuteenuse nimetus</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92A184" w14:textId="77777777" w:rsidR="00976487" w:rsidRPr="00687DE8" w:rsidRDefault="00976487">
            <w:pPr>
              <w:spacing w:after="0" w:line="240" w:lineRule="auto"/>
              <w:jc w:val="center"/>
              <w:rPr>
                <w:szCs w:val="24"/>
              </w:rPr>
            </w:pPr>
            <w:r w:rsidRPr="00687DE8">
              <w:rPr>
                <w:b/>
                <w:szCs w:val="24"/>
              </w:rPr>
              <w:t>Kood</w:t>
            </w:r>
          </w:p>
        </w:tc>
        <w:tc>
          <w:tcPr>
            <w:tcW w:w="5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4AF6A2" w14:textId="77777777" w:rsidR="00976487" w:rsidRPr="00687DE8" w:rsidRDefault="00976487">
            <w:pPr>
              <w:spacing w:after="0" w:line="240" w:lineRule="auto"/>
              <w:jc w:val="center"/>
              <w:rPr>
                <w:szCs w:val="24"/>
              </w:rPr>
            </w:pPr>
            <w:r w:rsidRPr="00687DE8">
              <w:rPr>
                <w:b/>
                <w:szCs w:val="24"/>
              </w:rPr>
              <w:t>Toimingu kirjeldus ja tingimused</w:t>
            </w: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E468BD"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9F4F16" w:rsidRPr="00687DE8" w14:paraId="74127CC9" w14:textId="77777777" w:rsidTr="00B93704">
        <w:trPr>
          <w:divId w:val="1316184749"/>
          <w:trHeight w:val="300"/>
        </w:trPr>
        <w:tc>
          <w:tcPr>
            <w:tcW w:w="25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627517" w14:textId="77777777" w:rsidR="009F4F16" w:rsidRPr="00687DE8" w:rsidRDefault="009F4F16" w:rsidP="009F4F16">
            <w:pPr>
              <w:spacing w:after="0" w:line="240" w:lineRule="auto"/>
              <w:rPr>
                <w:szCs w:val="24"/>
              </w:rPr>
            </w:pPr>
            <w:r w:rsidRPr="00687DE8">
              <w:rPr>
                <w:szCs w:val="24"/>
              </w:rPr>
              <w:t>Seljaajukanali kontrastuuring skoopial (müelograafia)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32A749" w14:textId="77777777" w:rsidR="009F4F16" w:rsidRPr="00687DE8" w:rsidRDefault="009F4F16" w:rsidP="009F4F16">
            <w:pPr>
              <w:spacing w:after="0" w:line="240" w:lineRule="auto"/>
              <w:jc w:val="center"/>
              <w:rPr>
                <w:szCs w:val="24"/>
              </w:rPr>
            </w:pPr>
          </w:p>
          <w:p w14:paraId="76484A46" w14:textId="77777777" w:rsidR="009F4F16" w:rsidRPr="00687DE8" w:rsidRDefault="009F4F16" w:rsidP="009F4F16">
            <w:pPr>
              <w:spacing w:after="0" w:line="240" w:lineRule="auto"/>
              <w:jc w:val="center"/>
              <w:rPr>
                <w:szCs w:val="24"/>
              </w:rPr>
            </w:pPr>
          </w:p>
          <w:p w14:paraId="4E564675" w14:textId="77777777" w:rsidR="009F4F16" w:rsidRPr="00687DE8" w:rsidRDefault="009F4F16" w:rsidP="009F4F16">
            <w:pPr>
              <w:spacing w:after="0" w:line="240" w:lineRule="auto"/>
              <w:jc w:val="center"/>
              <w:rPr>
                <w:szCs w:val="24"/>
              </w:rPr>
            </w:pPr>
          </w:p>
          <w:p w14:paraId="5ED9C70D" w14:textId="77777777" w:rsidR="009F4F16" w:rsidRPr="00687DE8" w:rsidRDefault="009F4F16" w:rsidP="009F4F16">
            <w:pPr>
              <w:spacing w:after="0" w:line="240" w:lineRule="auto"/>
              <w:jc w:val="center"/>
              <w:rPr>
                <w:szCs w:val="24"/>
              </w:rPr>
            </w:pPr>
          </w:p>
          <w:p w14:paraId="63B621AD" w14:textId="77777777" w:rsidR="009F4F16" w:rsidRPr="00687DE8" w:rsidRDefault="009F4F16" w:rsidP="009F4F16">
            <w:pPr>
              <w:spacing w:after="0" w:line="240" w:lineRule="auto"/>
              <w:jc w:val="center"/>
              <w:rPr>
                <w:szCs w:val="24"/>
              </w:rPr>
            </w:pPr>
            <w:r w:rsidRPr="00687DE8">
              <w:rPr>
                <w:szCs w:val="24"/>
              </w:rPr>
              <w:t>7931</w:t>
            </w:r>
          </w:p>
        </w:tc>
        <w:tc>
          <w:tcPr>
            <w:tcW w:w="5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36CF86" w14:textId="77777777" w:rsidR="009F4F16" w:rsidRPr="00687DE8" w:rsidRDefault="009F4F16" w:rsidP="009F4F16">
            <w:pPr>
              <w:spacing w:after="0" w:line="240" w:lineRule="auto"/>
              <w:rPr>
                <w:szCs w:val="24"/>
              </w:rPr>
            </w:pPr>
            <w:r w:rsidRPr="00687DE8">
              <w:rPr>
                <w:szCs w:val="24"/>
              </w:rPr>
              <w:t>Koodiga 7931 tähistatud tervishoiuteenuse piirhind sisaldab järgmisi tegevusi: subarahnoidaalruumi punktsioon, kontrastaine manustamine, ülesvõtete tegemine ja uuringu tulemuse kirjeldamine ravidokumendis</w:t>
            </w: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98A940" w14:textId="14FBBCA0" w:rsidR="2E1E8EE1" w:rsidRPr="00687DE8" w:rsidRDefault="008A745D">
            <w:pPr>
              <w:spacing w:after="0"/>
              <w:jc w:val="center"/>
              <w:rPr>
                <w:color w:val="000000" w:themeColor="text1"/>
                <w:szCs w:val="24"/>
              </w:rPr>
            </w:pPr>
            <w:r>
              <w:rPr>
                <w:color w:val="000000"/>
              </w:rPr>
              <w:t>103,69</w:t>
            </w:r>
          </w:p>
        </w:tc>
      </w:tr>
      <w:tr w:rsidR="009F4F16" w:rsidRPr="00687DE8" w14:paraId="44B79B47" w14:textId="77777777" w:rsidTr="00B93704">
        <w:trPr>
          <w:divId w:val="1316184749"/>
          <w:trHeight w:val="300"/>
        </w:trPr>
        <w:tc>
          <w:tcPr>
            <w:tcW w:w="25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F6909F" w14:textId="77777777" w:rsidR="009F4F16" w:rsidRPr="00687DE8" w:rsidRDefault="009F4F16" w:rsidP="009F4F16">
            <w:pPr>
              <w:spacing w:after="0" w:line="240" w:lineRule="auto"/>
              <w:rPr>
                <w:szCs w:val="24"/>
              </w:rPr>
            </w:pPr>
            <w:r w:rsidRPr="00687DE8">
              <w:rPr>
                <w:szCs w:val="24"/>
              </w:rPr>
              <w:t>Röntgenoskoopia (üks piirkond)</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16E519" w14:textId="77777777" w:rsidR="009F4F16" w:rsidRPr="00687DE8" w:rsidRDefault="009F4F16" w:rsidP="009F4F16">
            <w:pPr>
              <w:spacing w:after="0" w:line="240" w:lineRule="auto"/>
              <w:jc w:val="center"/>
              <w:rPr>
                <w:szCs w:val="24"/>
              </w:rPr>
            </w:pPr>
          </w:p>
          <w:p w14:paraId="315FD8E9" w14:textId="77777777" w:rsidR="009F4F16" w:rsidRPr="00687DE8" w:rsidRDefault="009F4F16" w:rsidP="009F4F16">
            <w:pPr>
              <w:spacing w:after="0" w:line="240" w:lineRule="auto"/>
              <w:jc w:val="center"/>
              <w:rPr>
                <w:szCs w:val="24"/>
              </w:rPr>
            </w:pPr>
          </w:p>
          <w:p w14:paraId="4511318B" w14:textId="77777777" w:rsidR="009F4F16" w:rsidRPr="00687DE8" w:rsidRDefault="009F4F16" w:rsidP="009F4F16">
            <w:pPr>
              <w:spacing w:after="0" w:line="240" w:lineRule="auto"/>
              <w:jc w:val="center"/>
              <w:rPr>
                <w:szCs w:val="24"/>
              </w:rPr>
            </w:pPr>
          </w:p>
          <w:p w14:paraId="3FA6859A" w14:textId="77777777" w:rsidR="009F4F16" w:rsidRPr="00687DE8" w:rsidRDefault="009F4F16" w:rsidP="009F4F16">
            <w:pPr>
              <w:spacing w:after="0" w:line="240" w:lineRule="auto"/>
              <w:jc w:val="center"/>
              <w:rPr>
                <w:szCs w:val="24"/>
              </w:rPr>
            </w:pPr>
          </w:p>
          <w:p w14:paraId="72603232" w14:textId="77777777" w:rsidR="009F4F16" w:rsidRPr="00687DE8" w:rsidRDefault="009F4F16" w:rsidP="009F4F16">
            <w:pPr>
              <w:spacing w:after="0" w:line="240" w:lineRule="auto"/>
              <w:jc w:val="center"/>
              <w:rPr>
                <w:szCs w:val="24"/>
              </w:rPr>
            </w:pPr>
            <w:r w:rsidRPr="00687DE8">
              <w:rPr>
                <w:szCs w:val="24"/>
              </w:rPr>
              <w:t>7932</w:t>
            </w:r>
          </w:p>
        </w:tc>
        <w:tc>
          <w:tcPr>
            <w:tcW w:w="5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728C6A" w14:textId="77777777" w:rsidR="009F4F16" w:rsidRPr="00687DE8" w:rsidRDefault="009F4F16" w:rsidP="009F4F16">
            <w:pPr>
              <w:spacing w:after="0" w:line="240" w:lineRule="auto"/>
              <w:rPr>
                <w:szCs w:val="24"/>
              </w:rPr>
            </w:pPr>
            <w:r w:rsidRPr="00687DE8">
              <w:rPr>
                <w:szCs w:val="24"/>
              </w:rPr>
              <w:t>Koodiga 7932 tähistatud tervishoiuteenuse piirhind sisaldab uuringu tegemist ja uuringu tulemuste kirjeldamist ravidokumendis. Piirkonnaks loetakse kopsud, süda, kõhuõõne elundid, kuseteed, vaagnapiirkond, üks jäse, lülisammas, peapiirkond</w:t>
            </w:r>
          </w:p>
        </w:tc>
        <w:tc>
          <w:tcPr>
            <w:tcW w:w="112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ED9B4BE" w14:textId="18801314" w:rsidR="2E1E8EE1" w:rsidRPr="00687DE8" w:rsidRDefault="008A745D">
            <w:pPr>
              <w:spacing w:after="0"/>
              <w:jc w:val="center"/>
              <w:rPr>
                <w:color w:val="000000" w:themeColor="text1"/>
                <w:szCs w:val="24"/>
              </w:rPr>
            </w:pPr>
            <w:r>
              <w:rPr>
                <w:color w:val="000000"/>
              </w:rPr>
              <w:t>57,09</w:t>
            </w:r>
          </w:p>
        </w:tc>
      </w:tr>
      <w:tr w:rsidR="009F4F16" w:rsidRPr="00687DE8" w14:paraId="549242B8" w14:textId="77777777" w:rsidTr="00B93704">
        <w:trPr>
          <w:divId w:val="1316184749"/>
          <w:trHeight w:val="300"/>
        </w:trPr>
        <w:tc>
          <w:tcPr>
            <w:tcW w:w="25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CCCD75" w14:textId="77777777" w:rsidR="009F4F16" w:rsidRPr="00687DE8" w:rsidRDefault="009F4F16" w:rsidP="009F4F16">
            <w:pPr>
              <w:spacing w:after="0" w:line="240" w:lineRule="auto"/>
              <w:rPr>
                <w:szCs w:val="24"/>
              </w:rPr>
            </w:pPr>
            <w:r w:rsidRPr="00687DE8">
              <w:rPr>
                <w:szCs w:val="24"/>
              </w:rPr>
              <w:t>Söögitoru ja mao või peensoole kaksikkontrasteerimine röntgenoskoopial</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F2D31B" w14:textId="77777777" w:rsidR="009F4F16" w:rsidRPr="00687DE8" w:rsidRDefault="009F4F16" w:rsidP="009F4F16">
            <w:pPr>
              <w:spacing w:after="0" w:line="240" w:lineRule="auto"/>
              <w:jc w:val="center"/>
              <w:rPr>
                <w:szCs w:val="24"/>
              </w:rPr>
            </w:pPr>
          </w:p>
          <w:p w14:paraId="1F995EDE" w14:textId="77777777" w:rsidR="009F4F16" w:rsidRPr="00687DE8" w:rsidRDefault="009F4F16" w:rsidP="009F4F16">
            <w:pPr>
              <w:spacing w:after="0" w:line="240" w:lineRule="auto"/>
              <w:jc w:val="center"/>
              <w:rPr>
                <w:szCs w:val="24"/>
              </w:rPr>
            </w:pPr>
          </w:p>
          <w:p w14:paraId="59D93CFE" w14:textId="77777777" w:rsidR="009F4F16" w:rsidRPr="00687DE8" w:rsidRDefault="009F4F16" w:rsidP="009F4F16">
            <w:pPr>
              <w:spacing w:after="0" w:line="240" w:lineRule="auto"/>
              <w:jc w:val="center"/>
              <w:rPr>
                <w:szCs w:val="24"/>
              </w:rPr>
            </w:pPr>
          </w:p>
          <w:p w14:paraId="7E05CE03" w14:textId="77777777" w:rsidR="009F4F16" w:rsidRPr="00687DE8" w:rsidRDefault="009F4F16" w:rsidP="009F4F16">
            <w:pPr>
              <w:spacing w:after="0" w:line="240" w:lineRule="auto"/>
              <w:jc w:val="center"/>
              <w:rPr>
                <w:szCs w:val="24"/>
              </w:rPr>
            </w:pPr>
            <w:r w:rsidRPr="00687DE8">
              <w:rPr>
                <w:szCs w:val="24"/>
              </w:rPr>
              <w:t>7933</w:t>
            </w:r>
          </w:p>
        </w:tc>
        <w:tc>
          <w:tcPr>
            <w:tcW w:w="5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BD3EF4" w14:textId="77777777" w:rsidR="009F4F16" w:rsidRPr="00687DE8" w:rsidRDefault="009F4F16" w:rsidP="009F4F16">
            <w:pPr>
              <w:spacing w:after="0" w:line="240" w:lineRule="auto"/>
              <w:rPr>
                <w:szCs w:val="24"/>
              </w:rPr>
            </w:pPr>
            <w:r w:rsidRPr="00687DE8">
              <w:rPr>
                <w:szCs w:val="24"/>
              </w:rPr>
              <w:t>Koodiga 7933 tähistatud tervishoiuteenuse piirhind sisaldab järgmisi tegevusi: kontrastaine peroraalne manustamine, ülesvõtete tegemine ja uuringu tulemuse kirjeldamine ravidokumendis</w:t>
            </w:r>
          </w:p>
        </w:tc>
        <w:tc>
          <w:tcPr>
            <w:tcW w:w="112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34544D5" w14:textId="0468AEA6" w:rsidR="2E1E8EE1" w:rsidRPr="00687DE8" w:rsidRDefault="008A745D">
            <w:pPr>
              <w:spacing w:after="0"/>
              <w:jc w:val="center"/>
              <w:rPr>
                <w:color w:val="000000" w:themeColor="text1"/>
                <w:szCs w:val="24"/>
              </w:rPr>
            </w:pPr>
            <w:r>
              <w:rPr>
                <w:color w:val="000000"/>
              </w:rPr>
              <w:t>91,46</w:t>
            </w:r>
          </w:p>
        </w:tc>
      </w:tr>
      <w:tr w:rsidR="009F4F16" w:rsidRPr="00687DE8" w14:paraId="3FD4C744" w14:textId="77777777" w:rsidTr="00B93704">
        <w:trPr>
          <w:divId w:val="1316184749"/>
          <w:trHeight w:val="300"/>
        </w:trPr>
        <w:tc>
          <w:tcPr>
            <w:tcW w:w="25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166FFA" w14:textId="77777777" w:rsidR="009F4F16" w:rsidRPr="00687DE8" w:rsidRDefault="009F4F16" w:rsidP="009F4F16">
            <w:pPr>
              <w:spacing w:after="0" w:line="240" w:lineRule="auto"/>
              <w:rPr>
                <w:szCs w:val="24"/>
              </w:rPr>
            </w:pPr>
            <w:r w:rsidRPr="00687DE8">
              <w:rPr>
                <w:szCs w:val="24"/>
              </w:rPr>
              <w:t>Irrigoskoopia ehk kolograafia kaksikkontrasteerimisega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D28936" w14:textId="77777777" w:rsidR="009F4F16" w:rsidRPr="00687DE8" w:rsidRDefault="009F4F16" w:rsidP="009F4F16">
            <w:pPr>
              <w:spacing w:after="0" w:line="240" w:lineRule="auto"/>
              <w:jc w:val="center"/>
              <w:rPr>
                <w:szCs w:val="24"/>
              </w:rPr>
            </w:pPr>
          </w:p>
          <w:p w14:paraId="3CE6A9B8" w14:textId="77777777" w:rsidR="009F4F16" w:rsidRPr="00687DE8" w:rsidRDefault="009F4F16" w:rsidP="009F4F16">
            <w:pPr>
              <w:spacing w:after="0" w:line="240" w:lineRule="auto"/>
              <w:jc w:val="center"/>
              <w:rPr>
                <w:szCs w:val="24"/>
              </w:rPr>
            </w:pPr>
          </w:p>
          <w:p w14:paraId="7809CE28" w14:textId="77777777" w:rsidR="009F4F16" w:rsidRPr="00687DE8" w:rsidRDefault="009F4F16" w:rsidP="009F4F16">
            <w:pPr>
              <w:spacing w:after="0" w:line="240" w:lineRule="auto"/>
              <w:jc w:val="center"/>
              <w:rPr>
                <w:szCs w:val="24"/>
              </w:rPr>
            </w:pPr>
          </w:p>
          <w:p w14:paraId="2B36DE53" w14:textId="77777777" w:rsidR="009F4F16" w:rsidRPr="00687DE8" w:rsidRDefault="009F4F16" w:rsidP="009F4F16">
            <w:pPr>
              <w:spacing w:after="0" w:line="240" w:lineRule="auto"/>
              <w:jc w:val="center"/>
              <w:rPr>
                <w:szCs w:val="24"/>
              </w:rPr>
            </w:pPr>
            <w:r w:rsidRPr="00687DE8">
              <w:rPr>
                <w:szCs w:val="24"/>
              </w:rPr>
              <w:t>7936</w:t>
            </w:r>
          </w:p>
        </w:tc>
        <w:tc>
          <w:tcPr>
            <w:tcW w:w="5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FBF17D" w14:textId="77777777" w:rsidR="009F4F16" w:rsidRPr="00687DE8" w:rsidRDefault="009F4F16" w:rsidP="009F4F16">
            <w:pPr>
              <w:spacing w:after="0" w:line="240" w:lineRule="auto"/>
              <w:rPr>
                <w:szCs w:val="24"/>
              </w:rPr>
            </w:pPr>
            <w:r w:rsidRPr="00687DE8">
              <w:rPr>
                <w:szCs w:val="24"/>
              </w:rPr>
              <w:t>Koodiga 7936 tähistatud tervishoiuteenuse piirhind sisaldab järgmisi tegevusi: kontrastaine rektaalne manustamine, ülesvõtete tegemine ja uuringu tulemuse kirjeldamine ravidokumendis</w:t>
            </w:r>
          </w:p>
        </w:tc>
        <w:tc>
          <w:tcPr>
            <w:tcW w:w="112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B11ED56" w14:textId="3F00DB9D" w:rsidR="2E1E8EE1" w:rsidRPr="00687DE8" w:rsidRDefault="008A745D">
            <w:pPr>
              <w:spacing w:after="0"/>
              <w:jc w:val="center"/>
              <w:rPr>
                <w:color w:val="000000" w:themeColor="text1"/>
                <w:szCs w:val="24"/>
              </w:rPr>
            </w:pPr>
            <w:r>
              <w:rPr>
                <w:color w:val="000000"/>
              </w:rPr>
              <w:t>162,02</w:t>
            </w:r>
          </w:p>
        </w:tc>
      </w:tr>
      <w:tr w:rsidR="009F4F16" w:rsidRPr="00687DE8" w14:paraId="4B185A26" w14:textId="77777777" w:rsidTr="00B93704">
        <w:trPr>
          <w:divId w:val="1316184749"/>
          <w:trHeight w:val="300"/>
        </w:trPr>
        <w:tc>
          <w:tcPr>
            <w:tcW w:w="25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B04785" w14:textId="77777777" w:rsidR="009F4F16" w:rsidRPr="00687DE8" w:rsidRDefault="009F4F16" w:rsidP="009F4F16">
            <w:pPr>
              <w:spacing w:after="0" w:line="240" w:lineRule="auto"/>
              <w:rPr>
                <w:szCs w:val="24"/>
              </w:rPr>
            </w:pPr>
            <w:r w:rsidRPr="00687DE8">
              <w:rPr>
                <w:szCs w:val="24"/>
              </w:rPr>
              <w:t>Röntgenoskoopia kontrastainega, sh fistulograafia (üks piirkond)</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B4776E" w14:textId="77777777" w:rsidR="009F4F16" w:rsidRPr="00687DE8" w:rsidRDefault="009F4F16" w:rsidP="009F4F16">
            <w:pPr>
              <w:spacing w:after="0" w:line="240" w:lineRule="auto"/>
              <w:jc w:val="center"/>
              <w:rPr>
                <w:szCs w:val="24"/>
              </w:rPr>
            </w:pPr>
          </w:p>
          <w:p w14:paraId="2956A70E" w14:textId="77777777" w:rsidR="009F4F16" w:rsidRPr="00687DE8" w:rsidRDefault="009F4F16" w:rsidP="009F4F16">
            <w:pPr>
              <w:spacing w:after="0" w:line="240" w:lineRule="auto"/>
              <w:jc w:val="center"/>
              <w:rPr>
                <w:szCs w:val="24"/>
              </w:rPr>
            </w:pPr>
          </w:p>
          <w:p w14:paraId="7C5393BB" w14:textId="77777777" w:rsidR="009F4F16" w:rsidRPr="00687DE8" w:rsidRDefault="009F4F16" w:rsidP="009F4F16">
            <w:pPr>
              <w:spacing w:after="0" w:line="240" w:lineRule="auto"/>
              <w:jc w:val="center"/>
              <w:rPr>
                <w:szCs w:val="24"/>
              </w:rPr>
            </w:pPr>
          </w:p>
          <w:p w14:paraId="2D57705C" w14:textId="77777777" w:rsidR="009F4F16" w:rsidRPr="00687DE8" w:rsidRDefault="009F4F16" w:rsidP="009F4F16">
            <w:pPr>
              <w:spacing w:after="0" w:line="240" w:lineRule="auto"/>
              <w:jc w:val="center"/>
              <w:rPr>
                <w:szCs w:val="24"/>
              </w:rPr>
            </w:pPr>
          </w:p>
          <w:p w14:paraId="0E7E43FB" w14:textId="77777777" w:rsidR="009F4F16" w:rsidRPr="00687DE8" w:rsidRDefault="009F4F16" w:rsidP="009F4F16">
            <w:pPr>
              <w:spacing w:after="0" w:line="240" w:lineRule="auto"/>
              <w:jc w:val="center"/>
              <w:rPr>
                <w:szCs w:val="24"/>
              </w:rPr>
            </w:pPr>
          </w:p>
          <w:p w14:paraId="1D029D66" w14:textId="77777777" w:rsidR="009F4F16" w:rsidRPr="00687DE8" w:rsidRDefault="009F4F16" w:rsidP="009F4F16">
            <w:pPr>
              <w:spacing w:after="0" w:line="240" w:lineRule="auto"/>
              <w:jc w:val="center"/>
              <w:rPr>
                <w:szCs w:val="24"/>
              </w:rPr>
            </w:pPr>
          </w:p>
          <w:p w14:paraId="085D01CA" w14:textId="77777777" w:rsidR="009F4F16" w:rsidRPr="00687DE8" w:rsidRDefault="009F4F16" w:rsidP="009F4F16">
            <w:pPr>
              <w:spacing w:after="0" w:line="240" w:lineRule="auto"/>
              <w:jc w:val="center"/>
              <w:rPr>
                <w:szCs w:val="24"/>
              </w:rPr>
            </w:pPr>
          </w:p>
          <w:p w14:paraId="731A4A8B" w14:textId="77777777" w:rsidR="009F4F16" w:rsidRPr="00687DE8" w:rsidRDefault="009F4F16" w:rsidP="009F4F16">
            <w:pPr>
              <w:spacing w:after="0" w:line="240" w:lineRule="auto"/>
              <w:jc w:val="center"/>
              <w:rPr>
                <w:szCs w:val="24"/>
              </w:rPr>
            </w:pPr>
            <w:r w:rsidRPr="00687DE8">
              <w:rPr>
                <w:szCs w:val="24"/>
              </w:rPr>
              <w:t>7934</w:t>
            </w:r>
          </w:p>
        </w:tc>
        <w:tc>
          <w:tcPr>
            <w:tcW w:w="5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AA9E1F" w14:textId="77777777" w:rsidR="009F4F16" w:rsidRPr="00687DE8" w:rsidRDefault="009F4F16" w:rsidP="009F4F16">
            <w:pPr>
              <w:spacing w:after="0" w:line="240" w:lineRule="auto"/>
              <w:rPr>
                <w:szCs w:val="24"/>
              </w:rPr>
            </w:pPr>
            <w:r w:rsidRPr="00687DE8">
              <w:rPr>
                <w:szCs w:val="24"/>
              </w:rPr>
              <w:t>Koodiga 7934 tähistatud tervishoiuteenus sisaldab kontrastainet, selle manustamist, uuringu tegemist ja uuringu tulemuste kirjeldamist ravidokumendis. Piirkonnaks loetakse pisarateed, hingamisteed, kuseteed, sapiteed, suguelundid, seedetrakt (välja arvatud söögitoru ja mao või peensoole kaksikkontrasteerimine ning kolograafia kaksikkontrasteerimisega)</w:t>
            </w:r>
          </w:p>
        </w:tc>
        <w:tc>
          <w:tcPr>
            <w:tcW w:w="112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060031B" w14:textId="1EF5F08D" w:rsidR="2E1E8EE1" w:rsidRPr="00687DE8" w:rsidRDefault="008A745D">
            <w:pPr>
              <w:spacing w:after="0"/>
              <w:jc w:val="center"/>
              <w:rPr>
                <w:color w:val="000000" w:themeColor="text1"/>
                <w:szCs w:val="24"/>
              </w:rPr>
            </w:pPr>
            <w:r>
              <w:rPr>
                <w:color w:val="000000"/>
              </w:rPr>
              <w:t>65,81</w:t>
            </w:r>
          </w:p>
        </w:tc>
      </w:tr>
      <w:tr w:rsidR="009F4F16" w:rsidRPr="00687DE8" w14:paraId="7A4BB652" w14:textId="77777777" w:rsidTr="00B93704">
        <w:trPr>
          <w:divId w:val="1316184749"/>
          <w:trHeight w:val="300"/>
        </w:trPr>
        <w:tc>
          <w:tcPr>
            <w:tcW w:w="25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580EC4" w14:textId="77777777" w:rsidR="009F4F16" w:rsidRPr="00687DE8" w:rsidRDefault="009F4F16" w:rsidP="009F4F16">
            <w:pPr>
              <w:spacing w:after="0" w:line="240" w:lineRule="auto"/>
              <w:rPr>
                <w:szCs w:val="24"/>
              </w:rPr>
            </w:pPr>
            <w:r w:rsidRPr="00687DE8">
              <w:rPr>
                <w:szCs w:val="24"/>
              </w:rPr>
              <w:t>Reie flebograafia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3B2E60" w14:textId="77777777" w:rsidR="009F4F16" w:rsidRPr="00687DE8" w:rsidRDefault="009F4F16" w:rsidP="009F4F16">
            <w:pPr>
              <w:spacing w:after="0" w:line="240" w:lineRule="auto"/>
              <w:jc w:val="center"/>
              <w:rPr>
                <w:szCs w:val="24"/>
              </w:rPr>
            </w:pPr>
          </w:p>
          <w:p w14:paraId="006EE30F" w14:textId="77777777" w:rsidR="009F4F16" w:rsidRPr="00687DE8" w:rsidRDefault="009F4F16" w:rsidP="009F4F16">
            <w:pPr>
              <w:spacing w:after="0" w:line="240" w:lineRule="auto"/>
              <w:jc w:val="center"/>
              <w:rPr>
                <w:szCs w:val="24"/>
              </w:rPr>
            </w:pPr>
          </w:p>
          <w:p w14:paraId="3909632F" w14:textId="77777777" w:rsidR="009F4F16" w:rsidRPr="00687DE8" w:rsidRDefault="009F4F16" w:rsidP="009F4F16">
            <w:pPr>
              <w:spacing w:after="0" w:line="240" w:lineRule="auto"/>
              <w:jc w:val="center"/>
              <w:rPr>
                <w:szCs w:val="24"/>
              </w:rPr>
            </w:pPr>
          </w:p>
          <w:p w14:paraId="382EC669" w14:textId="77777777" w:rsidR="009F4F16" w:rsidRPr="00687DE8" w:rsidRDefault="009F4F16" w:rsidP="009F4F16">
            <w:pPr>
              <w:spacing w:after="0" w:line="240" w:lineRule="auto"/>
              <w:jc w:val="center"/>
              <w:rPr>
                <w:szCs w:val="24"/>
              </w:rPr>
            </w:pPr>
            <w:r w:rsidRPr="00687DE8">
              <w:rPr>
                <w:szCs w:val="24"/>
              </w:rPr>
              <w:t>7935</w:t>
            </w:r>
          </w:p>
        </w:tc>
        <w:tc>
          <w:tcPr>
            <w:tcW w:w="5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7E8242" w14:textId="77777777" w:rsidR="009F4F16" w:rsidRPr="00687DE8" w:rsidRDefault="009F4F16" w:rsidP="009F4F16">
            <w:pPr>
              <w:spacing w:after="0" w:line="240" w:lineRule="auto"/>
              <w:rPr>
                <w:szCs w:val="24"/>
              </w:rPr>
            </w:pPr>
            <w:r w:rsidRPr="00687DE8">
              <w:rPr>
                <w:szCs w:val="24"/>
              </w:rPr>
              <w:t>Koodiga 7935 tähistatud tervishoiuteenuse piirhind sisaldab järgmisi tegevusi: perifeerse veeni punktsioon, kontrastaine süstimine, ülesvõtete tegemine ja tulemuse kirjeldamine ravidokumendis</w:t>
            </w:r>
          </w:p>
        </w:tc>
        <w:tc>
          <w:tcPr>
            <w:tcW w:w="112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F164913" w14:textId="5C1A14E2" w:rsidR="2E1E8EE1" w:rsidRPr="00687DE8" w:rsidRDefault="008A745D">
            <w:pPr>
              <w:spacing w:after="0"/>
              <w:jc w:val="center"/>
              <w:rPr>
                <w:color w:val="000000" w:themeColor="text1"/>
                <w:szCs w:val="24"/>
              </w:rPr>
            </w:pPr>
            <w:r>
              <w:rPr>
                <w:color w:val="000000"/>
              </w:rPr>
              <w:t>143,73</w:t>
            </w:r>
          </w:p>
        </w:tc>
      </w:tr>
    </w:tbl>
    <w:p w14:paraId="459E5ABB" w14:textId="77777777" w:rsidR="00976487" w:rsidRPr="00687DE8" w:rsidRDefault="00976487" w:rsidP="00976487">
      <w:pPr>
        <w:spacing w:after="0" w:line="240" w:lineRule="auto"/>
        <w:jc w:val="both"/>
        <w:divId w:val="1316184749"/>
        <w:rPr>
          <w:szCs w:val="24"/>
        </w:rPr>
      </w:pPr>
    </w:p>
    <w:p w14:paraId="670B83FC" w14:textId="493A7E4D" w:rsidR="00976487" w:rsidRPr="00687DE8" w:rsidRDefault="00976487" w:rsidP="00976487">
      <w:pPr>
        <w:spacing w:after="0" w:line="240" w:lineRule="auto"/>
        <w:jc w:val="both"/>
        <w:divId w:val="1316184749"/>
        <w:rPr>
          <w:szCs w:val="24"/>
        </w:rPr>
      </w:pPr>
      <w:r w:rsidRPr="00687DE8">
        <w:rPr>
          <w:szCs w:val="24"/>
        </w:rPr>
        <w:t xml:space="preserve">(2) </w:t>
      </w:r>
      <w:r w:rsidR="005023FD" w:rsidRPr="00687DE8">
        <w:rPr>
          <w:szCs w:val="24"/>
        </w:rPr>
        <w:t>Tervisekassa</w:t>
      </w:r>
      <w:r w:rsidRPr="00687DE8">
        <w:rPr>
          <w:szCs w:val="24"/>
        </w:rPr>
        <w:t xml:space="preserve"> võtab koodidega 7932 ja 7934 tähistatud tervishoiuteenuste eest tasu maksmise kohustuse üle lõike 1 tabeli veerus „Toimingu kirjeldus ja tingimused</w:t>
      </w:r>
      <w:r w:rsidR="0019390F" w:rsidRPr="00687DE8">
        <w:rPr>
          <w:szCs w:val="24"/>
        </w:rPr>
        <w:t>“</w:t>
      </w:r>
      <w:r w:rsidRPr="00687DE8">
        <w:rPr>
          <w:szCs w:val="24"/>
        </w:rPr>
        <w:t xml:space="preserve"> nimetatud igast piirkonnast tehtud röntgenoskoopia eest (iga</w:t>
      </w:r>
      <w:r w:rsidR="00EF283D" w:rsidRPr="00687DE8">
        <w:rPr>
          <w:szCs w:val="24"/>
        </w:rPr>
        <w:t xml:space="preserve"> </w:t>
      </w:r>
      <w:r w:rsidRPr="00687DE8">
        <w:rPr>
          <w:szCs w:val="24"/>
        </w:rPr>
        <w:t>piirkonna puhul üks kord).</w:t>
      </w:r>
    </w:p>
    <w:p w14:paraId="640C36D9" w14:textId="43A10BBB" w:rsidR="00DB6173" w:rsidRPr="00687DE8" w:rsidRDefault="00DB6173" w:rsidP="00976487">
      <w:pPr>
        <w:spacing w:after="0" w:line="240" w:lineRule="auto"/>
        <w:jc w:val="both"/>
        <w:divId w:val="1316184749"/>
        <w:rPr>
          <w:szCs w:val="24"/>
        </w:rPr>
      </w:pPr>
    </w:p>
    <w:p w14:paraId="26A71374" w14:textId="7E828899" w:rsidR="00976487" w:rsidRDefault="00976487" w:rsidP="00976487">
      <w:pPr>
        <w:spacing w:after="0" w:line="240" w:lineRule="auto"/>
        <w:outlineLvl w:val="2"/>
        <w:divId w:val="1316184749"/>
        <w:rPr>
          <w:b/>
          <w:szCs w:val="24"/>
        </w:rPr>
      </w:pPr>
      <w:r w:rsidRPr="00687DE8">
        <w:rPr>
          <w:b/>
          <w:szCs w:val="24"/>
        </w:rPr>
        <w:t xml:space="preserve">§ </w:t>
      </w:r>
      <w:r w:rsidR="007226A7" w:rsidRPr="00687DE8">
        <w:rPr>
          <w:b/>
          <w:szCs w:val="24"/>
        </w:rPr>
        <w:t>19</w:t>
      </w:r>
      <w:r w:rsidRPr="00687DE8">
        <w:rPr>
          <w:b/>
          <w:szCs w:val="24"/>
        </w:rPr>
        <w:t>. Ultraheli piirhinnad</w:t>
      </w:r>
    </w:p>
    <w:p w14:paraId="11952426" w14:textId="77777777" w:rsidR="00D622B8" w:rsidRDefault="00D622B8" w:rsidP="00976487">
      <w:pPr>
        <w:spacing w:after="0" w:line="240" w:lineRule="auto"/>
        <w:divId w:val="1316184749"/>
        <w:rPr>
          <w:szCs w:val="24"/>
        </w:rPr>
      </w:pPr>
    </w:p>
    <w:p w14:paraId="72A21F28" w14:textId="00DBF6BB" w:rsidR="00976487" w:rsidRPr="00687DE8" w:rsidRDefault="00976487" w:rsidP="00976487">
      <w:pPr>
        <w:spacing w:after="0" w:line="240" w:lineRule="auto"/>
        <w:divId w:val="1316184749"/>
        <w:rPr>
          <w:szCs w:val="24"/>
        </w:rPr>
      </w:pPr>
      <w:r w:rsidRPr="00687DE8">
        <w:rPr>
          <w:szCs w:val="24"/>
        </w:rPr>
        <w:t>(1) Ultraheli piirhinnad on järgmised:</w:t>
      </w:r>
    </w:p>
    <w:p w14:paraId="50922F73" w14:textId="77777777" w:rsidR="00976487" w:rsidRPr="00687DE8" w:rsidRDefault="00976487" w:rsidP="00976487">
      <w:pPr>
        <w:spacing w:after="0" w:line="240" w:lineRule="auto"/>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602"/>
        <w:gridCol w:w="5341"/>
        <w:gridCol w:w="1123"/>
      </w:tblGrid>
      <w:tr w:rsidR="00976487" w:rsidRPr="00687DE8" w14:paraId="4BF9F240" w14:textId="77777777" w:rsidTr="00CA67F2">
        <w:trPr>
          <w:divId w:val="1316184749"/>
          <w:tblHeader/>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333A9A" w14:textId="77777777" w:rsidR="00976487" w:rsidRPr="00687DE8" w:rsidRDefault="00976487">
            <w:pPr>
              <w:spacing w:after="0" w:line="240" w:lineRule="auto"/>
              <w:jc w:val="center"/>
              <w:rPr>
                <w:szCs w:val="24"/>
              </w:rPr>
            </w:pPr>
            <w:r w:rsidRPr="00687DE8">
              <w:rPr>
                <w:b/>
                <w:szCs w:val="24"/>
              </w:rPr>
              <w:t>Tervishoiuteenuse nimetus</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5BE809" w14:textId="77777777" w:rsidR="00976487" w:rsidRPr="00687DE8" w:rsidRDefault="00976487">
            <w:pPr>
              <w:spacing w:after="0" w:line="240" w:lineRule="auto"/>
              <w:jc w:val="center"/>
              <w:rPr>
                <w:szCs w:val="24"/>
              </w:rPr>
            </w:pPr>
            <w:r w:rsidRPr="00687DE8">
              <w:rPr>
                <w:b/>
                <w:szCs w:val="24"/>
              </w:rPr>
              <w:t>Kood</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E15CAF" w14:textId="77777777" w:rsidR="00976487" w:rsidRPr="00687DE8" w:rsidRDefault="00976487">
            <w:pPr>
              <w:spacing w:after="0" w:line="240" w:lineRule="auto"/>
              <w:jc w:val="center"/>
              <w:rPr>
                <w:szCs w:val="24"/>
              </w:rPr>
            </w:pPr>
            <w:r w:rsidRPr="00687DE8">
              <w:rPr>
                <w:b/>
                <w:szCs w:val="24"/>
              </w:rPr>
              <w:t>Toimingu kirjeldus ja tingimused</w:t>
            </w:r>
          </w:p>
        </w:tc>
        <w:tc>
          <w:tcPr>
            <w:tcW w:w="11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ADA75A"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D11043" w:rsidRPr="00687DE8" w14:paraId="1F92D76A" w14:textId="77777777" w:rsidTr="009B5DCB">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CF50D3" w14:textId="77777777" w:rsidR="00D11043" w:rsidRPr="00687DE8" w:rsidRDefault="00D11043" w:rsidP="00D11043">
            <w:pPr>
              <w:spacing w:after="0" w:line="240" w:lineRule="auto"/>
              <w:rPr>
                <w:szCs w:val="24"/>
              </w:rPr>
            </w:pPr>
            <w:r w:rsidRPr="00687DE8">
              <w:rPr>
                <w:szCs w:val="24"/>
              </w:rPr>
              <w:t>Lapse aju ultraheliuuring</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5C84C0" w14:textId="77777777" w:rsidR="00D11043" w:rsidRPr="00687DE8" w:rsidRDefault="00D11043" w:rsidP="00D11043">
            <w:pPr>
              <w:spacing w:after="0" w:line="240" w:lineRule="auto"/>
              <w:jc w:val="center"/>
              <w:rPr>
                <w:szCs w:val="24"/>
              </w:rPr>
            </w:pPr>
          </w:p>
          <w:p w14:paraId="325D61EA" w14:textId="77777777" w:rsidR="00D11043" w:rsidRPr="00687DE8" w:rsidRDefault="00D11043" w:rsidP="00D11043">
            <w:pPr>
              <w:spacing w:after="0" w:line="240" w:lineRule="auto"/>
              <w:jc w:val="center"/>
              <w:rPr>
                <w:szCs w:val="24"/>
              </w:rPr>
            </w:pPr>
            <w:r w:rsidRPr="00687DE8">
              <w:rPr>
                <w:szCs w:val="24"/>
              </w:rPr>
              <w:t>7940</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820F46" w14:textId="77777777" w:rsidR="00D11043" w:rsidRPr="00687DE8" w:rsidRDefault="00D11043" w:rsidP="00D11043">
            <w:pPr>
              <w:rPr>
                <w:szCs w:val="24"/>
              </w:rPr>
            </w:pPr>
          </w:p>
        </w:tc>
        <w:tc>
          <w:tcPr>
            <w:tcW w:w="11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F5EAE" w14:textId="661EA067" w:rsidR="2E1E8EE1" w:rsidRPr="00687DE8" w:rsidRDefault="00C8028D">
            <w:pPr>
              <w:spacing w:after="0"/>
              <w:jc w:val="center"/>
              <w:rPr>
                <w:color w:val="000000" w:themeColor="text1"/>
                <w:szCs w:val="24"/>
              </w:rPr>
            </w:pPr>
            <w:r>
              <w:rPr>
                <w:color w:val="000000"/>
              </w:rPr>
              <w:t>32,37</w:t>
            </w:r>
          </w:p>
        </w:tc>
      </w:tr>
      <w:tr w:rsidR="00D11043" w:rsidRPr="00687DE8" w14:paraId="1A4E1562" w14:textId="77777777" w:rsidTr="00EB7A71">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3649D9" w14:textId="77777777" w:rsidR="00D11043" w:rsidRPr="00687DE8" w:rsidRDefault="00D11043" w:rsidP="00D11043">
            <w:pPr>
              <w:spacing w:after="0" w:line="240" w:lineRule="auto"/>
              <w:rPr>
                <w:szCs w:val="24"/>
              </w:rPr>
            </w:pPr>
            <w:r w:rsidRPr="00687DE8">
              <w:rPr>
                <w:szCs w:val="24"/>
              </w:rPr>
              <w:lastRenderedPageBreak/>
              <w:t>Ühe piirkonna arterite ultraheliuuring</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BBDD9B" w14:textId="77777777" w:rsidR="00D11043" w:rsidRPr="00687DE8" w:rsidRDefault="00D11043" w:rsidP="00D11043">
            <w:pPr>
              <w:spacing w:after="0" w:line="240" w:lineRule="auto"/>
              <w:jc w:val="center"/>
              <w:rPr>
                <w:szCs w:val="24"/>
              </w:rPr>
            </w:pPr>
          </w:p>
          <w:p w14:paraId="1C3139A2" w14:textId="77777777" w:rsidR="00D11043" w:rsidRPr="00687DE8" w:rsidRDefault="00D11043" w:rsidP="00D11043">
            <w:pPr>
              <w:spacing w:after="0" w:line="240" w:lineRule="auto"/>
              <w:jc w:val="center"/>
              <w:rPr>
                <w:szCs w:val="24"/>
              </w:rPr>
            </w:pPr>
          </w:p>
          <w:p w14:paraId="277CC9C7" w14:textId="77777777" w:rsidR="00D11043" w:rsidRPr="00687DE8" w:rsidRDefault="00D11043" w:rsidP="00D11043">
            <w:pPr>
              <w:spacing w:after="0" w:line="240" w:lineRule="auto"/>
              <w:jc w:val="center"/>
              <w:rPr>
                <w:szCs w:val="24"/>
              </w:rPr>
            </w:pPr>
          </w:p>
          <w:p w14:paraId="7955AD88" w14:textId="77777777" w:rsidR="00D11043" w:rsidRPr="00687DE8" w:rsidRDefault="00D11043" w:rsidP="00D11043">
            <w:pPr>
              <w:spacing w:after="0" w:line="240" w:lineRule="auto"/>
              <w:jc w:val="center"/>
              <w:rPr>
                <w:szCs w:val="24"/>
              </w:rPr>
            </w:pPr>
          </w:p>
          <w:p w14:paraId="66EF3D3B" w14:textId="77777777" w:rsidR="00D11043" w:rsidRPr="00687DE8" w:rsidRDefault="00D11043" w:rsidP="00D11043">
            <w:pPr>
              <w:spacing w:after="0" w:line="240" w:lineRule="auto"/>
              <w:jc w:val="center"/>
              <w:rPr>
                <w:szCs w:val="24"/>
              </w:rPr>
            </w:pPr>
          </w:p>
          <w:p w14:paraId="030CDFF9" w14:textId="77777777" w:rsidR="00D11043" w:rsidRPr="00687DE8" w:rsidRDefault="00D11043" w:rsidP="00D11043">
            <w:pPr>
              <w:spacing w:after="0" w:line="240" w:lineRule="auto"/>
              <w:jc w:val="center"/>
              <w:rPr>
                <w:szCs w:val="24"/>
              </w:rPr>
            </w:pPr>
            <w:r w:rsidRPr="00687DE8">
              <w:rPr>
                <w:szCs w:val="24"/>
              </w:rPr>
              <w:t>7941</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F8F746" w14:textId="77777777" w:rsidR="00D11043" w:rsidRPr="00687DE8" w:rsidRDefault="00D11043" w:rsidP="00D11043">
            <w:pPr>
              <w:spacing w:after="0" w:line="240" w:lineRule="auto"/>
              <w:rPr>
                <w:szCs w:val="24"/>
              </w:rPr>
            </w:pPr>
            <w:r w:rsidRPr="00687DE8">
              <w:rPr>
                <w:szCs w:val="24"/>
              </w:rPr>
              <w:t>Piirkonnaks loetakse ühe alajäseme reis ja põlv, ühe alajäseme säär, ühe alajäseme labajalg, üks ülajäse, ühe poole kaelaveresooned, pea, rindkere elundid, üks kõhuõõne elund, üks retroperitoneaalruumi elund, ühe neeru arterid, vaagnapiirkonna elundid, välissuguelundid</w:t>
            </w: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23E8CF" w14:textId="3FFC764B" w:rsidR="2E1E8EE1" w:rsidRPr="00687DE8" w:rsidRDefault="00C8028D">
            <w:pPr>
              <w:spacing w:after="0"/>
              <w:jc w:val="center"/>
              <w:rPr>
                <w:color w:val="000000" w:themeColor="text1"/>
                <w:szCs w:val="24"/>
              </w:rPr>
            </w:pPr>
            <w:r>
              <w:rPr>
                <w:color w:val="000000"/>
              </w:rPr>
              <w:t>26,91</w:t>
            </w:r>
          </w:p>
        </w:tc>
      </w:tr>
      <w:tr w:rsidR="00D11043" w:rsidRPr="00687DE8" w14:paraId="4D3F9199"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E34B96" w14:textId="77777777" w:rsidR="00D11043" w:rsidRPr="00687DE8" w:rsidRDefault="00D11043" w:rsidP="00D11043">
            <w:pPr>
              <w:spacing w:after="0" w:line="240" w:lineRule="auto"/>
              <w:rPr>
                <w:szCs w:val="24"/>
              </w:rPr>
            </w:pPr>
            <w:r w:rsidRPr="00687DE8">
              <w:rPr>
                <w:szCs w:val="24"/>
              </w:rPr>
              <w:t>Ühe piirkonna veenide ultraheliuuring</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D78F5D" w14:textId="77777777" w:rsidR="00D11043" w:rsidRPr="00687DE8" w:rsidRDefault="00D11043" w:rsidP="00D11043">
            <w:pPr>
              <w:spacing w:after="0" w:line="240" w:lineRule="auto"/>
              <w:jc w:val="center"/>
              <w:rPr>
                <w:szCs w:val="24"/>
              </w:rPr>
            </w:pPr>
          </w:p>
          <w:p w14:paraId="37A39C68" w14:textId="77777777" w:rsidR="00D11043" w:rsidRPr="00687DE8" w:rsidRDefault="00D11043" w:rsidP="00D11043">
            <w:pPr>
              <w:spacing w:after="0" w:line="240" w:lineRule="auto"/>
              <w:jc w:val="center"/>
              <w:rPr>
                <w:szCs w:val="24"/>
              </w:rPr>
            </w:pPr>
          </w:p>
          <w:p w14:paraId="1AB40F69" w14:textId="77777777" w:rsidR="00D11043" w:rsidRPr="00687DE8" w:rsidRDefault="00D11043" w:rsidP="00D11043">
            <w:pPr>
              <w:spacing w:after="0" w:line="240" w:lineRule="auto"/>
              <w:jc w:val="center"/>
              <w:rPr>
                <w:szCs w:val="24"/>
              </w:rPr>
            </w:pPr>
          </w:p>
          <w:p w14:paraId="08BFE984" w14:textId="77777777" w:rsidR="00D11043" w:rsidRPr="00687DE8" w:rsidRDefault="00D11043" w:rsidP="00D11043">
            <w:pPr>
              <w:spacing w:after="0" w:line="240" w:lineRule="auto"/>
              <w:jc w:val="center"/>
              <w:rPr>
                <w:szCs w:val="24"/>
              </w:rPr>
            </w:pPr>
          </w:p>
          <w:p w14:paraId="456E3389" w14:textId="77777777" w:rsidR="00D11043" w:rsidRPr="00687DE8" w:rsidRDefault="00D11043" w:rsidP="00D11043">
            <w:pPr>
              <w:spacing w:after="0" w:line="240" w:lineRule="auto"/>
              <w:jc w:val="center"/>
              <w:rPr>
                <w:szCs w:val="24"/>
              </w:rPr>
            </w:pPr>
          </w:p>
          <w:p w14:paraId="2FBBECA8" w14:textId="77777777" w:rsidR="00D11043" w:rsidRPr="00687DE8" w:rsidRDefault="00D11043" w:rsidP="00D11043">
            <w:pPr>
              <w:spacing w:after="0" w:line="240" w:lineRule="auto"/>
              <w:jc w:val="center"/>
              <w:rPr>
                <w:szCs w:val="24"/>
              </w:rPr>
            </w:pPr>
            <w:r w:rsidRPr="00687DE8">
              <w:rPr>
                <w:szCs w:val="24"/>
              </w:rPr>
              <w:t>7942</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72B35C" w14:textId="77777777" w:rsidR="00D11043" w:rsidRPr="00687DE8" w:rsidRDefault="00D11043" w:rsidP="00D11043">
            <w:pPr>
              <w:spacing w:after="0" w:line="240" w:lineRule="auto"/>
              <w:rPr>
                <w:szCs w:val="24"/>
              </w:rPr>
            </w:pPr>
            <w:r w:rsidRPr="00687DE8">
              <w:rPr>
                <w:szCs w:val="24"/>
              </w:rPr>
              <w:t>Piirkonnaks loetakse ühe alajäseme reis ja põlv, ühe alajäseme säär, ühe alajäseme labajalg, üks ülajäse, ühe poole kaelaveresooned, pea, rindkere elundid, üks kõhuõõne elund, üks retroperitoneaalruumi elund, vaagnapiirkonna elundid, välissuguelundid</w:t>
            </w: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729E14" w14:textId="53530425" w:rsidR="2E1E8EE1" w:rsidRPr="00687DE8" w:rsidRDefault="00C8028D">
            <w:pPr>
              <w:spacing w:after="0"/>
              <w:jc w:val="center"/>
              <w:rPr>
                <w:color w:val="000000" w:themeColor="text1"/>
                <w:szCs w:val="24"/>
              </w:rPr>
            </w:pPr>
            <w:r>
              <w:rPr>
                <w:color w:val="000000"/>
              </w:rPr>
              <w:t>26,91</w:t>
            </w:r>
          </w:p>
        </w:tc>
      </w:tr>
      <w:tr w:rsidR="00D11043" w:rsidRPr="00687DE8" w14:paraId="6052D81D"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BEFA61" w14:textId="77777777" w:rsidR="00D11043" w:rsidRPr="00687DE8" w:rsidRDefault="00D11043" w:rsidP="00D11043">
            <w:pPr>
              <w:spacing w:after="0" w:line="240" w:lineRule="auto"/>
              <w:rPr>
                <w:szCs w:val="24"/>
              </w:rPr>
            </w:pPr>
            <w:r w:rsidRPr="00687DE8">
              <w:rPr>
                <w:szCs w:val="24"/>
              </w:rPr>
              <w:t>Ühe piirkonna arterite ja veenide ultraheliuuring</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9807D3" w14:textId="77777777" w:rsidR="00D11043" w:rsidRPr="00687DE8" w:rsidRDefault="00D11043" w:rsidP="00D11043">
            <w:pPr>
              <w:spacing w:after="0" w:line="240" w:lineRule="auto"/>
              <w:jc w:val="center"/>
              <w:rPr>
                <w:szCs w:val="24"/>
              </w:rPr>
            </w:pPr>
          </w:p>
          <w:p w14:paraId="6070E00C" w14:textId="77777777" w:rsidR="00D11043" w:rsidRPr="00687DE8" w:rsidRDefault="00D11043" w:rsidP="00D11043">
            <w:pPr>
              <w:spacing w:after="0" w:line="240" w:lineRule="auto"/>
              <w:jc w:val="center"/>
              <w:rPr>
                <w:szCs w:val="24"/>
              </w:rPr>
            </w:pPr>
          </w:p>
          <w:p w14:paraId="6550279D" w14:textId="77777777" w:rsidR="00D11043" w:rsidRPr="00687DE8" w:rsidRDefault="00D11043" w:rsidP="00D11043">
            <w:pPr>
              <w:spacing w:after="0" w:line="240" w:lineRule="auto"/>
              <w:jc w:val="center"/>
              <w:rPr>
                <w:szCs w:val="24"/>
              </w:rPr>
            </w:pPr>
          </w:p>
          <w:p w14:paraId="4F0CAA85" w14:textId="77777777" w:rsidR="00D11043" w:rsidRPr="00687DE8" w:rsidRDefault="00D11043" w:rsidP="00D11043">
            <w:pPr>
              <w:spacing w:after="0" w:line="240" w:lineRule="auto"/>
              <w:jc w:val="center"/>
              <w:rPr>
                <w:szCs w:val="24"/>
              </w:rPr>
            </w:pPr>
          </w:p>
          <w:p w14:paraId="33F68D27" w14:textId="77777777" w:rsidR="00D11043" w:rsidRPr="00687DE8" w:rsidRDefault="00D11043" w:rsidP="00D11043">
            <w:pPr>
              <w:spacing w:after="0" w:line="240" w:lineRule="auto"/>
              <w:jc w:val="center"/>
              <w:rPr>
                <w:szCs w:val="24"/>
              </w:rPr>
            </w:pPr>
          </w:p>
          <w:p w14:paraId="1491ED08" w14:textId="77777777" w:rsidR="00D11043" w:rsidRPr="00687DE8" w:rsidRDefault="00D11043" w:rsidP="00D11043">
            <w:pPr>
              <w:spacing w:after="0" w:line="240" w:lineRule="auto"/>
              <w:jc w:val="center"/>
              <w:rPr>
                <w:szCs w:val="24"/>
              </w:rPr>
            </w:pPr>
            <w:r w:rsidRPr="00687DE8">
              <w:rPr>
                <w:szCs w:val="24"/>
              </w:rPr>
              <w:t>7943</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3F19E8" w14:textId="77777777" w:rsidR="00D11043" w:rsidRPr="00687DE8" w:rsidRDefault="00D11043" w:rsidP="00D11043">
            <w:pPr>
              <w:spacing w:after="0" w:line="240" w:lineRule="auto"/>
              <w:rPr>
                <w:szCs w:val="24"/>
              </w:rPr>
            </w:pPr>
            <w:r w:rsidRPr="00687DE8">
              <w:rPr>
                <w:szCs w:val="24"/>
              </w:rPr>
              <w:t>Piirkonnaks loetakse ühe alajäseme reis ja põlv, ühe alajäseme säär, ühe alajäseme labajalg, üks ülajäse, ühe poole kaelaveresooned, pea, rindkere elundid, üks kõhuõõne elund, üks retroperitoneaalruumi elund, ühe neeru arterid, vaagnapiirkonna elundid, välissuguelundid</w:t>
            </w: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946F09" w14:textId="32D2E4AC" w:rsidR="2E1E8EE1" w:rsidRPr="00687DE8" w:rsidRDefault="00C8028D">
            <w:pPr>
              <w:spacing w:after="0"/>
              <w:jc w:val="center"/>
              <w:rPr>
                <w:color w:val="000000" w:themeColor="text1"/>
                <w:szCs w:val="24"/>
              </w:rPr>
            </w:pPr>
            <w:r>
              <w:rPr>
                <w:color w:val="000000"/>
              </w:rPr>
              <w:t>39,20</w:t>
            </w:r>
          </w:p>
        </w:tc>
      </w:tr>
      <w:tr w:rsidR="00D11043" w:rsidRPr="00687DE8" w14:paraId="3B6EDACD"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154F7E" w14:textId="77777777" w:rsidR="00D11043" w:rsidRPr="00687DE8" w:rsidRDefault="00D11043" w:rsidP="00D11043">
            <w:pPr>
              <w:spacing w:after="0" w:line="240" w:lineRule="auto"/>
              <w:rPr>
                <w:szCs w:val="24"/>
              </w:rPr>
            </w:pPr>
            <w:r w:rsidRPr="00687DE8">
              <w:rPr>
                <w:szCs w:val="24"/>
              </w:rPr>
              <w:t>Ühe piirkonna liigese/liigeste ultraheliuuring</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977D38" w14:textId="77777777" w:rsidR="00D11043" w:rsidRPr="00687DE8" w:rsidRDefault="00D11043" w:rsidP="00D11043">
            <w:pPr>
              <w:spacing w:after="0" w:line="240" w:lineRule="auto"/>
              <w:jc w:val="center"/>
              <w:rPr>
                <w:szCs w:val="24"/>
              </w:rPr>
            </w:pPr>
          </w:p>
          <w:p w14:paraId="71ABD57C" w14:textId="77777777" w:rsidR="00D11043" w:rsidRPr="00687DE8" w:rsidRDefault="00D11043" w:rsidP="00D11043">
            <w:pPr>
              <w:spacing w:after="0" w:line="240" w:lineRule="auto"/>
              <w:jc w:val="center"/>
              <w:rPr>
                <w:szCs w:val="24"/>
              </w:rPr>
            </w:pPr>
          </w:p>
          <w:p w14:paraId="6829F7E5" w14:textId="77777777" w:rsidR="00D11043" w:rsidRPr="00687DE8" w:rsidRDefault="00D11043" w:rsidP="00D11043">
            <w:pPr>
              <w:spacing w:after="0" w:line="240" w:lineRule="auto"/>
              <w:jc w:val="center"/>
              <w:rPr>
                <w:szCs w:val="24"/>
              </w:rPr>
            </w:pPr>
          </w:p>
          <w:p w14:paraId="2D180427" w14:textId="77777777" w:rsidR="00D11043" w:rsidRPr="00687DE8" w:rsidRDefault="00D11043" w:rsidP="00D11043">
            <w:pPr>
              <w:spacing w:after="0" w:line="240" w:lineRule="auto"/>
              <w:jc w:val="center"/>
              <w:rPr>
                <w:szCs w:val="24"/>
              </w:rPr>
            </w:pPr>
          </w:p>
          <w:p w14:paraId="0D641E98" w14:textId="77777777" w:rsidR="00D11043" w:rsidRPr="00687DE8" w:rsidRDefault="00D11043" w:rsidP="00D11043">
            <w:pPr>
              <w:spacing w:after="0" w:line="240" w:lineRule="auto"/>
              <w:jc w:val="center"/>
              <w:rPr>
                <w:szCs w:val="24"/>
              </w:rPr>
            </w:pPr>
          </w:p>
          <w:p w14:paraId="54F65933" w14:textId="77777777" w:rsidR="00D11043" w:rsidRPr="00687DE8" w:rsidRDefault="00D11043" w:rsidP="00D11043">
            <w:pPr>
              <w:spacing w:after="0" w:line="240" w:lineRule="auto"/>
              <w:jc w:val="center"/>
              <w:rPr>
                <w:szCs w:val="24"/>
              </w:rPr>
            </w:pPr>
            <w:r w:rsidRPr="00687DE8">
              <w:rPr>
                <w:szCs w:val="24"/>
              </w:rPr>
              <w:t>7946</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C8EB46" w14:textId="77777777" w:rsidR="00D11043" w:rsidRPr="00687DE8" w:rsidRDefault="00D11043" w:rsidP="00D11043">
            <w:pPr>
              <w:spacing w:after="0" w:line="240" w:lineRule="auto"/>
              <w:rPr>
                <w:szCs w:val="24"/>
              </w:rPr>
            </w:pPr>
            <w:r w:rsidRPr="00687DE8">
              <w:rPr>
                <w:szCs w:val="24"/>
              </w:rPr>
              <w:t>Piirkonnaks loetakse labakäsi randmega, küünarliiges, õlaliiges, mandibulaarliigesed, lülisamba kaelapiirkond, lülisamba rinnapiirkond, lülisamba lumbosakraalpiirkond, vaagen, puusaliiges, põlveliiges, hüppeliiges, kanna ja jalalaba piirkonna liigesed</w:t>
            </w: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4C55F6" w14:textId="5F9B5D2B" w:rsidR="2E1E8EE1" w:rsidRPr="00687DE8" w:rsidRDefault="00C8028D">
            <w:pPr>
              <w:spacing w:after="0"/>
              <w:jc w:val="center"/>
              <w:rPr>
                <w:color w:val="000000" w:themeColor="text1"/>
                <w:szCs w:val="24"/>
              </w:rPr>
            </w:pPr>
            <w:r>
              <w:rPr>
                <w:color w:val="000000"/>
              </w:rPr>
              <w:t>25,41</w:t>
            </w:r>
          </w:p>
        </w:tc>
      </w:tr>
      <w:tr w:rsidR="00D11043" w:rsidRPr="00687DE8" w14:paraId="411F5C0D"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CCBD1F" w14:textId="77777777" w:rsidR="00D11043" w:rsidRPr="00687DE8" w:rsidRDefault="00D11043" w:rsidP="00D11043">
            <w:pPr>
              <w:spacing w:after="0" w:line="240" w:lineRule="auto"/>
              <w:rPr>
                <w:szCs w:val="24"/>
              </w:rPr>
            </w:pPr>
            <w:r w:rsidRPr="00687DE8">
              <w:rPr>
                <w:szCs w:val="24"/>
              </w:rPr>
              <w:t>Raseduse ultraheliuuring</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800F27" w14:textId="77777777" w:rsidR="00D11043" w:rsidRPr="00687DE8" w:rsidRDefault="00D11043" w:rsidP="00D11043">
            <w:pPr>
              <w:spacing w:after="0" w:line="240" w:lineRule="auto"/>
              <w:jc w:val="center"/>
              <w:rPr>
                <w:szCs w:val="24"/>
              </w:rPr>
            </w:pPr>
          </w:p>
          <w:p w14:paraId="26D20A2F" w14:textId="77777777" w:rsidR="00D11043" w:rsidRPr="00687DE8" w:rsidRDefault="00D11043" w:rsidP="00D11043">
            <w:pPr>
              <w:spacing w:after="0" w:line="240" w:lineRule="auto"/>
              <w:jc w:val="center"/>
              <w:rPr>
                <w:szCs w:val="24"/>
              </w:rPr>
            </w:pPr>
            <w:r w:rsidRPr="00687DE8">
              <w:rPr>
                <w:szCs w:val="24"/>
              </w:rPr>
              <w:t>7947</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DD7DB2" w14:textId="77777777" w:rsidR="00D11043" w:rsidRPr="00687DE8" w:rsidRDefault="00D11043" w:rsidP="00D11043">
            <w:pPr>
              <w:rPr>
                <w:szCs w:val="24"/>
              </w:rPr>
            </w:pP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D27BD0" w14:textId="66522DC9" w:rsidR="2E1E8EE1" w:rsidRPr="00687DE8" w:rsidRDefault="00C8028D">
            <w:pPr>
              <w:spacing w:after="0"/>
              <w:jc w:val="center"/>
              <w:rPr>
                <w:color w:val="000000" w:themeColor="text1"/>
                <w:szCs w:val="24"/>
              </w:rPr>
            </w:pPr>
            <w:r>
              <w:rPr>
                <w:color w:val="000000"/>
              </w:rPr>
              <w:t>34,72</w:t>
            </w:r>
          </w:p>
        </w:tc>
      </w:tr>
      <w:tr w:rsidR="00D11043" w:rsidRPr="00687DE8" w14:paraId="4E533F25"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701F5B" w14:textId="77777777" w:rsidR="00D11043" w:rsidRPr="00687DE8" w:rsidRDefault="00D11043" w:rsidP="00D11043">
            <w:pPr>
              <w:spacing w:after="0" w:line="240" w:lineRule="auto"/>
              <w:rPr>
                <w:szCs w:val="24"/>
              </w:rPr>
            </w:pPr>
            <w:r w:rsidRPr="00687DE8">
              <w:rPr>
                <w:szCs w:val="24"/>
              </w:rPr>
              <w:t>Pehmete kudede ultraheliuuring (üks piirkond)</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6F8E25" w14:textId="77777777" w:rsidR="00D11043" w:rsidRPr="00687DE8" w:rsidRDefault="00D11043" w:rsidP="00D11043">
            <w:pPr>
              <w:spacing w:after="0" w:line="240" w:lineRule="auto"/>
              <w:jc w:val="center"/>
              <w:rPr>
                <w:szCs w:val="24"/>
              </w:rPr>
            </w:pPr>
          </w:p>
          <w:p w14:paraId="3DAD0219" w14:textId="77777777" w:rsidR="00D11043" w:rsidRPr="00687DE8" w:rsidRDefault="00D11043" w:rsidP="00D11043">
            <w:pPr>
              <w:spacing w:after="0" w:line="240" w:lineRule="auto"/>
              <w:jc w:val="center"/>
              <w:rPr>
                <w:szCs w:val="24"/>
              </w:rPr>
            </w:pPr>
          </w:p>
          <w:p w14:paraId="31365F10" w14:textId="77777777" w:rsidR="00D11043" w:rsidRPr="00687DE8" w:rsidRDefault="00D11043" w:rsidP="00D11043">
            <w:pPr>
              <w:spacing w:after="0" w:line="240" w:lineRule="auto"/>
              <w:jc w:val="center"/>
              <w:rPr>
                <w:szCs w:val="24"/>
              </w:rPr>
            </w:pPr>
          </w:p>
          <w:p w14:paraId="0DE9A475" w14:textId="3B216112" w:rsidR="00D11043" w:rsidRPr="00687DE8" w:rsidRDefault="00D11043" w:rsidP="00D11043">
            <w:pPr>
              <w:spacing w:after="0" w:line="240" w:lineRule="auto"/>
              <w:jc w:val="center"/>
              <w:rPr>
                <w:szCs w:val="24"/>
              </w:rPr>
            </w:pPr>
            <w:r w:rsidRPr="00687DE8">
              <w:rPr>
                <w:szCs w:val="24"/>
              </w:rPr>
              <w:t>7948</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56E675" w14:textId="7AED0B8C" w:rsidR="00D11043" w:rsidRPr="00687DE8" w:rsidRDefault="00D11043" w:rsidP="00D11043">
            <w:pPr>
              <w:spacing w:after="0" w:line="240" w:lineRule="auto"/>
              <w:rPr>
                <w:szCs w:val="24"/>
              </w:rPr>
            </w:pPr>
            <w:r w:rsidRPr="00687DE8">
              <w:rPr>
                <w:szCs w:val="24"/>
              </w:rPr>
              <w:t>Pehmeks koeks loetakse nahk, nahaaluskude, rasvkude, lihased</w:t>
            </w:r>
            <w:r w:rsidR="755F6C9F" w:rsidRPr="00687DE8">
              <w:rPr>
                <w:szCs w:val="24"/>
              </w:rPr>
              <w:t>,</w:t>
            </w:r>
            <w:r w:rsidRPr="00687DE8">
              <w:rPr>
                <w:szCs w:val="24"/>
              </w:rPr>
              <w:t xml:space="preserve"> kõõlused</w:t>
            </w:r>
            <w:r w:rsidR="0A4F4FBC" w:rsidRPr="00687DE8">
              <w:rPr>
                <w:szCs w:val="24"/>
              </w:rPr>
              <w:t xml:space="preserve"> ja perifeersed närvid</w:t>
            </w:r>
            <w:r w:rsidR="3F2181C3" w:rsidRPr="00687DE8">
              <w:rPr>
                <w:szCs w:val="24"/>
              </w:rPr>
              <w:t>.</w:t>
            </w:r>
            <w:r w:rsidRPr="00687DE8">
              <w:rPr>
                <w:szCs w:val="24"/>
              </w:rPr>
              <w:t xml:space="preserve"> Piirkonnaks loetakse pea, kael, rindkere, kõhu- ja vaagnapiirkond, ülajäse, alajäse, välissuguelundid</w:t>
            </w: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B5E7BA" w14:textId="79B358D3" w:rsidR="2E1E8EE1" w:rsidRPr="00687DE8" w:rsidRDefault="00C8028D">
            <w:pPr>
              <w:spacing w:after="0"/>
              <w:jc w:val="center"/>
              <w:rPr>
                <w:color w:val="000000" w:themeColor="text1"/>
                <w:szCs w:val="24"/>
              </w:rPr>
            </w:pPr>
            <w:r>
              <w:rPr>
                <w:color w:val="000000"/>
              </w:rPr>
              <w:t>25,54</w:t>
            </w:r>
          </w:p>
        </w:tc>
      </w:tr>
      <w:tr w:rsidR="00D11043" w:rsidRPr="00687DE8" w14:paraId="5B3FA4A1"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AA6055" w14:textId="77777777" w:rsidR="00D11043" w:rsidRPr="00687DE8" w:rsidRDefault="00D11043" w:rsidP="00D11043">
            <w:pPr>
              <w:spacing w:after="0" w:line="240" w:lineRule="auto"/>
              <w:rPr>
                <w:szCs w:val="24"/>
              </w:rPr>
            </w:pPr>
            <w:r w:rsidRPr="00687DE8">
              <w:rPr>
                <w:szCs w:val="24"/>
              </w:rPr>
              <w:t>Kilpnäärme ultraheliuuring</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3E7A51" w14:textId="77777777" w:rsidR="00D11043" w:rsidRPr="00687DE8" w:rsidRDefault="00D11043" w:rsidP="00D11043">
            <w:pPr>
              <w:spacing w:after="0" w:line="240" w:lineRule="auto"/>
              <w:jc w:val="center"/>
              <w:rPr>
                <w:szCs w:val="24"/>
              </w:rPr>
            </w:pPr>
          </w:p>
          <w:p w14:paraId="68E73C4E" w14:textId="77777777" w:rsidR="00D11043" w:rsidRPr="00687DE8" w:rsidRDefault="00D11043" w:rsidP="00D11043">
            <w:pPr>
              <w:spacing w:after="0" w:line="240" w:lineRule="auto"/>
              <w:jc w:val="center"/>
              <w:rPr>
                <w:szCs w:val="24"/>
              </w:rPr>
            </w:pPr>
            <w:r w:rsidRPr="00687DE8">
              <w:rPr>
                <w:szCs w:val="24"/>
              </w:rPr>
              <w:t>7950</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017619" w14:textId="77777777" w:rsidR="00D11043" w:rsidRPr="00687DE8" w:rsidRDefault="00D11043" w:rsidP="00D11043">
            <w:pPr>
              <w:rPr>
                <w:szCs w:val="24"/>
              </w:rPr>
            </w:pP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4BABBF" w14:textId="70638A90" w:rsidR="2E1E8EE1" w:rsidRPr="00687DE8" w:rsidRDefault="00C8028D">
            <w:pPr>
              <w:spacing w:after="0"/>
              <w:jc w:val="center"/>
              <w:rPr>
                <w:color w:val="000000" w:themeColor="text1"/>
                <w:szCs w:val="24"/>
              </w:rPr>
            </w:pPr>
            <w:r>
              <w:rPr>
                <w:color w:val="000000"/>
              </w:rPr>
              <w:t>23,68</w:t>
            </w:r>
          </w:p>
        </w:tc>
      </w:tr>
      <w:tr w:rsidR="00D11043" w:rsidRPr="00687DE8" w14:paraId="60C27387"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9B88EF" w14:textId="77777777" w:rsidR="00D11043" w:rsidRPr="00687DE8" w:rsidRDefault="00D11043" w:rsidP="00D11043">
            <w:pPr>
              <w:spacing w:after="0" w:line="240" w:lineRule="auto"/>
              <w:rPr>
                <w:szCs w:val="24"/>
              </w:rPr>
            </w:pPr>
            <w:r w:rsidRPr="00687DE8">
              <w:rPr>
                <w:szCs w:val="24"/>
              </w:rPr>
              <w:t>Rinnanäärme ultraheliuuring (üks rind)</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E1077F" w14:textId="77777777" w:rsidR="00D11043" w:rsidRPr="00687DE8" w:rsidRDefault="00D11043" w:rsidP="00D11043">
            <w:pPr>
              <w:spacing w:after="0" w:line="240" w:lineRule="auto"/>
              <w:jc w:val="center"/>
              <w:rPr>
                <w:szCs w:val="24"/>
              </w:rPr>
            </w:pPr>
          </w:p>
          <w:p w14:paraId="03E988B4" w14:textId="77777777" w:rsidR="00D11043" w:rsidRPr="00687DE8" w:rsidRDefault="00D11043" w:rsidP="00D11043">
            <w:pPr>
              <w:spacing w:after="0" w:line="240" w:lineRule="auto"/>
              <w:jc w:val="center"/>
              <w:rPr>
                <w:szCs w:val="24"/>
              </w:rPr>
            </w:pPr>
          </w:p>
          <w:p w14:paraId="312E14B8" w14:textId="77777777" w:rsidR="00D11043" w:rsidRPr="00687DE8" w:rsidRDefault="00D11043" w:rsidP="00D11043">
            <w:pPr>
              <w:spacing w:after="0" w:line="240" w:lineRule="auto"/>
              <w:jc w:val="center"/>
              <w:rPr>
                <w:szCs w:val="24"/>
              </w:rPr>
            </w:pPr>
            <w:r w:rsidRPr="00687DE8">
              <w:rPr>
                <w:szCs w:val="24"/>
              </w:rPr>
              <w:t>7952</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DD9A94" w14:textId="77777777" w:rsidR="00D11043" w:rsidRPr="00687DE8" w:rsidRDefault="00D11043" w:rsidP="00D11043">
            <w:pPr>
              <w:rPr>
                <w:szCs w:val="24"/>
              </w:rPr>
            </w:pP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6242E7" w14:textId="35C7B684" w:rsidR="2E1E8EE1" w:rsidRPr="00687DE8" w:rsidRDefault="00C8028D">
            <w:pPr>
              <w:spacing w:after="0"/>
              <w:jc w:val="center"/>
              <w:rPr>
                <w:color w:val="000000" w:themeColor="text1"/>
                <w:szCs w:val="24"/>
              </w:rPr>
            </w:pPr>
            <w:r>
              <w:rPr>
                <w:color w:val="000000"/>
              </w:rPr>
              <w:t>29,64</w:t>
            </w:r>
          </w:p>
        </w:tc>
      </w:tr>
      <w:tr w:rsidR="00D11043" w:rsidRPr="00687DE8" w14:paraId="4054BC20"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D6FB34" w14:textId="77777777" w:rsidR="00D11043" w:rsidRPr="00687DE8" w:rsidRDefault="00D11043" w:rsidP="00D11043">
            <w:pPr>
              <w:spacing w:after="0" w:line="240" w:lineRule="auto"/>
              <w:rPr>
                <w:szCs w:val="24"/>
              </w:rPr>
            </w:pPr>
            <w:r w:rsidRPr="00687DE8">
              <w:rPr>
                <w:szCs w:val="24"/>
              </w:rPr>
              <w:t>Kõhupiirkonna ultraheliuuring</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6FC8B7" w14:textId="77777777" w:rsidR="00D11043" w:rsidRPr="00687DE8" w:rsidRDefault="00D11043" w:rsidP="00D11043">
            <w:pPr>
              <w:spacing w:after="0" w:line="240" w:lineRule="auto"/>
              <w:jc w:val="center"/>
              <w:rPr>
                <w:szCs w:val="24"/>
              </w:rPr>
            </w:pPr>
          </w:p>
          <w:p w14:paraId="3373F19E" w14:textId="77777777" w:rsidR="00D11043" w:rsidRPr="00687DE8" w:rsidRDefault="00D11043" w:rsidP="00D11043">
            <w:pPr>
              <w:spacing w:after="0" w:line="240" w:lineRule="auto"/>
              <w:jc w:val="center"/>
              <w:rPr>
                <w:szCs w:val="24"/>
              </w:rPr>
            </w:pPr>
            <w:r w:rsidRPr="00687DE8">
              <w:rPr>
                <w:szCs w:val="24"/>
              </w:rPr>
              <w:t>7956</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090BC6" w14:textId="77777777" w:rsidR="00D11043" w:rsidRPr="00687DE8" w:rsidRDefault="00D11043" w:rsidP="00D11043">
            <w:pPr>
              <w:rPr>
                <w:szCs w:val="24"/>
              </w:rPr>
            </w:pP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1DDE19" w14:textId="49B1B7B3" w:rsidR="2E1E8EE1" w:rsidRPr="00687DE8" w:rsidRDefault="00C8028D">
            <w:pPr>
              <w:spacing w:after="0"/>
              <w:jc w:val="center"/>
              <w:rPr>
                <w:color w:val="000000" w:themeColor="text1"/>
                <w:szCs w:val="24"/>
              </w:rPr>
            </w:pPr>
            <w:r>
              <w:rPr>
                <w:color w:val="000000"/>
              </w:rPr>
              <w:t>29,41</w:t>
            </w:r>
          </w:p>
        </w:tc>
      </w:tr>
      <w:tr w:rsidR="00D11043" w:rsidRPr="00687DE8" w14:paraId="5CACA3DB"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C1F8E3" w14:textId="77777777" w:rsidR="00D11043" w:rsidRPr="00687DE8" w:rsidRDefault="00D11043" w:rsidP="00D11043">
            <w:pPr>
              <w:spacing w:after="0" w:line="240" w:lineRule="auto"/>
              <w:rPr>
                <w:szCs w:val="24"/>
              </w:rPr>
            </w:pPr>
            <w:r w:rsidRPr="00687DE8">
              <w:rPr>
                <w:szCs w:val="24"/>
              </w:rPr>
              <w:t>Vaagnapiirkonna ultraheliuuring</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75C719" w14:textId="77777777" w:rsidR="00D11043" w:rsidRPr="00687DE8" w:rsidRDefault="00D11043" w:rsidP="00D11043">
            <w:pPr>
              <w:spacing w:after="0" w:line="240" w:lineRule="auto"/>
              <w:jc w:val="center"/>
              <w:rPr>
                <w:szCs w:val="24"/>
              </w:rPr>
            </w:pPr>
          </w:p>
          <w:p w14:paraId="7263F17B" w14:textId="77777777" w:rsidR="00D11043" w:rsidRPr="00687DE8" w:rsidRDefault="00D11043" w:rsidP="00D11043">
            <w:pPr>
              <w:spacing w:after="0" w:line="240" w:lineRule="auto"/>
              <w:jc w:val="center"/>
              <w:rPr>
                <w:szCs w:val="24"/>
              </w:rPr>
            </w:pPr>
            <w:r w:rsidRPr="00687DE8">
              <w:rPr>
                <w:szCs w:val="24"/>
              </w:rPr>
              <w:t>7958</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33EEFF" w14:textId="77777777" w:rsidR="00D11043" w:rsidRPr="00687DE8" w:rsidRDefault="00D11043" w:rsidP="00D11043">
            <w:pPr>
              <w:rPr>
                <w:szCs w:val="24"/>
              </w:rPr>
            </w:pP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149FF2" w14:textId="41E12E63" w:rsidR="2E1E8EE1" w:rsidRPr="00687DE8" w:rsidRDefault="00C8028D">
            <w:pPr>
              <w:spacing w:after="0"/>
              <w:jc w:val="center"/>
              <w:rPr>
                <w:color w:val="000000" w:themeColor="text1"/>
                <w:szCs w:val="24"/>
              </w:rPr>
            </w:pPr>
            <w:r>
              <w:rPr>
                <w:color w:val="000000"/>
              </w:rPr>
              <w:t>29,41</w:t>
            </w:r>
          </w:p>
        </w:tc>
      </w:tr>
      <w:tr w:rsidR="00934DA6" w:rsidRPr="00687DE8" w14:paraId="3BCF4B8B" w14:textId="77777777" w:rsidTr="00EB7A71">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16E5EB" w14:textId="77777777" w:rsidR="00934DA6" w:rsidRPr="00687DE8" w:rsidRDefault="00934DA6" w:rsidP="00934DA6">
            <w:pPr>
              <w:spacing w:after="0" w:line="240" w:lineRule="auto"/>
              <w:rPr>
                <w:szCs w:val="24"/>
              </w:rPr>
            </w:pPr>
            <w:r w:rsidRPr="00687DE8">
              <w:rPr>
                <w:szCs w:val="24"/>
              </w:rPr>
              <w:t>Kõhu- ja vaagnapiirkonna ultraheliuuring</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7F4EA7" w14:textId="77777777" w:rsidR="00934DA6" w:rsidRDefault="00934DA6" w:rsidP="00934DA6">
            <w:pPr>
              <w:spacing w:after="0" w:line="240" w:lineRule="auto"/>
              <w:jc w:val="center"/>
              <w:rPr>
                <w:szCs w:val="24"/>
              </w:rPr>
            </w:pPr>
          </w:p>
          <w:p w14:paraId="32941120" w14:textId="77777777" w:rsidR="00934DA6" w:rsidRPr="00687DE8" w:rsidRDefault="00934DA6" w:rsidP="00934DA6">
            <w:pPr>
              <w:spacing w:after="0" w:line="240" w:lineRule="auto"/>
              <w:jc w:val="center"/>
              <w:rPr>
                <w:szCs w:val="24"/>
              </w:rPr>
            </w:pPr>
            <w:r w:rsidRPr="00687DE8">
              <w:rPr>
                <w:szCs w:val="24"/>
              </w:rPr>
              <w:t>7953</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61B850" w14:textId="77777777" w:rsidR="00934DA6" w:rsidRPr="00687DE8" w:rsidRDefault="00934DA6" w:rsidP="00934DA6">
            <w:pPr>
              <w:rPr>
                <w:szCs w:val="24"/>
              </w:rPr>
            </w:pPr>
          </w:p>
        </w:tc>
        <w:tc>
          <w:tcPr>
            <w:tcW w:w="11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E08E87" w14:textId="76BD5611" w:rsidR="2E1E8EE1" w:rsidRPr="00687DE8" w:rsidRDefault="00E10F05">
            <w:pPr>
              <w:spacing w:after="0"/>
              <w:jc w:val="center"/>
              <w:rPr>
                <w:color w:val="000000" w:themeColor="text1"/>
                <w:szCs w:val="24"/>
              </w:rPr>
            </w:pPr>
            <w:r>
              <w:rPr>
                <w:color w:val="000000"/>
              </w:rPr>
              <w:t>42,94</w:t>
            </w:r>
          </w:p>
        </w:tc>
      </w:tr>
      <w:tr w:rsidR="00934DA6" w:rsidRPr="00687DE8" w14:paraId="22F5E1D9" w14:textId="77777777" w:rsidTr="00EB7A71">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91D908" w14:textId="77777777" w:rsidR="00934DA6" w:rsidRPr="00687DE8" w:rsidRDefault="00934DA6" w:rsidP="00934DA6">
            <w:pPr>
              <w:spacing w:after="0" w:line="240" w:lineRule="auto"/>
              <w:rPr>
                <w:szCs w:val="24"/>
              </w:rPr>
            </w:pPr>
            <w:r w:rsidRPr="00687DE8">
              <w:rPr>
                <w:szCs w:val="24"/>
              </w:rPr>
              <w:lastRenderedPageBreak/>
              <w:t>Vaginaalne ultraheliuuring</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3FD0F6" w14:textId="77777777" w:rsidR="00934DA6" w:rsidRPr="00687DE8" w:rsidRDefault="00934DA6" w:rsidP="00934DA6">
            <w:pPr>
              <w:spacing w:after="0" w:line="240" w:lineRule="auto"/>
              <w:jc w:val="center"/>
              <w:rPr>
                <w:szCs w:val="24"/>
              </w:rPr>
            </w:pPr>
          </w:p>
          <w:p w14:paraId="73404B06" w14:textId="77777777" w:rsidR="00934DA6" w:rsidRPr="00687DE8" w:rsidRDefault="00934DA6" w:rsidP="00934DA6">
            <w:pPr>
              <w:spacing w:after="0" w:line="240" w:lineRule="auto"/>
              <w:jc w:val="center"/>
              <w:rPr>
                <w:szCs w:val="24"/>
              </w:rPr>
            </w:pPr>
            <w:r w:rsidRPr="00687DE8">
              <w:rPr>
                <w:szCs w:val="24"/>
              </w:rPr>
              <w:t>7954</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8B2756" w14:textId="77777777" w:rsidR="00934DA6" w:rsidRPr="00687DE8" w:rsidRDefault="00934DA6" w:rsidP="00934DA6">
            <w:pPr>
              <w:rPr>
                <w:szCs w:val="24"/>
              </w:rPr>
            </w:pP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EAF1AD" w14:textId="589BBCAA" w:rsidR="2E1E8EE1" w:rsidRPr="00687DE8" w:rsidRDefault="00E10F05">
            <w:pPr>
              <w:spacing w:after="0"/>
              <w:jc w:val="center"/>
              <w:rPr>
                <w:color w:val="000000" w:themeColor="text1"/>
                <w:szCs w:val="24"/>
              </w:rPr>
            </w:pPr>
            <w:r>
              <w:rPr>
                <w:color w:val="000000"/>
              </w:rPr>
              <w:t>32,95</w:t>
            </w:r>
          </w:p>
        </w:tc>
      </w:tr>
      <w:tr w:rsidR="00934DA6" w:rsidRPr="00687DE8" w14:paraId="52A8FACC"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E615AD" w14:textId="77777777" w:rsidR="00934DA6" w:rsidRPr="00687DE8" w:rsidRDefault="00934DA6" w:rsidP="00934DA6">
            <w:pPr>
              <w:spacing w:after="0" w:line="240" w:lineRule="auto"/>
              <w:rPr>
                <w:szCs w:val="24"/>
              </w:rPr>
            </w:pPr>
            <w:r w:rsidRPr="00687DE8">
              <w:rPr>
                <w:szCs w:val="24"/>
              </w:rPr>
              <w:t>Rektaalne ultraheliuuring</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DA7181" w14:textId="77777777" w:rsidR="00934DA6" w:rsidRPr="00687DE8" w:rsidRDefault="00934DA6" w:rsidP="00934DA6">
            <w:pPr>
              <w:spacing w:after="0" w:line="240" w:lineRule="auto"/>
              <w:jc w:val="center"/>
              <w:rPr>
                <w:szCs w:val="24"/>
              </w:rPr>
            </w:pPr>
          </w:p>
          <w:p w14:paraId="6D412BAA" w14:textId="77777777" w:rsidR="00934DA6" w:rsidRPr="00687DE8" w:rsidRDefault="00934DA6" w:rsidP="00934DA6">
            <w:pPr>
              <w:spacing w:after="0" w:line="240" w:lineRule="auto"/>
              <w:jc w:val="center"/>
              <w:rPr>
                <w:szCs w:val="24"/>
              </w:rPr>
            </w:pPr>
            <w:r w:rsidRPr="00687DE8">
              <w:rPr>
                <w:szCs w:val="24"/>
              </w:rPr>
              <w:t>7960</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3515BC" w14:textId="77777777" w:rsidR="00934DA6" w:rsidRPr="00687DE8" w:rsidRDefault="00934DA6" w:rsidP="00934DA6">
            <w:pPr>
              <w:rPr>
                <w:szCs w:val="24"/>
              </w:rPr>
            </w:pP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E687FA" w14:textId="69A1B493" w:rsidR="2E1E8EE1" w:rsidRPr="00687DE8" w:rsidRDefault="00E10F05">
            <w:pPr>
              <w:spacing w:after="0"/>
              <w:jc w:val="center"/>
              <w:rPr>
                <w:color w:val="000000" w:themeColor="text1"/>
                <w:szCs w:val="24"/>
              </w:rPr>
            </w:pPr>
            <w:r>
              <w:rPr>
                <w:color w:val="000000"/>
              </w:rPr>
              <w:t>28,29</w:t>
            </w:r>
          </w:p>
        </w:tc>
      </w:tr>
      <w:tr w:rsidR="00934DA6" w:rsidRPr="00687DE8" w14:paraId="6EC38C1B"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BAE68F" w14:textId="77777777" w:rsidR="00934DA6" w:rsidRPr="00687DE8" w:rsidRDefault="00934DA6" w:rsidP="00934DA6">
            <w:pPr>
              <w:spacing w:after="0" w:line="240" w:lineRule="auto"/>
              <w:rPr>
                <w:szCs w:val="24"/>
              </w:rPr>
            </w:pPr>
            <w:r w:rsidRPr="00687DE8">
              <w:rPr>
                <w:szCs w:val="24"/>
              </w:rPr>
              <w:t>Emaka ultraheliuuring kontrastainega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2BCBF8" w14:textId="77777777" w:rsidR="00934DA6" w:rsidRPr="00687DE8" w:rsidRDefault="00934DA6" w:rsidP="00934DA6">
            <w:pPr>
              <w:spacing w:after="0" w:line="240" w:lineRule="auto"/>
              <w:jc w:val="center"/>
              <w:rPr>
                <w:szCs w:val="24"/>
              </w:rPr>
            </w:pPr>
          </w:p>
          <w:p w14:paraId="2F820DDB" w14:textId="77777777" w:rsidR="00934DA6" w:rsidRPr="00687DE8" w:rsidRDefault="00934DA6" w:rsidP="00934DA6">
            <w:pPr>
              <w:spacing w:after="0" w:line="240" w:lineRule="auto"/>
              <w:jc w:val="center"/>
              <w:rPr>
                <w:szCs w:val="24"/>
              </w:rPr>
            </w:pPr>
            <w:r w:rsidRPr="00687DE8">
              <w:rPr>
                <w:szCs w:val="24"/>
              </w:rPr>
              <w:t>7961</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5A532A" w14:textId="77777777" w:rsidR="00934DA6" w:rsidRPr="00687DE8" w:rsidRDefault="00934DA6" w:rsidP="00934DA6">
            <w:pPr>
              <w:spacing w:after="0" w:line="240" w:lineRule="auto"/>
              <w:rPr>
                <w:szCs w:val="24"/>
              </w:rPr>
            </w:pPr>
            <w:r w:rsidRPr="00687DE8">
              <w:rPr>
                <w:szCs w:val="24"/>
              </w:rPr>
              <w:t xml:space="preserve">Koodiga 7961 tähistatud tervishoiuteenus sisaldab järgmisi tegevusi: kontrastaine manustamine, uuring ja uuringu tulemuse kirjeldamine ravidokumendis </w:t>
            </w: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63FBEA" w14:textId="7B995E0A" w:rsidR="2E1E8EE1" w:rsidRPr="00687DE8" w:rsidRDefault="00E10F05">
            <w:pPr>
              <w:spacing w:after="0"/>
              <w:jc w:val="center"/>
              <w:rPr>
                <w:color w:val="000000" w:themeColor="text1"/>
                <w:szCs w:val="24"/>
              </w:rPr>
            </w:pPr>
            <w:r>
              <w:rPr>
                <w:color w:val="000000"/>
              </w:rPr>
              <w:t>60,00</w:t>
            </w:r>
          </w:p>
        </w:tc>
      </w:tr>
      <w:tr w:rsidR="00934DA6" w:rsidRPr="00687DE8" w14:paraId="1F5924D8"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E2D2F4" w14:textId="77777777" w:rsidR="00934DA6" w:rsidRPr="00687DE8" w:rsidRDefault="00934DA6" w:rsidP="00934DA6">
            <w:pPr>
              <w:spacing w:after="0" w:line="240" w:lineRule="auto"/>
              <w:rPr>
                <w:szCs w:val="24"/>
              </w:rPr>
            </w:pPr>
            <w:r w:rsidRPr="00687DE8">
              <w:rPr>
                <w:szCs w:val="24"/>
              </w:rPr>
              <w:t>Emaka ja munajuhade ultraheliuuring kontrastainega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C3D141" w14:textId="77777777" w:rsidR="00934DA6" w:rsidRPr="00687DE8" w:rsidRDefault="00934DA6" w:rsidP="00934DA6">
            <w:pPr>
              <w:spacing w:after="0" w:line="240" w:lineRule="auto"/>
              <w:jc w:val="center"/>
              <w:rPr>
                <w:szCs w:val="24"/>
              </w:rPr>
            </w:pPr>
          </w:p>
          <w:p w14:paraId="121FE677" w14:textId="77777777" w:rsidR="00934DA6" w:rsidRPr="00687DE8" w:rsidRDefault="00934DA6" w:rsidP="00934DA6">
            <w:pPr>
              <w:spacing w:after="0" w:line="240" w:lineRule="auto"/>
              <w:jc w:val="center"/>
              <w:rPr>
                <w:szCs w:val="24"/>
              </w:rPr>
            </w:pPr>
            <w:r w:rsidRPr="00687DE8">
              <w:rPr>
                <w:szCs w:val="24"/>
              </w:rPr>
              <w:t>7962</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D927F0" w14:textId="77777777" w:rsidR="00934DA6" w:rsidRPr="00687DE8" w:rsidRDefault="00934DA6" w:rsidP="00934DA6">
            <w:pPr>
              <w:spacing w:after="0" w:line="240" w:lineRule="auto"/>
              <w:rPr>
                <w:szCs w:val="24"/>
              </w:rPr>
            </w:pPr>
            <w:r w:rsidRPr="00687DE8">
              <w:rPr>
                <w:szCs w:val="24"/>
              </w:rPr>
              <w:t>Koodiga 7962 tähistatud tervishoiuteenus sisaldab järgmisi tegevusi: kontrastaine manustamine, uuring ja uuringu tulemuse kirjeldamine ravidokumendis</w:t>
            </w: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6F3B5B" w14:textId="45B9A263" w:rsidR="2E1E8EE1" w:rsidRPr="00687DE8" w:rsidRDefault="00E10F05">
            <w:pPr>
              <w:spacing w:after="0"/>
              <w:jc w:val="center"/>
              <w:rPr>
                <w:color w:val="000000" w:themeColor="text1"/>
                <w:szCs w:val="24"/>
              </w:rPr>
            </w:pPr>
            <w:r>
              <w:rPr>
                <w:color w:val="000000"/>
              </w:rPr>
              <w:t>93,70</w:t>
            </w:r>
          </w:p>
        </w:tc>
      </w:tr>
      <w:tr w:rsidR="00934DA6" w:rsidRPr="00687DE8" w14:paraId="412119A1"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E723C6" w14:textId="77777777" w:rsidR="00934DA6" w:rsidRPr="00687DE8" w:rsidRDefault="00934DA6" w:rsidP="00934DA6">
            <w:pPr>
              <w:spacing w:after="0" w:line="240" w:lineRule="auto"/>
              <w:rPr>
                <w:szCs w:val="24"/>
              </w:rPr>
            </w:pPr>
            <w:r w:rsidRPr="00687DE8">
              <w:rPr>
                <w:szCs w:val="24"/>
              </w:rPr>
              <w:t>Residuaaluriini määramine ultraheliga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542A55" w14:textId="77777777" w:rsidR="00934DA6" w:rsidRPr="00687DE8" w:rsidRDefault="00934DA6" w:rsidP="00934DA6">
            <w:pPr>
              <w:spacing w:after="0" w:line="240" w:lineRule="auto"/>
              <w:jc w:val="center"/>
              <w:rPr>
                <w:szCs w:val="24"/>
              </w:rPr>
            </w:pPr>
          </w:p>
          <w:p w14:paraId="7EE9030D" w14:textId="77777777" w:rsidR="00934DA6" w:rsidRPr="00687DE8" w:rsidRDefault="00934DA6" w:rsidP="00934DA6">
            <w:pPr>
              <w:spacing w:after="0" w:line="240" w:lineRule="auto"/>
              <w:jc w:val="center"/>
              <w:rPr>
                <w:szCs w:val="24"/>
              </w:rPr>
            </w:pPr>
            <w:r w:rsidRPr="00687DE8">
              <w:rPr>
                <w:szCs w:val="24"/>
              </w:rPr>
              <w:t>7963</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26F372" w14:textId="77777777" w:rsidR="00934DA6" w:rsidRPr="00687DE8" w:rsidRDefault="00934DA6" w:rsidP="00934DA6">
            <w:pPr>
              <w:rPr>
                <w:szCs w:val="24"/>
              </w:rPr>
            </w:pP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9BCE6D" w14:textId="7D979A6F" w:rsidR="2E1E8EE1" w:rsidRPr="00687DE8" w:rsidRDefault="00E10F05">
            <w:pPr>
              <w:spacing w:after="0"/>
              <w:jc w:val="center"/>
              <w:rPr>
                <w:color w:val="000000" w:themeColor="text1"/>
                <w:szCs w:val="24"/>
              </w:rPr>
            </w:pPr>
            <w:r>
              <w:rPr>
                <w:color w:val="000000"/>
              </w:rPr>
              <w:t>15,88</w:t>
            </w:r>
          </w:p>
        </w:tc>
      </w:tr>
      <w:tr w:rsidR="00934DA6" w:rsidRPr="00687DE8" w14:paraId="278F5C0D"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E1024B" w14:textId="77777777" w:rsidR="00934DA6" w:rsidRPr="00687DE8" w:rsidRDefault="00934DA6" w:rsidP="00934DA6">
            <w:pPr>
              <w:spacing w:after="0" w:line="240" w:lineRule="auto"/>
              <w:rPr>
                <w:szCs w:val="24"/>
              </w:rPr>
            </w:pPr>
            <w:r w:rsidRPr="00687DE8">
              <w:rPr>
                <w:szCs w:val="24"/>
              </w:rPr>
              <w:t>Kusepõie refluksi ultraheliuuring</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21B1B1" w14:textId="77777777" w:rsidR="00934DA6" w:rsidRPr="00687DE8" w:rsidRDefault="00934DA6" w:rsidP="00934DA6">
            <w:pPr>
              <w:spacing w:after="0" w:line="240" w:lineRule="auto"/>
              <w:jc w:val="center"/>
              <w:rPr>
                <w:szCs w:val="24"/>
              </w:rPr>
            </w:pPr>
          </w:p>
          <w:p w14:paraId="23AAA0DB" w14:textId="77777777" w:rsidR="00934DA6" w:rsidRPr="00687DE8" w:rsidRDefault="00934DA6" w:rsidP="00934DA6">
            <w:pPr>
              <w:spacing w:after="0" w:line="240" w:lineRule="auto"/>
              <w:jc w:val="center"/>
              <w:rPr>
                <w:szCs w:val="24"/>
              </w:rPr>
            </w:pPr>
            <w:r w:rsidRPr="00687DE8">
              <w:rPr>
                <w:szCs w:val="24"/>
              </w:rPr>
              <w:t>7964</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E9A4F5" w14:textId="77777777" w:rsidR="00934DA6" w:rsidRPr="00687DE8" w:rsidRDefault="00934DA6" w:rsidP="00934DA6">
            <w:pPr>
              <w:rPr>
                <w:szCs w:val="24"/>
              </w:rPr>
            </w:pP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7B8A4A" w14:textId="3C0C98CC" w:rsidR="2E1E8EE1" w:rsidRPr="00687DE8" w:rsidRDefault="00E10F05">
            <w:pPr>
              <w:spacing w:after="0"/>
              <w:jc w:val="center"/>
              <w:rPr>
                <w:color w:val="000000" w:themeColor="text1"/>
                <w:szCs w:val="24"/>
              </w:rPr>
            </w:pPr>
            <w:r>
              <w:rPr>
                <w:color w:val="000000"/>
              </w:rPr>
              <w:t>38,88</w:t>
            </w:r>
          </w:p>
        </w:tc>
      </w:tr>
      <w:tr w:rsidR="00934DA6" w:rsidRPr="00687DE8" w14:paraId="45FF4149"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CB2C93" w14:textId="77777777" w:rsidR="00934DA6" w:rsidRPr="00687DE8" w:rsidRDefault="00934DA6" w:rsidP="00934DA6">
            <w:pPr>
              <w:spacing w:after="0" w:line="240" w:lineRule="auto"/>
              <w:rPr>
                <w:szCs w:val="24"/>
              </w:rPr>
            </w:pPr>
            <w:r w:rsidRPr="00687DE8">
              <w:rPr>
                <w:szCs w:val="24"/>
              </w:rPr>
              <w:t>Maksa ultraheliuuring kontrastainega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79D2AE" w14:textId="77777777" w:rsidR="00934DA6" w:rsidRPr="00687DE8" w:rsidRDefault="00934DA6" w:rsidP="00934DA6">
            <w:pPr>
              <w:spacing w:after="0" w:line="240" w:lineRule="auto"/>
              <w:jc w:val="center"/>
              <w:rPr>
                <w:szCs w:val="24"/>
              </w:rPr>
            </w:pPr>
          </w:p>
          <w:p w14:paraId="1E94176F" w14:textId="77777777" w:rsidR="00934DA6" w:rsidRPr="00687DE8" w:rsidRDefault="00934DA6" w:rsidP="00934DA6">
            <w:pPr>
              <w:spacing w:after="0" w:line="240" w:lineRule="auto"/>
              <w:jc w:val="center"/>
              <w:rPr>
                <w:szCs w:val="24"/>
              </w:rPr>
            </w:pPr>
            <w:r w:rsidRPr="00687DE8">
              <w:rPr>
                <w:szCs w:val="24"/>
              </w:rPr>
              <w:t>7966</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53B5F9" w14:textId="77777777" w:rsidR="00934DA6" w:rsidRPr="00687DE8" w:rsidRDefault="00934DA6" w:rsidP="00934DA6">
            <w:pPr>
              <w:rPr>
                <w:szCs w:val="24"/>
              </w:rPr>
            </w:pP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731342" w14:textId="4A4EA958" w:rsidR="2E1E8EE1" w:rsidRPr="00687DE8" w:rsidRDefault="00E10F05">
            <w:pPr>
              <w:spacing w:after="0"/>
              <w:jc w:val="center"/>
              <w:rPr>
                <w:color w:val="000000" w:themeColor="text1"/>
                <w:szCs w:val="24"/>
              </w:rPr>
            </w:pPr>
            <w:r>
              <w:rPr>
                <w:color w:val="000000"/>
              </w:rPr>
              <w:t>172,02</w:t>
            </w:r>
          </w:p>
        </w:tc>
      </w:tr>
      <w:tr w:rsidR="00934DA6" w:rsidRPr="00687DE8" w14:paraId="759ECD3B"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787598" w14:textId="77777777" w:rsidR="00934DA6" w:rsidRPr="00687DE8" w:rsidRDefault="00934DA6" w:rsidP="00934DA6">
            <w:pPr>
              <w:spacing w:after="0" w:line="240" w:lineRule="auto"/>
              <w:rPr>
                <w:szCs w:val="24"/>
              </w:rPr>
            </w:pPr>
            <w:r w:rsidRPr="00687DE8">
              <w:rPr>
                <w:szCs w:val="24"/>
              </w:rPr>
              <w:t>Mittetransporditava haige ultraheliuuring väljaspool ultraheli kabinetti</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442D85" w14:textId="77777777" w:rsidR="00934DA6" w:rsidRPr="00687DE8" w:rsidRDefault="00934DA6" w:rsidP="00934DA6">
            <w:pPr>
              <w:spacing w:after="0" w:line="240" w:lineRule="auto"/>
              <w:jc w:val="center"/>
              <w:rPr>
                <w:szCs w:val="24"/>
              </w:rPr>
            </w:pPr>
          </w:p>
          <w:p w14:paraId="78BEA6EB" w14:textId="77777777" w:rsidR="00934DA6" w:rsidRPr="00687DE8" w:rsidRDefault="00934DA6" w:rsidP="00934DA6">
            <w:pPr>
              <w:spacing w:after="0" w:line="240" w:lineRule="auto"/>
              <w:jc w:val="center"/>
              <w:rPr>
                <w:szCs w:val="24"/>
              </w:rPr>
            </w:pPr>
          </w:p>
          <w:p w14:paraId="45168CEB" w14:textId="77777777" w:rsidR="00934DA6" w:rsidRPr="00687DE8" w:rsidRDefault="00934DA6" w:rsidP="00934DA6">
            <w:pPr>
              <w:spacing w:after="0" w:line="240" w:lineRule="auto"/>
              <w:jc w:val="center"/>
              <w:rPr>
                <w:szCs w:val="24"/>
              </w:rPr>
            </w:pPr>
            <w:r w:rsidRPr="00687DE8">
              <w:rPr>
                <w:szCs w:val="24"/>
              </w:rPr>
              <w:t>7967</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8DD7B" w14:textId="77777777" w:rsidR="00934DA6" w:rsidRPr="00687DE8" w:rsidRDefault="00934DA6" w:rsidP="00934DA6">
            <w:pPr>
              <w:rPr>
                <w:szCs w:val="24"/>
              </w:rPr>
            </w:pP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E757E92" w14:textId="46C369A3" w:rsidR="2E1E8EE1" w:rsidRPr="00687DE8" w:rsidRDefault="00E10F05">
            <w:pPr>
              <w:spacing w:after="0"/>
              <w:jc w:val="center"/>
              <w:rPr>
                <w:color w:val="000000" w:themeColor="text1"/>
                <w:szCs w:val="24"/>
              </w:rPr>
            </w:pPr>
            <w:r>
              <w:rPr>
                <w:color w:val="000000"/>
              </w:rPr>
              <w:t>44,60</w:t>
            </w:r>
          </w:p>
        </w:tc>
      </w:tr>
      <w:tr w:rsidR="00934DA6" w:rsidRPr="00687DE8" w14:paraId="0A641C41"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344326" w14:textId="77777777" w:rsidR="00934DA6" w:rsidRPr="00687DE8" w:rsidRDefault="00934DA6" w:rsidP="00934DA6">
            <w:pPr>
              <w:spacing w:after="0" w:line="240" w:lineRule="auto"/>
              <w:rPr>
                <w:szCs w:val="24"/>
              </w:rPr>
            </w:pPr>
            <w:r w:rsidRPr="00687DE8">
              <w:rPr>
                <w:szCs w:val="24"/>
              </w:rPr>
              <w:t>Mittetransporditava haige iga järgnev ultraheliuuring väljaspool ultraheli kabinetti</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00E63E" w14:textId="77777777" w:rsidR="00934DA6" w:rsidRPr="00687DE8" w:rsidRDefault="00934DA6" w:rsidP="00934DA6">
            <w:pPr>
              <w:spacing w:after="0" w:line="240" w:lineRule="auto"/>
              <w:jc w:val="center"/>
              <w:rPr>
                <w:szCs w:val="24"/>
              </w:rPr>
            </w:pPr>
          </w:p>
          <w:p w14:paraId="47909A8E" w14:textId="77777777" w:rsidR="00934DA6" w:rsidRPr="00687DE8" w:rsidRDefault="00934DA6" w:rsidP="00934DA6">
            <w:pPr>
              <w:spacing w:after="0" w:line="240" w:lineRule="auto"/>
              <w:jc w:val="center"/>
              <w:rPr>
                <w:szCs w:val="24"/>
              </w:rPr>
            </w:pPr>
          </w:p>
          <w:p w14:paraId="11861C1F" w14:textId="77777777" w:rsidR="00934DA6" w:rsidRPr="00687DE8" w:rsidRDefault="00934DA6" w:rsidP="00934DA6">
            <w:pPr>
              <w:spacing w:after="0" w:line="240" w:lineRule="auto"/>
              <w:jc w:val="center"/>
              <w:rPr>
                <w:szCs w:val="24"/>
              </w:rPr>
            </w:pPr>
            <w:r w:rsidRPr="00687DE8">
              <w:rPr>
                <w:szCs w:val="24"/>
              </w:rPr>
              <w:t>7968</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F17F44" w14:textId="77777777" w:rsidR="00934DA6" w:rsidRPr="00687DE8" w:rsidRDefault="00934DA6" w:rsidP="00934DA6">
            <w:pPr>
              <w:rPr>
                <w:szCs w:val="24"/>
              </w:rPr>
            </w:pP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A3CAF7" w14:textId="51B875CB" w:rsidR="2E1E8EE1" w:rsidRPr="00687DE8" w:rsidRDefault="00E10F05">
            <w:pPr>
              <w:spacing w:after="0"/>
              <w:jc w:val="center"/>
              <w:rPr>
                <w:color w:val="000000" w:themeColor="text1"/>
                <w:szCs w:val="24"/>
              </w:rPr>
            </w:pPr>
            <w:r>
              <w:rPr>
                <w:color w:val="000000"/>
              </w:rPr>
              <w:t>28,25</w:t>
            </w:r>
          </w:p>
        </w:tc>
      </w:tr>
      <w:tr w:rsidR="00934DA6" w:rsidRPr="00687DE8" w14:paraId="4426300C"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9C9C7D" w14:textId="77777777" w:rsidR="00934DA6" w:rsidRPr="00687DE8" w:rsidRDefault="00934DA6" w:rsidP="00934DA6">
            <w:pPr>
              <w:spacing w:after="0" w:line="240" w:lineRule="auto"/>
              <w:rPr>
                <w:szCs w:val="24"/>
              </w:rPr>
            </w:pPr>
            <w:r w:rsidRPr="00687DE8">
              <w:rPr>
                <w:szCs w:val="24"/>
              </w:rPr>
              <w:t>Loote ultraheliuuring dopleriga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2C4E10" w14:textId="77777777" w:rsidR="00934DA6" w:rsidRPr="00687DE8" w:rsidRDefault="00934DA6" w:rsidP="00934DA6">
            <w:pPr>
              <w:spacing w:after="0" w:line="240" w:lineRule="auto"/>
              <w:jc w:val="center"/>
              <w:rPr>
                <w:szCs w:val="24"/>
              </w:rPr>
            </w:pPr>
          </w:p>
          <w:p w14:paraId="0ABB8FD0" w14:textId="77777777" w:rsidR="00934DA6" w:rsidRPr="00687DE8" w:rsidRDefault="00934DA6" w:rsidP="00934DA6">
            <w:pPr>
              <w:spacing w:after="0" w:line="240" w:lineRule="auto"/>
              <w:jc w:val="center"/>
              <w:rPr>
                <w:szCs w:val="24"/>
              </w:rPr>
            </w:pPr>
            <w:r w:rsidRPr="00687DE8">
              <w:rPr>
                <w:szCs w:val="24"/>
              </w:rPr>
              <w:t>7969</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88C36D" w14:textId="77777777" w:rsidR="00934DA6" w:rsidRPr="00687DE8" w:rsidRDefault="00934DA6" w:rsidP="00934DA6">
            <w:pPr>
              <w:rPr>
                <w:szCs w:val="24"/>
              </w:rPr>
            </w:pP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94BB47" w14:textId="2C8BD5F2" w:rsidR="2E1E8EE1" w:rsidRPr="00687DE8" w:rsidRDefault="00E10F05">
            <w:pPr>
              <w:spacing w:after="0"/>
              <w:jc w:val="center"/>
              <w:rPr>
                <w:color w:val="000000" w:themeColor="text1"/>
                <w:szCs w:val="24"/>
              </w:rPr>
            </w:pPr>
            <w:r>
              <w:rPr>
                <w:color w:val="000000"/>
              </w:rPr>
              <w:t>34,82</w:t>
            </w:r>
          </w:p>
        </w:tc>
      </w:tr>
      <w:tr w:rsidR="00934DA6" w:rsidRPr="00687DE8" w14:paraId="4809C65F" w14:textId="77777777" w:rsidTr="00B93704">
        <w:trPr>
          <w:divId w:val="1316184749"/>
          <w:trHeight w:val="300"/>
        </w:trPr>
        <w:tc>
          <w:tcPr>
            <w:tcW w:w="2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0E0E42" w14:textId="77777777" w:rsidR="00934DA6" w:rsidRPr="00687DE8" w:rsidRDefault="00934DA6" w:rsidP="00934DA6">
            <w:pPr>
              <w:spacing w:after="0" w:line="240" w:lineRule="auto"/>
              <w:rPr>
                <w:szCs w:val="24"/>
              </w:rPr>
            </w:pPr>
            <w:r w:rsidRPr="00687DE8">
              <w:rPr>
                <w:szCs w:val="24"/>
              </w:rPr>
              <w:t>Ultraheli kasutamine anesteesias</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45C1E9" w14:textId="77777777" w:rsidR="00934DA6" w:rsidRPr="00687DE8" w:rsidRDefault="00934DA6" w:rsidP="00934DA6">
            <w:pPr>
              <w:spacing w:after="0" w:line="240" w:lineRule="auto"/>
              <w:jc w:val="center"/>
              <w:rPr>
                <w:szCs w:val="24"/>
              </w:rPr>
            </w:pPr>
            <w:r w:rsidRPr="00687DE8">
              <w:rPr>
                <w:szCs w:val="24"/>
              </w:rPr>
              <w:t>7939</w:t>
            </w:r>
          </w:p>
        </w:tc>
        <w:tc>
          <w:tcPr>
            <w:tcW w:w="5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2CC981" w14:textId="77777777" w:rsidR="00934DA6" w:rsidRPr="00687DE8" w:rsidRDefault="00934DA6" w:rsidP="00934DA6">
            <w:pPr>
              <w:rPr>
                <w:szCs w:val="24"/>
              </w:rPr>
            </w:pPr>
          </w:p>
        </w:tc>
        <w:tc>
          <w:tcPr>
            <w:tcW w:w="11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A4BD1AD" w14:textId="0B9B7FA8" w:rsidR="2E1E8EE1" w:rsidRPr="00687DE8" w:rsidRDefault="00E10F05">
            <w:pPr>
              <w:spacing w:after="0"/>
              <w:jc w:val="center"/>
              <w:rPr>
                <w:color w:val="000000" w:themeColor="text1"/>
                <w:szCs w:val="24"/>
              </w:rPr>
            </w:pPr>
            <w:r>
              <w:rPr>
                <w:color w:val="000000"/>
              </w:rPr>
              <w:t>16,15</w:t>
            </w:r>
          </w:p>
        </w:tc>
      </w:tr>
    </w:tbl>
    <w:p w14:paraId="3A0C01E1" w14:textId="77777777" w:rsidR="00976487" w:rsidRPr="00687DE8" w:rsidRDefault="00976487" w:rsidP="00976487">
      <w:pPr>
        <w:spacing w:after="0" w:line="240" w:lineRule="auto"/>
        <w:jc w:val="both"/>
        <w:divId w:val="1316184749"/>
        <w:rPr>
          <w:szCs w:val="24"/>
        </w:rPr>
      </w:pPr>
    </w:p>
    <w:p w14:paraId="79B0E6A2" w14:textId="77777777" w:rsidR="00976487" w:rsidRPr="00687DE8" w:rsidRDefault="00106B00" w:rsidP="00976487">
      <w:pPr>
        <w:spacing w:after="0" w:line="240" w:lineRule="auto"/>
        <w:jc w:val="both"/>
        <w:divId w:val="1316184749"/>
        <w:rPr>
          <w:szCs w:val="24"/>
        </w:rPr>
      </w:pPr>
      <w:r w:rsidRPr="00687DE8">
        <w:rPr>
          <w:szCs w:val="24"/>
        </w:rPr>
        <w:t>(2) L</w:t>
      </w:r>
      <w:r w:rsidR="00976487" w:rsidRPr="00687DE8">
        <w:rPr>
          <w:szCs w:val="24"/>
        </w:rPr>
        <w:t>õikes 1 sätestatud tervishoiuteenuste piirhindade rakendamisel lähtutakse alljärgnevast:</w:t>
      </w:r>
    </w:p>
    <w:p w14:paraId="128CC326" w14:textId="58413812" w:rsidR="00976487" w:rsidRPr="00687DE8" w:rsidRDefault="00976487" w:rsidP="00976487">
      <w:pPr>
        <w:spacing w:after="0" w:line="240" w:lineRule="auto"/>
        <w:jc w:val="both"/>
        <w:divId w:val="1316184749"/>
        <w:rPr>
          <w:szCs w:val="24"/>
        </w:rPr>
      </w:pPr>
      <w:r w:rsidRPr="00687DE8">
        <w:rPr>
          <w:szCs w:val="24"/>
        </w:rPr>
        <w:t xml:space="preserve">1) </w:t>
      </w:r>
      <w:r w:rsidR="005023FD" w:rsidRPr="00687DE8">
        <w:rPr>
          <w:szCs w:val="24"/>
        </w:rPr>
        <w:t>Tervisekassa</w:t>
      </w:r>
      <w:r w:rsidRPr="00687DE8">
        <w:rPr>
          <w:szCs w:val="24"/>
        </w:rPr>
        <w:t xml:space="preserve"> võtab tasu maksmise kohustuse üle juhul, kui uuringu teeb radioloog või sellekohase pädevusega teise eriala arst;</w:t>
      </w:r>
    </w:p>
    <w:p w14:paraId="3D274AAB" w14:textId="77777777" w:rsidR="00976487" w:rsidRPr="00687DE8" w:rsidRDefault="00976487" w:rsidP="00976487">
      <w:pPr>
        <w:spacing w:after="0" w:line="240" w:lineRule="auto"/>
        <w:jc w:val="both"/>
        <w:divId w:val="1316184749"/>
        <w:rPr>
          <w:szCs w:val="24"/>
        </w:rPr>
      </w:pPr>
      <w:r w:rsidRPr="00687DE8">
        <w:rPr>
          <w:szCs w:val="24"/>
        </w:rPr>
        <w:t>2) piirhinnad sisaldavad ultraheliuuringu tegemist ja tulemuse kirjeldamist ravidokumendis iga piirkonna kohta</w:t>
      </w:r>
      <w:r w:rsidR="008C20D5" w:rsidRPr="00687DE8">
        <w:rPr>
          <w:szCs w:val="24"/>
        </w:rPr>
        <w:t xml:space="preserve"> ning </w:t>
      </w:r>
      <w:r w:rsidR="001539CD" w:rsidRPr="00687DE8">
        <w:rPr>
          <w:szCs w:val="24"/>
        </w:rPr>
        <w:t>on</w:t>
      </w:r>
      <w:r w:rsidR="008C20D5" w:rsidRPr="00687DE8">
        <w:rPr>
          <w:szCs w:val="24"/>
        </w:rPr>
        <w:t xml:space="preserve"> </w:t>
      </w:r>
      <w:r w:rsidR="005C73A6" w:rsidRPr="00687DE8">
        <w:rPr>
          <w:szCs w:val="24"/>
        </w:rPr>
        <w:t>tagatud piltide arhiveerimi</w:t>
      </w:r>
      <w:r w:rsidR="00AC195A" w:rsidRPr="00687DE8">
        <w:rPr>
          <w:szCs w:val="24"/>
        </w:rPr>
        <w:t>n</w:t>
      </w:r>
      <w:r w:rsidR="005C73A6" w:rsidRPr="00687DE8">
        <w:rPr>
          <w:szCs w:val="24"/>
        </w:rPr>
        <w:t>e Sihtasutuses Eesti Tervishoiu Pildipank</w:t>
      </w:r>
      <w:r w:rsidR="00C03E50" w:rsidRPr="00687DE8">
        <w:rPr>
          <w:szCs w:val="24"/>
        </w:rPr>
        <w:t>;</w:t>
      </w:r>
    </w:p>
    <w:p w14:paraId="27684F00" w14:textId="77777777" w:rsidR="00976487" w:rsidRPr="00687DE8" w:rsidRDefault="00976487" w:rsidP="00976487">
      <w:pPr>
        <w:spacing w:after="0" w:line="240" w:lineRule="auto"/>
        <w:jc w:val="both"/>
        <w:divId w:val="1316184749"/>
        <w:rPr>
          <w:szCs w:val="24"/>
        </w:rPr>
      </w:pPr>
      <w:r w:rsidRPr="00687DE8">
        <w:rPr>
          <w:szCs w:val="24"/>
        </w:rPr>
        <w:t xml:space="preserve">3) 4. peatükis nimetatud protseduuride tegemisel ultraheli kontrolli all ei rakendata täiendavalt </w:t>
      </w:r>
      <w:r w:rsidR="00CB7133" w:rsidRPr="00687DE8">
        <w:rPr>
          <w:szCs w:val="24"/>
        </w:rPr>
        <w:t xml:space="preserve">lõikes 1 nimetatud </w:t>
      </w:r>
      <w:r w:rsidRPr="00687DE8">
        <w:rPr>
          <w:szCs w:val="24"/>
        </w:rPr>
        <w:t>ultraheli</w:t>
      </w:r>
      <w:r w:rsidR="00CB7133" w:rsidRPr="00687DE8">
        <w:rPr>
          <w:szCs w:val="24"/>
        </w:rPr>
        <w:t>teenuste</w:t>
      </w:r>
      <w:r w:rsidRPr="00687DE8">
        <w:rPr>
          <w:szCs w:val="24"/>
        </w:rPr>
        <w:t xml:space="preserve"> </w:t>
      </w:r>
      <w:r w:rsidR="00F8501D" w:rsidRPr="00687DE8">
        <w:rPr>
          <w:szCs w:val="24"/>
        </w:rPr>
        <w:t xml:space="preserve">(v.a koodiga </w:t>
      </w:r>
      <w:r w:rsidR="00A62DBB" w:rsidRPr="00687DE8">
        <w:rPr>
          <w:szCs w:val="24"/>
        </w:rPr>
        <w:t>7939</w:t>
      </w:r>
      <w:r w:rsidR="00F8501D" w:rsidRPr="00687DE8">
        <w:rPr>
          <w:szCs w:val="24"/>
        </w:rPr>
        <w:t xml:space="preserve"> tähistatud </w:t>
      </w:r>
      <w:r w:rsidR="00DC0EED" w:rsidRPr="00687DE8">
        <w:rPr>
          <w:szCs w:val="24"/>
        </w:rPr>
        <w:t>tervishoiu</w:t>
      </w:r>
      <w:r w:rsidR="00F8501D" w:rsidRPr="00687DE8">
        <w:rPr>
          <w:szCs w:val="24"/>
        </w:rPr>
        <w:t>teenus)</w:t>
      </w:r>
      <w:r w:rsidRPr="00687DE8">
        <w:rPr>
          <w:szCs w:val="24"/>
        </w:rPr>
        <w:t xml:space="preserve"> piirhindu;</w:t>
      </w:r>
    </w:p>
    <w:p w14:paraId="67AB7469" w14:textId="77777777" w:rsidR="00F8501D" w:rsidRPr="00687DE8" w:rsidRDefault="00976487" w:rsidP="00976487">
      <w:pPr>
        <w:spacing w:after="0" w:line="240" w:lineRule="auto"/>
        <w:jc w:val="both"/>
        <w:divId w:val="1316184749"/>
        <w:rPr>
          <w:szCs w:val="24"/>
        </w:rPr>
      </w:pPr>
      <w:r w:rsidRPr="00687DE8">
        <w:rPr>
          <w:szCs w:val="24"/>
        </w:rPr>
        <w:t>4) kui ühes piirkonnas uuritakse samal ajal nii artereid kui ka veene, rakendatakse koodiga 7943 tähistatud tervishoiuteenuse piirhinda (koode 7941 ja 7942 ei rakendata)</w:t>
      </w:r>
      <w:r w:rsidR="00F8501D" w:rsidRPr="00687DE8">
        <w:rPr>
          <w:szCs w:val="24"/>
        </w:rPr>
        <w:t>;</w:t>
      </w:r>
    </w:p>
    <w:p w14:paraId="379DCFF0" w14:textId="77777777" w:rsidR="00976487" w:rsidRPr="00687DE8" w:rsidRDefault="00F8501D" w:rsidP="00976487">
      <w:pPr>
        <w:spacing w:after="0" w:line="240" w:lineRule="auto"/>
        <w:jc w:val="both"/>
        <w:divId w:val="1316184749"/>
        <w:rPr>
          <w:szCs w:val="24"/>
        </w:rPr>
      </w:pPr>
      <w:r w:rsidRPr="00687DE8">
        <w:rPr>
          <w:szCs w:val="24"/>
        </w:rPr>
        <w:t xml:space="preserve">5) koodiga </w:t>
      </w:r>
      <w:r w:rsidR="00A62DBB" w:rsidRPr="00687DE8">
        <w:rPr>
          <w:szCs w:val="24"/>
        </w:rPr>
        <w:t>7939</w:t>
      </w:r>
      <w:r w:rsidRPr="00687DE8">
        <w:rPr>
          <w:szCs w:val="24"/>
        </w:rPr>
        <w:t xml:space="preserve"> tähistatud teenuse piirhinda rakendatakse </w:t>
      </w:r>
      <w:r w:rsidR="00CB7133" w:rsidRPr="00687DE8">
        <w:rPr>
          <w:szCs w:val="24"/>
        </w:rPr>
        <w:t>ainult</w:t>
      </w:r>
      <w:r w:rsidR="00443681" w:rsidRPr="00687DE8">
        <w:rPr>
          <w:szCs w:val="24"/>
        </w:rPr>
        <w:t xml:space="preserve"> </w:t>
      </w:r>
      <w:r w:rsidR="007E7AA2" w:rsidRPr="00687DE8">
        <w:rPr>
          <w:szCs w:val="24"/>
        </w:rPr>
        <w:t xml:space="preserve">koos </w:t>
      </w:r>
      <w:r w:rsidR="00443681" w:rsidRPr="00687DE8">
        <w:rPr>
          <w:szCs w:val="24"/>
        </w:rPr>
        <w:t>koodidega 2201</w:t>
      </w:r>
      <w:r w:rsidR="008D29EA" w:rsidRPr="00687DE8">
        <w:rPr>
          <w:color w:val="202020"/>
          <w:szCs w:val="24"/>
          <w:lang w:eastAsia="et-EE"/>
        </w:rPr>
        <w:t>–</w:t>
      </w:r>
      <w:r w:rsidR="00443681" w:rsidRPr="00687DE8">
        <w:rPr>
          <w:szCs w:val="24"/>
        </w:rPr>
        <w:t>2207.</w:t>
      </w:r>
    </w:p>
    <w:p w14:paraId="3C3F0454" w14:textId="77777777" w:rsidR="00976487" w:rsidRPr="00687DE8" w:rsidRDefault="00976487" w:rsidP="00976487">
      <w:pPr>
        <w:spacing w:after="0" w:line="240" w:lineRule="auto"/>
        <w:jc w:val="both"/>
        <w:divId w:val="1316184749"/>
        <w:rPr>
          <w:szCs w:val="24"/>
        </w:rPr>
      </w:pPr>
    </w:p>
    <w:p w14:paraId="5895D1B2" w14:textId="79AE5C8B" w:rsidR="00976487" w:rsidRPr="00687DE8" w:rsidRDefault="00976487" w:rsidP="00976487">
      <w:pPr>
        <w:spacing w:after="0" w:line="240" w:lineRule="auto"/>
        <w:jc w:val="both"/>
        <w:divId w:val="1316184749"/>
        <w:rPr>
          <w:szCs w:val="24"/>
        </w:rPr>
      </w:pPr>
      <w:r w:rsidRPr="00687DE8">
        <w:rPr>
          <w:szCs w:val="24"/>
        </w:rPr>
        <w:lastRenderedPageBreak/>
        <w:t xml:space="preserve">(3) Koodiga 7966 tähistatud tervishoiuteenuse piirhind sisaldab ultraheli kontrastaine maksumust. </w:t>
      </w:r>
      <w:r w:rsidR="005023FD" w:rsidRPr="00687DE8">
        <w:rPr>
          <w:szCs w:val="24"/>
        </w:rPr>
        <w:t>Tervisekassa</w:t>
      </w:r>
      <w:r w:rsidRPr="00687DE8">
        <w:rPr>
          <w:szCs w:val="24"/>
        </w:rPr>
        <w:t xml:space="preserve"> võtab tasu maksmise kohustuse koodiga 7966 tähistatud tervishoiuteenuse alusel üle üks kord uuringu kohta.</w:t>
      </w:r>
    </w:p>
    <w:p w14:paraId="069A88F0" w14:textId="77777777" w:rsidR="00976487" w:rsidRPr="00687DE8" w:rsidRDefault="00976487" w:rsidP="00976487">
      <w:pPr>
        <w:spacing w:after="0" w:line="240" w:lineRule="auto"/>
        <w:jc w:val="both"/>
        <w:divId w:val="1316184749"/>
        <w:rPr>
          <w:szCs w:val="24"/>
        </w:rPr>
      </w:pPr>
    </w:p>
    <w:p w14:paraId="7184088C" w14:textId="77777777" w:rsidR="00976487" w:rsidRPr="00687DE8" w:rsidRDefault="00976487" w:rsidP="00976487">
      <w:pPr>
        <w:spacing w:after="0" w:line="240" w:lineRule="auto"/>
        <w:jc w:val="both"/>
        <w:divId w:val="1316184749"/>
        <w:rPr>
          <w:szCs w:val="24"/>
        </w:rPr>
      </w:pPr>
      <w:r w:rsidRPr="00687DE8">
        <w:rPr>
          <w:szCs w:val="24"/>
        </w:rPr>
        <w:t>(4) Koodiga 7966 tähistatud tervishoiuteenuse piirhinda rakendatakse maksa metastaaside uurimisel kompuutertomograafia ja magnetresonantstomograafia vastunäidustuse korral ning diagnoosi täpsustamisel ebaselge kompuutertomograafia, magnetresonantstomograafia, tsütoloogilise või histoloogilise uuringu koldeleiu korral.</w:t>
      </w:r>
    </w:p>
    <w:p w14:paraId="7148C6E3" w14:textId="77777777" w:rsidR="00976487" w:rsidRPr="00687DE8" w:rsidRDefault="00976487" w:rsidP="00976487">
      <w:pPr>
        <w:spacing w:after="0" w:line="240" w:lineRule="auto"/>
        <w:jc w:val="both"/>
        <w:divId w:val="1316184749"/>
        <w:rPr>
          <w:szCs w:val="24"/>
        </w:rPr>
      </w:pPr>
    </w:p>
    <w:p w14:paraId="1002DF30" w14:textId="77777777" w:rsidR="00976487" w:rsidRPr="00687DE8" w:rsidRDefault="00976487" w:rsidP="00976487">
      <w:pPr>
        <w:spacing w:after="0" w:line="240" w:lineRule="auto"/>
        <w:jc w:val="both"/>
        <w:divId w:val="1316184749"/>
        <w:rPr>
          <w:szCs w:val="24"/>
        </w:rPr>
      </w:pPr>
      <w:r w:rsidRPr="00687DE8">
        <w:rPr>
          <w:szCs w:val="24"/>
        </w:rPr>
        <w:t>(5) Mittetransporditavale haigele ultraheliuuringu tegemisel väljaspool ultraheli kabinetti rakendatakse ainult koodidega 7967 ja 7968 tähistatud tervishoiuteenuseid.</w:t>
      </w:r>
    </w:p>
    <w:p w14:paraId="5938FD7E" w14:textId="6E1CC397" w:rsidR="00976487" w:rsidRPr="00687DE8" w:rsidRDefault="00976487" w:rsidP="00976487">
      <w:pPr>
        <w:spacing w:after="0" w:line="240" w:lineRule="auto"/>
        <w:outlineLvl w:val="2"/>
        <w:divId w:val="1316184749"/>
        <w:rPr>
          <w:b/>
          <w:bCs/>
          <w:szCs w:val="24"/>
        </w:rPr>
      </w:pPr>
    </w:p>
    <w:p w14:paraId="7A61A86E" w14:textId="77777777" w:rsidR="00976487" w:rsidRDefault="00976487" w:rsidP="00976487">
      <w:pPr>
        <w:spacing w:after="0" w:line="240" w:lineRule="auto"/>
        <w:outlineLvl w:val="2"/>
        <w:divId w:val="1316184749"/>
        <w:rPr>
          <w:b/>
          <w:szCs w:val="24"/>
        </w:rPr>
      </w:pPr>
      <w:r w:rsidRPr="00687DE8">
        <w:rPr>
          <w:b/>
          <w:szCs w:val="24"/>
        </w:rPr>
        <w:t xml:space="preserve">§ </w:t>
      </w:r>
      <w:r w:rsidR="00F540F3" w:rsidRPr="00687DE8">
        <w:rPr>
          <w:b/>
          <w:szCs w:val="24"/>
        </w:rPr>
        <w:t>2</w:t>
      </w:r>
      <w:r w:rsidR="007226A7" w:rsidRPr="00687DE8">
        <w:rPr>
          <w:b/>
          <w:szCs w:val="24"/>
        </w:rPr>
        <w:t>0</w:t>
      </w:r>
      <w:r w:rsidRPr="00687DE8">
        <w:rPr>
          <w:b/>
          <w:szCs w:val="24"/>
        </w:rPr>
        <w:t>. Kompuutertomograafia piirhinnad</w:t>
      </w:r>
    </w:p>
    <w:p w14:paraId="7545D03A" w14:textId="77777777" w:rsidR="00D622B8" w:rsidRDefault="00D622B8" w:rsidP="00976487">
      <w:pPr>
        <w:spacing w:after="0" w:line="240" w:lineRule="auto"/>
        <w:divId w:val="1316184749"/>
        <w:rPr>
          <w:szCs w:val="24"/>
        </w:rPr>
      </w:pPr>
    </w:p>
    <w:p w14:paraId="0F87861D" w14:textId="219892D6" w:rsidR="00976487" w:rsidRPr="00687DE8" w:rsidRDefault="00976487" w:rsidP="00976487">
      <w:pPr>
        <w:spacing w:after="0" w:line="240" w:lineRule="auto"/>
        <w:divId w:val="1316184749"/>
        <w:rPr>
          <w:szCs w:val="24"/>
        </w:rPr>
      </w:pPr>
      <w:r w:rsidRPr="00687DE8">
        <w:rPr>
          <w:szCs w:val="24"/>
        </w:rPr>
        <w:t>(1) Kompuutertomograafia põhiuuringute piirhinnad on järgmised:</w:t>
      </w:r>
    </w:p>
    <w:p w14:paraId="5D30CDA4" w14:textId="77777777" w:rsidR="00976487" w:rsidRPr="00687DE8" w:rsidRDefault="00976487" w:rsidP="00976487">
      <w:pPr>
        <w:spacing w:after="0" w:line="240" w:lineRule="auto"/>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9"/>
        <w:gridCol w:w="1056"/>
        <w:gridCol w:w="1110"/>
      </w:tblGrid>
      <w:tr w:rsidR="00976487" w:rsidRPr="00687DE8" w14:paraId="226FCAD3" w14:textId="77777777" w:rsidTr="005A1377">
        <w:trPr>
          <w:divId w:val="1316184749"/>
          <w:tblHeader/>
        </w:trPr>
        <w:tc>
          <w:tcPr>
            <w:tcW w:w="7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4DF4E1" w14:textId="77777777" w:rsidR="00976487" w:rsidRPr="00687DE8" w:rsidRDefault="00976487">
            <w:pPr>
              <w:spacing w:after="0" w:line="240" w:lineRule="auto"/>
              <w:jc w:val="center"/>
              <w:rPr>
                <w:szCs w:val="24"/>
              </w:rPr>
            </w:pPr>
            <w:r w:rsidRPr="00687DE8">
              <w:rPr>
                <w:b/>
                <w:szCs w:val="24"/>
              </w:rPr>
              <w:t>Tervishoiuteenuse nimetus</w:t>
            </w:r>
          </w:p>
        </w:tc>
        <w:tc>
          <w:tcPr>
            <w:tcW w:w="10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B82F96" w14:textId="77777777" w:rsidR="00976487" w:rsidRPr="00687DE8" w:rsidRDefault="00976487">
            <w:pPr>
              <w:spacing w:after="0" w:line="240" w:lineRule="auto"/>
              <w:jc w:val="center"/>
              <w:rPr>
                <w:szCs w:val="24"/>
              </w:rPr>
            </w:pPr>
            <w:r w:rsidRPr="00687DE8">
              <w:rPr>
                <w:b/>
                <w:szCs w:val="24"/>
              </w:rPr>
              <w:t>Kood</w:t>
            </w:r>
          </w:p>
        </w:tc>
        <w:tc>
          <w:tcPr>
            <w:tcW w:w="11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064AC9"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304A63" w:rsidRPr="00687DE8" w14:paraId="1DC07758" w14:textId="77777777" w:rsidTr="00B93704">
        <w:trPr>
          <w:divId w:val="1316184749"/>
          <w:trHeight w:val="300"/>
        </w:trPr>
        <w:tc>
          <w:tcPr>
            <w:tcW w:w="7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4D745" w14:textId="77777777" w:rsidR="00304A63" w:rsidRPr="00687DE8" w:rsidRDefault="00304A63" w:rsidP="00304A63">
            <w:pPr>
              <w:spacing w:after="0" w:line="240" w:lineRule="auto"/>
              <w:rPr>
                <w:szCs w:val="24"/>
              </w:rPr>
            </w:pPr>
            <w:r w:rsidRPr="00687DE8">
              <w:rPr>
                <w:szCs w:val="24"/>
              </w:rPr>
              <w:t>Peaaju kompuutertomograafia natiivis</w:t>
            </w:r>
          </w:p>
        </w:tc>
        <w:tc>
          <w:tcPr>
            <w:tcW w:w="10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834B01" w14:textId="77777777" w:rsidR="00304A63" w:rsidRPr="00687DE8" w:rsidRDefault="00304A63" w:rsidP="00304A63">
            <w:pPr>
              <w:spacing w:after="0" w:line="240" w:lineRule="auto"/>
              <w:jc w:val="center"/>
              <w:rPr>
                <w:szCs w:val="24"/>
              </w:rPr>
            </w:pPr>
            <w:r w:rsidRPr="00687DE8">
              <w:rPr>
                <w:szCs w:val="24"/>
              </w:rPr>
              <w:t>7990</w:t>
            </w:r>
          </w:p>
        </w:tc>
        <w:tc>
          <w:tcPr>
            <w:tcW w:w="11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AA157F" w14:textId="677D023B" w:rsidR="2E1E8EE1" w:rsidRPr="00687DE8" w:rsidRDefault="00837E3F">
            <w:pPr>
              <w:spacing w:after="0"/>
              <w:jc w:val="center"/>
              <w:rPr>
                <w:color w:val="000000" w:themeColor="text1"/>
                <w:szCs w:val="24"/>
              </w:rPr>
            </w:pPr>
            <w:r>
              <w:rPr>
                <w:color w:val="000000"/>
              </w:rPr>
              <w:t>66,57</w:t>
            </w:r>
          </w:p>
        </w:tc>
      </w:tr>
      <w:tr w:rsidR="00304A63" w:rsidRPr="00687DE8" w14:paraId="53E3CFEB" w14:textId="77777777" w:rsidTr="00B93704">
        <w:trPr>
          <w:divId w:val="1316184749"/>
          <w:trHeight w:val="300"/>
        </w:trPr>
        <w:tc>
          <w:tcPr>
            <w:tcW w:w="7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AF34B2" w14:textId="77777777" w:rsidR="00304A63" w:rsidRPr="00687DE8" w:rsidRDefault="00304A63" w:rsidP="00304A63">
            <w:pPr>
              <w:spacing w:after="0" w:line="240" w:lineRule="auto"/>
              <w:rPr>
                <w:szCs w:val="24"/>
              </w:rPr>
            </w:pPr>
            <w:r w:rsidRPr="00687DE8">
              <w:rPr>
                <w:szCs w:val="24"/>
              </w:rPr>
              <w:t>Peaaju kompuutertomograafia kontrastainega</w:t>
            </w:r>
          </w:p>
        </w:tc>
        <w:tc>
          <w:tcPr>
            <w:tcW w:w="10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8586AE" w14:textId="77777777" w:rsidR="00304A63" w:rsidRPr="00687DE8" w:rsidRDefault="00304A63" w:rsidP="00304A63">
            <w:pPr>
              <w:spacing w:after="0" w:line="240" w:lineRule="auto"/>
              <w:jc w:val="center"/>
              <w:rPr>
                <w:szCs w:val="24"/>
              </w:rPr>
            </w:pPr>
            <w:r w:rsidRPr="00687DE8">
              <w:rPr>
                <w:szCs w:val="24"/>
              </w:rPr>
              <w:t>7991</w:t>
            </w:r>
          </w:p>
        </w:tc>
        <w:tc>
          <w:tcPr>
            <w:tcW w:w="111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E7D509" w14:textId="41CB8619" w:rsidR="2E1E8EE1" w:rsidRPr="00687DE8" w:rsidRDefault="00837E3F">
            <w:pPr>
              <w:spacing w:after="0"/>
              <w:jc w:val="center"/>
              <w:rPr>
                <w:color w:val="000000" w:themeColor="text1"/>
                <w:szCs w:val="24"/>
              </w:rPr>
            </w:pPr>
            <w:r>
              <w:rPr>
                <w:color w:val="000000"/>
              </w:rPr>
              <w:t>75,76</w:t>
            </w:r>
          </w:p>
        </w:tc>
      </w:tr>
      <w:tr w:rsidR="00304A63" w:rsidRPr="00687DE8" w14:paraId="6248BBD3" w14:textId="77777777" w:rsidTr="00B93704">
        <w:trPr>
          <w:divId w:val="1316184749"/>
          <w:trHeight w:val="300"/>
        </w:trPr>
        <w:tc>
          <w:tcPr>
            <w:tcW w:w="7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AC4E40" w14:textId="77777777" w:rsidR="00304A63" w:rsidRPr="00687DE8" w:rsidRDefault="00304A63" w:rsidP="00304A63">
            <w:pPr>
              <w:spacing w:after="0" w:line="240" w:lineRule="auto"/>
              <w:rPr>
                <w:szCs w:val="24"/>
              </w:rPr>
            </w:pPr>
            <w:r w:rsidRPr="00687DE8">
              <w:rPr>
                <w:szCs w:val="24"/>
              </w:rPr>
              <w:t>Südame kompuutertomograafia</w:t>
            </w:r>
          </w:p>
        </w:tc>
        <w:tc>
          <w:tcPr>
            <w:tcW w:w="10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42CBF6" w14:textId="77777777" w:rsidR="00304A63" w:rsidRPr="00687DE8" w:rsidRDefault="00304A63" w:rsidP="00304A63">
            <w:pPr>
              <w:spacing w:after="0" w:line="240" w:lineRule="auto"/>
              <w:jc w:val="center"/>
              <w:rPr>
                <w:szCs w:val="24"/>
              </w:rPr>
            </w:pPr>
            <w:r w:rsidRPr="00687DE8">
              <w:rPr>
                <w:szCs w:val="24"/>
              </w:rPr>
              <w:t>7972</w:t>
            </w:r>
          </w:p>
        </w:tc>
        <w:tc>
          <w:tcPr>
            <w:tcW w:w="111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552918" w14:textId="37E43FCE" w:rsidR="2E1E8EE1" w:rsidRPr="00687DE8" w:rsidRDefault="00837E3F">
            <w:pPr>
              <w:spacing w:after="0"/>
              <w:jc w:val="center"/>
              <w:rPr>
                <w:color w:val="000000" w:themeColor="text1"/>
                <w:szCs w:val="24"/>
              </w:rPr>
            </w:pPr>
            <w:r>
              <w:rPr>
                <w:color w:val="000000"/>
              </w:rPr>
              <w:t>99,05</w:t>
            </w:r>
          </w:p>
        </w:tc>
      </w:tr>
      <w:tr w:rsidR="00304A63" w:rsidRPr="00687DE8" w14:paraId="6552F39B" w14:textId="77777777" w:rsidTr="00B93704">
        <w:trPr>
          <w:divId w:val="1316184749"/>
          <w:trHeight w:val="300"/>
        </w:trPr>
        <w:tc>
          <w:tcPr>
            <w:tcW w:w="7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5A743B" w14:textId="77777777" w:rsidR="00304A63" w:rsidRPr="00687DE8" w:rsidRDefault="00304A63" w:rsidP="00304A63">
            <w:pPr>
              <w:spacing w:after="0" w:line="240" w:lineRule="auto"/>
              <w:rPr>
                <w:szCs w:val="24"/>
              </w:rPr>
            </w:pPr>
            <w:r w:rsidRPr="00687DE8">
              <w:rPr>
                <w:szCs w:val="24"/>
              </w:rPr>
              <w:t>Südame kompuutertomograafia kontrastainega</w:t>
            </w:r>
          </w:p>
        </w:tc>
        <w:tc>
          <w:tcPr>
            <w:tcW w:w="10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29C875" w14:textId="77777777" w:rsidR="00304A63" w:rsidRPr="00687DE8" w:rsidRDefault="00304A63" w:rsidP="00304A63">
            <w:pPr>
              <w:spacing w:after="0" w:line="240" w:lineRule="auto"/>
              <w:jc w:val="center"/>
              <w:rPr>
                <w:szCs w:val="24"/>
              </w:rPr>
            </w:pPr>
            <w:r w:rsidRPr="00687DE8">
              <w:rPr>
                <w:szCs w:val="24"/>
              </w:rPr>
              <w:t>7973</w:t>
            </w:r>
          </w:p>
        </w:tc>
        <w:tc>
          <w:tcPr>
            <w:tcW w:w="111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75F570" w14:textId="4A7089B1" w:rsidR="2E1E8EE1" w:rsidRPr="00687DE8" w:rsidRDefault="00837E3F">
            <w:pPr>
              <w:spacing w:after="0"/>
              <w:jc w:val="center"/>
              <w:rPr>
                <w:color w:val="000000" w:themeColor="text1"/>
                <w:szCs w:val="24"/>
              </w:rPr>
            </w:pPr>
            <w:r>
              <w:rPr>
                <w:color w:val="000000"/>
              </w:rPr>
              <w:t>143,51</w:t>
            </w:r>
          </w:p>
        </w:tc>
      </w:tr>
      <w:tr w:rsidR="00304A63" w:rsidRPr="00687DE8" w14:paraId="4DA08951" w14:textId="77777777" w:rsidTr="00B93704">
        <w:trPr>
          <w:divId w:val="1316184749"/>
          <w:trHeight w:val="300"/>
        </w:trPr>
        <w:tc>
          <w:tcPr>
            <w:tcW w:w="7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58633E" w14:textId="77777777" w:rsidR="00304A63" w:rsidRPr="00687DE8" w:rsidRDefault="00304A63" w:rsidP="00304A63">
            <w:pPr>
              <w:spacing w:after="0" w:line="240" w:lineRule="auto"/>
              <w:rPr>
                <w:szCs w:val="24"/>
              </w:rPr>
            </w:pPr>
            <w:r w:rsidRPr="00687DE8">
              <w:rPr>
                <w:szCs w:val="24"/>
              </w:rPr>
              <w:t>Kompuutertomograafia natiivis</w:t>
            </w:r>
          </w:p>
        </w:tc>
        <w:tc>
          <w:tcPr>
            <w:tcW w:w="10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E40482" w14:textId="77777777" w:rsidR="00304A63" w:rsidRPr="00687DE8" w:rsidRDefault="00304A63" w:rsidP="00304A63">
            <w:pPr>
              <w:spacing w:after="0" w:line="240" w:lineRule="auto"/>
              <w:jc w:val="center"/>
              <w:rPr>
                <w:szCs w:val="24"/>
              </w:rPr>
            </w:pPr>
            <w:r w:rsidRPr="00687DE8">
              <w:rPr>
                <w:szCs w:val="24"/>
              </w:rPr>
              <w:t>7975</w:t>
            </w:r>
          </w:p>
        </w:tc>
        <w:tc>
          <w:tcPr>
            <w:tcW w:w="111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A30F46" w14:textId="5A5F2C8E" w:rsidR="2E1E8EE1" w:rsidRPr="00687DE8" w:rsidRDefault="00837E3F">
            <w:pPr>
              <w:spacing w:after="0"/>
              <w:jc w:val="center"/>
              <w:rPr>
                <w:color w:val="000000" w:themeColor="text1"/>
                <w:szCs w:val="24"/>
              </w:rPr>
            </w:pPr>
            <w:r>
              <w:rPr>
                <w:color w:val="000000"/>
              </w:rPr>
              <w:t>79,61</w:t>
            </w:r>
          </w:p>
        </w:tc>
      </w:tr>
      <w:tr w:rsidR="00304A63" w:rsidRPr="00687DE8" w14:paraId="418E2C96" w14:textId="77777777" w:rsidTr="00B93704">
        <w:trPr>
          <w:divId w:val="1316184749"/>
          <w:trHeight w:val="300"/>
        </w:trPr>
        <w:tc>
          <w:tcPr>
            <w:tcW w:w="7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C0BE72" w14:textId="77777777" w:rsidR="00304A63" w:rsidRPr="00687DE8" w:rsidRDefault="00304A63" w:rsidP="00304A63">
            <w:pPr>
              <w:spacing w:after="0" w:line="240" w:lineRule="auto"/>
              <w:rPr>
                <w:szCs w:val="24"/>
              </w:rPr>
            </w:pPr>
            <w:r w:rsidRPr="00687DE8">
              <w:rPr>
                <w:szCs w:val="24"/>
              </w:rPr>
              <w:t>Kompuutertomograafia kontrastainega</w:t>
            </w:r>
          </w:p>
        </w:tc>
        <w:tc>
          <w:tcPr>
            <w:tcW w:w="10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56E2F8" w14:textId="77777777" w:rsidR="00304A63" w:rsidRPr="00687DE8" w:rsidRDefault="00304A63" w:rsidP="00304A63">
            <w:pPr>
              <w:spacing w:after="0" w:line="240" w:lineRule="auto"/>
              <w:jc w:val="center"/>
              <w:rPr>
                <w:szCs w:val="24"/>
              </w:rPr>
            </w:pPr>
            <w:r w:rsidRPr="00687DE8">
              <w:rPr>
                <w:szCs w:val="24"/>
              </w:rPr>
              <w:t>7978</w:t>
            </w:r>
          </w:p>
        </w:tc>
        <w:tc>
          <w:tcPr>
            <w:tcW w:w="111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762287" w14:textId="103D3AF3" w:rsidR="2E1E8EE1" w:rsidRPr="00687DE8" w:rsidRDefault="00837E3F">
            <w:pPr>
              <w:spacing w:after="0"/>
              <w:jc w:val="center"/>
              <w:rPr>
                <w:color w:val="000000" w:themeColor="text1"/>
                <w:szCs w:val="24"/>
              </w:rPr>
            </w:pPr>
            <w:r>
              <w:rPr>
                <w:color w:val="000000"/>
              </w:rPr>
              <w:t>94,05</w:t>
            </w:r>
          </w:p>
        </w:tc>
      </w:tr>
      <w:tr w:rsidR="00304A63" w:rsidRPr="00687DE8" w14:paraId="4193A60E" w14:textId="77777777" w:rsidTr="00B93704">
        <w:trPr>
          <w:divId w:val="1316184749"/>
          <w:trHeight w:val="300"/>
        </w:trPr>
        <w:tc>
          <w:tcPr>
            <w:tcW w:w="7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515C66" w14:textId="77777777" w:rsidR="00304A63" w:rsidRPr="00687DE8" w:rsidRDefault="00304A63" w:rsidP="00304A63">
            <w:pPr>
              <w:spacing w:after="0" w:line="240" w:lineRule="auto"/>
              <w:rPr>
                <w:szCs w:val="24"/>
              </w:rPr>
            </w:pPr>
            <w:r w:rsidRPr="00687DE8">
              <w:rPr>
                <w:szCs w:val="24"/>
              </w:rPr>
              <w:t>Kompuutertomograafia-angiograafia</w:t>
            </w:r>
          </w:p>
        </w:tc>
        <w:tc>
          <w:tcPr>
            <w:tcW w:w="10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5269BA" w14:textId="77777777" w:rsidR="00304A63" w:rsidRPr="00687DE8" w:rsidRDefault="00304A63" w:rsidP="00304A63">
            <w:pPr>
              <w:spacing w:after="0" w:line="240" w:lineRule="auto"/>
              <w:jc w:val="center"/>
              <w:rPr>
                <w:szCs w:val="24"/>
              </w:rPr>
            </w:pPr>
            <w:r w:rsidRPr="00687DE8">
              <w:rPr>
                <w:szCs w:val="24"/>
              </w:rPr>
              <w:t>7984</w:t>
            </w:r>
          </w:p>
        </w:tc>
        <w:tc>
          <w:tcPr>
            <w:tcW w:w="111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C25A68" w14:textId="180B3D51" w:rsidR="2E1E8EE1" w:rsidRPr="00687DE8" w:rsidRDefault="00837E3F">
            <w:pPr>
              <w:spacing w:after="0"/>
              <w:jc w:val="center"/>
              <w:rPr>
                <w:color w:val="000000" w:themeColor="text1"/>
                <w:szCs w:val="24"/>
              </w:rPr>
            </w:pPr>
            <w:r>
              <w:rPr>
                <w:color w:val="000000"/>
              </w:rPr>
              <w:t>87,90</w:t>
            </w:r>
          </w:p>
        </w:tc>
      </w:tr>
      <w:tr w:rsidR="00304A63" w:rsidRPr="00687DE8" w14:paraId="00036EBE" w14:textId="77777777" w:rsidTr="00B93704">
        <w:trPr>
          <w:divId w:val="1316184749"/>
          <w:trHeight w:val="300"/>
        </w:trPr>
        <w:tc>
          <w:tcPr>
            <w:tcW w:w="7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56493E" w14:textId="77777777" w:rsidR="00304A63" w:rsidRPr="00687DE8" w:rsidRDefault="00304A63" w:rsidP="00304A63">
            <w:pPr>
              <w:spacing w:after="0" w:line="240" w:lineRule="auto"/>
              <w:rPr>
                <w:szCs w:val="24"/>
              </w:rPr>
            </w:pPr>
            <w:r w:rsidRPr="00687DE8">
              <w:rPr>
                <w:szCs w:val="24"/>
              </w:rPr>
              <w:t>Perfusioonkompuutertomograafia</w:t>
            </w:r>
          </w:p>
        </w:tc>
        <w:tc>
          <w:tcPr>
            <w:tcW w:w="10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44A76B" w14:textId="77777777" w:rsidR="00304A63" w:rsidRPr="00687DE8" w:rsidRDefault="00304A63" w:rsidP="00304A63">
            <w:pPr>
              <w:spacing w:after="0" w:line="240" w:lineRule="auto"/>
              <w:jc w:val="center"/>
              <w:rPr>
                <w:szCs w:val="24"/>
              </w:rPr>
            </w:pPr>
            <w:r w:rsidRPr="00687DE8">
              <w:rPr>
                <w:szCs w:val="24"/>
              </w:rPr>
              <w:t>7974</w:t>
            </w:r>
          </w:p>
        </w:tc>
        <w:tc>
          <w:tcPr>
            <w:tcW w:w="111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74FEC8" w14:textId="023C1962" w:rsidR="2E1E8EE1" w:rsidRPr="00687DE8" w:rsidRDefault="00837E3F">
            <w:pPr>
              <w:spacing w:after="0"/>
              <w:jc w:val="center"/>
              <w:rPr>
                <w:color w:val="000000" w:themeColor="text1"/>
                <w:szCs w:val="24"/>
              </w:rPr>
            </w:pPr>
            <w:r>
              <w:rPr>
                <w:color w:val="000000"/>
              </w:rPr>
              <w:t>154,92</w:t>
            </w:r>
          </w:p>
        </w:tc>
      </w:tr>
      <w:tr w:rsidR="00304A63" w:rsidRPr="00687DE8" w14:paraId="2906E57A" w14:textId="77777777" w:rsidTr="00B93704">
        <w:trPr>
          <w:divId w:val="1316184749"/>
          <w:trHeight w:val="300"/>
        </w:trPr>
        <w:tc>
          <w:tcPr>
            <w:tcW w:w="7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BC189C" w14:textId="77777777" w:rsidR="00304A63" w:rsidRPr="00687DE8" w:rsidRDefault="00304A63" w:rsidP="00304A63">
            <w:pPr>
              <w:spacing w:after="0" w:line="240" w:lineRule="auto"/>
              <w:rPr>
                <w:szCs w:val="24"/>
              </w:rPr>
            </w:pPr>
            <w:r w:rsidRPr="00687DE8">
              <w:rPr>
                <w:szCs w:val="24"/>
              </w:rPr>
              <w:t>Kompuutertomograafia-kolonoskoopia</w:t>
            </w:r>
          </w:p>
        </w:tc>
        <w:tc>
          <w:tcPr>
            <w:tcW w:w="10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08EB3F" w14:textId="77777777" w:rsidR="00304A63" w:rsidRPr="00687DE8" w:rsidRDefault="00304A63" w:rsidP="00304A63">
            <w:pPr>
              <w:spacing w:after="0" w:line="240" w:lineRule="auto"/>
              <w:jc w:val="center"/>
              <w:rPr>
                <w:szCs w:val="24"/>
              </w:rPr>
            </w:pPr>
            <w:r w:rsidRPr="00687DE8">
              <w:rPr>
                <w:szCs w:val="24"/>
              </w:rPr>
              <w:t>7995</w:t>
            </w:r>
          </w:p>
        </w:tc>
        <w:tc>
          <w:tcPr>
            <w:tcW w:w="111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3B9D10" w14:textId="56A6669E" w:rsidR="2E1E8EE1" w:rsidRPr="00687DE8" w:rsidRDefault="00837E3F">
            <w:pPr>
              <w:spacing w:after="0"/>
              <w:jc w:val="center"/>
              <w:rPr>
                <w:color w:val="000000" w:themeColor="text1"/>
                <w:szCs w:val="24"/>
              </w:rPr>
            </w:pPr>
            <w:r>
              <w:rPr>
                <w:color w:val="000000"/>
              </w:rPr>
              <w:t>73,18</w:t>
            </w:r>
          </w:p>
        </w:tc>
      </w:tr>
    </w:tbl>
    <w:p w14:paraId="089E3D5C" w14:textId="77777777" w:rsidR="00976487" w:rsidRPr="00687DE8" w:rsidRDefault="00976487" w:rsidP="00976487">
      <w:pPr>
        <w:spacing w:after="0" w:line="240" w:lineRule="auto"/>
        <w:divId w:val="1316184749"/>
        <w:rPr>
          <w:szCs w:val="24"/>
        </w:rPr>
      </w:pPr>
    </w:p>
    <w:p w14:paraId="39A4A333" w14:textId="77777777" w:rsidR="00976487" w:rsidRPr="00687DE8" w:rsidRDefault="00106B00" w:rsidP="00976487">
      <w:pPr>
        <w:spacing w:after="0" w:line="240" w:lineRule="auto"/>
        <w:jc w:val="both"/>
        <w:divId w:val="1316184749"/>
        <w:rPr>
          <w:szCs w:val="24"/>
        </w:rPr>
      </w:pPr>
      <w:r w:rsidRPr="00687DE8">
        <w:rPr>
          <w:szCs w:val="24"/>
        </w:rPr>
        <w:t>(2) L</w:t>
      </w:r>
      <w:r w:rsidR="00976487" w:rsidRPr="00687DE8">
        <w:rPr>
          <w:szCs w:val="24"/>
        </w:rPr>
        <w:t>õikes 1 sätestatud tervishoiuteenuste piirhindade rakendamisel lähtutakse alljärgnevast:</w:t>
      </w:r>
    </w:p>
    <w:p w14:paraId="7C15BEE1" w14:textId="77777777" w:rsidR="00976487" w:rsidRPr="00687DE8" w:rsidRDefault="00976487" w:rsidP="00976487">
      <w:pPr>
        <w:spacing w:after="0" w:line="240" w:lineRule="auto"/>
        <w:jc w:val="both"/>
        <w:divId w:val="1316184749"/>
        <w:rPr>
          <w:szCs w:val="24"/>
        </w:rPr>
      </w:pPr>
      <w:r w:rsidRPr="00687DE8">
        <w:rPr>
          <w:szCs w:val="24"/>
        </w:rPr>
        <w:t xml:space="preserve">1) piirhinnad sisaldavad uuringu tegemist, digitaalset töötlemist </w:t>
      </w:r>
      <w:r w:rsidR="007C7379" w:rsidRPr="00687DE8">
        <w:rPr>
          <w:szCs w:val="24"/>
        </w:rPr>
        <w:t xml:space="preserve">ja </w:t>
      </w:r>
      <w:r w:rsidRPr="00687DE8">
        <w:rPr>
          <w:szCs w:val="24"/>
        </w:rPr>
        <w:t>tulemuse kirjeldamist tervishoiuteenuse osutamist tõendavas dokumendis iga piirkonna kohta;</w:t>
      </w:r>
    </w:p>
    <w:p w14:paraId="6948B865" w14:textId="6234F65C" w:rsidR="00976487" w:rsidRPr="00687DE8" w:rsidRDefault="00976487" w:rsidP="00976487">
      <w:pPr>
        <w:spacing w:after="0" w:line="240" w:lineRule="auto"/>
        <w:jc w:val="both"/>
        <w:divId w:val="1316184749"/>
        <w:rPr>
          <w:szCs w:val="24"/>
        </w:rPr>
      </w:pPr>
      <w:r w:rsidRPr="00687DE8">
        <w:rPr>
          <w:szCs w:val="24"/>
        </w:rPr>
        <w:t xml:space="preserve">2) </w:t>
      </w:r>
      <w:r w:rsidR="005023FD" w:rsidRPr="00687DE8">
        <w:rPr>
          <w:szCs w:val="24"/>
        </w:rPr>
        <w:t>Tervisekassa</w:t>
      </w:r>
      <w:r w:rsidRPr="00687DE8">
        <w:rPr>
          <w:szCs w:val="24"/>
        </w:rPr>
        <w:t xml:space="preserve"> võtab põhiuuringu eest tasu maksmise kohustuse üle üks kord iga uuringu kohta;</w:t>
      </w:r>
    </w:p>
    <w:p w14:paraId="25D6E1DF" w14:textId="77777777" w:rsidR="00976487" w:rsidRPr="00687DE8" w:rsidRDefault="00976487" w:rsidP="00976487">
      <w:pPr>
        <w:spacing w:after="0" w:line="240" w:lineRule="auto"/>
        <w:jc w:val="both"/>
        <w:divId w:val="1316184749"/>
        <w:rPr>
          <w:szCs w:val="24"/>
        </w:rPr>
      </w:pPr>
      <w:r w:rsidRPr="00687DE8">
        <w:rPr>
          <w:szCs w:val="24"/>
        </w:rPr>
        <w:t>3) põhiuuringule lisanduvate uuringute puhul rakendatakse lõikes 3 sätestatud piirkondade või faaside lisauuringute piirhindu;</w:t>
      </w:r>
    </w:p>
    <w:p w14:paraId="3FA3E00F" w14:textId="77777777" w:rsidR="00E430FD" w:rsidRPr="00687DE8" w:rsidRDefault="00976487" w:rsidP="00976487">
      <w:pPr>
        <w:spacing w:after="0" w:line="240" w:lineRule="auto"/>
        <w:jc w:val="both"/>
        <w:divId w:val="1316184749"/>
        <w:rPr>
          <w:szCs w:val="24"/>
        </w:rPr>
      </w:pPr>
      <w:r w:rsidRPr="00687DE8">
        <w:rPr>
          <w:szCs w:val="24"/>
        </w:rPr>
        <w:t>4) koodidega 7991, 7973, 7974, 7978 ja 7984 tähistatud tervishoiuteenuste piirhind ei sisalda kontrastaine kulu</w:t>
      </w:r>
      <w:r w:rsidR="00E430FD" w:rsidRPr="00687DE8">
        <w:rPr>
          <w:szCs w:val="24"/>
        </w:rPr>
        <w:t>;</w:t>
      </w:r>
    </w:p>
    <w:p w14:paraId="0CD77432" w14:textId="77777777" w:rsidR="00976487" w:rsidRPr="00687DE8" w:rsidRDefault="00E430FD" w:rsidP="00976487">
      <w:pPr>
        <w:spacing w:after="0" w:line="240" w:lineRule="auto"/>
        <w:jc w:val="both"/>
        <w:divId w:val="1316184749"/>
      </w:pPr>
      <w:r>
        <w:t>5) tagatud on piltide arhiveerimi</w:t>
      </w:r>
      <w:r w:rsidR="00640630">
        <w:t>n</w:t>
      </w:r>
      <w:r>
        <w:t>e Sihtasutuses Eesti Tervishoiu Pildipank.</w:t>
      </w:r>
    </w:p>
    <w:p w14:paraId="40916659" w14:textId="77777777" w:rsidR="00976487" w:rsidRPr="00687DE8" w:rsidRDefault="00976487" w:rsidP="00976487">
      <w:pPr>
        <w:spacing w:after="0" w:line="240" w:lineRule="auto"/>
        <w:jc w:val="both"/>
        <w:divId w:val="1316184749"/>
        <w:rPr>
          <w:szCs w:val="24"/>
        </w:rPr>
      </w:pPr>
    </w:p>
    <w:p w14:paraId="2510496A" w14:textId="77777777" w:rsidR="00976487" w:rsidRPr="00687DE8" w:rsidRDefault="00976487" w:rsidP="00976487">
      <w:pPr>
        <w:spacing w:after="0" w:line="240" w:lineRule="auto"/>
        <w:jc w:val="both"/>
        <w:divId w:val="1316184749"/>
        <w:rPr>
          <w:szCs w:val="24"/>
        </w:rPr>
      </w:pPr>
      <w:r w:rsidRPr="00687DE8">
        <w:rPr>
          <w:szCs w:val="24"/>
        </w:rPr>
        <w:t>(3) Kompuutertomograafia lisauuringute piirhinnad on järgmised:</w:t>
      </w:r>
    </w:p>
    <w:p w14:paraId="7CDD1C41" w14:textId="77777777" w:rsidR="00976487" w:rsidRPr="00687DE8" w:rsidRDefault="00976487" w:rsidP="00976487">
      <w:pPr>
        <w:spacing w:after="0" w:line="240" w:lineRule="auto"/>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602"/>
        <w:gridCol w:w="5245"/>
        <w:gridCol w:w="1120"/>
      </w:tblGrid>
      <w:tr w:rsidR="00976487" w:rsidRPr="00687DE8" w14:paraId="7B4381A7" w14:textId="77777777" w:rsidTr="008B75DD">
        <w:trPr>
          <w:divId w:val="1316184749"/>
          <w:tblHeader/>
        </w:trPr>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91E505" w14:textId="77777777" w:rsidR="00976487" w:rsidRPr="00687DE8" w:rsidRDefault="00976487">
            <w:pPr>
              <w:spacing w:after="0" w:line="240" w:lineRule="auto"/>
              <w:jc w:val="center"/>
              <w:rPr>
                <w:szCs w:val="24"/>
              </w:rPr>
            </w:pPr>
            <w:r w:rsidRPr="00687DE8">
              <w:rPr>
                <w:b/>
                <w:szCs w:val="24"/>
              </w:rPr>
              <w:t>Tervishoiuteenuse nimetus</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0BD0F2" w14:textId="77777777" w:rsidR="00976487" w:rsidRPr="00687DE8" w:rsidRDefault="00976487">
            <w:pPr>
              <w:spacing w:after="0" w:line="240" w:lineRule="auto"/>
              <w:jc w:val="center"/>
              <w:rPr>
                <w:szCs w:val="24"/>
              </w:rPr>
            </w:pPr>
            <w:r w:rsidRPr="00687DE8">
              <w:rPr>
                <w:b/>
                <w:szCs w:val="24"/>
              </w:rPr>
              <w:t>Kood</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5BD5D7" w14:textId="77777777" w:rsidR="00976487" w:rsidRPr="00687DE8" w:rsidRDefault="00976487">
            <w:pPr>
              <w:spacing w:after="0" w:line="240" w:lineRule="auto"/>
              <w:jc w:val="center"/>
              <w:rPr>
                <w:szCs w:val="24"/>
              </w:rPr>
            </w:pPr>
            <w:r w:rsidRPr="00687DE8">
              <w:rPr>
                <w:b/>
                <w:szCs w:val="24"/>
              </w:rPr>
              <w:t>Toimingu kirjeldus ja tingimus</w:t>
            </w:r>
          </w:p>
        </w:tc>
        <w:tc>
          <w:tcPr>
            <w:tcW w:w="11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32771BE" w14:textId="77777777" w:rsidR="00976487" w:rsidRPr="00687DE8" w:rsidRDefault="00976487" w:rsidP="008B75DD">
            <w:pPr>
              <w:tabs>
                <w:tab w:val="decimal" w:pos="635"/>
              </w:tabs>
              <w:spacing w:after="0" w:line="240" w:lineRule="auto"/>
              <w:jc w:val="right"/>
              <w:rPr>
                <w:szCs w:val="24"/>
              </w:rPr>
            </w:pPr>
            <w:r w:rsidRPr="00687DE8">
              <w:rPr>
                <w:b/>
                <w:szCs w:val="24"/>
              </w:rPr>
              <w:t>Piirhind</w:t>
            </w:r>
            <w:r w:rsidRPr="00687DE8">
              <w:rPr>
                <w:szCs w:val="24"/>
              </w:rPr>
              <w:br/>
            </w:r>
            <w:r w:rsidRPr="00687DE8">
              <w:rPr>
                <w:b/>
                <w:szCs w:val="24"/>
              </w:rPr>
              <w:t>eurodes</w:t>
            </w:r>
          </w:p>
        </w:tc>
      </w:tr>
      <w:tr w:rsidR="00650E37" w:rsidRPr="00687DE8" w14:paraId="54641C3C" w14:textId="77777777" w:rsidTr="00B93704">
        <w:trPr>
          <w:divId w:val="1316184749"/>
          <w:trHeight w:val="300"/>
        </w:trPr>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A9526F" w14:textId="77777777" w:rsidR="00650E37" w:rsidRPr="00687DE8" w:rsidRDefault="00650E37" w:rsidP="00650E37">
            <w:pPr>
              <w:spacing w:after="0" w:line="240" w:lineRule="auto"/>
              <w:rPr>
                <w:szCs w:val="24"/>
              </w:rPr>
            </w:pPr>
            <w:r w:rsidRPr="00687DE8">
              <w:rPr>
                <w:szCs w:val="24"/>
              </w:rPr>
              <w:t>Kompuutertomograafia natiivis (iga järgmine piirkond)</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CC2F9C" w14:textId="77777777" w:rsidR="00650E37" w:rsidRPr="00687DE8" w:rsidRDefault="00650E37" w:rsidP="00650E37">
            <w:pPr>
              <w:spacing w:after="0" w:line="240" w:lineRule="auto"/>
              <w:jc w:val="center"/>
              <w:rPr>
                <w:szCs w:val="24"/>
              </w:rPr>
            </w:pPr>
          </w:p>
          <w:p w14:paraId="394B51DC" w14:textId="77777777" w:rsidR="00650E37" w:rsidRPr="00687DE8" w:rsidRDefault="00650E37" w:rsidP="00650E37">
            <w:pPr>
              <w:spacing w:after="0" w:line="240" w:lineRule="auto"/>
              <w:jc w:val="center"/>
              <w:rPr>
                <w:szCs w:val="24"/>
              </w:rPr>
            </w:pPr>
          </w:p>
          <w:p w14:paraId="199024C3" w14:textId="77777777" w:rsidR="00650E37" w:rsidRDefault="00650E37" w:rsidP="00650E37">
            <w:pPr>
              <w:spacing w:after="0" w:line="240" w:lineRule="auto"/>
              <w:jc w:val="center"/>
              <w:rPr>
                <w:szCs w:val="24"/>
              </w:rPr>
            </w:pPr>
          </w:p>
          <w:p w14:paraId="0E3413DC" w14:textId="379D423D" w:rsidR="00650E37" w:rsidRPr="00687DE8" w:rsidRDefault="00837E3F" w:rsidP="00650E37">
            <w:pPr>
              <w:spacing w:after="0" w:line="240" w:lineRule="auto"/>
              <w:jc w:val="center"/>
              <w:rPr>
                <w:szCs w:val="24"/>
              </w:rPr>
            </w:pPr>
            <w:r>
              <w:rPr>
                <w:szCs w:val="24"/>
              </w:rPr>
              <w:t>7</w:t>
            </w:r>
            <w:r w:rsidR="00650E37" w:rsidRPr="00687DE8">
              <w:rPr>
                <w:szCs w:val="24"/>
              </w:rPr>
              <w:t>976</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EA92FE" w14:textId="77777777" w:rsidR="00650E37" w:rsidRPr="00687DE8" w:rsidRDefault="00650E37" w:rsidP="00650E37">
            <w:pPr>
              <w:spacing w:after="0" w:line="240" w:lineRule="auto"/>
              <w:rPr>
                <w:szCs w:val="24"/>
              </w:rPr>
            </w:pPr>
            <w:r w:rsidRPr="00687DE8">
              <w:rPr>
                <w:szCs w:val="24"/>
              </w:rPr>
              <w:t xml:space="preserve">Piirkonnaks loetakse koljupõhimik, ninakõrvalkoopad, silmakoopad, temporaalluu, temporomandibulaarliigesed, näokolju, hambad, kael, kopsud, süda, mediastiinum, rindkere, ülakõht, </w:t>
            </w:r>
            <w:r w:rsidRPr="00687DE8">
              <w:rPr>
                <w:szCs w:val="24"/>
              </w:rPr>
              <w:lastRenderedPageBreak/>
              <w:t>keskkõht, vaagen, lülisamba kaelaosa, lülisamba rinnaosa, lülisamba nimmeosa, ülajäse, alajäse</w:t>
            </w:r>
          </w:p>
        </w:tc>
        <w:tc>
          <w:tcPr>
            <w:tcW w:w="11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17043E" w14:textId="62054F0E" w:rsidR="00A22AE8" w:rsidRPr="00687DE8" w:rsidRDefault="00A22AE8">
            <w:pPr>
              <w:spacing w:after="0"/>
              <w:jc w:val="center"/>
              <w:rPr>
                <w:color w:val="000000" w:themeColor="text1"/>
                <w:szCs w:val="24"/>
              </w:rPr>
            </w:pPr>
          </w:p>
          <w:p w14:paraId="4D64BD59" w14:textId="77777777" w:rsidR="00A22AE8" w:rsidRPr="00A22AE8" w:rsidRDefault="00A22AE8" w:rsidP="00A22AE8">
            <w:pPr>
              <w:spacing w:after="0"/>
              <w:jc w:val="center"/>
              <w:rPr>
                <w:color w:val="000000"/>
              </w:rPr>
            </w:pPr>
            <w:r w:rsidRPr="00A22AE8">
              <w:rPr>
                <w:color w:val="000000"/>
              </w:rPr>
              <w:t>28,06</w:t>
            </w:r>
          </w:p>
          <w:p w14:paraId="737061A8" w14:textId="1B2943B4" w:rsidR="2E1E8EE1" w:rsidRPr="00687DE8" w:rsidRDefault="2E1E8EE1">
            <w:pPr>
              <w:spacing w:after="0"/>
              <w:jc w:val="center"/>
              <w:rPr>
                <w:color w:val="000000" w:themeColor="text1"/>
                <w:szCs w:val="24"/>
              </w:rPr>
            </w:pPr>
          </w:p>
        </w:tc>
      </w:tr>
      <w:tr w:rsidR="00650E37" w:rsidRPr="00687DE8" w14:paraId="2CD7FE7B" w14:textId="77777777" w:rsidTr="00D30B8D">
        <w:trPr>
          <w:divId w:val="1316184749"/>
          <w:trHeight w:val="300"/>
        </w:trPr>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93E42E" w14:textId="77777777" w:rsidR="00650E37" w:rsidRPr="00687DE8" w:rsidRDefault="00650E37" w:rsidP="00650E37">
            <w:pPr>
              <w:spacing w:after="0" w:line="240" w:lineRule="auto"/>
              <w:rPr>
                <w:szCs w:val="24"/>
              </w:rPr>
            </w:pPr>
            <w:r w:rsidRPr="00687DE8">
              <w:rPr>
                <w:szCs w:val="24"/>
              </w:rPr>
              <w:t>Kompuutertomograafia kontrastainega (iga järgmine piirkond)</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A596F9" w14:textId="77777777" w:rsidR="00650E37" w:rsidRPr="00687DE8" w:rsidRDefault="00650E37" w:rsidP="00650E37">
            <w:pPr>
              <w:spacing w:after="0" w:line="240" w:lineRule="auto"/>
              <w:jc w:val="center"/>
              <w:rPr>
                <w:szCs w:val="24"/>
              </w:rPr>
            </w:pPr>
          </w:p>
          <w:p w14:paraId="5EAE78E4" w14:textId="77777777" w:rsidR="00650E37" w:rsidRPr="00687DE8" w:rsidRDefault="00650E37" w:rsidP="00650E37">
            <w:pPr>
              <w:spacing w:after="0" w:line="240" w:lineRule="auto"/>
              <w:jc w:val="center"/>
              <w:rPr>
                <w:szCs w:val="24"/>
              </w:rPr>
            </w:pPr>
          </w:p>
          <w:p w14:paraId="66609B04" w14:textId="77777777" w:rsidR="00650E37" w:rsidRPr="00687DE8" w:rsidRDefault="00650E37" w:rsidP="00650E37">
            <w:pPr>
              <w:spacing w:after="0" w:line="240" w:lineRule="auto"/>
              <w:jc w:val="center"/>
              <w:rPr>
                <w:szCs w:val="24"/>
              </w:rPr>
            </w:pPr>
            <w:r w:rsidRPr="00687DE8">
              <w:rPr>
                <w:szCs w:val="24"/>
              </w:rPr>
              <w:t>7979</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27E0A4" w14:textId="77777777" w:rsidR="00650E37" w:rsidRPr="00687DE8" w:rsidRDefault="00650E37" w:rsidP="00650E37">
            <w:pPr>
              <w:spacing w:after="0" w:line="240" w:lineRule="auto"/>
              <w:rPr>
                <w:szCs w:val="24"/>
              </w:rPr>
            </w:pPr>
            <w:r w:rsidRPr="00687DE8">
              <w:rPr>
                <w:szCs w:val="24"/>
              </w:rPr>
              <w:t>Piirkonnaks loetakse koljupõhimik, ninakõrvalkoopad, silmakoopad, temporaalluu, temporomandibulaarliigesed, näokolju, hambad, kael, kopsud, süda, mediastiinum, rindkere, ülakõht, keskkõht, vaagen, lülisamba kaelaosa, lülisamba rinnaosa, lülisamba nimmeosa, ülajäse, alajäse</w:t>
            </w:r>
          </w:p>
        </w:tc>
        <w:tc>
          <w:tcPr>
            <w:tcW w:w="11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3988D1" w14:textId="00B6AD0C" w:rsidR="2E1E8EE1" w:rsidRPr="00687DE8" w:rsidRDefault="00DA697A">
            <w:pPr>
              <w:spacing w:after="0"/>
              <w:jc w:val="center"/>
              <w:rPr>
                <w:color w:val="000000" w:themeColor="text1"/>
                <w:szCs w:val="24"/>
              </w:rPr>
            </w:pPr>
            <w:r>
              <w:rPr>
                <w:color w:val="000000"/>
              </w:rPr>
              <w:t>28,06</w:t>
            </w:r>
          </w:p>
        </w:tc>
      </w:tr>
      <w:tr w:rsidR="00650E37" w:rsidRPr="00687DE8" w14:paraId="1EB48D85" w14:textId="77777777" w:rsidTr="00B93704">
        <w:trPr>
          <w:divId w:val="1316184749"/>
          <w:trHeight w:val="300"/>
        </w:trPr>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74D46A" w14:textId="77777777" w:rsidR="00650E37" w:rsidRPr="00687DE8" w:rsidRDefault="00650E37" w:rsidP="00650E37">
            <w:pPr>
              <w:spacing w:after="0" w:line="240" w:lineRule="auto"/>
              <w:rPr>
                <w:szCs w:val="24"/>
              </w:rPr>
            </w:pPr>
            <w:r w:rsidRPr="00687DE8">
              <w:rPr>
                <w:szCs w:val="24"/>
              </w:rPr>
              <w:t>Kompuutertomograafia-angiograafia (iga järgmine piirkond)</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2DAED5" w14:textId="77777777" w:rsidR="00650E37" w:rsidRPr="00687DE8" w:rsidRDefault="00650E37" w:rsidP="00650E37">
            <w:pPr>
              <w:spacing w:after="0" w:line="240" w:lineRule="auto"/>
              <w:jc w:val="center"/>
              <w:rPr>
                <w:szCs w:val="24"/>
              </w:rPr>
            </w:pPr>
          </w:p>
          <w:p w14:paraId="23990F3A" w14:textId="77777777" w:rsidR="00650E37" w:rsidRPr="00687DE8" w:rsidRDefault="00650E37" w:rsidP="00650E37">
            <w:pPr>
              <w:spacing w:after="0" w:line="240" w:lineRule="auto"/>
              <w:jc w:val="center"/>
              <w:rPr>
                <w:szCs w:val="24"/>
              </w:rPr>
            </w:pPr>
          </w:p>
          <w:p w14:paraId="41E9F990" w14:textId="77777777" w:rsidR="00650E37" w:rsidRPr="00687DE8" w:rsidRDefault="00650E37" w:rsidP="00650E37">
            <w:pPr>
              <w:spacing w:after="0" w:line="240" w:lineRule="auto"/>
              <w:jc w:val="center"/>
              <w:rPr>
                <w:szCs w:val="24"/>
              </w:rPr>
            </w:pPr>
          </w:p>
          <w:p w14:paraId="4817ECD1" w14:textId="77777777" w:rsidR="00650E37" w:rsidRPr="00687DE8" w:rsidRDefault="00650E37" w:rsidP="00650E37">
            <w:pPr>
              <w:spacing w:after="0" w:line="240" w:lineRule="auto"/>
              <w:jc w:val="center"/>
              <w:rPr>
                <w:szCs w:val="24"/>
              </w:rPr>
            </w:pPr>
            <w:r w:rsidRPr="00687DE8">
              <w:rPr>
                <w:szCs w:val="24"/>
              </w:rPr>
              <w:t>7999</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E4F028" w14:textId="77777777" w:rsidR="00650E37" w:rsidRPr="00687DE8" w:rsidRDefault="00650E37" w:rsidP="00650E37">
            <w:pPr>
              <w:spacing w:after="0" w:line="240" w:lineRule="auto"/>
              <w:rPr>
                <w:szCs w:val="24"/>
              </w:rPr>
            </w:pPr>
            <w:r w:rsidRPr="00687DE8">
              <w:rPr>
                <w:szCs w:val="24"/>
              </w:rPr>
              <w:t>Piirkonnaks loetakse ajuarterid, ajuveenid, kaelaarterid, kaelaveenid, kopsuarterid, rinnaaort, kõhuaort, mesenteeriumi veresooned, koronaararter, neeruarterid, alajäseme reie- ja põlvepiirkonna arterid, alajäseme sääreosa arterid, alajäseme kanna- ja jalalaba arterid, alajäsemete veenid, ülajäseme arterid, ülajäsemete veenid</w:t>
            </w:r>
          </w:p>
        </w:tc>
        <w:tc>
          <w:tcPr>
            <w:tcW w:w="11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359E852" w14:textId="7B195A7B" w:rsidR="2E1E8EE1" w:rsidRPr="00687DE8" w:rsidRDefault="00DA697A">
            <w:pPr>
              <w:spacing w:after="0"/>
              <w:jc w:val="center"/>
              <w:rPr>
                <w:color w:val="000000" w:themeColor="text1"/>
                <w:szCs w:val="24"/>
              </w:rPr>
            </w:pPr>
            <w:r>
              <w:rPr>
                <w:color w:val="000000"/>
              </w:rPr>
              <w:t>33,31</w:t>
            </w:r>
          </w:p>
        </w:tc>
      </w:tr>
      <w:tr w:rsidR="00650E37" w:rsidRPr="00687DE8" w14:paraId="4DE343D4" w14:textId="77777777" w:rsidTr="00B93704">
        <w:trPr>
          <w:divId w:val="1316184749"/>
          <w:trHeight w:val="300"/>
        </w:trPr>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A5F924" w14:textId="77777777" w:rsidR="00650E37" w:rsidRPr="00687DE8" w:rsidRDefault="00650E37" w:rsidP="00650E37">
            <w:pPr>
              <w:spacing w:after="0" w:line="240" w:lineRule="auto"/>
              <w:rPr>
                <w:szCs w:val="24"/>
              </w:rPr>
            </w:pPr>
            <w:r w:rsidRPr="00687DE8">
              <w:rPr>
                <w:szCs w:val="24"/>
              </w:rPr>
              <w:t>Venograafia kontrastainega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539B0A" w14:textId="77777777" w:rsidR="00650E37" w:rsidRPr="00687DE8" w:rsidRDefault="00650E37" w:rsidP="00650E37">
            <w:pPr>
              <w:spacing w:after="0" w:line="240" w:lineRule="auto"/>
              <w:jc w:val="center"/>
              <w:rPr>
                <w:szCs w:val="24"/>
              </w:rPr>
            </w:pPr>
          </w:p>
          <w:p w14:paraId="3B6FBAFB" w14:textId="77777777" w:rsidR="00650E37" w:rsidRPr="00687DE8" w:rsidRDefault="00650E37" w:rsidP="005710F7">
            <w:pPr>
              <w:spacing w:after="0" w:line="240" w:lineRule="auto"/>
              <w:jc w:val="center"/>
              <w:rPr>
                <w:szCs w:val="24"/>
              </w:rPr>
            </w:pPr>
            <w:r w:rsidRPr="00687DE8">
              <w:rPr>
                <w:szCs w:val="24"/>
              </w:rPr>
              <w:t>7981</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64FBD6" w14:textId="77777777" w:rsidR="00650E37" w:rsidRPr="00687DE8" w:rsidRDefault="00650E37" w:rsidP="00650E37">
            <w:pPr>
              <w:rPr>
                <w:szCs w:val="24"/>
              </w:rPr>
            </w:pPr>
          </w:p>
        </w:tc>
        <w:tc>
          <w:tcPr>
            <w:tcW w:w="11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826DB2" w14:textId="16B11893" w:rsidR="2E1E8EE1" w:rsidRPr="00687DE8" w:rsidRDefault="00DA697A">
            <w:pPr>
              <w:spacing w:after="0"/>
              <w:jc w:val="center"/>
              <w:rPr>
                <w:color w:val="000000" w:themeColor="text1"/>
                <w:szCs w:val="24"/>
              </w:rPr>
            </w:pPr>
            <w:r>
              <w:rPr>
                <w:color w:val="000000"/>
              </w:rPr>
              <w:t>32,61</w:t>
            </w:r>
          </w:p>
        </w:tc>
      </w:tr>
      <w:tr w:rsidR="00650E37" w:rsidRPr="00687DE8" w14:paraId="49BB22D3" w14:textId="77777777" w:rsidTr="00B93704">
        <w:trPr>
          <w:divId w:val="1316184749"/>
          <w:trHeight w:val="300"/>
        </w:trPr>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ADF508" w14:textId="77777777" w:rsidR="00650E37" w:rsidRPr="00687DE8" w:rsidRDefault="00650E37" w:rsidP="00650E37">
            <w:pPr>
              <w:spacing w:after="0" w:line="240" w:lineRule="auto"/>
              <w:rPr>
                <w:szCs w:val="24"/>
              </w:rPr>
            </w:pPr>
            <w:r w:rsidRPr="00687DE8">
              <w:rPr>
                <w:szCs w:val="24"/>
              </w:rPr>
              <w:t>Parenhümatoosse faasi lisauuring kontrastainega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4BB806" w14:textId="77777777" w:rsidR="00650E37" w:rsidRPr="00687DE8" w:rsidRDefault="00650E37" w:rsidP="00650E37">
            <w:pPr>
              <w:spacing w:after="0" w:line="240" w:lineRule="auto"/>
              <w:jc w:val="center"/>
              <w:rPr>
                <w:szCs w:val="24"/>
              </w:rPr>
            </w:pPr>
          </w:p>
          <w:p w14:paraId="2EDFAEA6" w14:textId="77777777" w:rsidR="00650E37" w:rsidRPr="00687DE8" w:rsidRDefault="00650E37" w:rsidP="00650E37">
            <w:pPr>
              <w:spacing w:after="0" w:line="240" w:lineRule="auto"/>
              <w:jc w:val="center"/>
              <w:rPr>
                <w:szCs w:val="24"/>
              </w:rPr>
            </w:pPr>
            <w:r w:rsidRPr="00687DE8">
              <w:rPr>
                <w:szCs w:val="24"/>
              </w:rPr>
              <w:t>7982</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BE281" w14:textId="77777777" w:rsidR="00650E37" w:rsidRPr="00687DE8" w:rsidRDefault="00650E37" w:rsidP="00650E37">
            <w:pPr>
              <w:rPr>
                <w:szCs w:val="24"/>
              </w:rPr>
            </w:pPr>
          </w:p>
        </w:tc>
        <w:tc>
          <w:tcPr>
            <w:tcW w:w="11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575736" w14:textId="23087008" w:rsidR="2E1E8EE1" w:rsidRPr="00687DE8" w:rsidRDefault="00DA697A">
            <w:pPr>
              <w:spacing w:after="0"/>
              <w:jc w:val="center"/>
              <w:rPr>
                <w:color w:val="000000" w:themeColor="text1"/>
                <w:szCs w:val="24"/>
              </w:rPr>
            </w:pPr>
            <w:r>
              <w:rPr>
                <w:color w:val="000000"/>
              </w:rPr>
              <w:t>28,06</w:t>
            </w:r>
          </w:p>
        </w:tc>
      </w:tr>
      <w:tr w:rsidR="00650E37" w:rsidRPr="00687DE8" w14:paraId="622DA47D" w14:textId="77777777" w:rsidTr="00B93704">
        <w:trPr>
          <w:divId w:val="1316184749"/>
          <w:trHeight w:val="300"/>
        </w:trPr>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33CF6C" w14:textId="77777777" w:rsidR="00650E37" w:rsidRPr="00687DE8" w:rsidRDefault="00650E37" w:rsidP="00650E37">
            <w:pPr>
              <w:spacing w:after="0" w:line="240" w:lineRule="auto"/>
              <w:rPr>
                <w:szCs w:val="24"/>
              </w:rPr>
            </w:pPr>
            <w:r w:rsidRPr="00687DE8">
              <w:rPr>
                <w:szCs w:val="24"/>
              </w:rPr>
              <w:t>Hilisfaasi lisauuring kontrastainega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A922BF" w14:textId="77777777" w:rsidR="00650E37" w:rsidRPr="00687DE8" w:rsidRDefault="00650E37" w:rsidP="00650E37">
            <w:pPr>
              <w:spacing w:after="0" w:line="240" w:lineRule="auto"/>
              <w:jc w:val="center"/>
              <w:rPr>
                <w:szCs w:val="24"/>
              </w:rPr>
            </w:pPr>
          </w:p>
          <w:p w14:paraId="5CA6E249" w14:textId="77777777" w:rsidR="00650E37" w:rsidRPr="00687DE8" w:rsidRDefault="00650E37" w:rsidP="00650E37">
            <w:pPr>
              <w:spacing w:after="0" w:line="240" w:lineRule="auto"/>
              <w:jc w:val="center"/>
              <w:rPr>
                <w:szCs w:val="24"/>
              </w:rPr>
            </w:pPr>
            <w:r w:rsidRPr="00687DE8">
              <w:rPr>
                <w:szCs w:val="24"/>
              </w:rPr>
              <w:t>7987</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43EFC0" w14:textId="77777777" w:rsidR="00650E37" w:rsidRPr="00687DE8" w:rsidRDefault="00650E37" w:rsidP="00650E37">
            <w:pPr>
              <w:rPr>
                <w:szCs w:val="24"/>
              </w:rPr>
            </w:pPr>
          </w:p>
        </w:tc>
        <w:tc>
          <w:tcPr>
            <w:tcW w:w="11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FDA706" w14:textId="15BEB854" w:rsidR="2E1E8EE1" w:rsidRPr="00687DE8" w:rsidRDefault="00DA697A">
            <w:pPr>
              <w:spacing w:after="0"/>
              <w:jc w:val="center"/>
              <w:rPr>
                <w:color w:val="000000" w:themeColor="text1"/>
                <w:szCs w:val="24"/>
              </w:rPr>
            </w:pPr>
            <w:r>
              <w:rPr>
                <w:color w:val="000000"/>
              </w:rPr>
              <w:t>43,89</w:t>
            </w:r>
          </w:p>
        </w:tc>
      </w:tr>
      <w:tr w:rsidR="00650E37" w:rsidRPr="00687DE8" w14:paraId="098F738F" w14:textId="77777777" w:rsidTr="00B93704">
        <w:trPr>
          <w:divId w:val="1316184749"/>
          <w:trHeight w:val="300"/>
        </w:trPr>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0C3039" w14:textId="77777777" w:rsidR="00650E37" w:rsidRPr="00687DE8" w:rsidRDefault="00650E37" w:rsidP="00650E37">
            <w:pPr>
              <w:spacing w:after="0" w:line="240" w:lineRule="auto"/>
              <w:rPr>
                <w:szCs w:val="24"/>
              </w:rPr>
            </w:pPr>
            <w:r w:rsidRPr="00687DE8">
              <w:rPr>
                <w:szCs w:val="24"/>
              </w:rPr>
              <w:t>Peaaju arterite 3D analüüs</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A2A1E5" w14:textId="77777777" w:rsidR="00650E37" w:rsidRPr="00687DE8" w:rsidRDefault="00650E37" w:rsidP="00650E37">
            <w:pPr>
              <w:spacing w:after="0" w:line="240" w:lineRule="auto"/>
              <w:jc w:val="center"/>
              <w:rPr>
                <w:szCs w:val="24"/>
              </w:rPr>
            </w:pPr>
          </w:p>
          <w:p w14:paraId="5C29A7F4" w14:textId="77777777" w:rsidR="00650E37" w:rsidRPr="00687DE8" w:rsidRDefault="00650E37" w:rsidP="00650E37">
            <w:pPr>
              <w:spacing w:after="0" w:line="240" w:lineRule="auto"/>
              <w:jc w:val="center"/>
              <w:rPr>
                <w:szCs w:val="24"/>
              </w:rPr>
            </w:pPr>
            <w:r w:rsidRPr="00687DE8">
              <w:rPr>
                <w:szCs w:val="24"/>
              </w:rPr>
              <w:t>7992</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1D2CB5" w14:textId="77777777" w:rsidR="00650E37" w:rsidRPr="00687DE8" w:rsidRDefault="00650E37" w:rsidP="00650E37">
            <w:pPr>
              <w:rPr>
                <w:szCs w:val="24"/>
              </w:rPr>
            </w:pPr>
          </w:p>
        </w:tc>
        <w:tc>
          <w:tcPr>
            <w:tcW w:w="11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B38E76" w14:textId="50B224B0" w:rsidR="2E1E8EE1" w:rsidRPr="00687DE8" w:rsidRDefault="00DA697A">
            <w:pPr>
              <w:spacing w:after="0"/>
              <w:jc w:val="center"/>
              <w:rPr>
                <w:color w:val="000000" w:themeColor="text1"/>
                <w:szCs w:val="24"/>
              </w:rPr>
            </w:pPr>
            <w:r>
              <w:rPr>
                <w:color w:val="000000"/>
              </w:rPr>
              <w:t>26,25</w:t>
            </w:r>
          </w:p>
        </w:tc>
      </w:tr>
    </w:tbl>
    <w:p w14:paraId="5F50DDDC" w14:textId="77777777" w:rsidR="00976487" w:rsidRPr="00687DE8" w:rsidRDefault="00976487" w:rsidP="00976487">
      <w:pPr>
        <w:spacing w:after="0" w:line="240" w:lineRule="auto"/>
        <w:jc w:val="both"/>
        <w:divId w:val="1316184749"/>
        <w:rPr>
          <w:szCs w:val="24"/>
        </w:rPr>
      </w:pPr>
    </w:p>
    <w:p w14:paraId="3C5C2181" w14:textId="77777777" w:rsidR="00976487" w:rsidRPr="00687DE8" w:rsidRDefault="0084794E" w:rsidP="00976487">
      <w:pPr>
        <w:spacing w:after="0" w:line="240" w:lineRule="auto"/>
        <w:jc w:val="both"/>
        <w:divId w:val="1316184749"/>
        <w:rPr>
          <w:szCs w:val="24"/>
        </w:rPr>
      </w:pPr>
      <w:r w:rsidRPr="00687DE8">
        <w:rPr>
          <w:szCs w:val="24"/>
        </w:rPr>
        <w:t>(4) L</w:t>
      </w:r>
      <w:r w:rsidR="00976487" w:rsidRPr="00687DE8">
        <w:rPr>
          <w:szCs w:val="24"/>
        </w:rPr>
        <w:t>õikes 3 sätestatud tervishoiuteenuste piirhindade rakendamisel lähtutakse alljärgnevast:</w:t>
      </w:r>
    </w:p>
    <w:p w14:paraId="357E30E0" w14:textId="77777777" w:rsidR="00976487" w:rsidRPr="00687DE8" w:rsidRDefault="00976487" w:rsidP="00976487">
      <w:pPr>
        <w:spacing w:after="0" w:line="240" w:lineRule="auto"/>
        <w:jc w:val="both"/>
        <w:divId w:val="1316184749"/>
        <w:rPr>
          <w:szCs w:val="24"/>
        </w:rPr>
      </w:pPr>
      <w:r w:rsidRPr="00687DE8">
        <w:rPr>
          <w:szCs w:val="24"/>
        </w:rPr>
        <w:t>1) tervishoiuteenuste piirhindu rakendatakse ainult koos lõikes 1 sätestatud kompuutertomograafia põhiuuringuga;</w:t>
      </w:r>
    </w:p>
    <w:p w14:paraId="4525C124" w14:textId="77777777" w:rsidR="00976487" w:rsidRPr="00687DE8" w:rsidRDefault="00976487" w:rsidP="00976487">
      <w:pPr>
        <w:spacing w:after="0" w:line="240" w:lineRule="auto"/>
        <w:jc w:val="both"/>
        <w:divId w:val="1316184749"/>
        <w:rPr>
          <w:szCs w:val="24"/>
        </w:rPr>
      </w:pPr>
      <w:r w:rsidRPr="00687DE8">
        <w:rPr>
          <w:szCs w:val="24"/>
        </w:rPr>
        <w:t>2) tervishoiuteenuste piirhinnad sisaldavad uuringu tegemist (välja arvatud koodiga 7992 tähistatud tervishoiuteenus) ning tulemuse kirjeldamist tervishoiuteenuse osutamist tõendavas dokumendis iga piirkonna ja faasi kohta;</w:t>
      </w:r>
    </w:p>
    <w:p w14:paraId="546F4BA8" w14:textId="2BA4256A"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koodidega 7976, 7979 ja 7999 tähistatud tervishoiuteenuste eest tasu maksmise kohustuse üle lõike 3 tabeli veerus „Toimingu kirjeldus ja tingimus</w:t>
      </w:r>
      <w:r w:rsidR="00190BF3" w:rsidRPr="00687DE8">
        <w:rPr>
          <w:szCs w:val="24"/>
        </w:rPr>
        <w:t>“</w:t>
      </w:r>
      <w:r w:rsidRPr="00687DE8">
        <w:rPr>
          <w:szCs w:val="24"/>
        </w:rPr>
        <w:t xml:space="preserve"> nimetatud igast piirkonnast (välja arvatud koronaararter) tehtud kompuutertomograafia lisauuringu eest (iga piirkonna puhul üks kord);</w:t>
      </w:r>
    </w:p>
    <w:p w14:paraId="4CB6541B" w14:textId="419F9AD0" w:rsidR="00976487" w:rsidRPr="00687DE8" w:rsidRDefault="00976487" w:rsidP="00976487">
      <w:pPr>
        <w:spacing w:after="0" w:line="240" w:lineRule="auto"/>
        <w:jc w:val="both"/>
        <w:divId w:val="1316184749"/>
        <w:rPr>
          <w:szCs w:val="24"/>
        </w:rPr>
      </w:pPr>
      <w:r w:rsidRPr="00687DE8">
        <w:rPr>
          <w:szCs w:val="24"/>
        </w:rPr>
        <w:t xml:space="preserve">4) koronaararteri uuringu korral võtab </w:t>
      </w:r>
      <w:r w:rsidR="005023FD" w:rsidRPr="00687DE8">
        <w:rPr>
          <w:szCs w:val="24"/>
        </w:rPr>
        <w:t>Tervisekassa</w:t>
      </w:r>
      <w:r w:rsidRPr="00687DE8">
        <w:rPr>
          <w:szCs w:val="24"/>
        </w:rPr>
        <w:t xml:space="preserve"> tasu maksmise kohustuse üle koodiga 7999 tähistatud tervishoiuteenuse alusel kuni kaks korda;</w:t>
      </w:r>
    </w:p>
    <w:p w14:paraId="09C5751E" w14:textId="43E29BB4" w:rsidR="00976487" w:rsidRPr="00687DE8" w:rsidRDefault="00976487" w:rsidP="00976487">
      <w:pPr>
        <w:spacing w:after="0" w:line="240" w:lineRule="auto"/>
        <w:jc w:val="both"/>
        <w:divId w:val="1316184749"/>
        <w:rPr>
          <w:szCs w:val="24"/>
        </w:rPr>
      </w:pPr>
      <w:r w:rsidRPr="00687DE8">
        <w:rPr>
          <w:szCs w:val="24"/>
        </w:rPr>
        <w:t xml:space="preserve">5) </w:t>
      </w:r>
      <w:r w:rsidR="005023FD" w:rsidRPr="00687DE8">
        <w:rPr>
          <w:szCs w:val="24"/>
        </w:rPr>
        <w:t>Tervisekassa</w:t>
      </w:r>
      <w:r w:rsidRPr="00687DE8">
        <w:rPr>
          <w:szCs w:val="24"/>
        </w:rPr>
        <w:t xml:space="preserve"> võtab koodidega 7981, 7982, 7987 ja 7992 tähistatud tervishoiuteenuste eest tasu maksmise kohustuse üle üks kord ühe uuringu kohta.</w:t>
      </w:r>
    </w:p>
    <w:p w14:paraId="772AA330" w14:textId="77777777" w:rsidR="00976487" w:rsidRPr="00687DE8" w:rsidRDefault="00976487" w:rsidP="00976487">
      <w:pPr>
        <w:spacing w:after="0" w:line="240" w:lineRule="auto"/>
        <w:jc w:val="both"/>
        <w:divId w:val="1316184749"/>
        <w:rPr>
          <w:szCs w:val="24"/>
        </w:rPr>
      </w:pPr>
    </w:p>
    <w:p w14:paraId="39C3577B" w14:textId="77777777" w:rsidR="00976487" w:rsidRPr="00687DE8" w:rsidRDefault="00976487" w:rsidP="00976487">
      <w:pPr>
        <w:spacing w:after="0" w:line="240" w:lineRule="auto"/>
        <w:jc w:val="both"/>
        <w:divId w:val="1316184749"/>
        <w:rPr>
          <w:szCs w:val="24"/>
        </w:rPr>
      </w:pPr>
      <w:r w:rsidRPr="00687DE8">
        <w:rPr>
          <w:szCs w:val="24"/>
        </w:rPr>
        <w:t>(5) Kompuutertomograafia kontrastaine piirhind on järgmine:</w:t>
      </w:r>
    </w:p>
    <w:p w14:paraId="15FFEB05" w14:textId="77777777" w:rsidR="00976487" w:rsidRPr="00687DE8" w:rsidRDefault="00976487" w:rsidP="00976487">
      <w:pPr>
        <w:spacing w:after="0" w:line="240" w:lineRule="auto"/>
        <w:jc w:val="both"/>
        <w:divId w:val="1316184749"/>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gridCol w:w="1134"/>
        <w:gridCol w:w="1134"/>
      </w:tblGrid>
      <w:tr w:rsidR="00976487" w:rsidRPr="00687DE8" w14:paraId="655C19FE" w14:textId="77777777" w:rsidTr="00976487">
        <w:trPr>
          <w:divId w:val="1316184749"/>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E7D06C" w14:textId="77777777" w:rsidR="00976487" w:rsidRPr="00687DE8" w:rsidRDefault="00976487">
            <w:pPr>
              <w:spacing w:after="0" w:line="240" w:lineRule="auto"/>
              <w:jc w:val="center"/>
              <w:rPr>
                <w:szCs w:val="24"/>
              </w:rPr>
            </w:pPr>
            <w:r w:rsidRPr="00687DE8">
              <w:rPr>
                <w:b/>
                <w:szCs w:val="24"/>
              </w:rPr>
              <w:t>Tervishoiuteenuse nimetus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337C26" w14:textId="77777777" w:rsidR="00976487" w:rsidRPr="00687DE8" w:rsidRDefault="00976487">
            <w:pPr>
              <w:spacing w:after="0" w:line="240" w:lineRule="auto"/>
              <w:jc w:val="center"/>
              <w:rPr>
                <w:szCs w:val="24"/>
              </w:rPr>
            </w:pPr>
            <w:r w:rsidRPr="00687DE8">
              <w:rPr>
                <w:b/>
                <w:szCs w:val="24"/>
              </w:rPr>
              <w:t>Kood</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2EB17E"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976487" w:rsidRPr="00687DE8" w14:paraId="03D1AF7C" w14:textId="77777777" w:rsidTr="00976487">
        <w:trPr>
          <w:divId w:val="1316184749"/>
        </w:trPr>
        <w:tc>
          <w:tcPr>
            <w:tcW w:w="70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5E22B5" w14:textId="77777777" w:rsidR="00976487" w:rsidRPr="00687DE8" w:rsidRDefault="00976487">
            <w:pPr>
              <w:spacing w:after="0" w:line="240" w:lineRule="auto"/>
              <w:rPr>
                <w:szCs w:val="24"/>
              </w:rPr>
            </w:pPr>
            <w:r w:rsidRPr="00687DE8">
              <w:rPr>
                <w:szCs w:val="24"/>
              </w:rPr>
              <w:lastRenderedPageBreak/>
              <w:t>Kompuutertomograafia kontrastaine 10 ml</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662FC7" w14:textId="77777777" w:rsidR="00976487" w:rsidRPr="00687DE8" w:rsidRDefault="00976487">
            <w:pPr>
              <w:spacing w:after="0" w:line="240" w:lineRule="auto"/>
              <w:jc w:val="center"/>
              <w:rPr>
                <w:szCs w:val="24"/>
              </w:rPr>
            </w:pPr>
            <w:r w:rsidRPr="00687DE8">
              <w:rPr>
                <w:szCs w:val="24"/>
              </w:rPr>
              <w:t>7997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43BDB6" w14:textId="096B9324" w:rsidR="00976487" w:rsidRPr="00687DE8" w:rsidRDefault="00CE0048">
            <w:pPr>
              <w:tabs>
                <w:tab w:val="decimal" w:pos="635"/>
              </w:tabs>
              <w:spacing w:after="0" w:line="240" w:lineRule="auto"/>
              <w:jc w:val="center"/>
              <w:rPr>
                <w:szCs w:val="24"/>
              </w:rPr>
            </w:pPr>
            <w:r w:rsidRPr="00687DE8">
              <w:rPr>
                <w:szCs w:val="24"/>
              </w:rPr>
              <w:t>5,</w:t>
            </w:r>
            <w:r w:rsidR="00664465">
              <w:rPr>
                <w:szCs w:val="24"/>
              </w:rPr>
              <w:t>96</w:t>
            </w:r>
          </w:p>
        </w:tc>
      </w:tr>
    </w:tbl>
    <w:p w14:paraId="1E45DCA6" w14:textId="77777777" w:rsidR="00976487" w:rsidRPr="00687DE8" w:rsidRDefault="00976487" w:rsidP="00976487">
      <w:pPr>
        <w:spacing w:after="0" w:line="240" w:lineRule="auto"/>
        <w:jc w:val="both"/>
        <w:divId w:val="1316184749"/>
        <w:rPr>
          <w:szCs w:val="24"/>
        </w:rPr>
      </w:pPr>
    </w:p>
    <w:p w14:paraId="792E9369" w14:textId="77777777" w:rsidR="00976487" w:rsidRPr="00687DE8" w:rsidRDefault="00976487" w:rsidP="00976487">
      <w:pPr>
        <w:spacing w:after="0" w:line="240" w:lineRule="auto"/>
        <w:jc w:val="both"/>
        <w:divId w:val="1316184749"/>
        <w:rPr>
          <w:szCs w:val="24"/>
        </w:rPr>
      </w:pPr>
      <w:r w:rsidRPr="00687DE8">
        <w:rPr>
          <w:szCs w:val="24"/>
        </w:rPr>
        <w:t xml:space="preserve">(6) </w:t>
      </w:r>
      <w:r w:rsidR="0084794E" w:rsidRPr="00687DE8">
        <w:rPr>
          <w:szCs w:val="24"/>
        </w:rPr>
        <w:t>Lõ</w:t>
      </w:r>
      <w:r w:rsidRPr="00687DE8">
        <w:rPr>
          <w:szCs w:val="24"/>
        </w:rPr>
        <w:t>ikes 5 sätestatud tervishoiuteenuse piirhinna rakendamisel lähtutakse alljärgnevast:</w:t>
      </w:r>
    </w:p>
    <w:p w14:paraId="0ADA0B73" w14:textId="1E4E7939" w:rsidR="00976487" w:rsidRPr="00687DE8" w:rsidRDefault="00976487" w:rsidP="00976487">
      <w:pPr>
        <w:spacing w:after="0" w:line="240" w:lineRule="auto"/>
        <w:jc w:val="both"/>
        <w:divId w:val="1316184749"/>
        <w:rPr>
          <w:szCs w:val="24"/>
        </w:rPr>
      </w:pPr>
      <w:r w:rsidRPr="00687DE8">
        <w:rPr>
          <w:szCs w:val="24"/>
        </w:rPr>
        <w:t xml:space="preserve">1) </w:t>
      </w:r>
      <w:r w:rsidR="005023FD" w:rsidRPr="00687DE8">
        <w:rPr>
          <w:szCs w:val="24"/>
        </w:rPr>
        <w:t>Tervisekassa</w:t>
      </w:r>
      <w:r w:rsidRPr="00687DE8">
        <w:rPr>
          <w:szCs w:val="24"/>
        </w:rPr>
        <w:t xml:space="preserve"> võtab koodiga 7997 tähistatud tervishoiuteenuse eest tasu maksmise kohustuse üle koos koodidega 7991, 7973, 7978, 7984 ja 7974 tähistatud tervishoiuteenustega;</w:t>
      </w:r>
    </w:p>
    <w:p w14:paraId="69F5E842" w14:textId="77777777" w:rsidR="00976487" w:rsidRPr="00687DE8" w:rsidRDefault="00976487" w:rsidP="00976487">
      <w:pPr>
        <w:spacing w:after="0" w:line="240" w:lineRule="auto"/>
        <w:jc w:val="both"/>
        <w:divId w:val="1316184749"/>
        <w:rPr>
          <w:szCs w:val="24"/>
        </w:rPr>
      </w:pPr>
      <w:r w:rsidRPr="00687DE8">
        <w:rPr>
          <w:szCs w:val="24"/>
        </w:rPr>
        <w:t>2) kasutatud kontrastaine kogus ümardatakse lähima kümneni.</w:t>
      </w:r>
    </w:p>
    <w:p w14:paraId="19DC0FA2" w14:textId="77777777" w:rsidR="00976487" w:rsidRPr="00687DE8" w:rsidRDefault="00976487" w:rsidP="00976487">
      <w:pPr>
        <w:spacing w:after="0" w:line="240" w:lineRule="auto"/>
        <w:jc w:val="both"/>
        <w:outlineLvl w:val="2"/>
        <w:divId w:val="1316184749"/>
        <w:rPr>
          <w:b/>
          <w:bCs/>
          <w:szCs w:val="24"/>
        </w:rPr>
      </w:pPr>
    </w:p>
    <w:p w14:paraId="2A5083A8" w14:textId="77777777" w:rsidR="00976487" w:rsidRDefault="00976487" w:rsidP="00976487">
      <w:pPr>
        <w:spacing w:after="0" w:line="240" w:lineRule="auto"/>
        <w:jc w:val="both"/>
        <w:outlineLvl w:val="2"/>
        <w:divId w:val="1316184749"/>
        <w:rPr>
          <w:b/>
          <w:szCs w:val="24"/>
        </w:rPr>
      </w:pPr>
      <w:r w:rsidRPr="00687DE8">
        <w:rPr>
          <w:b/>
          <w:szCs w:val="24"/>
        </w:rPr>
        <w:t>§ 2</w:t>
      </w:r>
      <w:r w:rsidR="00E22EDA" w:rsidRPr="00687DE8">
        <w:rPr>
          <w:b/>
          <w:szCs w:val="24"/>
        </w:rPr>
        <w:t>1</w:t>
      </w:r>
      <w:r w:rsidRPr="00687DE8">
        <w:rPr>
          <w:b/>
          <w:szCs w:val="24"/>
        </w:rPr>
        <w:t>. Magnetresonantstomograafia piirhinnad</w:t>
      </w:r>
    </w:p>
    <w:p w14:paraId="771F2D67" w14:textId="77777777" w:rsidR="00D622B8" w:rsidRDefault="00D622B8" w:rsidP="00976487">
      <w:pPr>
        <w:spacing w:after="0" w:line="240" w:lineRule="auto"/>
        <w:jc w:val="both"/>
        <w:divId w:val="1316184749"/>
        <w:rPr>
          <w:szCs w:val="24"/>
        </w:rPr>
      </w:pPr>
    </w:p>
    <w:p w14:paraId="6DD79AA5" w14:textId="12523746" w:rsidR="00976487" w:rsidRPr="00687DE8" w:rsidRDefault="00976487" w:rsidP="00976487">
      <w:pPr>
        <w:spacing w:after="0" w:line="240" w:lineRule="auto"/>
        <w:jc w:val="both"/>
        <w:divId w:val="1316184749"/>
        <w:rPr>
          <w:szCs w:val="24"/>
        </w:rPr>
      </w:pPr>
      <w:r w:rsidRPr="00687DE8">
        <w:rPr>
          <w:szCs w:val="24"/>
        </w:rPr>
        <w:t xml:space="preserve">(1) Nõrga väljatugevusega (kuni </w:t>
      </w:r>
      <w:r w:rsidR="00F540F3" w:rsidRPr="00687DE8">
        <w:rPr>
          <w:szCs w:val="24"/>
        </w:rPr>
        <w:t>üks</w:t>
      </w:r>
      <w:r w:rsidRPr="00687DE8">
        <w:rPr>
          <w:szCs w:val="24"/>
        </w:rPr>
        <w:t xml:space="preserve"> tesla) magnetresonantstomograafia (edaspidi </w:t>
      </w:r>
      <w:r w:rsidRPr="00687DE8">
        <w:rPr>
          <w:i/>
          <w:szCs w:val="24"/>
        </w:rPr>
        <w:t>MRT</w:t>
      </w:r>
      <w:r w:rsidRPr="00687DE8">
        <w:rPr>
          <w:szCs w:val="24"/>
        </w:rPr>
        <w:t>) põhiuuringute piirhinnad on järgmised:</w:t>
      </w:r>
    </w:p>
    <w:p w14:paraId="0354AB40" w14:textId="77777777" w:rsidR="00976487" w:rsidRPr="00687DE8" w:rsidRDefault="00976487" w:rsidP="00976487">
      <w:pPr>
        <w:spacing w:after="0" w:line="240" w:lineRule="auto"/>
        <w:jc w:val="both"/>
        <w:divId w:val="1316184749"/>
        <w:rPr>
          <w:szCs w:val="24"/>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5"/>
        <w:gridCol w:w="1115"/>
        <w:gridCol w:w="1127"/>
      </w:tblGrid>
      <w:tr w:rsidR="00976487" w:rsidRPr="00687DE8" w14:paraId="300C6BFA" w14:textId="77777777" w:rsidTr="005A1377">
        <w:trPr>
          <w:divId w:val="1316184749"/>
          <w:tblHeader/>
        </w:trPr>
        <w:tc>
          <w:tcPr>
            <w:tcW w:w="7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3A5ABD" w14:textId="77777777" w:rsidR="00976487" w:rsidRPr="00687DE8" w:rsidRDefault="00976487">
            <w:pPr>
              <w:spacing w:after="0" w:line="240" w:lineRule="auto"/>
              <w:jc w:val="center"/>
              <w:rPr>
                <w:szCs w:val="24"/>
              </w:rPr>
            </w:pPr>
            <w:r w:rsidRPr="00687DE8">
              <w:rPr>
                <w:b/>
                <w:szCs w:val="24"/>
              </w:rPr>
              <w:t>Tervishoiuteenuse nimetus</w:t>
            </w:r>
          </w:p>
        </w:tc>
        <w:tc>
          <w:tcPr>
            <w:tcW w:w="1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B7F01B" w14:textId="77777777" w:rsidR="00976487" w:rsidRPr="00687DE8" w:rsidRDefault="00976487">
            <w:pPr>
              <w:spacing w:after="0" w:line="240" w:lineRule="auto"/>
              <w:jc w:val="center"/>
              <w:rPr>
                <w:szCs w:val="24"/>
              </w:rPr>
            </w:pPr>
            <w:r w:rsidRPr="00687DE8">
              <w:rPr>
                <w:b/>
                <w:szCs w:val="24"/>
              </w:rPr>
              <w:t>Kood</w:t>
            </w:r>
          </w:p>
        </w:tc>
        <w:tc>
          <w:tcPr>
            <w:tcW w:w="1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833EC8"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3E071E" w:rsidRPr="00687DE8" w14:paraId="480AB386" w14:textId="77777777" w:rsidTr="00B93704">
        <w:trPr>
          <w:divId w:val="1316184749"/>
          <w:trHeight w:val="300"/>
        </w:trPr>
        <w:tc>
          <w:tcPr>
            <w:tcW w:w="7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973042" w14:textId="77777777" w:rsidR="003E071E" w:rsidRPr="00687DE8" w:rsidRDefault="003E071E" w:rsidP="003E071E">
            <w:pPr>
              <w:spacing w:after="0" w:line="240" w:lineRule="auto"/>
              <w:rPr>
                <w:szCs w:val="24"/>
              </w:rPr>
            </w:pPr>
            <w:r w:rsidRPr="00687DE8">
              <w:rPr>
                <w:szCs w:val="24"/>
              </w:rPr>
              <w:t>Ühe mähisega uuring (alla 4 töö) nõrga väljaga MRT-l</w:t>
            </w:r>
          </w:p>
        </w:tc>
        <w:tc>
          <w:tcPr>
            <w:tcW w:w="1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233708" w14:textId="77777777" w:rsidR="003E071E" w:rsidRPr="00687DE8" w:rsidRDefault="003E071E" w:rsidP="003E071E">
            <w:pPr>
              <w:spacing w:after="0" w:line="240" w:lineRule="auto"/>
              <w:jc w:val="center"/>
              <w:rPr>
                <w:szCs w:val="24"/>
              </w:rPr>
            </w:pPr>
            <w:r w:rsidRPr="00687DE8">
              <w:rPr>
                <w:szCs w:val="24"/>
              </w:rPr>
              <w:t>79300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1A018C" w14:textId="5D365A4A" w:rsidR="2E1E8EE1" w:rsidRPr="00687DE8" w:rsidRDefault="00E37B7C">
            <w:pPr>
              <w:spacing w:after="0"/>
              <w:jc w:val="center"/>
              <w:rPr>
                <w:color w:val="000000" w:themeColor="text1"/>
                <w:szCs w:val="24"/>
              </w:rPr>
            </w:pPr>
            <w:r>
              <w:rPr>
                <w:color w:val="000000"/>
              </w:rPr>
              <w:t>73,56</w:t>
            </w:r>
          </w:p>
        </w:tc>
      </w:tr>
      <w:tr w:rsidR="003E071E" w:rsidRPr="00687DE8" w14:paraId="3F09A4A8" w14:textId="77777777" w:rsidTr="00B93704">
        <w:trPr>
          <w:divId w:val="1316184749"/>
          <w:trHeight w:val="300"/>
        </w:trPr>
        <w:tc>
          <w:tcPr>
            <w:tcW w:w="7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95F19F" w14:textId="77777777" w:rsidR="003E071E" w:rsidRPr="00687DE8" w:rsidRDefault="003E071E" w:rsidP="003E071E">
            <w:pPr>
              <w:spacing w:after="0" w:line="240" w:lineRule="auto"/>
              <w:rPr>
                <w:szCs w:val="24"/>
              </w:rPr>
            </w:pPr>
            <w:r w:rsidRPr="00687DE8">
              <w:rPr>
                <w:szCs w:val="24"/>
              </w:rPr>
              <w:t>Ühe mähisega uuring (4–5 tööd) nõrga väljaga MRT-l</w:t>
            </w:r>
          </w:p>
        </w:tc>
        <w:tc>
          <w:tcPr>
            <w:tcW w:w="1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6347B6" w14:textId="77777777" w:rsidR="003E071E" w:rsidRPr="00687DE8" w:rsidRDefault="003E071E" w:rsidP="003E071E">
            <w:pPr>
              <w:spacing w:after="0" w:line="240" w:lineRule="auto"/>
              <w:jc w:val="center"/>
              <w:rPr>
                <w:szCs w:val="24"/>
              </w:rPr>
            </w:pPr>
            <w:r w:rsidRPr="00687DE8">
              <w:rPr>
                <w:szCs w:val="24"/>
              </w:rPr>
              <w:t>79301</w:t>
            </w:r>
          </w:p>
        </w:tc>
        <w:tc>
          <w:tcPr>
            <w:tcW w:w="11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5097B5" w14:textId="0932A75F" w:rsidR="2E1E8EE1" w:rsidRPr="00687DE8" w:rsidRDefault="00E37B7C">
            <w:pPr>
              <w:spacing w:after="0"/>
              <w:jc w:val="center"/>
              <w:rPr>
                <w:color w:val="000000" w:themeColor="text1"/>
                <w:szCs w:val="24"/>
              </w:rPr>
            </w:pPr>
            <w:r>
              <w:rPr>
                <w:color w:val="000000"/>
              </w:rPr>
              <w:t>111,97</w:t>
            </w:r>
          </w:p>
        </w:tc>
      </w:tr>
      <w:tr w:rsidR="003E071E" w:rsidRPr="00687DE8" w14:paraId="1E57FC0F" w14:textId="77777777" w:rsidTr="00B93704">
        <w:trPr>
          <w:divId w:val="1316184749"/>
          <w:trHeight w:val="300"/>
        </w:trPr>
        <w:tc>
          <w:tcPr>
            <w:tcW w:w="7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FE8417" w14:textId="77777777" w:rsidR="003E071E" w:rsidRPr="00687DE8" w:rsidRDefault="003E071E" w:rsidP="003E071E">
            <w:pPr>
              <w:spacing w:after="0" w:line="240" w:lineRule="auto"/>
              <w:rPr>
                <w:szCs w:val="24"/>
              </w:rPr>
            </w:pPr>
            <w:r w:rsidRPr="00687DE8">
              <w:rPr>
                <w:szCs w:val="24"/>
              </w:rPr>
              <w:t>Ühe mähisega uuring (6–7 tööd) nõrga väljaga MRT-l</w:t>
            </w:r>
          </w:p>
        </w:tc>
        <w:tc>
          <w:tcPr>
            <w:tcW w:w="1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1E5600" w14:textId="77777777" w:rsidR="003E071E" w:rsidRPr="00687DE8" w:rsidRDefault="003E071E" w:rsidP="003E071E">
            <w:pPr>
              <w:spacing w:after="0" w:line="240" w:lineRule="auto"/>
              <w:jc w:val="center"/>
              <w:rPr>
                <w:szCs w:val="24"/>
              </w:rPr>
            </w:pPr>
            <w:r w:rsidRPr="00687DE8">
              <w:rPr>
                <w:szCs w:val="24"/>
              </w:rPr>
              <w:t>79302</w:t>
            </w:r>
          </w:p>
        </w:tc>
        <w:tc>
          <w:tcPr>
            <w:tcW w:w="11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D4CB4E" w14:textId="774B9CDC" w:rsidR="2E1E8EE1" w:rsidRPr="00687DE8" w:rsidRDefault="00E37B7C">
            <w:pPr>
              <w:spacing w:after="0"/>
              <w:jc w:val="center"/>
              <w:rPr>
                <w:color w:val="000000" w:themeColor="text1"/>
                <w:szCs w:val="24"/>
              </w:rPr>
            </w:pPr>
            <w:r>
              <w:rPr>
                <w:color w:val="000000"/>
              </w:rPr>
              <w:t>130,37</w:t>
            </w:r>
          </w:p>
        </w:tc>
      </w:tr>
      <w:tr w:rsidR="003E071E" w:rsidRPr="00687DE8" w14:paraId="304CDFF7" w14:textId="77777777" w:rsidTr="00B93704">
        <w:trPr>
          <w:divId w:val="1316184749"/>
          <w:trHeight w:val="300"/>
        </w:trPr>
        <w:tc>
          <w:tcPr>
            <w:tcW w:w="7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6D8B5D" w14:textId="77777777" w:rsidR="003E071E" w:rsidRPr="00687DE8" w:rsidRDefault="003E071E" w:rsidP="003E071E">
            <w:pPr>
              <w:spacing w:after="0" w:line="240" w:lineRule="auto"/>
              <w:rPr>
                <w:szCs w:val="24"/>
              </w:rPr>
            </w:pPr>
            <w:r w:rsidRPr="00687DE8">
              <w:rPr>
                <w:szCs w:val="24"/>
              </w:rPr>
              <w:t>Ühe mähisega uuring (8 ja enam tööd) nõrga väljaga MRT-l</w:t>
            </w:r>
          </w:p>
        </w:tc>
        <w:tc>
          <w:tcPr>
            <w:tcW w:w="1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88464C" w14:textId="77777777" w:rsidR="003E071E" w:rsidRPr="00687DE8" w:rsidRDefault="003E071E" w:rsidP="003E071E">
            <w:pPr>
              <w:spacing w:after="0" w:line="240" w:lineRule="auto"/>
              <w:jc w:val="center"/>
              <w:rPr>
                <w:szCs w:val="24"/>
              </w:rPr>
            </w:pPr>
            <w:r w:rsidRPr="00687DE8">
              <w:rPr>
                <w:szCs w:val="24"/>
              </w:rPr>
              <w:t>79303</w:t>
            </w:r>
          </w:p>
        </w:tc>
        <w:tc>
          <w:tcPr>
            <w:tcW w:w="11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F56674" w14:textId="2ACD8A5A" w:rsidR="2E1E8EE1" w:rsidRPr="00687DE8" w:rsidRDefault="00E37B7C">
            <w:pPr>
              <w:spacing w:after="0"/>
              <w:jc w:val="center"/>
              <w:rPr>
                <w:color w:val="000000" w:themeColor="text1"/>
                <w:szCs w:val="24"/>
              </w:rPr>
            </w:pPr>
            <w:r>
              <w:rPr>
                <w:color w:val="000000"/>
              </w:rPr>
              <w:t>154,01</w:t>
            </w:r>
          </w:p>
        </w:tc>
      </w:tr>
    </w:tbl>
    <w:p w14:paraId="1038D050" w14:textId="77777777" w:rsidR="00976487" w:rsidRPr="00687DE8" w:rsidRDefault="00976487" w:rsidP="00976487">
      <w:pPr>
        <w:spacing w:after="0" w:line="240" w:lineRule="auto"/>
        <w:divId w:val="1316184749"/>
        <w:rPr>
          <w:szCs w:val="24"/>
        </w:rPr>
      </w:pPr>
    </w:p>
    <w:p w14:paraId="6E9C4EC6" w14:textId="77777777" w:rsidR="00976487" w:rsidRPr="00687DE8" w:rsidRDefault="00976487" w:rsidP="00976487">
      <w:pPr>
        <w:spacing w:after="0" w:line="240" w:lineRule="auto"/>
        <w:divId w:val="1316184749"/>
        <w:rPr>
          <w:szCs w:val="24"/>
        </w:rPr>
      </w:pPr>
      <w:r w:rsidRPr="00687DE8">
        <w:rPr>
          <w:szCs w:val="24"/>
        </w:rPr>
        <w:t>(2) Keskmise väljatugevusega (</w:t>
      </w:r>
      <w:bookmarkStart w:id="12" w:name="_Hlk159777652"/>
      <w:r w:rsidRPr="00687DE8">
        <w:rPr>
          <w:szCs w:val="24"/>
        </w:rPr>
        <w:t>1,1 kuni 2,9 teslat</w:t>
      </w:r>
      <w:bookmarkEnd w:id="12"/>
      <w:r w:rsidRPr="00687DE8">
        <w:rPr>
          <w:szCs w:val="24"/>
        </w:rPr>
        <w:t>) MRT põhiuuringute piirhinnad on järgmised:</w:t>
      </w:r>
    </w:p>
    <w:p w14:paraId="7D86E73B" w14:textId="77777777" w:rsidR="00976487" w:rsidRPr="00687DE8" w:rsidRDefault="00976487" w:rsidP="00976487">
      <w:pPr>
        <w:spacing w:after="0" w:line="240" w:lineRule="auto"/>
        <w:divId w:val="1316184749"/>
        <w:rPr>
          <w:szCs w:val="24"/>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8"/>
        <w:gridCol w:w="1079"/>
        <w:gridCol w:w="1116"/>
      </w:tblGrid>
      <w:tr w:rsidR="00976487" w:rsidRPr="00687DE8" w14:paraId="15611EE1" w14:textId="77777777" w:rsidTr="005A1377">
        <w:trPr>
          <w:divId w:val="1316184749"/>
          <w:tblHeader/>
        </w:trPr>
        <w:tc>
          <w:tcPr>
            <w:tcW w:w="7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61B274" w14:textId="77777777" w:rsidR="00976487" w:rsidRPr="00687DE8" w:rsidRDefault="00976487">
            <w:pPr>
              <w:spacing w:after="0" w:line="240" w:lineRule="auto"/>
              <w:jc w:val="center"/>
              <w:rPr>
                <w:szCs w:val="24"/>
              </w:rPr>
            </w:pPr>
            <w:r w:rsidRPr="00687DE8">
              <w:rPr>
                <w:b/>
                <w:szCs w:val="24"/>
              </w:rPr>
              <w:t>Tervishoiuteenuse nimetus</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07D4E6" w14:textId="77777777" w:rsidR="00976487" w:rsidRPr="00687DE8" w:rsidRDefault="00976487">
            <w:pPr>
              <w:spacing w:after="0" w:line="240" w:lineRule="auto"/>
              <w:jc w:val="center"/>
              <w:rPr>
                <w:szCs w:val="24"/>
              </w:rPr>
            </w:pPr>
            <w:r w:rsidRPr="00687DE8">
              <w:rPr>
                <w:b/>
                <w:szCs w:val="24"/>
              </w:rPr>
              <w:t>Kood</w:t>
            </w:r>
          </w:p>
        </w:tc>
        <w:tc>
          <w:tcPr>
            <w:tcW w:w="1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7F3D57"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B163F6" w:rsidRPr="00687DE8" w14:paraId="79AC9ABE" w14:textId="77777777" w:rsidTr="00B93704">
        <w:trPr>
          <w:divId w:val="1316184749"/>
          <w:trHeight w:val="300"/>
        </w:trPr>
        <w:tc>
          <w:tcPr>
            <w:tcW w:w="7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EA6359" w14:textId="77777777" w:rsidR="00B163F6" w:rsidRPr="00687DE8" w:rsidRDefault="00B163F6" w:rsidP="00B163F6">
            <w:pPr>
              <w:spacing w:after="0" w:line="240" w:lineRule="auto"/>
              <w:rPr>
                <w:szCs w:val="24"/>
              </w:rPr>
            </w:pPr>
            <w:r w:rsidRPr="00687DE8">
              <w:rPr>
                <w:szCs w:val="24"/>
              </w:rPr>
              <w:t>Ühe mähisega uuring (kuni 3 tööd) keskmise väljaga MRT-l</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F21D5B" w14:textId="77777777" w:rsidR="00B163F6" w:rsidRPr="00687DE8" w:rsidRDefault="00B163F6" w:rsidP="00B163F6">
            <w:pPr>
              <w:spacing w:after="0" w:line="240" w:lineRule="auto"/>
              <w:jc w:val="center"/>
              <w:rPr>
                <w:szCs w:val="24"/>
              </w:rPr>
            </w:pPr>
            <w:r w:rsidRPr="00687DE8">
              <w:rPr>
                <w:szCs w:val="24"/>
              </w:rPr>
              <w:t>79200</w:t>
            </w:r>
          </w:p>
        </w:tc>
        <w:tc>
          <w:tcPr>
            <w:tcW w:w="1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A4A98B" w14:textId="2A415DDD" w:rsidR="2E1E8EE1" w:rsidRPr="00687DE8" w:rsidRDefault="00AD703E">
            <w:pPr>
              <w:spacing w:after="0"/>
              <w:jc w:val="center"/>
              <w:rPr>
                <w:color w:val="000000" w:themeColor="text1"/>
                <w:szCs w:val="24"/>
              </w:rPr>
            </w:pPr>
            <w:r>
              <w:rPr>
                <w:color w:val="000000"/>
              </w:rPr>
              <w:t>112,29</w:t>
            </w:r>
          </w:p>
        </w:tc>
      </w:tr>
      <w:tr w:rsidR="00B163F6" w:rsidRPr="00687DE8" w14:paraId="06D39126" w14:textId="77777777" w:rsidTr="00B93704">
        <w:trPr>
          <w:divId w:val="1316184749"/>
          <w:trHeight w:val="300"/>
        </w:trPr>
        <w:tc>
          <w:tcPr>
            <w:tcW w:w="7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B954E5" w14:textId="77777777" w:rsidR="00B163F6" w:rsidRPr="00687DE8" w:rsidRDefault="00B163F6" w:rsidP="00B163F6">
            <w:pPr>
              <w:spacing w:after="0" w:line="240" w:lineRule="auto"/>
              <w:rPr>
                <w:szCs w:val="24"/>
              </w:rPr>
            </w:pPr>
            <w:r w:rsidRPr="00687DE8">
              <w:rPr>
                <w:szCs w:val="24"/>
              </w:rPr>
              <w:t>Ühe mähisega uuring (4–5 tööd) keskmise väljaga MRT-l</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FAC85A" w14:textId="77777777" w:rsidR="00B163F6" w:rsidRPr="00687DE8" w:rsidRDefault="00B163F6" w:rsidP="00B163F6">
            <w:pPr>
              <w:spacing w:after="0" w:line="240" w:lineRule="auto"/>
              <w:jc w:val="center"/>
              <w:rPr>
                <w:szCs w:val="24"/>
              </w:rPr>
            </w:pPr>
            <w:r w:rsidRPr="00687DE8">
              <w:rPr>
                <w:szCs w:val="24"/>
              </w:rPr>
              <w:t>79201</w:t>
            </w:r>
          </w:p>
        </w:tc>
        <w:tc>
          <w:tcPr>
            <w:tcW w:w="111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0317FF" w14:textId="28BA9F7C" w:rsidR="2E1E8EE1" w:rsidRPr="00687DE8" w:rsidRDefault="00AD703E">
            <w:pPr>
              <w:spacing w:after="0"/>
              <w:jc w:val="center"/>
              <w:rPr>
                <w:color w:val="000000" w:themeColor="text1"/>
                <w:szCs w:val="24"/>
              </w:rPr>
            </w:pPr>
            <w:r>
              <w:rPr>
                <w:color w:val="000000"/>
              </w:rPr>
              <w:t>205,79</w:t>
            </w:r>
          </w:p>
        </w:tc>
      </w:tr>
      <w:tr w:rsidR="00B163F6" w:rsidRPr="00687DE8" w14:paraId="631C4E61" w14:textId="77777777" w:rsidTr="00B93704">
        <w:trPr>
          <w:divId w:val="1316184749"/>
          <w:trHeight w:val="300"/>
        </w:trPr>
        <w:tc>
          <w:tcPr>
            <w:tcW w:w="7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74150D" w14:textId="77777777" w:rsidR="00B163F6" w:rsidRPr="00687DE8" w:rsidRDefault="00B163F6" w:rsidP="00B163F6">
            <w:pPr>
              <w:spacing w:after="0" w:line="240" w:lineRule="auto"/>
              <w:rPr>
                <w:szCs w:val="24"/>
              </w:rPr>
            </w:pPr>
            <w:r w:rsidRPr="00687DE8">
              <w:rPr>
                <w:szCs w:val="24"/>
              </w:rPr>
              <w:t>Ühe mähisega uuring (6–7 tööd) keskmise väljaga MRT-l</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58810A" w14:textId="77777777" w:rsidR="00B163F6" w:rsidRPr="00687DE8" w:rsidRDefault="00B163F6" w:rsidP="00B163F6">
            <w:pPr>
              <w:spacing w:after="0" w:line="240" w:lineRule="auto"/>
              <w:jc w:val="center"/>
              <w:rPr>
                <w:szCs w:val="24"/>
              </w:rPr>
            </w:pPr>
            <w:r w:rsidRPr="00687DE8">
              <w:rPr>
                <w:szCs w:val="24"/>
              </w:rPr>
              <w:t>79202</w:t>
            </w:r>
          </w:p>
        </w:tc>
        <w:tc>
          <w:tcPr>
            <w:tcW w:w="111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FA6EBC" w14:textId="1A85145E" w:rsidR="2E1E8EE1" w:rsidRPr="00687DE8" w:rsidRDefault="00AD703E">
            <w:pPr>
              <w:spacing w:after="0"/>
              <w:jc w:val="center"/>
              <w:rPr>
                <w:color w:val="000000" w:themeColor="text1"/>
                <w:szCs w:val="24"/>
              </w:rPr>
            </w:pPr>
            <w:r>
              <w:rPr>
                <w:color w:val="000000"/>
              </w:rPr>
              <w:t>239,13</w:t>
            </w:r>
          </w:p>
        </w:tc>
      </w:tr>
      <w:tr w:rsidR="00B163F6" w:rsidRPr="00687DE8" w14:paraId="43C42673" w14:textId="77777777" w:rsidTr="00B93704">
        <w:trPr>
          <w:divId w:val="1316184749"/>
          <w:trHeight w:val="300"/>
        </w:trPr>
        <w:tc>
          <w:tcPr>
            <w:tcW w:w="7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F7BE06" w14:textId="77777777" w:rsidR="00B163F6" w:rsidRPr="00687DE8" w:rsidRDefault="00B163F6" w:rsidP="00B163F6">
            <w:pPr>
              <w:spacing w:after="0" w:line="240" w:lineRule="auto"/>
              <w:rPr>
                <w:szCs w:val="24"/>
              </w:rPr>
            </w:pPr>
            <w:r w:rsidRPr="00687DE8">
              <w:rPr>
                <w:szCs w:val="24"/>
              </w:rPr>
              <w:t>Ühe mähisega uuring (8 ja enam tööd) keskmise väljaga MRT-l</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41BD66" w14:textId="77777777" w:rsidR="00B163F6" w:rsidRPr="00687DE8" w:rsidRDefault="00B163F6" w:rsidP="00B163F6">
            <w:pPr>
              <w:spacing w:after="0" w:line="240" w:lineRule="auto"/>
              <w:jc w:val="center"/>
              <w:rPr>
                <w:szCs w:val="24"/>
              </w:rPr>
            </w:pPr>
            <w:r w:rsidRPr="00687DE8">
              <w:rPr>
                <w:szCs w:val="24"/>
              </w:rPr>
              <w:t>79203</w:t>
            </w:r>
          </w:p>
        </w:tc>
        <w:tc>
          <w:tcPr>
            <w:tcW w:w="111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687A36" w14:textId="7E6B1616" w:rsidR="2E1E8EE1" w:rsidRPr="00687DE8" w:rsidRDefault="00AD703E">
            <w:pPr>
              <w:spacing w:after="0"/>
              <w:jc w:val="center"/>
              <w:rPr>
                <w:color w:val="000000" w:themeColor="text1"/>
                <w:szCs w:val="24"/>
              </w:rPr>
            </w:pPr>
            <w:r>
              <w:rPr>
                <w:color w:val="000000"/>
              </w:rPr>
              <w:t>308,32</w:t>
            </w:r>
          </w:p>
        </w:tc>
      </w:tr>
      <w:tr w:rsidR="00B163F6" w:rsidRPr="00687DE8" w14:paraId="7D57448A" w14:textId="77777777" w:rsidTr="00B93704">
        <w:trPr>
          <w:divId w:val="1316184749"/>
          <w:trHeight w:val="300"/>
        </w:trPr>
        <w:tc>
          <w:tcPr>
            <w:tcW w:w="7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03DA53" w14:textId="77777777" w:rsidR="00B163F6" w:rsidRPr="00687DE8" w:rsidRDefault="00B163F6" w:rsidP="00B163F6">
            <w:pPr>
              <w:spacing w:after="0" w:line="240" w:lineRule="auto"/>
              <w:rPr>
                <w:szCs w:val="24"/>
              </w:rPr>
            </w:pPr>
            <w:r w:rsidRPr="00687DE8">
              <w:rPr>
                <w:szCs w:val="24"/>
              </w:rPr>
              <w:t>Magnet-angiograafia ühest piirkonnast keskmise väljaga MRT-l</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DB861B" w14:textId="77777777" w:rsidR="00B163F6" w:rsidRPr="00687DE8" w:rsidRDefault="00B163F6" w:rsidP="00B163F6">
            <w:pPr>
              <w:spacing w:after="0" w:line="240" w:lineRule="auto"/>
              <w:jc w:val="center"/>
              <w:rPr>
                <w:szCs w:val="24"/>
              </w:rPr>
            </w:pPr>
            <w:r w:rsidRPr="00687DE8">
              <w:rPr>
                <w:szCs w:val="24"/>
              </w:rPr>
              <w:t>79224</w:t>
            </w:r>
          </w:p>
        </w:tc>
        <w:tc>
          <w:tcPr>
            <w:tcW w:w="111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BF20B6" w14:textId="6D3B562E" w:rsidR="2E1E8EE1" w:rsidRPr="00687DE8" w:rsidRDefault="00AD703E">
            <w:pPr>
              <w:spacing w:after="0"/>
              <w:jc w:val="center"/>
              <w:rPr>
                <w:color w:val="000000" w:themeColor="text1"/>
                <w:szCs w:val="24"/>
              </w:rPr>
            </w:pPr>
            <w:r>
              <w:rPr>
                <w:color w:val="000000"/>
              </w:rPr>
              <w:t>90,27</w:t>
            </w:r>
          </w:p>
        </w:tc>
      </w:tr>
      <w:tr w:rsidR="00B163F6" w:rsidRPr="00687DE8" w14:paraId="602E42CA" w14:textId="77777777" w:rsidTr="00B93704">
        <w:trPr>
          <w:divId w:val="1316184749"/>
          <w:trHeight w:val="300"/>
        </w:trPr>
        <w:tc>
          <w:tcPr>
            <w:tcW w:w="7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ED62F0" w14:textId="77777777" w:rsidR="00B163F6" w:rsidRPr="00687DE8" w:rsidRDefault="00B163F6" w:rsidP="00B163F6">
            <w:pPr>
              <w:spacing w:after="0" w:line="240" w:lineRule="auto"/>
              <w:rPr>
                <w:szCs w:val="24"/>
              </w:rPr>
            </w:pPr>
            <w:r w:rsidRPr="00687DE8">
              <w:rPr>
                <w:szCs w:val="24"/>
              </w:rPr>
              <w:t>Endokavitaalne uuring keskmise väljaga MRT-l</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F94DF5" w14:textId="77777777" w:rsidR="00B163F6" w:rsidRPr="00687DE8" w:rsidRDefault="00B163F6" w:rsidP="00B163F6">
            <w:pPr>
              <w:spacing w:after="0" w:line="240" w:lineRule="auto"/>
              <w:jc w:val="center"/>
              <w:rPr>
                <w:szCs w:val="24"/>
              </w:rPr>
            </w:pPr>
            <w:r w:rsidRPr="00687DE8">
              <w:rPr>
                <w:szCs w:val="24"/>
              </w:rPr>
              <w:t>79227</w:t>
            </w:r>
          </w:p>
        </w:tc>
        <w:tc>
          <w:tcPr>
            <w:tcW w:w="111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A04FC2" w14:textId="18661D39" w:rsidR="2E1E8EE1" w:rsidRPr="00687DE8" w:rsidRDefault="00AD703E">
            <w:pPr>
              <w:spacing w:after="0"/>
              <w:jc w:val="center"/>
              <w:rPr>
                <w:color w:val="000000" w:themeColor="text1"/>
                <w:szCs w:val="24"/>
              </w:rPr>
            </w:pPr>
            <w:r>
              <w:rPr>
                <w:color w:val="000000"/>
              </w:rPr>
              <w:t>403,30</w:t>
            </w:r>
          </w:p>
        </w:tc>
      </w:tr>
      <w:tr w:rsidR="00B163F6" w:rsidRPr="00687DE8" w14:paraId="5653F000" w14:textId="77777777" w:rsidTr="00B93704">
        <w:trPr>
          <w:divId w:val="1316184749"/>
          <w:trHeight w:val="300"/>
        </w:trPr>
        <w:tc>
          <w:tcPr>
            <w:tcW w:w="7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C53C10" w14:textId="77777777" w:rsidR="00B163F6" w:rsidRPr="00687DE8" w:rsidRDefault="00B163F6" w:rsidP="00B163F6">
            <w:pPr>
              <w:spacing w:after="0" w:line="240" w:lineRule="auto"/>
              <w:rPr>
                <w:szCs w:val="24"/>
              </w:rPr>
            </w:pPr>
            <w:r w:rsidRPr="00687DE8">
              <w:rPr>
                <w:szCs w:val="24"/>
              </w:rPr>
              <w:t>Aju funktsionaalne uuring keskmise väljaga MRT-l</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9E153E" w14:textId="77777777" w:rsidR="00B163F6" w:rsidRPr="00687DE8" w:rsidRDefault="00B163F6" w:rsidP="00B163F6">
            <w:pPr>
              <w:spacing w:after="0" w:line="240" w:lineRule="auto"/>
              <w:jc w:val="center"/>
              <w:rPr>
                <w:szCs w:val="24"/>
              </w:rPr>
            </w:pPr>
            <w:r w:rsidRPr="00687DE8">
              <w:rPr>
                <w:szCs w:val="24"/>
              </w:rPr>
              <w:t>79228</w:t>
            </w:r>
          </w:p>
        </w:tc>
        <w:tc>
          <w:tcPr>
            <w:tcW w:w="111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9A43EA" w14:textId="207BC696" w:rsidR="2E1E8EE1" w:rsidRPr="00687DE8" w:rsidRDefault="00AD703E">
            <w:pPr>
              <w:spacing w:after="0"/>
              <w:jc w:val="center"/>
              <w:rPr>
                <w:color w:val="000000" w:themeColor="text1"/>
                <w:szCs w:val="24"/>
              </w:rPr>
            </w:pPr>
            <w:r>
              <w:rPr>
                <w:color w:val="000000"/>
              </w:rPr>
              <w:t>343,19</w:t>
            </w:r>
          </w:p>
        </w:tc>
      </w:tr>
      <w:tr w:rsidR="00B163F6" w:rsidRPr="00687DE8" w14:paraId="6EDFCF31" w14:textId="77777777" w:rsidTr="00B93704">
        <w:trPr>
          <w:divId w:val="1316184749"/>
          <w:trHeight w:val="300"/>
        </w:trPr>
        <w:tc>
          <w:tcPr>
            <w:tcW w:w="7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2B07D0" w14:textId="77777777" w:rsidR="00B163F6" w:rsidRPr="00687DE8" w:rsidRDefault="00B163F6" w:rsidP="00B163F6">
            <w:pPr>
              <w:spacing w:after="0" w:line="240" w:lineRule="auto"/>
              <w:rPr>
                <w:szCs w:val="24"/>
              </w:rPr>
            </w:pPr>
            <w:r w:rsidRPr="00687DE8">
              <w:rPr>
                <w:szCs w:val="24"/>
              </w:rPr>
              <w:t>Loote uuring keskmise väljaga MRT-l</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D7B245" w14:textId="77777777" w:rsidR="00B163F6" w:rsidRPr="00687DE8" w:rsidRDefault="00B163F6" w:rsidP="00B163F6">
            <w:pPr>
              <w:spacing w:after="0" w:line="240" w:lineRule="auto"/>
              <w:jc w:val="center"/>
              <w:rPr>
                <w:szCs w:val="24"/>
              </w:rPr>
            </w:pPr>
            <w:r w:rsidRPr="00687DE8">
              <w:rPr>
                <w:szCs w:val="24"/>
              </w:rPr>
              <w:t>79229</w:t>
            </w:r>
          </w:p>
        </w:tc>
        <w:tc>
          <w:tcPr>
            <w:tcW w:w="111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0A1407" w14:textId="477E28C8" w:rsidR="2E1E8EE1" w:rsidRPr="00687DE8" w:rsidRDefault="00AD703E">
            <w:pPr>
              <w:spacing w:after="0"/>
              <w:jc w:val="center"/>
              <w:rPr>
                <w:color w:val="000000" w:themeColor="text1"/>
                <w:szCs w:val="24"/>
              </w:rPr>
            </w:pPr>
            <w:r>
              <w:rPr>
                <w:color w:val="000000"/>
              </w:rPr>
              <w:t>183,54</w:t>
            </w:r>
          </w:p>
        </w:tc>
      </w:tr>
    </w:tbl>
    <w:p w14:paraId="1B1C8B28" w14:textId="77777777" w:rsidR="00976487" w:rsidRPr="00687DE8" w:rsidRDefault="00976487" w:rsidP="00976487">
      <w:pPr>
        <w:spacing w:after="0" w:line="240" w:lineRule="auto"/>
        <w:divId w:val="1316184749"/>
        <w:rPr>
          <w:szCs w:val="24"/>
        </w:rPr>
      </w:pPr>
    </w:p>
    <w:p w14:paraId="311336DA" w14:textId="77777777" w:rsidR="00976487" w:rsidRPr="00687DE8" w:rsidRDefault="00976487" w:rsidP="00976487">
      <w:pPr>
        <w:spacing w:after="0" w:line="240" w:lineRule="auto"/>
        <w:divId w:val="1316184749"/>
        <w:rPr>
          <w:szCs w:val="24"/>
        </w:rPr>
      </w:pPr>
      <w:r w:rsidRPr="00687DE8">
        <w:rPr>
          <w:szCs w:val="24"/>
        </w:rPr>
        <w:t>(3) Tugeva väljatugevusega (3 ja enam teslat) MRT põhiuuringute piirhinnad on järgmised:</w:t>
      </w:r>
    </w:p>
    <w:p w14:paraId="492C2150" w14:textId="77777777" w:rsidR="00976487" w:rsidRPr="00687DE8" w:rsidRDefault="00976487" w:rsidP="00976487">
      <w:pPr>
        <w:spacing w:after="0" w:line="240" w:lineRule="auto"/>
        <w:divId w:val="1316184749"/>
        <w:rPr>
          <w:szCs w:val="24"/>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3"/>
        <w:gridCol w:w="1060"/>
        <w:gridCol w:w="1350"/>
      </w:tblGrid>
      <w:tr w:rsidR="00976487" w:rsidRPr="00687DE8" w14:paraId="44A22E8F" w14:textId="77777777" w:rsidTr="00367838">
        <w:trPr>
          <w:divId w:val="1316184749"/>
          <w:tblHeader/>
        </w:trPr>
        <w:tc>
          <w:tcPr>
            <w:tcW w:w="68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06C4EB" w14:textId="77777777" w:rsidR="00976487" w:rsidRPr="00687DE8" w:rsidRDefault="00976487">
            <w:pPr>
              <w:spacing w:after="0" w:line="240" w:lineRule="auto"/>
              <w:jc w:val="center"/>
              <w:rPr>
                <w:szCs w:val="24"/>
              </w:rPr>
            </w:pPr>
            <w:r w:rsidRPr="00687DE8">
              <w:rPr>
                <w:b/>
                <w:szCs w:val="24"/>
              </w:rPr>
              <w:t>Tervishoiuteenuse nimetus</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BD3074" w14:textId="77777777" w:rsidR="00976487" w:rsidRPr="00687DE8" w:rsidRDefault="00976487">
            <w:pPr>
              <w:spacing w:after="0" w:line="240" w:lineRule="auto"/>
              <w:jc w:val="center"/>
              <w:rPr>
                <w:szCs w:val="24"/>
              </w:rPr>
            </w:pPr>
            <w:r w:rsidRPr="00687DE8">
              <w:rPr>
                <w:b/>
                <w:szCs w:val="24"/>
              </w:rPr>
              <w:t>Kood</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F8BE1D"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BD2049" w:rsidRPr="00687DE8" w14:paraId="4524BFCF" w14:textId="77777777" w:rsidTr="00367838">
        <w:trPr>
          <w:divId w:val="1316184749"/>
          <w:trHeight w:val="300"/>
        </w:trPr>
        <w:tc>
          <w:tcPr>
            <w:tcW w:w="68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E0FD7E" w14:textId="77777777" w:rsidR="00BD2049" w:rsidRPr="00687DE8" w:rsidRDefault="00BD2049" w:rsidP="00BD2049">
            <w:pPr>
              <w:spacing w:after="0" w:line="240" w:lineRule="auto"/>
              <w:rPr>
                <w:szCs w:val="24"/>
              </w:rPr>
            </w:pPr>
            <w:r w:rsidRPr="00687DE8">
              <w:rPr>
                <w:szCs w:val="24"/>
              </w:rPr>
              <w:t>Ühe mähisega uuring (kuni 3 tööd) tugeva väljaga MRT-l</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698092" w14:textId="77777777" w:rsidR="00BD2049" w:rsidRPr="00687DE8" w:rsidRDefault="00BD2049" w:rsidP="00BD2049">
            <w:pPr>
              <w:spacing w:after="0" w:line="240" w:lineRule="auto"/>
              <w:jc w:val="center"/>
              <w:rPr>
                <w:szCs w:val="24"/>
              </w:rPr>
            </w:pPr>
            <w:r w:rsidRPr="00687DE8">
              <w:rPr>
                <w:szCs w:val="24"/>
              </w:rPr>
              <w:t>79250</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DF3FCF" w14:textId="4DEF54A6" w:rsidR="2E1E8EE1" w:rsidRPr="00687DE8" w:rsidRDefault="00AD703E">
            <w:pPr>
              <w:spacing w:after="0"/>
              <w:jc w:val="center"/>
              <w:rPr>
                <w:color w:val="000000" w:themeColor="text1"/>
                <w:szCs w:val="24"/>
              </w:rPr>
            </w:pPr>
            <w:r>
              <w:rPr>
                <w:color w:val="000000"/>
              </w:rPr>
              <w:t>134,87</w:t>
            </w:r>
          </w:p>
        </w:tc>
      </w:tr>
      <w:tr w:rsidR="00BD2049" w:rsidRPr="00687DE8" w14:paraId="401878A7" w14:textId="77777777" w:rsidTr="00367838">
        <w:trPr>
          <w:divId w:val="1316184749"/>
          <w:trHeight w:val="300"/>
        </w:trPr>
        <w:tc>
          <w:tcPr>
            <w:tcW w:w="68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DF4902" w14:textId="77777777" w:rsidR="00BD2049" w:rsidRPr="00687DE8" w:rsidRDefault="00BD2049" w:rsidP="00BD2049">
            <w:pPr>
              <w:spacing w:after="0" w:line="240" w:lineRule="auto"/>
              <w:rPr>
                <w:szCs w:val="24"/>
              </w:rPr>
            </w:pPr>
            <w:r w:rsidRPr="00687DE8">
              <w:rPr>
                <w:szCs w:val="24"/>
              </w:rPr>
              <w:t>Ühe mähisega uuring (4–5 tööd) tugeva väljaga MRT-l</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009F46" w14:textId="77777777" w:rsidR="00BD2049" w:rsidRPr="00687DE8" w:rsidRDefault="00BD2049" w:rsidP="00BD2049">
            <w:pPr>
              <w:spacing w:after="0" w:line="240" w:lineRule="auto"/>
              <w:jc w:val="center"/>
              <w:rPr>
                <w:szCs w:val="24"/>
              </w:rPr>
            </w:pPr>
            <w:r w:rsidRPr="00687DE8">
              <w:rPr>
                <w:szCs w:val="24"/>
              </w:rPr>
              <w:t>79251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33F5E0" w14:textId="718F55E5" w:rsidR="2E1E8EE1" w:rsidRPr="00687DE8" w:rsidRDefault="00AD703E">
            <w:pPr>
              <w:spacing w:after="0"/>
              <w:jc w:val="center"/>
              <w:rPr>
                <w:color w:val="000000" w:themeColor="text1"/>
                <w:szCs w:val="24"/>
              </w:rPr>
            </w:pPr>
            <w:r>
              <w:rPr>
                <w:color w:val="000000"/>
              </w:rPr>
              <w:t>221,78</w:t>
            </w:r>
          </w:p>
        </w:tc>
      </w:tr>
      <w:tr w:rsidR="00BD2049" w:rsidRPr="00687DE8" w14:paraId="66538013" w14:textId="77777777" w:rsidTr="00367838">
        <w:trPr>
          <w:divId w:val="1316184749"/>
          <w:trHeight w:val="300"/>
        </w:trPr>
        <w:tc>
          <w:tcPr>
            <w:tcW w:w="68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D97C2F" w14:textId="77777777" w:rsidR="00BD2049" w:rsidRPr="00687DE8" w:rsidRDefault="00BD2049" w:rsidP="00BD2049">
            <w:pPr>
              <w:spacing w:after="0" w:line="240" w:lineRule="auto"/>
              <w:rPr>
                <w:szCs w:val="24"/>
              </w:rPr>
            </w:pPr>
            <w:r w:rsidRPr="00687DE8">
              <w:rPr>
                <w:szCs w:val="24"/>
              </w:rPr>
              <w:t>Ühe mähisega uuring (6–7 tööd) tugeva väljaga MRT-l</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7DBE91" w14:textId="77777777" w:rsidR="00BD2049" w:rsidRPr="00687DE8" w:rsidRDefault="00BD2049" w:rsidP="00BD2049">
            <w:pPr>
              <w:spacing w:after="0" w:line="240" w:lineRule="auto"/>
              <w:jc w:val="center"/>
              <w:rPr>
                <w:szCs w:val="24"/>
              </w:rPr>
            </w:pPr>
            <w:r w:rsidRPr="00687DE8">
              <w:rPr>
                <w:szCs w:val="24"/>
              </w:rPr>
              <w:t>79252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961701" w14:textId="22DF1A1E" w:rsidR="2E1E8EE1" w:rsidRPr="00687DE8" w:rsidRDefault="00AD703E">
            <w:pPr>
              <w:spacing w:after="0"/>
              <w:jc w:val="center"/>
              <w:rPr>
                <w:color w:val="000000" w:themeColor="text1"/>
                <w:szCs w:val="24"/>
              </w:rPr>
            </w:pPr>
            <w:r>
              <w:rPr>
                <w:color w:val="000000"/>
              </w:rPr>
              <w:t>262,28</w:t>
            </w:r>
          </w:p>
        </w:tc>
      </w:tr>
      <w:tr w:rsidR="00BD2049" w:rsidRPr="00687DE8" w14:paraId="61F7474D" w14:textId="77777777" w:rsidTr="00367838">
        <w:trPr>
          <w:divId w:val="1316184749"/>
          <w:trHeight w:val="300"/>
        </w:trPr>
        <w:tc>
          <w:tcPr>
            <w:tcW w:w="68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6537EA" w14:textId="77777777" w:rsidR="00BD2049" w:rsidRPr="00687DE8" w:rsidRDefault="00BD2049" w:rsidP="00BD2049">
            <w:pPr>
              <w:spacing w:after="0" w:line="240" w:lineRule="auto"/>
              <w:rPr>
                <w:szCs w:val="24"/>
              </w:rPr>
            </w:pPr>
            <w:r w:rsidRPr="00687DE8">
              <w:rPr>
                <w:szCs w:val="24"/>
              </w:rPr>
              <w:t>Ühe mähisega uuring (8 ja enam tööd) tugeva väljaga MRT-l</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1ECBC6" w14:textId="77777777" w:rsidR="00BD2049" w:rsidRPr="00687DE8" w:rsidRDefault="00BD2049" w:rsidP="00BD2049">
            <w:pPr>
              <w:spacing w:after="0" w:line="240" w:lineRule="auto"/>
              <w:jc w:val="center"/>
              <w:rPr>
                <w:szCs w:val="24"/>
              </w:rPr>
            </w:pPr>
            <w:r w:rsidRPr="00687DE8">
              <w:rPr>
                <w:szCs w:val="24"/>
              </w:rPr>
              <w:t>79253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883F8D" w14:textId="63F9C856" w:rsidR="2E1E8EE1" w:rsidRPr="00687DE8" w:rsidRDefault="00AD703E">
            <w:pPr>
              <w:spacing w:after="0"/>
              <w:jc w:val="center"/>
              <w:rPr>
                <w:color w:val="000000" w:themeColor="text1"/>
                <w:szCs w:val="24"/>
              </w:rPr>
            </w:pPr>
            <w:r>
              <w:rPr>
                <w:color w:val="000000"/>
              </w:rPr>
              <w:t>341,72</w:t>
            </w:r>
          </w:p>
        </w:tc>
      </w:tr>
      <w:tr w:rsidR="00BD2049" w:rsidRPr="00687DE8" w14:paraId="411F94B0" w14:textId="77777777" w:rsidTr="00367838">
        <w:trPr>
          <w:divId w:val="1316184749"/>
          <w:trHeight w:val="300"/>
        </w:trPr>
        <w:tc>
          <w:tcPr>
            <w:tcW w:w="68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773A46" w14:textId="77777777" w:rsidR="00BD2049" w:rsidRPr="00687DE8" w:rsidRDefault="00BD2049" w:rsidP="00BD2049">
            <w:pPr>
              <w:spacing w:after="0" w:line="240" w:lineRule="auto"/>
              <w:rPr>
                <w:szCs w:val="24"/>
              </w:rPr>
            </w:pPr>
            <w:r w:rsidRPr="00687DE8">
              <w:rPr>
                <w:szCs w:val="24"/>
              </w:rPr>
              <w:t>Magnet-angiograafia ühest piirkonnast tugeva väljaga MRT-l</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037F74" w14:textId="77777777" w:rsidR="00BD2049" w:rsidRPr="00687DE8" w:rsidRDefault="00BD2049" w:rsidP="00BD2049">
            <w:pPr>
              <w:spacing w:after="0" w:line="240" w:lineRule="auto"/>
              <w:jc w:val="center"/>
              <w:rPr>
                <w:szCs w:val="24"/>
              </w:rPr>
            </w:pPr>
            <w:r w:rsidRPr="00687DE8">
              <w:rPr>
                <w:szCs w:val="24"/>
              </w:rPr>
              <w:t>79274</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B86BB8" w14:textId="00878A7A" w:rsidR="2E1E8EE1" w:rsidRPr="00687DE8" w:rsidRDefault="00AD703E">
            <w:pPr>
              <w:spacing w:after="0"/>
              <w:jc w:val="center"/>
              <w:rPr>
                <w:color w:val="000000" w:themeColor="text1"/>
                <w:szCs w:val="24"/>
              </w:rPr>
            </w:pPr>
            <w:r>
              <w:rPr>
                <w:color w:val="000000"/>
              </w:rPr>
              <w:t>105,64</w:t>
            </w:r>
          </w:p>
        </w:tc>
      </w:tr>
      <w:tr w:rsidR="00BD2049" w:rsidRPr="00687DE8" w14:paraId="1D8A6D94" w14:textId="77777777" w:rsidTr="00EB7A71">
        <w:trPr>
          <w:divId w:val="1316184749"/>
          <w:trHeight w:val="300"/>
        </w:trPr>
        <w:tc>
          <w:tcPr>
            <w:tcW w:w="68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97EDF7" w14:textId="77777777" w:rsidR="00BD2049" w:rsidRPr="00687DE8" w:rsidRDefault="00BD2049" w:rsidP="00BD2049">
            <w:pPr>
              <w:spacing w:after="0" w:line="240" w:lineRule="auto"/>
              <w:rPr>
                <w:szCs w:val="24"/>
              </w:rPr>
            </w:pPr>
            <w:r w:rsidRPr="00687DE8">
              <w:rPr>
                <w:szCs w:val="24"/>
              </w:rPr>
              <w:t>Endokavitaalne uuring tugeva väljaga MRT-l</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910841" w14:textId="77777777" w:rsidR="00BD2049" w:rsidRPr="00687DE8" w:rsidRDefault="00BD2049" w:rsidP="00BD2049">
            <w:pPr>
              <w:spacing w:after="0" w:line="240" w:lineRule="auto"/>
              <w:jc w:val="center"/>
              <w:rPr>
                <w:szCs w:val="24"/>
              </w:rPr>
            </w:pPr>
            <w:r w:rsidRPr="00687DE8">
              <w:rPr>
                <w:szCs w:val="24"/>
              </w:rPr>
              <w:t>79277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E1BFEF" w14:textId="6AD807C4" w:rsidR="2E1E8EE1" w:rsidRPr="00687DE8" w:rsidRDefault="00AD703E">
            <w:pPr>
              <w:spacing w:after="0"/>
              <w:jc w:val="center"/>
              <w:rPr>
                <w:color w:val="000000" w:themeColor="text1"/>
                <w:szCs w:val="24"/>
              </w:rPr>
            </w:pPr>
            <w:r>
              <w:rPr>
                <w:color w:val="000000"/>
              </w:rPr>
              <w:t>464,75</w:t>
            </w:r>
          </w:p>
        </w:tc>
      </w:tr>
      <w:tr w:rsidR="00BD2049" w:rsidRPr="00687DE8" w14:paraId="69B323DC" w14:textId="77777777" w:rsidTr="00367838">
        <w:trPr>
          <w:divId w:val="1316184749"/>
          <w:trHeight w:val="300"/>
        </w:trPr>
        <w:tc>
          <w:tcPr>
            <w:tcW w:w="68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9A7632" w14:textId="77777777" w:rsidR="00BD2049" w:rsidRPr="00687DE8" w:rsidRDefault="00BD2049" w:rsidP="00BD2049">
            <w:pPr>
              <w:spacing w:after="0" w:line="240" w:lineRule="auto"/>
              <w:rPr>
                <w:szCs w:val="24"/>
              </w:rPr>
            </w:pPr>
            <w:r w:rsidRPr="00687DE8">
              <w:rPr>
                <w:szCs w:val="24"/>
              </w:rPr>
              <w:t>Aju funktsionaalne uuring tugeva väljaga MRT-l</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B5352D" w14:textId="77777777" w:rsidR="00BD2049" w:rsidRPr="00687DE8" w:rsidRDefault="00BD2049" w:rsidP="00BD2049">
            <w:pPr>
              <w:spacing w:after="0" w:line="240" w:lineRule="auto"/>
              <w:jc w:val="center"/>
              <w:rPr>
                <w:szCs w:val="24"/>
              </w:rPr>
            </w:pPr>
            <w:r w:rsidRPr="00687DE8">
              <w:rPr>
                <w:szCs w:val="24"/>
              </w:rPr>
              <w:t>79278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2CEC09" w14:textId="7CAED2CD" w:rsidR="2E1E8EE1" w:rsidRPr="00687DE8" w:rsidRDefault="00AD703E">
            <w:pPr>
              <w:spacing w:after="0"/>
              <w:jc w:val="center"/>
              <w:rPr>
                <w:color w:val="000000" w:themeColor="text1"/>
                <w:szCs w:val="24"/>
              </w:rPr>
            </w:pPr>
            <w:r>
              <w:rPr>
                <w:color w:val="000000"/>
              </w:rPr>
              <w:t>332,67</w:t>
            </w:r>
          </w:p>
        </w:tc>
      </w:tr>
    </w:tbl>
    <w:p w14:paraId="18739F8B" w14:textId="77777777" w:rsidR="00976487" w:rsidRPr="00687DE8" w:rsidRDefault="00976487" w:rsidP="00976487">
      <w:pPr>
        <w:spacing w:after="0" w:line="240" w:lineRule="auto"/>
        <w:jc w:val="both"/>
        <w:divId w:val="1316184749"/>
        <w:rPr>
          <w:szCs w:val="24"/>
        </w:rPr>
      </w:pPr>
    </w:p>
    <w:p w14:paraId="26BC4B33" w14:textId="77777777" w:rsidR="00976487" w:rsidRPr="00687DE8" w:rsidRDefault="00976487" w:rsidP="00976487">
      <w:pPr>
        <w:spacing w:after="0" w:line="240" w:lineRule="auto"/>
        <w:jc w:val="both"/>
        <w:divId w:val="1316184749"/>
        <w:rPr>
          <w:szCs w:val="24"/>
        </w:rPr>
      </w:pPr>
      <w:r w:rsidRPr="00687DE8">
        <w:rPr>
          <w:szCs w:val="24"/>
        </w:rPr>
        <w:t xml:space="preserve">(4) </w:t>
      </w:r>
      <w:r w:rsidR="0009363B" w:rsidRPr="00687DE8">
        <w:rPr>
          <w:szCs w:val="24"/>
        </w:rPr>
        <w:t>L</w:t>
      </w:r>
      <w:r w:rsidRPr="00687DE8">
        <w:rPr>
          <w:szCs w:val="24"/>
        </w:rPr>
        <w:t>õigetes 1, 2 ja 3 sätestatud tervishoiuteenuste piirhindade rakendamisel lähtutakse alljärgnevast:</w:t>
      </w:r>
    </w:p>
    <w:p w14:paraId="209DA3BE" w14:textId="77777777" w:rsidR="00976487" w:rsidRPr="00687DE8" w:rsidRDefault="00976487" w:rsidP="00976487">
      <w:pPr>
        <w:spacing w:after="0" w:line="240" w:lineRule="auto"/>
        <w:jc w:val="both"/>
        <w:divId w:val="1316184749"/>
        <w:rPr>
          <w:szCs w:val="24"/>
        </w:rPr>
      </w:pPr>
      <w:r w:rsidRPr="00687DE8">
        <w:rPr>
          <w:szCs w:val="24"/>
        </w:rPr>
        <w:t xml:space="preserve">1) tervishoiuteenuste piirhinnad sisaldavad uuringu tegemist, digitaalset töötlemist </w:t>
      </w:r>
      <w:r w:rsidR="00B556DD" w:rsidRPr="00687DE8">
        <w:rPr>
          <w:szCs w:val="24"/>
        </w:rPr>
        <w:t>ja</w:t>
      </w:r>
      <w:r w:rsidRPr="00687DE8">
        <w:rPr>
          <w:szCs w:val="24"/>
        </w:rPr>
        <w:t xml:space="preserve"> tulemuse kirjeldamist (sh tuues esile uuringu tegemiseks kasutatud mähiste arvu) tervishoiuteenuse osutamist tõendavas dokumendis;</w:t>
      </w:r>
    </w:p>
    <w:p w14:paraId="5A9F7D0C" w14:textId="77777777" w:rsidR="00976487" w:rsidRPr="00687DE8" w:rsidRDefault="00976487" w:rsidP="00976487">
      <w:pPr>
        <w:spacing w:after="0" w:line="240" w:lineRule="auto"/>
        <w:jc w:val="both"/>
        <w:divId w:val="1316184749"/>
        <w:rPr>
          <w:szCs w:val="24"/>
        </w:rPr>
      </w:pPr>
      <w:r w:rsidRPr="00687DE8">
        <w:rPr>
          <w:szCs w:val="24"/>
        </w:rPr>
        <w:t>2) koodidega 79227 ja 79277 tähistatud tervishoiuteenuste piirhinnad sisaldavad ühekordselt kasutatava endokavitaalse mähise ja pinnamähise maksumust;</w:t>
      </w:r>
    </w:p>
    <w:p w14:paraId="338D2B13" w14:textId="77777777" w:rsidR="00976487" w:rsidRPr="00687DE8" w:rsidRDefault="00976487" w:rsidP="00976487">
      <w:pPr>
        <w:spacing w:after="0" w:line="240" w:lineRule="auto"/>
        <w:jc w:val="both"/>
        <w:divId w:val="1316184749"/>
        <w:rPr>
          <w:szCs w:val="24"/>
        </w:rPr>
      </w:pPr>
      <w:r w:rsidRPr="00687DE8">
        <w:rPr>
          <w:szCs w:val="24"/>
        </w:rPr>
        <w:t>3) üks töö on üks sekvents ühes suunas. Ühe piirkonna sama sekventsi samas suunas tehtud pildiseeriaid loetakse üheks tööks. Eritöötlusi tööks ei loeta;</w:t>
      </w:r>
    </w:p>
    <w:p w14:paraId="49BA3917" w14:textId="1CFF6C15" w:rsidR="00976487" w:rsidRPr="00687DE8" w:rsidRDefault="00976487" w:rsidP="00976487">
      <w:pPr>
        <w:spacing w:after="0" w:line="240" w:lineRule="auto"/>
        <w:jc w:val="both"/>
        <w:divId w:val="1316184749"/>
        <w:rPr>
          <w:szCs w:val="24"/>
        </w:rPr>
      </w:pPr>
      <w:r w:rsidRPr="00687DE8">
        <w:rPr>
          <w:szCs w:val="24"/>
        </w:rPr>
        <w:t xml:space="preserve">4) </w:t>
      </w:r>
      <w:r w:rsidR="005023FD" w:rsidRPr="00687DE8">
        <w:rPr>
          <w:szCs w:val="24"/>
        </w:rPr>
        <w:t>Tervisekassa</w:t>
      </w:r>
      <w:r w:rsidRPr="00687DE8">
        <w:rPr>
          <w:szCs w:val="24"/>
        </w:rPr>
        <w:t xml:space="preserve"> võtab koodidega 79224 ja 79274 tähistatud tervishoiuteenuste eest tasu maksmise kohustuse üle igast piirkonnast tehtud MRT põhiuuringu eest (iga piirkonna puhul üks kord). Piirkonnaks loetakse ajuarterid, ajuveenid, kaelaarterid, kaelaveenid, kopsuarterid, rinnaaort, kõhuaort, mesenteeriumi veresooned, neeruarterid, alajäseme reie- ja põlvepiirkonna arterid, alajäseme sääreosa arterid, alajäseme kanna- ja jalalaba arterid, alajäsemete veenid, ühe ülajäseme arterid, ühe ülajäseme veenid, seljaaju veresooned;</w:t>
      </w:r>
    </w:p>
    <w:p w14:paraId="33007B4E" w14:textId="67CF7DCA" w:rsidR="00D07256" w:rsidRPr="00687DE8" w:rsidRDefault="00CB1479" w:rsidP="00976487">
      <w:pPr>
        <w:spacing w:after="0" w:line="240" w:lineRule="auto"/>
        <w:jc w:val="both"/>
        <w:divId w:val="1316184749"/>
        <w:rPr>
          <w:szCs w:val="24"/>
        </w:rPr>
      </w:pPr>
      <w:r w:rsidRPr="00687DE8">
        <w:rPr>
          <w:szCs w:val="24"/>
        </w:rPr>
        <w:t xml:space="preserve">5) Tervisekassa võtab koodiga 79224 tähistatud tervishoiuteenuse eest tasu maksmise kohustuse üle </w:t>
      </w:r>
      <w:r w:rsidR="001540CE" w:rsidRPr="00687DE8">
        <w:rPr>
          <w:szCs w:val="24"/>
        </w:rPr>
        <w:t>nõrga väljatugevusega (kuni üks tesla)</w:t>
      </w:r>
      <w:r w:rsidRPr="00687DE8">
        <w:rPr>
          <w:szCs w:val="24"/>
        </w:rPr>
        <w:t xml:space="preserve"> MRT</w:t>
      </w:r>
      <w:r w:rsidR="00621F34" w:rsidRPr="00687DE8">
        <w:rPr>
          <w:szCs w:val="24"/>
        </w:rPr>
        <w:t>-uuringu</w:t>
      </w:r>
      <w:r w:rsidRPr="00687DE8">
        <w:rPr>
          <w:szCs w:val="24"/>
        </w:rPr>
        <w:t xml:space="preserve"> eest juhul, kui kasutatakse uusima põlvkonna </w:t>
      </w:r>
      <w:r w:rsidR="00621F34" w:rsidRPr="00687DE8">
        <w:rPr>
          <w:szCs w:val="24"/>
        </w:rPr>
        <w:t>MRT-</w:t>
      </w:r>
      <w:r w:rsidRPr="00687DE8">
        <w:rPr>
          <w:szCs w:val="24"/>
        </w:rPr>
        <w:t>seadet koos kvaliteetseid uuringukujutisi võimaldava tarkvaralise lahendusega;</w:t>
      </w:r>
    </w:p>
    <w:p w14:paraId="082D023F" w14:textId="1E198E12" w:rsidR="00976487" w:rsidRPr="00687DE8" w:rsidRDefault="00CB1479" w:rsidP="00976487">
      <w:pPr>
        <w:spacing w:after="0" w:line="240" w:lineRule="auto"/>
        <w:jc w:val="both"/>
        <w:divId w:val="1316184749"/>
        <w:rPr>
          <w:szCs w:val="24"/>
        </w:rPr>
      </w:pPr>
      <w:r w:rsidRPr="00687DE8">
        <w:rPr>
          <w:szCs w:val="24"/>
        </w:rPr>
        <w:t>6</w:t>
      </w:r>
      <w:r w:rsidR="00976487" w:rsidRPr="00687DE8">
        <w:rPr>
          <w:szCs w:val="24"/>
        </w:rPr>
        <w:t>) magnetresonantstomograafi välja tugevuse klassi määramisel lähtutakse tootja antud seadme tehnilisest spetsifikatsioonist</w:t>
      </w:r>
      <w:r w:rsidR="003C6B73" w:rsidRPr="00687DE8">
        <w:rPr>
          <w:szCs w:val="24"/>
        </w:rPr>
        <w:t>;</w:t>
      </w:r>
    </w:p>
    <w:p w14:paraId="41BBEB07" w14:textId="556BFA4A" w:rsidR="00E430FD" w:rsidRPr="00687DE8" w:rsidRDefault="00CB1479" w:rsidP="00976487">
      <w:pPr>
        <w:spacing w:after="0" w:line="240" w:lineRule="auto"/>
        <w:jc w:val="both"/>
        <w:divId w:val="1316184749"/>
        <w:rPr>
          <w:szCs w:val="24"/>
        </w:rPr>
      </w:pPr>
      <w:r w:rsidRPr="00687DE8">
        <w:rPr>
          <w:szCs w:val="24"/>
        </w:rPr>
        <w:t>7</w:t>
      </w:r>
      <w:r w:rsidR="003C6B73" w:rsidRPr="00687DE8">
        <w:rPr>
          <w:szCs w:val="24"/>
        </w:rPr>
        <w:t>) tagatud on piltide arhiveerimi</w:t>
      </w:r>
      <w:r w:rsidR="00640630" w:rsidRPr="00687DE8">
        <w:rPr>
          <w:szCs w:val="24"/>
        </w:rPr>
        <w:t>n</w:t>
      </w:r>
      <w:r w:rsidR="003C6B73" w:rsidRPr="00687DE8">
        <w:rPr>
          <w:szCs w:val="24"/>
        </w:rPr>
        <w:t>e</w:t>
      </w:r>
      <w:r w:rsidR="00C6051C" w:rsidRPr="00687DE8">
        <w:rPr>
          <w:szCs w:val="24"/>
        </w:rPr>
        <w:t xml:space="preserve"> </w:t>
      </w:r>
      <w:r w:rsidR="003C6B73" w:rsidRPr="00687DE8">
        <w:rPr>
          <w:szCs w:val="24"/>
        </w:rPr>
        <w:t>Sihtasutuses Eesti Tervishoiu Pildipank.</w:t>
      </w:r>
    </w:p>
    <w:p w14:paraId="61343199" w14:textId="77777777" w:rsidR="00976487" w:rsidRPr="00687DE8" w:rsidRDefault="00976487" w:rsidP="00976487">
      <w:pPr>
        <w:spacing w:after="0" w:line="240" w:lineRule="auto"/>
        <w:jc w:val="both"/>
        <w:divId w:val="1316184749"/>
        <w:rPr>
          <w:szCs w:val="24"/>
        </w:rPr>
      </w:pPr>
    </w:p>
    <w:p w14:paraId="2A5FB46B" w14:textId="77777777" w:rsidR="00976487" w:rsidRPr="00687DE8" w:rsidRDefault="00976487" w:rsidP="00976487">
      <w:pPr>
        <w:spacing w:after="0" w:line="240" w:lineRule="auto"/>
        <w:jc w:val="both"/>
        <w:divId w:val="1316184749"/>
        <w:rPr>
          <w:szCs w:val="24"/>
        </w:rPr>
      </w:pPr>
      <w:r w:rsidRPr="00687DE8">
        <w:rPr>
          <w:szCs w:val="24"/>
        </w:rPr>
        <w:t>(5) MRT lisauuringute piirhinnad on järgmised:</w:t>
      </w:r>
    </w:p>
    <w:p w14:paraId="34992DAF" w14:textId="77777777" w:rsidR="00976487" w:rsidRPr="00687DE8" w:rsidRDefault="00976487" w:rsidP="00976487">
      <w:pPr>
        <w:spacing w:after="0" w:line="240" w:lineRule="auto"/>
        <w:jc w:val="both"/>
        <w:divId w:val="1316184749"/>
        <w:rPr>
          <w:szCs w:val="24"/>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1"/>
        <w:gridCol w:w="1132"/>
        <w:gridCol w:w="1112"/>
      </w:tblGrid>
      <w:tr w:rsidR="00976487" w:rsidRPr="00687DE8" w14:paraId="58D425E9" w14:textId="77777777" w:rsidTr="005A1377">
        <w:trPr>
          <w:divId w:val="1316184749"/>
          <w:tblHeader/>
        </w:trPr>
        <w:tc>
          <w:tcPr>
            <w:tcW w:w="7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7A70FB" w14:textId="77777777" w:rsidR="00976487" w:rsidRPr="00687DE8" w:rsidRDefault="00976487">
            <w:pPr>
              <w:spacing w:after="0" w:line="240" w:lineRule="auto"/>
              <w:jc w:val="center"/>
              <w:rPr>
                <w:szCs w:val="24"/>
              </w:rPr>
            </w:pPr>
            <w:r w:rsidRPr="00687DE8">
              <w:rPr>
                <w:b/>
                <w:szCs w:val="24"/>
              </w:rPr>
              <w:t>Tervishoiuteenuse nimetus</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4D484B" w14:textId="77777777" w:rsidR="00976487" w:rsidRPr="00687DE8" w:rsidRDefault="00976487">
            <w:pPr>
              <w:spacing w:after="0" w:line="240" w:lineRule="auto"/>
              <w:jc w:val="center"/>
              <w:rPr>
                <w:szCs w:val="24"/>
              </w:rPr>
            </w:pPr>
            <w:r w:rsidRPr="00687DE8">
              <w:rPr>
                <w:b/>
                <w:szCs w:val="24"/>
              </w:rPr>
              <w:t>Kood</w:t>
            </w:r>
          </w:p>
        </w:tc>
        <w:tc>
          <w:tcPr>
            <w:tcW w:w="11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DB2982"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A430E8" w:rsidRPr="00687DE8" w14:paraId="74923F50" w14:textId="77777777" w:rsidTr="00B93704">
        <w:trPr>
          <w:divId w:val="1316184749"/>
          <w:trHeight w:val="300"/>
        </w:trPr>
        <w:tc>
          <w:tcPr>
            <w:tcW w:w="7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BF32A3" w14:textId="77777777" w:rsidR="00A430E8" w:rsidRPr="00687DE8" w:rsidRDefault="00A430E8" w:rsidP="00A430E8">
            <w:pPr>
              <w:spacing w:after="0" w:line="240" w:lineRule="auto"/>
              <w:rPr>
                <w:szCs w:val="24"/>
              </w:rPr>
            </w:pPr>
            <w:r w:rsidRPr="00687DE8">
              <w:rPr>
                <w:szCs w:val="24"/>
              </w:rPr>
              <w:t>Kontrastainega MRT uuring</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066CA3" w14:textId="77777777" w:rsidR="00A430E8" w:rsidRPr="00687DE8" w:rsidRDefault="00A430E8" w:rsidP="00A430E8">
            <w:pPr>
              <w:spacing w:after="0" w:line="240" w:lineRule="auto"/>
              <w:jc w:val="center"/>
              <w:rPr>
                <w:szCs w:val="24"/>
              </w:rPr>
            </w:pPr>
            <w:r w:rsidRPr="00687DE8">
              <w:rPr>
                <w:szCs w:val="24"/>
              </w:rPr>
              <w:t>79330</w:t>
            </w:r>
          </w:p>
        </w:tc>
        <w:tc>
          <w:tcPr>
            <w:tcW w:w="11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12D9C4" w14:textId="59D9FDBA" w:rsidR="2E1E8EE1" w:rsidRPr="00687DE8" w:rsidRDefault="005B3119">
            <w:pPr>
              <w:spacing w:after="0"/>
              <w:jc w:val="center"/>
              <w:rPr>
                <w:color w:val="000000" w:themeColor="text1"/>
                <w:szCs w:val="24"/>
              </w:rPr>
            </w:pPr>
            <w:r>
              <w:rPr>
                <w:color w:val="000000"/>
              </w:rPr>
              <w:t>210,49</w:t>
            </w:r>
          </w:p>
        </w:tc>
      </w:tr>
      <w:tr w:rsidR="00A430E8" w:rsidRPr="00687DE8" w14:paraId="70139363" w14:textId="77777777" w:rsidTr="00B93704">
        <w:trPr>
          <w:divId w:val="1316184749"/>
          <w:trHeight w:val="300"/>
        </w:trPr>
        <w:tc>
          <w:tcPr>
            <w:tcW w:w="7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93E4E9" w14:textId="77777777" w:rsidR="00A430E8" w:rsidRPr="00687DE8" w:rsidRDefault="00A430E8" w:rsidP="00A430E8">
            <w:pPr>
              <w:spacing w:after="0" w:line="240" w:lineRule="auto"/>
              <w:rPr>
                <w:szCs w:val="24"/>
              </w:rPr>
            </w:pPr>
            <w:r w:rsidRPr="00687DE8">
              <w:rPr>
                <w:szCs w:val="24"/>
              </w:rPr>
              <w:t>Südame uuring keskmise väljaga MRT-l</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C19A6F" w14:textId="77777777" w:rsidR="00A430E8" w:rsidRPr="00687DE8" w:rsidRDefault="00A430E8" w:rsidP="00A430E8">
            <w:pPr>
              <w:spacing w:after="0" w:line="240" w:lineRule="auto"/>
              <w:jc w:val="center"/>
              <w:rPr>
                <w:szCs w:val="24"/>
              </w:rPr>
            </w:pPr>
            <w:r w:rsidRPr="00687DE8">
              <w:rPr>
                <w:szCs w:val="24"/>
              </w:rPr>
              <w:t>79333</w:t>
            </w:r>
          </w:p>
        </w:tc>
        <w:tc>
          <w:tcPr>
            <w:tcW w:w="111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0F176F" w14:textId="1AE7C122" w:rsidR="2E1E8EE1" w:rsidRPr="00687DE8" w:rsidRDefault="005B3119">
            <w:pPr>
              <w:spacing w:after="0"/>
              <w:jc w:val="center"/>
              <w:rPr>
                <w:color w:val="000000" w:themeColor="text1"/>
                <w:szCs w:val="24"/>
              </w:rPr>
            </w:pPr>
            <w:r>
              <w:rPr>
                <w:color w:val="000000"/>
              </w:rPr>
              <w:t>183,54</w:t>
            </w:r>
          </w:p>
        </w:tc>
      </w:tr>
      <w:tr w:rsidR="00A430E8" w:rsidRPr="00687DE8" w14:paraId="40DE96B2" w14:textId="77777777" w:rsidTr="00B93704">
        <w:trPr>
          <w:divId w:val="1316184749"/>
          <w:trHeight w:val="300"/>
        </w:trPr>
        <w:tc>
          <w:tcPr>
            <w:tcW w:w="7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0A3B4C" w14:textId="77777777" w:rsidR="00A430E8" w:rsidRPr="00687DE8" w:rsidRDefault="00A430E8" w:rsidP="00A430E8">
            <w:pPr>
              <w:spacing w:after="0" w:line="240" w:lineRule="auto"/>
              <w:rPr>
                <w:szCs w:val="24"/>
              </w:rPr>
            </w:pPr>
            <w:r w:rsidRPr="00687DE8">
              <w:rPr>
                <w:szCs w:val="24"/>
              </w:rPr>
              <w:t>Südame uuring tugeva väljaga MRT-l</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91A69B" w14:textId="77777777" w:rsidR="00A430E8" w:rsidRPr="00687DE8" w:rsidRDefault="00A430E8" w:rsidP="00A430E8">
            <w:pPr>
              <w:spacing w:after="0" w:line="240" w:lineRule="auto"/>
              <w:jc w:val="center"/>
              <w:rPr>
                <w:szCs w:val="24"/>
              </w:rPr>
            </w:pPr>
            <w:r w:rsidRPr="00687DE8">
              <w:rPr>
                <w:szCs w:val="24"/>
              </w:rPr>
              <w:t>79334</w:t>
            </w:r>
          </w:p>
        </w:tc>
        <w:tc>
          <w:tcPr>
            <w:tcW w:w="111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60566C" w14:textId="47E8F2CB" w:rsidR="2E1E8EE1" w:rsidRPr="00687DE8" w:rsidRDefault="005B3119">
            <w:pPr>
              <w:spacing w:after="0"/>
              <w:jc w:val="center"/>
              <w:rPr>
                <w:color w:val="000000" w:themeColor="text1"/>
                <w:szCs w:val="24"/>
              </w:rPr>
            </w:pPr>
            <w:r>
              <w:rPr>
                <w:color w:val="000000"/>
              </w:rPr>
              <w:t>224,51</w:t>
            </w:r>
          </w:p>
        </w:tc>
      </w:tr>
      <w:tr w:rsidR="00A430E8" w:rsidRPr="00687DE8" w14:paraId="7E96C36D" w14:textId="77777777" w:rsidTr="00B93704">
        <w:trPr>
          <w:divId w:val="1316184749"/>
          <w:trHeight w:val="300"/>
        </w:trPr>
        <w:tc>
          <w:tcPr>
            <w:tcW w:w="7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480208" w14:textId="77777777" w:rsidR="00A430E8" w:rsidRPr="00687DE8" w:rsidRDefault="00A430E8" w:rsidP="00A430E8">
            <w:pPr>
              <w:spacing w:after="0" w:line="240" w:lineRule="auto"/>
              <w:rPr>
                <w:szCs w:val="24"/>
              </w:rPr>
            </w:pPr>
            <w:r w:rsidRPr="00687DE8">
              <w:rPr>
                <w:szCs w:val="24"/>
              </w:rPr>
              <w:t>Traktograafia magnetresonantstomograafil</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82BECF" w14:textId="77777777" w:rsidR="00A430E8" w:rsidRPr="00687DE8" w:rsidRDefault="00A430E8" w:rsidP="00A430E8">
            <w:pPr>
              <w:spacing w:after="0" w:line="240" w:lineRule="auto"/>
              <w:jc w:val="center"/>
              <w:rPr>
                <w:szCs w:val="24"/>
              </w:rPr>
            </w:pPr>
            <w:r w:rsidRPr="00687DE8">
              <w:rPr>
                <w:szCs w:val="24"/>
              </w:rPr>
              <w:t>79335</w:t>
            </w:r>
          </w:p>
        </w:tc>
        <w:tc>
          <w:tcPr>
            <w:tcW w:w="111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0A3DCA" w14:textId="4EB72D7D" w:rsidR="2E1E8EE1" w:rsidRPr="00687DE8" w:rsidRDefault="005B3119">
            <w:pPr>
              <w:spacing w:after="0"/>
              <w:jc w:val="center"/>
              <w:rPr>
                <w:color w:val="000000" w:themeColor="text1"/>
                <w:szCs w:val="24"/>
              </w:rPr>
            </w:pPr>
            <w:r>
              <w:rPr>
                <w:color w:val="000000"/>
              </w:rPr>
              <w:t>73,15</w:t>
            </w:r>
          </w:p>
        </w:tc>
      </w:tr>
      <w:tr w:rsidR="00A430E8" w:rsidRPr="00687DE8" w14:paraId="2046C441" w14:textId="77777777" w:rsidTr="00B93704">
        <w:trPr>
          <w:divId w:val="1316184749"/>
          <w:trHeight w:val="300"/>
        </w:trPr>
        <w:tc>
          <w:tcPr>
            <w:tcW w:w="7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D41FD6" w14:textId="77777777" w:rsidR="00A430E8" w:rsidRPr="00687DE8" w:rsidRDefault="00A430E8" w:rsidP="00A430E8">
            <w:pPr>
              <w:spacing w:after="0" w:line="240" w:lineRule="auto"/>
              <w:rPr>
                <w:szCs w:val="24"/>
              </w:rPr>
            </w:pPr>
            <w:r w:rsidRPr="00687DE8">
              <w:rPr>
                <w:szCs w:val="24"/>
              </w:rPr>
              <w:t>Aju perfusiooniuuring magnetresonantstomograafil</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D63CAA" w14:textId="77777777" w:rsidR="00A430E8" w:rsidRPr="00687DE8" w:rsidRDefault="00A430E8" w:rsidP="00A430E8">
            <w:pPr>
              <w:spacing w:after="0" w:line="240" w:lineRule="auto"/>
              <w:jc w:val="center"/>
              <w:rPr>
                <w:szCs w:val="24"/>
              </w:rPr>
            </w:pPr>
            <w:r w:rsidRPr="00687DE8">
              <w:rPr>
                <w:szCs w:val="24"/>
              </w:rPr>
              <w:t>79336</w:t>
            </w:r>
          </w:p>
        </w:tc>
        <w:tc>
          <w:tcPr>
            <w:tcW w:w="111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13A3FA" w14:textId="6458E2C9" w:rsidR="2E1E8EE1" w:rsidRPr="00687DE8" w:rsidRDefault="005B3119">
            <w:pPr>
              <w:spacing w:after="0"/>
              <w:jc w:val="center"/>
              <w:rPr>
                <w:color w:val="000000" w:themeColor="text1"/>
                <w:szCs w:val="24"/>
              </w:rPr>
            </w:pPr>
            <w:r>
              <w:rPr>
                <w:color w:val="000000"/>
              </w:rPr>
              <w:t>56,25</w:t>
            </w:r>
          </w:p>
        </w:tc>
      </w:tr>
      <w:tr w:rsidR="00A430E8" w:rsidRPr="00687DE8" w14:paraId="0443DC1D" w14:textId="77777777" w:rsidTr="00B93704">
        <w:trPr>
          <w:divId w:val="1316184749"/>
          <w:trHeight w:val="300"/>
        </w:trPr>
        <w:tc>
          <w:tcPr>
            <w:tcW w:w="7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E3BC64" w14:textId="77777777" w:rsidR="00A430E8" w:rsidRPr="00687DE8" w:rsidRDefault="00A430E8" w:rsidP="00A430E8">
            <w:pPr>
              <w:spacing w:after="0" w:line="240" w:lineRule="auto"/>
              <w:rPr>
                <w:szCs w:val="24"/>
              </w:rPr>
            </w:pPr>
            <w:r w:rsidRPr="00687DE8">
              <w:rPr>
                <w:szCs w:val="24"/>
              </w:rPr>
              <w:t>Spektroskoopia magnetresonantstomograafil</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BF2CCF" w14:textId="77777777" w:rsidR="00A430E8" w:rsidRPr="00687DE8" w:rsidRDefault="00A430E8" w:rsidP="00A430E8">
            <w:pPr>
              <w:spacing w:after="0" w:line="240" w:lineRule="auto"/>
              <w:jc w:val="center"/>
              <w:rPr>
                <w:szCs w:val="24"/>
              </w:rPr>
            </w:pPr>
            <w:r w:rsidRPr="00687DE8">
              <w:rPr>
                <w:szCs w:val="24"/>
              </w:rPr>
              <w:t>79337</w:t>
            </w:r>
          </w:p>
        </w:tc>
        <w:tc>
          <w:tcPr>
            <w:tcW w:w="111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75501C" w14:textId="410112B5" w:rsidR="2E1E8EE1" w:rsidRPr="00687DE8" w:rsidRDefault="005B3119">
            <w:pPr>
              <w:spacing w:after="0"/>
              <w:jc w:val="center"/>
              <w:rPr>
                <w:color w:val="000000" w:themeColor="text1"/>
                <w:szCs w:val="24"/>
              </w:rPr>
            </w:pPr>
            <w:r>
              <w:rPr>
                <w:color w:val="000000"/>
              </w:rPr>
              <w:t>73,15</w:t>
            </w:r>
          </w:p>
        </w:tc>
      </w:tr>
    </w:tbl>
    <w:p w14:paraId="3A5FFB4F" w14:textId="77777777" w:rsidR="00976487" w:rsidRPr="00687DE8" w:rsidRDefault="00976487" w:rsidP="00976487">
      <w:pPr>
        <w:spacing w:after="0" w:line="240" w:lineRule="auto"/>
        <w:jc w:val="both"/>
        <w:divId w:val="1316184749"/>
        <w:rPr>
          <w:szCs w:val="24"/>
        </w:rPr>
      </w:pPr>
    </w:p>
    <w:p w14:paraId="0F38D713" w14:textId="77777777" w:rsidR="00976487" w:rsidRPr="00687DE8" w:rsidRDefault="00976487" w:rsidP="00976487">
      <w:pPr>
        <w:spacing w:after="0" w:line="240" w:lineRule="auto"/>
        <w:jc w:val="both"/>
        <w:divId w:val="1316184749"/>
        <w:rPr>
          <w:szCs w:val="24"/>
        </w:rPr>
      </w:pPr>
      <w:r w:rsidRPr="00687DE8">
        <w:rPr>
          <w:szCs w:val="24"/>
        </w:rPr>
        <w:t xml:space="preserve">(6) </w:t>
      </w:r>
      <w:r w:rsidR="0009363B" w:rsidRPr="00687DE8">
        <w:rPr>
          <w:szCs w:val="24"/>
        </w:rPr>
        <w:t>L</w:t>
      </w:r>
      <w:r w:rsidRPr="00687DE8">
        <w:rPr>
          <w:szCs w:val="24"/>
        </w:rPr>
        <w:t xml:space="preserve">õikes 5 koodidega 79330, 79333 ja 79334 tähistatud tervishoiuteenuste piirhinnad sisaldavad uuringu tegemist, digitaalset töötlemist </w:t>
      </w:r>
      <w:r w:rsidR="00B556DD" w:rsidRPr="00687DE8">
        <w:rPr>
          <w:szCs w:val="24"/>
        </w:rPr>
        <w:t>ja</w:t>
      </w:r>
      <w:r w:rsidRPr="00687DE8">
        <w:rPr>
          <w:szCs w:val="24"/>
        </w:rPr>
        <w:t xml:space="preserve"> tulemuse kirjeldamist tervishoiuteenuse osutamist tõendavas dokumendis.</w:t>
      </w:r>
      <w:r w:rsidR="003C6B73" w:rsidRPr="00687DE8">
        <w:rPr>
          <w:szCs w:val="24"/>
        </w:rPr>
        <w:t xml:space="preserve"> Nimetatud teenuste puhul on tagatud piltide arhiveerimi</w:t>
      </w:r>
      <w:r w:rsidR="00640630" w:rsidRPr="00687DE8">
        <w:rPr>
          <w:szCs w:val="24"/>
        </w:rPr>
        <w:t>n</w:t>
      </w:r>
      <w:r w:rsidR="003C6B73" w:rsidRPr="00687DE8">
        <w:rPr>
          <w:szCs w:val="24"/>
        </w:rPr>
        <w:t>e</w:t>
      </w:r>
      <w:r w:rsidR="00C6051C" w:rsidRPr="00687DE8">
        <w:rPr>
          <w:szCs w:val="24"/>
        </w:rPr>
        <w:t xml:space="preserve"> </w:t>
      </w:r>
      <w:r w:rsidR="003C6B73" w:rsidRPr="00687DE8">
        <w:rPr>
          <w:szCs w:val="24"/>
        </w:rPr>
        <w:t>Sihtasutuses Eesti Tervishoiu Pildipank.</w:t>
      </w:r>
    </w:p>
    <w:p w14:paraId="129FB16C" w14:textId="77777777" w:rsidR="00976487" w:rsidRPr="00687DE8" w:rsidRDefault="00976487" w:rsidP="00976487">
      <w:pPr>
        <w:spacing w:after="0" w:line="240" w:lineRule="auto"/>
        <w:jc w:val="both"/>
        <w:divId w:val="1316184749"/>
        <w:rPr>
          <w:szCs w:val="24"/>
        </w:rPr>
      </w:pPr>
    </w:p>
    <w:p w14:paraId="13663495" w14:textId="77777777" w:rsidR="00976487" w:rsidRPr="00687DE8" w:rsidRDefault="00976487" w:rsidP="00976487">
      <w:pPr>
        <w:spacing w:after="0" w:line="240" w:lineRule="auto"/>
        <w:jc w:val="both"/>
        <w:divId w:val="1316184749"/>
        <w:rPr>
          <w:szCs w:val="24"/>
        </w:rPr>
      </w:pPr>
      <w:r w:rsidRPr="00687DE8">
        <w:rPr>
          <w:szCs w:val="24"/>
        </w:rPr>
        <w:t xml:space="preserve">(7) </w:t>
      </w:r>
      <w:r w:rsidR="0009363B" w:rsidRPr="00687DE8">
        <w:rPr>
          <w:szCs w:val="24"/>
        </w:rPr>
        <w:t>L</w:t>
      </w:r>
      <w:r w:rsidRPr="00687DE8">
        <w:rPr>
          <w:szCs w:val="24"/>
        </w:rPr>
        <w:t>õikes 5 koodidega 79330–79337 tähistatud tervishoiuteenuste piirhindu rakendatakse lisaks lõigetes 1, 2 ja 3 nimetatud tervishoiuteenustele täiendavalt tehtud uuringute korral.</w:t>
      </w:r>
    </w:p>
    <w:p w14:paraId="52FC0262" w14:textId="77777777" w:rsidR="00976487" w:rsidRPr="00687DE8" w:rsidRDefault="00976487" w:rsidP="00976487">
      <w:pPr>
        <w:spacing w:after="0" w:line="240" w:lineRule="auto"/>
        <w:jc w:val="both"/>
        <w:divId w:val="1316184749"/>
        <w:rPr>
          <w:szCs w:val="24"/>
        </w:rPr>
      </w:pPr>
    </w:p>
    <w:p w14:paraId="28F443AB" w14:textId="77777777" w:rsidR="00976487" w:rsidRPr="00687DE8" w:rsidRDefault="00976487" w:rsidP="00976487">
      <w:pPr>
        <w:spacing w:after="0" w:line="240" w:lineRule="auto"/>
        <w:jc w:val="both"/>
        <w:divId w:val="1316184749"/>
        <w:rPr>
          <w:szCs w:val="24"/>
        </w:rPr>
      </w:pPr>
      <w:r w:rsidRPr="00687DE8">
        <w:rPr>
          <w:szCs w:val="24"/>
        </w:rPr>
        <w:t xml:space="preserve">(8) </w:t>
      </w:r>
      <w:r w:rsidR="0009363B" w:rsidRPr="00687DE8">
        <w:rPr>
          <w:szCs w:val="24"/>
        </w:rPr>
        <w:t>L</w:t>
      </w:r>
      <w:r w:rsidRPr="00687DE8">
        <w:rPr>
          <w:szCs w:val="24"/>
        </w:rPr>
        <w:t>õikes 5 koodiga 79330 tähistatud tervishoiuteenust rakendatakse iseseisvalt ilma lõigetes 1, 2 ja 3 sätestatud tervishoiuteenusteta juhul, kui natiivuuringut ei tehta.</w:t>
      </w:r>
    </w:p>
    <w:p w14:paraId="3DD4B756" w14:textId="77777777" w:rsidR="00976487" w:rsidRPr="00687DE8" w:rsidRDefault="00976487" w:rsidP="00976487">
      <w:pPr>
        <w:spacing w:after="0" w:line="240" w:lineRule="auto"/>
        <w:jc w:val="both"/>
        <w:divId w:val="1316184749"/>
        <w:rPr>
          <w:szCs w:val="24"/>
        </w:rPr>
      </w:pPr>
    </w:p>
    <w:p w14:paraId="248A2B45" w14:textId="373648A0" w:rsidR="00976487" w:rsidRPr="00687DE8" w:rsidRDefault="00976487" w:rsidP="00976487">
      <w:pPr>
        <w:spacing w:after="0" w:line="240" w:lineRule="auto"/>
        <w:jc w:val="both"/>
        <w:divId w:val="1316184749"/>
        <w:rPr>
          <w:szCs w:val="24"/>
        </w:rPr>
      </w:pPr>
      <w:r w:rsidRPr="00687DE8">
        <w:rPr>
          <w:szCs w:val="24"/>
        </w:rPr>
        <w:lastRenderedPageBreak/>
        <w:t xml:space="preserve">(9) Iga koodiga 79330–79336 tähistatud tervishoiuteenuse eest võtab </w:t>
      </w:r>
      <w:r w:rsidR="005023FD" w:rsidRPr="00687DE8">
        <w:rPr>
          <w:szCs w:val="24"/>
        </w:rPr>
        <w:t>Tervisekassa</w:t>
      </w:r>
      <w:r w:rsidRPr="00687DE8">
        <w:rPr>
          <w:szCs w:val="24"/>
        </w:rPr>
        <w:t xml:space="preserve"> tasu maksmise kohustuse üle üks kord lõigetes 1, 2 ja 3 sätestatud põhiuuringu kohta.</w:t>
      </w:r>
    </w:p>
    <w:p w14:paraId="63AAC56A" w14:textId="77777777" w:rsidR="00976487" w:rsidRPr="00687DE8" w:rsidRDefault="00976487" w:rsidP="00976487">
      <w:pPr>
        <w:spacing w:after="0" w:line="240" w:lineRule="auto"/>
        <w:jc w:val="both"/>
        <w:divId w:val="1316184749"/>
        <w:rPr>
          <w:szCs w:val="24"/>
        </w:rPr>
      </w:pPr>
    </w:p>
    <w:p w14:paraId="29645B0F" w14:textId="12B6AF66" w:rsidR="00976487" w:rsidRPr="00687DE8" w:rsidRDefault="00976487" w:rsidP="00976487">
      <w:pPr>
        <w:spacing w:after="0" w:line="240" w:lineRule="auto"/>
        <w:jc w:val="both"/>
        <w:divId w:val="1316184749"/>
        <w:rPr>
          <w:szCs w:val="24"/>
        </w:rPr>
      </w:pPr>
      <w:r w:rsidRPr="00687DE8">
        <w:rPr>
          <w:szCs w:val="24"/>
        </w:rPr>
        <w:t xml:space="preserve">(10) </w:t>
      </w:r>
      <w:r w:rsidR="005023FD" w:rsidRPr="00687DE8">
        <w:rPr>
          <w:szCs w:val="24"/>
        </w:rPr>
        <w:t>Tervisekassa</w:t>
      </w:r>
      <w:r w:rsidRPr="00687DE8">
        <w:rPr>
          <w:szCs w:val="24"/>
        </w:rPr>
        <w:t xml:space="preserve"> võtab koodiga 79337 tähistatud tervishoiuteenuse eest tasu maksmise kohustuse üle ühe uuringu kohta koefitsiendiga 1,5 juhul, kui tehakse mitme vokseli spektroskoopia.</w:t>
      </w:r>
    </w:p>
    <w:p w14:paraId="0A062957" w14:textId="77777777" w:rsidR="00976487" w:rsidRPr="00687DE8" w:rsidRDefault="00976487" w:rsidP="00976487">
      <w:pPr>
        <w:spacing w:after="0" w:line="240" w:lineRule="auto"/>
        <w:jc w:val="both"/>
        <w:outlineLvl w:val="2"/>
        <w:divId w:val="1316184749"/>
        <w:rPr>
          <w:b/>
          <w:bCs/>
          <w:szCs w:val="24"/>
        </w:rPr>
      </w:pPr>
    </w:p>
    <w:p w14:paraId="296CAEBF" w14:textId="77777777" w:rsidR="00976487" w:rsidRDefault="00976487" w:rsidP="00976487">
      <w:pPr>
        <w:spacing w:after="0" w:line="240" w:lineRule="auto"/>
        <w:jc w:val="both"/>
        <w:outlineLvl w:val="2"/>
        <w:divId w:val="1316184749"/>
        <w:rPr>
          <w:b/>
          <w:szCs w:val="24"/>
        </w:rPr>
      </w:pPr>
      <w:r w:rsidRPr="00687DE8">
        <w:rPr>
          <w:b/>
          <w:szCs w:val="24"/>
        </w:rPr>
        <w:t>§ 2</w:t>
      </w:r>
      <w:r w:rsidR="00E22EDA" w:rsidRPr="00687DE8">
        <w:rPr>
          <w:b/>
          <w:szCs w:val="24"/>
        </w:rPr>
        <w:t>2</w:t>
      </w:r>
      <w:r w:rsidRPr="00687DE8">
        <w:rPr>
          <w:b/>
          <w:szCs w:val="24"/>
        </w:rPr>
        <w:t>. Angiograafia piirhinnad</w:t>
      </w:r>
    </w:p>
    <w:p w14:paraId="485093FE" w14:textId="77777777" w:rsidR="00D622B8" w:rsidRDefault="00D622B8" w:rsidP="00976487">
      <w:pPr>
        <w:spacing w:after="0" w:line="240" w:lineRule="auto"/>
        <w:jc w:val="both"/>
        <w:divId w:val="1316184749"/>
        <w:rPr>
          <w:szCs w:val="24"/>
        </w:rPr>
      </w:pPr>
    </w:p>
    <w:p w14:paraId="49789B72" w14:textId="021DB25F" w:rsidR="00976487" w:rsidRPr="00687DE8" w:rsidRDefault="00976487" w:rsidP="00976487">
      <w:pPr>
        <w:spacing w:after="0" w:line="240" w:lineRule="auto"/>
        <w:jc w:val="both"/>
        <w:divId w:val="1316184749"/>
        <w:rPr>
          <w:szCs w:val="24"/>
        </w:rPr>
      </w:pPr>
      <w:r w:rsidRPr="00687DE8">
        <w:rPr>
          <w:szCs w:val="24"/>
        </w:rPr>
        <w:t>(1) Angiograafia piirhinnad on järgmised:</w:t>
      </w:r>
    </w:p>
    <w:p w14:paraId="32F037E3"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937"/>
        <w:gridCol w:w="4586"/>
        <w:gridCol w:w="1625"/>
      </w:tblGrid>
      <w:tr w:rsidR="00976487" w:rsidRPr="00687DE8" w14:paraId="3AB71C22" w14:textId="77777777" w:rsidTr="00417E5B">
        <w:trPr>
          <w:divId w:val="1316184749"/>
          <w:tblHeader/>
        </w:trPr>
        <w:tc>
          <w:tcPr>
            <w:tcW w:w="22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9CC047" w14:textId="77777777" w:rsidR="00976487" w:rsidRPr="00687DE8" w:rsidRDefault="00976487">
            <w:pPr>
              <w:spacing w:after="0" w:line="240" w:lineRule="auto"/>
              <w:jc w:val="center"/>
              <w:rPr>
                <w:szCs w:val="24"/>
              </w:rPr>
            </w:pPr>
            <w:r w:rsidRPr="00687DE8">
              <w:rPr>
                <w:b/>
                <w:szCs w:val="24"/>
              </w:rPr>
              <w:t>Tervishoiuteenuse nimetus</w:t>
            </w:r>
          </w:p>
        </w:tc>
        <w:tc>
          <w:tcPr>
            <w:tcW w:w="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894234" w14:textId="77777777" w:rsidR="00976487" w:rsidRPr="00687DE8" w:rsidRDefault="00976487">
            <w:pPr>
              <w:spacing w:after="0" w:line="240" w:lineRule="auto"/>
              <w:jc w:val="center"/>
              <w:rPr>
                <w:szCs w:val="24"/>
              </w:rPr>
            </w:pPr>
            <w:r w:rsidRPr="00687DE8">
              <w:rPr>
                <w:b/>
                <w:szCs w:val="24"/>
              </w:rPr>
              <w:t>Kood</w:t>
            </w:r>
          </w:p>
        </w:tc>
        <w:tc>
          <w:tcPr>
            <w:tcW w:w="45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BD99A2" w14:textId="77777777" w:rsidR="00976487" w:rsidRPr="00687DE8" w:rsidRDefault="00976487">
            <w:pPr>
              <w:spacing w:after="0" w:line="240" w:lineRule="auto"/>
              <w:jc w:val="center"/>
              <w:rPr>
                <w:szCs w:val="24"/>
              </w:rPr>
            </w:pPr>
            <w:r w:rsidRPr="00687DE8">
              <w:rPr>
                <w:b/>
                <w:szCs w:val="24"/>
              </w:rPr>
              <w:t>Toimingu kirjeldus</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BBC667"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BF21B9" w:rsidRPr="00687DE8" w14:paraId="43DA8DA8" w14:textId="77777777" w:rsidTr="00B93704">
        <w:trPr>
          <w:divId w:val="1316184749"/>
          <w:trHeight w:val="300"/>
        </w:trPr>
        <w:tc>
          <w:tcPr>
            <w:tcW w:w="22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BF1F77" w14:textId="77777777" w:rsidR="00BF21B9" w:rsidRPr="00687DE8" w:rsidRDefault="00BF21B9" w:rsidP="00BF21B9">
            <w:pPr>
              <w:spacing w:after="0" w:line="240" w:lineRule="auto"/>
              <w:rPr>
                <w:szCs w:val="24"/>
              </w:rPr>
            </w:pPr>
            <w:r w:rsidRPr="00687DE8">
              <w:rPr>
                <w:szCs w:val="24"/>
              </w:rPr>
              <w:t>Aortograafia või kavograafia või arteriograafia või neeruveeni flebograafia</w:t>
            </w:r>
          </w:p>
        </w:tc>
        <w:tc>
          <w:tcPr>
            <w:tcW w:w="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26ED46" w14:textId="77777777" w:rsidR="00BF21B9" w:rsidRPr="00687DE8" w:rsidRDefault="00BF21B9" w:rsidP="00233512">
            <w:pPr>
              <w:spacing w:after="0" w:line="240" w:lineRule="auto"/>
              <w:jc w:val="center"/>
              <w:rPr>
                <w:color w:val="000000"/>
                <w:szCs w:val="24"/>
              </w:rPr>
            </w:pPr>
          </w:p>
          <w:p w14:paraId="1869767E" w14:textId="77777777" w:rsidR="00BF21B9" w:rsidRPr="00687DE8" w:rsidRDefault="00BF21B9" w:rsidP="00233512">
            <w:pPr>
              <w:spacing w:after="0" w:line="240" w:lineRule="auto"/>
              <w:jc w:val="center"/>
              <w:rPr>
                <w:color w:val="000000"/>
                <w:szCs w:val="24"/>
              </w:rPr>
            </w:pPr>
          </w:p>
          <w:p w14:paraId="7FF3B6AF" w14:textId="77777777" w:rsidR="00A33DF3" w:rsidRPr="00687DE8" w:rsidRDefault="00A33DF3" w:rsidP="00233512">
            <w:pPr>
              <w:spacing w:after="0" w:line="240" w:lineRule="auto"/>
              <w:jc w:val="center"/>
              <w:rPr>
                <w:color w:val="000000"/>
                <w:szCs w:val="24"/>
              </w:rPr>
            </w:pPr>
          </w:p>
          <w:p w14:paraId="2B0D91EB" w14:textId="77777777" w:rsidR="00A33DF3" w:rsidRPr="00687DE8" w:rsidRDefault="00A33DF3" w:rsidP="00233512">
            <w:pPr>
              <w:spacing w:after="0" w:line="240" w:lineRule="auto"/>
              <w:jc w:val="center"/>
              <w:rPr>
                <w:color w:val="000000"/>
                <w:szCs w:val="24"/>
              </w:rPr>
            </w:pPr>
          </w:p>
          <w:p w14:paraId="20F36E02" w14:textId="1A82E811" w:rsidR="00BF21B9" w:rsidRPr="00687DE8" w:rsidRDefault="00BF21B9" w:rsidP="00233512">
            <w:pPr>
              <w:spacing w:after="0" w:line="240" w:lineRule="auto"/>
              <w:jc w:val="center"/>
              <w:rPr>
                <w:color w:val="000000"/>
                <w:szCs w:val="24"/>
              </w:rPr>
            </w:pPr>
            <w:r w:rsidRPr="00687DE8">
              <w:rPr>
                <w:color w:val="000000"/>
                <w:szCs w:val="24"/>
              </w:rPr>
              <w:t>7812</w:t>
            </w:r>
          </w:p>
        </w:tc>
        <w:tc>
          <w:tcPr>
            <w:tcW w:w="45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FF8FA" w14:textId="77777777" w:rsidR="00BF21B9" w:rsidRPr="00687DE8" w:rsidRDefault="00BF21B9" w:rsidP="00BF21B9">
            <w:pPr>
              <w:spacing w:after="0" w:line="240" w:lineRule="auto"/>
              <w:rPr>
                <w:szCs w:val="24"/>
              </w:rPr>
            </w:pPr>
            <w:r w:rsidRPr="00687DE8">
              <w:rPr>
                <w:szCs w:val="24"/>
              </w:rPr>
              <w:t xml:space="preserve">Aordi, arteri või veeni punktsioon, veresoonte selektiivne kateeterdamine, kontrastaine manustamine, ülesvõtete tegemine ja uuringu kirjeldamine ravidokumendis </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546E5E" w14:textId="613793DA" w:rsidR="2E1E8EE1" w:rsidRPr="00687DE8" w:rsidRDefault="005B3119">
            <w:pPr>
              <w:spacing w:after="0"/>
              <w:jc w:val="center"/>
              <w:rPr>
                <w:color w:val="000000" w:themeColor="text1"/>
                <w:szCs w:val="24"/>
              </w:rPr>
            </w:pPr>
            <w:r>
              <w:rPr>
                <w:color w:val="000000"/>
              </w:rPr>
              <w:t>666,88</w:t>
            </w:r>
          </w:p>
        </w:tc>
      </w:tr>
      <w:tr w:rsidR="00BF21B9" w:rsidRPr="00687DE8" w14:paraId="2E101881" w14:textId="77777777" w:rsidTr="00B93704">
        <w:trPr>
          <w:divId w:val="1316184749"/>
          <w:trHeight w:val="300"/>
        </w:trPr>
        <w:tc>
          <w:tcPr>
            <w:tcW w:w="22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4049B3" w14:textId="77777777" w:rsidR="00BF21B9" w:rsidRPr="00687DE8" w:rsidRDefault="00BF21B9" w:rsidP="00BF21B9">
            <w:pPr>
              <w:spacing w:after="0" w:line="240" w:lineRule="auto"/>
              <w:rPr>
                <w:szCs w:val="24"/>
              </w:rPr>
            </w:pPr>
            <w:r w:rsidRPr="00687DE8">
              <w:rPr>
                <w:szCs w:val="24"/>
              </w:rPr>
              <w:t>Superselektiivne lisaangiograafia</w:t>
            </w:r>
          </w:p>
        </w:tc>
        <w:tc>
          <w:tcPr>
            <w:tcW w:w="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581B8A" w14:textId="77777777" w:rsidR="00BF21B9" w:rsidRPr="00687DE8" w:rsidRDefault="00BF21B9" w:rsidP="00BB1877">
            <w:pPr>
              <w:spacing w:after="0" w:line="240" w:lineRule="auto"/>
              <w:jc w:val="center"/>
              <w:rPr>
                <w:szCs w:val="24"/>
              </w:rPr>
            </w:pPr>
          </w:p>
          <w:p w14:paraId="702549DB" w14:textId="77777777" w:rsidR="00BF21B9" w:rsidRPr="00687DE8" w:rsidRDefault="00BF21B9" w:rsidP="00BB1877">
            <w:pPr>
              <w:spacing w:after="0" w:line="240" w:lineRule="auto"/>
              <w:jc w:val="center"/>
              <w:rPr>
                <w:szCs w:val="24"/>
              </w:rPr>
            </w:pPr>
          </w:p>
          <w:p w14:paraId="618F56C2" w14:textId="77777777" w:rsidR="00BF21B9" w:rsidRPr="00687DE8" w:rsidRDefault="00BF21B9" w:rsidP="00BB1877">
            <w:pPr>
              <w:spacing w:after="0" w:line="240" w:lineRule="auto"/>
              <w:jc w:val="center"/>
              <w:rPr>
                <w:szCs w:val="24"/>
              </w:rPr>
            </w:pPr>
          </w:p>
          <w:p w14:paraId="53004896" w14:textId="77777777" w:rsidR="00BF21B9" w:rsidRPr="00687DE8" w:rsidRDefault="00BF21B9" w:rsidP="00BB1877">
            <w:pPr>
              <w:spacing w:after="0" w:line="240" w:lineRule="auto"/>
              <w:jc w:val="center"/>
              <w:rPr>
                <w:szCs w:val="24"/>
              </w:rPr>
            </w:pPr>
          </w:p>
          <w:p w14:paraId="4CED82D9" w14:textId="77777777" w:rsidR="00BF21B9" w:rsidRPr="00687DE8" w:rsidRDefault="00BF21B9" w:rsidP="00BB1877">
            <w:pPr>
              <w:spacing w:after="0" w:line="240" w:lineRule="auto"/>
              <w:jc w:val="center"/>
              <w:rPr>
                <w:szCs w:val="24"/>
              </w:rPr>
            </w:pPr>
          </w:p>
          <w:p w14:paraId="4EC1AF4C" w14:textId="77777777" w:rsidR="00BF21B9" w:rsidRPr="00687DE8" w:rsidRDefault="00BF21B9" w:rsidP="00BB1877">
            <w:pPr>
              <w:spacing w:after="0" w:line="240" w:lineRule="auto"/>
              <w:jc w:val="center"/>
              <w:rPr>
                <w:szCs w:val="24"/>
              </w:rPr>
            </w:pPr>
          </w:p>
          <w:p w14:paraId="776EE919" w14:textId="77777777" w:rsidR="00BF21B9" w:rsidRPr="00687DE8" w:rsidRDefault="00BF21B9" w:rsidP="00BB1877">
            <w:pPr>
              <w:spacing w:after="0" w:line="240" w:lineRule="auto"/>
              <w:jc w:val="center"/>
              <w:rPr>
                <w:szCs w:val="24"/>
              </w:rPr>
            </w:pPr>
            <w:r w:rsidRPr="00687DE8">
              <w:rPr>
                <w:szCs w:val="24"/>
              </w:rPr>
              <w:t>7813</w:t>
            </w:r>
          </w:p>
        </w:tc>
        <w:tc>
          <w:tcPr>
            <w:tcW w:w="45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F152E6" w14:textId="77777777" w:rsidR="00BF21B9" w:rsidRPr="00687DE8" w:rsidRDefault="00BF21B9" w:rsidP="00BF21B9">
            <w:pPr>
              <w:spacing w:after="0" w:line="240" w:lineRule="auto"/>
              <w:rPr>
                <w:szCs w:val="24"/>
              </w:rPr>
            </w:pPr>
            <w:r w:rsidRPr="00687DE8">
              <w:rPr>
                <w:szCs w:val="24"/>
              </w:rPr>
              <w:t>Peente veresoonte (abdominaararteri vistseraalsed, parietaalsed ja terminaalsed harud) kateeterdamine superselektiivse kateetriga, kontrastaine manustamine, ülesvõtete tegemine ja uuringu kirjeldamine ravidokumendis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97A695" w14:textId="2C2FF3D4" w:rsidR="2E1E8EE1" w:rsidRPr="00687DE8" w:rsidRDefault="005B3119">
            <w:pPr>
              <w:spacing w:after="0"/>
              <w:jc w:val="center"/>
              <w:rPr>
                <w:color w:val="000000" w:themeColor="text1"/>
                <w:szCs w:val="24"/>
              </w:rPr>
            </w:pPr>
            <w:r>
              <w:rPr>
                <w:color w:val="000000"/>
              </w:rPr>
              <w:t>334,13</w:t>
            </w:r>
          </w:p>
        </w:tc>
      </w:tr>
      <w:tr w:rsidR="00BF21B9" w:rsidRPr="00687DE8" w14:paraId="3102BD10" w14:textId="77777777" w:rsidTr="00B93704">
        <w:trPr>
          <w:divId w:val="1316184749"/>
          <w:trHeight w:val="300"/>
        </w:trPr>
        <w:tc>
          <w:tcPr>
            <w:tcW w:w="22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39317D93" w14:textId="77777777" w:rsidR="00BF21B9" w:rsidRPr="00687DE8" w:rsidRDefault="00BF21B9" w:rsidP="00BF21B9">
            <w:pPr>
              <w:spacing w:after="0" w:line="240" w:lineRule="auto"/>
              <w:rPr>
                <w:szCs w:val="24"/>
              </w:rPr>
            </w:pPr>
            <w:r w:rsidRPr="00687DE8">
              <w:rPr>
                <w:szCs w:val="24"/>
              </w:rPr>
              <w:t>Aju angiograafia</w:t>
            </w:r>
          </w:p>
          <w:p w14:paraId="54BEC612" w14:textId="77777777" w:rsidR="007E1E3E" w:rsidRPr="00687DE8" w:rsidRDefault="007E1E3E" w:rsidP="00BF21B9">
            <w:pPr>
              <w:spacing w:after="0" w:line="240" w:lineRule="auto"/>
              <w:rPr>
                <w:szCs w:val="24"/>
              </w:rPr>
            </w:pPr>
          </w:p>
          <w:p w14:paraId="59727911" w14:textId="77777777" w:rsidR="007E1E3E" w:rsidRPr="00687DE8" w:rsidRDefault="007E1E3E" w:rsidP="00BF21B9">
            <w:pPr>
              <w:spacing w:after="0" w:line="240" w:lineRule="auto"/>
              <w:rPr>
                <w:szCs w:val="24"/>
              </w:rPr>
            </w:pPr>
          </w:p>
          <w:p w14:paraId="3E7DF46F" w14:textId="77777777" w:rsidR="007E1E3E" w:rsidRPr="00687DE8" w:rsidRDefault="007E1E3E" w:rsidP="00BF21B9">
            <w:pPr>
              <w:spacing w:after="0" w:line="240" w:lineRule="auto"/>
              <w:rPr>
                <w:szCs w:val="24"/>
              </w:rPr>
            </w:pPr>
          </w:p>
          <w:p w14:paraId="3A88D3BF" w14:textId="179B5E50" w:rsidR="007E1E3E" w:rsidRPr="00687DE8" w:rsidRDefault="007E1E3E" w:rsidP="00BF21B9">
            <w:pPr>
              <w:spacing w:after="0" w:line="240" w:lineRule="auto"/>
              <w:rPr>
                <w:szCs w:val="24"/>
              </w:rPr>
            </w:pPr>
          </w:p>
        </w:tc>
        <w:tc>
          <w:tcPr>
            <w:tcW w:w="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3019C9" w14:textId="77777777" w:rsidR="00BF21B9" w:rsidRPr="00687DE8" w:rsidRDefault="00BF21B9" w:rsidP="00BF21B9">
            <w:pPr>
              <w:spacing w:after="0" w:line="240" w:lineRule="auto"/>
              <w:jc w:val="center"/>
              <w:rPr>
                <w:szCs w:val="24"/>
              </w:rPr>
            </w:pPr>
          </w:p>
          <w:p w14:paraId="0659EDDE" w14:textId="77777777" w:rsidR="00BF21B9" w:rsidRPr="00687DE8" w:rsidRDefault="00BF21B9" w:rsidP="00BF21B9">
            <w:pPr>
              <w:spacing w:after="0" w:line="240" w:lineRule="auto"/>
              <w:jc w:val="center"/>
              <w:rPr>
                <w:szCs w:val="24"/>
              </w:rPr>
            </w:pPr>
          </w:p>
          <w:p w14:paraId="430719D1" w14:textId="77777777" w:rsidR="00BF21B9" w:rsidRPr="00687DE8" w:rsidRDefault="00BF21B9" w:rsidP="00BF21B9">
            <w:pPr>
              <w:spacing w:after="0" w:line="240" w:lineRule="auto"/>
              <w:jc w:val="center"/>
              <w:rPr>
                <w:szCs w:val="24"/>
              </w:rPr>
            </w:pPr>
          </w:p>
          <w:p w14:paraId="02763B4D" w14:textId="77777777" w:rsidR="00BF21B9" w:rsidRPr="00687DE8" w:rsidRDefault="00BF21B9" w:rsidP="00BF21B9">
            <w:pPr>
              <w:spacing w:after="0" w:line="240" w:lineRule="auto"/>
              <w:jc w:val="center"/>
              <w:rPr>
                <w:szCs w:val="24"/>
              </w:rPr>
            </w:pPr>
          </w:p>
          <w:p w14:paraId="0CCD9A52" w14:textId="77777777" w:rsidR="00BF21B9" w:rsidRPr="00687DE8" w:rsidRDefault="00BF21B9" w:rsidP="00BF21B9">
            <w:pPr>
              <w:spacing w:after="0" w:line="240" w:lineRule="auto"/>
              <w:jc w:val="center"/>
              <w:rPr>
                <w:szCs w:val="24"/>
              </w:rPr>
            </w:pPr>
            <w:r w:rsidRPr="00687DE8">
              <w:rPr>
                <w:szCs w:val="24"/>
              </w:rPr>
              <w:t>7814</w:t>
            </w:r>
          </w:p>
        </w:tc>
        <w:tc>
          <w:tcPr>
            <w:tcW w:w="45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A5E8C0" w14:textId="77777777" w:rsidR="00BF21B9" w:rsidRPr="00687DE8" w:rsidRDefault="00BF21B9" w:rsidP="00BF21B9">
            <w:pPr>
              <w:spacing w:after="0" w:line="240" w:lineRule="auto"/>
              <w:rPr>
                <w:szCs w:val="24"/>
              </w:rPr>
            </w:pPr>
            <w:r w:rsidRPr="00687DE8">
              <w:rPr>
                <w:szCs w:val="24"/>
              </w:rPr>
              <w:t>Perifeerse arteri punktsioon, kõigi nelja kaelaveresoone selektiivne kateeterdamine, kontrastaine manustamine, ülesvõtete tegemine ja uuringu kirjeldamine ravidokumendis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D500906" w14:textId="46A9D97E" w:rsidR="2E1E8EE1" w:rsidRPr="00687DE8" w:rsidRDefault="005B3119">
            <w:pPr>
              <w:spacing w:after="0"/>
              <w:jc w:val="center"/>
              <w:rPr>
                <w:color w:val="000000" w:themeColor="text1"/>
                <w:szCs w:val="24"/>
              </w:rPr>
            </w:pPr>
            <w:r>
              <w:rPr>
                <w:color w:val="000000"/>
              </w:rPr>
              <w:t>947,76</w:t>
            </w:r>
          </w:p>
        </w:tc>
      </w:tr>
      <w:tr w:rsidR="00BF21B9" w:rsidRPr="00687DE8" w14:paraId="0D7AB6A9" w14:textId="77777777" w:rsidTr="00B93704">
        <w:trPr>
          <w:divId w:val="1316184749"/>
          <w:trHeight w:val="300"/>
        </w:trPr>
        <w:tc>
          <w:tcPr>
            <w:tcW w:w="22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A80CA0" w14:textId="77777777" w:rsidR="00BF21B9" w:rsidRPr="00687DE8" w:rsidRDefault="00BF21B9" w:rsidP="00BF21B9">
            <w:pPr>
              <w:spacing w:after="0" w:line="240" w:lineRule="auto"/>
              <w:rPr>
                <w:szCs w:val="24"/>
              </w:rPr>
            </w:pPr>
            <w:r w:rsidRPr="00687DE8">
              <w:rPr>
                <w:szCs w:val="24"/>
              </w:rPr>
              <w:t>Perifeerne angiograafiline flebograafia</w:t>
            </w:r>
          </w:p>
        </w:tc>
        <w:tc>
          <w:tcPr>
            <w:tcW w:w="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F93763" w14:textId="77777777" w:rsidR="00BF21B9" w:rsidRPr="00687DE8" w:rsidRDefault="00BF21B9" w:rsidP="00BF21B9">
            <w:pPr>
              <w:spacing w:after="0" w:line="240" w:lineRule="auto"/>
              <w:jc w:val="center"/>
              <w:rPr>
                <w:szCs w:val="24"/>
              </w:rPr>
            </w:pPr>
          </w:p>
          <w:p w14:paraId="15CE7B9A" w14:textId="77777777" w:rsidR="00BF21B9" w:rsidRPr="00687DE8" w:rsidRDefault="00BF21B9" w:rsidP="00BF21B9">
            <w:pPr>
              <w:spacing w:after="0" w:line="240" w:lineRule="auto"/>
              <w:jc w:val="center"/>
              <w:rPr>
                <w:szCs w:val="24"/>
              </w:rPr>
            </w:pPr>
          </w:p>
          <w:p w14:paraId="2D6883FC" w14:textId="77777777" w:rsidR="00BF21B9" w:rsidRPr="00687DE8" w:rsidRDefault="00BF21B9" w:rsidP="00BF21B9">
            <w:pPr>
              <w:spacing w:after="0" w:line="240" w:lineRule="auto"/>
              <w:jc w:val="center"/>
              <w:rPr>
                <w:szCs w:val="24"/>
              </w:rPr>
            </w:pPr>
          </w:p>
          <w:p w14:paraId="1D9C2780" w14:textId="77777777" w:rsidR="00BF21B9" w:rsidRPr="00687DE8" w:rsidRDefault="00BF21B9" w:rsidP="00BF21B9">
            <w:pPr>
              <w:spacing w:after="0" w:line="240" w:lineRule="auto"/>
              <w:jc w:val="center"/>
              <w:rPr>
                <w:szCs w:val="24"/>
              </w:rPr>
            </w:pPr>
            <w:r w:rsidRPr="00687DE8">
              <w:rPr>
                <w:szCs w:val="24"/>
              </w:rPr>
              <w:t>7815</w:t>
            </w:r>
          </w:p>
        </w:tc>
        <w:tc>
          <w:tcPr>
            <w:tcW w:w="45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A421E2" w14:textId="77777777" w:rsidR="00BF21B9" w:rsidRPr="00687DE8" w:rsidRDefault="00BF21B9" w:rsidP="00BF21B9">
            <w:pPr>
              <w:spacing w:after="0" w:line="240" w:lineRule="auto"/>
              <w:rPr>
                <w:szCs w:val="24"/>
              </w:rPr>
            </w:pPr>
            <w:r w:rsidRPr="00687DE8">
              <w:rPr>
                <w:szCs w:val="24"/>
              </w:rPr>
              <w:t>Perifeerse veeni punktsioon, kontrastaine manustamine, ülesvõtete tegemine ja uuringu kirjeldamine ravidokumendis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324F998" w14:textId="7D098991" w:rsidR="2E1E8EE1" w:rsidRPr="00687DE8" w:rsidRDefault="005B3119">
            <w:pPr>
              <w:spacing w:after="0"/>
              <w:jc w:val="center"/>
              <w:rPr>
                <w:color w:val="000000" w:themeColor="text1"/>
                <w:szCs w:val="24"/>
              </w:rPr>
            </w:pPr>
            <w:r>
              <w:rPr>
                <w:color w:val="000000"/>
              </w:rPr>
              <w:t>435,26</w:t>
            </w:r>
          </w:p>
        </w:tc>
      </w:tr>
    </w:tbl>
    <w:p w14:paraId="37BE350E" w14:textId="77777777" w:rsidR="00976487" w:rsidRPr="00687DE8" w:rsidRDefault="00976487" w:rsidP="00976487">
      <w:pPr>
        <w:spacing w:after="0" w:line="240" w:lineRule="auto"/>
        <w:jc w:val="both"/>
        <w:divId w:val="1316184749"/>
        <w:rPr>
          <w:szCs w:val="24"/>
        </w:rPr>
      </w:pPr>
    </w:p>
    <w:p w14:paraId="170634C1" w14:textId="77777777" w:rsidR="00976487" w:rsidRPr="00687DE8" w:rsidRDefault="007E7AA2" w:rsidP="00334F99">
      <w:pPr>
        <w:spacing w:after="0" w:line="240" w:lineRule="auto"/>
        <w:jc w:val="both"/>
        <w:divId w:val="1316184749"/>
        <w:rPr>
          <w:szCs w:val="24"/>
        </w:rPr>
      </w:pPr>
      <w:r w:rsidRPr="00687DE8">
        <w:rPr>
          <w:szCs w:val="24"/>
        </w:rPr>
        <w:t xml:space="preserve">(2) </w:t>
      </w:r>
      <w:r w:rsidR="00976487" w:rsidRPr="00687DE8">
        <w:rPr>
          <w:szCs w:val="24"/>
        </w:rPr>
        <w:t>Koodiga 7812 tähistatud tervishoiuteenust ei rakendata koos koodidega 7814, 7815 ja 7816 tähistatud tervishoiuteenustega.</w:t>
      </w:r>
    </w:p>
    <w:p w14:paraId="64227B58" w14:textId="77777777" w:rsidR="00C03E50" w:rsidRPr="00687DE8" w:rsidRDefault="00C03E50" w:rsidP="00C03E50">
      <w:pPr>
        <w:pStyle w:val="Loendilik"/>
        <w:spacing w:after="0" w:line="240" w:lineRule="auto"/>
        <w:ind w:left="360"/>
        <w:jc w:val="both"/>
        <w:divId w:val="1316184749"/>
        <w:rPr>
          <w:szCs w:val="24"/>
        </w:rPr>
      </w:pPr>
    </w:p>
    <w:p w14:paraId="19E2D7C1" w14:textId="77777777" w:rsidR="0038246E" w:rsidRPr="00687DE8" w:rsidRDefault="007E7AA2" w:rsidP="00334F99">
      <w:pPr>
        <w:spacing w:after="0" w:line="240" w:lineRule="auto"/>
        <w:jc w:val="both"/>
        <w:divId w:val="1316184749"/>
        <w:rPr>
          <w:szCs w:val="24"/>
        </w:rPr>
      </w:pPr>
      <w:r w:rsidRPr="00687DE8">
        <w:rPr>
          <w:szCs w:val="24"/>
        </w:rPr>
        <w:t xml:space="preserve">(3) </w:t>
      </w:r>
      <w:r w:rsidR="00D04183" w:rsidRPr="00687DE8">
        <w:rPr>
          <w:szCs w:val="24"/>
        </w:rPr>
        <w:t>Lõikes 1 nimetatud teenuste puhul on tagatud piltide arhiveerimi</w:t>
      </w:r>
      <w:r w:rsidR="00D27E4F" w:rsidRPr="00687DE8">
        <w:rPr>
          <w:szCs w:val="24"/>
        </w:rPr>
        <w:t>n</w:t>
      </w:r>
      <w:r w:rsidR="00D04183" w:rsidRPr="00687DE8">
        <w:rPr>
          <w:szCs w:val="24"/>
        </w:rPr>
        <w:t>e</w:t>
      </w:r>
      <w:r w:rsidR="00B556DD" w:rsidRPr="00687DE8">
        <w:rPr>
          <w:szCs w:val="24"/>
        </w:rPr>
        <w:t xml:space="preserve"> </w:t>
      </w:r>
      <w:r w:rsidR="00D04183" w:rsidRPr="00687DE8">
        <w:rPr>
          <w:szCs w:val="24"/>
        </w:rPr>
        <w:t>Sihtasutuses Eesti Tervishoiu Pildipank</w:t>
      </w:r>
      <w:r w:rsidR="00F4350F" w:rsidRPr="00687DE8">
        <w:rPr>
          <w:szCs w:val="24"/>
        </w:rPr>
        <w:t>.</w:t>
      </w:r>
    </w:p>
    <w:p w14:paraId="2E7BD976" w14:textId="77777777" w:rsidR="00D04183" w:rsidRPr="00687DE8" w:rsidRDefault="00D04183" w:rsidP="00D27E4F">
      <w:pPr>
        <w:pStyle w:val="Loendilik"/>
        <w:spacing w:after="0" w:line="240" w:lineRule="auto"/>
        <w:ind w:left="360"/>
        <w:jc w:val="both"/>
        <w:divId w:val="1316184749"/>
        <w:rPr>
          <w:szCs w:val="24"/>
        </w:rPr>
      </w:pPr>
    </w:p>
    <w:p w14:paraId="60524F3E" w14:textId="77777777" w:rsidR="00976487" w:rsidRDefault="00976487" w:rsidP="00976487">
      <w:pPr>
        <w:spacing w:after="0" w:line="240" w:lineRule="auto"/>
        <w:jc w:val="both"/>
        <w:outlineLvl w:val="2"/>
        <w:divId w:val="1316184749"/>
        <w:rPr>
          <w:b/>
          <w:szCs w:val="24"/>
        </w:rPr>
      </w:pPr>
      <w:r w:rsidRPr="00687DE8">
        <w:rPr>
          <w:b/>
          <w:szCs w:val="24"/>
        </w:rPr>
        <w:t>§ 2</w:t>
      </w:r>
      <w:r w:rsidR="00E22EDA" w:rsidRPr="00687DE8">
        <w:rPr>
          <w:b/>
          <w:szCs w:val="24"/>
        </w:rPr>
        <w:t>3</w:t>
      </w:r>
      <w:r w:rsidRPr="00687DE8">
        <w:rPr>
          <w:b/>
          <w:szCs w:val="24"/>
        </w:rPr>
        <w:t>. Menetlusradioloogia piirhinnad</w:t>
      </w:r>
    </w:p>
    <w:p w14:paraId="0BEC611D" w14:textId="77777777" w:rsidR="00DF1D65" w:rsidRDefault="00DF1D65" w:rsidP="00976487">
      <w:pPr>
        <w:spacing w:after="0" w:line="240" w:lineRule="auto"/>
        <w:jc w:val="both"/>
        <w:divId w:val="1316184749"/>
        <w:rPr>
          <w:szCs w:val="24"/>
        </w:rPr>
      </w:pPr>
    </w:p>
    <w:p w14:paraId="50B6F363" w14:textId="67AA50D8" w:rsidR="00976487" w:rsidRPr="00687DE8" w:rsidRDefault="00976487" w:rsidP="00976487">
      <w:pPr>
        <w:spacing w:after="0" w:line="240" w:lineRule="auto"/>
        <w:jc w:val="both"/>
        <w:divId w:val="1316184749"/>
        <w:rPr>
          <w:szCs w:val="24"/>
        </w:rPr>
      </w:pPr>
      <w:r w:rsidRPr="00687DE8">
        <w:rPr>
          <w:szCs w:val="24"/>
        </w:rPr>
        <w:t>(1) Menetlusradioloogia piirhinnad on järgmised:</w:t>
      </w:r>
    </w:p>
    <w:p w14:paraId="15A3EC18"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602"/>
        <w:gridCol w:w="4389"/>
        <w:gridCol w:w="1350"/>
      </w:tblGrid>
      <w:tr w:rsidR="00976487" w:rsidRPr="00687DE8" w14:paraId="6C4E39F6" w14:textId="77777777" w:rsidTr="00D503E8">
        <w:trPr>
          <w:divId w:val="1316184749"/>
          <w:tblHeader/>
        </w:trPr>
        <w:tc>
          <w:tcPr>
            <w:tcW w:w="30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A50100" w14:textId="77777777" w:rsidR="00976487" w:rsidRPr="00687DE8" w:rsidRDefault="00976487">
            <w:pPr>
              <w:spacing w:after="0" w:line="240" w:lineRule="auto"/>
              <w:jc w:val="center"/>
              <w:rPr>
                <w:szCs w:val="24"/>
              </w:rPr>
            </w:pPr>
            <w:r w:rsidRPr="00687DE8">
              <w:rPr>
                <w:b/>
                <w:szCs w:val="24"/>
              </w:rPr>
              <w:lastRenderedPageBreak/>
              <w:t>Tervishoiuteenuse nimetus</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244440" w14:textId="77777777" w:rsidR="00976487" w:rsidRPr="00687DE8" w:rsidRDefault="00976487">
            <w:pPr>
              <w:spacing w:after="0" w:line="240" w:lineRule="auto"/>
              <w:jc w:val="center"/>
              <w:rPr>
                <w:szCs w:val="24"/>
              </w:rPr>
            </w:pPr>
            <w:r w:rsidRPr="00687DE8">
              <w:rPr>
                <w:b/>
                <w:szCs w:val="24"/>
              </w:rPr>
              <w:t>Kood</w:t>
            </w:r>
          </w:p>
        </w:tc>
        <w:tc>
          <w:tcPr>
            <w:tcW w:w="4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5B30A1" w14:textId="77777777" w:rsidR="00976487" w:rsidRPr="00687DE8" w:rsidRDefault="00976487">
            <w:pPr>
              <w:spacing w:after="0" w:line="240" w:lineRule="auto"/>
              <w:jc w:val="center"/>
              <w:rPr>
                <w:szCs w:val="24"/>
              </w:rPr>
            </w:pPr>
            <w:r w:rsidRPr="00687DE8">
              <w:rPr>
                <w:b/>
                <w:szCs w:val="24"/>
              </w:rPr>
              <w:t>Toimingu kirjeldus</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656130"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624BFF" w:rsidRPr="00687DE8" w14:paraId="2EDE42D3" w14:textId="77777777" w:rsidTr="00B93704">
        <w:trPr>
          <w:divId w:val="1316184749"/>
          <w:trHeight w:val="300"/>
        </w:trPr>
        <w:tc>
          <w:tcPr>
            <w:tcW w:w="30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12962B" w14:textId="77777777" w:rsidR="00624BFF" w:rsidRPr="00687DE8" w:rsidRDefault="00624BFF" w:rsidP="00624BFF">
            <w:pPr>
              <w:spacing w:after="0" w:line="240" w:lineRule="auto"/>
              <w:rPr>
                <w:szCs w:val="24"/>
              </w:rPr>
            </w:pPr>
            <w:r w:rsidRPr="00687DE8">
              <w:rPr>
                <w:szCs w:val="24"/>
              </w:rPr>
              <w:t>Peennõelabiopsia või punktsioon ultraheli või röntgeni kontrolli all</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17B694" w14:textId="77777777" w:rsidR="00624BFF" w:rsidRPr="00687DE8" w:rsidRDefault="00624BFF" w:rsidP="00624BFF">
            <w:pPr>
              <w:spacing w:after="0" w:line="240" w:lineRule="auto"/>
              <w:jc w:val="center"/>
              <w:rPr>
                <w:szCs w:val="24"/>
              </w:rPr>
            </w:pPr>
          </w:p>
          <w:p w14:paraId="0CC42622" w14:textId="77777777" w:rsidR="00624BFF" w:rsidRPr="00687DE8" w:rsidRDefault="00624BFF" w:rsidP="00624BFF">
            <w:pPr>
              <w:spacing w:after="0" w:line="240" w:lineRule="auto"/>
              <w:jc w:val="center"/>
              <w:rPr>
                <w:szCs w:val="24"/>
              </w:rPr>
            </w:pPr>
          </w:p>
          <w:p w14:paraId="5BF79C13" w14:textId="77777777" w:rsidR="00624BFF" w:rsidRPr="00687DE8" w:rsidRDefault="00624BFF" w:rsidP="00624BFF">
            <w:pPr>
              <w:spacing w:after="0" w:line="240" w:lineRule="auto"/>
              <w:jc w:val="center"/>
              <w:rPr>
                <w:szCs w:val="24"/>
              </w:rPr>
            </w:pPr>
            <w:r w:rsidRPr="00687DE8">
              <w:rPr>
                <w:szCs w:val="24"/>
              </w:rPr>
              <w:t>7890</w:t>
            </w:r>
          </w:p>
        </w:tc>
        <w:tc>
          <w:tcPr>
            <w:tcW w:w="4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2B67CF" w14:textId="77777777" w:rsidR="00624BFF" w:rsidRPr="00687DE8" w:rsidRDefault="00624BFF" w:rsidP="00624BFF">
            <w:pPr>
              <w:rPr>
                <w:szCs w:val="24"/>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E18BE9" w14:textId="71EF74DC" w:rsidR="2E1E8EE1" w:rsidRPr="00687DE8" w:rsidRDefault="00AA3988">
            <w:pPr>
              <w:spacing w:after="0"/>
              <w:jc w:val="center"/>
              <w:rPr>
                <w:color w:val="000000" w:themeColor="text1"/>
                <w:szCs w:val="24"/>
              </w:rPr>
            </w:pPr>
            <w:r>
              <w:rPr>
                <w:color w:val="000000"/>
              </w:rPr>
              <w:t>45,74</w:t>
            </w:r>
          </w:p>
        </w:tc>
      </w:tr>
      <w:tr w:rsidR="00624BFF" w:rsidRPr="00687DE8" w14:paraId="54DB6A55" w14:textId="77777777" w:rsidTr="00B93704">
        <w:trPr>
          <w:divId w:val="1316184749"/>
          <w:trHeight w:val="300"/>
        </w:trPr>
        <w:tc>
          <w:tcPr>
            <w:tcW w:w="30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2450B0" w14:textId="2C1813FE" w:rsidR="00624BFF" w:rsidRPr="00687DE8" w:rsidRDefault="00624BFF" w:rsidP="00624BFF">
            <w:pPr>
              <w:spacing w:after="0" w:line="240" w:lineRule="auto"/>
              <w:rPr>
                <w:szCs w:val="24"/>
              </w:rPr>
            </w:pPr>
            <w:r w:rsidRPr="00687DE8">
              <w:rPr>
                <w:szCs w:val="24"/>
              </w:rPr>
              <w:t>Iga järgnev peennõelabiopsia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384786" w14:textId="77777777" w:rsidR="00624BFF" w:rsidRPr="00687DE8" w:rsidRDefault="00624BFF" w:rsidP="00624BFF">
            <w:pPr>
              <w:spacing w:after="0" w:line="240" w:lineRule="auto"/>
              <w:jc w:val="center"/>
              <w:rPr>
                <w:szCs w:val="24"/>
              </w:rPr>
            </w:pPr>
          </w:p>
          <w:p w14:paraId="161CECD9" w14:textId="77777777" w:rsidR="00624BFF" w:rsidRPr="00687DE8" w:rsidRDefault="00624BFF" w:rsidP="00624BFF">
            <w:pPr>
              <w:spacing w:after="0" w:line="240" w:lineRule="auto"/>
              <w:jc w:val="center"/>
              <w:rPr>
                <w:szCs w:val="24"/>
              </w:rPr>
            </w:pPr>
          </w:p>
          <w:p w14:paraId="6EB6FC66" w14:textId="77777777" w:rsidR="00624BFF" w:rsidRPr="00687DE8" w:rsidRDefault="00624BFF" w:rsidP="00624BFF">
            <w:pPr>
              <w:spacing w:after="0" w:line="240" w:lineRule="auto"/>
              <w:jc w:val="center"/>
              <w:rPr>
                <w:szCs w:val="24"/>
              </w:rPr>
            </w:pPr>
          </w:p>
          <w:p w14:paraId="7CFDBE67" w14:textId="77777777" w:rsidR="00624BFF" w:rsidRPr="00687DE8" w:rsidRDefault="00624BFF" w:rsidP="00624BFF">
            <w:pPr>
              <w:spacing w:after="0" w:line="240" w:lineRule="auto"/>
              <w:jc w:val="center"/>
              <w:rPr>
                <w:szCs w:val="24"/>
              </w:rPr>
            </w:pPr>
          </w:p>
          <w:p w14:paraId="2D7E5E3E" w14:textId="77777777" w:rsidR="00624BFF" w:rsidRPr="00687DE8" w:rsidRDefault="00624BFF" w:rsidP="00624BFF">
            <w:pPr>
              <w:spacing w:after="0" w:line="240" w:lineRule="auto"/>
              <w:jc w:val="center"/>
              <w:rPr>
                <w:szCs w:val="24"/>
              </w:rPr>
            </w:pPr>
            <w:r w:rsidRPr="00687DE8">
              <w:rPr>
                <w:szCs w:val="24"/>
              </w:rPr>
              <w:t>7898</w:t>
            </w:r>
          </w:p>
        </w:tc>
        <w:tc>
          <w:tcPr>
            <w:tcW w:w="4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F24EDB" w14:textId="77777777" w:rsidR="00624BFF" w:rsidRPr="00687DE8" w:rsidRDefault="00624BFF" w:rsidP="00624BFF">
            <w:pPr>
              <w:spacing w:after="0" w:line="240" w:lineRule="auto"/>
              <w:rPr>
                <w:szCs w:val="24"/>
              </w:rPr>
            </w:pPr>
            <w:r w:rsidRPr="00687DE8">
              <w:rPr>
                <w:szCs w:val="24"/>
              </w:rPr>
              <w:t>Koodiga 7898 tähistatud tervishoiuteenust rakendatakse iga järgneva biopsia puhul lisaks koodile 7890 juhul, kui sama protseduuri käigus tehakse patsiendile rohkem kui üks peennõelabiopsia</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D6CEA1" w14:textId="0A631F6D" w:rsidR="2E1E8EE1" w:rsidRPr="00687DE8" w:rsidRDefault="00AA3988">
            <w:pPr>
              <w:spacing w:after="0"/>
              <w:jc w:val="center"/>
              <w:rPr>
                <w:color w:val="000000" w:themeColor="text1"/>
                <w:szCs w:val="24"/>
              </w:rPr>
            </w:pPr>
            <w:r>
              <w:rPr>
                <w:color w:val="000000"/>
              </w:rPr>
              <w:t>13,29</w:t>
            </w:r>
          </w:p>
        </w:tc>
      </w:tr>
      <w:tr w:rsidR="00624BFF" w:rsidRPr="00687DE8" w14:paraId="560571E0" w14:textId="77777777" w:rsidTr="00B93704">
        <w:trPr>
          <w:divId w:val="1316184749"/>
          <w:trHeight w:val="300"/>
        </w:trPr>
        <w:tc>
          <w:tcPr>
            <w:tcW w:w="30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8B2396" w14:textId="77777777" w:rsidR="00624BFF" w:rsidRPr="00687DE8" w:rsidRDefault="00624BFF" w:rsidP="00624BFF">
            <w:pPr>
              <w:spacing w:after="0" w:line="240" w:lineRule="auto"/>
              <w:rPr>
                <w:szCs w:val="24"/>
              </w:rPr>
            </w:pPr>
            <w:r w:rsidRPr="00687DE8">
              <w:rPr>
                <w:szCs w:val="24"/>
              </w:rPr>
              <w:t>Jämenõelabiopsia või punktsioon ultraheli või röntgeni kontrolli all</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E0E9C3" w14:textId="77777777" w:rsidR="00624BFF" w:rsidRPr="00687DE8" w:rsidRDefault="00624BFF" w:rsidP="00624BFF">
            <w:pPr>
              <w:spacing w:after="0" w:line="240" w:lineRule="auto"/>
              <w:jc w:val="center"/>
              <w:rPr>
                <w:szCs w:val="24"/>
              </w:rPr>
            </w:pPr>
          </w:p>
          <w:p w14:paraId="7374C77D" w14:textId="77777777" w:rsidR="00624BFF" w:rsidRPr="00687DE8" w:rsidRDefault="00624BFF" w:rsidP="00624BFF">
            <w:pPr>
              <w:spacing w:after="0" w:line="240" w:lineRule="auto"/>
              <w:jc w:val="center"/>
              <w:rPr>
                <w:szCs w:val="24"/>
              </w:rPr>
            </w:pPr>
          </w:p>
          <w:p w14:paraId="6215F022" w14:textId="77777777" w:rsidR="00624BFF" w:rsidRPr="00687DE8" w:rsidRDefault="00624BFF" w:rsidP="00624BFF">
            <w:pPr>
              <w:spacing w:after="0" w:line="240" w:lineRule="auto"/>
              <w:jc w:val="center"/>
              <w:rPr>
                <w:szCs w:val="24"/>
              </w:rPr>
            </w:pPr>
            <w:r w:rsidRPr="00687DE8">
              <w:rPr>
                <w:szCs w:val="24"/>
              </w:rPr>
              <w:t>7891</w:t>
            </w:r>
          </w:p>
        </w:tc>
        <w:tc>
          <w:tcPr>
            <w:tcW w:w="4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AA2D94" w14:textId="77777777" w:rsidR="00624BFF" w:rsidRPr="00687DE8" w:rsidRDefault="00624BFF" w:rsidP="00624BFF">
            <w:pPr>
              <w:rPr>
                <w:szCs w:val="24"/>
              </w:rPr>
            </w:pP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413BB8" w14:textId="17B943AF" w:rsidR="2E1E8EE1" w:rsidRPr="00687DE8" w:rsidRDefault="00AA3988">
            <w:pPr>
              <w:spacing w:after="0"/>
              <w:jc w:val="center"/>
              <w:rPr>
                <w:color w:val="000000" w:themeColor="text1"/>
                <w:szCs w:val="24"/>
              </w:rPr>
            </w:pPr>
            <w:r>
              <w:rPr>
                <w:color w:val="000000"/>
              </w:rPr>
              <w:t>72,44</w:t>
            </w:r>
          </w:p>
        </w:tc>
      </w:tr>
      <w:tr w:rsidR="00624BFF" w:rsidRPr="00687DE8" w14:paraId="2C950B8C" w14:textId="77777777" w:rsidTr="00B93704">
        <w:trPr>
          <w:divId w:val="1316184749"/>
          <w:trHeight w:val="300"/>
        </w:trPr>
        <w:tc>
          <w:tcPr>
            <w:tcW w:w="30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0D4C8D" w14:textId="77777777" w:rsidR="00624BFF" w:rsidRPr="00687DE8" w:rsidRDefault="00624BFF" w:rsidP="00624BFF">
            <w:pPr>
              <w:spacing w:after="0" w:line="240" w:lineRule="auto"/>
              <w:rPr>
                <w:szCs w:val="24"/>
              </w:rPr>
            </w:pPr>
            <w:r w:rsidRPr="00687DE8">
              <w:rPr>
                <w:szCs w:val="24"/>
              </w:rPr>
              <w:t>Iga järgnev jämenõelabiopsia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3E8ED1" w14:textId="77777777" w:rsidR="00624BFF" w:rsidRPr="00687DE8" w:rsidRDefault="00624BFF" w:rsidP="00624BFF">
            <w:pPr>
              <w:spacing w:after="0" w:line="240" w:lineRule="auto"/>
              <w:jc w:val="center"/>
              <w:rPr>
                <w:szCs w:val="24"/>
              </w:rPr>
            </w:pPr>
          </w:p>
          <w:p w14:paraId="71F9E0B5" w14:textId="77777777" w:rsidR="00624BFF" w:rsidRPr="00687DE8" w:rsidRDefault="00624BFF" w:rsidP="00624BFF">
            <w:pPr>
              <w:spacing w:after="0" w:line="240" w:lineRule="auto"/>
              <w:jc w:val="center"/>
              <w:rPr>
                <w:szCs w:val="24"/>
              </w:rPr>
            </w:pPr>
          </w:p>
          <w:p w14:paraId="1A2E7877" w14:textId="77777777" w:rsidR="00624BFF" w:rsidRPr="00687DE8" w:rsidRDefault="00624BFF" w:rsidP="00624BFF">
            <w:pPr>
              <w:spacing w:after="0" w:line="240" w:lineRule="auto"/>
              <w:jc w:val="center"/>
              <w:rPr>
                <w:szCs w:val="24"/>
              </w:rPr>
            </w:pPr>
          </w:p>
          <w:p w14:paraId="03D038B0" w14:textId="77777777" w:rsidR="00624BFF" w:rsidRPr="00687DE8" w:rsidRDefault="00624BFF" w:rsidP="00624BFF">
            <w:pPr>
              <w:spacing w:after="0" w:line="240" w:lineRule="auto"/>
              <w:jc w:val="center"/>
              <w:rPr>
                <w:szCs w:val="24"/>
              </w:rPr>
            </w:pPr>
          </w:p>
          <w:p w14:paraId="661B680A" w14:textId="77777777" w:rsidR="00624BFF" w:rsidRPr="00687DE8" w:rsidRDefault="00624BFF" w:rsidP="00624BFF">
            <w:pPr>
              <w:spacing w:after="0" w:line="240" w:lineRule="auto"/>
              <w:jc w:val="center"/>
              <w:rPr>
                <w:szCs w:val="24"/>
              </w:rPr>
            </w:pPr>
            <w:r w:rsidRPr="00687DE8">
              <w:rPr>
                <w:szCs w:val="24"/>
              </w:rPr>
              <w:t>7897</w:t>
            </w:r>
          </w:p>
        </w:tc>
        <w:tc>
          <w:tcPr>
            <w:tcW w:w="4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733900" w14:textId="77777777" w:rsidR="00624BFF" w:rsidRPr="00687DE8" w:rsidRDefault="00624BFF" w:rsidP="00624BFF">
            <w:pPr>
              <w:spacing w:after="0" w:line="240" w:lineRule="auto"/>
              <w:rPr>
                <w:szCs w:val="24"/>
              </w:rPr>
            </w:pPr>
            <w:r w:rsidRPr="00687DE8">
              <w:rPr>
                <w:szCs w:val="24"/>
              </w:rPr>
              <w:t>Koodiga 7897 tähistatud tervishoiuteenust rakendatakse iga järgneva biopsia puhul lisaks koodile 7891 juhul, kui sama protseduuri käigus tehakse patsiendile rohkem kui üks jämenõelabiopsia</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7FB697" w14:textId="3966550F" w:rsidR="2E1E8EE1" w:rsidRPr="00687DE8" w:rsidRDefault="00AA3988">
            <w:pPr>
              <w:spacing w:after="0"/>
              <w:jc w:val="center"/>
              <w:rPr>
                <w:color w:val="000000" w:themeColor="text1"/>
                <w:szCs w:val="24"/>
              </w:rPr>
            </w:pPr>
            <w:r>
              <w:rPr>
                <w:color w:val="000000"/>
              </w:rPr>
              <w:t>40,39</w:t>
            </w:r>
          </w:p>
        </w:tc>
      </w:tr>
      <w:tr w:rsidR="00624BFF" w:rsidRPr="00687DE8" w14:paraId="74622967" w14:textId="77777777" w:rsidTr="00B93704">
        <w:trPr>
          <w:divId w:val="1316184749"/>
          <w:trHeight w:val="300"/>
        </w:trPr>
        <w:tc>
          <w:tcPr>
            <w:tcW w:w="30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E8CAA1" w14:textId="77777777" w:rsidR="00624BFF" w:rsidRPr="00687DE8" w:rsidRDefault="00624BFF" w:rsidP="00624BFF">
            <w:pPr>
              <w:spacing w:after="0" w:line="240" w:lineRule="auto"/>
              <w:rPr>
                <w:szCs w:val="24"/>
              </w:rPr>
            </w:pPr>
            <w:r w:rsidRPr="00687DE8">
              <w:rPr>
                <w:szCs w:val="24"/>
              </w:rPr>
              <w:t>Ühemomentse dreeni paigaldamine ultraheli või röntgeni kontrolli all</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B27B59" w14:textId="77777777" w:rsidR="00624BFF" w:rsidRPr="00687DE8" w:rsidRDefault="00624BFF" w:rsidP="00624BFF">
            <w:pPr>
              <w:spacing w:after="0" w:line="240" w:lineRule="auto"/>
              <w:jc w:val="center"/>
              <w:rPr>
                <w:szCs w:val="24"/>
              </w:rPr>
            </w:pPr>
          </w:p>
          <w:p w14:paraId="0F32DEBA" w14:textId="77777777" w:rsidR="00624BFF" w:rsidRPr="00687DE8" w:rsidRDefault="00624BFF" w:rsidP="00624BFF">
            <w:pPr>
              <w:spacing w:after="0" w:line="240" w:lineRule="auto"/>
              <w:jc w:val="center"/>
              <w:rPr>
                <w:szCs w:val="24"/>
              </w:rPr>
            </w:pPr>
          </w:p>
          <w:p w14:paraId="2D972D6F" w14:textId="77777777" w:rsidR="00624BFF" w:rsidRPr="00687DE8" w:rsidRDefault="00624BFF" w:rsidP="00624BFF">
            <w:pPr>
              <w:spacing w:after="0" w:line="240" w:lineRule="auto"/>
              <w:jc w:val="center"/>
              <w:rPr>
                <w:szCs w:val="24"/>
              </w:rPr>
            </w:pPr>
            <w:r w:rsidRPr="00687DE8">
              <w:rPr>
                <w:szCs w:val="24"/>
              </w:rPr>
              <w:t>7892</w:t>
            </w:r>
          </w:p>
        </w:tc>
        <w:tc>
          <w:tcPr>
            <w:tcW w:w="4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B6C714" w14:textId="77777777" w:rsidR="00624BFF" w:rsidRPr="00687DE8" w:rsidRDefault="00624BFF" w:rsidP="00624BFF">
            <w:pPr>
              <w:rPr>
                <w:szCs w:val="24"/>
              </w:rPr>
            </w:pP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F774DC" w14:textId="25D9FB0A" w:rsidR="2E1E8EE1" w:rsidRPr="00687DE8" w:rsidRDefault="00AA3988">
            <w:pPr>
              <w:spacing w:after="0"/>
              <w:jc w:val="center"/>
              <w:rPr>
                <w:color w:val="000000" w:themeColor="text1"/>
                <w:szCs w:val="24"/>
              </w:rPr>
            </w:pPr>
            <w:r>
              <w:rPr>
                <w:color w:val="000000"/>
              </w:rPr>
              <w:t>183,44</w:t>
            </w:r>
          </w:p>
        </w:tc>
      </w:tr>
      <w:tr w:rsidR="00624BFF" w:rsidRPr="00687DE8" w14:paraId="587A082D" w14:textId="77777777" w:rsidTr="00B93704">
        <w:trPr>
          <w:divId w:val="1316184749"/>
          <w:trHeight w:val="300"/>
        </w:trPr>
        <w:tc>
          <w:tcPr>
            <w:tcW w:w="30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DB4F4C" w14:textId="77777777" w:rsidR="00624BFF" w:rsidRPr="00687DE8" w:rsidRDefault="00624BFF" w:rsidP="00624BFF">
            <w:pPr>
              <w:spacing w:after="0" w:line="240" w:lineRule="auto"/>
              <w:rPr>
                <w:szCs w:val="24"/>
              </w:rPr>
            </w:pPr>
            <w:r w:rsidRPr="00687DE8">
              <w:rPr>
                <w:szCs w:val="24"/>
              </w:rPr>
              <w:t>Kahe- või kolmemomentse dreeni paigaldamine ultraheli või röntgeni kontrolli all</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7E129E" w14:textId="77777777" w:rsidR="00624BFF" w:rsidRPr="00687DE8" w:rsidRDefault="00624BFF" w:rsidP="00624BFF">
            <w:pPr>
              <w:spacing w:after="0" w:line="240" w:lineRule="auto"/>
              <w:jc w:val="center"/>
              <w:rPr>
                <w:szCs w:val="24"/>
              </w:rPr>
            </w:pPr>
          </w:p>
          <w:p w14:paraId="2B9D028E" w14:textId="77777777" w:rsidR="00624BFF" w:rsidRPr="00687DE8" w:rsidRDefault="00624BFF" w:rsidP="00624BFF">
            <w:pPr>
              <w:spacing w:after="0" w:line="240" w:lineRule="auto"/>
              <w:jc w:val="center"/>
              <w:rPr>
                <w:szCs w:val="24"/>
              </w:rPr>
            </w:pPr>
          </w:p>
          <w:p w14:paraId="4177BC2E" w14:textId="77777777" w:rsidR="00624BFF" w:rsidRPr="00687DE8" w:rsidRDefault="00624BFF" w:rsidP="00624BFF">
            <w:pPr>
              <w:spacing w:after="0" w:line="240" w:lineRule="auto"/>
              <w:jc w:val="center"/>
              <w:rPr>
                <w:szCs w:val="24"/>
              </w:rPr>
            </w:pPr>
            <w:r w:rsidRPr="00687DE8">
              <w:rPr>
                <w:szCs w:val="24"/>
              </w:rPr>
              <w:t>7893</w:t>
            </w:r>
          </w:p>
        </w:tc>
        <w:tc>
          <w:tcPr>
            <w:tcW w:w="4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7B0C33" w14:textId="77777777" w:rsidR="00624BFF" w:rsidRPr="00687DE8" w:rsidRDefault="00624BFF" w:rsidP="00624BFF">
            <w:pPr>
              <w:rPr>
                <w:szCs w:val="24"/>
              </w:rPr>
            </w:pP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8FE4E3" w14:textId="36807943" w:rsidR="2E1E8EE1" w:rsidRPr="00687DE8" w:rsidRDefault="00AA3988">
            <w:pPr>
              <w:spacing w:after="0"/>
              <w:jc w:val="center"/>
              <w:rPr>
                <w:color w:val="000000" w:themeColor="text1"/>
                <w:szCs w:val="24"/>
              </w:rPr>
            </w:pPr>
            <w:r>
              <w:rPr>
                <w:color w:val="000000"/>
              </w:rPr>
              <w:t>210,31</w:t>
            </w:r>
          </w:p>
        </w:tc>
      </w:tr>
      <w:tr w:rsidR="00624BFF" w:rsidRPr="00687DE8" w14:paraId="73BA618E" w14:textId="77777777" w:rsidTr="00B93704">
        <w:trPr>
          <w:divId w:val="1316184749"/>
          <w:trHeight w:val="300"/>
        </w:trPr>
        <w:tc>
          <w:tcPr>
            <w:tcW w:w="30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987CE3" w14:textId="77777777" w:rsidR="00624BFF" w:rsidRPr="00687DE8" w:rsidRDefault="00624BFF" w:rsidP="00624BFF">
            <w:pPr>
              <w:spacing w:after="0" w:line="240" w:lineRule="auto"/>
              <w:rPr>
                <w:szCs w:val="24"/>
              </w:rPr>
            </w:pPr>
            <w:r w:rsidRPr="00687DE8">
              <w:rPr>
                <w:szCs w:val="24"/>
              </w:rPr>
              <w:t>Pleura punktsioon ultraheli või röntgeni kontrolli all</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FC08CC" w14:textId="77777777" w:rsidR="00624BFF" w:rsidRPr="00687DE8" w:rsidRDefault="00624BFF" w:rsidP="00624BFF">
            <w:pPr>
              <w:spacing w:after="0" w:line="240" w:lineRule="auto"/>
              <w:jc w:val="center"/>
              <w:rPr>
                <w:szCs w:val="24"/>
              </w:rPr>
            </w:pPr>
          </w:p>
          <w:p w14:paraId="3FEA6F5F" w14:textId="77777777" w:rsidR="00624BFF" w:rsidRPr="00687DE8" w:rsidRDefault="00624BFF" w:rsidP="00624BFF">
            <w:pPr>
              <w:spacing w:after="0" w:line="240" w:lineRule="auto"/>
              <w:jc w:val="center"/>
              <w:rPr>
                <w:szCs w:val="24"/>
              </w:rPr>
            </w:pPr>
            <w:r w:rsidRPr="00687DE8">
              <w:rPr>
                <w:szCs w:val="24"/>
              </w:rPr>
              <w:t>7894</w:t>
            </w:r>
          </w:p>
        </w:tc>
        <w:tc>
          <w:tcPr>
            <w:tcW w:w="4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BF739E" w14:textId="77777777" w:rsidR="00624BFF" w:rsidRPr="00687DE8" w:rsidRDefault="00624BFF" w:rsidP="00624BFF">
            <w:pPr>
              <w:rPr>
                <w:szCs w:val="24"/>
              </w:rPr>
            </w:pP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DC6F5A" w14:textId="79B8D5E1" w:rsidR="2E1E8EE1" w:rsidRPr="00687DE8" w:rsidRDefault="00AA3988">
            <w:pPr>
              <w:spacing w:after="0"/>
              <w:jc w:val="center"/>
              <w:rPr>
                <w:color w:val="000000" w:themeColor="text1"/>
                <w:szCs w:val="24"/>
              </w:rPr>
            </w:pPr>
            <w:r>
              <w:rPr>
                <w:color w:val="000000"/>
              </w:rPr>
              <w:t>54,96</w:t>
            </w:r>
          </w:p>
        </w:tc>
      </w:tr>
      <w:tr w:rsidR="00624BFF" w:rsidRPr="00687DE8" w14:paraId="7CF1C7B2" w14:textId="77777777" w:rsidTr="00B93704">
        <w:trPr>
          <w:divId w:val="1316184749"/>
          <w:trHeight w:val="300"/>
        </w:trPr>
        <w:tc>
          <w:tcPr>
            <w:tcW w:w="30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3D8623" w14:textId="77777777" w:rsidR="00624BFF" w:rsidRPr="00687DE8" w:rsidRDefault="00624BFF" w:rsidP="00624BFF">
            <w:pPr>
              <w:spacing w:after="0" w:line="240" w:lineRule="auto"/>
              <w:rPr>
                <w:szCs w:val="24"/>
              </w:rPr>
            </w:pPr>
            <w:r w:rsidRPr="00687DE8">
              <w:rPr>
                <w:szCs w:val="24"/>
              </w:rPr>
              <w:t>Stereotaktiline mammobiopsia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4FC8CD" w14:textId="77777777" w:rsidR="00624BFF" w:rsidRPr="00687DE8" w:rsidRDefault="00624BFF" w:rsidP="00624BFF">
            <w:pPr>
              <w:spacing w:after="0" w:line="240" w:lineRule="auto"/>
              <w:jc w:val="center"/>
              <w:rPr>
                <w:szCs w:val="24"/>
              </w:rPr>
            </w:pPr>
          </w:p>
          <w:p w14:paraId="06D74362" w14:textId="77777777" w:rsidR="00624BFF" w:rsidRPr="00687DE8" w:rsidRDefault="00624BFF" w:rsidP="00624BFF">
            <w:pPr>
              <w:spacing w:after="0" w:line="240" w:lineRule="auto"/>
              <w:jc w:val="center"/>
              <w:rPr>
                <w:szCs w:val="24"/>
              </w:rPr>
            </w:pPr>
            <w:r w:rsidRPr="00687DE8">
              <w:rPr>
                <w:szCs w:val="24"/>
              </w:rPr>
              <w:t>7896</w:t>
            </w:r>
          </w:p>
        </w:tc>
        <w:tc>
          <w:tcPr>
            <w:tcW w:w="4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40B117" w14:textId="77777777" w:rsidR="00624BFF" w:rsidRPr="00687DE8" w:rsidRDefault="00624BFF" w:rsidP="00624BFF">
            <w:pPr>
              <w:rPr>
                <w:szCs w:val="24"/>
              </w:rPr>
            </w:pP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076AB0" w14:textId="42F21113" w:rsidR="2E1E8EE1" w:rsidRPr="00687DE8" w:rsidRDefault="00AA3988">
            <w:pPr>
              <w:spacing w:after="0"/>
              <w:jc w:val="center"/>
              <w:rPr>
                <w:color w:val="000000" w:themeColor="text1"/>
                <w:szCs w:val="24"/>
              </w:rPr>
            </w:pPr>
            <w:r>
              <w:rPr>
                <w:color w:val="000000"/>
              </w:rPr>
              <w:t>107,09</w:t>
            </w:r>
          </w:p>
        </w:tc>
      </w:tr>
      <w:tr w:rsidR="00D503E8" w:rsidRPr="00687DE8" w14:paraId="2CB8A6EB" w14:textId="77777777" w:rsidTr="00B93704">
        <w:trPr>
          <w:divId w:val="1316184749"/>
          <w:trHeight w:val="300"/>
        </w:trPr>
        <w:tc>
          <w:tcPr>
            <w:tcW w:w="30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86E5A8" w14:textId="77777777" w:rsidR="00D503E8" w:rsidRPr="00687DE8" w:rsidRDefault="00D503E8" w:rsidP="00D503E8">
            <w:pPr>
              <w:spacing w:after="0" w:line="240" w:lineRule="auto"/>
              <w:rPr>
                <w:szCs w:val="24"/>
              </w:rPr>
            </w:pPr>
            <w:r w:rsidRPr="00687DE8">
              <w:rPr>
                <w:szCs w:val="24"/>
              </w:rPr>
              <w:t>Mammograafi kontrolli all tehtav lokalisatsioon</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2550BE" w14:textId="77777777" w:rsidR="00D503E8" w:rsidRPr="00687DE8" w:rsidRDefault="00D503E8" w:rsidP="00D503E8">
            <w:pPr>
              <w:spacing w:after="0" w:line="240" w:lineRule="auto"/>
              <w:jc w:val="center"/>
              <w:rPr>
                <w:szCs w:val="24"/>
              </w:rPr>
            </w:pPr>
          </w:p>
          <w:p w14:paraId="6E978CBF" w14:textId="77777777" w:rsidR="00D503E8" w:rsidRPr="00687DE8" w:rsidRDefault="00D503E8" w:rsidP="00D503E8">
            <w:pPr>
              <w:spacing w:after="0" w:line="240" w:lineRule="auto"/>
              <w:jc w:val="center"/>
              <w:rPr>
                <w:szCs w:val="24"/>
              </w:rPr>
            </w:pPr>
            <w:r w:rsidRPr="00687DE8">
              <w:rPr>
                <w:szCs w:val="24"/>
              </w:rPr>
              <w:t>7895</w:t>
            </w:r>
          </w:p>
        </w:tc>
        <w:tc>
          <w:tcPr>
            <w:tcW w:w="4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FF61D0" w14:textId="77777777" w:rsidR="00D503E8" w:rsidRPr="00687DE8" w:rsidRDefault="00D503E8" w:rsidP="00D503E8">
            <w:pPr>
              <w:rPr>
                <w:szCs w:val="24"/>
              </w:rPr>
            </w:pP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B98DAA" w14:textId="5B85D4F3" w:rsidR="2E1E8EE1" w:rsidRPr="00687DE8" w:rsidRDefault="00AA3988">
            <w:pPr>
              <w:spacing w:after="0"/>
              <w:jc w:val="center"/>
              <w:rPr>
                <w:color w:val="000000" w:themeColor="text1"/>
                <w:szCs w:val="24"/>
              </w:rPr>
            </w:pPr>
            <w:r>
              <w:rPr>
                <w:color w:val="000000"/>
              </w:rPr>
              <w:t>114,53</w:t>
            </w:r>
          </w:p>
        </w:tc>
      </w:tr>
      <w:tr w:rsidR="00D503E8" w:rsidRPr="00687DE8" w14:paraId="35596886" w14:textId="77777777" w:rsidTr="00B93704">
        <w:trPr>
          <w:divId w:val="1316184749"/>
          <w:trHeight w:val="300"/>
        </w:trPr>
        <w:tc>
          <w:tcPr>
            <w:tcW w:w="30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27D7C4" w14:textId="77777777" w:rsidR="00D503E8" w:rsidRPr="00687DE8" w:rsidRDefault="00D503E8" w:rsidP="00D503E8">
            <w:pPr>
              <w:spacing w:after="0" w:line="240" w:lineRule="auto"/>
              <w:rPr>
                <w:szCs w:val="24"/>
              </w:rPr>
            </w:pPr>
            <w:r w:rsidRPr="00687DE8">
              <w:rPr>
                <w:szCs w:val="24"/>
              </w:rPr>
              <w:t>Endoproteesi paigaldamine sapiteedesse</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8D4C67" w14:textId="77777777" w:rsidR="00D503E8" w:rsidRPr="00687DE8" w:rsidRDefault="00D503E8" w:rsidP="00D503E8">
            <w:pPr>
              <w:spacing w:after="0" w:line="240" w:lineRule="auto"/>
              <w:jc w:val="center"/>
              <w:rPr>
                <w:szCs w:val="24"/>
              </w:rPr>
            </w:pPr>
          </w:p>
          <w:p w14:paraId="73B8C8DB" w14:textId="77777777" w:rsidR="00D503E8" w:rsidRPr="00687DE8" w:rsidRDefault="00D503E8" w:rsidP="00D503E8">
            <w:pPr>
              <w:spacing w:after="0" w:line="240" w:lineRule="auto"/>
              <w:jc w:val="center"/>
              <w:rPr>
                <w:szCs w:val="24"/>
              </w:rPr>
            </w:pPr>
          </w:p>
          <w:p w14:paraId="12FE77AA" w14:textId="77777777" w:rsidR="00D503E8" w:rsidRPr="00687DE8" w:rsidRDefault="00D503E8" w:rsidP="00D503E8">
            <w:pPr>
              <w:spacing w:after="0" w:line="240" w:lineRule="auto"/>
              <w:jc w:val="center"/>
              <w:rPr>
                <w:szCs w:val="24"/>
              </w:rPr>
            </w:pPr>
          </w:p>
          <w:p w14:paraId="47418335" w14:textId="77777777" w:rsidR="00D503E8" w:rsidRPr="00687DE8" w:rsidRDefault="00D503E8" w:rsidP="00D503E8">
            <w:pPr>
              <w:spacing w:after="0" w:line="240" w:lineRule="auto"/>
              <w:jc w:val="center"/>
              <w:rPr>
                <w:szCs w:val="24"/>
              </w:rPr>
            </w:pPr>
          </w:p>
          <w:p w14:paraId="375368EA" w14:textId="77777777" w:rsidR="00D503E8" w:rsidRPr="00687DE8" w:rsidRDefault="00D503E8" w:rsidP="00D503E8">
            <w:pPr>
              <w:spacing w:after="0" w:line="240" w:lineRule="auto"/>
              <w:jc w:val="center"/>
              <w:rPr>
                <w:szCs w:val="24"/>
              </w:rPr>
            </w:pPr>
            <w:r w:rsidRPr="00687DE8">
              <w:rPr>
                <w:szCs w:val="24"/>
              </w:rPr>
              <w:t>7887</w:t>
            </w:r>
          </w:p>
        </w:tc>
        <w:tc>
          <w:tcPr>
            <w:tcW w:w="4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EC98A0" w14:textId="77777777" w:rsidR="00D503E8" w:rsidRPr="00687DE8" w:rsidRDefault="00D503E8" w:rsidP="00D503E8">
            <w:pPr>
              <w:spacing w:after="0" w:line="240" w:lineRule="auto"/>
              <w:rPr>
                <w:szCs w:val="24"/>
              </w:rPr>
            </w:pPr>
            <w:r w:rsidRPr="00687DE8">
              <w:rPr>
                <w:szCs w:val="24"/>
              </w:rPr>
              <w:t>Koodiga 7887 tähistatud tervishoiuteenuse piirhind sisaldab punktsiooni, sapiteede kateeterdamist, stendi paigaldamist, kontrollülesvõtete tegemist, stentide maksumust</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424071" w14:textId="38476052" w:rsidR="2E1E8EE1" w:rsidRPr="00687DE8" w:rsidRDefault="00AA3988">
            <w:pPr>
              <w:spacing w:after="0"/>
              <w:jc w:val="center"/>
              <w:rPr>
                <w:color w:val="000000" w:themeColor="text1"/>
                <w:szCs w:val="24"/>
              </w:rPr>
            </w:pPr>
            <w:r>
              <w:rPr>
                <w:color w:val="000000"/>
              </w:rPr>
              <w:t>1 338,93</w:t>
            </w:r>
          </w:p>
        </w:tc>
      </w:tr>
      <w:tr w:rsidR="00D503E8" w:rsidRPr="00687DE8" w14:paraId="4ABE8AAB" w14:textId="77777777" w:rsidTr="00B93704">
        <w:trPr>
          <w:divId w:val="1316184749"/>
          <w:trHeight w:val="300"/>
        </w:trPr>
        <w:tc>
          <w:tcPr>
            <w:tcW w:w="30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836AA6" w14:textId="77777777" w:rsidR="00D503E8" w:rsidRPr="00687DE8" w:rsidRDefault="00D503E8" w:rsidP="00D503E8">
            <w:pPr>
              <w:spacing w:after="0" w:line="240" w:lineRule="auto"/>
              <w:rPr>
                <w:szCs w:val="24"/>
              </w:rPr>
            </w:pPr>
            <w:r w:rsidRPr="00687DE8">
              <w:rPr>
                <w:szCs w:val="24"/>
              </w:rPr>
              <w:t>Antegraadne kolangiograafia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9F1961" w14:textId="77777777" w:rsidR="00D503E8" w:rsidRPr="00687DE8" w:rsidRDefault="00D503E8" w:rsidP="00D503E8">
            <w:pPr>
              <w:spacing w:after="0" w:line="240" w:lineRule="auto"/>
              <w:jc w:val="center"/>
              <w:rPr>
                <w:szCs w:val="24"/>
              </w:rPr>
            </w:pPr>
          </w:p>
          <w:p w14:paraId="3F9D651F" w14:textId="77777777" w:rsidR="00D503E8" w:rsidRPr="00687DE8" w:rsidRDefault="00D503E8" w:rsidP="00D503E8">
            <w:pPr>
              <w:spacing w:after="0" w:line="240" w:lineRule="auto"/>
              <w:jc w:val="center"/>
              <w:rPr>
                <w:szCs w:val="24"/>
              </w:rPr>
            </w:pPr>
          </w:p>
          <w:p w14:paraId="143D29A9" w14:textId="77777777" w:rsidR="00D503E8" w:rsidRPr="00687DE8" w:rsidRDefault="00D503E8" w:rsidP="00D503E8">
            <w:pPr>
              <w:spacing w:after="0" w:line="240" w:lineRule="auto"/>
              <w:jc w:val="center"/>
              <w:rPr>
                <w:szCs w:val="24"/>
              </w:rPr>
            </w:pPr>
            <w:r w:rsidRPr="00687DE8">
              <w:rPr>
                <w:szCs w:val="24"/>
              </w:rPr>
              <w:t>6084</w:t>
            </w:r>
          </w:p>
        </w:tc>
        <w:tc>
          <w:tcPr>
            <w:tcW w:w="4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73F23E" w14:textId="77777777" w:rsidR="00D503E8" w:rsidRPr="00687DE8" w:rsidRDefault="00D503E8" w:rsidP="00D503E8">
            <w:pPr>
              <w:spacing w:after="0" w:line="240" w:lineRule="auto"/>
              <w:rPr>
                <w:szCs w:val="24"/>
              </w:rPr>
            </w:pPr>
            <w:r w:rsidRPr="00687DE8">
              <w:rPr>
                <w:szCs w:val="24"/>
              </w:rPr>
              <w:t>Koodiga 6084 tähistatud tervishoiuteenus sisaldab kontrastaine manustamist sapiteede dreeni kaudu</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C7B6FA" w14:textId="2546EECD" w:rsidR="2E1E8EE1" w:rsidRPr="00687DE8" w:rsidRDefault="00AA3988">
            <w:pPr>
              <w:spacing w:after="0"/>
              <w:jc w:val="center"/>
              <w:rPr>
                <w:color w:val="000000" w:themeColor="text1"/>
                <w:szCs w:val="24"/>
              </w:rPr>
            </w:pPr>
            <w:r>
              <w:rPr>
                <w:color w:val="000000"/>
              </w:rPr>
              <w:t>17,38</w:t>
            </w:r>
          </w:p>
        </w:tc>
      </w:tr>
      <w:tr w:rsidR="00D503E8" w:rsidRPr="00687DE8" w14:paraId="614E8060" w14:textId="77777777" w:rsidTr="00B93704">
        <w:trPr>
          <w:divId w:val="1316184749"/>
          <w:trHeight w:val="300"/>
        </w:trPr>
        <w:tc>
          <w:tcPr>
            <w:tcW w:w="30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6B4D81" w14:textId="77777777" w:rsidR="00D503E8" w:rsidRPr="00687DE8" w:rsidRDefault="00D503E8" w:rsidP="00D503E8">
            <w:pPr>
              <w:spacing w:after="0" w:line="240" w:lineRule="auto"/>
              <w:rPr>
                <w:szCs w:val="24"/>
              </w:rPr>
            </w:pPr>
            <w:r w:rsidRPr="00687DE8">
              <w:rPr>
                <w:szCs w:val="24"/>
              </w:rPr>
              <w:t>Perkutaanne transhepaatiline kolangiograafia</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890E27" w14:textId="77777777" w:rsidR="00D503E8" w:rsidRPr="00687DE8" w:rsidRDefault="00D503E8" w:rsidP="00D503E8">
            <w:pPr>
              <w:spacing w:after="0" w:line="240" w:lineRule="auto"/>
              <w:jc w:val="center"/>
              <w:rPr>
                <w:szCs w:val="24"/>
              </w:rPr>
            </w:pPr>
          </w:p>
          <w:p w14:paraId="7705C97A" w14:textId="77777777" w:rsidR="00D503E8" w:rsidRPr="00687DE8" w:rsidRDefault="00D503E8" w:rsidP="00D503E8">
            <w:pPr>
              <w:spacing w:after="0" w:line="240" w:lineRule="auto"/>
              <w:jc w:val="center"/>
              <w:rPr>
                <w:szCs w:val="24"/>
              </w:rPr>
            </w:pPr>
            <w:r w:rsidRPr="00687DE8">
              <w:rPr>
                <w:szCs w:val="24"/>
              </w:rPr>
              <w:t>6085</w:t>
            </w:r>
          </w:p>
        </w:tc>
        <w:tc>
          <w:tcPr>
            <w:tcW w:w="4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0F51F2" w14:textId="77777777" w:rsidR="00D503E8" w:rsidRPr="00687DE8" w:rsidRDefault="00D503E8" w:rsidP="00D503E8">
            <w:pPr>
              <w:spacing w:after="0" w:line="240" w:lineRule="auto"/>
              <w:rPr>
                <w:szCs w:val="24"/>
              </w:rPr>
            </w:pPr>
            <w:r w:rsidRPr="00687DE8">
              <w:rPr>
                <w:szCs w:val="24"/>
              </w:rPr>
              <w:t>Koodiga 6085 tähistatud tervishoiuteenus sisaldab skoopia või ultraheli kontrolli all sapiteede punktsiooni ning kontrastaine manustamist</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F77AB0" w14:textId="2D43ED1D" w:rsidR="2E1E8EE1" w:rsidRPr="00687DE8" w:rsidRDefault="00AA3988">
            <w:pPr>
              <w:spacing w:after="0"/>
              <w:jc w:val="center"/>
              <w:rPr>
                <w:color w:val="000000" w:themeColor="text1"/>
                <w:szCs w:val="24"/>
              </w:rPr>
            </w:pPr>
            <w:r>
              <w:rPr>
                <w:color w:val="000000"/>
              </w:rPr>
              <w:t>25,95</w:t>
            </w:r>
          </w:p>
        </w:tc>
      </w:tr>
      <w:tr w:rsidR="00D503E8" w:rsidRPr="00687DE8" w14:paraId="5F9D652F" w14:textId="77777777" w:rsidTr="00B93704">
        <w:trPr>
          <w:divId w:val="1316184749"/>
          <w:trHeight w:val="300"/>
        </w:trPr>
        <w:tc>
          <w:tcPr>
            <w:tcW w:w="30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9FBEF7" w14:textId="77777777" w:rsidR="00D503E8" w:rsidRPr="00687DE8" w:rsidRDefault="00D503E8" w:rsidP="00D503E8">
            <w:pPr>
              <w:spacing w:after="0" w:line="240" w:lineRule="auto"/>
              <w:rPr>
                <w:szCs w:val="24"/>
              </w:rPr>
            </w:pPr>
            <w:r w:rsidRPr="00687DE8">
              <w:rPr>
                <w:szCs w:val="24"/>
              </w:rPr>
              <w:t xml:space="preserve">Neeru ja maksa primaarsete ja sekundaarsete tuumorite </w:t>
            </w:r>
            <w:r w:rsidRPr="00687DE8">
              <w:rPr>
                <w:szCs w:val="24"/>
              </w:rPr>
              <w:lastRenderedPageBreak/>
              <w:t>raadiosageduslik ablatsioon ultraheli kontrolli all</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814942" w14:textId="77777777" w:rsidR="00D503E8" w:rsidRPr="00687DE8" w:rsidRDefault="00D503E8" w:rsidP="00D503E8">
            <w:pPr>
              <w:spacing w:after="0" w:line="240" w:lineRule="auto"/>
              <w:jc w:val="center"/>
              <w:rPr>
                <w:szCs w:val="24"/>
              </w:rPr>
            </w:pPr>
          </w:p>
          <w:p w14:paraId="53E43E2B" w14:textId="77777777" w:rsidR="00D503E8" w:rsidRPr="00687DE8" w:rsidRDefault="00D503E8" w:rsidP="00D503E8">
            <w:pPr>
              <w:spacing w:after="0" w:line="240" w:lineRule="auto"/>
              <w:jc w:val="center"/>
              <w:rPr>
                <w:szCs w:val="24"/>
              </w:rPr>
            </w:pPr>
            <w:r w:rsidRPr="00687DE8">
              <w:rPr>
                <w:szCs w:val="24"/>
              </w:rPr>
              <w:t>7809</w:t>
            </w:r>
          </w:p>
        </w:tc>
        <w:tc>
          <w:tcPr>
            <w:tcW w:w="4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31E59D" w14:textId="77777777" w:rsidR="00D503E8" w:rsidRPr="00687DE8" w:rsidRDefault="00D503E8" w:rsidP="00D503E8">
            <w:pPr>
              <w:rPr>
                <w:szCs w:val="24"/>
              </w:rPr>
            </w:pP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C18E8D" w14:textId="21EC45AF" w:rsidR="2E1E8EE1" w:rsidRPr="00687DE8" w:rsidRDefault="00AA3988">
            <w:pPr>
              <w:spacing w:after="0"/>
              <w:jc w:val="center"/>
              <w:rPr>
                <w:color w:val="000000" w:themeColor="text1"/>
                <w:szCs w:val="24"/>
              </w:rPr>
            </w:pPr>
            <w:r>
              <w:rPr>
                <w:color w:val="000000"/>
              </w:rPr>
              <w:t>1 305,31</w:t>
            </w:r>
          </w:p>
        </w:tc>
      </w:tr>
      <w:tr w:rsidR="00D503E8" w:rsidRPr="00687DE8" w14:paraId="2338E007" w14:textId="77777777" w:rsidTr="00B93704">
        <w:trPr>
          <w:divId w:val="1316184749"/>
          <w:trHeight w:val="300"/>
        </w:trPr>
        <w:tc>
          <w:tcPr>
            <w:tcW w:w="30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3FA965" w14:textId="77777777" w:rsidR="00D503E8" w:rsidRPr="00687DE8" w:rsidRDefault="00D503E8" w:rsidP="00D503E8">
            <w:pPr>
              <w:spacing w:after="0" w:line="240" w:lineRule="auto"/>
              <w:rPr>
                <w:szCs w:val="24"/>
              </w:rPr>
            </w:pPr>
            <w:r w:rsidRPr="00687DE8">
              <w:rPr>
                <w:szCs w:val="24"/>
              </w:rPr>
              <w:t>Neeru ja maksa primaarsete ja sekundaarsete tuumorite raadiosageduslik ablatsioon kontrastainega ultraheli kontrolli all</w:t>
            </w:r>
          </w:p>
        </w:tc>
        <w:tc>
          <w:tcPr>
            <w:tcW w:w="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E96DE3" w14:textId="77777777" w:rsidR="00D503E8" w:rsidRDefault="00D503E8" w:rsidP="00D503E8">
            <w:pPr>
              <w:spacing w:after="0" w:line="240" w:lineRule="auto"/>
              <w:jc w:val="center"/>
              <w:rPr>
                <w:szCs w:val="24"/>
              </w:rPr>
            </w:pPr>
          </w:p>
          <w:p w14:paraId="6BEFC136" w14:textId="77777777" w:rsidR="005710F7" w:rsidRPr="00687DE8" w:rsidRDefault="005710F7" w:rsidP="00D503E8">
            <w:pPr>
              <w:spacing w:after="0" w:line="240" w:lineRule="auto"/>
              <w:jc w:val="center"/>
              <w:rPr>
                <w:szCs w:val="24"/>
              </w:rPr>
            </w:pPr>
          </w:p>
          <w:p w14:paraId="45398A50" w14:textId="77777777" w:rsidR="00D503E8" w:rsidRPr="00687DE8" w:rsidRDefault="00D503E8" w:rsidP="00C95A08">
            <w:pPr>
              <w:spacing w:after="0" w:line="240" w:lineRule="auto"/>
              <w:rPr>
                <w:szCs w:val="24"/>
              </w:rPr>
            </w:pPr>
            <w:r w:rsidRPr="00687DE8">
              <w:rPr>
                <w:szCs w:val="24"/>
              </w:rPr>
              <w:t>7810</w:t>
            </w:r>
          </w:p>
        </w:tc>
        <w:tc>
          <w:tcPr>
            <w:tcW w:w="4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7BF441" w14:textId="77777777" w:rsidR="00D503E8" w:rsidRPr="00687DE8" w:rsidRDefault="00D503E8" w:rsidP="00D503E8">
            <w:pPr>
              <w:rPr>
                <w:szCs w:val="24"/>
              </w:rPr>
            </w:pP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EB44C9" w14:textId="0039FD61" w:rsidR="00AA3988" w:rsidRPr="00687DE8" w:rsidRDefault="00AA3988" w:rsidP="00AA3988">
            <w:pPr>
              <w:jc w:val="center"/>
              <w:rPr>
                <w:color w:val="000000" w:themeColor="text1"/>
                <w:szCs w:val="24"/>
              </w:rPr>
            </w:pPr>
          </w:p>
          <w:p w14:paraId="182EC456" w14:textId="2211B313" w:rsidR="2E1E8EE1" w:rsidRPr="00EB7A71" w:rsidRDefault="00AA3988" w:rsidP="00D30B8D">
            <w:pPr>
              <w:jc w:val="center"/>
              <w:rPr>
                <w:color w:val="000000"/>
              </w:rPr>
            </w:pPr>
            <w:r w:rsidRPr="00AA3988">
              <w:rPr>
                <w:color w:val="000000"/>
              </w:rPr>
              <w:t>1 443,22</w:t>
            </w:r>
          </w:p>
        </w:tc>
      </w:tr>
    </w:tbl>
    <w:p w14:paraId="57F7239D" w14:textId="77777777" w:rsidR="00976487" w:rsidRPr="00687DE8" w:rsidRDefault="00976487" w:rsidP="00976487">
      <w:pPr>
        <w:spacing w:after="0" w:line="240" w:lineRule="auto"/>
        <w:jc w:val="both"/>
        <w:divId w:val="1316184749"/>
        <w:rPr>
          <w:szCs w:val="24"/>
        </w:rPr>
      </w:pPr>
    </w:p>
    <w:p w14:paraId="3F1E2B48" w14:textId="77777777" w:rsidR="00976487" w:rsidRPr="00687DE8" w:rsidRDefault="00976487" w:rsidP="00976487">
      <w:pPr>
        <w:spacing w:after="0" w:line="240" w:lineRule="auto"/>
        <w:jc w:val="both"/>
        <w:divId w:val="1316184749"/>
        <w:rPr>
          <w:szCs w:val="24"/>
        </w:rPr>
      </w:pPr>
      <w:r w:rsidRPr="00687DE8">
        <w:rPr>
          <w:szCs w:val="24"/>
        </w:rPr>
        <w:t xml:space="preserve">(2) Endovaskulaarkirurgiliste protseduuride piirhinnad on järgmised: </w:t>
      </w:r>
    </w:p>
    <w:p w14:paraId="036F3C8E"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601"/>
        <w:gridCol w:w="4213"/>
        <w:gridCol w:w="1590"/>
      </w:tblGrid>
      <w:tr w:rsidR="00976487" w:rsidRPr="00687DE8" w14:paraId="3687C520" w14:textId="77777777" w:rsidTr="00492C2F">
        <w:trPr>
          <w:divId w:val="1316184749"/>
          <w:tblHeader/>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72CD6E" w14:textId="77777777" w:rsidR="00976487" w:rsidRPr="00687DE8" w:rsidRDefault="00976487">
            <w:pPr>
              <w:spacing w:after="0" w:line="240" w:lineRule="auto"/>
              <w:rPr>
                <w:b/>
                <w:bCs/>
                <w:szCs w:val="24"/>
              </w:rPr>
            </w:pPr>
            <w:r w:rsidRPr="00687DE8">
              <w:rPr>
                <w:b/>
                <w:bCs/>
                <w:szCs w:val="24"/>
              </w:rPr>
              <w:t>Tervishoiuteenuse nimetus</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3FD77F" w14:textId="77777777" w:rsidR="00976487" w:rsidRPr="00687DE8" w:rsidRDefault="00976487">
            <w:pPr>
              <w:spacing w:after="0" w:line="240" w:lineRule="auto"/>
              <w:jc w:val="center"/>
              <w:rPr>
                <w:b/>
                <w:bCs/>
                <w:szCs w:val="24"/>
              </w:rPr>
            </w:pPr>
            <w:r w:rsidRPr="00687DE8">
              <w:rPr>
                <w:b/>
                <w:bCs/>
                <w:szCs w:val="24"/>
              </w:rPr>
              <w:t>Kood</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3AD124" w14:textId="77777777" w:rsidR="00976487" w:rsidRPr="00687DE8" w:rsidRDefault="00976487">
            <w:pPr>
              <w:spacing w:after="0" w:line="240" w:lineRule="auto"/>
              <w:rPr>
                <w:b/>
                <w:bCs/>
                <w:szCs w:val="24"/>
              </w:rPr>
            </w:pPr>
            <w:r w:rsidRPr="00687DE8">
              <w:rPr>
                <w:b/>
                <w:bCs/>
                <w:szCs w:val="24"/>
              </w:rPr>
              <w:t>Toimingu kirjeldus ja tingimus</w:t>
            </w:r>
          </w:p>
        </w:tc>
        <w:tc>
          <w:tcPr>
            <w:tcW w:w="1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F764026" w14:textId="77777777" w:rsidR="00976487" w:rsidRPr="00687DE8" w:rsidRDefault="00976487">
            <w:pPr>
              <w:tabs>
                <w:tab w:val="decimal" w:pos="635"/>
              </w:tabs>
              <w:spacing w:after="0" w:line="240" w:lineRule="auto"/>
              <w:jc w:val="center"/>
              <w:rPr>
                <w:b/>
                <w:color w:val="000000"/>
                <w:szCs w:val="24"/>
              </w:rPr>
            </w:pPr>
            <w:r w:rsidRPr="00687DE8">
              <w:rPr>
                <w:b/>
                <w:color w:val="000000"/>
                <w:szCs w:val="24"/>
              </w:rPr>
              <w:t>Piirhind eurodes</w:t>
            </w:r>
          </w:p>
        </w:tc>
      </w:tr>
      <w:tr w:rsidR="002111BE" w:rsidRPr="00687DE8" w14:paraId="781808A1"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A235DE" w14:textId="77777777" w:rsidR="002111BE" w:rsidRPr="00687DE8" w:rsidRDefault="002111BE" w:rsidP="002111BE">
            <w:pPr>
              <w:spacing w:after="0" w:line="240" w:lineRule="auto"/>
              <w:rPr>
                <w:szCs w:val="24"/>
              </w:rPr>
            </w:pPr>
            <w:r w:rsidRPr="00687DE8">
              <w:rPr>
                <w:szCs w:val="24"/>
              </w:rPr>
              <w:t>Võõrkeha endovaskulaarne eemaldamine südamest või suurtest veresoontest</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FCDC2E" w14:textId="77777777" w:rsidR="002111BE" w:rsidRPr="00687DE8" w:rsidRDefault="002111BE" w:rsidP="002111BE">
            <w:pPr>
              <w:spacing w:after="0" w:line="240" w:lineRule="auto"/>
              <w:jc w:val="center"/>
              <w:rPr>
                <w:szCs w:val="24"/>
              </w:rPr>
            </w:pPr>
          </w:p>
          <w:p w14:paraId="4697C24D" w14:textId="77777777" w:rsidR="002111BE" w:rsidRPr="00687DE8" w:rsidRDefault="002111BE" w:rsidP="002111BE">
            <w:pPr>
              <w:spacing w:after="0" w:line="240" w:lineRule="auto"/>
              <w:jc w:val="center"/>
              <w:rPr>
                <w:szCs w:val="24"/>
              </w:rPr>
            </w:pPr>
            <w:r w:rsidRPr="00687DE8">
              <w:rPr>
                <w:szCs w:val="24"/>
              </w:rPr>
              <w:t>7816</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05EBE6" w14:textId="77777777" w:rsidR="002111BE" w:rsidRPr="00687DE8" w:rsidRDefault="002111BE" w:rsidP="002111BE">
            <w:pPr>
              <w:spacing w:after="0" w:line="240" w:lineRule="auto"/>
              <w:rPr>
                <w:szCs w:val="24"/>
              </w:rPr>
            </w:pPr>
          </w:p>
        </w:tc>
        <w:tc>
          <w:tcPr>
            <w:tcW w:w="1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DCB39B" w14:textId="4BBA2B8F" w:rsidR="2E1E8EE1" w:rsidRPr="00687DE8" w:rsidRDefault="00D4402A">
            <w:pPr>
              <w:spacing w:after="0"/>
              <w:jc w:val="center"/>
              <w:rPr>
                <w:color w:val="000000" w:themeColor="text1"/>
                <w:szCs w:val="24"/>
              </w:rPr>
            </w:pPr>
            <w:r>
              <w:rPr>
                <w:color w:val="000000"/>
              </w:rPr>
              <w:t>1 268,04</w:t>
            </w:r>
          </w:p>
        </w:tc>
      </w:tr>
      <w:tr w:rsidR="002111BE" w:rsidRPr="00687DE8" w14:paraId="33108FE0"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7B3EE1" w14:textId="77777777" w:rsidR="002111BE" w:rsidRPr="00687DE8" w:rsidRDefault="002111BE" w:rsidP="002111BE">
            <w:pPr>
              <w:spacing w:after="0" w:line="240" w:lineRule="auto"/>
              <w:rPr>
                <w:szCs w:val="24"/>
              </w:rPr>
            </w:pPr>
            <w:r w:rsidRPr="00687DE8">
              <w:rPr>
                <w:szCs w:val="24"/>
              </w:rPr>
              <w:t>Niudearteri stenoosi või aneurüsmi angioplastika 1. veresoonel</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EBCEBF" w14:textId="77777777" w:rsidR="002111BE" w:rsidRPr="00687DE8" w:rsidRDefault="002111BE" w:rsidP="002111BE">
            <w:pPr>
              <w:spacing w:after="0" w:line="240" w:lineRule="auto"/>
              <w:jc w:val="center"/>
              <w:rPr>
                <w:szCs w:val="24"/>
              </w:rPr>
            </w:pPr>
          </w:p>
          <w:p w14:paraId="54674CC1" w14:textId="77777777" w:rsidR="002111BE" w:rsidRPr="00687DE8" w:rsidRDefault="002111BE" w:rsidP="002111BE">
            <w:pPr>
              <w:spacing w:after="0" w:line="240" w:lineRule="auto"/>
              <w:jc w:val="center"/>
              <w:rPr>
                <w:szCs w:val="24"/>
              </w:rPr>
            </w:pPr>
          </w:p>
          <w:p w14:paraId="19F85A03" w14:textId="77777777" w:rsidR="002111BE" w:rsidRPr="00687DE8" w:rsidRDefault="002111BE" w:rsidP="002111BE">
            <w:pPr>
              <w:spacing w:after="0" w:line="240" w:lineRule="auto"/>
              <w:jc w:val="center"/>
              <w:rPr>
                <w:szCs w:val="24"/>
              </w:rPr>
            </w:pPr>
            <w:r w:rsidRPr="00687DE8">
              <w:rPr>
                <w:szCs w:val="24"/>
              </w:rPr>
              <w:t>7817</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A1ED05" w14:textId="77777777" w:rsidR="002111BE" w:rsidRPr="00687DE8" w:rsidRDefault="002111BE" w:rsidP="002111BE">
            <w:pPr>
              <w:spacing w:after="0" w:line="240" w:lineRule="auto"/>
              <w:rPr>
                <w:szCs w:val="24"/>
              </w:rPr>
            </w:pPr>
            <w:r w:rsidRPr="00687DE8">
              <w:rPr>
                <w:szCs w:val="24"/>
              </w:rPr>
              <w:t>Niudearteril, unearteril, õlavarrearteril, arteriovenoossel fistulil, neeruarteril, vistseraalarteril või kõhuaordil tehtav esimene angioplastika märgitakse põhiprotseduurina</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E817F2" w14:textId="4025E511" w:rsidR="2E1E8EE1" w:rsidRPr="00687DE8" w:rsidRDefault="00D4402A">
            <w:pPr>
              <w:spacing w:after="0"/>
              <w:jc w:val="center"/>
              <w:rPr>
                <w:color w:val="000000" w:themeColor="text1"/>
                <w:szCs w:val="24"/>
              </w:rPr>
            </w:pPr>
            <w:r>
              <w:rPr>
                <w:color w:val="000000"/>
              </w:rPr>
              <w:t>984,16</w:t>
            </w:r>
          </w:p>
        </w:tc>
      </w:tr>
      <w:tr w:rsidR="002111BE" w:rsidRPr="00687DE8" w14:paraId="221B3944"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6C45CA" w14:textId="77777777" w:rsidR="002111BE" w:rsidRPr="00687DE8" w:rsidRDefault="002111BE" w:rsidP="002111BE">
            <w:pPr>
              <w:spacing w:after="0" w:line="240" w:lineRule="auto"/>
              <w:rPr>
                <w:szCs w:val="24"/>
              </w:rPr>
            </w:pPr>
            <w:r w:rsidRPr="00687DE8">
              <w:rPr>
                <w:szCs w:val="24"/>
              </w:rPr>
              <w:t>Reiearteri/õndlaarteri stenoosi või aneurüsmi angioplastika 1. veresoonel</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D748B3" w14:textId="77777777" w:rsidR="002111BE" w:rsidRPr="00687DE8" w:rsidRDefault="002111BE" w:rsidP="002111BE">
            <w:pPr>
              <w:spacing w:after="0" w:line="240" w:lineRule="auto"/>
              <w:jc w:val="center"/>
              <w:rPr>
                <w:szCs w:val="24"/>
              </w:rPr>
            </w:pPr>
          </w:p>
          <w:p w14:paraId="1B0CE893" w14:textId="77777777" w:rsidR="002111BE" w:rsidRPr="00687DE8" w:rsidRDefault="002111BE" w:rsidP="002111BE">
            <w:pPr>
              <w:spacing w:after="0" w:line="240" w:lineRule="auto"/>
              <w:jc w:val="center"/>
              <w:rPr>
                <w:szCs w:val="24"/>
              </w:rPr>
            </w:pPr>
            <w:r w:rsidRPr="00687DE8">
              <w:rPr>
                <w:szCs w:val="24"/>
              </w:rPr>
              <w:t>7818</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43184E" w14:textId="60CA29BC" w:rsidR="002111BE" w:rsidRPr="00687DE8" w:rsidRDefault="002111BE" w:rsidP="002111BE">
            <w:pPr>
              <w:spacing w:after="0" w:line="240" w:lineRule="auto"/>
              <w:rPr>
                <w:szCs w:val="24"/>
              </w:rPr>
            </w:pPr>
            <w:r w:rsidRPr="00687DE8">
              <w:rPr>
                <w:szCs w:val="24"/>
              </w:rPr>
              <w:t>Reiearteril või õndlaarteril tehtav esimene angioplastika protseduur märgitakse põhiprotseduurina</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8BA671" w14:textId="08D1966B" w:rsidR="2E1E8EE1" w:rsidRPr="00687DE8" w:rsidRDefault="00D4402A">
            <w:pPr>
              <w:spacing w:after="0"/>
              <w:jc w:val="center"/>
              <w:rPr>
                <w:color w:val="000000" w:themeColor="text1"/>
                <w:szCs w:val="24"/>
              </w:rPr>
            </w:pPr>
            <w:r>
              <w:rPr>
                <w:color w:val="000000"/>
              </w:rPr>
              <w:t>979,56</w:t>
            </w:r>
          </w:p>
        </w:tc>
      </w:tr>
      <w:tr w:rsidR="002111BE" w:rsidRPr="00687DE8" w14:paraId="09146641"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F60471" w14:textId="77777777" w:rsidR="002111BE" w:rsidRPr="00687DE8" w:rsidRDefault="002111BE" w:rsidP="002111BE">
            <w:pPr>
              <w:spacing w:after="0" w:line="240" w:lineRule="auto"/>
              <w:rPr>
                <w:szCs w:val="24"/>
              </w:rPr>
            </w:pPr>
            <w:r w:rsidRPr="00687DE8">
              <w:rPr>
                <w:szCs w:val="24"/>
              </w:rPr>
              <w:t xml:space="preserve">Niudearteri angioplastikale järgnev niudearteri stenoosi või aneurüsmi angioplastika </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056903" w14:textId="77777777" w:rsidR="002111BE" w:rsidRPr="00687DE8" w:rsidRDefault="002111BE" w:rsidP="002111BE">
            <w:pPr>
              <w:spacing w:after="0" w:line="240" w:lineRule="auto"/>
              <w:jc w:val="center"/>
              <w:rPr>
                <w:szCs w:val="24"/>
              </w:rPr>
            </w:pPr>
          </w:p>
          <w:p w14:paraId="799A84A8" w14:textId="77777777" w:rsidR="002111BE" w:rsidRPr="00687DE8" w:rsidRDefault="002111BE" w:rsidP="002111BE">
            <w:pPr>
              <w:spacing w:after="0" w:line="240" w:lineRule="auto"/>
              <w:jc w:val="center"/>
              <w:rPr>
                <w:szCs w:val="24"/>
              </w:rPr>
            </w:pPr>
          </w:p>
          <w:p w14:paraId="37E028CD" w14:textId="77777777" w:rsidR="002111BE" w:rsidRPr="00687DE8" w:rsidRDefault="002111BE" w:rsidP="002111BE">
            <w:pPr>
              <w:spacing w:after="0" w:line="240" w:lineRule="auto"/>
              <w:jc w:val="center"/>
              <w:rPr>
                <w:szCs w:val="24"/>
              </w:rPr>
            </w:pPr>
            <w:r w:rsidRPr="00687DE8">
              <w:rPr>
                <w:szCs w:val="24"/>
              </w:rPr>
              <w:t>7819</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8A1F69" w14:textId="77777777" w:rsidR="002111BE" w:rsidRPr="00687DE8" w:rsidRDefault="002111BE" w:rsidP="002111BE">
            <w:pPr>
              <w:spacing w:after="0" w:line="240" w:lineRule="auto"/>
              <w:rPr>
                <w:szCs w:val="24"/>
              </w:rPr>
            </w:pPr>
            <w:r w:rsidRPr="00687DE8">
              <w:rPr>
                <w:szCs w:val="24"/>
              </w:rPr>
              <w:t>Rakendatakse juhul, kui niudearteri põhiprotseduurile järgneb lisaprotseduur niudearteril, unearteril või õlavarrearteril, arteriovenoossel fistulil, neeruarteril, vistseraalarteril või kõhuaordil</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7A2859" w14:textId="6B844728" w:rsidR="2E1E8EE1" w:rsidRPr="00687DE8" w:rsidRDefault="00D4402A">
            <w:pPr>
              <w:spacing w:after="0"/>
              <w:jc w:val="center"/>
              <w:rPr>
                <w:color w:val="000000" w:themeColor="text1"/>
                <w:szCs w:val="24"/>
              </w:rPr>
            </w:pPr>
            <w:r>
              <w:rPr>
                <w:color w:val="000000"/>
              </w:rPr>
              <w:t>286,36</w:t>
            </w:r>
          </w:p>
        </w:tc>
      </w:tr>
      <w:tr w:rsidR="00492C2F" w:rsidRPr="00687DE8" w14:paraId="111256DE"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A38CF3" w14:textId="77777777" w:rsidR="00492C2F" w:rsidRPr="00687DE8" w:rsidRDefault="00492C2F" w:rsidP="00492C2F">
            <w:pPr>
              <w:spacing w:after="0" w:line="240" w:lineRule="auto"/>
              <w:rPr>
                <w:szCs w:val="24"/>
              </w:rPr>
            </w:pPr>
            <w:r w:rsidRPr="00687DE8">
              <w:rPr>
                <w:szCs w:val="24"/>
              </w:rPr>
              <w:t xml:space="preserve">Niudearteri angioplastikale järgnev reiearteri/õndlaarteri stenoosi või aneurüsmi angioplastika </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632F1B" w14:textId="77777777" w:rsidR="00492C2F" w:rsidRPr="00687DE8" w:rsidRDefault="00492C2F" w:rsidP="00492C2F">
            <w:pPr>
              <w:spacing w:after="0" w:line="240" w:lineRule="auto"/>
              <w:jc w:val="center"/>
              <w:rPr>
                <w:szCs w:val="24"/>
              </w:rPr>
            </w:pPr>
          </w:p>
          <w:p w14:paraId="0AD35EA2" w14:textId="77777777" w:rsidR="00492C2F" w:rsidRPr="00687DE8" w:rsidRDefault="00492C2F" w:rsidP="00492C2F">
            <w:pPr>
              <w:spacing w:after="0" w:line="240" w:lineRule="auto"/>
              <w:jc w:val="center"/>
              <w:rPr>
                <w:szCs w:val="24"/>
              </w:rPr>
            </w:pPr>
            <w:r w:rsidRPr="00687DE8">
              <w:rPr>
                <w:szCs w:val="24"/>
              </w:rPr>
              <w:t>7820</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E22B44" w14:textId="77777777" w:rsidR="00492C2F" w:rsidRPr="00687DE8" w:rsidRDefault="00492C2F" w:rsidP="00492C2F">
            <w:pPr>
              <w:spacing w:after="0" w:line="240" w:lineRule="auto"/>
              <w:rPr>
                <w:szCs w:val="24"/>
              </w:rPr>
            </w:pPr>
            <w:r w:rsidRPr="00687DE8">
              <w:rPr>
                <w:szCs w:val="24"/>
              </w:rPr>
              <w:t>Rakendatakse juhul, kui niudearteri põhiprotseduurile järgneb lisaprotseduur reiearteril või niudearteril</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037C7F" w14:textId="4CAAC3E4" w:rsidR="2E1E8EE1" w:rsidRPr="00687DE8" w:rsidRDefault="00D4402A">
            <w:pPr>
              <w:spacing w:after="0"/>
              <w:jc w:val="center"/>
              <w:rPr>
                <w:color w:val="000000" w:themeColor="text1"/>
                <w:szCs w:val="24"/>
              </w:rPr>
            </w:pPr>
            <w:r>
              <w:rPr>
                <w:color w:val="000000"/>
              </w:rPr>
              <w:t>454,28</w:t>
            </w:r>
          </w:p>
        </w:tc>
      </w:tr>
      <w:tr w:rsidR="00492C2F" w:rsidRPr="00687DE8" w14:paraId="083B0C31"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9B3AD9" w14:textId="77777777" w:rsidR="00492C2F" w:rsidRPr="00687DE8" w:rsidRDefault="00492C2F" w:rsidP="00492C2F">
            <w:pPr>
              <w:spacing w:after="0" w:line="240" w:lineRule="auto"/>
              <w:rPr>
                <w:szCs w:val="24"/>
              </w:rPr>
            </w:pPr>
            <w:r w:rsidRPr="00687DE8">
              <w:rPr>
                <w:szCs w:val="24"/>
              </w:rPr>
              <w:t xml:space="preserve">Reiearteri/õndlaarteri angioplastikale järgnev reiearteri/õndlaarteri stenoosi või aneurüsmi angioplastika </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A60700" w14:textId="77777777" w:rsidR="00492C2F" w:rsidRPr="00687DE8" w:rsidRDefault="00492C2F" w:rsidP="00492C2F">
            <w:pPr>
              <w:spacing w:after="0" w:line="240" w:lineRule="auto"/>
              <w:jc w:val="center"/>
              <w:rPr>
                <w:szCs w:val="24"/>
              </w:rPr>
            </w:pPr>
          </w:p>
          <w:p w14:paraId="3E675F12" w14:textId="77777777" w:rsidR="00492C2F" w:rsidRPr="00687DE8" w:rsidRDefault="00492C2F" w:rsidP="00492C2F">
            <w:pPr>
              <w:spacing w:after="0" w:line="240" w:lineRule="auto"/>
              <w:jc w:val="center"/>
              <w:rPr>
                <w:szCs w:val="24"/>
              </w:rPr>
            </w:pPr>
            <w:r w:rsidRPr="00687DE8">
              <w:rPr>
                <w:szCs w:val="24"/>
              </w:rPr>
              <w:t>7821</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B707BD" w14:textId="77777777" w:rsidR="00492C2F" w:rsidRPr="00687DE8" w:rsidRDefault="00492C2F" w:rsidP="00492C2F">
            <w:pPr>
              <w:spacing w:after="0" w:line="240" w:lineRule="auto"/>
              <w:rPr>
                <w:szCs w:val="24"/>
              </w:rPr>
            </w:pPr>
            <w:r w:rsidRPr="00687DE8">
              <w:rPr>
                <w:szCs w:val="24"/>
              </w:rPr>
              <w:t>Rakendatakse juhul, kui reiearteri või õndlaarteri angioplastika põhiprotseduurile järgneb lisaprotseduur reie- või õndlaarteril</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8FBC3F" w14:textId="4E29CD21" w:rsidR="2E1E8EE1" w:rsidRPr="00687DE8" w:rsidRDefault="00D4402A">
            <w:pPr>
              <w:spacing w:after="0"/>
              <w:jc w:val="center"/>
              <w:rPr>
                <w:color w:val="000000" w:themeColor="text1"/>
                <w:szCs w:val="24"/>
              </w:rPr>
            </w:pPr>
            <w:r>
              <w:rPr>
                <w:color w:val="000000"/>
              </w:rPr>
              <w:t>336,43</w:t>
            </w:r>
          </w:p>
        </w:tc>
      </w:tr>
      <w:tr w:rsidR="00492C2F" w:rsidRPr="00687DE8" w14:paraId="4D0B71B6"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4F5BE3" w14:textId="77777777" w:rsidR="00492C2F" w:rsidRPr="00687DE8" w:rsidRDefault="00492C2F" w:rsidP="00492C2F">
            <w:pPr>
              <w:spacing w:after="0" w:line="240" w:lineRule="auto"/>
              <w:rPr>
                <w:szCs w:val="24"/>
              </w:rPr>
            </w:pPr>
            <w:r w:rsidRPr="00687DE8">
              <w:rPr>
                <w:szCs w:val="24"/>
              </w:rPr>
              <w:t xml:space="preserve">Niudearteri või reiearteri/õndlaarteri angioplastikale järgnev sääre või labajala arteri stenoosi või aneurüsmi angioplastika </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84F41F" w14:textId="77777777" w:rsidR="00492C2F" w:rsidRPr="00687DE8" w:rsidRDefault="00492C2F" w:rsidP="00492C2F">
            <w:pPr>
              <w:spacing w:after="0" w:line="240" w:lineRule="auto"/>
              <w:jc w:val="center"/>
              <w:rPr>
                <w:szCs w:val="24"/>
              </w:rPr>
            </w:pPr>
          </w:p>
          <w:p w14:paraId="4D8765D9" w14:textId="77777777" w:rsidR="00492C2F" w:rsidRPr="00687DE8" w:rsidRDefault="00492C2F" w:rsidP="00492C2F">
            <w:pPr>
              <w:spacing w:after="0" w:line="240" w:lineRule="auto"/>
              <w:jc w:val="center"/>
              <w:rPr>
                <w:szCs w:val="24"/>
              </w:rPr>
            </w:pPr>
            <w:r w:rsidRPr="00687DE8">
              <w:rPr>
                <w:szCs w:val="24"/>
              </w:rPr>
              <w:t>7822</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5B06E7" w14:textId="77777777" w:rsidR="00492C2F" w:rsidRPr="00687DE8" w:rsidRDefault="00492C2F" w:rsidP="00492C2F">
            <w:pPr>
              <w:spacing w:after="0" w:line="240" w:lineRule="auto"/>
              <w:rPr>
                <w:szCs w:val="24"/>
              </w:rPr>
            </w:pPr>
            <w:r w:rsidRPr="00687DE8">
              <w:rPr>
                <w:szCs w:val="24"/>
              </w:rPr>
              <w:t>Rakendatakse juhul, kui reiearteri või niudearteri angioplastika põhiprotseduurile järgneb lisaprotseduur sääre või labajala arteril</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12C4F2" w14:textId="34AF59E2" w:rsidR="2E1E8EE1" w:rsidRPr="00687DE8" w:rsidRDefault="00D4402A">
            <w:pPr>
              <w:spacing w:after="0"/>
              <w:jc w:val="center"/>
              <w:rPr>
                <w:color w:val="000000" w:themeColor="text1"/>
                <w:szCs w:val="24"/>
              </w:rPr>
            </w:pPr>
            <w:r>
              <w:rPr>
                <w:color w:val="000000"/>
              </w:rPr>
              <w:t>582,25</w:t>
            </w:r>
          </w:p>
        </w:tc>
      </w:tr>
      <w:tr w:rsidR="00492C2F" w:rsidRPr="00687DE8" w14:paraId="7DC19751"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F7DFF3" w14:textId="77777777" w:rsidR="00492C2F" w:rsidRPr="00687DE8" w:rsidRDefault="00492C2F" w:rsidP="00492C2F">
            <w:pPr>
              <w:spacing w:after="0" w:line="240" w:lineRule="auto"/>
              <w:rPr>
                <w:szCs w:val="24"/>
              </w:rPr>
            </w:pPr>
            <w:r w:rsidRPr="00687DE8">
              <w:rPr>
                <w:szCs w:val="24"/>
              </w:rPr>
              <w:t xml:space="preserve">Niudearteri oklusiooni või trauma angioplastika või </w:t>
            </w:r>
            <w:r w:rsidRPr="00687DE8">
              <w:rPr>
                <w:szCs w:val="24"/>
              </w:rPr>
              <w:lastRenderedPageBreak/>
              <w:t xml:space="preserve">kateeterjuhitud trombolüüs 1. veresoonel </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57332F" w14:textId="77777777" w:rsidR="00492C2F" w:rsidRPr="00687DE8" w:rsidRDefault="00492C2F" w:rsidP="00492C2F">
            <w:pPr>
              <w:spacing w:after="0" w:line="240" w:lineRule="auto"/>
              <w:jc w:val="center"/>
              <w:rPr>
                <w:szCs w:val="24"/>
              </w:rPr>
            </w:pPr>
          </w:p>
          <w:p w14:paraId="3EDFB940" w14:textId="77777777" w:rsidR="00492C2F" w:rsidRPr="00687DE8" w:rsidRDefault="00492C2F" w:rsidP="00492C2F">
            <w:pPr>
              <w:spacing w:after="0" w:line="240" w:lineRule="auto"/>
              <w:jc w:val="center"/>
              <w:rPr>
                <w:szCs w:val="24"/>
              </w:rPr>
            </w:pPr>
          </w:p>
          <w:p w14:paraId="27D2A80A" w14:textId="77777777" w:rsidR="00492C2F" w:rsidRPr="00687DE8" w:rsidRDefault="00492C2F" w:rsidP="00492C2F">
            <w:pPr>
              <w:spacing w:after="0" w:line="240" w:lineRule="auto"/>
              <w:jc w:val="center"/>
              <w:rPr>
                <w:szCs w:val="24"/>
              </w:rPr>
            </w:pPr>
            <w:r w:rsidRPr="00687DE8">
              <w:rPr>
                <w:szCs w:val="24"/>
              </w:rPr>
              <w:lastRenderedPageBreak/>
              <w:t>7823</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854EAA" w14:textId="77777777" w:rsidR="00492C2F" w:rsidRPr="00687DE8" w:rsidRDefault="00492C2F" w:rsidP="00492C2F">
            <w:pPr>
              <w:spacing w:after="0" w:line="240" w:lineRule="auto"/>
              <w:rPr>
                <w:szCs w:val="24"/>
              </w:rPr>
            </w:pPr>
            <w:r w:rsidRPr="00687DE8">
              <w:rPr>
                <w:szCs w:val="24"/>
              </w:rPr>
              <w:lastRenderedPageBreak/>
              <w:t xml:space="preserve">Niudearteri, unearteri, õlavarrearteri, arteriovenoosse fistuli, neeruarteri, </w:t>
            </w:r>
            <w:r w:rsidRPr="00687DE8">
              <w:rPr>
                <w:szCs w:val="24"/>
              </w:rPr>
              <w:lastRenderedPageBreak/>
              <w:t>vistseraalarteri ning kõhuaordi oklusiooni või trauma esimene angioplastika märgitakse põhiprotseduurina</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B346ED" w14:textId="46180659" w:rsidR="2E1E8EE1" w:rsidRPr="00687DE8" w:rsidRDefault="00D4402A">
            <w:pPr>
              <w:spacing w:after="0"/>
              <w:jc w:val="center"/>
              <w:rPr>
                <w:color w:val="000000" w:themeColor="text1"/>
                <w:szCs w:val="24"/>
              </w:rPr>
            </w:pPr>
            <w:r>
              <w:rPr>
                <w:color w:val="000000"/>
              </w:rPr>
              <w:lastRenderedPageBreak/>
              <w:t>1 318,93</w:t>
            </w:r>
          </w:p>
        </w:tc>
      </w:tr>
      <w:tr w:rsidR="00492C2F" w:rsidRPr="00687DE8" w14:paraId="62BCCD68" w14:textId="77777777" w:rsidTr="00EB7A71">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D70813" w14:textId="77777777" w:rsidR="00492C2F" w:rsidRPr="00687DE8" w:rsidRDefault="00492C2F" w:rsidP="00492C2F">
            <w:pPr>
              <w:spacing w:after="0" w:line="240" w:lineRule="auto"/>
              <w:rPr>
                <w:szCs w:val="24"/>
              </w:rPr>
            </w:pPr>
            <w:r w:rsidRPr="00687DE8">
              <w:rPr>
                <w:szCs w:val="24"/>
              </w:rPr>
              <w:t xml:space="preserve">Reiearteri/õndlaarteri oklusiooni või trauma angioplastika või kateeterjuhitud trombolüüs 1. veresoonel </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D6E02F" w14:textId="77777777" w:rsidR="00492C2F" w:rsidRPr="00687DE8" w:rsidRDefault="00492C2F" w:rsidP="00492C2F">
            <w:pPr>
              <w:spacing w:after="0" w:line="240" w:lineRule="auto"/>
              <w:jc w:val="center"/>
              <w:rPr>
                <w:szCs w:val="24"/>
              </w:rPr>
            </w:pPr>
          </w:p>
          <w:p w14:paraId="39635ED7" w14:textId="77777777" w:rsidR="00492C2F" w:rsidRPr="00687DE8" w:rsidRDefault="00492C2F" w:rsidP="00492C2F">
            <w:pPr>
              <w:spacing w:after="0" w:line="240" w:lineRule="auto"/>
              <w:jc w:val="center"/>
              <w:rPr>
                <w:szCs w:val="24"/>
              </w:rPr>
            </w:pPr>
          </w:p>
          <w:p w14:paraId="343A29EF" w14:textId="77777777" w:rsidR="00492C2F" w:rsidRPr="00687DE8" w:rsidRDefault="00492C2F" w:rsidP="00492C2F">
            <w:pPr>
              <w:spacing w:after="0" w:line="240" w:lineRule="auto"/>
              <w:jc w:val="center"/>
              <w:rPr>
                <w:szCs w:val="24"/>
              </w:rPr>
            </w:pPr>
            <w:r w:rsidRPr="00687DE8">
              <w:rPr>
                <w:szCs w:val="24"/>
              </w:rPr>
              <w:t>7824</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6788C5" w14:textId="77777777" w:rsidR="00492C2F" w:rsidRPr="00687DE8" w:rsidRDefault="00492C2F" w:rsidP="00492C2F">
            <w:pPr>
              <w:spacing w:after="0" w:line="240" w:lineRule="auto"/>
              <w:rPr>
                <w:szCs w:val="24"/>
              </w:rPr>
            </w:pPr>
            <w:r w:rsidRPr="00687DE8">
              <w:rPr>
                <w:szCs w:val="24"/>
              </w:rPr>
              <w:t xml:space="preserve">Reiearteri või õndlaarteri oklusiooni või trauma esimene angioplastika või kateeterjuhitud trombolüüs märgitakse põhiprotseduurina </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1098B8" w14:textId="22B8569B" w:rsidR="2E1E8EE1" w:rsidRPr="00687DE8" w:rsidRDefault="00D4402A">
            <w:pPr>
              <w:spacing w:after="0"/>
              <w:jc w:val="center"/>
              <w:rPr>
                <w:color w:val="000000" w:themeColor="text1"/>
                <w:szCs w:val="24"/>
              </w:rPr>
            </w:pPr>
            <w:r>
              <w:rPr>
                <w:color w:val="000000"/>
              </w:rPr>
              <w:t>1 601,58</w:t>
            </w:r>
          </w:p>
        </w:tc>
      </w:tr>
      <w:tr w:rsidR="00492C2F" w:rsidRPr="00687DE8" w14:paraId="7F315D88"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873002" w14:textId="77777777" w:rsidR="00492C2F" w:rsidRPr="00687DE8" w:rsidRDefault="00492C2F" w:rsidP="00492C2F">
            <w:pPr>
              <w:spacing w:after="0" w:line="240" w:lineRule="auto"/>
              <w:rPr>
                <w:szCs w:val="24"/>
              </w:rPr>
            </w:pPr>
            <w:r w:rsidRPr="00687DE8">
              <w:rPr>
                <w:szCs w:val="24"/>
              </w:rPr>
              <w:t xml:space="preserve">Niudearteri angioplastikale järgnev niudearteri oklusiooni või trauma angioplastika </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4976A0" w14:textId="77777777" w:rsidR="00492C2F" w:rsidRPr="00687DE8" w:rsidRDefault="00492C2F" w:rsidP="00492C2F">
            <w:pPr>
              <w:spacing w:after="0" w:line="240" w:lineRule="auto"/>
              <w:jc w:val="center"/>
              <w:rPr>
                <w:szCs w:val="24"/>
              </w:rPr>
            </w:pPr>
          </w:p>
          <w:p w14:paraId="51F4DCDC" w14:textId="77777777" w:rsidR="00492C2F" w:rsidRPr="00687DE8" w:rsidRDefault="00492C2F" w:rsidP="00492C2F">
            <w:pPr>
              <w:spacing w:after="0" w:line="240" w:lineRule="auto"/>
              <w:jc w:val="center"/>
              <w:rPr>
                <w:szCs w:val="24"/>
              </w:rPr>
            </w:pPr>
          </w:p>
          <w:p w14:paraId="39C9D165" w14:textId="77777777" w:rsidR="00492C2F" w:rsidRPr="00687DE8" w:rsidRDefault="00492C2F" w:rsidP="00492C2F">
            <w:pPr>
              <w:spacing w:after="0" w:line="240" w:lineRule="auto"/>
              <w:jc w:val="center"/>
              <w:rPr>
                <w:szCs w:val="24"/>
              </w:rPr>
            </w:pPr>
            <w:r w:rsidRPr="00687DE8">
              <w:rPr>
                <w:szCs w:val="24"/>
              </w:rPr>
              <w:t>7825</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72D1A2" w14:textId="77777777" w:rsidR="00492C2F" w:rsidRPr="00687DE8" w:rsidRDefault="00492C2F" w:rsidP="00492C2F">
            <w:pPr>
              <w:spacing w:after="0" w:line="240" w:lineRule="auto"/>
              <w:rPr>
                <w:szCs w:val="24"/>
              </w:rPr>
            </w:pPr>
            <w:r w:rsidRPr="00687DE8">
              <w:rPr>
                <w:szCs w:val="24"/>
              </w:rPr>
              <w:t xml:space="preserve">Rakendatakse juhul, kui niudearteri põhiprotseduurile järgneb niudearteri, unearteri, õlavarrearteri, arteriovenoosse fistuli, neeruarteri, vistseraalarteri või kõhuaordi oklusiooni või trauma angioplastika lisaprotseduur </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51FF40" w14:textId="14DF3CB9" w:rsidR="2E1E8EE1" w:rsidRPr="00687DE8" w:rsidRDefault="00D4402A">
            <w:pPr>
              <w:spacing w:after="0"/>
              <w:jc w:val="center"/>
              <w:rPr>
                <w:color w:val="000000" w:themeColor="text1"/>
                <w:szCs w:val="24"/>
              </w:rPr>
            </w:pPr>
            <w:r>
              <w:rPr>
                <w:color w:val="000000"/>
              </w:rPr>
              <w:t>380,77</w:t>
            </w:r>
          </w:p>
        </w:tc>
      </w:tr>
      <w:tr w:rsidR="00492C2F" w:rsidRPr="00687DE8" w14:paraId="3F39BAE8"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AE5019" w14:textId="77777777" w:rsidR="00492C2F" w:rsidRPr="00687DE8" w:rsidRDefault="00492C2F" w:rsidP="00492C2F">
            <w:pPr>
              <w:spacing w:after="0" w:line="240" w:lineRule="auto"/>
              <w:rPr>
                <w:szCs w:val="24"/>
              </w:rPr>
            </w:pPr>
            <w:r w:rsidRPr="00687DE8">
              <w:rPr>
                <w:szCs w:val="24"/>
              </w:rPr>
              <w:t xml:space="preserve">Niudearteri angioplastikale järgnev reiearteri/õndlaarteri oklusiooni või trauma angioplastika </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80E0D1" w14:textId="77777777" w:rsidR="00492C2F" w:rsidRPr="00687DE8" w:rsidRDefault="00492C2F" w:rsidP="00492C2F">
            <w:pPr>
              <w:spacing w:after="0" w:line="240" w:lineRule="auto"/>
              <w:jc w:val="center"/>
              <w:rPr>
                <w:szCs w:val="24"/>
              </w:rPr>
            </w:pPr>
          </w:p>
          <w:p w14:paraId="073D9356" w14:textId="77777777" w:rsidR="00492C2F" w:rsidRPr="00687DE8" w:rsidRDefault="00492C2F" w:rsidP="00492C2F">
            <w:pPr>
              <w:spacing w:after="0" w:line="240" w:lineRule="auto"/>
              <w:jc w:val="center"/>
              <w:rPr>
                <w:szCs w:val="24"/>
              </w:rPr>
            </w:pPr>
            <w:r w:rsidRPr="00687DE8">
              <w:rPr>
                <w:szCs w:val="24"/>
              </w:rPr>
              <w:t>7826</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4A02D0" w14:textId="77777777" w:rsidR="00492C2F" w:rsidRPr="00687DE8" w:rsidRDefault="00492C2F" w:rsidP="00492C2F">
            <w:pPr>
              <w:spacing w:after="0" w:line="240" w:lineRule="auto"/>
              <w:rPr>
                <w:szCs w:val="24"/>
              </w:rPr>
            </w:pPr>
            <w:r w:rsidRPr="00687DE8">
              <w:rPr>
                <w:szCs w:val="24"/>
              </w:rPr>
              <w:t>Rakendatakse juhul, kui niudearteri põhiprotseduurile järgneb reiearteri või õndlaarteri oklusiooni või trauma angioplastika lisaprotseduur</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07B351F" w14:textId="53293276" w:rsidR="2E1E8EE1" w:rsidRPr="00687DE8" w:rsidRDefault="00D4402A">
            <w:pPr>
              <w:spacing w:after="0"/>
              <w:jc w:val="center"/>
              <w:rPr>
                <w:color w:val="000000" w:themeColor="text1"/>
                <w:szCs w:val="24"/>
              </w:rPr>
            </w:pPr>
            <w:r>
              <w:rPr>
                <w:color w:val="000000"/>
              </w:rPr>
              <w:t>899,12</w:t>
            </w:r>
          </w:p>
        </w:tc>
      </w:tr>
      <w:tr w:rsidR="00492C2F" w:rsidRPr="00687DE8" w14:paraId="2DB5A7B9"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43DFC" w14:textId="77777777" w:rsidR="00492C2F" w:rsidRPr="00687DE8" w:rsidRDefault="00492C2F" w:rsidP="00492C2F">
            <w:pPr>
              <w:spacing w:after="0" w:line="240" w:lineRule="auto"/>
              <w:rPr>
                <w:szCs w:val="24"/>
              </w:rPr>
            </w:pPr>
            <w:r w:rsidRPr="00687DE8">
              <w:rPr>
                <w:szCs w:val="24"/>
              </w:rPr>
              <w:t xml:space="preserve">Reiearteri/õndlaarteri angioplastikale järgnev reiearteri/õndlaarteri oklusiooni või trauma angioplastika </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4D59B7" w14:textId="77777777" w:rsidR="00492C2F" w:rsidRDefault="00492C2F" w:rsidP="00492C2F">
            <w:pPr>
              <w:spacing w:after="0" w:line="240" w:lineRule="auto"/>
              <w:jc w:val="center"/>
              <w:rPr>
                <w:szCs w:val="24"/>
              </w:rPr>
            </w:pPr>
          </w:p>
          <w:p w14:paraId="51ADBD09" w14:textId="77777777" w:rsidR="005710F7" w:rsidRPr="00687DE8" w:rsidRDefault="005710F7" w:rsidP="00492C2F">
            <w:pPr>
              <w:spacing w:after="0" w:line="240" w:lineRule="auto"/>
              <w:jc w:val="center"/>
              <w:rPr>
                <w:szCs w:val="24"/>
              </w:rPr>
            </w:pPr>
          </w:p>
          <w:p w14:paraId="5977B445" w14:textId="77777777" w:rsidR="00492C2F" w:rsidRPr="00687DE8" w:rsidRDefault="00492C2F" w:rsidP="00492C2F">
            <w:pPr>
              <w:spacing w:after="0" w:line="240" w:lineRule="auto"/>
              <w:jc w:val="center"/>
              <w:rPr>
                <w:szCs w:val="24"/>
              </w:rPr>
            </w:pPr>
            <w:r w:rsidRPr="00687DE8">
              <w:rPr>
                <w:szCs w:val="24"/>
              </w:rPr>
              <w:t>7827</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4B9F65" w14:textId="77777777" w:rsidR="00492C2F" w:rsidRPr="00687DE8" w:rsidRDefault="00492C2F" w:rsidP="00492C2F">
            <w:pPr>
              <w:spacing w:after="0" w:line="240" w:lineRule="auto"/>
              <w:rPr>
                <w:szCs w:val="24"/>
              </w:rPr>
            </w:pPr>
            <w:r w:rsidRPr="00687DE8">
              <w:rPr>
                <w:szCs w:val="24"/>
              </w:rPr>
              <w:t xml:space="preserve">Rakendatakse juhul, kui reiearteri või õndlaarteri angioplastika põhiprotseduurile järgneb reiearteri või õndlaarteri oklusiooni või trauma angioplastika lisaprotseduur </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6D86F7" w14:textId="6E81CDFA" w:rsidR="2E1E8EE1" w:rsidRPr="00687DE8" w:rsidRDefault="00D4402A">
            <w:pPr>
              <w:spacing w:after="0"/>
              <w:jc w:val="center"/>
              <w:rPr>
                <w:color w:val="000000" w:themeColor="text1"/>
                <w:szCs w:val="24"/>
              </w:rPr>
            </w:pPr>
            <w:r>
              <w:rPr>
                <w:color w:val="000000"/>
              </w:rPr>
              <w:t>609,10</w:t>
            </w:r>
          </w:p>
        </w:tc>
      </w:tr>
      <w:tr w:rsidR="00492C2F" w:rsidRPr="00687DE8" w14:paraId="0FA7491E"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F04085" w14:textId="77777777" w:rsidR="00492C2F" w:rsidRPr="00687DE8" w:rsidRDefault="00492C2F" w:rsidP="00492C2F">
            <w:pPr>
              <w:spacing w:after="0" w:line="240" w:lineRule="auto"/>
              <w:rPr>
                <w:szCs w:val="24"/>
              </w:rPr>
            </w:pPr>
            <w:r w:rsidRPr="00687DE8">
              <w:rPr>
                <w:szCs w:val="24"/>
              </w:rPr>
              <w:t xml:space="preserve">Reiearteri/õndlaarteri või niudearteri angioplastikale järgnev sääre või labajala arteri oklusiooni või trauma angioplastika </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E7FFC4" w14:textId="77777777" w:rsidR="00492C2F" w:rsidRPr="00687DE8" w:rsidRDefault="00492C2F" w:rsidP="00492C2F">
            <w:pPr>
              <w:spacing w:after="0" w:line="240" w:lineRule="auto"/>
              <w:jc w:val="center"/>
              <w:rPr>
                <w:szCs w:val="24"/>
              </w:rPr>
            </w:pPr>
          </w:p>
          <w:p w14:paraId="3BA98DAC" w14:textId="77777777" w:rsidR="00492C2F" w:rsidRPr="00687DE8" w:rsidRDefault="00492C2F" w:rsidP="00492C2F">
            <w:pPr>
              <w:spacing w:after="0" w:line="240" w:lineRule="auto"/>
              <w:jc w:val="center"/>
              <w:rPr>
                <w:szCs w:val="24"/>
              </w:rPr>
            </w:pPr>
          </w:p>
          <w:p w14:paraId="72ACD606" w14:textId="77777777" w:rsidR="00492C2F" w:rsidRPr="00687DE8" w:rsidRDefault="00492C2F" w:rsidP="00492C2F">
            <w:pPr>
              <w:spacing w:after="0" w:line="240" w:lineRule="auto"/>
              <w:jc w:val="center"/>
              <w:rPr>
                <w:szCs w:val="24"/>
              </w:rPr>
            </w:pPr>
            <w:r w:rsidRPr="00687DE8">
              <w:rPr>
                <w:szCs w:val="24"/>
              </w:rPr>
              <w:t>7828</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9B9C83" w14:textId="77777777" w:rsidR="00492C2F" w:rsidRPr="00687DE8" w:rsidRDefault="00492C2F" w:rsidP="00492C2F">
            <w:pPr>
              <w:spacing w:after="0" w:line="240" w:lineRule="auto"/>
              <w:rPr>
                <w:szCs w:val="24"/>
              </w:rPr>
            </w:pPr>
            <w:r w:rsidRPr="00687DE8">
              <w:rPr>
                <w:szCs w:val="24"/>
              </w:rPr>
              <w:t xml:space="preserve">Rakendatakse juhul, kui reiearteri/õndlaarteri või niudearteri angioplastika põhiprotseduurile järgneb sääre või jalalaba arteri oklusiooni või trauma angioplastika lisaprotseduur </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577134" w14:textId="04C7EC5B" w:rsidR="2E1E8EE1" w:rsidRPr="00687DE8" w:rsidRDefault="00D4402A">
            <w:pPr>
              <w:spacing w:after="0"/>
              <w:jc w:val="center"/>
              <w:rPr>
                <w:color w:val="000000" w:themeColor="text1"/>
                <w:szCs w:val="24"/>
              </w:rPr>
            </w:pPr>
            <w:r>
              <w:rPr>
                <w:color w:val="000000"/>
              </w:rPr>
              <w:t>1 032,62</w:t>
            </w:r>
          </w:p>
        </w:tc>
      </w:tr>
      <w:tr w:rsidR="000F59EF" w:rsidRPr="00687DE8" w14:paraId="15106322"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ACCFE1" w14:textId="77777777" w:rsidR="000F59EF" w:rsidRPr="00687DE8" w:rsidRDefault="000F59EF" w:rsidP="000F59EF">
            <w:pPr>
              <w:spacing w:after="0" w:line="240" w:lineRule="auto"/>
              <w:rPr>
                <w:szCs w:val="24"/>
              </w:rPr>
            </w:pPr>
            <w:r w:rsidRPr="00687DE8">
              <w:rPr>
                <w:szCs w:val="24"/>
              </w:rPr>
              <w:t>Sääre arteri või jalalaba arteri stenoosi või aneurüsmi angioplastika 1. veresoonel</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63A97F" w14:textId="77777777" w:rsidR="000F59EF" w:rsidRPr="00687DE8" w:rsidRDefault="000F59EF" w:rsidP="000F59EF">
            <w:pPr>
              <w:spacing w:after="0" w:line="240" w:lineRule="auto"/>
              <w:jc w:val="center"/>
              <w:rPr>
                <w:szCs w:val="24"/>
              </w:rPr>
            </w:pPr>
          </w:p>
          <w:p w14:paraId="3E6A42C8" w14:textId="77777777" w:rsidR="000F59EF" w:rsidRPr="00687DE8" w:rsidRDefault="000F59EF" w:rsidP="000F59EF">
            <w:pPr>
              <w:spacing w:after="0" w:line="240" w:lineRule="auto"/>
              <w:jc w:val="center"/>
              <w:rPr>
                <w:szCs w:val="24"/>
              </w:rPr>
            </w:pPr>
            <w:r w:rsidRPr="00687DE8">
              <w:rPr>
                <w:szCs w:val="24"/>
              </w:rPr>
              <w:t>7829</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90BDBD" w14:textId="77777777" w:rsidR="000F59EF" w:rsidRPr="00687DE8" w:rsidRDefault="000F59EF" w:rsidP="000F59EF">
            <w:pPr>
              <w:spacing w:after="0" w:line="240" w:lineRule="auto"/>
              <w:rPr>
                <w:szCs w:val="24"/>
              </w:rPr>
            </w:pPr>
            <w:r w:rsidRPr="00687DE8">
              <w:rPr>
                <w:szCs w:val="24"/>
              </w:rPr>
              <w:t xml:space="preserve">Sääre arteri või jalalaba arteri stenoosi või aneurüsmi esimene angioplastika märgitakse põhiprotseduurina </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FA51B2" w14:textId="04C30E58" w:rsidR="2E1E8EE1" w:rsidRPr="00687DE8" w:rsidRDefault="00D4402A">
            <w:pPr>
              <w:spacing w:after="0"/>
              <w:jc w:val="center"/>
              <w:rPr>
                <w:color w:val="000000" w:themeColor="text1"/>
                <w:szCs w:val="24"/>
              </w:rPr>
            </w:pPr>
            <w:r>
              <w:rPr>
                <w:color w:val="000000"/>
              </w:rPr>
              <w:t>1 216,18</w:t>
            </w:r>
          </w:p>
        </w:tc>
      </w:tr>
      <w:tr w:rsidR="000F59EF" w:rsidRPr="00687DE8" w14:paraId="5827DEFC"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B7BA23" w14:textId="77777777" w:rsidR="000F59EF" w:rsidRPr="00687DE8" w:rsidRDefault="000F59EF" w:rsidP="000F59EF">
            <w:pPr>
              <w:spacing w:after="0" w:line="240" w:lineRule="auto"/>
              <w:rPr>
                <w:szCs w:val="24"/>
              </w:rPr>
            </w:pPr>
            <w:r w:rsidRPr="00687DE8">
              <w:rPr>
                <w:szCs w:val="24"/>
              </w:rPr>
              <w:t>Sääre või jalalaba arteri angioplastikale järgnev sääre arteri või jalalaba arteri stenoosi või aneurüsmi angioplastika</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5C12F8" w14:textId="77777777" w:rsidR="000F59EF" w:rsidRDefault="000F59EF" w:rsidP="000F59EF">
            <w:pPr>
              <w:spacing w:after="0" w:line="240" w:lineRule="auto"/>
              <w:jc w:val="center"/>
              <w:rPr>
                <w:szCs w:val="24"/>
              </w:rPr>
            </w:pPr>
          </w:p>
          <w:p w14:paraId="775E6612" w14:textId="77777777" w:rsidR="005710F7" w:rsidRPr="00687DE8" w:rsidRDefault="005710F7" w:rsidP="000F59EF">
            <w:pPr>
              <w:spacing w:after="0" w:line="240" w:lineRule="auto"/>
              <w:jc w:val="center"/>
              <w:rPr>
                <w:szCs w:val="24"/>
              </w:rPr>
            </w:pPr>
          </w:p>
          <w:p w14:paraId="5C50B21F" w14:textId="77777777" w:rsidR="000F59EF" w:rsidRPr="00687DE8" w:rsidRDefault="000F59EF" w:rsidP="000F59EF">
            <w:pPr>
              <w:spacing w:after="0" w:line="240" w:lineRule="auto"/>
              <w:jc w:val="center"/>
              <w:rPr>
                <w:szCs w:val="24"/>
              </w:rPr>
            </w:pPr>
            <w:r w:rsidRPr="00687DE8">
              <w:rPr>
                <w:szCs w:val="24"/>
              </w:rPr>
              <w:t>7830</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CE3D2F" w14:textId="77777777" w:rsidR="000F59EF" w:rsidRPr="00687DE8" w:rsidRDefault="000F59EF" w:rsidP="000F59EF">
            <w:pPr>
              <w:spacing w:after="0" w:line="240" w:lineRule="auto"/>
              <w:rPr>
                <w:szCs w:val="24"/>
              </w:rPr>
            </w:pPr>
            <w:r w:rsidRPr="00687DE8">
              <w:rPr>
                <w:szCs w:val="24"/>
              </w:rPr>
              <w:t xml:space="preserve">Rakendatakse juhul, kui sääre või labajala arteri angioplastika põhiprotseduurile järgneb stenoosi või aneurüsmi lisaprotseduur sääre või labajala arteril </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3D3ED0" w14:textId="4A09EAAF" w:rsidR="2E1E8EE1" w:rsidRPr="00687DE8" w:rsidRDefault="00D4402A">
            <w:pPr>
              <w:spacing w:after="0"/>
              <w:jc w:val="center"/>
              <w:rPr>
                <w:color w:val="000000" w:themeColor="text1"/>
                <w:szCs w:val="24"/>
              </w:rPr>
            </w:pPr>
            <w:r>
              <w:rPr>
                <w:color w:val="000000"/>
              </w:rPr>
              <w:t>306,61</w:t>
            </w:r>
          </w:p>
        </w:tc>
      </w:tr>
      <w:tr w:rsidR="000F59EF" w:rsidRPr="00687DE8" w14:paraId="05CA3324"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A24F74" w14:textId="77777777" w:rsidR="000F59EF" w:rsidRPr="00687DE8" w:rsidRDefault="000F59EF" w:rsidP="000F59EF">
            <w:pPr>
              <w:spacing w:after="0" w:line="240" w:lineRule="auto"/>
              <w:rPr>
                <w:szCs w:val="24"/>
              </w:rPr>
            </w:pPr>
            <w:r w:rsidRPr="00687DE8">
              <w:rPr>
                <w:szCs w:val="24"/>
              </w:rPr>
              <w:t xml:space="preserve">Sääre või jalalaba arteri oklusiooni või trauma angioplastika või kateeterjuhitud trombolüüs 1. veresoonel </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F199EE" w14:textId="77777777" w:rsidR="000F59EF" w:rsidRPr="00687DE8" w:rsidRDefault="000F59EF" w:rsidP="000F59EF">
            <w:pPr>
              <w:spacing w:after="0" w:line="240" w:lineRule="auto"/>
              <w:jc w:val="center"/>
              <w:rPr>
                <w:szCs w:val="24"/>
              </w:rPr>
            </w:pPr>
          </w:p>
          <w:p w14:paraId="31AB1F98" w14:textId="77777777" w:rsidR="000F59EF" w:rsidRPr="00687DE8" w:rsidRDefault="000F59EF" w:rsidP="000F59EF">
            <w:pPr>
              <w:spacing w:after="0" w:line="240" w:lineRule="auto"/>
              <w:jc w:val="center"/>
              <w:rPr>
                <w:szCs w:val="24"/>
              </w:rPr>
            </w:pPr>
            <w:r w:rsidRPr="00687DE8">
              <w:rPr>
                <w:szCs w:val="24"/>
              </w:rPr>
              <w:t>7831</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E7E5C9" w14:textId="77777777" w:rsidR="000F59EF" w:rsidRPr="00687DE8" w:rsidRDefault="000F59EF" w:rsidP="000F59EF">
            <w:pPr>
              <w:spacing w:after="0" w:line="240" w:lineRule="auto"/>
              <w:rPr>
                <w:szCs w:val="24"/>
              </w:rPr>
            </w:pPr>
            <w:r w:rsidRPr="00687DE8">
              <w:rPr>
                <w:szCs w:val="24"/>
              </w:rPr>
              <w:t>Sääre või labajala arteri oklusiooni või trauma angioplastika või kateeterjuhitud trombolüüsi esimene protseduur märgitakse põhiprotseduurina</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D07366" w14:textId="797D158F" w:rsidR="2E1E8EE1" w:rsidRPr="00687DE8" w:rsidRDefault="00D4402A">
            <w:pPr>
              <w:spacing w:after="0"/>
              <w:jc w:val="center"/>
              <w:rPr>
                <w:color w:val="000000" w:themeColor="text1"/>
                <w:szCs w:val="24"/>
              </w:rPr>
            </w:pPr>
            <w:r>
              <w:rPr>
                <w:color w:val="000000"/>
              </w:rPr>
              <w:t>1 819,79</w:t>
            </w:r>
          </w:p>
        </w:tc>
      </w:tr>
      <w:tr w:rsidR="000F59EF" w:rsidRPr="00687DE8" w14:paraId="65FB380F" w14:textId="77777777" w:rsidTr="00D30B8D">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189C8F" w14:textId="77777777" w:rsidR="000F59EF" w:rsidRPr="00687DE8" w:rsidRDefault="000F59EF" w:rsidP="000F59EF">
            <w:pPr>
              <w:spacing w:after="0" w:line="240" w:lineRule="auto"/>
              <w:rPr>
                <w:szCs w:val="24"/>
              </w:rPr>
            </w:pPr>
            <w:r w:rsidRPr="00687DE8">
              <w:rPr>
                <w:szCs w:val="24"/>
              </w:rPr>
              <w:t xml:space="preserve">Sääre või jalalaba arteri angioplastikale järgnev sääre </w:t>
            </w:r>
            <w:r w:rsidRPr="00687DE8">
              <w:rPr>
                <w:szCs w:val="24"/>
              </w:rPr>
              <w:lastRenderedPageBreak/>
              <w:t xml:space="preserve">või jalalaba arteri oklusiooni või trauma angioplastika </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3AE16F" w14:textId="77777777" w:rsidR="000F59EF" w:rsidRPr="00687DE8" w:rsidRDefault="000F59EF" w:rsidP="000F59EF">
            <w:pPr>
              <w:spacing w:after="0" w:line="240" w:lineRule="auto"/>
              <w:jc w:val="center"/>
              <w:rPr>
                <w:szCs w:val="24"/>
              </w:rPr>
            </w:pPr>
          </w:p>
          <w:p w14:paraId="253F1B42" w14:textId="77777777" w:rsidR="000F59EF" w:rsidRPr="00687DE8" w:rsidRDefault="000F59EF" w:rsidP="000F59EF">
            <w:pPr>
              <w:spacing w:after="0" w:line="240" w:lineRule="auto"/>
              <w:jc w:val="center"/>
              <w:rPr>
                <w:szCs w:val="24"/>
              </w:rPr>
            </w:pPr>
            <w:r w:rsidRPr="00687DE8">
              <w:rPr>
                <w:szCs w:val="24"/>
              </w:rPr>
              <w:t>7832</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056662" w14:textId="77777777" w:rsidR="000F59EF" w:rsidRPr="00687DE8" w:rsidRDefault="000F59EF" w:rsidP="000F59EF">
            <w:pPr>
              <w:spacing w:after="0" w:line="240" w:lineRule="auto"/>
              <w:rPr>
                <w:szCs w:val="24"/>
              </w:rPr>
            </w:pPr>
            <w:r w:rsidRPr="00687DE8">
              <w:rPr>
                <w:szCs w:val="24"/>
              </w:rPr>
              <w:t xml:space="preserve">Rakendatakse juhul, kui sääre või labajala arteri angioplastika põhiprotseduurile </w:t>
            </w:r>
            <w:r w:rsidRPr="00687DE8">
              <w:rPr>
                <w:szCs w:val="24"/>
              </w:rPr>
              <w:lastRenderedPageBreak/>
              <w:t>järgneb oklusiooni või trauma korral lisaprotseduur samadel arteritel</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6151EB" w14:textId="4EB114EC" w:rsidR="2E1E8EE1" w:rsidRPr="00687DE8" w:rsidRDefault="00D4402A">
            <w:pPr>
              <w:spacing w:after="0"/>
              <w:jc w:val="center"/>
              <w:rPr>
                <w:color w:val="000000" w:themeColor="text1"/>
                <w:szCs w:val="24"/>
              </w:rPr>
            </w:pPr>
            <w:r>
              <w:rPr>
                <w:color w:val="000000"/>
              </w:rPr>
              <w:lastRenderedPageBreak/>
              <w:t>607,26</w:t>
            </w:r>
          </w:p>
        </w:tc>
      </w:tr>
      <w:tr w:rsidR="000F59EF" w:rsidRPr="00687DE8" w14:paraId="4A7641AE" w14:textId="77777777" w:rsidTr="00EB7A71">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2004D5" w14:textId="77777777" w:rsidR="000F59EF" w:rsidRPr="00687DE8" w:rsidRDefault="000F59EF" w:rsidP="000F59EF">
            <w:pPr>
              <w:spacing w:after="0" w:line="240" w:lineRule="auto"/>
              <w:rPr>
                <w:szCs w:val="24"/>
              </w:rPr>
            </w:pPr>
            <w:r w:rsidRPr="00687DE8">
              <w:rPr>
                <w:szCs w:val="24"/>
              </w:rPr>
              <w:t>Ajuarteri aneurüsmide endovaskulaarne okluseerimine</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493A35" w14:textId="77777777" w:rsidR="000F59EF" w:rsidRPr="00687DE8" w:rsidRDefault="000F59EF" w:rsidP="000F59EF">
            <w:pPr>
              <w:spacing w:after="0" w:line="240" w:lineRule="auto"/>
              <w:jc w:val="center"/>
              <w:rPr>
                <w:b/>
                <w:bCs/>
                <w:szCs w:val="24"/>
              </w:rPr>
            </w:pPr>
          </w:p>
          <w:p w14:paraId="4CAB69A9" w14:textId="77777777" w:rsidR="004736FF" w:rsidRPr="00687DE8" w:rsidRDefault="004736FF" w:rsidP="000F59EF">
            <w:pPr>
              <w:spacing w:after="0" w:line="240" w:lineRule="auto"/>
              <w:jc w:val="center"/>
              <w:rPr>
                <w:szCs w:val="24"/>
              </w:rPr>
            </w:pPr>
          </w:p>
          <w:p w14:paraId="434AF1A0" w14:textId="253DBDE9" w:rsidR="000F59EF" w:rsidRPr="00687DE8" w:rsidRDefault="000F59EF" w:rsidP="000F59EF">
            <w:pPr>
              <w:spacing w:after="0" w:line="240" w:lineRule="auto"/>
              <w:jc w:val="center"/>
              <w:rPr>
                <w:szCs w:val="24"/>
              </w:rPr>
            </w:pPr>
            <w:r w:rsidRPr="00687DE8">
              <w:rPr>
                <w:szCs w:val="24"/>
              </w:rPr>
              <w:t>7833</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245B92" w14:textId="77777777" w:rsidR="000F59EF" w:rsidRPr="00687DE8" w:rsidRDefault="000F59EF" w:rsidP="000F59EF">
            <w:pPr>
              <w:spacing w:after="0" w:line="240" w:lineRule="auto"/>
              <w:rPr>
                <w:szCs w:val="24"/>
              </w:rPr>
            </w:pPr>
            <w:r w:rsidRPr="00687DE8">
              <w:rPr>
                <w:szCs w:val="24"/>
              </w:rPr>
              <w:t>Sisaldab veresoonte selektiivset kateeterdamist, kontrastaine manustamist, okluseeriva materjali paigaldamist, kontrollülesvõtete tegemist, dokumenteerimist</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D8239F" w14:textId="7A7C72E1" w:rsidR="2E1E8EE1" w:rsidRPr="00687DE8" w:rsidRDefault="00D4402A">
            <w:pPr>
              <w:spacing w:after="0"/>
              <w:jc w:val="center"/>
              <w:rPr>
                <w:color w:val="000000" w:themeColor="text1"/>
                <w:szCs w:val="24"/>
              </w:rPr>
            </w:pPr>
            <w:r>
              <w:rPr>
                <w:color w:val="000000"/>
              </w:rPr>
              <w:t>3 418,04</w:t>
            </w:r>
          </w:p>
        </w:tc>
      </w:tr>
      <w:tr w:rsidR="000F59EF" w:rsidRPr="00687DE8" w14:paraId="5DF0CF7C" w14:textId="77777777" w:rsidTr="00B93704">
        <w:trPr>
          <w:divId w:val="1316184749"/>
          <w:trHeight w:val="300"/>
        </w:trPr>
        <w:tc>
          <w:tcPr>
            <w:tcW w:w="2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289D3" w14:textId="77777777" w:rsidR="000F59EF" w:rsidRPr="00687DE8" w:rsidRDefault="000F59EF" w:rsidP="000F59EF">
            <w:pPr>
              <w:spacing w:after="0" w:line="240" w:lineRule="auto"/>
              <w:rPr>
                <w:szCs w:val="24"/>
              </w:rPr>
            </w:pPr>
            <w:r w:rsidRPr="00687DE8">
              <w:rPr>
                <w:szCs w:val="24"/>
              </w:rPr>
              <w:t>Trombi mehaaniline eemaldamine ajuarteritest (ajuarterite trombektoomia)</w:t>
            </w:r>
          </w:p>
        </w:tc>
        <w:tc>
          <w:tcPr>
            <w:tcW w:w="6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5E4C69" w14:textId="77777777" w:rsidR="000F59EF" w:rsidRPr="00687DE8" w:rsidRDefault="000F59EF" w:rsidP="000F59EF">
            <w:pPr>
              <w:spacing w:after="0" w:line="240" w:lineRule="auto"/>
              <w:jc w:val="center"/>
              <w:rPr>
                <w:szCs w:val="24"/>
              </w:rPr>
            </w:pPr>
          </w:p>
          <w:p w14:paraId="39A62540" w14:textId="77777777" w:rsidR="000F59EF" w:rsidRPr="00687DE8" w:rsidRDefault="000F59EF" w:rsidP="000F59EF">
            <w:pPr>
              <w:spacing w:after="0" w:line="240" w:lineRule="auto"/>
              <w:jc w:val="center"/>
              <w:rPr>
                <w:szCs w:val="24"/>
              </w:rPr>
            </w:pPr>
            <w:r w:rsidRPr="00687DE8">
              <w:rPr>
                <w:szCs w:val="24"/>
              </w:rPr>
              <w:t xml:space="preserve">7811 </w:t>
            </w:r>
          </w:p>
        </w:tc>
        <w:tc>
          <w:tcPr>
            <w:tcW w:w="4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EFCF35" w14:textId="77777777" w:rsidR="000F59EF" w:rsidRPr="00687DE8" w:rsidRDefault="000F59EF" w:rsidP="000F59EF">
            <w:pPr>
              <w:rPr>
                <w:szCs w:val="24"/>
              </w:rPr>
            </w:pP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988851" w14:textId="13501714" w:rsidR="2E1E8EE1" w:rsidRPr="00687DE8" w:rsidRDefault="00D4402A">
            <w:pPr>
              <w:spacing w:after="0"/>
              <w:jc w:val="center"/>
              <w:rPr>
                <w:color w:val="000000" w:themeColor="text1"/>
                <w:szCs w:val="24"/>
              </w:rPr>
            </w:pPr>
            <w:r>
              <w:rPr>
                <w:color w:val="000000"/>
              </w:rPr>
              <w:t>480,24</w:t>
            </w:r>
          </w:p>
        </w:tc>
      </w:tr>
    </w:tbl>
    <w:p w14:paraId="7A54AAF3" w14:textId="77777777" w:rsidR="00976487" w:rsidRPr="00687DE8" w:rsidRDefault="00976487" w:rsidP="00976487">
      <w:pPr>
        <w:spacing w:after="0" w:line="240" w:lineRule="auto"/>
        <w:jc w:val="both"/>
        <w:divId w:val="1316184749"/>
        <w:rPr>
          <w:szCs w:val="24"/>
        </w:rPr>
      </w:pPr>
    </w:p>
    <w:p w14:paraId="1D2F237E" w14:textId="77777777" w:rsidR="00976487" w:rsidRPr="00687DE8" w:rsidRDefault="00976487" w:rsidP="00976487">
      <w:pPr>
        <w:spacing w:after="0" w:line="240" w:lineRule="auto"/>
        <w:jc w:val="both"/>
        <w:divId w:val="1316184749"/>
        <w:rPr>
          <w:szCs w:val="24"/>
        </w:rPr>
      </w:pPr>
      <w:r w:rsidRPr="00687DE8">
        <w:rPr>
          <w:szCs w:val="24"/>
        </w:rPr>
        <w:t>(3) Koodidega 7809 ja 7810 tähistatud tervishoiuteenuseid rakendatakse haiglate loetelus nimetatud kesk- või piirkondlikus haiglas, millel on onkoloogia tegevusluba.</w:t>
      </w:r>
    </w:p>
    <w:p w14:paraId="34714BF3" w14:textId="77777777" w:rsidR="00976487" w:rsidRPr="00687DE8" w:rsidRDefault="00976487" w:rsidP="00976487">
      <w:pPr>
        <w:spacing w:after="0" w:line="240" w:lineRule="auto"/>
        <w:jc w:val="both"/>
        <w:divId w:val="1316184749"/>
        <w:rPr>
          <w:szCs w:val="24"/>
        </w:rPr>
      </w:pPr>
    </w:p>
    <w:p w14:paraId="797B8570" w14:textId="3E057E31" w:rsidR="00976487" w:rsidRPr="00687DE8" w:rsidRDefault="00976487" w:rsidP="00976487">
      <w:pPr>
        <w:spacing w:after="0" w:line="240" w:lineRule="auto"/>
        <w:jc w:val="both"/>
        <w:divId w:val="1316184749"/>
        <w:rPr>
          <w:szCs w:val="24"/>
        </w:rPr>
      </w:pPr>
      <w:r w:rsidRPr="00687DE8">
        <w:rPr>
          <w:szCs w:val="24"/>
        </w:rPr>
        <w:t xml:space="preserve">(4) </w:t>
      </w:r>
      <w:r w:rsidR="005023FD" w:rsidRPr="00687DE8">
        <w:rPr>
          <w:szCs w:val="24"/>
        </w:rPr>
        <w:t>Tervisekassa</w:t>
      </w:r>
      <w:r w:rsidRPr="00687DE8">
        <w:rPr>
          <w:szCs w:val="24"/>
        </w:rPr>
        <w:t xml:space="preserve"> võtab koodiga 7811 tähistatud tervishoiuteenuse eest tasu maksmise kohustuse üle ajuinfarkti korral juhul, kui esineb ajuarterite proksimaalsete osade oklusioon, intravenoosne trombolüüs on ebaefektiivne või vastunäidustatud ning raviotsuse on teinud eksper</w:t>
      </w:r>
      <w:r w:rsidR="00F71ACC" w:rsidRPr="00687DE8">
        <w:rPr>
          <w:szCs w:val="24"/>
        </w:rPr>
        <w:t>di</w:t>
      </w:r>
      <w:r w:rsidRPr="00687DE8">
        <w:rPr>
          <w:szCs w:val="24"/>
        </w:rPr>
        <w:t>komisjon, millesse kuuluvad vähemalt neuroloog ja menetlusradioloogia pädevusega radioloog või menetlusradioloogia pädevusega kardioloog.</w:t>
      </w:r>
    </w:p>
    <w:p w14:paraId="12BB0390" w14:textId="77777777" w:rsidR="00976487" w:rsidRPr="00687DE8" w:rsidRDefault="00976487" w:rsidP="00976487">
      <w:pPr>
        <w:spacing w:after="0" w:line="240" w:lineRule="auto"/>
        <w:jc w:val="both"/>
        <w:divId w:val="1316184749"/>
        <w:rPr>
          <w:szCs w:val="24"/>
        </w:rPr>
      </w:pPr>
      <w:r w:rsidRPr="00687DE8">
        <w:rPr>
          <w:szCs w:val="24"/>
        </w:rPr>
        <w:t xml:space="preserve"> </w:t>
      </w:r>
    </w:p>
    <w:p w14:paraId="2B84781E" w14:textId="409DA9DC" w:rsidR="00976487" w:rsidRPr="00687DE8" w:rsidRDefault="0030522E" w:rsidP="00976487">
      <w:pPr>
        <w:spacing w:after="0" w:line="240" w:lineRule="auto"/>
        <w:jc w:val="both"/>
        <w:divId w:val="1316184749"/>
        <w:rPr>
          <w:szCs w:val="24"/>
        </w:rPr>
      </w:pPr>
      <w:r w:rsidRPr="00687DE8">
        <w:rPr>
          <w:szCs w:val="24"/>
        </w:rPr>
        <w:t>(5) L</w:t>
      </w:r>
      <w:r w:rsidR="00976487" w:rsidRPr="00687DE8">
        <w:rPr>
          <w:szCs w:val="24"/>
        </w:rPr>
        <w:t>õikes 2 loetletud tervishoiuteenuseid ei rakendata koos koodiga 7750 tähistatud tervishoiuteenusega</w:t>
      </w:r>
      <w:r w:rsidR="00871F2C" w:rsidRPr="00687DE8">
        <w:rPr>
          <w:szCs w:val="24"/>
        </w:rPr>
        <w:t>, välja</w:t>
      </w:r>
      <w:r w:rsidR="00482704" w:rsidRPr="00687DE8">
        <w:rPr>
          <w:szCs w:val="24"/>
        </w:rPr>
        <w:t xml:space="preserve"> </w:t>
      </w:r>
      <w:r w:rsidR="00871F2C" w:rsidRPr="00687DE8">
        <w:rPr>
          <w:szCs w:val="24"/>
        </w:rPr>
        <w:t xml:space="preserve">arvatud aordi stentproteesimise </w:t>
      </w:r>
      <w:r w:rsidR="00F11BEB" w:rsidRPr="00687DE8">
        <w:rPr>
          <w:szCs w:val="24"/>
        </w:rPr>
        <w:t xml:space="preserve">operatsiooni korral koos </w:t>
      </w:r>
      <w:r w:rsidR="00365089" w:rsidRPr="00687DE8">
        <w:rPr>
          <w:szCs w:val="24"/>
        </w:rPr>
        <w:t>koodiga</w:t>
      </w:r>
      <w:r w:rsidR="00173934" w:rsidRPr="00687DE8">
        <w:rPr>
          <w:szCs w:val="24"/>
        </w:rPr>
        <w:t xml:space="preserve"> </w:t>
      </w:r>
      <w:r w:rsidR="00F11BEB" w:rsidRPr="00687DE8">
        <w:rPr>
          <w:szCs w:val="24"/>
        </w:rPr>
        <w:t>2818L või 2819L</w:t>
      </w:r>
      <w:r w:rsidR="00365089" w:rsidRPr="00687DE8">
        <w:rPr>
          <w:szCs w:val="24"/>
        </w:rPr>
        <w:t xml:space="preserve"> tähistatud tervishoiuteenusega</w:t>
      </w:r>
      <w:r w:rsidR="00976487" w:rsidRPr="00687DE8">
        <w:rPr>
          <w:szCs w:val="24"/>
        </w:rPr>
        <w:t>.</w:t>
      </w:r>
    </w:p>
    <w:p w14:paraId="1400D158" w14:textId="77777777" w:rsidR="00976487" w:rsidRPr="00687DE8" w:rsidRDefault="00976487" w:rsidP="00976487">
      <w:pPr>
        <w:spacing w:after="0" w:line="240" w:lineRule="auto"/>
        <w:jc w:val="both"/>
        <w:divId w:val="1316184749"/>
        <w:rPr>
          <w:szCs w:val="24"/>
        </w:rPr>
      </w:pPr>
    </w:p>
    <w:p w14:paraId="7E6BEA84" w14:textId="0C63961C" w:rsidR="00976487" w:rsidRPr="00687DE8" w:rsidRDefault="00976487" w:rsidP="00976487">
      <w:pPr>
        <w:spacing w:after="0" w:line="240" w:lineRule="auto"/>
        <w:jc w:val="both"/>
        <w:divId w:val="1316184749"/>
        <w:rPr>
          <w:szCs w:val="24"/>
        </w:rPr>
      </w:pPr>
      <w:r w:rsidRPr="00687DE8">
        <w:rPr>
          <w:szCs w:val="24"/>
        </w:rPr>
        <w:t xml:space="preserve">(6) Koodidega 7817, 7818, 7823, 7824, 7829 ja 7831 tähistatud tervishoiuteenuseid ei rakendata samal ajal. </w:t>
      </w:r>
    </w:p>
    <w:p w14:paraId="0D10CA15" w14:textId="77777777" w:rsidR="00976487" w:rsidRPr="00687DE8" w:rsidRDefault="00976487" w:rsidP="00976487">
      <w:pPr>
        <w:spacing w:after="0" w:line="240" w:lineRule="auto"/>
        <w:jc w:val="both"/>
        <w:divId w:val="1316184749"/>
        <w:rPr>
          <w:szCs w:val="24"/>
        </w:rPr>
      </w:pPr>
    </w:p>
    <w:p w14:paraId="5825527B" w14:textId="16D3A85A" w:rsidR="00976487" w:rsidRPr="00687DE8" w:rsidRDefault="0030522E" w:rsidP="00976487">
      <w:pPr>
        <w:pStyle w:val="Pealkiri3"/>
        <w:shd w:val="clear" w:color="auto" w:fill="FFFFFF" w:themeFill="background1"/>
        <w:spacing w:before="0" w:after="0" w:afterAutospacing="0"/>
        <w:jc w:val="both"/>
        <w:divId w:val="1316184749"/>
        <w:rPr>
          <w:b w:val="0"/>
          <w:bCs w:val="0"/>
          <w:sz w:val="24"/>
          <w:szCs w:val="24"/>
        </w:rPr>
      </w:pPr>
      <w:r w:rsidRPr="00687DE8">
        <w:rPr>
          <w:b w:val="0"/>
          <w:bCs w:val="0"/>
          <w:sz w:val="24"/>
          <w:szCs w:val="24"/>
        </w:rPr>
        <w:t>(7) L</w:t>
      </w:r>
      <w:r w:rsidR="00976487" w:rsidRPr="00687DE8">
        <w:rPr>
          <w:b w:val="0"/>
          <w:bCs w:val="0"/>
          <w:sz w:val="24"/>
          <w:szCs w:val="24"/>
        </w:rPr>
        <w:t>õikes 2 loetletud tervishoiuteenused sisaldavad kõiki protseduuri tegemiseks vajalike tegevuste ja materjalide</w:t>
      </w:r>
      <w:r w:rsidRPr="00687DE8">
        <w:rPr>
          <w:b w:val="0"/>
          <w:bCs w:val="0"/>
          <w:sz w:val="24"/>
          <w:szCs w:val="24"/>
        </w:rPr>
        <w:t xml:space="preserve"> kulusid (</w:t>
      </w:r>
      <w:r w:rsidR="00DC4841" w:rsidRPr="00687DE8">
        <w:rPr>
          <w:b w:val="0"/>
          <w:bCs w:val="0"/>
          <w:sz w:val="24"/>
          <w:szCs w:val="24"/>
        </w:rPr>
        <w:t>välja arvatud</w:t>
      </w:r>
      <w:r w:rsidRPr="00687DE8">
        <w:rPr>
          <w:b w:val="0"/>
          <w:bCs w:val="0"/>
          <w:sz w:val="24"/>
          <w:szCs w:val="24"/>
        </w:rPr>
        <w:t xml:space="preserve"> </w:t>
      </w:r>
      <w:r w:rsidR="00976487" w:rsidRPr="00687DE8">
        <w:rPr>
          <w:b w:val="0"/>
          <w:bCs w:val="0"/>
          <w:sz w:val="24"/>
          <w:szCs w:val="24"/>
        </w:rPr>
        <w:t xml:space="preserve">§-s </w:t>
      </w:r>
      <w:r w:rsidR="00976487" w:rsidRPr="00687DE8">
        <w:rPr>
          <w:b w:val="0"/>
          <w:sz w:val="24"/>
          <w:szCs w:val="24"/>
        </w:rPr>
        <w:t>6</w:t>
      </w:r>
      <w:r w:rsidR="00BA0225" w:rsidRPr="00687DE8">
        <w:rPr>
          <w:b w:val="0"/>
          <w:sz w:val="24"/>
          <w:szCs w:val="24"/>
        </w:rPr>
        <w:t>1</w:t>
      </w:r>
      <w:r w:rsidR="00976487" w:rsidRPr="00687DE8">
        <w:rPr>
          <w:b w:val="0"/>
          <w:sz w:val="24"/>
          <w:szCs w:val="24"/>
        </w:rPr>
        <w:t xml:space="preserve"> </w:t>
      </w:r>
      <w:r w:rsidR="00976487" w:rsidRPr="00687DE8">
        <w:rPr>
          <w:b w:val="0"/>
          <w:bCs w:val="0"/>
          <w:sz w:val="24"/>
          <w:szCs w:val="24"/>
        </w:rPr>
        <w:t>sisalduvad</w:t>
      </w:r>
      <w:r w:rsidR="00176823" w:rsidRPr="00687DE8">
        <w:rPr>
          <w:b w:val="0"/>
          <w:bCs w:val="0"/>
          <w:sz w:val="24"/>
          <w:szCs w:val="24"/>
        </w:rPr>
        <w:t xml:space="preserve"> </w:t>
      </w:r>
      <w:r w:rsidR="00976487" w:rsidRPr="00687DE8">
        <w:rPr>
          <w:b w:val="0"/>
          <w:bCs w:val="0"/>
          <w:sz w:val="24"/>
          <w:szCs w:val="24"/>
        </w:rPr>
        <w:t>tervishoiuteenuse osutamisel kasutatavad meditsiiniseadmed), sealhulgas veresoonte selektiivse kateeterdamise, kontrastaine manustamise, kontrollülesvõtete tegemise ja dokumenteerimise kulud.</w:t>
      </w:r>
      <w:r w:rsidR="0089765C" w:rsidRPr="00687DE8">
        <w:rPr>
          <w:b w:val="0"/>
          <w:sz w:val="24"/>
          <w:szCs w:val="24"/>
        </w:rPr>
        <w:t xml:space="preserve"> </w:t>
      </w:r>
      <w:r w:rsidR="00B556DD" w:rsidRPr="00687DE8">
        <w:rPr>
          <w:b w:val="0"/>
          <w:sz w:val="24"/>
          <w:szCs w:val="24"/>
        </w:rPr>
        <w:t>L</w:t>
      </w:r>
      <w:r w:rsidR="0089765C" w:rsidRPr="00687DE8">
        <w:rPr>
          <w:b w:val="0"/>
          <w:bCs w:val="0"/>
          <w:sz w:val="24"/>
          <w:szCs w:val="24"/>
        </w:rPr>
        <w:t>õi</w:t>
      </w:r>
      <w:r w:rsidR="00387AAF" w:rsidRPr="00687DE8">
        <w:rPr>
          <w:b w:val="0"/>
          <w:bCs w:val="0"/>
          <w:sz w:val="24"/>
          <w:szCs w:val="24"/>
        </w:rPr>
        <w:t>getes</w:t>
      </w:r>
      <w:r w:rsidR="0089765C" w:rsidRPr="00687DE8">
        <w:rPr>
          <w:b w:val="0"/>
          <w:bCs w:val="0"/>
          <w:sz w:val="24"/>
          <w:szCs w:val="24"/>
        </w:rPr>
        <w:t xml:space="preserve"> </w:t>
      </w:r>
      <w:r w:rsidR="00D04183" w:rsidRPr="00687DE8">
        <w:rPr>
          <w:b w:val="0"/>
          <w:bCs w:val="0"/>
          <w:sz w:val="24"/>
          <w:szCs w:val="24"/>
        </w:rPr>
        <w:t>1 ja</w:t>
      </w:r>
      <w:r w:rsidR="0089765C" w:rsidRPr="00687DE8">
        <w:rPr>
          <w:b w:val="0"/>
          <w:bCs w:val="0"/>
          <w:sz w:val="24"/>
          <w:szCs w:val="24"/>
        </w:rPr>
        <w:t xml:space="preserve"> </w:t>
      </w:r>
      <w:r w:rsidR="00F16032" w:rsidRPr="00687DE8">
        <w:rPr>
          <w:b w:val="0"/>
          <w:bCs w:val="0"/>
          <w:sz w:val="24"/>
          <w:szCs w:val="24"/>
        </w:rPr>
        <w:t>2</w:t>
      </w:r>
      <w:r w:rsidR="0089765C" w:rsidRPr="00687DE8">
        <w:rPr>
          <w:b w:val="0"/>
          <w:bCs w:val="0"/>
          <w:sz w:val="24"/>
          <w:szCs w:val="24"/>
        </w:rPr>
        <w:t xml:space="preserve"> nimetatud teenuste puhul on tagatud piltide arhiveerimi</w:t>
      </w:r>
      <w:r w:rsidR="00D27E4F" w:rsidRPr="00687DE8">
        <w:rPr>
          <w:b w:val="0"/>
          <w:bCs w:val="0"/>
          <w:sz w:val="24"/>
          <w:szCs w:val="24"/>
        </w:rPr>
        <w:t>n</w:t>
      </w:r>
      <w:r w:rsidR="0089765C" w:rsidRPr="00687DE8">
        <w:rPr>
          <w:b w:val="0"/>
          <w:bCs w:val="0"/>
          <w:sz w:val="24"/>
          <w:szCs w:val="24"/>
        </w:rPr>
        <w:t>e</w:t>
      </w:r>
      <w:r w:rsidR="00D04183" w:rsidRPr="00687DE8">
        <w:rPr>
          <w:b w:val="0"/>
          <w:bCs w:val="0"/>
          <w:sz w:val="24"/>
          <w:szCs w:val="24"/>
        </w:rPr>
        <w:t xml:space="preserve"> </w:t>
      </w:r>
      <w:r w:rsidR="0089765C" w:rsidRPr="00687DE8">
        <w:rPr>
          <w:b w:val="0"/>
          <w:bCs w:val="0"/>
          <w:sz w:val="24"/>
          <w:szCs w:val="24"/>
        </w:rPr>
        <w:t>Sihtasutuses Eesti Tervishoiu Pildipank.</w:t>
      </w:r>
    </w:p>
    <w:p w14:paraId="2ADA2422" w14:textId="77777777" w:rsidR="00976487" w:rsidRPr="00687DE8" w:rsidRDefault="00976487" w:rsidP="00976487">
      <w:pPr>
        <w:spacing w:after="0" w:line="240" w:lineRule="auto"/>
        <w:jc w:val="both"/>
        <w:divId w:val="1316184749"/>
        <w:rPr>
          <w:szCs w:val="24"/>
        </w:rPr>
      </w:pPr>
    </w:p>
    <w:p w14:paraId="0DA8F1F7" w14:textId="77777777" w:rsidR="00976487" w:rsidRDefault="00976487" w:rsidP="00976487">
      <w:pPr>
        <w:spacing w:after="0" w:line="240" w:lineRule="auto"/>
        <w:jc w:val="both"/>
        <w:outlineLvl w:val="2"/>
        <w:divId w:val="1316184749"/>
        <w:rPr>
          <w:b/>
          <w:szCs w:val="24"/>
        </w:rPr>
      </w:pPr>
      <w:r w:rsidRPr="00687DE8">
        <w:rPr>
          <w:b/>
          <w:szCs w:val="24"/>
        </w:rPr>
        <w:t>§ 2</w:t>
      </w:r>
      <w:r w:rsidR="00E22EDA" w:rsidRPr="00687DE8">
        <w:rPr>
          <w:b/>
          <w:szCs w:val="24"/>
        </w:rPr>
        <w:t>4</w:t>
      </w:r>
      <w:r w:rsidRPr="00687DE8">
        <w:rPr>
          <w:b/>
          <w:szCs w:val="24"/>
        </w:rPr>
        <w:t>. Nukleaarmeditsiini uuringute ja raviprotseduuride piirhinnad</w:t>
      </w:r>
    </w:p>
    <w:p w14:paraId="36B78FB6" w14:textId="77777777" w:rsidR="00DF1D65" w:rsidRDefault="00DF1D65" w:rsidP="00976487">
      <w:pPr>
        <w:spacing w:after="0" w:line="240" w:lineRule="auto"/>
        <w:jc w:val="both"/>
        <w:divId w:val="1316184749"/>
        <w:rPr>
          <w:szCs w:val="24"/>
        </w:rPr>
      </w:pPr>
    </w:p>
    <w:p w14:paraId="25573A64" w14:textId="06564591" w:rsidR="00976487" w:rsidRPr="00687DE8" w:rsidRDefault="00976487" w:rsidP="00976487">
      <w:pPr>
        <w:spacing w:after="0" w:line="240" w:lineRule="auto"/>
        <w:jc w:val="both"/>
        <w:divId w:val="1316184749"/>
        <w:rPr>
          <w:szCs w:val="24"/>
        </w:rPr>
      </w:pPr>
      <w:r w:rsidRPr="00687DE8">
        <w:rPr>
          <w:szCs w:val="24"/>
        </w:rPr>
        <w:t>(1) Nukleaarmeditsiini uuringute ja raviprotseduuride piirhinnad on järgmised:</w:t>
      </w:r>
    </w:p>
    <w:p w14:paraId="1E67E7DF"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4"/>
        <w:gridCol w:w="1019"/>
        <w:gridCol w:w="1742"/>
      </w:tblGrid>
      <w:tr w:rsidR="00976487" w:rsidRPr="00687DE8" w14:paraId="49EEC954" w14:textId="77777777" w:rsidTr="005A1377">
        <w:trPr>
          <w:divId w:val="1316184749"/>
          <w:tblHeader/>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370BD0" w14:textId="77777777" w:rsidR="00976487" w:rsidRPr="00687DE8" w:rsidRDefault="00976487">
            <w:pPr>
              <w:spacing w:after="0" w:line="240" w:lineRule="auto"/>
              <w:jc w:val="center"/>
              <w:rPr>
                <w:szCs w:val="24"/>
              </w:rPr>
            </w:pPr>
            <w:r w:rsidRPr="00687DE8">
              <w:rPr>
                <w:b/>
                <w:szCs w:val="24"/>
              </w:rPr>
              <w:t>Tervishoiuteenuse nimetus</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CCEE13" w14:textId="77777777" w:rsidR="00976487" w:rsidRPr="00687DE8" w:rsidRDefault="00976487">
            <w:pPr>
              <w:spacing w:after="0" w:line="240" w:lineRule="auto"/>
              <w:jc w:val="center"/>
              <w:rPr>
                <w:szCs w:val="24"/>
              </w:rPr>
            </w:pPr>
            <w:r w:rsidRPr="00687DE8">
              <w:rPr>
                <w:b/>
                <w:szCs w:val="24"/>
              </w:rPr>
              <w:t>Kood</w:t>
            </w:r>
          </w:p>
        </w:tc>
        <w:tc>
          <w:tcPr>
            <w:tcW w:w="17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D61BA0"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877AFC" w:rsidRPr="00687DE8" w14:paraId="4713C87B"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E6D43" w14:textId="77777777" w:rsidR="00877AFC" w:rsidRPr="00687DE8" w:rsidRDefault="00877AFC" w:rsidP="00877AFC">
            <w:pPr>
              <w:spacing w:after="0" w:line="240" w:lineRule="auto"/>
              <w:rPr>
                <w:szCs w:val="24"/>
              </w:rPr>
            </w:pPr>
            <w:r w:rsidRPr="00687DE8">
              <w:rPr>
                <w:szCs w:val="24"/>
              </w:rPr>
              <w:t>Nukleaarmeditsiinilise uuringu planeerimine</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A283B4" w14:textId="77777777" w:rsidR="00877AFC" w:rsidRPr="00687DE8" w:rsidRDefault="00877AFC" w:rsidP="00877AFC">
            <w:pPr>
              <w:spacing w:after="0" w:line="240" w:lineRule="auto"/>
              <w:jc w:val="center"/>
              <w:rPr>
                <w:szCs w:val="24"/>
              </w:rPr>
            </w:pPr>
            <w:r w:rsidRPr="00687DE8">
              <w:rPr>
                <w:szCs w:val="24"/>
              </w:rPr>
              <w:t>79400</w:t>
            </w:r>
          </w:p>
        </w:tc>
        <w:tc>
          <w:tcPr>
            <w:tcW w:w="17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6AA48F" w14:textId="02921F21" w:rsidR="2E1E8EE1" w:rsidRPr="00687DE8" w:rsidRDefault="00732347">
            <w:pPr>
              <w:spacing w:after="0"/>
              <w:jc w:val="center"/>
              <w:rPr>
                <w:color w:val="000000" w:themeColor="text1"/>
                <w:szCs w:val="24"/>
              </w:rPr>
            </w:pPr>
            <w:r>
              <w:rPr>
                <w:color w:val="000000"/>
              </w:rPr>
              <w:t>205,41</w:t>
            </w:r>
          </w:p>
        </w:tc>
      </w:tr>
      <w:tr w:rsidR="00877AFC" w:rsidRPr="00687DE8" w14:paraId="5C59EF2D"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FEDF23" w14:textId="77777777" w:rsidR="00877AFC" w:rsidRPr="00687DE8" w:rsidRDefault="00877AFC" w:rsidP="00877AFC">
            <w:pPr>
              <w:spacing w:after="0" w:line="240" w:lineRule="auto"/>
              <w:rPr>
                <w:szCs w:val="24"/>
              </w:rPr>
            </w:pPr>
            <w:r w:rsidRPr="00687DE8">
              <w:rPr>
                <w:szCs w:val="24"/>
              </w:rPr>
              <w:t>Peaaju staatiline stsintigraafia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C3345B" w14:textId="77777777" w:rsidR="00877AFC" w:rsidRPr="00687DE8" w:rsidRDefault="00877AFC" w:rsidP="00877AFC">
            <w:pPr>
              <w:spacing w:after="0" w:line="240" w:lineRule="auto"/>
              <w:jc w:val="center"/>
              <w:rPr>
                <w:szCs w:val="24"/>
              </w:rPr>
            </w:pPr>
            <w:r w:rsidRPr="00687DE8">
              <w:rPr>
                <w:szCs w:val="24"/>
              </w:rPr>
              <w:t>79401</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954DDA" w14:textId="3AC0E5B1" w:rsidR="2E1E8EE1" w:rsidRPr="00687DE8" w:rsidRDefault="00732347">
            <w:pPr>
              <w:spacing w:after="0"/>
              <w:jc w:val="center"/>
              <w:rPr>
                <w:color w:val="000000" w:themeColor="text1"/>
                <w:szCs w:val="24"/>
              </w:rPr>
            </w:pPr>
            <w:r>
              <w:rPr>
                <w:color w:val="000000"/>
              </w:rPr>
              <w:t>538,22</w:t>
            </w:r>
          </w:p>
        </w:tc>
      </w:tr>
      <w:tr w:rsidR="00877AFC" w:rsidRPr="00687DE8" w14:paraId="59DE97BD"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39687E" w14:textId="77777777" w:rsidR="00877AFC" w:rsidRPr="00687DE8" w:rsidRDefault="00877AFC" w:rsidP="00877AFC">
            <w:pPr>
              <w:spacing w:after="0" w:line="240" w:lineRule="auto"/>
              <w:rPr>
                <w:szCs w:val="24"/>
              </w:rPr>
            </w:pPr>
            <w:r w:rsidRPr="00687DE8">
              <w:rPr>
                <w:szCs w:val="24"/>
              </w:rPr>
              <w:t>Peaaju SPET HMPAO-ga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6A66C5" w14:textId="77777777" w:rsidR="00877AFC" w:rsidRPr="00687DE8" w:rsidRDefault="00877AFC" w:rsidP="00877AFC">
            <w:pPr>
              <w:spacing w:after="0" w:line="240" w:lineRule="auto"/>
              <w:jc w:val="center"/>
              <w:rPr>
                <w:szCs w:val="24"/>
              </w:rPr>
            </w:pPr>
            <w:r w:rsidRPr="00687DE8">
              <w:rPr>
                <w:szCs w:val="24"/>
              </w:rPr>
              <w:t>79402</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8E6356" w14:textId="153893B1" w:rsidR="2E1E8EE1" w:rsidRPr="00687DE8" w:rsidRDefault="00732347">
            <w:pPr>
              <w:spacing w:after="0"/>
              <w:jc w:val="center"/>
              <w:rPr>
                <w:color w:val="000000" w:themeColor="text1"/>
                <w:szCs w:val="24"/>
              </w:rPr>
            </w:pPr>
            <w:r>
              <w:rPr>
                <w:color w:val="000000"/>
              </w:rPr>
              <w:t>753,18</w:t>
            </w:r>
          </w:p>
        </w:tc>
      </w:tr>
      <w:tr w:rsidR="00877AFC" w:rsidRPr="00687DE8" w14:paraId="1619CF33"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7013C0" w14:textId="77777777" w:rsidR="00877AFC" w:rsidRPr="00687DE8" w:rsidRDefault="00877AFC" w:rsidP="00877AFC">
            <w:pPr>
              <w:spacing w:after="0" w:line="240" w:lineRule="auto"/>
              <w:rPr>
                <w:szCs w:val="24"/>
              </w:rPr>
            </w:pPr>
            <w:r w:rsidRPr="00687DE8">
              <w:rPr>
                <w:szCs w:val="24"/>
              </w:rPr>
              <w:t>Peaaju serotoniini, dopamiini, bensodiasepiini retseptorite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B28611" w14:textId="77777777" w:rsidR="00877AFC" w:rsidRPr="00687DE8" w:rsidRDefault="00877AFC" w:rsidP="00877AFC">
            <w:pPr>
              <w:spacing w:after="0" w:line="240" w:lineRule="auto"/>
              <w:jc w:val="center"/>
              <w:rPr>
                <w:szCs w:val="24"/>
              </w:rPr>
            </w:pPr>
            <w:r w:rsidRPr="00687DE8">
              <w:rPr>
                <w:szCs w:val="24"/>
              </w:rPr>
              <w:t>79403</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CBE060" w14:textId="3686B65B" w:rsidR="2E1E8EE1" w:rsidRPr="00687DE8" w:rsidRDefault="00732347">
            <w:pPr>
              <w:spacing w:after="0"/>
              <w:jc w:val="center"/>
              <w:rPr>
                <w:color w:val="000000" w:themeColor="text1"/>
                <w:szCs w:val="24"/>
              </w:rPr>
            </w:pPr>
            <w:r>
              <w:rPr>
                <w:color w:val="000000"/>
              </w:rPr>
              <w:t>2 005,56</w:t>
            </w:r>
          </w:p>
        </w:tc>
      </w:tr>
      <w:tr w:rsidR="00877AFC" w:rsidRPr="00687DE8" w14:paraId="4A7E9BE9"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2EA320" w14:textId="77777777" w:rsidR="00877AFC" w:rsidRPr="00687DE8" w:rsidRDefault="00877AFC" w:rsidP="00877AFC">
            <w:pPr>
              <w:spacing w:after="0" w:line="240" w:lineRule="auto"/>
              <w:rPr>
                <w:szCs w:val="24"/>
              </w:rPr>
            </w:pPr>
            <w:r w:rsidRPr="00687DE8">
              <w:rPr>
                <w:szCs w:val="24"/>
              </w:rPr>
              <w:t>Kilpnäärme funktsiooni proov radioaktiivse joodiga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350D64" w14:textId="77777777" w:rsidR="00877AFC" w:rsidRPr="00687DE8" w:rsidRDefault="00877AFC" w:rsidP="00877AFC">
            <w:pPr>
              <w:spacing w:after="0" w:line="240" w:lineRule="auto"/>
              <w:jc w:val="center"/>
              <w:rPr>
                <w:szCs w:val="24"/>
              </w:rPr>
            </w:pPr>
            <w:r w:rsidRPr="00687DE8">
              <w:rPr>
                <w:szCs w:val="24"/>
              </w:rPr>
              <w:t>79404</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51A750" w14:textId="690E9EB7" w:rsidR="2E1E8EE1" w:rsidRPr="00687DE8" w:rsidRDefault="00732347">
            <w:pPr>
              <w:spacing w:after="0"/>
              <w:jc w:val="center"/>
              <w:rPr>
                <w:color w:val="000000" w:themeColor="text1"/>
                <w:szCs w:val="24"/>
              </w:rPr>
            </w:pPr>
            <w:r>
              <w:rPr>
                <w:color w:val="000000"/>
              </w:rPr>
              <w:t>182,69</w:t>
            </w:r>
          </w:p>
        </w:tc>
      </w:tr>
      <w:tr w:rsidR="00877AFC" w:rsidRPr="00687DE8" w14:paraId="10DE64BB" w14:textId="77777777" w:rsidTr="00EB7A71">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301654" w14:textId="77777777" w:rsidR="00877AFC" w:rsidRPr="00687DE8" w:rsidRDefault="00877AFC" w:rsidP="00877AFC">
            <w:pPr>
              <w:spacing w:after="0" w:line="240" w:lineRule="auto"/>
              <w:rPr>
                <w:szCs w:val="24"/>
              </w:rPr>
            </w:pPr>
            <w:r w:rsidRPr="00687DE8">
              <w:rPr>
                <w:szCs w:val="24"/>
              </w:rPr>
              <w:lastRenderedPageBreak/>
              <w:t>Kilpnäärme stsintigraafia ja/või SPET või Meckeli divertiikli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D588CE" w14:textId="77777777" w:rsidR="00877AFC" w:rsidRPr="00687DE8" w:rsidRDefault="00877AFC" w:rsidP="00877AFC">
            <w:pPr>
              <w:spacing w:after="0" w:line="240" w:lineRule="auto"/>
              <w:jc w:val="center"/>
              <w:rPr>
                <w:szCs w:val="24"/>
              </w:rPr>
            </w:pPr>
            <w:r w:rsidRPr="00687DE8">
              <w:rPr>
                <w:szCs w:val="24"/>
              </w:rPr>
              <w:t>79405</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A5276B" w14:textId="70EBD4A1" w:rsidR="2E1E8EE1" w:rsidRPr="00687DE8" w:rsidRDefault="00732347">
            <w:pPr>
              <w:spacing w:after="0"/>
              <w:jc w:val="center"/>
              <w:rPr>
                <w:color w:val="000000" w:themeColor="text1"/>
                <w:szCs w:val="24"/>
              </w:rPr>
            </w:pPr>
            <w:r>
              <w:rPr>
                <w:color w:val="000000"/>
              </w:rPr>
              <w:t>316,41</w:t>
            </w:r>
          </w:p>
        </w:tc>
      </w:tr>
      <w:tr w:rsidR="00877AFC" w:rsidRPr="00687DE8" w14:paraId="26D15610"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CB131B" w14:textId="77777777" w:rsidR="00877AFC" w:rsidRPr="00687DE8" w:rsidRDefault="00877AFC" w:rsidP="00877AFC">
            <w:pPr>
              <w:spacing w:after="0" w:line="240" w:lineRule="auto"/>
              <w:rPr>
                <w:szCs w:val="24"/>
              </w:rPr>
            </w:pPr>
            <w:r w:rsidRPr="00687DE8">
              <w:rPr>
                <w:szCs w:val="24"/>
              </w:rPr>
              <w:t>Sialostsintigraafia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A8BCFE" w14:textId="77777777" w:rsidR="00877AFC" w:rsidRPr="00687DE8" w:rsidRDefault="00877AFC" w:rsidP="00877AFC">
            <w:pPr>
              <w:spacing w:after="0" w:line="240" w:lineRule="auto"/>
              <w:jc w:val="center"/>
              <w:rPr>
                <w:szCs w:val="24"/>
              </w:rPr>
            </w:pPr>
            <w:r w:rsidRPr="00687DE8">
              <w:rPr>
                <w:szCs w:val="24"/>
              </w:rPr>
              <w:t>79406</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00813F" w14:textId="224911E3" w:rsidR="2E1E8EE1" w:rsidRPr="00687DE8" w:rsidRDefault="00732347">
            <w:pPr>
              <w:spacing w:after="0"/>
              <w:jc w:val="center"/>
              <w:rPr>
                <w:color w:val="000000" w:themeColor="text1"/>
                <w:szCs w:val="24"/>
              </w:rPr>
            </w:pPr>
            <w:r>
              <w:rPr>
                <w:color w:val="000000"/>
              </w:rPr>
              <w:t>499,03</w:t>
            </w:r>
          </w:p>
        </w:tc>
      </w:tr>
      <w:tr w:rsidR="00877AFC" w:rsidRPr="00687DE8" w14:paraId="77E3042C"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DF7077" w14:textId="77777777" w:rsidR="00877AFC" w:rsidRPr="00687DE8" w:rsidRDefault="00877AFC" w:rsidP="00877AFC">
            <w:pPr>
              <w:spacing w:after="0" w:line="240" w:lineRule="auto"/>
              <w:rPr>
                <w:szCs w:val="24"/>
              </w:rPr>
            </w:pPr>
            <w:r w:rsidRPr="00687DE8">
              <w:rPr>
                <w:szCs w:val="24"/>
              </w:rPr>
              <w:t>Rinnanäärme stsintigraafia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EA5819" w14:textId="77777777" w:rsidR="00877AFC" w:rsidRPr="00687DE8" w:rsidRDefault="00877AFC" w:rsidP="00877AFC">
            <w:pPr>
              <w:spacing w:after="0" w:line="240" w:lineRule="auto"/>
              <w:jc w:val="center"/>
              <w:rPr>
                <w:szCs w:val="24"/>
              </w:rPr>
            </w:pPr>
            <w:r w:rsidRPr="00687DE8">
              <w:rPr>
                <w:szCs w:val="24"/>
              </w:rPr>
              <w:t>79407</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6C1F2A" w14:textId="683FEC6E" w:rsidR="2E1E8EE1" w:rsidRPr="00687DE8" w:rsidRDefault="00732347">
            <w:pPr>
              <w:spacing w:after="0"/>
              <w:jc w:val="center"/>
              <w:rPr>
                <w:color w:val="000000" w:themeColor="text1"/>
                <w:szCs w:val="24"/>
              </w:rPr>
            </w:pPr>
            <w:r>
              <w:rPr>
                <w:color w:val="000000"/>
              </w:rPr>
              <w:t>637,54</w:t>
            </w:r>
          </w:p>
        </w:tc>
      </w:tr>
      <w:tr w:rsidR="00877AFC" w:rsidRPr="00687DE8" w14:paraId="1D0B8C88" w14:textId="77777777" w:rsidTr="00B93704">
        <w:trPr>
          <w:divId w:val="1316184749"/>
          <w:trHeight w:val="323"/>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240418" w14:textId="77777777" w:rsidR="00877AFC" w:rsidRPr="00687DE8" w:rsidRDefault="00877AFC" w:rsidP="00877AFC">
            <w:pPr>
              <w:spacing w:after="0" w:line="240" w:lineRule="auto"/>
              <w:rPr>
                <w:szCs w:val="24"/>
              </w:rPr>
            </w:pPr>
            <w:r w:rsidRPr="00687DE8">
              <w:rPr>
                <w:szCs w:val="24"/>
              </w:rPr>
              <w:t>Müokardi staatiline stsintigraafia ja/või SPET 99-Tc-pürofosfaadiga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BDED28" w14:textId="77777777" w:rsidR="00877AFC" w:rsidRPr="00687DE8" w:rsidRDefault="00877AFC" w:rsidP="00877AFC">
            <w:pPr>
              <w:spacing w:after="0" w:line="240" w:lineRule="auto"/>
              <w:jc w:val="center"/>
              <w:rPr>
                <w:szCs w:val="24"/>
              </w:rPr>
            </w:pPr>
            <w:r w:rsidRPr="00687DE8">
              <w:rPr>
                <w:szCs w:val="24"/>
              </w:rPr>
              <w:t>79408</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4379DA" w14:textId="775E3649" w:rsidR="2E1E8EE1" w:rsidRPr="00687DE8" w:rsidRDefault="00732347">
            <w:pPr>
              <w:spacing w:after="0"/>
              <w:jc w:val="center"/>
              <w:rPr>
                <w:color w:val="000000" w:themeColor="text1"/>
                <w:szCs w:val="24"/>
              </w:rPr>
            </w:pPr>
            <w:r>
              <w:rPr>
                <w:color w:val="000000"/>
              </w:rPr>
              <w:t>609,61</w:t>
            </w:r>
          </w:p>
        </w:tc>
      </w:tr>
      <w:tr w:rsidR="00877AFC" w:rsidRPr="00687DE8" w14:paraId="0C1FC9CE"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1B063C" w14:textId="77777777" w:rsidR="00877AFC" w:rsidRPr="00687DE8" w:rsidRDefault="00877AFC" w:rsidP="00877AFC">
            <w:pPr>
              <w:spacing w:after="0" w:line="240" w:lineRule="auto"/>
              <w:rPr>
                <w:szCs w:val="24"/>
              </w:rPr>
            </w:pPr>
            <w:r w:rsidRPr="00687DE8">
              <w:rPr>
                <w:szCs w:val="24"/>
              </w:rPr>
              <w:t>Müokardi staatiline stsintigraafia ja/või SPET MIBI-ga või kõrvalkilpnäärmete stsintigraafia ja/või SPET MIBI-ga või kogu keha stsintigraafia ja/või SPET MIBI-ga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ACB1AEB" w14:textId="77777777" w:rsidR="00877AFC" w:rsidRPr="00687DE8" w:rsidRDefault="00877AFC" w:rsidP="00877AFC">
            <w:pPr>
              <w:spacing w:after="0" w:line="240" w:lineRule="auto"/>
              <w:jc w:val="center"/>
              <w:rPr>
                <w:szCs w:val="24"/>
              </w:rPr>
            </w:pPr>
            <w:r w:rsidRPr="00687DE8">
              <w:rPr>
                <w:szCs w:val="24"/>
              </w:rPr>
              <w:t>79409</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795ACD" w14:textId="74559829" w:rsidR="2E1E8EE1" w:rsidRPr="00687DE8" w:rsidRDefault="00732347">
            <w:pPr>
              <w:spacing w:after="0"/>
              <w:jc w:val="center"/>
              <w:rPr>
                <w:color w:val="000000" w:themeColor="text1"/>
                <w:szCs w:val="24"/>
              </w:rPr>
            </w:pPr>
            <w:r>
              <w:rPr>
                <w:color w:val="000000"/>
              </w:rPr>
              <w:t>737,49</w:t>
            </w:r>
          </w:p>
        </w:tc>
      </w:tr>
      <w:tr w:rsidR="00877AFC" w:rsidRPr="00687DE8" w14:paraId="2AEF3108"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8DA95F" w14:textId="77777777" w:rsidR="00877AFC" w:rsidRPr="00687DE8" w:rsidRDefault="00877AFC" w:rsidP="00877AFC">
            <w:pPr>
              <w:spacing w:after="0" w:line="240" w:lineRule="auto"/>
              <w:rPr>
                <w:szCs w:val="24"/>
              </w:rPr>
            </w:pPr>
            <w:r w:rsidRPr="00687DE8">
              <w:rPr>
                <w:szCs w:val="24"/>
              </w:rPr>
              <w:t>Müokardi stsintigraafia ja/või SPET 201-talliumiga või kõrvalkilpnäärme stsintigraafia ja/või SPET 201-talliumiga või kogu keha stsintigraafia ja/või SPET 201-talliumiga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7A76A91" w14:textId="77777777" w:rsidR="00877AFC" w:rsidRPr="00687DE8" w:rsidRDefault="00877AFC" w:rsidP="00877AFC">
            <w:pPr>
              <w:spacing w:after="0" w:line="240" w:lineRule="auto"/>
              <w:jc w:val="center"/>
              <w:rPr>
                <w:szCs w:val="24"/>
              </w:rPr>
            </w:pPr>
            <w:r w:rsidRPr="00687DE8">
              <w:rPr>
                <w:szCs w:val="24"/>
              </w:rPr>
              <w:t>79410</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B52D5A" w14:textId="12BB50A9" w:rsidR="2E1E8EE1" w:rsidRPr="00687DE8" w:rsidRDefault="00732347">
            <w:pPr>
              <w:spacing w:after="0"/>
              <w:jc w:val="center"/>
              <w:rPr>
                <w:color w:val="000000" w:themeColor="text1"/>
                <w:szCs w:val="24"/>
              </w:rPr>
            </w:pPr>
            <w:r>
              <w:rPr>
                <w:color w:val="000000"/>
              </w:rPr>
              <w:t>639,06</w:t>
            </w:r>
          </w:p>
        </w:tc>
      </w:tr>
      <w:tr w:rsidR="00877AFC" w:rsidRPr="00687DE8" w14:paraId="7B01116F"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38C6F0" w14:textId="77777777" w:rsidR="00877AFC" w:rsidRPr="00687DE8" w:rsidRDefault="00877AFC" w:rsidP="00877AFC">
            <w:pPr>
              <w:spacing w:after="0" w:line="240" w:lineRule="auto"/>
              <w:rPr>
                <w:szCs w:val="24"/>
              </w:rPr>
            </w:pPr>
            <w:r w:rsidRPr="00687DE8">
              <w:rPr>
                <w:szCs w:val="24"/>
              </w:rPr>
              <w:t>Nukleaarventrikulograafia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34C685" w14:textId="77777777" w:rsidR="00877AFC" w:rsidRPr="00687DE8" w:rsidRDefault="00877AFC" w:rsidP="00877AFC">
            <w:pPr>
              <w:spacing w:after="0" w:line="240" w:lineRule="auto"/>
              <w:jc w:val="center"/>
              <w:rPr>
                <w:szCs w:val="24"/>
              </w:rPr>
            </w:pPr>
            <w:r w:rsidRPr="00687DE8">
              <w:rPr>
                <w:szCs w:val="24"/>
              </w:rPr>
              <w:t>79411</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05D19A" w14:textId="37122F4C" w:rsidR="2E1E8EE1" w:rsidRPr="00687DE8" w:rsidRDefault="00732347">
            <w:pPr>
              <w:spacing w:after="0"/>
              <w:jc w:val="center"/>
              <w:rPr>
                <w:color w:val="000000" w:themeColor="text1"/>
                <w:szCs w:val="24"/>
              </w:rPr>
            </w:pPr>
            <w:r>
              <w:rPr>
                <w:color w:val="000000"/>
              </w:rPr>
              <w:t>682,33</w:t>
            </w:r>
          </w:p>
        </w:tc>
      </w:tr>
      <w:tr w:rsidR="00877AFC" w:rsidRPr="00687DE8" w14:paraId="20F04F3F"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06C303" w14:textId="77777777" w:rsidR="00877AFC" w:rsidRPr="00687DE8" w:rsidRDefault="00877AFC" w:rsidP="00877AFC">
            <w:pPr>
              <w:spacing w:after="0" w:line="240" w:lineRule="auto"/>
              <w:rPr>
                <w:szCs w:val="24"/>
              </w:rPr>
            </w:pPr>
            <w:r w:rsidRPr="00687DE8">
              <w:rPr>
                <w:szCs w:val="24"/>
              </w:rPr>
              <w:t>Maksa staatiline stsintigraafia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74354F" w14:textId="77777777" w:rsidR="00877AFC" w:rsidRPr="00687DE8" w:rsidRDefault="00877AFC" w:rsidP="00877AFC">
            <w:pPr>
              <w:spacing w:after="0" w:line="240" w:lineRule="auto"/>
              <w:jc w:val="center"/>
              <w:rPr>
                <w:szCs w:val="24"/>
              </w:rPr>
            </w:pPr>
            <w:r w:rsidRPr="00687DE8">
              <w:rPr>
                <w:szCs w:val="24"/>
              </w:rPr>
              <w:t>79412</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1FEB7C" w14:textId="4FAD5086" w:rsidR="2E1E8EE1" w:rsidRPr="00687DE8" w:rsidRDefault="00732347">
            <w:pPr>
              <w:spacing w:after="0"/>
              <w:jc w:val="center"/>
              <w:rPr>
                <w:color w:val="000000" w:themeColor="text1"/>
                <w:szCs w:val="24"/>
              </w:rPr>
            </w:pPr>
            <w:r>
              <w:rPr>
                <w:color w:val="000000"/>
              </w:rPr>
              <w:t>714,95</w:t>
            </w:r>
          </w:p>
        </w:tc>
      </w:tr>
      <w:tr w:rsidR="00877AFC" w:rsidRPr="00687DE8" w14:paraId="1736514E"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1CF82E" w14:textId="77777777" w:rsidR="00877AFC" w:rsidRPr="00687DE8" w:rsidRDefault="00877AFC" w:rsidP="00877AFC">
            <w:pPr>
              <w:spacing w:after="0" w:line="240" w:lineRule="auto"/>
              <w:rPr>
                <w:szCs w:val="24"/>
              </w:rPr>
            </w:pPr>
            <w:r w:rsidRPr="00687DE8">
              <w:rPr>
                <w:szCs w:val="24"/>
              </w:rPr>
              <w:t>Neerupealiste stsintigraafia ja/või SPET norkolesterooliga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69E3CF" w14:textId="77777777" w:rsidR="00877AFC" w:rsidRPr="00687DE8" w:rsidRDefault="00877AFC" w:rsidP="00877AFC">
            <w:pPr>
              <w:spacing w:after="0" w:line="240" w:lineRule="auto"/>
              <w:jc w:val="center"/>
              <w:rPr>
                <w:szCs w:val="24"/>
              </w:rPr>
            </w:pPr>
            <w:r w:rsidRPr="00687DE8">
              <w:rPr>
                <w:szCs w:val="24"/>
              </w:rPr>
              <w:t>79413</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AE08AD" w14:textId="46F6FD52" w:rsidR="2E1E8EE1" w:rsidRPr="00687DE8" w:rsidRDefault="00732347">
            <w:pPr>
              <w:spacing w:after="0"/>
              <w:jc w:val="center"/>
              <w:rPr>
                <w:color w:val="000000" w:themeColor="text1"/>
                <w:szCs w:val="24"/>
              </w:rPr>
            </w:pPr>
            <w:r>
              <w:rPr>
                <w:color w:val="000000"/>
              </w:rPr>
              <w:t>1 966,93</w:t>
            </w:r>
          </w:p>
        </w:tc>
      </w:tr>
      <w:tr w:rsidR="00877AFC" w:rsidRPr="00687DE8" w14:paraId="5FB63EB9"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D9E81E" w14:textId="77777777" w:rsidR="00877AFC" w:rsidRPr="00687DE8" w:rsidRDefault="00877AFC" w:rsidP="00877AFC">
            <w:pPr>
              <w:spacing w:after="0" w:line="240" w:lineRule="auto"/>
              <w:rPr>
                <w:szCs w:val="24"/>
              </w:rPr>
            </w:pPr>
            <w:r w:rsidRPr="00687DE8">
              <w:rPr>
                <w:szCs w:val="24"/>
              </w:rPr>
              <w:t>Neerude dünaamiline stsintigraafia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AA8503" w14:textId="77777777" w:rsidR="00877AFC" w:rsidRPr="00687DE8" w:rsidRDefault="00877AFC" w:rsidP="00877AFC">
            <w:pPr>
              <w:spacing w:after="0" w:line="240" w:lineRule="auto"/>
              <w:jc w:val="center"/>
              <w:rPr>
                <w:szCs w:val="24"/>
              </w:rPr>
            </w:pPr>
            <w:r w:rsidRPr="00687DE8">
              <w:rPr>
                <w:szCs w:val="24"/>
              </w:rPr>
              <w:t>79414</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520857" w14:textId="0C610810" w:rsidR="2E1E8EE1" w:rsidRPr="00687DE8" w:rsidRDefault="00732347">
            <w:pPr>
              <w:spacing w:after="0"/>
              <w:jc w:val="center"/>
              <w:rPr>
                <w:color w:val="000000" w:themeColor="text1"/>
                <w:szCs w:val="24"/>
              </w:rPr>
            </w:pPr>
            <w:r>
              <w:rPr>
                <w:color w:val="000000"/>
              </w:rPr>
              <w:t>657,14</w:t>
            </w:r>
          </w:p>
        </w:tc>
      </w:tr>
      <w:tr w:rsidR="00877AFC" w:rsidRPr="00687DE8" w14:paraId="184C7180"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911C44" w14:textId="77777777" w:rsidR="00877AFC" w:rsidRPr="00687DE8" w:rsidRDefault="00877AFC" w:rsidP="00877AFC">
            <w:pPr>
              <w:spacing w:after="0" w:line="240" w:lineRule="auto"/>
              <w:rPr>
                <w:szCs w:val="24"/>
              </w:rPr>
            </w:pPr>
            <w:r w:rsidRPr="00687DE8">
              <w:rPr>
                <w:szCs w:val="24"/>
              </w:rPr>
              <w:t>Neerude staatiline stsintigraafia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F64D78" w14:textId="77777777" w:rsidR="00877AFC" w:rsidRPr="00687DE8" w:rsidRDefault="00877AFC" w:rsidP="00877AFC">
            <w:pPr>
              <w:spacing w:after="0" w:line="240" w:lineRule="auto"/>
              <w:jc w:val="center"/>
              <w:rPr>
                <w:szCs w:val="24"/>
              </w:rPr>
            </w:pPr>
            <w:r w:rsidRPr="00687DE8">
              <w:rPr>
                <w:szCs w:val="24"/>
              </w:rPr>
              <w:t>79415</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E47F67" w14:textId="017EF60E" w:rsidR="2E1E8EE1" w:rsidRPr="00687DE8" w:rsidRDefault="00732347">
            <w:pPr>
              <w:spacing w:after="0"/>
              <w:jc w:val="center"/>
              <w:rPr>
                <w:color w:val="000000" w:themeColor="text1"/>
                <w:szCs w:val="24"/>
              </w:rPr>
            </w:pPr>
            <w:r>
              <w:rPr>
                <w:color w:val="000000"/>
              </w:rPr>
              <w:t>490,51</w:t>
            </w:r>
          </w:p>
        </w:tc>
      </w:tr>
      <w:tr w:rsidR="00877AFC" w:rsidRPr="00687DE8" w14:paraId="7D87658F"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AB0C33" w14:textId="77777777" w:rsidR="00877AFC" w:rsidRPr="00687DE8" w:rsidRDefault="00877AFC" w:rsidP="00877AFC">
            <w:pPr>
              <w:spacing w:after="0" w:line="240" w:lineRule="auto"/>
              <w:rPr>
                <w:szCs w:val="24"/>
              </w:rPr>
            </w:pPr>
            <w:r w:rsidRPr="00687DE8">
              <w:rPr>
                <w:szCs w:val="24"/>
              </w:rPr>
              <w:t>Radiorenograafia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FFCC0F" w14:textId="77777777" w:rsidR="00877AFC" w:rsidRPr="00687DE8" w:rsidRDefault="00877AFC" w:rsidP="00877AFC">
            <w:pPr>
              <w:spacing w:after="0" w:line="240" w:lineRule="auto"/>
              <w:jc w:val="center"/>
              <w:rPr>
                <w:szCs w:val="24"/>
              </w:rPr>
            </w:pPr>
            <w:r w:rsidRPr="00687DE8">
              <w:rPr>
                <w:szCs w:val="24"/>
              </w:rPr>
              <w:t>79416</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BAAF70" w14:textId="7EB218F3" w:rsidR="2E1E8EE1" w:rsidRPr="00687DE8" w:rsidRDefault="00732347">
            <w:pPr>
              <w:spacing w:after="0"/>
              <w:jc w:val="center"/>
              <w:rPr>
                <w:color w:val="000000" w:themeColor="text1"/>
                <w:szCs w:val="24"/>
              </w:rPr>
            </w:pPr>
            <w:r>
              <w:rPr>
                <w:color w:val="000000"/>
              </w:rPr>
              <w:t>431,15</w:t>
            </w:r>
          </w:p>
        </w:tc>
      </w:tr>
      <w:tr w:rsidR="00877AFC" w:rsidRPr="00687DE8" w14:paraId="5075685F"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5018DB" w14:textId="77777777" w:rsidR="00877AFC" w:rsidRPr="00687DE8" w:rsidRDefault="00877AFC" w:rsidP="00877AFC">
            <w:pPr>
              <w:spacing w:after="0" w:line="240" w:lineRule="auto"/>
              <w:rPr>
                <w:szCs w:val="24"/>
              </w:rPr>
            </w:pPr>
            <w:r w:rsidRPr="00687DE8">
              <w:rPr>
                <w:szCs w:val="24"/>
              </w:rPr>
              <w:t>Munasarjade staatiline stsintigraafia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D677C7" w14:textId="77777777" w:rsidR="00877AFC" w:rsidRPr="00687DE8" w:rsidRDefault="00877AFC" w:rsidP="00877AFC">
            <w:pPr>
              <w:spacing w:after="0" w:line="240" w:lineRule="auto"/>
              <w:jc w:val="center"/>
              <w:rPr>
                <w:szCs w:val="24"/>
              </w:rPr>
            </w:pPr>
            <w:r w:rsidRPr="00687DE8">
              <w:rPr>
                <w:szCs w:val="24"/>
              </w:rPr>
              <w:t>79417</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69AC9" w14:textId="11742661" w:rsidR="2E1E8EE1" w:rsidRPr="00687DE8" w:rsidRDefault="00732347">
            <w:pPr>
              <w:spacing w:after="0"/>
              <w:jc w:val="center"/>
              <w:rPr>
                <w:color w:val="000000" w:themeColor="text1"/>
                <w:szCs w:val="24"/>
              </w:rPr>
            </w:pPr>
            <w:r>
              <w:rPr>
                <w:color w:val="000000"/>
              </w:rPr>
              <w:t>447,43</w:t>
            </w:r>
          </w:p>
        </w:tc>
      </w:tr>
      <w:tr w:rsidR="00911A82" w:rsidRPr="00687DE8" w14:paraId="39D175F5"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31D37C" w14:textId="77777777" w:rsidR="00911A82" w:rsidRPr="00687DE8" w:rsidRDefault="00911A82" w:rsidP="00911A82">
            <w:pPr>
              <w:spacing w:after="0" w:line="240" w:lineRule="auto"/>
              <w:rPr>
                <w:szCs w:val="24"/>
              </w:rPr>
            </w:pPr>
            <w:r w:rsidRPr="00687DE8">
              <w:rPr>
                <w:szCs w:val="24"/>
              </w:rPr>
              <w:t>Melanoomi stsintigraafia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8B271E" w14:textId="77777777" w:rsidR="00911A82" w:rsidRPr="00687DE8" w:rsidRDefault="00911A82" w:rsidP="00911A82">
            <w:pPr>
              <w:spacing w:after="0" w:line="240" w:lineRule="auto"/>
              <w:jc w:val="center"/>
              <w:rPr>
                <w:szCs w:val="24"/>
              </w:rPr>
            </w:pPr>
            <w:r w:rsidRPr="00687DE8">
              <w:rPr>
                <w:szCs w:val="24"/>
              </w:rPr>
              <w:t>79420</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AFD094" w14:textId="2FF11F3F" w:rsidR="2E1E8EE1" w:rsidRPr="00687DE8" w:rsidRDefault="00732347">
            <w:pPr>
              <w:spacing w:after="0"/>
              <w:jc w:val="center"/>
              <w:rPr>
                <w:color w:val="000000" w:themeColor="text1"/>
                <w:szCs w:val="24"/>
              </w:rPr>
            </w:pPr>
            <w:r>
              <w:rPr>
                <w:color w:val="000000"/>
              </w:rPr>
              <w:t>1 321,48</w:t>
            </w:r>
          </w:p>
        </w:tc>
      </w:tr>
      <w:tr w:rsidR="00911A82" w:rsidRPr="00687DE8" w14:paraId="2AAF6258"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A70FAC" w14:textId="77777777" w:rsidR="00911A82" w:rsidRPr="00687DE8" w:rsidRDefault="00911A82" w:rsidP="00911A82">
            <w:pPr>
              <w:spacing w:after="0" w:line="240" w:lineRule="auto"/>
              <w:rPr>
                <w:szCs w:val="24"/>
              </w:rPr>
            </w:pPr>
            <w:r w:rsidRPr="00687DE8">
              <w:rPr>
                <w:szCs w:val="24"/>
              </w:rPr>
              <w:t>Põletikukolde stsintigraafia ja/või SPET polüklonaalsete antikehadega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1100E5" w14:textId="77777777" w:rsidR="00911A82" w:rsidRPr="00687DE8" w:rsidRDefault="00911A82" w:rsidP="00911A82">
            <w:pPr>
              <w:spacing w:after="0" w:line="240" w:lineRule="auto"/>
              <w:jc w:val="center"/>
              <w:rPr>
                <w:szCs w:val="24"/>
              </w:rPr>
            </w:pPr>
          </w:p>
          <w:p w14:paraId="465C08A3" w14:textId="77777777" w:rsidR="00911A82" w:rsidRPr="00687DE8" w:rsidRDefault="00911A82" w:rsidP="00911A82">
            <w:pPr>
              <w:spacing w:after="0" w:line="240" w:lineRule="auto"/>
              <w:jc w:val="center"/>
              <w:rPr>
                <w:szCs w:val="24"/>
              </w:rPr>
            </w:pPr>
            <w:r w:rsidRPr="00687DE8">
              <w:rPr>
                <w:szCs w:val="24"/>
              </w:rPr>
              <w:t>79421</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E74C47" w14:textId="50487CB7" w:rsidR="2E1E8EE1" w:rsidRPr="00687DE8" w:rsidRDefault="00732347">
            <w:pPr>
              <w:spacing w:after="0"/>
              <w:jc w:val="center"/>
              <w:rPr>
                <w:color w:val="000000" w:themeColor="text1"/>
                <w:szCs w:val="24"/>
              </w:rPr>
            </w:pPr>
            <w:r>
              <w:rPr>
                <w:color w:val="000000"/>
              </w:rPr>
              <w:t>662,94</w:t>
            </w:r>
          </w:p>
        </w:tc>
      </w:tr>
      <w:tr w:rsidR="00911A82" w:rsidRPr="00687DE8" w14:paraId="7ABD3521"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5C85B0" w14:textId="77777777" w:rsidR="00911A82" w:rsidRPr="00687DE8" w:rsidRDefault="00911A82" w:rsidP="00911A82">
            <w:pPr>
              <w:spacing w:after="0" w:line="240" w:lineRule="auto"/>
              <w:rPr>
                <w:szCs w:val="24"/>
              </w:rPr>
            </w:pPr>
            <w:r w:rsidRPr="00687DE8">
              <w:rPr>
                <w:szCs w:val="24"/>
              </w:rPr>
              <w:t>Põletikukolde stsintigraafia ja/või SPET leukotsüütidega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8181DC" w14:textId="77777777" w:rsidR="00911A82" w:rsidRPr="00687DE8" w:rsidRDefault="00911A82" w:rsidP="00911A82">
            <w:pPr>
              <w:spacing w:after="0" w:line="240" w:lineRule="auto"/>
              <w:jc w:val="center"/>
              <w:rPr>
                <w:szCs w:val="24"/>
              </w:rPr>
            </w:pPr>
            <w:r w:rsidRPr="00687DE8">
              <w:rPr>
                <w:szCs w:val="24"/>
              </w:rPr>
              <w:t>79422</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5D7532" w14:textId="07E5679A" w:rsidR="2E1E8EE1" w:rsidRPr="00687DE8" w:rsidRDefault="00732347">
            <w:pPr>
              <w:spacing w:after="0"/>
              <w:jc w:val="center"/>
              <w:rPr>
                <w:color w:val="000000" w:themeColor="text1"/>
                <w:szCs w:val="24"/>
              </w:rPr>
            </w:pPr>
            <w:r>
              <w:rPr>
                <w:color w:val="000000"/>
              </w:rPr>
              <w:t>810,84</w:t>
            </w:r>
          </w:p>
        </w:tc>
      </w:tr>
      <w:tr w:rsidR="00911A82" w:rsidRPr="00687DE8" w14:paraId="1F3F5D31"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AC215C" w14:textId="77777777" w:rsidR="00911A82" w:rsidRPr="00687DE8" w:rsidRDefault="00911A82" w:rsidP="00911A82">
            <w:pPr>
              <w:spacing w:after="0" w:line="240" w:lineRule="auto"/>
              <w:rPr>
                <w:szCs w:val="24"/>
              </w:rPr>
            </w:pPr>
            <w:r w:rsidRPr="00687DE8">
              <w:rPr>
                <w:szCs w:val="24"/>
              </w:rPr>
              <w:t>Põletikukolde SPET-visualiseerimine HMPAO-ga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888F54" w14:textId="77777777" w:rsidR="00911A82" w:rsidRPr="00687DE8" w:rsidRDefault="00911A82" w:rsidP="00911A82">
            <w:pPr>
              <w:spacing w:after="0" w:line="240" w:lineRule="auto"/>
              <w:jc w:val="center"/>
              <w:rPr>
                <w:szCs w:val="24"/>
              </w:rPr>
            </w:pPr>
            <w:r w:rsidRPr="00687DE8">
              <w:rPr>
                <w:szCs w:val="24"/>
              </w:rPr>
              <w:t>79423</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CCC870" w14:textId="06C440BC" w:rsidR="2E1E8EE1" w:rsidRPr="00687DE8" w:rsidRDefault="00732347">
            <w:pPr>
              <w:spacing w:after="0"/>
              <w:jc w:val="center"/>
              <w:rPr>
                <w:color w:val="000000" w:themeColor="text1"/>
                <w:szCs w:val="24"/>
              </w:rPr>
            </w:pPr>
            <w:r>
              <w:rPr>
                <w:color w:val="000000"/>
              </w:rPr>
              <w:t>669,46</w:t>
            </w:r>
          </w:p>
        </w:tc>
      </w:tr>
      <w:tr w:rsidR="00911A82" w:rsidRPr="00687DE8" w14:paraId="02DE7BE3"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E6E715" w14:textId="77777777" w:rsidR="00911A82" w:rsidRPr="00687DE8" w:rsidRDefault="00911A82" w:rsidP="00911A82">
            <w:pPr>
              <w:spacing w:after="0" w:line="240" w:lineRule="auto"/>
              <w:rPr>
                <w:szCs w:val="24"/>
              </w:rPr>
            </w:pPr>
            <w:r w:rsidRPr="00687DE8">
              <w:rPr>
                <w:szCs w:val="24"/>
              </w:rPr>
              <w:t>Staatiline või dünaamiline nukleaarlümfograafia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3BF902" w14:textId="77777777" w:rsidR="00911A82" w:rsidRPr="00687DE8" w:rsidRDefault="00911A82" w:rsidP="00911A82">
            <w:pPr>
              <w:spacing w:after="0" w:line="240" w:lineRule="auto"/>
              <w:jc w:val="center"/>
              <w:rPr>
                <w:szCs w:val="24"/>
              </w:rPr>
            </w:pPr>
            <w:r w:rsidRPr="00687DE8">
              <w:rPr>
                <w:szCs w:val="24"/>
              </w:rPr>
              <w:t>79424</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D30302" w14:textId="31F43235" w:rsidR="2E1E8EE1" w:rsidRPr="00687DE8" w:rsidRDefault="00732347">
            <w:pPr>
              <w:spacing w:after="0"/>
              <w:jc w:val="center"/>
              <w:rPr>
                <w:color w:val="000000" w:themeColor="text1"/>
                <w:szCs w:val="24"/>
              </w:rPr>
            </w:pPr>
            <w:r>
              <w:rPr>
                <w:color w:val="000000"/>
              </w:rPr>
              <w:t>826,42</w:t>
            </w:r>
          </w:p>
        </w:tc>
      </w:tr>
      <w:tr w:rsidR="00911A82" w:rsidRPr="00687DE8" w14:paraId="52B2843A"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435748" w14:textId="77777777" w:rsidR="00911A82" w:rsidRPr="00687DE8" w:rsidRDefault="00911A82" w:rsidP="00911A82">
            <w:pPr>
              <w:spacing w:after="0" w:line="240" w:lineRule="auto"/>
              <w:rPr>
                <w:szCs w:val="24"/>
              </w:rPr>
            </w:pPr>
            <w:r w:rsidRPr="00687DE8">
              <w:rPr>
                <w:szCs w:val="24"/>
              </w:rPr>
              <w:t>Operatsiooniaegne nukleaarlümfograafia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783841" w14:textId="77777777" w:rsidR="00911A82" w:rsidRPr="00687DE8" w:rsidRDefault="00911A82" w:rsidP="00911A82">
            <w:pPr>
              <w:spacing w:after="0" w:line="240" w:lineRule="auto"/>
              <w:jc w:val="center"/>
              <w:rPr>
                <w:szCs w:val="24"/>
              </w:rPr>
            </w:pPr>
            <w:r w:rsidRPr="00687DE8">
              <w:rPr>
                <w:szCs w:val="24"/>
              </w:rPr>
              <w:t>79425</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7F24E4" w14:textId="0036E0CB" w:rsidR="2E1E8EE1" w:rsidRPr="00687DE8" w:rsidRDefault="00732347">
            <w:pPr>
              <w:spacing w:after="0"/>
              <w:jc w:val="center"/>
              <w:rPr>
                <w:color w:val="000000" w:themeColor="text1"/>
                <w:szCs w:val="24"/>
              </w:rPr>
            </w:pPr>
            <w:r>
              <w:rPr>
                <w:color w:val="000000"/>
              </w:rPr>
              <w:t>365,86</w:t>
            </w:r>
          </w:p>
        </w:tc>
      </w:tr>
      <w:tr w:rsidR="00911A82" w:rsidRPr="00687DE8" w14:paraId="64920D86"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8778C4" w14:textId="77777777" w:rsidR="00911A82" w:rsidRPr="00687DE8" w:rsidRDefault="00911A82" w:rsidP="00911A82">
            <w:pPr>
              <w:spacing w:after="0" w:line="240" w:lineRule="auto"/>
              <w:rPr>
                <w:szCs w:val="24"/>
              </w:rPr>
            </w:pPr>
            <w:r w:rsidRPr="00687DE8">
              <w:rPr>
                <w:szCs w:val="24"/>
              </w:rPr>
              <w:t>Somatostatiini retseptorite stsintigraafia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30CCEB" w14:textId="77777777" w:rsidR="00911A82" w:rsidRPr="00687DE8" w:rsidRDefault="00911A82" w:rsidP="00911A82">
            <w:pPr>
              <w:spacing w:after="0" w:line="240" w:lineRule="auto"/>
              <w:jc w:val="center"/>
              <w:rPr>
                <w:szCs w:val="24"/>
              </w:rPr>
            </w:pPr>
            <w:r w:rsidRPr="00687DE8">
              <w:rPr>
                <w:szCs w:val="24"/>
              </w:rPr>
              <w:t>79426</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2759CE" w14:textId="545A6E70" w:rsidR="2E1E8EE1" w:rsidRPr="00687DE8" w:rsidRDefault="00732347">
            <w:pPr>
              <w:spacing w:after="0"/>
              <w:jc w:val="center"/>
              <w:rPr>
                <w:color w:val="000000" w:themeColor="text1"/>
                <w:szCs w:val="24"/>
              </w:rPr>
            </w:pPr>
            <w:r>
              <w:rPr>
                <w:color w:val="000000"/>
              </w:rPr>
              <w:t>1 011,62</w:t>
            </w:r>
          </w:p>
        </w:tc>
      </w:tr>
      <w:tr w:rsidR="00911A82" w:rsidRPr="00687DE8" w14:paraId="78B219D2"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1DADA9" w14:textId="77777777" w:rsidR="00911A82" w:rsidRPr="00687DE8" w:rsidRDefault="00911A82" w:rsidP="00911A82">
            <w:pPr>
              <w:spacing w:after="0" w:line="240" w:lineRule="auto"/>
              <w:rPr>
                <w:szCs w:val="24"/>
              </w:rPr>
            </w:pPr>
            <w:r w:rsidRPr="00687DE8">
              <w:rPr>
                <w:szCs w:val="24"/>
              </w:rPr>
              <w:t>Luustiku dünaamiline kolmefaasiline stsintigraafia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9C2062" w14:textId="77777777" w:rsidR="00911A82" w:rsidRPr="00687DE8" w:rsidRDefault="00911A82" w:rsidP="00911A82">
            <w:pPr>
              <w:spacing w:after="0" w:line="240" w:lineRule="auto"/>
              <w:jc w:val="center"/>
              <w:rPr>
                <w:szCs w:val="24"/>
              </w:rPr>
            </w:pPr>
            <w:r w:rsidRPr="00687DE8">
              <w:rPr>
                <w:szCs w:val="24"/>
              </w:rPr>
              <w:t>79427</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252B4F" w14:textId="2C4B9C5A" w:rsidR="2E1E8EE1" w:rsidRPr="00687DE8" w:rsidRDefault="00732347">
            <w:pPr>
              <w:spacing w:after="0"/>
              <w:jc w:val="center"/>
              <w:rPr>
                <w:color w:val="000000" w:themeColor="text1"/>
                <w:szCs w:val="24"/>
              </w:rPr>
            </w:pPr>
            <w:r>
              <w:rPr>
                <w:color w:val="000000"/>
              </w:rPr>
              <w:t>680,04</w:t>
            </w:r>
          </w:p>
        </w:tc>
      </w:tr>
      <w:tr w:rsidR="00911A82" w:rsidRPr="00687DE8" w14:paraId="415442B2"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959189" w14:textId="77777777" w:rsidR="00911A82" w:rsidRPr="00687DE8" w:rsidRDefault="00911A82" w:rsidP="00911A82">
            <w:pPr>
              <w:spacing w:after="0" w:line="240" w:lineRule="auto"/>
              <w:rPr>
                <w:szCs w:val="24"/>
              </w:rPr>
            </w:pPr>
            <w:r w:rsidRPr="00687DE8">
              <w:rPr>
                <w:szCs w:val="24"/>
              </w:rPr>
              <w:t>Skeleti staatiline stsintigraafia või kogu keha stsintigraafia ja/või SPET joodiga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FD2589" w14:textId="77777777" w:rsidR="00911A82" w:rsidRPr="00687DE8" w:rsidRDefault="00911A82" w:rsidP="00911A82">
            <w:pPr>
              <w:spacing w:after="0" w:line="240" w:lineRule="auto"/>
              <w:jc w:val="center"/>
              <w:rPr>
                <w:szCs w:val="24"/>
              </w:rPr>
            </w:pPr>
          </w:p>
          <w:p w14:paraId="3995E0C5" w14:textId="77777777" w:rsidR="00911A82" w:rsidRPr="00687DE8" w:rsidRDefault="00911A82" w:rsidP="00911A82">
            <w:pPr>
              <w:spacing w:after="0" w:line="240" w:lineRule="auto"/>
              <w:jc w:val="center"/>
              <w:rPr>
                <w:szCs w:val="24"/>
              </w:rPr>
            </w:pPr>
            <w:r w:rsidRPr="00687DE8">
              <w:rPr>
                <w:szCs w:val="24"/>
              </w:rPr>
              <w:t>79428</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41F271" w14:textId="6BB9EC81" w:rsidR="2E1E8EE1" w:rsidRPr="00687DE8" w:rsidRDefault="00732347">
            <w:pPr>
              <w:spacing w:after="0"/>
              <w:jc w:val="center"/>
              <w:rPr>
                <w:color w:val="000000" w:themeColor="text1"/>
                <w:szCs w:val="24"/>
              </w:rPr>
            </w:pPr>
            <w:r>
              <w:rPr>
                <w:color w:val="000000"/>
              </w:rPr>
              <w:t>615,96</w:t>
            </w:r>
          </w:p>
        </w:tc>
      </w:tr>
      <w:tr w:rsidR="00C15C39" w:rsidRPr="00687DE8" w14:paraId="03CB42AC"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8F6EF8" w14:textId="77777777" w:rsidR="00C15C39" w:rsidRPr="00687DE8" w:rsidRDefault="00C15C39" w:rsidP="00C15C39">
            <w:pPr>
              <w:spacing w:after="0" w:line="240" w:lineRule="auto"/>
              <w:rPr>
                <w:szCs w:val="24"/>
              </w:rPr>
            </w:pPr>
            <w:r w:rsidRPr="00687DE8">
              <w:rPr>
                <w:szCs w:val="24"/>
              </w:rPr>
              <w:t>Feokromotsütoomi või adrenergilise koe või medullaarse kilpnäärmevähi stsintigraafia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A104CD" w14:textId="77777777" w:rsidR="00C15C39" w:rsidRPr="00687DE8" w:rsidRDefault="00C15C39" w:rsidP="00C15C39">
            <w:pPr>
              <w:spacing w:after="0" w:line="240" w:lineRule="auto"/>
              <w:jc w:val="center"/>
              <w:rPr>
                <w:szCs w:val="24"/>
              </w:rPr>
            </w:pPr>
          </w:p>
          <w:p w14:paraId="6941E4BE" w14:textId="77777777" w:rsidR="00C15C39" w:rsidRPr="00687DE8" w:rsidRDefault="00C15C39" w:rsidP="00C15C39">
            <w:pPr>
              <w:spacing w:after="0" w:line="240" w:lineRule="auto"/>
              <w:jc w:val="center"/>
              <w:rPr>
                <w:szCs w:val="24"/>
              </w:rPr>
            </w:pPr>
            <w:r w:rsidRPr="00687DE8">
              <w:rPr>
                <w:szCs w:val="24"/>
              </w:rPr>
              <w:t>79429</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820A1F" w14:textId="56B2F976" w:rsidR="2E1E8EE1" w:rsidRPr="00687DE8" w:rsidRDefault="00732347">
            <w:pPr>
              <w:spacing w:after="0"/>
              <w:jc w:val="center"/>
              <w:rPr>
                <w:color w:val="000000" w:themeColor="text1"/>
                <w:szCs w:val="24"/>
              </w:rPr>
            </w:pPr>
            <w:r>
              <w:rPr>
                <w:color w:val="000000"/>
              </w:rPr>
              <w:t>1 960,66</w:t>
            </w:r>
          </w:p>
        </w:tc>
      </w:tr>
      <w:tr w:rsidR="00C15C39" w:rsidRPr="00687DE8" w14:paraId="3BA66103"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C98053" w14:textId="77777777" w:rsidR="00C15C39" w:rsidRPr="00687DE8" w:rsidRDefault="00C15C39" w:rsidP="00C15C39">
            <w:pPr>
              <w:spacing w:after="0" w:line="240" w:lineRule="auto"/>
              <w:rPr>
                <w:szCs w:val="24"/>
              </w:rPr>
            </w:pPr>
            <w:r w:rsidRPr="00687DE8">
              <w:rPr>
                <w:szCs w:val="24"/>
              </w:rPr>
              <w:t>Kopsu ventilatsioonistsintigraafia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4CC0B2" w14:textId="77777777" w:rsidR="00C15C39" w:rsidRPr="00687DE8" w:rsidRDefault="00C15C39" w:rsidP="00C15C39">
            <w:pPr>
              <w:spacing w:after="0" w:line="240" w:lineRule="auto"/>
              <w:jc w:val="center"/>
              <w:rPr>
                <w:szCs w:val="24"/>
              </w:rPr>
            </w:pPr>
            <w:r w:rsidRPr="00687DE8">
              <w:rPr>
                <w:szCs w:val="24"/>
              </w:rPr>
              <w:t>79431</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3A170F" w14:textId="2B191396" w:rsidR="2E1E8EE1" w:rsidRPr="00687DE8" w:rsidRDefault="00732347">
            <w:pPr>
              <w:spacing w:after="0"/>
              <w:jc w:val="center"/>
              <w:rPr>
                <w:color w:val="000000" w:themeColor="text1"/>
                <w:szCs w:val="24"/>
              </w:rPr>
            </w:pPr>
            <w:r>
              <w:rPr>
                <w:color w:val="000000"/>
              </w:rPr>
              <w:t>609,66</w:t>
            </w:r>
          </w:p>
        </w:tc>
      </w:tr>
      <w:tr w:rsidR="00C15C39" w:rsidRPr="00687DE8" w14:paraId="179E9D95"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E48428" w14:textId="77777777" w:rsidR="00C15C39" w:rsidRPr="00687DE8" w:rsidRDefault="00C15C39" w:rsidP="00C15C39">
            <w:pPr>
              <w:spacing w:after="0" w:line="240" w:lineRule="auto"/>
              <w:rPr>
                <w:szCs w:val="24"/>
              </w:rPr>
            </w:pPr>
            <w:r w:rsidRPr="00687DE8">
              <w:rPr>
                <w:szCs w:val="24"/>
              </w:rPr>
              <w:t>Kopsu perfusioonistsintigraafia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AEEB17" w14:textId="77777777" w:rsidR="00C15C39" w:rsidRPr="00687DE8" w:rsidRDefault="00C15C39" w:rsidP="00C15C39">
            <w:pPr>
              <w:spacing w:after="0" w:line="240" w:lineRule="auto"/>
              <w:jc w:val="center"/>
              <w:rPr>
                <w:szCs w:val="24"/>
              </w:rPr>
            </w:pPr>
            <w:r w:rsidRPr="00687DE8">
              <w:rPr>
                <w:szCs w:val="24"/>
              </w:rPr>
              <w:t>79435</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32A478" w14:textId="7C1134A9" w:rsidR="2E1E8EE1" w:rsidRPr="00687DE8" w:rsidRDefault="00732347">
            <w:pPr>
              <w:spacing w:after="0"/>
              <w:jc w:val="center"/>
              <w:rPr>
                <w:color w:val="000000" w:themeColor="text1"/>
                <w:szCs w:val="24"/>
              </w:rPr>
            </w:pPr>
            <w:r>
              <w:rPr>
                <w:color w:val="000000"/>
              </w:rPr>
              <w:t>637,22</w:t>
            </w:r>
          </w:p>
        </w:tc>
      </w:tr>
      <w:tr w:rsidR="00C15C39" w:rsidRPr="00687DE8" w14:paraId="1B900747"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102E5A" w14:textId="77777777" w:rsidR="00C15C39" w:rsidRPr="00687DE8" w:rsidRDefault="00C15C39" w:rsidP="00C15C39">
            <w:pPr>
              <w:spacing w:after="0" w:line="240" w:lineRule="auto"/>
              <w:rPr>
                <w:szCs w:val="24"/>
              </w:rPr>
            </w:pPr>
            <w:r w:rsidRPr="00687DE8">
              <w:rPr>
                <w:szCs w:val="24"/>
              </w:rPr>
              <w:t>Nukleaarangiograafia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CF08A3" w14:textId="77777777" w:rsidR="00C15C39" w:rsidRPr="00687DE8" w:rsidRDefault="00C15C39" w:rsidP="00C15C39">
            <w:pPr>
              <w:spacing w:after="0" w:line="240" w:lineRule="auto"/>
              <w:jc w:val="center"/>
              <w:rPr>
                <w:szCs w:val="24"/>
              </w:rPr>
            </w:pPr>
            <w:r w:rsidRPr="00687DE8">
              <w:rPr>
                <w:szCs w:val="24"/>
              </w:rPr>
              <w:t>79440</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86C606" w14:textId="3B1E2910" w:rsidR="2E1E8EE1" w:rsidRPr="00687DE8" w:rsidRDefault="00732347">
            <w:pPr>
              <w:spacing w:after="0"/>
              <w:jc w:val="center"/>
              <w:rPr>
                <w:color w:val="000000" w:themeColor="text1"/>
                <w:szCs w:val="24"/>
              </w:rPr>
            </w:pPr>
            <w:r>
              <w:rPr>
                <w:color w:val="000000"/>
              </w:rPr>
              <w:t>757,14</w:t>
            </w:r>
          </w:p>
        </w:tc>
      </w:tr>
      <w:tr w:rsidR="00C15C39" w:rsidRPr="00687DE8" w14:paraId="1DC5B476"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73F78B" w14:textId="77777777" w:rsidR="00C15C39" w:rsidRPr="00687DE8" w:rsidRDefault="00C15C39" w:rsidP="00C15C39">
            <w:pPr>
              <w:spacing w:after="0" w:line="240" w:lineRule="auto"/>
              <w:rPr>
                <w:szCs w:val="24"/>
              </w:rPr>
            </w:pPr>
            <w:r w:rsidRPr="00687DE8">
              <w:rPr>
                <w:szCs w:val="24"/>
              </w:rPr>
              <w:t>Stsintigraafia ja/või SPET monoklonaalsete antikehadega (venoosse tromboosi, kartsinoembrüonaalse antigeeni antikehade ja muu stsintigraafia ja/või SPET)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EC9E03" w14:textId="77777777" w:rsidR="00C15C39" w:rsidRPr="00687DE8" w:rsidRDefault="00C15C39" w:rsidP="00C15C39">
            <w:pPr>
              <w:spacing w:after="0" w:line="240" w:lineRule="auto"/>
              <w:jc w:val="center"/>
              <w:rPr>
                <w:szCs w:val="24"/>
              </w:rPr>
            </w:pPr>
          </w:p>
          <w:p w14:paraId="76769F25" w14:textId="77777777" w:rsidR="00C15C39" w:rsidRPr="00687DE8" w:rsidRDefault="00C15C39" w:rsidP="00C15C39">
            <w:pPr>
              <w:spacing w:after="0" w:line="240" w:lineRule="auto"/>
              <w:jc w:val="center"/>
              <w:rPr>
                <w:szCs w:val="24"/>
              </w:rPr>
            </w:pPr>
          </w:p>
          <w:p w14:paraId="3FC44846" w14:textId="77777777" w:rsidR="00C15C39" w:rsidRPr="00687DE8" w:rsidRDefault="00C15C39" w:rsidP="00C15C39">
            <w:pPr>
              <w:spacing w:after="0" w:line="240" w:lineRule="auto"/>
              <w:jc w:val="center"/>
              <w:rPr>
                <w:szCs w:val="24"/>
              </w:rPr>
            </w:pPr>
            <w:r w:rsidRPr="00687DE8">
              <w:rPr>
                <w:szCs w:val="24"/>
              </w:rPr>
              <w:t>79441</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0CA0BC" w14:textId="0F1A136C" w:rsidR="2E1E8EE1" w:rsidRPr="00687DE8" w:rsidRDefault="00732347">
            <w:pPr>
              <w:spacing w:after="0"/>
              <w:jc w:val="center"/>
              <w:rPr>
                <w:color w:val="000000" w:themeColor="text1"/>
                <w:szCs w:val="24"/>
              </w:rPr>
            </w:pPr>
            <w:r>
              <w:rPr>
                <w:color w:val="000000"/>
              </w:rPr>
              <w:t>1 011,40</w:t>
            </w:r>
          </w:p>
        </w:tc>
      </w:tr>
      <w:tr w:rsidR="00C15C39" w:rsidRPr="00687DE8" w14:paraId="70867F0A"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A8DF5E" w14:textId="77777777" w:rsidR="00C15C39" w:rsidRPr="00687DE8" w:rsidRDefault="00C15C39" w:rsidP="00C15C39">
            <w:pPr>
              <w:spacing w:after="0" w:line="240" w:lineRule="auto"/>
              <w:rPr>
                <w:szCs w:val="24"/>
              </w:rPr>
            </w:pPr>
            <w:r w:rsidRPr="00687DE8">
              <w:rPr>
                <w:szCs w:val="24"/>
              </w:rPr>
              <w:t>Tsirkuleeriva verehulga määramine 131-I-albumiiniga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8E0473" w14:textId="77777777" w:rsidR="00C15C39" w:rsidRPr="00687DE8" w:rsidRDefault="00C15C39" w:rsidP="00C15C39">
            <w:pPr>
              <w:spacing w:after="0" w:line="240" w:lineRule="auto"/>
              <w:jc w:val="center"/>
              <w:rPr>
                <w:szCs w:val="24"/>
              </w:rPr>
            </w:pPr>
            <w:r w:rsidRPr="00687DE8">
              <w:rPr>
                <w:szCs w:val="24"/>
              </w:rPr>
              <w:t>79442</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D4A03A" w14:textId="7667CA15" w:rsidR="2E1E8EE1" w:rsidRPr="00687DE8" w:rsidRDefault="00732347">
            <w:pPr>
              <w:spacing w:after="0"/>
              <w:jc w:val="center"/>
              <w:rPr>
                <w:color w:val="000000" w:themeColor="text1"/>
                <w:szCs w:val="24"/>
              </w:rPr>
            </w:pPr>
            <w:r>
              <w:rPr>
                <w:color w:val="000000"/>
              </w:rPr>
              <w:t>153,13</w:t>
            </w:r>
          </w:p>
        </w:tc>
      </w:tr>
      <w:tr w:rsidR="00C15C39" w:rsidRPr="00687DE8" w14:paraId="3853212F"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C4A1EF" w14:textId="77777777" w:rsidR="00C15C39" w:rsidRPr="00687DE8" w:rsidRDefault="00C15C39" w:rsidP="00C15C39">
            <w:pPr>
              <w:spacing w:after="0" w:line="240" w:lineRule="auto"/>
              <w:rPr>
                <w:szCs w:val="24"/>
              </w:rPr>
            </w:pPr>
            <w:r w:rsidRPr="00687DE8">
              <w:rPr>
                <w:szCs w:val="24"/>
              </w:rPr>
              <w:t>Tsirkuleeriva verehulga uuring 99-Tc-pürofosfaadiga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853F0A" w14:textId="77777777" w:rsidR="00C15C39" w:rsidRPr="00687DE8" w:rsidRDefault="00C15C39" w:rsidP="00C15C39">
            <w:pPr>
              <w:spacing w:after="0" w:line="240" w:lineRule="auto"/>
              <w:jc w:val="center"/>
              <w:rPr>
                <w:szCs w:val="24"/>
              </w:rPr>
            </w:pPr>
            <w:r w:rsidRPr="00687DE8">
              <w:rPr>
                <w:szCs w:val="24"/>
              </w:rPr>
              <w:t>79443</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F30D85" w14:textId="06C07C25" w:rsidR="2E1E8EE1" w:rsidRPr="00687DE8" w:rsidRDefault="00732347">
            <w:pPr>
              <w:spacing w:after="0"/>
              <w:jc w:val="center"/>
              <w:rPr>
                <w:color w:val="000000" w:themeColor="text1"/>
                <w:szCs w:val="24"/>
              </w:rPr>
            </w:pPr>
            <w:r>
              <w:rPr>
                <w:color w:val="000000"/>
              </w:rPr>
              <w:t>531,17</w:t>
            </w:r>
          </w:p>
        </w:tc>
      </w:tr>
      <w:tr w:rsidR="00C15C39" w:rsidRPr="00687DE8" w14:paraId="68B15250" w14:textId="77777777" w:rsidTr="00EB7A71">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2CDAF1" w14:textId="77777777" w:rsidR="00C15C39" w:rsidRPr="00687DE8" w:rsidRDefault="00C15C39" w:rsidP="00C15C39">
            <w:pPr>
              <w:spacing w:after="0" w:line="240" w:lineRule="auto"/>
              <w:rPr>
                <w:szCs w:val="24"/>
              </w:rPr>
            </w:pPr>
            <w:r w:rsidRPr="00687DE8">
              <w:rPr>
                <w:szCs w:val="24"/>
              </w:rPr>
              <w:lastRenderedPageBreak/>
              <w:t>Hepatobiliaarsüsteemi dünaamiline stsintigraafia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D84BB6" w14:textId="77777777" w:rsidR="00C15C39" w:rsidRPr="00687DE8" w:rsidRDefault="00C15C39" w:rsidP="00C15C39">
            <w:pPr>
              <w:spacing w:after="0" w:line="240" w:lineRule="auto"/>
              <w:jc w:val="center"/>
              <w:rPr>
                <w:szCs w:val="24"/>
              </w:rPr>
            </w:pPr>
            <w:r w:rsidRPr="00687DE8">
              <w:rPr>
                <w:szCs w:val="24"/>
              </w:rPr>
              <w:t>79444</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ABCF38" w14:textId="21675C4D" w:rsidR="2E1E8EE1" w:rsidRPr="00687DE8" w:rsidRDefault="00732347">
            <w:pPr>
              <w:spacing w:after="0"/>
              <w:jc w:val="center"/>
              <w:rPr>
                <w:color w:val="000000" w:themeColor="text1"/>
                <w:szCs w:val="24"/>
              </w:rPr>
            </w:pPr>
            <w:r>
              <w:rPr>
                <w:color w:val="000000"/>
              </w:rPr>
              <w:t>863,43</w:t>
            </w:r>
          </w:p>
        </w:tc>
      </w:tr>
      <w:tr w:rsidR="00C15C39" w:rsidRPr="00687DE8" w14:paraId="69A6F9B2"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AFA76B" w14:textId="77777777" w:rsidR="00C15C39" w:rsidRPr="00687DE8" w:rsidRDefault="00C15C39" w:rsidP="00C15C39">
            <w:pPr>
              <w:spacing w:after="0" w:line="240" w:lineRule="auto"/>
              <w:rPr>
                <w:szCs w:val="24"/>
              </w:rPr>
            </w:pPr>
            <w:r w:rsidRPr="00687DE8">
              <w:rPr>
                <w:szCs w:val="24"/>
              </w:rPr>
              <w:t xml:space="preserve">FDG-PET-uuring </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B6A456" w14:textId="77777777" w:rsidR="00C15C39" w:rsidRPr="00687DE8" w:rsidRDefault="00C15C39" w:rsidP="00C15C39">
            <w:pPr>
              <w:spacing w:after="0" w:line="240" w:lineRule="auto"/>
              <w:jc w:val="center"/>
              <w:rPr>
                <w:szCs w:val="24"/>
              </w:rPr>
            </w:pPr>
            <w:r w:rsidRPr="00687DE8">
              <w:rPr>
                <w:szCs w:val="24"/>
              </w:rPr>
              <w:t>79450</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D54AE4" w14:textId="154CCD0B" w:rsidR="2E1E8EE1" w:rsidRPr="00687DE8" w:rsidRDefault="00732347">
            <w:pPr>
              <w:spacing w:after="0"/>
              <w:jc w:val="center"/>
              <w:rPr>
                <w:color w:val="000000" w:themeColor="text1"/>
                <w:szCs w:val="24"/>
              </w:rPr>
            </w:pPr>
            <w:r>
              <w:rPr>
                <w:color w:val="000000"/>
              </w:rPr>
              <w:t>1 457,79</w:t>
            </w:r>
          </w:p>
        </w:tc>
      </w:tr>
      <w:tr w:rsidR="00C15C39" w:rsidRPr="00687DE8" w14:paraId="7B26D824"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C6173A" w14:textId="77777777" w:rsidR="00C15C39" w:rsidRPr="00687DE8" w:rsidRDefault="00C15C39" w:rsidP="00C15C39">
            <w:pPr>
              <w:spacing w:after="0" w:line="240" w:lineRule="auto"/>
              <w:rPr>
                <w:szCs w:val="24"/>
              </w:rPr>
            </w:pPr>
            <w:r w:rsidRPr="00687DE8">
              <w:rPr>
                <w:szCs w:val="24"/>
              </w:rPr>
              <w:t>PSMA-PET-uuring</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75E5AF" w14:textId="77777777" w:rsidR="00C15C39" w:rsidRPr="00687DE8" w:rsidRDefault="00C15C39" w:rsidP="00C15C39">
            <w:pPr>
              <w:spacing w:after="0" w:line="240" w:lineRule="auto"/>
              <w:jc w:val="center"/>
              <w:rPr>
                <w:szCs w:val="24"/>
              </w:rPr>
            </w:pPr>
            <w:r w:rsidRPr="00687DE8">
              <w:rPr>
                <w:szCs w:val="24"/>
              </w:rPr>
              <w:t>79454</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D0D8694" w14:textId="3E62D505" w:rsidR="2E1E8EE1" w:rsidRPr="00687DE8" w:rsidRDefault="00732347">
            <w:pPr>
              <w:spacing w:after="0"/>
              <w:jc w:val="center"/>
              <w:rPr>
                <w:color w:val="000000" w:themeColor="text1"/>
                <w:szCs w:val="24"/>
              </w:rPr>
            </w:pPr>
            <w:r>
              <w:rPr>
                <w:color w:val="000000"/>
              </w:rPr>
              <w:t>2 357,58</w:t>
            </w:r>
          </w:p>
        </w:tc>
      </w:tr>
      <w:tr w:rsidR="00C15C39" w:rsidRPr="00687DE8" w14:paraId="0038F56E"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3ED08C" w14:textId="77777777" w:rsidR="00C15C39" w:rsidRPr="00687DE8" w:rsidRDefault="00C15C39" w:rsidP="00C15C39">
            <w:pPr>
              <w:spacing w:after="0" w:line="240" w:lineRule="auto"/>
              <w:rPr>
                <w:szCs w:val="24"/>
              </w:rPr>
            </w:pPr>
            <w:r w:rsidRPr="00687DE8">
              <w:rPr>
                <w:szCs w:val="24"/>
              </w:rPr>
              <w:t xml:space="preserve">PET-lisauuring </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D33AE4" w14:textId="77777777" w:rsidR="00C15C39" w:rsidRPr="00687DE8" w:rsidRDefault="00C15C39" w:rsidP="00C15C39">
            <w:pPr>
              <w:spacing w:after="0" w:line="240" w:lineRule="auto"/>
              <w:jc w:val="center"/>
              <w:rPr>
                <w:szCs w:val="24"/>
              </w:rPr>
            </w:pPr>
            <w:r w:rsidRPr="00687DE8">
              <w:rPr>
                <w:szCs w:val="24"/>
              </w:rPr>
              <w:t>79451</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B47C92" w14:textId="7092F93B" w:rsidR="2E1E8EE1" w:rsidRPr="00687DE8" w:rsidRDefault="00732347">
            <w:pPr>
              <w:spacing w:after="0"/>
              <w:jc w:val="center"/>
              <w:rPr>
                <w:color w:val="000000" w:themeColor="text1"/>
                <w:szCs w:val="24"/>
              </w:rPr>
            </w:pPr>
            <w:r>
              <w:rPr>
                <w:color w:val="000000"/>
              </w:rPr>
              <w:t>139,81</w:t>
            </w:r>
          </w:p>
        </w:tc>
      </w:tr>
      <w:tr w:rsidR="00C15C39" w:rsidRPr="00687DE8" w14:paraId="62355EB5"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2C39F4" w14:textId="77777777" w:rsidR="00C15C39" w:rsidRPr="00687DE8" w:rsidRDefault="00C15C39" w:rsidP="00C15C39">
            <w:pPr>
              <w:spacing w:after="0" w:line="240" w:lineRule="auto"/>
              <w:rPr>
                <w:szCs w:val="24"/>
              </w:rPr>
            </w:pPr>
            <w:r w:rsidRPr="00687DE8">
              <w:rPr>
                <w:szCs w:val="24"/>
              </w:rPr>
              <w:t>Samaariumravi protseduur</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B819F0" w14:textId="77777777" w:rsidR="00C15C39" w:rsidRPr="00687DE8" w:rsidRDefault="00C15C39" w:rsidP="00C15C39">
            <w:pPr>
              <w:spacing w:after="0" w:line="240" w:lineRule="auto"/>
              <w:jc w:val="center"/>
              <w:rPr>
                <w:szCs w:val="24"/>
              </w:rPr>
            </w:pPr>
            <w:r w:rsidRPr="00687DE8">
              <w:rPr>
                <w:szCs w:val="24"/>
              </w:rPr>
              <w:t>79460</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954989" w14:textId="51703329" w:rsidR="2E1E8EE1" w:rsidRPr="00687DE8" w:rsidRDefault="00732347">
            <w:pPr>
              <w:spacing w:after="0"/>
              <w:jc w:val="center"/>
              <w:rPr>
                <w:color w:val="000000" w:themeColor="text1"/>
                <w:szCs w:val="24"/>
              </w:rPr>
            </w:pPr>
            <w:r>
              <w:rPr>
                <w:color w:val="000000"/>
              </w:rPr>
              <w:t>2 093,48</w:t>
            </w:r>
          </w:p>
        </w:tc>
      </w:tr>
      <w:tr w:rsidR="00C15C39" w:rsidRPr="00687DE8" w14:paraId="25FBADDE"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7F2D02" w14:textId="77777777" w:rsidR="00C15C39" w:rsidRPr="00687DE8" w:rsidRDefault="00C15C39" w:rsidP="00C15C39">
            <w:pPr>
              <w:spacing w:after="0" w:line="240" w:lineRule="auto"/>
              <w:rPr>
                <w:szCs w:val="24"/>
              </w:rPr>
            </w:pPr>
            <w:r w:rsidRPr="00687DE8">
              <w:rPr>
                <w:szCs w:val="24"/>
              </w:rPr>
              <w:t>Radiojoodravi protseduur kilpnäärmevähi korral</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EE64BF" w14:textId="77777777" w:rsidR="00C15C39" w:rsidRPr="00687DE8" w:rsidRDefault="00C15C39" w:rsidP="00C15C39">
            <w:pPr>
              <w:spacing w:after="0" w:line="240" w:lineRule="auto"/>
              <w:jc w:val="center"/>
              <w:rPr>
                <w:szCs w:val="24"/>
              </w:rPr>
            </w:pPr>
            <w:r w:rsidRPr="00687DE8">
              <w:rPr>
                <w:szCs w:val="24"/>
              </w:rPr>
              <w:t>79461</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71CEC0" w14:textId="586786EE" w:rsidR="2E1E8EE1" w:rsidRPr="00687DE8" w:rsidRDefault="00732347">
            <w:pPr>
              <w:spacing w:after="0"/>
              <w:jc w:val="center"/>
              <w:rPr>
                <w:color w:val="000000" w:themeColor="text1"/>
                <w:szCs w:val="24"/>
              </w:rPr>
            </w:pPr>
            <w:r>
              <w:rPr>
                <w:color w:val="000000"/>
              </w:rPr>
              <w:t>1 270,72</w:t>
            </w:r>
          </w:p>
        </w:tc>
      </w:tr>
      <w:tr w:rsidR="00C15C39" w:rsidRPr="00687DE8" w14:paraId="0313961E"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49D8D8" w14:textId="77777777" w:rsidR="00C15C39" w:rsidRPr="00687DE8" w:rsidRDefault="00C15C39" w:rsidP="00C15C39">
            <w:pPr>
              <w:spacing w:after="0" w:line="240" w:lineRule="auto"/>
              <w:rPr>
                <w:szCs w:val="24"/>
              </w:rPr>
            </w:pPr>
            <w:r w:rsidRPr="00687DE8">
              <w:rPr>
                <w:szCs w:val="24"/>
              </w:rPr>
              <w:t>Düsproosiumravi protseduur või holmiumravi protseduur</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109CFB" w14:textId="77777777" w:rsidR="00C15C39" w:rsidRPr="00687DE8" w:rsidRDefault="00C15C39" w:rsidP="00C15C39">
            <w:pPr>
              <w:spacing w:after="0" w:line="240" w:lineRule="auto"/>
              <w:jc w:val="center"/>
              <w:rPr>
                <w:szCs w:val="24"/>
              </w:rPr>
            </w:pPr>
            <w:r w:rsidRPr="00687DE8">
              <w:rPr>
                <w:szCs w:val="24"/>
              </w:rPr>
              <w:t>79462</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42F694" w14:textId="16B04CE7" w:rsidR="2E1E8EE1" w:rsidRPr="00687DE8" w:rsidRDefault="00732347">
            <w:pPr>
              <w:spacing w:after="0"/>
              <w:jc w:val="center"/>
              <w:rPr>
                <w:color w:val="000000" w:themeColor="text1"/>
                <w:szCs w:val="24"/>
              </w:rPr>
            </w:pPr>
            <w:r>
              <w:rPr>
                <w:color w:val="000000"/>
              </w:rPr>
              <w:t>1 034,70</w:t>
            </w:r>
          </w:p>
        </w:tc>
      </w:tr>
      <w:tr w:rsidR="008E571A" w:rsidRPr="00687DE8" w14:paraId="01CC6EA9"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72A7D6" w14:textId="77777777" w:rsidR="008E571A" w:rsidRPr="00687DE8" w:rsidRDefault="008E571A" w:rsidP="008E571A">
            <w:pPr>
              <w:spacing w:after="0" w:line="240" w:lineRule="auto"/>
              <w:rPr>
                <w:szCs w:val="24"/>
              </w:rPr>
            </w:pPr>
            <w:r w:rsidRPr="00687DE8">
              <w:rPr>
                <w:szCs w:val="24"/>
              </w:rPr>
              <w:t>Luumetastaaside ravi Sm-153-EDTMP-ga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9D734B" w14:textId="77777777" w:rsidR="008E571A" w:rsidRPr="00687DE8" w:rsidRDefault="008E571A" w:rsidP="008E571A">
            <w:pPr>
              <w:spacing w:after="0" w:line="240" w:lineRule="auto"/>
              <w:jc w:val="center"/>
              <w:rPr>
                <w:szCs w:val="24"/>
              </w:rPr>
            </w:pPr>
            <w:r w:rsidRPr="00687DE8">
              <w:rPr>
                <w:szCs w:val="24"/>
              </w:rPr>
              <w:t>79463</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8D51C9" w14:textId="0482F7BD" w:rsidR="2E1E8EE1" w:rsidRPr="00687DE8" w:rsidRDefault="00732347">
            <w:pPr>
              <w:spacing w:after="0"/>
              <w:jc w:val="center"/>
              <w:rPr>
                <w:color w:val="000000" w:themeColor="text1"/>
                <w:szCs w:val="24"/>
              </w:rPr>
            </w:pPr>
            <w:r>
              <w:rPr>
                <w:color w:val="000000"/>
              </w:rPr>
              <w:t>1 771,69</w:t>
            </w:r>
          </w:p>
        </w:tc>
      </w:tr>
      <w:tr w:rsidR="008E571A" w:rsidRPr="00687DE8" w14:paraId="75DFF89E"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BE0172" w14:textId="77777777" w:rsidR="008E571A" w:rsidRPr="00687DE8" w:rsidRDefault="008E571A" w:rsidP="008E571A">
            <w:pPr>
              <w:spacing w:after="0" w:line="240" w:lineRule="auto"/>
              <w:rPr>
                <w:szCs w:val="24"/>
              </w:rPr>
            </w:pPr>
            <w:r w:rsidRPr="00687DE8">
              <w:rPr>
                <w:szCs w:val="24"/>
              </w:rPr>
              <w:t>Kilpnäärme supressioon jood-131-ga hüpertüreoosi korral</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4A20CD" w14:textId="77777777" w:rsidR="008E571A" w:rsidRPr="00687DE8" w:rsidRDefault="008E571A" w:rsidP="008E571A">
            <w:pPr>
              <w:spacing w:after="0" w:line="240" w:lineRule="auto"/>
              <w:jc w:val="center"/>
              <w:rPr>
                <w:szCs w:val="24"/>
              </w:rPr>
            </w:pPr>
            <w:r w:rsidRPr="00687DE8">
              <w:rPr>
                <w:szCs w:val="24"/>
              </w:rPr>
              <w:t>79464</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26938E" w14:textId="2F66BB85" w:rsidR="2E1E8EE1" w:rsidRPr="00687DE8" w:rsidRDefault="00732347">
            <w:pPr>
              <w:spacing w:after="0"/>
              <w:jc w:val="center"/>
              <w:rPr>
                <w:color w:val="000000" w:themeColor="text1"/>
                <w:szCs w:val="24"/>
              </w:rPr>
            </w:pPr>
            <w:r>
              <w:rPr>
                <w:color w:val="000000"/>
              </w:rPr>
              <w:t>750,28</w:t>
            </w:r>
          </w:p>
        </w:tc>
      </w:tr>
      <w:tr w:rsidR="008E571A" w:rsidRPr="00687DE8" w14:paraId="76B3972C"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51C7B3" w14:textId="77777777" w:rsidR="008E571A" w:rsidRPr="00687DE8" w:rsidRDefault="008E571A" w:rsidP="008E571A">
            <w:pPr>
              <w:spacing w:after="0" w:line="240" w:lineRule="auto"/>
              <w:rPr>
                <w:szCs w:val="24"/>
              </w:rPr>
            </w:pPr>
            <w:r w:rsidRPr="00687DE8">
              <w:rPr>
                <w:szCs w:val="24"/>
              </w:rPr>
              <w:t>Väikeste liigeste radiosünovektoomia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66F312" w14:textId="77777777" w:rsidR="008E571A" w:rsidRPr="00687DE8" w:rsidRDefault="008E571A" w:rsidP="008E571A">
            <w:pPr>
              <w:spacing w:after="0" w:line="240" w:lineRule="auto"/>
              <w:jc w:val="center"/>
              <w:rPr>
                <w:szCs w:val="24"/>
              </w:rPr>
            </w:pPr>
            <w:r w:rsidRPr="00687DE8">
              <w:rPr>
                <w:szCs w:val="24"/>
              </w:rPr>
              <w:t>79465</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CBAF25" w14:textId="13349717" w:rsidR="2E1E8EE1" w:rsidRPr="00687DE8" w:rsidRDefault="00732347">
            <w:pPr>
              <w:spacing w:after="0"/>
              <w:jc w:val="center"/>
              <w:rPr>
                <w:color w:val="000000" w:themeColor="text1"/>
                <w:szCs w:val="24"/>
              </w:rPr>
            </w:pPr>
            <w:r>
              <w:rPr>
                <w:color w:val="000000"/>
              </w:rPr>
              <w:t>3 582,48</w:t>
            </w:r>
          </w:p>
        </w:tc>
      </w:tr>
      <w:tr w:rsidR="008E571A" w:rsidRPr="00687DE8" w14:paraId="36C74634"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BB75F5" w14:textId="77777777" w:rsidR="008E571A" w:rsidRPr="00687DE8" w:rsidRDefault="008E571A" w:rsidP="008E571A">
            <w:pPr>
              <w:spacing w:after="0" w:line="240" w:lineRule="auto"/>
              <w:rPr>
                <w:szCs w:val="24"/>
              </w:rPr>
            </w:pPr>
            <w:r w:rsidRPr="00687DE8">
              <w:rPr>
                <w:szCs w:val="24"/>
              </w:rPr>
              <w:t>Erütreemia ravi P-32 ortofosfaadiga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A930DD" w14:textId="77777777" w:rsidR="008E571A" w:rsidRPr="00687DE8" w:rsidRDefault="008E571A" w:rsidP="008E571A">
            <w:pPr>
              <w:spacing w:after="0" w:line="240" w:lineRule="auto"/>
              <w:jc w:val="center"/>
              <w:rPr>
                <w:szCs w:val="24"/>
              </w:rPr>
            </w:pPr>
            <w:r w:rsidRPr="00687DE8">
              <w:rPr>
                <w:szCs w:val="24"/>
              </w:rPr>
              <w:t>79466</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757285" w14:textId="6395028D" w:rsidR="2E1E8EE1" w:rsidRPr="00687DE8" w:rsidRDefault="00732347">
            <w:pPr>
              <w:spacing w:after="0"/>
              <w:jc w:val="center"/>
              <w:rPr>
                <w:color w:val="000000" w:themeColor="text1"/>
                <w:szCs w:val="24"/>
              </w:rPr>
            </w:pPr>
            <w:r>
              <w:rPr>
                <w:color w:val="000000"/>
              </w:rPr>
              <w:t>521,44</w:t>
            </w:r>
          </w:p>
        </w:tc>
      </w:tr>
      <w:tr w:rsidR="008E571A" w:rsidRPr="00687DE8" w14:paraId="779C0648"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DD08C4" w14:textId="77777777" w:rsidR="008E571A" w:rsidRPr="00687DE8" w:rsidRDefault="008E571A" w:rsidP="008E571A">
            <w:pPr>
              <w:spacing w:after="0" w:line="240" w:lineRule="auto"/>
              <w:rPr>
                <w:szCs w:val="24"/>
              </w:rPr>
            </w:pPr>
            <w:r w:rsidRPr="00687DE8">
              <w:rPr>
                <w:szCs w:val="24"/>
              </w:rPr>
              <w:t>Neuroendokriinkasvaja isotoopravi (1 raviprotseduur)</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A612CE" w14:textId="77777777" w:rsidR="008E571A" w:rsidRPr="00687DE8" w:rsidRDefault="008E571A" w:rsidP="008E571A">
            <w:pPr>
              <w:spacing w:after="0" w:line="240" w:lineRule="auto"/>
              <w:jc w:val="center"/>
              <w:rPr>
                <w:szCs w:val="24"/>
              </w:rPr>
            </w:pPr>
            <w:r w:rsidRPr="00687DE8">
              <w:rPr>
                <w:szCs w:val="24"/>
              </w:rPr>
              <w:t>79468</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3FD3D2" w14:textId="668FDA13" w:rsidR="2E1E8EE1" w:rsidRPr="00687DE8" w:rsidRDefault="00732347">
            <w:pPr>
              <w:spacing w:after="0"/>
              <w:jc w:val="center"/>
              <w:rPr>
                <w:color w:val="000000" w:themeColor="text1"/>
                <w:szCs w:val="24"/>
              </w:rPr>
            </w:pPr>
            <w:r>
              <w:rPr>
                <w:color w:val="000000"/>
              </w:rPr>
              <w:t>7 674,14</w:t>
            </w:r>
          </w:p>
        </w:tc>
      </w:tr>
      <w:tr w:rsidR="008E571A" w:rsidRPr="00687DE8" w14:paraId="0BC268C2"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A9F24A" w14:textId="77777777" w:rsidR="008E571A" w:rsidRPr="00687DE8" w:rsidRDefault="008E571A" w:rsidP="008E571A">
            <w:pPr>
              <w:spacing w:after="0" w:line="240" w:lineRule="auto"/>
              <w:rPr>
                <w:szCs w:val="24"/>
              </w:rPr>
            </w:pPr>
            <w:r w:rsidRPr="00687DE8">
              <w:rPr>
                <w:szCs w:val="24"/>
              </w:rPr>
              <w:t>Peptiidretseptor-radionukliidravi protseduur 177Lu-DOTA-peptiidiga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DC0DDB9" w14:textId="77777777" w:rsidR="008E571A" w:rsidRPr="00687DE8" w:rsidRDefault="008E571A" w:rsidP="008E571A">
            <w:pPr>
              <w:spacing w:after="0" w:line="240" w:lineRule="auto"/>
              <w:jc w:val="center"/>
              <w:rPr>
                <w:szCs w:val="24"/>
              </w:rPr>
            </w:pPr>
            <w:r w:rsidRPr="00687DE8">
              <w:rPr>
                <w:szCs w:val="24"/>
              </w:rPr>
              <w:t>79470</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5DD4B18" w14:textId="37ADF899" w:rsidR="2E1E8EE1" w:rsidRPr="00687DE8" w:rsidRDefault="00732347">
            <w:pPr>
              <w:spacing w:after="0"/>
              <w:jc w:val="center"/>
              <w:rPr>
                <w:color w:val="000000" w:themeColor="text1"/>
                <w:szCs w:val="24"/>
              </w:rPr>
            </w:pPr>
            <w:r>
              <w:rPr>
                <w:color w:val="000000"/>
              </w:rPr>
              <w:t>17 495,09</w:t>
            </w:r>
          </w:p>
        </w:tc>
      </w:tr>
      <w:tr w:rsidR="008E571A" w:rsidRPr="00687DE8" w14:paraId="7EB9BA7D"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399153" w14:textId="77777777" w:rsidR="008E571A" w:rsidRPr="00687DE8" w:rsidRDefault="008E571A" w:rsidP="008E571A">
            <w:pPr>
              <w:spacing w:after="0" w:line="240" w:lineRule="auto"/>
              <w:rPr>
                <w:szCs w:val="24"/>
              </w:rPr>
            </w:pPr>
            <w:r w:rsidRPr="00687DE8">
              <w:rPr>
                <w:szCs w:val="24"/>
              </w:rPr>
              <w:t>Radionukliidravi järgne dosimeetriline SPET molekulaarkuvamine (1 protseduur)</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788F57F" w14:textId="77777777" w:rsidR="008E571A" w:rsidRPr="00687DE8" w:rsidRDefault="008E571A" w:rsidP="008E571A">
            <w:pPr>
              <w:spacing w:after="0" w:line="240" w:lineRule="auto"/>
              <w:jc w:val="center"/>
              <w:rPr>
                <w:szCs w:val="24"/>
              </w:rPr>
            </w:pPr>
            <w:r w:rsidRPr="00687DE8">
              <w:rPr>
                <w:szCs w:val="24"/>
              </w:rPr>
              <w:t>79473</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ACDE021" w14:textId="2826DC6D" w:rsidR="2E1E8EE1" w:rsidRPr="00687DE8" w:rsidRDefault="00732347">
            <w:pPr>
              <w:spacing w:after="0"/>
              <w:jc w:val="center"/>
              <w:rPr>
                <w:color w:val="000000" w:themeColor="text1"/>
                <w:szCs w:val="24"/>
              </w:rPr>
            </w:pPr>
            <w:r>
              <w:rPr>
                <w:color w:val="000000"/>
              </w:rPr>
              <w:t>485,82</w:t>
            </w:r>
          </w:p>
        </w:tc>
      </w:tr>
      <w:tr w:rsidR="008E571A" w:rsidRPr="00687DE8" w14:paraId="0C2B4FC8"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343A82" w14:textId="6FD23250" w:rsidR="008E571A" w:rsidRPr="00687DE8" w:rsidRDefault="008E571A" w:rsidP="008E571A">
            <w:pPr>
              <w:spacing w:after="0" w:line="240" w:lineRule="auto"/>
              <w:rPr>
                <w:szCs w:val="24"/>
              </w:rPr>
            </w:pPr>
            <w:r w:rsidRPr="00687DE8">
              <w:rPr>
                <w:szCs w:val="24"/>
              </w:rPr>
              <w:t>Eesnäärmevähi brahhüteraapia radioaktiivsete, lühikese poolestusajaga ja madala aktiivsusega püsivate implantaatidega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B552B0" w14:textId="77777777" w:rsidR="008E571A" w:rsidRPr="00687DE8" w:rsidRDefault="008E571A" w:rsidP="008E571A">
            <w:pPr>
              <w:spacing w:after="0" w:line="240" w:lineRule="auto"/>
              <w:jc w:val="center"/>
              <w:rPr>
                <w:szCs w:val="24"/>
              </w:rPr>
            </w:pPr>
          </w:p>
          <w:p w14:paraId="2331EC07" w14:textId="77777777" w:rsidR="008E571A" w:rsidRPr="00687DE8" w:rsidRDefault="008E571A" w:rsidP="008E571A">
            <w:pPr>
              <w:spacing w:after="0" w:line="240" w:lineRule="auto"/>
              <w:jc w:val="center"/>
              <w:rPr>
                <w:szCs w:val="24"/>
              </w:rPr>
            </w:pPr>
            <w:r w:rsidRPr="00687DE8">
              <w:rPr>
                <w:szCs w:val="24"/>
              </w:rPr>
              <w:t>7436</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47FD8" w14:textId="75E30914" w:rsidR="2E1E8EE1" w:rsidRPr="00687DE8" w:rsidRDefault="00732347">
            <w:pPr>
              <w:spacing w:after="0"/>
              <w:jc w:val="center"/>
              <w:rPr>
                <w:color w:val="000000" w:themeColor="text1"/>
                <w:szCs w:val="24"/>
              </w:rPr>
            </w:pPr>
            <w:r>
              <w:rPr>
                <w:color w:val="000000"/>
              </w:rPr>
              <w:t>6 301,17</w:t>
            </w:r>
          </w:p>
        </w:tc>
      </w:tr>
      <w:tr w:rsidR="008E571A" w:rsidRPr="00687DE8" w14:paraId="607DE575" w14:textId="77777777" w:rsidTr="00B93704">
        <w:trPr>
          <w:divId w:val="1316184749"/>
          <w:trHeight w:val="300"/>
        </w:trPr>
        <w:tc>
          <w:tcPr>
            <w:tcW w:w="6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A07635" w14:textId="77777777" w:rsidR="008E571A" w:rsidRPr="00687DE8" w:rsidRDefault="008E571A" w:rsidP="008E571A">
            <w:pPr>
              <w:spacing w:after="0" w:line="240" w:lineRule="auto"/>
              <w:rPr>
                <w:szCs w:val="24"/>
              </w:rPr>
            </w:pPr>
            <w:r w:rsidRPr="00687DE8">
              <w:rPr>
                <w:szCs w:val="24"/>
              </w:rPr>
              <w:t>223-raadiumi manustamise protseduur</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E3C531" w14:textId="77777777" w:rsidR="008E571A" w:rsidRPr="00687DE8" w:rsidRDefault="008E571A" w:rsidP="008E571A">
            <w:pPr>
              <w:spacing w:after="0" w:line="240" w:lineRule="auto"/>
              <w:jc w:val="center"/>
              <w:rPr>
                <w:szCs w:val="24"/>
              </w:rPr>
            </w:pPr>
            <w:r w:rsidRPr="00687DE8">
              <w:rPr>
                <w:szCs w:val="24"/>
              </w:rPr>
              <w:t>79469</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810562" w14:textId="21E0290C" w:rsidR="2E1E8EE1" w:rsidRPr="00687DE8" w:rsidRDefault="00732347">
            <w:pPr>
              <w:spacing w:after="0"/>
              <w:jc w:val="center"/>
              <w:rPr>
                <w:color w:val="000000" w:themeColor="text1"/>
                <w:szCs w:val="24"/>
              </w:rPr>
            </w:pPr>
            <w:r>
              <w:rPr>
                <w:color w:val="000000"/>
              </w:rPr>
              <w:t>305,47</w:t>
            </w:r>
          </w:p>
        </w:tc>
      </w:tr>
    </w:tbl>
    <w:p w14:paraId="58D898E3" w14:textId="77777777" w:rsidR="00976487" w:rsidRPr="00687DE8" w:rsidRDefault="00976487" w:rsidP="00976487">
      <w:pPr>
        <w:spacing w:after="0" w:line="240" w:lineRule="auto"/>
        <w:jc w:val="both"/>
        <w:divId w:val="1316184749"/>
        <w:rPr>
          <w:szCs w:val="24"/>
        </w:rPr>
      </w:pPr>
    </w:p>
    <w:p w14:paraId="086E1F13" w14:textId="77777777" w:rsidR="00976487" w:rsidRPr="00687DE8" w:rsidRDefault="005E41CE" w:rsidP="00976487">
      <w:pPr>
        <w:spacing w:after="0" w:line="240" w:lineRule="auto"/>
        <w:jc w:val="both"/>
        <w:divId w:val="1316184749"/>
        <w:rPr>
          <w:szCs w:val="24"/>
        </w:rPr>
      </w:pPr>
      <w:r w:rsidRPr="00687DE8">
        <w:rPr>
          <w:szCs w:val="24"/>
        </w:rPr>
        <w:t>(2) L</w:t>
      </w:r>
      <w:r w:rsidR="00976487" w:rsidRPr="00687DE8">
        <w:rPr>
          <w:szCs w:val="24"/>
        </w:rPr>
        <w:t>õikes 1 sätestatud tervishoiuteenuste piirhind (</w:t>
      </w:r>
      <w:r w:rsidR="00DC4841" w:rsidRPr="00687DE8">
        <w:rPr>
          <w:szCs w:val="24"/>
        </w:rPr>
        <w:t>välja arvatud</w:t>
      </w:r>
      <w:r w:rsidR="00976487" w:rsidRPr="00687DE8">
        <w:rPr>
          <w:szCs w:val="24"/>
        </w:rPr>
        <w:t xml:space="preserve"> koodid 79400 ja 79451) sisaldab isotoobi maksumust</w:t>
      </w:r>
      <w:r w:rsidR="000948B5" w:rsidRPr="00687DE8">
        <w:rPr>
          <w:szCs w:val="24"/>
        </w:rPr>
        <w:t xml:space="preserve"> </w:t>
      </w:r>
      <w:r w:rsidR="001937D6" w:rsidRPr="00687DE8">
        <w:rPr>
          <w:szCs w:val="24"/>
        </w:rPr>
        <w:t>(välja arvatud koodid 79469 ja 79473)</w:t>
      </w:r>
      <w:r w:rsidR="00976487" w:rsidRPr="00687DE8">
        <w:rPr>
          <w:szCs w:val="24"/>
        </w:rPr>
        <w:t>, haige läbivaatust, doosi arvestust, haige paigaldamist, haige jälgimist, kujutise ja parameetrite digitaalset salvestamist, pildi töötlust ning uuringu kirjeldamist.</w:t>
      </w:r>
      <w:r w:rsidR="00102027" w:rsidRPr="00687DE8">
        <w:rPr>
          <w:szCs w:val="24"/>
        </w:rPr>
        <w:t xml:space="preserve"> </w:t>
      </w:r>
      <w:r w:rsidR="00B735C6" w:rsidRPr="00687DE8">
        <w:rPr>
          <w:szCs w:val="24"/>
        </w:rPr>
        <w:t>L</w:t>
      </w:r>
      <w:r w:rsidR="00102027" w:rsidRPr="00687DE8">
        <w:rPr>
          <w:szCs w:val="24"/>
        </w:rPr>
        <w:t>õikes 1 nimetatud teenuste puhul on tagatud piltide arhiveerimi</w:t>
      </w:r>
      <w:r w:rsidR="00D27E4F" w:rsidRPr="00687DE8">
        <w:rPr>
          <w:szCs w:val="24"/>
        </w:rPr>
        <w:t>n</w:t>
      </w:r>
      <w:r w:rsidR="00102027" w:rsidRPr="00687DE8">
        <w:rPr>
          <w:szCs w:val="24"/>
        </w:rPr>
        <w:t>e Sihtasutuses Eesti Tervishoiu Pildipank.</w:t>
      </w:r>
    </w:p>
    <w:p w14:paraId="03AAD0E1" w14:textId="77777777" w:rsidR="00976487" w:rsidRPr="00687DE8" w:rsidRDefault="00976487" w:rsidP="00976487">
      <w:pPr>
        <w:spacing w:after="0" w:line="240" w:lineRule="auto"/>
        <w:jc w:val="both"/>
        <w:divId w:val="1316184749"/>
        <w:rPr>
          <w:szCs w:val="24"/>
        </w:rPr>
      </w:pPr>
    </w:p>
    <w:p w14:paraId="4B1C0B53" w14:textId="77777777" w:rsidR="00976487" w:rsidRPr="00687DE8" w:rsidRDefault="005E41CE" w:rsidP="00976487">
      <w:pPr>
        <w:spacing w:after="0" w:line="240" w:lineRule="auto"/>
        <w:jc w:val="both"/>
        <w:divId w:val="1316184749"/>
        <w:rPr>
          <w:szCs w:val="24"/>
        </w:rPr>
      </w:pPr>
      <w:r w:rsidRPr="00687DE8">
        <w:rPr>
          <w:szCs w:val="24"/>
        </w:rPr>
        <w:t>(3) L</w:t>
      </w:r>
      <w:r w:rsidR="00976487" w:rsidRPr="00687DE8">
        <w:rPr>
          <w:szCs w:val="24"/>
        </w:rPr>
        <w:t>õikes 1 sätestatud SPET</w:t>
      </w:r>
      <w:r w:rsidR="00222960" w:rsidRPr="00687DE8">
        <w:rPr>
          <w:szCs w:val="24"/>
        </w:rPr>
        <w:t>-</w:t>
      </w:r>
      <w:r w:rsidR="00976487" w:rsidRPr="00687DE8">
        <w:rPr>
          <w:szCs w:val="24"/>
        </w:rPr>
        <w:t>uuringu piirhind ja kilpnäärmevähi radiojoodravi protseduuri piirhind sisaldab kõigi uuringu käigus tehtud kolmedimensiooniliste SPET-salvestuste ning kompuutertomograafiate maksumust.</w:t>
      </w:r>
    </w:p>
    <w:p w14:paraId="0DEB42DA" w14:textId="77777777" w:rsidR="00976487" w:rsidRPr="00687DE8" w:rsidRDefault="00976487" w:rsidP="00976487">
      <w:pPr>
        <w:spacing w:after="0" w:line="240" w:lineRule="auto"/>
        <w:jc w:val="both"/>
        <w:divId w:val="1316184749"/>
        <w:rPr>
          <w:szCs w:val="24"/>
        </w:rPr>
      </w:pPr>
    </w:p>
    <w:p w14:paraId="1570548E" w14:textId="77777777" w:rsidR="00976487" w:rsidRPr="00687DE8" w:rsidRDefault="005E41CE" w:rsidP="00976487">
      <w:pPr>
        <w:spacing w:after="0" w:line="240" w:lineRule="auto"/>
        <w:jc w:val="both"/>
        <w:divId w:val="1316184749"/>
        <w:rPr>
          <w:szCs w:val="24"/>
        </w:rPr>
      </w:pPr>
      <w:r w:rsidRPr="00687DE8">
        <w:rPr>
          <w:szCs w:val="24"/>
        </w:rPr>
        <w:t>(4) L</w:t>
      </w:r>
      <w:r w:rsidR="00976487" w:rsidRPr="00687DE8">
        <w:rPr>
          <w:szCs w:val="24"/>
        </w:rPr>
        <w:t>õikes 1 sätestatud PET</w:t>
      </w:r>
      <w:r w:rsidR="00222960" w:rsidRPr="00687DE8">
        <w:rPr>
          <w:szCs w:val="24"/>
        </w:rPr>
        <w:t>-</w:t>
      </w:r>
      <w:r w:rsidR="00976487" w:rsidRPr="00687DE8">
        <w:rPr>
          <w:szCs w:val="24"/>
        </w:rPr>
        <w:t>uuringu piirhind sisaldab kõigi uuringu käigus tehtud kolmedimensiooniliste PET-salvestuste ja kompuutertomograafiate maksumust.</w:t>
      </w:r>
    </w:p>
    <w:p w14:paraId="11687746" w14:textId="77777777" w:rsidR="00976487" w:rsidRPr="00687DE8" w:rsidRDefault="00976487" w:rsidP="00976487">
      <w:pPr>
        <w:spacing w:after="0" w:line="240" w:lineRule="auto"/>
        <w:jc w:val="both"/>
        <w:divId w:val="1316184749"/>
        <w:rPr>
          <w:szCs w:val="24"/>
        </w:rPr>
      </w:pPr>
    </w:p>
    <w:p w14:paraId="6FB467EF" w14:textId="77777777" w:rsidR="00976487" w:rsidRPr="00687DE8" w:rsidRDefault="00976487" w:rsidP="00976487">
      <w:pPr>
        <w:spacing w:after="0" w:line="240" w:lineRule="auto"/>
        <w:jc w:val="both"/>
        <w:divId w:val="1316184749"/>
        <w:rPr>
          <w:szCs w:val="24"/>
        </w:rPr>
      </w:pPr>
      <w:r w:rsidRPr="00687DE8">
        <w:rPr>
          <w:szCs w:val="24"/>
        </w:rPr>
        <w:t>(5) Koodiga 79400 tähistatud tervishoiuteenuse piirhind sisaldab eriarsti vastuvõttu, patsiendi läbivaatust, varasemate uuringute hindamist, nukleaarmeditsiiniliseks uuringuks või protseduuriks vajaliku kompuutertomograafilise uuringu tegemist ja doosipiiride arvestust koos dokumenteerimisega.</w:t>
      </w:r>
    </w:p>
    <w:p w14:paraId="77041BCE" w14:textId="77777777" w:rsidR="00976487" w:rsidRPr="00687DE8" w:rsidRDefault="00976487" w:rsidP="00976487">
      <w:pPr>
        <w:spacing w:after="0" w:line="240" w:lineRule="auto"/>
        <w:jc w:val="both"/>
        <w:divId w:val="1316184749"/>
        <w:rPr>
          <w:szCs w:val="24"/>
        </w:rPr>
      </w:pPr>
    </w:p>
    <w:p w14:paraId="73ABA1E6" w14:textId="2FD865A0" w:rsidR="00E3481A" w:rsidRPr="00687DE8" w:rsidRDefault="00976487" w:rsidP="00EB2F76">
      <w:pPr>
        <w:spacing w:after="0" w:line="240" w:lineRule="auto"/>
        <w:jc w:val="both"/>
        <w:divId w:val="1316184749"/>
        <w:rPr>
          <w:szCs w:val="24"/>
        </w:rPr>
      </w:pPr>
      <w:r w:rsidRPr="00687DE8">
        <w:rPr>
          <w:szCs w:val="24"/>
        </w:rPr>
        <w:t xml:space="preserve">(6) </w:t>
      </w:r>
      <w:r w:rsidR="005023FD" w:rsidRPr="00687DE8">
        <w:rPr>
          <w:szCs w:val="24"/>
        </w:rPr>
        <w:t>Tervisekassa</w:t>
      </w:r>
      <w:r w:rsidR="00E3481A" w:rsidRPr="00687DE8">
        <w:rPr>
          <w:szCs w:val="24"/>
        </w:rPr>
        <w:t xml:space="preserve"> võtab koodiga </w:t>
      </w:r>
      <w:r w:rsidR="00BE2F26" w:rsidRPr="00687DE8">
        <w:rPr>
          <w:szCs w:val="24"/>
        </w:rPr>
        <w:t>79454</w:t>
      </w:r>
      <w:r w:rsidR="00E3481A" w:rsidRPr="00687DE8">
        <w:rPr>
          <w:szCs w:val="24"/>
        </w:rPr>
        <w:t xml:space="preserve"> tähistatud tervishoiuteenuse eest tasu maksmise kohustuse üle,</w:t>
      </w:r>
      <w:r w:rsidR="00176823" w:rsidRPr="00687DE8">
        <w:rPr>
          <w:szCs w:val="24"/>
        </w:rPr>
        <w:t xml:space="preserve"> </w:t>
      </w:r>
      <w:r w:rsidR="00E3481A" w:rsidRPr="00687DE8">
        <w:rPr>
          <w:szCs w:val="24"/>
        </w:rPr>
        <w:t>kui uuringu</w:t>
      </w:r>
      <w:r w:rsidR="00176823" w:rsidRPr="00687DE8">
        <w:rPr>
          <w:szCs w:val="24"/>
        </w:rPr>
        <w:t xml:space="preserve"> </w:t>
      </w:r>
      <w:r w:rsidR="00E3481A" w:rsidRPr="00687DE8">
        <w:rPr>
          <w:szCs w:val="24"/>
        </w:rPr>
        <w:t>vajadus on dokumenteeritud ravikindlustuse seaduse § 32 alusel kehtestatud määruse lisas sätestatud vormile vastavas raviplaanis</w:t>
      </w:r>
      <w:r w:rsidR="00176823" w:rsidRPr="00687DE8">
        <w:rPr>
          <w:szCs w:val="24"/>
        </w:rPr>
        <w:t>,</w:t>
      </w:r>
      <w:r w:rsidR="00E3481A" w:rsidRPr="00687DE8">
        <w:rPr>
          <w:szCs w:val="24"/>
        </w:rPr>
        <w:t xml:space="preserve"> järgmis</w:t>
      </w:r>
      <w:r w:rsidR="19B31604" w:rsidRPr="00687DE8">
        <w:rPr>
          <w:szCs w:val="24"/>
        </w:rPr>
        <w:t>t</w:t>
      </w:r>
      <w:r w:rsidR="009C6BE6" w:rsidRPr="00687DE8">
        <w:rPr>
          <w:szCs w:val="24"/>
        </w:rPr>
        <w:t>el</w:t>
      </w:r>
      <w:r w:rsidR="00E3481A" w:rsidRPr="00687DE8">
        <w:rPr>
          <w:szCs w:val="24"/>
        </w:rPr>
        <w:t xml:space="preserve"> juh</w:t>
      </w:r>
      <w:r w:rsidR="2CCD1E65" w:rsidRPr="00687DE8">
        <w:rPr>
          <w:szCs w:val="24"/>
        </w:rPr>
        <w:t>t</w:t>
      </w:r>
      <w:r w:rsidR="003473A5" w:rsidRPr="00687DE8">
        <w:rPr>
          <w:szCs w:val="24"/>
        </w:rPr>
        <w:t>u</w:t>
      </w:r>
      <w:r w:rsidR="50BA167A" w:rsidRPr="00687DE8">
        <w:rPr>
          <w:szCs w:val="24"/>
        </w:rPr>
        <w:t>de</w:t>
      </w:r>
      <w:r w:rsidR="003473A5" w:rsidRPr="00687DE8">
        <w:rPr>
          <w:szCs w:val="24"/>
        </w:rPr>
        <w:t>l</w:t>
      </w:r>
      <w:r w:rsidR="00E3481A" w:rsidRPr="00687DE8">
        <w:rPr>
          <w:szCs w:val="24"/>
        </w:rPr>
        <w:t>:</w:t>
      </w:r>
    </w:p>
    <w:p w14:paraId="1A6EDC55" w14:textId="77777777" w:rsidR="00E3481A" w:rsidRPr="00687DE8" w:rsidRDefault="00E3481A" w:rsidP="00FC31A7">
      <w:pPr>
        <w:spacing w:after="0" w:line="240" w:lineRule="auto"/>
        <w:jc w:val="both"/>
        <w:divId w:val="1316184749"/>
        <w:rPr>
          <w:szCs w:val="24"/>
        </w:rPr>
      </w:pPr>
      <w:r w:rsidRPr="00687DE8">
        <w:rPr>
          <w:szCs w:val="24"/>
        </w:rPr>
        <w:lastRenderedPageBreak/>
        <w:t>1) kõrge või keskmise progressiooniriskiga eesnäärmevähi leviku hindamiseks enne kuratiivset ravi;</w:t>
      </w:r>
    </w:p>
    <w:p w14:paraId="2A077263" w14:textId="77777777" w:rsidR="00E3481A" w:rsidRPr="00687DE8" w:rsidRDefault="00E3481A" w:rsidP="00FC31A7">
      <w:pPr>
        <w:spacing w:after="0" w:line="240" w:lineRule="auto"/>
        <w:jc w:val="both"/>
        <w:divId w:val="1316184749"/>
        <w:rPr>
          <w:szCs w:val="24"/>
        </w:rPr>
      </w:pPr>
      <w:r w:rsidRPr="00687DE8">
        <w:rPr>
          <w:szCs w:val="24"/>
        </w:rPr>
        <w:t>2)</w:t>
      </w:r>
      <w:r w:rsidR="00176823" w:rsidRPr="00687DE8">
        <w:rPr>
          <w:szCs w:val="24"/>
        </w:rPr>
        <w:t xml:space="preserve"> </w:t>
      </w:r>
      <w:r w:rsidRPr="00687DE8">
        <w:rPr>
          <w:szCs w:val="24"/>
        </w:rPr>
        <w:t xml:space="preserve">eesnäärmevähi biokeemilise retsidiivi </w:t>
      </w:r>
      <w:r w:rsidR="00285499" w:rsidRPr="00687DE8">
        <w:rPr>
          <w:szCs w:val="24"/>
        </w:rPr>
        <w:t>hindamiseks</w:t>
      </w:r>
      <w:r w:rsidRPr="00687DE8">
        <w:rPr>
          <w:szCs w:val="24"/>
        </w:rPr>
        <w:t xml:space="preserve"> </w:t>
      </w:r>
      <w:r w:rsidR="003616A2" w:rsidRPr="00687DE8">
        <w:rPr>
          <w:szCs w:val="24"/>
        </w:rPr>
        <w:t>pärast</w:t>
      </w:r>
      <w:r w:rsidRPr="00687DE8">
        <w:rPr>
          <w:szCs w:val="24"/>
        </w:rPr>
        <w:t xml:space="preserve"> radikaalset kirurgilist ravi</w:t>
      </w:r>
      <w:r w:rsidR="00B11220" w:rsidRPr="00687DE8">
        <w:rPr>
          <w:szCs w:val="24"/>
        </w:rPr>
        <w:t>,</w:t>
      </w:r>
      <w:r w:rsidRPr="00687DE8">
        <w:rPr>
          <w:szCs w:val="24"/>
        </w:rPr>
        <w:t xml:space="preserve"> kui PSA ≥</w:t>
      </w:r>
      <w:r w:rsidR="00B7695A" w:rsidRPr="00687DE8">
        <w:rPr>
          <w:szCs w:val="24"/>
        </w:rPr>
        <w:t> </w:t>
      </w:r>
      <w:r w:rsidRPr="00687DE8">
        <w:rPr>
          <w:szCs w:val="24"/>
        </w:rPr>
        <w:t>0</w:t>
      </w:r>
      <w:r w:rsidR="00FF4A4B" w:rsidRPr="00687DE8">
        <w:rPr>
          <w:szCs w:val="24"/>
        </w:rPr>
        <w:t>,</w:t>
      </w:r>
      <w:r w:rsidRPr="00687DE8">
        <w:rPr>
          <w:szCs w:val="24"/>
        </w:rPr>
        <w:t>2 ng/ml</w:t>
      </w:r>
      <w:r w:rsidR="00B7695A" w:rsidRPr="00687DE8">
        <w:rPr>
          <w:szCs w:val="24"/>
        </w:rPr>
        <w:t>,</w:t>
      </w:r>
      <w:r w:rsidR="0025633B" w:rsidRPr="00687DE8">
        <w:rPr>
          <w:szCs w:val="24"/>
        </w:rPr>
        <w:t xml:space="preserve"> või</w:t>
      </w:r>
      <w:r w:rsidRPr="00687DE8">
        <w:rPr>
          <w:szCs w:val="24"/>
        </w:rPr>
        <w:t xml:space="preserve"> </w:t>
      </w:r>
      <w:r w:rsidR="00CC44F2" w:rsidRPr="00687DE8">
        <w:rPr>
          <w:szCs w:val="24"/>
        </w:rPr>
        <w:t xml:space="preserve">pärast </w:t>
      </w:r>
      <w:r w:rsidRPr="00687DE8">
        <w:rPr>
          <w:szCs w:val="24"/>
        </w:rPr>
        <w:t>radikaalset kiiritusravi</w:t>
      </w:r>
      <w:r w:rsidR="00B7695A" w:rsidRPr="00687DE8">
        <w:rPr>
          <w:szCs w:val="24"/>
        </w:rPr>
        <w:t>,</w:t>
      </w:r>
      <w:r w:rsidRPr="00687DE8">
        <w:rPr>
          <w:szCs w:val="24"/>
        </w:rPr>
        <w:t xml:space="preserve"> kui PSA &gt;</w:t>
      </w:r>
      <w:r w:rsidR="00AA5401" w:rsidRPr="00687DE8">
        <w:rPr>
          <w:szCs w:val="24"/>
        </w:rPr>
        <w:t xml:space="preserve"> </w:t>
      </w:r>
      <w:r w:rsidRPr="00687DE8">
        <w:rPr>
          <w:szCs w:val="24"/>
        </w:rPr>
        <w:t>2</w:t>
      </w:r>
      <w:r w:rsidR="00FF4A4B" w:rsidRPr="00687DE8">
        <w:rPr>
          <w:szCs w:val="24"/>
        </w:rPr>
        <w:t>,</w:t>
      </w:r>
      <w:r w:rsidRPr="00687DE8">
        <w:rPr>
          <w:szCs w:val="24"/>
        </w:rPr>
        <w:t>0 ng/ml;</w:t>
      </w:r>
    </w:p>
    <w:p w14:paraId="7ABBFAB5" w14:textId="77777777" w:rsidR="00E3481A" w:rsidRPr="00687DE8" w:rsidRDefault="00E3481A" w:rsidP="00B747DE">
      <w:pPr>
        <w:spacing w:after="0" w:line="240" w:lineRule="auto"/>
        <w:divId w:val="1316184749"/>
        <w:rPr>
          <w:szCs w:val="24"/>
        </w:rPr>
      </w:pPr>
      <w:r w:rsidRPr="00687DE8">
        <w:rPr>
          <w:szCs w:val="24"/>
        </w:rPr>
        <w:t>3)</w:t>
      </w:r>
      <w:r w:rsidR="00176823" w:rsidRPr="00687DE8">
        <w:rPr>
          <w:szCs w:val="24"/>
        </w:rPr>
        <w:t xml:space="preserve"> </w:t>
      </w:r>
      <w:r w:rsidRPr="00687DE8">
        <w:rPr>
          <w:szCs w:val="24"/>
        </w:rPr>
        <w:t>eesnäärmevähi süsteemse ravi planeerimise</w:t>
      </w:r>
      <w:r w:rsidR="00DE289A" w:rsidRPr="00687DE8">
        <w:rPr>
          <w:szCs w:val="24"/>
        </w:rPr>
        <w:t>ks</w:t>
      </w:r>
      <w:r w:rsidRPr="00687DE8">
        <w:rPr>
          <w:szCs w:val="24"/>
        </w:rPr>
        <w:t xml:space="preserve"> ja jälgimise</w:t>
      </w:r>
      <w:r w:rsidR="00DE289A" w:rsidRPr="00687DE8">
        <w:rPr>
          <w:szCs w:val="24"/>
        </w:rPr>
        <w:t>ks</w:t>
      </w:r>
      <w:r w:rsidRPr="00687DE8">
        <w:rPr>
          <w:szCs w:val="24"/>
        </w:rPr>
        <w:t>.</w:t>
      </w:r>
    </w:p>
    <w:p w14:paraId="188DDB2E" w14:textId="77777777" w:rsidR="00976487" w:rsidRPr="00687DE8" w:rsidRDefault="00976487" w:rsidP="00976487">
      <w:pPr>
        <w:spacing w:after="0" w:line="240" w:lineRule="auto"/>
        <w:jc w:val="both"/>
        <w:divId w:val="1316184749"/>
        <w:rPr>
          <w:szCs w:val="24"/>
        </w:rPr>
      </w:pPr>
    </w:p>
    <w:p w14:paraId="151E3D12" w14:textId="77777777" w:rsidR="00976487" w:rsidRPr="00687DE8" w:rsidRDefault="00976487" w:rsidP="00976487">
      <w:pPr>
        <w:spacing w:after="0" w:line="240" w:lineRule="auto"/>
        <w:jc w:val="both"/>
        <w:divId w:val="1316184749"/>
        <w:rPr>
          <w:szCs w:val="24"/>
        </w:rPr>
      </w:pPr>
      <w:r w:rsidRPr="00687DE8">
        <w:rPr>
          <w:szCs w:val="24"/>
        </w:rPr>
        <w:t>(7) Koodiga 79451 tähistatud tervishoiuteenuse piirhind sisaldab haige paigaldamist, haige jälgimist, kujutise ja parameetrite digitaalset salvestamist, pildi töötlust ja uuringu kirjeldamist.</w:t>
      </w:r>
    </w:p>
    <w:p w14:paraId="44198859" w14:textId="77777777" w:rsidR="00976487" w:rsidRPr="00687DE8" w:rsidRDefault="00976487" w:rsidP="00976487">
      <w:pPr>
        <w:spacing w:after="0" w:line="240" w:lineRule="auto"/>
        <w:jc w:val="both"/>
        <w:divId w:val="1316184749"/>
        <w:rPr>
          <w:szCs w:val="24"/>
        </w:rPr>
      </w:pPr>
    </w:p>
    <w:p w14:paraId="229089A3" w14:textId="77777777" w:rsidR="00976487" w:rsidRPr="00687DE8" w:rsidRDefault="00976487" w:rsidP="00976487">
      <w:pPr>
        <w:spacing w:after="0" w:line="240" w:lineRule="auto"/>
        <w:jc w:val="both"/>
        <w:divId w:val="1316184749"/>
        <w:rPr>
          <w:szCs w:val="24"/>
        </w:rPr>
      </w:pPr>
      <w:r w:rsidRPr="00687DE8">
        <w:rPr>
          <w:szCs w:val="24"/>
        </w:rPr>
        <w:t>(8) Koodiga 7436 tähistatud tervishoiuteenuse piirhind sisaldab patsiendi läbivaatust, premedikatsiooni, kasvaja mahu mõõtmist, kiiritusravi planeerimist, radioaktiivsete implantaatide paigaldamist (sh implantaatide maksumust) ning selle järgset röntgenoloogilist järelkontrolli.</w:t>
      </w:r>
    </w:p>
    <w:p w14:paraId="1DFCFABF" w14:textId="77777777" w:rsidR="00976487" w:rsidRPr="00687DE8" w:rsidRDefault="00976487" w:rsidP="00976487">
      <w:pPr>
        <w:spacing w:after="0" w:line="240" w:lineRule="auto"/>
        <w:jc w:val="both"/>
        <w:divId w:val="1316184749"/>
        <w:rPr>
          <w:szCs w:val="24"/>
        </w:rPr>
      </w:pPr>
    </w:p>
    <w:p w14:paraId="0D2C44A3" w14:textId="1D908714" w:rsidR="00976487" w:rsidRPr="00687DE8" w:rsidRDefault="00976487" w:rsidP="00976487">
      <w:pPr>
        <w:spacing w:after="0" w:line="240" w:lineRule="auto"/>
        <w:jc w:val="both"/>
        <w:outlineLvl w:val="2"/>
        <w:divId w:val="1316184749"/>
        <w:rPr>
          <w:szCs w:val="24"/>
        </w:rPr>
      </w:pPr>
      <w:r w:rsidRPr="00687DE8">
        <w:rPr>
          <w:szCs w:val="24"/>
        </w:rPr>
        <w:t xml:space="preserve">(9) </w:t>
      </w:r>
      <w:r w:rsidR="005023FD" w:rsidRPr="00687DE8">
        <w:rPr>
          <w:szCs w:val="24"/>
        </w:rPr>
        <w:t>Tervisekassa</w:t>
      </w:r>
      <w:r w:rsidRPr="00687DE8">
        <w:rPr>
          <w:szCs w:val="24"/>
        </w:rPr>
        <w:t xml:space="preserve"> võtab koodiga 7436 tähistatud tervishoiuteenuse eest tasu maksmise kohustuse üle kasvaja madala ja keskmise progressiooniriskiga patsiendilt, kui teenust on osutatud haiglate loetelus nimetatud piirkondlikus haiglas.</w:t>
      </w:r>
    </w:p>
    <w:p w14:paraId="7651CD1F" w14:textId="77777777" w:rsidR="00976487" w:rsidRPr="00687DE8" w:rsidRDefault="00976487" w:rsidP="00976487">
      <w:pPr>
        <w:spacing w:after="0" w:line="240" w:lineRule="auto"/>
        <w:jc w:val="both"/>
        <w:outlineLvl w:val="2"/>
        <w:divId w:val="1316184749"/>
        <w:rPr>
          <w:b/>
          <w:szCs w:val="24"/>
        </w:rPr>
      </w:pPr>
    </w:p>
    <w:p w14:paraId="3B370909" w14:textId="77777777" w:rsidR="00976487" w:rsidRDefault="00976487" w:rsidP="00976487">
      <w:pPr>
        <w:spacing w:after="0" w:line="240" w:lineRule="auto"/>
        <w:jc w:val="both"/>
        <w:outlineLvl w:val="2"/>
        <w:divId w:val="1316184749"/>
        <w:rPr>
          <w:b/>
          <w:szCs w:val="24"/>
        </w:rPr>
      </w:pPr>
      <w:r w:rsidRPr="00687DE8">
        <w:rPr>
          <w:b/>
          <w:szCs w:val="24"/>
        </w:rPr>
        <w:t>§ 2</w:t>
      </w:r>
      <w:r w:rsidR="00E22EDA" w:rsidRPr="00687DE8">
        <w:rPr>
          <w:b/>
          <w:szCs w:val="24"/>
        </w:rPr>
        <w:t>5</w:t>
      </w:r>
      <w:r w:rsidRPr="00687DE8">
        <w:rPr>
          <w:b/>
          <w:szCs w:val="24"/>
        </w:rPr>
        <w:t>. Kiiritusravi piirhinnad</w:t>
      </w:r>
    </w:p>
    <w:p w14:paraId="18A99756" w14:textId="77777777" w:rsidR="00DF1D65" w:rsidRDefault="00DF1D65" w:rsidP="00976487">
      <w:pPr>
        <w:spacing w:after="0" w:line="240" w:lineRule="auto"/>
        <w:jc w:val="both"/>
        <w:divId w:val="1316184749"/>
        <w:rPr>
          <w:szCs w:val="24"/>
        </w:rPr>
      </w:pPr>
    </w:p>
    <w:p w14:paraId="496271F7" w14:textId="3B111042" w:rsidR="00976487" w:rsidRPr="00687DE8" w:rsidRDefault="00976487" w:rsidP="00976487">
      <w:pPr>
        <w:spacing w:after="0" w:line="240" w:lineRule="auto"/>
        <w:jc w:val="both"/>
        <w:divId w:val="1316184749"/>
        <w:rPr>
          <w:szCs w:val="24"/>
        </w:rPr>
      </w:pPr>
      <w:r w:rsidRPr="00687DE8">
        <w:rPr>
          <w:szCs w:val="24"/>
        </w:rPr>
        <w:t>(1) Väliskiiritusravi teenuste piirhinnad on järgmised:</w:t>
      </w:r>
    </w:p>
    <w:p w14:paraId="60BAE672"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8"/>
        <w:gridCol w:w="1027"/>
        <w:gridCol w:w="2130"/>
      </w:tblGrid>
      <w:tr w:rsidR="00976487" w:rsidRPr="00687DE8" w14:paraId="2C06086B" w14:textId="77777777" w:rsidTr="00E103BD">
        <w:trPr>
          <w:divId w:val="1316184749"/>
        </w:trPr>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279BD2" w14:textId="77777777" w:rsidR="00976487" w:rsidRPr="00687DE8" w:rsidRDefault="00976487">
            <w:pPr>
              <w:spacing w:after="0" w:line="240" w:lineRule="auto"/>
              <w:jc w:val="center"/>
              <w:rPr>
                <w:szCs w:val="24"/>
              </w:rPr>
            </w:pPr>
            <w:r w:rsidRPr="00687DE8">
              <w:rPr>
                <w:b/>
                <w:szCs w:val="24"/>
              </w:rPr>
              <w:t>Tervishoiuteenuse nimetus</w:t>
            </w:r>
          </w:p>
        </w:tc>
        <w:tc>
          <w:tcPr>
            <w:tcW w:w="10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91C384" w14:textId="77777777" w:rsidR="00976487" w:rsidRPr="00687DE8" w:rsidRDefault="00976487">
            <w:pPr>
              <w:spacing w:after="0" w:line="240" w:lineRule="auto"/>
              <w:jc w:val="center"/>
              <w:rPr>
                <w:szCs w:val="24"/>
              </w:rPr>
            </w:pPr>
            <w:r w:rsidRPr="00687DE8">
              <w:rPr>
                <w:b/>
                <w:szCs w:val="24"/>
              </w:rPr>
              <w:t>Kood</w:t>
            </w:r>
          </w:p>
        </w:tc>
        <w:tc>
          <w:tcPr>
            <w:tcW w:w="2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06A573"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7E4541" w:rsidRPr="00687DE8" w14:paraId="0FC0586B" w14:textId="77777777" w:rsidTr="00B93704">
        <w:trPr>
          <w:divId w:val="1316184749"/>
          <w:trHeight w:val="300"/>
        </w:trPr>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7DA9F7" w14:textId="77777777" w:rsidR="007E4541" w:rsidRPr="00687DE8" w:rsidRDefault="007E4541" w:rsidP="007E4541">
            <w:pPr>
              <w:spacing w:after="0" w:line="240" w:lineRule="auto"/>
              <w:rPr>
                <w:szCs w:val="24"/>
              </w:rPr>
            </w:pPr>
            <w:r w:rsidRPr="00687DE8">
              <w:rPr>
                <w:szCs w:val="24"/>
              </w:rPr>
              <w:t>Konventsionaalse ehk tavapärase väliskiiritusravi planeerimine</w:t>
            </w:r>
          </w:p>
        </w:tc>
        <w:tc>
          <w:tcPr>
            <w:tcW w:w="10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EE524E" w14:textId="77777777" w:rsidR="007E4541" w:rsidRPr="00687DE8" w:rsidRDefault="007E4541" w:rsidP="007E4541">
            <w:pPr>
              <w:spacing w:after="0" w:line="240" w:lineRule="auto"/>
              <w:jc w:val="center"/>
              <w:rPr>
                <w:szCs w:val="24"/>
              </w:rPr>
            </w:pPr>
            <w:r w:rsidRPr="00687DE8">
              <w:rPr>
                <w:szCs w:val="24"/>
              </w:rPr>
              <w:t>740101</w:t>
            </w:r>
          </w:p>
        </w:tc>
        <w:tc>
          <w:tcPr>
            <w:tcW w:w="2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A73EB2" w14:textId="2F9370AD" w:rsidR="2E1E8EE1" w:rsidRPr="00687DE8" w:rsidRDefault="00EC5818">
            <w:pPr>
              <w:spacing w:after="0"/>
              <w:jc w:val="center"/>
              <w:rPr>
                <w:color w:val="000000" w:themeColor="text1"/>
                <w:szCs w:val="24"/>
              </w:rPr>
            </w:pPr>
            <w:r>
              <w:rPr>
                <w:color w:val="000000"/>
              </w:rPr>
              <w:t>555,07</w:t>
            </w:r>
          </w:p>
        </w:tc>
      </w:tr>
      <w:tr w:rsidR="007E4541" w:rsidRPr="00687DE8" w14:paraId="05F74B64" w14:textId="77777777" w:rsidTr="00B93704">
        <w:trPr>
          <w:divId w:val="1316184749"/>
          <w:trHeight w:val="300"/>
        </w:trPr>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0CCCEC" w14:textId="3D545A8A" w:rsidR="007E4541" w:rsidRPr="00687DE8" w:rsidRDefault="007E4541" w:rsidP="007E4541">
            <w:pPr>
              <w:spacing w:after="0" w:line="240" w:lineRule="auto"/>
              <w:rPr>
                <w:szCs w:val="24"/>
              </w:rPr>
            </w:pPr>
            <w:r w:rsidRPr="00687DE8">
              <w:rPr>
                <w:szCs w:val="24"/>
              </w:rPr>
              <w:t>Konformse ehk kasvaja kujuga kohandatud väliskiiritusravi planeerimine</w:t>
            </w:r>
          </w:p>
        </w:tc>
        <w:tc>
          <w:tcPr>
            <w:tcW w:w="10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1E6196" w14:textId="77777777" w:rsidR="007E4541" w:rsidRPr="00687DE8" w:rsidRDefault="007E4541" w:rsidP="007E4541">
            <w:pPr>
              <w:spacing w:after="0" w:line="240" w:lineRule="auto"/>
              <w:jc w:val="center"/>
              <w:rPr>
                <w:szCs w:val="24"/>
              </w:rPr>
            </w:pPr>
          </w:p>
          <w:p w14:paraId="7F9287E3" w14:textId="77777777" w:rsidR="007E4541" w:rsidRPr="00687DE8" w:rsidRDefault="007E4541" w:rsidP="007E4541">
            <w:pPr>
              <w:spacing w:after="0" w:line="240" w:lineRule="auto"/>
              <w:jc w:val="center"/>
              <w:rPr>
                <w:szCs w:val="24"/>
              </w:rPr>
            </w:pPr>
            <w:r w:rsidRPr="00687DE8">
              <w:rPr>
                <w:szCs w:val="24"/>
              </w:rPr>
              <w:t>740102</w:t>
            </w:r>
          </w:p>
        </w:tc>
        <w:tc>
          <w:tcPr>
            <w:tcW w:w="21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A1199D" w14:textId="465662FB" w:rsidR="2E1E8EE1" w:rsidRPr="00687DE8" w:rsidRDefault="00EC5818">
            <w:pPr>
              <w:spacing w:after="0"/>
              <w:jc w:val="center"/>
              <w:rPr>
                <w:color w:val="000000" w:themeColor="text1"/>
                <w:szCs w:val="24"/>
              </w:rPr>
            </w:pPr>
            <w:r>
              <w:rPr>
                <w:color w:val="000000"/>
              </w:rPr>
              <w:t>915,07</w:t>
            </w:r>
          </w:p>
        </w:tc>
      </w:tr>
      <w:tr w:rsidR="007E4541" w:rsidRPr="00687DE8" w14:paraId="602D95F4" w14:textId="77777777" w:rsidTr="00B93704">
        <w:trPr>
          <w:divId w:val="1316184749"/>
          <w:trHeight w:val="300"/>
        </w:trPr>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1400B5" w14:textId="68224223" w:rsidR="007E4541" w:rsidRPr="00687DE8" w:rsidRDefault="00CA081D" w:rsidP="007E4541">
            <w:pPr>
              <w:spacing w:after="0" w:line="240" w:lineRule="auto"/>
              <w:rPr>
                <w:szCs w:val="24"/>
              </w:rPr>
            </w:pPr>
            <w:r w:rsidRPr="00687DE8">
              <w:rPr>
                <w:szCs w:val="24"/>
              </w:rPr>
              <w:t>I</w:t>
            </w:r>
            <w:r w:rsidR="007E4541" w:rsidRPr="00687DE8">
              <w:rPr>
                <w:szCs w:val="24"/>
              </w:rPr>
              <w:t>ntensiivsusmoduleeritud väliskiiritusravi planeerimine</w:t>
            </w:r>
            <w:r w:rsidRPr="00687DE8">
              <w:rPr>
                <w:szCs w:val="24"/>
              </w:rPr>
              <w:t xml:space="preserve"> (KT</w:t>
            </w:r>
            <w:r w:rsidR="00504E47" w:rsidRPr="00687DE8">
              <w:rPr>
                <w:szCs w:val="24"/>
              </w:rPr>
              <w:t>-</w:t>
            </w:r>
            <w:r w:rsidRPr="00687DE8">
              <w:rPr>
                <w:szCs w:val="24"/>
              </w:rPr>
              <w:t>põhine)</w:t>
            </w:r>
          </w:p>
        </w:tc>
        <w:tc>
          <w:tcPr>
            <w:tcW w:w="10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6C2799" w14:textId="77777777" w:rsidR="007E4541" w:rsidRPr="00687DE8" w:rsidRDefault="007E4541" w:rsidP="007E4541">
            <w:pPr>
              <w:spacing w:after="0" w:line="240" w:lineRule="auto"/>
              <w:jc w:val="center"/>
              <w:rPr>
                <w:szCs w:val="24"/>
              </w:rPr>
            </w:pPr>
            <w:r w:rsidRPr="00687DE8">
              <w:rPr>
                <w:szCs w:val="24"/>
              </w:rPr>
              <w:t>740103</w:t>
            </w:r>
          </w:p>
        </w:tc>
        <w:tc>
          <w:tcPr>
            <w:tcW w:w="21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A65DC5" w14:textId="7B20119E" w:rsidR="2E1E8EE1" w:rsidRPr="00687DE8" w:rsidRDefault="00EC5818">
            <w:pPr>
              <w:spacing w:after="0"/>
              <w:jc w:val="center"/>
              <w:rPr>
                <w:color w:val="000000" w:themeColor="text1"/>
                <w:szCs w:val="24"/>
              </w:rPr>
            </w:pPr>
            <w:r>
              <w:rPr>
                <w:color w:val="000000"/>
              </w:rPr>
              <w:t>1 396,91</w:t>
            </w:r>
          </w:p>
        </w:tc>
      </w:tr>
      <w:tr w:rsidR="007E4541" w:rsidRPr="00687DE8" w14:paraId="5A4D09D5" w14:textId="77777777" w:rsidTr="00B93704">
        <w:trPr>
          <w:divId w:val="1316184749"/>
          <w:trHeight w:val="300"/>
        </w:trPr>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DEA1F5" w14:textId="77777777" w:rsidR="007E4541" w:rsidRPr="00687DE8" w:rsidRDefault="007E4541" w:rsidP="007E4541">
            <w:pPr>
              <w:spacing w:after="0" w:line="240" w:lineRule="auto"/>
              <w:rPr>
                <w:szCs w:val="24"/>
              </w:rPr>
            </w:pPr>
            <w:r w:rsidRPr="00687DE8">
              <w:rPr>
                <w:szCs w:val="24"/>
              </w:rPr>
              <w:t>Hingamisega kohandatud kiiritusravi planeerimine</w:t>
            </w:r>
          </w:p>
        </w:tc>
        <w:tc>
          <w:tcPr>
            <w:tcW w:w="10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F8188F" w14:textId="77777777" w:rsidR="007E4541" w:rsidRPr="00687DE8" w:rsidRDefault="007E4541" w:rsidP="007E4541">
            <w:pPr>
              <w:spacing w:after="0" w:line="240" w:lineRule="auto"/>
              <w:jc w:val="center"/>
              <w:rPr>
                <w:szCs w:val="24"/>
              </w:rPr>
            </w:pPr>
            <w:r w:rsidRPr="00687DE8">
              <w:rPr>
                <w:szCs w:val="24"/>
              </w:rPr>
              <w:t>740104</w:t>
            </w:r>
          </w:p>
        </w:tc>
        <w:tc>
          <w:tcPr>
            <w:tcW w:w="21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C20484" w14:textId="1850E3D2" w:rsidR="2E1E8EE1" w:rsidRPr="00687DE8" w:rsidRDefault="00EC5818">
            <w:pPr>
              <w:spacing w:after="0"/>
              <w:jc w:val="center"/>
              <w:rPr>
                <w:color w:val="000000" w:themeColor="text1"/>
                <w:szCs w:val="24"/>
              </w:rPr>
            </w:pPr>
            <w:r>
              <w:rPr>
                <w:color w:val="000000"/>
              </w:rPr>
              <w:t>201,25</w:t>
            </w:r>
          </w:p>
        </w:tc>
      </w:tr>
      <w:tr w:rsidR="007E4541" w:rsidRPr="00687DE8" w14:paraId="7B1B386C" w14:textId="77777777" w:rsidTr="00B93704">
        <w:trPr>
          <w:divId w:val="1316184749"/>
          <w:trHeight w:val="300"/>
        </w:trPr>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7F0DD0" w14:textId="77777777" w:rsidR="007E4541" w:rsidRPr="00687DE8" w:rsidRDefault="007E4541" w:rsidP="007E4541">
            <w:pPr>
              <w:spacing w:after="0" w:line="240" w:lineRule="auto"/>
              <w:rPr>
                <w:szCs w:val="24"/>
              </w:rPr>
            </w:pPr>
            <w:r w:rsidRPr="00687DE8">
              <w:rPr>
                <w:szCs w:val="24"/>
              </w:rPr>
              <w:t>Ekstrakraniaalse täppiskiiritusravi planeerimine</w:t>
            </w:r>
          </w:p>
        </w:tc>
        <w:tc>
          <w:tcPr>
            <w:tcW w:w="10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41D1CF" w14:textId="77777777" w:rsidR="007E4541" w:rsidRPr="00687DE8" w:rsidRDefault="007E4541" w:rsidP="007E4541">
            <w:pPr>
              <w:spacing w:after="0" w:line="240" w:lineRule="auto"/>
              <w:jc w:val="center"/>
              <w:rPr>
                <w:szCs w:val="24"/>
              </w:rPr>
            </w:pPr>
            <w:r w:rsidRPr="00687DE8">
              <w:rPr>
                <w:szCs w:val="24"/>
              </w:rPr>
              <w:t>740105</w:t>
            </w:r>
          </w:p>
        </w:tc>
        <w:tc>
          <w:tcPr>
            <w:tcW w:w="21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FAB8C9" w14:textId="7240A7DB" w:rsidR="2E1E8EE1" w:rsidRPr="00687DE8" w:rsidRDefault="00EC5818">
            <w:pPr>
              <w:spacing w:after="0"/>
              <w:jc w:val="center"/>
              <w:rPr>
                <w:color w:val="000000" w:themeColor="text1"/>
                <w:szCs w:val="24"/>
              </w:rPr>
            </w:pPr>
            <w:r>
              <w:rPr>
                <w:color w:val="000000"/>
              </w:rPr>
              <w:t>3 633,04</w:t>
            </w:r>
          </w:p>
        </w:tc>
      </w:tr>
      <w:tr w:rsidR="007E4541" w:rsidRPr="00687DE8" w14:paraId="3C15D55D" w14:textId="77777777" w:rsidTr="00B93704">
        <w:trPr>
          <w:divId w:val="1316184749"/>
          <w:trHeight w:val="300"/>
        </w:trPr>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509021" w14:textId="77777777" w:rsidR="007E4541" w:rsidRPr="00687DE8" w:rsidRDefault="007E4541" w:rsidP="007E4541">
            <w:pPr>
              <w:spacing w:after="0" w:line="240" w:lineRule="auto"/>
              <w:rPr>
                <w:szCs w:val="24"/>
              </w:rPr>
            </w:pPr>
            <w:r w:rsidRPr="00687DE8">
              <w:rPr>
                <w:szCs w:val="24"/>
              </w:rPr>
              <w:t>Intrakraniaalse täppiskiiritusravi planeerimine</w:t>
            </w:r>
          </w:p>
        </w:tc>
        <w:tc>
          <w:tcPr>
            <w:tcW w:w="10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B621F8" w14:textId="77777777" w:rsidR="007E4541" w:rsidRPr="00687DE8" w:rsidRDefault="007E4541" w:rsidP="007E4541">
            <w:pPr>
              <w:spacing w:after="0" w:line="240" w:lineRule="auto"/>
              <w:jc w:val="center"/>
              <w:rPr>
                <w:szCs w:val="24"/>
              </w:rPr>
            </w:pPr>
            <w:r w:rsidRPr="00687DE8">
              <w:rPr>
                <w:szCs w:val="24"/>
              </w:rPr>
              <w:t>740106</w:t>
            </w:r>
          </w:p>
        </w:tc>
        <w:tc>
          <w:tcPr>
            <w:tcW w:w="21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C67FA6" w14:textId="35748215" w:rsidR="2E1E8EE1" w:rsidRPr="00687DE8" w:rsidRDefault="00EC5818">
            <w:pPr>
              <w:spacing w:after="0"/>
              <w:jc w:val="center"/>
              <w:rPr>
                <w:color w:val="000000" w:themeColor="text1"/>
                <w:szCs w:val="24"/>
              </w:rPr>
            </w:pPr>
            <w:r>
              <w:rPr>
                <w:color w:val="000000"/>
              </w:rPr>
              <w:t>3 465,20</w:t>
            </w:r>
          </w:p>
        </w:tc>
      </w:tr>
      <w:tr w:rsidR="5E042232" w:rsidRPr="00687DE8" w14:paraId="1E586B34" w14:textId="77777777" w:rsidTr="00B93704">
        <w:trPr>
          <w:divId w:val="1316184749"/>
          <w:trHeight w:val="300"/>
        </w:trPr>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E4BAB2" w14:textId="062AD99E" w:rsidR="6112009B" w:rsidRPr="00687DE8" w:rsidRDefault="00CA081D" w:rsidP="007A0CB9">
            <w:pPr>
              <w:spacing w:after="0" w:line="240" w:lineRule="auto"/>
              <w:rPr>
                <w:szCs w:val="24"/>
              </w:rPr>
            </w:pPr>
            <w:r w:rsidRPr="00687DE8">
              <w:rPr>
                <w:szCs w:val="24"/>
              </w:rPr>
              <w:t>I</w:t>
            </w:r>
            <w:r w:rsidR="6112009B" w:rsidRPr="00687DE8">
              <w:rPr>
                <w:szCs w:val="24"/>
              </w:rPr>
              <w:t>ntensiivsusmoduleeritud väliskiiritusravi planeerimine</w:t>
            </w:r>
            <w:r w:rsidRPr="00687DE8">
              <w:rPr>
                <w:szCs w:val="24"/>
              </w:rPr>
              <w:t xml:space="preserve"> (MRT</w:t>
            </w:r>
            <w:r w:rsidR="00504E47" w:rsidRPr="00687DE8">
              <w:rPr>
                <w:szCs w:val="24"/>
              </w:rPr>
              <w:t>-</w:t>
            </w:r>
            <w:r w:rsidRPr="00687DE8">
              <w:rPr>
                <w:szCs w:val="24"/>
              </w:rPr>
              <w:t>põhine)</w:t>
            </w:r>
          </w:p>
        </w:tc>
        <w:tc>
          <w:tcPr>
            <w:tcW w:w="10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BB8052" w14:textId="64E36FAF" w:rsidR="3B0529AF" w:rsidRPr="00687DE8" w:rsidRDefault="3B0529AF" w:rsidP="5E042232">
            <w:pPr>
              <w:spacing w:line="240" w:lineRule="auto"/>
              <w:jc w:val="center"/>
              <w:rPr>
                <w:szCs w:val="24"/>
              </w:rPr>
            </w:pPr>
            <w:r w:rsidRPr="00687DE8">
              <w:rPr>
                <w:szCs w:val="24"/>
              </w:rPr>
              <w:t>740107</w:t>
            </w:r>
          </w:p>
        </w:tc>
        <w:tc>
          <w:tcPr>
            <w:tcW w:w="21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5283CE" w14:textId="51AF2D7B" w:rsidR="361DCB3A" w:rsidRPr="00687DE8" w:rsidRDefault="00EC5818" w:rsidP="007A0CB9">
            <w:pPr>
              <w:spacing w:after="0" w:line="240" w:lineRule="auto"/>
              <w:jc w:val="center"/>
              <w:rPr>
                <w:szCs w:val="24"/>
              </w:rPr>
            </w:pPr>
            <w:r>
              <w:rPr>
                <w:color w:val="000000"/>
              </w:rPr>
              <w:t>1 678,87</w:t>
            </w:r>
          </w:p>
        </w:tc>
      </w:tr>
      <w:tr w:rsidR="007E4541" w:rsidRPr="00687DE8" w14:paraId="21018C9E" w14:textId="77777777" w:rsidTr="00B93704">
        <w:trPr>
          <w:divId w:val="1316184749"/>
          <w:trHeight w:val="300"/>
        </w:trPr>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A7175E" w14:textId="77777777" w:rsidR="007E4541" w:rsidRPr="00687DE8" w:rsidRDefault="007E4541" w:rsidP="007E4541">
            <w:pPr>
              <w:spacing w:after="0" w:line="240" w:lineRule="auto"/>
              <w:rPr>
                <w:szCs w:val="24"/>
              </w:rPr>
            </w:pPr>
            <w:r w:rsidRPr="00687DE8">
              <w:rPr>
                <w:szCs w:val="24"/>
              </w:rPr>
              <w:t>Väliskiiritusravi protseduur</w:t>
            </w:r>
          </w:p>
        </w:tc>
        <w:tc>
          <w:tcPr>
            <w:tcW w:w="10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384F09" w14:textId="77777777" w:rsidR="007E4541" w:rsidRPr="00687DE8" w:rsidRDefault="007E4541" w:rsidP="007E4541">
            <w:pPr>
              <w:spacing w:after="0" w:line="240" w:lineRule="auto"/>
              <w:jc w:val="center"/>
              <w:rPr>
                <w:szCs w:val="24"/>
              </w:rPr>
            </w:pPr>
            <w:r w:rsidRPr="00687DE8">
              <w:rPr>
                <w:szCs w:val="24"/>
              </w:rPr>
              <w:t>740201</w:t>
            </w:r>
          </w:p>
        </w:tc>
        <w:tc>
          <w:tcPr>
            <w:tcW w:w="21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78EB72" w14:textId="487096F5" w:rsidR="2E1E8EE1" w:rsidRPr="00687DE8" w:rsidRDefault="00EC5818">
            <w:pPr>
              <w:spacing w:after="0"/>
              <w:jc w:val="center"/>
              <w:rPr>
                <w:color w:val="000000" w:themeColor="text1"/>
                <w:szCs w:val="24"/>
              </w:rPr>
            </w:pPr>
            <w:r>
              <w:rPr>
                <w:color w:val="000000"/>
              </w:rPr>
              <w:t>99,84</w:t>
            </w:r>
          </w:p>
        </w:tc>
      </w:tr>
      <w:tr w:rsidR="007E4541" w:rsidRPr="00687DE8" w14:paraId="2F11734B" w14:textId="77777777" w:rsidTr="00B93704">
        <w:trPr>
          <w:divId w:val="1316184749"/>
          <w:trHeight w:val="300"/>
        </w:trPr>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7C457D" w14:textId="77777777" w:rsidR="007E4541" w:rsidRPr="00687DE8" w:rsidRDefault="007E4541" w:rsidP="007E4541">
            <w:pPr>
              <w:spacing w:after="0" w:line="240" w:lineRule="auto"/>
              <w:rPr>
                <w:szCs w:val="24"/>
              </w:rPr>
            </w:pPr>
            <w:r w:rsidRPr="00687DE8">
              <w:rPr>
                <w:szCs w:val="24"/>
              </w:rPr>
              <w:t>Intensiivsusmoduleeritud väliskiiritusravi protseduur</w:t>
            </w:r>
          </w:p>
        </w:tc>
        <w:tc>
          <w:tcPr>
            <w:tcW w:w="10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82C02C" w14:textId="77777777" w:rsidR="007E4541" w:rsidRPr="00687DE8" w:rsidRDefault="007E4541" w:rsidP="007E4541">
            <w:pPr>
              <w:spacing w:after="0" w:line="240" w:lineRule="auto"/>
              <w:jc w:val="center"/>
              <w:rPr>
                <w:szCs w:val="24"/>
              </w:rPr>
            </w:pPr>
            <w:r w:rsidRPr="00687DE8">
              <w:rPr>
                <w:szCs w:val="24"/>
              </w:rPr>
              <w:t>740202</w:t>
            </w:r>
          </w:p>
        </w:tc>
        <w:tc>
          <w:tcPr>
            <w:tcW w:w="21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D7E944" w14:textId="225C1597" w:rsidR="2E1E8EE1" w:rsidRPr="00687DE8" w:rsidRDefault="00EC5818">
            <w:pPr>
              <w:spacing w:after="0"/>
              <w:jc w:val="center"/>
              <w:rPr>
                <w:color w:val="000000" w:themeColor="text1"/>
                <w:szCs w:val="24"/>
              </w:rPr>
            </w:pPr>
            <w:r>
              <w:rPr>
                <w:color w:val="000000"/>
              </w:rPr>
              <w:t>149,02</w:t>
            </w:r>
          </w:p>
        </w:tc>
      </w:tr>
      <w:tr w:rsidR="007E4541" w:rsidRPr="00687DE8" w14:paraId="15414A25" w14:textId="77777777" w:rsidTr="00B93704">
        <w:trPr>
          <w:divId w:val="1316184749"/>
          <w:trHeight w:val="300"/>
        </w:trPr>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80E115" w14:textId="77777777" w:rsidR="007E4541" w:rsidRPr="00687DE8" w:rsidRDefault="007E4541" w:rsidP="007E4541">
            <w:pPr>
              <w:spacing w:after="0" w:line="240" w:lineRule="auto"/>
              <w:rPr>
                <w:szCs w:val="24"/>
              </w:rPr>
            </w:pPr>
            <w:r w:rsidRPr="00687DE8">
              <w:rPr>
                <w:szCs w:val="24"/>
              </w:rPr>
              <w:t>Hingamisega kohandatud kiiritusravi protseduur</w:t>
            </w:r>
          </w:p>
        </w:tc>
        <w:tc>
          <w:tcPr>
            <w:tcW w:w="10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47BE7E" w14:textId="77777777" w:rsidR="007E4541" w:rsidRPr="00687DE8" w:rsidRDefault="007E4541" w:rsidP="007E4541">
            <w:pPr>
              <w:spacing w:after="0" w:line="240" w:lineRule="auto"/>
              <w:jc w:val="center"/>
              <w:rPr>
                <w:szCs w:val="24"/>
              </w:rPr>
            </w:pPr>
            <w:r w:rsidRPr="00687DE8">
              <w:rPr>
                <w:szCs w:val="24"/>
              </w:rPr>
              <w:t>740203</w:t>
            </w:r>
          </w:p>
        </w:tc>
        <w:tc>
          <w:tcPr>
            <w:tcW w:w="21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E9DB72" w14:textId="41B4FA80" w:rsidR="2E1E8EE1" w:rsidRPr="00687DE8" w:rsidRDefault="00EC5818">
            <w:pPr>
              <w:spacing w:after="0"/>
              <w:jc w:val="center"/>
              <w:rPr>
                <w:color w:val="000000" w:themeColor="text1"/>
                <w:szCs w:val="24"/>
              </w:rPr>
            </w:pPr>
            <w:r>
              <w:rPr>
                <w:color w:val="000000"/>
              </w:rPr>
              <w:t>125,76</w:t>
            </w:r>
          </w:p>
        </w:tc>
      </w:tr>
      <w:tr w:rsidR="007E4541" w:rsidRPr="00687DE8" w14:paraId="1B7E3423" w14:textId="77777777" w:rsidTr="00B93704">
        <w:trPr>
          <w:divId w:val="1316184749"/>
          <w:trHeight w:val="300"/>
        </w:trPr>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C61F6C" w14:textId="77777777" w:rsidR="007E4541" w:rsidRPr="00687DE8" w:rsidRDefault="007E4541" w:rsidP="007E4541">
            <w:pPr>
              <w:spacing w:after="0" w:line="240" w:lineRule="auto"/>
              <w:rPr>
                <w:szCs w:val="24"/>
              </w:rPr>
            </w:pPr>
            <w:r w:rsidRPr="00687DE8">
              <w:rPr>
                <w:szCs w:val="24"/>
              </w:rPr>
              <w:t>Ekstrakraniaalse täppiskiiritusravi protseduur</w:t>
            </w:r>
          </w:p>
        </w:tc>
        <w:tc>
          <w:tcPr>
            <w:tcW w:w="10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B02BA1" w14:textId="77777777" w:rsidR="007E4541" w:rsidRPr="00687DE8" w:rsidRDefault="007E4541" w:rsidP="007E4541">
            <w:pPr>
              <w:spacing w:after="0" w:line="240" w:lineRule="auto"/>
              <w:jc w:val="center"/>
              <w:rPr>
                <w:szCs w:val="24"/>
              </w:rPr>
            </w:pPr>
            <w:r w:rsidRPr="00687DE8">
              <w:rPr>
                <w:szCs w:val="24"/>
              </w:rPr>
              <w:t>740204</w:t>
            </w:r>
          </w:p>
        </w:tc>
        <w:tc>
          <w:tcPr>
            <w:tcW w:w="21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1EED1B" w14:textId="56FAE6A0" w:rsidR="2E1E8EE1" w:rsidRPr="00687DE8" w:rsidRDefault="00EC5818">
            <w:pPr>
              <w:spacing w:after="0"/>
              <w:jc w:val="center"/>
              <w:rPr>
                <w:color w:val="000000" w:themeColor="text1"/>
                <w:szCs w:val="24"/>
              </w:rPr>
            </w:pPr>
            <w:r>
              <w:rPr>
                <w:color w:val="000000"/>
              </w:rPr>
              <w:t>477,39</w:t>
            </w:r>
          </w:p>
        </w:tc>
      </w:tr>
      <w:tr w:rsidR="007E4541" w:rsidRPr="00687DE8" w14:paraId="1D9FE339" w14:textId="77777777" w:rsidTr="00B93704">
        <w:trPr>
          <w:divId w:val="1316184749"/>
          <w:trHeight w:val="300"/>
        </w:trPr>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A2E82C" w14:textId="77777777" w:rsidR="007E4541" w:rsidRPr="00687DE8" w:rsidRDefault="007E4541" w:rsidP="007E4541">
            <w:pPr>
              <w:spacing w:after="0" w:line="240" w:lineRule="auto"/>
              <w:rPr>
                <w:szCs w:val="24"/>
              </w:rPr>
            </w:pPr>
            <w:r w:rsidRPr="00687DE8">
              <w:rPr>
                <w:szCs w:val="24"/>
              </w:rPr>
              <w:t>Intrakraniaalse täppiskiiritusravi protseduur</w:t>
            </w:r>
          </w:p>
        </w:tc>
        <w:tc>
          <w:tcPr>
            <w:tcW w:w="10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B1C870" w14:textId="77777777" w:rsidR="007E4541" w:rsidRPr="00687DE8" w:rsidRDefault="007E4541" w:rsidP="007E4541">
            <w:pPr>
              <w:spacing w:after="0" w:line="240" w:lineRule="auto"/>
              <w:jc w:val="center"/>
              <w:rPr>
                <w:szCs w:val="24"/>
              </w:rPr>
            </w:pPr>
            <w:r w:rsidRPr="00687DE8">
              <w:rPr>
                <w:szCs w:val="24"/>
              </w:rPr>
              <w:t>740205</w:t>
            </w:r>
          </w:p>
        </w:tc>
        <w:tc>
          <w:tcPr>
            <w:tcW w:w="21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E6723D" w14:textId="726E7811" w:rsidR="2E1E8EE1" w:rsidRPr="00687DE8" w:rsidRDefault="00EC5818">
            <w:pPr>
              <w:spacing w:after="0"/>
              <w:jc w:val="center"/>
              <w:rPr>
                <w:color w:val="000000" w:themeColor="text1"/>
                <w:szCs w:val="24"/>
              </w:rPr>
            </w:pPr>
            <w:r>
              <w:rPr>
                <w:color w:val="000000"/>
              </w:rPr>
              <w:t>465,87</w:t>
            </w:r>
          </w:p>
        </w:tc>
      </w:tr>
    </w:tbl>
    <w:p w14:paraId="19DCCC43" w14:textId="77777777" w:rsidR="00976487" w:rsidRPr="00687DE8" w:rsidRDefault="00976487" w:rsidP="00976487">
      <w:pPr>
        <w:spacing w:after="0" w:line="240" w:lineRule="auto"/>
        <w:jc w:val="both"/>
        <w:divId w:val="1316184749"/>
        <w:rPr>
          <w:szCs w:val="24"/>
        </w:rPr>
      </w:pPr>
    </w:p>
    <w:p w14:paraId="4694F5EA" w14:textId="67BE7012" w:rsidR="00976487" w:rsidRPr="00687DE8" w:rsidRDefault="00976487" w:rsidP="00976487">
      <w:pPr>
        <w:spacing w:after="0" w:line="240" w:lineRule="auto"/>
        <w:jc w:val="both"/>
        <w:divId w:val="1316184749"/>
        <w:rPr>
          <w:szCs w:val="24"/>
        </w:rPr>
      </w:pPr>
      <w:r w:rsidRPr="00687DE8">
        <w:rPr>
          <w:szCs w:val="24"/>
        </w:rPr>
        <w:t xml:space="preserve">(2) </w:t>
      </w:r>
      <w:r w:rsidR="005023FD" w:rsidRPr="00687DE8">
        <w:rPr>
          <w:szCs w:val="24"/>
        </w:rPr>
        <w:t>Tervisekassa</w:t>
      </w:r>
      <w:r w:rsidRPr="00687DE8">
        <w:rPr>
          <w:szCs w:val="24"/>
        </w:rPr>
        <w:t xml:space="preserve"> võtab lõikes 1 kehtestatud tervishoiuteenuste eest tasu maksmise kohustuse üle onkoloogilistel näidustustel ja Graves’i orbitopaatia korral juhul, kui raviks kasutatakse kiiritusravi seadet energiaga &gt; 1 MeV (megaelektronvolt).</w:t>
      </w:r>
    </w:p>
    <w:p w14:paraId="5BAAE819" w14:textId="77777777" w:rsidR="00976487" w:rsidRPr="00687DE8" w:rsidRDefault="00976487" w:rsidP="00976487">
      <w:pPr>
        <w:spacing w:after="0" w:line="240" w:lineRule="auto"/>
        <w:jc w:val="both"/>
        <w:divId w:val="1316184749"/>
        <w:rPr>
          <w:szCs w:val="24"/>
        </w:rPr>
      </w:pPr>
    </w:p>
    <w:p w14:paraId="4696FBF8" w14:textId="5F0EBC9F" w:rsidR="00E85337" w:rsidRPr="00687DE8" w:rsidRDefault="00976487" w:rsidP="00976487">
      <w:pPr>
        <w:spacing w:after="0" w:line="240" w:lineRule="auto"/>
        <w:jc w:val="both"/>
        <w:divId w:val="1316184749"/>
        <w:rPr>
          <w:szCs w:val="24"/>
        </w:rPr>
      </w:pPr>
      <w:r w:rsidRPr="00687DE8">
        <w:rPr>
          <w:szCs w:val="24"/>
        </w:rPr>
        <w:lastRenderedPageBreak/>
        <w:t>(3) Koodidega 740201, 740202, 740203, 740204 ja 740205 tähistatud tervishoiuteenuste piirhinnad sisaldavad patsiendi läbivaatust, kiiritusravi</w:t>
      </w:r>
      <w:r w:rsidR="00B94B08" w:rsidRPr="00687DE8">
        <w:rPr>
          <w:szCs w:val="24"/>
        </w:rPr>
        <w:t xml:space="preserve"> </w:t>
      </w:r>
      <w:r w:rsidRPr="00687DE8">
        <w:rPr>
          <w:szCs w:val="24"/>
        </w:rPr>
        <w:t>protseduuri</w:t>
      </w:r>
      <w:r w:rsidR="0042443E" w:rsidRPr="00687DE8">
        <w:rPr>
          <w:szCs w:val="24"/>
        </w:rPr>
        <w:t xml:space="preserve"> </w:t>
      </w:r>
      <w:r w:rsidRPr="00687DE8">
        <w:rPr>
          <w:szCs w:val="24"/>
        </w:rPr>
        <w:t>tegemist, kiirgusohutuse</w:t>
      </w:r>
      <w:r w:rsidR="0042443E" w:rsidRPr="00687DE8">
        <w:rPr>
          <w:szCs w:val="24"/>
        </w:rPr>
        <w:t xml:space="preserve"> </w:t>
      </w:r>
      <w:r w:rsidRPr="00687DE8">
        <w:rPr>
          <w:szCs w:val="24"/>
        </w:rPr>
        <w:t xml:space="preserve">ja </w:t>
      </w:r>
      <w:r w:rsidR="00D846D3">
        <w:rPr>
          <w:szCs w:val="24"/>
        </w:rPr>
        <w:noBreakHyphen/>
      </w:r>
      <w:r w:rsidRPr="00687DE8">
        <w:rPr>
          <w:szCs w:val="24"/>
        </w:rPr>
        <w:t>kvaliteedi kontrolli, dokumenteerimist ja andmete arhiveerimist</w:t>
      </w:r>
      <w:r w:rsidR="00E85337" w:rsidRPr="00687DE8">
        <w:rPr>
          <w:szCs w:val="24"/>
        </w:rPr>
        <w:t>.</w:t>
      </w:r>
    </w:p>
    <w:p w14:paraId="294D40B9" w14:textId="77777777" w:rsidR="00976487" w:rsidRPr="00687DE8" w:rsidRDefault="00976487" w:rsidP="00976487">
      <w:pPr>
        <w:spacing w:after="0" w:line="240" w:lineRule="auto"/>
        <w:jc w:val="both"/>
        <w:divId w:val="1316184749"/>
        <w:rPr>
          <w:szCs w:val="24"/>
        </w:rPr>
      </w:pPr>
    </w:p>
    <w:p w14:paraId="13B8B4B4" w14:textId="38DC45D4" w:rsidR="00976487" w:rsidRPr="00687DE8" w:rsidRDefault="00976487" w:rsidP="00976487">
      <w:pPr>
        <w:spacing w:after="0" w:line="240" w:lineRule="auto"/>
        <w:jc w:val="both"/>
        <w:divId w:val="1316184749"/>
        <w:rPr>
          <w:szCs w:val="24"/>
        </w:rPr>
      </w:pPr>
      <w:r w:rsidRPr="00687DE8">
        <w:rPr>
          <w:szCs w:val="24"/>
        </w:rPr>
        <w:t>(4) Koodidega 740101, 740102,</w:t>
      </w:r>
      <w:r w:rsidR="00931A5F" w:rsidRPr="00687DE8">
        <w:rPr>
          <w:szCs w:val="24"/>
        </w:rPr>
        <w:t xml:space="preserve"> </w:t>
      </w:r>
      <w:r w:rsidRPr="00687DE8">
        <w:rPr>
          <w:szCs w:val="24"/>
        </w:rPr>
        <w:t>740103, 740104, 740105</w:t>
      </w:r>
      <w:r w:rsidR="49D45F2F" w:rsidRPr="00687DE8">
        <w:rPr>
          <w:szCs w:val="24"/>
        </w:rPr>
        <w:t>,</w:t>
      </w:r>
      <w:r w:rsidR="008D7B0B" w:rsidRPr="00687DE8">
        <w:rPr>
          <w:szCs w:val="24"/>
        </w:rPr>
        <w:t xml:space="preserve"> </w:t>
      </w:r>
      <w:r w:rsidRPr="00687DE8">
        <w:rPr>
          <w:szCs w:val="24"/>
        </w:rPr>
        <w:t xml:space="preserve">740106 </w:t>
      </w:r>
      <w:r w:rsidR="1ED9D8F4" w:rsidRPr="00687DE8">
        <w:rPr>
          <w:szCs w:val="24"/>
        </w:rPr>
        <w:t>ja 74107</w:t>
      </w:r>
      <w:r w:rsidRPr="00687DE8">
        <w:rPr>
          <w:szCs w:val="24"/>
        </w:rPr>
        <w:t xml:space="preserve"> tähistatud tervishoiuteenuste piirhinnad sisaldavad patsiendi läbivaatust, raviplaani koostamist, kasvaja sihtmahu lokaliseerimist, doosiarvestust, simulatsiooni, raviplaani ning andmete dokumenteerimist ja arhiveerimist.</w:t>
      </w:r>
    </w:p>
    <w:p w14:paraId="2FF91969" w14:textId="77777777" w:rsidR="00976487" w:rsidRPr="00687DE8" w:rsidRDefault="00976487" w:rsidP="00976487">
      <w:pPr>
        <w:spacing w:after="0" w:line="240" w:lineRule="auto"/>
        <w:jc w:val="both"/>
        <w:divId w:val="1316184749"/>
        <w:rPr>
          <w:szCs w:val="24"/>
        </w:rPr>
      </w:pPr>
    </w:p>
    <w:p w14:paraId="02509795" w14:textId="77777777" w:rsidR="00976487" w:rsidRPr="00687DE8" w:rsidRDefault="00976487" w:rsidP="00976487">
      <w:pPr>
        <w:spacing w:after="0" w:line="240" w:lineRule="auto"/>
        <w:jc w:val="both"/>
        <w:divId w:val="1316184749"/>
        <w:rPr>
          <w:szCs w:val="24"/>
        </w:rPr>
      </w:pPr>
      <w:r w:rsidRPr="00687DE8">
        <w:rPr>
          <w:szCs w:val="24"/>
        </w:rPr>
        <w:t>(5) Koodiga 740101 tähistatud tervishoiuteenust rakendatakse luu-, lülisamba- ja ajumetastaaside, pindmiste nahatuumorite ning Graves’i orbitopaatia väliskiiritusravi planeerimisel.</w:t>
      </w:r>
    </w:p>
    <w:p w14:paraId="68D3D8B6" w14:textId="77777777" w:rsidR="00976487" w:rsidRPr="00687DE8" w:rsidRDefault="00976487" w:rsidP="00976487">
      <w:pPr>
        <w:spacing w:after="0" w:line="240" w:lineRule="auto"/>
        <w:jc w:val="both"/>
        <w:divId w:val="1316184749"/>
        <w:rPr>
          <w:szCs w:val="24"/>
        </w:rPr>
      </w:pPr>
    </w:p>
    <w:p w14:paraId="222DB70E" w14:textId="3607DEA6" w:rsidR="00976487" w:rsidRPr="00687DE8" w:rsidRDefault="00976487" w:rsidP="00976487">
      <w:pPr>
        <w:spacing w:after="0" w:line="240" w:lineRule="auto"/>
        <w:jc w:val="both"/>
        <w:divId w:val="1316184749"/>
        <w:rPr>
          <w:szCs w:val="24"/>
        </w:rPr>
      </w:pPr>
      <w:r w:rsidRPr="00687DE8">
        <w:rPr>
          <w:szCs w:val="24"/>
        </w:rPr>
        <w:t xml:space="preserve">(6) </w:t>
      </w:r>
      <w:r w:rsidR="005023FD" w:rsidRPr="00687DE8">
        <w:rPr>
          <w:szCs w:val="24"/>
        </w:rPr>
        <w:t>Tervisekassa</w:t>
      </w:r>
      <w:r w:rsidRPr="00687DE8">
        <w:rPr>
          <w:szCs w:val="24"/>
        </w:rPr>
        <w:t xml:space="preserve"> võtab koodidega 740103 ja 740202 tähistatud tervishoiuteenuste eest tasu maksmise kohustuse üle kuratiivse ehk tervistava kiiritusravi eesmärgil</w:t>
      </w:r>
      <w:r w:rsidR="21315A57" w:rsidRPr="00687DE8">
        <w:rPr>
          <w:szCs w:val="24"/>
        </w:rPr>
        <w:t>.</w:t>
      </w:r>
    </w:p>
    <w:p w14:paraId="5C3AE3E7" w14:textId="77777777" w:rsidR="00976487" w:rsidRPr="00687DE8" w:rsidRDefault="00976487" w:rsidP="00976487">
      <w:pPr>
        <w:spacing w:after="0" w:line="240" w:lineRule="auto"/>
        <w:jc w:val="both"/>
        <w:divId w:val="1316184749"/>
        <w:rPr>
          <w:szCs w:val="24"/>
        </w:rPr>
      </w:pPr>
    </w:p>
    <w:p w14:paraId="5A45EFBB" w14:textId="0C487749" w:rsidR="00976487" w:rsidRPr="00687DE8" w:rsidRDefault="00976487" w:rsidP="00976487">
      <w:pPr>
        <w:spacing w:after="0" w:line="240" w:lineRule="auto"/>
        <w:jc w:val="both"/>
        <w:divId w:val="1316184749"/>
        <w:rPr>
          <w:szCs w:val="24"/>
        </w:rPr>
      </w:pPr>
      <w:r w:rsidRPr="00687DE8">
        <w:rPr>
          <w:szCs w:val="24"/>
        </w:rPr>
        <w:t xml:space="preserve">(7) </w:t>
      </w:r>
      <w:r w:rsidR="005023FD" w:rsidRPr="00687DE8">
        <w:rPr>
          <w:szCs w:val="24"/>
        </w:rPr>
        <w:t>Tervisekassa</w:t>
      </w:r>
      <w:r w:rsidRPr="00687DE8">
        <w:rPr>
          <w:szCs w:val="24"/>
        </w:rPr>
        <w:t xml:space="preserve"> võtab koodidega 740104 ja 740203 tähistatud tervishoiuteenuste eest tasu maksmise kohustuse üle juhul, kui teenust osutatakse vasaku rinnanäärme kasvajaga patsientidele, kes vajavad adjuvantset (operatsioonijärgset) väliskiiritusravi.</w:t>
      </w:r>
    </w:p>
    <w:p w14:paraId="480AB878" w14:textId="77777777" w:rsidR="00976487" w:rsidRPr="00687DE8" w:rsidRDefault="00976487" w:rsidP="00976487">
      <w:pPr>
        <w:spacing w:after="0" w:line="240" w:lineRule="auto"/>
        <w:jc w:val="both"/>
        <w:divId w:val="1316184749"/>
        <w:rPr>
          <w:szCs w:val="24"/>
        </w:rPr>
      </w:pPr>
    </w:p>
    <w:p w14:paraId="5E539DC5" w14:textId="65E649D6" w:rsidR="00976487" w:rsidRPr="00687DE8" w:rsidRDefault="00976487" w:rsidP="00976487">
      <w:pPr>
        <w:spacing w:after="0" w:line="240" w:lineRule="auto"/>
        <w:jc w:val="both"/>
        <w:divId w:val="1316184749"/>
        <w:rPr>
          <w:szCs w:val="24"/>
        </w:rPr>
      </w:pPr>
      <w:r w:rsidRPr="00687DE8">
        <w:rPr>
          <w:szCs w:val="24"/>
        </w:rPr>
        <w:t xml:space="preserve">(8) </w:t>
      </w:r>
      <w:r w:rsidR="005023FD" w:rsidRPr="00687DE8">
        <w:rPr>
          <w:szCs w:val="24"/>
        </w:rPr>
        <w:t>Tervisekassa</w:t>
      </w:r>
      <w:r w:rsidRPr="00687DE8">
        <w:rPr>
          <w:szCs w:val="24"/>
        </w:rPr>
        <w:t xml:space="preserve"> võtab koodidega 740105 ja 740204 tähistatud tervishoiuteenuste eest tasu maksmise kohustuse üle juhul, kui teenust osutatakse varajase kopsuvähi, lokaalselt levinud pankreasevähi, kopsumetastaaside, maksametastaaside</w:t>
      </w:r>
      <w:r w:rsidR="006961EB" w:rsidRPr="00687DE8">
        <w:rPr>
          <w:szCs w:val="24"/>
        </w:rPr>
        <w:t>,</w:t>
      </w:r>
      <w:r w:rsidRPr="00687DE8">
        <w:rPr>
          <w:szCs w:val="24"/>
        </w:rPr>
        <w:t xml:space="preserve"> lülisamba metastaaside </w:t>
      </w:r>
      <w:r w:rsidR="000B628C" w:rsidRPr="00687DE8">
        <w:rPr>
          <w:szCs w:val="24"/>
        </w:rPr>
        <w:t>või oligometastaatilise</w:t>
      </w:r>
      <w:r w:rsidRPr="00687DE8">
        <w:rPr>
          <w:szCs w:val="24"/>
        </w:rPr>
        <w:t xml:space="preserve"> diagnoosiga patsientide ravimiseks.</w:t>
      </w:r>
    </w:p>
    <w:p w14:paraId="48D88806" w14:textId="77777777" w:rsidR="00976487" w:rsidRPr="00687DE8" w:rsidRDefault="00976487" w:rsidP="00976487">
      <w:pPr>
        <w:spacing w:after="0" w:line="240" w:lineRule="auto"/>
        <w:jc w:val="both"/>
        <w:divId w:val="1316184749"/>
        <w:rPr>
          <w:szCs w:val="24"/>
        </w:rPr>
      </w:pPr>
    </w:p>
    <w:p w14:paraId="35E738E1" w14:textId="260A27C3" w:rsidR="00976487" w:rsidRPr="00687DE8" w:rsidRDefault="00976487" w:rsidP="00976487">
      <w:pPr>
        <w:spacing w:after="0" w:line="240" w:lineRule="auto"/>
        <w:jc w:val="both"/>
        <w:divId w:val="1316184749"/>
        <w:rPr>
          <w:szCs w:val="24"/>
        </w:rPr>
      </w:pPr>
      <w:r w:rsidRPr="00687DE8">
        <w:rPr>
          <w:szCs w:val="24"/>
        </w:rPr>
        <w:t xml:space="preserve">(9) </w:t>
      </w:r>
      <w:r w:rsidR="005023FD" w:rsidRPr="00687DE8">
        <w:rPr>
          <w:szCs w:val="24"/>
        </w:rPr>
        <w:t>Tervisekassa</w:t>
      </w:r>
      <w:r w:rsidRPr="00687DE8">
        <w:rPr>
          <w:szCs w:val="24"/>
        </w:rPr>
        <w:t xml:space="preserve"> võtab koodidega 740106 ja 740205 tähistatud tervishoiuteenuste eest tasu maksmise kohustuse üle juhul, kui teenust osutatakse peaaju metastaaside (</w:t>
      </w:r>
      <w:r w:rsidRPr="00687DE8">
        <w:rPr>
          <w:color w:val="202020"/>
          <w:szCs w:val="24"/>
          <w:shd w:val="clear" w:color="auto" w:fill="FFFFFF"/>
        </w:rPr>
        <w:t>rahvusvahelise haiguste ja tervisega seotud probleemide statistilise klassifikatsiooni kümnenda väljaande (edaspidi </w:t>
      </w:r>
      <w:r w:rsidRPr="00687DE8">
        <w:rPr>
          <w:i/>
          <w:color w:val="202020"/>
          <w:szCs w:val="24"/>
          <w:bdr w:val="none" w:sz="0" w:space="0" w:color="auto" w:frame="1"/>
          <w:shd w:val="clear" w:color="auto" w:fill="FFFFFF"/>
        </w:rPr>
        <w:t>RHK 10</w:t>
      </w:r>
      <w:r w:rsidRPr="00687DE8">
        <w:rPr>
          <w:color w:val="202020"/>
          <w:szCs w:val="24"/>
          <w:shd w:val="clear" w:color="auto" w:fill="FFFFFF"/>
        </w:rPr>
        <w:t>)</w:t>
      </w:r>
      <w:r w:rsidRPr="00687DE8">
        <w:rPr>
          <w:szCs w:val="24"/>
        </w:rPr>
        <w:t xml:space="preserve"> kood C79.3), hüpofüüsi adenoomi (RHK</w:t>
      </w:r>
      <w:r w:rsidR="004D2A6C" w:rsidRPr="00687DE8">
        <w:rPr>
          <w:szCs w:val="24"/>
        </w:rPr>
        <w:t xml:space="preserve"> </w:t>
      </w:r>
      <w:r w:rsidRPr="00687DE8">
        <w:rPr>
          <w:szCs w:val="24"/>
        </w:rPr>
        <w:t xml:space="preserve">10 kood D35.2), </w:t>
      </w:r>
      <w:r w:rsidR="007C7158" w:rsidRPr="00687DE8">
        <w:rPr>
          <w:i/>
          <w:szCs w:val="24"/>
        </w:rPr>
        <w:t xml:space="preserve">n. </w:t>
      </w:r>
      <w:r w:rsidRPr="00687DE8">
        <w:rPr>
          <w:i/>
          <w:szCs w:val="24"/>
        </w:rPr>
        <w:t>acusticus</w:t>
      </w:r>
      <w:r w:rsidR="007C7158" w:rsidRPr="00687DE8">
        <w:rPr>
          <w:szCs w:val="24"/>
        </w:rPr>
        <w:t>’e</w:t>
      </w:r>
      <w:r w:rsidRPr="00687DE8">
        <w:rPr>
          <w:szCs w:val="24"/>
        </w:rPr>
        <w:t xml:space="preserve"> neurinoomi (RHK 10 kood D33.3) või arteriovenoossete malformatsioonide (RHK 10 koodid Q28.0, Q28.2) diagnoosiga patsientide ravimiseks või kui tegemist on korduva kiiritusraviga eelnevalt kiiritusravi saanud piirkonda.</w:t>
      </w:r>
    </w:p>
    <w:p w14:paraId="3217BF53" w14:textId="77777777" w:rsidR="00933B8F" w:rsidRPr="00687DE8" w:rsidRDefault="00933B8F" w:rsidP="00976487">
      <w:pPr>
        <w:spacing w:after="0" w:line="240" w:lineRule="auto"/>
        <w:jc w:val="both"/>
        <w:divId w:val="1316184749"/>
        <w:rPr>
          <w:szCs w:val="24"/>
        </w:rPr>
      </w:pPr>
    </w:p>
    <w:p w14:paraId="74ED78BB" w14:textId="3A78DC13" w:rsidR="00933B8F" w:rsidRPr="00687DE8" w:rsidRDefault="00933B8F" w:rsidP="00933B8F">
      <w:pPr>
        <w:spacing w:after="0" w:line="240" w:lineRule="auto"/>
        <w:jc w:val="both"/>
        <w:divId w:val="1316184749"/>
        <w:rPr>
          <w:szCs w:val="24"/>
        </w:rPr>
      </w:pPr>
      <w:r w:rsidRPr="00687DE8">
        <w:rPr>
          <w:szCs w:val="24"/>
        </w:rPr>
        <w:t>(10) Tervisekassa võtab koodiga 740107 tähistatud tervishoiuteenus</w:t>
      </w:r>
      <w:r w:rsidR="00A515A7" w:rsidRPr="00687DE8">
        <w:rPr>
          <w:szCs w:val="24"/>
        </w:rPr>
        <w:t>e</w:t>
      </w:r>
      <w:r w:rsidRPr="00687DE8">
        <w:rPr>
          <w:szCs w:val="24"/>
        </w:rPr>
        <w:t xml:space="preserve"> eest tasu maksmise kohustuse üle eesnäärme kasvaja kuratiivse ehk tervistava kiiritusravi eesmärgil.</w:t>
      </w:r>
    </w:p>
    <w:p w14:paraId="553D9CF0" w14:textId="77777777" w:rsidR="00933B8F" w:rsidRPr="00687DE8" w:rsidRDefault="00933B8F" w:rsidP="00933B8F">
      <w:pPr>
        <w:spacing w:after="0" w:line="240" w:lineRule="auto"/>
        <w:jc w:val="both"/>
        <w:divId w:val="1316184749"/>
        <w:rPr>
          <w:szCs w:val="24"/>
        </w:rPr>
      </w:pPr>
    </w:p>
    <w:p w14:paraId="399A4E92" w14:textId="62B138BA" w:rsidR="00933B8F" w:rsidRPr="00687DE8" w:rsidRDefault="00933B8F" w:rsidP="00933B8F">
      <w:pPr>
        <w:spacing w:after="0" w:line="240" w:lineRule="auto"/>
        <w:jc w:val="both"/>
        <w:divId w:val="1316184749"/>
        <w:rPr>
          <w:szCs w:val="24"/>
        </w:rPr>
      </w:pPr>
      <w:r w:rsidRPr="00687DE8">
        <w:rPr>
          <w:szCs w:val="24"/>
        </w:rPr>
        <w:t>(11) Koodiga 740107 tähistatud tervishoiuteenuse koodi ei rakendata koos § 21 lõigetes 1, 2 ja 3 nimetatud teenustega</w:t>
      </w:r>
      <w:r w:rsidR="006C2A64" w:rsidRPr="00687DE8">
        <w:rPr>
          <w:szCs w:val="24"/>
        </w:rPr>
        <w:t xml:space="preserve"> </w:t>
      </w:r>
      <w:r w:rsidR="00E27869" w:rsidRPr="00687DE8">
        <w:rPr>
          <w:szCs w:val="24"/>
        </w:rPr>
        <w:t>ega</w:t>
      </w:r>
      <w:r w:rsidR="006C2A64" w:rsidRPr="00687DE8">
        <w:rPr>
          <w:szCs w:val="24"/>
        </w:rPr>
        <w:t xml:space="preserve"> koodiga 740103 tähistatud teenusega</w:t>
      </w:r>
      <w:r w:rsidRPr="00687DE8">
        <w:rPr>
          <w:szCs w:val="24"/>
        </w:rPr>
        <w:t>.</w:t>
      </w:r>
    </w:p>
    <w:p w14:paraId="027DDC65" w14:textId="77777777" w:rsidR="00976487" w:rsidRPr="00687DE8" w:rsidRDefault="00976487" w:rsidP="00976487">
      <w:pPr>
        <w:spacing w:after="0" w:line="240" w:lineRule="auto"/>
        <w:jc w:val="both"/>
        <w:divId w:val="1316184749"/>
        <w:rPr>
          <w:szCs w:val="24"/>
        </w:rPr>
      </w:pPr>
    </w:p>
    <w:p w14:paraId="317CBB33" w14:textId="2121AA78" w:rsidR="00976487" w:rsidRPr="00687DE8" w:rsidRDefault="00976487" w:rsidP="00976487">
      <w:pPr>
        <w:spacing w:after="0" w:line="240" w:lineRule="auto"/>
        <w:jc w:val="both"/>
        <w:divId w:val="1316184749"/>
        <w:rPr>
          <w:szCs w:val="24"/>
        </w:rPr>
      </w:pPr>
      <w:r w:rsidRPr="00687DE8">
        <w:rPr>
          <w:szCs w:val="24"/>
        </w:rPr>
        <w:t>(1</w:t>
      </w:r>
      <w:r w:rsidR="00647ACD" w:rsidRPr="00687DE8">
        <w:rPr>
          <w:szCs w:val="24"/>
        </w:rPr>
        <w:t>2</w:t>
      </w:r>
      <w:r w:rsidRPr="00687DE8">
        <w:rPr>
          <w:szCs w:val="24"/>
        </w:rPr>
        <w:t>) Lähikiiritusravi teenuste piirhinnad on järgmised:</w:t>
      </w:r>
    </w:p>
    <w:p w14:paraId="19266953" w14:textId="77777777" w:rsidR="00976487" w:rsidRPr="00687DE8" w:rsidRDefault="00976487" w:rsidP="00976487">
      <w:pPr>
        <w:tabs>
          <w:tab w:val="left" w:pos="912"/>
        </w:tabs>
        <w:spacing w:after="0" w:line="240" w:lineRule="auto"/>
        <w:jc w:val="both"/>
        <w:divId w:val="1316184749"/>
        <w:rPr>
          <w:szCs w:val="24"/>
        </w:rPr>
      </w:pPr>
      <w:r w:rsidRPr="00687DE8">
        <w:rPr>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0"/>
        <w:gridCol w:w="1075"/>
        <w:gridCol w:w="1470"/>
      </w:tblGrid>
      <w:tr w:rsidR="00976487" w:rsidRPr="00687DE8" w14:paraId="5810EA81" w14:textId="77777777" w:rsidTr="00100938">
        <w:trPr>
          <w:divId w:val="1316184749"/>
          <w:tblHeader/>
        </w:trPr>
        <w:tc>
          <w:tcPr>
            <w:tcW w:w="6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A35ECE" w14:textId="77777777" w:rsidR="00976487" w:rsidRPr="00687DE8" w:rsidRDefault="00976487">
            <w:pPr>
              <w:spacing w:after="0" w:line="240" w:lineRule="auto"/>
              <w:jc w:val="center"/>
              <w:rPr>
                <w:szCs w:val="24"/>
              </w:rPr>
            </w:pPr>
            <w:r w:rsidRPr="00687DE8">
              <w:rPr>
                <w:b/>
                <w:szCs w:val="24"/>
              </w:rPr>
              <w:t>Tervishoiuteenuse nimetus</w:t>
            </w:r>
          </w:p>
        </w:tc>
        <w:tc>
          <w:tcPr>
            <w:tcW w:w="1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78F3E2" w14:textId="77777777" w:rsidR="00976487" w:rsidRPr="00687DE8" w:rsidRDefault="00976487">
            <w:pPr>
              <w:spacing w:after="0" w:line="240" w:lineRule="auto"/>
              <w:jc w:val="center"/>
              <w:rPr>
                <w:szCs w:val="24"/>
              </w:rPr>
            </w:pPr>
            <w:r w:rsidRPr="00687DE8">
              <w:rPr>
                <w:b/>
                <w:szCs w:val="24"/>
              </w:rPr>
              <w:t>Kood</w:t>
            </w: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30E011"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14240E" w:rsidRPr="00687DE8" w14:paraId="0AC3E926" w14:textId="77777777" w:rsidTr="00B93704">
        <w:trPr>
          <w:divId w:val="1316184749"/>
          <w:trHeight w:val="300"/>
        </w:trPr>
        <w:tc>
          <w:tcPr>
            <w:tcW w:w="6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013A4C" w14:textId="77777777" w:rsidR="0014240E" w:rsidRPr="00687DE8" w:rsidRDefault="0014240E" w:rsidP="0014240E">
            <w:pPr>
              <w:spacing w:after="0" w:line="240" w:lineRule="auto"/>
              <w:rPr>
                <w:szCs w:val="24"/>
              </w:rPr>
            </w:pPr>
            <w:r w:rsidRPr="00687DE8">
              <w:rPr>
                <w:szCs w:val="24"/>
              </w:rPr>
              <w:t>Standardplaaniga lähikiiritusravi protseduur</w:t>
            </w:r>
          </w:p>
        </w:tc>
        <w:tc>
          <w:tcPr>
            <w:tcW w:w="1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262A81" w14:textId="77777777" w:rsidR="0014240E" w:rsidRPr="00687DE8" w:rsidRDefault="0014240E" w:rsidP="0014240E">
            <w:pPr>
              <w:spacing w:after="0" w:line="240" w:lineRule="auto"/>
              <w:jc w:val="center"/>
              <w:rPr>
                <w:szCs w:val="24"/>
              </w:rPr>
            </w:pPr>
            <w:r w:rsidRPr="00687DE8">
              <w:rPr>
                <w:szCs w:val="24"/>
              </w:rPr>
              <w:t>740301</w:t>
            </w: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C193E6" w14:textId="13010C41" w:rsidR="2E1E8EE1" w:rsidRPr="00687DE8" w:rsidRDefault="001E2E97">
            <w:pPr>
              <w:spacing w:after="0"/>
              <w:jc w:val="center"/>
              <w:rPr>
                <w:color w:val="000000" w:themeColor="text1"/>
                <w:szCs w:val="24"/>
              </w:rPr>
            </w:pPr>
            <w:r>
              <w:rPr>
                <w:color w:val="000000"/>
              </w:rPr>
              <w:t>416,27</w:t>
            </w:r>
          </w:p>
        </w:tc>
      </w:tr>
      <w:tr w:rsidR="0014240E" w:rsidRPr="00687DE8" w14:paraId="408805B3" w14:textId="77777777" w:rsidTr="00B93704">
        <w:trPr>
          <w:divId w:val="1316184749"/>
          <w:trHeight w:val="300"/>
        </w:trPr>
        <w:tc>
          <w:tcPr>
            <w:tcW w:w="6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D40CC1" w14:textId="77777777" w:rsidR="0014240E" w:rsidRPr="00687DE8" w:rsidRDefault="0014240E" w:rsidP="0014240E">
            <w:pPr>
              <w:spacing w:after="0" w:line="240" w:lineRule="auto"/>
              <w:rPr>
                <w:szCs w:val="24"/>
              </w:rPr>
            </w:pPr>
            <w:r w:rsidRPr="00687DE8">
              <w:rPr>
                <w:szCs w:val="24"/>
              </w:rPr>
              <w:t>Kahedimensionaalse planeerimisega lähikiiritusravi protseduur</w:t>
            </w:r>
          </w:p>
        </w:tc>
        <w:tc>
          <w:tcPr>
            <w:tcW w:w="1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FA1990" w14:textId="77777777" w:rsidR="0014240E" w:rsidRPr="00687DE8" w:rsidRDefault="0014240E" w:rsidP="0014240E">
            <w:pPr>
              <w:spacing w:after="0" w:line="240" w:lineRule="auto"/>
              <w:jc w:val="center"/>
              <w:rPr>
                <w:szCs w:val="24"/>
              </w:rPr>
            </w:pPr>
            <w:r w:rsidRPr="00687DE8">
              <w:rPr>
                <w:szCs w:val="24"/>
              </w:rPr>
              <w:t>740302</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418E2A" w14:textId="2A3FD8A1" w:rsidR="2E1E8EE1" w:rsidRPr="00687DE8" w:rsidRDefault="001E2E97">
            <w:pPr>
              <w:spacing w:after="0"/>
              <w:jc w:val="center"/>
              <w:rPr>
                <w:color w:val="000000" w:themeColor="text1"/>
                <w:szCs w:val="24"/>
              </w:rPr>
            </w:pPr>
            <w:r>
              <w:rPr>
                <w:color w:val="000000"/>
              </w:rPr>
              <w:t>828,04</w:t>
            </w:r>
          </w:p>
        </w:tc>
      </w:tr>
      <w:tr w:rsidR="0014240E" w:rsidRPr="00687DE8" w14:paraId="63139B1B" w14:textId="77777777" w:rsidTr="00B93704">
        <w:trPr>
          <w:divId w:val="1316184749"/>
          <w:trHeight w:val="300"/>
        </w:trPr>
        <w:tc>
          <w:tcPr>
            <w:tcW w:w="6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4F6EA8" w14:textId="77777777" w:rsidR="0014240E" w:rsidRPr="00687DE8" w:rsidRDefault="0014240E" w:rsidP="0014240E">
            <w:pPr>
              <w:spacing w:after="0" w:line="240" w:lineRule="auto"/>
              <w:rPr>
                <w:szCs w:val="24"/>
              </w:rPr>
            </w:pPr>
            <w:r w:rsidRPr="00687DE8">
              <w:rPr>
                <w:szCs w:val="24"/>
              </w:rPr>
              <w:t>Kolmedimensionaalse planeerimisega günekoloogilise kasvaja lähikiiritusravi protseduur</w:t>
            </w:r>
          </w:p>
        </w:tc>
        <w:tc>
          <w:tcPr>
            <w:tcW w:w="1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54F993" w14:textId="77777777" w:rsidR="0014240E" w:rsidRPr="00687DE8" w:rsidRDefault="0014240E" w:rsidP="0014240E">
            <w:pPr>
              <w:spacing w:after="0" w:line="240" w:lineRule="auto"/>
              <w:jc w:val="center"/>
              <w:rPr>
                <w:szCs w:val="24"/>
              </w:rPr>
            </w:pPr>
          </w:p>
          <w:p w14:paraId="75F74E5F" w14:textId="77777777" w:rsidR="0014240E" w:rsidRPr="00687DE8" w:rsidRDefault="0014240E" w:rsidP="0014240E">
            <w:pPr>
              <w:spacing w:after="0" w:line="240" w:lineRule="auto"/>
              <w:jc w:val="center"/>
              <w:rPr>
                <w:szCs w:val="24"/>
              </w:rPr>
            </w:pPr>
            <w:r w:rsidRPr="00687DE8">
              <w:rPr>
                <w:szCs w:val="24"/>
              </w:rPr>
              <w:t>740303</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0B1073" w14:textId="6E66691C" w:rsidR="2E1E8EE1" w:rsidRPr="00687DE8" w:rsidRDefault="001E2E97">
            <w:pPr>
              <w:spacing w:after="0"/>
              <w:jc w:val="center"/>
              <w:rPr>
                <w:color w:val="000000" w:themeColor="text1"/>
                <w:szCs w:val="24"/>
              </w:rPr>
            </w:pPr>
            <w:r>
              <w:rPr>
                <w:color w:val="000000"/>
              </w:rPr>
              <w:t>1 088,33</w:t>
            </w:r>
          </w:p>
        </w:tc>
      </w:tr>
    </w:tbl>
    <w:p w14:paraId="02325565" w14:textId="77777777" w:rsidR="00976487" w:rsidRPr="00687DE8" w:rsidRDefault="00976487" w:rsidP="00976487">
      <w:pPr>
        <w:spacing w:after="0" w:line="240" w:lineRule="auto"/>
        <w:jc w:val="both"/>
        <w:divId w:val="1316184749"/>
        <w:rPr>
          <w:szCs w:val="24"/>
        </w:rPr>
      </w:pPr>
    </w:p>
    <w:p w14:paraId="6002BD76" w14:textId="0B335C18" w:rsidR="00976487" w:rsidRPr="00687DE8" w:rsidRDefault="00976487" w:rsidP="00976487">
      <w:pPr>
        <w:spacing w:after="0" w:line="240" w:lineRule="auto"/>
        <w:jc w:val="both"/>
        <w:divId w:val="1316184749"/>
        <w:rPr>
          <w:szCs w:val="24"/>
        </w:rPr>
      </w:pPr>
      <w:r w:rsidRPr="00687DE8">
        <w:rPr>
          <w:szCs w:val="24"/>
        </w:rPr>
        <w:t>(1</w:t>
      </w:r>
      <w:r w:rsidR="00647ACD" w:rsidRPr="00687DE8">
        <w:rPr>
          <w:szCs w:val="24"/>
        </w:rPr>
        <w:t>3</w:t>
      </w:r>
      <w:r w:rsidRPr="00687DE8">
        <w:rPr>
          <w:szCs w:val="24"/>
        </w:rPr>
        <w:t>) Koodiga 740301 tähistatud tervishoiuteenuse piirhind sisaldab patsiendi läbivaatust, aplikaatori paigaldamist ultraheli kontrolli all, kiiritusravi mahu planeerimist, raviplaani valimist ja ravi läbiviimist, dokumenteerimist, kiirgusohutuse ja -kvaliteedi kontrolli ning andmete arhiveerimist, samuti eriarsti vastuvõtu ja protseduurijärgse </w:t>
      </w:r>
      <w:r w:rsidRPr="00687DE8">
        <w:rPr>
          <w:i/>
          <w:szCs w:val="24"/>
        </w:rPr>
        <w:t>recovery</w:t>
      </w:r>
      <w:r w:rsidRPr="00687DE8">
        <w:rPr>
          <w:szCs w:val="24"/>
        </w:rPr>
        <w:t> maksumust.</w:t>
      </w:r>
    </w:p>
    <w:p w14:paraId="642B336E" w14:textId="77777777" w:rsidR="00976487" w:rsidRPr="00687DE8" w:rsidRDefault="00976487" w:rsidP="00976487">
      <w:pPr>
        <w:spacing w:after="0" w:line="240" w:lineRule="auto"/>
        <w:jc w:val="both"/>
        <w:divId w:val="1316184749"/>
        <w:rPr>
          <w:szCs w:val="24"/>
        </w:rPr>
      </w:pPr>
    </w:p>
    <w:p w14:paraId="6860F274" w14:textId="1CB79928" w:rsidR="00976487" w:rsidRPr="00687DE8" w:rsidRDefault="00976487" w:rsidP="00976487">
      <w:pPr>
        <w:spacing w:after="0" w:line="240" w:lineRule="auto"/>
        <w:jc w:val="both"/>
        <w:divId w:val="1316184749"/>
        <w:rPr>
          <w:szCs w:val="24"/>
        </w:rPr>
      </w:pPr>
      <w:r w:rsidRPr="00687DE8">
        <w:rPr>
          <w:szCs w:val="24"/>
        </w:rPr>
        <w:t>(1</w:t>
      </w:r>
      <w:r w:rsidR="00647ACD" w:rsidRPr="00687DE8">
        <w:rPr>
          <w:szCs w:val="24"/>
        </w:rPr>
        <w:t>4</w:t>
      </w:r>
      <w:r w:rsidRPr="00687DE8">
        <w:rPr>
          <w:szCs w:val="24"/>
        </w:rPr>
        <w:t>) Koodiga 740302 tähistatud tervishoiuteenuse piirhind sisaldab patsiendi läbivaatust, aplikaatori paigaldamist ultraheli kontrolli all, kahedimensionaalset kiiritusravi mahu planeerimist (sealhulgas röntgenaparatuuri kasutamist), raviplaani valimist ja ravi läbiviimist, kiirgusohutuse ja -kvaliteedi kontrolli, dokumenteerimist ning andmete arhiveerimist, samuti eriarsti vastuvõtu ja protseduurijärgse </w:t>
      </w:r>
      <w:r w:rsidRPr="00687DE8">
        <w:rPr>
          <w:i/>
          <w:szCs w:val="24"/>
        </w:rPr>
        <w:t>recovery</w:t>
      </w:r>
      <w:r w:rsidRPr="00687DE8">
        <w:rPr>
          <w:szCs w:val="24"/>
        </w:rPr>
        <w:t> maksumust.</w:t>
      </w:r>
    </w:p>
    <w:p w14:paraId="6A4230C4" w14:textId="77777777" w:rsidR="00976487" w:rsidRPr="00687DE8" w:rsidRDefault="00976487" w:rsidP="00976487">
      <w:pPr>
        <w:spacing w:after="0" w:line="240" w:lineRule="auto"/>
        <w:jc w:val="both"/>
        <w:divId w:val="1316184749"/>
        <w:rPr>
          <w:szCs w:val="24"/>
        </w:rPr>
      </w:pPr>
    </w:p>
    <w:p w14:paraId="0855CD3C" w14:textId="4A7B4D9A" w:rsidR="00976487" w:rsidRPr="00687DE8" w:rsidRDefault="00976487" w:rsidP="00976487">
      <w:pPr>
        <w:spacing w:after="0" w:line="240" w:lineRule="auto"/>
        <w:jc w:val="both"/>
        <w:divId w:val="1316184749"/>
        <w:rPr>
          <w:szCs w:val="24"/>
        </w:rPr>
      </w:pPr>
      <w:r w:rsidRPr="00687DE8">
        <w:rPr>
          <w:szCs w:val="24"/>
        </w:rPr>
        <w:t>(1</w:t>
      </w:r>
      <w:r w:rsidR="00647ACD" w:rsidRPr="00687DE8">
        <w:rPr>
          <w:szCs w:val="24"/>
        </w:rPr>
        <w:t>5</w:t>
      </w:r>
      <w:r w:rsidRPr="00687DE8">
        <w:rPr>
          <w:szCs w:val="24"/>
        </w:rPr>
        <w:t>) Koodiga 740303 tähistatud tervishoiuteenuse piirhind sisaldab patsiendi läbivaatust, jälgimist, aplikaatori paigaldamist ultraheli kontrolli all, kolmedimensionaalset kiiritusravi mahu planeerimist (välja arvatud kompuutertomograafi ja magnetresonantstomograafi kasutamine), raviplaani valimist ja ravi läbiviimist, kiirgusohutuse ja -kvaliteedi kontrolli, dokumenteerimist ning andmete arhiveerimist, samuti eriarsti vastuvõtu ja protseduurijärgse </w:t>
      </w:r>
      <w:r w:rsidRPr="00687DE8">
        <w:rPr>
          <w:i/>
          <w:szCs w:val="24"/>
        </w:rPr>
        <w:t>recovery</w:t>
      </w:r>
      <w:r w:rsidRPr="00687DE8">
        <w:rPr>
          <w:szCs w:val="24"/>
        </w:rPr>
        <w:t> maksumust.</w:t>
      </w:r>
    </w:p>
    <w:p w14:paraId="5EAF3E34" w14:textId="77777777" w:rsidR="0048776F" w:rsidRPr="00687DE8" w:rsidRDefault="0048776F" w:rsidP="00976487">
      <w:pPr>
        <w:spacing w:after="0" w:line="240" w:lineRule="auto"/>
        <w:jc w:val="both"/>
        <w:divId w:val="1316184749"/>
        <w:rPr>
          <w:szCs w:val="24"/>
        </w:rPr>
      </w:pPr>
    </w:p>
    <w:p w14:paraId="326BED22" w14:textId="775CDE04" w:rsidR="0048776F" w:rsidRPr="00687DE8" w:rsidRDefault="000E3C75" w:rsidP="5E042232">
      <w:pPr>
        <w:spacing w:after="0" w:line="240" w:lineRule="auto"/>
        <w:jc w:val="both"/>
        <w:divId w:val="1316184749"/>
        <w:rPr>
          <w:szCs w:val="24"/>
        </w:rPr>
      </w:pPr>
      <w:r w:rsidRPr="00687DE8">
        <w:rPr>
          <w:szCs w:val="24"/>
        </w:rPr>
        <w:t>(1</w:t>
      </w:r>
      <w:r w:rsidR="00647ACD" w:rsidRPr="00687DE8">
        <w:rPr>
          <w:szCs w:val="24"/>
        </w:rPr>
        <w:t>6</w:t>
      </w:r>
      <w:r w:rsidRPr="00687DE8">
        <w:rPr>
          <w:szCs w:val="24"/>
        </w:rPr>
        <w:t xml:space="preserve">) Lõikes 1 nimetatud teenuste puhul on tagatud piltide arhiveerimine Sihtasutuses Eesti Tervishoiu Pildipank. </w:t>
      </w:r>
    </w:p>
    <w:p w14:paraId="7A7F179A" w14:textId="5B2D4BCD" w:rsidR="5E042232" w:rsidRPr="00687DE8" w:rsidRDefault="5E042232" w:rsidP="5E042232">
      <w:pPr>
        <w:spacing w:after="0" w:line="240" w:lineRule="auto"/>
        <w:jc w:val="both"/>
        <w:rPr>
          <w:szCs w:val="24"/>
        </w:rPr>
      </w:pPr>
    </w:p>
    <w:p w14:paraId="159D14E8" w14:textId="77777777" w:rsidR="00976487" w:rsidRDefault="00976487" w:rsidP="00976487">
      <w:pPr>
        <w:spacing w:after="0" w:line="240" w:lineRule="auto"/>
        <w:jc w:val="both"/>
        <w:outlineLvl w:val="2"/>
        <w:divId w:val="1316184749"/>
        <w:rPr>
          <w:b/>
          <w:szCs w:val="24"/>
        </w:rPr>
      </w:pPr>
      <w:r w:rsidRPr="00687DE8">
        <w:rPr>
          <w:b/>
          <w:szCs w:val="24"/>
        </w:rPr>
        <w:t>§ 2</w:t>
      </w:r>
      <w:r w:rsidR="00E22EDA" w:rsidRPr="00687DE8">
        <w:rPr>
          <w:b/>
          <w:szCs w:val="24"/>
        </w:rPr>
        <w:t>6</w:t>
      </w:r>
      <w:r w:rsidRPr="00687DE8">
        <w:rPr>
          <w:b/>
          <w:szCs w:val="24"/>
        </w:rPr>
        <w:t>. Neuroloogiliste protseduuride ja neurofüsioloogiliste uuringute piirhinnad</w:t>
      </w:r>
    </w:p>
    <w:p w14:paraId="7985BB15" w14:textId="77777777" w:rsidR="00DF1D65" w:rsidRDefault="00DF1D65" w:rsidP="00976487">
      <w:pPr>
        <w:spacing w:after="0" w:line="240" w:lineRule="auto"/>
        <w:jc w:val="both"/>
        <w:divId w:val="1316184749"/>
        <w:rPr>
          <w:szCs w:val="24"/>
        </w:rPr>
      </w:pPr>
    </w:p>
    <w:p w14:paraId="4637C426" w14:textId="3D1F6C2C" w:rsidR="00976487" w:rsidRPr="00687DE8" w:rsidRDefault="00976487" w:rsidP="00976487">
      <w:pPr>
        <w:spacing w:after="0" w:line="240" w:lineRule="auto"/>
        <w:jc w:val="both"/>
        <w:divId w:val="1316184749"/>
        <w:rPr>
          <w:szCs w:val="24"/>
        </w:rPr>
      </w:pPr>
      <w:r w:rsidRPr="00687DE8">
        <w:rPr>
          <w:szCs w:val="24"/>
        </w:rPr>
        <w:t>(1) Neuroloogiliste protseduuride ja neurofüsioloogiliste uuringute piirhinnad on järgmised:</w:t>
      </w:r>
    </w:p>
    <w:p w14:paraId="646CC4A9"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9"/>
        <w:gridCol w:w="1046"/>
        <w:gridCol w:w="1350"/>
      </w:tblGrid>
      <w:tr w:rsidR="00976487" w:rsidRPr="00687DE8" w14:paraId="59708520" w14:textId="77777777" w:rsidTr="00836ECC">
        <w:trPr>
          <w:divId w:val="1316184749"/>
          <w:tblHeader/>
        </w:trPr>
        <w:tc>
          <w:tcPr>
            <w:tcW w:w="69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C185F3" w14:textId="77777777" w:rsidR="00976487" w:rsidRPr="00687DE8" w:rsidRDefault="00976487">
            <w:pPr>
              <w:spacing w:after="0" w:line="240" w:lineRule="auto"/>
              <w:jc w:val="center"/>
              <w:rPr>
                <w:szCs w:val="24"/>
              </w:rPr>
            </w:pPr>
            <w:r w:rsidRPr="00687DE8">
              <w:rPr>
                <w:b/>
                <w:szCs w:val="24"/>
              </w:rPr>
              <w:t>Tervishoiuteenuse nimetus</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3C8D1A" w14:textId="77777777" w:rsidR="00976487" w:rsidRPr="00687DE8" w:rsidRDefault="00976487">
            <w:pPr>
              <w:spacing w:after="0" w:line="240" w:lineRule="auto"/>
              <w:jc w:val="center"/>
              <w:rPr>
                <w:szCs w:val="24"/>
              </w:rPr>
            </w:pPr>
            <w:r w:rsidRPr="00687DE8">
              <w:rPr>
                <w:b/>
                <w:szCs w:val="24"/>
              </w:rPr>
              <w:t>Kood</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FDDF68"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766FD1" w:rsidRPr="00687DE8" w14:paraId="53CFA7A6" w14:textId="77777777" w:rsidTr="00934CCC">
        <w:trPr>
          <w:divId w:val="1316184749"/>
          <w:trHeight w:val="300"/>
        </w:trPr>
        <w:tc>
          <w:tcPr>
            <w:tcW w:w="69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B00F7D" w14:textId="77777777" w:rsidR="00766FD1" w:rsidRPr="00687DE8" w:rsidRDefault="00766FD1" w:rsidP="00766FD1">
            <w:pPr>
              <w:spacing w:after="0" w:line="240" w:lineRule="auto"/>
              <w:rPr>
                <w:szCs w:val="24"/>
              </w:rPr>
            </w:pPr>
            <w:r w:rsidRPr="00687DE8">
              <w:rPr>
                <w:szCs w:val="24"/>
              </w:rPr>
              <w:t>Botulismitoksiinravi planeerimine ja ravimi manustamine</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94F19B6" w14:textId="77777777" w:rsidR="00766FD1" w:rsidRPr="00687DE8" w:rsidRDefault="00766FD1" w:rsidP="00766FD1">
            <w:pPr>
              <w:spacing w:after="0" w:line="240" w:lineRule="auto"/>
              <w:jc w:val="center"/>
              <w:rPr>
                <w:szCs w:val="24"/>
              </w:rPr>
            </w:pPr>
            <w:r w:rsidRPr="00687DE8">
              <w:rPr>
                <w:szCs w:val="24"/>
              </w:rPr>
              <w:t>6260</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340AC9" w14:textId="69DB4218" w:rsidR="2E1E8EE1" w:rsidRPr="00687DE8" w:rsidRDefault="00795719">
            <w:pPr>
              <w:spacing w:after="0"/>
              <w:jc w:val="center"/>
              <w:rPr>
                <w:color w:val="000000" w:themeColor="text1"/>
                <w:szCs w:val="24"/>
              </w:rPr>
            </w:pPr>
            <w:r>
              <w:rPr>
                <w:color w:val="000000"/>
              </w:rPr>
              <w:t>39,79</w:t>
            </w:r>
          </w:p>
        </w:tc>
      </w:tr>
      <w:tr w:rsidR="00766FD1" w:rsidRPr="00687DE8" w14:paraId="2A61BA7C" w14:textId="77777777" w:rsidTr="00934CCC">
        <w:trPr>
          <w:divId w:val="1316184749"/>
          <w:trHeight w:val="300"/>
        </w:trPr>
        <w:tc>
          <w:tcPr>
            <w:tcW w:w="69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5F6418" w14:textId="77777777" w:rsidR="00766FD1" w:rsidRPr="00687DE8" w:rsidRDefault="00766FD1" w:rsidP="00766FD1">
            <w:pPr>
              <w:spacing w:after="0" w:line="240" w:lineRule="auto"/>
              <w:rPr>
                <w:szCs w:val="24"/>
              </w:rPr>
            </w:pPr>
            <w:r w:rsidRPr="00687DE8">
              <w:rPr>
                <w:szCs w:val="24"/>
              </w:rPr>
              <w:t xml:space="preserve">Lumbaalpunktsioon </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68FCFEC" w14:textId="77777777" w:rsidR="00766FD1" w:rsidRPr="00687DE8" w:rsidRDefault="00766FD1" w:rsidP="00766FD1">
            <w:pPr>
              <w:spacing w:after="0" w:line="240" w:lineRule="auto"/>
              <w:jc w:val="center"/>
              <w:rPr>
                <w:szCs w:val="24"/>
              </w:rPr>
            </w:pPr>
            <w:r w:rsidRPr="00687DE8">
              <w:rPr>
                <w:szCs w:val="24"/>
              </w:rPr>
              <w:t>6261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D3E3D4" w14:textId="1B83745A" w:rsidR="2E1E8EE1" w:rsidRPr="00687DE8" w:rsidRDefault="00795719">
            <w:pPr>
              <w:spacing w:after="0"/>
              <w:jc w:val="center"/>
              <w:rPr>
                <w:color w:val="000000" w:themeColor="text1"/>
                <w:szCs w:val="24"/>
              </w:rPr>
            </w:pPr>
            <w:r>
              <w:rPr>
                <w:color w:val="000000"/>
              </w:rPr>
              <w:t>37,55</w:t>
            </w:r>
          </w:p>
        </w:tc>
      </w:tr>
      <w:tr w:rsidR="00766FD1" w:rsidRPr="00687DE8" w14:paraId="169E8686" w14:textId="77777777" w:rsidTr="00934CCC">
        <w:trPr>
          <w:divId w:val="1316184749"/>
          <w:trHeight w:val="300"/>
        </w:trPr>
        <w:tc>
          <w:tcPr>
            <w:tcW w:w="69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3BFDBE" w14:textId="77777777" w:rsidR="00766FD1" w:rsidRPr="00687DE8" w:rsidRDefault="00766FD1" w:rsidP="00766FD1">
            <w:pPr>
              <w:spacing w:after="0" w:line="240" w:lineRule="auto"/>
              <w:rPr>
                <w:szCs w:val="24"/>
              </w:rPr>
            </w:pPr>
            <w:r w:rsidRPr="00687DE8">
              <w:rPr>
                <w:szCs w:val="24"/>
              </w:rPr>
              <w:t xml:space="preserve">Karpaalkanali või </w:t>
            </w:r>
            <w:r w:rsidRPr="00687DE8">
              <w:rPr>
                <w:i/>
                <w:szCs w:val="24"/>
              </w:rPr>
              <w:t>ganglion stellatum</w:t>
            </w:r>
            <w:r w:rsidRPr="00687DE8">
              <w:rPr>
                <w:szCs w:val="24"/>
              </w:rPr>
              <w:t>’i või kolmiknärvi perifeersete harude blokaad või epiduraalblokaad</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2821B91" w14:textId="77777777" w:rsidR="00766FD1" w:rsidRPr="00687DE8" w:rsidRDefault="00766FD1" w:rsidP="00766FD1">
            <w:pPr>
              <w:spacing w:after="0" w:line="240" w:lineRule="auto"/>
              <w:jc w:val="center"/>
              <w:rPr>
                <w:szCs w:val="24"/>
              </w:rPr>
            </w:pPr>
            <w:r w:rsidRPr="00687DE8">
              <w:rPr>
                <w:szCs w:val="24"/>
              </w:rPr>
              <w:t>6262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D88A9C" w14:textId="1D136E2C" w:rsidR="2E1E8EE1" w:rsidRPr="00687DE8" w:rsidRDefault="00795719">
            <w:pPr>
              <w:spacing w:after="0"/>
              <w:jc w:val="center"/>
              <w:rPr>
                <w:color w:val="000000" w:themeColor="text1"/>
                <w:szCs w:val="24"/>
              </w:rPr>
            </w:pPr>
            <w:r>
              <w:rPr>
                <w:color w:val="000000"/>
              </w:rPr>
              <w:t>27,46</w:t>
            </w:r>
          </w:p>
        </w:tc>
      </w:tr>
      <w:tr w:rsidR="00766FD1" w:rsidRPr="00687DE8" w14:paraId="7BF23489" w14:textId="77777777" w:rsidTr="00934CCC">
        <w:trPr>
          <w:divId w:val="1316184749"/>
          <w:trHeight w:val="300"/>
        </w:trPr>
        <w:tc>
          <w:tcPr>
            <w:tcW w:w="69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9B7FD2" w14:textId="77777777" w:rsidR="00766FD1" w:rsidRPr="00687DE8" w:rsidRDefault="00766FD1" w:rsidP="00766FD1">
            <w:pPr>
              <w:spacing w:after="0" w:line="240" w:lineRule="auto"/>
              <w:rPr>
                <w:szCs w:val="24"/>
              </w:rPr>
            </w:pPr>
            <w:r w:rsidRPr="00687DE8">
              <w:rPr>
                <w:szCs w:val="24"/>
              </w:rPr>
              <w:t>Elektroentsefalograafia (kestusega kuni üks tund)</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A837D86" w14:textId="77777777" w:rsidR="00766FD1" w:rsidRPr="00687DE8" w:rsidRDefault="00766FD1" w:rsidP="00766FD1">
            <w:pPr>
              <w:spacing w:after="0" w:line="240" w:lineRule="auto"/>
              <w:jc w:val="center"/>
              <w:rPr>
                <w:szCs w:val="24"/>
              </w:rPr>
            </w:pPr>
            <w:r w:rsidRPr="00687DE8">
              <w:rPr>
                <w:szCs w:val="24"/>
              </w:rPr>
              <w:t>6263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6A1434" w14:textId="0D7660C9" w:rsidR="2E1E8EE1" w:rsidRPr="00687DE8" w:rsidRDefault="00795719">
            <w:pPr>
              <w:spacing w:after="0"/>
              <w:jc w:val="center"/>
              <w:rPr>
                <w:color w:val="000000" w:themeColor="text1"/>
                <w:szCs w:val="24"/>
              </w:rPr>
            </w:pPr>
            <w:r>
              <w:rPr>
                <w:color w:val="000000"/>
              </w:rPr>
              <w:t>78,63</w:t>
            </w:r>
          </w:p>
        </w:tc>
      </w:tr>
      <w:tr w:rsidR="00766FD1" w:rsidRPr="00687DE8" w14:paraId="110D59C5" w14:textId="77777777" w:rsidTr="00934CCC">
        <w:trPr>
          <w:divId w:val="1316184749"/>
          <w:trHeight w:val="300"/>
        </w:trPr>
        <w:tc>
          <w:tcPr>
            <w:tcW w:w="69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D663F5" w14:textId="77777777" w:rsidR="00766FD1" w:rsidRPr="00687DE8" w:rsidRDefault="00766FD1" w:rsidP="00766FD1">
            <w:pPr>
              <w:spacing w:after="0" w:line="240" w:lineRule="auto"/>
              <w:rPr>
                <w:szCs w:val="24"/>
              </w:rPr>
            </w:pPr>
            <w:r w:rsidRPr="00687DE8">
              <w:rPr>
                <w:szCs w:val="24"/>
              </w:rPr>
              <w:t>Elektroentsefalograafia (kestusega üle ühe tunni)</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CC56EF7" w14:textId="77777777" w:rsidR="00766FD1" w:rsidRPr="00687DE8" w:rsidRDefault="00766FD1" w:rsidP="00766FD1">
            <w:pPr>
              <w:spacing w:after="0" w:line="240" w:lineRule="auto"/>
              <w:jc w:val="center"/>
              <w:rPr>
                <w:szCs w:val="24"/>
              </w:rPr>
            </w:pPr>
            <w:r w:rsidRPr="00687DE8">
              <w:rPr>
                <w:szCs w:val="24"/>
              </w:rPr>
              <w:t>6264</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92FFC7" w14:textId="116BA77C" w:rsidR="2E1E8EE1" w:rsidRPr="00687DE8" w:rsidRDefault="00795719">
            <w:pPr>
              <w:spacing w:after="0"/>
              <w:jc w:val="center"/>
              <w:rPr>
                <w:color w:val="000000" w:themeColor="text1"/>
                <w:szCs w:val="24"/>
              </w:rPr>
            </w:pPr>
            <w:r>
              <w:rPr>
                <w:color w:val="000000"/>
              </w:rPr>
              <w:t>127,73</w:t>
            </w:r>
          </w:p>
        </w:tc>
      </w:tr>
      <w:tr w:rsidR="00766FD1" w:rsidRPr="00687DE8" w14:paraId="4DCB990F" w14:textId="77777777" w:rsidTr="00934CCC">
        <w:trPr>
          <w:divId w:val="1316184749"/>
          <w:trHeight w:val="300"/>
        </w:trPr>
        <w:tc>
          <w:tcPr>
            <w:tcW w:w="69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399F80" w14:textId="77777777" w:rsidR="00766FD1" w:rsidRPr="00687DE8" w:rsidRDefault="00766FD1" w:rsidP="00766FD1">
            <w:pPr>
              <w:spacing w:after="0" w:line="240" w:lineRule="auto"/>
              <w:rPr>
                <w:szCs w:val="24"/>
              </w:rPr>
            </w:pPr>
            <w:r w:rsidRPr="00687DE8">
              <w:rPr>
                <w:szCs w:val="24"/>
              </w:rPr>
              <w:t>Operatsiooniaegne neurofüsioloogiline monitooring</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5A8CF88" w14:textId="77777777" w:rsidR="00766FD1" w:rsidRPr="00687DE8" w:rsidRDefault="00766FD1" w:rsidP="00766FD1">
            <w:pPr>
              <w:spacing w:after="0" w:line="240" w:lineRule="auto"/>
              <w:jc w:val="center"/>
              <w:rPr>
                <w:szCs w:val="24"/>
              </w:rPr>
            </w:pPr>
            <w:r w:rsidRPr="00687DE8">
              <w:rPr>
                <w:szCs w:val="24"/>
              </w:rPr>
              <w:t>6265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8E610A" w14:textId="6A04F6D1" w:rsidR="2E1E8EE1" w:rsidRPr="00687DE8" w:rsidRDefault="00795719">
            <w:pPr>
              <w:spacing w:after="0"/>
              <w:jc w:val="center"/>
              <w:rPr>
                <w:color w:val="000000" w:themeColor="text1"/>
                <w:szCs w:val="24"/>
              </w:rPr>
            </w:pPr>
            <w:r>
              <w:rPr>
                <w:color w:val="000000"/>
              </w:rPr>
              <w:t>675,91</w:t>
            </w:r>
          </w:p>
        </w:tc>
      </w:tr>
      <w:tr w:rsidR="00766FD1" w:rsidRPr="00687DE8" w14:paraId="23429C65" w14:textId="77777777" w:rsidTr="00934CCC">
        <w:trPr>
          <w:divId w:val="1316184749"/>
          <w:trHeight w:val="300"/>
        </w:trPr>
        <w:tc>
          <w:tcPr>
            <w:tcW w:w="69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BBB7A8" w14:textId="77777777" w:rsidR="00766FD1" w:rsidRPr="00687DE8" w:rsidRDefault="00766FD1" w:rsidP="00766FD1">
            <w:pPr>
              <w:spacing w:after="0" w:line="240" w:lineRule="auto"/>
              <w:rPr>
                <w:szCs w:val="24"/>
              </w:rPr>
            </w:pPr>
            <w:r w:rsidRPr="00687DE8">
              <w:rPr>
                <w:szCs w:val="24"/>
              </w:rPr>
              <w:t>Esilekutsutud potentsiaalide (auditoorsed, visuaalsed, somatosensoorsed, motoorsed) uuring</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A816E64" w14:textId="77777777" w:rsidR="00766FD1" w:rsidRPr="00687DE8" w:rsidRDefault="00766FD1" w:rsidP="00766FD1">
            <w:pPr>
              <w:spacing w:after="0" w:line="240" w:lineRule="auto"/>
              <w:jc w:val="center"/>
              <w:rPr>
                <w:szCs w:val="24"/>
              </w:rPr>
            </w:pPr>
            <w:r w:rsidRPr="00687DE8">
              <w:rPr>
                <w:szCs w:val="24"/>
              </w:rPr>
              <w:t>6266</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A1A647" w14:textId="5B7DA7A9" w:rsidR="2E1E8EE1" w:rsidRPr="00687DE8" w:rsidRDefault="00795719">
            <w:pPr>
              <w:spacing w:after="0"/>
              <w:jc w:val="center"/>
              <w:rPr>
                <w:color w:val="000000" w:themeColor="text1"/>
                <w:szCs w:val="24"/>
              </w:rPr>
            </w:pPr>
            <w:r>
              <w:rPr>
                <w:color w:val="000000"/>
              </w:rPr>
              <w:t>109,35</w:t>
            </w:r>
          </w:p>
        </w:tc>
      </w:tr>
      <w:tr w:rsidR="00766FD1" w:rsidRPr="00687DE8" w14:paraId="47C5BEDD" w14:textId="77777777" w:rsidTr="00934CCC">
        <w:trPr>
          <w:divId w:val="1316184749"/>
          <w:trHeight w:val="300"/>
        </w:trPr>
        <w:tc>
          <w:tcPr>
            <w:tcW w:w="69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76883C" w14:textId="77777777" w:rsidR="00766FD1" w:rsidRPr="00687DE8" w:rsidRDefault="00766FD1" w:rsidP="00766FD1">
            <w:pPr>
              <w:spacing w:after="0" w:line="240" w:lineRule="auto"/>
              <w:rPr>
                <w:szCs w:val="24"/>
              </w:rPr>
            </w:pPr>
            <w:r w:rsidRPr="00687DE8">
              <w:rPr>
                <w:szCs w:val="24"/>
              </w:rPr>
              <w:t>Elektroneuromüograafia</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75552D1" w14:textId="77777777" w:rsidR="00766FD1" w:rsidRPr="00687DE8" w:rsidRDefault="00766FD1" w:rsidP="00766FD1">
            <w:pPr>
              <w:spacing w:after="0" w:line="240" w:lineRule="auto"/>
              <w:jc w:val="center"/>
              <w:rPr>
                <w:szCs w:val="24"/>
              </w:rPr>
            </w:pPr>
            <w:r w:rsidRPr="00687DE8">
              <w:rPr>
                <w:szCs w:val="24"/>
              </w:rPr>
              <w:t>6267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CE2696" w14:textId="7E95E245" w:rsidR="2E1E8EE1" w:rsidRPr="00687DE8" w:rsidRDefault="00795719">
            <w:pPr>
              <w:spacing w:after="0"/>
              <w:jc w:val="center"/>
              <w:rPr>
                <w:color w:val="000000" w:themeColor="text1"/>
                <w:szCs w:val="24"/>
              </w:rPr>
            </w:pPr>
            <w:r>
              <w:rPr>
                <w:color w:val="000000"/>
              </w:rPr>
              <w:t>140,88</w:t>
            </w:r>
          </w:p>
        </w:tc>
      </w:tr>
      <w:tr w:rsidR="00766FD1" w:rsidRPr="00687DE8" w14:paraId="029626E9" w14:textId="77777777" w:rsidTr="00934CCC">
        <w:trPr>
          <w:divId w:val="1316184749"/>
          <w:trHeight w:val="300"/>
        </w:trPr>
        <w:tc>
          <w:tcPr>
            <w:tcW w:w="69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3805C5" w14:textId="77777777" w:rsidR="00766FD1" w:rsidRPr="00687DE8" w:rsidRDefault="00766FD1" w:rsidP="00766FD1">
            <w:pPr>
              <w:spacing w:after="0" w:line="240" w:lineRule="auto"/>
              <w:rPr>
                <w:szCs w:val="24"/>
              </w:rPr>
            </w:pPr>
            <w:r w:rsidRPr="00687DE8">
              <w:rPr>
                <w:szCs w:val="24"/>
              </w:rPr>
              <w:t>Elektroneurograafia</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842161A" w14:textId="77777777" w:rsidR="00766FD1" w:rsidRPr="00687DE8" w:rsidRDefault="00766FD1" w:rsidP="00766FD1">
            <w:pPr>
              <w:spacing w:after="0" w:line="240" w:lineRule="auto"/>
              <w:jc w:val="center"/>
              <w:rPr>
                <w:szCs w:val="24"/>
              </w:rPr>
            </w:pPr>
            <w:r w:rsidRPr="00687DE8">
              <w:rPr>
                <w:szCs w:val="24"/>
              </w:rPr>
              <w:t>6268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71899C" w14:textId="57167623" w:rsidR="2E1E8EE1" w:rsidRPr="00687DE8" w:rsidRDefault="00795719">
            <w:pPr>
              <w:spacing w:after="0"/>
              <w:jc w:val="center"/>
              <w:rPr>
                <w:color w:val="000000" w:themeColor="text1"/>
                <w:szCs w:val="24"/>
              </w:rPr>
            </w:pPr>
            <w:r>
              <w:rPr>
                <w:color w:val="000000"/>
              </w:rPr>
              <w:t>91,10</w:t>
            </w:r>
          </w:p>
        </w:tc>
      </w:tr>
      <w:tr w:rsidR="00766FD1" w:rsidRPr="00687DE8" w14:paraId="69A5447B" w14:textId="77777777" w:rsidTr="00934CCC">
        <w:trPr>
          <w:divId w:val="1316184749"/>
          <w:trHeight w:val="300"/>
        </w:trPr>
        <w:tc>
          <w:tcPr>
            <w:tcW w:w="69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5F7676" w14:textId="77777777" w:rsidR="00766FD1" w:rsidRPr="00687DE8" w:rsidRDefault="00766FD1" w:rsidP="00766FD1">
            <w:pPr>
              <w:spacing w:after="0" w:line="240" w:lineRule="auto"/>
              <w:rPr>
                <w:szCs w:val="24"/>
              </w:rPr>
            </w:pPr>
            <w:r w:rsidRPr="00687DE8">
              <w:rPr>
                <w:szCs w:val="24"/>
              </w:rPr>
              <w:t>Üksikkiu elektroneuromüograafia</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A506117" w14:textId="77777777" w:rsidR="00766FD1" w:rsidRPr="00687DE8" w:rsidRDefault="00766FD1" w:rsidP="00766FD1">
            <w:pPr>
              <w:spacing w:after="0" w:line="240" w:lineRule="auto"/>
              <w:jc w:val="center"/>
              <w:rPr>
                <w:szCs w:val="24"/>
              </w:rPr>
            </w:pPr>
            <w:r w:rsidRPr="00687DE8">
              <w:rPr>
                <w:szCs w:val="24"/>
              </w:rPr>
              <w:t>6269</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267BD1" w14:textId="13BF0D56" w:rsidR="2E1E8EE1" w:rsidRPr="00687DE8" w:rsidRDefault="00795719">
            <w:pPr>
              <w:spacing w:after="0"/>
              <w:jc w:val="center"/>
              <w:rPr>
                <w:color w:val="000000" w:themeColor="text1"/>
                <w:szCs w:val="24"/>
              </w:rPr>
            </w:pPr>
            <w:r>
              <w:rPr>
                <w:color w:val="000000"/>
              </w:rPr>
              <w:t>114,48</w:t>
            </w:r>
          </w:p>
        </w:tc>
      </w:tr>
      <w:tr w:rsidR="00766FD1" w:rsidRPr="00687DE8" w14:paraId="1CB7109E" w14:textId="77777777" w:rsidTr="00934CCC">
        <w:trPr>
          <w:divId w:val="1316184749"/>
          <w:trHeight w:val="300"/>
        </w:trPr>
        <w:tc>
          <w:tcPr>
            <w:tcW w:w="69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41225E" w14:textId="77777777" w:rsidR="00766FD1" w:rsidRPr="00687DE8" w:rsidRDefault="00766FD1" w:rsidP="00766FD1">
            <w:pPr>
              <w:spacing w:after="0" w:line="240" w:lineRule="auto"/>
              <w:rPr>
                <w:szCs w:val="24"/>
              </w:rPr>
            </w:pPr>
            <w:r w:rsidRPr="00687DE8">
              <w:rPr>
                <w:szCs w:val="24"/>
              </w:rPr>
              <w:t>Kvantitatiivne sensoorne testimine (KST)</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1D0110B" w14:textId="77777777" w:rsidR="00766FD1" w:rsidRPr="00687DE8" w:rsidRDefault="00766FD1" w:rsidP="00766FD1">
            <w:pPr>
              <w:spacing w:after="0" w:line="240" w:lineRule="auto"/>
              <w:jc w:val="center"/>
              <w:rPr>
                <w:szCs w:val="24"/>
              </w:rPr>
            </w:pPr>
            <w:r w:rsidRPr="00687DE8">
              <w:rPr>
                <w:szCs w:val="24"/>
              </w:rPr>
              <w:t>6270</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3CA887" w14:textId="236F4FF2" w:rsidR="2E1E8EE1" w:rsidRPr="00687DE8" w:rsidRDefault="00795719">
            <w:pPr>
              <w:spacing w:after="0"/>
              <w:jc w:val="center"/>
              <w:rPr>
                <w:color w:val="000000" w:themeColor="text1"/>
                <w:szCs w:val="24"/>
              </w:rPr>
            </w:pPr>
            <w:r>
              <w:rPr>
                <w:color w:val="000000"/>
              </w:rPr>
              <w:t>121,69</w:t>
            </w:r>
          </w:p>
        </w:tc>
      </w:tr>
      <w:tr w:rsidR="00766FD1" w:rsidRPr="00687DE8" w14:paraId="0C1E5C92" w14:textId="77777777" w:rsidTr="00934CCC">
        <w:trPr>
          <w:divId w:val="1316184749"/>
          <w:trHeight w:val="300"/>
        </w:trPr>
        <w:tc>
          <w:tcPr>
            <w:tcW w:w="69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053B71" w14:textId="77777777" w:rsidR="00766FD1" w:rsidRPr="00687DE8" w:rsidRDefault="00766FD1" w:rsidP="00766FD1">
            <w:pPr>
              <w:spacing w:after="0" w:line="240" w:lineRule="auto"/>
              <w:rPr>
                <w:szCs w:val="24"/>
              </w:rPr>
            </w:pPr>
            <w:r w:rsidRPr="00687DE8">
              <w:rPr>
                <w:szCs w:val="24"/>
              </w:rPr>
              <w:t>Elektroentsefalograafia-videotelemeetria (VTM) ööpäevaringne uuring epilepsia diagnostikaks (üks ööpäev)</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1C620D1" w14:textId="77777777" w:rsidR="00766FD1" w:rsidRPr="00687DE8" w:rsidRDefault="00766FD1" w:rsidP="00766FD1">
            <w:pPr>
              <w:spacing w:after="0" w:line="240" w:lineRule="auto"/>
              <w:jc w:val="center"/>
              <w:rPr>
                <w:szCs w:val="24"/>
              </w:rPr>
            </w:pPr>
            <w:r w:rsidRPr="00687DE8">
              <w:rPr>
                <w:szCs w:val="24"/>
              </w:rPr>
              <w:t>6257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A8E2C9" w14:textId="005AB722" w:rsidR="2E1E8EE1" w:rsidRPr="00687DE8" w:rsidRDefault="00795719">
            <w:pPr>
              <w:spacing w:after="0"/>
              <w:jc w:val="center"/>
              <w:rPr>
                <w:color w:val="000000" w:themeColor="text1"/>
                <w:szCs w:val="24"/>
              </w:rPr>
            </w:pPr>
            <w:r>
              <w:rPr>
                <w:color w:val="000000"/>
              </w:rPr>
              <w:t>1 172,17</w:t>
            </w:r>
          </w:p>
        </w:tc>
      </w:tr>
      <w:tr w:rsidR="00766FD1" w:rsidRPr="00687DE8" w14:paraId="7E98BC2F" w14:textId="77777777" w:rsidTr="00934CCC">
        <w:trPr>
          <w:divId w:val="1316184749"/>
          <w:trHeight w:val="550"/>
        </w:trPr>
        <w:tc>
          <w:tcPr>
            <w:tcW w:w="69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D20B9C" w14:textId="77777777" w:rsidR="00766FD1" w:rsidRPr="00687DE8" w:rsidRDefault="00766FD1" w:rsidP="00766FD1">
            <w:pPr>
              <w:spacing w:after="0" w:line="240" w:lineRule="auto"/>
              <w:rPr>
                <w:szCs w:val="24"/>
              </w:rPr>
            </w:pPr>
            <w:r w:rsidRPr="00687DE8">
              <w:rPr>
                <w:szCs w:val="24"/>
              </w:rPr>
              <w:t>Elektroentsefalograafia-videotelemeetria (VTM) ambulatoorne uuring epilepsia diagnostikaks</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C14067C" w14:textId="77777777" w:rsidR="00766FD1" w:rsidRPr="00687DE8" w:rsidRDefault="00766FD1" w:rsidP="00766FD1">
            <w:pPr>
              <w:spacing w:after="0" w:line="240" w:lineRule="auto"/>
              <w:jc w:val="center"/>
              <w:rPr>
                <w:szCs w:val="24"/>
              </w:rPr>
            </w:pPr>
            <w:r w:rsidRPr="00687DE8">
              <w:rPr>
                <w:szCs w:val="24"/>
              </w:rPr>
              <w:t>6259</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338339" w14:textId="33303A04" w:rsidR="2E1E8EE1" w:rsidRPr="00687DE8" w:rsidRDefault="00795719">
            <w:pPr>
              <w:spacing w:after="0"/>
              <w:jc w:val="center"/>
              <w:rPr>
                <w:color w:val="000000" w:themeColor="text1"/>
                <w:szCs w:val="24"/>
              </w:rPr>
            </w:pPr>
            <w:r>
              <w:rPr>
                <w:color w:val="000000"/>
              </w:rPr>
              <w:t>379,77</w:t>
            </w:r>
          </w:p>
        </w:tc>
      </w:tr>
    </w:tbl>
    <w:p w14:paraId="44785913" w14:textId="77777777" w:rsidR="00976487" w:rsidRPr="00687DE8" w:rsidRDefault="00976487" w:rsidP="00976487">
      <w:pPr>
        <w:spacing w:after="0" w:line="240" w:lineRule="auto"/>
        <w:jc w:val="both"/>
        <w:divId w:val="1316184749"/>
        <w:rPr>
          <w:szCs w:val="24"/>
        </w:rPr>
      </w:pPr>
    </w:p>
    <w:p w14:paraId="57FE0D6F" w14:textId="2C695EB2" w:rsidR="00976487" w:rsidRPr="00687DE8" w:rsidRDefault="00976487" w:rsidP="00976487">
      <w:pPr>
        <w:spacing w:after="0" w:line="240" w:lineRule="auto"/>
        <w:jc w:val="both"/>
        <w:divId w:val="1316184749"/>
        <w:rPr>
          <w:szCs w:val="24"/>
        </w:rPr>
      </w:pPr>
      <w:r w:rsidRPr="00687DE8">
        <w:rPr>
          <w:szCs w:val="24"/>
        </w:rPr>
        <w:lastRenderedPageBreak/>
        <w:t xml:space="preserve">(2) </w:t>
      </w:r>
      <w:r w:rsidR="005023FD" w:rsidRPr="00687DE8">
        <w:rPr>
          <w:szCs w:val="24"/>
        </w:rPr>
        <w:t>Tervisekassa</w:t>
      </w:r>
      <w:r w:rsidRPr="00687DE8">
        <w:rPr>
          <w:szCs w:val="24"/>
        </w:rPr>
        <w:t xml:space="preserve"> võtab koodiga 6260 (rakendatakse koos koodiga 235R) tähistatud tervishoiuteenuse eest tasu maksmise kohustuse üle järgmistel näidustustel: lokaalsed düstooniad, spastilisus või krooniline migreen. Tervishoiuteenuse piirhind sisaldab ka eriarsti vastuvõttu (kood 3002 või 3004).</w:t>
      </w:r>
    </w:p>
    <w:p w14:paraId="48564BDE" w14:textId="77777777" w:rsidR="00976487" w:rsidRPr="00687DE8" w:rsidRDefault="00976487" w:rsidP="00976487">
      <w:pPr>
        <w:spacing w:after="0" w:line="240" w:lineRule="auto"/>
        <w:jc w:val="both"/>
        <w:divId w:val="1316184749"/>
        <w:rPr>
          <w:szCs w:val="24"/>
        </w:rPr>
      </w:pPr>
    </w:p>
    <w:p w14:paraId="31A956BF" w14:textId="213BA5A4"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koodidega 6263 ja 6264 tähistatud tervishoiuteenuste eest tasu maksmise kohustuse üle juhul, kui uuring on tehtud entsefalograafiga.</w:t>
      </w:r>
    </w:p>
    <w:p w14:paraId="4871A1B9" w14:textId="77777777" w:rsidR="00976487" w:rsidRPr="00687DE8" w:rsidRDefault="00976487" w:rsidP="00976487">
      <w:pPr>
        <w:spacing w:after="0" w:line="240" w:lineRule="auto"/>
        <w:jc w:val="both"/>
        <w:divId w:val="1316184749"/>
        <w:rPr>
          <w:szCs w:val="24"/>
        </w:rPr>
      </w:pPr>
    </w:p>
    <w:p w14:paraId="4A5602DC" w14:textId="77777777" w:rsidR="00976487" w:rsidRPr="00687DE8" w:rsidRDefault="00976487" w:rsidP="00976487">
      <w:pPr>
        <w:spacing w:after="0" w:line="240" w:lineRule="auto"/>
        <w:jc w:val="both"/>
        <w:divId w:val="1316184749"/>
        <w:rPr>
          <w:i/>
          <w:iCs/>
          <w:color w:val="202020"/>
          <w:szCs w:val="24"/>
          <w:shd w:val="clear" w:color="auto" w:fill="FFFFFF"/>
          <w:lang w:val="sv-SE"/>
        </w:rPr>
      </w:pPr>
      <w:r w:rsidRPr="00687DE8">
        <w:rPr>
          <w:szCs w:val="24"/>
        </w:rPr>
        <w:t>(4) Koodiga 6261 tähistatud tervishoiuteenust ei rakendata koodiga 7742 tähistatud tervishoiuteenuse kasutamisel.</w:t>
      </w:r>
    </w:p>
    <w:p w14:paraId="60B884CA" w14:textId="77777777" w:rsidR="00976487" w:rsidRPr="00687DE8" w:rsidRDefault="00976487" w:rsidP="00976487">
      <w:pPr>
        <w:spacing w:after="0" w:line="240" w:lineRule="auto"/>
        <w:jc w:val="both"/>
        <w:divId w:val="1316184749"/>
        <w:rPr>
          <w:i/>
          <w:iCs/>
          <w:color w:val="202020"/>
          <w:szCs w:val="24"/>
          <w:shd w:val="clear" w:color="auto" w:fill="FFFFFF"/>
          <w:lang w:val="sv-SE"/>
        </w:rPr>
      </w:pPr>
    </w:p>
    <w:p w14:paraId="21CB358B" w14:textId="77777777" w:rsidR="00976487" w:rsidRPr="00687DE8" w:rsidRDefault="00976487" w:rsidP="00976487">
      <w:pPr>
        <w:spacing w:after="0" w:line="240" w:lineRule="auto"/>
        <w:jc w:val="both"/>
        <w:divId w:val="1316184749"/>
        <w:rPr>
          <w:szCs w:val="24"/>
        </w:rPr>
      </w:pPr>
      <w:r w:rsidRPr="00687DE8">
        <w:rPr>
          <w:color w:val="202020"/>
          <w:szCs w:val="24"/>
          <w:shd w:val="clear" w:color="auto" w:fill="FFFFFF"/>
          <w:lang w:val="sv-SE"/>
        </w:rPr>
        <w:t>(5) Koodiga 6261 tähistatud tervishoiuteenuse piirhind sisaldab liikvorirõhu mõõtmiseks vajalike tarvikute kulu.</w:t>
      </w:r>
    </w:p>
    <w:p w14:paraId="0BD1C827" w14:textId="77777777" w:rsidR="00976487" w:rsidRPr="00687DE8" w:rsidRDefault="00976487" w:rsidP="00976487">
      <w:pPr>
        <w:spacing w:after="0" w:line="240" w:lineRule="auto"/>
        <w:jc w:val="both"/>
        <w:divId w:val="1316184749"/>
        <w:rPr>
          <w:szCs w:val="24"/>
        </w:rPr>
      </w:pPr>
    </w:p>
    <w:p w14:paraId="09F82B8E" w14:textId="3F0ADD41" w:rsidR="00976487" w:rsidRPr="00687DE8" w:rsidRDefault="00976487" w:rsidP="00976487">
      <w:pPr>
        <w:spacing w:after="0" w:line="240" w:lineRule="auto"/>
        <w:jc w:val="both"/>
        <w:divId w:val="1316184749"/>
        <w:rPr>
          <w:szCs w:val="24"/>
        </w:rPr>
      </w:pPr>
      <w:r w:rsidRPr="00687DE8">
        <w:rPr>
          <w:szCs w:val="24"/>
        </w:rPr>
        <w:t xml:space="preserve">(6) </w:t>
      </w:r>
      <w:r w:rsidR="005023FD" w:rsidRPr="00687DE8">
        <w:rPr>
          <w:szCs w:val="24"/>
        </w:rPr>
        <w:t>Tervisekassa</w:t>
      </w:r>
      <w:r w:rsidRPr="00687DE8">
        <w:rPr>
          <w:szCs w:val="24"/>
        </w:rPr>
        <w:t xml:space="preserve"> võtab koodiga 6264 tähistatud tervishoiuteenuse eest tasu maksmise kohustuse üle järgmistel juhtudel:</w:t>
      </w:r>
    </w:p>
    <w:p w14:paraId="10ABA095" w14:textId="77777777" w:rsidR="00976487" w:rsidRPr="00687DE8" w:rsidRDefault="00976487" w:rsidP="00976487">
      <w:pPr>
        <w:spacing w:after="0" w:line="240" w:lineRule="auto"/>
        <w:jc w:val="both"/>
        <w:divId w:val="1316184749"/>
        <w:rPr>
          <w:szCs w:val="24"/>
        </w:rPr>
      </w:pPr>
      <w:r w:rsidRPr="00687DE8">
        <w:rPr>
          <w:szCs w:val="24"/>
        </w:rPr>
        <w:t xml:space="preserve">1) kuni </w:t>
      </w:r>
      <w:r w:rsidR="00072C2C" w:rsidRPr="00687DE8">
        <w:rPr>
          <w:szCs w:val="24"/>
        </w:rPr>
        <w:t>kolme</w:t>
      </w:r>
      <w:r w:rsidRPr="00687DE8">
        <w:rPr>
          <w:szCs w:val="24"/>
        </w:rPr>
        <w:t>aastase (</w:t>
      </w:r>
      <w:r w:rsidR="00A40861" w:rsidRPr="00687DE8">
        <w:rPr>
          <w:szCs w:val="24"/>
        </w:rPr>
        <w:t>kaasa arvatud</w:t>
      </w:r>
      <w:r w:rsidRPr="00687DE8">
        <w:rPr>
          <w:szCs w:val="24"/>
        </w:rPr>
        <w:t>) lapse EEG uuring;</w:t>
      </w:r>
    </w:p>
    <w:p w14:paraId="233C3E3C" w14:textId="77777777" w:rsidR="00976487" w:rsidRPr="00687DE8" w:rsidRDefault="00976487" w:rsidP="00976487">
      <w:pPr>
        <w:spacing w:after="0" w:line="240" w:lineRule="auto"/>
        <w:jc w:val="both"/>
        <w:divId w:val="1316184749"/>
        <w:rPr>
          <w:szCs w:val="24"/>
        </w:rPr>
      </w:pPr>
      <w:r w:rsidRPr="00687DE8">
        <w:rPr>
          <w:szCs w:val="24"/>
        </w:rPr>
        <w:t>2) intensiivravis tehtud EEG uuring;</w:t>
      </w:r>
    </w:p>
    <w:p w14:paraId="592C4FEC" w14:textId="77777777" w:rsidR="00976487" w:rsidRPr="00687DE8" w:rsidRDefault="00976487" w:rsidP="00976487">
      <w:pPr>
        <w:spacing w:after="0" w:line="240" w:lineRule="auto"/>
        <w:jc w:val="both"/>
        <w:divId w:val="1316184749"/>
        <w:rPr>
          <w:szCs w:val="24"/>
        </w:rPr>
      </w:pPr>
      <w:r w:rsidRPr="00687DE8">
        <w:rPr>
          <w:szCs w:val="24"/>
        </w:rPr>
        <w:t>3) EEG uuring ajusurma tuvastamiseks;</w:t>
      </w:r>
    </w:p>
    <w:p w14:paraId="1402FF8E" w14:textId="77777777" w:rsidR="00976487" w:rsidRPr="00687DE8" w:rsidRDefault="00976487" w:rsidP="00976487">
      <w:pPr>
        <w:spacing w:after="0" w:line="240" w:lineRule="auto"/>
        <w:jc w:val="both"/>
        <w:divId w:val="1316184749"/>
        <w:rPr>
          <w:szCs w:val="24"/>
        </w:rPr>
      </w:pPr>
      <w:r w:rsidRPr="00687DE8">
        <w:rPr>
          <w:szCs w:val="24"/>
        </w:rPr>
        <w:t>4) EEG kvantitatiivanalüüs;</w:t>
      </w:r>
    </w:p>
    <w:p w14:paraId="5212B6DD" w14:textId="77777777" w:rsidR="00976487" w:rsidRPr="00687DE8" w:rsidRDefault="00976487" w:rsidP="00976487">
      <w:pPr>
        <w:spacing w:after="0" w:line="240" w:lineRule="auto"/>
        <w:jc w:val="both"/>
        <w:divId w:val="1316184749"/>
        <w:rPr>
          <w:szCs w:val="24"/>
        </w:rPr>
      </w:pPr>
      <w:r w:rsidRPr="00687DE8">
        <w:rPr>
          <w:szCs w:val="24"/>
        </w:rPr>
        <w:t>5) une-EEG uuring.</w:t>
      </w:r>
    </w:p>
    <w:p w14:paraId="32FE12AE" w14:textId="77777777" w:rsidR="00976487" w:rsidRPr="00687DE8" w:rsidRDefault="00976487" w:rsidP="00976487">
      <w:pPr>
        <w:spacing w:after="0" w:line="240" w:lineRule="auto"/>
        <w:jc w:val="both"/>
        <w:divId w:val="1316184749"/>
        <w:rPr>
          <w:szCs w:val="24"/>
        </w:rPr>
      </w:pPr>
    </w:p>
    <w:p w14:paraId="581F613F" w14:textId="337C1EAD" w:rsidR="00976487" w:rsidRPr="00687DE8" w:rsidRDefault="00976487" w:rsidP="00976487">
      <w:pPr>
        <w:spacing w:after="0" w:line="240" w:lineRule="auto"/>
        <w:jc w:val="both"/>
        <w:divId w:val="1316184749"/>
        <w:rPr>
          <w:szCs w:val="24"/>
        </w:rPr>
      </w:pPr>
      <w:r w:rsidRPr="00687DE8">
        <w:rPr>
          <w:szCs w:val="24"/>
        </w:rPr>
        <w:t xml:space="preserve">(7) Koodiga 6265 tähistatud tervishoiuteenuse piirhind sisaldab ka elektrokortikograafia uuringu kulusid. </w:t>
      </w:r>
      <w:r w:rsidR="005023FD" w:rsidRPr="00687DE8">
        <w:rPr>
          <w:szCs w:val="24"/>
        </w:rPr>
        <w:t>Tervisekassa</w:t>
      </w:r>
      <w:r w:rsidRPr="00687DE8">
        <w:rPr>
          <w:szCs w:val="24"/>
        </w:rPr>
        <w:t xml:space="preserve"> võtab koodiga 6265 tähistatud tervishoiuteenuse eest tasu maksmise kohustuse üle juhul, kui uuring on tehtud intraoperatiivse monitooringu (IOM) aparatuuriga järgmistel juhtudel:</w:t>
      </w:r>
    </w:p>
    <w:p w14:paraId="46E28507" w14:textId="77777777" w:rsidR="00976487" w:rsidRPr="00687DE8" w:rsidRDefault="00976487" w:rsidP="00976487">
      <w:pPr>
        <w:spacing w:after="0" w:line="240" w:lineRule="auto"/>
        <w:jc w:val="both"/>
        <w:divId w:val="1316184749"/>
        <w:rPr>
          <w:szCs w:val="24"/>
        </w:rPr>
      </w:pPr>
      <w:r w:rsidRPr="00687DE8">
        <w:rPr>
          <w:szCs w:val="24"/>
        </w:rPr>
        <w:t>1) ortopeedilised lülisamba korrektsioonoperatsioonid;</w:t>
      </w:r>
    </w:p>
    <w:p w14:paraId="7B1640E5" w14:textId="77777777" w:rsidR="00976487" w:rsidRPr="00687DE8" w:rsidRDefault="00976487" w:rsidP="00976487">
      <w:pPr>
        <w:spacing w:after="0" w:line="240" w:lineRule="auto"/>
        <w:jc w:val="both"/>
        <w:divId w:val="1316184749"/>
        <w:rPr>
          <w:szCs w:val="24"/>
        </w:rPr>
      </w:pPr>
      <w:r w:rsidRPr="00687DE8">
        <w:rPr>
          <w:szCs w:val="24"/>
        </w:rPr>
        <w:t>2) neurokirurgilised operatsioonid;</w:t>
      </w:r>
    </w:p>
    <w:p w14:paraId="1FC48BDA" w14:textId="77777777" w:rsidR="00976487" w:rsidRPr="00687DE8" w:rsidRDefault="00976487" w:rsidP="00976487">
      <w:pPr>
        <w:spacing w:after="0" w:line="240" w:lineRule="auto"/>
        <w:jc w:val="both"/>
        <w:divId w:val="1316184749"/>
        <w:rPr>
          <w:szCs w:val="24"/>
        </w:rPr>
      </w:pPr>
      <w:r w:rsidRPr="00687DE8">
        <w:rPr>
          <w:szCs w:val="24"/>
        </w:rPr>
        <w:t>3) torakoabdominaalse aordi aneurüsmi resektsioon.</w:t>
      </w:r>
    </w:p>
    <w:p w14:paraId="5235EB02" w14:textId="77777777" w:rsidR="00976487" w:rsidRPr="00687DE8" w:rsidRDefault="00976487" w:rsidP="00976487">
      <w:pPr>
        <w:spacing w:after="0" w:line="240" w:lineRule="auto"/>
        <w:jc w:val="both"/>
        <w:divId w:val="1316184749"/>
        <w:rPr>
          <w:szCs w:val="24"/>
        </w:rPr>
      </w:pPr>
    </w:p>
    <w:p w14:paraId="79858A22" w14:textId="77777777" w:rsidR="00976487" w:rsidRPr="00687DE8" w:rsidRDefault="00976487" w:rsidP="00976487">
      <w:pPr>
        <w:spacing w:after="0" w:line="240" w:lineRule="auto"/>
        <w:jc w:val="both"/>
        <w:divId w:val="1316184749"/>
        <w:rPr>
          <w:szCs w:val="24"/>
        </w:rPr>
      </w:pPr>
      <w:r w:rsidRPr="00687DE8">
        <w:rPr>
          <w:szCs w:val="24"/>
        </w:rPr>
        <w:t>(8) Koodiga 6265 tähistatud tervishoiuteenust rakendatakse üks kord operatsiooni kohta.</w:t>
      </w:r>
    </w:p>
    <w:p w14:paraId="13113576" w14:textId="77777777" w:rsidR="00976487" w:rsidRPr="00687DE8" w:rsidRDefault="00976487" w:rsidP="00976487">
      <w:pPr>
        <w:spacing w:after="0" w:line="240" w:lineRule="auto"/>
        <w:jc w:val="both"/>
        <w:divId w:val="1316184749"/>
        <w:rPr>
          <w:szCs w:val="24"/>
        </w:rPr>
      </w:pPr>
    </w:p>
    <w:p w14:paraId="163CB421" w14:textId="77777777" w:rsidR="00976487" w:rsidRPr="00687DE8" w:rsidRDefault="00976487" w:rsidP="00976487">
      <w:pPr>
        <w:spacing w:after="0" w:line="240" w:lineRule="auto"/>
        <w:jc w:val="both"/>
        <w:divId w:val="1316184749"/>
        <w:rPr>
          <w:szCs w:val="24"/>
        </w:rPr>
      </w:pPr>
      <w:r w:rsidRPr="00687DE8">
        <w:rPr>
          <w:szCs w:val="24"/>
        </w:rPr>
        <w:t>(9) Koodiga 6267 tähistatud tervishoiuteenuse osutamisel botulismitoksiinravi planeerimise ja ravimi manustamise eesmärgil elektroneuromüograafi kontrolli all ei rakendata lisaks koodiga 6260 tähistatud tervishoiuteenust.</w:t>
      </w:r>
    </w:p>
    <w:p w14:paraId="31D71BAC" w14:textId="77777777" w:rsidR="00976487" w:rsidRPr="00687DE8" w:rsidRDefault="00976487" w:rsidP="00976487">
      <w:pPr>
        <w:spacing w:after="0" w:line="240" w:lineRule="auto"/>
        <w:jc w:val="both"/>
        <w:divId w:val="1316184749"/>
        <w:rPr>
          <w:szCs w:val="24"/>
        </w:rPr>
      </w:pPr>
    </w:p>
    <w:p w14:paraId="244D6C7A" w14:textId="2A4BECD6" w:rsidR="00976487" w:rsidRPr="00687DE8" w:rsidRDefault="00976487" w:rsidP="00976487">
      <w:pPr>
        <w:spacing w:after="0" w:line="240" w:lineRule="auto"/>
        <w:jc w:val="both"/>
        <w:divId w:val="1316184749"/>
        <w:rPr>
          <w:szCs w:val="24"/>
        </w:rPr>
      </w:pPr>
      <w:r w:rsidRPr="00687DE8">
        <w:rPr>
          <w:szCs w:val="24"/>
        </w:rPr>
        <w:t xml:space="preserve">(10) </w:t>
      </w:r>
      <w:r w:rsidR="005023FD" w:rsidRPr="00687DE8">
        <w:rPr>
          <w:szCs w:val="24"/>
        </w:rPr>
        <w:t>Tervisekassa</w:t>
      </w:r>
      <w:r w:rsidRPr="00687DE8">
        <w:rPr>
          <w:szCs w:val="24"/>
        </w:rPr>
        <w:t xml:space="preserve"> võtab koodidega 6267, 6268 ja 6269 tähistatud tervishoiuteenuste eest tasu maksmise kohustuse üle juhul, kui uuring on tehtud elektromüograafiga.</w:t>
      </w:r>
    </w:p>
    <w:p w14:paraId="494759BD" w14:textId="77777777" w:rsidR="00976487" w:rsidRPr="00687DE8" w:rsidRDefault="00976487" w:rsidP="00976487">
      <w:pPr>
        <w:spacing w:after="0" w:line="240" w:lineRule="auto"/>
        <w:jc w:val="both"/>
        <w:divId w:val="1316184749"/>
        <w:rPr>
          <w:szCs w:val="24"/>
        </w:rPr>
      </w:pPr>
    </w:p>
    <w:p w14:paraId="514A8432" w14:textId="3562D795" w:rsidR="00976487" w:rsidRPr="00687DE8" w:rsidRDefault="00976487" w:rsidP="00976487">
      <w:pPr>
        <w:spacing w:after="0" w:line="240" w:lineRule="auto"/>
        <w:jc w:val="both"/>
        <w:divId w:val="1316184749"/>
        <w:rPr>
          <w:szCs w:val="24"/>
        </w:rPr>
      </w:pPr>
      <w:r w:rsidRPr="00687DE8">
        <w:rPr>
          <w:szCs w:val="24"/>
        </w:rPr>
        <w:t xml:space="preserve">(11) </w:t>
      </w:r>
      <w:r w:rsidR="005023FD" w:rsidRPr="00687DE8">
        <w:rPr>
          <w:szCs w:val="24"/>
        </w:rPr>
        <w:t>Tervisekassa</w:t>
      </w:r>
      <w:r w:rsidRPr="00687DE8">
        <w:rPr>
          <w:szCs w:val="24"/>
        </w:rPr>
        <w:t xml:space="preserve"> võtab koodiga 6257 tähistatud tervishoiuteenuse eest tasu maksmise kohustuse üle ühe kindlustatud isiku kohta üks kord aastas kuni viie ööpäeva eest</w:t>
      </w:r>
      <w:r w:rsidR="00B66266" w:rsidRPr="00687DE8">
        <w:rPr>
          <w:szCs w:val="24"/>
        </w:rPr>
        <w:t>,</w:t>
      </w:r>
      <w:r w:rsidR="007129E5" w:rsidRPr="00687DE8">
        <w:rPr>
          <w:szCs w:val="24"/>
        </w:rPr>
        <w:t xml:space="preserve"> välja</w:t>
      </w:r>
      <w:r w:rsidR="006821F7" w:rsidRPr="00687DE8">
        <w:rPr>
          <w:szCs w:val="24"/>
        </w:rPr>
        <w:t xml:space="preserve"> </w:t>
      </w:r>
      <w:r w:rsidR="007129E5" w:rsidRPr="00687DE8">
        <w:rPr>
          <w:szCs w:val="24"/>
        </w:rPr>
        <w:t xml:space="preserve">arvatud </w:t>
      </w:r>
      <w:r w:rsidR="00A515A7" w:rsidRPr="00687DE8">
        <w:rPr>
          <w:szCs w:val="24"/>
        </w:rPr>
        <w:t>koodiga</w:t>
      </w:r>
      <w:r w:rsidR="007129E5" w:rsidRPr="00687DE8">
        <w:rPr>
          <w:szCs w:val="24"/>
        </w:rPr>
        <w:t xml:space="preserve"> </w:t>
      </w:r>
      <w:r w:rsidR="006C6775" w:rsidRPr="00687DE8">
        <w:rPr>
          <w:szCs w:val="24"/>
        </w:rPr>
        <w:t>1</w:t>
      </w:r>
      <w:r w:rsidR="00B3664F" w:rsidRPr="00687DE8">
        <w:rPr>
          <w:szCs w:val="24"/>
        </w:rPr>
        <w:t>A21</w:t>
      </w:r>
      <w:r w:rsidR="00D12DEA" w:rsidRPr="00687DE8">
        <w:rPr>
          <w:szCs w:val="24"/>
        </w:rPr>
        <w:t xml:space="preserve">40 </w:t>
      </w:r>
      <w:r w:rsidR="00A515A7" w:rsidRPr="00687DE8">
        <w:rPr>
          <w:szCs w:val="24"/>
        </w:rPr>
        <w:t xml:space="preserve">tähistatud tervishoiuteenuse </w:t>
      </w:r>
      <w:r w:rsidR="00D12DEA" w:rsidRPr="00687DE8">
        <w:rPr>
          <w:szCs w:val="24"/>
        </w:rPr>
        <w:t>rakendamisel</w:t>
      </w:r>
      <w:r w:rsidRPr="00687DE8">
        <w:rPr>
          <w:szCs w:val="24"/>
        </w:rPr>
        <w:t>.</w:t>
      </w:r>
    </w:p>
    <w:p w14:paraId="32BE5884" w14:textId="77777777" w:rsidR="00976487" w:rsidRPr="00687DE8" w:rsidRDefault="00976487" w:rsidP="00976487">
      <w:pPr>
        <w:spacing w:after="0" w:line="240" w:lineRule="auto"/>
        <w:jc w:val="both"/>
        <w:divId w:val="1316184749"/>
        <w:rPr>
          <w:szCs w:val="24"/>
        </w:rPr>
      </w:pPr>
    </w:p>
    <w:p w14:paraId="4B569E70" w14:textId="5DAFA574" w:rsidR="00976487" w:rsidRPr="00687DE8" w:rsidRDefault="4FFB3994" w:rsidP="00976487">
      <w:pPr>
        <w:spacing w:after="0" w:line="240" w:lineRule="auto"/>
        <w:jc w:val="both"/>
        <w:divId w:val="1316184749"/>
        <w:rPr>
          <w:szCs w:val="24"/>
        </w:rPr>
      </w:pPr>
      <w:r w:rsidRPr="00687DE8">
        <w:rPr>
          <w:szCs w:val="24"/>
        </w:rPr>
        <w:t xml:space="preserve">(12) </w:t>
      </w:r>
      <w:r w:rsidR="005023FD" w:rsidRPr="00687DE8">
        <w:rPr>
          <w:szCs w:val="24"/>
        </w:rPr>
        <w:t>Tervisekassa</w:t>
      </w:r>
      <w:r w:rsidRPr="00687DE8">
        <w:rPr>
          <w:szCs w:val="24"/>
        </w:rPr>
        <w:t xml:space="preserve"> võtab koodiga 6259 tähistatud tervishoiuteenuse eest tasu maksmise kohustuse üle kuni kahe uuringu eest aastas patsiendi kohta.</w:t>
      </w:r>
    </w:p>
    <w:p w14:paraId="55090A66" w14:textId="77777777" w:rsidR="7E0E6F49" w:rsidRPr="00687DE8" w:rsidRDefault="7E0E6F49" w:rsidP="7E0E6F49">
      <w:pPr>
        <w:spacing w:after="0" w:line="240" w:lineRule="auto"/>
        <w:jc w:val="both"/>
        <w:rPr>
          <w:szCs w:val="24"/>
        </w:rPr>
      </w:pPr>
    </w:p>
    <w:p w14:paraId="56E0D17B" w14:textId="4C74FF25" w:rsidR="444915DE" w:rsidRPr="00687DE8" w:rsidRDefault="444915DE" w:rsidP="00334F99">
      <w:pPr>
        <w:spacing w:after="0" w:line="240" w:lineRule="auto"/>
        <w:jc w:val="both"/>
        <w:rPr>
          <w:szCs w:val="24"/>
        </w:rPr>
      </w:pPr>
      <w:r w:rsidRPr="00687DE8">
        <w:rPr>
          <w:szCs w:val="24"/>
        </w:rPr>
        <w:lastRenderedPageBreak/>
        <w:t xml:space="preserve">(13) </w:t>
      </w:r>
      <w:r w:rsidR="005023FD" w:rsidRPr="00687DE8">
        <w:rPr>
          <w:szCs w:val="24"/>
        </w:rPr>
        <w:t>Tervisekassa</w:t>
      </w:r>
      <w:r w:rsidRPr="00687DE8">
        <w:rPr>
          <w:szCs w:val="24"/>
        </w:rPr>
        <w:t xml:space="preserve"> võtab koodiga 6270 tähistatud tervishoiuteenuse eest tasu maksmise kohustuse üle neuroloogi suunamisel.</w:t>
      </w:r>
    </w:p>
    <w:p w14:paraId="09D14124" w14:textId="77777777" w:rsidR="00976487" w:rsidRPr="00687DE8" w:rsidRDefault="00976487" w:rsidP="00976487">
      <w:pPr>
        <w:spacing w:after="0" w:line="240" w:lineRule="auto"/>
        <w:jc w:val="both"/>
        <w:outlineLvl w:val="2"/>
        <w:divId w:val="1316184749"/>
        <w:rPr>
          <w:b/>
          <w:bCs/>
          <w:szCs w:val="24"/>
        </w:rPr>
      </w:pPr>
    </w:p>
    <w:p w14:paraId="3BBCB34E" w14:textId="77777777" w:rsidR="00976487" w:rsidRDefault="00976487" w:rsidP="00976487">
      <w:pPr>
        <w:spacing w:after="0" w:line="240" w:lineRule="auto"/>
        <w:jc w:val="both"/>
        <w:outlineLvl w:val="2"/>
        <w:divId w:val="1316184749"/>
        <w:rPr>
          <w:b/>
          <w:szCs w:val="24"/>
        </w:rPr>
      </w:pPr>
      <w:r w:rsidRPr="00687DE8">
        <w:rPr>
          <w:b/>
          <w:szCs w:val="24"/>
        </w:rPr>
        <w:t>§ 2</w:t>
      </w:r>
      <w:r w:rsidR="00E22EDA" w:rsidRPr="00687DE8">
        <w:rPr>
          <w:b/>
          <w:szCs w:val="24"/>
        </w:rPr>
        <w:t>7</w:t>
      </w:r>
      <w:r w:rsidRPr="00687DE8">
        <w:rPr>
          <w:b/>
          <w:szCs w:val="24"/>
        </w:rPr>
        <w:t>. Funktsionaaldiagnostiliste uuringute piirhinnad</w:t>
      </w:r>
    </w:p>
    <w:p w14:paraId="7F3B0543" w14:textId="77777777" w:rsidR="00DF1D65" w:rsidRDefault="00DF1D65" w:rsidP="00976487">
      <w:pPr>
        <w:spacing w:after="0" w:line="240" w:lineRule="auto"/>
        <w:jc w:val="both"/>
        <w:divId w:val="1316184749"/>
        <w:rPr>
          <w:szCs w:val="24"/>
        </w:rPr>
      </w:pPr>
    </w:p>
    <w:p w14:paraId="51379E23" w14:textId="1A671270" w:rsidR="00976487" w:rsidRPr="00687DE8" w:rsidRDefault="00976487" w:rsidP="00976487">
      <w:pPr>
        <w:spacing w:after="0" w:line="240" w:lineRule="auto"/>
        <w:jc w:val="both"/>
        <w:divId w:val="1316184749"/>
        <w:rPr>
          <w:szCs w:val="24"/>
        </w:rPr>
      </w:pPr>
      <w:r w:rsidRPr="00687DE8">
        <w:rPr>
          <w:szCs w:val="24"/>
        </w:rPr>
        <w:t>(1) Funktsionaaldiagnostiliste uuringute piirhinnad on järgmised:</w:t>
      </w:r>
    </w:p>
    <w:p w14:paraId="5DBA86A5"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6"/>
        <w:gridCol w:w="1137"/>
        <w:gridCol w:w="1622"/>
      </w:tblGrid>
      <w:tr w:rsidR="00976487" w:rsidRPr="00687DE8" w14:paraId="631B9E7A" w14:textId="77777777" w:rsidTr="004775F8">
        <w:trPr>
          <w:divId w:val="1316184749"/>
          <w:tblHeader/>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CC514A" w14:textId="77777777" w:rsidR="00976487" w:rsidRPr="00687DE8" w:rsidRDefault="00976487">
            <w:pPr>
              <w:spacing w:after="0" w:line="240" w:lineRule="auto"/>
              <w:jc w:val="center"/>
              <w:rPr>
                <w:szCs w:val="24"/>
              </w:rPr>
            </w:pPr>
            <w:r w:rsidRPr="00687DE8">
              <w:rPr>
                <w:b/>
                <w:szCs w:val="24"/>
              </w:rPr>
              <w:t>Tervishoiuteenuse nimetus</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576C8F" w14:textId="77777777" w:rsidR="00976487" w:rsidRPr="00687DE8" w:rsidRDefault="00976487">
            <w:pPr>
              <w:spacing w:after="0" w:line="240" w:lineRule="auto"/>
              <w:jc w:val="center"/>
              <w:rPr>
                <w:szCs w:val="24"/>
              </w:rPr>
            </w:pPr>
            <w:r w:rsidRPr="00687DE8">
              <w:rPr>
                <w:b/>
                <w:szCs w:val="24"/>
              </w:rPr>
              <w:t>Kood</w:t>
            </w:r>
          </w:p>
        </w:tc>
        <w:tc>
          <w:tcPr>
            <w:tcW w:w="16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8EC7A46" w14:textId="77777777" w:rsidR="00976487" w:rsidRPr="00687DE8" w:rsidRDefault="00976487" w:rsidP="00B54BB2">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BB5B77" w:rsidRPr="00687DE8" w14:paraId="33AB1DE5"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9BA05D" w14:textId="77777777" w:rsidR="00BB5B77" w:rsidRPr="00687DE8" w:rsidRDefault="00BB5B77" w:rsidP="00BB5B77">
            <w:pPr>
              <w:spacing w:after="0" w:line="240" w:lineRule="auto"/>
              <w:rPr>
                <w:szCs w:val="24"/>
              </w:rPr>
            </w:pPr>
            <w:r w:rsidRPr="00687DE8">
              <w:rPr>
                <w:szCs w:val="24"/>
              </w:rPr>
              <w:t>Spirograafia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63D4CC" w14:textId="77777777" w:rsidR="00BB5B77" w:rsidRPr="00687DE8" w:rsidRDefault="00BB5B77" w:rsidP="00BB5B77">
            <w:pPr>
              <w:spacing w:after="0" w:line="240" w:lineRule="auto"/>
              <w:jc w:val="center"/>
              <w:rPr>
                <w:szCs w:val="24"/>
              </w:rPr>
            </w:pPr>
            <w:r w:rsidRPr="00687DE8">
              <w:rPr>
                <w:szCs w:val="24"/>
              </w:rPr>
              <w:t>6301</w:t>
            </w:r>
          </w:p>
        </w:tc>
        <w:tc>
          <w:tcPr>
            <w:tcW w:w="16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EBFC00" w14:textId="5C2E7ACD" w:rsidR="2E1E8EE1" w:rsidRPr="00687DE8" w:rsidRDefault="00054473">
            <w:pPr>
              <w:spacing w:after="0"/>
              <w:jc w:val="center"/>
              <w:rPr>
                <w:color w:val="000000" w:themeColor="text1"/>
                <w:szCs w:val="24"/>
              </w:rPr>
            </w:pPr>
            <w:r>
              <w:rPr>
                <w:color w:val="000000"/>
              </w:rPr>
              <w:t>24,79</w:t>
            </w:r>
          </w:p>
        </w:tc>
      </w:tr>
      <w:tr w:rsidR="00BB5B77" w:rsidRPr="00687DE8" w14:paraId="18FE2DEF"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A6B35B" w14:textId="77777777" w:rsidR="00BB5B77" w:rsidRPr="00687DE8" w:rsidRDefault="00BB5B77" w:rsidP="00BB5B77">
            <w:pPr>
              <w:spacing w:after="0" w:line="240" w:lineRule="auto"/>
              <w:rPr>
                <w:szCs w:val="24"/>
              </w:rPr>
            </w:pPr>
            <w:r w:rsidRPr="00687DE8">
              <w:rPr>
                <w:szCs w:val="24"/>
              </w:rPr>
              <w:t>Bronhodilataatortest</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3B89BF" w14:textId="77777777" w:rsidR="00BB5B77" w:rsidRPr="00687DE8" w:rsidRDefault="00BB5B77" w:rsidP="00BB5B77">
            <w:pPr>
              <w:spacing w:after="0" w:line="240" w:lineRule="auto"/>
              <w:jc w:val="center"/>
              <w:rPr>
                <w:szCs w:val="24"/>
              </w:rPr>
            </w:pPr>
            <w:r w:rsidRPr="00687DE8">
              <w:rPr>
                <w:szCs w:val="24"/>
              </w:rPr>
              <w:t>6302</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9C7C99" w14:textId="7E2A0068" w:rsidR="2E1E8EE1" w:rsidRPr="00687DE8" w:rsidRDefault="00054473">
            <w:pPr>
              <w:spacing w:after="0"/>
              <w:jc w:val="center"/>
              <w:rPr>
                <w:color w:val="000000" w:themeColor="text1"/>
                <w:szCs w:val="24"/>
              </w:rPr>
            </w:pPr>
            <w:r>
              <w:rPr>
                <w:color w:val="000000"/>
              </w:rPr>
              <w:t>39,62</w:t>
            </w:r>
          </w:p>
        </w:tc>
      </w:tr>
      <w:tr w:rsidR="00BB5B77" w:rsidRPr="00687DE8" w14:paraId="42EAA5F5"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34EEFB" w14:textId="77777777" w:rsidR="00BB5B77" w:rsidRPr="00687DE8" w:rsidRDefault="00BB5B77" w:rsidP="00BB5B77">
            <w:pPr>
              <w:spacing w:after="0" w:line="240" w:lineRule="auto"/>
              <w:rPr>
                <w:szCs w:val="24"/>
              </w:rPr>
            </w:pPr>
            <w:r w:rsidRPr="00687DE8">
              <w:rPr>
                <w:szCs w:val="24"/>
              </w:rPr>
              <w:t>Sulgumismahu uuring</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C10621" w14:textId="77777777" w:rsidR="00BB5B77" w:rsidRPr="00687DE8" w:rsidRDefault="00BB5B77" w:rsidP="00BB5B77">
            <w:pPr>
              <w:spacing w:after="0" w:line="240" w:lineRule="auto"/>
              <w:jc w:val="center"/>
              <w:rPr>
                <w:szCs w:val="24"/>
              </w:rPr>
            </w:pPr>
            <w:r w:rsidRPr="00687DE8">
              <w:rPr>
                <w:szCs w:val="24"/>
              </w:rPr>
              <w:t>6305</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D8909B" w14:textId="2C5E923D" w:rsidR="2E1E8EE1" w:rsidRPr="00687DE8" w:rsidRDefault="00054473">
            <w:pPr>
              <w:spacing w:after="0"/>
              <w:jc w:val="center"/>
              <w:rPr>
                <w:color w:val="000000" w:themeColor="text1"/>
                <w:szCs w:val="24"/>
              </w:rPr>
            </w:pPr>
            <w:r>
              <w:rPr>
                <w:color w:val="000000"/>
              </w:rPr>
              <w:t>7,99</w:t>
            </w:r>
          </w:p>
        </w:tc>
      </w:tr>
      <w:tr w:rsidR="00BB5B77" w:rsidRPr="00687DE8" w14:paraId="0E848194"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ED80A5" w14:textId="77777777" w:rsidR="00BB5B77" w:rsidRPr="00687DE8" w:rsidRDefault="00BB5B77" w:rsidP="00BB5B77">
            <w:pPr>
              <w:spacing w:after="0" w:line="240" w:lineRule="auto"/>
              <w:rPr>
                <w:szCs w:val="24"/>
              </w:rPr>
            </w:pPr>
            <w:r w:rsidRPr="00687DE8">
              <w:rPr>
                <w:szCs w:val="24"/>
              </w:rPr>
              <w:t>Kehapletüsmograafia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6D0F36" w14:textId="77777777" w:rsidR="00BB5B77" w:rsidRPr="00687DE8" w:rsidRDefault="00BB5B77" w:rsidP="00BB5B77">
            <w:pPr>
              <w:spacing w:after="0" w:line="240" w:lineRule="auto"/>
              <w:jc w:val="center"/>
              <w:rPr>
                <w:szCs w:val="24"/>
              </w:rPr>
            </w:pPr>
            <w:r w:rsidRPr="00687DE8">
              <w:rPr>
                <w:szCs w:val="24"/>
              </w:rPr>
              <w:t>6306</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144CB8" w14:textId="431CFCC3" w:rsidR="2E1E8EE1" w:rsidRPr="00687DE8" w:rsidRDefault="00054473">
            <w:pPr>
              <w:spacing w:after="0"/>
              <w:jc w:val="center"/>
              <w:rPr>
                <w:color w:val="000000" w:themeColor="text1"/>
                <w:szCs w:val="24"/>
              </w:rPr>
            </w:pPr>
            <w:r>
              <w:rPr>
                <w:color w:val="000000"/>
              </w:rPr>
              <w:t>80,76</w:t>
            </w:r>
          </w:p>
        </w:tc>
      </w:tr>
      <w:tr w:rsidR="00BB5B77" w:rsidRPr="00687DE8" w14:paraId="2182AD5B"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6BC224" w14:textId="77777777" w:rsidR="00BB5B77" w:rsidRPr="00687DE8" w:rsidRDefault="00BB5B77" w:rsidP="00BB5B77">
            <w:pPr>
              <w:spacing w:after="0" w:line="240" w:lineRule="auto"/>
              <w:rPr>
                <w:szCs w:val="24"/>
              </w:rPr>
            </w:pPr>
            <w:r w:rsidRPr="00687DE8">
              <w:rPr>
                <w:szCs w:val="24"/>
              </w:rPr>
              <w:t>Spiroergomeetria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039B79" w14:textId="77777777" w:rsidR="00BB5B77" w:rsidRPr="00687DE8" w:rsidRDefault="00BB5B77" w:rsidP="00BB5B77">
            <w:pPr>
              <w:spacing w:after="0" w:line="240" w:lineRule="auto"/>
              <w:jc w:val="center"/>
              <w:rPr>
                <w:szCs w:val="24"/>
              </w:rPr>
            </w:pPr>
            <w:r w:rsidRPr="00687DE8">
              <w:rPr>
                <w:szCs w:val="24"/>
              </w:rPr>
              <w:t>6307</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C6465B" w14:textId="4A198D12" w:rsidR="2E1E8EE1" w:rsidRPr="00687DE8" w:rsidRDefault="00054473">
            <w:pPr>
              <w:spacing w:after="0"/>
              <w:jc w:val="center"/>
              <w:rPr>
                <w:color w:val="000000" w:themeColor="text1"/>
                <w:szCs w:val="24"/>
              </w:rPr>
            </w:pPr>
            <w:r>
              <w:rPr>
                <w:color w:val="000000"/>
              </w:rPr>
              <w:t>99,89</w:t>
            </w:r>
          </w:p>
        </w:tc>
      </w:tr>
      <w:tr w:rsidR="00BB5B77" w:rsidRPr="00687DE8" w14:paraId="6AAB0A7E"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415081" w14:textId="77777777" w:rsidR="00BB5B77" w:rsidRPr="00687DE8" w:rsidRDefault="00BB5B77" w:rsidP="00BB5B77">
            <w:pPr>
              <w:spacing w:after="0" w:line="240" w:lineRule="auto"/>
              <w:rPr>
                <w:szCs w:val="24"/>
              </w:rPr>
            </w:pPr>
            <w:r w:rsidRPr="00687DE8">
              <w:rPr>
                <w:szCs w:val="24"/>
              </w:rPr>
              <w:t>Difusioonikapatsiteedi määramine</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BA338A" w14:textId="77777777" w:rsidR="00BB5B77" w:rsidRPr="00687DE8" w:rsidRDefault="00BB5B77" w:rsidP="00BB5B77">
            <w:pPr>
              <w:spacing w:after="0" w:line="240" w:lineRule="auto"/>
              <w:jc w:val="center"/>
              <w:rPr>
                <w:szCs w:val="24"/>
              </w:rPr>
            </w:pPr>
            <w:r w:rsidRPr="00687DE8">
              <w:rPr>
                <w:szCs w:val="24"/>
              </w:rPr>
              <w:t>6308</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1CE240" w14:textId="5145C946" w:rsidR="2E1E8EE1" w:rsidRPr="00687DE8" w:rsidRDefault="00054473">
            <w:pPr>
              <w:spacing w:after="0"/>
              <w:jc w:val="center"/>
              <w:rPr>
                <w:color w:val="000000" w:themeColor="text1"/>
                <w:szCs w:val="24"/>
              </w:rPr>
            </w:pPr>
            <w:r>
              <w:rPr>
                <w:color w:val="000000"/>
              </w:rPr>
              <w:t>60,68</w:t>
            </w:r>
          </w:p>
        </w:tc>
      </w:tr>
      <w:tr w:rsidR="00BB5B77" w:rsidRPr="00687DE8" w14:paraId="666590CF"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BE66E7" w14:textId="77777777" w:rsidR="00BB5B77" w:rsidRPr="00687DE8" w:rsidRDefault="00BB5B77" w:rsidP="00BB5B77">
            <w:pPr>
              <w:spacing w:after="0" w:line="240" w:lineRule="auto"/>
              <w:rPr>
                <w:szCs w:val="24"/>
              </w:rPr>
            </w:pPr>
            <w:r w:rsidRPr="00687DE8">
              <w:rPr>
                <w:szCs w:val="24"/>
              </w:rPr>
              <w:t>Kapillaroskoopia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7E91AC" w14:textId="77777777" w:rsidR="00BB5B77" w:rsidRPr="00687DE8" w:rsidRDefault="00BB5B77" w:rsidP="00BB5B77">
            <w:pPr>
              <w:spacing w:after="0" w:line="240" w:lineRule="auto"/>
              <w:jc w:val="center"/>
              <w:rPr>
                <w:szCs w:val="24"/>
              </w:rPr>
            </w:pPr>
            <w:r w:rsidRPr="00687DE8">
              <w:rPr>
                <w:szCs w:val="24"/>
              </w:rPr>
              <w:t>6310</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18D036" w14:textId="7D47652F" w:rsidR="2E1E8EE1" w:rsidRPr="00687DE8" w:rsidRDefault="00054473">
            <w:pPr>
              <w:spacing w:after="0"/>
              <w:jc w:val="center"/>
              <w:rPr>
                <w:color w:val="000000" w:themeColor="text1"/>
                <w:szCs w:val="24"/>
              </w:rPr>
            </w:pPr>
            <w:r>
              <w:rPr>
                <w:color w:val="000000"/>
              </w:rPr>
              <w:t>27,91</w:t>
            </w:r>
          </w:p>
        </w:tc>
      </w:tr>
      <w:tr w:rsidR="00BB5B77" w:rsidRPr="00687DE8" w14:paraId="0D8910C1"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7138A1" w14:textId="77777777" w:rsidR="00BB5B77" w:rsidRPr="00687DE8" w:rsidRDefault="00BB5B77" w:rsidP="00BB5B77">
            <w:pPr>
              <w:spacing w:after="0" w:line="240" w:lineRule="auto"/>
              <w:rPr>
                <w:szCs w:val="24"/>
              </w:rPr>
            </w:pPr>
            <w:r w:rsidRPr="00687DE8">
              <w:rPr>
                <w:szCs w:val="24"/>
              </w:rPr>
              <w:t>Hapniku tarbimise kompleksuuring</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9653C0" w14:textId="77777777" w:rsidR="00BB5B77" w:rsidRPr="00687DE8" w:rsidRDefault="00BB5B77" w:rsidP="00BB5B77">
            <w:pPr>
              <w:spacing w:after="0" w:line="240" w:lineRule="auto"/>
              <w:jc w:val="center"/>
              <w:rPr>
                <w:szCs w:val="24"/>
              </w:rPr>
            </w:pPr>
            <w:r w:rsidRPr="00687DE8">
              <w:rPr>
                <w:szCs w:val="24"/>
              </w:rPr>
              <w:t>6333</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68C707" w14:textId="3701A559" w:rsidR="2E1E8EE1" w:rsidRPr="00687DE8" w:rsidRDefault="00054473">
            <w:pPr>
              <w:spacing w:after="0"/>
              <w:jc w:val="center"/>
              <w:rPr>
                <w:color w:val="000000" w:themeColor="text1"/>
                <w:szCs w:val="24"/>
              </w:rPr>
            </w:pPr>
            <w:r>
              <w:rPr>
                <w:color w:val="000000"/>
              </w:rPr>
              <w:t>98,75</w:t>
            </w:r>
          </w:p>
        </w:tc>
      </w:tr>
      <w:tr w:rsidR="00BB5B77" w:rsidRPr="00687DE8" w14:paraId="6C939562"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546B18" w14:textId="77777777" w:rsidR="00BB5B77" w:rsidRPr="00687DE8" w:rsidRDefault="00BB5B77" w:rsidP="00BB5B77">
            <w:pPr>
              <w:spacing w:after="0" w:line="240" w:lineRule="auto"/>
              <w:rPr>
                <w:szCs w:val="24"/>
              </w:rPr>
            </w:pPr>
            <w:r w:rsidRPr="00687DE8">
              <w:rPr>
                <w:szCs w:val="24"/>
              </w:rPr>
              <w:t xml:space="preserve">Kardiotokograafiline </w:t>
            </w:r>
            <w:r w:rsidRPr="00687DE8">
              <w:rPr>
                <w:i/>
                <w:szCs w:val="24"/>
              </w:rPr>
              <w:t>non-stress</w:t>
            </w:r>
            <w:r w:rsidRPr="00687DE8">
              <w:rPr>
                <w:szCs w:val="24"/>
              </w:rPr>
              <w:t>-test</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9D4D49" w14:textId="77777777" w:rsidR="00BB5B77" w:rsidRPr="00687DE8" w:rsidRDefault="00BB5B77" w:rsidP="00BB5B77">
            <w:pPr>
              <w:spacing w:after="0" w:line="240" w:lineRule="auto"/>
              <w:jc w:val="center"/>
              <w:rPr>
                <w:szCs w:val="24"/>
              </w:rPr>
            </w:pPr>
            <w:r w:rsidRPr="00687DE8">
              <w:rPr>
                <w:szCs w:val="24"/>
              </w:rPr>
              <w:t>6335</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36345C" w14:textId="5531291D" w:rsidR="2E1E8EE1" w:rsidRPr="00687DE8" w:rsidRDefault="00054473">
            <w:pPr>
              <w:spacing w:after="0"/>
              <w:jc w:val="center"/>
              <w:rPr>
                <w:color w:val="000000" w:themeColor="text1"/>
                <w:szCs w:val="24"/>
              </w:rPr>
            </w:pPr>
            <w:r>
              <w:rPr>
                <w:color w:val="000000"/>
              </w:rPr>
              <w:t>43,26</w:t>
            </w:r>
          </w:p>
        </w:tc>
      </w:tr>
      <w:tr w:rsidR="00BB5B77" w:rsidRPr="00687DE8" w14:paraId="7669B03D"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D6AFD5" w14:textId="77777777" w:rsidR="00BB5B77" w:rsidRPr="00687DE8" w:rsidRDefault="00BB5B77" w:rsidP="00BB5B77">
            <w:pPr>
              <w:spacing w:after="0" w:line="240" w:lineRule="auto"/>
              <w:rPr>
                <w:szCs w:val="24"/>
              </w:rPr>
            </w:pPr>
            <w:r w:rsidRPr="00687DE8">
              <w:rPr>
                <w:szCs w:val="24"/>
              </w:rPr>
              <w:t>Kardiotokograafiline kontraktsiooni stresstest</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24797C" w14:textId="77777777" w:rsidR="00BB5B77" w:rsidRPr="00687DE8" w:rsidRDefault="00BB5B77" w:rsidP="00BB5B77">
            <w:pPr>
              <w:spacing w:after="0" w:line="240" w:lineRule="auto"/>
              <w:jc w:val="center"/>
              <w:rPr>
                <w:szCs w:val="24"/>
              </w:rPr>
            </w:pPr>
            <w:r w:rsidRPr="00687DE8">
              <w:rPr>
                <w:szCs w:val="24"/>
              </w:rPr>
              <w:t>6336</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2FDF79" w14:textId="5A0318F2" w:rsidR="2E1E8EE1" w:rsidRPr="00687DE8" w:rsidRDefault="00054473">
            <w:pPr>
              <w:spacing w:after="0"/>
              <w:jc w:val="center"/>
              <w:rPr>
                <w:color w:val="000000" w:themeColor="text1"/>
                <w:szCs w:val="24"/>
              </w:rPr>
            </w:pPr>
            <w:r>
              <w:rPr>
                <w:color w:val="000000"/>
              </w:rPr>
              <w:t>88,53</w:t>
            </w:r>
          </w:p>
        </w:tc>
      </w:tr>
      <w:tr w:rsidR="00BB5B77" w:rsidRPr="00687DE8" w14:paraId="57BC3EA9"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9B188F" w14:textId="77777777" w:rsidR="00BB5B77" w:rsidRPr="00687DE8" w:rsidRDefault="00BB5B77" w:rsidP="00BB5B77">
            <w:pPr>
              <w:spacing w:after="0" w:line="240" w:lineRule="auto"/>
              <w:rPr>
                <w:szCs w:val="24"/>
              </w:rPr>
            </w:pPr>
            <w:r w:rsidRPr="00687DE8">
              <w:rPr>
                <w:szCs w:val="24"/>
              </w:rPr>
              <w:t>Loote pidev monitooring (üks tund)</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09FE4B" w14:textId="77777777" w:rsidR="00BB5B77" w:rsidRPr="00687DE8" w:rsidRDefault="00BB5B77" w:rsidP="00BB5B77">
            <w:pPr>
              <w:spacing w:after="0" w:line="240" w:lineRule="auto"/>
              <w:jc w:val="center"/>
              <w:rPr>
                <w:szCs w:val="24"/>
              </w:rPr>
            </w:pPr>
            <w:r w:rsidRPr="00687DE8">
              <w:rPr>
                <w:szCs w:val="24"/>
              </w:rPr>
              <w:t>6338</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C3BA33" w14:textId="43E0ECD5" w:rsidR="2E1E8EE1" w:rsidRPr="00687DE8" w:rsidRDefault="00054473">
            <w:pPr>
              <w:spacing w:after="0"/>
              <w:jc w:val="center"/>
              <w:rPr>
                <w:color w:val="000000" w:themeColor="text1"/>
                <w:szCs w:val="24"/>
              </w:rPr>
            </w:pPr>
            <w:r>
              <w:rPr>
                <w:color w:val="000000"/>
              </w:rPr>
              <w:t>28,21</w:t>
            </w:r>
          </w:p>
        </w:tc>
      </w:tr>
      <w:tr w:rsidR="00BB5B77" w:rsidRPr="00687DE8" w14:paraId="3A407016"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BCC690" w14:textId="77777777" w:rsidR="00BB5B77" w:rsidRPr="00687DE8" w:rsidRDefault="00BB5B77" w:rsidP="00BB5B77">
            <w:pPr>
              <w:spacing w:after="0" w:line="240" w:lineRule="auto"/>
              <w:rPr>
                <w:szCs w:val="24"/>
              </w:rPr>
            </w:pPr>
            <w:r w:rsidRPr="00687DE8">
              <w:rPr>
                <w:szCs w:val="24"/>
              </w:rPr>
              <w:t>Koguöö digitaliseeritud pulssoksümeetriline uuring</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A751A" w14:textId="77777777" w:rsidR="00BB5B77" w:rsidRPr="00687DE8" w:rsidRDefault="00BB5B77" w:rsidP="00BB5B77">
            <w:pPr>
              <w:spacing w:after="0" w:line="240" w:lineRule="auto"/>
              <w:jc w:val="center"/>
              <w:rPr>
                <w:szCs w:val="24"/>
              </w:rPr>
            </w:pPr>
            <w:r w:rsidRPr="00687DE8">
              <w:rPr>
                <w:szCs w:val="24"/>
              </w:rPr>
              <w:t>6341</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B72F6D" w14:textId="26EA76F4" w:rsidR="2E1E8EE1" w:rsidRPr="00687DE8" w:rsidRDefault="00054473">
            <w:pPr>
              <w:spacing w:after="0"/>
              <w:jc w:val="center"/>
              <w:rPr>
                <w:color w:val="000000" w:themeColor="text1"/>
                <w:szCs w:val="24"/>
              </w:rPr>
            </w:pPr>
            <w:r>
              <w:rPr>
                <w:color w:val="000000"/>
              </w:rPr>
              <w:t>76,49</w:t>
            </w:r>
          </w:p>
        </w:tc>
      </w:tr>
      <w:tr w:rsidR="00BB5B77" w:rsidRPr="00687DE8" w14:paraId="4B86AB7D"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18D3E2" w14:textId="77777777" w:rsidR="00BB5B77" w:rsidRPr="00687DE8" w:rsidRDefault="00BB5B77" w:rsidP="00BB5B77">
            <w:pPr>
              <w:spacing w:after="0" w:line="240" w:lineRule="auto"/>
              <w:rPr>
                <w:szCs w:val="24"/>
              </w:rPr>
            </w:pPr>
            <w:r w:rsidRPr="00687DE8">
              <w:rPr>
                <w:szCs w:val="24"/>
              </w:rPr>
              <w:t>Polüsomnograafia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85616A" w14:textId="77777777" w:rsidR="00BB5B77" w:rsidRPr="00687DE8" w:rsidRDefault="00BB5B77" w:rsidP="00BB5B77">
            <w:pPr>
              <w:spacing w:after="0" w:line="240" w:lineRule="auto"/>
              <w:jc w:val="center"/>
              <w:rPr>
                <w:szCs w:val="24"/>
              </w:rPr>
            </w:pPr>
            <w:r w:rsidRPr="00687DE8">
              <w:rPr>
                <w:szCs w:val="24"/>
              </w:rPr>
              <w:t>6342</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B2687F" w14:textId="0BE244BD" w:rsidR="2E1E8EE1" w:rsidRPr="00687DE8" w:rsidRDefault="00054473">
            <w:pPr>
              <w:spacing w:after="0"/>
              <w:jc w:val="center"/>
              <w:rPr>
                <w:color w:val="000000" w:themeColor="text1"/>
                <w:szCs w:val="24"/>
              </w:rPr>
            </w:pPr>
            <w:r>
              <w:rPr>
                <w:color w:val="000000"/>
              </w:rPr>
              <w:t>505,52</w:t>
            </w:r>
          </w:p>
        </w:tc>
      </w:tr>
      <w:tr w:rsidR="00BB5B77" w:rsidRPr="00687DE8" w14:paraId="6D77835B"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6DB527" w14:textId="77777777" w:rsidR="00BB5B77" w:rsidRPr="00687DE8" w:rsidRDefault="00BB5B77" w:rsidP="00BB5B77">
            <w:pPr>
              <w:spacing w:after="0" w:line="240" w:lineRule="auto"/>
              <w:rPr>
                <w:szCs w:val="24"/>
              </w:rPr>
            </w:pPr>
            <w:r w:rsidRPr="00687DE8">
              <w:rPr>
                <w:szCs w:val="24"/>
              </w:rPr>
              <w:t>Hingamise polügraafiline uuring osalise mahuga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CB4B5E" w14:textId="77777777" w:rsidR="00BB5B77" w:rsidRPr="00687DE8" w:rsidRDefault="00BB5B77" w:rsidP="00BB5B77">
            <w:pPr>
              <w:spacing w:after="0" w:line="240" w:lineRule="auto"/>
              <w:jc w:val="center"/>
              <w:rPr>
                <w:szCs w:val="24"/>
              </w:rPr>
            </w:pPr>
            <w:r w:rsidRPr="00687DE8">
              <w:rPr>
                <w:szCs w:val="24"/>
              </w:rPr>
              <w:t>6347</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C1DD97" w14:textId="0273AED3" w:rsidR="2E1E8EE1" w:rsidRPr="00687DE8" w:rsidRDefault="00054473">
            <w:pPr>
              <w:spacing w:after="0"/>
              <w:jc w:val="center"/>
              <w:rPr>
                <w:color w:val="000000" w:themeColor="text1"/>
                <w:szCs w:val="24"/>
              </w:rPr>
            </w:pPr>
            <w:r>
              <w:rPr>
                <w:color w:val="000000"/>
              </w:rPr>
              <w:t>116,13</w:t>
            </w:r>
          </w:p>
        </w:tc>
      </w:tr>
      <w:tr w:rsidR="00BB5B77" w:rsidRPr="00687DE8" w14:paraId="50ECA91A"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F72F40" w14:textId="77777777" w:rsidR="00BB5B77" w:rsidRPr="00687DE8" w:rsidRDefault="00BB5B77" w:rsidP="00BB5B77">
            <w:pPr>
              <w:spacing w:after="0" w:line="240" w:lineRule="auto"/>
              <w:rPr>
                <w:szCs w:val="24"/>
              </w:rPr>
            </w:pPr>
            <w:r w:rsidRPr="00687DE8">
              <w:rPr>
                <w:szCs w:val="24"/>
              </w:rPr>
              <w:t>Hingamise polügraafiline uuring täismahus</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DC6106" w14:textId="77777777" w:rsidR="00BB5B77" w:rsidRPr="00687DE8" w:rsidRDefault="00BB5B77" w:rsidP="00BB5B77">
            <w:pPr>
              <w:spacing w:after="0" w:line="240" w:lineRule="auto"/>
              <w:jc w:val="center"/>
              <w:rPr>
                <w:szCs w:val="24"/>
              </w:rPr>
            </w:pPr>
            <w:r w:rsidRPr="00687DE8">
              <w:rPr>
                <w:szCs w:val="24"/>
              </w:rPr>
              <w:t>6348</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88A86C" w14:textId="2B0695EB" w:rsidR="2E1E8EE1" w:rsidRPr="00687DE8" w:rsidRDefault="00054473">
            <w:pPr>
              <w:spacing w:after="0"/>
              <w:jc w:val="center"/>
              <w:rPr>
                <w:color w:val="000000" w:themeColor="text1"/>
                <w:szCs w:val="24"/>
              </w:rPr>
            </w:pPr>
            <w:r>
              <w:rPr>
                <w:color w:val="000000"/>
              </w:rPr>
              <w:t>183,32</w:t>
            </w:r>
          </w:p>
        </w:tc>
      </w:tr>
      <w:tr w:rsidR="00BB5B77" w:rsidRPr="00687DE8" w14:paraId="47B25635"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202928" w14:textId="77777777" w:rsidR="00BB5B77" w:rsidRPr="00687DE8" w:rsidRDefault="00BB5B77" w:rsidP="00BB5B77">
            <w:pPr>
              <w:spacing w:after="0" w:line="240" w:lineRule="auto"/>
              <w:rPr>
                <w:szCs w:val="24"/>
              </w:rPr>
            </w:pPr>
            <w:r w:rsidRPr="00687DE8">
              <w:rPr>
                <w:szCs w:val="24"/>
              </w:rPr>
              <w:t>Rõhu testimine AUTO-CPAP-aparaadiga (üks ööpäev)</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D7ADC9" w14:textId="77777777" w:rsidR="00BB5B77" w:rsidRPr="00687DE8" w:rsidRDefault="00BB5B77" w:rsidP="00BB5B77">
            <w:pPr>
              <w:spacing w:after="0" w:line="240" w:lineRule="auto"/>
              <w:jc w:val="center"/>
              <w:rPr>
                <w:szCs w:val="24"/>
              </w:rPr>
            </w:pPr>
            <w:r w:rsidRPr="00687DE8">
              <w:rPr>
                <w:szCs w:val="24"/>
              </w:rPr>
              <w:t>6343</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C27B87" w14:textId="36B213DE" w:rsidR="2E1E8EE1" w:rsidRPr="00687DE8" w:rsidRDefault="00054473">
            <w:pPr>
              <w:spacing w:after="0"/>
              <w:jc w:val="center"/>
              <w:rPr>
                <w:color w:val="000000" w:themeColor="text1"/>
                <w:szCs w:val="24"/>
              </w:rPr>
            </w:pPr>
            <w:r>
              <w:rPr>
                <w:color w:val="000000"/>
              </w:rPr>
              <w:t>6,74</w:t>
            </w:r>
          </w:p>
        </w:tc>
      </w:tr>
      <w:tr w:rsidR="00BB5B77" w:rsidRPr="00687DE8" w14:paraId="76409665"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A1FC48" w14:textId="77777777" w:rsidR="00BB5B77" w:rsidRPr="00687DE8" w:rsidRDefault="00BB5B77" w:rsidP="00BB5B77">
            <w:pPr>
              <w:spacing w:after="0" w:line="240" w:lineRule="auto"/>
              <w:rPr>
                <w:szCs w:val="24"/>
              </w:rPr>
            </w:pPr>
            <w:r w:rsidRPr="00687DE8">
              <w:rPr>
                <w:szCs w:val="24"/>
              </w:rPr>
              <w:t>Bronhide hüperreaktiivsustest mannitooliga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582582" w14:textId="77777777" w:rsidR="00BB5B77" w:rsidRPr="00687DE8" w:rsidRDefault="00BB5B77" w:rsidP="00BB5B77">
            <w:pPr>
              <w:spacing w:after="0" w:line="240" w:lineRule="auto"/>
              <w:jc w:val="center"/>
              <w:rPr>
                <w:szCs w:val="24"/>
              </w:rPr>
            </w:pPr>
            <w:r w:rsidRPr="00687DE8">
              <w:rPr>
                <w:szCs w:val="24"/>
              </w:rPr>
              <w:t>6345</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E52E3D" w14:textId="68B0FEAB" w:rsidR="2E1E8EE1" w:rsidRPr="00687DE8" w:rsidRDefault="00054473">
            <w:pPr>
              <w:spacing w:after="0"/>
              <w:jc w:val="center"/>
              <w:rPr>
                <w:color w:val="000000" w:themeColor="text1"/>
                <w:szCs w:val="24"/>
              </w:rPr>
            </w:pPr>
            <w:r>
              <w:rPr>
                <w:color w:val="000000"/>
              </w:rPr>
              <w:t>104,01</w:t>
            </w:r>
          </w:p>
        </w:tc>
      </w:tr>
      <w:tr w:rsidR="00BB5B77" w:rsidRPr="00687DE8" w14:paraId="3390D286"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D68732" w14:textId="77777777" w:rsidR="00BB5B77" w:rsidRPr="00687DE8" w:rsidRDefault="00BB5B77" w:rsidP="00BB5B77">
            <w:pPr>
              <w:spacing w:after="0" w:line="240" w:lineRule="auto"/>
              <w:rPr>
                <w:szCs w:val="24"/>
              </w:rPr>
            </w:pPr>
            <w:r w:rsidRPr="00687DE8">
              <w:rPr>
                <w:szCs w:val="24"/>
              </w:rPr>
              <w:t>Bronhide hüperreaktiivsustest eukapnilise hüperventilatsiooniga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0D4F3A" w14:textId="77777777" w:rsidR="00BB5B77" w:rsidRPr="00687DE8" w:rsidRDefault="00BB5B77" w:rsidP="00BB5B77">
            <w:pPr>
              <w:spacing w:after="0" w:line="240" w:lineRule="auto"/>
              <w:jc w:val="center"/>
              <w:rPr>
                <w:szCs w:val="24"/>
              </w:rPr>
            </w:pPr>
            <w:r w:rsidRPr="00687DE8">
              <w:rPr>
                <w:szCs w:val="24"/>
              </w:rPr>
              <w:t>6346</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A935A4" w14:textId="6926C9D9" w:rsidR="2E1E8EE1" w:rsidRPr="00687DE8" w:rsidRDefault="00054473">
            <w:pPr>
              <w:spacing w:after="0"/>
              <w:jc w:val="center"/>
              <w:rPr>
                <w:color w:val="000000" w:themeColor="text1"/>
                <w:szCs w:val="24"/>
              </w:rPr>
            </w:pPr>
            <w:r>
              <w:rPr>
                <w:color w:val="000000"/>
              </w:rPr>
              <w:t>53,98</w:t>
            </w:r>
          </w:p>
        </w:tc>
      </w:tr>
      <w:tr w:rsidR="00BB5B77" w:rsidRPr="00687DE8" w14:paraId="52B15AB7"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E93D17" w14:textId="77777777" w:rsidR="00BB5B77" w:rsidRPr="00687DE8" w:rsidRDefault="00BB5B77" w:rsidP="00BB5B77">
            <w:pPr>
              <w:spacing w:after="0" w:line="240" w:lineRule="auto"/>
              <w:rPr>
                <w:szCs w:val="24"/>
              </w:rPr>
            </w:pPr>
            <w:r w:rsidRPr="00687DE8">
              <w:rPr>
                <w:szCs w:val="24"/>
              </w:rPr>
              <w:t>Bronhide hüperreaktiivsustest metakoliiniga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D97019" w14:textId="77777777" w:rsidR="00BB5B77" w:rsidRPr="00687DE8" w:rsidRDefault="00BB5B77" w:rsidP="00BB5B77">
            <w:pPr>
              <w:spacing w:after="0" w:line="240" w:lineRule="auto"/>
              <w:jc w:val="center"/>
              <w:rPr>
                <w:szCs w:val="24"/>
              </w:rPr>
            </w:pPr>
            <w:r w:rsidRPr="00687DE8">
              <w:rPr>
                <w:szCs w:val="24"/>
              </w:rPr>
              <w:t>6303</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92871E" w14:textId="101A80F9" w:rsidR="2E1E8EE1" w:rsidRPr="00687DE8" w:rsidRDefault="00054473">
            <w:pPr>
              <w:spacing w:after="0"/>
              <w:jc w:val="center"/>
              <w:rPr>
                <w:color w:val="000000" w:themeColor="text1"/>
                <w:szCs w:val="24"/>
              </w:rPr>
            </w:pPr>
            <w:r>
              <w:rPr>
                <w:color w:val="000000"/>
              </w:rPr>
              <w:t>69,79</w:t>
            </w:r>
          </w:p>
        </w:tc>
      </w:tr>
      <w:tr w:rsidR="00BB5B77" w:rsidRPr="00687DE8" w14:paraId="5E039E4F"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F20787" w14:textId="77777777" w:rsidR="00BB5B77" w:rsidRPr="00687DE8" w:rsidRDefault="00BB5B77" w:rsidP="00BB5B77">
            <w:pPr>
              <w:spacing w:after="0" w:line="240" w:lineRule="auto"/>
              <w:rPr>
                <w:szCs w:val="24"/>
              </w:rPr>
            </w:pPr>
            <w:r w:rsidRPr="00687DE8">
              <w:rPr>
                <w:szCs w:val="24"/>
              </w:rPr>
              <w:t>Transkutaanne kapnograafiline uuring</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17B934" w14:textId="77777777" w:rsidR="00BB5B77" w:rsidRPr="00687DE8" w:rsidRDefault="00BB5B77" w:rsidP="00BB5B77">
            <w:pPr>
              <w:spacing w:after="0" w:line="240" w:lineRule="auto"/>
              <w:jc w:val="center"/>
              <w:rPr>
                <w:szCs w:val="24"/>
              </w:rPr>
            </w:pPr>
            <w:r w:rsidRPr="00687DE8">
              <w:rPr>
                <w:szCs w:val="24"/>
              </w:rPr>
              <w:t>6349</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44F504" w14:textId="63D27C97" w:rsidR="2E1E8EE1" w:rsidRPr="00687DE8" w:rsidRDefault="00054473">
            <w:pPr>
              <w:spacing w:after="0"/>
              <w:jc w:val="center"/>
              <w:rPr>
                <w:color w:val="000000" w:themeColor="text1"/>
                <w:szCs w:val="24"/>
              </w:rPr>
            </w:pPr>
            <w:r>
              <w:rPr>
                <w:color w:val="000000"/>
              </w:rPr>
              <w:t>101,84</w:t>
            </w:r>
          </w:p>
        </w:tc>
      </w:tr>
      <w:tr w:rsidR="00BB5B77" w:rsidRPr="00687DE8" w14:paraId="10E013F3"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DD194F" w14:textId="2278D924" w:rsidR="00BB5B77" w:rsidRPr="00687DE8" w:rsidRDefault="00BB5B77" w:rsidP="00BB5B77">
            <w:pPr>
              <w:spacing w:after="0" w:line="240" w:lineRule="auto"/>
              <w:rPr>
                <w:szCs w:val="24"/>
              </w:rPr>
            </w:pPr>
            <w:bookmarkStart w:id="13" w:name="_Hlk55890741"/>
            <w:r w:rsidRPr="00687DE8">
              <w:rPr>
                <w:szCs w:val="24"/>
              </w:rPr>
              <w:t>Elektrokardiograafia</w:t>
            </w:r>
            <w:bookmarkEnd w:id="13"/>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20D904" w14:textId="77777777" w:rsidR="00BB5B77" w:rsidRPr="00687DE8" w:rsidRDefault="00BB5B77" w:rsidP="00BB5B77">
            <w:pPr>
              <w:spacing w:after="0" w:line="240" w:lineRule="auto"/>
              <w:jc w:val="center"/>
              <w:rPr>
                <w:szCs w:val="24"/>
              </w:rPr>
            </w:pPr>
            <w:r w:rsidRPr="00687DE8">
              <w:rPr>
                <w:szCs w:val="24"/>
              </w:rPr>
              <w:t>6361</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4574B0B" w14:textId="1D02862C" w:rsidR="2E1E8EE1" w:rsidRPr="00687DE8" w:rsidRDefault="00054473">
            <w:pPr>
              <w:spacing w:after="0"/>
              <w:jc w:val="center"/>
              <w:rPr>
                <w:color w:val="000000" w:themeColor="text1"/>
                <w:szCs w:val="24"/>
              </w:rPr>
            </w:pPr>
            <w:r>
              <w:rPr>
                <w:color w:val="000000"/>
              </w:rPr>
              <w:t>21,34</w:t>
            </w:r>
          </w:p>
        </w:tc>
      </w:tr>
      <w:tr w:rsidR="00BB5B77" w:rsidRPr="00687DE8" w14:paraId="1ACCC28A"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948770" w14:textId="77777777" w:rsidR="00BB5B77" w:rsidRPr="00687DE8" w:rsidRDefault="00BB5B77" w:rsidP="00BB5B77">
            <w:pPr>
              <w:spacing w:after="0" w:line="240" w:lineRule="auto"/>
              <w:rPr>
                <w:szCs w:val="24"/>
              </w:rPr>
            </w:pPr>
            <w:r w:rsidRPr="00687DE8">
              <w:rPr>
                <w:szCs w:val="24"/>
              </w:rPr>
              <w:t>Elektrokardiograafia koormustest (veloergomeetril, koormusrajal)</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1CA429" w14:textId="77777777" w:rsidR="00BB5B77" w:rsidRPr="00687DE8" w:rsidRDefault="00BB5B77" w:rsidP="00BB5B77">
            <w:pPr>
              <w:spacing w:after="0" w:line="240" w:lineRule="auto"/>
              <w:jc w:val="center"/>
              <w:rPr>
                <w:szCs w:val="24"/>
              </w:rPr>
            </w:pPr>
            <w:r w:rsidRPr="00687DE8">
              <w:rPr>
                <w:szCs w:val="24"/>
              </w:rPr>
              <w:t>6324</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3DF8D2E" w14:textId="04E20D3F" w:rsidR="2E1E8EE1" w:rsidRPr="00687DE8" w:rsidRDefault="00054473">
            <w:pPr>
              <w:spacing w:after="0"/>
              <w:jc w:val="center"/>
              <w:rPr>
                <w:color w:val="000000" w:themeColor="text1"/>
                <w:szCs w:val="24"/>
              </w:rPr>
            </w:pPr>
            <w:r>
              <w:rPr>
                <w:color w:val="000000"/>
              </w:rPr>
              <w:t>98,81</w:t>
            </w:r>
          </w:p>
        </w:tc>
      </w:tr>
      <w:tr w:rsidR="00BB5B77" w:rsidRPr="00687DE8" w14:paraId="5D9ED71F"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4FEDE4" w14:textId="77777777" w:rsidR="00BB5B77" w:rsidRPr="00687DE8" w:rsidRDefault="00BB5B77" w:rsidP="00BB5B77">
            <w:pPr>
              <w:spacing w:after="0" w:line="240" w:lineRule="auto"/>
              <w:rPr>
                <w:szCs w:val="24"/>
              </w:rPr>
            </w:pPr>
            <w:r w:rsidRPr="00687DE8">
              <w:rPr>
                <w:szCs w:val="24"/>
              </w:rPr>
              <w:t>Tilt-test</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6621C9" w14:textId="77777777" w:rsidR="00BB5B77" w:rsidRPr="00687DE8" w:rsidRDefault="00BB5B77" w:rsidP="00BB5B77">
            <w:pPr>
              <w:spacing w:after="0" w:line="240" w:lineRule="auto"/>
              <w:jc w:val="center"/>
              <w:rPr>
                <w:szCs w:val="24"/>
              </w:rPr>
            </w:pPr>
            <w:r w:rsidRPr="00687DE8">
              <w:rPr>
                <w:szCs w:val="24"/>
              </w:rPr>
              <w:t>6325</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587EAA2" w14:textId="6F22D365" w:rsidR="2E1E8EE1" w:rsidRPr="00687DE8" w:rsidRDefault="00054473">
            <w:pPr>
              <w:spacing w:after="0"/>
              <w:jc w:val="center"/>
              <w:rPr>
                <w:color w:val="000000" w:themeColor="text1"/>
                <w:szCs w:val="24"/>
              </w:rPr>
            </w:pPr>
            <w:r>
              <w:rPr>
                <w:color w:val="000000"/>
              </w:rPr>
              <w:t>118,55</w:t>
            </w:r>
          </w:p>
        </w:tc>
      </w:tr>
      <w:tr w:rsidR="00BB5B77" w:rsidRPr="00687DE8" w14:paraId="46332671"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AFA318" w14:textId="77777777" w:rsidR="00BB5B77" w:rsidRPr="00687DE8" w:rsidRDefault="00BB5B77" w:rsidP="00BB5B77">
            <w:pPr>
              <w:spacing w:after="0" w:line="240" w:lineRule="auto"/>
              <w:rPr>
                <w:szCs w:val="24"/>
              </w:rPr>
            </w:pPr>
            <w:r w:rsidRPr="00687DE8">
              <w:rPr>
                <w:szCs w:val="24"/>
              </w:rPr>
              <w:t xml:space="preserve">Söögitorukaudne </w:t>
            </w:r>
            <w:bookmarkStart w:id="14" w:name="_Hlk55890792"/>
            <w:r w:rsidRPr="00687DE8">
              <w:rPr>
                <w:szCs w:val="24"/>
              </w:rPr>
              <w:t>ehhokardiograafia</w:t>
            </w:r>
            <w:bookmarkEnd w:id="14"/>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109999" w14:textId="77777777" w:rsidR="00BB5B77" w:rsidRPr="00687DE8" w:rsidRDefault="00BB5B77" w:rsidP="00BB5B77">
            <w:pPr>
              <w:spacing w:after="0" w:line="240" w:lineRule="auto"/>
              <w:jc w:val="center"/>
              <w:rPr>
                <w:szCs w:val="24"/>
              </w:rPr>
            </w:pPr>
            <w:r w:rsidRPr="00687DE8">
              <w:rPr>
                <w:szCs w:val="24"/>
              </w:rPr>
              <w:t>6331</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7F5096C" w14:textId="2614BBA9" w:rsidR="2E1E8EE1" w:rsidRPr="00687DE8" w:rsidRDefault="00054473">
            <w:pPr>
              <w:spacing w:after="0"/>
              <w:jc w:val="center"/>
              <w:rPr>
                <w:color w:val="000000" w:themeColor="text1"/>
                <w:szCs w:val="24"/>
              </w:rPr>
            </w:pPr>
            <w:r>
              <w:rPr>
                <w:color w:val="000000"/>
              </w:rPr>
              <w:t>276,47</w:t>
            </w:r>
          </w:p>
        </w:tc>
      </w:tr>
      <w:tr w:rsidR="00BB5B77" w:rsidRPr="00687DE8" w14:paraId="043EE651"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568834" w14:textId="77777777" w:rsidR="00BB5B77" w:rsidRPr="00687DE8" w:rsidRDefault="00BB5B77" w:rsidP="00BB5B77">
            <w:pPr>
              <w:spacing w:after="0" w:line="240" w:lineRule="auto"/>
              <w:rPr>
                <w:szCs w:val="24"/>
              </w:rPr>
            </w:pPr>
            <w:r w:rsidRPr="00687DE8">
              <w:rPr>
                <w:szCs w:val="24"/>
              </w:rPr>
              <w:t xml:space="preserve">Söögitorukaudne </w:t>
            </w:r>
            <w:bookmarkStart w:id="15" w:name="_Hlk55890812"/>
            <w:r w:rsidRPr="00687DE8">
              <w:rPr>
                <w:szCs w:val="24"/>
              </w:rPr>
              <w:t>elektrofüsioloogiline uuring</w:t>
            </w:r>
            <w:bookmarkEnd w:id="15"/>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B413DA" w14:textId="77777777" w:rsidR="00BB5B77" w:rsidRPr="00687DE8" w:rsidRDefault="00BB5B77" w:rsidP="00BB5B77">
            <w:pPr>
              <w:spacing w:after="0" w:line="240" w:lineRule="auto"/>
              <w:jc w:val="center"/>
              <w:rPr>
                <w:szCs w:val="24"/>
              </w:rPr>
            </w:pPr>
            <w:r w:rsidRPr="00687DE8">
              <w:rPr>
                <w:szCs w:val="24"/>
              </w:rPr>
              <w:t>6332</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0260109" w14:textId="04700084" w:rsidR="2E1E8EE1" w:rsidRPr="00687DE8" w:rsidRDefault="00054473">
            <w:pPr>
              <w:spacing w:after="0"/>
              <w:jc w:val="center"/>
              <w:rPr>
                <w:color w:val="000000" w:themeColor="text1"/>
                <w:szCs w:val="24"/>
              </w:rPr>
            </w:pPr>
            <w:r>
              <w:rPr>
                <w:color w:val="000000"/>
              </w:rPr>
              <w:t>101,85</w:t>
            </w:r>
          </w:p>
        </w:tc>
      </w:tr>
      <w:tr w:rsidR="00BB5B77" w:rsidRPr="00687DE8" w14:paraId="46A044EC"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165683" w14:textId="77777777" w:rsidR="00BB5B77" w:rsidRPr="00687DE8" w:rsidRDefault="00BB5B77" w:rsidP="00BB5B77">
            <w:pPr>
              <w:spacing w:after="0" w:line="240" w:lineRule="auto"/>
              <w:rPr>
                <w:szCs w:val="24"/>
              </w:rPr>
            </w:pPr>
            <w:r w:rsidRPr="00687DE8">
              <w:rPr>
                <w:szCs w:val="24"/>
              </w:rPr>
              <w:t>3D/4D söögitorukaudne ehhokardiograafia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01DC6D" w14:textId="77777777" w:rsidR="00BB5B77" w:rsidRPr="00687DE8" w:rsidRDefault="00BB5B77" w:rsidP="00BB5B77">
            <w:pPr>
              <w:spacing w:after="0" w:line="240" w:lineRule="auto"/>
              <w:jc w:val="center"/>
              <w:rPr>
                <w:szCs w:val="24"/>
              </w:rPr>
            </w:pPr>
            <w:r w:rsidRPr="00687DE8">
              <w:rPr>
                <w:szCs w:val="24"/>
              </w:rPr>
              <w:t>6363</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9984CB3" w14:textId="57D06B51" w:rsidR="2E1E8EE1" w:rsidRPr="00687DE8" w:rsidRDefault="00054473">
            <w:pPr>
              <w:spacing w:after="0"/>
              <w:jc w:val="center"/>
              <w:rPr>
                <w:color w:val="000000" w:themeColor="text1"/>
                <w:szCs w:val="24"/>
              </w:rPr>
            </w:pPr>
            <w:r>
              <w:rPr>
                <w:color w:val="000000"/>
              </w:rPr>
              <w:t>410,32</w:t>
            </w:r>
          </w:p>
        </w:tc>
      </w:tr>
      <w:tr w:rsidR="00BB5B77" w:rsidRPr="00687DE8" w14:paraId="654AEC17"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80FB16" w14:textId="77777777" w:rsidR="00BB5B77" w:rsidRPr="00687DE8" w:rsidRDefault="00BB5B77" w:rsidP="00BB5B77">
            <w:pPr>
              <w:spacing w:after="0" w:line="240" w:lineRule="auto"/>
              <w:rPr>
                <w:szCs w:val="24"/>
              </w:rPr>
            </w:pPr>
            <w:r w:rsidRPr="00687DE8">
              <w:rPr>
                <w:szCs w:val="24"/>
              </w:rPr>
              <w:t>Protseduuriaegne 3D/4D söögitorukaudne/transtorakaalne ehhokardiograafia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2D3D4E" w14:textId="77777777" w:rsidR="00BB5B77" w:rsidRPr="00687DE8" w:rsidRDefault="00BB5B77" w:rsidP="00BB5B77">
            <w:pPr>
              <w:spacing w:after="0" w:line="240" w:lineRule="auto"/>
              <w:jc w:val="center"/>
              <w:rPr>
                <w:szCs w:val="24"/>
              </w:rPr>
            </w:pPr>
          </w:p>
          <w:p w14:paraId="6A95A9A8" w14:textId="77777777" w:rsidR="00BB5B77" w:rsidRPr="00687DE8" w:rsidRDefault="00BB5B77" w:rsidP="00BB5B77">
            <w:pPr>
              <w:spacing w:after="0" w:line="240" w:lineRule="auto"/>
              <w:jc w:val="center"/>
              <w:rPr>
                <w:szCs w:val="24"/>
              </w:rPr>
            </w:pPr>
            <w:r w:rsidRPr="00687DE8">
              <w:rPr>
                <w:szCs w:val="24"/>
              </w:rPr>
              <w:t>6364</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628D571" w14:textId="71B1F86F" w:rsidR="2E1E8EE1" w:rsidRPr="00687DE8" w:rsidRDefault="00054473">
            <w:pPr>
              <w:spacing w:after="0"/>
              <w:jc w:val="center"/>
              <w:rPr>
                <w:color w:val="000000" w:themeColor="text1"/>
                <w:szCs w:val="24"/>
              </w:rPr>
            </w:pPr>
            <w:r>
              <w:rPr>
                <w:color w:val="000000"/>
              </w:rPr>
              <w:t>328,22</w:t>
            </w:r>
          </w:p>
        </w:tc>
      </w:tr>
      <w:tr w:rsidR="00BB5B77" w:rsidRPr="00687DE8" w14:paraId="191BC407"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5019BB" w14:textId="77777777" w:rsidR="00BB5B77" w:rsidRPr="00687DE8" w:rsidRDefault="00BB5B77" w:rsidP="00BB5B77">
            <w:pPr>
              <w:spacing w:after="0" w:line="240" w:lineRule="auto"/>
              <w:rPr>
                <w:szCs w:val="24"/>
              </w:rPr>
            </w:pPr>
            <w:r w:rsidRPr="00687DE8">
              <w:rPr>
                <w:szCs w:val="24"/>
              </w:rPr>
              <w:t>Ehhokardiograafia osalise mahuga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F7D993" w14:textId="77777777" w:rsidR="00BB5B77" w:rsidRPr="00687DE8" w:rsidRDefault="00BB5B77" w:rsidP="00BB5B77">
            <w:pPr>
              <w:spacing w:after="0" w:line="240" w:lineRule="auto"/>
              <w:jc w:val="center"/>
              <w:rPr>
                <w:szCs w:val="24"/>
              </w:rPr>
            </w:pPr>
            <w:r w:rsidRPr="00687DE8">
              <w:rPr>
                <w:szCs w:val="24"/>
              </w:rPr>
              <w:t>6339</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FF8C168" w14:textId="5394BDBF" w:rsidR="2E1E8EE1" w:rsidRPr="00687DE8" w:rsidRDefault="00054473">
            <w:pPr>
              <w:spacing w:after="0"/>
              <w:jc w:val="center"/>
              <w:rPr>
                <w:color w:val="000000" w:themeColor="text1"/>
                <w:szCs w:val="24"/>
              </w:rPr>
            </w:pPr>
            <w:r>
              <w:rPr>
                <w:color w:val="000000"/>
              </w:rPr>
              <w:t>65,41</w:t>
            </w:r>
          </w:p>
        </w:tc>
      </w:tr>
      <w:tr w:rsidR="00BB5B77" w:rsidRPr="00687DE8" w14:paraId="485C5797"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93BF9DD" w14:textId="77777777" w:rsidR="00BB5B77" w:rsidRPr="00687DE8" w:rsidRDefault="00BB5B77" w:rsidP="00BB5B77">
            <w:pPr>
              <w:spacing w:after="0" w:line="240" w:lineRule="auto"/>
              <w:rPr>
                <w:szCs w:val="24"/>
              </w:rPr>
            </w:pPr>
            <w:r w:rsidRPr="00687DE8">
              <w:rPr>
                <w:szCs w:val="24"/>
              </w:rPr>
              <w:t>Täismahus ehhokardiograafia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ED6B66" w14:textId="77777777" w:rsidR="00BB5B77" w:rsidRPr="00687DE8" w:rsidRDefault="00BB5B77" w:rsidP="00BB5B77">
            <w:pPr>
              <w:spacing w:after="0" w:line="240" w:lineRule="auto"/>
              <w:jc w:val="center"/>
              <w:rPr>
                <w:szCs w:val="24"/>
              </w:rPr>
            </w:pPr>
            <w:r w:rsidRPr="00687DE8">
              <w:rPr>
                <w:szCs w:val="24"/>
              </w:rPr>
              <w:t>6340</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9326345" w14:textId="0C40394F" w:rsidR="2E1E8EE1" w:rsidRPr="00687DE8" w:rsidRDefault="00054473">
            <w:pPr>
              <w:spacing w:after="0"/>
              <w:jc w:val="center"/>
              <w:rPr>
                <w:color w:val="000000" w:themeColor="text1"/>
                <w:szCs w:val="24"/>
              </w:rPr>
            </w:pPr>
            <w:r>
              <w:rPr>
                <w:color w:val="000000"/>
              </w:rPr>
              <w:t>164,82</w:t>
            </w:r>
          </w:p>
        </w:tc>
      </w:tr>
      <w:tr w:rsidR="00BB5B77" w:rsidRPr="00687DE8" w14:paraId="645C9463"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990883" w14:textId="77777777" w:rsidR="00BB5B77" w:rsidRPr="00687DE8" w:rsidRDefault="00BB5B77" w:rsidP="00BB5B77">
            <w:pPr>
              <w:spacing w:after="0" w:line="240" w:lineRule="auto"/>
              <w:rPr>
                <w:szCs w:val="24"/>
              </w:rPr>
            </w:pPr>
            <w:r w:rsidRPr="00687DE8">
              <w:rPr>
                <w:szCs w:val="24"/>
              </w:rPr>
              <w:t>Stress-ehhokardiograafia ravimiga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E83619" w14:textId="77777777" w:rsidR="00BB5B77" w:rsidRPr="00687DE8" w:rsidRDefault="00BB5B77" w:rsidP="00BB5B77">
            <w:pPr>
              <w:spacing w:after="0" w:line="240" w:lineRule="auto"/>
              <w:jc w:val="center"/>
              <w:rPr>
                <w:szCs w:val="24"/>
              </w:rPr>
            </w:pPr>
            <w:r w:rsidRPr="00687DE8">
              <w:rPr>
                <w:szCs w:val="24"/>
              </w:rPr>
              <w:t>6365</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75E71D8" w14:textId="16E334EA" w:rsidR="2E1E8EE1" w:rsidRPr="00687DE8" w:rsidRDefault="00054473">
            <w:pPr>
              <w:spacing w:after="0"/>
              <w:jc w:val="center"/>
              <w:rPr>
                <w:color w:val="000000" w:themeColor="text1"/>
                <w:szCs w:val="24"/>
              </w:rPr>
            </w:pPr>
            <w:r>
              <w:rPr>
                <w:color w:val="000000"/>
              </w:rPr>
              <w:t>313,26</w:t>
            </w:r>
          </w:p>
        </w:tc>
      </w:tr>
      <w:tr w:rsidR="00BB5B77" w:rsidRPr="00687DE8" w14:paraId="716A008A"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B59213" w14:textId="77777777" w:rsidR="00BB5B77" w:rsidRPr="00687DE8" w:rsidRDefault="00BB5B77" w:rsidP="00BB5B77">
            <w:pPr>
              <w:spacing w:after="0" w:line="240" w:lineRule="auto"/>
              <w:rPr>
                <w:szCs w:val="24"/>
              </w:rPr>
            </w:pPr>
            <w:r w:rsidRPr="00687DE8">
              <w:rPr>
                <w:szCs w:val="24"/>
              </w:rPr>
              <w:t>Stress-ehhokardiograafia füüsilise koormusega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B1C343" w14:textId="77777777" w:rsidR="00BB5B77" w:rsidRPr="00687DE8" w:rsidRDefault="00BB5B77" w:rsidP="00BB5B77">
            <w:pPr>
              <w:spacing w:after="0" w:line="240" w:lineRule="auto"/>
              <w:jc w:val="center"/>
              <w:rPr>
                <w:szCs w:val="24"/>
              </w:rPr>
            </w:pPr>
            <w:r w:rsidRPr="00687DE8">
              <w:rPr>
                <w:szCs w:val="24"/>
              </w:rPr>
              <w:t>6366</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9E2B78B" w14:textId="2571A4BD" w:rsidR="2E1E8EE1" w:rsidRPr="00687DE8" w:rsidRDefault="00054473">
            <w:pPr>
              <w:spacing w:after="0"/>
              <w:jc w:val="center"/>
              <w:rPr>
                <w:color w:val="000000" w:themeColor="text1"/>
                <w:szCs w:val="24"/>
              </w:rPr>
            </w:pPr>
            <w:r>
              <w:rPr>
                <w:color w:val="000000"/>
              </w:rPr>
              <w:t>306,25</w:t>
            </w:r>
          </w:p>
        </w:tc>
      </w:tr>
      <w:tr w:rsidR="00BB5B77" w:rsidRPr="00687DE8" w14:paraId="15928E22" w14:textId="77777777" w:rsidTr="00EB7A71">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A39CF5" w14:textId="77777777" w:rsidR="00BB5B77" w:rsidRPr="00687DE8" w:rsidRDefault="00BB5B77" w:rsidP="00BB5B77">
            <w:pPr>
              <w:spacing w:after="0" w:line="240" w:lineRule="auto"/>
              <w:rPr>
                <w:szCs w:val="24"/>
              </w:rPr>
            </w:pPr>
            <w:r w:rsidRPr="00687DE8">
              <w:rPr>
                <w:szCs w:val="24"/>
              </w:rPr>
              <w:lastRenderedPageBreak/>
              <w:t>„Strain“ ehhokardiograafia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C908FE" w14:textId="77777777" w:rsidR="00BB5B77" w:rsidRPr="00687DE8" w:rsidRDefault="00BB5B77" w:rsidP="00BB5B77">
            <w:pPr>
              <w:spacing w:after="0" w:line="240" w:lineRule="auto"/>
              <w:jc w:val="center"/>
              <w:rPr>
                <w:szCs w:val="24"/>
              </w:rPr>
            </w:pPr>
            <w:r w:rsidRPr="00687DE8">
              <w:rPr>
                <w:szCs w:val="24"/>
              </w:rPr>
              <w:t>6367</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87F0D96" w14:textId="13C9B530" w:rsidR="2E1E8EE1" w:rsidRPr="00687DE8" w:rsidRDefault="00054473">
            <w:pPr>
              <w:spacing w:after="0"/>
              <w:jc w:val="center"/>
              <w:rPr>
                <w:color w:val="000000" w:themeColor="text1"/>
                <w:szCs w:val="24"/>
              </w:rPr>
            </w:pPr>
            <w:r>
              <w:rPr>
                <w:color w:val="000000"/>
              </w:rPr>
              <w:t>82,37</w:t>
            </w:r>
          </w:p>
        </w:tc>
      </w:tr>
      <w:tr w:rsidR="00BB5B77" w:rsidRPr="00687DE8" w14:paraId="220A0E75"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635F81" w14:textId="77777777" w:rsidR="00BB5B77" w:rsidRPr="00687DE8" w:rsidRDefault="00BB5B77" w:rsidP="00BB5B77">
            <w:pPr>
              <w:spacing w:after="0" w:line="240" w:lineRule="auto"/>
              <w:rPr>
                <w:szCs w:val="24"/>
              </w:rPr>
            </w:pPr>
            <w:r w:rsidRPr="00687DE8">
              <w:rPr>
                <w:szCs w:val="24"/>
              </w:rPr>
              <w:t>Kontrast-ehhokardiograafia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53B7B3" w14:textId="77777777" w:rsidR="00BB5B77" w:rsidRPr="00687DE8" w:rsidRDefault="00BB5B77" w:rsidP="00BB5B77">
            <w:pPr>
              <w:spacing w:after="0" w:line="240" w:lineRule="auto"/>
              <w:jc w:val="center"/>
              <w:rPr>
                <w:szCs w:val="24"/>
              </w:rPr>
            </w:pPr>
            <w:r w:rsidRPr="00687DE8">
              <w:rPr>
                <w:szCs w:val="24"/>
              </w:rPr>
              <w:t>6368</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7E413AD" w14:textId="3C38B3B3" w:rsidR="2E1E8EE1" w:rsidRPr="00687DE8" w:rsidRDefault="00054473">
            <w:pPr>
              <w:spacing w:after="0"/>
              <w:jc w:val="center"/>
              <w:rPr>
                <w:color w:val="000000" w:themeColor="text1"/>
                <w:szCs w:val="24"/>
              </w:rPr>
            </w:pPr>
            <w:r>
              <w:rPr>
                <w:color w:val="000000"/>
              </w:rPr>
              <w:t>312,65</w:t>
            </w:r>
          </w:p>
        </w:tc>
      </w:tr>
      <w:tr w:rsidR="00BB5B77" w:rsidRPr="00687DE8" w14:paraId="6E648F0C"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D96456" w14:textId="77777777" w:rsidR="00BB5B77" w:rsidRPr="00687DE8" w:rsidRDefault="00BB5B77" w:rsidP="00BB5B77">
            <w:pPr>
              <w:spacing w:after="0" w:line="240" w:lineRule="auto"/>
              <w:rPr>
                <w:szCs w:val="24"/>
              </w:rPr>
            </w:pPr>
            <w:r w:rsidRPr="00687DE8">
              <w:rPr>
                <w:szCs w:val="24"/>
              </w:rPr>
              <w:t>3D/4D ehhokardiograafia</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EB1C2D" w14:textId="77777777" w:rsidR="00BB5B77" w:rsidRPr="00687DE8" w:rsidRDefault="00BB5B77" w:rsidP="00BB5B77">
            <w:pPr>
              <w:spacing w:after="0" w:line="240" w:lineRule="auto"/>
              <w:jc w:val="center"/>
              <w:rPr>
                <w:szCs w:val="24"/>
              </w:rPr>
            </w:pPr>
            <w:r w:rsidRPr="00687DE8">
              <w:rPr>
                <w:szCs w:val="24"/>
              </w:rPr>
              <w:t>6369</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B567826" w14:textId="6652BBE2" w:rsidR="2E1E8EE1" w:rsidRPr="00687DE8" w:rsidRDefault="00054473">
            <w:pPr>
              <w:spacing w:after="0"/>
              <w:jc w:val="center"/>
              <w:rPr>
                <w:color w:val="000000" w:themeColor="text1"/>
                <w:szCs w:val="24"/>
              </w:rPr>
            </w:pPr>
            <w:r>
              <w:rPr>
                <w:color w:val="000000"/>
              </w:rPr>
              <w:t>187,56</w:t>
            </w:r>
          </w:p>
        </w:tc>
      </w:tr>
      <w:tr w:rsidR="00BB5B77" w:rsidRPr="00687DE8" w14:paraId="673D86F3"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D0C0EA" w14:textId="77777777" w:rsidR="00BB5B77" w:rsidRPr="00687DE8" w:rsidRDefault="00BB5B77" w:rsidP="00BB5B77">
            <w:pPr>
              <w:spacing w:after="0" w:line="240" w:lineRule="auto"/>
              <w:rPr>
                <w:szCs w:val="24"/>
              </w:rPr>
            </w:pPr>
            <w:r w:rsidRPr="00687DE8">
              <w:rPr>
                <w:szCs w:val="24"/>
              </w:rPr>
              <w:t xml:space="preserve">Täiendav ehhokardiograafiline analüüs </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8586BB" w14:textId="77777777" w:rsidR="00BB5B77" w:rsidRPr="00687DE8" w:rsidRDefault="00BB5B77" w:rsidP="00BB5B77">
            <w:pPr>
              <w:spacing w:after="0" w:line="240" w:lineRule="auto"/>
              <w:jc w:val="center"/>
              <w:rPr>
                <w:szCs w:val="24"/>
              </w:rPr>
            </w:pPr>
            <w:r w:rsidRPr="00687DE8">
              <w:rPr>
                <w:szCs w:val="24"/>
              </w:rPr>
              <w:t>6370</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9DE8A41" w14:textId="0EFEAF7C" w:rsidR="2E1E8EE1" w:rsidRPr="00687DE8" w:rsidRDefault="00054473">
            <w:pPr>
              <w:spacing w:after="0"/>
              <w:jc w:val="center"/>
              <w:rPr>
                <w:color w:val="000000" w:themeColor="text1"/>
                <w:szCs w:val="24"/>
              </w:rPr>
            </w:pPr>
            <w:r>
              <w:rPr>
                <w:color w:val="000000"/>
              </w:rPr>
              <w:t>60,79</w:t>
            </w:r>
          </w:p>
        </w:tc>
      </w:tr>
      <w:tr w:rsidR="00BB5B77" w:rsidRPr="00687DE8" w14:paraId="3A5C3CFD"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6F181B" w14:textId="77777777" w:rsidR="00BB5B77" w:rsidRPr="00687DE8" w:rsidRDefault="00BB5B77" w:rsidP="00BB5B77">
            <w:pPr>
              <w:spacing w:after="0" w:line="240" w:lineRule="auto"/>
              <w:rPr>
                <w:szCs w:val="24"/>
              </w:rPr>
            </w:pPr>
            <w:r w:rsidRPr="00687DE8">
              <w:rPr>
                <w:szCs w:val="24"/>
              </w:rPr>
              <w:t>EKG monitooring 24 tundi</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FC9901" w14:textId="77777777" w:rsidR="00BB5B77" w:rsidRPr="00687DE8" w:rsidRDefault="00BB5B77" w:rsidP="00BB5B77">
            <w:pPr>
              <w:spacing w:after="0" w:line="240" w:lineRule="auto"/>
              <w:jc w:val="center"/>
              <w:rPr>
                <w:szCs w:val="24"/>
              </w:rPr>
            </w:pPr>
            <w:r w:rsidRPr="00687DE8">
              <w:rPr>
                <w:szCs w:val="24"/>
              </w:rPr>
              <w:t>6371</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1A9E4DC" w14:textId="5B9EEE7A" w:rsidR="2E1E8EE1" w:rsidRPr="00687DE8" w:rsidRDefault="00054473">
            <w:pPr>
              <w:spacing w:after="0"/>
              <w:jc w:val="center"/>
              <w:rPr>
                <w:color w:val="000000" w:themeColor="text1"/>
                <w:szCs w:val="24"/>
              </w:rPr>
            </w:pPr>
            <w:r>
              <w:rPr>
                <w:color w:val="000000"/>
              </w:rPr>
              <w:t>83,97</w:t>
            </w:r>
          </w:p>
        </w:tc>
      </w:tr>
      <w:tr w:rsidR="00BB5B77" w:rsidRPr="00687DE8" w14:paraId="3ACFA3C0"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9C9344" w14:textId="77777777" w:rsidR="00BB5B77" w:rsidRPr="00687DE8" w:rsidRDefault="00BB5B77" w:rsidP="00BB5B77">
            <w:pPr>
              <w:spacing w:after="0" w:line="240" w:lineRule="auto"/>
              <w:rPr>
                <w:szCs w:val="24"/>
              </w:rPr>
            </w:pPr>
            <w:r w:rsidRPr="00687DE8">
              <w:rPr>
                <w:szCs w:val="24"/>
              </w:rPr>
              <w:t>Telemeetriline EKG 24 tundi</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CAA458" w14:textId="761C91A0" w:rsidR="00BB5B77" w:rsidRPr="00687DE8" w:rsidRDefault="00BB5B77" w:rsidP="00BB5B77">
            <w:pPr>
              <w:spacing w:after="0" w:line="240" w:lineRule="auto"/>
              <w:jc w:val="center"/>
              <w:rPr>
                <w:szCs w:val="24"/>
              </w:rPr>
            </w:pPr>
            <w:r w:rsidRPr="00687DE8">
              <w:rPr>
                <w:szCs w:val="24"/>
              </w:rPr>
              <w:t>6372</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A6AF316" w14:textId="7B2FB4A1" w:rsidR="2E1E8EE1" w:rsidRPr="00687DE8" w:rsidRDefault="00054473">
            <w:pPr>
              <w:spacing w:after="0"/>
              <w:jc w:val="center"/>
              <w:rPr>
                <w:color w:val="000000" w:themeColor="text1"/>
                <w:szCs w:val="24"/>
              </w:rPr>
            </w:pPr>
            <w:r>
              <w:rPr>
                <w:color w:val="000000"/>
              </w:rPr>
              <w:t>78,18</w:t>
            </w:r>
          </w:p>
        </w:tc>
      </w:tr>
      <w:tr w:rsidR="00BB5B77" w:rsidRPr="00687DE8" w14:paraId="526B3A73"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C9DEAE" w14:textId="77777777" w:rsidR="00BB5B77" w:rsidRPr="00687DE8" w:rsidRDefault="00BB5B77" w:rsidP="00BB5B77">
            <w:pPr>
              <w:spacing w:after="0" w:line="240" w:lineRule="auto"/>
              <w:rPr>
                <w:szCs w:val="24"/>
              </w:rPr>
            </w:pPr>
            <w:r w:rsidRPr="00687DE8">
              <w:rPr>
                <w:szCs w:val="24"/>
              </w:rPr>
              <w:t>Vererõhu ööpäevane monitooring</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70A290" w14:textId="77777777" w:rsidR="00BB5B77" w:rsidRPr="00687DE8" w:rsidRDefault="00BB5B77" w:rsidP="00BB5B77">
            <w:pPr>
              <w:spacing w:after="0" w:line="240" w:lineRule="auto"/>
              <w:jc w:val="center"/>
              <w:rPr>
                <w:szCs w:val="24"/>
              </w:rPr>
            </w:pPr>
            <w:r w:rsidRPr="00687DE8">
              <w:rPr>
                <w:szCs w:val="24"/>
              </w:rPr>
              <w:t>6344</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D747BBB" w14:textId="70317D6C" w:rsidR="2E1E8EE1" w:rsidRPr="00687DE8" w:rsidRDefault="00054473">
            <w:pPr>
              <w:spacing w:after="0"/>
              <w:jc w:val="center"/>
              <w:rPr>
                <w:color w:val="000000" w:themeColor="text1"/>
                <w:szCs w:val="24"/>
              </w:rPr>
            </w:pPr>
            <w:r>
              <w:rPr>
                <w:color w:val="000000"/>
              </w:rPr>
              <w:t>48,71</w:t>
            </w:r>
          </w:p>
        </w:tc>
      </w:tr>
      <w:tr w:rsidR="00BB5B77" w:rsidRPr="00687DE8" w14:paraId="4B46E756" w14:textId="77777777" w:rsidTr="00934CCC">
        <w:trPr>
          <w:divId w:val="1316184749"/>
          <w:trHeight w:val="300"/>
        </w:trPr>
        <w:tc>
          <w:tcPr>
            <w:tcW w:w="6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AE1CD3" w14:textId="77777777" w:rsidR="00BB5B77" w:rsidRPr="00687DE8" w:rsidRDefault="00BB5B77" w:rsidP="00BB5B77">
            <w:pPr>
              <w:spacing w:after="0" w:line="240" w:lineRule="auto"/>
              <w:rPr>
                <w:szCs w:val="24"/>
              </w:rPr>
            </w:pPr>
            <w:r w:rsidRPr="00687DE8">
              <w:rPr>
                <w:szCs w:val="24"/>
              </w:rPr>
              <w:t>Loote südamerikete diagnostika (sh täismahus ehhokardiograafia) ja pere nõustamine</w:t>
            </w:r>
          </w:p>
        </w:tc>
        <w:tc>
          <w:tcPr>
            <w:tcW w:w="1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94BCB2" w14:textId="77777777" w:rsidR="00BB5B77" w:rsidRPr="00687DE8" w:rsidRDefault="00BB5B77" w:rsidP="00BB5B77">
            <w:pPr>
              <w:spacing w:after="0" w:line="240" w:lineRule="auto"/>
              <w:jc w:val="center"/>
              <w:rPr>
                <w:szCs w:val="24"/>
              </w:rPr>
            </w:pPr>
          </w:p>
          <w:p w14:paraId="3517BDD3" w14:textId="77777777" w:rsidR="00BB5B77" w:rsidRPr="00687DE8" w:rsidRDefault="00BB5B77" w:rsidP="00BB5B77">
            <w:pPr>
              <w:spacing w:after="0" w:line="240" w:lineRule="auto"/>
              <w:jc w:val="center"/>
              <w:rPr>
                <w:szCs w:val="24"/>
              </w:rPr>
            </w:pPr>
            <w:r w:rsidRPr="00687DE8">
              <w:rPr>
                <w:szCs w:val="24"/>
              </w:rPr>
              <w:t>6373</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BC32411" w14:textId="35A578AB" w:rsidR="2E1E8EE1" w:rsidRPr="00687DE8" w:rsidRDefault="00054473">
            <w:pPr>
              <w:spacing w:after="0"/>
              <w:jc w:val="center"/>
              <w:rPr>
                <w:color w:val="000000" w:themeColor="text1"/>
                <w:szCs w:val="24"/>
              </w:rPr>
            </w:pPr>
            <w:r>
              <w:rPr>
                <w:color w:val="000000"/>
              </w:rPr>
              <w:t>288,15</w:t>
            </w:r>
          </w:p>
        </w:tc>
      </w:tr>
    </w:tbl>
    <w:p w14:paraId="7A25A83A" w14:textId="77777777" w:rsidR="00976487" w:rsidRPr="00687DE8" w:rsidRDefault="00976487" w:rsidP="00976487">
      <w:pPr>
        <w:spacing w:after="0" w:line="240" w:lineRule="auto"/>
        <w:jc w:val="both"/>
        <w:divId w:val="1316184749"/>
        <w:rPr>
          <w:szCs w:val="24"/>
        </w:rPr>
      </w:pPr>
    </w:p>
    <w:p w14:paraId="11B3BF0C" w14:textId="530C1909" w:rsidR="00976487" w:rsidRPr="00687DE8" w:rsidRDefault="00976487" w:rsidP="00976487">
      <w:pPr>
        <w:spacing w:after="0" w:line="240" w:lineRule="auto"/>
        <w:jc w:val="both"/>
        <w:divId w:val="1316184749"/>
        <w:rPr>
          <w:szCs w:val="24"/>
        </w:rPr>
      </w:pPr>
      <w:r w:rsidRPr="00687DE8">
        <w:rPr>
          <w:szCs w:val="24"/>
        </w:rPr>
        <w:t xml:space="preserve">(2) </w:t>
      </w:r>
      <w:r w:rsidR="005023FD" w:rsidRPr="00687DE8">
        <w:rPr>
          <w:szCs w:val="24"/>
        </w:rPr>
        <w:t>Tervisekassa</w:t>
      </w:r>
      <w:r w:rsidRPr="00687DE8">
        <w:rPr>
          <w:szCs w:val="24"/>
        </w:rPr>
        <w:t xml:space="preserve"> võtab koodiga 6310 tähistatud tervishoiuteenuse eest tasu maksmise kohustuse üle Raynaud’ sündroomi või süsteemse skleroosi korral.</w:t>
      </w:r>
    </w:p>
    <w:p w14:paraId="37B4DA25" w14:textId="77777777" w:rsidR="00976487" w:rsidRPr="00687DE8" w:rsidRDefault="00976487" w:rsidP="00976487">
      <w:pPr>
        <w:spacing w:after="0" w:line="240" w:lineRule="auto"/>
        <w:jc w:val="both"/>
        <w:divId w:val="1316184749"/>
        <w:rPr>
          <w:szCs w:val="24"/>
        </w:rPr>
      </w:pPr>
    </w:p>
    <w:p w14:paraId="30218C6B" w14:textId="77777777" w:rsidR="00976487" w:rsidRPr="00687DE8" w:rsidRDefault="00976487" w:rsidP="00976487">
      <w:pPr>
        <w:spacing w:after="0" w:line="240" w:lineRule="auto"/>
        <w:jc w:val="both"/>
        <w:divId w:val="1316184749"/>
        <w:rPr>
          <w:szCs w:val="24"/>
        </w:rPr>
      </w:pPr>
      <w:r w:rsidRPr="00687DE8">
        <w:rPr>
          <w:szCs w:val="24"/>
        </w:rPr>
        <w:t xml:space="preserve">(3) Koodiga 6340 tähistatud tervishoiuteenuse piirhind sisaldab kõikide südameõõnte, klappide ja suurte veresoonte uurimist mitmetes vaadetes </w:t>
      </w:r>
      <w:r w:rsidR="001200B6" w:rsidRPr="00687DE8">
        <w:rPr>
          <w:szCs w:val="24"/>
        </w:rPr>
        <w:t>ühe</w:t>
      </w:r>
      <w:r w:rsidRPr="00687DE8">
        <w:rPr>
          <w:szCs w:val="24"/>
        </w:rPr>
        <w:t xml:space="preserve">-dimensionaalsel (1D e M-mode), </w:t>
      </w:r>
      <w:r w:rsidR="001200B6" w:rsidRPr="00687DE8">
        <w:rPr>
          <w:szCs w:val="24"/>
        </w:rPr>
        <w:t>kahe</w:t>
      </w:r>
      <w:r w:rsidRPr="00687DE8">
        <w:rPr>
          <w:szCs w:val="24"/>
        </w:rPr>
        <w:t>-dimensionaalsel (2D), spektraal-</w:t>
      </w:r>
      <w:r w:rsidRPr="00687DE8">
        <w:rPr>
          <w:i/>
          <w:szCs w:val="24"/>
        </w:rPr>
        <w:t>Doppler</w:t>
      </w:r>
      <w:r w:rsidRPr="00687DE8">
        <w:rPr>
          <w:szCs w:val="24"/>
        </w:rPr>
        <w:t>-(PW, CW) ja värvi-</w:t>
      </w:r>
      <w:r w:rsidRPr="00687DE8">
        <w:rPr>
          <w:i/>
          <w:szCs w:val="24"/>
        </w:rPr>
        <w:t>Doppler</w:t>
      </w:r>
      <w:r w:rsidRPr="00687DE8">
        <w:rPr>
          <w:szCs w:val="24"/>
        </w:rPr>
        <w:t>-meetodil ning neile hinnangu andmist nii strukturaalsest kui ka funktsionaalsest aspektist.</w:t>
      </w:r>
    </w:p>
    <w:p w14:paraId="1214A995" w14:textId="77777777" w:rsidR="00976487" w:rsidRPr="00687DE8" w:rsidRDefault="00976487" w:rsidP="00976487">
      <w:pPr>
        <w:spacing w:after="0" w:line="240" w:lineRule="auto"/>
        <w:jc w:val="both"/>
        <w:divId w:val="1316184749"/>
        <w:rPr>
          <w:szCs w:val="24"/>
        </w:rPr>
      </w:pPr>
    </w:p>
    <w:p w14:paraId="3DBA8242" w14:textId="583B43C0" w:rsidR="00976487" w:rsidRPr="00687DE8" w:rsidRDefault="00976487" w:rsidP="00976487">
      <w:pPr>
        <w:spacing w:after="0" w:line="240" w:lineRule="auto"/>
        <w:jc w:val="both"/>
        <w:divId w:val="1316184749"/>
        <w:rPr>
          <w:szCs w:val="24"/>
        </w:rPr>
      </w:pPr>
      <w:r w:rsidRPr="00687DE8">
        <w:rPr>
          <w:szCs w:val="24"/>
        </w:rPr>
        <w:t xml:space="preserve">(4) </w:t>
      </w:r>
      <w:r w:rsidR="005023FD" w:rsidRPr="00687DE8">
        <w:rPr>
          <w:szCs w:val="24"/>
        </w:rPr>
        <w:t>Tervisekassa</w:t>
      </w:r>
      <w:r w:rsidRPr="00687DE8">
        <w:rPr>
          <w:szCs w:val="24"/>
        </w:rPr>
        <w:t xml:space="preserve"> võtab koodiga 6341 tähistatud tervishoiuteenuse eest tasu maksmise kohustuse üle alla 16-aastaselt patsiendilt, kui esineb vähemalt üks järgmistest seisunditest: kardiorespiratoorne puudulikkus, hüpertensioon, südame isheemiatõbi, rasvumine või püsiv eluviisi korrigeerimisele mittealluv päevane liigunisus või insomnia.</w:t>
      </w:r>
    </w:p>
    <w:p w14:paraId="3724029B" w14:textId="77777777" w:rsidR="00976487" w:rsidRPr="00687DE8" w:rsidRDefault="00976487" w:rsidP="00976487">
      <w:pPr>
        <w:spacing w:after="0" w:line="240" w:lineRule="auto"/>
        <w:jc w:val="both"/>
        <w:divId w:val="1316184749"/>
        <w:rPr>
          <w:szCs w:val="24"/>
        </w:rPr>
      </w:pPr>
    </w:p>
    <w:p w14:paraId="7B84CBF9" w14:textId="2ECEA302" w:rsidR="00976487" w:rsidRPr="00687DE8" w:rsidRDefault="00976487" w:rsidP="00976487">
      <w:pPr>
        <w:spacing w:after="0" w:line="240" w:lineRule="auto"/>
        <w:jc w:val="both"/>
        <w:divId w:val="1316184749"/>
        <w:rPr>
          <w:szCs w:val="24"/>
        </w:rPr>
      </w:pPr>
      <w:r w:rsidRPr="00687DE8">
        <w:rPr>
          <w:szCs w:val="24"/>
        </w:rPr>
        <w:t xml:space="preserve">(5) </w:t>
      </w:r>
      <w:r w:rsidR="005023FD" w:rsidRPr="00687DE8">
        <w:rPr>
          <w:szCs w:val="24"/>
        </w:rPr>
        <w:t>Tervisekassa</w:t>
      </w:r>
      <w:r w:rsidRPr="00687DE8">
        <w:rPr>
          <w:szCs w:val="24"/>
        </w:rPr>
        <w:t xml:space="preserve"> võtab koodiga 6341 tähistatud tervishoiuteenuse eest tasu maksmise kohustuse üle 16-aastaselt ja vanemalt patsiendilt, kelle Epworthi unisuse skaala skoor &gt; 10 või kelle oksühemoglobiini desaturatsiooniindeks (ODI) &gt; 15 ning kellel on vähemalt üks järgmistest seisunditest: kõrge või väga kõrge lisariskiga ravim-refraktaarne hüpertensioon, mis ei allu ravile vähemalt kahe hüpertensiooni ravimiga, öine hüpertensioon või </w:t>
      </w:r>
      <w:r w:rsidRPr="00687DE8">
        <w:rPr>
          <w:i/>
          <w:szCs w:val="24"/>
        </w:rPr>
        <w:t>non-dipper</w:t>
      </w:r>
      <w:r w:rsidRPr="00687DE8">
        <w:rPr>
          <w:szCs w:val="24"/>
        </w:rPr>
        <w:t> profiiliga vererõhk, kodade virvendusarütmia, kardiovaskulaarne haigus südamepuudulikkusega (alates NYHA II), infarkti- või insuldijärgne seisund.</w:t>
      </w:r>
    </w:p>
    <w:p w14:paraId="3091FD3A" w14:textId="77777777" w:rsidR="00976487" w:rsidRPr="00687DE8" w:rsidRDefault="00976487" w:rsidP="00976487">
      <w:pPr>
        <w:spacing w:after="0" w:line="240" w:lineRule="auto"/>
        <w:jc w:val="both"/>
        <w:divId w:val="1316184749"/>
        <w:rPr>
          <w:szCs w:val="24"/>
        </w:rPr>
      </w:pPr>
    </w:p>
    <w:p w14:paraId="6BAC77F4" w14:textId="77777777" w:rsidR="00976487" w:rsidRPr="00687DE8" w:rsidRDefault="00976487" w:rsidP="00976487">
      <w:pPr>
        <w:spacing w:after="0" w:line="240" w:lineRule="auto"/>
        <w:jc w:val="both"/>
        <w:divId w:val="1316184749"/>
        <w:rPr>
          <w:szCs w:val="24"/>
        </w:rPr>
      </w:pPr>
      <w:r w:rsidRPr="00687DE8">
        <w:rPr>
          <w:szCs w:val="24"/>
        </w:rPr>
        <w:t xml:space="preserve">(6) Koodiga 6342 tähistatud tervishoiuteenuse piirhind sisaldab kõike uuringu tegemisega seonduvat, </w:t>
      </w:r>
      <w:r w:rsidR="00A40861" w:rsidRPr="00687DE8">
        <w:rPr>
          <w:szCs w:val="24"/>
        </w:rPr>
        <w:t xml:space="preserve">kaasa arvatud </w:t>
      </w:r>
      <w:r w:rsidRPr="00687DE8">
        <w:rPr>
          <w:szCs w:val="24"/>
        </w:rPr>
        <w:t>voodipäeva maksumust.</w:t>
      </w:r>
    </w:p>
    <w:p w14:paraId="5282BC55" w14:textId="77777777" w:rsidR="00976487" w:rsidRPr="00687DE8" w:rsidRDefault="00976487" w:rsidP="00976487">
      <w:pPr>
        <w:spacing w:after="0" w:line="240" w:lineRule="auto"/>
        <w:jc w:val="both"/>
        <w:divId w:val="1316184749"/>
        <w:rPr>
          <w:szCs w:val="24"/>
        </w:rPr>
      </w:pPr>
    </w:p>
    <w:p w14:paraId="7C7FE9E8" w14:textId="496B0BAA" w:rsidR="00976487" w:rsidRPr="00687DE8" w:rsidRDefault="00976487" w:rsidP="00976487">
      <w:pPr>
        <w:spacing w:after="0" w:line="240" w:lineRule="auto"/>
        <w:jc w:val="both"/>
        <w:divId w:val="1316184749"/>
        <w:rPr>
          <w:szCs w:val="24"/>
        </w:rPr>
      </w:pPr>
      <w:r w:rsidRPr="00687DE8">
        <w:rPr>
          <w:szCs w:val="24"/>
        </w:rPr>
        <w:t xml:space="preserve">(7) </w:t>
      </w:r>
      <w:r w:rsidR="005023FD" w:rsidRPr="00687DE8">
        <w:rPr>
          <w:szCs w:val="24"/>
        </w:rPr>
        <w:t>Tervisekassa</w:t>
      </w:r>
      <w:r w:rsidRPr="00687DE8">
        <w:rPr>
          <w:szCs w:val="24"/>
        </w:rPr>
        <w:t xml:space="preserve"> võtab koodiga 6342 tähistatud tervishoiuteenuse eest tasu maksmise kohustuse üle alla 16-aastaselt patsiendilt</w:t>
      </w:r>
      <w:r w:rsidR="00877212" w:rsidRPr="00687DE8">
        <w:rPr>
          <w:szCs w:val="24"/>
        </w:rPr>
        <w:t xml:space="preserve"> uneaegse hingamishäire kliinilise kahtluse korral</w:t>
      </w:r>
      <w:r w:rsidR="00C34ADF" w:rsidRPr="00687DE8">
        <w:rPr>
          <w:szCs w:val="24"/>
        </w:rPr>
        <w:t>.</w:t>
      </w:r>
    </w:p>
    <w:p w14:paraId="523D7219" w14:textId="77777777" w:rsidR="00976487" w:rsidRPr="00687DE8" w:rsidRDefault="00976487" w:rsidP="00976487">
      <w:pPr>
        <w:spacing w:after="0" w:line="240" w:lineRule="auto"/>
        <w:jc w:val="both"/>
        <w:divId w:val="1316184749"/>
        <w:rPr>
          <w:szCs w:val="24"/>
        </w:rPr>
      </w:pPr>
    </w:p>
    <w:p w14:paraId="1A4F1D00" w14:textId="0A27C246" w:rsidR="00B7695A" w:rsidRPr="00687DE8" w:rsidRDefault="00B7695A" w:rsidP="00B7695A">
      <w:pPr>
        <w:spacing w:after="0" w:line="240" w:lineRule="auto"/>
        <w:jc w:val="both"/>
        <w:divId w:val="1316184749"/>
        <w:rPr>
          <w:szCs w:val="24"/>
        </w:rPr>
      </w:pPr>
      <w:r w:rsidRPr="00687DE8">
        <w:rPr>
          <w:szCs w:val="24"/>
        </w:rPr>
        <w:t xml:space="preserve">(8) </w:t>
      </w:r>
      <w:r w:rsidR="005023FD" w:rsidRPr="00687DE8">
        <w:rPr>
          <w:szCs w:val="24"/>
        </w:rPr>
        <w:t>Tervisekassa</w:t>
      </w:r>
      <w:r w:rsidRPr="00687DE8">
        <w:rPr>
          <w:szCs w:val="24"/>
        </w:rPr>
        <w:t xml:space="preserve"> võtab koodiga 6342 tähistatud tervishoiuteenuse eest tasu maksmise kohustuse üle 16-aastaselt ja vanemalt patsiendilt järgmistel juhtudel:</w:t>
      </w:r>
    </w:p>
    <w:p w14:paraId="68183C66" w14:textId="77777777" w:rsidR="00B7695A" w:rsidRPr="00687DE8" w:rsidRDefault="00B7695A" w:rsidP="00B7695A">
      <w:pPr>
        <w:spacing w:after="0" w:line="240" w:lineRule="auto"/>
        <w:jc w:val="both"/>
        <w:divId w:val="1316184749"/>
        <w:rPr>
          <w:szCs w:val="24"/>
        </w:rPr>
      </w:pPr>
      <w:r w:rsidRPr="00687DE8">
        <w:rPr>
          <w:szCs w:val="24"/>
        </w:rPr>
        <w:t>1) on kliiniline kahtlus, et esineb perioodiliste jäsemeliigutuste häire, atüüpiline parasomnia koos ägeda või potentsiaalselt ohtliku uneaegse käitumisega või narkolepsia;</w:t>
      </w:r>
    </w:p>
    <w:p w14:paraId="04D20620" w14:textId="77777777" w:rsidR="00B7695A" w:rsidRPr="00687DE8" w:rsidRDefault="00B7695A" w:rsidP="00B7695A">
      <w:pPr>
        <w:spacing w:after="0" w:line="240" w:lineRule="auto"/>
        <w:jc w:val="both"/>
        <w:divId w:val="1316184749"/>
        <w:rPr>
          <w:szCs w:val="24"/>
        </w:rPr>
      </w:pPr>
      <w:r w:rsidRPr="00687DE8">
        <w:rPr>
          <w:szCs w:val="24"/>
        </w:rPr>
        <w:t>2) eelneva polügraafilise uuringu tulemus on negatiivne, kuid püsib kliiniline kahtlus, et esineb uneaegne hingamishäire;</w:t>
      </w:r>
    </w:p>
    <w:p w14:paraId="0841B0C7" w14:textId="77777777" w:rsidR="00B7695A" w:rsidRPr="00687DE8" w:rsidRDefault="00B7695A" w:rsidP="00B7695A">
      <w:pPr>
        <w:spacing w:after="0" w:line="240" w:lineRule="auto"/>
        <w:jc w:val="both"/>
        <w:divId w:val="1316184749"/>
        <w:rPr>
          <w:szCs w:val="24"/>
        </w:rPr>
      </w:pPr>
      <w:r w:rsidRPr="00687DE8">
        <w:rPr>
          <w:szCs w:val="24"/>
        </w:rPr>
        <w:lastRenderedPageBreak/>
        <w:t>3) uneaegse hingamishäire sümptomaatika pole CPAP-raviga mõistliku aja jooksul taandunud;</w:t>
      </w:r>
    </w:p>
    <w:p w14:paraId="5B2769C7" w14:textId="77777777" w:rsidR="00B7695A" w:rsidRPr="00687DE8" w:rsidRDefault="00B7695A" w:rsidP="00B7695A">
      <w:pPr>
        <w:spacing w:after="0" w:line="240" w:lineRule="auto"/>
        <w:jc w:val="both"/>
        <w:divId w:val="1316184749"/>
        <w:rPr>
          <w:szCs w:val="24"/>
        </w:rPr>
      </w:pPr>
      <w:r w:rsidRPr="00687DE8">
        <w:rPr>
          <w:szCs w:val="24"/>
        </w:rPr>
        <w:t>4) parasomnia või uneaegne epilepsia ei reageeri ravile.</w:t>
      </w:r>
    </w:p>
    <w:p w14:paraId="1211ECEF" w14:textId="77777777" w:rsidR="00976487" w:rsidRPr="00687DE8" w:rsidRDefault="00976487" w:rsidP="00976487">
      <w:pPr>
        <w:pStyle w:val="Vahedeta"/>
        <w:jc w:val="both"/>
        <w:divId w:val="1316184749"/>
        <w:rPr>
          <w:szCs w:val="24"/>
          <w:lang w:val="et-EE"/>
        </w:rPr>
      </w:pPr>
    </w:p>
    <w:p w14:paraId="54BB470B" w14:textId="76414B89" w:rsidR="00976487" w:rsidRPr="00687DE8" w:rsidRDefault="00976487" w:rsidP="00976487">
      <w:pPr>
        <w:pStyle w:val="Vahedeta"/>
        <w:jc w:val="both"/>
        <w:divId w:val="1316184749"/>
        <w:rPr>
          <w:szCs w:val="24"/>
          <w:lang w:val="et-EE"/>
        </w:rPr>
      </w:pPr>
      <w:r w:rsidRPr="00687DE8">
        <w:rPr>
          <w:szCs w:val="24"/>
          <w:lang w:val="et-EE"/>
        </w:rPr>
        <w:t xml:space="preserve">(9) </w:t>
      </w:r>
      <w:r w:rsidR="005023FD" w:rsidRPr="00687DE8">
        <w:rPr>
          <w:szCs w:val="24"/>
          <w:lang w:val="et-EE"/>
        </w:rPr>
        <w:t>Tervisekassa</w:t>
      </w:r>
      <w:r w:rsidRPr="00687DE8">
        <w:rPr>
          <w:szCs w:val="24"/>
          <w:lang w:val="et-EE"/>
        </w:rPr>
        <w:t xml:space="preserve"> võtab koodiga 6343 tähistatud tervishoiuteenuse eest tasu maksmise kohustuse üle alla 16-aastaselt patsiendilt järgmistel juhtudel:</w:t>
      </w:r>
    </w:p>
    <w:p w14:paraId="2FA15002" w14:textId="77777777" w:rsidR="00976487" w:rsidRPr="00687DE8" w:rsidRDefault="00976487" w:rsidP="00976487">
      <w:pPr>
        <w:pStyle w:val="Vahedeta"/>
        <w:jc w:val="both"/>
        <w:divId w:val="1316184749"/>
        <w:rPr>
          <w:szCs w:val="24"/>
          <w:lang w:val="et-EE"/>
        </w:rPr>
      </w:pPr>
      <w:r w:rsidRPr="00687DE8">
        <w:rPr>
          <w:szCs w:val="24"/>
          <w:lang w:val="et-EE"/>
        </w:rPr>
        <w:t xml:space="preserve">1) esineb raske või keskmise raskusastmega obstruktiivne uneapnoe; </w:t>
      </w:r>
    </w:p>
    <w:p w14:paraId="5A871C7D" w14:textId="77777777" w:rsidR="00976487" w:rsidRPr="00687DE8" w:rsidRDefault="00976487" w:rsidP="00976487">
      <w:pPr>
        <w:pStyle w:val="Vahedeta"/>
        <w:jc w:val="both"/>
        <w:divId w:val="1316184749"/>
        <w:rPr>
          <w:szCs w:val="24"/>
          <w:lang w:val="et-EE"/>
        </w:rPr>
      </w:pPr>
      <w:r w:rsidRPr="00687DE8">
        <w:rPr>
          <w:szCs w:val="24"/>
          <w:lang w:val="et-EE"/>
        </w:rPr>
        <w:t xml:space="preserve">2) uneapnoe kirurgiline ravi on vastunäidustatud </w:t>
      </w:r>
      <w:r w:rsidRPr="00687DE8">
        <w:rPr>
          <w:noProof/>
          <w:szCs w:val="24"/>
          <w:lang w:val="et-EE"/>
        </w:rPr>
        <w:t>või</w:t>
      </w:r>
      <w:r w:rsidRPr="00687DE8">
        <w:rPr>
          <w:szCs w:val="24"/>
          <w:lang w:val="et-EE"/>
        </w:rPr>
        <w:t xml:space="preserve"> osutunud ebaefektiivseks;</w:t>
      </w:r>
    </w:p>
    <w:p w14:paraId="0C5CD75B" w14:textId="77777777" w:rsidR="00976487" w:rsidRPr="00687DE8" w:rsidRDefault="00976487" w:rsidP="00976487">
      <w:pPr>
        <w:pStyle w:val="Vahedeta"/>
        <w:jc w:val="both"/>
        <w:divId w:val="1316184749"/>
        <w:rPr>
          <w:szCs w:val="24"/>
          <w:lang w:val="et-EE"/>
        </w:rPr>
      </w:pPr>
      <w:r w:rsidRPr="00687DE8">
        <w:rPr>
          <w:noProof/>
          <w:szCs w:val="24"/>
          <w:lang w:val="et-EE"/>
        </w:rPr>
        <w:t xml:space="preserve">3) esineb </w:t>
      </w:r>
      <w:r w:rsidRPr="00687DE8">
        <w:rPr>
          <w:szCs w:val="24"/>
          <w:lang w:val="et-EE"/>
        </w:rPr>
        <w:t xml:space="preserve">näolõualuu arenguanomaalia või häire; </w:t>
      </w:r>
    </w:p>
    <w:p w14:paraId="60BE7FC5" w14:textId="77777777" w:rsidR="00976487" w:rsidRPr="00687DE8" w:rsidRDefault="00976487" w:rsidP="00976487">
      <w:pPr>
        <w:pStyle w:val="Vahedeta"/>
        <w:jc w:val="both"/>
        <w:divId w:val="1316184749"/>
        <w:rPr>
          <w:szCs w:val="24"/>
          <w:lang w:val="et-EE"/>
        </w:rPr>
      </w:pPr>
      <w:r w:rsidRPr="00687DE8">
        <w:rPr>
          <w:szCs w:val="24"/>
          <w:lang w:val="et-EE"/>
        </w:rPr>
        <w:t>4) esineb perekondliku äkksurma sündroom ja/või eluohtlik hingamishäire;</w:t>
      </w:r>
    </w:p>
    <w:p w14:paraId="07388DE0" w14:textId="77777777" w:rsidR="00976487" w:rsidRPr="00687DE8" w:rsidRDefault="00976487" w:rsidP="00976487">
      <w:pPr>
        <w:pStyle w:val="Vahedeta"/>
        <w:jc w:val="both"/>
        <w:divId w:val="1316184749"/>
        <w:rPr>
          <w:szCs w:val="24"/>
          <w:lang w:val="et-EE"/>
        </w:rPr>
      </w:pPr>
      <w:r w:rsidRPr="00687DE8">
        <w:rPr>
          <w:szCs w:val="24"/>
          <w:lang w:val="et-EE"/>
        </w:rPr>
        <w:t>5) esineb ülemiste hingamisteede kaasasündinud neuroregulatoorse kontrolli häire.</w:t>
      </w:r>
    </w:p>
    <w:p w14:paraId="1FA76DAB" w14:textId="77777777" w:rsidR="00976487" w:rsidRPr="00687DE8" w:rsidRDefault="00976487" w:rsidP="00976487">
      <w:pPr>
        <w:pStyle w:val="Loendilik"/>
        <w:spacing w:after="0" w:line="240" w:lineRule="auto"/>
        <w:ind w:left="0"/>
        <w:jc w:val="both"/>
        <w:divId w:val="1316184749"/>
        <w:rPr>
          <w:szCs w:val="24"/>
        </w:rPr>
      </w:pPr>
    </w:p>
    <w:p w14:paraId="752701CC" w14:textId="712FE5AB" w:rsidR="00976487" w:rsidRPr="00687DE8" w:rsidRDefault="00976487" w:rsidP="00976487">
      <w:pPr>
        <w:pStyle w:val="Loendilik"/>
        <w:spacing w:after="0" w:line="240" w:lineRule="auto"/>
        <w:ind w:left="0"/>
        <w:jc w:val="both"/>
        <w:divId w:val="1316184749"/>
        <w:rPr>
          <w:szCs w:val="24"/>
        </w:rPr>
      </w:pPr>
      <w:r w:rsidRPr="00687DE8">
        <w:rPr>
          <w:szCs w:val="24"/>
        </w:rPr>
        <w:t xml:space="preserve">(10) </w:t>
      </w:r>
      <w:r w:rsidR="005023FD" w:rsidRPr="00687DE8">
        <w:rPr>
          <w:szCs w:val="24"/>
        </w:rPr>
        <w:t>Tervisekassa</w:t>
      </w:r>
      <w:r w:rsidRPr="00687DE8">
        <w:rPr>
          <w:szCs w:val="24"/>
        </w:rPr>
        <w:t xml:space="preserve"> võtab koodiga 6343 tähistatud tervishoiuteenuse eest tasu maksmise kohustuse üle 16-aastaselt ja vanemalt patsiendilt, kellel on eelnevalt koodiga 6341, 6342, 6347 või 6348 tähistatud teenusega diagnoositud raske raskusastmega obstruktiivne uneapnoe (ODI või AHI on ≥ 30) või keskmise raskusastmega uneapnoe (ODI või AHI on 15–29), kui sellega kaasneb vähemalt üks järgmistest seisunditest: kõrge või väga kõrge lisariskiga ravim-refraktaarne hüpertensioon, mis ei allu ravile vähemalt kahe hüpertensiooni ravimiga, öine hüpertensioon või </w:t>
      </w:r>
      <w:r w:rsidRPr="00687DE8">
        <w:rPr>
          <w:i/>
          <w:szCs w:val="24"/>
        </w:rPr>
        <w:t>non-dipper</w:t>
      </w:r>
      <w:r w:rsidRPr="00687DE8">
        <w:rPr>
          <w:szCs w:val="24"/>
        </w:rPr>
        <w:t> profiiliga vererõhk, kodade virvendusarütmia, kardiovaskulaarne haigus südamepuudulikkusega (alates NYHA II), infarkti- või insuldijärgne seisund, rasvumine või püsiv eluviisi korrigeerimisele mittealluv päevane liigunisus või insomnia.</w:t>
      </w:r>
    </w:p>
    <w:p w14:paraId="747CF6A7" w14:textId="77777777" w:rsidR="00976487" w:rsidRPr="00687DE8" w:rsidRDefault="00976487" w:rsidP="00976487">
      <w:pPr>
        <w:spacing w:after="0" w:line="240" w:lineRule="auto"/>
        <w:jc w:val="both"/>
        <w:divId w:val="1316184749"/>
        <w:rPr>
          <w:szCs w:val="24"/>
        </w:rPr>
      </w:pPr>
    </w:p>
    <w:p w14:paraId="790F5522" w14:textId="49900EB2" w:rsidR="00976487" w:rsidRPr="00687DE8" w:rsidRDefault="00976487" w:rsidP="00976487">
      <w:pPr>
        <w:spacing w:after="0" w:line="240" w:lineRule="auto"/>
        <w:jc w:val="both"/>
        <w:divId w:val="1316184749"/>
        <w:rPr>
          <w:szCs w:val="24"/>
        </w:rPr>
      </w:pPr>
      <w:r w:rsidRPr="00687DE8">
        <w:rPr>
          <w:szCs w:val="24"/>
        </w:rPr>
        <w:t xml:space="preserve">(11) </w:t>
      </w:r>
      <w:r w:rsidR="005023FD" w:rsidRPr="00687DE8">
        <w:rPr>
          <w:szCs w:val="24"/>
        </w:rPr>
        <w:t>Tervisekassa</w:t>
      </w:r>
      <w:r w:rsidRPr="00687DE8">
        <w:rPr>
          <w:szCs w:val="24"/>
        </w:rPr>
        <w:t xml:space="preserve"> võtab koodiga 6343 tähistatud tervishoiuteenuse eest tasu maksmise kohustuse üle juhul, kui rõhu testimiseks kasutatakse automaatse positiivrõhu regulatsiooniga (AUTO-CPAP) või fikseeritava positiivrõhuga aparaati (CPAP).</w:t>
      </w:r>
    </w:p>
    <w:p w14:paraId="5C41EBEA" w14:textId="77777777" w:rsidR="00976487" w:rsidRPr="00687DE8" w:rsidRDefault="00976487" w:rsidP="00976487">
      <w:pPr>
        <w:spacing w:after="0" w:line="240" w:lineRule="auto"/>
        <w:jc w:val="both"/>
        <w:divId w:val="1316184749"/>
        <w:rPr>
          <w:szCs w:val="24"/>
        </w:rPr>
      </w:pPr>
    </w:p>
    <w:p w14:paraId="680465DE" w14:textId="64217A6C" w:rsidR="00976487" w:rsidRPr="00687DE8" w:rsidRDefault="00976487" w:rsidP="00976487">
      <w:pPr>
        <w:spacing w:after="0" w:line="240" w:lineRule="auto"/>
        <w:jc w:val="both"/>
        <w:divId w:val="1316184749"/>
        <w:rPr>
          <w:szCs w:val="24"/>
        </w:rPr>
      </w:pPr>
      <w:r w:rsidRPr="00687DE8">
        <w:rPr>
          <w:szCs w:val="24"/>
        </w:rPr>
        <w:t>(1</w:t>
      </w:r>
      <w:r w:rsidR="00876EE1" w:rsidRPr="00687DE8">
        <w:rPr>
          <w:szCs w:val="24"/>
        </w:rPr>
        <w:t>2</w:t>
      </w:r>
      <w:r w:rsidRPr="00687DE8">
        <w:rPr>
          <w:szCs w:val="24"/>
        </w:rPr>
        <w:t xml:space="preserve">) </w:t>
      </w:r>
      <w:r w:rsidR="005023FD" w:rsidRPr="00687DE8">
        <w:rPr>
          <w:szCs w:val="24"/>
        </w:rPr>
        <w:t>Tervisekassa</w:t>
      </w:r>
      <w:r w:rsidRPr="00687DE8">
        <w:rPr>
          <w:szCs w:val="24"/>
        </w:rPr>
        <w:t xml:space="preserve"> võtab koodiga 6345 tähistatud tervishoiuteenuse eest tasu maksmise kohustuse üle juhul, kui bronhiaalastma kahtlusega patsiendil ei ole korduval spirograafial kinnitust leidnud hingamisteede obstruktsiooni kahtlus ning füsioloogilised provokatsioontestid on olnud negatiivsed.</w:t>
      </w:r>
    </w:p>
    <w:p w14:paraId="0BC4EB24" w14:textId="77777777" w:rsidR="00976487" w:rsidRPr="00687DE8" w:rsidRDefault="00976487" w:rsidP="00976487">
      <w:pPr>
        <w:spacing w:after="0" w:line="240" w:lineRule="auto"/>
        <w:jc w:val="both"/>
        <w:divId w:val="1316184749"/>
        <w:rPr>
          <w:szCs w:val="24"/>
        </w:rPr>
      </w:pPr>
    </w:p>
    <w:p w14:paraId="1C7D705D" w14:textId="2268F5C1" w:rsidR="00976487" w:rsidRPr="00687DE8" w:rsidRDefault="00976487" w:rsidP="00976487">
      <w:pPr>
        <w:spacing w:after="0" w:line="240" w:lineRule="auto"/>
        <w:jc w:val="both"/>
        <w:divId w:val="1316184749"/>
        <w:rPr>
          <w:szCs w:val="24"/>
        </w:rPr>
      </w:pPr>
      <w:r w:rsidRPr="00687DE8">
        <w:rPr>
          <w:szCs w:val="24"/>
        </w:rPr>
        <w:t>(1</w:t>
      </w:r>
      <w:r w:rsidR="00876EE1" w:rsidRPr="00687DE8">
        <w:rPr>
          <w:szCs w:val="24"/>
        </w:rPr>
        <w:t>3</w:t>
      </w:r>
      <w:r w:rsidRPr="00687DE8">
        <w:rPr>
          <w:szCs w:val="24"/>
        </w:rPr>
        <w:t xml:space="preserve">) </w:t>
      </w:r>
      <w:r w:rsidR="005023FD" w:rsidRPr="00687DE8">
        <w:rPr>
          <w:szCs w:val="24"/>
        </w:rPr>
        <w:t>Tervisekassa</w:t>
      </w:r>
      <w:r w:rsidRPr="00687DE8">
        <w:rPr>
          <w:szCs w:val="24"/>
        </w:rPr>
        <w:t xml:space="preserve"> võtab koodiga 6346 tähistatud tervishoiuteenuse eest tasu maksmise kohustuse üle juhul, kui bronhiaalastma kahtlusega patsiendil ei ole rahuoleku uuringutel kinnitust leidnud hingamisteede obstruktsiooni kahtlus ning patsiendi seisund ei võimalda füsioloogilist füüsilise koormuse provokatsiooni bronhiobstruktsiooni põhjustavale tasemele.</w:t>
      </w:r>
    </w:p>
    <w:p w14:paraId="134C60AD" w14:textId="77777777" w:rsidR="00976487" w:rsidRPr="00687DE8" w:rsidRDefault="00976487" w:rsidP="00976487">
      <w:pPr>
        <w:spacing w:after="0" w:line="240" w:lineRule="auto"/>
        <w:jc w:val="both"/>
        <w:divId w:val="1316184749"/>
        <w:rPr>
          <w:szCs w:val="24"/>
        </w:rPr>
      </w:pPr>
    </w:p>
    <w:p w14:paraId="74258BDC" w14:textId="747E8301" w:rsidR="00B7695A" w:rsidRPr="00687DE8" w:rsidRDefault="00B7695A" w:rsidP="00B7695A">
      <w:pPr>
        <w:spacing w:after="0" w:line="240" w:lineRule="auto"/>
        <w:jc w:val="both"/>
        <w:divId w:val="1316184749"/>
        <w:rPr>
          <w:szCs w:val="24"/>
        </w:rPr>
      </w:pPr>
      <w:r w:rsidRPr="00687DE8">
        <w:rPr>
          <w:szCs w:val="24"/>
        </w:rPr>
        <w:t xml:space="preserve">(14) </w:t>
      </w:r>
      <w:r w:rsidR="005023FD" w:rsidRPr="00687DE8">
        <w:rPr>
          <w:szCs w:val="24"/>
        </w:rPr>
        <w:t>Tervisekassa</w:t>
      </w:r>
      <w:r w:rsidRPr="00687DE8">
        <w:rPr>
          <w:szCs w:val="24"/>
        </w:rPr>
        <w:t xml:space="preserve"> võtab koodiga 6347 tähistatud tervishoiuteenuse eest tasu maksmise kohustuse üle juhul, kui uuring on hinnatud vastavalt erialaseltsi aktsepteeritud juhistele ja</w:t>
      </w:r>
      <w:r w:rsidRPr="00687DE8">
        <w:rPr>
          <w:color w:val="1F497D"/>
          <w:szCs w:val="24"/>
        </w:rPr>
        <w:t xml:space="preserve"> </w:t>
      </w:r>
      <w:r w:rsidRPr="00687DE8">
        <w:rPr>
          <w:szCs w:val="24"/>
        </w:rPr>
        <w:t>uuringul registreeritakse ühel ajal:</w:t>
      </w:r>
    </w:p>
    <w:p w14:paraId="5F736DE8" w14:textId="77777777" w:rsidR="00B7695A" w:rsidRPr="00687DE8" w:rsidRDefault="00B7695A" w:rsidP="00B7695A">
      <w:pPr>
        <w:spacing w:after="0" w:line="240" w:lineRule="auto"/>
        <w:jc w:val="both"/>
        <w:divId w:val="1316184749"/>
        <w:rPr>
          <w:szCs w:val="24"/>
        </w:rPr>
      </w:pPr>
      <w:r w:rsidRPr="00687DE8">
        <w:rPr>
          <w:szCs w:val="24"/>
        </w:rPr>
        <w:t>1) oksühemoglobiini saturatsioon;</w:t>
      </w:r>
    </w:p>
    <w:p w14:paraId="6A4C4834" w14:textId="77777777" w:rsidR="00B7695A" w:rsidRPr="00687DE8" w:rsidRDefault="00B7695A" w:rsidP="00B7695A">
      <w:pPr>
        <w:spacing w:after="0" w:line="240" w:lineRule="auto"/>
        <w:jc w:val="both"/>
        <w:divId w:val="1316184749"/>
        <w:rPr>
          <w:szCs w:val="24"/>
        </w:rPr>
      </w:pPr>
      <w:r w:rsidRPr="00687DE8">
        <w:rPr>
          <w:szCs w:val="24"/>
        </w:rPr>
        <w:t>2) südame löögisagedus;</w:t>
      </w:r>
    </w:p>
    <w:p w14:paraId="0B7AD473" w14:textId="77777777" w:rsidR="00B7695A" w:rsidRPr="00687DE8" w:rsidRDefault="00B7695A" w:rsidP="00B7695A">
      <w:pPr>
        <w:spacing w:after="0" w:line="240" w:lineRule="auto"/>
        <w:jc w:val="both"/>
        <w:divId w:val="1316184749"/>
        <w:rPr>
          <w:szCs w:val="24"/>
        </w:rPr>
      </w:pPr>
      <w:r w:rsidRPr="00687DE8">
        <w:rPr>
          <w:szCs w:val="24"/>
        </w:rPr>
        <w:t>3) õhuvoolu kiirus ninas;</w:t>
      </w:r>
    </w:p>
    <w:p w14:paraId="0235064A" w14:textId="77777777" w:rsidR="00B7695A" w:rsidRPr="00687DE8" w:rsidRDefault="00B7695A" w:rsidP="00B7695A">
      <w:pPr>
        <w:spacing w:after="0" w:line="240" w:lineRule="auto"/>
        <w:jc w:val="both"/>
        <w:divId w:val="1316184749"/>
        <w:rPr>
          <w:szCs w:val="24"/>
        </w:rPr>
      </w:pPr>
      <w:r w:rsidRPr="00687DE8">
        <w:rPr>
          <w:szCs w:val="24"/>
        </w:rPr>
        <w:t>4) hingamisliigutuste amplituud rindkerel;</w:t>
      </w:r>
    </w:p>
    <w:p w14:paraId="473EF570" w14:textId="77777777" w:rsidR="00B7695A" w:rsidRPr="00687DE8" w:rsidRDefault="00B7695A" w:rsidP="00B7695A">
      <w:pPr>
        <w:spacing w:after="0" w:line="240" w:lineRule="auto"/>
        <w:jc w:val="both"/>
        <w:divId w:val="1316184749"/>
        <w:rPr>
          <w:szCs w:val="24"/>
        </w:rPr>
      </w:pPr>
      <w:r w:rsidRPr="00687DE8">
        <w:rPr>
          <w:szCs w:val="24"/>
        </w:rPr>
        <w:t>5) norskamine.</w:t>
      </w:r>
    </w:p>
    <w:p w14:paraId="555A9824" w14:textId="77777777" w:rsidR="00B7695A" w:rsidRPr="00687DE8" w:rsidRDefault="00B7695A" w:rsidP="00B7695A">
      <w:pPr>
        <w:spacing w:after="0" w:line="240" w:lineRule="auto"/>
        <w:jc w:val="both"/>
        <w:divId w:val="1316184749"/>
        <w:rPr>
          <w:szCs w:val="24"/>
        </w:rPr>
      </w:pPr>
    </w:p>
    <w:p w14:paraId="0F8B6E61" w14:textId="7E28EEF4" w:rsidR="00B7695A" w:rsidRPr="00687DE8" w:rsidRDefault="00B7695A" w:rsidP="00B7695A">
      <w:pPr>
        <w:spacing w:after="0" w:line="240" w:lineRule="auto"/>
        <w:jc w:val="both"/>
        <w:divId w:val="1316184749"/>
        <w:rPr>
          <w:szCs w:val="24"/>
        </w:rPr>
      </w:pPr>
      <w:r w:rsidRPr="00687DE8">
        <w:rPr>
          <w:szCs w:val="24"/>
        </w:rPr>
        <w:t xml:space="preserve">(15) </w:t>
      </w:r>
      <w:r w:rsidR="005023FD" w:rsidRPr="00687DE8">
        <w:rPr>
          <w:szCs w:val="24"/>
        </w:rPr>
        <w:t>Tervisekassa</w:t>
      </w:r>
      <w:r w:rsidRPr="00687DE8">
        <w:rPr>
          <w:szCs w:val="24"/>
        </w:rPr>
        <w:t xml:space="preserve"> võtab koodiga 6348 tähistatud tervishoiuteenuse eest tasu maksmise kohustuse üle juhul, kui uuring on hinnatud vastavalt erialaseltsi aktsepteeritud juhistele ja uuringul registreeritakse ühel ajal:</w:t>
      </w:r>
    </w:p>
    <w:p w14:paraId="731635C9" w14:textId="77777777" w:rsidR="00B7695A" w:rsidRPr="00687DE8" w:rsidRDefault="00B7695A" w:rsidP="00B7695A">
      <w:pPr>
        <w:spacing w:after="0" w:line="240" w:lineRule="auto"/>
        <w:jc w:val="both"/>
        <w:divId w:val="1316184749"/>
        <w:rPr>
          <w:szCs w:val="24"/>
        </w:rPr>
      </w:pPr>
      <w:r w:rsidRPr="00687DE8">
        <w:rPr>
          <w:szCs w:val="24"/>
        </w:rPr>
        <w:lastRenderedPageBreak/>
        <w:t>1) oksühemoglobiini saturatsioon;</w:t>
      </w:r>
    </w:p>
    <w:p w14:paraId="361A42DA" w14:textId="77777777" w:rsidR="00B7695A" w:rsidRPr="00687DE8" w:rsidRDefault="00B7695A" w:rsidP="00B7695A">
      <w:pPr>
        <w:spacing w:after="0" w:line="240" w:lineRule="auto"/>
        <w:jc w:val="both"/>
        <w:divId w:val="1316184749"/>
        <w:rPr>
          <w:szCs w:val="24"/>
        </w:rPr>
      </w:pPr>
      <w:r w:rsidRPr="00687DE8">
        <w:rPr>
          <w:szCs w:val="24"/>
        </w:rPr>
        <w:t>2) südame löögisagedus ja pletüsmograafia;</w:t>
      </w:r>
    </w:p>
    <w:p w14:paraId="28836F27" w14:textId="77777777" w:rsidR="00B7695A" w:rsidRPr="00687DE8" w:rsidRDefault="00B7695A" w:rsidP="00B7695A">
      <w:pPr>
        <w:spacing w:after="0" w:line="240" w:lineRule="auto"/>
        <w:jc w:val="both"/>
        <w:divId w:val="1316184749"/>
        <w:rPr>
          <w:szCs w:val="24"/>
        </w:rPr>
      </w:pPr>
      <w:r w:rsidRPr="00687DE8">
        <w:rPr>
          <w:szCs w:val="24"/>
        </w:rPr>
        <w:t>3) õhuvoolu kiirus ninas (ja/või suus);</w:t>
      </w:r>
    </w:p>
    <w:p w14:paraId="554BE95C" w14:textId="77777777" w:rsidR="00B7695A" w:rsidRPr="00687DE8" w:rsidRDefault="00B7695A" w:rsidP="00B7695A">
      <w:pPr>
        <w:spacing w:after="0" w:line="240" w:lineRule="auto"/>
        <w:jc w:val="both"/>
        <w:divId w:val="1316184749"/>
        <w:rPr>
          <w:szCs w:val="24"/>
        </w:rPr>
      </w:pPr>
      <w:r w:rsidRPr="00687DE8">
        <w:rPr>
          <w:szCs w:val="24"/>
        </w:rPr>
        <w:t>4) hingamisliigutuste amplituud rindkerel ja kõhul;</w:t>
      </w:r>
    </w:p>
    <w:p w14:paraId="5C443F1E" w14:textId="77777777" w:rsidR="00B7695A" w:rsidRPr="00687DE8" w:rsidRDefault="00B7695A" w:rsidP="00B7695A">
      <w:pPr>
        <w:spacing w:after="0" w:line="240" w:lineRule="auto"/>
        <w:jc w:val="both"/>
        <w:divId w:val="1316184749"/>
        <w:rPr>
          <w:szCs w:val="24"/>
        </w:rPr>
      </w:pPr>
      <w:r w:rsidRPr="00687DE8">
        <w:rPr>
          <w:szCs w:val="24"/>
        </w:rPr>
        <w:t>5) norskamine;</w:t>
      </w:r>
    </w:p>
    <w:p w14:paraId="413653CA" w14:textId="77777777" w:rsidR="00B7695A" w:rsidRPr="00687DE8" w:rsidRDefault="00B7695A" w:rsidP="00B7695A">
      <w:pPr>
        <w:spacing w:after="0" w:line="240" w:lineRule="auto"/>
        <w:jc w:val="both"/>
        <w:divId w:val="1316184749"/>
        <w:rPr>
          <w:szCs w:val="24"/>
        </w:rPr>
      </w:pPr>
      <w:r w:rsidRPr="00687DE8">
        <w:rPr>
          <w:szCs w:val="24"/>
        </w:rPr>
        <w:t>6) kehaasend ja aktiivsus;</w:t>
      </w:r>
    </w:p>
    <w:p w14:paraId="5C3949D1" w14:textId="77777777" w:rsidR="00B7695A" w:rsidRPr="00687DE8" w:rsidRDefault="00B7695A" w:rsidP="00B7695A">
      <w:pPr>
        <w:spacing w:after="0" w:line="240" w:lineRule="auto"/>
        <w:jc w:val="both"/>
        <w:divId w:val="1316184749"/>
        <w:rPr>
          <w:szCs w:val="24"/>
        </w:rPr>
      </w:pPr>
      <w:r w:rsidRPr="00687DE8">
        <w:rPr>
          <w:szCs w:val="24"/>
        </w:rPr>
        <w:t>7) vähemalt kaks bipolaarset lisakanalit järgmisest loetelust: EKG, EOG, EEG või EMG.</w:t>
      </w:r>
    </w:p>
    <w:p w14:paraId="1CD1C42C" w14:textId="77777777" w:rsidR="00B7695A" w:rsidRPr="00687DE8" w:rsidRDefault="00B7695A" w:rsidP="00B7695A">
      <w:pPr>
        <w:spacing w:after="0" w:line="240" w:lineRule="auto"/>
        <w:jc w:val="both"/>
        <w:divId w:val="1316184749"/>
        <w:rPr>
          <w:szCs w:val="24"/>
        </w:rPr>
      </w:pPr>
    </w:p>
    <w:p w14:paraId="365F9F61" w14:textId="2E3F4B76" w:rsidR="00B7695A" w:rsidRPr="00687DE8" w:rsidRDefault="00B7695A" w:rsidP="00B7695A">
      <w:pPr>
        <w:spacing w:after="0" w:line="240" w:lineRule="auto"/>
        <w:jc w:val="both"/>
        <w:divId w:val="1316184749"/>
        <w:rPr>
          <w:szCs w:val="24"/>
        </w:rPr>
      </w:pPr>
      <w:r w:rsidRPr="00687DE8">
        <w:rPr>
          <w:szCs w:val="24"/>
        </w:rPr>
        <w:t xml:space="preserve">(16) </w:t>
      </w:r>
      <w:r w:rsidR="005023FD" w:rsidRPr="00687DE8">
        <w:rPr>
          <w:szCs w:val="24"/>
        </w:rPr>
        <w:t>Tervisekassa</w:t>
      </w:r>
      <w:r w:rsidRPr="00687DE8">
        <w:rPr>
          <w:szCs w:val="24"/>
        </w:rPr>
        <w:t xml:space="preserve"> võtab koodiga 6349 tähistatud tervishoiuteenuse eest tasu maksmise kohustuse üle juhul, kui seda rakendatakse uneaegsete ventilatsioonihäirete, hingamishäirete ja/või hingamispuudulikkuse hindamiseks kesk- või piirkondlikus haiglas.</w:t>
      </w:r>
    </w:p>
    <w:p w14:paraId="0D722C73" w14:textId="77777777" w:rsidR="00B7695A" w:rsidRPr="00687DE8" w:rsidRDefault="00B7695A" w:rsidP="00B7695A">
      <w:pPr>
        <w:spacing w:after="0" w:line="240" w:lineRule="auto"/>
        <w:jc w:val="both"/>
        <w:divId w:val="1316184749"/>
        <w:rPr>
          <w:szCs w:val="24"/>
        </w:rPr>
      </w:pPr>
    </w:p>
    <w:p w14:paraId="701FF3F1" w14:textId="77777777" w:rsidR="00B7695A" w:rsidRPr="00687DE8" w:rsidRDefault="00B7695A" w:rsidP="00B7695A">
      <w:pPr>
        <w:spacing w:after="0" w:line="240" w:lineRule="auto"/>
        <w:jc w:val="both"/>
        <w:divId w:val="1316184749"/>
        <w:rPr>
          <w:szCs w:val="24"/>
        </w:rPr>
      </w:pPr>
      <w:r w:rsidRPr="00687DE8">
        <w:rPr>
          <w:szCs w:val="24"/>
        </w:rPr>
        <w:t>(17) Koodiga 6349 tähistatud tervishoiuteenust ei rakendata koos koodidega 2070, 2071, 2072, 2073, 6341, 6342, 6347 ja 6348 tähistatud tervishoiuteenustega ega koos § 4</w:t>
      </w:r>
      <w:r w:rsidR="00315CA2" w:rsidRPr="00687DE8">
        <w:rPr>
          <w:szCs w:val="24"/>
        </w:rPr>
        <w:t>4</w:t>
      </w:r>
      <w:r w:rsidRPr="00687DE8">
        <w:rPr>
          <w:szCs w:val="24"/>
        </w:rPr>
        <w:t xml:space="preserve"> lõikes 1 loetletud teenustega.</w:t>
      </w:r>
    </w:p>
    <w:p w14:paraId="14DE5F49" w14:textId="77777777" w:rsidR="00125AAA" w:rsidRPr="00687DE8" w:rsidRDefault="00125AAA" w:rsidP="00976487">
      <w:pPr>
        <w:spacing w:after="0" w:line="240" w:lineRule="auto"/>
        <w:jc w:val="both"/>
        <w:outlineLvl w:val="2"/>
        <w:divId w:val="1316184749"/>
        <w:rPr>
          <w:szCs w:val="24"/>
        </w:rPr>
      </w:pPr>
    </w:p>
    <w:p w14:paraId="31FA3B60" w14:textId="77777777" w:rsidR="00B7695A" w:rsidRPr="00687DE8" w:rsidRDefault="00B7695A" w:rsidP="00B7695A">
      <w:pPr>
        <w:spacing w:after="0" w:line="240" w:lineRule="auto"/>
        <w:jc w:val="both"/>
        <w:divId w:val="1316184749"/>
        <w:rPr>
          <w:szCs w:val="24"/>
        </w:rPr>
      </w:pPr>
      <w:r w:rsidRPr="00687DE8">
        <w:rPr>
          <w:szCs w:val="24"/>
        </w:rPr>
        <w:t>(18) Koodiga 6370 tähistatud tervishoiuteenust rakendatakse koos koodiga 6340 tähistatud tervishoiuteenusega järgmistel juhtudel:</w:t>
      </w:r>
    </w:p>
    <w:p w14:paraId="67C4B321" w14:textId="77777777" w:rsidR="00B7695A" w:rsidRPr="00687DE8" w:rsidRDefault="00B7695A" w:rsidP="00B7695A">
      <w:pPr>
        <w:spacing w:after="0" w:line="240" w:lineRule="auto"/>
        <w:jc w:val="both"/>
        <w:divId w:val="1316184749"/>
        <w:rPr>
          <w:szCs w:val="24"/>
        </w:rPr>
      </w:pPr>
      <w:r w:rsidRPr="00687DE8">
        <w:rPr>
          <w:szCs w:val="24"/>
        </w:rPr>
        <w:t>1) resünkroniseeriva ravi näidustuste hindamiseks;</w:t>
      </w:r>
    </w:p>
    <w:p w14:paraId="0018F05A" w14:textId="77777777" w:rsidR="00B7695A" w:rsidRPr="00687DE8" w:rsidRDefault="00B7695A" w:rsidP="00B7695A">
      <w:pPr>
        <w:spacing w:after="0" w:line="240" w:lineRule="auto"/>
        <w:jc w:val="both"/>
        <w:divId w:val="1316184749"/>
        <w:rPr>
          <w:szCs w:val="24"/>
        </w:rPr>
      </w:pPr>
      <w:r w:rsidRPr="00687DE8">
        <w:rPr>
          <w:szCs w:val="24"/>
        </w:rPr>
        <w:t>2) keerulise südamerikke diagnostikaks;</w:t>
      </w:r>
    </w:p>
    <w:p w14:paraId="57C96DBB" w14:textId="77777777" w:rsidR="00B7695A" w:rsidRPr="00687DE8" w:rsidRDefault="00B7695A" w:rsidP="00B7695A">
      <w:pPr>
        <w:spacing w:after="0" w:line="240" w:lineRule="auto"/>
        <w:jc w:val="both"/>
        <w:divId w:val="1316184749"/>
        <w:rPr>
          <w:szCs w:val="24"/>
        </w:rPr>
      </w:pPr>
      <w:r w:rsidRPr="00687DE8">
        <w:rPr>
          <w:szCs w:val="24"/>
        </w:rPr>
        <w:t>3) sügavalt enneaegse lapse hemodünaamika hindamisel intensiivravi osakonnas.</w:t>
      </w:r>
    </w:p>
    <w:p w14:paraId="6583923F" w14:textId="77777777" w:rsidR="000A0D78" w:rsidRPr="00687DE8" w:rsidRDefault="000A0D78" w:rsidP="00B7695A">
      <w:pPr>
        <w:spacing w:after="0" w:line="240" w:lineRule="auto"/>
        <w:jc w:val="both"/>
        <w:outlineLvl w:val="2"/>
        <w:divId w:val="1316184749"/>
        <w:rPr>
          <w:szCs w:val="24"/>
        </w:rPr>
      </w:pPr>
    </w:p>
    <w:p w14:paraId="038E7746" w14:textId="405E7E55" w:rsidR="00852290" w:rsidRPr="009201A4" w:rsidRDefault="000A0D78" w:rsidP="00976487">
      <w:pPr>
        <w:spacing w:after="0" w:line="240" w:lineRule="auto"/>
        <w:jc w:val="both"/>
        <w:outlineLvl w:val="2"/>
        <w:divId w:val="1316184749"/>
        <w:rPr>
          <w:szCs w:val="24"/>
        </w:rPr>
      </w:pPr>
      <w:r w:rsidRPr="009201A4">
        <w:rPr>
          <w:szCs w:val="24"/>
        </w:rPr>
        <w:t>(</w:t>
      </w:r>
      <w:r w:rsidR="00876EE1" w:rsidRPr="009201A4">
        <w:rPr>
          <w:szCs w:val="24"/>
        </w:rPr>
        <w:t>19</w:t>
      </w:r>
      <w:r w:rsidRPr="009201A4">
        <w:rPr>
          <w:szCs w:val="24"/>
        </w:rPr>
        <w:t xml:space="preserve">) Koodiga </w:t>
      </w:r>
      <w:r w:rsidR="003A6BEA" w:rsidRPr="009201A4">
        <w:rPr>
          <w:szCs w:val="24"/>
        </w:rPr>
        <w:t>6372 tähistatud tervishoiuteenust rak</w:t>
      </w:r>
      <w:r w:rsidR="005713EE" w:rsidRPr="009201A4">
        <w:rPr>
          <w:szCs w:val="24"/>
        </w:rPr>
        <w:t>e</w:t>
      </w:r>
      <w:r w:rsidR="003A6BEA" w:rsidRPr="009201A4">
        <w:rPr>
          <w:szCs w:val="24"/>
        </w:rPr>
        <w:t xml:space="preserve">ndatakse </w:t>
      </w:r>
      <w:r w:rsidR="00644993" w:rsidRPr="009201A4">
        <w:rPr>
          <w:szCs w:val="24"/>
        </w:rPr>
        <w:t>haiglavõrgu arengukavas nimetatud kesk- või piirkondlikus haiglas</w:t>
      </w:r>
      <w:r w:rsidR="00004087" w:rsidRPr="009201A4">
        <w:rPr>
          <w:szCs w:val="24"/>
        </w:rPr>
        <w:t xml:space="preserve"> statsionaarsel ravil viibi</w:t>
      </w:r>
      <w:r w:rsidR="0084432C" w:rsidRPr="009201A4">
        <w:rPr>
          <w:szCs w:val="24"/>
        </w:rPr>
        <w:t>vale pat</w:t>
      </w:r>
      <w:r w:rsidR="0000254C" w:rsidRPr="009201A4">
        <w:rPr>
          <w:szCs w:val="24"/>
        </w:rPr>
        <w:t xml:space="preserve">siendile </w:t>
      </w:r>
      <w:r w:rsidR="0066066B" w:rsidRPr="009201A4">
        <w:rPr>
          <w:szCs w:val="24"/>
        </w:rPr>
        <w:t>teenuse osutamisel</w:t>
      </w:r>
      <w:r w:rsidR="00234E76" w:rsidRPr="009201A4">
        <w:rPr>
          <w:szCs w:val="24"/>
        </w:rPr>
        <w:t xml:space="preserve"> koos </w:t>
      </w:r>
      <w:r w:rsidR="00E14753" w:rsidRPr="009201A4">
        <w:rPr>
          <w:szCs w:val="24"/>
        </w:rPr>
        <w:t>koodiga 2065,</w:t>
      </w:r>
      <w:r w:rsidR="00301077" w:rsidRPr="009201A4">
        <w:rPr>
          <w:szCs w:val="24"/>
        </w:rPr>
        <w:t xml:space="preserve"> </w:t>
      </w:r>
      <w:r w:rsidR="00E14753" w:rsidRPr="009201A4">
        <w:rPr>
          <w:szCs w:val="24"/>
        </w:rPr>
        <w:t>2066,</w:t>
      </w:r>
      <w:r w:rsidR="00301077" w:rsidRPr="009201A4">
        <w:rPr>
          <w:szCs w:val="24"/>
        </w:rPr>
        <w:t xml:space="preserve"> </w:t>
      </w:r>
      <w:r w:rsidR="00E14753" w:rsidRPr="009201A4">
        <w:rPr>
          <w:szCs w:val="24"/>
        </w:rPr>
        <w:t xml:space="preserve">2034 </w:t>
      </w:r>
      <w:r w:rsidR="008A1D5F" w:rsidRPr="009201A4">
        <w:rPr>
          <w:szCs w:val="24"/>
        </w:rPr>
        <w:t>või</w:t>
      </w:r>
      <w:r w:rsidR="00E14753" w:rsidRPr="009201A4">
        <w:rPr>
          <w:szCs w:val="24"/>
        </w:rPr>
        <w:t xml:space="preserve"> 2075 tähistatud </w:t>
      </w:r>
      <w:r w:rsidR="00696375" w:rsidRPr="009201A4">
        <w:rPr>
          <w:szCs w:val="24"/>
        </w:rPr>
        <w:t>t</w:t>
      </w:r>
      <w:r w:rsidR="00AD39E5" w:rsidRPr="009201A4">
        <w:rPr>
          <w:szCs w:val="24"/>
        </w:rPr>
        <w:t>eenus</w:t>
      </w:r>
      <w:r w:rsidR="002C7204" w:rsidRPr="009201A4">
        <w:rPr>
          <w:szCs w:val="24"/>
        </w:rPr>
        <w:t>t</w:t>
      </w:r>
      <w:r w:rsidR="003E6C2D" w:rsidRPr="009201A4">
        <w:rPr>
          <w:szCs w:val="24"/>
        </w:rPr>
        <w:t>e</w:t>
      </w:r>
      <w:r w:rsidR="00B1574E" w:rsidRPr="009201A4">
        <w:rPr>
          <w:szCs w:val="24"/>
        </w:rPr>
        <w:t>g</w:t>
      </w:r>
      <w:r w:rsidR="002C7204" w:rsidRPr="009201A4">
        <w:rPr>
          <w:szCs w:val="24"/>
        </w:rPr>
        <w:t>a</w:t>
      </w:r>
      <w:r w:rsidR="001A4CB7" w:rsidRPr="009201A4">
        <w:rPr>
          <w:szCs w:val="24"/>
        </w:rPr>
        <w:t>.</w:t>
      </w:r>
    </w:p>
    <w:p w14:paraId="3F52C8F5" w14:textId="77777777" w:rsidR="00022C3F" w:rsidRPr="009201A4" w:rsidRDefault="00022C3F" w:rsidP="00976487">
      <w:pPr>
        <w:spacing w:after="0" w:line="240" w:lineRule="auto"/>
        <w:jc w:val="both"/>
        <w:outlineLvl w:val="2"/>
        <w:divId w:val="1316184749"/>
        <w:rPr>
          <w:szCs w:val="24"/>
        </w:rPr>
      </w:pPr>
    </w:p>
    <w:p w14:paraId="29E7057D" w14:textId="741089DF" w:rsidR="00022C3F" w:rsidRPr="009201A4" w:rsidRDefault="00022C3F" w:rsidP="00976487">
      <w:pPr>
        <w:spacing w:after="0" w:line="240" w:lineRule="auto"/>
        <w:jc w:val="both"/>
        <w:outlineLvl w:val="2"/>
        <w:divId w:val="1316184749"/>
        <w:rPr>
          <w:szCs w:val="24"/>
        </w:rPr>
      </w:pPr>
      <w:r w:rsidRPr="009201A4">
        <w:rPr>
          <w:szCs w:val="24"/>
        </w:rPr>
        <w:t>(20) Koodiga 637</w:t>
      </w:r>
      <w:r w:rsidR="009607D7" w:rsidRPr="009201A4">
        <w:rPr>
          <w:szCs w:val="24"/>
        </w:rPr>
        <w:t>1</w:t>
      </w:r>
      <w:r w:rsidRPr="009201A4">
        <w:rPr>
          <w:szCs w:val="24"/>
        </w:rPr>
        <w:t xml:space="preserve"> tähistatud tervishoiuteenust rakendatakse</w:t>
      </w:r>
      <w:r w:rsidR="00944C99" w:rsidRPr="009201A4">
        <w:rPr>
          <w:szCs w:val="24"/>
        </w:rPr>
        <w:t xml:space="preserve"> üks kord </w:t>
      </w:r>
      <w:r w:rsidR="002264D8" w:rsidRPr="009201A4">
        <w:rPr>
          <w:szCs w:val="24"/>
        </w:rPr>
        <w:t xml:space="preserve">uuringu kohta. </w:t>
      </w:r>
    </w:p>
    <w:p w14:paraId="0B8259A0" w14:textId="77777777" w:rsidR="00CF55E1" w:rsidRPr="009201A4" w:rsidRDefault="00CF55E1" w:rsidP="00976487">
      <w:pPr>
        <w:spacing w:after="0" w:line="240" w:lineRule="auto"/>
        <w:jc w:val="both"/>
        <w:outlineLvl w:val="2"/>
        <w:divId w:val="1316184749"/>
        <w:rPr>
          <w:szCs w:val="24"/>
        </w:rPr>
      </w:pPr>
    </w:p>
    <w:p w14:paraId="22B51483" w14:textId="025BB235" w:rsidR="00CF55E1" w:rsidRPr="00687DE8" w:rsidRDefault="00CF55E1" w:rsidP="00976487">
      <w:pPr>
        <w:spacing w:after="0" w:line="240" w:lineRule="auto"/>
        <w:jc w:val="both"/>
        <w:outlineLvl w:val="2"/>
        <w:divId w:val="1316184749"/>
        <w:rPr>
          <w:szCs w:val="24"/>
        </w:rPr>
      </w:pPr>
      <w:r w:rsidRPr="009201A4">
        <w:rPr>
          <w:szCs w:val="24"/>
        </w:rPr>
        <w:t>(</w:t>
      </w:r>
      <w:bookmarkStart w:id="16" w:name="_Hlk55890675"/>
      <w:r w:rsidRPr="009201A4">
        <w:rPr>
          <w:szCs w:val="24"/>
        </w:rPr>
        <w:t>2</w:t>
      </w:r>
      <w:r w:rsidR="00022C3F" w:rsidRPr="009201A4">
        <w:rPr>
          <w:szCs w:val="24"/>
        </w:rPr>
        <w:t>1</w:t>
      </w:r>
      <w:r w:rsidRPr="009201A4">
        <w:rPr>
          <w:szCs w:val="24"/>
        </w:rPr>
        <w:t xml:space="preserve">) </w:t>
      </w:r>
      <w:r w:rsidR="004D6974" w:rsidRPr="009201A4">
        <w:rPr>
          <w:szCs w:val="24"/>
        </w:rPr>
        <w:t>L</w:t>
      </w:r>
      <w:r w:rsidR="00237AF6" w:rsidRPr="009201A4">
        <w:rPr>
          <w:szCs w:val="24"/>
        </w:rPr>
        <w:t>õikes 1 nimetatud teenuste puhul on tagatud</w:t>
      </w:r>
      <w:r w:rsidRPr="009201A4">
        <w:rPr>
          <w:szCs w:val="24"/>
        </w:rPr>
        <w:t xml:space="preserve"> </w:t>
      </w:r>
      <w:r w:rsidR="00BD7349" w:rsidRPr="009201A4">
        <w:rPr>
          <w:szCs w:val="24"/>
        </w:rPr>
        <w:t>piltide arhiveerimi</w:t>
      </w:r>
      <w:r w:rsidR="001420C8" w:rsidRPr="009201A4">
        <w:rPr>
          <w:szCs w:val="24"/>
        </w:rPr>
        <w:t>n</w:t>
      </w:r>
      <w:r w:rsidR="00BD7349" w:rsidRPr="009201A4">
        <w:rPr>
          <w:szCs w:val="24"/>
        </w:rPr>
        <w:t>e</w:t>
      </w:r>
      <w:r w:rsidR="00CF32C5" w:rsidRPr="009201A4">
        <w:rPr>
          <w:szCs w:val="24"/>
        </w:rPr>
        <w:t xml:space="preserve"> </w:t>
      </w:r>
      <w:r w:rsidRPr="009201A4">
        <w:rPr>
          <w:szCs w:val="24"/>
        </w:rPr>
        <w:t>Sihtasutuses Eesti Tervishoiu Pildipank</w:t>
      </w:r>
      <w:r w:rsidR="00BD7349" w:rsidRPr="009201A4">
        <w:rPr>
          <w:szCs w:val="24"/>
        </w:rPr>
        <w:t>.</w:t>
      </w:r>
      <w:bookmarkEnd w:id="16"/>
    </w:p>
    <w:p w14:paraId="17E0A0B6" w14:textId="77777777" w:rsidR="00976487" w:rsidRPr="00687DE8" w:rsidRDefault="00976487" w:rsidP="00976487">
      <w:pPr>
        <w:spacing w:after="0" w:line="240" w:lineRule="auto"/>
        <w:jc w:val="both"/>
        <w:outlineLvl w:val="2"/>
        <w:divId w:val="1316184749"/>
        <w:rPr>
          <w:b/>
          <w:szCs w:val="24"/>
        </w:rPr>
      </w:pPr>
    </w:p>
    <w:p w14:paraId="1F8225A9" w14:textId="77777777" w:rsidR="00976487" w:rsidRDefault="00976487" w:rsidP="00976487">
      <w:pPr>
        <w:spacing w:after="0" w:line="240" w:lineRule="auto"/>
        <w:jc w:val="both"/>
        <w:outlineLvl w:val="2"/>
        <w:divId w:val="1316184749"/>
        <w:rPr>
          <w:b/>
          <w:szCs w:val="24"/>
        </w:rPr>
      </w:pPr>
      <w:r w:rsidRPr="00687DE8">
        <w:rPr>
          <w:b/>
          <w:szCs w:val="24"/>
        </w:rPr>
        <w:t>§ 2</w:t>
      </w:r>
      <w:r w:rsidR="00E22EDA" w:rsidRPr="00687DE8">
        <w:rPr>
          <w:b/>
          <w:szCs w:val="24"/>
        </w:rPr>
        <w:t>8</w:t>
      </w:r>
      <w:r w:rsidRPr="00687DE8">
        <w:rPr>
          <w:b/>
          <w:szCs w:val="24"/>
        </w:rPr>
        <w:t>. Endokrinoloogiliste uuringute piirhinnad</w:t>
      </w:r>
    </w:p>
    <w:p w14:paraId="0EC26F51" w14:textId="77777777" w:rsidR="00DF1D65" w:rsidRDefault="00DF1D65" w:rsidP="00976487">
      <w:pPr>
        <w:spacing w:after="0" w:line="240" w:lineRule="auto"/>
        <w:jc w:val="both"/>
        <w:divId w:val="1316184749"/>
        <w:rPr>
          <w:szCs w:val="24"/>
        </w:rPr>
      </w:pPr>
    </w:p>
    <w:p w14:paraId="5EEB7911" w14:textId="1645CC7C" w:rsidR="00976487" w:rsidRPr="00687DE8" w:rsidRDefault="00976487" w:rsidP="00976487">
      <w:pPr>
        <w:spacing w:after="0" w:line="240" w:lineRule="auto"/>
        <w:jc w:val="both"/>
        <w:divId w:val="1316184749"/>
        <w:rPr>
          <w:szCs w:val="24"/>
        </w:rPr>
      </w:pPr>
      <w:r w:rsidRPr="00687DE8">
        <w:rPr>
          <w:szCs w:val="24"/>
        </w:rPr>
        <w:t>Endokrinoloogiliste uuringute piirhinnad on järgmised:</w:t>
      </w:r>
    </w:p>
    <w:p w14:paraId="0A90759E"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8"/>
        <w:gridCol w:w="1065"/>
        <w:gridCol w:w="1112"/>
      </w:tblGrid>
      <w:tr w:rsidR="00976487" w:rsidRPr="00687DE8" w14:paraId="4857E0F5" w14:textId="77777777" w:rsidTr="002C169B">
        <w:trPr>
          <w:divId w:val="1316184749"/>
          <w:tblHeader/>
        </w:trPr>
        <w:tc>
          <w:tcPr>
            <w:tcW w:w="7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FCEC36" w14:textId="77777777" w:rsidR="00976487" w:rsidRPr="00687DE8" w:rsidRDefault="00976487">
            <w:pPr>
              <w:spacing w:after="0" w:line="240" w:lineRule="auto"/>
              <w:jc w:val="center"/>
              <w:rPr>
                <w:szCs w:val="24"/>
              </w:rPr>
            </w:pPr>
            <w:r w:rsidRPr="00687DE8">
              <w:rPr>
                <w:b/>
                <w:szCs w:val="24"/>
              </w:rPr>
              <w:t>Tervishoiuteenuse nimetus</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FECE34" w14:textId="77777777" w:rsidR="00976487" w:rsidRPr="00687DE8" w:rsidRDefault="00976487">
            <w:pPr>
              <w:spacing w:after="0" w:line="240" w:lineRule="auto"/>
              <w:jc w:val="center"/>
              <w:rPr>
                <w:szCs w:val="24"/>
              </w:rPr>
            </w:pPr>
            <w:r w:rsidRPr="00687DE8">
              <w:rPr>
                <w:b/>
                <w:szCs w:val="24"/>
              </w:rPr>
              <w:t>Kood</w:t>
            </w:r>
          </w:p>
        </w:tc>
        <w:tc>
          <w:tcPr>
            <w:tcW w:w="11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9395AAA" w14:textId="77777777" w:rsidR="00976487" w:rsidRPr="00687DE8" w:rsidRDefault="00976487" w:rsidP="002C169B">
            <w:pPr>
              <w:tabs>
                <w:tab w:val="decimal" w:pos="635"/>
              </w:tabs>
              <w:spacing w:after="0" w:line="240" w:lineRule="auto"/>
              <w:jc w:val="right"/>
              <w:rPr>
                <w:szCs w:val="24"/>
              </w:rPr>
            </w:pPr>
            <w:r w:rsidRPr="00687DE8">
              <w:rPr>
                <w:b/>
                <w:szCs w:val="24"/>
              </w:rPr>
              <w:t>Piirhind</w:t>
            </w:r>
            <w:r w:rsidRPr="00687DE8">
              <w:rPr>
                <w:szCs w:val="24"/>
              </w:rPr>
              <w:br/>
            </w:r>
            <w:r w:rsidRPr="00687DE8">
              <w:rPr>
                <w:b/>
                <w:szCs w:val="24"/>
              </w:rPr>
              <w:t>eurodes</w:t>
            </w:r>
          </w:p>
        </w:tc>
      </w:tr>
      <w:tr w:rsidR="00D2506C" w:rsidRPr="00687DE8" w14:paraId="48D60C2B" w14:textId="77777777" w:rsidTr="00934CCC">
        <w:trPr>
          <w:divId w:val="1316184749"/>
          <w:trHeight w:val="300"/>
        </w:trPr>
        <w:tc>
          <w:tcPr>
            <w:tcW w:w="7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5DEF7E" w14:textId="77777777" w:rsidR="00D2506C" w:rsidRPr="00687DE8" w:rsidRDefault="00D2506C" w:rsidP="00D2506C">
            <w:pPr>
              <w:spacing w:after="0" w:line="240" w:lineRule="auto"/>
              <w:rPr>
                <w:szCs w:val="24"/>
              </w:rPr>
            </w:pPr>
            <w:r w:rsidRPr="00687DE8">
              <w:rPr>
                <w:szCs w:val="24"/>
              </w:rPr>
              <w:t>Türeoliberiintest</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B9A278" w14:textId="77777777" w:rsidR="00D2506C" w:rsidRPr="00687DE8" w:rsidRDefault="00D2506C" w:rsidP="00D2506C">
            <w:pPr>
              <w:spacing w:after="0" w:line="240" w:lineRule="auto"/>
              <w:jc w:val="center"/>
              <w:rPr>
                <w:szCs w:val="24"/>
              </w:rPr>
            </w:pPr>
            <w:r w:rsidRPr="00687DE8">
              <w:rPr>
                <w:szCs w:val="24"/>
              </w:rPr>
              <w:t>6351</w:t>
            </w:r>
          </w:p>
        </w:tc>
        <w:tc>
          <w:tcPr>
            <w:tcW w:w="11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EF4139" w14:textId="28130945" w:rsidR="2E1E8EE1" w:rsidRPr="00687DE8" w:rsidRDefault="00836450">
            <w:pPr>
              <w:spacing w:after="0"/>
              <w:jc w:val="center"/>
              <w:rPr>
                <w:color w:val="000000" w:themeColor="text1"/>
                <w:szCs w:val="24"/>
              </w:rPr>
            </w:pPr>
            <w:r>
              <w:rPr>
                <w:color w:val="000000"/>
              </w:rPr>
              <w:t>125,59</w:t>
            </w:r>
          </w:p>
        </w:tc>
      </w:tr>
      <w:tr w:rsidR="00D2506C" w:rsidRPr="00687DE8" w14:paraId="09F2B7C9" w14:textId="77777777" w:rsidTr="00934CCC">
        <w:trPr>
          <w:divId w:val="1316184749"/>
          <w:trHeight w:val="300"/>
        </w:trPr>
        <w:tc>
          <w:tcPr>
            <w:tcW w:w="7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9DB266" w14:textId="77777777" w:rsidR="00D2506C" w:rsidRPr="00687DE8" w:rsidRDefault="00D2506C" w:rsidP="00D2506C">
            <w:pPr>
              <w:spacing w:after="0" w:line="240" w:lineRule="auto"/>
              <w:rPr>
                <w:szCs w:val="24"/>
              </w:rPr>
            </w:pPr>
            <w:r w:rsidRPr="00687DE8">
              <w:rPr>
                <w:szCs w:val="24"/>
              </w:rPr>
              <w:t>Gonadoliberiintest</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D1E41E" w14:textId="77777777" w:rsidR="00D2506C" w:rsidRPr="00687DE8" w:rsidRDefault="00D2506C" w:rsidP="00D2506C">
            <w:pPr>
              <w:spacing w:after="0" w:line="240" w:lineRule="auto"/>
              <w:jc w:val="center"/>
              <w:rPr>
                <w:szCs w:val="24"/>
              </w:rPr>
            </w:pPr>
            <w:r w:rsidRPr="00687DE8">
              <w:rPr>
                <w:szCs w:val="24"/>
              </w:rPr>
              <w:t>6352</w:t>
            </w:r>
          </w:p>
        </w:tc>
        <w:tc>
          <w:tcPr>
            <w:tcW w:w="111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76C82C" w14:textId="7D576B0A" w:rsidR="2E1E8EE1" w:rsidRPr="00687DE8" w:rsidRDefault="00836450">
            <w:pPr>
              <w:spacing w:after="0"/>
              <w:jc w:val="center"/>
              <w:rPr>
                <w:color w:val="000000" w:themeColor="text1"/>
                <w:szCs w:val="24"/>
              </w:rPr>
            </w:pPr>
            <w:r>
              <w:rPr>
                <w:color w:val="000000"/>
              </w:rPr>
              <w:t>147,20</w:t>
            </w:r>
          </w:p>
        </w:tc>
      </w:tr>
      <w:tr w:rsidR="00D2506C" w:rsidRPr="00687DE8" w14:paraId="1AE3CA7E" w14:textId="77777777" w:rsidTr="00934CCC">
        <w:trPr>
          <w:divId w:val="1316184749"/>
          <w:trHeight w:val="300"/>
        </w:trPr>
        <w:tc>
          <w:tcPr>
            <w:tcW w:w="7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8142EE" w14:textId="77777777" w:rsidR="00D2506C" w:rsidRPr="00687DE8" w:rsidRDefault="00D2506C" w:rsidP="00D2506C">
            <w:pPr>
              <w:spacing w:after="0" w:line="240" w:lineRule="auto"/>
              <w:rPr>
                <w:szCs w:val="24"/>
              </w:rPr>
            </w:pPr>
            <w:r w:rsidRPr="00687DE8">
              <w:rPr>
                <w:szCs w:val="24"/>
              </w:rPr>
              <w:t>Kortikoliberiintest</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F1850B" w14:textId="77777777" w:rsidR="00D2506C" w:rsidRPr="00687DE8" w:rsidRDefault="00D2506C" w:rsidP="00D2506C">
            <w:pPr>
              <w:spacing w:after="0" w:line="240" w:lineRule="auto"/>
              <w:jc w:val="center"/>
              <w:rPr>
                <w:szCs w:val="24"/>
              </w:rPr>
            </w:pPr>
            <w:r w:rsidRPr="00687DE8">
              <w:rPr>
                <w:szCs w:val="24"/>
              </w:rPr>
              <w:t>6353</w:t>
            </w:r>
          </w:p>
        </w:tc>
        <w:tc>
          <w:tcPr>
            <w:tcW w:w="111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F5A8D1" w14:textId="1DB249B5" w:rsidR="2E1E8EE1" w:rsidRPr="00687DE8" w:rsidRDefault="00836450">
            <w:pPr>
              <w:spacing w:after="0"/>
              <w:jc w:val="center"/>
              <w:rPr>
                <w:color w:val="000000" w:themeColor="text1"/>
                <w:szCs w:val="24"/>
              </w:rPr>
            </w:pPr>
            <w:r>
              <w:rPr>
                <w:color w:val="000000"/>
              </w:rPr>
              <w:t>241,37</w:t>
            </w:r>
          </w:p>
        </w:tc>
      </w:tr>
      <w:tr w:rsidR="00D2506C" w:rsidRPr="00687DE8" w14:paraId="35537BAB" w14:textId="77777777" w:rsidTr="00934CCC">
        <w:trPr>
          <w:divId w:val="1316184749"/>
          <w:trHeight w:val="300"/>
        </w:trPr>
        <w:tc>
          <w:tcPr>
            <w:tcW w:w="7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DC0D5B" w14:textId="77777777" w:rsidR="00D2506C" w:rsidRPr="00687DE8" w:rsidRDefault="00D2506C" w:rsidP="00D2506C">
            <w:pPr>
              <w:spacing w:after="0" w:line="240" w:lineRule="auto"/>
              <w:rPr>
                <w:szCs w:val="24"/>
              </w:rPr>
            </w:pPr>
            <w:r w:rsidRPr="00687DE8">
              <w:rPr>
                <w:szCs w:val="24"/>
              </w:rPr>
              <w:t>Kasvuhormooni liberiintest</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F91DC6" w14:textId="77777777" w:rsidR="00D2506C" w:rsidRPr="00687DE8" w:rsidRDefault="00D2506C" w:rsidP="00D2506C">
            <w:pPr>
              <w:spacing w:after="0" w:line="240" w:lineRule="auto"/>
              <w:jc w:val="center"/>
              <w:rPr>
                <w:szCs w:val="24"/>
              </w:rPr>
            </w:pPr>
            <w:r w:rsidRPr="00687DE8">
              <w:rPr>
                <w:szCs w:val="24"/>
              </w:rPr>
              <w:t>6354</w:t>
            </w:r>
          </w:p>
        </w:tc>
        <w:tc>
          <w:tcPr>
            <w:tcW w:w="111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E5E41D" w14:textId="5BC26DF5" w:rsidR="2E1E8EE1" w:rsidRPr="00687DE8" w:rsidRDefault="00836450">
            <w:pPr>
              <w:spacing w:after="0"/>
              <w:jc w:val="center"/>
              <w:rPr>
                <w:color w:val="000000" w:themeColor="text1"/>
                <w:szCs w:val="24"/>
              </w:rPr>
            </w:pPr>
            <w:r>
              <w:rPr>
                <w:color w:val="000000"/>
              </w:rPr>
              <w:t>228,08</w:t>
            </w:r>
          </w:p>
        </w:tc>
      </w:tr>
      <w:tr w:rsidR="00D2506C" w:rsidRPr="00687DE8" w14:paraId="075879FA" w14:textId="77777777" w:rsidTr="00934CCC">
        <w:trPr>
          <w:divId w:val="1316184749"/>
          <w:trHeight w:val="300"/>
        </w:trPr>
        <w:tc>
          <w:tcPr>
            <w:tcW w:w="7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BC17CD" w14:textId="77777777" w:rsidR="00D2506C" w:rsidRPr="00687DE8" w:rsidRDefault="00D2506C" w:rsidP="00D2506C">
            <w:pPr>
              <w:spacing w:after="0" w:line="240" w:lineRule="auto"/>
              <w:rPr>
                <w:szCs w:val="24"/>
              </w:rPr>
            </w:pPr>
            <w:r w:rsidRPr="00687DE8">
              <w:rPr>
                <w:szCs w:val="24"/>
              </w:rPr>
              <w:t>Insuliinhüpoglükeemiatest</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E9F4A7" w14:textId="77777777" w:rsidR="00D2506C" w:rsidRPr="00687DE8" w:rsidRDefault="00D2506C" w:rsidP="00D2506C">
            <w:pPr>
              <w:spacing w:after="0" w:line="240" w:lineRule="auto"/>
              <w:jc w:val="center"/>
              <w:rPr>
                <w:szCs w:val="24"/>
              </w:rPr>
            </w:pPr>
            <w:r w:rsidRPr="00687DE8">
              <w:rPr>
                <w:szCs w:val="24"/>
              </w:rPr>
              <w:t>6355</w:t>
            </w:r>
          </w:p>
        </w:tc>
        <w:tc>
          <w:tcPr>
            <w:tcW w:w="111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7FF190" w14:textId="4D013B9A" w:rsidR="2E1E8EE1" w:rsidRPr="00687DE8" w:rsidRDefault="00836450">
            <w:pPr>
              <w:spacing w:after="0"/>
              <w:jc w:val="center"/>
              <w:rPr>
                <w:color w:val="000000" w:themeColor="text1"/>
                <w:szCs w:val="24"/>
              </w:rPr>
            </w:pPr>
            <w:r>
              <w:rPr>
                <w:color w:val="000000"/>
              </w:rPr>
              <w:t>161,90</w:t>
            </w:r>
          </w:p>
        </w:tc>
      </w:tr>
      <w:tr w:rsidR="00D2506C" w:rsidRPr="00687DE8" w14:paraId="6BFDC431" w14:textId="77777777" w:rsidTr="00934CCC">
        <w:trPr>
          <w:divId w:val="1316184749"/>
          <w:trHeight w:val="300"/>
        </w:trPr>
        <w:tc>
          <w:tcPr>
            <w:tcW w:w="7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4C1208" w14:textId="77777777" w:rsidR="00D2506C" w:rsidRPr="00687DE8" w:rsidRDefault="00D2506C" w:rsidP="00D2506C">
            <w:pPr>
              <w:spacing w:after="0" w:line="240" w:lineRule="auto"/>
              <w:rPr>
                <w:szCs w:val="24"/>
              </w:rPr>
            </w:pPr>
            <w:r w:rsidRPr="00687DE8">
              <w:rPr>
                <w:szCs w:val="24"/>
              </w:rPr>
              <w:t>Glükagoontest</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5CAF2C" w14:textId="77777777" w:rsidR="00D2506C" w:rsidRPr="00687DE8" w:rsidRDefault="00D2506C" w:rsidP="00D2506C">
            <w:pPr>
              <w:spacing w:after="0" w:line="240" w:lineRule="auto"/>
              <w:jc w:val="center"/>
              <w:rPr>
                <w:szCs w:val="24"/>
              </w:rPr>
            </w:pPr>
            <w:r w:rsidRPr="00687DE8">
              <w:rPr>
                <w:szCs w:val="24"/>
              </w:rPr>
              <w:t>6356</w:t>
            </w:r>
          </w:p>
        </w:tc>
        <w:tc>
          <w:tcPr>
            <w:tcW w:w="111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7C0C6B" w14:textId="4358567E" w:rsidR="2E1E8EE1" w:rsidRPr="00687DE8" w:rsidRDefault="00836450">
            <w:pPr>
              <w:spacing w:after="0"/>
              <w:jc w:val="center"/>
              <w:rPr>
                <w:color w:val="000000" w:themeColor="text1"/>
                <w:szCs w:val="24"/>
              </w:rPr>
            </w:pPr>
            <w:r>
              <w:rPr>
                <w:color w:val="000000"/>
              </w:rPr>
              <w:t>171,17</w:t>
            </w:r>
          </w:p>
        </w:tc>
      </w:tr>
      <w:tr w:rsidR="00D2506C" w:rsidRPr="00687DE8" w14:paraId="2E8D827F" w14:textId="77777777" w:rsidTr="00934CCC">
        <w:trPr>
          <w:divId w:val="1316184749"/>
          <w:trHeight w:val="300"/>
        </w:trPr>
        <w:tc>
          <w:tcPr>
            <w:tcW w:w="7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5C8770" w14:textId="77777777" w:rsidR="00D2506C" w:rsidRPr="00687DE8" w:rsidRDefault="00D2506C" w:rsidP="00D2506C">
            <w:pPr>
              <w:spacing w:after="0" w:line="240" w:lineRule="auto"/>
              <w:rPr>
                <w:szCs w:val="24"/>
              </w:rPr>
            </w:pPr>
            <w:r w:rsidRPr="00687DE8">
              <w:rPr>
                <w:i/>
                <w:szCs w:val="24"/>
              </w:rPr>
              <w:t>Synacthen</w:t>
            </w:r>
            <w:r w:rsidRPr="00687DE8">
              <w:rPr>
                <w:szCs w:val="24"/>
              </w:rPr>
              <w:t>-test</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C47C13" w14:textId="77777777" w:rsidR="00D2506C" w:rsidRPr="00687DE8" w:rsidRDefault="00D2506C" w:rsidP="00D2506C">
            <w:pPr>
              <w:spacing w:after="0" w:line="240" w:lineRule="auto"/>
              <w:jc w:val="center"/>
              <w:rPr>
                <w:szCs w:val="24"/>
              </w:rPr>
            </w:pPr>
            <w:r w:rsidRPr="00687DE8">
              <w:rPr>
                <w:szCs w:val="24"/>
              </w:rPr>
              <w:t>6357</w:t>
            </w:r>
          </w:p>
        </w:tc>
        <w:tc>
          <w:tcPr>
            <w:tcW w:w="111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7BE6AB" w14:textId="2EFAE78E" w:rsidR="2E1E8EE1" w:rsidRPr="00687DE8" w:rsidRDefault="00836450">
            <w:pPr>
              <w:spacing w:after="0"/>
              <w:jc w:val="center"/>
              <w:rPr>
                <w:color w:val="000000" w:themeColor="text1"/>
                <w:szCs w:val="24"/>
              </w:rPr>
            </w:pPr>
            <w:r>
              <w:rPr>
                <w:color w:val="000000"/>
              </w:rPr>
              <w:t>158,13</w:t>
            </w:r>
          </w:p>
        </w:tc>
      </w:tr>
      <w:tr w:rsidR="00D2506C" w:rsidRPr="00687DE8" w14:paraId="3F629C5A" w14:textId="77777777" w:rsidTr="00934CCC">
        <w:trPr>
          <w:divId w:val="1316184749"/>
          <w:trHeight w:val="300"/>
        </w:trPr>
        <w:tc>
          <w:tcPr>
            <w:tcW w:w="7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D41DC7" w14:textId="77777777" w:rsidR="00D2506C" w:rsidRPr="00687DE8" w:rsidRDefault="00D2506C" w:rsidP="00D2506C">
            <w:pPr>
              <w:spacing w:after="0" w:line="240" w:lineRule="auto"/>
              <w:rPr>
                <w:szCs w:val="24"/>
              </w:rPr>
            </w:pPr>
            <w:r w:rsidRPr="00687DE8">
              <w:rPr>
                <w:szCs w:val="24"/>
              </w:rPr>
              <w:t>Kooriongonadotropiintest</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871464" w14:textId="77777777" w:rsidR="00D2506C" w:rsidRPr="00687DE8" w:rsidRDefault="00D2506C" w:rsidP="00D2506C">
            <w:pPr>
              <w:spacing w:after="0" w:line="240" w:lineRule="auto"/>
              <w:jc w:val="center"/>
              <w:rPr>
                <w:szCs w:val="24"/>
              </w:rPr>
            </w:pPr>
            <w:r w:rsidRPr="00687DE8">
              <w:rPr>
                <w:szCs w:val="24"/>
              </w:rPr>
              <w:t>6358</w:t>
            </w:r>
          </w:p>
        </w:tc>
        <w:tc>
          <w:tcPr>
            <w:tcW w:w="111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3D946B" w14:textId="6A920CDF" w:rsidR="2E1E8EE1" w:rsidRPr="00687DE8" w:rsidRDefault="00836450">
            <w:pPr>
              <w:spacing w:after="0"/>
              <w:jc w:val="center"/>
              <w:rPr>
                <w:color w:val="000000" w:themeColor="text1"/>
                <w:szCs w:val="24"/>
              </w:rPr>
            </w:pPr>
            <w:r>
              <w:rPr>
                <w:color w:val="000000"/>
              </w:rPr>
              <w:t>161,07</w:t>
            </w:r>
          </w:p>
        </w:tc>
      </w:tr>
      <w:tr w:rsidR="00D2506C" w:rsidRPr="00687DE8" w14:paraId="5970D511" w14:textId="77777777" w:rsidTr="00934CCC">
        <w:trPr>
          <w:divId w:val="1316184749"/>
          <w:trHeight w:val="300"/>
        </w:trPr>
        <w:tc>
          <w:tcPr>
            <w:tcW w:w="7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14ECA8" w14:textId="77777777" w:rsidR="00D2506C" w:rsidRPr="00687DE8" w:rsidRDefault="00D2506C" w:rsidP="00D2506C">
            <w:pPr>
              <w:spacing w:after="0" w:line="240" w:lineRule="auto"/>
              <w:rPr>
                <w:szCs w:val="24"/>
              </w:rPr>
            </w:pPr>
            <w:r w:rsidRPr="00687DE8">
              <w:rPr>
                <w:szCs w:val="24"/>
              </w:rPr>
              <w:t>Arginiintest</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C7B934" w14:textId="77777777" w:rsidR="00D2506C" w:rsidRPr="00687DE8" w:rsidRDefault="00D2506C" w:rsidP="00D2506C">
            <w:pPr>
              <w:spacing w:after="0" w:line="240" w:lineRule="auto"/>
              <w:jc w:val="center"/>
              <w:rPr>
                <w:szCs w:val="24"/>
              </w:rPr>
            </w:pPr>
            <w:r w:rsidRPr="00687DE8">
              <w:rPr>
                <w:szCs w:val="24"/>
              </w:rPr>
              <w:t>6359</w:t>
            </w:r>
          </w:p>
        </w:tc>
        <w:tc>
          <w:tcPr>
            <w:tcW w:w="111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164909" w14:textId="0004C27F" w:rsidR="2E1E8EE1" w:rsidRPr="00687DE8" w:rsidRDefault="00836450">
            <w:pPr>
              <w:spacing w:after="0"/>
              <w:jc w:val="center"/>
              <w:rPr>
                <w:color w:val="000000" w:themeColor="text1"/>
                <w:szCs w:val="24"/>
              </w:rPr>
            </w:pPr>
            <w:r>
              <w:rPr>
                <w:color w:val="000000"/>
              </w:rPr>
              <w:t>169,71</w:t>
            </w:r>
          </w:p>
        </w:tc>
      </w:tr>
      <w:tr w:rsidR="00D2506C" w:rsidRPr="00687DE8" w14:paraId="18106C1A" w14:textId="77777777" w:rsidTr="00934CCC">
        <w:trPr>
          <w:divId w:val="1316184749"/>
          <w:trHeight w:val="300"/>
        </w:trPr>
        <w:tc>
          <w:tcPr>
            <w:tcW w:w="71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AAD7CC" w14:textId="77777777" w:rsidR="00D2506C" w:rsidRPr="00687DE8" w:rsidRDefault="00D2506C" w:rsidP="00D2506C">
            <w:pPr>
              <w:spacing w:after="0" w:line="240" w:lineRule="auto"/>
              <w:rPr>
                <w:szCs w:val="24"/>
              </w:rPr>
            </w:pPr>
            <w:r w:rsidRPr="00687DE8">
              <w:rPr>
                <w:szCs w:val="24"/>
              </w:rPr>
              <w:lastRenderedPageBreak/>
              <w:t>Keha rasva- ja veesisalduse uuring bioelektrilise takistuse meetodil</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259928" w14:textId="77777777" w:rsidR="00D2506C" w:rsidRPr="00687DE8" w:rsidRDefault="00D2506C" w:rsidP="00D2506C">
            <w:pPr>
              <w:spacing w:after="0" w:line="240" w:lineRule="auto"/>
              <w:jc w:val="center"/>
              <w:rPr>
                <w:szCs w:val="24"/>
              </w:rPr>
            </w:pPr>
            <w:r w:rsidRPr="00687DE8">
              <w:rPr>
                <w:szCs w:val="24"/>
              </w:rPr>
              <w:t>6360</w:t>
            </w:r>
          </w:p>
        </w:tc>
        <w:tc>
          <w:tcPr>
            <w:tcW w:w="111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3F1DFD" w14:textId="725D82F2" w:rsidR="2E1E8EE1" w:rsidRPr="00687DE8" w:rsidRDefault="00836450">
            <w:pPr>
              <w:spacing w:after="0"/>
              <w:jc w:val="center"/>
              <w:rPr>
                <w:color w:val="000000" w:themeColor="text1"/>
                <w:szCs w:val="24"/>
              </w:rPr>
            </w:pPr>
            <w:r>
              <w:rPr>
                <w:color w:val="000000"/>
              </w:rPr>
              <w:t>16,93</w:t>
            </w:r>
          </w:p>
        </w:tc>
      </w:tr>
    </w:tbl>
    <w:p w14:paraId="490FD79E" w14:textId="4E1B8A54" w:rsidR="00976487" w:rsidRPr="00687DE8" w:rsidRDefault="00976487" w:rsidP="00976487">
      <w:pPr>
        <w:spacing w:after="0" w:line="240" w:lineRule="auto"/>
        <w:outlineLvl w:val="2"/>
        <w:divId w:val="1316184749"/>
        <w:rPr>
          <w:b/>
          <w:bCs/>
          <w:szCs w:val="24"/>
        </w:rPr>
      </w:pPr>
    </w:p>
    <w:p w14:paraId="7FCFAEBF" w14:textId="199A5529" w:rsidR="00976487" w:rsidRDefault="00976487" w:rsidP="003359A5">
      <w:pPr>
        <w:spacing w:after="0" w:line="240" w:lineRule="auto"/>
        <w:jc w:val="both"/>
        <w:outlineLvl w:val="2"/>
        <w:divId w:val="1316184749"/>
        <w:rPr>
          <w:b/>
          <w:szCs w:val="24"/>
        </w:rPr>
      </w:pPr>
      <w:r w:rsidRPr="00687DE8">
        <w:rPr>
          <w:b/>
          <w:szCs w:val="24"/>
        </w:rPr>
        <w:t>§</w:t>
      </w:r>
      <w:r w:rsidR="003359A5" w:rsidRPr="00687DE8">
        <w:rPr>
          <w:b/>
          <w:szCs w:val="24"/>
        </w:rPr>
        <w:t> </w:t>
      </w:r>
      <w:r w:rsidR="00296746" w:rsidRPr="00687DE8">
        <w:rPr>
          <w:b/>
          <w:szCs w:val="24"/>
        </w:rPr>
        <w:t>29</w:t>
      </w:r>
      <w:r w:rsidRPr="00687DE8">
        <w:rPr>
          <w:b/>
          <w:szCs w:val="24"/>
        </w:rPr>
        <w:t xml:space="preserve">. Üldmeditsiiniliste </w:t>
      </w:r>
      <w:r w:rsidR="003925CE" w:rsidRPr="00687DE8">
        <w:rPr>
          <w:b/>
          <w:szCs w:val="24"/>
        </w:rPr>
        <w:t>protseduuride</w:t>
      </w:r>
      <w:r w:rsidR="00CF2022" w:rsidRPr="00687DE8">
        <w:rPr>
          <w:b/>
          <w:szCs w:val="24"/>
        </w:rPr>
        <w:t xml:space="preserve">, </w:t>
      </w:r>
      <w:r w:rsidRPr="00687DE8">
        <w:rPr>
          <w:b/>
          <w:szCs w:val="24"/>
        </w:rPr>
        <w:t>taastusravi</w:t>
      </w:r>
      <w:r w:rsidR="0078439F" w:rsidRPr="00687DE8">
        <w:rPr>
          <w:b/>
          <w:szCs w:val="24"/>
        </w:rPr>
        <w:t>, tegevusteraapia</w:t>
      </w:r>
      <w:r w:rsidRPr="00687DE8">
        <w:rPr>
          <w:b/>
          <w:szCs w:val="24"/>
        </w:rPr>
        <w:t xml:space="preserve"> </w:t>
      </w:r>
      <w:r w:rsidR="00CF2022" w:rsidRPr="00687DE8">
        <w:rPr>
          <w:b/>
          <w:szCs w:val="24"/>
        </w:rPr>
        <w:t xml:space="preserve">ja füsioteraapia </w:t>
      </w:r>
      <w:r w:rsidRPr="00687DE8">
        <w:rPr>
          <w:b/>
          <w:szCs w:val="24"/>
        </w:rPr>
        <w:t>piirhinnad</w:t>
      </w:r>
    </w:p>
    <w:p w14:paraId="1641F858" w14:textId="77777777" w:rsidR="00DF1D65" w:rsidRDefault="00DF1D65" w:rsidP="00976487">
      <w:pPr>
        <w:spacing w:after="0" w:line="240" w:lineRule="auto"/>
        <w:divId w:val="1316184749"/>
        <w:rPr>
          <w:szCs w:val="24"/>
        </w:rPr>
      </w:pPr>
    </w:p>
    <w:p w14:paraId="5D6FDA3C" w14:textId="543527BA" w:rsidR="00976487" w:rsidRPr="00687DE8" w:rsidRDefault="00976487" w:rsidP="00976487">
      <w:pPr>
        <w:spacing w:after="0" w:line="240" w:lineRule="auto"/>
        <w:divId w:val="1316184749"/>
        <w:rPr>
          <w:szCs w:val="24"/>
        </w:rPr>
      </w:pPr>
      <w:r w:rsidRPr="00687DE8">
        <w:rPr>
          <w:szCs w:val="24"/>
        </w:rPr>
        <w:t>(1) Üldmeditsiiniliste protseduuride piirhinnad on järgmised:</w:t>
      </w:r>
    </w:p>
    <w:p w14:paraId="27140B96" w14:textId="77777777" w:rsidR="00976487" w:rsidRPr="00687DE8" w:rsidRDefault="00976487" w:rsidP="00976487">
      <w:pPr>
        <w:spacing w:after="0" w:line="240" w:lineRule="auto"/>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7"/>
        <w:gridCol w:w="1023"/>
        <w:gridCol w:w="2015"/>
      </w:tblGrid>
      <w:tr w:rsidR="00976487" w:rsidRPr="00687DE8" w14:paraId="11C6A15E" w14:textId="77777777" w:rsidTr="00AB096E">
        <w:trPr>
          <w:divId w:val="1316184749"/>
          <w:trHeight w:val="300"/>
          <w:tblHeader/>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0D4086" w14:textId="77777777" w:rsidR="00976487" w:rsidRPr="00687DE8" w:rsidRDefault="00976487">
            <w:pPr>
              <w:spacing w:after="0" w:line="240" w:lineRule="auto"/>
              <w:jc w:val="center"/>
              <w:rPr>
                <w:szCs w:val="24"/>
              </w:rPr>
            </w:pPr>
            <w:r w:rsidRPr="00687DE8">
              <w:rPr>
                <w:b/>
                <w:szCs w:val="24"/>
              </w:rPr>
              <w:t>Tervishoiuteenuse nimetus</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713602" w14:textId="77777777" w:rsidR="00976487" w:rsidRPr="00687DE8" w:rsidRDefault="00976487">
            <w:pPr>
              <w:spacing w:after="0" w:line="240" w:lineRule="auto"/>
              <w:jc w:val="center"/>
              <w:rPr>
                <w:szCs w:val="24"/>
              </w:rPr>
            </w:pPr>
            <w:r w:rsidRPr="00687DE8">
              <w:rPr>
                <w:b/>
                <w:szCs w:val="24"/>
              </w:rPr>
              <w:t>Kood</w:t>
            </w:r>
          </w:p>
        </w:tc>
        <w:tc>
          <w:tcPr>
            <w:tcW w:w="20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31E90F"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050174" w:rsidRPr="00687DE8" w14:paraId="79E0B2AD"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29607A" w14:textId="77777777" w:rsidR="00050174" w:rsidRPr="00687DE8" w:rsidRDefault="00050174" w:rsidP="00050174">
            <w:pPr>
              <w:spacing w:after="0" w:line="240" w:lineRule="auto"/>
              <w:rPr>
                <w:szCs w:val="24"/>
              </w:rPr>
            </w:pPr>
            <w:r w:rsidRPr="00687DE8">
              <w:rPr>
                <w:szCs w:val="24"/>
              </w:rPr>
              <w:t>Biopsia võtmine (välja arvatud operatsiooni ajal)</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66ED2E" w14:textId="77777777" w:rsidR="00050174" w:rsidRPr="00687DE8" w:rsidRDefault="00050174" w:rsidP="00050174">
            <w:pPr>
              <w:spacing w:after="0" w:line="240" w:lineRule="auto"/>
              <w:jc w:val="center"/>
              <w:rPr>
                <w:szCs w:val="24"/>
              </w:rPr>
            </w:pPr>
            <w:r w:rsidRPr="00687DE8">
              <w:rPr>
                <w:szCs w:val="24"/>
              </w:rPr>
              <w:t>7004</w:t>
            </w:r>
          </w:p>
        </w:tc>
        <w:tc>
          <w:tcPr>
            <w:tcW w:w="20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E8154A" w14:textId="087568C4" w:rsidR="2E1E8EE1" w:rsidRPr="00687DE8" w:rsidRDefault="002063AA">
            <w:pPr>
              <w:spacing w:after="0"/>
              <w:jc w:val="center"/>
              <w:rPr>
                <w:color w:val="000000" w:themeColor="text1"/>
                <w:szCs w:val="24"/>
              </w:rPr>
            </w:pPr>
            <w:r>
              <w:rPr>
                <w:color w:val="000000"/>
              </w:rPr>
              <w:t>2,30</w:t>
            </w:r>
          </w:p>
        </w:tc>
      </w:tr>
      <w:tr w:rsidR="00050174" w:rsidRPr="00687DE8" w14:paraId="2E3E6301"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3395A0" w14:textId="77777777" w:rsidR="00050174" w:rsidRPr="00687DE8" w:rsidRDefault="00050174" w:rsidP="00050174">
            <w:pPr>
              <w:spacing w:after="0" w:line="240" w:lineRule="auto"/>
              <w:rPr>
                <w:szCs w:val="24"/>
              </w:rPr>
            </w:pPr>
            <w:r w:rsidRPr="00687DE8">
              <w:rPr>
                <w:szCs w:val="24"/>
              </w:rPr>
              <w:t>Diagnostilisel või ravi eesmärgil elundi/õõne punktsioon</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0001DB" w14:textId="77777777" w:rsidR="00050174" w:rsidRPr="00687DE8" w:rsidRDefault="00050174" w:rsidP="00050174">
            <w:pPr>
              <w:spacing w:after="0" w:line="240" w:lineRule="auto"/>
              <w:jc w:val="center"/>
              <w:rPr>
                <w:szCs w:val="24"/>
              </w:rPr>
            </w:pPr>
            <w:r w:rsidRPr="00687DE8">
              <w:rPr>
                <w:szCs w:val="24"/>
              </w:rPr>
              <w:t>7005</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63ADF4" w14:textId="1B40DB95" w:rsidR="2E1E8EE1" w:rsidRPr="00687DE8" w:rsidRDefault="002063AA">
            <w:pPr>
              <w:spacing w:after="0"/>
              <w:jc w:val="center"/>
              <w:rPr>
                <w:color w:val="000000" w:themeColor="text1"/>
                <w:szCs w:val="24"/>
              </w:rPr>
            </w:pPr>
            <w:r>
              <w:rPr>
                <w:color w:val="000000"/>
              </w:rPr>
              <w:t>3,30</w:t>
            </w:r>
          </w:p>
        </w:tc>
      </w:tr>
      <w:tr w:rsidR="00050174" w:rsidRPr="00687DE8" w14:paraId="426B0F23"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68DF60" w14:textId="77777777" w:rsidR="00050174" w:rsidRPr="00687DE8" w:rsidRDefault="00050174" w:rsidP="00050174">
            <w:pPr>
              <w:spacing w:after="0" w:line="240" w:lineRule="auto"/>
              <w:rPr>
                <w:szCs w:val="24"/>
              </w:rPr>
            </w:pPr>
            <w:r w:rsidRPr="00687DE8">
              <w:rPr>
                <w:szCs w:val="24"/>
              </w:rPr>
              <w:t>Puurbiopsia</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4E40B1" w14:textId="77777777" w:rsidR="00050174" w:rsidRPr="00687DE8" w:rsidRDefault="00050174" w:rsidP="00050174">
            <w:pPr>
              <w:spacing w:after="0" w:line="240" w:lineRule="auto"/>
              <w:jc w:val="center"/>
              <w:rPr>
                <w:szCs w:val="24"/>
              </w:rPr>
            </w:pPr>
            <w:r w:rsidRPr="00687DE8">
              <w:rPr>
                <w:szCs w:val="24"/>
              </w:rPr>
              <w:t>7006</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FA0498" w14:textId="22349555" w:rsidR="2E1E8EE1" w:rsidRPr="00687DE8" w:rsidRDefault="002063AA">
            <w:pPr>
              <w:spacing w:after="0"/>
              <w:jc w:val="center"/>
              <w:rPr>
                <w:color w:val="000000" w:themeColor="text1"/>
                <w:szCs w:val="24"/>
              </w:rPr>
            </w:pPr>
            <w:r>
              <w:rPr>
                <w:color w:val="000000"/>
              </w:rPr>
              <w:t>53,11</w:t>
            </w:r>
          </w:p>
        </w:tc>
      </w:tr>
      <w:tr w:rsidR="00050174" w:rsidRPr="00687DE8" w14:paraId="695CB320"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3084D0" w14:textId="77777777" w:rsidR="00050174" w:rsidRPr="00687DE8" w:rsidRDefault="00050174" w:rsidP="00050174">
            <w:pPr>
              <w:spacing w:after="0" w:line="240" w:lineRule="auto"/>
              <w:rPr>
                <w:szCs w:val="24"/>
              </w:rPr>
            </w:pPr>
            <w:r w:rsidRPr="00687DE8">
              <w:rPr>
                <w:szCs w:val="24"/>
              </w:rPr>
              <w:t>Dermatoskoopia</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63E3E7" w14:textId="77777777" w:rsidR="00050174" w:rsidRPr="00687DE8" w:rsidRDefault="00050174" w:rsidP="00050174">
            <w:pPr>
              <w:spacing w:after="0" w:line="240" w:lineRule="auto"/>
              <w:jc w:val="center"/>
              <w:rPr>
                <w:szCs w:val="24"/>
              </w:rPr>
            </w:pPr>
            <w:r w:rsidRPr="00687DE8">
              <w:rPr>
                <w:szCs w:val="24"/>
              </w:rPr>
              <w:t>7007</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CAEEE0" w14:textId="5651AC2E" w:rsidR="2E1E8EE1" w:rsidRPr="00687DE8" w:rsidRDefault="002063AA">
            <w:pPr>
              <w:spacing w:after="0"/>
              <w:jc w:val="center"/>
              <w:rPr>
                <w:color w:val="000000" w:themeColor="text1"/>
                <w:szCs w:val="24"/>
              </w:rPr>
            </w:pPr>
            <w:r>
              <w:rPr>
                <w:color w:val="000000"/>
              </w:rPr>
              <w:t>2,83</w:t>
            </w:r>
          </w:p>
        </w:tc>
      </w:tr>
      <w:tr w:rsidR="00050174" w:rsidRPr="00687DE8" w14:paraId="0E745455"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50B6CA" w14:textId="77777777" w:rsidR="00050174" w:rsidRPr="00687DE8" w:rsidRDefault="00050174" w:rsidP="00050174">
            <w:pPr>
              <w:spacing w:after="0" w:line="240" w:lineRule="auto"/>
              <w:rPr>
                <w:szCs w:val="24"/>
              </w:rPr>
            </w:pPr>
            <w:r w:rsidRPr="00687DE8">
              <w:rPr>
                <w:szCs w:val="24"/>
              </w:rPr>
              <w:t>Digitaalne dermatoskoopia</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81191B" w14:textId="77777777" w:rsidR="00050174" w:rsidRPr="00687DE8" w:rsidRDefault="00050174" w:rsidP="00050174">
            <w:pPr>
              <w:spacing w:after="0" w:line="240" w:lineRule="auto"/>
              <w:jc w:val="center"/>
              <w:rPr>
                <w:szCs w:val="24"/>
              </w:rPr>
            </w:pPr>
            <w:r w:rsidRPr="00687DE8">
              <w:rPr>
                <w:szCs w:val="24"/>
              </w:rPr>
              <w:t>7008</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82EBD9" w14:textId="1647336F" w:rsidR="2E1E8EE1" w:rsidRPr="00687DE8" w:rsidRDefault="002063AA">
            <w:pPr>
              <w:spacing w:after="0"/>
              <w:jc w:val="center"/>
              <w:rPr>
                <w:color w:val="000000" w:themeColor="text1"/>
                <w:szCs w:val="24"/>
              </w:rPr>
            </w:pPr>
            <w:r>
              <w:rPr>
                <w:color w:val="000000"/>
              </w:rPr>
              <w:t>58,11</w:t>
            </w:r>
          </w:p>
        </w:tc>
      </w:tr>
      <w:tr w:rsidR="00781E46" w:rsidRPr="00687DE8" w14:paraId="38F759B2"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5BA12E" w14:textId="4AFBEB7F" w:rsidR="00781E46" w:rsidRPr="00687DE8" w:rsidRDefault="00781E46" w:rsidP="00781E46">
            <w:pPr>
              <w:spacing w:after="0" w:line="240" w:lineRule="auto"/>
              <w:rPr>
                <w:szCs w:val="24"/>
              </w:rPr>
            </w:pPr>
            <w:r w:rsidRPr="00687DE8">
              <w:rPr>
                <w:szCs w:val="24"/>
              </w:rPr>
              <w:t>Patsiendi isolatsioon (üks ööpäev)</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43242C" w14:textId="3D864612" w:rsidR="00781E46" w:rsidRPr="00687DE8" w:rsidRDefault="00781E46" w:rsidP="00781E46">
            <w:pPr>
              <w:spacing w:after="0" w:line="240" w:lineRule="auto"/>
              <w:jc w:val="center"/>
              <w:rPr>
                <w:szCs w:val="24"/>
              </w:rPr>
            </w:pPr>
            <w:r w:rsidRPr="00687DE8">
              <w:rPr>
                <w:szCs w:val="24"/>
              </w:rPr>
              <w:t>7009</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6D7D9BB" w14:textId="448CF12E" w:rsidR="2E1E8EE1" w:rsidRPr="00687DE8" w:rsidRDefault="002063AA">
            <w:pPr>
              <w:spacing w:after="0"/>
              <w:jc w:val="center"/>
              <w:rPr>
                <w:color w:val="000000" w:themeColor="text1"/>
                <w:szCs w:val="24"/>
              </w:rPr>
            </w:pPr>
            <w:r>
              <w:rPr>
                <w:color w:val="000000"/>
              </w:rPr>
              <w:t>10,96</w:t>
            </w:r>
          </w:p>
        </w:tc>
      </w:tr>
      <w:tr w:rsidR="00C1366E" w:rsidRPr="00687DE8" w14:paraId="1A646408"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FDC11E" w14:textId="2A6C338B" w:rsidR="00C1366E" w:rsidRPr="00687DE8" w:rsidRDefault="00C1366E" w:rsidP="00C1366E">
            <w:pPr>
              <w:spacing w:after="0" w:line="240" w:lineRule="auto"/>
              <w:rPr>
                <w:szCs w:val="24"/>
              </w:rPr>
            </w:pPr>
            <w:r w:rsidRPr="00687DE8">
              <w:rPr>
                <w:szCs w:val="24"/>
              </w:rPr>
              <w:t>Fotokemoteraapia (PUVA) seanss</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E6A251" w14:textId="14021BF0" w:rsidR="00C1366E" w:rsidRPr="00687DE8" w:rsidRDefault="00C1366E" w:rsidP="00C1366E">
            <w:pPr>
              <w:spacing w:after="0" w:line="240" w:lineRule="auto"/>
              <w:jc w:val="center"/>
              <w:rPr>
                <w:szCs w:val="24"/>
              </w:rPr>
            </w:pPr>
            <w:r w:rsidRPr="00687DE8">
              <w:rPr>
                <w:szCs w:val="24"/>
              </w:rPr>
              <w:t>7010</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F449412" w14:textId="6E0D52F7" w:rsidR="2E1E8EE1" w:rsidRPr="00687DE8" w:rsidRDefault="002063AA">
            <w:pPr>
              <w:spacing w:after="0"/>
              <w:jc w:val="center"/>
              <w:rPr>
                <w:color w:val="000000" w:themeColor="text1"/>
                <w:szCs w:val="24"/>
              </w:rPr>
            </w:pPr>
            <w:r>
              <w:rPr>
                <w:color w:val="000000"/>
              </w:rPr>
              <w:t>7,59</w:t>
            </w:r>
          </w:p>
        </w:tc>
      </w:tr>
      <w:tr w:rsidR="00C1366E" w:rsidRPr="00687DE8" w14:paraId="109059C3"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ABD55F" w14:textId="70F87233" w:rsidR="00C1366E" w:rsidRPr="00687DE8" w:rsidRDefault="00C1366E" w:rsidP="00C1366E">
            <w:pPr>
              <w:spacing w:after="0" w:line="240" w:lineRule="auto"/>
              <w:rPr>
                <w:szCs w:val="24"/>
              </w:rPr>
            </w:pPr>
            <w:r w:rsidRPr="00687DE8">
              <w:rPr>
                <w:szCs w:val="24"/>
              </w:rPr>
              <w:t>Anorektaalmanomeetria</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257BFE" w14:textId="2C93A95C" w:rsidR="00C1366E" w:rsidRPr="00687DE8" w:rsidRDefault="00C1366E" w:rsidP="00C1366E">
            <w:pPr>
              <w:spacing w:after="0" w:line="240" w:lineRule="auto"/>
              <w:jc w:val="center"/>
              <w:rPr>
                <w:szCs w:val="24"/>
              </w:rPr>
            </w:pPr>
            <w:r w:rsidRPr="00687DE8">
              <w:rPr>
                <w:szCs w:val="24"/>
              </w:rPr>
              <w:t>7012</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E12C159" w14:textId="1034C518" w:rsidR="00C1366E" w:rsidRPr="00687DE8" w:rsidRDefault="002063AA" w:rsidP="00006F8A">
            <w:pPr>
              <w:spacing w:after="0" w:line="240" w:lineRule="auto"/>
              <w:jc w:val="center"/>
              <w:rPr>
                <w:szCs w:val="24"/>
              </w:rPr>
            </w:pPr>
            <w:r>
              <w:rPr>
                <w:color w:val="000000"/>
              </w:rPr>
              <w:t>128,77</w:t>
            </w:r>
          </w:p>
        </w:tc>
      </w:tr>
      <w:tr w:rsidR="00050174" w:rsidRPr="00687DE8" w14:paraId="26BB885E"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D3F3FB" w14:textId="77777777" w:rsidR="00050174" w:rsidRPr="00687DE8" w:rsidRDefault="00050174" w:rsidP="00050174">
            <w:pPr>
              <w:spacing w:after="0" w:line="240" w:lineRule="auto"/>
              <w:rPr>
                <w:szCs w:val="24"/>
              </w:rPr>
            </w:pPr>
            <w:r w:rsidRPr="00687DE8">
              <w:rPr>
                <w:szCs w:val="24"/>
              </w:rPr>
              <w:t>Diatermokoagulatsioon või krüoteraapia (protseduur ühele haigele)</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B730F5" w14:textId="77777777" w:rsidR="008972D5" w:rsidRDefault="008972D5" w:rsidP="00050174">
            <w:pPr>
              <w:spacing w:after="0" w:line="240" w:lineRule="auto"/>
              <w:jc w:val="center"/>
              <w:rPr>
                <w:szCs w:val="24"/>
              </w:rPr>
            </w:pPr>
          </w:p>
          <w:p w14:paraId="2143B961" w14:textId="7A49D682" w:rsidR="00050174" w:rsidRPr="00687DE8" w:rsidRDefault="00050174" w:rsidP="00050174">
            <w:pPr>
              <w:spacing w:after="0" w:line="240" w:lineRule="auto"/>
              <w:jc w:val="center"/>
              <w:rPr>
                <w:szCs w:val="24"/>
              </w:rPr>
            </w:pPr>
            <w:r w:rsidRPr="00687DE8">
              <w:rPr>
                <w:szCs w:val="24"/>
              </w:rPr>
              <w:t>7025</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F48075" w14:textId="5379EAD5" w:rsidR="2E1E8EE1" w:rsidRPr="00687DE8" w:rsidRDefault="002063AA">
            <w:pPr>
              <w:spacing w:after="0"/>
              <w:jc w:val="center"/>
              <w:rPr>
                <w:color w:val="000000" w:themeColor="text1"/>
                <w:szCs w:val="24"/>
              </w:rPr>
            </w:pPr>
            <w:r>
              <w:rPr>
                <w:color w:val="000000"/>
              </w:rPr>
              <w:t>37,32</w:t>
            </w:r>
          </w:p>
        </w:tc>
      </w:tr>
      <w:tr w:rsidR="00405BF7" w:rsidRPr="00687DE8" w14:paraId="1268BE37"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3025CA" w14:textId="38514BBA" w:rsidR="00405BF7" w:rsidRPr="00687DE8" w:rsidRDefault="006C7D6E" w:rsidP="00050174">
            <w:pPr>
              <w:spacing w:after="0" w:line="240" w:lineRule="auto"/>
              <w:rPr>
                <w:szCs w:val="24"/>
              </w:rPr>
            </w:pPr>
            <w:r w:rsidRPr="006C7D6E">
              <w:rPr>
                <w:szCs w:val="24"/>
              </w:rPr>
              <w:t>Nahahaiguste fotodünaamili</w:t>
            </w:r>
            <w:r w:rsidR="005B7567">
              <w:rPr>
                <w:szCs w:val="24"/>
              </w:rPr>
              <w:t>se</w:t>
            </w:r>
            <w:r w:rsidRPr="006C7D6E">
              <w:rPr>
                <w:szCs w:val="24"/>
              </w:rPr>
              <w:t xml:space="preserve"> ravi</w:t>
            </w:r>
            <w:r w:rsidR="005B7567">
              <w:rPr>
                <w:szCs w:val="24"/>
              </w:rPr>
              <w:t xml:space="preserve"> protse</w:t>
            </w:r>
            <w:r w:rsidR="007C6E87">
              <w:rPr>
                <w:szCs w:val="24"/>
              </w:rPr>
              <w:t>duur</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268B20" w14:textId="41AEFA7E" w:rsidR="00405BF7" w:rsidRPr="00687DE8" w:rsidRDefault="006C7D6E" w:rsidP="00050174">
            <w:pPr>
              <w:spacing w:after="0" w:line="240" w:lineRule="auto"/>
              <w:jc w:val="center"/>
              <w:rPr>
                <w:szCs w:val="24"/>
              </w:rPr>
            </w:pPr>
            <w:r>
              <w:rPr>
                <w:szCs w:val="24"/>
              </w:rPr>
              <w:t>7026</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EB4352C" w14:textId="0732C14D" w:rsidR="00405BF7" w:rsidRPr="00687DE8" w:rsidRDefault="002063AA">
            <w:pPr>
              <w:spacing w:after="0"/>
              <w:jc w:val="center"/>
              <w:rPr>
                <w:color w:val="000000" w:themeColor="text1"/>
                <w:szCs w:val="24"/>
              </w:rPr>
            </w:pPr>
            <w:r>
              <w:rPr>
                <w:color w:val="000000"/>
              </w:rPr>
              <w:t>284,73</w:t>
            </w:r>
          </w:p>
        </w:tc>
      </w:tr>
      <w:tr w:rsidR="00050174" w:rsidRPr="00687DE8" w14:paraId="27ECED42"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6B3526" w14:textId="77777777" w:rsidR="00050174" w:rsidRPr="00687DE8" w:rsidRDefault="00050174" w:rsidP="00050174">
            <w:pPr>
              <w:spacing w:after="0" w:line="240" w:lineRule="auto"/>
              <w:rPr>
                <w:szCs w:val="24"/>
              </w:rPr>
            </w:pPr>
            <w:r w:rsidRPr="00687DE8">
              <w:rPr>
                <w:szCs w:val="24"/>
              </w:rPr>
              <w:t>Mao ja sapipõie diagnostiline sondeerimine</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E2B2B8" w14:textId="77777777" w:rsidR="00050174" w:rsidRPr="00687DE8" w:rsidRDefault="00050174" w:rsidP="00050174">
            <w:pPr>
              <w:spacing w:after="0" w:line="240" w:lineRule="auto"/>
              <w:jc w:val="center"/>
              <w:rPr>
                <w:szCs w:val="24"/>
              </w:rPr>
            </w:pPr>
            <w:r w:rsidRPr="00687DE8">
              <w:rPr>
                <w:szCs w:val="24"/>
              </w:rPr>
              <w:t>7027</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1501E0" w14:textId="412E6B3C" w:rsidR="2E1E8EE1" w:rsidRPr="00687DE8" w:rsidRDefault="002063AA">
            <w:pPr>
              <w:spacing w:after="0"/>
              <w:jc w:val="center"/>
              <w:rPr>
                <w:color w:val="000000" w:themeColor="text1"/>
                <w:szCs w:val="24"/>
              </w:rPr>
            </w:pPr>
            <w:r>
              <w:rPr>
                <w:color w:val="000000"/>
              </w:rPr>
              <w:t>0,77</w:t>
            </w:r>
          </w:p>
        </w:tc>
      </w:tr>
      <w:tr w:rsidR="00050174" w:rsidRPr="00687DE8" w14:paraId="6DEC5EEA"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56BCAA" w14:textId="77777777" w:rsidR="00050174" w:rsidRPr="00687DE8" w:rsidRDefault="00050174" w:rsidP="00050174">
            <w:pPr>
              <w:spacing w:after="0" w:line="240" w:lineRule="auto"/>
              <w:rPr>
                <w:szCs w:val="24"/>
              </w:rPr>
            </w:pPr>
            <w:r w:rsidRPr="00687DE8">
              <w:rPr>
                <w:szCs w:val="24"/>
              </w:rPr>
              <w:t>Söögitoru 24 tunni pH-meetria (koos impedantsanalüüsiga)</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90AEBB" w14:textId="77777777" w:rsidR="00050174" w:rsidRPr="00687DE8" w:rsidRDefault="00050174" w:rsidP="00050174">
            <w:pPr>
              <w:spacing w:after="0" w:line="240" w:lineRule="auto"/>
              <w:jc w:val="center"/>
              <w:rPr>
                <w:szCs w:val="24"/>
              </w:rPr>
            </w:pPr>
            <w:r w:rsidRPr="00687DE8">
              <w:rPr>
                <w:szCs w:val="24"/>
              </w:rPr>
              <w:t>7020</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986268" w14:textId="2CD4A27B" w:rsidR="2E1E8EE1" w:rsidRPr="00687DE8" w:rsidRDefault="002063AA">
            <w:pPr>
              <w:spacing w:after="0"/>
              <w:jc w:val="center"/>
              <w:rPr>
                <w:color w:val="000000" w:themeColor="text1"/>
                <w:szCs w:val="24"/>
              </w:rPr>
            </w:pPr>
            <w:r>
              <w:rPr>
                <w:color w:val="000000"/>
              </w:rPr>
              <w:t>236,22</w:t>
            </w:r>
          </w:p>
        </w:tc>
      </w:tr>
      <w:tr w:rsidR="009D68B7" w:rsidRPr="00687DE8" w14:paraId="6AF23DDE"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75AC54" w14:textId="5713DF55" w:rsidR="009D68B7" w:rsidRPr="00687DE8" w:rsidRDefault="001A1F2A" w:rsidP="00050174">
            <w:pPr>
              <w:spacing w:after="0" w:line="240" w:lineRule="auto"/>
              <w:rPr>
                <w:szCs w:val="24"/>
              </w:rPr>
            </w:pPr>
            <w:r w:rsidRPr="001A1F2A">
              <w:rPr>
                <w:szCs w:val="24"/>
              </w:rPr>
              <w:t>Kõrge resolutsiooniga söögitoru manomeetria</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60EBFB" w14:textId="091F104A" w:rsidR="009D68B7" w:rsidRPr="00687DE8" w:rsidRDefault="001A1F2A" w:rsidP="00050174">
            <w:pPr>
              <w:spacing w:after="0" w:line="240" w:lineRule="auto"/>
              <w:jc w:val="center"/>
              <w:rPr>
                <w:szCs w:val="24"/>
              </w:rPr>
            </w:pPr>
            <w:r>
              <w:rPr>
                <w:szCs w:val="24"/>
              </w:rPr>
              <w:t>7021</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049D161" w14:textId="746A1FAC" w:rsidR="009D68B7" w:rsidRPr="00687DE8" w:rsidRDefault="002063AA">
            <w:pPr>
              <w:spacing w:after="0"/>
              <w:jc w:val="center"/>
              <w:rPr>
                <w:color w:val="000000" w:themeColor="text1"/>
                <w:szCs w:val="24"/>
              </w:rPr>
            </w:pPr>
            <w:r>
              <w:rPr>
                <w:color w:val="000000"/>
              </w:rPr>
              <w:t>279,17</w:t>
            </w:r>
          </w:p>
        </w:tc>
      </w:tr>
      <w:tr w:rsidR="00050174" w:rsidRPr="00687DE8" w14:paraId="7F0E477A"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022AA0" w14:textId="77777777" w:rsidR="00050174" w:rsidRPr="00687DE8" w:rsidRDefault="00050174" w:rsidP="00050174">
            <w:pPr>
              <w:spacing w:after="0" w:line="240" w:lineRule="auto"/>
              <w:rPr>
                <w:szCs w:val="24"/>
              </w:rPr>
            </w:pPr>
            <w:r w:rsidRPr="00687DE8">
              <w:rPr>
                <w:szCs w:val="24"/>
              </w:rPr>
              <w:t>Inimgeneetiline ekspertiis</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29FA18" w14:textId="77777777" w:rsidR="00050174" w:rsidRPr="00687DE8" w:rsidRDefault="00050174" w:rsidP="00050174">
            <w:pPr>
              <w:spacing w:after="0" w:line="240" w:lineRule="auto"/>
              <w:jc w:val="center"/>
              <w:rPr>
                <w:szCs w:val="24"/>
              </w:rPr>
            </w:pPr>
            <w:r w:rsidRPr="00687DE8">
              <w:rPr>
                <w:szCs w:val="24"/>
              </w:rPr>
              <w:t>7040</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641474" w14:textId="264E0545" w:rsidR="2E1E8EE1" w:rsidRPr="00687DE8" w:rsidRDefault="002063AA">
            <w:pPr>
              <w:spacing w:after="0"/>
              <w:jc w:val="center"/>
              <w:rPr>
                <w:color w:val="000000" w:themeColor="text1"/>
                <w:szCs w:val="24"/>
              </w:rPr>
            </w:pPr>
            <w:r>
              <w:rPr>
                <w:color w:val="000000"/>
              </w:rPr>
              <w:t>355,73</w:t>
            </w:r>
          </w:p>
        </w:tc>
      </w:tr>
      <w:tr w:rsidR="00050174" w:rsidRPr="00687DE8" w14:paraId="14865E01"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D91612" w14:textId="77777777" w:rsidR="00050174" w:rsidRPr="00687DE8" w:rsidRDefault="00050174" w:rsidP="00050174">
            <w:pPr>
              <w:spacing w:after="0" w:line="240" w:lineRule="auto"/>
              <w:rPr>
                <w:szCs w:val="24"/>
              </w:rPr>
            </w:pPr>
            <w:r w:rsidRPr="00687DE8">
              <w:rPr>
                <w:szCs w:val="24"/>
              </w:rPr>
              <w:t>Jalaravikabineti teenus</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308907" w14:textId="77777777" w:rsidR="00050174" w:rsidRPr="00687DE8" w:rsidRDefault="00050174" w:rsidP="00050174">
            <w:pPr>
              <w:spacing w:after="0" w:line="240" w:lineRule="auto"/>
              <w:jc w:val="center"/>
              <w:rPr>
                <w:szCs w:val="24"/>
              </w:rPr>
            </w:pPr>
            <w:r w:rsidRPr="00687DE8">
              <w:rPr>
                <w:szCs w:val="24"/>
              </w:rPr>
              <w:t>7049</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12C663" w14:textId="1A2CDE3E" w:rsidR="2E1E8EE1" w:rsidRPr="00687DE8" w:rsidRDefault="002063AA">
            <w:pPr>
              <w:spacing w:after="0"/>
              <w:jc w:val="center"/>
              <w:rPr>
                <w:color w:val="000000" w:themeColor="text1"/>
                <w:szCs w:val="24"/>
              </w:rPr>
            </w:pPr>
            <w:r>
              <w:rPr>
                <w:color w:val="000000"/>
              </w:rPr>
              <w:t>39,96</w:t>
            </w:r>
          </w:p>
        </w:tc>
      </w:tr>
      <w:tr w:rsidR="00050174" w:rsidRPr="00687DE8" w14:paraId="09EEEFF2"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D113D9" w14:textId="77777777" w:rsidR="00050174" w:rsidRPr="00687DE8" w:rsidRDefault="00050174" w:rsidP="00050174">
            <w:pPr>
              <w:spacing w:after="0" w:line="240" w:lineRule="auto"/>
              <w:rPr>
                <w:szCs w:val="24"/>
              </w:rPr>
            </w:pPr>
            <w:r w:rsidRPr="00687DE8">
              <w:rPr>
                <w:szCs w:val="24"/>
              </w:rPr>
              <w:t xml:space="preserve">13C-uurea hingamistest </w:t>
            </w:r>
            <w:r w:rsidRPr="00687DE8">
              <w:rPr>
                <w:i/>
                <w:szCs w:val="24"/>
              </w:rPr>
              <w:t>Helicobacter pylori</w:t>
            </w:r>
            <w:r w:rsidRPr="00687DE8">
              <w:rPr>
                <w:szCs w:val="24"/>
              </w:rPr>
              <w:t xml:space="preserve"> määramiseks</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F32A3F" w14:textId="77777777" w:rsidR="00050174" w:rsidRPr="00687DE8" w:rsidRDefault="00050174" w:rsidP="00050174">
            <w:pPr>
              <w:spacing w:after="0" w:line="240" w:lineRule="auto"/>
              <w:jc w:val="center"/>
              <w:rPr>
                <w:szCs w:val="24"/>
              </w:rPr>
            </w:pPr>
            <w:r w:rsidRPr="00687DE8">
              <w:rPr>
                <w:szCs w:val="24"/>
              </w:rPr>
              <w:t>7047</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A7B67" w14:textId="4656B083" w:rsidR="2E1E8EE1" w:rsidRPr="00687DE8" w:rsidRDefault="002063AA">
            <w:pPr>
              <w:spacing w:after="0"/>
              <w:jc w:val="center"/>
              <w:rPr>
                <w:color w:val="000000" w:themeColor="text1"/>
                <w:szCs w:val="24"/>
              </w:rPr>
            </w:pPr>
            <w:r>
              <w:rPr>
                <w:color w:val="000000"/>
              </w:rPr>
              <w:t>51,13</w:t>
            </w:r>
          </w:p>
        </w:tc>
      </w:tr>
      <w:tr w:rsidR="00050174" w:rsidRPr="00687DE8" w14:paraId="15C423CC"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77C60C" w14:textId="77777777" w:rsidR="00050174" w:rsidRPr="00687DE8" w:rsidRDefault="00050174" w:rsidP="00050174">
            <w:pPr>
              <w:spacing w:after="0" w:line="240" w:lineRule="auto"/>
              <w:rPr>
                <w:szCs w:val="24"/>
              </w:rPr>
            </w:pPr>
            <w:r w:rsidRPr="00687DE8">
              <w:rPr>
                <w:szCs w:val="24"/>
              </w:rPr>
              <w:t>Luutiheduse uuring aksiaalse DXA densitomeetriga</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F57780" w14:textId="77777777" w:rsidR="00050174" w:rsidRPr="00687DE8" w:rsidRDefault="00050174" w:rsidP="00050174">
            <w:pPr>
              <w:spacing w:after="0" w:line="240" w:lineRule="auto"/>
              <w:jc w:val="center"/>
              <w:rPr>
                <w:szCs w:val="24"/>
              </w:rPr>
            </w:pPr>
            <w:r w:rsidRPr="00687DE8">
              <w:rPr>
                <w:szCs w:val="24"/>
              </w:rPr>
              <w:t>6112</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E56850" w14:textId="06BE7014" w:rsidR="2E1E8EE1" w:rsidRPr="00687DE8" w:rsidRDefault="002063AA">
            <w:pPr>
              <w:spacing w:after="0"/>
              <w:jc w:val="center"/>
              <w:rPr>
                <w:color w:val="000000" w:themeColor="text1"/>
                <w:szCs w:val="24"/>
              </w:rPr>
            </w:pPr>
            <w:r>
              <w:rPr>
                <w:color w:val="000000"/>
              </w:rPr>
              <w:t>31,49</w:t>
            </w:r>
          </w:p>
        </w:tc>
      </w:tr>
      <w:tr w:rsidR="00050174" w:rsidRPr="00687DE8" w14:paraId="2DDD5D31"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9DFAF0" w14:textId="77777777" w:rsidR="00050174" w:rsidRPr="00687DE8" w:rsidRDefault="00050174" w:rsidP="00050174">
            <w:pPr>
              <w:spacing w:after="0" w:line="240" w:lineRule="auto"/>
              <w:rPr>
                <w:szCs w:val="24"/>
              </w:rPr>
            </w:pPr>
            <w:r w:rsidRPr="00687DE8">
              <w:rPr>
                <w:szCs w:val="24"/>
              </w:rPr>
              <w:t>Kogu lülisamba morfomeetriline uuring aksiaalse DXA densitomeetriga</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B09B02" w14:textId="77777777" w:rsidR="00050174" w:rsidRPr="00687DE8" w:rsidRDefault="00050174" w:rsidP="00050174">
            <w:pPr>
              <w:spacing w:after="0" w:line="240" w:lineRule="auto"/>
              <w:jc w:val="center"/>
              <w:rPr>
                <w:szCs w:val="24"/>
              </w:rPr>
            </w:pPr>
          </w:p>
          <w:p w14:paraId="7D37830D" w14:textId="77777777" w:rsidR="00050174" w:rsidRPr="00687DE8" w:rsidRDefault="00050174" w:rsidP="00050174">
            <w:pPr>
              <w:spacing w:after="0" w:line="240" w:lineRule="auto"/>
              <w:jc w:val="center"/>
              <w:rPr>
                <w:szCs w:val="24"/>
              </w:rPr>
            </w:pPr>
            <w:r w:rsidRPr="00687DE8">
              <w:rPr>
                <w:szCs w:val="24"/>
              </w:rPr>
              <w:t>6116</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789498" w14:textId="52DE649D" w:rsidR="2E1E8EE1" w:rsidRPr="00687DE8" w:rsidRDefault="002063AA">
            <w:pPr>
              <w:spacing w:after="0"/>
              <w:jc w:val="center"/>
              <w:rPr>
                <w:color w:val="000000" w:themeColor="text1"/>
                <w:szCs w:val="24"/>
              </w:rPr>
            </w:pPr>
            <w:r>
              <w:rPr>
                <w:color w:val="000000"/>
              </w:rPr>
              <w:t>22,87</w:t>
            </w:r>
          </w:p>
        </w:tc>
      </w:tr>
      <w:tr w:rsidR="00050174" w:rsidRPr="00687DE8" w14:paraId="2DF11DF3"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4CF3AC" w14:textId="77777777" w:rsidR="00050174" w:rsidRPr="00687DE8" w:rsidRDefault="00050174" w:rsidP="00050174">
            <w:pPr>
              <w:spacing w:after="0" w:line="240" w:lineRule="auto"/>
              <w:rPr>
                <w:szCs w:val="24"/>
              </w:rPr>
            </w:pPr>
            <w:r w:rsidRPr="00687DE8">
              <w:rPr>
                <w:szCs w:val="24"/>
              </w:rPr>
              <w:t>Sääre-õlavarre (</w:t>
            </w:r>
            <w:r w:rsidRPr="00687DE8">
              <w:rPr>
                <w:i/>
                <w:szCs w:val="24"/>
              </w:rPr>
              <w:t>ABI</w:t>
            </w:r>
            <w:r w:rsidRPr="00687DE8">
              <w:rPr>
                <w:szCs w:val="24"/>
              </w:rPr>
              <w:t>) indeksi määramine</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2CE347" w14:textId="77777777" w:rsidR="00050174" w:rsidRPr="00687DE8" w:rsidRDefault="00050174" w:rsidP="00050174">
            <w:pPr>
              <w:spacing w:after="0" w:line="240" w:lineRule="auto"/>
              <w:jc w:val="center"/>
              <w:rPr>
                <w:szCs w:val="24"/>
              </w:rPr>
            </w:pPr>
            <w:r w:rsidRPr="00687DE8">
              <w:rPr>
                <w:szCs w:val="24"/>
              </w:rPr>
              <w:t>6117</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F594B9" w14:textId="38C6C177" w:rsidR="2E1E8EE1" w:rsidRPr="00687DE8" w:rsidRDefault="002063AA">
            <w:pPr>
              <w:spacing w:after="0"/>
              <w:jc w:val="center"/>
              <w:rPr>
                <w:color w:val="000000" w:themeColor="text1"/>
                <w:szCs w:val="24"/>
              </w:rPr>
            </w:pPr>
            <w:r>
              <w:rPr>
                <w:color w:val="000000"/>
              </w:rPr>
              <w:t>35,01</w:t>
            </w:r>
          </w:p>
        </w:tc>
      </w:tr>
      <w:tr w:rsidR="00050174" w:rsidRPr="00687DE8" w14:paraId="12E78703"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16AD46" w14:textId="77777777" w:rsidR="00050174" w:rsidRPr="00687DE8" w:rsidRDefault="00050174" w:rsidP="00050174">
            <w:pPr>
              <w:spacing w:after="0" w:line="240" w:lineRule="auto"/>
              <w:rPr>
                <w:szCs w:val="24"/>
              </w:rPr>
            </w:pPr>
            <w:r w:rsidRPr="00687DE8">
              <w:rPr>
                <w:szCs w:val="24"/>
              </w:rPr>
              <w:t>Vahtskleroteraapia</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022088" w14:textId="77777777" w:rsidR="00050174" w:rsidRPr="00687DE8" w:rsidRDefault="00050174" w:rsidP="00050174">
            <w:pPr>
              <w:spacing w:after="0" w:line="240" w:lineRule="auto"/>
              <w:jc w:val="center"/>
              <w:rPr>
                <w:szCs w:val="24"/>
              </w:rPr>
            </w:pPr>
            <w:r w:rsidRPr="00687DE8">
              <w:rPr>
                <w:szCs w:val="24"/>
              </w:rPr>
              <w:t>6118</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505890" w14:textId="3BF8B152" w:rsidR="2E1E8EE1" w:rsidRPr="00687DE8" w:rsidRDefault="002063AA">
            <w:pPr>
              <w:spacing w:after="0"/>
              <w:jc w:val="center"/>
              <w:rPr>
                <w:color w:val="000000" w:themeColor="text1"/>
                <w:szCs w:val="24"/>
              </w:rPr>
            </w:pPr>
            <w:r>
              <w:rPr>
                <w:color w:val="000000"/>
              </w:rPr>
              <w:t>89,29</w:t>
            </w:r>
          </w:p>
        </w:tc>
      </w:tr>
      <w:tr w:rsidR="00050174" w:rsidRPr="00687DE8" w14:paraId="73152E8C" w14:textId="77777777" w:rsidTr="00934CCC">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334A5E" w14:textId="77777777" w:rsidR="00050174" w:rsidRPr="00687DE8" w:rsidRDefault="00050174" w:rsidP="00050174">
            <w:pPr>
              <w:spacing w:after="0" w:line="240" w:lineRule="auto"/>
              <w:rPr>
                <w:szCs w:val="24"/>
              </w:rPr>
            </w:pPr>
            <w:r w:rsidRPr="00687DE8">
              <w:rPr>
                <w:szCs w:val="24"/>
              </w:rPr>
              <w:t xml:space="preserve">Instrumentaalne pindmine biopsia </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8CE8A" w14:textId="77777777" w:rsidR="00050174" w:rsidRPr="00687DE8" w:rsidRDefault="00050174" w:rsidP="00050174">
            <w:pPr>
              <w:spacing w:after="0" w:line="240" w:lineRule="auto"/>
              <w:jc w:val="center"/>
              <w:rPr>
                <w:szCs w:val="24"/>
              </w:rPr>
            </w:pPr>
            <w:r w:rsidRPr="00687DE8">
              <w:rPr>
                <w:szCs w:val="24"/>
              </w:rPr>
              <w:t>6119</w:t>
            </w:r>
          </w:p>
        </w:tc>
        <w:tc>
          <w:tcPr>
            <w:tcW w:w="20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251C23" w14:textId="4EB76E61" w:rsidR="2E1E8EE1" w:rsidRPr="00687DE8" w:rsidRDefault="002063AA">
            <w:pPr>
              <w:spacing w:after="0"/>
              <w:jc w:val="center"/>
              <w:rPr>
                <w:color w:val="000000" w:themeColor="text1"/>
                <w:szCs w:val="24"/>
              </w:rPr>
            </w:pPr>
            <w:r>
              <w:rPr>
                <w:color w:val="000000"/>
              </w:rPr>
              <w:t>83,90</w:t>
            </w:r>
          </w:p>
        </w:tc>
      </w:tr>
      <w:tr w:rsidR="0023010E" w:rsidRPr="00687DE8" w14:paraId="7D815096" w14:textId="77777777" w:rsidTr="004C054F">
        <w:trPr>
          <w:divId w:val="1316184749"/>
          <w:trHeight w:val="300"/>
        </w:trPr>
        <w:tc>
          <w:tcPr>
            <w:tcW w:w="63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FF54C2" w14:textId="47756E30" w:rsidR="0023010E" w:rsidRPr="00687DE8" w:rsidRDefault="00BD2569" w:rsidP="00050174">
            <w:pPr>
              <w:spacing w:after="0" w:line="240" w:lineRule="auto"/>
              <w:rPr>
                <w:szCs w:val="24"/>
              </w:rPr>
            </w:pPr>
            <w:r>
              <w:rPr>
                <w:szCs w:val="24"/>
              </w:rPr>
              <w:t>Maksa fibroelastograafia</w:t>
            </w:r>
          </w:p>
        </w:tc>
        <w:tc>
          <w:tcPr>
            <w:tcW w:w="10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63466F" w14:textId="06C76C3A" w:rsidR="0023010E" w:rsidRPr="00687DE8" w:rsidRDefault="00534EF2" w:rsidP="00050174">
            <w:pPr>
              <w:spacing w:after="0" w:line="240" w:lineRule="auto"/>
              <w:jc w:val="center"/>
              <w:rPr>
                <w:szCs w:val="24"/>
              </w:rPr>
            </w:pPr>
            <w:r>
              <w:rPr>
                <w:szCs w:val="24"/>
              </w:rPr>
              <w:t>7003</w:t>
            </w:r>
          </w:p>
        </w:tc>
        <w:tc>
          <w:tcPr>
            <w:tcW w:w="20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D842F6" w14:textId="2D81D0BD" w:rsidR="00083F8C" w:rsidRDefault="00083F8C" w:rsidP="002063AA">
            <w:pPr>
              <w:spacing w:after="0"/>
              <w:jc w:val="center"/>
              <w:rPr>
                <w:color w:val="000000"/>
              </w:rPr>
            </w:pPr>
          </w:p>
          <w:p w14:paraId="1D91CD65" w14:textId="0F295850" w:rsidR="0023010E" w:rsidRDefault="00083F8C">
            <w:pPr>
              <w:spacing w:after="0"/>
              <w:jc w:val="center"/>
              <w:rPr>
                <w:color w:val="000000"/>
              </w:rPr>
            </w:pPr>
            <w:r w:rsidRPr="00083F8C">
              <w:rPr>
                <w:color w:val="000000"/>
              </w:rPr>
              <w:t>30,87</w:t>
            </w:r>
          </w:p>
        </w:tc>
      </w:tr>
    </w:tbl>
    <w:p w14:paraId="612D9A0B" w14:textId="77777777" w:rsidR="00976487" w:rsidRPr="00687DE8" w:rsidRDefault="00976487" w:rsidP="00976487">
      <w:pPr>
        <w:spacing w:after="0" w:line="240" w:lineRule="auto"/>
        <w:jc w:val="both"/>
        <w:divId w:val="1316184749"/>
        <w:rPr>
          <w:szCs w:val="24"/>
        </w:rPr>
      </w:pPr>
    </w:p>
    <w:p w14:paraId="2D7B78BB" w14:textId="77777777" w:rsidR="00976487" w:rsidRPr="00687DE8" w:rsidRDefault="00FC4B11" w:rsidP="00976487">
      <w:pPr>
        <w:spacing w:after="0" w:line="240" w:lineRule="auto"/>
        <w:jc w:val="both"/>
        <w:divId w:val="1316184749"/>
        <w:rPr>
          <w:szCs w:val="24"/>
        </w:rPr>
      </w:pPr>
      <w:r w:rsidRPr="00687DE8">
        <w:rPr>
          <w:szCs w:val="24"/>
        </w:rPr>
        <w:t>(2) L</w:t>
      </w:r>
      <w:r w:rsidR="00976487" w:rsidRPr="00687DE8">
        <w:rPr>
          <w:szCs w:val="24"/>
        </w:rPr>
        <w:t>õikes 1 sätestatud tervishoiuteenuste piirhindade rakendamisel lähtutakse järgmistest tingimustest:</w:t>
      </w:r>
    </w:p>
    <w:p w14:paraId="74D36483" w14:textId="4E49965D" w:rsidR="00976487" w:rsidRPr="00687DE8" w:rsidRDefault="00976487" w:rsidP="00976487">
      <w:pPr>
        <w:spacing w:after="0" w:line="240" w:lineRule="auto"/>
        <w:jc w:val="both"/>
        <w:divId w:val="1316184749"/>
        <w:rPr>
          <w:szCs w:val="24"/>
        </w:rPr>
      </w:pPr>
      <w:r w:rsidRPr="00687DE8">
        <w:rPr>
          <w:szCs w:val="24"/>
        </w:rPr>
        <w:t>1) koodiga 7040 tähistatud tervishoiuteenuse piirhinda rakendatakse kuni üks kord aastas probandi kohta, kelle ravidokumendis on dokumenteeritud geneetilise riski hindamine inimgeneetilise ekspertiisi otsusena;</w:t>
      </w:r>
    </w:p>
    <w:p w14:paraId="6CC3F9D6" w14:textId="2479E1A3" w:rsidR="00976487" w:rsidRPr="00687DE8" w:rsidRDefault="00976487" w:rsidP="00976487">
      <w:pPr>
        <w:spacing w:after="0" w:line="240" w:lineRule="auto"/>
        <w:jc w:val="both"/>
        <w:divId w:val="1316184749"/>
        <w:rPr>
          <w:szCs w:val="24"/>
        </w:rPr>
      </w:pPr>
      <w:r w:rsidRPr="00687DE8">
        <w:rPr>
          <w:szCs w:val="24"/>
        </w:rPr>
        <w:lastRenderedPageBreak/>
        <w:t>2) koodiga 6112 tähistatud tervishoiuteenus sisaldab uuringut kõigist piirkondadest</w:t>
      </w:r>
      <w:r w:rsidR="00E10875">
        <w:rPr>
          <w:szCs w:val="24"/>
        </w:rPr>
        <w:t>,</w:t>
      </w:r>
      <w:r w:rsidR="00E63AEA" w:rsidRPr="00E63AEA">
        <w:rPr>
          <w:szCs w:val="24"/>
        </w:rPr>
        <w:t xml:space="preserve"> tulemuse kirjeldamist ravidokumendis</w:t>
      </w:r>
      <w:r w:rsidR="00036011">
        <w:rPr>
          <w:szCs w:val="24"/>
        </w:rPr>
        <w:t xml:space="preserve"> ja</w:t>
      </w:r>
      <w:r w:rsidR="00E63AEA" w:rsidRPr="00E63AEA">
        <w:rPr>
          <w:szCs w:val="24"/>
        </w:rPr>
        <w:t xml:space="preserve"> piltide arhiveerimi</w:t>
      </w:r>
      <w:r w:rsidR="008F2927">
        <w:rPr>
          <w:szCs w:val="24"/>
        </w:rPr>
        <w:t>st</w:t>
      </w:r>
      <w:r w:rsidR="00E63AEA" w:rsidRPr="00E63AEA">
        <w:rPr>
          <w:szCs w:val="24"/>
        </w:rPr>
        <w:t xml:space="preserve"> Sihtasutuses Eesti Tervishoiu Pildipank</w:t>
      </w:r>
      <w:r w:rsidR="002E07C5">
        <w:rPr>
          <w:szCs w:val="24"/>
        </w:rPr>
        <w:t xml:space="preserve"> </w:t>
      </w:r>
      <w:r w:rsidR="000B3BAC">
        <w:rPr>
          <w:szCs w:val="24"/>
        </w:rPr>
        <w:t xml:space="preserve">ning </w:t>
      </w:r>
      <w:r w:rsidR="00E63AEA" w:rsidRPr="00E63AEA">
        <w:rPr>
          <w:szCs w:val="24"/>
        </w:rPr>
        <w:t xml:space="preserve">piirhinda rakendatakse üks kord </w:t>
      </w:r>
      <w:r w:rsidR="001A3EBC">
        <w:rPr>
          <w:szCs w:val="24"/>
        </w:rPr>
        <w:t>12 kuu</w:t>
      </w:r>
      <w:r w:rsidR="00487DCF">
        <w:rPr>
          <w:szCs w:val="24"/>
        </w:rPr>
        <w:t xml:space="preserve"> jooksul</w:t>
      </w:r>
      <w:r w:rsidRPr="00687DE8">
        <w:rPr>
          <w:szCs w:val="24"/>
        </w:rPr>
        <w:t>;</w:t>
      </w:r>
    </w:p>
    <w:p w14:paraId="35547783" w14:textId="7CCDD8EE"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koodiga 6117 tähistatud tervishoiuteenuse eest tasu maksmise kohustuse üle järgmiste näidustuste esinemisel: alajäseme arterite haiguse sümptomid või alajäseme mitteparanev haavand;</w:t>
      </w:r>
    </w:p>
    <w:p w14:paraId="04799E4E" w14:textId="77777777" w:rsidR="00976487" w:rsidRPr="00687DE8" w:rsidRDefault="00976487" w:rsidP="00976487">
      <w:pPr>
        <w:spacing w:after="0" w:line="240" w:lineRule="auto"/>
        <w:jc w:val="both"/>
        <w:divId w:val="1316184749"/>
        <w:rPr>
          <w:szCs w:val="24"/>
        </w:rPr>
      </w:pPr>
      <w:r w:rsidRPr="00687DE8">
        <w:rPr>
          <w:szCs w:val="24"/>
        </w:rPr>
        <w:t>4) koodiga 6117 tähistatud tervishoiuteenuse piirhind sisaldab mõlema alajäseme indeksi määramisega seotud kulusid;</w:t>
      </w:r>
    </w:p>
    <w:p w14:paraId="48BAD547" w14:textId="53A7FF9C" w:rsidR="00C02BA0" w:rsidRPr="00687DE8" w:rsidRDefault="00976487" w:rsidP="00976487">
      <w:pPr>
        <w:spacing w:after="0" w:line="240" w:lineRule="auto"/>
        <w:jc w:val="both"/>
        <w:divId w:val="1316184749"/>
        <w:rPr>
          <w:szCs w:val="24"/>
        </w:rPr>
      </w:pPr>
      <w:r w:rsidRPr="00687DE8">
        <w:rPr>
          <w:szCs w:val="24"/>
        </w:rPr>
        <w:t xml:space="preserve">5) </w:t>
      </w:r>
      <w:r w:rsidR="005023FD" w:rsidRPr="00687DE8">
        <w:rPr>
          <w:szCs w:val="24"/>
        </w:rPr>
        <w:t>Tervisekassa</w:t>
      </w:r>
      <w:r w:rsidRPr="00687DE8">
        <w:rPr>
          <w:szCs w:val="24"/>
        </w:rPr>
        <w:t xml:space="preserve"> võtab koodiga 6118 tähistatud tervishoiuteenuse eest tasu maksmise kohustuse üle tervishoiuteenuse osutamisel </w:t>
      </w:r>
      <w:r w:rsidR="00556332" w:rsidRPr="00687DE8">
        <w:rPr>
          <w:szCs w:val="24"/>
        </w:rPr>
        <w:t>alajäseme vaariksite</w:t>
      </w:r>
      <w:r w:rsidRPr="00687DE8">
        <w:rPr>
          <w:szCs w:val="24"/>
        </w:rPr>
        <w:t xml:space="preserve"> (RHK 10 koodid I83.0, I83.2) </w:t>
      </w:r>
      <w:r w:rsidR="00556332" w:rsidRPr="00687DE8">
        <w:rPr>
          <w:szCs w:val="24"/>
        </w:rPr>
        <w:t xml:space="preserve">või perifeerse kroonilise veenipuudulikkuse (RHK 10 kood </w:t>
      </w:r>
      <w:r w:rsidR="008873C0" w:rsidRPr="00687DE8">
        <w:rPr>
          <w:szCs w:val="24"/>
        </w:rPr>
        <w:t xml:space="preserve">I87.2) </w:t>
      </w:r>
      <w:r w:rsidRPr="00687DE8">
        <w:rPr>
          <w:szCs w:val="24"/>
        </w:rPr>
        <w:t>korral</w:t>
      </w:r>
      <w:r w:rsidR="004121D5" w:rsidRPr="00687DE8">
        <w:rPr>
          <w:szCs w:val="24"/>
        </w:rPr>
        <w:t>,</w:t>
      </w:r>
      <w:r w:rsidR="008873C0" w:rsidRPr="00687DE8">
        <w:rPr>
          <w:szCs w:val="24"/>
        </w:rPr>
        <w:t xml:space="preserve"> kui haigus vastab CEAP (Clinical-Etiological-Anatomical-Pathophysiological) klassifikatsiooni C6 staadiumile</w:t>
      </w:r>
      <w:r w:rsidRPr="00687DE8">
        <w:rPr>
          <w:szCs w:val="24"/>
        </w:rPr>
        <w:t>;</w:t>
      </w:r>
    </w:p>
    <w:p w14:paraId="0DDB82ED" w14:textId="48CA0598" w:rsidR="00976487" w:rsidRPr="00687DE8" w:rsidRDefault="00976487" w:rsidP="00976487">
      <w:pPr>
        <w:spacing w:after="0" w:line="240" w:lineRule="auto"/>
        <w:jc w:val="both"/>
        <w:divId w:val="1316184749"/>
        <w:rPr>
          <w:szCs w:val="24"/>
        </w:rPr>
      </w:pPr>
      <w:r w:rsidRPr="00687DE8">
        <w:rPr>
          <w:szCs w:val="24"/>
        </w:rPr>
        <w:t>6) koodiga 7007 tähistatud tervishoiuteenus sisaldab kõigi nahamoodustiste uurimist</w:t>
      </w:r>
      <w:r w:rsidR="2CB3D443" w:rsidRPr="00687DE8">
        <w:rPr>
          <w:szCs w:val="24"/>
        </w:rPr>
        <w:t>;</w:t>
      </w:r>
    </w:p>
    <w:p w14:paraId="4294CE73" w14:textId="0086D950" w:rsidR="00976487" w:rsidRPr="00687DE8" w:rsidRDefault="2CB3D443" w:rsidP="00976487">
      <w:pPr>
        <w:spacing w:after="0" w:line="240" w:lineRule="auto"/>
        <w:jc w:val="both"/>
        <w:divId w:val="1316184749"/>
        <w:rPr>
          <w:szCs w:val="24"/>
        </w:rPr>
      </w:pPr>
      <w:r w:rsidRPr="00687DE8">
        <w:rPr>
          <w:szCs w:val="24"/>
        </w:rPr>
        <w:t xml:space="preserve">7) Tervisekassa võtab koodiga </w:t>
      </w:r>
      <w:r w:rsidR="0D6B9F6E" w:rsidRPr="00687DE8">
        <w:rPr>
          <w:szCs w:val="24"/>
        </w:rPr>
        <w:t>7012</w:t>
      </w:r>
      <w:r w:rsidRPr="00687DE8">
        <w:rPr>
          <w:szCs w:val="24"/>
        </w:rPr>
        <w:t xml:space="preserve"> tähistatud tervishoiuteenuse eest tasu maksmise kohustuse üle juhul</w:t>
      </w:r>
      <w:r w:rsidR="008F0410" w:rsidRPr="00687DE8">
        <w:rPr>
          <w:szCs w:val="24"/>
        </w:rPr>
        <w:t>,</w:t>
      </w:r>
      <w:r w:rsidRPr="00687DE8">
        <w:rPr>
          <w:szCs w:val="24"/>
        </w:rPr>
        <w:t xml:space="preserve"> kui seda rakendatakse an</w:t>
      </w:r>
      <w:r w:rsidR="008965D9" w:rsidRPr="00687DE8">
        <w:rPr>
          <w:szCs w:val="24"/>
        </w:rPr>
        <w:t>orekt</w:t>
      </w:r>
      <w:r w:rsidRPr="00687DE8">
        <w:rPr>
          <w:szCs w:val="24"/>
        </w:rPr>
        <w:t>aalsfinkterite häirete diagnostikas või biotagasisidestava ravi</w:t>
      </w:r>
      <w:r w:rsidR="00F20448" w:rsidRPr="00687DE8">
        <w:rPr>
          <w:szCs w:val="24"/>
        </w:rPr>
        <w:t xml:space="preserve"> </w:t>
      </w:r>
      <w:r w:rsidRPr="00687DE8">
        <w:rPr>
          <w:szCs w:val="24"/>
        </w:rPr>
        <w:t>tulemuslikkuse hindamisel.</w:t>
      </w:r>
    </w:p>
    <w:p w14:paraId="61C0DA75" w14:textId="77777777" w:rsidR="00976487" w:rsidRPr="00687DE8" w:rsidRDefault="00976487" w:rsidP="00976487">
      <w:pPr>
        <w:spacing w:after="0" w:line="240" w:lineRule="auto"/>
        <w:jc w:val="both"/>
        <w:divId w:val="1316184749"/>
        <w:rPr>
          <w:szCs w:val="24"/>
        </w:rPr>
      </w:pPr>
    </w:p>
    <w:p w14:paraId="3E899BB0" w14:textId="4FF2DFAE"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koodiga 7008 tähistatud tervishoiuteenuse eest tasu maksmise kohustuse üle juhul, kui dermatoveneroloog või perearst on suunanud teenust saama patsiendi, kellel esineb vähemalt üks järgmistest melanoomi kõrge riski kriteeriumidest:</w:t>
      </w:r>
    </w:p>
    <w:p w14:paraId="402678F8" w14:textId="77777777" w:rsidR="00976487" w:rsidRPr="00687DE8" w:rsidRDefault="00976487" w:rsidP="00976487">
      <w:pPr>
        <w:spacing w:after="0" w:line="240" w:lineRule="auto"/>
        <w:jc w:val="both"/>
        <w:divId w:val="1316184749"/>
        <w:rPr>
          <w:szCs w:val="24"/>
        </w:rPr>
      </w:pPr>
      <w:r w:rsidRPr="00687DE8">
        <w:rPr>
          <w:szCs w:val="24"/>
        </w:rPr>
        <w:t>1) rohkem kui 50 pigmentneevust, millest mitu on kliiniliselt atüüpilised</w:t>
      </w:r>
      <w:r w:rsidR="00E75C25" w:rsidRPr="00687DE8">
        <w:rPr>
          <w:szCs w:val="24"/>
        </w:rPr>
        <w:t>,</w:t>
      </w:r>
      <w:r w:rsidRPr="00687DE8">
        <w:rPr>
          <w:szCs w:val="24"/>
        </w:rPr>
        <w:t xml:space="preserve"> ja/või on patsiendilt varem eemaldatud neevused osutunud korduvalt histoloogiliselt düsplastilisteks (nn düsplastiliste neevuste sündroom);</w:t>
      </w:r>
    </w:p>
    <w:p w14:paraId="1EFB8741" w14:textId="77777777" w:rsidR="00976487" w:rsidRPr="00687DE8" w:rsidRDefault="00976487" w:rsidP="00976487">
      <w:pPr>
        <w:spacing w:after="0" w:line="240" w:lineRule="auto"/>
        <w:jc w:val="both"/>
        <w:divId w:val="1316184749"/>
        <w:rPr>
          <w:szCs w:val="24"/>
        </w:rPr>
      </w:pPr>
      <w:r w:rsidRPr="00687DE8">
        <w:rPr>
          <w:szCs w:val="24"/>
        </w:rPr>
        <w:t>2) melanoom anamneesis või perekonna anamneesis esimese või teise astme sugulasel;</w:t>
      </w:r>
    </w:p>
    <w:p w14:paraId="32809531" w14:textId="77777777" w:rsidR="00976487" w:rsidRPr="00687DE8" w:rsidRDefault="00976487" w:rsidP="00976487">
      <w:pPr>
        <w:spacing w:after="0" w:line="240" w:lineRule="auto"/>
        <w:jc w:val="both"/>
        <w:divId w:val="1316184749"/>
        <w:rPr>
          <w:szCs w:val="24"/>
        </w:rPr>
      </w:pPr>
      <w:r w:rsidRPr="00687DE8">
        <w:rPr>
          <w:szCs w:val="24"/>
        </w:rPr>
        <w:t>3) kaasasündinud pigmentneevus eeldatava diameetriga täiskasvanuna 20 cm ja enam;</w:t>
      </w:r>
    </w:p>
    <w:p w14:paraId="09E844B5" w14:textId="77777777" w:rsidR="00976487" w:rsidRPr="00687DE8" w:rsidRDefault="00976487" w:rsidP="00976487">
      <w:pPr>
        <w:spacing w:after="0" w:line="240" w:lineRule="auto"/>
        <w:jc w:val="both"/>
        <w:divId w:val="1316184749"/>
        <w:rPr>
          <w:szCs w:val="24"/>
        </w:rPr>
      </w:pPr>
      <w:r w:rsidRPr="00687DE8">
        <w:rPr>
          <w:szCs w:val="24"/>
        </w:rPr>
        <w:t>4) üksik kliiniliselt või dermatoskoopiliselt vähese või mõõduka atüüpiaga pigmentlesioon, millel puuduvad dermatoskoopiliselt melanoomi kriteeriumid.</w:t>
      </w:r>
    </w:p>
    <w:p w14:paraId="2EA0874E" w14:textId="77777777" w:rsidR="00976487" w:rsidRPr="00687DE8" w:rsidRDefault="00976487" w:rsidP="00976487">
      <w:pPr>
        <w:spacing w:after="0" w:line="240" w:lineRule="auto"/>
        <w:jc w:val="both"/>
        <w:divId w:val="1316184749"/>
        <w:rPr>
          <w:szCs w:val="24"/>
        </w:rPr>
      </w:pPr>
    </w:p>
    <w:p w14:paraId="5F7393F9" w14:textId="77777777" w:rsidR="00976487" w:rsidRPr="00687DE8" w:rsidRDefault="00976487" w:rsidP="00976487">
      <w:pPr>
        <w:spacing w:after="0" w:line="240" w:lineRule="auto"/>
        <w:jc w:val="both"/>
        <w:divId w:val="1316184749"/>
        <w:rPr>
          <w:szCs w:val="24"/>
        </w:rPr>
      </w:pPr>
      <w:r w:rsidRPr="00687DE8">
        <w:rPr>
          <w:szCs w:val="24"/>
        </w:rPr>
        <w:t>(4) Koodiga 7008 tähistatud tervishoiuteenus sisaldab kõigi nahamoodustiste uurimist.</w:t>
      </w:r>
    </w:p>
    <w:p w14:paraId="7000B316" w14:textId="77777777" w:rsidR="00976487" w:rsidRPr="00687DE8" w:rsidRDefault="00976487" w:rsidP="00976487">
      <w:pPr>
        <w:spacing w:after="0" w:line="240" w:lineRule="auto"/>
        <w:jc w:val="both"/>
        <w:divId w:val="1316184749"/>
        <w:rPr>
          <w:szCs w:val="24"/>
        </w:rPr>
      </w:pPr>
    </w:p>
    <w:p w14:paraId="65E347F4" w14:textId="37F0CF26" w:rsidR="00976487" w:rsidRPr="00687DE8" w:rsidRDefault="00976487" w:rsidP="00976487">
      <w:pPr>
        <w:spacing w:after="0" w:line="240" w:lineRule="auto"/>
        <w:jc w:val="both"/>
        <w:divId w:val="1316184749"/>
        <w:rPr>
          <w:szCs w:val="24"/>
        </w:rPr>
      </w:pPr>
      <w:r w:rsidRPr="00687DE8">
        <w:rPr>
          <w:szCs w:val="24"/>
        </w:rPr>
        <w:t xml:space="preserve">(5) </w:t>
      </w:r>
      <w:r w:rsidR="005023FD" w:rsidRPr="00687DE8">
        <w:rPr>
          <w:szCs w:val="24"/>
        </w:rPr>
        <w:t>Tervisekassa</w:t>
      </w:r>
      <w:r w:rsidRPr="00687DE8">
        <w:rPr>
          <w:szCs w:val="24"/>
        </w:rPr>
        <w:t xml:space="preserve"> võtab koodiga 7010 tähistatud tervishoiuteenuse eest tasu maksmise kohustuse üle raskekujulise immuunpõletikulise nahahaiguse korral dermatoveneroloogi suunamisel või naha T-rakulise lümfoomi korral hematoloogi suunamisel.</w:t>
      </w:r>
    </w:p>
    <w:p w14:paraId="5B4C4A4F" w14:textId="77777777" w:rsidR="00976487" w:rsidRPr="00687DE8" w:rsidRDefault="00976487" w:rsidP="00976487">
      <w:pPr>
        <w:spacing w:after="0" w:line="240" w:lineRule="auto"/>
        <w:jc w:val="both"/>
        <w:divId w:val="1316184749"/>
        <w:rPr>
          <w:szCs w:val="24"/>
        </w:rPr>
      </w:pPr>
    </w:p>
    <w:p w14:paraId="18CB9D68" w14:textId="57B44E40" w:rsidR="00976487" w:rsidRPr="00687DE8" w:rsidRDefault="00976487" w:rsidP="00E038BE">
      <w:pPr>
        <w:pStyle w:val="Vahedeta"/>
        <w:jc w:val="both"/>
        <w:divId w:val="1316184749"/>
        <w:rPr>
          <w:szCs w:val="24"/>
          <w:lang w:val="et-EE"/>
        </w:rPr>
      </w:pPr>
      <w:r w:rsidRPr="00687DE8">
        <w:rPr>
          <w:szCs w:val="24"/>
          <w:lang w:val="et-EE"/>
        </w:rPr>
        <w:t>(6)</w:t>
      </w:r>
      <w:r w:rsidRPr="00687DE8">
        <w:rPr>
          <w:i/>
          <w:szCs w:val="24"/>
          <w:lang w:val="et-EE"/>
        </w:rPr>
        <w:t xml:space="preserve"> </w:t>
      </w:r>
      <w:r w:rsidR="005023FD" w:rsidRPr="00687DE8">
        <w:rPr>
          <w:szCs w:val="24"/>
          <w:lang w:val="et-EE"/>
        </w:rPr>
        <w:t>Tervisekassa</w:t>
      </w:r>
      <w:r w:rsidRPr="00687DE8">
        <w:rPr>
          <w:szCs w:val="24"/>
          <w:lang w:val="et-EE"/>
        </w:rPr>
        <w:t xml:space="preserve"> võtab koodiga 7009 tähistatud tervishoiuteenuse eest tasu maksmise kohustuse üle, kui teenuse osutamisel on täidetud Terviseameti kehtestatud haigla isolatsiooniabinõude rakendamise</w:t>
      </w:r>
      <w:r w:rsidR="003E688C" w:rsidRPr="00687DE8">
        <w:rPr>
          <w:szCs w:val="24"/>
          <w:lang w:val="et-EE"/>
        </w:rPr>
        <w:t xml:space="preserve"> </w:t>
      </w:r>
      <w:r w:rsidRPr="00687DE8">
        <w:rPr>
          <w:szCs w:val="24"/>
          <w:lang w:val="et-EE"/>
        </w:rPr>
        <w:t>juhendi nõuded ning</w:t>
      </w:r>
      <w:r w:rsidR="003E688C" w:rsidRPr="00687DE8">
        <w:rPr>
          <w:szCs w:val="24"/>
          <w:lang w:val="et-EE"/>
        </w:rPr>
        <w:t xml:space="preserve"> </w:t>
      </w:r>
      <w:r w:rsidRPr="00687DE8">
        <w:rPr>
          <w:szCs w:val="24"/>
          <w:lang w:val="et-EE"/>
        </w:rPr>
        <w:t>järgmistel juhtudel:</w:t>
      </w:r>
    </w:p>
    <w:p w14:paraId="5662570D" w14:textId="77777777" w:rsidR="00976487" w:rsidRPr="00687DE8" w:rsidRDefault="00976487" w:rsidP="00976487">
      <w:pPr>
        <w:spacing w:after="0" w:line="240" w:lineRule="auto"/>
        <w:jc w:val="both"/>
        <w:divId w:val="1316184749"/>
        <w:rPr>
          <w:szCs w:val="24"/>
        </w:rPr>
      </w:pPr>
      <w:r w:rsidRPr="00687DE8">
        <w:rPr>
          <w:szCs w:val="24"/>
        </w:rPr>
        <w:t>1) patsienti kaitsva isolatsiooni korral</w:t>
      </w:r>
      <w:r w:rsidR="00E038BE" w:rsidRPr="00687DE8">
        <w:rPr>
          <w:szCs w:val="24"/>
        </w:rPr>
        <w:t>,</w:t>
      </w:r>
      <w:r w:rsidRPr="00687DE8">
        <w:rPr>
          <w:szCs w:val="24"/>
        </w:rPr>
        <w:t xml:space="preserve"> kui patsiendil esineb neutropeenia, vereloome tüvirakkude või elundi</w:t>
      </w:r>
      <w:r w:rsidR="0083161D" w:rsidRPr="00687DE8">
        <w:rPr>
          <w:szCs w:val="24"/>
        </w:rPr>
        <w:t xml:space="preserve"> </w:t>
      </w:r>
      <w:r w:rsidRPr="00687DE8">
        <w:rPr>
          <w:szCs w:val="24"/>
        </w:rPr>
        <w:t>siirdamise järgne seisund või ulatuslik kehapinna põletus;</w:t>
      </w:r>
    </w:p>
    <w:p w14:paraId="15B27760" w14:textId="77777777" w:rsidR="00976487" w:rsidRPr="00687DE8" w:rsidRDefault="00976487" w:rsidP="00976487">
      <w:pPr>
        <w:spacing w:after="0" w:line="240" w:lineRule="auto"/>
        <w:jc w:val="both"/>
        <w:divId w:val="1316184749"/>
        <w:rPr>
          <w:szCs w:val="24"/>
        </w:rPr>
      </w:pPr>
      <w:r w:rsidRPr="00687DE8">
        <w:rPr>
          <w:szCs w:val="24"/>
        </w:rPr>
        <w:t>2) kontakti, piiskade või õhu vahendusel levivate nakkuste isolatsiooni korral ravikindlustuse seaduse § 32 alusel kehtestatud määruse lisas 49 loetletud seisundite korral ja kestusega</w:t>
      </w:r>
      <w:r w:rsidR="00E960DC" w:rsidRPr="00687DE8">
        <w:rPr>
          <w:szCs w:val="24"/>
        </w:rPr>
        <w:t>;</w:t>
      </w:r>
    </w:p>
    <w:p w14:paraId="7A9A55B1" w14:textId="77777777" w:rsidR="00EF78B7" w:rsidRPr="00687DE8" w:rsidRDefault="00EF78B7" w:rsidP="00976487">
      <w:pPr>
        <w:spacing w:after="0" w:line="240" w:lineRule="auto"/>
        <w:jc w:val="both"/>
        <w:divId w:val="1316184749"/>
        <w:rPr>
          <w:szCs w:val="24"/>
        </w:rPr>
      </w:pPr>
      <w:r w:rsidRPr="00687DE8">
        <w:rPr>
          <w:szCs w:val="24"/>
        </w:rPr>
        <w:t>3) COVID-19 isolatsiooni korral vastavalt Terviseameti kehtestatud isolatsiooninõuete kriteeriumi</w:t>
      </w:r>
      <w:r w:rsidR="00E960DC" w:rsidRPr="00687DE8">
        <w:rPr>
          <w:szCs w:val="24"/>
        </w:rPr>
        <w:t>d</w:t>
      </w:r>
      <w:r w:rsidRPr="00687DE8">
        <w:rPr>
          <w:szCs w:val="24"/>
        </w:rPr>
        <w:t>ele</w:t>
      </w:r>
      <w:r w:rsidR="001B7430" w:rsidRPr="00687DE8">
        <w:rPr>
          <w:szCs w:val="24"/>
        </w:rPr>
        <w:t>.</w:t>
      </w:r>
    </w:p>
    <w:p w14:paraId="0DD673DF" w14:textId="77777777" w:rsidR="00976487" w:rsidRPr="00687DE8" w:rsidRDefault="00976487" w:rsidP="00976487">
      <w:pPr>
        <w:spacing w:after="0" w:line="240" w:lineRule="auto"/>
        <w:jc w:val="both"/>
        <w:divId w:val="1316184749"/>
        <w:rPr>
          <w:szCs w:val="24"/>
        </w:rPr>
      </w:pPr>
    </w:p>
    <w:p w14:paraId="7727DC31" w14:textId="74440218" w:rsidR="00976487" w:rsidRPr="00687DE8" w:rsidRDefault="00976487" w:rsidP="00976487">
      <w:pPr>
        <w:spacing w:after="0" w:line="240" w:lineRule="auto"/>
        <w:jc w:val="both"/>
        <w:divId w:val="1316184749"/>
        <w:rPr>
          <w:color w:val="202020"/>
          <w:szCs w:val="24"/>
          <w:shd w:val="clear" w:color="auto" w:fill="FFFFFF"/>
        </w:rPr>
      </w:pPr>
      <w:r w:rsidRPr="00687DE8">
        <w:rPr>
          <w:szCs w:val="24"/>
        </w:rPr>
        <w:t>(7)</w:t>
      </w:r>
      <w:r w:rsidRPr="00687DE8">
        <w:rPr>
          <w:i/>
          <w:iCs/>
          <w:color w:val="202020"/>
          <w:szCs w:val="24"/>
        </w:rPr>
        <w:t xml:space="preserve"> </w:t>
      </w:r>
      <w:r w:rsidRPr="00687DE8">
        <w:rPr>
          <w:color w:val="202020"/>
          <w:szCs w:val="24"/>
        </w:rPr>
        <w:t xml:space="preserve">Koodiga 7009 tähistatud tervishoiuteenust ei rakendata koos koodidega 2070, 2071, 2072 ja 2073 tähistatud tervishoiuteenustega. </w:t>
      </w:r>
      <w:r w:rsidR="005023FD" w:rsidRPr="00687DE8">
        <w:rPr>
          <w:color w:val="202020"/>
          <w:szCs w:val="24"/>
          <w:shd w:val="clear" w:color="auto" w:fill="FFFFFF"/>
        </w:rPr>
        <w:t>Tervisekassa</w:t>
      </w:r>
      <w:r w:rsidRPr="00687DE8">
        <w:rPr>
          <w:color w:val="202020"/>
          <w:szCs w:val="24"/>
          <w:shd w:val="clear" w:color="auto" w:fill="FFFFFF"/>
        </w:rPr>
        <w:t xml:space="preserve"> võtab koodiga 7009 tähistatud tervishoiuteenuse eest tasu maksmise kohustuse üle üks kord voodipäeva kohta.</w:t>
      </w:r>
    </w:p>
    <w:p w14:paraId="4F374E1E" w14:textId="77777777" w:rsidR="00AA1735" w:rsidRPr="00687DE8" w:rsidRDefault="00AA1735" w:rsidP="00976487">
      <w:pPr>
        <w:spacing w:after="0" w:line="240" w:lineRule="auto"/>
        <w:jc w:val="both"/>
        <w:divId w:val="1316184749"/>
        <w:rPr>
          <w:szCs w:val="24"/>
        </w:rPr>
      </w:pPr>
    </w:p>
    <w:p w14:paraId="17BCBABB" w14:textId="5F516B66" w:rsidR="00AA1735" w:rsidRPr="00687DE8" w:rsidRDefault="00AA1735" w:rsidP="00AA1735">
      <w:pPr>
        <w:spacing w:after="0" w:line="240" w:lineRule="auto"/>
        <w:jc w:val="both"/>
        <w:divId w:val="1316184749"/>
        <w:rPr>
          <w:szCs w:val="24"/>
        </w:rPr>
      </w:pPr>
      <w:r w:rsidRPr="00687DE8">
        <w:rPr>
          <w:szCs w:val="24"/>
        </w:rPr>
        <w:t xml:space="preserve">(8) </w:t>
      </w:r>
      <w:r w:rsidR="005023FD" w:rsidRPr="00687DE8">
        <w:rPr>
          <w:szCs w:val="24"/>
        </w:rPr>
        <w:t>Tervisekassa</w:t>
      </w:r>
      <w:r w:rsidRPr="00687DE8">
        <w:rPr>
          <w:szCs w:val="24"/>
        </w:rPr>
        <w:t xml:space="preserve"> võtab koodiga 7020 tähistatud tervishoiuteenuse eest tasu maksmise kohustuse üle juhul, kui teenus on vajalik kirurgilise raviotsuse tegemiseks või</w:t>
      </w:r>
      <w:r w:rsidR="003E688C" w:rsidRPr="00687DE8">
        <w:rPr>
          <w:szCs w:val="24"/>
        </w:rPr>
        <w:t xml:space="preserve"> kui</w:t>
      </w:r>
      <w:r w:rsidRPr="00687DE8">
        <w:rPr>
          <w:szCs w:val="24"/>
        </w:rPr>
        <w:t xml:space="preserve"> vähemalt </w:t>
      </w:r>
      <w:r w:rsidR="00C258A8" w:rsidRPr="00687DE8">
        <w:rPr>
          <w:szCs w:val="24"/>
        </w:rPr>
        <w:t>kaheksa</w:t>
      </w:r>
      <w:r w:rsidRPr="00687DE8">
        <w:rPr>
          <w:szCs w:val="24"/>
        </w:rPr>
        <w:t>nädalane ravi prootonpumba inhibiitoritega ja esmane diagnostika ei ole olnud tulemuslik.</w:t>
      </w:r>
    </w:p>
    <w:p w14:paraId="3E5445A4" w14:textId="77777777" w:rsidR="00AA1735" w:rsidRPr="00687DE8" w:rsidRDefault="00AA1735" w:rsidP="00AA1735">
      <w:pPr>
        <w:spacing w:after="0" w:line="240" w:lineRule="auto"/>
        <w:jc w:val="both"/>
        <w:divId w:val="1316184749"/>
        <w:rPr>
          <w:szCs w:val="24"/>
        </w:rPr>
      </w:pPr>
    </w:p>
    <w:p w14:paraId="420076C6" w14:textId="77777777" w:rsidR="00976487" w:rsidRPr="00687DE8" w:rsidRDefault="00AA1735" w:rsidP="00976487">
      <w:pPr>
        <w:spacing w:after="0" w:line="240" w:lineRule="auto"/>
        <w:jc w:val="both"/>
        <w:divId w:val="1316184749"/>
        <w:rPr>
          <w:szCs w:val="24"/>
        </w:rPr>
      </w:pPr>
      <w:r w:rsidRPr="00687DE8">
        <w:rPr>
          <w:szCs w:val="24"/>
        </w:rPr>
        <w:t>(9) Koodiga 7020 tähistatud tervishoiuteenuse piirhinda rakendatakse üks kord uuringu kohta.</w:t>
      </w:r>
    </w:p>
    <w:p w14:paraId="6C81FDBB" w14:textId="77777777" w:rsidR="00ED349C" w:rsidRDefault="00ED349C" w:rsidP="00976487">
      <w:pPr>
        <w:spacing w:after="0" w:line="240" w:lineRule="auto"/>
        <w:jc w:val="both"/>
        <w:divId w:val="1316184749"/>
        <w:rPr>
          <w:szCs w:val="24"/>
        </w:rPr>
      </w:pPr>
    </w:p>
    <w:p w14:paraId="6626A311" w14:textId="4FDCA2F2" w:rsidR="00ED349C" w:rsidRPr="00687DE8" w:rsidRDefault="00ED349C" w:rsidP="00976487">
      <w:pPr>
        <w:spacing w:after="0" w:line="240" w:lineRule="auto"/>
        <w:jc w:val="both"/>
        <w:divId w:val="1316184749"/>
        <w:rPr>
          <w:szCs w:val="24"/>
        </w:rPr>
      </w:pPr>
      <w:r>
        <w:rPr>
          <w:szCs w:val="24"/>
        </w:rPr>
        <w:t xml:space="preserve">(10) </w:t>
      </w:r>
      <w:r w:rsidR="00B961EA">
        <w:rPr>
          <w:szCs w:val="24"/>
        </w:rPr>
        <w:t>T</w:t>
      </w:r>
      <w:r w:rsidR="00712EA6" w:rsidRPr="00712EA6">
        <w:rPr>
          <w:szCs w:val="24"/>
        </w:rPr>
        <w:t xml:space="preserve">ervisekassa võtab koodiga </w:t>
      </w:r>
      <w:r w:rsidR="00B961EA">
        <w:rPr>
          <w:szCs w:val="24"/>
        </w:rPr>
        <w:t>7021</w:t>
      </w:r>
      <w:r w:rsidR="00712EA6" w:rsidRPr="00712EA6">
        <w:rPr>
          <w:szCs w:val="24"/>
        </w:rPr>
        <w:t xml:space="preserve"> tähistatud tervishoiuteenuse eest tasu maksmise kohustuse üle </w:t>
      </w:r>
      <w:r w:rsidR="0026486D" w:rsidRPr="00712EA6">
        <w:rPr>
          <w:szCs w:val="24"/>
        </w:rPr>
        <w:t xml:space="preserve">kirurgi või gastroenteroloogi suunamisel </w:t>
      </w:r>
      <w:r w:rsidR="00712EA6" w:rsidRPr="00712EA6">
        <w:rPr>
          <w:szCs w:val="24"/>
        </w:rPr>
        <w:t>kirurgilise raviotsuse tegemiseks või primaarse või sekundaarse söögitoru motiilsushäire diagnoosimiseks</w:t>
      </w:r>
      <w:r w:rsidR="00205820">
        <w:rPr>
          <w:szCs w:val="24"/>
        </w:rPr>
        <w:t>.</w:t>
      </w:r>
    </w:p>
    <w:p w14:paraId="5D61CBF9" w14:textId="77777777" w:rsidR="009F484B" w:rsidRDefault="009F484B" w:rsidP="00976487">
      <w:pPr>
        <w:spacing w:after="0" w:line="240" w:lineRule="auto"/>
        <w:jc w:val="both"/>
        <w:divId w:val="1316184749"/>
        <w:rPr>
          <w:szCs w:val="24"/>
        </w:rPr>
      </w:pPr>
    </w:p>
    <w:p w14:paraId="371B271E" w14:textId="2E9CE0DC" w:rsidR="009F484B" w:rsidRPr="00687DE8" w:rsidRDefault="009F484B" w:rsidP="00976487">
      <w:pPr>
        <w:spacing w:after="0" w:line="240" w:lineRule="auto"/>
        <w:jc w:val="both"/>
        <w:divId w:val="1316184749"/>
        <w:rPr>
          <w:szCs w:val="24"/>
        </w:rPr>
      </w:pPr>
      <w:r>
        <w:rPr>
          <w:szCs w:val="24"/>
        </w:rPr>
        <w:t xml:space="preserve">(11) </w:t>
      </w:r>
      <w:r w:rsidR="00400012" w:rsidRPr="00400012">
        <w:rPr>
          <w:szCs w:val="24"/>
        </w:rPr>
        <w:t xml:space="preserve">Tervisekassa võtab koodiga </w:t>
      </w:r>
      <w:r w:rsidR="00400012">
        <w:rPr>
          <w:szCs w:val="24"/>
        </w:rPr>
        <w:t>7026</w:t>
      </w:r>
      <w:r w:rsidR="00400012" w:rsidRPr="00400012">
        <w:rPr>
          <w:szCs w:val="24"/>
        </w:rPr>
        <w:t xml:space="preserve"> tähistatud </w:t>
      </w:r>
      <w:r w:rsidR="0059357F">
        <w:rPr>
          <w:szCs w:val="24"/>
        </w:rPr>
        <w:t>tervishoiu</w:t>
      </w:r>
      <w:r w:rsidR="00400012" w:rsidRPr="00400012">
        <w:rPr>
          <w:szCs w:val="24"/>
        </w:rPr>
        <w:t>teenuse eest tasu maksmise kohustuse üle dermatoveneroloogi</w:t>
      </w:r>
      <w:r w:rsidR="008A46C0">
        <w:rPr>
          <w:szCs w:val="24"/>
        </w:rPr>
        <w:t xml:space="preserve"> või</w:t>
      </w:r>
      <w:r w:rsidR="00400012" w:rsidRPr="00400012">
        <w:rPr>
          <w:szCs w:val="24"/>
        </w:rPr>
        <w:t xml:space="preserve"> onkoloogi suunamisel basaalrakulise kartsinoomi ehk basalioomi, </w:t>
      </w:r>
      <w:r w:rsidR="00400012" w:rsidRPr="00400012">
        <w:rPr>
          <w:i/>
          <w:iCs/>
          <w:szCs w:val="24"/>
        </w:rPr>
        <w:t>in situ</w:t>
      </w:r>
      <w:r w:rsidR="00400012" w:rsidRPr="00400012">
        <w:rPr>
          <w:szCs w:val="24"/>
        </w:rPr>
        <w:t xml:space="preserve"> lamerakk-kartsinoomi ehk </w:t>
      </w:r>
      <w:r w:rsidR="00400012" w:rsidRPr="00BB3788">
        <w:rPr>
          <w:szCs w:val="24"/>
        </w:rPr>
        <w:t>Bowen</w:t>
      </w:r>
      <w:r w:rsidR="00BB3788">
        <w:rPr>
          <w:szCs w:val="24"/>
        </w:rPr>
        <w:t>i</w:t>
      </w:r>
      <w:r w:rsidR="00400012" w:rsidRPr="00400012">
        <w:rPr>
          <w:szCs w:val="24"/>
        </w:rPr>
        <w:t xml:space="preserve"> tõv</w:t>
      </w:r>
      <w:r w:rsidR="00400012">
        <w:rPr>
          <w:szCs w:val="24"/>
        </w:rPr>
        <w:t xml:space="preserve">e </w:t>
      </w:r>
      <w:r w:rsidR="00400012" w:rsidRPr="00400012">
        <w:rPr>
          <w:szCs w:val="24"/>
        </w:rPr>
        <w:t>või arvukate aktiiniliste keratoosidega</w:t>
      </w:r>
      <w:r w:rsidR="00400012">
        <w:rPr>
          <w:szCs w:val="24"/>
        </w:rPr>
        <w:t xml:space="preserve"> </w:t>
      </w:r>
      <w:r w:rsidR="00400012" w:rsidRPr="00400012">
        <w:rPr>
          <w:szCs w:val="24"/>
        </w:rPr>
        <w:t>kaetud nahapiirkondade ehk vähivälja ravi korral</w:t>
      </w:r>
      <w:r w:rsidR="00400012">
        <w:rPr>
          <w:szCs w:val="24"/>
        </w:rPr>
        <w:t>.</w:t>
      </w:r>
    </w:p>
    <w:p w14:paraId="4ACC7A59" w14:textId="77777777" w:rsidR="00F83EB8" w:rsidRDefault="00F83EB8" w:rsidP="00976487">
      <w:pPr>
        <w:spacing w:after="0" w:line="240" w:lineRule="auto"/>
        <w:jc w:val="both"/>
        <w:divId w:val="1316184749"/>
        <w:rPr>
          <w:szCs w:val="24"/>
        </w:rPr>
      </w:pPr>
    </w:p>
    <w:p w14:paraId="74A0E609" w14:textId="229A1649" w:rsidR="00BB5C9B" w:rsidRDefault="00F83EB8" w:rsidP="00976487">
      <w:pPr>
        <w:spacing w:after="0" w:line="240" w:lineRule="auto"/>
        <w:jc w:val="both"/>
        <w:divId w:val="1316184749"/>
      </w:pPr>
      <w:r>
        <w:t xml:space="preserve">(12) </w:t>
      </w:r>
      <w:r w:rsidR="00A013FB">
        <w:t xml:space="preserve">Tervisekassa võtab koodiga </w:t>
      </w:r>
      <w:r w:rsidR="004C6237">
        <w:t>7003</w:t>
      </w:r>
      <w:r w:rsidR="00A013FB">
        <w:t xml:space="preserve"> tähistatud tervishoiuteenuse eest tasu maksmise kohustuse üle</w:t>
      </w:r>
      <w:r w:rsidR="00BB5C9B">
        <w:t xml:space="preserve"> järgmiste tingimuste</w:t>
      </w:r>
      <w:r w:rsidR="00A96126">
        <w:t xml:space="preserve"> koosesinemise korral:</w:t>
      </w:r>
    </w:p>
    <w:p w14:paraId="7BF006EB" w14:textId="042E26B3" w:rsidR="00F83EB8" w:rsidRDefault="00BB5C9B" w:rsidP="00976487">
      <w:pPr>
        <w:spacing w:after="0" w:line="240" w:lineRule="auto"/>
        <w:jc w:val="both"/>
        <w:divId w:val="1316184749"/>
      </w:pPr>
      <w:r>
        <w:t>1)</w:t>
      </w:r>
      <w:r w:rsidR="00A013FB">
        <w:t xml:space="preserve"> patsiendi on uuringule suunanud ja uuringu tulemusi on ravidokumendis kirjeldanud eriarst</w:t>
      </w:r>
      <w:r w:rsidR="00063BA5">
        <w:t>;</w:t>
      </w:r>
    </w:p>
    <w:p w14:paraId="5232BB6B" w14:textId="046D508E" w:rsidR="00EA7060" w:rsidRDefault="00063BA5" w:rsidP="00976487">
      <w:pPr>
        <w:spacing w:after="0" w:line="240" w:lineRule="auto"/>
        <w:jc w:val="both"/>
        <w:divId w:val="1316184749"/>
        <w:rPr>
          <w:szCs w:val="24"/>
        </w:rPr>
      </w:pPr>
      <w:r>
        <w:rPr>
          <w:szCs w:val="24"/>
        </w:rPr>
        <w:t xml:space="preserve">2) </w:t>
      </w:r>
      <w:r w:rsidR="00EA7060" w:rsidRPr="00EA7060">
        <w:rPr>
          <w:szCs w:val="24"/>
        </w:rPr>
        <w:t>uuringut te</w:t>
      </w:r>
      <w:r w:rsidR="008B42E7">
        <w:rPr>
          <w:szCs w:val="24"/>
        </w:rPr>
        <w:t>hakse</w:t>
      </w:r>
      <w:r w:rsidR="00EA7060" w:rsidRPr="00EA7060">
        <w:rPr>
          <w:szCs w:val="24"/>
        </w:rPr>
        <w:t xml:space="preserve"> kroonilise maksahaiguse (RHK 10 koodid K70–K76) või kroonilise viirushepatiidi (RHK 10 kood B18) korral haiglate loetelus nimetatud kesk- või piirkondlikus haiglas</w:t>
      </w:r>
      <w:r w:rsidR="00AD0C7D">
        <w:rPr>
          <w:szCs w:val="24"/>
        </w:rPr>
        <w:t>;</w:t>
      </w:r>
    </w:p>
    <w:p w14:paraId="24C38997" w14:textId="5B1705A1" w:rsidR="00A476BB" w:rsidRPr="00687DE8" w:rsidRDefault="00063BA5" w:rsidP="00976487">
      <w:pPr>
        <w:spacing w:after="0" w:line="240" w:lineRule="auto"/>
        <w:jc w:val="both"/>
        <w:divId w:val="1316184749"/>
      </w:pPr>
      <w:r>
        <w:rPr>
          <w:szCs w:val="24"/>
        </w:rPr>
        <w:t>3)</w:t>
      </w:r>
      <w:r>
        <w:t xml:space="preserve"> </w:t>
      </w:r>
      <w:r w:rsidR="00046FD4">
        <w:t xml:space="preserve">uuringu </w:t>
      </w:r>
      <w:r w:rsidR="008B42E7">
        <w:t>tegemisel</w:t>
      </w:r>
      <w:r w:rsidR="00A476BB">
        <w:t xml:space="preserve"> kasutatakse vibratsiooniga kontrollitud transientse elastograafia tehnoloogial põhinevat fibroelastograafia seadet.</w:t>
      </w:r>
    </w:p>
    <w:p w14:paraId="26D96DBC" w14:textId="77777777" w:rsidR="00AA1735" w:rsidRPr="00687DE8" w:rsidRDefault="00AA1735" w:rsidP="00AA1735">
      <w:pPr>
        <w:spacing w:after="0" w:line="240" w:lineRule="auto"/>
        <w:jc w:val="both"/>
        <w:divId w:val="1316184749"/>
        <w:rPr>
          <w:szCs w:val="24"/>
        </w:rPr>
      </w:pPr>
    </w:p>
    <w:p w14:paraId="7E539D09" w14:textId="68789646" w:rsidR="00976487" w:rsidRPr="00687DE8" w:rsidRDefault="00976487" w:rsidP="00976487">
      <w:pPr>
        <w:spacing w:after="0" w:line="240" w:lineRule="auto"/>
        <w:jc w:val="both"/>
        <w:divId w:val="1316184749"/>
        <w:rPr>
          <w:szCs w:val="24"/>
        </w:rPr>
      </w:pPr>
      <w:r w:rsidRPr="00687DE8">
        <w:rPr>
          <w:szCs w:val="24"/>
        </w:rPr>
        <w:t>(</w:t>
      </w:r>
      <w:r w:rsidR="009523D1">
        <w:rPr>
          <w:szCs w:val="24"/>
        </w:rPr>
        <w:t>13</w:t>
      </w:r>
      <w:r w:rsidRPr="00687DE8">
        <w:rPr>
          <w:szCs w:val="24"/>
        </w:rPr>
        <w:t>) Taastusravi</w:t>
      </w:r>
      <w:r w:rsidR="001F1881" w:rsidRPr="00687DE8">
        <w:rPr>
          <w:szCs w:val="24"/>
        </w:rPr>
        <w:t>,</w:t>
      </w:r>
      <w:r w:rsidRPr="00687DE8">
        <w:rPr>
          <w:szCs w:val="24"/>
        </w:rPr>
        <w:t xml:space="preserve"> </w:t>
      </w:r>
      <w:r w:rsidR="00C94915" w:rsidRPr="00687DE8">
        <w:rPr>
          <w:szCs w:val="24"/>
        </w:rPr>
        <w:t>f</w:t>
      </w:r>
      <w:r w:rsidR="00B428EC" w:rsidRPr="00687DE8">
        <w:rPr>
          <w:szCs w:val="24"/>
        </w:rPr>
        <w:t>üsioteraapia</w:t>
      </w:r>
      <w:r w:rsidR="001F1881" w:rsidRPr="00687DE8">
        <w:rPr>
          <w:szCs w:val="24"/>
        </w:rPr>
        <w:t xml:space="preserve"> ja tegevusteraapia </w:t>
      </w:r>
      <w:r w:rsidRPr="00687DE8">
        <w:rPr>
          <w:szCs w:val="24"/>
        </w:rPr>
        <w:t>piirhinnad on järgmised:</w:t>
      </w:r>
    </w:p>
    <w:p w14:paraId="68BC5701"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7"/>
        <w:gridCol w:w="1111"/>
        <w:gridCol w:w="2427"/>
      </w:tblGrid>
      <w:tr w:rsidR="00976487" w:rsidRPr="00687DE8" w14:paraId="61D74B6E" w14:textId="77777777" w:rsidTr="00407220">
        <w:trPr>
          <w:divId w:val="1316184749"/>
          <w:tblHeader/>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62C191" w14:textId="77777777" w:rsidR="00976487" w:rsidRPr="00687DE8" w:rsidRDefault="00976487">
            <w:pPr>
              <w:spacing w:after="0" w:line="240" w:lineRule="auto"/>
              <w:jc w:val="center"/>
              <w:rPr>
                <w:szCs w:val="24"/>
              </w:rPr>
            </w:pPr>
            <w:r w:rsidRPr="00687DE8">
              <w:rPr>
                <w:b/>
                <w:szCs w:val="24"/>
              </w:rPr>
              <w:t>Tervishoiuteenuse nimetus</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A8A95A" w14:textId="77777777" w:rsidR="00976487" w:rsidRPr="00687DE8" w:rsidRDefault="00976487">
            <w:pPr>
              <w:spacing w:after="0" w:line="240" w:lineRule="auto"/>
              <w:jc w:val="center"/>
              <w:rPr>
                <w:szCs w:val="24"/>
              </w:rPr>
            </w:pPr>
            <w:r w:rsidRPr="00687DE8">
              <w:rPr>
                <w:b/>
                <w:szCs w:val="24"/>
              </w:rPr>
              <w:t>Kood</w:t>
            </w:r>
          </w:p>
        </w:tc>
        <w:tc>
          <w:tcPr>
            <w:tcW w:w="2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7594B9"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CC676C" w:rsidRPr="00687DE8" w14:paraId="2945CD4D"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75AD14" w14:textId="77777777" w:rsidR="00CC676C" w:rsidRPr="00687DE8" w:rsidRDefault="00CC676C" w:rsidP="00CC676C">
            <w:pPr>
              <w:spacing w:after="0" w:line="240" w:lineRule="auto"/>
              <w:rPr>
                <w:szCs w:val="24"/>
              </w:rPr>
            </w:pPr>
            <w:r w:rsidRPr="00687DE8">
              <w:rPr>
                <w:szCs w:val="24"/>
              </w:rPr>
              <w:t>Massaažiseanss mõõdukate ja tugevate tsentraalsete või perifeersete pareesidega haigele (kestus 30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C7DA43F" w14:textId="77777777" w:rsidR="00CC676C" w:rsidRPr="00687DE8" w:rsidRDefault="00CC676C" w:rsidP="00CC676C">
            <w:pPr>
              <w:spacing w:after="0" w:line="240" w:lineRule="auto"/>
              <w:jc w:val="center"/>
              <w:rPr>
                <w:szCs w:val="24"/>
              </w:rPr>
            </w:pPr>
            <w:r w:rsidRPr="00687DE8">
              <w:rPr>
                <w:szCs w:val="24"/>
              </w:rPr>
              <w:t>7011</w:t>
            </w:r>
          </w:p>
        </w:tc>
        <w:tc>
          <w:tcPr>
            <w:tcW w:w="2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4CE00F" w14:textId="6831ABF0" w:rsidR="2E1E8EE1" w:rsidRPr="00687DE8" w:rsidRDefault="00777E64">
            <w:pPr>
              <w:spacing w:after="0"/>
              <w:jc w:val="center"/>
              <w:rPr>
                <w:color w:val="000000" w:themeColor="text1"/>
                <w:szCs w:val="24"/>
              </w:rPr>
            </w:pPr>
            <w:r>
              <w:rPr>
                <w:color w:val="000000"/>
              </w:rPr>
              <w:t>24,63</w:t>
            </w:r>
          </w:p>
        </w:tc>
      </w:tr>
      <w:tr w:rsidR="00CC676C" w:rsidRPr="00687DE8" w14:paraId="1EDD4020"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E1D89D" w14:textId="77777777" w:rsidR="00CC676C" w:rsidRPr="00687DE8" w:rsidRDefault="00CC676C" w:rsidP="00CC676C">
            <w:pPr>
              <w:spacing w:after="0" w:line="240" w:lineRule="auto"/>
              <w:rPr>
                <w:szCs w:val="24"/>
              </w:rPr>
            </w:pPr>
            <w:r w:rsidRPr="00687DE8">
              <w:rPr>
                <w:szCs w:val="24"/>
              </w:rPr>
              <w:t>Mudaraviseanss reumatoidartriidi, anküloseeriva spondüliidi ning väljendunud liigesejäikusega haigele</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43FF079" w14:textId="77777777" w:rsidR="00CC676C" w:rsidRPr="00687DE8" w:rsidRDefault="00CC676C" w:rsidP="00CC676C">
            <w:pPr>
              <w:spacing w:after="0" w:line="240" w:lineRule="auto"/>
              <w:jc w:val="center"/>
              <w:rPr>
                <w:szCs w:val="24"/>
              </w:rPr>
            </w:pPr>
            <w:r w:rsidRPr="00687DE8">
              <w:rPr>
                <w:szCs w:val="24"/>
              </w:rPr>
              <w:t>7022</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E911B8" w14:textId="549E08C0" w:rsidR="2E1E8EE1" w:rsidRPr="00687DE8" w:rsidRDefault="00777E64">
            <w:pPr>
              <w:spacing w:after="0"/>
              <w:jc w:val="center"/>
              <w:rPr>
                <w:color w:val="000000" w:themeColor="text1"/>
                <w:szCs w:val="24"/>
              </w:rPr>
            </w:pPr>
            <w:r>
              <w:rPr>
                <w:color w:val="000000"/>
              </w:rPr>
              <w:t>21,10</w:t>
            </w:r>
          </w:p>
        </w:tc>
      </w:tr>
      <w:tr w:rsidR="00CC676C" w:rsidRPr="00687DE8" w14:paraId="1C9B03F5"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F1DB80" w14:textId="77777777" w:rsidR="00CC676C" w:rsidRPr="00687DE8" w:rsidRDefault="00CC676C" w:rsidP="00CC676C">
            <w:pPr>
              <w:spacing w:after="0" w:line="240" w:lineRule="auto"/>
              <w:rPr>
                <w:szCs w:val="24"/>
              </w:rPr>
            </w:pPr>
            <w:r w:rsidRPr="00687DE8">
              <w:rPr>
                <w:szCs w:val="24"/>
              </w:rPr>
              <w:t>Raviseanss ülikülmkambris</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17E891A" w14:textId="77777777" w:rsidR="00CC676C" w:rsidRPr="00687DE8" w:rsidRDefault="00CC676C" w:rsidP="00CC676C">
            <w:pPr>
              <w:spacing w:after="0" w:line="240" w:lineRule="auto"/>
              <w:jc w:val="center"/>
              <w:rPr>
                <w:szCs w:val="24"/>
              </w:rPr>
            </w:pPr>
            <w:r w:rsidRPr="00687DE8">
              <w:rPr>
                <w:szCs w:val="24"/>
              </w:rPr>
              <w:t>7030</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DF17AE" w14:textId="4DC2A389" w:rsidR="2E1E8EE1" w:rsidRPr="00687DE8" w:rsidRDefault="00777E64">
            <w:pPr>
              <w:spacing w:after="0"/>
              <w:jc w:val="center"/>
              <w:rPr>
                <w:color w:val="000000" w:themeColor="text1"/>
                <w:szCs w:val="24"/>
              </w:rPr>
            </w:pPr>
            <w:r>
              <w:rPr>
                <w:color w:val="000000"/>
              </w:rPr>
              <w:t>20,71</w:t>
            </w:r>
          </w:p>
        </w:tc>
      </w:tr>
      <w:tr w:rsidR="00CC676C" w:rsidRPr="00687DE8" w14:paraId="26F2F979"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F3A1C7" w14:textId="77777777" w:rsidR="00CC676C" w:rsidRPr="00687DE8" w:rsidRDefault="00CC676C" w:rsidP="00CC676C">
            <w:pPr>
              <w:spacing w:after="0" w:line="240" w:lineRule="auto"/>
              <w:rPr>
                <w:szCs w:val="24"/>
              </w:rPr>
            </w:pPr>
            <w:r w:rsidRPr="00687DE8">
              <w:rPr>
                <w:szCs w:val="24"/>
              </w:rPr>
              <w:t>Speleoteraapia kroonilise bronhiidi või bronhiaalastmaga haigele</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A92059D" w14:textId="77777777" w:rsidR="00CC676C" w:rsidRPr="00687DE8" w:rsidRDefault="00CC676C" w:rsidP="00CC676C">
            <w:pPr>
              <w:spacing w:after="0" w:line="240" w:lineRule="auto"/>
              <w:jc w:val="center"/>
              <w:rPr>
                <w:szCs w:val="24"/>
              </w:rPr>
            </w:pPr>
            <w:r w:rsidRPr="00687DE8">
              <w:rPr>
                <w:szCs w:val="24"/>
              </w:rPr>
              <w:t>7031</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F80A0F" w14:textId="3F08AD4A" w:rsidR="2E1E8EE1" w:rsidRPr="00687DE8" w:rsidRDefault="00777E64">
            <w:pPr>
              <w:spacing w:after="0"/>
              <w:jc w:val="center"/>
              <w:rPr>
                <w:color w:val="000000" w:themeColor="text1"/>
                <w:szCs w:val="24"/>
              </w:rPr>
            </w:pPr>
            <w:r>
              <w:rPr>
                <w:color w:val="000000"/>
              </w:rPr>
              <w:t>9,70</w:t>
            </w:r>
          </w:p>
        </w:tc>
      </w:tr>
      <w:tr w:rsidR="00CC676C" w:rsidRPr="00687DE8" w14:paraId="71460100"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597152" w14:textId="77777777" w:rsidR="00CC676C" w:rsidRPr="00687DE8" w:rsidRDefault="00CC676C" w:rsidP="00CC676C">
            <w:pPr>
              <w:spacing w:after="0" w:line="240" w:lineRule="auto"/>
              <w:rPr>
                <w:szCs w:val="24"/>
              </w:rPr>
            </w:pPr>
            <w:r w:rsidRPr="00687DE8">
              <w:rPr>
                <w:szCs w:val="24"/>
              </w:rPr>
              <w:t>Tegevusteraapia individuaalne (kestus 30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C5D32E0" w14:textId="77777777" w:rsidR="00CC676C" w:rsidRPr="00687DE8" w:rsidRDefault="00CC676C" w:rsidP="00CC676C">
            <w:pPr>
              <w:spacing w:after="0" w:line="240" w:lineRule="auto"/>
              <w:jc w:val="center"/>
              <w:rPr>
                <w:szCs w:val="24"/>
              </w:rPr>
            </w:pPr>
            <w:r w:rsidRPr="00687DE8">
              <w:rPr>
                <w:szCs w:val="24"/>
              </w:rPr>
              <w:t>7053</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24FBCF" w14:textId="4AECC6A6" w:rsidR="2E1E8EE1" w:rsidRPr="00687DE8" w:rsidRDefault="00777E64">
            <w:pPr>
              <w:spacing w:after="0"/>
              <w:jc w:val="center"/>
              <w:rPr>
                <w:color w:val="000000" w:themeColor="text1"/>
                <w:szCs w:val="24"/>
              </w:rPr>
            </w:pPr>
            <w:r>
              <w:rPr>
                <w:color w:val="000000"/>
              </w:rPr>
              <w:t>22,83</w:t>
            </w:r>
          </w:p>
        </w:tc>
      </w:tr>
      <w:tr w:rsidR="00CC676C" w:rsidRPr="00687DE8" w14:paraId="310FF062"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A15CD4" w14:textId="77777777" w:rsidR="00CC676C" w:rsidRPr="00687DE8" w:rsidRDefault="00CC676C" w:rsidP="00CC676C">
            <w:pPr>
              <w:spacing w:after="0" w:line="240" w:lineRule="auto"/>
              <w:rPr>
                <w:szCs w:val="24"/>
              </w:rPr>
            </w:pPr>
            <w:r w:rsidRPr="00687DE8">
              <w:rPr>
                <w:szCs w:val="24"/>
              </w:rPr>
              <w:t>Kaugtegevusteraapia video teel, individuaalne (kestus 30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3A73065C" w14:textId="77777777" w:rsidR="00CC676C" w:rsidRPr="00687DE8" w:rsidRDefault="00CC676C" w:rsidP="00CC676C">
            <w:pPr>
              <w:spacing w:after="0" w:line="240" w:lineRule="auto"/>
              <w:jc w:val="center"/>
              <w:rPr>
                <w:szCs w:val="24"/>
              </w:rPr>
            </w:pPr>
            <w:r w:rsidRPr="00687DE8">
              <w:rPr>
                <w:szCs w:val="24"/>
              </w:rPr>
              <w:t>7068</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64C9C18" w14:textId="788DB52E" w:rsidR="2E1E8EE1" w:rsidRPr="00687DE8" w:rsidRDefault="00777E64">
            <w:pPr>
              <w:spacing w:after="0"/>
              <w:jc w:val="center"/>
              <w:rPr>
                <w:color w:val="000000" w:themeColor="text1"/>
                <w:szCs w:val="24"/>
              </w:rPr>
            </w:pPr>
            <w:r>
              <w:rPr>
                <w:color w:val="000000"/>
              </w:rPr>
              <w:t>22,83</w:t>
            </w:r>
          </w:p>
        </w:tc>
      </w:tr>
      <w:tr w:rsidR="00CC676C" w:rsidRPr="00687DE8" w14:paraId="28CAFE5E"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85BDB6" w14:textId="77777777" w:rsidR="00CC676C" w:rsidRPr="00687DE8" w:rsidRDefault="00CC676C" w:rsidP="00CC676C">
            <w:pPr>
              <w:spacing w:after="0" w:line="240" w:lineRule="auto"/>
              <w:rPr>
                <w:szCs w:val="24"/>
              </w:rPr>
            </w:pPr>
            <w:r w:rsidRPr="00687DE8">
              <w:rPr>
                <w:szCs w:val="24"/>
              </w:rPr>
              <w:t>Tegevusteraapia 2–3 haigele samal ajal (kestus 30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4CBCE59" w14:textId="77777777" w:rsidR="00CC676C" w:rsidRPr="00687DE8" w:rsidRDefault="00CC676C" w:rsidP="00CC676C">
            <w:pPr>
              <w:spacing w:after="0" w:line="240" w:lineRule="auto"/>
              <w:jc w:val="center"/>
              <w:rPr>
                <w:szCs w:val="24"/>
              </w:rPr>
            </w:pPr>
            <w:r w:rsidRPr="00687DE8">
              <w:rPr>
                <w:szCs w:val="24"/>
              </w:rPr>
              <w:t>7054</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B0E5EA" w14:textId="6F6C8E9C" w:rsidR="2E1E8EE1" w:rsidRPr="00687DE8" w:rsidRDefault="00777E64">
            <w:pPr>
              <w:spacing w:after="0"/>
              <w:jc w:val="center"/>
              <w:rPr>
                <w:color w:val="000000" w:themeColor="text1"/>
                <w:szCs w:val="24"/>
              </w:rPr>
            </w:pPr>
            <w:r>
              <w:rPr>
                <w:color w:val="000000"/>
              </w:rPr>
              <w:t>13,49</w:t>
            </w:r>
          </w:p>
        </w:tc>
      </w:tr>
      <w:tr w:rsidR="00CC676C" w:rsidRPr="00687DE8" w14:paraId="5B6C137E"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8D1F10" w14:textId="77777777" w:rsidR="00CC676C" w:rsidRPr="00687DE8" w:rsidRDefault="00CC676C" w:rsidP="00CC676C">
            <w:pPr>
              <w:spacing w:after="0" w:line="240" w:lineRule="auto"/>
              <w:rPr>
                <w:szCs w:val="24"/>
              </w:rPr>
            </w:pPr>
            <w:r w:rsidRPr="00687DE8">
              <w:rPr>
                <w:szCs w:val="24"/>
              </w:rPr>
              <w:t>Kaugtegevusteraapia video teel, 2–3 haigele samal ajal (kestus 30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6ED6428" w14:textId="77777777" w:rsidR="00CC676C" w:rsidRPr="00687DE8" w:rsidRDefault="00CC676C" w:rsidP="00CC676C">
            <w:pPr>
              <w:spacing w:after="0" w:line="240" w:lineRule="auto"/>
              <w:jc w:val="center"/>
              <w:rPr>
                <w:szCs w:val="24"/>
              </w:rPr>
            </w:pPr>
            <w:r w:rsidRPr="00687DE8">
              <w:rPr>
                <w:szCs w:val="24"/>
              </w:rPr>
              <w:t>7069</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383098C" w14:textId="32A7DBE7" w:rsidR="2E1E8EE1" w:rsidRPr="00687DE8" w:rsidRDefault="00777E64">
            <w:pPr>
              <w:spacing w:after="0"/>
              <w:jc w:val="center"/>
              <w:rPr>
                <w:color w:val="000000" w:themeColor="text1"/>
                <w:szCs w:val="24"/>
              </w:rPr>
            </w:pPr>
            <w:r>
              <w:rPr>
                <w:color w:val="000000"/>
              </w:rPr>
              <w:t>13,49</w:t>
            </w:r>
          </w:p>
        </w:tc>
      </w:tr>
      <w:tr w:rsidR="00CC676C" w:rsidRPr="00687DE8" w14:paraId="708A9C2B"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34BE7C" w14:textId="77777777" w:rsidR="00CC676C" w:rsidRPr="00687DE8" w:rsidRDefault="00CC676C" w:rsidP="00CC676C">
            <w:pPr>
              <w:spacing w:after="0" w:line="240" w:lineRule="auto"/>
              <w:rPr>
                <w:szCs w:val="24"/>
              </w:rPr>
            </w:pPr>
            <w:r w:rsidRPr="00687DE8">
              <w:rPr>
                <w:szCs w:val="24"/>
              </w:rPr>
              <w:t>Tegevusteraapia igapäevases keskkonnas</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E7C8298" w14:textId="77777777" w:rsidR="00CC676C" w:rsidRPr="00687DE8" w:rsidRDefault="00CC676C" w:rsidP="00CC676C">
            <w:pPr>
              <w:spacing w:after="0" w:line="240" w:lineRule="auto"/>
              <w:jc w:val="center"/>
              <w:rPr>
                <w:szCs w:val="24"/>
              </w:rPr>
            </w:pPr>
            <w:r w:rsidRPr="00687DE8">
              <w:rPr>
                <w:szCs w:val="24"/>
              </w:rPr>
              <w:t>7061</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E554D4" w14:textId="6CABEFAD" w:rsidR="2E1E8EE1" w:rsidRPr="00687DE8" w:rsidRDefault="00777E64">
            <w:pPr>
              <w:spacing w:after="0"/>
              <w:jc w:val="center"/>
              <w:rPr>
                <w:color w:val="000000" w:themeColor="text1"/>
                <w:szCs w:val="24"/>
              </w:rPr>
            </w:pPr>
            <w:r>
              <w:rPr>
                <w:color w:val="000000"/>
              </w:rPr>
              <w:t>71,98</w:t>
            </w:r>
          </w:p>
        </w:tc>
      </w:tr>
      <w:tr w:rsidR="00CC676C" w:rsidRPr="00687DE8" w14:paraId="3558160D"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961104" w14:textId="77777777" w:rsidR="00CC676C" w:rsidRPr="00687DE8" w:rsidRDefault="00CC676C" w:rsidP="00CC676C">
            <w:pPr>
              <w:spacing w:after="0" w:line="240" w:lineRule="auto"/>
              <w:rPr>
                <w:szCs w:val="24"/>
              </w:rPr>
            </w:pPr>
            <w:r w:rsidRPr="00687DE8">
              <w:rPr>
                <w:szCs w:val="24"/>
              </w:rPr>
              <w:t>Füsioteraapia individuaalne (kestus 30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8176F70" w14:textId="77777777" w:rsidR="00CC676C" w:rsidRPr="00687DE8" w:rsidRDefault="00CC676C" w:rsidP="00CC676C">
            <w:pPr>
              <w:spacing w:after="0" w:line="240" w:lineRule="auto"/>
              <w:jc w:val="center"/>
              <w:rPr>
                <w:szCs w:val="24"/>
              </w:rPr>
            </w:pPr>
            <w:r w:rsidRPr="00687DE8">
              <w:rPr>
                <w:szCs w:val="24"/>
              </w:rPr>
              <w:t>7050</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9F238F" w14:textId="1B16B9FC" w:rsidR="2E1E8EE1" w:rsidRPr="00687DE8" w:rsidRDefault="00777E64">
            <w:pPr>
              <w:spacing w:after="0"/>
              <w:jc w:val="center"/>
              <w:rPr>
                <w:color w:val="000000" w:themeColor="text1"/>
                <w:szCs w:val="24"/>
              </w:rPr>
            </w:pPr>
            <w:r>
              <w:rPr>
                <w:color w:val="000000"/>
              </w:rPr>
              <w:t>23,01</w:t>
            </w:r>
          </w:p>
        </w:tc>
      </w:tr>
      <w:tr w:rsidR="00640659" w:rsidRPr="00687DE8" w14:paraId="64AE8300"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F95B7E" w14:textId="38BDD99D" w:rsidR="00C34905" w:rsidRPr="00687DE8" w:rsidRDefault="00F24AE3" w:rsidP="00CC676C">
            <w:pPr>
              <w:spacing w:after="0" w:line="240" w:lineRule="auto"/>
              <w:rPr>
                <w:szCs w:val="24"/>
              </w:rPr>
            </w:pPr>
            <w:r w:rsidRPr="009123EF">
              <w:rPr>
                <w:szCs w:val="24"/>
              </w:rPr>
              <w:t>Füsioteraapia individuaalne (</w:t>
            </w:r>
            <w:r>
              <w:rPr>
                <w:szCs w:val="24"/>
              </w:rPr>
              <w:t xml:space="preserve">kestus </w:t>
            </w:r>
            <w:r w:rsidRPr="009123EF">
              <w:rPr>
                <w:szCs w:val="24"/>
              </w:rPr>
              <w:t>60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137C958" w14:textId="786E6EE8" w:rsidR="00640659" w:rsidRPr="00687DE8" w:rsidRDefault="00640659" w:rsidP="00CC676C">
            <w:pPr>
              <w:spacing w:after="0" w:line="240" w:lineRule="auto"/>
              <w:jc w:val="center"/>
              <w:rPr>
                <w:szCs w:val="24"/>
              </w:rPr>
            </w:pPr>
            <w:r>
              <w:rPr>
                <w:szCs w:val="24"/>
              </w:rPr>
              <w:t>7055</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C8AA8B3" w14:textId="0CEC2EAF" w:rsidR="00B3197A" w:rsidRDefault="00B3197A" w:rsidP="00777E64">
            <w:pPr>
              <w:spacing w:after="0"/>
              <w:jc w:val="center"/>
              <w:rPr>
                <w:color w:val="000000"/>
              </w:rPr>
            </w:pPr>
          </w:p>
          <w:p w14:paraId="5433DCE8" w14:textId="628E79B9" w:rsidR="00640659" w:rsidRDefault="00B3197A">
            <w:pPr>
              <w:spacing w:after="0"/>
              <w:jc w:val="center"/>
              <w:rPr>
                <w:color w:val="000000"/>
              </w:rPr>
            </w:pPr>
            <w:r w:rsidRPr="00B3197A">
              <w:rPr>
                <w:color w:val="000000"/>
              </w:rPr>
              <w:lastRenderedPageBreak/>
              <w:t>41,73</w:t>
            </w:r>
          </w:p>
        </w:tc>
      </w:tr>
      <w:tr w:rsidR="00CC676C" w:rsidRPr="00687DE8" w14:paraId="1A7C3B04" w14:textId="77777777" w:rsidTr="00D30B8D">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52B0DD" w14:textId="77777777" w:rsidR="00CC676C" w:rsidRPr="00687DE8" w:rsidRDefault="00CC676C" w:rsidP="00CC676C">
            <w:pPr>
              <w:spacing w:after="0" w:line="240" w:lineRule="auto"/>
              <w:rPr>
                <w:szCs w:val="24"/>
              </w:rPr>
            </w:pPr>
            <w:r w:rsidRPr="00687DE8">
              <w:rPr>
                <w:szCs w:val="24"/>
              </w:rPr>
              <w:lastRenderedPageBreak/>
              <w:t>Kaugfüsioteraapia video teel, individuaalne (kestus 30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257D457" w14:textId="77777777" w:rsidR="00CC676C" w:rsidRPr="00687DE8" w:rsidRDefault="00CC676C" w:rsidP="00CC676C">
            <w:pPr>
              <w:spacing w:after="0" w:line="240" w:lineRule="auto"/>
              <w:jc w:val="center"/>
              <w:rPr>
                <w:szCs w:val="24"/>
              </w:rPr>
            </w:pPr>
            <w:r w:rsidRPr="00687DE8">
              <w:rPr>
                <w:szCs w:val="24"/>
              </w:rPr>
              <w:t>7065</w:t>
            </w:r>
          </w:p>
        </w:tc>
        <w:tc>
          <w:tcPr>
            <w:tcW w:w="2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B92C69" w14:textId="5BC79736" w:rsidR="2E1E8EE1" w:rsidRPr="00687DE8" w:rsidRDefault="000C587B">
            <w:pPr>
              <w:spacing w:after="0"/>
              <w:jc w:val="center"/>
              <w:rPr>
                <w:color w:val="000000" w:themeColor="text1"/>
                <w:szCs w:val="24"/>
              </w:rPr>
            </w:pPr>
            <w:r>
              <w:rPr>
                <w:color w:val="000000"/>
              </w:rPr>
              <w:t>23,01</w:t>
            </w:r>
          </w:p>
        </w:tc>
      </w:tr>
      <w:tr w:rsidR="00CC676C" w:rsidRPr="00687DE8" w14:paraId="7B7E3954"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F0CE70" w14:textId="77777777" w:rsidR="00CC676C" w:rsidRPr="00687DE8" w:rsidRDefault="00CC676C" w:rsidP="00CC676C">
            <w:pPr>
              <w:spacing w:after="0" w:line="240" w:lineRule="auto"/>
              <w:rPr>
                <w:szCs w:val="24"/>
              </w:rPr>
            </w:pPr>
            <w:r w:rsidRPr="00687DE8">
              <w:rPr>
                <w:szCs w:val="24"/>
              </w:rPr>
              <w:t>Füsioteraapia kõnnirobotiga, individuaalne (kestus 30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32C6B30" w14:textId="77777777" w:rsidR="00CC676C" w:rsidRPr="00687DE8" w:rsidRDefault="00CC676C" w:rsidP="00CC676C">
            <w:pPr>
              <w:spacing w:after="0" w:line="240" w:lineRule="auto"/>
              <w:jc w:val="center"/>
              <w:rPr>
                <w:szCs w:val="24"/>
              </w:rPr>
            </w:pPr>
            <w:r w:rsidRPr="00687DE8">
              <w:rPr>
                <w:szCs w:val="24"/>
              </w:rPr>
              <w:t>7075</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E7DA190" w14:textId="1300CFD5" w:rsidR="2E1E8EE1" w:rsidRPr="00687DE8" w:rsidRDefault="000C587B">
            <w:pPr>
              <w:spacing w:after="0"/>
              <w:jc w:val="center"/>
              <w:rPr>
                <w:color w:val="000000" w:themeColor="text1"/>
                <w:szCs w:val="24"/>
              </w:rPr>
            </w:pPr>
            <w:r>
              <w:rPr>
                <w:color w:val="000000"/>
              </w:rPr>
              <w:t>23,01</w:t>
            </w:r>
          </w:p>
        </w:tc>
      </w:tr>
      <w:tr w:rsidR="00CC676C" w:rsidRPr="00687DE8" w14:paraId="075AB5DF"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6A4A25" w14:textId="77777777" w:rsidR="00CC676C" w:rsidRPr="00687DE8" w:rsidRDefault="00CC676C" w:rsidP="00CC676C">
            <w:pPr>
              <w:spacing w:after="0" w:line="240" w:lineRule="auto"/>
              <w:rPr>
                <w:szCs w:val="24"/>
              </w:rPr>
            </w:pPr>
            <w:r w:rsidRPr="00687DE8">
              <w:rPr>
                <w:szCs w:val="24"/>
              </w:rPr>
              <w:t>Füsioteraapia käerobotiga, individuaalne (kestus 30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CAB4661" w14:textId="77777777" w:rsidR="00CC676C" w:rsidRPr="00687DE8" w:rsidRDefault="00CC676C" w:rsidP="00CC676C">
            <w:pPr>
              <w:spacing w:after="0" w:line="240" w:lineRule="auto"/>
              <w:jc w:val="center"/>
              <w:rPr>
                <w:szCs w:val="24"/>
              </w:rPr>
            </w:pPr>
            <w:r w:rsidRPr="00687DE8">
              <w:rPr>
                <w:szCs w:val="24"/>
              </w:rPr>
              <w:t>7076</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66F10A6" w14:textId="2131D05C" w:rsidR="2E1E8EE1" w:rsidRPr="00687DE8" w:rsidRDefault="000C587B">
            <w:pPr>
              <w:spacing w:after="0"/>
              <w:jc w:val="center"/>
              <w:rPr>
                <w:color w:val="000000" w:themeColor="text1"/>
                <w:szCs w:val="24"/>
              </w:rPr>
            </w:pPr>
            <w:r>
              <w:rPr>
                <w:color w:val="000000"/>
              </w:rPr>
              <w:t>23,01</w:t>
            </w:r>
          </w:p>
        </w:tc>
      </w:tr>
      <w:tr w:rsidR="00CC676C" w:rsidRPr="00687DE8" w14:paraId="53CF4668"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FFDD51" w14:textId="77777777" w:rsidR="00CC676C" w:rsidRPr="00687DE8" w:rsidRDefault="00CC676C" w:rsidP="00CC676C">
            <w:pPr>
              <w:spacing w:after="0" w:line="240" w:lineRule="auto"/>
              <w:rPr>
                <w:szCs w:val="24"/>
              </w:rPr>
            </w:pPr>
            <w:r w:rsidRPr="00687DE8">
              <w:rPr>
                <w:szCs w:val="24"/>
              </w:rPr>
              <w:t>Tegevusteraapia käerobotiga, individuaalne (kestus 30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1BDA4AD4" w14:textId="77777777" w:rsidR="00CC676C" w:rsidRPr="00687DE8" w:rsidRDefault="00CC676C" w:rsidP="00CC676C">
            <w:pPr>
              <w:spacing w:after="0" w:line="240" w:lineRule="auto"/>
              <w:jc w:val="center"/>
              <w:rPr>
                <w:szCs w:val="24"/>
              </w:rPr>
            </w:pPr>
            <w:r w:rsidRPr="00687DE8">
              <w:rPr>
                <w:szCs w:val="24"/>
              </w:rPr>
              <w:t>7078</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B0A9EED" w14:textId="0F1312D2" w:rsidR="2E1E8EE1" w:rsidRPr="00687DE8" w:rsidRDefault="000C587B">
            <w:pPr>
              <w:spacing w:after="0"/>
              <w:jc w:val="center"/>
              <w:rPr>
                <w:color w:val="000000" w:themeColor="text1"/>
                <w:szCs w:val="24"/>
              </w:rPr>
            </w:pPr>
            <w:r>
              <w:rPr>
                <w:color w:val="000000"/>
              </w:rPr>
              <w:t>22,83</w:t>
            </w:r>
          </w:p>
        </w:tc>
      </w:tr>
      <w:tr w:rsidR="00CC676C" w:rsidRPr="00687DE8" w14:paraId="77F7FD32"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CCE590" w14:textId="77777777" w:rsidR="00CC676C" w:rsidRPr="00687DE8" w:rsidRDefault="00CC676C" w:rsidP="00CC676C">
            <w:pPr>
              <w:spacing w:after="0" w:line="240" w:lineRule="auto"/>
              <w:rPr>
                <w:szCs w:val="24"/>
              </w:rPr>
            </w:pPr>
            <w:r w:rsidRPr="00687DE8">
              <w:rPr>
                <w:szCs w:val="24"/>
              </w:rPr>
              <w:t>Füsioteraapia robootilise vertikaliseerimislauaga, individuaalne (kestus 30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3C8FA0BA" w14:textId="77777777" w:rsidR="00CC676C" w:rsidRPr="00687DE8" w:rsidRDefault="00CC676C" w:rsidP="00CC676C">
            <w:pPr>
              <w:spacing w:after="0" w:line="240" w:lineRule="auto"/>
              <w:jc w:val="center"/>
              <w:rPr>
                <w:szCs w:val="24"/>
              </w:rPr>
            </w:pPr>
            <w:r w:rsidRPr="00687DE8">
              <w:rPr>
                <w:szCs w:val="24"/>
              </w:rPr>
              <w:t>7077</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8A9A0D0" w14:textId="69C5BB02" w:rsidR="2E1E8EE1" w:rsidRPr="00687DE8" w:rsidRDefault="000C587B">
            <w:pPr>
              <w:spacing w:after="0"/>
              <w:jc w:val="center"/>
              <w:rPr>
                <w:color w:val="000000" w:themeColor="text1"/>
                <w:szCs w:val="24"/>
              </w:rPr>
            </w:pPr>
            <w:r>
              <w:rPr>
                <w:color w:val="000000"/>
              </w:rPr>
              <w:t>23,01</w:t>
            </w:r>
          </w:p>
        </w:tc>
      </w:tr>
      <w:tr w:rsidR="00CC676C" w:rsidRPr="00687DE8" w14:paraId="1801F078"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B963C4" w14:textId="77777777" w:rsidR="00CC676C" w:rsidRPr="00687DE8" w:rsidRDefault="00CC676C" w:rsidP="00CC676C">
            <w:pPr>
              <w:spacing w:after="0" w:line="240" w:lineRule="auto"/>
              <w:rPr>
                <w:szCs w:val="24"/>
              </w:rPr>
            </w:pPr>
            <w:r w:rsidRPr="00687DE8">
              <w:rPr>
                <w:szCs w:val="24"/>
              </w:rPr>
              <w:t>Füsioteraapia grupis (kestus 30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635591B" w14:textId="77777777" w:rsidR="00CC676C" w:rsidRPr="00687DE8" w:rsidRDefault="00CC676C" w:rsidP="00CC676C">
            <w:pPr>
              <w:spacing w:after="0" w:line="240" w:lineRule="auto"/>
              <w:jc w:val="center"/>
              <w:rPr>
                <w:szCs w:val="24"/>
              </w:rPr>
            </w:pPr>
            <w:r w:rsidRPr="00687DE8">
              <w:rPr>
                <w:szCs w:val="24"/>
              </w:rPr>
              <w:t>7052</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A71EFC" w14:textId="61A428D2" w:rsidR="2E1E8EE1" w:rsidRPr="00687DE8" w:rsidRDefault="000C587B">
            <w:pPr>
              <w:spacing w:after="0"/>
              <w:jc w:val="center"/>
              <w:rPr>
                <w:color w:val="000000" w:themeColor="text1"/>
                <w:szCs w:val="24"/>
              </w:rPr>
            </w:pPr>
            <w:r>
              <w:rPr>
                <w:color w:val="000000"/>
              </w:rPr>
              <w:t>12,18</w:t>
            </w:r>
          </w:p>
        </w:tc>
      </w:tr>
      <w:tr w:rsidR="00CC676C" w:rsidRPr="00687DE8" w14:paraId="789640DE"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72DCD3" w14:textId="77777777" w:rsidR="00CC676C" w:rsidRPr="00687DE8" w:rsidRDefault="00CC676C" w:rsidP="00CC676C">
            <w:pPr>
              <w:spacing w:after="0" w:line="240" w:lineRule="auto"/>
              <w:rPr>
                <w:szCs w:val="24"/>
              </w:rPr>
            </w:pPr>
            <w:r w:rsidRPr="00687DE8">
              <w:rPr>
                <w:szCs w:val="24"/>
              </w:rPr>
              <w:t>Kaugfüsioteraapia video teel, grupis (kestus 30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A8E4B17" w14:textId="77777777" w:rsidR="00CC676C" w:rsidRPr="00687DE8" w:rsidRDefault="00CC676C" w:rsidP="00CC676C">
            <w:pPr>
              <w:spacing w:after="0" w:line="240" w:lineRule="auto"/>
              <w:jc w:val="center"/>
              <w:rPr>
                <w:szCs w:val="24"/>
              </w:rPr>
            </w:pPr>
            <w:r w:rsidRPr="00687DE8">
              <w:rPr>
                <w:szCs w:val="24"/>
              </w:rPr>
              <w:t>7067</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7E319CA" w14:textId="71BEEC1C" w:rsidR="2E1E8EE1" w:rsidRPr="00687DE8" w:rsidRDefault="000C587B">
            <w:pPr>
              <w:spacing w:after="0"/>
              <w:jc w:val="center"/>
              <w:rPr>
                <w:color w:val="000000" w:themeColor="text1"/>
                <w:szCs w:val="24"/>
              </w:rPr>
            </w:pPr>
            <w:r>
              <w:rPr>
                <w:color w:val="000000"/>
              </w:rPr>
              <w:t>12,18</w:t>
            </w:r>
          </w:p>
        </w:tc>
      </w:tr>
      <w:tr w:rsidR="00CC676C" w:rsidRPr="00687DE8" w14:paraId="44A32E14" w14:textId="77777777" w:rsidTr="00D30B8D">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436D53" w14:textId="77777777" w:rsidR="00CC676C" w:rsidRPr="00687DE8" w:rsidRDefault="00CC676C" w:rsidP="00CC676C">
            <w:pPr>
              <w:spacing w:after="0" w:line="240" w:lineRule="auto"/>
              <w:rPr>
                <w:szCs w:val="24"/>
              </w:rPr>
            </w:pPr>
            <w:r w:rsidRPr="00687DE8">
              <w:rPr>
                <w:szCs w:val="24"/>
              </w:rPr>
              <w:t>Füsioteraapia basseinis, individuaalne (kestus 30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0C5D98D" w14:textId="77777777" w:rsidR="00CC676C" w:rsidRPr="00687DE8" w:rsidRDefault="00CC676C" w:rsidP="00CC676C">
            <w:pPr>
              <w:spacing w:after="0" w:line="240" w:lineRule="auto"/>
              <w:jc w:val="center"/>
              <w:rPr>
                <w:szCs w:val="24"/>
              </w:rPr>
            </w:pPr>
            <w:r w:rsidRPr="00687DE8">
              <w:rPr>
                <w:szCs w:val="24"/>
              </w:rPr>
              <w:t>7056</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14EDF8" w14:textId="4474D69F" w:rsidR="2E1E8EE1" w:rsidRPr="00687DE8" w:rsidRDefault="000C587B">
            <w:pPr>
              <w:spacing w:after="0"/>
              <w:jc w:val="center"/>
              <w:rPr>
                <w:color w:val="000000" w:themeColor="text1"/>
                <w:szCs w:val="24"/>
              </w:rPr>
            </w:pPr>
            <w:r>
              <w:rPr>
                <w:color w:val="000000"/>
              </w:rPr>
              <w:t>27,20</w:t>
            </w:r>
          </w:p>
        </w:tc>
      </w:tr>
      <w:tr w:rsidR="00CC676C" w:rsidRPr="00687DE8" w14:paraId="7953FF96"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2BA103" w14:textId="77777777" w:rsidR="00CC676C" w:rsidRPr="00687DE8" w:rsidRDefault="00CC676C" w:rsidP="00CC676C">
            <w:pPr>
              <w:spacing w:after="0" w:line="240" w:lineRule="auto"/>
              <w:rPr>
                <w:szCs w:val="24"/>
              </w:rPr>
            </w:pPr>
            <w:r w:rsidRPr="00687DE8">
              <w:rPr>
                <w:szCs w:val="24"/>
              </w:rPr>
              <w:t>Füsioteraapia basseinis, grupis (kestus 30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BCCD191" w14:textId="77777777" w:rsidR="00CC676C" w:rsidRPr="00687DE8" w:rsidRDefault="00CC676C" w:rsidP="00CC676C">
            <w:pPr>
              <w:spacing w:after="0" w:line="240" w:lineRule="auto"/>
              <w:jc w:val="center"/>
              <w:rPr>
                <w:szCs w:val="24"/>
              </w:rPr>
            </w:pPr>
            <w:r w:rsidRPr="00687DE8">
              <w:rPr>
                <w:szCs w:val="24"/>
              </w:rPr>
              <w:t>7057</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3103B6" w14:textId="515A73B1" w:rsidR="2E1E8EE1" w:rsidRPr="00687DE8" w:rsidRDefault="000C587B">
            <w:pPr>
              <w:spacing w:after="0"/>
              <w:jc w:val="center"/>
              <w:rPr>
                <w:color w:val="000000" w:themeColor="text1"/>
                <w:szCs w:val="24"/>
              </w:rPr>
            </w:pPr>
            <w:r>
              <w:rPr>
                <w:color w:val="000000"/>
              </w:rPr>
              <w:t>13,40</w:t>
            </w:r>
          </w:p>
        </w:tc>
      </w:tr>
      <w:tr w:rsidR="00CC676C" w:rsidRPr="00687DE8" w14:paraId="33616A56"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811202" w14:textId="019A6284" w:rsidR="00CC676C" w:rsidRPr="00687DE8" w:rsidRDefault="00CC676C" w:rsidP="00CC676C">
            <w:pPr>
              <w:spacing w:after="0" w:line="240" w:lineRule="auto"/>
              <w:rPr>
                <w:szCs w:val="24"/>
              </w:rPr>
            </w:pPr>
            <w:r w:rsidRPr="00687DE8">
              <w:rPr>
                <w:szCs w:val="24"/>
              </w:rPr>
              <w:t>Füsioteraapia igapäevases keskkonnas</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09C9B96" w14:textId="77777777" w:rsidR="00CC676C" w:rsidRPr="00687DE8" w:rsidRDefault="00CC676C" w:rsidP="00CC676C">
            <w:pPr>
              <w:spacing w:after="0" w:line="240" w:lineRule="auto"/>
              <w:jc w:val="center"/>
              <w:rPr>
                <w:szCs w:val="24"/>
              </w:rPr>
            </w:pPr>
            <w:r w:rsidRPr="00687DE8">
              <w:rPr>
                <w:szCs w:val="24"/>
              </w:rPr>
              <w:t>7060</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ED3155" w14:textId="161536A7" w:rsidR="2E1E8EE1" w:rsidRPr="00687DE8" w:rsidRDefault="000C587B">
            <w:pPr>
              <w:spacing w:after="0"/>
              <w:jc w:val="center"/>
              <w:rPr>
                <w:color w:val="000000" w:themeColor="text1"/>
                <w:szCs w:val="24"/>
              </w:rPr>
            </w:pPr>
            <w:r>
              <w:rPr>
                <w:color w:val="000000"/>
              </w:rPr>
              <w:t>72,62</w:t>
            </w:r>
          </w:p>
        </w:tc>
      </w:tr>
      <w:tr w:rsidR="00CC676C" w:rsidRPr="00687DE8" w14:paraId="7338EB28"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393DA8" w14:textId="77777777" w:rsidR="00CC676C" w:rsidRPr="00687DE8" w:rsidRDefault="00CC676C" w:rsidP="00CC676C">
            <w:pPr>
              <w:spacing w:after="0" w:line="240" w:lineRule="auto"/>
              <w:rPr>
                <w:szCs w:val="24"/>
              </w:rPr>
            </w:pPr>
            <w:r w:rsidRPr="00687DE8">
              <w:rPr>
                <w:szCs w:val="24"/>
              </w:rPr>
              <w:t>Lümfiteraapia (kestus 70 min)</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DFF3CC3" w14:textId="77777777" w:rsidR="00CC676C" w:rsidRPr="00687DE8" w:rsidRDefault="00CC676C" w:rsidP="00CC676C">
            <w:pPr>
              <w:spacing w:after="0" w:line="240" w:lineRule="auto"/>
              <w:jc w:val="center"/>
              <w:rPr>
                <w:szCs w:val="24"/>
              </w:rPr>
            </w:pPr>
            <w:r w:rsidRPr="00687DE8">
              <w:rPr>
                <w:szCs w:val="24"/>
              </w:rPr>
              <w:t>7058</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4AB693" w14:textId="46DE66FB" w:rsidR="2E1E8EE1" w:rsidRPr="00687DE8" w:rsidRDefault="000C587B">
            <w:pPr>
              <w:spacing w:after="0"/>
              <w:jc w:val="center"/>
              <w:rPr>
                <w:color w:val="000000" w:themeColor="text1"/>
                <w:szCs w:val="24"/>
              </w:rPr>
            </w:pPr>
            <w:r>
              <w:rPr>
                <w:color w:val="000000"/>
              </w:rPr>
              <w:t>53,49</w:t>
            </w:r>
          </w:p>
        </w:tc>
      </w:tr>
      <w:tr w:rsidR="00CC676C" w:rsidRPr="00687DE8" w14:paraId="356FFF97" w14:textId="77777777" w:rsidTr="00934CCC">
        <w:trPr>
          <w:divId w:val="1316184749"/>
          <w:trHeight w:val="322"/>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A245D4" w14:textId="77777777" w:rsidR="00CC676C" w:rsidRPr="00687DE8" w:rsidRDefault="00CC676C" w:rsidP="00CC676C">
            <w:pPr>
              <w:spacing w:after="0" w:line="240" w:lineRule="auto"/>
              <w:rPr>
                <w:szCs w:val="24"/>
              </w:rPr>
            </w:pPr>
            <w:r w:rsidRPr="00687DE8">
              <w:rPr>
                <w:szCs w:val="24"/>
              </w:rPr>
              <w:t>Kuue minuti kõnnitest</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15DD03A" w14:textId="77777777" w:rsidR="00CC676C" w:rsidRPr="00687DE8" w:rsidRDefault="00CC676C" w:rsidP="00CC676C">
            <w:pPr>
              <w:spacing w:after="0" w:line="240" w:lineRule="auto"/>
              <w:jc w:val="center"/>
              <w:rPr>
                <w:szCs w:val="24"/>
              </w:rPr>
            </w:pPr>
            <w:r w:rsidRPr="00687DE8">
              <w:rPr>
                <w:szCs w:val="24"/>
              </w:rPr>
              <w:t>7059</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5A1A2A" w14:textId="5D217B81" w:rsidR="2E1E8EE1" w:rsidRPr="00687DE8" w:rsidRDefault="000C587B">
            <w:pPr>
              <w:spacing w:after="0"/>
              <w:jc w:val="center"/>
              <w:rPr>
                <w:color w:val="000000" w:themeColor="text1"/>
                <w:szCs w:val="24"/>
              </w:rPr>
            </w:pPr>
            <w:r>
              <w:rPr>
                <w:color w:val="000000"/>
              </w:rPr>
              <w:t>19,86</w:t>
            </w:r>
          </w:p>
        </w:tc>
      </w:tr>
      <w:tr w:rsidR="00CC676C" w:rsidRPr="00687DE8" w14:paraId="458FD7D9"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DBDA4D" w14:textId="77777777" w:rsidR="00CC676C" w:rsidRPr="00687DE8" w:rsidRDefault="00CC676C" w:rsidP="00CC676C">
            <w:pPr>
              <w:spacing w:after="0" w:line="240" w:lineRule="auto"/>
              <w:rPr>
                <w:szCs w:val="24"/>
              </w:rPr>
            </w:pPr>
            <w:r w:rsidRPr="00687DE8">
              <w:rPr>
                <w:szCs w:val="24"/>
              </w:rPr>
              <w:t>Raviplaani koostamine taastusravimeeskonna poolt</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352B642" w14:textId="77777777" w:rsidR="00CC676C" w:rsidRPr="00687DE8" w:rsidRDefault="00CC676C" w:rsidP="00CC676C">
            <w:pPr>
              <w:spacing w:after="0" w:line="240" w:lineRule="auto"/>
              <w:jc w:val="center"/>
              <w:rPr>
                <w:szCs w:val="24"/>
              </w:rPr>
            </w:pPr>
            <w:r w:rsidRPr="00687DE8">
              <w:rPr>
                <w:szCs w:val="24"/>
              </w:rPr>
              <w:t>7083</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3EFB872" w14:textId="688BF946" w:rsidR="2E1E8EE1" w:rsidRPr="00687DE8" w:rsidRDefault="000C587B">
            <w:pPr>
              <w:spacing w:after="0"/>
              <w:jc w:val="center"/>
              <w:rPr>
                <w:color w:val="000000" w:themeColor="text1"/>
                <w:szCs w:val="24"/>
              </w:rPr>
            </w:pPr>
            <w:r>
              <w:rPr>
                <w:color w:val="000000"/>
              </w:rPr>
              <w:t>83,63</w:t>
            </w:r>
          </w:p>
        </w:tc>
      </w:tr>
      <w:tr w:rsidR="00933B9C" w:rsidRPr="00687DE8" w14:paraId="5049DAD6"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586777" w14:textId="77777777" w:rsidR="00933B9C" w:rsidRPr="00687DE8" w:rsidRDefault="001C3CA6" w:rsidP="00653245">
            <w:pPr>
              <w:spacing w:after="0" w:line="240" w:lineRule="auto"/>
              <w:rPr>
                <w:szCs w:val="24"/>
              </w:rPr>
            </w:pPr>
            <w:r w:rsidRPr="00687DE8">
              <w:rPr>
                <w:szCs w:val="24"/>
              </w:rPr>
              <w:t>Kõnniroboti valmisolekutasu</w:t>
            </w:r>
            <w:r w:rsidR="003A2A1F" w:rsidRPr="00687DE8">
              <w:rPr>
                <w:szCs w:val="24"/>
              </w:rPr>
              <w:t xml:space="preserve"> (kvartal)</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C860C94" w14:textId="77777777" w:rsidR="00933B9C" w:rsidRPr="00687DE8" w:rsidRDefault="00E05288" w:rsidP="00653245">
            <w:pPr>
              <w:spacing w:after="0" w:line="240" w:lineRule="auto"/>
              <w:jc w:val="center"/>
              <w:rPr>
                <w:szCs w:val="24"/>
              </w:rPr>
            </w:pPr>
            <w:r w:rsidRPr="00687DE8">
              <w:rPr>
                <w:szCs w:val="24"/>
              </w:rPr>
              <w:t>7084</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4C0D5F8" w14:textId="5CE6E478" w:rsidR="2E1E8EE1" w:rsidRPr="00687DE8" w:rsidRDefault="000C587B">
            <w:pPr>
              <w:spacing w:after="0"/>
              <w:jc w:val="center"/>
              <w:rPr>
                <w:color w:val="000000" w:themeColor="text1"/>
                <w:szCs w:val="24"/>
              </w:rPr>
            </w:pPr>
            <w:r>
              <w:rPr>
                <w:color w:val="000000"/>
              </w:rPr>
              <w:t>7 632,00</w:t>
            </w:r>
          </w:p>
        </w:tc>
      </w:tr>
      <w:tr w:rsidR="00933B9C" w:rsidRPr="00687DE8" w14:paraId="236B1725"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5D2945" w14:textId="77777777" w:rsidR="00933B9C" w:rsidRPr="00687DE8" w:rsidRDefault="001C3CA6" w:rsidP="00653245">
            <w:pPr>
              <w:spacing w:after="0" w:line="240" w:lineRule="auto"/>
              <w:rPr>
                <w:szCs w:val="24"/>
              </w:rPr>
            </w:pPr>
            <w:r w:rsidRPr="00687DE8">
              <w:rPr>
                <w:szCs w:val="24"/>
              </w:rPr>
              <w:t>Käeroboti valmisolekutasu</w:t>
            </w:r>
            <w:r w:rsidR="003A2A1F" w:rsidRPr="00687DE8">
              <w:rPr>
                <w:szCs w:val="24"/>
              </w:rPr>
              <w:t xml:space="preserve"> (kvartal)</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D051AA0" w14:textId="77777777" w:rsidR="00933B9C" w:rsidRPr="00687DE8" w:rsidRDefault="00E05288" w:rsidP="00653245">
            <w:pPr>
              <w:spacing w:after="0" w:line="240" w:lineRule="auto"/>
              <w:jc w:val="center"/>
              <w:rPr>
                <w:szCs w:val="24"/>
              </w:rPr>
            </w:pPr>
            <w:r w:rsidRPr="00687DE8">
              <w:rPr>
                <w:szCs w:val="24"/>
              </w:rPr>
              <w:t>7085</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9EA3166" w14:textId="20D7BAF8" w:rsidR="2E1E8EE1" w:rsidRPr="00687DE8" w:rsidRDefault="000C587B">
            <w:pPr>
              <w:spacing w:after="0"/>
              <w:jc w:val="center"/>
              <w:rPr>
                <w:color w:val="000000" w:themeColor="text1"/>
                <w:szCs w:val="24"/>
              </w:rPr>
            </w:pPr>
            <w:r>
              <w:rPr>
                <w:color w:val="000000"/>
              </w:rPr>
              <w:t>2 109,00</w:t>
            </w:r>
          </w:p>
        </w:tc>
      </w:tr>
      <w:tr w:rsidR="00933B9C" w:rsidRPr="00687DE8" w14:paraId="6EC1F5A1" w14:textId="77777777" w:rsidTr="00934CCC">
        <w:trPr>
          <w:divId w:val="1316184749"/>
          <w:trHeight w:val="300"/>
        </w:trPr>
        <w:tc>
          <w:tcPr>
            <w:tcW w:w="5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63A5E7" w14:textId="77777777" w:rsidR="00933B9C" w:rsidRPr="00687DE8" w:rsidRDefault="00E73535" w:rsidP="00653245">
            <w:pPr>
              <w:spacing w:after="0" w:line="240" w:lineRule="auto"/>
              <w:rPr>
                <w:szCs w:val="24"/>
              </w:rPr>
            </w:pPr>
            <w:r w:rsidRPr="00687DE8">
              <w:rPr>
                <w:szCs w:val="24"/>
              </w:rPr>
              <w:t>Robootilise vertikaliseerimislaua valmisolekutasu</w:t>
            </w:r>
            <w:r w:rsidR="003A2A1F" w:rsidRPr="00687DE8">
              <w:rPr>
                <w:szCs w:val="24"/>
              </w:rPr>
              <w:t xml:space="preserve"> (kvartal)</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FE0895A" w14:textId="77777777" w:rsidR="00933B9C" w:rsidRPr="00687DE8" w:rsidRDefault="00E05288" w:rsidP="00653245">
            <w:pPr>
              <w:spacing w:after="0" w:line="240" w:lineRule="auto"/>
              <w:jc w:val="center"/>
              <w:rPr>
                <w:szCs w:val="24"/>
              </w:rPr>
            </w:pPr>
            <w:r w:rsidRPr="00687DE8">
              <w:rPr>
                <w:szCs w:val="24"/>
              </w:rPr>
              <w:t>7086</w:t>
            </w:r>
          </w:p>
        </w:tc>
        <w:tc>
          <w:tcPr>
            <w:tcW w:w="242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47C23EE" w14:textId="0F2C7ABD" w:rsidR="2E1E8EE1" w:rsidRPr="00687DE8" w:rsidRDefault="000C587B">
            <w:pPr>
              <w:spacing w:after="0"/>
              <w:jc w:val="center"/>
              <w:rPr>
                <w:color w:val="000000" w:themeColor="text1"/>
                <w:szCs w:val="24"/>
              </w:rPr>
            </w:pPr>
            <w:r>
              <w:rPr>
                <w:color w:val="000000"/>
              </w:rPr>
              <w:t>2 921,00</w:t>
            </w:r>
          </w:p>
        </w:tc>
      </w:tr>
    </w:tbl>
    <w:p w14:paraId="21F91F98" w14:textId="77777777" w:rsidR="00976487" w:rsidRPr="00687DE8" w:rsidRDefault="00976487" w:rsidP="00976487">
      <w:pPr>
        <w:spacing w:after="0" w:line="240" w:lineRule="auto"/>
        <w:jc w:val="both"/>
        <w:divId w:val="1316184749"/>
        <w:rPr>
          <w:szCs w:val="24"/>
        </w:rPr>
      </w:pPr>
    </w:p>
    <w:p w14:paraId="6D3DD8AB" w14:textId="7EDB3D4A" w:rsidR="00976487" w:rsidRPr="00687DE8" w:rsidRDefault="00976487" w:rsidP="00976487">
      <w:pPr>
        <w:spacing w:after="0" w:line="240" w:lineRule="auto"/>
        <w:jc w:val="both"/>
        <w:divId w:val="1316184749"/>
        <w:rPr>
          <w:szCs w:val="24"/>
        </w:rPr>
      </w:pPr>
      <w:r w:rsidRPr="00687DE8">
        <w:rPr>
          <w:szCs w:val="24"/>
        </w:rPr>
        <w:t>(</w:t>
      </w:r>
      <w:r w:rsidR="009523D1">
        <w:rPr>
          <w:szCs w:val="24"/>
        </w:rPr>
        <w:t>14</w:t>
      </w:r>
      <w:r w:rsidRPr="00687DE8">
        <w:rPr>
          <w:szCs w:val="24"/>
        </w:rPr>
        <w:t>) Tegevusteraapia (koodid 7053, 7054</w:t>
      </w:r>
      <w:r w:rsidR="0004205C" w:rsidRPr="00687DE8">
        <w:rPr>
          <w:szCs w:val="24"/>
        </w:rPr>
        <w:t>,</w:t>
      </w:r>
      <w:r w:rsidR="00B01383" w:rsidRPr="00687DE8">
        <w:rPr>
          <w:szCs w:val="24"/>
        </w:rPr>
        <w:t xml:space="preserve"> 7061, </w:t>
      </w:r>
      <w:r w:rsidR="0004205C" w:rsidRPr="00687DE8">
        <w:rPr>
          <w:szCs w:val="24"/>
        </w:rPr>
        <w:t>7068</w:t>
      </w:r>
      <w:r w:rsidR="00FA2BAC" w:rsidRPr="00687DE8">
        <w:rPr>
          <w:szCs w:val="24"/>
        </w:rPr>
        <w:t>,</w:t>
      </w:r>
      <w:r w:rsidR="00A45DA9" w:rsidRPr="00687DE8">
        <w:rPr>
          <w:szCs w:val="24"/>
        </w:rPr>
        <w:t xml:space="preserve"> </w:t>
      </w:r>
      <w:r w:rsidR="0004205C" w:rsidRPr="00687DE8">
        <w:rPr>
          <w:szCs w:val="24"/>
        </w:rPr>
        <w:t>7069</w:t>
      </w:r>
      <w:r w:rsidR="00FA2BAC" w:rsidRPr="00687DE8">
        <w:rPr>
          <w:szCs w:val="24"/>
        </w:rPr>
        <w:t xml:space="preserve"> ja 7078</w:t>
      </w:r>
      <w:r w:rsidRPr="00687DE8">
        <w:rPr>
          <w:szCs w:val="24"/>
        </w:rPr>
        <w:t xml:space="preserve">) piirhind sisaldab </w:t>
      </w:r>
      <w:r w:rsidR="00C0302D">
        <w:rPr>
          <w:szCs w:val="24"/>
        </w:rPr>
        <w:t xml:space="preserve">aktiivset ravisekkumist </w:t>
      </w:r>
      <w:r w:rsidR="004D3AC0">
        <w:rPr>
          <w:szCs w:val="24"/>
        </w:rPr>
        <w:t>ja</w:t>
      </w:r>
      <w:r w:rsidRPr="00687DE8" w:rsidDel="00A6301A">
        <w:rPr>
          <w:szCs w:val="24"/>
        </w:rPr>
        <w:t xml:space="preserve"> </w:t>
      </w:r>
      <w:r w:rsidRPr="00687DE8">
        <w:rPr>
          <w:szCs w:val="24"/>
        </w:rPr>
        <w:t>järgmisi tegevusi:</w:t>
      </w:r>
    </w:p>
    <w:p w14:paraId="78ADF8C7" w14:textId="77777777" w:rsidR="00976487" w:rsidRPr="00687DE8" w:rsidRDefault="00976487" w:rsidP="00976487">
      <w:pPr>
        <w:spacing w:after="0" w:line="240" w:lineRule="auto"/>
        <w:jc w:val="both"/>
        <w:divId w:val="1316184749"/>
        <w:rPr>
          <w:szCs w:val="24"/>
        </w:rPr>
      </w:pPr>
      <w:r w:rsidRPr="00687DE8">
        <w:rPr>
          <w:szCs w:val="24"/>
        </w:rPr>
        <w:t xml:space="preserve">1) tegevusvõime </w:t>
      </w:r>
      <w:r w:rsidR="00BF651D" w:rsidRPr="00687DE8">
        <w:rPr>
          <w:szCs w:val="24"/>
        </w:rPr>
        <w:t xml:space="preserve">ja tegevuskonteksti </w:t>
      </w:r>
      <w:r w:rsidRPr="00687DE8">
        <w:rPr>
          <w:szCs w:val="24"/>
        </w:rPr>
        <w:t>hindamine;</w:t>
      </w:r>
    </w:p>
    <w:p w14:paraId="452DD06C" w14:textId="77777777" w:rsidR="00976487" w:rsidRPr="00687DE8" w:rsidRDefault="00976487" w:rsidP="00976487">
      <w:pPr>
        <w:spacing w:after="0" w:line="240" w:lineRule="auto"/>
        <w:jc w:val="both"/>
        <w:divId w:val="1316184749"/>
        <w:rPr>
          <w:szCs w:val="24"/>
        </w:rPr>
      </w:pPr>
      <w:r w:rsidRPr="00687DE8">
        <w:rPr>
          <w:szCs w:val="24"/>
        </w:rPr>
        <w:t>2) igapäevaelu</w:t>
      </w:r>
      <w:r w:rsidR="003737F5" w:rsidRPr="00687DE8">
        <w:rPr>
          <w:szCs w:val="24"/>
        </w:rPr>
        <w:t xml:space="preserve"> </w:t>
      </w:r>
      <w:r w:rsidR="00407AA4" w:rsidRPr="00687DE8">
        <w:rPr>
          <w:szCs w:val="24"/>
        </w:rPr>
        <w:t xml:space="preserve">tegevuste </w:t>
      </w:r>
      <w:r w:rsidR="007805D2" w:rsidRPr="00687DE8">
        <w:rPr>
          <w:szCs w:val="24"/>
        </w:rPr>
        <w:t xml:space="preserve">õppimise toetamine, </w:t>
      </w:r>
      <w:r w:rsidR="00682EEA" w:rsidRPr="00687DE8">
        <w:rPr>
          <w:szCs w:val="24"/>
        </w:rPr>
        <w:t>sealhulgas</w:t>
      </w:r>
      <w:r w:rsidR="007805D2" w:rsidRPr="00687DE8">
        <w:rPr>
          <w:szCs w:val="24"/>
        </w:rPr>
        <w:t xml:space="preserve"> </w:t>
      </w:r>
      <w:r w:rsidR="00F94BAC" w:rsidRPr="00687DE8">
        <w:rPr>
          <w:szCs w:val="24"/>
        </w:rPr>
        <w:t xml:space="preserve">juhendamine </w:t>
      </w:r>
      <w:r w:rsidR="00110FAA" w:rsidRPr="00687DE8">
        <w:rPr>
          <w:szCs w:val="24"/>
        </w:rPr>
        <w:t>sooritusoskuste harjutamisel</w:t>
      </w:r>
      <w:r w:rsidRPr="00687DE8">
        <w:rPr>
          <w:szCs w:val="24"/>
        </w:rPr>
        <w:t>;</w:t>
      </w:r>
    </w:p>
    <w:p w14:paraId="09A188E4" w14:textId="77777777" w:rsidR="00976487" w:rsidRPr="00687DE8" w:rsidRDefault="00976487" w:rsidP="00976487">
      <w:pPr>
        <w:spacing w:after="0" w:line="240" w:lineRule="auto"/>
        <w:jc w:val="both"/>
        <w:divId w:val="1316184749"/>
        <w:rPr>
          <w:szCs w:val="24"/>
        </w:rPr>
      </w:pPr>
      <w:r w:rsidRPr="00687DE8">
        <w:rPr>
          <w:szCs w:val="24"/>
        </w:rPr>
        <w:t>3) tegevuseelduste arendamine, taastamine ja säilitamine;</w:t>
      </w:r>
    </w:p>
    <w:p w14:paraId="150D5B83" w14:textId="77777777" w:rsidR="00976487" w:rsidRPr="00687DE8" w:rsidRDefault="00976487" w:rsidP="00976487">
      <w:pPr>
        <w:spacing w:after="0" w:line="240" w:lineRule="auto"/>
        <w:jc w:val="both"/>
        <w:divId w:val="1316184749"/>
        <w:rPr>
          <w:szCs w:val="24"/>
        </w:rPr>
      </w:pPr>
      <w:r w:rsidRPr="00687DE8">
        <w:rPr>
          <w:szCs w:val="24"/>
        </w:rPr>
        <w:t>4) igapäevaelu tegevuste sooritamist toetavate abivahendite määramine, soovitamine ja kasutama õpetamine;</w:t>
      </w:r>
    </w:p>
    <w:p w14:paraId="3C7C6B69" w14:textId="77777777" w:rsidR="00976487" w:rsidRPr="00687DE8" w:rsidRDefault="00976487" w:rsidP="00976487">
      <w:pPr>
        <w:spacing w:after="0" w:line="240" w:lineRule="auto"/>
        <w:jc w:val="both"/>
        <w:divId w:val="1316184749"/>
        <w:rPr>
          <w:szCs w:val="24"/>
        </w:rPr>
      </w:pPr>
      <w:r w:rsidRPr="00687DE8">
        <w:rPr>
          <w:szCs w:val="24"/>
        </w:rPr>
        <w:t>5)</w:t>
      </w:r>
      <w:r w:rsidR="000336C3" w:rsidRPr="00687DE8">
        <w:rPr>
          <w:szCs w:val="24"/>
        </w:rPr>
        <w:t xml:space="preserve"> </w:t>
      </w:r>
      <w:r w:rsidR="005E1781" w:rsidRPr="00687DE8">
        <w:rPr>
          <w:szCs w:val="24"/>
        </w:rPr>
        <w:t xml:space="preserve">tegevusvõimet </w:t>
      </w:r>
      <w:r w:rsidR="00BB58F9" w:rsidRPr="00687DE8">
        <w:rPr>
          <w:szCs w:val="24"/>
        </w:rPr>
        <w:t xml:space="preserve">toetavate </w:t>
      </w:r>
      <w:r w:rsidR="00F07817" w:rsidRPr="00687DE8">
        <w:rPr>
          <w:szCs w:val="24"/>
        </w:rPr>
        <w:t xml:space="preserve">keskkonnakohanduste </w:t>
      </w:r>
      <w:r w:rsidR="000A4FE6" w:rsidRPr="00687DE8">
        <w:rPr>
          <w:szCs w:val="24"/>
        </w:rPr>
        <w:t>planeerimine ja soovitamine</w:t>
      </w:r>
      <w:r w:rsidRPr="00687DE8">
        <w:rPr>
          <w:szCs w:val="24"/>
        </w:rPr>
        <w:t>;</w:t>
      </w:r>
    </w:p>
    <w:p w14:paraId="0C31652D" w14:textId="77777777" w:rsidR="00976487" w:rsidRPr="00687DE8" w:rsidRDefault="00976487" w:rsidP="00976487">
      <w:pPr>
        <w:spacing w:after="0" w:line="240" w:lineRule="auto"/>
        <w:jc w:val="both"/>
        <w:divId w:val="1316184749"/>
        <w:rPr>
          <w:szCs w:val="24"/>
        </w:rPr>
      </w:pPr>
      <w:r w:rsidRPr="00687DE8">
        <w:rPr>
          <w:szCs w:val="24"/>
        </w:rPr>
        <w:t>6) individuaalsete ortooside valmistamine</w:t>
      </w:r>
      <w:r w:rsidR="006C4166" w:rsidRPr="00687DE8">
        <w:rPr>
          <w:szCs w:val="24"/>
        </w:rPr>
        <w:t xml:space="preserve"> ja kohandamine</w:t>
      </w:r>
      <w:r w:rsidRPr="00687DE8">
        <w:rPr>
          <w:szCs w:val="24"/>
        </w:rPr>
        <w:t>;</w:t>
      </w:r>
    </w:p>
    <w:p w14:paraId="5E033481" w14:textId="77777777" w:rsidR="00976487" w:rsidRPr="00687DE8" w:rsidRDefault="00976487" w:rsidP="00976487">
      <w:pPr>
        <w:spacing w:after="0" w:line="240" w:lineRule="auto"/>
        <w:jc w:val="both"/>
        <w:divId w:val="1316184749"/>
        <w:rPr>
          <w:szCs w:val="24"/>
        </w:rPr>
      </w:pPr>
      <w:r w:rsidRPr="00687DE8">
        <w:rPr>
          <w:szCs w:val="24"/>
        </w:rPr>
        <w:t>7) tegevusvõimealane juhendamine ja nõustamine;</w:t>
      </w:r>
    </w:p>
    <w:p w14:paraId="3C022BCE" w14:textId="77777777" w:rsidR="00976487" w:rsidRPr="00687DE8" w:rsidRDefault="00976487" w:rsidP="00976487">
      <w:pPr>
        <w:spacing w:after="0" w:line="240" w:lineRule="auto"/>
        <w:jc w:val="both"/>
        <w:divId w:val="1316184749"/>
        <w:rPr>
          <w:szCs w:val="24"/>
        </w:rPr>
      </w:pPr>
      <w:r w:rsidRPr="00687DE8">
        <w:rPr>
          <w:szCs w:val="24"/>
        </w:rPr>
        <w:t>8) teenuste osutamist tõendavate dokumentide vormistamine ning patsiendile tervishoiuteenuse osutamisega seotud andmete töötlemine tervise infosüsteemis.</w:t>
      </w:r>
    </w:p>
    <w:p w14:paraId="3A5749BD" w14:textId="77777777" w:rsidR="00976487" w:rsidRPr="00687DE8" w:rsidRDefault="00976487" w:rsidP="00976487">
      <w:pPr>
        <w:spacing w:after="0" w:line="240" w:lineRule="auto"/>
        <w:jc w:val="both"/>
        <w:divId w:val="1316184749"/>
        <w:rPr>
          <w:szCs w:val="24"/>
        </w:rPr>
      </w:pPr>
    </w:p>
    <w:p w14:paraId="41B4B193" w14:textId="7E69691E" w:rsidR="00976487" w:rsidRPr="00687DE8" w:rsidRDefault="00976487" w:rsidP="00AF3750">
      <w:pPr>
        <w:spacing w:after="0" w:line="240" w:lineRule="auto"/>
        <w:jc w:val="both"/>
        <w:divId w:val="1316184749"/>
        <w:rPr>
          <w:szCs w:val="24"/>
        </w:rPr>
      </w:pPr>
      <w:r w:rsidRPr="00687DE8">
        <w:rPr>
          <w:szCs w:val="24"/>
        </w:rPr>
        <w:t>(</w:t>
      </w:r>
      <w:r w:rsidR="009523D1">
        <w:rPr>
          <w:szCs w:val="24"/>
        </w:rPr>
        <w:t>15</w:t>
      </w:r>
      <w:r w:rsidRPr="00687DE8">
        <w:rPr>
          <w:szCs w:val="24"/>
        </w:rPr>
        <w:t xml:space="preserve">) Füsioteraapia (koodid 7050, 7052, </w:t>
      </w:r>
      <w:r w:rsidR="38CA60F8">
        <w:t xml:space="preserve">7055, </w:t>
      </w:r>
      <w:r w:rsidRPr="00687DE8">
        <w:rPr>
          <w:szCs w:val="24"/>
        </w:rPr>
        <w:t xml:space="preserve">7056, 7057, 7060, </w:t>
      </w:r>
      <w:r w:rsidR="00756E44" w:rsidRPr="00687DE8">
        <w:rPr>
          <w:szCs w:val="24"/>
        </w:rPr>
        <w:t>7065,</w:t>
      </w:r>
      <w:r w:rsidR="00B01383" w:rsidRPr="00687DE8">
        <w:rPr>
          <w:szCs w:val="24"/>
        </w:rPr>
        <w:t xml:space="preserve"> </w:t>
      </w:r>
      <w:r w:rsidR="00B349F9" w:rsidRPr="00687DE8">
        <w:rPr>
          <w:szCs w:val="24"/>
        </w:rPr>
        <w:t>7075</w:t>
      </w:r>
      <w:r w:rsidR="003A7DBF" w:rsidRPr="00687DE8">
        <w:rPr>
          <w:szCs w:val="24"/>
        </w:rPr>
        <w:t xml:space="preserve">, </w:t>
      </w:r>
      <w:r w:rsidR="00B349F9" w:rsidRPr="00687DE8">
        <w:rPr>
          <w:szCs w:val="24"/>
        </w:rPr>
        <w:t>7076</w:t>
      </w:r>
      <w:r w:rsidR="003A7DBF" w:rsidRPr="00687DE8">
        <w:rPr>
          <w:szCs w:val="24"/>
        </w:rPr>
        <w:t xml:space="preserve">, </w:t>
      </w:r>
      <w:r w:rsidR="00B349F9" w:rsidRPr="00687DE8">
        <w:rPr>
          <w:szCs w:val="24"/>
        </w:rPr>
        <w:t>7077</w:t>
      </w:r>
      <w:r w:rsidR="4C0997A3" w:rsidRPr="00687DE8">
        <w:rPr>
          <w:szCs w:val="24"/>
        </w:rPr>
        <w:t xml:space="preserve"> ja</w:t>
      </w:r>
      <w:r w:rsidR="003A7DBF" w:rsidRPr="00687DE8">
        <w:rPr>
          <w:szCs w:val="24"/>
        </w:rPr>
        <w:t xml:space="preserve"> </w:t>
      </w:r>
      <w:r w:rsidR="00756E44" w:rsidRPr="00687DE8">
        <w:rPr>
          <w:szCs w:val="24"/>
        </w:rPr>
        <w:t>7067</w:t>
      </w:r>
      <w:r w:rsidRPr="00687DE8">
        <w:rPr>
          <w:szCs w:val="24"/>
        </w:rPr>
        <w:t xml:space="preserve">) piirhind sisaldab </w:t>
      </w:r>
      <w:r w:rsidR="00C0302D">
        <w:rPr>
          <w:szCs w:val="24"/>
        </w:rPr>
        <w:t xml:space="preserve">aktiivset ravisekkumist </w:t>
      </w:r>
      <w:r w:rsidR="004D3AC0">
        <w:rPr>
          <w:szCs w:val="24"/>
        </w:rPr>
        <w:t>ja</w:t>
      </w:r>
      <w:r w:rsidR="00C0302D">
        <w:rPr>
          <w:szCs w:val="24"/>
        </w:rPr>
        <w:t xml:space="preserve"> </w:t>
      </w:r>
      <w:r w:rsidRPr="00687DE8">
        <w:rPr>
          <w:szCs w:val="24"/>
        </w:rPr>
        <w:t>järgmisi tegevusi:</w:t>
      </w:r>
    </w:p>
    <w:p w14:paraId="4C0D2D0B" w14:textId="77777777" w:rsidR="00976487" w:rsidRPr="00687DE8" w:rsidRDefault="00976487" w:rsidP="00976487">
      <w:pPr>
        <w:spacing w:after="0" w:line="240" w:lineRule="auto"/>
        <w:jc w:val="both"/>
        <w:divId w:val="1316184749"/>
        <w:rPr>
          <w:szCs w:val="24"/>
        </w:rPr>
      </w:pPr>
      <w:r w:rsidRPr="00687DE8">
        <w:rPr>
          <w:szCs w:val="24"/>
        </w:rPr>
        <w:t>1) füsioterapeutiline hindamine;</w:t>
      </w:r>
    </w:p>
    <w:p w14:paraId="3085D444" w14:textId="77777777" w:rsidR="00976487" w:rsidRPr="00687DE8" w:rsidRDefault="00976487" w:rsidP="00976487">
      <w:pPr>
        <w:spacing w:after="0" w:line="240" w:lineRule="auto"/>
        <w:jc w:val="both"/>
        <w:divId w:val="1316184749"/>
        <w:rPr>
          <w:szCs w:val="24"/>
        </w:rPr>
      </w:pPr>
      <w:r w:rsidRPr="00687DE8">
        <w:rPr>
          <w:szCs w:val="24"/>
        </w:rPr>
        <w:t>2) füsioterapeutilise diagnoosi määramine;</w:t>
      </w:r>
    </w:p>
    <w:p w14:paraId="192D034E" w14:textId="77777777" w:rsidR="00976487" w:rsidRPr="00687DE8" w:rsidRDefault="00976487" w:rsidP="00976487">
      <w:pPr>
        <w:spacing w:after="0" w:line="240" w:lineRule="auto"/>
        <w:jc w:val="both"/>
        <w:divId w:val="1316184749"/>
        <w:rPr>
          <w:szCs w:val="24"/>
        </w:rPr>
      </w:pPr>
      <w:r w:rsidRPr="00687DE8">
        <w:rPr>
          <w:szCs w:val="24"/>
        </w:rPr>
        <w:t>3) füsioteraapia planeerimine;</w:t>
      </w:r>
    </w:p>
    <w:p w14:paraId="6EE48F90" w14:textId="77777777" w:rsidR="00976487" w:rsidRPr="00687DE8" w:rsidRDefault="00976487" w:rsidP="00976487">
      <w:pPr>
        <w:spacing w:after="0" w:line="240" w:lineRule="auto"/>
        <w:jc w:val="both"/>
        <w:divId w:val="1316184749"/>
        <w:rPr>
          <w:szCs w:val="24"/>
        </w:rPr>
      </w:pPr>
      <w:r w:rsidRPr="00687DE8">
        <w:rPr>
          <w:szCs w:val="24"/>
        </w:rPr>
        <w:t>4) füsioteraapia tegevuste tegemine;</w:t>
      </w:r>
    </w:p>
    <w:p w14:paraId="51648B69" w14:textId="77777777" w:rsidR="0085641F" w:rsidRPr="00687DE8" w:rsidRDefault="0085641F" w:rsidP="00976487">
      <w:pPr>
        <w:spacing w:after="0" w:line="240" w:lineRule="auto"/>
        <w:jc w:val="both"/>
        <w:divId w:val="1316184749"/>
        <w:rPr>
          <w:szCs w:val="24"/>
        </w:rPr>
      </w:pPr>
      <w:r w:rsidRPr="00687DE8">
        <w:rPr>
          <w:szCs w:val="24"/>
        </w:rPr>
        <w:t xml:space="preserve">5) </w:t>
      </w:r>
      <w:r w:rsidR="00824D4D" w:rsidRPr="00687DE8">
        <w:rPr>
          <w:szCs w:val="24"/>
        </w:rPr>
        <w:t xml:space="preserve">füsioterapeutiliste tegevuste </w:t>
      </w:r>
      <w:r w:rsidR="006C0C2B" w:rsidRPr="00687DE8">
        <w:rPr>
          <w:szCs w:val="24"/>
        </w:rPr>
        <w:t xml:space="preserve">tulemuste </w:t>
      </w:r>
      <w:r w:rsidR="00F43930" w:rsidRPr="00687DE8">
        <w:rPr>
          <w:szCs w:val="24"/>
        </w:rPr>
        <w:t>hindamine ja dokumenteerimine;</w:t>
      </w:r>
    </w:p>
    <w:p w14:paraId="19451DFA" w14:textId="77777777" w:rsidR="00976487" w:rsidRPr="00687DE8" w:rsidRDefault="00F43930" w:rsidP="00976487">
      <w:pPr>
        <w:spacing w:after="0" w:line="240" w:lineRule="auto"/>
        <w:jc w:val="both"/>
        <w:divId w:val="1316184749"/>
        <w:rPr>
          <w:szCs w:val="24"/>
        </w:rPr>
      </w:pPr>
      <w:r w:rsidRPr="00687DE8">
        <w:rPr>
          <w:szCs w:val="24"/>
        </w:rPr>
        <w:lastRenderedPageBreak/>
        <w:t>6</w:t>
      </w:r>
      <w:r w:rsidR="00976487" w:rsidRPr="00687DE8">
        <w:rPr>
          <w:szCs w:val="24"/>
        </w:rPr>
        <w:t>) teenuste osutamist tõendavate dokumentide vormistamine ning patsiendile tervishoiuteenuse osutamisega seotud andmete töötlemine tervise infosüsteemis.</w:t>
      </w:r>
    </w:p>
    <w:p w14:paraId="0B9BC9B4" w14:textId="77777777" w:rsidR="008842FD" w:rsidRPr="00687DE8" w:rsidRDefault="008842FD" w:rsidP="00976487">
      <w:pPr>
        <w:spacing w:after="0" w:line="240" w:lineRule="auto"/>
        <w:jc w:val="both"/>
        <w:divId w:val="1316184749"/>
        <w:rPr>
          <w:szCs w:val="24"/>
        </w:rPr>
      </w:pPr>
    </w:p>
    <w:p w14:paraId="7295B59C" w14:textId="11D48222" w:rsidR="008842FD" w:rsidRPr="00687DE8" w:rsidRDefault="008842FD" w:rsidP="00976487">
      <w:pPr>
        <w:spacing w:after="0" w:line="240" w:lineRule="auto"/>
        <w:jc w:val="both"/>
        <w:divId w:val="1316184749"/>
        <w:rPr>
          <w:szCs w:val="24"/>
        </w:rPr>
      </w:pPr>
      <w:r w:rsidRPr="00687DE8">
        <w:rPr>
          <w:szCs w:val="24"/>
        </w:rPr>
        <w:t>(</w:t>
      </w:r>
      <w:r w:rsidR="009523D1">
        <w:rPr>
          <w:szCs w:val="24"/>
        </w:rPr>
        <w:t>16</w:t>
      </w:r>
      <w:r w:rsidRPr="00687DE8">
        <w:rPr>
          <w:szCs w:val="24"/>
        </w:rPr>
        <w:t xml:space="preserve">) </w:t>
      </w:r>
      <w:r w:rsidR="00780163">
        <w:t>Koodi</w:t>
      </w:r>
      <w:r w:rsidR="4E6B46F9">
        <w:t>de</w:t>
      </w:r>
      <w:r w:rsidR="00780163">
        <w:t>ga</w:t>
      </w:r>
      <w:r w:rsidR="00780163" w:rsidRPr="00687DE8">
        <w:rPr>
          <w:szCs w:val="24"/>
        </w:rPr>
        <w:t xml:space="preserve"> </w:t>
      </w:r>
      <w:r w:rsidR="009302EE" w:rsidRPr="00687DE8">
        <w:rPr>
          <w:szCs w:val="24"/>
        </w:rPr>
        <w:t>7050</w:t>
      </w:r>
      <w:r w:rsidR="009302EE">
        <w:t xml:space="preserve"> </w:t>
      </w:r>
      <w:r w:rsidR="4AF8F87E">
        <w:t>ja 7055</w:t>
      </w:r>
      <w:r w:rsidR="009302EE" w:rsidRPr="00687DE8">
        <w:rPr>
          <w:szCs w:val="24"/>
        </w:rPr>
        <w:t xml:space="preserve"> </w:t>
      </w:r>
      <w:r w:rsidR="0086304E" w:rsidRPr="00687DE8">
        <w:rPr>
          <w:szCs w:val="24"/>
        </w:rPr>
        <w:t xml:space="preserve">tähistatud </w:t>
      </w:r>
      <w:r w:rsidR="1C6D2D00">
        <w:t>tervishoiu</w:t>
      </w:r>
      <w:r w:rsidR="38CDCF86">
        <w:t>teenus</w:t>
      </w:r>
      <w:r w:rsidR="0B2C9925">
        <w:t>ed</w:t>
      </w:r>
      <w:r w:rsidR="38CDCF86">
        <w:t xml:space="preserve"> </w:t>
      </w:r>
      <w:r w:rsidR="6BA95284">
        <w:t>sisalda</w:t>
      </w:r>
      <w:r w:rsidR="6ED67202">
        <w:t>vad</w:t>
      </w:r>
      <w:r w:rsidR="00071F1A" w:rsidRPr="00687DE8">
        <w:rPr>
          <w:szCs w:val="24"/>
        </w:rPr>
        <w:t xml:space="preserve"> </w:t>
      </w:r>
      <w:r w:rsidR="00F06588" w:rsidRPr="00687DE8">
        <w:rPr>
          <w:szCs w:val="24"/>
        </w:rPr>
        <w:t>füsioteraapia</w:t>
      </w:r>
      <w:r w:rsidR="00F60E74" w:rsidRPr="00687DE8">
        <w:rPr>
          <w:szCs w:val="24"/>
        </w:rPr>
        <w:t>teenuse</w:t>
      </w:r>
      <w:r w:rsidR="00F06588" w:rsidRPr="00687DE8">
        <w:rPr>
          <w:szCs w:val="24"/>
        </w:rPr>
        <w:t xml:space="preserve"> osutamise</w:t>
      </w:r>
      <w:r w:rsidR="000E3C60" w:rsidRPr="00687DE8">
        <w:rPr>
          <w:szCs w:val="24"/>
        </w:rPr>
        <w:t>l</w:t>
      </w:r>
      <w:r w:rsidR="00F06588" w:rsidRPr="00687DE8">
        <w:rPr>
          <w:szCs w:val="24"/>
        </w:rPr>
        <w:t xml:space="preserve"> </w:t>
      </w:r>
      <w:r w:rsidR="00E26A97" w:rsidRPr="00687DE8">
        <w:rPr>
          <w:szCs w:val="24"/>
        </w:rPr>
        <w:t xml:space="preserve">kasutatavate </w:t>
      </w:r>
      <w:r w:rsidR="00E52513" w:rsidRPr="00687DE8">
        <w:rPr>
          <w:szCs w:val="24"/>
        </w:rPr>
        <w:t>füüsikalise ravi seadmete maksumust.</w:t>
      </w:r>
    </w:p>
    <w:p w14:paraId="74651CDA" w14:textId="77777777" w:rsidR="00976487" w:rsidRPr="00687DE8" w:rsidRDefault="00976487" w:rsidP="00976487">
      <w:pPr>
        <w:spacing w:after="0" w:line="240" w:lineRule="auto"/>
        <w:jc w:val="both"/>
        <w:divId w:val="1316184749"/>
        <w:rPr>
          <w:szCs w:val="24"/>
        </w:rPr>
      </w:pPr>
    </w:p>
    <w:p w14:paraId="6610C8B6" w14:textId="22E30AA7" w:rsidR="00976487" w:rsidRPr="00687DE8" w:rsidRDefault="00976487" w:rsidP="00976487">
      <w:pPr>
        <w:spacing w:after="0" w:line="240" w:lineRule="auto"/>
        <w:jc w:val="both"/>
        <w:divId w:val="1316184749"/>
        <w:rPr>
          <w:szCs w:val="24"/>
        </w:rPr>
      </w:pPr>
      <w:r w:rsidRPr="00687DE8">
        <w:rPr>
          <w:szCs w:val="24"/>
        </w:rPr>
        <w:t>(</w:t>
      </w:r>
      <w:r w:rsidR="009523D1">
        <w:rPr>
          <w:szCs w:val="24"/>
        </w:rPr>
        <w:t>17</w:t>
      </w:r>
      <w:r w:rsidRPr="00687DE8">
        <w:rPr>
          <w:szCs w:val="24"/>
        </w:rPr>
        <w:t xml:space="preserve">) </w:t>
      </w:r>
      <w:r w:rsidR="00AF3750" w:rsidRPr="00687DE8">
        <w:rPr>
          <w:szCs w:val="24"/>
        </w:rPr>
        <w:t>L</w:t>
      </w:r>
      <w:r w:rsidRPr="00687DE8">
        <w:rPr>
          <w:szCs w:val="24"/>
        </w:rPr>
        <w:t xml:space="preserve">õikes </w:t>
      </w:r>
      <w:r w:rsidR="00802D34" w:rsidRPr="00687DE8">
        <w:rPr>
          <w:szCs w:val="24"/>
        </w:rPr>
        <w:t>1</w:t>
      </w:r>
      <w:r w:rsidR="00DC3991">
        <w:rPr>
          <w:szCs w:val="24"/>
        </w:rPr>
        <w:t>3</w:t>
      </w:r>
      <w:r w:rsidRPr="00687DE8">
        <w:rPr>
          <w:szCs w:val="24"/>
        </w:rPr>
        <w:t xml:space="preserve"> sätestatud tervishoiuteenuste piirhindade rakendamisel lähtutakse järgmistest tingimustest:</w:t>
      </w:r>
    </w:p>
    <w:p w14:paraId="2CF0CF27" w14:textId="77777777" w:rsidR="00976487" w:rsidRPr="00687DE8" w:rsidRDefault="00976487" w:rsidP="00976487">
      <w:pPr>
        <w:spacing w:after="0" w:line="240" w:lineRule="auto"/>
        <w:jc w:val="both"/>
        <w:divId w:val="1316184749"/>
        <w:rPr>
          <w:szCs w:val="24"/>
        </w:rPr>
      </w:pPr>
      <w:r w:rsidRPr="00687DE8">
        <w:rPr>
          <w:szCs w:val="24"/>
        </w:rPr>
        <w:t>1) koodiga 7011 tähistatud tervishoiuteenuse piirhinda rakendatakse ühele haigele 20 protseduuri poolaastas;</w:t>
      </w:r>
    </w:p>
    <w:p w14:paraId="2D47C743" w14:textId="77777777" w:rsidR="00976487" w:rsidRPr="00687DE8" w:rsidRDefault="00976487" w:rsidP="00976487">
      <w:pPr>
        <w:spacing w:after="0" w:line="240" w:lineRule="auto"/>
        <w:jc w:val="both"/>
        <w:divId w:val="1316184749"/>
        <w:rPr>
          <w:szCs w:val="24"/>
        </w:rPr>
      </w:pPr>
      <w:r w:rsidRPr="00687DE8">
        <w:rPr>
          <w:szCs w:val="24"/>
        </w:rPr>
        <w:t>2) koodidega 7053, 7054</w:t>
      </w:r>
      <w:r w:rsidR="00A43FB6" w:rsidRPr="00687DE8">
        <w:rPr>
          <w:szCs w:val="24"/>
        </w:rPr>
        <w:t xml:space="preserve">, </w:t>
      </w:r>
      <w:r w:rsidR="00111AD8" w:rsidRPr="00687DE8">
        <w:rPr>
          <w:szCs w:val="24"/>
        </w:rPr>
        <w:t>7061,</w:t>
      </w:r>
      <w:r w:rsidR="00A43FB6" w:rsidRPr="00687DE8">
        <w:rPr>
          <w:szCs w:val="24"/>
        </w:rPr>
        <w:t xml:space="preserve"> 7068</w:t>
      </w:r>
      <w:r w:rsidR="00776F11" w:rsidRPr="00687DE8">
        <w:rPr>
          <w:szCs w:val="24"/>
        </w:rPr>
        <w:t>,</w:t>
      </w:r>
      <w:r w:rsidR="00111AD8" w:rsidRPr="00687DE8">
        <w:rPr>
          <w:szCs w:val="24"/>
        </w:rPr>
        <w:t xml:space="preserve"> </w:t>
      </w:r>
      <w:r w:rsidR="00A43FB6" w:rsidRPr="00687DE8">
        <w:rPr>
          <w:szCs w:val="24"/>
        </w:rPr>
        <w:t>7069</w:t>
      </w:r>
      <w:r w:rsidR="00776F11" w:rsidRPr="00687DE8">
        <w:rPr>
          <w:szCs w:val="24"/>
        </w:rPr>
        <w:t xml:space="preserve"> ja 7078</w:t>
      </w:r>
      <w:r w:rsidRPr="00687DE8">
        <w:rPr>
          <w:szCs w:val="24"/>
        </w:rPr>
        <w:t xml:space="preserve"> tähistatud tervishoiuteenuste piirhinda rakendatakse, kui teenust osutab tegevusterapeut;</w:t>
      </w:r>
    </w:p>
    <w:p w14:paraId="35B422BE" w14:textId="07EFAD86" w:rsidR="00976487" w:rsidRPr="00687DE8" w:rsidRDefault="00D03AA6" w:rsidP="00976487">
      <w:pPr>
        <w:spacing w:after="0" w:line="240" w:lineRule="auto"/>
        <w:jc w:val="both"/>
        <w:divId w:val="1316184749"/>
        <w:rPr>
          <w:szCs w:val="24"/>
        </w:rPr>
      </w:pPr>
      <w:r w:rsidRPr="00687DE8">
        <w:rPr>
          <w:szCs w:val="24"/>
        </w:rPr>
        <w:t>3</w:t>
      </w:r>
      <w:r w:rsidR="00976487" w:rsidRPr="00687DE8">
        <w:rPr>
          <w:szCs w:val="24"/>
        </w:rPr>
        <w:t xml:space="preserve">) koodidega 7050, 7052, </w:t>
      </w:r>
      <w:r w:rsidR="00083D27">
        <w:rPr>
          <w:szCs w:val="24"/>
        </w:rPr>
        <w:t xml:space="preserve">7055, </w:t>
      </w:r>
      <w:r w:rsidR="00976487" w:rsidRPr="00687DE8">
        <w:rPr>
          <w:szCs w:val="24"/>
        </w:rPr>
        <w:t>7056, 7057</w:t>
      </w:r>
      <w:r w:rsidR="00F56571" w:rsidRPr="00687DE8">
        <w:rPr>
          <w:szCs w:val="24"/>
        </w:rPr>
        <w:t xml:space="preserve">, </w:t>
      </w:r>
      <w:r w:rsidR="00B362F7" w:rsidRPr="00687DE8">
        <w:rPr>
          <w:szCs w:val="24"/>
        </w:rPr>
        <w:t>7060,</w:t>
      </w:r>
      <w:r w:rsidR="00F56571" w:rsidRPr="00687DE8">
        <w:rPr>
          <w:szCs w:val="24"/>
        </w:rPr>
        <w:t xml:space="preserve"> 7065</w:t>
      </w:r>
      <w:r w:rsidR="006570FE" w:rsidRPr="00687DE8">
        <w:rPr>
          <w:szCs w:val="24"/>
        </w:rPr>
        <w:t>,</w:t>
      </w:r>
      <w:r w:rsidR="00B362F7" w:rsidRPr="00687DE8">
        <w:rPr>
          <w:szCs w:val="24"/>
        </w:rPr>
        <w:t xml:space="preserve"> </w:t>
      </w:r>
      <w:r w:rsidR="00F56571" w:rsidRPr="00687DE8">
        <w:rPr>
          <w:szCs w:val="24"/>
        </w:rPr>
        <w:t>7067</w:t>
      </w:r>
      <w:r w:rsidR="006570FE" w:rsidRPr="00687DE8">
        <w:rPr>
          <w:szCs w:val="24"/>
        </w:rPr>
        <w:t xml:space="preserve">, </w:t>
      </w:r>
      <w:r w:rsidR="00176D4E" w:rsidRPr="00687DE8">
        <w:rPr>
          <w:szCs w:val="24"/>
        </w:rPr>
        <w:t xml:space="preserve">7075, </w:t>
      </w:r>
      <w:r w:rsidR="006A1246" w:rsidRPr="00687DE8">
        <w:rPr>
          <w:szCs w:val="24"/>
        </w:rPr>
        <w:t>7076 ja 7077</w:t>
      </w:r>
      <w:r w:rsidR="00F56571" w:rsidRPr="00687DE8">
        <w:rPr>
          <w:szCs w:val="24"/>
        </w:rPr>
        <w:t xml:space="preserve"> </w:t>
      </w:r>
      <w:r w:rsidR="00976487" w:rsidRPr="00687DE8">
        <w:rPr>
          <w:szCs w:val="24"/>
        </w:rPr>
        <w:t>tähistatud tervishoiuteenuste piirhinda rakendatakse, kui teenust osutab füsioterapeut;</w:t>
      </w:r>
    </w:p>
    <w:p w14:paraId="5AA59ED9" w14:textId="04F0A1CA" w:rsidR="00976487" w:rsidRPr="00687DE8" w:rsidRDefault="00D03AA6" w:rsidP="00976487">
      <w:pPr>
        <w:spacing w:after="0" w:line="240" w:lineRule="auto"/>
        <w:jc w:val="both"/>
        <w:divId w:val="1316184749"/>
        <w:rPr>
          <w:szCs w:val="24"/>
        </w:rPr>
      </w:pPr>
      <w:r w:rsidRPr="00687DE8">
        <w:rPr>
          <w:szCs w:val="24"/>
        </w:rPr>
        <w:t>4</w:t>
      </w:r>
      <w:r w:rsidR="00976487" w:rsidRPr="00687DE8">
        <w:rPr>
          <w:szCs w:val="24"/>
        </w:rPr>
        <w:t xml:space="preserve">) koodidega 7050, 7052, </w:t>
      </w:r>
      <w:r w:rsidR="00083D27">
        <w:rPr>
          <w:szCs w:val="24"/>
        </w:rPr>
        <w:t xml:space="preserve">7055, </w:t>
      </w:r>
      <w:r w:rsidR="00976487" w:rsidRPr="00687DE8">
        <w:rPr>
          <w:szCs w:val="24"/>
        </w:rPr>
        <w:t>7056</w:t>
      </w:r>
      <w:r w:rsidR="00C47AC9" w:rsidRPr="00687DE8">
        <w:rPr>
          <w:szCs w:val="24"/>
        </w:rPr>
        <w:t>,</w:t>
      </w:r>
      <w:r w:rsidR="00976487" w:rsidRPr="00687DE8">
        <w:rPr>
          <w:szCs w:val="24"/>
        </w:rPr>
        <w:t xml:space="preserve"> 7057</w:t>
      </w:r>
      <w:r w:rsidR="00C47AC9" w:rsidRPr="00687DE8">
        <w:rPr>
          <w:szCs w:val="24"/>
        </w:rPr>
        <w:t xml:space="preserve">, </w:t>
      </w:r>
      <w:r w:rsidR="00A80D2B" w:rsidRPr="00687DE8">
        <w:rPr>
          <w:szCs w:val="24"/>
        </w:rPr>
        <w:t>7065 ja 7067</w:t>
      </w:r>
      <w:r w:rsidR="00976487" w:rsidRPr="00687DE8">
        <w:rPr>
          <w:szCs w:val="24"/>
        </w:rPr>
        <w:t xml:space="preserve"> tähistatud tervishoiuteenuste piirhinda ei rakendata monoteraapiana massaaži või füüsikalise ravi protseduuride tegemise korral;</w:t>
      </w:r>
    </w:p>
    <w:p w14:paraId="1ECBE425" w14:textId="2588293B" w:rsidR="00976487" w:rsidRPr="00687DE8" w:rsidRDefault="00E33FAE" w:rsidP="00976487">
      <w:pPr>
        <w:spacing w:after="0" w:line="240" w:lineRule="auto"/>
        <w:jc w:val="both"/>
        <w:divId w:val="1316184749"/>
      </w:pPr>
      <w:r>
        <w:t>5</w:t>
      </w:r>
      <w:r w:rsidR="00976487">
        <w:t>) koodiga 7058 tähistatud tervishoiuteenust rakendatakse taastusarsti, kirurgi</w:t>
      </w:r>
      <w:r w:rsidR="0657BC7D">
        <w:t xml:space="preserve">, </w:t>
      </w:r>
      <w:r w:rsidR="00976487">
        <w:t>onkoloogi</w:t>
      </w:r>
      <w:r w:rsidR="1AB86BE3">
        <w:t xml:space="preserve"> või</w:t>
      </w:r>
      <w:r w:rsidR="27B1797F">
        <w:t xml:space="preserve"> dermato</w:t>
      </w:r>
      <w:r w:rsidR="00D07CA2">
        <w:t>venero</w:t>
      </w:r>
      <w:r w:rsidR="27B1797F">
        <w:t xml:space="preserve">loogi suunamisel </w:t>
      </w:r>
      <w:r w:rsidR="00976487">
        <w:t>järgmistel juhtudel: primaarne lümfiturse, sekundaarne lümfiturse või III staadiumi lipödeem;</w:t>
      </w:r>
    </w:p>
    <w:p w14:paraId="6C5F32BB" w14:textId="73A291A0" w:rsidR="7F5DD2B9" w:rsidRPr="006E584D" w:rsidRDefault="0A2B0B7B" w:rsidP="7F5DD2B9">
      <w:pPr>
        <w:spacing w:after="0" w:line="240" w:lineRule="auto"/>
        <w:jc w:val="both"/>
        <w:rPr>
          <w:color w:val="333333"/>
        </w:rPr>
      </w:pPr>
      <w:r>
        <w:t>6)</w:t>
      </w:r>
      <w:r w:rsidR="057E1314">
        <w:t xml:space="preserve"> </w:t>
      </w:r>
      <w:r w:rsidR="057E1314" w:rsidRPr="00973E1E">
        <w:t>koodiga 7058 tähistatud tervishoiuteenust rakendatakse perearsti suunamisel juhul, kui teenust on var</w:t>
      </w:r>
      <w:r w:rsidR="00BB3788" w:rsidRPr="00973E1E">
        <w:t>em</w:t>
      </w:r>
      <w:r w:rsidR="057E1314" w:rsidRPr="00973E1E">
        <w:t xml:space="preserve"> rakendatud punktis 5 nimetatud </w:t>
      </w:r>
      <w:r w:rsidR="3E88641F" w:rsidRPr="00973E1E">
        <w:t>tingimustel</w:t>
      </w:r>
      <w:r w:rsidR="057E1314" w:rsidRPr="00973E1E">
        <w:t>;</w:t>
      </w:r>
    </w:p>
    <w:p w14:paraId="0EFC15D8" w14:textId="3EB9951F" w:rsidR="001D60DD" w:rsidRPr="00687DE8" w:rsidRDefault="0A2B0B7B" w:rsidP="00976487">
      <w:pPr>
        <w:spacing w:after="0" w:line="240" w:lineRule="auto"/>
        <w:jc w:val="both"/>
        <w:divId w:val="1316184749"/>
      </w:pPr>
      <w:r>
        <w:t>7</w:t>
      </w:r>
      <w:r w:rsidR="004B3454">
        <w:t xml:space="preserve">) koodiga 7058 tähistatud </w:t>
      </w:r>
      <w:r w:rsidR="00B91691">
        <w:t>tervishoiuteenus</w:t>
      </w:r>
      <w:r w:rsidR="00173DC1">
        <w:t xml:space="preserve">e </w:t>
      </w:r>
      <w:r w:rsidDel="00173DC1">
        <w:t>pi</w:t>
      </w:r>
      <w:r w:rsidR="00C535BC">
        <w:t>i</w:t>
      </w:r>
      <w:r w:rsidR="00173DC1">
        <w:t xml:space="preserve">rhinnale </w:t>
      </w:r>
      <w:r w:rsidR="00702529">
        <w:t xml:space="preserve">rakendatakse koefitsienti </w:t>
      </w:r>
      <w:r w:rsidR="00156457">
        <w:t>1,5</w:t>
      </w:r>
      <w:r w:rsidR="005D757F">
        <w:t xml:space="preserve">, kui teenust </w:t>
      </w:r>
      <w:r w:rsidR="00AA2A15">
        <w:t xml:space="preserve">osutatakse </w:t>
      </w:r>
      <w:r w:rsidR="00273206">
        <w:t xml:space="preserve">enam </w:t>
      </w:r>
      <w:r w:rsidR="00641FEE">
        <w:t>kui ühe</w:t>
      </w:r>
      <w:r w:rsidR="008B6FC8">
        <w:t>s</w:t>
      </w:r>
      <w:r w:rsidR="00641FEE">
        <w:t xml:space="preserve"> anatoomilise</w:t>
      </w:r>
      <w:r w:rsidR="008B6FC8">
        <w:t>s</w:t>
      </w:r>
      <w:r w:rsidR="00641FEE">
        <w:t xml:space="preserve"> piirkonna</w:t>
      </w:r>
      <w:r w:rsidR="008B6FC8">
        <w:t>s. Anatoomiliseks piirkonnaks loetakse ülajäs</w:t>
      </w:r>
      <w:r w:rsidR="00ED43C7">
        <w:t>et</w:t>
      </w:r>
      <w:r w:rsidR="008B6FC8">
        <w:t>, alajäs</w:t>
      </w:r>
      <w:r w:rsidR="00ED43C7">
        <w:t>et</w:t>
      </w:r>
      <w:r w:rsidR="008B6FC8">
        <w:t xml:space="preserve"> ja näo</w:t>
      </w:r>
      <w:r w:rsidR="00415C0D">
        <w:t>-kaelapiirkonda</w:t>
      </w:r>
      <w:r w:rsidR="00263094">
        <w:t>;</w:t>
      </w:r>
    </w:p>
    <w:p w14:paraId="183DD915" w14:textId="5571FC6E" w:rsidR="00695FB5" w:rsidRPr="00687DE8" w:rsidRDefault="1E306FF6" w:rsidP="27120549">
      <w:pPr>
        <w:spacing w:after="0" w:line="240" w:lineRule="auto"/>
        <w:jc w:val="both"/>
        <w:divId w:val="1316184749"/>
      </w:pPr>
      <w:r>
        <w:t>8</w:t>
      </w:r>
      <w:r w:rsidR="00976487">
        <w:t>) koodiga 7058 tähistatud tervishoiuteenuse piirhinda rakendatakse, kui teenust osutab</w:t>
      </w:r>
      <w:r w:rsidR="7BE68A86">
        <w:t xml:space="preserve"> kutsetunnistusega</w:t>
      </w:r>
      <w:r w:rsidR="00976487">
        <w:t xml:space="preserve"> lümfiterapeut.</w:t>
      </w:r>
      <w:bookmarkStart w:id="17" w:name="_Hlk180159432"/>
    </w:p>
    <w:bookmarkEnd w:id="17"/>
    <w:p w14:paraId="34C6081F" w14:textId="3043394E" w:rsidR="00976487" w:rsidRPr="00687DE8" w:rsidRDefault="00976487" w:rsidP="00976487">
      <w:pPr>
        <w:spacing w:after="0" w:line="240" w:lineRule="auto"/>
        <w:jc w:val="both"/>
        <w:divId w:val="1316184749"/>
        <w:rPr>
          <w:szCs w:val="24"/>
        </w:rPr>
      </w:pPr>
    </w:p>
    <w:p w14:paraId="2C326A19" w14:textId="0E185A4D" w:rsidR="00976487" w:rsidRPr="00687DE8" w:rsidRDefault="00976487" w:rsidP="00976487">
      <w:pPr>
        <w:spacing w:after="0" w:line="240" w:lineRule="auto"/>
        <w:jc w:val="both"/>
        <w:divId w:val="1316184749"/>
        <w:rPr>
          <w:szCs w:val="24"/>
        </w:rPr>
      </w:pPr>
      <w:r w:rsidRPr="00687DE8">
        <w:rPr>
          <w:szCs w:val="24"/>
        </w:rPr>
        <w:t>(</w:t>
      </w:r>
      <w:r w:rsidR="009523D1">
        <w:rPr>
          <w:szCs w:val="24"/>
        </w:rPr>
        <w:t>18</w:t>
      </w:r>
      <w:r w:rsidRPr="00687DE8">
        <w:rPr>
          <w:szCs w:val="24"/>
        </w:rPr>
        <w:t xml:space="preserve">) Koodiga 7058 tähistatud tervishoiuteenuse piirhind sisaldab </w:t>
      </w:r>
      <w:r w:rsidR="00C0302D">
        <w:rPr>
          <w:szCs w:val="24"/>
        </w:rPr>
        <w:t xml:space="preserve">aktiivset ravisekkumist </w:t>
      </w:r>
      <w:r w:rsidR="002928FA">
        <w:rPr>
          <w:szCs w:val="24"/>
        </w:rPr>
        <w:t>ja</w:t>
      </w:r>
      <w:r w:rsidR="00C0302D">
        <w:rPr>
          <w:szCs w:val="24"/>
        </w:rPr>
        <w:t xml:space="preserve"> </w:t>
      </w:r>
      <w:r w:rsidRPr="00687DE8">
        <w:rPr>
          <w:szCs w:val="24"/>
        </w:rPr>
        <w:t xml:space="preserve">järgmisi tegevusi </w:t>
      </w:r>
      <w:r w:rsidR="008465C6">
        <w:rPr>
          <w:szCs w:val="24"/>
        </w:rPr>
        <w:t>ning</w:t>
      </w:r>
      <w:r w:rsidRPr="00687DE8">
        <w:rPr>
          <w:szCs w:val="24"/>
        </w:rPr>
        <w:t xml:space="preserve"> vahendeid:</w:t>
      </w:r>
    </w:p>
    <w:p w14:paraId="251D1CF2" w14:textId="77777777" w:rsidR="00976487" w:rsidRPr="00687DE8" w:rsidRDefault="00976487" w:rsidP="00976487">
      <w:pPr>
        <w:spacing w:after="0" w:line="240" w:lineRule="auto"/>
        <w:jc w:val="both"/>
        <w:divId w:val="1316184749"/>
        <w:rPr>
          <w:szCs w:val="24"/>
        </w:rPr>
      </w:pPr>
      <w:r w:rsidRPr="00687DE8">
        <w:rPr>
          <w:szCs w:val="24"/>
        </w:rPr>
        <w:t>1) anamneesi võtmine, objektiivne uurimine, nõustamine;</w:t>
      </w:r>
    </w:p>
    <w:p w14:paraId="68EC3DEA" w14:textId="77777777" w:rsidR="00976487" w:rsidRPr="00687DE8" w:rsidRDefault="00976487" w:rsidP="00976487">
      <w:pPr>
        <w:spacing w:after="0" w:line="240" w:lineRule="auto"/>
        <w:jc w:val="both"/>
        <w:divId w:val="1316184749"/>
        <w:rPr>
          <w:szCs w:val="24"/>
        </w:rPr>
      </w:pPr>
      <w:r w:rsidRPr="00687DE8">
        <w:rPr>
          <w:szCs w:val="24"/>
        </w:rPr>
        <w:t>2) lümfimassaaži tegemine ja</w:t>
      </w:r>
      <w:r w:rsidR="0095202F" w:rsidRPr="00687DE8">
        <w:rPr>
          <w:szCs w:val="24"/>
        </w:rPr>
        <w:t>/või aparaatse kompressioonravi kasutamine</w:t>
      </w:r>
      <w:r w:rsidRPr="00687DE8">
        <w:rPr>
          <w:szCs w:val="24"/>
        </w:rPr>
        <w:t>;</w:t>
      </w:r>
    </w:p>
    <w:p w14:paraId="4A101738" w14:textId="77777777" w:rsidR="00BB6799" w:rsidRPr="00687DE8" w:rsidRDefault="00BB6799" w:rsidP="00976487">
      <w:pPr>
        <w:spacing w:after="0" w:line="240" w:lineRule="auto"/>
        <w:jc w:val="both"/>
        <w:divId w:val="1316184749"/>
        <w:rPr>
          <w:szCs w:val="24"/>
        </w:rPr>
      </w:pPr>
      <w:r w:rsidRPr="00687DE8">
        <w:rPr>
          <w:szCs w:val="24"/>
        </w:rPr>
        <w:t>3) kompressioonsidemete paigaldamine;</w:t>
      </w:r>
    </w:p>
    <w:p w14:paraId="665797AF" w14:textId="77777777" w:rsidR="00976487" w:rsidRPr="00687DE8" w:rsidRDefault="002E79FB" w:rsidP="00976487">
      <w:pPr>
        <w:spacing w:after="0" w:line="240" w:lineRule="auto"/>
        <w:jc w:val="both"/>
        <w:divId w:val="1316184749"/>
        <w:rPr>
          <w:szCs w:val="24"/>
        </w:rPr>
      </w:pPr>
      <w:r w:rsidRPr="00687DE8">
        <w:rPr>
          <w:szCs w:val="24"/>
        </w:rPr>
        <w:t>4</w:t>
      </w:r>
      <w:r w:rsidR="00976487" w:rsidRPr="00687DE8">
        <w:rPr>
          <w:szCs w:val="24"/>
        </w:rPr>
        <w:t>) kompressioonsidemed ja sidumisvahendid;</w:t>
      </w:r>
    </w:p>
    <w:p w14:paraId="4962F455" w14:textId="77777777" w:rsidR="00976487" w:rsidRPr="00687DE8" w:rsidRDefault="002E79FB" w:rsidP="00976487">
      <w:pPr>
        <w:spacing w:after="0" w:line="240" w:lineRule="auto"/>
        <w:jc w:val="both"/>
        <w:divId w:val="1316184749"/>
        <w:rPr>
          <w:szCs w:val="24"/>
        </w:rPr>
      </w:pPr>
      <w:r w:rsidRPr="00687DE8">
        <w:rPr>
          <w:szCs w:val="24"/>
        </w:rPr>
        <w:t>5</w:t>
      </w:r>
      <w:r w:rsidR="00976487" w:rsidRPr="00687DE8">
        <w:rPr>
          <w:szCs w:val="24"/>
        </w:rPr>
        <w:t>) teenuse osutamist tõendavate dokumentide vormistamine ning patsiendile tervishoiuteenuse osutamisega seotud andmete töötlemine tervise infosüsteemis.</w:t>
      </w:r>
    </w:p>
    <w:p w14:paraId="74443FF6" w14:textId="77777777" w:rsidR="00976487" w:rsidRPr="00687DE8" w:rsidRDefault="00976487" w:rsidP="00976487">
      <w:pPr>
        <w:spacing w:after="0" w:line="240" w:lineRule="auto"/>
        <w:jc w:val="both"/>
        <w:divId w:val="1316184749"/>
        <w:rPr>
          <w:szCs w:val="24"/>
        </w:rPr>
      </w:pPr>
    </w:p>
    <w:p w14:paraId="7956AD76" w14:textId="3E2059BA" w:rsidR="00976487" w:rsidRPr="00687DE8" w:rsidRDefault="00976487" w:rsidP="00976487">
      <w:pPr>
        <w:spacing w:after="0" w:line="240" w:lineRule="auto"/>
        <w:jc w:val="both"/>
        <w:divId w:val="1316184749"/>
        <w:rPr>
          <w:szCs w:val="24"/>
        </w:rPr>
      </w:pPr>
      <w:r w:rsidRPr="00687DE8">
        <w:rPr>
          <w:szCs w:val="24"/>
        </w:rPr>
        <w:t>(</w:t>
      </w:r>
      <w:r w:rsidR="009523D1">
        <w:rPr>
          <w:szCs w:val="24"/>
        </w:rPr>
        <w:t>19</w:t>
      </w:r>
      <w:r w:rsidRPr="00687DE8">
        <w:rPr>
          <w:szCs w:val="24"/>
        </w:rPr>
        <w:t xml:space="preserve">) </w:t>
      </w:r>
      <w:r w:rsidR="005023FD" w:rsidRPr="00687DE8">
        <w:rPr>
          <w:szCs w:val="24"/>
        </w:rPr>
        <w:t>Tervisekassa</w:t>
      </w:r>
      <w:r w:rsidRPr="00687DE8">
        <w:rPr>
          <w:szCs w:val="24"/>
        </w:rPr>
        <w:t xml:space="preserve"> võtab koodiga 7061 tähistatud tervishoiuteenuse eest tasu maksmise kohustuse üle, kui patsiendile on</w:t>
      </w:r>
      <w:r w:rsidR="005636FB" w:rsidRPr="00687DE8">
        <w:rPr>
          <w:szCs w:val="24"/>
        </w:rPr>
        <w:t xml:space="preserve"> terviseseisundi tõttu</w:t>
      </w:r>
      <w:r w:rsidRPr="00687DE8">
        <w:rPr>
          <w:szCs w:val="24"/>
        </w:rPr>
        <w:t xml:space="preserve"> näidustatud tegevusteraapia tema igapäevakeskkonnas </w:t>
      </w:r>
      <w:r w:rsidR="00F774EE" w:rsidRPr="00687DE8">
        <w:rPr>
          <w:szCs w:val="24"/>
        </w:rPr>
        <w:t>toimetulekuks</w:t>
      </w:r>
      <w:r w:rsidRPr="00687DE8">
        <w:rPr>
          <w:szCs w:val="24"/>
        </w:rPr>
        <w:t>.</w:t>
      </w:r>
    </w:p>
    <w:p w14:paraId="0D4973B1" w14:textId="77777777" w:rsidR="00976487" w:rsidRPr="00687DE8" w:rsidRDefault="00976487" w:rsidP="00976487">
      <w:pPr>
        <w:spacing w:after="0" w:line="240" w:lineRule="auto"/>
        <w:jc w:val="both"/>
        <w:divId w:val="1316184749"/>
        <w:rPr>
          <w:szCs w:val="24"/>
        </w:rPr>
      </w:pPr>
    </w:p>
    <w:p w14:paraId="55E80F76" w14:textId="11090B65" w:rsidR="00976487" w:rsidRPr="00687DE8" w:rsidRDefault="00976487" w:rsidP="00976487">
      <w:pPr>
        <w:spacing w:after="0" w:line="240" w:lineRule="auto"/>
        <w:jc w:val="both"/>
        <w:divId w:val="1316184749"/>
      </w:pPr>
      <w:r>
        <w:t>(</w:t>
      </w:r>
      <w:r w:rsidR="009523D1">
        <w:t>20</w:t>
      </w:r>
      <w:r>
        <w:t xml:space="preserve">) </w:t>
      </w:r>
      <w:r w:rsidR="005023FD">
        <w:t>Tervisekassa</w:t>
      </w:r>
      <w:r>
        <w:t xml:space="preserve"> võtab koodiga 7060 tähistatud tervishoiuteenuse eest tasu maksmise kohustuse üle, kui patsiendil on</w:t>
      </w:r>
      <w:r w:rsidR="00897524">
        <w:t xml:space="preserve"> terviseseisundi tõttu</w:t>
      </w:r>
      <w:r>
        <w:t xml:space="preserve"> </w:t>
      </w:r>
      <w:r w:rsidR="0060254E">
        <w:t xml:space="preserve">hinnatud </w:t>
      </w:r>
      <w:r>
        <w:t>füsioteraapia</w:t>
      </w:r>
      <w:r w:rsidR="00BB3788">
        <w:t xml:space="preserve"> vajadus</w:t>
      </w:r>
      <w:r w:rsidR="00A353B4">
        <w:t xml:space="preserve"> tema </w:t>
      </w:r>
      <w:r w:rsidR="007604F2">
        <w:t xml:space="preserve">igapäevakeskkonnas </w:t>
      </w:r>
      <w:r w:rsidR="00082FE6">
        <w:t>toimetulekuks</w:t>
      </w:r>
      <w:r>
        <w:t>.</w:t>
      </w:r>
    </w:p>
    <w:p w14:paraId="42A60A9E" w14:textId="77777777" w:rsidR="00976487" w:rsidRPr="00687DE8" w:rsidRDefault="00976487" w:rsidP="00976487">
      <w:pPr>
        <w:spacing w:after="0" w:line="240" w:lineRule="auto"/>
        <w:jc w:val="both"/>
        <w:divId w:val="1316184749"/>
        <w:rPr>
          <w:szCs w:val="24"/>
        </w:rPr>
      </w:pPr>
    </w:p>
    <w:p w14:paraId="76F226B0" w14:textId="2306CFC6" w:rsidR="00976487" w:rsidRPr="00687DE8" w:rsidRDefault="00976487" w:rsidP="00976487">
      <w:pPr>
        <w:spacing w:after="0" w:line="240" w:lineRule="auto"/>
        <w:jc w:val="both"/>
        <w:divId w:val="1316184749"/>
        <w:rPr>
          <w:szCs w:val="24"/>
        </w:rPr>
      </w:pPr>
      <w:r w:rsidRPr="00687DE8">
        <w:rPr>
          <w:szCs w:val="24"/>
        </w:rPr>
        <w:t>(</w:t>
      </w:r>
      <w:r w:rsidR="009523D1">
        <w:rPr>
          <w:szCs w:val="24"/>
        </w:rPr>
        <w:t>21</w:t>
      </w:r>
      <w:r w:rsidRPr="00687DE8">
        <w:rPr>
          <w:szCs w:val="24"/>
        </w:rPr>
        <w:t>) Koodidega 7060 ja 7061 tähistatud tervishoiuteenuste piirhinnad sisaldavad transpordikulu.</w:t>
      </w:r>
    </w:p>
    <w:p w14:paraId="42C31F3B" w14:textId="77777777" w:rsidR="00F0598E" w:rsidRPr="00687DE8" w:rsidRDefault="00F0598E" w:rsidP="00F0598E">
      <w:pPr>
        <w:spacing w:after="0" w:line="240" w:lineRule="auto"/>
        <w:jc w:val="both"/>
        <w:divId w:val="1316184749"/>
        <w:rPr>
          <w:szCs w:val="24"/>
        </w:rPr>
      </w:pPr>
    </w:p>
    <w:p w14:paraId="5291E67C" w14:textId="3FD9E282" w:rsidR="0075053E" w:rsidRPr="00687DE8" w:rsidRDefault="00C56F48" w:rsidP="009F6C79">
      <w:pPr>
        <w:spacing w:after="0" w:line="240" w:lineRule="auto"/>
        <w:jc w:val="both"/>
        <w:divId w:val="1316184749"/>
        <w:rPr>
          <w:szCs w:val="24"/>
        </w:rPr>
      </w:pPr>
      <w:r w:rsidRPr="00687DE8">
        <w:rPr>
          <w:szCs w:val="24"/>
        </w:rPr>
        <w:lastRenderedPageBreak/>
        <w:t>(</w:t>
      </w:r>
      <w:r w:rsidR="009523D1">
        <w:rPr>
          <w:szCs w:val="24"/>
        </w:rPr>
        <w:t>22</w:t>
      </w:r>
      <w:r w:rsidRPr="00687DE8">
        <w:rPr>
          <w:szCs w:val="24"/>
        </w:rPr>
        <w:t>)</w:t>
      </w:r>
      <w:r w:rsidR="000C1750" w:rsidRPr="00687DE8">
        <w:rPr>
          <w:szCs w:val="24"/>
        </w:rPr>
        <w:t xml:space="preserve"> Koodidega </w:t>
      </w:r>
      <w:r w:rsidR="006004D3" w:rsidRPr="00687DE8">
        <w:rPr>
          <w:szCs w:val="24"/>
        </w:rPr>
        <w:t>7065,</w:t>
      </w:r>
      <w:r w:rsidR="00AD3A9C" w:rsidRPr="00687DE8">
        <w:rPr>
          <w:szCs w:val="24"/>
        </w:rPr>
        <w:t xml:space="preserve"> </w:t>
      </w:r>
      <w:r w:rsidR="006004D3" w:rsidRPr="00687DE8">
        <w:rPr>
          <w:szCs w:val="24"/>
        </w:rPr>
        <w:t>7067, 7068</w:t>
      </w:r>
      <w:r w:rsidR="52D3A234" w:rsidRPr="00687DE8">
        <w:rPr>
          <w:szCs w:val="24"/>
        </w:rPr>
        <w:t xml:space="preserve"> ja </w:t>
      </w:r>
      <w:r w:rsidR="006004D3" w:rsidRPr="00687DE8">
        <w:rPr>
          <w:szCs w:val="24"/>
        </w:rPr>
        <w:t xml:space="preserve">7069 tähistatud </w:t>
      </w:r>
      <w:r w:rsidR="00906A50" w:rsidRPr="00687DE8">
        <w:rPr>
          <w:szCs w:val="24"/>
        </w:rPr>
        <w:t>tervishoiu</w:t>
      </w:r>
      <w:r w:rsidR="00D314A0" w:rsidRPr="00687DE8">
        <w:rPr>
          <w:szCs w:val="24"/>
        </w:rPr>
        <w:t>teenus</w:t>
      </w:r>
      <w:r w:rsidR="00953479" w:rsidRPr="00687DE8">
        <w:rPr>
          <w:szCs w:val="24"/>
        </w:rPr>
        <w:t>eid</w:t>
      </w:r>
      <w:r w:rsidR="008A6A65" w:rsidRPr="00687DE8">
        <w:rPr>
          <w:szCs w:val="24"/>
        </w:rPr>
        <w:t xml:space="preserve"> osuta</w:t>
      </w:r>
      <w:r w:rsidR="00953479" w:rsidRPr="00687DE8">
        <w:rPr>
          <w:szCs w:val="24"/>
        </w:rPr>
        <w:t>takse</w:t>
      </w:r>
      <w:r w:rsidR="0052371B" w:rsidRPr="00687DE8">
        <w:rPr>
          <w:szCs w:val="24"/>
        </w:rPr>
        <w:t xml:space="preserve"> vahetu kontaktita, kasutades turvalist </w:t>
      </w:r>
      <w:r w:rsidR="001A009A" w:rsidRPr="00687DE8">
        <w:rPr>
          <w:szCs w:val="24"/>
        </w:rPr>
        <w:t>video</w:t>
      </w:r>
      <w:r w:rsidR="0052371B" w:rsidRPr="00687DE8">
        <w:rPr>
          <w:szCs w:val="24"/>
        </w:rPr>
        <w:t>lahendust.</w:t>
      </w:r>
    </w:p>
    <w:p w14:paraId="42440AE6" w14:textId="77777777" w:rsidR="001A009A" w:rsidRPr="00687DE8" w:rsidRDefault="001A009A" w:rsidP="0052371B">
      <w:pPr>
        <w:spacing w:after="0" w:line="240" w:lineRule="auto"/>
        <w:jc w:val="both"/>
        <w:divId w:val="1316184749"/>
        <w:rPr>
          <w:szCs w:val="24"/>
        </w:rPr>
      </w:pPr>
    </w:p>
    <w:p w14:paraId="4762E9F4" w14:textId="5E50113C" w:rsidR="00CA02A1" w:rsidRPr="00687DE8" w:rsidRDefault="00CA02A1" w:rsidP="00CA02A1">
      <w:pPr>
        <w:spacing w:after="0" w:line="240" w:lineRule="auto"/>
        <w:jc w:val="both"/>
        <w:divId w:val="1316184749"/>
      </w:pPr>
      <w:r>
        <w:t>(</w:t>
      </w:r>
      <w:r w:rsidR="009523D1">
        <w:t>23</w:t>
      </w:r>
      <w:r>
        <w:t xml:space="preserve">) </w:t>
      </w:r>
      <w:r w:rsidR="005023FD">
        <w:t>Tervisekassa</w:t>
      </w:r>
      <w:r>
        <w:t xml:space="preserve"> võtab koodidega 7065, 7067, 7068</w:t>
      </w:r>
      <w:r w:rsidR="0F8CE95B">
        <w:t xml:space="preserve"> ja</w:t>
      </w:r>
      <w:r>
        <w:t xml:space="preserve"> 7069 tähistatud tervishoiuteenuste eest tasu maksmise kohustuse üle eriarsti </w:t>
      </w:r>
      <w:r w:rsidR="3F84FB75">
        <w:t xml:space="preserve">või eriõe </w:t>
      </w:r>
      <w:r>
        <w:t>suunamisel, kui patsient pöördub teraapia saamiseks sama terapeudi poole korduvalt.</w:t>
      </w:r>
    </w:p>
    <w:p w14:paraId="38B60BA9" w14:textId="77777777" w:rsidR="00AC22FC" w:rsidRPr="00687DE8" w:rsidRDefault="00AC22FC" w:rsidP="00976487">
      <w:pPr>
        <w:spacing w:after="0" w:line="240" w:lineRule="auto"/>
        <w:jc w:val="both"/>
        <w:divId w:val="1316184749"/>
        <w:rPr>
          <w:szCs w:val="24"/>
        </w:rPr>
      </w:pPr>
    </w:p>
    <w:p w14:paraId="3AEA19F4" w14:textId="0A31BE54" w:rsidR="005A10BB" w:rsidRPr="00687DE8" w:rsidRDefault="00AC22FC" w:rsidP="005A10BB">
      <w:pPr>
        <w:spacing w:after="0" w:line="240" w:lineRule="auto"/>
        <w:jc w:val="both"/>
        <w:divId w:val="1316184749"/>
        <w:rPr>
          <w:szCs w:val="24"/>
        </w:rPr>
      </w:pPr>
      <w:r w:rsidRPr="00687DE8">
        <w:rPr>
          <w:szCs w:val="24"/>
        </w:rPr>
        <w:t>(</w:t>
      </w:r>
      <w:r w:rsidR="009523D1">
        <w:rPr>
          <w:szCs w:val="24"/>
        </w:rPr>
        <w:t>24</w:t>
      </w:r>
      <w:r w:rsidRPr="00687DE8">
        <w:rPr>
          <w:szCs w:val="24"/>
        </w:rPr>
        <w:t xml:space="preserve">) </w:t>
      </w:r>
      <w:r w:rsidR="00F97882" w:rsidRPr="00687DE8">
        <w:rPr>
          <w:szCs w:val="24"/>
        </w:rPr>
        <w:t>Koodidega 7065, 7067, 7068</w:t>
      </w:r>
      <w:r w:rsidR="595509AB" w:rsidRPr="00687DE8">
        <w:rPr>
          <w:szCs w:val="24"/>
        </w:rPr>
        <w:t xml:space="preserve"> ja</w:t>
      </w:r>
      <w:r w:rsidR="00F97882" w:rsidRPr="00687DE8">
        <w:rPr>
          <w:szCs w:val="24"/>
        </w:rPr>
        <w:t xml:space="preserve"> 7069 tähistatud tervishoiuteenus</w:t>
      </w:r>
      <w:r w:rsidR="00F27C5C" w:rsidRPr="00687DE8">
        <w:rPr>
          <w:szCs w:val="24"/>
        </w:rPr>
        <w:t xml:space="preserve">eid rakendatakse </w:t>
      </w:r>
      <w:r w:rsidR="0067553A" w:rsidRPr="00687DE8">
        <w:rPr>
          <w:szCs w:val="24"/>
        </w:rPr>
        <w:t>järgmistel tingimustel:</w:t>
      </w:r>
    </w:p>
    <w:p w14:paraId="41F26B06" w14:textId="77777777" w:rsidR="00FE725C" w:rsidRPr="00687DE8" w:rsidRDefault="0067553A" w:rsidP="00FE725C">
      <w:pPr>
        <w:spacing w:after="0" w:line="240" w:lineRule="auto"/>
        <w:jc w:val="both"/>
        <w:divId w:val="1316184749"/>
        <w:rPr>
          <w:szCs w:val="24"/>
        </w:rPr>
      </w:pPr>
      <w:r w:rsidRPr="00687DE8">
        <w:rPr>
          <w:szCs w:val="24"/>
        </w:rPr>
        <w:t xml:space="preserve">1) </w:t>
      </w:r>
      <w:r w:rsidR="0035504C" w:rsidRPr="00687DE8">
        <w:rPr>
          <w:szCs w:val="24"/>
        </w:rPr>
        <w:t>võrreldes kontaktte</w:t>
      </w:r>
      <w:r w:rsidR="00B8563F" w:rsidRPr="00687DE8">
        <w:rPr>
          <w:szCs w:val="24"/>
        </w:rPr>
        <w:t xml:space="preserve">enusega </w:t>
      </w:r>
      <w:r w:rsidR="0035504C" w:rsidRPr="00687DE8">
        <w:rPr>
          <w:szCs w:val="24"/>
        </w:rPr>
        <w:t>tervishoiu</w:t>
      </w:r>
      <w:r w:rsidR="00434A47" w:rsidRPr="00687DE8">
        <w:rPr>
          <w:szCs w:val="24"/>
        </w:rPr>
        <w:t xml:space="preserve">teenuse </w:t>
      </w:r>
      <w:r w:rsidR="00553D2B" w:rsidRPr="00687DE8">
        <w:rPr>
          <w:szCs w:val="24"/>
        </w:rPr>
        <w:t>kvaliteet säilib või paraneb;</w:t>
      </w:r>
    </w:p>
    <w:p w14:paraId="0C00A6AA" w14:textId="77777777" w:rsidR="00553D2B" w:rsidRPr="00687DE8" w:rsidRDefault="00553D2B" w:rsidP="00976487">
      <w:pPr>
        <w:spacing w:after="0" w:line="240" w:lineRule="auto"/>
        <w:jc w:val="both"/>
        <w:divId w:val="1316184749"/>
        <w:rPr>
          <w:szCs w:val="24"/>
        </w:rPr>
      </w:pPr>
      <w:r w:rsidRPr="00687DE8">
        <w:rPr>
          <w:szCs w:val="24"/>
        </w:rPr>
        <w:t xml:space="preserve">2) </w:t>
      </w:r>
      <w:r w:rsidR="00BA2A46" w:rsidRPr="00687DE8">
        <w:rPr>
          <w:szCs w:val="24"/>
        </w:rPr>
        <w:t>kaugt</w:t>
      </w:r>
      <w:r w:rsidR="00B8563F" w:rsidRPr="00687DE8">
        <w:rPr>
          <w:szCs w:val="24"/>
        </w:rPr>
        <w:t>eenuse</w:t>
      </w:r>
      <w:r w:rsidR="00BA2A46" w:rsidRPr="00687DE8">
        <w:rPr>
          <w:szCs w:val="24"/>
        </w:rPr>
        <w:t xml:space="preserve"> sobivuse konkreetse patsiendi terviseprobleemi käs</w:t>
      </w:r>
      <w:r w:rsidR="00E75C25" w:rsidRPr="00687DE8">
        <w:rPr>
          <w:szCs w:val="24"/>
        </w:rPr>
        <w:t>i</w:t>
      </w:r>
      <w:r w:rsidR="00BA2A46" w:rsidRPr="00687DE8">
        <w:rPr>
          <w:szCs w:val="24"/>
        </w:rPr>
        <w:t xml:space="preserve">tlemisel otsustab </w:t>
      </w:r>
      <w:r w:rsidR="00F7150B" w:rsidRPr="00687DE8">
        <w:rPr>
          <w:szCs w:val="24"/>
        </w:rPr>
        <w:t xml:space="preserve">teenust </w:t>
      </w:r>
      <w:r w:rsidR="00BA2A46" w:rsidRPr="00687DE8">
        <w:rPr>
          <w:szCs w:val="24"/>
        </w:rPr>
        <w:t>osutav terapeut, patsiendi tehnilist valmisolekut hindab tervishoiuteenuse osutaja;</w:t>
      </w:r>
    </w:p>
    <w:p w14:paraId="1006874D" w14:textId="77777777" w:rsidR="008A0251" w:rsidRPr="00687DE8" w:rsidRDefault="008A0251" w:rsidP="008A0251">
      <w:pPr>
        <w:autoSpaceDE w:val="0"/>
        <w:autoSpaceDN w:val="0"/>
        <w:adjustRightInd w:val="0"/>
        <w:spacing w:after="0" w:line="240" w:lineRule="auto"/>
        <w:divId w:val="1316184749"/>
        <w:rPr>
          <w:color w:val="000000"/>
          <w:szCs w:val="24"/>
        </w:rPr>
      </w:pPr>
      <w:r w:rsidRPr="00687DE8">
        <w:rPr>
          <w:color w:val="000000" w:themeColor="text1"/>
          <w:szCs w:val="24"/>
        </w:rPr>
        <w:t>3) kaugte</w:t>
      </w:r>
      <w:r w:rsidR="00B8563F" w:rsidRPr="00687DE8">
        <w:rPr>
          <w:color w:val="000000" w:themeColor="text1"/>
          <w:szCs w:val="24"/>
        </w:rPr>
        <w:t>eenus</w:t>
      </w:r>
      <w:r w:rsidR="00815061" w:rsidRPr="00687DE8">
        <w:rPr>
          <w:color w:val="000000" w:themeColor="text1"/>
          <w:szCs w:val="24"/>
        </w:rPr>
        <w:t>t</w:t>
      </w:r>
      <w:r w:rsidRPr="00687DE8">
        <w:rPr>
          <w:color w:val="000000" w:themeColor="text1"/>
          <w:szCs w:val="24"/>
        </w:rPr>
        <w:t xml:space="preserve"> </w:t>
      </w:r>
      <w:r w:rsidR="00815061" w:rsidRPr="00687DE8">
        <w:rPr>
          <w:color w:val="000000" w:themeColor="text1"/>
          <w:szCs w:val="24"/>
        </w:rPr>
        <w:t>osutatakse</w:t>
      </w:r>
      <w:r w:rsidRPr="00687DE8">
        <w:rPr>
          <w:color w:val="000000" w:themeColor="text1"/>
          <w:szCs w:val="24"/>
        </w:rPr>
        <w:t xml:space="preserve"> patsiendi nõusolekul, mis on dokumenteeritud;</w:t>
      </w:r>
    </w:p>
    <w:p w14:paraId="658149A5" w14:textId="77777777" w:rsidR="008A0251" w:rsidRPr="00687DE8" w:rsidRDefault="008A0251" w:rsidP="008A0251">
      <w:pPr>
        <w:autoSpaceDE w:val="0"/>
        <w:autoSpaceDN w:val="0"/>
        <w:adjustRightInd w:val="0"/>
        <w:spacing w:after="0" w:line="240" w:lineRule="auto"/>
        <w:divId w:val="1316184749"/>
        <w:rPr>
          <w:color w:val="000000"/>
          <w:szCs w:val="24"/>
        </w:rPr>
      </w:pPr>
      <w:r w:rsidRPr="00687DE8">
        <w:rPr>
          <w:color w:val="000000" w:themeColor="text1"/>
          <w:szCs w:val="24"/>
        </w:rPr>
        <w:t>4) kaugte</w:t>
      </w:r>
      <w:r w:rsidR="00B8563F" w:rsidRPr="00687DE8">
        <w:rPr>
          <w:color w:val="000000" w:themeColor="text1"/>
          <w:szCs w:val="24"/>
        </w:rPr>
        <w:t>enus</w:t>
      </w:r>
      <w:r w:rsidR="00D973E9" w:rsidRPr="00687DE8">
        <w:rPr>
          <w:color w:val="000000" w:themeColor="text1"/>
          <w:szCs w:val="24"/>
        </w:rPr>
        <w:t>t</w:t>
      </w:r>
      <w:r w:rsidRPr="00687DE8">
        <w:rPr>
          <w:color w:val="000000" w:themeColor="text1"/>
          <w:szCs w:val="24"/>
        </w:rPr>
        <w:t xml:space="preserve"> </w:t>
      </w:r>
      <w:r w:rsidR="00D973E9" w:rsidRPr="00687DE8">
        <w:rPr>
          <w:color w:val="000000" w:themeColor="text1"/>
          <w:szCs w:val="24"/>
        </w:rPr>
        <w:t>osutatakse</w:t>
      </w:r>
      <w:r w:rsidRPr="00687DE8">
        <w:rPr>
          <w:color w:val="000000" w:themeColor="text1"/>
          <w:szCs w:val="24"/>
        </w:rPr>
        <w:t xml:space="preserve"> kokkulepitud ajal ja viisil, sünkroonse suhtlusena;</w:t>
      </w:r>
    </w:p>
    <w:p w14:paraId="2BF33362" w14:textId="77777777" w:rsidR="00F7150B" w:rsidRPr="00687DE8" w:rsidRDefault="008A0251" w:rsidP="00F7150B">
      <w:pPr>
        <w:autoSpaceDE w:val="0"/>
        <w:autoSpaceDN w:val="0"/>
        <w:adjustRightInd w:val="0"/>
        <w:spacing w:after="0" w:line="240" w:lineRule="auto"/>
        <w:jc w:val="both"/>
        <w:divId w:val="1316184749"/>
        <w:rPr>
          <w:color w:val="000000"/>
          <w:szCs w:val="24"/>
        </w:rPr>
      </w:pPr>
      <w:r w:rsidRPr="00687DE8">
        <w:rPr>
          <w:color w:val="000000" w:themeColor="text1"/>
          <w:szCs w:val="24"/>
        </w:rPr>
        <w:t xml:space="preserve">5) </w:t>
      </w:r>
      <w:r w:rsidR="003D6AA3" w:rsidRPr="00687DE8">
        <w:rPr>
          <w:color w:val="000000" w:themeColor="text1"/>
          <w:szCs w:val="24"/>
        </w:rPr>
        <w:t>kaugteenuse osutamisel</w:t>
      </w:r>
      <w:r w:rsidR="00F7150B" w:rsidRPr="00687DE8">
        <w:rPr>
          <w:color w:val="000000" w:themeColor="text1"/>
          <w:szCs w:val="24"/>
        </w:rPr>
        <w:t xml:space="preserve"> kasutatav info- ja kommunikatsioonitehnoloogiline lahendus ning selle kasutamine vastavad õigusaktides (sealhulgas isikuandmete kaitse seadus, isikuandmete kaitse üldmäärus) sätestatud põhimõtetele;</w:t>
      </w:r>
    </w:p>
    <w:p w14:paraId="2C06F46B" w14:textId="77777777" w:rsidR="00BA2A46" w:rsidRPr="00687DE8" w:rsidRDefault="008A0251" w:rsidP="00F7150B">
      <w:pPr>
        <w:autoSpaceDE w:val="0"/>
        <w:autoSpaceDN w:val="0"/>
        <w:adjustRightInd w:val="0"/>
        <w:spacing w:after="0" w:line="240" w:lineRule="auto"/>
        <w:jc w:val="both"/>
        <w:divId w:val="1316184749"/>
        <w:rPr>
          <w:color w:val="000000"/>
          <w:szCs w:val="24"/>
        </w:rPr>
      </w:pPr>
      <w:r w:rsidRPr="00687DE8">
        <w:rPr>
          <w:color w:val="000000" w:themeColor="text1"/>
          <w:szCs w:val="24"/>
        </w:rPr>
        <w:t>6) patsiendi isiku tuvastamise eest vastutab tervishoiuteenuse osutaja.</w:t>
      </w:r>
    </w:p>
    <w:p w14:paraId="21DB8118" w14:textId="77777777" w:rsidR="00DE3C79" w:rsidRPr="00687DE8" w:rsidRDefault="00DE3C79" w:rsidP="008A0251">
      <w:pPr>
        <w:spacing w:after="0" w:line="240" w:lineRule="auto"/>
        <w:jc w:val="both"/>
        <w:divId w:val="1316184749"/>
        <w:rPr>
          <w:color w:val="000000"/>
          <w:szCs w:val="24"/>
        </w:rPr>
      </w:pPr>
    </w:p>
    <w:p w14:paraId="7CF42F7C" w14:textId="30057B06" w:rsidR="00F7150B" w:rsidRPr="00687DE8" w:rsidRDefault="00F7150B" w:rsidP="00F7150B">
      <w:pPr>
        <w:spacing w:after="0" w:line="240" w:lineRule="auto"/>
        <w:jc w:val="both"/>
        <w:divId w:val="1316184749"/>
        <w:rPr>
          <w:szCs w:val="24"/>
        </w:rPr>
      </w:pPr>
      <w:r w:rsidRPr="00687DE8">
        <w:rPr>
          <w:color w:val="000000" w:themeColor="text1"/>
          <w:szCs w:val="24"/>
        </w:rPr>
        <w:t>(</w:t>
      </w:r>
      <w:r w:rsidR="009523D1">
        <w:rPr>
          <w:color w:val="000000" w:themeColor="text1"/>
          <w:szCs w:val="24"/>
        </w:rPr>
        <w:t>25</w:t>
      </w:r>
      <w:r w:rsidRPr="00687DE8">
        <w:rPr>
          <w:color w:val="000000" w:themeColor="text1"/>
          <w:szCs w:val="24"/>
        </w:rPr>
        <w:t xml:space="preserve">) </w:t>
      </w:r>
      <w:r w:rsidRPr="00687DE8">
        <w:rPr>
          <w:szCs w:val="24"/>
        </w:rPr>
        <w:t>Koodidega 7065, 7067, 7068</w:t>
      </w:r>
      <w:r w:rsidR="653A52B5" w:rsidRPr="00687DE8">
        <w:rPr>
          <w:szCs w:val="24"/>
        </w:rPr>
        <w:t xml:space="preserve"> ja</w:t>
      </w:r>
      <w:r w:rsidRPr="00687DE8">
        <w:rPr>
          <w:szCs w:val="24"/>
        </w:rPr>
        <w:t xml:space="preserve"> 7069 tähistatud tervishoiuteenuseid ei rakendata teraapiaaja kokkuleppimise, muutmise või tühistamise ega materjalide edastamise korral.</w:t>
      </w:r>
    </w:p>
    <w:p w14:paraId="3ECEA9F9" w14:textId="77777777" w:rsidR="00F7150B" w:rsidRPr="00687DE8" w:rsidRDefault="00F7150B" w:rsidP="00F7150B">
      <w:pPr>
        <w:spacing w:after="0" w:line="240" w:lineRule="auto"/>
        <w:jc w:val="both"/>
        <w:divId w:val="1316184749"/>
        <w:rPr>
          <w:szCs w:val="24"/>
        </w:rPr>
      </w:pPr>
    </w:p>
    <w:p w14:paraId="195B8E1A" w14:textId="4D46F0CA" w:rsidR="00F7150B" w:rsidRPr="00687DE8" w:rsidRDefault="00F7150B" w:rsidP="00F7150B">
      <w:pPr>
        <w:spacing w:after="0" w:line="240" w:lineRule="auto"/>
        <w:jc w:val="both"/>
        <w:divId w:val="1316184749"/>
        <w:rPr>
          <w:szCs w:val="24"/>
        </w:rPr>
      </w:pPr>
      <w:r w:rsidRPr="00687DE8">
        <w:rPr>
          <w:szCs w:val="24"/>
        </w:rPr>
        <w:t>(</w:t>
      </w:r>
      <w:r w:rsidR="009523D1">
        <w:rPr>
          <w:szCs w:val="24"/>
        </w:rPr>
        <w:t>26</w:t>
      </w:r>
      <w:r w:rsidRPr="00687DE8">
        <w:rPr>
          <w:szCs w:val="24"/>
        </w:rPr>
        <w:t>) Koodidega 7065, 7067, 7068</w:t>
      </w:r>
      <w:r w:rsidR="44E7E108" w:rsidRPr="00687DE8">
        <w:rPr>
          <w:szCs w:val="24"/>
        </w:rPr>
        <w:t xml:space="preserve"> ja</w:t>
      </w:r>
      <w:r w:rsidRPr="00687DE8">
        <w:rPr>
          <w:szCs w:val="24"/>
        </w:rPr>
        <w:t xml:space="preserve"> 7069 tähistatud kaugteenuste piirhinda ei rakendata samal ajal koodidega 7050, 7052, 7053</w:t>
      </w:r>
      <w:r w:rsidR="001F6965">
        <w:rPr>
          <w:szCs w:val="24"/>
        </w:rPr>
        <w:t>,</w:t>
      </w:r>
      <w:r w:rsidR="00E705BC">
        <w:rPr>
          <w:szCs w:val="24"/>
        </w:rPr>
        <w:t xml:space="preserve"> </w:t>
      </w:r>
      <w:r w:rsidRPr="00687DE8">
        <w:rPr>
          <w:szCs w:val="24"/>
        </w:rPr>
        <w:t xml:space="preserve">7054 </w:t>
      </w:r>
      <w:r w:rsidR="001F6965">
        <w:rPr>
          <w:szCs w:val="24"/>
        </w:rPr>
        <w:t xml:space="preserve">ja 7055 </w:t>
      </w:r>
      <w:r w:rsidRPr="00687DE8">
        <w:rPr>
          <w:szCs w:val="24"/>
        </w:rPr>
        <w:t>tähistatud vastavate kontaktteenustega.</w:t>
      </w:r>
    </w:p>
    <w:p w14:paraId="68672A59" w14:textId="77777777" w:rsidR="00AF1553" w:rsidRPr="00687DE8" w:rsidRDefault="00AF1553" w:rsidP="00F7150B">
      <w:pPr>
        <w:spacing w:after="0" w:line="240" w:lineRule="auto"/>
        <w:jc w:val="both"/>
        <w:divId w:val="1316184749"/>
        <w:rPr>
          <w:szCs w:val="24"/>
        </w:rPr>
      </w:pPr>
    </w:p>
    <w:p w14:paraId="58D08D4B" w14:textId="7EBA32AA" w:rsidR="00AF1553" w:rsidRPr="00687DE8" w:rsidRDefault="00AF1553" w:rsidP="00F7150B">
      <w:pPr>
        <w:spacing w:after="0" w:line="240" w:lineRule="auto"/>
        <w:jc w:val="both"/>
        <w:divId w:val="1316184749"/>
        <w:rPr>
          <w:szCs w:val="24"/>
        </w:rPr>
      </w:pPr>
      <w:r w:rsidRPr="00687DE8">
        <w:rPr>
          <w:szCs w:val="24"/>
        </w:rPr>
        <w:t>(</w:t>
      </w:r>
      <w:r w:rsidR="009523D1">
        <w:rPr>
          <w:szCs w:val="24"/>
        </w:rPr>
        <w:t>27</w:t>
      </w:r>
      <w:r w:rsidRPr="00687DE8">
        <w:rPr>
          <w:szCs w:val="24"/>
        </w:rPr>
        <w:t xml:space="preserve">) </w:t>
      </w:r>
      <w:r w:rsidR="00C77D4A" w:rsidRPr="00687DE8">
        <w:rPr>
          <w:szCs w:val="24"/>
        </w:rPr>
        <w:t xml:space="preserve">Koodiga </w:t>
      </w:r>
      <w:r w:rsidR="00CF2AED" w:rsidRPr="00687DE8">
        <w:rPr>
          <w:szCs w:val="24"/>
        </w:rPr>
        <w:t>7083</w:t>
      </w:r>
      <w:r w:rsidR="00C77D4A" w:rsidRPr="00687DE8">
        <w:rPr>
          <w:szCs w:val="24"/>
        </w:rPr>
        <w:t xml:space="preserve"> tähistatud tervishoiuteenus</w:t>
      </w:r>
      <w:r w:rsidR="00D47B46" w:rsidRPr="00687DE8">
        <w:rPr>
          <w:szCs w:val="24"/>
        </w:rPr>
        <w:t xml:space="preserve">t osutava </w:t>
      </w:r>
      <w:r w:rsidR="00B32914" w:rsidRPr="00687DE8">
        <w:rPr>
          <w:szCs w:val="24"/>
        </w:rPr>
        <w:t>taastusravi</w:t>
      </w:r>
      <w:r w:rsidR="000D7A34" w:rsidRPr="00687DE8">
        <w:rPr>
          <w:szCs w:val="24"/>
        </w:rPr>
        <w:t>meeskonna</w:t>
      </w:r>
      <w:r w:rsidR="00C77D4A" w:rsidRPr="00687DE8">
        <w:rPr>
          <w:szCs w:val="24"/>
        </w:rPr>
        <w:t xml:space="preserve"> koosseisu kuuluvad taastusarst, õde või hooldaja ja vähemalt kaks spetsialisti järg</w:t>
      </w:r>
      <w:r w:rsidR="00682EEA" w:rsidRPr="00687DE8">
        <w:rPr>
          <w:szCs w:val="24"/>
        </w:rPr>
        <w:t>misest</w:t>
      </w:r>
      <w:r w:rsidR="00C77D4A" w:rsidRPr="00687DE8">
        <w:rPr>
          <w:szCs w:val="24"/>
        </w:rPr>
        <w:t xml:space="preserve"> </w:t>
      </w:r>
      <w:r w:rsidR="71727F00" w:rsidRPr="00687DE8">
        <w:rPr>
          <w:szCs w:val="24"/>
        </w:rPr>
        <w:t>loetelust</w:t>
      </w:r>
      <w:r w:rsidR="00C77D4A" w:rsidRPr="00687DE8">
        <w:rPr>
          <w:szCs w:val="24"/>
        </w:rPr>
        <w:t>: füsioterapeut, tegevusterapeut, psühholoog</w:t>
      </w:r>
      <w:r w:rsidR="006C6DD5" w:rsidRPr="00687DE8">
        <w:rPr>
          <w:szCs w:val="24"/>
        </w:rPr>
        <w:t>,</w:t>
      </w:r>
      <w:r w:rsidR="00C77D4A" w:rsidRPr="00687DE8">
        <w:rPr>
          <w:szCs w:val="24"/>
        </w:rPr>
        <w:t xml:space="preserve"> logopeed.</w:t>
      </w:r>
    </w:p>
    <w:p w14:paraId="53C964D7" w14:textId="77777777" w:rsidR="006C6DD5" w:rsidRPr="00687DE8" w:rsidRDefault="006C6DD5" w:rsidP="00F7150B">
      <w:pPr>
        <w:spacing w:after="0" w:line="240" w:lineRule="auto"/>
        <w:jc w:val="both"/>
        <w:divId w:val="1316184749"/>
        <w:rPr>
          <w:szCs w:val="24"/>
        </w:rPr>
      </w:pPr>
    </w:p>
    <w:p w14:paraId="702E69D7" w14:textId="740BDCCD" w:rsidR="006C6DD5" w:rsidRPr="00687DE8" w:rsidRDefault="006C6DD5" w:rsidP="00F7150B">
      <w:pPr>
        <w:spacing w:after="0" w:line="240" w:lineRule="auto"/>
        <w:jc w:val="both"/>
        <w:divId w:val="1316184749"/>
        <w:rPr>
          <w:szCs w:val="24"/>
        </w:rPr>
      </w:pPr>
      <w:r w:rsidRPr="00687DE8">
        <w:rPr>
          <w:szCs w:val="24"/>
        </w:rPr>
        <w:t>(</w:t>
      </w:r>
      <w:r w:rsidR="009523D1">
        <w:rPr>
          <w:szCs w:val="24"/>
        </w:rPr>
        <w:t>28</w:t>
      </w:r>
      <w:r w:rsidRPr="00687DE8">
        <w:rPr>
          <w:szCs w:val="24"/>
        </w:rPr>
        <w:t xml:space="preserve">) </w:t>
      </w:r>
      <w:r w:rsidR="005023FD" w:rsidRPr="00687DE8">
        <w:rPr>
          <w:szCs w:val="24"/>
        </w:rPr>
        <w:t>Tervisekassa</w:t>
      </w:r>
      <w:r w:rsidR="003D34A0" w:rsidRPr="00687DE8">
        <w:rPr>
          <w:szCs w:val="24"/>
        </w:rPr>
        <w:t xml:space="preserve"> võtab </w:t>
      </w:r>
      <w:r w:rsidR="00DA18E5" w:rsidRPr="00687DE8">
        <w:rPr>
          <w:szCs w:val="24"/>
        </w:rPr>
        <w:t xml:space="preserve">koodiga </w:t>
      </w:r>
      <w:r w:rsidR="00CF2AED" w:rsidRPr="00687DE8">
        <w:rPr>
          <w:szCs w:val="24"/>
        </w:rPr>
        <w:t>7083</w:t>
      </w:r>
      <w:r w:rsidR="00DA18E5" w:rsidRPr="00687DE8">
        <w:rPr>
          <w:szCs w:val="24"/>
        </w:rPr>
        <w:t xml:space="preserve"> tähistatud terv</w:t>
      </w:r>
      <w:r w:rsidR="00CF2AED" w:rsidRPr="00687DE8">
        <w:rPr>
          <w:szCs w:val="24"/>
        </w:rPr>
        <w:t>is</w:t>
      </w:r>
      <w:r w:rsidR="00DA18E5" w:rsidRPr="00687DE8">
        <w:rPr>
          <w:szCs w:val="24"/>
        </w:rPr>
        <w:t xml:space="preserve">hoiuteenuse eest tasu maksmise kohustuse üle </w:t>
      </w:r>
      <w:r w:rsidR="00B9617D" w:rsidRPr="00687DE8">
        <w:rPr>
          <w:szCs w:val="24"/>
        </w:rPr>
        <w:t xml:space="preserve">juhul, kui </w:t>
      </w:r>
      <w:r w:rsidR="00234FAC" w:rsidRPr="00687DE8">
        <w:rPr>
          <w:szCs w:val="24"/>
        </w:rPr>
        <w:t>dokumenteeritud raviplaan sisaldab järgmisi andmeid:</w:t>
      </w:r>
    </w:p>
    <w:p w14:paraId="3F9F3FDC" w14:textId="77777777" w:rsidR="002471CE" w:rsidRPr="00687DE8" w:rsidRDefault="0027466F" w:rsidP="00F7150B">
      <w:pPr>
        <w:spacing w:after="0" w:line="240" w:lineRule="auto"/>
        <w:jc w:val="both"/>
        <w:divId w:val="1316184749"/>
        <w:rPr>
          <w:szCs w:val="24"/>
        </w:rPr>
      </w:pPr>
      <w:r w:rsidRPr="00687DE8">
        <w:rPr>
          <w:szCs w:val="24"/>
        </w:rPr>
        <w:t xml:space="preserve">1) </w:t>
      </w:r>
      <w:r w:rsidR="005E09B0" w:rsidRPr="00687DE8">
        <w:rPr>
          <w:szCs w:val="24"/>
        </w:rPr>
        <w:t xml:space="preserve">raviplaani koostamise või muutmise </w:t>
      </w:r>
      <w:r w:rsidR="009F03D6" w:rsidRPr="00687DE8">
        <w:rPr>
          <w:szCs w:val="24"/>
        </w:rPr>
        <w:t>vajadus</w:t>
      </w:r>
      <w:r w:rsidR="00C04B50" w:rsidRPr="00687DE8">
        <w:rPr>
          <w:szCs w:val="24"/>
        </w:rPr>
        <w:t xml:space="preserve">: </w:t>
      </w:r>
      <w:r w:rsidR="00FD1F27" w:rsidRPr="00687DE8">
        <w:rPr>
          <w:szCs w:val="24"/>
        </w:rPr>
        <w:t>funktsioonihäire</w:t>
      </w:r>
      <w:r w:rsidR="005E09B0" w:rsidRPr="00687DE8">
        <w:rPr>
          <w:szCs w:val="24"/>
        </w:rPr>
        <w:t xml:space="preserve">, </w:t>
      </w:r>
      <w:r w:rsidR="00D87E54" w:rsidRPr="00687DE8">
        <w:rPr>
          <w:szCs w:val="24"/>
        </w:rPr>
        <w:t xml:space="preserve">raskusaste ja </w:t>
      </w:r>
      <w:r w:rsidR="00B02D5E" w:rsidRPr="00687DE8">
        <w:rPr>
          <w:szCs w:val="24"/>
        </w:rPr>
        <w:t>seisund</w:t>
      </w:r>
      <w:r w:rsidR="005E09B0" w:rsidRPr="00687DE8">
        <w:rPr>
          <w:szCs w:val="24"/>
        </w:rPr>
        <w:t xml:space="preserve">i </w:t>
      </w:r>
      <w:r w:rsidR="00C04B50" w:rsidRPr="00687DE8">
        <w:rPr>
          <w:szCs w:val="24"/>
        </w:rPr>
        <w:t>alg</w:t>
      </w:r>
      <w:r w:rsidR="005E09B0" w:rsidRPr="00687DE8">
        <w:rPr>
          <w:szCs w:val="24"/>
        </w:rPr>
        <w:t>põhjus</w:t>
      </w:r>
      <w:r w:rsidR="00343A2B" w:rsidRPr="00687DE8">
        <w:rPr>
          <w:szCs w:val="24"/>
        </w:rPr>
        <w:t>;</w:t>
      </w:r>
    </w:p>
    <w:p w14:paraId="5B61C458" w14:textId="77777777" w:rsidR="004A6346" w:rsidRPr="00687DE8" w:rsidRDefault="004A6346" w:rsidP="00F7150B">
      <w:pPr>
        <w:spacing w:after="0" w:line="240" w:lineRule="auto"/>
        <w:jc w:val="both"/>
        <w:divId w:val="1316184749"/>
        <w:rPr>
          <w:szCs w:val="24"/>
        </w:rPr>
      </w:pPr>
      <w:r w:rsidRPr="00687DE8">
        <w:rPr>
          <w:szCs w:val="24"/>
        </w:rPr>
        <w:t xml:space="preserve">2) </w:t>
      </w:r>
      <w:r w:rsidR="00046821" w:rsidRPr="00687DE8">
        <w:rPr>
          <w:szCs w:val="24"/>
        </w:rPr>
        <w:t>senise ravi tulemuslikkuse hin</w:t>
      </w:r>
      <w:r w:rsidR="009F03D6" w:rsidRPr="00687DE8">
        <w:rPr>
          <w:szCs w:val="24"/>
        </w:rPr>
        <w:t>nang</w:t>
      </w:r>
      <w:r w:rsidR="00046821" w:rsidRPr="00687DE8">
        <w:rPr>
          <w:szCs w:val="24"/>
        </w:rPr>
        <w:t xml:space="preserve"> (</w:t>
      </w:r>
      <w:r w:rsidR="00376AD9" w:rsidRPr="00687DE8">
        <w:rPr>
          <w:szCs w:val="24"/>
        </w:rPr>
        <w:t>olemasolul);</w:t>
      </w:r>
    </w:p>
    <w:p w14:paraId="50B6539C" w14:textId="77777777" w:rsidR="00376AD9" w:rsidRPr="00687DE8" w:rsidRDefault="00376AD9" w:rsidP="00F7150B">
      <w:pPr>
        <w:spacing w:after="0" w:line="240" w:lineRule="auto"/>
        <w:jc w:val="both"/>
        <w:divId w:val="1316184749"/>
        <w:rPr>
          <w:szCs w:val="24"/>
        </w:rPr>
      </w:pPr>
      <w:r w:rsidRPr="00687DE8">
        <w:rPr>
          <w:szCs w:val="24"/>
        </w:rPr>
        <w:t xml:space="preserve">3) </w:t>
      </w:r>
      <w:r w:rsidR="00C83C24" w:rsidRPr="00687DE8">
        <w:rPr>
          <w:szCs w:val="24"/>
        </w:rPr>
        <w:t xml:space="preserve">rakendatav raviplaan ja otsused </w:t>
      </w:r>
      <w:r w:rsidR="006E6DCE" w:rsidRPr="00687DE8">
        <w:rPr>
          <w:szCs w:val="24"/>
        </w:rPr>
        <w:t>(raviviis(id) koos põhjendusega);</w:t>
      </w:r>
    </w:p>
    <w:p w14:paraId="7DB27A3C" w14:textId="77777777" w:rsidR="006E6DCE" w:rsidRPr="00687DE8" w:rsidRDefault="006E6DCE" w:rsidP="00F7150B">
      <w:pPr>
        <w:spacing w:after="0" w:line="240" w:lineRule="auto"/>
        <w:jc w:val="both"/>
        <w:divId w:val="1316184749"/>
        <w:rPr>
          <w:szCs w:val="24"/>
        </w:rPr>
      </w:pPr>
      <w:r w:rsidRPr="00687DE8">
        <w:rPr>
          <w:szCs w:val="24"/>
        </w:rPr>
        <w:t xml:space="preserve">4) </w:t>
      </w:r>
      <w:r w:rsidR="00AB0DC0" w:rsidRPr="00687DE8">
        <w:rPr>
          <w:szCs w:val="24"/>
        </w:rPr>
        <w:t xml:space="preserve">raviplaani koostamisel osalejad </w:t>
      </w:r>
      <w:r w:rsidR="00786838" w:rsidRPr="00687DE8">
        <w:rPr>
          <w:szCs w:val="24"/>
        </w:rPr>
        <w:t xml:space="preserve">(nimi, kood, </w:t>
      </w:r>
      <w:r w:rsidR="00604CCC" w:rsidRPr="00687DE8">
        <w:rPr>
          <w:szCs w:val="24"/>
        </w:rPr>
        <w:t>eriala/kutse).</w:t>
      </w:r>
    </w:p>
    <w:p w14:paraId="43084596" w14:textId="77777777" w:rsidR="001C7CA6" w:rsidRPr="00687DE8" w:rsidRDefault="001C7CA6" w:rsidP="00F7150B">
      <w:pPr>
        <w:spacing w:after="0" w:line="240" w:lineRule="auto"/>
        <w:jc w:val="both"/>
        <w:divId w:val="1316184749"/>
        <w:rPr>
          <w:szCs w:val="24"/>
        </w:rPr>
      </w:pPr>
    </w:p>
    <w:p w14:paraId="2F6253A6" w14:textId="76D5980B" w:rsidR="001C7CA6" w:rsidRPr="00687DE8" w:rsidRDefault="001C7CA6" w:rsidP="00F7150B">
      <w:pPr>
        <w:spacing w:after="0" w:line="240" w:lineRule="auto"/>
        <w:jc w:val="both"/>
        <w:divId w:val="1316184749"/>
        <w:rPr>
          <w:szCs w:val="24"/>
        </w:rPr>
      </w:pPr>
      <w:r w:rsidRPr="00687DE8">
        <w:rPr>
          <w:szCs w:val="24"/>
        </w:rPr>
        <w:t>(</w:t>
      </w:r>
      <w:r w:rsidR="009523D1">
        <w:rPr>
          <w:szCs w:val="24"/>
        </w:rPr>
        <w:t>29</w:t>
      </w:r>
      <w:r w:rsidR="00F670F6" w:rsidRPr="00687DE8">
        <w:rPr>
          <w:szCs w:val="24"/>
        </w:rPr>
        <w:t>)</w:t>
      </w:r>
      <w:r w:rsidRPr="00687DE8">
        <w:rPr>
          <w:szCs w:val="24"/>
        </w:rPr>
        <w:t xml:space="preserve"> </w:t>
      </w:r>
      <w:r w:rsidR="005023FD" w:rsidRPr="00687DE8">
        <w:rPr>
          <w:szCs w:val="24"/>
        </w:rPr>
        <w:t>Tervisekassa</w:t>
      </w:r>
      <w:r w:rsidR="008B6412" w:rsidRPr="00687DE8">
        <w:rPr>
          <w:szCs w:val="24"/>
        </w:rPr>
        <w:t xml:space="preserve"> võtab koodidega </w:t>
      </w:r>
      <w:r w:rsidR="00E43936" w:rsidRPr="00687DE8">
        <w:rPr>
          <w:szCs w:val="24"/>
        </w:rPr>
        <w:t>7084</w:t>
      </w:r>
      <w:r w:rsidR="00CF0E7D" w:rsidRPr="00687DE8">
        <w:rPr>
          <w:szCs w:val="24"/>
        </w:rPr>
        <w:t xml:space="preserve">, </w:t>
      </w:r>
      <w:r w:rsidR="00E43936" w:rsidRPr="00687DE8">
        <w:rPr>
          <w:szCs w:val="24"/>
        </w:rPr>
        <w:t>7085</w:t>
      </w:r>
      <w:r w:rsidR="00CF0E7D" w:rsidRPr="00687DE8">
        <w:rPr>
          <w:szCs w:val="24"/>
        </w:rPr>
        <w:t xml:space="preserve"> ja </w:t>
      </w:r>
      <w:r w:rsidR="00E43936" w:rsidRPr="00687DE8">
        <w:rPr>
          <w:szCs w:val="24"/>
        </w:rPr>
        <w:t>7086</w:t>
      </w:r>
      <w:r w:rsidR="00CF0E7D" w:rsidRPr="00687DE8">
        <w:rPr>
          <w:szCs w:val="24"/>
        </w:rPr>
        <w:t xml:space="preserve"> tähistatud </w:t>
      </w:r>
      <w:r w:rsidR="00445C20" w:rsidRPr="00687DE8">
        <w:rPr>
          <w:szCs w:val="24"/>
        </w:rPr>
        <w:t>valmisolekutasude eest tasu maksmise kohustuse üle</w:t>
      </w:r>
      <w:r w:rsidR="007E23BA" w:rsidRPr="00687DE8">
        <w:rPr>
          <w:szCs w:val="24"/>
        </w:rPr>
        <w:t xml:space="preserve"> </w:t>
      </w:r>
      <w:r w:rsidR="008D464C" w:rsidRPr="00687DE8">
        <w:rPr>
          <w:szCs w:val="24"/>
        </w:rPr>
        <w:t xml:space="preserve">tagasiulatuvalt kvartali eest </w:t>
      </w:r>
      <w:r w:rsidR="0043643D" w:rsidRPr="00687DE8">
        <w:rPr>
          <w:szCs w:val="24"/>
        </w:rPr>
        <w:t xml:space="preserve">järgmistelt raviasutustelt: </w:t>
      </w:r>
      <w:r w:rsidR="00A24A49" w:rsidRPr="00687DE8">
        <w:rPr>
          <w:szCs w:val="24"/>
        </w:rPr>
        <w:t xml:space="preserve">SA </w:t>
      </w:r>
      <w:r w:rsidR="00E5222F" w:rsidRPr="00687DE8">
        <w:rPr>
          <w:szCs w:val="24"/>
        </w:rPr>
        <w:t xml:space="preserve">Põhja-Eesti Regionaalhaigla, </w:t>
      </w:r>
      <w:r w:rsidR="00916A6B" w:rsidRPr="00687DE8">
        <w:rPr>
          <w:szCs w:val="24"/>
        </w:rPr>
        <w:t xml:space="preserve">SA Tartu Ülikooli Kliinikum, </w:t>
      </w:r>
      <w:r w:rsidR="006152E0" w:rsidRPr="00687DE8">
        <w:rPr>
          <w:szCs w:val="24"/>
        </w:rPr>
        <w:t xml:space="preserve">SA Tallinna Lastehaigla, </w:t>
      </w:r>
      <w:r w:rsidR="00DE3FC8" w:rsidRPr="00687DE8">
        <w:rPr>
          <w:szCs w:val="24"/>
        </w:rPr>
        <w:t xml:space="preserve">AS Ida-Tallinna Keskhaigla, </w:t>
      </w:r>
      <w:r w:rsidR="00D72FF5" w:rsidRPr="00687DE8">
        <w:rPr>
          <w:szCs w:val="24"/>
        </w:rPr>
        <w:t>SA Ida-Viru Keskhaigla</w:t>
      </w:r>
      <w:r w:rsidR="008A30AE" w:rsidRPr="00687DE8">
        <w:rPr>
          <w:szCs w:val="24"/>
        </w:rPr>
        <w:t>,</w:t>
      </w:r>
      <w:r w:rsidR="00D72FF5" w:rsidRPr="00687DE8">
        <w:rPr>
          <w:szCs w:val="24"/>
        </w:rPr>
        <w:t xml:space="preserve"> SA Pärnu Haigla</w:t>
      </w:r>
      <w:r w:rsidR="008A30AE" w:rsidRPr="00687DE8">
        <w:rPr>
          <w:szCs w:val="24"/>
        </w:rPr>
        <w:t xml:space="preserve"> ja </w:t>
      </w:r>
      <w:r w:rsidR="00C21C2D" w:rsidRPr="00687DE8">
        <w:rPr>
          <w:szCs w:val="24"/>
        </w:rPr>
        <w:t>SA Haapsalu Neuroloogiline Rehabilitatsioonikeskus.</w:t>
      </w:r>
    </w:p>
    <w:p w14:paraId="6A2FDE12" w14:textId="77777777" w:rsidR="0083529C" w:rsidRPr="00687DE8" w:rsidRDefault="0083529C" w:rsidP="00F7150B">
      <w:pPr>
        <w:spacing w:after="0" w:line="240" w:lineRule="auto"/>
        <w:jc w:val="both"/>
        <w:divId w:val="1316184749"/>
        <w:rPr>
          <w:szCs w:val="24"/>
        </w:rPr>
      </w:pPr>
    </w:p>
    <w:p w14:paraId="49673F6A" w14:textId="05534FAC" w:rsidR="00EA31D6" w:rsidRPr="00687DE8" w:rsidRDefault="0083529C" w:rsidP="00F7150B">
      <w:pPr>
        <w:spacing w:after="0" w:line="240" w:lineRule="auto"/>
        <w:jc w:val="both"/>
        <w:divId w:val="1316184749"/>
        <w:rPr>
          <w:szCs w:val="24"/>
        </w:rPr>
      </w:pPr>
      <w:r w:rsidRPr="00687DE8">
        <w:rPr>
          <w:szCs w:val="24"/>
        </w:rPr>
        <w:t>(</w:t>
      </w:r>
      <w:r w:rsidR="009523D1">
        <w:rPr>
          <w:szCs w:val="24"/>
        </w:rPr>
        <w:t>30</w:t>
      </w:r>
      <w:r w:rsidRPr="00687DE8">
        <w:rPr>
          <w:szCs w:val="24"/>
        </w:rPr>
        <w:t xml:space="preserve">) </w:t>
      </w:r>
      <w:r w:rsidR="005023FD" w:rsidRPr="00687DE8">
        <w:rPr>
          <w:szCs w:val="24"/>
        </w:rPr>
        <w:t>Tervisekassa</w:t>
      </w:r>
      <w:r w:rsidR="00590456" w:rsidRPr="00687DE8">
        <w:rPr>
          <w:szCs w:val="24"/>
        </w:rPr>
        <w:t xml:space="preserve"> võtab koodidega </w:t>
      </w:r>
      <w:r w:rsidR="00060D15" w:rsidRPr="00687DE8">
        <w:rPr>
          <w:szCs w:val="24"/>
        </w:rPr>
        <w:t>7075</w:t>
      </w:r>
      <w:r w:rsidR="0062312B" w:rsidRPr="00687DE8">
        <w:rPr>
          <w:szCs w:val="24"/>
        </w:rPr>
        <w:t xml:space="preserve">, </w:t>
      </w:r>
      <w:r w:rsidR="00060D15" w:rsidRPr="00687DE8">
        <w:rPr>
          <w:szCs w:val="24"/>
        </w:rPr>
        <w:t>7076</w:t>
      </w:r>
      <w:r w:rsidR="00F618E9" w:rsidRPr="00687DE8">
        <w:rPr>
          <w:szCs w:val="24"/>
        </w:rPr>
        <w:t>,</w:t>
      </w:r>
      <w:r w:rsidR="0062312B" w:rsidRPr="00687DE8">
        <w:rPr>
          <w:szCs w:val="24"/>
        </w:rPr>
        <w:t xml:space="preserve"> </w:t>
      </w:r>
      <w:r w:rsidR="00060D15" w:rsidRPr="00687DE8">
        <w:rPr>
          <w:szCs w:val="24"/>
        </w:rPr>
        <w:t>7077</w:t>
      </w:r>
      <w:r w:rsidR="00F618E9" w:rsidRPr="00687DE8">
        <w:rPr>
          <w:szCs w:val="24"/>
        </w:rPr>
        <w:t xml:space="preserve"> ja 7078</w:t>
      </w:r>
      <w:r w:rsidR="0062312B" w:rsidRPr="00687DE8">
        <w:rPr>
          <w:szCs w:val="24"/>
        </w:rPr>
        <w:t xml:space="preserve"> tähistatud tervishoiuteenuste eest tasu maksmise kohustuse üle lõikes </w:t>
      </w:r>
      <w:r w:rsidR="00F35D7F">
        <w:rPr>
          <w:szCs w:val="24"/>
        </w:rPr>
        <w:t>29</w:t>
      </w:r>
      <w:r w:rsidR="0062312B" w:rsidRPr="00687DE8">
        <w:rPr>
          <w:szCs w:val="24"/>
        </w:rPr>
        <w:t xml:space="preserve"> nimetatud raviasutus</w:t>
      </w:r>
      <w:r w:rsidR="00F60E74" w:rsidRPr="00687DE8">
        <w:rPr>
          <w:szCs w:val="24"/>
        </w:rPr>
        <w:t>elt</w:t>
      </w:r>
      <w:r w:rsidR="0062312B" w:rsidRPr="00687DE8">
        <w:rPr>
          <w:szCs w:val="24"/>
        </w:rPr>
        <w:t xml:space="preserve"> </w:t>
      </w:r>
      <w:r w:rsidR="0038726D" w:rsidRPr="00687DE8">
        <w:rPr>
          <w:szCs w:val="24"/>
        </w:rPr>
        <w:t xml:space="preserve">juhul, kui teenust osutatakse </w:t>
      </w:r>
      <w:r w:rsidR="002E7943" w:rsidRPr="00687DE8">
        <w:rPr>
          <w:szCs w:val="24"/>
        </w:rPr>
        <w:t>peaaju- või seljaajukahjustuse tagajärjel tekkinud funktsioonihäir</w:t>
      </w:r>
      <w:r w:rsidR="00EA31D6" w:rsidRPr="00687DE8">
        <w:rPr>
          <w:szCs w:val="24"/>
        </w:rPr>
        <w:t xml:space="preserve">ega </w:t>
      </w:r>
      <w:r w:rsidR="003E316F" w:rsidRPr="00687DE8">
        <w:rPr>
          <w:szCs w:val="24"/>
        </w:rPr>
        <w:t>patsiendile</w:t>
      </w:r>
      <w:r w:rsidR="00EA31D6" w:rsidRPr="00687DE8">
        <w:rPr>
          <w:szCs w:val="24"/>
        </w:rPr>
        <w:t>.</w:t>
      </w:r>
    </w:p>
    <w:p w14:paraId="18F8AE69" w14:textId="77777777" w:rsidR="00EA31D6" w:rsidRPr="00687DE8" w:rsidRDefault="00EA31D6" w:rsidP="00F7150B">
      <w:pPr>
        <w:spacing w:after="0" w:line="240" w:lineRule="auto"/>
        <w:jc w:val="both"/>
        <w:divId w:val="1316184749"/>
        <w:rPr>
          <w:szCs w:val="24"/>
        </w:rPr>
      </w:pPr>
    </w:p>
    <w:p w14:paraId="1747B103" w14:textId="6824307B" w:rsidR="00D64C0C" w:rsidRPr="00687DE8" w:rsidRDefault="00D54B87" w:rsidP="00F7150B">
      <w:pPr>
        <w:spacing w:after="0" w:line="240" w:lineRule="auto"/>
        <w:jc w:val="both"/>
        <w:divId w:val="1316184749"/>
        <w:rPr>
          <w:szCs w:val="24"/>
        </w:rPr>
      </w:pPr>
      <w:r w:rsidRPr="00687DE8">
        <w:rPr>
          <w:szCs w:val="24"/>
        </w:rPr>
        <w:lastRenderedPageBreak/>
        <w:t>(</w:t>
      </w:r>
      <w:r w:rsidR="009523D1">
        <w:rPr>
          <w:szCs w:val="24"/>
        </w:rPr>
        <w:t>31</w:t>
      </w:r>
      <w:r w:rsidR="00D64C0C" w:rsidRPr="00687DE8">
        <w:rPr>
          <w:szCs w:val="24"/>
        </w:rPr>
        <w:t xml:space="preserve">) </w:t>
      </w:r>
      <w:r w:rsidR="00C62CDA" w:rsidRPr="00687DE8">
        <w:rPr>
          <w:szCs w:val="24"/>
        </w:rPr>
        <w:t xml:space="preserve">Koodidega </w:t>
      </w:r>
      <w:r w:rsidR="00060D15" w:rsidRPr="00687DE8">
        <w:rPr>
          <w:szCs w:val="24"/>
        </w:rPr>
        <w:t>7084</w:t>
      </w:r>
      <w:r w:rsidR="004B272D" w:rsidRPr="00687DE8">
        <w:rPr>
          <w:szCs w:val="24"/>
        </w:rPr>
        <w:t xml:space="preserve">, </w:t>
      </w:r>
      <w:r w:rsidR="00060D15" w:rsidRPr="00687DE8">
        <w:rPr>
          <w:szCs w:val="24"/>
        </w:rPr>
        <w:t>7085</w:t>
      </w:r>
      <w:r w:rsidR="004B272D" w:rsidRPr="00687DE8">
        <w:rPr>
          <w:szCs w:val="24"/>
        </w:rPr>
        <w:t xml:space="preserve"> ja </w:t>
      </w:r>
      <w:r w:rsidR="00060D15" w:rsidRPr="00687DE8">
        <w:rPr>
          <w:szCs w:val="24"/>
        </w:rPr>
        <w:t>7086</w:t>
      </w:r>
      <w:r w:rsidR="004B272D" w:rsidRPr="00687DE8">
        <w:rPr>
          <w:szCs w:val="24"/>
        </w:rPr>
        <w:t xml:space="preserve"> </w:t>
      </w:r>
      <w:r w:rsidR="00184B16" w:rsidRPr="00687DE8">
        <w:rPr>
          <w:szCs w:val="24"/>
        </w:rPr>
        <w:t xml:space="preserve">tähistatud valmisolekutasudele rakendatakse koefitsienti </w:t>
      </w:r>
      <w:r w:rsidR="00EF0248" w:rsidRPr="00687DE8">
        <w:rPr>
          <w:szCs w:val="24"/>
        </w:rPr>
        <w:t>vastava</w:t>
      </w:r>
      <w:r w:rsidR="00CE56F8" w:rsidRPr="00687DE8">
        <w:rPr>
          <w:szCs w:val="24"/>
        </w:rPr>
        <w:t>lt</w:t>
      </w:r>
      <w:r w:rsidR="00EF0248" w:rsidRPr="00687DE8">
        <w:rPr>
          <w:szCs w:val="24"/>
        </w:rPr>
        <w:t xml:space="preserve"> </w:t>
      </w:r>
      <w:r w:rsidR="00E96879" w:rsidRPr="00687DE8">
        <w:rPr>
          <w:szCs w:val="24"/>
        </w:rPr>
        <w:t xml:space="preserve">kõrgtehnoloogilise seadmega </w:t>
      </w:r>
      <w:r w:rsidR="00F60E74" w:rsidRPr="00687DE8">
        <w:rPr>
          <w:szCs w:val="24"/>
        </w:rPr>
        <w:t>teenuse osutamise</w:t>
      </w:r>
      <w:r w:rsidR="00CE56F8" w:rsidRPr="00687DE8">
        <w:rPr>
          <w:szCs w:val="24"/>
        </w:rPr>
        <w:t xml:space="preserve"> </w:t>
      </w:r>
      <w:r w:rsidR="006C551A" w:rsidRPr="00687DE8">
        <w:rPr>
          <w:szCs w:val="24"/>
        </w:rPr>
        <w:t>kordadele</w:t>
      </w:r>
      <w:r w:rsidR="00E96879" w:rsidRPr="00687DE8">
        <w:rPr>
          <w:szCs w:val="24"/>
        </w:rPr>
        <w:t xml:space="preserve"> (tervishoiuteenuste koodid </w:t>
      </w:r>
      <w:r w:rsidR="00060D15" w:rsidRPr="00687DE8">
        <w:rPr>
          <w:szCs w:val="24"/>
        </w:rPr>
        <w:t>7075</w:t>
      </w:r>
      <w:r w:rsidR="00E96879" w:rsidRPr="00687DE8">
        <w:rPr>
          <w:szCs w:val="24"/>
        </w:rPr>
        <w:t xml:space="preserve">, </w:t>
      </w:r>
      <w:r w:rsidR="00060D15" w:rsidRPr="00687DE8">
        <w:rPr>
          <w:szCs w:val="24"/>
        </w:rPr>
        <w:t>7076</w:t>
      </w:r>
      <w:r w:rsidR="007C1164" w:rsidRPr="00687DE8">
        <w:rPr>
          <w:szCs w:val="24"/>
        </w:rPr>
        <w:t xml:space="preserve">, </w:t>
      </w:r>
      <w:r w:rsidR="00060D15" w:rsidRPr="00687DE8">
        <w:rPr>
          <w:szCs w:val="24"/>
        </w:rPr>
        <w:t>7077</w:t>
      </w:r>
      <w:r w:rsidR="007C1164" w:rsidRPr="00687DE8">
        <w:rPr>
          <w:szCs w:val="24"/>
        </w:rPr>
        <w:t xml:space="preserve"> ja 7078</w:t>
      </w:r>
      <w:r w:rsidR="00E96879" w:rsidRPr="00687DE8">
        <w:rPr>
          <w:szCs w:val="24"/>
        </w:rPr>
        <w:t>)</w:t>
      </w:r>
      <w:r w:rsidR="00453B70" w:rsidRPr="00687DE8">
        <w:rPr>
          <w:szCs w:val="24"/>
        </w:rPr>
        <w:t xml:space="preserve"> järgmiselt:</w:t>
      </w:r>
    </w:p>
    <w:p w14:paraId="345E82C7" w14:textId="77777777" w:rsidR="00453B70" w:rsidRPr="00687DE8" w:rsidRDefault="1A685186" w:rsidP="00F7150B">
      <w:pPr>
        <w:spacing w:after="0" w:line="240" w:lineRule="auto"/>
        <w:jc w:val="both"/>
        <w:divId w:val="1316184749"/>
        <w:rPr>
          <w:szCs w:val="24"/>
        </w:rPr>
      </w:pPr>
      <w:r w:rsidRPr="00687DE8">
        <w:rPr>
          <w:szCs w:val="24"/>
        </w:rPr>
        <w:t xml:space="preserve">1) </w:t>
      </w:r>
      <w:r w:rsidR="4854D472" w:rsidRPr="00687DE8">
        <w:rPr>
          <w:szCs w:val="24"/>
        </w:rPr>
        <w:t xml:space="preserve">vähemalt </w:t>
      </w:r>
      <w:r w:rsidR="0F87EA78" w:rsidRPr="00687DE8">
        <w:rPr>
          <w:szCs w:val="24"/>
        </w:rPr>
        <w:t>195 korda kvartalis</w:t>
      </w:r>
      <w:r w:rsidR="28BBEDD4" w:rsidRPr="00687DE8">
        <w:rPr>
          <w:szCs w:val="24"/>
        </w:rPr>
        <w:t xml:space="preserve"> – koefitsient 1;</w:t>
      </w:r>
    </w:p>
    <w:p w14:paraId="28CBD919" w14:textId="77777777" w:rsidR="007E69A2" w:rsidRPr="00687DE8" w:rsidRDefault="007E69A2" w:rsidP="12F5FC8C">
      <w:pPr>
        <w:shd w:val="clear" w:color="auto" w:fill="FFFFFF" w:themeFill="background1"/>
        <w:spacing w:after="0" w:line="240" w:lineRule="auto"/>
        <w:jc w:val="both"/>
        <w:divId w:val="1316184749"/>
        <w:rPr>
          <w:color w:val="202020"/>
          <w:szCs w:val="24"/>
          <w:lang w:eastAsia="et-EE"/>
        </w:rPr>
      </w:pPr>
      <w:r w:rsidRPr="00687DE8">
        <w:rPr>
          <w:color w:val="202020"/>
          <w:szCs w:val="24"/>
          <w:lang w:eastAsia="et-EE"/>
        </w:rPr>
        <w:t>2) 165</w:t>
      </w:r>
      <w:r w:rsidR="00E114C0" w:rsidRPr="00687DE8">
        <w:rPr>
          <w:color w:val="202020"/>
          <w:szCs w:val="24"/>
          <w:lang w:eastAsia="et-EE"/>
        </w:rPr>
        <w:t>–194</w:t>
      </w:r>
      <w:r w:rsidRPr="00687DE8">
        <w:rPr>
          <w:color w:val="202020"/>
          <w:szCs w:val="24"/>
          <w:lang w:eastAsia="et-EE"/>
        </w:rPr>
        <w:t xml:space="preserve"> korda kvartalis – koefitsient 0,8;</w:t>
      </w:r>
    </w:p>
    <w:p w14:paraId="2F544E87" w14:textId="77777777" w:rsidR="007E69A2" w:rsidRPr="00687DE8" w:rsidRDefault="007E69A2" w:rsidP="12F5FC8C">
      <w:pPr>
        <w:shd w:val="clear" w:color="auto" w:fill="FFFFFF" w:themeFill="background1"/>
        <w:spacing w:after="0" w:line="240" w:lineRule="auto"/>
        <w:jc w:val="both"/>
        <w:divId w:val="1316184749"/>
        <w:rPr>
          <w:color w:val="202020"/>
          <w:szCs w:val="24"/>
          <w:lang w:eastAsia="et-EE"/>
        </w:rPr>
      </w:pPr>
      <w:r w:rsidRPr="00687DE8">
        <w:rPr>
          <w:color w:val="202020"/>
          <w:szCs w:val="24"/>
          <w:lang w:eastAsia="et-EE"/>
        </w:rPr>
        <w:t>3) 135</w:t>
      </w:r>
      <w:r w:rsidR="00E114C0" w:rsidRPr="00687DE8">
        <w:rPr>
          <w:color w:val="202020"/>
          <w:szCs w:val="24"/>
          <w:lang w:eastAsia="et-EE"/>
        </w:rPr>
        <w:t>–164</w:t>
      </w:r>
      <w:r w:rsidRPr="00687DE8">
        <w:rPr>
          <w:color w:val="202020"/>
          <w:szCs w:val="24"/>
          <w:lang w:eastAsia="et-EE"/>
        </w:rPr>
        <w:t xml:space="preserve"> korda kvartalis – koefitsient 0,7;</w:t>
      </w:r>
    </w:p>
    <w:p w14:paraId="50555E98" w14:textId="77777777" w:rsidR="00B4139A" w:rsidRPr="00687DE8" w:rsidRDefault="007E69A2" w:rsidP="00935846">
      <w:pPr>
        <w:spacing w:after="0" w:line="240" w:lineRule="auto"/>
        <w:jc w:val="both"/>
        <w:divId w:val="1316184749"/>
        <w:rPr>
          <w:color w:val="202020"/>
          <w:szCs w:val="24"/>
          <w:lang w:eastAsia="et-EE"/>
        </w:rPr>
      </w:pPr>
      <w:r w:rsidRPr="00687DE8">
        <w:rPr>
          <w:color w:val="202020"/>
          <w:szCs w:val="24"/>
          <w:lang w:eastAsia="et-EE"/>
        </w:rPr>
        <w:t>4) vähem kui 135 – koefitsient 0,5.</w:t>
      </w:r>
    </w:p>
    <w:p w14:paraId="761AC6FB" w14:textId="77777777" w:rsidR="00935846" w:rsidRPr="00687DE8" w:rsidRDefault="000D2B84" w:rsidP="00935846">
      <w:pPr>
        <w:spacing w:after="0" w:line="240" w:lineRule="auto"/>
        <w:jc w:val="both"/>
        <w:divId w:val="1316184749"/>
        <w:rPr>
          <w:szCs w:val="24"/>
        </w:rPr>
      </w:pPr>
      <w:r w:rsidRPr="00687DE8">
        <w:rPr>
          <w:szCs w:val="24"/>
        </w:rPr>
        <w:t>Koodiga 7084 tähistatud valmisolekutasu</w:t>
      </w:r>
      <w:r w:rsidR="00CA07A0" w:rsidRPr="00687DE8">
        <w:rPr>
          <w:szCs w:val="24"/>
        </w:rPr>
        <w:t>le</w:t>
      </w:r>
      <w:r w:rsidRPr="00687DE8">
        <w:rPr>
          <w:szCs w:val="24"/>
        </w:rPr>
        <w:t xml:space="preserve"> koefitsiendi määramise aluseks on koodiga </w:t>
      </w:r>
      <w:r w:rsidR="00FF60C5" w:rsidRPr="00687DE8">
        <w:rPr>
          <w:szCs w:val="24"/>
        </w:rPr>
        <w:t>7075 tähistatud teenus</w:t>
      </w:r>
      <w:r w:rsidR="006D64B5" w:rsidRPr="00687DE8">
        <w:rPr>
          <w:szCs w:val="24"/>
        </w:rPr>
        <w:t>e</w:t>
      </w:r>
      <w:r w:rsidR="00FF60C5" w:rsidRPr="00687DE8">
        <w:rPr>
          <w:szCs w:val="24"/>
        </w:rPr>
        <w:t xml:space="preserve"> </w:t>
      </w:r>
      <w:r w:rsidR="007F75CA" w:rsidRPr="00687DE8">
        <w:rPr>
          <w:szCs w:val="24"/>
        </w:rPr>
        <w:t xml:space="preserve">osutamise </w:t>
      </w:r>
      <w:r w:rsidR="006D64B5" w:rsidRPr="00687DE8">
        <w:rPr>
          <w:szCs w:val="24"/>
        </w:rPr>
        <w:t>kordade arv</w:t>
      </w:r>
      <w:r w:rsidR="00FF60C5" w:rsidRPr="00687DE8">
        <w:rPr>
          <w:szCs w:val="24"/>
        </w:rPr>
        <w:t xml:space="preserve">, </w:t>
      </w:r>
      <w:r w:rsidR="006D64B5" w:rsidRPr="00687DE8">
        <w:rPr>
          <w:szCs w:val="24"/>
        </w:rPr>
        <w:t>koodiga 7085 tähistatud valmisolekutasu</w:t>
      </w:r>
      <w:r w:rsidR="00CA07A0" w:rsidRPr="00687DE8">
        <w:rPr>
          <w:szCs w:val="24"/>
        </w:rPr>
        <w:t>le</w:t>
      </w:r>
      <w:r w:rsidR="006D64B5" w:rsidRPr="00687DE8">
        <w:rPr>
          <w:szCs w:val="24"/>
        </w:rPr>
        <w:t xml:space="preserve"> koefitsiendi määramise aluseks on koodi</w:t>
      </w:r>
      <w:r w:rsidR="00B44D4C" w:rsidRPr="00687DE8">
        <w:rPr>
          <w:szCs w:val="24"/>
        </w:rPr>
        <w:t>de</w:t>
      </w:r>
      <w:r w:rsidR="006D64B5" w:rsidRPr="00687DE8">
        <w:rPr>
          <w:szCs w:val="24"/>
        </w:rPr>
        <w:t>ga 707</w:t>
      </w:r>
      <w:r w:rsidR="00935846" w:rsidRPr="00687DE8">
        <w:rPr>
          <w:szCs w:val="24"/>
        </w:rPr>
        <w:t>6</w:t>
      </w:r>
      <w:r w:rsidR="00061795" w:rsidRPr="00687DE8">
        <w:rPr>
          <w:szCs w:val="24"/>
        </w:rPr>
        <w:t xml:space="preserve"> ja 7078</w:t>
      </w:r>
      <w:r w:rsidR="006D64B5" w:rsidRPr="00687DE8">
        <w:rPr>
          <w:szCs w:val="24"/>
        </w:rPr>
        <w:t xml:space="preserve"> tähistatud teenus</w:t>
      </w:r>
      <w:r w:rsidR="0034678C" w:rsidRPr="00687DE8">
        <w:rPr>
          <w:szCs w:val="24"/>
        </w:rPr>
        <w:t>t</w:t>
      </w:r>
      <w:r w:rsidR="006D64B5" w:rsidRPr="00687DE8">
        <w:rPr>
          <w:szCs w:val="24"/>
        </w:rPr>
        <w:t xml:space="preserve">e </w:t>
      </w:r>
      <w:r w:rsidR="007F75CA" w:rsidRPr="00687DE8">
        <w:rPr>
          <w:szCs w:val="24"/>
        </w:rPr>
        <w:t xml:space="preserve">osutamise </w:t>
      </w:r>
      <w:r w:rsidR="006D64B5" w:rsidRPr="00687DE8">
        <w:rPr>
          <w:szCs w:val="24"/>
        </w:rPr>
        <w:t>kordade arv</w:t>
      </w:r>
      <w:r w:rsidR="00935846" w:rsidRPr="00687DE8">
        <w:rPr>
          <w:szCs w:val="24"/>
        </w:rPr>
        <w:t xml:space="preserve"> ja koodiga 7086 tähistatud valmisolekutasu</w:t>
      </w:r>
      <w:r w:rsidR="00EF1C18" w:rsidRPr="00687DE8">
        <w:rPr>
          <w:szCs w:val="24"/>
        </w:rPr>
        <w:t>le</w:t>
      </w:r>
      <w:r w:rsidR="00935846" w:rsidRPr="00687DE8">
        <w:rPr>
          <w:szCs w:val="24"/>
        </w:rPr>
        <w:t xml:space="preserve"> koefitsiendi määramise aluseks on koodiga 7077 tähistatud teenuse </w:t>
      </w:r>
      <w:r w:rsidR="007F75CA" w:rsidRPr="00687DE8">
        <w:rPr>
          <w:szCs w:val="24"/>
        </w:rPr>
        <w:t xml:space="preserve">osutamise </w:t>
      </w:r>
      <w:r w:rsidR="00935846" w:rsidRPr="00687DE8">
        <w:rPr>
          <w:szCs w:val="24"/>
        </w:rPr>
        <w:t>kordade arv</w:t>
      </w:r>
      <w:r w:rsidR="003A3B5E" w:rsidRPr="00687DE8">
        <w:rPr>
          <w:szCs w:val="24"/>
        </w:rPr>
        <w:t>.</w:t>
      </w:r>
    </w:p>
    <w:p w14:paraId="7C507C3F" w14:textId="77777777" w:rsidR="006D64B5" w:rsidRPr="00687DE8" w:rsidRDefault="006D64B5" w:rsidP="006D64B5">
      <w:pPr>
        <w:spacing w:after="0" w:line="240" w:lineRule="auto"/>
        <w:jc w:val="both"/>
        <w:divId w:val="1316184749"/>
        <w:rPr>
          <w:szCs w:val="24"/>
        </w:rPr>
      </w:pPr>
    </w:p>
    <w:p w14:paraId="36BB80D6" w14:textId="67E4E8E2" w:rsidR="00E458C2" w:rsidRPr="00687DE8" w:rsidRDefault="005104D5" w:rsidP="00E458C2">
      <w:pPr>
        <w:shd w:val="clear" w:color="auto" w:fill="FFFFFF" w:themeFill="background1"/>
        <w:spacing w:after="0" w:line="240" w:lineRule="auto"/>
        <w:jc w:val="both"/>
        <w:divId w:val="1316184749"/>
        <w:rPr>
          <w:color w:val="202020"/>
          <w:szCs w:val="24"/>
          <w:lang w:eastAsia="et-EE"/>
        </w:rPr>
      </w:pPr>
      <w:r w:rsidRPr="00687DE8">
        <w:rPr>
          <w:szCs w:val="24"/>
        </w:rPr>
        <w:t>(</w:t>
      </w:r>
      <w:r w:rsidR="00147C95">
        <w:rPr>
          <w:szCs w:val="24"/>
        </w:rPr>
        <w:t>32</w:t>
      </w:r>
      <w:r w:rsidRPr="00687DE8">
        <w:rPr>
          <w:szCs w:val="24"/>
        </w:rPr>
        <w:t xml:space="preserve">) </w:t>
      </w:r>
      <w:r w:rsidR="00E458C2" w:rsidRPr="00687DE8">
        <w:rPr>
          <w:color w:val="202020"/>
          <w:szCs w:val="24"/>
          <w:lang w:eastAsia="et-EE"/>
        </w:rPr>
        <w:t>Koodi</w:t>
      </w:r>
      <w:r w:rsidR="00BA0FDA" w:rsidRPr="00687DE8">
        <w:rPr>
          <w:color w:val="202020"/>
          <w:szCs w:val="24"/>
          <w:lang w:eastAsia="et-EE"/>
        </w:rPr>
        <w:t>dega</w:t>
      </w:r>
      <w:r w:rsidR="00E458C2" w:rsidRPr="00687DE8">
        <w:rPr>
          <w:color w:val="202020"/>
          <w:szCs w:val="24"/>
          <w:lang w:eastAsia="et-EE"/>
        </w:rPr>
        <w:t xml:space="preserve"> </w:t>
      </w:r>
      <w:r w:rsidR="001701EE" w:rsidRPr="00687DE8">
        <w:rPr>
          <w:color w:val="202020"/>
          <w:szCs w:val="24"/>
          <w:lang w:eastAsia="et-EE"/>
        </w:rPr>
        <w:t>70</w:t>
      </w:r>
      <w:r w:rsidR="001A7B0D" w:rsidRPr="00687DE8">
        <w:rPr>
          <w:color w:val="202020"/>
          <w:szCs w:val="24"/>
          <w:lang w:eastAsia="et-EE"/>
        </w:rPr>
        <w:t>75</w:t>
      </w:r>
      <w:r w:rsidR="00BA0FDA" w:rsidRPr="00687DE8">
        <w:rPr>
          <w:color w:val="202020"/>
          <w:szCs w:val="24"/>
          <w:lang w:eastAsia="et-EE"/>
        </w:rPr>
        <w:t xml:space="preserve">, </w:t>
      </w:r>
      <w:r w:rsidR="001A7B0D" w:rsidRPr="00687DE8">
        <w:rPr>
          <w:color w:val="202020"/>
          <w:szCs w:val="24"/>
          <w:lang w:eastAsia="et-EE"/>
        </w:rPr>
        <w:t>7076</w:t>
      </w:r>
      <w:r w:rsidR="00896707" w:rsidRPr="00687DE8">
        <w:rPr>
          <w:color w:val="202020"/>
          <w:szCs w:val="24"/>
          <w:lang w:eastAsia="et-EE"/>
        </w:rPr>
        <w:t>,</w:t>
      </w:r>
      <w:r w:rsidR="00D34074" w:rsidRPr="00687DE8">
        <w:rPr>
          <w:color w:val="202020"/>
          <w:szCs w:val="24"/>
          <w:lang w:eastAsia="et-EE"/>
        </w:rPr>
        <w:t xml:space="preserve"> </w:t>
      </w:r>
      <w:r w:rsidR="001A7B0D" w:rsidRPr="00687DE8">
        <w:rPr>
          <w:color w:val="202020"/>
          <w:szCs w:val="24"/>
          <w:lang w:eastAsia="et-EE"/>
        </w:rPr>
        <w:t>7077</w:t>
      </w:r>
      <w:r w:rsidR="00CA2268" w:rsidRPr="00687DE8">
        <w:rPr>
          <w:color w:val="202020"/>
          <w:szCs w:val="24"/>
          <w:lang w:eastAsia="et-EE"/>
        </w:rPr>
        <w:t>,</w:t>
      </w:r>
      <w:r w:rsidR="00887133" w:rsidRPr="00687DE8">
        <w:rPr>
          <w:color w:val="202020"/>
          <w:szCs w:val="24"/>
          <w:lang w:eastAsia="et-EE"/>
        </w:rPr>
        <w:t xml:space="preserve"> 7078,</w:t>
      </w:r>
      <w:r w:rsidR="00D34074" w:rsidRPr="00687DE8">
        <w:rPr>
          <w:color w:val="202020"/>
          <w:szCs w:val="24"/>
          <w:lang w:eastAsia="et-EE"/>
        </w:rPr>
        <w:t xml:space="preserve"> </w:t>
      </w:r>
      <w:r w:rsidR="005F53F9" w:rsidRPr="00687DE8">
        <w:rPr>
          <w:color w:val="202020"/>
          <w:szCs w:val="24"/>
          <w:lang w:eastAsia="et-EE"/>
        </w:rPr>
        <w:t>7084</w:t>
      </w:r>
      <w:r w:rsidR="00D34074" w:rsidRPr="00687DE8">
        <w:rPr>
          <w:color w:val="202020"/>
          <w:szCs w:val="24"/>
          <w:lang w:eastAsia="et-EE"/>
        </w:rPr>
        <w:t xml:space="preserve">, </w:t>
      </w:r>
      <w:r w:rsidR="005F53F9" w:rsidRPr="00687DE8">
        <w:rPr>
          <w:color w:val="202020"/>
          <w:szCs w:val="24"/>
          <w:lang w:eastAsia="et-EE"/>
        </w:rPr>
        <w:t>7085</w:t>
      </w:r>
      <w:r w:rsidR="00D34074" w:rsidRPr="00687DE8">
        <w:rPr>
          <w:color w:val="202020"/>
          <w:szCs w:val="24"/>
          <w:lang w:eastAsia="et-EE"/>
        </w:rPr>
        <w:t xml:space="preserve"> ja </w:t>
      </w:r>
      <w:r w:rsidR="005F53F9" w:rsidRPr="00687DE8">
        <w:rPr>
          <w:color w:val="202020"/>
          <w:szCs w:val="24"/>
          <w:lang w:eastAsia="et-EE"/>
        </w:rPr>
        <w:t>7086</w:t>
      </w:r>
      <w:r w:rsidR="00D34074" w:rsidRPr="00687DE8">
        <w:rPr>
          <w:color w:val="202020"/>
          <w:szCs w:val="24"/>
          <w:lang w:eastAsia="et-EE"/>
        </w:rPr>
        <w:t xml:space="preserve"> </w:t>
      </w:r>
      <w:r w:rsidR="008D0B49" w:rsidRPr="00687DE8">
        <w:rPr>
          <w:color w:val="202020"/>
          <w:szCs w:val="24"/>
          <w:lang w:eastAsia="et-EE"/>
        </w:rPr>
        <w:t xml:space="preserve">tähistatud </w:t>
      </w:r>
      <w:r w:rsidR="00C21F34" w:rsidRPr="00687DE8">
        <w:rPr>
          <w:color w:val="202020"/>
          <w:szCs w:val="24"/>
          <w:lang w:eastAsia="et-EE"/>
        </w:rPr>
        <w:t>teenus</w:t>
      </w:r>
      <w:r w:rsidR="00CA2268" w:rsidRPr="00687DE8">
        <w:rPr>
          <w:color w:val="202020"/>
          <w:szCs w:val="24"/>
          <w:lang w:eastAsia="et-EE"/>
        </w:rPr>
        <w:t>eid</w:t>
      </w:r>
      <w:r w:rsidR="00DE3668" w:rsidRPr="00687DE8">
        <w:rPr>
          <w:color w:val="202020"/>
          <w:szCs w:val="24"/>
          <w:lang w:eastAsia="et-EE"/>
        </w:rPr>
        <w:t xml:space="preserve"> </w:t>
      </w:r>
      <w:r w:rsidR="00203D29" w:rsidRPr="00687DE8">
        <w:rPr>
          <w:color w:val="202020"/>
          <w:szCs w:val="24"/>
          <w:lang w:eastAsia="et-EE"/>
        </w:rPr>
        <w:t>rakendatakse</w:t>
      </w:r>
      <w:r w:rsidR="00CA2268" w:rsidRPr="00687DE8">
        <w:rPr>
          <w:color w:val="202020"/>
          <w:szCs w:val="24"/>
          <w:lang w:eastAsia="et-EE"/>
        </w:rPr>
        <w:t>, kui teenuse osuta</w:t>
      </w:r>
      <w:r w:rsidR="00896707" w:rsidRPr="00687DE8">
        <w:rPr>
          <w:color w:val="202020"/>
          <w:szCs w:val="24"/>
          <w:lang w:eastAsia="et-EE"/>
        </w:rPr>
        <w:t>m</w:t>
      </w:r>
      <w:r w:rsidR="00CA2268" w:rsidRPr="00687DE8">
        <w:rPr>
          <w:color w:val="202020"/>
          <w:szCs w:val="24"/>
          <w:lang w:eastAsia="et-EE"/>
        </w:rPr>
        <w:t xml:space="preserve">isel kasutatakse </w:t>
      </w:r>
      <w:r w:rsidR="00E458C2" w:rsidRPr="00687DE8">
        <w:rPr>
          <w:color w:val="202020"/>
          <w:szCs w:val="24"/>
          <w:lang w:eastAsia="et-EE"/>
        </w:rPr>
        <w:t>kõrgtehnoloogilis</w:t>
      </w:r>
      <w:r w:rsidR="00CA2268" w:rsidRPr="00687DE8">
        <w:rPr>
          <w:color w:val="202020"/>
          <w:szCs w:val="24"/>
          <w:lang w:eastAsia="et-EE"/>
        </w:rPr>
        <w:t>t</w:t>
      </w:r>
      <w:r w:rsidR="00E458C2" w:rsidRPr="00687DE8">
        <w:rPr>
          <w:color w:val="202020"/>
          <w:szCs w:val="24"/>
          <w:lang w:eastAsia="et-EE"/>
        </w:rPr>
        <w:t xml:space="preserve"> ümberprogrammeeritavat multifunktsionaalset manipulaatorit, mis põhineb motoorsel õppimisel intensiivse ja korduva ülesandele orienteeritud tegevuse </w:t>
      </w:r>
      <w:r w:rsidR="003B2FDC" w:rsidRPr="00687DE8">
        <w:rPr>
          <w:color w:val="202020"/>
          <w:szCs w:val="24"/>
          <w:lang w:eastAsia="et-EE"/>
        </w:rPr>
        <w:t xml:space="preserve">kaudu </w:t>
      </w:r>
      <w:r w:rsidR="00E458C2" w:rsidRPr="00687DE8">
        <w:rPr>
          <w:color w:val="202020"/>
          <w:szCs w:val="24"/>
          <w:lang w:eastAsia="et-EE"/>
        </w:rPr>
        <w:t xml:space="preserve">ning </w:t>
      </w:r>
      <w:r w:rsidR="0075215C" w:rsidRPr="00687DE8">
        <w:rPr>
          <w:color w:val="202020"/>
          <w:szCs w:val="24"/>
          <w:lang w:eastAsia="et-EE"/>
        </w:rPr>
        <w:t xml:space="preserve">mille kasutamine </w:t>
      </w:r>
      <w:r w:rsidR="00E458C2" w:rsidRPr="00687DE8">
        <w:rPr>
          <w:color w:val="202020"/>
          <w:szCs w:val="24"/>
          <w:lang w:eastAsia="et-EE"/>
        </w:rPr>
        <w:t>vajab patsiendi jõupingutust ja tähelepanu.</w:t>
      </w:r>
    </w:p>
    <w:p w14:paraId="524A66A3" w14:textId="77777777" w:rsidR="003D0BDB" w:rsidRPr="00687DE8" w:rsidRDefault="003D0BDB" w:rsidP="00E458C2">
      <w:pPr>
        <w:shd w:val="clear" w:color="auto" w:fill="FFFFFF" w:themeFill="background1"/>
        <w:spacing w:after="0" w:line="240" w:lineRule="auto"/>
        <w:jc w:val="both"/>
        <w:divId w:val="1316184749"/>
        <w:rPr>
          <w:color w:val="202020"/>
          <w:szCs w:val="24"/>
          <w:lang w:eastAsia="et-EE"/>
        </w:rPr>
      </w:pPr>
    </w:p>
    <w:p w14:paraId="3B5D6688" w14:textId="153B87E1" w:rsidR="001D0124" w:rsidRPr="00687DE8" w:rsidRDefault="003D0BDB" w:rsidP="00E458C2">
      <w:pPr>
        <w:shd w:val="clear" w:color="auto" w:fill="FFFFFF" w:themeFill="background1"/>
        <w:spacing w:after="0" w:line="240" w:lineRule="auto"/>
        <w:jc w:val="both"/>
        <w:divId w:val="1316184749"/>
      </w:pPr>
      <w:r w:rsidRPr="66C5D2A1">
        <w:rPr>
          <w:color w:val="202020"/>
          <w:lang w:eastAsia="et-EE"/>
        </w:rPr>
        <w:t>(</w:t>
      </w:r>
      <w:r w:rsidR="00147C95">
        <w:rPr>
          <w:color w:val="202020"/>
          <w:lang w:eastAsia="et-EE"/>
        </w:rPr>
        <w:t>33</w:t>
      </w:r>
      <w:r w:rsidRPr="66C5D2A1">
        <w:rPr>
          <w:color w:val="202020"/>
          <w:lang w:eastAsia="et-EE"/>
        </w:rPr>
        <w:t xml:space="preserve">) </w:t>
      </w:r>
      <w:r w:rsidR="005023FD" w:rsidRPr="66C5D2A1">
        <w:rPr>
          <w:color w:val="202020"/>
          <w:lang w:eastAsia="et-EE"/>
        </w:rPr>
        <w:t>Tervisekassa</w:t>
      </w:r>
      <w:r w:rsidR="00180A6D" w:rsidRPr="66C5D2A1">
        <w:rPr>
          <w:color w:val="202020"/>
          <w:lang w:eastAsia="et-EE"/>
        </w:rPr>
        <w:t xml:space="preserve"> võtab </w:t>
      </w:r>
      <w:r w:rsidR="007C0E94" w:rsidRPr="66C5D2A1">
        <w:rPr>
          <w:color w:val="202020"/>
          <w:lang w:eastAsia="et-EE"/>
        </w:rPr>
        <w:t>järgmise</w:t>
      </w:r>
      <w:r w:rsidR="00180A6D" w:rsidRPr="66C5D2A1">
        <w:rPr>
          <w:color w:val="202020"/>
          <w:lang w:eastAsia="et-EE"/>
        </w:rPr>
        <w:t xml:space="preserve"> samaliigilise seadme </w:t>
      </w:r>
      <w:r w:rsidR="00E00055" w:rsidRPr="66C5D2A1">
        <w:rPr>
          <w:color w:val="202020"/>
          <w:lang w:eastAsia="et-EE"/>
        </w:rPr>
        <w:t>eest</w:t>
      </w:r>
      <w:r w:rsidR="00180A6D" w:rsidRPr="66C5D2A1">
        <w:rPr>
          <w:color w:val="202020"/>
          <w:lang w:eastAsia="et-EE"/>
        </w:rPr>
        <w:t xml:space="preserve"> </w:t>
      </w:r>
      <w:r w:rsidR="001A6C66" w:rsidRPr="66C5D2A1">
        <w:rPr>
          <w:color w:val="202020"/>
          <w:lang w:eastAsia="et-EE"/>
        </w:rPr>
        <w:t>valmisolekutasu (</w:t>
      </w:r>
      <w:r w:rsidR="00037C81" w:rsidRPr="66C5D2A1">
        <w:rPr>
          <w:color w:val="202020"/>
          <w:lang w:eastAsia="et-EE"/>
        </w:rPr>
        <w:t xml:space="preserve">koodiga </w:t>
      </w:r>
      <w:r w:rsidR="000B20B0">
        <w:t xml:space="preserve">7084, 7085 </w:t>
      </w:r>
      <w:r w:rsidR="00037C81">
        <w:t>või</w:t>
      </w:r>
      <w:r w:rsidR="000B20B0">
        <w:t xml:space="preserve"> 7086 tähistatud </w:t>
      </w:r>
      <w:r w:rsidR="001A6C66">
        <w:t>teenus</w:t>
      </w:r>
      <w:r w:rsidR="000B20B0">
        <w:t>)</w:t>
      </w:r>
      <w:r w:rsidR="006524C6">
        <w:t xml:space="preserve"> maksmise kohustuse üle</w:t>
      </w:r>
      <w:r w:rsidR="0077788F">
        <w:t xml:space="preserve">, kui </w:t>
      </w:r>
      <w:r w:rsidR="0070525F">
        <w:t>iga eel</w:t>
      </w:r>
      <w:r w:rsidR="000A52C4">
        <w:t>mise samaliigilise</w:t>
      </w:r>
      <w:r w:rsidR="0077788F">
        <w:t xml:space="preserve"> seadmega </w:t>
      </w:r>
      <w:r w:rsidR="00181F3B">
        <w:t xml:space="preserve">on </w:t>
      </w:r>
      <w:r w:rsidR="000A52C4">
        <w:t xml:space="preserve">osutatud </w:t>
      </w:r>
      <w:r w:rsidR="0012659E">
        <w:t>teraapiateenuseid</w:t>
      </w:r>
      <w:r w:rsidR="00987AAA">
        <w:t xml:space="preserve"> </w:t>
      </w:r>
      <w:r w:rsidR="00CA095D">
        <w:t>peaaju- või seljaajukahjustuse tagajärjel tekkinud funktsioonihäirega patsien</w:t>
      </w:r>
      <w:r w:rsidR="00E666BC">
        <w:t xml:space="preserve">tidele vähemalt </w:t>
      </w:r>
      <w:r w:rsidR="00084721">
        <w:t>900</w:t>
      </w:r>
      <w:r w:rsidR="00E666BC">
        <w:t xml:space="preserve"> korda </w:t>
      </w:r>
      <w:r w:rsidR="0070179F">
        <w:t>kvartalis</w:t>
      </w:r>
      <w:r w:rsidR="009910A5">
        <w:t>,</w:t>
      </w:r>
      <w:r w:rsidR="00A45106">
        <w:t xml:space="preserve"> </w:t>
      </w:r>
      <w:r w:rsidR="009910A5">
        <w:t>v.a</w:t>
      </w:r>
      <w:r w:rsidR="000A52C4">
        <w:t xml:space="preserve"> juhul,</w:t>
      </w:r>
      <w:r w:rsidR="009910A5">
        <w:t xml:space="preserve"> kui järg</w:t>
      </w:r>
      <w:r w:rsidR="000A52C4">
        <w:t>mine</w:t>
      </w:r>
      <w:r w:rsidR="009910A5">
        <w:t xml:space="preserve"> seade on mõeldud </w:t>
      </w:r>
      <w:r w:rsidR="000A52C4">
        <w:t xml:space="preserve">muule </w:t>
      </w:r>
      <w:r w:rsidR="009910A5">
        <w:t>patsiendi</w:t>
      </w:r>
      <w:r w:rsidR="000A52C4">
        <w:t>rühmale</w:t>
      </w:r>
      <w:r w:rsidR="009910A5">
        <w:t xml:space="preserve"> (vastavalt lastele või täiskasvanutele)</w:t>
      </w:r>
      <w:r w:rsidR="00583E4A">
        <w:t>.</w:t>
      </w:r>
    </w:p>
    <w:p w14:paraId="0652E299" w14:textId="77777777" w:rsidR="000375DD" w:rsidRDefault="000375DD" w:rsidP="00E458C2">
      <w:pPr>
        <w:shd w:val="clear" w:color="auto" w:fill="FFFFFF" w:themeFill="background1"/>
        <w:spacing w:after="0" w:line="240" w:lineRule="auto"/>
        <w:jc w:val="both"/>
        <w:divId w:val="1316184749"/>
      </w:pPr>
    </w:p>
    <w:p w14:paraId="7C053AE9" w14:textId="3BA49B37" w:rsidR="000375DD" w:rsidRDefault="000375DD" w:rsidP="00E458C2">
      <w:pPr>
        <w:shd w:val="clear" w:color="auto" w:fill="FFFFFF" w:themeFill="background1"/>
        <w:spacing w:after="0" w:line="240" w:lineRule="auto"/>
        <w:jc w:val="both"/>
        <w:divId w:val="1316184749"/>
      </w:pPr>
      <w:r>
        <w:t>(34)</w:t>
      </w:r>
      <w:r w:rsidR="00D801AE">
        <w:t xml:space="preserve"> </w:t>
      </w:r>
      <w:r w:rsidR="00135741">
        <w:t>Koodidega 7050 ja 7055 tähistatud tervi</w:t>
      </w:r>
      <w:r w:rsidR="00914B27">
        <w:t>s</w:t>
      </w:r>
      <w:r w:rsidR="00135741">
        <w:t xml:space="preserve">hoiuteenuseid ei rakendata ambulatoorse </w:t>
      </w:r>
      <w:r w:rsidR="007A00B9">
        <w:t>ravi</w:t>
      </w:r>
      <w:r w:rsidR="00781ECA">
        <w:t xml:space="preserve"> käigus</w:t>
      </w:r>
      <w:r w:rsidR="00135741">
        <w:t xml:space="preserve"> koos samal päeval.</w:t>
      </w:r>
    </w:p>
    <w:p w14:paraId="069490B7" w14:textId="77777777" w:rsidR="000375DD" w:rsidRDefault="000375DD" w:rsidP="00E458C2">
      <w:pPr>
        <w:shd w:val="clear" w:color="auto" w:fill="FFFFFF" w:themeFill="background1"/>
        <w:spacing w:after="0" w:line="240" w:lineRule="auto"/>
        <w:jc w:val="both"/>
        <w:divId w:val="1316184749"/>
      </w:pPr>
    </w:p>
    <w:p w14:paraId="1E6F2D8D" w14:textId="4C3958B2" w:rsidR="000375DD" w:rsidRPr="000114D5" w:rsidRDefault="000375DD" w:rsidP="00E458C2">
      <w:pPr>
        <w:shd w:val="clear" w:color="auto" w:fill="FFFFFF" w:themeFill="background1"/>
        <w:spacing w:after="0" w:line="240" w:lineRule="auto"/>
        <w:jc w:val="both"/>
        <w:divId w:val="1316184749"/>
      </w:pPr>
      <w:r>
        <w:t>(3</w:t>
      </w:r>
      <w:r w:rsidR="00CF3B0A">
        <w:t>5</w:t>
      </w:r>
      <w:r>
        <w:t>)</w:t>
      </w:r>
      <w:r w:rsidR="00135741">
        <w:t xml:space="preserve"> Koodidega 7050 ja 7055 tähistatud tervishoiuteenuseid võib ambulatoorse </w:t>
      </w:r>
      <w:r w:rsidR="00BA389A">
        <w:t>ravi käigus</w:t>
      </w:r>
      <w:r w:rsidR="00135741">
        <w:t xml:space="preserve"> rakendada maksimaalselt</w:t>
      </w:r>
      <w:r w:rsidR="003A6B83">
        <w:t xml:space="preserve"> </w:t>
      </w:r>
      <w:r w:rsidR="00135741">
        <w:t>üks kord päevas.</w:t>
      </w:r>
    </w:p>
    <w:p w14:paraId="24EA0AC8" w14:textId="77777777" w:rsidR="00B95692" w:rsidRDefault="00B95692" w:rsidP="00E458C2">
      <w:pPr>
        <w:shd w:val="clear" w:color="auto" w:fill="FFFFFF" w:themeFill="background1"/>
        <w:spacing w:after="0" w:line="240" w:lineRule="auto"/>
        <w:jc w:val="both"/>
        <w:divId w:val="1316184749"/>
        <w:rPr>
          <w:szCs w:val="24"/>
        </w:rPr>
      </w:pPr>
    </w:p>
    <w:p w14:paraId="6FF3D9BD" w14:textId="2C3A9AF7" w:rsidR="00B95692" w:rsidRPr="00687DE8" w:rsidRDefault="00B95692" w:rsidP="00E458C2">
      <w:pPr>
        <w:shd w:val="clear" w:color="auto" w:fill="FFFFFF" w:themeFill="background1"/>
        <w:spacing w:after="0" w:line="240" w:lineRule="auto"/>
        <w:jc w:val="both"/>
        <w:divId w:val="1316184749"/>
      </w:pPr>
      <w:r>
        <w:t>(3</w:t>
      </w:r>
      <w:r w:rsidR="003B5EAD">
        <w:t>6</w:t>
      </w:r>
      <w:r>
        <w:t>)</w:t>
      </w:r>
      <w:r w:rsidRPr="003B5EAD">
        <w:rPr>
          <w:rFonts w:ascii="Segoe UI" w:hAnsi="Segoe UI" w:cs="Segoe UI"/>
          <w:sz w:val="18"/>
          <w:szCs w:val="18"/>
        </w:rPr>
        <w:t xml:space="preserve"> </w:t>
      </w:r>
      <w:r>
        <w:t>Koodi</w:t>
      </w:r>
      <w:r w:rsidR="0023082E">
        <w:t>dega</w:t>
      </w:r>
      <w:r w:rsidR="0073228E">
        <w:t xml:space="preserve"> </w:t>
      </w:r>
      <w:r w:rsidR="0023082E">
        <w:t>7052, 7056, 7057, 7065 ja 7067</w:t>
      </w:r>
      <w:r w:rsidR="0073228E">
        <w:t xml:space="preserve"> tähistatud tervishoiuteenuseid võib </w:t>
      </w:r>
      <w:r w:rsidR="00AD3A5E">
        <w:t>ambulatoorse</w:t>
      </w:r>
      <w:r w:rsidR="008144AA">
        <w:t xml:space="preserve"> ravi käigus</w:t>
      </w:r>
      <w:r w:rsidR="00AD3A5E">
        <w:t xml:space="preserve"> </w:t>
      </w:r>
      <w:r w:rsidR="35DF232C">
        <w:t>rakendada</w:t>
      </w:r>
      <w:r w:rsidR="0073228E">
        <w:t xml:space="preserve"> </w:t>
      </w:r>
      <w:r w:rsidR="003B5EAD" w:rsidRPr="003B5EAD">
        <w:t xml:space="preserve">kokku </w:t>
      </w:r>
      <w:r w:rsidR="00695E22">
        <w:t xml:space="preserve">kuni </w:t>
      </w:r>
      <w:r w:rsidR="00801534">
        <w:t>kaks</w:t>
      </w:r>
      <w:r w:rsidR="0073228E">
        <w:t xml:space="preserve"> korda päevas</w:t>
      </w:r>
      <w:r w:rsidR="003B5EAD" w:rsidRPr="003B5EAD">
        <w:t xml:space="preserve">, sõltumata </w:t>
      </w:r>
      <w:r w:rsidR="52D7D6E2">
        <w:t>osutatavate</w:t>
      </w:r>
      <w:r w:rsidR="003B5EAD" w:rsidRPr="003B5EAD">
        <w:t xml:space="preserve"> teenuste kombinatsioonist</w:t>
      </w:r>
      <w:r w:rsidR="003B5EAD">
        <w:t>.</w:t>
      </w:r>
      <w:r>
        <w:t xml:space="preserve"> </w:t>
      </w:r>
    </w:p>
    <w:p w14:paraId="22B3B915" w14:textId="68203F74" w:rsidR="00010BED" w:rsidRPr="00687DE8" w:rsidRDefault="00010BED" w:rsidP="00976487">
      <w:pPr>
        <w:spacing w:after="0" w:line="240" w:lineRule="auto"/>
        <w:jc w:val="both"/>
        <w:outlineLvl w:val="2"/>
        <w:divId w:val="1316184749"/>
        <w:rPr>
          <w:b/>
          <w:szCs w:val="24"/>
        </w:rPr>
      </w:pPr>
    </w:p>
    <w:p w14:paraId="63D01020" w14:textId="77777777" w:rsidR="00976487" w:rsidRDefault="00976487" w:rsidP="00976487">
      <w:pPr>
        <w:spacing w:after="0" w:line="240" w:lineRule="auto"/>
        <w:jc w:val="both"/>
        <w:outlineLvl w:val="2"/>
        <w:divId w:val="1316184749"/>
        <w:rPr>
          <w:b/>
          <w:szCs w:val="24"/>
        </w:rPr>
      </w:pPr>
      <w:r w:rsidRPr="00687DE8">
        <w:rPr>
          <w:b/>
          <w:szCs w:val="24"/>
        </w:rPr>
        <w:t xml:space="preserve">§ </w:t>
      </w:r>
      <w:r w:rsidR="00895BD5" w:rsidRPr="00687DE8">
        <w:rPr>
          <w:b/>
          <w:szCs w:val="24"/>
        </w:rPr>
        <w:t>3</w:t>
      </w:r>
      <w:r w:rsidR="00296746" w:rsidRPr="00687DE8">
        <w:rPr>
          <w:b/>
          <w:szCs w:val="24"/>
        </w:rPr>
        <w:t>0</w:t>
      </w:r>
      <w:r w:rsidRPr="00687DE8">
        <w:rPr>
          <w:b/>
          <w:szCs w:val="24"/>
        </w:rPr>
        <w:t>. </w:t>
      </w:r>
      <w:r w:rsidRPr="0099143E">
        <w:rPr>
          <w:b/>
          <w:szCs w:val="24"/>
        </w:rPr>
        <w:t>Kirurgiliste</w:t>
      </w:r>
      <w:r w:rsidRPr="00687DE8">
        <w:rPr>
          <w:b/>
          <w:szCs w:val="24"/>
        </w:rPr>
        <w:t xml:space="preserve"> ja ortopeediliste protseduuride piirhinnad</w:t>
      </w:r>
    </w:p>
    <w:p w14:paraId="01B36F3C" w14:textId="77777777" w:rsidR="00DF1D65" w:rsidRDefault="00DF1D65" w:rsidP="00976487">
      <w:pPr>
        <w:spacing w:after="0" w:line="240" w:lineRule="auto"/>
        <w:jc w:val="both"/>
        <w:divId w:val="1316184749"/>
        <w:rPr>
          <w:szCs w:val="24"/>
        </w:rPr>
      </w:pPr>
    </w:p>
    <w:p w14:paraId="40078FFD" w14:textId="7BE0FF6A" w:rsidR="00976487" w:rsidRPr="00687DE8" w:rsidRDefault="00976487" w:rsidP="00976487">
      <w:pPr>
        <w:spacing w:after="0" w:line="240" w:lineRule="auto"/>
        <w:jc w:val="both"/>
        <w:divId w:val="1316184749"/>
        <w:rPr>
          <w:szCs w:val="24"/>
        </w:rPr>
      </w:pPr>
      <w:r w:rsidRPr="00687DE8">
        <w:rPr>
          <w:szCs w:val="24"/>
        </w:rPr>
        <w:t>(1) Mujal kui täisvarustusega operatsioonitoas tehtavate kirurgiliste ja ortopeediliste protseduuride piirhinnad on järgmised:</w:t>
      </w:r>
    </w:p>
    <w:p w14:paraId="7D2BBA1E" w14:textId="77777777" w:rsidR="00976487" w:rsidRPr="00687DE8" w:rsidRDefault="00976487" w:rsidP="00976487">
      <w:pPr>
        <w:spacing w:after="0" w:line="240" w:lineRule="auto"/>
        <w:jc w:val="both"/>
        <w:divId w:val="1316184749"/>
        <w:rPr>
          <w:szCs w:val="24"/>
        </w:rPr>
      </w:pPr>
    </w:p>
    <w:tbl>
      <w:tblPr>
        <w:tblW w:w="4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2044"/>
        <w:gridCol w:w="1253"/>
      </w:tblGrid>
      <w:tr w:rsidR="00976487" w:rsidRPr="00687DE8" w14:paraId="381806F2" w14:textId="77777777" w:rsidTr="007F692A">
        <w:trPr>
          <w:divId w:val="1316184749"/>
          <w:tblHeader/>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900F9B" w14:textId="77777777" w:rsidR="00976487" w:rsidRPr="00687DE8" w:rsidRDefault="00976487">
            <w:pPr>
              <w:spacing w:after="0" w:line="240" w:lineRule="auto"/>
              <w:jc w:val="center"/>
              <w:rPr>
                <w:szCs w:val="24"/>
              </w:rPr>
            </w:pPr>
            <w:r w:rsidRPr="00687DE8">
              <w:rPr>
                <w:b/>
                <w:szCs w:val="24"/>
              </w:rPr>
              <w:t>Tervishoiuteenuse nimetus</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B366C7" w14:textId="77777777" w:rsidR="00976487" w:rsidRPr="00687DE8" w:rsidRDefault="00976487">
            <w:pPr>
              <w:spacing w:after="0" w:line="240" w:lineRule="auto"/>
              <w:jc w:val="center"/>
              <w:rPr>
                <w:szCs w:val="24"/>
              </w:rPr>
            </w:pPr>
            <w:r w:rsidRPr="00687DE8">
              <w:rPr>
                <w:b/>
                <w:szCs w:val="24"/>
              </w:rPr>
              <w:t>Kood</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7AC659"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4A5CB9" w:rsidRPr="00687DE8" w14:paraId="14E3D83C"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CF37C0" w14:textId="77777777" w:rsidR="004A5CB9" w:rsidRPr="00687DE8" w:rsidRDefault="004A5CB9" w:rsidP="004A5CB9">
            <w:pPr>
              <w:spacing w:after="0" w:line="240" w:lineRule="auto"/>
              <w:rPr>
                <w:szCs w:val="24"/>
              </w:rPr>
            </w:pPr>
            <w:r w:rsidRPr="00687DE8">
              <w:rPr>
                <w:szCs w:val="24"/>
              </w:rPr>
              <w:t>Laparotsentees</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9A7F52" w14:textId="77777777" w:rsidR="004A5CB9" w:rsidRPr="00687DE8" w:rsidRDefault="004A5CB9" w:rsidP="004A5CB9">
            <w:pPr>
              <w:spacing w:after="0" w:line="240" w:lineRule="auto"/>
              <w:jc w:val="center"/>
              <w:rPr>
                <w:szCs w:val="24"/>
              </w:rPr>
            </w:pPr>
            <w:r w:rsidRPr="00687DE8">
              <w:rPr>
                <w:szCs w:val="24"/>
              </w:rPr>
              <w:t>7110</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FF535A" w14:textId="386D5271" w:rsidR="2E1E8EE1" w:rsidRPr="00687DE8" w:rsidRDefault="0004393B">
            <w:pPr>
              <w:spacing w:after="0"/>
              <w:jc w:val="center"/>
              <w:rPr>
                <w:color w:val="000000" w:themeColor="text1"/>
                <w:szCs w:val="24"/>
              </w:rPr>
            </w:pPr>
            <w:r>
              <w:rPr>
                <w:color w:val="000000"/>
              </w:rPr>
              <w:t>98,32</w:t>
            </w:r>
          </w:p>
        </w:tc>
      </w:tr>
      <w:tr w:rsidR="004A5CB9" w:rsidRPr="00687DE8" w14:paraId="5F7898EB"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EB2EBF" w14:textId="77777777" w:rsidR="004A5CB9" w:rsidRPr="00687DE8" w:rsidRDefault="004A5CB9" w:rsidP="004A5CB9">
            <w:pPr>
              <w:spacing w:after="0" w:line="240" w:lineRule="auto"/>
              <w:rPr>
                <w:szCs w:val="24"/>
              </w:rPr>
            </w:pPr>
            <w:r w:rsidRPr="00687DE8">
              <w:rPr>
                <w:szCs w:val="24"/>
              </w:rPr>
              <w:t>Pindmiste naha ja nahaaluskoe tuumorite eemaldamine</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6D0AA8" w14:textId="77777777" w:rsidR="004A5CB9" w:rsidRPr="00687DE8" w:rsidRDefault="004A5CB9" w:rsidP="004A5CB9">
            <w:pPr>
              <w:spacing w:after="0" w:line="240" w:lineRule="auto"/>
              <w:jc w:val="center"/>
              <w:rPr>
                <w:szCs w:val="24"/>
              </w:rPr>
            </w:pPr>
            <w:r w:rsidRPr="00687DE8">
              <w:rPr>
                <w:szCs w:val="24"/>
              </w:rPr>
              <w:t>7114</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351695" w14:textId="55009237" w:rsidR="2E1E8EE1" w:rsidRPr="00687DE8" w:rsidRDefault="0004393B">
            <w:pPr>
              <w:spacing w:after="0"/>
              <w:jc w:val="center"/>
              <w:rPr>
                <w:color w:val="000000" w:themeColor="text1"/>
                <w:szCs w:val="24"/>
              </w:rPr>
            </w:pPr>
            <w:r>
              <w:rPr>
                <w:color w:val="000000"/>
              </w:rPr>
              <w:t>79,25</w:t>
            </w:r>
          </w:p>
        </w:tc>
      </w:tr>
      <w:tr w:rsidR="004A5CB9" w:rsidRPr="00687DE8" w14:paraId="0BB12847"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8F5487" w14:textId="77777777" w:rsidR="004A5CB9" w:rsidRPr="00687DE8" w:rsidRDefault="004A5CB9" w:rsidP="004A5CB9">
            <w:pPr>
              <w:spacing w:after="0" w:line="240" w:lineRule="auto"/>
              <w:rPr>
                <w:szCs w:val="24"/>
              </w:rPr>
            </w:pPr>
            <w:r w:rsidRPr="00687DE8">
              <w:rPr>
                <w:szCs w:val="24"/>
              </w:rPr>
              <w:t>Pindmiste haavade ekstsisioon, kirurgiline korrastus</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AA7AC4" w14:textId="77777777" w:rsidR="004A5CB9" w:rsidRPr="00687DE8" w:rsidRDefault="004A5CB9" w:rsidP="004A5CB9">
            <w:pPr>
              <w:spacing w:after="0" w:line="240" w:lineRule="auto"/>
              <w:jc w:val="center"/>
              <w:rPr>
                <w:szCs w:val="24"/>
              </w:rPr>
            </w:pPr>
            <w:r w:rsidRPr="00687DE8">
              <w:rPr>
                <w:szCs w:val="24"/>
              </w:rPr>
              <w:t>7115</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1F4804" w14:textId="11F627AB" w:rsidR="2E1E8EE1" w:rsidRPr="00687DE8" w:rsidRDefault="0004393B">
            <w:pPr>
              <w:spacing w:after="0"/>
              <w:jc w:val="center"/>
              <w:rPr>
                <w:color w:val="000000" w:themeColor="text1"/>
                <w:szCs w:val="24"/>
              </w:rPr>
            </w:pPr>
            <w:r>
              <w:rPr>
                <w:color w:val="000000"/>
              </w:rPr>
              <w:t>49,58</w:t>
            </w:r>
          </w:p>
        </w:tc>
      </w:tr>
      <w:tr w:rsidR="004A5CB9" w:rsidRPr="00687DE8" w14:paraId="17D4286E"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62D694" w14:textId="77777777" w:rsidR="004A5CB9" w:rsidRPr="00687DE8" w:rsidRDefault="004A5CB9" w:rsidP="004A5CB9">
            <w:pPr>
              <w:spacing w:after="0" w:line="240" w:lineRule="auto"/>
              <w:rPr>
                <w:szCs w:val="24"/>
              </w:rPr>
            </w:pPr>
            <w:r w:rsidRPr="00687DE8">
              <w:rPr>
                <w:szCs w:val="24"/>
              </w:rPr>
              <w:t>Mädakolde avamine ja dreneerimine</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CEBABE" w14:textId="77777777" w:rsidR="004A5CB9" w:rsidRPr="00687DE8" w:rsidRDefault="004A5CB9" w:rsidP="004A5CB9">
            <w:pPr>
              <w:spacing w:after="0" w:line="240" w:lineRule="auto"/>
              <w:jc w:val="center"/>
              <w:rPr>
                <w:szCs w:val="24"/>
              </w:rPr>
            </w:pPr>
            <w:r w:rsidRPr="00687DE8">
              <w:rPr>
                <w:szCs w:val="24"/>
              </w:rPr>
              <w:t>7116</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B208E6" w14:textId="2B5C7CE0" w:rsidR="2E1E8EE1" w:rsidRPr="00687DE8" w:rsidRDefault="0004393B">
            <w:pPr>
              <w:spacing w:after="0"/>
              <w:jc w:val="center"/>
              <w:rPr>
                <w:color w:val="000000" w:themeColor="text1"/>
                <w:szCs w:val="24"/>
              </w:rPr>
            </w:pPr>
            <w:r>
              <w:rPr>
                <w:color w:val="000000"/>
              </w:rPr>
              <w:t>44,46</w:t>
            </w:r>
          </w:p>
        </w:tc>
      </w:tr>
      <w:tr w:rsidR="004A5CB9" w:rsidRPr="00687DE8" w14:paraId="2F586E10" w14:textId="77777777" w:rsidTr="00EB7A71">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1FC23A" w14:textId="77777777" w:rsidR="004A5CB9" w:rsidRPr="00687DE8" w:rsidRDefault="004A5CB9" w:rsidP="004A5CB9">
            <w:pPr>
              <w:spacing w:after="0" w:line="240" w:lineRule="auto"/>
              <w:rPr>
                <w:szCs w:val="24"/>
              </w:rPr>
            </w:pPr>
            <w:r w:rsidRPr="00687DE8">
              <w:rPr>
                <w:szCs w:val="24"/>
              </w:rPr>
              <w:lastRenderedPageBreak/>
              <w:t>Võõrkeha (välja arvatud implantaadi) eemaldamine pehmetest kudedest</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6B02BC" w14:textId="77777777" w:rsidR="004A5CB9" w:rsidRPr="00687DE8" w:rsidRDefault="004A5CB9" w:rsidP="004A5CB9">
            <w:pPr>
              <w:spacing w:after="0" w:line="240" w:lineRule="auto"/>
              <w:jc w:val="center"/>
              <w:rPr>
                <w:szCs w:val="24"/>
              </w:rPr>
            </w:pPr>
            <w:r w:rsidRPr="00687DE8">
              <w:rPr>
                <w:szCs w:val="24"/>
              </w:rPr>
              <w:t>7117</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9C8502" w14:textId="162F683B" w:rsidR="2E1E8EE1" w:rsidRPr="00687DE8" w:rsidRDefault="0004393B">
            <w:pPr>
              <w:spacing w:after="0"/>
              <w:jc w:val="center"/>
              <w:rPr>
                <w:color w:val="000000" w:themeColor="text1"/>
                <w:szCs w:val="24"/>
              </w:rPr>
            </w:pPr>
            <w:r>
              <w:rPr>
                <w:color w:val="000000"/>
              </w:rPr>
              <w:t>100,96</w:t>
            </w:r>
          </w:p>
        </w:tc>
      </w:tr>
      <w:tr w:rsidR="004A5CB9" w:rsidRPr="00687DE8" w14:paraId="65E43617"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832637" w14:textId="77777777" w:rsidR="004A5CB9" w:rsidRPr="00687DE8" w:rsidRDefault="004A5CB9" w:rsidP="004A5CB9">
            <w:pPr>
              <w:spacing w:after="0" w:line="240" w:lineRule="auto"/>
              <w:rPr>
                <w:szCs w:val="24"/>
              </w:rPr>
            </w:pPr>
            <w:r w:rsidRPr="00687DE8">
              <w:rPr>
                <w:szCs w:val="24"/>
              </w:rPr>
              <w:t>Väikese ortopeedilise implantaadi eemaldamine</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5DF3FB" w14:textId="6CB50D1A" w:rsidR="004A5CB9" w:rsidRPr="00687DE8" w:rsidRDefault="004A5CB9" w:rsidP="004A5CB9">
            <w:pPr>
              <w:spacing w:after="0" w:line="240" w:lineRule="auto"/>
              <w:jc w:val="center"/>
            </w:pPr>
            <w:r>
              <w:t>7118</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4E567B" w14:textId="33BE6485" w:rsidR="2E1E8EE1" w:rsidRPr="00687DE8" w:rsidRDefault="0004393B">
            <w:pPr>
              <w:spacing w:after="0"/>
              <w:jc w:val="center"/>
              <w:rPr>
                <w:color w:val="000000" w:themeColor="text1"/>
                <w:szCs w:val="24"/>
              </w:rPr>
            </w:pPr>
            <w:r>
              <w:rPr>
                <w:color w:val="000000"/>
              </w:rPr>
              <w:t>102,89</w:t>
            </w:r>
          </w:p>
        </w:tc>
      </w:tr>
      <w:tr w:rsidR="004A5CB9" w:rsidRPr="00687DE8" w14:paraId="1424F6F3"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FBFF05" w14:textId="77777777" w:rsidR="004A5CB9" w:rsidRPr="00687DE8" w:rsidRDefault="004A5CB9" w:rsidP="004A5CB9">
            <w:pPr>
              <w:spacing w:after="0" w:line="240" w:lineRule="auto"/>
              <w:rPr>
                <w:szCs w:val="24"/>
              </w:rPr>
            </w:pPr>
            <w:r w:rsidRPr="00687DE8">
              <w:rPr>
                <w:szCs w:val="24"/>
              </w:rPr>
              <w:t>Väikese ortopeedilise implantaadi vahetamine</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736DE3" w14:textId="77777777" w:rsidR="004A5CB9" w:rsidRPr="00687DE8" w:rsidRDefault="004A5CB9" w:rsidP="004A5CB9">
            <w:pPr>
              <w:spacing w:after="0" w:line="240" w:lineRule="auto"/>
              <w:jc w:val="center"/>
              <w:rPr>
                <w:szCs w:val="24"/>
              </w:rPr>
            </w:pPr>
            <w:r w:rsidRPr="00687DE8">
              <w:rPr>
                <w:szCs w:val="24"/>
              </w:rPr>
              <w:t>7119</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E7699F" w14:textId="2A2307ED" w:rsidR="2E1E8EE1" w:rsidRPr="00687DE8" w:rsidRDefault="0004393B">
            <w:pPr>
              <w:spacing w:after="0"/>
              <w:jc w:val="center"/>
              <w:rPr>
                <w:color w:val="000000" w:themeColor="text1"/>
                <w:szCs w:val="24"/>
              </w:rPr>
            </w:pPr>
            <w:r>
              <w:rPr>
                <w:color w:val="000000"/>
              </w:rPr>
              <w:t>103,43</w:t>
            </w:r>
          </w:p>
        </w:tc>
      </w:tr>
      <w:tr w:rsidR="004A5CB9" w:rsidRPr="00687DE8" w14:paraId="267E3A9D"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22803F" w14:textId="77777777" w:rsidR="004A5CB9" w:rsidRPr="00687DE8" w:rsidRDefault="004A5CB9" w:rsidP="004A5CB9">
            <w:pPr>
              <w:spacing w:after="0" w:line="240" w:lineRule="auto"/>
              <w:rPr>
                <w:szCs w:val="24"/>
              </w:rPr>
            </w:pPr>
            <w:r w:rsidRPr="00687DE8">
              <w:rPr>
                <w:szCs w:val="24"/>
              </w:rPr>
              <w:t>Nahatransplantatsioon alla 0,5% nahapinnast</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9EE506" w14:textId="77777777" w:rsidR="004A5CB9" w:rsidRPr="00687DE8" w:rsidRDefault="004A5CB9" w:rsidP="004A5CB9">
            <w:pPr>
              <w:spacing w:after="0" w:line="240" w:lineRule="auto"/>
              <w:jc w:val="center"/>
              <w:rPr>
                <w:szCs w:val="24"/>
              </w:rPr>
            </w:pPr>
            <w:r w:rsidRPr="00687DE8">
              <w:rPr>
                <w:szCs w:val="24"/>
              </w:rPr>
              <w:t>7120</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AB5C49" w14:textId="1CF3DF20" w:rsidR="2E1E8EE1" w:rsidRPr="00687DE8" w:rsidRDefault="0004393B">
            <w:pPr>
              <w:spacing w:after="0"/>
              <w:jc w:val="center"/>
              <w:rPr>
                <w:color w:val="000000" w:themeColor="text1"/>
                <w:szCs w:val="24"/>
              </w:rPr>
            </w:pPr>
            <w:r>
              <w:rPr>
                <w:color w:val="000000"/>
              </w:rPr>
              <w:t>101,47</w:t>
            </w:r>
          </w:p>
        </w:tc>
      </w:tr>
      <w:tr w:rsidR="004A5CB9" w:rsidRPr="00687DE8" w14:paraId="05C241FF"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9B5846" w14:textId="77777777" w:rsidR="004A5CB9" w:rsidRPr="00687DE8" w:rsidRDefault="004A5CB9" w:rsidP="004A5CB9">
            <w:pPr>
              <w:spacing w:after="0" w:line="240" w:lineRule="auto"/>
              <w:rPr>
                <w:szCs w:val="24"/>
              </w:rPr>
            </w:pPr>
            <w:r w:rsidRPr="00687DE8">
              <w:rPr>
                <w:szCs w:val="24"/>
              </w:rPr>
              <w:t>Väikese luu amputatsioon või köndi korrastus</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965AF6" w14:textId="77777777" w:rsidR="004A5CB9" w:rsidRPr="00687DE8" w:rsidRDefault="004A5CB9" w:rsidP="004A5CB9">
            <w:pPr>
              <w:spacing w:after="0" w:line="240" w:lineRule="auto"/>
              <w:jc w:val="center"/>
              <w:rPr>
                <w:szCs w:val="24"/>
              </w:rPr>
            </w:pPr>
            <w:r w:rsidRPr="00687DE8">
              <w:rPr>
                <w:szCs w:val="24"/>
              </w:rPr>
              <w:t>7121</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D4A625" w14:textId="52C381CD" w:rsidR="2E1E8EE1" w:rsidRPr="00687DE8" w:rsidRDefault="0004393B">
            <w:pPr>
              <w:spacing w:after="0"/>
              <w:jc w:val="center"/>
              <w:rPr>
                <w:color w:val="000000" w:themeColor="text1"/>
                <w:szCs w:val="24"/>
              </w:rPr>
            </w:pPr>
            <w:r>
              <w:rPr>
                <w:color w:val="000000"/>
              </w:rPr>
              <w:t>115,34</w:t>
            </w:r>
          </w:p>
        </w:tc>
      </w:tr>
      <w:tr w:rsidR="004A5CB9" w:rsidRPr="00687DE8" w14:paraId="6766EE3A"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6A8F95" w14:textId="77777777" w:rsidR="004A5CB9" w:rsidRPr="00687DE8" w:rsidRDefault="004A5CB9" w:rsidP="004A5CB9">
            <w:pPr>
              <w:spacing w:after="0" w:line="240" w:lineRule="auto"/>
              <w:rPr>
                <w:szCs w:val="24"/>
              </w:rPr>
            </w:pPr>
            <w:r w:rsidRPr="00687DE8">
              <w:rPr>
                <w:szCs w:val="24"/>
              </w:rPr>
              <w:t>Muud kirurgilised protseduurid</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130697" w14:textId="77777777" w:rsidR="004A5CB9" w:rsidRPr="00687DE8" w:rsidRDefault="004A5CB9" w:rsidP="004A5CB9">
            <w:pPr>
              <w:spacing w:after="0" w:line="240" w:lineRule="auto"/>
              <w:jc w:val="center"/>
              <w:rPr>
                <w:szCs w:val="24"/>
              </w:rPr>
            </w:pPr>
            <w:r w:rsidRPr="00687DE8">
              <w:rPr>
                <w:szCs w:val="24"/>
              </w:rPr>
              <w:t>7122</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5C3F62" w14:textId="315771A3" w:rsidR="2E1E8EE1" w:rsidRPr="00687DE8" w:rsidRDefault="0004393B">
            <w:pPr>
              <w:spacing w:after="0"/>
              <w:jc w:val="center"/>
              <w:rPr>
                <w:color w:val="000000" w:themeColor="text1"/>
                <w:szCs w:val="24"/>
              </w:rPr>
            </w:pPr>
            <w:r>
              <w:rPr>
                <w:color w:val="000000"/>
              </w:rPr>
              <w:t>39,16</w:t>
            </w:r>
          </w:p>
        </w:tc>
      </w:tr>
      <w:tr w:rsidR="004A5CB9" w:rsidRPr="00687DE8" w14:paraId="4D0F18B4"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CE18CF" w14:textId="77777777" w:rsidR="004A5CB9" w:rsidRPr="00687DE8" w:rsidRDefault="004A5CB9" w:rsidP="004A5CB9">
            <w:pPr>
              <w:spacing w:after="0" w:line="240" w:lineRule="auto"/>
              <w:rPr>
                <w:szCs w:val="24"/>
              </w:rPr>
            </w:pPr>
            <w:r w:rsidRPr="00687DE8">
              <w:rPr>
                <w:szCs w:val="24"/>
              </w:rPr>
              <w:t>Labakäe ja -jala sirutajakõõluste ja/või lihaste õmblus</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9AB30F" w14:textId="77777777" w:rsidR="004A5CB9" w:rsidRPr="00687DE8" w:rsidRDefault="004A5CB9" w:rsidP="004A5CB9">
            <w:pPr>
              <w:spacing w:after="0" w:line="240" w:lineRule="auto"/>
              <w:jc w:val="center"/>
              <w:rPr>
                <w:szCs w:val="24"/>
              </w:rPr>
            </w:pPr>
            <w:r w:rsidRPr="00687DE8">
              <w:rPr>
                <w:szCs w:val="24"/>
              </w:rPr>
              <w:t>7123</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C9E142" w14:textId="02AF3DBB" w:rsidR="2E1E8EE1" w:rsidRPr="00687DE8" w:rsidRDefault="0004393B">
            <w:pPr>
              <w:spacing w:after="0"/>
              <w:jc w:val="center"/>
              <w:rPr>
                <w:color w:val="000000" w:themeColor="text1"/>
                <w:szCs w:val="24"/>
              </w:rPr>
            </w:pPr>
            <w:r>
              <w:rPr>
                <w:color w:val="000000"/>
              </w:rPr>
              <w:t>76,27</w:t>
            </w:r>
          </w:p>
        </w:tc>
      </w:tr>
      <w:tr w:rsidR="004A5CB9" w:rsidRPr="00687DE8" w14:paraId="6D8CE4F8"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339485" w14:textId="77777777" w:rsidR="004A5CB9" w:rsidRPr="00687DE8" w:rsidRDefault="004A5CB9" w:rsidP="004A5CB9">
            <w:pPr>
              <w:spacing w:after="0" w:line="240" w:lineRule="auto"/>
              <w:rPr>
                <w:szCs w:val="24"/>
              </w:rPr>
            </w:pPr>
            <w:r w:rsidRPr="00687DE8">
              <w:rPr>
                <w:szCs w:val="24"/>
              </w:rPr>
              <w:t>Luu trepanatsioon ja/või sekvestrektoomia</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D59811" w14:textId="77777777" w:rsidR="004A5CB9" w:rsidRPr="00687DE8" w:rsidRDefault="004A5CB9" w:rsidP="004A5CB9">
            <w:pPr>
              <w:spacing w:after="0" w:line="240" w:lineRule="auto"/>
              <w:jc w:val="center"/>
              <w:rPr>
                <w:szCs w:val="24"/>
              </w:rPr>
            </w:pPr>
            <w:r w:rsidRPr="00687DE8">
              <w:rPr>
                <w:szCs w:val="24"/>
              </w:rPr>
              <w:t>7124</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A71ABC" w14:textId="17DFD54D" w:rsidR="2E1E8EE1" w:rsidRPr="00687DE8" w:rsidRDefault="0004393B">
            <w:pPr>
              <w:spacing w:after="0"/>
              <w:jc w:val="center"/>
              <w:rPr>
                <w:color w:val="000000" w:themeColor="text1"/>
                <w:szCs w:val="24"/>
              </w:rPr>
            </w:pPr>
            <w:r>
              <w:rPr>
                <w:color w:val="000000"/>
              </w:rPr>
              <w:t>50,28</w:t>
            </w:r>
          </w:p>
        </w:tc>
      </w:tr>
      <w:tr w:rsidR="004A5CB9" w:rsidRPr="00687DE8" w14:paraId="5BDA6814"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38E87E" w14:textId="77777777" w:rsidR="004A5CB9" w:rsidRPr="00687DE8" w:rsidRDefault="004A5CB9" w:rsidP="004A5CB9">
            <w:pPr>
              <w:spacing w:after="0" w:line="240" w:lineRule="auto"/>
              <w:rPr>
                <w:szCs w:val="24"/>
              </w:rPr>
            </w:pPr>
            <w:r w:rsidRPr="00687DE8">
              <w:rPr>
                <w:szCs w:val="24"/>
              </w:rPr>
              <w:t>Nahaplastika toitval jalal</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3C00EB" w14:textId="77777777" w:rsidR="004A5CB9" w:rsidRPr="00687DE8" w:rsidRDefault="004A5CB9" w:rsidP="004A5CB9">
            <w:pPr>
              <w:spacing w:after="0" w:line="240" w:lineRule="auto"/>
              <w:jc w:val="center"/>
              <w:rPr>
                <w:szCs w:val="24"/>
              </w:rPr>
            </w:pPr>
            <w:r w:rsidRPr="00687DE8">
              <w:rPr>
                <w:szCs w:val="24"/>
              </w:rPr>
              <w:t>7126</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41236F" w14:textId="01069E74" w:rsidR="2E1E8EE1" w:rsidRPr="00687DE8" w:rsidRDefault="0004393B">
            <w:pPr>
              <w:spacing w:after="0"/>
              <w:jc w:val="center"/>
              <w:rPr>
                <w:color w:val="000000" w:themeColor="text1"/>
                <w:szCs w:val="24"/>
              </w:rPr>
            </w:pPr>
            <w:r>
              <w:rPr>
                <w:color w:val="000000"/>
              </w:rPr>
              <w:t>84,23</w:t>
            </w:r>
          </w:p>
        </w:tc>
      </w:tr>
      <w:tr w:rsidR="004A5CB9" w:rsidRPr="00687DE8" w14:paraId="1944ED05"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D7AE5D" w14:textId="77777777" w:rsidR="004A5CB9" w:rsidRPr="00687DE8" w:rsidRDefault="004A5CB9" w:rsidP="004A5CB9">
            <w:pPr>
              <w:spacing w:after="0" w:line="240" w:lineRule="auto"/>
              <w:rPr>
                <w:szCs w:val="24"/>
              </w:rPr>
            </w:pPr>
            <w:r w:rsidRPr="00687DE8">
              <w:rPr>
                <w:szCs w:val="24"/>
              </w:rPr>
              <w:t>Skelettekstensioon</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492397" w14:textId="77777777" w:rsidR="004A5CB9" w:rsidRPr="00687DE8" w:rsidRDefault="004A5CB9" w:rsidP="004A5CB9">
            <w:pPr>
              <w:spacing w:after="0" w:line="240" w:lineRule="auto"/>
              <w:jc w:val="center"/>
              <w:rPr>
                <w:szCs w:val="24"/>
              </w:rPr>
            </w:pPr>
            <w:r w:rsidRPr="00687DE8">
              <w:rPr>
                <w:szCs w:val="24"/>
              </w:rPr>
              <w:t>7127</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447FEC" w14:textId="75F98A73" w:rsidR="2E1E8EE1" w:rsidRPr="00687DE8" w:rsidRDefault="0004393B">
            <w:pPr>
              <w:spacing w:after="0"/>
              <w:jc w:val="center"/>
              <w:rPr>
                <w:color w:val="000000" w:themeColor="text1"/>
                <w:szCs w:val="24"/>
              </w:rPr>
            </w:pPr>
            <w:r>
              <w:rPr>
                <w:color w:val="000000"/>
              </w:rPr>
              <w:t>91,31</w:t>
            </w:r>
          </w:p>
        </w:tc>
      </w:tr>
      <w:tr w:rsidR="004A5CB9" w:rsidRPr="00687DE8" w14:paraId="70AE4928"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459B0F" w14:textId="77777777" w:rsidR="004A5CB9" w:rsidRPr="00687DE8" w:rsidRDefault="004A5CB9" w:rsidP="004A5CB9">
            <w:pPr>
              <w:spacing w:after="0" w:line="240" w:lineRule="auto"/>
              <w:rPr>
                <w:szCs w:val="24"/>
              </w:rPr>
            </w:pPr>
            <w:r w:rsidRPr="00687DE8">
              <w:rPr>
                <w:szCs w:val="24"/>
              </w:rPr>
              <w:t>Puusakipsi või kipskorseti asetamine</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5A3170" w14:textId="77777777" w:rsidR="004A5CB9" w:rsidRPr="00687DE8" w:rsidRDefault="004A5CB9" w:rsidP="004A5CB9">
            <w:pPr>
              <w:spacing w:after="0" w:line="240" w:lineRule="auto"/>
              <w:jc w:val="center"/>
              <w:rPr>
                <w:szCs w:val="24"/>
              </w:rPr>
            </w:pPr>
            <w:r w:rsidRPr="00687DE8">
              <w:rPr>
                <w:szCs w:val="24"/>
              </w:rPr>
              <w:t>7136</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B888D1" w14:textId="01415478" w:rsidR="2E1E8EE1" w:rsidRPr="00687DE8" w:rsidRDefault="0004393B">
            <w:pPr>
              <w:spacing w:after="0"/>
              <w:jc w:val="center"/>
              <w:rPr>
                <w:color w:val="000000" w:themeColor="text1"/>
                <w:szCs w:val="24"/>
              </w:rPr>
            </w:pPr>
            <w:r>
              <w:rPr>
                <w:color w:val="000000"/>
              </w:rPr>
              <w:t>102,44</w:t>
            </w:r>
          </w:p>
        </w:tc>
      </w:tr>
      <w:tr w:rsidR="004A5CB9" w:rsidRPr="00687DE8" w14:paraId="7F4E68ED"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39805C" w14:textId="77777777" w:rsidR="004A5CB9" w:rsidRPr="00687DE8" w:rsidRDefault="004A5CB9" w:rsidP="004A5CB9">
            <w:pPr>
              <w:spacing w:after="0" w:line="240" w:lineRule="auto"/>
              <w:rPr>
                <w:szCs w:val="24"/>
              </w:rPr>
            </w:pPr>
            <w:r w:rsidRPr="00687DE8">
              <w:rPr>
                <w:szCs w:val="24"/>
              </w:rPr>
              <w:t>Õlavarre kips- või kerglahase asetamine</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FE3AF0" w14:textId="77777777" w:rsidR="004A5CB9" w:rsidRPr="00687DE8" w:rsidRDefault="004A5CB9" w:rsidP="004A5CB9">
            <w:pPr>
              <w:spacing w:after="0" w:line="240" w:lineRule="auto"/>
              <w:jc w:val="center"/>
              <w:rPr>
                <w:szCs w:val="24"/>
              </w:rPr>
            </w:pPr>
            <w:r w:rsidRPr="00687DE8">
              <w:rPr>
                <w:szCs w:val="24"/>
              </w:rPr>
              <w:t>7128</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F50859" w14:textId="425233D2" w:rsidR="2E1E8EE1" w:rsidRPr="00687DE8" w:rsidRDefault="0004393B">
            <w:pPr>
              <w:spacing w:after="0"/>
              <w:jc w:val="center"/>
              <w:rPr>
                <w:color w:val="000000" w:themeColor="text1"/>
                <w:szCs w:val="24"/>
              </w:rPr>
            </w:pPr>
            <w:r>
              <w:rPr>
                <w:color w:val="000000"/>
              </w:rPr>
              <w:t>46,54</w:t>
            </w:r>
          </w:p>
        </w:tc>
      </w:tr>
      <w:tr w:rsidR="004A5CB9" w:rsidRPr="00687DE8" w14:paraId="6B4CB48F"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1C440E" w14:textId="77777777" w:rsidR="004A5CB9" w:rsidRPr="00687DE8" w:rsidRDefault="004A5CB9" w:rsidP="004A5CB9">
            <w:pPr>
              <w:spacing w:after="0" w:line="240" w:lineRule="auto"/>
              <w:rPr>
                <w:szCs w:val="24"/>
              </w:rPr>
            </w:pPr>
            <w:r w:rsidRPr="00687DE8">
              <w:rPr>
                <w:szCs w:val="24"/>
              </w:rPr>
              <w:t>Sääre kips- või kerglahase asetamine</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6BC5F3" w14:textId="77777777" w:rsidR="004A5CB9" w:rsidRPr="00687DE8" w:rsidRDefault="004A5CB9" w:rsidP="004A5CB9">
            <w:pPr>
              <w:spacing w:after="0" w:line="240" w:lineRule="auto"/>
              <w:jc w:val="center"/>
              <w:rPr>
                <w:szCs w:val="24"/>
              </w:rPr>
            </w:pPr>
            <w:r w:rsidRPr="00687DE8">
              <w:rPr>
                <w:szCs w:val="24"/>
              </w:rPr>
              <w:t>7129</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1D9681" w14:textId="669AC9EB" w:rsidR="2E1E8EE1" w:rsidRPr="00687DE8" w:rsidRDefault="0004393B">
            <w:pPr>
              <w:spacing w:after="0"/>
              <w:jc w:val="center"/>
              <w:rPr>
                <w:color w:val="000000" w:themeColor="text1"/>
                <w:szCs w:val="24"/>
              </w:rPr>
            </w:pPr>
            <w:r>
              <w:rPr>
                <w:color w:val="000000"/>
              </w:rPr>
              <w:t>52,36</w:t>
            </w:r>
          </w:p>
        </w:tc>
      </w:tr>
      <w:tr w:rsidR="004A5CB9" w:rsidRPr="00687DE8" w14:paraId="5A563200"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B7C410" w14:textId="77777777" w:rsidR="004A5CB9" w:rsidRPr="00687DE8" w:rsidRDefault="004A5CB9" w:rsidP="004A5CB9">
            <w:pPr>
              <w:spacing w:after="0" w:line="240" w:lineRule="auto"/>
              <w:rPr>
                <w:szCs w:val="24"/>
              </w:rPr>
            </w:pPr>
            <w:r w:rsidRPr="00687DE8">
              <w:rPr>
                <w:szCs w:val="24"/>
              </w:rPr>
              <w:t>Muu kips- või kerglahase asetamine</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E98C3B" w14:textId="77777777" w:rsidR="004A5CB9" w:rsidRPr="00687DE8" w:rsidRDefault="004A5CB9" w:rsidP="004A5CB9">
            <w:pPr>
              <w:spacing w:after="0" w:line="240" w:lineRule="auto"/>
              <w:jc w:val="center"/>
              <w:rPr>
                <w:szCs w:val="24"/>
              </w:rPr>
            </w:pPr>
            <w:r w:rsidRPr="00687DE8">
              <w:rPr>
                <w:szCs w:val="24"/>
              </w:rPr>
              <w:t>7130</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99C76A" w14:textId="5B411E60" w:rsidR="2E1E8EE1" w:rsidRPr="00687DE8" w:rsidRDefault="0004393B">
            <w:pPr>
              <w:spacing w:after="0"/>
              <w:jc w:val="center"/>
              <w:rPr>
                <w:color w:val="000000" w:themeColor="text1"/>
                <w:szCs w:val="24"/>
              </w:rPr>
            </w:pPr>
            <w:r>
              <w:rPr>
                <w:color w:val="000000"/>
              </w:rPr>
              <w:t>30,98</w:t>
            </w:r>
          </w:p>
        </w:tc>
      </w:tr>
      <w:tr w:rsidR="004A5CB9" w:rsidRPr="00687DE8" w14:paraId="7156791F"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C92243" w14:textId="77777777" w:rsidR="004A5CB9" w:rsidRPr="00687DE8" w:rsidRDefault="004A5CB9" w:rsidP="004A5CB9">
            <w:pPr>
              <w:spacing w:after="0" w:line="240" w:lineRule="auto"/>
              <w:rPr>
                <w:szCs w:val="24"/>
              </w:rPr>
            </w:pPr>
            <w:r w:rsidRPr="00687DE8">
              <w:rPr>
                <w:szCs w:val="24"/>
              </w:rPr>
              <w:t>Repositsioonid väikestel luudel ja liigestel</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342C46" w14:textId="77777777" w:rsidR="004A5CB9" w:rsidRPr="00687DE8" w:rsidRDefault="004A5CB9" w:rsidP="004A5CB9">
            <w:pPr>
              <w:spacing w:after="0" w:line="240" w:lineRule="auto"/>
              <w:jc w:val="center"/>
              <w:rPr>
                <w:szCs w:val="24"/>
              </w:rPr>
            </w:pPr>
            <w:r w:rsidRPr="00687DE8">
              <w:rPr>
                <w:szCs w:val="24"/>
              </w:rPr>
              <w:t>7131</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1B94AC" w14:textId="6C373931" w:rsidR="2E1E8EE1" w:rsidRPr="00687DE8" w:rsidRDefault="0004393B">
            <w:pPr>
              <w:spacing w:after="0"/>
              <w:jc w:val="center"/>
              <w:rPr>
                <w:color w:val="000000" w:themeColor="text1"/>
                <w:szCs w:val="24"/>
              </w:rPr>
            </w:pPr>
            <w:r>
              <w:rPr>
                <w:color w:val="000000"/>
              </w:rPr>
              <w:t>35,02</w:t>
            </w:r>
          </w:p>
        </w:tc>
      </w:tr>
      <w:tr w:rsidR="004A5CB9" w:rsidRPr="00687DE8" w14:paraId="4FD8201E"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718231" w14:textId="77777777" w:rsidR="004A5CB9" w:rsidRPr="00687DE8" w:rsidRDefault="004A5CB9" w:rsidP="004A5CB9">
            <w:pPr>
              <w:spacing w:after="0" w:line="240" w:lineRule="auto"/>
              <w:rPr>
                <w:szCs w:val="24"/>
              </w:rPr>
            </w:pPr>
            <w:r w:rsidRPr="00687DE8">
              <w:rPr>
                <w:szCs w:val="24"/>
              </w:rPr>
              <w:t>Repositsioonid suurtel luudel ja liigestel</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9C42E1" w14:textId="77777777" w:rsidR="004A5CB9" w:rsidRPr="00687DE8" w:rsidRDefault="004A5CB9" w:rsidP="004A5CB9">
            <w:pPr>
              <w:spacing w:after="0" w:line="240" w:lineRule="auto"/>
              <w:jc w:val="center"/>
              <w:rPr>
                <w:szCs w:val="24"/>
              </w:rPr>
            </w:pPr>
            <w:r w:rsidRPr="00687DE8">
              <w:rPr>
                <w:szCs w:val="24"/>
              </w:rPr>
              <w:t>7132</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EB7BC8" w14:textId="1D99F15B" w:rsidR="2E1E8EE1" w:rsidRPr="00687DE8" w:rsidRDefault="0004393B">
            <w:pPr>
              <w:spacing w:after="0"/>
              <w:jc w:val="center"/>
              <w:rPr>
                <w:color w:val="000000" w:themeColor="text1"/>
                <w:szCs w:val="24"/>
              </w:rPr>
            </w:pPr>
            <w:r>
              <w:rPr>
                <w:color w:val="000000"/>
              </w:rPr>
              <w:t>52,61</w:t>
            </w:r>
          </w:p>
        </w:tc>
      </w:tr>
      <w:tr w:rsidR="004A5CB9" w:rsidRPr="00687DE8" w14:paraId="18AA773D"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550780" w14:textId="77777777" w:rsidR="004A5CB9" w:rsidRPr="00687DE8" w:rsidRDefault="004A5CB9" w:rsidP="004A5CB9">
            <w:pPr>
              <w:spacing w:after="0" w:line="240" w:lineRule="auto"/>
              <w:rPr>
                <w:szCs w:val="24"/>
              </w:rPr>
            </w:pPr>
            <w:r w:rsidRPr="00687DE8">
              <w:rPr>
                <w:szCs w:val="24"/>
              </w:rPr>
              <w:t>Sidumine (ambulatoorne)</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D82DB" w14:textId="77777777" w:rsidR="004A5CB9" w:rsidRPr="00687DE8" w:rsidRDefault="004A5CB9" w:rsidP="004A5CB9">
            <w:pPr>
              <w:spacing w:after="0" w:line="240" w:lineRule="auto"/>
              <w:jc w:val="center"/>
              <w:rPr>
                <w:szCs w:val="24"/>
              </w:rPr>
            </w:pPr>
            <w:r w:rsidRPr="00687DE8">
              <w:rPr>
                <w:szCs w:val="24"/>
              </w:rPr>
              <w:t>7141</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D30629" w14:textId="35CD00E8" w:rsidR="2E1E8EE1" w:rsidRPr="00687DE8" w:rsidRDefault="0004393B">
            <w:pPr>
              <w:spacing w:after="0"/>
              <w:jc w:val="center"/>
              <w:rPr>
                <w:color w:val="000000" w:themeColor="text1"/>
                <w:szCs w:val="24"/>
              </w:rPr>
            </w:pPr>
            <w:r>
              <w:rPr>
                <w:color w:val="000000"/>
              </w:rPr>
              <w:t>40,96</w:t>
            </w:r>
          </w:p>
        </w:tc>
      </w:tr>
      <w:tr w:rsidR="004A5CB9" w:rsidRPr="00687DE8" w14:paraId="088749F8"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AD27C4" w14:textId="77777777" w:rsidR="004A5CB9" w:rsidRPr="00687DE8" w:rsidRDefault="004A5CB9" w:rsidP="004A5CB9">
            <w:pPr>
              <w:spacing w:after="0" w:line="240" w:lineRule="auto"/>
              <w:rPr>
                <w:szCs w:val="24"/>
              </w:rPr>
            </w:pPr>
            <w:r w:rsidRPr="00687DE8">
              <w:rPr>
                <w:szCs w:val="24"/>
              </w:rPr>
              <w:t>Sidumine (statsionaarne)</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DB646B" w14:textId="77777777" w:rsidR="004A5CB9" w:rsidRPr="00687DE8" w:rsidRDefault="004A5CB9" w:rsidP="004A5CB9">
            <w:pPr>
              <w:spacing w:after="0" w:line="240" w:lineRule="auto"/>
              <w:jc w:val="center"/>
              <w:rPr>
                <w:szCs w:val="24"/>
              </w:rPr>
            </w:pPr>
            <w:r w:rsidRPr="00687DE8">
              <w:rPr>
                <w:szCs w:val="24"/>
              </w:rPr>
              <w:t>7142</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CDB9BF" w14:textId="14A89DC0" w:rsidR="2E1E8EE1" w:rsidRPr="00687DE8" w:rsidRDefault="0004393B">
            <w:pPr>
              <w:spacing w:after="0"/>
              <w:jc w:val="center"/>
              <w:rPr>
                <w:color w:val="000000" w:themeColor="text1"/>
                <w:szCs w:val="24"/>
              </w:rPr>
            </w:pPr>
            <w:r>
              <w:rPr>
                <w:color w:val="000000"/>
              </w:rPr>
              <w:t>56,20</w:t>
            </w:r>
          </w:p>
        </w:tc>
      </w:tr>
      <w:tr w:rsidR="004A5CB9" w:rsidRPr="00687DE8" w14:paraId="534E997D"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2D58D5" w14:textId="77777777" w:rsidR="004A5CB9" w:rsidRPr="00687DE8" w:rsidRDefault="004A5CB9" w:rsidP="004A5CB9">
            <w:pPr>
              <w:spacing w:after="0" w:line="240" w:lineRule="auto"/>
              <w:rPr>
                <w:szCs w:val="24"/>
              </w:rPr>
            </w:pPr>
            <w:r w:rsidRPr="00687DE8">
              <w:rPr>
                <w:szCs w:val="24"/>
              </w:rPr>
              <w:t>Intratekaalse baklofeenravipumba täitmine</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B5B484" w14:textId="77777777" w:rsidR="004A5CB9" w:rsidRPr="00687DE8" w:rsidRDefault="004A5CB9" w:rsidP="004A5CB9">
            <w:pPr>
              <w:spacing w:after="0" w:line="240" w:lineRule="auto"/>
              <w:jc w:val="center"/>
              <w:rPr>
                <w:szCs w:val="24"/>
              </w:rPr>
            </w:pPr>
            <w:r w:rsidRPr="00687DE8">
              <w:rPr>
                <w:szCs w:val="24"/>
              </w:rPr>
              <w:t>7137</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77B09E" w14:textId="23B87D95" w:rsidR="2E1E8EE1" w:rsidRPr="00687DE8" w:rsidRDefault="0004393B">
            <w:pPr>
              <w:spacing w:after="0"/>
              <w:jc w:val="center"/>
              <w:rPr>
                <w:color w:val="000000" w:themeColor="text1"/>
                <w:szCs w:val="24"/>
              </w:rPr>
            </w:pPr>
            <w:r>
              <w:rPr>
                <w:color w:val="000000"/>
              </w:rPr>
              <w:t>313,48</w:t>
            </w:r>
          </w:p>
        </w:tc>
      </w:tr>
      <w:tr w:rsidR="004A5CB9" w:rsidRPr="00687DE8" w14:paraId="7F65680E" w14:textId="77777777" w:rsidTr="00D30B8D">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63242F" w14:textId="77777777" w:rsidR="004A5CB9" w:rsidRPr="00687DE8" w:rsidRDefault="004A5CB9" w:rsidP="004A5CB9">
            <w:pPr>
              <w:spacing w:after="0" w:line="240" w:lineRule="auto"/>
              <w:rPr>
                <w:szCs w:val="24"/>
              </w:rPr>
            </w:pPr>
            <w:r w:rsidRPr="00687DE8">
              <w:rPr>
                <w:szCs w:val="24"/>
              </w:rPr>
              <w:t>5-aminolevuliinhape maliigse glioomi residuaalkoe intraoperatiivseks fotodünaamiliseks visualiseerimiseks</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6FD566" w14:textId="77777777" w:rsidR="004A5CB9" w:rsidRPr="00687DE8" w:rsidRDefault="004A5CB9" w:rsidP="004A5CB9">
            <w:pPr>
              <w:spacing w:after="0" w:line="240" w:lineRule="auto"/>
              <w:jc w:val="center"/>
              <w:rPr>
                <w:szCs w:val="24"/>
              </w:rPr>
            </w:pPr>
          </w:p>
          <w:p w14:paraId="4C5A77FB" w14:textId="77777777" w:rsidR="004A5CB9" w:rsidRPr="00687DE8" w:rsidRDefault="004A5CB9" w:rsidP="004A5CB9">
            <w:pPr>
              <w:spacing w:after="0" w:line="240" w:lineRule="auto"/>
              <w:jc w:val="center"/>
              <w:rPr>
                <w:szCs w:val="24"/>
              </w:rPr>
            </w:pPr>
            <w:r w:rsidRPr="00687DE8">
              <w:rPr>
                <w:szCs w:val="24"/>
              </w:rPr>
              <w:t>7138</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B8ED6D" w14:textId="77B684C2" w:rsidR="2E1E8EE1" w:rsidRPr="00687DE8" w:rsidRDefault="0004393B">
            <w:pPr>
              <w:spacing w:after="0"/>
              <w:jc w:val="center"/>
              <w:rPr>
                <w:color w:val="000000" w:themeColor="text1"/>
                <w:szCs w:val="24"/>
              </w:rPr>
            </w:pPr>
            <w:r>
              <w:rPr>
                <w:color w:val="000000"/>
              </w:rPr>
              <w:t>1 107,53</w:t>
            </w:r>
          </w:p>
        </w:tc>
      </w:tr>
      <w:tr w:rsidR="004A5CB9" w:rsidRPr="00687DE8" w14:paraId="2A32EAD0"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55E6D5" w14:textId="77777777" w:rsidR="004A5CB9" w:rsidRPr="00687DE8" w:rsidRDefault="004A5CB9" w:rsidP="004A5CB9">
            <w:pPr>
              <w:spacing w:after="0" w:line="240" w:lineRule="auto"/>
              <w:rPr>
                <w:szCs w:val="24"/>
              </w:rPr>
            </w:pPr>
            <w:r w:rsidRPr="00687DE8">
              <w:rPr>
                <w:color w:val="202020"/>
                <w:szCs w:val="24"/>
              </w:rPr>
              <w:t>Kolju- ja näokirurgia preoperatiivne 3D planeerimine</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855C10" w14:textId="77777777" w:rsidR="004A5CB9" w:rsidRPr="00687DE8" w:rsidRDefault="004A5CB9" w:rsidP="004A5CB9">
            <w:pPr>
              <w:spacing w:after="0" w:line="240" w:lineRule="auto"/>
              <w:jc w:val="center"/>
              <w:rPr>
                <w:szCs w:val="24"/>
              </w:rPr>
            </w:pPr>
            <w:r w:rsidRPr="00687DE8">
              <w:rPr>
                <w:szCs w:val="24"/>
              </w:rPr>
              <w:t>7143</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848ED8" w14:textId="300FF931" w:rsidR="2E1E8EE1" w:rsidRPr="00687DE8" w:rsidRDefault="0004393B">
            <w:pPr>
              <w:spacing w:after="0"/>
              <w:jc w:val="center"/>
              <w:rPr>
                <w:color w:val="000000" w:themeColor="text1"/>
                <w:szCs w:val="24"/>
              </w:rPr>
            </w:pPr>
            <w:r>
              <w:rPr>
                <w:color w:val="000000"/>
              </w:rPr>
              <w:t>610,91</w:t>
            </w:r>
          </w:p>
        </w:tc>
      </w:tr>
      <w:tr w:rsidR="07962083" w14:paraId="39C35237" w14:textId="77777777" w:rsidTr="007F692A">
        <w:trPr>
          <w:divId w:val="1316184749"/>
          <w:trHeight w:val="300"/>
        </w:trPr>
        <w:tc>
          <w:tcPr>
            <w:tcW w:w="5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AF35CA" w14:textId="1745232F" w:rsidR="07962083" w:rsidRDefault="7248A418" w:rsidP="07962083">
            <w:pPr>
              <w:spacing w:line="240" w:lineRule="auto"/>
              <w:rPr>
                <w:color w:val="202020"/>
              </w:rPr>
            </w:pPr>
            <w:r w:rsidRPr="2B61B5AA">
              <w:rPr>
                <w:color w:val="202020"/>
              </w:rPr>
              <w:t>Anaalvaariksite ligeerimine</w:t>
            </w:r>
          </w:p>
        </w:tc>
        <w:tc>
          <w:tcPr>
            <w:tcW w:w="2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6A3F56" w14:textId="471BF9BF" w:rsidR="07962083" w:rsidRDefault="7248A418" w:rsidP="07962083">
            <w:pPr>
              <w:spacing w:line="240" w:lineRule="auto"/>
              <w:jc w:val="center"/>
            </w:pPr>
            <w:r>
              <w:t>7590</w:t>
            </w:r>
          </w:p>
        </w:tc>
        <w:tc>
          <w:tcPr>
            <w:tcW w:w="125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3EAD78" w14:textId="6FD7AA3C" w:rsidR="07962083" w:rsidRDefault="0004393B" w:rsidP="07962083">
            <w:pPr>
              <w:jc w:val="center"/>
              <w:rPr>
                <w:color w:val="000000" w:themeColor="text1"/>
              </w:rPr>
            </w:pPr>
            <w:r>
              <w:rPr>
                <w:color w:val="000000"/>
              </w:rPr>
              <w:t>42,74</w:t>
            </w:r>
          </w:p>
        </w:tc>
      </w:tr>
    </w:tbl>
    <w:p w14:paraId="7E66FD82" w14:textId="77777777" w:rsidR="00976487" w:rsidRPr="00687DE8" w:rsidRDefault="00976487" w:rsidP="00976487">
      <w:pPr>
        <w:spacing w:after="0" w:line="240" w:lineRule="auto"/>
        <w:jc w:val="both"/>
        <w:divId w:val="1316184749"/>
        <w:rPr>
          <w:szCs w:val="24"/>
        </w:rPr>
      </w:pPr>
    </w:p>
    <w:p w14:paraId="50185D29" w14:textId="77777777" w:rsidR="00976487" w:rsidRPr="00687DE8" w:rsidRDefault="00976487" w:rsidP="00976487">
      <w:pPr>
        <w:spacing w:after="0" w:line="240" w:lineRule="auto"/>
        <w:jc w:val="both"/>
        <w:divId w:val="1316184749"/>
        <w:rPr>
          <w:szCs w:val="24"/>
        </w:rPr>
      </w:pPr>
      <w:r w:rsidRPr="00687DE8">
        <w:rPr>
          <w:szCs w:val="24"/>
        </w:rPr>
        <w:t>(2) 6. peatükis nimetatud operatsioonidele võib täiendavalt rakendada lõikes 1 kehtestatud teenustest ainult koodidega 7136, 7128, 7129 ja 7130 tähistatud tervishoiuteenuste piirhindu.</w:t>
      </w:r>
    </w:p>
    <w:p w14:paraId="51BACE54" w14:textId="77777777" w:rsidR="00976487" w:rsidRPr="00687DE8" w:rsidRDefault="00976487" w:rsidP="00976487">
      <w:pPr>
        <w:spacing w:after="0" w:line="240" w:lineRule="auto"/>
        <w:jc w:val="both"/>
        <w:divId w:val="1316184749"/>
        <w:rPr>
          <w:szCs w:val="24"/>
        </w:rPr>
      </w:pPr>
    </w:p>
    <w:p w14:paraId="068A3D98" w14:textId="0CE8BECA"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koodiga 7122 tähistatud tervishoiuteenuse eest tasu maksmise kohustuse üle ainult 4. peatükis nimetamata kirurgiliste protseduuride korral.</w:t>
      </w:r>
    </w:p>
    <w:p w14:paraId="006991DE" w14:textId="77777777" w:rsidR="00976487" w:rsidRPr="00687DE8" w:rsidRDefault="00976487" w:rsidP="00976487">
      <w:pPr>
        <w:spacing w:after="0" w:line="240" w:lineRule="auto"/>
        <w:jc w:val="both"/>
        <w:divId w:val="1316184749"/>
        <w:rPr>
          <w:szCs w:val="24"/>
        </w:rPr>
      </w:pPr>
    </w:p>
    <w:p w14:paraId="6D0D941D" w14:textId="713DBA74" w:rsidR="00976487" w:rsidRPr="00687DE8" w:rsidRDefault="00976487" w:rsidP="00976487">
      <w:pPr>
        <w:spacing w:after="0" w:line="240" w:lineRule="auto"/>
        <w:jc w:val="both"/>
        <w:divId w:val="1316184749"/>
      </w:pPr>
      <w:r>
        <w:t xml:space="preserve">(4) Suured ja väiksed luud ja liigesed on loetletud § </w:t>
      </w:r>
      <w:r w:rsidR="001D362C">
        <w:t>49</w:t>
      </w:r>
      <w:r>
        <w:t xml:space="preserve"> lõigetes 2</w:t>
      </w:r>
      <w:r w:rsidR="00BD5907">
        <w:t>–</w:t>
      </w:r>
      <w:r w:rsidR="00BE545C">
        <w:t>5</w:t>
      </w:r>
      <w:r w:rsidDel="00BE545C">
        <w:t>.</w:t>
      </w:r>
    </w:p>
    <w:p w14:paraId="3CF80BA8" w14:textId="77777777" w:rsidR="00976487" w:rsidRPr="00687DE8" w:rsidRDefault="00976487" w:rsidP="00976487">
      <w:pPr>
        <w:spacing w:after="0" w:line="240" w:lineRule="auto"/>
        <w:jc w:val="both"/>
        <w:divId w:val="1316184749"/>
        <w:rPr>
          <w:szCs w:val="24"/>
        </w:rPr>
      </w:pPr>
    </w:p>
    <w:p w14:paraId="12E3FC48" w14:textId="77777777" w:rsidR="00976487" w:rsidRPr="00687DE8" w:rsidRDefault="00976487" w:rsidP="00976487">
      <w:pPr>
        <w:spacing w:after="0" w:line="240" w:lineRule="auto"/>
        <w:jc w:val="both"/>
        <w:divId w:val="1316184749"/>
        <w:rPr>
          <w:szCs w:val="24"/>
        </w:rPr>
      </w:pPr>
      <w:r w:rsidRPr="00687DE8">
        <w:rPr>
          <w:szCs w:val="24"/>
        </w:rPr>
        <w:t>(5) Koodiga 7137 tähistatud tervishoiuteenust ei rakendata koos koodiga 1A2132 tähistatud tervishoiuteenusega.</w:t>
      </w:r>
    </w:p>
    <w:p w14:paraId="4F521E3D" w14:textId="77777777" w:rsidR="00976487" w:rsidRPr="00687DE8" w:rsidRDefault="00976487" w:rsidP="00976487">
      <w:pPr>
        <w:spacing w:after="0" w:line="240" w:lineRule="auto"/>
        <w:jc w:val="both"/>
        <w:divId w:val="1316184749"/>
        <w:rPr>
          <w:szCs w:val="24"/>
        </w:rPr>
      </w:pPr>
    </w:p>
    <w:p w14:paraId="1C5ED9F6" w14:textId="71389109" w:rsidR="00976487" w:rsidRPr="00687DE8" w:rsidRDefault="00976487" w:rsidP="00976487">
      <w:pPr>
        <w:spacing w:after="0" w:line="240" w:lineRule="auto"/>
        <w:jc w:val="both"/>
        <w:divId w:val="1316184749"/>
        <w:rPr>
          <w:szCs w:val="24"/>
        </w:rPr>
      </w:pPr>
      <w:r w:rsidRPr="00687DE8">
        <w:rPr>
          <w:szCs w:val="24"/>
        </w:rPr>
        <w:t xml:space="preserve">(6) </w:t>
      </w:r>
      <w:r w:rsidR="005023FD" w:rsidRPr="00687DE8">
        <w:rPr>
          <w:szCs w:val="24"/>
        </w:rPr>
        <w:t>Tervisekassa</w:t>
      </w:r>
      <w:r w:rsidRPr="00687DE8">
        <w:rPr>
          <w:szCs w:val="24"/>
        </w:rPr>
        <w:t xml:space="preserve"> võtab koodiga 7138 tähistatud tervishoiuteenuse eest tasu maksmise kohustuse üle juhul, kui teenust osutatakse koos koodiga 1A2125 tähistatud tervishoiuteenusega.</w:t>
      </w:r>
    </w:p>
    <w:p w14:paraId="7DDC7700" w14:textId="77777777" w:rsidR="00976487" w:rsidRPr="00687DE8" w:rsidRDefault="00976487" w:rsidP="00976487">
      <w:pPr>
        <w:spacing w:after="0" w:line="240" w:lineRule="auto"/>
        <w:jc w:val="both"/>
        <w:divId w:val="1316184749"/>
        <w:rPr>
          <w:szCs w:val="24"/>
        </w:rPr>
      </w:pPr>
    </w:p>
    <w:p w14:paraId="0DCE2387" w14:textId="77777777" w:rsidR="00976487" w:rsidRPr="00687DE8" w:rsidRDefault="00976487" w:rsidP="00976487">
      <w:pPr>
        <w:spacing w:after="0" w:line="240" w:lineRule="auto"/>
        <w:jc w:val="both"/>
        <w:divId w:val="1316184749"/>
        <w:rPr>
          <w:szCs w:val="24"/>
        </w:rPr>
      </w:pPr>
      <w:r w:rsidRPr="00687DE8">
        <w:rPr>
          <w:szCs w:val="24"/>
        </w:rPr>
        <w:lastRenderedPageBreak/>
        <w:t>(7) Koodidega 7128, 7129 ja 7130 tähistatud tervishoiuteenused sisaldavad järgmisi lahasematerjale: looduslik kiiresti kivistuv kips, looduslik aeglaselt kivistuv kips, sünteetiline jäik ja vesikõvastuv kipsside ja -lahas.</w:t>
      </w:r>
    </w:p>
    <w:p w14:paraId="3835B481" w14:textId="77777777" w:rsidR="00976487" w:rsidRPr="00687DE8" w:rsidRDefault="00976487" w:rsidP="00976487">
      <w:pPr>
        <w:spacing w:after="0" w:line="240" w:lineRule="auto"/>
        <w:jc w:val="both"/>
        <w:divId w:val="1316184749"/>
        <w:rPr>
          <w:szCs w:val="24"/>
        </w:rPr>
      </w:pPr>
    </w:p>
    <w:p w14:paraId="7F5A971F" w14:textId="065649BC" w:rsidR="00976487" w:rsidRPr="00687DE8" w:rsidRDefault="00976487" w:rsidP="00976487">
      <w:pPr>
        <w:spacing w:after="0" w:line="240" w:lineRule="auto"/>
        <w:jc w:val="both"/>
        <w:divId w:val="1316184749"/>
        <w:rPr>
          <w:szCs w:val="24"/>
        </w:rPr>
      </w:pPr>
      <w:r w:rsidRPr="00687DE8">
        <w:rPr>
          <w:szCs w:val="24"/>
        </w:rPr>
        <w:t xml:space="preserve">(8) </w:t>
      </w:r>
      <w:r w:rsidR="005023FD" w:rsidRPr="00687DE8">
        <w:rPr>
          <w:szCs w:val="24"/>
        </w:rPr>
        <w:t>Tervisekassa</w:t>
      </w:r>
      <w:r w:rsidRPr="00687DE8">
        <w:rPr>
          <w:szCs w:val="24"/>
        </w:rPr>
        <w:t xml:space="preserve"> võtab koodidega 7141 ja 7142 tähistatud tervishoiuteenuste eest tasu maksmise kohustuse üle järgmistel juhtudel: </w:t>
      </w:r>
    </w:p>
    <w:p w14:paraId="51646D6E" w14:textId="77777777" w:rsidR="00976487" w:rsidRPr="00687DE8" w:rsidRDefault="00976487" w:rsidP="00976487">
      <w:pPr>
        <w:spacing w:after="0" w:line="240" w:lineRule="auto"/>
        <w:jc w:val="both"/>
        <w:divId w:val="1316184749"/>
        <w:rPr>
          <w:szCs w:val="24"/>
        </w:rPr>
      </w:pPr>
      <w:r w:rsidRPr="00687DE8">
        <w:rPr>
          <w:szCs w:val="24"/>
        </w:rPr>
        <w:t>1) põletushaige sidumine;</w:t>
      </w:r>
    </w:p>
    <w:p w14:paraId="14C707D4" w14:textId="77777777" w:rsidR="00976487" w:rsidRPr="00687DE8" w:rsidRDefault="00976487" w:rsidP="00976487">
      <w:pPr>
        <w:spacing w:after="0" w:line="240" w:lineRule="auto"/>
        <w:jc w:val="both"/>
        <w:divId w:val="1316184749"/>
        <w:rPr>
          <w:szCs w:val="24"/>
        </w:rPr>
      </w:pPr>
      <w:r w:rsidRPr="00687DE8">
        <w:rPr>
          <w:szCs w:val="24"/>
        </w:rPr>
        <w:t>2) plastikakirurgilise haige sidumine;</w:t>
      </w:r>
    </w:p>
    <w:p w14:paraId="328414F3" w14:textId="77777777" w:rsidR="00976487" w:rsidRPr="00687DE8" w:rsidRDefault="00976487" w:rsidP="00976487">
      <w:pPr>
        <w:spacing w:after="0" w:line="240" w:lineRule="auto"/>
        <w:jc w:val="both"/>
        <w:divId w:val="1316184749"/>
        <w:rPr>
          <w:szCs w:val="24"/>
        </w:rPr>
      </w:pPr>
      <w:r w:rsidRPr="00687DE8">
        <w:rPr>
          <w:szCs w:val="24"/>
        </w:rPr>
        <w:t xml:space="preserve">3) lahtise luukoldega osteomüeliidihaige sidumine; </w:t>
      </w:r>
    </w:p>
    <w:p w14:paraId="10248C51" w14:textId="0EC00CC1" w:rsidR="00976487" w:rsidRPr="00687DE8" w:rsidRDefault="00976487" w:rsidP="00976487">
      <w:pPr>
        <w:spacing w:after="0" w:line="240" w:lineRule="auto"/>
        <w:jc w:val="both"/>
        <w:divId w:val="1316184749"/>
        <w:rPr>
          <w:szCs w:val="24"/>
        </w:rPr>
      </w:pPr>
      <w:r w:rsidRPr="00687DE8">
        <w:rPr>
          <w:szCs w:val="24"/>
        </w:rPr>
        <w:t>4) sidumine juhul, kui kehapinna defekti</w:t>
      </w:r>
      <w:r w:rsidR="00DB7868" w:rsidRPr="00687DE8">
        <w:rPr>
          <w:szCs w:val="24"/>
        </w:rPr>
        <w:t xml:space="preserve"> või defektide kogu</w:t>
      </w:r>
      <w:r w:rsidRPr="00687DE8">
        <w:rPr>
          <w:szCs w:val="24"/>
        </w:rPr>
        <w:t xml:space="preserve">läbimõõt on </w:t>
      </w:r>
      <w:r w:rsidR="00DB7868" w:rsidRPr="00687DE8">
        <w:rPr>
          <w:szCs w:val="24"/>
        </w:rPr>
        <w:t>suurem kui</w:t>
      </w:r>
      <w:r w:rsidRPr="00687DE8">
        <w:rPr>
          <w:szCs w:val="24"/>
        </w:rPr>
        <w:t xml:space="preserve"> 6 cm järgmiste seisundite korral: </w:t>
      </w:r>
      <w:r w:rsidR="00144147" w:rsidRPr="00687DE8">
        <w:rPr>
          <w:szCs w:val="24"/>
        </w:rPr>
        <w:t>lamatis,</w:t>
      </w:r>
      <w:r w:rsidR="007775F7" w:rsidRPr="00687DE8">
        <w:rPr>
          <w:szCs w:val="24"/>
        </w:rPr>
        <w:t xml:space="preserve"> </w:t>
      </w:r>
      <w:r w:rsidRPr="00687DE8">
        <w:rPr>
          <w:szCs w:val="24"/>
        </w:rPr>
        <w:t>lagunev kasvaja, pehmekoe infektsioon või trauma, operatsioonihaava dehistsents, troofika- ja innervatsioonihäirest tulenev pehmekoe defekt.</w:t>
      </w:r>
    </w:p>
    <w:p w14:paraId="4C82DECF" w14:textId="77777777" w:rsidR="009524EB" w:rsidRPr="00687DE8" w:rsidRDefault="009524EB" w:rsidP="00334F99">
      <w:pPr>
        <w:spacing w:after="0" w:line="240" w:lineRule="auto"/>
        <w:jc w:val="both"/>
        <w:rPr>
          <w:szCs w:val="24"/>
        </w:rPr>
      </w:pPr>
    </w:p>
    <w:p w14:paraId="3ECABC4E" w14:textId="62452F73" w:rsidR="31A21B99" w:rsidRPr="00687DE8" w:rsidRDefault="31A21B99" w:rsidP="00334F99">
      <w:pPr>
        <w:spacing w:after="0" w:line="240" w:lineRule="auto"/>
        <w:jc w:val="both"/>
      </w:pPr>
      <w:r>
        <w:t xml:space="preserve">(9) </w:t>
      </w:r>
      <w:r w:rsidR="005023FD">
        <w:t>Tervisekassa</w:t>
      </w:r>
      <w:r>
        <w:t xml:space="preserve"> võtab koodiga 7143 tähistatud tervishoiuteenuse eest tasu maksmise kohustuse üle kolju ja näokolju komplitseeritud kaasasündinud või omandatud deformatsiooni kirurgilise ravi planeerimisel.</w:t>
      </w:r>
    </w:p>
    <w:p w14:paraId="44579CE0" w14:textId="3254B67E" w:rsidR="08DD999B" w:rsidRDefault="08DD999B" w:rsidP="08DD999B">
      <w:pPr>
        <w:spacing w:after="0" w:line="240" w:lineRule="auto"/>
        <w:jc w:val="both"/>
      </w:pPr>
    </w:p>
    <w:p w14:paraId="4D239F35" w14:textId="5A3B7167" w:rsidR="3EA12A89" w:rsidRDefault="3EA12A89" w:rsidP="08DD999B">
      <w:pPr>
        <w:spacing w:after="0" w:line="240" w:lineRule="auto"/>
        <w:jc w:val="both"/>
      </w:pPr>
      <w:r>
        <w:t>(1</w:t>
      </w:r>
      <w:r w:rsidR="00B10B66">
        <w:t>0</w:t>
      </w:r>
      <w:r>
        <w:t>) Koodiga 7590 tähistatud tervishoiuteenuse piirhind sisaldab ligatuuride maksumust</w:t>
      </w:r>
      <w:r w:rsidR="005078FB">
        <w:t>.</w:t>
      </w:r>
    </w:p>
    <w:p w14:paraId="06393D51" w14:textId="3CA09201" w:rsidR="172F64DB" w:rsidRDefault="172F64DB" w:rsidP="172F64DB">
      <w:pPr>
        <w:spacing w:after="0" w:line="240" w:lineRule="auto"/>
        <w:jc w:val="both"/>
      </w:pPr>
    </w:p>
    <w:p w14:paraId="6858E5C8" w14:textId="18B33E89" w:rsidR="7E5F9A88" w:rsidRDefault="7E5F9A88" w:rsidP="172F64DB">
      <w:pPr>
        <w:spacing w:after="0" w:line="240" w:lineRule="auto"/>
        <w:jc w:val="both"/>
      </w:pPr>
      <w:r>
        <w:t>(</w:t>
      </w:r>
      <w:r w:rsidR="00B10B66">
        <w:t>11</w:t>
      </w:r>
      <w:r>
        <w:t xml:space="preserve">) Koodiga 7590 tähistatud tervishoiuteenust võib </w:t>
      </w:r>
      <w:r w:rsidR="002715CA">
        <w:t>osutada</w:t>
      </w:r>
      <w:r>
        <w:t xml:space="preserve"> </w:t>
      </w:r>
      <w:r w:rsidR="3349A76B">
        <w:t>koo</w:t>
      </w:r>
      <w:r w:rsidR="72B8DD76">
        <w:t xml:space="preserve">s </w:t>
      </w:r>
      <w:r w:rsidR="3349A76B">
        <w:t>koodiga 7556</w:t>
      </w:r>
      <w:r w:rsidR="3415EE7C">
        <w:t>, 7562 või 7558</w:t>
      </w:r>
      <w:r w:rsidR="00AE158E">
        <w:t xml:space="preserve"> tähistatud tervishoiuteenusega</w:t>
      </w:r>
      <w:r w:rsidR="3349A76B">
        <w:t>.</w:t>
      </w:r>
    </w:p>
    <w:p w14:paraId="02A6DF8C" w14:textId="77777777" w:rsidR="00AF4B3B" w:rsidRPr="00687DE8" w:rsidRDefault="00AF4B3B" w:rsidP="00976487">
      <w:pPr>
        <w:spacing w:after="0" w:line="240" w:lineRule="auto"/>
        <w:jc w:val="both"/>
        <w:divId w:val="1316184749"/>
        <w:rPr>
          <w:szCs w:val="24"/>
        </w:rPr>
      </w:pPr>
    </w:p>
    <w:p w14:paraId="56DA9DDA" w14:textId="77777777" w:rsidR="00976487" w:rsidRDefault="00976487" w:rsidP="00976487">
      <w:pPr>
        <w:pStyle w:val="Loendilik"/>
        <w:spacing w:after="0" w:line="240" w:lineRule="auto"/>
        <w:ind w:left="0"/>
        <w:jc w:val="both"/>
        <w:outlineLvl w:val="2"/>
        <w:divId w:val="1316184749"/>
        <w:rPr>
          <w:b/>
          <w:szCs w:val="24"/>
        </w:rPr>
      </w:pPr>
      <w:r w:rsidRPr="00687DE8">
        <w:rPr>
          <w:b/>
          <w:szCs w:val="24"/>
        </w:rPr>
        <w:t>§ 3</w:t>
      </w:r>
      <w:r w:rsidR="00296746" w:rsidRPr="00687DE8">
        <w:rPr>
          <w:b/>
          <w:szCs w:val="24"/>
        </w:rPr>
        <w:t>1</w:t>
      </w:r>
      <w:r w:rsidRPr="00687DE8">
        <w:rPr>
          <w:b/>
          <w:szCs w:val="24"/>
        </w:rPr>
        <w:t>. Uroloogiliste uuringute ja protseduuride piirhinnad</w:t>
      </w:r>
    </w:p>
    <w:p w14:paraId="4BC8AF72" w14:textId="77777777" w:rsidR="00DF1D65" w:rsidRDefault="00DF1D65" w:rsidP="00976487">
      <w:pPr>
        <w:spacing w:after="0" w:line="240" w:lineRule="auto"/>
        <w:jc w:val="both"/>
        <w:divId w:val="1316184749"/>
        <w:rPr>
          <w:szCs w:val="24"/>
        </w:rPr>
      </w:pPr>
    </w:p>
    <w:p w14:paraId="1BE6A38B" w14:textId="5BBF0FA9" w:rsidR="00976487" w:rsidRPr="00687DE8" w:rsidRDefault="00976487" w:rsidP="00976487">
      <w:pPr>
        <w:spacing w:after="0" w:line="240" w:lineRule="auto"/>
        <w:jc w:val="both"/>
        <w:divId w:val="1316184749"/>
        <w:rPr>
          <w:szCs w:val="24"/>
        </w:rPr>
      </w:pPr>
      <w:r w:rsidRPr="00687DE8">
        <w:rPr>
          <w:szCs w:val="24"/>
        </w:rPr>
        <w:t>(1) Uroloogiliste uuringute ja protseduuride piirhinnad on järgmised:</w:t>
      </w:r>
    </w:p>
    <w:p w14:paraId="7A1CD2D3"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1"/>
        <w:gridCol w:w="1019"/>
        <w:gridCol w:w="1625"/>
      </w:tblGrid>
      <w:tr w:rsidR="00976487" w:rsidRPr="00687DE8" w14:paraId="6107C1CE" w14:textId="77777777" w:rsidTr="001216B6">
        <w:trPr>
          <w:divId w:val="1316184749"/>
          <w:tblHeader/>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D0E5DC" w14:textId="77777777" w:rsidR="00976487" w:rsidRPr="00687DE8" w:rsidRDefault="00976487">
            <w:pPr>
              <w:spacing w:after="0" w:line="240" w:lineRule="auto"/>
              <w:jc w:val="center"/>
              <w:rPr>
                <w:szCs w:val="24"/>
              </w:rPr>
            </w:pPr>
            <w:r w:rsidRPr="00687DE8">
              <w:rPr>
                <w:b/>
                <w:szCs w:val="24"/>
              </w:rPr>
              <w:t>Tervishoiuteenuse nimetus</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0EF07A" w14:textId="77777777" w:rsidR="00976487" w:rsidRPr="00687DE8" w:rsidRDefault="00976487">
            <w:pPr>
              <w:spacing w:after="0" w:line="240" w:lineRule="auto"/>
              <w:jc w:val="center"/>
              <w:rPr>
                <w:szCs w:val="24"/>
              </w:rPr>
            </w:pPr>
            <w:r w:rsidRPr="00687DE8">
              <w:rPr>
                <w:b/>
                <w:szCs w:val="24"/>
              </w:rPr>
              <w:t>Kood</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2C6412"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1216B6" w:rsidRPr="00687DE8" w14:paraId="475251CE"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A2EFAE" w14:textId="77777777" w:rsidR="001216B6" w:rsidRPr="00687DE8" w:rsidRDefault="001216B6" w:rsidP="001216B6">
            <w:pPr>
              <w:spacing w:after="0" w:line="240" w:lineRule="auto"/>
              <w:rPr>
                <w:szCs w:val="24"/>
              </w:rPr>
            </w:pPr>
            <w:r w:rsidRPr="00687DE8">
              <w:rPr>
                <w:szCs w:val="24"/>
              </w:rPr>
              <w:t>Fiiberureetrotsüstoskoopia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2D192A4" w14:textId="77777777" w:rsidR="001216B6" w:rsidRPr="00687DE8" w:rsidRDefault="001216B6" w:rsidP="001216B6">
            <w:pPr>
              <w:spacing w:after="0" w:line="240" w:lineRule="auto"/>
              <w:jc w:val="center"/>
              <w:rPr>
                <w:szCs w:val="24"/>
              </w:rPr>
            </w:pPr>
            <w:r w:rsidRPr="00687DE8">
              <w:rPr>
                <w:szCs w:val="24"/>
              </w:rPr>
              <w:t>7150</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32BF98" w14:textId="3FAAAD0B" w:rsidR="2E1E8EE1" w:rsidRPr="00687DE8" w:rsidRDefault="00F13222">
            <w:pPr>
              <w:spacing w:after="0"/>
              <w:jc w:val="center"/>
              <w:rPr>
                <w:color w:val="000000" w:themeColor="text1"/>
                <w:szCs w:val="24"/>
              </w:rPr>
            </w:pPr>
            <w:r>
              <w:rPr>
                <w:color w:val="000000"/>
              </w:rPr>
              <w:t>66,88</w:t>
            </w:r>
          </w:p>
        </w:tc>
      </w:tr>
      <w:tr w:rsidR="001216B6" w:rsidRPr="00687DE8" w14:paraId="7C1C335E"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191531" w14:textId="77777777" w:rsidR="001216B6" w:rsidRPr="00687DE8" w:rsidRDefault="001216B6" w:rsidP="001216B6">
            <w:pPr>
              <w:spacing w:after="0" w:line="240" w:lineRule="auto"/>
              <w:rPr>
                <w:szCs w:val="24"/>
              </w:rPr>
            </w:pPr>
            <w:r w:rsidRPr="00687DE8">
              <w:rPr>
                <w:szCs w:val="24"/>
              </w:rPr>
              <w:t>Fiiberureetrotsüstoskoopia biopsia võtmisega või stendi eemaldamisega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94ECBF9" w14:textId="77777777" w:rsidR="001216B6" w:rsidRPr="00687DE8" w:rsidRDefault="001216B6" w:rsidP="001216B6">
            <w:pPr>
              <w:spacing w:after="0" w:line="240" w:lineRule="auto"/>
              <w:jc w:val="center"/>
              <w:rPr>
                <w:szCs w:val="24"/>
              </w:rPr>
            </w:pPr>
            <w:r w:rsidRPr="00687DE8">
              <w:rPr>
                <w:szCs w:val="24"/>
              </w:rPr>
              <w:t>7151</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E2E0DE7" w14:textId="11BD528B" w:rsidR="2E1E8EE1" w:rsidRPr="00687DE8" w:rsidRDefault="00F13222">
            <w:pPr>
              <w:spacing w:after="0"/>
              <w:jc w:val="center"/>
              <w:rPr>
                <w:color w:val="000000" w:themeColor="text1"/>
                <w:szCs w:val="24"/>
              </w:rPr>
            </w:pPr>
            <w:r>
              <w:rPr>
                <w:color w:val="000000"/>
              </w:rPr>
              <w:t>67,61</w:t>
            </w:r>
          </w:p>
        </w:tc>
      </w:tr>
      <w:tr w:rsidR="001216B6" w:rsidRPr="00687DE8" w14:paraId="02EE7669"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EB96C1" w14:textId="77777777" w:rsidR="001216B6" w:rsidRPr="00687DE8" w:rsidRDefault="001216B6" w:rsidP="001216B6">
            <w:pPr>
              <w:spacing w:after="0" w:line="240" w:lineRule="auto"/>
              <w:rPr>
                <w:szCs w:val="24"/>
              </w:rPr>
            </w:pPr>
            <w:r w:rsidRPr="00687DE8">
              <w:rPr>
                <w:szCs w:val="24"/>
              </w:rPr>
              <w:t>Ureetrotsüstoskoopia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90362D3" w14:textId="77777777" w:rsidR="001216B6" w:rsidRPr="00687DE8" w:rsidRDefault="001216B6" w:rsidP="001216B6">
            <w:pPr>
              <w:spacing w:after="0" w:line="240" w:lineRule="auto"/>
              <w:jc w:val="center"/>
              <w:rPr>
                <w:szCs w:val="24"/>
              </w:rPr>
            </w:pPr>
            <w:r w:rsidRPr="00687DE8">
              <w:rPr>
                <w:szCs w:val="24"/>
              </w:rPr>
              <w:t>7152</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D6D3FB" w14:textId="27146647" w:rsidR="2E1E8EE1" w:rsidRPr="00687DE8" w:rsidRDefault="00F13222">
            <w:pPr>
              <w:spacing w:after="0"/>
              <w:jc w:val="center"/>
              <w:rPr>
                <w:color w:val="000000" w:themeColor="text1"/>
                <w:szCs w:val="24"/>
              </w:rPr>
            </w:pPr>
            <w:r>
              <w:rPr>
                <w:color w:val="000000"/>
              </w:rPr>
              <w:t>71,54</w:t>
            </w:r>
          </w:p>
        </w:tc>
      </w:tr>
      <w:tr w:rsidR="001216B6" w:rsidRPr="00687DE8" w14:paraId="4AF6A302"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4142E9" w14:textId="77777777" w:rsidR="001216B6" w:rsidRPr="00687DE8" w:rsidRDefault="001216B6" w:rsidP="001216B6">
            <w:pPr>
              <w:spacing w:after="0" w:line="240" w:lineRule="auto"/>
              <w:rPr>
                <w:szCs w:val="24"/>
              </w:rPr>
            </w:pPr>
            <w:r w:rsidRPr="00687DE8">
              <w:rPr>
                <w:szCs w:val="24"/>
              </w:rPr>
              <w:t>Ureetrotsüstoskoopia biopsia võtmisega või stendi eemaldamisega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FB090EF" w14:textId="77777777" w:rsidR="001216B6" w:rsidRPr="00687DE8" w:rsidRDefault="001216B6" w:rsidP="001216B6">
            <w:pPr>
              <w:spacing w:after="0" w:line="240" w:lineRule="auto"/>
              <w:jc w:val="center"/>
              <w:rPr>
                <w:szCs w:val="24"/>
              </w:rPr>
            </w:pPr>
            <w:r w:rsidRPr="00687DE8">
              <w:rPr>
                <w:szCs w:val="24"/>
              </w:rPr>
              <w:t>7153</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96E81F" w14:textId="54A48C15" w:rsidR="2E1E8EE1" w:rsidRPr="00687DE8" w:rsidRDefault="00F13222">
            <w:pPr>
              <w:spacing w:after="0"/>
              <w:jc w:val="center"/>
              <w:rPr>
                <w:color w:val="000000" w:themeColor="text1"/>
                <w:szCs w:val="24"/>
              </w:rPr>
            </w:pPr>
            <w:r>
              <w:rPr>
                <w:color w:val="000000"/>
              </w:rPr>
              <w:t>72,27</w:t>
            </w:r>
          </w:p>
        </w:tc>
      </w:tr>
      <w:tr w:rsidR="001216B6" w:rsidRPr="00687DE8" w14:paraId="16A6008B"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D8552C" w14:textId="77777777" w:rsidR="001216B6" w:rsidRPr="00687DE8" w:rsidRDefault="001216B6" w:rsidP="001216B6">
            <w:pPr>
              <w:spacing w:after="0" w:line="240" w:lineRule="auto"/>
              <w:rPr>
                <w:szCs w:val="24"/>
              </w:rPr>
            </w:pPr>
            <w:r w:rsidRPr="00687DE8">
              <w:rPr>
                <w:szCs w:val="24"/>
              </w:rPr>
              <w:t>Tsüstoskoopia ureeteri kateeterdamisega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4863D4" w14:textId="77777777" w:rsidR="001216B6" w:rsidRPr="00687DE8" w:rsidRDefault="001216B6" w:rsidP="001216B6">
            <w:pPr>
              <w:spacing w:after="0" w:line="240" w:lineRule="auto"/>
              <w:jc w:val="center"/>
              <w:rPr>
                <w:szCs w:val="24"/>
              </w:rPr>
            </w:pPr>
            <w:r w:rsidRPr="00687DE8">
              <w:rPr>
                <w:szCs w:val="24"/>
              </w:rPr>
              <w:t>7156</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F56D10" w14:textId="479ED6BF" w:rsidR="2E1E8EE1" w:rsidRPr="00687DE8" w:rsidRDefault="00F13222">
            <w:pPr>
              <w:spacing w:after="0"/>
              <w:jc w:val="center"/>
              <w:rPr>
                <w:color w:val="000000" w:themeColor="text1"/>
                <w:szCs w:val="24"/>
              </w:rPr>
            </w:pPr>
            <w:r>
              <w:rPr>
                <w:color w:val="000000"/>
              </w:rPr>
              <w:t>144,53</w:t>
            </w:r>
          </w:p>
        </w:tc>
      </w:tr>
      <w:tr w:rsidR="001216B6" w:rsidRPr="00687DE8" w14:paraId="4CA42EF7"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6F8366" w14:textId="77777777" w:rsidR="001216B6" w:rsidRPr="00687DE8" w:rsidRDefault="001216B6" w:rsidP="001216B6">
            <w:pPr>
              <w:spacing w:after="0" w:line="240" w:lineRule="auto"/>
              <w:rPr>
                <w:szCs w:val="24"/>
              </w:rPr>
            </w:pPr>
            <w:r w:rsidRPr="00687DE8">
              <w:rPr>
                <w:szCs w:val="24"/>
              </w:rPr>
              <w:t>Tsüstoskoopia ureeteri balloondilatatsiooni ja stentimisega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10D505" w14:textId="77777777" w:rsidR="001216B6" w:rsidRPr="00687DE8" w:rsidRDefault="001216B6" w:rsidP="001216B6">
            <w:pPr>
              <w:spacing w:after="0" w:line="240" w:lineRule="auto"/>
              <w:jc w:val="center"/>
              <w:rPr>
                <w:szCs w:val="24"/>
              </w:rPr>
            </w:pPr>
            <w:r w:rsidRPr="00687DE8">
              <w:rPr>
                <w:szCs w:val="24"/>
              </w:rPr>
              <w:t>7157</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A53372" w14:textId="33A1446A" w:rsidR="2E1E8EE1" w:rsidRPr="00687DE8" w:rsidRDefault="00F13222">
            <w:pPr>
              <w:spacing w:after="0"/>
              <w:jc w:val="center"/>
              <w:rPr>
                <w:color w:val="000000" w:themeColor="text1"/>
                <w:szCs w:val="24"/>
              </w:rPr>
            </w:pPr>
            <w:r>
              <w:rPr>
                <w:color w:val="000000"/>
              </w:rPr>
              <w:t>363,75</w:t>
            </w:r>
          </w:p>
        </w:tc>
      </w:tr>
      <w:tr w:rsidR="001216B6" w:rsidRPr="00687DE8" w14:paraId="7E363A6D"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AA985D" w14:textId="77777777" w:rsidR="001216B6" w:rsidRPr="00687DE8" w:rsidRDefault="001216B6" w:rsidP="001216B6">
            <w:pPr>
              <w:spacing w:after="0" w:line="240" w:lineRule="auto"/>
              <w:rPr>
                <w:szCs w:val="24"/>
              </w:rPr>
            </w:pPr>
            <w:r w:rsidRPr="00687DE8">
              <w:rPr>
                <w:szCs w:val="24"/>
              </w:rPr>
              <w:t>Tsüstoskoopiline ureeteri stentimine</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A41170" w14:textId="77777777" w:rsidR="001216B6" w:rsidRPr="00687DE8" w:rsidRDefault="001216B6" w:rsidP="001216B6">
            <w:pPr>
              <w:spacing w:after="0" w:line="240" w:lineRule="auto"/>
              <w:jc w:val="center"/>
              <w:rPr>
                <w:szCs w:val="24"/>
              </w:rPr>
            </w:pPr>
            <w:r w:rsidRPr="00687DE8">
              <w:rPr>
                <w:szCs w:val="24"/>
              </w:rPr>
              <w:t>7158</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44A659" w14:textId="4CCA66FB" w:rsidR="2E1E8EE1" w:rsidRPr="00687DE8" w:rsidRDefault="00F13222">
            <w:pPr>
              <w:spacing w:after="0"/>
              <w:jc w:val="center"/>
              <w:rPr>
                <w:color w:val="000000" w:themeColor="text1"/>
                <w:szCs w:val="24"/>
              </w:rPr>
            </w:pPr>
            <w:r>
              <w:rPr>
                <w:color w:val="000000"/>
              </w:rPr>
              <w:t>223,33</w:t>
            </w:r>
          </w:p>
        </w:tc>
      </w:tr>
      <w:tr w:rsidR="001216B6" w:rsidRPr="00687DE8" w14:paraId="0DAA06D2"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6C5E83" w14:textId="77777777" w:rsidR="001216B6" w:rsidRPr="00687DE8" w:rsidRDefault="001216B6" w:rsidP="001216B6">
            <w:pPr>
              <w:spacing w:after="0" w:line="240" w:lineRule="auto"/>
              <w:rPr>
                <w:szCs w:val="24"/>
              </w:rPr>
            </w:pPr>
            <w:r w:rsidRPr="00687DE8">
              <w:rPr>
                <w:szCs w:val="24"/>
              </w:rPr>
              <w:t>Kusepõie kateeterdamine</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728542" w14:textId="77777777" w:rsidR="001216B6" w:rsidRPr="00687DE8" w:rsidRDefault="001216B6" w:rsidP="001216B6">
            <w:pPr>
              <w:spacing w:after="0" w:line="240" w:lineRule="auto"/>
              <w:jc w:val="center"/>
              <w:rPr>
                <w:szCs w:val="24"/>
              </w:rPr>
            </w:pPr>
            <w:r w:rsidRPr="00687DE8">
              <w:rPr>
                <w:szCs w:val="24"/>
              </w:rPr>
              <w:t>7159</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4A18E2" w14:textId="0BDD882C" w:rsidR="2E1E8EE1" w:rsidRPr="00687DE8" w:rsidRDefault="00F13222">
            <w:pPr>
              <w:spacing w:after="0"/>
              <w:jc w:val="center"/>
              <w:rPr>
                <w:color w:val="000000" w:themeColor="text1"/>
                <w:szCs w:val="24"/>
              </w:rPr>
            </w:pPr>
            <w:r>
              <w:rPr>
                <w:color w:val="000000"/>
              </w:rPr>
              <w:t>38,56</w:t>
            </w:r>
          </w:p>
        </w:tc>
      </w:tr>
      <w:tr w:rsidR="001216B6" w:rsidRPr="00687DE8" w14:paraId="3CFAA95E"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D452B9" w14:textId="77777777" w:rsidR="001216B6" w:rsidRPr="00687DE8" w:rsidRDefault="001216B6" w:rsidP="001216B6">
            <w:pPr>
              <w:spacing w:after="0" w:line="240" w:lineRule="auto"/>
              <w:rPr>
                <w:szCs w:val="24"/>
              </w:rPr>
            </w:pPr>
            <w:r w:rsidRPr="00687DE8">
              <w:rPr>
                <w:szCs w:val="24"/>
              </w:rPr>
              <w:t>Kusepõie püsikateetri paigaldamine</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765208" w14:textId="77777777" w:rsidR="001216B6" w:rsidRPr="00687DE8" w:rsidRDefault="001216B6" w:rsidP="001216B6">
            <w:pPr>
              <w:spacing w:after="0" w:line="240" w:lineRule="auto"/>
              <w:jc w:val="center"/>
              <w:rPr>
                <w:szCs w:val="24"/>
              </w:rPr>
            </w:pPr>
            <w:r w:rsidRPr="00687DE8">
              <w:rPr>
                <w:szCs w:val="24"/>
              </w:rPr>
              <w:t>7160</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E5FFE7" w14:textId="4CBDC36B" w:rsidR="2E1E8EE1" w:rsidRPr="00687DE8" w:rsidRDefault="00F13222">
            <w:pPr>
              <w:spacing w:after="0"/>
              <w:jc w:val="center"/>
              <w:rPr>
                <w:color w:val="000000" w:themeColor="text1"/>
                <w:szCs w:val="24"/>
              </w:rPr>
            </w:pPr>
            <w:r>
              <w:rPr>
                <w:color w:val="000000"/>
              </w:rPr>
              <w:t>42,32</w:t>
            </w:r>
          </w:p>
        </w:tc>
      </w:tr>
      <w:tr w:rsidR="001216B6" w:rsidRPr="00687DE8" w14:paraId="0F4D87CA"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405F06" w14:textId="77777777" w:rsidR="001216B6" w:rsidRPr="00687DE8" w:rsidRDefault="001216B6" w:rsidP="001216B6">
            <w:pPr>
              <w:spacing w:after="0" w:line="240" w:lineRule="auto"/>
              <w:rPr>
                <w:szCs w:val="24"/>
              </w:rPr>
            </w:pPr>
            <w:r w:rsidRPr="00687DE8">
              <w:rPr>
                <w:szCs w:val="24"/>
              </w:rPr>
              <w:t>Epitsüstostoomi vahetus</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8A6E40" w14:textId="77777777" w:rsidR="001216B6" w:rsidRPr="00687DE8" w:rsidRDefault="001216B6" w:rsidP="001216B6">
            <w:pPr>
              <w:spacing w:after="0" w:line="240" w:lineRule="auto"/>
              <w:jc w:val="center"/>
              <w:rPr>
                <w:szCs w:val="24"/>
              </w:rPr>
            </w:pPr>
            <w:r w:rsidRPr="00687DE8">
              <w:rPr>
                <w:szCs w:val="24"/>
              </w:rPr>
              <w:t>7162</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E4C505" w14:textId="26FECBFF" w:rsidR="2E1E8EE1" w:rsidRPr="00687DE8" w:rsidRDefault="00F13222">
            <w:pPr>
              <w:spacing w:after="0"/>
              <w:jc w:val="center"/>
              <w:rPr>
                <w:color w:val="000000" w:themeColor="text1"/>
                <w:szCs w:val="24"/>
              </w:rPr>
            </w:pPr>
            <w:r>
              <w:rPr>
                <w:color w:val="000000"/>
              </w:rPr>
              <w:t>61,25</w:t>
            </w:r>
          </w:p>
        </w:tc>
      </w:tr>
      <w:tr w:rsidR="001216B6" w:rsidRPr="00687DE8" w14:paraId="50C69439"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5F1791" w14:textId="77777777" w:rsidR="001216B6" w:rsidRPr="00687DE8" w:rsidRDefault="001216B6" w:rsidP="001216B6">
            <w:pPr>
              <w:spacing w:after="0" w:line="240" w:lineRule="auto"/>
              <w:rPr>
                <w:szCs w:val="24"/>
              </w:rPr>
            </w:pPr>
            <w:r w:rsidRPr="00687DE8">
              <w:rPr>
                <w:szCs w:val="24"/>
              </w:rPr>
              <w:t>Kusepõie loputus ja ravimi viimine põide (ambulatoorselt)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17DE94" w14:textId="77777777" w:rsidR="001216B6" w:rsidRPr="00687DE8" w:rsidRDefault="001216B6" w:rsidP="001216B6">
            <w:pPr>
              <w:spacing w:after="0" w:line="240" w:lineRule="auto"/>
              <w:jc w:val="center"/>
              <w:rPr>
                <w:szCs w:val="24"/>
              </w:rPr>
            </w:pPr>
            <w:r w:rsidRPr="00687DE8">
              <w:rPr>
                <w:szCs w:val="24"/>
              </w:rPr>
              <w:t>7163</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8B58AF" w14:textId="17E4AD3C" w:rsidR="2E1E8EE1" w:rsidRPr="00687DE8" w:rsidRDefault="00F13222">
            <w:pPr>
              <w:spacing w:after="0"/>
              <w:jc w:val="center"/>
              <w:rPr>
                <w:color w:val="000000" w:themeColor="text1"/>
                <w:szCs w:val="24"/>
              </w:rPr>
            </w:pPr>
            <w:r>
              <w:rPr>
                <w:color w:val="000000"/>
              </w:rPr>
              <w:t>39,43</w:t>
            </w:r>
          </w:p>
        </w:tc>
      </w:tr>
      <w:tr w:rsidR="001216B6" w:rsidRPr="00687DE8" w14:paraId="1709E91A"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313B5A" w14:textId="77777777" w:rsidR="001216B6" w:rsidRPr="00687DE8" w:rsidRDefault="001216B6" w:rsidP="001216B6">
            <w:pPr>
              <w:spacing w:after="0" w:line="240" w:lineRule="auto"/>
              <w:rPr>
                <w:szCs w:val="24"/>
              </w:rPr>
            </w:pPr>
            <w:r w:rsidRPr="00687DE8">
              <w:rPr>
                <w:szCs w:val="24"/>
              </w:rPr>
              <w:t>Põie punktsioon punktsioon-epitsüstostoomia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BED413" w14:textId="77777777" w:rsidR="001216B6" w:rsidRPr="00687DE8" w:rsidRDefault="001216B6" w:rsidP="001216B6">
            <w:pPr>
              <w:spacing w:after="0" w:line="240" w:lineRule="auto"/>
              <w:jc w:val="center"/>
              <w:rPr>
                <w:szCs w:val="24"/>
              </w:rPr>
            </w:pPr>
            <w:r w:rsidRPr="00687DE8">
              <w:rPr>
                <w:szCs w:val="24"/>
              </w:rPr>
              <w:t>7165</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2AD44E" w14:textId="3AD6A818" w:rsidR="2E1E8EE1" w:rsidRPr="00687DE8" w:rsidRDefault="00F13222">
            <w:pPr>
              <w:spacing w:after="0"/>
              <w:jc w:val="center"/>
              <w:rPr>
                <w:color w:val="000000" w:themeColor="text1"/>
                <w:szCs w:val="24"/>
              </w:rPr>
            </w:pPr>
            <w:r>
              <w:rPr>
                <w:color w:val="000000"/>
              </w:rPr>
              <w:t>144,35</w:t>
            </w:r>
          </w:p>
        </w:tc>
      </w:tr>
      <w:tr w:rsidR="001216B6" w:rsidRPr="00687DE8" w14:paraId="0D46433E"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405080" w14:textId="77777777" w:rsidR="001216B6" w:rsidRPr="00687DE8" w:rsidRDefault="001216B6" w:rsidP="001216B6">
            <w:pPr>
              <w:spacing w:after="0" w:line="240" w:lineRule="auto"/>
              <w:rPr>
                <w:szCs w:val="24"/>
              </w:rPr>
            </w:pPr>
            <w:r w:rsidRPr="00687DE8">
              <w:rPr>
                <w:szCs w:val="24"/>
              </w:rPr>
              <w:t>Ureetra dilatatsioon (bužeerimine)</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5D3856" w14:textId="77777777" w:rsidR="001216B6" w:rsidRPr="00687DE8" w:rsidRDefault="001216B6" w:rsidP="001216B6">
            <w:pPr>
              <w:spacing w:after="0" w:line="240" w:lineRule="auto"/>
              <w:jc w:val="center"/>
              <w:rPr>
                <w:szCs w:val="24"/>
              </w:rPr>
            </w:pPr>
            <w:r w:rsidRPr="00687DE8">
              <w:rPr>
                <w:szCs w:val="24"/>
              </w:rPr>
              <w:t>7166</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1C8BE4" w14:textId="57FB7DA1" w:rsidR="2E1E8EE1" w:rsidRPr="00687DE8" w:rsidRDefault="00F13222">
            <w:pPr>
              <w:spacing w:after="0"/>
              <w:jc w:val="center"/>
              <w:rPr>
                <w:color w:val="000000" w:themeColor="text1"/>
                <w:szCs w:val="24"/>
              </w:rPr>
            </w:pPr>
            <w:r>
              <w:rPr>
                <w:color w:val="000000"/>
              </w:rPr>
              <w:t>46,08</w:t>
            </w:r>
          </w:p>
        </w:tc>
      </w:tr>
      <w:tr w:rsidR="001216B6" w:rsidRPr="00687DE8" w14:paraId="164D2096"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8E47A9" w14:textId="77777777" w:rsidR="001216B6" w:rsidRPr="00687DE8" w:rsidRDefault="001216B6" w:rsidP="001216B6">
            <w:pPr>
              <w:spacing w:after="0" w:line="240" w:lineRule="auto"/>
              <w:rPr>
                <w:szCs w:val="24"/>
              </w:rPr>
            </w:pPr>
            <w:r w:rsidRPr="00687DE8">
              <w:rPr>
                <w:i/>
                <w:szCs w:val="24"/>
              </w:rPr>
              <w:t>Uroflow</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6009B0" w14:textId="77777777" w:rsidR="001216B6" w:rsidRPr="00687DE8" w:rsidRDefault="001216B6" w:rsidP="001216B6">
            <w:pPr>
              <w:spacing w:after="0" w:line="240" w:lineRule="auto"/>
              <w:jc w:val="center"/>
              <w:rPr>
                <w:szCs w:val="24"/>
              </w:rPr>
            </w:pPr>
            <w:r w:rsidRPr="00687DE8">
              <w:rPr>
                <w:szCs w:val="24"/>
              </w:rPr>
              <w:t>7170</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479965" w14:textId="660F6C51" w:rsidR="2E1E8EE1" w:rsidRPr="00687DE8" w:rsidRDefault="00F13222">
            <w:pPr>
              <w:spacing w:after="0"/>
              <w:jc w:val="center"/>
              <w:rPr>
                <w:color w:val="000000" w:themeColor="text1"/>
                <w:szCs w:val="24"/>
              </w:rPr>
            </w:pPr>
            <w:r>
              <w:rPr>
                <w:color w:val="000000"/>
              </w:rPr>
              <w:t>34,97</w:t>
            </w:r>
          </w:p>
        </w:tc>
      </w:tr>
      <w:tr w:rsidR="001216B6" w:rsidRPr="00687DE8" w14:paraId="1E92C177"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E7D3E4" w14:textId="77777777" w:rsidR="001216B6" w:rsidRPr="00687DE8" w:rsidRDefault="001216B6" w:rsidP="001216B6">
            <w:pPr>
              <w:spacing w:after="0" w:line="240" w:lineRule="auto"/>
              <w:rPr>
                <w:szCs w:val="24"/>
              </w:rPr>
            </w:pPr>
            <w:r w:rsidRPr="00687DE8">
              <w:rPr>
                <w:szCs w:val="24"/>
              </w:rPr>
              <w:t>Urodünaamiline uuring (</w:t>
            </w:r>
            <w:r w:rsidRPr="00687DE8">
              <w:rPr>
                <w:i/>
                <w:szCs w:val="24"/>
              </w:rPr>
              <w:t>pressure-flowmetry</w:t>
            </w:r>
            <w:r w:rsidRPr="00687DE8">
              <w:rPr>
                <w:szCs w:val="24"/>
              </w:rPr>
              <w:t>)</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B88A8E" w14:textId="77777777" w:rsidR="001216B6" w:rsidRPr="00687DE8" w:rsidRDefault="001216B6" w:rsidP="001216B6">
            <w:pPr>
              <w:spacing w:after="0" w:line="240" w:lineRule="auto"/>
              <w:jc w:val="center"/>
              <w:rPr>
                <w:szCs w:val="24"/>
              </w:rPr>
            </w:pPr>
            <w:r w:rsidRPr="00687DE8">
              <w:rPr>
                <w:szCs w:val="24"/>
              </w:rPr>
              <w:t>7171</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F1689B" w14:textId="78BB4FAA" w:rsidR="2E1E8EE1" w:rsidRPr="00687DE8" w:rsidRDefault="00F13222">
            <w:pPr>
              <w:spacing w:after="0"/>
              <w:jc w:val="center"/>
              <w:rPr>
                <w:color w:val="000000" w:themeColor="text1"/>
                <w:szCs w:val="24"/>
              </w:rPr>
            </w:pPr>
            <w:r>
              <w:rPr>
                <w:color w:val="000000"/>
              </w:rPr>
              <w:t>354,97</w:t>
            </w:r>
          </w:p>
        </w:tc>
      </w:tr>
      <w:tr w:rsidR="001216B6" w:rsidRPr="00687DE8" w14:paraId="065CD78D" w14:textId="77777777" w:rsidTr="00EB7A71">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14B450" w14:textId="77777777" w:rsidR="001216B6" w:rsidRPr="00687DE8" w:rsidRDefault="001216B6" w:rsidP="001216B6">
            <w:pPr>
              <w:spacing w:after="0" w:line="240" w:lineRule="auto"/>
              <w:rPr>
                <w:szCs w:val="24"/>
              </w:rPr>
            </w:pPr>
            <w:r w:rsidRPr="00687DE8">
              <w:rPr>
                <w:szCs w:val="24"/>
              </w:rPr>
              <w:lastRenderedPageBreak/>
              <w:t>Perkutaanne nefrostoomia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566935" w14:textId="77777777" w:rsidR="001216B6" w:rsidRPr="00687DE8" w:rsidRDefault="001216B6" w:rsidP="001216B6">
            <w:pPr>
              <w:spacing w:after="0" w:line="240" w:lineRule="auto"/>
              <w:jc w:val="center"/>
              <w:rPr>
                <w:szCs w:val="24"/>
              </w:rPr>
            </w:pPr>
            <w:r w:rsidRPr="00687DE8">
              <w:rPr>
                <w:szCs w:val="24"/>
              </w:rPr>
              <w:t>7172</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0C9E7F" w14:textId="44EC30B5" w:rsidR="2E1E8EE1" w:rsidRPr="00687DE8" w:rsidRDefault="00F13222">
            <w:pPr>
              <w:spacing w:after="0"/>
              <w:jc w:val="center"/>
              <w:rPr>
                <w:color w:val="000000" w:themeColor="text1"/>
                <w:szCs w:val="24"/>
              </w:rPr>
            </w:pPr>
            <w:r>
              <w:rPr>
                <w:color w:val="000000"/>
              </w:rPr>
              <w:t>287,24</w:t>
            </w:r>
          </w:p>
        </w:tc>
      </w:tr>
      <w:tr w:rsidR="001216B6" w:rsidRPr="00687DE8" w14:paraId="729B9B3D" w14:textId="77777777" w:rsidTr="00934CCC">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C5E150" w14:textId="77777777" w:rsidR="001216B6" w:rsidRPr="00687DE8" w:rsidRDefault="001216B6" w:rsidP="001216B6">
            <w:pPr>
              <w:spacing w:after="0" w:line="240" w:lineRule="auto"/>
              <w:rPr>
                <w:szCs w:val="24"/>
              </w:rPr>
            </w:pPr>
            <w:r w:rsidRPr="00687DE8">
              <w:rPr>
                <w:szCs w:val="24"/>
              </w:rPr>
              <w:t>Pindmise kusepõievähi fotodünaamiline visualiseerimine heksamino-levuleenhappega</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C619087" w14:textId="77777777" w:rsidR="001216B6" w:rsidRPr="00687DE8" w:rsidRDefault="001216B6" w:rsidP="001216B6">
            <w:pPr>
              <w:spacing w:after="0" w:line="240" w:lineRule="auto"/>
              <w:jc w:val="center"/>
              <w:rPr>
                <w:szCs w:val="24"/>
              </w:rPr>
            </w:pPr>
            <w:r w:rsidRPr="00687DE8">
              <w:rPr>
                <w:szCs w:val="24"/>
              </w:rPr>
              <w:t>7173</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4FD480" w14:textId="341564A6" w:rsidR="2E1E8EE1" w:rsidRPr="00687DE8" w:rsidRDefault="00F13222">
            <w:pPr>
              <w:spacing w:after="0"/>
              <w:jc w:val="center"/>
              <w:rPr>
                <w:color w:val="000000" w:themeColor="text1"/>
                <w:szCs w:val="24"/>
              </w:rPr>
            </w:pPr>
            <w:r>
              <w:rPr>
                <w:color w:val="000000"/>
              </w:rPr>
              <w:t>492,54</w:t>
            </w:r>
          </w:p>
        </w:tc>
      </w:tr>
      <w:tr w:rsidR="00AF2E64" w:rsidRPr="00687DE8" w14:paraId="226E1B17" w14:textId="77777777" w:rsidTr="00AF2E64">
        <w:trPr>
          <w:divId w:val="1316184749"/>
          <w:trHeight w:val="300"/>
        </w:trPr>
        <w:tc>
          <w:tcPr>
            <w:tcW w:w="6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393994" w14:textId="05834FF5" w:rsidR="00AF2E64" w:rsidRPr="00687DE8" w:rsidRDefault="00D4647A" w:rsidP="001216B6">
            <w:pPr>
              <w:spacing w:after="0" w:line="240" w:lineRule="auto"/>
              <w:rPr>
                <w:szCs w:val="24"/>
              </w:rPr>
            </w:pPr>
            <w:r w:rsidRPr="00D4647A">
              <w:rPr>
                <w:szCs w:val="24"/>
              </w:rPr>
              <w:t>Polüakrüülamiid hüdrogeeli injektsioonravi protseduur kroonilise stress- või segatüüpi inkontinentsi raviks</w:t>
            </w:r>
          </w:p>
        </w:tc>
        <w:tc>
          <w:tcPr>
            <w:tcW w:w="1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362AB38" w14:textId="3A5D7A7E" w:rsidR="00AF2E64" w:rsidRPr="00687DE8" w:rsidRDefault="00C70BB1" w:rsidP="001216B6">
            <w:pPr>
              <w:spacing w:after="0" w:line="240" w:lineRule="auto"/>
              <w:jc w:val="center"/>
              <w:rPr>
                <w:szCs w:val="24"/>
              </w:rPr>
            </w:pPr>
            <w:r>
              <w:rPr>
                <w:szCs w:val="24"/>
              </w:rPr>
              <w:t>7174</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5E26CD" w14:textId="33C3066D" w:rsidR="0053397C" w:rsidRDefault="0053397C" w:rsidP="00F13222">
            <w:pPr>
              <w:spacing w:after="0"/>
              <w:jc w:val="center"/>
              <w:rPr>
                <w:color w:val="000000"/>
              </w:rPr>
            </w:pPr>
          </w:p>
          <w:p w14:paraId="2B4F75FC" w14:textId="13D903D4" w:rsidR="00AF2E64" w:rsidRDefault="0053397C">
            <w:pPr>
              <w:spacing w:after="0"/>
              <w:jc w:val="center"/>
              <w:rPr>
                <w:color w:val="000000"/>
              </w:rPr>
            </w:pPr>
            <w:r w:rsidRPr="0053397C">
              <w:rPr>
                <w:color w:val="000000"/>
              </w:rPr>
              <w:t>136,01</w:t>
            </w:r>
          </w:p>
        </w:tc>
      </w:tr>
    </w:tbl>
    <w:p w14:paraId="569F5DEF" w14:textId="77777777" w:rsidR="00976487" w:rsidRPr="00687DE8" w:rsidRDefault="00976487" w:rsidP="00976487">
      <w:pPr>
        <w:spacing w:after="0" w:line="240" w:lineRule="auto"/>
        <w:jc w:val="both"/>
        <w:divId w:val="1316184749"/>
        <w:rPr>
          <w:szCs w:val="24"/>
        </w:rPr>
      </w:pPr>
    </w:p>
    <w:p w14:paraId="3AE36D85" w14:textId="77777777" w:rsidR="00976487" w:rsidRPr="00687DE8" w:rsidRDefault="007F116C" w:rsidP="00976487">
      <w:pPr>
        <w:spacing w:after="0" w:line="240" w:lineRule="auto"/>
        <w:jc w:val="both"/>
        <w:divId w:val="1316184749"/>
        <w:rPr>
          <w:szCs w:val="24"/>
        </w:rPr>
      </w:pPr>
      <w:r w:rsidRPr="00687DE8">
        <w:rPr>
          <w:szCs w:val="24"/>
        </w:rPr>
        <w:t>(2) L</w:t>
      </w:r>
      <w:r w:rsidR="00976487" w:rsidRPr="00687DE8">
        <w:rPr>
          <w:szCs w:val="24"/>
        </w:rPr>
        <w:t>õikes 1 sätestatud tervishoiuteenuste piirhindade rakendamisel lähtutakse järgmistest tingimustest:</w:t>
      </w:r>
    </w:p>
    <w:p w14:paraId="41ED5D09" w14:textId="77777777" w:rsidR="00976487" w:rsidRPr="00687DE8" w:rsidRDefault="00D84B16" w:rsidP="00976487">
      <w:pPr>
        <w:spacing w:after="0" w:line="240" w:lineRule="auto"/>
        <w:jc w:val="both"/>
        <w:divId w:val="1316184749"/>
        <w:rPr>
          <w:szCs w:val="24"/>
        </w:rPr>
      </w:pPr>
      <w:r w:rsidRPr="00687DE8">
        <w:rPr>
          <w:szCs w:val="24"/>
        </w:rPr>
        <w:t>1</w:t>
      </w:r>
      <w:r w:rsidR="00976487" w:rsidRPr="00687DE8">
        <w:rPr>
          <w:szCs w:val="24"/>
        </w:rPr>
        <w:t>) koodiga 7157 tähistatud tervishoiuteenuse piirhind sisaldab abivahendite maksumust;</w:t>
      </w:r>
    </w:p>
    <w:p w14:paraId="4A16F451" w14:textId="77777777" w:rsidR="00976487" w:rsidRPr="00687DE8" w:rsidRDefault="00D84B16" w:rsidP="00976487">
      <w:pPr>
        <w:spacing w:after="0" w:line="240" w:lineRule="auto"/>
        <w:jc w:val="both"/>
        <w:divId w:val="1316184749"/>
        <w:rPr>
          <w:szCs w:val="24"/>
        </w:rPr>
      </w:pPr>
      <w:r w:rsidRPr="00687DE8">
        <w:rPr>
          <w:szCs w:val="24"/>
        </w:rPr>
        <w:t>2</w:t>
      </w:r>
      <w:r w:rsidR="00976487" w:rsidRPr="00687DE8">
        <w:rPr>
          <w:szCs w:val="24"/>
        </w:rPr>
        <w:t>) koodiga 7172 tähistatud tervishoiuteenuse piirhind sisaldab perkutaanse nefrostoomi komplekti maksumust.</w:t>
      </w:r>
    </w:p>
    <w:p w14:paraId="6DA79D4B" w14:textId="77777777" w:rsidR="00976487" w:rsidRPr="00687DE8" w:rsidRDefault="00976487" w:rsidP="00976487">
      <w:pPr>
        <w:spacing w:after="0" w:line="240" w:lineRule="auto"/>
        <w:jc w:val="both"/>
        <w:divId w:val="1316184749"/>
        <w:rPr>
          <w:szCs w:val="24"/>
        </w:rPr>
      </w:pPr>
    </w:p>
    <w:p w14:paraId="524A263A" w14:textId="76457210"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koodiga 7173 tähistatud tervishoiuteenuse eest tasu maksmise kohustuse üle juhul, kui teenust osutatakse täiendavalt koodiga </w:t>
      </w:r>
      <w:r w:rsidR="003042F8" w:rsidRPr="00687DE8">
        <w:rPr>
          <w:szCs w:val="24"/>
        </w:rPr>
        <w:t>1K2118</w:t>
      </w:r>
      <w:r w:rsidRPr="00687DE8">
        <w:rPr>
          <w:szCs w:val="24"/>
        </w:rPr>
        <w:t xml:space="preserve"> tähistatud kusepõie transuretraalse resektsiooni tegemisel kõrge ja keskmise progressiooniriskiga pindmise kusepõievähi haigetele.</w:t>
      </w:r>
    </w:p>
    <w:p w14:paraId="0C0536A0" w14:textId="77777777" w:rsidR="00C70BB1" w:rsidRDefault="00C70BB1" w:rsidP="00976487">
      <w:pPr>
        <w:spacing w:after="0" w:line="240" w:lineRule="auto"/>
        <w:jc w:val="both"/>
        <w:divId w:val="1316184749"/>
        <w:rPr>
          <w:szCs w:val="24"/>
        </w:rPr>
      </w:pPr>
    </w:p>
    <w:p w14:paraId="7928E1D5" w14:textId="77777777" w:rsidR="001D48D7" w:rsidRDefault="00C70BB1" w:rsidP="001D48D7">
      <w:pPr>
        <w:spacing w:after="0" w:line="240" w:lineRule="auto"/>
        <w:jc w:val="both"/>
        <w:divId w:val="1316184749"/>
        <w:rPr>
          <w:szCs w:val="24"/>
        </w:rPr>
      </w:pPr>
      <w:r>
        <w:rPr>
          <w:szCs w:val="24"/>
        </w:rPr>
        <w:t xml:space="preserve">(4) </w:t>
      </w:r>
      <w:r w:rsidR="001D48D7" w:rsidRPr="001D48D7">
        <w:rPr>
          <w:szCs w:val="24"/>
        </w:rPr>
        <w:t>Koodiga 7174 tähistatud tervishoiuteenust rakendatakse koos koodiga 2914L tähistatud tervishoiuteenusega.</w:t>
      </w:r>
    </w:p>
    <w:p w14:paraId="629BB9F8" w14:textId="77777777" w:rsidR="001D48D7" w:rsidRPr="001D48D7" w:rsidRDefault="001D48D7" w:rsidP="001D48D7">
      <w:pPr>
        <w:spacing w:after="0" w:line="240" w:lineRule="auto"/>
        <w:jc w:val="both"/>
        <w:divId w:val="1316184749"/>
        <w:rPr>
          <w:szCs w:val="24"/>
        </w:rPr>
      </w:pPr>
    </w:p>
    <w:p w14:paraId="32C948EB" w14:textId="133D8403" w:rsidR="00C70BB1" w:rsidRPr="00687DE8" w:rsidRDefault="001D48D7" w:rsidP="001D48D7">
      <w:pPr>
        <w:spacing w:after="0" w:line="240" w:lineRule="auto"/>
        <w:jc w:val="both"/>
        <w:divId w:val="1316184749"/>
        <w:rPr>
          <w:szCs w:val="24"/>
        </w:rPr>
      </w:pPr>
      <w:r w:rsidRPr="001D48D7">
        <w:rPr>
          <w:szCs w:val="24"/>
        </w:rPr>
        <w:t>(</w:t>
      </w:r>
      <w:r w:rsidR="00DD1A9C">
        <w:rPr>
          <w:szCs w:val="24"/>
        </w:rPr>
        <w:t>5</w:t>
      </w:r>
      <w:r w:rsidRPr="001D48D7">
        <w:rPr>
          <w:szCs w:val="24"/>
        </w:rPr>
        <w:t xml:space="preserve">) Koodiga 7174 tähistatud tervishoiuteenust ei rakendata samal ajal koodidega 7152, 7166 ja </w:t>
      </w:r>
      <w:r w:rsidRPr="00C668C4">
        <w:rPr>
          <w:szCs w:val="24"/>
        </w:rPr>
        <w:t>1K2104</w:t>
      </w:r>
      <w:r w:rsidRPr="001D48D7">
        <w:rPr>
          <w:szCs w:val="24"/>
        </w:rPr>
        <w:t xml:space="preserve"> tähistatud tervishoiuteenustega.</w:t>
      </w:r>
    </w:p>
    <w:p w14:paraId="01A97323" w14:textId="77777777" w:rsidR="00976487" w:rsidRPr="00687DE8" w:rsidRDefault="00976487" w:rsidP="00976487">
      <w:pPr>
        <w:spacing w:after="0" w:line="240" w:lineRule="auto"/>
        <w:jc w:val="both"/>
        <w:outlineLvl w:val="2"/>
        <w:divId w:val="1316184749"/>
        <w:rPr>
          <w:b/>
          <w:bCs/>
          <w:szCs w:val="24"/>
        </w:rPr>
      </w:pPr>
    </w:p>
    <w:p w14:paraId="5CB2C70D" w14:textId="77777777" w:rsidR="00976487" w:rsidRDefault="00976487" w:rsidP="00976487">
      <w:pPr>
        <w:spacing w:after="0" w:line="240" w:lineRule="auto"/>
        <w:jc w:val="both"/>
        <w:outlineLvl w:val="2"/>
        <w:divId w:val="1316184749"/>
        <w:rPr>
          <w:b/>
          <w:szCs w:val="24"/>
        </w:rPr>
      </w:pPr>
      <w:r w:rsidRPr="00687DE8">
        <w:rPr>
          <w:b/>
          <w:szCs w:val="24"/>
        </w:rPr>
        <w:t>§ 3</w:t>
      </w:r>
      <w:r w:rsidR="00296746" w:rsidRPr="00687DE8">
        <w:rPr>
          <w:b/>
          <w:szCs w:val="24"/>
        </w:rPr>
        <w:t>2</w:t>
      </w:r>
      <w:r w:rsidRPr="00687DE8">
        <w:rPr>
          <w:b/>
          <w:szCs w:val="24"/>
        </w:rPr>
        <w:t>. Näo-lõualuukirurgiliste protseduuride piirhinnad</w:t>
      </w:r>
    </w:p>
    <w:p w14:paraId="22B31816" w14:textId="77777777" w:rsidR="00DF1D65" w:rsidRDefault="00DF1D65" w:rsidP="00976487">
      <w:pPr>
        <w:spacing w:after="0" w:line="240" w:lineRule="auto"/>
        <w:jc w:val="both"/>
        <w:divId w:val="1316184749"/>
        <w:rPr>
          <w:szCs w:val="24"/>
        </w:rPr>
      </w:pPr>
    </w:p>
    <w:p w14:paraId="518B268C" w14:textId="6CFF8C37" w:rsidR="00976487" w:rsidRPr="00687DE8" w:rsidRDefault="00976487" w:rsidP="00976487">
      <w:pPr>
        <w:spacing w:after="0" w:line="240" w:lineRule="auto"/>
        <w:jc w:val="both"/>
        <w:divId w:val="1316184749"/>
        <w:rPr>
          <w:szCs w:val="24"/>
        </w:rPr>
      </w:pPr>
      <w:r w:rsidRPr="00687DE8">
        <w:rPr>
          <w:szCs w:val="24"/>
        </w:rPr>
        <w:t>Näo-lõualuukirurgiliste protseduuride piirhinnad on järgmised:</w:t>
      </w:r>
    </w:p>
    <w:p w14:paraId="6252B295"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8"/>
        <w:gridCol w:w="1072"/>
        <w:gridCol w:w="1115"/>
      </w:tblGrid>
      <w:tr w:rsidR="00976487" w:rsidRPr="00687DE8" w14:paraId="1A538210" w14:textId="77777777" w:rsidTr="007935D7">
        <w:trPr>
          <w:divId w:val="1316184749"/>
        </w:trPr>
        <w:tc>
          <w:tcPr>
            <w:tcW w:w="71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99E349" w14:textId="77777777" w:rsidR="00976487" w:rsidRPr="00687DE8" w:rsidRDefault="00976487">
            <w:pPr>
              <w:spacing w:after="0" w:line="240" w:lineRule="auto"/>
              <w:jc w:val="center"/>
              <w:rPr>
                <w:szCs w:val="24"/>
              </w:rPr>
            </w:pPr>
            <w:r w:rsidRPr="00687DE8">
              <w:rPr>
                <w:b/>
                <w:szCs w:val="24"/>
              </w:rPr>
              <w:t>Tervishoiuteenuse nimetus</w:t>
            </w:r>
          </w:p>
        </w:tc>
        <w:tc>
          <w:tcPr>
            <w:tcW w:w="1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B1233D" w14:textId="77777777" w:rsidR="00976487" w:rsidRPr="00687DE8" w:rsidRDefault="00976487">
            <w:pPr>
              <w:spacing w:after="0" w:line="240" w:lineRule="auto"/>
              <w:jc w:val="center"/>
              <w:rPr>
                <w:szCs w:val="24"/>
              </w:rPr>
            </w:pPr>
            <w:r w:rsidRPr="00687DE8">
              <w:rPr>
                <w:b/>
                <w:szCs w:val="24"/>
              </w:rPr>
              <w:t>Kood</w:t>
            </w:r>
          </w:p>
        </w:tc>
        <w:tc>
          <w:tcPr>
            <w:tcW w:w="1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A1AC16"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976487" w:rsidRPr="00687DE8" w14:paraId="67736C23" w14:textId="77777777" w:rsidTr="00934CCC">
        <w:trPr>
          <w:divId w:val="1316184749"/>
        </w:trPr>
        <w:tc>
          <w:tcPr>
            <w:tcW w:w="71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B170E3" w14:textId="77777777" w:rsidR="00976487" w:rsidRPr="00687DE8" w:rsidRDefault="00976487">
            <w:pPr>
              <w:spacing w:after="0" w:line="240" w:lineRule="auto"/>
              <w:rPr>
                <w:szCs w:val="24"/>
              </w:rPr>
            </w:pPr>
            <w:r w:rsidRPr="00687DE8">
              <w:rPr>
                <w:szCs w:val="24"/>
              </w:rPr>
              <w:t>Alveooli ekskohleatsioon</w:t>
            </w:r>
          </w:p>
        </w:tc>
        <w:tc>
          <w:tcPr>
            <w:tcW w:w="1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447C7A" w14:textId="77777777" w:rsidR="00976487" w:rsidRPr="00687DE8" w:rsidRDefault="00976487">
            <w:pPr>
              <w:spacing w:after="0" w:line="240" w:lineRule="auto"/>
              <w:jc w:val="center"/>
              <w:rPr>
                <w:szCs w:val="24"/>
              </w:rPr>
            </w:pPr>
            <w:r w:rsidRPr="00687DE8">
              <w:rPr>
                <w:szCs w:val="24"/>
              </w:rPr>
              <w:t>7201</w:t>
            </w:r>
          </w:p>
        </w:tc>
        <w:tc>
          <w:tcPr>
            <w:tcW w:w="1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67F6CA" w14:textId="6A110B0E" w:rsidR="00976487" w:rsidRPr="00687DE8" w:rsidRDefault="00BB0ADD" w:rsidP="001E52CC">
            <w:pPr>
              <w:tabs>
                <w:tab w:val="decimal" w:pos="635"/>
              </w:tabs>
              <w:spacing w:after="0" w:line="240" w:lineRule="auto"/>
              <w:jc w:val="center"/>
              <w:rPr>
                <w:szCs w:val="24"/>
              </w:rPr>
            </w:pPr>
            <w:r>
              <w:rPr>
                <w:color w:val="000000"/>
              </w:rPr>
              <w:t>2,30</w:t>
            </w:r>
          </w:p>
        </w:tc>
      </w:tr>
      <w:tr w:rsidR="00976487" w:rsidRPr="00687DE8" w14:paraId="35E3D75A" w14:textId="77777777" w:rsidTr="00934CCC">
        <w:trPr>
          <w:divId w:val="1316184749"/>
        </w:trPr>
        <w:tc>
          <w:tcPr>
            <w:tcW w:w="71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0879DE" w14:textId="77777777" w:rsidR="00976487" w:rsidRPr="00687DE8" w:rsidRDefault="00976487">
            <w:pPr>
              <w:spacing w:after="0" w:line="240" w:lineRule="auto"/>
              <w:rPr>
                <w:szCs w:val="24"/>
              </w:rPr>
            </w:pPr>
            <w:r w:rsidRPr="00687DE8">
              <w:rPr>
                <w:szCs w:val="24"/>
              </w:rPr>
              <w:t>Keele või huule frenulotoomia ilma plastikata</w:t>
            </w:r>
          </w:p>
        </w:tc>
        <w:tc>
          <w:tcPr>
            <w:tcW w:w="1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381CDB" w14:textId="77777777" w:rsidR="00976487" w:rsidRPr="00687DE8" w:rsidRDefault="00976487">
            <w:pPr>
              <w:spacing w:after="0" w:line="240" w:lineRule="auto"/>
              <w:jc w:val="center"/>
              <w:rPr>
                <w:szCs w:val="24"/>
              </w:rPr>
            </w:pPr>
            <w:r w:rsidRPr="00687DE8">
              <w:rPr>
                <w:szCs w:val="24"/>
              </w:rPr>
              <w:t>7202</w:t>
            </w:r>
          </w:p>
        </w:tc>
        <w:tc>
          <w:tcPr>
            <w:tcW w:w="11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B7C3EB" w14:textId="2AE20D6D" w:rsidR="00976487" w:rsidRPr="00687DE8" w:rsidRDefault="00BB0ADD" w:rsidP="001E52CC">
            <w:pPr>
              <w:tabs>
                <w:tab w:val="decimal" w:pos="635"/>
              </w:tabs>
              <w:spacing w:after="0" w:line="240" w:lineRule="auto"/>
              <w:jc w:val="center"/>
              <w:rPr>
                <w:szCs w:val="24"/>
              </w:rPr>
            </w:pPr>
            <w:r>
              <w:rPr>
                <w:color w:val="000000"/>
              </w:rPr>
              <w:t>3,07</w:t>
            </w:r>
          </w:p>
        </w:tc>
      </w:tr>
    </w:tbl>
    <w:p w14:paraId="00C96E64" w14:textId="77777777" w:rsidR="00976487" w:rsidRPr="00687DE8" w:rsidRDefault="00976487" w:rsidP="00976487">
      <w:pPr>
        <w:spacing w:after="0" w:line="240" w:lineRule="auto"/>
        <w:jc w:val="both"/>
        <w:outlineLvl w:val="2"/>
        <w:divId w:val="1316184749"/>
        <w:rPr>
          <w:b/>
          <w:bCs/>
          <w:szCs w:val="24"/>
        </w:rPr>
      </w:pPr>
    </w:p>
    <w:p w14:paraId="4A9CABDF" w14:textId="77777777" w:rsidR="00976487" w:rsidRDefault="00976487" w:rsidP="00976487">
      <w:pPr>
        <w:spacing w:after="0" w:line="240" w:lineRule="auto"/>
        <w:jc w:val="both"/>
        <w:outlineLvl w:val="2"/>
        <w:divId w:val="1316184749"/>
        <w:rPr>
          <w:b/>
          <w:szCs w:val="24"/>
        </w:rPr>
      </w:pPr>
      <w:r w:rsidRPr="00687DE8">
        <w:rPr>
          <w:b/>
          <w:szCs w:val="24"/>
        </w:rPr>
        <w:t>§ 3</w:t>
      </w:r>
      <w:r w:rsidR="00296746" w:rsidRPr="00687DE8">
        <w:rPr>
          <w:b/>
          <w:szCs w:val="24"/>
        </w:rPr>
        <w:t>3</w:t>
      </w:r>
      <w:r w:rsidRPr="00687DE8">
        <w:rPr>
          <w:b/>
          <w:szCs w:val="24"/>
        </w:rPr>
        <w:t>. Oftalmoloogiliste uuringute ja protseduuride piirhinnad</w:t>
      </w:r>
    </w:p>
    <w:p w14:paraId="332919B6" w14:textId="77777777" w:rsidR="00DF1D65" w:rsidRDefault="00DF1D65" w:rsidP="00976487">
      <w:pPr>
        <w:spacing w:after="0" w:line="240" w:lineRule="auto"/>
        <w:jc w:val="both"/>
        <w:divId w:val="1316184749"/>
        <w:rPr>
          <w:szCs w:val="24"/>
        </w:rPr>
      </w:pPr>
    </w:p>
    <w:p w14:paraId="777A7708" w14:textId="4BAFD271" w:rsidR="00976487" w:rsidRPr="00687DE8" w:rsidRDefault="00976487" w:rsidP="00976487">
      <w:pPr>
        <w:spacing w:after="0" w:line="240" w:lineRule="auto"/>
        <w:jc w:val="both"/>
        <w:divId w:val="1316184749"/>
        <w:rPr>
          <w:szCs w:val="24"/>
        </w:rPr>
      </w:pPr>
      <w:r w:rsidRPr="00687DE8">
        <w:rPr>
          <w:szCs w:val="24"/>
        </w:rPr>
        <w:t>(1) Oftalmoloogiliste uuringute ja protseduuride piirhinnad on järgmised:</w:t>
      </w:r>
    </w:p>
    <w:p w14:paraId="30355E3A" w14:textId="77777777" w:rsidR="00976487" w:rsidRPr="00687DE8" w:rsidRDefault="00976487" w:rsidP="00976487">
      <w:pPr>
        <w:spacing w:after="0" w:line="240" w:lineRule="auto"/>
        <w:jc w:val="both"/>
        <w:divId w:val="1316184749"/>
        <w:rPr>
          <w:szCs w:val="24"/>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1042"/>
        <w:gridCol w:w="1373"/>
      </w:tblGrid>
      <w:tr w:rsidR="00976487" w:rsidRPr="00687DE8" w14:paraId="72DA6D88" w14:textId="77777777" w:rsidTr="00485A2C">
        <w:trPr>
          <w:divId w:val="1316184749"/>
          <w:tblHeader/>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6C9557" w14:textId="77777777" w:rsidR="00976487" w:rsidRPr="00687DE8" w:rsidRDefault="00976487">
            <w:pPr>
              <w:spacing w:after="0" w:line="240" w:lineRule="auto"/>
              <w:jc w:val="center"/>
              <w:rPr>
                <w:szCs w:val="24"/>
              </w:rPr>
            </w:pPr>
            <w:r w:rsidRPr="00687DE8">
              <w:rPr>
                <w:b/>
                <w:szCs w:val="24"/>
              </w:rPr>
              <w:t>Tervishoiuteenuse nimetus</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A9DBEA" w14:textId="77777777" w:rsidR="00976487" w:rsidRPr="00687DE8" w:rsidRDefault="00976487">
            <w:pPr>
              <w:spacing w:after="0" w:line="240" w:lineRule="auto"/>
              <w:jc w:val="center"/>
              <w:rPr>
                <w:szCs w:val="24"/>
              </w:rPr>
            </w:pPr>
            <w:r w:rsidRPr="00687DE8">
              <w:rPr>
                <w:b/>
                <w:szCs w:val="24"/>
              </w:rPr>
              <w:t>Kood</w:t>
            </w:r>
          </w:p>
        </w:tc>
        <w:tc>
          <w:tcPr>
            <w:tcW w:w="13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66410D"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7935BF" w:rsidRPr="00687DE8" w14:paraId="6F7B05D8"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A8FB22" w14:textId="77777777" w:rsidR="007935BF" w:rsidRPr="00687DE8" w:rsidRDefault="007935BF" w:rsidP="007935BF">
            <w:pPr>
              <w:spacing w:after="0" w:line="240" w:lineRule="auto"/>
              <w:rPr>
                <w:szCs w:val="24"/>
              </w:rPr>
            </w:pPr>
            <w:r w:rsidRPr="00687DE8">
              <w:rPr>
                <w:szCs w:val="24"/>
              </w:rPr>
              <w:t>Astigmaatiliste, prisma- või teleskoopiliste prillide määramine</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B72397" w14:textId="77777777" w:rsidR="007935BF" w:rsidRPr="00687DE8" w:rsidRDefault="007935BF" w:rsidP="007935BF">
            <w:pPr>
              <w:spacing w:after="0" w:line="240" w:lineRule="auto"/>
              <w:jc w:val="center"/>
              <w:rPr>
                <w:szCs w:val="24"/>
              </w:rPr>
            </w:pPr>
            <w:r w:rsidRPr="00687DE8">
              <w:rPr>
                <w:szCs w:val="24"/>
              </w:rPr>
              <w:t>7251</w:t>
            </w:r>
          </w:p>
        </w:tc>
        <w:tc>
          <w:tcPr>
            <w:tcW w:w="13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FB20A1" w14:textId="5BDA606F" w:rsidR="2E1E8EE1" w:rsidRPr="00687DE8" w:rsidRDefault="00945D77">
            <w:pPr>
              <w:spacing w:after="0"/>
              <w:jc w:val="center"/>
              <w:rPr>
                <w:color w:val="000000" w:themeColor="text1"/>
                <w:szCs w:val="24"/>
              </w:rPr>
            </w:pPr>
            <w:r>
              <w:rPr>
                <w:color w:val="000000"/>
              </w:rPr>
              <w:t>1,53</w:t>
            </w:r>
          </w:p>
        </w:tc>
      </w:tr>
      <w:tr w:rsidR="007935BF" w:rsidRPr="00687DE8" w14:paraId="1ABA1AFA"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9C300B" w14:textId="77777777" w:rsidR="007935BF" w:rsidRPr="00687DE8" w:rsidRDefault="007935BF" w:rsidP="007935BF">
            <w:pPr>
              <w:spacing w:after="0" w:line="240" w:lineRule="auto"/>
              <w:rPr>
                <w:szCs w:val="24"/>
              </w:rPr>
            </w:pPr>
            <w:r w:rsidRPr="00687DE8">
              <w:rPr>
                <w:szCs w:val="24"/>
              </w:rPr>
              <w:t>Gonioskoopia, perimeetria</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EC0A82" w14:textId="77777777" w:rsidR="007935BF" w:rsidRPr="00687DE8" w:rsidRDefault="007935BF" w:rsidP="007935BF">
            <w:pPr>
              <w:spacing w:after="0" w:line="240" w:lineRule="auto"/>
              <w:jc w:val="center"/>
              <w:rPr>
                <w:szCs w:val="24"/>
              </w:rPr>
            </w:pPr>
            <w:r w:rsidRPr="00687DE8">
              <w:rPr>
                <w:szCs w:val="24"/>
              </w:rPr>
              <w:t>7252</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AEFD63" w14:textId="63B25E2F" w:rsidR="2E1E8EE1" w:rsidRPr="00687DE8" w:rsidRDefault="00945D77">
            <w:pPr>
              <w:spacing w:after="0"/>
              <w:jc w:val="center"/>
              <w:rPr>
                <w:color w:val="000000" w:themeColor="text1"/>
                <w:szCs w:val="24"/>
              </w:rPr>
            </w:pPr>
            <w:r>
              <w:rPr>
                <w:color w:val="000000"/>
              </w:rPr>
              <w:t>28,10</w:t>
            </w:r>
          </w:p>
        </w:tc>
      </w:tr>
      <w:tr w:rsidR="007935BF" w:rsidRPr="00687DE8" w14:paraId="13C76B01"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A9A2F6" w14:textId="77777777" w:rsidR="007935BF" w:rsidRPr="00687DE8" w:rsidRDefault="007935BF" w:rsidP="007935BF">
            <w:pPr>
              <w:spacing w:after="0" w:line="240" w:lineRule="auto"/>
              <w:rPr>
                <w:szCs w:val="24"/>
              </w:rPr>
            </w:pPr>
            <w:r w:rsidRPr="00687DE8">
              <w:rPr>
                <w:szCs w:val="24"/>
              </w:rPr>
              <w:t>Sarvkesta- ja valgekestaõmbluste eemaldamine</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DDB5C6" w14:textId="77777777" w:rsidR="007935BF" w:rsidRPr="00687DE8" w:rsidRDefault="007935BF" w:rsidP="007935BF">
            <w:pPr>
              <w:spacing w:after="0" w:line="240" w:lineRule="auto"/>
              <w:jc w:val="center"/>
              <w:rPr>
                <w:szCs w:val="24"/>
              </w:rPr>
            </w:pPr>
            <w:r w:rsidRPr="00687DE8">
              <w:rPr>
                <w:szCs w:val="24"/>
              </w:rPr>
              <w:t>7253</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047AA8" w14:textId="4CD42570" w:rsidR="2E1E8EE1" w:rsidRPr="00687DE8" w:rsidRDefault="00945D77">
            <w:pPr>
              <w:spacing w:after="0"/>
              <w:jc w:val="center"/>
              <w:rPr>
                <w:color w:val="000000" w:themeColor="text1"/>
                <w:szCs w:val="24"/>
              </w:rPr>
            </w:pPr>
            <w:r>
              <w:rPr>
                <w:color w:val="000000"/>
              </w:rPr>
              <w:t>28,03</w:t>
            </w:r>
          </w:p>
        </w:tc>
      </w:tr>
      <w:tr w:rsidR="007935BF" w:rsidRPr="00687DE8" w14:paraId="2887752F"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60C6A0" w14:textId="77777777" w:rsidR="007935BF" w:rsidRPr="00687DE8" w:rsidRDefault="007935BF" w:rsidP="007935BF">
            <w:pPr>
              <w:spacing w:after="0" w:line="240" w:lineRule="auto"/>
              <w:rPr>
                <w:szCs w:val="24"/>
              </w:rPr>
            </w:pPr>
            <w:r w:rsidRPr="00687DE8">
              <w:rPr>
                <w:szCs w:val="24"/>
              </w:rPr>
              <w:t>Halasiooni jt lau- ning limaskestaoperatsioonid</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B0C9FB" w14:textId="77777777" w:rsidR="007935BF" w:rsidRPr="00687DE8" w:rsidRDefault="007935BF" w:rsidP="007935BF">
            <w:pPr>
              <w:spacing w:after="0" w:line="240" w:lineRule="auto"/>
              <w:jc w:val="center"/>
              <w:rPr>
                <w:szCs w:val="24"/>
              </w:rPr>
            </w:pPr>
            <w:r w:rsidRPr="00687DE8">
              <w:rPr>
                <w:szCs w:val="24"/>
              </w:rPr>
              <w:t>7254</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4A1709" w14:textId="01AD16E7" w:rsidR="2E1E8EE1" w:rsidRPr="00687DE8" w:rsidRDefault="00945D77">
            <w:pPr>
              <w:spacing w:after="0"/>
              <w:jc w:val="center"/>
              <w:rPr>
                <w:color w:val="000000" w:themeColor="text1"/>
                <w:szCs w:val="24"/>
              </w:rPr>
            </w:pPr>
            <w:r>
              <w:rPr>
                <w:color w:val="000000"/>
              </w:rPr>
              <w:t>24,62</w:t>
            </w:r>
          </w:p>
        </w:tc>
      </w:tr>
      <w:tr w:rsidR="007935BF" w:rsidRPr="00687DE8" w14:paraId="469B2177"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A76310" w14:textId="77777777" w:rsidR="007935BF" w:rsidRPr="00687DE8" w:rsidRDefault="007935BF" w:rsidP="007935BF">
            <w:pPr>
              <w:spacing w:after="0" w:line="240" w:lineRule="auto"/>
              <w:rPr>
                <w:szCs w:val="24"/>
              </w:rPr>
            </w:pPr>
            <w:r w:rsidRPr="00687DE8">
              <w:rPr>
                <w:szCs w:val="24"/>
              </w:rPr>
              <w:t>Pisarakanalite sondeerimine ja loputus</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905899" w14:textId="77777777" w:rsidR="007935BF" w:rsidRPr="00687DE8" w:rsidRDefault="007935BF" w:rsidP="007935BF">
            <w:pPr>
              <w:spacing w:after="0" w:line="240" w:lineRule="auto"/>
              <w:jc w:val="center"/>
              <w:rPr>
                <w:szCs w:val="24"/>
              </w:rPr>
            </w:pPr>
            <w:r w:rsidRPr="00687DE8">
              <w:rPr>
                <w:szCs w:val="24"/>
              </w:rPr>
              <w:t>7255</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8762C4" w14:textId="68544DE5" w:rsidR="2E1E8EE1" w:rsidRPr="00687DE8" w:rsidRDefault="00945D77">
            <w:pPr>
              <w:spacing w:after="0"/>
              <w:jc w:val="center"/>
              <w:rPr>
                <w:color w:val="000000" w:themeColor="text1"/>
                <w:szCs w:val="24"/>
              </w:rPr>
            </w:pPr>
            <w:r>
              <w:rPr>
                <w:color w:val="000000"/>
              </w:rPr>
              <w:t>27,71</w:t>
            </w:r>
          </w:p>
        </w:tc>
      </w:tr>
      <w:tr w:rsidR="007935BF" w:rsidRPr="00687DE8" w14:paraId="75CB1485"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5FB0B7" w14:textId="77777777" w:rsidR="007935BF" w:rsidRPr="00687DE8" w:rsidRDefault="007935BF" w:rsidP="007935BF">
            <w:pPr>
              <w:spacing w:after="0" w:line="240" w:lineRule="auto"/>
              <w:rPr>
                <w:szCs w:val="24"/>
              </w:rPr>
            </w:pPr>
            <w:r w:rsidRPr="00687DE8">
              <w:rPr>
                <w:szCs w:val="24"/>
              </w:rPr>
              <w:t>Sarvkesta krüoteraapia</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0B3832" w14:textId="77777777" w:rsidR="007935BF" w:rsidRPr="00687DE8" w:rsidRDefault="007935BF" w:rsidP="007935BF">
            <w:pPr>
              <w:spacing w:after="0" w:line="240" w:lineRule="auto"/>
              <w:jc w:val="center"/>
              <w:rPr>
                <w:szCs w:val="24"/>
              </w:rPr>
            </w:pPr>
            <w:r w:rsidRPr="00687DE8">
              <w:rPr>
                <w:szCs w:val="24"/>
              </w:rPr>
              <w:t>7256</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394568" w14:textId="053D29F5" w:rsidR="2E1E8EE1" w:rsidRPr="00687DE8" w:rsidRDefault="00945D77">
            <w:pPr>
              <w:spacing w:after="0"/>
              <w:jc w:val="center"/>
              <w:rPr>
                <w:color w:val="000000" w:themeColor="text1"/>
                <w:szCs w:val="24"/>
              </w:rPr>
            </w:pPr>
            <w:r>
              <w:rPr>
                <w:color w:val="000000"/>
              </w:rPr>
              <w:t>31,96</w:t>
            </w:r>
          </w:p>
        </w:tc>
      </w:tr>
      <w:tr w:rsidR="007935BF" w:rsidRPr="00687DE8" w14:paraId="56F52401"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DF3046" w14:textId="77777777" w:rsidR="007935BF" w:rsidRPr="00687DE8" w:rsidRDefault="007935BF" w:rsidP="007935BF">
            <w:pPr>
              <w:spacing w:after="0" w:line="240" w:lineRule="auto"/>
              <w:rPr>
                <w:szCs w:val="24"/>
              </w:rPr>
            </w:pPr>
            <w:r w:rsidRPr="00687DE8">
              <w:rPr>
                <w:szCs w:val="24"/>
              </w:rPr>
              <w:t>Sarvkesta abrasioon, sügavalt sarvkestast võõrkeha eemaldamine</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4BADF2" w14:textId="77777777" w:rsidR="007935BF" w:rsidRPr="00687DE8" w:rsidRDefault="007935BF" w:rsidP="007935BF">
            <w:pPr>
              <w:spacing w:after="0" w:line="240" w:lineRule="auto"/>
              <w:jc w:val="center"/>
              <w:rPr>
                <w:szCs w:val="24"/>
              </w:rPr>
            </w:pPr>
            <w:r w:rsidRPr="00687DE8">
              <w:rPr>
                <w:szCs w:val="24"/>
              </w:rPr>
              <w:t>7257</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137636" w14:textId="167F455E" w:rsidR="2E1E8EE1" w:rsidRPr="00687DE8" w:rsidRDefault="00945D77">
            <w:pPr>
              <w:spacing w:after="0"/>
              <w:jc w:val="center"/>
              <w:rPr>
                <w:color w:val="000000" w:themeColor="text1"/>
                <w:szCs w:val="24"/>
              </w:rPr>
            </w:pPr>
            <w:r>
              <w:rPr>
                <w:color w:val="000000"/>
              </w:rPr>
              <w:t>22,26</w:t>
            </w:r>
          </w:p>
        </w:tc>
      </w:tr>
      <w:tr w:rsidR="007935BF" w:rsidRPr="00687DE8" w14:paraId="5D94D9C7" w14:textId="77777777" w:rsidTr="00EB7A71">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73236A" w14:textId="77777777" w:rsidR="007935BF" w:rsidRPr="00687DE8" w:rsidRDefault="007935BF" w:rsidP="007935BF">
            <w:pPr>
              <w:spacing w:after="0" w:line="240" w:lineRule="auto"/>
              <w:rPr>
                <w:szCs w:val="24"/>
              </w:rPr>
            </w:pPr>
            <w:r w:rsidRPr="00687DE8">
              <w:rPr>
                <w:i/>
                <w:szCs w:val="24"/>
              </w:rPr>
              <w:lastRenderedPageBreak/>
              <w:t>Orbita</w:t>
            </w:r>
            <w:r w:rsidRPr="00687DE8">
              <w:rPr>
                <w:szCs w:val="24"/>
              </w:rPr>
              <w:t xml:space="preserve"> flegmooni avamine</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22664E" w14:textId="77777777" w:rsidR="007935BF" w:rsidRPr="00687DE8" w:rsidRDefault="007935BF" w:rsidP="007935BF">
            <w:pPr>
              <w:spacing w:after="0" w:line="240" w:lineRule="auto"/>
              <w:jc w:val="center"/>
              <w:rPr>
                <w:szCs w:val="24"/>
              </w:rPr>
            </w:pPr>
            <w:r w:rsidRPr="00687DE8">
              <w:rPr>
                <w:szCs w:val="24"/>
              </w:rPr>
              <w:t>7258</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3864CF" w14:textId="2B94E4D1" w:rsidR="2E1E8EE1" w:rsidRPr="00687DE8" w:rsidRDefault="00945D77">
            <w:pPr>
              <w:spacing w:after="0"/>
              <w:jc w:val="center"/>
              <w:rPr>
                <w:color w:val="000000" w:themeColor="text1"/>
                <w:szCs w:val="24"/>
              </w:rPr>
            </w:pPr>
            <w:r>
              <w:rPr>
                <w:color w:val="000000"/>
              </w:rPr>
              <w:t>30,58</w:t>
            </w:r>
          </w:p>
        </w:tc>
      </w:tr>
      <w:tr w:rsidR="007935BF" w:rsidRPr="00687DE8" w14:paraId="130B0111"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73810F" w14:textId="77777777" w:rsidR="007935BF" w:rsidRPr="00687DE8" w:rsidRDefault="007935BF" w:rsidP="007935BF">
            <w:pPr>
              <w:spacing w:after="0" w:line="240" w:lineRule="auto"/>
              <w:rPr>
                <w:szCs w:val="24"/>
              </w:rPr>
            </w:pPr>
            <w:r w:rsidRPr="00687DE8">
              <w:rPr>
                <w:szCs w:val="24"/>
              </w:rPr>
              <w:t>Parabulbaarsed ja subkonjunktiivsed süstid</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2AE728" w14:textId="77777777" w:rsidR="007935BF" w:rsidRPr="00687DE8" w:rsidRDefault="007935BF" w:rsidP="007935BF">
            <w:pPr>
              <w:spacing w:after="0" w:line="240" w:lineRule="auto"/>
              <w:jc w:val="center"/>
              <w:rPr>
                <w:szCs w:val="24"/>
              </w:rPr>
            </w:pPr>
            <w:r w:rsidRPr="00687DE8">
              <w:rPr>
                <w:szCs w:val="24"/>
              </w:rPr>
              <w:t>7259</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61834" w14:textId="0A1AEC36" w:rsidR="2E1E8EE1" w:rsidRPr="00687DE8" w:rsidRDefault="00945D77">
            <w:pPr>
              <w:spacing w:after="0"/>
              <w:jc w:val="center"/>
              <w:rPr>
                <w:color w:val="000000" w:themeColor="text1"/>
                <w:szCs w:val="24"/>
              </w:rPr>
            </w:pPr>
            <w:r>
              <w:rPr>
                <w:color w:val="000000"/>
              </w:rPr>
              <w:t>11,87</w:t>
            </w:r>
          </w:p>
        </w:tc>
      </w:tr>
      <w:tr w:rsidR="007935BF" w:rsidRPr="00687DE8" w14:paraId="5A339645"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349217" w14:textId="77777777" w:rsidR="007935BF" w:rsidRPr="00687DE8" w:rsidRDefault="007935BF" w:rsidP="007935BF">
            <w:pPr>
              <w:spacing w:after="0" w:line="240" w:lineRule="auto"/>
              <w:rPr>
                <w:szCs w:val="24"/>
              </w:rPr>
            </w:pPr>
            <w:r w:rsidRPr="00687DE8">
              <w:rPr>
                <w:szCs w:val="24"/>
              </w:rPr>
              <w:t>Silmapõhja fotografeerimine</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D53694" w14:textId="77777777" w:rsidR="007935BF" w:rsidRPr="00687DE8" w:rsidRDefault="007935BF" w:rsidP="007935BF">
            <w:pPr>
              <w:spacing w:after="0" w:line="240" w:lineRule="auto"/>
              <w:jc w:val="center"/>
              <w:rPr>
                <w:szCs w:val="24"/>
              </w:rPr>
            </w:pPr>
            <w:r w:rsidRPr="00687DE8">
              <w:rPr>
                <w:szCs w:val="24"/>
              </w:rPr>
              <w:t>7260</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3D13DE" w14:textId="45E495A1" w:rsidR="2E1E8EE1" w:rsidRPr="00687DE8" w:rsidRDefault="00945D77">
            <w:pPr>
              <w:spacing w:after="0"/>
              <w:jc w:val="center"/>
              <w:rPr>
                <w:color w:val="000000" w:themeColor="text1"/>
                <w:szCs w:val="24"/>
              </w:rPr>
            </w:pPr>
            <w:r>
              <w:rPr>
                <w:color w:val="000000"/>
              </w:rPr>
              <w:t>20,62</w:t>
            </w:r>
          </w:p>
        </w:tc>
      </w:tr>
      <w:tr w:rsidR="007935BF" w:rsidRPr="00687DE8" w14:paraId="1D7651F3"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18C503" w14:textId="77777777" w:rsidR="007935BF" w:rsidRPr="00687DE8" w:rsidRDefault="007935BF" w:rsidP="007935BF">
            <w:pPr>
              <w:spacing w:after="0" w:line="240" w:lineRule="auto"/>
              <w:rPr>
                <w:szCs w:val="24"/>
              </w:rPr>
            </w:pPr>
            <w:r w:rsidRPr="00687DE8">
              <w:rPr>
                <w:szCs w:val="24"/>
              </w:rPr>
              <w:t>Fluorestsentne angiograafia</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4AC5CD" w14:textId="77777777" w:rsidR="007935BF" w:rsidRPr="00687DE8" w:rsidRDefault="007935BF" w:rsidP="007935BF">
            <w:pPr>
              <w:spacing w:after="0" w:line="240" w:lineRule="auto"/>
              <w:jc w:val="center"/>
              <w:rPr>
                <w:szCs w:val="24"/>
              </w:rPr>
            </w:pPr>
            <w:r w:rsidRPr="00687DE8">
              <w:rPr>
                <w:szCs w:val="24"/>
              </w:rPr>
              <w:t>7261</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FA200C" w14:textId="6D4D1C4D" w:rsidR="2E1E8EE1" w:rsidRPr="00687DE8" w:rsidRDefault="00945D77">
            <w:pPr>
              <w:spacing w:after="0"/>
              <w:jc w:val="center"/>
              <w:rPr>
                <w:color w:val="000000" w:themeColor="text1"/>
                <w:szCs w:val="24"/>
              </w:rPr>
            </w:pPr>
            <w:r>
              <w:rPr>
                <w:color w:val="000000"/>
              </w:rPr>
              <w:t>79,76</w:t>
            </w:r>
          </w:p>
        </w:tc>
      </w:tr>
      <w:tr w:rsidR="007935BF" w:rsidRPr="00687DE8" w14:paraId="3D0062C1"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329FF5" w14:textId="77777777" w:rsidR="007935BF" w:rsidRPr="00687DE8" w:rsidRDefault="007935BF" w:rsidP="007935BF">
            <w:pPr>
              <w:spacing w:after="0" w:line="240" w:lineRule="auto"/>
              <w:rPr>
                <w:szCs w:val="24"/>
              </w:rPr>
            </w:pPr>
            <w:r w:rsidRPr="00687DE8">
              <w:rPr>
                <w:szCs w:val="24"/>
              </w:rPr>
              <w:t>Kompuuterperimeetria</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2F5B30" w14:textId="77777777" w:rsidR="007935BF" w:rsidRPr="00687DE8" w:rsidRDefault="007935BF" w:rsidP="007935BF">
            <w:pPr>
              <w:spacing w:after="0" w:line="240" w:lineRule="auto"/>
              <w:jc w:val="center"/>
              <w:rPr>
                <w:szCs w:val="24"/>
              </w:rPr>
            </w:pPr>
            <w:r w:rsidRPr="00687DE8">
              <w:rPr>
                <w:szCs w:val="24"/>
              </w:rPr>
              <w:t>7262</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3A7F51" w14:textId="42439582" w:rsidR="2E1E8EE1" w:rsidRPr="00687DE8" w:rsidRDefault="00945D77">
            <w:pPr>
              <w:spacing w:after="0"/>
              <w:jc w:val="center"/>
              <w:rPr>
                <w:color w:val="000000" w:themeColor="text1"/>
                <w:szCs w:val="24"/>
              </w:rPr>
            </w:pPr>
            <w:r>
              <w:rPr>
                <w:color w:val="000000"/>
              </w:rPr>
              <w:t>49,33</w:t>
            </w:r>
          </w:p>
        </w:tc>
      </w:tr>
      <w:tr w:rsidR="007935BF" w:rsidRPr="00687DE8" w14:paraId="05BB477B"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D952B0" w14:textId="77777777" w:rsidR="007935BF" w:rsidRPr="00687DE8" w:rsidRDefault="007935BF" w:rsidP="007935BF">
            <w:pPr>
              <w:spacing w:after="0" w:line="240" w:lineRule="auto"/>
              <w:rPr>
                <w:szCs w:val="24"/>
              </w:rPr>
            </w:pPr>
            <w:r w:rsidRPr="00687DE8">
              <w:rPr>
                <w:szCs w:val="24"/>
              </w:rPr>
              <w:t>Silmapõhja uuring kolmepeegliläätse või Volke luubiga</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461C33" w14:textId="77777777" w:rsidR="007935BF" w:rsidRPr="00687DE8" w:rsidRDefault="007935BF" w:rsidP="007935BF">
            <w:pPr>
              <w:spacing w:after="0" w:line="240" w:lineRule="auto"/>
              <w:jc w:val="center"/>
              <w:rPr>
                <w:szCs w:val="24"/>
              </w:rPr>
            </w:pPr>
            <w:r w:rsidRPr="00687DE8">
              <w:rPr>
                <w:szCs w:val="24"/>
              </w:rPr>
              <w:t>7263</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87D039" w14:textId="35CB667B" w:rsidR="2E1E8EE1" w:rsidRPr="00687DE8" w:rsidRDefault="00945D77">
            <w:pPr>
              <w:spacing w:after="0"/>
              <w:jc w:val="center"/>
              <w:rPr>
                <w:color w:val="000000" w:themeColor="text1"/>
                <w:szCs w:val="24"/>
              </w:rPr>
            </w:pPr>
            <w:r>
              <w:rPr>
                <w:color w:val="000000"/>
              </w:rPr>
              <w:t>14,03</w:t>
            </w:r>
          </w:p>
        </w:tc>
      </w:tr>
      <w:tr w:rsidR="007935BF" w:rsidRPr="00687DE8" w14:paraId="65DCD8F9"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B1E8A9" w14:textId="77777777" w:rsidR="007935BF" w:rsidRPr="00687DE8" w:rsidRDefault="007935BF" w:rsidP="007935BF">
            <w:pPr>
              <w:spacing w:after="0" w:line="240" w:lineRule="auto"/>
              <w:rPr>
                <w:szCs w:val="24"/>
              </w:rPr>
            </w:pPr>
            <w:r w:rsidRPr="00687DE8">
              <w:rPr>
                <w:szCs w:val="24"/>
              </w:rPr>
              <w:t>Silmade liikuvuse ja fusioonivõime uuring sünoptofoori abil</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379753" w14:textId="77777777" w:rsidR="007935BF" w:rsidRPr="00687DE8" w:rsidRDefault="007935BF" w:rsidP="007935BF">
            <w:pPr>
              <w:spacing w:after="0" w:line="240" w:lineRule="auto"/>
              <w:jc w:val="center"/>
              <w:rPr>
                <w:szCs w:val="24"/>
              </w:rPr>
            </w:pPr>
            <w:r w:rsidRPr="00687DE8">
              <w:rPr>
                <w:szCs w:val="24"/>
              </w:rPr>
              <w:t>7264</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03A30C" w14:textId="572756BF" w:rsidR="2E1E8EE1" w:rsidRPr="00687DE8" w:rsidRDefault="00945D77">
            <w:pPr>
              <w:spacing w:after="0"/>
              <w:jc w:val="center"/>
              <w:rPr>
                <w:color w:val="000000" w:themeColor="text1"/>
                <w:szCs w:val="24"/>
              </w:rPr>
            </w:pPr>
            <w:r>
              <w:rPr>
                <w:color w:val="000000"/>
              </w:rPr>
              <w:t>24,32</w:t>
            </w:r>
          </w:p>
        </w:tc>
      </w:tr>
      <w:tr w:rsidR="007935BF" w:rsidRPr="00687DE8" w14:paraId="21F0E79A"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7CC5F6" w14:textId="77777777" w:rsidR="007935BF" w:rsidRPr="00687DE8" w:rsidRDefault="007935BF" w:rsidP="007935BF">
            <w:pPr>
              <w:spacing w:after="0" w:line="240" w:lineRule="auto"/>
              <w:rPr>
                <w:szCs w:val="24"/>
              </w:rPr>
            </w:pPr>
            <w:r w:rsidRPr="00687DE8">
              <w:rPr>
                <w:szCs w:val="24"/>
              </w:rPr>
              <w:t>Silmalihaste funktsioonivõime uuring Hessi ekraani abil</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C351B9" w14:textId="77777777" w:rsidR="007935BF" w:rsidRPr="00687DE8" w:rsidRDefault="007935BF" w:rsidP="007935BF">
            <w:pPr>
              <w:spacing w:after="0" w:line="240" w:lineRule="auto"/>
              <w:jc w:val="center"/>
              <w:rPr>
                <w:szCs w:val="24"/>
              </w:rPr>
            </w:pPr>
            <w:r w:rsidRPr="00687DE8">
              <w:rPr>
                <w:szCs w:val="24"/>
              </w:rPr>
              <w:t>7265</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9CFDF2" w14:textId="1B37C3F7" w:rsidR="2E1E8EE1" w:rsidRPr="00687DE8" w:rsidRDefault="00945D77">
            <w:pPr>
              <w:spacing w:after="0"/>
              <w:jc w:val="center"/>
              <w:rPr>
                <w:color w:val="000000" w:themeColor="text1"/>
                <w:szCs w:val="24"/>
              </w:rPr>
            </w:pPr>
            <w:r>
              <w:rPr>
                <w:color w:val="000000"/>
              </w:rPr>
              <w:t>24,08</w:t>
            </w:r>
          </w:p>
        </w:tc>
      </w:tr>
      <w:tr w:rsidR="007935BF" w:rsidRPr="00687DE8" w14:paraId="71647909"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F1D663" w14:textId="77777777" w:rsidR="007935BF" w:rsidRPr="00687DE8" w:rsidRDefault="007935BF" w:rsidP="007935BF">
            <w:pPr>
              <w:spacing w:after="0" w:line="240" w:lineRule="auto"/>
              <w:rPr>
                <w:szCs w:val="24"/>
              </w:rPr>
            </w:pPr>
            <w:r w:rsidRPr="00687DE8">
              <w:rPr>
                <w:szCs w:val="24"/>
              </w:rPr>
              <w:t>Prismakorrektsioon Fresneli prismakleepsudega</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BA6CD5" w14:textId="77777777" w:rsidR="007935BF" w:rsidRPr="00687DE8" w:rsidRDefault="007935BF" w:rsidP="007935BF">
            <w:pPr>
              <w:spacing w:after="0" w:line="240" w:lineRule="auto"/>
              <w:jc w:val="center"/>
              <w:rPr>
                <w:szCs w:val="24"/>
              </w:rPr>
            </w:pPr>
            <w:r w:rsidRPr="00687DE8">
              <w:rPr>
                <w:szCs w:val="24"/>
              </w:rPr>
              <w:t>7266</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F2D25F" w14:textId="4565A7C2" w:rsidR="2E1E8EE1" w:rsidRPr="00687DE8" w:rsidRDefault="00945D77">
            <w:pPr>
              <w:spacing w:after="0"/>
              <w:jc w:val="center"/>
              <w:rPr>
                <w:color w:val="000000" w:themeColor="text1"/>
                <w:szCs w:val="24"/>
              </w:rPr>
            </w:pPr>
            <w:r>
              <w:rPr>
                <w:color w:val="000000"/>
              </w:rPr>
              <w:t>80,61</w:t>
            </w:r>
          </w:p>
        </w:tc>
      </w:tr>
      <w:tr w:rsidR="007935BF" w:rsidRPr="00687DE8" w14:paraId="367DC93F"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843DFD" w14:textId="77777777" w:rsidR="007935BF" w:rsidRPr="00687DE8" w:rsidRDefault="007935BF" w:rsidP="007935BF">
            <w:pPr>
              <w:spacing w:after="0" w:line="240" w:lineRule="auto"/>
              <w:rPr>
                <w:szCs w:val="24"/>
              </w:rPr>
            </w:pPr>
            <w:r w:rsidRPr="00687DE8">
              <w:rPr>
                <w:szCs w:val="24"/>
              </w:rPr>
              <w:t>Silmade refraktsiooni uurimine autorefraktomeetri abil</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4AE629" w14:textId="77777777" w:rsidR="007935BF" w:rsidRPr="00687DE8" w:rsidRDefault="007935BF" w:rsidP="007935BF">
            <w:pPr>
              <w:spacing w:after="0" w:line="240" w:lineRule="auto"/>
              <w:jc w:val="center"/>
              <w:rPr>
                <w:szCs w:val="24"/>
              </w:rPr>
            </w:pPr>
            <w:r w:rsidRPr="00687DE8">
              <w:rPr>
                <w:szCs w:val="24"/>
              </w:rPr>
              <w:t>7267</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7214A0" w14:textId="67E18CD3" w:rsidR="2E1E8EE1" w:rsidRPr="00687DE8" w:rsidRDefault="00945D77">
            <w:pPr>
              <w:spacing w:after="0"/>
              <w:jc w:val="center"/>
              <w:rPr>
                <w:color w:val="000000" w:themeColor="text1"/>
                <w:szCs w:val="24"/>
              </w:rPr>
            </w:pPr>
            <w:r>
              <w:rPr>
                <w:color w:val="000000"/>
              </w:rPr>
              <w:t>17,06</w:t>
            </w:r>
          </w:p>
        </w:tc>
      </w:tr>
      <w:tr w:rsidR="007935BF" w:rsidRPr="00687DE8" w14:paraId="416A699B"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9E4996" w14:textId="77777777" w:rsidR="007935BF" w:rsidRPr="00687DE8" w:rsidRDefault="007935BF" w:rsidP="007935BF">
            <w:pPr>
              <w:spacing w:after="0" w:line="240" w:lineRule="auto"/>
              <w:rPr>
                <w:szCs w:val="24"/>
              </w:rPr>
            </w:pPr>
            <w:r w:rsidRPr="00687DE8">
              <w:rPr>
                <w:szCs w:val="24"/>
              </w:rPr>
              <w:t>Silma ultraheliuuring</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79AED8" w14:textId="77777777" w:rsidR="007935BF" w:rsidRPr="00687DE8" w:rsidRDefault="007935BF" w:rsidP="007935BF">
            <w:pPr>
              <w:spacing w:after="0" w:line="240" w:lineRule="auto"/>
              <w:jc w:val="center"/>
              <w:rPr>
                <w:szCs w:val="24"/>
              </w:rPr>
            </w:pPr>
            <w:r w:rsidRPr="00687DE8">
              <w:rPr>
                <w:szCs w:val="24"/>
              </w:rPr>
              <w:t>6004</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A24BF3" w14:textId="52E46234" w:rsidR="2E1E8EE1" w:rsidRPr="00687DE8" w:rsidRDefault="00945D77">
            <w:pPr>
              <w:spacing w:after="0"/>
              <w:jc w:val="center"/>
              <w:rPr>
                <w:color w:val="000000" w:themeColor="text1"/>
                <w:szCs w:val="24"/>
              </w:rPr>
            </w:pPr>
            <w:r>
              <w:rPr>
                <w:color w:val="000000"/>
              </w:rPr>
              <w:t>34,69</w:t>
            </w:r>
          </w:p>
        </w:tc>
      </w:tr>
      <w:tr w:rsidR="007935BF" w:rsidRPr="00687DE8" w14:paraId="5781B9F8"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623F4B" w14:textId="77777777" w:rsidR="007935BF" w:rsidRPr="00687DE8" w:rsidRDefault="007935BF" w:rsidP="007935BF">
            <w:pPr>
              <w:spacing w:after="0" w:line="240" w:lineRule="auto"/>
              <w:rPr>
                <w:szCs w:val="24"/>
              </w:rPr>
            </w:pPr>
            <w:r w:rsidRPr="00687DE8">
              <w:rPr>
                <w:szCs w:val="24"/>
              </w:rPr>
              <w:t>Silmapõhja optiline koherentne tomograafia</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22EDE0" w14:textId="77777777" w:rsidR="007935BF" w:rsidRPr="00687DE8" w:rsidRDefault="007935BF" w:rsidP="007935BF">
            <w:pPr>
              <w:spacing w:after="0" w:line="240" w:lineRule="auto"/>
              <w:jc w:val="center"/>
              <w:rPr>
                <w:szCs w:val="24"/>
              </w:rPr>
            </w:pPr>
            <w:r w:rsidRPr="00687DE8">
              <w:rPr>
                <w:szCs w:val="24"/>
              </w:rPr>
              <w:t>7268</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76762B" w14:textId="1E983FC8" w:rsidR="2E1E8EE1" w:rsidRPr="00687DE8" w:rsidRDefault="00945D77">
            <w:pPr>
              <w:spacing w:after="0"/>
              <w:jc w:val="center"/>
              <w:rPr>
                <w:color w:val="000000" w:themeColor="text1"/>
                <w:szCs w:val="24"/>
              </w:rPr>
            </w:pPr>
            <w:r>
              <w:rPr>
                <w:color w:val="000000"/>
              </w:rPr>
              <w:t>25,02</w:t>
            </w:r>
          </w:p>
        </w:tc>
      </w:tr>
      <w:tr w:rsidR="007935BF" w:rsidRPr="00687DE8" w14:paraId="57A6FB4B"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C83CFB" w14:textId="77777777" w:rsidR="007935BF" w:rsidRPr="00687DE8" w:rsidRDefault="007935BF" w:rsidP="007935BF">
            <w:pPr>
              <w:spacing w:after="0" w:line="240" w:lineRule="auto"/>
              <w:rPr>
                <w:szCs w:val="24"/>
              </w:rPr>
            </w:pPr>
            <w:r w:rsidRPr="00687DE8">
              <w:rPr>
                <w:szCs w:val="24"/>
              </w:rPr>
              <w:t>Silma eesosa optiline koherentne tomograafia</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83383" w14:textId="77777777" w:rsidR="007935BF" w:rsidRPr="00687DE8" w:rsidRDefault="007935BF" w:rsidP="007935BF">
            <w:pPr>
              <w:spacing w:after="0" w:line="240" w:lineRule="auto"/>
              <w:jc w:val="center"/>
              <w:rPr>
                <w:szCs w:val="24"/>
              </w:rPr>
            </w:pPr>
            <w:r w:rsidRPr="00687DE8">
              <w:rPr>
                <w:szCs w:val="24"/>
              </w:rPr>
              <w:t>7269</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90EC47" w14:textId="51D39BCB" w:rsidR="2E1E8EE1" w:rsidRPr="00687DE8" w:rsidRDefault="00945D77">
            <w:pPr>
              <w:spacing w:after="0"/>
              <w:jc w:val="center"/>
              <w:rPr>
                <w:color w:val="000000" w:themeColor="text1"/>
                <w:szCs w:val="24"/>
              </w:rPr>
            </w:pPr>
            <w:r>
              <w:rPr>
                <w:color w:val="000000"/>
              </w:rPr>
              <w:t>34,89</w:t>
            </w:r>
          </w:p>
        </w:tc>
      </w:tr>
      <w:tr w:rsidR="007935BF" w:rsidRPr="00687DE8" w14:paraId="2ACEE7AA"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03409E" w14:textId="77777777" w:rsidR="007935BF" w:rsidRPr="00687DE8" w:rsidRDefault="007935BF" w:rsidP="007935BF">
            <w:pPr>
              <w:spacing w:after="0" w:line="240" w:lineRule="auto"/>
              <w:rPr>
                <w:szCs w:val="24"/>
              </w:rPr>
            </w:pPr>
            <w:r w:rsidRPr="00687DE8">
              <w:rPr>
                <w:szCs w:val="24"/>
              </w:rPr>
              <w:t>Nägemisnärvi diski ja närvikiudude kihi topograafiline uuring</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D2CC1B" w14:textId="77777777" w:rsidR="007935BF" w:rsidRPr="00687DE8" w:rsidRDefault="007935BF" w:rsidP="007935BF">
            <w:pPr>
              <w:spacing w:after="0" w:line="240" w:lineRule="auto"/>
              <w:jc w:val="center"/>
              <w:rPr>
                <w:szCs w:val="24"/>
              </w:rPr>
            </w:pPr>
            <w:r w:rsidRPr="00687DE8">
              <w:rPr>
                <w:szCs w:val="24"/>
              </w:rPr>
              <w:t>7270</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FF516E" w14:textId="3E0CA72B" w:rsidR="2E1E8EE1" w:rsidRPr="00687DE8" w:rsidRDefault="00945D77">
            <w:pPr>
              <w:spacing w:after="0"/>
              <w:jc w:val="center"/>
              <w:rPr>
                <w:color w:val="000000" w:themeColor="text1"/>
                <w:szCs w:val="24"/>
              </w:rPr>
            </w:pPr>
            <w:r>
              <w:rPr>
                <w:color w:val="000000"/>
              </w:rPr>
              <w:t>24,58</w:t>
            </w:r>
          </w:p>
        </w:tc>
      </w:tr>
      <w:tr w:rsidR="007935BF" w:rsidRPr="00687DE8" w14:paraId="0C3FD73F"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9A24F8" w14:textId="77777777" w:rsidR="007935BF" w:rsidRPr="00687DE8" w:rsidRDefault="007935BF" w:rsidP="007935BF">
            <w:pPr>
              <w:spacing w:after="0" w:line="240" w:lineRule="auto"/>
              <w:rPr>
                <w:szCs w:val="24"/>
              </w:rPr>
            </w:pPr>
            <w:r w:rsidRPr="00687DE8">
              <w:rPr>
                <w:szCs w:val="24"/>
              </w:rPr>
              <w:t>Intravitreaalne ravimi manustamine</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89317B" w14:textId="77777777" w:rsidR="007935BF" w:rsidRPr="00687DE8" w:rsidRDefault="007935BF" w:rsidP="007935BF">
            <w:pPr>
              <w:spacing w:after="0" w:line="240" w:lineRule="auto"/>
              <w:jc w:val="center"/>
              <w:rPr>
                <w:szCs w:val="24"/>
              </w:rPr>
            </w:pPr>
            <w:r w:rsidRPr="00687DE8">
              <w:rPr>
                <w:szCs w:val="24"/>
              </w:rPr>
              <w:t>7271</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8B9A2C" w14:textId="0675F018" w:rsidR="2E1E8EE1" w:rsidRPr="00687DE8" w:rsidRDefault="00945D77">
            <w:pPr>
              <w:spacing w:after="0"/>
              <w:jc w:val="center"/>
              <w:rPr>
                <w:color w:val="000000" w:themeColor="text1"/>
                <w:szCs w:val="24"/>
              </w:rPr>
            </w:pPr>
            <w:r>
              <w:rPr>
                <w:color w:val="000000"/>
              </w:rPr>
              <w:t>74,59</w:t>
            </w:r>
          </w:p>
        </w:tc>
      </w:tr>
      <w:tr w:rsidR="00D54BDB" w:rsidRPr="00687DE8" w14:paraId="73130721" w14:textId="77777777" w:rsidTr="00934CCC">
        <w:trPr>
          <w:divId w:val="1316184749"/>
          <w:trHeight w:val="300"/>
        </w:trPr>
        <w:tc>
          <w:tcPr>
            <w:tcW w:w="6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8728E7" w14:textId="60BA62A6" w:rsidR="00D54BDB" w:rsidRPr="00687DE8" w:rsidRDefault="00D54BDB" w:rsidP="007935BF">
            <w:pPr>
              <w:spacing w:after="0" w:line="240" w:lineRule="auto"/>
              <w:rPr>
                <w:szCs w:val="24"/>
              </w:rPr>
            </w:pPr>
            <w:r w:rsidRPr="00786F96" w:rsidDel="00CE2E71">
              <w:rPr>
                <w:szCs w:val="24"/>
              </w:rPr>
              <w:t>Madala</w:t>
            </w:r>
            <w:r w:rsidRPr="00786F96">
              <w:rPr>
                <w:szCs w:val="24"/>
              </w:rPr>
              <w:t xml:space="preserve"> kontsentratsiooniga atropiini silmatilgad müoopia progressiooni pidurdamiseks, ühenädalane ravikuur</w:t>
            </w:r>
          </w:p>
        </w:tc>
        <w:tc>
          <w:tcPr>
            <w:tcW w:w="1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64A5D8" w14:textId="77777777" w:rsidR="00BB547C" w:rsidRDefault="00BB547C" w:rsidP="007935BF">
            <w:pPr>
              <w:spacing w:after="0" w:line="240" w:lineRule="auto"/>
              <w:jc w:val="center"/>
              <w:rPr>
                <w:szCs w:val="24"/>
              </w:rPr>
            </w:pPr>
          </w:p>
          <w:p w14:paraId="79390347" w14:textId="5E4565F1" w:rsidR="00D54BDB" w:rsidRPr="00687DE8" w:rsidRDefault="00D54BDB" w:rsidP="007935BF">
            <w:pPr>
              <w:spacing w:after="0" w:line="240" w:lineRule="auto"/>
              <w:jc w:val="center"/>
              <w:rPr>
                <w:szCs w:val="24"/>
              </w:rPr>
            </w:pPr>
            <w:r>
              <w:rPr>
                <w:szCs w:val="24"/>
              </w:rPr>
              <w:t>7272</w:t>
            </w:r>
          </w:p>
        </w:tc>
        <w:tc>
          <w:tcPr>
            <w:tcW w:w="13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B3FA113" w14:textId="75888987" w:rsidR="00D54BDB" w:rsidRPr="00687DE8" w:rsidRDefault="00945D77">
            <w:pPr>
              <w:spacing w:after="0"/>
              <w:jc w:val="center"/>
              <w:rPr>
                <w:color w:val="000000" w:themeColor="text1"/>
                <w:szCs w:val="24"/>
              </w:rPr>
            </w:pPr>
            <w:r>
              <w:rPr>
                <w:color w:val="000000"/>
              </w:rPr>
              <w:t>16,85</w:t>
            </w:r>
          </w:p>
        </w:tc>
      </w:tr>
    </w:tbl>
    <w:p w14:paraId="0831406A" w14:textId="77777777" w:rsidR="00976487" w:rsidRPr="00687DE8" w:rsidRDefault="00976487" w:rsidP="00976487">
      <w:pPr>
        <w:spacing w:after="0" w:line="240" w:lineRule="auto"/>
        <w:jc w:val="both"/>
        <w:divId w:val="1316184749"/>
        <w:rPr>
          <w:szCs w:val="24"/>
        </w:rPr>
      </w:pPr>
    </w:p>
    <w:p w14:paraId="6480E2A5" w14:textId="5D58B928" w:rsidR="00976487" w:rsidRPr="00687DE8" w:rsidRDefault="00976487" w:rsidP="00976487">
      <w:pPr>
        <w:spacing w:after="0" w:line="240" w:lineRule="auto"/>
        <w:jc w:val="both"/>
        <w:divId w:val="1316184749"/>
        <w:rPr>
          <w:szCs w:val="24"/>
        </w:rPr>
      </w:pPr>
      <w:r w:rsidRPr="00687DE8">
        <w:rPr>
          <w:szCs w:val="24"/>
        </w:rPr>
        <w:t>(2) Koodiga 7271 tähistatud tervishoiuteenust rakendatakse koodidega 365R</w:t>
      </w:r>
      <w:r w:rsidR="00E84ACE">
        <w:rPr>
          <w:szCs w:val="24"/>
        </w:rPr>
        <w:t>,</w:t>
      </w:r>
      <w:r w:rsidRPr="00687DE8">
        <w:rPr>
          <w:szCs w:val="24"/>
        </w:rPr>
        <w:t xml:space="preserve"> 366R</w:t>
      </w:r>
      <w:r w:rsidR="005B474F">
        <w:rPr>
          <w:szCs w:val="24"/>
        </w:rPr>
        <w:t xml:space="preserve">, </w:t>
      </w:r>
      <w:r w:rsidR="009C7870">
        <w:rPr>
          <w:szCs w:val="24"/>
        </w:rPr>
        <w:t>4</w:t>
      </w:r>
      <w:r w:rsidR="004B6966">
        <w:rPr>
          <w:szCs w:val="24"/>
        </w:rPr>
        <w:t>5</w:t>
      </w:r>
      <w:r w:rsidR="009C7870">
        <w:rPr>
          <w:szCs w:val="24"/>
        </w:rPr>
        <w:t>8R ja 470R</w:t>
      </w:r>
      <w:r w:rsidRPr="00687DE8">
        <w:rPr>
          <w:szCs w:val="24"/>
        </w:rPr>
        <w:t xml:space="preserve"> tähistatud ravimitega.</w:t>
      </w:r>
    </w:p>
    <w:p w14:paraId="63A9896F" w14:textId="77777777" w:rsidR="008C67E0" w:rsidRDefault="008C67E0" w:rsidP="00CE2E71">
      <w:pPr>
        <w:spacing w:after="0" w:line="240" w:lineRule="auto"/>
        <w:jc w:val="both"/>
        <w:divId w:val="1316184749"/>
        <w:rPr>
          <w:szCs w:val="24"/>
        </w:rPr>
      </w:pPr>
    </w:p>
    <w:p w14:paraId="454FF304" w14:textId="7668E4CA" w:rsidR="008C67E0" w:rsidRPr="00687DE8" w:rsidRDefault="008C67E0" w:rsidP="00485A2C">
      <w:pPr>
        <w:spacing w:after="0" w:line="240" w:lineRule="auto"/>
        <w:jc w:val="both"/>
        <w:divId w:val="1316184749"/>
        <w:rPr>
          <w:szCs w:val="24"/>
        </w:rPr>
      </w:pPr>
      <w:r>
        <w:t xml:space="preserve">(3) </w:t>
      </w:r>
      <w:bookmarkStart w:id="18" w:name="_Hlk181001227"/>
      <w:r>
        <w:t>Tervisekassa võtab koodiga 7272 tähistatud tervishoiuteenuse eest tasu maksmise kohustuse üle müoopia (RHK</w:t>
      </w:r>
      <w:r w:rsidR="00645694">
        <w:t xml:space="preserve"> </w:t>
      </w:r>
      <w:r>
        <w:t>10 koodid H52.1 ja H44.2) progressiooni pidurdamiseks</w:t>
      </w:r>
      <w:r w:rsidR="002C3087">
        <w:t xml:space="preserve"> tingimusel, et teenust osuta</w:t>
      </w:r>
      <w:r w:rsidR="00141826">
        <w:t>b</w:t>
      </w:r>
      <w:r w:rsidR="002C3087">
        <w:t xml:space="preserve"> ja teenuse tulemuslikkust jälgib silmaarst</w:t>
      </w:r>
      <w:r>
        <w:t>.</w:t>
      </w:r>
      <w:r w:rsidR="002C3087">
        <w:t xml:space="preserve"> </w:t>
      </w:r>
      <w:r w:rsidR="3A9BEDB4">
        <w:t xml:space="preserve">Ravi </w:t>
      </w:r>
      <w:r w:rsidR="00645694">
        <w:t>koodiga</w:t>
      </w:r>
      <w:r w:rsidR="3A9BEDB4">
        <w:t xml:space="preserve"> </w:t>
      </w:r>
      <w:r w:rsidR="003870DE">
        <w:t xml:space="preserve">7272 </w:t>
      </w:r>
      <w:r w:rsidR="00645694">
        <w:t>tähistatud teenusega</w:t>
      </w:r>
      <w:r w:rsidR="003870DE">
        <w:t xml:space="preserve"> </w:t>
      </w:r>
      <w:r w:rsidR="4D887EF0">
        <w:t>võib alustada tingimusel, et</w:t>
      </w:r>
      <w:r w:rsidR="003870DE">
        <w:t xml:space="preserve"> lapse silma pikimõõ</w:t>
      </w:r>
      <w:r w:rsidR="67E891AE">
        <w:t>t</w:t>
      </w:r>
      <w:r w:rsidR="003870DE">
        <w:t xml:space="preserve"> paikne</w:t>
      </w:r>
      <w:r w:rsidR="08B04BCB">
        <w:t>b</w:t>
      </w:r>
      <w:r w:rsidR="003870DE">
        <w:t xml:space="preserve"> kasvugraafiku ≥</w:t>
      </w:r>
      <w:r w:rsidR="00CE2E71">
        <w:t> </w:t>
      </w:r>
      <w:r w:rsidR="003870DE">
        <w:t>75. protsentiilil.</w:t>
      </w:r>
    </w:p>
    <w:bookmarkEnd w:id="18"/>
    <w:p w14:paraId="6DAF238D" w14:textId="72F3C34B" w:rsidR="007526EA" w:rsidRPr="00687DE8" w:rsidRDefault="007526EA" w:rsidP="00CE2E71">
      <w:pPr>
        <w:spacing w:after="0" w:line="240" w:lineRule="auto"/>
        <w:jc w:val="both"/>
        <w:divId w:val="1316184749"/>
        <w:rPr>
          <w:szCs w:val="24"/>
        </w:rPr>
      </w:pPr>
    </w:p>
    <w:p w14:paraId="3C778341" w14:textId="36F7299A" w:rsidR="00976487" w:rsidRDefault="00976487" w:rsidP="00976487">
      <w:pPr>
        <w:spacing w:after="0" w:line="240" w:lineRule="auto"/>
        <w:jc w:val="both"/>
        <w:outlineLvl w:val="2"/>
        <w:divId w:val="1316184749"/>
        <w:rPr>
          <w:b/>
          <w:szCs w:val="24"/>
        </w:rPr>
      </w:pPr>
      <w:r w:rsidRPr="00687DE8">
        <w:rPr>
          <w:b/>
          <w:szCs w:val="24"/>
        </w:rPr>
        <w:t>§ 3</w:t>
      </w:r>
      <w:r w:rsidR="00296746" w:rsidRPr="00687DE8">
        <w:rPr>
          <w:b/>
          <w:szCs w:val="24"/>
        </w:rPr>
        <w:t>4</w:t>
      </w:r>
      <w:r w:rsidRPr="00687DE8">
        <w:rPr>
          <w:b/>
          <w:szCs w:val="24"/>
        </w:rPr>
        <w:t>. Otorinolarüngoloogiliste ja audioloogiliste uuringute ja protseduuride piirhinnad</w:t>
      </w:r>
    </w:p>
    <w:p w14:paraId="132A59F1" w14:textId="77777777" w:rsidR="00DF1D65" w:rsidRDefault="00DF1D65" w:rsidP="00976487">
      <w:pPr>
        <w:spacing w:after="0" w:line="240" w:lineRule="auto"/>
        <w:jc w:val="both"/>
        <w:divId w:val="1316184749"/>
      </w:pPr>
    </w:p>
    <w:p w14:paraId="4FF33BCA" w14:textId="4ACC1ABB" w:rsidR="00976487" w:rsidRPr="00687DE8" w:rsidRDefault="00976487" w:rsidP="00976487">
      <w:pPr>
        <w:spacing w:after="0" w:line="240" w:lineRule="auto"/>
        <w:jc w:val="both"/>
        <w:divId w:val="1316184749"/>
      </w:pPr>
      <w:r>
        <w:t xml:space="preserve">(1) Otorinolarüngoloogiliste ja audioloogiliste uuringute </w:t>
      </w:r>
      <w:r w:rsidR="00840980">
        <w:t>ja protseduuride</w:t>
      </w:r>
      <w:r>
        <w:t xml:space="preserve"> piirhinnad on järgmised:</w:t>
      </w:r>
    </w:p>
    <w:p w14:paraId="414992CB"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2790"/>
        <w:gridCol w:w="1350"/>
      </w:tblGrid>
      <w:tr w:rsidR="00976487" w:rsidRPr="00687DE8" w14:paraId="558DABBE" w14:textId="77777777" w:rsidTr="009D64E7">
        <w:trPr>
          <w:divId w:val="1316184749"/>
          <w:tblHeader/>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914A7E" w14:textId="77777777" w:rsidR="00976487" w:rsidRPr="00687DE8" w:rsidRDefault="00976487">
            <w:pPr>
              <w:spacing w:after="0" w:line="240" w:lineRule="auto"/>
              <w:jc w:val="center"/>
              <w:rPr>
                <w:szCs w:val="24"/>
              </w:rPr>
            </w:pPr>
            <w:r w:rsidRPr="00687DE8">
              <w:rPr>
                <w:b/>
                <w:szCs w:val="24"/>
              </w:rPr>
              <w:t>Tervishoiuteenuse nimetus</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E387F5" w14:textId="77777777" w:rsidR="00976487" w:rsidRPr="00687DE8" w:rsidRDefault="00976487">
            <w:pPr>
              <w:spacing w:after="0" w:line="240" w:lineRule="auto"/>
              <w:jc w:val="center"/>
              <w:rPr>
                <w:szCs w:val="24"/>
              </w:rPr>
            </w:pPr>
            <w:r w:rsidRPr="00687DE8">
              <w:rPr>
                <w:b/>
                <w:szCs w:val="24"/>
              </w:rPr>
              <w:t>Kood</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E3A715"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278F9825" w14:paraId="302D8CC1"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4F09F3" w14:textId="3A5FFCD2" w:rsidR="58D4F04F" w:rsidRDefault="58D4F04F" w:rsidP="278F9825">
            <w:pPr>
              <w:spacing w:line="240" w:lineRule="auto"/>
            </w:pPr>
            <w:r>
              <w:t>Tümpanomeetriline uuring</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439718" w14:textId="53A86A11" w:rsidR="161E7FE4" w:rsidRDefault="161E7FE4" w:rsidP="278F9825">
            <w:pPr>
              <w:spacing w:line="240" w:lineRule="auto"/>
              <w:jc w:val="center"/>
            </w:pPr>
            <w:r>
              <w:t>6417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52D7C5" w14:textId="31F29AAC" w:rsidR="006B1E2B" w:rsidRDefault="006B1E2B" w:rsidP="278F9825">
            <w:pPr>
              <w:jc w:val="center"/>
              <w:rPr>
                <w:color w:val="000000" w:themeColor="text1"/>
              </w:rPr>
            </w:pPr>
          </w:p>
          <w:p w14:paraId="7A0EF047" w14:textId="10FB13ED" w:rsidR="1823FCC2" w:rsidRDefault="006B1E2B" w:rsidP="278F9825">
            <w:pPr>
              <w:jc w:val="center"/>
              <w:rPr>
                <w:color w:val="000000" w:themeColor="text1"/>
              </w:rPr>
            </w:pPr>
            <w:r w:rsidRPr="006B1E2B">
              <w:rPr>
                <w:color w:val="000000" w:themeColor="text1"/>
              </w:rPr>
              <w:t>16,04</w:t>
            </w:r>
          </w:p>
        </w:tc>
      </w:tr>
      <w:tr w:rsidR="278F9825" w14:paraId="122119F1"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6C2ABC" w14:textId="5F21FE0C" w:rsidR="58D4F04F" w:rsidRDefault="58D4F04F" w:rsidP="278F9825">
            <w:pPr>
              <w:spacing w:line="240" w:lineRule="auto"/>
            </w:pPr>
            <w:r>
              <w:t>Kuulmise sõeluuring</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FD4CE2" w14:textId="74235344" w:rsidR="0B64CED3" w:rsidRDefault="0B64CED3" w:rsidP="278F9825">
            <w:pPr>
              <w:spacing w:line="240" w:lineRule="auto"/>
              <w:jc w:val="center"/>
            </w:pPr>
            <w:r>
              <w:t>6418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164949" w14:textId="69CF9132" w:rsidR="00137611" w:rsidRDefault="00137611" w:rsidP="00BD681B">
            <w:pPr>
              <w:rPr>
                <w:color w:val="000000" w:themeColor="text1"/>
              </w:rPr>
            </w:pPr>
          </w:p>
          <w:p w14:paraId="312D70F6" w14:textId="70C61433" w:rsidR="3BEAE8AE" w:rsidRDefault="00137611" w:rsidP="005E5F22">
            <w:pPr>
              <w:jc w:val="center"/>
              <w:rPr>
                <w:color w:val="000000" w:themeColor="text1"/>
              </w:rPr>
            </w:pPr>
            <w:r w:rsidRPr="00137611">
              <w:rPr>
                <w:color w:val="000000" w:themeColor="text1"/>
              </w:rPr>
              <w:t>20,60</w:t>
            </w:r>
          </w:p>
        </w:tc>
      </w:tr>
      <w:tr w:rsidR="278F9825" w14:paraId="5FAE3442" w14:textId="77777777" w:rsidTr="00D30B8D">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7A153B" w14:textId="55F3DBD0" w:rsidR="58D4F04F" w:rsidRDefault="58D4F04F" w:rsidP="278F9825">
            <w:pPr>
              <w:spacing w:line="240" w:lineRule="auto"/>
            </w:pPr>
            <w:r>
              <w:t>Rinomanomeetria</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C3B7C4" w14:textId="536A1618" w:rsidR="5D91BBF8" w:rsidRDefault="5D91BBF8" w:rsidP="278F9825">
            <w:pPr>
              <w:spacing w:line="240" w:lineRule="auto"/>
              <w:jc w:val="center"/>
            </w:pPr>
            <w:r>
              <w:t>6419</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B8C2C0" w14:textId="5B022CA4" w:rsidR="00137611" w:rsidRDefault="00137611" w:rsidP="278F9825">
            <w:pPr>
              <w:jc w:val="center"/>
              <w:rPr>
                <w:color w:val="000000" w:themeColor="text1"/>
              </w:rPr>
            </w:pPr>
          </w:p>
          <w:p w14:paraId="7B7B6AA1" w14:textId="77777777" w:rsidR="00137611" w:rsidRPr="00137611" w:rsidRDefault="00137611" w:rsidP="00137611">
            <w:pPr>
              <w:jc w:val="center"/>
              <w:rPr>
                <w:color w:val="000000"/>
              </w:rPr>
            </w:pPr>
            <w:r w:rsidRPr="00137611">
              <w:rPr>
                <w:color w:val="000000"/>
              </w:rPr>
              <w:t>22,20</w:t>
            </w:r>
          </w:p>
          <w:p w14:paraId="11276E89" w14:textId="06250836" w:rsidR="36632296" w:rsidRDefault="36632296" w:rsidP="278F9825">
            <w:pPr>
              <w:jc w:val="center"/>
              <w:rPr>
                <w:color w:val="000000" w:themeColor="text1"/>
              </w:rPr>
            </w:pPr>
          </w:p>
        </w:tc>
      </w:tr>
      <w:tr w:rsidR="278F9825" w14:paraId="5B0A15F1"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7300CF" w14:textId="0F5FA9B0" w:rsidR="58D4F04F" w:rsidRDefault="58D4F04F" w:rsidP="278F9825">
            <w:pPr>
              <w:spacing w:line="240" w:lineRule="auto"/>
            </w:pPr>
            <w:r>
              <w:lastRenderedPageBreak/>
              <w:t>Indirektne larüngomikroskoopia</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CAF51D" w14:textId="3A622AC9" w:rsidR="246A4F1B" w:rsidRDefault="246A4F1B" w:rsidP="278F9825">
            <w:pPr>
              <w:spacing w:line="240" w:lineRule="auto"/>
              <w:jc w:val="center"/>
            </w:pPr>
            <w:r>
              <w:t>6420</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2FF373" w14:textId="7D77649E" w:rsidR="00CE42F3" w:rsidRDefault="00CE42F3" w:rsidP="278F9825">
            <w:pPr>
              <w:jc w:val="center"/>
              <w:rPr>
                <w:color w:val="000000" w:themeColor="text1"/>
              </w:rPr>
            </w:pPr>
          </w:p>
          <w:p w14:paraId="04A779F6" w14:textId="0D598C85" w:rsidR="59BECC64" w:rsidRPr="00EB7A71" w:rsidRDefault="00CE42F3" w:rsidP="278F9825">
            <w:pPr>
              <w:jc w:val="center"/>
              <w:rPr>
                <w:color w:val="000000"/>
              </w:rPr>
            </w:pPr>
            <w:r w:rsidRPr="00CE42F3">
              <w:rPr>
                <w:color w:val="000000"/>
              </w:rPr>
              <w:t>23,82</w:t>
            </w:r>
          </w:p>
        </w:tc>
      </w:tr>
      <w:tr w:rsidR="278F9825" w14:paraId="5CA3EB8E"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D9CD63" w14:textId="26363BA3" w:rsidR="58D4F04F" w:rsidRDefault="58D4F04F" w:rsidP="278F9825">
            <w:pPr>
              <w:spacing w:line="240" w:lineRule="auto"/>
            </w:pPr>
            <w:r>
              <w:t>Stapesreflekside uuring</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8301F3" w14:textId="1FF85BA2" w:rsidR="7982F9EB" w:rsidRDefault="7982F9EB" w:rsidP="278F9825">
            <w:pPr>
              <w:spacing w:line="240" w:lineRule="auto"/>
              <w:jc w:val="center"/>
            </w:pPr>
            <w:r>
              <w:t>6421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174B34" w14:textId="28009575" w:rsidR="00CE42F3" w:rsidRDefault="00CE42F3" w:rsidP="278F9825">
            <w:pPr>
              <w:jc w:val="center"/>
              <w:rPr>
                <w:color w:val="000000" w:themeColor="text1"/>
              </w:rPr>
            </w:pPr>
          </w:p>
          <w:p w14:paraId="61DF43B1" w14:textId="1A3DEBAD" w:rsidR="63608AD4" w:rsidRDefault="00CE42F3" w:rsidP="278F9825">
            <w:pPr>
              <w:jc w:val="center"/>
              <w:rPr>
                <w:color w:val="000000" w:themeColor="text1"/>
              </w:rPr>
            </w:pPr>
            <w:r w:rsidRPr="00CE42F3">
              <w:rPr>
                <w:color w:val="000000" w:themeColor="text1"/>
              </w:rPr>
              <w:t>27,03</w:t>
            </w:r>
          </w:p>
        </w:tc>
      </w:tr>
      <w:tr w:rsidR="278F9825" w14:paraId="0E884570"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D917CC" w14:textId="5C59ED57" w:rsidR="58D4F04F" w:rsidRDefault="58D4F04F" w:rsidP="278F9825">
            <w:pPr>
              <w:spacing w:line="240" w:lineRule="auto"/>
            </w:pPr>
            <w:r>
              <w:t>Otoakustiliste emissioonide uuring</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2574F16" w14:textId="1B67437F" w:rsidR="1DD12B61" w:rsidRDefault="1DD12B61" w:rsidP="278F9825">
            <w:pPr>
              <w:spacing w:line="240" w:lineRule="auto"/>
              <w:jc w:val="center"/>
            </w:pPr>
            <w:r>
              <w:t>6422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DB0009" w14:textId="23A522FF" w:rsidR="00667CC8" w:rsidRDefault="00667CC8" w:rsidP="278F9825">
            <w:pPr>
              <w:jc w:val="center"/>
              <w:rPr>
                <w:color w:val="000000" w:themeColor="text1"/>
              </w:rPr>
            </w:pPr>
          </w:p>
          <w:p w14:paraId="6DC14C91" w14:textId="04818C84" w:rsidR="4AC29D10" w:rsidRDefault="00667CC8" w:rsidP="278F9825">
            <w:pPr>
              <w:jc w:val="center"/>
              <w:rPr>
                <w:color w:val="000000" w:themeColor="text1"/>
              </w:rPr>
            </w:pPr>
            <w:r w:rsidRPr="00667CC8">
              <w:rPr>
                <w:color w:val="000000" w:themeColor="text1"/>
              </w:rPr>
              <w:t>27,04</w:t>
            </w:r>
          </w:p>
        </w:tc>
      </w:tr>
      <w:tr w:rsidR="278F9825" w14:paraId="156A2D97"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FF87BB" w14:textId="299AE3E7" w:rsidR="25C7BD8A" w:rsidRDefault="25C7BD8A" w:rsidP="278F9825">
            <w:pPr>
              <w:spacing w:line="240" w:lineRule="auto"/>
            </w:pPr>
            <w:r>
              <w:t>Testid Frenzeli prillidega</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394D9B" w14:textId="41F6B9B1" w:rsidR="475A3BE0" w:rsidRDefault="475A3BE0" w:rsidP="278F9825">
            <w:pPr>
              <w:spacing w:line="240" w:lineRule="auto"/>
              <w:jc w:val="center"/>
            </w:pPr>
            <w:r>
              <w:t>6423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C102C2" w14:textId="2765F421" w:rsidR="00667CC8" w:rsidRDefault="00667CC8" w:rsidP="278F9825">
            <w:pPr>
              <w:jc w:val="center"/>
              <w:rPr>
                <w:color w:val="000000" w:themeColor="text1"/>
              </w:rPr>
            </w:pPr>
          </w:p>
          <w:p w14:paraId="3DE8C5AD" w14:textId="3496C70D" w:rsidR="4C4A595A" w:rsidRDefault="00667CC8" w:rsidP="278F9825">
            <w:pPr>
              <w:jc w:val="center"/>
              <w:rPr>
                <w:color w:val="000000" w:themeColor="text1"/>
              </w:rPr>
            </w:pPr>
            <w:r w:rsidRPr="00667CC8">
              <w:rPr>
                <w:color w:val="000000" w:themeColor="text1"/>
              </w:rPr>
              <w:t>34,93</w:t>
            </w:r>
          </w:p>
        </w:tc>
      </w:tr>
      <w:tr w:rsidR="278F9825" w14:paraId="6B32F018"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57056B" w14:textId="58988AB6" w:rsidR="25C7BD8A" w:rsidRDefault="25C7BD8A" w:rsidP="278F9825">
            <w:pPr>
              <w:spacing w:line="240" w:lineRule="auto"/>
            </w:pPr>
            <w:r>
              <w:t>Toonaudiomeetria vabas väljas</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449D0F" w14:textId="4F263CD8" w:rsidR="6288D36A" w:rsidRDefault="6288D36A" w:rsidP="278F9825">
            <w:pPr>
              <w:spacing w:line="240" w:lineRule="auto"/>
              <w:jc w:val="center"/>
            </w:pPr>
            <w:r>
              <w:t>6424</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BC461B" w14:textId="5482EEDC" w:rsidR="00C82AA9" w:rsidRDefault="00C82AA9" w:rsidP="278F9825">
            <w:pPr>
              <w:jc w:val="center"/>
              <w:rPr>
                <w:color w:val="000000" w:themeColor="text1"/>
              </w:rPr>
            </w:pPr>
          </w:p>
          <w:p w14:paraId="32B0EF57" w14:textId="3FDCAC49" w:rsidR="591A2441" w:rsidRDefault="00C82AA9" w:rsidP="278F9825">
            <w:pPr>
              <w:jc w:val="center"/>
              <w:rPr>
                <w:color w:val="000000" w:themeColor="text1"/>
              </w:rPr>
            </w:pPr>
            <w:r w:rsidRPr="00C82AA9">
              <w:rPr>
                <w:color w:val="000000" w:themeColor="text1"/>
              </w:rPr>
              <w:t>40,01</w:t>
            </w:r>
          </w:p>
        </w:tc>
      </w:tr>
      <w:tr w:rsidR="278F9825" w14:paraId="639078C3"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833B86" w14:textId="227CEDA8" w:rsidR="25C7BD8A" w:rsidRDefault="25C7BD8A" w:rsidP="278F9825">
            <w:pPr>
              <w:spacing w:line="240" w:lineRule="auto"/>
            </w:pPr>
            <w:r>
              <w:t>Toonaudiomeetriline uuring</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750F13" w14:textId="355FD1F7" w:rsidR="18BE8D1A" w:rsidRDefault="18BE8D1A" w:rsidP="278F9825">
            <w:pPr>
              <w:spacing w:line="240" w:lineRule="auto"/>
              <w:jc w:val="center"/>
            </w:pPr>
            <w:r>
              <w:t>6425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AF62C8" w14:textId="4ECF4004" w:rsidR="00C82AA9" w:rsidRDefault="00C82AA9" w:rsidP="278F9825">
            <w:pPr>
              <w:jc w:val="center"/>
              <w:rPr>
                <w:color w:val="000000" w:themeColor="text1"/>
              </w:rPr>
            </w:pPr>
          </w:p>
          <w:p w14:paraId="1FEEE02F" w14:textId="20B0DA21" w:rsidR="56F9E03F" w:rsidRDefault="00C82AA9" w:rsidP="278F9825">
            <w:pPr>
              <w:jc w:val="center"/>
              <w:rPr>
                <w:color w:val="000000" w:themeColor="text1"/>
              </w:rPr>
            </w:pPr>
            <w:r w:rsidRPr="00C82AA9">
              <w:rPr>
                <w:color w:val="000000" w:themeColor="text1"/>
              </w:rPr>
              <w:t>40,06</w:t>
            </w:r>
          </w:p>
        </w:tc>
      </w:tr>
      <w:tr w:rsidR="278F9825" w14:paraId="47FB29BE"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731DFE" w14:textId="29286927" w:rsidR="25C7BD8A" w:rsidRDefault="25C7BD8A" w:rsidP="278F9825">
            <w:pPr>
              <w:spacing w:line="240" w:lineRule="auto"/>
            </w:pPr>
            <w:r>
              <w:t>Kuuldeaparaadi sobitamine</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2D9EC1" w14:textId="3F109D4B" w:rsidR="600F7826" w:rsidRDefault="600F7826" w:rsidP="278F9825">
            <w:pPr>
              <w:spacing w:line="240" w:lineRule="auto"/>
              <w:jc w:val="center"/>
            </w:pPr>
            <w:r>
              <w:t>6426</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14BE41" w14:textId="11BB2DC6" w:rsidR="008754B6" w:rsidRDefault="008754B6" w:rsidP="278F9825">
            <w:pPr>
              <w:jc w:val="center"/>
              <w:rPr>
                <w:color w:val="000000" w:themeColor="text1"/>
              </w:rPr>
            </w:pPr>
          </w:p>
          <w:p w14:paraId="03B2D599" w14:textId="3D078630" w:rsidR="50A22479" w:rsidRDefault="008754B6" w:rsidP="278F9825">
            <w:pPr>
              <w:jc w:val="center"/>
              <w:rPr>
                <w:color w:val="000000" w:themeColor="text1"/>
              </w:rPr>
            </w:pPr>
            <w:r w:rsidRPr="008754B6">
              <w:rPr>
                <w:color w:val="000000" w:themeColor="text1"/>
              </w:rPr>
              <w:t>42,14</w:t>
            </w:r>
          </w:p>
        </w:tc>
      </w:tr>
      <w:tr w:rsidR="278F9825" w14:paraId="10F3EE13"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702C6B" w14:textId="5B5AD81E" w:rsidR="25C7BD8A" w:rsidRDefault="25C7BD8A" w:rsidP="278F9825">
            <w:pPr>
              <w:spacing w:line="240" w:lineRule="auto"/>
            </w:pPr>
            <w:r>
              <w:t>Pea impulsi test video meetodil (viHT)</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2F2DBF" w14:textId="6095DE52" w:rsidR="1D7FDF0D" w:rsidRDefault="1D7FDF0D" w:rsidP="278F9825">
            <w:pPr>
              <w:spacing w:line="240" w:lineRule="auto"/>
              <w:jc w:val="center"/>
            </w:pPr>
            <w:r>
              <w:t>6427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98FBBF" w14:textId="6F4C4610" w:rsidR="008754B6" w:rsidRDefault="008754B6" w:rsidP="278F9825">
            <w:pPr>
              <w:jc w:val="center"/>
              <w:rPr>
                <w:color w:val="000000" w:themeColor="text1"/>
              </w:rPr>
            </w:pPr>
          </w:p>
          <w:p w14:paraId="089812DB" w14:textId="3C24579F" w:rsidR="401B107E" w:rsidRDefault="008754B6" w:rsidP="278F9825">
            <w:pPr>
              <w:jc w:val="center"/>
              <w:rPr>
                <w:color w:val="000000" w:themeColor="text1"/>
              </w:rPr>
            </w:pPr>
            <w:r w:rsidRPr="008754B6">
              <w:rPr>
                <w:color w:val="000000" w:themeColor="text1"/>
              </w:rPr>
              <w:t>43,77</w:t>
            </w:r>
          </w:p>
        </w:tc>
      </w:tr>
      <w:tr w:rsidR="278F9825" w14:paraId="3C053865"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3E00CD" w14:textId="3BDE5065" w:rsidR="25C7BD8A" w:rsidRDefault="25C7BD8A" w:rsidP="278F9825">
            <w:pPr>
              <w:spacing w:line="240" w:lineRule="auto"/>
            </w:pPr>
            <w:r>
              <w:t>Kõne audiomeetria kõrvaklappidega</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7B673A" w14:textId="66AD9324" w:rsidR="2E021A07" w:rsidRDefault="2E021A07" w:rsidP="278F9825">
            <w:pPr>
              <w:spacing w:line="240" w:lineRule="auto"/>
              <w:jc w:val="center"/>
            </w:pPr>
            <w:r>
              <w:t>6428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AA565C" w14:textId="24467B9E" w:rsidR="00A14F62" w:rsidRDefault="00A14F62" w:rsidP="278F9825">
            <w:pPr>
              <w:jc w:val="center"/>
              <w:rPr>
                <w:color w:val="000000" w:themeColor="text1"/>
              </w:rPr>
            </w:pPr>
          </w:p>
          <w:p w14:paraId="2297DE49" w14:textId="4855AF98" w:rsidR="73718C2B" w:rsidRDefault="00A14F62" w:rsidP="278F9825">
            <w:pPr>
              <w:jc w:val="center"/>
              <w:rPr>
                <w:color w:val="000000" w:themeColor="text1"/>
              </w:rPr>
            </w:pPr>
            <w:r w:rsidRPr="00A14F62">
              <w:rPr>
                <w:color w:val="000000" w:themeColor="text1"/>
              </w:rPr>
              <w:t>57,60</w:t>
            </w:r>
          </w:p>
        </w:tc>
      </w:tr>
      <w:tr w:rsidR="278F9825" w14:paraId="37204C2E"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6157F0" w14:textId="3D3D1E84" w:rsidR="25C7BD8A" w:rsidRDefault="25C7BD8A" w:rsidP="278F9825">
            <w:pPr>
              <w:spacing w:line="240" w:lineRule="auto"/>
            </w:pPr>
            <w:r>
              <w:t>Kõne audiomeetria vabas väljas</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7079B9" w14:textId="114DA521" w:rsidR="552A71C1" w:rsidRDefault="552A71C1" w:rsidP="278F9825">
            <w:pPr>
              <w:spacing w:line="240" w:lineRule="auto"/>
              <w:jc w:val="center"/>
            </w:pPr>
            <w:r>
              <w:t>6429</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EC50D1" w14:textId="2990D61B" w:rsidR="00A14F62" w:rsidRDefault="00A14F62" w:rsidP="278F9825">
            <w:pPr>
              <w:jc w:val="center"/>
              <w:rPr>
                <w:color w:val="000000" w:themeColor="text1"/>
              </w:rPr>
            </w:pPr>
          </w:p>
          <w:p w14:paraId="21365836" w14:textId="2940BB64" w:rsidR="509642ED" w:rsidRDefault="00A14F62" w:rsidP="278F9825">
            <w:pPr>
              <w:jc w:val="center"/>
              <w:rPr>
                <w:color w:val="000000" w:themeColor="text1"/>
              </w:rPr>
            </w:pPr>
            <w:r w:rsidRPr="00A14F62">
              <w:rPr>
                <w:color w:val="000000" w:themeColor="text1"/>
              </w:rPr>
              <w:t>57,60</w:t>
            </w:r>
          </w:p>
        </w:tc>
      </w:tr>
      <w:tr w:rsidR="278F9825" w14:paraId="31713ED1"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CB5561" w14:textId="659B993B" w:rsidR="25C7BD8A" w:rsidRDefault="25C7BD8A" w:rsidP="278F9825">
            <w:pPr>
              <w:spacing w:line="240" w:lineRule="auto"/>
            </w:pPr>
            <w:r>
              <w:t>Kaloorilised testid</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BCC50D" w14:textId="79314B61" w:rsidR="6D976338" w:rsidRDefault="6D976338" w:rsidP="278F9825">
            <w:pPr>
              <w:spacing w:line="240" w:lineRule="auto"/>
              <w:jc w:val="center"/>
            </w:pPr>
            <w:r>
              <w:t>6430</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CC506B" w14:textId="29DAED0F" w:rsidR="00C176D6" w:rsidRDefault="00C176D6" w:rsidP="278F9825">
            <w:pPr>
              <w:jc w:val="center"/>
              <w:rPr>
                <w:color w:val="000000" w:themeColor="text1"/>
              </w:rPr>
            </w:pPr>
          </w:p>
          <w:p w14:paraId="0840D40D" w14:textId="77D3ECD1" w:rsidR="390B82B2" w:rsidRDefault="00C176D6" w:rsidP="278F9825">
            <w:pPr>
              <w:jc w:val="center"/>
              <w:rPr>
                <w:color w:val="000000" w:themeColor="text1"/>
              </w:rPr>
            </w:pPr>
            <w:r w:rsidRPr="00C176D6">
              <w:rPr>
                <w:color w:val="000000" w:themeColor="text1"/>
              </w:rPr>
              <w:t>69,97</w:t>
            </w:r>
          </w:p>
        </w:tc>
      </w:tr>
      <w:tr w:rsidR="278F9825" w14:paraId="74724CDF"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2238DD" w14:textId="34DD930F" w:rsidR="25C7BD8A" w:rsidRDefault="25C7BD8A" w:rsidP="278F9825">
            <w:pPr>
              <w:spacing w:line="240" w:lineRule="auto"/>
            </w:pPr>
            <w:r>
              <w:t>Videonüstagmograafia (v.a kaloorilised testid)</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6A87A1" w14:textId="708494D2" w:rsidR="5D44EDC7" w:rsidRDefault="5D44EDC7" w:rsidP="278F9825">
            <w:pPr>
              <w:spacing w:line="240" w:lineRule="auto"/>
              <w:jc w:val="center"/>
            </w:pPr>
            <w:r>
              <w:t>6431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BE0488" w14:textId="7DEAB544" w:rsidR="008C6888" w:rsidRDefault="008C6888" w:rsidP="278F9825">
            <w:pPr>
              <w:jc w:val="center"/>
              <w:rPr>
                <w:color w:val="000000" w:themeColor="text1"/>
              </w:rPr>
            </w:pPr>
          </w:p>
          <w:p w14:paraId="02F8F917" w14:textId="775DA42D" w:rsidR="4B5F3E90" w:rsidRDefault="008C6888" w:rsidP="278F9825">
            <w:pPr>
              <w:jc w:val="center"/>
              <w:rPr>
                <w:color w:val="000000" w:themeColor="text1"/>
              </w:rPr>
            </w:pPr>
            <w:r w:rsidRPr="008C6888">
              <w:rPr>
                <w:color w:val="000000" w:themeColor="text1"/>
              </w:rPr>
              <w:t>88,57</w:t>
            </w:r>
          </w:p>
        </w:tc>
      </w:tr>
      <w:tr w:rsidR="278F9825" w14:paraId="2791BAA7"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8ED901" w14:textId="76C1B36F" w:rsidR="25C7BD8A" w:rsidRDefault="25C7BD8A" w:rsidP="278F9825">
            <w:pPr>
              <w:spacing w:line="240" w:lineRule="auto"/>
            </w:pPr>
            <w:r>
              <w:t>Laste kuulmise kompleksuuring</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8C721B" w14:textId="09A792AE" w:rsidR="0A720448" w:rsidRDefault="0A720448" w:rsidP="278F9825">
            <w:pPr>
              <w:spacing w:line="240" w:lineRule="auto"/>
              <w:jc w:val="center"/>
            </w:pPr>
            <w:r>
              <w:t>6432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1FC360" w14:textId="150C72CA" w:rsidR="008C6888" w:rsidRDefault="008C6888" w:rsidP="278F9825">
            <w:pPr>
              <w:jc w:val="center"/>
              <w:rPr>
                <w:color w:val="000000" w:themeColor="text1"/>
              </w:rPr>
            </w:pPr>
          </w:p>
          <w:p w14:paraId="6B362AEA" w14:textId="2F6D6F94" w:rsidR="3EA37A35" w:rsidRDefault="008C6888" w:rsidP="278F9825">
            <w:pPr>
              <w:jc w:val="center"/>
              <w:rPr>
                <w:color w:val="000000" w:themeColor="text1"/>
              </w:rPr>
            </w:pPr>
            <w:r w:rsidRPr="008C6888">
              <w:rPr>
                <w:color w:val="000000" w:themeColor="text1"/>
              </w:rPr>
              <w:t>100,26</w:t>
            </w:r>
          </w:p>
        </w:tc>
      </w:tr>
      <w:tr w:rsidR="278F9825" w14:paraId="1DD4919B"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A60D59" w14:textId="02D6C1BE" w:rsidR="25C7BD8A" w:rsidRDefault="25C7BD8A" w:rsidP="278F9825">
            <w:pPr>
              <w:spacing w:line="240" w:lineRule="auto"/>
            </w:pPr>
            <w:r>
              <w:lastRenderedPageBreak/>
              <w:t>Päriskõrva mõõdistused</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1D8788" w14:textId="188E61B6" w:rsidR="0DD4580F" w:rsidRDefault="0DD4580F" w:rsidP="278F9825">
            <w:pPr>
              <w:spacing w:line="240" w:lineRule="auto"/>
              <w:jc w:val="center"/>
            </w:pPr>
            <w:r>
              <w:t>6433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69584E" w14:textId="15AF4E3B" w:rsidR="007A04EF" w:rsidRDefault="007A04EF" w:rsidP="278F9825">
            <w:pPr>
              <w:jc w:val="center"/>
              <w:rPr>
                <w:color w:val="000000" w:themeColor="text1"/>
              </w:rPr>
            </w:pPr>
          </w:p>
          <w:p w14:paraId="6B4A9DCD" w14:textId="6EB62D58" w:rsidR="20F1EB17" w:rsidRDefault="007A04EF" w:rsidP="278F9825">
            <w:pPr>
              <w:jc w:val="center"/>
              <w:rPr>
                <w:color w:val="000000" w:themeColor="text1"/>
              </w:rPr>
            </w:pPr>
            <w:r w:rsidRPr="007A04EF">
              <w:rPr>
                <w:color w:val="000000" w:themeColor="text1"/>
              </w:rPr>
              <w:t>106,54</w:t>
            </w:r>
          </w:p>
        </w:tc>
      </w:tr>
      <w:tr w:rsidR="278F9825" w14:paraId="08629ABC"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5B2FB" w14:textId="69D209AC" w:rsidR="25C7BD8A" w:rsidRDefault="25C7BD8A" w:rsidP="278F9825">
            <w:pPr>
              <w:spacing w:line="240" w:lineRule="auto"/>
            </w:pPr>
            <w:r>
              <w:t>Direktne menetluslarüngoskoopia</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3CC57F" w14:textId="445196B9" w:rsidR="2795A8B5" w:rsidRDefault="2795A8B5" w:rsidP="278F9825">
            <w:pPr>
              <w:spacing w:line="240" w:lineRule="auto"/>
              <w:jc w:val="center"/>
            </w:pPr>
            <w:r>
              <w:t>6434</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481CFC" w14:textId="4C98FB35" w:rsidR="007A04EF" w:rsidRDefault="007A04EF" w:rsidP="278F9825">
            <w:pPr>
              <w:jc w:val="center"/>
              <w:rPr>
                <w:color w:val="000000" w:themeColor="text1"/>
              </w:rPr>
            </w:pPr>
          </w:p>
          <w:p w14:paraId="68395EBA" w14:textId="129323FA" w:rsidR="5E3B1EC9" w:rsidRDefault="007A04EF" w:rsidP="278F9825">
            <w:pPr>
              <w:jc w:val="center"/>
              <w:rPr>
                <w:color w:val="000000" w:themeColor="text1"/>
              </w:rPr>
            </w:pPr>
            <w:r w:rsidRPr="007A04EF">
              <w:rPr>
                <w:color w:val="000000" w:themeColor="text1"/>
              </w:rPr>
              <w:t>233,60</w:t>
            </w:r>
          </w:p>
        </w:tc>
      </w:tr>
      <w:tr w:rsidR="278F9825" w14:paraId="04E97B78"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4A871" w14:textId="006D3EFB" w:rsidR="25C7BD8A" w:rsidRDefault="25C7BD8A" w:rsidP="278F9825">
            <w:pPr>
              <w:spacing w:line="240" w:lineRule="auto"/>
            </w:pPr>
            <w:r>
              <w:t>Aju bioelektriliste potentsiaalide uuring</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755A05" w14:textId="40BB0029" w:rsidR="32D24754" w:rsidRDefault="32D24754" w:rsidP="278F9825">
            <w:pPr>
              <w:spacing w:line="240" w:lineRule="auto"/>
              <w:jc w:val="center"/>
            </w:pPr>
            <w:r>
              <w:t>6435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AE8AEB" w14:textId="23EA0CD4" w:rsidR="00FD2373" w:rsidRDefault="00FD2373" w:rsidP="278F9825">
            <w:pPr>
              <w:jc w:val="center"/>
              <w:rPr>
                <w:color w:val="000000" w:themeColor="text1"/>
              </w:rPr>
            </w:pPr>
          </w:p>
          <w:p w14:paraId="77729A82" w14:textId="5CEC9CF3" w:rsidR="0E28D78E" w:rsidRDefault="00FD2373" w:rsidP="278F9825">
            <w:pPr>
              <w:jc w:val="center"/>
              <w:rPr>
                <w:color w:val="000000" w:themeColor="text1"/>
              </w:rPr>
            </w:pPr>
            <w:r w:rsidRPr="00FD2373">
              <w:rPr>
                <w:color w:val="000000" w:themeColor="text1"/>
              </w:rPr>
              <w:t>308,73</w:t>
            </w:r>
          </w:p>
        </w:tc>
      </w:tr>
      <w:tr w:rsidR="278F9825" w14:paraId="79821687" w14:textId="77777777" w:rsidTr="00D30B8D">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E68EC8" w14:textId="2C365E51" w:rsidR="24ECBAC0" w:rsidRDefault="24ECBAC0" w:rsidP="278F9825">
            <w:pPr>
              <w:spacing w:line="240" w:lineRule="auto"/>
            </w:pPr>
            <w:r>
              <w:t>Ülemiste hingamisteede videoendoskoopiline vaatlus</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90BE4E" w14:textId="4A325C23" w:rsidR="24ECBAC0" w:rsidRDefault="24ECBAC0" w:rsidP="278F9825">
            <w:pPr>
              <w:spacing w:line="240" w:lineRule="auto"/>
              <w:jc w:val="center"/>
            </w:pPr>
            <w:r>
              <w:t>7320</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9E4507" w14:textId="64FAE785" w:rsidR="37F4CF4F" w:rsidRDefault="00D8018E" w:rsidP="278F9825">
            <w:pPr>
              <w:jc w:val="center"/>
              <w:rPr>
                <w:color w:val="000000" w:themeColor="text1"/>
              </w:rPr>
            </w:pPr>
            <w:r>
              <w:rPr>
                <w:color w:val="000000"/>
              </w:rPr>
              <w:t>29,27</w:t>
            </w:r>
          </w:p>
        </w:tc>
      </w:tr>
      <w:tr w:rsidR="278F9825" w14:paraId="5DF21ADB"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773DB6" w14:textId="2562B4F7" w:rsidR="24ECBAC0" w:rsidRDefault="24ECBAC0" w:rsidP="278F9825">
            <w:pPr>
              <w:spacing w:line="240" w:lineRule="auto"/>
            </w:pPr>
            <w:r>
              <w:t>Ülemiste hingamisteede videoendoskoopiline uuring</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F4A31C" w14:textId="6F016ED2" w:rsidR="24ECBAC0" w:rsidRDefault="24ECBAC0" w:rsidP="278F9825">
            <w:pPr>
              <w:spacing w:line="240" w:lineRule="auto"/>
              <w:jc w:val="center"/>
            </w:pPr>
            <w:r>
              <w:t>7321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7360B1" w14:textId="0890D69A" w:rsidR="4068D1A3" w:rsidRDefault="00D8018E" w:rsidP="278F9825">
            <w:pPr>
              <w:jc w:val="center"/>
              <w:rPr>
                <w:color w:val="000000" w:themeColor="text1"/>
              </w:rPr>
            </w:pPr>
            <w:r>
              <w:rPr>
                <w:color w:val="000000"/>
              </w:rPr>
              <w:t>131,05</w:t>
            </w:r>
          </w:p>
        </w:tc>
      </w:tr>
      <w:tr w:rsidR="278F9825" w14:paraId="27E95B6D" w14:textId="77777777" w:rsidTr="00D30B8D">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7B4A20" w14:textId="342EC949" w:rsidR="25C7BD8A" w:rsidRDefault="25C7BD8A" w:rsidP="278F9825">
            <w:pPr>
              <w:spacing w:line="240" w:lineRule="auto"/>
            </w:pPr>
            <w:r>
              <w:t>Otomikroskoopia</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AEEEAB" w14:textId="77B5476C" w:rsidR="065D6623" w:rsidRDefault="065D6623" w:rsidP="278F9825">
            <w:pPr>
              <w:spacing w:line="240" w:lineRule="auto"/>
              <w:jc w:val="center"/>
            </w:pPr>
            <w:r>
              <w:t>7322</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B3B8EA" w14:textId="37857A08" w:rsidR="5B24B56E" w:rsidRDefault="00F13985" w:rsidP="278F9825">
            <w:pPr>
              <w:jc w:val="center"/>
              <w:rPr>
                <w:color w:val="000000" w:themeColor="text1"/>
              </w:rPr>
            </w:pPr>
            <w:r>
              <w:rPr>
                <w:color w:val="000000"/>
              </w:rPr>
              <w:t>27,23</w:t>
            </w:r>
          </w:p>
        </w:tc>
      </w:tr>
      <w:tr w:rsidR="278F9825" w14:paraId="1ABD98F4"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F5680D" w14:textId="42D3B326" w:rsidR="25C7BD8A" w:rsidRDefault="25C7BD8A" w:rsidP="278F9825">
            <w:pPr>
              <w:spacing w:line="240" w:lineRule="auto"/>
            </w:pPr>
            <w:r>
              <w:t xml:space="preserve">Rinoskoopia </w:t>
            </w:r>
            <w:r w:rsidR="009068B6">
              <w:t>revisjoniga</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0CF1C5" w14:textId="6866BF4F" w:rsidR="35C5AA2E" w:rsidRDefault="35C5AA2E" w:rsidP="278F9825">
            <w:pPr>
              <w:spacing w:line="240" w:lineRule="auto"/>
              <w:jc w:val="center"/>
            </w:pPr>
            <w:r>
              <w:t>7323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920C02" w14:textId="16A76591" w:rsidR="626554F9" w:rsidRDefault="00F13985" w:rsidP="278F9825">
            <w:pPr>
              <w:jc w:val="center"/>
              <w:rPr>
                <w:color w:val="000000" w:themeColor="text1"/>
              </w:rPr>
            </w:pPr>
            <w:r>
              <w:rPr>
                <w:color w:val="000000"/>
              </w:rPr>
              <w:t>30,42</w:t>
            </w:r>
          </w:p>
        </w:tc>
      </w:tr>
      <w:tr w:rsidR="278F9825" w14:paraId="508AF2F1"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1975B4" w14:textId="69B93481" w:rsidR="25C7BD8A" w:rsidRDefault="25C7BD8A" w:rsidP="278F9825">
            <w:pPr>
              <w:spacing w:line="240" w:lineRule="auto"/>
            </w:pPr>
            <w:r>
              <w:t>Ninaverejooksu peatamine või elektrokauterisatsioon ninaõõnes</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C738E4" w14:textId="05FC62CE" w:rsidR="4F7BC958" w:rsidRDefault="4F7BC958" w:rsidP="278F9825">
            <w:pPr>
              <w:spacing w:line="240" w:lineRule="auto"/>
              <w:jc w:val="center"/>
            </w:pPr>
            <w:r>
              <w:t>7324</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DF1BE9" w14:textId="2EF02B4B" w:rsidR="00044D89" w:rsidRDefault="00044D89" w:rsidP="00F13985">
            <w:pPr>
              <w:jc w:val="center"/>
              <w:rPr>
                <w:color w:val="000000" w:themeColor="text1"/>
              </w:rPr>
            </w:pPr>
          </w:p>
          <w:p w14:paraId="4365DA98" w14:textId="7387F83D" w:rsidR="1E38B3DC" w:rsidRDefault="00044D89" w:rsidP="278F9825">
            <w:pPr>
              <w:jc w:val="center"/>
              <w:rPr>
                <w:color w:val="000000" w:themeColor="text1"/>
              </w:rPr>
            </w:pPr>
            <w:r w:rsidRPr="00044D89">
              <w:rPr>
                <w:color w:val="000000" w:themeColor="text1"/>
              </w:rPr>
              <w:t>39,00</w:t>
            </w:r>
          </w:p>
        </w:tc>
      </w:tr>
      <w:tr w:rsidR="278F9825" w14:paraId="27C36991"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C61E1E" w14:textId="3E511252" w:rsidR="25C7BD8A" w:rsidRDefault="25C7BD8A" w:rsidP="278F9825">
            <w:pPr>
              <w:spacing w:line="240" w:lineRule="auto"/>
            </w:pPr>
            <w:r>
              <w:t>Kuulmekile paratsentees ja/või granulatsioonide eemaldamine kõrvast</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7C1136" w14:textId="5AF41543" w:rsidR="69A9C3ED" w:rsidRDefault="69A9C3ED" w:rsidP="278F9825">
            <w:pPr>
              <w:spacing w:line="240" w:lineRule="auto"/>
              <w:jc w:val="center"/>
            </w:pPr>
            <w:r>
              <w:t>7325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D578E7" w14:textId="4EB997E3" w:rsidR="00086D4A" w:rsidRDefault="00086D4A" w:rsidP="00F13985">
            <w:pPr>
              <w:jc w:val="center"/>
              <w:rPr>
                <w:color w:val="000000" w:themeColor="text1"/>
              </w:rPr>
            </w:pPr>
          </w:p>
          <w:p w14:paraId="3FF61DC1" w14:textId="604F861C" w:rsidR="232A2AA8" w:rsidRDefault="00086D4A" w:rsidP="278F9825">
            <w:pPr>
              <w:jc w:val="center"/>
              <w:rPr>
                <w:color w:val="000000" w:themeColor="text1"/>
              </w:rPr>
            </w:pPr>
            <w:r w:rsidRPr="00086D4A">
              <w:rPr>
                <w:color w:val="000000" w:themeColor="text1"/>
              </w:rPr>
              <w:t>42,34</w:t>
            </w:r>
          </w:p>
        </w:tc>
      </w:tr>
      <w:tr w:rsidR="278F9825" w14:paraId="477F8D35" w14:textId="77777777" w:rsidTr="00EB7A71">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91B674" w14:textId="3FEA060C" w:rsidR="25C7BD8A" w:rsidRDefault="25C7BD8A" w:rsidP="278F9825">
            <w:pPr>
              <w:spacing w:line="240" w:lineRule="auto"/>
            </w:pPr>
            <w:r>
              <w:t>Pindmise mädakolde avamine pea- ja kaelapiirkonnas</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AF7C9E" w14:textId="3B78B913" w:rsidR="5A1D2F76" w:rsidRDefault="5A1D2F76" w:rsidP="278F9825">
            <w:pPr>
              <w:spacing w:line="240" w:lineRule="auto"/>
              <w:jc w:val="center"/>
            </w:pPr>
            <w:r>
              <w:t>7326</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6EC650" w14:textId="70A41035" w:rsidR="6CEBEB58" w:rsidRDefault="00086D4A" w:rsidP="278F9825">
            <w:pPr>
              <w:jc w:val="center"/>
              <w:rPr>
                <w:color w:val="000000" w:themeColor="text1"/>
              </w:rPr>
            </w:pPr>
            <w:r>
              <w:rPr>
                <w:color w:val="000000"/>
              </w:rPr>
              <w:t>44,04</w:t>
            </w:r>
          </w:p>
        </w:tc>
      </w:tr>
      <w:tr w:rsidR="278F9825" w14:paraId="60FB39B9"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55A346" w14:textId="7449DF9F" w:rsidR="25C7BD8A" w:rsidRDefault="25C7BD8A" w:rsidP="278F9825">
            <w:pPr>
              <w:spacing w:line="240" w:lineRule="auto"/>
            </w:pPr>
            <w:r>
              <w:t>Võõrkeha eemaldamine pea- ja kaelapiirkonnast menetlusendoskoopiata</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7EC464" w14:textId="0FDF616E" w:rsidR="030B0828" w:rsidRDefault="030B0828" w:rsidP="278F9825">
            <w:pPr>
              <w:spacing w:line="240" w:lineRule="auto"/>
              <w:jc w:val="center"/>
            </w:pPr>
            <w:r>
              <w:t>7327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CA7813" w14:textId="0CC1C708" w:rsidR="7677DB3E" w:rsidRDefault="00086D4A" w:rsidP="278F9825">
            <w:pPr>
              <w:jc w:val="center"/>
              <w:rPr>
                <w:color w:val="000000" w:themeColor="text1"/>
              </w:rPr>
            </w:pPr>
            <w:r>
              <w:rPr>
                <w:color w:val="000000"/>
              </w:rPr>
              <w:t>48,23</w:t>
            </w:r>
          </w:p>
        </w:tc>
      </w:tr>
      <w:tr w:rsidR="278F9825" w14:paraId="62C0D2BA"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8BF31C" w14:textId="64867AAB" w:rsidR="25C7BD8A" w:rsidRDefault="25C7BD8A" w:rsidP="278F9825">
            <w:pPr>
              <w:spacing w:line="240" w:lineRule="auto"/>
            </w:pPr>
            <w:r>
              <w:t>Sisekõrva implantaadi programmeerimine</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2F1ADC" w14:textId="0B55437F" w:rsidR="21173BCC" w:rsidRDefault="21173BCC" w:rsidP="278F9825">
            <w:pPr>
              <w:spacing w:line="240" w:lineRule="auto"/>
              <w:jc w:val="center"/>
            </w:pPr>
            <w:r>
              <w:t>7328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A5AEBA" w14:textId="0DF19C0B" w:rsidR="000A0A90" w:rsidRDefault="000A0A90" w:rsidP="00086D4A">
            <w:pPr>
              <w:jc w:val="center"/>
              <w:rPr>
                <w:color w:val="000000" w:themeColor="text1"/>
              </w:rPr>
            </w:pPr>
          </w:p>
          <w:p w14:paraId="26DB34B3" w14:textId="7E254E15" w:rsidR="2A5E88EB" w:rsidRDefault="000A0A90" w:rsidP="278F9825">
            <w:pPr>
              <w:jc w:val="center"/>
              <w:rPr>
                <w:color w:val="000000" w:themeColor="text1"/>
              </w:rPr>
            </w:pPr>
            <w:r w:rsidRPr="000A0A90">
              <w:rPr>
                <w:color w:val="000000" w:themeColor="text1"/>
              </w:rPr>
              <w:t>85,33</w:t>
            </w:r>
          </w:p>
        </w:tc>
      </w:tr>
      <w:tr w:rsidR="278F9825" w14:paraId="18E1BF99"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889042" w14:textId="7462CC61" w:rsidR="25C7BD8A" w:rsidRDefault="25C7BD8A" w:rsidP="278F9825">
            <w:pPr>
              <w:spacing w:line="240" w:lineRule="auto"/>
            </w:pPr>
            <w:r>
              <w:t>Ninaneelu tamponeerimine</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35927F" w14:textId="4CF7A4DD" w:rsidR="0E5D6F1D" w:rsidRDefault="0E5D6F1D" w:rsidP="278F9825">
            <w:pPr>
              <w:spacing w:line="240" w:lineRule="auto"/>
              <w:jc w:val="center"/>
            </w:pPr>
            <w:r>
              <w:t>7329</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64DD3D" w14:textId="4681FA9B" w:rsidR="000A0A90" w:rsidRDefault="000A0A90" w:rsidP="00086D4A">
            <w:pPr>
              <w:jc w:val="center"/>
              <w:rPr>
                <w:color w:val="000000" w:themeColor="text1"/>
              </w:rPr>
            </w:pPr>
          </w:p>
          <w:p w14:paraId="0D61FA3F" w14:textId="3B1DED4D" w:rsidR="1130A267" w:rsidRDefault="000A0A90" w:rsidP="278F9825">
            <w:pPr>
              <w:jc w:val="center"/>
              <w:rPr>
                <w:color w:val="000000" w:themeColor="text1"/>
              </w:rPr>
            </w:pPr>
            <w:r w:rsidRPr="000A0A90">
              <w:rPr>
                <w:color w:val="000000" w:themeColor="text1"/>
              </w:rPr>
              <w:t>169,19</w:t>
            </w:r>
          </w:p>
        </w:tc>
      </w:tr>
      <w:tr w:rsidR="278F9825" w14:paraId="7B64AF58"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A11C4C" w14:textId="3A41DBE7" w:rsidR="25C7BD8A" w:rsidRDefault="25C7BD8A" w:rsidP="278F9825">
            <w:pPr>
              <w:spacing w:line="240" w:lineRule="auto"/>
            </w:pPr>
            <w:r>
              <w:t>Ninaluumurru kinnine paigaldamine ja/või immobilisatsioon</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56986A" w14:textId="42515929" w:rsidR="7B075E89" w:rsidRDefault="7B075E89" w:rsidP="278F9825">
            <w:pPr>
              <w:spacing w:line="240" w:lineRule="auto"/>
              <w:jc w:val="center"/>
            </w:pPr>
            <w:r>
              <w:t>7330</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761355" w14:textId="2A2DFCB8" w:rsidR="00E911BA" w:rsidRDefault="00E911BA" w:rsidP="00086D4A">
            <w:pPr>
              <w:jc w:val="center"/>
              <w:rPr>
                <w:color w:val="000000" w:themeColor="text1"/>
              </w:rPr>
            </w:pPr>
          </w:p>
          <w:p w14:paraId="081AB6C2" w14:textId="5063208B" w:rsidR="01894BFC" w:rsidRDefault="00E911BA" w:rsidP="278F9825">
            <w:pPr>
              <w:jc w:val="center"/>
              <w:rPr>
                <w:color w:val="000000" w:themeColor="text1"/>
              </w:rPr>
            </w:pPr>
            <w:r w:rsidRPr="00E911BA">
              <w:rPr>
                <w:color w:val="000000" w:themeColor="text1"/>
              </w:rPr>
              <w:t>175,99</w:t>
            </w:r>
          </w:p>
        </w:tc>
      </w:tr>
      <w:tr w:rsidR="278F9825" w14:paraId="5A8101C3"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39EA50" w14:textId="5B160E46" w:rsidR="25C7BD8A" w:rsidRDefault="25C7BD8A" w:rsidP="278F9825">
            <w:pPr>
              <w:spacing w:line="240" w:lineRule="auto"/>
            </w:pPr>
            <w:r>
              <w:t>Konhotoomia</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6E9598" w14:textId="7A3108EC" w:rsidR="62D92178" w:rsidRDefault="62D92178" w:rsidP="278F9825">
            <w:pPr>
              <w:spacing w:line="240" w:lineRule="auto"/>
              <w:jc w:val="center"/>
            </w:pPr>
            <w:r>
              <w:t>7331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EC1524" w14:textId="77777777" w:rsidR="00E911BA" w:rsidRPr="00E911BA" w:rsidRDefault="00E911BA" w:rsidP="00E911BA">
            <w:pPr>
              <w:jc w:val="center"/>
              <w:rPr>
                <w:color w:val="000000" w:themeColor="text1"/>
              </w:rPr>
            </w:pPr>
            <w:r w:rsidRPr="00E911BA">
              <w:rPr>
                <w:color w:val="000000" w:themeColor="text1"/>
              </w:rPr>
              <w:t>177,44</w:t>
            </w:r>
          </w:p>
          <w:p w14:paraId="3BE5F2E0" w14:textId="0DE2A4CD" w:rsidR="76DC9E79" w:rsidRDefault="76DC9E79" w:rsidP="278F9825">
            <w:pPr>
              <w:jc w:val="center"/>
              <w:rPr>
                <w:color w:val="000000" w:themeColor="text1"/>
              </w:rPr>
            </w:pPr>
          </w:p>
        </w:tc>
      </w:tr>
      <w:tr w:rsidR="278F9825" w14:paraId="4F89CFF3"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AA27C4" w14:textId="6E6EBEBC" w:rsidR="25C7BD8A" w:rsidRDefault="25C7BD8A" w:rsidP="278F9825">
            <w:pPr>
              <w:spacing w:line="240" w:lineRule="auto"/>
            </w:pPr>
            <w:r>
              <w:t>Ninaõõnte polüpotoomia</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6F30B6" w14:textId="1B66BB90" w:rsidR="76420EEF" w:rsidRDefault="76420EEF" w:rsidP="278F9825">
            <w:pPr>
              <w:spacing w:line="240" w:lineRule="auto"/>
              <w:jc w:val="center"/>
            </w:pPr>
            <w:r>
              <w:t>7332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65B00" w14:textId="03780C97" w:rsidR="00E911BA" w:rsidRDefault="00E911BA" w:rsidP="00086D4A">
            <w:pPr>
              <w:jc w:val="center"/>
              <w:rPr>
                <w:color w:val="000000" w:themeColor="text1"/>
              </w:rPr>
            </w:pPr>
          </w:p>
          <w:p w14:paraId="7396E475" w14:textId="5A0980F4" w:rsidR="355E80E4" w:rsidRDefault="00E911BA" w:rsidP="278F9825">
            <w:pPr>
              <w:jc w:val="center"/>
              <w:rPr>
                <w:color w:val="000000" w:themeColor="text1"/>
              </w:rPr>
            </w:pPr>
            <w:r w:rsidRPr="00E911BA">
              <w:rPr>
                <w:color w:val="000000" w:themeColor="text1"/>
              </w:rPr>
              <w:t>196,11</w:t>
            </w:r>
          </w:p>
        </w:tc>
      </w:tr>
      <w:tr w:rsidR="278F9825" w14:paraId="3CE1296B"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15396E" w14:textId="04D97A13" w:rsidR="25C7BD8A" w:rsidRDefault="25C7BD8A" w:rsidP="278F9825">
            <w:pPr>
              <w:spacing w:line="240" w:lineRule="auto"/>
            </w:pPr>
            <w:r>
              <w:lastRenderedPageBreak/>
              <w:t>Suukaudne abstsessi dreenimine</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D03BE6" w14:textId="68A07E4D" w:rsidR="237D3EA6" w:rsidRDefault="237D3EA6" w:rsidP="278F9825">
            <w:pPr>
              <w:spacing w:line="240" w:lineRule="auto"/>
              <w:jc w:val="center"/>
            </w:pPr>
            <w:r>
              <w:t>7333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FA609F" w14:textId="01FD9025" w:rsidR="0041566A" w:rsidRDefault="0041566A" w:rsidP="00086D4A">
            <w:pPr>
              <w:jc w:val="center"/>
              <w:rPr>
                <w:color w:val="000000" w:themeColor="text1"/>
              </w:rPr>
            </w:pPr>
          </w:p>
          <w:p w14:paraId="07C09FF0" w14:textId="2979354B" w:rsidR="7BC27125" w:rsidRDefault="0041566A" w:rsidP="278F9825">
            <w:pPr>
              <w:jc w:val="center"/>
              <w:rPr>
                <w:color w:val="000000" w:themeColor="text1"/>
              </w:rPr>
            </w:pPr>
            <w:r w:rsidRPr="0041566A">
              <w:rPr>
                <w:color w:val="000000" w:themeColor="text1"/>
              </w:rPr>
              <w:t>237,75</w:t>
            </w:r>
          </w:p>
        </w:tc>
      </w:tr>
      <w:tr w:rsidR="278F9825" w14:paraId="7780017B"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7C99CA" w14:textId="4D45282A" w:rsidR="25C7BD8A" w:rsidRDefault="25C7BD8A" w:rsidP="278F9825">
            <w:pPr>
              <w:spacing w:line="240" w:lineRule="auto"/>
            </w:pPr>
            <w:r>
              <w:t>Ninavaheseina perforatsiooni sulgemine silikoonnööbiga</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3606E4" w14:textId="6CFFF803" w:rsidR="6EAB7C36" w:rsidRDefault="6EAB7C36" w:rsidP="278F9825">
            <w:pPr>
              <w:spacing w:line="240" w:lineRule="auto"/>
              <w:jc w:val="center"/>
            </w:pPr>
            <w:r>
              <w:t>7334</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2DCBC7" w14:textId="571A79AF" w:rsidR="00B44EFE" w:rsidRDefault="00B44EFE" w:rsidP="00086D4A">
            <w:pPr>
              <w:jc w:val="center"/>
              <w:rPr>
                <w:color w:val="000000" w:themeColor="text1"/>
              </w:rPr>
            </w:pPr>
          </w:p>
          <w:p w14:paraId="0A6933CA" w14:textId="67B67FCC" w:rsidR="0E233D81" w:rsidRDefault="00B44EFE" w:rsidP="278F9825">
            <w:pPr>
              <w:jc w:val="center"/>
              <w:rPr>
                <w:color w:val="000000" w:themeColor="text1"/>
              </w:rPr>
            </w:pPr>
            <w:r w:rsidRPr="00B44EFE">
              <w:rPr>
                <w:color w:val="000000" w:themeColor="text1"/>
              </w:rPr>
              <w:t>252,58</w:t>
            </w:r>
          </w:p>
        </w:tc>
      </w:tr>
      <w:tr w:rsidR="278F9825" w14:paraId="140ACF19"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E8DA8C" w14:textId="260EB28C" w:rsidR="3C8DDBD6" w:rsidRDefault="3C8DDBD6" w:rsidP="278F9825">
            <w:pPr>
              <w:spacing w:line="240" w:lineRule="auto"/>
            </w:pPr>
            <w:r>
              <w:t>Submukoosne konhotoomia</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48FDC8" w14:textId="73BC5C77" w:rsidR="133C1BDF" w:rsidRDefault="133C1BDF" w:rsidP="278F9825">
            <w:pPr>
              <w:spacing w:line="240" w:lineRule="auto"/>
              <w:jc w:val="center"/>
            </w:pPr>
            <w:r>
              <w:t>7335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EAAD8F" w14:textId="7F606C96" w:rsidR="0041566A" w:rsidRDefault="0041566A" w:rsidP="00086D4A">
            <w:pPr>
              <w:jc w:val="center"/>
              <w:rPr>
                <w:color w:val="000000" w:themeColor="text1"/>
              </w:rPr>
            </w:pPr>
          </w:p>
          <w:p w14:paraId="0644DABE" w14:textId="3A154C0F" w:rsidR="790A64B7" w:rsidRDefault="0041566A" w:rsidP="278F9825">
            <w:pPr>
              <w:jc w:val="center"/>
              <w:rPr>
                <w:color w:val="000000" w:themeColor="text1"/>
              </w:rPr>
            </w:pPr>
            <w:r w:rsidRPr="0041566A">
              <w:rPr>
                <w:color w:val="000000" w:themeColor="text1"/>
              </w:rPr>
              <w:t>316,09</w:t>
            </w:r>
          </w:p>
        </w:tc>
      </w:tr>
      <w:tr w:rsidR="278F9825" w14:paraId="13267FFF"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EBDB71" w14:textId="1FB7ECCB" w:rsidR="3C8DDBD6" w:rsidRDefault="3C8DDBD6" w:rsidP="278F9825">
            <w:pPr>
              <w:spacing w:line="240" w:lineRule="auto"/>
            </w:pPr>
            <w:r>
              <w:t>Võõrkeha eemaldamine ülemistest hingamisteedest menetlusendoskoopiaga</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0132AE" w14:textId="034F1436" w:rsidR="26555EF7" w:rsidRDefault="26555EF7" w:rsidP="278F9825">
            <w:pPr>
              <w:spacing w:line="240" w:lineRule="auto"/>
              <w:jc w:val="center"/>
            </w:pPr>
            <w:r>
              <w:t>7336</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68D5EA" w14:textId="7E78805C" w:rsidR="0041566A" w:rsidRDefault="0041566A" w:rsidP="00086D4A">
            <w:pPr>
              <w:jc w:val="center"/>
              <w:rPr>
                <w:color w:val="000000" w:themeColor="text1"/>
              </w:rPr>
            </w:pPr>
          </w:p>
          <w:p w14:paraId="0F490FE5" w14:textId="05EC8491" w:rsidR="7018CC93" w:rsidRDefault="0041566A" w:rsidP="278F9825">
            <w:pPr>
              <w:jc w:val="center"/>
              <w:rPr>
                <w:color w:val="000000" w:themeColor="text1"/>
              </w:rPr>
            </w:pPr>
            <w:r w:rsidRPr="0041566A">
              <w:rPr>
                <w:color w:val="000000" w:themeColor="text1"/>
              </w:rPr>
              <w:t>330,92</w:t>
            </w:r>
          </w:p>
        </w:tc>
      </w:tr>
      <w:tr w:rsidR="278F9825" w14:paraId="6C057B59"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5B094E" w14:textId="0F48C0EE" w:rsidR="3C8DDBD6" w:rsidRDefault="3C8DDBD6" w:rsidP="278F9825">
            <w:pPr>
              <w:spacing w:line="240" w:lineRule="auto"/>
            </w:pPr>
            <w:r>
              <w:t>Farüngo-ösofagotoomia</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9E8880" w14:textId="25C17CAC" w:rsidR="2F799D91" w:rsidRDefault="2F799D91" w:rsidP="278F9825">
            <w:pPr>
              <w:spacing w:line="240" w:lineRule="auto"/>
              <w:jc w:val="center"/>
            </w:pPr>
            <w:r>
              <w:t>7337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24B557" w14:textId="31032E99" w:rsidR="00B44EFE" w:rsidRDefault="00B44EFE" w:rsidP="00086D4A">
            <w:pPr>
              <w:jc w:val="center"/>
              <w:rPr>
                <w:color w:val="000000" w:themeColor="text1"/>
              </w:rPr>
            </w:pPr>
          </w:p>
          <w:p w14:paraId="5249F00E" w14:textId="79101497" w:rsidR="4050AA25" w:rsidRDefault="00B44EFE" w:rsidP="278F9825">
            <w:pPr>
              <w:jc w:val="center"/>
              <w:rPr>
                <w:color w:val="000000" w:themeColor="text1"/>
              </w:rPr>
            </w:pPr>
            <w:r w:rsidRPr="00B44EFE">
              <w:rPr>
                <w:color w:val="000000" w:themeColor="text1"/>
              </w:rPr>
              <w:t>449,35</w:t>
            </w:r>
          </w:p>
        </w:tc>
      </w:tr>
      <w:tr w:rsidR="278F9825" w14:paraId="2699C27F" w14:textId="77777777" w:rsidTr="009D64E7">
        <w:trPr>
          <w:divId w:val="1316184749"/>
          <w:trHeight w:val="300"/>
        </w:trPr>
        <w:tc>
          <w:tcPr>
            <w:tcW w:w="5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4F4748" w14:textId="2FC0800C" w:rsidR="3C8DDBD6" w:rsidRDefault="3C8DDBD6" w:rsidP="278F9825">
            <w:pPr>
              <w:spacing w:line="240" w:lineRule="auto"/>
            </w:pPr>
            <w:r>
              <w:t>Sisekõrva implantaadi programmeerimise kompleksteenus</w:t>
            </w:r>
          </w:p>
        </w:tc>
        <w:tc>
          <w:tcPr>
            <w:tcW w:w="2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2DD3EB" w14:textId="2B4217F8" w:rsidR="2718E140" w:rsidRDefault="2718E140" w:rsidP="278F9825">
            <w:pPr>
              <w:spacing w:line="240" w:lineRule="auto"/>
              <w:jc w:val="center"/>
            </w:pPr>
            <w:r>
              <w:t>7338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89ADF3" w14:textId="6E0CDF0A" w:rsidR="0009294E" w:rsidRDefault="0009294E" w:rsidP="00086D4A">
            <w:pPr>
              <w:jc w:val="center"/>
              <w:rPr>
                <w:color w:val="000000" w:themeColor="text1"/>
              </w:rPr>
            </w:pPr>
          </w:p>
          <w:p w14:paraId="7834748D" w14:textId="41C01324" w:rsidR="49C48C86" w:rsidRDefault="0009294E" w:rsidP="278F9825">
            <w:pPr>
              <w:jc w:val="center"/>
              <w:rPr>
                <w:color w:val="000000" w:themeColor="text1"/>
              </w:rPr>
            </w:pPr>
            <w:r w:rsidRPr="0009294E">
              <w:rPr>
                <w:color w:val="000000" w:themeColor="text1"/>
              </w:rPr>
              <w:t>867,21</w:t>
            </w:r>
          </w:p>
        </w:tc>
      </w:tr>
    </w:tbl>
    <w:p w14:paraId="33B63781" w14:textId="77777777" w:rsidR="00976487" w:rsidRPr="00687DE8" w:rsidRDefault="00976487" w:rsidP="00976487">
      <w:pPr>
        <w:spacing w:after="0" w:line="240" w:lineRule="auto"/>
        <w:jc w:val="both"/>
        <w:divId w:val="1316184749"/>
        <w:rPr>
          <w:szCs w:val="24"/>
        </w:rPr>
      </w:pPr>
    </w:p>
    <w:p w14:paraId="6B245C64" w14:textId="77777777" w:rsidR="00540B09" w:rsidRDefault="070830CA" w:rsidP="00976487">
      <w:pPr>
        <w:spacing w:after="0" w:line="240" w:lineRule="auto"/>
        <w:jc w:val="both"/>
        <w:divId w:val="1316184749"/>
      </w:pPr>
      <w:r>
        <w:t xml:space="preserve">(2) </w:t>
      </w:r>
      <w:r w:rsidR="7FA905F6">
        <w:t>Tervisekassa</w:t>
      </w:r>
      <w:r>
        <w:t xml:space="preserve"> võtab koodiga 73</w:t>
      </w:r>
      <w:r w:rsidR="4E458D91">
        <w:t>38</w:t>
      </w:r>
      <w:r>
        <w:t xml:space="preserve"> tähistatud tervishoiuteenuse eest tasu maksmise kohustuse üle esimesel aastal pärast </w:t>
      </w:r>
      <w:r w:rsidR="63F4E208">
        <w:t xml:space="preserve">sisekõrva implantaadi </w:t>
      </w:r>
      <w:r>
        <w:t xml:space="preserve">paigaldamist kuni kaheksa korda, teisel aastal kuni kuus korda ja kolmandal aastal kuni kolm korda. Alates neljandast aastast võtab </w:t>
      </w:r>
      <w:r w:rsidR="7FA905F6">
        <w:t>Tervisekassa</w:t>
      </w:r>
      <w:r>
        <w:t xml:space="preserve"> tasu maksmise kohustuse üle üks kord aastas, rakendades piirhinda koefitsiendiga 0,5.</w:t>
      </w:r>
    </w:p>
    <w:p w14:paraId="368B1953" w14:textId="77777777" w:rsidR="00540B09" w:rsidRDefault="00540B09" w:rsidP="00976487">
      <w:pPr>
        <w:spacing w:after="0" w:line="240" w:lineRule="auto"/>
        <w:jc w:val="both"/>
        <w:divId w:val="1316184749"/>
      </w:pPr>
    </w:p>
    <w:p w14:paraId="47F0AED9" w14:textId="77777777" w:rsidR="00E5439F" w:rsidRDefault="466EBBF5" w:rsidP="00E5439F">
      <w:pPr>
        <w:spacing w:after="0" w:line="240" w:lineRule="auto"/>
        <w:jc w:val="both"/>
        <w:divId w:val="1316184749"/>
      </w:pPr>
      <w:r>
        <w:t xml:space="preserve">(3) </w:t>
      </w:r>
      <w:r w:rsidR="00E5439F" w:rsidRPr="008E44DC">
        <w:t xml:space="preserve">Tervisekassa võtab </w:t>
      </w:r>
      <w:r w:rsidR="00E5439F">
        <w:t xml:space="preserve">iga </w:t>
      </w:r>
      <w:r w:rsidR="00E5439F" w:rsidRPr="008E44DC">
        <w:t xml:space="preserve">lõikes 1 nimetatud tervishoiuteenuse eest </w:t>
      </w:r>
      <w:r w:rsidR="00E5439F">
        <w:t xml:space="preserve">tasu maksmise kohustuse üle kõige </w:t>
      </w:r>
      <w:r w:rsidR="00E5439F" w:rsidRPr="008E44DC">
        <w:t>rohkem üks kord päevas</w:t>
      </w:r>
      <w:r w:rsidR="00E5439F">
        <w:t xml:space="preserve"> ühe patsiendi kohta</w:t>
      </w:r>
      <w:r w:rsidR="00E5439F" w:rsidRPr="008E44DC">
        <w:t>.</w:t>
      </w:r>
    </w:p>
    <w:p w14:paraId="0A74443F" w14:textId="77777777" w:rsidR="002B53D1" w:rsidRPr="00687DE8" w:rsidRDefault="002B53D1" w:rsidP="00976487">
      <w:pPr>
        <w:spacing w:after="0" w:line="240" w:lineRule="auto"/>
        <w:jc w:val="both"/>
        <w:divId w:val="1316184749"/>
      </w:pPr>
    </w:p>
    <w:p w14:paraId="0A24A183" w14:textId="149681AC" w:rsidR="62D44E19" w:rsidRDefault="6717B582" w:rsidP="00802CC4">
      <w:pPr>
        <w:pStyle w:val="Loendilik"/>
        <w:spacing w:after="0" w:line="240" w:lineRule="auto"/>
        <w:ind w:left="0"/>
        <w:jc w:val="both"/>
      </w:pPr>
      <w:r>
        <w:t>(</w:t>
      </w:r>
      <w:r w:rsidR="00DF7356">
        <w:t>4</w:t>
      </w:r>
      <w:r>
        <w:t>)</w:t>
      </w:r>
      <w:r w:rsidR="3CC4AE26">
        <w:t xml:space="preserve"> </w:t>
      </w:r>
      <w:r w:rsidR="00802CC4">
        <w:t xml:space="preserve">Koodiga </w:t>
      </w:r>
      <w:r w:rsidR="3CC4AE26">
        <w:t xml:space="preserve">7321 </w:t>
      </w:r>
      <w:r w:rsidR="32D140EB">
        <w:t>tähistatud tervishoiuteenuse piirhind sisaldab järgmisi tegevusi:</w:t>
      </w:r>
      <w:r w:rsidR="4AE61E56" w:rsidRPr="2DB43EF9">
        <w:t xml:space="preserve"> uuringu tegemine DICOM</w:t>
      </w:r>
      <w:r w:rsidR="00475D2C">
        <w:t>-</w:t>
      </w:r>
      <w:r w:rsidR="4AE61E56" w:rsidRPr="2DB43EF9">
        <w:t xml:space="preserve">standardile </w:t>
      </w:r>
      <w:r w:rsidR="17B91028">
        <w:t xml:space="preserve">ja meditsiiniseadme nõuetele </w:t>
      </w:r>
      <w:r w:rsidR="4AE61E56" w:rsidRPr="2DB43EF9">
        <w:t xml:space="preserve">vastava videovõimekusega </w:t>
      </w:r>
      <w:r w:rsidR="3710747B">
        <w:t>meditsiini</w:t>
      </w:r>
      <w:r w:rsidR="4AE61E56">
        <w:t>seadmega</w:t>
      </w:r>
      <w:r w:rsidR="4AE61E56" w:rsidRPr="2DB43EF9">
        <w:t>, tulemuse kirjeldamine ravidokumendis ja uuringutulemuse arhiveerimine Sihtasutuses Eesti Tervishoiu Pildipank.</w:t>
      </w:r>
    </w:p>
    <w:p w14:paraId="4028FE13" w14:textId="77777777" w:rsidR="00BA6BD7" w:rsidRDefault="00BA6BD7" w:rsidP="31C6E2DF">
      <w:pPr>
        <w:spacing w:after="0" w:line="240" w:lineRule="auto"/>
        <w:jc w:val="both"/>
      </w:pPr>
    </w:p>
    <w:p w14:paraId="4D4EE013" w14:textId="682533EA" w:rsidR="4F145300" w:rsidRDefault="50F975B1" w:rsidP="31C6E2DF">
      <w:pPr>
        <w:spacing w:after="0" w:line="240" w:lineRule="auto"/>
        <w:jc w:val="both"/>
      </w:pPr>
      <w:r>
        <w:t xml:space="preserve">(5) </w:t>
      </w:r>
      <w:r w:rsidR="00963931" w:rsidRPr="00963931">
        <w:t xml:space="preserve">Koodiga </w:t>
      </w:r>
      <w:r w:rsidR="00963931">
        <w:t>6418</w:t>
      </w:r>
      <w:r w:rsidR="00963931" w:rsidRPr="00963931">
        <w:t xml:space="preserve"> tähistatud tervishoiuteenust ei rakendata koos koodiga </w:t>
      </w:r>
      <w:r w:rsidR="00963931">
        <w:t>64</w:t>
      </w:r>
      <w:r w:rsidR="00892204">
        <w:t>25</w:t>
      </w:r>
      <w:r w:rsidR="00963931" w:rsidRPr="00963931">
        <w:t xml:space="preserve"> tähistatud tervishoiuteenusega.</w:t>
      </w:r>
      <w:r>
        <w:t xml:space="preserve"> </w:t>
      </w:r>
    </w:p>
    <w:p w14:paraId="00789FED" w14:textId="7594261E" w:rsidR="31C6E2DF" w:rsidRDefault="31C6E2DF" w:rsidP="31C6E2DF">
      <w:pPr>
        <w:spacing w:after="0" w:line="240" w:lineRule="auto"/>
        <w:jc w:val="both"/>
      </w:pPr>
    </w:p>
    <w:p w14:paraId="3CCF2042" w14:textId="4478736C" w:rsidR="4F145300" w:rsidRDefault="4F145300" w:rsidP="31C6E2DF">
      <w:pPr>
        <w:spacing w:after="0" w:line="240" w:lineRule="auto"/>
        <w:jc w:val="both"/>
      </w:pPr>
      <w:r>
        <w:t>(6)</w:t>
      </w:r>
      <w:r w:rsidR="00892204">
        <w:t xml:space="preserve"> </w:t>
      </w:r>
      <w:r w:rsidR="00892204" w:rsidRPr="00892204">
        <w:t xml:space="preserve">Koodiga </w:t>
      </w:r>
      <w:r w:rsidR="00892204">
        <w:t>6426</w:t>
      </w:r>
      <w:r w:rsidR="00892204" w:rsidRPr="00892204">
        <w:t xml:space="preserve"> tähistatud tervishoiuteenust ei rakendata koos koodiga </w:t>
      </w:r>
      <w:r w:rsidR="00892204">
        <w:t>6433</w:t>
      </w:r>
      <w:r w:rsidR="00892204" w:rsidRPr="00892204">
        <w:t xml:space="preserve"> tähistatud tervishoiuteenusega.</w:t>
      </w:r>
    </w:p>
    <w:p w14:paraId="2A8FBC8F" w14:textId="40773971" w:rsidR="31C6E2DF" w:rsidRDefault="31C6E2DF" w:rsidP="31C6E2DF">
      <w:pPr>
        <w:spacing w:after="0" w:line="240" w:lineRule="auto"/>
        <w:jc w:val="both"/>
      </w:pPr>
    </w:p>
    <w:p w14:paraId="74FA19E8" w14:textId="40DCEEE2" w:rsidR="4F145300" w:rsidRDefault="50F975B1" w:rsidP="31C6E2DF">
      <w:pPr>
        <w:spacing w:after="0" w:line="240" w:lineRule="auto"/>
        <w:jc w:val="both"/>
      </w:pPr>
      <w:r>
        <w:t>(7) Koodidega 7323, 7324, 7326</w:t>
      </w:r>
      <w:r w:rsidR="00BC7190">
        <w:t xml:space="preserve"> </w:t>
      </w:r>
      <w:r w:rsidR="002B1C96">
        <w:t>ja</w:t>
      </w:r>
      <w:r>
        <w:t xml:space="preserve"> 7327 tähistatud tervishoiuteenuseid ei rakendata </w:t>
      </w:r>
      <w:r w:rsidR="00F3257A">
        <w:t>samal ajal.</w:t>
      </w:r>
    </w:p>
    <w:p w14:paraId="520AC422" w14:textId="6E0F5E68" w:rsidR="31C6E2DF" w:rsidRDefault="31C6E2DF" w:rsidP="31C6E2DF">
      <w:pPr>
        <w:spacing w:after="0" w:line="240" w:lineRule="auto"/>
        <w:jc w:val="both"/>
      </w:pPr>
    </w:p>
    <w:p w14:paraId="2A23A589" w14:textId="31A2B04E" w:rsidR="4F145300" w:rsidRDefault="50F975B1" w:rsidP="31C6E2DF">
      <w:pPr>
        <w:spacing w:after="0" w:line="240" w:lineRule="auto"/>
        <w:jc w:val="both"/>
      </w:pPr>
      <w:r>
        <w:t>(8) Koodidega</w:t>
      </w:r>
      <w:r w:rsidR="3CC56325">
        <w:t xml:space="preserve"> </w:t>
      </w:r>
      <w:r w:rsidR="7B205F01">
        <w:t xml:space="preserve">7324, </w:t>
      </w:r>
      <w:r>
        <w:t>7331</w:t>
      </w:r>
      <w:r w:rsidR="00A97BF0">
        <w:t xml:space="preserve"> </w:t>
      </w:r>
      <w:r w:rsidR="002B1C96">
        <w:t>ja</w:t>
      </w:r>
      <w:r>
        <w:t xml:space="preserve"> 7335 tähistatud tervishoiuteenuseid ei rakendata </w:t>
      </w:r>
      <w:r w:rsidR="00F3257A">
        <w:t>samal ajal</w:t>
      </w:r>
      <w:r>
        <w:t>.</w:t>
      </w:r>
    </w:p>
    <w:p w14:paraId="6CFD5366" w14:textId="2CAC03F5" w:rsidR="31C6E2DF" w:rsidRDefault="31C6E2DF" w:rsidP="31C6E2DF">
      <w:pPr>
        <w:spacing w:after="0" w:line="240" w:lineRule="auto"/>
        <w:jc w:val="both"/>
      </w:pPr>
    </w:p>
    <w:p w14:paraId="03FA1475" w14:textId="79883727" w:rsidR="4F145300" w:rsidRDefault="50F975B1" w:rsidP="31C6E2DF">
      <w:pPr>
        <w:spacing w:after="0" w:line="240" w:lineRule="auto"/>
        <w:jc w:val="both"/>
      </w:pPr>
      <w:r>
        <w:lastRenderedPageBreak/>
        <w:t>(9) Koodidega 7320, 7321, 6434</w:t>
      </w:r>
      <w:r w:rsidR="00A97BF0">
        <w:t xml:space="preserve"> </w:t>
      </w:r>
      <w:r w:rsidR="002B1C96">
        <w:t>ja</w:t>
      </w:r>
      <w:r>
        <w:t xml:space="preserve"> 7336 tähistatud tervishoiuteenuseid ei rakendata </w:t>
      </w:r>
      <w:r w:rsidR="00F3257A">
        <w:t>samal ajal</w:t>
      </w:r>
      <w:r>
        <w:t>.</w:t>
      </w:r>
    </w:p>
    <w:p w14:paraId="320423DE" w14:textId="68010A90" w:rsidR="0FE4C6FF" w:rsidRDefault="0FE4C6FF" w:rsidP="0FE4C6FF">
      <w:pPr>
        <w:spacing w:after="0" w:line="240" w:lineRule="auto"/>
        <w:jc w:val="both"/>
      </w:pPr>
    </w:p>
    <w:p w14:paraId="7E9CDCBC" w14:textId="28B4F054" w:rsidR="638021CC" w:rsidRDefault="638021CC" w:rsidP="007C054E">
      <w:pPr>
        <w:spacing w:after="0" w:line="240" w:lineRule="auto"/>
        <w:jc w:val="both"/>
        <w:rPr>
          <w:szCs w:val="24"/>
        </w:rPr>
      </w:pPr>
      <w:r w:rsidRPr="0FE4C6FF">
        <w:rPr>
          <w:szCs w:val="24"/>
        </w:rPr>
        <w:t>(10)</w:t>
      </w:r>
      <w:r w:rsidR="00BA6BD7">
        <w:rPr>
          <w:szCs w:val="24"/>
        </w:rPr>
        <w:t xml:space="preserve"> </w:t>
      </w:r>
      <w:r w:rsidR="00A97BF0" w:rsidRPr="00A97BF0">
        <w:rPr>
          <w:szCs w:val="24"/>
        </w:rPr>
        <w:t>Koodiga 732</w:t>
      </w:r>
      <w:r w:rsidR="00A97BF0">
        <w:rPr>
          <w:szCs w:val="24"/>
        </w:rPr>
        <w:t>6</w:t>
      </w:r>
      <w:r w:rsidR="00A97BF0" w:rsidRPr="00A97BF0">
        <w:rPr>
          <w:szCs w:val="24"/>
        </w:rPr>
        <w:t xml:space="preserve"> tähistatud tervishoiuteenust ei rakendata koos koodiga 73</w:t>
      </w:r>
      <w:r w:rsidR="00A97BF0">
        <w:rPr>
          <w:szCs w:val="24"/>
        </w:rPr>
        <w:t>33</w:t>
      </w:r>
      <w:r w:rsidR="00A97BF0" w:rsidRPr="00A97BF0">
        <w:rPr>
          <w:szCs w:val="24"/>
        </w:rPr>
        <w:t xml:space="preserve"> tähistatud tervishoiuteenusega.</w:t>
      </w:r>
    </w:p>
    <w:p w14:paraId="755A875E" w14:textId="68C17B6F" w:rsidR="0FE4C6FF" w:rsidRDefault="0FE4C6FF" w:rsidP="0FE4C6FF">
      <w:pPr>
        <w:spacing w:after="0" w:line="240" w:lineRule="auto"/>
        <w:jc w:val="both"/>
        <w:rPr>
          <w:szCs w:val="24"/>
        </w:rPr>
      </w:pPr>
    </w:p>
    <w:p w14:paraId="4DBE356C" w14:textId="67BD2835" w:rsidR="4D988716" w:rsidRDefault="4D988716" w:rsidP="007C054E">
      <w:pPr>
        <w:spacing w:after="0" w:line="240" w:lineRule="auto"/>
        <w:jc w:val="both"/>
        <w:rPr>
          <w:szCs w:val="24"/>
        </w:rPr>
      </w:pPr>
      <w:r w:rsidRPr="0FE4C6FF">
        <w:rPr>
          <w:szCs w:val="24"/>
        </w:rPr>
        <w:t>(11) Koodiga 7336 tähistatud tervishoiuteenust ei rakendata koos koodidega</w:t>
      </w:r>
      <w:r w:rsidR="23650AF3" w:rsidRPr="0FE4C6FF">
        <w:rPr>
          <w:szCs w:val="24"/>
        </w:rPr>
        <w:t xml:space="preserve"> </w:t>
      </w:r>
      <w:r w:rsidRPr="0FE4C6FF">
        <w:rPr>
          <w:szCs w:val="24"/>
        </w:rPr>
        <w:t>7320, 7321, 7327</w:t>
      </w:r>
      <w:r w:rsidR="00397159">
        <w:rPr>
          <w:szCs w:val="24"/>
        </w:rPr>
        <w:t xml:space="preserve"> </w:t>
      </w:r>
      <w:r w:rsidR="002B1C96">
        <w:rPr>
          <w:szCs w:val="24"/>
        </w:rPr>
        <w:t>ja</w:t>
      </w:r>
      <w:r w:rsidRPr="0FE4C6FF">
        <w:rPr>
          <w:szCs w:val="24"/>
        </w:rPr>
        <w:t xml:space="preserve"> 6434</w:t>
      </w:r>
      <w:r w:rsidR="2BA3787E" w:rsidRPr="0FE4C6FF">
        <w:rPr>
          <w:szCs w:val="24"/>
        </w:rPr>
        <w:t xml:space="preserve"> tähistatud tervishoiuteenustega.</w:t>
      </w:r>
      <w:r w:rsidRPr="0FE4C6FF">
        <w:rPr>
          <w:szCs w:val="24"/>
        </w:rPr>
        <w:t xml:space="preserve"> </w:t>
      </w:r>
    </w:p>
    <w:p w14:paraId="2331426E" w14:textId="6449AE76" w:rsidR="31C6E2DF" w:rsidRDefault="31C6E2DF" w:rsidP="31C6E2DF">
      <w:pPr>
        <w:spacing w:after="0" w:line="240" w:lineRule="auto"/>
        <w:jc w:val="both"/>
      </w:pPr>
    </w:p>
    <w:p w14:paraId="4F146446" w14:textId="4AB666DE" w:rsidR="4F145300" w:rsidRDefault="50F975B1" w:rsidP="31C6E2DF">
      <w:pPr>
        <w:spacing w:after="0" w:line="240" w:lineRule="auto"/>
        <w:jc w:val="both"/>
      </w:pPr>
      <w:r>
        <w:t>(1</w:t>
      </w:r>
      <w:r w:rsidR="43DD4682">
        <w:t>2</w:t>
      </w:r>
      <w:r>
        <w:t>)</w:t>
      </w:r>
      <w:r w:rsidR="54DDC930">
        <w:t xml:space="preserve"> </w:t>
      </w:r>
      <w:r>
        <w:t>Koodiga 7338 tähistatud tervishoiuteenust ei rakendata koos koodidega</w:t>
      </w:r>
      <w:r w:rsidR="00D152BC">
        <w:t xml:space="preserve"> </w:t>
      </w:r>
      <w:r>
        <w:t>6417, 6418, 6421, 6422, 6424, 6425, 6426, 6428, 6429, 6432, 6433, 6435</w:t>
      </w:r>
      <w:r w:rsidR="00F21E58">
        <w:t xml:space="preserve"> </w:t>
      </w:r>
      <w:r w:rsidR="002B1C96">
        <w:t>ja</w:t>
      </w:r>
      <w:r>
        <w:t xml:space="preserve"> 7328 tähistatud tervishoiuteenustega.</w:t>
      </w:r>
    </w:p>
    <w:p w14:paraId="670AE80B" w14:textId="77777777" w:rsidR="00976487" w:rsidRPr="00687DE8" w:rsidRDefault="00976487" w:rsidP="00976487">
      <w:pPr>
        <w:spacing w:after="0" w:line="240" w:lineRule="auto"/>
        <w:jc w:val="both"/>
        <w:outlineLvl w:val="2"/>
        <w:divId w:val="1316184749"/>
        <w:rPr>
          <w:b/>
          <w:bCs/>
          <w:szCs w:val="24"/>
        </w:rPr>
      </w:pPr>
    </w:p>
    <w:p w14:paraId="2874D46D" w14:textId="77777777" w:rsidR="00976487" w:rsidRDefault="00976487" w:rsidP="00976487">
      <w:pPr>
        <w:spacing w:after="0" w:line="240" w:lineRule="auto"/>
        <w:jc w:val="both"/>
        <w:outlineLvl w:val="2"/>
        <w:divId w:val="1316184749"/>
        <w:rPr>
          <w:b/>
          <w:szCs w:val="24"/>
        </w:rPr>
      </w:pPr>
      <w:r w:rsidRPr="00687DE8">
        <w:rPr>
          <w:b/>
          <w:szCs w:val="24"/>
        </w:rPr>
        <w:t>§ 3</w:t>
      </w:r>
      <w:r w:rsidR="00296746" w:rsidRPr="00687DE8">
        <w:rPr>
          <w:b/>
          <w:szCs w:val="24"/>
        </w:rPr>
        <w:t>5</w:t>
      </w:r>
      <w:r w:rsidRPr="00687DE8">
        <w:rPr>
          <w:b/>
          <w:szCs w:val="24"/>
        </w:rPr>
        <w:t>. Sünnitusabi, günekoloogiliste uuringute ja protseduuride, viljatusravi protseduuride ning viljakust säilitavate protseduuride piirhinnad</w:t>
      </w:r>
    </w:p>
    <w:p w14:paraId="281F6CE0" w14:textId="77777777" w:rsidR="009D7EAA" w:rsidRDefault="009D7EAA" w:rsidP="00976487">
      <w:pPr>
        <w:spacing w:after="0" w:line="240" w:lineRule="auto"/>
        <w:jc w:val="both"/>
        <w:divId w:val="1316184749"/>
        <w:rPr>
          <w:szCs w:val="24"/>
        </w:rPr>
      </w:pPr>
    </w:p>
    <w:p w14:paraId="250618B0" w14:textId="25542515" w:rsidR="00976487" w:rsidRPr="00687DE8" w:rsidRDefault="00976487" w:rsidP="00976487">
      <w:pPr>
        <w:spacing w:after="0" w:line="240" w:lineRule="auto"/>
        <w:jc w:val="both"/>
        <w:divId w:val="1316184749"/>
        <w:rPr>
          <w:szCs w:val="24"/>
        </w:rPr>
      </w:pPr>
      <w:r w:rsidRPr="00687DE8">
        <w:rPr>
          <w:szCs w:val="24"/>
        </w:rPr>
        <w:t>(1) Sünnitusabi ning günekoloogiliste uuringute ja protseduuride piirhinnad on järgmised:</w:t>
      </w:r>
    </w:p>
    <w:p w14:paraId="75EDEF87"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9"/>
        <w:gridCol w:w="1053"/>
        <w:gridCol w:w="1623"/>
      </w:tblGrid>
      <w:tr w:rsidR="00976487" w:rsidRPr="00687DE8" w14:paraId="2164863F" w14:textId="77777777" w:rsidTr="007935D7">
        <w:trPr>
          <w:divId w:val="1316184749"/>
          <w:tblHeader/>
        </w:trPr>
        <w:tc>
          <w:tcPr>
            <w:tcW w:w="6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0AF4D8" w14:textId="77777777" w:rsidR="00976487" w:rsidRPr="00687DE8" w:rsidRDefault="00976487">
            <w:pPr>
              <w:spacing w:after="0" w:line="240" w:lineRule="auto"/>
              <w:jc w:val="center"/>
              <w:rPr>
                <w:szCs w:val="24"/>
              </w:rPr>
            </w:pPr>
            <w:r w:rsidRPr="00687DE8">
              <w:rPr>
                <w:b/>
                <w:szCs w:val="24"/>
              </w:rPr>
              <w:t>Tervishoiuteenuse nimetus</w:t>
            </w:r>
          </w:p>
        </w:tc>
        <w:tc>
          <w:tcPr>
            <w:tcW w:w="10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5FE466" w14:textId="77777777" w:rsidR="00976487" w:rsidRPr="00687DE8" w:rsidRDefault="00976487">
            <w:pPr>
              <w:spacing w:after="0" w:line="240" w:lineRule="auto"/>
              <w:jc w:val="center"/>
              <w:rPr>
                <w:szCs w:val="24"/>
              </w:rPr>
            </w:pPr>
            <w:r w:rsidRPr="00687DE8">
              <w:rPr>
                <w:b/>
                <w:szCs w:val="24"/>
              </w:rPr>
              <w:t>Kood</w:t>
            </w:r>
          </w:p>
        </w:tc>
        <w:tc>
          <w:tcPr>
            <w:tcW w:w="16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CA0667"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CC6861" w:rsidRPr="00687DE8" w14:paraId="363D7B61" w14:textId="77777777" w:rsidTr="00934CCC">
        <w:trPr>
          <w:divId w:val="1316184749"/>
          <w:trHeight w:val="300"/>
        </w:trPr>
        <w:tc>
          <w:tcPr>
            <w:tcW w:w="6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7ED6C9" w14:textId="77777777" w:rsidR="00CC6861" w:rsidRPr="00687DE8" w:rsidRDefault="00CC6861" w:rsidP="00CC6861">
            <w:pPr>
              <w:spacing w:after="0" w:line="240" w:lineRule="auto"/>
              <w:rPr>
                <w:szCs w:val="24"/>
              </w:rPr>
            </w:pPr>
            <w:r w:rsidRPr="00687DE8">
              <w:rPr>
                <w:szCs w:val="24"/>
              </w:rPr>
              <w:t>Emakakaela koagulatsioon/krüo</w:t>
            </w:r>
          </w:p>
        </w:tc>
        <w:tc>
          <w:tcPr>
            <w:tcW w:w="10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02A3D4" w14:textId="77777777" w:rsidR="00CC6861" w:rsidRPr="00687DE8" w:rsidRDefault="00CC6861" w:rsidP="00CC6861">
            <w:pPr>
              <w:spacing w:after="0" w:line="240" w:lineRule="auto"/>
              <w:jc w:val="center"/>
              <w:rPr>
                <w:szCs w:val="24"/>
              </w:rPr>
            </w:pPr>
            <w:r w:rsidRPr="00687DE8">
              <w:rPr>
                <w:szCs w:val="24"/>
              </w:rPr>
              <w:t>7351</w:t>
            </w:r>
          </w:p>
        </w:tc>
        <w:tc>
          <w:tcPr>
            <w:tcW w:w="16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9F600F" w14:textId="7ED5817C" w:rsidR="2E1E8EE1" w:rsidRPr="00687DE8" w:rsidRDefault="0009294E">
            <w:pPr>
              <w:spacing w:after="0"/>
              <w:jc w:val="center"/>
              <w:rPr>
                <w:color w:val="000000" w:themeColor="text1"/>
                <w:szCs w:val="24"/>
              </w:rPr>
            </w:pPr>
            <w:r>
              <w:rPr>
                <w:color w:val="000000"/>
              </w:rPr>
              <w:t>87,70</w:t>
            </w:r>
          </w:p>
        </w:tc>
      </w:tr>
      <w:tr w:rsidR="00CC6861" w:rsidRPr="00687DE8" w14:paraId="4D372A22" w14:textId="77777777" w:rsidTr="00934CCC">
        <w:trPr>
          <w:divId w:val="1316184749"/>
          <w:trHeight w:val="300"/>
        </w:trPr>
        <w:tc>
          <w:tcPr>
            <w:tcW w:w="6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B31A77" w14:textId="77777777" w:rsidR="00CC6861" w:rsidRPr="00687DE8" w:rsidRDefault="00CC6861" w:rsidP="00CC6861">
            <w:pPr>
              <w:spacing w:after="0" w:line="240" w:lineRule="auto"/>
              <w:rPr>
                <w:szCs w:val="24"/>
              </w:rPr>
            </w:pPr>
            <w:r w:rsidRPr="00687DE8">
              <w:rPr>
                <w:szCs w:val="24"/>
              </w:rPr>
              <w:t>Emakasisese vahendi paigaldamine / instrumentaalne väljutamine, emakakaela laiendamine</w:t>
            </w:r>
          </w:p>
        </w:tc>
        <w:tc>
          <w:tcPr>
            <w:tcW w:w="10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0B4C74" w14:textId="77777777" w:rsidR="00CC6861" w:rsidRPr="00687DE8" w:rsidRDefault="00CC6861" w:rsidP="00CC6861">
            <w:pPr>
              <w:spacing w:after="0" w:line="240" w:lineRule="auto"/>
              <w:jc w:val="center"/>
              <w:rPr>
                <w:szCs w:val="24"/>
              </w:rPr>
            </w:pPr>
          </w:p>
          <w:p w14:paraId="5D80D67B" w14:textId="77777777" w:rsidR="00CC6861" w:rsidRPr="00687DE8" w:rsidRDefault="00CC6861" w:rsidP="00CC6861">
            <w:pPr>
              <w:spacing w:after="0" w:line="240" w:lineRule="auto"/>
              <w:jc w:val="center"/>
              <w:rPr>
                <w:szCs w:val="24"/>
              </w:rPr>
            </w:pPr>
            <w:r w:rsidRPr="00687DE8">
              <w:rPr>
                <w:szCs w:val="24"/>
              </w:rPr>
              <w:t>7352</w:t>
            </w:r>
          </w:p>
        </w:tc>
        <w:tc>
          <w:tcPr>
            <w:tcW w:w="16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F3FE3F" w14:textId="5FD55FD1" w:rsidR="2E1E8EE1" w:rsidRPr="00687DE8" w:rsidRDefault="0009294E">
            <w:pPr>
              <w:spacing w:after="0"/>
              <w:jc w:val="center"/>
              <w:rPr>
                <w:color w:val="000000" w:themeColor="text1"/>
                <w:szCs w:val="24"/>
              </w:rPr>
            </w:pPr>
            <w:r>
              <w:rPr>
                <w:color w:val="000000"/>
              </w:rPr>
              <w:t>67,88</w:t>
            </w:r>
          </w:p>
        </w:tc>
      </w:tr>
      <w:tr w:rsidR="00CC6861" w:rsidRPr="00687DE8" w14:paraId="18AC0CAC" w14:textId="77777777" w:rsidTr="00934CCC">
        <w:trPr>
          <w:divId w:val="1316184749"/>
          <w:trHeight w:val="300"/>
        </w:trPr>
        <w:tc>
          <w:tcPr>
            <w:tcW w:w="6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584772" w14:textId="77777777" w:rsidR="00CC6861" w:rsidRPr="00687DE8" w:rsidRDefault="00CC6861" w:rsidP="00CC6861">
            <w:pPr>
              <w:spacing w:after="0" w:line="240" w:lineRule="auto"/>
              <w:rPr>
                <w:szCs w:val="24"/>
              </w:rPr>
            </w:pPr>
            <w:r w:rsidRPr="00687DE8">
              <w:rPr>
                <w:szCs w:val="24"/>
              </w:rPr>
              <w:t>Amnioinfusioon</w:t>
            </w:r>
          </w:p>
        </w:tc>
        <w:tc>
          <w:tcPr>
            <w:tcW w:w="10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B9CC3C" w14:textId="77777777" w:rsidR="00CC6861" w:rsidRPr="00687DE8" w:rsidRDefault="00CC6861" w:rsidP="00CC6861">
            <w:pPr>
              <w:spacing w:after="0" w:line="240" w:lineRule="auto"/>
              <w:jc w:val="center"/>
              <w:rPr>
                <w:szCs w:val="24"/>
              </w:rPr>
            </w:pPr>
            <w:r w:rsidRPr="00687DE8">
              <w:rPr>
                <w:szCs w:val="24"/>
              </w:rPr>
              <w:t>7355</w:t>
            </w:r>
          </w:p>
        </w:tc>
        <w:tc>
          <w:tcPr>
            <w:tcW w:w="16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A9EED2" w14:textId="17C9B2D0" w:rsidR="2E1E8EE1" w:rsidRPr="00687DE8" w:rsidRDefault="0009294E">
            <w:pPr>
              <w:spacing w:after="0"/>
              <w:jc w:val="center"/>
              <w:rPr>
                <w:color w:val="000000" w:themeColor="text1"/>
                <w:szCs w:val="24"/>
              </w:rPr>
            </w:pPr>
            <w:r>
              <w:rPr>
                <w:color w:val="000000"/>
              </w:rPr>
              <w:t>497,38</w:t>
            </w:r>
          </w:p>
        </w:tc>
      </w:tr>
      <w:tr w:rsidR="00CC6861" w:rsidRPr="00687DE8" w14:paraId="20D07DDE" w14:textId="77777777" w:rsidTr="00934CCC">
        <w:trPr>
          <w:divId w:val="1316184749"/>
          <w:trHeight w:val="300"/>
        </w:trPr>
        <w:tc>
          <w:tcPr>
            <w:tcW w:w="6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6ED79C" w14:textId="77777777" w:rsidR="00CC6861" w:rsidRPr="00687DE8" w:rsidRDefault="00CC6861" w:rsidP="00CC6861">
            <w:pPr>
              <w:spacing w:after="0" w:line="240" w:lineRule="auto"/>
              <w:rPr>
                <w:szCs w:val="24"/>
              </w:rPr>
            </w:pPr>
            <w:r w:rsidRPr="00687DE8">
              <w:rPr>
                <w:szCs w:val="24"/>
              </w:rPr>
              <w:t>Loote välispööre pea peale</w:t>
            </w:r>
          </w:p>
        </w:tc>
        <w:tc>
          <w:tcPr>
            <w:tcW w:w="10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524D33" w14:textId="77777777" w:rsidR="00CC6861" w:rsidRPr="00687DE8" w:rsidRDefault="00CC6861" w:rsidP="00CC6861">
            <w:pPr>
              <w:spacing w:after="0" w:line="240" w:lineRule="auto"/>
              <w:jc w:val="center"/>
              <w:rPr>
                <w:szCs w:val="24"/>
              </w:rPr>
            </w:pPr>
            <w:r w:rsidRPr="00687DE8">
              <w:rPr>
                <w:szCs w:val="24"/>
              </w:rPr>
              <w:t>7356</w:t>
            </w:r>
          </w:p>
        </w:tc>
        <w:tc>
          <w:tcPr>
            <w:tcW w:w="16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3B079A" w14:textId="2FDD9FE5" w:rsidR="2E1E8EE1" w:rsidRPr="00687DE8" w:rsidRDefault="0009294E">
            <w:pPr>
              <w:spacing w:after="0"/>
              <w:jc w:val="center"/>
              <w:rPr>
                <w:color w:val="000000" w:themeColor="text1"/>
                <w:szCs w:val="24"/>
              </w:rPr>
            </w:pPr>
            <w:r>
              <w:rPr>
                <w:color w:val="000000"/>
              </w:rPr>
              <w:t>48,25</w:t>
            </w:r>
          </w:p>
        </w:tc>
      </w:tr>
      <w:tr w:rsidR="00CC6861" w:rsidRPr="00687DE8" w14:paraId="226780E5" w14:textId="77777777" w:rsidTr="00934CCC">
        <w:trPr>
          <w:divId w:val="1316184749"/>
          <w:trHeight w:val="300"/>
        </w:trPr>
        <w:tc>
          <w:tcPr>
            <w:tcW w:w="6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7978A6" w14:textId="77777777" w:rsidR="00CC6861" w:rsidRPr="00687DE8" w:rsidRDefault="00CC6861" w:rsidP="00CC6861">
            <w:pPr>
              <w:spacing w:after="0" w:line="240" w:lineRule="auto"/>
              <w:rPr>
                <w:szCs w:val="24"/>
              </w:rPr>
            </w:pPr>
            <w:r w:rsidRPr="00687DE8">
              <w:rPr>
                <w:szCs w:val="24"/>
              </w:rPr>
              <w:t>Kordotsentees</w:t>
            </w:r>
          </w:p>
        </w:tc>
        <w:tc>
          <w:tcPr>
            <w:tcW w:w="10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671B0" w14:textId="77777777" w:rsidR="00CC6861" w:rsidRPr="00687DE8" w:rsidRDefault="00CC6861" w:rsidP="00CC6861">
            <w:pPr>
              <w:spacing w:after="0" w:line="240" w:lineRule="auto"/>
              <w:jc w:val="center"/>
              <w:rPr>
                <w:szCs w:val="24"/>
              </w:rPr>
            </w:pPr>
            <w:r w:rsidRPr="00687DE8">
              <w:rPr>
                <w:szCs w:val="24"/>
              </w:rPr>
              <w:t>7357</w:t>
            </w:r>
          </w:p>
        </w:tc>
        <w:tc>
          <w:tcPr>
            <w:tcW w:w="16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CA063F" w14:textId="644BCEDC" w:rsidR="2E1E8EE1" w:rsidRPr="00687DE8" w:rsidRDefault="0009294E">
            <w:pPr>
              <w:spacing w:after="0"/>
              <w:jc w:val="center"/>
              <w:rPr>
                <w:color w:val="000000" w:themeColor="text1"/>
                <w:szCs w:val="24"/>
              </w:rPr>
            </w:pPr>
            <w:r>
              <w:rPr>
                <w:color w:val="000000"/>
              </w:rPr>
              <w:t>476,14</w:t>
            </w:r>
          </w:p>
        </w:tc>
      </w:tr>
      <w:tr w:rsidR="00CC6861" w:rsidRPr="00687DE8" w14:paraId="07181EE4" w14:textId="77777777" w:rsidTr="00934CCC">
        <w:trPr>
          <w:divId w:val="1316184749"/>
          <w:trHeight w:val="300"/>
        </w:trPr>
        <w:tc>
          <w:tcPr>
            <w:tcW w:w="6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C8A3AF" w14:textId="77777777" w:rsidR="00CC6861" w:rsidRPr="00687DE8" w:rsidRDefault="00CC6861" w:rsidP="00CC6861">
            <w:pPr>
              <w:spacing w:after="0" w:line="240" w:lineRule="auto"/>
              <w:rPr>
                <w:szCs w:val="24"/>
              </w:rPr>
            </w:pPr>
            <w:r w:rsidRPr="00687DE8">
              <w:rPr>
                <w:szCs w:val="24"/>
              </w:rPr>
              <w:t>Üsasisene vereülekanne</w:t>
            </w:r>
          </w:p>
        </w:tc>
        <w:tc>
          <w:tcPr>
            <w:tcW w:w="10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3C7040" w14:textId="77777777" w:rsidR="00CC6861" w:rsidRPr="00687DE8" w:rsidRDefault="00CC6861" w:rsidP="00CC6861">
            <w:pPr>
              <w:spacing w:after="0" w:line="240" w:lineRule="auto"/>
              <w:jc w:val="center"/>
              <w:rPr>
                <w:szCs w:val="24"/>
              </w:rPr>
            </w:pPr>
            <w:r w:rsidRPr="00687DE8">
              <w:rPr>
                <w:szCs w:val="24"/>
              </w:rPr>
              <w:t>7358</w:t>
            </w:r>
          </w:p>
        </w:tc>
        <w:tc>
          <w:tcPr>
            <w:tcW w:w="16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40D6A0" w14:textId="4B4BB061" w:rsidR="2E1E8EE1" w:rsidRPr="00687DE8" w:rsidRDefault="0009294E">
            <w:pPr>
              <w:spacing w:after="0"/>
              <w:jc w:val="center"/>
              <w:rPr>
                <w:color w:val="000000" w:themeColor="text1"/>
                <w:szCs w:val="24"/>
              </w:rPr>
            </w:pPr>
            <w:r>
              <w:rPr>
                <w:color w:val="000000"/>
              </w:rPr>
              <w:t>704,45</w:t>
            </w:r>
          </w:p>
        </w:tc>
      </w:tr>
      <w:tr w:rsidR="00CC6861" w:rsidRPr="00687DE8" w14:paraId="2A2D7A9A" w14:textId="77777777" w:rsidTr="00934CCC">
        <w:trPr>
          <w:divId w:val="1316184749"/>
          <w:trHeight w:val="300"/>
        </w:trPr>
        <w:tc>
          <w:tcPr>
            <w:tcW w:w="6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65B611" w14:textId="77777777" w:rsidR="00CC6861" w:rsidRPr="00687DE8" w:rsidRDefault="00CC6861" w:rsidP="00CC6861">
            <w:pPr>
              <w:spacing w:after="0" w:line="240" w:lineRule="auto"/>
              <w:rPr>
                <w:szCs w:val="24"/>
              </w:rPr>
            </w:pPr>
            <w:r w:rsidRPr="00687DE8">
              <w:rPr>
                <w:szCs w:val="24"/>
              </w:rPr>
              <w:t>Günekoloogiline läbivaatus koos preparaadi võtmisega</w:t>
            </w:r>
          </w:p>
        </w:tc>
        <w:tc>
          <w:tcPr>
            <w:tcW w:w="10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068E95" w14:textId="77777777" w:rsidR="00CC6861" w:rsidRPr="00687DE8" w:rsidRDefault="00CC6861" w:rsidP="00CC6861">
            <w:pPr>
              <w:spacing w:after="0" w:line="240" w:lineRule="auto"/>
              <w:jc w:val="center"/>
              <w:rPr>
                <w:szCs w:val="24"/>
              </w:rPr>
            </w:pPr>
            <w:r w:rsidRPr="00687DE8">
              <w:rPr>
                <w:szCs w:val="24"/>
              </w:rPr>
              <w:t>7359</w:t>
            </w:r>
          </w:p>
        </w:tc>
        <w:tc>
          <w:tcPr>
            <w:tcW w:w="16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992F67" w14:textId="31BA46A4" w:rsidR="2E1E8EE1" w:rsidRPr="00687DE8" w:rsidRDefault="0009294E">
            <w:pPr>
              <w:spacing w:after="0"/>
              <w:jc w:val="center"/>
              <w:rPr>
                <w:color w:val="000000" w:themeColor="text1"/>
                <w:szCs w:val="24"/>
              </w:rPr>
            </w:pPr>
            <w:r>
              <w:rPr>
                <w:color w:val="000000"/>
              </w:rPr>
              <w:t>2,81</w:t>
            </w:r>
          </w:p>
        </w:tc>
      </w:tr>
      <w:tr w:rsidR="00CC6861" w:rsidRPr="00687DE8" w14:paraId="383B027E" w14:textId="77777777" w:rsidTr="00934CCC">
        <w:trPr>
          <w:divId w:val="1316184749"/>
          <w:trHeight w:val="300"/>
        </w:trPr>
        <w:tc>
          <w:tcPr>
            <w:tcW w:w="6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C51C45" w14:textId="77777777" w:rsidR="00CC6861" w:rsidRPr="00687DE8" w:rsidRDefault="00CC6861" w:rsidP="00CC6861">
            <w:pPr>
              <w:spacing w:after="0" w:line="240" w:lineRule="auto"/>
              <w:rPr>
                <w:szCs w:val="24"/>
              </w:rPr>
            </w:pPr>
            <w:r w:rsidRPr="00687DE8">
              <w:rPr>
                <w:szCs w:val="24"/>
              </w:rPr>
              <w:t>Lootevee test tupe sekreedist</w:t>
            </w:r>
          </w:p>
        </w:tc>
        <w:tc>
          <w:tcPr>
            <w:tcW w:w="10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DA50FD" w14:textId="77777777" w:rsidR="00CC6861" w:rsidRPr="00687DE8" w:rsidRDefault="00CC6861" w:rsidP="00CC6861">
            <w:pPr>
              <w:spacing w:after="0" w:line="240" w:lineRule="auto"/>
              <w:jc w:val="center"/>
              <w:rPr>
                <w:szCs w:val="24"/>
              </w:rPr>
            </w:pPr>
            <w:r w:rsidRPr="00687DE8">
              <w:rPr>
                <w:szCs w:val="24"/>
              </w:rPr>
              <w:t>7361</w:t>
            </w:r>
          </w:p>
        </w:tc>
        <w:tc>
          <w:tcPr>
            <w:tcW w:w="16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5EE125" w14:textId="5234CD68" w:rsidR="2E1E8EE1" w:rsidRPr="00687DE8" w:rsidRDefault="0009294E">
            <w:pPr>
              <w:spacing w:after="0"/>
              <w:jc w:val="center"/>
              <w:rPr>
                <w:color w:val="000000" w:themeColor="text1"/>
                <w:szCs w:val="24"/>
              </w:rPr>
            </w:pPr>
            <w:r>
              <w:rPr>
                <w:color w:val="000000"/>
              </w:rPr>
              <w:t>8,27</w:t>
            </w:r>
          </w:p>
        </w:tc>
      </w:tr>
      <w:tr w:rsidR="00CC6861" w:rsidRPr="00687DE8" w14:paraId="1AE819B7" w14:textId="77777777" w:rsidTr="00934CCC">
        <w:trPr>
          <w:divId w:val="1316184749"/>
          <w:trHeight w:val="300"/>
        </w:trPr>
        <w:tc>
          <w:tcPr>
            <w:tcW w:w="6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DB5BC3" w14:textId="77777777" w:rsidR="00CC6861" w:rsidRPr="00687DE8" w:rsidRDefault="00CC6861" w:rsidP="00CC6861">
            <w:pPr>
              <w:spacing w:after="0" w:line="240" w:lineRule="auto"/>
              <w:rPr>
                <w:szCs w:val="24"/>
              </w:rPr>
            </w:pPr>
            <w:r w:rsidRPr="00687DE8">
              <w:rPr>
                <w:szCs w:val="24"/>
              </w:rPr>
              <w:t>Sünnituse medikamentoosne esilekutsumine</w:t>
            </w:r>
          </w:p>
        </w:tc>
        <w:tc>
          <w:tcPr>
            <w:tcW w:w="10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5C2653" w14:textId="77777777" w:rsidR="00CC6861" w:rsidRPr="00687DE8" w:rsidRDefault="00CC6861" w:rsidP="00CC6861">
            <w:pPr>
              <w:spacing w:after="0" w:line="240" w:lineRule="auto"/>
              <w:jc w:val="center"/>
              <w:rPr>
                <w:szCs w:val="24"/>
              </w:rPr>
            </w:pPr>
            <w:r w:rsidRPr="00687DE8">
              <w:rPr>
                <w:szCs w:val="24"/>
              </w:rPr>
              <w:t>7362</w:t>
            </w:r>
          </w:p>
        </w:tc>
        <w:tc>
          <w:tcPr>
            <w:tcW w:w="16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DC0231" w14:textId="4EB8E1BA" w:rsidR="2E1E8EE1" w:rsidRPr="00687DE8" w:rsidRDefault="0009294E">
            <w:pPr>
              <w:spacing w:after="0"/>
              <w:jc w:val="center"/>
              <w:rPr>
                <w:color w:val="000000" w:themeColor="text1"/>
                <w:szCs w:val="24"/>
              </w:rPr>
            </w:pPr>
            <w:r>
              <w:rPr>
                <w:color w:val="000000"/>
              </w:rPr>
              <w:t>544,11</w:t>
            </w:r>
          </w:p>
        </w:tc>
      </w:tr>
      <w:tr w:rsidR="00CC6861" w:rsidRPr="00687DE8" w14:paraId="029C3BD1" w14:textId="77777777" w:rsidTr="00934CCC">
        <w:trPr>
          <w:divId w:val="1316184749"/>
          <w:trHeight w:val="300"/>
        </w:trPr>
        <w:tc>
          <w:tcPr>
            <w:tcW w:w="6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2F4092" w14:textId="77777777" w:rsidR="00CC6861" w:rsidRPr="00687DE8" w:rsidRDefault="00CC6861" w:rsidP="00CC6861">
            <w:pPr>
              <w:spacing w:after="0" w:line="240" w:lineRule="auto"/>
              <w:rPr>
                <w:szCs w:val="24"/>
              </w:rPr>
            </w:pPr>
            <w:r w:rsidRPr="00687DE8">
              <w:rPr>
                <w:szCs w:val="24"/>
              </w:rPr>
              <w:t>Kolposkoopia</w:t>
            </w:r>
          </w:p>
        </w:tc>
        <w:tc>
          <w:tcPr>
            <w:tcW w:w="10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CCF8A2" w14:textId="77777777" w:rsidR="00CC6861" w:rsidRPr="00687DE8" w:rsidRDefault="00CC6861" w:rsidP="00CC6861">
            <w:pPr>
              <w:spacing w:after="0" w:line="240" w:lineRule="auto"/>
              <w:jc w:val="center"/>
              <w:rPr>
                <w:szCs w:val="24"/>
              </w:rPr>
            </w:pPr>
            <w:r w:rsidRPr="00687DE8">
              <w:rPr>
                <w:szCs w:val="24"/>
              </w:rPr>
              <w:t>7563</w:t>
            </w:r>
          </w:p>
        </w:tc>
        <w:tc>
          <w:tcPr>
            <w:tcW w:w="16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02272B" w14:textId="25B87955" w:rsidR="2E1E8EE1" w:rsidRPr="00687DE8" w:rsidRDefault="0009294E">
            <w:pPr>
              <w:spacing w:after="0"/>
              <w:jc w:val="center"/>
              <w:rPr>
                <w:color w:val="000000" w:themeColor="text1"/>
                <w:szCs w:val="24"/>
              </w:rPr>
            </w:pPr>
            <w:r>
              <w:rPr>
                <w:color w:val="000000"/>
              </w:rPr>
              <w:t>85,24</w:t>
            </w:r>
          </w:p>
        </w:tc>
      </w:tr>
      <w:tr w:rsidR="00CC6861" w:rsidRPr="00687DE8" w14:paraId="15974BF6" w14:textId="77777777" w:rsidTr="00934CCC">
        <w:trPr>
          <w:divId w:val="1316184749"/>
          <w:trHeight w:val="300"/>
        </w:trPr>
        <w:tc>
          <w:tcPr>
            <w:tcW w:w="6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AF83E9" w14:textId="77777777" w:rsidR="00CC6861" w:rsidRPr="00687DE8" w:rsidRDefault="00CC6861" w:rsidP="00CC6861">
            <w:pPr>
              <w:spacing w:after="0" w:line="240" w:lineRule="auto"/>
              <w:rPr>
                <w:szCs w:val="24"/>
              </w:rPr>
            </w:pPr>
            <w:r w:rsidRPr="00687DE8">
              <w:rPr>
                <w:szCs w:val="24"/>
              </w:rPr>
              <w:t>Vulvoskoopia</w:t>
            </w:r>
          </w:p>
        </w:tc>
        <w:tc>
          <w:tcPr>
            <w:tcW w:w="10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646A52" w14:textId="77777777" w:rsidR="00CC6861" w:rsidRPr="00687DE8" w:rsidRDefault="00CC6861" w:rsidP="00CC6861">
            <w:pPr>
              <w:spacing w:after="0" w:line="240" w:lineRule="auto"/>
              <w:jc w:val="center"/>
              <w:rPr>
                <w:szCs w:val="24"/>
              </w:rPr>
            </w:pPr>
            <w:r w:rsidRPr="00687DE8">
              <w:rPr>
                <w:szCs w:val="24"/>
              </w:rPr>
              <w:t>7550</w:t>
            </w:r>
          </w:p>
        </w:tc>
        <w:tc>
          <w:tcPr>
            <w:tcW w:w="16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C56E4A" w14:textId="311386C6" w:rsidR="2E1E8EE1" w:rsidRPr="00687DE8" w:rsidRDefault="0009294E">
            <w:pPr>
              <w:spacing w:after="0"/>
              <w:jc w:val="center"/>
              <w:rPr>
                <w:color w:val="000000" w:themeColor="text1"/>
                <w:szCs w:val="24"/>
              </w:rPr>
            </w:pPr>
            <w:r>
              <w:rPr>
                <w:color w:val="000000"/>
              </w:rPr>
              <w:t>91,96</w:t>
            </w:r>
          </w:p>
        </w:tc>
      </w:tr>
      <w:tr w:rsidR="00CC6861" w:rsidRPr="00687DE8" w14:paraId="60B06995" w14:textId="77777777" w:rsidTr="00934CCC">
        <w:trPr>
          <w:divId w:val="1316184749"/>
          <w:trHeight w:val="300"/>
        </w:trPr>
        <w:tc>
          <w:tcPr>
            <w:tcW w:w="6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49C979" w14:textId="77777777" w:rsidR="00CC6861" w:rsidRPr="00687DE8" w:rsidRDefault="00CC6861" w:rsidP="00CC6861">
            <w:pPr>
              <w:spacing w:after="0" w:line="240" w:lineRule="auto"/>
              <w:rPr>
                <w:szCs w:val="24"/>
              </w:rPr>
            </w:pPr>
            <w:r w:rsidRPr="00687DE8">
              <w:rPr>
                <w:szCs w:val="24"/>
              </w:rPr>
              <w:t>Ambulatoorne diagnostiline või operatiivne hüsteroskoopia</w:t>
            </w:r>
          </w:p>
        </w:tc>
        <w:tc>
          <w:tcPr>
            <w:tcW w:w="10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C30E21" w14:textId="77777777" w:rsidR="00CC6861" w:rsidRPr="00687DE8" w:rsidRDefault="00CC6861" w:rsidP="00CC6861">
            <w:pPr>
              <w:spacing w:after="0" w:line="240" w:lineRule="auto"/>
              <w:jc w:val="center"/>
              <w:rPr>
                <w:szCs w:val="24"/>
              </w:rPr>
            </w:pPr>
            <w:r w:rsidRPr="00687DE8">
              <w:rPr>
                <w:szCs w:val="24"/>
              </w:rPr>
              <w:t>7549</w:t>
            </w:r>
          </w:p>
        </w:tc>
        <w:tc>
          <w:tcPr>
            <w:tcW w:w="162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2B0A08" w14:textId="55262C0D" w:rsidR="2E1E8EE1" w:rsidRPr="00687DE8" w:rsidRDefault="0009294E">
            <w:pPr>
              <w:spacing w:after="0"/>
              <w:jc w:val="center"/>
              <w:rPr>
                <w:color w:val="000000" w:themeColor="text1"/>
                <w:szCs w:val="24"/>
              </w:rPr>
            </w:pPr>
            <w:r>
              <w:rPr>
                <w:color w:val="000000"/>
              </w:rPr>
              <w:t>271,45</w:t>
            </w:r>
          </w:p>
        </w:tc>
      </w:tr>
    </w:tbl>
    <w:p w14:paraId="6ACF63AD" w14:textId="77777777" w:rsidR="00976487" w:rsidRPr="00687DE8" w:rsidRDefault="00976487" w:rsidP="00976487">
      <w:pPr>
        <w:spacing w:after="0" w:line="240" w:lineRule="auto"/>
        <w:jc w:val="both"/>
        <w:divId w:val="1316184749"/>
        <w:rPr>
          <w:szCs w:val="24"/>
        </w:rPr>
      </w:pPr>
    </w:p>
    <w:p w14:paraId="312FC8ED" w14:textId="77777777" w:rsidR="00976487" w:rsidRPr="00687DE8" w:rsidRDefault="00AB10D1" w:rsidP="00976487">
      <w:pPr>
        <w:spacing w:after="0" w:line="240" w:lineRule="auto"/>
        <w:jc w:val="both"/>
        <w:divId w:val="1316184749"/>
        <w:rPr>
          <w:szCs w:val="24"/>
        </w:rPr>
      </w:pPr>
      <w:r w:rsidRPr="00687DE8">
        <w:rPr>
          <w:szCs w:val="24"/>
        </w:rPr>
        <w:t>(2) L</w:t>
      </w:r>
      <w:r w:rsidR="00976487" w:rsidRPr="00687DE8">
        <w:rPr>
          <w:szCs w:val="24"/>
        </w:rPr>
        <w:t>õikes 1 sätestatud tervishoiuteenuste piirhindade rakendamisel lähtutakse järgmistest tingimustest:</w:t>
      </w:r>
    </w:p>
    <w:p w14:paraId="113C074A" w14:textId="77777777" w:rsidR="00976487" w:rsidRPr="00687DE8" w:rsidRDefault="00976487" w:rsidP="00976487">
      <w:pPr>
        <w:spacing w:after="0" w:line="240" w:lineRule="auto"/>
        <w:jc w:val="both"/>
        <w:divId w:val="1316184749"/>
        <w:rPr>
          <w:szCs w:val="24"/>
        </w:rPr>
      </w:pPr>
      <w:r w:rsidRPr="00687DE8">
        <w:rPr>
          <w:szCs w:val="24"/>
        </w:rPr>
        <w:t>1) koodiga 7352 tähistatud tervishoiuteenuse piirhind sisaldab arsti vastuvõtu maksumust;</w:t>
      </w:r>
    </w:p>
    <w:p w14:paraId="46F05788" w14:textId="77777777" w:rsidR="00976487" w:rsidRPr="00687DE8" w:rsidRDefault="00976487" w:rsidP="00976487">
      <w:pPr>
        <w:spacing w:after="0" w:line="240" w:lineRule="auto"/>
        <w:jc w:val="both"/>
        <w:divId w:val="1316184749"/>
        <w:rPr>
          <w:szCs w:val="24"/>
        </w:rPr>
      </w:pPr>
      <w:r w:rsidRPr="00687DE8">
        <w:rPr>
          <w:szCs w:val="24"/>
        </w:rPr>
        <w:t>2) koodiga 7359 tähistatud tervishoiuteenuse eest tasumist rakendatakse ainult perearsti nimistuga töötava arsti puhul;</w:t>
      </w:r>
    </w:p>
    <w:p w14:paraId="0D5AD859" w14:textId="331472F5"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koodiga 7361 tähistatud tervishoiuteenuse eest tasu maksmise kohustuse üle juhul, kui patsiendil kahtlustatakse enne 37. gestatsiooninädalat lootevee puhkemist, mida ei õnnestu visualiseerida tupepeegliga, ning kasutatakse IGFBP-1 või PAMG-1 proteiini tuvastamisel põhinevat testriba.</w:t>
      </w:r>
    </w:p>
    <w:p w14:paraId="712A7CEF" w14:textId="77777777" w:rsidR="00976487" w:rsidRPr="00687DE8" w:rsidRDefault="00976487" w:rsidP="00976487">
      <w:pPr>
        <w:spacing w:after="0" w:line="240" w:lineRule="auto"/>
        <w:jc w:val="both"/>
        <w:divId w:val="1316184749"/>
        <w:rPr>
          <w:szCs w:val="24"/>
        </w:rPr>
      </w:pPr>
    </w:p>
    <w:p w14:paraId="0607DC48" w14:textId="77777777" w:rsidR="00976487" w:rsidRPr="00687DE8" w:rsidRDefault="00976487" w:rsidP="00976487">
      <w:pPr>
        <w:spacing w:after="0" w:line="240" w:lineRule="auto"/>
        <w:jc w:val="both"/>
        <w:outlineLvl w:val="2"/>
        <w:divId w:val="1316184749"/>
        <w:rPr>
          <w:szCs w:val="24"/>
        </w:rPr>
      </w:pPr>
      <w:r w:rsidRPr="00687DE8">
        <w:rPr>
          <w:bCs/>
          <w:szCs w:val="24"/>
        </w:rPr>
        <w:t>(3)</w:t>
      </w:r>
      <w:r w:rsidRPr="00687DE8">
        <w:rPr>
          <w:b/>
          <w:bCs/>
          <w:szCs w:val="24"/>
        </w:rPr>
        <w:t xml:space="preserve"> </w:t>
      </w:r>
      <w:r w:rsidRPr="00687DE8">
        <w:rPr>
          <w:szCs w:val="24"/>
        </w:rPr>
        <w:t>Viljatusravi protseduuride piirhinnad on järgmised:</w:t>
      </w:r>
    </w:p>
    <w:p w14:paraId="769A6894" w14:textId="77777777" w:rsidR="00976487" w:rsidRPr="00687DE8" w:rsidRDefault="00976487" w:rsidP="00976487">
      <w:pPr>
        <w:spacing w:after="0" w:line="240" w:lineRule="auto"/>
        <w:jc w:val="both"/>
        <w:outlineLvl w:val="2"/>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7"/>
        <w:gridCol w:w="1089"/>
        <w:gridCol w:w="1119"/>
      </w:tblGrid>
      <w:tr w:rsidR="00976487" w:rsidRPr="00687DE8" w14:paraId="6D58F2CA" w14:textId="77777777" w:rsidTr="009C108B">
        <w:trPr>
          <w:divId w:val="1316184749"/>
          <w:tblHead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AAFF56" w14:textId="77777777" w:rsidR="00976487" w:rsidRPr="00687DE8" w:rsidRDefault="00976487">
            <w:pPr>
              <w:spacing w:after="0" w:line="240" w:lineRule="auto"/>
              <w:jc w:val="center"/>
              <w:rPr>
                <w:b/>
                <w:szCs w:val="24"/>
              </w:rPr>
            </w:pPr>
            <w:r w:rsidRPr="00687DE8">
              <w:rPr>
                <w:b/>
                <w:szCs w:val="24"/>
              </w:rPr>
              <w:lastRenderedPageBreak/>
              <w:t>Tervishoiuteenuse nimetus</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124C99" w14:textId="77777777" w:rsidR="00976487" w:rsidRPr="00687DE8" w:rsidRDefault="00976487">
            <w:pPr>
              <w:spacing w:after="0" w:line="240" w:lineRule="auto"/>
              <w:jc w:val="center"/>
              <w:rPr>
                <w:b/>
                <w:szCs w:val="24"/>
              </w:rPr>
            </w:pPr>
            <w:r w:rsidRPr="00687DE8">
              <w:rPr>
                <w:b/>
                <w:szCs w:val="24"/>
              </w:rPr>
              <w:t>Kood</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178ED" w14:textId="77777777" w:rsidR="00976487" w:rsidRPr="00687DE8" w:rsidRDefault="00976487">
            <w:pPr>
              <w:tabs>
                <w:tab w:val="decimal" w:pos="635"/>
              </w:tabs>
              <w:spacing w:after="0" w:line="240" w:lineRule="auto"/>
              <w:jc w:val="center"/>
              <w:rPr>
                <w:b/>
                <w:szCs w:val="24"/>
              </w:rPr>
            </w:pPr>
            <w:r w:rsidRPr="00687DE8">
              <w:rPr>
                <w:b/>
                <w:szCs w:val="24"/>
              </w:rPr>
              <w:t>Piirhind</w:t>
            </w:r>
            <w:r w:rsidRPr="00687DE8">
              <w:rPr>
                <w:szCs w:val="24"/>
              </w:rPr>
              <w:br/>
            </w:r>
            <w:r w:rsidRPr="00687DE8">
              <w:rPr>
                <w:b/>
                <w:szCs w:val="24"/>
              </w:rPr>
              <w:t>eurodes</w:t>
            </w:r>
          </w:p>
        </w:tc>
      </w:tr>
      <w:tr w:rsidR="00116F44" w:rsidRPr="00687DE8" w14:paraId="50855249" w14:textId="77777777" w:rsidTr="00934CCC">
        <w:trPr>
          <w:divId w:val="1316184749"/>
          <w:trHeight w:val="300"/>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8670F4B" w14:textId="77777777" w:rsidR="00116F44" w:rsidRPr="00687DE8" w:rsidRDefault="00116F44" w:rsidP="00116F44">
            <w:pPr>
              <w:spacing w:after="0" w:line="240" w:lineRule="auto"/>
              <w:rPr>
                <w:b/>
                <w:szCs w:val="24"/>
              </w:rPr>
            </w:pPr>
            <w:r w:rsidRPr="00687DE8">
              <w:rPr>
                <w:szCs w:val="24"/>
                <w:lang w:eastAsia="et-EE"/>
              </w:rPr>
              <w:t>Intrauteriinne inseminatsioon (IUI)</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4C276E7" w14:textId="77777777" w:rsidR="00116F44" w:rsidRPr="00687DE8" w:rsidRDefault="00116F44" w:rsidP="00116F44">
            <w:pPr>
              <w:spacing w:after="0" w:line="240" w:lineRule="auto"/>
              <w:jc w:val="center"/>
              <w:rPr>
                <w:b/>
                <w:szCs w:val="24"/>
              </w:rPr>
            </w:pPr>
            <w:r w:rsidRPr="00687DE8">
              <w:rPr>
                <w:szCs w:val="24"/>
              </w:rPr>
              <w:t>7389</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D45C39" w14:textId="3474CB8F" w:rsidR="2E1E8EE1" w:rsidRPr="00687DE8" w:rsidRDefault="00D87B94">
            <w:pPr>
              <w:spacing w:after="0"/>
              <w:jc w:val="center"/>
              <w:rPr>
                <w:color w:val="000000" w:themeColor="text1"/>
                <w:szCs w:val="24"/>
              </w:rPr>
            </w:pPr>
            <w:r>
              <w:rPr>
                <w:color w:val="000000"/>
              </w:rPr>
              <w:t>220,72</w:t>
            </w:r>
          </w:p>
        </w:tc>
      </w:tr>
      <w:tr w:rsidR="00116F44" w:rsidRPr="00687DE8" w14:paraId="60F3EB97" w14:textId="77777777" w:rsidTr="00934CCC">
        <w:trPr>
          <w:divId w:val="1316184749"/>
          <w:trHeight w:val="300"/>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5B2A9DD" w14:textId="77777777" w:rsidR="00116F44" w:rsidRPr="00687DE8" w:rsidRDefault="00116F44" w:rsidP="00116F44">
            <w:pPr>
              <w:spacing w:after="0" w:line="240" w:lineRule="auto"/>
              <w:rPr>
                <w:b/>
                <w:szCs w:val="24"/>
              </w:rPr>
            </w:pPr>
            <w:r w:rsidRPr="00687DE8">
              <w:rPr>
                <w:szCs w:val="24"/>
                <w:lang w:eastAsia="et-EE"/>
              </w:rPr>
              <w:t>Folliikulite punktsioon</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22B59FA" w14:textId="77777777" w:rsidR="00116F44" w:rsidRPr="00687DE8" w:rsidRDefault="00116F44" w:rsidP="00116F44">
            <w:pPr>
              <w:spacing w:after="0" w:line="240" w:lineRule="auto"/>
              <w:jc w:val="center"/>
              <w:rPr>
                <w:b/>
                <w:szCs w:val="24"/>
              </w:rPr>
            </w:pPr>
            <w:r w:rsidRPr="00687DE8">
              <w:rPr>
                <w:szCs w:val="24"/>
              </w:rPr>
              <w:t>7390</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16C88F" w14:textId="7FB208CF" w:rsidR="2E1E8EE1" w:rsidRPr="00687DE8" w:rsidRDefault="00D87B94">
            <w:pPr>
              <w:spacing w:after="0"/>
              <w:jc w:val="center"/>
              <w:rPr>
                <w:color w:val="000000" w:themeColor="text1"/>
                <w:szCs w:val="24"/>
              </w:rPr>
            </w:pPr>
            <w:r>
              <w:rPr>
                <w:color w:val="000000"/>
              </w:rPr>
              <w:t>231,86</w:t>
            </w:r>
          </w:p>
        </w:tc>
      </w:tr>
      <w:tr w:rsidR="00116F44" w:rsidRPr="00687DE8" w14:paraId="1DF199E3" w14:textId="77777777" w:rsidTr="00934CCC">
        <w:trPr>
          <w:divId w:val="1316184749"/>
          <w:trHeight w:val="300"/>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8A1E4B6" w14:textId="77777777" w:rsidR="00116F44" w:rsidRPr="00687DE8" w:rsidRDefault="00116F44" w:rsidP="00116F44">
            <w:pPr>
              <w:spacing w:after="0" w:line="240" w:lineRule="auto"/>
              <w:rPr>
                <w:b/>
                <w:szCs w:val="24"/>
              </w:rPr>
            </w:pPr>
            <w:r w:rsidRPr="00687DE8">
              <w:rPr>
                <w:szCs w:val="24"/>
                <w:lang w:eastAsia="et-EE"/>
              </w:rPr>
              <w:t>Kehaväline viljastamine (IVF)</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5CFE053" w14:textId="77777777" w:rsidR="00116F44" w:rsidRPr="00687DE8" w:rsidRDefault="00116F44" w:rsidP="00116F44">
            <w:pPr>
              <w:spacing w:after="0" w:line="240" w:lineRule="auto"/>
              <w:jc w:val="center"/>
              <w:rPr>
                <w:b/>
                <w:szCs w:val="24"/>
              </w:rPr>
            </w:pPr>
            <w:r w:rsidRPr="00687DE8">
              <w:rPr>
                <w:szCs w:val="24"/>
              </w:rPr>
              <w:t>7391</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077EEC" w14:textId="6C08E18F" w:rsidR="2E1E8EE1" w:rsidRPr="00687DE8" w:rsidRDefault="00D87B94">
            <w:pPr>
              <w:spacing w:after="0"/>
              <w:jc w:val="center"/>
              <w:rPr>
                <w:color w:val="000000" w:themeColor="text1"/>
                <w:szCs w:val="24"/>
              </w:rPr>
            </w:pPr>
            <w:r>
              <w:rPr>
                <w:color w:val="000000"/>
              </w:rPr>
              <w:t>577,31</w:t>
            </w:r>
          </w:p>
        </w:tc>
      </w:tr>
      <w:tr w:rsidR="00116F44" w:rsidRPr="00687DE8" w14:paraId="766542B3" w14:textId="77777777" w:rsidTr="00934CCC">
        <w:trPr>
          <w:divId w:val="1316184749"/>
          <w:trHeight w:val="300"/>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8A95242" w14:textId="77777777" w:rsidR="00116F44" w:rsidRPr="00687DE8" w:rsidRDefault="00116F44" w:rsidP="00116F44">
            <w:pPr>
              <w:spacing w:after="0" w:line="240" w:lineRule="auto"/>
              <w:rPr>
                <w:b/>
                <w:szCs w:val="24"/>
              </w:rPr>
            </w:pPr>
            <w:r w:rsidRPr="00687DE8">
              <w:rPr>
                <w:szCs w:val="24"/>
                <w:lang w:eastAsia="et-EE"/>
              </w:rPr>
              <w:t>Seemnerakkude eraldamine munandi bioptaadist</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2C5A20A" w14:textId="77777777" w:rsidR="00116F44" w:rsidRPr="00687DE8" w:rsidRDefault="00116F44" w:rsidP="00116F44">
            <w:pPr>
              <w:spacing w:after="0" w:line="240" w:lineRule="auto"/>
              <w:jc w:val="center"/>
              <w:rPr>
                <w:b/>
                <w:szCs w:val="24"/>
              </w:rPr>
            </w:pPr>
            <w:r w:rsidRPr="00687DE8">
              <w:rPr>
                <w:szCs w:val="24"/>
              </w:rPr>
              <w:t>7392</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BCAD46" w14:textId="2BC22E9A" w:rsidR="2E1E8EE1" w:rsidRPr="00687DE8" w:rsidRDefault="00D87B94">
            <w:pPr>
              <w:spacing w:after="0"/>
              <w:jc w:val="center"/>
              <w:rPr>
                <w:color w:val="000000" w:themeColor="text1"/>
                <w:szCs w:val="24"/>
              </w:rPr>
            </w:pPr>
            <w:r>
              <w:rPr>
                <w:color w:val="000000"/>
              </w:rPr>
              <w:t>278,76</w:t>
            </w:r>
          </w:p>
        </w:tc>
      </w:tr>
      <w:tr w:rsidR="00116F44" w:rsidRPr="00687DE8" w14:paraId="1DF7A580" w14:textId="77777777" w:rsidTr="00934CCC">
        <w:trPr>
          <w:divId w:val="1316184749"/>
          <w:trHeight w:val="300"/>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5BCD1A7" w14:textId="77777777" w:rsidR="00116F44" w:rsidRPr="00687DE8" w:rsidRDefault="00116F44" w:rsidP="00116F44">
            <w:pPr>
              <w:spacing w:after="0" w:line="240" w:lineRule="auto"/>
              <w:rPr>
                <w:b/>
                <w:szCs w:val="24"/>
              </w:rPr>
            </w:pPr>
            <w:r w:rsidRPr="00687DE8">
              <w:rPr>
                <w:szCs w:val="24"/>
                <w:lang w:eastAsia="et-EE"/>
              </w:rPr>
              <w:t>Embrüo siirdamine</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7C3BAA0" w14:textId="77777777" w:rsidR="00116F44" w:rsidRPr="00687DE8" w:rsidRDefault="00116F44" w:rsidP="00116F44">
            <w:pPr>
              <w:spacing w:after="0" w:line="240" w:lineRule="auto"/>
              <w:jc w:val="center"/>
              <w:rPr>
                <w:b/>
                <w:szCs w:val="24"/>
              </w:rPr>
            </w:pPr>
            <w:r w:rsidRPr="00687DE8">
              <w:rPr>
                <w:szCs w:val="24"/>
              </w:rPr>
              <w:t>7393</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8E7053" w14:textId="538282F7" w:rsidR="2E1E8EE1" w:rsidRPr="00687DE8" w:rsidRDefault="00D87B94">
            <w:pPr>
              <w:spacing w:after="0"/>
              <w:jc w:val="center"/>
              <w:rPr>
                <w:color w:val="000000" w:themeColor="text1"/>
                <w:szCs w:val="24"/>
              </w:rPr>
            </w:pPr>
            <w:r>
              <w:rPr>
                <w:color w:val="000000"/>
              </w:rPr>
              <w:t>205,43</w:t>
            </w:r>
          </w:p>
        </w:tc>
      </w:tr>
      <w:tr w:rsidR="00116F44" w:rsidRPr="00687DE8" w14:paraId="09089305" w14:textId="77777777" w:rsidTr="00934CCC">
        <w:trPr>
          <w:divId w:val="1316184749"/>
          <w:trHeight w:val="300"/>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094DC0B" w14:textId="77777777" w:rsidR="00116F44" w:rsidRPr="00687DE8" w:rsidRDefault="00116F44" w:rsidP="00116F44">
            <w:pPr>
              <w:spacing w:after="0" w:line="240" w:lineRule="auto"/>
              <w:rPr>
                <w:b/>
                <w:szCs w:val="24"/>
              </w:rPr>
            </w:pPr>
            <w:r w:rsidRPr="00687DE8">
              <w:rPr>
                <w:szCs w:val="24"/>
                <w:lang w:eastAsia="et-EE"/>
              </w:rPr>
              <w:t>Embrüo külmutamine (ühe kõrre kohta)</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9CA62D8" w14:textId="77777777" w:rsidR="00116F44" w:rsidRPr="00687DE8" w:rsidRDefault="00116F44" w:rsidP="00116F44">
            <w:pPr>
              <w:spacing w:after="0" w:line="240" w:lineRule="auto"/>
              <w:jc w:val="center"/>
              <w:rPr>
                <w:b/>
                <w:szCs w:val="24"/>
              </w:rPr>
            </w:pPr>
            <w:r w:rsidRPr="00687DE8">
              <w:rPr>
                <w:szCs w:val="24"/>
              </w:rPr>
              <w:t>7394</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6F20EB" w14:textId="50E72056" w:rsidR="2E1E8EE1" w:rsidRPr="00687DE8" w:rsidRDefault="00D87B94">
            <w:pPr>
              <w:spacing w:after="0"/>
              <w:jc w:val="center"/>
              <w:rPr>
                <w:color w:val="000000" w:themeColor="text1"/>
                <w:szCs w:val="24"/>
              </w:rPr>
            </w:pPr>
            <w:r>
              <w:rPr>
                <w:color w:val="000000"/>
              </w:rPr>
              <w:t>179,25</w:t>
            </w:r>
          </w:p>
        </w:tc>
      </w:tr>
      <w:tr w:rsidR="00116F44" w:rsidRPr="00687DE8" w14:paraId="14A95D9D" w14:textId="77777777" w:rsidTr="00934CCC">
        <w:trPr>
          <w:divId w:val="1316184749"/>
          <w:trHeight w:val="300"/>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8FCEE73" w14:textId="77777777" w:rsidR="00116F44" w:rsidRPr="00687DE8" w:rsidRDefault="00116F44" w:rsidP="00116F44">
            <w:pPr>
              <w:spacing w:after="0" w:line="240" w:lineRule="auto"/>
              <w:rPr>
                <w:b/>
                <w:szCs w:val="24"/>
              </w:rPr>
            </w:pPr>
            <w:r w:rsidRPr="00687DE8">
              <w:rPr>
                <w:szCs w:val="24"/>
                <w:lang w:val="sv-SE" w:eastAsia="et-EE"/>
              </w:rPr>
              <w:t>Embrüo sulatamine ja hindamine (ühe kõrre kohta)</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A547E22" w14:textId="77777777" w:rsidR="00116F44" w:rsidRPr="00687DE8" w:rsidRDefault="00116F44" w:rsidP="00116F44">
            <w:pPr>
              <w:spacing w:after="0" w:line="240" w:lineRule="auto"/>
              <w:jc w:val="center"/>
              <w:rPr>
                <w:b/>
                <w:szCs w:val="24"/>
              </w:rPr>
            </w:pPr>
            <w:r w:rsidRPr="00687DE8">
              <w:rPr>
                <w:szCs w:val="24"/>
              </w:rPr>
              <w:t>7395</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C39398" w14:textId="4DD05E94" w:rsidR="2E1E8EE1" w:rsidRPr="00687DE8" w:rsidRDefault="00D87B94">
            <w:pPr>
              <w:spacing w:after="0"/>
              <w:jc w:val="center"/>
              <w:rPr>
                <w:color w:val="000000" w:themeColor="text1"/>
                <w:szCs w:val="24"/>
              </w:rPr>
            </w:pPr>
            <w:r>
              <w:rPr>
                <w:color w:val="000000"/>
              </w:rPr>
              <w:t>204,23</w:t>
            </w:r>
          </w:p>
        </w:tc>
      </w:tr>
      <w:tr w:rsidR="00116F44" w:rsidRPr="00687DE8" w14:paraId="4603EF06" w14:textId="77777777" w:rsidTr="00934CCC">
        <w:trPr>
          <w:divId w:val="1316184749"/>
          <w:trHeight w:val="300"/>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0790130" w14:textId="77777777" w:rsidR="00116F44" w:rsidRPr="00687DE8" w:rsidRDefault="00116F44" w:rsidP="00116F44">
            <w:pPr>
              <w:spacing w:after="0" w:line="240" w:lineRule="auto"/>
              <w:rPr>
                <w:b/>
                <w:szCs w:val="24"/>
              </w:rPr>
            </w:pPr>
            <w:r w:rsidRPr="00687DE8">
              <w:rPr>
                <w:szCs w:val="24"/>
                <w:lang w:val="sv-SE" w:eastAsia="et-EE"/>
              </w:rPr>
              <w:t>Munarakkude sulatamine ja hindamine (ühe kõrre kohta)</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D2F6E44" w14:textId="77777777" w:rsidR="00116F44" w:rsidRPr="00687DE8" w:rsidRDefault="00116F44" w:rsidP="00116F44">
            <w:pPr>
              <w:spacing w:after="0" w:line="240" w:lineRule="auto"/>
              <w:jc w:val="center"/>
              <w:rPr>
                <w:b/>
                <w:szCs w:val="24"/>
              </w:rPr>
            </w:pPr>
            <w:r w:rsidRPr="00687DE8">
              <w:rPr>
                <w:szCs w:val="24"/>
              </w:rPr>
              <w:t>7397</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203ACB" w14:textId="4DC93DB7" w:rsidR="2E1E8EE1" w:rsidRPr="00687DE8" w:rsidRDefault="00D87B94">
            <w:pPr>
              <w:spacing w:after="0"/>
              <w:jc w:val="center"/>
              <w:rPr>
                <w:color w:val="000000" w:themeColor="text1"/>
                <w:szCs w:val="24"/>
              </w:rPr>
            </w:pPr>
            <w:r>
              <w:rPr>
                <w:color w:val="000000"/>
              </w:rPr>
              <w:t>717,36</w:t>
            </w:r>
          </w:p>
        </w:tc>
      </w:tr>
      <w:tr w:rsidR="00116F44" w:rsidRPr="00687DE8" w14:paraId="2ECEA246" w14:textId="77777777" w:rsidTr="00934CCC">
        <w:trPr>
          <w:divId w:val="1316184749"/>
          <w:trHeight w:val="300"/>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FF58CF4" w14:textId="77777777" w:rsidR="00116F44" w:rsidRPr="00687DE8" w:rsidRDefault="00116F44" w:rsidP="00116F44">
            <w:pPr>
              <w:spacing w:after="0" w:line="240" w:lineRule="auto"/>
              <w:rPr>
                <w:b/>
                <w:szCs w:val="24"/>
              </w:rPr>
            </w:pPr>
            <w:r w:rsidRPr="00687DE8">
              <w:rPr>
                <w:szCs w:val="24"/>
                <w:lang w:val="sv-SE" w:eastAsia="et-EE"/>
              </w:rPr>
              <w:t>Seemnerakkude sulatamine (ühe sulatamise korra kohta)</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A2D22F7" w14:textId="77777777" w:rsidR="00116F44" w:rsidRPr="00687DE8" w:rsidRDefault="00116F44" w:rsidP="00116F44">
            <w:pPr>
              <w:spacing w:after="0" w:line="240" w:lineRule="auto"/>
              <w:jc w:val="center"/>
              <w:rPr>
                <w:b/>
                <w:szCs w:val="24"/>
              </w:rPr>
            </w:pPr>
            <w:r w:rsidRPr="00687DE8">
              <w:rPr>
                <w:szCs w:val="24"/>
              </w:rPr>
              <w:t>7399</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0F6FB8" w14:textId="3C51692D" w:rsidR="2E1E8EE1" w:rsidRPr="00687DE8" w:rsidRDefault="00D87B94">
            <w:pPr>
              <w:spacing w:after="0"/>
              <w:jc w:val="center"/>
              <w:rPr>
                <w:color w:val="000000" w:themeColor="text1"/>
                <w:szCs w:val="24"/>
              </w:rPr>
            </w:pPr>
            <w:r>
              <w:rPr>
                <w:color w:val="000000"/>
              </w:rPr>
              <w:t>94,45</w:t>
            </w:r>
          </w:p>
        </w:tc>
      </w:tr>
    </w:tbl>
    <w:p w14:paraId="483433E4" w14:textId="77777777" w:rsidR="00976487" w:rsidRPr="00687DE8" w:rsidRDefault="00976487" w:rsidP="00976487">
      <w:pPr>
        <w:spacing w:after="0" w:line="240" w:lineRule="auto"/>
        <w:jc w:val="both"/>
        <w:outlineLvl w:val="2"/>
        <w:divId w:val="1316184749"/>
        <w:rPr>
          <w:b/>
          <w:bCs/>
          <w:szCs w:val="24"/>
        </w:rPr>
      </w:pPr>
    </w:p>
    <w:p w14:paraId="15B79137" w14:textId="145C54F8" w:rsidR="00976487" w:rsidRPr="00687DE8" w:rsidRDefault="00AB10D1" w:rsidP="00976487">
      <w:pPr>
        <w:spacing w:after="0" w:line="240" w:lineRule="auto"/>
        <w:jc w:val="both"/>
        <w:divId w:val="1316184749"/>
        <w:rPr>
          <w:szCs w:val="24"/>
        </w:rPr>
      </w:pPr>
      <w:r w:rsidRPr="00687DE8">
        <w:rPr>
          <w:szCs w:val="24"/>
        </w:rPr>
        <w:t>(4) L</w:t>
      </w:r>
      <w:r w:rsidR="00976487" w:rsidRPr="00687DE8">
        <w:rPr>
          <w:szCs w:val="24"/>
        </w:rPr>
        <w:t xml:space="preserve">õikes 3 loetletud kehavälise viljastamisega seotud teenuste eest võtab </w:t>
      </w:r>
      <w:r w:rsidR="005023FD" w:rsidRPr="00687DE8">
        <w:rPr>
          <w:szCs w:val="24"/>
        </w:rPr>
        <w:t>Tervisekassa</w:t>
      </w:r>
      <w:r w:rsidR="00976487" w:rsidRPr="00687DE8">
        <w:rPr>
          <w:szCs w:val="24"/>
        </w:rPr>
        <w:t xml:space="preserve"> tasu maksmise kohustuse üle kuni 40-aastaselt naissoost kindlustatud isikult.</w:t>
      </w:r>
    </w:p>
    <w:p w14:paraId="3E4AA739" w14:textId="77777777" w:rsidR="00976487" w:rsidRPr="00687DE8" w:rsidRDefault="00976487" w:rsidP="00976487">
      <w:pPr>
        <w:spacing w:after="0" w:line="240" w:lineRule="auto"/>
        <w:jc w:val="both"/>
        <w:divId w:val="1316184749"/>
        <w:rPr>
          <w:szCs w:val="24"/>
        </w:rPr>
      </w:pPr>
    </w:p>
    <w:p w14:paraId="50FE110B" w14:textId="36BDC222" w:rsidR="00976487" w:rsidRPr="00687DE8" w:rsidRDefault="00976487" w:rsidP="00976487">
      <w:pPr>
        <w:spacing w:after="0" w:line="240" w:lineRule="auto"/>
        <w:jc w:val="both"/>
        <w:divId w:val="1316184749"/>
        <w:rPr>
          <w:szCs w:val="24"/>
        </w:rPr>
      </w:pPr>
      <w:r w:rsidRPr="00687DE8">
        <w:rPr>
          <w:szCs w:val="24"/>
        </w:rPr>
        <w:t xml:space="preserve">(5) </w:t>
      </w:r>
      <w:r w:rsidR="005023FD" w:rsidRPr="00687DE8">
        <w:rPr>
          <w:szCs w:val="24"/>
        </w:rPr>
        <w:t>Tervisekassa</w:t>
      </w:r>
      <w:r w:rsidRPr="00687DE8">
        <w:rPr>
          <w:szCs w:val="24"/>
        </w:rPr>
        <w:t xml:space="preserve"> võtab koodiga 7389 tähistatud tervishoiuteenuse eest tasu maksmise kohustuse üle kuni kuue järjestikuse protseduuri eest kuni raseduse tuvastamiseni.</w:t>
      </w:r>
    </w:p>
    <w:p w14:paraId="3DE0BCF2" w14:textId="77777777" w:rsidR="00976487" w:rsidRPr="00687DE8" w:rsidRDefault="00976487" w:rsidP="00976487">
      <w:pPr>
        <w:spacing w:after="0" w:line="240" w:lineRule="auto"/>
        <w:jc w:val="both"/>
        <w:divId w:val="1316184749"/>
        <w:rPr>
          <w:szCs w:val="24"/>
        </w:rPr>
      </w:pPr>
    </w:p>
    <w:p w14:paraId="71BD639B" w14:textId="77777777" w:rsidR="00976487" w:rsidRPr="00687DE8" w:rsidRDefault="00976487" w:rsidP="00976487">
      <w:pPr>
        <w:spacing w:after="0" w:line="240" w:lineRule="auto"/>
        <w:jc w:val="both"/>
        <w:divId w:val="1316184749"/>
        <w:rPr>
          <w:szCs w:val="24"/>
        </w:rPr>
      </w:pPr>
      <w:r w:rsidRPr="00687DE8">
        <w:rPr>
          <w:szCs w:val="24"/>
        </w:rPr>
        <w:t>(6) Koodiga 7394 tähistatud tervishoiuteenuse piirhind sisaldab embrüote 60 päeva säilitamise kulu.</w:t>
      </w:r>
    </w:p>
    <w:p w14:paraId="09A32D65" w14:textId="77777777" w:rsidR="00976487" w:rsidRPr="00687DE8" w:rsidRDefault="00976487" w:rsidP="00976487">
      <w:pPr>
        <w:spacing w:after="0" w:line="240" w:lineRule="auto"/>
        <w:jc w:val="both"/>
        <w:divId w:val="1316184749"/>
        <w:rPr>
          <w:szCs w:val="24"/>
        </w:rPr>
      </w:pPr>
    </w:p>
    <w:p w14:paraId="54112760" w14:textId="77777777" w:rsidR="00976487" w:rsidRPr="00687DE8" w:rsidRDefault="00976487" w:rsidP="00976487">
      <w:pPr>
        <w:spacing w:after="0" w:line="240" w:lineRule="auto"/>
        <w:jc w:val="both"/>
        <w:divId w:val="1316184749"/>
        <w:rPr>
          <w:szCs w:val="24"/>
        </w:rPr>
      </w:pPr>
      <w:r w:rsidRPr="00687DE8">
        <w:rPr>
          <w:szCs w:val="24"/>
        </w:rPr>
        <w:t xml:space="preserve">(7) Viljakust säilitavate protseduuride piirhinnad on järgmised: </w:t>
      </w:r>
    </w:p>
    <w:p w14:paraId="312063BE"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1134"/>
        <w:gridCol w:w="1158"/>
      </w:tblGrid>
      <w:tr w:rsidR="00976487" w:rsidRPr="00687DE8" w14:paraId="6097059E" w14:textId="77777777" w:rsidTr="00006096">
        <w:trPr>
          <w:divId w:val="1316184749"/>
        </w:trPr>
        <w:tc>
          <w:tcPr>
            <w:tcW w:w="7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29F5002" w14:textId="77777777" w:rsidR="00976487" w:rsidRPr="00687DE8" w:rsidRDefault="00976487">
            <w:pPr>
              <w:spacing w:after="0" w:line="240" w:lineRule="auto"/>
              <w:jc w:val="center"/>
              <w:rPr>
                <w:b/>
                <w:szCs w:val="24"/>
                <w:lang w:eastAsia="et-EE"/>
              </w:rPr>
            </w:pPr>
            <w:r w:rsidRPr="00687DE8">
              <w:rPr>
                <w:b/>
                <w:szCs w:val="24"/>
                <w:lang w:eastAsia="et-EE"/>
              </w:rPr>
              <w:t>Tervishoiuteenuse nimetus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4CD2A59" w14:textId="77777777" w:rsidR="00976487" w:rsidRPr="00687DE8" w:rsidRDefault="00976487">
            <w:pPr>
              <w:spacing w:after="0" w:line="240" w:lineRule="auto"/>
              <w:jc w:val="center"/>
              <w:rPr>
                <w:b/>
                <w:szCs w:val="24"/>
              </w:rPr>
            </w:pPr>
            <w:r w:rsidRPr="00687DE8">
              <w:rPr>
                <w:b/>
                <w:szCs w:val="24"/>
              </w:rPr>
              <w:t>Kood</w:t>
            </w:r>
          </w:p>
        </w:tc>
        <w:tc>
          <w:tcPr>
            <w:tcW w:w="11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DE9F6D" w14:textId="77777777" w:rsidR="00976487" w:rsidRPr="00687DE8" w:rsidRDefault="00976487">
            <w:pPr>
              <w:tabs>
                <w:tab w:val="decimal" w:pos="635"/>
              </w:tabs>
              <w:spacing w:after="0" w:line="240" w:lineRule="auto"/>
              <w:jc w:val="center"/>
              <w:rPr>
                <w:b/>
                <w:szCs w:val="24"/>
              </w:rPr>
            </w:pPr>
            <w:r w:rsidRPr="00687DE8">
              <w:rPr>
                <w:b/>
                <w:szCs w:val="24"/>
              </w:rPr>
              <w:t>Piirhind</w:t>
            </w:r>
            <w:r w:rsidRPr="00687DE8">
              <w:rPr>
                <w:b/>
                <w:szCs w:val="24"/>
              </w:rPr>
              <w:br/>
              <w:t>eurodes</w:t>
            </w:r>
          </w:p>
        </w:tc>
      </w:tr>
      <w:tr w:rsidR="00563583" w:rsidRPr="00687DE8" w14:paraId="613EFAE0" w14:textId="77777777" w:rsidTr="00006096">
        <w:trPr>
          <w:divId w:val="1316184749"/>
          <w:trHeight w:val="300"/>
        </w:trPr>
        <w:tc>
          <w:tcPr>
            <w:tcW w:w="7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CBF6354" w14:textId="77777777" w:rsidR="00563583" w:rsidRPr="00687DE8" w:rsidRDefault="00563583" w:rsidP="00563583">
            <w:pPr>
              <w:spacing w:after="0" w:line="240" w:lineRule="auto"/>
              <w:rPr>
                <w:b/>
                <w:szCs w:val="24"/>
              </w:rPr>
            </w:pPr>
            <w:r w:rsidRPr="00687DE8">
              <w:rPr>
                <w:szCs w:val="24"/>
                <w:lang w:eastAsia="et-EE"/>
              </w:rPr>
              <w:t xml:space="preserve">Munarakkude külmutamine (ühe tsükli kohta)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5525AB0" w14:textId="2BA4BB23" w:rsidR="00563583" w:rsidRPr="00687DE8" w:rsidRDefault="00563583" w:rsidP="00563583">
            <w:pPr>
              <w:spacing w:after="0" w:line="240" w:lineRule="auto"/>
              <w:jc w:val="center"/>
              <w:rPr>
                <w:b/>
              </w:rPr>
            </w:pPr>
            <w:r>
              <w:t>7396</w:t>
            </w:r>
          </w:p>
        </w:tc>
        <w:tc>
          <w:tcPr>
            <w:tcW w:w="11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ECCABB" w14:textId="1A3CB911" w:rsidR="2E1E8EE1" w:rsidRPr="00687DE8" w:rsidRDefault="00D87B94">
            <w:pPr>
              <w:spacing w:after="0"/>
              <w:jc w:val="center"/>
              <w:rPr>
                <w:color w:val="000000" w:themeColor="text1"/>
                <w:szCs w:val="24"/>
              </w:rPr>
            </w:pPr>
            <w:r>
              <w:rPr>
                <w:color w:val="000000"/>
              </w:rPr>
              <w:t>874,23</w:t>
            </w:r>
          </w:p>
        </w:tc>
      </w:tr>
      <w:tr w:rsidR="00563583" w:rsidRPr="00687DE8" w14:paraId="145A5D9B" w14:textId="77777777" w:rsidTr="00006096">
        <w:trPr>
          <w:divId w:val="1316184749"/>
          <w:trHeight w:val="300"/>
        </w:trPr>
        <w:tc>
          <w:tcPr>
            <w:tcW w:w="7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82B460E" w14:textId="77777777" w:rsidR="00563583" w:rsidRPr="00687DE8" w:rsidRDefault="00563583" w:rsidP="00563583">
            <w:pPr>
              <w:spacing w:after="0" w:line="240" w:lineRule="auto"/>
              <w:rPr>
                <w:szCs w:val="24"/>
                <w:lang w:eastAsia="et-EE"/>
              </w:rPr>
            </w:pPr>
            <w:r w:rsidRPr="00687DE8">
              <w:rPr>
                <w:szCs w:val="24"/>
                <w:lang w:eastAsia="et-EE"/>
              </w:rPr>
              <w:t xml:space="preserve">Seemnerakkude külmutamine (ühe annetuse kohta)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F2B6964" w14:textId="77777777" w:rsidR="00563583" w:rsidRPr="00687DE8" w:rsidRDefault="00563583" w:rsidP="00563583">
            <w:pPr>
              <w:spacing w:after="0" w:line="240" w:lineRule="auto"/>
              <w:jc w:val="center"/>
              <w:rPr>
                <w:szCs w:val="24"/>
              </w:rPr>
            </w:pPr>
            <w:r w:rsidRPr="00687DE8">
              <w:rPr>
                <w:szCs w:val="24"/>
              </w:rPr>
              <w:t>7398</w:t>
            </w:r>
          </w:p>
        </w:tc>
        <w:tc>
          <w:tcPr>
            <w:tcW w:w="115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DAFAB3" w14:textId="26949339" w:rsidR="2E1E8EE1" w:rsidRPr="00687DE8" w:rsidRDefault="00D87B94">
            <w:pPr>
              <w:spacing w:after="0"/>
              <w:jc w:val="center"/>
              <w:rPr>
                <w:color w:val="000000" w:themeColor="text1"/>
                <w:szCs w:val="24"/>
              </w:rPr>
            </w:pPr>
            <w:r>
              <w:rPr>
                <w:color w:val="000000"/>
              </w:rPr>
              <w:t>539,50</w:t>
            </w:r>
          </w:p>
        </w:tc>
      </w:tr>
    </w:tbl>
    <w:p w14:paraId="69C5AF4A" w14:textId="77777777" w:rsidR="00976487" w:rsidRPr="00687DE8" w:rsidRDefault="00976487" w:rsidP="00976487">
      <w:pPr>
        <w:spacing w:after="0" w:line="240" w:lineRule="auto"/>
        <w:jc w:val="both"/>
        <w:divId w:val="1316184749"/>
        <w:rPr>
          <w:szCs w:val="24"/>
        </w:rPr>
      </w:pPr>
    </w:p>
    <w:p w14:paraId="5FE29B9F" w14:textId="6A1018BD" w:rsidR="00976487" w:rsidRPr="00687DE8" w:rsidRDefault="00976487" w:rsidP="00976487">
      <w:pPr>
        <w:spacing w:after="0" w:line="240" w:lineRule="auto"/>
        <w:jc w:val="both"/>
        <w:divId w:val="1316184749"/>
        <w:rPr>
          <w:szCs w:val="24"/>
        </w:rPr>
      </w:pPr>
      <w:r w:rsidRPr="00687DE8">
        <w:rPr>
          <w:szCs w:val="24"/>
        </w:rPr>
        <w:t xml:space="preserve">(8) </w:t>
      </w:r>
      <w:r w:rsidR="005023FD" w:rsidRPr="00687DE8">
        <w:rPr>
          <w:szCs w:val="24"/>
        </w:rPr>
        <w:t>Tervisekassa</w:t>
      </w:r>
      <w:r w:rsidRPr="00687DE8">
        <w:rPr>
          <w:szCs w:val="24"/>
        </w:rPr>
        <w:t xml:space="preserve"> võtab koodiga 7396 tähistatud tervishoiuteenuse eest tasu maksmise kohustuse üle kuni 35-aastaselt patsiendilt enne viljakust kahjustava ravi (sh onkoloogilise või autoimmuunse haiguse süstemaatiline ravi) alustamist või viljakust kahjustava seisundi esinemise korral juhul, kui otsuse teenuse rakendamiseks on teinud eksper</w:t>
      </w:r>
      <w:r w:rsidR="003D4ECC" w:rsidRPr="00687DE8">
        <w:rPr>
          <w:szCs w:val="24"/>
        </w:rPr>
        <w:t>di</w:t>
      </w:r>
      <w:r w:rsidRPr="00687DE8">
        <w:rPr>
          <w:szCs w:val="24"/>
        </w:rPr>
        <w:t>komisjon, millesse kuuluvad vähemalt patsiendi raviarst ja günekoloog või IVF</w:t>
      </w:r>
      <w:r w:rsidR="00FD4C3C" w:rsidRPr="00687DE8">
        <w:rPr>
          <w:szCs w:val="24"/>
        </w:rPr>
        <w:t>-</w:t>
      </w:r>
      <w:r w:rsidRPr="00687DE8">
        <w:rPr>
          <w:szCs w:val="24"/>
        </w:rPr>
        <w:t>spetsialist.</w:t>
      </w:r>
    </w:p>
    <w:p w14:paraId="137918A1" w14:textId="77777777" w:rsidR="00976487" w:rsidRPr="00687DE8" w:rsidRDefault="00976487" w:rsidP="00976487">
      <w:pPr>
        <w:spacing w:after="0" w:line="240" w:lineRule="auto"/>
        <w:jc w:val="both"/>
        <w:divId w:val="1316184749"/>
        <w:rPr>
          <w:szCs w:val="24"/>
        </w:rPr>
      </w:pPr>
    </w:p>
    <w:p w14:paraId="27B28140" w14:textId="77777777" w:rsidR="00976487" w:rsidRPr="00687DE8" w:rsidRDefault="00976487" w:rsidP="00976487">
      <w:pPr>
        <w:spacing w:after="0" w:line="240" w:lineRule="auto"/>
        <w:jc w:val="both"/>
        <w:divId w:val="1316184749"/>
        <w:rPr>
          <w:szCs w:val="24"/>
        </w:rPr>
      </w:pPr>
      <w:r w:rsidRPr="00687DE8">
        <w:rPr>
          <w:szCs w:val="24"/>
        </w:rPr>
        <w:t>(9) Koodiga 7396 tähistatud tervishoiuteenuse piirhind sisaldab munarakkude seitsme aasta säilitamise kulu.</w:t>
      </w:r>
    </w:p>
    <w:p w14:paraId="061546E6" w14:textId="77777777" w:rsidR="00976487" w:rsidRPr="00687DE8" w:rsidRDefault="00976487" w:rsidP="00976487">
      <w:pPr>
        <w:spacing w:after="0" w:line="240" w:lineRule="auto"/>
        <w:jc w:val="both"/>
        <w:divId w:val="1316184749"/>
        <w:rPr>
          <w:szCs w:val="24"/>
        </w:rPr>
      </w:pPr>
    </w:p>
    <w:p w14:paraId="794DA670" w14:textId="2BAEF259" w:rsidR="00976487" w:rsidRPr="00687DE8" w:rsidRDefault="00976487" w:rsidP="00976487">
      <w:pPr>
        <w:spacing w:after="0" w:line="240" w:lineRule="auto"/>
        <w:jc w:val="both"/>
        <w:divId w:val="1316184749"/>
        <w:rPr>
          <w:szCs w:val="24"/>
        </w:rPr>
      </w:pPr>
      <w:r w:rsidRPr="00687DE8">
        <w:rPr>
          <w:szCs w:val="24"/>
        </w:rPr>
        <w:t xml:space="preserve">(10) </w:t>
      </w:r>
      <w:r w:rsidR="005023FD" w:rsidRPr="00687DE8">
        <w:rPr>
          <w:szCs w:val="24"/>
        </w:rPr>
        <w:t>Tervisekassa</w:t>
      </w:r>
      <w:r w:rsidRPr="00687DE8">
        <w:rPr>
          <w:szCs w:val="24"/>
        </w:rPr>
        <w:t xml:space="preserve"> võtab koodiga 7398 tähistatud tervishoiuteenuse eest tasu maksmise kohustuse üle kuni 40-aastaselt patsiendilt enne viljakust kahjustava ravi (</w:t>
      </w:r>
      <w:r w:rsidR="005A2668" w:rsidRPr="00687DE8">
        <w:rPr>
          <w:szCs w:val="24"/>
        </w:rPr>
        <w:t xml:space="preserve">sealhulgas </w:t>
      </w:r>
      <w:r w:rsidRPr="00687DE8">
        <w:rPr>
          <w:szCs w:val="24"/>
        </w:rPr>
        <w:t>onkoloogilise või autoimmuunse haiguse süstemaatiline ravi) alustamist või viljakust kahjustava seisundi esinemise korral juhul, kui otsuse teenuse rakendamiseks on teinud eksper</w:t>
      </w:r>
      <w:r w:rsidR="009E65D0" w:rsidRPr="00687DE8">
        <w:rPr>
          <w:szCs w:val="24"/>
        </w:rPr>
        <w:t>di</w:t>
      </w:r>
      <w:r w:rsidRPr="00687DE8">
        <w:rPr>
          <w:szCs w:val="24"/>
        </w:rPr>
        <w:t>komisjon, millesse kuuluvad vähemalt kaks arsti, kellest üks on patsiendi raviarst või onkoloog ja teine IVF</w:t>
      </w:r>
      <w:r w:rsidR="003B0FA6" w:rsidRPr="00687DE8">
        <w:rPr>
          <w:szCs w:val="24"/>
        </w:rPr>
        <w:t>-</w:t>
      </w:r>
      <w:r w:rsidRPr="00687DE8">
        <w:rPr>
          <w:szCs w:val="24"/>
        </w:rPr>
        <w:t>spetsialist.</w:t>
      </w:r>
    </w:p>
    <w:p w14:paraId="32F7226E" w14:textId="77777777" w:rsidR="00976487" w:rsidRPr="00687DE8" w:rsidRDefault="00976487" w:rsidP="00976487">
      <w:pPr>
        <w:spacing w:after="0" w:line="240" w:lineRule="auto"/>
        <w:jc w:val="both"/>
        <w:divId w:val="1316184749"/>
        <w:rPr>
          <w:szCs w:val="24"/>
        </w:rPr>
      </w:pPr>
    </w:p>
    <w:p w14:paraId="4DF0A6A8" w14:textId="77777777" w:rsidR="00976487" w:rsidRPr="00687DE8" w:rsidRDefault="00976487" w:rsidP="00976487">
      <w:pPr>
        <w:spacing w:after="0" w:line="240" w:lineRule="auto"/>
        <w:jc w:val="both"/>
        <w:divId w:val="1316184749"/>
        <w:rPr>
          <w:szCs w:val="24"/>
        </w:rPr>
      </w:pPr>
      <w:r w:rsidRPr="00687DE8">
        <w:rPr>
          <w:szCs w:val="24"/>
        </w:rPr>
        <w:lastRenderedPageBreak/>
        <w:t xml:space="preserve">(11) Koodiga 7398 tähistatud tervishoiuteenuse piirhind sisaldab seemnerakkude hankimise kulu ja seemnerakkude seitsme aasta säilitamise kulu. </w:t>
      </w:r>
    </w:p>
    <w:p w14:paraId="24366CED" w14:textId="77777777" w:rsidR="00976487" w:rsidRPr="00687DE8" w:rsidRDefault="00976487" w:rsidP="00976487">
      <w:pPr>
        <w:spacing w:after="0" w:line="240" w:lineRule="auto"/>
        <w:jc w:val="both"/>
        <w:outlineLvl w:val="2"/>
        <w:divId w:val="1316184749"/>
        <w:rPr>
          <w:b/>
          <w:bCs/>
          <w:szCs w:val="24"/>
        </w:rPr>
      </w:pPr>
    </w:p>
    <w:p w14:paraId="56FD772B" w14:textId="77777777" w:rsidR="00976487" w:rsidRDefault="00976487" w:rsidP="00976487">
      <w:pPr>
        <w:spacing w:after="0" w:line="240" w:lineRule="auto"/>
        <w:jc w:val="both"/>
        <w:outlineLvl w:val="2"/>
        <w:divId w:val="1316184749"/>
        <w:rPr>
          <w:b/>
          <w:szCs w:val="24"/>
        </w:rPr>
      </w:pPr>
      <w:r w:rsidRPr="00687DE8">
        <w:rPr>
          <w:b/>
          <w:szCs w:val="24"/>
        </w:rPr>
        <w:t>§ 3</w:t>
      </w:r>
      <w:r w:rsidR="00296746" w:rsidRPr="00687DE8">
        <w:rPr>
          <w:b/>
          <w:szCs w:val="24"/>
        </w:rPr>
        <w:t>6</w:t>
      </w:r>
      <w:r w:rsidRPr="00687DE8">
        <w:rPr>
          <w:b/>
          <w:szCs w:val="24"/>
        </w:rPr>
        <w:t>. Onkoloogiliste uuringute ja protseduuride piirhinnad</w:t>
      </w:r>
    </w:p>
    <w:p w14:paraId="0EA13079" w14:textId="58CD37DF" w:rsidR="00484105" w:rsidRDefault="00484105" w:rsidP="00976487">
      <w:pPr>
        <w:spacing w:after="0" w:line="240" w:lineRule="auto"/>
        <w:jc w:val="both"/>
        <w:divId w:val="1316184749"/>
        <w:rPr>
          <w:szCs w:val="24"/>
        </w:rPr>
      </w:pPr>
    </w:p>
    <w:p w14:paraId="54D199DE" w14:textId="1E7521DF" w:rsidR="00976487" w:rsidRPr="00687DE8" w:rsidRDefault="00976487" w:rsidP="00976487">
      <w:pPr>
        <w:spacing w:after="0" w:line="240" w:lineRule="auto"/>
        <w:jc w:val="both"/>
        <w:divId w:val="1316184749"/>
        <w:rPr>
          <w:szCs w:val="24"/>
        </w:rPr>
      </w:pPr>
      <w:r w:rsidRPr="00687DE8">
        <w:rPr>
          <w:szCs w:val="24"/>
        </w:rPr>
        <w:t>(1) Onkoloogiliste uuringute ja protseduuride piirhinnad on järgmised:</w:t>
      </w:r>
    </w:p>
    <w:p w14:paraId="0808AD0C"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7"/>
        <w:gridCol w:w="1089"/>
        <w:gridCol w:w="1119"/>
      </w:tblGrid>
      <w:tr w:rsidR="00976487" w:rsidRPr="00687DE8" w14:paraId="5BBDC903" w14:textId="77777777" w:rsidTr="007935D7">
        <w:trPr>
          <w:divId w:val="1316184749"/>
          <w:tblHeader/>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E35F34" w14:textId="77777777" w:rsidR="00976487" w:rsidRPr="00687DE8" w:rsidRDefault="00976487">
            <w:pPr>
              <w:spacing w:after="0" w:line="240" w:lineRule="auto"/>
              <w:jc w:val="center"/>
              <w:rPr>
                <w:szCs w:val="24"/>
              </w:rPr>
            </w:pPr>
            <w:r w:rsidRPr="00687DE8">
              <w:rPr>
                <w:b/>
                <w:szCs w:val="24"/>
              </w:rPr>
              <w:t>Tervishoiuteenuse nimetus</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C8306B" w14:textId="77777777" w:rsidR="00976487" w:rsidRPr="00687DE8" w:rsidRDefault="00976487">
            <w:pPr>
              <w:spacing w:after="0" w:line="240" w:lineRule="auto"/>
              <w:jc w:val="center"/>
              <w:rPr>
                <w:szCs w:val="24"/>
              </w:rPr>
            </w:pPr>
            <w:r w:rsidRPr="00687DE8">
              <w:rPr>
                <w:b/>
                <w:szCs w:val="24"/>
              </w:rPr>
              <w:t>Kood</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F6739A"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C83C2D" w:rsidRPr="00687DE8" w14:paraId="30813BA1" w14:textId="77777777" w:rsidTr="00934CCC">
        <w:trPr>
          <w:divId w:val="1316184749"/>
          <w:trHeight w:val="300"/>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D571DA" w14:textId="77777777" w:rsidR="00C83C2D" w:rsidRPr="00687DE8" w:rsidRDefault="00C83C2D" w:rsidP="00C83C2D">
            <w:pPr>
              <w:spacing w:after="0" w:line="240" w:lineRule="auto"/>
              <w:rPr>
                <w:szCs w:val="24"/>
              </w:rPr>
            </w:pPr>
            <w:r w:rsidRPr="00687DE8">
              <w:rPr>
                <w:szCs w:val="24"/>
              </w:rPr>
              <w:t>Strenaalpunktsioon</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7D720B" w14:textId="77777777" w:rsidR="00C83C2D" w:rsidRPr="00687DE8" w:rsidRDefault="00C83C2D" w:rsidP="00C83C2D">
            <w:pPr>
              <w:spacing w:after="0" w:line="240" w:lineRule="auto"/>
              <w:jc w:val="center"/>
              <w:rPr>
                <w:szCs w:val="24"/>
              </w:rPr>
            </w:pPr>
            <w:r w:rsidRPr="00687DE8">
              <w:rPr>
                <w:szCs w:val="24"/>
              </w:rPr>
              <w:t>7412</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8942CB" w14:textId="2CE0C794" w:rsidR="2E1E8EE1" w:rsidRPr="00687DE8" w:rsidRDefault="00D87B94">
            <w:pPr>
              <w:spacing w:after="0"/>
              <w:jc w:val="center"/>
              <w:rPr>
                <w:color w:val="000000" w:themeColor="text1"/>
                <w:szCs w:val="24"/>
              </w:rPr>
            </w:pPr>
            <w:r>
              <w:rPr>
                <w:color w:val="000000"/>
              </w:rPr>
              <w:t>43,53</w:t>
            </w:r>
          </w:p>
        </w:tc>
      </w:tr>
      <w:tr w:rsidR="00C83C2D" w:rsidRPr="00687DE8" w14:paraId="23AB60DA" w14:textId="77777777" w:rsidTr="00934CCC">
        <w:trPr>
          <w:divId w:val="1316184749"/>
          <w:trHeight w:val="300"/>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D95731" w14:textId="77777777" w:rsidR="00C83C2D" w:rsidRPr="00687DE8" w:rsidRDefault="00C83C2D" w:rsidP="00C83C2D">
            <w:pPr>
              <w:spacing w:after="0" w:line="240" w:lineRule="auto"/>
              <w:rPr>
                <w:szCs w:val="24"/>
              </w:rPr>
            </w:pPr>
            <w:r w:rsidRPr="00687DE8">
              <w:rPr>
                <w:szCs w:val="24"/>
              </w:rPr>
              <w:t>Pleura, kopsuparenhüümi või keskseinandi tuumori transtorakaalne aspiratsiooni biopsia</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F2EC7B" w14:textId="77777777" w:rsidR="00C83C2D" w:rsidRPr="00687DE8" w:rsidRDefault="00C83C2D" w:rsidP="00C83C2D">
            <w:pPr>
              <w:spacing w:after="0" w:line="240" w:lineRule="auto"/>
              <w:jc w:val="center"/>
              <w:rPr>
                <w:szCs w:val="24"/>
              </w:rPr>
            </w:pPr>
          </w:p>
          <w:p w14:paraId="26672A4A" w14:textId="77777777" w:rsidR="00C83C2D" w:rsidRPr="00687DE8" w:rsidRDefault="00C83C2D" w:rsidP="00C83C2D">
            <w:pPr>
              <w:spacing w:after="0" w:line="240" w:lineRule="auto"/>
              <w:jc w:val="center"/>
              <w:rPr>
                <w:szCs w:val="24"/>
              </w:rPr>
            </w:pPr>
            <w:r w:rsidRPr="00687DE8">
              <w:rPr>
                <w:szCs w:val="24"/>
              </w:rPr>
              <w:t>7413</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DEBB72" w14:textId="46553263" w:rsidR="2E1E8EE1" w:rsidRPr="00687DE8" w:rsidRDefault="00D87B94">
            <w:pPr>
              <w:spacing w:after="0"/>
              <w:jc w:val="center"/>
              <w:rPr>
                <w:color w:val="000000" w:themeColor="text1"/>
                <w:szCs w:val="24"/>
              </w:rPr>
            </w:pPr>
            <w:r>
              <w:rPr>
                <w:color w:val="000000"/>
              </w:rPr>
              <w:t>58,04</w:t>
            </w:r>
          </w:p>
        </w:tc>
      </w:tr>
      <w:tr w:rsidR="00C83C2D" w:rsidRPr="00687DE8" w14:paraId="5A6DF58C" w14:textId="77777777" w:rsidTr="00934CCC">
        <w:trPr>
          <w:divId w:val="1316184749"/>
          <w:trHeight w:val="300"/>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AF524E" w14:textId="77777777" w:rsidR="00C83C2D" w:rsidRPr="00687DE8" w:rsidRDefault="00C83C2D" w:rsidP="00C83C2D">
            <w:pPr>
              <w:spacing w:after="0" w:line="240" w:lineRule="auto"/>
              <w:rPr>
                <w:szCs w:val="24"/>
              </w:rPr>
            </w:pPr>
            <w:r w:rsidRPr="00687DE8">
              <w:rPr>
                <w:szCs w:val="24"/>
              </w:rPr>
              <w:t>Bronhiaalpuu diagnostiline sondeerimine</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F53C45" w14:textId="77777777" w:rsidR="00C83C2D" w:rsidRPr="00687DE8" w:rsidRDefault="00C83C2D" w:rsidP="00C83C2D">
            <w:pPr>
              <w:spacing w:after="0" w:line="240" w:lineRule="auto"/>
              <w:jc w:val="center"/>
              <w:rPr>
                <w:szCs w:val="24"/>
              </w:rPr>
            </w:pPr>
            <w:r w:rsidRPr="00687DE8">
              <w:rPr>
                <w:szCs w:val="24"/>
              </w:rPr>
              <w:t>7414</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51D7E9" w14:textId="4D7ACD97" w:rsidR="2E1E8EE1" w:rsidRPr="00687DE8" w:rsidRDefault="00D87B94">
            <w:pPr>
              <w:spacing w:after="0"/>
              <w:jc w:val="center"/>
              <w:rPr>
                <w:color w:val="000000" w:themeColor="text1"/>
                <w:szCs w:val="24"/>
              </w:rPr>
            </w:pPr>
            <w:r>
              <w:rPr>
                <w:color w:val="000000"/>
              </w:rPr>
              <w:t>19,24</w:t>
            </w:r>
          </w:p>
        </w:tc>
      </w:tr>
      <w:tr w:rsidR="00C83C2D" w:rsidRPr="00687DE8" w14:paraId="26D316D4" w14:textId="77777777" w:rsidTr="00934CCC">
        <w:trPr>
          <w:divId w:val="1316184749"/>
          <w:trHeight w:val="300"/>
        </w:trPr>
        <w:tc>
          <w:tcPr>
            <w:tcW w:w="71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71E402" w14:textId="77777777" w:rsidR="00C83C2D" w:rsidRPr="00687DE8" w:rsidRDefault="00C83C2D" w:rsidP="00C83C2D">
            <w:pPr>
              <w:spacing w:after="0" w:line="240" w:lineRule="auto"/>
              <w:rPr>
                <w:szCs w:val="24"/>
              </w:rPr>
            </w:pPr>
            <w:r w:rsidRPr="00687DE8">
              <w:rPr>
                <w:szCs w:val="24"/>
              </w:rPr>
              <w:t>Tsütostaatilise ravikuuri planeerimine ja manustamine, kuni 24 tundi</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450CFF" w14:textId="77777777" w:rsidR="00C83C2D" w:rsidRPr="00687DE8" w:rsidRDefault="00C83C2D" w:rsidP="00C83C2D">
            <w:pPr>
              <w:spacing w:after="0" w:line="240" w:lineRule="auto"/>
              <w:jc w:val="center"/>
              <w:rPr>
                <w:szCs w:val="24"/>
              </w:rPr>
            </w:pPr>
            <w:r w:rsidRPr="00687DE8">
              <w:rPr>
                <w:szCs w:val="24"/>
              </w:rPr>
              <w:t>7419</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6E72E0" w14:textId="7B2DFA96" w:rsidR="2E1E8EE1" w:rsidRPr="00687DE8" w:rsidRDefault="00D87B94">
            <w:pPr>
              <w:spacing w:after="0"/>
              <w:jc w:val="center"/>
              <w:rPr>
                <w:color w:val="000000" w:themeColor="text1"/>
                <w:szCs w:val="24"/>
              </w:rPr>
            </w:pPr>
            <w:r>
              <w:rPr>
                <w:color w:val="000000"/>
              </w:rPr>
              <w:t>79,05</w:t>
            </w:r>
          </w:p>
        </w:tc>
      </w:tr>
    </w:tbl>
    <w:p w14:paraId="0B1F7A51" w14:textId="77777777" w:rsidR="00976487" w:rsidRPr="00687DE8" w:rsidRDefault="00976487" w:rsidP="00976487">
      <w:pPr>
        <w:spacing w:after="0" w:line="240" w:lineRule="auto"/>
        <w:jc w:val="both"/>
        <w:outlineLvl w:val="2"/>
        <w:divId w:val="1316184749"/>
        <w:rPr>
          <w:szCs w:val="24"/>
        </w:rPr>
      </w:pPr>
    </w:p>
    <w:p w14:paraId="51A42AD9" w14:textId="77777777" w:rsidR="00976487" w:rsidRDefault="00976487" w:rsidP="00976487">
      <w:pPr>
        <w:spacing w:after="0" w:line="240" w:lineRule="auto"/>
        <w:jc w:val="both"/>
        <w:outlineLvl w:val="2"/>
        <w:divId w:val="1316184749"/>
        <w:rPr>
          <w:color w:val="202020"/>
          <w:szCs w:val="24"/>
          <w:shd w:val="clear" w:color="auto" w:fill="FFFFFF"/>
        </w:rPr>
      </w:pPr>
      <w:r w:rsidRPr="00687DE8">
        <w:rPr>
          <w:szCs w:val="24"/>
        </w:rPr>
        <w:t xml:space="preserve">(2) </w:t>
      </w:r>
      <w:r w:rsidRPr="00687DE8">
        <w:rPr>
          <w:color w:val="202020"/>
          <w:szCs w:val="24"/>
          <w:shd w:val="clear" w:color="auto" w:fill="FFFFFF"/>
        </w:rPr>
        <w:t>Koodiga 7419 tähistatud tervishoiuteenust ei rakendata koos koodiga 3075 tähistatud tervishoiuteenusega.</w:t>
      </w:r>
    </w:p>
    <w:p w14:paraId="299DBFF2" w14:textId="77777777" w:rsidR="004919DC" w:rsidRDefault="004919DC" w:rsidP="00976487">
      <w:pPr>
        <w:spacing w:after="0" w:line="240" w:lineRule="auto"/>
        <w:jc w:val="both"/>
        <w:outlineLvl w:val="2"/>
        <w:divId w:val="1316184749"/>
        <w:rPr>
          <w:color w:val="202020"/>
          <w:szCs w:val="24"/>
          <w:shd w:val="clear" w:color="auto" w:fill="FFFFFF"/>
        </w:rPr>
      </w:pPr>
    </w:p>
    <w:p w14:paraId="769B8142" w14:textId="3E22F410" w:rsidR="00F76478" w:rsidRPr="00687DE8" w:rsidRDefault="00976437" w:rsidP="00976487">
      <w:pPr>
        <w:spacing w:after="0" w:line="240" w:lineRule="auto"/>
        <w:jc w:val="both"/>
        <w:outlineLvl w:val="2"/>
        <w:divId w:val="1316184749"/>
      </w:pPr>
      <w:r w:rsidRPr="2E938F3F">
        <w:rPr>
          <w:color w:val="202020"/>
        </w:rPr>
        <w:t xml:space="preserve">(3) Koodiga </w:t>
      </w:r>
      <w:r w:rsidR="00EE1FE4" w:rsidRPr="2E938F3F">
        <w:rPr>
          <w:color w:val="202020"/>
        </w:rPr>
        <w:t>7419 tähistatud tervishoiuteenust rakendatakse</w:t>
      </w:r>
      <w:r w:rsidR="00D152BC">
        <w:rPr>
          <w:color w:val="202020"/>
        </w:rPr>
        <w:t xml:space="preserve"> </w:t>
      </w:r>
      <w:r w:rsidR="19335C4D" w:rsidRPr="2E938F3F">
        <w:rPr>
          <w:color w:val="202020"/>
        </w:rPr>
        <w:t xml:space="preserve">tsütostaatilise </w:t>
      </w:r>
      <w:r w:rsidR="007262CF" w:rsidRPr="2E938F3F">
        <w:rPr>
          <w:color w:val="202020"/>
        </w:rPr>
        <w:t>ravi planeerimisel</w:t>
      </w:r>
      <w:r w:rsidR="69003E6F" w:rsidRPr="2E938F3F">
        <w:rPr>
          <w:color w:val="202020"/>
        </w:rPr>
        <w:t xml:space="preserve"> </w:t>
      </w:r>
      <w:r w:rsidR="000B19D6" w:rsidRPr="2E938F3F">
        <w:rPr>
          <w:color w:val="202020"/>
        </w:rPr>
        <w:t xml:space="preserve">kasvajavastase </w:t>
      </w:r>
      <w:r w:rsidR="00596A36">
        <w:rPr>
          <w:color w:val="202020"/>
        </w:rPr>
        <w:t>ravimiga</w:t>
      </w:r>
      <w:r w:rsidR="00596A36" w:rsidRPr="2E938F3F">
        <w:rPr>
          <w:color w:val="202020"/>
        </w:rPr>
        <w:t xml:space="preserve"> </w:t>
      </w:r>
      <w:r w:rsidR="005B2ABE" w:rsidRPr="2E938F3F">
        <w:rPr>
          <w:color w:val="202020"/>
        </w:rPr>
        <w:t xml:space="preserve">või </w:t>
      </w:r>
      <w:r w:rsidR="00AC3A52" w:rsidRPr="007C054E">
        <w:t>§</w:t>
      </w:r>
      <w:r w:rsidR="00DC21BF">
        <w:t>-s</w:t>
      </w:r>
      <w:r w:rsidR="003B2B56">
        <w:t xml:space="preserve"> </w:t>
      </w:r>
      <w:r w:rsidR="000F1C55" w:rsidRPr="007C054E">
        <w:t>63 nimetatud ravimiteenus</w:t>
      </w:r>
      <w:r w:rsidR="005F3AE0">
        <w:t>e</w:t>
      </w:r>
      <w:r w:rsidR="0078764F">
        <w:t>ga</w:t>
      </w:r>
      <w:r w:rsidR="00017074" w:rsidRPr="007C054E">
        <w:t xml:space="preserve"> </w:t>
      </w:r>
      <w:r w:rsidR="00BA7D36" w:rsidRPr="2E938F3F">
        <w:rPr>
          <w:color w:val="202020"/>
        </w:rPr>
        <w:t xml:space="preserve">ja </w:t>
      </w:r>
      <w:r w:rsidR="00724AF7">
        <w:t xml:space="preserve">ravimi </w:t>
      </w:r>
      <w:r w:rsidR="7FD97C48" w:rsidRPr="2E938F3F">
        <w:rPr>
          <w:color w:val="202020"/>
        </w:rPr>
        <w:t xml:space="preserve">veenisisesel </w:t>
      </w:r>
      <w:r w:rsidR="0032621C" w:rsidRPr="2E938F3F">
        <w:rPr>
          <w:color w:val="202020"/>
        </w:rPr>
        <w:t>manustamisel</w:t>
      </w:r>
      <w:r w:rsidR="00263160" w:rsidRPr="00263160">
        <w:rPr>
          <w:color w:val="202020"/>
        </w:rPr>
        <w:t xml:space="preserve"> </w:t>
      </w:r>
      <w:r w:rsidR="00263160" w:rsidRPr="2E938F3F">
        <w:rPr>
          <w:color w:val="202020"/>
        </w:rPr>
        <w:t>suletud ülekandesüsteemiga</w:t>
      </w:r>
      <w:r w:rsidR="0032621C" w:rsidRPr="2E938F3F">
        <w:rPr>
          <w:color w:val="202020"/>
        </w:rPr>
        <w:t xml:space="preserve">. </w:t>
      </w:r>
    </w:p>
    <w:p w14:paraId="220CB43B" w14:textId="77777777" w:rsidR="005364F4" w:rsidRPr="00687DE8" w:rsidRDefault="005364F4" w:rsidP="00976487">
      <w:pPr>
        <w:spacing w:after="0" w:line="240" w:lineRule="auto"/>
        <w:jc w:val="both"/>
        <w:outlineLvl w:val="2"/>
        <w:divId w:val="1316184749"/>
        <w:rPr>
          <w:b/>
          <w:bCs/>
          <w:szCs w:val="24"/>
        </w:rPr>
      </w:pPr>
    </w:p>
    <w:p w14:paraId="5C6AF667" w14:textId="3DAC2C94" w:rsidR="00976487" w:rsidRDefault="00976487" w:rsidP="00976487">
      <w:pPr>
        <w:spacing w:after="0" w:line="240" w:lineRule="auto"/>
        <w:jc w:val="both"/>
        <w:outlineLvl w:val="2"/>
        <w:divId w:val="1316184749"/>
        <w:rPr>
          <w:b/>
          <w:bCs/>
        </w:rPr>
      </w:pPr>
      <w:r w:rsidRPr="619457CF">
        <w:rPr>
          <w:b/>
        </w:rPr>
        <w:t>§ 3</w:t>
      </w:r>
      <w:r w:rsidR="00296746" w:rsidRPr="619457CF">
        <w:rPr>
          <w:b/>
        </w:rPr>
        <w:t>7</w:t>
      </w:r>
      <w:r w:rsidRPr="619457CF">
        <w:rPr>
          <w:b/>
        </w:rPr>
        <w:t xml:space="preserve">. Allergoloogiliste uuringute ja protseduuride </w:t>
      </w:r>
      <w:r w:rsidRPr="619457CF">
        <w:rPr>
          <w:b/>
          <w:bCs/>
        </w:rPr>
        <w:t>piirhinnad</w:t>
      </w:r>
    </w:p>
    <w:p w14:paraId="1C4B25D2" w14:textId="77777777" w:rsidR="00484105" w:rsidRDefault="00484105" w:rsidP="00976487">
      <w:pPr>
        <w:spacing w:after="0" w:line="240" w:lineRule="auto"/>
        <w:jc w:val="both"/>
        <w:divId w:val="1316184749"/>
        <w:rPr>
          <w:szCs w:val="24"/>
        </w:rPr>
      </w:pPr>
    </w:p>
    <w:p w14:paraId="0E7BA563" w14:textId="53E53C67" w:rsidR="00976487" w:rsidRPr="00687DE8" w:rsidRDefault="00976487" w:rsidP="00976487">
      <w:pPr>
        <w:spacing w:after="0" w:line="240" w:lineRule="auto"/>
        <w:jc w:val="both"/>
        <w:divId w:val="1316184749"/>
        <w:rPr>
          <w:szCs w:val="24"/>
        </w:rPr>
      </w:pPr>
      <w:r w:rsidRPr="00687DE8">
        <w:rPr>
          <w:szCs w:val="24"/>
        </w:rPr>
        <w:t>Allergoloogiliste uuringute ja protseduuride piirhinnad on järgmised:</w:t>
      </w:r>
    </w:p>
    <w:p w14:paraId="388483E2"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9"/>
        <w:gridCol w:w="1072"/>
        <w:gridCol w:w="1114"/>
      </w:tblGrid>
      <w:tr w:rsidR="00976487" w:rsidRPr="00687DE8" w14:paraId="7389BC71" w14:textId="77777777" w:rsidTr="007935D7">
        <w:trPr>
          <w:divId w:val="1316184749"/>
          <w:tblHeader/>
        </w:trPr>
        <w:tc>
          <w:tcPr>
            <w:tcW w:w="71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C4426D" w14:textId="77777777" w:rsidR="00976487" w:rsidRPr="00687DE8" w:rsidRDefault="00976487">
            <w:pPr>
              <w:spacing w:after="0" w:line="240" w:lineRule="auto"/>
              <w:jc w:val="center"/>
              <w:rPr>
                <w:szCs w:val="24"/>
              </w:rPr>
            </w:pPr>
            <w:r w:rsidRPr="00687DE8">
              <w:rPr>
                <w:b/>
                <w:szCs w:val="24"/>
              </w:rPr>
              <w:t>Tervishoiuteenuse nimetus</w:t>
            </w:r>
          </w:p>
        </w:tc>
        <w:tc>
          <w:tcPr>
            <w:tcW w:w="1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353AD2" w14:textId="77777777" w:rsidR="00976487" w:rsidRPr="00687DE8" w:rsidRDefault="00976487">
            <w:pPr>
              <w:spacing w:after="0" w:line="240" w:lineRule="auto"/>
              <w:jc w:val="center"/>
              <w:rPr>
                <w:szCs w:val="24"/>
              </w:rPr>
            </w:pPr>
            <w:r w:rsidRPr="00687DE8">
              <w:rPr>
                <w:b/>
                <w:szCs w:val="24"/>
              </w:rPr>
              <w:t>Kood</w:t>
            </w:r>
          </w:p>
        </w:tc>
        <w:tc>
          <w:tcPr>
            <w:tcW w:w="11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1E615B"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A25652" w:rsidRPr="00687DE8" w14:paraId="7EAD3803" w14:textId="77777777" w:rsidTr="00934CCC">
        <w:trPr>
          <w:divId w:val="1316184749"/>
          <w:trHeight w:val="300"/>
        </w:trPr>
        <w:tc>
          <w:tcPr>
            <w:tcW w:w="71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0F39D5" w14:textId="77777777" w:rsidR="00A25652" w:rsidRPr="00687DE8" w:rsidRDefault="00A25652" w:rsidP="00A25652">
            <w:pPr>
              <w:spacing w:after="0" w:line="240" w:lineRule="auto"/>
              <w:rPr>
                <w:szCs w:val="24"/>
              </w:rPr>
            </w:pPr>
            <w:r w:rsidRPr="00687DE8">
              <w:rPr>
                <w:szCs w:val="24"/>
              </w:rPr>
              <w:t>Torketest allergeeniga</w:t>
            </w:r>
          </w:p>
        </w:tc>
        <w:tc>
          <w:tcPr>
            <w:tcW w:w="1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2A60BF" w14:textId="77777777" w:rsidR="00A25652" w:rsidRPr="00687DE8" w:rsidRDefault="00A25652" w:rsidP="00A25652">
            <w:pPr>
              <w:spacing w:after="0" w:line="240" w:lineRule="auto"/>
              <w:jc w:val="center"/>
              <w:rPr>
                <w:szCs w:val="24"/>
              </w:rPr>
            </w:pPr>
            <w:r w:rsidRPr="00687DE8">
              <w:rPr>
                <w:szCs w:val="24"/>
              </w:rPr>
              <w:t>7502</w:t>
            </w:r>
          </w:p>
        </w:tc>
        <w:tc>
          <w:tcPr>
            <w:tcW w:w="11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96B1E4" w14:textId="2DF33970" w:rsidR="2E1E8EE1" w:rsidRPr="00687DE8" w:rsidRDefault="00D87B94">
            <w:pPr>
              <w:spacing w:after="0"/>
              <w:jc w:val="center"/>
              <w:rPr>
                <w:color w:val="000000" w:themeColor="text1"/>
                <w:szCs w:val="24"/>
              </w:rPr>
            </w:pPr>
            <w:r>
              <w:rPr>
                <w:color w:val="000000"/>
              </w:rPr>
              <w:t>7,99</w:t>
            </w:r>
          </w:p>
        </w:tc>
      </w:tr>
      <w:tr w:rsidR="00A25652" w:rsidRPr="00687DE8" w14:paraId="03CF4334" w14:textId="77777777" w:rsidTr="00934CCC">
        <w:trPr>
          <w:divId w:val="1316184749"/>
          <w:trHeight w:val="300"/>
        </w:trPr>
        <w:tc>
          <w:tcPr>
            <w:tcW w:w="71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4AD9C1" w14:textId="77777777" w:rsidR="00A25652" w:rsidRPr="00687DE8" w:rsidRDefault="00A25652" w:rsidP="00A25652">
            <w:pPr>
              <w:spacing w:after="0" w:line="240" w:lineRule="auto"/>
              <w:rPr>
                <w:szCs w:val="24"/>
              </w:rPr>
            </w:pPr>
            <w:r w:rsidRPr="00687DE8">
              <w:rPr>
                <w:szCs w:val="24"/>
              </w:rPr>
              <w:t>Nahasisene test allergeeniga</w:t>
            </w:r>
          </w:p>
        </w:tc>
        <w:tc>
          <w:tcPr>
            <w:tcW w:w="1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9094F6" w14:textId="77777777" w:rsidR="00A25652" w:rsidRPr="00687DE8" w:rsidRDefault="00A25652" w:rsidP="00A25652">
            <w:pPr>
              <w:spacing w:after="0" w:line="240" w:lineRule="auto"/>
              <w:jc w:val="center"/>
              <w:rPr>
                <w:szCs w:val="24"/>
              </w:rPr>
            </w:pPr>
            <w:r w:rsidRPr="00687DE8">
              <w:rPr>
                <w:szCs w:val="24"/>
              </w:rPr>
              <w:t>7503</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1FB3C8" w14:textId="66EF5BB8" w:rsidR="2E1E8EE1" w:rsidRPr="00687DE8" w:rsidRDefault="00D87B94">
            <w:pPr>
              <w:spacing w:after="0"/>
              <w:jc w:val="center"/>
              <w:rPr>
                <w:color w:val="000000" w:themeColor="text1"/>
                <w:szCs w:val="24"/>
              </w:rPr>
            </w:pPr>
            <w:r>
              <w:rPr>
                <w:color w:val="000000"/>
              </w:rPr>
              <w:t>33,86</w:t>
            </w:r>
          </w:p>
        </w:tc>
      </w:tr>
      <w:tr w:rsidR="00A25652" w:rsidRPr="00687DE8" w14:paraId="42205DDE" w14:textId="77777777" w:rsidTr="00934CCC">
        <w:trPr>
          <w:divId w:val="1316184749"/>
          <w:trHeight w:val="300"/>
        </w:trPr>
        <w:tc>
          <w:tcPr>
            <w:tcW w:w="71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51D225" w14:textId="77777777" w:rsidR="00A25652" w:rsidRPr="00687DE8" w:rsidRDefault="00A25652" w:rsidP="00A25652">
            <w:pPr>
              <w:spacing w:after="0" w:line="240" w:lineRule="auto"/>
              <w:rPr>
                <w:szCs w:val="24"/>
              </w:rPr>
            </w:pPr>
            <w:r w:rsidRPr="00687DE8">
              <w:rPr>
                <w:szCs w:val="24"/>
              </w:rPr>
              <w:t>Provokatsioonitest</w:t>
            </w:r>
          </w:p>
        </w:tc>
        <w:tc>
          <w:tcPr>
            <w:tcW w:w="1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F7AE61" w14:textId="77777777" w:rsidR="00A25652" w:rsidRPr="00687DE8" w:rsidRDefault="00A25652" w:rsidP="00A25652">
            <w:pPr>
              <w:spacing w:after="0" w:line="240" w:lineRule="auto"/>
              <w:jc w:val="center"/>
              <w:rPr>
                <w:szCs w:val="24"/>
              </w:rPr>
            </w:pPr>
            <w:r w:rsidRPr="00687DE8">
              <w:rPr>
                <w:szCs w:val="24"/>
              </w:rPr>
              <w:t>7504</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F7903E" w14:textId="079EA07A" w:rsidR="2E1E8EE1" w:rsidRPr="00687DE8" w:rsidRDefault="00D87B94">
            <w:pPr>
              <w:spacing w:after="0"/>
              <w:jc w:val="center"/>
              <w:rPr>
                <w:color w:val="000000" w:themeColor="text1"/>
                <w:szCs w:val="24"/>
              </w:rPr>
            </w:pPr>
            <w:r>
              <w:rPr>
                <w:color w:val="000000"/>
              </w:rPr>
              <w:t>26,84</w:t>
            </w:r>
          </w:p>
        </w:tc>
      </w:tr>
      <w:tr w:rsidR="00A25652" w:rsidRPr="00687DE8" w14:paraId="25213309" w14:textId="77777777" w:rsidTr="00934CCC">
        <w:trPr>
          <w:divId w:val="1316184749"/>
          <w:trHeight w:val="300"/>
        </w:trPr>
        <w:tc>
          <w:tcPr>
            <w:tcW w:w="71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BDE550" w14:textId="77777777" w:rsidR="00A25652" w:rsidRPr="00687DE8" w:rsidRDefault="00A25652" w:rsidP="00A25652">
            <w:pPr>
              <w:spacing w:after="0" w:line="240" w:lineRule="auto"/>
              <w:rPr>
                <w:szCs w:val="24"/>
              </w:rPr>
            </w:pPr>
            <w:r w:rsidRPr="00687DE8">
              <w:rPr>
                <w:szCs w:val="24"/>
              </w:rPr>
              <w:t>Allergeenidest ravisegu valmistamine</w:t>
            </w:r>
          </w:p>
        </w:tc>
        <w:tc>
          <w:tcPr>
            <w:tcW w:w="1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131BD6" w14:textId="77777777" w:rsidR="00A25652" w:rsidRPr="00687DE8" w:rsidRDefault="00A25652" w:rsidP="00A25652">
            <w:pPr>
              <w:spacing w:after="0" w:line="240" w:lineRule="auto"/>
              <w:jc w:val="center"/>
              <w:rPr>
                <w:szCs w:val="24"/>
              </w:rPr>
            </w:pPr>
            <w:r w:rsidRPr="00687DE8">
              <w:rPr>
                <w:szCs w:val="24"/>
              </w:rPr>
              <w:t>7507</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72153E" w14:textId="6B7F1ABF" w:rsidR="2E1E8EE1" w:rsidRPr="00687DE8" w:rsidRDefault="00D87B94">
            <w:pPr>
              <w:spacing w:after="0"/>
              <w:jc w:val="center"/>
              <w:rPr>
                <w:color w:val="000000" w:themeColor="text1"/>
                <w:szCs w:val="24"/>
              </w:rPr>
            </w:pPr>
            <w:r>
              <w:rPr>
                <w:color w:val="000000"/>
              </w:rPr>
              <w:t>1,41</w:t>
            </w:r>
          </w:p>
        </w:tc>
      </w:tr>
      <w:tr w:rsidR="00A25652" w:rsidRPr="00687DE8" w14:paraId="151369CD" w14:textId="77777777" w:rsidTr="00934CCC">
        <w:trPr>
          <w:divId w:val="1316184749"/>
          <w:trHeight w:val="300"/>
        </w:trPr>
        <w:tc>
          <w:tcPr>
            <w:tcW w:w="71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AF9AF1" w14:textId="77777777" w:rsidR="00A25652" w:rsidRPr="00687DE8" w:rsidRDefault="00A25652" w:rsidP="00A25652">
            <w:pPr>
              <w:spacing w:after="0" w:line="240" w:lineRule="auto"/>
              <w:rPr>
                <w:szCs w:val="24"/>
              </w:rPr>
            </w:pPr>
            <w:r w:rsidRPr="00687DE8">
              <w:rPr>
                <w:szCs w:val="24"/>
              </w:rPr>
              <w:t>Nahaalune spetsiifiline immuunravi, üks protseduur</w:t>
            </w:r>
          </w:p>
        </w:tc>
        <w:tc>
          <w:tcPr>
            <w:tcW w:w="1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D7CBA5" w14:textId="77777777" w:rsidR="00A25652" w:rsidRPr="00687DE8" w:rsidRDefault="00A25652" w:rsidP="00A25652">
            <w:pPr>
              <w:spacing w:after="0" w:line="240" w:lineRule="auto"/>
              <w:jc w:val="center"/>
              <w:rPr>
                <w:szCs w:val="24"/>
              </w:rPr>
            </w:pPr>
            <w:r w:rsidRPr="00687DE8">
              <w:rPr>
                <w:szCs w:val="24"/>
              </w:rPr>
              <w:t>7508</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FF0A0F" w14:textId="0631F498" w:rsidR="2E1E8EE1" w:rsidRPr="00687DE8" w:rsidRDefault="00D87B94">
            <w:pPr>
              <w:spacing w:after="0"/>
              <w:jc w:val="center"/>
              <w:rPr>
                <w:color w:val="000000" w:themeColor="text1"/>
                <w:szCs w:val="24"/>
              </w:rPr>
            </w:pPr>
            <w:r>
              <w:rPr>
                <w:color w:val="000000"/>
              </w:rPr>
              <w:t>25,54</w:t>
            </w:r>
          </w:p>
        </w:tc>
      </w:tr>
      <w:tr w:rsidR="00A25652" w:rsidRPr="00687DE8" w14:paraId="1C5015B2" w14:textId="77777777" w:rsidTr="00934CCC">
        <w:trPr>
          <w:divId w:val="1316184749"/>
          <w:trHeight w:val="300"/>
        </w:trPr>
        <w:tc>
          <w:tcPr>
            <w:tcW w:w="71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E8A0F" w14:textId="77777777" w:rsidR="00A25652" w:rsidRPr="00687DE8" w:rsidRDefault="00A25652" w:rsidP="00A25652">
            <w:pPr>
              <w:spacing w:after="0" w:line="240" w:lineRule="auto"/>
              <w:rPr>
                <w:szCs w:val="24"/>
              </w:rPr>
            </w:pPr>
            <w:r w:rsidRPr="00687DE8">
              <w:rPr>
                <w:szCs w:val="24"/>
              </w:rPr>
              <w:t>Aplikatsioonitest allergeenidega</w:t>
            </w:r>
          </w:p>
        </w:tc>
        <w:tc>
          <w:tcPr>
            <w:tcW w:w="1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9317D9" w14:textId="77777777" w:rsidR="00A25652" w:rsidRPr="00687DE8" w:rsidRDefault="00A25652" w:rsidP="00A25652">
            <w:pPr>
              <w:spacing w:after="0" w:line="240" w:lineRule="auto"/>
              <w:jc w:val="center"/>
              <w:rPr>
                <w:szCs w:val="24"/>
              </w:rPr>
            </w:pPr>
            <w:r w:rsidRPr="00687DE8">
              <w:rPr>
                <w:szCs w:val="24"/>
              </w:rPr>
              <w:t>7509</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D4EA29" w14:textId="45813194" w:rsidR="2E1E8EE1" w:rsidRPr="00687DE8" w:rsidRDefault="00D87B94">
            <w:pPr>
              <w:spacing w:after="0"/>
              <w:jc w:val="center"/>
              <w:rPr>
                <w:color w:val="000000" w:themeColor="text1"/>
                <w:szCs w:val="24"/>
              </w:rPr>
            </w:pPr>
            <w:r>
              <w:rPr>
                <w:color w:val="000000"/>
              </w:rPr>
              <w:t>20,89</w:t>
            </w:r>
          </w:p>
        </w:tc>
      </w:tr>
      <w:tr w:rsidR="00A25652" w:rsidRPr="00687DE8" w14:paraId="469A64C0" w14:textId="77777777" w:rsidTr="00934CCC">
        <w:trPr>
          <w:divId w:val="1316184749"/>
          <w:trHeight w:val="300"/>
        </w:trPr>
        <w:tc>
          <w:tcPr>
            <w:tcW w:w="71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5D0423" w14:textId="77777777" w:rsidR="00A25652" w:rsidRPr="00687DE8" w:rsidRDefault="00A25652" w:rsidP="00A25652">
            <w:pPr>
              <w:spacing w:after="0" w:line="240" w:lineRule="auto"/>
              <w:rPr>
                <w:szCs w:val="24"/>
              </w:rPr>
            </w:pPr>
            <w:r w:rsidRPr="00687DE8">
              <w:rPr>
                <w:szCs w:val="24"/>
              </w:rPr>
              <w:t>Fraktsioneeritud väljahingatava õhu lämmastikoksiidi sisalduse (FENO) määramine</w:t>
            </w:r>
          </w:p>
        </w:tc>
        <w:tc>
          <w:tcPr>
            <w:tcW w:w="1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749C36" w14:textId="77777777" w:rsidR="00A25652" w:rsidRPr="00687DE8" w:rsidRDefault="00A25652" w:rsidP="00A25652">
            <w:pPr>
              <w:spacing w:after="0" w:line="240" w:lineRule="auto"/>
              <w:jc w:val="center"/>
              <w:rPr>
                <w:szCs w:val="24"/>
              </w:rPr>
            </w:pPr>
          </w:p>
          <w:p w14:paraId="5299BA3A" w14:textId="77777777" w:rsidR="00A25652" w:rsidRPr="00687DE8" w:rsidRDefault="00A25652" w:rsidP="00A25652">
            <w:pPr>
              <w:spacing w:after="0" w:line="240" w:lineRule="auto"/>
              <w:jc w:val="center"/>
              <w:rPr>
                <w:szCs w:val="24"/>
              </w:rPr>
            </w:pPr>
            <w:r w:rsidRPr="00687DE8">
              <w:rPr>
                <w:szCs w:val="24"/>
              </w:rPr>
              <w:t>7510</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700E35" w14:textId="0857C3C0" w:rsidR="2E1E8EE1" w:rsidRPr="00687DE8" w:rsidRDefault="00D87B94">
            <w:pPr>
              <w:spacing w:after="0"/>
              <w:jc w:val="center"/>
              <w:rPr>
                <w:color w:val="000000" w:themeColor="text1"/>
                <w:szCs w:val="24"/>
              </w:rPr>
            </w:pPr>
            <w:r>
              <w:rPr>
                <w:color w:val="000000"/>
              </w:rPr>
              <w:t>20,76</w:t>
            </w:r>
          </w:p>
        </w:tc>
      </w:tr>
      <w:tr w:rsidR="00A25652" w:rsidRPr="00687DE8" w14:paraId="38F80430" w14:textId="77777777" w:rsidTr="00934CCC">
        <w:trPr>
          <w:divId w:val="1316184749"/>
          <w:trHeight w:val="300"/>
        </w:trPr>
        <w:tc>
          <w:tcPr>
            <w:tcW w:w="71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1804D3" w14:textId="77777777" w:rsidR="00A25652" w:rsidRPr="00687DE8" w:rsidRDefault="00A25652" w:rsidP="00A25652">
            <w:pPr>
              <w:spacing w:after="0" w:line="240" w:lineRule="auto"/>
              <w:rPr>
                <w:szCs w:val="24"/>
              </w:rPr>
            </w:pPr>
            <w:r w:rsidRPr="00687DE8">
              <w:rPr>
                <w:szCs w:val="24"/>
              </w:rPr>
              <w:t>Diagnostiline immuniseerimine</w:t>
            </w:r>
          </w:p>
        </w:tc>
        <w:tc>
          <w:tcPr>
            <w:tcW w:w="1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7DDBC9" w14:textId="77777777" w:rsidR="00A25652" w:rsidRPr="00687DE8" w:rsidRDefault="00A25652" w:rsidP="00A25652">
            <w:pPr>
              <w:spacing w:after="0" w:line="240" w:lineRule="auto"/>
              <w:jc w:val="center"/>
              <w:rPr>
                <w:szCs w:val="24"/>
              </w:rPr>
            </w:pPr>
            <w:r w:rsidRPr="00687DE8">
              <w:rPr>
                <w:szCs w:val="24"/>
              </w:rPr>
              <w:t>7511</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EA280D" w14:textId="29FD4D15" w:rsidR="2E1E8EE1" w:rsidRPr="00687DE8" w:rsidRDefault="00D87B94">
            <w:pPr>
              <w:spacing w:after="0"/>
              <w:jc w:val="center"/>
              <w:rPr>
                <w:color w:val="000000" w:themeColor="text1"/>
                <w:szCs w:val="24"/>
              </w:rPr>
            </w:pPr>
            <w:r>
              <w:rPr>
                <w:color w:val="000000"/>
              </w:rPr>
              <w:t>56,46</w:t>
            </w:r>
          </w:p>
        </w:tc>
      </w:tr>
    </w:tbl>
    <w:p w14:paraId="1DC56CD9" w14:textId="77777777" w:rsidR="00976487" w:rsidRPr="00687DE8" w:rsidRDefault="00976487" w:rsidP="00976487">
      <w:pPr>
        <w:spacing w:after="0" w:line="240" w:lineRule="auto"/>
        <w:jc w:val="both"/>
        <w:outlineLvl w:val="2"/>
        <w:divId w:val="1316184749"/>
        <w:rPr>
          <w:b/>
          <w:bCs/>
          <w:szCs w:val="24"/>
        </w:rPr>
      </w:pPr>
    </w:p>
    <w:p w14:paraId="39ED7848" w14:textId="77777777" w:rsidR="00976487" w:rsidRDefault="00976487" w:rsidP="00976487">
      <w:pPr>
        <w:spacing w:after="0" w:line="240" w:lineRule="auto"/>
        <w:jc w:val="both"/>
        <w:outlineLvl w:val="2"/>
        <w:divId w:val="1316184749"/>
        <w:rPr>
          <w:b/>
          <w:szCs w:val="24"/>
        </w:rPr>
      </w:pPr>
      <w:r w:rsidRPr="00687DE8">
        <w:rPr>
          <w:b/>
          <w:szCs w:val="24"/>
        </w:rPr>
        <w:t>§ 3</w:t>
      </w:r>
      <w:r w:rsidR="00296746" w:rsidRPr="00687DE8">
        <w:rPr>
          <w:b/>
          <w:szCs w:val="24"/>
        </w:rPr>
        <w:t>8</w:t>
      </w:r>
      <w:r w:rsidRPr="00687DE8">
        <w:rPr>
          <w:b/>
          <w:szCs w:val="24"/>
        </w:rPr>
        <w:t>. Endoskoopiliste uuringute ja protseduuride piirhinnad</w:t>
      </w:r>
    </w:p>
    <w:p w14:paraId="54816188" w14:textId="77777777" w:rsidR="00484105" w:rsidRDefault="00484105" w:rsidP="00976487">
      <w:pPr>
        <w:spacing w:after="0" w:line="240" w:lineRule="auto"/>
        <w:jc w:val="both"/>
        <w:divId w:val="1316184749"/>
        <w:rPr>
          <w:szCs w:val="24"/>
        </w:rPr>
      </w:pPr>
    </w:p>
    <w:p w14:paraId="662C2584" w14:textId="09F69A12" w:rsidR="00976487" w:rsidRPr="00687DE8" w:rsidRDefault="00976487" w:rsidP="00976487">
      <w:pPr>
        <w:spacing w:after="0" w:line="240" w:lineRule="auto"/>
        <w:jc w:val="both"/>
        <w:divId w:val="1316184749"/>
        <w:rPr>
          <w:szCs w:val="24"/>
        </w:rPr>
      </w:pPr>
      <w:r w:rsidRPr="00687DE8">
        <w:rPr>
          <w:szCs w:val="24"/>
        </w:rPr>
        <w:t>(1) Endoskoopiliste põhiuuringute piirhinnad on järgmised:</w:t>
      </w:r>
    </w:p>
    <w:p w14:paraId="46A81E1B"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9"/>
        <w:gridCol w:w="1044"/>
        <w:gridCol w:w="1622"/>
      </w:tblGrid>
      <w:tr w:rsidR="00976487" w:rsidRPr="00687DE8" w14:paraId="1EDA5C39" w14:textId="77777777" w:rsidTr="312A8F55">
        <w:trPr>
          <w:divId w:val="1316184749"/>
          <w:tblHeader/>
        </w:trPr>
        <w:tc>
          <w:tcPr>
            <w:tcW w:w="6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97D3E4" w14:textId="77777777" w:rsidR="00976487" w:rsidRPr="00687DE8" w:rsidRDefault="00976487">
            <w:pPr>
              <w:spacing w:after="0" w:line="240" w:lineRule="auto"/>
              <w:jc w:val="center"/>
              <w:rPr>
                <w:szCs w:val="24"/>
              </w:rPr>
            </w:pPr>
            <w:r w:rsidRPr="00687DE8">
              <w:rPr>
                <w:b/>
                <w:szCs w:val="24"/>
              </w:rPr>
              <w:t>Tervishoiuteenuse nimetus</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A8A2C0" w14:textId="77777777" w:rsidR="00976487" w:rsidRPr="00687DE8" w:rsidRDefault="00976487">
            <w:pPr>
              <w:spacing w:after="0" w:line="240" w:lineRule="auto"/>
              <w:jc w:val="center"/>
              <w:rPr>
                <w:szCs w:val="24"/>
              </w:rPr>
            </w:pPr>
            <w:r w:rsidRPr="00687DE8">
              <w:rPr>
                <w:b/>
                <w:szCs w:val="24"/>
              </w:rPr>
              <w:t>Kood</w:t>
            </w:r>
          </w:p>
        </w:tc>
        <w:tc>
          <w:tcPr>
            <w:tcW w:w="16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78802E"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D245CE" w:rsidRPr="00687DE8" w14:paraId="33E59123" w14:textId="77777777" w:rsidTr="00934CCC">
        <w:trPr>
          <w:divId w:val="1316184749"/>
          <w:trHeight w:val="300"/>
        </w:trPr>
        <w:tc>
          <w:tcPr>
            <w:tcW w:w="6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10C5C2" w14:textId="77777777" w:rsidR="00D245CE" w:rsidRPr="00687DE8" w:rsidRDefault="00D245CE" w:rsidP="00D245CE">
            <w:pPr>
              <w:spacing w:after="0" w:line="240" w:lineRule="auto"/>
              <w:rPr>
                <w:szCs w:val="24"/>
              </w:rPr>
            </w:pPr>
            <w:r w:rsidRPr="00687DE8">
              <w:rPr>
                <w:szCs w:val="24"/>
              </w:rPr>
              <w:t>Ösofagogastroduodenoskoopia</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7F6F28" w14:textId="77777777" w:rsidR="00D245CE" w:rsidRPr="00687DE8" w:rsidRDefault="00D245CE" w:rsidP="00D245CE">
            <w:pPr>
              <w:spacing w:after="0" w:line="240" w:lineRule="auto"/>
              <w:jc w:val="center"/>
              <w:rPr>
                <w:szCs w:val="24"/>
              </w:rPr>
            </w:pPr>
            <w:r w:rsidRPr="00687DE8">
              <w:rPr>
                <w:szCs w:val="24"/>
              </w:rPr>
              <w:t>7551</w:t>
            </w:r>
          </w:p>
        </w:tc>
        <w:tc>
          <w:tcPr>
            <w:tcW w:w="16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AEA928" w14:textId="7582D82C" w:rsidR="2E1E8EE1" w:rsidRPr="00687DE8" w:rsidRDefault="004F609B">
            <w:pPr>
              <w:spacing w:after="0"/>
              <w:jc w:val="center"/>
              <w:rPr>
                <w:color w:val="000000" w:themeColor="text1"/>
                <w:szCs w:val="24"/>
              </w:rPr>
            </w:pPr>
            <w:r>
              <w:rPr>
                <w:color w:val="000000"/>
              </w:rPr>
              <w:t>75,76</w:t>
            </w:r>
          </w:p>
        </w:tc>
      </w:tr>
      <w:tr w:rsidR="00D245CE" w:rsidRPr="00687DE8" w14:paraId="46DB37F7" w14:textId="77777777" w:rsidTr="00934CCC">
        <w:trPr>
          <w:divId w:val="1316184749"/>
          <w:trHeight w:val="300"/>
        </w:trPr>
        <w:tc>
          <w:tcPr>
            <w:tcW w:w="6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FDBFDD" w14:textId="77777777" w:rsidR="00D245CE" w:rsidRPr="00687DE8" w:rsidRDefault="00D245CE" w:rsidP="00D245CE">
            <w:pPr>
              <w:spacing w:after="0" w:line="240" w:lineRule="auto"/>
              <w:rPr>
                <w:szCs w:val="24"/>
              </w:rPr>
            </w:pPr>
            <w:r w:rsidRPr="00687DE8">
              <w:rPr>
                <w:szCs w:val="24"/>
              </w:rPr>
              <w:t>Rektoskoopia</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B63417" w14:textId="77777777" w:rsidR="00D245CE" w:rsidRPr="00687DE8" w:rsidRDefault="00D245CE" w:rsidP="00D245CE">
            <w:pPr>
              <w:spacing w:after="0" w:line="240" w:lineRule="auto"/>
              <w:jc w:val="center"/>
              <w:rPr>
                <w:szCs w:val="24"/>
              </w:rPr>
            </w:pPr>
            <w:r w:rsidRPr="00687DE8">
              <w:rPr>
                <w:szCs w:val="24"/>
              </w:rPr>
              <w:t>7562</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6006C5" w14:textId="37ABFD02" w:rsidR="2E1E8EE1" w:rsidRPr="00687DE8" w:rsidRDefault="004F609B">
            <w:pPr>
              <w:spacing w:after="0"/>
              <w:jc w:val="center"/>
              <w:rPr>
                <w:color w:val="000000" w:themeColor="text1"/>
                <w:szCs w:val="24"/>
              </w:rPr>
            </w:pPr>
            <w:r>
              <w:rPr>
                <w:color w:val="000000"/>
              </w:rPr>
              <w:t>37,30</w:t>
            </w:r>
          </w:p>
        </w:tc>
      </w:tr>
      <w:tr w:rsidR="00D245CE" w:rsidRPr="00687DE8" w14:paraId="2310DDE7" w14:textId="77777777" w:rsidTr="00934CCC">
        <w:trPr>
          <w:divId w:val="1316184749"/>
          <w:trHeight w:val="300"/>
        </w:trPr>
        <w:tc>
          <w:tcPr>
            <w:tcW w:w="6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FEC995" w14:textId="77777777" w:rsidR="00D245CE" w:rsidRPr="00687DE8" w:rsidRDefault="00D245CE" w:rsidP="00D245CE">
            <w:pPr>
              <w:spacing w:after="0" w:line="240" w:lineRule="auto"/>
              <w:rPr>
                <w:szCs w:val="24"/>
              </w:rPr>
            </w:pPr>
            <w:r w:rsidRPr="00687DE8">
              <w:rPr>
                <w:szCs w:val="24"/>
              </w:rPr>
              <w:lastRenderedPageBreak/>
              <w:t>Sigmoidoskoopia</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884493" w14:textId="77777777" w:rsidR="00D245CE" w:rsidRPr="00687DE8" w:rsidRDefault="00D245CE" w:rsidP="00D245CE">
            <w:pPr>
              <w:spacing w:after="0" w:line="240" w:lineRule="auto"/>
              <w:jc w:val="center"/>
              <w:rPr>
                <w:szCs w:val="24"/>
              </w:rPr>
            </w:pPr>
            <w:r w:rsidRPr="00687DE8">
              <w:rPr>
                <w:szCs w:val="24"/>
              </w:rPr>
              <w:t>7556</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77C2F8" w14:textId="5C15F44A" w:rsidR="2E1E8EE1" w:rsidRPr="00687DE8" w:rsidRDefault="004F609B">
            <w:pPr>
              <w:spacing w:after="0"/>
              <w:jc w:val="center"/>
              <w:rPr>
                <w:color w:val="000000" w:themeColor="text1"/>
                <w:szCs w:val="24"/>
              </w:rPr>
            </w:pPr>
            <w:r>
              <w:rPr>
                <w:color w:val="000000"/>
              </w:rPr>
              <w:t>64,20</w:t>
            </w:r>
          </w:p>
        </w:tc>
      </w:tr>
      <w:tr w:rsidR="00D245CE" w:rsidRPr="00687DE8" w14:paraId="246DE6C4" w14:textId="77777777" w:rsidTr="00934CCC">
        <w:trPr>
          <w:divId w:val="1316184749"/>
          <w:trHeight w:val="300"/>
        </w:trPr>
        <w:tc>
          <w:tcPr>
            <w:tcW w:w="6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1D9A18" w14:textId="77777777" w:rsidR="00D245CE" w:rsidRPr="00687DE8" w:rsidRDefault="00D245CE" w:rsidP="00D245CE">
            <w:pPr>
              <w:spacing w:after="0" w:line="240" w:lineRule="auto"/>
              <w:rPr>
                <w:szCs w:val="24"/>
              </w:rPr>
            </w:pPr>
            <w:r w:rsidRPr="00687DE8">
              <w:rPr>
                <w:szCs w:val="24"/>
              </w:rPr>
              <w:t>Koloskoopia</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AD66E1" w14:textId="77777777" w:rsidR="00D245CE" w:rsidRPr="00687DE8" w:rsidRDefault="00D245CE" w:rsidP="00D245CE">
            <w:pPr>
              <w:spacing w:after="0" w:line="240" w:lineRule="auto"/>
              <w:jc w:val="center"/>
              <w:rPr>
                <w:szCs w:val="24"/>
              </w:rPr>
            </w:pPr>
            <w:r w:rsidRPr="00687DE8">
              <w:rPr>
                <w:szCs w:val="24"/>
              </w:rPr>
              <w:t>7558</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848E61" w14:textId="5149AE6C" w:rsidR="2E1E8EE1" w:rsidRPr="00687DE8" w:rsidRDefault="004F609B">
            <w:pPr>
              <w:spacing w:after="0"/>
              <w:jc w:val="center"/>
              <w:rPr>
                <w:color w:val="000000" w:themeColor="text1"/>
                <w:szCs w:val="24"/>
              </w:rPr>
            </w:pPr>
            <w:r>
              <w:rPr>
                <w:color w:val="000000"/>
              </w:rPr>
              <w:t>125,00</w:t>
            </w:r>
          </w:p>
        </w:tc>
      </w:tr>
      <w:tr w:rsidR="00D245CE" w:rsidRPr="00687DE8" w14:paraId="7F444EFF" w14:textId="77777777" w:rsidTr="00934CCC">
        <w:trPr>
          <w:divId w:val="1316184749"/>
          <w:trHeight w:val="300"/>
        </w:trPr>
        <w:tc>
          <w:tcPr>
            <w:tcW w:w="6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3AA0AE" w14:textId="77777777" w:rsidR="00D245CE" w:rsidRPr="00687DE8" w:rsidRDefault="00D245CE" w:rsidP="00D245CE">
            <w:pPr>
              <w:spacing w:after="0" w:line="240" w:lineRule="auto"/>
              <w:rPr>
                <w:szCs w:val="24"/>
              </w:rPr>
            </w:pPr>
            <w:r w:rsidRPr="00687DE8">
              <w:rPr>
                <w:szCs w:val="24"/>
              </w:rPr>
              <w:t>Sõeluuringu koloskoopia</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3304E3" w14:textId="77777777" w:rsidR="00D245CE" w:rsidRPr="00687DE8" w:rsidRDefault="00D245CE" w:rsidP="00D245CE">
            <w:pPr>
              <w:spacing w:after="0" w:line="240" w:lineRule="auto"/>
              <w:jc w:val="center"/>
              <w:rPr>
                <w:szCs w:val="24"/>
              </w:rPr>
            </w:pPr>
            <w:r w:rsidRPr="00687DE8">
              <w:rPr>
                <w:szCs w:val="24"/>
              </w:rPr>
              <w:t>7597</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8CD68F" w14:textId="12B54286" w:rsidR="2E1E8EE1" w:rsidRPr="00687DE8" w:rsidRDefault="004F609B">
            <w:pPr>
              <w:spacing w:after="0"/>
              <w:jc w:val="center"/>
              <w:rPr>
                <w:color w:val="000000" w:themeColor="text1"/>
                <w:szCs w:val="24"/>
              </w:rPr>
            </w:pPr>
            <w:r>
              <w:rPr>
                <w:color w:val="000000"/>
              </w:rPr>
              <w:t>145,31</w:t>
            </w:r>
          </w:p>
        </w:tc>
      </w:tr>
      <w:tr w:rsidR="00D245CE" w:rsidRPr="00687DE8" w14:paraId="4C9E5771" w14:textId="77777777" w:rsidTr="00934CCC">
        <w:trPr>
          <w:divId w:val="1316184749"/>
          <w:trHeight w:val="300"/>
        </w:trPr>
        <w:tc>
          <w:tcPr>
            <w:tcW w:w="6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977EC0" w14:textId="77777777" w:rsidR="00D245CE" w:rsidRPr="00687DE8" w:rsidRDefault="00D245CE" w:rsidP="00D245CE">
            <w:pPr>
              <w:spacing w:after="0" w:line="240" w:lineRule="auto"/>
              <w:rPr>
                <w:szCs w:val="24"/>
              </w:rPr>
            </w:pPr>
            <w:r w:rsidRPr="00687DE8">
              <w:rPr>
                <w:szCs w:val="24"/>
              </w:rPr>
              <w:t>Retrograatne kolangio-pankreatograafia (ERCP)</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E67E2B" w14:textId="77777777" w:rsidR="00D245CE" w:rsidRPr="00687DE8" w:rsidRDefault="00D245CE" w:rsidP="00D245CE">
            <w:pPr>
              <w:spacing w:after="0" w:line="240" w:lineRule="auto"/>
              <w:jc w:val="center"/>
              <w:rPr>
                <w:szCs w:val="24"/>
              </w:rPr>
            </w:pPr>
            <w:r w:rsidRPr="00687DE8">
              <w:rPr>
                <w:szCs w:val="24"/>
              </w:rPr>
              <w:t>7560</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CB9450" w14:textId="4EC5C7A0" w:rsidR="2E1E8EE1" w:rsidRPr="00687DE8" w:rsidRDefault="004F609B">
            <w:pPr>
              <w:spacing w:after="0"/>
              <w:jc w:val="center"/>
              <w:rPr>
                <w:color w:val="000000" w:themeColor="text1"/>
                <w:szCs w:val="24"/>
              </w:rPr>
            </w:pPr>
            <w:r>
              <w:rPr>
                <w:color w:val="000000"/>
              </w:rPr>
              <w:t>124,91</w:t>
            </w:r>
          </w:p>
        </w:tc>
      </w:tr>
      <w:tr w:rsidR="00D245CE" w:rsidRPr="00687DE8" w14:paraId="2B4D1990" w14:textId="77777777" w:rsidTr="00934CCC">
        <w:trPr>
          <w:divId w:val="1316184749"/>
          <w:trHeight w:val="300"/>
        </w:trPr>
        <w:tc>
          <w:tcPr>
            <w:tcW w:w="6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8D5BF2" w14:textId="77777777" w:rsidR="00D245CE" w:rsidRPr="00687DE8" w:rsidRDefault="00D245CE" w:rsidP="00D245CE">
            <w:pPr>
              <w:spacing w:after="0" w:line="240" w:lineRule="auto"/>
              <w:rPr>
                <w:szCs w:val="24"/>
              </w:rPr>
            </w:pPr>
            <w:r w:rsidRPr="00687DE8">
              <w:rPr>
                <w:szCs w:val="24"/>
              </w:rPr>
              <w:t>Balloonenteroskoopia</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0D4135" w14:textId="77777777" w:rsidR="00D245CE" w:rsidRPr="00687DE8" w:rsidRDefault="00D245CE" w:rsidP="00D245CE">
            <w:pPr>
              <w:spacing w:after="0" w:line="240" w:lineRule="auto"/>
              <w:jc w:val="center"/>
              <w:rPr>
                <w:szCs w:val="24"/>
              </w:rPr>
            </w:pPr>
            <w:r w:rsidRPr="00687DE8">
              <w:rPr>
                <w:szCs w:val="24"/>
              </w:rPr>
              <w:t>7567</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463C03" w14:textId="148820C4" w:rsidR="2E1E8EE1" w:rsidRPr="00687DE8" w:rsidRDefault="004F609B">
            <w:pPr>
              <w:spacing w:after="0"/>
              <w:jc w:val="center"/>
              <w:rPr>
                <w:color w:val="000000" w:themeColor="text1"/>
                <w:szCs w:val="24"/>
              </w:rPr>
            </w:pPr>
            <w:r>
              <w:rPr>
                <w:color w:val="000000"/>
              </w:rPr>
              <w:t>677,83</w:t>
            </w:r>
          </w:p>
        </w:tc>
      </w:tr>
      <w:tr w:rsidR="00D245CE" w:rsidRPr="00687DE8" w14:paraId="2DDF2143" w14:textId="77777777" w:rsidTr="00934CCC">
        <w:trPr>
          <w:divId w:val="1316184749"/>
          <w:trHeight w:val="300"/>
        </w:trPr>
        <w:tc>
          <w:tcPr>
            <w:tcW w:w="6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DA6ABA" w14:textId="77777777" w:rsidR="00D245CE" w:rsidRPr="00687DE8" w:rsidRDefault="00D245CE" w:rsidP="00D245CE">
            <w:pPr>
              <w:spacing w:after="0" w:line="240" w:lineRule="auto"/>
              <w:rPr>
                <w:szCs w:val="24"/>
              </w:rPr>
            </w:pPr>
            <w:r w:rsidRPr="00687DE8">
              <w:rPr>
                <w:szCs w:val="24"/>
              </w:rPr>
              <w:t>Bronhoskoopia</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3D2B01" w14:textId="77777777" w:rsidR="00D245CE" w:rsidRPr="00687DE8" w:rsidRDefault="00D245CE" w:rsidP="00D245CE">
            <w:pPr>
              <w:spacing w:after="0" w:line="240" w:lineRule="auto"/>
              <w:jc w:val="center"/>
              <w:rPr>
                <w:szCs w:val="24"/>
              </w:rPr>
            </w:pPr>
            <w:r w:rsidRPr="00687DE8">
              <w:rPr>
                <w:szCs w:val="24"/>
              </w:rPr>
              <w:t>7559</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05E207" w14:textId="455DB84C" w:rsidR="2E1E8EE1" w:rsidRPr="00687DE8" w:rsidRDefault="004F609B">
            <w:pPr>
              <w:spacing w:after="0"/>
              <w:jc w:val="center"/>
              <w:rPr>
                <w:color w:val="000000" w:themeColor="text1"/>
                <w:szCs w:val="24"/>
              </w:rPr>
            </w:pPr>
            <w:r>
              <w:rPr>
                <w:color w:val="000000"/>
              </w:rPr>
              <w:t>98,28</w:t>
            </w:r>
          </w:p>
        </w:tc>
      </w:tr>
      <w:tr w:rsidR="00D245CE" w:rsidRPr="00687DE8" w14:paraId="69DFC3AC" w14:textId="77777777" w:rsidTr="00934CCC">
        <w:trPr>
          <w:divId w:val="1316184749"/>
          <w:trHeight w:val="300"/>
        </w:trPr>
        <w:tc>
          <w:tcPr>
            <w:tcW w:w="6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0BD03E" w14:textId="77777777" w:rsidR="00D245CE" w:rsidRPr="00687DE8" w:rsidRDefault="00D245CE" w:rsidP="00D245CE">
            <w:pPr>
              <w:spacing w:after="0" w:line="240" w:lineRule="auto"/>
              <w:rPr>
                <w:szCs w:val="24"/>
              </w:rPr>
            </w:pPr>
            <w:r w:rsidRPr="00687DE8">
              <w:rPr>
                <w:szCs w:val="24"/>
              </w:rPr>
              <w:t>Navigatsioonibronhoskoopia</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40D09D" w14:textId="77777777" w:rsidR="00D245CE" w:rsidRPr="00687DE8" w:rsidRDefault="00D245CE" w:rsidP="00D245CE">
            <w:pPr>
              <w:spacing w:after="0" w:line="240" w:lineRule="auto"/>
              <w:jc w:val="center"/>
              <w:rPr>
                <w:szCs w:val="24"/>
              </w:rPr>
            </w:pPr>
            <w:r w:rsidRPr="00687DE8">
              <w:rPr>
                <w:szCs w:val="24"/>
              </w:rPr>
              <w:t>7545</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F3BE630" w14:textId="3774252F" w:rsidR="2E1E8EE1" w:rsidRPr="00687DE8" w:rsidRDefault="004F609B">
            <w:pPr>
              <w:spacing w:after="0"/>
              <w:jc w:val="center"/>
              <w:rPr>
                <w:color w:val="000000" w:themeColor="text1"/>
                <w:szCs w:val="24"/>
              </w:rPr>
            </w:pPr>
            <w:r>
              <w:rPr>
                <w:color w:val="000000"/>
              </w:rPr>
              <w:t>2 921,19</w:t>
            </w:r>
          </w:p>
        </w:tc>
      </w:tr>
      <w:tr w:rsidR="00D245CE" w:rsidRPr="00687DE8" w14:paraId="387D540C" w14:textId="77777777" w:rsidTr="00934CCC">
        <w:trPr>
          <w:divId w:val="1316184749"/>
          <w:trHeight w:val="300"/>
        </w:trPr>
        <w:tc>
          <w:tcPr>
            <w:tcW w:w="6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6285DC" w14:textId="77777777" w:rsidR="00D245CE" w:rsidRPr="00687DE8" w:rsidRDefault="00D245CE" w:rsidP="00D245CE">
            <w:pPr>
              <w:spacing w:after="0" w:line="240" w:lineRule="auto"/>
              <w:rPr>
                <w:szCs w:val="24"/>
              </w:rPr>
            </w:pPr>
            <w:r w:rsidRPr="00687DE8">
              <w:rPr>
                <w:szCs w:val="24"/>
              </w:rPr>
              <w:t>Kapselendoskoopia gastroenteroloogi, (üld)kirurgi, pediaatri suunamisel</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B623BD" w14:textId="77777777" w:rsidR="00D245CE" w:rsidRPr="00687DE8" w:rsidRDefault="00D245CE" w:rsidP="00D245CE">
            <w:pPr>
              <w:spacing w:after="0" w:line="240" w:lineRule="auto"/>
              <w:jc w:val="center"/>
              <w:rPr>
                <w:szCs w:val="24"/>
              </w:rPr>
            </w:pPr>
          </w:p>
          <w:p w14:paraId="1485C2D5" w14:textId="77777777" w:rsidR="00D245CE" w:rsidRPr="00687DE8" w:rsidRDefault="00D245CE" w:rsidP="00D245CE">
            <w:pPr>
              <w:spacing w:after="0" w:line="240" w:lineRule="auto"/>
              <w:jc w:val="center"/>
              <w:rPr>
                <w:szCs w:val="24"/>
              </w:rPr>
            </w:pPr>
            <w:r w:rsidRPr="00687DE8">
              <w:rPr>
                <w:szCs w:val="24"/>
              </w:rPr>
              <w:t>7566</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64A5E7" w14:textId="7DC3534A" w:rsidR="2E1E8EE1" w:rsidRPr="00687DE8" w:rsidRDefault="004F609B">
            <w:pPr>
              <w:spacing w:after="0"/>
              <w:jc w:val="center"/>
              <w:rPr>
                <w:color w:val="000000" w:themeColor="text1"/>
                <w:szCs w:val="24"/>
              </w:rPr>
            </w:pPr>
            <w:r>
              <w:rPr>
                <w:color w:val="000000"/>
              </w:rPr>
              <w:t>910,48</w:t>
            </w:r>
          </w:p>
        </w:tc>
      </w:tr>
      <w:tr w:rsidR="00D245CE" w:rsidRPr="00687DE8" w14:paraId="436DD46F" w14:textId="77777777" w:rsidTr="00934CCC">
        <w:trPr>
          <w:divId w:val="1316184749"/>
          <w:trHeight w:val="300"/>
        </w:trPr>
        <w:tc>
          <w:tcPr>
            <w:tcW w:w="6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0E14B2" w14:textId="77777777" w:rsidR="00D245CE" w:rsidRPr="00687DE8" w:rsidRDefault="00D245CE" w:rsidP="00D245CE">
            <w:pPr>
              <w:spacing w:after="0" w:line="240" w:lineRule="auto"/>
              <w:rPr>
                <w:szCs w:val="24"/>
              </w:rPr>
            </w:pPr>
            <w:r w:rsidRPr="00687DE8">
              <w:rPr>
                <w:szCs w:val="24"/>
              </w:rPr>
              <w:t>Seedetrakti ülaosa endoskoopia ultraheliendoskoobiga, välja arvatud ultrahelisondiga</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3CBD51" w14:textId="77777777" w:rsidR="00D245CE" w:rsidRPr="00687DE8" w:rsidRDefault="00D245CE" w:rsidP="00D245CE">
            <w:pPr>
              <w:spacing w:after="0" w:line="240" w:lineRule="auto"/>
              <w:jc w:val="center"/>
              <w:rPr>
                <w:szCs w:val="24"/>
              </w:rPr>
            </w:pPr>
          </w:p>
          <w:p w14:paraId="03379F4D" w14:textId="77777777" w:rsidR="00D245CE" w:rsidRPr="00687DE8" w:rsidRDefault="00D245CE" w:rsidP="00D245CE">
            <w:pPr>
              <w:spacing w:after="0" w:line="240" w:lineRule="auto"/>
              <w:jc w:val="center"/>
              <w:rPr>
                <w:szCs w:val="24"/>
              </w:rPr>
            </w:pPr>
            <w:r w:rsidRPr="00687DE8">
              <w:rPr>
                <w:szCs w:val="24"/>
              </w:rPr>
              <w:t>7568</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3A1AC1" w14:textId="495F2835" w:rsidR="2E1E8EE1" w:rsidRPr="00687DE8" w:rsidRDefault="004F609B">
            <w:pPr>
              <w:spacing w:after="0"/>
              <w:jc w:val="center"/>
              <w:rPr>
                <w:color w:val="000000" w:themeColor="text1"/>
                <w:szCs w:val="24"/>
              </w:rPr>
            </w:pPr>
            <w:r>
              <w:rPr>
                <w:color w:val="000000"/>
              </w:rPr>
              <w:t>283,72</w:t>
            </w:r>
          </w:p>
        </w:tc>
      </w:tr>
      <w:tr w:rsidR="00D245CE" w:rsidRPr="00687DE8" w14:paraId="08E3F30A" w14:textId="77777777" w:rsidTr="00934CCC">
        <w:trPr>
          <w:divId w:val="1316184749"/>
          <w:trHeight w:val="300"/>
        </w:trPr>
        <w:tc>
          <w:tcPr>
            <w:tcW w:w="6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7B8F10" w14:textId="77777777" w:rsidR="00D245CE" w:rsidRPr="00687DE8" w:rsidRDefault="00D245CE" w:rsidP="00D245CE">
            <w:pPr>
              <w:spacing w:after="0" w:line="240" w:lineRule="auto"/>
              <w:rPr>
                <w:szCs w:val="24"/>
              </w:rPr>
            </w:pPr>
            <w:r w:rsidRPr="00687DE8">
              <w:rPr>
                <w:szCs w:val="24"/>
              </w:rPr>
              <w:t>Bronhoskoopia ultraheliendoskoobiga, välja arvatud ultrahelisondiga</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2C472F" w14:textId="77777777" w:rsidR="00D245CE" w:rsidRPr="00687DE8" w:rsidRDefault="00D245CE" w:rsidP="00D245CE">
            <w:pPr>
              <w:spacing w:after="0" w:line="240" w:lineRule="auto"/>
              <w:jc w:val="center"/>
              <w:rPr>
                <w:szCs w:val="24"/>
              </w:rPr>
            </w:pPr>
            <w:r w:rsidRPr="00687DE8">
              <w:rPr>
                <w:szCs w:val="24"/>
              </w:rPr>
              <w:t>7555</w:t>
            </w:r>
          </w:p>
        </w:tc>
        <w:tc>
          <w:tcPr>
            <w:tcW w:w="162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34F9EE" w14:textId="62964980" w:rsidR="2E1E8EE1" w:rsidRPr="00687DE8" w:rsidRDefault="004F609B">
            <w:pPr>
              <w:spacing w:after="0"/>
              <w:jc w:val="center"/>
              <w:rPr>
                <w:color w:val="000000" w:themeColor="text1"/>
                <w:szCs w:val="24"/>
              </w:rPr>
            </w:pPr>
            <w:r>
              <w:rPr>
                <w:color w:val="000000"/>
              </w:rPr>
              <w:t>283,72</w:t>
            </w:r>
          </w:p>
        </w:tc>
      </w:tr>
    </w:tbl>
    <w:p w14:paraId="3C78F309" w14:textId="77777777" w:rsidR="00976487" w:rsidRPr="00687DE8" w:rsidRDefault="00976487" w:rsidP="00976487">
      <w:pPr>
        <w:spacing w:after="0" w:line="240" w:lineRule="auto"/>
        <w:jc w:val="both"/>
        <w:divId w:val="1316184749"/>
        <w:rPr>
          <w:szCs w:val="24"/>
        </w:rPr>
      </w:pPr>
      <w:bookmarkStart w:id="19" w:name="_Hlk86220670"/>
    </w:p>
    <w:bookmarkEnd w:id="19"/>
    <w:p w14:paraId="07107C0F" w14:textId="77777777" w:rsidR="00976487" w:rsidRPr="00687DE8" w:rsidRDefault="00AB10D1" w:rsidP="00976487">
      <w:pPr>
        <w:spacing w:after="0" w:line="240" w:lineRule="auto"/>
        <w:jc w:val="both"/>
        <w:divId w:val="1316184749"/>
        <w:rPr>
          <w:szCs w:val="24"/>
        </w:rPr>
      </w:pPr>
      <w:r w:rsidRPr="00687DE8">
        <w:rPr>
          <w:szCs w:val="24"/>
        </w:rPr>
        <w:t>(2) L</w:t>
      </w:r>
      <w:r w:rsidR="00976487" w:rsidRPr="00687DE8">
        <w:rPr>
          <w:szCs w:val="24"/>
        </w:rPr>
        <w:t>õikes 1 sätestatud tervishoiuteenuste piirhinnad sisaldavad patsiendi ettevalmistamist, uuringu tegemist</w:t>
      </w:r>
      <w:r w:rsidR="00B7451E" w:rsidRPr="00687DE8">
        <w:rPr>
          <w:szCs w:val="24"/>
        </w:rPr>
        <w:t xml:space="preserve"> ja</w:t>
      </w:r>
      <w:r w:rsidR="00976487" w:rsidRPr="00687DE8">
        <w:rPr>
          <w:szCs w:val="24"/>
        </w:rPr>
        <w:t xml:space="preserve"> tulemuse kirjeldamist tervishoiuteenuse osutamist tõendavas dokumendis </w:t>
      </w:r>
      <w:r w:rsidR="00B7451E" w:rsidRPr="00687DE8">
        <w:rPr>
          <w:szCs w:val="24"/>
        </w:rPr>
        <w:t>ning nende</w:t>
      </w:r>
      <w:r w:rsidR="00FC1398" w:rsidRPr="00687DE8">
        <w:rPr>
          <w:szCs w:val="24"/>
        </w:rPr>
        <w:t xml:space="preserve"> puhul on tagatud piltide arhiveerimi</w:t>
      </w:r>
      <w:r w:rsidR="00C63A1A" w:rsidRPr="00687DE8">
        <w:rPr>
          <w:szCs w:val="24"/>
        </w:rPr>
        <w:t>n</w:t>
      </w:r>
      <w:r w:rsidR="00FC1398" w:rsidRPr="00687DE8">
        <w:rPr>
          <w:szCs w:val="24"/>
        </w:rPr>
        <w:t>e Sihtasutuses Eesti Tervishoiu Pildipank.</w:t>
      </w:r>
    </w:p>
    <w:p w14:paraId="1E74127C" w14:textId="77777777" w:rsidR="00976487" w:rsidRPr="00687DE8" w:rsidRDefault="00976487" w:rsidP="00976487">
      <w:pPr>
        <w:spacing w:after="0" w:line="240" w:lineRule="auto"/>
        <w:jc w:val="both"/>
        <w:divId w:val="1316184749"/>
        <w:rPr>
          <w:szCs w:val="24"/>
        </w:rPr>
      </w:pPr>
    </w:p>
    <w:p w14:paraId="65F5DA03" w14:textId="3DE3C590" w:rsidR="00976487" w:rsidRPr="00687DE8" w:rsidRDefault="00976487" w:rsidP="00976487">
      <w:pPr>
        <w:spacing w:after="0" w:line="240" w:lineRule="auto"/>
        <w:jc w:val="both"/>
        <w:divId w:val="1316184749"/>
      </w:pPr>
      <w:r>
        <w:t xml:space="preserve">(3) Põhiuuringule lisaks rakendatakse ainult lõikes </w:t>
      </w:r>
      <w:r w:rsidR="4D470313">
        <w:t>1</w:t>
      </w:r>
      <w:r w:rsidR="7B3D5CB4">
        <w:t>0</w:t>
      </w:r>
      <w:r w:rsidR="6A0C5427">
        <w:t xml:space="preserve"> </w:t>
      </w:r>
      <w:r>
        <w:t>nimetatud lisauuringuid ja protseduure.</w:t>
      </w:r>
    </w:p>
    <w:p w14:paraId="23B9A36C" w14:textId="77777777" w:rsidR="00976487" w:rsidRPr="00687DE8" w:rsidRDefault="00976487" w:rsidP="00976487">
      <w:pPr>
        <w:spacing w:after="0" w:line="240" w:lineRule="auto"/>
        <w:jc w:val="both"/>
        <w:divId w:val="1316184749"/>
        <w:rPr>
          <w:szCs w:val="24"/>
        </w:rPr>
      </w:pPr>
    </w:p>
    <w:p w14:paraId="23BF2327" w14:textId="55C6294F" w:rsidR="00976487" w:rsidRPr="00687DE8" w:rsidRDefault="00976487" w:rsidP="00976487">
      <w:pPr>
        <w:spacing w:after="0" w:line="240" w:lineRule="auto"/>
        <w:jc w:val="both"/>
        <w:divId w:val="1316184749"/>
        <w:rPr>
          <w:szCs w:val="24"/>
        </w:rPr>
      </w:pPr>
      <w:r w:rsidRPr="00687DE8">
        <w:rPr>
          <w:szCs w:val="24"/>
        </w:rPr>
        <w:t xml:space="preserve">(4) </w:t>
      </w:r>
      <w:r w:rsidR="005023FD" w:rsidRPr="00687DE8">
        <w:rPr>
          <w:szCs w:val="24"/>
        </w:rPr>
        <w:t>Tervisekassa</w:t>
      </w:r>
      <w:r w:rsidRPr="00687DE8">
        <w:rPr>
          <w:szCs w:val="24"/>
        </w:rPr>
        <w:t xml:space="preserve"> võtab koodiga 7566 tähistatud tervishoiuteenuse eest tasu maksmise kohustuse üle järgmistel juhtudel:</w:t>
      </w:r>
    </w:p>
    <w:p w14:paraId="76B45C7E" w14:textId="77777777" w:rsidR="00976487" w:rsidRPr="00687DE8" w:rsidRDefault="00976487" w:rsidP="00976487">
      <w:pPr>
        <w:spacing w:after="0" w:line="240" w:lineRule="auto"/>
        <w:jc w:val="both"/>
        <w:divId w:val="1316184749"/>
        <w:rPr>
          <w:szCs w:val="24"/>
        </w:rPr>
      </w:pPr>
      <w:r w:rsidRPr="00687DE8">
        <w:rPr>
          <w:szCs w:val="24"/>
        </w:rPr>
        <w:t>1) varjatud verejooksu kahtlus peensoolest, kui verejooksu põhjus ei ole gastroskoopial ja koloskoopial selgunud;</w:t>
      </w:r>
    </w:p>
    <w:p w14:paraId="004D3900" w14:textId="77777777" w:rsidR="00976487" w:rsidRPr="00687DE8" w:rsidRDefault="00976487" w:rsidP="00976487">
      <w:pPr>
        <w:spacing w:after="0" w:line="240" w:lineRule="auto"/>
        <w:jc w:val="both"/>
        <w:divId w:val="1316184749"/>
        <w:rPr>
          <w:szCs w:val="24"/>
        </w:rPr>
      </w:pPr>
      <w:r w:rsidRPr="00687DE8">
        <w:rPr>
          <w:szCs w:val="24"/>
        </w:rPr>
        <w:t>2) Crohni tõve kahtlus peensooles või teadaoleva Crohni tõve ileiidi ägenemise hindamiseks;</w:t>
      </w:r>
    </w:p>
    <w:p w14:paraId="2D9065C8" w14:textId="77777777" w:rsidR="00976487" w:rsidRPr="00687DE8" w:rsidRDefault="00976487" w:rsidP="00976487">
      <w:pPr>
        <w:spacing w:after="0" w:line="240" w:lineRule="auto"/>
        <w:jc w:val="both"/>
        <w:divId w:val="1316184749"/>
        <w:rPr>
          <w:szCs w:val="24"/>
        </w:rPr>
      </w:pPr>
      <w:r w:rsidRPr="00687DE8">
        <w:rPr>
          <w:szCs w:val="24"/>
        </w:rPr>
        <w:t>3) peensoolekasvaja või NSAID-enteropaatia kahtlus.</w:t>
      </w:r>
    </w:p>
    <w:p w14:paraId="179D66A7" w14:textId="77777777" w:rsidR="00976487" w:rsidRPr="00687DE8" w:rsidRDefault="00976487" w:rsidP="00976487">
      <w:pPr>
        <w:spacing w:after="0" w:line="240" w:lineRule="auto"/>
        <w:jc w:val="both"/>
        <w:divId w:val="1316184749"/>
        <w:rPr>
          <w:szCs w:val="24"/>
        </w:rPr>
      </w:pPr>
    </w:p>
    <w:p w14:paraId="608D0453" w14:textId="69C6105C" w:rsidR="00976487" w:rsidRPr="00687DE8" w:rsidRDefault="00976487" w:rsidP="00976487">
      <w:pPr>
        <w:spacing w:after="0" w:line="240" w:lineRule="auto"/>
        <w:jc w:val="both"/>
        <w:divId w:val="1316184749"/>
        <w:rPr>
          <w:szCs w:val="24"/>
        </w:rPr>
      </w:pPr>
      <w:r w:rsidRPr="00687DE8">
        <w:rPr>
          <w:szCs w:val="24"/>
        </w:rPr>
        <w:t>(</w:t>
      </w:r>
      <w:r w:rsidR="00E456CE" w:rsidRPr="00687DE8">
        <w:rPr>
          <w:szCs w:val="24"/>
        </w:rPr>
        <w:t>5</w:t>
      </w:r>
      <w:r w:rsidRPr="00687DE8">
        <w:rPr>
          <w:szCs w:val="24"/>
        </w:rPr>
        <w:t xml:space="preserve">) </w:t>
      </w:r>
      <w:r w:rsidR="005023FD" w:rsidRPr="00687DE8">
        <w:rPr>
          <w:szCs w:val="24"/>
        </w:rPr>
        <w:t>Tervisekassa</w:t>
      </w:r>
      <w:r w:rsidRPr="00687DE8">
        <w:rPr>
          <w:szCs w:val="24"/>
        </w:rPr>
        <w:t xml:space="preserve"> võtab koodiga 7568 tähistatud tervishoiuteenuse eest tasu maksmise kohustuse üle, kui teenust osutatakse haiglate loetelus nimetatud kesk- või piirkondlikus haiglas.</w:t>
      </w:r>
    </w:p>
    <w:p w14:paraId="1ACD8BFC" w14:textId="77777777" w:rsidR="00F74011" w:rsidRPr="00687DE8" w:rsidRDefault="00F74011" w:rsidP="00976487">
      <w:pPr>
        <w:spacing w:after="0" w:line="240" w:lineRule="auto"/>
        <w:jc w:val="both"/>
        <w:divId w:val="1316184749"/>
        <w:rPr>
          <w:szCs w:val="24"/>
        </w:rPr>
      </w:pPr>
    </w:p>
    <w:p w14:paraId="5A7FF02D" w14:textId="54BFA75E" w:rsidR="00976487" w:rsidRPr="00687DE8" w:rsidRDefault="00976487" w:rsidP="00976487">
      <w:pPr>
        <w:spacing w:after="0" w:line="240" w:lineRule="auto"/>
        <w:jc w:val="both"/>
        <w:divId w:val="1316184749"/>
        <w:rPr>
          <w:szCs w:val="24"/>
        </w:rPr>
      </w:pPr>
      <w:bookmarkStart w:id="20" w:name="_Hlk179643015"/>
      <w:r w:rsidRPr="00687DE8">
        <w:rPr>
          <w:szCs w:val="24"/>
        </w:rPr>
        <w:t>(</w:t>
      </w:r>
      <w:r w:rsidR="00D75B04">
        <w:rPr>
          <w:szCs w:val="24"/>
        </w:rPr>
        <w:t>6</w:t>
      </w:r>
      <w:r w:rsidRPr="00687DE8">
        <w:rPr>
          <w:szCs w:val="24"/>
        </w:rPr>
        <w:t xml:space="preserve">) </w:t>
      </w:r>
      <w:r w:rsidR="005023FD" w:rsidRPr="00687DE8">
        <w:rPr>
          <w:szCs w:val="24"/>
        </w:rPr>
        <w:t>Tervisekassa</w:t>
      </w:r>
      <w:r w:rsidRPr="00687DE8">
        <w:rPr>
          <w:szCs w:val="24"/>
        </w:rPr>
        <w:t xml:space="preserve"> võtab koodiga 7597 tähistatud tervishoiuteenuse eest tasu maksmise kohustuse üle patsiendilt, kellele on jämesoolevähi ennetuse raames </w:t>
      </w:r>
      <w:r w:rsidR="00CC44F2" w:rsidRPr="00687DE8">
        <w:rPr>
          <w:szCs w:val="24"/>
        </w:rPr>
        <w:t>pärast</w:t>
      </w:r>
      <w:r w:rsidRPr="00687DE8">
        <w:rPr>
          <w:szCs w:val="24"/>
        </w:rPr>
        <w:t xml:space="preserve"> positiivset peitvere testi väljastatud saatekiri jämesoolevähi diagnoosimiseks.</w:t>
      </w:r>
    </w:p>
    <w:bookmarkEnd w:id="20"/>
    <w:p w14:paraId="792DDFF0" w14:textId="77777777" w:rsidR="00976487" w:rsidRPr="00687DE8" w:rsidRDefault="00976487" w:rsidP="00976487">
      <w:pPr>
        <w:spacing w:after="0" w:line="240" w:lineRule="auto"/>
        <w:jc w:val="both"/>
        <w:divId w:val="1316184749"/>
        <w:rPr>
          <w:szCs w:val="24"/>
        </w:rPr>
      </w:pPr>
    </w:p>
    <w:p w14:paraId="6FF4E21C" w14:textId="7FC04D73" w:rsidR="00976487" w:rsidRPr="00687DE8" w:rsidRDefault="00976487" w:rsidP="00976487">
      <w:pPr>
        <w:spacing w:after="0" w:line="240" w:lineRule="auto"/>
        <w:jc w:val="both"/>
        <w:divId w:val="1316184749"/>
        <w:rPr>
          <w:szCs w:val="24"/>
        </w:rPr>
      </w:pPr>
      <w:r w:rsidRPr="00687DE8">
        <w:rPr>
          <w:szCs w:val="24"/>
        </w:rPr>
        <w:t>(</w:t>
      </w:r>
      <w:r w:rsidR="00D75B04">
        <w:rPr>
          <w:szCs w:val="24"/>
        </w:rPr>
        <w:t>7</w:t>
      </w:r>
      <w:r w:rsidRPr="00687DE8">
        <w:rPr>
          <w:szCs w:val="24"/>
        </w:rPr>
        <w:t xml:space="preserve">) </w:t>
      </w:r>
      <w:r w:rsidR="005023FD" w:rsidRPr="00687DE8">
        <w:rPr>
          <w:szCs w:val="24"/>
        </w:rPr>
        <w:t>Tervisekassa</w:t>
      </w:r>
      <w:r w:rsidRPr="00687DE8">
        <w:rPr>
          <w:szCs w:val="24"/>
        </w:rPr>
        <w:t xml:space="preserve"> võtab koodiga 7597 tähistatud tervishoiuteenuse eest tasu maksmise kohustuse üle, kui teenust osutab tervishoiuteenuse osutaja, kellega </w:t>
      </w:r>
      <w:r w:rsidR="005023FD" w:rsidRPr="00687DE8">
        <w:rPr>
          <w:szCs w:val="24"/>
        </w:rPr>
        <w:t>Tervisekassa</w:t>
      </w:r>
      <w:r w:rsidRPr="00687DE8">
        <w:rPr>
          <w:szCs w:val="24"/>
        </w:rPr>
        <w:t xml:space="preserve"> on sõlminud vastava kokkuleppe ravi rahastamise lepingus.</w:t>
      </w:r>
    </w:p>
    <w:p w14:paraId="209349FB" w14:textId="77777777" w:rsidR="007C1BF1" w:rsidRPr="00687DE8" w:rsidRDefault="007C1BF1" w:rsidP="00976487">
      <w:pPr>
        <w:spacing w:after="0" w:line="240" w:lineRule="auto"/>
        <w:jc w:val="both"/>
        <w:divId w:val="1316184749"/>
        <w:rPr>
          <w:szCs w:val="24"/>
        </w:rPr>
      </w:pPr>
    </w:p>
    <w:p w14:paraId="4D89D4C2" w14:textId="0F684205" w:rsidR="007C1BF1" w:rsidRPr="00687DE8" w:rsidRDefault="007C1BF1" w:rsidP="00976487">
      <w:pPr>
        <w:spacing w:after="0" w:line="240" w:lineRule="auto"/>
        <w:jc w:val="both"/>
        <w:divId w:val="1316184749"/>
        <w:rPr>
          <w:szCs w:val="24"/>
        </w:rPr>
      </w:pPr>
      <w:r w:rsidRPr="00687DE8">
        <w:rPr>
          <w:szCs w:val="24"/>
        </w:rPr>
        <w:t>(</w:t>
      </w:r>
      <w:r w:rsidR="00D75B04">
        <w:rPr>
          <w:szCs w:val="24"/>
        </w:rPr>
        <w:t>8</w:t>
      </w:r>
      <w:r w:rsidRPr="00687DE8">
        <w:rPr>
          <w:szCs w:val="24"/>
        </w:rPr>
        <w:t>)</w:t>
      </w:r>
      <w:r w:rsidR="00D07688" w:rsidRPr="00687DE8">
        <w:rPr>
          <w:szCs w:val="24"/>
        </w:rPr>
        <w:t xml:space="preserve"> </w:t>
      </w:r>
      <w:r w:rsidR="005023FD" w:rsidRPr="00687DE8">
        <w:rPr>
          <w:szCs w:val="24"/>
        </w:rPr>
        <w:t>Tervisekassa</w:t>
      </w:r>
      <w:r w:rsidR="00D07688" w:rsidRPr="00687DE8">
        <w:rPr>
          <w:szCs w:val="24"/>
        </w:rPr>
        <w:t xml:space="preserve"> võtab koodiga 7545 tähistatud tervishoiuteenuse eest tasu maksmise kohustuse üle, kui teenust osutatakse haiglate loetelus nimetatud piirkondlikus haiglas.</w:t>
      </w:r>
    </w:p>
    <w:p w14:paraId="3BB4079E" w14:textId="77777777" w:rsidR="00D07688" w:rsidRPr="00687DE8" w:rsidRDefault="00D07688" w:rsidP="00976487">
      <w:pPr>
        <w:spacing w:after="0" w:line="240" w:lineRule="auto"/>
        <w:jc w:val="both"/>
        <w:divId w:val="1316184749"/>
        <w:rPr>
          <w:szCs w:val="24"/>
        </w:rPr>
      </w:pPr>
    </w:p>
    <w:p w14:paraId="04951CE2" w14:textId="3FE74DCB" w:rsidR="00D07688" w:rsidRPr="00687DE8" w:rsidRDefault="00D07688" w:rsidP="00976487">
      <w:pPr>
        <w:spacing w:after="0" w:line="240" w:lineRule="auto"/>
        <w:jc w:val="both"/>
        <w:divId w:val="1316184749"/>
        <w:rPr>
          <w:szCs w:val="24"/>
        </w:rPr>
      </w:pPr>
      <w:r w:rsidRPr="00687DE8">
        <w:rPr>
          <w:szCs w:val="24"/>
        </w:rPr>
        <w:t>(</w:t>
      </w:r>
      <w:r w:rsidR="00D75B04">
        <w:rPr>
          <w:szCs w:val="24"/>
        </w:rPr>
        <w:t>9</w:t>
      </w:r>
      <w:r w:rsidRPr="00687DE8">
        <w:rPr>
          <w:szCs w:val="24"/>
        </w:rPr>
        <w:t>)</w:t>
      </w:r>
      <w:r w:rsidR="00ED51E1" w:rsidRPr="00687DE8">
        <w:rPr>
          <w:szCs w:val="24"/>
        </w:rPr>
        <w:t xml:space="preserve"> Koodiga 7545 tähistatud tervishoiuteenuse piirhind sisaldab </w:t>
      </w:r>
      <w:r w:rsidR="00B91A3D" w:rsidRPr="00687DE8">
        <w:rPr>
          <w:szCs w:val="24"/>
        </w:rPr>
        <w:t>bronhoskoopia (</w:t>
      </w:r>
      <w:r w:rsidR="00ED51E1" w:rsidRPr="00687DE8">
        <w:rPr>
          <w:szCs w:val="24"/>
        </w:rPr>
        <w:t>kood 755</w:t>
      </w:r>
      <w:r w:rsidR="009F478C" w:rsidRPr="00687DE8">
        <w:rPr>
          <w:szCs w:val="24"/>
        </w:rPr>
        <w:t>9) maksumust</w:t>
      </w:r>
      <w:r w:rsidR="00ED51E1" w:rsidRPr="00687DE8">
        <w:rPr>
          <w:szCs w:val="24"/>
        </w:rPr>
        <w:t>.</w:t>
      </w:r>
    </w:p>
    <w:p w14:paraId="6781AD77" w14:textId="77777777" w:rsidR="00976487" w:rsidRPr="00687DE8" w:rsidRDefault="00976487" w:rsidP="00976487">
      <w:pPr>
        <w:spacing w:after="0" w:line="240" w:lineRule="auto"/>
        <w:jc w:val="both"/>
        <w:divId w:val="1316184749"/>
        <w:rPr>
          <w:szCs w:val="24"/>
        </w:rPr>
      </w:pPr>
    </w:p>
    <w:p w14:paraId="74E8A43D" w14:textId="27A049AD" w:rsidR="00976487" w:rsidRPr="00687DE8" w:rsidRDefault="00976487" w:rsidP="00976487">
      <w:pPr>
        <w:spacing w:after="0" w:line="240" w:lineRule="auto"/>
        <w:jc w:val="both"/>
        <w:divId w:val="1316184749"/>
        <w:rPr>
          <w:szCs w:val="24"/>
        </w:rPr>
      </w:pPr>
      <w:r w:rsidRPr="00687DE8">
        <w:rPr>
          <w:szCs w:val="24"/>
        </w:rPr>
        <w:lastRenderedPageBreak/>
        <w:t>(</w:t>
      </w:r>
      <w:r w:rsidR="73221807" w:rsidRPr="00687DE8">
        <w:rPr>
          <w:szCs w:val="24"/>
        </w:rPr>
        <w:t>1</w:t>
      </w:r>
      <w:r w:rsidR="00D75B04">
        <w:rPr>
          <w:szCs w:val="24"/>
        </w:rPr>
        <w:t>0</w:t>
      </w:r>
      <w:r w:rsidRPr="00687DE8">
        <w:rPr>
          <w:szCs w:val="24"/>
        </w:rPr>
        <w:t>) Endoskoopiliste lisauuringute ja protseduuride piirhinnad on järgmised:</w:t>
      </w:r>
    </w:p>
    <w:p w14:paraId="1BF1BB96"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999"/>
        <w:gridCol w:w="1745"/>
      </w:tblGrid>
      <w:tr w:rsidR="00976487" w:rsidRPr="00687DE8" w14:paraId="47960AE5" w14:textId="77777777" w:rsidTr="00FB3AB6">
        <w:trPr>
          <w:divId w:val="1316184749"/>
          <w:tblHeader/>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B6340C" w14:textId="77777777" w:rsidR="00976487" w:rsidRPr="00687DE8" w:rsidRDefault="00976487">
            <w:pPr>
              <w:spacing w:after="0" w:line="240" w:lineRule="auto"/>
              <w:jc w:val="center"/>
              <w:rPr>
                <w:szCs w:val="24"/>
              </w:rPr>
            </w:pPr>
            <w:r w:rsidRPr="00687DE8">
              <w:rPr>
                <w:b/>
                <w:szCs w:val="24"/>
              </w:rPr>
              <w:t>Tervishoiuteenuse nimetus</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F77FEF" w14:textId="77777777" w:rsidR="00976487" w:rsidRPr="00687DE8" w:rsidRDefault="00976487">
            <w:pPr>
              <w:spacing w:after="0" w:line="240" w:lineRule="auto"/>
              <w:jc w:val="center"/>
              <w:rPr>
                <w:szCs w:val="24"/>
              </w:rPr>
            </w:pPr>
            <w:r w:rsidRPr="00687DE8">
              <w:rPr>
                <w:b/>
                <w:szCs w:val="24"/>
              </w:rPr>
              <w:t>Kood</w:t>
            </w:r>
          </w:p>
        </w:tc>
        <w:tc>
          <w:tcPr>
            <w:tcW w:w="17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F3C9EA"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8B3B35" w:rsidRPr="00687DE8" w14:paraId="7DAD2223"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2CDAD1" w14:textId="77777777" w:rsidR="008B3B35" w:rsidRPr="00687DE8" w:rsidRDefault="008B3B35" w:rsidP="008B3B35">
            <w:pPr>
              <w:spacing w:after="0" w:line="240" w:lineRule="auto"/>
              <w:rPr>
                <w:szCs w:val="24"/>
              </w:rPr>
            </w:pPr>
            <w:r w:rsidRPr="00687DE8">
              <w:rPr>
                <w:szCs w:val="24"/>
              </w:rPr>
              <w:t>Histoloogilise koematerjali võtmine endoskoopial (kuni viis tk)</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D365C8" w14:textId="77777777" w:rsidR="008B3B35" w:rsidRPr="00687DE8" w:rsidRDefault="008B3B35" w:rsidP="008B3B35">
            <w:pPr>
              <w:spacing w:after="0" w:line="240" w:lineRule="auto"/>
              <w:jc w:val="center"/>
              <w:rPr>
                <w:szCs w:val="24"/>
              </w:rPr>
            </w:pPr>
            <w:r w:rsidRPr="00687DE8">
              <w:rPr>
                <w:szCs w:val="24"/>
              </w:rPr>
              <w:t>7552</w:t>
            </w:r>
          </w:p>
        </w:tc>
        <w:tc>
          <w:tcPr>
            <w:tcW w:w="17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FB9F06" w14:textId="3A8EA1F2" w:rsidR="2E1E8EE1" w:rsidRPr="00687DE8" w:rsidRDefault="004F609B">
            <w:pPr>
              <w:spacing w:after="0"/>
              <w:jc w:val="center"/>
              <w:rPr>
                <w:color w:val="000000" w:themeColor="text1"/>
                <w:szCs w:val="24"/>
              </w:rPr>
            </w:pPr>
            <w:r>
              <w:rPr>
                <w:color w:val="000000"/>
              </w:rPr>
              <w:t>24,71</w:t>
            </w:r>
          </w:p>
        </w:tc>
      </w:tr>
      <w:tr w:rsidR="008B3B35" w:rsidRPr="00687DE8" w14:paraId="00CA7829"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0395FE" w14:textId="77777777" w:rsidR="008B3B35" w:rsidRPr="00687DE8" w:rsidRDefault="008B3B35" w:rsidP="008B3B35">
            <w:pPr>
              <w:spacing w:after="0" w:line="240" w:lineRule="auto"/>
              <w:rPr>
                <w:szCs w:val="24"/>
              </w:rPr>
            </w:pPr>
            <w:r w:rsidRPr="00687DE8">
              <w:rPr>
                <w:szCs w:val="24"/>
              </w:rPr>
              <w:t>Tsütoloogilise koematerjali võtmine endoskoopial</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9E2617" w14:textId="77777777" w:rsidR="008B3B35" w:rsidRPr="00687DE8" w:rsidRDefault="008B3B35" w:rsidP="008B3B35">
            <w:pPr>
              <w:spacing w:after="0" w:line="240" w:lineRule="auto"/>
              <w:jc w:val="center"/>
              <w:rPr>
                <w:szCs w:val="24"/>
              </w:rPr>
            </w:pPr>
            <w:r w:rsidRPr="00687DE8">
              <w:rPr>
                <w:szCs w:val="24"/>
              </w:rPr>
              <w:t>7587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AA518E" w14:textId="0CE790B7" w:rsidR="2E1E8EE1" w:rsidRPr="00687DE8" w:rsidRDefault="004F609B">
            <w:pPr>
              <w:spacing w:after="0"/>
              <w:jc w:val="center"/>
              <w:rPr>
                <w:color w:val="000000" w:themeColor="text1"/>
                <w:szCs w:val="24"/>
              </w:rPr>
            </w:pPr>
            <w:r>
              <w:rPr>
                <w:color w:val="000000"/>
              </w:rPr>
              <w:t>30,80</w:t>
            </w:r>
          </w:p>
        </w:tc>
      </w:tr>
      <w:tr w:rsidR="008B3B35" w:rsidRPr="00687DE8" w14:paraId="3BC4D4E1"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70650B" w14:textId="77777777" w:rsidR="008B3B35" w:rsidRPr="00687DE8" w:rsidRDefault="008B3B35" w:rsidP="008B3B35">
            <w:pPr>
              <w:spacing w:after="0" w:line="240" w:lineRule="auto"/>
              <w:rPr>
                <w:szCs w:val="24"/>
              </w:rPr>
            </w:pPr>
            <w:r w:rsidRPr="00687DE8">
              <w:rPr>
                <w:szCs w:val="24"/>
              </w:rPr>
              <w:t>Endoskoopiline stentimine mittelaieneva stendiga</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E155BA" w14:textId="77777777" w:rsidR="008B3B35" w:rsidRPr="00687DE8" w:rsidRDefault="008B3B35" w:rsidP="008B3B35">
            <w:pPr>
              <w:spacing w:after="0" w:line="240" w:lineRule="auto"/>
              <w:jc w:val="center"/>
              <w:rPr>
                <w:szCs w:val="24"/>
              </w:rPr>
            </w:pPr>
            <w:r w:rsidRPr="00687DE8">
              <w:rPr>
                <w:szCs w:val="24"/>
              </w:rPr>
              <w:t>7564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A2DC42" w14:textId="2AA7811E" w:rsidR="2E1E8EE1" w:rsidRPr="00687DE8" w:rsidRDefault="004F609B">
            <w:pPr>
              <w:spacing w:after="0"/>
              <w:jc w:val="center"/>
              <w:rPr>
                <w:color w:val="000000" w:themeColor="text1"/>
                <w:szCs w:val="24"/>
              </w:rPr>
            </w:pPr>
            <w:r>
              <w:rPr>
                <w:color w:val="000000"/>
              </w:rPr>
              <w:t>127,05</w:t>
            </w:r>
          </w:p>
        </w:tc>
      </w:tr>
      <w:tr w:rsidR="008B3B35" w:rsidRPr="00687DE8" w14:paraId="4D46C926"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27A205" w14:textId="77777777" w:rsidR="008B3B35" w:rsidRPr="00687DE8" w:rsidRDefault="008B3B35" w:rsidP="008B3B35">
            <w:pPr>
              <w:spacing w:after="0" w:line="240" w:lineRule="auto"/>
              <w:rPr>
                <w:szCs w:val="24"/>
              </w:rPr>
            </w:pPr>
            <w:r w:rsidRPr="00687DE8">
              <w:rPr>
                <w:szCs w:val="24"/>
              </w:rPr>
              <w:t>Kiviekstraktsioonivahendite kasutamine (sealhulgas sapikivi purustamine litotripteri kasutamiseta)</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07F4AF8" w14:textId="77777777" w:rsidR="008B3B35" w:rsidRPr="00687DE8" w:rsidRDefault="008B3B35" w:rsidP="008B3B35">
            <w:pPr>
              <w:spacing w:after="0" w:line="240" w:lineRule="auto"/>
              <w:jc w:val="center"/>
              <w:rPr>
                <w:szCs w:val="24"/>
              </w:rPr>
            </w:pPr>
            <w:r w:rsidRPr="00687DE8">
              <w:rPr>
                <w:szCs w:val="24"/>
              </w:rPr>
              <w:t>7565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4E3A3E" w14:textId="77111E0F" w:rsidR="2E1E8EE1" w:rsidRPr="00687DE8" w:rsidRDefault="004F609B">
            <w:pPr>
              <w:spacing w:after="0"/>
              <w:jc w:val="center"/>
              <w:rPr>
                <w:color w:val="000000" w:themeColor="text1"/>
                <w:szCs w:val="24"/>
              </w:rPr>
            </w:pPr>
            <w:r>
              <w:rPr>
                <w:color w:val="000000"/>
              </w:rPr>
              <w:t>108,97</w:t>
            </w:r>
          </w:p>
        </w:tc>
      </w:tr>
      <w:tr w:rsidR="008B3B35" w:rsidRPr="00687DE8" w14:paraId="7B823FC7"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9F9FC8" w14:textId="77777777" w:rsidR="008B3B35" w:rsidRPr="00687DE8" w:rsidRDefault="008B3B35" w:rsidP="008B3B35">
            <w:pPr>
              <w:spacing w:after="0" w:line="240" w:lineRule="auto"/>
              <w:rPr>
                <w:szCs w:val="24"/>
              </w:rPr>
            </w:pPr>
            <w:r w:rsidRPr="00687DE8">
              <w:rPr>
                <w:szCs w:val="24"/>
              </w:rPr>
              <w:t>Endoskoopiline polüpektoomia (kuni viis polüüpi)</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C1817E" w14:textId="77777777" w:rsidR="008B3B35" w:rsidRPr="00687DE8" w:rsidRDefault="008B3B35" w:rsidP="008B3B35">
            <w:pPr>
              <w:spacing w:after="0" w:line="240" w:lineRule="auto"/>
              <w:jc w:val="center"/>
              <w:rPr>
                <w:szCs w:val="24"/>
              </w:rPr>
            </w:pPr>
            <w:r w:rsidRPr="00687DE8">
              <w:rPr>
                <w:szCs w:val="24"/>
              </w:rPr>
              <w:t>7569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1CD74C" w14:textId="66BB0E32" w:rsidR="2E1E8EE1" w:rsidRPr="00687DE8" w:rsidRDefault="004F609B">
            <w:pPr>
              <w:spacing w:after="0"/>
              <w:jc w:val="center"/>
              <w:rPr>
                <w:color w:val="000000" w:themeColor="text1"/>
                <w:szCs w:val="24"/>
              </w:rPr>
            </w:pPr>
            <w:r>
              <w:rPr>
                <w:color w:val="000000"/>
              </w:rPr>
              <w:t>94,78</w:t>
            </w:r>
          </w:p>
        </w:tc>
      </w:tr>
      <w:tr w:rsidR="008B3B35" w:rsidRPr="00687DE8" w14:paraId="67CED24C"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D5B8F1" w14:textId="77777777" w:rsidR="008B3B35" w:rsidRPr="00687DE8" w:rsidRDefault="008B3B35" w:rsidP="008B3B35">
            <w:pPr>
              <w:spacing w:after="0" w:line="240" w:lineRule="auto"/>
              <w:rPr>
                <w:szCs w:val="24"/>
              </w:rPr>
            </w:pPr>
            <w:r w:rsidRPr="00687DE8">
              <w:rPr>
                <w:szCs w:val="24"/>
              </w:rPr>
              <w:t>Endoskoopiline mukosektoomia</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24D4EE" w14:textId="77777777" w:rsidR="008B3B35" w:rsidRPr="00687DE8" w:rsidRDefault="008B3B35" w:rsidP="008B3B35">
            <w:pPr>
              <w:spacing w:after="0" w:line="240" w:lineRule="auto"/>
              <w:jc w:val="center"/>
              <w:rPr>
                <w:szCs w:val="24"/>
              </w:rPr>
            </w:pPr>
            <w:r w:rsidRPr="00687DE8">
              <w:rPr>
                <w:szCs w:val="24"/>
              </w:rPr>
              <w:t>7570</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852180" w14:textId="311C91F8" w:rsidR="2E1E8EE1" w:rsidRPr="00687DE8" w:rsidRDefault="004F609B">
            <w:pPr>
              <w:spacing w:after="0"/>
              <w:jc w:val="center"/>
              <w:rPr>
                <w:color w:val="000000" w:themeColor="text1"/>
                <w:szCs w:val="24"/>
              </w:rPr>
            </w:pPr>
            <w:r>
              <w:rPr>
                <w:color w:val="000000"/>
              </w:rPr>
              <w:t>195,77</w:t>
            </w:r>
          </w:p>
        </w:tc>
      </w:tr>
      <w:tr w:rsidR="008B3B35" w:rsidRPr="00687DE8" w14:paraId="52E01471"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669790" w14:textId="77777777" w:rsidR="008B3B35" w:rsidRPr="00687DE8" w:rsidRDefault="008B3B35" w:rsidP="008B3B35">
            <w:pPr>
              <w:spacing w:after="0" w:line="240" w:lineRule="auto"/>
              <w:rPr>
                <w:szCs w:val="24"/>
              </w:rPr>
            </w:pPr>
            <w:r w:rsidRPr="00687DE8">
              <w:rPr>
                <w:szCs w:val="24"/>
              </w:rPr>
              <w:t>Sapikivi purustamine litotripteri kasutamisega</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D11CA4" w14:textId="77777777" w:rsidR="008B3B35" w:rsidRPr="00687DE8" w:rsidRDefault="008B3B35" w:rsidP="008B3B35">
            <w:pPr>
              <w:spacing w:after="0" w:line="240" w:lineRule="auto"/>
              <w:jc w:val="center"/>
              <w:rPr>
                <w:szCs w:val="24"/>
              </w:rPr>
            </w:pPr>
            <w:r w:rsidRPr="00687DE8">
              <w:rPr>
                <w:szCs w:val="24"/>
              </w:rPr>
              <w:t>7571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7989CA" w14:textId="3018AFF6" w:rsidR="2E1E8EE1" w:rsidRPr="00687DE8" w:rsidRDefault="004F609B">
            <w:pPr>
              <w:spacing w:after="0"/>
              <w:jc w:val="center"/>
              <w:rPr>
                <w:color w:val="000000" w:themeColor="text1"/>
                <w:szCs w:val="24"/>
              </w:rPr>
            </w:pPr>
            <w:r>
              <w:rPr>
                <w:color w:val="000000"/>
              </w:rPr>
              <w:t>169,19</w:t>
            </w:r>
          </w:p>
        </w:tc>
      </w:tr>
      <w:tr w:rsidR="008B3B35" w:rsidRPr="00687DE8" w14:paraId="08D2E12E"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7D08EA" w14:textId="77777777" w:rsidR="008B3B35" w:rsidRPr="00687DE8" w:rsidRDefault="008B3B35" w:rsidP="008B3B35">
            <w:pPr>
              <w:spacing w:after="0" w:line="240" w:lineRule="auto"/>
              <w:rPr>
                <w:szCs w:val="24"/>
              </w:rPr>
            </w:pPr>
            <w:r w:rsidRPr="00687DE8">
              <w:rPr>
                <w:szCs w:val="24"/>
              </w:rPr>
              <w:t>Endoskoopiline stentimine iselaieneva stendiga</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CBFF5B" w14:textId="77777777" w:rsidR="008B3B35" w:rsidRPr="00687DE8" w:rsidRDefault="008B3B35" w:rsidP="008B3B35">
            <w:pPr>
              <w:spacing w:after="0" w:line="240" w:lineRule="auto"/>
              <w:jc w:val="center"/>
              <w:rPr>
                <w:szCs w:val="24"/>
              </w:rPr>
            </w:pPr>
            <w:r w:rsidRPr="00687DE8">
              <w:rPr>
                <w:szCs w:val="24"/>
              </w:rPr>
              <w:t>7572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1425C2" w14:textId="3E23342D" w:rsidR="2E1E8EE1" w:rsidRPr="00687DE8" w:rsidRDefault="004F609B">
            <w:pPr>
              <w:spacing w:after="0"/>
              <w:jc w:val="center"/>
              <w:rPr>
                <w:color w:val="000000" w:themeColor="text1"/>
                <w:szCs w:val="24"/>
              </w:rPr>
            </w:pPr>
            <w:r>
              <w:rPr>
                <w:color w:val="000000"/>
              </w:rPr>
              <w:t>1 156,80</w:t>
            </w:r>
          </w:p>
        </w:tc>
      </w:tr>
      <w:tr w:rsidR="008B3B35" w:rsidRPr="00687DE8" w14:paraId="1C540E18"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15642D" w14:textId="77777777" w:rsidR="008B3B35" w:rsidRPr="00687DE8" w:rsidRDefault="008B3B35" w:rsidP="008B3B35">
            <w:pPr>
              <w:spacing w:after="0" w:line="240" w:lineRule="auto"/>
              <w:rPr>
                <w:szCs w:val="24"/>
              </w:rPr>
            </w:pPr>
            <w:r w:rsidRPr="00687DE8">
              <w:rPr>
                <w:szCs w:val="24"/>
              </w:rPr>
              <w:t>Söögitoru vaariksite endoskoopiline ligeerimine</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B0CA3E" w14:textId="77777777" w:rsidR="008B3B35" w:rsidRPr="00687DE8" w:rsidRDefault="008B3B35" w:rsidP="008B3B35">
            <w:pPr>
              <w:spacing w:after="0" w:line="240" w:lineRule="auto"/>
              <w:jc w:val="center"/>
              <w:rPr>
                <w:szCs w:val="24"/>
              </w:rPr>
            </w:pPr>
            <w:r w:rsidRPr="00687DE8">
              <w:rPr>
                <w:szCs w:val="24"/>
              </w:rPr>
              <w:t>7573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07A1D0" w14:textId="67958AF2" w:rsidR="2E1E8EE1" w:rsidRPr="00687DE8" w:rsidRDefault="004F609B">
            <w:pPr>
              <w:spacing w:after="0"/>
              <w:jc w:val="center"/>
              <w:rPr>
                <w:color w:val="000000" w:themeColor="text1"/>
                <w:szCs w:val="24"/>
              </w:rPr>
            </w:pPr>
            <w:r>
              <w:rPr>
                <w:color w:val="000000"/>
              </w:rPr>
              <w:t>157,12</w:t>
            </w:r>
          </w:p>
        </w:tc>
      </w:tr>
      <w:tr w:rsidR="008B3B35" w:rsidRPr="00687DE8" w14:paraId="3E3912F7"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AD6CAF" w14:textId="77777777" w:rsidR="008B3B35" w:rsidRPr="00687DE8" w:rsidRDefault="008B3B35" w:rsidP="008B3B35">
            <w:pPr>
              <w:spacing w:after="0" w:line="240" w:lineRule="auto"/>
              <w:rPr>
                <w:szCs w:val="24"/>
              </w:rPr>
            </w:pPr>
            <w:r w:rsidRPr="00687DE8">
              <w:rPr>
                <w:szCs w:val="24"/>
              </w:rPr>
              <w:t>Klipsi asetamine endoskoopial</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2F57BC" w14:textId="77777777" w:rsidR="008B3B35" w:rsidRPr="00687DE8" w:rsidRDefault="008B3B35" w:rsidP="008B3B35">
            <w:pPr>
              <w:spacing w:after="0" w:line="240" w:lineRule="auto"/>
              <w:jc w:val="center"/>
              <w:rPr>
                <w:szCs w:val="24"/>
              </w:rPr>
            </w:pPr>
            <w:r w:rsidRPr="00687DE8">
              <w:rPr>
                <w:szCs w:val="24"/>
              </w:rPr>
              <w:t>7574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C195A0" w14:textId="6F0055A1" w:rsidR="2E1E8EE1" w:rsidRPr="00687DE8" w:rsidRDefault="004F609B">
            <w:pPr>
              <w:spacing w:after="0"/>
              <w:jc w:val="center"/>
              <w:rPr>
                <w:color w:val="000000" w:themeColor="text1"/>
                <w:szCs w:val="24"/>
              </w:rPr>
            </w:pPr>
            <w:r>
              <w:rPr>
                <w:color w:val="000000"/>
              </w:rPr>
              <w:t>84,69</w:t>
            </w:r>
          </w:p>
        </w:tc>
      </w:tr>
      <w:tr w:rsidR="008B3B35" w:rsidRPr="00687DE8" w14:paraId="1A7A372E"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995F2E" w14:textId="77777777" w:rsidR="008B3B35" w:rsidRPr="00687DE8" w:rsidRDefault="008B3B35" w:rsidP="008B3B35">
            <w:pPr>
              <w:spacing w:after="0" w:line="240" w:lineRule="auto"/>
              <w:rPr>
                <w:szCs w:val="24"/>
              </w:rPr>
            </w:pPr>
            <w:r w:rsidRPr="00687DE8">
              <w:rPr>
                <w:szCs w:val="24"/>
              </w:rPr>
              <w:t>Endoskoopiline plastligatuuri (</w:t>
            </w:r>
            <w:r w:rsidRPr="00687DE8">
              <w:rPr>
                <w:i/>
                <w:szCs w:val="24"/>
              </w:rPr>
              <w:t>endoloop</w:t>
            </w:r>
            <w:r w:rsidRPr="00687DE8">
              <w:rPr>
                <w:szCs w:val="24"/>
              </w:rPr>
              <w:t>’i) asetamine</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E54333" w14:textId="77777777" w:rsidR="008B3B35" w:rsidRPr="00687DE8" w:rsidRDefault="008B3B35" w:rsidP="008B3B35">
            <w:pPr>
              <w:spacing w:after="0" w:line="240" w:lineRule="auto"/>
              <w:jc w:val="center"/>
              <w:rPr>
                <w:szCs w:val="24"/>
              </w:rPr>
            </w:pPr>
            <w:r w:rsidRPr="00687DE8">
              <w:rPr>
                <w:szCs w:val="24"/>
              </w:rPr>
              <w:t>7575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6639E0" w14:textId="7AE1FB05" w:rsidR="2E1E8EE1" w:rsidRPr="00687DE8" w:rsidRDefault="004F609B">
            <w:pPr>
              <w:spacing w:after="0"/>
              <w:jc w:val="center"/>
              <w:rPr>
                <w:color w:val="000000" w:themeColor="text1"/>
                <w:szCs w:val="24"/>
              </w:rPr>
            </w:pPr>
            <w:r>
              <w:rPr>
                <w:color w:val="000000"/>
              </w:rPr>
              <w:t>104,59</w:t>
            </w:r>
          </w:p>
        </w:tc>
      </w:tr>
      <w:tr w:rsidR="008B3B35" w:rsidRPr="00687DE8" w14:paraId="71828269"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A38FD0" w14:textId="77777777" w:rsidR="008B3B35" w:rsidRPr="00687DE8" w:rsidRDefault="008B3B35" w:rsidP="008B3B35">
            <w:pPr>
              <w:spacing w:after="0" w:line="240" w:lineRule="auto"/>
              <w:rPr>
                <w:szCs w:val="24"/>
              </w:rPr>
            </w:pPr>
            <w:r w:rsidRPr="00687DE8">
              <w:rPr>
                <w:szCs w:val="24"/>
              </w:rPr>
              <w:t>Endoskoopiline injektsioonravi</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D10FED" w14:textId="77777777" w:rsidR="008B3B35" w:rsidRPr="00687DE8" w:rsidRDefault="008B3B35" w:rsidP="008B3B35">
            <w:pPr>
              <w:spacing w:after="0" w:line="240" w:lineRule="auto"/>
              <w:jc w:val="center"/>
              <w:rPr>
                <w:szCs w:val="24"/>
              </w:rPr>
            </w:pPr>
            <w:r w:rsidRPr="00687DE8">
              <w:rPr>
                <w:szCs w:val="24"/>
              </w:rPr>
              <w:t>7576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180E18" w14:textId="4A67E0A2" w:rsidR="2E1E8EE1" w:rsidRPr="00687DE8" w:rsidRDefault="004F609B">
            <w:pPr>
              <w:spacing w:after="0"/>
              <w:jc w:val="center"/>
              <w:rPr>
                <w:color w:val="000000" w:themeColor="text1"/>
                <w:szCs w:val="24"/>
              </w:rPr>
            </w:pPr>
            <w:r>
              <w:rPr>
                <w:color w:val="000000"/>
              </w:rPr>
              <w:t>69,26</w:t>
            </w:r>
          </w:p>
        </w:tc>
      </w:tr>
      <w:tr w:rsidR="008B3B35" w:rsidRPr="00687DE8" w14:paraId="13639849"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D1ED5B" w14:textId="77777777" w:rsidR="008B3B35" w:rsidRPr="00687DE8" w:rsidRDefault="008B3B35" w:rsidP="008B3B35">
            <w:pPr>
              <w:spacing w:after="0" w:line="240" w:lineRule="auto"/>
              <w:rPr>
                <w:szCs w:val="24"/>
              </w:rPr>
            </w:pPr>
            <w:r w:rsidRPr="00687DE8">
              <w:rPr>
                <w:szCs w:val="24"/>
              </w:rPr>
              <w:t>Verejooksu peatamine elektrokoagulatsioonitangi või -elektroodi kasutamisega</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8B9599" w14:textId="77777777" w:rsidR="008B3B35" w:rsidRPr="00687DE8" w:rsidRDefault="008B3B35" w:rsidP="008B3B35">
            <w:pPr>
              <w:spacing w:after="0" w:line="240" w:lineRule="auto"/>
              <w:jc w:val="center"/>
              <w:rPr>
                <w:szCs w:val="24"/>
              </w:rPr>
            </w:pPr>
          </w:p>
          <w:p w14:paraId="3BF6EABF" w14:textId="77777777" w:rsidR="008B3B35" w:rsidRPr="00687DE8" w:rsidRDefault="008B3B35" w:rsidP="008B3B35">
            <w:pPr>
              <w:spacing w:after="0" w:line="240" w:lineRule="auto"/>
              <w:jc w:val="center"/>
              <w:rPr>
                <w:szCs w:val="24"/>
              </w:rPr>
            </w:pPr>
            <w:r w:rsidRPr="00687DE8">
              <w:rPr>
                <w:szCs w:val="24"/>
              </w:rPr>
              <w:t>7577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4D8FEC" w14:textId="0E217D66" w:rsidR="2E1E8EE1" w:rsidRPr="00687DE8" w:rsidRDefault="004F609B">
            <w:pPr>
              <w:spacing w:after="0"/>
              <w:jc w:val="center"/>
              <w:rPr>
                <w:color w:val="000000" w:themeColor="text1"/>
                <w:szCs w:val="24"/>
              </w:rPr>
            </w:pPr>
            <w:r>
              <w:rPr>
                <w:color w:val="000000"/>
              </w:rPr>
              <w:t>61,26</w:t>
            </w:r>
          </w:p>
        </w:tc>
      </w:tr>
      <w:tr w:rsidR="008B3B35" w:rsidRPr="00687DE8" w14:paraId="5B6C7F52"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D5DBFE" w14:textId="77777777" w:rsidR="008B3B35" w:rsidRPr="00687DE8" w:rsidRDefault="008B3B35" w:rsidP="008B3B35">
            <w:pPr>
              <w:spacing w:after="0" w:line="240" w:lineRule="auto"/>
              <w:rPr>
                <w:szCs w:val="24"/>
              </w:rPr>
            </w:pPr>
            <w:r w:rsidRPr="00687DE8">
              <w:rPr>
                <w:szCs w:val="24"/>
              </w:rPr>
              <w:t>Argoonplasmakoagulatsiooni kasutamine endoskoopial</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659750" w14:textId="77777777" w:rsidR="008B3B35" w:rsidRPr="00687DE8" w:rsidRDefault="008B3B35" w:rsidP="008B3B35">
            <w:pPr>
              <w:spacing w:after="0" w:line="240" w:lineRule="auto"/>
              <w:jc w:val="center"/>
              <w:rPr>
                <w:szCs w:val="24"/>
              </w:rPr>
            </w:pPr>
            <w:r w:rsidRPr="00687DE8">
              <w:rPr>
                <w:szCs w:val="24"/>
              </w:rPr>
              <w:t>7578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E9153A" w14:textId="35D45DAA" w:rsidR="2E1E8EE1" w:rsidRPr="00687DE8" w:rsidRDefault="004F609B">
            <w:pPr>
              <w:spacing w:after="0"/>
              <w:jc w:val="center"/>
              <w:rPr>
                <w:color w:val="000000" w:themeColor="text1"/>
                <w:szCs w:val="24"/>
              </w:rPr>
            </w:pPr>
            <w:r>
              <w:rPr>
                <w:color w:val="000000"/>
              </w:rPr>
              <w:t>78,41</w:t>
            </w:r>
          </w:p>
        </w:tc>
      </w:tr>
      <w:tr w:rsidR="008B3B35" w:rsidRPr="00687DE8" w14:paraId="57AB7023"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5D56A9" w14:textId="77777777" w:rsidR="008B3B35" w:rsidRPr="00687DE8" w:rsidRDefault="008B3B35" w:rsidP="008B3B35">
            <w:pPr>
              <w:spacing w:after="0" w:line="240" w:lineRule="auto"/>
              <w:rPr>
                <w:szCs w:val="24"/>
              </w:rPr>
            </w:pPr>
            <w:r w:rsidRPr="00687DE8">
              <w:rPr>
                <w:szCs w:val="24"/>
              </w:rPr>
              <w:t>Endoskoopiline balloondilatatsioon</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D2847C" w14:textId="77777777" w:rsidR="008B3B35" w:rsidRPr="00687DE8" w:rsidRDefault="008B3B35" w:rsidP="008B3B35">
            <w:pPr>
              <w:spacing w:after="0" w:line="240" w:lineRule="auto"/>
              <w:jc w:val="center"/>
              <w:rPr>
                <w:szCs w:val="24"/>
              </w:rPr>
            </w:pPr>
            <w:r w:rsidRPr="00687DE8">
              <w:rPr>
                <w:szCs w:val="24"/>
              </w:rPr>
              <w:t>7579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BCC962" w14:textId="2F1A11A9" w:rsidR="2E1E8EE1" w:rsidRPr="00687DE8" w:rsidRDefault="004F609B">
            <w:pPr>
              <w:spacing w:after="0"/>
              <w:jc w:val="center"/>
              <w:rPr>
                <w:color w:val="000000" w:themeColor="text1"/>
                <w:szCs w:val="24"/>
              </w:rPr>
            </w:pPr>
            <w:r>
              <w:rPr>
                <w:color w:val="000000"/>
              </w:rPr>
              <w:t>138,40</w:t>
            </w:r>
          </w:p>
        </w:tc>
      </w:tr>
      <w:tr w:rsidR="008B3B35" w:rsidRPr="00687DE8" w14:paraId="32ED2091"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F9C81A" w14:textId="77777777" w:rsidR="008B3B35" w:rsidRPr="00687DE8" w:rsidRDefault="008B3B35" w:rsidP="008B3B35">
            <w:pPr>
              <w:spacing w:after="0" w:line="240" w:lineRule="auto"/>
              <w:rPr>
                <w:szCs w:val="24"/>
              </w:rPr>
            </w:pPr>
            <w:r w:rsidRPr="00687DE8">
              <w:rPr>
                <w:szCs w:val="24"/>
              </w:rPr>
              <w:t>Söögitoru või hingamisteede endoskoopiline laiendamine bužii kasutamisega</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7E8209" w14:textId="77777777" w:rsidR="008B3B35" w:rsidRPr="00687DE8" w:rsidRDefault="008B3B35" w:rsidP="008B3B35">
            <w:pPr>
              <w:spacing w:after="0" w:line="240" w:lineRule="auto"/>
              <w:jc w:val="center"/>
              <w:rPr>
                <w:szCs w:val="24"/>
              </w:rPr>
            </w:pPr>
          </w:p>
          <w:p w14:paraId="6B4F5F05" w14:textId="77777777" w:rsidR="008B3B35" w:rsidRPr="00687DE8" w:rsidRDefault="008B3B35" w:rsidP="008B3B35">
            <w:pPr>
              <w:spacing w:after="0" w:line="240" w:lineRule="auto"/>
              <w:jc w:val="center"/>
              <w:rPr>
                <w:szCs w:val="24"/>
              </w:rPr>
            </w:pPr>
            <w:r w:rsidRPr="00687DE8">
              <w:rPr>
                <w:szCs w:val="24"/>
              </w:rPr>
              <w:t>7580</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5E9268" w14:textId="16243E23" w:rsidR="2E1E8EE1" w:rsidRPr="00687DE8" w:rsidRDefault="004F609B">
            <w:pPr>
              <w:spacing w:after="0"/>
              <w:jc w:val="center"/>
              <w:rPr>
                <w:color w:val="000000" w:themeColor="text1"/>
                <w:szCs w:val="24"/>
              </w:rPr>
            </w:pPr>
            <w:r>
              <w:rPr>
                <w:color w:val="000000"/>
              </w:rPr>
              <w:t>84,43</w:t>
            </w:r>
          </w:p>
        </w:tc>
      </w:tr>
      <w:tr w:rsidR="008B3B35" w:rsidRPr="00687DE8" w14:paraId="58CC01AE"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0716C5" w14:textId="77777777" w:rsidR="008B3B35" w:rsidRPr="00687DE8" w:rsidRDefault="008B3B35" w:rsidP="008B3B35">
            <w:pPr>
              <w:spacing w:after="0" w:line="240" w:lineRule="auto"/>
              <w:rPr>
                <w:szCs w:val="24"/>
              </w:rPr>
            </w:pPr>
            <w:r w:rsidRPr="00687DE8">
              <w:rPr>
                <w:szCs w:val="24"/>
              </w:rPr>
              <w:t>Võõrkeha endoskoopiline eemaldamine</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0150F9" w14:textId="77777777" w:rsidR="008B3B35" w:rsidRPr="00687DE8" w:rsidRDefault="008B3B35" w:rsidP="008B3B35">
            <w:pPr>
              <w:spacing w:after="0" w:line="240" w:lineRule="auto"/>
              <w:jc w:val="center"/>
              <w:rPr>
                <w:szCs w:val="24"/>
              </w:rPr>
            </w:pPr>
            <w:r w:rsidRPr="00687DE8">
              <w:rPr>
                <w:szCs w:val="24"/>
              </w:rPr>
              <w:t>7581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756BFB" w14:textId="077091F8" w:rsidR="2E1E8EE1" w:rsidRPr="00687DE8" w:rsidRDefault="004F609B">
            <w:pPr>
              <w:spacing w:after="0"/>
              <w:jc w:val="center"/>
              <w:rPr>
                <w:color w:val="000000" w:themeColor="text1"/>
                <w:szCs w:val="24"/>
              </w:rPr>
            </w:pPr>
            <w:r>
              <w:rPr>
                <w:color w:val="000000"/>
              </w:rPr>
              <w:t>63,16</w:t>
            </w:r>
          </w:p>
        </w:tc>
      </w:tr>
      <w:tr w:rsidR="008B3B35" w:rsidRPr="00687DE8" w14:paraId="7B8BEFF0"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69587A" w14:textId="77777777" w:rsidR="008B3B35" w:rsidRPr="00687DE8" w:rsidRDefault="008B3B35" w:rsidP="008B3B35">
            <w:pPr>
              <w:spacing w:after="0" w:line="240" w:lineRule="auto"/>
              <w:rPr>
                <w:szCs w:val="24"/>
              </w:rPr>
            </w:pPr>
            <w:r w:rsidRPr="00687DE8">
              <w:rPr>
                <w:szCs w:val="24"/>
              </w:rPr>
              <w:t>Kromoendoskoopia</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73FD76" w14:textId="77777777" w:rsidR="008B3B35" w:rsidRPr="00687DE8" w:rsidRDefault="008B3B35" w:rsidP="008B3B35">
            <w:pPr>
              <w:spacing w:after="0" w:line="240" w:lineRule="auto"/>
              <w:jc w:val="center"/>
              <w:rPr>
                <w:szCs w:val="24"/>
              </w:rPr>
            </w:pPr>
            <w:r w:rsidRPr="00687DE8">
              <w:rPr>
                <w:szCs w:val="24"/>
              </w:rPr>
              <w:t>7582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4337C7" w14:textId="049C94FD" w:rsidR="2E1E8EE1" w:rsidRPr="00687DE8" w:rsidRDefault="004F609B">
            <w:pPr>
              <w:spacing w:after="0"/>
              <w:jc w:val="center"/>
              <w:rPr>
                <w:color w:val="000000" w:themeColor="text1"/>
                <w:szCs w:val="24"/>
              </w:rPr>
            </w:pPr>
            <w:r>
              <w:rPr>
                <w:color w:val="000000"/>
              </w:rPr>
              <w:t>40,13</w:t>
            </w:r>
          </w:p>
        </w:tc>
      </w:tr>
      <w:tr w:rsidR="008B3B35" w:rsidRPr="00687DE8" w14:paraId="0CE1946D"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80C8BE" w14:textId="77777777" w:rsidR="008B3B35" w:rsidRPr="00687DE8" w:rsidRDefault="008B3B35" w:rsidP="008B3B35">
            <w:pPr>
              <w:spacing w:after="0" w:line="240" w:lineRule="auto"/>
              <w:rPr>
                <w:szCs w:val="24"/>
              </w:rPr>
            </w:pPr>
            <w:r w:rsidRPr="00687DE8">
              <w:rPr>
                <w:szCs w:val="24"/>
              </w:rPr>
              <w:t>Endoskoopiline perkutaanse gastrostoomi rajamine või endoskoopiline vahetus</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A1F2EB" w14:textId="77777777" w:rsidR="008B3B35" w:rsidRPr="00687DE8" w:rsidRDefault="008B3B35" w:rsidP="008B3B35">
            <w:pPr>
              <w:spacing w:after="0" w:line="240" w:lineRule="auto"/>
              <w:jc w:val="center"/>
              <w:rPr>
                <w:szCs w:val="24"/>
              </w:rPr>
            </w:pPr>
          </w:p>
          <w:p w14:paraId="1CF10FAB" w14:textId="77777777" w:rsidR="008B3B35" w:rsidRPr="00687DE8" w:rsidRDefault="008B3B35" w:rsidP="008B3B35">
            <w:pPr>
              <w:spacing w:after="0" w:line="240" w:lineRule="auto"/>
              <w:jc w:val="center"/>
              <w:rPr>
                <w:szCs w:val="24"/>
              </w:rPr>
            </w:pPr>
            <w:r w:rsidRPr="00687DE8">
              <w:rPr>
                <w:szCs w:val="24"/>
              </w:rPr>
              <w:t>7583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9F1A72" w14:textId="060C62BD" w:rsidR="2E1E8EE1" w:rsidRPr="00687DE8" w:rsidRDefault="004F609B">
            <w:pPr>
              <w:spacing w:after="0"/>
              <w:jc w:val="center"/>
              <w:rPr>
                <w:color w:val="000000" w:themeColor="text1"/>
                <w:szCs w:val="24"/>
              </w:rPr>
            </w:pPr>
            <w:r>
              <w:rPr>
                <w:color w:val="000000"/>
              </w:rPr>
              <w:t>211,51</w:t>
            </w:r>
          </w:p>
        </w:tc>
      </w:tr>
      <w:tr w:rsidR="008B3B35" w:rsidRPr="00687DE8" w14:paraId="17A65AB0"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07DB03" w14:textId="77777777" w:rsidR="008B3B35" w:rsidRPr="00687DE8" w:rsidRDefault="008B3B35" w:rsidP="008B3B35">
            <w:pPr>
              <w:spacing w:after="0" w:line="240" w:lineRule="auto"/>
              <w:rPr>
                <w:szCs w:val="24"/>
              </w:rPr>
            </w:pPr>
            <w:r w:rsidRPr="00687DE8">
              <w:rPr>
                <w:szCs w:val="24"/>
              </w:rPr>
              <w:t>Endoskoopiline sondi asetamine makku või soolde</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69CB85" w14:textId="77777777" w:rsidR="008B3B35" w:rsidRPr="00687DE8" w:rsidRDefault="008B3B35" w:rsidP="008B3B35">
            <w:pPr>
              <w:spacing w:after="0" w:line="240" w:lineRule="auto"/>
              <w:jc w:val="center"/>
              <w:rPr>
                <w:szCs w:val="24"/>
              </w:rPr>
            </w:pPr>
            <w:r w:rsidRPr="00687DE8">
              <w:rPr>
                <w:szCs w:val="24"/>
              </w:rPr>
              <w:t>7584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35EA79" w14:textId="2434A250" w:rsidR="2E1E8EE1" w:rsidRPr="00687DE8" w:rsidRDefault="004F609B">
            <w:pPr>
              <w:spacing w:after="0"/>
              <w:jc w:val="center"/>
              <w:rPr>
                <w:color w:val="000000" w:themeColor="text1"/>
                <w:szCs w:val="24"/>
              </w:rPr>
            </w:pPr>
            <w:r>
              <w:rPr>
                <w:color w:val="000000"/>
              </w:rPr>
              <w:t>108,20</w:t>
            </w:r>
          </w:p>
        </w:tc>
      </w:tr>
      <w:tr w:rsidR="008B3B35" w:rsidRPr="00687DE8" w14:paraId="09C080AA"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F1DAD7" w14:textId="77777777" w:rsidR="008B3B35" w:rsidRPr="00687DE8" w:rsidRDefault="008B3B35" w:rsidP="008B3B35">
            <w:pPr>
              <w:spacing w:after="0" w:line="240" w:lineRule="auto"/>
              <w:rPr>
                <w:szCs w:val="24"/>
              </w:rPr>
            </w:pPr>
            <w:r w:rsidRPr="00687DE8">
              <w:rPr>
                <w:szCs w:val="24"/>
              </w:rPr>
              <w:t>Transluminaalne endoskoopiline punktsioon sonograafia nõelaga</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656031" w14:textId="77777777" w:rsidR="008B3B35" w:rsidRPr="00687DE8" w:rsidRDefault="008B3B35" w:rsidP="008B3B35">
            <w:pPr>
              <w:spacing w:after="0" w:line="240" w:lineRule="auto"/>
              <w:jc w:val="center"/>
              <w:rPr>
                <w:szCs w:val="24"/>
              </w:rPr>
            </w:pPr>
            <w:r w:rsidRPr="00687DE8">
              <w:rPr>
                <w:szCs w:val="24"/>
              </w:rPr>
              <w:t>7585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3C66C0" w14:textId="12438CA4" w:rsidR="2E1E8EE1" w:rsidRPr="00687DE8" w:rsidRDefault="004F609B">
            <w:pPr>
              <w:spacing w:after="0"/>
              <w:jc w:val="center"/>
              <w:rPr>
                <w:color w:val="000000" w:themeColor="text1"/>
                <w:szCs w:val="24"/>
              </w:rPr>
            </w:pPr>
            <w:r>
              <w:rPr>
                <w:color w:val="000000"/>
              </w:rPr>
              <w:t>217,91</w:t>
            </w:r>
          </w:p>
        </w:tc>
      </w:tr>
      <w:tr w:rsidR="008B3B35" w:rsidRPr="00687DE8" w14:paraId="3334452F"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14BBC5" w14:textId="77777777" w:rsidR="008B3B35" w:rsidRPr="00687DE8" w:rsidRDefault="008B3B35" w:rsidP="008B3B35">
            <w:pPr>
              <w:spacing w:after="0" w:line="240" w:lineRule="auto"/>
              <w:rPr>
                <w:szCs w:val="24"/>
              </w:rPr>
            </w:pPr>
            <w:r w:rsidRPr="00687DE8">
              <w:rPr>
                <w:szCs w:val="24"/>
              </w:rPr>
              <w:t>Tsütoloogilise koematerjali võtmine sapiteedest endoskoopial</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744F61" w14:textId="77777777" w:rsidR="008B3B35" w:rsidRPr="00687DE8" w:rsidRDefault="008B3B35" w:rsidP="008B3B35">
            <w:pPr>
              <w:spacing w:after="0" w:line="240" w:lineRule="auto"/>
              <w:jc w:val="center"/>
              <w:rPr>
                <w:szCs w:val="24"/>
              </w:rPr>
            </w:pPr>
            <w:r w:rsidRPr="00687DE8">
              <w:rPr>
                <w:szCs w:val="24"/>
              </w:rPr>
              <w:t>7588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B83FAE" w14:textId="44771E2F" w:rsidR="2E1E8EE1" w:rsidRPr="00687DE8" w:rsidRDefault="004F609B">
            <w:pPr>
              <w:spacing w:after="0"/>
              <w:jc w:val="center"/>
              <w:rPr>
                <w:color w:val="000000" w:themeColor="text1"/>
                <w:szCs w:val="24"/>
              </w:rPr>
            </w:pPr>
            <w:r>
              <w:rPr>
                <w:color w:val="000000"/>
              </w:rPr>
              <w:t>98,91</w:t>
            </w:r>
          </w:p>
        </w:tc>
      </w:tr>
      <w:tr w:rsidR="008B3B35" w:rsidRPr="00687DE8" w14:paraId="0C9CA9A7"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4EF623" w14:textId="77777777" w:rsidR="008B3B35" w:rsidRPr="00687DE8" w:rsidRDefault="008B3B35" w:rsidP="008B3B35">
            <w:pPr>
              <w:spacing w:after="0" w:line="240" w:lineRule="auto"/>
              <w:rPr>
                <w:szCs w:val="24"/>
              </w:rPr>
            </w:pPr>
            <w:r w:rsidRPr="00687DE8">
              <w:rPr>
                <w:szCs w:val="24"/>
              </w:rPr>
              <w:t>Papillotoomi kasutamine ERCP-l</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45834B" w14:textId="77777777" w:rsidR="008B3B35" w:rsidRPr="00687DE8" w:rsidRDefault="008B3B35" w:rsidP="008B3B35">
            <w:pPr>
              <w:spacing w:after="0" w:line="240" w:lineRule="auto"/>
              <w:jc w:val="center"/>
              <w:rPr>
                <w:szCs w:val="24"/>
              </w:rPr>
            </w:pPr>
            <w:r w:rsidRPr="00687DE8">
              <w:rPr>
                <w:szCs w:val="24"/>
              </w:rPr>
              <w:t>7589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471E5D" w14:textId="28CDCA2A" w:rsidR="2E1E8EE1" w:rsidRPr="00687DE8" w:rsidRDefault="004F609B">
            <w:pPr>
              <w:spacing w:after="0"/>
              <w:jc w:val="center"/>
              <w:rPr>
                <w:color w:val="000000" w:themeColor="text1"/>
                <w:szCs w:val="24"/>
              </w:rPr>
            </w:pPr>
            <w:r>
              <w:rPr>
                <w:color w:val="000000"/>
              </w:rPr>
              <w:t>190,92</w:t>
            </w:r>
          </w:p>
        </w:tc>
      </w:tr>
      <w:tr w:rsidR="008B3B35" w:rsidRPr="00687DE8" w14:paraId="19E89905" w14:textId="77777777" w:rsidTr="00D30B8D">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2528BB" w14:textId="77777777" w:rsidR="008B3B35" w:rsidRPr="00687DE8" w:rsidRDefault="008B3B35" w:rsidP="008B3B35">
            <w:pPr>
              <w:spacing w:after="0" w:line="240" w:lineRule="auto"/>
              <w:rPr>
                <w:szCs w:val="24"/>
              </w:rPr>
            </w:pPr>
            <w:r w:rsidRPr="00687DE8">
              <w:rPr>
                <w:szCs w:val="24"/>
              </w:rPr>
              <w:t>Bronhoalveolaarne lavaaž (BAL) diagnostilisel või ravi eesmärgil</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988F8F" w14:textId="77777777" w:rsidR="008B3B35" w:rsidRPr="00687DE8" w:rsidRDefault="008B3B35" w:rsidP="008B3B35">
            <w:pPr>
              <w:spacing w:after="0" w:line="240" w:lineRule="auto"/>
              <w:jc w:val="center"/>
              <w:rPr>
                <w:szCs w:val="24"/>
              </w:rPr>
            </w:pPr>
            <w:r w:rsidRPr="00687DE8">
              <w:rPr>
                <w:szCs w:val="24"/>
              </w:rPr>
              <w:t>7594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427EA1" w14:textId="79D185F8" w:rsidR="2E1E8EE1" w:rsidRPr="00687DE8" w:rsidRDefault="004F609B">
            <w:pPr>
              <w:spacing w:after="0"/>
              <w:jc w:val="center"/>
              <w:rPr>
                <w:color w:val="000000" w:themeColor="text1"/>
                <w:szCs w:val="24"/>
              </w:rPr>
            </w:pPr>
            <w:r>
              <w:rPr>
                <w:color w:val="000000"/>
              </w:rPr>
              <w:t>40,01</w:t>
            </w:r>
          </w:p>
        </w:tc>
      </w:tr>
      <w:tr w:rsidR="008B3B35" w:rsidRPr="00687DE8" w14:paraId="65700455" w14:textId="77777777" w:rsidTr="00EB7A71">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23F920" w14:textId="77777777" w:rsidR="008B3B35" w:rsidRPr="00687DE8" w:rsidRDefault="008B3B35" w:rsidP="008B3B35">
            <w:pPr>
              <w:spacing w:after="0" w:line="240" w:lineRule="auto"/>
              <w:rPr>
                <w:szCs w:val="24"/>
              </w:rPr>
            </w:pPr>
            <w:r w:rsidRPr="00687DE8">
              <w:rPr>
                <w:szCs w:val="24"/>
              </w:rPr>
              <w:t>Endoskoopiline krüobiopsia hingamisteedest</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191870" w14:textId="77777777" w:rsidR="008B3B35" w:rsidRPr="00687DE8" w:rsidRDefault="008B3B35" w:rsidP="008B3B35">
            <w:pPr>
              <w:spacing w:after="0" w:line="240" w:lineRule="auto"/>
              <w:jc w:val="center"/>
              <w:rPr>
                <w:szCs w:val="24"/>
              </w:rPr>
            </w:pPr>
            <w:r w:rsidRPr="00687DE8">
              <w:rPr>
                <w:szCs w:val="24"/>
              </w:rPr>
              <w:t>7591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F6844D" w14:textId="760D7DB1" w:rsidR="2E1E8EE1" w:rsidRPr="00687DE8" w:rsidRDefault="004F609B">
            <w:pPr>
              <w:spacing w:after="0"/>
              <w:jc w:val="center"/>
              <w:rPr>
                <w:color w:val="000000" w:themeColor="text1"/>
                <w:szCs w:val="24"/>
              </w:rPr>
            </w:pPr>
            <w:r>
              <w:rPr>
                <w:color w:val="000000"/>
              </w:rPr>
              <w:t>162,15</w:t>
            </w:r>
          </w:p>
        </w:tc>
      </w:tr>
      <w:tr w:rsidR="008B3B35" w:rsidRPr="00687DE8" w14:paraId="260AE111"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632253" w14:textId="77777777" w:rsidR="008B3B35" w:rsidRPr="00687DE8" w:rsidRDefault="008B3B35" w:rsidP="008B3B35">
            <w:pPr>
              <w:spacing w:after="0" w:line="240" w:lineRule="auto"/>
              <w:rPr>
                <w:szCs w:val="24"/>
              </w:rPr>
            </w:pPr>
            <w:r w:rsidRPr="00687DE8">
              <w:rPr>
                <w:szCs w:val="24"/>
              </w:rPr>
              <w:t>Endoskoopiline hingamisteede krüoteraapia või rekanaliseerimine</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287DC8" w14:textId="77777777" w:rsidR="008B3B35" w:rsidRPr="00687DE8" w:rsidRDefault="008B3B35" w:rsidP="008B3B35">
            <w:pPr>
              <w:spacing w:after="0" w:line="240" w:lineRule="auto"/>
              <w:jc w:val="center"/>
              <w:rPr>
                <w:szCs w:val="24"/>
              </w:rPr>
            </w:pPr>
            <w:r w:rsidRPr="00687DE8">
              <w:rPr>
                <w:szCs w:val="24"/>
              </w:rPr>
              <w:t>7592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E77234" w14:textId="7E9BE037" w:rsidR="2E1E8EE1" w:rsidRPr="00687DE8" w:rsidRDefault="004F609B">
            <w:pPr>
              <w:spacing w:after="0"/>
              <w:jc w:val="center"/>
              <w:rPr>
                <w:color w:val="000000" w:themeColor="text1"/>
                <w:szCs w:val="24"/>
              </w:rPr>
            </w:pPr>
            <w:r>
              <w:rPr>
                <w:color w:val="000000"/>
              </w:rPr>
              <w:t>255,71</w:t>
            </w:r>
          </w:p>
        </w:tc>
      </w:tr>
      <w:tr w:rsidR="008B3B35" w:rsidRPr="00687DE8" w14:paraId="5BA89D47"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691827" w14:textId="77777777" w:rsidR="008B3B35" w:rsidRPr="00687DE8" w:rsidRDefault="008B3B35" w:rsidP="008B3B35">
            <w:pPr>
              <w:spacing w:after="0" w:line="240" w:lineRule="auto"/>
              <w:rPr>
                <w:szCs w:val="24"/>
              </w:rPr>
            </w:pPr>
            <w:r w:rsidRPr="00687DE8">
              <w:rPr>
                <w:szCs w:val="24"/>
              </w:rPr>
              <w:t>Trahheobronhiaalpuu endoskoopiline stentimine silikoonstendiga</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D054E0" w14:textId="77777777" w:rsidR="008B3B35" w:rsidRPr="00687DE8" w:rsidRDefault="008B3B35" w:rsidP="008B3B35">
            <w:pPr>
              <w:spacing w:after="0" w:line="240" w:lineRule="auto"/>
              <w:jc w:val="center"/>
              <w:rPr>
                <w:szCs w:val="24"/>
              </w:rPr>
            </w:pPr>
            <w:r w:rsidRPr="00687DE8">
              <w:rPr>
                <w:szCs w:val="24"/>
              </w:rPr>
              <w:t>7593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63E063" w14:textId="3CF593FE" w:rsidR="2E1E8EE1" w:rsidRPr="00687DE8" w:rsidRDefault="004F609B">
            <w:pPr>
              <w:spacing w:after="0"/>
              <w:jc w:val="center"/>
              <w:rPr>
                <w:color w:val="000000" w:themeColor="text1"/>
                <w:szCs w:val="24"/>
              </w:rPr>
            </w:pPr>
            <w:r>
              <w:rPr>
                <w:color w:val="000000"/>
              </w:rPr>
              <w:t>1 080,70</w:t>
            </w:r>
          </w:p>
        </w:tc>
      </w:tr>
      <w:tr w:rsidR="008B3B35" w:rsidRPr="00687DE8" w14:paraId="488036C1"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A68475" w14:textId="77777777" w:rsidR="008B3B35" w:rsidRPr="00687DE8" w:rsidRDefault="008B3B35" w:rsidP="008B3B35">
            <w:pPr>
              <w:spacing w:after="0" w:line="240" w:lineRule="auto"/>
              <w:rPr>
                <w:szCs w:val="24"/>
              </w:rPr>
            </w:pPr>
            <w:r w:rsidRPr="00687DE8">
              <w:rPr>
                <w:szCs w:val="24"/>
              </w:rPr>
              <w:t>Ultrahelisondi kasutamine endoskoopias</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346A47" w14:textId="77777777" w:rsidR="008B3B35" w:rsidRPr="00687DE8" w:rsidRDefault="008B3B35" w:rsidP="008B3B35">
            <w:pPr>
              <w:spacing w:after="0" w:line="240" w:lineRule="auto"/>
              <w:jc w:val="center"/>
              <w:rPr>
                <w:szCs w:val="24"/>
              </w:rPr>
            </w:pPr>
            <w:r w:rsidRPr="00687DE8">
              <w:rPr>
                <w:szCs w:val="24"/>
              </w:rPr>
              <w:t>7586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968C1D" w14:textId="343B5469" w:rsidR="2E1E8EE1" w:rsidRPr="00687DE8" w:rsidRDefault="004F609B">
            <w:pPr>
              <w:spacing w:after="0"/>
              <w:jc w:val="center"/>
              <w:rPr>
                <w:color w:val="000000" w:themeColor="text1"/>
                <w:szCs w:val="24"/>
              </w:rPr>
            </w:pPr>
            <w:r>
              <w:rPr>
                <w:color w:val="000000"/>
              </w:rPr>
              <w:t>119,67</w:t>
            </w:r>
          </w:p>
        </w:tc>
      </w:tr>
      <w:tr w:rsidR="008B3B35" w:rsidRPr="00687DE8" w14:paraId="5BCAA292"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C16B24" w14:textId="77777777" w:rsidR="008B3B35" w:rsidRPr="00687DE8" w:rsidRDefault="008B3B35" w:rsidP="008B3B35">
            <w:pPr>
              <w:spacing w:after="0" w:line="240" w:lineRule="auto"/>
              <w:rPr>
                <w:szCs w:val="24"/>
              </w:rPr>
            </w:pPr>
            <w:r w:rsidRPr="00687DE8">
              <w:rPr>
                <w:szCs w:val="24"/>
              </w:rPr>
              <w:t>Endoskoobipealse klipsi asetamine või endoskoopiline täispaksuses resektsioon</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01F1D4" w14:textId="77777777" w:rsidR="007F334D" w:rsidRDefault="007F334D" w:rsidP="008B3B35">
            <w:pPr>
              <w:spacing w:after="0" w:line="240" w:lineRule="auto"/>
              <w:jc w:val="center"/>
              <w:rPr>
                <w:szCs w:val="24"/>
              </w:rPr>
            </w:pPr>
          </w:p>
          <w:p w14:paraId="0C384CE7" w14:textId="5543D9A8" w:rsidR="008B3B35" w:rsidRPr="00687DE8" w:rsidRDefault="008B3B35" w:rsidP="008B3B35">
            <w:pPr>
              <w:spacing w:after="0" w:line="240" w:lineRule="auto"/>
              <w:jc w:val="center"/>
              <w:rPr>
                <w:szCs w:val="24"/>
              </w:rPr>
            </w:pPr>
            <w:r w:rsidRPr="00687DE8">
              <w:rPr>
                <w:szCs w:val="24"/>
              </w:rPr>
              <w:t>7598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C7DEAA" w14:textId="63221184" w:rsidR="2E1E8EE1" w:rsidRPr="00687DE8" w:rsidRDefault="004F609B">
            <w:pPr>
              <w:spacing w:after="0"/>
              <w:jc w:val="center"/>
              <w:rPr>
                <w:color w:val="000000" w:themeColor="text1"/>
                <w:szCs w:val="24"/>
              </w:rPr>
            </w:pPr>
            <w:r>
              <w:rPr>
                <w:color w:val="000000"/>
              </w:rPr>
              <w:t>34,73</w:t>
            </w:r>
          </w:p>
        </w:tc>
      </w:tr>
      <w:tr w:rsidR="008B3B35" w:rsidRPr="00687DE8" w14:paraId="49530ADA"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CBAC1C" w14:textId="77777777" w:rsidR="008B3B35" w:rsidRPr="00687DE8" w:rsidRDefault="008B3B35" w:rsidP="008B3B35">
            <w:pPr>
              <w:tabs>
                <w:tab w:val="left" w:pos="6075"/>
              </w:tabs>
              <w:spacing w:after="0" w:line="240" w:lineRule="auto"/>
              <w:rPr>
                <w:szCs w:val="24"/>
              </w:rPr>
            </w:pPr>
            <w:r w:rsidRPr="00687DE8">
              <w:rPr>
                <w:szCs w:val="24"/>
              </w:rPr>
              <w:t>Endobronhiaalse klapisüsteemi asetamine</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966552" w14:textId="77777777" w:rsidR="008B3B35" w:rsidRPr="00687DE8" w:rsidRDefault="008B3B35" w:rsidP="008B3B35">
            <w:pPr>
              <w:spacing w:after="0" w:line="240" w:lineRule="auto"/>
              <w:jc w:val="center"/>
              <w:rPr>
                <w:szCs w:val="24"/>
              </w:rPr>
            </w:pPr>
            <w:r w:rsidRPr="00687DE8">
              <w:rPr>
                <w:szCs w:val="24"/>
              </w:rPr>
              <w:t>7599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531CAE" w14:textId="2D06D8D6" w:rsidR="2E1E8EE1" w:rsidRPr="00687DE8" w:rsidRDefault="004F609B">
            <w:pPr>
              <w:spacing w:after="0"/>
              <w:jc w:val="center"/>
              <w:rPr>
                <w:color w:val="000000" w:themeColor="text1"/>
                <w:szCs w:val="24"/>
              </w:rPr>
            </w:pPr>
            <w:r>
              <w:rPr>
                <w:color w:val="000000"/>
              </w:rPr>
              <w:t>122,53</w:t>
            </w:r>
          </w:p>
        </w:tc>
      </w:tr>
      <w:tr w:rsidR="008B3B35" w:rsidRPr="00687DE8" w14:paraId="2F103907"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D42DC8" w14:textId="77777777" w:rsidR="008B3B35" w:rsidRPr="00687DE8" w:rsidRDefault="008B3B35" w:rsidP="008B3B35">
            <w:pPr>
              <w:tabs>
                <w:tab w:val="left" w:pos="6075"/>
              </w:tabs>
              <w:spacing w:after="0" w:line="240" w:lineRule="auto"/>
              <w:rPr>
                <w:szCs w:val="24"/>
              </w:rPr>
            </w:pPr>
            <w:r w:rsidRPr="00687DE8">
              <w:rPr>
                <w:szCs w:val="24"/>
              </w:rPr>
              <w:t>Endoskoopiline kolangioskoopia</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ED0A4E" w14:textId="77777777" w:rsidR="008B3B35" w:rsidRPr="00687DE8" w:rsidRDefault="008B3B35" w:rsidP="008B3B35">
            <w:pPr>
              <w:spacing w:after="0" w:line="240" w:lineRule="auto"/>
              <w:jc w:val="center"/>
              <w:rPr>
                <w:szCs w:val="24"/>
              </w:rPr>
            </w:pPr>
            <w:r w:rsidRPr="00687DE8">
              <w:rPr>
                <w:szCs w:val="24"/>
              </w:rPr>
              <w:t>7547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D4A3847" w14:textId="7AB94216" w:rsidR="2E1E8EE1" w:rsidRPr="00687DE8" w:rsidRDefault="004F609B">
            <w:pPr>
              <w:spacing w:after="0"/>
              <w:jc w:val="center"/>
              <w:rPr>
                <w:color w:val="000000" w:themeColor="text1"/>
                <w:szCs w:val="24"/>
              </w:rPr>
            </w:pPr>
            <w:r>
              <w:rPr>
                <w:color w:val="000000"/>
              </w:rPr>
              <w:t>3 086,58</w:t>
            </w:r>
          </w:p>
        </w:tc>
      </w:tr>
      <w:tr w:rsidR="008B3B35" w:rsidRPr="00687DE8" w14:paraId="2165F34D"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688342" w14:textId="77777777" w:rsidR="008B3B35" w:rsidRPr="00687DE8" w:rsidRDefault="008B3B35" w:rsidP="008B3B35">
            <w:pPr>
              <w:tabs>
                <w:tab w:val="left" w:pos="6075"/>
              </w:tabs>
              <w:spacing w:after="0" w:line="240" w:lineRule="auto"/>
              <w:rPr>
                <w:szCs w:val="24"/>
              </w:rPr>
            </w:pPr>
            <w:r w:rsidRPr="00687DE8">
              <w:rPr>
                <w:szCs w:val="24"/>
              </w:rPr>
              <w:lastRenderedPageBreak/>
              <w:t>Endoskoopiline submukoosne dissektsioon</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8039EA" w14:textId="77777777" w:rsidR="008B3B35" w:rsidRPr="00687DE8" w:rsidRDefault="008B3B35" w:rsidP="008B3B35">
            <w:pPr>
              <w:spacing w:after="0" w:line="240" w:lineRule="auto"/>
              <w:jc w:val="center"/>
              <w:rPr>
                <w:szCs w:val="24"/>
              </w:rPr>
            </w:pPr>
            <w:r w:rsidRPr="00687DE8">
              <w:rPr>
                <w:szCs w:val="24"/>
              </w:rPr>
              <w:t>7548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A1187EA" w14:textId="3029369C" w:rsidR="2E1E8EE1" w:rsidRPr="00687DE8" w:rsidRDefault="004F609B">
            <w:pPr>
              <w:spacing w:after="0"/>
              <w:jc w:val="center"/>
              <w:rPr>
                <w:color w:val="000000" w:themeColor="text1"/>
                <w:szCs w:val="24"/>
              </w:rPr>
            </w:pPr>
            <w:r>
              <w:rPr>
                <w:color w:val="000000"/>
              </w:rPr>
              <w:t>266,59</w:t>
            </w:r>
          </w:p>
        </w:tc>
      </w:tr>
      <w:tr w:rsidR="008B3B35" w:rsidRPr="00687DE8" w14:paraId="34D27D02" w14:textId="77777777" w:rsidTr="00934CCC">
        <w:trPr>
          <w:divId w:val="1316184749"/>
          <w:trHeight w:val="300"/>
        </w:trPr>
        <w:tc>
          <w:tcPr>
            <w:tcW w:w="6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3392C3" w14:textId="77777777" w:rsidR="008B3B35" w:rsidRPr="00687DE8" w:rsidRDefault="008B3B35" w:rsidP="008B3B35">
            <w:pPr>
              <w:tabs>
                <w:tab w:val="left" w:pos="6075"/>
              </w:tabs>
              <w:spacing w:after="0" w:line="240" w:lineRule="auto"/>
              <w:rPr>
                <w:szCs w:val="24"/>
              </w:rPr>
            </w:pPr>
            <w:r w:rsidRPr="00687DE8">
              <w:rPr>
                <w:szCs w:val="24"/>
              </w:rPr>
              <w:t>Hemostaatilise pulbri kasutamine endoskoopial</w:t>
            </w:r>
          </w:p>
        </w:tc>
        <w:tc>
          <w:tcPr>
            <w:tcW w:w="9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921FC0" w14:textId="77777777" w:rsidR="008B3B35" w:rsidRPr="00687DE8" w:rsidRDefault="008B3B35" w:rsidP="008B3B35">
            <w:pPr>
              <w:spacing w:after="0" w:line="240" w:lineRule="auto"/>
              <w:jc w:val="center"/>
              <w:rPr>
                <w:szCs w:val="24"/>
              </w:rPr>
            </w:pPr>
            <w:r w:rsidRPr="00687DE8">
              <w:rPr>
                <w:szCs w:val="24"/>
              </w:rPr>
              <w:t>7546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36C0AF6" w14:textId="3820D8D0" w:rsidR="2E1E8EE1" w:rsidRPr="00687DE8" w:rsidRDefault="004F609B">
            <w:pPr>
              <w:spacing w:after="0"/>
              <w:jc w:val="center"/>
              <w:rPr>
                <w:color w:val="000000" w:themeColor="text1"/>
                <w:szCs w:val="24"/>
              </w:rPr>
            </w:pPr>
            <w:r>
              <w:rPr>
                <w:color w:val="000000"/>
              </w:rPr>
              <w:t>251,40</w:t>
            </w:r>
          </w:p>
        </w:tc>
      </w:tr>
    </w:tbl>
    <w:p w14:paraId="0A129377" w14:textId="77777777" w:rsidR="00976487" w:rsidRPr="00687DE8" w:rsidRDefault="00976487" w:rsidP="00976487">
      <w:pPr>
        <w:spacing w:after="0" w:line="240" w:lineRule="auto"/>
        <w:jc w:val="both"/>
        <w:divId w:val="1316184749"/>
        <w:rPr>
          <w:szCs w:val="24"/>
        </w:rPr>
      </w:pPr>
    </w:p>
    <w:p w14:paraId="05AFF8A0" w14:textId="62BDA57B" w:rsidR="00976487" w:rsidRPr="00687DE8" w:rsidRDefault="00976487" w:rsidP="00976487">
      <w:pPr>
        <w:spacing w:after="0" w:line="240" w:lineRule="auto"/>
        <w:jc w:val="both"/>
        <w:divId w:val="1316184749"/>
        <w:rPr>
          <w:szCs w:val="24"/>
        </w:rPr>
      </w:pPr>
      <w:r w:rsidRPr="00687DE8">
        <w:rPr>
          <w:szCs w:val="24"/>
        </w:rPr>
        <w:t>(1</w:t>
      </w:r>
      <w:r w:rsidR="00D75B04">
        <w:rPr>
          <w:szCs w:val="24"/>
        </w:rPr>
        <w:t>1</w:t>
      </w:r>
      <w:r w:rsidRPr="00687DE8">
        <w:rPr>
          <w:szCs w:val="24"/>
        </w:rPr>
        <w:t xml:space="preserve">) </w:t>
      </w:r>
      <w:r w:rsidR="00033909" w:rsidRPr="00687DE8">
        <w:rPr>
          <w:szCs w:val="24"/>
        </w:rPr>
        <w:t>L</w:t>
      </w:r>
      <w:r w:rsidRPr="00687DE8">
        <w:rPr>
          <w:szCs w:val="24"/>
        </w:rPr>
        <w:t xml:space="preserve">õikes </w:t>
      </w:r>
      <w:r w:rsidR="1602D55A" w:rsidRPr="00687DE8">
        <w:rPr>
          <w:szCs w:val="24"/>
        </w:rPr>
        <w:t>1</w:t>
      </w:r>
      <w:r w:rsidR="00D75B04">
        <w:rPr>
          <w:szCs w:val="24"/>
        </w:rPr>
        <w:t>0</w:t>
      </w:r>
      <w:r w:rsidRPr="00687DE8">
        <w:rPr>
          <w:szCs w:val="24"/>
        </w:rPr>
        <w:t xml:space="preserve"> sätestatud tervishoiuteenuste piirhindade rakendamisel lähtutakse alljärgnevast:</w:t>
      </w:r>
    </w:p>
    <w:p w14:paraId="4AE1D509" w14:textId="77777777" w:rsidR="00976487" w:rsidRPr="00687DE8" w:rsidRDefault="00976487" w:rsidP="00976487">
      <w:pPr>
        <w:spacing w:after="0" w:line="240" w:lineRule="auto"/>
        <w:jc w:val="both"/>
        <w:divId w:val="1316184749"/>
        <w:rPr>
          <w:szCs w:val="24"/>
        </w:rPr>
      </w:pPr>
      <w:r w:rsidRPr="00687DE8">
        <w:rPr>
          <w:szCs w:val="24"/>
        </w:rPr>
        <w:t>1) endoskoopilisi lisauuringuid ja -protseduure rakendatakse ainult täiendavalt lõikes 1 nimetatud tervishoiuteenustele;</w:t>
      </w:r>
    </w:p>
    <w:p w14:paraId="54B69BFA" w14:textId="77777777" w:rsidR="00976487" w:rsidRPr="00687DE8" w:rsidRDefault="00976487" w:rsidP="00976487">
      <w:pPr>
        <w:spacing w:after="0" w:line="240" w:lineRule="auto"/>
        <w:jc w:val="both"/>
        <w:divId w:val="1316184749"/>
        <w:rPr>
          <w:szCs w:val="24"/>
        </w:rPr>
      </w:pPr>
      <w:r w:rsidRPr="00687DE8">
        <w:rPr>
          <w:szCs w:val="24"/>
        </w:rPr>
        <w:t>2) koodiga 7570 tähistatud tervishoiuteenuse piirhind sisaldab endoskoopilise injektsiooni maksumust;</w:t>
      </w:r>
    </w:p>
    <w:p w14:paraId="7C8A9A43" w14:textId="77777777" w:rsidR="00976487" w:rsidRPr="00687DE8" w:rsidRDefault="00976487" w:rsidP="00976487">
      <w:pPr>
        <w:spacing w:after="0" w:line="240" w:lineRule="auto"/>
        <w:jc w:val="both"/>
        <w:divId w:val="1316184749"/>
        <w:rPr>
          <w:szCs w:val="24"/>
        </w:rPr>
      </w:pPr>
      <w:r w:rsidRPr="00687DE8">
        <w:rPr>
          <w:szCs w:val="24"/>
        </w:rPr>
        <w:t>3) koodiga 7583 tähistatud tervishoiuteenuse piirhind sisaldab gastrostoomi maksumust;</w:t>
      </w:r>
    </w:p>
    <w:p w14:paraId="6C4CF160" w14:textId="08F52856" w:rsidR="00976487" w:rsidRPr="00687DE8" w:rsidRDefault="00976487" w:rsidP="00976487">
      <w:pPr>
        <w:spacing w:after="0" w:line="240" w:lineRule="auto"/>
        <w:jc w:val="both"/>
        <w:divId w:val="1316184749"/>
      </w:pPr>
      <w:r>
        <w:t>4) koodi</w:t>
      </w:r>
      <w:r w:rsidR="6E3645AB">
        <w:t>ga</w:t>
      </w:r>
      <w:r>
        <w:t xml:space="preserve"> 7573 tähistatud tervishoiuteenu</w:t>
      </w:r>
      <w:r w:rsidR="62BAB872">
        <w:t>se</w:t>
      </w:r>
      <w:r>
        <w:t xml:space="preserve"> piirhind sisaldab ligatuuride maksumust;</w:t>
      </w:r>
    </w:p>
    <w:p w14:paraId="5ED4E596" w14:textId="77777777" w:rsidR="00976487" w:rsidRPr="00687DE8" w:rsidRDefault="00976487" w:rsidP="00976487">
      <w:pPr>
        <w:spacing w:after="0" w:line="240" w:lineRule="auto"/>
        <w:jc w:val="both"/>
        <w:divId w:val="1316184749"/>
        <w:rPr>
          <w:szCs w:val="24"/>
        </w:rPr>
      </w:pPr>
      <w:r w:rsidRPr="00687DE8">
        <w:rPr>
          <w:szCs w:val="24"/>
        </w:rPr>
        <w:t>5) koodidega 7572, 7564 ja 7593 tähistatud tervishoiuteenuste piirhind sisaldab stentide maksumust;</w:t>
      </w:r>
    </w:p>
    <w:p w14:paraId="34B0C7C1" w14:textId="1CC7068E" w:rsidR="00976487" w:rsidRPr="00687DE8" w:rsidRDefault="00E456CE" w:rsidP="00976487">
      <w:pPr>
        <w:spacing w:after="0" w:line="240" w:lineRule="auto"/>
        <w:jc w:val="both"/>
        <w:divId w:val="1316184749"/>
        <w:rPr>
          <w:szCs w:val="24"/>
        </w:rPr>
      </w:pPr>
      <w:r w:rsidRPr="00687DE8">
        <w:rPr>
          <w:szCs w:val="24"/>
        </w:rPr>
        <w:t>6</w:t>
      </w:r>
      <w:r w:rsidR="00976487" w:rsidRPr="00687DE8">
        <w:rPr>
          <w:szCs w:val="24"/>
        </w:rPr>
        <w:t>) koodiga 7592 tähistatud tervishoiuteenuse piirhind sisaldab bronhiaalpuu diagnostilise sondeerimise ja krüobiopsia võtmise maksumust;</w:t>
      </w:r>
    </w:p>
    <w:p w14:paraId="7CEC197E" w14:textId="1A534709" w:rsidR="00976487" w:rsidRPr="00687DE8" w:rsidRDefault="00E456CE" w:rsidP="00976487">
      <w:pPr>
        <w:spacing w:after="0" w:line="240" w:lineRule="auto"/>
        <w:jc w:val="both"/>
        <w:divId w:val="1316184749"/>
        <w:rPr>
          <w:szCs w:val="24"/>
        </w:rPr>
      </w:pPr>
      <w:r w:rsidRPr="00687DE8">
        <w:rPr>
          <w:szCs w:val="24"/>
        </w:rPr>
        <w:t>7</w:t>
      </w:r>
      <w:r w:rsidR="00976487" w:rsidRPr="00687DE8">
        <w:rPr>
          <w:szCs w:val="24"/>
        </w:rPr>
        <w:t xml:space="preserve">) rohkem kui viie histoloogilise koetüki võtmise korral võtab </w:t>
      </w:r>
      <w:r w:rsidR="005023FD" w:rsidRPr="00687DE8">
        <w:rPr>
          <w:szCs w:val="24"/>
        </w:rPr>
        <w:t>Tervisekassa</w:t>
      </w:r>
      <w:r w:rsidR="00976487" w:rsidRPr="00687DE8">
        <w:rPr>
          <w:szCs w:val="24"/>
        </w:rPr>
        <w:t xml:space="preserve"> tasu maksmise kohustuse üle koodiga 7552 tähistatud tervishoiuteenuse alusel iga järgneva kuni viie koetüki kohta;</w:t>
      </w:r>
    </w:p>
    <w:p w14:paraId="089AE393" w14:textId="07D8E8C2" w:rsidR="00976487" w:rsidRPr="00687DE8" w:rsidRDefault="00E456CE" w:rsidP="00976487">
      <w:pPr>
        <w:spacing w:after="0" w:line="240" w:lineRule="auto"/>
        <w:jc w:val="both"/>
        <w:divId w:val="1316184749"/>
        <w:rPr>
          <w:szCs w:val="24"/>
        </w:rPr>
      </w:pPr>
      <w:r w:rsidRPr="00687DE8">
        <w:rPr>
          <w:szCs w:val="24"/>
        </w:rPr>
        <w:t>8</w:t>
      </w:r>
      <w:r w:rsidR="00976487" w:rsidRPr="00687DE8">
        <w:rPr>
          <w:szCs w:val="24"/>
        </w:rPr>
        <w:t xml:space="preserve">) rohkem kui viie polüübi eemaldamise korral võtab </w:t>
      </w:r>
      <w:r w:rsidR="005023FD" w:rsidRPr="00687DE8">
        <w:rPr>
          <w:szCs w:val="24"/>
        </w:rPr>
        <w:t>Tervisekassa</w:t>
      </w:r>
      <w:r w:rsidR="00976487" w:rsidRPr="00687DE8">
        <w:rPr>
          <w:szCs w:val="24"/>
        </w:rPr>
        <w:t xml:space="preserve"> tasu maksmise kohustuse üle koodiga 7569 tähistatud tervishoiuteenuse alusel iga järgneva kuni viie polüübi kohta;</w:t>
      </w:r>
    </w:p>
    <w:p w14:paraId="391927FD" w14:textId="27660EB4" w:rsidR="00976487" w:rsidRPr="00687DE8" w:rsidRDefault="00E456CE" w:rsidP="00976487">
      <w:pPr>
        <w:spacing w:after="0" w:line="240" w:lineRule="auto"/>
        <w:jc w:val="both"/>
        <w:divId w:val="1316184749"/>
        <w:rPr>
          <w:szCs w:val="24"/>
        </w:rPr>
      </w:pPr>
      <w:r w:rsidRPr="00687DE8">
        <w:rPr>
          <w:szCs w:val="24"/>
        </w:rPr>
        <w:t>9</w:t>
      </w:r>
      <w:r w:rsidR="00976487" w:rsidRPr="00687DE8">
        <w:rPr>
          <w:szCs w:val="24"/>
        </w:rPr>
        <w:t>) koodiga 7569 tähistatud tervishoiuteenus sisaldab koodiga 7552 tähistatud tervishoiuteenuse maksumust juhul, kui histoloogiline koematerjal võetakse samast paikmest;</w:t>
      </w:r>
    </w:p>
    <w:p w14:paraId="151FE77C" w14:textId="114EDA06" w:rsidR="00976487" w:rsidRPr="00687DE8" w:rsidRDefault="00976487" w:rsidP="00976487">
      <w:pPr>
        <w:spacing w:after="0" w:line="240" w:lineRule="auto"/>
        <w:jc w:val="both"/>
        <w:divId w:val="1316184749"/>
        <w:rPr>
          <w:szCs w:val="24"/>
        </w:rPr>
      </w:pPr>
      <w:r w:rsidRPr="00687DE8">
        <w:rPr>
          <w:szCs w:val="24"/>
        </w:rPr>
        <w:t>1</w:t>
      </w:r>
      <w:r w:rsidR="00E456CE" w:rsidRPr="00687DE8">
        <w:rPr>
          <w:szCs w:val="24"/>
        </w:rPr>
        <w:t>0</w:t>
      </w:r>
      <w:r w:rsidRPr="00687DE8">
        <w:rPr>
          <w:szCs w:val="24"/>
        </w:rPr>
        <w:t xml:space="preserve">) </w:t>
      </w:r>
      <w:r w:rsidR="005023FD" w:rsidRPr="00687DE8">
        <w:rPr>
          <w:szCs w:val="24"/>
        </w:rPr>
        <w:t>Tervisekassa</w:t>
      </w:r>
      <w:r w:rsidRPr="00687DE8">
        <w:rPr>
          <w:szCs w:val="24"/>
        </w:rPr>
        <w:t xml:space="preserve"> võtab koodiga 7593 tähistatud tervishoiuteenuse eest tasu maksmise kohustuse üle mittemaliigse iseloomuga hingamisteede obstruktsiooni korral, kui resektsioon ja dilatsioon ei ole olnud tulemuslikud ning kirurgiline ravi ei ole võimalik;</w:t>
      </w:r>
    </w:p>
    <w:p w14:paraId="040039F8" w14:textId="190EC85C" w:rsidR="00976487" w:rsidRPr="00687DE8" w:rsidRDefault="00976487" w:rsidP="00976487">
      <w:pPr>
        <w:spacing w:after="0" w:line="240" w:lineRule="auto"/>
        <w:jc w:val="both"/>
        <w:divId w:val="1316184749"/>
        <w:rPr>
          <w:szCs w:val="24"/>
        </w:rPr>
      </w:pPr>
      <w:r w:rsidRPr="00687DE8">
        <w:rPr>
          <w:szCs w:val="24"/>
        </w:rPr>
        <w:t>1</w:t>
      </w:r>
      <w:r w:rsidR="00E456CE" w:rsidRPr="00687DE8">
        <w:rPr>
          <w:szCs w:val="24"/>
        </w:rPr>
        <w:t>1</w:t>
      </w:r>
      <w:r w:rsidRPr="00687DE8">
        <w:rPr>
          <w:szCs w:val="24"/>
        </w:rPr>
        <w:t xml:space="preserve">) </w:t>
      </w:r>
      <w:r w:rsidR="005023FD" w:rsidRPr="00687DE8">
        <w:rPr>
          <w:szCs w:val="24"/>
        </w:rPr>
        <w:t>Tervisekassa</w:t>
      </w:r>
      <w:r w:rsidRPr="00687DE8">
        <w:rPr>
          <w:szCs w:val="24"/>
        </w:rPr>
        <w:t xml:space="preserve"> võtab koodiga 7591 tähistatud tervishoiuteenuse eest tasu maksmise kohustuse üle eksofüütse nekroosiga kaetud ja/või kõrge veritsemise riskiga tuumori esinemise korral (vastav näidustus peab olema tervishoiuteenuse osutamist tõendavas dokumendis kirjeldatud);</w:t>
      </w:r>
    </w:p>
    <w:p w14:paraId="17BCA23B" w14:textId="67294364" w:rsidR="00976487" w:rsidRPr="00687DE8" w:rsidRDefault="00976487" w:rsidP="00976487">
      <w:pPr>
        <w:spacing w:after="0" w:line="240" w:lineRule="auto"/>
        <w:jc w:val="both"/>
        <w:divId w:val="1316184749"/>
        <w:rPr>
          <w:szCs w:val="24"/>
        </w:rPr>
      </w:pPr>
      <w:r w:rsidRPr="00687DE8">
        <w:rPr>
          <w:szCs w:val="24"/>
        </w:rPr>
        <w:t>1</w:t>
      </w:r>
      <w:r w:rsidR="00E456CE" w:rsidRPr="00687DE8">
        <w:rPr>
          <w:szCs w:val="24"/>
        </w:rPr>
        <w:t>2</w:t>
      </w:r>
      <w:r w:rsidRPr="00687DE8">
        <w:rPr>
          <w:szCs w:val="24"/>
        </w:rPr>
        <w:t>) koodiga 7577 tähistatud tervishoiuteenust ei rakendata täiendavalt koodidega 7589, 7569 ja 7570 tähistatud tervishoiuteenustele;</w:t>
      </w:r>
    </w:p>
    <w:p w14:paraId="3AA881AF" w14:textId="350B4898" w:rsidR="00976487" w:rsidRPr="00687DE8" w:rsidRDefault="00976487" w:rsidP="00976487">
      <w:pPr>
        <w:spacing w:after="0" w:line="240" w:lineRule="auto"/>
        <w:jc w:val="both"/>
        <w:divId w:val="1316184749"/>
        <w:rPr>
          <w:szCs w:val="24"/>
        </w:rPr>
      </w:pPr>
      <w:r w:rsidRPr="00687DE8">
        <w:rPr>
          <w:szCs w:val="24"/>
        </w:rPr>
        <w:t>1</w:t>
      </w:r>
      <w:r w:rsidR="00E456CE" w:rsidRPr="00687DE8">
        <w:rPr>
          <w:szCs w:val="24"/>
        </w:rPr>
        <w:t>3</w:t>
      </w:r>
      <w:r w:rsidRPr="00687DE8">
        <w:rPr>
          <w:szCs w:val="24"/>
        </w:rPr>
        <w:t>) koodiga 7594 tähistatud tervishoiuteenust ei rakendata protseduuri või operatsiooniga kaasneva hingamisteede loputuse korral;</w:t>
      </w:r>
    </w:p>
    <w:p w14:paraId="6D83DEA7" w14:textId="0CECACF7" w:rsidR="00976487" w:rsidRPr="00687DE8" w:rsidRDefault="00976487" w:rsidP="00976487">
      <w:pPr>
        <w:spacing w:after="0" w:line="240" w:lineRule="auto"/>
        <w:jc w:val="both"/>
        <w:divId w:val="1316184749"/>
        <w:rPr>
          <w:szCs w:val="24"/>
        </w:rPr>
      </w:pPr>
      <w:r w:rsidRPr="00687DE8">
        <w:rPr>
          <w:szCs w:val="24"/>
        </w:rPr>
        <w:t>1</w:t>
      </w:r>
      <w:r w:rsidR="00E456CE" w:rsidRPr="00687DE8">
        <w:rPr>
          <w:szCs w:val="24"/>
        </w:rPr>
        <w:t>4</w:t>
      </w:r>
      <w:r w:rsidRPr="00687DE8">
        <w:rPr>
          <w:szCs w:val="24"/>
        </w:rPr>
        <w:t>) koodiga 7585 tähistatud tervishoiuteenust ei rakendata koos koodiga 7587 tähistatud tervishoiuteenusega;</w:t>
      </w:r>
    </w:p>
    <w:p w14:paraId="7701A2D4" w14:textId="6EB4269E" w:rsidR="00976487" w:rsidRPr="00687DE8" w:rsidRDefault="00976487" w:rsidP="00976487">
      <w:pPr>
        <w:spacing w:after="0" w:line="240" w:lineRule="auto"/>
        <w:jc w:val="both"/>
        <w:divId w:val="1316184749"/>
        <w:rPr>
          <w:szCs w:val="24"/>
        </w:rPr>
      </w:pPr>
      <w:r w:rsidRPr="00687DE8">
        <w:rPr>
          <w:szCs w:val="24"/>
        </w:rPr>
        <w:t>1</w:t>
      </w:r>
      <w:r w:rsidR="00E456CE" w:rsidRPr="00687DE8">
        <w:rPr>
          <w:szCs w:val="24"/>
        </w:rPr>
        <w:t>5</w:t>
      </w:r>
      <w:r w:rsidRPr="00687DE8">
        <w:rPr>
          <w:szCs w:val="24"/>
        </w:rPr>
        <w:t xml:space="preserve">) </w:t>
      </w:r>
      <w:r w:rsidR="005023FD" w:rsidRPr="00687DE8">
        <w:rPr>
          <w:szCs w:val="24"/>
        </w:rPr>
        <w:t>Tervisekassa</w:t>
      </w:r>
      <w:r w:rsidRPr="00687DE8">
        <w:rPr>
          <w:szCs w:val="24"/>
        </w:rPr>
        <w:t xml:space="preserve"> võtab koodiga 7586 tähistatud tervishoiuteenuse eest tasu maksmise kohustuse üle juhul, kui seda kasutatakse söögitoru striktuuri uuringul.</w:t>
      </w:r>
    </w:p>
    <w:p w14:paraId="14D08A17" w14:textId="77777777" w:rsidR="00976487" w:rsidRPr="00687DE8" w:rsidRDefault="00976487" w:rsidP="00976487">
      <w:pPr>
        <w:spacing w:after="0" w:line="240" w:lineRule="auto"/>
        <w:jc w:val="both"/>
        <w:divId w:val="1316184749"/>
        <w:rPr>
          <w:szCs w:val="24"/>
        </w:rPr>
      </w:pPr>
    </w:p>
    <w:p w14:paraId="1F4E5D90" w14:textId="208254B9" w:rsidR="00976487" w:rsidRPr="00687DE8" w:rsidRDefault="00976487" w:rsidP="00976487">
      <w:pPr>
        <w:spacing w:after="0" w:line="240" w:lineRule="auto"/>
        <w:jc w:val="both"/>
        <w:divId w:val="1316184749"/>
        <w:rPr>
          <w:szCs w:val="24"/>
        </w:rPr>
      </w:pPr>
      <w:r w:rsidRPr="00687DE8">
        <w:rPr>
          <w:szCs w:val="24"/>
        </w:rPr>
        <w:t>(1</w:t>
      </w:r>
      <w:r w:rsidR="00D75B04">
        <w:rPr>
          <w:szCs w:val="24"/>
        </w:rPr>
        <w:t>2</w:t>
      </w:r>
      <w:r w:rsidRPr="00687DE8">
        <w:rPr>
          <w:szCs w:val="24"/>
        </w:rPr>
        <w:t>) Käesolevas paragrahvis sätestatud piirhindu rakendatakse nii jäiga kui ka fiiberendoskoobiga tehtavate uuringute ja protseduuride korral.</w:t>
      </w:r>
    </w:p>
    <w:p w14:paraId="1C68228C" w14:textId="77777777" w:rsidR="00976487" w:rsidRPr="00687DE8" w:rsidRDefault="00976487" w:rsidP="00976487">
      <w:pPr>
        <w:spacing w:after="0" w:line="240" w:lineRule="auto"/>
        <w:jc w:val="both"/>
        <w:divId w:val="1316184749"/>
        <w:rPr>
          <w:szCs w:val="24"/>
        </w:rPr>
      </w:pPr>
    </w:p>
    <w:p w14:paraId="62022867" w14:textId="42F90C68" w:rsidR="00976487" w:rsidRPr="00687DE8" w:rsidRDefault="00976487" w:rsidP="00976487">
      <w:pPr>
        <w:spacing w:after="0" w:line="240" w:lineRule="auto"/>
        <w:jc w:val="both"/>
        <w:divId w:val="1316184749"/>
        <w:rPr>
          <w:color w:val="000000" w:themeColor="text1"/>
          <w:szCs w:val="24"/>
          <w:lang w:eastAsia="et-EE"/>
        </w:rPr>
      </w:pPr>
      <w:r w:rsidRPr="00687DE8">
        <w:rPr>
          <w:szCs w:val="24"/>
        </w:rPr>
        <w:t>(1</w:t>
      </w:r>
      <w:r w:rsidR="00D75B04">
        <w:rPr>
          <w:szCs w:val="24"/>
        </w:rPr>
        <w:t>3</w:t>
      </w:r>
      <w:r w:rsidR="00004384" w:rsidRPr="00687DE8">
        <w:rPr>
          <w:szCs w:val="24"/>
        </w:rPr>
        <w:t>)</w:t>
      </w:r>
      <w:r w:rsidRPr="00687DE8">
        <w:rPr>
          <w:szCs w:val="24"/>
        </w:rPr>
        <w:t xml:space="preserve"> </w:t>
      </w:r>
      <w:r w:rsidR="005023FD" w:rsidRPr="00687DE8">
        <w:rPr>
          <w:color w:val="000000" w:themeColor="text1"/>
          <w:szCs w:val="24"/>
          <w:lang w:eastAsia="et-EE"/>
        </w:rPr>
        <w:t>Tervisekassa</w:t>
      </w:r>
      <w:r w:rsidRPr="00687DE8">
        <w:rPr>
          <w:color w:val="000000" w:themeColor="text1"/>
          <w:szCs w:val="24"/>
          <w:lang w:eastAsia="et-EE"/>
        </w:rPr>
        <w:t xml:space="preserve"> võtab koodiga 7598 tähistatud tervishoiuteenuse eest tasu maksmise kohustuse üle juhul, kui tavapärased ravimeetodid </w:t>
      </w:r>
      <w:r w:rsidRPr="00687DE8">
        <w:rPr>
          <w:color w:val="231F20"/>
          <w:szCs w:val="24"/>
          <w:lang w:eastAsia="et-EE"/>
        </w:rPr>
        <w:t>ägeda gastrointestinaalse verejooksu</w:t>
      </w:r>
      <w:r w:rsidRPr="00687DE8">
        <w:rPr>
          <w:color w:val="000000" w:themeColor="text1"/>
          <w:szCs w:val="24"/>
          <w:lang w:eastAsia="et-EE"/>
        </w:rPr>
        <w:t xml:space="preserve"> hemostaasi saavutamiseks on ebaõnnestunud ja/või klips on vajalik iatrogeense perforatsiooniava või fistuli ava sulgemiseks</w:t>
      </w:r>
      <w:r w:rsidR="006D39BD" w:rsidRPr="00687DE8">
        <w:rPr>
          <w:color w:val="000000" w:themeColor="text1"/>
          <w:szCs w:val="24"/>
          <w:lang w:eastAsia="et-EE"/>
        </w:rPr>
        <w:t xml:space="preserve"> ja/või endoskoopiliselt tavameetoditel (EMR või ESD) täielikult mitte eemaldatavate jämesoole või seedetrakti ülaosa lesioonide endoskoopiliseks eemaldamiseks</w:t>
      </w:r>
      <w:r w:rsidRPr="00687DE8">
        <w:rPr>
          <w:color w:val="000000" w:themeColor="text1"/>
          <w:szCs w:val="24"/>
          <w:lang w:eastAsia="et-EE"/>
        </w:rPr>
        <w:t>.</w:t>
      </w:r>
    </w:p>
    <w:p w14:paraId="07D4E591" w14:textId="77777777" w:rsidR="00976487" w:rsidRPr="00687DE8" w:rsidRDefault="00976487" w:rsidP="00976487">
      <w:pPr>
        <w:pStyle w:val="Vahedeta"/>
        <w:jc w:val="both"/>
        <w:divId w:val="1316184749"/>
        <w:rPr>
          <w:szCs w:val="24"/>
          <w:lang w:val="et-EE"/>
        </w:rPr>
      </w:pPr>
    </w:p>
    <w:p w14:paraId="0D779F9B" w14:textId="675DCB65" w:rsidR="00976487" w:rsidRPr="00687DE8" w:rsidRDefault="00976487" w:rsidP="00976487">
      <w:pPr>
        <w:pStyle w:val="Vahedeta"/>
        <w:jc w:val="both"/>
        <w:divId w:val="1316184749"/>
        <w:rPr>
          <w:szCs w:val="24"/>
          <w:lang w:val="et-EE"/>
        </w:rPr>
      </w:pPr>
      <w:r w:rsidRPr="00687DE8">
        <w:rPr>
          <w:szCs w:val="24"/>
          <w:lang w:val="et-EE"/>
        </w:rPr>
        <w:lastRenderedPageBreak/>
        <w:t>(1</w:t>
      </w:r>
      <w:r w:rsidR="00D75B04">
        <w:rPr>
          <w:szCs w:val="24"/>
          <w:lang w:val="et-EE"/>
        </w:rPr>
        <w:t>4</w:t>
      </w:r>
      <w:r w:rsidRPr="00687DE8">
        <w:rPr>
          <w:szCs w:val="24"/>
          <w:lang w:val="et-EE"/>
        </w:rPr>
        <w:t xml:space="preserve">) </w:t>
      </w:r>
      <w:r w:rsidR="005023FD" w:rsidRPr="00687DE8">
        <w:rPr>
          <w:szCs w:val="24"/>
          <w:lang w:val="et-EE"/>
        </w:rPr>
        <w:t>Tervisekassa</w:t>
      </w:r>
      <w:r w:rsidRPr="00687DE8">
        <w:rPr>
          <w:szCs w:val="24"/>
          <w:lang w:val="et-EE"/>
        </w:rPr>
        <w:t xml:space="preserve"> võtab koodiga 7599 tähistatud tervishoiuteenuse eest tasu maksmise kohustuse üle järgmistel juhtudel:</w:t>
      </w:r>
    </w:p>
    <w:p w14:paraId="4132AC10" w14:textId="77777777" w:rsidR="00976487" w:rsidRPr="00687DE8" w:rsidRDefault="00976487" w:rsidP="00976487">
      <w:pPr>
        <w:pStyle w:val="Vahedeta"/>
        <w:jc w:val="both"/>
        <w:divId w:val="1316184749"/>
        <w:rPr>
          <w:szCs w:val="24"/>
          <w:lang w:val="et-EE"/>
        </w:rPr>
      </w:pPr>
      <w:r w:rsidRPr="00687DE8">
        <w:rPr>
          <w:szCs w:val="24"/>
          <w:lang w:val="et-EE"/>
        </w:rPr>
        <w:t xml:space="preserve">1) raskekujulise kopsuemfüseemi patsiendil ei ole rakendatav kirurgiline ravi; </w:t>
      </w:r>
    </w:p>
    <w:p w14:paraId="4FFFC8D7" w14:textId="77777777" w:rsidR="00976487" w:rsidRPr="00687DE8" w:rsidRDefault="00976487" w:rsidP="00976487">
      <w:pPr>
        <w:pStyle w:val="Vahedeta"/>
        <w:jc w:val="both"/>
        <w:divId w:val="1316184749"/>
        <w:rPr>
          <w:szCs w:val="24"/>
          <w:lang w:val="et-EE"/>
        </w:rPr>
      </w:pPr>
      <w:r w:rsidRPr="00687DE8">
        <w:rPr>
          <w:szCs w:val="24"/>
          <w:lang w:val="et-EE"/>
        </w:rPr>
        <w:t xml:space="preserve">2) esineb heterogeenne kopsuemfüseem interlobaarse heterogeensuse indeksiga ≥ 1; </w:t>
      </w:r>
    </w:p>
    <w:p w14:paraId="22C8B095" w14:textId="77777777" w:rsidR="00976487" w:rsidRPr="00687DE8" w:rsidRDefault="00976487" w:rsidP="00976487">
      <w:pPr>
        <w:pStyle w:val="Vahedeta"/>
        <w:jc w:val="both"/>
        <w:divId w:val="1316184749"/>
        <w:rPr>
          <w:szCs w:val="24"/>
          <w:lang w:val="et-EE"/>
        </w:rPr>
      </w:pPr>
      <w:r w:rsidRPr="00687DE8">
        <w:rPr>
          <w:szCs w:val="24"/>
          <w:lang w:val="et-EE"/>
        </w:rPr>
        <w:t xml:space="preserve">3) puudub translobaarse kollateraalse ventilatsiooni võimalus; </w:t>
      </w:r>
    </w:p>
    <w:p w14:paraId="082AFAC1" w14:textId="77777777" w:rsidR="00976487" w:rsidRPr="00687DE8" w:rsidRDefault="00976487" w:rsidP="00976487">
      <w:pPr>
        <w:pStyle w:val="Vahedeta"/>
        <w:jc w:val="both"/>
        <w:divId w:val="1316184749"/>
        <w:rPr>
          <w:szCs w:val="24"/>
          <w:lang w:val="et-EE"/>
        </w:rPr>
      </w:pPr>
      <w:r w:rsidRPr="00687DE8">
        <w:rPr>
          <w:szCs w:val="24"/>
          <w:lang w:val="et-EE"/>
        </w:rPr>
        <w:t xml:space="preserve">4) unilateraalne lobaarne oklusioon on saavutatav; </w:t>
      </w:r>
    </w:p>
    <w:p w14:paraId="73E2818C" w14:textId="77777777" w:rsidR="00976487" w:rsidRPr="00687DE8" w:rsidRDefault="00976487" w:rsidP="00976487">
      <w:pPr>
        <w:pStyle w:val="Vahedeta"/>
        <w:jc w:val="both"/>
        <w:divId w:val="1316184749"/>
        <w:rPr>
          <w:szCs w:val="24"/>
          <w:lang w:val="et-EE"/>
        </w:rPr>
      </w:pPr>
      <w:r w:rsidRPr="00687DE8">
        <w:rPr>
          <w:szCs w:val="24"/>
          <w:lang w:val="et-EE"/>
        </w:rPr>
        <w:t>5) esineb püsiv resektsioonijärgne õhuleke.</w:t>
      </w:r>
    </w:p>
    <w:p w14:paraId="5390C3FB" w14:textId="77777777" w:rsidR="001C0367" w:rsidRPr="00687DE8" w:rsidRDefault="001C0367" w:rsidP="00976487">
      <w:pPr>
        <w:pStyle w:val="Vahedeta"/>
        <w:jc w:val="both"/>
        <w:divId w:val="1316184749"/>
        <w:rPr>
          <w:szCs w:val="24"/>
          <w:lang w:val="et-EE"/>
        </w:rPr>
      </w:pPr>
    </w:p>
    <w:p w14:paraId="73BB5237" w14:textId="1450C4D3" w:rsidR="0071640B" w:rsidRPr="00687DE8" w:rsidRDefault="001C0367" w:rsidP="0071640B">
      <w:pPr>
        <w:pStyle w:val="Vahedeta"/>
        <w:jc w:val="both"/>
        <w:divId w:val="1316184749"/>
        <w:rPr>
          <w:szCs w:val="24"/>
          <w:lang w:val="et-EE"/>
        </w:rPr>
      </w:pPr>
      <w:r w:rsidRPr="00687DE8">
        <w:rPr>
          <w:szCs w:val="24"/>
          <w:lang w:val="et-EE"/>
        </w:rPr>
        <w:t>(1</w:t>
      </w:r>
      <w:r w:rsidR="00D75B04">
        <w:rPr>
          <w:szCs w:val="24"/>
          <w:lang w:val="et-EE"/>
        </w:rPr>
        <w:t>5</w:t>
      </w:r>
      <w:r w:rsidRPr="00687DE8">
        <w:rPr>
          <w:szCs w:val="24"/>
          <w:lang w:val="et-EE"/>
        </w:rPr>
        <w:t xml:space="preserve">) </w:t>
      </w:r>
      <w:r w:rsidR="005023FD" w:rsidRPr="00687DE8">
        <w:rPr>
          <w:szCs w:val="24"/>
          <w:lang w:val="et-EE"/>
        </w:rPr>
        <w:t>Tervisekassa</w:t>
      </w:r>
      <w:r w:rsidR="0071640B" w:rsidRPr="00687DE8">
        <w:rPr>
          <w:szCs w:val="24"/>
          <w:lang w:val="et-EE"/>
        </w:rPr>
        <w:t xml:space="preserve"> võtab koodiga 7547 tähistatud tervishoiuteenuse eest tasu maksmise kohustuse üle järgmistel juhtudel:</w:t>
      </w:r>
    </w:p>
    <w:p w14:paraId="744E069B" w14:textId="77777777" w:rsidR="0071640B" w:rsidRPr="00687DE8" w:rsidRDefault="0071640B" w:rsidP="0071640B">
      <w:pPr>
        <w:pStyle w:val="Vahedeta"/>
        <w:jc w:val="both"/>
        <w:divId w:val="1316184749"/>
        <w:rPr>
          <w:szCs w:val="24"/>
          <w:lang w:val="et-EE"/>
        </w:rPr>
      </w:pPr>
      <w:r w:rsidRPr="00687DE8">
        <w:rPr>
          <w:szCs w:val="24"/>
          <w:lang w:val="et-EE"/>
        </w:rPr>
        <w:t>1) sapiteede striktuuride ja ebaselgete täitedefektide diagnostika;</w:t>
      </w:r>
    </w:p>
    <w:p w14:paraId="7060679C" w14:textId="77777777" w:rsidR="0071640B" w:rsidRPr="00687DE8" w:rsidRDefault="0071640B" w:rsidP="0071640B">
      <w:pPr>
        <w:pStyle w:val="Vahedeta"/>
        <w:jc w:val="both"/>
        <w:divId w:val="1316184749"/>
        <w:rPr>
          <w:szCs w:val="24"/>
          <w:lang w:val="et-EE"/>
        </w:rPr>
      </w:pPr>
      <w:r w:rsidRPr="00687DE8">
        <w:rPr>
          <w:szCs w:val="24"/>
          <w:lang w:val="et-EE"/>
        </w:rPr>
        <w:t>2) sapiteede hea- või pahaloomuliste ahenemiste diagnostika;</w:t>
      </w:r>
    </w:p>
    <w:p w14:paraId="3D73BCE4" w14:textId="77777777" w:rsidR="0071640B" w:rsidRPr="00687DE8" w:rsidRDefault="0071640B" w:rsidP="0071640B">
      <w:pPr>
        <w:pStyle w:val="Vahedeta"/>
        <w:jc w:val="both"/>
        <w:divId w:val="1316184749"/>
        <w:rPr>
          <w:szCs w:val="24"/>
          <w:lang w:val="et-EE"/>
        </w:rPr>
      </w:pPr>
      <w:r w:rsidRPr="00687DE8">
        <w:rPr>
          <w:szCs w:val="24"/>
          <w:lang w:val="et-EE"/>
        </w:rPr>
        <w:t>3) operatsioonijärgsete striktuuride hindamine sapiteedes;</w:t>
      </w:r>
    </w:p>
    <w:p w14:paraId="1C223BFD" w14:textId="77777777" w:rsidR="001C0367" w:rsidRPr="00687DE8" w:rsidRDefault="0071640B" w:rsidP="0071640B">
      <w:pPr>
        <w:pStyle w:val="Vahedeta"/>
        <w:jc w:val="both"/>
        <w:divId w:val="1316184749"/>
        <w:rPr>
          <w:szCs w:val="24"/>
          <w:lang w:val="et-EE"/>
        </w:rPr>
      </w:pPr>
      <w:r w:rsidRPr="00687DE8">
        <w:rPr>
          <w:szCs w:val="24"/>
          <w:lang w:val="et-EE"/>
        </w:rPr>
        <w:t>4) intraduktaalne litotripsia ühissapijuha kivide eemaldamiseks.</w:t>
      </w:r>
    </w:p>
    <w:p w14:paraId="6864257C" w14:textId="77777777" w:rsidR="0071640B" w:rsidRPr="00687DE8" w:rsidRDefault="0071640B" w:rsidP="0071640B">
      <w:pPr>
        <w:pStyle w:val="Vahedeta"/>
        <w:jc w:val="both"/>
        <w:divId w:val="1316184749"/>
        <w:rPr>
          <w:szCs w:val="24"/>
          <w:lang w:val="et-EE"/>
        </w:rPr>
      </w:pPr>
    </w:p>
    <w:p w14:paraId="64FEF850" w14:textId="799B920A" w:rsidR="000E584E" w:rsidRPr="00687DE8" w:rsidRDefault="0071640B" w:rsidP="000E584E">
      <w:pPr>
        <w:pStyle w:val="Vahedeta"/>
        <w:jc w:val="both"/>
        <w:divId w:val="1316184749"/>
        <w:rPr>
          <w:szCs w:val="24"/>
          <w:lang w:val="et-EE"/>
        </w:rPr>
      </w:pPr>
      <w:r w:rsidRPr="00687DE8">
        <w:rPr>
          <w:szCs w:val="24"/>
          <w:lang w:val="et-EE"/>
        </w:rPr>
        <w:t>(1</w:t>
      </w:r>
      <w:r w:rsidR="00D75B04">
        <w:rPr>
          <w:szCs w:val="24"/>
          <w:lang w:val="et-EE"/>
        </w:rPr>
        <w:t>6</w:t>
      </w:r>
      <w:r w:rsidRPr="00687DE8">
        <w:rPr>
          <w:szCs w:val="24"/>
          <w:lang w:val="et-EE"/>
        </w:rPr>
        <w:t xml:space="preserve">) </w:t>
      </w:r>
      <w:r w:rsidR="005023FD" w:rsidRPr="00687DE8">
        <w:rPr>
          <w:szCs w:val="24"/>
          <w:lang w:val="et-EE"/>
        </w:rPr>
        <w:t>Tervisekassa</w:t>
      </w:r>
      <w:r w:rsidR="000E584E" w:rsidRPr="00687DE8">
        <w:rPr>
          <w:szCs w:val="24"/>
          <w:lang w:val="et-EE"/>
        </w:rPr>
        <w:t xml:space="preserve"> võtab koodiga 7548 tähistatud tervishoiuteenuse eest tasu maksmise kohustuse üle järgmistel juhtudel: </w:t>
      </w:r>
    </w:p>
    <w:p w14:paraId="2488EEFA" w14:textId="77777777" w:rsidR="00E579BD" w:rsidRPr="00687DE8" w:rsidRDefault="00E579BD" w:rsidP="00E579BD">
      <w:pPr>
        <w:pStyle w:val="Vahedeta"/>
        <w:jc w:val="both"/>
        <w:divId w:val="1316184749"/>
        <w:rPr>
          <w:szCs w:val="24"/>
          <w:lang w:val="et-EE"/>
        </w:rPr>
      </w:pPr>
      <w:r w:rsidRPr="00687DE8">
        <w:rPr>
          <w:szCs w:val="24"/>
          <w:lang w:val="et-EE"/>
        </w:rPr>
        <w:t>1) söögitoru lamerakulise kasvaja submuk</w:t>
      </w:r>
      <w:r w:rsidR="00F7150B" w:rsidRPr="00687DE8">
        <w:rPr>
          <w:szCs w:val="24"/>
          <w:lang w:val="et-EE"/>
        </w:rPr>
        <w:t>o</w:t>
      </w:r>
      <w:r w:rsidRPr="00687DE8">
        <w:rPr>
          <w:szCs w:val="24"/>
          <w:lang w:val="et-EE"/>
        </w:rPr>
        <w:t>osse leviku hindamiseks;</w:t>
      </w:r>
    </w:p>
    <w:p w14:paraId="3444C576" w14:textId="77777777" w:rsidR="00E579BD" w:rsidRPr="00687DE8" w:rsidRDefault="00E579BD" w:rsidP="00E579BD">
      <w:pPr>
        <w:pStyle w:val="Vahedeta"/>
        <w:jc w:val="both"/>
        <w:divId w:val="1316184749"/>
        <w:rPr>
          <w:szCs w:val="24"/>
          <w:lang w:val="et-EE"/>
        </w:rPr>
      </w:pPr>
      <w:r w:rsidRPr="00687DE8">
        <w:rPr>
          <w:szCs w:val="24"/>
          <w:lang w:val="et-EE"/>
        </w:rPr>
        <w:t>2) Barretti söögitoru nähtavate lesioonide eemaldamiseks, kui mukosektoomia ei ole võimalik;</w:t>
      </w:r>
    </w:p>
    <w:p w14:paraId="4D581523" w14:textId="77777777" w:rsidR="00E579BD" w:rsidRPr="00687DE8" w:rsidRDefault="00E579BD" w:rsidP="00E579BD">
      <w:pPr>
        <w:pStyle w:val="Vahedeta"/>
        <w:jc w:val="both"/>
        <w:divId w:val="1316184749"/>
        <w:rPr>
          <w:szCs w:val="24"/>
          <w:lang w:val="et-EE"/>
        </w:rPr>
      </w:pPr>
      <w:r w:rsidRPr="00687DE8">
        <w:rPr>
          <w:szCs w:val="24"/>
          <w:lang w:val="et-EE"/>
        </w:rPr>
        <w:t>3) mao pindmise madala või raske astme düsplaasia või väga madala lümfisõlmede metastaaside riskiga adenokartsinoomi eemaldamiseks;</w:t>
      </w:r>
    </w:p>
    <w:p w14:paraId="472FAE51" w14:textId="77777777" w:rsidR="0071640B" w:rsidRPr="00687DE8" w:rsidRDefault="00E579BD" w:rsidP="00E579BD">
      <w:pPr>
        <w:pStyle w:val="Vahedeta"/>
        <w:jc w:val="both"/>
        <w:divId w:val="1316184749"/>
        <w:rPr>
          <w:szCs w:val="24"/>
          <w:lang w:val="et-EE"/>
        </w:rPr>
      </w:pPr>
      <w:r w:rsidRPr="00687DE8">
        <w:rPr>
          <w:szCs w:val="24"/>
          <w:lang w:val="et-EE"/>
        </w:rPr>
        <w:t>4) submukoosse pindmise invasiooni riskiga käärsoole või pärasoole neoplaasia eemaldamiseks</w:t>
      </w:r>
      <w:r w:rsidR="00F7150B" w:rsidRPr="00687DE8">
        <w:rPr>
          <w:szCs w:val="24"/>
          <w:lang w:val="et-EE"/>
        </w:rPr>
        <w:t>,</w:t>
      </w:r>
      <w:r w:rsidRPr="00687DE8">
        <w:rPr>
          <w:szCs w:val="24"/>
          <w:lang w:val="et-EE"/>
        </w:rPr>
        <w:t xml:space="preserve"> kui mukosektoomia pole võimalik</w:t>
      </w:r>
      <w:r w:rsidR="008718F1" w:rsidRPr="00687DE8">
        <w:rPr>
          <w:szCs w:val="24"/>
          <w:lang w:val="et-EE"/>
        </w:rPr>
        <w:t>.</w:t>
      </w:r>
    </w:p>
    <w:p w14:paraId="0B3F21A9" w14:textId="77777777" w:rsidR="00976487" w:rsidRPr="00687DE8" w:rsidRDefault="00976487" w:rsidP="00976487">
      <w:pPr>
        <w:spacing w:after="0" w:line="240" w:lineRule="auto"/>
        <w:jc w:val="both"/>
        <w:divId w:val="1316184749"/>
        <w:rPr>
          <w:color w:val="1F497D"/>
          <w:szCs w:val="24"/>
        </w:rPr>
      </w:pPr>
    </w:p>
    <w:p w14:paraId="0FFB07C5" w14:textId="4684A3D1" w:rsidR="00976487" w:rsidRDefault="00976487" w:rsidP="00976487">
      <w:pPr>
        <w:spacing w:after="0" w:line="240" w:lineRule="auto"/>
        <w:jc w:val="both"/>
        <w:outlineLvl w:val="2"/>
        <w:divId w:val="1316184749"/>
        <w:rPr>
          <w:b/>
          <w:szCs w:val="24"/>
        </w:rPr>
      </w:pPr>
      <w:r w:rsidRPr="00687DE8">
        <w:rPr>
          <w:b/>
          <w:szCs w:val="24"/>
        </w:rPr>
        <w:t xml:space="preserve">§ </w:t>
      </w:r>
      <w:r w:rsidR="00296746" w:rsidRPr="00687DE8">
        <w:rPr>
          <w:b/>
          <w:szCs w:val="24"/>
        </w:rPr>
        <w:t>39</w:t>
      </w:r>
      <w:r w:rsidRPr="00687DE8">
        <w:rPr>
          <w:b/>
          <w:szCs w:val="24"/>
        </w:rPr>
        <w:t>. Psühhiaatrilis</w:t>
      </w:r>
      <w:r w:rsidR="0078439F" w:rsidRPr="00687DE8">
        <w:rPr>
          <w:b/>
          <w:szCs w:val="24"/>
        </w:rPr>
        <w:t>e</w:t>
      </w:r>
      <w:r w:rsidR="008A0F97" w:rsidRPr="00687DE8">
        <w:rPr>
          <w:b/>
          <w:szCs w:val="24"/>
        </w:rPr>
        <w:t xml:space="preserve"> </w:t>
      </w:r>
      <w:r w:rsidR="001D171B" w:rsidRPr="00687DE8">
        <w:rPr>
          <w:b/>
          <w:szCs w:val="24"/>
        </w:rPr>
        <w:t xml:space="preserve">ja psühholoogilise ravi </w:t>
      </w:r>
      <w:r w:rsidR="00B13FEE" w:rsidRPr="00687DE8">
        <w:rPr>
          <w:b/>
          <w:szCs w:val="24"/>
        </w:rPr>
        <w:t>teenuste</w:t>
      </w:r>
      <w:r w:rsidRPr="00687DE8">
        <w:rPr>
          <w:b/>
          <w:szCs w:val="24"/>
        </w:rPr>
        <w:t xml:space="preserve"> piirhinnad</w:t>
      </w:r>
    </w:p>
    <w:p w14:paraId="21482422" w14:textId="77777777" w:rsidR="00484105" w:rsidRDefault="00484105" w:rsidP="00976487">
      <w:pPr>
        <w:spacing w:after="0" w:line="240" w:lineRule="auto"/>
        <w:jc w:val="both"/>
        <w:divId w:val="1316184749"/>
        <w:rPr>
          <w:szCs w:val="24"/>
        </w:rPr>
      </w:pPr>
    </w:p>
    <w:p w14:paraId="2C65CCF6" w14:textId="028772B4" w:rsidR="00976487" w:rsidRPr="00687DE8" w:rsidRDefault="00976487" w:rsidP="00976487">
      <w:pPr>
        <w:spacing w:after="0" w:line="240" w:lineRule="auto"/>
        <w:jc w:val="both"/>
        <w:divId w:val="1316184749"/>
        <w:rPr>
          <w:szCs w:val="24"/>
        </w:rPr>
      </w:pPr>
      <w:r w:rsidRPr="00687DE8">
        <w:rPr>
          <w:szCs w:val="24"/>
        </w:rPr>
        <w:t>(1) Psühhiaatrilis</w:t>
      </w:r>
      <w:r w:rsidR="0078439F" w:rsidRPr="00687DE8">
        <w:rPr>
          <w:szCs w:val="24"/>
        </w:rPr>
        <w:t>e</w:t>
      </w:r>
      <w:r w:rsidR="00FA518D" w:rsidRPr="00687DE8">
        <w:rPr>
          <w:szCs w:val="24"/>
        </w:rPr>
        <w:t xml:space="preserve"> ja psühholoogilise ravi </w:t>
      </w:r>
      <w:r w:rsidR="007B1F77" w:rsidRPr="00687DE8">
        <w:rPr>
          <w:szCs w:val="24"/>
        </w:rPr>
        <w:t>teenuste</w:t>
      </w:r>
      <w:r w:rsidRPr="00687DE8">
        <w:rPr>
          <w:szCs w:val="24"/>
        </w:rPr>
        <w:t xml:space="preserve"> piirhinnad on järgmised:</w:t>
      </w:r>
    </w:p>
    <w:p w14:paraId="5874BC47"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1001"/>
        <w:gridCol w:w="1806"/>
      </w:tblGrid>
      <w:tr w:rsidR="00976487" w:rsidRPr="00687DE8" w14:paraId="658DA10D" w14:textId="77777777" w:rsidTr="00841EE8">
        <w:trPr>
          <w:divId w:val="1316184749"/>
          <w:tblHeader/>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67D181" w14:textId="77777777" w:rsidR="00976487" w:rsidRPr="00687DE8" w:rsidRDefault="00976487">
            <w:pPr>
              <w:spacing w:after="0" w:line="240" w:lineRule="auto"/>
              <w:jc w:val="center"/>
              <w:rPr>
                <w:szCs w:val="24"/>
              </w:rPr>
            </w:pPr>
            <w:r w:rsidRPr="00687DE8">
              <w:rPr>
                <w:b/>
                <w:szCs w:val="24"/>
              </w:rPr>
              <w:t>Tervishoiuteenuse nimetus</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DCEFF1" w14:textId="77777777" w:rsidR="00976487" w:rsidRPr="00687DE8" w:rsidRDefault="00976487">
            <w:pPr>
              <w:spacing w:after="0" w:line="240" w:lineRule="auto"/>
              <w:jc w:val="center"/>
              <w:rPr>
                <w:szCs w:val="24"/>
              </w:rPr>
            </w:pPr>
            <w:r w:rsidRPr="00687DE8">
              <w:rPr>
                <w:b/>
                <w:szCs w:val="24"/>
              </w:rPr>
              <w:t>Kood</w:t>
            </w:r>
          </w:p>
        </w:tc>
        <w:tc>
          <w:tcPr>
            <w:tcW w:w="18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EDE596"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8B5148" w:rsidRPr="00687DE8" w14:paraId="5E66F2D2"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686FC7" w14:textId="77777777" w:rsidR="008B5148" w:rsidRPr="00687DE8" w:rsidRDefault="008B5148" w:rsidP="008B5148">
            <w:pPr>
              <w:spacing w:after="0" w:line="240" w:lineRule="auto"/>
              <w:rPr>
                <w:szCs w:val="24"/>
              </w:rPr>
            </w:pPr>
            <w:r w:rsidRPr="00687DE8">
              <w:rPr>
                <w:szCs w:val="24"/>
              </w:rPr>
              <w:t>Psühhoteraapia seanss ühele haigele</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94E908" w14:textId="77777777" w:rsidR="008B5148" w:rsidRPr="00687DE8" w:rsidRDefault="008B5148" w:rsidP="008B5148">
            <w:pPr>
              <w:spacing w:after="0" w:line="240" w:lineRule="auto"/>
              <w:jc w:val="center"/>
              <w:rPr>
                <w:szCs w:val="24"/>
              </w:rPr>
            </w:pPr>
            <w:r w:rsidRPr="00687DE8">
              <w:rPr>
                <w:szCs w:val="24"/>
              </w:rPr>
              <w:t>7601</w:t>
            </w:r>
          </w:p>
        </w:tc>
        <w:tc>
          <w:tcPr>
            <w:tcW w:w="18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01E2DB" w14:textId="5F2A6ABE" w:rsidR="0435C87F" w:rsidRPr="00687DE8" w:rsidRDefault="00A9007A">
            <w:pPr>
              <w:spacing w:after="0"/>
              <w:jc w:val="center"/>
              <w:rPr>
                <w:color w:val="000000" w:themeColor="text1"/>
                <w:szCs w:val="24"/>
              </w:rPr>
            </w:pPr>
            <w:r>
              <w:rPr>
                <w:color w:val="000000"/>
              </w:rPr>
              <w:t>75,79</w:t>
            </w:r>
          </w:p>
        </w:tc>
      </w:tr>
      <w:tr w:rsidR="008B5148" w:rsidRPr="00687DE8" w14:paraId="6204C568"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7E5B99" w14:textId="77777777" w:rsidR="008B5148" w:rsidRPr="00687DE8" w:rsidRDefault="008B5148" w:rsidP="008B5148">
            <w:pPr>
              <w:spacing w:after="0" w:line="240" w:lineRule="auto"/>
              <w:rPr>
                <w:szCs w:val="24"/>
              </w:rPr>
            </w:pPr>
            <w:r w:rsidRPr="00687DE8">
              <w:rPr>
                <w:szCs w:val="24"/>
              </w:rPr>
              <w:t>Kaugpsühhoteraapia seanss ühele haigele</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8CD958" w14:textId="77777777" w:rsidR="008B5148" w:rsidRPr="00687DE8" w:rsidRDefault="008B5148" w:rsidP="008B5148">
            <w:pPr>
              <w:spacing w:after="0" w:line="240" w:lineRule="auto"/>
              <w:jc w:val="center"/>
              <w:rPr>
                <w:szCs w:val="24"/>
              </w:rPr>
            </w:pPr>
            <w:r w:rsidRPr="00687DE8">
              <w:rPr>
                <w:szCs w:val="24"/>
              </w:rPr>
              <w:t>7630</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0A2AFD7" w14:textId="794DEA4A" w:rsidR="0435C87F" w:rsidRPr="00687DE8" w:rsidRDefault="00A9007A">
            <w:pPr>
              <w:spacing w:after="0"/>
              <w:jc w:val="center"/>
              <w:rPr>
                <w:color w:val="000000" w:themeColor="text1"/>
                <w:szCs w:val="24"/>
              </w:rPr>
            </w:pPr>
            <w:r>
              <w:rPr>
                <w:color w:val="000000"/>
              </w:rPr>
              <w:t>75,79</w:t>
            </w:r>
          </w:p>
        </w:tc>
      </w:tr>
      <w:tr w:rsidR="008B5148" w:rsidRPr="00687DE8" w14:paraId="1E16BE8F"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16039D" w14:textId="77777777" w:rsidR="008B5148" w:rsidRPr="00687DE8" w:rsidRDefault="008B5148" w:rsidP="008B5148">
            <w:pPr>
              <w:spacing w:after="0" w:line="240" w:lineRule="auto"/>
              <w:rPr>
                <w:szCs w:val="24"/>
              </w:rPr>
            </w:pPr>
            <w:r w:rsidRPr="00687DE8">
              <w:rPr>
                <w:szCs w:val="24"/>
              </w:rPr>
              <w:t xml:space="preserve">Kaugpsühhoteraapia seanss ühele haigele video teel </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95A043" w14:textId="77777777" w:rsidR="008B5148" w:rsidRPr="00687DE8" w:rsidRDefault="008B5148" w:rsidP="008B5148">
            <w:pPr>
              <w:spacing w:after="0" w:line="240" w:lineRule="auto"/>
              <w:jc w:val="center"/>
              <w:rPr>
                <w:szCs w:val="24"/>
              </w:rPr>
            </w:pPr>
            <w:r w:rsidRPr="00687DE8">
              <w:rPr>
                <w:szCs w:val="24"/>
              </w:rPr>
              <w:t>7634</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F5CB2E8" w14:textId="3D220EF8" w:rsidR="0435C87F" w:rsidRPr="00687DE8" w:rsidRDefault="00A9007A">
            <w:pPr>
              <w:spacing w:after="0"/>
              <w:jc w:val="center"/>
              <w:rPr>
                <w:color w:val="000000" w:themeColor="text1"/>
                <w:szCs w:val="24"/>
              </w:rPr>
            </w:pPr>
            <w:r>
              <w:rPr>
                <w:color w:val="000000"/>
              </w:rPr>
              <w:t>75,79</w:t>
            </w:r>
          </w:p>
        </w:tc>
      </w:tr>
      <w:tr w:rsidR="008B5148" w:rsidRPr="00687DE8" w14:paraId="355BB8A5"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99440C" w14:textId="77777777" w:rsidR="008B5148" w:rsidRPr="00687DE8" w:rsidRDefault="008B5148" w:rsidP="008B5148">
            <w:pPr>
              <w:spacing w:after="0" w:line="240" w:lineRule="auto"/>
              <w:rPr>
                <w:szCs w:val="24"/>
              </w:rPr>
            </w:pPr>
            <w:r w:rsidRPr="00687DE8">
              <w:rPr>
                <w:szCs w:val="24"/>
              </w:rPr>
              <w:t>Psühhoteraapia seanss ühele haigele grupis (grupis kaks kuni kaheksa haiget)</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D460DE" w14:textId="77777777" w:rsidR="008B5148" w:rsidRPr="00687DE8" w:rsidRDefault="008B5148" w:rsidP="008B5148">
            <w:pPr>
              <w:spacing w:after="0" w:line="240" w:lineRule="auto"/>
              <w:jc w:val="center"/>
              <w:rPr>
                <w:szCs w:val="24"/>
              </w:rPr>
            </w:pPr>
          </w:p>
          <w:p w14:paraId="6994FCB0" w14:textId="77777777" w:rsidR="008B5148" w:rsidRPr="00687DE8" w:rsidRDefault="008B5148" w:rsidP="008B5148">
            <w:pPr>
              <w:spacing w:after="0" w:line="240" w:lineRule="auto"/>
              <w:jc w:val="center"/>
              <w:rPr>
                <w:szCs w:val="24"/>
              </w:rPr>
            </w:pPr>
            <w:r w:rsidRPr="00687DE8">
              <w:rPr>
                <w:szCs w:val="24"/>
              </w:rPr>
              <w:t>7602</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60735E" w14:textId="5EA5241F" w:rsidR="0435C87F" w:rsidRPr="00687DE8" w:rsidRDefault="00A9007A">
            <w:pPr>
              <w:spacing w:after="0"/>
              <w:jc w:val="center"/>
              <w:rPr>
                <w:color w:val="000000" w:themeColor="text1"/>
                <w:szCs w:val="24"/>
              </w:rPr>
            </w:pPr>
            <w:r>
              <w:rPr>
                <w:color w:val="000000"/>
              </w:rPr>
              <w:t>27,88</w:t>
            </w:r>
          </w:p>
        </w:tc>
      </w:tr>
      <w:tr w:rsidR="008B5148" w:rsidRPr="00687DE8" w14:paraId="53246EE5"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C7572E" w14:textId="77777777" w:rsidR="008B5148" w:rsidRPr="00687DE8" w:rsidRDefault="008B5148" w:rsidP="008B5148">
            <w:pPr>
              <w:spacing w:after="0" w:line="240" w:lineRule="auto"/>
              <w:rPr>
                <w:szCs w:val="24"/>
              </w:rPr>
            </w:pPr>
            <w:r w:rsidRPr="00687DE8">
              <w:rPr>
                <w:szCs w:val="24"/>
              </w:rPr>
              <w:t>Kaugpsühhoteraapia seanss ühele haigele grupis (grupis kaks kuni kaheksa haiget)</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C682CE4" w14:textId="77777777" w:rsidR="008B5148" w:rsidRPr="00687DE8" w:rsidRDefault="008B5148" w:rsidP="008B5148">
            <w:pPr>
              <w:spacing w:after="0" w:line="240" w:lineRule="auto"/>
              <w:jc w:val="center"/>
              <w:rPr>
                <w:szCs w:val="24"/>
              </w:rPr>
            </w:pPr>
            <w:r w:rsidRPr="00687DE8">
              <w:rPr>
                <w:szCs w:val="24"/>
              </w:rPr>
              <w:t>7631</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A9166ED" w14:textId="0067A5E9" w:rsidR="0435C87F" w:rsidRPr="00687DE8" w:rsidRDefault="00A9007A">
            <w:pPr>
              <w:spacing w:after="0"/>
              <w:jc w:val="center"/>
              <w:rPr>
                <w:color w:val="000000" w:themeColor="text1"/>
                <w:szCs w:val="24"/>
              </w:rPr>
            </w:pPr>
            <w:r>
              <w:rPr>
                <w:color w:val="000000"/>
              </w:rPr>
              <w:t>27,88</w:t>
            </w:r>
          </w:p>
        </w:tc>
      </w:tr>
      <w:tr w:rsidR="008B5148" w:rsidRPr="00687DE8" w14:paraId="7145F9E6" w14:textId="77777777" w:rsidTr="00EB7A71">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BF2A53" w14:textId="77777777" w:rsidR="008B5148" w:rsidRPr="00687DE8" w:rsidRDefault="008B5148" w:rsidP="008B5148">
            <w:pPr>
              <w:spacing w:after="0" w:line="240" w:lineRule="auto"/>
              <w:rPr>
                <w:szCs w:val="24"/>
              </w:rPr>
            </w:pPr>
            <w:r w:rsidRPr="00687DE8">
              <w:rPr>
                <w:szCs w:val="24"/>
              </w:rPr>
              <w:t>Kaugpsühhoteraapia seanss ühele haigele grupis (grupis kaks kuni kaheksa haiget) video teel</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191298" w14:textId="77777777" w:rsidR="007F334D" w:rsidRDefault="007F334D" w:rsidP="008B5148">
            <w:pPr>
              <w:spacing w:after="0" w:line="240" w:lineRule="auto"/>
              <w:jc w:val="center"/>
              <w:rPr>
                <w:szCs w:val="24"/>
              </w:rPr>
            </w:pPr>
          </w:p>
          <w:p w14:paraId="3BC7718B" w14:textId="1AA236B2" w:rsidR="008B5148" w:rsidRPr="00687DE8" w:rsidRDefault="008B5148" w:rsidP="008B5148">
            <w:pPr>
              <w:spacing w:after="0" w:line="240" w:lineRule="auto"/>
              <w:jc w:val="center"/>
              <w:rPr>
                <w:szCs w:val="24"/>
              </w:rPr>
            </w:pPr>
            <w:r w:rsidRPr="00687DE8">
              <w:rPr>
                <w:szCs w:val="24"/>
              </w:rPr>
              <w:t>7635</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1DD3A50" w14:textId="23549DA9" w:rsidR="0435C87F" w:rsidRPr="00687DE8" w:rsidRDefault="00A9007A">
            <w:pPr>
              <w:spacing w:after="0"/>
              <w:jc w:val="center"/>
              <w:rPr>
                <w:color w:val="000000" w:themeColor="text1"/>
                <w:szCs w:val="24"/>
              </w:rPr>
            </w:pPr>
            <w:r>
              <w:rPr>
                <w:color w:val="000000"/>
              </w:rPr>
              <w:t>27,88</w:t>
            </w:r>
          </w:p>
        </w:tc>
      </w:tr>
      <w:tr w:rsidR="00196ACE" w:rsidRPr="00687DE8" w14:paraId="0880E7F0"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D65984" w14:textId="0D50EBC5" w:rsidR="00196ACE" w:rsidRPr="00687DE8" w:rsidRDefault="00196ACE" w:rsidP="008B5148">
            <w:pPr>
              <w:spacing w:after="0" w:line="240" w:lineRule="auto"/>
              <w:rPr>
                <w:szCs w:val="24"/>
              </w:rPr>
            </w:pPr>
            <w:r w:rsidRPr="00196ACE">
              <w:rPr>
                <w:szCs w:val="24"/>
              </w:rPr>
              <w:t xml:space="preserve">Oskuste õppe seanss ühele haigele dialektilise käitumisteraapia grupis (grupis kuus kuni </w:t>
            </w:r>
            <w:r w:rsidR="009836FF">
              <w:rPr>
                <w:szCs w:val="24"/>
              </w:rPr>
              <w:t>kümme</w:t>
            </w:r>
            <w:r w:rsidRPr="00196ACE">
              <w:rPr>
                <w:szCs w:val="24"/>
              </w:rPr>
              <w:t xml:space="preserve"> patsienti)</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34FBD0" w14:textId="514F24B7" w:rsidR="00196ACE" w:rsidRDefault="00FB60FD" w:rsidP="008B5148">
            <w:pPr>
              <w:spacing w:after="0" w:line="240" w:lineRule="auto"/>
              <w:jc w:val="center"/>
              <w:rPr>
                <w:szCs w:val="24"/>
              </w:rPr>
            </w:pPr>
            <w:r>
              <w:rPr>
                <w:szCs w:val="24"/>
              </w:rPr>
              <w:t>76</w:t>
            </w:r>
            <w:r w:rsidR="005C4117">
              <w:rPr>
                <w:szCs w:val="24"/>
              </w:rPr>
              <w:t>42</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DAD32C1" w14:textId="003110DA" w:rsidR="00196ACE" w:rsidRDefault="00A9007A">
            <w:pPr>
              <w:spacing w:after="0"/>
              <w:jc w:val="center"/>
              <w:rPr>
                <w:color w:val="000000" w:themeColor="text1"/>
                <w:szCs w:val="24"/>
              </w:rPr>
            </w:pPr>
            <w:r>
              <w:rPr>
                <w:color w:val="000000"/>
              </w:rPr>
              <w:t>91,73</w:t>
            </w:r>
          </w:p>
        </w:tc>
      </w:tr>
      <w:tr w:rsidR="008B5148" w:rsidRPr="00687DE8" w14:paraId="7DAD876A"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90CFFD" w14:textId="77777777" w:rsidR="008B5148" w:rsidRPr="00687DE8" w:rsidRDefault="008B5148" w:rsidP="008B5148">
            <w:pPr>
              <w:spacing w:after="0" w:line="240" w:lineRule="auto"/>
              <w:rPr>
                <w:szCs w:val="24"/>
              </w:rPr>
            </w:pPr>
            <w:r w:rsidRPr="00687DE8">
              <w:rPr>
                <w:szCs w:val="24"/>
              </w:rPr>
              <w:t>Psühhoteraapia seanss perele</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87D1E2" w14:textId="77777777" w:rsidR="008B5148" w:rsidRPr="00687DE8" w:rsidRDefault="008B5148" w:rsidP="008B5148">
            <w:pPr>
              <w:spacing w:after="0" w:line="240" w:lineRule="auto"/>
              <w:jc w:val="center"/>
              <w:rPr>
                <w:szCs w:val="24"/>
              </w:rPr>
            </w:pPr>
            <w:r w:rsidRPr="00687DE8">
              <w:rPr>
                <w:szCs w:val="24"/>
              </w:rPr>
              <w:t>7603</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FA534E" w14:textId="75601C63" w:rsidR="0435C87F" w:rsidRPr="00687DE8" w:rsidRDefault="00A9007A">
            <w:pPr>
              <w:spacing w:after="0"/>
              <w:jc w:val="center"/>
              <w:rPr>
                <w:color w:val="000000" w:themeColor="text1"/>
                <w:szCs w:val="24"/>
              </w:rPr>
            </w:pPr>
            <w:r>
              <w:rPr>
                <w:color w:val="000000"/>
              </w:rPr>
              <w:t>99,61</w:t>
            </w:r>
          </w:p>
        </w:tc>
      </w:tr>
      <w:tr w:rsidR="008B5148" w:rsidRPr="00687DE8" w14:paraId="6974D500"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30E998" w14:textId="77777777" w:rsidR="008B5148" w:rsidRPr="00687DE8" w:rsidRDefault="008B5148" w:rsidP="008B5148">
            <w:pPr>
              <w:spacing w:after="0" w:line="240" w:lineRule="auto"/>
              <w:rPr>
                <w:szCs w:val="24"/>
                <w:highlight w:val="yellow"/>
              </w:rPr>
            </w:pPr>
            <w:r w:rsidRPr="00687DE8">
              <w:rPr>
                <w:szCs w:val="24"/>
              </w:rPr>
              <w:t>Kaugpsühhoteraapia seanss perele</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7E17E7" w14:textId="77777777" w:rsidR="008B5148" w:rsidRPr="00687DE8" w:rsidRDefault="008B5148" w:rsidP="008B5148">
            <w:pPr>
              <w:spacing w:after="0" w:line="240" w:lineRule="auto"/>
              <w:jc w:val="center"/>
              <w:rPr>
                <w:szCs w:val="24"/>
              </w:rPr>
            </w:pPr>
            <w:r w:rsidRPr="00687DE8">
              <w:rPr>
                <w:szCs w:val="24"/>
              </w:rPr>
              <w:t>7632</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90DC609" w14:textId="032DEDB8" w:rsidR="0435C87F" w:rsidRPr="00687DE8" w:rsidRDefault="00A9007A">
            <w:pPr>
              <w:spacing w:after="0"/>
              <w:jc w:val="center"/>
              <w:rPr>
                <w:color w:val="000000" w:themeColor="text1"/>
                <w:szCs w:val="24"/>
              </w:rPr>
            </w:pPr>
            <w:r>
              <w:rPr>
                <w:color w:val="000000"/>
              </w:rPr>
              <w:t>99,61</w:t>
            </w:r>
          </w:p>
        </w:tc>
      </w:tr>
      <w:tr w:rsidR="008B5148" w:rsidRPr="00687DE8" w14:paraId="40F0B091"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1C54FD" w14:textId="16FA11B4" w:rsidR="008B5148" w:rsidRPr="00687DE8" w:rsidRDefault="008B5148" w:rsidP="008B5148">
            <w:pPr>
              <w:spacing w:after="0" w:line="240" w:lineRule="auto"/>
              <w:rPr>
                <w:szCs w:val="24"/>
              </w:rPr>
            </w:pPr>
            <w:r w:rsidRPr="00687DE8">
              <w:rPr>
                <w:szCs w:val="24"/>
              </w:rPr>
              <w:t>Kaugpsühhoteraapia seanss perele video teel</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F54EA4" w14:textId="77777777" w:rsidR="008B5148" w:rsidRPr="00687DE8" w:rsidRDefault="008B5148" w:rsidP="008B5148">
            <w:pPr>
              <w:spacing w:after="0" w:line="240" w:lineRule="auto"/>
              <w:jc w:val="center"/>
              <w:rPr>
                <w:szCs w:val="24"/>
              </w:rPr>
            </w:pPr>
            <w:r w:rsidRPr="00687DE8">
              <w:rPr>
                <w:szCs w:val="24"/>
              </w:rPr>
              <w:t>7636</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80C8F57" w14:textId="14054EFD" w:rsidR="0435C87F" w:rsidRPr="00687DE8" w:rsidRDefault="00A9007A">
            <w:pPr>
              <w:spacing w:after="0"/>
              <w:jc w:val="center"/>
              <w:rPr>
                <w:color w:val="000000" w:themeColor="text1"/>
                <w:szCs w:val="24"/>
              </w:rPr>
            </w:pPr>
            <w:r>
              <w:rPr>
                <w:color w:val="000000"/>
              </w:rPr>
              <w:t>99,61</w:t>
            </w:r>
          </w:p>
        </w:tc>
      </w:tr>
      <w:tr w:rsidR="008B5148" w:rsidRPr="00687DE8" w14:paraId="2B4AF814"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B27501" w14:textId="33857103" w:rsidR="008B5148" w:rsidRPr="00687DE8" w:rsidRDefault="008B5148" w:rsidP="008B5148">
            <w:pPr>
              <w:spacing w:after="0" w:line="240" w:lineRule="auto"/>
              <w:rPr>
                <w:highlight w:val="yellow"/>
              </w:rPr>
            </w:pPr>
            <w:r>
              <w:t>Kliinilise psühholoogi vastuvõtt</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3F8866" w14:textId="77777777" w:rsidR="008B5148" w:rsidRPr="00687DE8" w:rsidRDefault="008B5148" w:rsidP="008B5148">
            <w:pPr>
              <w:spacing w:after="0" w:line="240" w:lineRule="auto"/>
              <w:jc w:val="center"/>
              <w:rPr>
                <w:szCs w:val="24"/>
              </w:rPr>
            </w:pPr>
            <w:r w:rsidRPr="00687DE8">
              <w:rPr>
                <w:szCs w:val="24"/>
              </w:rPr>
              <w:t>7607</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7B5E7D" w14:textId="2AB3FAA8" w:rsidR="0435C87F" w:rsidRPr="00687DE8" w:rsidRDefault="00A9007A">
            <w:pPr>
              <w:spacing w:after="0"/>
              <w:jc w:val="center"/>
              <w:rPr>
                <w:color w:val="000000" w:themeColor="text1"/>
                <w:szCs w:val="24"/>
              </w:rPr>
            </w:pPr>
            <w:r>
              <w:rPr>
                <w:color w:val="000000"/>
              </w:rPr>
              <w:t>50,91</w:t>
            </w:r>
          </w:p>
        </w:tc>
      </w:tr>
      <w:tr w:rsidR="008B5148" w:rsidRPr="00687DE8" w14:paraId="5833380F"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1BDEF8" w14:textId="715E7AB4" w:rsidR="008B5148" w:rsidRPr="00687DE8" w:rsidRDefault="008B5148" w:rsidP="008B5148">
            <w:pPr>
              <w:spacing w:after="0" w:line="240" w:lineRule="auto"/>
            </w:pPr>
            <w:r>
              <w:t>Kliinilise psühholoogi kaugvastuvõtt</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45C9C7" w14:textId="77777777" w:rsidR="008B5148" w:rsidRPr="00687DE8" w:rsidRDefault="008B5148" w:rsidP="008B5148">
            <w:pPr>
              <w:spacing w:after="0" w:line="240" w:lineRule="auto"/>
              <w:jc w:val="center"/>
              <w:rPr>
                <w:szCs w:val="24"/>
              </w:rPr>
            </w:pPr>
            <w:r w:rsidRPr="00687DE8">
              <w:rPr>
                <w:szCs w:val="24"/>
              </w:rPr>
              <w:t>7633</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79A5A0C" w14:textId="55A3D918" w:rsidR="0435C87F" w:rsidRPr="00687DE8" w:rsidRDefault="00A9007A">
            <w:pPr>
              <w:spacing w:after="0"/>
              <w:jc w:val="center"/>
              <w:rPr>
                <w:color w:val="000000" w:themeColor="text1"/>
                <w:szCs w:val="24"/>
              </w:rPr>
            </w:pPr>
            <w:r>
              <w:rPr>
                <w:color w:val="000000"/>
              </w:rPr>
              <w:t>50,91</w:t>
            </w:r>
          </w:p>
        </w:tc>
      </w:tr>
      <w:tr w:rsidR="008B5148" w:rsidRPr="00687DE8" w14:paraId="1550D23C"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FA6B72" w14:textId="437A95BE" w:rsidR="008B5148" w:rsidRPr="00687DE8" w:rsidRDefault="008B5148" w:rsidP="008B5148">
            <w:pPr>
              <w:spacing w:after="0" w:line="240" w:lineRule="auto"/>
            </w:pPr>
            <w:r>
              <w:lastRenderedPageBreak/>
              <w:t>Kliinilise psühholoogi videovastuvõtt</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F8BFA5" w14:textId="77777777" w:rsidR="008B5148" w:rsidRPr="00687DE8" w:rsidRDefault="008B5148" w:rsidP="008B5148">
            <w:pPr>
              <w:spacing w:after="0" w:line="240" w:lineRule="auto"/>
              <w:jc w:val="center"/>
              <w:rPr>
                <w:szCs w:val="24"/>
              </w:rPr>
            </w:pPr>
            <w:r w:rsidRPr="00687DE8">
              <w:rPr>
                <w:szCs w:val="24"/>
              </w:rPr>
              <w:t>7637</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666BC08" w14:textId="09CC544D" w:rsidR="0435C87F" w:rsidRPr="00687DE8" w:rsidRDefault="00A9007A">
            <w:pPr>
              <w:spacing w:after="0"/>
              <w:jc w:val="center"/>
              <w:rPr>
                <w:color w:val="000000" w:themeColor="text1"/>
                <w:szCs w:val="24"/>
              </w:rPr>
            </w:pPr>
            <w:r>
              <w:rPr>
                <w:color w:val="000000"/>
              </w:rPr>
              <w:t>50,91</w:t>
            </w:r>
          </w:p>
        </w:tc>
      </w:tr>
      <w:tr w:rsidR="008B5148" w:rsidRPr="00687DE8" w14:paraId="02AA9E7A"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9DF354" w14:textId="6195C35B" w:rsidR="008B5148" w:rsidRPr="00687DE8" w:rsidRDefault="008B5148" w:rsidP="008B5148">
            <w:pPr>
              <w:spacing w:after="0" w:line="240" w:lineRule="auto"/>
            </w:pPr>
            <w:r>
              <w:t>Psühholoog-nõustaja vastuvõtt</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8CCBCF" w14:textId="77777777" w:rsidR="008B5148" w:rsidRPr="00687DE8" w:rsidRDefault="008B5148" w:rsidP="008B5148">
            <w:pPr>
              <w:spacing w:after="0" w:line="240" w:lineRule="auto"/>
              <w:jc w:val="center"/>
              <w:rPr>
                <w:szCs w:val="24"/>
              </w:rPr>
            </w:pPr>
            <w:r w:rsidRPr="00687DE8">
              <w:rPr>
                <w:szCs w:val="24"/>
              </w:rPr>
              <w:t>7638</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A206E03" w14:textId="7ECAB4A2" w:rsidR="0435C87F" w:rsidRPr="00687DE8" w:rsidRDefault="00A9007A">
            <w:pPr>
              <w:spacing w:after="0"/>
              <w:jc w:val="center"/>
              <w:rPr>
                <w:color w:val="000000" w:themeColor="text1"/>
                <w:szCs w:val="24"/>
              </w:rPr>
            </w:pPr>
            <w:r>
              <w:rPr>
                <w:color w:val="000000"/>
              </w:rPr>
              <w:t>50,91</w:t>
            </w:r>
          </w:p>
        </w:tc>
      </w:tr>
      <w:tr w:rsidR="008B5148" w:rsidRPr="00687DE8" w14:paraId="27654299"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8E6FBB" w14:textId="32F51646" w:rsidR="008B5148" w:rsidRPr="00687DE8" w:rsidRDefault="008B5148" w:rsidP="008B5148">
            <w:pPr>
              <w:spacing w:after="0" w:line="240" w:lineRule="auto"/>
            </w:pPr>
            <w:r>
              <w:t>Psühholoog-nõustaja kaugvastuvõtt</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6148BC" w14:textId="77777777" w:rsidR="008B5148" w:rsidRPr="00687DE8" w:rsidRDefault="008B5148" w:rsidP="008B5148">
            <w:pPr>
              <w:spacing w:after="0" w:line="240" w:lineRule="auto"/>
              <w:jc w:val="center"/>
              <w:rPr>
                <w:szCs w:val="24"/>
              </w:rPr>
            </w:pPr>
            <w:r w:rsidRPr="00687DE8">
              <w:rPr>
                <w:szCs w:val="24"/>
              </w:rPr>
              <w:t>7639</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A9C89FA" w14:textId="4180A090" w:rsidR="0435C87F" w:rsidRPr="00687DE8" w:rsidRDefault="00A9007A">
            <w:pPr>
              <w:spacing w:after="0"/>
              <w:jc w:val="center"/>
              <w:rPr>
                <w:color w:val="000000" w:themeColor="text1"/>
                <w:szCs w:val="24"/>
              </w:rPr>
            </w:pPr>
            <w:r>
              <w:rPr>
                <w:color w:val="000000"/>
              </w:rPr>
              <w:t>50,91</w:t>
            </w:r>
          </w:p>
        </w:tc>
      </w:tr>
      <w:tr w:rsidR="008B5148" w:rsidRPr="00687DE8" w14:paraId="5C186E0B"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B8BCCF" w14:textId="69126057" w:rsidR="008B5148" w:rsidRPr="00687DE8" w:rsidRDefault="008B5148" w:rsidP="008B5148">
            <w:pPr>
              <w:spacing w:after="0" w:line="240" w:lineRule="auto"/>
            </w:pPr>
            <w:r>
              <w:t>Psühholoog-nõustaja videovastuvõtt</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3055DC" w14:textId="77777777" w:rsidR="008B5148" w:rsidRPr="00687DE8" w:rsidRDefault="008B5148" w:rsidP="008B5148">
            <w:pPr>
              <w:spacing w:after="0" w:line="240" w:lineRule="auto"/>
              <w:jc w:val="center"/>
              <w:rPr>
                <w:szCs w:val="24"/>
              </w:rPr>
            </w:pPr>
            <w:r w:rsidRPr="00687DE8">
              <w:rPr>
                <w:szCs w:val="24"/>
              </w:rPr>
              <w:t>7640</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CC304A4" w14:textId="7E9C9BEF" w:rsidR="0435C87F" w:rsidRPr="00687DE8" w:rsidRDefault="00A9007A">
            <w:pPr>
              <w:spacing w:after="0"/>
              <w:jc w:val="center"/>
              <w:rPr>
                <w:color w:val="000000" w:themeColor="text1"/>
                <w:szCs w:val="24"/>
              </w:rPr>
            </w:pPr>
            <w:r>
              <w:rPr>
                <w:color w:val="000000"/>
              </w:rPr>
              <w:t>50,91</w:t>
            </w:r>
          </w:p>
        </w:tc>
      </w:tr>
      <w:tr w:rsidR="008B5148" w:rsidRPr="00687DE8" w14:paraId="6D1DB8DA"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428D84" w14:textId="77777777" w:rsidR="008B5148" w:rsidRPr="00687DE8" w:rsidRDefault="008B5148" w:rsidP="008B5148">
            <w:pPr>
              <w:spacing w:after="0" w:line="240" w:lineRule="auto"/>
              <w:rPr>
                <w:szCs w:val="24"/>
              </w:rPr>
            </w:pPr>
            <w:r w:rsidRPr="00687DE8">
              <w:rPr>
                <w:szCs w:val="24"/>
              </w:rPr>
              <w:t>Elekterkrampravi seanss</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3BBB8D" w14:textId="77777777" w:rsidR="008B5148" w:rsidRPr="00687DE8" w:rsidRDefault="008B5148" w:rsidP="008B5148">
            <w:pPr>
              <w:spacing w:after="0" w:line="240" w:lineRule="auto"/>
              <w:jc w:val="center"/>
              <w:rPr>
                <w:szCs w:val="24"/>
              </w:rPr>
            </w:pPr>
            <w:r w:rsidRPr="00687DE8">
              <w:rPr>
                <w:szCs w:val="24"/>
              </w:rPr>
              <w:t>7609</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FE6CE2" w14:textId="5917280B" w:rsidR="0435C87F" w:rsidRPr="00687DE8" w:rsidRDefault="00A9007A">
            <w:pPr>
              <w:spacing w:after="0"/>
              <w:jc w:val="center"/>
              <w:rPr>
                <w:color w:val="000000" w:themeColor="text1"/>
                <w:szCs w:val="24"/>
              </w:rPr>
            </w:pPr>
            <w:r>
              <w:rPr>
                <w:color w:val="000000"/>
              </w:rPr>
              <w:t>77,97</w:t>
            </w:r>
          </w:p>
        </w:tc>
      </w:tr>
      <w:tr w:rsidR="008B5148" w:rsidRPr="00687DE8" w14:paraId="688B5218"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497504" w14:textId="77777777" w:rsidR="008B5148" w:rsidRPr="00687DE8" w:rsidRDefault="008B5148" w:rsidP="008B5148">
            <w:pPr>
              <w:spacing w:after="0" w:line="240" w:lineRule="auto"/>
              <w:rPr>
                <w:szCs w:val="24"/>
              </w:rPr>
            </w:pPr>
            <w:r w:rsidRPr="00687DE8">
              <w:rPr>
                <w:szCs w:val="24"/>
              </w:rPr>
              <w:t>Transkraniaalse alalisvooluga stimulatsiooni seanss</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1AE190" w14:textId="77777777" w:rsidR="008B5148" w:rsidRPr="00687DE8" w:rsidRDefault="008B5148" w:rsidP="008B5148">
            <w:pPr>
              <w:spacing w:after="0" w:line="240" w:lineRule="auto"/>
              <w:jc w:val="center"/>
              <w:rPr>
                <w:szCs w:val="24"/>
              </w:rPr>
            </w:pPr>
            <w:r w:rsidRPr="00687DE8">
              <w:rPr>
                <w:szCs w:val="24"/>
              </w:rPr>
              <w:t>7604</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31F8F7" w14:textId="68681086" w:rsidR="0435C87F" w:rsidRPr="00687DE8" w:rsidRDefault="00A9007A">
            <w:pPr>
              <w:spacing w:after="0"/>
              <w:jc w:val="center"/>
              <w:rPr>
                <w:color w:val="000000" w:themeColor="text1"/>
                <w:szCs w:val="24"/>
              </w:rPr>
            </w:pPr>
            <w:r>
              <w:rPr>
                <w:color w:val="000000"/>
              </w:rPr>
              <w:t>36,68</w:t>
            </w:r>
          </w:p>
        </w:tc>
      </w:tr>
      <w:tr w:rsidR="00142E3A" w:rsidRPr="00687DE8" w14:paraId="1723E707"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B2F3C9" w14:textId="308A1F65" w:rsidR="00142E3A" w:rsidRPr="00687DE8" w:rsidRDefault="005B5BAE" w:rsidP="008B5148">
            <w:pPr>
              <w:spacing w:after="0" w:line="240" w:lineRule="auto"/>
              <w:rPr>
                <w:szCs w:val="24"/>
              </w:rPr>
            </w:pPr>
            <w:r w:rsidRPr="005B5BAE">
              <w:rPr>
                <w:szCs w:val="24"/>
              </w:rPr>
              <w:t xml:space="preserve">Korduva </w:t>
            </w:r>
            <w:r w:rsidR="00713EFA">
              <w:rPr>
                <w:szCs w:val="24"/>
              </w:rPr>
              <w:t>t</w:t>
            </w:r>
            <w:r w:rsidRPr="005B5BAE">
              <w:rPr>
                <w:szCs w:val="24"/>
              </w:rPr>
              <w:t>ranskraniaal</w:t>
            </w:r>
            <w:r w:rsidR="00713EFA">
              <w:rPr>
                <w:szCs w:val="24"/>
              </w:rPr>
              <w:t xml:space="preserve">se </w:t>
            </w:r>
            <w:r w:rsidRPr="005B5BAE">
              <w:rPr>
                <w:szCs w:val="24"/>
              </w:rPr>
              <w:t>magnetstimulatsiooni seanss</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3F5165" w14:textId="295AA21F" w:rsidR="00142E3A" w:rsidRPr="00687DE8" w:rsidRDefault="00686991" w:rsidP="008B5148">
            <w:pPr>
              <w:spacing w:after="0" w:line="240" w:lineRule="auto"/>
              <w:jc w:val="center"/>
              <w:rPr>
                <w:szCs w:val="24"/>
              </w:rPr>
            </w:pPr>
            <w:r>
              <w:rPr>
                <w:szCs w:val="24"/>
              </w:rPr>
              <w:t>760</w:t>
            </w:r>
            <w:r w:rsidR="00DC6D6F">
              <w:rPr>
                <w:szCs w:val="24"/>
              </w:rPr>
              <w:t>0</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8224E55" w14:textId="7B4EDF69" w:rsidR="00142E3A" w:rsidRPr="00687DE8" w:rsidRDefault="00A9007A">
            <w:pPr>
              <w:spacing w:after="0"/>
              <w:jc w:val="center"/>
              <w:rPr>
                <w:color w:val="000000" w:themeColor="text1"/>
                <w:szCs w:val="24"/>
              </w:rPr>
            </w:pPr>
            <w:r>
              <w:rPr>
                <w:color w:val="000000"/>
              </w:rPr>
              <w:t>27,11</w:t>
            </w:r>
          </w:p>
        </w:tc>
      </w:tr>
      <w:tr w:rsidR="008B5148" w:rsidRPr="00687DE8" w14:paraId="2EA52CF5"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D94660" w14:textId="77777777" w:rsidR="008B5148" w:rsidRPr="00687DE8" w:rsidRDefault="008B5148" w:rsidP="008B5148">
            <w:pPr>
              <w:spacing w:after="0" w:line="240" w:lineRule="auto"/>
              <w:rPr>
                <w:szCs w:val="24"/>
              </w:rPr>
            </w:pPr>
            <w:r w:rsidRPr="00687DE8">
              <w:rPr>
                <w:szCs w:val="24"/>
              </w:rPr>
              <w:t>Isiksuse uuring</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6D9AAF" w14:textId="77777777" w:rsidR="008B5148" w:rsidRPr="00687DE8" w:rsidRDefault="008B5148" w:rsidP="008B5148">
            <w:pPr>
              <w:spacing w:after="0" w:line="240" w:lineRule="auto"/>
              <w:jc w:val="center"/>
              <w:rPr>
                <w:szCs w:val="24"/>
              </w:rPr>
            </w:pPr>
            <w:r w:rsidRPr="00687DE8">
              <w:rPr>
                <w:szCs w:val="24"/>
              </w:rPr>
              <w:t>7615</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36EC00" w14:textId="1BDDAD37" w:rsidR="0435C87F" w:rsidRPr="00687DE8" w:rsidRDefault="00A9007A">
            <w:pPr>
              <w:spacing w:after="0"/>
              <w:jc w:val="center"/>
              <w:rPr>
                <w:color w:val="000000" w:themeColor="text1"/>
                <w:szCs w:val="24"/>
              </w:rPr>
            </w:pPr>
            <w:r>
              <w:rPr>
                <w:color w:val="000000"/>
              </w:rPr>
              <w:t>249,09</w:t>
            </w:r>
          </w:p>
        </w:tc>
      </w:tr>
      <w:tr w:rsidR="008B5148" w:rsidRPr="00687DE8" w14:paraId="0493B217"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BA8940" w14:textId="77777777" w:rsidR="008B5148" w:rsidRPr="00687DE8" w:rsidRDefault="008B5148" w:rsidP="008B5148">
            <w:pPr>
              <w:spacing w:after="0" w:line="240" w:lineRule="auto"/>
              <w:rPr>
                <w:szCs w:val="24"/>
              </w:rPr>
            </w:pPr>
            <w:r w:rsidRPr="00687DE8">
              <w:rPr>
                <w:szCs w:val="24"/>
              </w:rPr>
              <w:t>Kognitiivse funktsiooni uuring</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301259" w14:textId="77777777" w:rsidR="008B5148" w:rsidRPr="00687DE8" w:rsidRDefault="008B5148" w:rsidP="008B5148">
            <w:pPr>
              <w:spacing w:after="0" w:line="240" w:lineRule="auto"/>
              <w:jc w:val="center"/>
              <w:rPr>
                <w:szCs w:val="24"/>
              </w:rPr>
            </w:pPr>
            <w:r w:rsidRPr="00687DE8">
              <w:rPr>
                <w:szCs w:val="24"/>
              </w:rPr>
              <w:t>7616</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BEF05F" w14:textId="224AEA61" w:rsidR="0435C87F" w:rsidRPr="00687DE8" w:rsidRDefault="00A9007A">
            <w:pPr>
              <w:spacing w:after="0"/>
              <w:jc w:val="center"/>
              <w:rPr>
                <w:color w:val="000000" w:themeColor="text1"/>
                <w:szCs w:val="24"/>
              </w:rPr>
            </w:pPr>
            <w:r>
              <w:rPr>
                <w:color w:val="000000"/>
              </w:rPr>
              <w:t>245,87</w:t>
            </w:r>
          </w:p>
        </w:tc>
      </w:tr>
      <w:tr w:rsidR="008B5148" w:rsidRPr="00687DE8" w14:paraId="50C3F6D1"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23D155" w14:textId="77777777" w:rsidR="008B5148" w:rsidRPr="00687DE8" w:rsidRDefault="008B5148" w:rsidP="008B5148">
            <w:pPr>
              <w:spacing w:after="0" w:line="240" w:lineRule="auto"/>
              <w:rPr>
                <w:szCs w:val="24"/>
              </w:rPr>
            </w:pPr>
            <w:r w:rsidRPr="00687DE8">
              <w:rPr>
                <w:szCs w:val="24"/>
              </w:rPr>
              <w:t>Raviplaani koostamine või muutmine ravimeeskonna poolt (meeskonnas kolm liiget)</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E37D31" w14:textId="77777777" w:rsidR="007F334D" w:rsidRDefault="007F334D" w:rsidP="008B5148">
            <w:pPr>
              <w:spacing w:after="0" w:line="240" w:lineRule="auto"/>
              <w:jc w:val="center"/>
              <w:rPr>
                <w:szCs w:val="24"/>
              </w:rPr>
            </w:pPr>
          </w:p>
          <w:p w14:paraId="46226D77" w14:textId="01BF9C80" w:rsidR="008B5148" w:rsidRPr="00687DE8" w:rsidRDefault="008B5148" w:rsidP="008B5148">
            <w:pPr>
              <w:spacing w:after="0" w:line="240" w:lineRule="auto"/>
              <w:jc w:val="center"/>
              <w:rPr>
                <w:szCs w:val="24"/>
              </w:rPr>
            </w:pPr>
            <w:r w:rsidRPr="00687DE8">
              <w:rPr>
                <w:szCs w:val="24"/>
              </w:rPr>
              <w:t>7617</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D1DA53" w14:textId="2F0E4516" w:rsidR="0435C87F" w:rsidRPr="00687DE8" w:rsidRDefault="00A9007A">
            <w:pPr>
              <w:spacing w:after="0"/>
              <w:jc w:val="center"/>
              <w:rPr>
                <w:color w:val="000000" w:themeColor="text1"/>
                <w:szCs w:val="24"/>
              </w:rPr>
            </w:pPr>
            <w:r>
              <w:rPr>
                <w:color w:val="000000"/>
              </w:rPr>
              <w:t>141,67</w:t>
            </w:r>
          </w:p>
        </w:tc>
      </w:tr>
      <w:tr w:rsidR="008B5148" w:rsidRPr="00687DE8" w14:paraId="53BC7757"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E081FA" w14:textId="77777777" w:rsidR="008B5148" w:rsidRPr="00687DE8" w:rsidRDefault="008B5148" w:rsidP="008B5148">
            <w:pPr>
              <w:spacing w:after="0" w:line="240" w:lineRule="auto"/>
              <w:rPr>
                <w:szCs w:val="24"/>
              </w:rPr>
            </w:pPr>
            <w:r w:rsidRPr="00687DE8">
              <w:rPr>
                <w:szCs w:val="24"/>
              </w:rPr>
              <w:t>Raviplaani koostamine või muutmine ravimeeskonna poolt (meeskonnas neli liiget)</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0F4B8B" w14:textId="77777777" w:rsidR="007F334D" w:rsidRDefault="007F334D" w:rsidP="008B5148">
            <w:pPr>
              <w:spacing w:after="0" w:line="240" w:lineRule="auto"/>
              <w:jc w:val="center"/>
              <w:rPr>
                <w:szCs w:val="24"/>
              </w:rPr>
            </w:pPr>
          </w:p>
          <w:p w14:paraId="27E70354" w14:textId="46F7AF5D" w:rsidR="008B5148" w:rsidRPr="00687DE8" w:rsidRDefault="008B5148" w:rsidP="008B5148">
            <w:pPr>
              <w:spacing w:after="0" w:line="240" w:lineRule="auto"/>
              <w:jc w:val="center"/>
              <w:rPr>
                <w:szCs w:val="24"/>
              </w:rPr>
            </w:pPr>
            <w:r w:rsidRPr="00687DE8">
              <w:rPr>
                <w:szCs w:val="24"/>
              </w:rPr>
              <w:t>7626</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F6791B" w14:textId="517D1929" w:rsidR="0435C87F" w:rsidRPr="00687DE8" w:rsidRDefault="00A9007A">
            <w:pPr>
              <w:spacing w:after="0"/>
              <w:jc w:val="center"/>
              <w:rPr>
                <w:color w:val="000000" w:themeColor="text1"/>
                <w:szCs w:val="24"/>
              </w:rPr>
            </w:pPr>
            <w:r>
              <w:rPr>
                <w:color w:val="000000"/>
              </w:rPr>
              <w:t>174,31</w:t>
            </w:r>
          </w:p>
        </w:tc>
      </w:tr>
      <w:tr w:rsidR="008B5148" w:rsidRPr="00687DE8" w14:paraId="2680C4F2" w14:textId="77777777" w:rsidTr="00934CCC">
        <w:trPr>
          <w:divId w:val="1316184749"/>
          <w:trHeight w:val="300"/>
        </w:trPr>
        <w:tc>
          <w:tcPr>
            <w:tcW w:w="6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3B2558" w14:textId="77777777" w:rsidR="008B5148" w:rsidRPr="00687DE8" w:rsidRDefault="008B5148" w:rsidP="008B5148">
            <w:pPr>
              <w:spacing w:after="0" w:line="240" w:lineRule="auto"/>
              <w:rPr>
                <w:szCs w:val="24"/>
              </w:rPr>
            </w:pPr>
            <w:r w:rsidRPr="00687DE8">
              <w:rPr>
                <w:szCs w:val="24"/>
              </w:rPr>
              <w:t>Raviplaani koostamine või muutmine ravimeeskonna poolt (meeskonnas kaks liiget)</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0DDBC7" w14:textId="77777777" w:rsidR="007F334D" w:rsidRDefault="007F334D" w:rsidP="008B5148">
            <w:pPr>
              <w:spacing w:after="0" w:line="240" w:lineRule="auto"/>
              <w:jc w:val="center"/>
              <w:rPr>
                <w:szCs w:val="24"/>
              </w:rPr>
            </w:pPr>
          </w:p>
          <w:p w14:paraId="7814412F" w14:textId="29438339" w:rsidR="008B5148" w:rsidRPr="00687DE8" w:rsidRDefault="008B5148" w:rsidP="008B5148">
            <w:pPr>
              <w:spacing w:after="0" w:line="240" w:lineRule="auto"/>
              <w:jc w:val="center"/>
              <w:rPr>
                <w:szCs w:val="24"/>
              </w:rPr>
            </w:pPr>
            <w:r w:rsidRPr="00687DE8">
              <w:rPr>
                <w:szCs w:val="24"/>
              </w:rPr>
              <w:t>7627</w:t>
            </w:r>
          </w:p>
        </w:tc>
        <w:tc>
          <w:tcPr>
            <w:tcW w:w="180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9AAED9" w14:textId="473B0E44" w:rsidR="0435C87F" w:rsidRPr="00687DE8" w:rsidRDefault="00A9007A">
            <w:pPr>
              <w:spacing w:after="0"/>
              <w:jc w:val="center"/>
              <w:rPr>
                <w:color w:val="000000" w:themeColor="text1"/>
                <w:szCs w:val="24"/>
              </w:rPr>
            </w:pPr>
            <w:r>
              <w:rPr>
                <w:color w:val="000000"/>
              </w:rPr>
              <w:t>67,48</w:t>
            </w:r>
          </w:p>
        </w:tc>
      </w:tr>
    </w:tbl>
    <w:p w14:paraId="351034C2" w14:textId="77777777" w:rsidR="00976487" w:rsidRPr="00687DE8" w:rsidRDefault="00976487" w:rsidP="00976487">
      <w:pPr>
        <w:spacing w:after="0" w:line="240" w:lineRule="auto"/>
        <w:jc w:val="both"/>
        <w:divId w:val="1316184749"/>
        <w:rPr>
          <w:szCs w:val="24"/>
        </w:rPr>
      </w:pPr>
    </w:p>
    <w:p w14:paraId="49C4BCD5" w14:textId="165E24AE" w:rsidR="00976487" w:rsidRPr="00687DE8" w:rsidRDefault="00976487" w:rsidP="00976487">
      <w:pPr>
        <w:spacing w:after="0" w:line="240" w:lineRule="auto"/>
        <w:jc w:val="both"/>
        <w:divId w:val="1316184749"/>
        <w:rPr>
          <w:szCs w:val="24"/>
        </w:rPr>
      </w:pPr>
      <w:r w:rsidRPr="00687DE8">
        <w:rPr>
          <w:szCs w:val="24"/>
        </w:rPr>
        <w:t xml:space="preserve">(2) </w:t>
      </w:r>
      <w:r w:rsidR="005023FD" w:rsidRPr="00687DE8">
        <w:rPr>
          <w:szCs w:val="24"/>
        </w:rPr>
        <w:t>Tervisekassa</w:t>
      </w:r>
      <w:r w:rsidRPr="00687DE8">
        <w:rPr>
          <w:szCs w:val="24"/>
        </w:rPr>
        <w:t xml:space="preserve"> võtab koodidega 7601</w:t>
      </w:r>
      <w:r w:rsidR="003B3AD2" w:rsidRPr="00687DE8">
        <w:rPr>
          <w:szCs w:val="24"/>
        </w:rPr>
        <w:t>,</w:t>
      </w:r>
      <w:r w:rsidR="003B1E2F" w:rsidRPr="00687DE8">
        <w:rPr>
          <w:szCs w:val="24"/>
        </w:rPr>
        <w:t xml:space="preserve"> </w:t>
      </w:r>
      <w:r w:rsidRPr="00687DE8">
        <w:rPr>
          <w:szCs w:val="24"/>
        </w:rPr>
        <w:t>7603</w:t>
      </w:r>
      <w:r w:rsidR="003B3AD2" w:rsidRPr="00687DE8">
        <w:rPr>
          <w:szCs w:val="24"/>
        </w:rPr>
        <w:t xml:space="preserve">, </w:t>
      </w:r>
      <w:r w:rsidR="005415F1" w:rsidRPr="00687DE8">
        <w:rPr>
          <w:szCs w:val="24"/>
        </w:rPr>
        <w:t>76</w:t>
      </w:r>
      <w:r w:rsidR="00D90EAE" w:rsidRPr="00687DE8">
        <w:rPr>
          <w:szCs w:val="24"/>
        </w:rPr>
        <w:t>30</w:t>
      </w:r>
      <w:r w:rsidR="00916098" w:rsidRPr="00687DE8">
        <w:rPr>
          <w:szCs w:val="24"/>
        </w:rPr>
        <w:t xml:space="preserve">, </w:t>
      </w:r>
      <w:r w:rsidR="005415F1" w:rsidRPr="00687DE8">
        <w:rPr>
          <w:szCs w:val="24"/>
        </w:rPr>
        <w:t>763</w:t>
      </w:r>
      <w:r w:rsidR="000B7A70" w:rsidRPr="00687DE8">
        <w:rPr>
          <w:szCs w:val="24"/>
        </w:rPr>
        <w:t>2</w:t>
      </w:r>
      <w:r w:rsidR="00B13EDD" w:rsidRPr="00687DE8">
        <w:rPr>
          <w:szCs w:val="24"/>
        </w:rPr>
        <w:t>, 7634</w:t>
      </w:r>
      <w:r w:rsidR="00B254CC" w:rsidRPr="00687DE8">
        <w:rPr>
          <w:szCs w:val="24"/>
        </w:rPr>
        <w:t xml:space="preserve"> ja </w:t>
      </w:r>
      <w:r w:rsidR="00B13EDD" w:rsidRPr="00687DE8">
        <w:rPr>
          <w:szCs w:val="24"/>
        </w:rPr>
        <w:t xml:space="preserve">7636 </w:t>
      </w:r>
      <w:r w:rsidRPr="00687DE8">
        <w:rPr>
          <w:szCs w:val="24"/>
        </w:rPr>
        <w:t>tähistatud tervishoiuteenuste eest tasu maksmise kohustuse üle, kui teenust osutab kliiniline psühholoog või psühhiaater.</w:t>
      </w:r>
    </w:p>
    <w:p w14:paraId="1B8D26BA" w14:textId="77777777" w:rsidR="00976487" w:rsidRPr="00687DE8" w:rsidRDefault="00976487" w:rsidP="00976487">
      <w:pPr>
        <w:spacing w:after="0" w:line="240" w:lineRule="auto"/>
        <w:jc w:val="both"/>
        <w:divId w:val="1316184749"/>
        <w:rPr>
          <w:szCs w:val="24"/>
        </w:rPr>
      </w:pPr>
    </w:p>
    <w:p w14:paraId="11135DE7" w14:textId="277E13D5"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koodi</w:t>
      </w:r>
      <w:r w:rsidR="00C230FC" w:rsidRPr="00687DE8">
        <w:rPr>
          <w:szCs w:val="24"/>
        </w:rPr>
        <w:t>de</w:t>
      </w:r>
      <w:r w:rsidRPr="00687DE8">
        <w:rPr>
          <w:szCs w:val="24"/>
        </w:rPr>
        <w:t>ga 7602</w:t>
      </w:r>
      <w:r w:rsidR="00E43C54" w:rsidRPr="00687DE8">
        <w:rPr>
          <w:szCs w:val="24"/>
        </w:rPr>
        <w:t>,</w:t>
      </w:r>
      <w:r w:rsidR="00F74011" w:rsidRPr="00687DE8">
        <w:rPr>
          <w:szCs w:val="24"/>
        </w:rPr>
        <w:t xml:space="preserve"> </w:t>
      </w:r>
      <w:r w:rsidR="00561236" w:rsidRPr="00687DE8">
        <w:rPr>
          <w:szCs w:val="24"/>
        </w:rPr>
        <w:t>763</w:t>
      </w:r>
      <w:r w:rsidR="000B7A70" w:rsidRPr="00687DE8">
        <w:rPr>
          <w:szCs w:val="24"/>
        </w:rPr>
        <w:t>1</w:t>
      </w:r>
      <w:r w:rsidR="00E43C54" w:rsidRPr="00687DE8">
        <w:rPr>
          <w:szCs w:val="24"/>
        </w:rPr>
        <w:t xml:space="preserve"> ja 7635</w:t>
      </w:r>
      <w:r w:rsidRPr="00687DE8">
        <w:rPr>
          <w:szCs w:val="24"/>
        </w:rPr>
        <w:t xml:space="preserve"> tähistatud tervishoiuteenus</w:t>
      </w:r>
      <w:r w:rsidR="00DF59DF" w:rsidRPr="00687DE8">
        <w:rPr>
          <w:szCs w:val="24"/>
        </w:rPr>
        <w:t>t</w:t>
      </w:r>
      <w:r w:rsidRPr="00687DE8">
        <w:rPr>
          <w:szCs w:val="24"/>
        </w:rPr>
        <w:t>e eest tasu maksmise kohustuse üle, kui teenust osutab kliiniline psühholoog, psühhiaater või vaimse tervise õde.</w:t>
      </w:r>
    </w:p>
    <w:p w14:paraId="2F062077" w14:textId="77777777" w:rsidR="00976487" w:rsidRPr="00687DE8" w:rsidRDefault="00976487" w:rsidP="00976487">
      <w:pPr>
        <w:spacing w:after="0" w:line="240" w:lineRule="auto"/>
        <w:jc w:val="both"/>
        <w:divId w:val="1316184749"/>
        <w:rPr>
          <w:szCs w:val="24"/>
        </w:rPr>
      </w:pPr>
    </w:p>
    <w:p w14:paraId="19183BE4" w14:textId="61EE39C6" w:rsidR="00976487" w:rsidRPr="00687DE8" w:rsidRDefault="00976487" w:rsidP="00976487">
      <w:pPr>
        <w:spacing w:after="0" w:line="240" w:lineRule="auto"/>
        <w:jc w:val="both"/>
        <w:divId w:val="1316184749"/>
        <w:rPr>
          <w:szCs w:val="24"/>
        </w:rPr>
      </w:pPr>
      <w:r w:rsidRPr="00687DE8">
        <w:rPr>
          <w:szCs w:val="24"/>
        </w:rPr>
        <w:t xml:space="preserve">(4) </w:t>
      </w:r>
      <w:r w:rsidR="005023FD" w:rsidRPr="00687DE8">
        <w:rPr>
          <w:szCs w:val="24"/>
        </w:rPr>
        <w:t>Tervisekassa</w:t>
      </w:r>
      <w:r w:rsidRPr="00687DE8">
        <w:rPr>
          <w:szCs w:val="24"/>
        </w:rPr>
        <w:t xml:space="preserve"> võtab koodidega 7615 ja 7616 tähistatud tervishoiuteenuste eest tasu maksmise kohustuse üle, kui teenust osutab kliiniline psühholoog.</w:t>
      </w:r>
    </w:p>
    <w:p w14:paraId="51BE5851" w14:textId="77777777" w:rsidR="00976487" w:rsidRPr="00687DE8" w:rsidRDefault="00976487" w:rsidP="00976487">
      <w:pPr>
        <w:spacing w:after="0" w:line="240" w:lineRule="auto"/>
        <w:jc w:val="both"/>
        <w:divId w:val="1316184749"/>
        <w:rPr>
          <w:szCs w:val="24"/>
        </w:rPr>
      </w:pPr>
    </w:p>
    <w:p w14:paraId="0E4F0800" w14:textId="16F88C88" w:rsidR="00976487" w:rsidRPr="00687DE8" w:rsidRDefault="00976487" w:rsidP="00976487">
      <w:pPr>
        <w:spacing w:after="0" w:line="240" w:lineRule="auto"/>
        <w:jc w:val="both"/>
        <w:divId w:val="1316184749"/>
        <w:rPr>
          <w:szCs w:val="24"/>
        </w:rPr>
      </w:pPr>
      <w:r w:rsidRPr="00687DE8">
        <w:rPr>
          <w:szCs w:val="24"/>
        </w:rPr>
        <w:t xml:space="preserve">(5) </w:t>
      </w:r>
      <w:r w:rsidR="005023FD" w:rsidRPr="00687DE8">
        <w:rPr>
          <w:szCs w:val="24"/>
        </w:rPr>
        <w:t>Tervisekassa</w:t>
      </w:r>
      <w:r w:rsidRPr="00687DE8">
        <w:rPr>
          <w:szCs w:val="24"/>
        </w:rPr>
        <w:t xml:space="preserve"> võtab koodidega 7615 ja 7616 tähistatud tervishoiuteenuste eest tasu maksmise kohustuse üle</w:t>
      </w:r>
      <w:r w:rsidR="0006125F" w:rsidRPr="00687DE8">
        <w:rPr>
          <w:szCs w:val="24"/>
        </w:rPr>
        <w:t xml:space="preserve"> juhul</w:t>
      </w:r>
      <w:r w:rsidRPr="00687DE8">
        <w:rPr>
          <w:szCs w:val="24"/>
        </w:rPr>
        <w:t>, kui teenust osutatakse psühhiaatri, neuroloogi</w:t>
      </w:r>
      <w:r w:rsidR="00C710E7" w:rsidRPr="00687DE8">
        <w:rPr>
          <w:szCs w:val="24"/>
        </w:rPr>
        <w:t>,</w:t>
      </w:r>
      <w:r w:rsidRPr="00687DE8">
        <w:rPr>
          <w:szCs w:val="24"/>
        </w:rPr>
        <w:t xml:space="preserve"> taastusarsti </w:t>
      </w:r>
      <w:r w:rsidR="00C710E7" w:rsidRPr="00687DE8">
        <w:rPr>
          <w:szCs w:val="24"/>
        </w:rPr>
        <w:t xml:space="preserve">või </w:t>
      </w:r>
      <w:r w:rsidR="005F4E72" w:rsidRPr="00687DE8">
        <w:rPr>
          <w:szCs w:val="24"/>
        </w:rPr>
        <w:t xml:space="preserve">alla </w:t>
      </w:r>
      <w:r w:rsidR="00C710E7" w:rsidRPr="00687DE8">
        <w:rPr>
          <w:szCs w:val="24"/>
        </w:rPr>
        <w:t>19</w:t>
      </w:r>
      <w:r w:rsidR="005F4E72" w:rsidRPr="00687DE8">
        <w:rPr>
          <w:szCs w:val="24"/>
        </w:rPr>
        <w:t>-</w:t>
      </w:r>
      <w:r w:rsidR="00C710E7" w:rsidRPr="00687DE8">
        <w:rPr>
          <w:szCs w:val="24"/>
        </w:rPr>
        <w:t xml:space="preserve">aastaste isikute puhul lastearsti suunamisel. </w:t>
      </w:r>
    </w:p>
    <w:p w14:paraId="08F2A30C" w14:textId="77777777" w:rsidR="00976487" w:rsidRPr="00687DE8" w:rsidRDefault="00976487" w:rsidP="00976487">
      <w:pPr>
        <w:spacing w:after="0" w:line="240" w:lineRule="auto"/>
        <w:jc w:val="both"/>
        <w:divId w:val="1316184749"/>
        <w:rPr>
          <w:szCs w:val="24"/>
        </w:rPr>
      </w:pPr>
    </w:p>
    <w:p w14:paraId="5F65BBEE" w14:textId="5C7BD676" w:rsidR="00976487" w:rsidRPr="00687DE8" w:rsidRDefault="00976487" w:rsidP="00976487">
      <w:pPr>
        <w:spacing w:after="0" w:line="240" w:lineRule="auto"/>
        <w:jc w:val="both"/>
        <w:divId w:val="1316184749"/>
      </w:pPr>
      <w:r>
        <w:t xml:space="preserve">(6) </w:t>
      </w:r>
      <w:r w:rsidR="005023FD">
        <w:t>Tervisekassa</w:t>
      </w:r>
      <w:r>
        <w:t xml:space="preserve"> võtab koodiga 7615 tähistatud tervishoiuteenuse eest tasu maksmise kohustuse üle ühelt patsiendilt üks kord aastas.</w:t>
      </w:r>
    </w:p>
    <w:p w14:paraId="5CE7789E" w14:textId="77777777" w:rsidR="00976487" w:rsidRPr="00687DE8" w:rsidRDefault="00976487" w:rsidP="00976487">
      <w:pPr>
        <w:spacing w:after="0" w:line="240" w:lineRule="auto"/>
        <w:jc w:val="both"/>
        <w:divId w:val="1316184749"/>
        <w:rPr>
          <w:szCs w:val="24"/>
        </w:rPr>
      </w:pPr>
    </w:p>
    <w:p w14:paraId="370B3977" w14:textId="3656487D" w:rsidR="00976487" w:rsidRPr="00687DE8" w:rsidRDefault="00976487" w:rsidP="00976487">
      <w:pPr>
        <w:spacing w:after="0" w:line="240" w:lineRule="auto"/>
        <w:jc w:val="both"/>
        <w:divId w:val="1316184749"/>
        <w:rPr>
          <w:szCs w:val="24"/>
        </w:rPr>
      </w:pPr>
      <w:r w:rsidRPr="00687DE8">
        <w:rPr>
          <w:szCs w:val="24"/>
        </w:rPr>
        <w:t>(</w:t>
      </w:r>
      <w:r w:rsidRPr="00687DE8" w:rsidDel="00440186">
        <w:rPr>
          <w:szCs w:val="24"/>
        </w:rPr>
        <w:t>7</w:t>
      </w:r>
      <w:r w:rsidRPr="00687DE8">
        <w:rPr>
          <w:szCs w:val="24"/>
        </w:rPr>
        <w:t>) Koodiga 7617 tähistatud tervishoiuteenuse psühhiaatrilise ravimeeskonna koosseisu kuuluvad psühhiaater ja kaks spetsialisti tulenevalt patsiendi terviseseisundist.</w:t>
      </w:r>
    </w:p>
    <w:p w14:paraId="44A84B91" w14:textId="77777777" w:rsidR="00976487" w:rsidRPr="00687DE8" w:rsidRDefault="00976487" w:rsidP="00976487">
      <w:pPr>
        <w:spacing w:after="0" w:line="240" w:lineRule="auto"/>
        <w:jc w:val="both"/>
        <w:divId w:val="1316184749"/>
        <w:rPr>
          <w:szCs w:val="24"/>
        </w:rPr>
      </w:pPr>
    </w:p>
    <w:p w14:paraId="0767E281" w14:textId="2727A3ED" w:rsidR="00976487" w:rsidRPr="00687DE8" w:rsidRDefault="00976487" w:rsidP="00976487">
      <w:pPr>
        <w:spacing w:after="0" w:line="240" w:lineRule="auto"/>
        <w:jc w:val="both"/>
        <w:divId w:val="1316184749"/>
        <w:rPr>
          <w:szCs w:val="24"/>
        </w:rPr>
      </w:pPr>
      <w:r w:rsidRPr="00687DE8">
        <w:rPr>
          <w:szCs w:val="24"/>
        </w:rPr>
        <w:t>(</w:t>
      </w:r>
      <w:r w:rsidRPr="00687DE8" w:rsidDel="00440186">
        <w:rPr>
          <w:szCs w:val="24"/>
        </w:rPr>
        <w:t>8</w:t>
      </w:r>
      <w:r w:rsidRPr="00687DE8">
        <w:rPr>
          <w:szCs w:val="24"/>
        </w:rPr>
        <w:t>) Koodiga 7626 tähistatud tervishoiuteenuse psühhiaatrilise ravimeeskonna koosseisu kuuluvad psühhiaater ja kolm spetsialisti tulenevalt patsiendi terviseseisundist.</w:t>
      </w:r>
    </w:p>
    <w:p w14:paraId="376926C3" w14:textId="77777777" w:rsidR="00976487" w:rsidRPr="00687DE8" w:rsidRDefault="00976487" w:rsidP="00976487">
      <w:pPr>
        <w:spacing w:after="0" w:line="240" w:lineRule="auto"/>
        <w:jc w:val="both"/>
        <w:divId w:val="1316184749"/>
        <w:rPr>
          <w:szCs w:val="24"/>
        </w:rPr>
      </w:pPr>
    </w:p>
    <w:p w14:paraId="5800CDA5" w14:textId="36C87DA3" w:rsidR="00976487" w:rsidRPr="00687DE8" w:rsidRDefault="00976487" w:rsidP="00976487">
      <w:pPr>
        <w:spacing w:after="0" w:line="240" w:lineRule="auto"/>
        <w:jc w:val="both"/>
        <w:divId w:val="1316184749"/>
        <w:rPr>
          <w:szCs w:val="24"/>
        </w:rPr>
      </w:pPr>
      <w:r w:rsidRPr="00687DE8">
        <w:rPr>
          <w:szCs w:val="24"/>
        </w:rPr>
        <w:lastRenderedPageBreak/>
        <w:t>(</w:t>
      </w:r>
      <w:r w:rsidRPr="00687DE8" w:rsidDel="00440186">
        <w:rPr>
          <w:szCs w:val="24"/>
        </w:rPr>
        <w:t>9</w:t>
      </w:r>
      <w:r w:rsidRPr="00687DE8">
        <w:rPr>
          <w:szCs w:val="24"/>
        </w:rPr>
        <w:t>) Koodidega 7601, 7602, 7603 ja 7607</w:t>
      </w:r>
      <w:r w:rsidR="00941275" w:rsidRPr="00687DE8">
        <w:rPr>
          <w:szCs w:val="24"/>
        </w:rPr>
        <w:t xml:space="preserve">, </w:t>
      </w:r>
      <w:r w:rsidR="00561236" w:rsidRPr="00687DE8">
        <w:rPr>
          <w:szCs w:val="24"/>
        </w:rPr>
        <w:t>76</w:t>
      </w:r>
      <w:r w:rsidR="000B7A70" w:rsidRPr="00687DE8">
        <w:rPr>
          <w:szCs w:val="24"/>
        </w:rPr>
        <w:t>30</w:t>
      </w:r>
      <w:r w:rsidR="00561236" w:rsidRPr="00687DE8">
        <w:rPr>
          <w:szCs w:val="24"/>
        </w:rPr>
        <w:t>, 763</w:t>
      </w:r>
      <w:r w:rsidR="000B7A70" w:rsidRPr="00687DE8">
        <w:rPr>
          <w:szCs w:val="24"/>
        </w:rPr>
        <w:t>1</w:t>
      </w:r>
      <w:r w:rsidR="00561236" w:rsidRPr="00687DE8">
        <w:rPr>
          <w:szCs w:val="24"/>
        </w:rPr>
        <w:t>,</w:t>
      </w:r>
      <w:r w:rsidR="00FA579F" w:rsidRPr="00687DE8">
        <w:rPr>
          <w:szCs w:val="24"/>
        </w:rPr>
        <w:t xml:space="preserve"> 763</w:t>
      </w:r>
      <w:r w:rsidR="000B7A70" w:rsidRPr="00687DE8">
        <w:rPr>
          <w:szCs w:val="24"/>
        </w:rPr>
        <w:t>2</w:t>
      </w:r>
      <w:r w:rsidR="00E43C54" w:rsidRPr="00687DE8">
        <w:rPr>
          <w:szCs w:val="24"/>
        </w:rPr>
        <w:t>,</w:t>
      </w:r>
      <w:r w:rsidR="00F74011" w:rsidRPr="00687DE8">
        <w:rPr>
          <w:szCs w:val="24"/>
        </w:rPr>
        <w:t xml:space="preserve"> </w:t>
      </w:r>
      <w:r w:rsidR="00FA579F" w:rsidRPr="00687DE8">
        <w:rPr>
          <w:szCs w:val="24"/>
        </w:rPr>
        <w:t>763</w:t>
      </w:r>
      <w:r w:rsidR="000B7A70" w:rsidRPr="00687DE8">
        <w:rPr>
          <w:szCs w:val="24"/>
        </w:rPr>
        <w:t>3</w:t>
      </w:r>
      <w:r w:rsidR="00E43C54" w:rsidRPr="00687DE8">
        <w:rPr>
          <w:szCs w:val="24"/>
        </w:rPr>
        <w:t>, 7634, 7635, 7636</w:t>
      </w:r>
      <w:r w:rsidR="00512F9B">
        <w:rPr>
          <w:szCs w:val="24"/>
        </w:rPr>
        <w:t xml:space="preserve">, </w:t>
      </w:r>
      <w:r w:rsidR="00E43C54" w:rsidRPr="00687DE8">
        <w:rPr>
          <w:szCs w:val="24"/>
        </w:rPr>
        <w:t>7</w:t>
      </w:r>
      <w:r w:rsidR="00BF3B7B" w:rsidRPr="00687DE8">
        <w:rPr>
          <w:szCs w:val="24"/>
        </w:rPr>
        <w:t>6</w:t>
      </w:r>
      <w:r w:rsidR="00E43C54" w:rsidRPr="00687DE8">
        <w:rPr>
          <w:szCs w:val="24"/>
        </w:rPr>
        <w:t>37</w:t>
      </w:r>
      <w:r w:rsidR="00FA579F" w:rsidRPr="00687DE8">
        <w:rPr>
          <w:szCs w:val="24"/>
        </w:rPr>
        <w:t xml:space="preserve"> </w:t>
      </w:r>
      <w:r w:rsidR="00512F9B">
        <w:rPr>
          <w:szCs w:val="24"/>
        </w:rPr>
        <w:t>ja 7642</w:t>
      </w:r>
      <w:r w:rsidR="00FA579F" w:rsidRPr="00687DE8">
        <w:rPr>
          <w:szCs w:val="24"/>
        </w:rPr>
        <w:t xml:space="preserve"> </w:t>
      </w:r>
      <w:r w:rsidRPr="00687DE8">
        <w:rPr>
          <w:szCs w:val="24"/>
        </w:rPr>
        <w:t>tähistatud tervishoiuteenuste piirhinnad sisaldavad teenust osutava tervishoiutöötaja superviseerimist üks kord kvartalis.</w:t>
      </w:r>
    </w:p>
    <w:p w14:paraId="31DE25BC" w14:textId="77777777" w:rsidR="00976487" w:rsidRPr="00687DE8" w:rsidRDefault="00976487" w:rsidP="00976487">
      <w:pPr>
        <w:spacing w:after="0" w:line="240" w:lineRule="auto"/>
        <w:jc w:val="both"/>
        <w:divId w:val="1316184749"/>
        <w:rPr>
          <w:szCs w:val="24"/>
        </w:rPr>
      </w:pPr>
    </w:p>
    <w:p w14:paraId="325A5B44" w14:textId="44889514" w:rsidR="00976487" w:rsidRPr="00687DE8" w:rsidRDefault="00976487" w:rsidP="00976487">
      <w:pPr>
        <w:spacing w:after="0" w:line="240" w:lineRule="auto"/>
        <w:jc w:val="both"/>
        <w:divId w:val="1316184749"/>
        <w:rPr>
          <w:szCs w:val="24"/>
        </w:rPr>
      </w:pPr>
      <w:r w:rsidRPr="00687DE8">
        <w:rPr>
          <w:szCs w:val="24"/>
        </w:rPr>
        <w:t>(</w:t>
      </w:r>
      <w:r w:rsidRPr="00687DE8" w:rsidDel="00440186">
        <w:rPr>
          <w:szCs w:val="24"/>
        </w:rPr>
        <w:t>10</w:t>
      </w:r>
      <w:r w:rsidRPr="00687DE8">
        <w:rPr>
          <w:szCs w:val="24"/>
        </w:rPr>
        <w:t>) Koodi</w:t>
      </w:r>
      <w:r w:rsidR="00E60A5D" w:rsidRPr="00687DE8">
        <w:rPr>
          <w:szCs w:val="24"/>
        </w:rPr>
        <w:t>de</w:t>
      </w:r>
      <w:r w:rsidRPr="00687DE8">
        <w:rPr>
          <w:szCs w:val="24"/>
        </w:rPr>
        <w:t>ga 7607</w:t>
      </w:r>
      <w:r w:rsidR="0048628D" w:rsidRPr="00687DE8">
        <w:rPr>
          <w:szCs w:val="24"/>
        </w:rPr>
        <w:t>,</w:t>
      </w:r>
      <w:r w:rsidR="00F74011" w:rsidRPr="00687DE8">
        <w:rPr>
          <w:szCs w:val="24"/>
        </w:rPr>
        <w:t xml:space="preserve"> </w:t>
      </w:r>
      <w:r w:rsidR="00E60A5D" w:rsidRPr="00687DE8">
        <w:rPr>
          <w:szCs w:val="24"/>
        </w:rPr>
        <w:t>7633</w:t>
      </w:r>
      <w:r w:rsidRPr="00687DE8">
        <w:rPr>
          <w:szCs w:val="24"/>
        </w:rPr>
        <w:t xml:space="preserve"> </w:t>
      </w:r>
      <w:r w:rsidR="0048628D" w:rsidRPr="00687DE8">
        <w:rPr>
          <w:szCs w:val="24"/>
        </w:rPr>
        <w:t>ja 7637</w:t>
      </w:r>
      <w:r w:rsidRPr="00687DE8">
        <w:rPr>
          <w:szCs w:val="24"/>
        </w:rPr>
        <w:t xml:space="preserve"> tähistatud tervishoiuteenus</w:t>
      </w:r>
      <w:r w:rsidR="00E60A5D" w:rsidRPr="00687DE8">
        <w:rPr>
          <w:szCs w:val="24"/>
        </w:rPr>
        <w:t>t</w:t>
      </w:r>
      <w:r w:rsidRPr="00687DE8">
        <w:rPr>
          <w:szCs w:val="24"/>
        </w:rPr>
        <w:t>e piirhin</w:t>
      </w:r>
      <w:r w:rsidR="00E60A5D" w:rsidRPr="00687DE8">
        <w:rPr>
          <w:szCs w:val="24"/>
        </w:rPr>
        <w:t>na</w:t>
      </w:r>
      <w:r w:rsidRPr="00687DE8">
        <w:rPr>
          <w:szCs w:val="24"/>
        </w:rPr>
        <w:t>d sisalda</w:t>
      </w:r>
      <w:r w:rsidR="00E60A5D" w:rsidRPr="00687DE8">
        <w:rPr>
          <w:szCs w:val="24"/>
        </w:rPr>
        <w:t>vad</w:t>
      </w:r>
      <w:r w:rsidRPr="00687DE8">
        <w:rPr>
          <w:szCs w:val="24"/>
        </w:rPr>
        <w:t xml:space="preserve"> </w:t>
      </w:r>
      <w:r w:rsidR="00C05F49">
        <w:rPr>
          <w:szCs w:val="24"/>
        </w:rPr>
        <w:t xml:space="preserve">aktiivset </w:t>
      </w:r>
      <w:r w:rsidR="00154D8D">
        <w:rPr>
          <w:szCs w:val="24"/>
        </w:rPr>
        <w:t>ravi</w:t>
      </w:r>
      <w:r w:rsidR="00390323">
        <w:rPr>
          <w:szCs w:val="24"/>
        </w:rPr>
        <w:t>sekkumist</w:t>
      </w:r>
      <w:r w:rsidR="00593103">
        <w:rPr>
          <w:szCs w:val="24"/>
        </w:rPr>
        <w:t xml:space="preserve"> </w:t>
      </w:r>
      <w:r w:rsidR="005548A1">
        <w:rPr>
          <w:szCs w:val="24"/>
        </w:rPr>
        <w:t>ja</w:t>
      </w:r>
      <w:r w:rsidR="00593103">
        <w:rPr>
          <w:szCs w:val="24"/>
        </w:rPr>
        <w:t xml:space="preserve"> </w:t>
      </w:r>
      <w:r w:rsidRPr="00687DE8">
        <w:rPr>
          <w:szCs w:val="24"/>
        </w:rPr>
        <w:t>järgmisi tegevusi:</w:t>
      </w:r>
    </w:p>
    <w:p w14:paraId="4F6BFB7F" w14:textId="77777777" w:rsidR="00976487" w:rsidRPr="00687DE8" w:rsidRDefault="00976487" w:rsidP="00976487">
      <w:pPr>
        <w:spacing w:after="0" w:line="240" w:lineRule="auto"/>
        <w:jc w:val="both"/>
        <w:divId w:val="1316184749"/>
        <w:rPr>
          <w:szCs w:val="24"/>
        </w:rPr>
      </w:pPr>
      <w:r w:rsidRPr="00687DE8">
        <w:rPr>
          <w:szCs w:val="24"/>
        </w:rPr>
        <w:t>1) patsiendi küsitlemine probleemide kindlakstegemiseks, seisundi hindamine ja nõustamine;</w:t>
      </w:r>
    </w:p>
    <w:p w14:paraId="7C9C0F06" w14:textId="77777777" w:rsidR="00976487" w:rsidRPr="00687DE8" w:rsidRDefault="00976487" w:rsidP="00976487">
      <w:pPr>
        <w:spacing w:after="0" w:line="240" w:lineRule="auto"/>
        <w:jc w:val="both"/>
        <w:divId w:val="1316184749"/>
        <w:rPr>
          <w:szCs w:val="24"/>
        </w:rPr>
      </w:pPr>
      <w:r w:rsidRPr="00687DE8">
        <w:rPr>
          <w:szCs w:val="24"/>
        </w:rPr>
        <w:t>2) patsiendi probleemide psühholoogilise mudeli loomine ja selgitamine;</w:t>
      </w:r>
    </w:p>
    <w:p w14:paraId="09F95BDC" w14:textId="77777777" w:rsidR="00976487" w:rsidRPr="00687DE8" w:rsidRDefault="00976487" w:rsidP="00976487">
      <w:pPr>
        <w:spacing w:after="0" w:line="240" w:lineRule="auto"/>
        <w:jc w:val="both"/>
        <w:divId w:val="1316184749"/>
        <w:rPr>
          <w:szCs w:val="24"/>
        </w:rPr>
      </w:pPr>
      <w:r w:rsidRPr="00687DE8">
        <w:rPr>
          <w:szCs w:val="24"/>
        </w:rPr>
        <w:t>3) psühhoteraapia vajaduse ja sobivuse ning patsiendi motivatsiooni hindamine;</w:t>
      </w:r>
    </w:p>
    <w:p w14:paraId="3E45B202" w14:textId="77777777" w:rsidR="00976487" w:rsidRPr="00687DE8" w:rsidRDefault="00976487" w:rsidP="00976487">
      <w:pPr>
        <w:spacing w:after="0" w:line="240" w:lineRule="auto"/>
        <w:jc w:val="both"/>
        <w:divId w:val="1316184749"/>
        <w:rPr>
          <w:szCs w:val="24"/>
        </w:rPr>
      </w:pPr>
      <w:r w:rsidRPr="00687DE8">
        <w:rPr>
          <w:szCs w:val="24"/>
        </w:rPr>
        <w:t>4) raviks motiveerimine ja ravi efektiivsuse hindamine;</w:t>
      </w:r>
    </w:p>
    <w:p w14:paraId="12CABB37" w14:textId="77777777" w:rsidR="00976487" w:rsidRPr="00687DE8" w:rsidRDefault="00976487" w:rsidP="00976487">
      <w:pPr>
        <w:spacing w:after="0" w:line="240" w:lineRule="auto"/>
        <w:jc w:val="both"/>
        <w:divId w:val="1316184749"/>
        <w:rPr>
          <w:szCs w:val="24"/>
        </w:rPr>
      </w:pPr>
      <w:r w:rsidRPr="00687DE8">
        <w:rPr>
          <w:szCs w:val="24"/>
        </w:rPr>
        <w:t>5) toetava psühhoterapeutilise vestluse kaudu patsiendi emotsionaalsete pingete leevendamine ja enesetunde parandamine;</w:t>
      </w:r>
    </w:p>
    <w:p w14:paraId="067CE136" w14:textId="77777777" w:rsidR="00976487" w:rsidRPr="00687DE8" w:rsidRDefault="00976487" w:rsidP="00976487">
      <w:pPr>
        <w:spacing w:after="0" w:line="240" w:lineRule="auto"/>
        <w:jc w:val="both"/>
        <w:divId w:val="1316184749"/>
        <w:rPr>
          <w:szCs w:val="24"/>
        </w:rPr>
      </w:pPr>
      <w:r w:rsidRPr="00687DE8">
        <w:rPr>
          <w:szCs w:val="24"/>
        </w:rPr>
        <w:t>6) toimetulekumeetodite õpetamine, kohanemisvõime parandamine, iseseisva toimetuleku soodustamine ja lahenduste otsimine patsiendi probleemidele.</w:t>
      </w:r>
    </w:p>
    <w:p w14:paraId="7FD878E1" w14:textId="77777777" w:rsidR="00976487" w:rsidRPr="00687DE8" w:rsidRDefault="00976487" w:rsidP="00976487">
      <w:pPr>
        <w:spacing w:after="0" w:line="240" w:lineRule="auto"/>
        <w:jc w:val="both"/>
        <w:divId w:val="1316184749"/>
        <w:rPr>
          <w:szCs w:val="24"/>
        </w:rPr>
      </w:pPr>
    </w:p>
    <w:p w14:paraId="2EA24CA5" w14:textId="46CC0951" w:rsidR="00976487" w:rsidRPr="00687DE8" w:rsidRDefault="00976487" w:rsidP="00976487">
      <w:pPr>
        <w:spacing w:after="0" w:line="240" w:lineRule="auto"/>
        <w:jc w:val="both"/>
        <w:divId w:val="1316184749"/>
        <w:rPr>
          <w:szCs w:val="24"/>
        </w:rPr>
      </w:pPr>
      <w:r w:rsidRPr="00687DE8">
        <w:rPr>
          <w:szCs w:val="24"/>
        </w:rPr>
        <w:t>(11) Koodidega 7601</w:t>
      </w:r>
      <w:r w:rsidR="00FA579F" w:rsidRPr="00687DE8">
        <w:rPr>
          <w:szCs w:val="24"/>
        </w:rPr>
        <w:t>,</w:t>
      </w:r>
      <w:r w:rsidRPr="00687DE8">
        <w:rPr>
          <w:szCs w:val="24"/>
        </w:rPr>
        <w:t xml:space="preserve"> 7602</w:t>
      </w:r>
      <w:r w:rsidR="00EF27D3" w:rsidRPr="00687DE8">
        <w:rPr>
          <w:szCs w:val="24"/>
        </w:rPr>
        <w:t xml:space="preserve">, </w:t>
      </w:r>
      <w:r w:rsidR="00597003" w:rsidRPr="00687DE8">
        <w:rPr>
          <w:szCs w:val="24"/>
        </w:rPr>
        <w:t>76</w:t>
      </w:r>
      <w:r w:rsidR="002739BE" w:rsidRPr="00687DE8">
        <w:rPr>
          <w:szCs w:val="24"/>
        </w:rPr>
        <w:t>30</w:t>
      </w:r>
      <w:r w:rsidR="0048628D" w:rsidRPr="00687DE8">
        <w:rPr>
          <w:szCs w:val="24"/>
        </w:rPr>
        <w:t>,</w:t>
      </w:r>
      <w:r w:rsidR="00597003" w:rsidRPr="00687DE8">
        <w:rPr>
          <w:szCs w:val="24"/>
        </w:rPr>
        <w:t xml:space="preserve"> 763</w:t>
      </w:r>
      <w:r w:rsidR="002739BE" w:rsidRPr="00687DE8">
        <w:rPr>
          <w:szCs w:val="24"/>
        </w:rPr>
        <w:t>1</w:t>
      </w:r>
      <w:r w:rsidR="00E97012" w:rsidRPr="00687DE8">
        <w:rPr>
          <w:szCs w:val="24"/>
        </w:rPr>
        <w:t>, 7634</w:t>
      </w:r>
      <w:r w:rsidR="00512F9B">
        <w:rPr>
          <w:szCs w:val="24"/>
        </w:rPr>
        <w:t xml:space="preserve">, </w:t>
      </w:r>
      <w:r w:rsidR="0048628D" w:rsidRPr="00687DE8">
        <w:rPr>
          <w:szCs w:val="24"/>
        </w:rPr>
        <w:t>7635</w:t>
      </w:r>
      <w:r w:rsidR="00512F9B">
        <w:rPr>
          <w:szCs w:val="24"/>
        </w:rPr>
        <w:t xml:space="preserve"> ja 7642</w:t>
      </w:r>
      <w:r w:rsidRPr="00687DE8">
        <w:rPr>
          <w:szCs w:val="24"/>
        </w:rPr>
        <w:t xml:space="preserve"> tähistatud tervishoiuteenuste piirhinnad sisaldavad </w:t>
      </w:r>
      <w:r w:rsidR="007562B7">
        <w:rPr>
          <w:szCs w:val="24"/>
        </w:rPr>
        <w:t xml:space="preserve">aktiivset ravisekkumist </w:t>
      </w:r>
      <w:r w:rsidR="005548A1">
        <w:rPr>
          <w:szCs w:val="24"/>
        </w:rPr>
        <w:t>ja</w:t>
      </w:r>
      <w:r w:rsidR="007562B7">
        <w:rPr>
          <w:szCs w:val="24"/>
        </w:rPr>
        <w:t xml:space="preserve"> </w:t>
      </w:r>
      <w:r w:rsidRPr="00687DE8">
        <w:rPr>
          <w:szCs w:val="24"/>
        </w:rPr>
        <w:t>järgmisi tegevusi:</w:t>
      </w:r>
    </w:p>
    <w:p w14:paraId="236327FD" w14:textId="77777777" w:rsidR="00976487" w:rsidRPr="00687DE8" w:rsidRDefault="00976487" w:rsidP="00976487">
      <w:pPr>
        <w:spacing w:after="0" w:line="240" w:lineRule="auto"/>
        <w:jc w:val="both"/>
        <w:divId w:val="1316184749"/>
        <w:rPr>
          <w:szCs w:val="24"/>
        </w:rPr>
      </w:pPr>
      <w:r w:rsidRPr="00687DE8">
        <w:rPr>
          <w:szCs w:val="24"/>
        </w:rPr>
        <w:t>1) kontakti loomine, patsiendi seisundi ja probleemide hindamine, kontseptualiseerimine;</w:t>
      </w:r>
    </w:p>
    <w:p w14:paraId="2E01EAC8" w14:textId="77777777" w:rsidR="00976487" w:rsidRPr="00687DE8" w:rsidRDefault="00976487" w:rsidP="00976487">
      <w:pPr>
        <w:spacing w:after="0" w:line="240" w:lineRule="auto"/>
        <w:jc w:val="both"/>
        <w:divId w:val="1316184749"/>
        <w:rPr>
          <w:szCs w:val="24"/>
        </w:rPr>
      </w:pPr>
      <w:r w:rsidRPr="00687DE8">
        <w:rPr>
          <w:szCs w:val="24"/>
        </w:rPr>
        <w:t>2) seansi sihtprobleemi, eesmärkide ja meetodite valik lähtuvalt teraapiakoolkonna teooriatest;</w:t>
      </w:r>
    </w:p>
    <w:p w14:paraId="1A98B447" w14:textId="77777777" w:rsidR="00976487" w:rsidRPr="00687DE8" w:rsidRDefault="00976487" w:rsidP="00976487">
      <w:pPr>
        <w:spacing w:after="0" w:line="240" w:lineRule="auto"/>
        <w:jc w:val="both"/>
        <w:divId w:val="1316184749"/>
        <w:rPr>
          <w:szCs w:val="24"/>
        </w:rPr>
      </w:pPr>
      <w:r w:rsidRPr="00687DE8">
        <w:rPr>
          <w:szCs w:val="24"/>
        </w:rPr>
        <w:t>3) meetodite rakendamine;</w:t>
      </w:r>
    </w:p>
    <w:p w14:paraId="6F48D56B" w14:textId="77777777" w:rsidR="00976487" w:rsidRPr="00687DE8" w:rsidRDefault="00976487" w:rsidP="00976487">
      <w:pPr>
        <w:spacing w:after="0" w:line="240" w:lineRule="auto"/>
        <w:jc w:val="both"/>
        <w:divId w:val="1316184749"/>
        <w:rPr>
          <w:szCs w:val="24"/>
        </w:rPr>
      </w:pPr>
      <w:r w:rsidRPr="00687DE8">
        <w:rPr>
          <w:szCs w:val="24"/>
        </w:rPr>
        <w:t>4) seansi kokkuvõtte tegemine, kodutöö kokkuleppimine ja tagasiside küsimine/andmine;</w:t>
      </w:r>
    </w:p>
    <w:p w14:paraId="58304A9A" w14:textId="77777777" w:rsidR="00976487" w:rsidRPr="00687DE8" w:rsidRDefault="00976487" w:rsidP="00976487">
      <w:pPr>
        <w:spacing w:after="0" w:line="240" w:lineRule="auto"/>
        <w:jc w:val="both"/>
        <w:divId w:val="1316184749"/>
        <w:rPr>
          <w:szCs w:val="24"/>
        </w:rPr>
      </w:pPr>
      <w:r w:rsidRPr="00687DE8">
        <w:rPr>
          <w:szCs w:val="24"/>
        </w:rPr>
        <w:t>5) seansi dokumenteerimine, kontseptualiseerimine ja järgmise teraapiaseansi ettevalmistamine.</w:t>
      </w:r>
    </w:p>
    <w:p w14:paraId="4FAAE2F7" w14:textId="77777777" w:rsidR="00976487" w:rsidRPr="00687DE8" w:rsidRDefault="00976487" w:rsidP="00976487">
      <w:pPr>
        <w:spacing w:after="0" w:line="240" w:lineRule="auto"/>
        <w:jc w:val="both"/>
        <w:divId w:val="1316184749"/>
        <w:rPr>
          <w:szCs w:val="24"/>
        </w:rPr>
      </w:pPr>
    </w:p>
    <w:p w14:paraId="69D20295" w14:textId="1C8E353B" w:rsidR="00976487" w:rsidRPr="00687DE8" w:rsidRDefault="00976487" w:rsidP="00976487">
      <w:pPr>
        <w:spacing w:after="0" w:line="240" w:lineRule="auto"/>
        <w:jc w:val="both"/>
        <w:divId w:val="1316184749"/>
        <w:rPr>
          <w:szCs w:val="24"/>
        </w:rPr>
      </w:pPr>
      <w:r w:rsidRPr="00687DE8">
        <w:rPr>
          <w:szCs w:val="24"/>
        </w:rPr>
        <w:t>(12) Koodi</w:t>
      </w:r>
      <w:r w:rsidR="008A3144" w:rsidRPr="00687DE8">
        <w:rPr>
          <w:szCs w:val="24"/>
        </w:rPr>
        <w:t>de</w:t>
      </w:r>
      <w:r w:rsidRPr="00687DE8">
        <w:rPr>
          <w:szCs w:val="24"/>
        </w:rPr>
        <w:t>ga 7603</w:t>
      </w:r>
      <w:r w:rsidR="00AE4938" w:rsidRPr="00687DE8">
        <w:rPr>
          <w:szCs w:val="24"/>
        </w:rPr>
        <w:t>,</w:t>
      </w:r>
      <w:r w:rsidR="00F74011" w:rsidRPr="00687DE8">
        <w:rPr>
          <w:szCs w:val="24"/>
        </w:rPr>
        <w:t xml:space="preserve"> </w:t>
      </w:r>
      <w:r w:rsidR="00795CD7" w:rsidRPr="00687DE8">
        <w:rPr>
          <w:szCs w:val="24"/>
        </w:rPr>
        <w:t>763</w:t>
      </w:r>
      <w:r w:rsidR="002739BE" w:rsidRPr="00687DE8">
        <w:rPr>
          <w:szCs w:val="24"/>
        </w:rPr>
        <w:t>2</w:t>
      </w:r>
      <w:r w:rsidRPr="00687DE8">
        <w:rPr>
          <w:szCs w:val="24"/>
        </w:rPr>
        <w:t xml:space="preserve"> </w:t>
      </w:r>
      <w:r w:rsidR="00AE4938" w:rsidRPr="00687DE8">
        <w:rPr>
          <w:szCs w:val="24"/>
        </w:rPr>
        <w:t xml:space="preserve">ja 7636 </w:t>
      </w:r>
      <w:r w:rsidRPr="00687DE8">
        <w:rPr>
          <w:szCs w:val="24"/>
        </w:rPr>
        <w:t>tähistatud tervishoiuteenus</w:t>
      </w:r>
      <w:r w:rsidR="008A3144" w:rsidRPr="00687DE8">
        <w:rPr>
          <w:szCs w:val="24"/>
        </w:rPr>
        <w:t>t</w:t>
      </w:r>
      <w:r w:rsidRPr="00687DE8">
        <w:rPr>
          <w:szCs w:val="24"/>
        </w:rPr>
        <w:t>e piirhin</w:t>
      </w:r>
      <w:r w:rsidR="006E0A0E" w:rsidRPr="00687DE8">
        <w:rPr>
          <w:szCs w:val="24"/>
        </w:rPr>
        <w:t>na</w:t>
      </w:r>
      <w:r w:rsidRPr="00687DE8">
        <w:rPr>
          <w:szCs w:val="24"/>
        </w:rPr>
        <w:t>d sisalda</w:t>
      </w:r>
      <w:r w:rsidR="006E0A0E" w:rsidRPr="00687DE8">
        <w:rPr>
          <w:szCs w:val="24"/>
        </w:rPr>
        <w:t>vad</w:t>
      </w:r>
      <w:r w:rsidRPr="00687DE8">
        <w:rPr>
          <w:szCs w:val="24"/>
        </w:rPr>
        <w:t xml:space="preserve"> </w:t>
      </w:r>
      <w:r w:rsidR="007562B7">
        <w:rPr>
          <w:szCs w:val="24"/>
        </w:rPr>
        <w:t xml:space="preserve">aktiivset ravisekkumist </w:t>
      </w:r>
      <w:r w:rsidR="005548A1">
        <w:rPr>
          <w:szCs w:val="24"/>
        </w:rPr>
        <w:t>ja</w:t>
      </w:r>
      <w:r w:rsidR="007562B7">
        <w:rPr>
          <w:szCs w:val="24"/>
        </w:rPr>
        <w:t xml:space="preserve"> </w:t>
      </w:r>
      <w:r w:rsidRPr="00687DE8">
        <w:rPr>
          <w:szCs w:val="24"/>
        </w:rPr>
        <w:t>järgmisi tegevusi:</w:t>
      </w:r>
    </w:p>
    <w:p w14:paraId="38B9FAB3" w14:textId="77777777" w:rsidR="00976487" w:rsidRPr="00687DE8" w:rsidRDefault="00976487" w:rsidP="00976487">
      <w:pPr>
        <w:spacing w:after="0" w:line="240" w:lineRule="auto"/>
        <w:jc w:val="both"/>
        <w:divId w:val="1316184749"/>
        <w:rPr>
          <w:szCs w:val="24"/>
        </w:rPr>
      </w:pPr>
      <w:r w:rsidRPr="00687DE8">
        <w:rPr>
          <w:szCs w:val="24"/>
        </w:rPr>
        <w:t>1) kontakti loomine, patsiendi seisundi ja probleemide hindamine, kontseptualiseerimine;</w:t>
      </w:r>
    </w:p>
    <w:p w14:paraId="51D3866F" w14:textId="77777777" w:rsidR="00976487" w:rsidRPr="00687DE8" w:rsidRDefault="00976487" w:rsidP="00976487">
      <w:pPr>
        <w:spacing w:after="0" w:line="240" w:lineRule="auto"/>
        <w:jc w:val="both"/>
        <w:divId w:val="1316184749"/>
        <w:rPr>
          <w:szCs w:val="24"/>
        </w:rPr>
      </w:pPr>
      <w:r w:rsidRPr="00687DE8">
        <w:rPr>
          <w:szCs w:val="24"/>
        </w:rPr>
        <w:t>2) pereliikmete ja teiste patsiendile lähedaste isikute käitumise mõju hindamine patsiendi probleemi tekke ja säilimise seisukohast;</w:t>
      </w:r>
    </w:p>
    <w:p w14:paraId="3AD92F42" w14:textId="77777777" w:rsidR="00976487" w:rsidRPr="00687DE8" w:rsidRDefault="00976487" w:rsidP="00976487">
      <w:pPr>
        <w:spacing w:after="0" w:line="240" w:lineRule="auto"/>
        <w:jc w:val="both"/>
        <w:divId w:val="1316184749"/>
        <w:rPr>
          <w:szCs w:val="24"/>
        </w:rPr>
      </w:pPr>
      <w:r w:rsidRPr="00687DE8">
        <w:rPr>
          <w:szCs w:val="24"/>
        </w:rPr>
        <w:t>3) seansi sihtprobleemi, eesmärkide ja meetodite valik lähtuvalt teraapiakoolkonna teooriatest;</w:t>
      </w:r>
    </w:p>
    <w:p w14:paraId="38F6D623" w14:textId="77777777" w:rsidR="00976487" w:rsidRPr="00687DE8" w:rsidRDefault="00976487" w:rsidP="00976487">
      <w:pPr>
        <w:spacing w:after="0" w:line="240" w:lineRule="auto"/>
        <w:jc w:val="both"/>
        <w:divId w:val="1316184749"/>
        <w:rPr>
          <w:szCs w:val="24"/>
        </w:rPr>
      </w:pPr>
      <w:r w:rsidRPr="00687DE8">
        <w:rPr>
          <w:szCs w:val="24"/>
        </w:rPr>
        <w:t>4) meetodite rakendamine;</w:t>
      </w:r>
    </w:p>
    <w:p w14:paraId="7081CA6A" w14:textId="77777777" w:rsidR="00976487" w:rsidRPr="00687DE8" w:rsidRDefault="00976487" w:rsidP="00976487">
      <w:pPr>
        <w:spacing w:after="0" w:line="240" w:lineRule="auto"/>
        <w:jc w:val="both"/>
        <w:divId w:val="1316184749"/>
        <w:rPr>
          <w:szCs w:val="24"/>
        </w:rPr>
      </w:pPr>
      <w:r w:rsidRPr="00687DE8">
        <w:rPr>
          <w:szCs w:val="24"/>
        </w:rPr>
        <w:t>5) seansi kokkuvõtte tegemine, kodutöö kokkuleppimine ja tagasiside küsimine/andmine;</w:t>
      </w:r>
    </w:p>
    <w:p w14:paraId="3E3F2C36" w14:textId="77777777" w:rsidR="00976487" w:rsidRPr="00687DE8" w:rsidRDefault="00976487" w:rsidP="00976487">
      <w:pPr>
        <w:spacing w:after="0" w:line="240" w:lineRule="auto"/>
        <w:jc w:val="both"/>
        <w:divId w:val="1316184749"/>
        <w:rPr>
          <w:szCs w:val="24"/>
        </w:rPr>
      </w:pPr>
      <w:r w:rsidRPr="00687DE8">
        <w:rPr>
          <w:szCs w:val="24"/>
        </w:rPr>
        <w:t>6) seansi dokumenteerimine, kontseptualiseerimine ja järgmise teraapiaseansi ettevalmistamine.</w:t>
      </w:r>
    </w:p>
    <w:p w14:paraId="188FD615" w14:textId="77777777" w:rsidR="00976487" w:rsidRPr="00687DE8" w:rsidRDefault="00976487" w:rsidP="00976487">
      <w:pPr>
        <w:spacing w:after="0" w:line="240" w:lineRule="auto"/>
        <w:jc w:val="both"/>
        <w:divId w:val="1316184749"/>
        <w:rPr>
          <w:szCs w:val="24"/>
        </w:rPr>
      </w:pPr>
    </w:p>
    <w:p w14:paraId="61149B86" w14:textId="169CD2E1" w:rsidR="00976487" w:rsidRPr="00687DE8" w:rsidRDefault="00976487" w:rsidP="00976487">
      <w:pPr>
        <w:spacing w:after="0" w:line="240" w:lineRule="auto"/>
        <w:jc w:val="both"/>
        <w:divId w:val="1316184749"/>
        <w:rPr>
          <w:szCs w:val="24"/>
        </w:rPr>
      </w:pPr>
      <w:r w:rsidRPr="00687DE8">
        <w:rPr>
          <w:szCs w:val="24"/>
        </w:rPr>
        <w:t>(13) Koodiga 7627 tähistatud tervishoiuteenuse ravimeeskonna koosseisu kuuluvad vaimse tervise õde ja üks spetsialist tulenevalt patsiendi terviseseisundist.</w:t>
      </w:r>
    </w:p>
    <w:p w14:paraId="6E9F50D9" w14:textId="77777777" w:rsidR="00976487" w:rsidRPr="00687DE8" w:rsidRDefault="00976487" w:rsidP="00976487">
      <w:pPr>
        <w:spacing w:after="0" w:line="240" w:lineRule="auto"/>
        <w:jc w:val="both"/>
        <w:divId w:val="1316184749"/>
        <w:rPr>
          <w:szCs w:val="24"/>
        </w:rPr>
      </w:pPr>
    </w:p>
    <w:p w14:paraId="70ED879F" w14:textId="1952CF4B" w:rsidR="00976487" w:rsidRPr="00687DE8" w:rsidRDefault="00976487" w:rsidP="00976487">
      <w:pPr>
        <w:spacing w:after="0" w:line="240" w:lineRule="auto"/>
        <w:jc w:val="both"/>
        <w:divId w:val="1316184749"/>
        <w:rPr>
          <w:szCs w:val="24"/>
        </w:rPr>
      </w:pPr>
      <w:r w:rsidRPr="00687DE8">
        <w:rPr>
          <w:szCs w:val="24"/>
        </w:rPr>
        <w:t>(14) Koodiga 7627 tähistatud tervishoiuteenuse piirhind sisaldab teenust osutava tervishoiutöötaja superviseerimist üks kord kuus.</w:t>
      </w:r>
    </w:p>
    <w:p w14:paraId="6378C317" w14:textId="77777777" w:rsidR="3D32B143" w:rsidRPr="00687DE8" w:rsidRDefault="3D32B143" w:rsidP="00B40B22">
      <w:pPr>
        <w:spacing w:after="0" w:line="240" w:lineRule="auto"/>
        <w:jc w:val="both"/>
        <w:rPr>
          <w:szCs w:val="24"/>
        </w:rPr>
      </w:pPr>
    </w:p>
    <w:p w14:paraId="2AE12B97" w14:textId="18E723A6" w:rsidR="00AD2226" w:rsidRPr="00687DE8" w:rsidRDefault="1B508C33" w:rsidP="00334F99">
      <w:pPr>
        <w:spacing w:after="0" w:line="240" w:lineRule="auto"/>
        <w:jc w:val="both"/>
        <w:rPr>
          <w:szCs w:val="24"/>
        </w:rPr>
      </w:pPr>
      <w:r w:rsidRPr="00687DE8">
        <w:rPr>
          <w:szCs w:val="24"/>
        </w:rPr>
        <w:t>(15) Koodidega 7617, 7626 ja 7627 tähistatud tervishoiuteenuseid on võimalik rakendada kaugteenustena.</w:t>
      </w:r>
    </w:p>
    <w:p w14:paraId="1B51F85B" w14:textId="77777777" w:rsidR="001D4016" w:rsidRPr="00687DE8" w:rsidRDefault="001D4016" w:rsidP="00334F99">
      <w:pPr>
        <w:spacing w:after="0" w:line="240" w:lineRule="auto"/>
        <w:jc w:val="both"/>
        <w:rPr>
          <w:szCs w:val="24"/>
        </w:rPr>
      </w:pPr>
    </w:p>
    <w:p w14:paraId="32B16CE3" w14:textId="764F6201" w:rsidR="00CA02A1" w:rsidRPr="00687DE8" w:rsidRDefault="00CA02A1" w:rsidP="00B40B22">
      <w:pPr>
        <w:pStyle w:val="Vahedeta"/>
        <w:jc w:val="both"/>
        <w:divId w:val="1316184749"/>
        <w:rPr>
          <w:szCs w:val="24"/>
          <w:lang w:val="et-EE"/>
        </w:rPr>
      </w:pPr>
      <w:r w:rsidRPr="00687DE8">
        <w:rPr>
          <w:szCs w:val="24"/>
          <w:lang w:val="et-EE"/>
        </w:rPr>
        <w:t>(16) Koodidega 7630, 7631 ja 7632 tähistatud tervishoiuteenus</w:t>
      </w:r>
      <w:r w:rsidR="00953479" w:rsidRPr="00687DE8">
        <w:rPr>
          <w:szCs w:val="24"/>
          <w:lang w:val="et-EE"/>
        </w:rPr>
        <w:t>eid</w:t>
      </w:r>
      <w:r w:rsidRPr="00687DE8">
        <w:rPr>
          <w:szCs w:val="24"/>
          <w:lang w:val="et-EE"/>
        </w:rPr>
        <w:t xml:space="preserve"> </w:t>
      </w:r>
      <w:r w:rsidR="00840863" w:rsidRPr="00687DE8">
        <w:rPr>
          <w:szCs w:val="24"/>
          <w:lang w:val="et-EE"/>
        </w:rPr>
        <w:t>rakendatakse</w:t>
      </w:r>
      <w:r w:rsidR="000651A8" w:rsidRPr="00687DE8">
        <w:rPr>
          <w:szCs w:val="24"/>
          <w:lang w:val="et-EE"/>
        </w:rPr>
        <w:t>,</w:t>
      </w:r>
      <w:r w:rsidR="00840863" w:rsidRPr="00687DE8">
        <w:rPr>
          <w:szCs w:val="24"/>
          <w:lang w:val="et-EE"/>
        </w:rPr>
        <w:t xml:space="preserve"> k</w:t>
      </w:r>
      <w:r w:rsidRPr="00687DE8">
        <w:rPr>
          <w:szCs w:val="24"/>
          <w:lang w:val="et-EE"/>
        </w:rPr>
        <w:t>ui patsiendist sõltuvalt ei ole võimalik teha kontaktteraapiat ega kasutada turvalist videolahendust.</w:t>
      </w:r>
    </w:p>
    <w:p w14:paraId="5BAB1249" w14:textId="77777777" w:rsidR="00CA02A1" w:rsidRPr="00687DE8" w:rsidRDefault="00CA02A1" w:rsidP="00615E88">
      <w:pPr>
        <w:pStyle w:val="Vahedeta"/>
        <w:jc w:val="both"/>
        <w:divId w:val="1316184749"/>
        <w:rPr>
          <w:szCs w:val="24"/>
          <w:lang w:val="et-EE"/>
        </w:rPr>
      </w:pPr>
    </w:p>
    <w:p w14:paraId="4CE961D8" w14:textId="5E6FC43C" w:rsidR="00AC7A42" w:rsidRPr="00687DE8" w:rsidRDefault="00AC7A42" w:rsidP="00615E88">
      <w:pPr>
        <w:pStyle w:val="Vahedeta"/>
        <w:jc w:val="both"/>
        <w:divId w:val="1316184749"/>
        <w:rPr>
          <w:szCs w:val="24"/>
          <w:lang w:val="et-EE"/>
        </w:rPr>
      </w:pPr>
      <w:r w:rsidRPr="00687DE8">
        <w:rPr>
          <w:szCs w:val="24"/>
          <w:lang w:val="sv-SE"/>
        </w:rPr>
        <w:lastRenderedPageBreak/>
        <w:t>(17) Koodi</w:t>
      </w:r>
      <w:r w:rsidR="00296B4F" w:rsidRPr="00687DE8">
        <w:rPr>
          <w:szCs w:val="24"/>
          <w:lang w:val="sv-SE"/>
        </w:rPr>
        <w:t>de</w:t>
      </w:r>
      <w:r w:rsidRPr="00687DE8">
        <w:rPr>
          <w:szCs w:val="24"/>
          <w:lang w:val="sv-SE"/>
        </w:rPr>
        <w:t xml:space="preserve">ga </w:t>
      </w:r>
      <w:r w:rsidR="0093204B" w:rsidRPr="00687DE8">
        <w:rPr>
          <w:szCs w:val="24"/>
          <w:lang w:val="sv-SE"/>
        </w:rPr>
        <w:t>7630,</w:t>
      </w:r>
      <w:r w:rsidR="00A27916" w:rsidRPr="00687DE8">
        <w:rPr>
          <w:szCs w:val="24"/>
          <w:lang w:val="sv-SE"/>
        </w:rPr>
        <w:t xml:space="preserve"> </w:t>
      </w:r>
      <w:r w:rsidR="0093204B" w:rsidRPr="00687DE8">
        <w:rPr>
          <w:szCs w:val="24"/>
          <w:lang w:val="sv-SE"/>
        </w:rPr>
        <w:t>7631,</w:t>
      </w:r>
      <w:r w:rsidR="00A27916" w:rsidRPr="00687DE8">
        <w:rPr>
          <w:szCs w:val="24"/>
          <w:lang w:val="sv-SE"/>
        </w:rPr>
        <w:t xml:space="preserve"> </w:t>
      </w:r>
      <w:r w:rsidR="0093204B" w:rsidRPr="00687DE8">
        <w:rPr>
          <w:szCs w:val="24"/>
          <w:lang w:val="sv-SE"/>
        </w:rPr>
        <w:t>7632</w:t>
      </w:r>
      <w:r w:rsidR="00A27916" w:rsidRPr="00687DE8">
        <w:rPr>
          <w:szCs w:val="24"/>
          <w:lang w:val="sv-SE"/>
        </w:rPr>
        <w:t>,</w:t>
      </w:r>
      <w:r w:rsidRPr="00687DE8">
        <w:rPr>
          <w:szCs w:val="24"/>
          <w:lang w:val="sv-SE"/>
        </w:rPr>
        <w:t xml:space="preserve"> 7633</w:t>
      </w:r>
      <w:r w:rsidR="00A27916" w:rsidRPr="00687DE8">
        <w:rPr>
          <w:szCs w:val="24"/>
          <w:lang w:val="sv-SE"/>
        </w:rPr>
        <w:t>, 7634, 7635, 7636</w:t>
      </w:r>
      <w:r w:rsidR="00A9372A" w:rsidRPr="00687DE8">
        <w:rPr>
          <w:szCs w:val="24"/>
          <w:lang w:val="sv-SE"/>
        </w:rPr>
        <w:t>,</w:t>
      </w:r>
      <w:r w:rsidR="00A27916" w:rsidRPr="00687DE8">
        <w:rPr>
          <w:szCs w:val="24"/>
          <w:lang w:val="sv-SE"/>
        </w:rPr>
        <w:t xml:space="preserve"> 7637</w:t>
      </w:r>
      <w:r w:rsidR="00A9372A" w:rsidRPr="00687DE8">
        <w:rPr>
          <w:szCs w:val="24"/>
          <w:lang w:val="sv-SE"/>
        </w:rPr>
        <w:t>, 7639 ja</w:t>
      </w:r>
      <w:r w:rsidR="00FF27BC" w:rsidRPr="00687DE8">
        <w:rPr>
          <w:szCs w:val="24"/>
          <w:lang w:val="sv-SE"/>
        </w:rPr>
        <w:t xml:space="preserve"> 7640</w:t>
      </w:r>
      <w:r w:rsidRPr="00687DE8">
        <w:rPr>
          <w:szCs w:val="24"/>
          <w:lang w:val="sv-SE"/>
        </w:rPr>
        <w:t xml:space="preserve"> tähistatud tervishoiuteenus</w:t>
      </w:r>
      <w:r w:rsidR="00296B4F" w:rsidRPr="00687DE8">
        <w:rPr>
          <w:szCs w:val="24"/>
          <w:lang w:val="sv-SE"/>
        </w:rPr>
        <w:t>eid</w:t>
      </w:r>
      <w:r w:rsidRPr="00687DE8">
        <w:rPr>
          <w:szCs w:val="24"/>
          <w:lang w:val="sv-SE"/>
        </w:rPr>
        <w:t xml:space="preserve"> osuta</w:t>
      </w:r>
      <w:r w:rsidR="00953479" w:rsidRPr="00687DE8">
        <w:rPr>
          <w:szCs w:val="24"/>
          <w:lang w:val="sv-SE"/>
        </w:rPr>
        <w:t>takse</w:t>
      </w:r>
      <w:r w:rsidR="00AF3573" w:rsidRPr="00687DE8">
        <w:rPr>
          <w:szCs w:val="24"/>
          <w:lang w:val="sv-SE"/>
        </w:rPr>
        <w:t xml:space="preserve"> vahetu kontaktita, kasutades turvalist info- ja kommunikatsioonitehnoloogilist</w:t>
      </w:r>
      <w:r w:rsidR="00AF3573" w:rsidRPr="00687DE8">
        <w:rPr>
          <w:szCs w:val="24"/>
          <w:lang w:val="et-EE"/>
        </w:rPr>
        <w:t xml:space="preserve"> lahendust.</w:t>
      </w:r>
    </w:p>
    <w:p w14:paraId="305B87D1" w14:textId="77777777" w:rsidR="00AC7A42" w:rsidRPr="00687DE8" w:rsidRDefault="00AC7A42" w:rsidP="00C93F14">
      <w:pPr>
        <w:spacing w:after="0" w:line="240" w:lineRule="auto"/>
        <w:jc w:val="both"/>
        <w:divId w:val="1316184749"/>
        <w:rPr>
          <w:szCs w:val="24"/>
        </w:rPr>
      </w:pPr>
    </w:p>
    <w:p w14:paraId="4276296E" w14:textId="00C82604" w:rsidR="00F85ED3" w:rsidRPr="00687DE8" w:rsidRDefault="00F85ED3" w:rsidP="00F85ED3">
      <w:pPr>
        <w:spacing w:after="0" w:line="240" w:lineRule="auto"/>
        <w:jc w:val="both"/>
        <w:divId w:val="1316184749"/>
        <w:rPr>
          <w:szCs w:val="24"/>
        </w:rPr>
      </w:pPr>
      <w:r w:rsidRPr="00687DE8">
        <w:rPr>
          <w:szCs w:val="24"/>
        </w:rPr>
        <w:t xml:space="preserve">(18) Koodidega </w:t>
      </w:r>
      <w:r w:rsidR="005B552D" w:rsidRPr="00687DE8">
        <w:rPr>
          <w:szCs w:val="24"/>
        </w:rPr>
        <w:t>7630, 7631, 7632</w:t>
      </w:r>
      <w:r w:rsidR="00C422C4" w:rsidRPr="00687DE8">
        <w:rPr>
          <w:szCs w:val="24"/>
        </w:rPr>
        <w:t>,</w:t>
      </w:r>
      <w:r w:rsidR="005B552D" w:rsidRPr="00687DE8">
        <w:rPr>
          <w:szCs w:val="24"/>
        </w:rPr>
        <w:t>7633</w:t>
      </w:r>
      <w:r w:rsidR="00C422C4" w:rsidRPr="00687DE8">
        <w:rPr>
          <w:szCs w:val="24"/>
        </w:rPr>
        <w:t>, 7634, 7635, 7636</w:t>
      </w:r>
      <w:r w:rsidR="00FF27BC" w:rsidRPr="00687DE8">
        <w:rPr>
          <w:szCs w:val="24"/>
        </w:rPr>
        <w:t>,</w:t>
      </w:r>
      <w:r w:rsidR="00C422C4" w:rsidRPr="00687DE8">
        <w:rPr>
          <w:szCs w:val="24"/>
        </w:rPr>
        <w:t xml:space="preserve"> 7637</w:t>
      </w:r>
      <w:r w:rsidR="00FF27BC" w:rsidRPr="00687DE8">
        <w:rPr>
          <w:szCs w:val="24"/>
        </w:rPr>
        <w:t xml:space="preserve">, </w:t>
      </w:r>
      <w:r w:rsidR="006A0E34" w:rsidRPr="00687DE8">
        <w:rPr>
          <w:szCs w:val="24"/>
        </w:rPr>
        <w:t>7639 ja 7640</w:t>
      </w:r>
      <w:r w:rsidRPr="00687DE8">
        <w:rPr>
          <w:szCs w:val="24"/>
        </w:rPr>
        <w:t xml:space="preserve"> tähistatud tervishoiuteenuseid rakendatakse järgmistel tingimustel:</w:t>
      </w:r>
    </w:p>
    <w:p w14:paraId="4A2025E5" w14:textId="77777777" w:rsidR="00F85ED3" w:rsidRPr="00687DE8" w:rsidRDefault="00F85ED3" w:rsidP="00F85ED3">
      <w:pPr>
        <w:spacing w:after="0" w:line="240" w:lineRule="auto"/>
        <w:jc w:val="both"/>
        <w:divId w:val="1316184749"/>
        <w:rPr>
          <w:szCs w:val="24"/>
        </w:rPr>
      </w:pPr>
      <w:r w:rsidRPr="00687DE8">
        <w:rPr>
          <w:szCs w:val="24"/>
        </w:rPr>
        <w:t xml:space="preserve">1) </w:t>
      </w:r>
      <w:r w:rsidR="0080050A" w:rsidRPr="00687DE8">
        <w:rPr>
          <w:szCs w:val="24"/>
        </w:rPr>
        <w:t>võrreldes</w:t>
      </w:r>
      <w:r w:rsidRPr="00687DE8">
        <w:rPr>
          <w:szCs w:val="24"/>
        </w:rPr>
        <w:t xml:space="preserve"> </w:t>
      </w:r>
      <w:r w:rsidR="00F7150B" w:rsidRPr="00687DE8">
        <w:rPr>
          <w:szCs w:val="24"/>
        </w:rPr>
        <w:t xml:space="preserve">kontaktteenusega </w:t>
      </w:r>
      <w:r w:rsidRPr="00687DE8">
        <w:rPr>
          <w:szCs w:val="24"/>
        </w:rPr>
        <w:t>tervishoiuteenuse kvaliteet säilib või paraneb;</w:t>
      </w:r>
    </w:p>
    <w:p w14:paraId="4E5AA03A" w14:textId="77777777" w:rsidR="00264C8C" w:rsidRPr="00687DE8" w:rsidRDefault="00F85ED3" w:rsidP="00264C8C">
      <w:pPr>
        <w:pStyle w:val="Vahedeta"/>
        <w:jc w:val="both"/>
        <w:divId w:val="1316184749"/>
        <w:rPr>
          <w:szCs w:val="24"/>
          <w:lang w:val="et-EE"/>
        </w:rPr>
      </w:pPr>
      <w:r w:rsidRPr="00687DE8">
        <w:rPr>
          <w:szCs w:val="24"/>
          <w:lang w:val="et-EE"/>
        </w:rPr>
        <w:t xml:space="preserve">2) </w:t>
      </w:r>
      <w:r w:rsidR="00264C8C" w:rsidRPr="00687DE8">
        <w:rPr>
          <w:szCs w:val="24"/>
          <w:lang w:val="et-EE"/>
        </w:rPr>
        <w:t>kaug</w:t>
      </w:r>
      <w:r w:rsidR="000F40B2" w:rsidRPr="00687DE8">
        <w:rPr>
          <w:szCs w:val="24"/>
          <w:lang w:val="et-EE"/>
        </w:rPr>
        <w:t>teenuse</w:t>
      </w:r>
      <w:r w:rsidR="00264C8C" w:rsidRPr="00687DE8">
        <w:rPr>
          <w:szCs w:val="24"/>
          <w:lang w:val="et-EE"/>
        </w:rPr>
        <w:t xml:space="preserve"> sobivuse konkreetse patsiendi terviseprobleemi käsitlemisel otsustab </w:t>
      </w:r>
      <w:r w:rsidR="009C1F24" w:rsidRPr="00687DE8">
        <w:rPr>
          <w:szCs w:val="24"/>
          <w:lang w:val="et-EE"/>
        </w:rPr>
        <w:t>suunav tervishoiutöötaja või</w:t>
      </w:r>
      <w:r w:rsidR="00264C8C" w:rsidRPr="00687DE8">
        <w:rPr>
          <w:szCs w:val="24"/>
          <w:lang w:val="et-EE"/>
        </w:rPr>
        <w:t xml:space="preserve"> </w:t>
      </w:r>
      <w:r w:rsidR="00042A2E" w:rsidRPr="00687DE8">
        <w:rPr>
          <w:szCs w:val="24"/>
          <w:lang w:val="et-EE"/>
        </w:rPr>
        <w:t xml:space="preserve">teenust osutav </w:t>
      </w:r>
      <w:r w:rsidR="003F7912" w:rsidRPr="00687DE8">
        <w:rPr>
          <w:szCs w:val="24"/>
          <w:lang w:val="et-EE"/>
        </w:rPr>
        <w:t xml:space="preserve">kliiniline </w:t>
      </w:r>
      <w:r w:rsidR="000222F2" w:rsidRPr="00687DE8">
        <w:rPr>
          <w:szCs w:val="24"/>
          <w:lang w:val="et-EE"/>
        </w:rPr>
        <w:t xml:space="preserve">psühholoog või </w:t>
      </w:r>
      <w:r w:rsidR="00086A5F" w:rsidRPr="00687DE8">
        <w:rPr>
          <w:szCs w:val="24"/>
          <w:lang w:val="et-EE"/>
        </w:rPr>
        <w:t>psühholoog-nõustaja</w:t>
      </w:r>
      <w:r w:rsidR="000222F2" w:rsidRPr="00687DE8">
        <w:rPr>
          <w:szCs w:val="24"/>
          <w:lang w:val="et-EE"/>
        </w:rPr>
        <w:t xml:space="preserve"> või </w:t>
      </w:r>
      <w:r w:rsidR="00264C8C" w:rsidRPr="00687DE8">
        <w:rPr>
          <w:szCs w:val="24"/>
          <w:lang w:val="et-EE"/>
        </w:rPr>
        <w:t>tervishoiutöötaja, patsiendi tehnilist valmisolekut hindab tervishoiuteenuse osutaja;</w:t>
      </w:r>
    </w:p>
    <w:p w14:paraId="05C1A957" w14:textId="77777777" w:rsidR="00F85ED3" w:rsidRPr="00687DE8" w:rsidRDefault="00F85ED3" w:rsidP="00F85ED3">
      <w:pPr>
        <w:autoSpaceDE w:val="0"/>
        <w:autoSpaceDN w:val="0"/>
        <w:adjustRightInd w:val="0"/>
        <w:spacing w:after="0" w:line="240" w:lineRule="auto"/>
        <w:divId w:val="1316184749"/>
        <w:rPr>
          <w:color w:val="000000"/>
          <w:szCs w:val="24"/>
        </w:rPr>
      </w:pPr>
      <w:r w:rsidRPr="00687DE8">
        <w:rPr>
          <w:color w:val="000000" w:themeColor="text1"/>
          <w:szCs w:val="24"/>
        </w:rPr>
        <w:t>3) kaug</w:t>
      </w:r>
      <w:r w:rsidR="00E501D6" w:rsidRPr="00687DE8">
        <w:rPr>
          <w:color w:val="000000" w:themeColor="text1"/>
          <w:szCs w:val="24"/>
        </w:rPr>
        <w:t>teenus</w:t>
      </w:r>
      <w:r w:rsidR="00B40B22" w:rsidRPr="00687DE8">
        <w:rPr>
          <w:color w:val="000000" w:themeColor="text1"/>
          <w:szCs w:val="24"/>
        </w:rPr>
        <w:t>t osutatakse</w:t>
      </w:r>
      <w:r w:rsidRPr="00687DE8">
        <w:rPr>
          <w:color w:val="000000" w:themeColor="text1"/>
          <w:szCs w:val="24"/>
        </w:rPr>
        <w:t xml:space="preserve"> patsiendi nõusolekul, mis on dokumenteeritud;</w:t>
      </w:r>
    </w:p>
    <w:p w14:paraId="718A2108" w14:textId="77777777" w:rsidR="00F85ED3" w:rsidRPr="00687DE8" w:rsidRDefault="00F85ED3" w:rsidP="00F85ED3">
      <w:pPr>
        <w:autoSpaceDE w:val="0"/>
        <w:autoSpaceDN w:val="0"/>
        <w:adjustRightInd w:val="0"/>
        <w:spacing w:after="0" w:line="240" w:lineRule="auto"/>
        <w:divId w:val="1316184749"/>
        <w:rPr>
          <w:color w:val="000000"/>
          <w:szCs w:val="24"/>
        </w:rPr>
      </w:pPr>
      <w:r w:rsidRPr="00687DE8">
        <w:rPr>
          <w:color w:val="000000" w:themeColor="text1"/>
          <w:szCs w:val="24"/>
        </w:rPr>
        <w:t>4) kaug</w:t>
      </w:r>
      <w:r w:rsidR="00C00794" w:rsidRPr="00687DE8">
        <w:rPr>
          <w:color w:val="000000" w:themeColor="text1"/>
          <w:szCs w:val="24"/>
        </w:rPr>
        <w:t>teenus</w:t>
      </w:r>
      <w:r w:rsidR="00B40B22" w:rsidRPr="00687DE8">
        <w:rPr>
          <w:color w:val="000000" w:themeColor="text1"/>
          <w:szCs w:val="24"/>
        </w:rPr>
        <w:t>t osutatakse</w:t>
      </w:r>
      <w:r w:rsidRPr="00687DE8">
        <w:rPr>
          <w:color w:val="000000" w:themeColor="text1"/>
          <w:szCs w:val="24"/>
        </w:rPr>
        <w:t xml:space="preserve"> kokkulepitud ajal ja viisil sünkroonse suhtlusena;</w:t>
      </w:r>
    </w:p>
    <w:p w14:paraId="5B22131C" w14:textId="77777777" w:rsidR="00F7150B" w:rsidRPr="00687DE8" w:rsidRDefault="00F85ED3" w:rsidP="00F7150B">
      <w:pPr>
        <w:autoSpaceDE w:val="0"/>
        <w:autoSpaceDN w:val="0"/>
        <w:adjustRightInd w:val="0"/>
        <w:spacing w:after="0" w:line="240" w:lineRule="auto"/>
        <w:jc w:val="both"/>
        <w:divId w:val="1316184749"/>
        <w:rPr>
          <w:color w:val="000000"/>
          <w:szCs w:val="24"/>
        </w:rPr>
      </w:pPr>
      <w:r w:rsidRPr="00687DE8">
        <w:rPr>
          <w:color w:val="000000" w:themeColor="text1"/>
          <w:szCs w:val="24"/>
        </w:rPr>
        <w:t xml:space="preserve">5) </w:t>
      </w:r>
      <w:r w:rsidR="00F7150B" w:rsidRPr="00687DE8">
        <w:rPr>
          <w:color w:val="000000" w:themeColor="text1"/>
          <w:szCs w:val="24"/>
        </w:rPr>
        <w:t>kaugteenuseks kasutatav info- ja kommunikatsioonitehnoloogiline lahendus ning selle kasutamine vastavad õigusaktides (sealhulgas isikuandmete kaitse seadus, isikuandmete kaitse üldmäärus) sätestatud põhimõtetele;</w:t>
      </w:r>
    </w:p>
    <w:p w14:paraId="454405E5" w14:textId="77777777" w:rsidR="00F85ED3" w:rsidRPr="00687DE8" w:rsidRDefault="00F85ED3" w:rsidP="00F7150B">
      <w:pPr>
        <w:autoSpaceDE w:val="0"/>
        <w:autoSpaceDN w:val="0"/>
        <w:adjustRightInd w:val="0"/>
        <w:spacing w:after="0" w:line="240" w:lineRule="auto"/>
        <w:jc w:val="both"/>
        <w:divId w:val="1316184749"/>
        <w:rPr>
          <w:color w:val="000000"/>
          <w:szCs w:val="24"/>
        </w:rPr>
      </w:pPr>
      <w:r w:rsidRPr="00687DE8">
        <w:rPr>
          <w:color w:val="000000" w:themeColor="text1"/>
          <w:szCs w:val="24"/>
        </w:rPr>
        <w:t>6) patsiendi isiku tuvastamise eest vastutab tervishoiuteenuse osutaja.</w:t>
      </w:r>
    </w:p>
    <w:p w14:paraId="5DA2EB2C" w14:textId="77777777" w:rsidR="00F85ED3" w:rsidRPr="00687DE8" w:rsidRDefault="00F85ED3" w:rsidP="00F85ED3">
      <w:pPr>
        <w:spacing w:after="0" w:line="240" w:lineRule="auto"/>
        <w:jc w:val="both"/>
        <w:divId w:val="1316184749"/>
        <w:rPr>
          <w:color w:val="000000"/>
          <w:szCs w:val="24"/>
        </w:rPr>
      </w:pPr>
    </w:p>
    <w:p w14:paraId="4E24CDAD" w14:textId="1967105E" w:rsidR="00F7150B" w:rsidRPr="00687DE8" w:rsidRDefault="00F7150B" w:rsidP="00F7150B">
      <w:pPr>
        <w:spacing w:after="0" w:line="240" w:lineRule="auto"/>
        <w:jc w:val="both"/>
        <w:divId w:val="1316184749"/>
        <w:rPr>
          <w:szCs w:val="24"/>
        </w:rPr>
      </w:pPr>
      <w:r w:rsidRPr="00687DE8">
        <w:rPr>
          <w:color w:val="000000" w:themeColor="text1"/>
          <w:szCs w:val="24"/>
        </w:rPr>
        <w:t xml:space="preserve">(19) </w:t>
      </w:r>
      <w:r w:rsidRPr="00687DE8">
        <w:rPr>
          <w:szCs w:val="24"/>
        </w:rPr>
        <w:t>Koodidega 7630, 7631, 7632</w:t>
      </w:r>
      <w:r w:rsidR="001D0BEA" w:rsidRPr="00687DE8">
        <w:rPr>
          <w:szCs w:val="24"/>
        </w:rPr>
        <w:t>,</w:t>
      </w:r>
      <w:r w:rsidRPr="00687DE8">
        <w:rPr>
          <w:szCs w:val="24"/>
        </w:rPr>
        <w:t xml:space="preserve"> 7633</w:t>
      </w:r>
      <w:r w:rsidR="001D0BEA" w:rsidRPr="00687DE8">
        <w:rPr>
          <w:szCs w:val="24"/>
        </w:rPr>
        <w:t>,</w:t>
      </w:r>
      <w:r w:rsidRPr="00687DE8">
        <w:rPr>
          <w:szCs w:val="24"/>
        </w:rPr>
        <w:t xml:space="preserve"> </w:t>
      </w:r>
      <w:r w:rsidR="001D0BEA" w:rsidRPr="00687DE8">
        <w:rPr>
          <w:szCs w:val="24"/>
        </w:rPr>
        <w:t>7634, 7635, 7636</w:t>
      </w:r>
      <w:r w:rsidR="00541D65" w:rsidRPr="00687DE8">
        <w:rPr>
          <w:szCs w:val="24"/>
        </w:rPr>
        <w:t>,</w:t>
      </w:r>
      <w:r w:rsidR="001D0BEA" w:rsidRPr="00687DE8">
        <w:rPr>
          <w:szCs w:val="24"/>
        </w:rPr>
        <w:t xml:space="preserve"> 7637</w:t>
      </w:r>
      <w:r w:rsidR="00541D65" w:rsidRPr="00687DE8">
        <w:rPr>
          <w:szCs w:val="24"/>
        </w:rPr>
        <w:t>, 7639 ja 7640</w:t>
      </w:r>
      <w:r w:rsidRPr="00687DE8">
        <w:rPr>
          <w:szCs w:val="24"/>
        </w:rPr>
        <w:t xml:space="preserve"> tähistatud tervishoiuteenuseid ei rakendata teraapia- või vastuvõtuaja kokkuleppimise, muutmise või tühistamise ega töömaterjalide edastamise korral.</w:t>
      </w:r>
    </w:p>
    <w:p w14:paraId="74F345C1" w14:textId="77777777" w:rsidR="00F7150B" w:rsidRPr="00687DE8" w:rsidRDefault="00F7150B" w:rsidP="00F7150B">
      <w:pPr>
        <w:spacing w:after="0" w:line="240" w:lineRule="auto"/>
        <w:jc w:val="both"/>
        <w:divId w:val="1316184749"/>
        <w:rPr>
          <w:szCs w:val="24"/>
        </w:rPr>
      </w:pPr>
    </w:p>
    <w:p w14:paraId="33C7EA23" w14:textId="21EBA05F" w:rsidR="00F7150B" w:rsidRPr="00687DE8" w:rsidRDefault="00F7150B" w:rsidP="00F7150B">
      <w:pPr>
        <w:spacing w:after="0" w:line="240" w:lineRule="auto"/>
        <w:jc w:val="both"/>
        <w:divId w:val="1316184749"/>
        <w:rPr>
          <w:szCs w:val="24"/>
        </w:rPr>
      </w:pPr>
      <w:r w:rsidRPr="00687DE8">
        <w:rPr>
          <w:szCs w:val="24"/>
        </w:rPr>
        <w:t>(</w:t>
      </w:r>
      <w:r w:rsidRPr="00687DE8" w:rsidDel="00DF16C9">
        <w:rPr>
          <w:szCs w:val="24"/>
        </w:rPr>
        <w:t>20</w:t>
      </w:r>
      <w:r w:rsidRPr="00687DE8">
        <w:rPr>
          <w:szCs w:val="24"/>
        </w:rPr>
        <w:t>) Koodidega 7630, 7631, 7632</w:t>
      </w:r>
      <w:r w:rsidR="00D51FA8" w:rsidRPr="00687DE8">
        <w:rPr>
          <w:szCs w:val="24"/>
        </w:rPr>
        <w:t>,</w:t>
      </w:r>
      <w:r w:rsidR="00F74011" w:rsidRPr="00687DE8">
        <w:rPr>
          <w:szCs w:val="24"/>
        </w:rPr>
        <w:t xml:space="preserve"> </w:t>
      </w:r>
      <w:r w:rsidRPr="00687DE8">
        <w:rPr>
          <w:szCs w:val="24"/>
        </w:rPr>
        <w:t>7633</w:t>
      </w:r>
      <w:r w:rsidR="00D51FA8" w:rsidRPr="00687DE8">
        <w:rPr>
          <w:szCs w:val="24"/>
        </w:rPr>
        <w:t>,</w:t>
      </w:r>
      <w:r w:rsidR="00F74011" w:rsidRPr="00687DE8">
        <w:rPr>
          <w:szCs w:val="24"/>
        </w:rPr>
        <w:t xml:space="preserve"> </w:t>
      </w:r>
      <w:r w:rsidR="00D51FA8" w:rsidRPr="00687DE8">
        <w:rPr>
          <w:szCs w:val="24"/>
        </w:rPr>
        <w:t>7634, 7635, 7636</w:t>
      </w:r>
      <w:r w:rsidR="00541D65" w:rsidRPr="00687DE8">
        <w:rPr>
          <w:szCs w:val="24"/>
        </w:rPr>
        <w:t>,</w:t>
      </w:r>
      <w:r w:rsidR="00B05990" w:rsidRPr="00687DE8">
        <w:rPr>
          <w:szCs w:val="24"/>
        </w:rPr>
        <w:t xml:space="preserve"> </w:t>
      </w:r>
      <w:r w:rsidR="00D51FA8" w:rsidRPr="00687DE8">
        <w:rPr>
          <w:szCs w:val="24"/>
        </w:rPr>
        <w:t>7637</w:t>
      </w:r>
      <w:r w:rsidR="00541D65" w:rsidRPr="00687DE8">
        <w:rPr>
          <w:szCs w:val="24"/>
        </w:rPr>
        <w:t>, 7639 ja 7640</w:t>
      </w:r>
      <w:r w:rsidR="00B05990" w:rsidRPr="00687DE8">
        <w:rPr>
          <w:szCs w:val="24"/>
        </w:rPr>
        <w:t xml:space="preserve"> </w:t>
      </w:r>
      <w:r w:rsidRPr="00687DE8">
        <w:rPr>
          <w:szCs w:val="24"/>
        </w:rPr>
        <w:t>tähistatud kaugteenuste piirhinda ei rakendata samal ajal koodidega 7601, 7602, 7603</w:t>
      </w:r>
      <w:r w:rsidR="00CB618C" w:rsidRPr="00687DE8">
        <w:rPr>
          <w:szCs w:val="24"/>
        </w:rPr>
        <w:t>,</w:t>
      </w:r>
      <w:r w:rsidRPr="00687DE8">
        <w:rPr>
          <w:szCs w:val="24"/>
        </w:rPr>
        <w:t xml:space="preserve"> 7607 </w:t>
      </w:r>
      <w:r w:rsidR="00CB618C" w:rsidRPr="00687DE8">
        <w:rPr>
          <w:szCs w:val="24"/>
        </w:rPr>
        <w:t>ja 7638</w:t>
      </w:r>
      <w:r w:rsidRPr="00687DE8">
        <w:rPr>
          <w:szCs w:val="24"/>
        </w:rPr>
        <w:t xml:space="preserve"> tähistatud vastavate kontaktteenustega.</w:t>
      </w:r>
    </w:p>
    <w:p w14:paraId="176DFF48" w14:textId="77777777" w:rsidR="1D35FD62" w:rsidRPr="00687DE8" w:rsidRDefault="1D35FD62" w:rsidP="1D35FD62">
      <w:pPr>
        <w:spacing w:after="0" w:line="240" w:lineRule="auto"/>
        <w:jc w:val="both"/>
        <w:rPr>
          <w:szCs w:val="24"/>
        </w:rPr>
      </w:pPr>
    </w:p>
    <w:p w14:paraId="71E73A54" w14:textId="677420A8" w:rsidR="0096236B" w:rsidRPr="00687DE8" w:rsidRDefault="1E8F9871" w:rsidP="00334F99">
      <w:pPr>
        <w:spacing w:after="0" w:line="240" w:lineRule="auto"/>
        <w:jc w:val="both"/>
        <w:divId w:val="1316184749"/>
        <w:rPr>
          <w:szCs w:val="24"/>
        </w:rPr>
      </w:pPr>
      <w:r w:rsidRPr="00687DE8">
        <w:rPr>
          <w:szCs w:val="24"/>
        </w:rPr>
        <w:t>(2</w:t>
      </w:r>
      <w:r w:rsidRPr="00687DE8" w:rsidDel="00DF16C9">
        <w:rPr>
          <w:szCs w:val="24"/>
        </w:rPr>
        <w:t>1</w:t>
      </w:r>
      <w:r w:rsidRPr="00687DE8">
        <w:rPr>
          <w:szCs w:val="24"/>
        </w:rPr>
        <w:t xml:space="preserve">) </w:t>
      </w:r>
      <w:r w:rsidR="005023FD" w:rsidRPr="00687DE8">
        <w:rPr>
          <w:szCs w:val="24"/>
        </w:rPr>
        <w:t>Tervisekassa</w:t>
      </w:r>
      <w:r w:rsidRPr="00687DE8">
        <w:rPr>
          <w:szCs w:val="24"/>
        </w:rPr>
        <w:t xml:space="preserve"> võtab koodiga 7604 tähistatud tervishoiuteenuse eest tasu maksmise kohustuse üle </w:t>
      </w:r>
      <w:r w:rsidR="00A61D45" w:rsidRPr="00687DE8">
        <w:rPr>
          <w:szCs w:val="24"/>
        </w:rPr>
        <w:t xml:space="preserve">eriarsti </w:t>
      </w:r>
      <w:r w:rsidRPr="00687DE8">
        <w:rPr>
          <w:szCs w:val="24"/>
        </w:rPr>
        <w:t>suunamisel</w:t>
      </w:r>
      <w:r w:rsidR="00FE16A1" w:rsidRPr="00687DE8">
        <w:rPr>
          <w:szCs w:val="24"/>
        </w:rPr>
        <w:t>. E</w:t>
      </w:r>
      <w:r w:rsidRPr="00687DE8">
        <w:rPr>
          <w:szCs w:val="24"/>
        </w:rPr>
        <w:t xml:space="preserve">nam kui </w:t>
      </w:r>
      <w:r w:rsidR="001059A4" w:rsidRPr="00687DE8">
        <w:rPr>
          <w:szCs w:val="24"/>
        </w:rPr>
        <w:t>kümne</w:t>
      </w:r>
      <w:r w:rsidRPr="00687DE8">
        <w:rPr>
          <w:szCs w:val="24"/>
        </w:rPr>
        <w:t xml:space="preserve"> seansi eest tasutakse juhul, kui</w:t>
      </w:r>
      <w:r w:rsidR="1A35BF5F" w:rsidRPr="00687DE8">
        <w:rPr>
          <w:szCs w:val="24"/>
        </w:rPr>
        <w:t xml:space="preserve"> </w:t>
      </w:r>
      <w:r w:rsidR="000A6C42" w:rsidRPr="00687DE8">
        <w:rPr>
          <w:szCs w:val="24"/>
        </w:rPr>
        <w:t xml:space="preserve">eriarst </w:t>
      </w:r>
      <w:r w:rsidRPr="00687DE8">
        <w:rPr>
          <w:szCs w:val="24"/>
        </w:rPr>
        <w:t>on dokumenteeri</w:t>
      </w:r>
      <w:r w:rsidR="009C12A2" w:rsidRPr="00687DE8">
        <w:rPr>
          <w:szCs w:val="24"/>
        </w:rPr>
        <w:t>nud</w:t>
      </w:r>
      <w:r w:rsidRPr="00687DE8">
        <w:rPr>
          <w:szCs w:val="24"/>
        </w:rPr>
        <w:t xml:space="preserve"> senise ravi tulemuslikkus</w:t>
      </w:r>
      <w:r w:rsidR="00EE43B7" w:rsidRPr="00687DE8">
        <w:rPr>
          <w:szCs w:val="24"/>
        </w:rPr>
        <w:t>e</w:t>
      </w:r>
      <w:r w:rsidRPr="00687DE8">
        <w:rPr>
          <w:szCs w:val="24"/>
        </w:rPr>
        <w:t xml:space="preserve"> </w:t>
      </w:r>
      <w:r w:rsidR="0006116C" w:rsidRPr="00687DE8">
        <w:rPr>
          <w:szCs w:val="24"/>
        </w:rPr>
        <w:t>ning</w:t>
      </w:r>
      <w:r w:rsidRPr="00687DE8">
        <w:rPr>
          <w:szCs w:val="24"/>
        </w:rPr>
        <w:t xml:space="preserve"> põhjenda</w:t>
      </w:r>
      <w:r w:rsidR="0006116C" w:rsidRPr="00687DE8">
        <w:rPr>
          <w:szCs w:val="24"/>
        </w:rPr>
        <w:t>nud</w:t>
      </w:r>
      <w:r w:rsidRPr="00687DE8">
        <w:rPr>
          <w:szCs w:val="24"/>
        </w:rPr>
        <w:t xml:space="preserve"> ravi jätkamise vajadus</w:t>
      </w:r>
      <w:r w:rsidR="00D54AEE" w:rsidRPr="00687DE8">
        <w:rPr>
          <w:szCs w:val="24"/>
        </w:rPr>
        <w:t>e</w:t>
      </w:r>
      <w:r w:rsidRPr="00687DE8">
        <w:rPr>
          <w:szCs w:val="24"/>
        </w:rPr>
        <w:t xml:space="preserve"> esmalt </w:t>
      </w:r>
      <w:r w:rsidR="00447D44" w:rsidRPr="00687DE8">
        <w:rPr>
          <w:szCs w:val="24"/>
        </w:rPr>
        <w:t>kümne</w:t>
      </w:r>
      <w:r w:rsidRPr="00687DE8">
        <w:rPr>
          <w:szCs w:val="24"/>
        </w:rPr>
        <w:t xml:space="preserve"> seansi järel </w:t>
      </w:r>
      <w:r w:rsidR="005062B6" w:rsidRPr="00687DE8">
        <w:rPr>
          <w:szCs w:val="24"/>
        </w:rPr>
        <w:t>ja</w:t>
      </w:r>
      <w:r w:rsidRPr="00687DE8">
        <w:rPr>
          <w:szCs w:val="24"/>
        </w:rPr>
        <w:t xml:space="preserve"> </w:t>
      </w:r>
      <w:r w:rsidR="6C437475" w:rsidRPr="00687DE8">
        <w:rPr>
          <w:szCs w:val="24"/>
        </w:rPr>
        <w:t>seejärel</w:t>
      </w:r>
      <w:r w:rsidRPr="00687DE8">
        <w:rPr>
          <w:szCs w:val="24"/>
        </w:rPr>
        <w:t xml:space="preserve"> iga </w:t>
      </w:r>
      <w:r w:rsidR="00657694" w:rsidRPr="00687DE8">
        <w:rPr>
          <w:szCs w:val="24"/>
        </w:rPr>
        <w:t>viie</w:t>
      </w:r>
      <w:r w:rsidR="6C437475" w:rsidRPr="00687DE8">
        <w:rPr>
          <w:szCs w:val="24"/>
        </w:rPr>
        <w:t xml:space="preserve"> seansi järel.</w:t>
      </w:r>
    </w:p>
    <w:p w14:paraId="4EB5AC2A" w14:textId="77777777" w:rsidR="00047B33" w:rsidRPr="00687DE8" w:rsidRDefault="00047B33" w:rsidP="00334F99">
      <w:pPr>
        <w:spacing w:after="0" w:line="240" w:lineRule="auto"/>
        <w:jc w:val="both"/>
        <w:divId w:val="1316184749"/>
        <w:rPr>
          <w:szCs w:val="24"/>
        </w:rPr>
      </w:pPr>
    </w:p>
    <w:p w14:paraId="2A9AA6A5" w14:textId="6D15C1CE" w:rsidR="00D86FB9" w:rsidRPr="00687DE8" w:rsidRDefault="00D86FB9" w:rsidP="00D86FB9">
      <w:pPr>
        <w:spacing w:after="0" w:line="240" w:lineRule="auto"/>
        <w:jc w:val="both"/>
        <w:outlineLvl w:val="2"/>
        <w:divId w:val="1316184749"/>
        <w:rPr>
          <w:szCs w:val="24"/>
        </w:rPr>
      </w:pPr>
      <w:r w:rsidRPr="00687DE8">
        <w:rPr>
          <w:szCs w:val="24"/>
        </w:rPr>
        <w:t xml:space="preserve">(22) </w:t>
      </w:r>
      <w:r w:rsidR="005023FD" w:rsidRPr="00687DE8">
        <w:rPr>
          <w:szCs w:val="24"/>
        </w:rPr>
        <w:t>Tervisekassa</w:t>
      </w:r>
      <w:r w:rsidRPr="00687DE8">
        <w:rPr>
          <w:szCs w:val="24"/>
        </w:rPr>
        <w:t xml:space="preserve"> võtab koodidega 7638, 7639 ja 7640 tähistatud tervishoiuteenuste eest tasu maksmise kohustuse üle</w:t>
      </w:r>
      <w:r w:rsidR="00790FC9" w:rsidRPr="00687DE8">
        <w:rPr>
          <w:szCs w:val="24"/>
        </w:rPr>
        <w:t xml:space="preserve"> juhul</w:t>
      </w:r>
      <w:r w:rsidRPr="00687DE8">
        <w:rPr>
          <w:szCs w:val="24"/>
        </w:rPr>
        <w:t>, kui teenust osutab kutsega psühholoog-nõustaja.</w:t>
      </w:r>
    </w:p>
    <w:p w14:paraId="09F7C430" w14:textId="77777777" w:rsidR="00D86FB9" w:rsidRPr="00687DE8" w:rsidRDefault="00D86FB9" w:rsidP="00D86FB9">
      <w:pPr>
        <w:spacing w:after="0" w:line="240" w:lineRule="auto"/>
        <w:jc w:val="both"/>
        <w:outlineLvl w:val="2"/>
        <w:divId w:val="1316184749"/>
        <w:rPr>
          <w:szCs w:val="24"/>
        </w:rPr>
      </w:pPr>
    </w:p>
    <w:p w14:paraId="012E1A6A" w14:textId="76B8EC3A" w:rsidR="00D86FB9" w:rsidRPr="00687DE8" w:rsidRDefault="00D86FB9" w:rsidP="00764F4A">
      <w:pPr>
        <w:spacing w:after="0" w:line="240" w:lineRule="auto"/>
        <w:jc w:val="both"/>
        <w:divId w:val="1316184749"/>
        <w:rPr>
          <w:szCs w:val="24"/>
        </w:rPr>
      </w:pPr>
      <w:r w:rsidRPr="00687DE8">
        <w:rPr>
          <w:szCs w:val="24"/>
        </w:rPr>
        <w:t xml:space="preserve">(23) Koodidega 7638, 7639 ja 7640 tähistatud tervishoiuteenuste piirhinnad sisaldavad </w:t>
      </w:r>
      <w:r w:rsidR="00845736">
        <w:rPr>
          <w:szCs w:val="24"/>
        </w:rPr>
        <w:t xml:space="preserve">aktiivset ravisekkumist </w:t>
      </w:r>
      <w:r w:rsidR="005548A1">
        <w:rPr>
          <w:szCs w:val="24"/>
        </w:rPr>
        <w:t>ja</w:t>
      </w:r>
      <w:r w:rsidR="00845736">
        <w:rPr>
          <w:szCs w:val="24"/>
        </w:rPr>
        <w:t xml:space="preserve"> </w:t>
      </w:r>
      <w:r w:rsidRPr="00687DE8">
        <w:rPr>
          <w:szCs w:val="24"/>
        </w:rPr>
        <w:t xml:space="preserve">järgmisi tegevusi: </w:t>
      </w:r>
    </w:p>
    <w:p w14:paraId="60B81817" w14:textId="77777777" w:rsidR="005872C4" w:rsidRPr="00687DE8" w:rsidRDefault="00764F4A" w:rsidP="12F5FC8C">
      <w:pPr>
        <w:pStyle w:val="Loendilik"/>
        <w:spacing w:after="0" w:line="240" w:lineRule="auto"/>
        <w:ind w:left="0"/>
        <w:jc w:val="both"/>
        <w:divId w:val="1316184749"/>
        <w:rPr>
          <w:szCs w:val="24"/>
        </w:rPr>
      </w:pPr>
      <w:r w:rsidRPr="00687DE8">
        <w:rPr>
          <w:szCs w:val="24"/>
        </w:rPr>
        <w:t xml:space="preserve">1) </w:t>
      </w:r>
      <w:r w:rsidR="005872C4" w:rsidRPr="00687DE8">
        <w:rPr>
          <w:szCs w:val="24"/>
        </w:rPr>
        <w:t xml:space="preserve">patsiendi vaimse tervise seisundi, psühhosotsiaalse funktsioneerimise ja ressursside hindamine; </w:t>
      </w:r>
    </w:p>
    <w:p w14:paraId="1181246B" w14:textId="77777777" w:rsidR="005872C4" w:rsidRPr="00687DE8" w:rsidRDefault="00764F4A" w:rsidP="12F5FC8C">
      <w:pPr>
        <w:pStyle w:val="Loendilik"/>
        <w:spacing w:after="0" w:line="240" w:lineRule="auto"/>
        <w:ind w:left="0"/>
        <w:divId w:val="1316184749"/>
        <w:rPr>
          <w:szCs w:val="24"/>
        </w:rPr>
      </w:pPr>
      <w:r w:rsidRPr="00687DE8">
        <w:rPr>
          <w:szCs w:val="24"/>
        </w:rPr>
        <w:t xml:space="preserve">2) </w:t>
      </w:r>
      <w:r w:rsidR="005872C4" w:rsidRPr="00687DE8">
        <w:rPr>
          <w:szCs w:val="24"/>
        </w:rPr>
        <w:t xml:space="preserve">psühholoogilise abi vajaduse, sobivuse ja patsiendi motivatsiooni hindamine; </w:t>
      </w:r>
    </w:p>
    <w:p w14:paraId="225ED7B1" w14:textId="77777777" w:rsidR="00764F4A" w:rsidRPr="00687DE8" w:rsidRDefault="00764F4A" w:rsidP="12F5FC8C">
      <w:pPr>
        <w:pStyle w:val="Loendilik"/>
        <w:spacing w:after="0" w:line="240" w:lineRule="auto"/>
        <w:ind w:left="0"/>
        <w:divId w:val="1316184749"/>
        <w:rPr>
          <w:szCs w:val="24"/>
        </w:rPr>
      </w:pPr>
      <w:r w:rsidRPr="00687DE8">
        <w:rPr>
          <w:szCs w:val="24"/>
        </w:rPr>
        <w:t xml:space="preserve">3) </w:t>
      </w:r>
      <w:r w:rsidR="005872C4" w:rsidRPr="00687DE8">
        <w:rPr>
          <w:szCs w:val="24"/>
        </w:rPr>
        <w:t xml:space="preserve">nõustamisprotsessi eesmärkide seadmine ja protsessi planeerimine; </w:t>
      </w:r>
    </w:p>
    <w:p w14:paraId="2B856B55" w14:textId="77777777" w:rsidR="00E57377" w:rsidRPr="00687DE8" w:rsidRDefault="00764F4A" w:rsidP="12F5FC8C">
      <w:pPr>
        <w:pStyle w:val="Loendilik"/>
        <w:spacing w:after="0" w:line="240" w:lineRule="auto"/>
        <w:ind w:left="0"/>
        <w:jc w:val="both"/>
        <w:divId w:val="1316184749"/>
        <w:rPr>
          <w:szCs w:val="24"/>
        </w:rPr>
      </w:pPr>
      <w:r w:rsidRPr="00687DE8">
        <w:rPr>
          <w:szCs w:val="24"/>
        </w:rPr>
        <w:t xml:space="preserve">4) </w:t>
      </w:r>
      <w:r w:rsidR="005872C4" w:rsidRPr="00687DE8">
        <w:rPr>
          <w:szCs w:val="24"/>
        </w:rPr>
        <w:t>struktureeritud ja eesmärgista</w:t>
      </w:r>
      <w:r w:rsidR="006227A6" w:rsidRPr="00687DE8">
        <w:rPr>
          <w:szCs w:val="24"/>
        </w:rPr>
        <w:t>t</w:t>
      </w:r>
      <w:r w:rsidR="005872C4" w:rsidRPr="00687DE8">
        <w:rPr>
          <w:szCs w:val="24"/>
        </w:rPr>
        <w:t xml:space="preserve">ud nõustamine psühholoogilise heaolu ja eneseteostuse toetamiseks; </w:t>
      </w:r>
    </w:p>
    <w:p w14:paraId="3873610A" w14:textId="77777777" w:rsidR="00E57377" w:rsidRPr="00687DE8" w:rsidRDefault="00E57377" w:rsidP="12F5FC8C">
      <w:pPr>
        <w:pStyle w:val="Loendilik"/>
        <w:spacing w:after="0" w:line="240" w:lineRule="auto"/>
        <w:ind w:left="0"/>
        <w:divId w:val="1316184749"/>
        <w:rPr>
          <w:szCs w:val="24"/>
        </w:rPr>
      </w:pPr>
      <w:r w:rsidRPr="00687DE8">
        <w:rPr>
          <w:szCs w:val="24"/>
        </w:rPr>
        <w:t xml:space="preserve">5) </w:t>
      </w:r>
      <w:r w:rsidR="005872C4" w:rsidRPr="00687DE8">
        <w:rPr>
          <w:szCs w:val="24"/>
        </w:rPr>
        <w:t>vaimse tervise probleemide tekke ja süvenemise ennetamine;</w:t>
      </w:r>
    </w:p>
    <w:p w14:paraId="3D5E8936" w14:textId="77777777" w:rsidR="005872C4" w:rsidRPr="00687DE8" w:rsidRDefault="00E57377" w:rsidP="12F5FC8C">
      <w:pPr>
        <w:pStyle w:val="Loendilik"/>
        <w:spacing w:after="0" w:line="240" w:lineRule="auto"/>
        <w:ind w:left="0"/>
        <w:divId w:val="1316184749"/>
        <w:rPr>
          <w:szCs w:val="24"/>
        </w:rPr>
      </w:pPr>
      <w:r w:rsidRPr="00687DE8">
        <w:rPr>
          <w:szCs w:val="24"/>
        </w:rPr>
        <w:t xml:space="preserve">6) </w:t>
      </w:r>
      <w:r w:rsidR="005872C4" w:rsidRPr="00687DE8">
        <w:rPr>
          <w:szCs w:val="24"/>
        </w:rPr>
        <w:t>dokumenteerimine ja nõustamisprotsessi efektiivsuse hindamine</w:t>
      </w:r>
      <w:r w:rsidR="00980E69" w:rsidRPr="00687DE8">
        <w:rPr>
          <w:szCs w:val="24"/>
        </w:rPr>
        <w:t>.</w:t>
      </w:r>
      <w:r w:rsidR="005872C4" w:rsidRPr="00687DE8">
        <w:rPr>
          <w:szCs w:val="24"/>
        </w:rPr>
        <w:t xml:space="preserve"> </w:t>
      </w:r>
    </w:p>
    <w:p w14:paraId="6EC2A884" w14:textId="77777777" w:rsidR="001C1053" w:rsidRPr="005548A1" w:rsidRDefault="001C1053" w:rsidP="00764F4A">
      <w:pPr>
        <w:spacing w:after="0" w:line="240" w:lineRule="auto"/>
        <w:jc w:val="both"/>
        <w:divId w:val="1316184749"/>
      </w:pPr>
    </w:p>
    <w:p w14:paraId="2571837C" w14:textId="2F4B5898" w:rsidR="0A7C8E9F" w:rsidRPr="005548A1" w:rsidRDefault="0A7C8E9F" w:rsidP="3B898CFE">
      <w:pPr>
        <w:spacing w:after="0" w:line="240" w:lineRule="auto"/>
        <w:jc w:val="both"/>
      </w:pPr>
      <w:r w:rsidRPr="005548A1">
        <w:t>(24) Tervisekassa võtab</w:t>
      </w:r>
      <w:r w:rsidR="67D266D5" w:rsidRPr="005548A1">
        <w:t xml:space="preserve"> koodidega </w:t>
      </w:r>
      <w:r w:rsidR="7448899F" w:rsidRPr="005548A1">
        <w:t>7607, 7633</w:t>
      </w:r>
      <w:r w:rsidR="006B42E1">
        <w:rPr>
          <w:bCs/>
        </w:rPr>
        <w:t>,</w:t>
      </w:r>
      <w:r w:rsidR="5E8D0EBD" w:rsidRPr="005548A1">
        <w:t xml:space="preserve"> </w:t>
      </w:r>
      <w:r w:rsidR="7448899F">
        <w:t>763</w:t>
      </w:r>
      <w:r w:rsidR="168D5E7D">
        <w:t>7</w:t>
      </w:r>
      <w:r w:rsidR="006B42E1">
        <w:t>, 7638, 7639 ja 7640</w:t>
      </w:r>
      <w:r w:rsidR="61195EAC" w:rsidRPr="005548A1">
        <w:t xml:space="preserve"> tähistatud tervishoiuteenuste</w:t>
      </w:r>
      <w:r w:rsidR="7448899F" w:rsidRPr="005548A1">
        <w:t xml:space="preserve"> </w:t>
      </w:r>
      <w:r w:rsidR="5B180BC1" w:rsidRPr="005548A1">
        <w:t xml:space="preserve">eest tasu maksmise </w:t>
      </w:r>
      <w:r w:rsidR="5B180BC1" w:rsidRPr="005548A1">
        <w:rPr>
          <w:bCs/>
        </w:rPr>
        <w:t>kohustuse</w:t>
      </w:r>
      <w:r w:rsidR="5B180BC1" w:rsidRPr="005548A1">
        <w:t xml:space="preserve"> üle, kui teenust osutatakse eriarsti </w:t>
      </w:r>
      <w:r w:rsidR="5A2F25FA" w:rsidRPr="005548A1">
        <w:t xml:space="preserve">või eriõe </w:t>
      </w:r>
      <w:r w:rsidR="5B180BC1" w:rsidRPr="005548A1">
        <w:t>suunamisel.</w:t>
      </w:r>
    </w:p>
    <w:p w14:paraId="70515D14" w14:textId="77777777" w:rsidR="00F1740A" w:rsidRDefault="00F1740A" w:rsidP="3B898CFE">
      <w:pPr>
        <w:spacing w:after="0" w:line="240" w:lineRule="auto"/>
        <w:jc w:val="both"/>
      </w:pPr>
    </w:p>
    <w:p w14:paraId="29EA9CFE" w14:textId="78928BDE" w:rsidR="00F1740A" w:rsidRDefault="00F1740A" w:rsidP="3B898CFE">
      <w:pPr>
        <w:spacing w:after="0" w:line="240" w:lineRule="auto"/>
        <w:jc w:val="both"/>
      </w:pPr>
      <w:r>
        <w:lastRenderedPageBreak/>
        <w:t xml:space="preserve">(25) </w:t>
      </w:r>
      <w:r w:rsidR="00DC5BC7" w:rsidRPr="00DC5BC7">
        <w:t>Tervisekassa võtab koodiga 7642 tähistatud tervishoiuteenuse eest tasu maksmise kohustuse üle, kui teenust osutavad vähemalt kaks dialektilise käitumisteraapia meeskonda kuuluvat liiget järgmisest loetelust: kliiniline psühholoog, psühhiaater ja/või vaimse tervise õde, kes on läbinud Linehani Instituudi või Euroopa Dialektilise Käitumisteraapia Assotsiatsiooni poolt akrediteeritud dialektilise käitumisteraapia põhiväljaõppe.</w:t>
      </w:r>
    </w:p>
    <w:p w14:paraId="08A47BCF" w14:textId="77777777" w:rsidR="00DC5BC7" w:rsidRDefault="00DC5BC7" w:rsidP="3B898CFE">
      <w:pPr>
        <w:spacing w:after="0" w:line="240" w:lineRule="auto"/>
        <w:jc w:val="both"/>
      </w:pPr>
    </w:p>
    <w:p w14:paraId="11136431" w14:textId="290CBCE2" w:rsidR="00DC5BC7" w:rsidRPr="005548A1" w:rsidRDefault="00DC5BC7" w:rsidP="3B898CFE">
      <w:pPr>
        <w:spacing w:after="0" w:line="240" w:lineRule="auto"/>
        <w:jc w:val="both"/>
      </w:pPr>
      <w:r>
        <w:t xml:space="preserve">(26) </w:t>
      </w:r>
      <w:r w:rsidR="00FB66B6" w:rsidRPr="00FB66B6">
        <w:t xml:space="preserve">Tervisekassa võtab koodiga 7642 tähistatud tervishoiuteenuse eest tasu maksmise kohustuse üle </w:t>
      </w:r>
      <w:r w:rsidR="009201A4">
        <w:t>kõige</w:t>
      </w:r>
      <w:r w:rsidR="00FB66B6" w:rsidRPr="00FB66B6">
        <w:t xml:space="preserve"> rohkem üks kord nädalas.</w:t>
      </w:r>
    </w:p>
    <w:p w14:paraId="00F4C923" w14:textId="4A9E9C88" w:rsidR="00B81AC5" w:rsidRDefault="00B81AC5" w:rsidP="3B898CFE">
      <w:pPr>
        <w:spacing w:after="0" w:line="240" w:lineRule="auto"/>
        <w:jc w:val="both"/>
      </w:pPr>
    </w:p>
    <w:p w14:paraId="0B60B5DD" w14:textId="68B7000B" w:rsidR="00B81AC5" w:rsidRPr="005548A1" w:rsidRDefault="00B81AC5" w:rsidP="3B898CFE">
      <w:pPr>
        <w:spacing w:after="0" w:line="240" w:lineRule="auto"/>
        <w:jc w:val="both"/>
      </w:pPr>
      <w:r>
        <w:t>(2</w:t>
      </w:r>
      <w:r w:rsidR="00F62783">
        <w:t>7</w:t>
      </w:r>
      <w:r>
        <w:t xml:space="preserve">) </w:t>
      </w:r>
      <w:r w:rsidR="00042AF1" w:rsidRPr="00042AF1">
        <w:t>Tervisekassa võtab koodiga 760</w:t>
      </w:r>
      <w:r w:rsidR="00890C43">
        <w:t>0</w:t>
      </w:r>
      <w:r w:rsidR="00042AF1" w:rsidRPr="00042AF1">
        <w:t xml:space="preserve"> tähistatud tervishoiuteenuse eest tasu maksmise kohustuse üle eriarsti suunamisel. Enam kui 15 seansi eest tasutakse juhul, kui eriarst on dokumenteerinud senise ravi tulemuslikkuse ning põhjendanud ravi jätkamise vajaduse esmalt 15 seansi järel ja seejärel iga 15 seansi järel.</w:t>
      </w:r>
    </w:p>
    <w:p w14:paraId="50D3EB47" w14:textId="4000B151" w:rsidR="3B898CFE" w:rsidRDefault="3B898CFE" w:rsidP="3B898CFE">
      <w:pPr>
        <w:spacing w:after="0" w:line="240" w:lineRule="auto"/>
        <w:jc w:val="both"/>
        <w:rPr>
          <w:b/>
          <w:bCs/>
        </w:rPr>
      </w:pPr>
    </w:p>
    <w:p w14:paraId="3CC7D03B" w14:textId="0D063AD7" w:rsidR="00976487" w:rsidRDefault="00976487" w:rsidP="00976487">
      <w:pPr>
        <w:spacing w:after="0" w:line="240" w:lineRule="auto"/>
        <w:jc w:val="both"/>
        <w:outlineLvl w:val="2"/>
        <w:divId w:val="1316184749"/>
        <w:rPr>
          <w:b/>
          <w:szCs w:val="24"/>
        </w:rPr>
      </w:pPr>
      <w:r w:rsidRPr="00687DE8">
        <w:rPr>
          <w:b/>
          <w:szCs w:val="24"/>
        </w:rPr>
        <w:t xml:space="preserve">§ </w:t>
      </w:r>
      <w:r w:rsidR="00895BD5" w:rsidRPr="00687DE8">
        <w:rPr>
          <w:b/>
          <w:szCs w:val="24"/>
        </w:rPr>
        <w:t>4</w:t>
      </w:r>
      <w:r w:rsidR="00296746" w:rsidRPr="00687DE8">
        <w:rPr>
          <w:b/>
          <w:szCs w:val="24"/>
        </w:rPr>
        <w:t>0</w:t>
      </w:r>
      <w:r w:rsidRPr="00687DE8">
        <w:rPr>
          <w:b/>
          <w:szCs w:val="24"/>
        </w:rPr>
        <w:t>. Logopeedilise</w:t>
      </w:r>
      <w:r w:rsidR="00597BB9" w:rsidRPr="00687DE8">
        <w:rPr>
          <w:b/>
          <w:szCs w:val="24"/>
        </w:rPr>
        <w:t xml:space="preserve"> ravi</w:t>
      </w:r>
      <w:r w:rsidRPr="00687DE8">
        <w:rPr>
          <w:b/>
          <w:szCs w:val="24"/>
        </w:rPr>
        <w:t xml:space="preserve"> teenuste piirhinnad</w:t>
      </w:r>
    </w:p>
    <w:p w14:paraId="54A1B4D4" w14:textId="77777777" w:rsidR="00484105" w:rsidRDefault="00484105" w:rsidP="00976487">
      <w:pPr>
        <w:spacing w:after="0" w:line="240" w:lineRule="auto"/>
        <w:jc w:val="both"/>
        <w:divId w:val="1316184749"/>
        <w:rPr>
          <w:szCs w:val="24"/>
        </w:rPr>
      </w:pPr>
    </w:p>
    <w:p w14:paraId="588C4013" w14:textId="679EDD6E" w:rsidR="00976487" w:rsidRPr="00687DE8" w:rsidRDefault="00976487" w:rsidP="00976487">
      <w:pPr>
        <w:spacing w:after="0" w:line="240" w:lineRule="auto"/>
        <w:jc w:val="both"/>
        <w:divId w:val="1316184749"/>
        <w:rPr>
          <w:szCs w:val="24"/>
        </w:rPr>
      </w:pPr>
      <w:r w:rsidRPr="00687DE8">
        <w:rPr>
          <w:szCs w:val="24"/>
        </w:rPr>
        <w:t>(1) Logopeedilise</w:t>
      </w:r>
      <w:r w:rsidR="00597BB9" w:rsidRPr="00687DE8">
        <w:rPr>
          <w:szCs w:val="24"/>
        </w:rPr>
        <w:t xml:space="preserve"> ravi</w:t>
      </w:r>
      <w:r w:rsidRPr="00687DE8">
        <w:rPr>
          <w:szCs w:val="24"/>
        </w:rPr>
        <w:t xml:space="preserve"> teenuste piirhinnad on järgmised:</w:t>
      </w:r>
    </w:p>
    <w:p w14:paraId="1782EE2C"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3"/>
        <w:gridCol w:w="1022"/>
        <w:gridCol w:w="1720"/>
      </w:tblGrid>
      <w:tr w:rsidR="00976487" w:rsidRPr="00687DE8" w14:paraId="74539C4E" w14:textId="77777777" w:rsidTr="00DA06CD">
        <w:trPr>
          <w:divId w:val="1316184749"/>
        </w:trPr>
        <w:tc>
          <w:tcPr>
            <w:tcW w:w="66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F7DC96" w14:textId="77777777" w:rsidR="00976487" w:rsidRPr="00687DE8" w:rsidRDefault="00976487">
            <w:pPr>
              <w:spacing w:after="0" w:line="240" w:lineRule="auto"/>
              <w:jc w:val="center"/>
              <w:rPr>
                <w:szCs w:val="24"/>
              </w:rPr>
            </w:pPr>
            <w:r w:rsidRPr="00687DE8">
              <w:rPr>
                <w:b/>
                <w:szCs w:val="24"/>
              </w:rPr>
              <w:t>Tervishoiuteenuse nimetus</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D62EBA" w14:textId="77777777" w:rsidR="00976487" w:rsidRPr="00687DE8" w:rsidRDefault="00976487">
            <w:pPr>
              <w:spacing w:after="0" w:line="240" w:lineRule="auto"/>
              <w:jc w:val="center"/>
              <w:rPr>
                <w:szCs w:val="24"/>
              </w:rPr>
            </w:pPr>
            <w:r w:rsidRPr="00687DE8">
              <w:rPr>
                <w:b/>
                <w:szCs w:val="24"/>
              </w:rPr>
              <w:t>Kood</w:t>
            </w:r>
          </w:p>
        </w:tc>
        <w:tc>
          <w:tcPr>
            <w:tcW w:w="17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CB4CF1" w14:textId="77777777" w:rsidR="00976487" w:rsidRPr="00687DE8" w:rsidRDefault="00976487">
            <w:pPr>
              <w:tabs>
                <w:tab w:val="decimal" w:pos="635"/>
              </w:tabs>
              <w:spacing w:after="0" w:line="240" w:lineRule="auto"/>
              <w:jc w:val="center"/>
              <w:rPr>
                <w:szCs w:val="24"/>
              </w:rPr>
            </w:pPr>
            <w:r w:rsidRPr="00687DE8">
              <w:rPr>
                <w:b/>
                <w:szCs w:val="24"/>
              </w:rPr>
              <w:t>Piirhind</w:t>
            </w:r>
            <w:r w:rsidRPr="00687DE8">
              <w:rPr>
                <w:szCs w:val="24"/>
              </w:rPr>
              <w:br/>
            </w:r>
            <w:r w:rsidRPr="00687DE8">
              <w:rPr>
                <w:b/>
                <w:szCs w:val="24"/>
              </w:rPr>
              <w:t>eurodes</w:t>
            </w:r>
          </w:p>
        </w:tc>
      </w:tr>
      <w:tr w:rsidR="003961F2" w:rsidRPr="00687DE8" w14:paraId="3A676624" w14:textId="77777777" w:rsidTr="00934CCC">
        <w:trPr>
          <w:divId w:val="1316184749"/>
          <w:trHeight w:val="300"/>
        </w:trPr>
        <w:tc>
          <w:tcPr>
            <w:tcW w:w="66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A0459C" w14:textId="77777777" w:rsidR="003961F2" w:rsidRPr="00687DE8" w:rsidRDefault="003961F2" w:rsidP="003961F2">
            <w:pPr>
              <w:spacing w:after="0" w:line="240" w:lineRule="auto"/>
              <w:rPr>
                <w:szCs w:val="24"/>
              </w:rPr>
            </w:pPr>
            <w:r w:rsidRPr="00687DE8">
              <w:rPr>
                <w:szCs w:val="24"/>
              </w:rPr>
              <w:t>Logopeedi vastuvõtt</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9B5375" w14:textId="77777777" w:rsidR="003961F2" w:rsidRPr="00687DE8" w:rsidRDefault="003961F2" w:rsidP="003961F2">
            <w:pPr>
              <w:spacing w:after="0" w:line="240" w:lineRule="auto"/>
              <w:jc w:val="center"/>
              <w:rPr>
                <w:szCs w:val="24"/>
              </w:rPr>
            </w:pPr>
            <w:r w:rsidRPr="00687DE8">
              <w:rPr>
                <w:szCs w:val="24"/>
              </w:rPr>
              <w:t>7628</w:t>
            </w:r>
          </w:p>
        </w:tc>
        <w:tc>
          <w:tcPr>
            <w:tcW w:w="17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62D576" w14:textId="3F9F0E69" w:rsidR="0435C87F" w:rsidRPr="00687DE8" w:rsidRDefault="00A9007A">
            <w:pPr>
              <w:spacing w:after="0"/>
              <w:jc w:val="center"/>
              <w:rPr>
                <w:color w:val="000000" w:themeColor="text1"/>
                <w:szCs w:val="24"/>
              </w:rPr>
            </w:pPr>
            <w:r>
              <w:rPr>
                <w:color w:val="000000"/>
              </w:rPr>
              <w:t>59,29</w:t>
            </w:r>
          </w:p>
        </w:tc>
      </w:tr>
      <w:tr w:rsidR="003961F2" w:rsidRPr="00687DE8" w14:paraId="42FE6869" w14:textId="77777777" w:rsidTr="00934CCC">
        <w:trPr>
          <w:divId w:val="1316184749"/>
          <w:trHeight w:val="300"/>
        </w:trPr>
        <w:tc>
          <w:tcPr>
            <w:tcW w:w="66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C642A7" w14:textId="77777777" w:rsidR="003961F2" w:rsidRPr="00687DE8" w:rsidRDefault="003961F2" w:rsidP="003961F2">
            <w:pPr>
              <w:spacing w:after="0" w:line="240" w:lineRule="auto"/>
              <w:rPr>
                <w:szCs w:val="24"/>
              </w:rPr>
            </w:pPr>
            <w:r w:rsidRPr="00687DE8">
              <w:rPr>
                <w:szCs w:val="24"/>
              </w:rPr>
              <w:t>Logopeedi videovastuvõtt</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F7D6C2" w14:textId="77777777" w:rsidR="003961F2" w:rsidRPr="00687DE8" w:rsidRDefault="003961F2" w:rsidP="003961F2">
            <w:pPr>
              <w:spacing w:after="0" w:line="240" w:lineRule="auto"/>
              <w:jc w:val="center"/>
              <w:rPr>
                <w:szCs w:val="24"/>
              </w:rPr>
            </w:pPr>
            <w:r w:rsidRPr="00687DE8">
              <w:rPr>
                <w:szCs w:val="24"/>
              </w:rPr>
              <w:t>7629</w:t>
            </w:r>
          </w:p>
        </w:tc>
        <w:tc>
          <w:tcPr>
            <w:tcW w:w="17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74D8698" w14:textId="53F8A577" w:rsidR="0435C87F" w:rsidRPr="00687DE8" w:rsidRDefault="00A9007A">
            <w:pPr>
              <w:spacing w:after="0"/>
              <w:jc w:val="center"/>
              <w:rPr>
                <w:color w:val="000000" w:themeColor="text1"/>
                <w:szCs w:val="24"/>
              </w:rPr>
            </w:pPr>
            <w:r>
              <w:rPr>
                <w:color w:val="000000"/>
              </w:rPr>
              <w:t>59,29</w:t>
            </w:r>
          </w:p>
        </w:tc>
      </w:tr>
      <w:tr w:rsidR="00B664D8" w:rsidRPr="00687DE8" w14:paraId="2BBB5C5D" w14:textId="77777777" w:rsidTr="00934CCC">
        <w:trPr>
          <w:divId w:val="1316184749"/>
          <w:trHeight w:val="300"/>
        </w:trPr>
        <w:tc>
          <w:tcPr>
            <w:tcW w:w="66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05D0D9" w14:textId="08B30E93" w:rsidR="009C4FEF" w:rsidRPr="00687DE8" w:rsidRDefault="00433022" w:rsidP="003961F2">
            <w:pPr>
              <w:spacing w:after="0" w:line="240" w:lineRule="auto"/>
              <w:rPr>
                <w:szCs w:val="24"/>
              </w:rPr>
            </w:pPr>
            <w:r w:rsidRPr="00433022">
              <w:rPr>
                <w:szCs w:val="24"/>
              </w:rPr>
              <w:t>Logopeediline</w:t>
            </w:r>
            <w:r w:rsidR="003D6E8A" w:rsidRPr="003D6E8A">
              <w:rPr>
                <w:szCs w:val="24"/>
              </w:rPr>
              <w:t xml:space="preserve"> grupiteraapia seanss ühele </w:t>
            </w:r>
            <w:r w:rsidR="003D6E8A" w:rsidRPr="003D6E8A" w:rsidDel="00B71272">
              <w:rPr>
                <w:szCs w:val="24"/>
              </w:rPr>
              <w:t>haigele</w:t>
            </w:r>
            <w:r w:rsidR="003D6E8A" w:rsidRPr="003D6E8A">
              <w:rPr>
                <w:szCs w:val="24"/>
              </w:rPr>
              <w:t xml:space="preserve"> grupis (grupis kaks kuni viis haiget)</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29DE69" w14:textId="5B46B8CB" w:rsidR="009C4FEF" w:rsidRPr="00687DE8" w:rsidRDefault="003D6E8A" w:rsidP="004B2BC0">
            <w:pPr>
              <w:spacing w:after="0" w:line="240" w:lineRule="auto"/>
              <w:jc w:val="center"/>
              <w:rPr>
                <w:szCs w:val="24"/>
              </w:rPr>
            </w:pPr>
            <w:r>
              <w:rPr>
                <w:szCs w:val="24"/>
              </w:rPr>
              <w:t>7641</w:t>
            </w:r>
          </w:p>
        </w:tc>
        <w:tc>
          <w:tcPr>
            <w:tcW w:w="17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3464A38" w14:textId="04F09F79" w:rsidR="009C4FEF" w:rsidRPr="00687DE8" w:rsidRDefault="00A9007A" w:rsidP="004B2BC0">
            <w:pPr>
              <w:spacing w:after="0"/>
              <w:jc w:val="center"/>
              <w:rPr>
                <w:color w:val="000000" w:themeColor="text1"/>
                <w:szCs w:val="24"/>
              </w:rPr>
            </w:pPr>
            <w:r>
              <w:rPr>
                <w:color w:val="000000"/>
              </w:rPr>
              <w:t>26,20</w:t>
            </w:r>
          </w:p>
        </w:tc>
      </w:tr>
      <w:tr w:rsidR="003961F2" w:rsidRPr="00687DE8" w14:paraId="100D7739" w14:textId="77777777" w:rsidTr="00934CCC">
        <w:trPr>
          <w:divId w:val="1316184749"/>
          <w:trHeight w:val="300"/>
        </w:trPr>
        <w:tc>
          <w:tcPr>
            <w:tcW w:w="66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F86600" w14:textId="74E70FE3" w:rsidR="003961F2" w:rsidRPr="00687DE8" w:rsidRDefault="003961F2" w:rsidP="003961F2">
            <w:pPr>
              <w:spacing w:after="0" w:line="240" w:lineRule="auto"/>
              <w:rPr>
                <w:szCs w:val="24"/>
              </w:rPr>
            </w:pPr>
            <w:r w:rsidRPr="00687DE8">
              <w:rPr>
                <w:szCs w:val="24"/>
              </w:rPr>
              <w:t>Logopeediline uuring</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6DF062" w14:textId="77777777" w:rsidR="003961F2" w:rsidRPr="00687DE8" w:rsidRDefault="003961F2" w:rsidP="003961F2">
            <w:pPr>
              <w:spacing w:after="0" w:line="240" w:lineRule="auto"/>
              <w:jc w:val="center"/>
              <w:rPr>
                <w:szCs w:val="24"/>
              </w:rPr>
            </w:pPr>
            <w:r w:rsidRPr="00687DE8">
              <w:rPr>
                <w:szCs w:val="24"/>
              </w:rPr>
              <w:t>7621</w:t>
            </w:r>
          </w:p>
        </w:tc>
        <w:tc>
          <w:tcPr>
            <w:tcW w:w="17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4208616" w14:textId="1E22A53F" w:rsidR="0435C87F" w:rsidRPr="00687DE8" w:rsidRDefault="00A9007A">
            <w:pPr>
              <w:spacing w:after="0"/>
              <w:jc w:val="center"/>
              <w:rPr>
                <w:color w:val="000000" w:themeColor="text1"/>
                <w:szCs w:val="24"/>
              </w:rPr>
            </w:pPr>
            <w:r>
              <w:rPr>
                <w:color w:val="000000"/>
              </w:rPr>
              <w:t>64,76</w:t>
            </w:r>
          </w:p>
        </w:tc>
      </w:tr>
      <w:tr w:rsidR="003961F2" w:rsidRPr="00687DE8" w14:paraId="142FFDDF" w14:textId="77777777" w:rsidTr="00934CCC">
        <w:trPr>
          <w:divId w:val="1316184749"/>
          <w:trHeight w:val="300"/>
        </w:trPr>
        <w:tc>
          <w:tcPr>
            <w:tcW w:w="66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A371FD" w14:textId="77777777" w:rsidR="003961F2" w:rsidRPr="00687DE8" w:rsidRDefault="003961F2" w:rsidP="003961F2">
            <w:pPr>
              <w:spacing w:after="0" w:line="240" w:lineRule="auto"/>
              <w:rPr>
                <w:szCs w:val="24"/>
              </w:rPr>
            </w:pPr>
            <w:r w:rsidRPr="00687DE8">
              <w:rPr>
                <w:szCs w:val="24"/>
              </w:rPr>
              <w:t>Instrumentaalse uuringu planeerimine ja raviplaani täiendamine</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58DE29" w14:textId="77777777" w:rsidR="003961F2" w:rsidRPr="00687DE8" w:rsidRDefault="003961F2" w:rsidP="003961F2">
            <w:pPr>
              <w:spacing w:after="0" w:line="240" w:lineRule="auto"/>
              <w:jc w:val="center"/>
              <w:rPr>
                <w:szCs w:val="24"/>
              </w:rPr>
            </w:pPr>
            <w:r w:rsidRPr="00687DE8">
              <w:rPr>
                <w:szCs w:val="24"/>
              </w:rPr>
              <w:t>7623</w:t>
            </w:r>
          </w:p>
        </w:tc>
        <w:tc>
          <w:tcPr>
            <w:tcW w:w="17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B7BE89" w14:textId="322A35E2" w:rsidR="0435C87F" w:rsidRPr="00687DE8" w:rsidRDefault="00A9007A">
            <w:pPr>
              <w:spacing w:after="0"/>
              <w:jc w:val="center"/>
              <w:rPr>
                <w:color w:val="000000" w:themeColor="text1"/>
                <w:szCs w:val="24"/>
              </w:rPr>
            </w:pPr>
            <w:r>
              <w:rPr>
                <w:color w:val="000000"/>
              </w:rPr>
              <w:t>56,77</w:t>
            </w:r>
          </w:p>
        </w:tc>
      </w:tr>
      <w:tr w:rsidR="003961F2" w:rsidRPr="00687DE8" w14:paraId="04CB23D4" w14:textId="77777777" w:rsidTr="00934CCC">
        <w:trPr>
          <w:divId w:val="1316184749"/>
          <w:trHeight w:val="300"/>
        </w:trPr>
        <w:tc>
          <w:tcPr>
            <w:tcW w:w="66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2B174D" w14:textId="77777777" w:rsidR="003961F2" w:rsidRPr="00687DE8" w:rsidRDefault="003961F2" w:rsidP="003961F2">
            <w:pPr>
              <w:spacing w:after="0" w:line="240" w:lineRule="auto"/>
              <w:rPr>
                <w:szCs w:val="24"/>
              </w:rPr>
            </w:pPr>
            <w:r w:rsidRPr="00687DE8">
              <w:rPr>
                <w:szCs w:val="24"/>
              </w:rPr>
              <w:t>Logopeediline uuring hääleanalüsaatoriga</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299CCB" w14:textId="77777777" w:rsidR="003961F2" w:rsidRPr="00687DE8" w:rsidRDefault="003961F2" w:rsidP="003961F2">
            <w:pPr>
              <w:spacing w:after="0" w:line="240" w:lineRule="auto"/>
              <w:jc w:val="center"/>
              <w:rPr>
                <w:szCs w:val="24"/>
              </w:rPr>
            </w:pPr>
            <w:r w:rsidRPr="00687DE8">
              <w:rPr>
                <w:szCs w:val="24"/>
              </w:rPr>
              <w:t>7624</w:t>
            </w:r>
          </w:p>
        </w:tc>
        <w:tc>
          <w:tcPr>
            <w:tcW w:w="17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25D632" w14:textId="1861EA55" w:rsidR="0435C87F" w:rsidRPr="00687DE8" w:rsidRDefault="00A9007A">
            <w:pPr>
              <w:spacing w:after="0"/>
              <w:jc w:val="center"/>
              <w:rPr>
                <w:color w:val="000000" w:themeColor="text1"/>
                <w:szCs w:val="24"/>
              </w:rPr>
            </w:pPr>
            <w:r>
              <w:rPr>
                <w:color w:val="000000"/>
              </w:rPr>
              <w:t>32,11</w:t>
            </w:r>
          </w:p>
        </w:tc>
      </w:tr>
      <w:tr w:rsidR="003961F2" w:rsidRPr="00687DE8" w14:paraId="1632F2D3" w14:textId="77777777" w:rsidTr="00934CCC">
        <w:trPr>
          <w:divId w:val="1316184749"/>
          <w:trHeight w:val="300"/>
        </w:trPr>
        <w:tc>
          <w:tcPr>
            <w:tcW w:w="66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2A399C" w14:textId="77777777" w:rsidR="003961F2" w:rsidRPr="00687DE8" w:rsidRDefault="003961F2" w:rsidP="003961F2">
            <w:pPr>
              <w:spacing w:after="0" w:line="240" w:lineRule="auto"/>
              <w:rPr>
                <w:szCs w:val="24"/>
              </w:rPr>
            </w:pPr>
            <w:r w:rsidRPr="00687DE8">
              <w:rPr>
                <w:szCs w:val="24"/>
              </w:rPr>
              <w:t>Logopeediline uuring nasomeetriga</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F0D4FC" w14:textId="77777777" w:rsidR="003961F2" w:rsidRPr="00687DE8" w:rsidRDefault="003961F2" w:rsidP="003961F2">
            <w:pPr>
              <w:spacing w:after="0" w:line="240" w:lineRule="auto"/>
              <w:jc w:val="center"/>
              <w:rPr>
                <w:szCs w:val="24"/>
              </w:rPr>
            </w:pPr>
            <w:r w:rsidRPr="00687DE8">
              <w:rPr>
                <w:szCs w:val="24"/>
              </w:rPr>
              <w:t>7625</w:t>
            </w:r>
          </w:p>
        </w:tc>
        <w:tc>
          <w:tcPr>
            <w:tcW w:w="172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940A7D" w14:textId="7F678070" w:rsidR="0435C87F" w:rsidRPr="00687DE8" w:rsidRDefault="00A9007A">
            <w:pPr>
              <w:spacing w:after="0"/>
              <w:jc w:val="center"/>
              <w:rPr>
                <w:color w:val="000000" w:themeColor="text1"/>
                <w:szCs w:val="24"/>
              </w:rPr>
            </w:pPr>
            <w:r>
              <w:rPr>
                <w:color w:val="000000"/>
              </w:rPr>
              <w:t>40,97</w:t>
            </w:r>
          </w:p>
        </w:tc>
      </w:tr>
    </w:tbl>
    <w:p w14:paraId="3B9A408D" w14:textId="77777777" w:rsidR="00976487" w:rsidRPr="00687DE8" w:rsidRDefault="00976487" w:rsidP="00976487">
      <w:pPr>
        <w:spacing w:after="0" w:line="240" w:lineRule="auto"/>
        <w:jc w:val="both"/>
        <w:divId w:val="1316184749"/>
        <w:rPr>
          <w:szCs w:val="24"/>
        </w:rPr>
      </w:pPr>
    </w:p>
    <w:p w14:paraId="27AB2808" w14:textId="79735EF9" w:rsidR="00976487" w:rsidRPr="00687DE8" w:rsidRDefault="00976487" w:rsidP="00976487">
      <w:pPr>
        <w:spacing w:after="0" w:line="240" w:lineRule="auto"/>
        <w:jc w:val="both"/>
        <w:divId w:val="1316184749"/>
      </w:pPr>
      <w:r>
        <w:t xml:space="preserve">(2) </w:t>
      </w:r>
      <w:r w:rsidR="005023FD">
        <w:t>Tervisekassa</w:t>
      </w:r>
      <w:r>
        <w:t xml:space="preserve"> võtab lõikes 1 nimetatud tervishoiuteenuse eest tasu maksmise kohustuse üle, kui teenust osutatakse eriarsti </w:t>
      </w:r>
      <w:r w:rsidR="4209F7DD">
        <w:t xml:space="preserve">või eriõe </w:t>
      </w:r>
      <w:r>
        <w:t>suunamisel ja teenust osutab logopeed.</w:t>
      </w:r>
    </w:p>
    <w:p w14:paraId="6C2B8755" w14:textId="77777777" w:rsidR="00976487" w:rsidRPr="00687DE8" w:rsidRDefault="00976487" w:rsidP="00976487">
      <w:pPr>
        <w:spacing w:after="0" w:line="240" w:lineRule="auto"/>
        <w:jc w:val="both"/>
        <w:divId w:val="1316184749"/>
        <w:rPr>
          <w:szCs w:val="24"/>
        </w:rPr>
      </w:pPr>
    </w:p>
    <w:p w14:paraId="5CF3AC35" w14:textId="0188A543"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koodiga 7621 tähistatud tervishoiuteenuse eest tasu maksmise kohustuse üle kuni kolm korda kuue järjestikuse kuu jooksul. </w:t>
      </w:r>
    </w:p>
    <w:p w14:paraId="0B224F7D" w14:textId="77777777" w:rsidR="00976487" w:rsidRPr="00687DE8" w:rsidRDefault="00976487" w:rsidP="00976487">
      <w:pPr>
        <w:spacing w:after="0" w:line="240" w:lineRule="auto"/>
        <w:jc w:val="both"/>
        <w:divId w:val="1316184749"/>
        <w:rPr>
          <w:szCs w:val="24"/>
        </w:rPr>
      </w:pPr>
    </w:p>
    <w:p w14:paraId="3E5026E8" w14:textId="0456CAEA" w:rsidR="0085247C" w:rsidRPr="00687DE8" w:rsidRDefault="0085247C" w:rsidP="0085247C">
      <w:pPr>
        <w:spacing w:after="0" w:line="240" w:lineRule="auto"/>
        <w:jc w:val="both"/>
        <w:divId w:val="1316184749"/>
        <w:rPr>
          <w:szCs w:val="24"/>
        </w:rPr>
      </w:pPr>
      <w:r w:rsidRPr="00687DE8">
        <w:rPr>
          <w:szCs w:val="24"/>
        </w:rPr>
        <w:t>(4) Koodidega 7628</w:t>
      </w:r>
      <w:r w:rsidR="00300E92">
        <w:rPr>
          <w:szCs w:val="24"/>
        </w:rPr>
        <w:t xml:space="preserve">, </w:t>
      </w:r>
      <w:r w:rsidRPr="00687DE8">
        <w:rPr>
          <w:szCs w:val="24"/>
        </w:rPr>
        <w:t xml:space="preserve">7629 </w:t>
      </w:r>
      <w:r w:rsidR="00300E92">
        <w:rPr>
          <w:szCs w:val="24"/>
        </w:rPr>
        <w:t xml:space="preserve">ja 7641 </w:t>
      </w:r>
      <w:r w:rsidRPr="00687DE8">
        <w:rPr>
          <w:szCs w:val="24"/>
        </w:rPr>
        <w:t xml:space="preserve">tähistatud tervishoiuteenuste piirhind sisaldab </w:t>
      </w:r>
      <w:r w:rsidR="007562B7">
        <w:rPr>
          <w:szCs w:val="24"/>
        </w:rPr>
        <w:t xml:space="preserve">aktiivset ravisekkumist </w:t>
      </w:r>
      <w:r w:rsidR="00884ED9">
        <w:rPr>
          <w:szCs w:val="24"/>
        </w:rPr>
        <w:t>ja</w:t>
      </w:r>
      <w:r w:rsidR="007562B7">
        <w:rPr>
          <w:szCs w:val="24"/>
        </w:rPr>
        <w:t xml:space="preserve"> </w:t>
      </w:r>
      <w:r w:rsidRPr="00687DE8">
        <w:rPr>
          <w:szCs w:val="24"/>
        </w:rPr>
        <w:t>järgmisi tegevusi:</w:t>
      </w:r>
    </w:p>
    <w:p w14:paraId="23F16A79" w14:textId="77777777" w:rsidR="0085247C" w:rsidRPr="00687DE8" w:rsidRDefault="0085247C" w:rsidP="0085247C">
      <w:pPr>
        <w:pStyle w:val="Normaallaadveeb"/>
        <w:spacing w:before="0" w:after="0" w:afterAutospacing="0"/>
        <w:divId w:val="1316184749"/>
      </w:pPr>
      <w:r w:rsidRPr="00687DE8">
        <w:t>1) teraapia või konsultatsiooni ettevalmistamine;</w:t>
      </w:r>
    </w:p>
    <w:p w14:paraId="7F8E75C6" w14:textId="77777777" w:rsidR="0085247C" w:rsidRPr="00687DE8" w:rsidRDefault="0085247C" w:rsidP="0085247C">
      <w:pPr>
        <w:pStyle w:val="Normaallaadveeb"/>
        <w:spacing w:before="0" w:after="0" w:afterAutospacing="0"/>
        <w:divId w:val="1316184749"/>
      </w:pPr>
      <w:r w:rsidRPr="00687DE8">
        <w:t>2) patsiendi seisundi hindamine;</w:t>
      </w:r>
    </w:p>
    <w:p w14:paraId="17493A9F" w14:textId="77777777" w:rsidR="0085247C" w:rsidRPr="00687DE8" w:rsidRDefault="0085247C" w:rsidP="0085247C">
      <w:pPr>
        <w:pStyle w:val="Normaallaadveeb"/>
        <w:spacing w:before="0" w:after="0" w:afterAutospacing="0"/>
        <w:divId w:val="1316184749"/>
      </w:pPr>
      <w:r w:rsidRPr="00687DE8">
        <w:t>3) teraapia eesmärkide ja meetodite või konsultatsiooni eesmärkide valik;</w:t>
      </w:r>
    </w:p>
    <w:p w14:paraId="6F5AABD1" w14:textId="77777777" w:rsidR="0085247C" w:rsidRPr="00687DE8" w:rsidRDefault="0085247C" w:rsidP="0085247C">
      <w:pPr>
        <w:pStyle w:val="Normaallaadveeb"/>
        <w:spacing w:before="0" w:after="0" w:afterAutospacing="0"/>
        <w:jc w:val="both"/>
        <w:divId w:val="1316184749"/>
      </w:pPr>
      <w:r w:rsidRPr="00687DE8">
        <w:t>4) teraapia rakendamine või patsiendi, patsiendi lähedaste või meeskonnaliikmete nõustamine;</w:t>
      </w:r>
    </w:p>
    <w:p w14:paraId="047E6AC3" w14:textId="77777777" w:rsidR="0085247C" w:rsidRPr="00687DE8" w:rsidRDefault="0085247C" w:rsidP="0085247C">
      <w:pPr>
        <w:pStyle w:val="Normaallaadveeb"/>
        <w:spacing w:before="0" w:after="0" w:afterAutospacing="0"/>
        <w:divId w:val="1316184749"/>
      </w:pPr>
      <w:r w:rsidRPr="00687DE8">
        <w:t>5) tagasiside andmine, vajaduse korral iseseisva töö kokkuleppimine;</w:t>
      </w:r>
    </w:p>
    <w:p w14:paraId="00D27BCF" w14:textId="77777777" w:rsidR="0085247C" w:rsidRPr="00687DE8" w:rsidRDefault="0085247C" w:rsidP="0085247C">
      <w:pPr>
        <w:pStyle w:val="Normaallaadveeb"/>
        <w:spacing w:before="0" w:after="0" w:afterAutospacing="0"/>
        <w:divId w:val="1316184749"/>
      </w:pPr>
      <w:r w:rsidRPr="00687DE8">
        <w:t>6) teenuse dokumenteerimine;</w:t>
      </w:r>
    </w:p>
    <w:p w14:paraId="25E453D2" w14:textId="77777777" w:rsidR="0085247C" w:rsidRPr="00687DE8" w:rsidRDefault="0085247C" w:rsidP="0085247C">
      <w:pPr>
        <w:pStyle w:val="Normaallaadveeb"/>
        <w:spacing w:before="0" w:after="0" w:afterAutospacing="0"/>
        <w:divId w:val="1316184749"/>
      </w:pPr>
      <w:r w:rsidRPr="00687DE8">
        <w:t>7) patsiendile iseseisva töö koostamine.</w:t>
      </w:r>
    </w:p>
    <w:p w14:paraId="43706BCB" w14:textId="77777777" w:rsidR="00976487" w:rsidRPr="00687DE8" w:rsidRDefault="00976487" w:rsidP="00976487">
      <w:pPr>
        <w:spacing w:after="0" w:line="240" w:lineRule="auto"/>
        <w:jc w:val="both"/>
        <w:divId w:val="1316184749"/>
        <w:rPr>
          <w:szCs w:val="24"/>
        </w:rPr>
      </w:pPr>
    </w:p>
    <w:p w14:paraId="4AE41B2E" w14:textId="77777777" w:rsidR="00976487" w:rsidRPr="00687DE8" w:rsidRDefault="00976487" w:rsidP="00976487">
      <w:pPr>
        <w:spacing w:after="0" w:line="240" w:lineRule="auto"/>
        <w:jc w:val="both"/>
        <w:divId w:val="1316184749"/>
        <w:rPr>
          <w:szCs w:val="24"/>
        </w:rPr>
      </w:pPr>
      <w:r w:rsidRPr="00687DE8">
        <w:rPr>
          <w:szCs w:val="24"/>
        </w:rPr>
        <w:t>(5) Koodiga 7623 tähistatud tervishoiuteenuse piirhind sisaldab järgmisi tegevusi:</w:t>
      </w:r>
    </w:p>
    <w:p w14:paraId="2BF3A05C" w14:textId="77777777" w:rsidR="00976487" w:rsidRPr="00687DE8" w:rsidRDefault="00976487" w:rsidP="00976487">
      <w:pPr>
        <w:spacing w:after="0" w:line="240" w:lineRule="auto"/>
        <w:jc w:val="both"/>
        <w:divId w:val="1316184749"/>
        <w:rPr>
          <w:szCs w:val="24"/>
        </w:rPr>
      </w:pPr>
      <w:r w:rsidRPr="00687DE8">
        <w:rPr>
          <w:szCs w:val="24"/>
        </w:rPr>
        <w:lastRenderedPageBreak/>
        <w:t>1) uuringu planeerimine;</w:t>
      </w:r>
    </w:p>
    <w:p w14:paraId="3C5BAB6F" w14:textId="77777777" w:rsidR="00976487" w:rsidRPr="00687DE8" w:rsidRDefault="00976487" w:rsidP="00976487">
      <w:pPr>
        <w:spacing w:after="0" w:line="240" w:lineRule="auto"/>
        <w:jc w:val="both"/>
        <w:divId w:val="1316184749"/>
        <w:rPr>
          <w:szCs w:val="24"/>
        </w:rPr>
      </w:pPr>
      <w:r w:rsidRPr="00687DE8">
        <w:rPr>
          <w:szCs w:val="24"/>
        </w:rPr>
        <w:t xml:space="preserve">2) uuringul osalemine </w:t>
      </w:r>
      <w:r w:rsidR="00E00217" w:rsidRPr="00687DE8">
        <w:rPr>
          <w:szCs w:val="24"/>
        </w:rPr>
        <w:t>ning</w:t>
      </w:r>
      <w:r w:rsidRPr="00687DE8">
        <w:rPr>
          <w:szCs w:val="24"/>
        </w:rPr>
        <w:t xml:space="preserve"> koostöös arstiga häälepaelte või neelamisfunktsiooni normaalse ja patoloogilise anatoomia ja füsioloogia eristamine;</w:t>
      </w:r>
    </w:p>
    <w:p w14:paraId="23CC9C24" w14:textId="77777777" w:rsidR="00976487" w:rsidRPr="00687DE8" w:rsidRDefault="00976487" w:rsidP="00976487">
      <w:pPr>
        <w:spacing w:after="0" w:line="240" w:lineRule="auto"/>
        <w:jc w:val="both"/>
        <w:divId w:val="1316184749"/>
        <w:rPr>
          <w:szCs w:val="24"/>
        </w:rPr>
      </w:pPr>
      <w:r w:rsidRPr="00687DE8">
        <w:rPr>
          <w:szCs w:val="24"/>
        </w:rPr>
        <w:t>3) uuringu tulemuste tõlgendamine ja raviplaani täiendamine.</w:t>
      </w:r>
    </w:p>
    <w:p w14:paraId="7B8ECA3F" w14:textId="77777777" w:rsidR="00976487" w:rsidRPr="00687DE8" w:rsidRDefault="00976487" w:rsidP="00976487">
      <w:pPr>
        <w:spacing w:after="0" w:line="240" w:lineRule="auto"/>
        <w:jc w:val="both"/>
        <w:divId w:val="1316184749"/>
        <w:rPr>
          <w:szCs w:val="24"/>
        </w:rPr>
      </w:pPr>
    </w:p>
    <w:p w14:paraId="2FF1C36E" w14:textId="692A671B" w:rsidR="00976487" w:rsidRPr="00687DE8" w:rsidRDefault="00976487" w:rsidP="00976487">
      <w:pPr>
        <w:spacing w:after="0" w:line="240" w:lineRule="auto"/>
        <w:jc w:val="both"/>
        <w:divId w:val="1316184749"/>
      </w:pPr>
      <w:r>
        <w:t xml:space="preserve">(6) </w:t>
      </w:r>
      <w:r w:rsidR="005023FD">
        <w:t>Tervisekassa</w:t>
      </w:r>
      <w:r>
        <w:t xml:space="preserve"> võtab koodiga 7623 tähistatud tervishoiuteenuse eest tasu maksmise kohustuse üle koos koodidega 7559, 7934 ja </w:t>
      </w:r>
      <w:r w:rsidR="4C2C8204">
        <w:t>7321</w:t>
      </w:r>
      <w:r w:rsidR="00B53946">
        <w:t xml:space="preserve"> </w:t>
      </w:r>
      <w:r>
        <w:t>tähistatud tervishoiuteenustega.</w:t>
      </w:r>
    </w:p>
    <w:p w14:paraId="68E32634" w14:textId="77777777" w:rsidR="008A6A65" w:rsidRPr="00687DE8" w:rsidRDefault="008A6A65" w:rsidP="008A6A65">
      <w:pPr>
        <w:spacing w:after="0" w:line="240" w:lineRule="auto"/>
        <w:jc w:val="both"/>
        <w:divId w:val="1316184749"/>
        <w:rPr>
          <w:szCs w:val="24"/>
        </w:rPr>
      </w:pPr>
    </w:p>
    <w:p w14:paraId="6D3D9186" w14:textId="77777777" w:rsidR="00E81A6D" w:rsidRPr="00687DE8" w:rsidRDefault="00E81A6D" w:rsidP="00E81A6D">
      <w:pPr>
        <w:spacing w:after="0" w:line="240" w:lineRule="auto"/>
        <w:jc w:val="both"/>
        <w:divId w:val="1316184749"/>
        <w:rPr>
          <w:szCs w:val="24"/>
        </w:rPr>
      </w:pPr>
      <w:r w:rsidRPr="00687DE8">
        <w:rPr>
          <w:szCs w:val="24"/>
        </w:rPr>
        <w:t>(</w:t>
      </w:r>
      <w:r w:rsidR="001D150C" w:rsidRPr="00687DE8">
        <w:rPr>
          <w:szCs w:val="24"/>
        </w:rPr>
        <w:t>7</w:t>
      </w:r>
      <w:r w:rsidRPr="00687DE8">
        <w:rPr>
          <w:szCs w:val="24"/>
        </w:rPr>
        <w:t xml:space="preserve">) Koodiga </w:t>
      </w:r>
      <w:r w:rsidR="00C93892" w:rsidRPr="00687DE8">
        <w:rPr>
          <w:szCs w:val="24"/>
        </w:rPr>
        <w:t>7629</w:t>
      </w:r>
      <w:r w:rsidRPr="00687DE8">
        <w:rPr>
          <w:szCs w:val="24"/>
        </w:rPr>
        <w:t xml:space="preserve"> tähistatud tervishoiuteenus</w:t>
      </w:r>
      <w:r w:rsidR="00953479" w:rsidRPr="00687DE8">
        <w:rPr>
          <w:szCs w:val="24"/>
        </w:rPr>
        <w:t>t</w:t>
      </w:r>
      <w:r w:rsidRPr="00687DE8">
        <w:rPr>
          <w:szCs w:val="24"/>
        </w:rPr>
        <w:t xml:space="preserve"> osuta</w:t>
      </w:r>
      <w:r w:rsidR="00953479" w:rsidRPr="00687DE8">
        <w:rPr>
          <w:szCs w:val="24"/>
        </w:rPr>
        <w:t>takse</w:t>
      </w:r>
      <w:r w:rsidRPr="00687DE8">
        <w:rPr>
          <w:szCs w:val="24"/>
        </w:rPr>
        <w:t xml:space="preserve"> vahetu kontaktita, kasutades turvalist videolahendust.</w:t>
      </w:r>
    </w:p>
    <w:p w14:paraId="6E04AC73" w14:textId="77777777" w:rsidR="00E81A6D" w:rsidRPr="00687DE8" w:rsidRDefault="00E81A6D" w:rsidP="00E81A6D">
      <w:pPr>
        <w:spacing w:after="0" w:line="240" w:lineRule="auto"/>
        <w:jc w:val="both"/>
        <w:divId w:val="1316184749"/>
        <w:rPr>
          <w:szCs w:val="24"/>
        </w:rPr>
      </w:pPr>
    </w:p>
    <w:p w14:paraId="4458B1D6" w14:textId="4CEB8D6E" w:rsidR="00E81A6D" w:rsidRPr="00687DE8" w:rsidRDefault="001D150C" w:rsidP="00E81A6D">
      <w:pPr>
        <w:spacing w:after="0" w:line="240" w:lineRule="auto"/>
        <w:jc w:val="both"/>
        <w:divId w:val="1316184749"/>
      </w:pPr>
      <w:r>
        <w:t>(8</w:t>
      </w:r>
      <w:r w:rsidR="00E81A6D">
        <w:t xml:space="preserve">) </w:t>
      </w:r>
      <w:r w:rsidR="005023FD">
        <w:t>Tervisekassa</w:t>
      </w:r>
      <w:r w:rsidR="00E81A6D">
        <w:t xml:space="preserve"> võtab koodiga </w:t>
      </w:r>
      <w:r w:rsidR="00E86ED3">
        <w:t>7629</w:t>
      </w:r>
      <w:r w:rsidR="00E81A6D">
        <w:t xml:space="preserve"> tähistatud tervishoiuteenuse eest tasu maksmise kohustuse üle eriarsti </w:t>
      </w:r>
      <w:r w:rsidR="44264AC4">
        <w:t>või eriõe</w:t>
      </w:r>
      <w:r w:rsidR="00E81A6D">
        <w:t xml:space="preserve"> suunamisel, kui patsient pöördub selle </w:t>
      </w:r>
      <w:r w:rsidR="00735708">
        <w:t>logopeedi</w:t>
      </w:r>
      <w:r w:rsidR="00E81A6D">
        <w:t xml:space="preserve"> </w:t>
      </w:r>
      <w:r w:rsidR="00735708">
        <w:t>vastuvõtule</w:t>
      </w:r>
      <w:r w:rsidR="00E81A6D">
        <w:t xml:space="preserve"> korduvalt.</w:t>
      </w:r>
    </w:p>
    <w:p w14:paraId="19AB348A" w14:textId="77777777" w:rsidR="001D150C" w:rsidRPr="00687DE8" w:rsidRDefault="001D150C" w:rsidP="00E81A6D">
      <w:pPr>
        <w:spacing w:after="0" w:line="240" w:lineRule="auto"/>
        <w:jc w:val="both"/>
        <w:divId w:val="1316184749"/>
        <w:rPr>
          <w:szCs w:val="24"/>
        </w:rPr>
      </w:pPr>
    </w:p>
    <w:p w14:paraId="580B44C8" w14:textId="77777777" w:rsidR="0085247C" w:rsidRPr="00687DE8" w:rsidRDefault="0085247C" w:rsidP="0085247C">
      <w:pPr>
        <w:spacing w:after="0" w:line="240" w:lineRule="auto"/>
        <w:jc w:val="both"/>
        <w:divId w:val="1316184749"/>
        <w:rPr>
          <w:szCs w:val="24"/>
        </w:rPr>
      </w:pPr>
      <w:r w:rsidRPr="00687DE8">
        <w:rPr>
          <w:szCs w:val="24"/>
        </w:rPr>
        <w:t>(9) Koodiga 7629 tähistatud tervishoiuteenust rakendatakse järgmistel tingimustel:</w:t>
      </w:r>
    </w:p>
    <w:p w14:paraId="435AA4C4" w14:textId="77777777" w:rsidR="0085247C" w:rsidRPr="00687DE8" w:rsidRDefault="0085247C" w:rsidP="0085247C">
      <w:pPr>
        <w:spacing w:after="0" w:line="240" w:lineRule="auto"/>
        <w:jc w:val="both"/>
        <w:divId w:val="1316184749"/>
        <w:rPr>
          <w:szCs w:val="24"/>
        </w:rPr>
      </w:pPr>
      <w:r w:rsidRPr="00687DE8">
        <w:rPr>
          <w:szCs w:val="24"/>
        </w:rPr>
        <w:t>1) võrreldes kontaktvastuvõtuga tervishoiuteenuse kvaliteet säilib või paraneb;</w:t>
      </w:r>
    </w:p>
    <w:p w14:paraId="076FD391" w14:textId="77777777" w:rsidR="0085247C" w:rsidRPr="00687DE8" w:rsidRDefault="0085247C" w:rsidP="0085247C">
      <w:pPr>
        <w:spacing w:after="0" w:line="240" w:lineRule="auto"/>
        <w:jc w:val="both"/>
        <w:divId w:val="1316184749"/>
        <w:rPr>
          <w:szCs w:val="24"/>
        </w:rPr>
      </w:pPr>
      <w:r w:rsidRPr="00687DE8">
        <w:rPr>
          <w:szCs w:val="24"/>
        </w:rPr>
        <w:t>2) kaugvastuvõtu sobivuse konkreetse patsiendi terviseprobleemi käs</w:t>
      </w:r>
      <w:r w:rsidR="00E75C25" w:rsidRPr="00687DE8">
        <w:rPr>
          <w:szCs w:val="24"/>
        </w:rPr>
        <w:t>i</w:t>
      </w:r>
      <w:r w:rsidRPr="00687DE8">
        <w:rPr>
          <w:szCs w:val="24"/>
        </w:rPr>
        <w:t>tlemisel otsustab teenust osutav logopeed, patsiendi tehnilist valmisolekut hindab tervishoiuteenuse osutaja;</w:t>
      </w:r>
    </w:p>
    <w:p w14:paraId="6814056A" w14:textId="77777777" w:rsidR="0085247C" w:rsidRPr="00687DE8" w:rsidRDefault="0085247C" w:rsidP="0085247C">
      <w:pPr>
        <w:autoSpaceDE w:val="0"/>
        <w:autoSpaceDN w:val="0"/>
        <w:adjustRightInd w:val="0"/>
        <w:spacing w:after="0" w:line="240" w:lineRule="auto"/>
        <w:divId w:val="1316184749"/>
        <w:rPr>
          <w:color w:val="000000"/>
          <w:szCs w:val="24"/>
        </w:rPr>
      </w:pPr>
      <w:r w:rsidRPr="00687DE8">
        <w:rPr>
          <w:color w:val="000000" w:themeColor="text1"/>
          <w:szCs w:val="24"/>
        </w:rPr>
        <w:t xml:space="preserve">3) kaugvastuvõtt toimub patsiendi nõusolekul, mis on dokumenteeritud; </w:t>
      </w:r>
    </w:p>
    <w:p w14:paraId="6320A5FF" w14:textId="77777777" w:rsidR="0085247C" w:rsidRPr="00687DE8" w:rsidRDefault="0085247C" w:rsidP="0085247C">
      <w:pPr>
        <w:autoSpaceDE w:val="0"/>
        <w:autoSpaceDN w:val="0"/>
        <w:adjustRightInd w:val="0"/>
        <w:spacing w:after="0" w:line="240" w:lineRule="auto"/>
        <w:divId w:val="1316184749"/>
        <w:rPr>
          <w:color w:val="000000"/>
          <w:szCs w:val="24"/>
        </w:rPr>
      </w:pPr>
      <w:r w:rsidRPr="00687DE8">
        <w:rPr>
          <w:color w:val="000000" w:themeColor="text1"/>
          <w:szCs w:val="24"/>
        </w:rPr>
        <w:t xml:space="preserve">4) kaugvastuvõtt toimub kokkulepitud ajal ja viisil, sünkroonse suhtlusena; </w:t>
      </w:r>
    </w:p>
    <w:p w14:paraId="768D1674" w14:textId="77777777" w:rsidR="0085247C" w:rsidRPr="00687DE8" w:rsidRDefault="0085247C" w:rsidP="0085247C">
      <w:pPr>
        <w:autoSpaceDE w:val="0"/>
        <w:autoSpaceDN w:val="0"/>
        <w:adjustRightInd w:val="0"/>
        <w:spacing w:after="0" w:line="240" w:lineRule="auto"/>
        <w:jc w:val="both"/>
        <w:divId w:val="1316184749"/>
        <w:rPr>
          <w:color w:val="000000"/>
          <w:szCs w:val="24"/>
        </w:rPr>
      </w:pPr>
      <w:r w:rsidRPr="00687DE8">
        <w:rPr>
          <w:color w:val="000000" w:themeColor="text1"/>
          <w:szCs w:val="24"/>
        </w:rPr>
        <w:t xml:space="preserve">5) kaugvastuvõtuks kasutatav info- ja kommunikatsioonitehnoloogiline lahendus ning selle kasutamine vastavad õigusaktides (sealhulgas isikuandmete kaitse seadus, isikuandmete kaitse üldmäärus) sätestatud põhimõtetele; </w:t>
      </w:r>
    </w:p>
    <w:p w14:paraId="1DA352C9" w14:textId="77777777" w:rsidR="0085247C" w:rsidRPr="00687DE8" w:rsidRDefault="0085247C" w:rsidP="0085247C">
      <w:pPr>
        <w:spacing w:after="0" w:line="240" w:lineRule="auto"/>
        <w:jc w:val="both"/>
        <w:divId w:val="1316184749"/>
        <w:rPr>
          <w:color w:val="000000"/>
          <w:szCs w:val="24"/>
        </w:rPr>
      </w:pPr>
      <w:r w:rsidRPr="00687DE8">
        <w:rPr>
          <w:color w:val="000000" w:themeColor="text1"/>
          <w:szCs w:val="24"/>
        </w:rPr>
        <w:t>6) patsiendi isiku tuvastamise eest vastutab tervishoiuteenuse osutaja.</w:t>
      </w:r>
    </w:p>
    <w:p w14:paraId="1DAB9933" w14:textId="77777777" w:rsidR="00E81A6D" w:rsidRPr="00687DE8" w:rsidRDefault="00E81A6D" w:rsidP="00E81A6D">
      <w:pPr>
        <w:spacing w:after="0" w:line="240" w:lineRule="auto"/>
        <w:jc w:val="both"/>
        <w:divId w:val="1316184749"/>
        <w:rPr>
          <w:color w:val="000000"/>
          <w:szCs w:val="24"/>
        </w:rPr>
      </w:pPr>
    </w:p>
    <w:p w14:paraId="5B210B7F" w14:textId="77777777" w:rsidR="0085247C" w:rsidRPr="00687DE8" w:rsidRDefault="0085247C" w:rsidP="0085247C">
      <w:pPr>
        <w:spacing w:after="0" w:line="240" w:lineRule="auto"/>
        <w:jc w:val="both"/>
        <w:divId w:val="1316184749"/>
        <w:rPr>
          <w:szCs w:val="24"/>
        </w:rPr>
      </w:pPr>
      <w:r w:rsidRPr="00687DE8">
        <w:rPr>
          <w:color w:val="000000" w:themeColor="text1"/>
          <w:szCs w:val="24"/>
        </w:rPr>
        <w:t xml:space="preserve">(10) </w:t>
      </w:r>
      <w:r w:rsidRPr="00687DE8">
        <w:rPr>
          <w:szCs w:val="24"/>
        </w:rPr>
        <w:t>Koodiga 7629 tähistatud tervishoiuteenust ei rakendata vastuvõtuaja kokkuleppimise, muutmise või tühistamise ega töömaterjalide edastamise korral.</w:t>
      </w:r>
    </w:p>
    <w:p w14:paraId="1DC2FC67" w14:textId="77777777" w:rsidR="0085247C" w:rsidRPr="00687DE8" w:rsidRDefault="0085247C" w:rsidP="0085247C">
      <w:pPr>
        <w:spacing w:after="0" w:line="240" w:lineRule="auto"/>
        <w:jc w:val="both"/>
        <w:divId w:val="1316184749"/>
        <w:rPr>
          <w:szCs w:val="24"/>
        </w:rPr>
      </w:pPr>
    </w:p>
    <w:p w14:paraId="5C59B928" w14:textId="2452DFAF" w:rsidR="0085247C" w:rsidRPr="00687DE8" w:rsidRDefault="0085247C" w:rsidP="0085247C">
      <w:pPr>
        <w:spacing w:after="0" w:line="240" w:lineRule="auto"/>
        <w:jc w:val="both"/>
        <w:divId w:val="1316184749"/>
        <w:rPr>
          <w:szCs w:val="24"/>
        </w:rPr>
      </w:pPr>
      <w:r w:rsidRPr="00687DE8">
        <w:rPr>
          <w:szCs w:val="24"/>
        </w:rPr>
        <w:t>(11) Koodiga 7629 tähistatud kaugteenuse piirhinda ei rakendata samal ajal koodiga 7628 tähistatud vastava kontaktteenusega.</w:t>
      </w:r>
    </w:p>
    <w:p w14:paraId="6A7F3676" w14:textId="77777777" w:rsidR="007F7151" w:rsidRDefault="007F7151" w:rsidP="0085247C">
      <w:pPr>
        <w:spacing w:after="0" w:line="240" w:lineRule="auto"/>
        <w:jc w:val="both"/>
        <w:divId w:val="1316184749"/>
        <w:rPr>
          <w:szCs w:val="24"/>
        </w:rPr>
      </w:pPr>
    </w:p>
    <w:p w14:paraId="6511E4CD" w14:textId="30C5DB1E" w:rsidR="007F7151" w:rsidRPr="00687DE8" w:rsidRDefault="007F7151" w:rsidP="0085247C">
      <w:pPr>
        <w:spacing w:after="0" w:line="240" w:lineRule="auto"/>
        <w:jc w:val="both"/>
        <w:divId w:val="1316184749"/>
      </w:pPr>
      <w:r>
        <w:t xml:space="preserve">(12) </w:t>
      </w:r>
      <w:r w:rsidR="0024053D">
        <w:t xml:space="preserve">Tervisekassa </w:t>
      </w:r>
      <w:r w:rsidR="00015B91">
        <w:t>ei võta</w:t>
      </w:r>
      <w:r w:rsidR="0024053D">
        <w:t xml:space="preserve"> koodi</w:t>
      </w:r>
      <w:r w:rsidR="005D5630">
        <w:t>de</w:t>
      </w:r>
      <w:r w:rsidR="0024053D">
        <w:t>ga </w:t>
      </w:r>
      <w:r w:rsidR="0024053D" w:rsidRPr="004C4432">
        <w:t xml:space="preserve">7628, </w:t>
      </w:r>
      <w:r w:rsidR="00C95FB0">
        <w:t>7</w:t>
      </w:r>
      <w:r w:rsidR="0024053D" w:rsidRPr="004C4432">
        <w:t>629 ja 7641</w:t>
      </w:r>
      <w:r w:rsidR="0024053D">
        <w:t> tähistatud tervishoiuteenus</w:t>
      </w:r>
      <w:r w:rsidR="00B32AEC">
        <w:t>t</w:t>
      </w:r>
      <w:r w:rsidR="0024053D">
        <w:t>e eest tasu maksmise kohustus</w:t>
      </w:r>
      <w:r w:rsidR="00CE09CC">
        <w:t>t</w:t>
      </w:r>
      <w:r w:rsidR="0024053D">
        <w:t xml:space="preserve"> üle </w:t>
      </w:r>
      <w:r w:rsidR="00015B91">
        <w:t xml:space="preserve">juhul, kui </w:t>
      </w:r>
      <w:r w:rsidR="00D0355E" w:rsidRPr="00D0355E">
        <w:t>düsgraafia, düsleksia ja/või funktsionaalne düslaalia esineb isoleeritud probleemina.</w:t>
      </w:r>
    </w:p>
    <w:p w14:paraId="79212724" w14:textId="77777777" w:rsidR="0085247C" w:rsidRPr="00687DE8" w:rsidRDefault="0085247C" w:rsidP="0085247C">
      <w:pPr>
        <w:spacing w:after="0" w:line="240" w:lineRule="auto"/>
        <w:jc w:val="both"/>
        <w:outlineLvl w:val="2"/>
        <w:divId w:val="1316184749"/>
        <w:rPr>
          <w:bCs/>
          <w:szCs w:val="24"/>
        </w:rPr>
      </w:pPr>
    </w:p>
    <w:p w14:paraId="07E79AB3" w14:textId="77777777" w:rsidR="00976487" w:rsidRDefault="00976487" w:rsidP="00976487">
      <w:pPr>
        <w:spacing w:after="0" w:line="240" w:lineRule="auto"/>
        <w:jc w:val="both"/>
        <w:outlineLvl w:val="2"/>
        <w:divId w:val="1316184749"/>
        <w:rPr>
          <w:b/>
          <w:szCs w:val="24"/>
        </w:rPr>
      </w:pPr>
      <w:r w:rsidRPr="00687DE8">
        <w:rPr>
          <w:b/>
          <w:szCs w:val="24"/>
        </w:rPr>
        <w:t>§ 4</w:t>
      </w:r>
      <w:r w:rsidR="00296746" w:rsidRPr="00687DE8">
        <w:rPr>
          <w:b/>
          <w:szCs w:val="24"/>
        </w:rPr>
        <w:t>1</w:t>
      </w:r>
      <w:r w:rsidRPr="00687DE8">
        <w:rPr>
          <w:b/>
          <w:szCs w:val="24"/>
        </w:rPr>
        <w:t>. Invasiivse kardioloogia uuringute ja protseduuride piirhinnad</w:t>
      </w:r>
    </w:p>
    <w:p w14:paraId="7D8E8C83" w14:textId="77777777" w:rsidR="005332E6" w:rsidRDefault="005332E6" w:rsidP="00976487">
      <w:pPr>
        <w:spacing w:after="0" w:line="240" w:lineRule="auto"/>
        <w:jc w:val="both"/>
        <w:divId w:val="1316184749"/>
        <w:rPr>
          <w:szCs w:val="24"/>
        </w:rPr>
      </w:pPr>
    </w:p>
    <w:p w14:paraId="5B267A00" w14:textId="654AB1A9" w:rsidR="00976487" w:rsidRPr="00687DE8" w:rsidRDefault="00976487" w:rsidP="00976487">
      <w:pPr>
        <w:spacing w:after="0" w:line="240" w:lineRule="auto"/>
        <w:jc w:val="both"/>
        <w:divId w:val="1316184749"/>
        <w:rPr>
          <w:szCs w:val="24"/>
        </w:rPr>
      </w:pPr>
      <w:r w:rsidRPr="00687DE8">
        <w:rPr>
          <w:szCs w:val="24"/>
        </w:rPr>
        <w:t>(1) Invasiivse kardioloogia uuringute ja protseduuride piirhinnad on järgmised</w:t>
      </w:r>
      <w:r w:rsidR="007B0A98" w:rsidRPr="00687DE8">
        <w:rPr>
          <w:szCs w:val="24"/>
        </w:rPr>
        <w:t>:</w:t>
      </w:r>
    </w:p>
    <w:p w14:paraId="6E233BF2"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2"/>
        <w:gridCol w:w="1068"/>
        <w:gridCol w:w="1745"/>
      </w:tblGrid>
      <w:tr w:rsidR="00976487" w:rsidRPr="00687DE8" w14:paraId="3F69E473" w14:textId="77777777" w:rsidTr="0C25D60B">
        <w:trPr>
          <w:divId w:val="1316184749"/>
          <w:trHeight w:val="300"/>
          <w:tblHeader/>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BFACF9" w14:textId="77777777" w:rsidR="00976487" w:rsidRPr="00687DE8" w:rsidRDefault="00976487">
            <w:pPr>
              <w:spacing w:after="0" w:line="240" w:lineRule="auto"/>
              <w:jc w:val="center"/>
              <w:rPr>
                <w:szCs w:val="24"/>
              </w:rPr>
            </w:pPr>
            <w:r w:rsidRPr="00687DE8">
              <w:rPr>
                <w:b/>
                <w:bCs/>
                <w:szCs w:val="24"/>
              </w:rPr>
              <w:t>Tervishoiuteenuse nimetus</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5BA240" w14:textId="77777777" w:rsidR="00976487" w:rsidRPr="00687DE8" w:rsidRDefault="00976487">
            <w:pPr>
              <w:spacing w:after="0" w:line="240" w:lineRule="auto"/>
              <w:jc w:val="center"/>
              <w:rPr>
                <w:szCs w:val="24"/>
              </w:rPr>
            </w:pPr>
            <w:r w:rsidRPr="00687DE8">
              <w:rPr>
                <w:b/>
                <w:bCs/>
                <w:szCs w:val="24"/>
              </w:rPr>
              <w:t>Kood</w:t>
            </w:r>
          </w:p>
        </w:tc>
        <w:tc>
          <w:tcPr>
            <w:tcW w:w="17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6C4A43"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BE091D" w:rsidRPr="00687DE8" w14:paraId="1A4BCD89"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6DF035" w14:textId="77777777" w:rsidR="00BE091D" w:rsidRPr="00687DE8" w:rsidDel="004C71DD" w:rsidRDefault="00BE091D" w:rsidP="00BE091D">
            <w:pPr>
              <w:spacing w:after="0" w:line="240" w:lineRule="auto"/>
              <w:rPr>
                <w:szCs w:val="24"/>
              </w:rPr>
            </w:pPr>
            <w:r w:rsidRPr="00687DE8">
              <w:rPr>
                <w:szCs w:val="24"/>
              </w:rPr>
              <w:t>Swan-Ganzi kateetri paigaldamine ja monitooring</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A518B2" w14:textId="77777777" w:rsidR="00BE091D" w:rsidRPr="00687DE8" w:rsidDel="004C71DD" w:rsidRDefault="00BE091D" w:rsidP="00BE091D">
            <w:pPr>
              <w:spacing w:after="0" w:line="240" w:lineRule="auto"/>
              <w:jc w:val="center"/>
              <w:rPr>
                <w:szCs w:val="24"/>
              </w:rPr>
            </w:pPr>
            <w:r w:rsidRPr="00687DE8">
              <w:rPr>
                <w:szCs w:val="24"/>
              </w:rPr>
              <w:t>7651</w:t>
            </w:r>
          </w:p>
        </w:tc>
        <w:tc>
          <w:tcPr>
            <w:tcW w:w="17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547E71" w14:textId="40B7466B" w:rsidR="0435C87F" w:rsidRPr="00687DE8" w:rsidRDefault="007C4ED7">
            <w:pPr>
              <w:spacing w:after="0"/>
              <w:jc w:val="center"/>
              <w:rPr>
                <w:color w:val="000000" w:themeColor="text1"/>
                <w:szCs w:val="24"/>
              </w:rPr>
            </w:pPr>
            <w:r>
              <w:rPr>
                <w:color w:val="000000"/>
              </w:rPr>
              <w:t>763,98</w:t>
            </w:r>
          </w:p>
        </w:tc>
      </w:tr>
      <w:tr w:rsidR="00BE091D" w:rsidRPr="00687DE8" w14:paraId="3D0B79C6"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18AEA0" w14:textId="77777777" w:rsidR="00BE091D" w:rsidRPr="00687DE8" w:rsidDel="004C71DD" w:rsidRDefault="00BE091D" w:rsidP="00BE091D">
            <w:pPr>
              <w:spacing w:after="0" w:line="240" w:lineRule="auto"/>
              <w:rPr>
                <w:szCs w:val="24"/>
              </w:rPr>
            </w:pPr>
            <w:r w:rsidRPr="00687DE8">
              <w:rPr>
                <w:szCs w:val="24"/>
              </w:rPr>
              <w:t xml:space="preserve">Ühe südamepoole kateeterdamine </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F01041" w14:textId="77777777" w:rsidR="00BE091D" w:rsidRPr="00687DE8" w:rsidDel="004C71DD" w:rsidRDefault="00BE091D" w:rsidP="00BE091D">
            <w:pPr>
              <w:spacing w:after="0" w:line="240" w:lineRule="auto"/>
              <w:jc w:val="center"/>
              <w:rPr>
                <w:szCs w:val="24"/>
              </w:rPr>
            </w:pPr>
            <w:r w:rsidRPr="00687DE8">
              <w:rPr>
                <w:szCs w:val="24"/>
              </w:rPr>
              <w:t>7652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BF48B2C" w14:textId="521548EB" w:rsidR="0435C87F" w:rsidRPr="00687DE8" w:rsidRDefault="007C4ED7">
            <w:pPr>
              <w:spacing w:after="0"/>
              <w:jc w:val="center"/>
              <w:rPr>
                <w:color w:val="000000" w:themeColor="text1"/>
                <w:szCs w:val="24"/>
              </w:rPr>
            </w:pPr>
            <w:r>
              <w:rPr>
                <w:color w:val="000000"/>
              </w:rPr>
              <w:t>1 338,96</w:t>
            </w:r>
          </w:p>
        </w:tc>
      </w:tr>
      <w:tr w:rsidR="00BE091D" w:rsidRPr="00687DE8" w14:paraId="7A56060A"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4B7645" w14:textId="77777777" w:rsidR="00BE091D" w:rsidRPr="00687DE8" w:rsidDel="004C71DD" w:rsidRDefault="00BE091D" w:rsidP="00BE091D">
            <w:pPr>
              <w:spacing w:after="0" w:line="240" w:lineRule="auto"/>
              <w:rPr>
                <w:szCs w:val="24"/>
              </w:rPr>
            </w:pPr>
            <w:r w:rsidRPr="00687DE8">
              <w:rPr>
                <w:szCs w:val="24"/>
              </w:rPr>
              <w:t>Ühe südamepoole kateeterdamine muul invasiivkardioloogilisel protseduuril</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0530FF" w14:textId="77777777" w:rsidR="00BE091D" w:rsidRPr="00687DE8" w:rsidRDefault="00BE091D" w:rsidP="00BE091D">
            <w:pPr>
              <w:spacing w:after="0" w:line="240" w:lineRule="auto"/>
              <w:jc w:val="center"/>
              <w:rPr>
                <w:szCs w:val="24"/>
              </w:rPr>
            </w:pPr>
          </w:p>
          <w:p w14:paraId="40359143" w14:textId="77777777" w:rsidR="00BE091D" w:rsidRPr="00687DE8" w:rsidDel="004C71DD" w:rsidRDefault="00BE091D" w:rsidP="00BE091D">
            <w:pPr>
              <w:spacing w:after="0" w:line="240" w:lineRule="auto"/>
              <w:jc w:val="center"/>
              <w:rPr>
                <w:szCs w:val="24"/>
              </w:rPr>
            </w:pPr>
            <w:r w:rsidRPr="00687DE8">
              <w:rPr>
                <w:szCs w:val="24"/>
              </w:rPr>
              <w:t>7686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139B9C6" w14:textId="159B353E" w:rsidR="0435C87F" w:rsidRPr="00687DE8" w:rsidRDefault="007C4ED7">
            <w:pPr>
              <w:spacing w:after="0"/>
              <w:jc w:val="center"/>
              <w:rPr>
                <w:color w:val="000000" w:themeColor="text1"/>
                <w:szCs w:val="24"/>
              </w:rPr>
            </w:pPr>
            <w:r>
              <w:rPr>
                <w:color w:val="000000"/>
              </w:rPr>
              <w:t>336,07</w:t>
            </w:r>
          </w:p>
        </w:tc>
      </w:tr>
      <w:tr w:rsidR="00BE091D" w:rsidRPr="00687DE8" w14:paraId="49A6838E"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32A54B" w14:textId="77777777" w:rsidR="00BE091D" w:rsidRPr="00687DE8" w:rsidDel="004C71DD" w:rsidRDefault="00BE091D" w:rsidP="00BE091D">
            <w:pPr>
              <w:spacing w:after="0" w:line="240" w:lineRule="auto"/>
              <w:rPr>
                <w:szCs w:val="24"/>
              </w:rPr>
            </w:pPr>
            <w:r w:rsidRPr="00687DE8">
              <w:rPr>
                <w:szCs w:val="24"/>
              </w:rPr>
              <w:t xml:space="preserve">Koronarograafia </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FC0B3C" w14:textId="77777777" w:rsidR="00BE091D" w:rsidRPr="00687DE8" w:rsidDel="004C71DD" w:rsidRDefault="00BE091D" w:rsidP="00BE091D">
            <w:pPr>
              <w:spacing w:after="0" w:line="240" w:lineRule="auto"/>
              <w:jc w:val="center"/>
              <w:rPr>
                <w:szCs w:val="24"/>
              </w:rPr>
            </w:pPr>
            <w:r w:rsidRPr="00687DE8">
              <w:rPr>
                <w:szCs w:val="24"/>
              </w:rPr>
              <w:t>7654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B0F55FF" w14:textId="7E564524" w:rsidR="0435C87F" w:rsidRPr="00687DE8" w:rsidRDefault="007C4ED7">
            <w:pPr>
              <w:spacing w:after="0"/>
              <w:jc w:val="center"/>
              <w:rPr>
                <w:color w:val="000000" w:themeColor="text1"/>
                <w:szCs w:val="24"/>
              </w:rPr>
            </w:pPr>
            <w:r>
              <w:rPr>
                <w:color w:val="000000"/>
              </w:rPr>
              <w:t>836,80</w:t>
            </w:r>
          </w:p>
        </w:tc>
      </w:tr>
      <w:tr w:rsidR="00BE091D" w:rsidRPr="00687DE8" w14:paraId="65D738E1"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11BC8D" w14:textId="77777777" w:rsidR="00BE091D" w:rsidRPr="00687DE8" w:rsidDel="004C71DD" w:rsidRDefault="00BE091D" w:rsidP="00BE091D">
            <w:pPr>
              <w:spacing w:after="0" w:line="240" w:lineRule="auto"/>
              <w:rPr>
                <w:szCs w:val="24"/>
              </w:rPr>
            </w:pPr>
            <w:r w:rsidRPr="00687DE8">
              <w:rPr>
                <w:szCs w:val="24"/>
              </w:rPr>
              <w:t>Koronaaršuntide angiograafia</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7B1829" w14:textId="77777777" w:rsidR="00BE091D" w:rsidRPr="00687DE8" w:rsidDel="004C71DD" w:rsidRDefault="00BE091D" w:rsidP="00BE091D">
            <w:pPr>
              <w:spacing w:after="0" w:line="240" w:lineRule="auto"/>
              <w:jc w:val="center"/>
              <w:rPr>
                <w:szCs w:val="24"/>
              </w:rPr>
            </w:pPr>
            <w:r w:rsidRPr="00687DE8">
              <w:rPr>
                <w:szCs w:val="24"/>
              </w:rPr>
              <w:t>7687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1088993" w14:textId="4EA76A11" w:rsidR="0435C87F" w:rsidRPr="00687DE8" w:rsidRDefault="007C4ED7">
            <w:pPr>
              <w:spacing w:after="0"/>
              <w:jc w:val="center"/>
              <w:rPr>
                <w:color w:val="000000" w:themeColor="text1"/>
                <w:szCs w:val="24"/>
              </w:rPr>
            </w:pPr>
            <w:r>
              <w:rPr>
                <w:color w:val="000000"/>
              </w:rPr>
              <w:t>241,57</w:t>
            </w:r>
          </w:p>
        </w:tc>
      </w:tr>
      <w:tr w:rsidR="00BE091D" w:rsidRPr="00687DE8" w14:paraId="432C181E"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ADFFFC" w14:textId="17F9851C" w:rsidR="00BE091D" w:rsidRPr="00687DE8" w:rsidDel="004C71DD" w:rsidRDefault="00BE091D" w:rsidP="00BE091D">
            <w:pPr>
              <w:spacing w:after="0" w:line="240" w:lineRule="auto"/>
              <w:rPr>
                <w:szCs w:val="24"/>
              </w:rPr>
            </w:pPr>
            <w:bookmarkStart w:id="21" w:name="_Hlk55893259"/>
            <w:r w:rsidRPr="00687DE8">
              <w:rPr>
                <w:szCs w:val="24"/>
              </w:rPr>
              <w:lastRenderedPageBreak/>
              <w:t xml:space="preserve">Perkutaanne </w:t>
            </w:r>
            <w:r w:rsidRPr="00687DE8" w:rsidDel="007E1E7D">
              <w:rPr>
                <w:szCs w:val="24"/>
              </w:rPr>
              <w:t>koronaar</w:t>
            </w:r>
            <w:r w:rsidRPr="00687DE8">
              <w:rPr>
                <w:szCs w:val="24"/>
              </w:rPr>
              <w:t xml:space="preserve">interventsioon </w:t>
            </w:r>
            <w:bookmarkEnd w:id="21"/>
            <w:r w:rsidR="0006486B" w:rsidRPr="00687DE8">
              <w:rPr>
                <w:szCs w:val="24"/>
              </w:rPr>
              <w:t>esimesel stenoosil</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421DC6" w14:textId="77777777" w:rsidR="00BE091D" w:rsidRPr="00687DE8" w:rsidDel="004C71DD" w:rsidRDefault="00BE091D" w:rsidP="00BE091D">
            <w:pPr>
              <w:spacing w:after="0" w:line="240" w:lineRule="auto"/>
              <w:jc w:val="center"/>
              <w:rPr>
                <w:szCs w:val="24"/>
              </w:rPr>
            </w:pPr>
            <w:r w:rsidRPr="00687DE8">
              <w:rPr>
                <w:szCs w:val="24"/>
              </w:rPr>
              <w:t>7655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17FDDD4" w14:textId="079CEEE9" w:rsidR="0435C87F" w:rsidRPr="00687DE8" w:rsidRDefault="007C4ED7">
            <w:pPr>
              <w:spacing w:after="0"/>
              <w:jc w:val="center"/>
              <w:rPr>
                <w:color w:val="000000" w:themeColor="text1"/>
                <w:szCs w:val="24"/>
              </w:rPr>
            </w:pPr>
            <w:r>
              <w:rPr>
                <w:color w:val="000000"/>
              </w:rPr>
              <w:t>1 668,19</w:t>
            </w:r>
          </w:p>
        </w:tc>
      </w:tr>
      <w:tr w:rsidR="00BE091D" w:rsidRPr="00687DE8" w14:paraId="3897FA8E"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A617DC" w14:textId="77777777" w:rsidR="00BE091D" w:rsidRPr="00687DE8" w:rsidDel="004C71DD" w:rsidRDefault="00BE091D" w:rsidP="00BE091D">
            <w:pPr>
              <w:spacing w:after="0" w:line="240" w:lineRule="auto"/>
              <w:rPr>
                <w:szCs w:val="24"/>
              </w:rPr>
            </w:pPr>
            <w:r w:rsidRPr="00687DE8">
              <w:rPr>
                <w:szCs w:val="24"/>
              </w:rPr>
              <w:t>Perkutaanne korornaarinterventsioon igal järgneval stenoosil</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EE080C" w14:textId="77777777" w:rsidR="00BE091D" w:rsidRPr="00687DE8" w:rsidDel="004C71DD" w:rsidRDefault="00BE091D" w:rsidP="00BE091D">
            <w:pPr>
              <w:spacing w:after="0" w:line="240" w:lineRule="auto"/>
              <w:jc w:val="center"/>
              <w:rPr>
                <w:szCs w:val="24"/>
              </w:rPr>
            </w:pPr>
            <w:r w:rsidRPr="00687DE8">
              <w:rPr>
                <w:szCs w:val="24"/>
              </w:rPr>
              <w:t>7656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E52CD15" w14:textId="2A86273B" w:rsidR="0435C87F" w:rsidRPr="00687DE8" w:rsidRDefault="007C4ED7">
            <w:pPr>
              <w:spacing w:after="0"/>
              <w:jc w:val="center"/>
              <w:rPr>
                <w:color w:val="000000" w:themeColor="text1"/>
                <w:szCs w:val="24"/>
              </w:rPr>
            </w:pPr>
            <w:r>
              <w:rPr>
                <w:color w:val="000000"/>
              </w:rPr>
              <w:t>832,54</w:t>
            </w:r>
          </w:p>
        </w:tc>
      </w:tr>
      <w:tr w:rsidR="00BE091D" w:rsidRPr="00687DE8" w14:paraId="60C90A14"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73F00E" w14:textId="77777777" w:rsidR="00BE091D" w:rsidRPr="00687DE8" w:rsidDel="004C71DD" w:rsidRDefault="00BE091D" w:rsidP="00BE091D">
            <w:pPr>
              <w:spacing w:after="0" w:line="240" w:lineRule="auto"/>
              <w:rPr>
                <w:szCs w:val="24"/>
              </w:rPr>
            </w:pPr>
            <w:bookmarkStart w:id="22" w:name="_Hlk55893207"/>
            <w:r w:rsidRPr="00687DE8">
              <w:rPr>
                <w:szCs w:val="24"/>
              </w:rPr>
              <w:t xml:space="preserve">Perkutaanne korornaarinterventsioon kroonilise oklusiooni avamiseks </w:t>
            </w:r>
            <w:bookmarkEnd w:id="22"/>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CD1417" w14:textId="77777777" w:rsidR="00BE091D" w:rsidRPr="00687DE8" w:rsidRDefault="00BE091D" w:rsidP="00BE091D">
            <w:pPr>
              <w:spacing w:after="0" w:line="240" w:lineRule="auto"/>
              <w:jc w:val="center"/>
              <w:rPr>
                <w:szCs w:val="24"/>
              </w:rPr>
            </w:pPr>
          </w:p>
          <w:p w14:paraId="69888960" w14:textId="77777777" w:rsidR="00BE091D" w:rsidRPr="00687DE8" w:rsidDel="004C71DD" w:rsidRDefault="00BE091D" w:rsidP="00BE091D">
            <w:pPr>
              <w:spacing w:after="0" w:line="240" w:lineRule="auto"/>
              <w:jc w:val="center"/>
              <w:rPr>
                <w:szCs w:val="24"/>
              </w:rPr>
            </w:pPr>
            <w:r w:rsidRPr="00687DE8">
              <w:rPr>
                <w:szCs w:val="24"/>
              </w:rPr>
              <w:t>7688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6997ACB" w14:textId="779BB9F4" w:rsidR="0435C87F" w:rsidRPr="00687DE8" w:rsidRDefault="007C4ED7">
            <w:pPr>
              <w:spacing w:after="0"/>
              <w:jc w:val="center"/>
              <w:rPr>
                <w:color w:val="000000" w:themeColor="text1"/>
                <w:szCs w:val="24"/>
              </w:rPr>
            </w:pPr>
            <w:r>
              <w:rPr>
                <w:color w:val="000000"/>
              </w:rPr>
              <w:t>6 276,57</w:t>
            </w:r>
          </w:p>
        </w:tc>
      </w:tr>
      <w:tr w:rsidR="00BE091D" w:rsidRPr="00687DE8" w14:paraId="70EB6F12"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949A21" w14:textId="77777777" w:rsidR="00BE091D" w:rsidRPr="00687DE8" w:rsidDel="004C71DD" w:rsidRDefault="00BE091D" w:rsidP="00BE091D">
            <w:pPr>
              <w:spacing w:after="0" w:line="240" w:lineRule="auto"/>
              <w:rPr>
                <w:szCs w:val="24"/>
              </w:rPr>
            </w:pPr>
            <w:r w:rsidRPr="00687DE8">
              <w:rPr>
                <w:szCs w:val="24"/>
              </w:rPr>
              <w:t>Vooluvaru mõõtmine (FFR)</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E996F1" w14:textId="77777777" w:rsidR="00BE091D" w:rsidRPr="00687DE8" w:rsidDel="004C71DD" w:rsidRDefault="00BE091D" w:rsidP="00BE091D">
            <w:pPr>
              <w:spacing w:after="0" w:line="240" w:lineRule="auto"/>
              <w:jc w:val="center"/>
              <w:rPr>
                <w:szCs w:val="24"/>
              </w:rPr>
            </w:pPr>
            <w:r w:rsidRPr="00687DE8">
              <w:rPr>
                <w:szCs w:val="24"/>
              </w:rPr>
              <w:t>7689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F73614F" w14:textId="2C39B656" w:rsidR="0435C87F" w:rsidRPr="00687DE8" w:rsidRDefault="007C4ED7">
            <w:pPr>
              <w:spacing w:after="0"/>
              <w:jc w:val="center"/>
              <w:rPr>
                <w:color w:val="000000" w:themeColor="text1"/>
                <w:szCs w:val="24"/>
              </w:rPr>
            </w:pPr>
            <w:r>
              <w:rPr>
                <w:color w:val="000000"/>
              </w:rPr>
              <w:t>1 197,91</w:t>
            </w:r>
          </w:p>
        </w:tc>
      </w:tr>
      <w:tr w:rsidR="00BE091D" w:rsidRPr="00687DE8" w14:paraId="213BABAE"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10F782" w14:textId="77777777" w:rsidR="00BE091D" w:rsidRPr="00687DE8" w:rsidDel="004C71DD" w:rsidRDefault="00BE091D" w:rsidP="00BE091D">
            <w:pPr>
              <w:spacing w:after="0" w:line="240" w:lineRule="auto"/>
              <w:rPr>
                <w:szCs w:val="24"/>
              </w:rPr>
            </w:pPr>
            <w:r w:rsidRPr="00687DE8">
              <w:rPr>
                <w:szCs w:val="24"/>
              </w:rPr>
              <w:t>Pärgarterisisene ultraheliuuring (IVUS)</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F3F458" w14:textId="77777777" w:rsidR="00BE091D" w:rsidRPr="00687DE8" w:rsidDel="004C71DD" w:rsidRDefault="00BE091D" w:rsidP="00BE091D">
            <w:pPr>
              <w:spacing w:after="0" w:line="240" w:lineRule="auto"/>
              <w:jc w:val="center"/>
              <w:rPr>
                <w:szCs w:val="24"/>
              </w:rPr>
            </w:pPr>
            <w:r w:rsidRPr="00687DE8">
              <w:rPr>
                <w:szCs w:val="24"/>
              </w:rPr>
              <w:t>7690</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DE28490" w14:textId="3D14BBE9" w:rsidR="0435C87F" w:rsidRPr="00687DE8" w:rsidRDefault="007C4ED7">
            <w:pPr>
              <w:spacing w:after="0"/>
              <w:jc w:val="center"/>
              <w:rPr>
                <w:color w:val="000000" w:themeColor="text1"/>
                <w:szCs w:val="24"/>
              </w:rPr>
            </w:pPr>
            <w:r>
              <w:rPr>
                <w:color w:val="000000"/>
              </w:rPr>
              <w:t>1 099,76</w:t>
            </w:r>
          </w:p>
        </w:tc>
      </w:tr>
      <w:tr w:rsidR="00BE091D" w:rsidRPr="00687DE8" w14:paraId="3D8DB0C2"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35E8EA" w14:textId="77777777" w:rsidR="00BE091D" w:rsidRPr="00687DE8" w:rsidDel="004C71DD" w:rsidRDefault="00BE091D" w:rsidP="00BE091D">
            <w:pPr>
              <w:spacing w:after="0" w:line="240" w:lineRule="auto"/>
              <w:rPr>
                <w:szCs w:val="24"/>
              </w:rPr>
            </w:pPr>
            <w:r w:rsidRPr="00687DE8">
              <w:rPr>
                <w:szCs w:val="24"/>
              </w:rPr>
              <w:t>Pärgarterisisene optiline koherentstomograafia (OCT)</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34FD0C" w14:textId="77777777" w:rsidR="00BE091D" w:rsidRPr="00687DE8" w:rsidDel="004C71DD" w:rsidRDefault="00BE091D" w:rsidP="00BE091D">
            <w:pPr>
              <w:spacing w:after="0" w:line="240" w:lineRule="auto"/>
              <w:jc w:val="center"/>
              <w:rPr>
                <w:szCs w:val="24"/>
              </w:rPr>
            </w:pPr>
            <w:r w:rsidRPr="00687DE8">
              <w:rPr>
                <w:szCs w:val="24"/>
              </w:rPr>
              <w:t>7691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A6FE1FC" w14:textId="5F79BC19" w:rsidR="0435C87F" w:rsidRPr="00687DE8" w:rsidRDefault="007C4ED7">
            <w:pPr>
              <w:spacing w:after="0"/>
              <w:jc w:val="center"/>
              <w:rPr>
                <w:color w:val="000000" w:themeColor="text1"/>
                <w:szCs w:val="24"/>
              </w:rPr>
            </w:pPr>
            <w:r>
              <w:rPr>
                <w:color w:val="000000"/>
              </w:rPr>
              <w:t>1 146,23</w:t>
            </w:r>
          </w:p>
        </w:tc>
      </w:tr>
      <w:tr w:rsidR="00BE091D" w:rsidRPr="00687DE8" w14:paraId="60E2407B"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C2D040" w14:textId="77777777" w:rsidR="00BE091D" w:rsidRPr="00687DE8" w:rsidDel="004C71DD" w:rsidRDefault="00BE091D" w:rsidP="00BE091D">
            <w:pPr>
              <w:spacing w:after="0" w:line="240" w:lineRule="auto"/>
              <w:rPr>
                <w:szCs w:val="24"/>
              </w:rPr>
            </w:pPr>
            <w:r w:rsidRPr="00687DE8">
              <w:rPr>
                <w:szCs w:val="24"/>
              </w:rPr>
              <w:t>Intrakardiaalne ehhokardiograafia (ICE)</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BC15EB" w14:textId="77777777" w:rsidR="00BE091D" w:rsidRPr="00687DE8" w:rsidDel="004C71DD" w:rsidRDefault="00BE091D" w:rsidP="00BE091D">
            <w:pPr>
              <w:spacing w:after="0" w:line="240" w:lineRule="auto"/>
              <w:jc w:val="center"/>
              <w:rPr>
                <w:szCs w:val="24"/>
              </w:rPr>
            </w:pPr>
            <w:r w:rsidRPr="00687DE8">
              <w:rPr>
                <w:szCs w:val="24"/>
              </w:rPr>
              <w:t>7692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4A3B1A6" w14:textId="5C31FED8" w:rsidR="0435C87F" w:rsidRPr="00687DE8" w:rsidRDefault="007C4ED7">
            <w:pPr>
              <w:spacing w:after="0"/>
              <w:jc w:val="center"/>
              <w:rPr>
                <w:color w:val="000000" w:themeColor="text1"/>
                <w:szCs w:val="24"/>
              </w:rPr>
            </w:pPr>
            <w:r>
              <w:rPr>
                <w:color w:val="000000"/>
              </w:rPr>
              <w:t>1 938,71</w:t>
            </w:r>
          </w:p>
        </w:tc>
      </w:tr>
      <w:tr w:rsidR="00BE091D" w:rsidRPr="00687DE8" w14:paraId="329498DB"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D09B2E" w14:textId="77777777" w:rsidR="00BE091D" w:rsidRPr="00687DE8" w:rsidDel="004C71DD" w:rsidRDefault="00BE091D" w:rsidP="00BE091D">
            <w:pPr>
              <w:spacing w:after="0" w:line="240" w:lineRule="auto"/>
              <w:rPr>
                <w:szCs w:val="24"/>
              </w:rPr>
            </w:pPr>
            <w:r w:rsidRPr="00687DE8">
              <w:rPr>
                <w:szCs w:val="24"/>
              </w:rPr>
              <w:t>Perkutaanne valvuloplastika või septostoomia</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DE0E25" w14:textId="77777777" w:rsidR="00BE091D" w:rsidRPr="00687DE8" w:rsidDel="004C71DD" w:rsidRDefault="00BE091D" w:rsidP="00BE091D">
            <w:pPr>
              <w:spacing w:after="0" w:line="240" w:lineRule="auto"/>
              <w:jc w:val="center"/>
              <w:rPr>
                <w:szCs w:val="24"/>
              </w:rPr>
            </w:pPr>
            <w:r w:rsidRPr="00687DE8">
              <w:rPr>
                <w:szCs w:val="24"/>
              </w:rPr>
              <w:t>7657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EA395B4" w14:textId="050A96AA" w:rsidR="0435C87F" w:rsidRPr="00687DE8" w:rsidRDefault="007C4ED7">
            <w:pPr>
              <w:spacing w:after="0"/>
              <w:jc w:val="center"/>
              <w:rPr>
                <w:color w:val="000000" w:themeColor="text1"/>
                <w:szCs w:val="24"/>
              </w:rPr>
            </w:pPr>
            <w:r>
              <w:rPr>
                <w:color w:val="000000"/>
              </w:rPr>
              <w:t>3 683,07</w:t>
            </w:r>
          </w:p>
        </w:tc>
      </w:tr>
      <w:tr w:rsidR="00BE091D" w:rsidRPr="00687DE8" w14:paraId="17AD9AFE"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B8E8B9" w14:textId="77777777" w:rsidR="00BE091D" w:rsidRPr="00687DE8" w:rsidDel="004C71DD" w:rsidRDefault="00BE091D" w:rsidP="00BE091D">
            <w:pPr>
              <w:spacing w:after="0" w:line="240" w:lineRule="auto"/>
              <w:rPr>
                <w:szCs w:val="24"/>
              </w:rPr>
            </w:pPr>
            <w:r w:rsidRPr="00687DE8">
              <w:rPr>
                <w:szCs w:val="24"/>
              </w:rPr>
              <w:t>Mitraalklapi perkutaanne plastika</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C4A88C" w14:textId="77777777" w:rsidR="00BE091D" w:rsidRPr="00687DE8" w:rsidDel="004C71DD" w:rsidRDefault="00BE091D" w:rsidP="00BE091D">
            <w:pPr>
              <w:spacing w:after="0" w:line="240" w:lineRule="auto"/>
              <w:jc w:val="center"/>
              <w:rPr>
                <w:szCs w:val="24"/>
              </w:rPr>
            </w:pPr>
            <w:r w:rsidRPr="00687DE8">
              <w:rPr>
                <w:szCs w:val="24"/>
              </w:rPr>
              <w:t>7693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FF11169" w14:textId="0242A458" w:rsidR="0435C87F" w:rsidRPr="00687DE8" w:rsidRDefault="007C4ED7">
            <w:pPr>
              <w:spacing w:after="0"/>
              <w:jc w:val="center"/>
              <w:rPr>
                <w:color w:val="000000" w:themeColor="text1"/>
                <w:szCs w:val="24"/>
              </w:rPr>
            </w:pPr>
            <w:r>
              <w:rPr>
                <w:color w:val="000000"/>
              </w:rPr>
              <w:t>845,99</w:t>
            </w:r>
          </w:p>
        </w:tc>
      </w:tr>
      <w:tr w:rsidR="00BE091D" w:rsidRPr="00687DE8" w14:paraId="0EA32430"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1FBA2B" w14:textId="77777777" w:rsidR="00BE091D" w:rsidRPr="00687DE8" w:rsidDel="004C71DD" w:rsidRDefault="00BE091D" w:rsidP="00BE091D">
            <w:pPr>
              <w:spacing w:after="0" w:line="240" w:lineRule="auto"/>
              <w:rPr>
                <w:szCs w:val="24"/>
              </w:rPr>
            </w:pPr>
            <w:r w:rsidRPr="00687DE8">
              <w:rPr>
                <w:szCs w:val="24"/>
              </w:rPr>
              <w:t>Septaalharu alkoholablatsioon</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35F0CB" w14:textId="77777777" w:rsidR="00BE091D" w:rsidRPr="00687DE8" w:rsidDel="004C71DD" w:rsidRDefault="00BE091D" w:rsidP="00BE091D">
            <w:pPr>
              <w:spacing w:after="0" w:line="240" w:lineRule="auto"/>
              <w:jc w:val="center"/>
              <w:rPr>
                <w:szCs w:val="24"/>
              </w:rPr>
            </w:pPr>
            <w:r w:rsidRPr="00687DE8">
              <w:rPr>
                <w:szCs w:val="24"/>
              </w:rPr>
              <w:t>7694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DED0CCC" w14:textId="51A77A5E" w:rsidR="0435C87F" w:rsidRPr="00687DE8" w:rsidRDefault="007C4ED7">
            <w:pPr>
              <w:spacing w:after="0"/>
              <w:jc w:val="center"/>
              <w:rPr>
                <w:color w:val="000000" w:themeColor="text1"/>
                <w:szCs w:val="24"/>
              </w:rPr>
            </w:pPr>
            <w:r>
              <w:rPr>
                <w:color w:val="000000"/>
              </w:rPr>
              <w:t>918,31</w:t>
            </w:r>
          </w:p>
        </w:tc>
      </w:tr>
      <w:tr w:rsidR="00BE091D" w:rsidRPr="00687DE8" w14:paraId="5CA37386"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AFFD1C" w14:textId="77777777" w:rsidR="00BE091D" w:rsidRPr="00687DE8" w:rsidDel="004C71DD" w:rsidRDefault="00BE091D" w:rsidP="00BE091D">
            <w:pPr>
              <w:spacing w:after="0" w:line="240" w:lineRule="auto"/>
              <w:rPr>
                <w:szCs w:val="24"/>
              </w:rPr>
            </w:pPr>
            <w:r w:rsidRPr="00687DE8">
              <w:rPr>
                <w:szCs w:val="24"/>
              </w:rPr>
              <w:t xml:space="preserve">Torakaalaordi koarktatsiooni perkutaanne angioplastika </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8DF370" w14:textId="77777777" w:rsidR="00BE091D" w:rsidRPr="00687DE8" w:rsidDel="004C71DD" w:rsidRDefault="00BE091D" w:rsidP="00BE091D">
            <w:pPr>
              <w:spacing w:after="0" w:line="240" w:lineRule="auto"/>
              <w:jc w:val="center"/>
              <w:rPr>
                <w:szCs w:val="24"/>
              </w:rPr>
            </w:pPr>
            <w:r w:rsidRPr="00687DE8">
              <w:rPr>
                <w:szCs w:val="24"/>
              </w:rPr>
              <w:t>7695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B76F2A2" w14:textId="210E3D0C" w:rsidR="0435C87F" w:rsidRPr="00687DE8" w:rsidRDefault="007C4ED7">
            <w:pPr>
              <w:spacing w:after="0"/>
              <w:jc w:val="center"/>
              <w:rPr>
                <w:color w:val="000000" w:themeColor="text1"/>
                <w:szCs w:val="24"/>
              </w:rPr>
            </w:pPr>
            <w:r>
              <w:rPr>
                <w:color w:val="000000"/>
              </w:rPr>
              <w:t>2 707,34</w:t>
            </w:r>
          </w:p>
        </w:tc>
      </w:tr>
      <w:tr w:rsidR="00BE091D" w:rsidRPr="00687DE8" w14:paraId="6F9DA24B"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93C868" w14:textId="77777777" w:rsidR="00BE091D" w:rsidRPr="00687DE8" w:rsidDel="004C71DD" w:rsidRDefault="00BE091D" w:rsidP="00BE091D">
            <w:pPr>
              <w:spacing w:after="0" w:line="240" w:lineRule="auto"/>
              <w:rPr>
                <w:szCs w:val="24"/>
              </w:rPr>
            </w:pPr>
            <w:r w:rsidRPr="00687DE8">
              <w:rPr>
                <w:szCs w:val="24"/>
              </w:rPr>
              <w:t>Perkutaanne endomüokardi biopsia</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7BE067" w14:textId="77777777" w:rsidR="00BE091D" w:rsidRPr="00687DE8" w:rsidDel="004C71DD" w:rsidRDefault="00BE091D" w:rsidP="00BE091D">
            <w:pPr>
              <w:spacing w:after="0" w:line="240" w:lineRule="auto"/>
              <w:jc w:val="center"/>
              <w:rPr>
                <w:szCs w:val="24"/>
              </w:rPr>
            </w:pPr>
            <w:r w:rsidRPr="00687DE8">
              <w:rPr>
                <w:szCs w:val="24"/>
              </w:rPr>
              <w:t>7696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093E53D" w14:textId="3A48B81F" w:rsidR="0435C87F" w:rsidRPr="00687DE8" w:rsidRDefault="007C4ED7">
            <w:pPr>
              <w:spacing w:after="0"/>
              <w:jc w:val="center"/>
              <w:rPr>
                <w:color w:val="000000" w:themeColor="text1"/>
                <w:szCs w:val="24"/>
              </w:rPr>
            </w:pPr>
            <w:r>
              <w:rPr>
                <w:color w:val="000000"/>
              </w:rPr>
              <w:t>720,98</w:t>
            </w:r>
          </w:p>
        </w:tc>
      </w:tr>
      <w:tr w:rsidR="00BE091D" w:rsidRPr="00687DE8" w14:paraId="4546BED4"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680445" w14:textId="77777777" w:rsidR="00BE091D" w:rsidRPr="00687DE8" w:rsidDel="004C71DD" w:rsidRDefault="00BE091D" w:rsidP="00BE091D">
            <w:pPr>
              <w:spacing w:after="0" w:line="240" w:lineRule="auto"/>
              <w:rPr>
                <w:szCs w:val="24"/>
              </w:rPr>
            </w:pPr>
            <w:r w:rsidRPr="00687DE8">
              <w:rPr>
                <w:szCs w:val="24"/>
              </w:rPr>
              <w:t>Südameklapi endovaskulaarse proteesimise protseduur</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7889A1" w14:textId="77777777" w:rsidR="00BE091D" w:rsidRPr="00687DE8" w:rsidDel="004C71DD" w:rsidRDefault="00BE091D" w:rsidP="00BE091D">
            <w:pPr>
              <w:spacing w:after="0" w:line="240" w:lineRule="auto"/>
              <w:jc w:val="center"/>
              <w:rPr>
                <w:szCs w:val="24"/>
              </w:rPr>
            </w:pPr>
            <w:r w:rsidRPr="00687DE8">
              <w:rPr>
                <w:szCs w:val="24"/>
              </w:rPr>
              <w:t>7697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4B3DADA" w14:textId="12CC5109" w:rsidR="74E92CAC" w:rsidRPr="00687DE8" w:rsidRDefault="007C4ED7">
            <w:pPr>
              <w:spacing w:after="0"/>
              <w:jc w:val="center"/>
              <w:rPr>
                <w:color w:val="000000" w:themeColor="text1"/>
                <w:szCs w:val="24"/>
              </w:rPr>
            </w:pPr>
            <w:r>
              <w:rPr>
                <w:color w:val="000000"/>
              </w:rPr>
              <w:t>790,19</w:t>
            </w:r>
          </w:p>
        </w:tc>
      </w:tr>
      <w:tr w:rsidR="00BE091D" w:rsidRPr="00687DE8" w14:paraId="229E6AD5"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13AA53" w14:textId="77777777" w:rsidR="00BE091D" w:rsidRPr="00687DE8" w:rsidDel="004C71DD" w:rsidRDefault="00BE091D" w:rsidP="00BE091D">
            <w:pPr>
              <w:spacing w:after="0" w:line="240" w:lineRule="auto"/>
              <w:rPr>
                <w:szCs w:val="24"/>
              </w:rPr>
            </w:pPr>
            <w:r w:rsidRPr="00687DE8">
              <w:rPr>
                <w:szCs w:val="24"/>
              </w:rPr>
              <w:t>Programmeeritud endokardiaalne elektrofüsioloogiline uuring</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7A0DC9" w14:textId="77777777" w:rsidR="00BE091D" w:rsidRPr="00687DE8" w:rsidDel="004C71DD" w:rsidRDefault="00BE091D" w:rsidP="00BE091D">
            <w:pPr>
              <w:spacing w:after="0" w:line="240" w:lineRule="auto"/>
              <w:jc w:val="center"/>
              <w:rPr>
                <w:szCs w:val="24"/>
              </w:rPr>
            </w:pPr>
            <w:r w:rsidRPr="00687DE8">
              <w:rPr>
                <w:szCs w:val="24"/>
              </w:rPr>
              <w:t>7659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19BF797" w14:textId="434D7C98" w:rsidR="74E92CAC" w:rsidRPr="00687DE8" w:rsidRDefault="007C4ED7">
            <w:pPr>
              <w:spacing w:after="0"/>
              <w:jc w:val="center"/>
              <w:rPr>
                <w:color w:val="000000" w:themeColor="text1"/>
                <w:szCs w:val="24"/>
              </w:rPr>
            </w:pPr>
            <w:r>
              <w:rPr>
                <w:color w:val="000000"/>
              </w:rPr>
              <w:t>1 353,77</w:t>
            </w:r>
          </w:p>
        </w:tc>
      </w:tr>
      <w:tr w:rsidR="00BE091D" w:rsidRPr="00687DE8" w14:paraId="1EA6467F"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752C2C" w14:textId="77777777" w:rsidR="00BE091D" w:rsidRPr="00687DE8" w:rsidDel="004C71DD" w:rsidRDefault="00BE091D" w:rsidP="00BE091D">
            <w:pPr>
              <w:spacing w:after="0" w:line="240" w:lineRule="auto"/>
              <w:rPr>
                <w:szCs w:val="24"/>
              </w:rPr>
            </w:pPr>
            <w:r w:rsidRPr="00687DE8">
              <w:rPr>
                <w:szCs w:val="24"/>
              </w:rPr>
              <w:t>Südame 3D kaardistamine</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2C4FB4" w14:textId="77777777" w:rsidR="00BE091D" w:rsidRPr="00687DE8" w:rsidDel="004C71DD" w:rsidRDefault="00BE091D" w:rsidP="00BE091D">
            <w:pPr>
              <w:spacing w:after="0" w:line="240" w:lineRule="auto"/>
              <w:jc w:val="center"/>
              <w:rPr>
                <w:szCs w:val="24"/>
              </w:rPr>
            </w:pPr>
            <w:r w:rsidRPr="00687DE8">
              <w:rPr>
                <w:szCs w:val="24"/>
              </w:rPr>
              <w:t>7658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CE037FF" w14:textId="0EB1A126" w:rsidR="74E92CAC" w:rsidRPr="00687DE8" w:rsidRDefault="007C4ED7">
            <w:pPr>
              <w:spacing w:after="0"/>
              <w:jc w:val="center"/>
              <w:rPr>
                <w:color w:val="000000" w:themeColor="text1"/>
                <w:szCs w:val="24"/>
              </w:rPr>
            </w:pPr>
            <w:r>
              <w:rPr>
                <w:color w:val="000000"/>
              </w:rPr>
              <w:t>980,99</w:t>
            </w:r>
          </w:p>
        </w:tc>
      </w:tr>
      <w:tr w:rsidR="00BE091D" w:rsidRPr="00687DE8" w14:paraId="697153A1"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EB4735" w14:textId="77777777" w:rsidR="00BE091D" w:rsidRPr="00687DE8" w:rsidDel="004C71DD" w:rsidRDefault="00BE091D" w:rsidP="00BE091D">
            <w:pPr>
              <w:spacing w:after="0" w:line="240" w:lineRule="auto"/>
              <w:rPr>
                <w:szCs w:val="24"/>
              </w:rPr>
            </w:pPr>
            <w:r w:rsidRPr="00687DE8">
              <w:rPr>
                <w:szCs w:val="24"/>
              </w:rPr>
              <w:t>Arütmiate raadiosageduslik kateeterablatsioon</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17AAA0" w14:textId="77777777" w:rsidR="00BE091D" w:rsidRPr="00687DE8" w:rsidDel="004C71DD" w:rsidRDefault="00BE091D" w:rsidP="00BE091D">
            <w:pPr>
              <w:spacing w:after="0" w:line="240" w:lineRule="auto"/>
              <w:jc w:val="center"/>
              <w:rPr>
                <w:szCs w:val="24"/>
              </w:rPr>
            </w:pPr>
            <w:r w:rsidRPr="00687DE8">
              <w:rPr>
                <w:szCs w:val="24"/>
              </w:rPr>
              <w:t>7679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549236B" w14:textId="4F7FDEAF" w:rsidR="74E92CAC" w:rsidRPr="00687DE8" w:rsidRDefault="007C4ED7">
            <w:pPr>
              <w:spacing w:after="0"/>
              <w:jc w:val="center"/>
              <w:rPr>
                <w:color w:val="000000" w:themeColor="text1"/>
                <w:szCs w:val="24"/>
              </w:rPr>
            </w:pPr>
            <w:r>
              <w:rPr>
                <w:color w:val="000000"/>
              </w:rPr>
              <w:t>2 664,70</w:t>
            </w:r>
          </w:p>
        </w:tc>
      </w:tr>
      <w:tr w:rsidR="00BE091D" w:rsidRPr="00687DE8" w14:paraId="53281DD1"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A22B85" w14:textId="77777777" w:rsidR="00BE091D" w:rsidRPr="00687DE8" w:rsidDel="004C71DD" w:rsidRDefault="00BE091D" w:rsidP="00BE091D">
            <w:pPr>
              <w:spacing w:after="0" w:line="240" w:lineRule="auto"/>
              <w:rPr>
                <w:szCs w:val="24"/>
              </w:rPr>
            </w:pPr>
            <w:r w:rsidRPr="00687DE8">
              <w:rPr>
                <w:szCs w:val="24"/>
              </w:rPr>
              <w:t>Arütmiate kompleksne raadiosageduslik kateeterablatsioon</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6C5399" w14:textId="77777777" w:rsidR="00BE091D" w:rsidRPr="00687DE8" w:rsidDel="004C71DD" w:rsidRDefault="00BE091D" w:rsidP="00BE091D">
            <w:pPr>
              <w:spacing w:after="0" w:line="240" w:lineRule="auto"/>
              <w:jc w:val="center"/>
              <w:rPr>
                <w:szCs w:val="24"/>
              </w:rPr>
            </w:pPr>
            <w:r w:rsidRPr="00687DE8">
              <w:rPr>
                <w:szCs w:val="24"/>
              </w:rPr>
              <w:t>7680</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990B047" w14:textId="778EBC08" w:rsidR="74E92CAC" w:rsidRPr="00687DE8" w:rsidRDefault="007C4ED7">
            <w:pPr>
              <w:spacing w:after="0"/>
              <w:jc w:val="center"/>
              <w:rPr>
                <w:color w:val="000000" w:themeColor="text1"/>
                <w:szCs w:val="24"/>
              </w:rPr>
            </w:pPr>
            <w:r>
              <w:rPr>
                <w:color w:val="000000"/>
              </w:rPr>
              <w:t>4 682,40</w:t>
            </w:r>
          </w:p>
        </w:tc>
      </w:tr>
      <w:tr w:rsidR="00BE091D" w:rsidRPr="00687DE8" w14:paraId="44D9B2D7"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0CBA76" w14:textId="77777777" w:rsidR="00BE091D" w:rsidRPr="00687DE8" w:rsidDel="004C71DD" w:rsidRDefault="00BE091D" w:rsidP="00BE091D">
            <w:pPr>
              <w:spacing w:after="0" w:line="240" w:lineRule="auto"/>
              <w:rPr>
                <w:szCs w:val="24"/>
              </w:rPr>
            </w:pPr>
            <w:r w:rsidRPr="00687DE8">
              <w:rPr>
                <w:szCs w:val="24"/>
              </w:rPr>
              <w:t>Robotmagnetnavigatsioon</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5A0B0D" w14:textId="77777777" w:rsidR="00BE091D" w:rsidRPr="00687DE8" w:rsidDel="004C71DD" w:rsidRDefault="00BE091D" w:rsidP="00BE091D">
            <w:pPr>
              <w:spacing w:after="0" w:line="240" w:lineRule="auto"/>
              <w:jc w:val="center"/>
              <w:rPr>
                <w:szCs w:val="24"/>
              </w:rPr>
            </w:pPr>
            <w:r w:rsidRPr="00687DE8">
              <w:rPr>
                <w:szCs w:val="24"/>
              </w:rPr>
              <w:t>7681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FAD07E9" w14:textId="39D084A7" w:rsidR="74E92CAC" w:rsidRPr="00687DE8" w:rsidRDefault="007C4ED7">
            <w:pPr>
              <w:spacing w:after="0"/>
              <w:jc w:val="center"/>
              <w:rPr>
                <w:color w:val="000000" w:themeColor="text1"/>
                <w:szCs w:val="24"/>
              </w:rPr>
            </w:pPr>
            <w:r>
              <w:rPr>
                <w:color w:val="000000"/>
              </w:rPr>
              <w:t>2 519,52</w:t>
            </w:r>
          </w:p>
        </w:tc>
      </w:tr>
      <w:tr w:rsidR="00BE091D" w:rsidRPr="00687DE8" w14:paraId="7E709361"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AEAEC1" w14:textId="77777777" w:rsidR="00BE091D" w:rsidRPr="00687DE8" w:rsidDel="004C71DD" w:rsidRDefault="00BE091D" w:rsidP="00BE091D">
            <w:pPr>
              <w:spacing w:after="0" w:line="240" w:lineRule="auto"/>
              <w:rPr>
                <w:szCs w:val="24"/>
              </w:rPr>
            </w:pPr>
            <w:r w:rsidRPr="00687DE8">
              <w:rPr>
                <w:szCs w:val="24"/>
              </w:rPr>
              <w:t>Sensornavigatsioon</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731B59" w14:textId="77777777" w:rsidR="00BE091D" w:rsidRPr="00687DE8" w:rsidDel="004C71DD" w:rsidRDefault="00BE091D" w:rsidP="00BE091D">
            <w:pPr>
              <w:spacing w:after="0" w:line="240" w:lineRule="auto"/>
              <w:jc w:val="center"/>
              <w:rPr>
                <w:szCs w:val="24"/>
              </w:rPr>
            </w:pPr>
            <w:r w:rsidRPr="00687DE8">
              <w:rPr>
                <w:szCs w:val="24"/>
              </w:rPr>
              <w:t>7682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36D9C14" w14:textId="0F7DDD5A" w:rsidR="74E92CAC" w:rsidRPr="00687DE8" w:rsidRDefault="007C4ED7">
            <w:pPr>
              <w:spacing w:after="0"/>
              <w:jc w:val="center"/>
              <w:rPr>
                <w:color w:val="000000" w:themeColor="text1"/>
                <w:szCs w:val="24"/>
              </w:rPr>
            </w:pPr>
            <w:r>
              <w:rPr>
                <w:color w:val="000000"/>
              </w:rPr>
              <w:t>1 213,26</w:t>
            </w:r>
          </w:p>
        </w:tc>
      </w:tr>
      <w:tr w:rsidR="00BE091D" w:rsidRPr="00687DE8" w14:paraId="7991537E"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D2E01B" w14:textId="77777777" w:rsidR="00BE091D" w:rsidRPr="00687DE8" w:rsidDel="004C71DD" w:rsidRDefault="00BE091D" w:rsidP="00BE091D">
            <w:pPr>
              <w:spacing w:after="0" w:line="240" w:lineRule="auto"/>
              <w:rPr>
                <w:szCs w:val="24"/>
              </w:rPr>
            </w:pPr>
            <w:bookmarkStart w:id="23" w:name="_Hlk159777949"/>
            <w:r w:rsidRPr="00687DE8">
              <w:rPr>
                <w:szCs w:val="24"/>
              </w:rPr>
              <w:t>Ühekambrilise südamestimulaatori paigaldamine ja programmeerimine</w:t>
            </w:r>
            <w:bookmarkEnd w:id="23"/>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EC4CFE" w14:textId="77777777" w:rsidR="00BE091D" w:rsidRPr="00687DE8" w:rsidDel="004C71DD" w:rsidRDefault="00BE091D" w:rsidP="00BE091D">
            <w:pPr>
              <w:spacing w:after="0" w:line="240" w:lineRule="auto"/>
              <w:jc w:val="center"/>
              <w:rPr>
                <w:szCs w:val="24"/>
              </w:rPr>
            </w:pPr>
            <w:r w:rsidRPr="00687DE8">
              <w:rPr>
                <w:szCs w:val="24"/>
              </w:rPr>
              <w:t>7673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A20F1A4" w14:textId="6AA181A3" w:rsidR="74E92CAC" w:rsidRPr="00687DE8" w:rsidRDefault="007C4ED7">
            <w:pPr>
              <w:spacing w:after="0"/>
              <w:jc w:val="center"/>
              <w:rPr>
                <w:color w:val="000000" w:themeColor="text1"/>
                <w:szCs w:val="24"/>
              </w:rPr>
            </w:pPr>
            <w:r>
              <w:rPr>
                <w:color w:val="000000"/>
              </w:rPr>
              <w:t>541,72</w:t>
            </w:r>
          </w:p>
        </w:tc>
      </w:tr>
      <w:tr w:rsidR="00BE091D" w:rsidRPr="00687DE8" w14:paraId="6C39185F"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3CFBB6" w14:textId="77777777" w:rsidR="00BE091D" w:rsidRPr="00687DE8" w:rsidDel="004C71DD" w:rsidRDefault="00BE091D" w:rsidP="00BE091D">
            <w:pPr>
              <w:spacing w:after="0" w:line="240" w:lineRule="auto"/>
              <w:rPr>
                <w:szCs w:val="24"/>
              </w:rPr>
            </w:pPr>
            <w:bookmarkStart w:id="24" w:name="_Hlk159777983"/>
            <w:r w:rsidRPr="00687DE8">
              <w:rPr>
                <w:szCs w:val="24"/>
              </w:rPr>
              <w:t>Kahekambrilise südamestimulaatori paigaldamine ja programmeerimine</w:t>
            </w:r>
            <w:bookmarkEnd w:id="24"/>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9916788" w14:textId="77777777" w:rsidR="00BE091D" w:rsidRPr="00687DE8" w:rsidDel="004C71DD" w:rsidRDefault="00BE091D" w:rsidP="00BE091D">
            <w:pPr>
              <w:spacing w:after="0" w:line="240" w:lineRule="auto"/>
              <w:jc w:val="center"/>
              <w:rPr>
                <w:szCs w:val="24"/>
              </w:rPr>
            </w:pPr>
            <w:r w:rsidRPr="00687DE8">
              <w:rPr>
                <w:szCs w:val="24"/>
              </w:rPr>
              <w:t>7674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FD4A128" w14:textId="50F7300B" w:rsidR="74E92CAC" w:rsidRPr="00687DE8" w:rsidRDefault="007C4ED7">
            <w:pPr>
              <w:spacing w:after="0"/>
              <w:jc w:val="center"/>
              <w:rPr>
                <w:color w:val="000000" w:themeColor="text1"/>
                <w:szCs w:val="24"/>
              </w:rPr>
            </w:pPr>
            <w:r>
              <w:rPr>
                <w:color w:val="000000"/>
              </w:rPr>
              <w:t>697,98</w:t>
            </w:r>
          </w:p>
        </w:tc>
      </w:tr>
      <w:tr w:rsidR="00BE091D" w:rsidRPr="00687DE8" w14:paraId="6F0A00D5"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68F0E4" w14:textId="77777777" w:rsidR="00BE091D" w:rsidRPr="00687DE8" w:rsidDel="004C71DD" w:rsidRDefault="00BE091D" w:rsidP="00BE091D">
            <w:pPr>
              <w:spacing w:after="0" w:line="240" w:lineRule="auto"/>
              <w:rPr>
                <w:szCs w:val="24"/>
              </w:rPr>
            </w:pPr>
            <w:bookmarkStart w:id="25" w:name="_Hlk159777901"/>
            <w:r w:rsidRPr="00687DE8">
              <w:rPr>
                <w:szCs w:val="24"/>
              </w:rPr>
              <w:t>Südamestimulaatori elektroodide eemaldamine ja/või vahetus</w:t>
            </w:r>
            <w:bookmarkEnd w:id="25"/>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EE48C0" w14:textId="77777777" w:rsidR="00BE091D" w:rsidRPr="00687DE8" w:rsidDel="004C71DD" w:rsidRDefault="00BE091D" w:rsidP="00BE091D">
            <w:pPr>
              <w:spacing w:after="0" w:line="240" w:lineRule="auto"/>
              <w:jc w:val="center"/>
              <w:rPr>
                <w:szCs w:val="24"/>
              </w:rPr>
            </w:pPr>
            <w:r w:rsidRPr="00687DE8">
              <w:rPr>
                <w:szCs w:val="24"/>
              </w:rPr>
              <w:t>7662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9F19E0E" w14:textId="35FAEA11" w:rsidR="74E92CAC" w:rsidRPr="00687DE8" w:rsidRDefault="007C4ED7">
            <w:pPr>
              <w:spacing w:after="0"/>
              <w:jc w:val="center"/>
              <w:rPr>
                <w:color w:val="000000" w:themeColor="text1"/>
                <w:szCs w:val="24"/>
              </w:rPr>
            </w:pPr>
            <w:r>
              <w:rPr>
                <w:color w:val="000000"/>
              </w:rPr>
              <w:t>1 610,18</w:t>
            </w:r>
          </w:p>
        </w:tc>
      </w:tr>
      <w:tr w:rsidR="00BE091D" w:rsidRPr="00687DE8" w14:paraId="45742636"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CED147" w14:textId="77777777" w:rsidR="00BE091D" w:rsidRPr="00687DE8" w:rsidDel="004C71DD" w:rsidRDefault="00BE091D" w:rsidP="00BE091D">
            <w:pPr>
              <w:spacing w:after="0" w:line="240" w:lineRule="auto"/>
              <w:rPr>
                <w:szCs w:val="24"/>
              </w:rPr>
            </w:pPr>
            <w:r w:rsidRPr="00687DE8">
              <w:rPr>
                <w:szCs w:val="24"/>
              </w:rPr>
              <w:t>Resünkroniseeriva kardiostimulaatori (CRT-P) paigaldamine ja programmeerimine</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3F9232" w14:textId="77777777" w:rsidR="00BE091D" w:rsidRPr="00687DE8" w:rsidDel="004C71DD" w:rsidRDefault="00BE091D" w:rsidP="00BE091D">
            <w:pPr>
              <w:spacing w:after="0" w:line="240" w:lineRule="auto"/>
              <w:jc w:val="center"/>
              <w:rPr>
                <w:szCs w:val="24"/>
              </w:rPr>
            </w:pPr>
            <w:r w:rsidRPr="00687DE8">
              <w:rPr>
                <w:szCs w:val="24"/>
              </w:rPr>
              <w:t>7678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418A20F" w14:textId="75F2605F" w:rsidR="74E92CAC" w:rsidRPr="00687DE8" w:rsidRDefault="007C4ED7">
            <w:pPr>
              <w:spacing w:after="0"/>
              <w:jc w:val="center"/>
              <w:rPr>
                <w:color w:val="000000" w:themeColor="text1"/>
                <w:szCs w:val="24"/>
              </w:rPr>
            </w:pPr>
            <w:r>
              <w:rPr>
                <w:color w:val="000000"/>
              </w:rPr>
              <w:t>2 070,93</w:t>
            </w:r>
          </w:p>
        </w:tc>
      </w:tr>
      <w:tr w:rsidR="00BE091D" w:rsidRPr="00687DE8" w14:paraId="3C04A687"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EAB5B8" w14:textId="77777777" w:rsidR="00BE091D" w:rsidRPr="00687DE8" w:rsidDel="004C71DD" w:rsidRDefault="00BE091D" w:rsidP="00BE091D">
            <w:pPr>
              <w:spacing w:after="0" w:line="240" w:lineRule="auto"/>
              <w:rPr>
                <w:szCs w:val="24"/>
              </w:rPr>
            </w:pPr>
            <w:r w:rsidRPr="00687DE8">
              <w:rPr>
                <w:szCs w:val="24"/>
              </w:rPr>
              <w:t>Resünkroniseeriva kardioverter-defibrillaatori (CRT-D) paigaldamine ja programmeerimine</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4A0DFD" w14:textId="77777777" w:rsidR="00BE091D" w:rsidRPr="00687DE8" w:rsidDel="004C71DD" w:rsidRDefault="00BE091D" w:rsidP="00BE091D">
            <w:pPr>
              <w:spacing w:after="0" w:line="240" w:lineRule="auto"/>
              <w:jc w:val="center"/>
              <w:rPr>
                <w:szCs w:val="24"/>
              </w:rPr>
            </w:pPr>
            <w:r w:rsidRPr="00687DE8">
              <w:rPr>
                <w:szCs w:val="24"/>
              </w:rPr>
              <w:t>7675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78AE5CD" w14:textId="6E680050" w:rsidR="74E92CAC" w:rsidRPr="00687DE8" w:rsidRDefault="007C4ED7">
            <w:pPr>
              <w:spacing w:after="0"/>
              <w:jc w:val="center"/>
              <w:rPr>
                <w:color w:val="000000" w:themeColor="text1"/>
                <w:szCs w:val="24"/>
              </w:rPr>
            </w:pPr>
            <w:r>
              <w:rPr>
                <w:color w:val="000000"/>
              </w:rPr>
              <w:t>2 177,03</w:t>
            </w:r>
          </w:p>
        </w:tc>
      </w:tr>
      <w:tr w:rsidR="00BE091D" w:rsidRPr="00687DE8" w14:paraId="46D12D00"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755240" w14:textId="77777777" w:rsidR="00BE091D" w:rsidRPr="00687DE8" w:rsidDel="004C71DD" w:rsidRDefault="00BE091D" w:rsidP="00BE091D">
            <w:pPr>
              <w:spacing w:after="0" w:line="240" w:lineRule="auto"/>
              <w:rPr>
                <w:szCs w:val="24"/>
              </w:rPr>
            </w:pPr>
            <w:r w:rsidRPr="00687DE8">
              <w:rPr>
                <w:szCs w:val="24"/>
              </w:rPr>
              <w:t>Kahekambrilise kardioverter-defibrillaatori (DR ICD) paigaldamine ja programmeerimine</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E1267C" w14:textId="77777777" w:rsidR="00BE091D" w:rsidRPr="00687DE8" w:rsidDel="004C71DD" w:rsidRDefault="00BE091D" w:rsidP="00BE091D">
            <w:pPr>
              <w:spacing w:after="0" w:line="240" w:lineRule="auto"/>
              <w:jc w:val="center"/>
              <w:rPr>
                <w:szCs w:val="24"/>
              </w:rPr>
            </w:pPr>
            <w:r w:rsidRPr="00687DE8">
              <w:rPr>
                <w:szCs w:val="24"/>
              </w:rPr>
              <w:t>7676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AD26DBD" w14:textId="26E0FB2B" w:rsidR="74E92CAC" w:rsidRPr="00687DE8" w:rsidRDefault="007C4ED7">
            <w:pPr>
              <w:spacing w:after="0"/>
              <w:jc w:val="center"/>
              <w:rPr>
                <w:color w:val="000000" w:themeColor="text1"/>
                <w:szCs w:val="24"/>
              </w:rPr>
            </w:pPr>
            <w:r>
              <w:rPr>
                <w:color w:val="000000"/>
              </w:rPr>
              <w:t>851,48</w:t>
            </w:r>
          </w:p>
        </w:tc>
      </w:tr>
      <w:tr w:rsidR="00BE091D" w:rsidRPr="00687DE8" w14:paraId="357D1318"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B83349" w14:textId="77777777" w:rsidR="00BE091D" w:rsidRPr="00687DE8" w:rsidDel="004C71DD" w:rsidRDefault="00BE091D" w:rsidP="00BE091D">
            <w:pPr>
              <w:spacing w:after="0" w:line="240" w:lineRule="auto"/>
              <w:rPr>
                <w:szCs w:val="24"/>
              </w:rPr>
            </w:pPr>
            <w:r w:rsidRPr="00687DE8">
              <w:rPr>
                <w:szCs w:val="24"/>
              </w:rPr>
              <w:t>Ühekambrilise kardioverter-defibrillaatori (VR ICD) paigaldamine ja programmeerimine</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947300" w14:textId="77777777" w:rsidR="00BE091D" w:rsidRPr="00687DE8" w:rsidDel="004C71DD" w:rsidRDefault="00BE091D" w:rsidP="00BE091D">
            <w:pPr>
              <w:spacing w:after="0" w:line="240" w:lineRule="auto"/>
              <w:jc w:val="center"/>
              <w:rPr>
                <w:szCs w:val="24"/>
              </w:rPr>
            </w:pPr>
            <w:r w:rsidRPr="00687DE8">
              <w:rPr>
                <w:szCs w:val="24"/>
              </w:rPr>
              <w:t>7677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569F01F" w14:textId="20106F13" w:rsidR="74E92CAC" w:rsidRPr="00687DE8" w:rsidRDefault="007C4ED7">
            <w:pPr>
              <w:spacing w:after="0"/>
              <w:jc w:val="center"/>
              <w:rPr>
                <w:color w:val="000000" w:themeColor="text1"/>
                <w:szCs w:val="24"/>
              </w:rPr>
            </w:pPr>
            <w:r>
              <w:rPr>
                <w:color w:val="000000"/>
              </w:rPr>
              <w:t>755,60</w:t>
            </w:r>
          </w:p>
        </w:tc>
      </w:tr>
      <w:tr w:rsidR="00BE091D" w:rsidRPr="00687DE8" w14:paraId="593B96F3" w14:textId="77777777" w:rsidTr="00EB7A71">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523D50" w14:textId="77777777" w:rsidR="00BE091D" w:rsidRPr="00687DE8" w:rsidDel="004C71DD" w:rsidRDefault="00BE091D" w:rsidP="00BE091D">
            <w:pPr>
              <w:spacing w:after="0" w:line="240" w:lineRule="auto"/>
              <w:rPr>
                <w:szCs w:val="24"/>
              </w:rPr>
            </w:pPr>
            <w:r w:rsidRPr="00687DE8">
              <w:rPr>
                <w:szCs w:val="24"/>
              </w:rPr>
              <w:t>Ajutise endokardiaalse elektroodi paigaldamine</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06E560" w14:textId="77777777" w:rsidR="00BE091D" w:rsidRPr="00687DE8" w:rsidDel="004C71DD" w:rsidRDefault="00BE091D" w:rsidP="00BE091D">
            <w:pPr>
              <w:spacing w:after="0" w:line="240" w:lineRule="auto"/>
              <w:jc w:val="center"/>
              <w:rPr>
                <w:szCs w:val="24"/>
              </w:rPr>
            </w:pPr>
            <w:r w:rsidRPr="00687DE8">
              <w:rPr>
                <w:szCs w:val="24"/>
              </w:rPr>
              <w:t>7710</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8EE3861" w14:textId="3181E633" w:rsidR="74E92CAC" w:rsidRPr="00687DE8" w:rsidRDefault="007C4ED7">
            <w:pPr>
              <w:spacing w:after="0"/>
              <w:jc w:val="center"/>
              <w:rPr>
                <w:color w:val="000000" w:themeColor="text1"/>
                <w:szCs w:val="24"/>
              </w:rPr>
            </w:pPr>
            <w:r>
              <w:rPr>
                <w:color w:val="000000"/>
              </w:rPr>
              <w:t>301,60</w:t>
            </w:r>
          </w:p>
        </w:tc>
      </w:tr>
      <w:tr w:rsidR="00BE091D" w:rsidRPr="00687DE8" w14:paraId="10BEFF21"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1ACB55" w14:textId="77777777" w:rsidR="00BE091D" w:rsidRPr="00687DE8" w:rsidDel="004C71DD" w:rsidRDefault="00BE091D" w:rsidP="00BE091D">
            <w:pPr>
              <w:spacing w:after="0" w:line="240" w:lineRule="auto"/>
              <w:rPr>
                <w:szCs w:val="24"/>
              </w:rPr>
            </w:pPr>
            <w:r w:rsidRPr="00687DE8">
              <w:rPr>
                <w:szCs w:val="24"/>
              </w:rPr>
              <w:t>Südamestimulaatori telemeetriline järelkontroll (kvartalis)</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F75AAA" w14:textId="77777777" w:rsidR="00BE091D" w:rsidRPr="00687DE8" w:rsidDel="004C71DD" w:rsidRDefault="00BE091D" w:rsidP="00BE091D">
            <w:pPr>
              <w:spacing w:after="0" w:line="240" w:lineRule="auto"/>
              <w:jc w:val="center"/>
              <w:rPr>
                <w:szCs w:val="24"/>
              </w:rPr>
            </w:pPr>
            <w:r w:rsidRPr="00687DE8">
              <w:rPr>
                <w:szCs w:val="24"/>
              </w:rPr>
              <w:t>7683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2A5C0FD" w14:textId="5F68F224" w:rsidR="74E92CAC" w:rsidRPr="00687DE8" w:rsidRDefault="007C4ED7">
            <w:pPr>
              <w:spacing w:after="0"/>
              <w:jc w:val="center"/>
              <w:rPr>
                <w:color w:val="000000" w:themeColor="text1"/>
                <w:szCs w:val="24"/>
              </w:rPr>
            </w:pPr>
            <w:r>
              <w:rPr>
                <w:color w:val="000000"/>
              </w:rPr>
              <w:t>26,44</w:t>
            </w:r>
          </w:p>
        </w:tc>
      </w:tr>
      <w:tr w:rsidR="00BE091D" w:rsidRPr="00687DE8" w14:paraId="41917169"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4E5594" w14:textId="77777777" w:rsidR="00BE091D" w:rsidRPr="00687DE8" w:rsidDel="004C71DD" w:rsidRDefault="00BE091D" w:rsidP="00BE091D">
            <w:pPr>
              <w:spacing w:after="0" w:line="240" w:lineRule="auto"/>
              <w:rPr>
                <w:szCs w:val="24"/>
              </w:rPr>
            </w:pPr>
            <w:r w:rsidRPr="00687DE8">
              <w:rPr>
                <w:szCs w:val="24"/>
              </w:rPr>
              <w:t xml:space="preserve">Ühekambrilise südamestimulaatori järelkontroll </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35D844" w14:textId="77777777" w:rsidR="00BE091D" w:rsidRPr="00687DE8" w:rsidDel="004C71DD" w:rsidRDefault="00BE091D" w:rsidP="00BE091D">
            <w:pPr>
              <w:spacing w:after="0" w:line="240" w:lineRule="auto"/>
              <w:jc w:val="center"/>
              <w:rPr>
                <w:szCs w:val="24"/>
              </w:rPr>
            </w:pPr>
            <w:r w:rsidRPr="00687DE8">
              <w:rPr>
                <w:szCs w:val="24"/>
              </w:rPr>
              <w:t>7664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8F2EE04" w14:textId="581E3115" w:rsidR="74E92CAC" w:rsidRPr="00687DE8" w:rsidRDefault="007C4ED7">
            <w:pPr>
              <w:spacing w:after="0"/>
              <w:jc w:val="center"/>
              <w:rPr>
                <w:color w:val="000000" w:themeColor="text1"/>
                <w:szCs w:val="24"/>
              </w:rPr>
            </w:pPr>
            <w:r>
              <w:rPr>
                <w:color w:val="000000"/>
              </w:rPr>
              <w:t>28,34</w:t>
            </w:r>
          </w:p>
        </w:tc>
      </w:tr>
      <w:tr w:rsidR="00BE091D" w:rsidRPr="00687DE8" w14:paraId="783C5DE9"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B89281" w14:textId="77777777" w:rsidR="00BE091D" w:rsidRPr="00687DE8" w:rsidDel="004C71DD" w:rsidRDefault="00BE091D" w:rsidP="00BE091D">
            <w:pPr>
              <w:spacing w:after="0" w:line="240" w:lineRule="auto"/>
              <w:rPr>
                <w:szCs w:val="24"/>
              </w:rPr>
            </w:pPr>
            <w:r w:rsidRPr="00687DE8">
              <w:rPr>
                <w:szCs w:val="24"/>
              </w:rPr>
              <w:t>Kahekambrilise südamestimulaatori järelkontroll</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D90BAB" w14:textId="77777777" w:rsidR="00BE091D" w:rsidRPr="00687DE8" w:rsidDel="004C71DD" w:rsidRDefault="00BE091D" w:rsidP="00BE091D">
            <w:pPr>
              <w:spacing w:after="0" w:line="240" w:lineRule="auto"/>
              <w:jc w:val="center"/>
              <w:rPr>
                <w:szCs w:val="24"/>
              </w:rPr>
            </w:pPr>
            <w:r w:rsidRPr="00687DE8">
              <w:rPr>
                <w:szCs w:val="24"/>
              </w:rPr>
              <w:t>7665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0D8C10D" w14:textId="194DE2F3" w:rsidR="74E92CAC" w:rsidRPr="00687DE8" w:rsidRDefault="007C4ED7">
            <w:pPr>
              <w:spacing w:after="0"/>
              <w:jc w:val="center"/>
              <w:rPr>
                <w:color w:val="000000" w:themeColor="text1"/>
                <w:szCs w:val="24"/>
              </w:rPr>
            </w:pPr>
            <w:r>
              <w:rPr>
                <w:color w:val="000000"/>
              </w:rPr>
              <w:t>36,36</w:t>
            </w:r>
          </w:p>
        </w:tc>
      </w:tr>
      <w:tr w:rsidR="00BE091D" w:rsidRPr="00687DE8" w14:paraId="692F1F09"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EBAD41" w14:textId="77777777" w:rsidR="00BE091D" w:rsidRPr="00687DE8" w:rsidDel="004C71DD" w:rsidRDefault="00BE091D" w:rsidP="00BE091D">
            <w:pPr>
              <w:spacing w:after="0" w:line="240" w:lineRule="auto"/>
              <w:rPr>
                <w:szCs w:val="24"/>
              </w:rPr>
            </w:pPr>
            <w:r w:rsidRPr="00687DE8">
              <w:rPr>
                <w:szCs w:val="24"/>
              </w:rPr>
              <w:t>Elektriline sünkroniseeritud kardioversioon</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6268F5" w14:textId="77777777" w:rsidR="00BE091D" w:rsidRPr="00687DE8" w:rsidDel="004C71DD" w:rsidRDefault="00BE091D" w:rsidP="00BE091D">
            <w:pPr>
              <w:spacing w:after="0" w:line="240" w:lineRule="auto"/>
              <w:jc w:val="center"/>
              <w:rPr>
                <w:szCs w:val="24"/>
              </w:rPr>
            </w:pPr>
            <w:r w:rsidRPr="00687DE8">
              <w:rPr>
                <w:szCs w:val="24"/>
              </w:rPr>
              <w:t>7684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A9BEA79" w14:textId="5C084277" w:rsidR="74E92CAC" w:rsidRPr="00687DE8" w:rsidRDefault="007C4ED7">
            <w:pPr>
              <w:spacing w:after="0"/>
              <w:jc w:val="center"/>
              <w:rPr>
                <w:color w:val="000000" w:themeColor="text1"/>
                <w:szCs w:val="24"/>
              </w:rPr>
            </w:pPr>
            <w:r>
              <w:rPr>
                <w:color w:val="000000"/>
              </w:rPr>
              <w:t>90,55</w:t>
            </w:r>
          </w:p>
        </w:tc>
      </w:tr>
      <w:tr w:rsidR="00BE091D" w:rsidRPr="00687DE8" w14:paraId="2838E2DE" w14:textId="77777777" w:rsidTr="00934CCC">
        <w:trPr>
          <w:divId w:val="1316184749"/>
          <w:trHeight w:val="300"/>
        </w:trPr>
        <w:tc>
          <w:tcPr>
            <w:tcW w:w="6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C67954" w14:textId="77777777" w:rsidR="00BE091D" w:rsidRPr="00687DE8" w:rsidRDefault="00BE091D" w:rsidP="00BE091D">
            <w:pPr>
              <w:spacing w:after="0" w:line="240" w:lineRule="auto"/>
              <w:rPr>
                <w:szCs w:val="24"/>
              </w:rPr>
            </w:pPr>
            <w:r w:rsidRPr="00687DE8">
              <w:rPr>
                <w:szCs w:val="24"/>
              </w:rPr>
              <w:lastRenderedPageBreak/>
              <w:t>Nahaaluselt implanteeritava rütmivalvuri paigaldamine</w:t>
            </w:r>
          </w:p>
        </w:t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297C49" w14:textId="77777777" w:rsidR="00BE091D" w:rsidRPr="00687DE8" w:rsidRDefault="00BE091D" w:rsidP="00BE091D">
            <w:pPr>
              <w:spacing w:after="0" w:line="240" w:lineRule="auto"/>
              <w:jc w:val="center"/>
              <w:rPr>
                <w:szCs w:val="24"/>
              </w:rPr>
            </w:pPr>
            <w:r w:rsidRPr="00687DE8">
              <w:rPr>
                <w:szCs w:val="24"/>
              </w:rPr>
              <w:t>7685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5E308B8" w14:textId="43EAC64B" w:rsidR="74E92CAC" w:rsidRPr="00687DE8" w:rsidRDefault="007C4ED7">
            <w:pPr>
              <w:spacing w:after="0"/>
              <w:jc w:val="center"/>
              <w:rPr>
                <w:color w:val="000000" w:themeColor="text1"/>
                <w:szCs w:val="24"/>
              </w:rPr>
            </w:pPr>
            <w:r>
              <w:rPr>
                <w:color w:val="000000"/>
              </w:rPr>
              <w:t>2 922,12</w:t>
            </w:r>
          </w:p>
        </w:tc>
      </w:tr>
    </w:tbl>
    <w:p w14:paraId="29642C6D" w14:textId="77777777" w:rsidR="00976487" w:rsidRPr="00687DE8" w:rsidRDefault="00976487" w:rsidP="00976487">
      <w:pPr>
        <w:spacing w:after="0" w:line="240" w:lineRule="auto"/>
        <w:jc w:val="both"/>
        <w:divId w:val="1316184749"/>
        <w:rPr>
          <w:szCs w:val="24"/>
        </w:rPr>
      </w:pPr>
    </w:p>
    <w:p w14:paraId="030919E8" w14:textId="77777777" w:rsidR="00976487" w:rsidRPr="00687DE8" w:rsidRDefault="00F52E7A" w:rsidP="00976487">
      <w:pPr>
        <w:spacing w:after="0" w:line="240" w:lineRule="auto"/>
        <w:jc w:val="both"/>
        <w:divId w:val="1316184749"/>
        <w:rPr>
          <w:szCs w:val="24"/>
        </w:rPr>
      </w:pPr>
      <w:r w:rsidRPr="00687DE8">
        <w:rPr>
          <w:szCs w:val="24"/>
        </w:rPr>
        <w:t>(2) L</w:t>
      </w:r>
      <w:r w:rsidR="00976487" w:rsidRPr="00687DE8">
        <w:rPr>
          <w:szCs w:val="24"/>
        </w:rPr>
        <w:t>õikes 1 sätestatud tervishoiuteenuste piirhindade rakendamisel lähtutakse järgmistest tingimustest:</w:t>
      </w:r>
    </w:p>
    <w:p w14:paraId="0F3397A0" w14:textId="3CD2C49C" w:rsidR="0085247C" w:rsidRPr="00687DE8" w:rsidRDefault="0085247C" w:rsidP="0085247C">
      <w:pPr>
        <w:spacing w:after="0" w:line="240" w:lineRule="auto"/>
        <w:jc w:val="both"/>
        <w:divId w:val="1316184749"/>
        <w:rPr>
          <w:szCs w:val="24"/>
        </w:rPr>
      </w:pPr>
      <w:r w:rsidRPr="00687DE8">
        <w:rPr>
          <w:szCs w:val="24"/>
        </w:rPr>
        <w:t>1) koodidega 7689, 7690, 7691 ja 7692 tähistatud tervishoiuteenuseid rakendatakse üks kord protseduuri kohta</w:t>
      </w:r>
      <w:r w:rsidR="007B0A98" w:rsidRPr="00687DE8">
        <w:rPr>
          <w:szCs w:val="24"/>
        </w:rPr>
        <w:t>;</w:t>
      </w:r>
      <w:r w:rsidRPr="00687DE8">
        <w:rPr>
          <w:szCs w:val="24"/>
        </w:rPr>
        <w:t xml:space="preserve"> </w:t>
      </w:r>
    </w:p>
    <w:p w14:paraId="494C8D66" w14:textId="77777777" w:rsidR="0085247C" w:rsidRPr="00687DE8" w:rsidRDefault="0085247C" w:rsidP="0085247C">
      <w:pPr>
        <w:spacing w:after="0" w:line="240" w:lineRule="auto"/>
        <w:jc w:val="both"/>
        <w:divId w:val="1316184749"/>
        <w:rPr>
          <w:szCs w:val="24"/>
        </w:rPr>
      </w:pPr>
      <w:r w:rsidRPr="00687DE8">
        <w:rPr>
          <w:szCs w:val="24"/>
        </w:rPr>
        <w:t xml:space="preserve">2) </w:t>
      </w:r>
      <w:bookmarkStart w:id="26" w:name="_Hlk55891625"/>
      <w:r w:rsidRPr="00687DE8">
        <w:rPr>
          <w:szCs w:val="24"/>
        </w:rPr>
        <w:t>koodiga 7688 tähistatud tervishoiuteenust rakendatakse juhul, kui patsiendi J-CTO skoor on 2 või kõrgem ja kontralateraalsed kollateraalid on visualiseeritavad</w:t>
      </w:r>
      <w:r w:rsidR="00587FB5" w:rsidRPr="00687DE8">
        <w:rPr>
          <w:szCs w:val="24"/>
        </w:rPr>
        <w:t>,</w:t>
      </w:r>
      <w:r w:rsidRPr="00687DE8">
        <w:rPr>
          <w:szCs w:val="24"/>
        </w:rPr>
        <w:t xml:space="preserve"> ning seda ei rakendata koos koodiga 7655 või 7656 tähistatud tervishoiuteenusega</w:t>
      </w:r>
      <w:bookmarkEnd w:id="26"/>
      <w:r w:rsidRPr="00687DE8">
        <w:rPr>
          <w:szCs w:val="24"/>
        </w:rPr>
        <w:t>;</w:t>
      </w:r>
    </w:p>
    <w:p w14:paraId="18D95C59" w14:textId="77777777" w:rsidR="0085247C" w:rsidRPr="00687DE8" w:rsidRDefault="0085247C" w:rsidP="0085247C">
      <w:pPr>
        <w:spacing w:after="0" w:line="240" w:lineRule="auto"/>
        <w:jc w:val="both"/>
        <w:divId w:val="1316184749"/>
        <w:rPr>
          <w:szCs w:val="24"/>
        </w:rPr>
      </w:pPr>
      <w:r w:rsidRPr="00687DE8">
        <w:rPr>
          <w:szCs w:val="24"/>
        </w:rPr>
        <w:t xml:space="preserve">3) koodidega </w:t>
      </w:r>
      <w:bookmarkStart w:id="27" w:name="_Hlk55891760"/>
      <w:r w:rsidRPr="00687DE8">
        <w:rPr>
          <w:szCs w:val="24"/>
        </w:rPr>
        <w:t xml:space="preserve">7657, 7693, 7694, 7695, 7697, 7659, 7658, 7679, 7680, 7681 ja 7682 </w:t>
      </w:r>
      <w:bookmarkEnd w:id="27"/>
      <w:r w:rsidRPr="00687DE8">
        <w:rPr>
          <w:szCs w:val="24"/>
        </w:rPr>
        <w:t>tähistatud tervishoiuteenuseid rakendatakse haiglate loetelus nimetatud piirkondlikus haiglas;</w:t>
      </w:r>
    </w:p>
    <w:p w14:paraId="65B87116" w14:textId="77777777" w:rsidR="0085247C" w:rsidRPr="00687DE8" w:rsidRDefault="0085247C" w:rsidP="0085247C">
      <w:pPr>
        <w:spacing w:after="0" w:line="240" w:lineRule="auto"/>
        <w:jc w:val="both"/>
        <w:divId w:val="1316184749"/>
        <w:rPr>
          <w:szCs w:val="24"/>
        </w:rPr>
      </w:pPr>
      <w:r w:rsidRPr="00687DE8">
        <w:rPr>
          <w:szCs w:val="24"/>
        </w:rPr>
        <w:t>4) koodidega 7681 ja 7682 tähistatud tervishoiuteenuseid rakendatakse üks kord protseduuri kohta;</w:t>
      </w:r>
    </w:p>
    <w:p w14:paraId="6FD74004" w14:textId="1334EA9E" w:rsidR="0085247C" w:rsidRPr="00687DE8" w:rsidRDefault="0085247C" w:rsidP="0085247C">
      <w:pPr>
        <w:spacing w:after="0" w:line="240" w:lineRule="auto"/>
        <w:jc w:val="both"/>
        <w:divId w:val="1316184749"/>
        <w:rPr>
          <w:szCs w:val="24"/>
        </w:rPr>
      </w:pPr>
      <w:r w:rsidRPr="00687DE8">
        <w:rPr>
          <w:szCs w:val="24"/>
        </w:rPr>
        <w:t>5) koodiga 7683 tähistatud tervishoiuteenust rakendatakse südamestim</w:t>
      </w:r>
      <w:r w:rsidR="00415957" w:rsidRPr="00687DE8">
        <w:rPr>
          <w:szCs w:val="24"/>
        </w:rPr>
        <w:t>u</w:t>
      </w:r>
      <w:r w:rsidRPr="00687DE8">
        <w:rPr>
          <w:szCs w:val="24"/>
        </w:rPr>
        <w:t>laatoreid paigaldavas haiglate loetelus nimetatud piirkondlikus või keskhaiglas;</w:t>
      </w:r>
    </w:p>
    <w:p w14:paraId="2FBFD04A" w14:textId="77777777" w:rsidR="0085247C" w:rsidRPr="00687DE8" w:rsidRDefault="0085247C" w:rsidP="0085247C">
      <w:pPr>
        <w:spacing w:after="0" w:line="240" w:lineRule="auto"/>
        <w:jc w:val="both"/>
        <w:divId w:val="1316184749"/>
        <w:rPr>
          <w:szCs w:val="24"/>
        </w:rPr>
      </w:pPr>
      <w:r w:rsidRPr="00687DE8">
        <w:rPr>
          <w:szCs w:val="24"/>
        </w:rPr>
        <w:t>6) koodiga 7680 tähistatud tervishoiuteenust ei rakendata koos koodiga 7679 tähistatud tervishoiuteenusega</w:t>
      </w:r>
      <w:r w:rsidR="005A62A1" w:rsidRPr="00687DE8">
        <w:rPr>
          <w:szCs w:val="24"/>
        </w:rPr>
        <w:t>;</w:t>
      </w:r>
    </w:p>
    <w:p w14:paraId="763370F4" w14:textId="70197AD9" w:rsidR="00AF6540" w:rsidRPr="00687DE8" w:rsidRDefault="005A62A1" w:rsidP="00092936">
      <w:pPr>
        <w:spacing w:after="0" w:line="240" w:lineRule="auto"/>
        <w:jc w:val="both"/>
        <w:divId w:val="1316184749"/>
        <w:rPr>
          <w:szCs w:val="24"/>
        </w:rPr>
      </w:pPr>
      <w:r w:rsidRPr="00687DE8">
        <w:rPr>
          <w:szCs w:val="24"/>
        </w:rPr>
        <w:t xml:space="preserve">7) </w:t>
      </w:r>
      <w:r w:rsidR="005023FD" w:rsidRPr="00687DE8">
        <w:rPr>
          <w:szCs w:val="24"/>
        </w:rPr>
        <w:t>Tervisekassa</w:t>
      </w:r>
      <w:r w:rsidRPr="00687DE8">
        <w:rPr>
          <w:szCs w:val="24"/>
        </w:rPr>
        <w:t xml:space="preserve"> võtab koodiga 7685 tähistatud tervishoiuteenuse eest tasu maksmise kohustuse üle juhul, kui </w:t>
      </w:r>
      <w:r w:rsidR="00966282" w:rsidRPr="00687DE8">
        <w:rPr>
          <w:szCs w:val="24"/>
        </w:rPr>
        <w:t xml:space="preserve">ebaselge sünkoobiga või teadmata geneesiga ajuinfarktiga patsiendi kodade virvendusarütmia skriininguks </w:t>
      </w:r>
      <w:r w:rsidRPr="00687DE8">
        <w:rPr>
          <w:szCs w:val="24"/>
        </w:rPr>
        <w:t>kasutatakse naha alla implanteeritavat rütmihäireid salvestavat seadet</w:t>
      </w:r>
      <w:r w:rsidR="006C522E" w:rsidRPr="00687DE8">
        <w:rPr>
          <w:szCs w:val="24"/>
        </w:rPr>
        <w:t>;</w:t>
      </w:r>
    </w:p>
    <w:p w14:paraId="28D860BA" w14:textId="67A37536" w:rsidR="006C522E" w:rsidRPr="00687DE8" w:rsidRDefault="006C522E" w:rsidP="006C522E">
      <w:pPr>
        <w:spacing w:after="0" w:line="240" w:lineRule="auto"/>
        <w:jc w:val="both"/>
        <w:divId w:val="1316184749"/>
      </w:pPr>
      <w:r>
        <w:t>8) koodidega 7662, 7673 ja 7674 tähistatud tervishoiuteenus</w:t>
      </w:r>
      <w:r w:rsidR="006F7531">
        <w:t>eid</w:t>
      </w:r>
      <w:r>
        <w:t xml:space="preserve"> rakendatakse haiglate loetelus nimetatud piirkondlikus või keskhaiglas</w:t>
      </w:r>
      <w:r w:rsidR="002776FC">
        <w:t>;</w:t>
      </w:r>
    </w:p>
    <w:p w14:paraId="54D6D362" w14:textId="513C96AC" w:rsidR="2034F3E8" w:rsidRDefault="34B0C151" w:rsidP="2034F3E8">
      <w:pPr>
        <w:spacing w:after="0" w:line="240" w:lineRule="auto"/>
        <w:jc w:val="both"/>
      </w:pPr>
      <w:r>
        <w:t>9) kood</w:t>
      </w:r>
      <w:r w:rsidR="00F539A2">
        <w:t>id</w:t>
      </w:r>
      <w:r w:rsidR="1882B0B1">
        <w:t>e</w:t>
      </w:r>
      <w:r w:rsidR="00880D31">
        <w:t>ga</w:t>
      </w:r>
      <w:r w:rsidR="1882B0B1">
        <w:t xml:space="preserve"> </w:t>
      </w:r>
      <w:r>
        <w:t xml:space="preserve">7664 </w:t>
      </w:r>
      <w:r w:rsidR="005908D6">
        <w:t xml:space="preserve">ja </w:t>
      </w:r>
      <w:r>
        <w:t>7665</w:t>
      </w:r>
      <w:r w:rsidR="2292CAE3">
        <w:t xml:space="preserve"> </w:t>
      </w:r>
      <w:r w:rsidR="00880D31">
        <w:t>tähistatud tervishoiuteenus</w:t>
      </w:r>
      <w:r w:rsidR="009735F4">
        <w:t>eid</w:t>
      </w:r>
      <w:r w:rsidR="00880D31">
        <w:t xml:space="preserve"> </w:t>
      </w:r>
      <w:r w:rsidR="2292CAE3">
        <w:t xml:space="preserve">rakendatakse koos </w:t>
      </w:r>
      <w:r w:rsidR="003E1344">
        <w:t xml:space="preserve">koodiga </w:t>
      </w:r>
      <w:r w:rsidR="5C530468">
        <w:t>3002 või 3035</w:t>
      </w:r>
      <w:r w:rsidR="003E1344">
        <w:t xml:space="preserve"> tähistatud tervishoiuteenusega</w:t>
      </w:r>
      <w:r w:rsidR="002776FC">
        <w:t>;</w:t>
      </w:r>
    </w:p>
    <w:p w14:paraId="67C1B5CC" w14:textId="654A3944" w:rsidR="365A2339" w:rsidRDefault="6CA1609D" w:rsidP="2034F3E8">
      <w:pPr>
        <w:spacing w:after="0" w:line="240" w:lineRule="auto"/>
        <w:jc w:val="both"/>
      </w:pPr>
      <w:r>
        <w:t>10)</w:t>
      </w:r>
      <w:r w:rsidR="34A58FCF">
        <w:t xml:space="preserve"> </w:t>
      </w:r>
      <w:r w:rsidR="2C586382">
        <w:t>k</w:t>
      </w:r>
      <w:r w:rsidR="22CF9F28">
        <w:t>oodidega</w:t>
      </w:r>
      <w:r w:rsidR="28509F15">
        <w:t xml:space="preserve"> 7664 ja 7665 </w:t>
      </w:r>
      <w:r w:rsidR="22CF9F28">
        <w:t>tähistatud tervishoiuteenuste</w:t>
      </w:r>
      <w:r w:rsidR="28509F15">
        <w:t xml:space="preserve"> </w:t>
      </w:r>
      <w:r w:rsidR="3FF18E79">
        <w:t>eest</w:t>
      </w:r>
      <w:r w:rsidR="28509F15">
        <w:t xml:space="preserve"> võtab Tervisekassa tasu maksmise kohustuse üle juhul, kui </w:t>
      </w:r>
      <w:r w:rsidR="3FF18E79">
        <w:t xml:space="preserve">teenust osutab </w:t>
      </w:r>
      <w:r w:rsidR="007720AE">
        <w:t>südamestimulaatori järelkontrolli alase</w:t>
      </w:r>
      <w:r w:rsidR="5BD00BD9">
        <w:t xml:space="preserve"> </w:t>
      </w:r>
      <w:r w:rsidR="12AF02C7">
        <w:t xml:space="preserve">koolituse ja </w:t>
      </w:r>
      <w:r w:rsidR="5BD00BD9">
        <w:t>pädevus</w:t>
      </w:r>
      <w:r w:rsidR="12AF02C7">
        <w:t>hindamise läbinud</w:t>
      </w:r>
      <w:r w:rsidR="5BD00BD9">
        <w:t xml:space="preserve"> </w:t>
      </w:r>
      <w:r w:rsidR="28509F15">
        <w:t>õde</w:t>
      </w:r>
      <w:r w:rsidR="0BEE1D64">
        <w:t>.</w:t>
      </w:r>
    </w:p>
    <w:p w14:paraId="4B238530" w14:textId="77777777" w:rsidR="00EF3550" w:rsidRPr="00687DE8" w:rsidRDefault="00EF3550" w:rsidP="00092936">
      <w:pPr>
        <w:spacing w:after="0" w:line="240" w:lineRule="auto"/>
        <w:jc w:val="both"/>
        <w:divId w:val="1316184749"/>
        <w:rPr>
          <w:b/>
          <w:bCs/>
          <w:szCs w:val="24"/>
        </w:rPr>
      </w:pPr>
    </w:p>
    <w:p w14:paraId="2CB96678" w14:textId="77777777" w:rsidR="00976487" w:rsidRDefault="00976487" w:rsidP="00976487">
      <w:pPr>
        <w:spacing w:after="0" w:line="240" w:lineRule="auto"/>
        <w:jc w:val="both"/>
        <w:outlineLvl w:val="2"/>
        <w:divId w:val="1316184749"/>
        <w:rPr>
          <w:b/>
          <w:szCs w:val="24"/>
        </w:rPr>
      </w:pPr>
      <w:r w:rsidRPr="00687DE8">
        <w:rPr>
          <w:b/>
          <w:szCs w:val="24"/>
        </w:rPr>
        <w:t>§ 4</w:t>
      </w:r>
      <w:r w:rsidR="00296746" w:rsidRPr="00687DE8">
        <w:rPr>
          <w:b/>
          <w:szCs w:val="24"/>
        </w:rPr>
        <w:t>2</w:t>
      </w:r>
      <w:r w:rsidRPr="00687DE8">
        <w:rPr>
          <w:b/>
          <w:szCs w:val="24"/>
        </w:rPr>
        <w:t>. Laserravi protseduuride piirhinnad</w:t>
      </w:r>
    </w:p>
    <w:p w14:paraId="14D1BF75" w14:textId="77777777" w:rsidR="005332E6" w:rsidRDefault="005332E6" w:rsidP="00976487">
      <w:pPr>
        <w:spacing w:after="0" w:line="240" w:lineRule="auto"/>
        <w:jc w:val="both"/>
        <w:divId w:val="1316184749"/>
        <w:rPr>
          <w:szCs w:val="24"/>
        </w:rPr>
      </w:pPr>
    </w:p>
    <w:p w14:paraId="5F9CCFE0" w14:textId="60B181E9" w:rsidR="00976487" w:rsidRPr="00687DE8" w:rsidRDefault="00976487" w:rsidP="00976487">
      <w:pPr>
        <w:spacing w:after="0" w:line="240" w:lineRule="auto"/>
        <w:jc w:val="both"/>
        <w:divId w:val="1316184749"/>
        <w:rPr>
          <w:szCs w:val="24"/>
        </w:rPr>
      </w:pPr>
      <w:r w:rsidRPr="00687DE8">
        <w:rPr>
          <w:szCs w:val="24"/>
        </w:rPr>
        <w:t>Laserravi protseduuride piirhinnad on järgmised:</w:t>
      </w:r>
    </w:p>
    <w:p w14:paraId="1DDFACC1"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3"/>
        <w:gridCol w:w="1069"/>
        <w:gridCol w:w="1113"/>
      </w:tblGrid>
      <w:tr w:rsidR="00976487" w:rsidRPr="00687DE8" w14:paraId="0CCFD030" w14:textId="77777777" w:rsidTr="07BBBBAD">
        <w:trPr>
          <w:divId w:val="1316184749"/>
          <w:tblHeader/>
        </w:trPr>
        <w:tc>
          <w:tcPr>
            <w:tcW w:w="71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F31C91" w14:textId="77777777" w:rsidR="00976487" w:rsidRPr="00687DE8" w:rsidRDefault="00976487">
            <w:pPr>
              <w:spacing w:after="0" w:line="240" w:lineRule="auto"/>
              <w:jc w:val="center"/>
              <w:rPr>
                <w:szCs w:val="24"/>
              </w:rPr>
            </w:pPr>
            <w:r w:rsidRPr="00687DE8">
              <w:rPr>
                <w:b/>
                <w:bCs/>
                <w:szCs w:val="24"/>
              </w:rPr>
              <w:t>Tervishoiuteenuse nimetus</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9B9FD9" w14:textId="77777777" w:rsidR="00976487" w:rsidRPr="00687DE8" w:rsidRDefault="00976487">
            <w:pPr>
              <w:spacing w:after="0" w:line="240" w:lineRule="auto"/>
              <w:jc w:val="center"/>
              <w:rPr>
                <w:szCs w:val="24"/>
              </w:rPr>
            </w:pPr>
            <w:r w:rsidRPr="00687DE8">
              <w:rPr>
                <w:b/>
                <w:bCs/>
                <w:szCs w:val="24"/>
              </w:rPr>
              <w:t>Kood</w:t>
            </w:r>
          </w:p>
        </w:tc>
        <w:tc>
          <w:tcPr>
            <w:tcW w:w="11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501203"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B675B4" w:rsidRPr="00687DE8" w14:paraId="05B0D1CC" w14:textId="77777777" w:rsidTr="00934CCC">
        <w:trPr>
          <w:divId w:val="1316184749"/>
          <w:trHeight w:val="300"/>
        </w:trPr>
        <w:tc>
          <w:tcPr>
            <w:tcW w:w="71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7285C6" w14:textId="77777777" w:rsidR="00B675B4" w:rsidRPr="00687DE8" w:rsidRDefault="00B675B4" w:rsidP="00B675B4">
            <w:pPr>
              <w:spacing w:after="0" w:line="240" w:lineRule="auto"/>
              <w:rPr>
                <w:szCs w:val="24"/>
              </w:rPr>
            </w:pPr>
            <w:r w:rsidRPr="00687DE8">
              <w:rPr>
                <w:szCs w:val="24"/>
              </w:rPr>
              <w:t>Pehmete kudede laserkoagulatsioon mittekontaktmeetodil</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82C996" w14:textId="77777777" w:rsidR="00B675B4" w:rsidRPr="00687DE8" w:rsidRDefault="00B675B4" w:rsidP="00B675B4">
            <w:pPr>
              <w:spacing w:after="0" w:line="240" w:lineRule="auto"/>
              <w:jc w:val="center"/>
              <w:rPr>
                <w:szCs w:val="24"/>
              </w:rPr>
            </w:pPr>
            <w:r w:rsidRPr="00687DE8">
              <w:rPr>
                <w:szCs w:val="24"/>
              </w:rPr>
              <w:t>7801</w:t>
            </w:r>
          </w:p>
        </w:tc>
        <w:tc>
          <w:tcPr>
            <w:tcW w:w="11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F82622" w14:textId="20C5F6C7" w:rsidR="74E92CAC" w:rsidRPr="00687DE8" w:rsidRDefault="007C4ED7">
            <w:pPr>
              <w:spacing w:after="0"/>
              <w:jc w:val="center"/>
              <w:rPr>
                <w:color w:val="000000" w:themeColor="text1"/>
                <w:szCs w:val="24"/>
              </w:rPr>
            </w:pPr>
            <w:r>
              <w:rPr>
                <w:color w:val="000000"/>
              </w:rPr>
              <w:t>20,07</w:t>
            </w:r>
          </w:p>
        </w:tc>
      </w:tr>
      <w:tr w:rsidR="00B675B4" w:rsidRPr="00687DE8" w14:paraId="5431D62B" w14:textId="77777777" w:rsidTr="00934CCC">
        <w:trPr>
          <w:divId w:val="1316184749"/>
          <w:trHeight w:val="300"/>
        </w:trPr>
        <w:tc>
          <w:tcPr>
            <w:tcW w:w="71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6D31C2" w14:textId="77777777" w:rsidR="00B675B4" w:rsidRPr="00687DE8" w:rsidRDefault="00B675B4" w:rsidP="00B675B4">
            <w:pPr>
              <w:spacing w:after="0" w:line="240" w:lineRule="auto"/>
              <w:rPr>
                <w:szCs w:val="24"/>
              </w:rPr>
            </w:pPr>
            <w:r w:rsidRPr="00687DE8">
              <w:rPr>
                <w:szCs w:val="24"/>
              </w:rPr>
              <w:t>Pehmete kudede laserkoagulatsioon mittekontaktmeetodil, enam kui viie erineva lokalisatsiooniga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71AD796" w14:textId="77777777" w:rsidR="00B675B4" w:rsidRPr="00687DE8" w:rsidRDefault="00B675B4" w:rsidP="00B675B4">
            <w:pPr>
              <w:spacing w:after="0" w:line="240" w:lineRule="auto"/>
              <w:jc w:val="center"/>
              <w:rPr>
                <w:szCs w:val="24"/>
              </w:rPr>
            </w:pPr>
            <w:r w:rsidRPr="00687DE8">
              <w:rPr>
                <w:szCs w:val="24"/>
              </w:rPr>
              <w:t>7802</w:t>
            </w:r>
          </w:p>
        </w:tc>
        <w:tc>
          <w:tcPr>
            <w:tcW w:w="111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D38F1E" w14:textId="6598E75D" w:rsidR="74E92CAC" w:rsidRPr="00687DE8" w:rsidRDefault="007C4ED7">
            <w:pPr>
              <w:spacing w:after="0"/>
              <w:jc w:val="center"/>
              <w:rPr>
                <w:color w:val="000000" w:themeColor="text1"/>
                <w:szCs w:val="24"/>
              </w:rPr>
            </w:pPr>
            <w:r>
              <w:rPr>
                <w:color w:val="000000"/>
              </w:rPr>
              <w:t>26,97</w:t>
            </w:r>
          </w:p>
        </w:tc>
      </w:tr>
      <w:tr w:rsidR="00B675B4" w:rsidRPr="00687DE8" w14:paraId="3C3B7277" w14:textId="77777777" w:rsidTr="00934CCC">
        <w:trPr>
          <w:divId w:val="1316184749"/>
          <w:trHeight w:val="300"/>
        </w:trPr>
        <w:tc>
          <w:tcPr>
            <w:tcW w:w="71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F21DFE" w14:textId="77777777" w:rsidR="00B675B4" w:rsidRPr="00687DE8" w:rsidRDefault="00B675B4" w:rsidP="00B675B4">
            <w:pPr>
              <w:spacing w:after="0" w:line="240" w:lineRule="auto"/>
              <w:rPr>
                <w:szCs w:val="24"/>
              </w:rPr>
            </w:pPr>
            <w:r w:rsidRPr="00687DE8">
              <w:rPr>
                <w:szCs w:val="24"/>
              </w:rPr>
              <w:t>Koesisene laserkoagulatsioon pehmetel kudedel</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75621A" w14:textId="77777777" w:rsidR="00B675B4" w:rsidRPr="00687DE8" w:rsidRDefault="00B675B4" w:rsidP="00B675B4">
            <w:pPr>
              <w:spacing w:after="0" w:line="240" w:lineRule="auto"/>
              <w:jc w:val="center"/>
              <w:rPr>
                <w:szCs w:val="24"/>
              </w:rPr>
            </w:pPr>
            <w:r w:rsidRPr="00687DE8">
              <w:rPr>
                <w:szCs w:val="24"/>
              </w:rPr>
              <w:t>7803</w:t>
            </w:r>
          </w:p>
        </w:tc>
        <w:tc>
          <w:tcPr>
            <w:tcW w:w="111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527090" w14:textId="35F0C808" w:rsidR="74E92CAC" w:rsidRPr="00687DE8" w:rsidRDefault="007C4ED7">
            <w:pPr>
              <w:spacing w:after="0"/>
              <w:jc w:val="center"/>
              <w:rPr>
                <w:color w:val="000000" w:themeColor="text1"/>
                <w:szCs w:val="24"/>
              </w:rPr>
            </w:pPr>
            <w:r>
              <w:rPr>
                <w:color w:val="000000"/>
              </w:rPr>
              <w:t>30,87</w:t>
            </w:r>
          </w:p>
        </w:tc>
      </w:tr>
      <w:tr w:rsidR="00B675B4" w:rsidRPr="00687DE8" w14:paraId="6B16136B" w14:textId="77777777" w:rsidTr="00934CCC">
        <w:trPr>
          <w:divId w:val="1316184749"/>
          <w:trHeight w:val="300"/>
        </w:trPr>
        <w:tc>
          <w:tcPr>
            <w:tcW w:w="71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A3054A" w14:textId="77777777" w:rsidR="00B675B4" w:rsidRPr="00687DE8" w:rsidRDefault="00B675B4" w:rsidP="00B675B4">
            <w:pPr>
              <w:spacing w:after="0" w:line="240" w:lineRule="auto"/>
              <w:rPr>
                <w:szCs w:val="24"/>
              </w:rPr>
            </w:pPr>
            <w:r w:rsidRPr="00687DE8">
              <w:rPr>
                <w:szCs w:val="24"/>
              </w:rPr>
              <w:t>Pehmete kudede laserkoagulatsioon kombineeritud meetodil</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0EBB5A" w14:textId="77777777" w:rsidR="00B675B4" w:rsidRPr="00687DE8" w:rsidRDefault="00B675B4" w:rsidP="00B675B4">
            <w:pPr>
              <w:spacing w:after="0" w:line="240" w:lineRule="auto"/>
              <w:jc w:val="center"/>
              <w:rPr>
                <w:szCs w:val="24"/>
              </w:rPr>
            </w:pPr>
            <w:r w:rsidRPr="00687DE8">
              <w:rPr>
                <w:szCs w:val="24"/>
              </w:rPr>
              <w:t>7804</w:t>
            </w:r>
          </w:p>
        </w:tc>
        <w:tc>
          <w:tcPr>
            <w:tcW w:w="111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75E86C" w14:textId="7136AE4C" w:rsidR="74E92CAC" w:rsidRPr="00687DE8" w:rsidRDefault="007C4ED7">
            <w:pPr>
              <w:spacing w:after="0"/>
              <w:jc w:val="center"/>
              <w:rPr>
                <w:color w:val="000000" w:themeColor="text1"/>
                <w:szCs w:val="24"/>
              </w:rPr>
            </w:pPr>
            <w:r>
              <w:rPr>
                <w:color w:val="000000"/>
              </w:rPr>
              <w:t>46,27</w:t>
            </w:r>
          </w:p>
        </w:tc>
      </w:tr>
      <w:tr w:rsidR="00B675B4" w:rsidRPr="00687DE8" w14:paraId="2829E013" w14:textId="77777777" w:rsidTr="00934CCC">
        <w:trPr>
          <w:divId w:val="1316184749"/>
          <w:trHeight w:val="324"/>
        </w:trPr>
        <w:tc>
          <w:tcPr>
            <w:tcW w:w="71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F3EAFA" w14:textId="77777777" w:rsidR="00B675B4" w:rsidRPr="00687DE8" w:rsidRDefault="00B675B4" w:rsidP="00B675B4">
            <w:pPr>
              <w:spacing w:after="0" w:line="240" w:lineRule="auto"/>
              <w:rPr>
                <w:szCs w:val="24"/>
              </w:rPr>
            </w:pPr>
            <w:r w:rsidRPr="00687DE8">
              <w:rPr>
                <w:szCs w:val="24"/>
              </w:rPr>
              <w:t>Lasertrabekuloplastika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8A6371" w14:textId="77777777" w:rsidR="00B675B4" w:rsidRPr="00687DE8" w:rsidRDefault="00B675B4" w:rsidP="00B675B4">
            <w:pPr>
              <w:spacing w:after="0" w:line="240" w:lineRule="auto"/>
              <w:jc w:val="center"/>
              <w:rPr>
                <w:szCs w:val="24"/>
              </w:rPr>
            </w:pPr>
            <w:r w:rsidRPr="00687DE8">
              <w:rPr>
                <w:szCs w:val="24"/>
              </w:rPr>
              <w:t>7805</w:t>
            </w:r>
          </w:p>
        </w:tc>
        <w:tc>
          <w:tcPr>
            <w:tcW w:w="111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C80EC6" w14:textId="59C9A02E" w:rsidR="74E92CAC" w:rsidRPr="00687DE8" w:rsidRDefault="007C4ED7">
            <w:pPr>
              <w:spacing w:after="0"/>
              <w:jc w:val="center"/>
              <w:rPr>
                <w:color w:val="000000" w:themeColor="text1"/>
                <w:szCs w:val="24"/>
              </w:rPr>
            </w:pPr>
            <w:r>
              <w:rPr>
                <w:color w:val="000000"/>
              </w:rPr>
              <w:t>31,47</w:t>
            </w:r>
          </w:p>
        </w:tc>
      </w:tr>
      <w:tr w:rsidR="00B675B4" w:rsidRPr="00687DE8" w14:paraId="3C738D59" w14:textId="77777777" w:rsidTr="00934CCC">
        <w:trPr>
          <w:divId w:val="1316184749"/>
          <w:trHeight w:val="300"/>
        </w:trPr>
        <w:tc>
          <w:tcPr>
            <w:tcW w:w="71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860E52" w14:textId="77777777" w:rsidR="00B675B4" w:rsidRPr="00687DE8" w:rsidRDefault="00B675B4" w:rsidP="00B675B4">
            <w:pPr>
              <w:spacing w:after="0" w:line="240" w:lineRule="auto"/>
              <w:rPr>
                <w:szCs w:val="24"/>
              </w:rPr>
            </w:pPr>
            <w:r w:rsidRPr="00687DE8">
              <w:rPr>
                <w:szCs w:val="24"/>
              </w:rPr>
              <w:t>Laseriridektoomia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E03C53" w14:textId="77777777" w:rsidR="00B675B4" w:rsidRPr="00687DE8" w:rsidRDefault="00B675B4" w:rsidP="00B675B4">
            <w:pPr>
              <w:spacing w:after="0" w:line="240" w:lineRule="auto"/>
              <w:jc w:val="center"/>
              <w:rPr>
                <w:szCs w:val="24"/>
              </w:rPr>
            </w:pPr>
            <w:r w:rsidRPr="00687DE8">
              <w:rPr>
                <w:szCs w:val="24"/>
              </w:rPr>
              <w:t>7806</w:t>
            </w:r>
          </w:p>
        </w:tc>
        <w:tc>
          <w:tcPr>
            <w:tcW w:w="111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8986AC" w14:textId="2712E73E" w:rsidR="74E92CAC" w:rsidRPr="00687DE8" w:rsidRDefault="007C4ED7">
            <w:pPr>
              <w:spacing w:after="0"/>
              <w:jc w:val="center"/>
              <w:rPr>
                <w:color w:val="000000" w:themeColor="text1"/>
                <w:szCs w:val="24"/>
              </w:rPr>
            </w:pPr>
            <w:r>
              <w:rPr>
                <w:color w:val="000000"/>
              </w:rPr>
              <w:t>31,47</w:t>
            </w:r>
          </w:p>
        </w:tc>
      </w:tr>
      <w:tr w:rsidR="00B675B4" w:rsidRPr="00687DE8" w14:paraId="6567CEBB" w14:textId="77777777" w:rsidTr="00934CCC">
        <w:trPr>
          <w:divId w:val="1316184749"/>
          <w:trHeight w:val="300"/>
        </w:trPr>
        <w:tc>
          <w:tcPr>
            <w:tcW w:w="71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026B1F" w14:textId="77777777" w:rsidR="00B675B4" w:rsidRPr="00687DE8" w:rsidRDefault="00B675B4" w:rsidP="00B675B4">
            <w:pPr>
              <w:spacing w:after="0" w:line="240" w:lineRule="auto"/>
              <w:rPr>
                <w:szCs w:val="24"/>
              </w:rPr>
            </w:pPr>
            <w:r w:rsidRPr="00687DE8">
              <w:rPr>
                <w:szCs w:val="24"/>
              </w:rPr>
              <w:t>Võrkkesta laserpankoagulatsioon</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D44B4B" w14:textId="77777777" w:rsidR="00B675B4" w:rsidRPr="00687DE8" w:rsidRDefault="00B675B4" w:rsidP="00B675B4">
            <w:pPr>
              <w:spacing w:after="0" w:line="240" w:lineRule="auto"/>
              <w:jc w:val="center"/>
              <w:rPr>
                <w:szCs w:val="24"/>
              </w:rPr>
            </w:pPr>
            <w:r w:rsidRPr="00687DE8">
              <w:rPr>
                <w:szCs w:val="24"/>
              </w:rPr>
              <w:t>7807</w:t>
            </w:r>
          </w:p>
        </w:tc>
        <w:tc>
          <w:tcPr>
            <w:tcW w:w="111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A99F36" w14:textId="1B3E09E5" w:rsidR="74E92CAC" w:rsidRPr="00687DE8" w:rsidRDefault="007C4ED7">
            <w:pPr>
              <w:spacing w:after="0"/>
              <w:jc w:val="center"/>
              <w:rPr>
                <w:color w:val="000000" w:themeColor="text1"/>
                <w:szCs w:val="24"/>
              </w:rPr>
            </w:pPr>
            <w:r>
              <w:rPr>
                <w:color w:val="000000"/>
              </w:rPr>
              <w:t>112,97</w:t>
            </w:r>
          </w:p>
        </w:tc>
      </w:tr>
      <w:tr w:rsidR="00B675B4" w:rsidRPr="00687DE8" w14:paraId="722EF217" w14:textId="77777777" w:rsidTr="00934CCC">
        <w:trPr>
          <w:divId w:val="1316184749"/>
          <w:trHeight w:val="300"/>
        </w:trPr>
        <w:tc>
          <w:tcPr>
            <w:tcW w:w="71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72BF36" w14:textId="77777777" w:rsidR="00B675B4" w:rsidRPr="00687DE8" w:rsidRDefault="00B675B4" w:rsidP="00B675B4">
            <w:pPr>
              <w:spacing w:after="0" w:line="240" w:lineRule="auto"/>
              <w:rPr>
                <w:szCs w:val="24"/>
              </w:rPr>
            </w:pPr>
            <w:r w:rsidRPr="00687DE8">
              <w:rPr>
                <w:szCs w:val="24"/>
              </w:rPr>
              <w:t>Vaskaurulaserravi protseduur</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1E6E4E" w14:textId="77777777" w:rsidR="00B675B4" w:rsidRPr="00687DE8" w:rsidRDefault="00B675B4" w:rsidP="00B675B4">
            <w:pPr>
              <w:spacing w:after="0" w:line="240" w:lineRule="auto"/>
              <w:jc w:val="center"/>
              <w:rPr>
                <w:szCs w:val="24"/>
              </w:rPr>
            </w:pPr>
            <w:r w:rsidRPr="00687DE8">
              <w:rPr>
                <w:szCs w:val="24"/>
              </w:rPr>
              <w:t>7808</w:t>
            </w:r>
          </w:p>
        </w:tc>
        <w:tc>
          <w:tcPr>
            <w:tcW w:w="111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BF01E8" w14:textId="360E5DE6" w:rsidR="74E92CAC" w:rsidRPr="00687DE8" w:rsidRDefault="007C4ED7">
            <w:pPr>
              <w:spacing w:after="0"/>
              <w:jc w:val="center"/>
              <w:rPr>
                <w:color w:val="000000" w:themeColor="text1"/>
                <w:szCs w:val="24"/>
              </w:rPr>
            </w:pPr>
            <w:r>
              <w:rPr>
                <w:color w:val="000000"/>
              </w:rPr>
              <w:t>35,61</w:t>
            </w:r>
          </w:p>
        </w:tc>
      </w:tr>
    </w:tbl>
    <w:p w14:paraId="0E0A3FB7" w14:textId="77777777" w:rsidR="00976487" w:rsidRPr="00687DE8" w:rsidRDefault="00976487" w:rsidP="07BBBBAD">
      <w:pPr>
        <w:spacing w:after="0" w:line="240" w:lineRule="auto"/>
        <w:jc w:val="both"/>
        <w:outlineLvl w:val="2"/>
        <w:divId w:val="1316184749"/>
        <w:rPr>
          <w:b/>
          <w:bCs/>
          <w:szCs w:val="24"/>
        </w:rPr>
      </w:pPr>
    </w:p>
    <w:p w14:paraId="3A3AFD90" w14:textId="77777777" w:rsidR="00976487" w:rsidRDefault="00976487" w:rsidP="00976487">
      <w:pPr>
        <w:spacing w:after="0" w:line="240" w:lineRule="auto"/>
        <w:jc w:val="both"/>
        <w:outlineLvl w:val="2"/>
        <w:divId w:val="1316184749"/>
        <w:rPr>
          <w:b/>
          <w:szCs w:val="24"/>
        </w:rPr>
      </w:pPr>
      <w:r w:rsidRPr="00687DE8">
        <w:rPr>
          <w:b/>
          <w:szCs w:val="24"/>
        </w:rPr>
        <w:lastRenderedPageBreak/>
        <w:t>§ 4</w:t>
      </w:r>
      <w:r w:rsidR="00296746" w:rsidRPr="00687DE8">
        <w:rPr>
          <w:b/>
          <w:szCs w:val="24"/>
        </w:rPr>
        <w:t>3</w:t>
      </w:r>
      <w:r w:rsidRPr="00687DE8">
        <w:rPr>
          <w:b/>
          <w:szCs w:val="24"/>
        </w:rPr>
        <w:t>. Intensiivravi protseduuride piirhinnad</w:t>
      </w:r>
    </w:p>
    <w:p w14:paraId="282E5780" w14:textId="77777777" w:rsidR="005332E6" w:rsidRDefault="005332E6" w:rsidP="00976487">
      <w:pPr>
        <w:spacing w:after="0" w:line="240" w:lineRule="auto"/>
        <w:jc w:val="both"/>
        <w:divId w:val="1316184749"/>
        <w:rPr>
          <w:szCs w:val="24"/>
        </w:rPr>
      </w:pPr>
    </w:p>
    <w:p w14:paraId="041E4BFE" w14:textId="4DAAAFFD" w:rsidR="00976487" w:rsidRPr="00687DE8" w:rsidRDefault="00976487" w:rsidP="00976487">
      <w:pPr>
        <w:spacing w:after="0" w:line="240" w:lineRule="auto"/>
        <w:jc w:val="both"/>
        <w:divId w:val="1316184749"/>
        <w:rPr>
          <w:szCs w:val="24"/>
        </w:rPr>
      </w:pPr>
      <w:r w:rsidRPr="00687DE8">
        <w:rPr>
          <w:szCs w:val="24"/>
        </w:rPr>
        <w:t>(1) Intensiivravi protseduuride piirhinnad on järgmised:</w:t>
      </w:r>
    </w:p>
    <w:p w14:paraId="1955F81D"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4"/>
        <w:gridCol w:w="1069"/>
        <w:gridCol w:w="1742"/>
      </w:tblGrid>
      <w:tr w:rsidR="00976487" w:rsidRPr="00687DE8" w14:paraId="7570570C" w14:textId="77777777" w:rsidTr="00924972">
        <w:trPr>
          <w:divId w:val="1316184749"/>
          <w:tblHeader/>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1C23CA" w14:textId="77777777" w:rsidR="00976487" w:rsidRPr="00687DE8" w:rsidRDefault="00976487">
            <w:pPr>
              <w:spacing w:after="0" w:line="240" w:lineRule="auto"/>
              <w:jc w:val="center"/>
              <w:rPr>
                <w:szCs w:val="24"/>
              </w:rPr>
            </w:pPr>
            <w:r w:rsidRPr="00687DE8">
              <w:rPr>
                <w:b/>
                <w:bCs/>
                <w:szCs w:val="24"/>
              </w:rPr>
              <w:t>Tervishoiuteenuse nimetus</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95B926" w14:textId="77777777" w:rsidR="00976487" w:rsidRPr="00687DE8" w:rsidRDefault="00976487">
            <w:pPr>
              <w:spacing w:after="0" w:line="240" w:lineRule="auto"/>
              <w:jc w:val="center"/>
              <w:rPr>
                <w:szCs w:val="24"/>
              </w:rPr>
            </w:pPr>
            <w:r w:rsidRPr="00687DE8">
              <w:rPr>
                <w:b/>
                <w:bCs/>
                <w:szCs w:val="24"/>
              </w:rPr>
              <w:t>Kood</w:t>
            </w:r>
          </w:p>
        </w:tc>
        <w:tc>
          <w:tcPr>
            <w:tcW w:w="17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ECCC8E"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E467D6" w:rsidRPr="00687DE8" w14:paraId="1242A1DA"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C8641D" w14:textId="77777777" w:rsidR="00E467D6" w:rsidRPr="00687DE8" w:rsidRDefault="00E467D6" w:rsidP="00E467D6">
            <w:pPr>
              <w:spacing w:after="0" w:line="240" w:lineRule="auto"/>
              <w:rPr>
                <w:szCs w:val="24"/>
              </w:rPr>
            </w:pPr>
            <w:r w:rsidRPr="00687DE8">
              <w:rPr>
                <w:szCs w:val="24"/>
              </w:rPr>
              <w:t>Perkutaanne ajutine kardiostimulatsioon</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B59702" w14:textId="77777777" w:rsidR="00E467D6" w:rsidRPr="00687DE8" w:rsidRDefault="00E467D6" w:rsidP="00E467D6">
            <w:pPr>
              <w:spacing w:after="0" w:line="240" w:lineRule="auto"/>
              <w:jc w:val="center"/>
              <w:rPr>
                <w:szCs w:val="24"/>
              </w:rPr>
            </w:pPr>
            <w:r w:rsidRPr="00687DE8">
              <w:rPr>
                <w:szCs w:val="24"/>
              </w:rPr>
              <w:t>7711</w:t>
            </w:r>
          </w:p>
        </w:tc>
        <w:tc>
          <w:tcPr>
            <w:tcW w:w="17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01A73C" w14:textId="603513E0" w:rsidR="6E2D3984" w:rsidRPr="00687DE8" w:rsidRDefault="00A01CFF">
            <w:pPr>
              <w:spacing w:after="0"/>
              <w:jc w:val="center"/>
              <w:rPr>
                <w:color w:val="000000" w:themeColor="text1"/>
                <w:szCs w:val="24"/>
              </w:rPr>
            </w:pPr>
            <w:r>
              <w:rPr>
                <w:color w:val="000000"/>
              </w:rPr>
              <w:t>76,49</w:t>
            </w:r>
          </w:p>
        </w:tc>
      </w:tr>
      <w:tr w:rsidR="00E467D6" w:rsidRPr="00687DE8" w14:paraId="26000CD2"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47D262" w14:textId="77777777" w:rsidR="00E467D6" w:rsidRPr="00687DE8" w:rsidRDefault="00E467D6" w:rsidP="00E467D6">
            <w:pPr>
              <w:spacing w:after="0" w:line="240" w:lineRule="auto"/>
              <w:rPr>
                <w:szCs w:val="24"/>
              </w:rPr>
            </w:pPr>
            <w:r w:rsidRPr="00687DE8">
              <w:rPr>
                <w:szCs w:val="24"/>
              </w:rPr>
              <w:t>Intubatsioon fiiberoptilise või videoskoopilise seadmega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5EB731" w14:textId="77777777" w:rsidR="00E467D6" w:rsidRPr="00687DE8" w:rsidRDefault="00E467D6" w:rsidP="00E467D6">
            <w:pPr>
              <w:spacing w:after="0" w:line="240" w:lineRule="auto"/>
              <w:jc w:val="center"/>
              <w:rPr>
                <w:szCs w:val="24"/>
              </w:rPr>
            </w:pPr>
            <w:r w:rsidRPr="00687DE8">
              <w:rPr>
                <w:szCs w:val="24"/>
              </w:rPr>
              <w:t>7740</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ECF55D" w14:textId="6F48519D" w:rsidR="6E2D3984" w:rsidRPr="00687DE8" w:rsidRDefault="00A01CFF">
            <w:pPr>
              <w:spacing w:after="0"/>
              <w:jc w:val="center"/>
              <w:rPr>
                <w:color w:val="000000" w:themeColor="text1"/>
                <w:szCs w:val="24"/>
              </w:rPr>
            </w:pPr>
            <w:r>
              <w:rPr>
                <w:color w:val="000000"/>
              </w:rPr>
              <w:t>106,13</w:t>
            </w:r>
          </w:p>
        </w:tc>
      </w:tr>
      <w:tr w:rsidR="00E467D6" w:rsidRPr="00687DE8" w14:paraId="480D43CB"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F8885D" w14:textId="77777777" w:rsidR="00E467D6" w:rsidRPr="00687DE8" w:rsidRDefault="00E467D6" w:rsidP="00E467D6">
            <w:pPr>
              <w:spacing w:after="0" w:line="240" w:lineRule="auto"/>
              <w:rPr>
                <w:szCs w:val="24"/>
              </w:rPr>
            </w:pPr>
            <w:r w:rsidRPr="00687DE8">
              <w:rPr>
                <w:szCs w:val="24"/>
              </w:rPr>
              <w:t>Tsentraalveeni kanüleerimine</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943AD7" w14:textId="77777777" w:rsidR="00E467D6" w:rsidRPr="00687DE8" w:rsidRDefault="00E467D6" w:rsidP="00E467D6">
            <w:pPr>
              <w:spacing w:after="0" w:line="240" w:lineRule="auto"/>
              <w:jc w:val="center"/>
              <w:rPr>
                <w:szCs w:val="24"/>
              </w:rPr>
            </w:pPr>
            <w:r w:rsidRPr="00687DE8">
              <w:rPr>
                <w:szCs w:val="24"/>
              </w:rPr>
              <w:t>7741</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41CFEF" w14:textId="446FDAB0" w:rsidR="6E2D3984" w:rsidRPr="00687DE8" w:rsidRDefault="00A01CFF">
            <w:pPr>
              <w:spacing w:after="0"/>
              <w:jc w:val="center"/>
              <w:rPr>
                <w:color w:val="000000" w:themeColor="text1"/>
                <w:szCs w:val="24"/>
              </w:rPr>
            </w:pPr>
            <w:r>
              <w:rPr>
                <w:color w:val="000000"/>
              </w:rPr>
              <w:t>95,74</w:t>
            </w:r>
          </w:p>
        </w:tc>
      </w:tr>
      <w:tr w:rsidR="00E467D6" w:rsidRPr="00687DE8" w14:paraId="0182B9B0"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EE9072" w14:textId="77777777" w:rsidR="00E467D6" w:rsidRPr="00687DE8" w:rsidRDefault="00E467D6" w:rsidP="00E467D6">
            <w:pPr>
              <w:spacing w:after="0" w:line="240" w:lineRule="auto"/>
              <w:rPr>
                <w:szCs w:val="24"/>
              </w:rPr>
            </w:pPr>
            <w:r w:rsidRPr="00687DE8">
              <w:rPr>
                <w:szCs w:val="24"/>
              </w:rPr>
              <w:t>Epiduraal- või spinaalkateetri asetamine</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284D1E" w14:textId="77777777" w:rsidR="00E467D6" w:rsidRPr="00687DE8" w:rsidRDefault="00E467D6" w:rsidP="00E467D6">
            <w:pPr>
              <w:spacing w:after="0" w:line="240" w:lineRule="auto"/>
              <w:jc w:val="center"/>
              <w:rPr>
                <w:szCs w:val="24"/>
              </w:rPr>
            </w:pPr>
            <w:r w:rsidRPr="00687DE8">
              <w:rPr>
                <w:szCs w:val="24"/>
              </w:rPr>
              <w:t>7742</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A0B0E3" w14:textId="12256616" w:rsidR="6E2D3984" w:rsidRPr="00687DE8" w:rsidRDefault="00A01CFF">
            <w:pPr>
              <w:spacing w:after="0"/>
              <w:jc w:val="center"/>
              <w:rPr>
                <w:color w:val="000000" w:themeColor="text1"/>
                <w:szCs w:val="24"/>
              </w:rPr>
            </w:pPr>
            <w:r>
              <w:rPr>
                <w:color w:val="000000"/>
              </w:rPr>
              <w:t>69,94</w:t>
            </w:r>
          </w:p>
        </w:tc>
      </w:tr>
      <w:tr w:rsidR="00E467D6" w:rsidRPr="00687DE8" w14:paraId="0DA31E6F"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1A3563" w14:textId="77777777" w:rsidR="00E467D6" w:rsidRPr="00687DE8" w:rsidRDefault="00E467D6" w:rsidP="00E467D6">
            <w:pPr>
              <w:spacing w:after="0" w:line="240" w:lineRule="auto"/>
              <w:rPr>
                <w:szCs w:val="24"/>
              </w:rPr>
            </w:pPr>
            <w:r w:rsidRPr="00687DE8">
              <w:rPr>
                <w:szCs w:val="24"/>
              </w:rPr>
              <w:t>Implanteeritava reservuaariga tsentraalveeni kateetri asetamine</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7EBD07" w14:textId="77777777" w:rsidR="00E467D6" w:rsidRPr="00687DE8" w:rsidRDefault="00E467D6" w:rsidP="00E467D6">
            <w:pPr>
              <w:spacing w:after="0" w:line="240" w:lineRule="auto"/>
              <w:jc w:val="center"/>
              <w:rPr>
                <w:szCs w:val="24"/>
              </w:rPr>
            </w:pPr>
            <w:r w:rsidRPr="00687DE8">
              <w:rPr>
                <w:szCs w:val="24"/>
              </w:rPr>
              <w:t>7743</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1B1959" w14:textId="3FCA0CCB" w:rsidR="6E2D3984" w:rsidRPr="00687DE8" w:rsidRDefault="00A01CFF">
            <w:pPr>
              <w:spacing w:after="0"/>
              <w:jc w:val="center"/>
              <w:rPr>
                <w:color w:val="000000" w:themeColor="text1"/>
                <w:szCs w:val="24"/>
              </w:rPr>
            </w:pPr>
            <w:r>
              <w:rPr>
                <w:color w:val="000000"/>
              </w:rPr>
              <w:t>436,73</w:t>
            </w:r>
          </w:p>
        </w:tc>
      </w:tr>
      <w:tr w:rsidR="00E467D6" w:rsidRPr="00687DE8" w14:paraId="5C25A2D3"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D33189" w14:textId="77777777" w:rsidR="00E467D6" w:rsidRPr="00687DE8" w:rsidRDefault="00E467D6" w:rsidP="00E467D6">
            <w:pPr>
              <w:spacing w:after="0" w:line="240" w:lineRule="auto"/>
              <w:rPr>
                <w:szCs w:val="24"/>
              </w:rPr>
            </w:pPr>
            <w:r w:rsidRPr="00687DE8">
              <w:rPr>
                <w:szCs w:val="24"/>
              </w:rPr>
              <w:t>Perikardiõõne või pleuraõõne punktsioon</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202ADD" w14:textId="77777777" w:rsidR="00E467D6" w:rsidRPr="00687DE8" w:rsidRDefault="00E467D6" w:rsidP="00E467D6">
            <w:pPr>
              <w:spacing w:after="0" w:line="240" w:lineRule="auto"/>
              <w:jc w:val="center"/>
              <w:rPr>
                <w:szCs w:val="24"/>
              </w:rPr>
            </w:pPr>
            <w:r w:rsidRPr="00687DE8">
              <w:rPr>
                <w:szCs w:val="24"/>
              </w:rPr>
              <w:t>7744</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E1B0D0" w14:textId="4559A76E" w:rsidR="6E2D3984" w:rsidRPr="00687DE8" w:rsidRDefault="00A01CFF">
            <w:pPr>
              <w:spacing w:after="0"/>
              <w:jc w:val="center"/>
              <w:rPr>
                <w:color w:val="000000" w:themeColor="text1"/>
                <w:szCs w:val="24"/>
              </w:rPr>
            </w:pPr>
            <w:r>
              <w:rPr>
                <w:color w:val="000000"/>
              </w:rPr>
              <w:t>65,67</w:t>
            </w:r>
          </w:p>
        </w:tc>
      </w:tr>
      <w:tr w:rsidR="00E467D6" w:rsidRPr="00687DE8" w14:paraId="53D4CDC2"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E45A83" w14:textId="77777777" w:rsidR="00E467D6" w:rsidRPr="00687DE8" w:rsidRDefault="00E467D6" w:rsidP="00E467D6">
            <w:pPr>
              <w:spacing w:after="0" w:line="240" w:lineRule="auto"/>
              <w:rPr>
                <w:szCs w:val="24"/>
              </w:rPr>
            </w:pPr>
            <w:r w:rsidRPr="00687DE8">
              <w:rPr>
                <w:szCs w:val="24"/>
              </w:rPr>
              <w:t>Pleuraõõne püsidrenaaži rajamine</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710F9C" w14:textId="77777777" w:rsidR="00E467D6" w:rsidRPr="00687DE8" w:rsidRDefault="00E467D6" w:rsidP="00E467D6">
            <w:pPr>
              <w:spacing w:after="0" w:line="240" w:lineRule="auto"/>
              <w:jc w:val="center"/>
              <w:rPr>
                <w:szCs w:val="24"/>
              </w:rPr>
            </w:pPr>
            <w:r w:rsidRPr="00687DE8">
              <w:rPr>
                <w:szCs w:val="24"/>
              </w:rPr>
              <w:t>7745</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6C1395" w14:textId="1B78FF14" w:rsidR="6E2D3984" w:rsidRPr="00687DE8" w:rsidRDefault="00A01CFF">
            <w:pPr>
              <w:spacing w:after="0"/>
              <w:jc w:val="center"/>
              <w:rPr>
                <w:color w:val="000000" w:themeColor="text1"/>
                <w:szCs w:val="24"/>
              </w:rPr>
            </w:pPr>
            <w:r>
              <w:rPr>
                <w:color w:val="000000"/>
              </w:rPr>
              <w:t>129,91</w:t>
            </w:r>
          </w:p>
        </w:tc>
      </w:tr>
      <w:tr w:rsidR="00E467D6" w:rsidRPr="00687DE8" w14:paraId="20AD1A84"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E65E0D" w14:textId="77777777" w:rsidR="00E467D6" w:rsidRPr="00687DE8" w:rsidRDefault="00E467D6" w:rsidP="00E467D6">
            <w:pPr>
              <w:spacing w:after="0" w:line="240" w:lineRule="auto"/>
              <w:rPr>
                <w:szCs w:val="24"/>
              </w:rPr>
            </w:pPr>
            <w:r w:rsidRPr="00687DE8">
              <w:rPr>
                <w:szCs w:val="24"/>
              </w:rPr>
              <w:t>Pidev hemodialüüs või hemodiafiltratsioon (üks ööpäev)</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B2D2A5" w14:textId="77777777" w:rsidR="00E467D6" w:rsidRPr="00687DE8" w:rsidRDefault="00E467D6" w:rsidP="00E467D6">
            <w:pPr>
              <w:spacing w:after="0" w:line="240" w:lineRule="auto"/>
              <w:jc w:val="center"/>
              <w:rPr>
                <w:szCs w:val="24"/>
              </w:rPr>
            </w:pPr>
            <w:r w:rsidRPr="00687DE8">
              <w:rPr>
                <w:szCs w:val="24"/>
              </w:rPr>
              <w:t>7746</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22D407" w14:textId="0BDE6D1F" w:rsidR="6E2D3984" w:rsidRPr="00687DE8" w:rsidRDefault="00A01CFF">
            <w:pPr>
              <w:spacing w:after="0"/>
              <w:jc w:val="center"/>
              <w:rPr>
                <w:color w:val="000000" w:themeColor="text1"/>
                <w:szCs w:val="24"/>
              </w:rPr>
            </w:pPr>
            <w:r>
              <w:rPr>
                <w:color w:val="000000"/>
              </w:rPr>
              <w:t>1 179,03</w:t>
            </w:r>
          </w:p>
        </w:tc>
      </w:tr>
      <w:tr w:rsidR="00E467D6" w:rsidRPr="00687DE8" w14:paraId="3FA9F682"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DF0209" w14:textId="77777777" w:rsidR="00E467D6" w:rsidRPr="00687DE8" w:rsidRDefault="00E467D6" w:rsidP="00E467D6">
            <w:pPr>
              <w:spacing w:after="0" w:line="240" w:lineRule="auto"/>
              <w:rPr>
                <w:szCs w:val="24"/>
              </w:rPr>
            </w:pPr>
            <w:r w:rsidRPr="00687DE8">
              <w:rPr>
                <w:szCs w:val="24"/>
              </w:rPr>
              <w:t>Hemosorptsiooni seanss</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5DE312" w14:textId="77777777" w:rsidR="00E467D6" w:rsidRPr="00687DE8" w:rsidRDefault="00E467D6" w:rsidP="00E467D6">
            <w:pPr>
              <w:spacing w:after="0" w:line="240" w:lineRule="auto"/>
              <w:jc w:val="center"/>
              <w:rPr>
                <w:szCs w:val="24"/>
              </w:rPr>
            </w:pPr>
            <w:r w:rsidRPr="00687DE8">
              <w:rPr>
                <w:szCs w:val="24"/>
              </w:rPr>
              <w:t>7747</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FA9F8F" w14:textId="6F0D0358" w:rsidR="6E2D3984" w:rsidRPr="00687DE8" w:rsidRDefault="00A01CFF">
            <w:pPr>
              <w:spacing w:after="0"/>
              <w:jc w:val="center"/>
              <w:rPr>
                <w:color w:val="000000" w:themeColor="text1"/>
                <w:szCs w:val="24"/>
              </w:rPr>
            </w:pPr>
            <w:r>
              <w:rPr>
                <w:color w:val="000000"/>
              </w:rPr>
              <w:t>462,16</w:t>
            </w:r>
          </w:p>
        </w:tc>
      </w:tr>
      <w:tr w:rsidR="00E467D6" w:rsidRPr="00687DE8" w14:paraId="35583B28"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62C1F9" w14:textId="77777777" w:rsidR="00E467D6" w:rsidRPr="00687DE8" w:rsidRDefault="00E467D6" w:rsidP="00E467D6">
            <w:pPr>
              <w:spacing w:after="0" w:line="240" w:lineRule="auto"/>
              <w:rPr>
                <w:szCs w:val="24"/>
              </w:rPr>
            </w:pPr>
            <w:r w:rsidRPr="00687DE8">
              <w:rPr>
                <w:szCs w:val="24"/>
              </w:rPr>
              <w:t>Hemodialüüsi seanss</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B86B1D" w14:textId="77777777" w:rsidR="00E467D6" w:rsidRPr="00687DE8" w:rsidRDefault="00E467D6" w:rsidP="00E467D6">
            <w:pPr>
              <w:spacing w:after="0" w:line="240" w:lineRule="auto"/>
              <w:jc w:val="center"/>
              <w:rPr>
                <w:szCs w:val="24"/>
              </w:rPr>
            </w:pPr>
            <w:r w:rsidRPr="00687DE8">
              <w:rPr>
                <w:szCs w:val="24"/>
              </w:rPr>
              <w:t>7709</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8D9643" w14:textId="614632F0" w:rsidR="6E2D3984" w:rsidRPr="00687DE8" w:rsidRDefault="00A01CFF">
            <w:pPr>
              <w:spacing w:after="0"/>
              <w:jc w:val="center"/>
              <w:rPr>
                <w:color w:val="000000" w:themeColor="text1"/>
                <w:szCs w:val="24"/>
              </w:rPr>
            </w:pPr>
            <w:r>
              <w:rPr>
                <w:color w:val="000000"/>
              </w:rPr>
              <w:t>337,04</w:t>
            </w:r>
          </w:p>
        </w:tc>
      </w:tr>
      <w:tr w:rsidR="00E467D6" w:rsidRPr="00687DE8" w14:paraId="6860CB67"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E22AE7" w14:textId="77777777" w:rsidR="00E467D6" w:rsidRPr="00687DE8" w:rsidRDefault="00E467D6" w:rsidP="00E467D6">
            <w:pPr>
              <w:spacing w:after="0" w:line="240" w:lineRule="auto"/>
              <w:rPr>
                <w:szCs w:val="24"/>
              </w:rPr>
            </w:pPr>
            <w:r w:rsidRPr="00687DE8">
              <w:rPr>
                <w:szCs w:val="24"/>
              </w:rPr>
              <w:t>Invasiivse arteriaalse rõhu monitooringuseadme(te) paigaldamine</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948A54" w14:textId="77777777" w:rsidR="00E467D6" w:rsidRPr="00687DE8" w:rsidRDefault="00E467D6" w:rsidP="00E467D6">
            <w:pPr>
              <w:spacing w:after="0" w:line="240" w:lineRule="auto"/>
              <w:jc w:val="center"/>
              <w:rPr>
                <w:szCs w:val="24"/>
              </w:rPr>
            </w:pPr>
            <w:r w:rsidRPr="00687DE8">
              <w:rPr>
                <w:szCs w:val="24"/>
              </w:rPr>
              <w:t>7750</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810F05" w14:textId="5D1D17A6" w:rsidR="6E2D3984" w:rsidRPr="00687DE8" w:rsidRDefault="00A01CFF">
            <w:pPr>
              <w:spacing w:after="0"/>
              <w:jc w:val="center"/>
              <w:rPr>
                <w:color w:val="000000" w:themeColor="text1"/>
                <w:szCs w:val="24"/>
              </w:rPr>
            </w:pPr>
            <w:r>
              <w:rPr>
                <w:color w:val="000000"/>
              </w:rPr>
              <w:t>85,81</w:t>
            </w:r>
          </w:p>
        </w:tc>
      </w:tr>
      <w:tr w:rsidR="00E467D6" w:rsidRPr="00687DE8" w14:paraId="5FC1AA6B"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681C09" w14:textId="77777777" w:rsidR="00E467D6" w:rsidRPr="00687DE8" w:rsidRDefault="00E467D6" w:rsidP="00E467D6">
            <w:pPr>
              <w:spacing w:after="0" w:line="240" w:lineRule="auto"/>
              <w:rPr>
                <w:szCs w:val="24"/>
              </w:rPr>
            </w:pPr>
            <w:r w:rsidRPr="00687DE8">
              <w:rPr>
                <w:szCs w:val="24"/>
              </w:rPr>
              <w:t>Adsorptsiooni seanss septilise šoki korral</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087B83" w14:textId="77777777" w:rsidR="00E467D6" w:rsidRPr="00687DE8" w:rsidRDefault="00E467D6" w:rsidP="00E467D6">
            <w:pPr>
              <w:spacing w:after="0" w:line="240" w:lineRule="auto"/>
              <w:jc w:val="center"/>
              <w:rPr>
                <w:szCs w:val="24"/>
              </w:rPr>
            </w:pPr>
            <w:r w:rsidRPr="00687DE8">
              <w:rPr>
                <w:szCs w:val="24"/>
              </w:rPr>
              <w:t>7751</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D2D2B8" w14:textId="40211BD0" w:rsidR="6E2D3984" w:rsidRPr="00687DE8" w:rsidRDefault="00A01CFF" w:rsidP="00EE1057">
            <w:pPr>
              <w:spacing w:after="0"/>
              <w:jc w:val="center"/>
              <w:rPr>
                <w:color w:val="000000" w:themeColor="text1"/>
                <w:szCs w:val="24"/>
              </w:rPr>
            </w:pPr>
            <w:r>
              <w:rPr>
                <w:color w:val="000000"/>
              </w:rPr>
              <w:t>3 290,12</w:t>
            </w:r>
          </w:p>
        </w:tc>
      </w:tr>
      <w:tr w:rsidR="00E467D6" w:rsidRPr="00687DE8" w14:paraId="4C2F8C85"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B3B3FF" w14:textId="77777777" w:rsidR="00E467D6" w:rsidRPr="00687DE8" w:rsidRDefault="00E467D6" w:rsidP="00E467D6">
            <w:pPr>
              <w:spacing w:after="0" w:line="240" w:lineRule="auto"/>
              <w:rPr>
                <w:szCs w:val="24"/>
              </w:rPr>
            </w:pPr>
            <w:r w:rsidRPr="00687DE8">
              <w:rPr>
                <w:szCs w:val="24"/>
              </w:rPr>
              <w:t>Intrakraniaalse rõhu monitooringuseadme(te) paigaldamine</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0D1168" w14:textId="77777777" w:rsidR="00E467D6" w:rsidRPr="00687DE8" w:rsidRDefault="00E467D6" w:rsidP="00E467D6">
            <w:pPr>
              <w:spacing w:after="0" w:line="240" w:lineRule="auto"/>
              <w:jc w:val="center"/>
              <w:rPr>
                <w:szCs w:val="24"/>
              </w:rPr>
            </w:pPr>
            <w:r w:rsidRPr="00687DE8">
              <w:rPr>
                <w:szCs w:val="24"/>
              </w:rPr>
              <w:t>7752</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E6585B" w14:textId="5134D29A" w:rsidR="6E2D3984" w:rsidRPr="00687DE8" w:rsidRDefault="00A01CFF">
            <w:pPr>
              <w:spacing w:after="0"/>
              <w:jc w:val="center"/>
              <w:rPr>
                <w:color w:val="000000" w:themeColor="text1"/>
                <w:szCs w:val="24"/>
              </w:rPr>
            </w:pPr>
            <w:r>
              <w:rPr>
                <w:color w:val="000000"/>
              </w:rPr>
              <w:t>127,78</w:t>
            </w:r>
          </w:p>
        </w:tc>
      </w:tr>
      <w:tr w:rsidR="00E467D6" w:rsidRPr="00687DE8" w14:paraId="08FEA6A7"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2EA08F" w14:textId="77777777" w:rsidR="00E467D6" w:rsidRPr="00687DE8" w:rsidRDefault="00E467D6" w:rsidP="00E467D6">
            <w:pPr>
              <w:spacing w:after="0" w:line="240" w:lineRule="auto"/>
              <w:rPr>
                <w:szCs w:val="24"/>
              </w:rPr>
            </w:pPr>
            <w:r w:rsidRPr="00687DE8">
              <w:rPr>
                <w:szCs w:val="24"/>
              </w:rPr>
              <w:t>Äge peritoneaaldialüüs (üks ööpäev)</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D26A69" w14:textId="77777777" w:rsidR="00E467D6" w:rsidRPr="00687DE8" w:rsidRDefault="00E467D6" w:rsidP="00E467D6">
            <w:pPr>
              <w:spacing w:after="0" w:line="240" w:lineRule="auto"/>
              <w:jc w:val="center"/>
              <w:rPr>
                <w:szCs w:val="24"/>
              </w:rPr>
            </w:pPr>
            <w:r w:rsidRPr="00687DE8">
              <w:rPr>
                <w:szCs w:val="24"/>
              </w:rPr>
              <w:t>7753</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DFD1CE" w14:textId="72804831" w:rsidR="6E2D3984" w:rsidRPr="00687DE8" w:rsidRDefault="00A01CFF">
            <w:pPr>
              <w:spacing w:after="0"/>
              <w:jc w:val="center"/>
              <w:rPr>
                <w:color w:val="000000" w:themeColor="text1"/>
                <w:szCs w:val="24"/>
              </w:rPr>
            </w:pPr>
            <w:r>
              <w:rPr>
                <w:color w:val="000000"/>
              </w:rPr>
              <w:t>468,76</w:t>
            </w:r>
          </w:p>
        </w:tc>
      </w:tr>
      <w:tr w:rsidR="00E467D6" w:rsidRPr="00687DE8" w14:paraId="4E7B9074"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4C09A5" w14:textId="77777777" w:rsidR="00E467D6" w:rsidRPr="00687DE8" w:rsidRDefault="00E467D6" w:rsidP="00E467D6">
            <w:pPr>
              <w:spacing w:after="0" w:line="240" w:lineRule="auto"/>
              <w:rPr>
                <w:szCs w:val="24"/>
              </w:rPr>
            </w:pPr>
            <w:r w:rsidRPr="00687DE8">
              <w:rPr>
                <w:szCs w:val="24"/>
              </w:rPr>
              <w:t>Parenteraalne toitmine väljaspool intensiivravi (aminohapete lahus või rasvemulsioon (üks ööpäev))</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C1AC286" w14:textId="77777777" w:rsidR="00E467D6" w:rsidRPr="00687DE8" w:rsidRDefault="00E467D6" w:rsidP="00E467D6">
            <w:pPr>
              <w:spacing w:after="0" w:line="240" w:lineRule="auto"/>
              <w:jc w:val="center"/>
              <w:rPr>
                <w:szCs w:val="24"/>
              </w:rPr>
            </w:pPr>
            <w:r w:rsidRPr="00687DE8">
              <w:rPr>
                <w:szCs w:val="24"/>
              </w:rPr>
              <w:t>7754</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38B210" w14:textId="3E5E6F5F" w:rsidR="6E2D3984" w:rsidRPr="00687DE8" w:rsidRDefault="00A01CFF">
            <w:pPr>
              <w:spacing w:after="0"/>
              <w:jc w:val="center"/>
              <w:rPr>
                <w:color w:val="000000" w:themeColor="text1"/>
                <w:szCs w:val="24"/>
              </w:rPr>
            </w:pPr>
            <w:r>
              <w:rPr>
                <w:color w:val="000000"/>
              </w:rPr>
              <w:t>117,51</w:t>
            </w:r>
          </w:p>
        </w:tc>
      </w:tr>
      <w:tr w:rsidR="00E467D6" w:rsidRPr="00687DE8" w14:paraId="560D7D24"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618B27" w14:textId="77777777" w:rsidR="00E467D6" w:rsidRPr="00687DE8" w:rsidRDefault="00E467D6" w:rsidP="00E467D6">
            <w:pPr>
              <w:spacing w:after="0" w:line="240" w:lineRule="auto"/>
              <w:rPr>
                <w:szCs w:val="24"/>
              </w:rPr>
            </w:pPr>
            <w:r w:rsidRPr="00687DE8">
              <w:rPr>
                <w:szCs w:val="24"/>
              </w:rPr>
              <w:t>Trahhea intubatsioon kahevalendikulise intubatsioonitoruga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A244F47" w14:textId="77777777" w:rsidR="00E467D6" w:rsidRPr="00687DE8" w:rsidRDefault="00E467D6" w:rsidP="00E467D6">
            <w:pPr>
              <w:spacing w:after="0" w:line="240" w:lineRule="auto"/>
              <w:jc w:val="center"/>
              <w:rPr>
                <w:szCs w:val="24"/>
              </w:rPr>
            </w:pPr>
            <w:r w:rsidRPr="00687DE8">
              <w:rPr>
                <w:szCs w:val="24"/>
              </w:rPr>
              <w:t>7755</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D10454" w14:textId="47E354D2" w:rsidR="6E2D3984" w:rsidRPr="00687DE8" w:rsidRDefault="00A01CFF">
            <w:pPr>
              <w:spacing w:after="0"/>
              <w:jc w:val="center"/>
              <w:rPr>
                <w:color w:val="000000" w:themeColor="text1"/>
                <w:szCs w:val="24"/>
              </w:rPr>
            </w:pPr>
            <w:r>
              <w:rPr>
                <w:color w:val="000000"/>
              </w:rPr>
              <w:t>94,28</w:t>
            </w:r>
          </w:p>
        </w:tc>
      </w:tr>
      <w:tr w:rsidR="00E467D6" w:rsidRPr="00687DE8" w14:paraId="545CF2D2"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86BC72" w14:textId="77777777" w:rsidR="00E467D6" w:rsidRPr="00687DE8" w:rsidRDefault="00E467D6" w:rsidP="00E467D6">
            <w:pPr>
              <w:spacing w:after="0" w:line="240" w:lineRule="auto"/>
              <w:rPr>
                <w:szCs w:val="24"/>
              </w:rPr>
            </w:pPr>
            <w:r w:rsidRPr="00687DE8">
              <w:rPr>
                <w:szCs w:val="24"/>
              </w:rPr>
              <w:t>Elustamine kliinilisest surmast (juhitav hingamine, südamemassaaž, ravimid, defibrillatsioon, protokoll)</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1F8509B" w14:textId="77777777" w:rsidR="00E467D6" w:rsidRPr="00687DE8" w:rsidRDefault="00E467D6" w:rsidP="00E467D6">
            <w:pPr>
              <w:spacing w:after="0" w:line="240" w:lineRule="auto"/>
              <w:jc w:val="center"/>
              <w:rPr>
                <w:szCs w:val="24"/>
              </w:rPr>
            </w:pPr>
            <w:r w:rsidRPr="00687DE8">
              <w:rPr>
                <w:szCs w:val="24"/>
              </w:rPr>
              <w:t>7756</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D27CCF" w14:textId="7739D6CD" w:rsidR="6E2D3984" w:rsidRPr="00687DE8" w:rsidRDefault="00A01CFF">
            <w:pPr>
              <w:spacing w:after="0"/>
              <w:jc w:val="center"/>
              <w:rPr>
                <w:color w:val="000000" w:themeColor="text1"/>
                <w:szCs w:val="24"/>
              </w:rPr>
            </w:pPr>
            <w:r>
              <w:rPr>
                <w:color w:val="000000"/>
              </w:rPr>
              <w:t>435,51</w:t>
            </w:r>
          </w:p>
        </w:tc>
      </w:tr>
      <w:tr w:rsidR="00E467D6" w:rsidRPr="00687DE8" w14:paraId="1EB564FC"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DC5588" w14:textId="77777777" w:rsidR="00E467D6" w:rsidRPr="00687DE8" w:rsidRDefault="00E467D6" w:rsidP="00E467D6">
            <w:pPr>
              <w:spacing w:after="0" w:line="240" w:lineRule="auto"/>
              <w:rPr>
                <w:szCs w:val="24"/>
              </w:rPr>
            </w:pPr>
            <w:r w:rsidRPr="00687DE8">
              <w:rPr>
                <w:szCs w:val="24"/>
              </w:rPr>
              <w:t>Hüperbaarilise oksügenisatsiooni seanss</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BCA03D1" w14:textId="77777777" w:rsidR="00E467D6" w:rsidRPr="00687DE8" w:rsidRDefault="00E467D6" w:rsidP="00E467D6">
            <w:pPr>
              <w:spacing w:after="0" w:line="240" w:lineRule="auto"/>
              <w:jc w:val="center"/>
              <w:rPr>
                <w:szCs w:val="24"/>
              </w:rPr>
            </w:pPr>
            <w:r w:rsidRPr="00687DE8">
              <w:rPr>
                <w:szCs w:val="24"/>
              </w:rPr>
              <w:t>7757</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9A283F" w14:textId="00F26080" w:rsidR="6E2D3984" w:rsidRPr="00687DE8" w:rsidRDefault="00A01CFF">
            <w:pPr>
              <w:spacing w:after="0"/>
              <w:jc w:val="center"/>
              <w:rPr>
                <w:color w:val="000000" w:themeColor="text1"/>
                <w:szCs w:val="24"/>
              </w:rPr>
            </w:pPr>
            <w:r>
              <w:rPr>
                <w:color w:val="000000"/>
              </w:rPr>
              <w:t>142,43</w:t>
            </w:r>
          </w:p>
        </w:tc>
      </w:tr>
      <w:tr w:rsidR="00E467D6" w:rsidRPr="00687DE8" w14:paraId="1DD1480C"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EFDEBB" w14:textId="77777777" w:rsidR="00E467D6" w:rsidRPr="00687DE8" w:rsidRDefault="00E467D6" w:rsidP="00E467D6">
            <w:pPr>
              <w:spacing w:after="0" w:line="240" w:lineRule="auto"/>
              <w:rPr>
                <w:szCs w:val="24"/>
              </w:rPr>
            </w:pPr>
            <w:r w:rsidRPr="00687DE8">
              <w:rPr>
                <w:szCs w:val="24"/>
              </w:rPr>
              <w:t xml:space="preserve">Autotransfusioon </w:t>
            </w:r>
            <w:r w:rsidRPr="00687DE8">
              <w:rPr>
                <w:i/>
                <w:iCs/>
                <w:szCs w:val="24"/>
              </w:rPr>
              <w:t>cell-saver</w:t>
            </w:r>
            <w:r w:rsidRPr="00687DE8">
              <w:rPr>
                <w:iCs/>
                <w:szCs w:val="24"/>
              </w:rPr>
              <w:t>’</w:t>
            </w:r>
            <w:r w:rsidRPr="00687DE8">
              <w:rPr>
                <w:szCs w:val="24"/>
              </w:rPr>
              <w:t>i abil</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4074D7" w14:textId="77777777" w:rsidR="00E467D6" w:rsidRPr="00687DE8" w:rsidRDefault="00E467D6" w:rsidP="00E467D6">
            <w:pPr>
              <w:spacing w:after="0" w:line="240" w:lineRule="auto"/>
              <w:jc w:val="center"/>
              <w:rPr>
                <w:szCs w:val="24"/>
              </w:rPr>
            </w:pPr>
            <w:r w:rsidRPr="00687DE8">
              <w:rPr>
                <w:szCs w:val="24"/>
              </w:rPr>
              <w:t>7758</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EC2A87" w14:textId="6D6CC2DF" w:rsidR="6E2D3984" w:rsidRPr="00687DE8" w:rsidRDefault="00A01CFF">
            <w:pPr>
              <w:spacing w:after="0"/>
              <w:jc w:val="center"/>
              <w:rPr>
                <w:color w:val="000000" w:themeColor="text1"/>
                <w:szCs w:val="24"/>
              </w:rPr>
            </w:pPr>
            <w:r>
              <w:rPr>
                <w:color w:val="000000"/>
              </w:rPr>
              <w:t>416,90</w:t>
            </w:r>
          </w:p>
        </w:tc>
      </w:tr>
      <w:tr w:rsidR="00E467D6" w:rsidRPr="00687DE8" w14:paraId="5E5D6123"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C5BAA5" w14:textId="77777777" w:rsidR="00E467D6" w:rsidRPr="00687DE8" w:rsidRDefault="00E467D6" w:rsidP="00E467D6">
            <w:pPr>
              <w:spacing w:after="0" w:line="240" w:lineRule="auto"/>
              <w:rPr>
                <w:szCs w:val="24"/>
              </w:rPr>
            </w:pPr>
            <w:r w:rsidRPr="00687DE8">
              <w:rPr>
                <w:szCs w:val="24"/>
              </w:rPr>
              <w:t>Kehavälise vereringe kasutamine</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960DF4" w14:textId="77777777" w:rsidR="00E467D6" w:rsidRPr="00687DE8" w:rsidRDefault="00E467D6" w:rsidP="00E467D6">
            <w:pPr>
              <w:spacing w:after="0" w:line="240" w:lineRule="auto"/>
              <w:jc w:val="center"/>
              <w:rPr>
                <w:szCs w:val="24"/>
              </w:rPr>
            </w:pPr>
            <w:r w:rsidRPr="00687DE8">
              <w:rPr>
                <w:szCs w:val="24"/>
              </w:rPr>
              <w:t>7737</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1B4A4E" w14:textId="007CE3F2" w:rsidR="6E2D3984" w:rsidRPr="00687DE8" w:rsidRDefault="00A01CFF">
            <w:pPr>
              <w:spacing w:after="0"/>
              <w:jc w:val="center"/>
              <w:rPr>
                <w:color w:val="000000" w:themeColor="text1"/>
                <w:szCs w:val="24"/>
              </w:rPr>
            </w:pPr>
            <w:r>
              <w:rPr>
                <w:color w:val="000000"/>
              </w:rPr>
              <w:t>2 090,44</w:t>
            </w:r>
          </w:p>
        </w:tc>
      </w:tr>
      <w:tr w:rsidR="00E467D6" w:rsidRPr="00687DE8" w14:paraId="28713F1E"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64643D" w14:textId="77777777" w:rsidR="00E467D6" w:rsidRPr="00687DE8" w:rsidRDefault="00E467D6" w:rsidP="00E467D6">
            <w:pPr>
              <w:spacing w:after="0" w:line="240" w:lineRule="auto"/>
              <w:rPr>
                <w:szCs w:val="24"/>
              </w:rPr>
            </w:pPr>
            <w:r w:rsidRPr="00687DE8">
              <w:rPr>
                <w:szCs w:val="24"/>
              </w:rPr>
              <w:t>Intraaortaalne kontrapulsatsioon</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6660EA" w14:textId="77777777" w:rsidR="00E467D6" w:rsidRPr="00687DE8" w:rsidRDefault="00E467D6" w:rsidP="00E467D6">
            <w:pPr>
              <w:spacing w:after="0" w:line="240" w:lineRule="auto"/>
              <w:jc w:val="center"/>
              <w:rPr>
                <w:szCs w:val="24"/>
              </w:rPr>
            </w:pPr>
            <w:r w:rsidRPr="00687DE8">
              <w:rPr>
                <w:szCs w:val="24"/>
              </w:rPr>
              <w:t>7759</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6802D6" w14:textId="52416E64" w:rsidR="6E2D3984" w:rsidRPr="00687DE8" w:rsidRDefault="00A01CFF">
            <w:pPr>
              <w:spacing w:after="0"/>
              <w:jc w:val="center"/>
              <w:rPr>
                <w:color w:val="000000" w:themeColor="text1"/>
                <w:szCs w:val="24"/>
              </w:rPr>
            </w:pPr>
            <w:r>
              <w:rPr>
                <w:color w:val="000000"/>
              </w:rPr>
              <w:t>1 947,88</w:t>
            </w:r>
          </w:p>
        </w:tc>
      </w:tr>
      <w:tr w:rsidR="00E467D6" w:rsidRPr="00687DE8" w14:paraId="009268FD"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8F2DF4" w14:textId="77777777" w:rsidR="00E467D6" w:rsidRPr="00687DE8" w:rsidRDefault="00E467D6" w:rsidP="00E467D6">
            <w:pPr>
              <w:spacing w:after="0" w:line="240" w:lineRule="auto"/>
              <w:rPr>
                <w:szCs w:val="24"/>
              </w:rPr>
            </w:pPr>
            <w:r w:rsidRPr="00687DE8">
              <w:rPr>
                <w:szCs w:val="24"/>
              </w:rPr>
              <w:t>Terapeutiline plasmavahetus</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EE2AB20" w14:textId="77777777" w:rsidR="00E467D6" w:rsidRPr="00687DE8" w:rsidRDefault="00E467D6" w:rsidP="00E467D6">
            <w:pPr>
              <w:spacing w:after="0" w:line="240" w:lineRule="auto"/>
              <w:jc w:val="center"/>
              <w:rPr>
                <w:szCs w:val="24"/>
              </w:rPr>
            </w:pPr>
            <w:r w:rsidRPr="00687DE8">
              <w:rPr>
                <w:szCs w:val="24"/>
              </w:rPr>
              <w:t>7760</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CB4299" w14:textId="3334C401" w:rsidR="6E2D3984" w:rsidRPr="00687DE8" w:rsidRDefault="00A01CFF">
            <w:pPr>
              <w:spacing w:after="0"/>
              <w:jc w:val="center"/>
              <w:rPr>
                <w:color w:val="000000" w:themeColor="text1"/>
                <w:szCs w:val="24"/>
              </w:rPr>
            </w:pPr>
            <w:r>
              <w:rPr>
                <w:color w:val="000000"/>
              </w:rPr>
              <w:t>571,97</w:t>
            </w:r>
          </w:p>
        </w:tc>
      </w:tr>
      <w:tr w:rsidR="00E467D6" w:rsidRPr="00687DE8" w14:paraId="02145936"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D2531B" w14:textId="77777777" w:rsidR="00E467D6" w:rsidRPr="00687DE8" w:rsidRDefault="00E467D6" w:rsidP="00E467D6">
            <w:pPr>
              <w:spacing w:after="0" w:line="240" w:lineRule="auto"/>
              <w:rPr>
                <w:szCs w:val="24"/>
              </w:rPr>
            </w:pPr>
            <w:r w:rsidRPr="00687DE8">
              <w:rPr>
                <w:szCs w:val="24"/>
              </w:rPr>
              <w:t>Terapeutiline verevahetus vastsündinul</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ECAF832" w14:textId="77777777" w:rsidR="00E467D6" w:rsidRPr="00687DE8" w:rsidRDefault="00E467D6" w:rsidP="00E467D6">
            <w:pPr>
              <w:spacing w:after="0" w:line="240" w:lineRule="auto"/>
              <w:jc w:val="center"/>
              <w:rPr>
                <w:szCs w:val="24"/>
              </w:rPr>
            </w:pPr>
            <w:r w:rsidRPr="00687DE8">
              <w:rPr>
                <w:szCs w:val="24"/>
              </w:rPr>
              <w:t>7761</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4489AF" w14:textId="0A5018DB" w:rsidR="6E2D3984" w:rsidRPr="00687DE8" w:rsidRDefault="00A01CFF">
            <w:pPr>
              <w:spacing w:after="0"/>
              <w:jc w:val="center"/>
              <w:rPr>
                <w:color w:val="000000" w:themeColor="text1"/>
                <w:szCs w:val="24"/>
              </w:rPr>
            </w:pPr>
            <w:r>
              <w:rPr>
                <w:color w:val="000000"/>
              </w:rPr>
              <w:t>408,84</w:t>
            </w:r>
          </w:p>
        </w:tc>
      </w:tr>
      <w:tr w:rsidR="00E467D6" w:rsidRPr="00687DE8" w14:paraId="6F74F8D3"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AF21BD" w14:textId="77777777" w:rsidR="00E467D6" w:rsidRPr="00687DE8" w:rsidRDefault="00E467D6" w:rsidP="00E467D6">
            <w:pPr>
              <w:spacing w:after="0" w:line="240" w:lineRule="auto"/>
              <w:rPr>
                <w:szCs w:val="24"/>
              </w:rPr>
            </w:pPr>
            <w:r w:rsidRPr="00687DE8">
              <w:rPr>
                <w:szCs w:val="24"/>
              </w:rPr>
              <w:t>Patsiendi tsentraalse kehatemperatuuri kontrolli intravaskulaarse jahutuskateetri asetamine</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6AE478D" w14:textId="77777777" w:rsidR="00E467D6" w:rsidRPr="00687DE8" w:rsidRDefault="00E467D6" w:rsidP="00E467D6">
            <w:pPr>
              <w:spacing w:after="0" w:line="240" w:lineRule="auto"/>
              <w:jc w:val="center"/>
              <w:rPr>
                <w:szCs w:val="24"/>
              </w:rPr>
            </w:pPr>
            <w:r w:rsidRPr="00687DE8">
              <w:rPr>
                <w:szCs w:val="24"/>
              </w:rPr>
              <w:t>7762</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6C95D6" w14:textId="3DD64FC4" w:rsidR="7C0FF108" w:rsidRPr="00687DE8" w:rsidRDefault="00A01CFF">
            <w:pPr>
              <w:spacing w:after="0"/>
              <w:jc w:val="center"/>
              <w:rPr>
                <w:color w:val="000000" w:themeColor="text1"/>
                <w:szCs w:val="24"/>
              </w:rPr>
            </w:pPr>
            <w:r>
              <w:rPr>
                <w:color w:val="000000"/>
              </w:rPr>
              <w:t>1 409,50</w:t>
            </w:r>
          </w:p>
        </w:tc>
      </w:tr>
      <w:tr w:rsidR="00E467D6" w:rsidRPr="00687DE8" w14:paraId="12332FE9"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7AA8D7" w14:textId="77777777" w:rsidR="00E467D6" w:rsidRPr="00687DE8" w:rsidRDefault="00E467D6" w:rsidP="00E467D6">
            <w:pPr>
              <w:spacing w:after="0" w:line="240" w:lineRule="auto"/>
              <w:rPr>
                <w:szCs w:val="24"/>
              </w:rPr>
            </w:pPr>
            <w:r w:rsidRPr="00687DE8">
              <w:rPr>
                <w:szCs w:val="24"/>
              </w:rPr>
              <w:t>Infusioon kiirinfusioonipumba abil</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DAC3969" w14:textId="77777777" w:rsidR="00E467D6" w:rsidRPr="00687DE8" w:rsidRDefault="00E467D6" w:rsidP="00E467D6">
            <w:pPr>
              <w:spacing w:after="0" w:line="240" w:lineRule="auto"/>
              <w:jc w:val="center"/>
              <w:rPr>
                <w:szCs w:val="24"/>
              </w:rPr>
            </w:pPr>
            <w:r w:rsidRPr="00687DE8">
              <w:rPr>
                <w:szCs w:val="24"/>
              </w:rPr>
              <w:t>7763</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FEA85C" w14:textId="61BEF39C" w:rsidR="7C0FF108" w:rsidRPr="00687DE8" w:rsidRDefault="00A01CFF">
            <w:pPr>
              <w:spacing w:after="0"/>
              <w:jc w:val="center"/>
              <w:rPr>
                <w:color w:val="000000" w:themeColor="text1"/>
                <w:szCs w:val="24"/>
              </w:rPr>
            </w:pPr>
            <w:r>
              <w:rPr>
                <w:color w:val="000000"/>
              </w:rPr>
              <w:t>320,22</w:t>
            </w:r>
          </w:p>
        </w:tc>
      </w:tr>
      <w:tr w:rsidR="00E467D6" w:rsidRPr="00687DE8" w14:paraId="56828C06"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C1AC40" w14:textId="77777777" w:rsidR="00E467D6" w:rsidRPr="00687DE8" w:rsidRDefault="00E467D6" w:rsidP="00E467D6">
            <w:pPr>
              <w:spacing w:after="0" w:line="240" w:lineRule="auto"/>
              <w:rPr>
                <w:szCs w:val="24"/>
              </w:rPr>
            </w:pPr>
            <w:r w:rsidRPr="00687DE8">
              <w:rPr>
                <w:szCs w:val="24"/>
              </w:rPr>
              <w:t>Valutustamiskateetri asetamine närvipõimikusse või haava sisse</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F9EC57" w14:textId="77777777" w:rsidR="00E467D6" w:rsidRPr="00687DE8" w:rsidRDefault="00E467D6" w:rsidP="00E467D6">
            <w:pPr>
              <w:spacing w:after="0" w:line="240" w:lineRule="auto"/>
              <w:jc w:val="center"/>
              <w:rPr>
                <w:szCs w:val="24"/>
              </w:rPr>
            </w:pPr>
            <w:r w:rsidRPr="00687DE8">
              <w:rPr>
                <w:szCs w:val="24"/>
              </w:rPr>
              <w:t>7764</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E4D515" w14:textId="7594869A" w:rsidR="7C0FF108" w:rsidRPr="00687DE8" w:rsidRDefault="00A01CFF">
            <w:pPr>
              <w:spacing w:after="0"/>
              <w:jc w:val="center"/>
              <w:rPr>
                <w:color w:val="000000" w:themeColor="text1"/>
                <w:szCs w:val="24"/>
              </w:rPr>
            </w:pPr>
            <w:r>
              <w:rPr>
                <w:color w:val="000000"/>
              </w:rPr>
              <w:t>114,18</w:t>
            </w:r>
          </w:p>
        </w:tc>
      </w:tr>
      <w:tr w:rsidR="00E467D6" w:rsidRPr="00687DE8" w14:paraId="3A4DAE27"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42B318" w14:textId="77777777" w:rsidR="00E467D6" w:rsidRPr="00687DE8" w:rsidRDefault="00E467D6" w:rsidP="00E467D6">
            <w:pPr>
              <w:spacing w:after="0" w:line="240" w:lineRule="auto"/>
              <w:rPr>
                <w:szCs w:val="24"/>
              </w:rPr>
            </w:pPr>
            <w:r w:rsidRPr="00687DE8">
              <w:rPr>
                <w:szCs w:val="24"/>
              </w:rPr>
              <w:t>Patsiendi kontrollitud analgeesiaseadme(te) paigaldamine</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DD95A8" w14:textId="77777777" w:rsidR="00E467D6" w:rsidRPr="00687DE8" w:rsidRDefault="00E467D6" w:rsidP="00E467D6">
            <w:pPr>
              <w:spacing w:after="0" w:line="240" w:lineRule="auto"/>
              <w:jc w:val="center"/>
              <w:rPr>
                <w:szCs w:val="24"/>
              </w:rPr>
            </w:pPr>
            <w:r w:rsidRPr="00687DE8">
              <w:rPr>
                <w:szCs w:val="24"/>
              </w:rPr>
              <w:t>7765</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435D4B" w14:textId="5DFCC777" w:rsidR="7C0FF108" w:rsidRPr="00687DE8" w:rsidRDefault="00A01CFF">
            <w:pPr>
              <w:spacing w:after="0"/>
              <w:jc w:val="center"/>
              <w:rPr>
                <w:color w:val="000000" w:themeColor="text1"/>
                <w:szCs w:val="24"/>
              </w:rPr>
            </w:pPr>
            <w:r>
              <w:rPr>
                <w:color w:val="000000"/>
              </w:rPr>
              <w:t>62,39</w:t>
            </w:r>
          </w:p>
        </w:tc>
      </w:tr>
      <w:tr w:rsidR="00E467D6" w:rsidRPr="00687DE8" w14:paraId="28E89122"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1ECF6E" w14:textId="77777777" w:rsidR="00E467D6" w:rsidRPr="00687DE8" w:rsidRDefault="00E467D6" w:rsidP="00E467D6">
            <w:pPr>
              <w:spacing w:after="0" w:line="240" w:lineRule="auto"/>
              <w:rPr>
                <w:szCs w:val="24"/>
              </w:rPr>
            </w:pPr>
            <w:r w:rsidRPr="00687DE8">
              <w:rPr>
                <w:szCs w:val="24"/>
              </w:rPr>
              <w:t>Kahe kopsu eraldamine endobronhiaalse blokkeri abil</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890D2" w14:textId="77777777" w:rsidR="00E467D6" w:rsidRPr="00687DE8" w:rsidRDefault="00E467D6" w:rsidP="00E467D6">
            <w:pPr>
              <w:spacing w:after="0" w:line="240" w:lineRule="auto"/>
              <w:jc w:val="center"/>
              <w:rPr>
                <w:szCs w:val="24"/>
              </w:rPr>
            </w:pPr>
            <w:r w:rsidRPr="00687DE8">
              <w:rPr>
                <w:szCs w:val="24"/>
              </w:rPr>
              <w:t>7766</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518583" w14:textId="457D1472" w:rsidR="7C0FF108" w:rsidRPr="00687DE8" w:rsidRDefault="00A01CFF">
            <w:pPr>
              <w:spacing w:after="0"/>
              <w:jc w:val="center"/>
              <w:rPr>
                <w:color w:val="000000" w:themeColor="text1"/>
                <w:szCs w:val="24"/>
              </w:rPr>
            </w:pPr>
            <w:r>
              <w:rPr>
                <w:color w:val="000000"/>
              </w:rPr>
              <w:t>257,63</w:t>
            </w:r>
          </w:p>
        </w:tc>
      </w:tr>
      <w:tr w:rsidR="00E467D6" w:rsidRPr="00687DE8" w14:paraId="32020489"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14954C" w14:textId="77777777" w:rsidR="00E467D6" w:rsidRPr="00687DE8" w:rsidRDefault="00E467D6" w:rsidP="00E467D6">
            <w:pPr>
              <w:spacing w:after="0" w:line="240" w:lineRule="auto"/>
              <w:rPr>
                <w:szCs w:val="24"/>
              </w:rPr>
            </w:pPr>
            <w:r w:rsidRPr="00687DE8">
              <w:rPr>
                <w:szCs w:val="24"/>
              </w:rPr>
              <w:t>EEG pidevmonitooring intensiivravi osakonnas (üks ööpäev)</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B07D8C" w14:textId="77777777" w:rsidR="00E467D6" w:rsidRPr="00687DE8" w:rsidRDefault="00E467D6" w:rsidP="00E467D6">
            <w:pPr>
              <w:spacing w:after="0" w:line="240" w:lineRule="auto"/>
              <w:jc w:val="center"/>
              <w:rPr>
                <w:szCs w:val="24"/>
              </w:rPr>
            </w:pPr>
            <w:r w:rsidRPr="00687DE8">
              <w:rPr>
                <w:szCs w:val="24"/>
              </w:rPr>
              <w:t>7767</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73FD52" w14:textId="6A8628B0" w:rsidR="7C0FF108" w:rsidRPr="00687DE8" w:rsidRDefault="00A01CFF">
            <w:pPr>
              <w:spacing w:after="0"/>
              <w:jc w:val="center"/>
              <w:rPr>
                <w:color w:val="000000" w:themeColor="text1"/>
                <w:szCs w:val="24"/>
              </w:rPr>
            </w:pPr>
            <w:r>
              <w:rPr>
                <w:color w:val="000000"/>
              </w:rPr>
              <w:t>112,50</w:t>
            </w:r>
          </w:p>
        </w:tc>
      </w:tr>
      <w:tr w:rsidR="00E467D6" w:rsidRPr="00687DE8" w14:paraId="47F8B763"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74C3C7" w14:textId="77777777" w:rsidR="00E467D6" w:rsidRPr="00687DE8" w:rsidRDefault="00E467D6" w:rsidP="00E467D6">
            <w:pPr>
              <w:spacing w:after="0" w:line="240" w:lineRule="auto"/>
              <w:rPr>
                <w:szCs w:val="24"/>
              </w:rPr>
            </w:pPr>
            <w:r w:rsidRPr="00687DE8">
              <w:rPr>
                <w:szCs w:val="24"/>
              </w:rPr>
              <w:t>Ekstrakorporaalse membraanoksügenisatsiooni protseduur (üks ööpäev)</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877220" w14:textId="77777777" w:rsidR="00E467D6" w:rsidRPr="00687DE8" w:rsidRDefault="00E467D6" w:rsidP="00E467D6">
            <w:pPr>
              <w:spacing w:after="0" w:line="240" w:lineRule="auto"/>
              <w:jc w:val="center"/>
              <w:rPr>
                <w:szCs w:val="24"/>
              </w:rPr>
            </w:pPr>
            <w:r w:rsidRPr="00687DE8">
              <w:rPr>
                <w:szCs w:val="24"/>
              </w:rPr>
              <w:t>7768</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80DECB" w14:textId="37D3C885" w:rsidR="7C0FF108" w:rsidRPr="00687DE8" w:rsidRDefault="00A01CFF">
            <w:pPr>
              <w:spacing w:after="0"/>
              <w:jc w:val="center"/>
              <w:rPr>
                <w:color w:val="000000" w:themeColor="text1"/>
                <w:szCs w:val="24"/>
              </w:rPr>
            </w:pPr>
            <w:r>
              <w:rPr>
                <w:color w:val="000000"/>
              </w:rPr>
              <w:t>1 624,49</w:t>
            </w:r>
          </w:p>
        </w:tc>
      </w:tr>
      <w:tr w:rsidR="00E467D6" w:rsidRPr="00687DE8" w14:paraId="7376B3E8" w14:textId="77777777" w:rsidTr="00EB7A71">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A03D63" w14:textId="77777777" w:rsidR="00E467D6" w:rsidRPr="00687DE8" w:rsidRDefault="00E467D6" w:rsidP="00E467D6">
            <w:pPr>
              <w:spacing w:after="0" w:line="240" w:lineRule="auto"/>
              <w:rPr>
                <w:szCs w:val="24"/>
              </w:rPr>
            </w:pPr>
            <w:r w:rsidRPr="00687DE8">
              <w:rPr>
                <w:szCs w:val="24"/>
              </w:rPr>
              <w:t>Pidev aju (või teiste kudede) perfusiooni monitooring (üks ööpäev)</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5FD26F" w14:textId="77777777" w:rsidR="00E467D6" w:rsidRPr="00687DE8" w:rsidRDefault="00E467D6" w:rsidP="00E467D6">
            <w:pPr>
              <w:spacing w:after="0" w:line="240" w:lineRule="auto"/>
              <w:jc w:val="center"/>
              <w:rPr>
                <w:szCs w:val="24"/>
              </w:rPr>
            </w:pPr>
            <w:r w:rsidRPr="00687DE8">
              <w:rPr>
                <w:szCs w:val="24"/>
              </w:rPr>
              <w:t>7769</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DF83DA" w14:textId="52C07553" w:rsidR="7C0FF108" w:rsidRPr="00687DE8" w:rsidRDefault="00A01CFF">
            <w:pPr>
              <w:spacing w:after="0"/>
              <w:jc w:val="center"/>
              <w:rPr>
                <w:color w:val="000000" w:themeColor="text1"/>
                <w:szCs w:val="24"/>
              </w:rPr>
            </w:pPr>
            <w:r>
              <w:rPr>
                <w:color w:val="000000"/>
              </w:rPr>
              <w:t>212,01</w:t>
            </w:r>
          </w:p>
        </w:tc>
      </w:tr>
      <w:tr w:rsidR="00E467D6" w:rsidRPr="00687DE8" w14:paraId="65BF311F"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E0C664" w14:textId="77777777" w:rsidR="00E467D6" w:rsidRPr="00687DE8" w:rsidRDefault="00E467D6" w:rsidP="00E467D6">
            <w:pPr>
              <w:spacing w:after="0" w:line="240" w:lineRule="auto"/>
              <w:rPr>
                <w:szCs w:val="24"/>
              </w:rPr>
            </w:pPr>
            <w:r w:rsidRPr="00687DE8">
              <w:rPr>
                <w:szCs w:val="24"/>
              </w:rPr>
              <w:lastRenderedPageBreak/>
              <w:t>Immunoadsorptsiooni protseduur</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27AE96" w14:textId="77777777" w:rsidR="00E467D6" w:rsidRPr="00687DE8" w:rsidRDefault="00E467D6" w:rsidP="00E467D6">
            <w:pPr>
              <w:spacing w:after="0" w:line="240" w:lineRule="auto"/>
              <w:jc w:val="center"/>
              <w:rPr>
                <w:szCs w:val="24"/>
              </w:rPr>
            </w:pPr>
            <w:r w:rsidRPr="00687DE8">
              <w:rPr>
                <w:szCs w:val="24"/>
              </w:rPr>
              <w:t>7734</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20CD9E" w14:textId="3C61D748" w:rsidR="7C0FF108" w:rsidRPr="00687DE8" w:rsidRDefault="00A01CFF">
            <w:pPr>
              <w:spacing w:after="0"/>
              <w:jc w:val="center"/>
              <w:rPr>
                <w:color w:val="000000" w:themeColor="text1"/>
                <w:szCs w:val="24"/>
              </w:rPr>
            </w:pPr>
            <w:r>
              <w:rPr>
                <w:color w:val="000000"/>
              </w:rPr>
              <w:t>1 992,06</w:t>
            </w:r>
          </w:p>
        </w:tc>
      </w:tr>
      <w:tr w:rsidR="00E467D6" w:rsidRPr="00687DE8" w14:paraId="7719D3D4"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CC6E0A" w14:textId="77777777" w:rsidR="00E467D6" w:rsidRPr="00687DE8" w:rsidRDefault="00E467D6" w:rsidP="00E467D6">
            <w:pPr>
              <w:spacing w:after="0" w:line="240" w:lineRule="auto"/>
              <w:rPr>
                <w:szCs w:val="24"/>
              </w:rPr>
            </w:pPr>
            <w:r w:rsidRPr="00687DE8">
              <w:rPr>
                <w:szCs w:val="24"/>
              </w:rPr>
              <w:t>Doonorneeru masinperfusioon</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A67889" w14:textId="77777777" w:rsidR="00E467D6" w:rsidRPr="00687DE8" w:rsidRDefault="00E467D6" w:rsidP="00E467D6">
            <w:pPr>
              <w:spacing w:after="0" w:line="240" w:lineRule="auto"/>
              <w:jc w:val="center"/>
              <w:rPr>
                <w:szCs w:val="24"/>
              </w:rPr>
            </w:pPr>
            <w:r w:rsidRPr="00687DE8">
              <w:rPr>
                <w:szCs w:val="24"/>
              </w:rPr>
              <w:t>7771</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822F2C" w14:textId="108CAEBD" w:rsidR="7C0FF108" w:rsidRPr="00687DE8" w:rsidRDefault="00A01CFF">
            <w:pPr>
              <w:spacing w:after="0"/>
              <w:jc w:val="center"/>
              <w:rPr>
                <w:color w:val="000000" w:themeColor="text1"/>
                <w:szCs w:val="24"/>
              </w:rPr>
            </w:pPr>
            <w:r>
              <w:rPr>
                <w:color w:val="000000"/>
              </w:rPr>
              <w:t>3 271,44</w:t>
            </w:r>
          </w:p>
        </w:tc>
      </w:tr>
      <w:tr w:rsidR="00E467D6" w:rsidRPr="00687DE8" w14:paraId="10981C81" w14:textId="77777777" w:rsidTr="00934CCC">
        <w:trPr>
          <w:divId w:val="1316184749"/>
          <w:trHeight w:val="300"/>
        </w:trPr>
        <w:tc>
          <w:tcPr>
            <w:tcW w:w="65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E069F9" w14:textId="77777777" w:rsidR="00E467D6" w:rsidRPr="00687DE8" w:rsidRDefault="00E467D6" w:rsidP="00E467D6">
            <w:pPr>
              <w:spacing w:after="0" w:line="240" w:lineRule="auto"/>
              <w:rPr>
                <w:szCs w:val="24"/>
              </w:rPr>
            </w:pPr>
            <w:r w:rsidRPr="00687DE8">
              <w:rPr>
                <w:szCs w:val="24"/>
              </w:rPr>
              <w:t>Doonorrinnapiim (100 ml)</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4E35F9" w14:textId="77777777" w:rsidR="00E467D6" w:rsidRPr="00687DE8" w:rsidRDefault="00E467D6" w:rsidP="00E467D6">
            <w:pPr>
              <w:spacing w:after="0" w:line="240" w:lineRule="auto"/>
              <w:jc w:val="center"/>
              <w:rPr>
                <w:szCs w:val="24"/>
              </w:rPr>
            </w:pPr>
            <w:r w:rsidRPr="00687DE8">
              <w:rPr>
                <w:szCs w:val="24"/>
              </w:rPr>
              <w:t>7780</w:t>
            </w:r>
          </w:p>
        </w:tc>
        <w:tc>
          <w:tcPr>
            <w:tcW w:w="1742"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98A0A9" w14:textId="00184A60" w:rsidR="7C0FF108" w:rsidRPr="00687DE8" w:rsidRDefault="00A01CFF">
            <w:pPr>
              <w:spacing w:after="0"/>
              <w:jc w:val="center"/>
              <w:rPr>
                <w:color w:val="000000" w:themeColor="text1"/>
                <w:szCs w:val="24"/>
              </w:rPr>
            </w:pPr>
            <w:r>
              <w:rPr>
                <w:color w:val="000000"/>
              </w:rPr>
              <w:t>15,32</w:t>
            </w:r>
          </w:p>
        </w:tc>
      </w:tr>
    </w:tbl>
    <w:p w14:paraId="368A43A0" w14:textId="77777777" w:rsidR="00976487" w:rsidRPr="00687DE8" w:rsidRDefault="00976487" w:rsidP="00976487">
      <w:pPr>
        <w:spacing w:after="0" w:line="240" w:lineRule="auto"/>
        <w:jc w:val="both"/>
        <w:divId w:val="1316184749"/>
        <w:rPr>
          <w:szCs w:val="24"/>
        </w:rPr>
      </w:pPr>
    </w:p>
    <w:p w14:paraId="715124E4" w14:textId="77777777" w:rsidR="00976487" w:rsidRPr="00687DE8" w:rsidRDefault="00976487" w:rsidP="00976487">
      <w:pPr>
        <w:spacing w:after="0" w:line="240" w:lineRule="auto"/>
        <w:jc w:val="both"/>
        <w:divId w:val="1316184749"/>
        <w:rPr>
          <w:szCs w:val="24"/>
        </w:rPr>
      </w:pPr>
      <w:r w:rsidRPr="00687DE8">
        <w:rPr>
          <w:szCs w:val="24"/>
        </w:rPr>
        <w:t>(2) Koodiga 7709 tähistatud tervishoiuteenuse eest tasu maksmise kohustuse ülevõtmisel ei rakendata täiendavalt koodiga 3075 tähistatud tervishoiuteenust.</w:t>
      </w:r>
    </w:p>
    <w:p w14:paraId="510141E1" w14:textId="77777777" w:rsidR="00976487" w:rsidRPr="00687DE8" w:rsidRDefault="00976487" w:rsidP="00976487">
      <w:pPr>
        <w:spacing w:after="0" w:line="240" w:lineRule="auto"/>
        <w:jc w:val="both"/>
        <w:divId w:val="1316184749"/>
        <w:rPr>
          <w:szCs w:val="24"/>
        </w:rPr>
      </w:pPr>
    </w:p>
    <w:p w14:paraId="384922BD" w14:textId="0713CABC"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koodiga 7762 tähistatud tervishoiuteenuse eest tasu maksmise kohustuse üle juhul, kui teenust osutatakse haiglate loetelus nimetatud kesk- või piirkondlikus haiglas III ja III</w:t>
      </w:r>
      <w:r w:rsidR="00B44417" w:rsidRPr="00687DE8">
        <w:rPr>
          <w:szCs w:val="24"/>
        </w:rPr>
        <w:t> </w:t>
      </w:r>
      <w:r w:rsidRPr="00687DE8">
        <w:rPr>
          <w:szCs w:val="24"/>
        </w:rPr>
        <w:t>A astme intensiivravil viibivale patsiendile.</w:t>
      </w:r>
    </w:p>
    <w:p w14:paraId="68C689DE" w14:textId="77777777" w:rsidR="00976487" w:rsidRPr="00687DE8" w:rsidRDefault="00976487" w:rsidP="00976487">
      <w:pPr>
        <w:spacing w:after="0" w:line="240" w:lineRule="auto"/>
        <w:jc w:val="both"/>
        <w:divId w:val="1316184749"/>
        <w:rPr>
          <w:szCs w:val="24"/>
        </w:rPr>
      </w:pPr>
    </w:p>
    <w:p w14:paraId="23A4085B" w14:textId="6B89B1EF" w:rsidR="00317606" w:rsidRPr="00687DE8" w:rsidRDefault="00976487" w:rsidP="00976487">
      <w:pPr>
        <w:spacing w:after="0" w:line="240" w:lineRule="auto"/>
        <w:jc w:val="both"/>
        <w:divId w:val="1316184749"/>
        <w:rPr>
          <w:szCs w:val="24"/>
        </w:rPr>
      </w:pPr>
      <w:r w:rsidRPr="00687DE8">
        <w:rPr>
          <w:szCs w:val="24"/>
        </w:rPr>
        <w:t xml:space="preserve">(4) </w:t>
      </w:r>
      <w:r w:rsidR="005023FD" w:rsidRPr="00687DE8">
        <w:rPr>
          <w:szCs w:val="24"/>
        </w:rPr>
        <w:t>Tervisekassa</w:t>
      </w:r>
      <w:r w:rsidRPr="00687DE8">
        <w:rPr>
          <w:szCs w:val="24"/>
        </w:rPr>
        <w:t xml:space="preserve"> võtab koodiga 7734 tähistatud tervishoiuteenuse eest tasu maksmise kohustuse üle juhul, kui teenust osutatakse haiglate loetelus nimetatud piirkondlikus haiglas järgmistel näidustustel:</w:t>
      </w:r>
    </w:p>
    <w:p w14:paraId="66E14474" w14:textId="77777777" w:rsidR="00A02C3C" w:rsidRPr="00687DE8" w:rsidRDefault="00317606" w:rsidP="00976487">
      <w:pPr>
        <w:spacing w:after="0" w:line="240" w:lineRule="auto"/>
        <w:jc w:val="both"/>
        <w:divId w:val="1316184749"/>
        <w:rPr>
          <w:szCs w:val="24"/>
        </w:rPr>
      </w:pPr>
      <w:r w:rsidRPr="00687DE8">
        <w:rPr>
          <w:szCs w:val="24"/>
        </w:rPr>
        <w:t>1)</w:t>
      </w:r>
      <w:r w:rsidR="00976487" w:rsidRPr="00687DE8">
        <w:rPr>
          <w:szCs w:val="24"/>
        </w:rPr>
        <w:t xml:space="preserve"> sensibiliseeritud patsiendile (positiivse HLA-ristsobivustestiga) neeru siirdamiseks</w:t>
      </w:r>
      <w:r w:rsidR="00A02C3C" w:rsidRPr="00687DE8">
        <w:rPr>
          <w:szCs w:val="24"/>
        </w:rPr>
        <w:t>;</w:t>
      </w:r>
    </w:p>
    <w:p w14:paraId="6B0BF539" w14:textId="77777777" w:rsidR="00A02C3C" w:rsidRPr="00687DE8" w:rsidRDefault="00A02C3C" w:rsidP="00976487">
      <w:pPr>
        <w:spacing w:after="0" w:line="240" w:lineRule="auto"/>
        <w:jc w:val="both"/>
        <w:divId w:val="1316184749"/>
        <w:rPr>
          <w:szCs w:val="24"/>
        </w:rPr>
      </w:pPr>
      <w:r w:rsidRPr="00687DE8">
        <w:rPr>
          <w:szCs w:val="24"/>
        </w:rPr>
        <w:t>2)</w:t>
      </w:r>
      <w:r w:rsidR="00976487" w:rsidRPr="00687DE8">
        <w:rPr>
          <w:szCs w:val="24"/>
        </w:rPr>
        <w:t xml:space="preserve"> siiriku akuutse humoraalse äratõuke korral</w:t>
      </w:r>
      <w:r w:rsidRPr="00687DE8">
        <w:rPr>
          <w:szCs w:val="24"/>
        </w:rPr>
        <w:t>;</w:t>
      </w:r>
      <w:r w:rsidR="00976487" w:rsidRPr="00687DE8">
        <w:rPr>
          <w:szCs w:val="24"/>
        </w:rPr>
        <w:t xml:space="preserve"> </w:t>
      </w:r>
    </w:p>
    <w:p w14:paraId="44CB78CD" w14:textId="77777777" w:rsidR="00A02C3C" w:rsidRPr="00687DE8" w:rsidRDefault="00A02C3C" w:rsidP="00976487">
      <w:pPr>
        <w:spacing w:after="0" w:line="240" w:lineRule="auto"/>
        <w:jc w:val="both"/>
        <w:divId w:val="1316184749"/>
        <w:rPr>
          <w:szCs w:val="24"/>
        </w:rPr>
      </w:pPr>
      <w:r w:rsidRPr="00687DE8">
        <w:rPr>
          <w:szCs w:val="24"/>
        </w:rPr>
        <w:t>3)</w:t>
      </w:r>
      <w:r w:rsidR="00976487" w:rsidRPr="00687DE8">
        <w:rPr>
          <w:szCs w:val="24"/>
        </w:rPr>
        <w:t xml:space="preserve"> ABO-sobi</w:t>
      </w:r>
      <w:r w:rsidR="002A2537" w:rsidRPr="00687DE8">
        <w:rPr>
          <w:szCs w:val="24"/>
        </w:rPr>
        <w:t>matu</w:t>
      </w:r>
      <w:r w:rsidR="00976487" w:rsidRPr="00687DE8">
        <w:rPr>
          <w:szCs w:val="24"/>
        </w:rPr>
        <w:t xml:space="preserve"> neeru siirdamiseks</w:t>
      </w:r>
      <w:r w:rsidRPr="00687DE8">
        <w:rPr>
          <w:szCs w:val="24"/>
        </w:rPr>
        <w:t>;</w:t>
      </w:r>
    </w:p>
    <w:p w14:paraId="4CE63C4B" w14:textId="77777777" w:rsidR="00976487" w:rsidRPr="00687DE8" w:rsidRDefault="00A02C3C" w:rsidP="00976487">
      <w:pPr>
        <w:spacing w:after="0" w:line="240" w:lineRule="auto"/>
        <w:jc w:val="both"/>
        <w:divId w:val="1316184749"/>
        <w:rPr>
          <w:szCs w:val="24"/>
        </w:rPr>
      </w:pPr>
      <w:r w:rsidRPr="00687DE8">
        <w:rPr>
          <w:szCs w:val="24"/>
        </w:rPr>
        <w:t xml:space="preserve">4) </w:t>
      </w:r>
      <w:r w:rsidR="00976487" w:rsidRPr="00687DE8">
        <w:rPr>
          <w:szCs w:val="24"/>
        </w:rPr>
        <w:t>dilatatiivse kardiomüopaatia korral.</w:t>
      </w:r>
    </w:p>
    <w:p w14:paraId="37A3F1B2" w14:textId="77777777" w:rsidR="00976487" w:rsidRPr="00687DE8" w:rsidRDefault="00976487" w:rsidP="00976487">
      <w:pPr>
        <w:spacing w:after="0" w:line="240" w:lineRule="auto"/>
        <w:jc w:val="both"/>
        <w:divId w:val="1316184749"/>
        <w:rPr>
          <w:szCs w:val="24"/>
        </w:rPr>
      </w:pPr>
    </w:p>
    <w:p w14:paraId="277C1B73" w14:textId="77777777" w:rsidR="00976487" w:rsidRPr="00687DE8" w:rsidRDefault="00976487" w:rsidP="00976487">
      <w:pPr>
        <w:spacing w:after="0" w:line="240" w:lineRule="auto"/>
        <w:jc w:val="both"/>
        <w:divId w:val="1316184749"/>
        <w:rPr>
          <w:szCs w:val="24"/>
        </w:rPr>
      </w:pPr>
      <w:r w:rsidRPr="00687DE8">
        <w:rPr>
          <w:szCs w:val="24"/>
        </w:rPr>
        <w:t>(5) Koodiga 7743 tähistatud tervishoiuteenus sisaldab implanteeritava reservuaariga tsentraalveeni kateetri maksumust.</w:t>
      </w:r>
    </w:p>
    <w:p w14:paraId="5F35BFD3" w14:textId="77777777" w:rsidR="00976487" w:rsidRPr="00687DE8" w:rsidRDefault="00976487" w:rsidP="00976487">
      <w:pPr>
        <w:spacing w:after="0" w:line="240" w:lineRule="auto"/>
        <w:jc w:val="both"/>
        <w:divId w:val="1316184749"/>
        <w:rPr>
          <w:szCs w:val="24"/>
        </w:rPr>
      </w:pPr>
    </w:p>
    <w:p w14:paraId="2C0CF292" w14:textId="5F65320D" w:rsidR="00976487" w:rsidRPr="00687DE8" w:rsidRDefault="00976487" w:rsidP="00976487">
      <w:pPr>
        <w:pStyle w:val="Vahedeta"/>
        <w:jc w:val="both"/>
        <w:divId w:val="1316184749"/>
        <w:rPr>
          <w:szCs w:val="24"/>
          <w:lang w:val="et-EE"/>
        </w:rPr>
      </w:pPr>
      <w:r w:rsidRPr="00687DE8">
        <w:rPr>
          <w:szCs w:val="24"/>
          <w:lang w:val="et-EE"/>
        </w:rPr>
        <w:t xml:space="preserve">(6) </w:t>
      </w:r>
      <w:r w:rsidR="005023FD" w:rsidRPr="00687DE8">
        <w:rPr>
          <w:szCs w:val="24"/>
          <w:lang w:val="et-EE"/>
        </w:rPr>
        <w:t>Tervisekassa</w:t>
      </w:r>
      <w:r w:rsidRPr="00687DE8">
        <w:rPr>
          <w:szCs w:val="24"/>
          <w:lang w:val="et-EE"/>
        </w:rPr>
        <w:t xml:space="preserve"> võtab koodiga 7780 tähistatud tervishoiuteenuse eest tasu maksmise kohustuse üle enneaegse (gestatsioonieaga alla 32 nädala) vastsündinu eest juhul, kui vastsündinu toitmine ema rinnapiimaga ei ole võimalik.</w:t>
      </w:r>
    </w:p>
    <w:p w14:paraId="07C29A9E" w14:textId="77777777" w:rsidR="00976487" w:rsidRPr="00687DE8" w:rsidRDefault="00976487" w:rsidP="00976487">
      <w:pPr>
        <w:pStyle w:val="Vahedeta"/>
        <w:divId w:val="1316184749"/>
        <w:rPr>
          <w:b/>
          <w:bCs/>
          <w:szCs w:val="24"/>
          <w:lang w:val="et-EE"/>
        </w:rPr>
      </w:pPr>
    </w:p>
    <w:p w14:paraId="4FB24F21" w14:textId="77777777" w:rsidR="00976487" w:rsidRDefault="00976487" w:rsidP="00976487">
      <w:pPr>
        <w:spacing w:after="0" w:line="240" w:lineRule="auto"/>
        <w:jc w:val="both"/>
        <w:outlineLvl w:val="2"/>
        <w:divId w:val="1316184749"/>
        <w:rPr>
          <w:b/>
          <w:szCs w:val="24"/>
        </w:rPr>
      </w:pPr>
      <w:r w:rsidRPr="00687DE8">
        <w:rPr>
          <w:b/>
          <w:szCs w:val="24"/>
        </w:rPr>
        <w:t>§ 4</w:t>
      </w:r>
      <w:r w:rsidR="00296746" w:rsidRPr="00687DE8">
        <w:rPr>
          <w:b/>
          <w:szCs w:val="24"/>
        </w:rPr>
        <w:t>4</w:t>
      </w:r>
      <w:r w:rsidRPr="00687DE8">
        <w:rPr>
          <w:b/>
          <w:szCs w:val="24"/>
        </w:rPr>
        <w:t>. Anesteesia piirhinnad</w:t>
      </w:r>
    </w:p>
    <w:p w14:paraId="60428C87" w14:textId="77777777" w:rsidR="005332E6" w:rsidRDefault="005332E6" w:rsidP="00976487">
      <w:pPr>
        <w:spacing w:after="0" w:line="240" w:lineRule="auto"/>
        <w:jc w:val="both"/>
        <w:divId w:val="1316184749"/>
        <w:rPr>
          <w:szCs w:val="24"/>
        </w:rPr>
      </w:pPr>
    </w:p>
    <w:p w14:paraId="06927384" w14:textId="14DF9422" w:rsidR="00976487" w:rsidRPr="00687DE8" w:rsidRDefault="00976487" w:rsidP="00976487">
      <w:pPr>
        <w:spacing w:after="0" w:line="240" w:lineRule="auto"/>
        <w:jc w:val="both"/>
        <w:divId w:val="1316184749"/>
        <w:rPr>
          <w:szCs w:val="24"/>
        </w:rPr>
      </w:pPr>
      <w:r w:rsidRPr="00687DE8">
        <w:rPr>
          <w:szCs w:val="24"/>
        </w:rPr>
        <w:t>(1) Anesteesia piirhinnad on järgmised:</w:t>
      </w:r>
    </w:p>
    <w:p w14:paraId="3B665037"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4"/>
        <w:gridCol w:w="1075"/>
        <w:gridCol w:w="1116"/>
      </w:tblGrid>
      <w:tr w:rsidR="00976487" w:rsidRPr="00687DE8" w14:paraId="5BE59865" w14:textId="77777777" w:rsidTr="00924972">
        <w:trPr>
          <w:divId w:val="1316184749"/>
          <w:tblHeader/>
        </w:trPr>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202FD6" w14:textId="77777777" w:rsidR="00976487" w:rsidRPr="00687DE8" w:rsidRDefault="00976487">
            <w:pPr>
              <w:spacing w:after="0" w:line="240" w:lineRule="auto"/>
              <w:jc w:val="center"/>
              <w:rPr>
                <w:szCs w:val="24"/>
              </w:rPr>
            </w:pPr>
            <w:r w:rsidRPr="00687DE8">
              <w:rPr>
                <w:b/>
                <w:bCs/>
                <w:szCs w:val="24"/>
              </w:rPr>
              <w:t>Anesteesia kestus (tundides)</w:t>
            </w:r>
          </w:p>
        </w:tc>
        <w:tc>
          <w:tcPr>
            <w:tcW w:w="1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D8071F" w14:textId="77777777" w:rsidR="00976487" w:rsidRPr="00687DE8" w:rsidRDefault="00976487">
            <w:pPr>
              <w:spacing w:after="0" w:line="240" w:lineRule="auto"/>
              <w:jc w:val="center"/>
              <w:rPr>
                <w:szCs w:val="24"/>
              </w:rPr>
            </w:pPr>
            <w:r w:rsidRPr="00687DE8">
              <w:rPr>
                <w:b/>
                <w:bCs/>
                <w:szCs w:val="24"/>
              </w:rPr>
              <w:t>Kood</w:t>
            </w:r>
          </w:p>
        </w:tc>
        <w:tc>
          <w:tcPr>
            <w:tcW w:w="1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961D0F"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BF5845" w:rsidRPr="00687DE8" w14:paraId="7E6A8667" w14:textId="77777777" w:rsidTr="00934CCC">
        <w:trPr>
          <w:divId w:val="1316184749"/>
          <w:trHeight w:val="300"/>
        </w:trPr>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1453A1" w14:textId="77777777" w:rsidR="00BF5845" w:rsidRPr="00687DE8" w:rsidRDefault="00BF5845" w:rsidP="00BF5845">
            <w:pPr>
              <w:spacing w:after="0" w:line="240" w:lineRule="auto"/>
              <w:rPr>
                <w:szCs w:val="24"/>
              </w:rPr>
            </w:pPr>
            <w:r w:rsidRPr="00687DE8">
              <w:rPr>
                <w:szCs w:val="24"/>
              </w:rPr>
              <w:t>Anesteesia kestus alla 0,5</w:t>
            </w:r>
          </w:p>
        </w:tc>
        <w:tc>
          <w:tcPr>
            <w:tcW w:w="1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D90169" w14:textId="77777777" w:rsidR="00BF5845" w:rsidRPr="00687DE8" w:rsidRDefault="00BF5845" w:rsidP="00BF5845">
            <w:pPr>
              <w:spacing w:after="0" w:line="240" w:lineRule="auto"/>
              <w:jc w:val="center"/>
              <w:rPr>
                <w:szCs w:val="24"/>
              </w:rPr>
            </w:pPr>
            <w:r w:rsidRPr="00687DE8">
              <w:rPr>
                <w:szCs w:val="24"/>
              </w:rPr>
              <w:t>2201</w:t>
            </w:r>
          </w:p>
        </w:tc>
        <w:tc>
          <w:tcPr>
            <w:tcW w:w="1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2ED814" w14:textId="3EEA03D1" w:rsidR="7C0FF108" w:rsidRPr="00687DE8" w:rsidRDefault="00A01CFF">
            <w:pPr>
              <w:spacing w:after="0"/>
              <w:jc w:val="center"/>
              <w:rPr>
                <w:color w:val="000000" w:themeColor="text1"/>
                <w:szCs w:val="24"/>
              </w:rPr>
            </w:pPr>
            <w:r>
              <w:rPr>
                <w:color w:val="000000"/>
              </w:rPr>
              <w:t>92,45</w:t>
            </w:r>
          </w:p>
        </w:tc>
      </w:tr>
      <w:tr w:rsidR="00BF5845" w:rsidRPr="00687DE8" w14:paraId="28C49B6F" w14:textId="77777777" w:rsidTr="00934CCC">
        <w:trPr>
          <w:divId w:val="1316184749"/>
          <w:trHeight w:val="300"/>
        </w:trPr>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B30BDC" w14:textId="77777777" w:rsidR="00BF5845" w:rsidRPr="00687DE8" w:rsidRDefault="00BF5845" w:rsidP="00BF5845">
            <w:pPr>
              <w:spacing w:after="0" w:line="240" w:lineRule="auto"/>
              <w:rPr>
                <w:szCs w:val="24"/>
              </w:rPr>
            </w:pPr>
            <w:r w:rsidRPr="00687DE8">
              <w:rPr>
                <w:szCs w:val="24"/>
              </w:rPr>
              <w:t>Anesteesia kestus 0,5 kuni alla 1</w:t>
            </w:r>
          </w:p>
        </w:tc>
        <w:tc>
          <w:tcPr>
            <w:tcW w:w="1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DAED3D" w14:textId="77777777" w:rsidR="00BF5845" w:rsidRPr="00687DE8" w:rsidRDefault="00BF5845" w:rsidP="00BF5845">
            <w:pPr>
              <w:spacing w:after="0" w:line="240" w:lineRule="auto"/>
              <w:jc w:val="center"/>
              <w:rPr>
                <w:szCs w:val="24"/>
              </w:rPr>
            </w:pPr>
            <w:r w:rsidRPr="00687DE8">
              <w:rPr>
                <w:szCs w:val="24"/>
              </w:rPr>
              <w:t>2202</w:t>
            </w:r>
          </w:p>
        </w:tc>
        <w:tc>
          <w:tcPr>
            <w:tcW w:w="111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D3AA12" w14:textId="32A13295" w:rsidR="7C0FF108" w:rsidRPr="00687DE8" w:rsidRDefault="00A01CFF">
            <w:pPr>
              <w:spacing w:after="0"/>
              <w:jc w:val="center"/>
              <w:rPr>
                <w:color w:val="000000" w:themeColor="text1"/>
                <w:szCs w:val="24"/>
              </w:rPr>
            </w:pPr>
            <w:r>
              <w:rPr>
                <w:color w:val="000000"/>
              </w:rPr>
              <w:t>160,30</w:t>
            </w:r>
          </w:p>
        </w:tc>
      </w:tr>
      <w:tr w:rsidR="00BF5845" w:rsidRPr="00687DE8" w14:paraId="10EC15FC" w14:textId="77777777" w:rsidTr="00934CCC">
        <w:trPr>
          <w:divId w:val="1316184749"/>
          <w:trHeight w:val="300"/>
        </w:trPr>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8BB476" w14:textId="77777777" w:rsidR="00BF5845" w:rsidRPr="00687DE8" w:rsidRDefault="00BF5845" w:rsidP="00BF5845">
            <w:pPr>
              <w:spacing w:after="0" w:line="240" w:lineRule="auto"/>
              <w:rPr>
                <w:szCs w:val="24"/>
              </w:rPr>
            </w:pPr>
            <w:r w:rsidRPr="00687DE8">
              <w:rPr>
                <w:szCs w:val="24"/>
              </w:rPr>
              <w:t>Anesteesia kestus 1 kuni alla 2</w:t>
            </w:r>
          </w:p>
        </w:tc>
        <w:tc>
          <w:tcPr>
            <w:tcW w:w="1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96E31E" w14:textId="77777777" w:rsidR="00BF5845" w:rsidRPr="00687DE8" w:rsidRDefault="00BF5845" w:rsidP="00BF5845">
            <w:pPr>
              <w:spacing w:after="0" w:line="240" w:lineRule="auto"/>
              <w:jc w:val="center"/>
              <w:rPr>
                <w:szCs w:val="24"/>
              </w:rPr>
            </w:pPr>
            <w:r w:rsidRPr="00687DE8">
              <w:rPr>
                <w:szCs w:val="24"/>
              </w:rPr>
              <w:t>2203</w:t>
            </w:r>
          </w:p>
        </w:tc>
        <w:tc>
          <w:tcPr>
            <w:tcW w:w="111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E0DDCE" w14:textId="6D1E5472" w:rsidR="7C0FF108" w:rsidRPr="00687DE8" w:rsidRDefault="00A01CFF">
            <w:pPr>
              <w:spacing w:after="0"/>
              <w:jc w:val="center"/>
              <w:rPr>
                <w:color w:val="000000" w:themeColor="text1"/>
                <w:szCs w:val="24"/>
              </w:rPr>
            </w:pPr>
            <w:r>
              <w:rPr>
                <w:color w:val="000000"/>
              </w:rPr>
              <w:t>304,84</w:t>
            </w:r>
          </w:p>
        </w:tc>
      </w:tr>
      <w:tr w:rsidR="00BF5845" w:rsidRPr="00687DE8" w14:paraId="10D8725B" w14:textId="77777777" w:rsidTr="00934CCC">
        <w:trPr>
          <w:divId w:val="1316184749"/>
          <w:trHeight w:val="300"/>
        </w:trPr>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142941" w14:textId="77777777" w:rsidR="00BF5845" w:rsidRPr="00687DE8" w:rsidRDefault="00BF5845" w:rsidP="00BF5845">
            <w:pPr>
              <w:spacing w:after="0" w:line="240" w:lineRule="auto"/>
              <w:rPr>
                <w:szCs w:val="24"/>
              </w:rPr>
            </w:pPr>
            <w:r w:rsidRPr="00687DE8">
              <w:rPr>
                <w:szCs w:val="24"/>
              </w:rPr>
              <w:t>Anesteesia kestus 2 kuni alla 3</w:t>
            </w:r>
          </w:p>
        </w:tc>
        <w:tc>
          <w:tcPr>
            <w:tcW w:w="1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7F921B" w14:textId="77777777" w:rsidR="00BF5845" w:rsidRPr="00687DE8" w:rsidRDefault="00BF5845" w:rsidP="00BF5845">
            <w:pPr>
              <w:spacing w:after="0" w:line="240" w:lineRule="auto"/>
              <w:jc w:val="center"/>
              <w:rPr>
                <w:szCs w:val="24"/>
              </w:rPr>
            </w:pPr>
            <w:r w:rsidRPr="00687DE8">
              <w:rPr>
                <w:szCs w:val="24"/>
              </w:rPr>
              <w:t>2204</w:t>
            </w:r>
          </w:p>
        </w:tc>
        <w:tc>
          <w:tcPr>
            <w:tcW w:w="111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D23F56" w14:textId="3F9A7CD8" w:rsidR="7C0FF108" w:rsidRPr="00687DE8" w:rsidRDefault="00A01CFF">
            <w:pPr>
              <w:spacing w:after="0"/>
              <w:jc w:val="center"/>
              <w:rPr>
                <w:color w:val="000000" w:themeColor="text1"/>
                <w:szCs w:val="24"/>
              </w:rPr>
            </w:pPr>
            <w:r>
              <w:rPr>
                <w:color w:val="000000"/>
              </w:rPr>
              <w:t>445,33</w:t>
            </w:r>
          </w:p>
        </w:tc>
      </w:tr>
      <w:tr w:rsidR="00BF5845" w:rsidRPr="00687DE8" w14:paraId="34155C4A" w14:textId="77777777" w:rsidTr="00934CCC">
        <w:trPr>
          <w:divId w:val="1316184749"/>
          <w:trHeight w:val="300"/>
        </w:trPr>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A7D477" w14:textId="77777777" w:rsidR="00BF5845" w:rsidRPr="00687DE8" w:rsidRDefault="00BF5845" w:rsidP="00BF5845">
            <w:pPr>
              <w:spacing w:after="0" w:line="240" w:lineRule="auto"/>
              <w:rPr>
                <w:szCs w:val="24"/>
              </w:rPr>
            </w:pPr>
            <w:r w:rsidRPr="00687DE8">
              <w:rPr>
                <w:szCs w:val="24"/>
              </w:rPr>
              <w:t>Anesteesia kestus 3 kuni alla 4</w:t>
            </w:r>
          </w:p>
        </w:tc>
        <w:tc>
          <w:tcPr>
            <w:tcW w:w="1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8EB70A" w14:textId="77777777" w:rsidR="00BF5845" w:rsidRPr="00687DE8" w:rsidRDefault="00BF5845" w:rsidP="00BF5845">
            <w:pPr>
              <w:spacing w:after="0" w:line="240" w:lineRule="auto"/>
              <w:jc w:val="center"/>
              <w:rPr>
                <w:szCs w:val="24"/>
              </w:rPr>
            </w:pPr>
            <w:r w:rsidRPr="00687DE8">
              <w:rPr>
                <w:szCs w:val="24"/>
              </w:rPr>
              <w:t>2205</w:t>
            </w:r>
          </w:p>
        </w:tc>
        <w:tc>
          <w:tcPr>
            <w:tcW w:w="111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5F6F71" w14:textId="24B445CF" w:rsidR="7C0FF108" w:rsidRPr="00687DE8" w:rsidRDefault="00A01CFF">
            <w:pPr>
              <w:spacing w:after="0"/>
              <w:jc w:val="center"/>
              <w:rPr>
                <w:color w:val="000000" w:themeColor="text1"/>
                <w:szCs w:val="24"/>
              </w:rPr>
            </w:pPr>
            <w:r>
              <w:rPr>
                <w:color w:val="000000"/>
              </w:rPr>
              <w:t>592,16</w:t>
            </w:r>
          </w:p>
        </w:tc>
      </w:tr>
      <w:tr w:rsidR="00BF5845" w:rsidRPr="00687DE8" w14:paraId="4887C48F" w14:textId="77777777" w:rsidTr="00934CCC">
        <w:trPr>
          <w:divId w:val="1316184749"/>
          <w:trHeight w:val="300"/>
        </w:trPr>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824592" w14:textId="77777777" w:rsidR="00BF5845" w:rsidRPr="00687DE8" w:rsidRDefault="00BF5845" w:rsidP="00BF5845">
            <w:pPr>
              <w:spacing w:after="0" w:line="240" w:lineRule="auto"/>
              <w:rPr>
                <w:szCs w:val="24"/>
              </w:rPr>
            </w:pPr>
            <w:r w:rsidRPr="00687DE8">
              <w:rPr>
                <w:szCs w:val="24"/>
              </w:rPr>
              <w:t>Anesteesia kestus 4 kuni alla 7</w:t>
            </w:r>
          </w:p>
        </w:tc>
        <w:tc>
          <w:tcPr>
            <w:tcW w:w="1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B3BED7" w14:textId="77777777" w:rsidR="00BF5845" w:rsidRPr="00687DE8" w:rsidRDefault="00BF5845" w:rsidP="00BF5845">
            <w:pPr>
              <w:spacing w:after="0" w:line="240" w:lineRule="auto"/>
              <w:jc w:val="center"/>
              <w:rPr>
                <w:szCs w:val="24"/>
              </w:rPr>
            </w:pPr>
            <w:r w:rsidRPr="00687DE8">
              <w:rPr>
                <w:szCs w:val="24"/>
              </w:rPr>
              <w:t>2206</w:t>
            </w:r>
          </w:p>
        </w:tc>
        <w:tc>
          <w:tcPr>
            <w:tcW w:w="111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EC0729" w14:textId="32E6D9C9" w:rsidR="7C0FF108" w:rsidRPr="00687DE8" w:rsidRDefault="00A01CFF">
            <w:pPr>
              <w:spacing w:after="0"/>
              <w:jc w:val="center"/>
              <w:rPr>
                <w:color w:val="000000" w:themeColor="text1"/>
                <w:szCs w:val="24"/>
              </w:rPr>
            </w:pPr>
            <w:r>
              <w:rPr>
                <w:color w:val="000000"/>
              </w:rPr>
              <w:t>850,33</w:t>
            </w:r>
          </w:p>
        </w:tc>
      </w:tr>
      <w:tr w:rsidR="00BF5845" w:rsidRPr="00687DE8" w14:paraId="201F769F" w14:textId="77777777" w:rsidTr="00934CCC">
        <w:trPr>
          <w:divId w:val="1316184749"/>
          <w:trHeight w:val="300"/>
        </w:trPr>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8C7BCA" w14:textId="77777777" w:rsidR="00BF5845" w:rsidRPr="00687DE8" w:rsidRDefault="00BF5845" w:rsidP="00BF5845">
            <w:pPr>
              <w:spacing w:after="0" w:line="240" w:lineRule="auto"/>
              <w:rPr>
                <w:szCs w:val="24"/>
              </w:rPr>
            </w:pPr>
            <w:r w:rsidRPr="00687DE8">
              <w:rPr>
                <w:szCs w:val="24"/>
              </w:rPr>
              <w:t>Anesteesia kestus alates 7st</w:t>
            </w:r>
          </w:p>
        </w:tc>
        <w:tc>
          <w:tcPr>
            <w:tcW w:w="1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75C60D" w14:textId="77777777" w:rsidR="00BF5845" w:rsidRPr="00687DE8" w:rsidRDefault="00BF5845" w:rsidP="00BF5845">
            <w:pPr>
              <w:spacing w:after="0" w:line="240" w:lineRule="auto"/>
              <w:jc w:val="center"/>
              <w:rPr>
                <w:szCs w:val="24"/>
              </w:rPr>
            </w:pPr>
            <w:r w:rsidRPr="00687DE8">
              <w:rPr>
                <w:szCs w:val="24"/>
              </w:rPr>
              <w:t>2207</w:t>
            </w:r>
          </w:p>
        </w:tc>
        <w:tc>
          <w:tcPr>
            <w:tcW w:w="111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C467C0" w14:textId="5D3DC7B7" w:rsidR="7C0FF108" w:rsidRPr="00687DE8" w:rsidRDefault="00A01CFF">
            <w:pPr>
              <w:spacing w:after="0"/>
              <w:jc w:val="center"/>
              <w:rPr>
                <w:color w:val="000000" w:themeColor="text1"/>
                <w:szCs w:val="24"/>
              </w:rPr>
            </w:pPr>
            <w:r>
              <w:rPr>
                <w:color w:val="000000"/>
              </w:rPr>
              <w:t>1 295,09</w:t>
            </w:r>
          </w:p>
        </w:tc>
      </w:tr>
      <w:tr w:rsidR="00BF5845" w:rsidRPr="00687DE8" w14:paraId="3F96D28C" w14:textId="77777777" w:rsidTr="00934CCC">
        <w:trPr>
          <w:divId w:val="1316184749"/>
          <w:trHeight w:val="300"/>
        </w:trPr>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16848E" w14:textId="77777777" w:rsidR="00BF5845" w:rsidRPr="00687DE8" w:rsidRDefault="00BF5845" w:rsidP="00BF5845">
            <w:pPr>
              <w:spacing w:after="0" w:line="240" w:lineRule="auto"/>
              <w:rPr>
                <w:szCs w:val="24"/>
              </w:rPr>
            </w:pPr>
            <w:r w:rsidRPr="00687DE8">
              <w:rPr>
                <w:i/>
                <w:iCs/>
                <w:szCs w:val="24"/>
              </w:rPr>
              <w:t>Recovery</w:t>
            </w:r>
            <w:r w:rsidRPr="00687DE8">
              <w:rPr>
                <w:szCs w:val="24"/>
              </w:rPr>
              <w:t xml:space="preserve"> (ärkamisruum) (üks tund)</w:t>
            </w:r>
          </w:p>
        </w:tc>
        <w:tc>
          <w:tcPr>
            <w:tcW w:w="1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E830C6" w14:textId="77777777" w:rsidR="00BF5845" w:rsidRPr="00687DE8" w:rsidRDefault="00BF5845" w:rsidP="00BF5845">
            <w:pPr>
              <w:spacing w:after="0" w:line="240" w:lineRule="auto"/>
              <w:jc w:val="center"/>
              <w:rPr>
                <w:szCs w:val="24"/>
              </w:rPr>
            </w:pPr>
            <w:r w:rsidRPr="00687DE8">
              <w:rPr>
                <w:szCs w:val="24"/>
              </w:rPr>
              <w:t>2112</w:t>
            </w:r>
          </w:p>
        </w:tc>
        <w:tc>
          <w:tcPr>
            <w:tcW w:w="1116"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1F5824" w14:textId="26238D33" w:rsidR="55BBEE95" w:rsidRPr="00687DE8" w:rsidRDefault="00A01CFF">
            <w:pPr>
              <w:spacing w:after="0"/>
              <w:jc w:val="center"/>
              <w:rPr>
                <w:color w:val="000000" w:themeColor="text1"/>
                <w:szCs w:val="24"/>
              </w:rPr>
            </w:pPr>
            <w:r>
              <w:rPr>
                <w:color w:val="000000"/>
              </w:rPr>
              <w:t>36,84</w:t>
            </w:r>
          </w:p>
        </w:tc>
      </w:tr>
    </w:tbl>
    <w:p w14:paraId="181828BE" w14:textId="77777777" w:rsidR="00976487" w:rsidRPr="00687DE8" w:rsidRDefault="00976487" w:rsidP="00976487">
      <w:pPr>
        <w:spacing w:after="0" w:line="240" w:lineRule="auto"/>
        <w:jc w:val="both"/>
        <w:divId w:val="1316184749"/>
        <w:rPr>
          <w:szCs w:val="24"/>
        </w:rPr>
      </w:pPr>
    </w:p>
    <w:p w14:paraId="71DFB95E" w14:textId="77777777" w:rsidR="00976487" w:rsidRPr="00687DE8" w:rsidRDefault="00976487" w:rsidP="00976487">
      <w:pPr>
        <w:spacing w:after="0" w:line="240" w:lineRule="auto"/>
        <w:jc w:val="both"/>
        <w:divId w:val="1316184749"/>
        <w:rPr>
          <w:szCs w:val="24"/>
        </w:rPr>
      </w:pPr>
      <w:r w:rsidRPr="00687DE8">
        <w:rPr>
          <w:szCs w:val="24"/>
        </w:rPr>
        <w:lastRenderedPageBreak/>
        <w:t>(2) Koodidega 2201, 2202, 2203, 2204, 2205, 2206 ja 2207 tähistatud tervishoiuteenuste korral arvestatakse anesteesia kestust operatsiooni, uuringu või protseduuri tegemisel arvates anesteesia algusajast kuni lõpuajani.</w:t>
      </w:r>
    </w:p>
    <w:p w14:paraId="2ED73BC4" w14:textId="77777777" w:rsidR="00976487" w:rsidRPr="00687DE8" w:rsidRDefault="00976487" w:rsidP="00976487">
      <w:pPr>
        <w:spacing w:after="0" w:line="240" w:lineRule="auto"/>
        <w:jc w:val="both"/>
        <w:divId w:val="1316184749"/>
        <w:rPr>
          <w:szCs w:val="24"/>
        </w:rPr>
      </w:pPr>
    </w:p>
    <w:p w14:paraId="121CA858" w14:textId="4AED18C2"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ei võta koodidega 2201, 2202, 2203, 2204, 2205, 2206 ja 2207 tähistatud tervishoiuteenuste eest tasu maksmise kohustust üle lokaalanesteesia korral.</w:t>
      </w:r>
    </w:p>
    <w:p w14:paraId="7072FF26" w14:textId="77777777" w:rsidR="00976487" w:rsidRPr="00687DE8" w:rsidRDefault="00976487" w:rsidP="00976487">
      <w:pPr>
        <w:spacing w:after="0" w:line="240" w:lineRule="auto"/>
        <w:jc w:val="both"/>
        <w:divId w:val="1316184749"/>
        <w:rPr>
          <w:szCs w:val="24"/>
        </w:rPr>
      </w:pPr>
    </w:p>
    <w:p w14:paraId="06B34414" w14:textId="45C39D9F" w:rsidR="00976487" w:rsidRPr="00687DE8" w:rsidRDefault="00976487" w:rsidP="00976487">
      <w:pPr>
        <w:spacing w:after="0" w:line="240" w:lineRule="auto"/>
        <w:jc w:val="both"/>
        <w:divId w:val="1316184749"/>
        <w:rPr>
          <w:szCs w:val="24"/>
        </w:rPr>
      </w:pPr>
      <w:r w:rsidRPr="00687DE8">
        <w:rPr>
          <w:szCs w:val="24"/>
        </w:rPr>
        <w:t xml:space="preserve">(4) </w:t>
      </w:r>
      <w:r w:rsidR="005023FD" w:rsidRPr="00687DE8">
        <w:rPr>
          <w:szCs w:val="24"/>
        </w:rPr>
        <w:t>Tervisekassa</w:t>
      </w:r>
      <w:r w:rsidRPr="00687DE8">
        <w:rPr>
          <w:szCs w:val="24"/>
        </w:rPr>
        <w:t xml:space="preserve"> võtab koodiga 2112 tähistatud tervishoiuteenuse eest tasu maksmise kohustuse </w:t>
      </w:r>
      <w:r w:rsidR="002F6DB6" w:rsidRPr="00687DE8">
        <w:rPr>
          <w:szCs w:val="24"/>
        </w:rPr>
        <w:t>üle juhul</w:t>
      </w:r>
      <w:r w:rsidR="00CE148D" w:rsidRPr="00687DE8">
        <w:rPr>
          <w:szCs w:val="24"/>
        </w:rPr>
        <w:t>,</w:t>
      </w:r>
      <w:r w:rsidR="002F6DB6" w:rsidRPr="00687DE8">
        <w:rPr>
          <w:szCs w:val="24"/>
        </w:rPr>
        <w:t xml:space="preserve"> kui </w:t>
      </w:r>
      <w:r w:rsidR="001F4A48" w:rsidRPr="00687DE8">
        <w:rPr>
          <w:szCs w:val="24"/>
        </w:rPr>
        <w:t>teenust</w:t>
      </w:r>
      <w:r w:rsidR="002F6DB6" w:rsidRPr="00687DE8">
        <w:rPr>
          <w:szCs w:val="24"/>
        </w:rPr>
        <w:t xml:space="preserve"> rakendatakse anesteesia</w:t>
      </w:r>
      <w:r w:rsidR="00F46D43" w:rsidRPr="00687DE8">
        <w:rPr>
          <w:szCs w:val="24"/>
        </w:rPr>
        <w:t>s</w:t>
      </w:r>
      <w:r w:rsidR="002F6DB6" w:rsidRPr="00687DE8">
        <w:rPr>
          <w:szCs w:val="24"/>
        </w:rPr>
        <w:t xml:space="preserve"> </w:t>
      </w:r>
      <w:r w:rsidR="005C4E76" w:rsidRPr="00687DE8">
        <w:rPr>
          <w:szCs w:val="24"/>
        </w:rPr>
        <w:t>tehtud</w:t>
      </w:r>
      <w:r w:rsidR="002F6DB6" w:rsidRPr="00687DE8">
        <w:rPr>
          <w:szCs w:val="24"/>
        </w:rPr>
        <w:t xml:space="preserve"> operatsiooni või protseduuri järel </w:t>
      </w:r>
      <w:r w:rsidR="00523BF0" w:rsidRPr="00687DE8">
        <w:rPr>
          <w:szCs w:val="24"/>
        </w:rPr>
        <w:t>ja</w:t>
      </w:r>
      <w:r w:rsidRPr="00687DE8">
        <w:rPr>
          <w:szCs w:val="24"/>
        </w:rPr>
        <w:t xml:space="preserve"> ärkamisruum</w:t>
      </w:r>
      <w:r w:rsidR="00233671" w:rsidRPr="00687DE8">
        <w:rPr>
          <w:szCs w:val="24"/>
        </w:rPr>
        <w:t>is</w:t>
      </w:r>
      <w:r w:rsidR="00384CE0" w:rsidRPr="00687DE8">
        <w:rPr>
          <w:szCs w:val="24"/>
        </w:rPr>
        <w:t xml:space="preserve"> (</w:t>
      </w:r>
      <w:r w:rsidR="00384CE0" w:rsidRPr="00687DE8">
        <w:rPr>
          <w:i/>
          <w:szCs w:val="24"/>
        </w:rPr>
        <w:t>recovery</w:t>
      </w:r>
      <w:r w:rsidR="00384CE0" w:rsidRPr="00687DE8">
        <w:rPr>
          <w:szCs w:val="24"/>
        </w:rPr>
        <w:t>)</w:t>
      </w:r>
      <w:r w:rsidRPr="00687DE8">
        <w:rPr>
          <w:szCs w:val="24"/>
        </w:rPr>
        <w:t>. Ärkamisruumis viibimise aeg ümardatakse lähima tunnini ja tasu maksmise kohustus võetakse üle kuni kolme tunni eest.</w:t>
      </w:r>
    </w:p>
    <w:p w14:paraId="26475CB4" w14:textId="77777777" w:rsidR="00976487" w:rsidRPr="00687DE8" w:rsidRDefault="00976487" w:rsidP="00976487">
      <w:pPr>
        <w:spacing w:after="0" w:line="240" w:lineRule="auto"/>
        <w:jc w:val="both"/>
        <w:divId w:val="1316184749"/>
        <w:rPr>
          <w:szCs w:val="24"/>
        </w:rPr>
      </w:pPr>
    </w:p>
    <w:p w14:paraId="3FA510B4" w14:textId="3082331F" w:rsidR="00976487" w:rsidRDefault="00EF6A92" w:rsidP="00976487">
      <w:pPr>
        <w:spacing w:after="0" w:line="240" w:lineRule="auto"/>
        <w:jc w:val="both"/>
        <w:outlineLvl w:val="2"/>
        <w:divId w:val="1316184749"/>
      </w:pPr>
      <w:r>
        <w:t xml:space="preserve">(5) </w:t>
      </w:r>
      <w:r w:rsidR="000B00BE">
        <w:t>Hambaraviteenuse osutamise</w:t>
      </w:r>
      <w:r w:rsidR="00221920">
        <w:t>l</w:t>
      </w:r>
      <w:r w:rsidR="000B00BE">
        <w:t xml:space="preserve"> võtab</w:t>
      </w:r>
      <w:r>
        <w:t xml:space="preserve"> Tervisekassa lõikes 1 nimetatud tervishoiuteenuste eest tasu maksmise kohustuse üle</w:t>
      </w:r>
      <w:r w:rsidR="003F19AF">
        <w:t xml:space="preserve"> juhul</w:t>
      </w:r>
      <w:r>
        <w:t>, kui arsti dokumenteeritud ja põhjendatud otsuse</w:t>
      </w:r>
      <w:r w:rsidR="00966CD8">
        <w:t xml:space="preserve">l ei saa patsiendi </w:t>
      </w:r>
      <w:r w:rsidR="00E9297C">
        <w:t>haigusseisundist</w:t>
      </w:r>
      <w:r w:rsidR="00966CD8">
        <w:t xml:space="preserve"> lähtudes hambaraviteenust osutada või selle osutamine on ilma nimetatud tervishoiuteenuse osutamiseta</w:t>
      </w:r>
      <w:r w:rsidR="00281D4B" w:rsidRPr="00281D4B">
        <w:t xml:space="preserve"> </w:t>
      </w:r>
      <w:r w:rsidR="00281D4B">
        <w:t>raskendatud</w:t>
      </w:r>
      <w:r w:rsidR="00966CD8">
        <w:t xml:space="preserve">. </w:t>
      </w:r>
    </w:p>
    <w:p w14:paraId="1FCC53E6" w14:textId="77777777" w:rsidR="0006629A" w:rsidRPr="00966CD8" w:rsidRDefault="0006629A" w:rsidP="00976487">
      <w:pPr>
        <w:spacing w:after="0" w:line="240" w:lineRule="auto"/>
        <w:jc w:val="both"/>
        <w:outlineLvl w:val="2"/>
        <w:divId w:val="1316184749"/>
        <w:rPr>
          <w:szCs w:val="24"/>
        </w:rPr>
      </w:pPr>
    </w:p>
    <w:p w14:paraId="77546883" w14:textId="2A7B9E6A" w:rsidR="009A07D7" w:rsidRDefault="00976487" w:rsidP="1EBF27FD">
      <w:pPr>
        <w:shd w:val="clear" w:color="auto" w:fill="FFFFFF" w:themeFill="background1"/>
        <w:spacing w:after="0" w:line="240" w:lineRule="auto"/>
        <w:jc w:val="both"/>
        <w:divId w:val="1316184749"/>
        <w:rPr>
          <w:strike/>
          <w:color w:val="FF0000"/>
          <w:lang w:eastAsia="et-EE"/>
        </w:rPr>
      </w:pPr>
      <w:r w:rsidRPr="1EBF27FD">
        <w:rPr>
          <w:bdr w:val="none" w:sz="0" w:space="0" w:color="auto" w:frame="1"/>
          <w:lang w:eastAsia="et-EE"/>
        </w:rPr>
        <w:t>(6)</w:t>
      </w:r>
      <w:r w:rsidRPr="1EBF27FD">
        <w:rPr>
          <w:lang w:eastAsia="et-EE"/>
        </w:rPr>
        <w:t xml:space="preserve"> </w:t>
      </w:r>
      <w:r w:rsidR="000B00BE">
        <w:rPr>
          <w:lang w:eastAsia="et-EE"/>
        </w:rPr>
        <w:t>Hambaraviteenuse osutamisel võtab</w:t>
      </w:r>
      <w:r w:rsidRPr="1EBF27FD">
        <w:rPr>
          <w:lang w:eastAsia="et-EE"/>
        </w:rPr>
        <w:t xml:space="preserve"> </w:t>
      </w:r>
      <w:r w:rsidR="0006629A" w:rsidRPr="0006629A">
        <w:rPr>
          <w:lang w:eastAsia="et-EE"/>
        </w:rPr>
        <w:t>Tervisekassa koodidega 2206 ja 2207 tähistatud tervishoiuteenuste eest tasu maksmise kohustuse üle</w:t>
      </w:r>
      <w:r w:rsidR="003F19AF">
        <w:rPr>
          <w:lang w:eastAsia="et-EE"/>
        </w:rPr>
        <w:t xml:space="preserve"> juhul</w:t>
      </w:r>
      <w:r w:rsidR="0006629A" w:rsidRPr="0006629A">
        <w:rPr>
          <w:lang w:eastAsia="et-EE"/>
        </w:rPr>
        <w:t xml:space="preserve">, kui hambaraviteenuse osutamise kohas on tagatud ööpäevaringne intensiivravi võimekus. </w:t>
      </w:r>
    </w:p>
    <w:p w14:paraId="2984E65F" w14:textId="12F63015" w:rsidR="00976487" w:rsidRPr="00687DE8" w:rsidRDefault="00976487" w:rsidP="1EBF27FD">
      <w:pPr>
        <w:shd w:val="clear" w:color="auto" w:fill="FFFFFF" w:themeFill="background1"/>
        <w:spacing w:after="0" w:line="240" w:lineRule="auto"/>
        <w:divId w:val="1316184749"/>
        <w:rPr>
          <w:b/>
          <w:color w:val="000000"/>
          <w:bdr w:val="none" w:sz="0" w:space="0" w:color="auto" w:frame="1"/>
          <w:lang w:eastAsia="et-EE"/>
        </w:rPr>
      </w:pPr>
    </w:p>
    <w:p w14:paraId="6A869570" w14:textId="07FBF3FD" w:rsidR="00976487" w:rsidRDefault="00976487" w:rsidP="00976487">
      <w:pPr>
        <w:spacing w:after="0" w:line="240" w:lineRule="auto"/>
        <w:jc w:val="both"/>
        <w:outlineLvl w:val="2"/>
        <w:divId w:val="1316184749"/>
        <w:rPr>
          <w:b/>
          <w:szCs w:val="24"/>
        </w:rPr>
      </w:pPr>
      <w:r w:rsidRPr="00687DE8">
        <w:rPr>
          <w:b/>
          <w:szCs w:val="24"/>
        </w:rPr>
        <w:t>§</w:t>
      </w:r>
      <w:r w:rsidR="00F62F20" w:rsidRPr="00687DE8">
        <w:rPr>
          <w:b/>
          <w:szCs w:val="24"/>
        </w:rPr>
        <w:t> </w:t>
      </w:r>
      <w:r w:rsidRPr="00687DE8">
        <w:rPr>
          <w:b/>
          <w:szCs w:val="24"/>
        </w:rPr>
        <w:t>4</w:t>
      </w:r>
      <w:r w:rsidR="00296746" w:rsidRPr="00687DE8">
        <w:rPr>
          <w:b/>
          <w:szCs w:val="24"/>
        </w:rPr>
        <w:t>5</w:t>
      </w:r>
      <w:r w:rsidRPr="00687DE8">
        <w:rPr>
          <w:b/>
          <w:szCs w:val="24"/>
        </w:rPr>
        <w:t>. Vereloome tüvirakkude ja terapeutiliste rakkude käitlemise ja siirdamise protseduuride piirhinnad</w:t>
      </w:r>
    </w:p>
    <w:p w14:paraId="0D58CB24" w14:textId="77777777" w:rsidR="005332E6" w:rsidRDefault="005332E6" w:rsidP="00976487">
      <w:pPr>
        <w:spacing w:after="0" w:line="240" w:lineRule="auto"/>
        <w:jc w:val="both"/>
        <w:divId w:val="1316184749"/>
        <w:rPr>
          <w:szCs w:val="24"/>
        </w:rPr>
      </w:pPr>
    </w:p>
    <w:p w14:paraId="481FDC1A" w14:textId="74160F60" w:rsidR="00976487" w:rsidRPr="00687DE8" w:rsidRDefault="00976487" w:rsidP="00976487">
      <w:pPr>
        <w:spacing w:after="0" w:line="240" w:lineRule="auto"/>
        <w:jc w:val="both"/>
        <w:divId w:val="1316184749"/>
        <w:rPr>
          <w:szCs w:val="24"/>
        </w:rPr>
      </w:pPr>
      <w:r w:rsidRPr="00687DE8">
        <w:rPr>
          <w:szCs w:val="24"/>
        </w:rPr>
        <w:t>(1) Vereloome tüvirakkude ja terapeutiliste rakkude käitlemise ja siirdamise protseduuride piirhinnad on järgmised:</w:t>
      </w:r>
    </w:p>
    <w:p w14:paraId="094BB94D"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3"/>
        <w:gridCol w:w="1022"/>
        <w:gridCol w:w="1590"/>
      </w:tblGrid>
      <w:tr w:rsidR="00976487" w:rsidRPr="00687DE8" w14:paraId="6622D64C" w14:textId="77777777" w:rsidTr="00A06B07">
        <w:trPr>
          <w:divId w:val="1316184749"/>
          <w:tblHeader/>
        </w:trPr>
        <w:tc>
          <w:tcPr>
            <w:tcW w:w="67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106902" w14:textId="77777777" w:rsidR="00976487" w:rsidRPr="00687DE8" w:rsidRDefault="00976487">
            <w:pPr>
              <w:spacing w:after="0" w:line="240" w:lineRule="auto"/>
              <w:jc w:val="center"/>
              <w:rPr>
                <w:szCs w:val="24"/>
              </w:rPr>
            </w:pPr>
            <w:r w:rsidRPr="00687DE8">
              <w:rPr>
                <w:b/>
                <w:bCs/>
                <w:szCs w:val="24"/>
              </w:rPr>
              <w:t>Tervishoiuteenuse nimetus</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9947BF" w14:textId="77777777" w:rsidR="00976487" w:rsidRPr="00687DE8" w:rsidRDefault="00976487">
            <w:pPr>
              <w:spacing w:after="0" w:line="240" w:lineRule="auto"/>
              <w:jc w:val="center"/>
              <w:rPr>
                <w:szCs w:val="24"/>
              </w:rPr>
            </w:pPr>
            <w:r w:rsidRPr="00687DE8">
              <w:rPr>
                <w:b/>
                <w:bCs/>
                <w:szCs w:val="24"/>
              </w:rPr>
              <w:t>Kood</w:t>
            </w:r>
          </w:p>
        </w:tc>
        <w:tc>
          <w:tcPr>
            <w:tcW w:w="1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6231F2"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E10827" w:rsidRPr="00687DE8" w14:paraId="4E63F187" w14:textId="77777777" w:rsidTr="00934CCC">
        <w:trPr>
          <w:divId w:val="1316184749"/>
          <w:trHeight w:val="300"/>
        </w:trPr>
        <w:tc>
          <w:tcPr>
            <w:tcW w:w="67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840317" w14:textId="77777777" w:rsidR="00E10827" w:rsidRPr="00687DE8" w:rsidRDefault="00E10827" w:rsidP="00E10827">
            <w:pPr>
              <w:spacing w:after="0" w:line="240" w:lineRule="auto"/>
              <w:rPr>
                <w:szCs w:val="24"/>
              </w:rPr>
            </w:pPr>
            <w:r w:rsidRPr="00687DE8">
              <w:rPr>
                <w:szCs w:val="24"/>
              </w:rPr>
              <w:t>Külmutatud vereloome tüvirakkude ja terapeutiliste rakkude sulatamine ning siirdamine</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0776F43" w14:textId="77777777" w:rsidR="00E10827" w:rsidRPr="00687DE8" w:rsidRDefault="00E10827" w:rsidP="00E10827">
            <w:pPr>
              <w:spacing w:after="0" w:line="240" w:lineRule="auto"/>
              <w:jc w:val="center"/>
              <w:rPr>
                <w:szCs w:val="24"/>
              </w:rPr>
            </w:pPr>
            <w:r w:rsidRPr="00687DE8">
              <w:rPr>
                <w:szCs w:val="24"/>
              </w:rPr>
              <w:t>8101</w:t>
            </w:r>
          </w:p>
        </w:tc>
        <w:tc>
          <w:tcPr>
            <w:tcW w:w="1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D08B33" w14:textId="3CECAF93" w:rsidR="00E64B37" w:rsidRPr="00687DE8" w:rsidRDefault="00A01CFF">
            <w:pPr>
              <w:spacing w:after="0"/>
              <w:jc w:val="center"/>
              <w:rPr>
                <w:szCs w:val="24"/>
              </w:rPr>
            </w:pPr>
            <w:r>
              <w:rPr>
                <w:color w:val="000000"/>
              </w:rPr>
              <w:t>236,88</w:t>
            </w:r>
          </w:p>
        </w:tc>
      </w:tr>
      <w:tr w:rsidR="00E10827" w:rsidRPr="00687DE8" w14:paraId="211B3100" w14:textId="77777777" w:rsidTr="00934CCC">
        <w:trPr>
          <w:divId w:val="1316184749"/>
          <w:trHeight w:val="300"/>
        </w:trPr>
        <w:tc>
          <w:tcPr>
            <w:tcW w:w="67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35AC38" w14:textId="77777777" w:rsidR="00E10827" w:rsidRPr="00687DE8" w:rsidRDefault="00E10827" w:rsidP="00E10827">
            <w:pPr>
              <w:spacing w:after="0" w:line="240" w:lineRule="auto"/>
              <w:rPr>
                <w:szCs w:val="24"/>
              </w:rPr>
            </w:pPr>
            <w:r w:rsidRPr="00687DE8">
              <w:rPr>
                <w:szCs w:val="24"/>
              </w:rPr>
              <w:t>Allogeensete vereloome tüvirakkude ja terapeutiliste rakkude siirdamine ning patsiendi jälgimine</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51CDAEE" w14:textId="77777777" w:rsidR="00E10827" w:rsidRPr="00687DE8" w:rsidRDefault="00E10827" w:rsidP="00E10827">
            <w:pPr>
              <w:spacing w:after="0" w:line="240" w:lineRule="auto"/>
              <w:jc w:val="center"/>
              <w:rPr>
                <w:szCs w:val="24"/>
              </w:rPr>
            </w:pPr>
            <w:r w:rsidRPr="00687DE8">
              <w:rPr>
                <w:szCs w:val="24"/>
              </w:rPr>
              <w:t>8102</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608065" w14:textId="5F187045" w:rsidR="00E64B37" w:rsidRPr="00687DE8" w:rsidRDefault="00A01CFF">
            <w:pPr>
              <w:spacing w:after="0"/>
              <w:jc w:val="center"/>
              <w:rPr>
                <w:szCs w:val="24"/>
              </w:rPr>
            </w:pPr>
            <w:r>
              <w:rPr>
                <w:color w:val="000000"/>
              </w:rPr>
              <w:t>1 046,81</w:t>
            </w:r>
          </w:p>
        </w:tc>
      </w:tr>
      <w:tr w:rsidR="00E10827" w:rsidRPr="00687DE8" w14:paraId="63050387" w14:textId="77777777" w:rsidTr="00934CCC">
        <w:trPr>
          <w:divId w:val="1316184749"/>
          <w:trHeight w:val="300"/>
        </w:trPr>
        <w:tc>
          <w:tcPr>
            <w:tcW w:w="67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337F21" w14:textId="77777777" w:rsidR="00E10827" w:rsidRPr="00687DE8" w:rsidRDefault="00E10827" w:rsidP="00E10827">
            <w:pPr>
              <w:spacing w:after="0" w:line="240" w:lineRule="auto"/>
              <w:rPr>
                <w:szCs w:val="24"/>
              </w:rPr>
            </w:pPr>
            <w:r w:rsidRPr="00687DE8">
              <w:rPr>
                <w:szCs w:val="24"/>
              </w:rPr>
              <w:t>Vereloome tüvirakkude ja terapeutiliste rakkude käitlemine ning säilitamine</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A0DC51" w14:textId="77777777" w:rsidR="00E10827" w:rsidRPr="00687DE8" w:rsidRDefault="00E10827" w:rsidP="00E10827">
            <w:pPr>
              <w:spacing w:after="0" w:line="240" w:lineRule="auto"/>
              <w:jc w:val="center"/>
              <w:rPr>
                <w:szCs w:val="24"/>
              </w:rPr>
            </w:pPr>
          </w:p>
          <w:p w14:paraId="43310CA2" w14:textId="77777777" w:rsidR="00E10827" w:rsidRPr="00687DE8" w:rsidRDefault="00E10827" w:rsidP="00E10827">
            <w:pPr>
              <w:spacing w:after="0" w:line="240" w:lineRule="auto"/>
              <w:jc w:val="center"/>
              <w:rPr>
                <w:szCs w:val="24"/>
              </w:rPr>
            </w:pPr>
            <w:r w:rsidRPr="00687DE8">
              <w:rPr>
                <w:szCs w:val="24"/>
              </w:rPr>
              <w:t>8103</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0136EF" w14:textId="4797E70D" w:rsidR="00E64B37" w:rsidRPr="00687DE8" w:rsidRDefault="00A01CFF">
            <w:pPr>
              <w:spacing w:after="0"/>
              <w:jc w:val="center"/>
              <w:rPr>
                <w:szCs w:val="24"/>
              </w:rPr>
            </w:pPr>
            <w:r>
              <w:rPr>
                <w:color w:val="000000"/>
              </w:rPr>
              <w:t>2 674,05</w:t>
            </w:r>
          </w:p>
        </w:tc>
      </w:tr>
      <w:tr w:rsidR="00E10827" w:rsidRPr="00687DE8" w14:paraId="101D9BB3" w14:textId="77777777" w:rsidTr="00934CCC">
        <w:trPr>
          <w:divId w:val="1316184749"/>
          <w:trHeight w:val="300"/>
        </w:trPr>
        <w:tc>
          <w:tcPr>
            <w:tcW w:w="67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653386" w14:textId="77777777" w:rsidR="00E10827" w:rsidRPr="00687DE8" w:rsidRDefault="00E10827" w:rsidP="00E10827">
            <w:pPr>
              <w:spacing w:after="0" w:line="240" w:lineRule="auto"/>
              <w:rPr>
                <w:szCs w:val="24"/>
              </w:rPr>
            </w:pPr>
            <w:r w:rsidRPr="00687DE8">
              <w:rPr>
                <w:szCs w:val="24"/>
              </w:rPr>
              <w:t>Luuüdi kogumine</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768196" w14:textId="77777777" w:rsidR="00E10827" w:rsidRPr="00687DE8" w:rsidRDefault="00E10827" w:rsidP="00E10827">
            <w:pPr>
              <w:spacing w:after="0" w:line="240" w:lineRule="auto"/>
              <w:jc w:val="center"/>
              <w:rPr>
                <w:szCs w:val="24"/>
              </w:rPr>
            </w:pPr>
            <w:r w:rsidRPr="00687DE8">
              <w:rPr>
                <w:szCs w:val="24"/>
              </w:rPr>
              <w:t>8104</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BF5381" w14:textId="2987AB5A" w:rsidR="00E64B37" w:rsidRPr="00687DE8" w:rsidRDefault="00A01CFF">
            <w:pPr>
              <w:spacing w:after="0"/>
              <w:jc w:val="center"/>
              <w:rPr>
                <w:szCs w:val="24"/>
              </w:rPr>
            </w:pPr>
            <w:r>
              <w:rPr>
                <w:color w:val="000000"/>
              </w:rPr>
              <w:t>673,86</w:t>
            </w:r>
          </w:p>
        </w:tc>
      </w:tr>
      <w:tr w:rsidR="00E10827" w:rsidRPr="00687DE8" w14:paraId="60066B2D" w14:textId="77777777" w:rsidTr="00934CCC">
        <w:trPr>
          <w:divId w:val="1316184749"/>
          <w:trHeight w:val="300"/>
        </w:trPr>
        <w:tc>
          <w:tcPr>
            <w:tcW w:w="67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EADFD8" w14:textId="77777777" w:rsidR="00E10827" w:rsidRPr="00687DE8" w:rsidRDefault="00E10827" w:rsidP="00E10827">
            <w:pPr>
              <w:spacing w:after="0" w:line="240" w:lineRule="auto"/>
              <w:rPr>
                <w:szCs w:val="24"/>
              </w:rPr>
            </w:pPr>
            <w:r w:rsidRPr="00687DE8">
              <w:rPr>
                <w:szCs w:val="24"/>
              </w:rPr>
              <w:t>Vereloome tüvirakkude/terapeutiliste rakkude aferees</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9A35AF" w14:textId="77777777" w:rsidR="00E10827" w:rsidRPr="00687DE8" w:rsidRDefault="00E10827" w:rsidP="00E10827">
            <w:pPr>
              <w:spacing w:after="0" w:line="240" w:lineRule="auto"/>
              <w:jc w:val="center"/>
              <w:rPr>
                <w:szCs w:val="24"/>
              </w:rPr>
            </w:pPr>
            <w:r w:rsidRPr="00687DE8">
              <w:rPr>
                <w:szCs w:val="24"/>
              </w:rPr>
              <w:t>8105</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DCBC98" w14:textId="54C55610" w:rsidR="00E64B37" w:rsidRPr="00687DE8" w:rsidRDefault="00A01CFF">
            <w:pPr>
              <w:spacing w:after="0"/>
              <w:jc w:val="center"/>
              <w:rPr>
                <w:szCs w:val="24"/>
              </w:rPr>
            </w:pPr>
            <w:r>
              <w:rPr>
                <w:color w:val="000000"/>
              </w:rPr>
              <w:t>866,73</w:t>
            </w:r>
          </w:p>
        </w:tc>
      </w:tr>
      <w:tr w:rsidR="00E10827" w:rsidRPr="00687DE8" w14:paraId="2DAD6E9E" w14:textId="77777777" w:rsidTr="00934CCC">
        <w:trPr>
          <w:divId w:val="1316184749"/>
          <w:trHeight w:val="300"/>
        </w:trPr>
        <w:tc>
          <w:tcPr>
            <w:tcW w:w="67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4A7CCE" w14:textId="77777777" w:rsidR="00E10827" w:rsidRPr="00687DE8" w:rsidRDefault="00E10827" w:rsidP="00E10827">
            <w:pPr>
              <w:spacing w:after="0" w:line="240" w:lineRule="auto"/>
              <w:rPr>
                <w:szCs w:val="24"/>
              </w:rPr>
            </w:pPr>
            <w:r w:rsidRPr="00687DE8">
              <w:rPr>
                <w:szCs w:val="24"/>
              </w:rPr>
              <w:t>Luuüdi separeerimine rakuseparaatoril</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A2D469" w14:textId="77777777" w:rsidR="00E10827" w:rsidRPr="00687DE8" w:rsidRDefault="00E10827" w:rsidP="00E10827">
            <w:pPr>
              <w:spacing w:after="0" w:line="240" w:lineRule="auto"/>
              <w:jc w:val="center"/>
              <w:rPr>
                <w:szCs w:val="24"/>
              </w:rPr>
            </w:pPr>
            <w:r w:rsidRPr="00687DE8">
              <w:rPr>
                <w:szCs w:val="24"/>
              </w:rPr>
              <w:t>8106</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734E4" w14:textId="318390C2" w:rsidR="00E64B37" w:rsidRPr="00687DE8" w:rsidRDefault="00A01CFF">
            <w:pPr>
              <w:spacing w:after="0"/>
              <w:jc w:val="center"/>
              <w:rPr>
                <w:szCs w:val="24"/>
              </w:rPr>
            </w:pPr>
            <w:r>
              <w:rPr>
                <w:color w:val="000000"/>
              </w:rPr>
              <w:t>479,48</w:t>
            </w:r>
          </w:p>
        </w:tc>
      </w:tr>
      <w:tr w:rsidR="00A06B07" w:rsidRPr="00687DE8" w14:paraId="2DD7703A" w14:textId="77777777" w:rsidTr="00934CCC">
        <w:trPr>
          <w:divId w:val="1316184749"/>
          <w:trHeight w:val="300"/>
        </w:trPr>
        <w:tc>
          <w:tcPr>
            <w:tcW w:w="67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796F73" w14:textId="77777777" w:rsidR="00A06B07" w:rsidRPr="00687DE8" w:rsidRDefault="00A06B07" w:rsidP="00A06B07">
            <w:pPr>
              <w:spacing w:after="0" w:line="240" w:lineRule="auto"/>
              <w:rPr>
                <w:szCs w:val="24"/>
              </w:rPr>
            </w:pPr>
            <w:r w:rsidRPr="00687DE8">
              <w:rPr>
                <w:szCs w:val="24"/>
              </w:rPr>
              <w:t>Vereloome tüvirakkudest αβ-T- ja B-rakkude eemaldamine</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B576A0" w14:textId="77777777" w:rsidR="00A06B07" w:rsidRPr="00687DE8" w:rsidRDefault="00A06B07" w:rsidP="00A06B07">
            <w:pPr>
              <w:spacing w:after="0" w:line="240" w:lineRule="auto"/>
              <w:jc w:val="center"/>
              <w:rPr>
                <w:szCs w:val="24"/>
              </w:rPr>
            </w:pPr>
            <w:r w:rsidRPr="00687DE8">
              <w:rPr>
                <w:szCs w:val="24"/>
              </w:rPr>
              <w:t>8107</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778D0F" w14:textId="1F55405D" w:rsidR="00A06B07" w:rsidRPr="00687DE8" w:rsidRDefault="00A01CFF">
            <w:pPr>
              <w:spacing w:after="0"/>
              <w:jc w:val="center"/>
              <w:rPr>
                <w:szCs w:val="24"/>
              </w:rPr>
            </w:pPr>
            <w:r>
              <w:rPr>
                <w:color w:val="000000"/>
              </w:rPr>
              <w:t>25 410,90</w:t>
            </w:r>
          </w:p>
        </w:tc>
      </w:tr>
      <w:tr w:rsidR="00A06B07" w:rsidRPr="00687DE8" w14:paraId="2E2E22C7" w14:textId="77777777" w:rsidTr="00934CCC">
        <w:trPr>
          <w:divId w:val="1316184749"/>
          <w:trHeight w:val="300"/>
        </w:trPr>
        <w:tc>
          <w:tcPr>
            <w:tcW w:w="67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92089" w14:textId="77777777" w:rsidR="00A06B07" w:rsidRPr="00687DE8" w:rsidRDefault="00A06B07" w:rsidP="00A06B07">
            <w:pPr>
              <w:spacing w:after="0" w:line="240" w:lineRule="auto"/>
              <w:rPr>
                <w:szCs w:val="24"/>
              </w:rPr>
            </w:pPr>
            <w:r w:rsidRPr="00687DE8">
              <w:rPr>
                <w:szCs w:val="24"/>
              </w:rPr>
              <w:t>Vereloome tüvirakkude CD34 positiivsete rakkudega küllastamine</w:t>
            </w:r>
          </w:p>
        </w:tc>
        <w:tc>
          <w:tcPr>
            <w:tcW w:w="10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61FBD7" w14:textId="77777777" w:rsidR="00A06B07" w:rsidRPr="00687DE8" w:rsidRDefault="00A06B07" w:rsidP="00A06B07">
            <w:pPr>
              <w:spacing w:after="0" w:line="240" w:lineRule="auto"/>
              <w:jc w:val="center"/>
              <w:rPr>
                <w:szCs w:val="24"/>
              </w:rPr>
            </w:pPr>
            <w:r w:rsidRPr="00687DE8">
              <w:rPr>
                <w:szCs w:val="24"/>
              </w:rPr>
              <w:t>8108</w:t>
            </w:r>
          </w:p>
        </w:tc>
        <w:tc>
          <w:tcPr>
            <w:tcW w:w="159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5EB289" w14:textId="30BC91C1" w:rsidR="00A06B07" w:rsidRPr="00687DE8" w:rsidRDefault="00A01CFF">
            <w:pPr>
              <w:spacing w:after="0"/>
              <w:jc w:val="center"/>
              <w:rPr>
                <w:szCs w:val="24"/>
              </w:rPr>
            </w:pPr>
            <w:r>
              <w:rPr>
                <w:color w:val="000000"/>
              </w:rPr>
              <w:t>12 475,70</w:t>
            </w:r>
          </w:p>
        </w:tc>
      </w:tr>
    </w:tbl>
    <w:p w14:paraId="3AF90409" w14:textId="77777777" w:rsidR="00976487" w:rsidRPr="00687DE8" w:rsidRDefault="00976487" w:rsidP="00976487">
      <w:pPr>
        <w:spacing w:after="0" w:line="240" w:lineRule="auto"/>
        <w:jc w:val="both"/>
        <w:divId w:val="1316184749"/>
        <w:rPr>
          <w:szCs w:val="24"/>
        </w:rPr>
      </w:pPr>
    </w:p>
    <w:p w14:paraId="7E1C9BA4" w14:textId="346DC552" w:rsidR="00976487" w:rsidRPr="00687DE8" w:rsidRDefault="4FFB3994" w:rsidP="00976487">
      <w:pPr>
        <w:spacing w:after="0" w:line="240" w:lineRule="auto"/>
        <w:jc w:val="both"/>
        <w:divId w:val="1316184749"/>
        <w:rPr>
          <w:szCs w:val="24"/>
        </w:rPr>
      </w:pPr>
      <w:r w:rsidRPr="00687DE8">
        <w:rPr>
          <w:szCs w:val="24"/>
        </w:rPr>
        <w:t xml:space="preserve">(2) </w:t>
      </w:r>
      <w:r w:rsidR="005023FD" w:rsidRPr="00687DE8">
        <w:rPr>
          <w:szCs w:val="24"/>
        </w:rPr>
        <w:t>Tervisekassa</w:t>
      </w:r>
      <w:r w:rsidRPr="00687DE8">
        <w:rPr>
          <w:szCs w:val="24"/>
        </w:rPr>
        <w:t xml:space="preserve"> võtab koodidega 8101–810</w:t>
      </w:r>
      <w:r w:rsidR="00C22405" w:rsidRPr="00687DE8">
        <w:rPr>
          <w:szCs w:val="24"/>
        </w:rPr>
        <w:t>3, 8107 ja 8108</w:t>
      </w:r>
      <w:r w:rsidRPr="00687DE8">
        <w:rPr>
          <w:szCs w:val="24"/>
        </w:rPr>
        <w:t xml:space="preserve"> tähistatud tervishoiuteenuste eest tasu maksmise kohustuse üle, kui teenust on osutanud tervishoiuteenuse osutaja, kellel on rakkude, kudede ja elundite hankimise, käitlemise ja siirdamise seaduse alusel välja antud sellekohane tegevusluba.</w:t>
      </w:r>
    </w:p>
    <w:p w14:paraId="2A8BE2A2" w14:textId="77777777" w:rsidR="00976487" w:rsidRPr="00687DE8" w:rsidRDefault="00976487" w:rsidP="00976487">
      <w:pPr>
        <w:spacing w:after="0" w:line="240" w:lineRule="auto"/>
        <w:jc w:val="both"/>
        <w:divId w:val="1316184749"/>
        <w:rPr>
          <w:szCs w:val="24"/>
        </w:rPr>
      </w:pPr>
    </w:p>
    <w:p w14:paraId="538224A9" w14:textId="77777777" w:rsidR="00976487" w:rsidRPr="00687DE8" w:rsidRDefault="00976487" w:rsidP="00976487">
      <w:pPr>
        <w:spacing w:after="0" w:line="240" w:lineRule="auto"/>
        <w:jc w:val="both"/>
        <w:divId w:val="1316184749"/>
        <w:rPr>
          <w:szCs w:val="24"/>
        </w:rPr>
      </w:pPr>
      <w:r w:rsidRPr="00687DE8">
        <w:rPr>
          <w:szCs w:val="24"/>
        </w:rPr>
        <w:lastRenderedPageBreak/>
        <w:t>(3) Koodiga 8103 tähistatud tervishoiuteenust rakendatakse koos koodiga 2962L tähistatud tervishoiuteenusega kuni kuus korda.</w:t>
      </w:r>
    </w:p>
    <w:p w14:paraId="42C54FFF" w14:textId="77777777" w:rsidR="00976487" w:rsidRPr="00687DE8" w:rsidRDefault="00976487" w:rsidP="00976487">
      <w:pPr>
        <w:spacing w:after="0" w:line="240" w:lineRule="auto"/>
        <w:jc w:val="center"/>
        <w:outlineLvl w:val="1"/>
        <w:divId w:val="1316184749"/>
        <w:rPr>
          <w:b/>
          <w:bCs/>
          <w:szCs w:val="24"/>
        </w:rPr>
      </w:pPr>
    </w:p>
    <w:p w14:paraId="269AB2FE" w14:textId="77777777" w:rsidR="00976487" w:rsidRPr="00687DE8" w:rsidRDefault="00976487" w:rsidP="00976487">
      <w:pPr>
        <w:spacing w:after="0" w:line="240" w:lineRule="auto"/>
        <w:jc w:val="center"/>
        <w:outlineLvl w:val="1"/>
        <w:divId w:val="1316184749"/>
        <w:rPr>
          <w:b/>
          <w:bCs/>
          <w:szCs w:val="24"/>
        </w:rPr>
      </w:pPr>
      <w:r w:rsidRPr="00687DE8">
        <w:rPr>
          <w:b/>
          <w:bCs/>
          <w:szCs w:val="24"/>
        </w:rPr>
        <w:t xml:space="preserve">5. peatükk </w:t>
      </w:r>
      <w:r w:rsidRPr="00687DE8">
        <w:rPr>
          <w:b/>
          <w:bCs/>
          <w:szCs w:val="24"/>
        </w:rPr>
        <w:br/>
        <w:t>Kompleksteenused</w:t>
      </w:r>
    </w:p>
    <w:p w14:paraId="17D18D72" w14:textId="77777777" w:rsidR="00976487" w:rsidRPr="00687DE8" w:rsidRDefault="00976487" w:rsidP="00976487">
      <w:pPr>
        <w:spacing w:after="0" w:line="240" w:lineRule="auto"/>
        <w:jc w:val="both"/>
        <w:outlineLvl w:val="2"/>
        <w:divId w:val="1316184749"/>
        <w:rPr>
          <w:b/>
          <w:bCs/>
          <w:szCs w:val="24"/>
        </w:rPr>
      </w:pPr>
    </w:p>
    <w:p w14:paraId="5D2C19B7" w14:textId="016F0515" w:rsidR="00976487" w:rsidRDefault="00976487" w:rsidP="00976487">
      <w:pPr>
        <w:spacing w:after="0" w:line="240" w:lineRule="auto"/>
        <w:jc w:val="both"/>
        <w:outlineLvl w:val="2"/>
        <w:divId w:val="1316184749"/>
        <w:rPr>
          <w:b/>
          <w:szCs w:val="24"/>
        </w:rPr>
      </w:pPr>
      <w:r w:rsidRPr="00687DE8">
        <w:rPr>
          <w:b/>
          <w:szCs w:val="24"/>
        </w:rPr>
        <w:t>§ 4</w:t>
      </w:r>
      <w:r w:rsidR="00296746" w:rsidRPr="00687DE8">
        <w:rPr>
          <w:b/>
          <w:szCs w:val="24"/>
        </w:rPr>
        <w:t>6</w:t>
      </w:r>
      <w:r w:rsidRPr="00687DE8">
        <w:rPr>
          <w:b/>
          <w:szCs w:val="24"/>
        </w:rPr>
        <w:t>. Teenusepõhiste kompleksteenuste piirhinnad</w:t>
      </w:r>
    </w:p>
    <w:p w14:paraId="1F67E26A" w14:textId="77777777" w:rsidR="005332E6" w:rsidRDefault="005332E6" w:rsidP="00976487">
      <w:pPr>
        <w:spacing w:after="0" w:line="240" w:lineRule="auto"/>
        <w:jc w:val="both"/>
        <w:divId w:val="1316184749"/>
        <w:rPr>
          <w:szCs w:val="24"/>
        </w:rPr>
      </w:pPr>
    </w:p>
    <w:p w14:paraId="7FE3705F" w14:textId="2275E1E5" w:rsidR="00976487" w:rsidRPr="00687DE8" w:rsidRDefault="00976487" w:rsidP="00976487">
      <w:pPr>
        <w:spacing w:after="0" w:line="240" w:lineRule="auto"/>
        <w:jc w:val="both"/>
        <w:divId w:val="1316184749"/>
        <w:rPr>
          <w:szCs w:val="24"/>
        </w:rPr>
      </w:pPr>
      <w:r w:rsidRPr="00687DE8">
        <w:rPr>
          <w:szCs w:val="24"/>
        </w:rPr>
        <w:t>(1) Teenusepõhiste kompleksteenuste piirhinnad on järgmised:</w:t>
      </w:r>
    </w:p>
    <w:p w14:paraId="535AE61F" w14:textId="77777777" w:rsidR="00976487" w:rsidRPr="00687DE8" w:rsidRDefault="00976487" w:rsidP="00976487">
      <w:pPr>
        <w:spacing w:after="0" w:line="240" w:lineRule="auto"/>
        <w:jc w:val="both"/>
        <w:divId w:val="1316184749"/>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287"/>
        <w:gridCol w:w="2408"/>
      </w:tblGrid>
      <w:tr w:rsidR="00976487" w:rsidRPr="00687DE8" w14:paraId="192F78D6" w14:textId="77777777" w:rsidTr="00BA26B9">
        <w:trPr>
          <w:divId w:val="1316184749"/>
          <w:tblHeader/>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3B059B" w14:textId="77777777" w:rsidR="00976487" w:rsidRPr="00687DE8" w:rsidRDefault="00976487">
            <w:pPr>
              <w:spacing w:after="0" w:line="240" w:lineRule="auto"/>
              <w:jc w:val="center"/>
              <w:rPr>
                <w:szCs w:val="24"/>
              </w:rPr>
            </w:pPr>
            <w:r w:rsidRPr="00687DE8">
              <w:rPr>
                <w:b/>
                <w:bCs/>
                <w:szCs w:val="24"/>
              </w:rPr>
              <w:t>Tervishoiuteenuse nimetus</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52FD0D" w14:textId="77777777" w:rsidR="00976487" w:rsidRPr="00687DE8" w:rsidRDefault="00976487">
            <w:pPr>
              <w:spacing w:after="0" w:line="240" w:lineRule="auto"/>
              <w:jc w:val="center"/>
              <w:rPr>
                <w:szCs w:val="24"/>
              </w:rPr>
            </w:pPr>
            <w:r w:rsidRPr="00687DE8">
              <w:rPr>
                <w:b/>
                <w:bCs/>
                <w:szCs w:val="24"/>
              </w:rPr>
              <w:t>Kood</w:t>
            </w:r>
          </w:p>
        </w:tc>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C2AB38" w14:textId="77777777" w:rsidR="00976487" w:rsidRPr="00687DE8" w:rsidRDefault="00976487">
            <w:pPr>
              <w:spacing w:after="0" w:line="240" w:lineRule="auto"/>
              <w:jc w:val="center"/>
              <w:rPr>
                <w:szCs w:val="24"/>
              </w:rPr>
            </w:pPr>
            <w:r w:rsidRPr="00687DE8">
              <w:rPr>
                <w:b/>
                <w:bCs/>
                <w:szCs w:val="24"/>
              </w:rPr>
              <w:t>Piirhind</w:t>
            </w:r>
            <w:r w:rsidRPr="00687DE8">
              <w:rPr>
                <w:b/>
                <w:bCs/>
                <w:szCs w:val="24"/>
              </w:rPr>
              <w:br/>
              <w:t>eurodes</w:t>
            </w:r>
          </w:p>
        </w:tc>
      </w:tr>
      <w:tr w:rsidR="0098476F" w:rsidRPr="00687DE8" w14:paraId="71B3BA4D"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3B5606" w14:textId="77777777" w:rsidR="0098476F" w:rsidRPr="00687DE8" w:rsidRDefault="0098476F" w:rsidP="0098476F">
            <w:pPr>
              <w:spacing w:after="0" w:line="240" w:lineRule="auto"/>
              <w:rPr>
                <w:szCs w:val="24"/>
              </w:rPr>
            </w:pPr>
            <w:r w:rsidRPr="00687DE8">
              <w:rPr>
                <w:szCs w:val="24"/>
              </w:rPr>
              <w:t>Silma lokaalne kiiritusravi beeta-aplikaatoriga (Ru-106)</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8600B6E" w14:textId="77777777" w:rsidR="0098476F" w:rsidRPr="00687DE8" w:rsidRDefault="0098476F" w:rsidP="0098476F">
            <w:pPr>
              <w:spacing w:after="0" w:line="240" w:lineRule="auto"/>
              <w:jc w:val="center"/>
              <w:rPr>
                <w:szCs w:val="24"/>
              </w:rPr>
            </w:pPr>
            <w:r w:rsidRPr="00687DE8">
              <w:rPr>
                <w:szCs w:val="24"/>
              </w:rPr>
              <w:t>2202K</w:t>
            </w:r>
          </w:p>
        </w:tc>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97B3AE" w14:textId="4D3064F1" w:rsidR="431CF512" w:rsidRPr="00687DE8" w:rsidRDefault="00C027EF">
            <w:pPr>
              <w:spacing w:after="0"/>
              <w:jc w:val="center"/>
              <w:rPr>
                <w:color w:val="000000" w:themeColor="text1"/>
                <w:szCs w:val="24"/>
              </w:rPr>
            </w:pPr>
            <w:r>
              <w:rPr>
                <w:color w:val="000000"/>
              </w:rPr>
              <w:t>2 803,76</w:t>
            </w:r>
          </w:p>
        </w:tc>
      </w:tr>
      <w:tr w:rsidR="0098476F" w:rsidRPr="00687DE8" w14:paraId="765319BF" w14:textId="77777777" w:rsidTr="00934CCC">
        <w:trPr>
          <w:divId w:val="1316184749"/>
          <w:trHeight w:val="188"/>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FF0DDE" w14:textId="77777777" w:rsidR="0098476F" w:rsidRPr="00687DE8" w:rsidRDefault="0098476F" w:rsidP="0098476F">
            <w:pPr>
              <w:spacing w:after="0" w:line="240" w:lineRule="auto"/>
              <w:rPr>
                <w:szCs w:val="24"/>
              </w:rPr>
            </w:pPr>
            <w:r w:rsidRPr="00687DE8">
              <w:rPr>
                <w:szCs w:val="24"/>
              </w:rPr>
              <w:t>Füsioloogiline sünnitus</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C3B4B8" w14:textId="77777777" w:rsidR="0098476F" w:rsidRPr="00687DE8" w:rsidRDefault="0098476F" w:rsidP="0098476F">
            <w:pPr>
              <w:spacing w:after="0" w:line="240" w:lineRule="auto"/>
              <w:jc w:val="center"/>
              <w:rPr>
                <w:szCs w:val="24"/>
              </w:rPr>
            </w:pPr>
            <w:r w:rsidRPr="00687DE8">
              <w:rPr>
                <w:szCs w:val="24"/>
              </w:rPr>
              <w:t xml:space="preserve">2290K </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67CF23" w14:textId="549D447F" w:rsidR="431CF512" w:rsidRPr="00687DE8" w:rsidRDefault="00C027EF">
            <w:pPr>
              <w:spacing w:after="0"/>
              <w:jc w:val="center"/>
              <w:rPr>
                <w:color w:val="000000" w:themeColor="text1"/>
                <w:szCs w:val="24"/>
              </w:rPr>
            </w:pPr>
            <w:r>
              <w:rPr>
                <w:color w:val="000000"/>
              </w:rPr>
              <w:t>1 806,91</w:t>
            </w:r>
          </w:p>
        </w:tc>
      </w:tr>
      <w:tr w:rsidR="0098476F" w:rsidRPr="00687DE8" w14:paraId="41603BA8"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0FBAF5" w14:textId="77777777" w:rsidR="0098476F" w:rsidRPr="00687DE8" w:rsidRDefault="0098476F" w:rsidP="0098476F">
            <w:pPr>
              <w:spacing w:after="0" w:line="240" w:lineRule="auto"/>
              <w:rPr>
                <w:szCs w:val="24"/>
              </w:rPr>
            </w:pPr>
            <w:r w:rsidRPr="00687DE8">
              <w:rPr>
                <w:szCs w:val="24"/>
              </w:rPr>
              <w:t>Erakorralise keisrilõikega lõppev füsioloogiline sünnitus</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056FD0" w14:textId="77777777" w:rsidR="00CF197B" w:rsidRDefault="00CF197B" w:rsidP="0098476F">
            <w:pPr>
              <w:spacing w:after="0" w:line="240" w:lineRule="auto"/>
              <w:jc w:val="center"/>
              <w:rPr>
                <w:szCs w:val="24"/>
              </w:rPr>
            </w:pPr>
          </w:p>
          <w:p w14:paraId="0F842B8A" w14:textId="40A67C90" w:rsidR="0098476F" w:rsidRPr="00687DE8" w:rsidRDefault="0098476F" w:rsidP="0098476F">
            <w:pPr>
              <w:spacing w:after="0" w:line="240" w:lineRule="auto"/>
              <w:jc w:val="center"/>
              <w:rPr>
                <w:szCs w:val="24"/>
              </w:rPr>
            </w:pPr>
            <w:r w:rsidRPr="00687DE8">
              <w:rPr>
                <w:szCs w:val="24"/>
              </w:rPr>
              <w:t>2291K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CD8BE4" w14:textId="305998E6" w:rsidR="431CF512" w:rsidRPr="00687DE8" w:rsidRDefault="00C027EF">
            <w:pPr>
              <w:spacing w:after="0"/>
              <w:jc w:val="center"/>
              <w:rPr>
                <w:color w:val="000000" w:themeColor="text1"/>
                <w:szCs w:val="24"/>
              </w:rPr>
            </w:pPr>
            <w:r>
              <w:rPr>
                <w:color w:val="000000"/>
              </w:rPr>
              <w:t>473,03</w:t>
            </w:r>
          </w:p>
        </w:tc>
      </w:tr>
      <w:tr w:rsidR="0098476F" w:rsidRPr="00687DE8" w14:paraId="68B6DABE" w14:textId="77777777" w:rsidTr="00D30B8D">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DD6B3C" w14:textId="40DB6AA7" w:rsidR="0098476F" w:rsidRPr="00687DE8" w:rsidRDefault="17CBF2EB" w:rsidP="0098476F">
            <w:pPr>
              <w:spacing w:after="0" w:line="240" w:lineRule="auto"/>
            </w:pPr>
            <w:r>
              <w:t>Sisekõrvaimplantatsioon</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0DFF7E" w14:textId="709422DD" w:rsidR="0098476F" w:rsidRPr="00687DE8" w:rsidRDefault="3947A423" w:rsidP="0098476F">
            <w:pPr>
              <w:spacing w:after="0" w:line="240" w:lineRule="auto"/>
              <w:jc w:val="center"/>
            </w:pPr>
            <w:r>
              <w:t>227</w:t>
            </w:r>
            <w:r w:rsidR="313D760C">
              <w:t>8</w:t>
            </w:r>
            <w:r>
              <w:t>K</w:t>
            </w:r>
          </w:p>
        </w:tc>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7453E9" w14:textId="784B8472" w:rsidR="0001188C" w:rsidRPr="00687DE8" w:rsidRDefault="0001188C" w:rsidP="00C027EF">
            <w:pPr>
              <w:spacing w:after="0"/>
              <w:jc w:val="center"/>
              <w:rPr>
                <w:color w:val="000000" w:themeColor="text1"/>
              </w:rPr>
            </w:pPr>
          </w:p>
          <w:p w14:paraId="20A1A022" w14:textId="77777777" w:rsidR="0001188C" w:rsidRPr="0001188C" w:rsidRDefault="0001188C" w:rsidP="0001188C">
            <w:pPr>
              <w:spacing w:after="0"/>
              <w:jc w:val="center"/>
              <w:rPr>
                <w:color w:val="000000"/>
              </w:rPr>
            </w:pPr>
            <w:r w:rsidRPr="0001188C">
              <w:rPr>
                <w:color w:val="000000"/>
              </w:rPr>
              <w:t>23 295,52</w:t>
            </w:r>
          </w:p>
          <w:p w14:paraId="2E7492B8" w14:textId="2B246CF2" w:rsidR="431CF512" w:rsidRPr="00687DE8" w:rsidRDefault="431CF512">
            <w:pPr>
              <w:spacing w:after="0"/>
              <w:jc w:val="center"/>
              <w:rPr>
                <w:color w:val="000000" w:themeColor="text1"/>
              </w:rPr>
            </w:pPr>
          </w:p>
        </w:tc>
      </w:tr>
      <w:tr w:rsidR="0098476F" w:rsidRPr="00687DE8" w14:paraId="48671D60"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F2A2E9" w14:textId="77777777" w:rsidR="0098476F" w:rsidRPr="00687DE8" w:rsidRDefault="0098476F" w:rsidP="0098476F">
            <w:pPr>
              <w:spacing w:after="0" w:line="240" w:lineRule="auto"/>
              <w:rPr>
                <w:szCs w:val="24"/>
              </w:rPr>
            </w:pPr>
            <w:r w:rsidRPr="00687DE8">
              <w:rPr>
                <w:szCs w:val="24"/>
              </w:rPr>
              <w:t>Luukuulmisimplantatsioon</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609018" w14:textId="42689CDB" w:rsidR="0098476F" w:rsidRPr="00687DE8" w:rsidRDefault="3947A423" w:rsidP="0098476F">
            <w:pPr>
              <w:spacing w:after="0" w:line="240" w:lineRule="auto"/>
              <w:jc w:val="center"/>
            </w:pPr>
            <w:r>
              <w:t>22</w:t>
            </w:r>
            <w:r w:rsidR="6548C099">
              <w:t>79</w:t>
            </w:r>
            <w:r>
              <w:t>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2E4DBA" w14:textId="042501E7" w:rsidR="0001188C" w:rsidRPr="00687DE8" w:rsidRDefault="0001188C" w:rsidP="00C027EF">
            <w:pPr>
              <w:spacing w:after="0"/>
              <w:jc w:val="center"/>
              <w:rPr>
                <w:color w:val="000000" w:themeColor="text1"/>
              </w:rPr>
            </w:pPr>
          </w:p>
          <w:p w14:paraId="20D7AA15" w14:textId="53DD7B10" w:rsidR="431CF512" w:rsidRPr="00EB7A71" w:rsidRDefault="0001188C">
            <w:pPr>
              <w:spacing w:after="0"/>
              <w:jc w:val="center"/>
              <w:rPr>
                <w:color w:val="000000"/>
              </w:rPr>
            </w:pPr>
            <w:r w:rsidRPr="0001188C">
              <w:rPr>
                <w:color w:val="000000"/>
              </w:rPr>
              <w:t>10 120,71</w:t>
            </w:r>
          </w:p>
        </w:tc>
      </w:tr>
      <w:tr w:rsidR="0098476F" w:rsidRPr="00687DE8" w14:paraId="3DD04628" w14:textId="77777777" w:rsidTr="00D30B8D">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DECCD5" w14:textId="77777777" w:rsidR="0098476F" w:rsidRPr="00687DE8" w:rsidRDefault="0098476F" w:rsidP="0098476F">
            <w:pPr>
              <w:spacing w:after="0" w:line="240" w:lineRule="auto"/>
              <w:rPr>
                <w:szCs w:val="24"/>
              </w:rPr>
            </w:pPr>
            <w:r w:rsidRPr="00687DE8">
              <w:rPr>
                <w:szCs w:val="24"/>
              </w:rPr>
              <w:t>Ööpäevaringse valmisoleku tagamine kvartalis ühe arstliku eriala kohta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64E2DE" w14:textId="77777777" w:rsidR="0098476F" w:rsidRPr="00687DE8" w:rsidRDefault="0098476F" w:rsidP="0098476F">
            <w:pPr>
              <w:spacing w:after="0" w:line="240" w:lineRule="auto"/>
              <w:jc w:val="center"/>
              <w:rPr>
                <w:szCs w:val="24"/>
              </w:rPr>
            </w:pPr>
          </w:p>
          <w:p w14:paraId="6560302B" w14:textId="77777777" w:rsidR="0098476F" w:rsidRPr="00687DE8" w:rsidRDefault="0098476F" w:rsidP="0098476F">
            <w:pPr>
              <w:spacing w:after="0" w:line="240" w:lineRule="auto"/>
              <w:jc w:val="center"/>
              <w:rPr>
                <w:szCs w:val="24"/>
              </w:rPr>
            </w:pPr>
            <w:r w:rsidRPr="00687DE8">
              <w:rPr>
                <w:szCs w:val="24"/>
              </w:rPr>
              <w:t>2280K</w:t>
            </w:r>
          </w:p>
        </w:tc>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4E2F84" w14:textId="1AC6B165" w:rsidR="431CF512" w:rsidRPr="00687DE8" w:rsidRDefault="00E72C70">
            <w:pPr>
              <w:spacing w:after="0"/>
              <w:jc w:val="center"/>
              <w:rPr>
                <w:color w:val="000000" w:themeColor="text1"/>
                <w:szCs w:val="24"/>
              </w:rPr>
            </w:pPr>
            <w:r>
              <w:rPr>
                <w:color w:val="000000"/>
              </w:rPr>
              <w:t>86 076,88</w:t>
            </w:r>
          </w:p>
        </w:tc>
      </w:tr>
      <w:tr w:rsidR="0098476F" w:rsidRPr="00687DE8" w14:paraId="13F76833"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203788" w14:textId="77777777" w:rsidR="0098476F" w:rsidRPr="00687DE8" w:rsidRDefault="0098476F" w:rsidP="0098476F">
            <w:pPr>
              <w:spacing w:after="0" w:line="240" w:lineRule="auto"/>
              <w:rPr>
                <w:szCs w:val="24"/>
              </w:rPr>
            </w:pPr>
            <w:r w:rsidRPr="00687DE8">
              <w:rPr>
                <w:szCs w:val="24"/>
              </w:rPr>
              <w:t>Vältimatu hambaravi teenuse valmisoleku tagamine kvartalis pikendatud lahtioleku vältel</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FF55CA" w14:textId="77777777" w:rsidR="0098476F" w:rsidRPr="00687DE8" w:rsidRDefault="0098476F" w:rsidP="0098476F">
            <w:pPr>
              <w:spacing w:after="0" w:line="240" w:lineRule="auto"/>
              <w:jc w:val="center"/>
              <w:rPr>
                <w:szCs w:val="24"/>
              </w:rPr>
            </w:pPr>
          </w:p>
          <w:p w14:paraId="1E8B0A1D" w14:textId="77777777" w:rsidR="0098476F" w:rsidRPr="00687DE8" w:rsidRDefault="0098476F" w:rsidP="0098476F">
            <w:pPr>
              <w:spacing w:after="0" w:line="240" w:lineRule="auto"/>
              <w:jc w:val="center"/>
              <w:rPr>
                <w:szCs w:val="24"/>
              </w:rPr>
            </w:pPr>
            <w:r w:rsidRPr="00687DE8">
              <w:rPr>
                <w:szCs w:val="24"/>
              </w:rPr>
              <w:t>2285K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AB3FCB" w14:textId="53902530" w:rsidR="431CF512" w:rsidRPr="00687DE8" w:rsidRDefault="00E72C70">
            <w:pPr>
              <w:spacing w:after="0"/>
              <w:jc w:val="center"/>
              <w:rPr>
                <w:color w:val="000000" w:themeColor="text1"/>
                <w:szCs w:val="24"/>
              </w:rPr>
            </w:pPr>
            <w:r>
              <w:rPr>
                <w:color w:val="000000"/>
              </w:rPr>
              <w:t>8 752,27</w:t>
            </w:r>
          </w:p>
        </w:tc>
      </w:tr>
      <w:tr w:rsidR="0098476F" w:rsidRPr="00687DE8" w14:paraId="17E47234"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651F7B" w14:textId="77777777" w:rsidR="0098476F" w:rsidRPr="00687DE8" w:rsidRDefault="0098476F" w:rsidP="0098476F">
            <w:pPr>
              <w:spacing w:after="0" w:line="240" w:lineRule="auto"/>
              <w:rPr>
                <w:szCs w:val="24"/>
              </w:rPr>
            </w:pPr>
            <w:r w:rsidRPr="00687DE8">
              <w:rPr>
                <w:szCs w:val="24"/>
              </w:rPr>
              <w:t>Antiretroviirusravi konsiiliumi töö kvartalis</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7578F0" w14:textId="77777777" w:rsidR="0098476F" w:rsidRPr="00687DE8" w:rsidRDefault="0098476F" w:rsidP="0098476F">
            <w:pPr>
              <w:spacing w:after="0" w:line="240" w:lineRule="auto"/>
              <w:jc w:val="center"/>
              <w:rPr>
                <w:szCs w:val="24"/>
              </w:rPr>
            </w:pPr>
            <w:r w:rsidRPr="00687DE8">
              <w:rPr>
                <w:szCs w:val="24"/>
              </w:rPr>
              <w:t>2292K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5DA702" w14:textId="5BEF96CD" w:rsidR="431CF512" w:rsidRPr="00687DE8" w:rsidRDefault="00E72C70">
            <w:pPr>
              <w:spacing w:after="0"/>
              <w:jc w:val="center"/>
              <w:rPr>
                <w:color w:val="000000" w:themeColor="text1"/>
                <w:szCs w:val="24"/>
              </w:rPr>
            </w:pPr>
            <w:r>
              <w:rPr>
                <w:color w:val="000000"/>
              </w:rPr>
              <w:t>5 994,30</w:t>
            </w:r>
          </w:p>
        </w:tc>
      </w:tr>
      <w:tr w:rsidR="0098476F" w:rsidRPr="00687DE8" w14:paraId="26D7A991"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5D7D95" w14:textId="77777777" w:rsidR="0098476F" w:rsidRPr="00687DE8" w:rsidRDefault="0098476F" w:rsidP="0098476F">
            <w:pPr>
              <w:spacing w:after="0" w:line="240" w:lineRule="auto"/>
              <w:rPr>
                <w:szCs w:val="24"/>
              </w:rPr>
            </w:pPr>
            <w:r w:rsidRPr="00687DE8">
              <w:rPr>
                <w:szCs w:val="24"/>
              </w:rPr>
              <w:t>Siirdamiskeskuse ööpäevaringse valmisoleku tagamine kvartalis</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A7B742" w14:textId="77777777" w:rsidR="0098476F" w:rsidRPr="00687DE8" w:rsidRDefault="0098476F" w:rsidP="0098476F">
            <w:pPr>
              <w:spacing w:after="0" w:line="240" w:lineRule="auto"/>
              <w:jc w:val="center"/>
              <w:rPr>
                <w:szCs w:val="24"/>
              </w:rPr>
            </w:pPr>
          </w:p>
          <w:p w14:paraId="6C2E622C" w14:textId="77777777" w:rsidR="0098476F" w:rsidRPr="00687DE8" w:rsidRDefault="0098476F" w:rsidP="0098476F">
            <w:pPr>
              <w:spacing w:after="0" w:line="240" w:lineRule="auto"/>
              <w:jc w:val="center"/>
              <w:rPr>
                <w:szCs w:val="24"/>
              </w:rPr>
            </w:pPr>
            <w:r w:rsidRPr="00687DE8">
              <w:rPr>
                <w:szCs w:val="24"/>
              </w:rPr>
              <w:t>2295K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4C3739" w14:textId="117913B0" w:rsidR="431CF512" w:rsidRPr="00687DE8" w:rsidRDefault="00E72C70">
            <w:pPr>
              <w:spacing w:after="0"/>
              <w:jc w:val="center"/>
              <w:rPr>
                <w:color w:val="000000" w:themeColor="text1"/>
                <w:szCs w:val="24"/>
              </w:rPr>
            </w:pPr>
            <w:r>
              <w:rPr>
                <w:color w:val="000000"/>
              </w:rPr>
              <w:t>198 663,30</w:t>
            </w:r>
          </w:p>
        </w:tc>
      </w:tr>
      <w:tr w:rsidR="0098476F" w:rsidRPr="00687DE8" w14:paraId="7C0B3629"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90D95F" w14:textId="77777777" w:rsidR="0098476F" w:rsidRPr="00687DE8" w:rsidRDefault="0098476F" w:rsidP="0098476F">
            <w:pPr>
              <w:spacing w:after="0" w:line="240" w:lineRule="auto"/>
              <w:rPr>
                <w:szCs w:val="24"/>
              </w:rPr>
            </w:pPr>
            <w:r w:rsidRPr="00687DE8">
              <w:rPr>
                <w:szCs w:val="24"/>
              </w:rPr>
              <w:t>Ehhokardiograafia ööpäevaringse valmisoleku tagamine kardioloogia ja/või pediaatrilise kardioloogia erialal kvartalis</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EFE61B" w14:textId="77777777" w:rsidR="0098476F" w:rsidRPr="00687DE8" w:rsidRDefault="0098476F" w:rsidP="0098476F">
            <w:pPr>
              <w:spacing w:after="0" w:line="240" w:lineRule="auto"/>
              <w:jc w:val="center"/>
              <w:rPr>
                <w:szCs w:val="24"/>
              </w:rPr>
            </w:pPr>
          </w:p>
          <w:p w14:paraId="4B5B766B" w14:textId="77777777" w:rsidR="0098476F" w:rsidRPr="00687DE8" w:rsidRDefault="0098476F" w:rsidP="0098476F">
            <w:pPr>
              <w:spacing w:after="0" w:line="240" w:lineRule="auto"/>
              <w:jc w:val="center"/>
              <w:rPr>
                <w:szCs w:val="24"/>
              </w:rPr>
            </w:pPr>
            <w:r w:rsidRPr="00687DE8">
              <w:rPr>
                <w:szCs w:val="24"/>
              </w:rPr>
              <w:t>2296K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5FDDE66" w14:textId="6CF4F8EA" w:rsidR="431CF512" w:rsidRPr="00687DE8" w:rsidRDefault="00E72C70">
            <w:pPr>
              <w:spacing w:after="0"/>
              <w:jc w:val="center"/>
              <w:rPr>
                <w:color w:val="000000" w:themeColor="text1"/>
                <w:szCs w:val="24"/>
              </w:rPr>
            </w:pPr>
            <w:r>
              <w:rPr>
                <w:color w:val="000000"/>
              </w:rPr>
              <w:t>19 528,72</w:t>
            </w:r>
          </w:p>
        </w:tc>
      </w:tr>
      <w:tr w:rsidR="0098476F" w:rsidRPr="00687DE8" w14:paraId="06B13263"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29C558" w14:textId="77777777" w:rsidR="0098476F" w:rsidRPr="00687DE8" w:rsidRDefault="0098476F" w:rsidP="0098476F">
            <w:pPr>
              <w:spacing w:after="0" w:line="240" w:lineRule="auto"/>
              <w:rPr>
                <w:szCs w:val="24"/>
              </w:rPr>
            </w:pPr>
            <w:r w:rsidRPr="00687DE8">
              <w:rPr>
                <w:szCs w:val="24"/>
              </w:rPr>
              <w:t>Invasiivkardioloogia ööpäevaringse valmisoleku tagamine kvartalis</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84A3F3" w14:textId="77777777" w:rsidR="0098476F" w:rsidRPr="00687DE8" w:rsidRDefault="0098476F" w:rsidP="0098476F">
            <w:pPr>
              <w:spacing w:after="0" w:line="240" w:lineRule="auto"/>
              <w:jc w:val="center"/>
              <w:rPr>
                <w:szCs w:val="24"/>
              </w:rPr>
            </w:pPr>
          </w:p>
          <w:p w14:paraId="01927919" w14:textId="77777777" w:rsidR="0098476F" w:rsidRPr="00687DE8" w:rsidRDefault="0098476F" w:rsidP="0098476F">
            <w:pPr>
              <w:spacing w:after="0" w:line="240" w:lineRule="auto"/>
              <w:jc w:val="center"/>
              <w:rPr>
                <w:szCs w:val="24"/>
              </w:rPr>
            </w:pPr>
            <w:r w:rsidRPr="00687DE8">
              <w:rPr>
                <w:szCs w:val="24"/>
              </w:rPr>
              <w:t>2297K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26C9E90" w14:textId="0CFE08C5" w:rsidR="431CF512" w:rsidRPr="00687DE8" w:rsidRDefault="00E72C70">
            <w:pPr>
              <w:spacing w:after="0"/>
              <w:jc w:val="center"/>
              <w:rPr>
                <w:color w:val="000000" w:themeColor="text1"/>
                <w:szCs w:val="24"/>
              </w:rPr>
            </w:pPr>
            <w:r>
              <w:rPr>
                <w:color w:val="000000"/>
              </w:rPr>
              <w:t>96 182,55</w:t>
            </w:r>
          </w:p>
        </w:tc>
      </w:tr>
      <w:tr w:rsidR="00D63809" w:rsidRPr="00687DE8" w14:paraId="3677693B" w14:textId="77777777" w:rsidTr="00D30B8D">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E6A940" w14:textId="36864579" w:rsidR="00D63809" w:rsidRPr="00687DE8" w:rsidRDefault="00F55210" w:rsidP="00740F6D">
            <w:pPr>
              <w:spacing w:after="0" w:line="240" w:lineRule="auto"/>
              <w:rPr>
                <w:szCs w:val="24"/>
              </w:rPr>
            </w:pPr>
            <w:r w:rsidRPr="00687DE8">
              <w:rPr>
                <w:szCs w:val="24"/>
              </w:rPr>
              <w:t xml:space="preserve">Arstliku ekspertiisi </w:t>
            </w:r>
            <w:r w:rsidR="007D672D" w:rsidRPr="00687DE8">
              <w:rPr>
                <w:szCs w:val="24"/>
              </w:rPr>
              <w:t>multidistsiplinaar</w:t>
            </w:r>
            <w:r w:rsidR="00C76B89" w:rsidRPr="00687DE8">
              <w:rPr>
                <w:szCs w:val="24"/>
              </w:rPr>
              <w:t>s</w:t>
            </w:r>
            <w:r w:rsidR="007D672D" w:rsidRPr="00687DE8">
              <w:rPr>
                <w:szCs w:val="24"/>
              </w:rPr>
              <w:t>e eks</w:t>
            </w:r>
            <w:r w:rsidR="00C010E1" w:rsidRPr="00687DE8">
              <w:rPr>
                <w:szCs w:val="24"/>
              </w:rPr>
              <w:t>p</w:t>
            </w:r>
            <w:r w:rsidR="007D672D" w:rsidRPr="00687DE8">
              <w:rPr>
                <w:szCs w:val="24"/>
              </w:rPr>
              <w:t>erdikomisjon</w:t>
            </w:r>
            <w:r w:rsidR="00D313CA" w:rsidRPr="00687DE8">
              <w:rPr>
                <w:szCs w:val="24"/>
              </w:rPr>
              <w:t xml:space="preserve">i </w:t>
            </w:r>
            <w:r w:rsidR="00C25198" w:rsidRPr="00687DE8">
              <w:rPr>
                <w:szCs w:val="24"/>
              </w:rPr>
              <w:t>(AEK)</w:t>
            </w:r>
            <w:r w:rsidR="00D313CA" w:rsidRPr="00687DE8">
              <w:rPr>
                <w:szCs w:val="24"/>
              </w:rPr>
              <w:t xml:space="preserve"> </w:t>
            </w:r>
            <w:r w:rsidR="007050F3" w:rsidRPr="00687DE8">
              <w:rPr>
                <w:szCs w:val="24"/>
              </w:rPr>
              <w:t>töö</w:t>
            </w:r>
            <w:r w:rsidR="00214F43" w:rsidRPr="00687DE8">
              <w:rPr>
                <w:szCs w:val="24"/>
              </w:rPr>
              <w:t xml:space="preserve"> </w:t>
            </w:r>
            <w:r w:rsidR="008B4FBA" w:rsidRPr="00687DE8">
              <w:rPr>
                <w:szCs w:val="24"/>
              </w:rPr>
              <w:t>kuus</w:t>
            </w:r>
            <w:r w:rsidR="007D672D" w:rsidRPr="00687DE8">
              <w:rPr>
                <w:szCs w:val="24"/>
              </w:rPr>
              <w:t xml:space="preserve"> </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87BABF" w14:textId="77777777" w:rsidR="00CF197B" w:rsidRDefault="00CF197B" w:rsidP="00740F6D">
            <w:pPr>
              <w:spacing w:after="0" w:line="240" w:lineRule="auto"/>
              <w:jc w:val="center"/>
              <w:rPr>
                <w:szCs w:val="24"/>
              </w:rPr>
            </w:pPr>
          </w:p>
          <w:p w14:paraId="69F7D94F" w14:textId="4F2228E5" w:rsidR="00D63809" w:rsidRPr="00687DE8" w:rsidRDefault="00CF168B" w:rsidP="00740F6D">
            <w:pPr>
              <w:spacing w:after="0" w:line="240" w:lineRule="auto"/>
              <w:jc w:val="center"/>
              <w:rPr>
                <w:szCs w:val="24"/>
              </w:rPr>
            </w:pPr>
            <w:r w:rsidRPr="00687DE8">
              <w:rPr>
                <w:szCs w:val="24"/>
              </w:rPr>
              <w:t xml:space="preserve">2298K </w:t>
            </w:r>
          </w:p>
        </w:tc>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9D2AB3" w14:textId="08A32671" w:rsidR="431CF512" w:rsidRPr="00687DE8" w:rsidRDefault="00E72C70">
            <w:pPr>
              <w:spacing w:after="0"/>
              <w:jc w:val="center"/>
              <w:rPr>
                <w:color w:val="000000" w:themeColor="text1"/>
                <w:szCs w:val="24"/>
              </w:rPr>
            </w:pPr>
            <w:r>
              <w:rPr>
                <w:color w:val="000000"/>
              </w:rPr>
              <w:t>15 202,41</w:t>
            </w:r>
          </w:p>
        </w:tc>
      </w:tr>
      <w:tr w:rsidR="005E6966" w:rsidRPr="00687DE8" w14:paraId="5C7AC1EE"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0CDAC5" w14:textId="77777777" w:rsidR="005E6966" w:rsidRPr="00687DE8" w:rsidRDefault="005E6966" w:rsidP="005E6966">
            <w:pPr>
              <w:spacing w:after="0" w:line="240" w:lineRule="auto"/>
              <w:rPr>
                <w:szCs w:val="24"/>
              </w:rPr>
            </w:pPr>
            <w:r w:rsidRPr="00687DE8">
              <w:rPr>
                <w:szCs w:val="24"/>
              </w:rPr>
              <w:t>Erakorralise abi osutamine kuus (SA Põhja-Eesti Regionaalhaigla)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318557" w14:textId="77777777" w:rsidR="005E6966" w:rsidRPr="00687DE8" w:rsidRDefault="005E6966" w:rsidP="005E6966">
            <w:pPr>
              <w:spacing w:after="0" w:line="240" w:lineRule="auto"/>
              <w:jc w:val="center"/>
              <w:rPr>
                <w:szCs w:val="24"/>
              </w:rPr>
            </w:pPr>
          </w:p>
          <w:p w14:paraId="7CD54945" w14:textId="77777777" w:rsidR="005E6966" w:rsidRPr="00687DE8" w:rsidRDefault="005E6966" w:rsidP="005E6966">
            <w:pPr>
              <w:spacing w:after="0" w:line="240" w:lineRule="auto"/>
              <w:jc w:val="center"/>
              <w:rPr>
                <w:szCs w:val="24"/>
              </w:rPr>
            </w:pPr>
            <w:r w:rsidRPr="00687DE8">
              <w:rPr>
                <w:szCs w:val="24"/>
              </w:rPr>
              <w:t>2305K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45C287C" w14:textId="76066B5A" w:rsidR="431CF512" w:rsidRPr="00687DE8" w:rsidRDefault="00E72C70">
            <w:pPr>
              <w:spacing w:after="0"/>
              <w:jc w:val="center"/>
              <w:rPr>
                <w:szCs w:val="24"/>
              </w:rPr>
            </w:pPr>
            <w:r>
              <w:rPr>
                <w:color w:val="000000"/>
              </w:rPr>
              <w:t>1 072 507,55</w:t>
            </w:r>
          </w:p>
        </w:tc>
      </w:tr>
      <w:tr w:rsidR="005E6966" w:rsidRPr="00687DE8" w14:paraId="0A9BA317" w14:textId="77777777" w:rsidTr="00934CCC">
        <w:trPr>
          <w:divId w:val="1316184749"/>
          <w:trHeight w:val="28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FA9871" w14:textId="77777777" w:rsidR="005E6966" w:rsidRPr="00687DE8" w:rsidRDefault="005E6966" w:rsidP="005E6966">
            <w:pPr>
              <w:spacing w:after="0" w:line="240" w:lineRule="auto"/>
              <w:rPr>
                <w:szCs w:val="24"/>
              </w:rPr>
            </w:pPr>
            <w:r w:rsidRPr="00687DE8">
              <w:rPr>
                <w:szCs w:val="24"/>
              </w:rPr>
              <w:t>Erakorralise abi osutamine kuus (SA Tartu Ülikooli Kliinikum)</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B70A2E" w14:textId="77777777" w:rsidR="005E6966" w:rsidRPr="00687DE8" w:rsidRDefault="005E6966" w:rsidP="005E6966">
            <w:pPr>
              <w:spacing w:after="0" w:line="240" w:lineRule="auto"/>
              <w:jc w:val="center"/>
              <w:rPr>
                <w:szCs w:val="24"/>
              </w:rPr>
            </w:pPr>
          </w:p>
          <w:p w14:paraId="260E6C8A" w14:textId="77777777" w:rsidR="005E6966" w:rsidRPr="00687DE8" w:rsidRDefault="005E6966" w:rsidP="005E6966">
            <w:pPr>
              <w:spacing w:after="0" w:line="240" w:lineRule="auto"/>
              <w:jc w:val="center"/>
              <w:rPr>
                <w:szCs w:val="24"/>
              </w:rPr>
            </w:pPr>
            <w:r w:rsidRPr="00687DE8">
              <w:rPr>
                <w:szCs w:val="24"/>
              </w:rPr>
              <w:t>2306K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3352D8" w14:textId="6F5165A3" w:rsidR="431CF512" w:rsidRPr="00687DE8" w:rsidRDefault="00E72C70">
            <w:pPr>
              <w:spacing w:after="0"/>
              <w:jc w:val="center"/>
              <w:rPr>
                <w:szCs w:val="24"/>
              </w:rPr>
            </w:pPr>
            <w:r>
              <w:rPr>
                <w:color w:val="000000"/>
              </w:rPr>
              <w:t>1 005 335,09</w:t>
            </w:r>
          </w:p>
        </w:tc>
      </w:tr>
      <w:tr w:rsidR="005E6966" w:rsidRPr="00687DE8" w14:paraId="5CA114C0"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9077DA" w14:textId="77777777" w:rsidR="005E6966" w:rsidRPr="00687DE8" w:rsidRDefault="005E6966" w:rsidP="005E6966">
            <w:pPr>
              <w:spacing w:after="0" w:line="240" w:lineRule="auto"/>
              <w:rPr>
                <w:szCs w:val="24"/>
              </w:rPr>
            </w:pPr>
            <w:r w:rsidRPr="00687DE8">
              <w:rPr>
                <w:szCs w:val="24"/>
              </w:rPr>
              <w:t>Erakorralise abi osutamine kuus (SA Tallinna Lastehaigla)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52B492" w14:textId="77777777" w:rsidR="005E6966" w:rsidRPr="00687DE8" w:rsidRDefault="005E6966" w:rsidP="005E6966">
            <w:pPr>
              <w:spacing w:after="0" w:line="240" w:lineRule="auto"/>
              <w:jc w:val="center"/>
              <w:rPr>
                <w:szCs w:val="24"/>
              </w:rPr>
            </w:pPr>
          </w:p>
          <w:p w14:paraId="03E61EBB" w14:textId="77777777" w:rsidR="005E6966" w:rsidRPr="00687DE8" w:rsidRDefault="005E6966" w:rsidP="005E6966">
            <w:pPr>
              <w:spacing w:after="0" w:line="240" w:lineRule="auto"/>
              <w:jc w:val="center"/>
              <w:rPr>
                <w:szCs w:val="24"/>
              </w:rPr>
            </w:pPr>
            <w:r w:rsidRPr="00687DE8">
              <w:rPr>
                <w:szCs w:val="24"/>
              </w:rPr>
              <w:t>2307K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936014" w14:textId="20B5077E" w:rsidR="431CF512" w:rsidRPr="00687DE8" w:rsidRDefault="00E72C70">
            <w:pPr>
              <w:spacing w:after="0"/>
              <w:jc w:val="center"/>
              <w:rPr>
                <w:szCs w:val="24"/>
              </w:rPr>
            </w:pPr>
            <w:r>
              <w:rPr>
                <w:color w:val="000000"/>
              </w:rPr>
              <w:t>444 929,20</w:t>
            </w:r>
          </w:p>
        </w:tc>
      </w:tr>
      <w:tr w:rsidR="005E6966" w:rsidRPr="00687DE8" w14:paraId="56513C55"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E5CA7" w14:textId="77777777" w:rsidR="005E6966" w:rsidRPr="00687DE8" w:rsidRDefault="005E6966" w:rsidP="005E6966">
            <w:pPr>
              <w:spacing w:after="0" w:line="240" w:lineRule="auto"/>
              <w:rPr>
                <w:szCs w:val="24"/>
              </w:rPr>
            </w:pPr>
            <w:r w:rsidRPr="00687DE8">
              <w:rPr>
                <w:szCs w:val="24"/>
              </w:rPr>
              <w:t>Erakorralise abi osutamine kuus (AS Ida-Tallinna Keskhaigla)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35417F" w14:textId="77777777" w:rsidR="005E6966" w:rsidRPr="00687DE8" w:rsidRDefault="005E6966" w:rsidP="005E6966">
            <w:pPr>
              <w:spacing w:after="0" w:line="240" w:lineRule="auto"/>
              <w:jc w:val="center"/>
              <w:rPr>
                <w:szCs w:val="24"/>
              </w:rPr>
            </w:pPr>
          </w:p>
          <w:p w14:paraId="671E5BE8" w14:textId="77777777" w:rsidR="005E6966" w:rsidRPr="00687DE8" w:rsidRDefault="005E6966" w:rsidP="005E6966">
            <w:pPr>
              <w:spacing w:after="0" w:line="240" w:lineRule="auto"/>
              <w:jc w:val="center"/>
              <w:rPr>
                <w:szCs w:val="24"/>
              </w:rPr>
            </w:pPr>
            <w:r w:rsidRPr="00687DE8">
              <w:rPr>
                <w:szCs w:val="24"/>
              </w:rPr>
              <w:t>2308K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00F0B5" w14:textId="5BED2831" w:rsidR="431CF512" w:rsidRPr="00687DE8" w:rsidRDefault="00E72C70">
            <w:pPr>
              <w:spacing w:after="0"/>
              <w:jc w:val="center"/>
              <w:rPr>
                <w:szCs w:val="24"/>
              </w:rPr>
            </w:pPr>
            <w:r>
              <w:rPr>
                <w:color w:val="000000"/>
              </w:rPr>
              <w:t>715 735,65</w:t>
            </w:r>
          </w:p>
        </w:tc>
      </w:tr>
      <w:tr w:rsidR="005E6966" w:rsidRPr="00687DE8" w14:paraId="64717644" w14:textId="77777777" w:rsidTr="00934CCC">
        <w:trPr>
          <w:divId w:val="1316184749"/>
          <w:trHeight w:val="196"/>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86D61C" w14:textId="77777777" w:rsidR="005E6966" w:rsidRPr="00687DE8" w:rsidRDefault="005E6966" w:rsidP="005E6966">
            <w:pPr>
              <w:spacing w:after="0" w:line="240" w:lineRule="auto"/>
              <w:rPr>
                <w:szCs w:val="24"/>
              </w:rPr>
            </w:pPr>
            <w:r w:rsidRPr="00687DE8">
              <w:rPr>
                <w:szCs w:val="24"/>
              </w:rPr>
              <w:t>Erakorralise abi osutamine kuus (AS Lääne-Tallinna Keskhaigla)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D0CA3D" w14:textId="77777777" w:rsidR="005E6966" w:rsidRPr="00687DE8" w:rsidRDefault="005E6966" w:rsidP="005E6966">
            <w:pPr>
              <w:spacing w:after="0" w:line="240" w:lineRule="auto"/>
              <w:jc w:val="center"/>
              <w:rPr>
                <w:szCs w:val="24"/>
              </w:rPr>
            </w:pPr>
          </w:p>
          <w:p w14:paraId="32EB4660" w14:textId="77777777" w:rsidR="005E6966" w:rsidRPr="00687DE8" w:rsidRDefault="005E6966" w:rsidP="005E6966">
            <w:pPr>
              <w:spacing w:after="0" w:line="240" w:lineRule="auto"/>
              <w:jc w:val="center"/>
              <w:rPr>
                <w:szCs w:val="24"/>
              </w:rPr>
            </w:pPr>
            <w:r w:rsidRPr="00687DE8">
              <w:rPr>
                <w:szCs w:val="24"/>
              </w:rPr>
              <w:t>2309K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171999" w14:textId="342BBB37" w:rsidR="431CF512" w:rsidRPr="00687DE8" w:rsidRDefault="00E72C70">
            <w:pPr>
              <w:spacing w:after="0"/>
              <w:jc w:val="center"/>
              <w:rPr>
                <w:szCs w:val="24"/>
              </w:rPr>
            </w:pPr>
            <w:r>
              <w:rPr>
                <w:color w:val="000000"/>
              </w:rPr>
              <w:t>320 703,53</w:t>
            </w:r>
          </w:p>
        </w:tc>
      </w:tr>
      <w:tr w:rsidR="005E6966" w:rsidRPr="00687DE8" w14:paraId="644375C5"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3DF681" w14:textId="77777777" w:rsidR="005E6966" w:rsidRPr="00687DE8" w:rsidRDefault="005E6966" w:rsidP="005E6966">
            <w:pPr>
              <w:spacing w:after="0" w:line="240" w:lineRule="auto"/>
              <w:rPr>
                <w:szCs w:val="24"/>
              </w:rPr>
            </w:pPr>
            <w:r w:rsidRPr="00687DE8">
              <w:rPr>
                <w:szCs w:val="24"/>
              </w:rPr>
              <w:lastRenderedPageBreak/>
              <w:t>Erakorralise abi osutamine kuus (SA Ida-Viru Keskhaigla)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267313" w14:textId="77777777" w:rsidR="005E6966" w:rsidRPr="00687DE8" w:rsidRDefault="005E6966" w:rsidP="005E6966">
            <w:pPr>
              <w:spacing w:after="0" w:line="240" w:lineRule="auto"/>
              <w:jc w:val="center"/>
              <w:rPr>
                <w:szCs w:val="24"/>
              </w:rPr>
            </w:pPr>
          </w:p>
          <w:p w14:paraId="5519934A" w14:textId="77777777" w:rsidR="005E6966" w:rsidRPr="00687DE8" w:rsidRDefault="005E6966" w:rsidP="005E6966">
            <w:pPr>
              <w:spacing w:after="0" w:line="240" w:lineRule="auto"/>
              <w:jc w:val="center"/>
              <w:rPr>
                <w:szCs w:val="24"/>
              </w:rPr>
            </w:pPr>
            <w:r w:rsidRPr="00687DE8">
              <w:rPr>
                <w:szCs w:val="24"/>
              </w:rPr>
              <w:t>2310K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CCF79A" w14:textId="0CB9F78A" w:rsidR="431CF512" w:rsidRPr="00687DE8" w:rsidRDefault="00E72C70">
            <w:pPr>
              <w:spacing w:after="0"/>
              <w:jc w:val="center"/>
              <w:rPr>
                <w:szCs w:val="24"/>
              </w:rPr>
            </w:pPr>
            <w:r>
              <w:rPr>
                <w:color w:val="000000"/>
              </w:rPr>
              <w:t>348 081,23</w:t>
            </w:r>
          </w:p>
        </w:tc>
      </w:tr>
      <w:tr w:rsidR="005E6966" w:rsidRPr="00687DE8" w14:paraId="3A94BDFA"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1B05A5" w14:textId="77777777" w:rsidR="005E6966" w:rsidRPr="00687DE8" w:rsidRDefault="005E6966" w:rsidP="005E6966">
            <w:pPr>
              <w:spacing w:after="0" w:line="240" w:lineRule="auto"/>
              <w:rPr>
                <w:szCs w:val="24"/>
              </w:rPr>
            </w:pPr>
            <w:r w:rsidRPr="00687DE8">
              <w:rPr>
                <w:szCs w:val="24"/>
              </w:rPr>
              <w:t>Erakorralise abi osutamine kuus (SA Pärnu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AD444D" w14:textId="77777777" w:rsidR="00CF197B" w:rsidRDefault="00CF197B" w:rsidP="00D47BA3">
            <w:pPr>
              <w:spacing w:after="0" w:line="240" w:lineRule="auto"/>
              <w:jc w:val="center"/>
              <w:rPr>
                <w:szCs w:val="24"/>
              </w:rPr>
            </w:pPr>
          </w:p>
          <w:p w14:paraId="48944078" w14:textId="3159EB86" w:rsidR="005E6966" w:rsidRPr="00687DE8" w:rsidRDefault="005E6966" w:rsidP="00D47BA3">
            <w:pPr>
              <w:spacing w:after="0" w:line="240" w:lineRule="auto"/>
              <w:jc w:val="center"/>
              <w:rPr>
                <w:szCs w:val="24"/>
              </w:rPr>
            </w:pPr>
            <w:r w:rsidRPr="00687DE8">
              <w:rPr>
                <w:szCs w:val="24"/>
              </w:rPr>
              <w:t>2311K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CAA356" w14:textId="555A1258" w:rsidR="431CF512" w:rsidRPr="00687DE8" w:rsidRDefault="00E72C70">
            <w:pPr>
              <w:spacing w:after="0"/>
              <w:jc w:val="center"/>
              <w:rPr>
                <w:szCs w:val="24"/>
              </w:rPr>
            </w:pPr>
            <w:r>
              <w:rPr>
                <w:color w:val="000000"/>
              </w:rPr>
              <w:t>306 427,59</w:t>
            </w:r>
          </w:p>
        </w:tc>
      </w:tr>
      <w:tr w:rsidR="005E6966" w:rsidRPr="00687DE8" w14:paraId="48900D4E" w14:textId="77777777" w:rsidTr="00934CCC">
        <w:trPr>
          <w:divId w:val="1316184749"/>
          <w:trHeight w:val="316"/>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DB22DC" w14:textId="77777777" w:rsidR="005E6966" w:rsidRPr="00687DE8" w:rsidRDefault="005E6966" w:rsidP="005E6966">
            <w:pPr>
              <w:spacing w:after="0" w:line="240" w:lineRule="auto"/>
              <w:rPr>
                <w:szCs w:val="24"/>
              </w:rPr>
            </w:pPr>
            <w:r w:rsidRPr="00687DE8">
              <w:rPr>
                <w:szCs w:val="24"/>
              </w:rPr>
              <w:t>Erakorralise abi osutamine kuus (AS Järvamaa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D53727" w14:textId="77777777" w:rsidR="005E6966" w:rsidRPr="00687DE8" w:rsidRDefault="005E6966" w:rsidP="005E6966">
            <w:pPr>
              <w:spacing w:after="0" w:line="240" w:lineRule="auto"/>
              <w:jc w:val="center"/>
              <w:rPr>
                <w:szCs w:val="24"/>
              </w:rPr>
            </w:pPr>
          </w:p>
          <w:p w14:paraId="7FB195DA" w14:textId="77777777" w:rsidR="005E6966" w:rsidRPr="00687DE8" w:rsidRDefault="005E6966" w:rsidP="005E6966">
            <w:pPr>
              <w:spacing w:after="0" w:line="240" w:lineRule="auto"/>
              <w:jc w:val="center"/>
              <w:rPr>
                <w:szCs w:val="24"/>
              </w:rPr>
            </w:pPr>
            <w:r w:rsidRPr="00687DE8">
              <w:rPr>
                <w:szCs w:val="24"/>
              </w:rPr>
              <w:t>2312K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DD0C48" w14:textId="7B7E900F" w:rsidR="431CF512" w:rsidRPr="00687DE8" w:rsidRDefault="00E72C70">
            <w:pPr>
              <w:spacing w:after="0"/>
              <w:jc w:val="center"/>
              <w:rPr>
                <w:szCs w:val="24"/>
              </w:rPr>
            </w:pPr>
            <w:r>
              <w:rPr>
                <w:color w:val="000000"/>
              </w:rPr>
              <w:t>186 023,48</w:t>
            </w:r>
          </w:p>
        </w:tc>
      </w:tr>
      <w:tr w:rsidR="005E6966" w:rsidRPr="00687DE8" w14:paraId="1D67A34F" w14:textId="77777777" w:rsidTr="00934CCC">
        <w:trPr>
          <w:divId w:val="1316184749"/>
          <w:trHeight w:val="43"/>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60D034" w14:textId="77777777" w:rsidR="005E6966" w:rsidRPr="00687DE8" w:rsidRDefault="005E6966" w:rsidP="005E6966">
            <w:pPr>
              <w:spacing w:after="0" w:line="240" w:lineRule="auto"/>
              <w:rPr>
                <w:szCs w:val="24"/>
              </w:rPr>
            </w:pPr>
            <w:r w:rsidRPr="00687DE8">
              <w:rPr>
                <w:szCs w:val="24"/>
              </w:rPr>
              <w:t>Erakorralise abi osutamine kuus (Kuressaare Haigla SA)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2025F8" w14:textId="77777777" w:rsidR="005E6966" w:rsidRPr="00687DE8" w:rsidRDefault="005E6966" w:rsidP="005E6966">
            <w:pPr>
              <w:spacing w:after="0" w:line="240" w:lineRule="auto"/>
              <w:jc w:val="center"/>
              <w:rPr>
                <w:szCs w:val="24"/>
              </w:rPr>
            </w:pPr>
          </w:p>
          <w:p w14:paraId="715D7514" w14:textId="77777777" w:rsidR="005E6966" w:rsidRPr="00687DE8" w:rsidRDefault="005E6966" w:rsidP="005E6966">
            <w:pPr>
              <w:spacing w:after="0" w:line="240" w:lineRule="auto"/>
              <w:jc w:val="center"/>
              <w:rPr>
                <w:szCs w:val="24"/>
              </w:rPr>
            </w:pPr>
            <w:r w:rsidRPr="00687DE8">
              <w:rPr>
                <w:szCs w:val="24"/>
              </w:rPr>
              <w:t>2313K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F74177" w14:textId="41698456" w:rsidR="431CF512" w:rsidRPr="00687DE8" w:rsidRDefault="00E72C70">
            <w:pPr>
              <w:spacing w:after="0"/>
              <w:jc w:val="center"/>
              <w:rPr>
                <w:szCs w:val="24"/>
              </w:rPr>
            </w:pPr>
            <w:r>
              <w:rPr>
                <w:color w:val="000000"/>
              </w:rPr>
              <w:t>217 433,13</w:t>
            </w:r>
          </w:p>
        </w:tc>
      </w:tr>
      <w:tr w:rsidR="005E6966" w:rsidRPr="00687DE8" w14:paraId="5D4BC254" w14:textId="77777777" w:rsidTr="00934CCC">
        <w:trPr>
          <w:divId w:val="1316184749"/>
          <w:trHeight w:val="16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4E9D8E" w14:textId="77777777" w:rsidR="005E6966" w:rsidRPr="00687DE8" w:rsidRDefault="005E6966" w:rsidP="005E6966">
            <w:pPr>
              <w:spacing w:after="0" w:line="240" w:lineRule="auto"/>
              <w:rPr>
                <w:szCs w:val="24"/>
              </w:rPr>
            </w:pPr>
            <w:r w:rsidRPr="00687DE8">
              <w:rPr>
                <w:szCs w:val="24"/>
              </w:rPr>
              <w:t>Erakorralise abi osutamine kuus (SA Läänemaa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FF4015" w14:textId="77777777" w:rsidR="005E6966" w:rsidRPr="00687DE8" w:rsidRDefault="005E6966" w:rsidP="005E6966">
            <w:pPr>
              <w:spacing w:after="0" w:line="240" w:lineRule="auto"/>
              <w:jc w:val="center"/>
              <w:rPr>
                <w:szCs w:val="24"/>
              </w:rPr>
            </w:pPr>
          </w:p>
          <w:p w14:paraId="574A23E5" w14:textId="77777777" w:rsidR="005E6966" w:rsidRPr="00687DE8" w:rsidRDefault="005E6966" w:rsidP="005E6966">
            <w:pPr>
              <w:spacing w:after="0" w:line="240" w:lineRule="auto"/>
              <w:jc w:val="center"/>
              <w:rPr>
                <w:szCs w:val="24"/>
              </w:rPr>
            </w:pPr>
            <w:r w:rsidRPr="00687DE8">
              <w:rPr>
                <w:szCs w:val="24"/>
              </w:rPr>
              <w:t>2314K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50FF7C" w14:textId="0806BEDF" w:rsidR="1427D86C" w:rsidRPr="00687DE8" w:rsidRDefault="00E72C70">
            <w:pPr>
              <w:spacing w:after="0"/>
              <w:jc w:val="center"/>
              <w:rPr>
                <w:szCs w:val="24"/>
              </w:rPr>
            </w:pPr>
            <w:r>
              <w:rPr>
                <w:color w:val="000000"/>
              </w:rPr>
              <w:t>139 551,99</w:t>
            </w:r>
          </w:p>
        </w:tc>
      </w:tr>
      <w:tr w:rsidR="005E6966" w:rsidRPr="00687DE8" w14:paraId="0C77994C"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45CFE1" w14:textId="77777777" w:rsidR="005E6966" w:rsidRPr="00687DE8" w:rsidRDefault="005E6966" w:rsidP="005E6966">
            <w:pPr>
              <w:spacing w:after="0" w:line="240" w:lineRule="auto"/>
              <w:rPr>
                <w:szCs w:val="24"/>
              </w:rPr>
            </w:pPr>
            <w:r w:rsidRPr="00687DE8">
              <w:rPr>
                <w:szCs w:val="24"/>
              </w:rPr>
              <w:t>Erakorralise abi osutamine kuus (AS Rakvere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89D269" w14:textId="77777777" w:rsidR="00CF197B" w:rsidRDefault="00CF197B" w:rsidP="00D47BA3">
            <w:pPr>
              <w:spacing w:after="0" w:line="240" w:lineRule="auto"/>
              <w:jc w:val="center"/>
              <w:rPr>
                <w:szCs w:val="24"/>
              </w:rPr>
            </w:pPr>
          </w:p>
          <w:p w14:paraId="31288220" w14:textId="6898733D" w:rsidR="005E6966" w:rsidRPr="00687DE8" w:rsidRDefault="005E6966" w:rsidP="00D47BA3">
            <w:pPr>
              <w:spacing w:after="0" w:line="240" w:lineRule="auto"/>
              <w:jc w:val="center"/>
              <w:rPr>
                <w:szCs w:val="24"/>
              </w:rPr>
            </w:pPr>
            <w:r w:rsidRPr="00687DE8">
              <w:rPr>
                <w:szCs w:val="24"/>
              </w:rPr>
              <w:t>2315K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B0E1A2" w14:textId="05D52C82" w:rsidR="1427D86C" w:rsidRPr="00687DE8" w:rsidRDefault="00E72C70">
            <w:pPr>
              <w:spacing w:after="0"/>
              <w:jc w:val="center"/>
              <w:rPr>
                <w:szCs w:val="24"/>
              </w:rPr>
            </w:pPr>
            <w:r>
              <w:rPr>
                <w:color w:val="000000"/>
              </w:rPr>
              <w:t>289 205,15</w:t>
            </w:r>
          </w:p>
        </w:tc>
      </w:tr>
      <w:tr w:rsidR="005E6966" w:rsidRPr="00687DE8" w14:paraId="7D391C39"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C928AB" w14:textId="77777777" w:rsidR="005E6966" w:rsidRPr="00687DE8" w:rsidRDefault="005E6966" w:rsidP="005E6966">
            <w:pPr>
              <w:spacing w:after="0" w:line="240" w:lineRule="auto"/>
              <w:rPr>
                <w:szCs w:val="24"/>
              </w:rPr>
            </w:pPr>
            <w:r w:rsidRPr="00687DE8">
              <w:rPr>
                <w:szCs w:val="24"/>
              </w:rPr>
              <w:t>Erakorralise abi osutamine kuus (AS Lõuna-Eesti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29ECD4" w14:textId="77777777" w:rsidR="005E6966" w:rsidRPr="00687DE8" w:rsidRDefault="005E6966" w:rsidP="005E6966">
            <w:pPr>
              <w:spacing w:after="0" w:line="240" w:lineRule="auto"/>
              <w:jc w:val="center"/>
              <w:rPr>
                <w:szCs w:val="24"/>
              </w:rPr>
            </w:pPr>
          </w:p>
          <w:p w14:paraId="2C6F7083" w14:textId="77777777" w:rsidR="005E6966" w:rsidRPr="00687DE8" w:rsidRDefault="005E6966" w:rsidP="005E6966">
            <w:pPr>
              <w:spacing w:after="0" w:line="240" w:lineRule="auto"/>
              <w:jc w:val="center"/>
              <w:rPr>
                <w:szCs w:val="24"/>
              </w:rPr>
            </w:pPr>
            <w:r w:rsidRPr="00687DE8">
              <w:rPr>
                <w:szCs w:val="24"/>
              </w:rPr>
              <w:t>2316K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56FA70" w14:textId="5E19333E" w:rsidR="1427D86C" w:rsidRPr="00687DE8" w:rsidRDefault="00E72C70">
            <w:pPr>
              <w:spacing w:after="0"/>
              <w:jc w:val="center"/>
              <w:rPr>
                <w:szCs w:val="24"/>
              </w:rPr>
            </w:pPr>
            <w:r>
              <w:rPr>
                <w:color w:val="000000"/>
              </w:rPr>
              <w:t>243 185,63</w:t>
            </w:r>
          </w:p>
        </w:tc>
      </w:tr>
      <w:tr w:rsidR="005E6966" w:rsidRPr="00687DE8" w14:paraId="7916BF4E"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3EBA36" w14:textId="77777777" w:rsidR="005E6966" w:rsidRPr="00687DE8" w:rsidRDefault="005E6966" w:rsidP="005E6966">
            <w:pPr>
              <w:spacing w:after="0" w:line="240" w:lineRule="auto"/>
              <w:rPr>
                <w:szCs w:val="24"/>
              </w:rPr>
            </w:pPr>
            <w:r w:rsidRPr="00687DE8">
              <w:rPr>
                <w:szCs w:val="24"/>
              </w:rPr>
              <w:t>Erakorralise abi osutamine kuus (SA Narva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DBE978" w14:textId="77777777" w:rsidR="00CF197B" w:rsidRDefault="00CF197B" w:rsidP="00D47BA3">
            <w:pPr>
              <w:spacing w:after="0" w:line="240" w:lineRule="auto"/>
              <w:jc w:val="center"/>
              <w:rPr>
                <w:szCs w:val="24"/>
              </w:rPr>
            </w:pPr>
          </w:p>
          <w:p w14:paraId="14FF2E2A" w14:textId="794A2E37" w:rsidR="005E6966" w:rsidRPr="00687DE8" w:rsidRDefault="005E6966" w:rsidP="00D47BA3">
            <w:pPr>
              <w:spacing w:after="0" w:line="240" w:lineRule="auto"/>
              <w:jc w:val="center"/>
              <w:rPr>
                <w:szCs w:val="24"/>
              </w:rPr>
            </w:pPr>
            <w:r w:rsidRPr="00687DE8">
              <w:rPr>
                <w:szCs w:val="24"/>
              </w:rPr>
              <w:t>2317K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54BAFA" w14:textId="07CFBE53" w:rsidR="1427D86C" w:rsidRPr="00687DE8" w:rsidRDefault="00E72C70">
            <w:pPr>
              <w:spacing w:after="0"/>
              <w:jc w:val="center"/>
              <w:rPr>
                <w:szCs w:val="24"/>
              </w:rPr>
            </w:pPr>
            <w:r>
              <w:rPr>
                <w:color w:val="000000"/>
              </w:rPr>
              <w:t>339 648,78</w:t>
            </w:r>
          </w:p>
        </w:tc>
      </w:tr>
      <w:tr w:rsidR="005E6966" w:rsidRPr="00687DE8" w14:paraId="77039DAE"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3D99AF" w14:textId="77777777" w:rsidR="005E6966" w:rsidRPr="00687DE8" w:rsidRDefault="005E6966" w:rsidP="005E6966">
            <w:pPr>
              <w:spacing w:after="0" w:line="240" w:lineRule="auto"/>
              <w:rPr>
                <w:szCs w:val="24"/>
              </w:rPr>
            </w:pPr>
            <w:r w:rsidRPr="00687DE8">
              <w:rPr>
                <w:szCs w:val="24"/>
              </w:rPr>
              <w:t>Erakorralise abi osutamine kuus (SA Viljandi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387E19" w14:textId="77777777" w:rsidR="00CF197B" w:rsidRDefault="00CF197B" w:rsidP="00D47BA3">
            <w:pPr>
              <w:spacing w:after="0" w:line="240" w:lineRule="auto"/>
              <w:jc w:val="center"/>
              <w:rPr>
                <w:szCs w:val="24"/>
              </w:rPr>
            </w:pPr>
          </w:p>
          <w:p w14:paraId="426EABD0" w14:textId="22F10423" w:rsidR="005E6966" w:rsidRPr="00687DE8" w:rsidRDefault="005E6966" w:rsidP="00D47BA3">
            <w:pPr>
              <w:spacing w:after="0" w:line="240" w:lineRule="auto"/>
              <w:jc w:val="center"/>
              <w:rPr>
                <w:szCs w:val="24"/>
              </w:rPr>
            </w:pPr>
            <w:r w:rsidRPr="00687DE8">
              <w:rPr>
                <w:szCs w:val="24"/>
              </w:rPr>
              <w:t>2318K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00322B" w14:textId="47C51FBD" w:rsidR="1427D86C" w:rsidRPr="00687DE8" w:rsidRDefault="00E72C70">
            <w:pPr>
              <w:spacing w:after="0"/>
              <w:jc w:val="center"/>
              <w:rPr>
                <w:szCs w:val="24"/>
              </w:rPr>
            </w:pPr>
            <w:r>
              <w:rPr>
                <w:color w:val="000000"/>
              </w:rPr>
              <w:t>187 528,29</w:t>
            </w:r>
          </w:p>
        </w:tc>
      </w:tr>
      <w:tr w:rsidR="005E6966" w:rsidRPr="00687DE8" w14:paraId="1A625D0D"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421E77" w14:textId="60919D6B" w:rsidR="00D47BA3" w:rsidRPr="00687DE8" w:rsidRDefault="005E6966" w:rsidP="005E6966">
            <w:pPr>
              <w:spacing w:after="0" w:line="240" w:lineRule="auto"/>
              <w:rPr>
                <w:szCs w:val="24"/>
              </w:rPr>
            </w:pPr>
            <w:r w:rsidRPr="00687DE8">
              <w:rPr>
                <w:szCs w:val="24"/>
              </w:rPr>
              <w:t>Erakorralise abi osutamine kuus (AS Valga Haigla</w:t>
            </w:r>
            <w:r w:rsidR="00D47BA3" w:rsidRPr="00687DE8">
              <w:rPr>
                <w:szCs w:val="24"/>
              </w:rPr>
              <w:t>)</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E90852" w14:textId="77777777" w:rsidR="00CF197B" w:rsidRDefault="00CF197B" w:rsidP="00D47BA3">
            <w:pPr>
              <w:spacing w:after="0" w:line="240" w:lineRule="auto"/>
              <w:jc w:val="center"/>
              <w:rPr>
                <w:szCs w:val="24"/>
              </w:rPr>
            </w:pPr>
          </w:p>
          <w:p w14:paraId="77AF6E35" w14:textId="7D19413F" w:rsidR="005E6966" w:rsidRPr="00687DE8" w:rsidRDefault="005E6966" w:rsidP="00D47BA3">
            <w:pPr>
              <w:spacing w:after="0" w:line="240" w:lineRule="auto"/>
              <w:jc w:val="center"/>
              <w:rPr>
                <w:szCs w:val="24"/>
              </w:rPr>
            </w:pPr>
            <w:r w:rsidRPr="00687DE8">
              <w:rPr>
                <w:szCs w:val="24"/>
              </w:rPr>
              <w:t>2319K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32E3AA" w14:textId="705F683A" w:rsidR="1427D86C" w:rsidRPr="00687DE8" w:rsidRDefault="00E72C70">
            <w:pPr>
              <w:spacing w:after="0"/>
              <w:jc w:val="center"/>
              <w:rPr>
                <w:szCs w:val="24"/>
              </w:rPr>
            </w:pPr>
            <w:r>
              <w:rPr>
                <w:color w:val="000000"/>
              </w:rPr>
              <w:t>134 058,20</w:t>
            </w:r>
          </w:p>
        </w:tc>
      </w:tr>
      <w:tr w:rsidR="005E6966" w:rsidRPr="00687DE8" w14:paraId="109FBB50" w14:textId="77777777" w:rsidTr="00934CCC">
        <w:trPr>
          <w:divId w:val="1316184749"/>
          <w:trHeight w:val="30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8FED77" w14:textId="77777777" w:rsidR="005E6966" w:rsidRPr="00687DE8" w:rsidRDefault="005E6966" w:rsidP="005E6966">
            <w:pPr>
              <w:spacing w:after="0" w:line="240" w:lineRule="auto"/>
              <w:rPr>
                <w:szCs w:val="24"/>
              </w:rPr>
            </w:pPr>
            <w:r w:rsidRPr="00687DE8">
              <w:rPr>
                <w:szCs w:val="24"/>
              </w:rPr>
              <w:t>Erakorralise abi osutamine kuus (AS Põlva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ABBA5C" w14:textId="77777777" w:rsidR="00CF197B" w:rsidRDefault="00CF197B" w:rsidP="00D47BA3">
            <w:pPr>
              <w:spacing w:after="0" w:line="240" w:lineRule="auto"/>
              <w:jc w:val="center"/>
              <w:rPr>
                <w:szCs w:val="24"/>
              </w:rPr>
            </w:pPr>
          </w:p>
          <w:p w14:paraId="0039E8E9" w14:textId="7F82F987" w:rsidR="005E6966" w:rsidRPr="00687DE8" w:rsidRDefault="005E6966" w:rsidP="00D47BA3">
            <w:pPr>
              <w:spacing w:after="0" w:line="240" w:lineRule="auto"/>
              <w:jc w:val="center"/>
              <w:rPr>
                <w:szCs w:val="24"/>
              </w:rPr>
            </w:pPr>
            <w:r w:rsidRPr="00687DE8">
              <w:rPr>
                <w:szCs w:val="24"/>
              </w:rPr>
              <w:t>2320K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8BABBD" w14:textId="172E7FB8" w:rsidR="1427D86C" w:rsidRPr="00687DE8" w:rsidRDefault="00E72C70">
            <w:pPr>
              <w:spacing w:after="0"/>
              <w:jc w:val="center"/>
              <w:rPr>
                <w:szCs w:val="24"/>
              </w:rPr>
            </w:pPr>
            <w:r>
              <w:rPr>
                <w:color w:val="000000"/>
              </w:rPr>
              <w:t>115 438,37</w:t>
            </w:r>
          </w:p>
        </w:tc>
      </w:tr>
      <w:tr w:rsidR="005E6966" w:rsidRPr="00687DE8" w14:paraId="0868F14B" w14:textId="77777777" w:rsidTr="00934CCC">
        <w:trPr>
          <w:divId w:val="1316184749"/>
          <w:trHeight w:val="223"/>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64A64D" w14:textId="77777777" w:rsidR="005E6966" w:rsidRPr="00687DE8" w:rsidRDefault="005E6966" w:rsidP="005E6966">
            <w:pPr>
              <w:spacing w:after="0" w:line="240" w:lineRule="auto"/>
              <w:rPr>
                <w:szCs w:val="24"/>
              </w:rPr>
            </w:pPr>
            <w:r w:rsidRPr="00687DE8">
              <w:rPr>
                <w:szCs w:val="24"/>
              </w:rPr>
              <w:t>Erakorralise abi osutamine kuus (SA Raplamaa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4C872D" w14:textId="77777777" w:rsidR="005E6966" w:rsidRPr="00687DE8" w:rsidRDefault="005E6966" w:rsidP="005E6966">
            <w:pPr>
              <w:spacing w:after="0" w:line="240" w:lineRule="auto"/>
              <w:jc w:val="center"/>
              <w:rPr>
                <w:szCs w:val="24"/>
              </w:rPr>
            </w:pPr>
          </w:p>
          <w:p w14:paraId="7EEAB3D1" w14:textId="77777777" w:rsidR="005E6966" w:rsidRPr="00687DE8" w:rsidRDefault="005E6966" w:rsidP="005E6966">
            <w:pPr>
              <w:spacing w:after="0" w:line="240" w:lineRule="auto"/>
              <w:jc w:val="center"/>
              <w:rPr>
                <w:szCs w:val="24"/>
              </w:rPr>
            </w:pPr>
            <w:r w:rsidRPr="00687DE8">
              <w:rPr>
                <w:szCs w:val="24"/>
              </w:rPr>
              <w:t>2321K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A26D98" w14:textId="6DE6790D" w:rsidR="1427D86C" w:rsidRPr="00687DE8" w:rsidRDefault="00E72C70">
            <w:pPr>
              <w:spacing w:after="0"/>
              <w:jc w:val="center"/>
              <w:rPr>
                <w:szCs w:val="24"/>
              </w:rPr>
            </w:pPr>
            <w:r>
              <w:rPr>
                <w:color w:val="000000"/>
              </w:rPr>
              <w:t>126 024,19</w:t>
            </w:r>
          </w:p>
        </w:tc>
      </w:tr>
      <w:tr w:rsidR="005E6966" w:rsidRPr="00687DE8" w14:paraId="79429A38" w14:textId="77777777" w:rsidTr="00934CCC">
        <w:trPr>
          <w:divId w:val="1316184749"/>
          <w:trHeight w:val="378"/>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D788D" w14:textId="77777777" w:rsidR="005E6966" w:rsidRPr="00687DE8" w:rsidRDefault="005E6966" w:rsidP="005E6966">
            <w:pPr>
              <w:spacing w:after="0" w:line="240" w:lineRule="auto"/>
              <w:rPr>
                <w:szCs w:val="24"/>
              </w:rPr>
            </w:pPr>
            <w:r w:rsidRPr="00687DE8">
              <w:rPr>
                <w:szCs w:val="24"/>
              </w:rPr>
              <w:t>Erakorralise abi osutamine kuus (SA Jõgeva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069CCD" w14:textId="77777777" w:rsidR="005E6966" w:rsidRPr="00687DE8" w:rsidRDefault="005E6966" w:rsidP="005E6966">
            <w:pPr>
              <w:spacing w:after="0" w:line="240" w:lineRule="auto"/>
              <w:jc w:val="center"/>
              <w:rPr>
                <w:szCs w:val="24"/>
              </w:rPr>
            </w:pPr>
            <w:r w:rsidRPr="00687DE8">
              <w:rPr>
                <w:szCs w:val="24"/>
              </w:rPr>
              <w:t>2322K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D3B12D" w14:textId="3DBEE54E" w:rsidR="1427D86C" w:rsidRPr="00687DE8" w:rsidRDefault="00E72C70">
            <w:pPr>
              <w:spacing w:after="0"/>
              <w:jc w:val="center"/>
              <w:rPr>
                <w:szCs w:val="24"/>
              </w:rPr>
            </w:pPr>
            <w:r>
              <w:rPr>
                <w:color w:val="000000"/>
              </w:rPr>
              <w:t>107 046,26</w:t>
            </w:r>
          </w:p>
        </w:tc>
      </w:tr>
      <w:tr w:rsidR="00425092" w:rsidRPr="00687DE8" w14:paraId="6D17D987" w14:textId="77777777" w:rsidTr="00934CCC">
        <w:trPr>
          <w:divId w:val="1316184749"/>
          <w:trHeight w:val="378"/>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E38A18" w14:textId="71203046" w:rsidR="00425092" w:rsidRPr="00687DE8" w:rsidRDefault="00425092" w:rsidP="00425092">
            <w:pPr>
              <w:spacing w:after="0" w:line="240" w:lineRule="auto"/>
              <w:rPr>
                <w:szCs w:val="24"/>
              </w:rPr>
            </w:pPr>
            <w:r w:rsidRPr="00687DE8">
              <w:rPr>
                <w:szCs w:val="24"/>
                <w:lang w:val="fr-FR"/>
              </w:rPr>
              <w:t>Eriarstiabi ja õendusabi osutamine kuus</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3597EF" w14:textId="55F6C5E7" w:rsidR="00425092" w:rsidRPr="00687DE8" w:rsidRDefault="00425092" w:rsidP="00425092">
            <w:pPr>
              <w:spacing w:after="0" w:line="240" w:lineRule="auto"/>
              <w:jc w:val="center"/>
              <w:rPr>
                <w:szCs w:val="24"/>
              </w:rPr>
            </w:pPr>
            <w:r w:rsidRPr="00687DE8">
              <w:rPr>
                <w:szCs w:val="24"/>
              </w:rPr>
              <w:t>2294K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61274CD" w14:textId="592524C8" w:rsidR="00425092" w:rsidRPr="00687DE8" w:rsidRDefault="00E72C70" w:rsidP="00425092">
            <w:pPr>
              <w:spacing w:after="0" w:line="240" w:lineRule="auto"/>
              <w:jc w:val="center"/>
              <w:rPr>
                <w:szCs w:val="24"/>
              </w:rPr>
            </w:pPr>
            <w:r>
              <w:rPr>
                <w:color w:val="000000"/>
              </w:rPr>
              <w:t>438 183,26</w:t>
            </w:r>
          </w:p>
        </w:tc>
      </w:tr>
      <w:tr w:rsidR="000D1928" w:rsidRPr="00687DE8" w14:paraId="603A9F03" w14:textId="77777777" w:rsidTr="00934CCC">
        <w:trPr>
          <w:divId w:val="1316184749"/>
          <w:trHeight w:val="378"/>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6E158A" w14:textId="7568951E" w:rsidR="000D1928" w:rsidRPr="00687DE8" w:rsidRDefault="000D1928" w:rsidP="000D1928">
            <w:pPr>
              <w:spacing w:after="0" w:line="240" w:lineRule="auto"/>
              <w:rPr>
                <w:szCs w:val="24"/>
              </w:rPr>
            </w:pPr>
            <w:r w:rsidRPr="00687DE8">
              <w:rPr>
                <w:szCs w:val="24"/>
              </w:rPr>
              <w:t xml:space="preserve">Statsionaarse eriarstiabi ja päevaravi osutamine kuus (SA </w:t>
            </w:r>
            <w:r>
              <w:rPr>
                <w:szCs w:val="24"/>
              </w:rPr>
              <w:t>Narva</w:t>
            </w:r>
            <w:r w:rsidRPr="00687DE8">
              <w:rPr>
                <w:szCs w:val="24"/>
              </w:rPr>
              <w:t xml:space="preserve">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3D0860" w14:textId="7B2862CD" w:rsidR="000D1928" w:rsidRPr="00687DE8" w:rsidRDefault="000D1928" w:rsidP="000D1928">
            <w:pPr>
              <w:spacing w:after="0" w:line="240" w:lineRule="auto"/>
              <w:jc w:val="center"/>
              <w:rPr>
                <w:szCs w:val="24"/>
              </w:rPr>
            </w:pPr>
            <w:r>
              <w:rPr>
                <w:szCs w:val="24"/>
              </w:rPr>
              <w:t>2394K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E774263" w14:textId="238591B1" w:rsidR="000D1928" w:rsidRPr="00687DE8" w:rsidRDefault="00E72C70" w:rsidP="000D1928">
            <w:pPr>
              <w:spacing w:after="0" w:line="240" w:lineRule="auto"/>
              <w:jc w:val="center"/>
              <w:rPr>
                <w:color w:val="000000" w:themeColor="text1"/>
              </w:rPr>
            </w:pPr>
            <w:r>
              <w:rPr>
                <w:color w:val="000000"/>
              </w:rPr>
              <w:t>611 892,75</w:t>
            </w:r>
          </w:p>
        </w:tc>
      </w:tr>
      <w:tr w:rsidR="000D1928" w:rsidRPr="00687DE8" w14:paraId="375BE937" w14:textId="77777777" w:rsidTr="00934CCC">
        <w:trPr>
          <w:divId w:val="1316184749"/>
          <w:trHeight w:val="378"/>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F975D0" w14:textId="3EC7A476" w:rsidR="000D1928" w:rsidRPr="00687DE8" w:rsidRDefault="000D1928" w:rsidP="000D1928">
            <w:pPr>
              <w:spacing w:after="0" w:line="240" w:lineRule="auto"/>
              <w:rPr>
                <w:szCs w:val="24"/>
              </w:rPr>
            </w:pPr>
            <w:r w:rsidRPr="00687DE8">
              <w:rPr>
                <w:szCs w:val="24"/>
              </w:rPr>
              <w:t>Statsionaarse eriarstiabi ja päevaravi osutamine kuus (</w:t>
            </w:r>
            <w:r>
              <w:rPr>
                <w:szCs w:val="24"/>
              </w:rPr>
              <w:t>AS</w:t>
            </w:r>
            <w:r w:rsidRPr="00687DE8">
              <w:rPr>
                <w:szCs w:val="24"/>
              </w:rPr>
              <w:t xml:space="preserve"> </w:t>
            </w:r>
            <w:r>
              <w:rPr>
                <w:szCs w:val="24"/>
              </w:rPr>
              <w:t>Järvamaa</w:t>
            </w:r>
            <w:r w:rsidRPr="00687DE8">
              <w:rPr>
                <w:szCs w:val="24"/>
              </w:rPr>
              <w:t xml:space="preserve">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298774" w14:textId="6F81135E" w:rsidR="000D1928" w:rsidRPr="00687DE8" w:rsidRDefault="000D1928" w:rsidP="000D1928">
            <w:pPr>
              <w:spacing w:after="0" w:line="240" w:lineRule="auto"/>
              <w:jc w:val="center"/>
              <w:rPr>
                <w:szCs w:val="24"/>
              </w:rPr>
            </w:pPr>
            <w:r>
              <w:rPr>
                <w:szCs w:val="24"/>
              </w:rPr>
              <w:t>2395K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73E2D47" w14:textId="75B4ABCD" w:rsidR="000D1928" w:rsidRPr="00687DE8" w:rsidRDefault="00E72C70" w:rsidP="000D1928">
            <w:pPr>
              <w:spacing w:after="0" w:line="240" w:lineRule="auto"/>
              <w:jc w:val="center"/>
            </w:pPr>
            <w:r>
              <w:rPr>
                <w:color w:val="000000"/>
              </w:rPr>
              <w:t>167 337,70</w:t>
            </w:r>
          </w:p>
        </w:tc>
      </w:tr>
      <w:tr w:rsidR="000D1928" w:rsidRPr="00687DE8" w14:paraId="39F658D9" w14:textId="77777777" w:rsidTr="00EB7A71">
        <w:trPr>
          <w:divId w:val="1316184749"/>
          <w:trHeight w:val="378"/>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76F564" w14:textId="06E18D56" w:rsidR="000D1928" w:rsidRPr="00687DE8" w:rsidRDefault="000D1928" w:rsidP="000D1928">
            <w:pPr>
              <w:spacing w:after="0" w:line="240" w:lineRule="auto"/>
              <w:rPr>
                <w:szCs w:val="24"/>
              </w:rPr>
            </w:pPr>
            <w:r w:rsidRPr="00687DE8">
              <w:rPr>
                <w:szCs w:val="24"/>
              </w:rPr>
              <w:t>Statsionaarse eriarstiabi ja päevaravi osutamine kuus (</w:t>
            </w:r>
            <w:r>
              <w:rPr>
                <w:szCs w:val="24"/>
              </w:rPr>
              <w:t>AS</w:t>
            </w:r>
            <w:r w:rsidRPr="00687DE8">
              <w:rPr>
                <w:szCs w:val="24"/>
              </w:rPr>
              <w:t xml:space="preserve"> </w:t>
            </w:r>
            <w:r>
              <w:rPr>
                <w:szCs w:val="24"/>
              </w:rPr>
              <w:t>Põlva</w:t>
            </w:r>
            <w:r w:rsidRPr="00687DE8">
              <w:rPr>
                <w:szCs w:val="24"/>
              </w:rPr>
              <w:t xml:space="preserve">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B10B05" w14:textId="7BAF0629" w:rsidR="000D1928" w:rsidRPr="00687DE8" w:rsidRDefault="000D1928" w:rsidP="000D1928">
            <w:pPr>
              <w:spacing w:after="0" w:line="240" w:lineRule="auto"/>
              <w:jc w:val="center"/>
              <w:rPr>
                <w:szCs w:val="24"/>
              </w:rPr>
            </w:pPr>
            <w:r>
              <w:rPr>
                <w:szCs w:val="24"/>
              </w:rPr>
              <w:t>2396K</w:t>
            </w:r>
          </w:p>
        </w:tc>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0084E1" w14:textId="2ED03B65" w:rsidR="000D1928" w:rsidRPr="00687DE8" w:rsidRDefault="00E72C70" w:rsidP="000D1928">
            <w:pPr>
              <w:spacing w:after="0" w:line="240" w:lineRule="auto"/>
              <w:jc w:val="center"/>
            </w:pPr>
            <w:r>
              <w:rPr>
                <w:color w:val="000000"/>
              </w:rPr>
              <w:t>262 216,73</w:t>
            </w:r>
          </w:p>
        </w:tc>
      </w:tr>
      <w:tr w:rsidR="00425092" w:rsidRPr="00687DE8" w14:paraId="525E2D2F" w14:textId="77777777" w:rsidTr="00934CCC">
        <w:trPr>
          <w:divId w:val="1316184749"/>
          <w:trHeight w:val="378"/>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8D03E1" w14:textId="72410DCE" w:rsidR="00425092" w:rsidRPr="00687DE8" w:rsidRDefault="00425092" w:rsidP="00425092">
            <w:pPr>
              <w:spacing w:after="0" w:line="240" w:lineRule="auto"/>
              <w:rPr>
                <w:szCs w:val="24"/>
              </w:rPr>
            </w:pPr>
            <w:r w:rsidRPr="00687DE8">
              <w:rPr>
                <w:szCs w:val="24"/>
              </w:rPr>
              <w:t>Statsionaarse eriarstiabi ja päevaravi osutamine kuus (SA Raplamaa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DA879C" w14:textId="3A6C4E9F" w:rsidR="00425092" w:rsidRPr="00687DE8" w:rsidRDefault="00425092" w:rsidP="00425092">
            <w:pPr>
              <w:spacing w:after="0" w:line="240" w:lineRule="auto"/>
              <w:jc w:val="center"/>
              <w:rPr>
                <w:szCs w:val="24"/>
              </w:rPr>
            </w:pPr>
            <w:r w:rsidRPr="00687DE8">
              <w:rPr>
                <w:szCs w:val="24"/>
              </w:rPr>
              <w:t>2397K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F914058" w14:textId="7BCE77AC" w:rsidR="00425092" w:rsidRPr="00687DE8" w:rsidRDefault="00E72C70" w:rsidP="00425092">
            <w:pPr>
              <w:spacing w:after="0" w:line="240" w:lineRule="auto"/>
              <w:jc w:val="center"/>
            </w:pPr>
            <w:r>
              <w:rPr>
                <w:color w:val="000000"/>
              </w:rPr>
              <w:t>109 185,69</w:t>
            </w:r>
          </w:p>
        </w:tc>
      </w:tr>
      <w:tr w:rsidR="00425092" w:rsidRPr="00687DE8" w14:paraId="4281F9AE" w14:textId="77777777" w:rsidTr="00934CCC">
        <w:trPr>
          <w:divId w:val="1316184749"/>
          <w:trHeight w:val="378"/>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860F54" w14:textId="5AE1006D" w:rsidR="00425092" w:rsidRPr="00687DE8" w:rsidRDefault="00425092" w:rsidP="00425092">
            <w:pPr>
              <w:spacing w:after="0" w:line="240" w:lineRule="auto"/>
              <w:rPr>
                <w:szCs w:val="24"/>
              </w:rPr>
            </w:pPr>
            <w:r w:rsidRPr="00687DE8">
              <w:rPr>
                <w:szCs w:val="24"/>
              </w:rPr>
              <w:t>Statsionaarse eriarstiabi ja päevaravi osutamine kuus (SA Läänemaa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06DFAF" w14:textId="3A26C478" w:rsidR="00425092" w:rsidRPr="00687DE8" w:rsidRDefault="00425092" w:rsidP="00425092">
            <w:pPr>
              <w:spacing w:after="0" w:line="240" w:lineRule="auto"/>
              <w:jc w:val="center"/>
              <w:rPr>
                <w:szCs w:val="24"/>
              </w:rPr>
            </w:pPr>
            <w:r w:rsidRPr="00687DE8">
              <w:rPr>
                <w:szCs w:val="24"/>
              </w:rPr>
              <w:t>2398K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BC01211" w14:textId="30D133E9" w:rsidR="00425092" w:rsidRPr="00687DE8" w:rsidRDefault="00E72C70" w:rsidP="00425092">
            <w:pPr>
              <w:spacing w:after="0" w:line="240" w:lineRule="auto"/>
              <w:jc w:val="center"/>
            </w:pPr>
            <w:r>
              <w:rPr>
                <w:color w:val="000000"/>
              </w:rPr>
              <w:t>183 904,02</w:t>
            </w:r>
          </w:p>
        </w:tc>
      </w:tr>
      <w:tr w:rsidR="00425092" w:rsidRPr="00687DE8" w14:paraId="55A93DAB" w14:textId="77777777" w:rsidTr="00934CCC">
        <w:trPr>
          <w:divId w:val="1316184749"/>
          <w:trHeight w:val="378"/>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496F39" w14:textId="40FF9171" w:rsidR="00425092" w:rsidRPr="00687DE8" w:rsidRDefault="00425092" w:rsidP="00425092">
            <w:pPr>
              <w:spacing w:after="0" w:line="240" w:lineRule="auto"/>
              <w:rPr>
                <w:szCs w:val="24"/>
              </w:rPr>
            </w:pPr>
            <w:r w:rsidRPr="00687DE8">
              <w:rPr>
                <w:szCs w:val="24"/>
              </w:rPr>
              <w:t>Statsionaarse eriarstiabi ja päevaravi osutamine kuus (SA Jõgeva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3CB227" w14:textId="4675CF16" w:rsidR="00425092" w:rsidRPr="00687DE8" w:rsidRDefault="00425092" w:rsidP="00425092">
            <w:pPr>
              <w:spacing w:after="0" w:line="240" w:lineRule="auto"/>
              <w:jc w:val="center"/>
              <w:rPr>
                <w:szCs w:val="24"/>
              </w:rPr>
            </w:pPr>
            <w:r w:rsidRPr="00687DE8">
              <w:rPr>
                <w:szCs w:val="24"/>
              </w:rPr>
              <w:t>2399K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28B50D8" w14:textId="725EBCBF" w:rsidR="00425092" w:rsidRPr="00687DE8" w:rsidRDefault="00E72C70" w:rsidP="00425092">
            <w:pPr>
              <w:spacing w:after="0" w:line="240" w:lineRule="auto"/>
              <w:jc w:val="center"/>
            </w:pPr>
            <w:r>
              <w:rPr>
                <w:color w:val="000000"/>
              </w:rPr>
              <w:t>184 936,74</w:t>
            </w:r>
          </w:p>
        </w:tc>
      </w:tr>
      <w:tr w:rsidR="00425092" w:rsidRPr="00687DE8" w14:paraId="57FB2BE9" w14:textId="77777777" w:rsidTr="00934CCC">
        <w:trPr>
          <w:divId w:val="1316184749"/>
          <w:trHeight w:val="378"/>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B3A715" w14:textId="25CC8D11" w:rsidR="00425092" w:rsidRPr="00687DE8" w:rsidRDefault="581CF861" w:rsidP="00425092">
            <w:pPr>
              <w:spacing w:after="0" w:line="240" w:lineRule="auto"/>
            </w:pPr>
            <w:r>
              <w:t>Kinnipidamisasutuses</w:t>
            </w:r>
            <w:r w:rsidR="72B340C5">
              <w:t xml:space="preserve"> </w:t>
            </w:r>
            <w:r w:rsidR="00425092">
              <w:t>tervishoiuteenuste osutamise valmisolekutasu ühes kuus (AS Lääne-Tallinna Keskhaigla)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F2C52B" w14:textId="77777777" w:rsidR="00CF197B" w:rsidRDefault="00CF197B" w:rsidP="00425092">
            <w:pPr>
              <w:spacing w:after="0" w:line="240" w:lineRule="auto"/>
              <w:jc w:val="center"/>
              <w:rPr>
                <w:szCs w:val="24"/>
              </w:rPr>
            </w:pPr>
          </w:p>
          <w:p w14:paraId="6E1D8500" w14:textId="7B1E997A" w:rsidR="00425092" w:rsidRPr="00687DE8" w:rsidRDefault="00425092" w:rsidP="00425092">
            <w:pPr>
              <w:spacing w:after="0" w:line="240" w:lineRule="auto"/>
              <w:jc w:val="center"/>
              <w:rPr>
                <w:szCs w:val="24"/>
              </w:rPr>
            </w:pPr>
            <w:r w:rsidRPr="00687DE8">
              <w:rPr>
                <w:szCs w:val="24"/>
              </w:rPr>
              <w:t>2351K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D844FED" w14:textId="377BE452" w:rsidR="00425092" w:rsidRPr="00687DE8" w:rsidRDefault="00E72C70" w:rsidP="00425092">
            <w:pPr>
              <w:spacing w:after="0" w:line="240" w:lineRule="auto"/>
              <w:jc w:val="center"/>
              <w:rPr>
                <w:szCs w:val="24"/>
              </w:rPr>
            </w:pPr>
            <w:r>
              <w:rPr>
                <w:color w:val="000000"/>
              </w:rPr>
              <w:t>242 208,06</w:t>
            </w:r>
          </w:p>
        </w:tc>
      </w:tr>
      <w:tr w:rsidR="00425092" w:rsidRPr="00687DE8" w14:paraId="7338D93F" w14:textId="77777777" w:rsidTr="00934CCC">
        <w:trPr>
          <w:divId w:val="1316184749"/>
          <w:trHeight w:val="378"/>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FC7572" w14:textId="189226C6" w:rsidR="00425092" w:rsidRPr="00687DE8" w:rsidRDefault="712DBA2F" w:rsidP="00425092">
            <w:pPr>
              <w:spacing w:after="0" w:line="240" w:lineRule="auto"/>
            </w:pPr>
            <w:r>
              <w:lastRenderedPageBreak/>
              <w:t>Kinnipidamisasutuse</w:t>
            </w:r>
            <w:r w:rsidR="00596248">
              <w:t xml:space="preserve">s </w:t>
            </w:r>
            <w:r w:rsidR="00425092">
              <w:t>tervishoiuteenuste osutamise valmisolekutasu ühes kuus (SA Viljandi 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2DB251" w14:textId="77777777" w:rsidR="00CF197B" w:rsidRDefault="00CF197B" w:rsidP="00425092">
            <w:pPr>
              <w:spacing w:after="0" w:line="240" w:lineRule="auto"/>
              <w:jc w:val="center"/>
              <w:rPr>
                <w:szCs w:val="24"/>
              </w:rPr>
            </w:pPr>
          </w:p>
          <w:p w14:paraId="170493ED" w14:textId="7640E8BE" w:rsidR="00425092" w:rsidRPr="00687DE8" w:rsidRDefault="00425092" w:rsidP="00425092">
            <w:pPr>
              <w:spacing w:after="0" w:line="240" w:lineRule="auto"/>
              <w:jc w:val="center"/>
              <w:rPr>
                <w:szCs w:val="24"/>
              </w:rPr>
            </w:pPr>
            <w:r w:rsidRPr="00687DE8">
              <w:rPr>
                <w:szCs w:val="24"/>
              </w:rPr>
              <w:t>2352K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C4F1745" w14:textId="26F2FE39" w:rsidR="00425092" w:rsidRPr="00687DE8" w:rsidRDefault="00E72C70" w:rsidP="00425092">
            <w:pPr>
              <w:spacing w:after="0" w:line="240" w:lineRule="auto"/>
              <w:jc w:val="center"/>
              <w:rPr>
                <w:szCs w:val="24"/>
              </w:rPr>
            </w:pPr>
            <w:r>
              <w:rPr>
                <w:color w:val="000000"/>
              </w:rPr>
              <w:t>156 654,16</w:t>
            </w:r>
          </w:p>
        </w:tc>
      </w:tr>
      <w:tr w:rsidR="00425092" w:rsidRPr="00687DE8" w14:paraId="536EA82A" w14:textId="77777777" w:rsidTr="00EB7A71">
        <w:trPr>
          <w:divId w:val="1316184749"/>
          <w:trHeight w:val="72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9032AB" w14:textId="4EA23DDE" w:rsidR="00425092" w:rsidRPr="00687DE8" w:rsidRDefault="6ACB0553" w:rsidP="00425092">
            <w:pPr>
              <w:spacing w:after="0" w:line="240" w:lineRule="auto"/>
            </w:pPr>
            <w:r>
              <w:t>Kinnipidamisasutuse</w:t>
            </w:r>
            <w:r w:rsidR="00596248">
              <w:t xml:space="preserve">s </w:t>
            </w:r>
            <w:r w:rsidR="00425092">
              <w:t>tervishoiuteenuste osutamise valmisolekutasu ühes kuus (SA Ida-Viru Keskhaigla)</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D9D804" w14:textId="77777777" w:rsidR="00CF197B" w:rsidRDefault="00CF197B" w:rsidP="00425092">
            <w:pPr>
              <w:spacing w:after="0" w:line="240" w:lineRule="auto"/>
              <w:jc w:val="center"/>
              <w:rPr>
                <w:szCs w:val="24"/>
              </w:rPr>
            </w:pPr>
          </w:p>
          <w:p w14:paraId="33040EB9" w14:textId="3472B015" w:rsidR="00425092" w:rsidRPr="00687DE8" w:rsidRDefault="00425092" w:rsidP="00425092">
            <w:pPr>
              <w:spacing w:after="0" w:line="240" w:lineRule="auto"/>
              <w:jc w:val="center"/>
              <w:rPr>
                <w:szCs w:val="24"/>
              </w:rPr>
            </w:pPr>
            <w:r w:rsidRPr="00687DE8">
              <w:rPr>
                <w:szCs w:val="24"/>
              </w:rPr>
              <w:t>2353K</w:t>
            </w:r>
          </w:p>
        </w:tc>
        <w:tc>
          <w:tcPr>
            <w:tcW w:w="24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727D0BF" w14:textId="530FA1C7" w:rsidR="00425092" w:rsidRPr="00687DE8" w:rsidRDefault="00E72C70" w:rsidP="00425092">
            <w:pPr>
              <w:spacing w:after="0" w:line="240" w:lineRule="auto"/>
              <w:jc w:val="center"/>
              <w:rPr>
                <w:szCs w:val="24"/>
              </w:rPr>
            </w:pPr>
            <w:r>
              <w:rPr>
                <w:color w:val="000000"/>
              </w:rPr>
              <w:t>141 959,56</w:t>
            </w:r>
          </w:p>
        </w:tc>
      </w:tr>
      <w:tr w:rsidR="00153B95" w:rsidRPr="00687DE8" w14:paraId="36D18C9E" w14:textId="77777777" w:rsidTr="00EB7A71">
        <w:trPr>
          <w:divId w:val="1316184749"/>
          <w:trHeight w:val="720"/>
        </w:trPr>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94D169" w14:textId="5BB37710" w:rsidR="00153B95" w:rsidRDefault="00582F13" w:rsidP="00425092">
            <w:pPr>
              <w:spacing w:after="0" w:line="240" w:lineRule="auto"/>
            </w:pPr>
            <w:r>
              <w:rPr>
                <w:szCs w:val="24"/>
              </w:rPr>
              <w:t xml:space="preserve">Insuldipatsiendi </w:t>
            </w:r>
            <w:r w:rsidR="00C872E7" w:rsidRPr="0049141E">
              <w:rPr>
                <w:szCs w:val="24"/>
              </w:rPr>
              <w:t>raviteekond</w:t>
            </w:r>
          </w:p>
        </w:tc>
        <w:tc>
          <w:tcPr>
            <w:tcW w:w="22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3290C5" w14:textId="2BB54FD1" w:rsidR="00153B95" w:rsidRDefault="00C872E7" w:rsidP="00425092">
            <w:pPr>
              <w:spacing w:after="0" w:line="240" w:lineRule="auto"/>
              <w:jc w:val="center"/>
              <w:rPr>
                <w:szCs w:val="24"/>
              </w:rPr>
            </w:pPr>
            <w:r>
              <w:rPr>
                <w:szCs w:val="24"/>
              </w:rPr>
              <w:t>2360K</w:t>
            </w:r>
          </w:p>
        </w:tc>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E8B76C" w14:textId="7C7730FB" w:rsidR="00153B95" w:rsidRDefault="00E72C70" w:rsidP="00425092">
            <w:pPr>
              <w:spacing w:after="0" w:line="240" w:lineRule="auto"/>
              <w:jc w:val="center"/>
              <w:rPr>
                <w:color w:val="000000"/>
              </w:rPr>
            </w:pPr>
            <w:r w:rsidRPr="00E72C70">
              <w:rPr>
                <w:color w:val="000000"/>
              </w:rPr>
              <w:t>6092</w:t>
            </w:r>
            <w:r w:rsidR="0017247D">
              <w:rPr>
                <w:color w:val="000000"/>
              </w:rPr>
              <w:t>,</w:t>
            </w:r>
            <w:r w:rsidRPr="00E72C70">
              <w:rPr>
                <w:color w:val="000000"/>
              </w:rPr>
              <w:t>01</w:t>
            </w:r>
          </w:p>
        </w:tc>
      </w:tr>
    </w:tbl>
    <w:p w14:paraId="0B235547" w14:textId="77777777" w:rsidR="00976487" w:rsidRPr="00687DE8" w:rsidRDefault="00976487" w:rsidP="00976487">
      <w:pPr>
        <w:spacing w:after="0" w:line="240" w:lineRule="auto"/>
        <w:jc w:val="both"/>
        <w:divId w:val="1316184749"/>
        <w:rPr>
          <w:szCs w:val="24"/>
        </w:rPr>
      </w:pPr>
    </w:p>
    <w:p w14:paraId="658B2CE1" w14:textId="781C507D" w:rsidR="00976487" w:rsidRPr="00687DE8" w:rsidRDefault="00976487" w:rsidP="00976487">
      <w:pPr>
        <w:spacing w:after="0" w:line="240" w:lineRule="auto"/>
        <w:jc w:val="both"/>
        <w:divId w:val="1316184749"/>
        <w:rPr>
          <w:szCs w:val="24"/>
        </w:rPr>
      </w:pPr>
      <w:r w:rsidRPr="00687DE8">
        <w:rPr>
          <w:szCs w:val="24"/>
        </w:rPr>
        <w:t xml:space="preserve">(2) Koodiga 2290K tähistatud tervishoiuteenus sisaldab sünnitusaegsete ultraheliuuringute, kardiotokograafiliste uuringute, STAN-monitooringute, loote pideva monitooringu, veenitee rajamise, põie kateeterdamise, sünnitusabi tangide või vaakumekstraktsiooni kasutamise, vaakumotsiku, I ja II järgu lahkliharebendite taastamise, epiduraalanesteesia, vastsündinu vere happe-aluse tasakaalu analüüside ja sünnitusabi voodipäevade maksumust ning seda rakendatakse juhul, kui sünnituse vastuvõtmiseks ei kasutata keisrilõiget. </w:t>
      </w:r>
    </w:p>
    <w:p w14:paraId="27459466" w14:textId="77777777" w:rsidR="00976487" w:rsidRPr="00687DE8" w:rsidRDefault="00976487" w:rsidP="00976487">
      <w:pPr>
        <w:spacing w:after="0" w:line="240" w:lineRule="auto"/>
        <w:jc w:val="both"/>
        <w:divId w:val="1316184749"/>
        <w:rPr>
          <w:szCs w:val="24"/>
        </w:rPr>
      </w:pPr>
    </w:p>
    <w:p w14:paraId="335ACCAB" w14:textId="77777777" w:rsidR="00976487" w:rsidRPr="00687DE8" w:rsidRDefault="00976487" w:rsidP="00976487">
      <w:pPr>
        <w:spacing w:after="0" w:line="240" w:lineRule="auto"/>
        <w:jc w:val="both"/>
        <w:divId w:val="1316184749"/>
        <w:rPr>
          <w:szCs w:val="24"/>
        </w:rPr>
      </w:pPr>
      <w:r w:rsidRPr="00687DE8">
        <w:rPr>
          <w:szCs w:val="24"/>
        </w:rPr>
        <w:t>(3) Koodiga 2291K tähistatud tervishoiuteenus sisaldab ainult füsioloogilise sünnitusega (2290K) seotud kulusid (</w:t>
      </w:r>
      <w:r w:rsidR="00DC4841" w:rsidRPr="00687DE8">
        <w:rPr>
          <w:szCs w:val="24"/>
        </w:rPr>
        <w:t>välja arvatud</w:t>
      </w:r>
      <w:r w:rsidRPr="00687DE8">
        <w:rPr>
          <w:szCs w:val="24"/>
        </w:rPr>
        <w:t xml:space="preserve"> voodipäevade maksumust) ning seda rakendatakse juhul, kui füsioloogiliselt alanud sünnituse vastuvõtmiseks kasutatakse erakorraliselt keisrilõiget.</w:t>
      </w:r>
    </w:p>
    <w:p w14:paraId="3D6A9E21" w14:textId="77777777" w:rsidR="00976487" w:rsidRPr="00687DE8" w:rsidRDefault="00976487" w:rsidP="00976487">
      <w:pPr>
        <w:spacing w:after="0" w:line="240" w:lineRule="auto"/>
        <w:jc w:val="both"/>
        <w:divId w:val="1316184749"/>
        <w:rPr>
          <w:szCs w:val="24"/>
        </w:rPr>
      </w:pPr>
    </w:p>
    <w:p w14:paraId="3E4121F1" w14:textId="77777777" w:rsidR="00976487" w:rsidRPr="00687DE8" w:rsidRDefault="00976487" w:rsidP="00976487">
      <w:pPr>
        <w:spacing w:after="0" w:line="240" w:lineRule="auto"/>
        <w:jc w:val="both"/>
        <w:divId w:val="1316184749"/>
        <w:rPr>
          <w:szCs w:val="24"/>
        </w:rPr>
      </w:pPr>
      <w:r w:rsidRPr="00687DE8">
        <w:rPr>
          <w:szCs w:val="24"/>
        </w:rPr>
        <w:t>(4) Koodiga 2280K tähistatud tervishoiuteenus sisaldab haiglate loetelus nimetatud haiglas ööpäevaringse valmisolekuga seotud kulu</w:t>
      </w:r>
      <w:r w:rsidR="002F0BCF" w:rsidRPr="00687DE8">
        <w:rPr>
          <w:szCs w:val="24"/>
        </w:rPr>
        <w:t>.</w:t>
      </w:r>
    </w:p>
    <w:p w14:paraId="63BFFF1A" w14:textId="77777777" w:rsidR="00976487" w:rsidRPr="00687DE8" w:rsidRDefault="00976487" w:rsidP="00976487">
      <w:pPr>
        <w:spacing w:after="0" w:line="240" w:lineRule="auto"/>
        <w:jc w:val="both"/>
        <w:divId w:val="1316184749"/>
        <w:rPr>
          <w:szCs w:val="24"/>
        </w:rPr>
      </w:pPr>
    </w:p>
    <w:p w14:paraId="42EA69C1" w14:textId="74EB29B3" w:rsidR="00976487" w:rsidRPr="00687DE8" w:rsidRDefault="00976487" w:rsidP="0FE4C6FF">
      <w:pPr>
        <w:spacing w:after="0" w:line="240" w:lineRule="auto"/>
        <w:jc w:val="both"/>
        <w:divId w:val="1316184749"/>
      </w:pPr>
      <w:r>
        <w:t xml:space="preserve">(5) </w:t>
      </w:r>
      <w:r w:rsidR="00553414">
        <w:t>K</w:t>
      </w:r>
      <w:r w:rsidR="070830CA">
        <w:t xml:space="preserve">oodidega </w:t>
      </w:r>
      <w:r w:rsidR="2A5E7F63">
        <w:t>227</w:t>
      </w:r>
      <w:r w:rsidR="449D8D8C">
        <w:t>8</w:t>
      </w:r>
      <w:r w:rsidR="2A5E7F63">
        <w:t>K</w:t>
      </w:r>
      <w:r w:rsidR="070830CA">
        <w:t xml:space="preserve"> ja </w:t>
      </w:r>
      <w:r w:rsidR="2A5E7F63">
        <w:t>22</w:t>
      </w:r>
      <w:r w:rsidR="51957D77">
        <w:t>79</w:t>
      </w:r>
      <w:r w:rsidR="2A5E7F63">
        <w:t>K</w:t>
      </w:r>
      <w:r w:rsidR="070830CA">
        <w:t xml:space="preserve"> tähistatud tervishoiuteenuste piirhinnad sisaldavad operatsiooni </w:t>
      </w:r>
      <w:r w:rsidR="00281D4B">
        <w:t>ja</w:t>
      </w:r>
      <w:r w:rsidR="070830CA">
        <w:t xml:space="preserve"> implantaadi maksumust</w:t>
      </w:r>
      <w:r w:rsidR="40D3F0F2">
        <w:t xml:space="preserve">. Kahepoolse </w:t>
      </w:r>
      <w:r w:rsidR="2D7BFA27">
        <w:t>implantatsiooni</w:t>
      </w:r>
      <w:r w:rsidR="40D3F0F2">
        <w:t xml:space="preserve"> korral rakendatakse koodi </w:t>
      </w:r>
      <w:r w:rsidR="00EC7696">
        <w:t xml:space="preserve">kaks korda </w:t>
      </w:r>
      <w:r w:rsidR="40D3F0F2">
        <w:t>koefitsiendiga</w:t>
      </w:r>
      <w:r w:rsidR="000B19E5">
        <w:t xml:space="preserve"> 1,0</w:t>
      </w:r>
      <w:r w:rsidR="40D3F0F2">
        <w:t>.</w:t>
      </w:r>
    </w:p>
    <w:p w14:paraId="3F20BF58" w14:textId="77777777" w:rsidR="00553414" w:rsidRDefault="00553414" w:rsidP="00553414">
      <w:pPr>
        <w:spacing w:after="0" w:line="240" w:lineRule="auto"/>
        <w:jc w:val="both"/>
        <w:divId w:val="1316184749"/>
      </w:pPr>
    </w:p>
    <w:p w14:paraId="30C718E9" w14:textId="3E7E90E6" w:rsidR="00E5533A" w:rsidRDefault="00553414" w:rsidP="00976487">
      <w:pPr>
        <w:spacing w:after="0" w:line="240" w:lineRule="auto"/>
        <w:jc w:val="both"/>
        <w:divId w:val="1316184749"/>
      </w:pPr>
      <w:r>
        <w:t xml:space="preserve">(6) </w:t>
      </w:r>
      <w:r w:rsidR="00E5533A">
        <w:t>K</w:t>
      </w:r>
      <w:r w:rsidR="00976487">
        <w:t xml:space="preserve">oodiga </w:t>
      </w:r>
      <w:r w:rsidR="1260E0B7">
        <w:t>22</w:t>
      </w:r>
      <w:r w:rsidR="67005CFF">
        <w:t>79</w:t>
      </w:r>
      <w:r w:rsidR="1260E0B7">
        <w:t>K</w:t>
      </w:r>
      <w:r w:rsidR="00976487">
        <w:t xml:space="preserve"> tähistatud tervishoiuteenust rakendatakse </w:t>
      </w:r>
      <w:r w:rsidR="00E5533A">
        <w:t>järgmistel juhtudel:</w:t>
      </w:r>
    </w:p>
    <w:p w14:paraId="35E7EE8D" w14:textId="18898DEA" w:rsidR="00976487" w:rsidRPr="00687DE8" w:rsidRDefault="00E5533A" w:rsidP="00976487">
      <w:pPr>
        <w:spacing w:after="0" w:line="240" w:lineRule="auto"/>
        <w:jc w:val="both"/>
        <w:divId w:val="1316184749"/>
      </w:pPr>
      <w:r>
        <w:t>1)</w:t>
      </w:r>
      <w:r w:rsidR="00976487">
        <w:t xml:space="preserve"> väliskõrva või väliskuulmekäigu kaasasündinud puudumise (RHK 10 koodid Q16.0 ja Q16.1) korral</w:t>
      </w:r>
      <w:r w:rsidR="00A95291">
        <w:t>;</w:t>
      </w:r>
    </w:p>
    <w:p w14:paraId="7E7EA0CE" w14:textId="17170ED8" w:rsidR="00642EFE" w:rsidRDefault="00DE08DA" w:rsidP="00642EFE">
      <w:pPr>
        <w:spacing w:after="0" w:line="240" w:lineRule="auto"/>
        <w:jc w:val="both"/>
        <w:divId w:val="1316184749"/>
      </w:pPr>
      <w:r>
        <w:t>2</w:t>
      </w:r>
      <w:r w:rsidR="00642EFE">
        <w:t>) ühe- või kahepoolse konduktiivse või segatüüpi kuulmislanguse või ühepoolse sensorineuraalse kurtuse (RHK 10 koodid H90.0, H90.1, H90.6</w:t>
      </w:r>
      <w:r w:rsidR="00F41CE5">
        <w:t xml:space="preserve"> ja</w:t>
      </w:r>
      <w:r w:rsidR="00642EFE">
        <w:t xml:space="preserve"> H90.7) korral juhul, kui alternatiivsete raviviiside kasutamine ei ole haiguse</w:t>
      </w:r>
      <w:r w:rsidR="00407082">
        <w:t xml:space="preserve"> </w:t>
      </w:r>
      <w:r w:rsidR="00642EFE">
        <w:t>iseloomust tingituna otstarbekas või alternatiivsete raviviisidega ei ole võimalik optimaalset kuulmisrehabilitatsiooni</w:t>
      </w:r>
      <w:r w:rsidR="00EC7696" w:rsidRPr="00EC7696">
        <w:t xml:space="preserve"> </w:t>
      </w:r>
      <w:r w:rsidR="00EC7696">
        <w:t>saavutada</w:t>
      </w:r>
      <w:r w:rsidR="00642EFE">
        <w:t>.</w:t>
      </w:r>
    </w:p>
    <w:p w14:paraId="1DB75E1B" w14:textId="19E34A9B" w:rsidR="00976487" w:rsidRPr="00687DE8" w:rsidRDefault="00976487" w:rsidP="00976487">
      <w:pPr>
        <w:spacing w:after="0" w:line="240" w:lineRule="auto"/>
        <w:jc w:val="both"/>
        <w:divId w:val="1316184749"/>
        <w:rPr>
          <w:szCs w:val="24"/>
        </w:rPr>
      </w:pPr>
    </w:p>
    <w:p w14:paraId="1EA20535" w14:textId="3FB1D5EE" w:rsidR="00976487" w:rsidRPr="00687DE8" w:rsidRDefault="00976487" w:rsidP="00976487">
      <w:pPr>
        <w:spacing w:after="0" w:line="240" w:lineRule="auto"/>
        <w:jc w:val="both"/>
        <w:divId w:val="1316184749"/>
        <w:rPr>
          <w:szCs w:val="24"/>
        </w:rPr>
      </w:pPr>
      <w:r w:rsidRPr="00687DE8">
        <w:rPr>
          <w:szCs w:val="24"/>
        </w:rPr>
        <w:t>(</w:t>
      </w:r>
      <w:r w:rsidR="007E23AC">
        <w:rPr>
          <w:szCs w:val="24"/>
        </w:rPr>
        <w:t>7</w:t>
      </w:r>
      <w:r w:rsidRPr="00687DE8">
        <w:rPr>
          <w:szCs w:val="24"/>
        </w:rPr>
        <w:t>) Koodiga 2280K tähistatud tervishoiuteenuse piirhinda rakendatakse haiglate loetelus nimetatud haiglas nendel arstlikel erialadel, millel vastavalt tervishoiuteenuste korraldamise seaduse § 22 lõike 4 alusel kehtestatud määrusele töötavad eriarstid haiglas ööpäev läbi.</w:t>
      </w:r>
    </w:p>
    <w:p w14:paraId="48AE7C19" w14:textId="77777777" w:rsidR="00976487" w:rsidRPr="00687DE8" w:rsidRDefault="00976487" w:rsidP="00976487">
      <w:pPr>
        <w:spacing w:after="0" w:line="240" w:lineRule="auto"/>
        <w:jc w:val="both"/>
        <w:divId w:val="1316184749"/>
        <w:rPr>
          <w:szCs w:val="24"/>
        </w:rPr>
      </w:pPr>
    </w:p>
    <w:p w14:paraId="68DBAD9C" w14:textId="2468D917" w:rsidR="00976487" w:rsidRPr="00687DE8" w:rsidRDefault="00976487" w:rsidP="00976487">
      <w:pPr>
        <w:spacing w:after="0" w:line="240" w:lineRule="auto"/>
        <w:jc w:val="both"/>
        <w:divId w:val="1316184749"/>
        <w:rPr>
          <w:szCs w:val="24"/>
        </w:rPr>
      </w:pPr>
      <w:r w:rsidRPr="00687DE8">
        <w:rPr>
          <w:szCs w:val="24"/>
        </w:rPr>
        <w:t>(</w:t>
      </w:r>
      <w:r w:rsidR="007E23AC">
        <w:rPr>
          <w:szCs w:val="24"/>
        </w:rPr>
        <w:t>8</w:t>
      </w:r>
      <w:r w:rsidRPr="00687DE8">
        <w:rPr>
          <w:szCs w:val="24"/>
        </w:rPr>
        <w:t>) Koodiga 2280K tähistatud tervishoiuteenuse piirhinda rakendatakse haiglate loetelus nimetatud üldhaiglas, välja arvatud haiglate loetelu § 2 lõike 3 punktis 9 nimetatud üldhaigla, ööpäevaringse valmisoleku tagamiseks kolmel arstlikul erialal.</w:t>
      </w:r>
    </w:p>
    <w:p w14:paraId="4EA03467" w14:textId="77777777" w:rsidR="00976487" w:rsidRPr="00687DE8" w:rsidRDefault="00976487" w:rsidP="00976487">
      <w:pPr>
        <w:spacing w:after="0" w:line="240" w:lineRule="auto"/>
        <w:jc w:val="both"/>
        <w:divId w:val="1316184749"/>
        <w:rPr>
          <w:szCs w:val="24"/>
        </w:rPr>
      </w:pPr>
    </w:p>
    <w:p w14:paraId="7307417C" w14:textId="3C180327" w:rsidR="00976487" w:rsidRPr="00687DE8" w:rsidRDefault="00976487" w:rsidP="00976487">
      <w:pPr>
        <w:spacing w:after="0" w:line="240" w:lineRule="auto"/>
        <w:jc w:val="both"/>
        <w:divId w:val="1316184749"/>
        <w:rPr>
          <w:szCs w:val="24"/>
        </w:rPr>
      </w:pPr>
      <w:r w:rsidRPr="00687DE8">
        <w:rPr>
          <w:szCs w:val="24"/>
        </w:rPr>
        <w:lastRenderedPageBreak/>
        <w:t>(</w:t>
      </w:r>
      <w:r w:rsidR="007E23AC">
        <w:rPr>
          <w:szCs w:val="24"/>
        </w:rPr>
        <w:t>9</w:t>
      </w:r>
      <w:r w:rsidRPr="00687DE8">
        <w:rPr>
          <w:szCs w:val="24"/>
        </w:rPr>
        <w:t>) Koodiga 2280K tähistatud tervishoiuteenuse piirhinda rakendatakse haiglate loetelus nimetatud üldhaiglas ööpäevaringse valmisoleku tagamiseks lisaks lõikes </w:t>
      </w:r>
      <w:r w:rsidR="00646B2F">
        <w:rPr>
          <w:szCs w:val="24"/>
        </w:rPr>
        <w:t>8</w:t>
      </w:r>
      <w:r w:rsidRPr="00687DE8">
        <w:rPr>
          <w:szCs w:val="24"/>
        </w:rPr>
        <w:t xml:space="preserve"> nimetatud erialadele psühhiaatria erialal, kui üldhaiglal on tegevusluba psüühilise häirega patsientide tuberkuloosiravi ja tahtevastase tuberkuloosiravi tervishoiuteenuse osutamiseks ning psühhiaatria erialal osutatavad tervishoiuteenused vastavad tervishoiuteenuste korraldamise seaduse § 22 lõike 4 alusel kehtestatud määrusega sätestatud piirkondlikule haiglale esitatavatele nõuetele.</w:t>
      </w:r>
    </w:p>
    <w:p w14:paraId="78682BBA" w14:textId="77777777" w:rsidR="00976487" w:rsidRPr="00687DE8" w:rsidRDefault="00976487" w:rsidP="00976487">
      <w:pPr>
        <w:spacing w:after="0" w:line="240" w:lineRule="auto"/>
        <w:jc w:val="both"/>
        <w:divId w:val="1316184749"/>
        <w:rPr>
          <w:szCs w:val="24"/>
        </w:rPr>
      </w:pPr>
    </w:p>
    <w:p w14:paraId="4F627E2C" w14:textId="003DCD0F" w:rsidR="00976487" w:rsidRPr="00687DE8" w:rsidRDefault="00976487" w:rsidP="00976487">
      <w:pPr>
        <w:spacing w:after="0" w:line="240" w:lineRule="auto"/>
        <w:jc w:val="both"/>
        <w:divId w:val="1316184749"/>
        <w:rPr>
          <w:szCs w:val="24"/>
        </w:rPr>
      </w:pPr>
      <w:r w:rsidRPr="00687DE8">
        <w:rPr>
          <w:szCs w:val="24"/>
        </w:rPr>
        <w:t>(</w:t>
      </w:r>
      <w:r w:rsidR="007E23AC">
        <w:rPr>
          <w:szCs w:val="24"/>
        </w:rPr>
        <w:t>10</w:t>
      </w:r>
      <w:r w:rsidRPr="00687DE8">
        <w:rPr>
          <w:szCs w:val="24"/>
        </w:rPr>
        <w:t>) Koodiga 2280K tähistatud tervishoiuteenuse piirhinda ei rakendata haiglate loetelus nimetatud haiglates ööpäevaringse valmisoleku tagamiseks erakorralise meditsiini erialal.</w:t>
      </w:r>
    </w:p>
    <w:p w14:paraId="108F44B7" w14:textId="77777777" w:rsidR="00976487" w:rsidRPr="00687DE8" w:rsidRDefault="00976487" w:rsidP="00976487">
      <w:pPr>
        <w:spacing w:after="0" w:line="240" w:lineRule="auto"/>
        <w:jc w:val="both"/>
        <w:divId w:val="1316184749"/>
        <w:rPr>
          <w:szCs w:val="24"/>
        </w:rPr>
      </w:pPr>
    </w:p>
    <w:p w14:paraId="634BD514" w14:textId="69162F8A" w:rsidR="00976487" w:rsidRPr="00687DE8" w:rsidRDefault="00976487" w:rsidP="00976487">
      <w:pPr>
        <w:spacing w:after="0" w:line="240" w:lineRule="auto"/>
        <w:jc w:val="both"/>
        <w:divId w:val="1316184749"/>
        <w:rPr>
          <w:szCs w:val="24"/>
        </w:rPr>
      </w:pPr>
      <w:r w:rsidRPr="00687DE8">
        <w:rPr>
          <w:szCs w:val="24"/>
        </w:rPr>
        <w:t>(</w:t>
      </w:r>
      <w:r w:rsidR="007E23AC">
        <w:rPr>
          <w:szCs w:val="24"/>
        </w:rPr>
        <w:t>11</w:t>
      </w:r>
      <w:r w:rsidRPr="00687DE8">
        <w:rPr>
          <w:szCs w:val="24"/>
        </w:rPr>
        <w:t>) Koodiga 2280K tähistatud tervishoiuteenuse piirhinda rakendatakse haiglate loetelus nimetatud keskhaiglas ööpäevaringse valmisoleku tagamiseks lisaks lõikes </w:t>
      </w:r>
      <w:r w:rsidR="009E03E6">
        <w:rPr>
          <w:szCs w:val="24"/>
        </w:rPr>
        <w:t>7</w:t>
      </w:r>
      <w:r w:rsidRPr="00687DE8">
        <w:rPr>
          <w:szCs w:val="24"/>
        </w:rPr>
        <w:t xml:space="preserve"> nimetatud arstlikele erialadele ka neuroloogia erialal.</w:t>
      </w:r>
    </w:p>
    <w:p w14:paraId="774035BF" w14:textId="77777777" w:rsidR="00CE7CA1" w:rsidRPr="00687DE8" w:rsidRDefault="00CE7CA1" w:rsidP="00976487">
      <w:pPr>
        <w:spacing w:after="0" w:line="240" w:lineRule="auto"/>
        <w:jc w:val="both"/>
        <w:divId w:val="1316184749"/>
        <w:rPr>
          <w:szCs w:val="24"/>
        </w:rPr>
      </w:pPr>
    </w:p>
    <w:p w14:paraId="4472BD7E" w14:textId="5AD3F8B6" w:rsidR="00CE7CA1" w:rsidRPr="00687DE8" w:rsidRDefault="00CE7CA1" w:rsidP="00CE7CA1">
      <w:pPr>
        <w:spacing w:after="0" w:line="240" w:lineRule="auto"/>
        <w:jc w:val="both"/>
        <w:divId w:val="1316184749"/>
        <w:rPr>
          <w:szCs w:val="24"/>
        </w:rPr>
      </w:pPr>
      <w:r w:rsidRPr="00687DE8">
        <w:rPr>
          <w:szCs w:val="24"/>
        </w:rPr>
        <w:t>(</w:t>
      </w:r>
      <w:r w:rsidR="007E23AC">
        <w:rPr>
          <w:szCs w:val="24"/>
        </w:rPr>
        <w:t>12</w:t>
      </w:r>
      <w:r w:rsidRPr="00687DE8">
        <w:rPr>
          <w:szCs w:val="24"/>
        </w:rPr>
        <w:t>) Koodiga 2280K tähistatud tervishoiuteenuse piirhinda rakendatakse haiglate loetelus nimetatud piirkondlikes haiglates</w:t>
      </w:r>
      <w:r w:rsidR="00B059B1" w:rsidRPr="00687DE8">
        <w:rPr>
          <w:szCs w:val="24"/>
        </w:rPr>
        <w:t xml:space="preserve">, </w:t>
      </w:r>
      <w:r w:rsidR="003F0F1D" w:rsidRPr="00687DE8">
        <w:rPr>
          <w:szCs w:val="24"/>
        </w:rPr>
        <w:t>AS Ida-Tallinna Keskhaiglas ja AS Lääne-Tallinna Keskhaiglas</w:t>
      </w:r>
      <w:r w:rsidRPr="00687DE8">
        <w:rPr>
          <w:szCs w:val="24"/>
        </w:rPr>
        <w:t xml:space="preserve"> ööpäevaringse valmisoleku tagamiseks lisaks lõi</w:t>
      </w:r>
      <w:r w:rsidR="00F033D3" w:rsidRPr="00687DE8">
        <w:rPr>
          <w:szCs w:val="24"/>
        </w:rPr>
        <w:t>get</w:t>
      </w:r>
      <w:r w:rsidRPr="00687DE8">
        <w:rPr>
          <w:szCs w:val="24"/>
        </w:rPr>
        <w:t>es </w:t>
      </w:r>
      <w:r w:rsidR="0045423E">
        <w:rPr>
          <w:szCs w:val="24"/>
        </w:rPr>
        <w:t>7</w:t>
      </w:r>
      <w:r w:rsidRPr="00687DE8">
        <w:rPr>
          <w:szCs w:val="24"/>
        </w:rPr>
        <w:t xml:space="preserve"> </w:t>
      </w:r>
      <w:r w:rsidR="00CE3365" w:rsidRPr="00687DE8">
        <w:rPr>
          <w:szCs w:val="24"/>
        </w:rPr>
        <w:t xml:space="preserve">ja </w:t>
      </w:r>
      <w:r w:rsidR="0045423E">
        <w:rPr>
          <w:szCs w:val="24"/>
        </w:rPr>
        <w:t>11</w:t>
      </w:r>
      <w:r w:rsidR="00CE3365" w:rsidRPr="00687DE8">
        <w:rPr>
          <w:szCs w:val="24"/>
        </w:rPr>
        <w:t xml:space="preserve"> </w:t>
      </w:r>
      <w:r w:rsidRPr="00687DE8">
        <w:rPr>
          <w:szCs w:val="24"/>
        </w:rPr>
        <w:t>nimetatu</w:t>
      </w:r>
      <w:r w:rsidR="00874FA5" w:rsidRPr="00687DE8">
        <w:rPr>
          <w:szCs w:val="24"/>
        </w:rPr>
        <w:t>d</w:t>
      </w:r>
      <w:r w:rsidRPr="00687DE8">
        <w:rPr>
          <w:szCs w:val="24"/>
        </w:rPr>
        <w:t xml:space="preserve"> arstlikele erialadele </w:t>
      </w:r>
      <w:r w:rsidR="004D2534" w:rsidRPr="00687DE8">
        <w:rPr>
          <w:szCs w:val="24"/>
        </w:rPr>
        <w:t>täie</w:t>
      </w:r>
      <w:r w:rsidR="00CE3365" w:rsidRPr="00687DE8">
        <w:rPr>
          <w:szCs w:val="24"/>
        </w:rPr>
        <w:t>nda</w:t>
      </w:r>
      <w:r w:rsidR="004D2534" w:rsidRPr="00687DE8">
        <w:rPr>
          <w:szCs w:val="24"/>
        </w:rPr>
        <w:t>valt ühe arstliku eriala</w:t>
      </w:r>
      <w:r w:rsidR="00AF1C63" w:rsidRPr="00687DE8">
        <w:rPr>
          <w:szCs w:val="24"/>
        </w:rPr>
        <w:t xml:space="preserve"> kohta</w:t>
      </w:r>
      <w:r w:rsidRPr="00687DE8">
        <w:rPr>
          <w:szCs w:val="24"/>
        </w:rPr>
        <w:t>.</w:t>
      </w:r>
    </w:p>
    <w:p w14:paraId="6F3A4DBC" w14:textId="77777777" w:rsidR="00976487" w:rsidRPr="00687DE8" w:rsidRDefault="00976487" w:rsidP="00976487">
      <w:pPr>
        <w:spacing w:after="0" w:line="240" w:lineRule="auto"/>
        <w:jc w:val="both"/>
        <w:divId w:val="1316184749"/>
        <w:rPr>
          <w:szCs w:val="24"/>
        </w:rPr>
      </w:pPr>
    </w:p>
    <w:p w14:paraId="2AC50D99" w14:textId="467C85CD" w:rsidR="00976487" w:rsidRPr="00687DE8" w:rsidRDefault="00976487" w:rsidP="00976487">
      <w:pPr>
        <w:spacing w:after="0" w:line="240" w:lineRule="auto"/>
        <w:jc w:val="both"/>
        <w:divId w:val="1316184749"/>
        <w:rPr>
          <w:szCs w:val="24"/>
        </w:rPr>
      </w:pPr>
      <w:r w:rsidRPr="00687DE8">
        <w:rPr>
          <w:szCs w:val="24"/>
        </w:rPr>
        <w:t>(</w:t>
      </w:r>
      <w:r w:rsidR="007E23AC">
        <w:rPr>
          <w:szCs w:val="24"/>
        </w:rPr>
        <w:t>13</w:t>
      </w:r>
      <w:r w:rsidRPr="00687DE8">
        <w:rPr>
          <w:szCs w:val="24"/>
        </w:rPr>
        <w:t>) Koodiga 2285K tähistatud tervishoiuteenuse piirhinda rakendatakse vähemalt neli tundi päevas puhkepäevadel ja riiklikel pühadel hambaravi valmisoleku tagamiseks ühe tervishoiuteenuse osutaja juures Pärnus, Tartus, Jõhvis ja Tallinnas ravi rahastamise lepingus kokku</w:t>
      </w:r>
      <w:r w:rsidR="001F1747" w:rsidRPr="00687DE8">
        <w:rPr>
          <w:szCs w:val="24"/>
        </w:rPr>
        <w:t xml:space="preserve"> </w:t>
      </w:r>
      <w:r w:rsidRPr="00687DE8">
        <w:rPr>
          <w:szCs w:val="24"/>
        </w:rPr>
        <w:t>lepitud tingimustel. Kui mit</w:t>
      </w:r>
      <w:r w:rsidR="00691542" w:rsidRPr="00687DE8">
        <w:rPr>
          <w:szCs w:val="24"/>
        </w:rPr>
        <w:t>u</w:t>
      </w:r>
      <w:r w:rsidRPr="00687DE8">
        <w:rPr>
          <w:szCs w:val="24"/>
        </w:rPr>
        <w:t xml:space="preserve"> tervishoiuteenuse osutaj</w:t>
      </w:r>
      <w:r w:rsidR="00EB62A5" w:rsidRPr="00687DE8">
        <w:rPr>
          <w:szCs w:val="24"/>
        </w:rPr>
        <w:t>at</w:t>
      </w:r>
      <w:r w:rsidRPr="00687DE8">
        <w:rPr>
          <w:szCs w:val="24"/>
        </w:rPr>
        <w:t xml:space="preserve"> soovi</w:t>
      </w:r>
      <w:r w:rsidR="00EB62A5" w:rsidRPr="00687DE8">
        <w:rPr>
          <w:szCs w:val="24"/>
        </w:rPr>
        <w:t>b</w:t>
      </w:r>
      <w:r w:rsidRPr="00687DE8">
        <w:rPr>
          <w:szCs w:val="24"/>
        </w:rPr>
        <w:t xml:space="preserve"> nimetatud teenust osutada, lepitakse ravi rahastamise lepingus teenuse osutamine kokku sellega, kellel on kasutuses enam hambaravitoole.</w:t>
      </w:r>
    </w:p>
    <w:p w14:paraId="64A77A6D" w14:textId="77777777" w:rsidR="00976487" w:rsidRPr="00687DE8" w:rsidRDefault="00976487" w:rsidP="00976487">
      <w:pPr>
        <w:spacing w:after="0" w:line="240" w:lineRule="auto"/>
        <w:jc w:val="both"/>
        <w:divId w:val="1316184749"/>
        <w:rPr>
          <w:szCs w:val="24"/>
        </w:rPr>
      </w:pPr>
    </w:p>
    <w:p w14:paraId="08108B42" w14:textId="738E1A39" w:rsidR="00976487" w:rsidRPr="00687DE8" w:rsidRDefault="00976487" w:rsidP="00976487">
      <w:pPr>
        <w:spacing w:after="0" w:line="252" w:lineRule="auto"/>
        <w:jc w:val="both"/>
        <w:divId w:val="1316184749"/>
        <w:rPr>
          <w:szCs w:val="24"/>
          <w:lang w:val="sv-SE"/>
        </w:rPr>
      </w:pPr>
      <w:r w:rsidRPr="00687DE8">
        <w:rPr>
          <w:szCs w:val="24"/>
          <w:lang w:val="sv-SE"/>
        </w:rPr>
        <w:t>(</w:t>
      </w:r>
      <w:r w:rsidR="007E23AC">
        <w:rPr>
          <w:szCs w:val="24"/>
          <w:lang w:val="sv-SE"/>
        </w:rPr>
        <w:t>14</w:t>
      </w:r>
      <w:r w:rsidRPr="00687DE8">
        <w:rPr>
          <w:szCs w:val="24"/>
          <w:lang w:val="sv-SE"/>
        </w:rPr>
        <w:t>) Koodiga 2292K tähistatud tervishoiuteenuse piirhind sisaldab transpordikulu.</w:t>
      </w:r>
    </w:p>
    <w:p w14:paraId="7DBB066A" w14:textId="77777777" w:rsidR="00976487" w:rsidRPr="00687DE8" w:rsidRDefault="00976487" w:rsidP="00976487">
      <w:pPr>
        <w:pStyle w:val="Loendilik"/>
        <w:spacing w:after="0" w:line="252" w:lineRule="auto"/>
        <w:ind w:left="0"/>
        <w:jc w:val="both"/>
        <w:divId w:val="1316184749"/>
        <w:rPr>
          <w:szCs w:val="24"/>
          <w:lang w:val="sv-SE"/>
        </w:rPr>
      </w:pPr>
    </w:p>
    <w:p w14:paraId="0AF20D7E" w14:textId="2AF90E5C" w:rsidR="00976487" w:rsidRPr="00687DE8" w:rsidRDefault="00976487" w:rsidP="00976487">
      <w:pPr>
        <w:spacing w:after="0" w:line="240" w:lineRule="auto"/>
        <w:divId w:val="1316184749"/>
        <w:rPr>
          <w:szCs w:val="24"/>
          <w:lang w:val="sv-SE"/>
        </w:rPr>
      </w:pPr>
      <w:r w:rsidRPr="00687DE8">
        <w:rPr>
          <w:szCs w:val="24"/>
          <w:lang w:val="sv-SE"/>
        </w:rPr>
        <w:t>(</w:t>
      </w:r>
      <w:r w:rsidR="00F6317F">
        <w:rPr>
          <w:szCs w:val="24"/>
          <w:lang w:val="sv-SE"/>
        </w:rPr>
        <w:t>15</w:t>
      </w:r>
      <w:r w:rsidRPr="00687DE8">
        <w:rPr>
          <w:szCs w:val="24"/>
          <w:lang w:val="sv-SE"/>
        </w:rPr>
        <w:t>) Koodiga 2292K tähistatud tervishoiuteenuse piirhind sisaldab järgmisi tegevusi:</w:t>
      </w:r>
    </w:p>
    <w:p w14:paraId="02FC4D5B" w14:textId="77777777" w:rsidR="00976487" w:rsidRPr="00687DE8" w:rsidRDefault="00976487" w:rsidP="00976487">
      <w:pPr>
        <w:spacing w:after="0" w:line="240" w:lineRule="auto"/>
        <w:jc w:val="both"/>
        <w:divId w:val="1316184749"/>
        <w:rPr>
          <w:szCs w:val="24"/>
          <w:lang w:val="sv-SE"/>
        </w:rPr>
      </w:pPr>
      <w:r w:rsidRPr="00687DE8">
        <w:rPr>
          <w:szCs w:val="24"/>
          <w:lang w:val="sv-SE"/>
        </w:rPr>
        <w:t>1) haigusjuhtude analüüs;</w:t>
      </w:r>
    </w:p>
    <w:p w14:paraId="2430407A" w14:textId="77777777" w:rsidR="00976487" w:rsidRPr="00687DE8" w:rsidRDefault="00976487" w:rsidP="00976487">
      <w:pPr>
        <w:spacing w:after="0" w:line="240" w:lineRule="auto"/>
        <w:jc w:val="both"/>
        <w:divId w:val="1316184749"/>
        <w:rPr>
          <w:szCs w:val="24"/>
          <w:lang w:val="sv-SE"/>
        </w:rPr>
      </w:pPr>
      <w:r w:rsidRPr="00687DE8">
        <w:rPr>
          <w:szCs w:val="24"/>
          <w:lang w:val="sv-SE"/>
        </w:rPr>
        <w:t>2) nõustamine HIV-infektsiooni leviku piiramiseks ja viiruse resistentsuse vältimiseks;</w:t>
      </w:r>
    </w:p>
    <w:p w14:paraId="6A264670" w14:textId="77777777" w:rsidR="00976487" w:rsidRPr="00687DE8" w:rsidRDefault="00976487" w:rsidP="00976487">
      <w:pPr>
        <w:spacing w:after="0" w:line="240" w:lineRule="auto"/>
        <w:jc w:val="both"/>
        <w:divId w:val="1316184749"/>
        <w:rPr>
          <w:szCs w:val="24"/>
          <w:lang w:val="sv-SE"/>
        </w:rPr>
      </w:pPr>
      <w:r w:rsidRPr="00687DE8">
        <w:rPr>
          <w:szCs w:val="24"/>
          <w:lang w:val="sv-SE"/>
        </w:rPr>
        <w:t>3) nõustamine ühtse kvaliteediga ravi tagamiseks;</w:t>
      </w:r>
    </w:p>
    <w:p w14:paraId="5969176B" w14:textId="77777777" w:rsidR="00976487" w:rsidRPr="00687DE8" w:rsidRDefault="00976487" w:rsidP="00976487">
      <w:pPr>
        <w:spacing w:after="0" w:line="240" w:lineRule="auto"/>
        <w:jc w:val="both"/>
        <w:divId w:val="1316184749"/>
        <w:rPr>
          <w:szCs w:val="24"/>
          <w:lang w:val="sv-SE"/>
        </w:rPr>
      </w:pPr>
      <w:r w:rsidRPr="00687DE8">
        <w:rPr>
          <w:szCs w:val="24"/>
          <w:lang w:val="sv-SE"/>
        </w:rPr>
        <w:t>4) ratsionaalsetest kokkulepitud raviskeemidest ja ravijuhistest tulenevate põhimõtete tagamine Eesti kõikides antiretroviirusravimeid väljastavates ravikeskustes;</w:t>
      </w:r>
    </w:p>
    <w:p w14:paraId="2FB450D1" w14:textId="77777777" w:rsidR="00976487" w:rsidRPr="00687DE8" w:rsidRDefault="00976487" w:rsidP="00976487">
      <w:pPr>
        <w:spacing w:after="0" w:line="240" w:lineRule="auto"/>
        <w:jc w:val="both"/>
        <w:divId w:val="1316184749"/>
        <w:rPr>
          <w:szCs w:val="24"/>
        </w:rPr>
      </w:pPr>
      <w:r w:rsidRPr="00687DE8">
        <w:rPr>
          <w:szCs w:val="24"/>
        </w:rPr>
        <w:t xml:space="preserve">5) antiretroviirusravi konsiiliumi sisulise aruande koostamine. </w:t>
      </w:r>
    </w:p>
    <w:p w14:paraId="338D3FD0" w14:textId="77777777" w:rsidR="00976487" w:rsidRPr="00687DE8" w:rsidRDefault="00976487" w:rsidP="00976487">
      <w:pPr>
        <w:spacing w:after="0" w:line="240" w:lineRule="auto"/>
        <w:contextualSpacing/>
        <w:jc w:val="both"/>
        <w:divId w:val="1316184749"/>
        <w:rPr>
          <w:szCs w:val="24"/>
        </w:rPr>
      </w:pPr>
    </w:p>
    <w:p w14:paraId="4CD5D8E4" w14:textId="75D83C85" w:rsidR="00976487" w:rsidRPr="00687DE8" w:rsidRDefault="00976487" w:rsidP="00976487">
      <w:pPr>
        <w:spacing w:after="0" w:line="240" w:lineRule="auto"/>
        <w:jc w:val="both"/>
        <w:divId w:val="1316184749"/>
        <w:rPr>
          <w:szCs w:val="24"/>
        </w:rPr>
      </w:pPr>
      <w:r w:rsidRPr="00687DE8">
        <w:rPr>
          <w:szCs w:val="24"/>
        </w:rPr>
        <w:t>(</w:t>
      </w:r>
      <w:r w:rsidR="00F6317F">
        <w:rPr>
          <w:szCs w:val="24"/>
        </w:rPr>
        <w:t>16</w:t>
      </w:r>
      <w:r w:rsidRPr="00687DE8">
        <w:rPr>
          <w:szCs w:val="24"/>
        </w:rPr>
        <w:t>) Koodiga 2292K tähistatud tervishoiuteenust rakendatakse infektsioonhaiguste teenuste (piirkondliku haigla mahus) tegevusluba omavas haiglate loetelus nimetatud haiglas.</w:t>
      </w:r>
    </w:p>
    <w:p w14:paraId="42EE83DC" w14:textId="77777777" w:rsidR="00976487" w:rsidRPr="00687DE8" w:rsidRDefault="00976487" w:rsidP="00976487">
      <w:pPr>
        <w:spacing w:after="0" w:line="240" w:lineRule="auto"/>
        <w:jc w:val="both"/>
        <w:divId w:val="1316184749"/>
        <w:rPr>
          <w:rFonts w:eastAsiaTheme="minorHAnsi"/>
          <w:szCs w:val="24"/>
        </w:rPr>
      </w:pPr>
    </w:p>
    <w:p w14:paraId="53457160" w14:textId="45E64FDD" w:rsidR="00976487" w:rsidRPr="00687DE8" w:rsidRDefault="00976487" w:rsidP="00976487">
      <w:pPr>
        <w:spacing w:after="0" w:line="240" w:lineRule="auto"/>
        <w:jc w:val="both"/>
        <w:divId w:val="1316184749"/>
        <w:rPr>
          <w:szCs w:val="24"/>
        </w:rPr>
      </w:pPr>
      <w:r w:rsidRPr="00687DE8">
        <w:rPr>
          <w:szCs w:val="24"/>
        </w:rPr>
        <w:t>(</w:t>
      </w:r>
      <w:r w:rsidR="00F6317F">
        <w:rPr>
          <w:szCs w:val="24"/>
        </w:rPr>
        <w:t>17</w:t>
      </w:r>
      <w:r w:rsidRPr="00687DE8">
        <w:rPr>
          <w:szCs w:val="24"/>
        </w:rPr>
        <w:t xml:space="preserve">) </w:t>
      </w:r>
      <w:r w:rsidR="005023FD" w:rsidRPr="00687DE8">
        <w:rPr>
          <w:szCs w:val="24"/>
        </w:rPr>
        <w:t>Tervisekassa</w:t>
      </w:r>
      <w:r w:rsidRPr="00687DE8">
        <w:rPr>
          <w:szCs w:val="24"/>
        </w:rPr>
        <w:t xml:space="preserve"> võtab koodiga 2292K tähistatud tervishoiuteenuse eest tasu maksmise kohustuse üle juhul, kui konsiiliumi töös osaleb vähemalt kaks infektsioonhaiguste arsti.</w:t>
      </w:r>
    </w:p>
    <w:p w14:paraId="2A1B63A4" w14:textId="77777777" w:rsidR="00976487" w:rsidRPr="00687DE8" w:rsidRDefault="00976487" w:rsidP="00A960FF">
      <w:pPr>
        <w:spacing w:after="0" w:line="240" w:lineRule="auto"/>
        <w:jc w:val="both"/>
        <w:divId w:val="1316184749"/>
        <w:rPr>
          <w:szCs w:val="24"/>
        </w:rPr>
      </w:pPr>
    </w:p>
    <w:p w14:paraId="77CA5667" w14:textId="2799695C" w:rsidR="00976487" w:rsidRPr="00687DE8" w:rsidRDefault="00976487" w:rsidP="00A960FF">
      <w:pPr>
        <w:spacing w:after="0" w:line="240" w:lineRule="auto"/>
        <w:jc w:val="both"/>
        <w:divId w:val="1316184749"/>
        <w:rPr>
          <w:szCs w:val="24"/>
        </w:rPr>
      </w:pPr>
      <w:r w:rsidRPr="00687DE8">
        <w:rPr>
          <w:szCs w:val="24"/>
        </w:rPr>
        <w:t>(</w:t>
      </w:r>
      <w:r w:rsidR="00F6317F">
        <w:rPr>
          <w:szCs w:val="24"/>
        </w:rPr>
        <w:t>18</w:t>
      </w:r>
      <w:r w:rsidRPr="00687DE8">
        <w:rPr>
          <w:szCs w:val="24"/>
        </w:rPr>
        <w:t>) Koodiga 2295K tähistatud tervishoiuteenust rakendatakse siirdamiskeskusele (SA Tartu Ülikooli Kliinikum) rakkude, kudede ja elundite hankimise, käitlemise ja siirdamise seaduses ette nähtud ülesannete täitmiseks ning vastavalt tervishoiuteenuse osutajaga sõlmitud ravi rahastamise lepingule.</w:t>
      </w:r>
    </w:p>
    <w:p w14:paraId="2861A6BB" w14:textId="77777777" w:rsidR="00976487" w:rsidRPr="00687DE8" w:rsidRDefault="00976487" w:rsidP="00A960FF">
      <w:pPr>
        <w:spacing w:after="0" w:line="240" w:lineRule="auto"/>
        <w:jc w:val="both"/>
        <w:divId w:val="1316184749"/>
        <w:rPr>
          <w:szCs w:val="24"/>
        </w:rPr>
      </w:pPr>
    </w:p>
    <w:p w14:paraId="45460A68" w14:textId="37654D3C" w:rsidR="00976487" w:rsidRPr="00687DE8" w:rsidRDefault="00976487" w:rsidP="00976487">
      <w:pPr>
        <w:spacing w:after="0" w:line="240" w:lineRule="auto"/>
        <w:jc w:val="both"/>
        <w:divId w:val="1316184749"/>
        <w:rPr>
          <w:color w:val="202020"/>
          <w:shd w:val="clear" w:color="auto" w:fill="FFFFFF"/>
        </w:rPr>
      </w:pPr>
      <w:r w:rsidRPr="301DFAD1">
        <w:rPr>
          <w:color w:val="202020"/>
          <w:shd w:val="clear" w:color="auto" w:fill="FFFFFF"/>
        </w:rPr>
        <w:lastRenderedPageBreak/>
        <w:t>(</w:t>
      </w:r>
      <w:r w:rsidR="00F6317F" w:rsidRPr="301DFAD1">
        <w:rPr>
          <w:color w:val="202020"/>
          <w:shd w:val="clear" w:color="auto" w:fill="FFFFFF"/>
        </w:rPr>
        <w:t>19</w:t>
      </w:r>
      <w:r w:rsidRPr="301DFAD1">
        <w:rPr>
          <w:color w:val="202020"/>
          <w:shd w:val="clear" w:color="auto" w:fill="FFFFFF"/>
        </w:rPr>
        <w:t>)</w:t>
      </w:r>
      <w:r w:rsidR="7F3B423A" w:rsidRPr="00EB7A71">
        <w:rPr>
          <w:rFonts w:eastAsia="Arial"/>
        </w:rPr>
        <w:t xml:space="preserve"> Koodidega 2305K–2322K tähistatud tervishoiuteenuseid rakendatakse erakorralise abi osutamisel erakorralise meditsiini osakonna ja erakorralist abi osutava valvetoa patsientidele vastavalt tervishoiuteenuse osutajaga sõlmitud ravi rahastamise lepingule juhul</w:t>
      </w:r>
      <w:r w:rsidR="4E736819" w:rsidRPr="3749B0B3">
        <w:rPr>
          <w:rFonts w:eastAsia="Arial"/>
        </w:rPr>
        <w:t>,</w:t>
      </w:r>
      <w:r w:rsidR="7F3B423A" w:rsidRPr="00EB7A71">
        <w:rPr>
          <w:rFonts w:eastAsia="Arial"/>
        </w:rPr>
        <w:t xml:space="preserve"> kui on rakendatud triaaži vastavalt </w:t>
      </w:r>
      <w:r w:rsidR="00200C51">
        <w:rPr>
          <w:rFonts w:eastAsia="Arial"/>
        </w:rPr>
        <w:t>t</w:t>
      </w:r>
      <w:r w:rsidR="00200C51" w:rsidRPr="00200C51">
        <w:rPr>
          <w:rFonts w:eastAsia="Arial"/>
        </w:rPr>
        <w:t xml:space="preserve">ervise- ja tööministri </w:t>
      </w:r>
      <w:r w:rsidR="7F3B423A" w:rsidRPr="00EB7A71">
        <w:rPr>
          <w:rFonts w:eastAsia="Arial"/>
        </w:rPr>
        <w:t xml:space="preserve"> 27. detsembri 2018. a määrus</w:t>
      </w:r>
      <w:r w:rsidR="00A221A6">
        <w:rPr>
          <w:rFonts w:eastAsia="Arial"/>
        </w:rPr>
        <w:t>e</w:t>
      </w:r>
      <w:r w:rsidR="7F3B423A" w:rsidRPr="00EB7A71">
        <w:rPr>
          <w:rFonts w:eastAsia="Arial"/>
        </w:rPr>
        <w:t xml:space="preserve"> nr 73 „Tervishoiuteenuste kättesaadavuse ja ravijärjekorra pidamise nõuded“ </w:t>
      </w:r>
      <w:r w:rsidR="7F3B423A" w:rsidRPr="00EB7A71">
        <w:t>§</w:t>
      </w:r>
      <w:r w:rsidR="1B9D9089">
        <w:t>-le</w:t>
      </w:r>
      <w:r w:rsidR="7F3B423A" w:rsidRPr="00EB7A71">
        <w:rPr>
          <w:rFonts w:eastAsia="Arial"/>
        </w:rPr>
        <w:t xml:space="preserve"> 4</w:t>
      </w:r>
      <w:r w:rsidR="7F3B423A" w:rsidRPr="00EB7A71">
        <w:rPr>
          <w:rFonts w:eastAsia="Arial"/>
          <w:vertAlign w:val="superscript"/>
        </w:rPr>
        <w:t>1</w:t>
      </w:r>
      <w:r w:rsidR="7F3B423A" w:rsidRPr="00EB7A71">
        <w:rPr>
          <w:rFonts w:eastAsia="Arial"/>
        </w:rPr>
        <w:t>.</w:t>
      </w:r>
    </w:p>
    <w:p w14:paraId="2B0A13A5" w14:textId="77777777" w:rsidR="00976487" w:rsidRPr="00687DE8" w:rsidRDefault="00976487" w:rsidP="00E25E64">
      <w:pPr>
        <w:spacing w:after="0" w:line="240" w:lineRule="auto"/>
        <w:jc w:val="both"/>
        <w:divId w:val="1316184749"/>
        <w:rPr>
          <w:szCs w:val="24"/>
        </w:rPr>
      </w:pPr>
    </w:p>
    <w:p w14:paraId="3CA06EF1" w14:textId="7D377C13" w:rsidR="00976487" w:rsidRPr="00687DE8" w:rsidRDefault="00976487" w:rsidP="00054DE4">
      <w:pPr>
        <w:spacing w:after="0" w:line="240" w:lineRule="auto"/>
        <w:jc w:val="both"/>
        <w:outlineLvl w:val="2"/>
        <w:divId w:val="1316184749"/>
        <w:rPr>
          <w:szCs w:val="24"/>
        </w:rPr>
      </w:pPr>
      <w:r w:rsidRPr="00687DE8">
        <w:rPr>
          <w:szCs w:val="24"/>
        </w:rPr>
        <w:t>(</w:t>
      </w:r>
      <w:r w:rsidR="00F6317F">
        <w:rPr>
          <w:szCs w:val="24"/>
        </w:rPr>
        <w:t>20</w:t>
      </w:r>
      <w:r w:rsidRPr="00687DE8">
        <w:rPr>
          <w:szCs w:val="24"/>
        </w:rPr>
        <w:t xml:space="preserve">) Koodidega </w:t>
      </w:r>
      <w:r w:rsidRPr="00687DE8">
        <w:rPr>
          <w:color w:val="202020"/>
          <w:szCs w:val="24"/>
          <w:shd w:val="clear" w:color="auto" w:fill="FFFFFF"/>
          <w:lang w:val="fr-FR"/>
        </w:rPr>
        <w:t>2305K–2322K</w:t>
      </w:r>
      <w:r w:rsidRPr="00687DE8">
        <w:rPr>
          <w:szCs w:val="24"/>
        </w:rPr>
        <w:t xml:space="preserve"> tähistatud tervishoiuteenused sisaldavad: </w:t>
      </w:r>
    </w:p>
    <w:p w14:paraId="71CCF0C2" w14:textId="717A27E5" w:rsidR="00976487" w:rsidRPr="00687DE8" w:rsidRDefault="00976487" w:rsidP="00054DE4">
      <w:pPr>
        <w:spacing w:after="0" w:line="240" w:lineRule="auto"/>
        <w:jc w:val="both"/>
        <w:outlineLvl w:val="2"/>
        <w:divId w:val="1316184749"/>
        <w:rPr>
          <w:szCs w:val="24"/>
        </w:rPr>
      </w:pPr>
      <w:r w:rsidRPr="00687DE8">
        <w:rPr>
          <w:szCs w:val="24"/>
        </w:rPr>
        <w:t xml:space="preserve">1) ambulatoorseid vastuvõtte, psühhiaatrilisi uuringuid ja protseduure, logopeedilisi teenuseid, menetlusradioloogiat, päevaravi ja päevakirurgiat ning voodipäevi (§-d </w:t>
      </w:r>
      <w:r w:rsidR="00120AB8">
        <w:rPr>
          <w:szCs w:val="24"/>
        </w:rPr>
        <w:t>9</w:t>
      </w:r>
      <w:r w:rsidRPr="00687DE8">
        <w:rPr>
          <w:szCs w:val="24"/>
        </w:rPr>
        <w:t xml:space="preserve">, </w:t>
      </w:r>
      <w:r w:rsidR="00AE061C" w:rsidRPr="00687DE8">
        <w:rPr>
          <w:szCs w:val="24"/>
        </w:rPr>
        <w:t>1</w:t>
      </w:r>
      <w:r w:rsidR="00885CCC" w:rsidRPr="00687DE8">
        <w:rPr>
          <w:szCs w:val="24"/>
        </w:rPr>
        <w:t>3</w:t>
      </w:r>
      <w:r w:rsidRPr="00687DE8">
        <w:rPr>
          <w:szCs w:val="24"/>
        </w:rPr>
        <w:t xml:space="preserve">, </w:t>
      </w:r>
      <w:r w:rsidR="00AE061C" w:rsidRPr="00687DE8">
        <w:rPr>
          <w:szCs w:val="24"/>
        </w:rPr>
        <w:t>1</w:t>
      </w:r>
      <w:r w:rsidR="00885CCC" w:rsidRPr="00687DE8">
        <w:rPr>
          <w:szCs w:val="24"/>
        </w:rPr>
        <w:t>5</w:t>
      </w:r>
      <w:r w:rsidRPr="00687DE8">
        <w:rPr>
          <w:szCs w:val="24"/>
        </w:rPr>
        <w:t xml:space="preserve">, </w:t>
      </w:r>
      <w:r w:rsidR="00AE061C" w:rsidRPr="00687DE8">
        <w:rPr>
          <w:szCs w:val="24"/>
        </w:rPr>
        <w:t>1</w:t>
      </w:r>
      <w:r w:rsidR="00885CCC" w:rsidRPr="00687DE8">
        <w:rPr>
          <w:szCs w:val="24"/>
        </w:rPr>
        <w:t>6</w:t>
      </w:r>
      <w:r w:rsidRPr="00687DE8">
        <w:rPr>
          <w:szCs w:val="24"/>
        </w:rPr>
        <w:t xml:space="preserve">, </w:t>
      </w:r>
      <w:r w:rsidR="00AE061C" w:rsidRPr="00687DE8">
        <w:rPr>
          <w:szCs w:val="24"/>
        </w:rPr>
        <w:t>2</w:t>
      </w:r>
      <w:r w:rsidR="00885CCC" w:rsidRPr="00687DE8">
        <w:rPr>
          <w:szCs w:val="24"/>
        </w:rPr>
        <w:t>3</w:t>
      </w:r>
      <w:r w:rsidRPr="00687DE8">
        <w:rPr>
          <w:szCs w:val="24"/>
        </w:rPr>
        <w:t xml:space="preserve">, </w:t>
      </w:r>
      <w:r w:rsidR="00885CCC" w:rsidRPr="00687DE8">
        <w:rPr>
          <w:szCs w:val="24"/>
        </w:rPr>
        <w:t>39</w:t>
      </w:r>
      <w:r w:rsidRPr="00687DE8">
        <w:rPr>
          <w:szCs w:val="24"/>
        </w:rPr>
        <w:t xml:space="preserve"> ja </w:t>
      </w:r>
      <w:r w:rsidR="00AE061C" w:rsidRPr="00687DE8">
        <w:rPr>
          <w:szCs w:val="24"/>
        </w:rPr>
        <w:t>4</w:t>
      </w:r>
      <w:r w:rsidR="00885CCC" w:rsidRPr="00687DE8">
        <w:rPr>
          <w:szCs w:val="24"/>
        </w:rPr>
        <w:t>0</w:t>
      </w:r>
      <w:r w:rsidRPr="00687DE8">
        <w:rPr>
          <w:szCs w:val="24"/>
        </w:rPr>
        <w:t>);</w:t>
      </w:r>
    </w:p>
    <w:p w14:paraId="5E3D412E" w14:textId="77777777" w:rsidR="00976487" w:rsidRPr="00687DE8" w:rsidRDefault="00976487" w:rsidP="00054DE4">
      <w:pPr>
        <w:spacing w:after="0" w:line="240" w:lineRule="auto"/>
        <w:jc w:val="both"/>
        <w:outlineLvl w:val="2"/>
        <w:divId w:val="1316184749"/>
        <w:rPr>
          <w:szCs w:val="24"/>
        </w:rPr>
      </w:pPr>
      <w:r w:rsidRPr="00687DE8">
        <w:rPr>
          <w:szCs w:val="24"/>
        </w:rPr>
        <w:t>2) koodiga 7005 tähistatud üldmeditsiinilist ja koodiga 6261 tähistatud neuroloogilist protseduuri (§-d 2</w:t>
      </w:r>
      <w:r w:rsidR="00885CCC" w:rsidRPr="00687DE8">
        <w:rPr>
          <w:szCs w:val="24"/>
        </w:rPr>
        <w:t>6</w:t>
      </w:r>
      <w:r w:rsidRPr="00687DE8">
        <w:rPr>
          <w:szCs w:val="24"/>
        </w:rPr>
        <w:t xml:space="preserve"> ja </w:t>
      </w:r>
      <w:r w:rsidR="00885CCC" w:rsidRPr="00687DE8">
        <w:rPr>
          <w:szCs w:val="24"/>
        </w:rPr>
        <w:t>29</w:t>
      </w:r>
      <w:r w:rsidRPr="00687DE8">
        <w:rPr>
          <w:szCs w:val="24"/>
        </w:rPr>
        <w:t xml:space="preserve">); </w:t>
      </w:r>
    </w:p>
    <w:p w14:paraId="6EFA618B" w14:textId="77777777" w:rsidR="00976487" w:rsidRPr="00687DE8" w:rsidRDefault="00976487" w:rsidP="00054DE4">
      <w:pPr>
        <w:spacing w:after="0" w:line="240" w:lineRule="auto"/>
        <w:jc w:val="both"/>
        <w:outlineLvl w:val="2"/>
        <w:divId w:val="1316184749"/>
        <w:rPr>
          <w:szCs w:val="24"/>
        </w:rPr>
      </w:pPr>
      <w:r w:rsidRPr="00687DE8">
        <w:rPr>
          <w:szCs w:val="24"/>
        </w:rPr>
        <w:t>3) kirurgilisi, ortopeedilisi, uroloogilisi (v</w:t>
      </w:r>
      <w:r w:rsidR="0040414E" w:rsidRPr="00687DE8">
        <w:rPr>
          <w:szCs w:val="24"/>
        </w:rPr>
        <w:t>älja arvatud</w:t>
      </w:r>
      <w:r w:rsidRPr="00687DE8">
        <w:rPr>
          <w:szCs w:val="24"/>
        </w:rPr>
        <w:t xml:space="preserve"> kood 7172), näo-lõualuukirurgilisi, koodidega 7258, 7259 ja 7263 tähistatud oftalmoloogilisi ja otorinolarüngoloogilisi ning koodidega 7352 ja 7361 tähistatud sünnitusabi ja günekoloogilisi uuringuid ja protseduure (§-d </w:t>
      </w:r>
      <w:r w:rsidR="00144B47" w:rsidRPr="00687DE8">
        <w:rPr>
          <w:szCs w:val="24"/>
        </w:rPr>
        <w:t>3</w:t>
      </w:r>
      <w:r w:rsidR="00885CCC" w:rsidRPr="00687DE8">
        <w:rPr>
          <w:szCs w:val="24"/>
        </w:rPr>
        <w:t>0</w:t>
      </w:r>
      <w:r w:rsidRPr="00687DE8">
        <w:rPr>
          <w:szCs w:val="24"/>
        </w:rPr>
        <w:t>–</w:t>
      </w:r>
      <w:r w:rsidR="00144B47" w:rsidRPr="00687DE8">
        <w:rPr>
          <w:szCs w:val="24"/>
        </w:rPr>
        <w:t>3</w:t>
      </w:r>
      <w:r w:rsidR="00885CCC" w:rsidRPr="00687DE8">
        <w:rPr>
          <w:szCs w:val="24"/>
        </w:rPr>
        <w:t>5</w:t>
      </w:r>
      <w:r w:rsidRPr="00687DE8">
        <w:rPr>
          <w:szCs w:val="24"/>
        </w:rPr>
        <w:t>) (v</w:t>
      </w:r>
      <w:r w:rsidR="00EB7215" w:rsidRPr="00687DE8">
        <w:rPr>
          <w:szCs w:val="24"/>
        </w:rPr>
        <w:t>älja arvatud</w:t>
      </w:r>
      <w:r w:rsidRPr="00687DE8">
        <w:rPr>
          <w:szCs w:val="24"/>
        </w:rPr>
        <w:t xml:space="preserve"> juhul, kui neid tehakse §-s 4</w:t>
      </w:r>
      <w:r w:rsidR="002A576E" w:rsidRPr="00687DE8">
        <w:rPr>
          <w:szCs w:val="24"/>
        </w:rPr>
        <w:t>4</w:t>
      </w:r>
      <w:r w:rsidRPr="00687DE8">
        <w:rPr>
          <w:szCs w:val="24"/>
        </w:rPr>
        <w:t xml:space="preserve"> sätestatud anesteesias);</w:t>
      </w:r>
    </w:p>
    <w:p w14:paraId="167CF78D" w14:textId="77777777" w:rsidR="00976487" w:rsidRPr="00687DE8" w:rsidRDefault="00976487" w:rsidP="00054DE4">
      <w:pPr>
        <w:spacing w:after="0" w:line="240" w:lineRule="auto"/>
        <w:jc w:val="both"/>
        <w:outlineLvl w:val="2"/>
        <w:divId w:val="1316184749"/>
        <w:rPr>
          <w:szCs w:val="24"/>
        </w:rPr>
      </w:pPr>
      <w:r w:rsidRPr="00687DE8">
        <w:rPr>
          <w:szCs w:val="24"/>
        </w:rPr>
        <w:t>4) 6. peatükis nimetatud operatsioone (v</w:t>
      </w:r>
      <w:r w:rsidR="0040414E" w:rsidRPr="00687DE8">
        <w:rPr>
          <w:szCs w:val="24"/>
        </w:rPr>
        <w:t>älja arvatud</w:t>
      </w:r>
      <w:r w:rsidRPr="00687DE8">
        <w:rPr>
          <w:szCs w:val="24"/>
        </w:rPr>
        <w:t xml:space="preserve"> juhul, kui neid tehakse §-s 4</w:t>
      </w:r>
      <w:r w:rsidR="002A576E" w:rsidRPr="00687DE8">
        <w:rPr>
          <w:szCs w:val="24"/>
        </w:rPr>
        <w:t>4</w:t>
      </w:r>
      <w:r w:rsidRPr="00687DE8">
        <w:rPr>
          <w:szCs w:val="24"/>
        </w:rPr>
        <w:t xml:space="preserve"> sätestatud anesteesias); </w:t>
      </w:r>
    </w:p>
    <w:p w14:paraId="53319EFC" w14:textId="77777777" w:rsidR="00976487" w:rsidRPr="00687DE8" w:rsidRDefault="00976487" w:rsidP="00054DE4">
      <w:pPr>
        <w:spacing w:after="0" w:line="240" w:lineRule="auto"/>
        <w:jc w:val="both"/>
        <w:outlineLvl w:val="2"/>
        <w:divId w:val="1316184749"/>
        <w:rPr>
          <w:szCs w:val="24"/>
        </w:rPr>
      </w:pPr>
      <w:r w:rsidRPr="00687DE8">
        <w:rPr>
          <w:szCs w:val="24"/>
        </w:rPr>
        <w:t xml:space="preserve">5) koodidega 66101, 66200, 66201, 66202, 66207, 66402, 66710, 66542, 66142 ja 66112 tähistatud laboriuuringuid; </w:t>
      </w:r>
    </w:p>
    <w:p w14:paraId="31ACFD51" w14:textId="1409EEEC" w:rsidR="00976487" w:rsidRPr="00687DE8" w:rsidRDefault="00976487" w:rsidP="00054DE4">
      <w:pPr>
        <w:spacing w:after="0" w:line="240" w:lineRule="auto"/>
        <w:jc w:val="both"/>
        <w:outlineLvl w:val="2"/>
        <w:divId w:val="1316184749"/>
        <w:rPr>
          <w:szCs w:val="24"/>
        </w:rPr>
      </w:pPr>
      <w:r w:rsidRPr="00687DE8">
        <w:rPr>
          <w:szCs w:val="24"/>
        </w:rPr>
        <w:t>6) koodiga</w:t>
      </w:r>
      <w:r w:rsidR="45FB7CC6" w:rsidRPr="00687DE8">
        <w:rPr>
          <w:szCs w:val="24"/>
        </w:rPr>
        <w:t xml:space="preserve"> 6361 </w:t>
      </w:r>
      <w:r w:rsidRPr="00687DE8">
        <w:rPr>
          <w:szCs w:val="24"/>
        </w:rPr>
        <w:t>tähistatud funktsionaaldiagnostilis</w:t>
      </w:r>
      <w:r w:rsidR="00DC4249">
        <w:rPr>
          <w:szCs w:val="24"/>
        </w:rPr>
        <w:t>t</w:t>
      </w:r>
      <w:r w:rsidRPr="00687DE8">
        <w:rPr>
          <w:szCs w:val="24"/>
        </w:rPr>
        <w:t xml:space="preserve"> uuringu</w:t>
      </w:r>
      <w:r w:rsidR="00DC4249">
        <w:rPr>
          <w:szCs w:val="24"/>
        </w:rPr>
        <w:t>t</w:t>
      </w:r>
      <w:r w:rsidRPr="00687DE8">
        <w:rPr>
          <w:szCs w:val="24"/>
        </w:rPr>
        <w:t xml:space="preserve">; </w:t>
      </w:r>
    </w:p>
    <w:p w14:paraId="547EE91C" w14:textId="77777777" w:rsidR="00976487" w:rsidRPr="00687DE8" w:rsidRDefault="00976487" w:rsidP="00054DE4">
      <w:pPr>
        <w:spacing w:after="0" w:line="240" w:lineRule="auto"/>
        <w:jc w:val="both"/>
        <w:outlineLvl w:val="2"/>
        <w:divId w:val="1316184749"/>
        <w:rPr>
          <w:szCs w:val="24"/>
        </w:rPr>
      </w:pPr>
      <w:r w:rsidRPr="00687DE8">
        <w:rPr>
          <w:szCs w:val="24"/>
        </w:rPr>
        <w:t>7) koodidega 7711, 7741, 7744, 7750 ja 7756 tähistatud intensiivravi protseduure.</w:t>
      </w:r>
    </w:p>
    <w:p w14:paraId="23C1CB76" w14:textId="77777777" w:rsidR="00976487" w:rsidRPr="00687DE8" w:rsidRDefault="00976487" w:rsidP="00054DE4">
      <w:pPr>
        <w:spacing w:after="0" w:line="240" w:lineRule="auto"/>
        <w:jc w:val="both"/>
        <w:outlineLvl w:val="2"/>
        <w:divId w:val="1316184749"/>
        <w:rPr>
          <w:b/>
          <w:bCs/>
          <w:szCs w:val="24"/>
        </w:rPr>
      </w:pPr>
    </w:p>
    <w:p w14:paraId="5CA7441C" w14:textId="549FEEC5" w:rsidR="00976487" w:rsidRPr="00687DE8" w:rsidRDefault="00976487" w:rsidP="00976487">
      <w:pPr>
        <w:spacing w:after="0" w:line="240" w:lineRule="auto"/>
        <w:jc w:val="both"/>
        <w:divId w:val="1316184749"/>
        <w:rPr>
          <w:szCs w:val="24"/>
        </w:rPr>
      </w:pPr>
      <w:r w:rsidRPr="00687DE8">
        <w:rPr>
          <w:szCs w:val="24"/>
        </w:rPr>
        <w:t>(</w:t>
      </w:r>
      <w:r w:rsidR="00F6317F">
        <w:rPr>
          <w:szCs w:val="24"/>
        </w:rPr>
        <w:t>21</w:t>
      </w:r>
      <w:r w:rsidRPr="00687DE8">
        <w:rPr>
          <w:szCs w:val="24"/>
        </w:rPr>
        <w:t xml:space="preserve">) Koodidega </w:t>
      </w:r>
      <w:r w:rsidRPr="00687DE8">
        <w:rPr>
          <w:color w:val="202020"/>
          <w:szCs w:val="24"/>
          <w:shd w:val="clear" w:color="auto" w:fill="FFFFFF"/>
        </w:rPr>
        <w:t>2305K–2322K</w:t>
      </w:r>
      <w:r w:rsidRPr="00687DE8">
        <w:rPr>
          <w:szCs w:val="24"/>
        </w:rPr>
        <w:t xml:space="preserve"> tähistatud tervishoiuteenused sisaldavad ravikindlustuse seaduse § 32 alusel kehtestatud määruse lisas „Koodidega </w:t>
      </w:r>
      <w:r w:rsidRPr="00687DE8">
        <w:rPr>
          <w:color w:val="202020"/>
          <w:szCs w:val="24"/>
          <w:shd w:val="clear" w:color="auto" w:fill="FFFFFF"/>
        </w:rPr>
        <w:t>2305K–2322K</w:t>
      </w:r>
      <w:r w:rsidRPr="00687DE8">
        <w:rPr>
          <w:szCs w:val="24"/>
        </w:rPr>
        <w:t xml:space="preserve"> tähistatud tervishoiuteenuste kirjeldustesse arvestatud aparatuuri ja inventari loetelu“ sätestatud aparatuuri ja inventari kulu.</w:t>
      </w:r>
    </w:p>
    <w:p w14:paraId="17ECC2A3" w14:textId="77777777" w:rsidR="00567758" w:rsidRPr="00687DE8" w:rsidRDefault="00567758" w:rsidP="00976487">
      <w:pPr>
        <w:spacing w:after="0" w:line="240" w:lineRule="auto"/>
        <w:jc w:val="both"/>
        <w:divId w:val="1316184749"/>
        <w:rPr>
          <w:szCs w:val="24"/>
        </w:rPr>
      </w:pPr>
    </w:p>
    <w:p w14:paraId="70F3A03C" w14:textId="5B24B9F8" w:rsidR="006973B1" w:rsidRPr="00687DE8" w:rsidRDefault="00567758" w:rsidP="006973B1">
      <w:pPr>
        <w:spacing w:after="0" w:line="240" w:lineRule="auto"/>
        <w:jc w:val="both"/>
        <w:divId w:val="1316184749"/>
        <w:rPr>
          <w:szCs w:val="24"/>
        </w:rPr>
      </w:pPr>
      <w:r w:rsidRPr="00687DE8">
        <w:rPr>
          <w:szCs w:val="24"/>
        </w:rPr>
        <w:t>(</w:t>
      </w:r>
      <w:r w:rsidR="00F6317F">
        <w:rPr>
          <w:szCs w:val="24"/>
        </w:rPr>
        <w:t>22</w:t>
      </w:r>
      <w:r w:rsidRPr="00687DE8">
        <w:rPr>
          <w:szCs w:val="24"/>
        </w:rPr>
        <w:t xml:space="preserve">) Koodidega 2296K ja 2297K tähistatud tervishoiuteenuseid rakendatakse </w:t>
      </w:r>
      <w:r w:rsidR="2448D305" w:rsidRPr="00687DE8">
        <w:rPr>
          <w:szCs w:val="24"/>
        </w:rPr>
        <w:t>haiglate loetelus</w:t>
      </w:r>
      <w:r w:rsidRPr="00687DE8">
        <w:rPr>
          <w:szCs w:val="24"/>
        </w:rPr>
        <w:t xml:space="preserve"> nimetatud piirkondlikus haiglas.</w:t>
      </w:r>
    </w:p>
    <w:p w14:paraId="4D570067" w14:textId="77777777" w:rsidR="005065BE" w:rsidRPr="00687DE8" w:rsidRDefault="005065BE" w:rsidP="006973B1">
      <w:pPr>
        <w:spacing w:after="0" w:line="240" w:lineRule="auto"/>
        <w:jc w:val="both"/>
        <w:divId w:val="1316184749"/>
        <w:rPr>
          <w:szCs w:val="24"/>
        </w:rPr>
      </w:pPr>
    </w:p>
    <w:p w14:paraId="1DB74AC2" w14:textId="1BF8BD58" w:rsidR="005065BE" w:rsidRPr="00687DE8" w:rsidRDefault="005065BE" w:rsidP="006973B1">
      <w:pPr>
        <w:spacing w:after="0" w:line="240" w:lineRule="auto"/>
        <w:jc w:val="both"/>
        <w:divId w:val="1316184749"/>
        <w:rPr>
          <w:szCs w:val="24"/>
        </w:rPr>
      </w:pPr>
      <w:r w:rsidRPr="00687DE8">
        <w:rPr>
          <w:szCs w:val="24"/>
        </w:rPr>
        <w:t>(</w:t>
      </w:r>
      <w:r w:rsidR="00F6317F">
        <w:rPr>
          <w:szCs w:val="24"/>
        </w:rPr>
        <w:t>23</w:t>
      </w:r>
      <w:r w:rsidRPr="00687DE8">
        <w:rPr>
          <w:szCs w:val="24"/>
        </w:rPr>
        <w:t xml:space="preserve">) </w:t>
      </w:r>
      <w:r w:rsidR="00762D81" w:rsidRPr="00687DE8">
        <w:rPr>
          <w:szCs w:val="24"/>
        </w:rPr>
        <w:t>Koodiga 2298K tähistatud tervishoiuteenust rakendatakse perekonnaseisutoimingute seaduse §</w:t>
      </w:r>
      <w:r w:rsidR="00057E68" w:rsidRPr="00687DE8">
        <w:rPr>
          <w:szCs w:val="24"/>
        </w:rPr>
        <w:t> </w:t>
      </w:r>
      <w:r w:rsidR="00762D81" w:rsidRPr="00687DE8">
        <w:rPr>
          <w:szCs w:val="24"/>
        </w:rPr>
        <w:t>49</w:t>
      </w:r>
      <w:r w:rsidR="00762D81" w:rsidRPr="00687DE8">
        <w:rPr>
          <w:szCs w:val="24"/>
          <w:vertAlign w:val="superscript"/>
        </w:rPr>
        <w:t>1</w:t>
      </w:r>
      <w:r w:rsidR="00762D81" w:rsidRPr="00687DE8">
        <w:rPr>
          <w:szCs w:val="24"/>
        </w:rPr>
        <w:t xml:space="preserve"> ja </w:t>
      </w:r>
      <w:r w:rsidR="0006302B" w:rsidRPr="00687DE8">
        <w:rPr>
          <w:szCs w:val="24"/>
        </w:rPr>
        <w:t xml:space="preserve">rahvatervise seaduse </w:t>
      </w:r>
      <w:r w:rsidR="00282AFA" w:rsidRPr="00687DE8">
        <w:rPr>
          <w:szCs w:val="24"/>
        </w:rPr>
        <w:t>§ 8 l</w:t>
      </w:r>
      <w:r w:rsidR="02FEB86D" w:rsidRPr="00687DE8">
        <w:rPr>
          <w:szCs w:val="24"/>
        </w:rPr>
        <w:t>õike</w:t>
      </w:r>
      <w:r w:rsidR="00282AFA" w:rsidRPr="00687DE8">
        <w:rPr>
          <w:szCs w:val="24"/>
        </w:rPr>
        <w:t xml:space="preserve"> 1 p</w:t>
      </w:r>
      <w:r w:rsidR="04373F7E" w:rsidRPr="00687DE8">
        <w:rPr>
          <w:szCs w:val="24"/>
        </w:rPr>
        <w:t>unkti</w:t>
      </w:r>
      <w:r w:rsidR="00282AFA" w:rsidRPr="00687DE8">
        <w:rPr>
          <w:szCs w:val="24"/>
        </w:rPr>
        <w:t xml:space="preserve"> 6 </w:t>
      </w:r>
      <w:r w:rsidR="001A7795" w:rsidRPr="00687DE8">
        <w:rPr>
          <w:szCs w:val="24"/>
        </w:rPr>
        <w:t xml:space="preserve">alusel </w:t>
      </w:r>
      <w:r w:rsidR="00CE7B00" w:rsidRPr="00687DE8">
        <w:rPr>
          <w:szCs w:val="24"/>
        </w:rPr>
        <w:t>kehtestatud</w:t>
      </w:r>
      <w:r w:rsidR="00762D81" w:rsidRPr="00687DE8">
        <w:rPr>
          <w:szCs w:val="24"/>
        </w:rPr>
        <w:t xml:space="preserve"> määruse</w:t>
      </w:r>
      <w:r w:rsidR="00762D81" w:rsidRPr="00687DE8" w:rsidDel="00CE7B00">
        <w:rPr>
          <w:szCs w:val="24"/>
        </w:rPr>
        <w:t xml:space="preserve"> </w:t>
      </w:r>
      <w:r w:rsidR="00762D81" w:rsidRPr="00687DE8">
        <w:rPr>
          <w:szCs w:val="24"/>
        </w:rPr>
        <w:t>nõuete täitmiseks vastavalt osutajaga sõlmitud ravi rahastamise lepingule.</w:t>
      </w:r>
    </w:p>
    <w:p w14:paraId="1BBBB810" w14:textId="77777777" w:rsidR="008C3485" w:rsidRPr="00687DE8" w:rsidRDefault="008C3485" w:rsidP="006973B1">
      <w:pPr>
        <w:spacing w:after="0" w:line="240" w:lineRule="auto"/>
        <w:jc w:val="both"/>
        <w:divId w:val="1316184749"/>
        <w:rPr>
          <w:szCs w:val="24"/>
        </w:rPr>
      </w:pPr>
    </w:p>
    <w:p w14:paraId="0B911183" w14:textId="6A122BCE" w:rsidR="006973B1" w:rsidRPr="00687DE8" w:rsidRDefault="006973B1" w:rsidP="006973B1">
      <w:pPr>
        <w:spacing w:after="0" w:line="240" w:lineRule="auto"/>
        <w:jc w:val="both"/>
        <w:divId w:val="1316184749"/>
        <w:rPr>
          <w:szCs w:val="24"/>
        </w:rPr>
      </w:pPr>
      <w:r w:rsidRPr="00687DE8">
        <w:rPr>
          <w:szCs w:val="24"/>
        </w:rPr>
        <w:t>(</w:t>
      </w:r>
      <w:r w:rsidR="00F6317F">
        <w:rPr>
          <w:szCs w:val="24"/>
        </w:rPr>
        <w:t>24</w:t>
      </w:r>
      <w:r w:rsidRPr="00687DE8">
        <w:rPr>
          <w:szCs w:val="24"/>
        </w:rPr>
        <w:t xml:space="preserve">) </w:t>
      </w:r>
      <w:r w:rsidR="005023FD" w:rsidRPr="00687DE8">
        <w:rPr>
          <w:szCs w:val="24"/>
        </w:rPr>
        <w:t>Tervisekassa</w:t>
      </w:r>
      <w:r w:rsidRPr="00687DE8">
        <w:rPr>
          <w:szCs w:val="24"/>
        </w:rPr>
        <w:t xml:space="preserve"> võtab koodiga </w:t>
      </w:r>
      <w:r w:rsidR="005028CF" w:rsidRPr="00687DE8">
        <w:rPr>
          <w:szCs w:val="24"/>
        </w:rPr>
        <w:t>2298</w:t>
      </w:r>
      <w:r w:rsidRPr="00687DE8">
        <w:rPr>
          <w:szCs w:val="24"/>
        </w:rPr>
        <w:t xml:space="preserve">K tähistatud tervishoiuteenuse eest tasu maksmise kohustuse üle juhul, kui </w:t>
      </w:r>
      <w:r w:rsidR="005028CF" w:rsidRPr="00687DE8">
        <w:rPr>
          <w:szCs w:val="24"/>
        </w:rPr>
        <w:t>eksperdikomisjoni</w:t>
      </w:r>
      <w:r w:rsidRPr="00687DE8">
        <w:rPr>
          <w:szCs w:val="24"/>
        </w:rPr>
        <w:t xml:space="preserve"> töös osaleb vähemalt kolm eriarsti ja kliiniline psühholoog.</w:t>
      </w:r>
    </w:p>
    <w:p w14:paraId="57597DF2" w14:textId="77777777" w:rsidR="006973B1" w:rsidRPr="00687DE8" w:rsidRDefault="006973B1" w:rsidP="006973B1">
      <w:pPr>
        <w:spacing w:after="0" w:line="240" w:lineRule="auto"/>
        <w:jc w:val="both"/>
        <w:divId w:val="1316184749"/>
        <w:rPr>
          <w:szCs w:val="24"/>
        </w:rPr>
      </w:pPr>
    </w:p>
    <w:p w14:paraId="1F417EF6" w14:textId="421B6E53" w:rsidR="006973B1" w:rsidRPr="00687DE8" w:rsidRDefault="006973B1" w:rsidP="006973B1">
      <w:pPr>
        <w:spacing w:after="0" w:line="240" w:lineRule="auto"/>
        <w:jc w:val="both"/>
        <w:divId w:val="1316184749"/>
        <w:rPr>
          <w:szCs w:val="24"/>
        </w:rPr>
      </w:pPr>
      <w:r w:rsidRPr="00687DE8">
        <w:rPr>
          <w:szCs w:val="24"/>
        </w:rPr>
        <w:t>(</w:t>
      </w:r>
      <w:r w:rsidR="00F6317F">
        <w:rPr>
          <w:szCs w:val="24"/>
        </w:rPr>
        <w:t>25</w:t>
      </w:r>
      <w:r w:rsidRPr="00687DE8">
        <w:rPr>
          <w:szCs w:val="24"/>
        </w:rPr>
        <w:t xml:space="preserve">) Koodiga </w:t>
      </w:r>
      <w:r w:rsidR="008C3485" w:rsidRPr="00687DE8">
        <w:rPr>
          <w:szCs w:val="24"/>
        </w:rPr>
        <w:t>2298K</w:t>
      </w:r>
      <w:r w:rsidRPr="00687DE8">
        <w:rPr>
          <w:szCs w:val="24"/>
        </w:rPr>
        <w:t xml:space="preserve"> tähistatud tervishoiuteenuse piirhind sisaldab järgmisi tegevusi:</w:t>
      </w:r>
    </w:p>
    <w:p w14:paraId="2EB0793D" w14:textId="65999B49" w:rsidR="006973B1" w:rsidRPr="00687DE8" w:rsidRDefault="006973B1" w:rsidP="006973B1">
      <w:pPr>
        <w:spacing w:after="0" w:line="240" w:lineRule="auto"/>
        <w:jc w:val="both"/>
        <w:divId w:val="1316184749"/>
        <w:rPr>
          <w:szCs w:val="24"/>
        </w:rPr>
      </w:pPr>
      <w:r w:rsidRPr="00687DE8">
        <w:rPr>
          <w:szCs w:val="24"/>
        </w:rPr>
        <w:t>1) isiku</w:t>
      </w:r>
      <w:r w:rsidR="00BD644D" w:rsidRPr="00687DE8">
        <w:rPr>
          <w:szCs w:val="24"/>
        </w:rPr>
        <w:t>te</w:t>
      </w:r>
      <w:r w:rsidRPr="00687DE8">
        <w:rPr>
          <w:szCs w:val="24"/>
        </w:rPr>
        <w:t xml:space="preserve"> ravidokumentide analüüs;</w:t>
      </w:r>
    </w:p>
    <w:p w14:paraId="4327D2C8" w14:textId="393B2E28" w:rsidR="006973B1" w:rsidRPr="00687DE8" w:rsidRDefault="006973B1" w:rsidP="006973B1">
      <w:pPr>
        <w:spacing w:after="0" w:line="240" w:lineRule="auto"/>
        <w:jc w:val="both"/>
        <w:divId w:val="1316184749"/>
        <w:rPr>
          <w:szCs w:val="24"/>
        </w:rPr>
      </w:pPr>
      <w:r w:rsidRPr="00687DE8">
        <w:rPr>
          <w:szCs w:val="24"/>
        </w:rPr>
        <w:t>2) isiku</w:t>
      </w:r>
      <w:r w:rsidR="00BD644D" w:rsidRPr="00687DE8">
        <w:rPr>
          <w:szCs w:val="24"/>
        </w:rPr>
        <w:t>te</w:t>
      </w:r>
      <w:r w:rsidRPr="00687DE8">
        <w:rPr>
          <w:szCs w:val="24"/>
        </w:rPr>
        <w:t xml:space="preserve"> </w:t>
      </w:r>
      <w:r w:rsidR="00D915B9" w:rsidRPr="00687DE8">
        <w:rPr>
          <w:szCs w:val="24"/>
        </w:rPr>
        <w:t>objektiivse seisundi hindamine</w:t>
      </w:r>
      <w:r w:rsidRPr="00687DE8">
        <w:rPr>
          <w:szCs w:val="24"/>
        </w:rPr>
        <w:t>;</w:t>
      </w:r>
    </w:p>
    <w:p w14:paraId="69CE1048" w14:textId="2D6E8826" w:rsidR="006973B1" w:rsidRPr="00687DE8" w:rsidRDefault="006973B1" w:rsidP="006973B1">
      <w:pPr>
        <w:spacing w:after="0" w:line="240" w:lineRule="auto"/>
        <w:jc w:val="both"/>
        <w:divId w:val="1316184749"/>
        <w:rPr>
          <w:szCs w:val="24"/>
        </w:rPr>
      </w:pPr>
      <w:r w:rsidRPr="00687DE8">
        <w:rPr>
          <w:szCs w:val="24"/>
        </w:rPr>
        <w:t>3) isiku</w:t>
      </w:r>
      <w:r w:rsidR="00BD644D" w:rsidRPr="00687DE8">
        <w:rPr>
          <w:szCs w:val="24"/>
        </w:rPr>
        <w:t>te</w:t>
      </w:r>
      <w:r w:rsidRPr="00687DE8">
        <w:rPr>
          <w:szCs w:val="24"/>
        </w:rPr>
        <w:t xml:space="preserve"> nõustamine </w:t>
      </w:r>
      <w:r w:rsidR="00006316" w:rsidRPr="00687DE8">
        <w:rPr>
          <w:szCs w:val="24"/>
        </w:rPr>
        <w:t xml:space="preserve">otsuseks </w:t>
      </w:r>
      <w:r w:rsidRPr="00687DE8">
        <w:rPr>
          <w:szCs w:val="24"/>
        </w:rPr>
        <w:t>vajalike lisa</w:t>
      </w:r>
      <w:r w:rsidR="00006316" w:rsidRPr="00687DE8">
        <w:rPr>
          <w:szCs w:val="24"/>
        </w:rPr>
        <w:t xml:space="preserve">uuringute </w:t>
      </w:r>
      <w:r w:rsidRPr="00687DE8">
        <w:rPr>
          <w:szCs w:val="24"/>
        </w:rPr>
        <w:t>ja ravi tagamiseks;</w:t>
      </w:r>
    </w:p>
    <w:p w14:paraId="21537AE4" w14:textId="77777777" w:rsidR="006973B1" w:rsidRPr="00687DE8" w:rsidRDefault="006973B1" w:rsidP="006973B1">
      <w:pPr>
        <w:spacing w:after="0" w:line="240" w:lineRule="auto"/>
        <w:jc w:val="both"/>
        <w:divId w:val="1316184749"/>
        <w:rPr>
          <w:szCs w:val="24"/>
        </w:rPr>
      </w:pPr>
      <w:r w:rsidRPr="00687DE8">
        <w:rPr>
          <w:szCs w:val="24"/>
        </w:rPr>
        <w:t>4) erialapõhiste leidude ja järelduste dokumenteerimine</w:t>
      </w:r>
      <w:r w:rsidR="00EF1CC7" w:rsidRPr="00687DE8">
        <w:rPr>
          <w:szCs w:val="24"/>
        </w:rPr>
        <w:t>;</w:t>
      </w:r>
      <w:r w:rsidRPr="00687DE8">
        <w:rPr>
          <w:szCs w:val="24"/>
        </w:rPr>
        <w:t xml:space="preserve"> </w:t>
      </w:r>
    </w:p>
    <w:p w14:paraId="1A9E436A" w14:textId="39AEAEC1" w:rsidR="006973B1" w:rsidRPr="00687DE8" w:rsidRDefault="006973B1" w:rsidP="006973B1">
      <w:pPr>
        <w:spacing w:after="0" w:line="240" w:lineRule="auto"/>
        <w:jc w:val="both"/>
        <w:divId w:val="1316184749"/>
        <w:rPr>
          <w:szCs w:val="24"/>
        </w:rPr>
      </w:pPr>
      <w:r w:rsidRPr="00687DE8">
        <w:rPr>
          <w:szCs w:val="24"/>
        </w:rPr>
        <w:t>5) konsulaarse</w:t>
      </w:r>
      <w:r w:rsidR="00BD644D" w:rsidRPr="00687DE8">
        <w:rPr>
          <w:szCs w:val="24"/>
        </w:rPr>
        <w:t>te</w:t>
      </w:r>
      <w:r w:rsidRPr="00687DE8">
        <w:rPr>
          <w:szCs w:val="24"/>
        </w:rPr>
        <w:t xml:space="preserve"> otsus</w:t>
      </w:r>
      <w:r w:rsidR="00BD644D" w:rsidRPr="00687DE8">
        <w:rPr>
          <w:szCs w:val="24"/>
        </w:rPr>
        <w:t>t</w:t>
      </w:r>
      <w:r w:rsidRPr="00687DE8">
        <w:rPr>
          <w:szCs w:val="24"/>
        </w:rPr>
        <w:t>e koostamine ja dokumenteerimine</w:t>
      </w:r>
      <w:r w:rsidR="00EF1CC7" w:rsidRPr="00687DE8">
        <w:rPr>
          <w:szCs w:val="24"/>
        </w:rPr>
        <w:t>;</w:t>
      </w:r>
      <w:r w:rsidRPr="00687DE8">
        <w:rPr>
          <w:szCs w:val="24"/>
        </w:rPr>
        <w:t xml:space="preserve"> </w:t>
      </w:r>
    </w:p>
    <w:p w14:paraId="448CF108" w14:textId="2F0DF972" w:rsidR="006973B1" w:rsidRPr="00687DE8" w:rsidRDefault="006973B1" w:rsidP="006973B1">
      <w:pPr>
        <w:spacing w:after="0" w:line="240" w:lineRule="auto"/>
        <w:jc w:val="both"/>
        <w:divId w:val="1316184749"/>
        <w:rPr>
          <w:szCs w:val="24"/>
        </w:rPr>
      </w:pPr>
      <w:r w:rsidRPr="00687DE8">
        <w:rPr>
          <w:szCs w:val="24"/>
        </w:rPr>
        <w:t xml:space="preserve">6) ravijuhistest ja </w:t>
      </w:r>
      <w:r w:rsidR="0042542B" w:rsidRPr="00687DE8">
        <w:rPr>
          <w:szCs w:val="24"/>
        </w:rPr>
        <w:t>õigusaktidest</w:t>
      </w:r>
      <w:r w:rsidRPr="00687DE8">
        <w:rPr>
          <w:szCs w:val="24"/>
        </w:rPr>
        <w:t xml:space="preserve"> tulenevate põhimõtete edendamine</w:t>
      </w:r>
      <w:r w:rsidR="00EF1CC7" w:rsidRPr="00687DE8">
        <w:rPr>
          <w:szCs w:val="24"/>
        </w:rPr>
        <w:t>;</w:t>
      </w:r>
    </w:p>
    <w:p w14:paraId="6E078A3C" w14:textId="77777777" w:rsidR="006973B1" w:rsidRPr="00687DE8" w:rsidRDefault="006973B1" w:rsidP="006973B1">
      <w:pPr>
        <w:spacing w:after="0" w:line="240" w:lineRule="auto"/>
        <w:jc w:val="both"/>
        <w:divId w:val="1316184749"/>
        <w:rPr>
          <w:szCs w:val="24"/>
        </w:rPr>
      </w:pPr>
      <w:r w:rsidRPr="00687DE8">
        <w:rPr>
          <w:szCs w:val="24"/>
        </w:rPr>
        <w:t>7) eksperdikomisjoni töö korraldamine, juhtimine ja aruandlus</w:t>
      </w:r>
      <w:r w:rsidR="00EF1CC7" w:rsidRPr="00687DE8">
        <w:rPr>
          <w:szCs w:val="24"/>
        </w:rPr>
        <w:t>.</w:t>
      </w:r>
    </w:p>
    <w:p w14:paraId="0C0A104E" w14:textId="77777777" w:rsidR="00BD2E07" w:rsidRPr="00687DE8" w:rsidRDefault="00BD2E07" w:rsidP="006973B1">
      <w:pPr>
        <w:spacing w:after="0" w:line="240" w:lineRule="auto"/>
        <w:jc w:val="both"/>
        <w:divId w:val="1316184749"/>
        <w:rPr>
          <w:szCs w:val="24"/>
        </w:rPr>
      </w:pPr>
    </w:p>
    <w:p w14:paraId="49F191CE" w14:textId="7E2C76FD" w:rsidR="00160E79" w:rsidRPr="00687DE8" w:rsidRDefault="005E2B37" w:rsidP="334C3C86">
      <w:pPr>
        <w:spacing w:after="0" w:line="240" w:lineRule="auto"/>
        <w:jc w:val="both"/>
        <w:divId w:val="1316184749"/>
        <w:rPr>
          <w:color w:val="202020"/>
        </w:rPr>
      </w:pPr>
      <w:r>
        <w:t>(</w:t>
      </w:r>
      <w:r w:rsidR="00F6317F">
        <w:t>26</w:t>
      </w:r>
      <w:r w:rsidRPr="5F61E14E">
        <w:rPr>
          <w:color w:val="202020"/>
        </w:rPr>
        <w:t>)</w:t>
      </w:r>
      <w:r w:rsidR="00160E79" w:rsidRPr="5F61E14E">
        <w:rPr>
          <w:color w:val="202020"/>
        </w:rPr>
        <w:t xml:space="preserve"> Koodidega </w:t>
      </w:r>
      <w:r w:rsidR="00460012">
        <w:t>239</w:t>
      </w:r>
      <w:r w:rsidR="00AF237D">
        <w:t>4</w:t>
      </w:r>
      <w:r w:rsidR="00460012">
        <w:t>K</w:t>
      </w:r>
      <w:r w:rsidR="00F519F1">
        <w:t>–</w:t>
      </w:r>
      <w:r w:rsidR="00F519F1" w:rsidRPr="5F61E14E">
        <w:rPr>
          <w:color w:val="202020"/>
        </w:rPr>
        <w:t>2399K</w:t>
      </w:r>
      <w:r w:rsidR="00160E79" w:rsidRPr="5F61E14E">
        <w:rPr>
          <w:color w:val="202020"/>
        </w:rPr>
        <w:t xml:space="preserve"> tähistatud tervishoiuteenused ei sisalda</w:t>
      </w:r>
      <w:r w:rsidR="00B2767E" w:rsidRPr="5F61E14E">
        <w:rPr>
          <w:color w:val="202020"/>
        </w:rPr>
        <w:t xml:space="preserve"> </w:t>
      </w:r>
      <w:r w:rsidR="003C5F5C" w:rsidRPr="5F61E14E">
        <w:rPr>
          <w:color w:val="202020"/>
        </w:rPr>
        <w:t>ravikindlustusega hõlmamata isikutele ja Euroopa Liidu kodanikele osutatud teenuste</w:t>
      </w:r>
      <w:r w:rsidR="001D62B2">
        <w:rPr>
          <w:color w:val="202020"/>
        </w:rPr>
        <w:t>,</w:t>
      </w:r>
      <w:r w:rsidR="00160E79" w:rsidRPr="5F61E14E">
        <w:rPr>
          <w:color w:val="202020"/>
        </w:rPr>
        <w:t xml:space="preserve"> </w:t>
      </w:r>
      <w:r w:rsidR="008C50D3" w:rsidRPr="5F61E14E">
        <w:rPr>
          <w:color w:val="202020"/>
        </w:rPr>
        <w:t>ravi rahastamise lepingu</w:t>
      </w:r>
      <w:r w:rsidR="00F519F1" w:rsidRPr="5F61E14E">
        <w:rPr>
          <w:color w:val="202020"/>
        </w:rPr>
        <w:t>s</w:t>
      </w:r>
      <w:r w:rsidR="008C50D3" w:rsidRPr="5F61E14E">
        <w:rPr>
          <w:color w:val="202020"/>
        </w:rPr>
        <w:t xml:space="preserve"> </w:t>
      </w:r>
      <w:r w:rsidR="008C50D3" w:rsidRPr="5F61E14E">
        <w:rPr>
          <w:color w:val="202020"/>
        </w:rPr>
        <w:lastRenderedPageBreak/>
        <w:t>kokku</w:t>
      </w:r>
      <w:r w:rsidR="001F1747" w:rsidRPr="5F61E14E">
        <w:rPr>
          <w:color w:val="202020"/>
        </w:rPr>
        <w:t xml:space="preserve"> </w:t>
      </w:r>
      <w:r w:rsidR="008C50D3" w:rsidRPr="5F61E14E">
        <w:rPr>
          <w:color w:val="202020"/>
        </w:rPr>
        <w:t>lepitud erijuht</w:t>
      </w:r>
      <w:r w:rsidR="00705D56" w:rsidRPr="5F61E14E">
        <w:rPr>
          <w:color w:val="202020"/>
        </w:rPr>
        <w:t>ude</w:t>
      </w:r>
      <w:r w:rsidR="004A01ED" w:rsidRPr="5F61E14E">
        <w:rPr>
          <w:color w:val="202020"/>
        </w:rPr>
        <w:t xml:space="preserve"> raames osutatud</w:t>
      </w:r>
      <w:r w:rsidR="007500D5">
        <w:rPr>
          <w:color w:val="202020"/>
        </w:rPr>
        <w:t xml:space="preserve"> </w:t>
      </w:r>
      <w:r w:rsidR="0038547B">
        <w:rPr>
          <w:color w:val="202020"/>
        </w:rPr>
        <w:t>ega</w:t>
      </w:r>
      <w:r w:rsidR="004A01ED" w:rsidRPr="5F61E14E">
        <w:rPr>
          <w:color w:val="202020"/>
        </w:rPr>
        <w:t xml:space="preserve"> </w:t>
      </w:r>
      <w:r w:rsidR="008C50D3" w:rsidRPr="5F61E14E">
        <w:rPr>
          <w:color w:val="202020"/>
        </w:rPr>
        <w:t>koodide</w:t>
      </w:r>
      <w:r w:rsidR="001532E3" w:rsidRPr="5F61E14E">
        <w:rPr>
          <w:color w:val="202020"/>
        </w:rPr>
        <w:t>ga</w:t>
      </w:r>
      <w:r w:rsidR="008C50D3" w:rsidRPr="5F61E14E">
        <w:rPr>
          <w:color w:val="202020"/>
        </w:rPr>
        <w:t xml:space="preserve"> 2312K</w:t>
      </w:r>
      <w:r w:rsidR="00F519F1">
        <w:t>–2322K</w:t>
      </w:r>
      <w:r w:rsidR="008C50D3" w:rsidRPr="5F61E14E">
        <w:rPr>
          <w:color w:val="202020"/>
        </w:rPr>
        <w:t xml:space="preserve"> ja 2280K tähistatud tervishoiuteenuste </w:t>
      </w:r>
      <w:r w:rsidR="00160E79" w:rsidRPr="5F61E14E">
        <w:rPr>
          <w:color w:val="202020"/>
        </w:rPr>
        <w:t>kulu</w:t>
      </w:r>
      <w:r w:rsidR="0015661E" w:rsidRPr="5F61E14E">
        <w:rPr>
          <w:color w:val="202020"/>
        </w:rPr>
        <w:t>sid.</w:t>
      </w:r>
    </w:p>
    <w:p w14:paraId="35135FB4" w14:textId="77777777" w:rsidR="00160E79" w:rsidRPr="00687DE8" w:rsidRDefault="00160E79" w:rsidP="334C3C86">
      <w:pPr>
        <w:spacing w:after="0" w:line="240" w:lineRule="auto"/>
        <w:jc w:val="both"/>
        <w:divId w:val="1316184749"/>
        <w:rPr>
          <w:color w:val="202020"/>
          <w:szCs w:val="24"/>
        </w:rPr>
      </w:pPr>
    </w:p>
    <w:p w14:paraId="5A4B4BD9" w14:textId="7775A7BF" w:rsidR="00A30AB5" w:rsidRPr="00687DE8" w:rsidRDefault="00160E79" w:rsidP="334C3C86">
      <w:pPr>
        <w:spacing w:after="0" w:line="240" w:lineRule="auto"/>
        <w:jc w:val="both"/>
        <w:divId w:val="1316184749"/>
        <w:rPr>
          <w:color w:val="202020"/>
          <w:szCs w:val="24"/>
        </w:rPr>
      </w:pPr>
      <w:r w:rsidRPr="00687DE8">
        <w:rPr>
          <w:color w:val="202020"/>
          <w:szCs w:val="24"/>
        </w:rPr>
        <w:t>(</w:t>
      </w:r>
      <w:r w:rsidR="00F6317F">
        <w:rPr>
          <w:color w:val="202020"/>
          <w:szCs w:val="24"/>
        </w:rPr>
        <w:t>27</w:t>
      </w:r>
      <w:r w:rsidRPr="00687DE8">
        <w:rPr>
          <w:color w:val="202020"/>
          <w:szCs w:val="24"/>
        </w:rPr>
        <w:t>)</w:t>
      </w:r>
      <w:r w:rsidR="00D45640" w:rsidRPr="00687DE8">
        <w:rPr>
          <w:color w:val="202020"/>
          <w:szCs w:val="24"/>
        </w:rPr>
        <w:t xml:space="preserve"> </w:t>
      </w:r>
      <w:r w:rsidR="00A30AB5" w:rsidRPr="00687DE8">
        <w:rPr>
          <w:color w:val="202020"/>
          <w:szCs w:val="24"/>
        </w:rPr>
        <w:t>Koodi</w:t>
      </w:r>
      <w:r w:rsidR="001327E4" w:rsidRPr="00687DE8">
        <w:rPr>
          <w:color w:val="202020"/>
          <w:szCs w:val="24"/>
        </w:rPr>
        <w:t>de</w:t>
      </w:r>
      <w:r w:rsidR="00A30AB5" w:rsidRPr="00687DE8">
        <w:rPr>
          <w:color w:val="202020"/>
          <w:szCs w:val="24"/>
        </w:rPr>
        <w:t xml:space="preserve">ga </w:t>
      </w:r>
      <w:r w:rsidR="006D09CF" w:rsidRPr="00687DE8">
        <w:rPr>
          <w:szCs w:val="24"/>
        </w:rPr>
        <w:t>239</w:t>
      </w:r>
      <w:r w:rsidR="00BD2E4B">
        <w:rPr>
          <w:szCs w:val="24"/>
        </w:rPr>
        <w:t>4</w:t>
      </w:r>
      <w:r w:rsidR="006D09CF" w:rsidRPr="00687DE8">
        <w:rPr>
          <w:szCs w:val="24"/>
        </w:rPr>
        <w:t>K</w:t>
      </w:r>
      <w:r w:rsidR="00F519F1" w:rsidRPr="00687DE8">
        <w:rPr>
          <w:szCs w:val="24"/>
        </w:rPr>
        <w:t>–2399K</w:t>
      </w:r>
      <w:r w:rsidR="00A30AB5" w:rsidRPr="00687DE8">
        <w:rPr>
          <w:color w:val="202020"/>
          <w:szCs w:val="24"/>
        </w:rPr>
        <w:t xml:space="preserve"> tähistatud tervishoiuteenused sisaldavad tervishoiuteenuse osutajaga ravi rahastamise lepingus kokku</w:t>
      </w:r>
      <w:r w:rsidR="001F1747" w:rsidRPr="00687DE8">
        <w:rPr>
          <w:color w:val="202020"/>
          <w:szCs w:val="24"/>
        </w:rPr>
        <w:t xml:space="preserve"> </w:t>
      </w:r>
      <w:r w:rsidR="00A30AB5" w:rsidRPr="00687DE8">
        <w:rPr>
          <w:color w:val="202020"/>
          <w:szCs w:val="24"/>
        </w:rPr>
        <w:t>lepitud erialadel statsionaarse eriarstiabi ja päevaravi</w:t>
      </w:r>
      <w:r w:rsidR="008E63C9" w:rsidRPr="00687DE8">
        <w:rPr>
          <w:color w:val="202020"/>
          <w:szCs w:val="24"/>
        </w:rPr>
        <w:t>ga</w:t>
      </w:r>
      <w:r w:rsidR="00A30AB5" w:rsidRPr="00687DE8">
        <w:rPr>
          <w:color w:val="202020"/>
          <w:szCs w:val="24"/>
        </w:rPr>
        <w:t xml:space="preserve"> seotud </w:t>
      </w:r>
      <w:r w:rsidR="00F524E4" w:rsidRPr="00687DE8">
        <w:rPr>
          <w:color w:val="202020"/>
          <w:szCs w:val="24"/>
        </w:rPr>
        <w:t xml:space="preserve">tervishoiuteenuste </w:t>
      </w:r>
      <w:r w:rsidR="00A30AB5" w:rsidRPr="00687DE8">
        <w:rPr>
          <w:color w:val="202020"/>
          <w:szCs w:val="24"/>
        </w:rPr>
        <w:t>kulusid.</w:t>
      </w:r>
    </w:p>
    <w:p w14:paraId="3D896ED3" w14:textId="77777777" w:rsidR="00A30AB5" w:rsidRPr="00687DE8" w:rsidRDefault="00A30AB5" w:rsidP="334C3C86">
      <w:pPr>
        <w:spacing w:after="0" w:line="240" w:lineRule="auto"/>
        <w:jc w:val="both"/>
        <w:divId w:val="1316184749"/>
        <w:rPr>
          <w:color w:val="202020"/>
          <w:szCs w:val="24"/>
        </w:rPr>
      </w:pPr>
    </w:p>
    <w:p w14:paraId="2E3071D0" w14:textId="678A3465" w:rsidR="00287D55" w:rsidRPr="00687DE8" w:rsidRDefault="00A30AB5" w:rsidP="334C3C86">
      <w:pPr>
        <w:spacing w:after="0" w:line="240" w:lineRule="auto"/>
        <w:jc w:val="both"/>
        <w:divId w:val="1316184749"/>
        <w:rPr>
          <w:color w:val="202020"/>
          <w:szCs w:val="24"/>
        </w:rPr>
      </w:pPr>
      <w:r w:rsidRPr="00687DE8">
        <w:rPr>
          <w:color w:val="202020"/>
          <w:szCs w:val="24"/>
        </w:rPr>
        <w:t>(</w:t>
      </w:r>
      <w:r w:rsidR="00F6317F">
        <w:rPr>
          <w:color w:val="202020"/>
          <w:szCs w:val="24"/>
        </w:rPr>
        <w:t>28</w:t>
      </w:r>
      <w:r w:rsidRPr="00687DE8">
        <w:rPr>
          <w:color w:val="202020"/>
          <w:szCs w:val="24"/>
        </w:rPr>
        <w:t xml:space="preserve">) </w:t>
      </w:r>
      <w:r w:rsidR="00D45640" w:rsidRPr="00687DE8">
        <w:rPr>
          <w:color w:val="202020"/>
          <w:szCs w:val="24"/>
        </w:rPr>
        <w:t xml:space="preserve">Kõikide teenuste eest, </w:t>
      </w:r>
      <w:r w:rsidR="00751A47" w:rsidRPr="00687DE8">
        <w:rPr>
          <w:color w:val="202020"/>
          <w:szCs w:val="24"/>
        </w:rPr>
        <w:t xml:space="preserve">mis sisalduvad </w:t>
      </w:r>
      <w:r w:rsidR="00D45640" w:rsidRPr="00687DE8">
        <w:rPr>
          <w:color w:val="202020"/>
          <w:szCs w:val="24"/>
        </w:rPr>
        <w:t xml:space="preserve">koodidega </w:t>
      </w:r>
      <w:r w:rsidR="006D09CF" w:rsidRPr="00687DE8">
        <w:rPr>
          <w:szCs w:val="24"/>
        </w:rPr>
        <w:t>239</w:t>
      </w:r>
      <w:r w:rsidR="00BD2E4B">
        <w:rPr>
          <w:szCs w:val="24"/>
        </w:rPr>
        <w:t>4</w:t>
      </w:r>
      <w:r w:rsidR="006D09CF" w:rsidRPr="00687DE8">
        <w:rPr>
          <w:szCs w:val="24"/>
        </w:rPr>
        <w:t>K</w:t>
      </w:r>
      <w:r w:rsidR="003672B6" w:rsidRPr="00687DE8">
        <w:rPr>
          <w:szCs w:val="24"/>
        </w:rPr>
        <w:t>–</w:t>
      </w:r>
      <w:r w:rsidR="003672B6" w:rsidRPr="00687DE8">
        <w:rPr>
          <w:color w:val="202020"/>
          <w:szCs w:val="24"/>
        </w:rPr>
        <w:t>2399K</w:t>
      </w:r>
      <w:r w:rsidR="00C06CDE" w:rsidRPr="00687DE8">
        <w:rPr>
          <w:color w:val="202020"/>
          <w:szCs w:val="24"/>
        </w:rPr>
        <w:t xml:space="preserve"> tähistatud </w:t>
      </w:r>
      <w:r w:rsidR="0015661E" w:rsidRPr="00687DE8">
        <w:rPr>
          <w:color w:val="202020"/>
          <w:szCs w:val="24"/>
        </w:rPr>
        <w:t>tervishoiu</w:t>
      </w:r>
      <w:r w:rsidR="00C06CDE" w:rsidRPr="00687DE8">
        <w:rPr>
          <w:color w:val="202020"/>
          <w:szCs w:val="24"/>
        </w:rPr>
        <w:t>teenustes</w:t>
      </w:r>
      <w:r w:rsidR="00751A47" w:rsidRPr="00687DE8">
        <w:rPr>
          <w:color w:val="202020"/>
          <w:szCs w:val="24"/>
        </w:rPr>
        <w:t>, võtab Tervisekassa täiendavalt tasu maksmise kohustuse üle koefitsiendiga 0,5.</w:t>
      </w:r>
    </w:p>
    <w:p w14:paraId="0DED333C" w14:textId="77777777" w:rsidR="00287D55" w:rsidRPr="00687DE8" w:rsidRDefault="00287D55" w:rsidP="334C3C86">
      <w:pPr>
        <w:spacing w:after="0" w:line="240" w:lineRule="auto"/>
        <w:jc w:val="both"/>
        <w:divId w:val="1316184749"/>
        <w:rPr>
          <w:color w:val="202020"/>
          <w:szCs w:val="24"/>
        </w:rPr>
      </w:pPr>
    </w:p>
    <w:p w14:paraId="7BA7CD31" w14:textId="40ADD8A0" w:rsidR="005E2B37" w:rsidRPr="00687DE8" w:rsidRDefault="00287D55" w:rsidP="334C3C86">
      <w:pPr>
        <w:spacing w:after="0" w:line="240" w:lineRule="auto"/>
        <w:jc w:val="both"/>
        <w:divId w:val="1316184749"/>
        <w:rPr>
          <w:color w:val="202020"/>
          <w:szCs w:val="24"/>
        </w:rPr>
      </w:pPr>
      <w:r w:rsidRPr="00687DE8">
        <w:rPr>
          <w:color w:val="202020"/>
          <w:szCs w:val="24"/>
        </w:rPr>
        <w:t>(</w:t>
      </w:r>
      <w:r w:rsidR="00F6317F">
        <w:rPr>
          <w:color w:val="202020"/>
          <w:szCs w:val="24"/>
        </w:rPr>
        <w:t>29</w:t>
      </w:r>
      <w:r w:rsidRPr="00687DE8">
        <w:rPr>
          <w:color w:val="202020"/>
          <w:szCs w:val="24"/>
        </w:rPr>
        <w:t>)</w:t>
      </w:r>
      <w:r w:rsidR="005E2B37" w:rsidRPr="00687DE8">
        <w:rPr>
          <w:color w:val="202020"/>
          <w:szCs w:val="24"/>
        </w:rPr>
        <w:t xml:space="preserve"> Koodidega </w:t>
      </w:r>
      <w:r w:rsidR="006D09CF" w:rsidRPr="00687DE8">
        <w:rPr>
          <w:szCs w:val="24"/>
        </w:rPr>
        <w:t>239</w:t>
      </w:r>
      <w:r w:rsidR="00BD2E4B">
        <w:rPr>
          <w:szCs w:val="24"/>
        </w:rPr>
        <w:t>4</w:t>
      </w:r>
      <w:r w:rsidR="006D09CF" w:rsidRPr="00687DE8">
        <w:rPr>
          <w:szCs w:val="24"/>
        </w:rPr>
        <w:t>K</w:t>
      </w:r>
      <w:r w:rsidR="003672B6" w:rsidRPr="00687DE8">
        <w:rPr>
          <w:szCs w:val="24"/>
        </w:rPr>
        <w:t>–</w:t>
      </w:r>
      <w:r w:rsidR="003672B6" w:rsidRPr="00687DE8">
        <w:rPr>
          <w:color w:val="202020"/>
          <w:szCs w:val="24"/>
        </w:rPr>
        <w:t>2399K</w:t>
      </w:r>
      <w:r w:rsidR="005E2B37" w:rsidRPr="00687DE8">
        <w:rPr>
          <w:color w:val="202020"/>
          <w:szCs w:val="24"/>
        </w:rPr>
        <w:t xml:space="preserve"> tähistatud tervishoiuteenuseid rakendatakse vastavalt tervishoiuteenuse osutajaga sõlmitud ravi rahastamise lepingule</w:t>
      </w:r>
      <w:r w:rsidR="00C87498" w:rsidRPr="00687DE8">
        <w:rPr>
          <w:color w:val="202020"/>
          <w:szCs w:val="24"/>
        </w:rPr>
        <w:t>.</w:t>
      </w:r>
    </w:p>
    <w:p w14:paraId="3C513DF0" w14:textId="4FF29CD9" w:rsidR="2352782B" w:rsidRPr="00687DE8" w:rsidRDefault="2352782B" w:rsidP="006F7531">
      <w:pPr>
        <w:spacing w:after="0" w:line="240" w:lineRule="auto"/>
        <w:jc w:val="both"/>
        <w:rPr>
          <w:color w:val="202020"/>
          <w:szCs w:val="24"/>
        </w:rPr>
      </w:pPr>
    </w:p>
    <w:p w14:paraId="324F00D5" w14:textId="685C363C" w:rsidR="00976487" w:rsidRPr="00687DE8" w:rsidRDefault="5DDC488F" w:rsidP="0061025C">
      <w:pPr>
        <w:spacing w:after="0" w:line="240" w:lineRule="auto"/>
        <w:jc w:val="both"/>
        <w:outlineLvl w:val="2"/>
        <w:divId w:val="1316184749"/>
        <w:rPr>
          <w:color w:val="202020"/>
          <w:szCs w:val="24"/>
        </w:rPr>
      </w:pPr>
      <w:r w:rsidRPr="00687DE8">
        <w:rPr>
          <w:color w:val="202020"/>
          <w:szCs w:val="24"/>
        </w:rPr>
        <w:t>(</w:t>
      </w:r>
      <w:r w:rsidR="00F6317F">
        <w:rPr>
          <w:color w:val="202020"/>
          <w:szCs w:val="24"/>
        </w:rPr>
        <w:t>30</w:t>
      </w:r>
      <w:r w:rsidRPr="00687DE8">
        <w:rPr>
          <w:color w:val="202020"/>
          <w:szCs w:val="24"/>
        </w:rPr>
        <w:t>) Koodidega 2351K</w:t>
      </w:r>
      <w:r w:rsidR="001D2BB3" w:rsidRPr="00687DE8">
        <w:rPr>
          <w:color w:val="202020"/>
          <w:szCs w:val="24"/>
        </w:rPr>
        <w:t>–2353K</w:t>
      </w:r>
      <w:r w:rsidRPr="00687DE8">
        <w:rPr>
          <w:color w:val="202020"/>
          <w:szCs w:val="24"/>
        </w:rPr>
        <w:t xml:space="preserve"> tähistatud tervishoiuteenuseid rakendatakse vangistusseaduse §</w:t>
      </w:r>
      <w:r w:rsidR="00BD01F5" w:rsidRPr="00687DE8">
        <w:rPr>
          <w:color w:val="202020"/>
          <w:szCs w:val="24"/>
        </w:rPr>
        <w:t> </w:t>
      </w:r>
      <w:r w:rsidRPr="00687DE8">
        <w:rPr>
          <w:color w:val="202020"/>
          <w:szCs w:val="24"/>
        </w:rPr>
        <w:t>52 lõike 1</w:t>
      </w:r>
      <w:r w:rsidRPr="00687DE8">
        <w:rPr>
          <w:color w:val="202020"/>
          <w:szCs w:val="24"/>
          <w:vertAlign w:val="superscript"/>
        </w:rPr>
        <w:t>1</w:t>
      </w:r>
      <w:r w:rsidRPr="00687DE8">
        <w:rPr>
          <w:color w:val="202020"/>
          <w:szCs w:val="24"/>
        </w:rPr>
        <w:t xml:space="preserve"> alusel kehtestatud määruses vanglas kinni peetavale isikule vanglas koha</w:t>
      </w:r>
      <w:r w:rsidR="001D2BB3" w:rsidRPr="00687DE8">
        <w:rPr>
          <w:color w:val="202020"/>
          <w:szCs w:val="24"/>
        </w:rPr>
        <w:t>peal</w:t>
      </w:r>
      <w:r w:rsidRPr="00687DE8">
        <w:rPr>
          <w:color w:val="202020"/>
          <w:szCs w:val="24"/>
        </w:rPr>
        <w:t xml:space="preserve"> osutatavate tervishoiuteenuste osutamisel vastavalt tervishoiuteenuse</w:t>
      </w:r>
      <w:r w:rsidR="001D2BB3" w:rsidRPr="00687DE8">
        <w:rPr>
          <w:color w:val="202020"/>
          <w:szCs w:val="24"/>
        </w:rPr>
        <w:t xml:space="preserve"> osutajaga</w:t>
      </w:r>
      <w:r w:rsidRPr="00687DE8">
        <w:rPr>
          <w:color w:val="202020"/>
          <w:szCs w:val="24"/>
        </w:rPr>
        <w:t xml:space="preserve"> sõlmitud ravi rahastamise lepingus kokku</w:t>
      </w:r>
      <w:r w:rsidR="006F7531" w:rsidRPr="00687DE8">
        <w:rPr>
          <w:color w:val="202020"/>
          <w:szCs w:val="24"/>
        </w:rPr>
        <w:t xml:space="preserve"> lepitud</w:t>
      </w:r>
      <w:r w:rsidRPr="00687DE8">
        <w:rPr>
          <w:color w:val="202020"/>
          <w:szCs w:val="24"/>
        </w:rPr>
        <w:t xml:space="preserve"> tingimustele.</w:t>
      </w:r>
      <w:r w:rsidR="001C6E77" w:rsidRPr="00687DE8">
        <w:rPr>
          <w:color w:val="202020"/>
          <w:szCs w:val="24"/>
        </w:rPr>
        <w:t xml:space="preserve"> Vanglas ja arestimajas kinni</w:t>
      </w:r>
      <w:r w:rsidR="00377B93" w:rsidRPr="00687DE8">
        <w:rPr>
          <w:color w:val="202020"/>
          <w:szCs w:val="24"/>
        </w:rPr>
        <w:t xml:space="preserve"> peetavale</w:t>
      </w:r>
      <w:r w:rsidR="001C6E77" w:rsidRPr="00687DE8">
        <w:rPr>
          <w:color w:val="202020"/>
          <w:szCs w:val="24"/>
        </w:rPr>
        <w:t xml:space="preserve"> isikule meditsiinilisel näidustusel osutatud tervishoiuteenuste eest, mis ei ole hõlmatud koodidega 2351K</w:t>
      </w:r>
      <w:r w:rsidR="001D2BB3" w:rsidRPr="00687DE8">
        <w:rPr>
          <w:color w:val="202020"/>
          <w:szCs w:val="24"/>
        </w:rPr>
        <w:t>–2353K</w:t>
      </w:r>
      <w:r w:rsidR="001C6E77" w:rsidRPr="00687DE8">
        <w:rPr>
          <w:color w:val="202020"/>
          <w:szCs w:val="24"/>
        </w:rPr>
        <w:t xml:space="preserve"> tähistatud valmisolekutasuga, tasutakse vastavalt käesolevas määruses sätestatud piirhindadele ja tingimustele.</w:t>
      </w:r>
    </w:p>
    <w:p w14:paraId="48A1F832" w14:textId="6734FBB9" w:rsidR="33E714D3" w:rsidRPr="00687DE8" w:rsidRDefault="33E714D3" w:rsidP="0061025C">
      <w:pPr>
        <w:spacing w:after="0" w:line="240" w:lineRule="auto"/>
        <w:jc w:val="both"/>
        <w:outlineLvl w:val="2"/>
        <w:rPr>
          <w:color w:val="202020"/>
          <w:szCs w:val="24"/>
        </w:rPr>
      </w:pPr>
    </w:p>
    <w:p w14:paraId="07A8BB96" w14:textId="349979E8" w:rsidR="1E7EE10B" w:rsidRPr="00687DE8" w:rsidRDefault="1E7EE10B" w:rsidP="0061025C">
      <w:pPr>
        <w:spacing w:after="0" w:line="240" w:lineRule="auto"/>
        <w:jc w:val="both"/>
        <w:outlineLvl w:val="2"/>
        <w:rPr>
          <w:color w:val="202020"/>
          <w:szCs w:val="24"/>
        </w:rPr>
      </w:pPr>
      <w:r w:rsidRPr="00687DE8">
        <w:rPr>
          <w:color w:val="202020"/>
          <w:szCs w:val="24"/>
        </w:rPr>
        <w:t>(</w:t>
      </w:r>
      <w:r w:rsidR="00F6317F">
        <w:rPr>
          <w:color w:val="202020"/>
          <w:szCs w:val="24"/>
        </w:rPr>
        <w:t>31</w:t>
      </w:r>
      <w:r w:rsidRPr="00687DE8">
        <w:rPr>
          <w:color w:val="202020"/>
          <w:szCs w:val="24"/>
        </w:rPr>
        <w:t>) Koodi</w:t>
      </w:r>
      <w:r w:rsidR="001D2BB3" w:rsidRPr="00687DE8">
        <w:rPr>
          <w:color w:val="202020"/>
          <w:szCs w:val="24"/>
        </w:rPr>
        <w:t>de</w:t>
      </w:r>
      <w:r w:rsidRPr="00687DE8">
        <w:rPr>
          <w:color w:val="202020"/>
          <w:szCs w:val="24"/>
        </w:rPr>
        <w:t>ga 2351K</w:t>
      </w:r>
      <w:r w:rsidR="001D2BB3" w:rsidRPr="00687DE8">
        <w:rPr>
          <w:color w:val="202020"/>
          <w:szCs w:val="24"/>
        </w:rPr>
        <w:t>–2353K</w:t>
      </w:r>
      <w:r w:rsidRPr="00687DE8">
        <w:rPr>
          <w:color w:val="202020"/>
          <w:szCs w:val="24"/>
        </w:rPr>
        <w:t xml:space="preserve"> tähistatud tervishoiuteenus</w:t>
      </w:r>
      <w:r w:rsidR="001D2BB3" w:rsidRPr="00687DE8">
        <w:rPr>
          <w:color w:val="202020"/>
          <w:szCs w:val="24"/>
        </w:rPr>
        <w:t>t</w:t>
      </w:r>
      <w:r w:rsidRPr="00687DE8">
        <w:rPr>
          <w:color w:val="202020"/>
          <w:szCs w:val="24"/>
        </w:rPr>
        <w:t>e piirhind sisaldab järgmisi tegevusi:</w:t>
      </w:r>
    </w:p>
    <w:p w14:paraId="596A08A1" w14:textId="11AD1045" w:rsidR="1E7EE10B" w:rsidRPr="00687DE8" w:rsidRDefault="00FD4A74" w:rsidP="0061025C">
      <w:pPr>
        <w:spacing w:after="0" w:line="240" w:lineRule="auto"/>
        <w:jc w:val="both"/>
        <w:rPr>
          <w:szCs w:val="24"/>
        </w:rPr>
      </w:pPr>
      <w:r w:rsidRPr="00687DE8">
        <w:rPr>
          <w:color w:val="202020"/>
          <w:szCs w:val="24"/>
        </w:rPr>
        <w:t>1)</w:t>
      </w:r>
      <w:r w:rsidR="003222E1" w:rsidRPr="00687DE8">
        <w:rPr>
          <w:color w:val="202020"/>
          <w:szCs w:val="24"/>
        </w:rPr>
        <w:t xml:space="preserve"> </w:t>
      </w:r>
      <w:r w:rsidR="00DC0501" w:rsidRPr="00687DE8">
        <w:rPr>
          <w:color w:val="202020"/>
          <w:szCs w:val="24"/>
        </w:rPr>
        <w:t>vangistusseaduse § 52 lõike 1</w:t>
      </w:r>
      <w:r w:rsidR="00DC0501" w:rsidRPr="00687DE8">
        <w:rPr>
          <w:color w:val="202020"/>
          <w:szCs w:val="24"/>
          <w:vertAlign w:val="superscript"/>
        </w:rPr>
        <w:t>1</w:t>
      </w:r>
      <w:r w:rsidR="00DC0501" w:rsidRPr="00687DE8">
        <w:rPr>
          <w:color w:val="202020"/>
          <w:szCs w:val="24"/>
        </w:rPr>
        <w:t xml:space="preserve"> alusel </w:t>
      </w:r>
      <w:r w:rsidR="001F1747" w:rsidRPr="00687DE8">
        <w:rPr>
          <w:color w:val="202020"/>
          <w:szCs w:val="24"/>
        </w:rPr>
        <w:t xml:space="preserve">kehtestatud </w:t>
      </w:r>
      <w:r w:rsidR="00DC0501" w:rsidRPr="00687DE8">
        <w:rPr>
          <w:color w:val="202020"/>
          <w:szCs w:val="24"/>
        </w:rPr>
        <w:t xml:space="preserve">määruses nimetatud vanglas </w:t>
      </w:r>
      <w:r w:rsidR="001F1747" w:rsidRPr="00687DE8">
        <w:rPr>
          <w:color w:val="202020"/>
          <w:szCs w:val="24"/>
        </w:rPr>
        <w:t xml:space="preserve">osutatavate </w:t>
      </w:r>
      <w:r w:rsidR="00DC0501" w:rsidRPr="00687DE8">
        <w:rPr>
          <w:color w:val="202020"/>
          <w:szCs w:val="24"/>
        </w:rPr>
        <w:t>tervishoiuteenuste hulka kuuluva</w:t>
      </w:r>
      <w:r w:rsidR="001F1747" w:rsidRPr="00687DE8">
        <w:rPr>
          <w:color w:val="202020"/>
          <w:szCs w:val="24"/>
        </w:rPr>
        <w:t>d</w:t>
      </w:r>
      <w:r w:rsidR="00DC0501" w:rsidRPr="00687DE8">
        <w:rPr>
          <w:color w:val="202020"/>
          <w:szCs w:val="24"/>
        </w:rPr>
        <w:t xml:space="preserve"> tegevus</w:t>
      </w:r>
      <w:r w:rsidR="001F1747" w:rsidRPr="00687DE8">
        <w:rPr>
          <w:color w:val="202020"/>
          <w:szCs w:val="24"/>
        </w:rPr>
        <w:t>ed</w:t>
      </w:r>
      <w:r w:rsidR="00DC0501" w:rsidRPr="00687DE8">
        <w:rPr>
          <w:color w:val="202020"/>
          <w:szCs w:val="24"/>
        </w:rPr>
        <w:t>;</w:t>
      </w:r>
    </w:p>
    <w:p w14:paraId="1D3E1689" w14:textId="4A629AE4" w:rsidR="72354451" w:rsidRPr="00687DE8" w:rsidRDefault="00DC0501" w:rsidP="0061025C">
      <w:pPr>
        <w:spacing w:after="0" w:line="240" w:lineRule="auto"/>
        <w:jc w:val="both"/>
        <w:rPr>
          <w:szCs w:val="24"/>
        </w:rPr>
      </w:pPr>
      <w:r w:rsidRPr="00687DE8">
        <w:rPr>
          <w:color w:val="202020"/>
          <w:szCs w:val="24"/>
        </w:rPr>
        <w:t>2</w:t>
      </w:r>
      <w:r w:rsidR="72354451" w:rsidRPr="00687DE8">
        <w:rPr>
          <w:color w:val="202020"/>
          <w:szCs w:val="24"/>
        </w:rPr>
        <w:t>) vanglas töötava arsti vastuvõt</w:t>
      </w:r>
      <w:r w:rsidR="006F7531" w:rsidRPr="00687DE8">
        <w:rPr>
          <w:color w:val="202020"/>
          <w:szCs w:val="24"/>
        </w:rPr>
        <w:t>ud</w:t>
      </w:r>
      <w:r w:rsidR="72354451" w:rsidRPr="00687DE8">
        <w:rPr>
          <w:color w:val="202020"/>
          <w:szCs w:val="24"/>
        </w:rPr>
        <w:t>;</w:t>
      </w:r>
    </w:p>
    <w:p w14:paraId="34011E27" w14:textId="43DCEC54" w:rsidR="72354451" w:rsidRPr="00687DE8" w:rsidRDefault="00DC0501" w:rsidP="0061025C">
      <w:pPr>
        <w:spacing w:after="0" w:line="240" w:lineRule="auto"/>
        <w:jc w:val="both"/>
        <w:rPr>
          <w:szCs w:val="24"/>
        </w:rPr>
      </w:pPr>
      <w:r w:rsidRPr="00687DE8">
        <w:rPr>
          <w:color w:val="202020"/>
          <w:szCs w:val="24"/>
        </w:rPr>
        <w:t>3</w:t>
      </w:r>
      <w:r w:rsidR="72354451" w:rsidRPr="00687DE8">
        <w:rPr>
          <w:color w:val="202020"/>
          <w:szCs w:val="24"/>
        </w:rPr>
        <w:t>) vanglas ja arestimajas töötava õe vastuvõt</w:t>
      </w:r>
      <w:r w:rsidR="006F7531" w:rsidRPr="00687DE8">
        <w:rPr>
          <w:color w:val="202020"/>
          <w:szCs w:val="24"/>
        </w:rPr>
        <w:t>ud</w:t>
      </w:r>
      <w:r w:rsidR="72354451" w:rsidRPr="00687DE8">
        <w:rPr>
          <w:color w:val="202020"/>
          <w:szCs w:val="24"/>
        </w:rPr>
        <w:t xml:space="preserve"> ja ööpäevaring</w:t>
      </w:r>
      <w:r w:rsidR="006F7531" w:rsidRPr="00687DE8">
        <w:rPr>
          <w:color w:val="202020"/>
          <w:szCs w:val="24"/>
        </w:rPr>
        <w:t>ne</w:t>
      </w:r>
      <w:r w:rsidR="72354451" w:rsidRPr="00687DE8">
        <w:rPr>
          <w:color w:val="202020"/>
          <w:szCs w:val="24"/>
        </w:rPr>
        <w:t xml:space="preserve"> valve;</w:t>
      </w:r>
    </w:p>
    <w:p w14:paraId="6279CC34" w14:textId="0D6321A5" w:rsidR="72354451" w:rsidRPr="00687DE8" w:rsidRDefault="00DC0501" w:rsidP="0061025C">
      <w:pPr>
        <w:spacing w:after="0" w:line="240" w:lineRule="auto"/>
        <w:jc w:val="both"/>
        <w:rPr>
          <w:szCs w:val="24"/>
        </w:rPr>
      </w:pPr>
      <w:r w:rsidRPr="00687DE8">
        <w:rPr>
          <w:color w:val="202020"/>
          <w:szCs w:val="24"/>
        </w:rPr>
        <w:t>4</w:t>
      </w:r>
      <w:r w:rsidR="72354451" w:rsidRPr="00687DE8">
        <w:rPr>
          <w:color w:val="202020"/>
          <w:szCs w:val="24"/>
        </w:rPr>
        <w:t>) koodidega 3089, 3196 ja 3199 tähistatud vaktsineerimis</w:t>
      </w:r>
      <w:r w:rsidR="006F7531" w:rsidRPr="00687DE8">
        <w:rPr>
          <w:color w:val="202020"/>
          <w:szCs w:val="24"/>
        </w:rPr>
        <w:t>ed</w:t>
      </w:r>
      <w:r w:rsidR="72354451" w:rsidRPr="00687DE8">
        <w:rPr>
          <w:color w:val="202020"/>
          <w:szCs w:val="24"/>
        </w:rPr>
        <w:t>;</w:t>
      </w:r>
    </w:p>
    <w:p w14:paraId="3F88716B" w14:textId="30DB5DCE" w:rsidR="72354451" w:rsidRPr="00687DE8" w:rsidRDefault="00DC0501" w:rsidP="0061025C">
      <w:pPr>
        <w:spacing w:after="0" w:line="240" w:lineRule="auto"/>
        <w:jc w:val="both"/>
      </w:pPr>
      <w:r w:rsidRPr="7328EDAC">
        <w:rPr>
          <w:color w:val="202020"/>
        </w:rPr>
        <w:t>5</w:t>
      </w:r>
      <w:r w:rsidR="72354451" w:rsidRPr="7328EDAC">
        <w:rPr>
          <w:color w:val="202020"/>
        </w:rPr>
        <w:t xml:space="preserve">) ravi rahastamise lepingus nimetatud </w:t>
      </w:r>
      <w:r w:rsidR="00D14095" w:rsidRPr="7328EDAC">
        <w:rPr>
          <w:color w:val="202020"/>
        </w:rPr>
        <w:t>hambaravi</w:t>
      </w:r>
      <w:r w:rsidR="72354451" w:rsidRPr="7328EDAC">
        <w:rPr>
          <w:color w:val="202020"/>
        </w:rPr>
        <w:t>teenuse</w:t>
      </w:r>
      <w:r w:rsidR="006F7531" w:rsidRPr="7328EDAC">
        <w:rPr>
          <w:color w:val="202020"/>
        </w:rPr>
        <w:t>d</w:t>
      </w:r>
      <w:r w:rsidR="72354451" w:rsidRPr="7328EDAC">
        <w:rPr>
          <w:color w:val="202020"/>
        </w:rPr>
        <w:t>;</w:t>
      </w:r>
    </w:p>
    <w:p w14:paraId="7050095D" w14:textId="560168F5" w:rsidR="72354451" w:rsidRPr="00687DE8" w:rsidRDefault="00DC0501" w:rsidP="0061025C">
      <w:pPr>
        <w:spacing w:after="0" w:line="240" w:lineRule="auto"/>
        <w:jc w:val="both"/>
        <w:rPr>
          <w:szCs w:val="24"/>
        </w:rPr>
      </w:pPr>
      <w:r w:rsidRPr="00687DE8">
        <w:rPr>
          <w:color w:val="202020"/>
          <w:szCs w:val="24"/>
        </w:rPr>
        <w:t>6</w:t>
      </w:r>
      <w:r w:rsidR="72354451" w:rsidRPr="00687DE8">
        <w:rPr>
          <w:color w:val="202020"/>
          <w:szCs w:val="24"/>
        </w:rPr>
        <w:t>) koodidega 66207 ja 66112 tähistatud laboriuuringu</w:t>
      </w:r>
      <w:r w:rsidR="006F7531" w:rsidRPr="00687DE8">
        <w:rPr>
          <w:color w:val="202020"/>
          <w:szCs w:val="24"/>
        </w:rPr>
        <w:t>d</w:t>
      </w:r>
      <w:r w:rsidR="72354451" w:rsidRPr="00687DE8">
        <w:rPr>
          <w:color w:val="202020"/>
          <w:szCs w:val="24"/>
        </w:rPr>
        <w:t>;</w:t>
      </w:r>
    </w:p>
    <w:p w14:paraId="2F7F6E5C" w14:textId="270CEAE7" w:rsidR="72354451" w:rsidRPr="00687DE8" w:rsidRDefault="00DC0501" w:rsidP="0061025C">
      <w:pPr>
        <w:spacing w:after="0" w:line="240" w:lineRule="auto"/>
        <w:jc w:val="both"/>
        <w:rPr>
          <w:szCs w:val="24"/>
        </w:rPr>
      </w:pPr>
      <w:r w:rsidRPr="00687DE8">
        <w:rPr>
          <w:color w:val="202020"/>
          <w:szCs w:val="24"/>
        </w:rPr>
        <w:t>7</w:t>
      </w:r>
      <w:r w:rsidR="72354451" w:rsidRPr="00687DE8">
        <w:rPr>
          <w:color w:val="202020"/>
          <w:szCs w:val="24"/>
        </w:rPr>
        <w:t>) koodiga 6361 tähistatud funktsionaaldiagnostili</w:t>
      </w:r>
      <w:r w:rsidR="00CE2E71">
        <w:rPr>
          <w:color w:val="202020"/>
          <w:szCs w:val="24"/>
        </w:rPr>
        <w:t>ne</w:t>
      </w:r>
      <w:r w:rsidR="72354451" w:rsidRPr="00687DE8">
        <w:rPr>
          <w:color w:val="202020"/>
          <w:szCs w:val="24"/>
        </w:rPr>
        <w:t xml:space="preserve"> uuring</w:t>
      </w:r>
      <w:r w:rsidR="009D3DD7" w:rsidRPr="00687DE8">
        <w:rPr>
          <w:color w:val="202020"/>
          <w:szCs w:val="24"/>
        </w:rPr>
        <w:t>;</w:t>
      </w:r>
    </w:p>
    <w:p w14:paraId="3E7607D6" w14:textId="022BD43A" w:rsidR="72354451" w:rsidRPr="00687DE8" w:rsidRDefault="00DC0501" w:rsidP="0061025C">
      <w:pPr>
        <w:spacing w:after="0" w:line="240" w:lineRule="auto"/>
        <w:jc w:val="both"/>
        <w:rPr>
          <w:szCs w:val="24"/>
        </w:rPr>
      </w:pPr>
      <w:r w:rsidRPr="00687DE8">
        <w:rPr>
          <w:color w:val="202020"/>
          <w:szCs w:val="24"/>
        </w:rPr>
        <w:t>8</w:t>
      </w:r>
      <w:r w:rsidR="72354451" w:rsidRPr="00687DE8">
        <w:rPr>
          <w:color w:val="202020"/>
          <w:szCs w:val="24"/>
        </w:rPr>
        <w:t>) koodidega 7159 ja 7160 tähistatud uroloogilis</w:t>
      </w:r>
      <w:r w:rsidR="006F7531" w:rsidRPr="00687DE8">
        <w:rPr>
          <w:color w:val="202020"/>
          <w:szCs w:val="24"/>
        </w:rPr>
        <w:t>ed</w:t>
      </w:r>
      <w:r w:rsidR="72354451" w:rsidRPr="00687DE8">
        <w:rPr>
          <w:color w:val="202020"/>
          <w:szCs w:val="24"/>
        </w:rPr>
        <w:t xml:space="preserve"> protseduur</w:t>
      </w:r>
      <w:r w:rsidR="006F7531" w:rsidRPr="00687DE8">
        <w:rPr>
          <w:color w:val="202020"/>
          <w:szCs w:val="24"/>
        </w:rPr>
        <w:t>id</w:t>
      </w:r>
      <w:r w:rsidR="72354451" w:rsidRPr="00687DE8">
        <w:rPr>
          <w:color w:val="202020"/>
          <w:szCs w:val="24"/>
        </w:rPr>
        <w:t>;</w:t>
      </w:r>
    </w:p>
    <w:p w14:paraId="630183AB" w14:textId="526862DD" w:rsidR="72354451" w:rsidRPr="00687DE8" w:rsidRDefault="00DC0501" w:rsidP="0061025C">
      <w:pPr>
        <w:spacing w:after="0" w:line="240" w:lineRule="auto"/>
        <w:jc w:val="both"/>
        <w:rPr>
          <w:szCs w:val="24"/>
        </w:rPr>
      </w:pPr>
      <w:r w:rsidRPr="00687DE8">
        <w:rPr>
          <w:color w:val="202020"/>
          <w:szCs w:val="24"/>
        </w:rPr>
        <w:t>9</w:t>
      </w:r>
      <w:r w:rsidR="72354451" w:rsidRPr="00687DE8">
        <w:rPr>
          <w:color w:val="202020"/>
          <w:szCs w:val="24"/>
        </w:rPr>
        <w:t>) koodidega 7900</w:t>
      </w:r>
      <w:r w:rsidR="006F7531" w:rsidRPr="00687DE8">
        <w:rPr>
          <w:color w:val="202020"/>
          <w:szCs w:val="24"/>
        </w:rPr>
        <w:t>–7920</w:t>
      </w:r>
      <w:r w:rsidR="72354451" w:rsidRPr="00687DE8">
        <w:rPr>
          <w:color w:val="202020"/>
          <w:szCs w:val="24"/>
        </w:rPr>
        <w:t xml:space="preserve"> tähistatud röntgen</w:t>
      </w:r>
      <w:r w:rsidR="008110F2">
        <w:rPr>
          <w:color w:val="202020"/>
          <w:szCs w:val="24"/>
        </w:rPr>
        <w:t>i</w:t>
      </w:r>
      <w:r w:rsidR="72354451" w:rsidRPr="00687DE8">
        <w:rPr>
          <w:color w:val="202020"/>
          <w:szCs w:val="24"/>
        </w:rPr>
        <w:t>ülesvõtte</w:t>
      </w:r>
      <w:r w:rsidR="006F7531" w:rsidRPr="00687DE8">
        <w:rPr>
          <w:color w:val="202020"/>
          <w:szCs w:val="24"/>
        </w:rPr>
        <w:t>d</w:t>
      </w:r>
      <w:r w:rsidR="72354451" w:rsidRPr="00687DE8">
        <w:rPr>
          <w:color w:val="202020"/>
          <w:szCs w:val="24"/>
        </w:rPr>
        <w:t>;</w:t>
      </w:r>
    </w:p>
    <w:p w14:paraId="61267CA4" w14:textId="5D3BF70C" w:rsidR="72354451" w:rsidRDefault="00DC0501" w:rsidP="0061025C">
      <w:pPr>
        <w:spacing w:after="0" w:line="240" w:lineRule="auto"/>
        <w:jc w:val="both"/>
        <w:rPr>
          <w:color w:val="202020"/>
          <w:szCs w:val="24"/>
        </w:rPr>
      </w:pPr>
      <w:r w:rsidRPr="00687DE8">
        <w:rPr>
          <w:color w:val="202020"/>
          <w:szCs w:val="24"/>
        </w:rPr>
        <w:t>10</w:t>
      </w:r>
      <w:r w:rsidR="72354451" w:rsidRPr="00687DE8">
        <w:rPr>
          <w:color w:val="202020"/>
          <w:szCs w:val="24"/>
        </w:rPr>
        <w:t>) koodidega 7941</w:t>
      </w:r>
      <w:r w:rsidR="006F7531" w:rsidRPr="00687DE8">
        <w:rPr>
          <w:color w:val="202020"/>
          <w:szCs w:val="24"/>
        </w:rPr>
        <w:t>–7960</w:t>
      </w:r>
      <w:r w:rsidR="72354451" w:rsidRPr="00687DE8">
        <w:rPr>
          <w:color w:val="202020"/>
          <w:szCs w:val="24"/>
        </w:rPr>
        <w:t xml:space="preserve"> tähistatud ultraheliuuringu</w:t>
      </w:r>
      <w:r w:rsidR="006F7531" w:rsidRPr="00687DE8">
        <w:rPr>
          <w:color w:val="202020"/>
          <w:szCs w:val="24"/>
        </w:rPr>
        <w:t>d</w:t>
      </w:r>
      <w:r w:rsidR="72354451" w:rsidRPr="00687DE8">
        <w:rPr>
          <w:color w:val="202020"/>
          <w:szCs w:val="24"/>
        </w:rPr>
        <w:t>;</w:t>
      </w:r>
    </w:p>
    <w:p w14:paraId="5D6B1286" w14:textId="375557FD" w:rsidR="00D14095" w:rsidRDefault="00D14095" w:rsidP="0061025C">
      <w:pPr>
        <w:spacing w:after="0" w:line="240" w:lineRule="auto"/>
        <w:jc w:val="both"/>
        <w:rPr>
          <w:color w:val="202020"/>
          <w:szCs w:val="24"/>
        </w:rPr>
      </w:pPr>
      <w:r>
        <w:rPr>
          <w:color w:val="202020"/>
          <w:szCs w:val="24"/>
        </w:rPr>
        <w:t xml:space="preserve">11) koodidega </w:t>
      </w:r>
      <w:r w:rsidR="00395DC8">
        <w:rPr>
          <w:color w:val="202020"/>
          <w:szCs w:val="24"/>
        </w:rPr>
        <w:t>3015</w:t>
      </w:r>
      <w:r w:rsidR="000054E1">
        <w:rPr>
          <w:color w:val="202020"/>
          <w:szCs w:val="24"/>
        </w:rPr>
        <w:t xml:space="preserve">, </w:t>
      </w:r>
      <w:r w:rsidR="00390070">
        <w:rPr>
          <w:color w:val="202020"/>
          <w:szCs w:val="24"/>
        </w:rPr>
        <w:t xml:space="preserve">3207, 3228, 3118, 3220 ja </w:t>
      </w:r>
      <w:r w:rsidR="0023219D">
        <w:rPr>
          <w:color w:val="202020"/>
          <w:szCs w:val="24"/>
        </w:rPr>
        <w:t xml:space="preserve">3221 tähistatud vaimse tervise õe </w:t>
      </w:r>
      <w:r w:rsidR="00891F8B">
        <w:rPr>
          <w:color w:val="202020"/>
          <w:szCs w:val="24"/>
        </w:rPr>
        <w:t>vastuvõtud</w:t>
      </w:r>
      <w:r w:rsidR="0023219D">
        <w:rPr>
          <w:color w:val="202020"/>
          <w:szCs w:val="24"/>
        </w:rPr>
        <w:t>;</w:t>
      </w:r>
    </w:p>
    <w:p w14:paraId="635FDFD0" w14:textId="50BD3111" w:rsidR="0023219D" w:rsidRDefault="0023219D" w:rsidP="0061025C">
      <w:pPr>
        <w:spacing w:after="0" w:line="240" w:lineRule="auto"/>
        <w:jc w:val="both"/>
        <w:rPr>
          <w:color w:val="202020"/>
          <w:szCs w:val="24"/>
        </w:rPr>
      </w:pPr>
      <w:r>
        <w:rPr>
          <w:color w:val="202020"/>
          <w:szCs w:val="24"/>
        </w:rPr>
        <w:t>12) koodidega 3032</w:t>
      </w:r>
      <w:r w:rsidR="000864CB">
        <w:rPr>
          <w:color w:val="202020"/>
          <w:szCs w:val="24"/>
        </w:rPr>
        <w:t>, 3203, 3224, 3033</w:t>
      </w:r>
      <w:r w:rsidR="005F4D09">
        <w:rPr>
          <w:color w:val="202020"/>
          <w:szCs w:val="24"/>
        </w:rPr>
        <w:t xml:space="preserve">, 3204 ja </w:t>
      </w:r>
      <w:r w:rsidR="00F35BFA">
        <w:rPr>
          <w:color w:val="202020"/>
          <w:szCs w:val="24"/>
        </w:rPr>
        <w:t>32</w:t>
      </w:r>
      <w:r w:rsidR="00DD6903">
        <w:rPr>
          <w:color w:val="202020"/>
          <w:szCs w:val="24"/>
        </w:rPr>
        <w:t>5</w:t>
      </w:r>
      <w:r w:rsidR="00F35BFA">
        <w:rPr>
          <w:color w:val="202020"/>
          <w:szCs w:val="24"/>
        </w:rPr>
        <w:t xml:space="preserve">5 </w:t>
      </w:r>
      <w:r w:rsidR="00552A85">
        <w:rPr>
          <w:color w:val="202020"/>
          <w:szCs w:val="24"/>
        </w:rPr>
        <w:t xml:space="preserve">tähistatud </w:t>
      </w:r>
      <w:r w:rsidR="00F35BFA">
        <w:rPr>
          <w:color w:val="202020"/>
          <w:szCs w:val="24"/>
        </w:rPr>
        <w:t>psühhiaatri vastuvõtud;</w:t>
      </w:r>
    </w:p>
    <w:p w14:paraId="2042F0AA" w14:textId="30DA1823" w:rsidR="00552A85" w:rsidRDefault="00552A85" w:rsidP="0061025C">
      <w:pPr>
        <w:spacing w:after="0" w:line="240" w:lineRule="auto"/>
        <w:jc w:val="both"/>
        <w:rPr>
          <w:color w:val="202020"/>
          <w:szCs w:val="24"/>
        </w:rPr>
      </w:pPr>
      <w:r>
        <w:rPr>
          <w:color w:val="202020"/>
          <w:szCs w:val="24"/>
        </w:rPr>
        <w:t>13) koodidega 3100</w:t>
      </w:r>
      <w:r w:rsidR="005F4D09">
        <w:rPr>
          <w:color w:val="202020"/>
          <w:szCs w:val="24"/>
        </w:rPr>
        <w:t xml:space="preserve">, 3205 ja </w:t>
      </w:r>
      <w:r>
        <w:rPr>
          <w:color w:val="202020"/>
          <w:szCs w:val="24"/>
        </w:rPr>
        <w:t>3226 tähistatud psühhiaatri vastuvõtud alla 19-aastasele isikule;</w:t>
      </w:r>
    </w:p>
    <w:p w14:paraId="76CAF550" w14:textId="2478AABF" w:rsidR="00552A85" w:rsidRPr="00687DE8" w:rsidRDefault="00552A85" w:rsidP="0061025C">
      <w:pPr>
        <w:spacing w:after="0" w:line="240" w:lineRule="auto"/>
        <w:jc w:val="both"/>
        <w:rPr>
          <w:szCs w:val="24"/>
        </w:rPr>
      </w:pPr>
      <w:r>
        <w:rPr>
          <w:color w:val="202020"/>
          <w:szCs w:val="24"/>
        </w:rPr>
        <w:t xml:space="preserve">14) koodidega </w:t>
      </w:r>
      <w:r w:rsidR="009C53F4">
        <w:rPr>
          <w:color w:val="202020"/>
          <w:szCs w:val="24"/>
        </w:rPr>
        <w:t>3031</w:t>
      </w:r>
      <w:r w:rsidR="004F6845">
        <w:rPr>
          <w:color w:val="202020"/>
          <w:szCs w:val="24"/>
        </w:rPr>
        <w:t xml:space="preserve">, 3202 ja </w:t>
      </w:r>
      <w:r w:rsidR="009C53F4">
        <w:rPr>
          <w:color w:val="202020"/>
          <w:szCs w:val="24"/>
        </w:rPr>
        <w:t>3223</w:t>
      </w:r>
      <w:r w:rsidR="003F1670">
        <w:rPr>
          <w:color w:val="202020"/>
          <w:szCs w:val="24"/>
        </w:rPr>
        <w:t xml:space="preserve"> tähistatud psühhiaatri ja õe vastuvõtud</w:t>
      </w:r>
      <w:r w:rsidR="00891F8B">
        <w:rPr>
          <w:color w:val="202020"/>
          <w:szCs w:val="24"/>
        </w:rPr>
        <w:t>;</w:t>
      </w:r>
    </w:p>
    <w:p w14:paraId="5AAD1BFB" w14:textId="6F75D49F" w:rsidR="72354451" w:rsidRPr="00687DE8" w:rsidRDefault="00DC0501" w:rsidP="0061025C">
      <w:pPr>
        <w:spacing w:after="0" w:line="240" w:lineRule="auto"/>
        <w:jc w:val="both"/>
        <w:rPr>
          <w:szCs w:val="24"/>
        </w:rPr>
      </w:pPr>
      <w:r w:rsidRPr="00687DE8">
        <w:rPr>
          <w:color w:val="202020"/>
          <w:szCs w:val="24"/>
        </w:rPr>
        <w:t>1</w:t>
      </w:r>
      <w:r w:rsidR="00891F8B">
        <w:rPr>
          <w:color w:val="202020"/>
          <w:szCs w:val="24"/>
        </w:rPr>
        <w:t>5</w:t>
      </w:r>
      <w:r w:rsidR="72354451" w:rsidRPr="00687DE8">
        <w:rPr>
          <w:color w:val="202020"/>
          <w:szCs w:val="24"/>
        </w:rPr>
        <w:t>) meditsiiniseadme</w:t>
      </w:r>
      <w:r w:rsidR="006F7531" w:rsidRPr="00687DE8">
        <w:rPr>
          <w:color w:val="202020"/>
          <w:szCs w:val="24"/>
        </w:rPr>
        <w:t>d,</w:t>
      </w:r>
      <w:r w:rsidR="72354451" w:rsidRPr="00687DE8">
        <w:rPr>
          <w:color w:val="202020"/>
          <w:szCs w:val="24"/>
        </w:rPr>
        <w:t xml:space="preserve"> abivahend</w:t>
      </w:r>
      <w:r w:rsidR="006F7531" w:rsidRPr="00687DE8">
        <w:rPr>
          <w:color w:val="202020"/>
          <w:szCs w:val="24"/>
        </w:rPr>
        <w:t>id</w:t>
      </w:r>
      <w:r w:rsidR="72354451" w:rsidRPr="00687DE8">
        <w:rPr>
          <w:color w:val="202020"/>
          <w:szCs w:val="24"/>
        </w:rPr>
        <w:t xml:space="preserve"> ja ravim</w:t>
      </w:r>
      <w:r w:rsidR="006F7531" w:rsidRPr="00687DE8">
        <w:rPr>
          <w:color w:val="202020"/>
          <w:szCs w:val="24"/>
        </w:rPr>
        <w:t>id</w:t>
      </w:r>
      <w:r w:rsidR="007B1CC4" w:rsidRPr="00687DE8">
        <w:rPr>
          <w:color w:val="202020"/>
          <w:szCs w:val="24"/>
        </w:rPr>
        <w:t>.</w:t>
      </w:r>
    </w:p>
    <w:p w14:paraId="758260A7" w14:textId="3FB324D4" w:rsidR="57FE1790" w:rsidRPr="00687DE8" w:rsidRDefault="57FE1790" w:rsidP="0061025C">
      <w:pPr>
        <w:spacing w:after="0" w:line="240" w:lineRule="auto"/>
        <w:jc w:val="both"/>
        <w:rPr>
          <w:color w:val="202020"/>
          <w:szCs w:val="24"/>
        </w:rPr>
      </w:pPr>
    </w:p>
    <w:p w14:paraId="2EEB48AA" w14:textId="166ABB7F" w:rsidR="22D94FDA" w:rsidRPr="00687DE8" w:rsidRDefault="22D94FDA" w:rsidP="0061025C">
      <w:pPr>
        <w:spacing w:after="0" w:line="240" w:lineRule="auto"/>
        <w:jc w:val="both"/>
        <w:outlineLvl w:val="2"/>
        <w:rPr>
          <w:color w:val="202020"/>
          <w:szCs w:val="24"/>
        </w:rPr>
      </w:pPr>
      <w:r w:rsidRPr="00687DE8">
        <w:rPr>
          <w:color w:val="202020"/>
          <w:szCs w:val="24"/>
        </w:rPr>
        <w:t>(</w:t>
      </w:r>
      <w:r w:rsidR="00F6317F">
        <w:rPr>
          <w:color w:val="202020"/>
          <w:szCs w:val="24"/>
        </w:rPr>
        <w:t>32</w:t>
      </w:r>
      <w:r w:rsidRPr="00687DE8">
        <w:rPr>
          <w:color w:val="202020"/>
          <w:szCs w:val="24"/>
        </w:rPr>
        <w:t xml:space="preserve">) Koodiga 2351K </w:t>
      </w:r>
      <w:r w:rsidR="006F7531" w:rsidRPr="00687DE8">
        <w:rPr>
          <w:color w:val="202020"/>
          <w:szCs w:val="24"/>
        </w:rPr>
        <w:t>tähistatud tervishoiu</w:t>
      </w:r>
      <w:r w:rsidRPr="00687DE8">
        <w:rPr>
          <w:color w:val="202020"/>
          <w:szCs w:val="24"/>
        </w:rPr>
        <w:t>teenuse piirhind sisaldab statsionaarse</w:t>
      </w:r>
      <w:r w:rsidR="3DBFB8A1" w:rsidRPr="00687DE8">
        <w:rPr>
          <w:color w:val="202020"/>
          <w:szCs w:val="24"/>
        </w:rPr>
        <w:t>s</w:t>
      </w:r>
      <w:r w:rsidRPr="00687DE8">
        <w:rPr>
          <w:color w:val="202020"/>
          <w:szCs w:val="24"/>
        </w:rPr>
        <w:t xml:space="preserve"> tuberkuloosi</w:t>
      </w:r>
      <w:r w:rsidR="00AA233D" w:rsidRPr="00687DE8">
        <w:rPr>
          <w:color w:val="202020"/>
          <w:szCs w:val="24"/>
        </w:rPr>
        <w:t>osakonnas</w:t>
      </w:r>
      <w:r w:rsidRPr="00687DE8">
        <w:rPr>
          <w:color w:val="202020"/>
          <w:szCs w:val="24"/>
        </w:rPr>
        <w:t xml:space="preserve"> osutatavaid tervishoiuteenuseid </w:t>
      </w:r>
      <w:r w:rsidR="5C4E596B" w:rsidRPr="00687DE8">
        <w:rPr>
          <w:color w:val="202020"/>
          <w:szCs w:val="24"/>
        </w:rPr>
        <w:t>ja Tallinna Kinnipidamiskeskuses arsti ja õe vastuvõtte.</w:t>
      </w:r>
    </w:p>
    <w:p w14:paraId="1F67E760" w14:textId="77777777" w:rsidR="007A3A25" w:rsidRPr="00687DE8" w:rsidRDefault="007A3A25" w:rsidP="0061025C">
      <w:pPr>
        <w:spacing w:after="0" w:line="240" w:lineRule="auto"/>
        <w:jc w:val="both"/>
        <w:rPr>
          <w:color w:val="202020"/>
          <w:szCs w:val="24"/>
        </w:rPr>
      </w:pPr>
    </w:p>
    <w:p w14:paraId="4ABF064B" w14:textId="17A7A1A0" w:rsidR="22D94FDA" w:rsidRPr="00687DE8" w:rsidRDefault="22D94FDA" w:rsidP="0061025C">
      <w:pPr>
        <w:spacing w:after="0" w:line="240" w:lineRule="auto"/>
        <w:jc w:val="both"/>
        <w:rPr>
          <w:szCs w:val="24"/>
        </w:rPr>
      </w:pPr>
      <w:r w:rsidRPr="00687DE8">
        <w:rPr>
          <w:color w:val="202020"/>
          <w:szCs w:val="24"/>
        </w:rPr>
        <w:t>(</w:t>
      </w:r>
      <w:r w:rsidR="00F6317F">
        <w:rPr>
          <w:color w:val="202020"/>
          <w:szCs w:val="24"/>
        </w:rPr>
        <w:t>33</w:t>
      </w:r>
      <w:r w:rsidRPr="00687DE8">
        <w:rPr>
          <w:color w:val="202020"/>
          <w:szCs w:val="24"/>
        </w:rPr>
        <w:t xml:space="preserve">) </w:t>
      </w:r>
      <w:r w:rsidR="007A3A25" w:rsidRPr="00687DE8">
        <w:rPr>
          <w:color w:val="202020"/>
          <w:szCs w:val="24"/>
        </w:rPr>
        <w:t>K</w:t>
      </w:r>
      <w:r w:rsidRPr="00687DE8">
        <w:rPr>
          <w:color w:val="202020"/>
          <w:szCs w:val="24"/>
        </w:rPr>
        <w:t xml:space="preserve">oodiga 2352K tähistatud </w:t>
      </w:r>
      <w:r w:rsidR="00392F3B" w:rsidRPr="00687DE8">
        <w:rPr>
          <w:color w:val="202020"/>
          <w:szCs w:val="24"/>
        </w:rPr>
        <w:t>tervishoiu</w:t>
      </w:r>
      <w:r w:rsidRPr="00687DE8">
        <w:rPr>
          <w:color w:val="202020"/>
          <w:szCs w:val="24"/>
        </w:rPr>
        <w:t>teenuse piirhind sisaldab statsionaarse</w:t>
      </w:r>
      <w:r w:rsidR="7A131924" w:rsidRPr="00687DE8">
        <w:rPr>
          <w:color w:val="202020"/>
          <w:szCs w:val="24"/>
        </w:rPr>
        <w:t>s</w:t>
      </w:r>
      <w:r w:rsidRPr="00687DE8">
        <w:rPr>
          <w:color w:val="202020"/>
          <w:szCs w:val="24"/>
        </w:rPr>
        <w:t xml:space="preserve"> psühhiaatria</w:t>
      </w:r>
      <w:r w:rsidR="00AA233D" w:rsidRPr="00687DE8">
        <w:rPr>
          <w:color w:val="202020"/>
          <w:szCs w:val="24"/>
        </w:rPr>
        <w:t>osakonnas</w:t>
      </w:r>
      <w:r w:rsidRPr="00687DE8">
        <w:rPr>
          <w:color w:val="202020"/>
          <w:szCs w:val="24"/>
        </w:rPr>
        <w:t xml:space="preserve"> osutatavaid tervishoiuteenuseid.</w:t>
      </w:r>
    </w:p>
    <w:p w14:paraId="3AD52F2D" w14:textId="7D313826" w:rsidR="7065B842" w:rsidRPr="00687DE8" w:rsidRDefault="7065B842" w:rsidP="0061025C">
      <w:pPr>
        <w:spacing w:after="0" w:line="240" w:lineRule="auto"/>
        <w:jc w:val="both"/>
        <w:outlineLvl w:val="2"/>
        <w:rPr>
          <w:color w:val="202020"/>
          <w:szCs w:val="24"/>
        </w:rPr>
      </w:pPr>
    </w:p>
    <w:p w14:paraId="1456563A" w14:textId="14F02A3B" w:rsidR="00425092" w:rsidRPr="00687DE8" w:rsidRDefault="00425092" w:rsidP="00425092">
      <w:pPr>
        <w:pStyle w:val="Vahedeta"/>
        <w:jc w:val="both"/>
        <w:rPr>
          <w:szCs w:val="24"/>
          <w:lang w:val="et-EE"/>
        </w:rPr>
      </w:pPr>
      <w:r w:rsidRPr="00687DE8">
        <w:rPr>
          <w:szCs w:val="24"/>
          <w:lang w:val="fr-FR"/>
        </w:rPr>
        <w:lastRenderedPageBreak/>
        <w:t>(</w:t>
      </w:r>
      <w:r w:rsidR="00F6317F">
        <w:rPr>
          <w:szCs w:val="24"/>
          <w:lang w:val="fr-FR"/>
        </w:rPr>
        <w:t>34</w:t>
      </w:r>
      <w:r w:rsidRPr="00687DE8">
        <w:rPr>
          <w:szCs w:val="24"/>
          <w:lang w:val="fr-FR"/>
        </w:rPr>
        <w:t xml:space="preserve">) </w:t>
      </w:r>
      <w:r w:rsidRPr="00687DE8">
        <w:rPr>
          <w:szCs w:val="24"/>
          <w:lang w:val="et-EE"/>
        </w:rPr>
        <w:t>Koodiga 2294K tähistatud tervishoiuteenust rakendatakse haiglate loetelu § 2 lõike 3 punktis</w:t>
      </w:r>
      <w:r w:rsidR="00BD01F5" w:rsidRPr="00687DE8">
        <w:rPr>
          <w:szCs w:val="24"/>
          <w:lang w:val="et-EE"/>
        </w:rPr>
        <w:t> </w:t>
      </w:r>
      <w:r w:rsidRPr="00687DE8">
        <w:rPr>
          <w:szCs w:val="24"/>
          <w:lang w:val="et-EE"/>
        </w:rPr>
        <w:t>9 nimetatud hajaasustusega saare üldhaiglas vastavalt tervishoiuteenuse osutajaga sõlmitud ravi rahastamise lepingule.</w:t>
      </w:r>
    </w:p>
    <w:p w14:paraId="4F36AA6A" w14:textId="77777777" w:rsidR="00425092" w:rsidRPr="00687DE8" w:rsidRDefault="00425092" w:rsidP="00425092">
      <w:pPr>
        <w:pStyle w:val="Vahedeta"/>
        <w:jc w:val="both"/>
        <w:rPr>
          <w:szCs w:val="24"/>
          <w:lang w:val="et-EE"/>
        </w:rPr>
      </w:pPr>
    </w:p>
    <w:p w14:paraId="7F348473" w14:textId="5C90C843" w:rsidR="00425092" w:rsidRPr="00687DE8" w:rsidRDefault="00425092" w:rsidP="00425092">
      <w:pPr>
        <w:pStyle w:val="Vahedeta"/>
        <w:jc w:val="both"/>
        <w:rPr>
          <w:szCs w:val="24"/>
          <w:lang w:val="et-EE"/>
        </w:rPr>
      </w:pPr>
      <w:r w:rsidRPr="00687DE8">
        <w:rPr>
          <w:szCs w:val="24"/>
          <w:lang w:val="et-EE"/>
        </w:rPr>
        <w:t>(</w:t>
      </w:r>
      <w:r w:rsidR="00F6317F">
        <w:rPr>
          <w:szCs w:val="24"/>
          <w:lang w:val="et-EE"/>
        </w:rPr>
        <w:t>35</w:t>
      </w:r>
      <w:r w:rsidRPr="00687DE8">
        <w:rPr>
          <w:szCs w:val="24"/>
          <w:lang w:val="et-EE"/>
        </w:rPr>
        <w:t>) Koodiga 2294K tähistatud tervishoiuteenus ei sisalda kulutusi dialüüsile</w:t>
      </w:r>
      <w:r w:rsidR="27A728B7" w:rsidRPr="00687DE8">
        <w:rPr>
          <w:szCs w:val="24"/>
          <w:lang w:val="et-EE"/>
        </w:rPr>
        <w:t xml:space="preserve"> </w:t>
      </w:r>
      <w:r w:rsidR="6AE16FD5" w:rsidRPr="00687DE8">
        <w:rPr>
          <w:szCs w:val="24"/>
          <w:lang w:val="et-EE"/>
        </w:rPr>
        <w:t>ja</w:t>
      </w:r>
      <w:r w:rsidR="20AE90CD" w:rsidRPr="00687DE8">
        <w:rPr>
          <w:szCs w:val="24"/>
          <w:lang w:val="et-EE"/>
        </w:rPr>
        <w:t xml:space="preserve"> koduõendusteenusele</w:t>
      </w:r>
      <w:r w:rsidR="00E337BE" w:rsidRPr="00687DE8">
        <w:rPr>
          <w:szCs w:val="24"/>
          <w:lang w:val="et-EE"/>
        </w:rPr>
        <w:t xml:space="preserve"> </w:t>
      </w:r>
      <w:r w:rsidR="001D2BB3" w:rsidRPr="00687DE8">
        <w:rPr>
          <w:szCs w:val="24"/>
          <w:lang w:val="et-EE"/>
        </w:rPr>
        <w:t>ega</w:t>
      </w:r>
      <w:r w:rsidR="00E337BE" w:rsidRPr="00687DE8">
        <w:rPr>
          <w:szCs w:val="24"/>
          <w:lang w:val="et-EE"/>
        </w:rPr>
        <w:t xml:space="preserve"> ravi rahastamise lepingus kokku lepitud iseseisva füsioteraapia, logopeedilise ravi ja psühholoogilise ravi teenustele</w:t>
      </w:r>
      <w:r w:rsidRPr="00687DE8">
        <w:rPr>
          <w:szCs w:val="24"/>
          <w:lang w:val="et-EE"/>
        </w:rPr>
        <w:t>.</w:t>
      </w:r>
    </w:p>
    <w:p w14:paraId="757CBEEF" w14:textId="77777777" w:rsidR="00C872E7" w:rsidRDefault="00C872E7" w:rsidP="00425092">
      <w:pPr>
        <w:pStyle w:val="Vahedeta"/>
        <w:jc w:val="both"/>
        <w:rPr>
          <w:szCs w:val="24"/>
          <w:lang w:val="et-EE"/>
        </w:rPr>
      </w:pPr>
    </w:p>
    <w:p w14:paraId="5CC28169" w14:textId="77777777" w:rsidR="0045087E" w:rsidRDefault="00B917F9" w:rsidP="0045087E">
      <w:pPr>
        <w:pStyle w:val="Normaallaadveeb"/>
        <w:shd w:val="clear" w:color="auto" w:fill="FFFFFF" w:themeFill="background1"/>
        <w:spacing w:before="0" w:after="0" w:afterAutospacing="0"/>
        <w:jc w:val="both"/>
      </w:pPr>
      <w:r w:rsidRPr="00240E9F">
        <w:t xml:space="preserve">(36) Koodiga </w:t>
      </w:r>
      <w:r w:rsidR="009A1DD2">
        <w:t>2360K</w:t>
      </w:r>
      <w:r w:rsidRPr="00240E9F">
        <w:t xml:space="preserve"> tähistatud tervishoiuteenuse piirhinnale rakendatakse järgmistel juhtudel iga koefitsienti maksimaalselt üks kord:</w:t>
      </w:r>
    </w:p>
    <w:p w14:paraId="17993E36" w14:textId="77777777" w:rsidR="007B528C" w:rsidRDefault="00182784" w:rsidP="0045087E">
      <w:pPr>
        <w:pStyle w:val="Normaallaadveeb"/>
        <w:shd w:val="clear" w:color="auto" w:fill="FFFFFF" w:themeFill="background1"/>
        <w:spacing w:before="0" w:after="0" w:afterAutospacing="0"/>
        <w:jc w:val="both"/>
      </w:pPr>
      <w:r>
        <w:t>1) </w:t>
      </w:r>
      <w:r w:rsidR="005E634E">
        <w:t>h</w:t>
      </w:r>
      <w:r>
        <w:t>ospitaliseerimise NIHSS skoor</w:t>
      </w:r>
      <w:r w:rsidR="0045087E">
        <w:t xml:space="preserve"> </w:t>
      </w:r>
      <w:r w:rsidR="0045087E" w:rsidRPr="0045087E">
        <w:rPr>
          <w:lang w:val="en"/>
        </w:rPr>
        <w:t>≥</w:t>
      </w:r>
      <w:r>
        <w:t xml:space="preserve"> 1</w:t>
      </w:r>
      <w:r w:rsidR="00EC6FEF">
        <w:t>5</w:t>
      </w:r>
      <w:r>
        <w:t xml:space="preserve"> punkti: koefitsient </w:t>
      </w:r>
      <w:r w:rsidR="00EC2A5A" w:rsidRPr="00EC2A5A">
        <w:t>1</w:t>
      </w:r>
      <w:r w:rsidR="00EC2A5A">
        <w:t>,</w:t>
      </w:r>
      <w:r w:rsidR="00EC2A5A" w:rsidRPr="00EC2A5A">
        <w:t>2014</w:t>
      </w:r>
      <w:r>
        <w:t>;</w:t>
      </w:r>
    </w:p>
    <w:p w14:paraId="75D623D6" w14:textId="51D29B36" w:rsidR="0045087E" w:rsidRDefault="00182784" w:rsidP="0045087E">
      <w:pPr>
        <w:pStyle w:val="Normaallaadveeb"/>
        <w:shd w:val="clear" w:color="auto" w:fill="FFFFFF" w:themeFill="background1"/>
        <w:spacing w:before="0" w:after="0" w:afterAutospacing="0"/>
        <w:jc w:val="both"/>
      </w:pPr>
      <w:r>
        <w:t xml:space="preserve">2) </w:t>
      </w:r>
      <w:r w:rsidRPr="001E6F0D">
        <w:rPr>
          <w:lang w:eastAsia="et-EE"/>
        </w:rPr>
        <w:t xml:space="preserve">vanus hospitaliseerimisel </w:t>
      </w:r>
      <w:r w:rsidR="00CB62FD">
        <w:rPr>
          <w:lang w:eastAsia="et-EE"/>
        </w:rPr>
        <w:t>70</w:t>
      </w:r>
      <w:r w:rsidR="00661BA3">
        <w:rPr>
          <w:lang w:eastAsia="et-EE"/>
        </w:rPr>
        <w:t>–</w:t>
      </w:r>
      <w:r w:rsidR="00CB62FD">
        <w:rPr>
          <w:lang w:eastAsia="et-EE"/>
        </w:rPr>
        <w:t>84</w:t>
      </w:r>
      <w:r w:rsidRPr="001E6F0D">
        <w:rPr>
          <w:lang w:eastAsia="et-EE"/>
        </w:rPr>
        <w:t xml:space="preserve">: koefitsient </w:t>
      </w:r>
      <w:r w:rsidR="00E66DC9" w:rsidRPr="00E66DC9">
        <w:rPr>
          <w:lang w:eastAsia="et-EE"/>
        </w:rPr>
        <w:t>1</w:t>
      </w:r>
      <w:r w:rsidR="00E66DC9">
        <w:rPr>
          <w:lang w:eastAsia="et-EE"/>
        </w:rPr>
        <w:t>,</w:t>
      </w:r>
      <w:r w:rsidR="00E66DC9" w:rsidRPr="00E66DC9">
        <w:rPr>
          <w:lang w:eastAsia="et-EE"/>
        </w:rPr>
        <w:t>0561</w:t>
      </w:r>
      <w:r>
        <w:t>;</w:t>
      </w:r>
    </w:p>
    <w:p w14:paraId="65033E2D" w14:textId="77777777" w:rsidR="0045087E" w:rsidRDefault="00182784" w:rsidP="0045087E">
      <w:pPr>
        <w:pStyle w:val="Normaallaadveeb"/>
        <w:shd w:val="clear" w:color="auto" w:fill="FFFFFF" w:themeFill="background1"/>
        <w:spacing w:before="0" w:after="0" w:afterAutospacing="0"/>
        <w:jc w:val="both"/>
      </w:pPr>
      <w:r>
        <w:t xml:space="preserve">3) </w:t>
      </w:r>
      <w:r w:rsidRPr="001E6F0D">
        <w:rPr>
          <w:lang w:eastAsia="et-EE"/>
        </w:rPr>
        <w:t xml:space="preserve">vanus hospitaliseerimisel </w:t>
      </w:r>
      <w:r w:rsidR="00CB62FD">
        <w:rPr>
          <w:lang w:eastAsia="et-EE"/>
        </w:rPr>
        <w:t>&gt; 84</w:t>
      </w:r>
      <w:r w:rsidRPr="001E6F0D">
        <w:rPr>
          <w:lang w:eastAsia="et-EE"/>
        </w:rPr>
        <w:t xml:space="preserve">: koefitsient </w:t>
      </w:r>
      <w:r w:rsidR="00E66DC9" w:rsidRPr="00E66DC9">
        <w:rPr>
          <w:lang w:eastAsia="et-EE"/>
        </w:rPr>
        <w:t>0</w:t>
      </w:r>
      <w:r w:rsidR="00E66DC9">
        <w:rPr>
          <w:lang w:eastAsia="et-EE"/>
        </w:rPr>
        <w:t>,</w:t>
      </w:r>
      <w:r w:rsidR="00E66DC9" w:rsidRPr="00E66DC9">
        <w:rPr>
          <w:lang w:eastAsia="et-EE"/>
        </w:rPr>
        <w:t>8600</w:t>
      </w:r>
      <w:r w:rsidRPr="001E6F0D">
        <w:rPr>
          <w:lang w:eastAsia="et-EE"/>
        </w:rPr>
        <w:t>;</w:t>
      </w:r>
    </w:p>
    <w:p w14:paraId="3FADC228" w14:textId="77777777" w:rsidR="00D56759" w:rsidRDefault="00182784" w:rsidP="0045087E">
      <w:pPr>
        <w:pStyle w:val="Normaallaadveeb"/>
        <w:shd w:val="clear" w:color="auto" w:fill="FFFFFF" w:themeFill="background1"/>
        <w:spacing w:before="0" w:after="0" w:afterAutospacing="0"/>
        <w:jc w:val="both"/>
      </w:pPr>
      <w:r>
        <w:t>4</w:t>
      </w:r>
      <w:r w:rsidRPr="00240E9F">
        <w:t>) </w:t>
      </w:r>
      <w:r>
        <w:t>t</w:t>
      </w:r>
      <w:r w:rsidRPr="00240E9F">
        <w:t xml:space="preserve">rombektoomia </w:t>
      </w:r>
      <w:r w:rsidR="0045087E">
        <w:t>seitsme</w:t>
      </w:r>
      <w:r w:rsidR="00F119F2">
        <w:t xml:space="preserve"> päeva jooksul alates hospitaliseerimisest</w:t>
      </w:r>
      <w:r w:rsidR="007D3384">
        <w:t xml:space="preserve"> </w:t>
      </w:r>
      <w:r w:rsidRPr="00240E9F">
        <w:t>(kood</w:t>
      </w:r>
      <w:r>
        <w:t>iga</w:t>
      </w:r>
      <w:r w:rsidRPr="00240E9F">
        <w:t xml:space="preserve"> 2969L tähistatud </w:t>
      </w:r>
      <w:r>
        <w:t>tervishoiu</w:t>
      </w:r>
      <w:r w:rsidRPr="00240E9F">
        <w:t xml:space="preserve">teenus): koefitsient </w:t>
      </w:r>
      <w:r w:rsidR="00787F8C" w:rsidRPr="00787F8C">
        <w:t>2</w:t>
      </w:r>
      <w:r w:rsidR="00787F8C">
        <w:t>,</w:t>
      </w:r>
      <w:r w:rsidR="00787F8C" w:rsidRPr="00787F8C">
        <w:t>3575</w:t>
      </w:r>
      <w:r w:rsidRPr="00240E9F">
        <w:t>;</w:t>
      </w:r>
    </w:p>
    <w:p w14:paraId="2166A919" w14:textId="77777777" w:rsidR="00EC767C" w:rsidRDefault="00182784" w:rsidP="00EB7A71">
      <w:pPr>
        <w:pStyle w:val="Normaallaadveeb"/>
        <w:shd w:val="clear" w:color="auto" w:fill="FFFFFF" w:themeFill="background1"/>
        <w:spacing w:before="0" w:after="0" w:afterAutospacing="0"/>
        <w:jc w:val="both"/>
      </w:pPr>
      <w:r>
        <w:t>5) trombolüüs (ilma trombektoomiata)</w:t>
      </w:r>
      <w:r w:rsidR="007D3384">
        <w:t xml:space="preserve"> </w:t>
      </w:r>
      <w:r w:rsidR="0045087E">
        <w:t>seitsme</w:t>
      </w:r>
      <w:r w:rsidR="00F119F2">
        <w:t xml:space="preserve"> päeva jooksul alates hospitaliseerimisest </w:t>
      </w:r>
      <w:r>
        <w:t xml:space="preserve">(koodiga 212R tähistatud tervishoiuteenus): koefitsient </w:t>
      </w:r>
      <w:r w:rsidR="00BC62C1" w:rsidRPr="00BC62C1">
        <w:t>1</w:t>
      </w:r>
      <w:r w:rsidR="00BC62C1">
        <w:t>,</w:t>
      </w:r>
      <w:r w:rsidR="00BC62C1" w:rsidRPr="00BC62C1">
        <w:t>1000</w:t>
      </w:r>
      <w:r>
        <w:t>;</w:t>
      </w:r>
    </w:p>
    <w:p w14:paraId="41297FAA" w14:textId="6B9A817E" w:rsidR="00182784" w:rsidRDefault="00CB645D" w:rsidP="00EB7A71">
      <w:pPr>
        <w:pStyle w:val="Normaallaadveeb"/>
        <w:shd w:val="clear" w:color="auto" w:fill="FFFFFF" w:themeFill="background1"/>
        <w:spacing w:before="0" w:after="0" w:afterAutospacing="0"/>
        <w:jc w:val="both"/>
      </w:pPr>
      <w:r>
        <w:t>6</w:t>
      </w:r>
      <w:r w:rsidR="00182784">
        <w:t xml:space="preserve">) </w:t>
      </w:r>
      <w:r w:rsidR="00EA5A33">
        <w:t>insult</w:t>
      </w:r>
      <w:r w:rsidR="00B628B0">
        <w:t xml:space="preserve"> (põhidiagnoosid I63 ja</w:t>
      </w:r>
      <w:r w:rsidR="00442A81">
        <w:t xml:space="preserve"> I69)</w:t>
      </w:r>
      <w:r w:rsidR="00EA5A33">
        <w:t xml:space="preserve"> eelneva aasta jooksul</w:t>
      </w:r>
      <w:r w:rsidR="00182784">
        <w:t xml:space="preserve">: koefitsient </w:t>
      </w:r>
      <w:r w:rsidR="00F36562" w:rsidRPr="00F36562">
        <w:t>1</w:t>
      </w:r>
      <w:r w:rsidR="00F36562">
        <w:t>,</w:t>
      </w:r>
      <w:r w:rsidR="00F36562" w:rsidRPr="00F36562">
        <w:t>1456</w:t>
      </w:r>
      <w:r w:rsidR="003E066E">
        <w:t>;</w:t>
      </w:r>
    </w:p>
    <w:p w14:paraId="37F5D830" w14:textId="77777777" w:rsidR="00EC767C" w:rsidRDefault="00F36562" w:rsidP="00EB7A71">
      <w:pPr>
        <w:pStyle w:val="Normaallaadveeb"/>
        <w:shd w:val="clear" w:color="auto" w:fill="FFFFFF" w:themeFill="background1"/>
        <w:spacing w:before="0" w:after="0" w:afterAutospacing="0"/>
        <w:jc w:val="both"/>
      </w:pPr>
      <w:r>
        <w:t>7</w:t>
      </w:r>
      <w:r w:rsidR="00182784">
        <w:t xml:space="preserve">) Charlsoni indeks enne hospitaliseerimist (arvestatud eelneva </w:t>
      </w:r>
      <w:r w:rsidR="0045087E">
        <w:t>kümne</w:t>
      </w:r>
      <w:r w:rsidR="00182784">
        <w:t xml:space="preserve"> aasta raviarveid)</w:t>
      </w:r>
      <w:r>
        <w:t xml:space="preserve"> 1</w:t>
      </w:r>
      <w:r w:rsidR="0045087E">
        <w:t>–</w:t>
      </w:r>
      <w:r>
        <w:t>2</w:t>
      </w:r>
      <w:r w:rsidR="00182784">
        <w:t xml:space="preserve">: koefitsient </w:t>
      </w:r>
      <w:r w:rsidRPr="00F36562">
        <w:t>1</w:t>
      </w:r>
      <w:r>
        <w:t>,</w:t>
      </w:r>
      <w:r w:rsidRPr="00F36562">
        <w:t>0299</w:t>
      </w:r>
      <w:r>
        <w:t>;</w:t>
      </w:r>
    </w:p>
    <w:p w14:paraId="2E8A5023" w14:textId="750E12D8" w:rsidR="00F36562" w:rsidRDefault="00F36562" w:rsidP="00EB7A71">
      <w:pPr>
        <w:pStyle w:val="Normaallaadveeb"/>
        <w:shd w:val="clear" w:color="auto" w:fill="FFFFFF" w:themeFill="background1"/>
        <w:spacing w:before="0" w:after="0" w:afterAutospacing="0"/>
        <w:jc w:val="both"/>
      </w:pPr>
      <w:r>
        <w:t>8</w:t>
      </w:r>
      <w:r w:rsidRPr="00F36562">
        <w:t xml:space="preserve">) Charlsoni indeks enne hospitaliseerimist (arvestatud eelneva </w:t>
      </w:r>
      <w:r w:rsidR="0045087E">
        <w:t>kümne</w:t>
      </w:r>
      <w:r w:rsidRPr="00F36562">
        <w:t xml:space="preserve"> aasta raviarveid) </w:t>
      </w:r>
      <w:r>
        <w:t>&gt; 2</w:t>
      </w:r>
      <w:r w:rsidRPr="00F36562">
        <w:t>: koefitsient 1,</w:t>
      </w:r>
      <w:r w:rsidR="00410624" w:rsidRPr="00410624">
        <w:t>0101</w:t>
      </w:r>
      <w:r w:rsidRPr="00F36562">
        <w:t>.</w:t>
      </w:r>
    </w:p>
    <w:p w14:paraId="0923AABC" w14:textId="77777777" w:rsidR="002133DB" w:rsidRDefault="002133DB" w:rsidP="002133DB">
      <w:pPr>
        <w:pStyle w:val="Normaallaadveeb"/>
        <w:shd w:val="clear" w:color="auto" w:fill="FFFFFF" w:themeFill="background1"/>
        <w:spacing w:before="0" w:after="0" w:afterAutospacing="0"/>
      </w:pPr>
    </w:p>
    <w:p w14:paraId="4B69BE14" w14:textId="09BF00D8" w:rsidR="00B917F9" w:rsidRDefault="00B917F9" w:rsidP="00255FC0">
      <w:pPr>
        <w:pStyle w:val="Normaallaadveeb"/>
        <w:shd w:val="clear" w:color="auto" w:fill="FFFFFF" w:themeFill="background1"/>
        <w:spacing w:before="0" w:after="0" w:afterAutospacing="0"/>
        <w:jc w:val="both"/>
      </w:pPr>
      <w:r>
        <w:t>(</w:t>
      </w:r>
      <w:r w:rsidR="00F60D96">
        <w:t>37</w:t>
      </w:r>
      <w:r>
        <w:t xml:space="preserve">) </w:t>
      </w:r>
      <w:r w:rsidR="4F1AAF17">
        <w:t>K</w:t>
      </w:r>
      <w:r w:rsidR="2566F4C8">
        <w:t>ui</w:t>
      </w:r>
      <w:r>
        <w:t xml:space="preserve"> </w:t>
      </w:r>
      <w:r w:rsidRPr="00DD09D0">
        <w:t>tervishoiuteenuse osutaja</w:t>
      </w:r>
      <w:r>
        <w:t xml:space="preserve"> ei ole</w:t>
      </w:r>
      <w:r w:rsidR="006A598C">
        <w:t xml:space="preserve"> </w:t>
      </w:r>
      <w:r w:rsidR="7C97578D">
        <w:t xml:space="preserve">hospitaliseerimise korral </w:t>
      </w:r>
      <w:r w:rsidR="006A598C">
        <w:t>Tervisekassale</w:t>
      </w:r>
      <w:r>
        <w:t xml:space="preserve"> N</w:t>
      </w:r>
      <w:r w:rsidR="00B84C3B">
        <w:t>I</w:t>
      </w:r>
      <w:r>
        <w:t>HSS</w:t>
      </w:r>
      <w:r w:rsidR="00BB1654">
        <w:t xml:space="preserve"> skoori </w:t>
      </w:r>
      <w:r w:rsidR="002A24CE">
        <w:t>väärtust</w:t>
      </w:r>
      <w:r>
        <w:t xml:space="preserve"> </w:t>
      </w:r>
      <w:r w:rsidR="1839E5CB">
        <w:t>esitanud</w:t>
      </w:r>
      <w:r>
        <w:t xml:space="preserve">, rakendab Tervisekassa piirhinnale NIHSS </w:t>
      </w:r>
      <w:r w:rsidR="001E5B01">
        <w:t xml:space="preserve">skoorile </w:t>
      </w:r>
      <w:r w:rsidR="003C1A3E">
        <w:t>0</w:t>
      </w:r>
      <w:r w:rsidR="000F2353">
        <w:t>–</w:t>
      </w:r>
      <w:r w:rsidR="003C1A3E">
        <w:t>15 vastavat koefitsienti 1</w:t>
      </w:r>
      <w:r w:rsidR="00F249CC">
        <w:t>.</w:t>
      </w:r>
    </w:p>
    <w:p w14:paraId="3A3B60FD" w14:textId="77777777" w:rsidR="00F60D96" w:rsidRPr="00240E9F" w:rsidRDefault="00F60D96" w:rsidP="00B917F9">
      <w:pPr>
        <w:pStyle w:val="Normaallaadveeb"/>
        <w:shd w:val="clear" w:color="auto" w:fill="FFFFFF" w:themeFill="background1"/>
        <w:spacing w:before="0" w:after="0" w:afterAutospacing="0"/>
      </w:pPr>
    </w:p>
    <w:p w14:paraId="53FB98FB" w14:textId="001E1DE5" w:rsidR="00B917F9" w:rsidRDefault="00B917F9" w:rsidP="00EB7A71">
      <w:pPr>
        <w:spacing w:after="0" w:line="240" w:lineRule="auto"/>
        <w:jc w:val="both"/>
        <w:rPr>
          <w:shd w:val="clear" w:color="auto" w:fill="FFFFFF"/>
        </w:rPr>
      </w:pPr>
      <w:r w:rsidRPr="00240E9F">
        <w:t>(</w:t>
      </w:r>
      <w:r>
        <w:t>3</w:t>
      </w:r>
      <w:r w:rsidR="009A1DD2">
        <w:t>8</w:t>
      </w:r>
      <w:r w:rsidRPr="00DD09D0">
        <w:t xml:space="preserve">) Koodiga </w:t>
      </w:r>
      <w:r w:rsidR="009A1DD2">
        <w:t>2360K</w:t>
      </w:r>
      <w:r w:rsidRPr="00DD09D0">
        <w:t xml:space="preserve"> tähistatud tervishoiuteenust rakendatakse tervishoiuteenuse osutaja ja Tervisekassa vahel sõlmitud ravi rahastamise lepingu kohaselt </w:t>
      </w:r>
      <w:r w:rsidRPr="3749B0B3">
        <w:rPr>
          <w:color w:val="202020"/>
        </w:rPr>
        <w:t>haiglate loetelus nimetatud kesk- või piirkondlikus haiglas</w:t>
      </w:r>
      <w:r w:rsidR="00FA4226" w:rsidRPr="3749B0B3">
        <w:rPr>
          <w:color w:val="202020"/>
        </w:rPr>
        <w:t>, kus on alustatud</w:t>
      </w:r>
      <w:r w:rsidRPr="3749B0B3">
        <w:rPr>
          <w:color w:val="202020"/>
        </w:rPr>
        <w:t xml:space="preserve"> vähemalt 19-aastase isiku (</w:t>
      </w:r>
      <w:r w:rsidRPr="00135CAB">
        <w:t>v.a EL</w:t>
      </w:r>
      <w:r w:rsidR="346D883E">
        <w:t>-i</w:t>
      </w:r>
      <w:r w:rsidRPr="00135CAB">
        <w:t xml:space="preserve"> kindlustatu</w:t>
      </w:r>
      <w:r w:rsidRPr="3749B0B3">
        <w:rPr>
          <w:color w:val="202020"/>
        </w:rPr>
        <w:t xml:space="preserve">) ägeda isheemilise insuldi ravi (vältimatu statsionaarse </w:t>
      </w:r>
      <w:r w:rsidR="00800CF7" w:rsidRPr="3749B0B3">
        <w:rPr>
          <w:color w:val="202020"/>
        </w:rPr>
        <w:t>eriarstiabi</w:t>
      </w:r>
      <w:r w:rsidRPr="3749B0B3">
        <w:rPr>
          <w:color w:val="202020"/>
        </w:rPr>
        <w:t xml:space="preserve"> arve, millel on märgitud põhidiagnoosiks I63 ja diagnoosi tunnuseks 5</w:t>
      </w:r>
      <w:r w:rsidR="00CD6087" w:rsidRPr="3749B0B3">
        <w:rPr>
          <w:color w:val="202020"/>
        </w:rPr>
        <w:t>)</w:t>
      </w:r>
      <w:r w:rsidR="009E0FDF">
        <w:rPr>
          <w:color w:val="202020"/>
          <w:shd w:val="clear" w:color="auto" w:fill="FFFFFF"/>
        </w:rPr>
        <w:t>.</w:t>
      </w:r>
      <w:r w:rsidR="00A76B24" w:rsidRPr="3749B0B3">
        <w:rPr>
          <w:color w:val="202020"/>
        </w:rPr>
        <w:t xml:space="preserve"> </w:t>
      </w:r>
      <w:r w:rsidR="4D07A223">
        <w:t>K</w:t>
      </w:r>
      <w:r w:rsidR="45554A9E">
        <w:t>ui</w:t>
      </w:r>
      <w:r w:rsidR="00A76B24">
        <w:t xml:space="preserve"> </w:t>
      </w:r>
      <w:r w:rsidR="00C01FE3">
        <w:t>samal või kahel järjestikusel päeval</w:t>
      </w:r>
      <w:r w:rsidR="00A76B24">
        <w:t xml:space="preserve"> esineb mitu eeltoodud tunnustele vastavat arvet</w:t>
      </w:r>
      <w:r w:rsidR="00EC4678">
        <w:rPr>
          <w:szCs w:val="24"/>
        </w:rPr>
        <w:t>,</w:t>
      </w:r>
      <w:r w:rsidR="00A76B24">
        <w:t xml:space="preserve"> </w:t>
      </w:r>
      <w:r w:rsidR="00EA0805">
        <w:t>rakendatakse k</w:t>
      </w:r>
      <w:r w:rsidR="00EA0805" w:rsidRPr="00DD09D0">
        <w:t xml:space="preserve">oodiga </w:t>
      </w:r>
      <w:r w:rsidR="00EA0805">
        <w:t>2360K</w:t>
      </w:r>
      <w:r w:rsidR="00EA0805" w:rsidRPr="00DD09D0">
        <w:t xml:space="preserve"> tähistatud tervishoiuteenust </w:t>
      </w:r>
      <w:r w:rsidR="00A76B24">
        <w:t>keskhaigla</w:t>
      </w:r>
      <w:r w:rsidR="00EA0805">
        <w:t>s</w:t>
      </w:r>
      <w:r w:rsidR="00A76B24">
        <w:t xml:space="preserve">, keskhaigla </w:t>
      </w:r>
      <w:r w:rsidR="45554A9E">
        <w:t>puudumise</w:t>
      </w:r>
      <w:r w:rsidR="30AFFE76">
        <w:t xml:space="preserve"> korra</w:t>
      </w:r>
      <w:r w:rsidR="45554A9E">
        <w:t>l</w:t>
      </w:r>
      <w:r w:rsidR="00A76B24">
        <w:t xml:space="preserve"> piirkondliku</w:t>
      </w:r>
      <w:r w:rsidR="008E094B">
        <w:t>s</w:t>
      </w:r>
      <w:r w:rsidR="00A76B24">
        <w:t xml:space="preserve"> haigla</w:t>
      </w:r>
      <w:r w:rsidR="008E094B">
        <w:t>s</w:t>
      </w:r>
      <w:r w:rsidR="4A32F6DE">
        <w:t>,</w:t>
      </w:r>
      <w:r w:rsidR="31B5870F">
        <w:t xml:space="preserve"> m</w:t>
      </w:r>
      <w:r w:rsidR="45554A9E">
        <w:t xml:space="preserve">itme </w:t>
      </w:r>
      <w:r w:rsidR="00A76B24">
        <w:t xml:space="preserve">keskhaigla või piirkondliku haigla </w:t>
      </w:r>
      <w:r w:rsidR="44547822">
        <w:t>puhul</w:t>
      </w:r>
      <w:r w:rsidR="008E094B">
        <w:t xml:space="preserve"> haiglas, kus raviarve </w:t>
      </w:r>
      <w:r w:rsidR="00A76B24">
        <w:t>on lõpetatud kõige hiljem.</w:t>
      </w:r>
    </w:p>
    <w:p w14:paraId="53E7DFCD" w14:textId="77777777" w:rsidR="009A1DD2" w:rsidRPr="005F60CE" w:rsidRDefault="009A1DD2" w:rsidP="00B917F9">
      <w:pPr>
        <w:pStyle w:val="Normaallaadveeb"/>
        <w:shd w:val="clear" w:color="auto" w:fill="FFFFFF"/>
        <w:spacing w:before="0" w:after="0" w:afterAutospacing="0"/>
        <w:jc w:val="both"/>
      </w:pPr>
    </w:p>
    <w:p w14:paraId="7628A5BB" w14:textId="39CE9C4F" w:rsidR="00B917F9" w:rsidRPr="00317BD5" w:rsidRDefault="00B917F9" w:rsidP="00FE6DDC">
      <w:pPr>
        <w:pStyle w:val="Normaallaadveeb"/>
        <w:shd w:val="clear" w:color="auto" w:fill="FFFFFF"/>
        <w:spacing w:before="0" w:after="0" w:afterAutospacing="0"/>
        <w:jc w:val="both"/>
        <w:rPr>
          <w:strike/>
        </w:rPr>
      </w:pPr>
      <w:r w:rsidRPr="00DD09D0">
        <w:t>(</w:t>
      </w:r>
      <w:r w:rsidR="00371AE0">
        <w:t>39</w:t>
      </w:r>
      <w:r w:rsidRPr="00DD09D0">
        <w:t xml:space="preserve">) Koodiga </w:t>
      </w:r>
      <w:r w:rsidR="00556A64">
        <w:t>2360K</w:t>
      </w:r>
      <w:r w:rsidRPr="00DD09D0">
        <w:t xml:space="preserve"> tähistatud tervishoiuteenus sisaldab ravikindlustuse seaduse § 32 alusel kehtestatud määruse </w:t>
      </w:r>
      <w:r w:rsidRPr="00FE6DDC">
        <w:t xml:space="preserve">lisas 51 nimetatud tervishoiuteenuste osutamisega seotud kulusid. </w:t>
      </w:r>
    </w:p>
    <w:p w14:paraId="105FD7A4" w14:textId="77777777" w:rsidR="009C2AEE" w:rsidRPr="00DD09D0" w:rsidRDefault="009C2AEE" w:rsidP="00B917F9">
      <w:pPr>
        <w:pStyle w:val="Normaallaadveeb"/>
        <w:shd w:val="clear" w:color="auto" w:fill="FFFFFF"/>
        <w:spacing w:before="0" w:after="0" w:afterAutospacing="0"/>
      </w:pPr>
    </w:p>
    <w:p w14:paraId="106ADAE4" w14:textId="76412213" w:rsidR="00B917F9" w:rsidRDefault="00FE6DDC" w:rsidP="00FE6DDC">
      <w:pPr>
        <w:pStyle w:val="Normaallaadveeb"/>
        <w:shd w:val="clear" w:color="auto" w:fill="FFFFFF"/>
        <w:spacing w:before="0" w:after="0" w:afterAutospacing="0"/>
        <w:jc w:val="both"/>
      </w:pPr>
      <w:r>
        <w:t>(40</w:t>
      </w:r>
      <w:r w:rsidR="00B917F9" w:rsidRPr="00DD09D0">
        <w:t xml:space="preserve">) Koodiga </w:t>
      </w:r>
      <w:r>
        <w:t xml:space="preserve">2360K </w:t>
      </w:r>
      <w:r w:rsidR="00B917F9" w:rsidRPr="00DD09D0">
        <w:t xml:space="preserve">tähistatud tervishoiuteenuse eest tasutakse </w:t>
      </w:r>
      <w:r w:rsidR="00B917F9">
        <w:t>p</w:t>
      </w:r>
      <w:r w:rsidR="00B917F9" w:rsidRPr="00DD09D0">
        <w:t>ärast ühe</w:t>
      </w:r>
      <w:r w:rsidR="00B917F9">
        <w:t xml:space="preserve"> kalendri</w:t>
      </w:r>
      <w:r w:rsidR="00B917F9" w:rsidRPr="00DD09D0">
        <w:t>aasta jooksul alanud raviteekon</w:t>
      </w:r>
      <w:r w:rsidR="00B917F9">
        <w:t>dade</w:t>
      </w:r>
      <w:r w:rsidR="00B917F9" w:rsidRPr="00DD09D0">
        <w:t xml:space="preserve"> lõppemist, tehes </w:t>
      </w:r>
      <w:r w:rsidR="00B917F9" w:rsidRPr="00FE6DDC">
        <w:t>lõikes 3</w:t>
      </w:r>
      <w:r w:rsidRPr="00FE6DDC">
        <w:t>8</w:t>
      </w:r>
      <w:r w:rsidR="00B917F9" w:rsidRPr="00FE6DDC">
        <w:t xml:space="preserve"> nimetatud tervishoiuteenuse osutajaga tasaarvelduse koos säästu ja ülekulu jagamisega, võrreldes kindlustatud isikule lõikes 3</w:t>
      </w:r>
      <w:r w:rsidRPr="00FE6DDC">
        <w:t>9</w:t>
      </w:r>
      <w:r w:rsidR="00B917F9" w:rsidRPr="00DD09D0">
        <w:t xml:space="preserve"> nimetatud tervishoiuteenuste eest tasumise kohta esitatud raviarvete kogusummat koodiga </w:t>
      </w:r>
      <w:r>
        <w:t>2360K</w:t>
      </w:r>
      <w:r w:rsidR="00B917F9" w:rsidRPr="00DD09D0">
        <w:t xml:space="preserve"> tähistatud tervishoiuteenuse piirhinnaga</w:t>
      </w:r>
      <w:r w:rsidR="00B917F9">
        <w:t xml:space="preserve"> ja arvestades mõõdikute täitmist vastavalt </w:t>
      </w:r>
      <w:r w:rsidR="00B917F9" w:rsidRPr="00DD09D0">
        <w:t>tervishoiuteenuse osutaja ja Tervisekassa vahel ravi rahastamise lepingus kokkulepitud tingimustel</w:t>
      </w:r>
      <w:r w:rsidR="00B917F9">
        <w:t>e</w:t>
      </w:r>
      <w:r w:rsidR="00B917F9" w:rsidRPr="00DD09D0">
        <w:t xml:space="preserve"> ja korra</w:t>
      </w:r>
      <w:r w:rsidR="00B917F9">
        <w:t>le</w:t>
      </w:r>
      <w:r w:rsidR="00B917F9" w:rsidRPr="00DD09D0">
        <w:t>.</w:t>
      </w:r>
      <w:r w:rsidR="00B917F9">
        <w:t xml:space="preserve"> </w:t>
      </w:r>
      <w:r w:rsidR="00B917F9" w:rsidRPr="00DD09D0">
        <w:t xml:space="preserve"> </w:t>
      </w:r>
    </w:p>
    <w:p w14:paraId="3295681E" w14:textId="77777777" w:rsidR="00FE6DDC" w:rsidRPr="00DD09D0" w:rsidRDefault="00FE6DDC" w:rsidP="00B917F9">
      <w:pPr>
        <w:pStyle w:val="Normaallaadveeb"/>
        <w:shd w:val="clear" w:color="auto" w:fill="FFFFFF"/>
        <w:spacing w:before="0" w:after="0" w:afterAutospacing="0"/>
      </w:pPr>
    </w:p>
    <w:p w14:paraId="6E5C1C4A" w14:textId="4DF9FC16" w:rsidR="00B917F9" w:rsidRPr="00AD7C54" w:rsidRDefault="00B917F9" w:rsidP="00AD7C54">
      <w:pPr>
        <w:pStyle w:val="Normaallaadveeb"/>
        <w:shd w:val="clear" w:color="auto" w:fill="FFFFFF"/>
        <w:spacing w:before="0" w:after="0" w:afterAutospacing="0"/>
        <w:jc w:val="both"/>
      </w:pPr>
      <w:bookmarkStart w:id="28" w:name="para81lg28"/>
      <w:r w:rsidRPr="00DD09D0">
        <w:t> </w:t>
      </w:r>
      <w:bookmarkEnd w:id="28"/>
      <w:r w:rsidRPr="00AD7C54">
        <w:t xml:space="preserve">(41) Koodiga </w:t>
      </w:r>
      <w:r w:rsidR="00FE6DDC" w:rsidRPr="00AD7C54">
        <w:t>2360K</w:t>
      </w:r>
      <w:r w:rsidRPr="00AD7C54">
        <w:t xml:space="preserve"> tähistatud tervishoiuteenuse eest tasutakse vastavalt</w:t>
      </w:r>
      <w:r w:rsidRPr="00AD7C54">
        <w:rPr>
          <w:rFonts w:ascii="Arial" w:hAnsi="Arial" w:cs="Arial"/>
          <w:color w:val="202020"/>
          <w:sz w:val="21"/>
          <w:szCs w:val="21"/>
        </w:rPr>
        <w:t xml:space="preserve"> </w:t>
      </w:r>
      <w:r w:rsidRPr="00AD7C54">
        <w:t xml:space="preserve">ravikindlustuse seaduse § 32 alusel kehtestatud määruse lisas 51 viidatud </w:t>
      </w:r>
      <w:r w:rsidRPr="00782F72">
        <w:t>esmase aktiivravi</w:t>
      </w:r>
      <w:r w:rsidRPr="00AD7C54">
        <w:t xml:space="preserve"> lõpetamise kuupäevale.</w:t>
      </w:r>
    </w:p>
    <w:p w14:paraId="52398CEB" w14:textId="77777777" w:rsidR="00FE6DDC" w:rsidRPr="00AD7C54" w:rsidRDefault="00FE6DDC" w:rsidP="00AD7C54">
      <w:pPr>
        <w:pStyle w:val="Normaallaadveeb"/>
        <w:shd w:val="clear" w:color="auto" w:fill="FFFFFF"/>
        <w:spacing w:before="0" w:after="0" w:afterAutospacing="0"/>
        <w:jc w:val="both"/>
      </w:pPr>
    </w:p>
    <w:p w14:paraId="5EB63D50" w14:textId="6F118DEA" w:rsidR="00B917F9" w:rsidRDefault="00B917F9" w:rsidP="00AD7C54">
      <w:pPr>
        <w:pStyle w:val="Normaallaadveeb"/>
        <w:shd w:val="clear" w:color="auto" w:fill="FFFFFF" w:themeFill="background1"/>
        <w:spacing w:before="0" w:after="0" w:afterAutospacing="0"/>
        <w:jc w:val="both"/>
      </w:pPr>
      <w:r w:rsidRPr="00AD7C54">
        <w:t>(42) Kui lõikes 3</w:t>
      </w:r>
      <w:r w:rsidR="00AD7C54" w:rsidRPr="00AD7C54">
        <w:t>9</w:t>
      </w:r>
      <w:r w:rsidRPr="00AD7C54">
        <w:t xml:space="preserve"> nimetatud tervishoiuteenuste eest tasumise kohta esitatud raviarvete kogusumma</w:t>
      </w:r>
      <w:r w:rsidR="00AD7C54" w:rsidRPr="00AD7C54">
        <w:t xml:space="preserve"> jääb alla </w:t>
      </w:r>
      <w:r w:rsidR="47A61085">
        <w:t>1</w:t>
      </w:r>
      <w:r w:rsidR="6FE0A02D">
        <w:t>500</w:t>
      </w:r>
      <w:r w:rsidR="00AD7C54" w:rsidRPr="00AD7C54">
        <w:t xml:space="preserve"> euro või</w:t>
      </w:r>
      <w:r w:rsidRPr="00AD7C54">
        <w:t xml:space="preserve"> ületab </w:t>
      </w:r>
      <w:r w:rsidR="000B7BD6">
        <w:t>32 000</w:t>
      </w:r>
      <w:r w:rsidRPr="00AD7C54">
        <w:t xml:space="preserve"> eurot, siis koodiga </w:t>
      </w:r>
      <w:r w:rsidR="000B7BD6">
        <w:t>2360K</w:t>
      </w:r>
      <w:r w:rsidRPr="00AD7C54">
        <w:t xml:space="preserve"> tähistatud tervishoiuteenust ei rakendata.</w:t>
      </w:r>
    </w:p>
    <w:p w14:paraId="3D37EF86" w14:textId="77777777" w:rsidR="00FE6DDC" w:rsidRDefault="00FE6DDC" w:rsidP="00B917F9">
      <w:pPr>
        <w:pStyle w:val="Normaallaadveeb"/>
        <w:shd w:val="clear" w:color="auto" w:fill="FFFFFF" w:themeFill="background1"/>
        <w:spacing w:before="0" w:after="0" w:afterAutospacing="0"/>
      </w:pPr>
    </w:p>
    <w:p w14:paraId="7A5055B3" w14:textId="7555D208" w:rsidR="00C872E7" w:rsidRPr="00687DE8" w:rsidRDefault="00B917F9" w:rsidP="0079799F">
      <w:pPr>
        <w:pStyle w:val="Normaallaadveeb"/>
        <w:shd w:val="clear" w:color="auto" w:fill="FFFFFF"/>
        <w:spacing w:before="0" w:after="0" w:afterAutospacing="0"/>
        <w:jc w:val="both"/>
      </w:pPr>
      <w:r w:rsidRPr="00DD09D0">
        <w:t>(</w:t>
      </w:r>
      <w:r>
        <w:t>43</w:t>
      </w:r>
      <w:r w:rsidRPr="00DD09D0">
        <w:t xml:space="preserve">) Tervisekassa võtab koodiga </w:t>
      </w:r>
      <w:r w:rsidR="00AD7C54">
        <w:t>2360K</w:t>
      </w:r>
      <w:r w:rsidRPr="00DD09D0">
        <w:t xml:space="preserve"> tähistatud tervishoiuteenuse eest tasu maksmise kohustuse üle raviteekonna kestel ravikindlustatud isiku eest</w:t>
      </w:r>
      <w:r w:rsidR="003D2B52">
        <w:t xml:space="preserve">, kes </w:t>
      </w:r>
      <w:r w:rsidR="00AB7BE5">
        <w:t xml:space="preserve">ei ole kantud </w:t>
      </w:r>
      <w:r w:rsidR="0061182E">
        <w:t>vangiregistrisse</w:t>
      </w:r>
      <w:r w:rsidR="00AB7BE5">
        <w:t>.</w:t>
      </w:r>
    </w:p>
    <w:p w14:paraId="33A12D40" w14:textId="14695C9F" w:rsidR="78F74CA3" w:rsidRPr="00687DE8" w:rsidRDefault="78F74CA3" w:rsidP="78F74CA3">
      <w:pPr>
        <w:pStyle w:val="Vahedeta"/>
        <w:jc w:val="both"/>
        <w:rPr>
          <w:szCs w:val="24"/>
          <w:lang w:val="et-EE"/>
        </w:rPr>
      </w:pPr>
    </w:p>
    <w:p w14:paraId="1BDFA78D" w14:textId="53E39E1D" w:rsidR="00976487" w:rsidRDefault="00976487" w:rsidP="00976487">
      <w:pPr>
        <w:spacing w:after="0" w:line="240" w:lineRule="auto"/>
        <w:jc w:val="both"/>
        <w:outlineLvl w:val="2"/>
        <w:divId w:val="1316184749"/>
        <w:rPr>
          <w:b/>
          <w:szCs w:val="24"/>
        </w:rPr>
      </w:pPr>
      <w:r w:rsidRPr="00687DE8">
        <w:rPr>
          <w:b/>
          <w:szCs w:val="24"/>
        </w:rPr>
        <w:t>§ 4</w:t>
      </w:r>
      <w:r w:rsidR="00296746" w:rsidRPr="00687DE8">
        <w:rPr>
          <w:b/>
          <w:szCs w:val="24"/>
        </w:rPr>
        <w:t>7</w:t>
      </w:r>
      <w:r w:rsidRPr="00687DE8">
        <w:rPr>
          <w:b/>
          <w:szCs w:val="24"/>
        </w:rPr>
        <w:t>. Diagnoosipõhiste kompleksteenuste (DRG) piirhinnad</w:t>
      </w:r>
    </w:p>
    <w:p w14:paraId="2C0E9D5B" w14:textId="77777777" w:rsidR="005332E6" w:rsidRDefault="005332E6" w:rsidP="00334F99">
      <w:pPr>
        <w:spacing w:after="0" w:line="240" w:lineRule="auto"/>
        <w:jc w:val="both"/>
        <w:divId w:val="1316184749"/>
      </w:pPr>
    </w:p>
    <w:p w14:paraId="6E2B7A3A" w14:textId="6F65B646" w:rsidR="00976487" w:rsidRDefault="00992B94" w:rsidP="00334F99">
      <w:pPr>
        <w:spacing w:after="0" w:line="240" w:lineRule="auto"/>
        <w:jc w:val="both"/>
        <w:divId w:val="1316184749"/>
      </w:pPr>
      <w:r>
        <w:t xml:space="preserve">(1) </w:t>
      </w:r>
      <w:r w:rsidR="00976487">
        <w:t>Diagnoosipõhiste kompleksteenuste (edaspidi </w:t>
      </w:r>
      <w:r w:rsidR="00976487" w:rsidRPr="37A14BD6">
        <w:rPr>
          <w:i/>
        </w:rPr>
        <w:t>DRG</w:t>
      </w:r>
      <w:r w:rsidR="00976487">
        <w:t>) korral rakendatakse järgmisi piirhindu ja nende rakendamise tingimusi:</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732"/>
        <w:gridCol w:w="1243"/>
        <w:gridCol w:w="1211"/>
        <w:gridCol w:w="1238"/>
      </w:tblGrid>
      <w:tr w:rsidR="00295BCD" w:rsidRPr="001927D6" w14:paraId="4EF7D419" w14:textId="77777777" w:rsidTr="00295BCD">
        <w:trPr>
          <w:divId w:val="1316184749"/>
          <w:trHeight w:val="300"/>
        </w:trPr>
        <w:tc>
          <w:tcPr>
            <w:tcW w:w="4632" w:type="dxa"/>
            <w:hideMark/>
          </w:tcPr>
          <w:p w14:paraId="79277710" w14:textId="77777777" w:rsidR="00295BCD" w:rsidRPr="001927D6" w:rsidRDefault="00295BCD">
            <w:pPr>
              <w:spacing w:after="0" w:line="240" w:lineRule="auto"/>
              <w:jc w:val="center"/>
              <w:textAlignment w:val="baseline"/>
              <w:rPr>
                <w:szCs w:val="24"/>
                <w:lang w:eastAsia="et-EE"/>
              </w:rPr>
            </w:pPr>
            <w:r w:rsidRPr="001927D6">
              <w:rPr>
                <w:b/>
                <w:bCs/>
                <w:color w:val="000000"/>
                <w:szCs w:val="24"/>
                <w:lang w:eastAsia="et-EE"/>
              </w:rPr>
              <w:t>Tervishoiuteenuse nimetus</w:t>
            </w:r>
            <w:r w:rsidRPr="001927D6">
              <w:rPr>
                <w:color w:val="000000"/>
                <w:szCs w:val="24"/>
                <w:lang w:eastAsia="et-EE"/>
              </w:rPr>
              <w:t>   </w:t>
            </w:r>
          </w:p>
        </w:tc>
        <w:tc>
          <w:tcPr>
            <w:tcW w:w="732" w:type="dxa"/>
            <w:hideMark/>
          </w:tcPr>
          <w:p w14:paraId="7A0F8CEE" w14:textId="77777777" w:rsidR="00295BCD" w:rsidRPr="001927D6" w:rsidRDefault="00295BCD">
            <w:pPr>
              <w:spacing w:after="0" w:line="240" w:lineRule="auto"/>
              <w:jc w:val="center"/>
              <w:textAlignment w:val="baseline"/>
              <w:rPr>
                <w:szCs w:val="24"/>
                <w:lang w:eastAsia="et-EE"/>
              </w:rPr>
            </w:pPr>
            <w:r w:rsidRPr="001927D6">
              <w:rPr>
                <w:b/>
                <w:bCs/>
                <w:color w:val="000000"/>
                <w:szCs w:val="24"/>
                <w:lang w:eastAsia="et-EE"/>
              </w:rPr>
              <w:t>Kood</w:t>
            </w:r>
            <w:r w:rsidRPr="001927D6">
              <w:rPr>
                <w:color w:val="000000"/>
                <w:szCs w:val="24"/>
                <w:lang w:eastAsia="et-EE"/>
              </w:rPr>
              <w:t>   </w:t>
            </w:r>
          </w:p>
        </w:tc>
        <w:tc>
          <w:tcPr>
            <w:tcW w:w="1243" w:type="dxa"/>
            <w:hideMark/>
          </w:tcPr>
          <w:p w14:paraId="419E8ADC" w14:textId="77777777" w:rsidR="00295BCD" w:rsidRPr="001927D6" w:rsidRDefault="00295BCD">
            <w:pPr>
              <w:spacing w:after="0" w:line="240" w:lineRule="auto"/>
              <w:jc w:val="center"/>
              <w:textAlignment w:val="baseline"/>
              <w:rPr>
                <w:szCs w:val="24"/>
                <w:lang w:eastAsia="et-EE"/>
              </w:rPr>
            </w:pPr>
            <w:r w:rsidRPr="001927D6">
              <w:rPr>
                <w:b/>
                <w:bCs/>
                <w:color w:val="000000"/>
                <w:szCs w:val="24"/>
                <w:lang w:eastAsia="et-EE"/>
              </w:rPr>
              <w:t>Piirhind eurodes</w:t>
            </w:r>
            <w:r w:rsidRPr="001927D6">
              <w:rPr>
                <w:color w:val="000000"/>
                <w:szCs w:val="24"/>
                <w:lang w:eastAsia="et-EE"/>
              </w:rPr>
              <w:t>   </w:t>
            </w:r>
          </w:p>
        </w:tc>
        <w:tc>
          <w:tcPr>
            <w:tcW w:w="2449" w:type="dxa"/>
            <w:gridSpan w:val="2"/>
            <w:hideMark/>
          </w:tcPr>
          <w:p w14:paraId="7A41F242" w14:textId="77777777" w:rsidR="00295BCD" w:rsidRPr="001927D6" w:rsidRDefault="00295BCD">
            <w:pPr>
              <w:spacing w:after="0" w:line="240" w:lineRule="auto"/>
              <w:jc w:val="center"/>
              <w:textAlignment w:val="baseline"/>
              <w:rPr>
                <w:szCs w:val="24"/>
                <w:lang w:eastAsia="et-EE"/>
              </w:rPr>
            </w:pPr>
            <w:r w:rsidRPr="001927D6">
              <w:rPr>
                <w:b/>
                <w:bCs/>
                <w:szCs w:val="24"/>
                <w:lang w:eastAsia="et-EE"/>
              </w:rPr>
              <w:t>Muude samal ajal osutatud teenuste piirhindade summa vahemik</w:t>
            </w:r>
            <w:r w:rsidRPr="001927D6">
              <w:rPr>
                <w:szCs w:val="24"/>
                <w:lang w:eastAsia="et-EE"/>
              </w:rPr>
              <w:t>   </w:t>
            </w:r>
          </w:p>
        </w:tc>
      </w:tr>
      <w:tr w:rsidR="00295BCD" w:rsidRPr="001927D6" w14:paraId="0BA55CC2" w14:textId="77777777" w:rsidTr="00295BCD">
        <w:trPr>
          <w:divId w:val="1316184749"/>
          <w:trHeight w:val="300"/>
        </w:trPr>
        <w:tc>
          <w:tcPr>
            <w:tcW w:w="4632" w:type="dxa"/>
            <w:vAlign w:val="bottom"/>
            <w:hideMark/>
          </w:tcPr>
          <w:p w14:paraId="1490A252" w14:textId="77777777" w:rsidR="00295BCD" w:rsidRPr="001927D6" w:rsidRDefault="00295BCD">
            <w:pPr>
              <w:spacing w:after="0" w:line="240" w:lineRule="auto"/>
              <w:textAlignment w:val="baseline"/>
              <w:rPr>
                <w:szCs w:val="24"/>
                <w:lang w:eastAsia="et-EE"/>
              </w:rPr>
            </w:pPr>
            <w:r w:rsidRPr="001927D6">
              <w:rPr>
                <w:szCs w:val="24"/>
                <w:lang w:eastAsia="et-EE"/>
              </w:rPr>
              <w:t>Kesknärvisüsteemi kasvaja intrakraniaalne operatsioon </w:t>
            </w:r>
          </w:p>
        </w:tc>
        <w:tc>
          <w:tcPr>
            <w:tcW w:w="732" w:type="dxa"/>
            <w:vAlign w:val="center"/>
            <w:hideMark/>
          </w:tcPr>
          <w:p w14:paraId="0BAFD219" w14:textId="77777777" w:rsidR="00295BCD" w:rsidRPr="001927D6" w:rsidRDefault="00295BCD">
            <w:pPr>
              <w:spacing w:after="0" w:line="240" w:lineRule="auto"/>
              <w:jc w:val="center"/>
              <w:textAlignment w:val="baseline"/>
              <w:rPr>
                <w:szCs w:val="24"/>
                <w:lang w:eastAsia="et-EE"/>
              </w:rPr>
            </w:pPr>
            <w:r w:rsidRPr="001927D6">
              <w:rPr>
                <w:szCs w:val="24"/>
                <w:lang w:eastAsia="et-EE"/>
              </w:rPr>
              <w:t>001A </w:t>
            </w:r>
          </w:p>
        </w:tc>
        <w:tc>
          <w:tcPr>
            <w:tcW w:w="1243" w:type="dxa"/>
            <w:vAlign w:val="center"/>
          </w:tcPr>
          <w:p w14:paraId="731BC64C" w14:textId="77777777" w:rsidR="00295BCD" w:rsidRPr="001927D6" w:rsidRDefault="00295BCD">
            <w:pPr>
              <w:spacing w:after="0" w:line="240" w:lineRule="auto"/>
              <w:jc w:val="center"/>
              <w:textAlignment w:val="baseline"/>
              <w:rPr>
                <w:szCs w:val="24"/>
                <w:lang w:eastAsia="et-EE"/>
              </w:rPr>
            </w:pPr>
            <w:r w:rsidRPr="001927D6">
              <w:rPr>
                <w:color w:val="000000"/>
                <w:szCs w:val="24"/>
              </w:rPr>
              <w:t>9 449,27</w:t>
            </w:r>
          </w:p>
        </w:tc>
        <w:tc>
          <w:tcPr>
            <w:tcW w:w="1211" w:type="dxa"/>
            <w:vAlign w:val="center"/>
          </w:tcPr>
          <w:p w14:paraId="0B933AD0" w14:textId="77777777" w:rsidR="00295BCD" w:rsidRPr="001927D6" w:rsidRDefault="00295BCD">
            <w:pPr>
              <w:spacing w:after="0" w:line="240" w:lineRule="auto"/>
              <w:jc w:val="center"/>
              <w:textAlignment w:val="baseline"/>
              <w:rPr>
                <w:szCs w:val="24"/>
                <w:lang w:eastAsia="et-EE"/>
              </w:rPr>
            </w:pPr>
            <w:r w:rsidRPr="001927D6">
              <w:rPr>
                <w:color w:val="000000"/>
                <w:szCs w:val="24"/>
              </w:rPr>
              <w:t>6 120,74</w:t>
            </w:r>
          </w:p>
        </w:tc>
        <w:tc>
          <w:tcPr>
            <w:tcW w:w="1238" w:type="dxa"/>
            <w:vAlign w:val="center"/>
          </w:tcPr>
          <w:p w14:paraId="2A43F1F0" w14:textId="77777777" w:rsidR="00295BCD" w:rsidRPr="001927D6" w:rsidRDefault="00295BCD">
            <w:pPr>
              <w:spacing w:after="0" w:line="240" w:lineRule="auto"/>
              <w:jc w:val="center"/>
              <w:textAlignment w:val="baseline"/>
              <w:rPr>
                <w:szCs w:val="24"/>
                <w:lang w:eastAsia="et-EE"/>
              </w:rPr>
            </w:pPr>
            <w:r w:rsidRPr="001927D6">
              <w:rPr>
                <w:color w:val="000000"/>
                <w:szCs w:val="24"/>
              </w:rPr>
              <w:t>19 837,87</w:t>
            </w:r>
          </w:p>
        </w:tc>
      </w:tr>
      <w:tr w:rsidR="00295BCD" w:rsidRPr="001927D6" w14:paraId="6CA1244D" w14:textId="77777777" w:rsidTr="00295BCD">
        <w:trPr>
          <w:divId w:val="1316184749"/>
          <w:trHeight w:val="300"/>
        </w:trPr>
        <w:tc>
          <w:tcPr>
            <w:tcW w:w="4632" w:type="dxa"/>
            <w:vAlign w:val="bottom"/>
            <w:hideMark/>
          </w:tcPr>
          <w:p w14:paraId="61E42669" w14:textId="77777777" w:rsidR="00295BCD" w:rsidRPr="001927D6" w:rsidRDefault="00295BCD">
            <w:pPr>
              <w:spacing w:after="0" w:line="240" w:lineRule="auto"/>
              <w:textAlignment w:val="baseline"/>
              <w:rPr>
                <w:szCs w:val="24"/>
                <w:lang w:eastAsia="et-EE"/>
              </w:rPr>
            </w:pPr>
            <w:r w:rsidRPr="001927D6">
              <w:rPr>
                <w:szCs w:val="24"/>
                <w:lang w:eastAsia="et-EE"/>
              </w:rPr>
              <w:t>Muu intrakraniaalne veresoone operatsioon </w:t>
            </w:r>
          </w:p>
        </w:tc>
        <w:tc>
          <w:tcPr>
            <w:tcW w:w="732" w:type="dxa"/>
            <w:vAlign w:val="center"/>
            <w:hideMark/>
          </w:tcPr>
          <w:p w14:paraId="08A2833B" w14:textId="77777777" w:rsidR="00295BCD" w:rsidRPr="001927D6" w:rsidRDefault="00295BCD">
            <w:pPr>
              <w:spacing w:after="0" w:line="240" w:lineRule="auto"/>
              <w:jc w:val="center"/>
              <w:textAlignment w:val="baseline"/>
              <w:rPr>
                <w:szCs w:val="24"/>
                <w:lang w:eastAsia="et-EE"/>
              </w:rPr>
            </w:pPr>
            <w:r w:rsidRPr="001927D6">
              <w:rPr>
                <w:szCs w:val="24"/>
                <w:lang w:eastAsia="et-EE"/>
              </w:rPr>
              <w:t>001B </w:t>
            </w:r>
          </w:p>
        </w:tc>
        <w:tc>
          <w:tcPr>
            <w:tcW w:w="1243" w:type="dxa"/>
            <w:vAlign w:val="center"/>
          </w:tcPr>
          <w:p w14:paraId="5D91364A" w14:textId="77777777" w:rsidR="00295BCD" w:rsidRPr="001927D6" w:rsidRDefault="00295BCD">
            <w:pPr>
              <w:spacing w:after="0" w:line="240" w:lineRule="auto"/>
              <w:jc w:val="center"/>
              <w:textAlignment w:val="baseline"/>
              <w:rPr>
                <w:szCs w:val="24"/>
                <w:lang w:eastAsia="et-EE"/>
              </w:rPr>
            </w:pPr>
            <w:r w:rsidRPr="001927D6">
              <w:rPr>
                <w:color w:val="000000"/>
                <w:szCs w:val="24"/>
              </w:rPr>
              <w:t>14 034,20</w:t>
            </w:r>
          </w:p>
        </w:tc>
        <w:tc>
          <w:tcPr>
            <w:tcW w:w="1211" w:type="dxa"/>
            <w:vAlign w:val="center"/>
          </w:tcPr>
          <w:p w14:paraId="26DC9624" w14:textId="77777777" w:rsidR="00295BCD" w:rsidRPr="001927D6" w:rsidRDefault="00295BCD">
            <w:pPr>
              <w:spacing w:after="0" w:line="240" w:lineRule="auto"/>
              <w:jc w:val="center"/>
              <w:textAlignment w:val="baseline"/>
              <w:rPr>
                <w:szCs w:val="24"/>
                <w:lang w:eastAsia="et-EE"/>
              </w:rPr>
            </w:pPr>
            <w:r w:rsidRPr="001927D6">
              <w:rPr>
                <w:color w:val="000000"/>
                <w:szCs w:val="24"/>
              </w:rPr>
              <w:t>8 405,94</w:t>
            </w:r>
          </w:p>
        </w:tc>
        <w:tc>
          <w:tcPr>
            <w:tcW w:w="1238" w:type="dxa"/>
            <w:vAlign w:val="center"/>
          </w:tcPr>
          <w:p w14:paraId="7778B413" w14:textId="77777777" w:rsidR="00295BCD" w:rsidRPr="001927D6" w:rsidRDefault="00295BCD">
            <w:pPr>
              <w:spacing w:after="0" w:line="240" w:lineRule="auto"/>
              <w:jc w:val="center"/>
              <w:textAlignment w:val="baseline"/>
              <w:rPr>
                <w:szCs w:val="24"/>
                <w:lang w:eastAsia="et-EE"/>
              </w:rPr>
            </w:pPr>
            <w:r w:rsidRPr="001927D6">
              <w:rPr>
                <w:color w:val="000000"/>
                <w:szCs w:val="24"/>
              </w:rPr>
              <w:t>35 160,21</w:t>
            </w:r>
          </w:p>
        </w:tc>
      </w:tr>
      <w:tr w:rsidR="00295BCD" w:rsidRPr="001927D6" w14:paraId="7257A453" w14:textId="77777777" w:rsidTr="00295BCD">
        <w:trPr>
          <w:divId w:val="1316184749"/>
          <w:trHeight w:val="300"/>
        </w:trPr>
        <w:tc>
          <w:tcPr>
            <w:tcW w:w="4632" w:type="dxa"/>
            <w:vAlign w:val="bottom"/>
            <w:hideMark/>
          </w:tcPr>
          <w:p w14:paraId="7CFA9149" w14:textId="77777777" w:rsidR="00295BCD" w:rsidRPr="001927D6" w:rsidRDefault="00295BCD">
            <w:pPr>
              <w:spacing w:after="0" w:line="240" w:lineRule="auto"/>
              <w:textAlignment w:val="baseline"/>
              <w:rPr>
                <w:szCs w:val="24"/>
                <w:lang w:eastAsia="et-EE"/>
              </w:rPr>
            </w:pPr>
            <w:r w:rsidRPr="001927D6">
              <w:rPr>
                <w:szCs w:val="24"/>
                <w:lang w:eastAsia="et-EE"/>
              </w:rPr>
              <w:t>Intrakraniaalse aneurüsmi, veresoone anomaalia või hemangioomi operatsioon </w:t>
            </w:r>
          </w:p>
        </w:tc>
        <w:tc>
          <w:tcPr>
            <w:tcW w:w="732" w:type="dxa"/>
            <w:vAlign w:val="center"/>
            <w:hideMark/>
          </w:tcPr>
          <w:p w14:paraId="33A48C57" w14:textId="77777777" w:rsidR="00295BCD" w:rsidRPr="001927D6" w:rsidRDefault="00295BCD">
            <w:pPr>
              <w:spacing w:after="0" w:line="240" w:lineRule="auto"/>
              <w:jc w:val="center"/>
              <w:textAlignment w:val="baseline"/>
              <w:rPr>
                <w:szCs w:val="24"/>
                <w:lang w:eastAsia="et-EE"/>
              </w:rPr>
            </w:pPr>
            <w:r w:rsidRPr="001927D6">
              <w:rPr>
                <w:szCs w:val="24"/>
                <w:lang w:eastAsia="et-EE"/>
              </w:rPr>
              <w:t>001C </w:t>
            </w:r>
          </w:p>
        </w:tc>
        <w:tc>
          <w:tcPr>
            <w:tcW w:w="1243" w:type="dxa"/>
            <w:vAlign w:val="center"/>
          </w:tcPr>
          <w:p w14:paraId="4AA8B1F5" w14:textId="77777777" w:rsidR="00295BCD" w:rsidRPr="001927D6" w:rsidRDefault="00295BCD">
            <w:pPr>
              <w:spacing w:after="0" w:line="240" w:lineRule="auto"/>
              <w:jc w:val="center"/>
              <w:textAlignment w:val="baseline"/>
              <w:rPr>
                <w:szCs w:val="24"/>
                <w:lang w:eastAsia="et-EE"/>
              </w:rPr>
            </w:pPr>
            <w:r w:rsidRPr="001927D6">
              <w:rPr>
                <w:color w:val="000000"/>
                <w:szCs w:val="24"/>
              </w:rPr>
              <w:t>11 014,05</w:t>
            </w:r>
          </w:p>
        </w:tc>
        <w:tc>
          <w:tcPr>
            <w:tcW w:w="1211" w:type="dxa"/>
            <w:vAlign w:val="center"/>
          </w:tcPr>
          <w:p w14:paraId="44BFE15D" w14:textId="77777777" w:rsidR="00295BCD" w:rsidRPr="001927D6" w:rsidRDefault="00295BCD">
            <w:pPr>
              <w:spacing w:after="0" w:line="240" w:lineRule="auto"/>
              <w:jc w:val="center"/>
              <w:textAlignment w:val="baseline"/>
              <w:rPr>
                <w:szCs w:val="24"/>
                <w:lang w:eastAsia="et-EE"/>
              </w:rPr>
            </w:pPr>
            <w:r w:rsidRPr="001927D6">
              <w:rPr>
                <w:color w:val="000000"/>
                <w:szCs w:val="24"/>
              </w:rPr>
              <w:t>6 260,85</w:t>
            </w:r>
          </w:p>
        </w:tc>
        <w:tc>
          <w:tcPr>
            <w:tcW w:w="1238" w:type="dxa"/>
            <w:vAlign w:val="center"/>
          </w:tcPr>
          <w:p w14:paraId="10359311" w14:textId="77777777" w:rsidR="00295BCD" w:rsidRPr="001927D6" w:rsidRDefault="00295BCD">
            <w:pPr>
              <w:spacing w:after="0" w:line="240" w:lineRule="auto"/>
              <w:jc w:val="center"/>
              <w:textAlignment w:val="baseline"/>
              <w:rPr>
                <w:szCs w:val="24"/>
                <w:lang w:eastAsia="et-EE"/>
              </w:rPr>
            </w:pPr>
            <w:r w:rsidRPr="001927D6">
              <w:rPr>
                <w:color w:val="000000"/>
                <w:szCs w:val="24"/>
              </w:rPr>
              <w:t>21 646,26</w:t>
            </w:r>
          </w:p>
        </w:tc>
      </w:tr>
      <w:tr w:rsidR="00295BCD" w:rsidRPr="001927D6" w14:paraId="55AA9122" w14:textId="77777777" w:rsidTr="00295BCD">
        <w:trPr>
          <w:divId w:val="1316184749"/>
          <w:trHeight w:val="300"/>
        </w:trPr>
        <w:tc>
          <w:tcPr>
            <w:tcW w:w="4632" w:type="dxa"/>
            <w:vAlign w:val="bottom"/>
            <w:hideMark/>
          </w:tcPr>
          <w:p w14:paraId="27480A5A" w14:textId="77777777" w:rsidR="00295BCD" w:rsidRPr="001927D6" w:rsidRDefault="00295BCD">
            <w:pPr>
              <w:spacing w:after="0" w:line="240" w:lineRule="auto"/>
              <w:textAlignment w:val="baseline"/>
              <w:rPr>
                <w:szCs w:val="24"/>
                <w:lang w:eastAsia="et-EE"/>
              </w:rPr>
            </w:pPr>
            <w:r w:rsidRPr="001927D6">
              <w:rPr>
                <w:szCs w:val="24"/>
                <w:lang w:eastAsia="et-EE"/>
              </w:rPr>
              <w:t>Intrakraniaalne tserebrospinaalse šundi operatsioon </w:t>
            </w:r>
          </w:p>
        </w:tc>
        <w:tc>
          <w:tcPr>
            <w:tcW w:w="732" w:type="dxa"/>
            <w:vAlign w:val="center"/>
            <w:hideMark/>
          </w:tcPr>
          <w:p w14:paraId="11C1DE76" w14:textId="77777777" w:rsidR="00295BCD" w:rsidRPr="001927D6" w:rsidRDefault="00295BCD">
            <w:pPr>
              <w:spacing w:after="0" w:line="240" w:lineRule="auto"/>
              <w:jc w:val="center"/>
              <w:textAlignment w:val="baseline"/>
              <w:rPr>
                <w:szCs w:val="24"/>
                <w:lang w:eastAsia="et-EE"/>
              </w:rPr>
            </w:pPr>
            <w:r w:rsidRPr="001927D6">
              <w:rPr>
                <w:szCs w:val="24"/>
                <w:lang w:eastAsia="et-EE"/>
              </w:rPr>
              <w:t>001D </w:t>
            </w:r>
          </w:p>
        </w:tc>
        <w:tc>
          <w:tcPr>
            <w:tcW w:w="1243" w:type="dxa"/>
            <w:vAlign w:val="center"/>
          </w:tcPr>
          <w:p w14:paraId="55801E72" w14:textId="77777777" w:rsidR="00295BCD" w:rsidRPr="001927D6" w:rsidRDefault="00295BCD">
            <w:pPr>
              <w:spacing w:after="0" w:line="240" w:lineRule="auto"/>
              <w:jc w:val="center"/>
              <w:textAlignment w:val="baseline"/>
              <w:rPr>
                <w:szCs w:val="24"/>
                <w:lang w:eastAsia="et-EE"/>
              </w:rPr>
            </w:pPr>
            <w:r w:rsidRPr="001927D6">
              <w:rPr>
                <w:color w:val="000000"/>
                <w:szCs w:val="24"/>
              </w:rPr>
              <w:t>5 926,28</w:t>
            </w:r>
          </w:p>
        </w:tc>
        <w:tc>
          <w:tcPr>
            <w:tcW w:w="1211" w:type="dxa"/>
            <w:vAlign w:val="center"/>
          </w:tcPr>
          <w:p w14:paraId="2F1CE37E" w14:textId="77777777" w:rsidR="00295BCD" w:rsidRPr="001927D6" w:rsidRDefault="00295BCD">
            <w:pPr>
              <w:spacing w:after="0" w:line="240" w:lineRule="auto"/>
              <w:jc w:val="center"/>
              <w:textAlignment w:val="baseline"/>
              <w:rPr>
                <w:szCs w:val="24"/>
                <w:lang w:eastAsia="et-EE"/>
              </w:rPr>
            </w:pPr>
            <w:r w:rsidRPr="001927D6">
              <w:rPr>
                <w:color w:val="000000"/>
                <w:szCs w:val="24"/>
              </w:rPr>
              <w:t>2 110,03</w:t>
            </w:r>
          </w:p>
        </w:tc>
        <w:tc>
          <w:tcPr>
            <w:tcW w:w="1238" w:type="dxa"/>
            <w:vAlign w:val="center"/>
          </w:tcPr>
          <w:p w14:paraId="025017B8" w14:textId="77777777" w:rsidR="00295BCD" w:rsidRPr="001927D6" w:rsidRDefault="00295BCD">
            <w:pPr>
              <w:spacing w:after="0" w:line="240" w:lineRule="auto"/>
              <w:jc w:val="center"/>
              <w:textAlignment w:val="baseline"/>
              <w:rPr>
                <w:szCs w:val="24"/>
                <w:lang w:eastAsia="et-EE"/>
              </w:rPr>
            </w:pPr>
            <w:r w:rsidRPr="001927D6">
              <w:rPr>
                <w:color w:val="000000"/>
                <w:szCs w:val="24"/>
              </w:rPr>
              <w:t>21 563,26</w:t>
            </w:r>
          </w:p>
        </w:tc>
      </w:tr>
      <w:tr w:rsidR="00295BCD" w:rsidRPr="001927D6" w14:paraId="5BCFF810" w14:textId="77777777" w:rsidTr="00295BCD">
        <w:trPr>
          <w:divId w:val="1316184749"/>
          <w:trHeight w:val="300"/>
        </w:trPr>
        <w:tc>
          <w:tcPr>
            <w:tcW w:w="4632" w:type="dxa"/>
            <w:vAlign w:val="bottom"/>
            <w:hideMark/>
          </w:tcPr>
          <w:p w14:paraId="0B8EB467" w14:textId="77777777" w:rsidR="00295BCD" w:rsidRPr="001927D6" w:rsidRDefault="00295BCD">
            <w:pPr>
              <w:spacing w:after="0" w:line="240" w:lineRule="auto"/>
              <w:textAlignment w:val="baseline"/>
              <w:rPr>
                <w:szCs w:val="24"/>
                <w:lang w:eastAsia="et-EE"/>
              </w:rPr>
            </w:pPr>
            <w:r w:rsidRPr="001927D6">
              <w:rPr>
                <w:szCs w:val="24"/>
                <w:lang w:eastAsia="et-EE"/>
              </w:rPr>
              <w:t>Muu kraniotoomia, v.a trauma korral </w:t>
            </w:r>
          </w:p>
        </w:tc>
        <w:tc>
          <w:tcPr>
            <w:tcW w:w="732" w:type="dxa"/>
            <w:vAlign w:val="center"/>
            <w:hideMark/>
          </w:tcPr>
          <w:p w14:paraId="7CAB7EDF" w14:textId="77777777" w:rsidR="00295BCD" w:rsidRPr="001927D6" w:rsidRDefault="00295BCD">
            <w:pPr>
              <w:spacing w:after="0" w:line="240" w:lineRule="auto"/>
              <w:jc w:val="center"/>
              <w:textAlignment w:val="baseline"/>
              <w:rPr>
                <w:szCs w:val="24"/>
                <w:lang w:eastAsia="et-EE"/>
              </w:rPr>
            </w:pPr>
            <w:r w:rsidRPr="001927D6">
              <w:rPr>
                <w:szCs w:val="24"/>
                <w:lang w:eastAsia="et-EE"/>
              </w:rPr>
              <w:t>001E </w:t>
            </w:r>
          </w:p>
        </w:tc>
        <w:tc>
          <w:tcPr>
            <w:tcW w:w="1243" w:type="dxa"/>
            <w:vAlign w:val="center"/>
          </w:tcPr>
          <w:p w14:paraId="5A2F3EB3" w14:textId="77777777" w:rsidR="00295BCD" w:rsidRPr="001927D6" w:rsidRDefault="00295BCD">
            <w:pPr>
              <w:spacing w:after="0" w:line="240" w:lineRule="auto"/>
              <w:jc w:val="center"/>
              <w:textAlignment w:val="baseline"/>
              <w:rPr>
                <w:szCs w:val="24"/>
                <w:lang w:eastAsia="et-EE"/>
              </w:rPr>
            </w:pPr>
            <w:r w:rsidRPr="001927D6">
              <w:rPr>
                <w:color w:val="000000"/>
                <w:szCs w:val="24"/>
              </w:rPr>
              <w:t>7 932,21</w:t>
            </w:r>
          </w:p>
        </w:tc>
        <w:tc>
          <w:tcPr>
            <w:tcW w:w="1211" w:type="dxa"/>
            <w:vAlign w:val="center"/>
          </w:tcPr>
          <w:p w14:paraId="61854572" w14:textId="77777777" w:rsidR="00295BCD" w:rsidRPr="001927D6" w:rsidRDefault="00295BCD">
            <w:pPr>
              <w:spacing w:after="0" w:line="240" w:lineRule="auto"/>
              <w:jc w:val="center"/>
              <w:textAlignment w:val="baseline"/>
              <w:rPr>
                <w:szCs w:val="24"/>
                <w:lang w:eastAsia="et-EE"/>
              </w:rPr>
            </w:pPr>
            <w:r w:rsidRPr="001927D6">
              <w:rPr>
                <w:color w:val="000000"/>
                <w:szCs w:val="24"/>
              </w:rPr>
              <w:t>2 928,48</w:t>
            </w:r>
          </w:p>
        </w:tc>
        <w:tc>
          <w:tcPr>
            <w:tcW w:w="1238" w:type="dxa"/>
            <w:vAlign w:val="center"/>
          </w:tcPr>
          <w:p w14:paraId="50C6203F" w14:textId="77777777" w:rsidR="00295BCD" w:rsidRPr="001927D6" w:rsidRDefault="00295BCD">
            <w:pPr>
              <w:spacing w:after="0" w:line="240" w:lineRule="auto"/>
              <w:jc w:val="center"/>
              <w:textAlignment w:val="baseline"/>
              <w:rPr>
                <w:szCs w:val="24"/>
                <w:lang w:eastAsia="et-EE"/>
              </w:rPr>
            </w:pPr>
            <w:r w:rsidRPr="001927D6">
              <w:rPr>
                <w:color w:val="000000"/>
                <w:szCs w:val="24"/>
              </w:rPr>
              <w:t>26 030,23</w:t>
            </w:r>
          </w:p>
        </w:tc>
      </w:tr>
      <w:tr w:rsidR="00295BCD" w:rsidRPr="001927D6" w14:paraId="50E7AFE7" w14:textId="77777777" w:rsidTr="00295BCD">
        <w:trPr>
          <w:divId w:val="1316184749"/>
          <w:trHeight w:val="300"/>
        </w:trPr>
        <w:tc>
          <w:tcPr>
            <w:tcW w:w="4632" w:type="dxa"/>
            <w:vAlign w:val="bottom"/>
            <w:hideMark/>
          </w:tcPr>
          <w:p w14:paraId="546C5C39" w14:textId="77777777" w:rsidR="00295BCD" w:rsidRPr="001927D6" w:rsidRDefault="00295BCD">
            <w:pPr>
              <w:spacing w:after="0" w:line="240" w:lineRule="auto"/>
              <w:textAlignment w:val="baseline"/>
              <w:rPr>
                <w:szCs w:val="24"/>
                <w:lang w:eastAsia="et-EE"/>
              </w:rPr>
            </w:pPr>
            <w:r w:rsidRPr="001927D6">
              <w:rPr>
                <w:szCs w:val="24"/>
                <w:lang w:eastAsia="et-EE"/>
              </w:rPr>
              <w:t>Kraniotoomia trauma korral </w:t>
            </w:r>
          </w:p>
        </w:tc>
        <w:tc>
          <w:tcPr>
            <w:tcW w:w="732" w:type="dxa"/>
            <w:vAlign w:val="center"/>
            <w:hideMark/>
          </w:tcPr>
          <w:p w14:paraId="5C1ACB73" w14:textId="77777777" w:rsidR="00295BCD" w:rsidRPr="001927D6" w:rsidRDefault="00295BCD">
            <w:pPr>
              <w:spacing w:after="0" w:line="240" w:lineRule="auto"/>
              <w:jc w:val="center"/>
              <w:textAlignment w:val="baseline"/>
              <w:rPr>
                <w:szCs w:val="24"/>
                <w:lang w:eastAsia="et-EE"/>
              </w:rPr>
            </w:pPr>
            <w:r w:rsidRPr="001927D6">
              <w:rPr>
                <w:szCs w:val="24"/>
                <w:lang w:eastAsia="et-EE"/>
              </w:rPr>
              <w:t>002A </w:t>
            </w:r>
          </w:p>
        </w:tc>
        <w:tc>
          <w:tcPr>
            <w:tcW w:w="1243" w:type="dxa"/>
            <w:vAlign w:val="center"/>
          </w:tcPr>
          <w:p w14:paraId="0AFBE554" w14:textId="77777777" w:rsidR="00295BCD" w:rsidRPr="001927D6" w:rsidRDefault="00295BCD">
            <w:pPr>
              <w:spacing w:after="0" w:line="240" w:lineRule="auto"/>
              <w:jc w:val="center"/>
              <w:textAlignment w:val="baseline"/>
              <w:rPr>
                <w:szCs w:val="24"/>
                <w:lang w:eastAsia="et-EE"/>
              </w:rPr>
            </w:pPr>
            <w:r w:rsidRPr="001927D6">
              <w:rPr>
                <w:color w:val="000000"/>
                <w:szCs w:val="24"/>
              </w:rPr>
              <w:t>15 891,26</w:t>
            </w:r>
          </w:p>
        </w:tc>
        <w:tc>
          <w:tcPr>
            <w:tcW w:w="1211" w:type="dxa"/>
            <w:vAlign w:val="center"/>
          </w:tcPr>
          <w:p w14:paraId="7C99863A" w14:textId="77777777" w:rsidR="00295BCD" w:rsidRPr="001927D6" w:rsidRDefault="00295BCD">
            <w:pPr>
              <w:spacing w:after="0" w:line="240" w:lineRule="auto"/>
              <w:jc w:val="center"/>
              <w:textAlignment w:val="baseline"/>
              <w:rPr>
                <w:szCs w:val="24"/>
                <w:lang w:eastAsia="et-EE"/>
              </w:rPr>
            </w:pPr>
            <w:r w:rsidRPr="001927D6">
              <w:rPr>
                <w:color w:val="000000"/>
                <w:szCs w:val="24"/>
              </w:rPr>
              <w:t>3 047,55</w:t>
            </w:r>
          </w:p>
        </w:tc>
        <w:tc>
          <w:tcPr>
            <w:tcW w:w="1238" w:type="dxa"/>
            <w:vAlign w:val="center"/>
          </w:tcPr>
          <w:p w14:paraId="28BF608C" w14:textId="77777777" w:rsidR="00295BCD" w:rsidRPr="001927D6" w:rsidRDefault="00295BCD">
            <w:pPr>
              <w:spacing w:after="0" w:line="240" w:lineRule="auto"/>
              <w:jc w:val="center"/>
              <w:textAlignment w:val="baseline"/>
              <w:rPr>
                <w:szCs w:val="24"/>
                <w:lang w:eastAsia="et-EE"/>
              </w:rPr>
            </w:pPr>
            <w:r w:rsidRPr="001927D6">
              <w:rPr>
                <w:color w:val="000000"/>
                <w:szCs w:val="24"/>
              </w:rPr>
              <w:t>39 878,48</w:t>
            </w:r>
          </w:p>
        </w:tc>
      </w:tr>
      <w:tr w:rsidR="00295BCD" w:rsidRPr="001927D6" w14:paraId="1516F3CA" w14:textId="77777777" w:rsidTr="00295BCD">
        <w:trPr>
          <w:divId w:val="1316184749"/>
          <w:trHeight w:val="300"/>
        </w:trPr>
        <w:tc>
          <w:tcPr>
            <w:tcW w:w="4632" w:type="dxa"/>
            <w:vAlign w:val="bottom"/>
            <w:hideMark/>
          </w:tcPr>
          <w:p w14:paraId="635410F9" w14:textId="77777777" w:rsidR="00295BCD" w:rsidRPr="001927D6" w:rsidRDefault="00295BCD">
            <w:pPr>
              <w:spacing w:after="0" w:line="240" w:lineRule="auto"/>
              <w:textAlignment w:val="baseline"/>
              <w:rPr>
                <w:szCs w:val="24"/>
                <w:lang w:eastAsia="et-EE"/>
              </w:rPr>
            </w:pPr>
            <w:r w:rsidRPr="001927D6">
              <w:rPr>
                <w:szCs w:val="24"/>
                <w:lang w:eastAsia="et-EE"/>
              </w:rPr>
              <w:t>Kroonilise subduraalse hematoomi operatsioon </w:t>
            </w:r>
          </w:p>
        </w:tc>
        <w:tc>
          <w:tcPr>
            <w:tcW w:w="732" w:type="dxa"/>
            <w:vAlign w:val="center"/>
            <w:hideMark/>
          </w:tcPr>
          <w:p w14:paraId="2B1C1B6A" w14:textId="77777777" w:rsidR="00295BCD" w:rsidRPr="001927D6" w:rsidRDefault="00295BCD">
            <w:pPr>
              <w:spacing w:after="0" w:line="240" w:lineRule="auto"/>
              <w:jc w:val="center"/>
              <w:textAlignment w:val="baseline"/>
              <w:rPr>
                <w:szCs w:val="24"/>
                <w:lang w:eastAsia="et-EE"/>
              </w:rPr>
            </w:pPr>
            <w:r w:rsidRPr="001927D6">
              <w:rPr>
                <w:szCs w:val="24"/>
                <w:lang w:eastAsia="et-EE"/>
              </w:rPr>
              <w:t>002B </w:t>
            </w:r>
          </w:p>
        </w:tc>
        <w:tc>
          <w:tcPr>
            <w:tcW w:w="1243" w:type="dxa"/>
            <w:vAlign w:val="center"/>
          </w:tcPr>
          <w:p w14:paraId="70548E1E" w14:textId="77777777" w:rsidR="00295BCD" w:rsidRPr="001927D6" w:rsidRDefault="00295BCD">
            <w:pPr>
              <w:spacing w:after="0" w:line="240" w:lineRule="auto"/>
              <w:jc w:val="center"/>
              <w:textAlignment w:val="baseline"/>
              <w:rPr>
                <w:szCs w:val="24"/>
                <w:lang w:eastAsia="et-EE"/>
              </w:rPr>
            </w:pPr>
            <w:r w:rsidRPr="001927D6">
              <w:rPr>
                <w:color w:val="000000"/>
                <w:szCs w:val="24"/>
              </w:rPr>
              <w:t>3 609,22</w:t>
            </w:r>
          </w:p>
        </w:tc>
        <w:tc>
          <w:tcPr>
            <w:tcW w:w="1211" w:type="dxa"/>
            <w:vAlign w:val="center"/>
          </w:tcPr>
          <w:p w14:paraId="76DD0237" w14:textId="77777777" w:rsidR="00295BCD" w:rsidRPr="001927D6" w:rsidRDefault="00295BCD">
            <w:pPr>
              <w:spacing w:after="0" w:line="240" w:lineRule="auto"/>
              <w:jc w:val="center"/>
              <w:textAlignment w:val="baseline"/>
              <w:rPr>
                <w:szCs w:val="24"/>
                <w:lang w:eastAsia="et-EE"/>
              </w:rPr>
            </w:pPr>
            <w:r w:rsidRPr="001927D6">
              <w:rPr>
                <w:color w:val="000000"/>
                <w:szCs w:val="24"/>
              </w:rPr>
              <w:t>2 342,42</w:t>
            </w:r>
          </w:p>
        </w:tc>
        <w:tc>
          <w:tcPr>
            <w:tcW w:w="1238" w:type="dxa"/>
            <w:vAlign w:val="center"/>
          </w:tcPr>
          <w:p w14:paraId="17AAF8C9" w14:textId="77777777" w:rsidR="00295BCD" w:rsidRPr="001927D6" w:rsidRDefault="00295BCD">
            <w:pPr>
              <w:spacing w:after="0" w:line="240" w:lineRule="auto"/>
              <w:jc w:val="center"/>
              <w:textAlignment w:val="baseline"/>
              <w:rPr>
                <w:szCs w:val="24"/>
                <w:lang w:eastAsia="et-EE"/>
              </w:rPr>
            </w:pPr>
            <w:r w:rsidRPr="001927D6">
              <w:rPr>
                <w:color w:val="000000"/>
                <w:szCs w:val="24"/>
              </w:rPr>
              <w:t>6 713,64</w:t>
            </w:r>
          </w:p>
        </w:tc>
      </w:tr>
      <w:tr w:rsidR="00295BCD" w:rsidRPr="001927D6" w14:paraId="7FA211AB" w14:textId="77777777" w:rsidTr="00295BCD">
        <w:trPr>
          <w:divId w:val="1316184749"/>
          <w:trHeight w:val="300"/>
        </w:trPr>
        <w:tc>
          <w:tcPr>
            <w:tcW w:w="4632" w:type="dxa"/>
            <w:vAlign w:val="bottom"/>
            <w:hideMark/>
          </w:tcPr>
          <w:p w14:paraId="2C934BC6" w14:textId="77777777" w:rsidR="00295BCD" w:rsidRPr="001927D6" w:rsidRDefault="00295BCD">
            <w:pPr>
              <w:spacing w:after="0" w:line="240" w:lineRule="auto"/>
              <w:textAlignment w:val="baseline"/>
              <w:rPr>
                <w:szCs w:val="24"/>
                <w:lang w:eastAsia="et-EE"/>
              </w:rPr>
            </w:pPr>
            <w:r w:rsidRPr="001927D6">
              <w:rPr>
                <w:szCs w:val="24"/>
                <w:lang w:eastAsia="et-EE"/>
              </w:rPr>
              <w:t>Kraniotoomia, lühike ravi </w:t>
            </w:r>
          </w:p>
        </w:tc>
        <w:tc>
          <w:tcPr>
            <w:tcW w:w="732" w:type="dxa"/>
            <w:vAlign w:val="center"/>
            <w:hideMark/>
          </w:tcPr>
          <w:p w14:paraId="29CEB808" w14:textId="77777777" w:rsidR="00295BCD" w:rsidRPr="001927D6" w:rsidRDefault="00295BCD">
            <w:pPr>
              <w:spacing w:after="0" w:line="240" w:lineRule="auto"/>
              <w:jc w:val="center"/>
              <w:textAlignment w:val="baseline"/>
              <w:rPr>
                <w:szCs w:val="24"/>
                <w:lang w:eastAsia="et-EE"/>
              </w:rPr>
            </w:pPr>
            <w:r w:rsidRPr="001927D6">
              <w:rPr>
                <w:szCs w:val="24"/>
                <w:lang w:eastAsia="et-EE"/>
              </w:rPr>
              <w:t>003O </w:t>
            </w:r>
          </w:p>
        </w:tc>
        <w:tc>
          <w:tcPr>
            <w:tcW w:w="1243" w:type="dxa"/>
            <w:vAlign w:val="center"/>
          </w:tcPr>
          <w:p w14:paraId="7A76E138" w14:textId="77777777" w:rsidR="00295BCD" w:rsidRPr="001927D6" w:rsidRDefault="00295BCD">
            <w:pPr>
              <w:spacing w:after="0" w:line="240" w:lineRule="auto"/>
              <w:jc w:val="center"/>
              <w:textAlignment w:val="baseline"/>
              <w:rPr>
                <w:szCs w:val="24"/>
                <w:lang w:eastAsia="et-EE"/>
              </w:rPr>
            </w:pPr>
            <w:r w:rsidRPr="001927D6">
              <w:rPr>
                <w:color w:val="000000"/>
                <w:szCs w:val="24"/>
              </w:rPr>
              <w:t>1 466,75</w:t>
            </w:r>
          </w:p>
        </w:tc>
        <w:tc>
          <w:tcPr>
            <w:tcW w:w="1211" w:type="dxa"/>
            <w:vAlign w:val="center"/>
          </w:tcPr>
          <w:p w14:paraId="3DAB2B23" w14:textId="77777777" w:rsidR="00295BCD" w:rsidRPr="001927D6" w:rsidRDefault="00295BCD">
            <w:pPr>
              <w:spacing w:after="0" w:line="240" w:lineRule="auto"/>
              <w:jc w:val="center"/>
              <w:textAlignment w:val="baseline"/>
              <w:rPr>
                <w:szCs w:val="24"/>
                <w:lang w:eastAsia="et-EE"/>
              </w:rPr>
            </w:pPr>
            <w:r w:rsidRPr="001927D6">
              <w:rPr>
                <w:color w:val="000000"/>
                <w:szCs w:val="24"/>
              </w:rPr>
              <w:t>696,07</w:t>
            </w:r>
          </w:p>
        </w:tc>
        <w:tc>
          <w:tcPr>
            <w:tcW w:w="1238" w:type="dxa"/>
            <w:vAlign w:val="center"/>
          </w:tcPr>
          <w:p w14:paraId="6AA2B90D" w14:textId="77777777" w:rsidR="00295BCD" w:rsidRPr="001927D6" w:rsidRDefault="00295BCD">
            <w:pPr>
              <w:spacing w:after="0" w:line="240" w:lineRule="auto"/>
              <w:jc w:val="center"/>
              <w:textAlignment w:val="baseline"/>
              <w:rPr>
                <w:szCs w:val="24"/>
                <w:lang w:eastAsia="et-EE"/>
              </w:rPr>
            </w:pPr>
            <w:r w:rsidRPr="001927D6">
              <w:rPr>
                <w:color w:val="000000"/>
                <w:szCs w:val="24"/>
              </w:rPr>
              <w:t>1 466,75</w:t>
            </w:r>
          </w:p>
        </w:tc>
      </w:tr>
      <w:tr w:rsidR="00295BCD" w:rsidRPr="001927D6" w14:paraId="38C86809" w14:textId="77777777" w:rsidTr="00295BCD">
        <w:trPr>
          <w:divId w:val="1316184749"/>
          <w:trHeight w:val="300"/>
        </w:trPr>
        <w:tc>
          <w:tcPr>
            <w:tcW w:w="4632" w:type="dxa"/>
            <w:vAlign w:val="bottom"/>
            <w:hideMark/>
          </w:tcPr>
          <w:p w14:paraId="078CC72F" w14:textId="77777777" w:rsidR="00295BCD" w:rsidRPr="001927D6" w:rsidRDefault="00295BCD">
            <w:pPr>
              <w:spacing w:after="0" w:line="240" w:lineRule="auto"/>
              <w:textAlignment w:val="baseline"/>
              <w:rPr>
                <w:szCs w:val="24"/>
                <w:lang w:eastAsia="et-EE"/>
              </w:rPr>
            </w:pPr>
            <w:r w:rsidRPr="001927D6">
              <w:rPr>
                <w:szCs w:val="24"/>
                <w:lang w:eastAsia="et-EE"/>
              </w:rPr>
              <w:t>Lülisamba ja seljaaju operatsioonid </w:t>
            </w:r>
          </w:p>
        </w:tc>
        <w:tc>
          <w:tcPr>
            <w:tcW w:w="732" w:type="dxa"/>
            <w:vAlign w:val="center"/>
            <w:hideMark/>
          </w:tcPr>
          <w:p w14:paraId="3EC20581" w14:textId="77777777" w:rsidR="00295BCD" w:rsidRPr="001927D6" w:rsidRDefault="00295BCD">
            <w:pPr>
              <w:spacing w:after="0" w:line="240" w:lineRule="auto"/>
              <w:jc w:val="center"/>
              <w:textAlignment w:val="baseline"/>
              <w:rPr>
                <w:szCs w:val="24"/>
                <w:lang w:eastAsia="et-EE"/>
              </w:rPr>
            </w:pPr>
            <w:r w:rsidRPr="001927D6">
              <w:rPr>
                <w:szCs w:val="24"/>
                <w:lang w:eastAsia="et-EE"/>
              </w:rPr>
              <w:t>004 </w:t>
            </w:r>
          </w:p>
        </w:tc>
        <w:tc>
          <w:tcPr>
            <w:tcW w:w="1243" w:type="dxa"/>
            <w:vAlign w:val="center"/>
          </w:tcPr>
          <w:p w14:paraId="3459FEE1" w14:textId="77777777" w:rsidR="00295BCD" w:rsidRPr="001927D6" w:rsidRDefault="00295BCD">
            <w:pPr>
              <w:spacing w:after="0" w:line="240" w:lineRule="auto"/>
              <w:jc w:val="center"/>
              <w:textAlignment w:val="baseline"/>
              <w:rPr>
                <w:szCs w:val="24"/>
                <w:lang w:eastAsia="et-EE"/>
              </w:rPr>
            </w:pPr>
            <w:r w:rsidRPr="001927D6">
              <w:rPr>
                <w:color w:val="000000"/>
                <w:szCs w:val="24"/>
              </w:rPr>
              <w:t>5 054,98</w:t>
            </w:r>
          </w:p>
        </w:tc>
        <w:tc>
          <w:tcPr>
            <w:tcW w:w="1211" w:type="dxa"/>
            <w:vAlign w:val="center"/>
          </w:tcPr>
          <w:p w14:paraId="7B93CF7B" w14:textId="77777777" w:rsidR="00295BCD" w:rsidRPr="001927D6" w:rsidRDefault="00295BCD">
            <w:pPr>
              <w:spacing w:after="0" w:line="240" w:lineRule="auto"/>
              <w:jc w:val="center"/>
              <w:textAlignment w:val="baseline"/>
              <w:rPr>
                <w:szCs w:val="24"/>
                <w:lang w:eastAsia="et-EE"/>
              </w:rPr>
            </w:pPr>
            <w:r w:rsidRPr="001927D6">
              <w:rPr>
                <w:color w:val="000000"/>
                <w:szCs w:val="24"/>
              </w:rPr>
              <w:t>1 563,65</w:t>
            </w:r>
          </w:p>
        </w:tc>
        <w:tc>
          <w:tcPr>
            <w:tcW w:w="1238" w:type="dxa"/>
            <w:vAlign w:val="center"/>
          </w:tcPr>
          <w:p w14:paraId="708BA867" w14:textId="77777777" w:rsidR="00295BCD" w:rsidRPr="001927D6" w:rsidRDefault="00295BCD">
            <w:pPr>
              <w:spacing w:after="0" w:line="240" w:lineRule="auto"/>
              <w:jc w:val="center"/>
              <w:textAlignment w:val="baseline"/>
              <w:rPr>
                <w:szCs w:val="24"/>
                <w:lang w:eastAsia="et-EE"/>
              </w:rPr>
            </w:pPr>
            <w:r w:rsidRPr="001927D6">
              <w:rPr>
                <w:color w:val="000000"/>
                <w:szCs w:val="24"/>
              </w:rPr>
              <w:t>10 754,04</w:t>
            </w:r>
          </w:p>
        </w:tc>
      </w:tr>
      <w:tr w:rsidR="00295BCD" w:rsidRPr="001927D6" w14:paraId="4055AA08" w14:textId="77777777" w:rsidTr="00295BCD">
        <w:trPr>
          <w:divId w:val="1316184749"/>
          <w:trHeight w:val="300"/>
        </w:trPr>
        <w:tc>
          <w:tcPr>
            <w:tcW w:w="4632" w:type="dxa"/>
            <w:vAlign w:val="bottom"/>
            <w:hideMark/>
          </w:tcPr>
          <w:p w14:paraId="7B4BFB68" w14:textId="77777777" w:rsidR="00295BCD" w:rsidRPr="001927D6" w:rsidRDefault="00295BCD">
            <w:pPr>
              <w:spacing w:after="0" w:line="240" w:lineRule="auto"/>
              <w:textAlignment w:val="baseline"/>
              <w:rPr>
                <w:szCs w:val="24"/>
                <w:lang w:eastAsia="et-EE"/>
              </w:rPr>
            </w:pPr>
            <w:r w:rsidRPr="001927D6">
              <w:rPr>
                <w:szCs w:val="24"/>
                <w:lang w:eastAsia="et-EE"/>
              </w:rPr>
              <w:t>Lülisamba ja seljaaju operatsioonid, lühike ravi </w:t>
            </w:r>
          </w:p>
        </w:tc>
        <w:tc>
          <w:tcPr>
            <w:tcW w:w="732" w:type="dxa"/>
            <w:vAlign w:val="center"/>
            <w:hideMark/>
          </w:tcPr>
          <w:p w14:paraId="2CF8B254" w14:textId="77777777" w:rsidR="00295BCD" w:rsidRPr="001927D6" w:rsidRDefault="00295BCD">
            <w:pPr>
              <w:spacing w:after="0" w:line="240" w:lineRule="auto"/>
              <w:jc w:val="center"/>
              <w:textAlignment w:val="baseline"/>
              <w:rPr>
                <w:szCs w:val="24"/>
                <w:lang w:eastAsia="et-EE"/>
              </w:rPr>
            </w:pPr>
            <w:r w:rsidRPr="001927D6">
              <w:rPr>
                <w:szCs w:val="24"/>
                <w:lang w:eastAsia="et-EE"/>
              </w:rPr>
              <w:t>004O </w:t>
            </w:r>
          </w:p>
        </w:tc>
        <w:tc>
          <w:tcPr>
            <w:tcW w:w="1243" w:type="dxa"/>
            <w:vAlign w:val="center"/>
          </w:tcPr>
          <w:p w14:paraId="5BDE0992" w14:textId="77777777" w:rsidR="00295BCD" w:rsidRPr="001927D6" w:rsidRDefault="00295BCD">
            <w:pPr>
              <w:spacing w:after="0" w:line="240" w:lineRule="auto"/>
              <w:jc w:val="center"/>
              <w:textAlignment w:val="baseline"/>
              <w:rPr>
                <w:szCs w:val="24"/>
                <w:lang w:eastAsia="et-EE"/>
              </w:rPr>
            </w:pPr>
            <w:r w:rsidRPr="001927D6">
              <w:rPr>
                <w:color w:val="000000"/>
                <w:szCs w:val="24"/>
              </w:rPr>
              <w:t>1 181,38</w:t>
            </w:r>
          </w:p>
        </w:tc>
        <w:tc>
          <w:tcPr>
            <w:tcW w:w="1211" w:type="dxa"/>
            <w:vAlign w:val="center"/>
          </w:tcPr>
          <w:p w14:paraId="702203B2" w14:textId="77777777" w:rsidR="00295BCD" w:rsidRPr="001927D6" w:rsidRDefault="00295BCD">
            <w:pPr>
              <w:spacing w:after="0" w:line="240" w:lineRule="auto"/>
              <w:jc w:val="center"/>
              <w:textAlignment w:val="baseline"/>
              <w:rPr>
                <w:szCs w:val="24"/>
                <w:lang w:eastAsia="et-EE"/>
              </w:rPr>
            </w:pPr>
            <w:r w:rsidRPr="001927D6">
              <w:rPr>
                <w:color w:val="000000"/>
                <w:szCs w:val="24"/>
              </w:rPr>
              <w:t>835,92</w:t>
            </w:r>
          </w:p>
        </w:tc>
        <w:tc>
          <w:tcPr>
            <w:tcW w:w="1238" w:type="dxa"/>
            <w:vAlign w:val="center"/>
          </w:tcPr>
          <w:p w14:paraId="63F4C5D0" w14:textId="77777777" w:rsidR="00295BCD" w:rsidRPr="001927D6" w:rsidRDefault="00295BCD">
            <w:pPr>
              <w:spacing w:after="0" w:line="240" w:lineRule="auto"/>
              <w:jc w:val="center"/>
              <w:textAlignment w:val="baseline"/>
              <w:rPr>
                <w:szCs w:val="24"/>
                <w:lang w:eastAsia="et-EE"/>
              </w:rPr>
            </w:pPr>
            <w:r w:rsidRPr="001927D6">
              <w:rPr>
                <w:color w:val="000000"/>
                <w:szCs w:val="24"/>
              </w:rPr>
              <w:t>1 653,07</w:t>
            </w:r>
          </w:p>
        </w:tc>
      </w:tr>
      <w:tr w:rsidR="00295BCD" w:rsidRPr="001927D6" w14:paraId="2D2210C6" w14:textId="77777777" w:rsidTr="00295BCD">
        <w:trPr>
          <w:divId w:val="1316184749"/>
          <w:trHeight w:val="300"/>
        </w:trPr>
        <w:tc>
          <w:tcPr>
            <w:tcW w:w="4632" w:type="dxa"/>
            <w:vAlign w:val="bottom"/>
            <w:hideMark/>
          </w:tcPr>
          <w:p w14:paraId="3168DD35" w14:textId="77777777" w:rsidR="00295BCD" w:rsidRPr="001927D6" w:rsidRDefault="00295BCD">
            <w:pPr>
              <w:spacing w:after="0" w:line="240" w:lineRule="auto"/>
              <w:textAlignment w:val="baseline"/>
              <w:rPr>
                <w:szCs w:val="24"/>
                <w:lang w:eastAsia="et-EE"/>
              </w:rPr>
            </w:pPr>
            <w:r w:rsidRPr="001927D6">
              <w:rPr>
                <w:szCs w:val="24"/>
                <w:lang w:eastAsia="et-EE"/>
              </w:rPr>
              <w:t>Koljuvälised veresoonte operatsioonid </w:t>
            </w:r>
          </w:p>
        </w:tc>
        <w:tc>
          <w:tcPr>
            <w:tcW w:w="732" w:type="dxa"/>
            <w:vAlign w:val="center"/>
            <w:hideMark/>
          </w:tcPr>
          <w:p w14:paraId="1EFB0E1A" w14:textId="77777777" w:rsidR="00295BCD" w:rsidRPr="001927D6" w:rsidRDefault="00295BCD">
            <w:pPr>
              <w:spacing w:after="0" w:line="240" w:lineRule="auto"/>
              <w:jc w:val="center"/>
              <w:textAlignment w:val="baseline"/>
              <w:rPr>
                <w:szCs w:val="24"/>
                <w:lang w:eastAsia="et-EE"/>
              </w:rPr>
            </w:pPr>
            <w:r w:rsidRPr="001927D6">
              <w:rPr>
                <w:szCs w:val="24"/>
                <w:lang w:eastAsia="et-EE"/>
              </w:rPr>
              <w:t>005 </w:t>
            </w:r>
          </w:p>
        </w:tc>
        <w:tc>
          <w:tcPr>
            <w:tcW w:w="1243" w:type="dxa"/>
            <w:vAlign w:val="center"/>
          </w:tcPr>
          <w:p w14:paraId="2058B8BD" w14:textId="77777777" w:rsidR="00295BCD" w:rsidRPr="001927D6" w:rsidRDefault="00295BCD">
            <w:pPr>
              <w:spacing w:after="0" w:line="240" w:lineRule="auto"/>
              <w:jc w:val="center"/>
              <w:textAlignment w:val="baseline"/>
              <w:rPr>
                <w:szCs w:val="24"/>
                <w:lang w:eastAsia="et-EE"/>
              </w:rPr>
            </w:pPr>
            <w:r w:rsidRPr="001927D6">
              <w:rPr>
                <w:color w:val="000000"/>
                <w:szCs w:val="24"/>
              </w:rPr>
              <w:t>5 355,86</w:t>
            </w:r>
          </w:p>
        </w:tc>
        <w:tc>
          <w:tcPr>
            <w:tcW w:w="1211" w:type="dxa"/>
            <w:vAlign w:val="center"/>
          </w:tcPr>
          <w:p w14:paraId="06B3F478" w14:textId="77777777" w:rsidR="00295BCD" w:rsidRPr="001927D6" w:rsidRDefault="00295BCD">
            <w:pPr>
              <w:spacing w:after="0" w:line="240" w:lineRule="auto"/>
              <w:jc w:val="center"/>
              <w:textAlignment w:val="baseline"/>
              <w:rPr>
                <w:szCs w:val="24"/>
                <w:lang w:eastAsia="et-EE"/>
              </w:rPr>
            </w:pPr>
            <w:r w:rsidRPr="001927D6">
              <w:rPr>
                <w:color w:val="000000"/>
                <w:szCs w:val="24"/>
              </w:rPr>
              <w:t>2 821,43</w:t>
            </w:r>
          </w:p>
        </w:tc>
        <w:tc>
          <w:tcPr>
            <w:tcW w:w="1238" w:type="dxa"/>
            <w:vAlign w:val="center"/>
          </w:tcPr>
          <w:p w14:paraId="40B64FD9" w14:textId="77777777" w:rsidR="00295BCD" w:rsidRPr="001927D6" w:rsidRDefault="00295BCD">
            <w:pPr>
              <w:spacing w:after="0" w:line="240" w:lineRule="auto"/>
              <w:jc w:val="center"/>
              <w:textAlignment w:val="baseline"/>
              <w:rPr>
                <w:szCs w:val="24"/>
                <w:lang w:eastAsia="et-EE"/>
              </w:rPr>
            </w:pPr>
            <w:r w:rsidRPr="001927D6">
              <w:rPr>
                <w:color w:val="000000"/>
                <w:szCs w:val="24"/>
              </w:rPr>
              <w:t>10 913,88</w:t>
            </w:r>
          </w:p>
        </w:tc>
      </w:tr>
      <w:tr w:rsidR="00295BCD" w:rsidRPr="001927D6" w14:paraId="3BE58031" w14:textId="77777777" w:rsidTr="00295BCD">
        <w:trPr>
          <w:divId w:val="1316184749"/>
          <w:trHeight w:val="300"/>
        </w:trPr>
        <w:tc>
          <w:tcPr>
            <w:tcW w:w="4632" w:type="dxa"/>
            <w:vAlign w:val="bottom"/>
            <w:hideMark/>
          </w:tcPr>
          <w:p w14:paraId="0EEA46B6" w14:textId="77777777" w:rsidR="00295BCD" w:rsidRPr="001927D6" w:rsidRDefault="00295BCD">
            <w:pPr>
              <w:spacing w:after="0" w:line="240" w:lineRule="auto"/>
              <w:textAlignment w:val="baseline"/>
              <w:rPr>
                <w:szCs w:val="24"/>
                <w:lang w:eastAsia="et-EE"/>
              </w:rPr>
            </w:pPr>
            <w:r w:rsidRPr="001927D6">
              <w:rPr>
                <w:szCs w:val="24"/>
                <w:lang w:eastAsia="et-EE"/>
              </w:rPr>
              <w:t>Koljuvälised veresoonte operatsioonid, lühike ravi </w:t>
            </w:r>
          </w:p>
        </w:tc>
        <w:tc>
          <w:tcPr>
            <w:tcW w:w="732" w:type="dxa"/>
            <w:vAlign w:val="center"/>
            <w:hideMark/>
          </w:tcPr>
          <w:p w14:paraId="4CA7723B" w14:textId="77777777" w:rsidR="00295BCD" w:rsidRPr="001927D6" w:rsidRDefault="00295BCD">
            <w:pPr>
              <w:spacing w:after="0" w:line="240" w:lineRule="auto"/>
              <w:jc w:val="center"/>
              <w:textAlignment w:val="baseline"/>
              <w:rPr>
                <w:szCs w:val="24"/>
                <w:lang w:eastAsia="et-EE"/>
              </w:rPr>
            </w:pPr>
            <w:r w:rsidRPr="001927D6">
              <w:rPr>
                <w:szCs w:val="24"/>
                <w:lang w:eastAsia="et-EE"/>
              </w:rPr>
              <w:t>005O </w:t>
            </w:r>
          </w:p>
        </w:tc>
        <w:tc>
          <w:tcPr>
            <w:tcW w:w="1243" w:type="dxa"/>
            <w:vAlign w:val="center"/>
          </w:tcPr>
          <w:p w14:paraId="4ED63187" w14:textId="77777777" w:rsidR="00295BCD" w:rsidRPr="001927D6" w:rsidRDefault="00295BCD">
            <w:pPr>
              <w:spacing w:after="0" w:line="240" w:lineRule="auto"/>
              <w:jc w:val="center"/>
              <w:textAlignment w:val="baseline"/>
              <w:rPr>
                <w:szCs w:val="24"/>
                <w:lang w:eastAsia="et-EE"/>
              </w:rPr>
            </w:pPr>
            <w:r w:rsidRPr="001927D6">
              <w:rPr>
                <w:color w:val="000000"/>
                <w:szCs w:val="24"/>
              </w:rPr>
              <w:t>1 827,04</w:t>
            </w:r>
          </w:p>
        </w:tc>
        <w:tc>
          <w:tcPr>
            <w:tcW w:w="1211" w:type="dxa"/>
            <w:vAlign w:val="center"/>
          </w:tcPr>
          <w:p w14:paraId="0A36D7B2" w14:textId="77777777" w:rsidR="00295BCD" w:rsidRPr="001927D6" w:rsidRDefault="00295BCD">
            <w:pPr>
              <w:spacing w:after="0" w:line="240" w:lineRule="auto"/>
              <w:jc w:val="center"/>
              <w:textAlignment w:val="baseline"/>
              <w:rPr>
                <w:szCs w:val="24"/>
                <w:lang w:eastAsia="et-EE"/>
              </w:rPr>
            </w:pPr>
            <w:r w:rsidRPr="001927D6">
              <w:rPr>
                <w:color w:val="000000"/>
                <w:szCs w:val="24"/>
              </w:rPr>
              <w:t>867,06</w:t>
            </w:r>
          </w:p>
        </w:tc>
        <w:tc>
          <w:tcPr>
            <w:tcW w:w="1238" w:type="dxa"/>
            <w:vAlign w:val="center"/>
          </w:tcPr>
          <w:p w14:paraId="74FD7E5C" w14:textId="77777777" w:rsidR="00295BCD" w:rsidRPr="001927D6" w:rsidRDefault="00295BCD">
            <w:pPr>
              <w:spacing w:after="0" w:line="240" w:lineRule="auto"/>
              <w:jc w:val="center"/>
              <w:textAlignment w:val="baseline"/>
              <w:rPr>
                <w:szCs w:val="24"/>
                <w:lang w:eastAsia="et-EE"/>
              </w:rPr>
            </w:pPr>
            <w:r w:rsidRPr="001927D6">
              <w:rPr>
                <w:color w:val="000000"/>
                <w:szCs w:val="24"/>
              </w:rPr>
              <w:t>3 703,63</w:t>
            </w:r>
          </w:p>
        </w:tc>
      </w:tr>
      <w:tr w:rsidR="00295BCD" w:rsidRPr="001927D6" w14:paraId="65C3BD6C" w14:textId="77777777" w:rsidTr="00295BCD">
        <w:trPr>
          <w:divId w:val="1316184749"/>
          <w:trHeight w:val="300"/>
        </w:trPr>
        <w:tc>
          <w:tcPr>
            <w:tcW w:w="4632" w:type="dxa"/>
            <w:vAlign w:val="bottom"/>
            <w:hideMark/>
          </w:tcPr>
          <w:p w14:paraId="6E739983" w14:textId="77777777" w:rsidR="00295BCD" w:rsidRPr="001927D6" w:rsidRDefault="00295BCD">
            <w:pPr>
              <w:spacing w:after="0" w:line="240" w:lineRule="auto"/>
              <w:textAlignment w:val="baseline"/>
              <w:rPr>
                <w:szCs w:val="24"/>
                <w:lang w:eastAsia="et-EE"/>
              </w:rPr>
            </w:pPr>
            <w:r w:rsidRPr="001927D6">
              <w:rPr>
                <w:szCs w:val="24"/>
                <w:lang w:eastAsia="et-EE"/>
              </w:rPr>
              <w:t>Karpaalkanali avamine </w:t>
            </w:r>
          </w:p>
        </w:tc>
        <w:tc>
          <w:tcPr>
            <w:tcW w:w="732" w:type="dxa"/>
            <w:vAlign w:val="center"/>
            <w:hideMark/>
          </w:tcPr>
          <w:p w14:paraId="63D51BE4" w14:textId="77777777" w:rsidR="00295BCD" w:rsidRPr="001927D6" w:rsidRDefault="00295BCD">
            <w:pPr>
              <w:spacing w:after="0" w:line="240" w:lineRule="auto"/>
              <w:jc w:val="center"/>
              <w:textAlignment w:val="baseline"/>
              <w:rPr>
                <w:szCs w:val="24"/>
                <w:lang w:eastAsia="et-EE"/>
              </w:rPr>
            </w:pPr>
            <w:r w:rsidRPr="001927D6">
              <w:rPr>
                <w:szCs w:val="24"/>
                <w:lang w:eastAsia="et-EE"/>
              </w:rPr>
              <w:t>006 </w:t>
            </w:r>
          </w:p>
        </w:tc>
        <w:tc>
          <w:tcPr>
            <w:tcW w:w="1243" w:type="dxa"/>
            <w:vAlign w:val="center"/>
          </w:tcPr>
          <w:p w14:paraId="019BE9DA" w14:textId="77777777" w:rsidR="00295BCD" w:rsidRPr="001927D6" w:rsidRDefault="00295BCD">
            <w:pPr>
              <w:spacing w:after="0" w:line="240" w:lineRule="auto"/>
              <w:jc w:val="center"/>
              <w:textAlignment w:val="baseline"/>
              <w:rPr>
                <w:szCs w:val="24"/>
                <w:lang w:eastAsia="et-EE"/>
              </w:rPr>
            </w:pPr>
            <w:r w:rsidRPr="001927D6">
              <w:rPr>
                <w:color w:val="000000"/>
                <w:szCs w:val="24"/>
              </w:rPr>
              <w:t>985,56</w:t>
            </w:r>
          </w:p>
        </w:tc>
        <w:tc>
          <w:tcPr>
            <w:tcW w:w="1211" w:type="dxa"/>
            <w:vAlign w:val="center"/>
          </w:tcPr>
          <w:p w14:paraId="5566F283" w14:textId="77777777" w:rsidR="00295BCD" w:rsidRPr="001927D6" w:rsidRDefault="00295BCD">
            <w:pPr>
              <w:spacing w:after="0" w:line="240" w:lineRule="auto"/>
              <w:jc w:val="center"/>
              <w:textAlignment w:val="baseline"/>
              <w:rPr>
                <w:szCs w:val="24"/>
                <w:lang w:eastAsia="et-EE"/>
              </w:rPr>
            </w:pPr>
            <w:r w:rsidRPr="001927D6">
              <w:rPr>
                <w:color w:val="000000"/>
                <w:szCs w:val="24"/>
              </w:rPr>
              <w:t>531,85</w:t>
            </w:r>
          </w:p>
        </w:tc>
        <w:tc>
          <w:tcPr>
            <w:tcW w:w="1238" w:type="dxa"/>
            <w:vAlign w:val="center"/>
          </w:tcPr>
          <w:p w14:paraId="69726CC5" w14:textId="77777777" w:rsidR="00295BCD" w:rsidRPr="001927D6" w:rsidRDefault="00295BCD">
            <w:pPr>
              <w:spacing w:after="0" w:line="240" w:lineRule="auto"/>
              <w:jc w:val="center"/>
              <w:textAlignment w:val="baseline"/>
              <w:rPr>
                <w:szCs w:val="24"/>
                <w:lang w:eastAsia="et-EE"/>
              </w:rPr>
            </w:pPr>
            <w:r w:rsidRPr="001927D6">
              <w:rPr>
                <w:color w:val="000000"/>
                <w:szCs w:val="24"/>
              </w:rPr>
              <w:t>1 416,98</w:t>
            </w:r>
          </w:p>
        </w:tc>
      </w:tr>
      <w:tr w:rsidR="00295BCD" w:rsidRPr="001927D6" w14:paraId="6E095B65" w14:textId="77777777" w:rsidTr="00295BCD">
        <w:trPr>
          <w:divId w:val="1316184749"/>
          <w:trHeight w:val="300"/>
        </w:trPr>
        <w:tc>
          <w:tcPr>
            <w:tcW w:w="4632" w:type="dxa"/>
            <w:vAlign w:val="bottom"/>
            <w:hideMark/>
          </w:tcPr>
          <w:p w14:paraId="2146BBBE" w14:textId="77777777" w:rsidR="00295BCD" w:rsidRPr="001927D6" w:rsidRDefault="00295BCD">
            <w:pPr>
              <w:spacing w:after="0" w:line="240" w:lineRule="auto"/>
              <w:textAlignment w:val="baseline"/>
              <w:rPr>
                <w:szCs w:val="24"/>
                <w:lang w:eastAsia="et-EE"/>
              </w:rPr>
            </w:pPr>
            <w:r w:rsidRPr="001927D6">
              <w:rPr>
                <w:szCs w:val="24"/>
                <w:lang w:eastAsia="et-EE"/>
              </w:rPr>
              <w:t>Karpaalkanali avamine, lühike ravi </w:t>
            </w:r>
          </w:p>
        </w:tc>
        <w:tc>
          <w:tcPr>
            <w:tcW w:w="732" w:type="dxa"/>
            <w:vAlign w:val="center"/>
            <w:hideMark/>
          </w:tcPr>
          <w:p w14:paraId="319D23E4" w14:textId="77777777" w:rsidR="00295BCD" w:rsidRPr="001927D6" w:rsidRDefault="00295BCD">
            <w:pPr>
              <w:spacing w:after="0" w:line="240" w:lineRule="auto"/>
              <w:jc w:val="center"/>
              <w:textAlignment w:val="baseline"/>
              <w:rPr>
                <w:szCs w:val="24"/>
                <w:lang w:eastAsia="et-EE"/>
              </w:rPr>
            </w:pPr>
            <w:r w:rsidRPr="001927D6">
              <w:rPr>
                <w:szCs w:val="24"/>
                <w:lang w:eastAsia="et-EE"/>
              </w:rPr>
              <w:t>006O </w:t>
            </w:r>
          </w:p>
        </w:tc>
        <w:tc>
          <w:tcPr>
            <w:tcW w:w="1243" w:type="dxa"/>
            <w:vAlign w:val="center"/>
          </w:tcPr>
          <w:p w14:paraId="7476C0AF" w14:textId="77777777" w:rsidR="00295BCD" w:rsidRPr="001927D6" w:rsidRDefault="00295BCD">
            <w:pPr>
              <w:spacing w:after="0" w:line="240" w:lineRule="auto"/>
              <w:jc w:val="center"/>
              <w:textAlignment w:val="baseline"/>
              <w:rPr>
                <w:szCs w:val="24"/>
                <w:lang w:eastAsia="et-EE"/>
              </w:rPr>
            </w:pPr>
            <w:r w:rsidRPr="001927D6">
              <w:rPr>
                <w:color w:val="000000"/>
                <w:szCs w:val="24"/>
              </w:rPr>
              <w:t>420,66</w:t>
            </w:r>
          </w:p>
        </w:tc>
        <w:tc>
          <w:tcPr>
            <w:tcW w:w="1211" w:type="dxa"/>
            <w:vAlign w:val="center"/>
          </w:tcPr>
          <w:p w14:paraId="0ACAF822" w14:textId="77777777" w:rsidR="00295BCD" w:rsidRPr="001927D6" w:rsidRDefault="00295BCD">
            <w:pPr>
              <w:spacing w:after="0" w:line="240" w:lineRule="auto"/>
              <w:jc w:val="center"/>
              <w:textAlignment w:val="baseline"/>
              <w:rPr>
                <w:szCs w:val="24"/>
                <w:lang w:eastAsia="et-EE"/>
              </w:rPr>
            </w:pPr>
            <w:r w:rsidRPr="001927D6">
              <w:rPr>
                <w:color w:val="000000"/>
                <w:szCs w:val="24"/>
              </w:rPr>
              <w:t>391,21</w:t>
            </w:r>
          </w:p>
        </w:tc>
        <w:tc>
          <w:tcPr>
            <w:tcW w:w="1238" w:type="dxa"/>
            <w:vAlign w:val="center"/>
          </w:tcPr>
          <w:p w14:paraId="279DDBE3" w14:textId="77777777" w:rsidR="00295BCD" w:rsidRPr="001927D6" w:rsidRDefault="00295BCD">
            <w:pPr>
              <w:spacing w:after="0" w:line="240" w:lineRule="auto"/>
              <w:jc w:val="center"/>
              <w:textAlignment w:val="baseline"/>
              <w:rPr>
                <w:szCs w:val="24"/>
                <w:lang w:eastAsia="et-EE"/>
              </w:rPr>
            </w:pPr>
            <w:r w:rsidRPr="001927D6">
              <w:rPr>
                <w:color w:val="000000"/>
                <w:szCs w:val="24"/>
              </w:rPr>
              <w:t>613,97</w:t>
            </w:r>
          </w:p>
        </w:tc>
      </w:tr>
      <w:tr w:rsidR="00295BCD" w:rsidRPr="001927D6" w14:paraId="26A1D785" w14:textId="77777777" w:rsidTr="00295BCD">
        <w:trPr>
          <w:divId w:val="1316184749"/>
          <w:trHeight w:val="300"/>
        </w:trPr>
        <w:tc>
          <w:tcPr>
            <w:tcW w:w="4632" w:type="dxa"/>
            <w:vAlign w:val="bottom"/>
            <w:hideMark/>
          </w:tcPr>
          <w:p w14:paraId="780419EA" w14:textId="77777777" w:rsidR="00295BCD" w:rsidRPr="001927D6" w:rsidRDefault="00295BCD">
            <w:pPr>
              <w:spacing w:after="0" w:line="240" w:lineRule="auto"/>
              <w:textAlignment w:val="baseline"/>
              <w:rPr>
                <w:szCs w:val="24"/>
                <w:lang w:eastAsia="et-EE"/>
              </w:rPr>
            </w:pPr>
            <w:r w:rsidRPr="001927D6">
              <w:rPr>
                <w:szCs w:val="24"/>
                <w:lang w:eastAsia="et-EE"/>
              </w:rPr>
              <w:t xml:space="preserve">Perifeersete või kraniaalnärvide või muu närvisüsteemi operatsioon kaasuvate haigustega (edaspidi </w:t>
            </w:r>
            <w:r w:rsidRPr="001927D6">
              <w:rPr>
                <w:i/>
                <w:iCs/>
                <w:szCs w:val="24"/>
                <w:lang w:eastAsia="et-EE"/>
              </w:rPr>
              <w:t>kht-ga</w:t>
            </w:r>
            <w:r w:rsidRPr="001927D6">
              <w:rPr>
                <w:szCs w:val="24"/>
                <w:lang w:eastAsia="et-EE"/>
              </w:rPr>
              <w:t>) </w:t>
            </w:r>
          </w:p>
        </w:tc>
        <w:tc>
          <w:tcPr>
            <w:tcW w:w="732" w:type="dxa"/>
            <w:vAlign w:val="center"/>
            <w:hideMark/>
          </w:tcPr>
          <w:p w14:paraId="50631952" w14:textId="77777777" w:rsidR="00295BCD" w:rsidRPr="001927D6" w:rsidRDefault="00295BCD">
            <w:pPr>
              <w:spacing w:after="0" w:line="240" w:lineRule="auto"/>
              <w:jc w:val="center"/>
              <w:textAlignment w:val="baseline"/>
              <w:rPr>
                <w:szCs w:val="24"/>
                <w:lang w:eastAsia="et-EE"/>
              </w:rPr>
            </w:pPr>
            <w:r w:rsidRPr="001927D6">
              <w:rPr>
                <w:szCs w:val="24"/>
                <w:lang w:eastAsia="et-EE"/>
              </w:rPr>
              <w:t>007 </w:t>
            </w:r>
          </w:p>
        </w:tc>
        <w:tc>
          <w:tcPr>
            <w:tcW w:w="1243" w:type="dxa"/>
            <w:vAlign w:val="center"/>
          </w:tcPr>
          <w:p w14:paraId="04CF4D9D" w14:textId="77777777" w:rsidR="00295BCD" w:rsidRPr="001927D6" w:rsidRDefault="00295BCD">
            <w:pPr>
              <w:spacing w:after="0" w:line="240" w:lineRule="auto"/>
              <w:jc w:val="center"/>
              <w:textAlignment w:val="baseline"/>
              <w:rPr>
                <w:szCs w:val="24"/>
                <w:lang w:eastAsia="et-EE"/>
              </w:rPr>
            </w:pPr>
            <w:r w:rsidRPr="001927D6">
              <w:rPr>
                <w:color w:val="000000"/>
                <w:szCs w:val="24"/>
              </w:rPr>
              <w:t>5 421,77</w:t>
            </w:r>
          </w:p>
        </w:tc>
        <w:tc>
          <w:tcPr>
            <w:tcW w:w="1211" w:type="dxa"/>
            <w:vAlign w:val="center"/>
          </w:tcPr>
          <w:p w14:paraId="1FE125F3" w14:textId="77777777" w:rsidR="00295BCD" w:rsidRPr="001927D6" w:rsidRDefault="00295BCD">
            <w:pPr>
              <w:spacing w:after="0" w:line="240" w:lineRule="auto"/>
              <w:jc w:val="center"/>
              <w:textAlignment w:val="baseline"/>
              <w:rPr>
                <w:szCs w:val="24"/>
                <w:lang w:eastAsia="et-EE"/>
              </w:rPr>
            </w:pPr>
            <w:r w:rsidRPr="001927D6">
              <w:rPr>
                <w:color w:val="000000"/>
                <w:szCs w:val="24"/>
              </w:rPr>
              <w:t>1 239,69</w:t>
            </w:r>
          </w:p>
        </w:tc>
        <w:tc>
          <w:tcPr>
            <w:tcW w:w="1238" w:type="dxa"/>
            <w:vAlign w:val="center"/>
          </w:tcPr>
          <w:p w14:paraId="1B79B1AC" w14:textId="77777777" w:rsidR="00295BCD" w:rsidRPr="001927D6" w:rsidRDefault="00295BCD">
            <w:pPr>
              <w:spacing w:after="0" w:line="240" w:lineRule="auto"/>
              <w:jc w:val="center"/>
              <w:textAlignment w:val="baseline"/>
              <w:rPr>
                <w:szCs w:val="24"/>
                <w:lang w:eastAsia="et-EE"/>
              </w:rPr>
            </w:pPr>
            <w:r w:rsidRPr="001927D6">
              <w:rPr>
                <w:color w:val="000000"/>
                <w:szCs w:val="24"/>
              </w:rPr>
              <w:t>14 714,36</w:t>
            </w:r>
          </w:p>
        </w:tc>
      </w:tr>
      <w:tr w:rsidR="00295BCD" w:rsidRPr="001927D6" w14:paraId="09FF3868" w14:textId="77777777" w:rsidTr="00295BCD">
        <w:trPr>
          <w:divId w:val="1316184749"/>
          <w:trHeight w:val="300"/>
        </w:trPr>
        <w:tc>
          <w:tcPr>
            <w:tcW w:w="4632" w:type="dxa"/>
            <w:vAlign w:val="bottom"/>
            <w:hideMark/>
          </w:tcPr>
          <w:p w14:paraId="29D5E076" w14:textId="77777777" w:rsidR="00295BCD" w:rsidRPr="001927D6" w:rsidRDefault="00295BCD">
            <w:pPr>
              <w:spacing w:after="0" w:line="240" w:lineRule="auto"/>
              <w:textAlignment w:val="baseline"/>
              <w:rPr>
                <w:szCs w:val="24"/>
                <w:lang w:eastAsia="et-EE"/>
              </w:rPr>
            </w:pPr>
            <w:r w:rsidRPr="001927D6">
              <w:rPr>
                <w:szCs w:val="24"/>
                <w:lang w:eastAsia="et-EE"/>
              </w:rPr>
              <w:t xml:space="preserve">Perifeersete või kraniaalnärvide operatsioon, kaasuvate haigusteta (edaspidi </w:t>
            </w:r>
            <w:r w:rsidRPr="001927D6">
              <w:rPr>
                <w:i/>
                <w:iCs/>
                <w:szCs w:val="24"/>
                <w:lang w:eastAsia="et-EE"/>
              </w:rPr>
              <w:t>kht-ta</w:t>
            </w:r>
            <w:r w:rsidRPr="001927D6">
              <w:rPr>
                <w:szCs w:val="24"/>
                <w:lang w:eastAsia="et-EE"/>
              </w:rPr>
              <w:t>) </w:t>
            </w:r>
          </w:p>
        </w:tc>
        <w:tc>
          <w:tcPr>
            <w:tcW w:w="732" w:type="dxa"/>
            <w:vAlign w:val="center"/>
            <w:hideMark/>
          </w:tcPr>
          <w:p w14:paraId="0D10CBDD" w14:textId="77777777" w:rsidR="00295BCD" w:rsidRPr="001927D6" w:rsidRDefault="00295BCD">
            <w:pPr>
              <w:spacing w:after="0" w:line="240" w:lineRule="auto"/>
              <w:jc w:val="center"/>
              <w:textAlignment w:val="baseline"/>
              <w:rPr>
                <w:szCs w:val="24"/>
                <w:lang w:eastAsia="et-EE"/>
              </w:rPr>
            </w:pPr>
            <w:r w:rsidRPr="001927D6">
              <w:rPr>
                <w:szCs w:val="24"/>
                <w:lang w:eastAsia="et-EE"/>
              </w:rPr>
              <w:t>008 </w:t>
            </w:r>
          </w:p>
        </w:tc>
        <w:tc>
          <w:tcPr>
            <w:tcW w:w="1243" w:type="dxa"/>
            <w:vAlign w:val="center"/>
          </w:tcPr>
          <w:p w14:paraId="58698B37" w14:textId="77777777" w:rsidR="00295BCD" w:rsidRPr="001927D6" w:rsidRDefault="00295BCD">
            <w:pPr>
              <w:spacing w:after="0" w:line="240" w:lineRule="auto"/>
              <w:jc w:val="center"/>
              <w:textAlignment w:val="baseline"/>
              <w:rPr>
                <w:szCs w:val="24"/>
                <w:lang w:eastAsia="et-EE"/>
              </w:rPr>
            </w:pPr>
            <w:r w:rsidRPr="001927D6">
              <w:rPr>
                <w:color w:val="000000"/>
                <w:szCs w:val="24"/>
              </w:rPr>
              <w:t>1 671,08</w:t>
            </w:r>
          </w:p>
        </w:tc>
        <w:tc>
          <w:tcPr>
            <w:tcW w:w="1211" w:type="dxa"/>
            <w:vAlign w:val="center"/>
          </w:tcPr>
          <w:p w14:paraId="640EA414" w14:textId="77777777" w:rsidR="00295BCD" w:rsidRPr="001927D6" w:rsidRDefault="00295BCD">
            <w:pPr>
              <w:spacing w:after="0" w:line="240" w:lineRule="auto"/>
              <w:jc w:val="center"/>
              <w:textAlignment w:val="baseline"/>
              <w:rPr>
                <w:szCs w:val="24"/>
                <w:lang w:eastAsia="et-EE"/>
              </w:rPr>
            </w:pPr>
            <w:r w:rsidRPr="001927D6">
              <w:rPr>
                <w:color w:val="000000"/>
                <w:szCs w:val="24"/>
              </w:rPr>
              <w:t>1 239,08</w:t>
            </w:r>
          </w:p>
        </w:tc>
        <w:tc>
          <w:tcPr>
            <w:tcW w:w="1238" w:type="dxa"/>
            <w:vAlign w:val="center"/>
          </w:tcPr>
          <w:p w14:paraId="20B99113" w14:textId="77777777" w:rsidR="00295BCD" w:rsidRPr="001927D6" w:rsidRDefault="00295BCD">
            <w:pPr>
              <w:spacing w:after="0" w:line="240" w:lineRule="auto"/>
              <w:jc w:val="center"/>
              <w:textAlignment w:val="baseline"/>
              <w:rPr>
                <w:szCs w:val="24"/>
                <w:lang w:eastAsia="et-EE"/>
              </w:rPr>
            </w:pPr>
            <w:r w:rsidRPr="001927D6">
              <w:rPr>
                <w:color w:val="000000"/>
                <w:szCs w:val="24"/>
              </w:rPr>
              <w:t>2 529,54</w:t>
            </w:r>
          </w:p>
        </w:tc>
      </w:tr>
      <w:tr w:rsidR="00295BCD" w:rsidRPr="001927D6" w14:paraId="5FB5B0B5" w14:textId="77777777" w:rsidTr="00295BCD">
        <w:trPr>
          <w:divId w:val="1316184749"/>
          <w:trHeight w:val="300"/>
        </w:trPr>
        <w:tc>
          <w:tcPr>
            <w:tcW w:w="4632" w:type="dxa"/>
            <w:vAlign w:val="bottom"/>
            <w:hideMark/>
          </w:tcPr>
          <w:p w14:paraId="1F23B198" w14:textId="77777777" w:rsidR="00295BCD" w:rsidRPr="001927D6" w:rsidRDefault="00295BCD">
            <w:pPr>
              <w:spacing w:after="0" w:line="240" w:lineRule="auto"/>
              <w:textAlignment w:val="baseline"/>
              <w:rPr>
                <w:szCs w:val="24"/>
                <w:lang w:eastAsia="et-EE"/>
              </w:rPr>
            </w:pPr>
            <w:r w:rsidRPr="001927D6">
              <w:rPr>
                <w:szCs w:val="24"/>
                <w:lang w:eastAsia="et-EE"/>
              </w:rPr>
              <w:t>Perifeersete või kraniaalnärvide operatsioon, lühike ravi </w:t>
            </w:r>
          </w:p>
        </w:tc>
        <w:tc>
          <w:tcPr>
            <w:tcW w:w="732" w:type="dxa"/>
            <w:vAlign w:val="center"/>
            <w:hideMark/>
          </w:tcPr>
          <w:p w14:paraId="3760D675" w14:textId="77777777" w:rsidR="00295BCD" w:rsidRPr="001927D6" w:rsidRDefault="00295BCD">
            <w:pPr>
              <w:spacing w:after="0" w:line="240" w:lineRule="auto"/>
              <w:jc w:val="center"/>
              <w:textAlignment w:val="baseline"/>
              <w:rPr>
                <w:szCs w:val="24"/>
                <w:lang w:eastAsia="et-EE"/>
              </w:rPr>
            </w:pPr>
            <w:r w:rsidRPr="001927D6">
              <w:rPr>
                <w:szCs w:val="24"/>
                <w:lang w:eastAsia="et-EE"/>
              </w:rPr>
              <w:t>008O </w:t>
            </w:r>
          </w:p>
        </w:tc>
        <w:tc>
          <w:tcPr>
            <w:tcW w:w="1243" w:type="dxa"/>
            <w:vAlign w:val="center"/>
          </w:tcPr>
          <w:p w14:paraId="19100FDD" w14:textId="77777777" w:rsidR="00295BCD" w:rsidRPr="001927D6" w:rsidRDefault="00295BCD">
            <w:pPr>
              <w:spacing w:after="0" w:line="240" w:lineRule="auto"/>
              <w:jc w:val="center"/>
              <w:textAlignment w:val="baseline"/>
              <w:rPr>
                <w:szCs w:val="24"/>
                <w:lang w:eastAsia="et-EE"/>
              </w:rPr>
            </w:pPr>
            <w:r w:rsidRPr="001927D6">
              <w:rPr>
                <w:color w:val="000000"/>
                <w:szCs w:val="24"/>
              </w:rPr>
              <w:t>876,16</w:t>
            </w:r>
          </w:p>
        </w:tc>
        <w:tc>
          <w:tcPr>
            <w:tcW w:w="1211" w:type="dxa"/>
            <w:vAlign w:val="center"/>
          </w:tcPr>
          <w:p w14:paraId="183D3E18" w14:textId="77777777" w:rsidR="00295BCD" w:rsidRPr="001927D6" w:rsidRDefault="00295BCD">
            <w:pPr>
              <w:spacing w:after="0" w:line="240" w:lineRule="auto"/>
              <w:jc w:val="center"/>
              <w:textAlignment w:val="baseline"/>
              <w:rPr>
                <w:szCs w:val="24"/>
                <w:lang w:eastAsia="et-EE"/>
              </w:rPr>
            </w:pPr>
            <w:r w:rsidRPr="001927D6">
              <w:rPr>
                <w:color w:val="000000"/>
                <w:szCs w:val="24"/>
              </w:rPr>
              <w:t>664,41</w:t>
            </w:r>
          </w:p>
        </w:tc>
        <w:tc>
          <w:tcPr>
            <w:tcW w:w="1238" w:type="dxa"/>
            <w:vAlign w:val="center"/>
          </w:tcPr>
          <w:p w14:paraId="0083EA07" w14:textId="77777777" w:rsidR="00295BCD" w:rsidRPr="001927D6" w:rsidRDefault="00295BCD">
            <w:pPr>
              <w:spacing w:after="0" w:line="240" w:lineRule="auto"/>
              <w:jc w:val="center"/>
              <w:textAlignment w:val="baseline"/>
              <w:rPr>
                <w:szCs w:val="24"/>
                <w:lang w:eastAsia="et-EE"/>
              </w:rPr>
            </w:pPr>
            <w:r w:rsidRPr="001927D6">
              <w:rPr>
                <w:color w:val="000000"/>
                <w:szCs w:val="24"/>
              </w:rPr>
              <w:t>1 267,78</w:t>
            </w:r>
          </w:p>
        </w:tc>
      </w:tr>
      <w:tr w:rsidR="00295BCD" w:rsidRPr="001927D6" w14:paraId="61375E82" w14:textId="77777777" w:rsidTr="00295BCD">
        <w:trPr>
          <w:divId w:val="1316184749"/>
          <w:trHeight w:val="300"/>
        </w:trPr>
        <w:tc>
          <w:tcPr>
            <w:tcW w:w="4632" w:type="dxa"/>
            <w:vAlign w:val="bottom"/>
            <w:hideMark/>
          </w:tcPr>
          <w:p w14:paraId="5849095D" w14:textId="77777777" w:rsidR="00295BCD" w:rsidRPr="001927D6" w:rsidRDefault="00295BCD">
            <w:pPr>
              <w:spacing w:after="0" w:line="240" w:lineRule="auto"/>
              <w:textAlignment w:val="baseline"/>
              <w:rPr>
                <w:szCs w:val="24"/>
                <w:lang w:eastAsia="et-EE"/>
              </w:rPr>
            </w:pPr>
            <w:r w:rsidRPr="001927D6">
              <w:rPr>
                <w:szCs w:val="24"/>
                <w:lang w:eastAsia="et-EE"/>
              </w:rPr>
              <w:t>Lülisamba ja seljaaju haigused ning vigastused </w:t>
            </w:r>
          </w:p>
        </w:tc>
        <w:tc>
          <w:tcPr>
            <w:tcW w:w="732" w:type="dxa"/>
            <w:vAlign w:val="center"/>
            <w:hideMark/>
          </w:tcPr>
          <w:p w14:paraId="04F91286" w14:textId="77777777" w:rsidR="00295BCD" w:rsidRPr="001927D6" w:rsidRDefault="00295BCD">
            <w:pPr>
              <w:spacing w:after="0" w:line="240" w:lineRule="auto"/>
              <w:jc w:val="center"/>
              <w:textAlignment w:val="baseline"/>
              <w:rPr>
                <w:szCs w:val="24"/>
                <w:lang w:eastAsia="et-EE"/>
              </w:rPr>
            </w:pPr>
            <w:r w:rsidRPr="001927D6">
              <w:rPr>
                <w:szCs w:val="24"/>
                <w:lang w:eastAsia="et-EE"/>
              </w:rPr>
              <w:t>009 </w:t>
            </w:r>
          </w:p>
        </w:tc>
        <w:tc>
          <w:tcPr>
            <w:tcW w:w="1243" w:type="dxa"/>
            <w:vAlign w:val="center"/>
          </w:tcPr>
          <w:p w14:paraId="62485B12" w14:textId="77777777" w:rsidR="00295BCD" w:rsidRPr="001927D6" w:rsidRDefault="00295BCD">
            <w:pPr>
              <w:spacing w:after="0" w:line="240" w:lineRule="auto"/>
              <w:jc w:val="center"/>
              <w:textAlignment w:val="baseline"/>
              <w:rPr>
                <w:szCs w:val="24"/>
                <w:lang w:eastAsia="et-EE"/>
              </w:rPr>
            </w:pPr>
            <w:r w:rsidRPr="001927D6">
              <w:rPr>
                <w:color w:val="000000"/>
                <w:szCs w:val="24"/>
              </w:rPr>
              <w:t>1 982,55</w:t>
            </w:r>
          </w:p>
        </w:tc>
        <w:tc>
          <w:tcPr>
            <w:tcW w:w="1211" w:type="dxa"/>
            <w:vAlign w:val="center"/>
          </w:tcPr>
          <w:p w14:paraId="0CDAAAD1" w14:textId="77777777" w:rsidR="00295BCD" w:rsidRPr="001927D6" w:rsidRDefault="00295BCD">
            <w:pPr>
              <w:spacing w:after="0" w:line="240" w:lineRule="auto"/>
              <w:jc w:val="center"/>
              <w:textAlignment w:val="baseline"/>
              <w:rPr>
                <w:szCs w:val="24"/>
                <w:lang w:eastAsia="et-EE"/>
              </w:rPr>
            </w:pPr>
            <w:r w:rsidRPr="001927D6">
              <w:rPr>
                <w:color w:val="000000"/>
                <w:szCs w:val="24"/>
              </w:rPr>
              <w:t>661,53</w:t>
            </w:r>
          </w:p>
        </w:tc>
        <w:tc>
          <w:tcPr>
            <w:tcW w:w="1238" w:type="dxa"/>
            <w:vAlign w:val="center"/>
          </w:tcPr>
          <w:p w14:paraId="3BD7CF45" w14:textId="77777777" w:rsidR="00295BCD" w:rsidRPr="001927D6" w:rsidRDefault="00295BCD">
            <w:pPr>
              <w:spacing w:after="0" w:line="240" w:lineRule="auto"/>
              <w:jc w:val="center"/>
              <w:textAlignment w:val="baseline"/>
              <w:rPr>
                <w:szCs w:val="24"/>
                <w:lang w:eastAsia="et-EE"/>
              </w:rPr>
            </w:pPr>
            <w:r w:rsidRPr="001927D6">
              <w:rPr>
                <w:color w:val="000000"/>
                <w:szCs w:val="24"/>
              </w:rPr>
              <w:t>3 669,14</w:t>
            </w:r>
          </w:p>
        </w:tc>
      </w:tr>
      <w:tr w:rsidR="00295BCD" w:rsidRPr="001927D6" w14:paraId="551A3EC8" w14:textId="77777777" w:rsidTr="00295BCD">
        <w:trPr>
          <w:divId w:val="1316184749"/>
          <w:trHeight w:val="300"/>
        </w:trPr>
        <w:tc>
          <w:tcPr>
            <w:tcW w:w="4632" w:type="dxa"/>
            <w:vAlign w:val="bottom"/>
            <w:hideMark/>
          </w:tcPr>
          <w:p w14:paraId="24319644" w14:textId="77777777" w:rsidR="00295BCD" w:rsidRPr="001927D6" w:rsidRDefault="00295BCD">
            <w:pPr>
              <w:spacing w:after="0" w:line="240" w:lineRule="auto"/>
              <w:textAlignment w:val="baseline"/>
              <w:rPr>
                <w:szCs w:val="24"/>
                <w:lang w:eastAsia="et-EE"/>
              </w:rPr>
            </w:pPr>
            <w:r w:rsidRPr="001927D6">
              <w:rPr>
                <w:szCs w:val="24"/>
                <w:lang w:eastAsia="et-EE"/>
              </w:rPr>
              <w:t>Närvisüsteemi kasvajad, kht-ga </w:t>
            </w:r>
          </w:p>
        </w:tc>
        <w:tc>
          <w:tcPr>
            <w:tcW w:w="732" w:type="dxa"/>
            <w:vAlign w:val="center"/>
            <w:hideMark/>
          </w:tcPr>
          <w:p w14:paraId="1D5E7DE8" w14:textId="77777777" w:rsidR="00295BCD" w:rsidRPr="001927D6" w:rsidRDefault="00295BCD">
            <w:pPr>
              <w:spacing w:after="0" w:line="240" w:lineRule="auto"/>
              <w:jc w:val="center"/>
              <w:textAlignment w:val="baseline"/>
              <w:rPr>
                <w:szCs w:val="24"/>
                <w:lang w:eastAsia="et-EE"/>
              </w:rPr>
            </w:pPr>
            <w:r w:rsidRPr="001927D6">
              <w:rPr>
                <w:szCs w:val="24"/>
                <w:lang w:eastAsia="et-EE"/>
              </w:rPr>
              <w:t>010 </w:t>
            </w:r>
          </w:p>
        </w:tc>
        <w:tc>
          <w:tcPr>
            <w:tcW w:w="1243" w:type="dxa"/>
            <w:vAlign w:val="center"/>
          </w:tcPr>
          <w:p w14:paraId="4D10E088" w14:textId="77777777" w:rsidR="00295BCD" w:rsidRPr="001927D6" w:rsidRDefault="00295BCD">
            <w:pPr>
              <w:spacing w:after="0" w:line="240" w:lineRule="auto"/>
              <w:jc w:val="center"/>
              <w:textAlignment w:val="baseline"/>
              <w:rPr>
                <w:szCs w:val="24"/>
                <w:lang w:eastAsia="et-EE"/>
              </w:rPr>
            </w:pPr>
            <w:r w:rsidRPr="001927D6">
              <w:rPr>
                <w:color w:val="000000"/>
                <w:szCs w:val="24"/>
              </w:rPr>
              <w:t>2 402,50</w:t>
            </w:r>
          </w:p>
        </w:tc>
        <w:tc>
          <w:tcPr>
            <w:tcW w:w="1211" w:type="dxa"/>
            <w:vAlign w:val="center"/>
          </w:tcPr>
          <w:p w14:paraId="1B82A48A" w14:textId="77777777" w:rsidR="00295BCD" w:rsidRPr="001927D6" w:rsidRDefault="00295BCD">
            <w:pPr>
              <w:spacing w:after="0" w:line="240" w:lineRule="auto"/>
              <w:jc w:val="center"/>
              <w:textAlignment w:val="baseline"/>
              <w:rPr>
                <w:szCs w:val="24"/>
                <w:lang w:eastAsia="et-EE"/>
              </w:rPr>
            </w:pPr>
            <w:r w:rsidRPr="001927D6">
              <w:rPr>
                <w:color w:val="000000"/>
                <w:szCs w:val="24"/>
              </w:rPr>
              <w:t>515,91</w:t>
            </w:r>
          </w:p>
        </w:tc>
        <w:tc>
          <w:tcPr>
            <w:tcW w:w="1238" w:type="dxa"/>
            <w:vAlign w:val="center"/>
          </w:tcPr>
          <w:p w14:paraId="7DEF0185" w14:textId="77777777" w:rsidR="00295BCD" w:rsidRPr="001927D6" w:rsidRDefault="00295BCD">
            <w:pPr>
              <w:spacing w:after="0" w:line="240" w:lineRule="auto"/>
              <w:jc w:val="center"/>
              <w:textAlignment w:val="baseline"/>
              <w:rPr>
                <w:szCs w:val="24"/>
                <w:lang w:eastAsia="et-EE"/>
              </w:rPr>
            </w:pPr>
            <w:r w:rsidRPr="001927D6">
              <w:rPr>
                <w:color w:val="000000"/>
                <w:szCs w:val="24"/>
              </w:rPr>
              <w:t>4 400,59</w:t>
            </w:r>
          </w:p>
        </w:tc>
      </w:tr>
      <w:tr w:rsidR="00295BCD" w:rsidRPr="001927D6" w14:paraId="1D7820F6" w14:textId="77777777" w:rsidTr="00295BCD">
        <w:trPr>
          <w:divId w:val="1316184749"/>
          <w:trHeight w:val="300"/>
        </w:trPr>
        <w:tc>
          <w:tcPr>
            <w:tcW w:w="4632" w:type="dxa"/>
            <w:vAlign w:val="bottom"/>
            <w:hideMark/>
          </w:tcPr>
          <w:p w14:paraId="6AE7550C" w14:textId="77777777" w:rsidR="00295BCD" w:rsidRPr="001927D6" w:rsidRDefault="00295BCD">
            <w:pPr>
              <w:spacing w:after="0" w:line="240" w:lineRule="auto"/>
              <w:textAlignment w:val="baseline"/>
              <w:rPr>
                <w:szCs w:val="24"/>
                <w:lang w:eastAsia="et-EE"/>
              </w:rPr>
            </w:pPr>
            <w:r w:rsidRPr="001927D6">
              <w:rPr>
                <w:szCs w:val="24"/>
                <w:lang w:eastAsia="et-EE"/>
              </w:rPr>
              <w:t>Närvisüsteemi kasvajad, kht-ta </w:t>
            </w:r>
          </w:p>
        </w:tc>
        <w:tc>
          <w:tcPr>
            <w:tcW w:w="732" w:type="dxa"/>
            <w:vAlign w:val="center"/>
            <w:hideMark/>
          </w:tcPr>
          <w:p w14:paraId="47B697C2" w14:textId="77777777" w:rsidR="00295BCD" w:rsidRPr="001927D6" w:rsidRDefault="00295BCD">
            <w:pPr>
              <w:spacing w:after="0" w:line="240" w:lineRule="auto"/>
              <w:jc w:val="center"/>
              <w:textAlignment w:val="baseline"/>
              <w:rPr>
                <w:szCs w:val="24"/>
                <w:lang w:eastAsia="et-EE"/>
              </w:rPr>
            </w:pPr>
            <w:r w:rsidRPr="001927D6">
              <w:rPr>
                <w:szCs w:val="24"/>
                <w:lang w:eastAsia="et-EE"/>
              </w:rPr>
              <w:t>011 </w:t>
            </w:r>
          </w:p>
        </w:tc>
        <w:tc>
          <w:tcPr>
            <w:tcW w:w="1243" w:type="dxa"/>
            <w:vAlign w:val="center"/>
          </w:tcPr>
          <w:p w14:paraId="42E8C49E" w14:textId="77777777" w:rsidR="00295BCD" w:rsidRPr="001927D6" w:rsidRDefault="00295BCD">
            <w:pPr>
              <w:spacing w:after="0" w:line="240" w:lineRule="auto"/>
              <w:jc w:val="center"/>
              <w:textAlignment w:val="baseline"/>
              <w:rPr>
                <w:szCs w:val="24"/>
                <w:lang w:eastAsia="et-EE"/>
              </w:rPr>
            </w:pPr>
            <w:r w:rsidRPr="001927D6">
              <w:rPr>
                <w:color w:val="000000"/>
                <w:szCs w:val="24"/>
              </w:rPr>
              <w:t>1 688,33</w:t>
            </w:r>
          </w:p>
        </w:tc>
        <w:tc>
          <w:tcPr>
            <w:tcW w:w="1211" w:type="dxa"/>
            <w:vAlign w:val="center"/>
          </w:tcPr>
          <w:p w14:paraId="76CBC4C0" w14:textId="77777777" w:rsidR="00295BCD" w:rsidRPr="001927D6" w:rsidRDefault="00295BCD">
            <w:pPr>
              <w:spacing w:after="0" w:line="240" w:lineRule="auto"/>
              <w:jc w:val="center"/>
              <w:textAlignment w:val="baseline"/>
              <w:rPr>
                <w:szCs w:val="24"/>
                <w:lang w:eastAsia="et-EE"/>
              </w:rPr>
            </w:pPr>
            <w:r w:rsidRPr="001927D6">
              <w:rPr>
                <w:color w:val="000000"/>
                <w:szCs w:val="24"/>
              </w:rPr>
              <w:t>449,14</w:t>
            </w:r>
          </w:p>
        </w:tc>
        <w:tc>
          <w:tcPr>
            <w:tcW w:w="1238" w:type="dxa"/>
            <w:vAlign w:val="center"/>
          </w:tcPr>
          <w:p w14:paraId="0247F469" w14:textId="77777777" w:rsidR="00295BCD" w:rsidRPr="001927D6" w:rsidRDefault="00295BCD">
            <w:pPr>
              <w:spacing w:after="0" w:line="240" w:lineRule="auto"/>
              <w:jc w:val="center"/>
              <w:textAlignment w:val="baseline"/>
              <w:rPr>
                <w:szCs w:val="24"/>
                <w:lang w:eastAsia="et-EE"/>
              </w:rPr>
            </w:pPr>
            <w:r w:rsidRPr="001927D6">
              <w:rPr>
                <w:color w:val="000000"/>
                <w:szCs w:val="24"/>
              </w:rPr>
              <w:t>3 855,31</w:t>
            </w:r>
          </w:p>
        </w:tc>
      </w:tr>
      <w:tr w:rsidR="00295BCD" w:rsidRPr="001927D6" w14:paraId="0969048D" w14:textId="77777777" w:rsidTr="00295BCD">
        <w:trPr>
          <w:divId w:val="1316184749"/>
          <w:trHeight w:val="300"/>
        </w:trPr>
        <w:tc>
          <w:tcPr>
            <w:tcW w:w="4632" w:type="dxa"/>
            <w:vAlign w:val="bottom"/>
            <w:hideMark/>
          </w:tcPr>
          <w:p w14:paraId="2495356B" w14:textId="77777777" w:rsidR="00295BCD" w:rsidRPr="001927D6" w:rsidRDefault="00295BCD">
            <w:pPr>
              <w:spacing w:after="0" w:line="240" w:lineRule="auto"/>
              <w:textAlignment w:val="baseline"/>
              <w:rPr>
                <w:szCs w:val="24"/>
                <w:lang w:eastAsia="et-EE"/>
              </w:rPr>
            </w:pPr>
            <w:r w:rsidRPr="001927D6">
              <w:rPr>
                <w:szCs w:val="24"/>
                <w:lang w:eastAsia="et-EE"/>
              </w:rPr>
              <w:t>Närvisüsteemi degeneratiivsed haigused </w:t>
            </w:r>
          </w:p>
        </w:tc>
        <w:tc>
          <w:tcPr>
            <w:tcW w:w="732" w:type="dxa"/>
            <w:vAlign w:val="center"/>
            <w:hideMark/>
          </w:tcPr>
          <w:p w14:paraId="0B2F0F42" w14:textId="77777777" w:rsidR="00295BCD" w:rsidRPr="001927D6" w:rsidRDefault="00295BCD">
            <w:pPr>
              <w:spacing w:after="0" w:line="240" w:lineRule="auto"/>
              <w:jc w:val="center"/>
              <w:textAlignment w:val="baseline"/>
              <w:rPr>
                <w:szCs w:val="24"/>
                <w:lang w:eastAsia="et-EE"/>
              </w:rPr>
            </w:pPr>
            <w:r w:rsidRPr="001927D6">
              <w:rPr>
                <w:szCs w:val="24"/>
                <w:lang w:eastAsia="et-EE"/>
              </w:rPr>
              <w:t>012 </w:t>
            </w:r>
          </w:p>
        </w:tc>
        <w:tc>
          <w:tcPr>
            <w:tcW w:w="1243" w:type="dxa"/>
            <w:vAlign w:val="center"/>
          </w:tcPr>
          <w:p w14:paraId="27691219" w14:textId="77777777" w:rsidR="00295BCD" w:rsidRPr="001927D6" w:rsidRDefault="00295BCD">
            <w:pPr>
              <w:spacing w:after="0" w:line="240" w:lineRule="auto"/>
              <w:jc w:val="center"/>
              <w:textAlignment w:val="baseline"/>
              <w:rPr>
                <w:szCs w:val="24"/>
                <w:lang w:eastAsia="et-EE"/>
              </w:rPr>
            </w:pPr>
            <w:r w:rsidRPr="001927D6">
              <w:rPr>
                <w:color w:val="000000"/>
                <w:szCs w:val="24"/>
              </w:rPr>
              <w:t>2 031,45</w:t>
            </w:r>
          </w:p>
        </w:tc>
        <w:tc>
          <w:tcPr>
            <w:tcW w:w="1211" w:type="dxa"/>
            <w:vAlign w:val="center"/>
          </w:tcPr>
          <w:p w14:paraId="04E808A0" w14:textId="77777777" w:rsidR="00295BCD" w:rsidRPr="001927D6" w:rsidRDefault="00295BCD">
            <w:pPr>
              <w:spacing w:after="0" w:line="240" w:lineRule="auto"/>
              <w:jc w:val="center"/>
              <w:textAlignment w:val="baseline"/>
              <w:rPr>
                <w:szCs w:val="24"/>
                <w:lang w:eastAsia="et-EE"/>
              </w:rPr>
            </w:pPr>
            <w:r w:rsidRPr="001927D6">
              <w:rPr>
                <w:color w:val="000000"/>
                <w:szCs w:val="24"/>
              </w:rPr>
              <w:t>422,01</w:t>
            </w:r>
          </w:p>
        </w:tc>
        <w:tc>
          <w:tcPr>
            <w:tcW w:w="1238" w:type="dxa"/>
            <w:vAlign w:val="center"/>
          </w:tcPr>
          <w:p w14:paraId="549F96CC" w14:textId="77777777" w:rsidR="00295BCD" w:rsidRPr="001927D6" w:rsidRDefault="00295BCD">
            <w:pPr>
              <w:spacing w:after="0" w:line="240" w:lineRule="auto"/>
              <w:jc w:val="center"/>
              <w:textAlignment w:val="baseline"/>
              <w:rPr>
                <w:szCs w:val="24"/>
                <w:lang w:eastAsia="et-EE"/>
              </w:rPr>
            </w:pPr>
            <w:r w:rsidRPr="001927D6">
              <w:rPr>
                <w:color w:val="000000"/>
                <w:szCs w:val="24"/>
              </w:rPr>
              <w:t>5 730,09</w:t>
            </w:r>
          </w:p>
        </w:tc>
      </w:tr>
      <w:tr w:rsidR="00295BCD" w:rsidRPr="001927D6" w14:paraId="322CC7CF" w14:textId="77777777" w:rsidTr="00295BCD">
        <w:trPr>
          <w:divId w:val="1316184749"/>
          <w:trHeight w:val="300"/>
        </w:trPr>
        <w:tc>
          <w:tcPr>
            <w:tcW w:w="4632" w:type="dxa"/>
            <w:vAlign w:val="bottom"/>
            <w:hideMark/>
          </w:tcPr>
          <w:p w14:paraId="1CE0530A" w14:textId="77777777" w:rsidR="00295BCD" w:rsidRPr="001927D6" w:rsidRDefault="00295BCD">
            <w:pPr>
              <w:spacing w:after="0" w:line="240" w:lineRule="auto"/>
              <w:textAlignment w:val="baseline"/>
              <w:rPr>
                <w:szCs w:val="24"/>
                <w:lang w:eastAsia="et-EE"/>
              </w:rPr>
            </w:pPr>
            <w:r w:rsidRPr="001927D6">
              <w:rPr>
                <w:szCs w:val="24"/>
                <w:lang w:eastAsia="et-EE"/>
              </w:rPr>
              <w:t>Polüskleroos ja tserebellaarne ataksia </w:t>
            </w:r>
          </w:p>
        </w:tc>
        <w:tc>
          <w:tcPr>
            <w:tcW w:w="732" w:type="dxa"/>
            <w:vAlign w:val="center"/>
            <w:hideMark/>
          </w:tcPr>
          <w:p w14:paraId="64DE7ADA" w14:textId="77777777" w:rsidR="00295BCD" w:rsidRPr="001927D6" w:rsidRDefault="00295BCD">
            <w:pPr>
              <w:spacing w:after="0" w:line="240" w:lineRule="auto"/>
              <w:jc w:val="center"/>
              <w:textAlignment w:val="baseline"/>
              <w:rPr>
                <w:szCs w:val="24"/>
                <w:lang w:eastAsia="et-EE"/>
              </w:rPr>
            </w:pPr>
            <w:r w:rsidRPr="001927D6">
              <w:rPr>
                <w:szCs w:val="24"/>
                <w:lang w:eastAsia="et-EE"/>
              </w:rPr>
              <w:t>013 </w:t>
            </w:r>
          </w:p>
        </w:tc>
        <w:tc>
          <w:tcPr>
            <w:tcW w:w="1243" w:type="dxa"/>
            <w:vAlign w:val="center"/>
          </w:tcPr>
          <w:p w14:paraId="461BDD54" w14:textId="77777777" w:rsidR="00295BCD" w:rsidRPr="001927D6" w:rsidRDefault="00295BCD">
            <w:pPr>
              <w:spacing w:after="0" w:line="240" w:lineRule="auto"/>
              <w:jc w:val="center"/>
              <w:textAlignment w:val="baseline"/>
              <w:rPr>
                <w:szCs w:val="24"/>
                <w:lang w:eastAsia="et-EE"/>
              </w:rPr>
            </w:pPr>
            <w:r w:rsidRPr="001927D6">
              <w:rPr>
                <w:color w:val="000000"/>
                <w:szCs w:val="24"/>
              </w:rPr>
              <w:t>2 094,73</w:t>
            </w:r>
          </w:p>
        </w:tc>
        <w:tc>
          <w:tcPr>
            <w:tcW w:w="1211" w:type="dxa"/>
            <w:vAlign w:val="center"/>
          </w:tcPr>
          <w:p w14:paraId="3606BB14" w14:textId="77777777" w:rsidR="00295BCD" w:rsidRPr="001927D6" w:rsidRDefault="00295BCD">
            <w:pPr>
              <w:spacing w:after="0" w:line="240" w:lineRule="auto"/>
              <w:jc w:val="center"/>
              <w:textAlignment w:val="baseline"/>
              <w:rPr>
                <w:szCs w:val="24"/>
                <w:lang w:eastAsia="et-EE"/>
              </w:rPr>
            </w:pPr>
            <w:r w:rsidRPr="001927D6">
              <w:rPr>
                <w:color w:val="000000"/>
                <w:szCs w:val="24"/>
              </w:rPr>
              <w:t>615,59</w:t>
            </w:r>
          </w:p>
        </w:tc>
        <w:tc>
          <w:tcPr>
            <w:tcW w:w="1238" w:type="dxa"/>
            <w:vAlign w:val="center"/>
          </w:tcPr>
          <w:p w14:paraId="3B43C6C2" w14:textId="77777777" w:rsidR="00295BCD" w:rsidRPr="001927D6" w:rsidRDefault="00295BCD">
            <w:pPr>
              <w:spacing w:after="0" w:line="240" w:lineRule="auto"/>
              <w:jc w:val="center"/>
              <w:textAlignment w:val="baseline"/>
              <w:rPr>
                <w:szCs w:val="24"/>
                <w:lang w:eastAsia="et-EE"/>
              </w:rPr>
            </w:pPr>
            <w:r w:rsidRPr="001927D6">
              <w:rPr>
                <w:color w:val="000000"/>
                <w:szCs w:val="24"/>
              </w:rPr>
              <w:t>4 662,09</w:t>
            </w:r>
          </w:p>
        </w:tc>
      </w:tr>
      <w:tr w:rsidR="00295BCD" w:rsidRPr="001927D6" w14:paraId="413E6469" w14:textId="77777777" w:rsidTr="00295BCD">
        <w:trPr>
          <w:divId w:val="1316184749"/>
          <w:trHeight w:val="300"/>
        </w:trPr>
        <w:tc>
          <w:tcPr>
            <w:tcW w:w="4632" w:type="dxa"/>
            <w:vAlign w:val="bottom"/>
            <w:hideMark/>
          </w:tcPr>
          <w:p w14:paraId="7AFA270A"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Spetsiifilised peaajuveresoonte haigused, v.a transitoorse isheemia atakk, trombolüüsita, kht-ga </w:t>
            </w:r>
          </w:p>
        </w:tc>
        <w:tc>
          <w:tcPr>
            <w:tcW w:w="732" w:type="dxa"/>
            <w:vAlign w:val="center"/>
            <w:hideMark/>
          </w:tcPr>
          <w:p w14:paraId="69B8987A" w14:textId="77777777" w:rsidR="00295BCD" w:rsidRPr="001927D6" w:rsidRDefault="00295BCD">
            <w:pPr>
              <w:spacing w:after="0" w:line="240" w:lineRule="auto"/>
              <w:jc w:val="center"/>
              <w:textAlignment w:val="baseline"/>
              <w:rPr>
                <w:szCs w:val="24"/>
                <w:lang w:eastAsia="et-EE"/>
              </w:rPr>
            </w:pPr>
            <w:r w:rsidRPr="001927D6">
              <w:rPr>
                <w:szCs w:val="24"/>
                <w:lang w:eastAsia="et-EE"/>
              </w:rPr>
              <w:t>014A </w:t>
            </w:r>
          </w:p>
        </w:tc>
        <w:tc>
          <w:tcPr>
            <w:tcW w:w="1243" w:type="dxa"/>
            <w:vAlign w:val="center"/>
          </w:tcPr>
          <w:p w14:paraId="69BE653F" w14:textId="77777777" w:rsidR="00295BCD" w:rsidRPr="001927D6" w:rsidRDefault="00295BCD">
            <w:pPr>
              <w:spacing w:after="0" w:line="240" w:lineRule="auto"/>
              <w:jc w:val="center"/>
              <w:textAlignment w:val="baseline"/>
              <w:rPr>
                <w:szCs w:val="24"/>
                <w:lang w:eastAsia="et-EE"/>
              </w:rPr>
            </w:pPr>
            <w:r w:rsidRPr="001927D6">
              <w:rPr>
                <w:color w:val="000000"/>
                <w:szCs w:val="24"/>
              </w:rPr>
              <w:t>3 287,16</w:t>
            </w:r>
          </w:p>
        </w:tc>
        <w:tc>
          <w:tcPr>
            <w:tcW w:w="1211" w:type="dxa"/>
            <w:vAlign w:val="center"/>
          </w:tcPr>
          <w:p w14:paraId="483F156D" w14:textId="77777777" w:rsidR="00295BCD" w:rsidRPr="001927D6" w:rsidRDefault="00295BCD">
            <w:pPr>
              <w:spacing w:after="0" w:line="240" w:lineRule="auto"/>
              <w:jc w:val="center"/>
              <w:textAlignment w:val="baseline"/>
              <w:rPr>
                <w:szCs w:val="24"/>
                <w:lang w:eastAsia="et-EE"/>
              </w:rPr>
            </w:pPr>
            <w:r w:rsidRPr="001927D6">
              <w:rPr>
                <w:color w:val="000000"/>
                <w:szCs w:val="24"/>
              </w:rPr>
              <w:t>1 073,40</w:t>
            </w:r>
          </w:p>
        </w:tc>
        <w:tc>
          <w:tcPr>
            <w:tcW w:w="1238" w:type="dxa"/>
            <w:vAlign w:val="center"/>
          </w:tcPr>
          <w:p w14:paraId="3725D3E2" w14:textId="77777777" w:rsidR="00295BCD" w:rsidRPr="001927D6" w:rsidRDefault="00295BCD">
            <w:pPr>
              <w:spacing w:after="0" w:line="240" w:lineRule="auto"/>
              <w:jc w:val="center"/>
              <w:textAlignment w:val="baseline"/>
              <w:rPr>
                <w:szCs w:val="24"/>
                <w:lang w:eastAsia="et-EE"/>
              </w:rPr>
            </w:pPr>
            <w:r w:rsidRPr="001927D6">
              <w:rPr>
                <w:color w:val="000000"/>
                <w:szCs w:val="24"/>
              </w:rPr>
              <w:t>6 724,22</w:t>
            </w:r>
          </w:p>
        </w:tc>
      </w:tr>
      <w:tr w:rsidR="00295BCD" w:rsidRPr="001927D6" w14:paraId="302DE90F" w14:textId="77777777" w:rsidTr="00295BCD">
        <w:trPr>
          <w:divId w:val="1316184749"/>
          <w:trHeight w:val="300"/>
        </w:trPr>
        <w:tc>
          <w:tcPr>
            <w:tcW w:w="4632" w:type="dxa"/>
            <w:vAlign w:val="bottom"/>
            <w:hideMark/>
          </w:tcPr>
          <w:p w14:paraId="119EEBC9" w14:textId="77777777" w:rsidR="00295BCD" w:rsidRPr="001927D6" w:rsidRDefault="00295BCD">
            <w:pPr>
              <w:spacing w:after="0" w:line="240" w:lineRule="auto"/>
              <w:textAlignment w:val="baseline"/>
              <w:rPr>
                <w:szCs w:val="24"/>
                <w:lang w:eastAsia="et-EE"/>
              </w:rPr>
            </w:pPr>
            <w:r w:rsidRPr="001927D6">
              <w:rPr>
                <w:szCs w:val="24"/>
                <w:lang w:eastAsia="et-EE"/>
              </w:rPr>
              <w:t>Spetsiifilised peaajuveresoonte haigused, v.a transitoorse isheemia atakk, trombolüüsita, kht-ta </w:t>
            </w:r>
          </w:p>
        </w:tc>
        <w:tc>
          <w:tcPr>
            <w:tcW w:w="732" w:type="dxa"/>
            <w:vAlign w:val="center"/>
            <w:hideMark/>
          </w:tcPr>
          <w:p w14:paraId="18C8371E" w14:textId="77777777" w:rsidR="00295BCD" w:rsidRPr="001927D6" w:rsidRDefault="00295BCD">
            <w:pPr>
              <w:spacing w:after="0" w:line="240" w:lineRule="auto"/>
              <w:jc w:val="center"/>
              <w:textAlignment w:val="baseline"/>
              <w:rPr>
                <w:szCs w:val="24"/>
                <w:lang w:eastAsia="et-EE"/>
              </w:rPr>
            </w:pPr>
            <w:r w:rsidRPr="001927D6">
              <w:rPr>
                <w:szCs w:val="24"/>
                <w:lang w:eastAsia="et-EE"/>
              </w:rPr>
              <w:t>014B </w:t>
            </w:r>
          </w:p>
        </w:tc>
        <w:tc>
          <w:tcPr>
            <w:tcW w:w="1243" w:type="dxa"/>
            <w:vAlign w:val="center"/>
          </w:tcPr>
          <w:p w14:paraId="53F73D1C" w14:textId="77777777" w:rsidR="00295BCD" w:rsidRPr="001927D6" w:rsidRDefault="00295BCD">
            <w:pPr>
              <w:spacing w:after="0" w:line="240" w:lineRule="auto"/>
              <w:jc w:val="center"/>
              <w:textAlignment w:val="baseline"/>
              <w:rPr>
                <w:szCs w:val="24"/>
                <w:lang w:eastAsia="et-EE"/>
              </w:rPr>
            </w:pPr>
            <w:r w:rsidRPr="001927D6">
              <w:rPr>
                <w:color w:val="000000"/>
                <w:szCs w:val="24"/>
              </w:rPr>
              <w:t>2 548,32</w:t>
            </w:r>
          </w:p>
        </w:tc>
        <w:tc>
          <w:tcPr>
            <w:tcW w:w="1211" w:type="dxa"/>
            <w:vAlign w:val="center"/>
          </w:tcPr>
          <w:p w14:paraId="4EF03263" w14:textId="77777777" w:rsidR="00295BCD" w:rsidRPr="001927D6" w:rsidRDefault="00295BCD">
            <w:pPr>
              <w:spacing w:after="0" w:line="240" w:lineRule="auto"/>
              <w:jc w:val="center"/>
              <w:textAlignment w:val="baseline"/>
              <w:rPr>
                <w:szCs w:val="24"/>
                <w:lang w:eastAsia="et-EE"/>
              </w:rPr>
            </w:pPr>
            <w:r w:rsidRPr="001927D6">
              <w:rPr>
                <w:color w:val="000000"/>
                <w:szCs w:val="24"/>
              </w:rPr>
              <w:t>1 052,68</w:t>
            </w:r>
          </w:p>
        </w:tc>
        <w:tc>
          <w:tcPr>
            <w:tcW w:w="1238" w:type="dxa"/>
            <w:vAlign w:val="center"/>
          </w:tcPr>
          <w:p w14:paraId="6FC9EA49" w14:textId="77777777" w:rsidR="00295BCD" w:rsidRPr="001927D6" w:rsidRDefault="00295BCD">
            <w:pPr>
              <w:spacing w:after="0" w:line="240" w:lineRule="auto"/>
              <w:jc w:val="center"/>
              <w:textAlignment w:val="baseline"/>
              <w:rPr>
                <w:szCs w:val="24"/>
                <w:lang w:eastAsia="et-EE"/>
              </w:rPr>
            </w:pPr>
            <w:r w:rsidRPr="001927D6">
              <w:rPr>
                <w:color w:val="000000"/>
                <w:szCs w:val="24"/>
              </w:rPr>
              <w:t>4 346,05</w:t>
            </w:r>
          </w:p>
        </w:tc>
      </w:tr>
      <w:tr w:rsidR="00295BCD" w:rsidRPr="001927D6" w14:paraId="4D935E9B" w14:textId="77777777" w:rsidTr="00295BCD">
        <w:trPr>
          <w:divId w:val="1316184749"/>
          <w:trHeight w:val="300"/>
        </w:trPr>
        <w:tc>
          <w:tcPr>
            <w:tcW w:w="4632" w:type="dxa"/>
            <w:vAlign w:val="bottom"/>
            <w:hideMark/>
          </w:tcPr>
          <w:p w14:paraId="6C52A5B6" w14:textId="77777777" w:rsidR="00295BCD" w:rsidRPr="001927D6" w:rsidRDefault="00295BCD">
            <w:pPr>
              <w:spacing w:after="0" w:line="240" w:lineRule="auto"/>
              <w:textAlignment w:val="baseline"/>
              <w:rPr>
                <w:szCs w:val="24"/>
                <w:lang w:eastAsia="et-EE"/>
              </w:rPr>
            </w:pPr>
            <w:r w:rsidRPr="001927D6">
              <w:rPr>
                <w:szCs w:val="24"/>
                <w:lang w:eastAsia="et-EE"/>
              </w:rPr>
              <w:t>Spetsiifilised peaajuveresoonte haigused, v.a transitoorse isheemia atakk, trombolüüsiga, kht-ta </w:t>
            </w:r>
          </w:p>
        </w:tc>
        <w:tc>
          <w:tcPr>
            <w:tcW w:w="732" w:type="dxa"/>
            <w:vAlign w:val="center"/>
            <w:hideMark/>
          </w:tcPr>
          <w:p w14:paraId="39AC18F9" w14:textId="77777777" w:rsidR="00295BCD" w:rsidRPr="001927D6" w:rsidRDefault="00295BCD">
            <w:pPr>
              <w:spacing w:after="0" w:line="240" w:lineRule="auto"/>
              <w:jc w:val="center"/>
              <w:textAlignment w:val="baseline"/>
              <w:rPr>
                <w:szCs w:val="24"/>
                <w:lang w:eastAsia="et-EE"/>
              </w:rPr>
            </w:pPr>
            <w:r w:rsidRPr="001927D6">
              <w:rPr>
                <w:szCs w:val="24"/>
                <w:lang w:eastAsia="et-EE"/>
              </w:rPr>
              <w:t>014C </w:t>
            </w:r>
          </w:p>
        </w:tc>
        <w:tc>
          <w:tcPr>
            <w:tcW w:w="1243" w:type="dxa"/>
            <w:vAlign w:val="center"/>
          </w:tcPr>
          <w:p w14:paraId="1A46EAFE" w14:textId="77777777" w:rsidR="00295BCD" w:rsidRPr="001927D6" w:rsidRDefault="00295BCD">
            <w:pPr>
              <w:spacing w:after="0" w:line="240" w:lineRule="auto"/>
              <w:jc w:val="center"/>
              <w:textAlignment w:val="baseline"/>
              <w:rPr>
                <w:szCs w:val="24"/>
                <w:lang w:eastAsia="et-EE"/>
              </w:rPr>
            </w:pPr>
            <w:r w:rsidRPr="001927D6">
              <w:rPr>
                <w:color w:val="000000"/>
                <w:szCs w:val="24"/>
              </w:rPr>
              <w:t>4 076,97</w:t>
            </w:r>
          </w:p>
        </w:tc>
        <w:tc>
          <w:tcPr>
            <w:tcW w:w="1211" w:type="dxa"/>
            <w:vAlign w:val="center"/>
          </w:tcPr>
          <w:p w14:paraId="2DB1C048" w14:textId="77777777" w:rsidR="00295BCD" w:rsidRPr="001927D6" w:rsidRDefault="00295BCD">
            <w:pPr>
              <w:spacing w:after="0" w:line="240" w:lineRule="auto"/>
              <w:jc w:val="center"/>
              <w:textAlignment w:val="baseline"/>
              <w:rPr>
                <w:szCs w:val="24"/>
                <w:lang w:eastAsia="et-EE"/>
              </w:rPr>
            </w:pPr>
            <w:r w:rsidRPr="001927D6">
              <w:rPr>
                <w:color w:val="000000"/>
                <w:szCs w:val="24"/>
              </w:rPr>
              <w:t>2 663,24</w:t>
            </w:r>
          </w:p>
        </w:tc>
        <w:tc>
          <w:tcPr>
            <w:tcW w:w="1238" w:type="dxa"/>
            <w:vAlign w:val="center"/>
          </w:tcPr>
          <w:p w14:paraId="172A51DE" w14:textId="77777777" w:rsidR="00295BCD" w:rsidRPr="001927D6" w:rsidRDefault="00295BCD">
            <w:pPr>
              <w:spacing w:after="0" w:line="240" w:lineRule="auto"/>
              <w:jc w:val="center"/>
              <w:textAlignment w:val="baseline"/>
              <w:rPr>
                <w:szCs w:val="24"/>
                <w:lang w:eastAsia="et-EE"/>
              </w:rPr>
            </w:pPr>
            <w:r w:rsidRPr="001927D6">
              <w:rPr>
                <w:color w:val="000000"/>
                <w:szCs w:val="24"/>
              </w:rPr>
              <w:t>6 943,27</w:t>
            </w:r>
          </w:p>
        </w:tc>
      </w:tr>
      <w:tr w:rsidR="00295BCD" w:rsidRPr="001927D6" w14:paraId="36F49AEF" w14:textId="77777777" w:rsidTr="00295BCD">
        <w:trPr>
          <w:divId w:val="1316184749"/>
          <w:trHeight w:val="300"/>
        </w:trPr>
        <w:tc>
          <w:tcPr>
            <w:tcW w:w="4632" w:type="dxa"/>
            <w:vAlign w:val="bottom"/>
            <w:hideMark/>
          </w:tcPr>
          <w:p w14:paraId="29A1398D" w14:textId="77777777" w:rsidR="00295BCD" w:rsidRPr="001927D6" w:rsidRDefault="00295BCD">
            <w:pPr>
              <w:spacing w:after="0" w:line="240" w:lineRule="auto"/>
              <w:textAlignment w:val="baseline"/>
              <w:rPr>
                <w:szCs w:val="24"/>
                <w:lang w:eastAsia="et-EE"/>
              </w:rPr>
            </w:pPr>
            <w:r w:rsidRPr="001927D6">
              <w:rPr>
                <w:szCs w:val="24"/>
                <w:lang w:eastAsia="et-EE"/>
              </w:rPr>
              <w:t>Spetsiifilised peaajuveresoonte haigused, v.a transitoorse isheemia atakk, trombolüüsiga, kht-ga </w:t>
            </w:r>
          </w:p>
        </w:tc>
        <w:tc>
          <w:tcPr>
            <w:tcW w:w="732" w:type="dxa"/>
            <w:vAlign w:val="center"/>
            <w:hideMark/>
          </w:tcPr>
          <w:p w14:paraId="29299683" w14:textId="77777777" w:rsidR="00295BCD" w:rsidRPr="001927D6" w:rsidRDefault="00295BCD">
            <w:pPr>
              <w:spacing w:after="0" w:line="240" w:lineRule="auto"/>
              <w:jc w:val="center"/>
              <w:textAlignment w:val="baseline"/>
              <w:rPr>
                <w:szCs w:val="24"/>
                <w:lang w:eastAsia="et-EE"/>
              </w:rPr>
            </w:pPr>
            <w:r w:rsidRPr="001927D6">
              <w:rPr>
                <w:szCs w:val="24"/>
                <w:lang w:eastAsia="et-EE"/>
              </w:rPr>
              <w:t>014D </w:t>
            </w:r>
          </w:p>
        </w:tc>
        <w:tc>
          <w:tcPr>
            <w:tcW w:w="1243" w:type="dxa"/>
            <w:vAlign w:val="center"/>
          </w:tcPr>
          <w:p w14:paraId="3B7FF396" w14:textId="77777777" w:rsidR="00295BCD" w:rsidRPr="001927D6" w:rsidRDefault="00295BCD">
            <w:pPr>
              <w:spacing w:after="0" w:line="240" w:lineRule="auto"/>
              <w:jc w:val="center"/>
              <w:textAlignment w:val="baseline"/>
              <w:rPr>
                <w:szCs w:val="24"/>
                <w:lang w:eastAsia="et-EE"/>
              </w:rPr>
            </w:pPr>
            <w:r w:rsidRPr="001927D6">
              <w:rPr>
                <w:color w:val="000000"/>
                <w:szCs w:val="24"/>
              </w:rPr>
              <w:t>4 486,62</w:t>
            </w:r>
          </w:p>
        </w:tc>
        <w:tc>
          <w:tcPr>
            <w:tcW w:w="1211" w:type="dxa"/>
            <w:vAlign w:val="center"/>
          </w:tcPr>
          <w:p w14:paraId="36B08CB9" w14:textId="77777777" w:rsidR="00295BCD" w:rsidRPr="001927D6" w:rsidRDefault="00295BCD">
            <w:pPr>
              <w:spacing w:after="0" w:line="240" w:lineRule="auto"/>
              <w:jc w:val="center"/>
              <w:textAlignment w:val="baseline"/>
              <w:rPr>
                <w:szCs w:val="24"/>
                <w:lang w:eastAsia="et-EE"/>
              </w:rPr>
            </w:pPr>
            <w:r w:rsidRPr="001927D6">
              <w:rPr>
                <w:color w:val="000000"/>
                <w:szCs w:val="24"/>
              </w:rPr>
              <w:t>2 545,15</w:t>
            </w:r>
          </w:p>
        </w:tc>
        <w:tc>
          <w:tcPr>
            <w:tcW w:w="1238" w:type="dxa"/>
            <w:vAlign w:val="center"/>
          </w:tcPr>
          <w:p w14:paraId="2E1356C5" w14:textId="77777777" w:rsidR="00295BCD" w:rsidRPr="001927D6" w:rsidRDefault="00295BCD">
            <w:pPr>
              <w:spacing w:after="0" w:line="240" w:lineRule="auto"/>
              <w:jc w:val="center"/>
              <w:textAlignment w:val="baseline"/>
              <w:rPr>
                <w:szCs w:val="24"/>
                <w:lang w:eastAsia="et-EE"/>
              </w:rPr>
            </w:pPr>
            <w:r w:rsidRPr="001927D6">
              <w:rPr>
                <w:color w:val="000000"/>
                <w:szCs w:val="24"/>
              </w:rPr>
              <w:t>7 615,99</w:t>
            </w:r>
          </w:p>
        </w:tc>
      </w:tr>
      <w:tr w:rsidR="00295BCD" w:rsidRPr="001927D6" w14:paraId="12F6224F" w14:textId="77777777" w:rsidTr="00295BCD">
        <w:trPr>
          <w:divId w:val="1316184749"/>
          <w:trHeight w:val="300"/>
        </w:trPr>
        <w:tc>
          <w:tcPr>
            <w:tcW w:w="4632" w:type="dxa"/>
            <w:vAlign w:val="bottom"/>
            <w:hideMark/>
          </w:tcPr>
          <w:p w14:paraId="60E894B8" w14:textId="77777777" w:rsidR="00295BCD" w:rsidRPr="001927D6" w:rsidRDefault="00295BCD">
            <w:pPr>
              <w:spacing w:after="0" w:line="240" w:lineRule="auto"/>
              <w:textAlignment w:val="baseline"/>
              <w:rPr>
                <w:szCs w:val="24"/>
                <w:lang w:eastAsia="et-EE"/>
              </w:rPr>
            </w:pPr>
            <w:r w:rsidRPr="001927D6">
              <w:rPr>
                <w:szCs w:val="24"/>
                <w:lang w:eastAsia="et-EE"/>
              </w:rPr>
              <w:t>Transitoorse isheemia atakk ja ajuväliste veresoonte sulgused </w:t>
            </w:r>
          </w:p>
        </w:tc>
        <w:tc>
          <w:tcPr>
            <w:tcW w:w="732" w:type="dxa"/>
            <w:vAlign w:val="center"/>
            <w:hideMark/>
          </w:tcPr>
          <w:p w14:paraId="559E4523" w14:textId="77777777" w:rsidR="00295BCD" w:rsidRPr="001927D6" w:rsidRDefault="00295BCD">
            <w:pPr>
              <w:spacing w:after="0" w:line="240" w:lineRule="auto"/>
              <w:jc w:val="center"/>
              <w:textAlignment w:val="baseline"/>
              <w:rPr>
                <w:szCs w:val="24"/>
                <w:lang w:eastAsia="et-EE"/>
              </w:rPr>
            </w:pPr>
            <w:r w:rsidRPr="001927D6">
              <w:rPr>
                <w:szCs w:val="24"/>
                <w:lang w:eastAsia="et-EE"/>
              </w:rPr>
              <w:t>015 </w:t>
            </w:r>
          </w:p>
        </w:tc>
        <w:tc>
          <w:tcPr>
            <w:tcW w:w="1243" w:type="dxa"/>
            <w:vAlign w:val="center"/>
          </w:tcPr>
          <w:p w14:paraId="33CF37F1" w14:textId="77777777" w:rsidR="00295BCD" w:rsidRPr="001927D6" w:rsidRDefault="00295BCD">
            <w:pPr>
              <w:spacing w:after="0" w:line="240" w:lineRule="auto"/>
              <w:jc w:val="center"/>
              <w:textAlignment w:val="baseline"/>
              <w:rPr>
                <w:szCs w:val="24"/>
                <w:lang w:eastAsia="et-EE"/>
              </w:rPr>
            </w:pPr>
            <w:r w:rsidRPr="001927D6">
              <w:rPr>
                <w:color w:val="000000"/>
                <w:szCs w:val="24"/>
              </w:rPr>
              <w:t>2 210,50</w:t>
            </w:r>
          </w:p>
        </w:tc>
        <w:tc>
          <w:tcPr>
            <w:tcW w:w="1211" w:type="dxa"/>
            <w:vAlign w:val="center"/>
          </w:tcPr>
          <w:p w14:paraId="2FA1E56E" w14:textId="77777777" w:rsidR="00295BCD" w:rsidRPr="001927D6" w:rsidRDefault="00295BCD">
            <w:pPr>
              <w:spacing w:after="0" w:line="240" w:lineRule="auto"/>
              <w:jc w:val="center"/>
              <w:textAlignment w:val="baseline"/>
              <w:rPr>
                <w:szCs w:val="24"/>
                <w:lang w:eastAsia="et-EE"/>
              </w:rPr>
            </w:pPr>
            <w:r w:rsidRPr="001927D6">
              <w:rPr>
                <w:color w:val="000000"/>
                <w:szCs w:val="24"/>
              </w:rPr>
              <w:t>946,75</w:t>
            </w:r>
          </w:p>
        </w:tc>
        <w:tc>
          <w:tcPr>
            <w:tcW w:w="1238" w:type="dxa"/>
            <w:vAlign w:val="center"/>
          </w:tcPr>
          <w:p w14:paraId="70EB6E5F" w14:textId="77777777" w:rsidR="00295BCD" w:rsidRPr="001927D6" w:rsidRDefault="00295BCD">
            <w:pPr>
              <w:spacing w:after="0" w:line="240" w:lineRule="auto"/>
              <w:jc w:val="center"/>
              <w:textAlignment w:val="baseline"/>
              <w:rPr>
                <w:szCs w:val="24"/>
                <w:lang w:eastAsia="et-EE"/>
              </w:rPr>
            </w:pPr>
            <w:r w:rsidRPr="001927D6">
              <w:rPr>
                <w:color w:val="000000"/>
                <w:szCs w:val="24"/>
              </w:rPr>
              <w:t>3 678,81</w:t>
            </w:r>
          </w:p>
        </w:tc>
      </w:tr>
      <w:tr w:rsidR="00295BCD" w:rsidRPr="001927D6" w14:paraId="71654A4A" w14:textId="77777777" w:rsidTr="00295BCD">
        <w:trPr>
          <w:divId w:val="1316184749"/>
          <w:trHeight w:val="300"/>
        </w:trPr>
        <w:tc>
          <w:tcPr>
            <w:tcW w:w="4632" w:type="dxa"/>
            <w:vAlign w:val="bottom"/>
            <w:hideMark/>
          </w:tcPr>
          <w:p w14:paraId="078EE47A" w14:textId="77777777" w:rsidR="00295BCD" w:rsidRPr="001927D6" w:rsidRDefault="00295BCD">
            <w:pPr>
              <w:spacing w:after="0" w:line="240" w:lineRule="auto"/>
              <w:textAlignment w:val="baseline"/>
              <w:rPr>
                <w:szCs w:val="24"/>
                <w:lang w:eastAsia="et-EE"/>
              </w:rPr>
            </w:pPr>
            <w:r w:rsidRPr="001927D6">
              <w:rPr>
                <w:szCs w:val="24"/>
                <w:lang w:eastAsia="et-EE"/>
              </w:rPr>
              <w:t>Peaajuveresoonte mittespetsiifilised haigused, kht-ga </w:t>
            </w:r>
          </w:p>
        </w:tc>
        <w:tc>
          <w:tcPr>
            <w:tcW w:w="732" w:type="dxa"/>
            <w:vAlign w:val="center"/>
            <w:hideMark/>
          </w:tcPr>
          <w:p w14:paraId="0FDFE381" w14:textId="77777777" w:rsidR="00295BCD" w:rsidRPr="001927D6" w:rsidRDefault="00295BCD">
            <w:pPr>
              <w:spacing w:after="0" w:line="240" w:lineRule="auto"/>
              <w:jc w:val="center"/>
              <w:textAlignment w:val="baseline"/>
              <w:rPr>
                <w:szCs w:val="24"/>
                <w:lang w:eastAsia="et-EE"/>
              </w:rPr>
            </w:pPr>
            <w:r w:rsidRPr="001927D6">
              <w:rPr>
                <w:szCs w:val="24"/>
                <w:lang w:eastAsia="et-EE"/>
              </w:rPr>
              <w:t>016 </w:t>
            </w:r>
          </w:p>
        </w:tc>
        <w:tc>
          <w:tcPr>
            <w:tcW w:w="1243" w:type="dxa"/>
            <w:vAlign w:val="center"/>
          </w:tcPr>
          <w:p w14:paraId="1B2794C5" w14:textId="77777777" w:rsidR="00295BCD" w:rsidRPr="001927D6" w:rsidRDefault="00295BCD">
            <w:pPr>
              <w:spacing w:after="0" w:line="240" w:lineRule="auto"/>
              <w:jc w:val="center"/>
              <w:textAlignment w:val="baseline"/>
              <w:rPr>
                <w:szCs w:val="24"/>
                <w:lang w:eastAsia="et-EE"/>
              </w:rPr>
            </w:pPr>
            <w:r w:rsidRPr="001927D6">
              <w:rPr>
                <w:color w:val="000000"/>
                <w:szCs w:val="24"/>
              </w:rPr>
              <w:t>2 938,62</w:t>
            </w:r>
          </w:p>
        </w:tc>
        <w:tc>
          <w:tcPr>
            <w:tcW w:w="1211" w:type="dxa"/>
            <w:vAlign w:val="center"/>
          </w:tcPr>
          <w:p w14:paraId="5883194A" w14:textId="77777777" w:rsidR="00295BCD" w:rsidRPr="001927D6" w:rsidRDefault="00295BCD">
            <w:pPr>
              <w:spacing w:after="0" w:line="240" w:lineRule="auto"/>
              <w:jc w:val="center"/>
              <w:textAlignment w:val="baseline"/>
              <w:rPr>
                <w:szCs w:val="24"/>
                <w:lang w:eastAsia="et-EE"/>
              </w:rPr>
            </w:pPr>
            <w:r w:rsidRPr="001927D6">
              <w:rPr>
                <w:color w:val="000000"/>
                <w:szCs w:val="24"/>
              </w:rPr>
              <w:t>1 094,51</w:t>
            </w:r>
          </w:p>
        </w:tc>
        <w:tc>
          <w:tcPr>
            <w:tcW w:w="1238" w:type="dxa"/>
            <w:vAlign w:val="center"/>
          </w:tcPr>
          <w:p w14:paraId="386E0FEA" w14:textId="77777777" w:rsidR="00295BCD" w:rsidRPr="001927D6" w:rsidRDefault="00295BCD">
            <w:pPr>
              <w:spacing w:after="0" w:line="240" w:lineRule="auto"/>
              <w:jc w:val="center"/>
              <w:textAlignment w:val="baseline"/>
              <w:rPr>
                <w:szCs w:val="24"/>
                <w:lang w:eastAsia="et-EE"/>
              </w:rPr>
            </w:pPr>
            <w:r w:rsidRPr="001927D6">
              <w:rPr>
                <w:color w:val="000000"/>
                <w:szCs w:val="24"/>
              </w:rPr>
              <w:t>7 188,18</w:t>
            </w:r>
          </w:p>
        </w:tc>
      </w:tr>
      <w:tr w:rsidR="00295BCD" w:rsidRPr="001927D6" w14:paraId="532F717E" w14:textId="77777777" w:rsidTr="00295BCD">
        <w:trPr>
          <w:divId w:val="1316184749"/>
          <w:trHeight w:val="300"/>
        </w:trPr>
        <w:tc>
          <w:tcPr>
            <w:tcW w:w="4632" w:type="dxa"/>
            <w:vAlign w:val="bottom"/>
            <w:hideMark/>
          </w:tcPr>
          <w:p w14:paraId="55DFE142" w14:textId="77777777" w:rsidR="00295BCD" w:rsidRPr="001927D6" w:rsidRDefault="00295BCD">
            <w:pPr>
              <w:spacing w:after="0" w:line="240" w:lineRule="auto"/>
              <w:textAlignment w:val="baseline"/>
              <w:rPr>
                <w:szCs w:val="24"/>
                <w:lang w:eastAsia="et-EE"/>
              </w:rPr>
            </w:pPr>
            <w:r w:rsidRPr="001927D6">
              <w:rPr>
                <w:szCs w:val="24"/>
                <w:lang w:eastAsia="et-EE"/>
              </w:rPr>
              <w:t>Peaajuveresoonte mittespetsiifilised haigused, kht-ta </w:t>
            </w:r>
          </w:p>
        </w:tc>
        <w:tc>
          <w:tcPr>
            <w:tcW w:w="732" w:type="dxa"/>
            <w:vAlign w:val="center"/>
            <w:hideMark/>
          </w:tcPr>
          <w:p w14:paraId="08D17BDE" w14:textId="77777777" w:rsidR="00295BCD" w:rsidRPr="001927D6" w:rsidRDefault="00295BCD">
            <w:pPr>
              <w:spacing w:after="0" w:line="240" w:lineRule="auto"/>
              <w:jc w:val="center"/>
              <w:textAlignment w:val="baseline"/>
              <w:rPr>
                <w:szCs w:val="24"/>
                <w:lang w:eastAsia="et-EE"/>
              </w:rPr>
            </w:pPr>
            <w:r w:rsidRPr="001927D6">
              <w:rPr>
                <w:szCs w:val="24"/>
                <w:lang w:eastAsia="et-EE"/>
              </w:rPr>
              <w:t>017 </w:t>
            </w:r>
          </w:p>
        </w:tc>
        <w:tc>
          <w:tcPr>
            <w:tcW w:w="1243" w:type="dxa"/>
            <w:vAlign w:val="center"/>
          </w:tcPr>
          <w:p w14:paraId="6789B3C9" w14:textId="77777777" w:rsidR="00295BCD" w:rsidRPr="001927D6" w:rsidRDefault="00295BCD">
            <w:pPr>
              <w:spacing w:after="0" w:line="240" w:lineRule="auto"/>
              <w:jc w:val="center"/>
              <w:textAlignment w:val="baseline"/>
              <w:rPr>
                <w:szCs w:val="24"/>
                <w:lang w:eastAsia="et-EE"/>
              </w:rPr>
            </w:pPr>
            <w:r w:rsidRPr="001927D6">
              <w:rPr>
                <w:color w:val="000000"/>
                <w:szCs w:val="24"/>
              </w:rPr>
              <w:t>1 556,26</w:t>
            </w:r>
          </w:p>
        </w:tc>
        <w:tc>
          <w:tcPr>
            <w:tcW w:w="1211" w:type="dxa"/>
            <w:vAlign w:val="center"/>
          </w:tcPr>
          <w:p w14:paraId="28C31271" w14:textId="77777777" w:rsidR="00295BCD" w:rsidRPr="001927D6" w:rsidRDefault="00295BCD">
            <w:pPr>
              <w:spacing w:after="0" w:line="240" w:lineRule="auto"/>
              <w:jc w:val="center"/>
              <w:textAlignment w:val="baseline"/>
              <w:rPr>
                <w:szCs w:val="24"/>
                <w:lang w:eastAsia="et-EE"/>
              </w:rPr>
            </w:pPr>
            <w:r w:rsidRPr="001927D6">
              <w:rPr>
                <w:color w:val="000000"/>
                <w:szCs w:val="24"/>
              </w:rPr>
              <w:t>754,33</w:t>
            </w:r>
          </w:p>
        </w:tc>
        <w:tc>
          <w:tcPr>
            <w:tcW w:w="1238" w:type="dxa"/>
            <w:vAlign w:val="center"/>
          </w:tcPr>
          <w:p w14:paraId="5EA74C85" w14:textId="77777777" w:rsidR="00295BCD" w:rsidRPr="001927D6" w:rsidRDefault="00295BCD">
            <w:pPr>
              <w:spacing w:after="0" w:line="240" w:lineRule="auto"/>
              <w:jc w:val="center"/>
              <w:textAlignment w:val="baseline"/>
              <w:rPr>
                <w:szCs w:val="24"/>
                <w:lang w:eastAsia="et-EE"/>
              </w:rPr>
            </w:pPr>
            <w:r w:rsidRPr="001927D6">
              <w:rPr>
                <w:color w:val="000000"/>
                <w:szCs w:val="24"/>
              </w:rPr>
              <w:t>2 799,96</w:t>
            </w:r>
          </w:p>
        </w:tc>
      </w:tr>
      <w:tr w:rsidR="00295BCD" w:rsidRPr="001927D6" w14:paraId="4A09EBA5" w14:textId="77777777" w:rsidTr="00295BCD">
        <w:trPr>
          <w:divId w:val="1316184749"/>
          <w:trHeight w:val="300"/>
        </w:trPr>
        <w:tc>
          <w:tcPr>
            <w:tcW w:w="4632" w:type="dxa"/>
            <w:vAlign w:val="bottom"/>
            <w:hideMark/>
          </w:tcPr>
          <w:p w14:paraId="5E21CD2E" w14:textId="77777777" w:rsidR="00295BCD" w:rsidRPr="001927D6" w:rsidRDefault="00295BCD">
            <w:pPr>
              <w:spacing w:after="0" w:line="240" w:lineRule="auto"/>
              <w:textAlignment w:val="baseline"/>
              <w:rPr>
                <w:szCs w:val="24"/>
                <w:lang w:eastAsia="et-EE"/>
              </w:rPr>
            </w:pPr>
            <w:r w:rsidRPr="001927D6">
              <w:rPr>
                <w:szCs w:val="24"/>
                <w:lang w:eastAsia="et-EE"/>
              </w:rPr>
              <w:t>Kraniaal- ja perifeersete närvide haigused, kht-ga </w:t>
            </w:r>
          </w:p>
        </w:tc>
        <w:tc>
          <w:tcPr>
            <w:tcW w:w="732" w:type="dxa"/>
            <w:vAlign w:val="center"/>
            <w:hideMark/>
          </w:tcPr>
          <w:p w14:paraId="51C958D1" w14:textId="77777777" w:rsidR="00295BCD" w:rsidRPr="001927D6" w:rsidRDefault="00295BCD">
            <w:pPr>
              <w:spacing w:after="0" w:line="240" w:lineRule="auto"/>
              <w:jc w:val="center"/>
              <w:textAlignment w:val="baseline"/>
              <w:rPr>
                <w:szCs w:val="24"/>
                <w:lang w:eastAsia="et-EE"/>
              </w:rPr>
            </w:pPr>
            <w:r w:rsidRPr="001927D6">
              <w:rPr>
                <w:szCs w:val="24"/>
                <w:lang w:eastAsia="et-EE"/>
              </w:rPr>
              <w:t>018 </w:t>
            </w:r>
          </w:p>
        </w:tc>
        <w:tc>
          <w:tcPr>
            <w:tcW w:w="1243" w:type="dxa"/>
            <w:vAlign w:val="center"/>
          </w:tcPr>
          <w:p w14:paraId="3461347A" w14:textId="77777777" w:rsidR="00295BCD" w:rsidRPr="001927D6" w:rsidRDefault="00295BCD">
            <w:pPr>
              <w:spacing w:after="0" w:line="240" w:lineRule="auto"/>
              <w:jc w:val="center"/>
              <w:textAlignment w:val="baseline"/>
              <w:rPr>
                <w:szCs w:val="24"/>
                <w:lang w:eastAsia="et-EE"/>
              </w:rPr>
            </w:pPr>
            <w:r w:rsidRPr="001927D6">
              <w:rPr>
                <w:color w:val="000000"/>
                <w:szCs w:val="24"/>
              </w:rPr>
              <w:t>3 214,55</w:t>
            </w:r>
          </w:p>
        </w:tc>
        <w:tc>
          <w:tcPr>
            <w:tcW w:w="1211" w:type="dxa"/>
            <w:vAlign w:val="center"/>
          </w:tcPr>
          <w:p w14:paraId="1026EB0A" w14:textId="77777777" w:rsidR="00295BCD" w:rsidRPr="001927D6" w:rsidRDefault="00295BCD">
            <w:pPr>
              <w:spacing w:after="0" w:line="240" w:lineRule="auto"/>
              <w:jc w:val="center"/>
              <w:textAlignment w:val="baseline"/>
              <w:rPr>
                <w:szCs w:val="24"/>
                <w:lang w:eastAsia="et-EE"/>
              </w:rPr>
            </w:pPr>
            <w:r w:rsidRPr="001927D6">
              <w:rPr>
                <w:color w:val="000000"/>
                <w:szCs w:val="24"/>
              </w:rPr>
              <w:t>673,40</w:t>
            </w:r>
          </w:p>
        </w:tc>
        <w:tc>
          <w:tcPr>
            <w:tcW w:w="1238" w:type="dxa"/>
            <w:vAlign w:val="center"/>
          </w:tcPr>
          <w:p w14:paraId="40139362" w14:textId="77777777" w:rsidR="00295BCD" w:rsidRPr="001927D6" w:rsidRDefault="00295BCD">
            <w:pPr>
              <w:spacing w:after="0" w:line="240" w:lineRule="auto"/>
              <w:jc w:val="center"/>
              <w:textAlignment w:val="baseline"/>
              <w:rPr>
                <w:szCs w:val="24"/>
                <w:lang w:eastAsia="et-EE"/>
              </w:rPr>
            </w:pPr>
            <w:r w:rsidRPr="001927D6">
              <w:rPr>
                <w:color w:val="000000"/>
                <w:szCs w:val="24"/>
              </w:rPr>
              <w:t>10 157,98</w:t>
            </w:r>
          </w:p>
        </w:tc>
      </w:tr>
      <w:tr w:rsidR="00295BCD" w:rsidRPr="001927D6" w14:paraId="2EF89999" w14:textId="77777777" w:rsidTr="00295BCD">
        <w:trPr>
          <w:divId w:val="1316184749"/>
          <w:trHeight w:val="300"/>
        </w:trPr>
        <w:tc>
          <w:tcPr>
            <w:tcW w:w="4632" w:type="dxa"/>
            <w:vAlign w:val="bottom"/>
            <w:hideMark/>
          </w:tcPr>
          <w:p w14:paraId="79A1F8FF" w14:textId="77777777" w:rsidR="00295BCD" w:rsidRPr="001927D6" w:rsidRDefault="00295BCD">
            <w:pPr>
              <w:spacing w:after="0" w:line="240" w:lineRule="auto"/>
              <w:textAlignment w:val="baseline"/>
              <w:rPr>
                <w:szCs w:val="24"/>
                <w:lang w:eastAsia="et-EE"/>
              </w:rPr>
            </w:pPr>
            <w:r w:rsidRPr="001927D6">
              <w:rPr>
                <w:szCs w:val="24"/>
                <w:lang w:eastAsia="et-EE"/>
              </w:rPr>
              <w:t>Kraniaal- ja perifeersete närvide haigused, kht-ta </w:t>
            </w:r>
          </w:p>
        </w:tc>
        <w:tc>
          <w:tcPr>
            <w:tcW w:w="732" w:type="dxa"/>
            <w:vAlign w:val="center"/>
            <w:hideMark/>
          </w:tcPr>
          <w:p w14:paraId="55DA4998" w14:textId="77777777" w:rsidR="00295BCD" w:rsidRPr="001927D6" w:rsidRDefault="00295BCD">
            <w:pPr>
              <w:spacing w:after="0" w:line="240" w:lineRule="auto"/>
              <w:jc w:val="center"/>
              <w:textAlignment w:val="baseline"/>
              <w:rPr>
                <w:szCs w:val="24"/>
                <w:lang w:eastAsia="et-EE"/>
              </w:rPr>
            </w:pPr>
            <w:r w:rsidRPr="001927D6">
              <w:rPr>
                <w:szCs w:val="24"/>
                <w:lang w:eastAsia="et-EE"/>
              </w:rPr>
              <w:t>019 </w:t>
            </w:r>
          </w:p>
        </w:tc>
        <w:tc>
          <w:tcPr>
            <w:tcW w:w="1243" w:type="dxa"/>
            <w:vAlign w:val="center"/>
          </w:tcPr>
          <w:p w14:paraId="324628E8" w14:textId="77777777" w:rsidR="00295BCD" w:rsidRPr="001927D6" w:rsidRDefault="00295BCD">
            <w:pPr>
              <w:spacing w:after="0" w:line="240" w:lineRule="auto"/>
              <w:jc w:val="center"/>
              <w:textAlignment w:val="baseline"/>
              <w:rPr>
                <w:szCs w:val="24"/>
                <w:lang w:eastAsia="et-EE"/>
              </w:rPr>
            </w:pPr>
            <w:r w:rsidRPr="001927D6">
              <w:rPr>
                <w:color w:val="000000"/>
                <w:szCs w:val="24"/>
              </w:rPr>
              <w:t>2 793,50</w:t>
            </w:r>
          </w:p>
        </w:tc>
        <w:tc>
          <w:tcPr>
            <w:tcW w:w="1211" w:type="dxa"/>
            <w:vAlign w:val="center"/>
          </w:tcPr>
          <w:p w14:paraId="489C1A35" w14:textId="77777777" w:rsidR="00295BCD" w:rsidRPr="001927D6" w:rsidRDefault="00295BCD">
            <w:pPr>
              <w:spacing w:after="0" w:line="240" w:lineRule="auto"/>
              <w:jc w:val="center"/>
              <w:textAlignment w:val="baseline"/>
              <w:rPr>
                <w:szCs w:val="24"/>
                <w:lang w:eastAsia="et-EE"/>
              </w:rPr>
            </w:pPr>
            <w:r w:rsidRPr="001927D6">
              <w:rPr>
                <w:color w:val="000000"/>
                <w:szCs w:val="24"/>
              </w:rPr>
              <w:t>623,16</w:t>
            </w:r>
          </w:p>
        </w:tc>
        <w:tc>
          <w:tcPr>
            <w:tcW w:w="1238" w:type="dxa"/>
            <w:vAlign w:val="center"/>
          </w:tcPr>
          <w:p w14:paraId="27A63980" w14:textId="77777777" w:rsidR="00295BCD" w:rsidRPr="001927D6" w:rsidRDefault="00295BCD">
            <w:pPr>
              <w:spacing w:after="0" w:line="240" w:lineRule="auto"/>
              <w:jc w:val="center"/>
              <w:textAlignment w:val="baseline"/>
              <w:rPr>
                <w:szCs w:val="24"/>
                <w:lang w:eastAsia="et-EE"/>
              </w:rPr>
            </w:pPr>
            <w:r w:rsidRPr="001927D6">
              <w:rPr>
                <w:color w:val="000000"/>
                <w:szCs w:val="24"/>
              </w:rPr>
              <w:t>8 381,31</w:t>
            </w:r>
          </w:p>
        </w:tc>
      </w:tr>
      <w:tr w:rsidR="00295BCD" w:rsidRPr="001927D6" w14:paraId="387D2C11" w14:textId="77777777" w:rsidTr="00295BCD">
        <w:trPr>
          <w:divId w:val="1316184749"/>
          <w:trHeight w:val="300"/>
        </w:trPr>
        <w:tc>
          <w:tcPr>
            <w:tcW w:w="4632" w:type="dxa"/>
            <w:vAlign w:val="bottom"/>
            <w:hideMark/>
          </w:tcPr>
          <w:p w14:paraId="122961F8" w14:textId="77777777" w:rsidR="00295BCD" w:rsidRPr="001927D6" w:rsidRDefault="00295BCD">
            <w:pPr>
              <w:spacing w:after="0" w:line="240" w:lineRule="auto"/>
              <w:textAlignment w:val="baseline"/>
              <w:rPr>
                <w:szCs w:val="24"/>
                <w:lang w:eastAsia="et-EE"/>
              </w:rPr>
            </w:pPr>
            <w:r w:rsidRPr="001927D6">
              <w:rPr>
                <w:szCs w:val="24"/>
                <w:lang w:eastAsia="et-EE"/>
              </w:rPr>
              <w:t>Närvisüsteemi infektsioon, v.a viirusmeningiit </w:t>
            </w:r>
          </w:p>
        </w:tc>
        <w:tc>
          <w:tcPr>
            <w:tcW w:w="732" w:type="dxa"/>
            <w:vAlign w:val="center"/>
            <w:hideMark/>
          </w:tcPr>
          <w:p w14:paraId="58A02356" w14:textId="77777777" w:rsidR="00295BCD" w:rsidRPr="001927D6" w:rsidRDefault="00295BCD">
            <w:pPr>
              <w:spacing w:after="0" w:line="240" w:lineRule="auto"/>
              <w:jc w:val="center"/>
              <w:textAlignment w:val="baseline"/>
              <w:rPr>
                <w:szCs w:val="24"/>
                <w:lang w:eastAsia="et-EE"/>
              </w:rPr>
            </w:pPr>
            <w:r w:rsidRPr="001927D6">
              <w:rPr>
                <w:szCs w:val="24"/>
                <w:lang w:eastAsia="et-EE"/>
              </w:rPr>
              <w:t>020 </w:t>
            </w:r>
          </w:p>
        </w:tc>
        <w:tc>
          <w:tcPr>
            <w:tcW w:w="1243" w:type="dxa"/>
            <w:vAlign w:val="center"/>
          </w:tcPr>
          <w:p w14:paraId="12787595" w14:textId="77777777" w:rsidR="00295BCD" w:rsidRPr="001927D6" w:rsidRDefault="00295BCD">
            <w:pPr>
              <w:spacing w:after="0" w:line="240" w:lineRule="auto"/>
              <w:jc w:val="center"/>
              <w:textAlignment w:val="baseline"/>
              <w:rPr>
                <w:szCs w:val="24"/>
                <w:lang w:eastAsia="et-EE"/>
              </w:rPr>
            </w:pPr>
            <w:r w:rsidRPr="001927D6">
              <w:rPr>
                <w:color w:val="000000"/>
                <w:szCs w:val="24"/>
              </w:rPr>
              <w:t>5 898,70</w:t>
            </w:r>
          </w:p>
        </w:tc>
        <w:tc>
          <w:tcPr>
            <w:tcW w:w="1211" w:type="dxa"/>
            <w:vAlign w:val="center"/>
          </w:tcPr>
          <w:p w14:paraId="324398B7" w14:textId="77777777" w:rsidR="00295BCD" w:rsidRPr="001927D6" w:rsidRDefault="00295BCD">
            <w:pPr>
              <w:spacing w:after="0" w:line="240" w:lineRule="auto"/>
              <w:jc w:val="center"/>
              <w:textAlignment w:val="baseline"/>
              <w:rPr>
                <w:szCs w:val="24"/>
                <w:lang w:eastAsia="et-EE"/>
              </w:rPr>
            </w:pPr>
            <w:r w:rsidRPr="001927D6">
              <w:rPr>
                <w:color w:val="000000"/>
                <w:szCs w:val="24"/>
              </w:rPr>
              <w:t>971,87</w:t>
            </w:r>
          </w:p>
        </w:tc>
        <w:tc>
          <w:tcPr>
            <w:tcW w:w="1238" w:type="dxa"/>
            <w:vAlign w:val="center"/>
          </w:tcPr>
          <w:p w14:paraId="6646782C" w14:textId="77777777" w:rsidR="00295BCD" w:rsidRPr="001927D6" w:rsidRDefault="00295BCD">
            <w:pPr>
              <w:spacing w:after="0" w:line="240" w:lineRule="auto"/>
              <w:jc w:val="center"/>
              <w:textAlignment w:val="baseline"/>
              <w:rPr>
                <w:szCs w:val="24"/>
                <w:lang w:eastAsia="et-EE"/>
              </w:rPr>
            </w:pPr>
            <w:r w:rsidRPr="001927D6">
              <w:rPr>
                <w:color w:val="000000"/>
                <w:szCs w:val="24"/>
              </w:rPr>
              <w:t>18 061,80</w:t>
            </w:r>
          </w:p>
        </w:tc>
      </w:tr>
      <w:tr w:rsidR="00295BCD" w:rsidRPr="001927D6" w14:paraId="3EAE7FE7" w14:textId="77777777" w:rsidTr="00295BCD">
        <w:trPr>
          <w:divId w:val="1316184749"/>
          <w:trHeight w:val="300"/>
        </w:trPr>
        <w:tc>
          <w:tcPr>
            <w:tcW w:w="4632" w:type="dxa"/>
            <w:vAlign w:val="bottom"/>
            <w:hideMark/>
          </w:tcPr>
          <w:p w14:paraId="35105A39" w14:textId="77777777" w:rsidR="00295BCD" w:rsidRPr="001927D6" w:rsidRDefault="00295BCD">
            <w:pPr>
              <w:spacing w:after="0" w:line="240" w:lineRule="auto"/>
              <w:textAlignment w:val="baseline"/>
              <w:rPr>
                <w:szCs w:val="24"/>
                <w:lang w:eastAsia="et-EE"/>
              </w:rPr>
            </w:pPr>
            <w:r w:rsidRPr="001927D6">
              <w:rPr>
                <w:szCs w:val="24"/>
                <w:lang w:eastAsia="et-EE"/>
              </w:rPr>
              <w:t>Viirusmeningiit </w:t>
            </w:r>
          </w:p>
        </w:tc>
        <w:tc>
          <w:tcPr>
            <w:tcW w:w="732" w:type="dxa"/>
            <w:vAlign w:val="center"/>
            <w:hideMark/>
          </w:tcPr>
          <w:p w14:paraId="4F621293" w14:textId="77777777" w:rsidR="00295BCD" w:rsidRPr="001927D6" w:rsidRDefault="00295BCD">
            <w:pPr>
              <w:spacing w:after="0" w:line="240" w:lineRule="auto"/>
              <w:jc w:val="center"/>
              <w:textAlignment w:val="baseline"/>
              <w:rPr>
                <w:szCs w:val="24"/>
                <w:lang w:eastAsia="et-EE"/>
              </w:rPr>
            </w:pPr>
            <w:r w:rsidRPr="001927D6">
              <w:rPr>
                <w:szCs w:val="24"/>
                <w:lang w:eastAsia="et-EE"/>
              </w:rPr>
              <w:t>021 </w:t>
            </w:r>
          </w:p>
        </w:tc>
        <w:tc>
          <w:tcPr>
            <w:tcW w:w="1243" w:type="dxa"/>
            <w:vAlign w:val="center"/>
          </w:tcPr>
          <w:p w14:paraId="006F7164" w14:textId="77777777" w:rsidR="00295BCD" w:rsidRPr="001927D6" w:rsidRDefault="00295BCD">
            <w:pPr>
              <w:spacing w:after="0" w:line="240" w:lineRule="auto"/>
              <w:jc w:val="center"/>
              <w:textAlignment w:val="baseline"/>
              <w:rPr>
                <w:szCs w:val="24"/>
                <w:lang w:eastAsia="et-EE"/>
              </w:rPr>
            </w:pPr>
            <w:r w:rsidRPr="001927D6">
              <w:rPr>
                <w:color w:val="000000"/>
                <w:szCs w:val="24"/>
              </w:rPr>
              <w:t>2 821,42</w:t>
            </w:r>
          </w:p>
        </w:tc>
        <w:tc>
          <w:tcPr>
            <w:tcW w:w="1211" w:type="dxa"/>
            <w:vAlign w:val="center"/>
          </w:tcPr>
          <w:p w14:paraId="4E5DB097" w14:textId="77777777" w:rsidR="00295BCD" w:rsidRPr="001927D6" w:rsidRDefault="00295BCD">
            <w:pPr>
              <w:spacing w:after="0" w:line="240" w:lineRule="auto"/>
              <w:jc w:val="center"/>
              <w:textAlignment w:val="baseline"/>
              <w:rPr>
                <w:szCs w:val="24"/>
                <w:lang w:eastAsia="et-EE"/>
              </w:rPr>
            </w:pPr>
            <w:r w:rsidRPr="001927D6">
              <w:rPr>
                <w:color w:val="000000"/>
                <w:szCs w:val="24"/>
              </w:rPr>
              <w:t>998,97</w:t>
            </w:r>
          </w:p>
        </w:tc>
        <w:tc>
          <w:tcPr>
            <w:tcW w:w="1238" w:type="dxa"/>
            <w:vAlign w:val="center"/>
          </w:tcPr>
          <w:p w14:paraId="7B4C7196" w14:textId="77777777" w:rsidR="00295BCD" w:rsidRPr="001927D6" w:rsidRDefault="00295BCD">
            <w:pPr>
              <w:spacing w:after="0" w:line="240" w:lineRule="auto"/>
              <w:jc w:val="center"/>
              <w:textAlignment w:val="baseline"/>
              <w:rPr>
                <w:szCs w:val="24"/>
                <w:lang w:eastAsia="et-EE"/>
              </w:rPr>
            </w:pPr>
            <w:r w:rsidRPr="001927D6">
              <w:rPr>
                <w:color w:val="000000"/>
                <w:szCs w:val="24"/>
              </w:rPr>
              <w:t>6 508,28</w:t>
            </w:r>
          </w:p>
        </w:tc>
      </w:tr>
      <w:tr w:rsidR="00295BCD" w:rsidRPr="001927D6" w14:paraId="38911B79" w14:textId="77777777" w:rsidTr="00295BCD">
        <w:trPr>
          <w:divId w:val="1316184749"/>
          <w:trHeight w:val="300"/>
        </w:trPr>
        <w:tc>
          <w:tcPr>
            <w:tcW w:w="4632" w:type="dxa"/>
            <w:vAlign w:val="bottom"/>
            <w:hideMark/>
          </w:tcPr>
          <w:p w14:paraId="476D96DC" w14:textId="77777777" w:rsidR="00295BCD" w:rsidRPr="001927D6" w:rsidRDefault="00295BCD">
            <w:pPr>
              <w:spacing w:after="0" w:line="240" w:lineRule="auto"/>
              <w:textAlignment w:val="baseline"/>
              <w:rPr>
                <w:szCs w:val="24"/>
                <w:lang w:eastAsia="et-EE"/>
              </w:rPr>
            </w:pPr>
            <w:r w:rsidRPr="001927D6">
              <w:rPr>
                <w:szCs w:val="24"/>
                <w:lang w:eastAsia="et-EE"/>
              </w:rPr>
              <w:t>Mittetraumaatiline stuupor ja kooma </w:t>
            </w:r>
          </w:p>
        </w:tc>
        <w:tc>
          <w:tcPr>
            <w:tcW w:w="732" w:type="dxa"/>
            <w:vAlign w:val="center"/>
            <w:hideMark/>
          </w:tcPr>
          <w:p w14:paraId="52415CDF" w14:textId="77777777" w:rsidR="00295BCD" w:rsidRPr="001927D6" w:rsidRDefault="00295BCD">
            <w:pPr>
              <w:spacing w:after="0" w:line="240" w:lineRule="auto"/>
              <w:jc w:val="center"/>
              <w:textAlignment w:val="baseline"/>
              <w:rPr>
                <w:szCs w:val="24"/>
                <w:lang w:eastAsia="et-EE"/>
              </w:rPr>
            </w:pPr>
            <w:r w:rsidRPr="001927D6">
              <w:rPr>
                <w:szCs w:val="24"/>
                <w:lang w:eastAsia="et-EE"/>
              </w:rPr>
              <w:t>023 </w:t>
            </w:r>
          </w:p>
        </w:tc>
        <w:tc>
          <w:tcPr>
            <w:tcW w:w="1243" w:type="dxa"/>
            <w:vAlign w:val="center"/>
          </w:tcPr>
          <w:p w14:paraId="3094C6E2" w14:textId="77777777" w:rsidR="00295BCD" w:rsidRPr="001927D6" w:rsidRDefault="00295BCD">
            <w:pPr>
              <w:spacing w:after="0" w:line="240" w:lineRule="auto"/>
              <w:jc w:val="center"/>
              <w:textAlignment w:val="baseline"/>
              <w:rPr>
                <w:szCs w:val="24"/>
                <w:lang w:eastAsia="et-EE"/>
              </w:rPr>
            </w:pPr>
            <w:r w:rsidRPr="001927D6">
              <w:rPr>
                <w:color w:val="000000"/>
                <w:szCs w:val="24"/>
              </w:rPr>
              <w:t>3 238,42</w:t>
            </w:r>
          </w:p>
        </w:tc>
        <w:tc>
          <w:tcPr>
            <w:tcW w:w="1211" w:type="dxa"/>
            <w:vAlign w:val="center"/>
          </w:tcPr>
          <w:p w14:paraId="569E86D8" w14:textId="77777777" w:rsidR="00295BCD" w:rsidRPr="001927D6" w:rsidRDefault="00295BCD">
            <w:pPr>
              <w:spacing w:after="0" w:line="240" w:lineRule="auto"/>
              <w:jc w:val="center"/>
              <w:textAlignment w:val="baseline"/>
              <w:rPr>
                <w:szCs w:val="24"/>
                <w:lang w:eastAsia="et-EE"/>
              </w:rPr>
            </w:pPr>
            <w:r w:rsidRPr="001927D6">
              <w:rPr>
                <w:color w:val="000000"/>
                <w:szCs w:val="24"/>
              </w:rPr>
              <w:t>782,01</w:t>
            </w:r>
          </w:p>
        </w:tc>
        <w:tc>
          <w:tcPr>
            <w:tcW w:w="1238" w:type="dxa"/>
            <w:vAlign w:val="center"/>
          </w:tcPr>
          <w:p w14:paraId="1AA7F5E5" w14:textId="77777777" w:rsidR="00295BCD" w:rsidRPr="001927D6" w:rsidRDefault="00295BCD">
            <w:pPr>
              <w:spacing w:after="0" w:line="240" w:lineRule="auto"/>
              <w:jc w:val="center"/>
              <w:textAlignment w:val="baseline"/>
              <w:rPr>
                <w:szCs w:val="24"/>
                <w:lang w:eastAsia="et-EE"/>
              </w:rPr>
            </w:pPr>
            <w:r w:rsidRPr="001927D6">
              <w:rPr>
                <w:color w:val="000000"/>
                <w:szCs w:val="24"/>
              </w:rPr>
              <w:t>6 181,58</w:t>
            </w:r>
          </w:p>
        </w:tc>
      </w:tr>
      <w:tr w:rsidR="00295BCD" w:rsidRPr="001927D6" w14:paraId="2504F2E5" w14:textId="77777777" w:rsidTr="00295BCD">
        <w:trPr>
          <w:divId w:val="1316184749"/>
          <w:trHeight w:val="300"/>
        </w:trPr>
        <w:tc>
          <w:tcPr>
            <w:tcW w:w="4632" w:type="dxa"/>
            <w:vAlign w:val="bottom"/>
            <w:hideMark/>
          </w:tcPr>
          <w:p w14:paraId="31D7BD29" w14:textId="77777777" w:rsidR="00295BCD" w:rsidRPr="001927D6" w:rsidRDefault="00295BCD">
            <w:pPr>
              <w:spacing w:after="0" w:line="240" w:lineRule="auto"/>
              <w:textAlignment w:val="baseline"/>
              <w:rPr>
                <w:szCs w:val="24"/>
                <w:lang w:eastAsia="et-EE"/>
              </w:rPr>
            </w:pPr>
            <w:r w:rsidRPr="001927D6">
              <w:rPr>
                <w:szCs w:val="24"/>
                <w:lang w:eastAsia="et-EE"/>
              </w:rPr>
              <w:t>Krambihood ja peavalu, vanus &gt;17, kht-ga </w:t>
            </w:r>
          </w:p>
        </w:tc>
        <w:tc>
          <w:tcPr>
            <w:tcW w:w="732" w:type="dxa"/>
            <w:vAlign w:val="center"/>
            <w:hideMark/>
          </w:tcPr>
          <w:p w14:paraId="3C809D52" w14:textId="77777777" w:rsidR="00295BCD" w:rsidRPr="001927D6" w:rsidRDefault="00295BCD">
            <w:pPr>
              <w:spacing w:after="0" w:line="240" w:lineRule="auto"/>
              <w:jc w:val="center"/>
              <w:textAlignment w:val="baseline"/>
              <w:rPr>
                <w:szCs w:val="24"/>
                <w:lang w:eastAsia="et-EE"/>
              </w:rPr>
            </w:pPr>
            <w:r w:rsidRPr="001927D6">
              <w:rPr>
                <w:szCs w:val="24"/>
                <w:lang w:eastAsia="et-EE"/>
              </w:rPr>
              <w:t>024 </w:t>
            </w:r>
          </w:p>
        </w:tc>
        <w:tc>
          <w:tcPr>
            <w:tcW w:w="1243" w:type="dxa"/>
            <w:vAlign w:val="center"/>
          </w:tcPr>
          <w:p w14:paraId="2D201AF2" w14:textId="77777777" w:rsidR="00295BCD" w:rsidRPr="001927D6" w:rsidRDefault="00295BCD">
            <w:pPr>
              <w:spacing w:after="0" w:line="240" w:lineRule="auto"/>
              <w:jc w:val="center"/>
              <w:textAlignment w:val="baseline"/>
              <w:rPr>
                <w:szCs w:val="24"/>
                <w:lang w:eastAsia="et-EE"/>
              </w:rPr>
            </w:pPr>
            <w:r w:rsidRPr="001927D6">
              <w:rPr>
                <w:color w:val="000000"/>
                <w:szCs w:val="24"/>
              </w:rPr>
              <w:t>2 708,65</w:t>
            </w:r>
          </w:p>
        </w:tc>
        <w:tc>
          <w:tcPr>
            <w:tcW w:w="1211" w:type="dxa"/>
            <w:vAlign w:val="center"/>
          </w:tcPr>
          <w:p w14:paraId="43B68CAE" w14:textId="77777777" w:rsidR="00295BCD" w:rsidRPr="001927D6" w:rsidRDefault="00295BCD">
            <w:pPr>
              <w:spacing w:after="0" w:line="240" w:lineRule="auto"/>
              <w:jc w:val="center"/>
              <w:textAlignment w:val="baseline"/>
              <w:rPr>
                <w:szCs w:val="24"/>
                <w:lang w:eastAsia="et-EE"/>
              </w:rPr>
            </w:pPr>
            <w:r w:rsidRPr="001927D6">
              <w:rPr>
                <w:color w:val="000000"/>
                <w:szCs w:val="24"/>
              </w:rPr>
              <w:t>780,85</w:t>
            </w:r>
          </w:p>
        </w:tc>
        <w:tc>
          <w:tcPr>
            <w:tcW w:w="1238" w:type="dxa"/>
            <w:vAlign w:val="center"/>
          </w:tcPr>
          <w:p w14:paraId="4D3FD616" w14:textId="77777777" w:rsidR="00295BCD" w:rsidRPr="001927D6" w:rsidRDefault="00295BCD">
            <w:pPr>
              <w:spacing w:after="0" w:line="240" w:lineRule="auto"/>
              <w:jc w:val="center"/>
              <w:textAlignment w:val="baseline"/>
              <w:rPr>
                <w:szCs w:val="24"/>
                <w:lang w:eastAsia="et-EE"/>
              </w:rPr>
            </w:pPr>
            <w:r w:rsidRPr="001927D6">
              <w:rPr>
                <w:color w:val="000000"/>
                <w:szCs w:val="24"/>
              </w:rPr>
              <w:t>6 941,71</w:t>
            </w:r>
          </w:p>
        </w:tc>
      </w:tr>
      <w:tr w:rsidR="00295BCD" w:rsidRPr="001927D6" w14:paraId="7F5E3717" w14:textId="77777777" w:rsidTr="00295BCD">
        <w:trPr>
          <w:divId w:val="1316184749"/>
          <w:trHeight w:val="300"/>
        </w:trPr>
        <w:tc>
          <w:tcPr>
            <w:tcW w:w="4632" w:type="dxa"/>
            <w:vAlign w:val="bottom"/>
            <w:hideMark/>
          </w:tcPr>
          <w:p w14:paraId="49E6FA0E" w14:textId="77777777" w:rsidR="00295BCD" w:rsidRPr="001927D6" w:rsidRDefault="00295BCD">
            <w:pPr>
              <w:spacing w:after="0" w:line="240" w:lineRule="auto"/>
              <w:textAlignment w:val="baseline"/>
              <w:rPr>
                <w:szCs w:val="24"/>
                <w:lang w:eastAsia="et-EE"/>
              </w:rPr>
            </w:pPr>
            <w:r w:rsidRPr="001927D6">
              <w:rPr>
                <w:szCs w:val="24"/>
                <w:lang w:eastAsia="et-EE"/>
              </w:rPr>
              <w:t>Krambihood ja peavalu, vanus &gt;17, kht-ta </w:t>
            </w:r>
          </w:p>
        </w:tc>
        <w:tc>
          <w:tcPr>
            <w:tcW w:w="732" w:type="dxa"/>
            <w:vAlign w:val="center"/>
            <w:hideMark/>
          </w:tcPr>
          <w:p w14:paraId="3D13D423" w14:textId="77777777" w:rsidR="00295BCD" w:rsidRPr="001927D6" w:rsidRDefault="00295BCD">
            <w:pPr>
              <w:spacing w:after="0" w:line="240" w:lineRule="auto"/>
              <w:jc w:val="center"/>
              <w:textAlignment w:val="baseline"/>
              <w:rPr>
                <w:szCs w:val="24"/>
                <w:lang w:eastAsia="et-EE"/>
              </w:rPr>
            </w:pPr>
            <w:r w:rsidRPr="001927D6">
              <w:rPr>
                <w:szCs w:val="24"/>
                <w:lang w:eastAsia="et-EE"/>
              </w:rPr>
              <w:t>025 </w:t>
            </w:r>
          </w:p>
        </w:tc>
        <w:tc>
          <w:tcPr>
            <w:tcW w:w="1243" w:type="dxa"/>
            <w:vAlign w:val="center"/>
          </w:tcPr>
          <w:p w14:paraId="3CBE0F84" w14:textId="77777777" w:rsidR="00295BCD" w:rsidRPr="001927D6" w:rsidRDefault="00295BCD">
            <w:pPr>
              <w:spacing w:after="0" w:line="240" w:lineRule="auto"/>
              <w:jc w:val="center"/>
              <w:textAlignment w:val="baseline"/>
              <w:rPr>
                <w:szCs w:val="24"/>
                <w:lang w:eastAsia="et-EE"/>
              </w:rPr>
            </w:pPr>
            <w:r w:rsidRPr="001927D6">
              <w:rPr>
                <w:color w:val="000000"/>
                <w:szCs w:val="24"/>
              </w:rPr>
              <w:t>1 853,23</w:t>
            </w:r>
          </w:p>
        </w:tc>
        <w:tc>
          <w:tcPr>
            <w:tcW w:w="1211" w:type="dxa"/>
            <w:vAlign w:val="center"/>
          </w:tcPr>
          <w:p w14:paraId="62661BC2" w14:textId="77777777" w:rsidR="00295BCD" w:rsidRPr="001927D6" w:rsidRDefault="00295BCD">
            <w:pPr>
              <w:spacing w:after="0" w:line="240" w:lineRule="auto"/>
              <w:jc w:val="center"/>
              <w:textAlignment w:val="baseline"/>
              <w:rPr>
                <w:szCs w:val="24"/>
                <w:lang w:eastAsia="et-EE"/>
              </w:rPr>
            </w:pPr>
            <w:r w:rsidRPr="001927D6">
              <w:rPr>
                <w:color w:val="000000"/>
                <w:szCs w:val="24"/>
              </w:rPr>
              <w:t>595,53</w:t>
            </w:r>
          </w:p>
        </w:tc>
        <w:tc>
          <w:tcPr>
            <w:tcW w:w="1238" w:type="dxa"/>
            <w:vAlign w:val="center"/>
          </w:tcPr>
          <w:p w14:paraId="0243D565" w14:textId="77777777" w:rsidR="00295BCD" w:rsidRPr="001927D6" w:rsidRDefault="00295BCD">
            <w:pPr>
              <w:spacing w:after="0" w:line="240" w:lineRule="auto"/>
              <w:jc w:val="center"/>
              <w:textAlignment w:val="baseline"/>
              <w:rPr>
                <w:szCs w:val="24"/>
                <w:lang w:eastAsia="et-EE"/>
              </w:rPr>
            </w:pPr>
            <w:r w:rsidRPr="001927D6">
              <w:rPr>
                <w:color w:val="000000"/>
                <w:szCs w:val="24"/>
              </w:rPr>
              <w:t>4 658,76</w:t>
            </w:r>
          </w:p>
        </w:tc>
      </w:tr>
      <w:tr w:rsidR="00295BCD" w:rsidRPr="001927D6" w14:paraId="6A8AB55A" w14:textId="77777777" w:rsidTr="00295BCD">
        <w:trPr>
          <w:divId w:val="1316184749"/>
          <w:trHeight w:val="300"/>
        </w:trPr>
        <w:tc>
          <w:tcPr>
            <w:tcW w:w="4632" w:type="dxa"/>
            <w:vAlign w:val="bottom"/>
            <w:hideMark/>
          </w:tcPr>
          <w:p w14:paraId="5C745E6C" w14:textId="77777777" w:rsidR="00295BCD" w:rsidRPr="001927D6" w:rsidRDefault="00295BCD">
            <w:pPr>
              <w:spacing w:after="0" w:line="240" w:lineRule="auto"/>
              <w:textAlignment w:val="baseline"/>
              <w:rPr>
                <w:szCs w:val="24"/>
                <w:lang w:eastAsia="et-EE"/>
              </w:rPr>
            </w:pPr>
            <w:r w:rsidRPr="001927D6">
              <w:rPr>
                <w:szCs w:val="24"/>
                <w:lang w:eastAsia="et-EE"/>
              </w:rPr>
              <w:t>Krambihood ja peavalu, vanus 0–17 </w:t>
            </w:r>
          </w:p>
        </w:tc>
        <w:tc>
          <w:tcPr>
            <w:tcW w:w="732" w:type="dxa"/>
            <w:vAlign w:val="center"/>
            <w:hideMark/>
          </w:tcPr>
          <w:p w14:paraId="775749BF" w14:textId="77777777" w:rsidR="00295BCD" w:rsidRPr="001927D6" w:rsidRDefault="00295BCD">
            <w:pPr>
              <w:spacing w:after="0" w:line="240" w:lineRule="auto"/>
              <w:jc w:val="center"/>
              <w:textAlignment w:val="baseline"/>
              <w:rPr>
                <w:szCs w:val="24"/>
                <w:lang w:eastAsia="et-EE"/>
              </w:rPr>
            </w:pPr>
            <w:r w:rsidRPr="001927D6">
              <w:rPr>
                <w:szCs w:val="24"/>
                <w:lang w:eastAsia="et-EE"/>
              </w:rPr>
              <w:t>026 </w:t>
            </w:r>
          </w:p>
        </w:tc>
        <w:tc>
          <w:tcPr>
            <w:tcW w:w="1243" w:type="dxa"/>
            <w:vAlign w:val="center"/>
          </w:tcPr>
          <w:p w14:paraId="6AB50F88" w14:textId="77777777" w:rsidR="00295BCD" w:rsidRPr="001927D6" w:rsidRDefault="00295BCD">
            <w:pPr>
              <w:spacing w:after="0" w:line="240" w:lineRule="auto"/>
              <w:jc w:val="center"/>
              <w:textAlignment w:val="baseline"/>
              <w:rPr>
                <w:szCs w:val="24"/>
                <w:lang w:eastAsia="et-EE"/>
              </w:rPr>
            </w:pPr>
            <w:r w:rsidRPr="001927D6">
              <w:rPr>
                <w:color w:val="000000"/>
                <w:szCs w:val="24"/>
              </w:rPr>
              <w:t>1 162,69</w:t>
            </w:r>
          </w:p>
        </w:tc>
        <w:tc>
          <w:tcPr>
            <w:tcW w:w="1211" w:type="dxa"/>
            <w:vAlign w:val="center"/>
          </w:tcPr>
          <w:p w14:paraId="3F21CB05" w14:textId="77777777" w:rsidR="00295BCD" w:rsidRPr="001927D6" w:rsidRDefault="00295BCD">
            <w:pPr>
              <w:spacing w:after="0" w:line="240" w:lineRule="auto"/>
              <w:jc w:val="center"/>
              <w:textAlignment w:val="baseline"/>
              <w:rPr>
                <w:szCs w:val="24"/>
                <w:lang w:eastAsia="et-EE"/>
              </w:rPr>
            </w:pPr>
            <w:r w:rsidRPr="001927D6">
              <w:rPr>
                <w:color w:val="000000"/>
                <w:szCs w:val="24"/>
              </w:rPr>
              <w:t>393,32</w:t>
            </w:r>
          </w:p>
        </w:tc>
        <w:tc>
          <w:tcPr>
            <w:tcW w:w="1238" w:type="dxa"/>
            <w:vAlign w:val="center"/>
          </w:tcPr>
          <w:p w14:paraId="0E7646E7" w14:textId="77777777" w:rsidR="00295BCD" w:rsidRPr="001927D6" w:rsidRDefault="00295BCD">
            <w:pPr>
              <w:spacing w:after="0" w:line="240" w:lineRule="auto"/>
              <w:jc w:val="center"/>
              <w:textAlignment w:val="baseline"/>
              <w:rPr>
                <w:szCs w:val="24"/>
                <w:lang w:eastAsia="et-EE"/>
              </w:rPr>
            </w:pPr>
            <w:r w:rsidRPr="001927D6">
              <w:rPr>
                <w:color w:val="000000"/>
                <w:szCs w:val="24"/>
              </w:rPr>
              <w:t>2 735,92</w:t>
            </w:r>
          </w:p>
        </w:tc>
      </w:tr>
      <w:tr w:rsidR="00295BCD" w:rsidRPr="001927D6" w14:paraId="2A0B0832" w14:textId="77777777" w:rsidTr="00295BCD">
        <w:trPr>
          <w:divId w:val="1316184749"/>
          <w:trHeight w:val="300"/>
        </w:trPr>
        <w:tc>
          <w:tcPr>
            <w:tcW w:w="4632" w:type="dxa"/>
            <w:vAlign w:val="bottom"/>
            <w:hideMark/>
          </w:tcPr>
          <w:p w14:paraId="665C28B1" w14:textId="77777777" w:rsidR="00295BCD" w:rsidRPr="001927D6" w:rsidRDefault="00295BCD">
            <w:pPr>
              <w:spacing w:after="0" w:line="240" w:lineRule="auto"/>
              <w:textAlignment w:val="baseline"/>
              <w:rPr>
                <w:szCs w:val="24"/>
                <w:lang w:eastAsia="et-EE"/>
              </w:rPr>
            </w:pPr>
            <w:r w:rsidRPr="001927D6">
              <w:rPr>
                <w:szCs w:val="24"/>
                <w:lang w:eastAsia="et-EE"/>
              </w:rPr>
              <w:t>Raske traumaatiline ajukahjustus </w:t>
            </w:r>
          </w:p>
        </w:tc>
        <w:tc>
          <w:tcPr>
            <w:tcW w:w="732" w:type="dxa"/>
            <w:vAlign w:val="center"/>
            <w:hideMark/>
          </w:tcPr>
          <w:p w14:paraId="7891F6D3" w14:textId="77777777" w:rsidR="00295BCD" w:rsidRPr="001927D6" w:rsidRDefault="00295BCD">
            <w:pPr>
              <w:spacing w:after="0" w:line="240" w:lineRule="auto"/>
              <w:jc w:val="center"/>
              <w:textAlignment w:val="baseline"/>
              <w:rPr>
                <w:szCs w:val="24"/>
                <w:lang w:eastAsia="et-EE"/>
              </w:rPr>
            </w:pPr>
            <w:r w:rsidRPr="001927D6">
              <w:rPr>
                <w:szCs w:val="24"/>
                <w:lang w:eastAsia="et-EE"/>
              </w:rPr>
              <w:t>027 </w:t>
            </w:r>
          </w:p>
        </w:tc>
        <w:tc>
          <w:tcPr>
            <w:tcW w:w="1243" w:type="dxa"/>
            <w:vAlign w:val="center"/>
          </w:tcPr>
          <w:p w14:paraId="12B6E568" w14:textId="77777777" w:rsidR="00295BCD" w:rsidRPr="001927D6" w:rsidRDefault="00295BCD">
            <w:pPr>
              <w:spacing w:after="0" w:line="240" w:lineRule="auto"/>
              <w:jc w:val="center"/>
              <w:textAlignment w:val="baseline"/>
              <w:rPr>
                <w:szCs w:val="24"/>
                <w:lang w:eastAsia="et-EE"/>
              </w:rPr>
            </w:pPr>
            <w:r w:rsidRPr="001927D6">
              <w:rPr>
                <w:color w:val="000000"/>
                <w:szCs w:val="24"/>
              </w:rPr>
              <w:t>2 248,09</w:t>
            </w:r>
          </w:p>
        </w:tc>
        <w:tc>
          <w:tcPr>
            <w:tcW w:w="1211" w:type="dxa"/>
            <w:vAlign w:val="center"/>
          </w:tcPr>
          <w:p w14:paraId="0D8B77DD" w14:textId="77777777" w:rsidR="00295BCD" w:rsidRPr="001927D6" w:rsidRDefault="00295BCD">
            <w:pPr>
              <w:spacing w:after="0" w:line="240" w:lineRule="auto"/>
              <w:jc w:val="center"/>
              <w:textAlignment w:val="baseline"/>
              <w:rPr>
                <w:szCs w:val="24"/>
                <w:lang w:eastAsia="et-EE"/>
              </w:rPr>
            </w:pPr>
            <w:r w:rsidRPr="001927D6">
              <w:rPr>
                <w:color w:val="000000"/>
                <w:szCs w:val="24"/>
              </w:rPr>
              <w:t>610,26</w:t>
            </w:r>
          </w:p>
        </w:tc>
        <w:tc>
          <w:tcPr>
            <w:tcW w:w="1238" w:type="dxa"/>
            <w:vAlign w:val="center"/>
          </w:tcPr>
          <w:p w14:paraId="3A820BCA" w14:textId="77777777" w:rsidR="00295BCD" w:rsidRPr="001927D6" w:rsidRDefault="00295BCD">
            <w:pPr>
              <w:spacing w:after="0" w:line="240" w:lineRule="auto"/>
              <w:jc w:val="center"/>
              <w:textAlignment w:val="baseline"/>
              <w:rPr>
                <w:szCs w:val="24"/>
                <w:lang w:eastAsia="et-EE"/>
              </w:rPr>
            </w:pPr>
            <w:r w:rsidRPr="001927D6">
              <w:rPr>
                <w:color w:val="000000"/>
                <w:szCs w:val="24"/>
              </w:rPr>
              <w:t>5 630,21</w:t>
            </w:r>
          </w:p>
        </w:tc>
      </w:tr>
      <w:tr w:rsidR="00295BCD" w:rsidRPr="001927D6" w14:paraId="153F9E68" w14:textId="77777777" w:rsidTr="00295BCD">
        <w:trPr>
          <w:divId w:val="1316184749"/>
          <w:trHeight w:val="300"/>
        </w:trPr>
        <w:tc>
          <w:tcPr>
            <w:tcW w:w="4632" w:type="dxa"/>
            <w:vAlign w:val="bottom"/>
            <w:hideMark/>
          </w:tcPr>
          <w:p w14:paraId="04462868" w14:textId="77777777" w:rsidR="00295BCD" w:rsidRPr="001927D6" w:rsidRDefault="00295BCD">
            <w:pPr>
              <w:spacing w:after="0" w:line="240" w:lineRule="auto"/>
              <w:textAlignment w:val="baseline"/>
              <w:rPr>
                <w:szCs w:val="24"/>
                <w:lang w:eastAsia="et-EE"/>
              </w:rPr>
            </w:pPr>
            <w:r w:rsidRPr="001927D6">
              <w:rPr>
                <w:szCs w:val="24"/>
                <w:lang w:eastAsia="et-EE"/>
              </w:rPr>
              <w:t>Traumaatiline ajukahjustus, vanus &gt;17, kht-ga </w:t>
            </w:r>
          </w:p>
        </w:tc>
        <w:tc>
          <w:tcPr>
            <w:tcW w:w="732" w:type="dxa"/>
            <w:vAlign w:val="center"/>
            <w:hideMark/>
          </w:tcPr>
          <w:p w14:paraId="1288C0C7" w14:textId="77777777" w:rsidR="00295BCD" w:rsidRPr="001927D6" w:rsidRDefault="00295BCD">
            <w:pPr>
              <w:spacing w:after="0" w:line="240" w:lineRule="auto"/>
              <w:jc w:val="center"/>
              <w:textAlignment w:val="baseline"/>
              <w:rPr>
                <w:szCs w:val="24"/>
                <w:lang w:eastAsia="et-EE"/>
              </w:rPr>
            </w:pPr>
            <w:r w:rsidRPr="001927D6">
              <w:rPr>
                <w:szCs w:val="24"/>
                <w:lang w:eastAsia="et-EE"/>
              </w:rPr>
              <w:t>028 </w:t>
            </w:r>
          </w:p>
        </w:tc>
        <w:tc>
          <w:tcPr>
            <w:tcW w:w="1243" w:type="dxa"/>
            <w:vAlign w:val="center"/>
          </w:tcPr>
          <w:p w14:paraId="23583F1A" w14:textId="77777777" w:rsidR="00295BCD" w:rsidRPr="001927D6" w:rsidRDefault="00295BCD">
            <w:pPr>
              <w:spacing w:after="0" w:line="240" w:lineRule="auto"/>
              <w:jc w:val="center"/>
              <w:textAlignment w:val="baseline"/>
              <w:rPr>
                <w:szCs w:val="24"/>
                <w:lang w:eastAsia="et-EE"/>
              </w:rPr>
            </w:pPr>
            <w:r w:rsidRPr="001927D6">
              <w:rPr>
                <w:color w:val="000000"/>
                <w:szCs w:val="24"/>
              </w:rPr>
              <w:t>1 491,79</w:t>
            </w:r>
          </w:p>
        </w:tc>
        <w:tc>
          <w:tcPr>
            <w:tcW w:w="1211" w:type="dxa"/>
            <w:vAlign w:val="center"/>
          </w:tcPr>
          <w:p w14:paraId="0B7993C0" w14:textId="77777777" w:rsidR="00295BCD" w:rsidRPr="001927D6" w:rsidRDefault="00295BCD">
            <w:pPr>
              <w:spacing w:after="0" w:line="240" w:lineRule="auto"/>
              <w:jc w:val="center"/>
              <w:textAlignment w:val="baseline"/>
              <w:rPr>
                <w:szCs w:val="24"/>
                <w:lang w:eastAsia="et-EE"/>
              </w:rPr>
            </w:pPr>
            <w:r w:rsidRPr="001927D6">
              <w:rPr>
                <w:color w:val="000000"/>
                <w:szCs w:val="24"/>
              </w:rPr>
              <w:t>467,78</w:t>
            </w:r>
          </w:p>
        </w:tc>
        <w:tc>
          <w:tcPr>
            <w:tcW w:w="1238" w:type="dxa"/>
            <w:vAlign w:val="center"/>
          </w:tcPr>
          <w:p w14:paraId="5225F548" w14:textId="77777777" w:rsidR="00295BCD" w:rsidRPr="001927D6" w:rsidRDefault="00295BCD">
            <w:pPr>
              <w:spacing w:after="0" w:line="240" w:lineRule="auto"/>
              <w:jc w:val="center"/>
              <w:textAlignment w:val="baseline"/>
              <w:rPr>
                <w:szCs w:val="24"/>
                <w:lang w:eastAsia="et-EE"/>
              </w:rPr>
            </w:pPr>
            <w:r w:rsidRPr="001927D6">
              <w:rPr>
                <w:color w:val="000000"/>
                <w:szCs w:val="24"/>
              </w:rPr>
              <w:t>2 722,89</w:t>
            </w:r>
          </w:p>
        </w:tc>
      </w:tr>
      <w:tr w:rsidR="00295BCD" w:rsidRPr="001927D6" w14:paraId="1272478F" w14:textId="77777777" w:rsidTr="00295BCD">
        <w:trPr>
          <w:divId w:val="1316184749"/>
          <w:trHeight w:val="300"/>
        </w:trPr>
        <w:tc>
          <w:tcPr>
            <w:tcW w:w="4632" w:type="dxa"/>
            <w:vAlign w:val="bottom"/>
            <w:hideMark/>
          </w:tcPr>
          <w:p w14:paraId="44ACA7B0" w14:textId="77777777" w:rsidR="00295BCD" w:rsidRPr="001927D6" w:rsidRDefault="00295BCD">
            <w:pPr>
              <w:spacing w:after="0" w:line="240" w:lineRule="auto"/>
              <w:textAlignment w:val="baseline"/>
              <w:rPr>
                <w:szCs w:val="24"/>
                <w:lang w:eastAsia="et-EE"/>
              </w:rPr>
            </w:pPr>
            <w:r w:rsidRPr="001927D6">
              <w:rPr>
                <w:szCs w:val="24"/>
                <w:lang w:eastAsia="et-EE"/>
              </w:rPr>
              <w:t>Traumaatiline ajukahjustus, vanus &gt;17, kht-ta </w:t>
            </w:r>
          </w:p>
        </w:tc>
        <w:tc>
          <w:tcPr>
            <w:tcW w:w="732" w:type="dxa"/>
            <w:vAlign w:val="center"/>
            <w:hideMark/>
          </w:tcPr>
          <w:p w14:paraId="2EA9F5B6" w14:textId="77777777" w:rsidR="00295BCD" w:rsidRPr="001927D6" w:rsidRDefault="00295BCD">
            <w:pPr>
              <w:spacing w:after="0" w:line="240" w:lineRule="auto"/>
              <w:jc w:val="center"/>
              <w:textAlignment w:val="baseline"/>
              <w:rPr>
                <w:szCs w:val="24"/>
                <w:lang w:eastAsia="et-EE"/>
              </w:rPr>
            </w:pPr>
            <w:r w:rsidRPr="001927D6">
              <w:rPr>
                <w:szCs w:val="24"/>
                <w:lang w:eastAsia="et-EE"/>
              </w:rPr>
              <w:t>029 </w:t>
            </w:r>
          </w:p>
        </w:tc>
        <w:tc>
          <w:tcPr>
            <w:tcW w:w="1243" w:type="dxa"/>
            <w:vAlign w:val="center"/>
          </w:tcPr>
          <w:p w14:paraId="49441ABD" w14:textId="77777777" w:rsidR="00295BCD" w:rsidRPr="001927D6" w:rsidRDefault="00295BCD">
            <w:pPr>
              <w:spacing w:after="0" w:line="240" w:lineRule="auto"/>
              <w:jc w:val="center"/>
              <w:textAlignment w:val="baseline"/>
              <w:rPr>
                <w:szCs w:val="24"/>
                <w:lang w:eastAsia="et-EE"/>
              </w:rPr>
            </w:pPr>
            <w:r w:rsidRPr="001927D6">
              <w:rPr>
                <w:color w:val="000000"/>
                <w:szCs w:val="24"/>
              </w:rPr>
              <w:t>1 151,71</w:t>
            </w:r>
          </w:p>
        </w:tc>
        <w:tc>
          <w:tcPr>
            <w:tcW w:w="1211" w:type="dxa"/>
            <w:vAlign w:val="center"/>
          </w:tcPr>
          <w:p w14:paraId="54C29369" w14:textId="77777777" w:rsidR="00295BCD" w:rsidRPr="001927D6" w:rsidRDefault="00295BCD">
            <w:pPr>
              <w:spacing w:after="0" w:line="240" w:lineRule="auto"/>
              <w:jc w:val="center"/>
              <w:textAlignment w:val="baseline"/>
              <w:rPr>
                <w:szCs w:val="24"/>
                <w:lang w:eastAsia="et-EE"/>
              </w:rPr>
            </w:pPr>
            <w:r w:rsidRPr="001927D6">
              <w:rPr>
                <w:color w:val="000000"/>
                <w:szCs w:val="24"/>
              </w:rPr>
              <w:t>397,52</w:t>
            </w:r>
          </w:p>
        </w:tc>
        <w:tc>
          <w:tcPr>
            <w:tcW w:w="1238" w:type="dxa"/>
            <w:vAlign w:val="center"/>
          </w:tcPr>
          <w:p w14:paraId="479DF950" w14:textId="77777777" w:rsidR="00295BCD" w:rsidRPr="001927D6" w:rsidRDefault="00295BCD">
            <w:pPr>
              <w:spacing w:after="0" w:line="240" w:lineRule="auto"/>
              <w:jc w:val="center"/>
              <w:textAlignment w:val="baseline"/>
              <w:rPr>
                <w:szCs w:val="24"/>
                <w:lang w:eastAsia="et-EE"/>
              </w:rPr>
            </w:pPr>
            <w:r w:rsidRPr="001927D6">
              <w:rPr>
                <w:color w:val="000000"/>
                <w:szCs w:val="24"/>
              </w:rPr>
              <w:t>2 946,56</w:t>
            </w:r>
          </w:p>
        </w:tc>
      </w:tr>
      <w:tr w:rsidR="00295BCD" w:rsidRPr="001927D6" w14:paraId="76F798D8" w14:textId="77777777" w:rsidTr="00295BCD">
        <w:trPr>
          <w:divId w:val="1316184749"/>
          <w:trHeight w:val="300"/>
        </w:trPr>
        <w:tc>
          <w:tcPr>
            <w:tcW w:w="4632" w:type="dxa"/>
            <w:vAlign w:val="bottom"/>
            <w:hideMark/>
          </w:tcPr>
          <w:p w14:paraId="452FF617" w14:textId="77777777" w:rsidR="00295BCD" w:rsidRPr="001927D6" w:rsidRDefault="00295BCD">
            <w:pPr>
              <w:spacing w:after="0" w:line="240" w:lineRule="auto"/>
              <w:textAlignment w:val="baseline"/>
              <w:rPr>
                <w:szCs w:val="24"/>
                <w:lang w:eastAsia="et-EE"/>
              </w:rPr>
            </w:pPr>
            <w:r w:rsidRPr="001927D6">
              <w:rPr>
                <w:szCs w:val="24"/>
                <w:lang w:eastAsia="et-EE"/>
              </w:rPr>
              <w:t>Traumaatiline ajukahjustus, vanus 0–17 </w:t>
            </w:r>
          </w:p>
        </w:tc>
        <w:tc>
          <w:tcPr>
            <w:tcW w:w="732" w:type="dxa"/>
            <w:vAlign w:val="center"/>
            <w:hideMark/>
          </w:tcPr>
          <w:p w14:paraId="5C00B296" w14:textId="77777777" w:rsidR="00295BCD" w:rsidRPr="001927D6" w:rsidRDefault="00295BCD">
            <w:pPr>
              <w:spacing w:after="0" w:line="240" w:lineRule="auto"/>
              <w:jc w:val="center"/>
              <w:textAlignment w:val="baseline"/>
              <w:rPr>
                <w:szCs w:val="24"/>
                <w:lang w:eastAsia="et-EE"/>
              </w:rPr>
            </w:pPr>
            <w:r w:rsidRPr="001927D6">
              <w:rPr>
                <w:szCs w:val="24"/>
                <w:lang w:eastAsia="et-EE"/>
              </w:rPr>
              <w:t>030 </w:t>
            </w:r>
          </w:p>
        </w:tc>
        <w:tc>
          <w:tcPr>
            <w:tcW w:w="1243" w:type="dxa"/>
            <w:vAlign w:val="center"/>
          </w:tcPr>
          <w:p w14:paraId="21D0035B" w14:textId="77777777" w:rsidR="00295BCD" w:rsidRPr="001927D6" w:rsidRDefault="00295BCD">
            <w:pPr>
              <w:spacing w:after="0" w:line="240" w:lineRule="auto"/>
              <w:jc w:val="center"/>
              <w:textAlignment w:val="baseline"/>
              <w:rPr>
                <w:szCs w:val="24"/>
                <w:lang w:eastAsia="et-EE"/>
              </w:rPr>
            </w:pPr>
            <w:r w:rsidRPr="001927D6">
              <w:rPr>
                <w:color w:val="000000"/>
                <w:szCs w:val="24"/>
              </w:rPr>
              <w:t>1 096,01</w:t>
            </w:r>
          </w:p>
        </w:tc>
        <w:tc>
          <w:tcPr>
            <w:tcW w:w="1211" w:type="dxa"/>
            <w:vAlign w:val="center"/>
          </w:tcPr>
          <w:p w14:paraId="441D6BE3" w14:textId="77777777" w:rsidR="00295BCD" w:rsidRPr="001927D6" w:rsidRDefault="00295BCD">
            <w:pPr>
              <w:spacing w:after="0" w:line="240" w:lineRule="auto"/>
              <w:jc w:val="center"/>
              <w:textAlignment w:val="baseline"/>
              <w:rPr>
                <w:szCs w:val="24"/>
                <w:lang w:eastAsia="et-EE"/>
              </w:rPr>
            </w:pPr>
            <w:r w:rsidRPr="001927D6">
              <w:rPr>
                <w:color w:val="000000"/>
                <w:szCs w:val="24"/>
              </w:rPr>
              <w:t>259,00</w:t>
            </w:r>
          </w:p>
        </w:tc>
        <w:tc>
          <w:tcPr>
            <w:tcW w:w="1238" w:type="dxa"/>
            <w:vAlign w:val="center"/>
          </w:tcPr>
          <w:p w14:paraId="37C0B54A" w14:textId="77777777" w:rsidR="00295BCD" w:rsidRPr="001927D6" w:rsidRDefault="00295BCD">
            <w:pPr>
              <w:spacing w:after="0" w:line="240" w:lineRule="auto"/>
              <w:jc w:val="center"/>
              <w:textAlignment w:val="baseline"/>
              <w:rPr>
                <w:szCs w:val="24"/>
                <w:lang w:eastAsia="et-EE"/>
              </w:rPr>
            </w:pPr>
            <w:r w:rsidRPr="001927D6">
              <w:rPr>
                <w:color w:val="000000"/>
                <w:szCs w:val="24"/>
              </w:rPr>
              <w:t>3 255,34</w:t>
            </w:r>
          </w:p>
        </w:tc>
      </w:tr>
      <w:tr w:rsidR="00295BCD" w:rsidRPr="001927D6" w14:paraId="39DF2EC5" w14:textId="77777777" w:rsidTr="00295BCD">
        <w:trPr>
          <w:divId w:val="1316184749"/>
          <w:trHeight w:val="300"/>
        </w:trPr>
        <w:tc>
          <w:tcPr>
            <w:tcW w:w="4632" w:type="dxa"/>
            <w:vAlign w:val="bottom"/>
            <w:hideMark/>
          </w:tcPr>
          <w:p w14:paraId="13AF82D1" w14:textId="77777777" w:rsidR="00295BCD" w:rsidRPr="001927D6" w:rsidRDefault="00295BCD">
            <w:pPr>
              <w:spacing w:after="0" w:line="240" w:lineRule="auto"/>
              <w:textAlignment w:val="baseline"/>
              <w:rPr>
                <w:szCs w:val="24"/>
                <w:lang w:eastAsia="et-EE"/>
              </w:rPr>
            </w:pPr>
            <w:r w:rsidRPr="001927D6">
              <w:rPr>
                <w:szCs w:val="24"/>
                <w:lang w:eastAsia="et-EE"/>
              </w:rPr>
              <w:t>Põrutus, vanus &gt;17, kht-ga </w:t>
            </w:r>
          </w:p>
        </w:tc>
        <w:tc>
          <w:tcPr>
            <w:tcW w:w="732" w:type="dxa"/>
            <w:vAlign w:val="center"/>
            <w:hideMark/>
          </w:tcPr>
          <w:p w14:paraId="4F3A5894" w14:textId="77777777" w:rsidR="00295BCD" w:rsidRPr="001927D6" w:rsidRDefault="00295BCD">
            <w:pPr>
              <w:spacing w:after="0" w:line="240" w:lineRule="auto"/>
              <w:jc w:val="center"/>
              <w:textAlignment w:val="baseline"/>
              <w:rPr>
                <w:szCs w:val="24"/>
                <w:lang w:eastAsia="et-EE"/>
              </w:rPr>
            </w:pPr>
            <w:r w:rsidRPr="001927D6">
              <w:rPr>
                <w:szCs w:val="24"/>
                <w:lang w:eastAsia="et-EE"/>
              </w:rPr>
              <w:t>031 </w:t>
            </w:r>
          </w:p>
        </w:tc>
        <w:tc>
          <w:tcPr>
            <w:tcW w:w="1243" w:type="dxa"/>
            <w:vAlign w:val="center"/>
          </w:tcPr>
          <w:p w14:paraId="0C64F8A4" w14:textId="77777777" w:rsidR="00295BCD" w:rsidRPr="001927D6" w:rsidRDefault="00295BCD">
            <w:pPr>
              <w:spacing w:after="0" w:line="240" w:lineRule="auto"/>
              <w:jc w:val="center"/>
              <w:textAlignment w:val="baseline"/>
              <w:rPr>
                <w:szCs w:val="24"/>
                <w:lang w:eastAsia="et-EE"/>
              </w:rPr>
            </w:pPr>
            <w:r w:rsidRPr="001927D6">
              <w:rPr>
                <w:color w:val="000000"/>
                <w:szCs w:val="24"/>
              </w:rPr>
              <w:t>2 024,16</w:t>
            </w:r>
          </w:p>
        </w:tc>
        <w:tc>
          <w:tcPr>
            <w:tcW w:w="1211" w:type="dxa"/>
            <w:vAlign w:val="center"/>
          </w:tcPr>
          <w:p w14:paraId="18A35B03" w14:textId="77777777" w:rsidR="00295BCD" w:rsidRPr="001927D6" w:rsidRDefault="00295BCD">
            <w:pPr>
              <w:spacing w:after="0" w:line="240" w:lineRule="auto"/>
              <w:jc w:val="center"/>
              <w:textAlignment w:val="baseline"/>
              <w:rPr>
                <w:szCs w:val="24"/>
                <w:lang w:eastAsia="et-EE"/>
              </w:rPr>
            </w:pPr>
            <w:r w:rsidRPr="001927D6">
              <w:rPr>
                <w:color w:val="000000"/>
                <w:szCs w:val="24"/>
              </w:rPr>
              <w:t>507,35</w:t>
            </w:r>
          </w:p>
        </w:tc>
        <w:tc>
          <w:tcPr>
            <w:tcW w:w="1238" w:type="dxa"/>
            <w:vAlign w:val="center"/>
          </w:tcPr>
          <w:p w14:paraId="4DE734BE" w14:textId="77777777" w:rsidR="00295BCD" w:rsidRPr="001927D6" w:rsidRDefault="00295BCD">
            <w:pPr>
              <w:spacing w:after="0" w:line="240" w:lineRule="auto"/>
              <w:jc w:val="center"/>
              <w:textAlignment w:val="baseline"/>
              <w:rPr>
                <w:szCs w:val="24"/>
                <w:lang w:eastAsia="et-EE"/>
              </w:rPr>
            </w:pPr>
            <w:r w:rsidRPr="001927D6">
              <w:rPr>
                <w:color w:val="000000"/>
                <w:szCs w:val="24"/>
              </w:rPr>
              <w:t>7 790,22</w:t>
            </w:r>
          </w:p>
        </w:tc>
      </w:tr>
      <w:tr w:rsidR="00295BCD" w:rsidRPr="001927D6" w14:paraId="5F42E325" w14:textId="77777777" w:rsidTr="00295BCD">
        <w:trPr>
          <w:divId w:val="1316184749"/>
          <w:trHeight w:val="300"/>
        </w:trPr>
        <w:tc>
          <w:tcPr>
            <w:tcW w:w="4632" w:type="dxa"/>
            <w:vAlign w:val="bottom"/>
            <w:hideMark/>
          </w:tcPr>
          <w:p w14:paraId="42121BED" w14:textId="77777777" w:rsidR="00295BCD" w:rsidRPr="001927D6" w:rsidRDefault="00295BCD">
            <w:pPr>
              <w:spacing w:after="0" w:line="240" w:lineRule="auto"/>
              <w:textAlignment w:val="baseline"/>
              <w:rPr>
                <w:szCs w:val="24"/>
                <w:lang w:eastAsia="et-EE"/>
              </w:rPr>
            </w:pPr>
            <w:r w:rsidRPr="001927D6">
              <w:rPr>
                <w:szCs w:val="24"/>
                <w:lang w:eastAsia="et-EE"/>
              </w:rPr>
              <w:t>Põrutus, vanus &gt;17, kht-ta </w:t>
            </w:r>
          </w:p>
        </w:tc>
        <w:tc>
          <w:tcPr>
            <w:tcW w:w="732" w:type="dxa"/>
            <w:vAlign w:val="center"/>
            <w:hideMark/>
          </w:tcPr>
          <w:p w14:paraId="4BC61D34" w14:textId="77777777" w:rsidR="00295BCD" w:rsidRPr="001927D6" w:rsidRDefault="00295BCD">
            <w:pPr>
              <w:spacing w:after="0" w:line="240" w:lineRule="auto"/>
              <w:jc w:val="center"/>
              <w:textAlignment w:val="baseline"/>
              <w:rPr>
                <w:szCs w:val="24"/>
                <w:lang w:eastAsia="et-EE"/>
              </w:rPr>
            </w:pPr>
            <w:r w:rsidRPr="001927D6">
              <w:rPr>
                <w:szCs w:val="24"/>
                <w:lang w:eastAsia="et-EE"/>
              </w:rPr>
              <w:t>032 </w:t>
            </w:r>
          </w:p>
        </w:tc>
        <w:tc>
          <w:tcPr>
            <w:tcW w:w="1243" w:type="dxa"/>
            <w:vAlign w:val="center"/>
          </w:tcPr>
          <w:p w14:paraId="0A5B2005" w14:textId="77777777" w:rsidR="00295BCD" w:rsidRPr="001927D6" w:rsidRDefault="00295BCD">
            <w:pPr>
              <w:spacing w:after="0" w:line="240" w:lineRule="auto"/>
              <w:jc w:val="center"/>
              <w:textAlignment w:val="baseline"/>
              <w:rPr>
                <w:szCs w:val="24"/>
                <w:lang w:eastAsia="et-EE"/>
              </w:rPr>
            </w:pPr>
            <w:r w:rsidRPr="001927D6">
              <w:rPr>
                <w:color w:val="000000"/>
                <w:szCs w:val="24"/>
              </w:rPr>
              <w:t>1 101,03</w:t>
            </w:r>
          </w:p>
        </w:tc>
        <w:tc>
          <w:tcPr>
            <w:tcW w:w="1211" w:type="dxa"/>
            <w:vAlign w:val="center"/>
          </w:tcPr>
          <w:p w14:paraId="64E82845" w14:textId="77777777" w:rsidR="00295BCD" w:rsidRPr="001927D6" w:rsidRDefault="00295BCD">
            <w:pPr>
              <w:spacing w:after="0" w:line="240" w:lineRule="auto"/>
              <w:jc w:val="center"/>
              <w:textAlignment w:val="baseline"/>
              <w:rPr>
                <w:szCs w:val="24"/>
                <w:lang w:eastAsia="et-EE"/>
              </w:rPr>
            </w:pPr>
            <w:r w:rsidRPr="001927D6">
              <w:rPr>
                <w:color w:val="000000"/>
                <w:szCs w:val="24"/>
              </w:rPr>
              <w:t>448,98</w:t>
            </w:r>
          </w:p>
        </w:tc>
        <w:tc>
          <w:tcPr>
            <w:tcW w:w="1238" w:type="dxa"/>
            <w:vAlign w:val="center"/>
          </w:tcPr>
          <w:p w14:paraId="395DD1B5" w14:textId="77777777" w:rsidR="00295BCD" w:rsidRPr="001927D6" w:rsidRDefault="00295BCD">
            <w:pPr>
              <w:spacing w:after="0" w:line="240" w:lineRule="auto"/>
              <w:jc w:val="center"/>
              <w:textAlignment w:val="baseline"/>
              <w:rPr>
                <w:szCs w:val="24"/>
                <w:lang w:eastAsia="et-EE"/>
              </w:rPr>
            </w:pPr>
            <w:r w:rsidRPr="001927D6">
              <w:rPr>
                <w:color w:val="000000"/>
                <w:szCs w:val="24"/>
              </w:rPr>
              <w:t>1 957,06</w:t>
            </w:r>
          </w:p>
        </w:tc>
      </w:tr>
      <w:tr w:rsidR="00295BCD" w:rsidRPr="001927D6" w14:paraId="23F485FC" w14:textId="77777777" w:rsidTr="00295BCD">
        <w:trPr>
          <w:divId w:val="1316184749"/>
          <w:trHeight w:val="300"/>
        </w:trPr>
        <w:tc>
          <w:tcPr>
            <w:tcW w:w="4632" w:type="dxa"/>
            <w:vAlign w:val="bottom"/>
            <w:hideMark/>
          </w:tcPr>
          <w:p w14:paraId="2410ECD7" w14:textId="77777777" w:rsidR="00295BCD" w:rsidRPr="001927D6" w:rsidRDefault="00295BCD">
            <w:pPr>
              <w:spacing w:after="0" w:line="240" w:lineRule="auto"/>
              <w:textAlignment w:val="baseline"/>
              <w:rPr>
                <w:szCs w:val="24"/>
                <w:lang w:eastAsia="et-EE"/>
              </w:rPr>
            </w:pPr>
            <w:r w:rsidRPr="001927D6">
              <w:rPr>
                <w:szCs w:val="24"/>
                <w:lang w:eastAsia="et-EE"/>
              </w:rPr>
              <w:t>Põrutus, vanus 0–17 </w:t>
            </w:r>
          </w:p>
        </w:tc>
        <w:tc>
          <w:tcPr>
            <w:tcW w:w="732" w:type="dxa"/>
            <w:vAlign w:val="center"/>
            <w:hideMark/>
          </w:tcPr>
          <w:p w14:paraId="385ACB3F" w14:textId="77777777" w:rsidR="00295BCD" w:rsidRPr="001927D6" w:rsidRDefault="00295BCD">
            <w:pPr>
              <w:spacing w:after="0" w:line="240" w:lineRule="auto"/>
              <w:jc w:val="center"/>
              <w:textAlignment w:val="baseline"/>
              <w:rPr>
                <w:szCs w:val="24"/>
                <w:lang w:eastAsia="et-EE"/>
              </w:rPr>
            </w:pPr>
            <w:r w:rsidRPr="001927D6">
              <w:rPr>
                <w:szCs w:val="24"/>
                <w:lang w:eastAsia="et-EE"/>
              </w:rPr>
              <w:t>033 </w:t>
            </w:r>
          </w:p>
        </w:tc>
        <w:tc>
          <w:tcPr>
            <w:tcW w:w="1243" w:type="dxa"/>
            <w:vAlign w:val="center"/>
          </w:tcPr>
          <w:p w14:paraId="0E34133F" w14:textId="77777777" w:rsidR="00295BCD" w:rsidRPr="001927D6" w:rsidRDefault="00295BCD">
            <w:pPr>
              <w:spacing w:after="0" w:line="240" w:lineRule="auto"/>
              <w:jc w:val="center"/>
              <w:textAlignment w:val="baseline"/>
              <w:rPr>
                <w:szCs w:val="24"/>
                <w:lang w:eastAsia="et-EE"/>
              </w:rPr>
            </w:pPr>
            <w:r w:rsidRPr="001927D6">
              <w:rPr>
                <w:color w:val="000000"/>
                <w:szCs w:val="24"/>
              </w:rPr>
              <w:t>422,79</w:t>
            </w:r>
          </w:p>
        </w:tc>
        <w:tc>
          <w:tcPr>
            <w:tcW w:w="1211" w:type="dxa"/>
            <w:vAlign w:val="center"/>
          </w:tcPr>
          <w:p w14:paraId="7ED305D0" w14:textId="77777777" w:rsidR="00295BCD" w:rsidRPr="001927D6" w:rsidRDefault="00295BCD">
            <w:pPr>
              <w:spacing w:after="0" w:line="240" w:lineRule="auto"/>
              <w:jc w:val="center"/>
              <w:textAlignment w:val="baseline"/>
              <w:rPr>
                <w:szCs w:val="24"/>
                <w:lang w:eastAsia="et-EE"/>
              </w:rPr>
            </w:pPr>
            <w:r w:rsidRPr="001927D6">
              <w:rPr>
                <w:color w:val="000000"/>
                <w:szCs w:val="24"/>
              </w:rPr>
              <w:t>240,67</w:t>
            </w:r>
          </w:p>
        </w:tc>
        <w:tc>
          <w:tcPr>
            <w:tcW w:w="1238" w:type="dxa"/>
            <w:vAlign w:val="center"/>
          </w:tcPr>
          <w:p w14:paraId="00930A08" w14:textId="77777777" w:rsidR="00295BCD" w:rsidRPr="001927D6" w:rsidRDefault="00295BCD">
            <w:pPr>
              <w:spacing w:after="0" w:line="240" w:lineRule="auto"/>
              <w:jc w:val="center"/>
              <w:textAlignment w:val="baseline"/>
              <w:rPr>
                <w:szCs w:val="24"/>
                <w:lang w:eastAsia="et-EE"/>
              </w:rPr>
            </w:pPr>
            <w:r w:rsidRPr="001927D6">
              <w:rPr>
                <w:color w:val="000000"/>
                <w:szCs w:val="24"/>
              </w:rPr>
              <w:t>912,62</w:t>
            </w:r>
          </w:p>
        </w:tc>
      </w:tr>
      <w:tr w:rsidR="00295BCD" w:rsidRPr="001927D6" w14:paraId="1A7FFA36" w14:textId="77777777" w:rsidTr="00295BCD">
        <w:trPr>
          <w:divId w:val="1316184749"/>
          <w:trHeight w:val="300"/>
        </w:trPr>
        <w:tc>
          <w:tcPr>
            <w:tcW w:w="4632" w:type="dxa"/>
            <w:vAlign w:val="bottom"/>
            <w:hideMark/>
          </w:tcPr>
          <w:p w14:paraId="76C4ED69" w14:textId="77777777" w:rsidR="00295BCD" w:rsidRPr="001927D6" w:rsidRDefault="00295BCD">
            <w:pPr>
              <w:spacing w:after="0" w:line="240" w:lineRule="auto"/>
              <w:textAlignment w:val="baseline"/>
              <w:rPr>
                <w:szCs w:val="24"/>
                <w:lang w:eastAsia="et-EE"/>
              </w:rPr>
            </w:pPr>
            <w:r w:rsidRPr="001927D6">
              <w:rPr>
                <w:szCs w:val="24"/>
                <w:lang w:eastAsia="et-EE"/>
              </w:rPr>
              <w:t>Närvisüsteemi muud haigused, kht-ga </w:t>
            </w:r>
          </w:p>
        </w:tc>
        <w:tc>
          <w:tcPr>
            <w:tcW w:w="732" w:type="dxa"/>
            <w:vAlign w:val="center"/>
            <w:hideMark/>
          </w:tcPr>
          <w:p w14:paraId="7BD4CAD1" w14:textId="77777777" w:rsidR="00295BCD" w:rsidRPr="001927D6" w:rsidRDefault="00295BCD">
            <w:pPr>
              <w:spacing w:after="0" w:line="240" w:lineRule="auto"/>
              <w:jc w:val="center"/>
              <w:textAlignment w:val="baseline"/>
              <w:rPr>
                <w:szCs w:val="24"/>
                <w:lang w:eastAsia="et-EE"/>
              </w:rPr>
            </w:pPr>
            <w:r w:rsidRPr="001927D6">
              <w:rPr>
                <w:szCs w:val="24"/>
                <w:lang w:eastAsia="et-EE"/>
              </w:rPr>
              <w:t>034 </w:t>
            </w:r>
          </w:p>
        </w:tc>
        <w:tc>
          <w:tcPr>
            <w:tcW w:w="1243" w:type="dxa"/>
            <w:vAlign w:val="center"/>
          </w:tcPr>
          <w:p w14:paraId="2D75AB4A" w14:textId="77777777" w:rsidR="00295BCD" w:rsidRPr="001927D6" w:rsidRDefault="00295BCD">
            <w:pPr>
              <w:spacing w:after="0" w:line="240" w:lineRule="auto"/>
              <w:jc w:val="center"/>
              <w:textAlignment w:val="baseline"/>
              <w:rPr>
                <w:szCs w:val="24"/>
                <w:lang w:eastAsia="et-EE"/>
              </w:rPr>
            </w:pPr>
            <w:r w:rsidRPr="001927D6">
              <w:rPr>
                <w:color w:val="000000"/>
                <w:szCs w:val="24"/>
              </w:rPr>
              <w:t>2 241,40</w:t>
            </w:r>
          </w:p>
        </w:tc>
        <w:tc>
          <w:tcPr>
            <w:tcW w:w="1211" w:type="dxa"/>
            <w:vAlign w:val="center"/>
          </w:tcPr>
          <w:p w14:paraId="1638F700" w14:textId="77777777" w:rsidR="00295BCD" w:rsidRPr="001927D6" w:rsidRDefault="00295BCD">
            <w:pPr>
              <w:spacing w:after="0" w:line="240" w:lineRule="auto"/>
              <w:jc w:val="center"/>
              <w:textAlignment w:val="baseline"/>
              <w:rPr>
                <w:szCs w:val="24"/>
                <w:lang w:eastAsia="et-EE"/>
              </w:rPr>
            </w:pPr>
            <w:r w:rsidRPr="001927D6">
              <w:rPr>
                <w:color w:val="000000"/>
                <w:szCs w:val="24"/>
              </w:rPr>
              <w:t>562,24</w:t>
            </w:r>
          </w:p>
        </w:tc>
        <w:tc>
          <w:tcPr>
            <w:tcW w:w="1238" w:type="dxa"/>
            <w:vAlign w:val="center"/>
          </w:tcPr>
          <w:p w14:paraId="2268688F" w14:textId="77777777" w:rsidR="00295BCD" w:rsidRPr="001927D6" w:rsidRDefault="00295BCD">
            <w:pPr>
              <w:spacing w:after="0" w:line="240" w:lineRule="auto"/>
              <w:jc w:val="center"/>
              <w:textAlignment w:val="baseline"/>
              <w:rPr>
                <w:szCs w:val="24"/>
                <w:lang w:eastAsia="et-EE"/>
              </w:rPr>
            </w:pPr>
            <w:r w:rsidRPr="001927D6">
              <w:rPr>
                <w:color w:val="000000"/>
                <w:szCs w:val="24"/>
              </w:rPr>
              <w:t>7 740,99</w:t>
            </w:r>
          </w:p>
        </w:tc>
      </w:tr>
      <w:tr w:rsidR="00295BCD" w:rsidRPr="001927D6" w14:paraId="03C2867E" w14:textId="77777777" w:rsidTr="00295BCD">
        <w:trPr>
          <w:divId w:val="1316184749"/>
          <w:trHeight w:val="300"/>
        </w:trPr>
        <w:tc>
          <w:tcPr>
            <w:tcW w:w="4632" w:type="dxa"/>
            <w:vAlign w:val="bottom"/>
            <w:hideMark/>
          </w:tcPr>
          <w:p w14:paraId="3AAEAF4D" w14:textId="77777777" w:rsidR="00295BCD" w:rsidRPr="001927D6" w:rsidRDefault="00295BCD">
            <w:pPr>
              <w:spacing w:after="0" w:line="240" w:lineRule="auto"/>
              <w:textAlignment w:val="baseline"/>
              <w:rPr>
                <w:szCs w:val="24"/>
                <w:lang w:eastAsia="et-EE"/>
              </w:rPr>
            </w:pPr>
            <w:r w:rsidRPr="001927D6">
              <w:rPr>
                <w:szCs w:val="24"/>
                <w:lang w:eastAsia="et-EE"/>
              </w:rPr>
              <w:t>Närvisüsteemi muud haigused, kht-ta </w:t>
            </w:r>
          </w:p>
        </w:tc>
        <w:tc>
          <w:tcPr>
            <w:tcW w:w="732" w:type="dxa"/>
            <w:vAlign w:val="center"/>
            <w:hideMark/>
          </w:tcPr>
          <w:p w14:paraId="5A87F3F7" w14:textId="77777777" w:rsidR="00295BCD" w:rsidRPr="001927D6" w:rsidRDefault="00295BCD">
            <w:pPr>
              <w:spacing w:after="0" w:line="240" w:lineRule="auto"/>
              <w:jc w:val="center"/>
              <w:textAlignment w:val="baseline"/>
              <w:rPr>
                <w:szCs w:val="24"/>
                <w:lang w:eastAsia="et-EE"/>
              </w:rPr>
            </w:pPr>
            <w:r w:rsidRPr="001927D6">
              <w:rPr>
                <w:szCs w:val="24"/>
                <w:lang w:eastAsia="et-EE"/>
              </w:rPr>
              <w:t>035 </w:t>
            </w:r>
          </w:p>
        </w:tc>
        <w:tc>
          <w:tcPr>
            <w:tcW w:w="1243" w:type="dxa"/>
            <w:vAlign w:val="center"/>
          </w:tcPr>
          <w:p w14:paraId="2CA72026" w14:textId="77777777" w:rsidR="00295BCD" w:rsidRPr="001927D6" w:rsidRDefault="00295BCD">
            <w:pPr>
              <w:spacing w:after="0" w:line="240" w:lineRule="auto"/>
              <w:jc w:val="center"/>
              <w:textAlignment w:val="baseline"/>
              <w:rPr>
                <w:szCs w:val="24"/>
                <w:lang w:eastAsia="et-EE"/>
              </w:rPr>
            </w:pPr>
            <w:r w:rsidRPr="001927D6">
              <w:rPr>
                <w:color w:val="000000"/>
                <w:szCs w:val="24"/>
              </w:rPr>
              <w:t>1 589,79</w:t>
            </w:r>
          </w:p>
        </w:tc>
        <w:tc>
          <w:tcPr>
            <w:tcW w:w="1211" w:type="dxa"/>
            <w:vAlign w:val="center"/>
          </w:tcPr>
          <w:p w14:paraId="22892E58" w14:textId="77777777" w:rsidR="00295BCD" w:rsidRPr="001927D6" w:rsidRDefault="00295BCD">
            <w:pPr>
              <w:spacing w:after="0" w:line="240" w:lineRule="auto"/>
              <w:jc w:val="center"/>
              <w:textAlignment w:val="baseline"/>
              <w:rPr>
                <w:szCs w:val="24"/>
                <w:lang w:eastAsia="et-EE"/>
              </w:rPr>
            </w:pPr>
            <w:r w:rsidRPr="001927D6">
              <w:rPr>
                <w:color w:val="000000"/>
                <w:szCs w:val="24"/>
              </w:rPr>
              <w:t>585,99</w:t>
            </w:r>
          </w:p>
        </w:tc>
        <w:tc>
          <w:tcPr>
            <w:tcW w:w="1238" w:type="dxa"/>
            <w:vAlign w:val="center"/>
          </w:tcPr>
          <w:p w14:paraId="03C3A5F6" w14:textId="77777777" w:rsidR="00295BCD" w:rsidRPr="001927D6" w:rsidRDefault="00295BCD">
            <w:pPr>
              <w:spacing w:after="0" w:line="240" w:lineRule="auto"/>
              <w:jc w:val="center"/>
              <w:textAlignment w:val="baseline"/>
              <w:rPr>
                <w:szCs w:val="24"/>
                <w:lang w:eastAsia="et-EE"/>
              </w:rPr>
            </w:pPr>
            <w:r w:rsidRPr="001927D6">
              <w:rPr>
                <w:color w:val="000000"/>
                <w:szCs w:val="24"/>
              </w:rPr>
              <w:t>3 460,97</w:t>
            </w:r>
          </w:p>
        </w:tc>
      </w:tr>
      <w:tr w:rsidR="00295BCD" w:rsidRPr="001927D6" w14:paraId="778FBFEA" w14:textId="77777777" w:rsidTr="00295BCD">
        <w:trPr>
          <w:divId w:val="1316184749"/>
          <w:trHeight w:val="300"/>
        </w:trPr>
        <w:tc>
          <w:tcPr>
            <w:tcW w:w="4632" w:type="dxa"/>
            <w:vAlign w:val="bottom"/>
            <w:hideMark/>
          </w:tcPr>
          <w:p w14:paraId="58AE451F" w14:textId="77777777" w:rsidR="00295BCD" w:rsidRPr="001927D6" w:rsidRDefault="00295BCD">
            <w:pPr>
              <w:spacing w:after="0" w:line="240" w:lineRule="auto"/>
              <w:textAlignment w:val="baseline"/>
              <w:rPr>
                <w:szCs w:val="24"/>
                <w:lang w:eastAsia="et-EE"/>
              </w:rPr>
            </w:pPr>
            <w:r w:rsidRPr="001927D6">
              <w:rPr>
                <w:szCs w:val="24"/>
                <w:lang w:eastAsia="et-EE"/>
              </w:rPr>
              <w:t>Kiiritusravi protseduur silmal </w:t>
            </w:r>
          </w:p>
        </w:tc>
        <w:tc>
          <w:tcPr>
            <w:tcW w:w="732" w:type="dxa"/>
            <w:vAlign w:val="center"/>
            <w:hideMark/>
          </w:tcPr>
          <w:p w14:paraId="309E9CB1" w14:textId="77777777" w:rsidR="00295BCD" w:rsidRPr="001927D6" w:rsidRDefault="00295BCD">
            <w:pPr>
              <w:spacing w:after="0" w:line="240" w:lineRule="auto"/>
              <w:jc w:val="center"/>
              <w:textAlignment w:val="baseline"/>
              <w:rPr>
                <w:szCs w:val="24"/>
                <w:lang w:eastAsia="et-EE"/>
              </w:rPr>
            </w:pPr>
            <w:r w:rsidRPr="001927D6">
              <w:rPr>
                <w:szCs w:val="24"/>
                <w:lang w:eastAsia="et-EE"/>
              </w:rPr>
              <w:t>036C </w:t>
            </w:r>
          </w:p>
        </w:tc>
        <w:tc>
          <w:tcPr>
            <w:tcW w:w="1243" w:type="dxa"/>
            <w:vAlign w:val="center"/>
          </w:tcPr>
          <w:p w14:paraId="4FEDF164" w14:textId="77777777" w:rsidR="00295BCD" w:rsidRPr="001927D6" w:rsidRDefault="00295BCD">
            <w:pPr>
              <w:spacing w:after="0" w:line="240" w:lineRule="auto"/>
              <w:jc w:val="center"/>
              <w:textAlignment w:val="baseline"/>
              <w:rPr>
                <w:szCs w:val="24"/>
                <w:lang w:eastAsia="et-EE"/>
              </w:rPr>
            </w:pPr>
            <w:r w:rsidRPr="001927D6">
              <w:rPr>
                <w:color w:val="000000"/>
                <w:szCs w:val="24"/>
              </w:rPr>
              <w:t>2 815,70</w:t>
            </w:r>
          </w:p>
        </w:tc>
        <w:tc>
          <w:tcPr>
            <w:tcW w:w="1211" w:type="dxa"/>
            <w:vAlign w:val="center"/>
          </w:tcPr>
          <w:p w14:paraId="765260EB" w14:textId="77777777" w:rsidR="00295BCD" w:rsidRPr="001927D6" w:rsidRDefault="00295BCD">
            <w:pPr>
              <w:spacing w:after="0" w:line="240" w:lineRule="auto"/>
              <w:jc w:val="center"/>
              <w:textAlignment w:val="baseline"/>
              <w:rPr>
                <w:szCs w:val="24"/>
                <w:lang w:eastAsia="et-EE"/>
              </w:rPr>
            </w:pPr>
            <w:r w:rsidRPr="001927D6">
              <w:rPr>
                <w:color w:val="000000"/>
                <w:szCs w:val="24"/>
              </w:rPr>
              <w:t>2 672,33</w:t>
            </w:r>
          </w:p>
        </w:tc>
        <w:tc>
          <w:tcPr>
            <w:tcW w:w="1238" w:type="dxa"/>
            <w:vAlign w:val="center"/>
          </w:tcPr>
          <w:p w14:paraId="515CFE2C" w14:textId="77777777" w:rsidR="00295BCD" w:rsidRPr="001927D6" w:rsidRDefault="00295BCD">
            <w:pPr>
              <w:spacing w:after="0" w:line="240" w:lineRule="auto"/>
              <w:jc w:val="center"/>
              <w:textAlignment w:val="baseline"/>
              <w:rPr>
                <w:szCs w:val="24"/>
                <w:lang w:eastAsia="et-EE"/>
              </w:rPr>
            </w:pPr>
            <w:r w:rsidRPr="001927D6">
              <w:rPr>
                <w:color w:val="000000"/>
                <w:szCs w:val="24"/>
              </w:rPr>
              <w:t>3 087,50</w:t>
            </w:r>
          </w:p>
        </w:tc>
      </w:tr>
      <w:tr w:rsidR="00295BCD" w:rsidRPr="001927D6" w14:paraId="3CD92B45" w14:textId="77777777" w:rsidTr="00295BCD">
        <w:trPr>
          <w:divId w:val="1316184749"/>
          <w:trHeight w:val="300"/>
        </w:trPr>
        <w:tc>
          <w:tcPr>
            <w:tcW w:w="4632" w:type="dxa"/>
            <w:vAlign w:val="bottom"/>
            <w:hideMark/>
          </w:tcPr>
          <w:p w14:paraId="60C25D5B" w14:textId="77777777" w:rsidR="00295BCD" w:rsidRPr="001927D6" w:rsidRDefault="00295BCD">
            <w:pPr>
              <w:spacing w:after="0" w:line="240" w:lineRule="auto"/>
              <w:textAlignment w:val="baseline"/>
              <w:rPr>
                <w:szCs w:val="24"/>
                <w:lang w:eastAsia="et-EE"/>
              </w:rPr>
            </w:pPr>
            <w:r w:rsidRPr="001927D6">
              <w:rPr>
                <w:szCs w:val="24"/>
                <w:lang w:eastAsia="et-EE"/>
              </w:rPr>
              <w:t>Suur operatsioon silmal </w:t>
            </w:r>
          </w:p>
        </w:tc>
        <w:tc>
          <w:tcPr>
            <w:tcW w:w="732" w:type="dxa"/>
            <w:vAlign w:val="center"/>
            <w:hideMark/>
          </w:tcPr>
          <w:p w14:paraId="1B8454E3" w14:textId="77777777" w:rsidR="00295BCD" w:rsidRPr="001927D6" w:rsidRDefault="00295BCD">
            <w:pPr>
              <w:spacing w:after="0" w:line="240" w:lineRule="auto"/>
              <w:jc w:val="center"/>
              <w:textAlignment w:val="baseline"/>
              <w:rPr>
                <w:szCs w:val="24"/>
                <w:lang w:eastAsia="et-EE"/>
              </w:rPr>
            </w:pPr>
            <w:r w:rsidRPr="001927D6">
              <w:rPr>
                <w:szCs w:val="24"/>
                <w:lang w:eastAsia="et-EE"/>
              </w:rPr>
              <w:t>036D </w:t>
            </w:r>
          </w:p>
        </w:tc>
        <w:tc>
          <w:tcPr>
            <w:tcW w:w="1243" w:type="dxa"/>
            <w:vAlign w:val="center"/>
          </w:tcPr>
          <w:p w14:paraId="3EB9405D" w14:textId="77777777" w:rsidR="00295BCD" w:rsidRPr="001927D6" w:rsidRDefault="00295BCD">
            <w:pPr>
              <w:spacing w:after="0" w:line="240" w:lineRule="auto"/>
              <w:jc w:val="center"/>
              <w:textAlignment w:val="baseline"/>
              <w:rPr>
                <w:szCs w:val="24"/>
                <w:lang w:eastAsia="et-EE"/>
              </w:rPr>
            </w:pPr>
            <w:r w:rsidRPr="001927D6">
              <w:rPr>
                <w:color w:val="000000"/>
                <w:szCs w:val="24"/>
              </w:rPr>
              <w:t>2 420,93</w:t>
            </w:r>
          </w:p>
        </w:tc>
        <w:tc>
          <w:tcPr>
            <w:tcW w:w="1211" w:type="dxa"/>
            <w:vAlign w:val="center"/>
          </w:tcPr>
          <w:p w14:paraId="63E6F697" w14:textId="77777777" w:rsidR="00295BCD" w:rsidRPr="001927D6" w:rsidRDefault="00295BCD">
            <w:pPr>
              <w:spacing w:after="0" w:line="240" w:lineRule="auto"/>
              <w:jc w:val="center"/>
              <w:textAlignment w:val="baseline"/>
              <w:rPr>
                <w:szCs w:val="24"/>
                <w:lang w:eastAsia="et-EE"/>
              </w:rPr>
            </w:pPr>
            <w:r w:rsidRPr="001927D6">
              <w:rPr>
                <w:color w:val="000000"/>
                <w:szCs w:val="24"/>
              </w:rPr>
              <w:t>1 887,10</w:t>
            </w:r>
          </w:p>
        </w:tc>
        <w:tc>
          <w:tcPr>
            <w:tcW w:w="1238" w:type="dxa"/>
            <w:vAlign w:val="center"/>
          </w:tcPr>
          <w:p w14:paraId="2E8EF1A6" w14:textId="77777777" w:rsidR="00295BCD" w:rsidRPr="001927D6" w:rsidRDefault="00295BCD">
            <w:pPr>
              <w:spacing w:after="0" w:line="240" w:lineRule="auto"/>
              <w:jc w:val="center"/>
              <w:textAlignment w:val="baseline"/>
              <w:rPr>
                <w:szCs w:val="24"/>
                <w:lang w:eastAsia="et-EE"/>
              </w:rPr>
            </w:pPr>
            <w:r w:rsidRPr="001927D6">
              <w:rPr>
                <w:color w:val="000000"/>
                <w:szCs w:val="24"/>
              </w:rPr>
              <w:t>2 940,87</w:t>
            </w:r>
          </w:p>
        </w:tc>
      </w:tr>
      <w:tr w:rsidR="00295BCD" w:rsidRPr="001927D6" w14:paraId="4237219B" w14:textId="77777777" w:rsidTr="00295BCD">
        <w:trPr>
          <w:divId w:val="1316184749"/>
          <w:trHeight w:val="300"/>
        </w:trPr>
        <w:tc>
          <w:tcPr>
            <w:tcW w:w="4632" w:type="dxa"/>
            <w:vAlign w:val="bottom"/>
            <w:hideMark/>
          </w:tcPr>
          <w:p w14:paraId="725DD838" w14:textId="77777777" w:rsidR="00295BCD" w:rsidRPr="001927D6" w:rsidRDefault="00295BCD">
            <w:pPr>
              <w:spacing w:after="0" w:line="240" w:lineRule="auto"/>
              <w:textAlignment w:val="baseline"/>
              <w:rPr>
                <w:szCs w:val="24"/>
                <w:lang w:eastAsia="et-EE"/>
              </w:rPr>
            </w:pPr>
            <w:r w:rsidRPr="001927D6">
              <w:rPr>
                <w:szCs w:val="24"/>
                <w:lang w:eastAsia="et-EE"/>
              </w:rPr>
              <w:t>Võrkkesta operatsioonid </w:t>
            </w:r>
          </w:p>
        </w:tc>
        <w:tc>
          <w:tcPr>
            <w:tcW w:w="732" w:type="dxa"/>
            <w:vAlign w:val="center"/>
            <w:hideMark/>
          </w:tcPr>
          <w:p w14:paraId="153CDA9A" w14:textId="77777777" w:rsidR="00295BCD" w:rsidRPr="001927D6" w:rsidRDefault="00295BCD">
            <w:pPr>
              <w:spacing w:after="0" w:line="240" w:lineRule="auto"/>
              <w:jc w:val="center"/>
              <w:textAlignment w:val="baseline"/>
              <w:rPr>
                <w:szCs w:val="24"/>
                <w:lang w:eastAsia="et-EE"/>
              </w:rPr>
            </w:pPr>
            <w:r w:rsidRPr="001927D6">
              <w:rPr>
                <w:szCs w:val="24"/>
                <w:lang w:eastAsia="et-EE"/>
              </w:rPr>
              <w:t>036E </w:t>
            </w:r>
          </w:p>
        </w:tc>
        <w:tc>
          <w:tcPr>
            <w:tcW w:w="1243" w:type="dxa"/>
            <w:vAlign w:val="center"/>
          </w:tcPr>
          <w:p w14:paraId="5A9AFBF8" w14:textId="77777777" w:rsidR="00295BCD" w:rsidRPr="001927D6" w:rsidRDefault="00295BCD">
            <w:pPr>
              <w:spacing w:after="0" w:line="240" w:lineRule="auto"/>
              <w:jc w:val="center"/>
              <w:textAlignment w:val="baseline"/>
              <w:rPr>
                <w:szCs w:val="24"/>
                <w:lang w:eastAsia="et-EE"/>
              </w:rPr>
            </w:pPr>
            <w:r w:rsidRPr="001927D6">
              <w:rPr>
                <w:color w:val="000000"/>
                <w:szCs w:val="24"/>
              </w:rPr>
              <w:t>2 135,43</w:t>
            </w:r>
          </w:p>
        </w:tc>
        <w:tc>
          <w:tcPr>
            <w:tcW w:w="1211" w:type="dxa"/>
            <w:vAlign w:val="center"/>
          </w:tcPr>
          <w:p w14:paraId="06C13183" w14:textId="77777777" w:rsidR="00295BCD" w:rsidRPr="001927D6" w:rsidRDefault="00295BCD">
            <w:pPr>
              <w:spacing w:after="0" w:line="240" w:lineRule="auto"/>
              <w:jc w:val="center"/>
              <w:textAlignment w:val="baseline"/>
              <w:rPr>
                <w:szCs w:val="24"/>
                <w:lang w:eastAsia="et-EE"/>
              </w:rPr>
            </w:pPr>
            <w:r w:rsidRPr="001927D6">
              <w:rPr>
                <w:color w:val="000000"/>
                <w:szCs w:val="24"/>
              </w:rPr>
              <w:t>765,17</w:t>
            </w:r>
          </w:p>
        </w:tc>
        <w:tc>
          <w:tcPr>
            <w:tcW w:w="1238" w:type="dxa"/>
            <w:vAlign w:val="center"/>
          </w:tcPr>
          <w:p w14:paraId="3C952EF4" w14:textId="77777777" w:rsidR="00295BCD" w:rsidRPr="001927D6" w:rsidRDefault="00295BCD">
            <w:pPr>
              <w:spacing w:after="0" w:line="240" w:lineRule="auto"/>
              <w:jc w:val="center"/>
              <w:textAlignment w:val="baseline"/>
              <w:rPr>
                <w:szCs w:val="24"/>
                <w:lang w:eastAsia="et-EE"/>
              </w:rPr>
            </w:pPr>
            <w:r w:rsidRPr="001927D6">
              <w:rPr>
                <w:color w:val="000000"/>
                <w:szCs w:val="24"/>
              </w:rPr>
              <w:t>2 493,18</w:t>
            </w:r>
          </w:p>
        </w:tc>
      </w:tr>
      <w:tr w:rsidR="00295BCD" w:rsidRPr="001927D6" w14:paraId="07BD2652" w14:textId="77777777" w:rsidTr="00295BCD">
        <w:trPr>
          <w:divId w:val="1316184749"/>
          <w:trHeight w:val="300"/>
        </w:trPr>
        <w:tc>
          <w:tcPr>
            <w:tcW w:w="4632" w:type="dxa"/>
            <w:vAlign w:val="bottom"/>
            <w:hideMark/>
          </w:tcPr>
          <w:p w14:paraId="5810FE6A" w14:textId="77777777" w:rsidR="00295BCD" w:rsidRPr="001927D6" w:rsidRDefault="00295BCD">
            <w:pPr>
              <w:spacing w:after="0" w:line="240" w:lineRule="auto"/>
              <w:textAlignment w:val="baseline"/>
              <w:rPr>
                <w:szCs w:val="24"/>
                <w:lang w:eastAsia="et-EE"/>
              </w:rPr>
            </w:pPr>
            <w:r w:rsidRPr="001927D6">
              <w:rPr>
                <w:szCs w:val="24"/>
                <w:lang w:eastAsia="et-EE"/>
              </w:rPr>
              <w:t>Võrkkesta operatsioonid, lühike ravi </w:t>
            </w:r>
          </w:p>
        </w:tc>
        <w:tc>
          <w:tcPr>
            <w:tcW w:w="732" w:type="dxa"/>
            <w:vAlign w:val="center"/>
            <w:hideMark/>
          </w:tcPr>
          <w:p w14:paraId="1EFD10CF" w14:textId="77777777" w:rsidR="00295BCD" w:rsidRPr="001927D6" w:rsidRDefault="00295BCD">
            <w:pPr>
              <w:spacing w:after="0" w:line="240" w:lineRule="auto"/>
              <w:jc w:val="center"/>
              <w:textAlignment w:val="baseline"/>
              <w:rPr>
                <w:szCs w:val="24"/>
                <w:lang w:eastAsia="et-EE"/>
              </w:rPr>
            </w:pPr>
            <w:r w:rsidRPr="001927D6">
              <w:rPr>
                <w:szCs w:val="24"/>
                <w:lang w:eastAsia="et-EE"/>
              </w:rPr>
              <w:t>036O </w:t>
            </w:r>
          </w:p>
        </w:tc>
        <w:tc>
          <w:tcPr>
            <w:tcW w:w="1243" w:type="dxa"/>
            <w:vAlign w:val="center"/>
          </w:tcPr>
          <w:p w14:paraId="6D7AA90B" w14:textId="77777777" w:rsidR="00295BCD" w:rsidRPr="001927D6" w:rsidRDefault="00295BCD">
            <w:pPr>
              <w:spacing w:after="0" w:line="240" w:lineRule="auto"/>
              <w:jc w:val="center"/>
              <w:textAlignment w:val="baseline"/>
              <w:rPr>
                <w:szCs w:val="24"/>
                <w:lang w:eastAsia="et-EE"/>
              </w:rPr>
            </w:pPr>
            <w:r w:rsidRPr="001927D6">
              <w:rPr>
                <w:color w:val="000000"/>
                <w:szCs w:val="24"/>
              </w:rPr>
              <w:t>2 136,65</w:t>
            </w:r>
          </w:p>
        </w:tc>
        <w:tc>
          <w:tcPr>
            <w:tcW w:w="1211" w:type="dxa"/>
            <w:vAlign w:val="center"/>
          </w:tcPr>
          <w:p w14:paraId="15B3EEA7" w14:textId="77777777" w:rsidR="00295BCD" w:rsidRPr="001927D6" w:rsidRDefault="00295BCD">
            <w:pPr>
              <w:spacing w:after="0" w:line="240" w:lineRule="auto"/>
              <w:jc w:val="center"/>
              <w:textAlignment w:val="baseline"/>
              <w:rPr>
                <w:szCs w:val="24"/>
                <w:lang w:eastAsia="et-EE"/>
              </w:rPr>
            </w:pPr>
            <w:r w:rsidRPr="001927D6">
              <w:rPr>
                <w:color w:val="000000"/>
                <w:szCs w:val="24"/>
              </w:rPr>
              <w:t>738,90</w:t>
            </w:r>
          </w:p>
        </w:tc>
        <w:tc>
          <w:tcPr>
            <w:tcW w:w="1238" w:type="dxa"/>
            <w:vAlign w:val="center"/>
          </w:tcPr>
          <w:p w14:paraId="32D746A0" w14:textId="77777777" w:rsidR="00295BCD" w:rsidRPr="001927D6" w:rsidRDefault="00295BCD">
            <w:pPr>
              <w:spacing w:after="0" w:line="240" w:lineRule="auto"/>
              <w:jc w:val="center"/>
              <w:textAlignment w:val="baseline"/>
              <w:rPr>
                <w:szCs w:val="24"/>
                <w:lang w:eastAsia="et-EE"/>
              </w:rPr>
            </w:pPr>
            <w:r w:rsidRPr="001927D6">
              <w:rPr>
                <w:color w:val="000000"/>
                <w:szCs w:val="24"/>
              </w:rPr>
              <w:t>2 578,82</w:t>
            </w:r>
          </w:p>
        </w:tc>
      </w:tr>
      <w:tr w:rsidR="00295BCD" w:rsidRPr="001927D6" w14:paraId="63513072" w14:textId="77777777" w:rsidTr="00295BCD">
        <w:trPr>
          <w:divId w:val="1316184749"/>
          <w:trHeight w:val="300"/>
        </w:trPr>
        <w:tc>
          <w:tcPr>
            <w:tcW w:w="4632" w:type="dxa"/>
            <w:vAlign w:val="bottom"/>
            <w:hideMark/>
          </w:tcPr>
          <w:p w14:paraId="7E73C21F" w14:textId="77777777" w:rsidR="00295BCD" w:rsidRPr="001927D6" w:rsidRDefault="00295BCD">
            <w:pPr>
              <w:spacing w:after="0" w:line="240" w:lineRule="auto"/>
              <w:textAlignment w:val="baseline"/>
              <w:rPr>
                <w:szCs w:val="24"/>
                <w:lang w:eastAsia="et-EE"/>
              </w:rPr>
            </w:pPr>
            <w:r w:rsidRPr="001927D6">
              <w:rPr>
                <w:szCs w:val="24"/>
                <w:lang w:eastAsia="et-EE"/>
              </w:rPr>
              <w:t>Silma sarvkesta siirdamine, lühike ravi </w:t>
            </w:r>
          </w:p>
        </w:tc>
        <w:tc>
          <w:tcPr>
            <w:tcW w:w="732" w:type="dxa"/>
            <w:vAlign w:val="center"/>
            <w:hideMark/>
          </w:tcPr>
          <w:p w14:paraId="39EB1127" w14:textId="77777777" w:rsidR="00295BCD" w:rsidRPr="001927D6" w:rsidRDefault="00295BCD">
            <w:pPr>
              <w:spacing w:after="0" w:line="240" w:lineRule="auto"/>
              <w:jc w:val="center"/>
              <w:textAlignment w:val="baseline"/>
              <w:rPr>
                <w:szCs w:val="24"/>
                <w:lang w:eastAsia="et-EE"/>
              </w:rPr>
            </w:pPr>
            <w:r w:rsidRPr="001927D6">
              <w:rPr>
                <w:szCs w:val="24"/>
                <w:lang w:eastAsia="et-EE"/>
              </w:rPr>
              <w:t>036P </w:t>
            </w:r>
          </w:p>
        </w:tc>
        <w:tc>
          <w:tcPr>
            <w:tcW w:w="1243" w:type="dxa"/>
            <w:vAlign w:val="center"/>
          </w:tcPr>
          <w:p w14:paraId="09FDE29B" w14:textId="77777777" w:rsidR="00295BCD" w:rsidRPr="001927D6" w:rsidRDefault="00295BCD">
            <w:pPr>
              <w:spacing w:after="0" w:line="240" w:lineRule="auto"/>
              <w:jc w:val="center"/>
              <w:textAlignment w:val="baseline"/>
              <w:rPr>
                <w:szCs w:val="24"/>
                <w:lang w:eastAsia="et-EE"/>
              </w:rPr>
            </w:pPr>
            <w:r w:rsidRPr="001927D6">
              <w:rPr>
                <w:color w:val="000000"/>
                <w:szCs w:val="24"/>
              </w:rPr>
              <w:t>403,12</w:t>
            </w:r>
          </w:p>
        </w:tc>
        <w:tc>
          <w:tcPr>
            <w:tcW w:w="1211" w:type="dxa"/>
            <w:vAlign w:val="center"/>
          </w:tcPr>
          <w:p w14:paraId="6BEB1B30" w14:textId="77777777" w:rsidR="00295BCD" w:rsidRPr="001927D6" w:rsidRDefault="00295BCD">
            <w:pPr>
              <w:spacing w:after="0" w:line="240" w:lineRule="auto"/>
              <w:jc w:val="center"/>
              <w:textAlignment w:val="baseline"/>
              <w:rPr>
                <w:szCs w:val="24"/>
                <w:lang w:eastAsia="et-EE"/>
              </w:rPr>
            </w:pPr>
            <w:r w:rsidRPr="001927D6">
              <w:rPr>
                <w:color w:val="000000"/>
                <w:szCs w:val="24"/>
              </w:rPr>
              <w:t>191,31</w:t>
            </w:r>
          </w:p>
        </w:tc>
        <w:tc>
          <w:tcPr>
            <w:tcW w:w="1238" w:type="dxa"/>
            <w:vAlign w:val="center"/>
          </w:tcPr>
          <w:p w14:paraId="357EFA32" w14:textId="77777777" w:rsidR="00295BCD" w:rsidRPr="001927D6" w:rsidRDefault="00295BCD">
            <w:pPr>
              <w:spacing w:after="0" w:line="240" w:lineRule="auto"/>
              <w:jc w:val="center"/>
              <w:textAlignment w:val="baseline"/>
              <w:rPr>
                <w:szCs w:val="24"/>
                <w:lang w:eastAsia="et-EE"/>
              </w:rPr>
            </w:pPr>
            <w:r w:rsidRPr="001927D6">
              <w:rPr>
                <w:color w:val="000000"/>
                <w:szCs w:val="24"/>
              </w:rPr>
              <w:t>403,12</w:t>
            </w:r>
          </w:p>
        </w:tc>
      </w:tr>
      <w:tr w:rsidR="00295BCD" w:rsidRPr="001927D6" w14:paraId="48615F92" w14:textId="77777777" w:rsidTr="00295BCD">
        <w:trPr>
          <w:divId w:val="1316184749"/>
          <w:trHeight w:val="300"/>
        </w:trPr>
        <w:tc>
          <w:tcPr>
            <w:tcW w:w="4632" w:type="dxa"/>
            <w:vAlign w:val="bottom"/>
            <w:hideMark/>
          </w:tcPr>
          <w:p w14:paraId="3CBC6EEA" w14:textId="77777777" w:rsidR="00295BCD" w:rsidRPr="001927D6" w:rsidRDefault="00295BCD">
            <w:pPr>
              <w:spacing w:after="0" w:line="240" w:lineRule="auto"/>
              <w:textAlignment w:val="baseline"/>
              <w:rPr>
                <w:szCs w:val="24"/>
                <w:lang w:eastAsia="et-EE"/>
              </w:rPr>
            </w:pPr>
            <w:r w:rsidRPr="001927D6">
              <w:rPr>
                <w:szCs w:val="24"/>
                <w:lang w:eastAsia="et-EE"/>
              </w:rPr>
              <w:t>Laserprotseduur vikerkestal ja eeskambris, lühike ravi </w:t>
            </w:r>
          </w:p>
        </w:tc>
        <w:tc>
          <w:tcPr>
            <w:tcW w:w="732" w:type="dxa"/>
            <w:vAlign w:val="center"/>
            <w:hideMark/>
          </w:tcPr>
          <w:p w14:paraId="23F7D742" w14:textId="77777777" w:rsidR="00295BCD" w:rsidRPr="001927D6" w:rsidRDefault="00295BCD">
            <w:pPr>
              <w:spacing w:after="0" w:line="240" w:lineRule="auto"/>
              <w:jc w:val="center"/>
              <w:textAlignment w:val="baseline"/>
              <w:rPr>
                <w:szCs w:val="24"/>
                <w:lang w:eastAsia="et-EE"/>
              </w:rPr>
            </w:pPr>
            <w:r w:rsidRPr="001927D6">
              <w:rPr>
                <w:szCs w:val="24"/>
                <w:lang w:eastAsia="et-EE"/>
              </w:rPr>
              <w:t>036R </w:t>
            </w:r>
          </w:p>
        </w:tc>
        <w:tc>
          <w:tcPr>
            <w:tcW w:w="1243" w:type="dxa"/>
            <w:vAlign w:val="center"/>
          </w:tcPr>
          <w:p w14:paraId="7609C70E" w14:textId="77777777" w:rsidR="00295BCD" w:rsidRPr="001927D6" w:rsidRDefault="00295BCD">
            <w:pPr>
              <w:spacing w:after="0" w:line="240" w:lineRule="auto"/>
              <w:jc w:val="center"/>
              <w:textAlignment w:val="baseline"/>
              <w:rPr>
                <w:szCs w:val="24"/>
                <w:lang w:eastAsia="et-EE"/>
              </w:rPr>
            </w:pPr>
            <w:r w:rsidRPr="001927D6">
              <w:rPr>
                <w:color w:val="000000"/>
                <w:szCs w:val="24"/>
              </w:rPr>
              <w:t>888,04</w:t>
            </w:r>
          </w:p>
        </w:tc>
        <w:tc>
          <w:tcPr>
            <w:tcW w:w="1211" w:type="dxa"/>
            <w:vAlign w:val="center"/>
          </w:tcPr>
          <w:p w14:paraId="70265A3F" w14:textId="77777777" w:rsidR="00295BCD" w:rsidRPr="001927D6" w:rsidRDefault="00295BCD">
            <w:pPr>
              <w:spacing w:after="0" w:line="240" w:lineRule="auto"/>
              <w:jc w:val="center"/>
              <w:textAlignment w:val="baseline"/>
              <w:rPr>
                <w:szCs w:val="24"/>
                <w:lang w:eastAsia="et-EE"/>
              </w:rPr>
            </w:pPr>
            <w:r w:rsidRPr="001927D6">
              <w:rPr>
                <w:color w:val="000000"/>
                <w:szCs w:val="24"/>
              </w:rPr>
              <w:t>421,44</w:t>
            </w:r>
          </w:p>
        </w:tc>
        <w:tc>
          <w:tcPr>
            <w:tcW w:w="1238" w:type="dxa"/>
            <w:vAlign w:val="center"/>
          </w:tcPr>
          <w:p w14:paraId="0A610DF6" w14:textId="77777777" w:rsidR="00295BCD" w:rsidRPr="001927D6" w:rsidRDefault="00295BCD">
            <w:pPr>
              <w:spacing w:after="0" w:line="240" w:lineRule="auto"/>
              <w:jc w:val="center"/>
              <w:textAlignment w:val="baseline"/>
              <w:rPr>
                <w:szCs w:val="24"/>
                <w:lang w:eastAsia="et-EE"/>
              </w:rPr>
            </w:pPr>
            <w:r w:rsidRPr="001927D6">
              <w:rPr>
                <w:color w:val="000000"/>
                <w:szCs w:val="24"/>
              </w:rPr>
              <w:t>1 800,17</w:t>
            </w:r>
          </w:p>
        </w:tc>
      </w:tr>
      <w:tr w:rsidR="00295BCD" w:rsidRPr="001927D6" w14:paraId="340F4B01" w14:textId="77777777" w:rsidTr="00295BCD">
        <w:trPr>
          <w:divId w:val="1316184749"/>
          <w:trHeight w:val="300"/>
        </w:trPr>
        <w:tc>
          <w:tcPr>
            <w:tcW w:w="4632" w:type="dxa"/>
            <w:vAlign w:val="bottom"/>
            <w:hideMark/>
          </w:tcPr>
          <w:p w14:paraId="5A9C4FA3"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Silma siserõhuga seotud protseduurid, lühike ravi </w:t>
            </w:r>
          </w:p>
        </w:tc>
        <w:tc>
          <w:tcPr>
            <w:tcW w:w="732" w:type="dxa"/>
            <w:vAlign w:val="center"/>
            <w:hideMark/>
          </w:tcPr>
          <w:p w14:paraId="39A7F3C3" w14:textId="77777777" w:rsidR="00295BCD" w:rsidRPr="001927D6" w:rsidRDefault="00295BCD">
            <w:pPr>
              <w:spacing w:after="0" w:line="240" w:lineRule="auto"/>
              <w:jc w:val="center"/>
              <w:textAlignment w:val="baseline"/>
              <w:rPr>
                <w:szCs w:val="24"/>
                <w:lang w:eastAsia="et-EE"/>
              </w:rPr>
            </w:pPr>
            <w:r w:rsidRPr="001927D6">
              <w:rPr>
                <w:szCs w:val="24"/>
                <w:lang w:eastAsia="et-EE"/>
              </w:rPr>
              <w:t>036S </w:t>
            </w:r>
          </w:p>
        </w:tc>
        <w:tc>
          <w:tcPr>
            <w:tcW w:w="1243" w:type="dxa"/>
            <w:vAlign w:val="center"/>
          </w:tcPr>
          <w:p w14:paraId="7B3F479E" w14:textId="77777777" w:rsidR="00295BCD" w:rsidRPr="001927D6" w:rsidRDefault="00295BCD">
            <w:pPr>
              <w:spacing w:after="0" w:line="240" w:lineRule="auto"/>
              <w:jc w:val="center"/>
              <w:textAlignment w:val="baseline"/>
              <w:rPr>
                <w:szCs w:val="24"/>
                <w:lang w:eastAsia="et-EE"/>
              </w:rPr>
            </w:pPr>
            <w:r w:rsidRPr="001927D6">
              <w:rPr>
                <w:color w:val="000000"/>
                <w:szCs w:val="24"/>
              </w:rPr>
              <w:t>955,84</w:t>
            </w:r>
          </w:p>
        </w:tc>
        <w:tc>
          <w:tcPr>
            <w:tcW w:w="1211" w:type="dxa"/>
            <w:vAlign w:val="center"/>
          </w:tcPr>
          <w:p w14:paraId="45AB790D" w14:textId="77777777" w:rsidR="00295BCD" w:rsidRPr="001927D6" w:rsidRDefault="00295BCD">
            <w:pPr>
              <w:spacing w:after="0" w:line="240" w:lineRule="auto"/>
              <w:jc w:val="center"/>
              <w:textAlignment w:val="baseline"/>
              <w:rPr>
                <w:szCs w:val="24"/>
                <w:lang w:eastAsia="et-EE"/>
              </w:rPr>
            </w:pPr>
            <w:r w:rsidRPr="001927D6">
              <w:rPr>
                <w:color w:val="000000"/>
                <w:szCs w:val="24"/>
              </w:rPr>
              <w:t>527,23</w:t>
            </w:r>
          </w:p>
        </w:tc>
        <w:tc>
          <w:tcPr>
            <w:tcW w:w="1238" w:type="dxa"/>
            <w:vAlign w:val="center"/>
          </w:tcPr>
          <w:p w14:paraId="5E4FBCEA" w14:textId="77777777" w:rsidR="00295BCD" w:rsidRPr="001927D6" w:rsidRDefault="00295BCD">
            <w:pPr>
              <w:spacing w:after="0" w:line="240" w:lineRule="auto"/>
              <w:jc w:val="center"/>
              <w:textAlignment w:val="baseline"/>
              <w:rPr>
                <w:szCs w:val="24"/>
                <w:lang w:eastAsia="et-EE"/>
              </w:rPr>
            </w:pPr>
            <w:r w:rsidRPr="001927D6">
              <w:rPr>
                <w:color w:val="000000"/>
                <w:szCs w:val="24"/>
              </w:rPr>
              <w:t>1 235,37</w:t>
            </w:r>
          </w:p>
        </w:tc>
      </w:tr>
      <w:tr w:rsidR="00295BCD" w:rsidRPr="001927D6" w14:paraId="4BB106E0" w14:textId="77777777" w:rsidTr="00295BCD">
        <w:trPr>
          <w:divId w:val="1316184749"/>
          <w:trHeight w:val="300"/>
        </w:trPr>
        <w:tc>
          <w:tcPr>
            <w:tcW w:w="4632" w:type="dxa"/>
            <w:vAlign w:val="bottom"/>
            <w:hideMark/>
          </w:tcPr>
          <w:p w14:paraId="49BD31B7" w14:textId="77777777" w:rsidR="00295BCD" w:rsidRPr="001927D6" w:rsidRDefault="00295BCD">
            <w:pPr>
              <w:spacing w:after="0" w:line="240" w:lineRule="auto"/>
              <w:textAlignment w:val="baseline"/>
              <w:rPr>
                <w:szCs w:val="24"/>
                <w:lang w:eastAsia="et-EE"/>
              </w:rPr>
            </w:pPr>
            <w:r w:rsidRPr="001927D6">
              <w:rPr>
                <w:szCs w:val="24"/>
                <w:lang w:eastAsia="et-EE"/>
              </w:rPr>
              <w:t>Silmakoopa operatsioonid </w:t>
            </w:r>
          </w:p>
        </w:tc>
        <w:tc>
          <w:tcPr>
            <w:tcW w:w="732" w:type="dxa"/>
            <w:vAlign w:val="center"/>
            <w:hideMark/>
          </w:tcPr>
          <w:p w14:paraId="7A2916D7" w14:textId="77777777" w:rsidR="00295BCD" w:rsidRPr="001927D6" w:rsidRDefault="00295BCD">
            <w:pPr>
              <w:spacing w:after="0" w:line="240" w:lineRule="auto"/>
              <w:jc w:val="center"/>
              <w:textAlignment w:val="baseline"/>
              <w:rPr>
                <w:szCs w:val="24"/>
                <w:lang w:eastAsia="et-EE"/>
              </w:rPr>
            </w:pPr>
            <w:r w:rsidRPr="001927D6">
              <w:rPr>
                <w:szCs w:val="24"/>
                <w:lang w:eastAsia="et-EE"/>
              </w:rPr>
              <w:t>037 </w:t>
            </w:r>
          </w:p>
        </w:tc>
        <w:tc>
          <w:tcPr>
            <w:tcW w:w="1243" w:type="dxa"/>
            <w:vAlign w:val="center"/>
          </w:tcPr>
          <w:p w14:paraId="155E1C63" w14:textId="77777777" w:rsidR="00295BCD" w:rsidRPr="001927D6" w:rsidRDefault="00295BCD">
            <w:pPr>
              <w:spacing w:after="0" w:line="240" w:lineRule="auto"/>
              <w:jc w:val="center"/>
              <w:textAlignment w:val="baseline"/>
              <w:rPr>
                <w:szCs w:val="24"/>
                <w:lang w:eastAsia="et-EE"/>
              </w:rPr>
            </w:pPr>
            <w:r w:rsidRPr="001927D6">
              <w:rPr>
                <w:color w:val="000000"/>
                <w:szCs w:val="24"/>
              </w:rPr>
              <w:t>1 718,18</w:t>
            </w:r>
          </w:p>
        </w:tc>
        <w:tc>
          <w:tcPr>
            <w:tcW w:w="1211" w:type="dxa"/>
            <w:vAlign w:val="center"/>
          </w:tcPr>
          <w:p w14:paraId="5673B331" w14:textId="77777777" w:rsidR="00295BCD" w:rsidRPr="001927D6" w:rsidRDefault="00295BCD">
            <w:pPr>
              <w:spacing w:after="0" w:line="240" w:lineRule="auto"/>
              <w:jc w:val="center"/>
              <w:textAlignment w:val="baseline"/>
              <w:rPr>
                <w:szCs w:val="24"/>
                <w:lang w:eastAsia="et-EE"/>
              </w:rPr>
            </w:pPr>
            <w:r w:rsidRPr="001927D6">
              <w:rPr>
                <w:color w:val="000000"/>
                <w:szCs w:val="24"/>
              </w:rPr>
              <w:t>613,30</w:t>
            </w:r>
          </w:p>
        </w:tc>
        <w:tc>
          <w:tcPr>
            <w:tcW w:w="1238" w:type="dxa"/>
            <w:vAlign w:val="center"/>
          </w:tcPr>
          <w:p w14:paraId="2FAE459B" w14:textId="77777777" w:rsidR="00295BCD" w:rsidRPr="001927D6" w:rsidRDefault="00295BCD">
            <w:pPr>
              <w:spacing w:after="0" w:line="240" w:lineRule="auto"/>
              <w:jc w:val="center"/>
              <w:textAlignment w:val="baseline"/>
              <w:rPr>
                <w:szCs w:val="24"/>
                <w:lang w:eastAsia="et-EE"/>
              </w:rPr>
            </w:pPr>
            <w:r w:rsidRPr="001927D6">
              <w:rPr>
                <w:color w:val="000000"/>
                <w:szCs w:val="24"/>
              </w:rPr>
              <w:t>3 346,37</w:t>
            </w:r>
          </w:p>
        </w:tc>
      </w:tr>
      <w:tr w:rsidR="00295BCD" w:rsidRPr="001927D6" w14:paraId="564D4A8E" w14:textId="77777777" w:rsidTr="00295BCD">
        <w:trPr>
          <w:divId w:val="1316184749"/>
          <w:trHeight w:val="300"/>
        </w:trPr>
        <w:tc>
          <w:tcPr>
            <w:tcW w:w="4632" w:type="dxa"/>
            <w:vAlign w:val="bottom"/>
            <w:hideMark/>
          </w:tcPr>
          <w:p w14:paraId="6161A8B9" w14:textId="77777777" w:rsidR="00295BCD" w:rsidRPr="001927D6" w:rsidRDefault="00295BCD">
            <w:pPr>
              <w:spacing w:after="0" w:line="240" w:lineRule="auto"/>
              <w:textAlignment w:val="baseline"/>
              <w:rPr>
                <w:szCs w:val="24"/>
                <w:lang w:eastAsia="et-EE"/>
              </w:rPr>
            </w:pPr>
            <w:r w:rsidRPr="001927D6">
              <w:rPr>
                <w:szCs w:val="24"/>
                <w:lang w:eastAsia="et-EE"/>
              </w:rPr>
              <w:t>Silmakoopa operatsioonid, lühike ravi </w:t>
            </w:r>
          </w:p>
        </w:tc>
        <w:tc>
          <w:tcPr>
            <w:tcW w:w="732" w:type="dxa"/>
            <w:vAlign w:val="center"/>
            <w:hideMark/>
          </w:tcPr>
          <w:p w14:paraId="7A92A9E1" w14:textId="77777777" w:rsidR="00295BCD" w:rsidRPr="001927D6" w:rsidRDefault="00295BCD">
            <w:pPr>
              <w:spacing w:after="0" w:line="240" w:lineRule="auto"/>
              <w:jc w:val="center"/>
              <w:textAlignment w:val="baseline"/>
              <w:rPr>
                <w:szCs w:val="24"/>
                <w:lang w:eastAsia="et-EE"/>
              </w:rPr>
            </w:pPr>
            <w:r w:rsidRPr="001927D6">
              <w:rPr>
                <w:szCs w:val="24"/>
                <w:lang w:eastAsia="et-EE"/>
              </w:rPr>
              <w:t>037O </w:t>
            </w:r>
          </w:p>
        </w:tc>
        <w:tc>
          <w:tcPr>
            <w:tcW w:w="1243" w:type="dxa"/>
            <w:vAlign w:val="center"/>
          </w:tcPr>
          <w:p w14:paraId="678C136C" w14:textId="77777777" w:rsidR="00295BCD" w:rsidRPr="001927D6" w:rsidRDefault="00295BCD">
            <w:pPr>
              <w:spacing w:after="0" w:line="240" w:lineRule="auto"/>
              <w:jc w:val="center"/>
              <w:textAlignment w:val="baseline"/>
              <w:rPr>
                <w:szCs w:val="24"/>
                <w:lang w:eastAsia="et-EE"/>
              </w:rPr>
            </w:pPr>
            <w:r w:rsidRPr="001927D6">
              <w:rPr>
                <w:color w:val="000000"/>
                <w:szCs w:val="24"/>
              </w:rPr>
              <w:t>1 108,85</w:t>
            </w:r>
          </w:p>
        </w:tc>
        <w:tc>
          <w:tcPr>
            <w:tcW w:w="1211" w:type="dxa"/>
            <w:vAlign w:val="center"/>
          </w:tcPr>
          <w:p w14:paraId="03D20BA7" w14:textId="77777777" w:rsidR="00295BCD" w:rsidRPr="001927D6" w:rsidRDefault="00295BCD">
            <w:pPr>
              <w:spacing w:after="0" w:line="240" w:lineRule="auto"/>
              <w:jc w:val="center"/>
              <w:textAlignment w:val="baseline"/>
              <w:rPr>
                <w:szCs w:val="24"/>
                <w:lang w:eastAsia="et-EE"/>
              </w:rPr>
            </w:pPr>
            <w:r w:rsidRPr="001927D6">
              <w:rPr>
                <w:color w:val="000000"/>
                <w:szCs w:val="24"/>
              </w:rPr>
              <w:t>405,37</w:t>
            </w:r>
          </w:p>
        </w:tc>
        <w:tc>
          <w:tcPr>
            <w:tcW w:w="1238" w:type="dxa"/>
            <w:vAlign w:val="center"/>
          </w:tcPr>
          <w:p w14:paraId="2C15AAFC" w14:textId="77777777" w:rsidR="00295BCD" w:rsidRPr="001927D6" w:rsidRDefault="00295BCD">
            <w:pPr>
              <w:spacing w:after="0" w:line="240" w:lineRule="auto"/>
              <w:jc w:val="center"/>
              <w:textAlignment w:val="baseline"/>
              <w:rPr>
                <w:szCs w:val="24"/>
                <w:lang w:eastAsia="et-EE"/>
              </w:rPr>
            </w:pPr>
            <w:r w:rsidRPr="001927D6">
              <w:rPr>
                <w:color w:val="000000"/>
                <w:szCs w:val="24"/>
              </w:rPr>
              <w:t>2 161,46</w:t>
            </w:r>
          </w:p>
        </w:tc>
      </w:tr>
      <w:tr w:rsidR="00295BCD" w:rsidRPr="001927D6" w14:paraId="44146E2D" w14:textId="77777777" w:rsidTr="00295BCD">
        <w:trPr>
          <w:divId w:val="1316184749"/>
          <w:trHeight w:val="300"/>
        </w:trPr>
        <w:tc>
          <w:tcPr>
            <w:tcW w:w="4632" w:type="dxa"/>
            <w:vAlign w:val="bottom"/>
            <w:hideMark/>
          </w:tcPr>
          <w:p w14:paraId="6E320E96" w14:textId="77777777" w:rsidR="00295BCD" w:rsidRPr="001927D6" w:rsidRDefault="00295BCD">
            <w:pPr>
              <w:spacing w:after="0" w:line="240" w:lineRule="auto"/>
              <w:textAlignment w:val="baseline"/>
              <w:rPr>
                <w:szCs w:val="24"/>
                <w:lang w:eastAsia="et-EE"/>
              </w:rPr>
            </w:pPr>
            <w:r w:rsidRPr="001927D6">
              <w:rPr>
                <w:szCs w:val="24"/>
                <w:lang w:eastAsia="et-EE"/>
              </w:rPr>
              <w:t>Läätse operatsioonid </w:t>
            </w:r>
          </w:p>
        </w:tc>
        <w:tc>
          <w:tcPr>
            <w:tcW w:w="732" w:type="dxa"/>
            <w:vAlign w:val="center"/>
            <w:hideMark/>
          </w:tcPr>
          <w:p w14:paraId="11668B01" w14:textId="77777777" w:rsidR="00295BCD" w:rsidRPr="001927D6" w:rsidRDefault="00295BCD">
            <w:pPr>
              <w:spacing w:after="0" w:line="240" w:lineRule="auto"/>
              <w:jc w:val="center"/>
              <w:textAlignment w:val="baseline"/>
              <w:rPr>
                <w:szCs w:val="24"/>
                <w:lang w:eastAsia="et-EE"/>
              </w:rPr>
            </w:pPr>
            <w:r w:rsidRPr="001927D6">
              <w:rPr>
                <w:szCs w:val="24"/>
                <w:lang w:eastAsia="et-EE"/>
              </w:rPr>
              <w:t>039 </w:t>
            </w:r>
          </w:p>
        </w:tc>
        <w:tc>
          <w:tcPr>
            <w:tcW w:w="1243" w:type="dxa"/>
            <w:vAlign w:val="center"/>
          </w:tcPr>
          <w:p w14:paraId="25EF583E" w14:textId="77777777" w:rsidR="00295BCD" w:rsidRPr="001927D6" w:rsidRDefault="00295BCD">
            <w:pPr>
              <w:spacing w:after="0" w:line="240" w:lineRule="auto"/>
              <w:jc w:val="center"/>
              <w:textAlignment w:val="baseline"/>
              <w:rPr>
                <w:szCs w:val="24"/>
                <w:lang w:eastAsia="et-EE"/>
              </w:rPr>
            </w:pPr>
            <w:r w:rsidRPr="001927D6">
              <w:rPr>
                <w:color w:val="000000"/>
                <w:szCs w:val="24"/>
              </w:rPr>
              <w:t>1 122,05</w:t>
            </w:r>
          </w:p>
        </w:tc>
        <w:tc>
          <w:tcPr>
            <w:tcW w:w="1211" w:type="dxa"/>
            <w:vAlign w:val="center"/>
          </w:tcPr>
          <w:p w14:paraId="6A1902CF" w14:textId="77777777" w:rsidR="00295BCD" w:rsidRPr="001927D6" w:rsidRDefault="00295BCD">
            <w:pPr>
              <w:spacing w:after="0" w:line="240" w:lineRule="auto"/>
              <w:jc w:val="center"/>
              <w:textAlignment w:val="baseline"/>
              <w:rPr>
                <w:szCs w:val="24"/>
                <w:lang w:eastAsia="et-EE"/>
              </w:rPr>
            </w:pPr>
            <w:r w:rsidRPr="001927D6">
              <w:rPr>
                <w:color w:val="000000"/>
                <w:szCs w:val="24"/>
              </w:rPr>
              <w:t>632,50</w:t>
            </w:r>
          </w:p>
        </w:tc>
        <w:tc>
          <w:tcPr>
            <w:tcW w:w="1238" w:type="dxa"/>
            <w:vAlign w:val="center"/>
          </w:tcPr>
          <w:p w14:paraId="5C8DB98E" w14:textId="77777777" w:rsidR="00295BCD" w:rsidRPr="001927D6" w:rsidRDefault="00295BCD">
            <w:pPr>
              <w:spacing w:after="0" w:line="240" w:lineRule="auto"/>
              <w:jc w:val="center"/>
              <w:textAlignment w:val="baseline"/>
              <w:rPr>
                <w:szCs w:val="24"/>
                <w:lang w:eastAsia="et-EE"/>
              </w:rPr>
            </w:pPr>
            <w:r w:rsidRPr="001927D6">
              <w:rPr>
                <w:color w:val="000000"/>
                <w:szCs w:val="24"/>
              </w:rPr>
              <w:t>2 309,45</w:t>
            </w:r>
          </w:p>
        </w:tc>
      </w:tr>
      <w:tr w:rsidR="00295BCD" w:rsidRPr="001927D6" w14:paraId="71A4439D" w14:textId="77777777" w:rsidTr="00295BCD">
        <w:trPr>
          <w:divId w:val="1316184749"/>
          <w:trHeight w:val="300"/>
        </w:trPr>
        <w:tc>
          <w:tcPr>
            <w:tcW w:w="4632" w:type="dxa"/>
            <w:vAlign w:val="bottom"/>
            <w:hideMark/>
          </w:tcPr>
          <w:p w14:paraId="5ED39C46" w14:textId="77777777" w:rsidR="00295BCD" w:rsidRPr="001927D6" w:rsidRDefault="00295BCD">
            <w:pPr>
              <w:spacing w:after="0" w:line="240" w:lineRule="auto"/>
              <w:textAlignment w:val="baseline"/>
              <w:rPr>
                <w:szCs w:val="24"/>
                <w:lang w:eastAsia="et-EE"/>
              </w:rPr>
            </w:pPr>
            <w:r w:rsidRPr="001927D6">
              <w:rPr>
                <w:szCs w:val="24"/>
                <w:lang w:eastAsia="et-EE"/>
              </w:rPr>
              <w:t>Kahepoolne läätse operatsioon, lühike ravi </w:t>
            </w:r>
          </w:p>
        </w:tc>
        <w:tc>
          <w:tcPr>
            <w:tcW w:w="732" w:type="dxa"/>
            <w:vAlign w:val="center"/>
            <w:hideMark/>
          </w:tcPr>
          <w:p w14:paraId="771F00CB" w14:textId="77777777" w:rsidR="00295BCD" w:rsidRPr="001927D6" w:rsidRDefault="00295BCD">
            <w:pPr>
              <w:spacing w:after="0" w:line="240" w:lineRule="auto"/>
              <w:jc w:val="center"/>
              <w:textAlignment w:val="baseline"/>
              <w:rPr>
                <w:szCs w:val="24"/>
                <w:lang w:eastAsia="et-EE"/>
              </w:rPr>
            </w:pPr>
            <w:r w:rsidRPr="001927D6">
              <w:rPr>
                <w:szCs w:val="24"/>
                <w:lang w:eastAsia="et-EE"/>
              </w:rPr>
              <w:t>039P </w:t>
            </w:r>
          </w:p>
        </w:tc>
        <w:tc>
          <w:tcPr>
            <w:tcW w:w="1243" w:type="dxa"/>
            <w:vAlign w:val="center"/>
          </w:tcPr>
          <w:p w14:paraId="7B6E6401" w14:textId="77777777" w:rsidR="00295BCD" w:rsidRPr="001927D6" w:rsidRDefault="00295BCD">
            <w:pPr>
              <w:spacing w:after="0" w:line="240" w:lineRule="auto"/>
              <w:jc w:val="center"/>
              <w:textAlignment w:val="baseline"/>
              <w:rPr>
                <w:szCs w:val="24"/>
                <w:lang w:eastAsia="et-EE"/>
              </w:rPr>
            </w:pPr>
            <w:r w:rsidRPr="001927D6">
              <w:rPr>
                <w:color w:val="000000"/>
                <w:szCs w:val="24"/>
              </w:rPr>
              <w:t>1 086,98</w:t>
            </w:r>
          </w:p>
        </w:tc>
        <w:tc>
          <w:tcPr>
            <w:tcW w:w="1211" w:type="dxa"/>
            <w:vAlign w:val="center"/>
          </w:tcPr>
          <w:p w14:paraId="54FF68BB" w14:textId="77777777" w:rsidR="00295BCD" w:rsidRPr="001927D6" w:rsidRDefault="00295BCD">
            <w:pPr>
              <w:spacing w:after="0" w:line="240" w:lineRule="auto"/>
              <w:jc w:val="center"/>
              <w:textAlignment w:val="baseline"/>
              <w:rPr>
                <w:szCs w:val="24"/>
                <w:lang w:eastAsia="et-EE"/>
              </w:rPr>
            </w:pPr>
            <w:r w:rsidRPr="001927D6">
              <w:rPr>
                <w:color w:val="000000"/>
                <w:szCs w:val="24"/>
              </w:rPr>
              <w:t>727,28</w:t>
            </w:r>
          </w:p>
        </w:tc>
        <w:tc>
          <w:tcPr>
            <w:tcW w:w="1238" w:type="dxa"/>
            <w:vAlign w:val="center"/>
          </w:tcPr>
          <w:p w14:paraId="6561BD33" w14:textId="77777777" w:rsidR="00295BCD" w:rsidRPr="001927D6" w:rsidRDefault="00295BCD">
            <w:pPr>
              <w:spacing w:after="0" w:line="240" w:lineRule="auto"/>
              <w:jc w:val="center"/>
              <w:textAlignment w:val="baseline"/>
              <w:rPr>
                <w:szCs w:val="24"/>
                <w:lang w:eastAsia="et-EE"/>
              </w:rPr>
            </w:pPr>
            <w:r w:rsidRPr="001927D6">
              <w:rPr>
                <w:color w:val="000000"/>
                <w:szCs w:val="24"/>
              </w:rPr>
              <w:t>1 446,81</w:t>
            </w:r>
          </w:p>
        </w:tc>
      </w:tr>
      <w:tr w:rsidR="00295BCD" w:rsidRPr="001927D6" w14:paraId="48DD2907" w14:textId="77777777" w:rsidTr="00295BCD">
        <w:trPr>
          <w:divId w:val="1316184749"/>
          <w:trHeight w:val="300"/>
        </w:trPr>
        <w:tc>
          <w:tcPr>
            <w:tcW w:w="4632" w:type="dxa"/>
            <w:vAlign w:val="bottom"/>
            <w:hideMark/>
          </w:tcPr>
          <w:p w14:paraId="45C2C210" w14:textId="77777777" w:rsidR="00295BCD" w:rsidRPr="001927D6" w:rsidRDefault="00295BCD">
            <w:pPr>
              <w:spacing w:after="0" w:line="240" w:lineRule="auto"/>
              <w:textAlignment w:val="baseline"/>
              <w:rPr>
                <w:szCs w:val="24"/>
                <w:lang w:eastAsia="et-EE"/>
              </w:rPr>
            </w:pPr>
            <w:r w:rsidRPr="001927D6">
              <w:rPr>
                <w:szCs w:val="24"/>
                <w:lang w:eastAsia="et-EE"/>
              </w:rPr>
              <w:t>Ühepoolne läätse operatsioon, lühike ravi </w:t>
            </w:r>
          </w:p>
        </w:tc>
        <w:tc>
          <w:tcPr>
            <w:tcW w:w="732" w:type="dxa"/>
            <w:vAlign w:val="center"/>
            <w:hideMark/>
          </w:tcPr>
          <w:p w14:paraId="5B9BCC88" w14:textId="77777777" w:rsidR="00295BCD" w:rsidRPr="001927D6" w:rsidRDefault="00295BCD">
            <w:pPr>
              <w:spacing w:after="0" w:line="240" w:lineRule="auto"/>
              <w:jc w:val="center"/>
              <w:textAlignment w:val="baseline"/>
              <w:rPr>
                <w:szCs w:val="24"/>
                <w:lang w:eastAsia="et-EE"/>
              </w:rPr>
            </w:pPr>
            <w:r w:rsidRPr="001927D6">
              <w:rPr>
                <w:szCs w:val="24"/>
                <w:lang w:eastAsia="et-EE"/>
              </w:rPr>
              <w:t>039Q </w:t>
            </w:r>
          </w:p>
        </w:tc>
        <w:tc>
          <w:tcPr>
            <w:tcW w:w="1243" w:type="dxa"/>
            <w:vAlign w:val="center"/>
          </w:tcPr>
          <w:p w14:paraId="03026CC1" w14:textId="77777777" w:rsidR="00295BCD" w:rsidRPr="001927D6" w:rsidRDefault="00295BCD">
            <w:pPr>
              <w:spacing w:after="0" w:line="240" w:lineRule="auto"/>
              <w:jc w:val="center"/>
              <w:textAlignment w:val="baseline"/>
              <w:rPr>
                <w:szCs w:val="24"/>
                <w:lang w:eastAsia="et-EE"/>
              </w:rPr>
            </w:pPr>
            <w:r w:rsidRPr="001927D6">
              <w:rPr>
                <w:color w:val="000000"/>
                <w:szCs w:val="24"/>
              </w:rPr>
              <w:t>767,51</w:t>
            </w:r>
          </w:p>
        </w:tc>
        <w:tc>
          <w:tcPr>
            <w:tcW w:w="1211" w:type="dxa"/>
            <w:vAlign w:val="center"/>
          </w:tcPr>
          <w:p w14:paraId="0F12D872" w14:textId="77777777" w:rsidR="00295BCD" w:rsidRPr="001927D6" w:rsidRDefault="00295BCD">
            <w:pPr>
              <w:spacing w:after="0" w:line="240" w:lineRule="auto"/>
              <w:jc w:val="center"/>
              <w:textAlignment w:val="baseline"/>
              <w:rPr>
                <w:szCs w:val="24"/>
                <w:lang w:eastAsia="et-EE"/>
              </w:rPr>
            </w:pPr>
            <w:r w:rsidRPr="001927D6">
              <w:rPr>
                <w:color w:val="000000"/>
                <w:szCs w:val="24"/>
              </w:rPr>
              <w:t>713,25</w:t>
            </w:r>
          </w:p>
        </w:tc>
        <w:tc>
          <w:tcPr>
            <w:tcW w:w="1238" w:type="dxa"/>
            <w:vAlign w:val="center"/>
          </w:tcPr>
          <w:p w14:paraId="610646F6" w14:textId="77777777" w:rsidR="00295BCD" w:rsidRPr="001927D6" w:rsidRDefault="00295BCD">
            <w:pPr>
              <w:spacing w:after="0" w:line="240" w:lineRule="auto"/>
              <w:jc w:val="center"/>
              <w:textAlignment w:val="baseline"/>
              <w:rPr>
                <w:szCs w:val="24"/>
                <w:lang w:eastAsia="et-EE"/>
              </w:rPr>
            </w:pPr>
            <w:r w:rsidRPr="001927D6">
              <w:rPr>
                <w:color w:val="000000"/>
                <w:szCs w:val="24"/>
              </w:rPr>
              <w:t>871,50</w:t>
            </w:r>
          </w:p>
        </w:tc>
      </w:tr>
      <w:tr w:rsidR="00295BCD" w:rsidRPr="001927D6" w14:paraId="0D52024D" w14:textId="77777777" w:rsidTr="00295BCD">
        <w:trPr>
          <w:divId w:val="1316184749"/>
          <w:trHeight w:val="300"/>
        </w:trPr>
        <w:tc>
          <w:tcPr>
            <w:tcW w:w="4632" w:type="dxa"/>
            <w:vAlign w:val="bottom"/>
            <w:hideMark/>
          </w:tcPr>
          <w:p w14:paraId="677BCD54" w14:textId="77777777" w:rsidR="00295BCD" w:rsidRPr="001927D6" w:rsidRDefault="00295BCD">
            <w:pPr>
              <w:spacing w:after="0" w:line="240" w:lineRule="auto"/>
              <w:textAlignment w:val="baseline"/>
              <w:rPr>
                <w:szCs w:val="24"/>
                <w:lang w:eastAsia="et-EE"/>
              </w:rPr>
            </w:pPr>
            <w:r w:rsidRPr="001927D6">
              <w:rPr>
                <w:szCs w:val="24"/>
                <w:lang w:eastAsia="et-EE"/>
              </w:rPr>
              <w:t>Silmavälised protseduurid, v.a silmakoobas </w:t>
            </w:r>
          </w:p>
        </w:tc>
        <w:tc>
          <w:tcPr>
            <w:tcW w:w="732" w:type="dxa"/>
            <w:vAlign w:val="center"/>
            <w:hideMark/>
          </w:tcPr>
          <w:p w14:paraId="1380FCEA" w14:textId="77777777" w:rsidR="00295BCD" w:rsidRPr="001927D6" w:rsidRDefault="00295BCD">
            <w:pPr>
              <w:spacing w:after="0" w:line="240" w:lineRule="auto"/>
              <w:jc w:val="center"/>
              <w:textAlignment w:val="baseline"/>
              <w:rPr>
                <w:szCs w:val="24"/>
                <w:lang w:eastAsia="et-EE"/>
              </w:rPr>
            </w:pPr>
            <w:r w:rsidRPr="001927D6">
              <w:rPr>
                <w:szCs w:val="24"/>
                <w:lang w:eastAsia="et-EE"/>
              </w:rPr>
              <w:t>040X </w:t>
            </w:r>
          </w:p>
        </w:tc>
        <w:tc>
          <w:tcPr>
            <w:tcW w:w="1243" w:type="dxa"/>
            <w:vAlign w:val="center"/>
          </w:tcPr>
          <w:p w14:paraId="567357FA" w14:textId="77777777" w:rsidR="00295BCD" w:rsidRPr="001927D6" w:rsidRDefault="00295BCD">
            <w:pPr>
              <w:spacing w:after="0" w:line="240" w:lineRule="auto"/>
              <w:jc w:val="center"/>
              <w:textAlignment w:val="baseline"/>
              <w:rPr>
                <w:szCs w:val="24"/>
                <w:lang w:eastAsia="et-EE"/>
              </w:rPr>
            </w:pPr>
            <w:r w:rsidRPr="001927D6">
              <w:rPr>
                <w:color w:val="000000"/>
                <w:szCs w:val="24"/>
              </w:rPr>
              <w:t>1 153,22</w:t>
            </w:r>
          </w:p>
        </w:tc>
        <w:tc>
          <w:tcPr>
            <w:tcW w:w="1211" w:type="dxa"/>
            <w:vAlign w:val="center"/>
          </w:tcPr>
          <w:p w14:paraId="2202E9CA" w14:textId="77777777" w:rsidR="00295BCD" w:rsidRPr="001927D6" w:rsidRDefault="00295BCD">
            <w:pPr>
              <w:spacing w:after="0" w:line="240" w:lineRule="auto"/>
              <w:jc w:val="center"/>
              <w:textAlignment w:val="baseline"/>
              <w:rPr>
                <w:szCs w:val="24"/>
                <w:lang w:eastAsia="et-EE"/>
              </w:rPr>
            </w:pPr>
            <w:r w:rsidRPr="001927D6">
              <w:rPr>
                <w:color w:val="000000"/>
                <w:szCs w:val="24"/>
              </w:rPr>
              <w:t>677,59</w:t>
            </w:r>
          </w:p>
        </w:tc>
        <w:tc>
          <w:tcPr>
            <w:tcW w:w="1238" w:type="dxa"/>
            <w:vAlign w:val="center"/>
          </w:tcPr>
          <w:p w14:paraId="64CFA74C" w14:textId="77777777" w:rsidR="00295BCD" w:rsidRPr="001927D6" w:rsidRDefault="00295BCD">
            <w:pPr>
              <w:spacing w:after="0" w:line="240" w:lineRule="auto"/>
              <w:jc w:val="center"/>
              <w:textAlignment w:val="baseline"/>
              <w:rPr>
                <w:szCs w:val="24"/>
                <w:lang w:eastAsia="et-EE"/>
              </w:rPr>
            </w:pPr>
            <w:r w:rsidRPr="001927D6">
              <w:rPr>
                <w:color w:val="000000"/>
                <w:szCs w:val="24"/>
              </w:rPr>
              <w:t>1 964,31</w:t>
            </w:r>
          </w:p>
        </w:tc>
      </w:tr>
      <w:tr w:rsidR="00295BCD" w:rsidRPr="001927D6" w14:paraId="4C6637C4" w14:textId="77777777" w:rsidTr="00295BCD">
        <w:trPr>
          <w:divId w:val="1316184749"/>
          <w:trHeight w:val="300"/>
        </w:trPr>
        <w:tc>
          <w:tcPr>
            <w:tcW w:w="4632" w:type="dxa"/>
            <w:vAlign w:val="bottom"/>
            <w:hideMark/>
          </w:tcPr>
          <w:p w14:paraId="1E2F08D6" w14:textId="77777777" w:rsidR="00295BCD" w:rsidRPr="001927D6" w:rsidRDefault="00295BCD">
            <w:pPr>
              <w:spacing w:after="0" w:line="240" w:lineRule="auto"/>
              <w:textAlignment w:val="baseline"/>
              <w:rPr>
                <w:szCs w:val="24"/>
                <w:lang w:eastAsia="et-EE"/>
              </w:rPr>
            </w:pPr>
            <w:r w:rsidRPr="001927D6">
              <w:rPr>
                <w:szCs w:val="24"/>
                <w:lang w:eastAsia="et-EE"/>
              </w:rPr>
              <w:t>Muud silmavälised operatsioonid, lühike ravi </w:t>
            </w:r>
          </w:p>
        </w:tc>
        <w:tc>
          <w:tcPr>
            <w:tcW w:w="732" w:type="dxa"/>
            <w:vAlign w:val="center"/>
            <w:hideMark/>
          </w:tcPr>
          <w:p w14:paraId="0D72AA73" w14:textId="77777777" w:rsidR="00295BCD" w:rsidRPr="001927D6" w:rsidRDefault="00295BCD">
            <w:pPr>
              <w:spacing w:after="0" w:line="240" w:lineRule="auto"/>
              <w:jc w:val="center"/>
              <w:textAlignment w:val="baseline"/>
              <w:rPr>
                <w:szCs w:val="24"/>
                <w:lang w:eastAsia="et-EE"/>
              </w:rPr>
            </w:pPr>
            <w:r w:rsidRPr="001927D6">
              <w:rPr>
                <w:szCs w:val="24"/>
                <w:lang w:eastAsia="et-EE"/>
              </w:rPr>
              <w:t>041O </w:t>
            </w:r>
          </w:p>
        </w:tc>
        <w:tc>
          <w:tcPr>
            <w:tcW w:w="1243" w:type="dxa"/>
            <w:vAlign w:val="center"/>
          </w:tcPr>
          <w:p w14:paraId="0301B3CE" w14:textId="77777777" w:rsidR="00295BCD" w:rsidRPr="001927D6" w:rsidRDefault="00295BCD">
            <w:pPr>
              <w:spacing w:after="0" w:line="240" w:lineRule="auto"/>
              <w:jc w:val="center"/>
              <w:textAlignment w:val="baseline"/>
              <w:rPr>
                <w:szCs w:val="24"/>
                <w:lang w:eastAsia="et-EE"/>
              </w:rPr>
            </w:pPr>
            <w:r w:rsidRPr="001927D6">
              <w:rPr>
                <w:color w:val="000000"/>
                <w:szCs w:val="24"/>
              </w:rPr>
              <w:t>535,79</w:t>
            </w:r>
          </w:p>
        </w:tc>
        <w:tc>
          <w:tcPr>
            <w:tcW w:w="1211" w:type="dxa"/>
            <w:vAlign w:val="center"/>
          </w:tcPr>
          <w:p w14:paraId="735B97E3" w14:textId="77777777" w:rsidR="00295BCD" w:rsidRPr="001927D6" w:rsidRDefault="00295BCD">
            <w:pPr>
              <w:spacing w:after="0" w:line="240" w:lineRule="auto"/>
              <w:jc w:val="center"/>
              <w:textAlignment w:val="baseline"/>
              <w:rPr>
                <w:szCs w:val="24"/>
                <w:lang w:eastAsia="et-EE"/>
              </w:rPr>
            </w:pPr>
            <w:r w:rsidRPr="001927D6">
              <w:rPr>
                <w:color w:val="000000"/>
                <w:szCs w:val="24"/>
              </w:rPr>
              <w:t>140,43</w:t>
            </w:r>
          </w:p>
        </w:tc>
        <w:tc>
          <w:tcPr>
            <w:tcW w:w="1238" w:type="dxa"/>
            <w:vAlign w:val="center"/>
          </w:tcPr>
          <w:p w14:paraId="1BDEC632" w14:textId="77777777" w:rsidR="00295BCD" w:rsidRPr="001927D6" w:rsidRDefault="00295BCD">
            <w:pPr>
              <w:spacing w:after="0" w:line="240" w:lineRule="auto"/>
              <w:jc w:val="center"/>
              <w:textAlignment w:val="baseline"/>
              <w:rPr>
                <w:szCs w:val="24"/>
                <w:lang w:eastAsia="et-EE"/>
              </w:rPr>
            </w:pPr>
            <w:r w:rsidRPr="001927D6">
              <w:rPr>
                <w:color w:val="000000"/>
                <w:szCs w:val="24"/>
              </w:rPr>
              <w:t>816,65</w:t>
            </w:r>
          </w:p>
        </w:tc>
      </w:tr>
      <w:tr w:rsidR="00295BCD" w:rsidRPr="001927D6" w14:paraId="0BCF1100" w14:textId="77777777" w:rsidTr="00295BCD">
        <w:trPr>
          <w:divId w:val="1316184749"/>
          <w:trHeight w:val="300"/>
        </w:trPr>
        <w:tc>
          <w:tcPr>
            <w:tcW w:w="4632" w:type="dxa"/>
            <w:vAlign w:val="bottom"/>
            <w:hideMark/>
          </w:tcPr>
          <w:p w14:paraId="08763E9C" w14:textId="77777777" w:rsidR="00295BCD" w:rsidRPr="001927D6" w:rsidRDefault="00295BCD">
            <w:pPr>
              <w:spacing w:after="0" w:line="240" w:lineRule="auto"/>
              <w:textAlignment w:val="baseline"/>
              <w:rPr>
                <w:szCs w:val="24"/>
                <w:lang w:eastAsia="et-EE"/>
              </w:rPr>
            </w:pPr>
            <w:r w:rsidRPr="001927D6">
              <w:rPr>
                <w:szCs w:val="24"/>
                <w:lang w:eastAsia="et-EE"/>
              </w:rPr>
              <w:t>Operatsioonid kõõrdsilmsuse korral, lühike ravi </w:t>
            </w:r>
          </w:p>
        </w:tc>
        <w:tc>
          <w:tcPr>
            <w:tcW w:w="732" w:type="dxa"/>
            <w:vAlign w:val="center"/>
            <w:hideMark/>
          </w:tcPr>
          <w:p w14:paraId="3B4CA96F" w14:textId="77777777" w:rsidR="00295BCD" w:rsidRPr="001927D6" w:rsidRDefault="00295BCD">
            <w:pPr>
              <w:spacing w:after="0" w:line="240" w:lineRule="auto"/>
              <w:jc w:val="center"/>
              <w:textAlignment w:val="baseline"/>
              <w:rPr>
                <w:szCs w:val="24"/>
                <w:lang w:eastAsia="et-EE"/>
              </w:rPr>
            </w:pPr>
            <w:r w:rsidRPr="001927D6">
              <w:rPr>
                <w:szCs w:val="24"/>
                <w:lang w:eastAsia="et-EE"/>
              </w:rPr>
              <w:t>041P </w:t>
            </w:r>
          </w:p>
        </w:tc>
        <w:tc>
          <w:tcPr>
            <w:tcW w:w="1243" w:type="dxa"/>
            <w:vAlign w:val="center"/>
          </w:tcPr>
          <w:p w14:paraId="070CDB19" w14:textId="77777777" w:rsidR="00295BCD" w:rsidRPr="001927D6" w:rsidRDefault="00295BCD">
            <w:pPr>
              <w:spacing w:after="0" w:line="240" w:lineRule="auto"/>
              <w:jc w:val="center"/>
              <w:textAlignment w:val="baseline"/>
              <w:rPr>
                <w:szCs w:val="24"/>
                <w:lang w:eastAsia="et-EE"/>
              </w:rPr>
            </w:pPr>
            <w:r w:rsidRPr="001927D6">
              <w:rPr>
                <w:color w:val="000000"/>
                <w:szCs w:val="24"/>
              </w:rPr>
              <w:t>831,80</w:t>
            </w:r>
          </w:p>
        </w:tc>
        <w:tc>
          <w:tcPr>
            <w:tcW w:w="1211" w:type="dxa"/>
            <w:vAlign w:val="center"/>
          </w:tcPr>
          <w:p w14:paraId="133E0468" w14:textId="77777777" w:rsidR="00295BCD" w:rsidRPr="001927D6" w:rsidRDefault="00295BCD">
            <w:pPr>
              <w:spacing w:after="0" w:line="240" w:lineRule="auto"/>
              <w:jc w:val="center"/>
              <w:textAlignment w:val="baseline"/>
              <w:rPr>
                <w:szCs w:val="24"/>
                <w:lang w:eastAsia="et-EE"/>
              </w:rPr>
            </w:pPr>
            <w:r w:rsidRPr="001927D6">
              <w:rPr>
                <w:color w:val="000000"/>
                <w:szCs w:val="24"/>
              </w:rPr>
              <w:t>614,93</w:t>
            </w:r>
          </w:p>
        </w:tc>
        <w:tc>
          <w:tcPr>
            <w:tcW w:w="1238" w:type="dxa"/>
            <w:vAlign w:val="center"/>
          </w:tcPr>
          <w:p w14:paraId="4D3BD7B5" w14:textId="77777777" w:rsidR="00295BCD" w:rsidRPr="001927D6" w:rsidRDefault="00295BCD">
            <w:pPr>
              <w:spacing w:after="0" w:line="240" w:lineRule="auto"/>
              <w:jc w:val="center"/>
              <w:textAlignment w:val="baseline"/>
              <w:rPr>
                <w:szCs w:val="24"/>
                <w:lang w:eastAsia="et-EE"/>
              </w:rPr>
            </w:pPr>
            <w:r w:rsidRPr="001927D6">
              <w:rPr>
                <w:color w:val="000000"/>
                <w:szCs w:val="24"/>
              </w:rPr>
              <w:t>966,33</w:t>
            </w:r>
          </w:p>
        </w:tc>
      </w:tr>
      <w:tr w:rsidR="00295BCD" w:rsidRPr="001927D6" w14:paraId="52DB83D3" w14:textId="77777777" w:rsidTr="00295BCD">
        <w:trPr>
          <w:divId w:val="1316184749"/>
          <w:trHeight w:val="300"/>
        </w:trPr>
        <w:tc>
          <w:tcPr>
            <w:tcW w:w="4632" w:type="dxa"/>
            <w:vAlign w:val="bottom"/>
            <w:hideMark/>
          </w:tcPr>
          <w:p w14:paraId="21CBE31A" w14:textId="77777777" w:rsidR="00295BCD" w:rsidRPr="001927D6" w:rsidRDefault="00295BCD">
            <w:pPr>
              <w:spacing w:after="0" w:line="240" w:lineRule="auto"/>
              <w:textAlignment w:val="baseline"/>
              <w:rPr>
                <w:szCs w:val="24"/>
                <w:lang w:eastAsia="et-EE"/>
              </w:rPr>
            </w:pPr>
            <w:r w:rsidRPr="001927D6">
              <w:rPr>
                <w:szCs w:val="24"/>
                <w:lang w:eastAsia="et-EE"/>
              </w:rPr>
              <w:t>Silmasisesed operatsioonid, v.a võrkkestal, vikerkestal ja läätsel </w:t>
            </w:r>
          </w:p>
        </w:tc>
        <w:tc>
          <w:tcPr>
            <w:tcW w:w="732" w:type="dxa"/>
            <w:vAlign w:val="center"/>
            <w:hideMark/>
          </w:tcPr>
          <w:p w14:paraId="25D41578" w14:textId="77777777" w:rsidR="00295BCD" w:rsidRPr="001927D6" w:rsidRDefault="00295BCD">
            <w:pPr>
              <w:spacing w:after="0" w:line="240" w:lineRule="auto"/>
              <w:jc w:val="center"/>
              <w:textAlignment w:val="baseline"/>
              <w:rPr>
                <w:szCs w:val="24"/>
                <w:lang w:eastAsia="et-EE"/>
              </w:rPr>
            </w:pPr>
            <w:r w:rsidRPr="001927D6">
              <w:rPr>
                <w:szCs w:val="24"/>
                <w:lang w:eastAsia="et-EE"/>
              </w:rPr>
              <w:t>042 </w:t>
            </w:r>
          </w:p>
        </w:tc>
        <w:tc>
          <w:tcPr>
            <w:tcW w:w="1243" w:type="dxa"/>
            <w:vAlign w:val="center"/>
          </w:tcPr>
          <w:p w14:paraId="544858D6" w14:textId="77777777" w:rsidR="00295BCD" w:rsidRPr="001927D6" w:rsidRDefault="00295BCD">
            <w:pPr>
              <w:spacing w:after="0" w:line="240" w:lineRule="auto"/>
              <w:jc w:val="center"/>
              <w:textAlignment w:val="baseline"/>
              <w:rPr>
                <w:szCs w:val="24"/>
                <w:lang w:eastAsia="et-EE"/>
              </w:rPr>
            </w:pPr>
            <w:r w:rsidRPr="001927D6">
              <w:rPr>
                <w:color w:val="000000"/>
                <w:szCs w:val="24"/>
              </w:rPr>
              <w:t>1 214,38</w:t>
            </w:r>
          </w:p>
        </w:tc>
        <w:tc>
          <w:tcPr>
            <w:tcW w:w="1211" w:type="dxa"/>
            <w:vAlign w:val="center"/>
          </w:tcPr>
          <w:p w14:paraId="7684E514" w14:textId="77777777" w:rsidR="00295BCD" w:rsidRPr="001927D6" w:rsidRDefault="00295BCD">
            <w:pPr>
              <w:spacing w:after="0" w:line="240" w:lineRule="auto"/>
              <w:jc w:val="center"/>
              <w:textAlignment w:val="baseline"/>
              <w:rPr>
                <w:szCs w:val="24"/>
                <w:lang w:eastAsia="et-EE"/>
              </w:rPr>
            </w:pPr>
            <w:r w:rsidRPr="001927D6">
              <w:rPr>
                <w:color w:val="000000"/>
                <w:szCs w:val="24"/>
              </w:rPr>
              <w:t>613,30</w:t>
            </w:r>
          </w:p>
        </w:tc>
        <w:tc>
          <w:tcPr>
            <w:tcW w:w="1238" w:type="dxa"/>
            <w:vAlign w:val="center"/>
          </w:tcPr>
          <w:p w14:paraId="63551A36" w14:textId="77777777" w:rsidR="00295BCD" w:rsidRPr="001927D6" w:rsidRDefault="00295BCD">
            <w:pPr>
              <w:spacing w:after="0" w:line="240" w:lineRule="auto"/>
              <w:jc w:val="center"/>
              <w:textAlignment w:val="baseline"/>
              <w:rPr>
                <w:szCs w:val="24"/>
                <w:lang w:eastAsia="et-EE"/>
              </w:rPr>
            </w:pPr>
            <w:r w:rsidRPr="001927D6">
              <w:rPr>
                <w:color w:val="000000"/>
                <w:szCs w:val="24"/>
              </w:rPr>
              <w:t>2 290,27</w:t>
            </w:r>
          </w:p>
        </w:tc>
      </w:tr>
      <w:tr w:rsidR="00295BCD" w:rsidRPr="001927D6" w14:paraId="1EDC1166" w14:textId="77777777" w:rsidTr="00295BCD">
        <w:trPr>
          <w:divId w:val="1316184749"/>
          <w:trHeight w:val="300"/>
        </w:trPr>
        <w:tc>
          <w:tcPr>
            <w:tcW w:w="4632" w:type="dxa"/>
            <w:vAlign w:val="bottom"/>
            <w:hideMark/>
          </w:tcPr>
          <w:p w14:paraId="4A5D194F" w14:textId="77777777" w:rsidR="00295BCD" w:rsidRPr="001927D6" w:rsidRDefault="00295BCD">
            <w:pPr>
              <w:spacing w:after="0" w:line="240" w:lineRule="auto"/>
              <w:textAlignment w:val="baseline"/>
              <w:rPr>
                <w:szCs w:val="24"/>
                <w:lang w:eastAsia="et-EE"/>
              </w:rPr>
            </w:pPr>
            <w:r w:rsidRPr="001927D6">
              <w:rPr>
                <w:szCs w:val="24"/>
                <w:lang w:eastAsia="et-EE"/>
              </w:rPr>
              <w:t>Muud silmasisesed protseduurid, lühike ravi </w:t>
            </w:r>
          </w:p>
        </w:tc>
        <w:tc>
          <w:tcPr>
            <w:tcW w:w="732" w:type="dxa"/>
            <w:vAlign w:val="center"/>
            <w:hideMark/>
          </w:tcPr>
          <w:p w14:paraId="70A0B580" w14:textId="77777777" w:rsidR="00295BCD" w:rsidRPr="001927D6" w:rsidRDefault="00295BCD">
            <w:pPr>
              <w:spacing w:after="0" w:line="240" w:lineRule="auto"/>
              <w:jc w:val="center"/>
              <w:textAlignment w:val="baseline"/>
              <w:rPr>
                <w:szCs w:val="24"/>
                <w:lang w:eastAsia="et-EE"/>
              </w:rPr>
            </w:pPr>
            <w:r w:rsidRPr="001927D6">
              <w:rPr>
                <w:szCs w:val="24"/>
                <w:lang w:eastAsia="et-EE"/>
              </w:rPr>
              <w:t>042P </w:t>
            </w:r>
          </w:p>
        </w:tc>
        <w:tc>
          <w:tcPr>
            <w:tcW w:w="1243" w:type="dxa"/>
            <w:vAlign w:val="center"/>
          </w:tcPr>
          <w:p w14:paraId="605FEC7B" w14:textId="77777777" w:rsidR="00295BCD" w:rsidRPr="001927D6" w:rsidRDefault="00295BCD">
            <w:pPr>
              <w:spacing w:after="0" w:line="240" w:lineRule="auto"/>
              <w:jc w:val="center"/>
              <w:textAlignment w:val="baseline"/>
              <w:rPr>
                <w:szCs w:val="24"/>
                <w:lang w:eastAsia="et-EE"/>
              </w:rPr>
            </w:pPr>
            <w:r w:rsidRPr="001927D6">
              <w:rPr>
                <w:color w:val="000000"/>
                <w:szCs w:val="24"/>
              </w:rPr>
              <w:t>550,68</w:t>
            </w:r>
          </w:p>
        </w:tc>
        <w:tc>
          <w:tcPr>
            <w:tcW w:w="1211" w:type="dxa"/>
            <w:vAlign w:val="center"/>
          </w:tcPr>
          <w:p w14:paraId="5B00039F" w14:textId="77777777" w:rsidR="00295BCD" w:rsidRPr="001927D6" w:rsidRDefault="00295BCD">
            <w:pPr>
              <w:spacing w:after="0" w:line="240" w:lineRule="auto"/>
              <w:jc w:val="center"/>
              <w:textAlignment w:val="baseline"/>
              <w:rPr>
                <w:szCs w:val="24"/>
                <w:lang w:eastAsia="et-EE"/>
              </w:rPr>
            </w:pPr>
            <w:r w:rsidRPr="001927D6">
              <w:rPr>
                <w:color w:val="000000"/>
                <w:szCs w:val="24"/>
              </w:rPr>
              <w:t>349,26</w:t>
            </w:r>
          </w:p>
        </w:tc>
        <w:tc>
          <w:tcPr>
            <w:tcW w:w="1238" w:type="dxa"/>
            <w:vAlign w:val="center"/>
          </w:tcPr>
          <w:p w14:paraId="2A97DBE8" w14:textId="77777777" w:rsidR="00295BCD" w:rsidRPr="001927D6" w:rsidRDefault="00295BCD">
            <w:pPr>
              <w:spacing w:after="0" w:line="240" w:lineRule="auto"/>
              <w:jc w:val="center"/>
              <w:textAlignment w:val="baseline"/>
              <w:rPr>
                <w:szCs w:val="24"/>
                <w:lang w:eastAsia="et-EE"/>
              </w:rPr>
            </w:pPr>
            <w:r w:rsidRPr="001927D6">
              <w:rPr>
                <w:color w:val="000000"/>
                <w:szCs w:val="24"/>
              </w:rPr>
              <w:t>851,51</w:t>
            </w:r>
          </w:p>
        </w:tc>
      </w:tr>
      <w:tr w:rsidR="00295BCD" w:rsidRPr="001927D6" w14:paraId="5A1E03B0" w14:textId="77777777" w:rsidTr="00295BCD">
        <w:trPr>
          <w:divId w:val="1316184749"/>
          <w:trHeight w:val="300"/>
        </w:trPr>
        <w:tc>
          <w:tcPr>
            <w:tcW w:w="4632" w:type="dxa"/>
            <w:vAlign w:val="bottom"/>
            <w:hideMark/>
          </w:tcPr>
          <w:p w14:paraId="7B943FC8" w14:textId="77777777" w:rsidR="00295BCD" w:rsidRPr="001927D6" w:rsidRDefault="00295BCD">
            <w:pPr>
              <w:spacing w:after="0" w:line="240" w:lineRule="auto"/>
              <w:textAlignment w:val="baseline"/>
              <w:rPr>
                <w:szCs w:val="24"/>
                <w:lang w:eastAsia="et-EE"/>
              </w:rPr>
            </w:pPr>
            <w:r w:rsidRPr="001927D6">
              <w:rPr>
                <w:szCs w:val="24"/>
                <w:lang w:eastAsia="et-EE"/>
              </w:rPr>
              <w:t>Hüpheem </w:t>
            </w:r>
          </w:p>
        </w:tc>
        <w:tc>
          <w:tcPr>
            <w:tcW w:w="732" w:type="dxa"/>
            <w:vAlign w:val="center"/>
            <w:hideMark/>
          </w:tcPr>
          <w:p w14:paraId="015FD1AC" w14:textId="77777777" w:rsidR="00295BCD" w:rsidRPr="001927D6" w:rsidRDefault="00295BCD">
            <w:pPr>
              <w:spacing w:after="0" w:line="240" w:lineRule="auto"/>
              <w:jc w:val="center"/>
              <w:textAlignment w:val="baseline"/>
              <w:rPr>
                <w:szCs w:val="24"/>
                <w:lang w:eastAsia="et-EE"/>
              </w:rPr>
            </w:pPr>
            <w:r w:rsidRPr="001927D6">
              <w:rPr>
                <w:szCs w:val="24"/>
                <w:lang w:eastAsia="et-EE"/>
              </w:rPr>
              <w:t>043 </w:t>
            </w:r>
          </w:p>
        </w:tc>
        <w:tc>
          <w:tcPr>
            <w:tcW w:w="1243" w:type="dxa"/>
            <w:vAlign w:val="center"/>
          </w:tcPr>
          <w:p w14:paraId="53FB6A42" w14:textId="77777777" w:rsidR="00295BCD" w:rsidRPr="001927D6" w:rsidRDefault="00295BCD">
            <w:pPr>
              <w:spacing w:after="0" w:line="240" w:lineRule="auto"/>
              <w:jc w:val="center"/>
              <w:textAlignment w:val="baseline"/>
              <w:rPr>
                <w:szCs w:val="24"/>
                <w:lang w:eastAsia="et-EE"/>
              </w:rPr>
            </w:pPr>
            <w:r w:rsidRPr="001927D6">
              <w:rPr>
                <w:color w:val="000000"/>
                <w:szCs w:val="24"/>
              </w:rPr>
              <w:t>557,15</w:t>
            </w:r>
          </w:p>
        </w:tc>
        <w:tc>
          <w:tcPr>
            <w:tcW w:w="1211" w:type="dxa"/>
            <w:vAlign w:val="center"/>
          </w:tcPr>
          <w:p w14:paraId="6F283759" w14:textId="77777777" w:rsidR="00295BCD" w:rsidRPr="001927D6" w:rsidRDefault="00295BCD">
            <w:pPr>
              <w:spacing w:after="0" w:line="240" w:lineRule="auto"/>
              <w:jc w:val="center"/>
              <w:textAlignment w:val="baseline"/>
              <w:rPr>
                <w:szCs w:val="24"/>
                <w:lang w:eastAsia="et-EE"/>
              </w:rPr>
            </w:pPr>
            <w:r w:rsidRPr="001927D6">
              <w:rPr>
                <w:color w:val="000000"/>
                <w:szCs w:val="24"/>
              </w:rPr>
              <w:t>252,76</w:t>
            </w:r>
          </w:p>
        </w:tc>
        <w:tc>
          <w:tcPr>
            <w:tcW w:w="1238" w:type="dxa"/>
            <w:vAlign w:val="center"/>
          </w:tcPr>
          <w:p w14:paraId="74E040AC" w14:textId="77777777" w:rsidR="00295BCD" w:rsidRPr="001927D6" w:rsidRDefault="00295BCD">
            <w:pPr>
              <w:spacing w:after="0" w:line="240" w:lineRule="auto"/>
              <w:jc w:val="center"/>
              <w:textAlignment w:val="baseline"/>
              <w:rPr>
                <w:szCs w:val="24"/>
                <w:lang w:eastAsia="et-EE"/>
              </w:rPr>
            </w:pPr>
            <w:r w:rsidRPr="001927D6">
              <w:rPr>
                <w:color w:val="000000"/>
                <w:szCs w:val="24"/>
              </w:rPr>
              <w:t>1 012,67</w:t>
            </w:r>
          </w:p>
        </w:tc>
      </w:tr>
      <w:tr w:rsidR="00295BCD" w:rsidRPr="001927D6" w14:paraId="130F560E" w14:textId="77777777" w:rsidTr="00295BCD">
        <w:trPr>
          <w:divId w:val="1316184749"/>
          <w:trHeight w:val="300"/>
        </w:trPr>
        <w:tc>
          <w:tcPr>
            <w:tcW w:w="4632" w:type="dxa"/>
            <w:vAlign w:val="bottom"/>
            <w:hideMark/>
          </w:tcPr>
          <w:p w14:paraId="4C8064DB" w14:textId="77777777" w:rsidR="00295BCD" w:rsidRPr="001927D6" w:rsidRDefault="00295BCD">
            <w:pPr>
              <w:spacing w:after="0" w:line="240" w:lineRule="auto"/>
              <w:textAlignment w:val="baseline"/>
              <w:rPr>
                <w:szCs w:val="24"/>
                <w:lang w:eastAsia="et-EE"/>
              </w:rPr>
            </w:pPr>
            <w:r w:rsidRPr="001927D6">
              <w:rPr>
                <w:szCs w:val="24"/>
                <w:lang w:eastAsia="et-EE"/>
              </w:rPr>
              <w:t>Peamised ägedad silmainfektsioonid </w:t>
            </w:r>
          </w:p>
        </w:tc>
        <w:tc>
          <w:tcPr>
            <w:tcW w:w="732" w:type="dxa"/>
            <w:vAlign w:val="center"/>
            <w:hideMark/>
          </w:tcPr>
          <w:p w14:paraId="74AA114D" w14:textId="77777777" w:rsidR="00295BCD" w:rsidRPr="001927D6" w:rsidRDefault="00295BCD">
            <w:pPr>
              <w:spacing w:after="0" w:line="240" w:lineRule="auto"/>
              <w:jc w:val="center"/>
              <w:textAlignment w:val="baseline"/>
              <w:rPr>
                <w:szCs w:val="24"/>
                <w:lang w:eastAsia="et-EE"/>
              </w:rPr>
            </w:pPr>
            <w:r w:rsidRPr="001927D6">
              <w:rPr>
                <w:szCs w:val="24"/>
                <w:lang w:eastAsia="et-EE"/>
              </w:rPr>
              <w:t>044 </w:t>
            </w:r>
          </w:p>
        </w:tc>
        <w:tc>
          <w:tcPr>
            <w:tcW w:w="1243" w:type="dxa"/>
            <w:vAlign w:val="center"/>
          </w:tcPr>
          <w:p w14:paraId="3B66BED1" w14:textId="77777777" w:rsidR="00295BCD" w:rsidRPr="001927D6" w:rsidRDefault="00295BCD">
            <w:pPr>
              <w:spacing w:after="0" w:line="240" w:lineRule="auto"/>
              <w:jc w:val="center"/>
              <w:textAlignment w:val="baseline"/>
              <w:rPr>
                <w:szCs w:val="24"/>
                <w:lang w:eastAsia="et-EE"/>
              </w:rPr>
            </w:pPr>
            <w:r w:rsidRPr="001927D6">
              <w:rPr>
                <w:color w:val="000000"/>
                <w:szCs w:val="24"/>
              </w:rPr>
              <w:t>1 387,10</w:t>
            </w:r>
          </w:p>
        </w:tc>
        <w:tc>
          <w:tcPr>
            <w:tcW w:w="1211" w:type="dxa"/>
            <w:vAlign w:val="center"/>
          </w:tcPr>
          <w:p w14:paraId="6FB33DE7" w14:textId="77777777" w:rsidR="00295BCD" w:rsidRPr="001927D6" w:rsidRDefault="00295BCD">
            <w:pPr>
              <w:spacing w:after="0" w:line="240" w:lineRule="auto"/>
              <w:jc w:val="center"/>
              <w:textAlignment w:val="baseline"/>
              <w:rPr>
                <w:szCs w:val="24"/>
                <w:lang w:eastAsia="et-EE"/>
              </w:rPr>
            </w:pPr>
            <w:r w:rsidRPr="001927D6">
              <w:rPr>
                <w:color w:val="000000"/>
                <w:szCs w:val="24"/>
              </w:rPr>
              <w:t>533,44</w:t>
            </w:r>
          </w:p>
        </w:tc>
        <w:tc>
          <w:tcPr>
            <w:tcW w:w="1238" w:type="dxa"/>
            <w:vAlign w:val="center"/>
          </w:tcPr>
          <w:p w14:paraId="4A5AA8ED" w14:textId="77777777" w:rsidR="00295BCD" w:rsidRPr="001927D6" w:rsidRDefault="00295BCD">
            <w:pPr>
              <w:spacing w:after="0" w:line="240" w:lineRule="auto"/>
              <w:jc w:val="center"/>
              <w:textAlignment w:val="baseline"/>
              <w:rPr>
                <w:szCs w:val="24"/>
                <w:lang w:eastAsia="et-EE"/>
              </w:rPr>
            </w:pPr>
            <w:r w:rsidRPr="001927D6">
              <w:rPr>
                <w:color w:val="000000"/>
                <w:szCs w:val="24"/>
              </w:rPr>
              <w:t>2 479,65</w:t>
            </w:r>
          </w:p>
        </w:tc>
      </w:tr>
      <w:tr w:rsidR="00295BCD" w:rsidRPr="001927D6" w14:paraId="53A7DBF0" w14:textId="77777777" w:rsidTr="00295BCD">
        <w:trPr>
          <w:divId w:val="1316184749"/>
          <w:trHeight w:val="300"/>
        </w:trPr>
        <w:tc>
          <w:tcPr>
            <w:tcW w:w="4632" w:type="dxa"/>
            <w:vAlign w:val="bottom"/>
            <w:hideMark/>
          </w:tcPr>
          <w:p w14:paraId="4E651547" w14:textId="77777777" w:rsidR="00295BCD" w:rsidRPr="001927D6" w:rsidRDefault="00295BCD">
            <w:pPr>
              <w:spacing w:after="0" w:line="240" w:lineRule="auto"/>
              <w:textAlignment w:val="baseline"/>
              <w:rPr>
                <w:szCs w:val="24"/>
                <w:lang w:eastAsia="et-EE"/>
              </w:rPr>
            </w:pPr>
            <w:r w:rsidRPr="001927D6">
              <w:rPr>
                <w:szCs w:val="24"/>
                <w:lang w:eastAsia="et-EE"/>
              </w:rPr>
              <w:t>Neuroloogilised silmahaigused </w:t>
            </w:r>
          </w:p>
        </w:tc>
        <w:tc>
          <w:tcPr>
            <w:tcW w:w="732" w:type="dxa"/>
            <w:vAlign w:val="center"/>
            <w:hideMark/>
          </w:tcPr>
          <w:p w14:paraId="16EE157E" w14:textId="77777777" w:rsidR="00295BCD" w:rsidRPr="001927D6" w:rsidRDefault="00295BCD">
            <w:pPr>
              <w:spacing w:after="0" w:line="240" w:lineRule="auto"/>
              <w:jc w:val="center"/>
              <w:textAlignment w:val="baseline"/>
              <w:rPr>
                <w:szCs w:val="24"/>
                <w:lang w:eastAsia="et-EE"/>
              </w:rPr>
            </w:pPr>
            <w:r w:rsidRPr="001927D6">
              <w:rPr>
                <w:szCs w:val="24"/>
                <w:lang w:eastAsia="et-EE"/>
              </w:rPr>
              <w:t>045 </w:t>
            </w:r>
          </w:p>
        </w:tc>
        <w:tc>
          <w:tcPr>
            <w:tcW w:w="1243" w:type="dxa"/>
            <w:vAlign w:val="center"/>
          </w:tcPr>
          <w:p w14:paraId="46BB4E4D" w14:textId="77777777" w:rsidR="00295BCD" w:rsidRPr="001927D6" w:rsidRDefault="00295BCD">
            <w:pPr>
              <w:spacing w:after="0" w:line="240" w:lineRule="auto"/>
              <w:jc w:val="center"/>
              <w:textAlignment w:val="baseline"/>
              <w:rPr>
                <w:szCs w:val="24"/>
                <w:lang w:eastAsia="et-EE"/>
              </w:rPr>
            </w:pPr>
            <w:r w:rsidRPr="001927D6">
              <w:rPr>
                <w:color w:val="000000"/>
                <w:szCs w:val="24"/>
              </w:rPr>
              <w:t>2 139,51</w:t>
            </w:r>
          </w:p>
        </w:tc>
        <w:tc>
          <w:tcPr>
            <w:tcW w:w="1211" w:type="dxa"/>
            <w:vAlign w:val="center"/>
          </w:tcPr>
          <w:p w14:paraId="1AB7BD69" w14:textId="77777777" w:rsidR="00295BCD" w:rsidRPr="001927D6" w:rsidRDefault="00295BCD">
            <w:pPr>
              <w:spacing w:after="0" w:line="240" w:lineRule="auto"/>
              <w:jc w:val="center"/>
              <w:textAlignment w:val="baseline"/>
              <w:rPr>
                <w:szCs w:val="24"/>
                <w:lang w:eastAsia="et-EE"/>
              </w:rPr>
            </w:pPr>
            <w:r w:rsidRPr="001927D6">
              <w:rPr>
                <w:color w:val="000000"/>
                <w:szCs w:val="24"/>
              </w:rPr>
              <w:t>689,02</w:t>
            </w:r>
          </w:p>
        </w:tc>
        <w:tc>
          <w:tcPr>
            <w:tcW w:w="1238" w:type="dxa"/>
            <w:vAlign w:val="center"/>
          </w:tcPr>
          <w:p w14:paraId="15EA2C08" w14:textId="77777777" w:rsidR="00295BCD" w:rsidRPr="001927D6" w:rsidRDefault="00295BCD">
            <w:pPr>
              <w:spacing w:after="0" w:line="240" w:lineRule="auto"/>
              <w:jc w:val="center"/>
              <w:textAlignment w:val="baseline"/>
              <w:rPr>
                <w:szCs w:val="24"/>
                <w:lang w:eastAsia="et-EE"/>
              </w:rPr>
            </w:pPr>
            <w:r w:rsidRPr="001927D6">
              <w:rPr>
                <w:color w:val="000000"/>
                <w:szCs w:val="24"/>
              </w:rPr>
              <w:t>4 227,90</w:t>
            </w:r>
          </w:p>
        </w:tc>
      </w:tr>
      <w:tr w:rsidR="00295BCD" w:rsidRPr="001927D6" w14:paraId="1B193689" w14:textId="77777777" w:rsidTr="00295BCD">
        <w:trPr>
          <w:divId w:val="1316184749"/>
          <w:trHeight w:val="300"/>
        </w:trPr>
        <w:tc>
          <w:tcPr>
            <w:tcW w:w="4632" w:type="dxa"/>
            <w:vAlign w:val="bottom"/>
            <w:hideMark/>
          </w:tcPr>
          <w:p w14:paraId="69AD6665" w14:textId="77777777" w:rsidR="00295BCD" w:rsidRPr="001927D6" w:rsidRDefault="00295BCD">
            <w:pPr>
              <w:spacing w:after="0" w:line="240" w:lineRule="auto"/>
              <w:textAlignment w:val="baseline"/>
              <w:rPr>
                <w:szCs w:val="24"/>
                <w:lang w:eastAsia="et-EE"/>
              </w:rPr>
            </w:pPr>
            <w:r w:rsidRPr="001927D6">
              <w:rPr>
                <w:szCs w:val="24"/>
                <w:lang w:eastAsia="et-EE"/>
              </w:rPr>
              <w:t>Muud silmahaigused, vanus &gt; 17, kht-ga </w:t>
            </w:r>
          </w:p>
        </w:tc>
        <w:tc>
          <w:tcPr>
            <w:tcW w:w="732" w:type="dxa"/>
            <w:vAlign w:val="center"/>
            <w:hideMark/>
          </w:tcPr>
          <w:p w14:paraId="3C3E1339" w14:textId="77777777" w:rsidR="00295BCD" w:rsidRPr="001927D6" w:rsidRDefault="00295BCD">
            <w:pPr>
              <w:spacing w:after="0" w:line="240" w:lineRule="auto"/>
              <w:jc w:val="center"/>
              <w:textAlignment w:val="baseline"/>
              <w:rPr>
                <w:szCs w:val="24"/>
                <w:lang w:eastAsia="et-EE"/>
              </w:rPr>
            </w:pPr>
            <w:r w:rsidRPr="001927D6">
              <w:rPr>
                <w:szCs w:val="24"/>
                <w:lang w:eastAsia="et-EE"/>
              </w:rPr>
              <w:t>046 </w:t>
            </w:r>
          </w:p>
        </w:tc>
        <w:tc>
          <w:tcPr>
            <w:tcW w:w="1243" w:type="dxa"/>
            <w:vAlign w:val="center"/>
          </w:tcPr>
          <w:p w14:paraId="34744614" w14:textId="77777777" w:rsidR="00295BCD" w:rsidRPr="001927D6" w:rsidRDefault="00295BCD">
            <w:pPr>
              <w:spacing w:after="0" w:line="240" w:lineRule="auto"/>
              <w:jc w:val="center"/>
              <w:textAlignment w:val="baseline"/>
              <w:rPr>
                <w:szCs w:val="24"/>
                <w:lang w:eastAsia="et-EE"/>
              </w:rPr>
            </w:pPr>
            <w:r w:rsidRPr="001927D6">
              <w:rPr>
                <w:color w:val="000000"/>
                <w:szCs w:val="24"/>
              </w:rPr>
              <w:t>1 898,85</w:t>
            </w:r>
          </w:p>
        </w:tc>
        <w:tc>
          <w:tcPr>
            <w:tcW w:w="1211" w:type="dxa"/>
            <w:vAlign w:val="center"/>
          </w:tcPr>
          <w:p w14:paraId="6BB134F8" w14:textId="77777777" w:rsidR="00295BCD" w:rsidRPr="001927D6" w:rsidRDefault="00295BCD">
            <w:pPr>
              <w:spacing w:after="0" w:line="240" w:lineRule="auto"/>
              <w:jc w:val="center"/>
              <w:textAlignment w:val="baseline"/>
              <w:rPr>
                <w:szCs w:val="24"/>
                <w:lang w:eastAsia="et-EE"/>
              </w:rPr>
            </w:pPr>
            <w:r w:rsidRPr="001927D6">
              <w:rPr>
                <w:color w:val="000000"/>
                <w:szCs w:val="24"/>
              </w:rPr>
              <w:t>671,05</w:t>
            </w:r>
          </w:p>
        </w:tc>
        <w:tc>
          <w:tcPr>
            <w:tcW w:w="1238" w:type="dxa"/>
            <w:vAlign w:val="center"/>
          </w:tcPr>
          <w:p w14:paraId="084A07C8" w14:textId="77777777" w:rsidR="00295BCD" w:rsidRPr="001927D6" w:rsidRDefault="00295BCD">
            <w:pPr>
              <w:spacing w:after="0" w:line="240" w:lineRule="auto"/>
              <w:jc w:val="center"/>
              <w:textAlignment w:val="baseline"/>
              <w:rPr>
                <w:szCs w:val="24"/>
                <w:lang w:eastAsia="et-EE"/>
              </w:rPr>
            </w:pPr>
            <w:r w:rsidRPr="001927D6">
              <w:rPr>
                <w:color w:val="000000"/>
                <w:szCs w:val="24"/>
              </w:rPr>
              <w:t>3 685,16</w:t>
            </w:r>
          </w:p>
        </w:tc>
      </w:tr>
      <w:tr w:rsidR="00295BCD" w:rsidRPr="001927D6" w14:paraId="321BE934" w14:textId="77777777" w:rsidTr="00295BCD">
        <w:trPr>
          <w:divId w:val="1316184749"/>
          <w:trHeight w:val="300"/>
        </w:trPr>
        <w:tc>
          <w:tcPr>
            <w:tcW w:w="4632" w:type="dxa"/>
            <w:vAlign w:val="bottom"/>
            <w:hideMark/>
          </w:tcPr>
          <w:p w14:paraId="314DE60F" w14:textId="77777777" w:rsidR="00295BCD" w:rsidRPr="001927D6" w:rsidRDefault="00295BCD">
            <w:pPr>
              <w:spacing w:after="0" w:line="240" w:lineRule="auto"/>
              <w:textAlignment w:val="baseline"/>
              <w:rPr>
                <w:szCs w:val="24"/>
                <w:lang w:eastAsia="et-EE"/>
              </w:rPr>
            </w:pPr>
            <w:r w:rsidRPr="001927D6">
              <w:rPr>
                <w:szCs w:val="24"/>
                <w:lang w:eastAsia="et-EE"/>
              </w:rPr>
              <w:t>Muud silmahaigused, vanus &gt; 17, kht-ta </w:t>
            </w:r>
          </w:p>
        </w:tc>
        <w:tc>
          <w:tcPr>
            <w:tcW w:w="732" w:type="dxa"/>
            <w:vAlign w:val="center"/>
            <w:hideMark/>
          </w:tcPr>
          <w:p w14:paraId="147FA172" w14:textId="77777777" w:rsidR="00295BCD" w:rsidRPr="001927D6" w:rsidRDefault="00295BCD">
            <w:pPr>
              <w:spacing w:after="0" w:line="240" w:lineRule="auto"/>
              <w:jc w:val="center"/>
              <w:textAlignment w:val="baseline"/>
              <w:rPr>
                <w:szCs w:val="24"/>
                <w:lang w:eastAsia="et-EE"/>
              </w:rPr>
            </w:pPr>
            <w:r w:rsidRPr="001927D6">
              <w:rPr>
                <w:szCs w:val="24"/>
                <w:lang w:eastAsia="et-EE"/>
              </w:rPr>
              <w:t>047 </w:t>
            </w:r>
          </w:p>
        </w:tc>
        <w:tc>
          <w:tcPr>
            <w:tcW w:w="1243" w:type="dxa"/>
            <w:vAlign w:val="center"/>
          </w:tcPr>
          <w:p w14:paraId="7F615DA3" w14:textId="77777777" w:rsidR="00295BCD" w:rsidRPr="001927D6" w:rsidRDefault="00295BCD">
            <w:pPr>
              <w:spacing w:after="0" w:line="240" w:lineRule="auto"/>
              <w:jc w:val="center"/>
              <w:textAlignment w:val="baseline"/>
              <w:rPr>
                <w:szCs w:val="24"/>
                <w:lang w:eastAsia="et-EE"/>
              </w:rPr>
            </w:pPr>
            <w:r w:rsidRPr="001927D6">
              <w:rPr>
                <w:color w:val="000000"/>
                <w:szCs w:val="24"/>
              </w:rPr>
              <w:t>1 003,94</w:t>
            </w:r>
          </w:p>
        </w:tc>
        <w:tc>
          <w:tcPr>
            <w:tcW w:w="1211" w:type="dxa"/>
            <w:vAlign w:val="center"/>
          </w:tcPr>
          <w:p w14:paraId="55524481" w14:textId="77777777" w:rsidR="00295BCD" w:rsidRPr="001927D6" w:rsidRDefault="00295BCD">
            <w:pPr>
              <w:spacing w:after="0" w:line="240" w:lineRule="auto"/>
              <w:jc w:val="center"/>
              <w:textAlignment w:val="baseline"/>
              <w:rPr>
                <w:szCs w:val="24"/>
                <w:lang w:eastAsia="et-EE"/>
              </w:rPr>
            </w:pPr>
            <w:r w:rsidRPr="001927D6">
              <w:rPr>
                <w:color w:val="000000"/>
                <w:szCs w:val="24"/>
              </w:rPr>
              <w:t>201,88</w:t>
            </w:r>
          </w:p>
        </w:tc>
        <w:tc>
          <w:tcPr>
            <w:tcW w:w="1238" w:type="dxa"/>
            <w:vAlign w:val="center"/>
          </w:tcPr>
          <w:p w14:paraId="501AE04E" w14:textId="77777777" w:rsidR="00295BCD" w:rsidRPr="001927D6" w:rsidRDefault="00295BCD">
            <w:pPr>
              <w:spacing w:after="0" w:line="240" w:lineRule="auto"/>
              <w:jc w:val="center"/>
              <w:textAlignment w:val="baseline"/>
              <w:rPr>
                <w:szCs w:val="24"/>
                <w:lang w:eastAsia="et-EE"/>
              </w:rPr>
            </w:pPr>
            <w:r w:rsidRPr="001927D6">
              <w:rPr>
                <w:color w:val="000000"/>
                <w:szCs w:val="24"/>
              </w:rPr>
              <w:t>2 402,28</w:t>
            </w:r>
          </w:p>
        </w:tc>
      </w:tr>
      <w:tr w:rsidR="00295BCD" w:rsidRPr="001927D6" w14:paraId="0424B4A3" w14:textId="77777777" w:rsidTr="00295BCD">
        <w:trPr>
          <w:divId w:val="1316184749"/>
          <w:trHeight w:val="300"/>
        </w:trPr>
        <w:tc>
          <w:tcPr>
            <w:tcW w:w="4632" w:type="dxa"/>
            <w:vAlign w:val="bottom"/>
            <w:hideMark/>
          </w:tcPr>
          <w:p w14:paraId="73CE33B3" w14:textId="77777777" w:rsidR="00295BCD" w:rsidRPr="001927D6" w:rsidRDefault="00295BCD">
            <w:pPr>
              <w:spacing w:after="0" w:line="240" w:lineRule="auto"/>
              <w:textAlignment w:val="baseline"/>
              <w:rPr>
                <w:szCs w:val="24"/>
                <w:lang w:eastAsia="et-EE"/>
              </w:rPr>
            </w:pPr>
            <w:r w:rsidRPr="001927D6">
              <w:rPr>
                <w:szCs w:val="24"/>
                <w:lang w:eastAsia="et-EE"/>
              </w:rPr>
              <w:t>Muud silmahaigused, vanus 0–17 </w:t>
            </w:r>
          </w:p>
        </w:tc>
        <w:tc>
          <w:tcPr>
            <w:tcW w:w="732" w:type="dxa"/>
            <w:vAlign w:val="center"/>
            <w:hideMark/>
          </w:tcPr>
          <w:p w14:paraId="48A242A1" w14:textId="77777777" w:rsidR="00295BCD" w:rsidRPr="001927D6" w:rsidRDefault="00295BCD">
            <w:pPr>
              <w:spacing w:after="0" w:line="240" w:lineRule="auto"/>
              <w:jc w:val="center"/>
              <w:textAlignment w:val="baseline"/>
              <w:rPr>
                <w:szCs w:val="24"/>
                <w:lang w:eastAsia="et-EE"/>
              </w:rPr>
            </w:pPr>
            <w:r w:rsidRPr="001927D6">
              <w:rPr>
                <w:szCs w:val="24"/>
                <w:lang w:eastAsia="et-EE"/>
              </w:rPr>
              <w:t>048 </w:t>
            </w:r>
          </w:p>
        </w:tc>
        <w:tc>
          <w:tcPr>
            <w:tcW w:w="1243" w:type="dxa"/>
            <w:vAlign w:val="center"/>
          </w:tcPr>
          <w:p w14:paraId="13E2E3D9" w14:textId="77777777" w:rsidR="00295BCD" w:rsidRPr="001927D6" w:rsidRDefault="00295BCD">
            <w:pPr>
              <w:spacing w:after="0" w:line="240" w:lineRule="auto"/>
              <w:jc w:val="center"/>
              <w:textAlignment w:val="baseline"/>
              <w:rPr>
                <w:szCs w:val="24"/>
                <w:lang w:eastAsia="et-EE"/>
              </w:rPr>
            </w:pPr>
            <w:r w:rsidRPr="001927D6">
              <w:rPr>
                <w:color w:val="000000"/>
                <w:szCs w:val="24"/>
              </w:rPr>
              <w:t>1 002,92</w:t>
            </w:r>
          </w:p>
        </w:tc>
        <w:tc>
          <w:tcPr>
            <w:tcW w:w="1211" w:type="dxa"/>
            <w:vAlign w:val="center"/>
          </w:tcPr>
          <w:p w14:paraId="024BA8A5" w14:textId="77777777" w:rsidR="00295BCD" w:rsidRPr="001927D6" w:rsidRDefault="00295BCD">
            <w:pPr>
              <w:spacing w:after="0" w:line="240" w:lineRule="auto"/>
              <w:jc w:val="center"/>
              <w:textAlignment w:val="baseline"/>
              <w:rPr>
                <w:szCs w:val="24"/>
                <w:lang w:eastAsia="et-EE"/>
              </w:rPr>
            </w:pPr>
            <w:r w:rsidRPr="001927D6">
              <w:rPr>
                <w:color w:val="000000"/>
                <w:szCs w:val="24"/>
              </w:rPr>
              <w:t>245,30</w:t>
            </w:r>
          </w:p>
        </w:tc>
        <w:tc>
          <w:tcPr>
            <w:tcW w:w="1238" w:type="dxa"/>
            <w:vAlign w:val="center"/>
          </w:tcPr>
          <w:p w14:paraId="2B9166E2" w14:textId="77777777" w:rsidR="00295BCD" w:rsidRPr="001927D6" w:rsidRDefault="00295BCD">
            <w:pPr>
              <w:spacing w:after="0" w:line="240" w:lineRule="auto"/>
              <w:jc w:val="center"/>
              <w:textAlignment w:val="baseline"/>
              <w:rPr>
                <w:szCs w:val="24"/>
                <w:lang w:eastAsia="et-EE"/>
              </w:rPr>
            </w:pPr>
            <w:r w:rsidRPr="001927D6">
              <w:rPr>
                <w:color w:val="000000"/>
                <w:szCs w:val="24"/>
              </w:rPr>
              <w:t>2 343,19</w:t>
            </w:r>
          </w:p>
        </w:tc>
      </w:tr>
      <w:tr w:rsidR="00295BCD" w:rsidRPr="001927D6" w14:paraId="195C0562" w14:textId="77777777" w:rsidTr="00295BCD">
        <w:trPr>
          <w:divId w:val="1316184749"/>
          <w:trHeight w:val="300"/>
        </w:trPr>
        <w:tc>
          <w:tcPr>
            <w:tcW w:w="4632" w:type="dxa"/>
            <w:vAlign w:val="bottom"/>
            <w:hideMark/>
          </w:tcPr>
          <w:p w14:paraId="0F32951A" w14:textId="77777777" w:rsidR="00295BCD" w:rsidRPr="001927D6" w:rsidRDefault="00295BCD">
            <w:pPr>
              <w:spacing w:after="0" w:line="240" w:lineRule="auto"/>
              <w:textAlignment w:val="baseline"/>
              <w:rPr>
                <w:szCs w:val="24"/>
                <w:lang w:eastAsia="et-EE"/>
              </w:rPr>
            </w:pPr>
            <w:r w:rsidRPr="001927D6">
              <w:rPr>
                <w:szCs w:val="24"/>
                <w:lang w:eastAsia="et-EE"/>
              </w:rPr>
              <w:t>Muud pea ja kaela suured operatsioonid </w:t>
            </w:r>
          </w:p>
        </w:tc>
        <w:tc>
          <w:tcPr>
            <w:tcW w:w="732" w:type="dxa"/>
            <w:vAlign w:val="center"/>
            <w:hideMark/>
          </w:tcPr>
          <w:p w14:paraId="228ECFA7" w14:textId="77777777" w:rsidR="00295BCD" w:rsidRPr="001927D6" w:rsidRDefault="00295BCD">
            <w:pPr>
              <w:spacing w:after="0" w:line="240" w:lineRule="auto"/>
              <w:jc w:val="center"/>
              <w:textAlignment w:val="baseline"/>
              <w:rPr>
                <w:szCs w:val="24"/>
                <w:lang w:eastAsia="et-EE"/>
              </w:rPr>
            </w:pPr>
            <w:r w:rsidRPr="001927D6">
              <w:rPr>
                <w:szCs w:val="24"/>
                <w:lang w:eastAsia="et-EE"/>
              </w:rPr>
              <w:t>049A </w:t>
            </w:r>
          </w:p>
        </w:tc>
        <w:tc>
          <w:tcPr>
            <w:tcW w:w="1243" w:type="dxa"/>
            <w:vAlign w:val="center"/>
          </w:tcPr>
          <w:p w14:paraId="5BC0FEE6" w14:textId="77777777" w:rsidR="00295BCD" w:rsidRPr="001927D6" w:rsidRDefault="00295BCD">
            <w:pPr>
              <w:spacing w:after="0" w:line="240" w:lineRule="auto"/>
              <w:jc w:val="center"/>
              <w:textAlignment w:val="baseline"/>
              <w:rPr>
                <w:szCs w:val="24"/>
                <w:lang w:eastAsia="et-EE"/>
              </w:rPr>
            </w:pPr>
            <w:r w:rsidRPr="001927D6">
              <w:rPr>
                <w:color w:val="000000"/>
                <w:szCs w:val="24"/>
              </w:rPr>
              <w:t>8 567,64</w:t>
            </w:r>
          </w:p>
        </w:tc>
        <w:tc>
          <w:tcPr>
            <w:tcW w:w="1211" w:type="dxa"/>
            <w:vAlign w:val="center"/>
          </w:tcPr>
          <w:p w14:paraId="15FFB777" w14:textId="77777777" w:rsidR="00295BCD" w:rsidRPr="001927D6" w:rsidRDefault="00295BCD">
            <w:pPr>
              <w:spacing w:after="0" w:line="240" w:lineRule="auto"/>
              <w:jc w:val="center"/>
              <w:textAlignment w:val="baseline"/>
              <w:rPr>
                <w:szCs w:val="24"/>
                <w:lang w:eastAsia="et-EE"/>
              </w:rPr>
            </w:pPr>
            <w:r w:rsidRPr="001927D6">
              <w:rPr>
                <w:color w:val="000000"/>
                <w:szCs w:val="24"/>
              </w:rPr>
              <w:t>1 631,79</w:t>
            </w:r>
          </w:p>
        </w:tc>
        <w:tc>
          <w:tcPr>
            <w:tcW w:w="1238" w:type="dxa"/>
            <w:vAlign w:val="center"/>
          </w:tcPr>
          <w:p w14:paraId="0E2E1804" w14:textId="77777777" w:rsidR="00295BCD" w:rsidRPr="001927D6" w:rsidRDefault="00295BCD">
            <w:pPr>
              <w:spacing w:after="0" w:line="240" w:lineRule="auto"/>
              <w:jc w:val="center"/>
              <w:textAlignment w:val="baseline"/>
              <w:rPr>
                <w:szCs w:val="24"/>
                <w:lang w:eastAsia="et-EE"/>
              </w:rPr>
            </w:pPr>
            <w:r w:rsidRPr="001927D6">
              <w:rPr>
                <w:color w:val="000000"/>
                <w:szCs w:val="24"/>
              </w:rPr>
              <w:t>23 184,92</w:t>
            </w:r>
          </w:p>
        </w:tc>
      </w:tr>
      <w:tr w:rsidR="00295BCD" w:rsidRPr="001927D6" w14:paraId="073FB49F" w14:textId="77777777" w:rsidTr="00295BCD">
        <w:trPr>
          <w:divId w:val="1316184749"/>
          <w:trHeight w:val="300"/>
        </w:trPr>
        <w:tc>
          <w:tcPr>
            <w:tcW w:w="4632" w:type="dxa"/>
            <w:vAlign w:val="bottom"/>
            <w:hideMark/>
          </w:tcPr>
          <w:p w14:paraId="7A472F5B" w14:textId="77777777" w:rsidR="00295BCD" w:rsidRPr="001927D6" w:rsidRDefault="00295BCD">
            <w:pPr>
              <w:spacing w:after="0" w:line="240" w:lineRule="auto"/>
              <w:textAlignment w:val="baseline"/>
              <w:rPr>
                <w:szCs w:val="24"/>
                <w:lang w:eastAsia="et-EE"/>
              </w:rPr>
            </w:pPr>
            <w:r w:rsidRPr="001927D6">
              <w:rPr>
                <w:szCs w:val="24"/>
                <w:lang w:eastAsia="et-EE"/>
              </w:rPr>
              <w:t>Süljenäärme eemaldamine </w:t>
            </w:r>
          </w:p>
        </w:tc>
        <w:tc>
          <w:tcPr>
            <w:tcW w:w="732" w:type="dxa"/>
            <w:vAlign w:val="center"/>
            <w:hideMark/>
          </w:tcPr>
          <w:p w14:paraId="17F09D16" w14:textId="77777777" w:rsidR="00295BCD" w:rsidRPr="001927D6" w:rsidRDefault="00295BCD">
            <w:pPr>
              <w:spacing w:after="0" w:line="240" w:lineRule="auto"/>
              <w:jc w:val="center"/>
              <w:textAlignment w:val="baseline"/>
              <w:rPr>
                <w:szCs w:val="24"/>
                <w:lang w:eastAsia="et-EE"/>
              </w:rPr>
            </w:pPr>
            <w:r w:rsidRPr="001927D6">
              <w:rPr>
                <w:szCs w:val="24"/>
                <w:lang w:eastAsia="et-EE"/>
              </w:rPr>
              <w:t>050N </w:t>
            </w:r>
          </w:p>
        </w:tc>
        <w:tc>
          <w:tcPr>
            <w:tcW w:w="1243" w:type="dxa"/>
            <w:vAlign w:val="center"/>
          </w:tcPr>
          <w:p w14:paraId="04C7258B" w14:textId="77777777" w:rsidR="00295BCD" w:rsidRPr="001927D6" w:rsidRDefault="00295BCD">
            <w:pPr>
              <w:spacing w:after="0" w:line="240" w:lineRule="auto"/>
              <w:jc w:val="center"/>
              <w:textAlignment w:val="baseline"/>
              <w:rPr>
                <w:szCs w:val="24"/>
                <w:lang w:eastAsia="et-EE"/>
              </w:rPr>
            </w:pPr>
            <w:r w:rsidRPr="001927D6">
              <w:rPr>
                <w:color w:val="000000"/>
                <w:szCs w:val="24"/>
              </w:rPr>
              <w:t>1 976,01</w:t>
            </w:r>
          </w:p>
        </w:tc>
        <w:tc>
          <w:tcPr>
            <w:tcW w:w="1211" w:type="dxa"/>
            <w:vAlign w:val="center"/>
          </w:tcPr>
          <w:p w14:paraId="66F80316" w14:textId="77777777" w:rsidR="00295BCD" w:rsidRPr="001927D6" w:rsidRDefault="00295BCD">
            <w:pPr>
              <w:spacing w:after="0" w:line="240" w:lineRule="auto"/>
              <w:jc w:val="center"/>
              <w:textAlignment w:val="baseline"/>
              <w:rPr>
                <w:szCs w:val="24"/>
                <w:lang w:eastAsia="et-EE"/>
              </w:rPr>
            </w:pPr>
            <w:r w:rsidRPr="001927D6">
              <w:rPr>
                <w:color w:val="000000"/>
                <w:szCs w:val="24"/>
              </w:rPr>
              <w:t>1 481,00</w:t>
            </w:r>
          </w:p>
        </w:tc>
        <w:tc>
          <w:tcPr>
            <w:tcW w:w="1238" w:type="dxa"/>
            <w:vAlign w:val="center"/>
          </w:tcPr>
          <w:p w14:paraId="539B48AB" w14:textId="77777777" w:rsidR="00295BCD" w:rsidRPr="001927D6" w:rsidRDefault="00295BCD">
            <w:pPr>
              <w:spacing w:after="0" w:line="240" w:lineRule="auto"/>
              <w:jc w:val="center"/>
              <w:textAlignment w:val="baseline"/>
              <w:rPr>
                <w:szCs w:val="24"/>
                <w:lang w:eastAsia="et-EE"/>
              </w:rPr>
            </w:pPr>
            <w:r w:rsidRPr="001927D6">
              <w:rPr>
                <w:color w:val="000000"/>
                <w:szCs w:val="24"/>
              </w:rPr>
              <w:t>2 645,56</w:t>
            </w:r>
          </w:p>
        </w:tc>
      </w:tr>
      <w:tr w:rsidR="00295BCD" w:rsidRPr="001927D6" w14:paraId="789E9FBA" w14:textId="77777777" w:rsidTr="00295BCD">
        <w:trPr>
          <w:divId w:val="1316184749"/>
          <w:trHeight w:val="300"/>
        </w:trPr>
        <w:tc>
          <w:tcPr>
            <w:tcW w:w="4632" w:type="dxa"/>
            <w:vAlign w:val="bottom"/>
            <w:hideMark/>
          </w:tcPr>
          <w:p w14:paraId="3200EBD7" w14:textId="77777777" w:rsidR="00295BCD" w:rsidRPr="001927D6" w:rsidRDefault="00295BCD">
            <w:pPr>
              <w:spacing w:after="0" w:line="240" w:lineRule="auto"/>
              <w:textAlignment w:val="baseline"/>
              <w:rPr>
                <w:szCs w:val="24"/>
                <w:lang w:eastAsia="et-EE"/>
              </w:rPr>
            </w:pPr>
            <w:r w:rsidRPr="001927D6">
              <w:rPr>
                <w:szCs w:val="24"/>
                <w:lang w:eastAsia="et-EE"/>
              </w:rPr>
              <w:t>Süljenäärmete operatsioonid, v.a süljenäärmete eemaldamine </w:t>
            </w:r>
          </w:p>
        </w:tc>
        <w:tc>
          <w:tcPr>
            <w:tcW w:w="732" w:type="dxa"/>
            <w:vAlign w:val="center"/>
            <w:hideMark/>
          </w:tcPr>
          <w:p w14:paraId="686453CC" w14:textId="77777777" w:rsidR="00295BCD" w:rsidRPr="001927D6" w:rsidRDefault="00295BCD">
            <w:pPr>
              <w:spacing w:after="0" w:line="240" w:lineRule="auto"/>
              <w:jc w:val="center"/>
              <w:textAlignment w:val="baseline"/>
              <w:rPr>
                <w:szCs w:val="24"/>
                <w:lang w:eastAsia="et-EE"/>
              </w:rPr>
            </w:pPr>
            <w:r w:rsidRPr="001927D6">
              <w:rPr>
                <w:szCs w:val="24"/>
                <w:lang w:eastAsia="et-EE"/>
              </w:rPr>
              <w:t>051N </w:t>
            </w:r>
          </w:p>
        </w:tc>
        <w:tc>
          <w:tcPr>
            <w:tcW w:w="1243" w:type="dxa"/>
            <w:vAlign w:val="center"/>
          </w:tcPr>
          <w:p w14:paraId="6BEF97E4" w14:textId="77777777" w:rsidR="00295BCD" w:rsidRPr="001927D6" w:rsidRDefault="00295BCD">
            <w:pPr>
              <w:spacing w:after="0" w:line="240" w:lineRule="auto"/>
              <w:jc w:val="center"/>
              <w:textAlignment w:val="baseline"/>
              <w:rPr>
                <w:szCs w:val="24"/>
                <w:lang w:eastAsia="et-EE"/>
              </w:rPr>
            </w:pPr>
            <w:r w:rsidRPr="001927D6">
              <w:rPr>
                <w:color w:val="000000"/>
                <w:szCs w:val="24"/>
              </w:rPr>
              <w:t>1 583,27</w:t>
            </w:r>
          </w:p>
        </w:tc>
        <w:tc>
          <w:tcPr>
            <w:tcW w:w="1211" w:type="dxa"/>
            <w:vAlign w:val="center"/>
          </w:tcPr>
          <w:p w14:paraId="61A2FD69" w14:textId="77777777" w:rsidR="00295BCD" w:rsidRPr="001927D6" w:rsidRDefault="00295BCD">
            <w:pPr>
              <w:spacing w:after="0" w:line="240" w:lineRule="auto"/>
              <w:jc w:val="center"/>
              <w:textAlignment w:val="baseline"/>
              <w:rPr>
                <w:szCs w:val="24"/>
                <w:lang w:eastAsia="et-EE"/>
              </w:rPr>
            </w:pPr>
            <w:r w:rsidRPr="001927D6">
              <w:rPr>
                <w:color w:val="000000"/>
                <w:szCs w:val="24"/>
              </w:rPr>
              <w:t>810,26</w:t>
            </w:r>
          </w:p>
        </w:tc>
        <w:tc>
          <w:tcPr>
            <w:tcW w:w="1238" w:type="dxa"/>
            <w:vAlign w:val="center"/>
          </w:tcPr>
          <w:p w14:paraId="44E0A173" w14:textId="77777777" w:rsidR="00295BCD" w:rsidRPr="001927D6" w:rsidRDefault="00295BCD">
            <w:pPr>
              <w:spacing w:after="0" w:line="240" w:lineRule="auto"/>
              <w:jc w:val="center"/>
              <w:textAlignment w:val="baseline"/>
              <w:rPr>
                <w:szCs w:val="24"/>
                <w:lang w:eastAsia="et-EE"/>
              </w:rPr>
            </w:pPr>
            <w:r w:rsidRPr="001927D6">
              <w:rPr>
                <w:color w:val="000000"/>
                <w:szCs w:val="24"/>
              </w:rPr>
              <w:t>2 384,10</w:t>
            </w:r>
          </w:p>
        </w:tc>
      </w:tr>
      <w:tr w:rsidR="00295BCD" w:rsidRPr="001927D6" w14:paraId="79E8A62A" w14:textId="77777777" w:rsidTr="00295BCD">
        <w:trPr>
          <w:divId w:val="1316184749"/>
          <w:trHeight w:val="300"/>
        </w:trPr>
        <w:tc>
          <w:tcPr>
            <w:tcW w:w="4632" w:type="dxa"/>
            <w:vAlign w:val="bottom"/>
            <w:hideMark/>
          </w:tcPr>
          <w:p w14:paraId="7862926F" w14:textId="77777777" w:rsidR="00295BCD" w:rsidRPr="001927D6" w:rsidRDefault="00295BCD">
            <w:pPr>
              <w:spacing w:after="0" w:line="240" w:lineRule="auto"/>
              <w:textAlignment w:val="baseline"/>
              <w:rPr>
                <w:szCs w:val="24"/>
                <w:lang w:eastAsia="et-EE"/>
              </w:rPr>
            </w:pPr>
            <w:r w:rsidRPr="001927D6">
              <w:rPr>
                <w:szCs w:val="24"/>
                <w:lang w:eastAsia="et-EE"/>
              </w:rPr>
              <w:t>Süljenäärmete operatsioonid, v.a süljenäärmete eemaldamine, lühike ravi </w:t>
            </w:r>
          </w:p>
        </w:tc>
        <w:tc>
          <w:tcPr>
            <w:tcW w:w="732" w:type="dxa"/>
            <w:vAlign w:val="center"/>
            <w:hideMark/>
          </w:tcPr>
          <w:p w14:paraId="7898B3DE" w14:textId="77777777" w:rsidR="00295BCD" w:rsidRPr="001927D6" w:rsidRDefault="00295BCD">
            <w:pPr>
              <w:spacing w:after="0" w:line="240" w:lineRule="auto"/>
              <w:jc w:val="center"/>
              <w:textAlignment w:val="baseline"/>
              <w:rPr>
                <w:szCs w:val="24"/>
                <w:lang w:eastAsia="et-EE"/>
              </w:rPr>
            </w:pPr>
            <w:r w:rsidRPr="001927D6">
              <w:rPr>
                <w:szCs w:val="24"/>
                <w:lang w:eastAsia="et-EE"/>
              </w:rPr>
              <w:t>051O </w:t>
            </w:r>
          </w:p>
        </w:tc>
        <w:tc>
          <w:tcPr>
            <w:tcW w:w="1243" w:type="dxa"/>
            <w:vAlign w:val="center"/>
          </w:tcPr>
          <w:p w14:paraId="15393C1E" w14:textId="77777777" w:rsidR="00295BCD" w:rsidRPr="001927D6" w:rsidRDefault="00295BCD">
            <w:pPr>
              <w:spacing w:after="0" w:line="240" w:lineRule="auto"/>
              <w:jc w:val="center"/>
              <w:textAlignment w:val="baseline"/>
              <w:rPr>
                <w:szCs w:val="24"/>
                <w:lang w:eastAsia="et-EE"/>
              </w:rPr>
            </w:pPr>
            <w:r w:rsidRPr="001927D6">
              <w:rPr>
                <w:color w:val="000000"/>
                <w:szCs w:val="24"/>
              </w:rPr>
              <w:t>1 137,44</w:t>
            </w:r>
          </w:p>
        </w:tc>
        <w:tc>
          <w:tcPr>
            <w:tcW w:w="1211" w:type="dxa"/>
            <w:vAlign w:val="center"/>
          </w:tcPr>
          <w:p w14:paraId="4FC4171A" w14:textId="77777777" w:rsidR="00295BCD" w:rsidRPr="001927D6" w:rsidRDefault="00295BCD">
            <w:pPr>
              <w:spacing w:after="0" w:line="240" w:lineRule="auto"/>
              <w:jc w:val="center"/>
              <w:textAlignment w:val="baseline"/>
              <w:rPr>
                <w:szCs w:val="24"/>
                <w:lang w:eastAsia="et-EE"/>
              </w:rPr>
            </w:pPr>
            <w:r w:rsidRPr="001927D6">
              <w:rPr>
                <w:color w:val="000000"/>
                <w:szCs w:val="24"/>
              </w:rPr>
              <w:t>463,28</w:t>
            </w:r>
          </w:p>
        </w:tc>
        <w:tc>
          <w:tcPr>
            <w:tcW w:w="1238" w:type="dxa"/>
            <w:vAlign w:val="center"/>
          </w:tcPr>
          <w:p w14:paraId="30B70FDF" w14:textId="77777777" w:rsidR="00295BCD" w:rsidRPr="001927D6" w:rsidRDefault="00295BCD">
            <w:pPr>
              <w:spacing w:after="0" w:line="240" w:lineRule="auto"/>
              <w:jc w:val="center"/>
              <w:textAlignment w:val="baseline"/>
              <w:rPr>
                <w:szCs w:val="24"/>
                <w:lang w:eastAsia="et-EE"/>
              </w:rPr>
            </w:pPr>
            <w:r w:rsidRPr="001927D6">
              <w:rPr>
                <w:color w:val="000000"/>
                <w:szCs w:val="24"/>
              </w:rPr>
              <w:t>2 003,04</w:t>
            </w:r>
          </w:p>
        </w:tc>
      </w:tr>
      <w:tr w:rsidR="00295BCD" w:rsidRPr="001927D6" w14:paraId="7E9CF705" w14:textId="77777777" w:rsidTr="00295BCD">
        <w:trPr>
          <w:divId w:val="1316184749"/>
          <w:trHeight w:val="300"/>
        </w:trPr>
        <w:tc>
          <w:tcPr>
            <w:tcW w:w="4632" w:type="dxa"/>
            <w:vAlign w:val="bottom"/>
            <w:hideMark/>
          </w:tcPr>
          <w:p w14:paraId="6D3B9663" w14:textId="77777777" w:rsidR="00295BCD" w:rsidRPr="001927D6" w:rsidRDefault="00295BCD">
            <w:pPr>
              <w:spacing w:after="0" w:line="240" w:lineRule="auto"/>
              <w:textAlignment w:val="baseline"/>
              <w:rPr>
                <w:szCs w:val="24"/>
                <w:lang w:eastAsia="et-EE"/>
              </w:rPr>
            </w:pPr>
            <w:r w:rsidRPr="001927D6">
              <w:rPr>
                <w:szCs w:val="24"/>
                <w:lang w:eastAsia="et-EE"/>
              </w:rPr>
              <w:t>Huule- ja suulaelõhede korrektsioon </w:t>
            </w:r>
          </w:p>
        </w:tc>
        <w:tc>
          <w:tcPr>
            <w:tcW w:w="732" w:type="dxa"/>
            <w:vAlign w:val="center"/>
            <w:hideMark/>
          </w:tcPr>
          <w:p w14:paraId="22053AFE" w14:textId="77777777" w:rsidR="00295BCD" w:rsidRPr="001927D6" w:rsidRDefault="00295BCD">
            <w:pPr>
              <w:spacing w:after="0" w:line="240" w:lineRule="auto"/>
              <w:jc w:val="center"/>
              <w:textAlignment w:val="baseline"/>
              <w:rPr>
                <w:szCs w:val="24"/>
                <w:lang w:eastAsia="et-EE"/>
              </w:rPr>
            </w:pPr>
            <w:r w:rsidRPr="001927D6">
              <w:rPr>
                <w:szCs w:val="24"/>
                <w:lang w:eastAsia="et-EE"/>
              </w:rPr>
              <w:t>052 </w:t>
            </w:r>
          </w:p>
        </w:tc>
        <w:tc>
          <w:tcPr>
            <w:tcW w:w="1243" w:type="dxa"/>
            <w:vAlign w:val="center"/>
          </w:tcPr>
          <w:p w14:paraId="3DB4F2D2" w14:textId="77777777" w:rsidR="00295BCD" w:rsidRPr="001927D6" w:rsidRDefault="00295BCD">
            <w:pPr>
              <w:spacing w:after="0" w:line="240" w:lineRule="auto"/>
              <w:jc w:val="center"/>
              <w:textAlignment w:val="baseline"/>
              <w:rPr>
                <w:szCs w:val="24"/>
                <w:lang w:eastAsia="et-EE"/>
              </w:rPr>
            </w:pPr>
            <w:r w:rsidRPr="001927D6">
              <w:rPr>
                <w:color w:val="000000"/>
                <w:szCs w:val="24"/>
              </w:rPr>
              <w:t>1 862,90</w:t>
            </w:r>
          </w:p>
        </w:tc>
        <w:tc>
          <w:tcPr>
            <w:tcW w:w="1211" w:type="dxa"/>
            <w:vAlign w:val="center"/>
          </w:tcPr>
          <w:p w14:paraId="61D4463E" w14:textId="77777777" w:rsidR="00295BCD" w:rsidRPr="001927D6" w:rsidRDefault="00295BCD">
            <w:pPr>
              <w:spacing w:after="0" w:line="240" w:lineRule="auto"/>
              <w:jc w:val="center"/>
              <w:textAlignment w:val="baseline"/>
              <w:rPr>
                <w:szCs w:val="24"/>
                <w:lang w:eastAsia="et-EE"/>
              </w:rPr>
            </w:pPr>
            <w:r w:rsidRPr="001927D6">
              <w:rPr>
                <w:color w:val="000000"/>
                <w:szCs w:val="24"/>
              </w:rPr>
              <w:t>1 230,93</w:t>
            </w:r>
          </w:p>
        </w:tc>
        <w:tc>
          <w:tcPr>
            <w:tcW w:w="1238" w:type="dxa"/>
            <w:vAlign w:val="center"/>
          </w:tcPr>
          <w:p w14:paraId="27979E34" w14:textId="77777777" w:rsidR="00295BCD" w:rsidRPr="001927D6" w:rsidRDefault="00295BCD">
            <w:pPr>
              <w:spacing w:after="0" w:line="240" w:lineRule="auto"/>
              <w:jc w:val="center"/>
              <w:textAlignment w:val="baseline"/>
              <w:rPr>
                <w:szCs w:val="24"/>
                <w:lang w:eastAsia="et-EE"/>
              </w:rPr>
            </w:pPr>
            <w:r w:rsidRPr="001927D6">
              <w:rPr>
                <w:color w:val="000000"/>
                <w:szCs w:val="24"/>
              </w:rPr>
              <w:t>2 491,83</w:t>
            </w:r>
          </w:p>
        </w:tc>
      </w:tr>
      <w:tr w:rsidR="00295BCD" w:rsidRPr="001927D6" w14:paraId="4D577341" w14:textId="77777777" w:rsidTr="00295BCD">
        <w:trPr>
          <w:divId w:val="1316184749"/>
          <w:trHeight w:val="300"/>
        </w:trPr>
        <w:tc>
          <w:tcPr>
            <w:tcW w:w="4632" w:type="dxa"/>
            <w:vAlign w:val="bottom"/>
            <w:hideMark/>
          </w:tcPr>
          <w:p w14:paraId="66BD7B9E" w14:textId="77777777" w:rsidR="00295BCD" w:rsidRPr="001927D6" w:rsidRDefault="00295BCD">
            <w:pPr>
              <w:spacing w:after="0" w:line="240" w:lineRule="auto"/>
              <w:textAlignment w:val="baseline"/>
              <w:rPr>
                <w:szCs w:val="24"/>
                <w:lang w:eastAsia="et-EE"/>
              </w:rPr>
            </w:pPr>
            <w:r w:rsidRPr="001927D6">
              <w:rPr>
                <w:szCs w:val="24"/>
                <w:lang w:eastAsia="et-EE"/>
              </w:rPr>
              <w:t>Nina kõrvalurgete operatsioonid </w:t>
            </w:r>
          </w:p>
        </w:tc>
        <w:tc>
          <w:tcPr>
            <w:tcW w:w="732" w:type="dxa"/>
            <w:vAlign w:val="center"/>
            <w:hideMark/>
          </w:tcPr>
          <w:p w14:paraId="0E3C3F88" w14:textId="77777777" w:rsidR="00295BCD" w:rsidRPr="001927D6" w:rsidRDefault="00295BCD">
            <w:pPr>
              <w:spacing w:after="0" w:line="240" w:lineRule="auto"/>
              <w:jc w:val="center"/>
              <w:textAlignment w:val="baseline"/>
              <w:rPr>
                <w:szCs w:val="24"/>
                <w:lang w:eastAsia="et-EE"/>
              </w:rPr>
            </w:pPr>
            <w:r w:rsidRPr="001927D6">
              <w:rPr>
                <w:szCs w:val="24"/>
                <w:lang w:eastAsia="et-EE"/>
              </w:rPr>
              <w:t>053A </w:t>
            </w:r>
          </w:p>
        </w:tc>
        <w:tc>
          <w:tcPr>
            <w:tcW w:w="1243" w:type="dxa"/>
            <w:vAlign w:val="center"/>
          </w:tcPr>
          <w:p w14:paraId="385E03CC" w14:textId="77777777" w:rsidR="00295BCD" w:rsidRPr="001927D6" w:rsidRDefault="00295BCD">
            <w:pPr>
              <w:spacing w:after="0" w:line="240" w:lineRule="auto"/>
              <w:jc w:val="center"/>
              <w:textAlignment w:val="baseline"/>
              <w:rPr>
                <w:szCs w:val="24"/>
                <w:lang w:eastAsia="et-EE"/>
              </w:rPr>
            </w:pPr>
            <w:r w:rsidRPr="001927D6">
              <w:rPr>
                <w:color w:val="000000"/>
                <w:szCs w:val="24"/>
              </w:rPr>
              <w:t>1 570,30</w:t>
            </w:r>
          </w:p>
        </w:tc>
        <w:tc>
          <w:tcPr>
            <w:tcW w:w="1211" w:type="dxa"/>
            <w:vAlign w:val="center"/>
          </w:tcPr>
          <w:p w14:paraId="09C47637" w14:textId="77777777" w:rsidR="00295BCD" w:rsidRPr="001927D6" w:rsidRDefault="00295BCD">
            <w:pPr>
              <w:spacing w:after="0" w:line="240" w:lineRule="auto"/>
              <w:jc w:val="center"/>
              <w:textAlignment w:val="baseline"/>
              <w:rPr>
                <w:szCs w:val="24"/>
                <w:lang w:eastAsia="et-EE"/>
              </w:rPr>
            </w:pPr>
            <w:r w:rsidRPr="001927D6">
              <w:rPr>
                <w:color w:val="000000"/>
                <w:szCs w:val="24"/>
              </w:rPr>
              <w:t>998,26</w:t>
            </w:r>
          </w:p>
        </w:tc>
        <w:tc>
          <w:tcPr>
            <w:tcW w:w="1238" w:type="dxa"/>
            <w:vAlign w:val="center"/>
          </w:tcPr>
          <w:p w14:paraId="50F7CBEF" w14:textId="77777777" w:rsidR="00295BCD" w:rsidRPr="001927D6" w:rsidRDefault="00295BCD">
            <w:pPr>
              <w:spacing w:after="0" w:line="240" w:lineRule="auto"/>
              <w:jc w:val="center"/>
              <w:textAlignment w:val="baseline"/>
              <w:rPr>
                <w:szCs w:val="24"/>
                <w:lang w:eastAsia="et-EE"/>
              </w:rPr>
            </w:pPr>
            <w:r w:rsidRPr="001927D6">
              <w:rPr>
                <w:color w:val="000000"/>
                <w:szCs w:val="24"/>
              </w:rPr>
              <w:t>2 007,59</w:t>
            </w:r>
          </w:p>
        </w:tc>
      </w:tr>
      <w:tr w:rsidR="00295BCD" w:rsidRPr="001927D6" w14:paraId="26E88D9F" w14:textId="77777777" w:rsidTr="00295BCD">
        <w:trPr>
          <w:divId w:val="1316184749"/>
          <w:trHeight w:val="300"/>
        </w:trPr>
        <w:tc>
          <w:tcPr>
            <w:tcW w:w="4632" w:type="dxa"/>
            <w:vAlign w:val="bottom"/>
            <w:hideMark/>
          </w:tcPr>
          <w:p w14:paraId="2EED5FE1" w14:textId="77777777" w:rsidR="00295BCD" w:rsidRPr="001927D6" w:rsidRDefault="00295BCD">
            <w:pPr>
              <w:spacing w:after="0" w:line="240" w:lineRule="auto"/>
              <w:textAlignment w:val="baseline"/>
              <w:rPr>
                <w:szCs w:val="24"/>
                <w:lang w:eastAsia="et-EE"/>
              </w:rPr>
            </w:pPr>
            <w:r w:rsidRPr="001927D6">
              <w:rPr>
                <w:szCs w:val="24"/>
                <w:lang w:eastAsia="et-EE"/>
              </w:rPr>
              <w:t>Nibujätke, temporaalluu ja sisekõrva operatsioonid </w:t>
            </w:r>
          </w:p>
        </w:tc>
        <w:tc>
          <w:tcPr>
            <w:tcW w:w="732" w:type="dxa"/>
            <w:vAlign w:val="center"/>
            <w:hideMark/>
          </w:tcPr>
          <w:p w14:paraId="6383F75A" w14:textId="77777777" w:rsidR="00295BCD" w:rsidRPr="001927D6" w:rsidRDefault="00295BCD">
            <w:pPr>
              <w:spacing w:after="0" w:line="240" w:lineRule="auto"/>
              <w:jc w:val="center"/>
              <w:textAlignment w:val="baseline"/>
              <w:rPr>
                <w:szCs w:val="24"/>
                <w:lang w:eastAsia="et-EE"/>
              </w:rPr>
            </w:pPr>
            <w:r w:rsidRPr="001927D6">
              <w:rPr>
                <w:szCs w:val="24"/>
                <w:lang w:eastAsia="et-EE"/>
              </w:rPr>
              <w:t>053B </w:t>
            </w:r>
          </w:p>
        </w:tc>
        <w:tc>
          <w:tcPr>
            <w:tcW w:w="1243" w:type="dxa"/>
            <w:vAlign w:val="center"/>
          </w:tcPr>
          <w:p w14:paraId="58B535E0" w14:textId="77777777" w:rsidR="00295BCD" w:rsidRPr="001927D6" w:rsidRDefault="00295BCD">
            <w:pPr>
              <w:spacing w:after="0" w:line="240" w:lineRule="auto"/>
              <w:jc w:val="center"/>
              <w:textAlignment w:val="baseline"/>
              <w:rPr>
                <w:szCs w:val="24"/>
                <w:lang w:eastAsia="et-EE"/>
              </w:rPr>
            </w:pPr>
            <w:r w:rsidRPr="001927D6">
              <w:rPr>
                <w:color w:val="000000"/>
                <w:szCs w:val="24"/>
              </w:rPr>
              <w:t>2 009,61</w:t>
            </w:r>
          </w:p>
        </w:tc>
        <w:tc>
          <w:tcPr>
            <w:tcW w:w="1211" w:type="dxa"/>
            <w:vAlign w:val="center"/>
          </w:tcPr>
          <w:p w14:paraId="3AE0A7B8" w14:textId="77777777" w:rsidR="00295BCD" w:rsidRPr="001927D6" w:rsidRDefault="00295BCD">
            <w:pPr>
              <w:spacing w:after="0" w:line="240" w:lineRule="auto"/>
              <w:jc w:val="center"/>
              <w:textAlignment w:val="baseline"/>
              <w:rPr>
                <w:szCs w:val="24"/>
                <w:lang w:eastAsia="et-EE"/>
              </w:rPr>
            </w:pPr>
            <w:r w:rsidRPr="001927D6">
              <w:rPr>
                <w:color w:val="000000"/>
                <w:szCs w:val="24"/>
              </w:rPr>
              <w:t>1 755,59</w:t>
            </w:r>
          </w:p>
        </w:tc>
        <w:tc>
          <w:tcPr>
            <w:tcW w:w="1238" w:type="dxa"/>
            <w:vAlign w:val="center"/>
          </w:tcPr>
          <w:p w14:paraId="578F1369" w14:textId="77777777" w:rsidR="00295BCD" w:rsidRPr="001927D6" w:rsidRDefault="00295BCD">
            <w:pPr>
              <w:spacing w:after="0" w:line="240" w:lineRule="auto"/>
              <w:jc w:val="center"/>
              <w:textAlignment w:val="baseline"/>
              <w:rPr>
                <w:szCs w:val="24"/>
                <w:lang w:eastAsia="et-EE"/>
              </w:rPr>
            </w:pPr>
            <w:r w:rsidRPr="001927D6">
              <w:rPr>
                <w:color w:val="000000"/>
                <w:szCs w:val="24"/>
              </w:rPr>
              <w:t>2 489,66</w:t>
            </w:r>
          </w:p>
        </w:tc>
      </w:tr>
      <w:tr w:rsidR="00295BCD" w:rsidRPr="001927D6" w14:paraId="58FE9F25" w14:textId="77777777" w:rsidTr="00295BCD">
        <w:trPr>
          <w:divId w:val="1316184749"/>
          <w:trHeight w:val="300"/>
        </w:trPr>
        <w:tc>
          <w:tcPr>
            <w:tcW w:w="4632" w:type="dxa"/>
            <w:vAlign w:val="bottom"/>
            <w:hideMark/>
          </w:tcPr>
          <w:p w14:paraId="428DC482" w14:textId="77777777" w:rsidR="00295BCD" w:rsidRPr="001927D6" w:rsidRDefault="00295BCD">
            <w:pPr>
              <w:spacing w:after="0" w:line="240" w:lineRule="auto"/>
              <w:textAlignment w:val="baseline"/>
              <w:rPr>
                <w:szCs w:val="24"/>
                <w:lang w:eastAsia="et-EE"/>
              </w:rPr>
            </w:pPr>
            <w:r w:rsidRPr="001927D6">
              <w:rPr>
                <w:szCs w:val="24"/>
                <w:lang w:eastAsia="et-EE"/>
              </w:rPr>
              <w:t>Nina kõrvalurgete operatsioonid, lühike ravi </w:t>
            </w:r>
          </w:p>
        </w:tc>
        <w:tc>
          <w:tcPr>
            <w:tcW w:w="732" w:type="dxa"/>
            <w:vAlign w:val="center"/>
            <w:hideMark/>
          </w:tcPr>
          <w:p w14:paraId="53B88E76" w14:textId="77777777" w:rsidR="00295BCD" w:rsidRPr="001927D6" w:rsidRDefault="00295BCD">
            <w:pPr>
              <w:spacing w:after="0" w:line="240" w:lineRule="auto"/>
              <w:jc w:val="center"/>
              <w:textAlignment w:val="baseline"/>
              <w:rPr>
                <w:szCs w:val="24"/>
                <w:lang w:eastAsia="et-EE"/>
              </w:rPr>
            </w:pPr>
            <w:r w:rsidRPr="001927D6">
              <w:rPr>
                <w:szCs w:val="24"/>
                <w:lang w:eastAsia="et-EE"/>
              </w:rPr>
              <w:t>054O </w:t>
            </w:r>
          </w:p>
        </w:tc>
        <w:tc>
          <w:tcPr>
            <w:tcW w:w="1243" w:type="dxa"/>
            <w:vAlign w:val="center"/>
          </w:tcPr>
          <w:p w14:paraId="6A3E1989" w14:textId="77777777" w:rsidR="00295BCD" w:rsidRPr="001927D6" w:rsidRDefault="00295BCD">
            <w:pPr>
              <w:spacing w:after="0" w:line="240" w:lineRule="auto"/>
              <w:jc w:val="center"/>
              <w:textAlignment w:val="baseline"/>
              <w:rPr>
                <w:szCs w:val="24"/>
                <w:lang w:eastAsia="et-EE"/>
              </w:rPr>
            </w:pPr>
            <w:r w:rsidRPr="001927D6">
              <w:rPr>
                <w:color w:val="000000"/>
                <w:szCs w:val="24"/>
              </w:rPr>
              <w:t>1 361,77</w:t>
            </w:r>
          </w:p>
        </w:tc>
        <w:tc>
          <w:tcPr>
            <w:tcW w:w="1211" w:type="dxa"/>
            <w:vAlign w:val="center"/>
          </w:tcPr>
          <w:p w14:paraId="6B668059" w14:textId="77777777" w:rsidR="00295BCD" w:rsidRPr="001927D6" w:rsidRDefault="00295BCD">
            <w:pPr>
              <w:spacing w:after="0" w:line="240" w:lineRule="auto"/>
              <w:jc w:val="center"/>
              <w:textAlignment w:val="baseline"/>
              <w:rPr>
                <w:szCs w:val="24"/>
                <w:lang w:eastAsia="et-EE"/>
              </w:rPr>
            </w:pPr>
            <w:r w:rsidRPr="001927D6">
              <w:rPr>
                <w:color w:val="000000"/>
                <w:szCs w:val="24"/>
              </w:rPr>
              <w:t>909,50</w:t>
            </w:r>
          </w:p>
        </w:tc>
        <w:tc>
          <w:tcPr>
            <w:tcW w:w="1238" w:type="dxa"/>
            <w:vAlign w:val="center"/>
          </w:tcPr>
          <w:p w14:paraId="5656BF88" w14:textId="77777777" w:rsidR="00295BCD" w:rsidRPr="001927D6" w:rsidRDefault="00295BCD">
            <w:pPr>
              <w:spacing w:after="0" w:line="240" w:lineRule="auto"/>
              <w:jc w:val="center"/>
              <w:textAlignment w:val="baseline"/>
              <w:rPr>
                <w:szCs w:val="24"/>
                <w:lang w:eastAsia="et-EE"/>
              </w:rPr>
            </w:pPr>
            <w:r w:rsidRPr="001927D6">
              <w:rPr>
                <w:color w:val="000000"/>
                <w:szCs w:val="24"/>
              </w:rPr>
              <w:t>1 974,01</w:t>
            </w:r>
          </w:p>
        </w:tc>
      </w:tr>
      <w:tr w:rsidR="00295BCD" w:rsidRPr="001927D6" w14:paraId="6CF7AE40" w14:textId="77777777" w:rsidTr="00295BCD">
        <w:trPr>
          <w:divId w:val="1316184749"/>
          <w:trHeight w:val="300"/>
        </w:trPr>
        <w:tc>
          <w:tcPr>
            <w:tcW w:w="4632" w:type="dxa"/>
            <w:vAlign w:val="bottom"/>
            <w:hideMark/>
          </w:tcPr>
          <w:p w14:paraId="3B2C2702" w14:textId="77777777" w:rsidR="00295BCD" w:rsidRPr="001927D6" w:rsidRDefault="00295BCD">
            <w:pPr>
              <w:spacing w:after="0" w:line="240" w:lineRule="auto"/>
              <w:textAlignment w:val="baseline"/>
              <w:rPr>
                <w:szCs w:val="24"/>
                <w:lang w:eastAsia="et-EE"/>
              </w:rPr>
            </w:pPr>
            <w:r w:rsidRPr="001927D6">
              <w:rPr>
                <w:szCs w:val="24"/>
                <w:lang w:eastAsia="et-EE"/>
              </w:rPr>
              <w:t>Nibujätke, temporaalluu ja sisekõrva operatsioonid, lühike ravi </w:t>
            </w:r>
          </w:p>
        </w:tc>
        <w:tc>
          <w:tcPr>
            <w:tcW w:w="732" w:type="dxa"/>
            <w:vAlign w:val="center"/>
            <w:hideMark/>
          </w:tcPr>
          <w:p w14:paraId="27E14607" w14:textId="77777777" w:rsidR="00295BCD" w:rsidRPr="001927D6" w:rsidRDefault="00295BCD">
            <w:pPr>
              <w:spacing w:after="0" w:line="240" w:lineRule="auto"/>
              <w:jc w:val="center"/>
              <w:textAlignment w:val="baseline"/>
              <w:rPr>
                <w:szCs w:val="24"/>
                <w:lang w:eastAsia="et-EE"/>
              </w:rPr>
            </w:pPr>
            <w:r w:rsidRPr="001927D6">
              <w:rPr>
                <w:szCs w:val="24"/>
                <w:lang w:eastAsia="et-EE"/>
              </w:rPr>
              <w:t>054P </w:t>
            </w:r>
          </w:p>
        </w:tc>
        <w:tc>
          <w:tcPr>
            <w:tcW w:w="1243" w:type="dxa"/>
            <w:vAlign w:val="center"/>
          </w:tcPr>
          <w:p w14:paraId="08484D44" w14:textId="77777777" w:rsidR="00295BCD" w:rsidRPr="001927D6" w:rsidRDefault="00295BCD">
            <w:pPr>
              <w:spacing w:after="0" w:line="240" w:lineRule="auto"/>
              <w:jc w:val="center"/>
              <w:textAlignment w:val="baseline"/>
              <w:rPr>
                <w:szCs w:val="24"/>
                <w:lang w:eastAsia="et-EE"/>
              </w:rPr>
            </w:pPr>
            <w:r w:rsidRPr="001927D6">
              <w:rPr>
                <w:color w:val="000000"/>
                <w:szCs w:val="24"/>
              </w:rPr>
              <w:t>1 761,08</w:t>
            </w:r>
          </w:p>
        </w:tc>
        <w:tc>
          <w:tcPr>
            <w:tcW w:w="1211" w:type="dxa"/>
            <w:vAlign w:val="center"/>
          </w:tcPr>
          <w:p w14:paraId="58C8F18F" w14:textId="77777777" w:rsidR="00295BCD" w:rsidRPr="001927D6" w:rsidRDefault="00295BCD">
            <w:pPr>
              <w:spacing w:after="0" w:line="240" w:lineRule="auto"/>
              <w:jc w:val="center"/>
              <w:textAlignment w:val="baseline"/>
              <w:rPr>
                <w:szCs w:val="24"/>
                <w:lang w:eastAsia="et-EE"/>
              </w:rPr>
            </w:pPr>
            <w:r w:rsidRPr="001927D6">
              <w:rPr>
                <w:color w:val="000000"/>
                <w:szCs w:val="24"/>
              </w:rPr>
              <w:t>1 037,64</w:t>
            </w:r>
          </w:p>
        </w:tc>
        <w:tc>
          <w:tcPr>
            <w:tcW w:w="1238" w:type="dxa"/>
            <w:vAlign w:val="center"/>
          </w:tcPr>
          <w:p w14:paraId="2FE7DC35" w14:textId="77777777" w:rsidR="00295BCD" w:rsidRPr="001927D6" w:rsidRDefault="00295BCD">
            <w:pPr>
              <w:spacing w:after="0" w:line="240" w:lineRule="auto"/>
              <w:jc w:val="center"/>
              <w:textAlignment w:val="baseline"/>
              <w:rPr>
                <w:szCs w:val="24"/>
                <w:lang w:eastAsia="et-EE"/>
              </w:rPr>
            </w:pPr>
            <w:r w:rsidRPr="001927D6">
              <w:rPr>
                <w:color w:val="000000"/>
                <w:szCs w:val="24"/>
              </w:rPr>
              <w:t>2 368,64</w:t>
            </w:r>
          </w:p>
        </w:tc>
      </w:tr>
      <w:tr w:rsidR="00295BCD" w:rsidRPr="001927D6" w14:paraId="1BFB3308" w14:textId="77777777" w:rsidTr="00295BCD">
        <w:trPr>
          <w:divId w:val="1316184749"/>
          <w:trHeight w:val="300"/>
        </w:trPr>
        <w:tc>
          <w:tcPr>
            <w:tcW w:w="4632" w:type="dxa"/>
            <w:vAlign w:val="bottom"/>
            <w:hideMark/>
          </w:tcPr>
          <w:p w14:paraId="74E4B4A6" w14:textId="77777777" w:rsidR="00295BCD" w:rsidRPr="001927D6" w:rsidRDefault="00295BCD">
            <w:pPr>
              <w:spacing w:after="0" w:line="240" w:lineRule="auto"/>
              <w:textAlignment w:val="baseline"/>
              <w:rPr>
                <w:szCs w:val="24"/>
                <w:lang w:eastAsia="et-EE"/>
              </w:rPr>
            </w:pPr>
            <w:r w:rsidRPr="001927D6">
              <w:rPr>
                <w:szCs w:val="24"/>
                <w:lang w:eastAsia="et-EE"/>
              </w:rPr>
              <w:t>Kõrva, nina, suu ja kurgu mitmesugused operatsioonid </w:t>
            </w:r>
          </w:p>
        </w:tc>
        <w:tc>
          <w:tcPr>
            <w:tcW w:w="732" w:type="dxa"/>
            <w:vAlign w:val="center"/>
            <w:hideMark/>
          </w:tcPr>
          <w:p w14:paraId="04F337A0" w14:textId="77777777" w:rsidR="00295BCD" w:rsidRPr="001927D6" w:rsidRDefault="00295BCD">
            <w:pPr>
              <w:spacing w:after="0" w:line="240" w:lineRule="auto"/>
              <w:jc w:val="center"/>
              <w:textAlignment w:val="baseline"/>
              <w:rPr>
                <w:szCs w:val="24"/>
                <w:lang w:eastAsia="et-EE"/>
              </w:rPr>
            </w:pPr>
            <w:r w:rsidRPr="001927D6">
              <w:rPr>
                <w:szCs w:val="24"/>
                <w:lang w:eastAsia="et-EE"/>
              </w:rPr>
              <w:t>055 </w:t>
            </w:r>
          </w:p>
        </w:tc>
        <w:tc>
          <w:tcPr>
            <w:tcW w:w="1243" w:type="dxa"/>
            <w:vAlign w:val="center"/>
          </w:tcPr>
          <w:p w14:paraId="01A99739" w14:textId="77777777" w:rsidR="00295BCD" w:rsidRPr="001927D6" w:rsidRDefault="00295BCD">
            <w:pPr>
              <w:spacing w:after="0" w:line="240" w:lineRule="auto"/>
              <w:jc w:val="center"/>
              <w:textAlignment w:val="baseline"/>
              <w:rPr>
                <w:szCs w:val="24"/>
                <w:lang w:eastAsia="et-EE"/>
              </w:rPr>
            </w:pPr>
            <w:r w:rsidRPr="001927D6">
              <w:rPr>
                <w:color w:val="000000"/>
                <w:szCs w:val="24"/>
              </w:rPr>
              <w:t>1 368,27</w:t>
            </w:r>
          </w:p>
        </w:tc>
        <w:tc>
          <w:tcPr>
            <w:tcW w:w="1211" w:type="dxa"/>
            <w:vAlign w:val="center"/>
          </w:tcPr>
          <w:p w14:paraId="621B0B9E" w14:textId="77777777" w:rsidR="00295BCD" w:rsidRPr="001927D6" w:rsidRDefault="00295BCD">
            <w:pPr>
              <w:spacing w:after="0" w:line="240" w:lineRule="auto"/>
              <w:jc w:val="center"/>
              <w:textAlignment w:val="baseline"/>
              <w:rPr>
                <w:szCs w:val="24"/>
                <w:lang w:eastAsia="et-EE"/>
              </w:rPr>
            </w:pPr>
            <w:r w:rsidRPr="001927D6">
              <w:rPr>
                <w:color w:val="000000"/>
                <w:szCs w:val="24"/>
              </w:rPr>
              <w:t>981,72</w:t>
            </w:r>
          </w:p>
        </w:tc>
        <w:tc>
          <w:tcPr>
            <w:tcW w:w="1238" w:type="dxa"/>
            <w:vAlign w:val="center"/>
          </w:tcPr>
          <w:p w14:paraId="4299A928" w14:textId="77777777" w:rsidR="00295BCD" w:rsidRPr="001927D6" w:rsidRDefault="00295BCD">
            <w:pPr>
              <w:spacing w:after="0" w:line="240" w:lineRule="auto"/>
              <w:jc w:val="center"/>
              <w:textAlignment w:val="baseline"/>
              <w:rPr>
                <w:szCs w:val="24"/>
                <w:lang w:eastAsia="et-EE"/>
              </w:rPr>
            </w:pPr>
            <w:r w:rsidRPr="001927D6">
              <w:rPr>
                <w:color w:val="000000"/>
                <w:szCs w:val="24"/>
              </w:rPr>
              <w:t>1 844,20</w:t>
            </w:r>
          </w:p>
        </w:tc>
      </w:tr>
      <w:tr w:rsidR="00295BCD" w:rsidRPr="001927D6" w14:paraId="22F454DD" w14:textId="77777777" w:rsidTr="00295BCD">
        <w:trPr>
          <w:divId w:val="1316184749"/>
          <w:trHeight w:val="300"/>
        </w:trPr>
        <w:tc>
          <w:tcPr>
            <w:tcW w:w="4632" w:type="dxa"/>
            <w:vAlign w:val="bottom"/>
            <w:hideMark/>
          </w:tcPr>
          <w:p w14:paraId="0EE18909" w14:textId="77777777" w:rsidR="00295BCD" w:rsidRPr="001927D6" w:rsidRDefault="00295BCD">
            <w:pPr>
              <w:spacing w:after="0" w:line="240" w:lineRule="auto"/>
              <w:textAlignment w:val="baseline"/>
              <w:rPr>
                <w:szCs w:val="24"/>
                <w:lang w:eastAsia="et-EE"/>
              </w:rPr>
            </w:pPr>
            <w:r w:rsidRPr="001927D6">
              <w:rPr>
                <w:szCs w:val="24"/>
                <w:lang w:eastAsia="et-EE"/>
              </w:rPr>
              <w:t>Kõrva, nina, suu ja kurgu mitmesugused suured operatsioonid, lühike ravi </w:t>
            </w:r>
          </w:p>
        </w:tc>
        <w:tc>
          <w:tcPr>
            <w:tcW w:w="732" w:type="dxa"/>
            <w:vAlign w:val="center"/>
            <w:hideMark/>
          </w:tcPr>
          <w:p w14:paraId="7D52CA8C" w14:textId="77777777" w:rsidR="00295BCD" w:rsidRPr="001927D6" w:rsidRDefault="00295BCD">
            <w:pPr>
              <w:spacing w:after="0" w:line="240" w:lineRule="auto"/>
              <w:jc w:val="center"/>
              <w:textAlignment w:val="baseline"/>
              <w:rPr>
                <w:szCs w:val="24"/>
                <w:lang w:eastAsia="et-EE"/>
              </w:rPr>
            </w:pPr>
            <w:r w:rsidRPr="001927D6">
              <w:rPr>
                <w:szCs w:val="24"/>
                <w:lang w:eastAsia="et-EE"/>
              </w:rPr>
              <w:t>055O </w:t>
            </w:r>
          </w:p>
        </w:tc>
        <w:tc>
          <w:tcPr>
            <w:tcW w:w="1243" w:type="dxa"/>
            <w:vAlign w:val="center"/>
          </w:tcPr>
          <w:p w14:paraId="6C316A79" w14:textId="77777777" w:rsidR="00295BCD" w:rsidRPr="001927D6" w:rsidRDefault="00295BCD">
            <w:pPr>
              <w:spacing w:after="0" w:line="240" w:lineRule="auto"/>
              <w:jc w:val="center"/>
              <w:textAlignment w:val="baseline"/>
              <w:rPr>
                <w:szCs w:val="24"/>
                <w:lang w:eastAsia="et-EE"/>
              </w:rPr>
            </w:pPr>
            <w:r w:rsidRPr="001927D6">
              <w:rPr>
                <w:color w:val="000000"/>
                <w:szCs w:val="24"/>
              </w:rPr>
              <w:t>689,05</w:t>
            </w:r>
          </w:p>
        </w:tc>
        <w:tc>
          <w:tcPr>
            <w:tcW w:w="1211" w:type="dxa"/>
            <w:vAlign w:val="center"/>
          </w:tcPr>
          <w:p w14:paraId="3ECE897C" w14:textId="77777777" w:rsidR="00295BCD" w:rsidRPr="001927D6" w:rsidRDefault="00295BCD">
            <w:pPr>
              <w:spacing w:after="0" w:line="240" w:lineRule="auto"/>
              <w:jc w:val="center"/>
              <w:textAlignment w:val="baseline"/>
              <w:rPr>
                <w:szCs w:val="24"/>
                <w:lang w:eastAsia="et-EE"/>
              </w:rPr>
            </w:pPr>
            <w:r w:rsidRPr="001927D6">
              <w:rPr>
                <w:color w:val="000000"/>
                <w:szCs w:val="24"/>
              </w:rPr>
              <w:t>392,22</w:t>
            </w:r>
          </w:p>
        </w:tc>
        <w:tc>
          <w:tcPr>
            <w:tcW w:w="1238" w:type="dxa"/>
            <w:vAlign w:val="center"/>
          </w:tcPr>
          <w:p w14:paraId="147D38AF" w14:textId="77777777" w:rsidR="00295BCD" w:rsidRPr="001927D6" w:rsidRDefault="00295BCD">
            <w:pPr>
              <w:spacing w:after="0" w:line="240" w:lineRule="auto"/>
              <w:jc w:val="center"/>
              <w:textAlignment w:val="baseline"/>
              <w:rPr>
                <w:szCs w:val="24"/>
                <w:lang w:eastAsia="et-EE"/>
              </w:rPr>
            </w:pPr>
            <w:r w:rsidRPr="001927D6">
              <w:rPr>
                <w:color w:val="000000"/>
                <w:szCs w:val="24"/>
              </w:rPr>
              <w:t>1 274,17</w:t>
            </w:r>
          </w:p>
        </w:tc>
      </w:tr>
      <w:tr w:rsidR="00295BCD" w:rsidRPr="001927D6" w14:paraId="3BA3B71B" w14:textId="77777777" w:rsidTr="00295BCD">
        <w:trPr>
          <w:divId w:val="1316184749"/>
          <w:trHeight w:val="300"/>
        </w:trPr>
        <w:tc>
          <w:tcPr>
            <w:tcW w:w="4632" w:type="dxa"/>
            <w:vAlign w:val="bottom"/>
            <w:hideMark/>
          </w:tcPr>
          <w:p w14:paraId="12685A1C" w14:textId="77777777" w:rsidR="00295BCD" w:rsidRPr="001927D6" w:rsidRDefault="00295BCD">
            <w:pPr>
              <w:spacing w:after="0" w:line="240" w:lineRule="auto"/>
              <w:textAlignment w:val="baseline"/>
              <w:rPr>
                <w:szCs w:val="24"/>
                <w:lang w:eastAsia="et-EE"/>
              </w:rPr>
            </w:pPr>
            <w:r w:rsidRPr="001927D6">
              <w:rPr>
                <w:szCs w:val="24"/>
                <w:lang w:eastAsia="et-EE"/>
              </w:rPr>
              <w:t>Kõrva, nina, suu ja kurgu muud väikesed operatsioonid, lühike ravi </w:t>
            </w:r>
          </w:p>
        </w:tc>
        <w:tc>
          <w:tcPr>
            <w:tcW w:w="732" w:type="dxa"/>
            <w:vAlign w:val="center"/>
            <w:hideMark/>
          </w:tcPr>
          <w:p w14:paraId="4855A403" w14:textId="77777777" w:rsidR="00295BCD" w:rsidRPr="001927D6" w:rsidRDefault="00295BCD">
            <w:pPr>
              <w:spacing w:after="0" w:line="240" w:lineRule="auto"/>
              <w:jc w:val="center"/>
              <w:textAlignment w:val="baseline"/>
              <w:rPr>
                <w:szCs w:val="24"/>
                <w:lang w:eastAsia="et-EE"/>
              </w:rPr>
            </w:pPr>
            <w:r w:rsidRPr="001927D6">
              <w:rPr>
                <w:szCs w:val="24"/>
                <w:lang w:eastAsia="et-EE"/>
              </w:rPr>
              <w:t>055P </w:t>
            </w:r>
          </w:p>
        </w:tc>
        <w:tc>
          <w:tcPr>
            <w:tcW w:w="1243" w:type="dxa"/>
            <w:vAlign w:val="center"/>
          </w:tcPr>
          <w:p w14:paraId="1881D7A4" w14:textId="77777777" w:rsidR="00295BCD" w:rsidRPr="001927D6" w:rsidRDefault="00295BCD">
            <w:pPr>
              <w:spacing w:after="0" w:line="240" w:lineRule="auto"/>
              <w:jc w:val="center"/>
              <w:textAlignment w:val="baseline"/>
              <w:rPr>
                <w:szCs w:val="24"/>
                <w:lang w:eastAsia="et-EE"/>
              </w:rPr>
            </w:pPr>
            <w:r w:rsidRPr="001927D6">
              <w:rPr>
                <w:color w:val="000000"/>
                <w:szCs w:val="24"/>
              </w:rPr>
              <w:t>1 262,20</w:t>
            </w:r>
          </w:p>
        </w:tc>
        <w:tc>
          <w:tcPr>
            <w:tcW w:w="1211" w:type="dxa"/>
            <w:vAlign w:val="center"/>
          </w:tcPr>
          <w:p w14:paraId="483A6C2B" w14:textId="77777777" w:rsidR="00295BCD" w:rsidRPr="001927D6" w:rsidRDefault="00295BCD">
            <w:pPr>
              <w:spacing w:after="0" w:line="240" w:lineRule="auto"/>
              <w:jc w:val="center"/>
              <w:textAlignment w:val="baseline"/>
              <w:rPr>
                <w:szCs w:val="24"/>
                <w:lang w:eastAsia="et-EE"/>
              </w:rPr>
            </w:pPr>
            <w:r w:rsidRPr="001927D6">
              <w:rPr>
                <w:color w:val="000000"/>
                <w:szCs w:val="24"/>
              </w:rPr>
              <w:t>1 146,02</w:t>
            </w:r>
          </w:p>
        </w:tc>
        <w:tc>
          <w:tcPr>
            <w:tcW w:w="1238" w:type="dxa"/>
            <w:vAlign w:val="center"/>
          </w:tcPr>
          <w:p w14:paraId="0454934E" w14:textId="77777777" w:rsidR="00295BCD" w:rsidRPr="001927D6" w:rsidRDefault="00295BCD">
            <w:pPr>
              <w:spacing w:after="0" w:line="240" w:lineRule="auto"/>
              <w:jc w:val="center"/>
              <w:textAlignment w:val="baseline"/>
              <w:rPr>
                <w:szCs w:val="24"/>
                <w:lang w:eastAsia="et-EE"/>
              </w:rPr>
            </w:pPr>
            <w:r w:rsidRPr="001927D6">
              <w:rPr>
                <w:color w:val="000000"/>
                <w:szCs w:val="24"/>
              </w:rPr>
              <w:t>1 473,84</w:t>
            </w:r>
          </w:p>
        </w:tc>
      </w:tr>
      <w:tr w:rsidR="00295BCD" w:rsidRPr="001927D6" w14:paraId="3F596DF0" w14:textId="77777777" w:rsidTr="00295BCD">
        <w:trPr>
          <w:divId w:val="1316184749"/>
          <w:trHeight w:val="300"/>
        </w:trPr>
        <w:tc>
          <w:tcPr>
            <w:tcW w:w="4632" w:type="dxa"/>
            <w:vAlign w:val="bottom"/>
            <w:hideMark/>
          </w:tcPr>
          <w:p w14:paraId="12B46140" w14:textId="77777777" w:rsidR="00295BCD" w:rsidRPr="001927D6" w:rsidRDefault="00295BCD">
            <w:pPr>
              <w:spacing w:after="0" w:line="240" w:lineRule="auto"/>
              <w:textAlignment w:val="baseline"/>
              <w:rPr>
                <w:szCs w:val="24"/>
                <w:lang w:eastAsia="et-EE"/>
              </w:rPr>
            </w:pPr>
            <w:r w:rsidRPr="001927D6">
              <w:rPr>
                <w:szCs w:val="24"/>
                <w:lang w:eastAsia="et-EE"/>
              </w:rPr>
              <w:t>Ninaplastika </w:t>
            </w:r>
          </w:p>
        </w:tc>
        <w:tc>
          <w:tcPr>
            <w:tcW w:w="732" w:type="dxa"/>
            <w:vAlign w:val="center"/>
            <w:hideMark/>
          </w:tcPr>
          <w:p w14:paraId="2D0390F2" w14:textId="77777777" w:rsidR="00295BCD" w:rsidRPr="001927D6" w:rsidRDefault="00295BCD">
            <w:pPr>
              <w:spacing w:after="0" w:line="240" w:lineRule="auto"/>
              <w:jc w:val="center"/>
              <w:textAlignment w:val="baseline"/>
              <w:rPr>
                <w:szCs w:val="24"/>
                <w:lang w:eastAsia="et-EE"/>
              </w:rPr>
            </w:pPr>
            <w:r w:rsidRPr="001927D6">
              <w:rPr>
                <w:szCs w:val="24"/>
                <w:lang w:eastAsia="et-EE"/>
              </w:rPr>
              <w:t>056 </w:t>
            </w:r>
          </w:p>
        </w:tc>
        <w:tc>
          <w:tcPr>
            <w:tcW w:w="1243" w:type="dxa"/>
            <w:vAlign w:val="center"/>
          </w:tcPr>
          <w:p w14:paraId="7CDC4C55" w14:textId="77777777" w:rsidR="00295BCD" w:rsidRPr="001927D6" w:rsidRDefault="00295BCD">
            <w:pPr>
              <w:spacing w:after="0" w:line="240" w:lineRule="auto"/>
              <w:jc w:val="center"/>
              <w:textAlignment w:val="baseline"/>
              <w:rPr>
                <w:szCs w:val="24"/>
                <w:lang w:eastAsia="et-EE"/>
              </w:rPr>
            </w:pPr>
            <w:r w:rsidRPr="001927D6">
              <w:rPr>
                <w:color w:val="000000"/>
                <w:szCs w:val="24"/>
              </w:rPr>
              <w:t>1 322,81</w:t>
            </w:r>
          </w:p>
        </w:tc>
        <w:tc>
          <w:tcPr>
            <w:tcW w:w="1211" w:type="dxa"/>
            <w:vAlign w:val="center"/>
          </w:tcPr>
          <w:p w14:paraId="2A695077" w14:textId="77777777" w:rsidR="00295BCD" w:rsidRPr="001927D6" w:rsidRDefault="00295BCD">
            <w:pPr>
              <w:spacing w:after="0" w:line="240" w:lineRule="auto"/>
              <w:jc w:val="center"/>
              <w:textAlignment w:val="baseline"/>
              <w:rPr>
                <w:szCs w:val="24"/>
                <w:lang w:eastAsia="et-EE"/>
              </w:rPr>
            </w:pPr>
            <w:r w:rsidRPr="001927D6">
              <w:rPr>
                <w:color w:val="000000"/>
                <w:szCs w:val="24"/>
              </w:rPr>
              <w:t>911,92</w:t>
            </w:r>
          </w:p>
        </w:tc>
        <w:tc>
          <w:tcPr>
            <w:tcW w:w="1238" w:type="dxa"/>
            <w:vAlign w:val="center"/>
          </w:tcPr>
          <w:p w14:paraId="2540BB2D" w14:textId="77777777" w:rsidR="00295BCD" w:rsidRPr="001927D6" w:rsidRDefault="00295BCD">
            <w:pPr>
              <w:spacing w:after="0" w:line="240" w:lineRule="auto"/>
              <w:jc w:val="center"/>
              <w:textAlignment w:val="baseline"/>
              <w:rPr>
                <w:szCs w:val="24"/>
                <w:lang w:eastAsia="et-EE"/>
              </w:rPr>
            </w:pPr>
            <w:r w:rsidRPr="001927D6">
              <w:rPr>
                <w:color w:val="000000"/>
                <w:szCs w:val="24"/>
              </w:rPr>
              <w:t>1 935,29</w:t>
            </w:r>
          </w:p>
        </w:tc>
      </w:tr>
      <w:tr w:rsidR="00295BCD" w:rsidRPr="001927D6" w14:paraId="0F0747E2" w14:textId="77777777" w:rsidTr="00295BCD">
        <w:trPr>
          <w:divId w:val="1316184749"/>
          <w:trHeight w:val="300"/>
        </w:trPr>
        <w:tc>
          <w:tcPr>
            <w:tcW w:w="4632" w:type="dxa"/>
            <w:vAlign w:val="bottom"/>
            <w:hideMark/>
          </w:tcPr>
          <w:p w14:paraId="64DB59B1" w14:textId="77777777" w:rsidR="00295BCD" w:rsidRPr="001927D6" w:rsidRDefault="00295BCD">
            <w:pPr>
              <w:spacing w:after="0" w:line="240" w:lineRule="auto"/>
              <w:textAlignment w:val="baseline"/>
              <w:rPr>
                <w:szCs w:val="24"/>
                <w:lang w:eastAsia="et-EE"/>
              </w:rPr>
            </w:pPr>
            <w:r w:rsidRPr="001927D6">
              <w:rPr>
                <w:szCs w:val="24"/>
                <w:lang w:eastAsia="et-EE"/>
              </w:rPr>
              <w:t>Ninaplastika, lühike ravi </w:t>
            </w:r>
          </w:p>
        </w:tc>
        <w:tc>
          <w:tcPr>
            <w:tcW w:w="732" w:type="dxa"/>
            <w:vAlign w:val="center"/>
            <w:hideMark/>
          </w:tcPr>
          <w:p w14:paraId="4E0CBC68" w14:textId="77777777" w:rsidR="00295BCD" w:rsidRPr="001927D6" w:rsidRDefault="00295BCD">
            <w:pPr>
              <w:spacing w:after="0" w:line="240" w:lineRule="auto"/>
              <w:jc w:val="center"/>
              <w:textAlignment w:val="baseline"/>
              <w:rPr>
                <w:szCs w:val="24"/>
                <w:lang w:eastAsia="et-EE"/>
              </w:rPr>
            </w:pPr>
            <w:r w:rsidRPr="001927D6">
              <w:rPr>
                <w:szCs w:val="24"/>
                <w:lang w:eastAsia="et-EE"/>
              </w:rPr>
              <w:t>056O </w:t>
            </w:r>
          </w:p>
        </w:tc>
        <w:tc>
          <w:tcPr>
            <w:tcW w:w="1243" w:type="dxa"/>
            <w:vAlign w:val="center"/>
          </w:tcPr>
          <w:p w14:paraId="59A4CB34" w14:textId="77777777" w:rsidR="00295BCD" w:rsidRPr="001927D6" w:rsidRDefault="00295BCD">
            <w:pPr>
              <w:spacing w:after="0" w:line="240" w:lineRule="auto"/>
              <w:jc w:val="center"/>
              <w:textAlignment w:val="baseline"/>
              <w:rPr>
                <w:szCs w:val="24"/>
                <w:lang w:eastAsia="et-EE"/>
              </w:rPr>
            </w:pPr>
            <w:r w:rsidRPr="001927D6">
              <w:rPr>
                <w:color w:val="000000"/>
                <w:szCs w:val="24"/>
              </w:rPr>
              <w:t>1 039,34</w:t>
            </w:r>
          </w:p>
        </w:tc>
        <w:tc>
          <w:tcPr>
            <w:tcW w:w="1211" w:type="dxa"/>
            <w:vAlign w:val="center"/>
          </w:tcPr>
          <w:p w14:paraId="22147989" w14:textId="77777777" w:rsidR="00295BCD" w:rsidRPr="001927D6" w:rsidRDefault="00295BCD">
            <w:pPr>
              <w:spacing w:after="0" w:line="240" w:lineRule="auto"/>
              <w:jc w:val="center"/>
              <w:textAlignment w:val="baseline"/>
              <w:rPr>
                <w:szCs w:val="24"/>
                <w:lang w:eastAsia="et-EE"/>
              </w:rPr>
            </w:pPr>
            <w:r w:rsidRPr="001927D6">
              <w:rPr>
                <w:color w:val="000000"/>
                <w:szCs w:val="24"/>
              </w:rPr>
              <w:t>477,93</w:t>
            </w:r>
          </w:p>
        </w:tc>
        <w:tc>
          <w:tcPr>
            <w:tcW w:w="1238" w:type="dxa"/>
            <w:vAlign w:val="center"/>
          </w:tcPr>
          <w:p w14:paraId="068748FA" w14:textId="77777777" w:rsidR="00295BCD" w:rsidRPr="001927D6" w:rsidRDefault="00295BCD">
            <w:pPr>
              <w:spacing w:after="0" w:line="240" w:lineRule="auto"/>
              <w:jc w:val="center"/>
              <w:textAlignment w:val="baseline"/>
              <w:rPr>
                <w:szCs w:val="24"/>
                <w:lang w:eastAsia="et-EE"/>
              </w:rPr>
            </w:pPr>
            <w:r w:rsidRPr="001927D6">
              <w:rPr>
                <w:color w:val="000000"/>
                <w:szCs w:val="24"/>
              </w:rPr>
              <w:t>1 312,83</w:t>
            </w:r>
          </w:p>
        </w:tc>
      </w:tr>
      <w:tr w:rsidR="00295BCD" w:rsidRPr="001927D6" w14:paraId="139F7C33" w14:textId="77777777" w:rsidTr="00295BCD">
        <w:trPr>
          <w:divId w:val="1316184749"/>
          <w:trHeight w:val="300"/>
        </w:trPr>
        <w:tc>
          <w:tcPr>
            <w:tcW w:w="4632" w:type="dxa"/>
            <w:vAlign w:val="bottom"/>
            <w:hideMark/>
          </w:tcPr>
          <w:p w14:paraId="255D7142" w14:textId="77777777" w:rsidR="00295BCD" w:rsidRPr="001927D6" w:rsidRDefault="00295BCD">
            <w:pPr>
              <w:spacing w:after="0" w:line="240" w:lineRule="auto"/>
              <w:textAlignment w:val="baseline"/>
              <w:rPr>
                <w:szCs w:val="24"/>
                <w:lang w:eastAsia="et-EE"/>
              </w:rPr>
            </w:pPr>
            <w:r w:rsidRPr="001927D6">
              <w:rPr>
                <w:szCs w:val="24"/>
                <w:lang w:eastAsia="et-EE"/>
              </w:rPr>
              <w:t>Kurgu- ja/või ninaneelumandli eemaldamine </w:t>
            </w:r>
          </w:p>
        </w:tc>
        <w:tc>
          <w:tcPr>
            <w:tcW w:w="732" w:type="dxa"/>
            <w:vAlign w:val="center"/>
            <w:hideMark/>
          </w:tcPr>
          <w:p w14:paraId="0CCEC7BF" w14:textId="77777777" w:rsidR="00295BCD" w:rsidRPr="001927D6" w:rsidRDefault="00295BCD">
            <w:pPr>
              <w:spacing w:after="0" w:line="240" w:lineRule="auto"/>
              <w:jc w:val="center"/>
              <w:textAlignment w:val="baseline"/>
              <w:rPr>
                <w:szCs w:val="24"/>
                <w:lang w:eastAsia="et-EE"/>
              </w:rPr>
            </w:pPr>
            <w:r w:rsidRPr="001927D6">
              <w:rPr>
                <w:szCs w:val="24"/>
                <w:lang w:eastAsia="et-EE"/>
              </w:rPr>
              <w:t>060 </w:t>
            </w:r>
          </w:p>
        </w:tc>
        <w:tc>
          <w:tcPr>
            <w:tcW w:w="1243" w:type="dxa"/>
            <w:vAlign w:val="center"/>
          </w:tcPr>
          <w:p w14:paraId="73D1AAE6" w14:textId="77777777" w:rsidR="00295BCD" w:rsidRPr="001927D6" w:rsidRDefault="00295BCD">
            <w:pPr>
              <w:spacing w:after="0" w:line="240" w:lineRule="auto"/>
              <w:jc w:val="center"/>
              <w:textAlignment w:val="baseline"/>
              <w:rPr>
                <w:szCs w:val="24"/>
                <w:lang w:eastAsia="et-EE"/>
              </w:rPr>
            </w:pPr>
            <w:r w:rsidRPr="001927D6">
              <w:rPr>
                <w:color w:val="000000"/>
                <w:szCs w:val="24"/>
              </w:rPr>
              <w:t>935,04</w:t>
            </w:r>
          </w:p>
        </w:tc>
        <w:tc>
          <w:tcPr>
            <w:tcW w:w="1211" w:type="dxa"/>
            <w:vAlign w:val="center"/>
          </w:tcPr>
          <w:p w14:paraId="4D962274" w14:textId="77777777" w:rsidR="00295BCD" w:rsidRPr="001927D6" w:rsidRDefault="00295BCD">
            <w:pPr>
              <w:spacing w:after="0" w:line="240" w:lineRule="auto"/>
              <w:jc w:val="center"/>
              <w:textAlignment w:val="baseline"/>
              <w:rPr>
                <w:szCs w:val="24"/>
                <w:lang w:eastAsia="et-EE"/>
              </w:rPr>
            </w:pPr>
            <w:r w:rsidRPr="001927D6">
              <w:rPr>
                <w:color w:val="000000"/>
                <w:szCs w:val="24"/>
              </w:rPr>
              <w:t>742,27</w:t>
            </w:r>
          </w:p>
        </w:tc>
        <w:tc>
          <w:tcPr>
            <w:tcW w:w="1238" w:type="dxa"/>
            <w:vAlign w:val="center"/>
          </w:tcPr>
          <w:p w14:paraId="13B4A15F" w14:textId="77777777" w:rsidR="00295BCD" w:rsidRPr="001927D6" w:rsidRDefault="00295BCD">
            <w:pPr>
              <w:spacing w:after="0" w:line="240" w:lineRule="auto"/>
              <w:jc w:val="center"/>
              <w:textAlignment w:val="baseline"/>
              <w:rPr>
                <w:szCs w:val="24"/>
                <w:lang w:eastAsia="et-EE"/>
              </w:rPr>
            </w:pPr>
            <w:r w:rsidRPr="001927D6">
              <w:rPr>
                <w:color w:val="000000"/>
                <w:szCs w:val="24"/>
              </w:rPr>
              <w:t>1 536,08</w:t>
            </w:r>
          </w:p>
        </w:tc>
      </w:tr>
      <w:tr w:rsidR="00295BCD" w:rsidRPr="001927D6" w14:paraId="73D79C4E" w14:textId="77777777" w:rsidTr="00295BCD">
        <w:trPr>
          <w:divId w:val="1316184749"/>
          <w:trHeight w:val="300"/>
        </w:trPr>
        <w:tc>
          <w:tcPr>
            <w:tcW w:w="4632" w:type="dxa"/>
            <w:vAlign w:val="bottom"/>
            <w:hideMark/>
          </w:tcPr>
          <w:p w14:paraId="686C7D54" w14:textId="77777777" w:rsidR="00295BCD" w:rsidRPr="001927D6" w:rsidRDefault="00295BCD">
            <w:pPr>
              <w:spacing w:after="0" w:line="240" w:lineRule="auto"/>
              <w:textAlignment w:val="baseline"/>
              <w:rPr>
                <w:szCs w:val="24"/>
                <w:lang w:eastAsia="et-EE"/>
              </w:rPr>
            </w:pPr>
            <w:r w:rsidRPr="001927D6">
              <w:rPr>
                <w:szCs w:val="24"/>
                <w:lang w:eastAsia="et-EE"/>
              </w:rPr>
              <w:t>Kurgu- ja ninaneelumandlite operatsioonid, lühike ravi </w:t>
            </w:r>
          </w:p>
        </w:tc>
        <w:tc>
          <w:tcPr>
            <w:tcW w:w="732" w:type="dxa"/>
            <w:vAlign w:val="center"/>
            <w:hideMark/>
          </w:tcPr>
          <w:p w14:paraId="2510E053" w14:textId="77777777" w:rsidR="00295BCD" w:rsidRPr="001927D6" w:rsidRDefault="00295BCD">
            <w:pPr>
              <w:spacing w:after="0" w:line="240" w:lineRule="auto"/>
              <w:jc w:val="center"/>
              <w:textAlignment w:val="baseline"/>
              <w:rPr>
                <w:szCs w:val="24"/>
                <w:lang w:eastAsia="et-EE"/>
              </w:rPr>
            </w:pPr>
            <w:r w:rsidRPr="001927D6">
              <w:rPr>
                <w:szCs w:val="24"/>
                <w:lang w:eastAsia="et-EE"/>
              </w:rPr>
              <w:t>060O </w:t>
            </w:r>
          </w:p>
        </w:tc>
        <w:tc>
          <w:tcPr>
            <w:tcW w:w="1243" w:type="dxa"/>
            <w:vAlign w:val="center"/>
          </w:tcPr>
          <w:p w14:paraId="137A9DB5" w14:textId="77777777" w:rsidR="00295BCD" w:rsidRPr="001927D6" w:rsidRDefault="00295BCD">
            <w:pPr>
              <w:spacing w:after="0" w:line="240" w:lineRule="auto"/>
              <w:jc w:val="center"/>
              <w:textAlignment w:val="baseline"/>
              <w:rPr>
                <w:szCs w:val="24"/>
                <w:lang w:eastAsia="et-EE"/>
              </w:rPr>
            </w:pPr>
            <w:r w:rsidRPr="001927D6">
              <w:rPr>
                <w:color w:val="000000"/>
                <w:szCs w:val="24"/>
              </w:rPr>
              <w:t>734,47</w:t>
            </w:r>
          </w:p>
        </w:tc>
        <w:tc>
          <w:tcPr>
            <w:tcW w:w="1211" w:type="dxa"/>
            <w:vAlign w:val="center"/>
          </w:tcPr>
          <w:p w14:paraId="6200DC27" w14:textId="77777777" w:rsidR="00295BCD" w:rsidRPr="001927D6" w:rsidRDefault="00295BCD">
            <w:pPr>
              <w:spacing w:after="0" w:line="240" w:lineRule="auto"/>
              <w:jc w:val="center"/>
              <w:textAlignment w:val="baseline"/>
              <w:rPr>
                <w:szCs w:val="24"/>
                <w:lang w:eastAsia="et-EE"/>
              </w:rPr>
            </w:pPr>
            <w:r w:rsidRPr="001927D6">
              <w:rPr>
                <w:color w:val="000000"/>
                <w:szCs w:val="24"/>
              </w:rPr>
              <w:t>615,18</w:t>
            </w:r>
          </w:p>
        </w:tc>
        <w:tc>
          <w:tcPr>
            <w:tcW w:w="1238" w:type="dxa"/>
            <w:vAlign w:val="center"/>
          </w:tcPr>
          <w:p w14:paraId="560AB53C" w14:textId="77777777" w:rsidR="00295BCD" w:rsidRPr="001927D6" w:rsidRDefault="00295BCD">
            <w:pPr>
              <w:spacing w:after="0" w:line="240" w:lineRule="auto"/>
              <w:jc w:val="center"/>
              <w:textAlignment w:val="baseline"/>
              <w:rPr>
                <w:szCs w:val="24"/>
                <w:lang w:eastAsia="et-EE"/>
              </w:rPr>
            </w:pPr>
            <w:r w:rsidRPr="001927D6">
              <w:rPr>
                <w:color w:val="000000"/>
                <w:szCs w:val="24"/>
              </w:rPr>
              <w:t>930,94</w:t>
            </w:r>
          </w:p>
        </w:tc>
      </w:tr>
      <w:tr w:rsidR="00295BCD" w:rsidRPr="001927D6" w14:paraId="6E2DFF19" w14:textId="77777777" w:rsidTr="00295BCD">
        <w:trPr>
          <w:divId w:val="1316184749"/>
          <w:trHeight w:val="300"/>
        </w:trPr>
        <w:tc>
          <w:tcPr>
            <w:tcW w:w="4632" w:type="dxa"/>
            <w:vAlign w:val="bottom"/>
            <w:hideMark/>
          </w:tcPr>
          <w:p w14:paraId="3194508D"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Kõrva, nina, suu ja kurgu muud suured operatsioonid </w:t>
            </w:r>
          </w:p>
        </w:tc>
        <w:tc>
          <w:tcPr>
            <w:tcW w:w="732" w:type="dxa"/>
            <w:vAlign w:val="center"/>
            <w:hideMark/>
          </w:tcPr>
          <w:p w14:paraId="21E30093" w14:textId="77777777" w:rsidR="00295BCD" w:rsidRPr="001927D6" w:rsidRDefault="00295BCD">
            <w:pPr>
              <w:spacing w:after="0" w:line="240" w:lineRule="auto"/>
              <w:jc w:val="center"/>
              <w:textAlignment w:val="baseline"/>
              <w:rPr>
                <w:szCs w:val="24"/>
                <w:lang w:eastAsia="et-EE"/>
              </w:rPr>
            </w:pPr>
            <w:r w:rsidRPr="001927D6">
              <w:rPr>
                <w:szCs w:val="24"/>
                <w:lang w:eastAsia="et-EE"/>
              </w:rPr>
              <w:t>063 </w:t>
            </w:r>
          </w:p>
        </w:tc>
        <w:tc>
          <w:tcPr>
            <w:tcW w:w="1243" w:type="dxa"/>
            <w:vAlign w:val="center"/>
          </w:tcPr>
          <w:p w14:paraId="1C99C898" w14:textId="77777777" w:rsidR="00295BCD" w:rsidRPr="001927D6" w:rsidRDefault="00295BCD">
            <w:pPr>
              <w:spacing w:after="0" w:line="240" w:lineRule="auto"/>
              <w:jc w:val="center"/>
              <w:textAlignment w:val="baseline"/>
              <w:rPr>
                <w:szCs w:val="24"/>
                <w:lang w:eastAsia="et-EE"/>
              </w:rPr>
            </w:pPr>
            <w:r w:rsidRPr="001927D6">
              <w:rPr>
                <w:color w:val="000000"/>
                <w:szCs w:val="24"/>
              </w:rPr>
              <w:t>2 438,78</w:t>
            </w:r>
          </w:p>
        </w:tc>
        <w:tc>
          <w:tcPr>
            <w:tcW w:w="1211" w:type="dxa"/>
            <w:vAlign w:val="center"/>
          </w:tcPr>
          <w:p w14:paraId="52B123BE" w14:textId="77777777" w:rsidR="00295BCD" w:rsidRPr="001927D6" w:rsidRDefault="00295BCD">
            <w:pPr>
              <w:spacing w:after="0" w:line="240" w:lineRule="auto"/>
              <w:jc w:val="center"/>
              <w:textAlignment w:val="baseline"/>
              <w:rPr>
                <w:szCs w:val="24"/>
                <w:lang w:eastAsia="et-EE"/>
              </w:rPr>
            </w:pPr>
            <w:r w:rsidRPr="001927D6">
              <w:rPr>
                <w:color w:val="000000"/>
                <w:szCs w:val="24"/>
              </w:rPr>
              <w:t>813,68</w:t>
            </w:r>
          </w:p>
        </w:tc>
        <w:tc>
          <w:tcPr>
            <w:tcW w:w="1238" w:type="dxa"/>
            <w:vAlign w:val="center"/>
          </w:tcPr>
          <w:p w14:paraId="70B51686" w14:textId="77777777" w:rsidR="00295BCD" w:rsidRPr="001927D6" w:rsidRDefault="00295BCD">
            <w:pPr>
              <w:spacing w:after="0" w:line="240" w:lineRule="auto"/>
              <w:jc w:val="center"/>
              <w:textAlignment w:val="baseline"/>
              <w:rPr>
                <w:szCs w:val="24"/>
                <w:lang w:eastAsia="et-EE"/>
              </w:rPr>
            </w:pPr>
            <w:r w:rsidRPr="001927D6">
              <w:rPr>
                <w:color w:val="000000"/>
                <w:szCs w:val="24"/>
              </w:rPr>
              <w:t>6 608,77</w:t>
            </w:r>
          </w:p>
        </w:tc>
      </w:tr>
      <w:tr w:rsidR="00295BCD" w:rsidRPr="001927D6" w14:paraId="2A01C205" w14:textId="77777777" w:rsidTr="00295BCD">
        <w:trPr>
          <w:divId w:val="1316184749"/>
          <w:trHeight w:val="300"/>
        </w:trPr>
        <w:tc>
          <w:tcPr>
            <w:tcW w:w="4632" w:type="dxa"/>
            <w:vAlign w:val="bottom"/>
            <w:hideMark/>
          </w:tcPr>
          <w:p w14:paraId="75A05BFD" w14:textId="77777777" w:rsidR="00295BCD" w:rsidRPr="001927D6" w:rsidRDefault="00295BCD">
            <w:pPr>
              <w:spacing w:after="0" w:line="240" w:lineRule="auto"/>
              <w:textAlignment w:val="baseline"/>
              <w:rPr>
                <w:szCs w:val="24"/>
                <w:lang w:eastAsia="et-EE"/>
              </w:rPr>
            </w:pPr>
            <w:r w:rsidRPr="001927D6">
              <w:rPr>
                <w:szCs w:val="24"/>
                <w:lang w:eastAsia="et-EE"/>
              </w:rPr>
              <w:t>Kõrva, nina, suu ja kurgu muud suured operatsioonid, lühike ravi </w:t>
            </w:r>
          </w:p>
        </w:tc>
        <w:tc>
          <w:tcPr>
            <w:tcW w:w="732" w:type="dxa"/>
            <w:vAlign w:val="center"/>
            <w:hideMark/>
          </w:tcPr>
          <w:p w14:paraId="23F5E722" w14:textId="77777777" w:rsidR="00295BCD" w:rsidRPr="001927D6" w:rsidRDefault="00295BCD">
            <w:pPr>
              <w:spacing w:after="0" w:line="240" w:lineRule="auto"/>
              <w:jc w:val="center"/>
              <w:textAlignment w:val="baseline"/>
              <w:rPr>
                <w:szCs w:val="24"/>
                <w:lang w:eastAsia="et-EE"/>
              </w:rPr>
            </w:pPr>
            <w:r w:rsidRPr="001927D6">
              <w:rPr>
                <w:szCs w:val="24"/>
                <w:lang w:eastAsia="et-EE"/>
              </w:rPr>
              <w:t>063O </w:t>
            </w:r>
          </w:p>
        </w:tc>
        <w:tc>
          <w:tcPr>
            <w:tcW w:w="1243" w:type="dxa"/>
            <w:vAlign w:val="center"/>
          </w:tcPr>
          <w:p w14:paraId="2BB0BE52" w14:textId="77777777" w:rsidR="00295BCD" w:rsidRPr="001927D6" w:rsidRDefault="00295BCD">
            <w:pPr>
              <w:spacing w:after="0" w:line="240" w:lineRule="auto"/>
              <w:jc w:val="center"/>
              <w:textAlignment w:val="baseline"/>
              <w:rPr>
                <w:szCs w:val="24"/>
                <w:lang w:eastAsia="et-EE"/>
              </w:rPr>
            </w:pPr>
            <w:r w:rsidRPr="001927D6">
              <w:rPr>
                <w:color w:val="000000"/>
                <w:szCs w:val="24"/>
              </w:rPr>
              <w:t>996,50</w:t>
            </w:r>
          </w:p>
        </w:tc>
        <w:tc>
          <w:tcPr>
            <w:tcW w:w="1211" w:type="dxa"/>
            <w:vAlign w:val="center"/>
          </w:tcPr>
          <w:p w14:paraId="368227C1" w14:textId="77777777" w:rsidR="00295BCD" w:rsidRPr="001927D6" w:rsidRDefault="00295BCD">
            <w:pPr>
              <w:spacing w:after="0" w:line="240" w:lineRule="auto"/>
              <w:jc w:val="center"/>
              <w:textAlignment w:val="baseline"/>
              <w:rPr>
                <w:szCs w:val="24"/>
                <w:lang w:eastAsia="et-EE"/>
              </w:rPr>
            </w:pPr>
            <w:r w:rsidRPr="001927D6">
              <w:rPr>
                <w:color w:val="000000"/>
                <w:szCs w:val="24"/>
              </w:rPr>
              <w:t>693,04</w:t>
            </w:r>
          </w:p>
        </w:tc>
        <w:tc>
          <w:tcPr>
            <w:tcW w:w="1238" w:type="dxa"/>
            <w:vAlign w:val="center"/>
          </w:tcPr>
          <w:p w14:paraId="3A3BFA65" w14:textId="77777777" w:rsidR="00295BCD" w:rsidRPr="001927D6" w:rsidRDefault="00295BCD">
            <w:pPr>
              <w:spacing w:after="0" w:line="240" w:lineRule="auto"/>
              <w:jc w:val="center"/>
              <w:textAlignment w:val="baseline"/>
              <w:rPr>
                <w:szCs w:val="24"/>
                <w:lang w:eastAsia="et-EE"/>
              </w:rPr>
            </w:pPr>
            <w:r w:rsidRPr="001927D6">
              <w:rPr>
                <w:color w:val="000000"/>
                <w:szCs w:val="24"/>
              </w:rPr>
              <w:t>1 802,64</w:t>
            </w:r>
          </w:p>
        </w:tc>
      </w:tr>
      <w:tr w:rsidR="00295BCD" w:rsidRPr="001927D6" w14:paraId="0E33C3A0" w14:textId="77777777" w:rsidTr="00295BCD">
        <w:trPr>
          <w:divId w:val="1316184749"/>
          <w:trHeight w:val="300"/>
        </w:trPr>
        <w:tc>
          <w:tcPr>
            <w:tcW w:w="4632" w:type="dxa"/>
            <w:vAlign w:val="bottom"/>
            <w:hideMark/>
          </w:tcPr>
          <w:p w14:paraId="207CFEAE" w14:textId="77777777" w:rsidR="00295BCD" w:rsidRPr="001927D6" w:rsidRDefault="00295BCD">
            <w:pPr>
              <w:spacing w:after="0" w:line="240" w:lineRule="auto"/>
              <w:textAlignment w:val="baseline"/>
              <w:rPr>
                <w:szCs w:val="24"/>
                <w:lang w:eastAsia="et-EE"/>
              </w:rPr>
            </w:pPr>
            <w:r w:rsidRPr="001927D6">
              <w:rPr>
                <w:szCs w:val="24"/>
                <w:lang w:eastAsia="et-EE"/>
              </w:rPr>
              <w:t>Kõrva, nina, suu ja kurgu pahaloomulised kasvajad </w:t>
            </w:r>
          </w:p>
        </w:tc>
        <w:tc>
          <w:tcPr>
            <w:tcW w:w="732" w:type="dxa"/>
            <w:vAlign w:val="center"/>
            <w:hideMark/>
          </w:tcPr>
          <w:p w14:paraId="764309E9" w14:textId="77777777" w:rsidR="00295BCD" w:rsidRPr="001927D6" w:rsidRDefault="00295BCD">
            <w:pPr>
              <w:spacing w:after="0" w:line="240" w:lineRule="auto"/>
              <w:jc w:val="center"/>
              <w:textAlignment w:val="baseline"/>
              <w:rPr>
                <w:szCs w:val="24"/>
                <w:lang w:eastAsia="et-EE"/>
              </w:rPr>
            </w:pPr>
            <w:r w:rsidRPr="001927D6">
              <w:rPr>
                <w:szCs w:val="24"/>
                <w:lang w:eastAsia="et-EE"/>
              </w:rPr>
              <w:t>064 </w:t>
            </w:r>
          </w:p>
        </w:tc>
        <w:tc>
          <w:tcPr>
            <w:tcW w:w="1243" w:type="dxa"/>
            <w:vAlign w:val="center"/>
          </w:tcPr>
          <w:p w14:paraId="04E03266" w14:textId="77777777" w:rsidR="00295BCD" w:rsidRPr="001927D6" w:rsidRDefault="00295BCD">
            <w:pPr>
              <w:spacing w:after="0" w:line="240" w:lineRule="auto"/>
              <w:jc w:val="center"/>
              <w:textAlignment w:val="baseline"/>
              <w:rPr>
                <w:szCs w:val="24"/>
                <w:lang w:eastAsia="et-EE"/>
              </w:rPr>
            </w:pPr>
            <w:r w:rsidRPr="001927D6">
              <w:rPr>
                <w:color w:val="000000"/>
                <w:szCs w:val="24"/>
              </w:rPr>
              <w:t>2 234,20</w:t>
            </w:r>
          </w:p>
        </w:tc>
        <w:tc>
          <w:tcPr>
            <w:tcW w:w="1211" w:type="dxa"/>
            <w:vAlign w:val="center"/>
          </w:tcPr>
          <w:p w14:paraId="27FA252F" w14:textId="77777777" w:rsidR="00295BCD" w:rsidRPr="001927D6" w:rsidRDefault="00295BCD">
            <w:pPr>
              <w:spacing w:after="0" w:line="240" w:lineRule="auto"/>
              <w:jc w:val="center"/>
              <w:textAlignment w:val="baseline"/>
              <w:rPr>
                <w:szCs w:val="24"/>
                <w:lang w:eastAsia="et-EE"/>
              </w:rPr>
            </w:pPr>
            <w:r w:rsidRPr="001927D6">
              <w:rPr>
                <w:color w:val="000000"/>
                <w:szCs w:val="24"/>
              </w:rPr>
              <w:t>703,23</w:t>
            </w:r>
          </w:p>
        </w:tc>
        <w:tc>
          <w:tcPr>
            <w:tcW w:w="1238" w:type="dxa"/>
            <w:vAlign w:val="center"/>
          </w:tcPr>
          <w:p w14:paraId="42714368" w14:textId="77777777" w:rsidR="00295BCD" w:rsidRPr="001927D6" w:rsidRDefault="00295BCD">
            <w:pPr>
              <w:spacing w:after="0" w:line="240" w:lineRule="auto"/>
              <w:jc w:val="center"/>
              <w:textAlignment w:val="baseline"/>
              <w:rPr>
                <w:szCs w:val="24"/>
                <w:lang w:eastAsia="et-EE"/>
              </w:rPr>
            </w:pPr>
            <w:r w:rsidRPr="001927D6">
              <w:rPr>
                <w:color w:val="000000"/>
                <w:szCs w:val="24"/>
              </w:rPr>
              <w:t>5 107,52</w:t>
            </w:r>
          </w:p>
        </w:tc>
      </w:tr>
      <w:tr w:rsidR="00295BCD" w:rsidRPr="001927D6" w14:paraId="4CEBE7CC" w14:textId="77777777" w:rsidTr="00295BCD">
        <w:trPr>
          <w:divId w:val="1316184749"/>
          <w:trHeight w:val="300"/>
        </w:trPr>
        <w:tc>
          <w:tcPr>
            <w:tcW w:w="4632" w:type="dxa"/>
            <w:vAlign w:val="bottom"/>
            <w:hideMark/>
          </w:tcPr>
          <w:p w14:paraId="72E4989B" w14:textId="77777777" w:rsidR="00295BCD" w:rsidRPr="001927D6" w:rsidRDefault="00295BCD">
            <w:pPr>
              <w:spacing w:after="0" w:line="240" w:lineRule="auto"/>
              <w:textAlignment w:val="baseline"/>
              <w:rPr>
                <w:szCs w:val="24"/>
                <w:lang w:eastAsia="et-EE"/>
              </w:rPr>
            </w:pPr>
            <w:r w:rsidRPr="001927D6">
              <w:rPr>
                <w:szCs w:val="24"/>
                <w:lang w:eastAsia="et-EE"/>
              </w:rPr>
              <w:t>Tasakaaluhäired </w:t>
            </w:r>
          </w:p>
        </w:tc>
        <w:tc>
          <w:tcPr>
            <w:tcW w:w="732" w:type="dxa"/>
            <w:vAlign w:val="center"/>
            <w:hideMark/>
          </w:tcPr>
          <w:p w14:paraId="46BF5716" w14:textId="77777777" w:rsidR="00295BCD" w:rsidRPr="001927D6" w:rsidRDefault="00295BCD">
            <w:pPr>
              <w:spacing w:after="0" w:line="240" w:lineRule="auto"/>
              <w:jc w:val="center"/>
              <w:textAlignment w:val="baseline"/>
              <w:rPr>
                <w:szCs w:val="24"/>
                <w:lang w:eastAsia="et-EE"/>
              </w:rPr>
            </w:pPr>
            <w:r w:rsidRPr="001927D6">
              <w:rPr>
                <w:szCs w:val="24"/>
                <w:lang w:eastAsia="et-EE"/>
              </w:rPr>
              <w:t>065 </w:t>
            </w:r>
          </w:p>
        </w:tc>
        <w:tc>
          <w:tcPr>
            <w:tcW w:w="1243" w:type="dxa"/>
            <w:vAlign w:val="center"/>
          </w:tcPr>
          <w:p w14:paraId="357CCCAC" w14:textId="77777777" w:rsidR="00295BCD" w:rsidRPr="001927D6" w:rsidRDefault="00295BCD">
            <w:pPr>
              <w:spacing w:after="0" w:line="240" w:lineRule="auto"/>
              <w:jc w:val="center"/>
              <w:textAlignment w:val="baseline"/>
              <w:rPr>
                <w:szCs w:val="24"/>
                <w:lang w:eastAsia="et-EE"/>
              </w:rPr>
            </w:pPr>
            <w:r w:rsidRPr="001927D6">
              <w:rPr>
                <w:color w:val="000000"/>
                <w:szCs w:val="24"/>
              </w:rPr>
              <w:t>1 621,01</w:t>
            </w:r>
          </w:p>
        </w:tc>
        <w:tc>
          <w:tcPr>
            <w:tcW w:w="1211" w:type="dxa"/>
            <w:vAlign w:val="center"/>
          </w:tcPr>
          <w:p w14:paraId="0FC4A89F" w14:textId="77777777" w:rsidR="00295BCD" w:rsidRPr="001927D6" w:rsidRDefault="00295BCD">
            <w:pPr>
              <w:spacing w:after="0" w:line="240" w:lineRule="auto"/>
              <w:jc w:val="center"/>
              <w:textAlignment w:val="baseline"/>
              <w:rPr>
                <w:szCs w:val="24"/>
                <w:lang w:eastAsia="et-EE"/>
              </w:rPr>
            </w:pPr>
            <w:r w:rsidRPr="001927D6">
              <w:rPr>
                <w:color w:val="000000"/>
                <w:szCs w:val="24"/>
              </w:rPr>
              <w:t>603,24</w:t>
            </w:r>
          </w:p>
        </w:tc>
        <w:tc>
          <w:tcPr>
            <w:tcW w:w="1238" w:type="dxa"/>
            <w:vAlign w:val="center"/>
          </w:tcPr>
          <w:p w14:paraId="06858FD7" w14:textId="77777777" w:rsidR="00295BCD" w:rsidRPr="001927D6" w:rsidRDefault="00295BCD">
            <w:pPr>
              <w:spacing w:after="0" w:line="240" w:lineRule="auto"/>
              <w:jc w:val="center"/>
              <w:textAlignment w:val="baseline"/>
              <w:rPr>
                <w:szCs w:val="24"/>
                <w:lang w:eastAsia="et-EE"/>
              </w:rPr>
            </w:pPr>
            <w:r w:rsidRPr="001927D6">
              <w:rPr>
                <w:color w:val="000000"/>
                <w:szCs w:val="24"/>
              </w:rPr>
              <w:t>3 131,17</w:t>
            </w:r>
          </w:p>
        </w:tc>
      </w:tr>
      <w:tr w:rsidR="00295BCD" w:rsidRPr="001927D6" w14:paraId="561627CB" w14:textId="77777777" w:rsidTr="00295BCD">
        <w:trPr>
          <w:divId w:val="1316184749"/>
          <w:trHeight w:val="300"/>
        </w:trPr>
        <w:tc>
          <w:tcPr>
            <w:tcW w:w="4632" w:type="dxa"/>
            <w:vAlign w:val="bottom"/>
            <w:hideMark/>
          </w:tcPr>
          <w:p w14:paraId="11285BE6" w14:textId="77777777" w:rsidR="00295BCD" w:rsidRPr="001927D6" w:rsidRDefault="00295BCD">
            <w:pPr>
              <w:spacing w:after="0" w:line="240" w:lineRule="auto"/>
              <w:textAlignment w:val="baseline"/>
              <w:rPr>
                <w:szCs w:val="24"/>
                <w:lang w:eastAsia="et-EE"/>
              </w:rPr>
            </w:pPr>
            <w:r w:rsidRPr="001927D6">
              <w:rPr>
                <w:szCs w:val="24"/>
                <w:lang w:eastAsia="et-EE"/>
              </w:rPr>
              <w:t>Ninaverejooks </w:t>
            </w:r>
          </w:p>
        </w:tc>
        <w:tc>
          <w:tcPr>
            <w:tcW w:w="732" w:type="dxa"/>
            <w:vAlign w:val="center"/>
            <w:hideMark/>
          </w:tcPr>
          <w:p w14:paraId="545A316A" w14:textId="77777777" w:rsidR="00295BCD" w:rsidRPr="001927D6" w:rsidRDefault="00295BCD">
            <w:pPr>
              <w:spacing w:after="0" w:line="240" w:lineRule="auto"/>
              <w:jc w:val="center"/>
              <w:textAlignment w:val="baseline"/>
              <w:rPr>
                <w:szCs w:val="24"/>
                <w:lang w:eastAsia="et-EE"/>
              </w:rPr>
            </w:pPr>
            <w:r w:rsidRPr="001927D6">
              <w:rPr>
                <w:szCs w:val="24"/>
                <w:lang w:eastAsia="et-EE"/>
              </w:rPr>
              <w:t>066 </w:t>
            </w:r>
          </w:p>
        </w:tc>
        <w:tc>
          <w:tcPr>
            <w:tcW w:w="1243" w:type="dxa"/>
            <w:vAlign w:val="center"/>
          </w:tcPr>
          <w:p w14:paraId="23268574" w14:textId="77777777" w:rsidR="00295BCD" w:rsidRPr="001927D6" w:rsidRDefault="00295BCD">
            <w:pPr>
              <w:spacing w:after="0" w:line="240" w:lineRule="auto"/>
              <w:jc w:val="center"/>
              <w:textAlignment w:val="baseline"/>
              <w:rPr>
                <w:szCs w:val="24"/>
                <w:lang w:eastAsia="et-EE"/>
              </w:rPr>
            </w:pPr>
            <w:r w:rsidRPr="001927D6">
              <w:rPr>
                <w:color w:val="000000"/>
                <w:szCs w:val="24"/>
              </w:rPr>
              <w:t>1 067,52</w:t>
            </w:r>
          </w:p>
        </w:tc>
        <w:tc>
          <w:tcPr>
            <w:tcW w:w="1211" w:type="dxa"/>
            <w:vAlign w:val="center"/>
          </w:tcPr>
          <w:p w14:paraId="17DA73BB" w14:textId="77777777" w:rsidR="00295BCD" w:rsidRPr="001927D6" w:rsidRDefault="00295BCD">
            <w:pPr>
              <w:spacing w:after="0" w:line="240" w:lineRule="auto"/>
              <w:jc w:val="center"/>
              <w:textAlignment w:val="baseline"/>
              <w:rPr>
                <w:szCs w:val="24"/>
                <w:lang w:eastAsia="et-EE"/>
              </w:rPr>
            </w:pPr>
            <w:r w:rsidRPr="001927D6">
              <w:rPr>
                <w:color w:val="000000"/>
                <w:szCs w:val="24"/>
              </w:rPr>
              <w:t>276,91</w:t>
            </w:r>
          </w:p>
        </w:tc>
        <w:tc>
          <w:tcPr>
            <w:tcW w:w="1238" w:type="dxa"/>
            <w:vAlign w:val="center"/>
          </w:tcPr>
          <w:p w14:paraId="32969670" w14:textId="77777777" w:rsidR="00295BCD" w:rsidRPr="001927D6" w:rsidRDefault="00295BCD">
            <w:pPr>
              <w:spacing w:after="0" w:line="240" w:lineRule="auto"/>
              <w:jc w:val="center"/>
              <w:textAlignment w:val="baseline"/>
              <w:rPr>
                <w:szCs w:val="24"/>
                <w:lang w:eastAsia="et-EE"/>
              </w:rPr>
            </w:pPr>
            <w:r w:rsidRPr="001927D6">
              <w:rPr>
                <w:color w:val="000000"/>
                <w:szCs w:val="24"/>
              </w:rPr>
              <w:t>2 803,79</w:t>
            </w:r>
          </w:p>
        </w:tc>
      </w:tr>
      <w:tr w:rsidR="00295BCD" w:rsidRPr="001927D6" w14:paraId="19B01E4E" w14:textId="77777777" w:rsidTr="00295BCD">
        <w:trPr>
          <w:divId w:val="1316184749"/>
          <w:trHeight w:val="300"/>
        </w:trPr>
        <w:tc>
          <w:tcPr>
            <w:tcW w:w="4632" w:type="dxa"/>
            <w:vAlign w:val="bottom"/>
            <w:hideMark/>
          </w:tcPr>
          <w:p w14:paraId="2B01802C" w14:textId="77777777" w:rsidR="00295BCD" w:rsidRPr="001927D6" w:rsidRDefault="00295BCD">
            <w:pPr>
              <w:spacing w:after="0" w:line="240" w:lineRule="auto"/>
              <w:textAlignment w:val="baseline"/>
              <w:rPr>
                <w:szCs w:val="24"/>
                <w:lang w:eastAsia="et-EE"/>
              </w:rPr>
            </w:pPr>
            <w:r w:rsidRPr="001927D6">
              <w:rPr>
                <w:szCs w:val="24"/>
                <w:lang w:eastAsia="et-EE"/>
              </w:rPr>
              <w:t>Kõripealise põletik </w:t>
            </w:r>
          </w:p>
        </w:tc>
        <w:tc>
          <w:tcPr>
            <w:tcW w:w="732" w:type="dxa"/>
            <w:vAlign w:val="center"/>
            <w:hideMark/>
          </w:tcPr>
          <w:p w14:paraId="739EE143" w14:textId="77777777" w:rsidR="00295BCD" w:rsidRPr="001927D6" w:rsidRDefault="00295BCD">
            <w:pPr>
              <w:spacing w:after="0" w:line="240" w:lineRule="auto"/>
              <w:jc w:val="center"/>
              <w:textAlignment w:val="baseline"/>
              <w:rPr>
                <w:szCs w:val="24"/>
                <w:lang w:eastAsia="et-EE"/>
              </w:rPr>
            </w:pPr>
            <w:r w:rsidRPr="001927D6">
              <w:rPr>
                <w:szCs w:val="24"/>
                <w:lang w:eastAsia="et-EE"/>
              </w:rPr>
              <w:t>067 </w:t>
            </w:r>
          </w:p>
        </w:tc>
        <w:tc>
          <w:tcPr>
            <w:tcW w:w="1243" w:type="dxa"/>
            <w:vAlign w:val="center"/>
          </w:tcPr>
          <w:p w14:paraId="3134B9E8" w14:textId="77777777" w:rsidR="00295BCD" w:rsidRPr="001927D6" w:rsidRDefault="00295BCD">
            <w:pPr>
              <w:spacing w:after="0" w:line="240" w:lineRule="auto"/>
              <w:jc w:val="center"/>
              <w:textAlignment w:val="baseline"/>
              <w:rPr>
                <w:szCs w:val="24"/>
                <w:lang w:eastAsia="et-EE"/>
              </w:rPr>
            </w:pPr>
            <w:r w:rsidRPr="001927D6">
              <w:rPr>
                <w:color w:val="000000"/>
                <w:szCs w:val="24"/>
              </w:rPr>
              <w:t>1 557,17</w:t>
            </w:r>
          </w:p>
        </w:tc>
        <w:tc>
          <w:tcPr>
            <w:tcW w:w="1211" w:type="dxa"/>
            <w:vAlign w:val="center"/>
          </w:tcPr>
          <w:p w14:paraId="4ECCC8C8" w14:textId="77777777" w:rsidR="00295BCD" w:rsidRPr="001927D6" w:rsidRDefault="00295BCD">
            <w:pPr>
              <w:spacing w:after="0" w:line="240" w:lineRule="auto"/>
              <w:jc w:val="center"/>
              <w:textAlignment w:val="baseline"/>
              <w:rPr>
                <w:szCs w:val="24"/>
                <w:lang w:eastAsia="et-EE"/>
              </w:rPr>
            </w:pPr>
            <w:r w:rsidRPr="001927D6">
              <w:rPr>
                <w:color w:val="000000"/>
                <w:szCs w:val="24"/>
              </w:rPr>
              <w:t>658,19</w:t>
            </w:r>
          </w:p>
        </w:tc>
        <w:tc>
          <w:tcPr>
            <w:tcW w:w="1238" w:type="dxa"/>
            <w:vAlign w:val="center"/>
          </w:tcPr>
          <w:p w14:paraId="213F6FC8" w14:textId="77777777" w:rsidR="00295BCD" w:rsidRPr="001927D6" w:rsidRDefault="00295BCD">
            <w:pPr>
              <w:spacing w:after="0" w:line="240" w:lineRule="auto"/>
              <w:jc w:val="center"/>
              <w:textAlignment w:val="baseline"/>
              <w:rPr>
                <w:szCs w:val="24"/>
                <w:lang w:eastAsia="et-EE"/>
              </w:rPr>
            </w:pPr>
            <w:r w:rsidRPr="001927D6">
              <w:rPr>
                <w:color w:val="000000"/>
                <w:szCs w:val="24"/>
              </w:rPr>
              <w:t>2 728,48</w:t>
            </w:r>
          </w:p>
        </w:tc>
      </w:tr>
      <w:tr w:rsidR="00295BCD" w:rsidRPr="001927D6" w14:paraId="53B0D2D2" w14:textId="77777777" w:rsidTr="00295BCD">
        <w:trPr>
          <w:divId w:val="1316184749"/>
          <w:trHeight w:val="300"/>
        </w:trPr>
        <w:tc>
          <w:tcPr>
            <w:tcW w:w="4632" w:type="dxa"/>
            <w:vAlign w:val="bottom"/>
            <w:hideMark/>
          </w:tcPr>
          <w:p w14:paraId="1487573A" w14:textId="77777777" w:rsidR="00295BCD" w:rsidRPr="001927D6" w:rsidRDefault="00295BCD">
            <w:pPr>
              <w:spacing w:after="0" w:line="240" w:lineRule="auto"/>
              <w:textAlignment w:val="baseline"/>
              <w:rPr>
                <w:szCs w:val="24"/>
                <w:lang w:eastAsia="et-EE"/>
              </w:rPr>
            </w:pPr>
            <w:r w:rsidRPr="001927D6">
              <w:rPr>
                <w:szCs w:val="24"/>
                <w:lang w:eastAsia="et-EE"/>
              </w:rPr>
              <w:t>Keskkõrva põletik või ülemiste hingamisteede infektsioon, vanus &gt; 17, kht-ga </w:t>
            </w:r>
          </w:p>
        </w:tc>
        <w:tc>
          <w:tcPr>
            <w:tcW w:w="732" w:type="dxa"/>
            <w:vAlign w:val="center"/>
            <w:hideMark/>
          </w:tcPr>
          <w:p w14:paraId="272A0B16" w14:textId="77777777" w:rsidR="00295BCD" w:rsidRPr="001927D6" w:rsidRDefault="00295BCD">
            <w:pPr>
              <w:spacing w:after="0" w:line="240" w:lineRule="auto"/>
              <w:jc w:val="center"/>
              <w:textAlignment w:val="baseline"/>
              <w:rPr>
                <w:szCs w:val="24"/>
                <w:lang w:eastAsia="et-EE"/>
              </w:rPr>
            </w:pPr>
            <w:r w:rsidRPr="001927D6">
              <w:rPr>
                <w:szCs w:val="24"/>
                <w:lang w:eastAsia="et-EE"/>
              </w:rPr>
              <w:t>068 </w:t>
            </w:r>
          </w:p>
        </w:tc>
        <w:tc>
          <w:tcPr>
            <w:tcW w:w="1243" w:type="dxa"/>
            <w:vAlign w:val="center"/>
          </w:tcPr>
          <w:p w14:paraId="12F81B9E" w14:textId="77777777" w:rsidR="00295BCD" w:rsidRPr="001927D6" w:rsidRDefault="00295BCD">
            <w:pPr>
              <w:spacing w:after="0" w:line="240" w:lineRule="auto"/>
              <w:jc w:val="center"/>
              <w:textAlignment w:val="baseline"/>
              <w:rPr>
                <w:szCs w:val="24"/>
                <w:lang w:eastAsia="et-EE"/>
              </w:rPr>
            </w:pPr>
            <w:r w:rsidRPr="001927D6">
              <w:rPr>
                <w:color w:val="000000"/>
                <w:szCs w:val="24"/>
              </w:rPr>
              <w:t>2 531,07</w:t>
            </w:r>
          </w:p>
        </w:tc>
        <w:tc>
          <w:tcPr>
            <w:tcW w:w="1211" w:type="dxa"/>
            <w:vAlign w:val="center"/>
          </w:tcPr>
          <w:p w14:paraId="534840F5" w14:textId="77777777" w:rsidR="00295BCD" w:rsidRPr="001927D6" w:rsidRDefault="00295BCD">
            <w:pPr>
              <w:spacing w:after="0" w:line="240" w:lineRule="auto"/>
              <w:jc w:val="center"/>
              <w:textAlignment w:val="baseline"/>
              <w:rPr>
                <w:szCs w:val="24"/>
                <w:lang w:eastAsia="et-EE"/>
              </w:rPr>
            </w:pPr>
            <w:r w:rsidRPr="001927D6">
              <w:rPr>
                <w:color w:val="000000"/>
                <w:szCs w:val="24"/>
              </w:rPr>
              <w:t>924,07</w:t>
            </w:r>
          </w:p>
        </w:tc>
        <w:tc>
          <w:tcPr>
            <w:tcW w:w="1238" w:type="dxa"/>
            <w:vAlign w:val="center"/>
          </w:tcPr>
          <w:p w14:paraId="15F0D890" w14:textId="77777777" w:rsidR="00295BCD" w:rsidRPr="001927D6" w:rsidRDefault="00295BCD">
            <w:pPr>
              <w:spacing w:after="0" w:line="240" w:lineRule="auto"/>
              <w:jc w:val="center"/>
              <w:textAlignment w:val="baseline"/>
              <w:rPr>
                <w:szCs w:val="24"/>
                <w:lang w:eastAsia="et-EE"/>
              </w:rPr>
            </w:pPr>
            <w:r w:rsidRPr="001927D6">
              <w:rPr>
                <w:color w:val="000000"/>
                <w:szCs w:val="24"/>
              </w:rPr>
              <w:t>5 463,92</w:t>
            </w:r>
          </w:p>
        </w:tc>
      </w:tr>
      <w:tr w:rsidR="00295BCD" w:rsidRPr="001927D6" w14:paraId="0AFF5E24" w14:textId="77777777" w:rsidTr="00295BCD">
        <w:trPr>
          <w:divId w:val="1316184749"/>
          <w:trHeight w:val="300"/>
        </w:trPr>
        <w:tc>
          <w:tcPr>
            <w:tcW w:w="4632" w:type="dxa"/>
            <w:vAlign w:val="bottom"/>
            <w:hideMark/>
          </w:tcPr>
          <w:p w14:paraId="41949935" w14:textId="77777777" w:rsidR="00295BCD" w:rsidRPr="001927D6" w:rsidRDefault="00295BCD">
            <w:pPr>
              <w:spacing w:after="0" w:line="240" w:lineRule="auto"/>
              <w:textAlignment w:val="baseline"/>
              <w:rPr>
                <w:szCs w:val="24"/>
                <w:lang w:eastAsia="et-EE"/>
              </w:rPr>
            </w:pPr>
            <w:r w:rsidRPr="001927D6">
              <w:rPr>
                <w:szCs w:val="24"/>
                <w:lang w:eastAsia="et-EE"/>
              </w:rPr>
              <w:t>Keskkõrva põletik või ülemiste hingamisteede infektsioon, vanus &gt; 17, kht-ta </w:t>
            </w:r>
          </w:p>
        </w:tc>
        <w:tc>
          <w:tcPr>
            <w:tcW w:w="732" w:type="dxa"/>
            <w:vAlign w:val="center"/>
            <w:hideMark/>
          </w:tcPr>
          <w:p w14:paraId="7CC654B3" w14:textId="77777777" w:rsidR="00295BCD" w:rsidRPr="001927D6" w:rsidRDefault="00295BCD">
            <w:pPr>
              <w:spacing w:after="0" w:line="240" w:lineRule="auto"/>
              <w:jc w:val="center"/>
              <w:textAlignment w:val="baseline"/>
              <w:rPr>
                <w:szCs w:val="24"/>
                <w:lang w:eastAsia="et-EE"/>
              </w:rPr>
            </w:pPr>
            <w:r w:rsidRPr="001927D6">
              <w:rPr>
                <w:szCs w:val="24"/>
                <w:lang w:eastAsia="et-EE"/>
              </w:rPr>
              <w:t>069 </w:t>
            </w:r>
          </w:p>
        </w:tc>
        <w:tc>
          <w:tcPr>
            <w:tcW w:w="1243" w:type="dxa"/>
            <w:vAlign w:val="center"/>
          </w:tcPr>
          <w:p w14:paraId="5FAC5E0C" w14:textId="77777777" w:rsidR="00295BCD" w:rsidRPr="001927D6" w:rsidRDefault="00295BCD">
            <w:pPr>
              <w:spacing w:after="0" w:line="240" w:lineRule="auto"/>
              <w:jc w:val="center"/>
              <w:textAlignment w:val="baseline"/>
              <w:rPr>
                <w:szCs w:val="24"/>
                <w:lang w:eastAsia="et-EE"/>
              </w:rPr>
            </w:pPr>
            <w:r w:rsidRPr="001927D6">
              <w:rPr>
                <w:color w:val="000000"/>
                <w:szCs w:val="24"/>
              </w:rPr>
              <w:t>1 157,31</w:t>
            </w:r>
          </w:p>
        </w:tc>
        <w:tc>
          <w:tcPr>
            <w:tcW w:w="1211" w:type="dxa"/>
            <w:vAlign w:val="center"/>
          </w:tcPr>
          <w:p w14:paraId="72A0D87C" w14:textId="77777777" w:rsidR="00295BCD" w:rsidRPr="001927D6" w:rsidRDefault="00295BCD">
            <w:pPr>
              <w:spacing w:after="0" w:line="240" w:lineRule="auto"/>
              <w:jc w:val="center"/>
              <w:textAlignment w:val="baseline"/>
              <w:rPr>
                <w:szCs w:val="24"/>
                <w:lang w:eastAsia="et-EE"/>
              </w:rPr>
            </w:pPr>
            <w:r w:rsidRPr="001927D6">
              <w:rPr>
                <w:color w:val="000000"/>
                <w:szCs w:val="24"/>
              </w:rPr>
              <w:t>389,65</w:t>
            </w:r>
          </w:p>
        </w:tc>
        <w:tc>
          <w:tcPr>
            <w:tcW w:w="1238" w:type="dxa"/>
            <w:vAlign w:val="center"/>
          </w:tcPr>
          <w:p w14:paraId="1F9DFCFE" w14:textId="77777777" w:rsidR="00295BCD" w:rsidRPr="001927D6" w:rsidRDefault="00295BCD">
            <w:pPr>
              <w:spacing w:after="0" w:line="240" w:lineRule="auto"/>
              <w:jc w:val="center"/>
              <w:textAlignment w:val="baseline"/>
              <w:rPr>
                <w:szCs w:val="24"/>
                <w:lang w:eastAsia="et-EE"/>
              </w:rPr>
            </w:pPr>
            <w:r w:rsidRPr="001927D6">
              <w:rPr>
                <w:color w:val="000000"/>
                <w:szCs w:val="24"/>
              </w:rPr>
              <w:t>2 571,85</w:t>
            </w:r>
          </w:p>
        </w:tc>
      </w:tr>
      <w:tr w:rsidR="00295BCD" w:rsidRPr="001927D6" w14:paraId="1A9555FA" w14:textId="77777777" w:rsidTr="00295BCD">
        <w:trPr>
          <w:divId w:val="1316184749"/>
          <w:trHeight w:val="300"/>
        </w:trPr>
        <w:tc>
          <w:tcPr>
            <w:tcW w:w="4632" w:type="dxa"/>
            <w:vAlign w:val="bottom"/>
            <w:hideMark/>
          </w:tcPr>
          <w:p w14:paraId="01CB3198" w14:textId="77777777" w:rsidR="00295BCD" w:rsidRPr="001927D6" w:rsidRDefault="00295BCD">
            <w:pPr>
              <w:spacing w:after="0" w:line="240" w:lineRule="auto"/>
              <w:textAlignment w:val="baseline"/>
              <w:rPr>
                <w:szCs w:val="24"/>
                <w:lang w:eastAsia="et-EE"/>
              </w:rPr>
            </w:pPr>
            <w:r w:rsidRPr="001927D6">
              <w:rPr>
                <w:szCs w:val="24"/>
                <w:lang w:eastAsia="et-EE"/>
              </w:rPr>
              <w:t>Keskkõrva põletik või ülemiste hingamisteede infektsioon, vanus 0–17, kht-ga </w:t>
            </w:r>
          </w:p>
        </w:tc>
        <w:tc>
          <w:tcPr>
            <w:tcW w:w="732" w:type="dxa"/>
            <w:vAlign w:val="center"/>
            <w:hideMark/>
          </w:tcPr>
          <w:p w14:paraId="6B3A55A1" w14:textId="77777777" w:rsidR="00295BCD" w:rsidRPr="001927D6" w:rsidRDefault="00295BCD">
            <w:pPr>
              <w:spacing w:after="0" w:line="240" w:lineRule="auto"/>
              <w:jc w:val="center"/>
              <w:textAlignment w:val="baseline"/>
              <w:rPr>
                <w:szCs w:val="24"/>
                <w:lang w:eastAsia="et-EE"/>
              </w:rPr>
            </w:pPr>
            <w:r w:rsidRPr="001927D6">
              <w:rPr>
                <w:szCs w:val="24"/>
                <w:lang w:eastAsia="et-EE"/>
              </w:rPr>
              <w:t>070A </w:t>
            </w:r>
          </w:p>
        </w:tc>
        <w:tc>
          <w:tcPr>
            <w:tcW w:w="1243" w:type="dxa"/>
            <w:vAlign w:val="center"/>
          </w:tcPr>
          <w:p w14:paraId="37F3F149" w14:textId="77777777" w:rsidR="00295BCD" w:rsidRPr="001927D6" w:rsidRDefault="00295BCD">
            <w:pPr>
              <w:spacing w:after="0" w:line="240" w:lineRule="auto"/>
              <w:jc w:val="center"/>
              <w:textAlignment w:val="baseline"/>
              <w:rPr>
                <w:szCs w:val="24"/>
                <w:lang w:eastAsia="et-EE"/>
              </w:rPr>
            </w:pPr>
            <w:r w:rsidRPr="001927D6">
              <w:rPr>
                <w:color w:val="000000"/>
                <w:szCs w:val="24"/>
              </w:rPr>
              <w:t>1 191,48</w:t>
            </w:r>
          </w:p>
        </w:tc>
        <w:tc>
          <w:tcPr>
            <w:tcW w:w="1211" w:type="dxa"/>
            <w:vAlign w:val="center"/>
          </w:tcPr>
          <w:p w14:paraId="247C4860" w14:textId="77777777" w:rsidR="00295BCD" w:rsidRPr="001927D6" w:rsidRDefault="00295BCD">
            <w:pPr>
              <w:spacing w:after="0" w:line="240" w:lineRule="auto"/>
              <w:jc w:val="center"/>
              <w:textAlignment w:val="baseline"/>
              <w:rPr>
                <w:szCs w:val="24"/>
                <w:lang w:eastAsia="et-EE"/>
              </w:rPr>
            </w:pPr>
            <w:r w:rsidRPr="001927D6">
              <w:rPr>
                <w:color w:val="000000"/>
                <w:szCs w:val="24"/>
              </w:rPr>
              <w:t>422,61</w:t>
            </w:r>
          </w:p>
        </w:tc>
        <w:tc>
          <w:tcPr>
            <w:tcW w:w="1238" w:type="dxa"/>
            <w:vAlign w:val="center"/>
          </w:tcPr>
          <w:p w14:paraId="4EF14FF5" w14:textId="77777777" w:rsidR="00295BCD" w:rsidRPr="001927D6" w:rsidRDefault="00295BCD">
            <w:pPr>
              <w:spacing w:after="0" w:line="240" w:lineRule="auto"/>
              <w:jc w:val="center"/>
              <w:textAlignment w:val="baseline"/>
              <w:rPr>
                <w:szCs w:val="24"/>
                <w:lang w:eastAsia="et-EE"/>
              </w:rPr>
            </w:pPr>
            <w:r w:rsidRPr="001927D6">
              <w:rPr>
                <w:color w:val="000000"/>
                <w:szCs w:val="24"/>
              </w:rPr>
              <w:t>2 280,32</w:t>
            </w:r>
          </w:p>
        </w:tc>
      </w:tr>
      <w:tr w:rsidR="00295BCD" w:rsidRPr="001927D6" w14:paraId="35EE87D0" w14:textId="77777777" w:rsidTr="00295BCD">
        <w:trPr>
          <w:divId w:val="1316184749"/>
          <w:trHeight w:val="300"/>
        </w:trPr>
        <w:tc>
          <w:tcPr>
            <w:tcW w:w="4632" w:type="dxa"/>
            <w:vAlign w:val="bottom"/>
            <w:hideMark/>
          </w:tcPr>
          <w:p w14:paraId="6E1027D7" w14:textId="77777777" w:rsidR="00295BCD" w:rsidRPr="001927D6" w:rsidRDefault="00295BCD">
            <w:pPr>
              <w:spacing w:after="0" w:line="240" w:lineRule="auto"/>
              <w:textAlignment w:val="baseline"/>
              <w:rPr>
                <w:szCs w:val="24"/>
                <w:lang w:eastAsia="et-EE"/>
              </w:rPr>
            </w:pPr>
            <w:r w:rsidRPr="001927D6">
              <w:rPr>
                <w:szCs w:val="24"/>
                <w:lang w:eastAsia="et-EE"/>
              </w:rPr>
              <w:t>Keskkõrva põletik või ülemiste hingamisteede infektsioon, vanus 0–17, kht-ta </w:t>
            </w:r>
          </w:p>
        </w:tc>
        <w:tc>
          <w:tcPr>
            <w:tcW w:w="732" w:type="dxa"/>
            <w:vAlign w:val="center"/>
            <w:hideMark/>
          </w:tcPr>
          <w:p w14:paraId="7CD56301" w14:textId="77777777" w:rsidR="00295BCD" w:rsidRPr="001927D6" w:rsidRDefault="00295BCD">
            <w:pPr>
              <w:spacing w:after="0" w:line="240" w:lineRule="auto"/>
              <w:jc w:val="center"/>
              <w:textAlignment w:val="baseline"/>
              <w:rPr>
                <w:szCs w:val="24"/>
                <w:lang w:eastAsia="et-EE"/>
              </w:rPr>
            </w:pPr>
            <w:r w:rsidRPr="001927D6">
              <w:rPr>
                <w:szCs w:val="24"/>
                <w:lang w:eastAsia="et-EE"/>
              </w:rPr>
              <w:t>070B </w:t>
            </w:r>
          </w:p>
        </w:tc>
        <w:tc>
          <w:tcPr>
            <w:tcW w:w="1243" w:type="dxa"/>
            <w:vAlign w:val="center"/>
          </w:tcPr>
          <w:p w14:paraId="21441FF7" w14:textId="77777777" w:rsidR="00295BCD" w:rsidRPr="001927D6" w:rsidRDefault="00295BCD">
            <w:pPr>
              <w:spacing w:after="0" w:line="240" w:lineRule="auto"/>
              <w:jc w:val="center"/>
              <w:textAlignment w:val="baseline"/>
              <w:rPr>
                <w:szCs w:val="24"/>
                <w:lang w:eastAsia="et-EE"/>
              </w:rPr>
            </w:pPr>
            <w:r w:rsidRPr="001927D6">
              <w:rPr>
                <w:color w:val="000000"/>
                <w:szCs w:val="24"/>
              </w:rPr>
              <w:t>998,92</w:t>
            </w:r>
          </w:p>
        </w:tc>
        <w:tc>
          <w:tcPr>
            <w:tcW w:w="1211" w:type="dxa"/>
            <w:vAlign w:val="center"/>
          </w:tcPr>
          <w:p w14:paraId="4D8B1149" w14:textId="77777777" w:rsidR="00295BCD" w:rsidRPr="001927D6" w:rsidRDefault="00295BCD">
            <w:pPr>
              <w:spacing w:after="0" w:line="240" w:lineRule="auto"/>
              <w:jc w:val="center"/>
              <w:textAlignment w:val="baseline"/>
              <w:rPr>
                <w:szCs w:val="24"/>
                <w:lang w:eastAsia="et-EE"/>
              </w:rPr>
            </w:pPr>
            <w:r w:rsidRPr="001927D6">
              <w:rPr>
                <w:color w:val="000000"/>
                <w:szCs w:val="24"/>
              </w:rPr>
              <w:t>415,94</w:t>
            </w:r>
          </w:p>
        </w:tc>
        <w:tc>
          <w:tcPr>
            <w:tcW w:w="1238" w:type="dxa"/>
            <w:vAlign w:val="center"/>
          </w:tcPr>
          <w:p w14:paraId="6B22ED17" w14:textId="77777777" w:rsidR="00295BCD" w:rsidRPr="001927D6" w:rsidRDefault="00295BCD">
            <w:pPr>
              <w:spacing w:after="0" w:line="240" w:lineRule="auto"/>
              <w:jc w:val="center"/>
              <w:textAlignment w:val="baseline"/>
              <w:rPr>
                <w:szCs w:val="24"/>
                <w:lang w:eastAsia="et-EE"/>
              </w:rPr>
            </w:pPr>
            <w:r w:rsidRPr="001927D6">
              <w:rPr>
                <w:color w:val="000000"/>
                <w:szCs w:val="24"/>
              </w:rPr>
              <w:t>1 735,12</w:t>
            </w:r>
          </w:p>
        </w:tc>
      </w:tr>
      <w:tr w:rsidR="00295BCD" w:rsidRPr="001927D6" w14:paraId="75269477" w14:textId="77777777" w:rsidTr="00295BCD">
        <w:trPr>
          <w:divId w:val="1316184749"/>
          <w:trHeight w:val="300"/>
        </w:trPr>
        <w:tc>
          <w:tcPr>
            <w:tcW w:w="4632" w:type="dxa"/>
            <w:vAlign w:val="bottom"/>
            <w:hideMark/>
          </w:tcPr>
          <w:p w14:paraId="1ADD052A" w14:textId="77777777" w:rsidR="00295BCD" w:rsidRPr="001927D6" w:rsidRDefault="00295BCD">
            <w:pPr>
              <w:spacing w:after="0" w:line="240" w:lineRule="auto"/>
              <w:textAlignment w:val="baseline"/>
              <w:rPr>
                <w:szCs w:val="24"/>
                <w:lang w:eastAsia="et-EE"/>
              </w:rPr>
            </w:pPr>
            <w:r w:rsidRPr="001927D6">
              <w:rPr>
                <w:szCs w:val="24"/>
                <w:lang w:eastAsia="et-EE"/>
              </w:rPr>
              <w:t>Kõri ja hingetoru põletik </w:t>
            </w:r>
          </w:p>
        </w:tc>
        <w:tc>
          <w:tcPr>
            <w:tcW w:w="732" w:type="dxa"/>
            <w:vAlign w:val="center"/>
            <w:hideMark/>
          </w:tcPr>
          <w:p w14:paraId="2C1BE47D" w14:textId="77777777" w:rsidR="00295BCD" w:rsidRPr="001927D6" w:rsidRDefault="00295BCD">
            <w:pPr>
              <w:spacing w:after="0" w:line="240" w:lineRule="auto"/>
              <w:jc w:val="center"/>
              <w:textAlignment w:val="baseline"/>
              <w:rPr>
                <w:szCs w:val="24"/>
                <w:lang w:eastAsia="et-EE"/>
              </w:rPr>
            </w:pPr>
            <w:r w:rsidRPr="001927D6">
              <w:rPr>
                <w:szCs w:val="24"/>
                <w:lang w:eastAsia="et-EE"/>
              </w:rPr>
              <w:t>071 </w:t>
            </w:r>
          </w:p>
        </w:tc>
        <w:tc>
          <w:tcPr>
            <w:tcW w:w="1243" w:type="dxa"/>
            <w:vAlign w:val="center"/>
          </w:tcPr>
          <w:p w14:paraId="45196D25" w14:textId="77777777" w:rsidR="00295BCD" w:rsidRPr="001927D6" w:rsidRDefault="00295BCD">
            <w:pPr>
              <w:spacing w:after="0" w:line="240" w:lineRule="auto"/>
              <w:jc w:val="center"/>
              <w:textAlignment w:val="baseline"/>
              <w:rPr>
                <w:szCs w:val="24"/>
                <w:lang w:eastAsia="et-EE"/>
              </w:rPr>
            </w:pPr>
            <w:r w:rsidRPr="001927D6">
              <w:rPr>
                <w:color w:val="000000"/>
                <w:szCs w:val="24"/>
              </w:rPr>
              <w:t>720,86</w:t>
            </w:r>
          </w:p>
        </w:tc>
        <w:tc>
          <w:tcPr>
            <w:tcW w:w="1211" w:type="dxa"/>
            <w:vAlign w:val="center"/>
          </w:tcPr>
          <w:p w14:paraId="7B7D0732" w14:textId="77777777" w:rsidR="00295BCD" w:rsidRPr="001927D6" w:rsidRDefault="00295BCD">
            <w:pPr>
              <w:spacing w:after="0" w:line="240" w:lineRule="auto"/>
              <w:jc w:val="center"/>
              <w:textAlignment w:val="baseline"/>
              <w:rPr>
                <w:szCs w:val="24"/>
                <w:lang w:eastAsia="et-EE"/>
              </w:rPr>
            </w:pPr>
            <w:r w:rsidRPr="001927D6">
              <w:rPr>
                <w:color w:val="000000"/>
                <w:szCs w:val="24"/>
              </w:rPr>
              <w:t>330,09</w:t>
            </w:r>
          </w:p>
        </w:tc>
        <w:tc>
          <w:tcPr>
            <w:tcW w:w="1238" w:type="dxa"/>
            <w:vAlign w:val="center"/>
          </w:tcPr>
          <w:p w14:paraId="0689F271" w14:textId="77777777" w:rsidR="00295BCD" w:rsidRPr="001927D6" w:rsidRDefault="00295BCD">
            <w:pPr>
              <w:spacing w:after="0" w:line="240" w:lineRule="auto"/>
              <w:jc w:val="center"/>
              <w:textAlignment w:val="baseline"/>
              <w:rPr>
                <w:szCs w:val="24"/>
                <w:lang w:eastAsia="et-EE"/>
              </w:rPr>
            </w:pPr>
            <w:r w:rsidRPr="001927D6">
              <w:rPr>
                <w:color w:val="000000"/>
                <w:szCs w:val="24"/>
              </w:rPr>
              <w:t>1 402,56</w:t>
            </w:r>
          </w:p>
        </w:tc>
      </w:tr>
      <w:tr w:rsidR="00295BCD" w:rsidRPr="001927D6" w14:paraId="580BD596" w14:textId="77777777" w:rsidTr="00295BCD">
        <w:trPr>
          <w:divId w:val="1316184749"/>
          <w:trHeight w:val="300"/>
        </w:trPr>
        <w:tc>
          <w:tcPr>
            <w:tcW w:w="4632" w:type="dxa"/>
            <w:vAlign w:val="bottom"/>
            <w:hideMark/>
          </w:tcPr>
          <w:p w14:paraId="641A9B01" w14:textId="77777777" w:rsidR="00295BCD" w:rsidRPr="001927D6" w:rsidRDefault="00295BCD">
            <w:pPr>
              <w:spacing w:after="0" w:line="240" w:lineRule="auto"/>
              <w:textAlignment w:val="baseline"/>
              <w:rPr>
                <w:szCs w:val="24"/>
                <w:lang w:eastAsia="et-EE"/>
              </w:rPr>
            </w:pPr>
            <w:r w:rsidRPr="001927D6">
              <w:rPr>
                <w:szCs w:val="24"/>
                <w:lang w:eastAsia="et-EE"/>
              </w:rPr>
              <w:t>Nina traumad ja deformatsioonid </w:t>
            </w:r>
          </w:p>
        </w:tc>
        <w:tc>
          <w:tcPr>
            <w:tcW w:w="732" w:type="dxa"/>
            <w:vAlign w:val="center"/>
            <w:hideMark/>
          </w:tcPr>
          <w:p w14:paraId="6BB96647" w14:textId="77777777" w:rsidR="00295BCD" w:rsidRPr="001927D6" w:rsidRDefault="00295BCD">
            <w:pPr>
              <w:spacing w:after="0" w:line="240" w:lineRule="auto"/>
              <w:jc w:val="center"/>
              <w:textAlignment w:val="baseline"/>
              <w:rPr>
                <w:szCs w:val="24"/>
                <w:lang w:eastAsia="et-EE"/>
              </w:rPr>
            </w:pPr>
            <w:r w:rsidRPr="001927D6">
              <w:rPr>
                <w:szCs w:val="24"/>
                <w:lang w:eastAsia="et-EE"/>
              </w:rPr>
              <w:t>072 </w:t>
            </w:r>
          </w:p>
        </w:tc>
        <w:tc>
          <w:tcPr>
            <w:tcW w:w="1243" w:type="dxa"/>
            <w:vAlign w:val="center"/>
          </w:tcPr>
          <w:p w14:paraId="4295A7BB" w14:textId="77777777" w:rsidR="00295BCD" w:rsidRPr="001927D6" w:rsidRDefault="00295BCD">
            <w:pPr>
              <w:spacing w:after="0" w:line="240" w:lineRule="auto"/>
              <w:jc w:val="center"/>
              <w:textAlignment w:val="baseline"/>
              <w:rPr>
                <w:szCs w:val="24"/>
                <w:lang w:eastAsia="et-EE"/>
              </w:rPr>
            </w:pPr>
            <w:r w:rsidRPr="001927D6">
              <w:rPr>
                <w:color w:val="000000"/>
                <w:szCs w:val="24"/>
              </w:rPr>
              <w:t>769,06</w:t>
            </w:r>
          </w:p>
        </w:tc>
        <w:tc>
          <w:tcPr>
            <w:tcW w:w="1211" w:type="dxa"/>
            <w:vAlign w:val="center"/>
          </w:tcPr>
          <w:p w14:paraId="0250872E" w14:textId="77777777" w:rsidR="00295BCD" w:rsidRPr="001927D6" w:rsidRDefault="00295BCD">
            <w:pPr>
              <w:spacing w:after="0" w:line="240" w:lineRule="auto"/>
              <w:jc w:val="center"/>
              <w:textAlignment w:val="baseline"/>
              <w:rPr>
                <w:szCs w:val="24"/>
                <w:lang w:eastAsia="et-EE"/>
              </w:rPr>
            </w:pPr>
            <w:r w:rsidRPr="001927D6">
              <w:rPr>
                <w:color w:val="000000"/>
                <w:szCs w:val="24"/>
              </w:rPr>
              <w:t>201,88</w:t>
            </w:r>
          </w:p>
        </w:tc>
        <w:tc>
          <w:tcPr>
            <w:tcW w:w="1238" w:type="dxa"/>
            <w:vAlign w:val="center"/>
          </w:tcPr>
          <w:p w14:paraId="665EA5CF" w14:textId="77777777" w:rsidR="00295BCD" w:rsidRPr="001927D6" w:rsidRDefault="00295BCD">
            <w:pPr>
              <w:spacing w:after="0" w:line="240" w:lineRule="auto"/>
              <w:jc w:val="center"/>
              <w:textAlignment w:val="baseline"/>
              <w:rPr>
                <w:szCs w:val="24"/>
                <w:lang w:eastAsia="et-EE"/>
              </w:rPr>
            </w:pPr>
            <w:r w:rsidRPr="001927D6">
              <w:rPr>
                <w:color w:val="000000"/>
                <w:szCs w:val="24"/>
              </w:rPr>
              <w:t>1 744,49</w:t>
            </w:r>
          </w:p>
        </w:tc>
      </w:tr>
      <w:tr w:rsidR="00295BCD" w:rsidRPr="001927D6" w14:paraId="401F8AB1" w14:textId="77777777" w:rsidTr="00295BCD">
        <w:trPr>
          <w:divId w:val="1316184749"/>
          <w:trHeight w:val="300"/>
        </w:trPr>
        <w:tc>
          <w:tcPr>
            <w:tcW w:w="4632" w:type="dxa"/>
            <w:vAlign w:val="bottom"/>
            <w:hideMark/>
          </w:tcPr>
          <w:p w14:paraId="590DAEBC" w14:textId="77777777" w:rsidR="00295BCD" w:rsidRPr="001927D6" w:rsidRDefault="00295BCD">
            <w:pPr>
              <w:spacing w:after="0" w:line="240" w:lineRule="auto"/>
              <w:textAlignment w:val="baseline"/>
              <w:rPr>
                <w:szCs w:val="24"/>
                <w:lang w:eastAsia="et-EE"/>
              </w:rPr>
            </w:pPr>
            <w:r w:rsidRPr="001927D6">
              <w:rPr>
                <w:szCs w:val="24"/>
                <w:lang w:eastAsia="et-EE"/>
              </w:rPr>
              <w:t>Kõrva, nina, suu ja kurgu muud haigused, vanus &gt; 17 </w:t>
            </w:r>
          </w:p>
        </w:tc>
        <w:tc>
          <w:tcPr>
            <w:tcW w:w="732" w:type="dxa"/>
            <w:vAlign w:val="center"/>
            <w:hideMark/>
          </w:tcPr>
          <w:p w14:paraId="7CF55AEE" w14:textId="77777777" w:rsidR="00295BCD" w:rsidRPr="001927D6" w:rsidRDefault="00295BCD">
            <w:pPr>
              <w:spacing w:after="0" w:line="240" w:lineRule="auto"/>
              <w:jc w:val="center"/>
              <w:textAlignment w:val="baseline"/>
              <w:rPr>
                <w:szCs w:val="24"/>
                <w:lang w:eastAsia="et-EE"/>
              </w:rPr>
            </w:pPr>
            <w:r w:rsidRPr="001927D6">
              <w:rPr>
                <w:szCs w:val="24"/>
                <w:lang w:eastAsia="et-EE"/>
              </w:rPr>
              <w:t>073 </w:t>
            </w:r>
          </w:p>
        </w:tc>
        <w:tc>
          <w:tcPr>
            <w:tcW w:w="1243" w:type="dxa"/>
            <w:vAlign w:val="center"/>
          </w:tcPr>
          <w:p w14:paraId="6BAE473B" w14:textId="77777777" w:rsidR="00295BCD" w:rsidRPr="001927D6" w:rsidRDefault="00295BCD">
            <w:pPr>
              <w:spacing w:after="0" w:line="240" w:lineRule="auto"/>
              <w:jc w:val="center"/>
              <w:textAlignment w:val="baseline"/>
              <w:rPr>
                <w:szCs w:val="24"/>
                <w:lang w:eastAsia="et-EE"/>
              </w:rPr>
            </w:pPr>
            <w:r w:rsidRPr="001927D6">
              <w:rPr>
                <w:color w:val="000000"/>
                <w:szCs w:val="24"/>
              </w:rPr>
              <w:t>1 749,93</w:t>
            </w:r>
          </w:p>
        </w:tc>
        <w:tc>
          <w:tcPr>
            <w:tcW w:w="1211" w:type="dxa"/>
            <w:vAlign w:val="center"/>
          </w:tcPr>
          <w:p w14:paraId="17EF9C7F" w14:textId="77777777" w:rsidR="00295BCD" w:rsidRPr="001927D6" w:rsidRDefault="00295BCD">
            <w:pPr>
              <w:spacing w:after="0" w:line="240" w:lineRule="auto"/>
              <w:jc w:val="center"/>
              <w:textAlignment w:val="baseline"/>
              <w:rPr>
                <w:szCs w:val="24"/>
                <w:lang w:eastAsia="et-EE"/>
              </w:rPr>
            </w:pPr>
            <w:r w:rsidRPr="001927D6">
              <w:rPr>
                <w:color w:val="000000"/>
                <w:szCs w:val="24"/>
              </w:rPr>
              <w:t>430,90</w:t>
            </w:r>
          </w:p>
        </w:tc>
        <w:tc>
          <w:tcPr>
            <w:tcW w:w="1238" w:type="dxa"/>
            <w:vAlign w:val="center"/>
          </w:tcPr>
          <w:p w14:paraId="5E536391" w14:textId="77777777" w:rsidR="00295BCD" w:rsidRPr="001927D6" w:rsidRDefault="00295BCD">
            <w:pPr>
              <w:spacing w:after="0" w:line="240" w:lineRule="auto"/>
              <w:jc w:val="center"/>
              <w:textAlignment w:val="baseline"/>
              <w:rPr>
                <w:szCs w:val="24"/>
                <w:lang w:eastAsia="et-EE"/>
              </w:rPr>
            </w:pPr>
            <w:r w:rsidRPr="001927D6">
              <w:rPr>
                <w:color w:val="000000"/>
                <w:szCs w:val="24"/>
              </w:rPr>
              <w:t>4 558,25</w:t>
            </w:r>
          </w:p>
        </w:tc>
      </w:tr>
      <w:tr w:rsidR="00295BCD" w:rsidRPr="001927D6" w14:paraId="71F2A682" w14:textId="77777777" w:rsidTr="00295BCD">
        <w:trPr>
          <w:divId w:val="1316184749"/>
          <w:trHeight w:val="300"/>
        </w:trPr>
        <w:tc>
          <w:tcPr>
            <w:tcW w:w="4632" w:type="dxa"/>
            <w:vAlign w:val="bottom"/>
            <w:hideMark/>
          </w:tcPr>
          <w:p w14:paraId="15187A0D" w14:textId="77777777" w:rsidR="00295BCD" w:rsidRPr="001927D6" w:rsidRDefault="00295BCD">
            <w:pPr>
              <w:spacing w:after="0" w:line="240" w:lineRule="auto"/>
              <w:textAlignment w:val="baseline"/>
              <w:rPr>
                <w:szCs w:val="24"/>
                <w:lang w:eastAsia="et-EE"/>
              </w:rPr>
            </w:pPr>
            <w:r w:rsidRPr="001927D6">
              <w:rPr>
                <w:szCs w:val="24"/>
                <w:lang w:eastAsia="et-EE"/>
              </w:rPr>
              <w:t>Kõrva, nina, suu ja kurgu muud haigused, vanus 0–17 </w:t>
            </w:r>
          </w:p>
        </w:tc>
        <w:tc>
          <w:tcPr>
            <w:tcW w:w="732" w:type="dxa"/>
            <w:vAlign w:val="center"/>
            <w:hideMark/>
          </w:tcPr>
          <w:p w14:paraId="670EFEB7" w14:textId="77777777" w:rsidR="00295BCD" w:rsidRPr="001927D6" w:rsidRDefault="00295BCD">
            <w:pPr>
              <w:spacing w:after="0" w:line="240" w:lineRule="auto"/>
              <w:jc w:val="center"/>
              <w:textAlignment w:val="baseline"/>
              <w:rPr>
                <w:szCs w:val="24"/>
                <w:lang w:eastAsia="et-EE"/>
              </w:rPr>
            </w:pPr>
            <w:r w:rsidRPr="001927D6">
              <w:rPr>
                <w:szCs w:val="24"/>
                <w:lang w:eastAsia="et-EE"/>
              </w:rPr>
              <w:t>074 </w:t>
            </w:r>
          </w:p>
        </w:tc>
        <w:tc>
          <w:tcPr>
            <w:tcW w:w="1243" w:type="dxa"/>
            <w:vAlign w:val="center"/>
          </w:tcPr>
          <w:p w14:paraId="454EA2F3" w14:textId="77777777" w:rsidR="00295BCD" w:rsidRPr="001927D6" w:rsidRDefault="00295BCD">
            <w:pPr>
              <w:spacing w:after="0" w:line="240" w:lineRule="auto"/>
              <w:jc w:val="center"/>
              <w:textAlignment w:val="baseline"/>
              <w:rPr>
                <w:szCs w:val="24"/>
                <w:lang w:eastAsia="et-EE"/>
              </w:rPr>
            </w:pPr>
            <w:r w:rsidRPr="001927D6">
              <w:rPr>
                <w:color w:val="000000"/>
                <w:szCs w:val="24"/>
              </w:rPr>
              <w:t>812,48</w:t>
            </w:r>
          </w:p>
        </w:tc>
        <w:tc>
          <w:tcPr>
            <w:tcW w:w="1211" w:type="dxa"/>
            <w:vAlign w:val="center"/>
          </w:tcPr>
          <w:p w14:paraId="74CE1067" w14:textId="77777777" w:rsidR="00295BCD" w:rsidRPr="001927D6" w:rsidRDefault="00295BCD">
            <w:pPr>
              <w:spacing w:after="0" w:line="240" w:lineRule="auto"/>
              <w:jc w:val="center"/>
              <w:textAlignment w:val="baseline"/>
              <w:rPr>
                <w:szCs w:val="24"/>
                <w:lang w:eastAsia="et-EE"/>
              </w:rPr>
            </w:pPr>
            <w:r w:rsidRPr="001927D6">
              <w:rPr>
                <w:color w:val="000000"/>
                <w:szCs w:val="24"/>
              </w:rPr>
              <w:t>244,91</w:t>
            </w:r>
          </w:p>
        </w:tc>
        <w:tc>
          <w:tcPr>
            <w:tcW w:w="1238" w:type="dxa"/>
            <w:vAlign w:val="center"/>
          </w:tcPr>
          <w:p w14:paraId="20582E3D" w14:textId="77777777" w:rsidR="00295BCD" w:rsidRPr="001927D6" w:rsidRDefault="00295BCD">
            <w:pPr>
              <w:spacing w:after="0" w:line="240" w:lineRule="auto"/>
              <w:jc w:val="center"/>
              <w:textAlignment w:val="baseline"/>
              <w:rPr>
                <w:szCs w:val="24"/>
                <w:lang w:eastAsia="et-EE"/>
              </w:rPr>
            </w:pPr>
            <w:r w:rsidRPr="001927D6">
              <w:rPr>
                <w:color w:val="000000"/>
                <w:szCs w:val="24"/>
              </w:rPr>
              <w:t>2 595,46</w:t>
            </w:r>
          </w:p>
        </w:tc>
      </w:tr>
      <w:tr w:rsidR="00295BCD" w:rsidRPr="001927D6" w14:paraId="05712F30" w14:textId="77777777" w:rsidTr="00295BCD">
        <w:trPr>
          <w:divId w:val="1316184749"/>
          <w:trHeight w:val="300"/>
        </w:trPr>
        <w:tc>
          <w:tcPr>
            <w:tcW w:w="4632" w:type="dxa"/>
            <w:vAlign w:val="bottom"/>
            <w:hideMark/>
          </w:tcPr>
          <w:p w14:paraId="04EACCF4" w14:textId="77777777" w:rsidR="00295BCD" w:rsidRPr="001927D6" w:rsidRDefault="00295BCD">
            <w:pPr>
              <w:spacing w:after="0" w:line="240" w:lineRule="auto"/>
              <w:textAlignment w:val="baseline"/>
              <w:rPr>
                <w:szCs w:val="24"/>
                <w:lang w:eastAsia="et-EE"/>
              </w:rPr>
            </w:pPr>
            <w:r w:rsidRPr="001927D6">
              <w:rPr>
                <w:szCs w:val="24"/>
                <w:lang w:eastAsia="et-EE"/>
              </w:rPr>
              <w:t>Suured rindkereoperatsioonid </w:t>
            </w:r>
          </w:p>
        </w:tc>
        <w:tc>
          <w:tcPr>
            <w:tcW w:w="732" w:type="dxa"/>
            <w:vAlign w:val="center"/>
            <w:hideMark/>
          </w:tcPr>
          <w:p w14:paraId="3EC56CB4" w14:textId="77777777" w:rsidR="00295BCD" w:rsidRPr="001927D6" w:rsidRDefault="00295BCD">
            <w:pPr>
              <w:spacing w:after="0" w:line="240" w:lineRule="auto"/>
              <w:jc w:val="center"/>
              <w:textAlignment w:val="baseline"/>
              <w:rPr>
                <w:szCs w:val="24"/>
                <w:lang w:eastAsia="et-EE"/>
              </w:rPr>
            </w:pPr>
            <w:r w:rsidRPr="001927D6">
              <w:rPr>
                <w:szCs w:val="24"/>
                <w:lang w:eastAsia="et-EE"/>
              </w:rPr>
              <w:t>075 </w:t>
            </w:r>
          </w:p>
        </w:tc>
        <w:tc>
          <w:tcPr>
            <w:tcW w:w="1243" w:type="dxa"/>
            <w:vAlign w:val="center"/>
          </w:tcPr>
          <w:p w14:paraId="36E81AD8" w14:textId="77777777" w:rsidR="00295BCD" w:rsidRPr="001927D6" w:rsidRDefault="00295BCD">
            <w:pPr>
              <w:spacing w:after="0" w:line="240" w:lineRule="auto"/>
              <w:jc w:val="center"/>
              <w:textAlignment w:val="baseline"/>
              <w:rPr>
                <w:szCs w:val="24"/>
                <w:lang w:eastAsia="et-EE"/>
              </w:rPr>
            </w:pPr>
            <w:r w:rsidRPr="001927D6">
              <w:rPr>
                <w:color w:val="000000"/>
                <w:szCs w:val="24"/>
              </w:rPr>
              <w:t>7 017,51</w:t>
            </w:r>
          </w:p>
        </w:tc>
        <w:tc>
          <w:tcPr>
            <w:tcW w:w="1211" w:type="dxa"/>
            <w:vAlign w:val="center"/>
          </w:tcPr>
          <w:p w14:paraId="015AA810" w14:textId="77777777" w:rsidR="00295BCD" w:rsidRPr="001927D6" w:rsidRDefault="00295BCD">
            <w:pPr>
              <w:spacing w:after="0" w:line="240" w:lineRule="auto"/>
              <w:jc w:val="center"/>
              <w:textAlignment w:val="baseline"/>
              <w:rPr>
                <w:szCs w:val="24"/>
                <w:lang w:eastAsia="et-EE"/>
              </w:rPr>
            </w:pPr>
            <w:r w:rsidRPr="001927D6">
              <w:rPr>
                <w:color w:val="000000"/>
                <w:szCs w:val="24"/>
              </w:rPr>
              <w:t>1 805,84</w:t>
            </w:r>
          </w:p>
        </w:tc>
        <w:tc>
          <w:tcPr>
            <w:tcW w:w="1238" w:type="dxa"/>
            <w:vAlign w:val="center"/>
          </w:tcPr>
          <w:p w14:paraId="0DEE2E41" w14:textId="77777777" w:rsidR="00295BCD" w:rsidRPr="001927D6" w:rsidRDefault="00295BCD">
            <w:pPr>
              <w:spacing w:after="0" w:line="240" w:lineRule="auto"/>
              <w:jc w:val="center"/>
              <w:textAlignment w:val="baseline"/>
              <w:rPr>
                <w:szCs w:val="24"/>
                <w:lang w:eastAsia="et-EE"/>
              </w:rPr>
            </w:pPr>
            <w:r w:rsidRPr="001927D6">
              <w:rPr>
                <w:color w:val="000000"/>
                <w:szCs w:val="24"/>
              </w:rPr>
              <w:t>12 335,87</w:t>
            </w:r>
          </w:p>
        </w:tc>
      </w:tr>
      <w:tr w:rsidR="00295BCD" w:rsidRPr="001927D6" w14:paraId="5E4DE069" w14:textId="77777777" w:rsidTr="00295BCD">
        <w:trPr>
          <w:divId w:val="1316184749"/>
          <w:trHeight w:val="300"/>
        </w:trPr>
        <w:tc>
          <w:tcPr>
            <w:tcW w:w="4632" w:type="dxa"/>
            <w:vAlign w:val="bottom"/>
            <w:hideMark/>
          </w:tcPr>
          <w:p w14:paraId="622BEC8F" w14:textId="77777777" w:rsidR="00295BCD" w:rsidRPr="001927D6" w:rsidRDefault="00295BCD">
            <w:pPr>
              <w:spacing w:after="0" w:line="240" w:lineRule="auto"/>
              <w:textAlignment w:val="baseline"/>
              <w:rPr>
                <w:szCs w:val="24"/>
                <w:lang w:eastAsia="et-EE"/>
              </w:rPr>
            </w:pPr>
            <w:r w:rsidRPr="001927D6">
              <w:rPr>
                <w:szCs w:val="24"/>
                <w:lang w:eastAsia="et-EE"/>
              </w:rPr>
              <w:t>Suured rindkereoperatsioonid, lühike ravi </w:t>
            </w:r>
          </w:p>
        </w:tc>
        <w:tc>
          <w:tcPr>
            <w:tcW w:w="732" w:type="dxa"/>
            <w:vAlign w:val="center"/>
            <w:hideMark/>
          </w:tcPr>
          <w:p w14:paraId="4A1F2146" w14:textId="77777777" w:rsidR="00295BCD" w:rsidRPr="001927D6" w:rsidRDefault="00295BCD">
            <w:pPr>
              <w:spacing w:after="0" w:line="240" w:lineRule="auto"/>
              <w:jc w:val="center"/>
              <w:textAlignment w:val="baseline"/>
              <w:rPr>
                <w:szCs w:val="24"/>
                <w:lang w:eastAsia="et-EE"/>
              </w:rPr>
            </w:pPr>
            <w:r w:rsidRPr="001927D6">
              <w:rPr>
                <w:szCs w:val="24"/>
                <w:lang w:eastAsia="et-EE"/>
              </w:rPr>
              <w:t>075O </w:t>
            </w:r>
          </w:p>
        </w:tc>
        <w:tc>
          <w:tcPr>
            <w:tcW w:w="1243" w:type="dxa"/>
            <w:vAlign w:val="center"/>
          </w:tcPr>
          <w:p w14:paraId="274C4B34" w14:textId="77777777" w:rsidR="00295BCD" w:rsidRPr="001927D6" w:rsidRDefault="00295BCD">
            <w:pPr>
              <w:spacing w:after="0" w:line="240" w:lineRule="auto"/>
              <w:jc w:val="center"/>
              <w:textAlignment w:val="baseline"/>
              <w:rPr>
                <w:szCs w:val="24"/>
                <w:lang w:eastAsia="et-EE"/>
              </w:rPr>
            </w:pPr>
            <w:r w:rsidRPr="001927D6">
              <w:rPr>
                <w:color w:val="000000"/>
                <w:szCs w:val="24"/>
              </w:rPr>
              <w:t>1 913,95</w:t>
            </w:r>
          </w:p>
        </w:tc>
        <w:tc>
          <w:tcPr>
            <w:tcW w:w="1211" w:type="dxa"/>
            <w:vAlign w:val="center"/>
          </w:tcPr>
          <w:p w14:paraId="34EDDC63" w14:textId="77777777" w:rsidR="00295BCD" w:rsidRPr="001927D6" w:rsidRDefault="00295BCD">
            <w:pPr>
              <w:spacing w:after="0" w:line="240" w:lineRule="auto"/>
              <w:jc w:val="center"/>
              <w:textAlignment w:val="baseline"/>
              <w:rPr>
                <w:szCs w:val="24"/>
                <w:lang w:eastAsia="et-EE"/>
              </w:rPr>
            </w:pPr>
            <w:r w:rsidRPr="001927D6">
              <w:rPr>
                <w:color w:val="000000"/>
                <w:szCs w:val="24"/>
              </w:rPr>
              <w:t>1 913,80</w:t>
            </w:r>
          </w:p>
        </w:tc>
        <w:tc>
          <w:tcPr>
            <w:tcW w:w="1238" w:type="dxa"/>
            <w:vAlign w:val="center"/>
          </w:tcPr>
          <w:p w14:paraId="242C9B48" w14:textId="77777777" w:rsidR="00295BCD" w:rsidRPr="001927D6" w:rsidRDefault="00295BCD">
            <w:pPr>
              <w:spacing w:after="0" w:line="240" w:lineRule="auto"/>
              <w:jc w:val="center"/>
              <w:textAlignment w:val="baseline"/>
              <w:rPr>
                <w:szCs w:val="24"/>
                <w:lang w:eastAsia="et-EE"/>
              </w:rPr>
            </w:pPr>
            <w:r w:rsidRPr="001927D6">
              <w:rPr>
                <w:color w:val="000000"/>
                <w:szCs w:val="24"/>
              </w:rPr>
              <w:t>1 927,52</w:t>
            </w:r>
          </w:p>
        </w:tc>
      </w:tr>
      <w:tr w:rsidR="00295BCD" w:rsidRPr="001927D6" w14:paraId="708C1D0B" w14:textId="77777777" w:rsidTr="00295BCD">
        <w:trPr>
          <w:divId w:val="1316184749"/>
          <w:trHeight w:val="300"/>
        </w:trPr>
        <w:tc>
          <w:tcPr>
            <w:tcW w:w="4632" w:type="dxa"/>
            <w:vAlign w:val="bottom"/>
            <w:hideMark/>
          </w:tcPr>
          <w:p w14:paraId="6CA71261" w14:textId="77777777" w:rsidR="00295BCD" w:rsidRPr="001927D6" w:rsidRDefault="00295BCD">
            <w:pPr>
              <w:spacing w:after="0" w:line="240" w:lineRule="auto"/>
              <w:textAlignment w:val="baseline"/>
              <w:rPr>
                <w:szCs w:val="24"/>
                <w:lang w:eastAsia="et-EE"/>
              </w:rPr>
            </w:pPr>
            <w:r w:rsidRPr="001927D6">
              <w:rPr>
                <w:szCs w:val="24"/>
                <w:lang w:eastAsia="et-EE"/>
              </w:rPr>
              <w:t>Hingamiselundite muud operatsioonid, kht-ga </w:t>
            </w:r>
          </w:p>
        </w:tc>
        <w:tc>
          <w:tcPr>
            <w:tcW w:w="732" w:type="dxa"/>
            <w:vAlign w:val="center"/>
            <w:hideMark/>
          </w:tcPr>
          <w:p w14:paraId="60790534" w14:textId="77777777" w:rsidR="00295BCD" w:rsidRPr="001927D6" w:rsidRDefault="00295BCD">
            <w:pPr>
              <w:spacing w:after="0" w:line="240" w:lineRule="auto"/>
              <w:jc w:val="center"/>
              <w:textAlignment w:val="baseline"/>
              <w:rPr>
                <w:szCs w:val="24"/>
                <w:lang w:eastAsia="et-EE"/>
              </w:rPr>
            </w:pPr>
            <w:r w:rsidRPr="001927D6">
              <w:rPr>
                <w:szCs w:val="24"/>
                <w:lang w:eastAsia="et-EE"/>
              </w:rPr>
              <w:t>076 </w:t>
            </w:r>
          </w:p>
        </w:tc>
        <w:tc>
          <w:tcPr>
            <w:tcW w:w="1243" w:type="dxa"/>
            <w:vAlign w:val="center"/>
          </w:tcPr>
          <w:p w14:paraId="1DC9805F" w14:textId="77777777" w:rsidR="00295BCD" w:rsidRPr="001927D6" w:rsidRDefault="00295BCD">
            <w:pPr>
              <w:spacing w:after="0" w:line="240" w:lineRule="auto"/>
              <w:jc w:val="center"/>
              <w:textAlignment w:val="baseline"/>
              <w:rPr>
                <w:szCs w:val="24"/>
                <w:lang w:eastAsia="et-EE"/>
              </w:rPr>
            </w:pPr>
            <w:r w:rsidRPr="001927D6">
              <w:rPr>
                <w:color w:val="000000"/>
                <w:szCs w:val="24"/>
              </w:rPr>
              <w:t>5 552,83</w:t>
            </w:r>
          </w:p>
        </w:tc>
        <w:tc>
          <w:tcPr>
            <w:tcW w:w="1211" w:type="dxa"/>
            <w:vAlign w:val="center"/>
          </w:tcPr>
          <w:p w14:paraId="564E863D" w14:textId="77777777" w:rsidR="00295BCD" w:rsidRPr="001927D6" w:rsidRDefault="00295BCD">
            <w:pPr>
              <w:spacing w:after="0" w:line="240" w:lineRule="auto"/>
              <w:jc w:val="center"/>
              <w:textAlignment w:val="baseline"/>
              <w:rPr>
                <w:szCs w:val="24"/>
                <w:lang w:eastAsia="et-EE"/>
              </w:rPr>
            </w:pPr>
            <w:r w:rsidRPr="001927D6">
              <w:rPr>
                <w:color w:val="000000"/>
                <w:szCs w:val="24"/>
              </w:rPr>
              <w:t>1 724,14</w:t>
            </w:r>
          </w:p>
        </w:tc>
        <w:tc>
          <w:tcPr>
            <w:tcW w:w="1238" w:type="dxa"/>
            <w:vAlign w:val="center"/>
          </w:tcPr>
          <w:p w14:paraId="1D80C82D" w14:textId="77777777" w:rsidR="00295BCD" w:rsidRPr="001927D6" w:rsidRDefault="00295BCD">
            <w:pPr>
              <w:spacing w:after="0" w:line="240" w:lineRule="auto"/>
              <w:jc w:val="center"/>
              <w:textAlignment w:val="baseline"/>
              <w:rPr>
                <w:szCs w:val="24"/>
                <w:lang w:eastAsia="et-EE"/>
              </w:rPr>
            </w:pPr>
            <w:r w:rsidRPr="001927D6">
              <w:rPr>
                <w:color w:val="000000"/>
                <w:szCs w:val="24"/>
              </w:rPr>
              <w:t>15 173,75</w:t>
            </w:r>
          </w:p>
        </w:tc>
      </w:tr>
      <w:tr w:rsidR="00295BCD" w:rsidRPr="001927D6" w14:paraId="40391BDD" w14:textId="77777777" w:rsidTr="00295BCD">
        <w:trPr>
          <w:divId w:val="1316184749"/>
          <w:trHeight w:val="300"/>
        </w:trPr>
        <w:tc>
          <w:tcPr>
            <w:tcW w:w="4632" w:type="dxa"/>
            <w:vAlign w:val="bottom"/>
            <w:hideMark/>
          </w:tcPr>
          <w:p w14:paraId="4A431FC3" w14:textId="77777777" w:rsidR="00295BCD" w:rsidRPr="001927D6" w:rsidRDefault="00295BCD">
            <w:pPr>
              <w:spacing w:after="0" w:line="240" w:lineRule="auto"/>
              <w:textAlignment w:val="baseline"/>
              <w:rPr>
                <w:szCs w:val="24"/>
                <w:lang w:eastAsia="et-EE"/>
              </w:rPr>
            </w:pPr>
            <w:r w:rsidRPr="001927D6">
              <w:rPr>
                <w:szCs w:val="24"/>
                <w:lang w:eastAsia="et-EE"/>
              </w:rPr>
              <w:t>Hingamiselundite muud operatsioonid, kht-ta </w:t>
            </w:r>
          </w:p>
        </w:tc>
        <w:tc>
          <w:tcPr>
            <w:tcW w:w="732" w:type="dxa"/>
            <w:vAlign w:val="center"/>
            <w:hideMark/>
          </w:tcPr>
          <w:p w14:paraId="0C2663EB" w14:textId="77777777" w:rsidR="00295BCD" w:rsidRPr="001927D6" w:rsidRDefault="00295BCD">
            <w:pPr>
              <w:spacing w:after="0" w:line="240" w:lineRule="auto"/>
              <w:jc w:val="center"/>
              <w:textAlignment w:val="baseline"/>
              <w:rPr>
                <w:szCs w:val="24"/>
                <w:lang w:eastAsia="et-EE"/>
              </w:rPr>
            </w:pPr>
            <w:r w:rsidRPr="001927D6">
              <w:rPr>
                <w:szCs w:val="24"/>
                <w:lang w:eastAsia="et-EE"/>
              </w:rPr>
              <w:t>077 </w:t>
            </w:r>
          </w:p>
        </w:tc>
        <w:tc>
          <w:tcPr>
            <w:tcW w:w="1243" w:type="dxa"/>
            <w:vAlign w:val="center"/>
          </w:tcPr>
          <w:p w14:paraId="37D3ED50" w14:textId="77777777" w:rsidR="00295BCD" w:rsidRPr="001927D6" w:rsidRDefault="00295BCD">
            <w:pPr>
              <w:spacing w:after="0" w:line="240" w:lineRule="auto"/>
              <w:jc w:val="center"/>
              <w:textAlignment w:val="baseline"/>
              <w:rPr>
                <w:szCs w:val="24"/>
                <w:lang w:eastAsia="et-EE"/>
              </w:rPr>
            </w:pPr>
            <w:r w:rsidRPr="001927D6">
              <w:rPr>
                <w:color w:val="000000"/>
                <w:szCs w:val="24"/>
              </w:rPr>
              <w:t>3 971,31</w:t>
            </w:r>
          </w:p>
        </w:tc>
        <w:tc>
          <w:tcPr>
            <w:tcW w:w="1211" w:type="dxa"/>
            <w:vAlign w:val="center"/>
          </w:tcPr>
          <w:p w14:paraId="5843DFB7" w14:textId="77777777" w:rsidR="00295BCD" w:rsidRPr="001927D6" w:rsidRDefault="00295BCD">
            <w:pPr>
              <w:spacing w:after="0" w:line="240" w:lineRule="auto"/>
              <w:jc w:val="center"/>
              <w:textAlignment w:val="baseline"/>
              <w:rPr>
                <w:szCs w:val="24"/>
                <w:lang w:eastAsia="et-EE"/>
              </w:rPr>
            </w:pPr>
            <w:r w:rsidRPr="001927D6">
              <w:rPr>
                <w:color w:val="000000"/>
                <w:szCs w:val="24"/>
              </w:rPr>
              <w:t>1 028,05</w:t>
            </w:r>
          </w:p>
        </w:tc>
        <w:tc>
          <w:tcPr>
            <w:tcW w:w="1238" w:type="dxa"/>
            <w:vAlign w:val="center"/>
          </w:tcPr>
          <w:p w14:paraId="3EEA5E86" w14:textId="77777777" w:rsidR="00295BCD" w:rsidRPr="001927D6" w:rsidRDefault="00295BCD">
            <w:pPr>
              <w:spacing w:after="0" w:line="240" w:lineRule="auto"/>
              <w:jc w:val="center"/>
              <w:textAlignment w:val="baseline"/>
              <w:rPr>
                <w:szCs w:val="24"/>
                <w:lang w:eastAsia="et-EE"/>
              </w:rPr>
            </w:pPr>
            <w:r w:rsidRPr="001927D6">
              <w:rPr>
                <w:color w:val="000000"/>
                <w:szCs w:val="24"/>
              </w:rPr>
              <w:t>7 476,48</w:t>
            </w:r>
          </w:p>
        </w:tc>
      </w:tr>
      <w:tr w:rsidR="00295BCD" w:rsidRPr="001927D6" w14:paraId="151CA860" w14:textId="77777777" w:rsidTr="00295BCD">
        <w:trPr>
          <w:divId w:val="1316184749"/>
          <w:trHeight w:val="300"/>
        </w:trPr>
        <w:tc>
          <w:tcPr>
            <w:tcW w:w="4632" w:type="dxa"/>
            <w:vAlign w:val="bottom"/>
            <w:hideMark/>
          </w:tcPr>
          <w:p w14:paraId="69EEB750" w14:textId="77777777" w:rsidR="00295BCD" w:rsidRPr="001927D6" w:rsidRDefault="00295BCD">
            <w:pPr>
              <w:spacing w:after="0" w:line="240" w:lineRule="auto"/>
              <w:textAlignment w:val="baseline"/>
              <w:rPr>
                <w:szCs w:val="24"/>
                <w:lang w:eastAsia="et-EE"/>
              </w:rPr>
            </w:pPr>
            <w:r w:rsidRPr="001927D6">
              <w:rPr>
                <w:szCs w:val="24"/>
                <w:lang w:eastAsia="et-EE"/>
              </w:rPr>
              <w:t>Hingamiselundite muud operatsioonid, lühike ravi </w:t>
            </w:r>
          </w:p>
        </w:tc>
        <w:tc>
          <w:tcPr>
            <w:tcW w:w="732" w:type="dxa"/>
            <w:vAlign w:val="center"/>
            <w:hideMark/>
          </w:tcPr>
          <w:p w14:paraId="05FB6397" w14:textId="77777777" w:rsidR="00295BCD" w:rsidRPr="001927D6" w:rsidRDefault="00295BCD">
            <w:pPr>
              <w:spacing w:after="0" w:line="240" w:lineRule="auto"/>
              <w:jc w:val="center"/>
              <w:textAlignment w:val="baseline"/>
              <w:rPr>
                <w:szCs w:val="24"/>
                <w:lang w:eastAsia="et-EE"/>
              </w:rPr>
            </w:pPr>
            <w:r w:rsidRPr="001927D6">
              <w:rPr>
                <w:szCs w:val="24"/>
                <w:lang w:eastAsia="et-EE"/>
              </w:rPr>
              <w:t>077O </w:t>
            </w:r>
          </w:p>
        </w:tc>
        <w:tc>
          <w:tcPr>
            <w:tcW w:w="1243" w:type="dxa"/>
            <w:vAlign w:val="center"/>
          </w:tcPr>
          <w:p w14:paraId="18283E12" w14:textId="77777777" w:rsidR="00295BCD" w:rsidRPr="001927D6" w:rsidRDefault="00295BCD">
            <w:pPr>
              <w:spacing w:after="0" w:line="240" w:lineRule="auto"/>
              <w:jc w:val="center"/>
              <w:textAlignment w:val="baseline"/>
              <w:rPr>
                <w:szCs w:val="24"/>
                <w:lang w:eastAsia="et-EE"/>
              </w:rPr>
            </w:pPr>
            <w:r w:rsidRPr="001927D6">
              <w:rPr>
                <w:color w:val="000000"/>
                <w:szCs w:val="24"/>
              </w:rPr>
              <w:t>1 215,28</w:t>
            </w:r>
          </w:p>
        </w:tc>
        <w:tc>
          <w:tcPr>
            <w:tcW w:w="1211" w:type="dxa"/>
            <w:vAlign w:val="center"/>
          </w:tcPr>
          <w:p w14:paraId="5AE20471" w14:textId="77777777" w:rsidR="00295BCD" w:rsidRPr="001927D6" w:rsidRDefault="00295BCD">
            <w:pPr>
              <w:spacing w:after="0" w:line="240" w:lineRule="auto"/>
              <w:jc w:val="center"/>
              <w:textAlignment w:val="baseline"/>
              <w:rPr>
                <w:szCs w:val="24"/>
                <w:lang w:eastAsia="et-EE"/>
              </w:rPr>
            </w:pPr>
            <w:r w:rsidRPr="001927D6">
              <w:rPr>
                <w:color w:val="000000"/>
                <w:szCs w:val="24"/>
              </w:rPr>
              <w:t>745,52</w:t>
            </w:r>
          </w:p>
        </w:tc>
        <w:tc>
          <w:tcPr>
            <w:tcW w:w="1238" w:type="dxa"/>
            <w:vAlign w:val="center"/>
          </w:tcPr>
          <w:p w14:paraId="2BD13CF7" w14:textId="77777777" w:rsidR="00295BCD" w:rsidRPr="001927D6" w:rsidRDefault="00295BCD">
            <w:pPr>
              <w:spacing w:after="0" w:line="240" w:lineRule="auto"/>
              <w:jc w:val="center"/>
              <w:textAlignment w:val="baseline"/>
              <w:rPr>
                <w:szCs w:val="24"/>
                <w:lang w:eastAsia="et-EE"/>
              </w:rPr>
            </w:pPr>
            <w:r w:rsidRPr="001927D6">
              <w:rPr>
                <w:color w:val="000000"/>
                <w:szCs w:val="24"/>
              </w:rPr>
              <w:t>2 450,67</w:t>
            </w:r>
          </w:p>
        </w:tc>
      </w:tr>
      <w:tr w:rsidR="00295BCD" w:rsidRPr="001927D6" w14:paraId="44F43508" w14:textId="77777777" w:rsidTr="00295BCD">
        <w:trPr>
          <w:divId w:val="1316184749"/>
          <w:trHeight w:val="300"/>
        </w:trPr>
        <w:tc>
          <w:tcPr>
            <w:tcW w:w="4632" w:type="dxa"/>
            <w:vAlign w:val="bottom"/>
            <w:hideMark/>
          </w:tcPr>
          <w:p w14:paraId="077419C9" w14:textId="77777777" w:rsidR="00295BCD" w:rsidRPr="001927D6" w:rsidRDefault="00295BCD">
            <w:pPr>
              <w:spacing w:after="0" w:line="240" w:lineRule="auto"/>
              <w:textAlignment w:val="baseline"/>
              <w:rPr>
                <w:szCs w:val="24"/>
                <w:lang w:eastAsia="et-EE"/>
              </w:rPr>
            </w:pPr>
            <w:r w:rsidRPr="001927D6">
              <w:rPr>
                <w:szCs w:val="24"/>
                <w:lang w:eastAsia="et-EE"/>
              </w:rPr>
              <w:t>Kopsuarteri emboolia </w:t>
            </w:r>
          </w:p>
        </w:tc>
        <w:tc>
          <w:tcPr>
            <w:tcW w:w="732" w:type="dxa"/>
            <w:vAlign w:val="center"/>
            <w:hideMark/>
          </w:tcPr>
          <w:p w14:paraId="0C0DDC42" w14:textId="77777777" w:rsidR="00295BCD" w:rsidRPr="001927D6" w:rsidRDefault="00295BCD">
            <w:pPr>
              <w:spacing w:after="0" w:line="240" w:lineRule="auto"/>
              <w:jc w:val="center"/>
              <w:textAlignment w:val="baseline"/>
              <w:rPr>
                <w:szCs w:val="24"/>
                <w:lang w:eastAsia="et-EE"/>
              </w:rPr>
            </w:pPr>
            <w:r w:rsidRPr="001927D6">
              <w:rPr>
                <w:szCs w:val="24"/>
                <w:lang w:eastAsia="et-EE"/>
              </w:rPr>
              <w:t>078 </w:t>
            </w:r>
          </w:p>
        </w:tc>
        <w:tc>
          <w:tcPr>
            <w:tcW w:w="1243" w:type="dxa"/>
            <w:vAlign w:val="center"/>
          </w:tcPr>
          <w:p w14:paraId="0AC79836" w14:textId="77777777" w:rsidR="00295BCD" w:rsidRPr="001927D6" w:rsidRDefault="00295BCD">
            <w:pPr>
              <w:spacing w:after="0" w:line="240" w:lineRule="auto"/>
              <w:jc w:val="center"/>
              <w:textAlignment w:val="baseline"/>
              <w:rPr>
                <w:szCs w:val="24"/>
                <w:lang w:eastAsia="et-EE"/>
              </w:rPr>
            </w:pPr>
            <w:r w:rsidRPr="001927D6">
              <w:rPr>
                <w:color w:val="000000"/>
                <w:szCs w:val="24"/>
              </w:rPr>
              <w:t>3 483,36</w:t>
            </w:r>
          </w:p>
        </w:tc>
        <w:tc>
          <w:tcPr>
            <w:tcW w:w="1211" w:type="dxa"/>
            <w:vAlign w:val="center"/>
          </w:tcPr>
          <w:p w14:paraId="262706FE" w14:textId="77777777" w:rsidR="00295BCD" w:rsidRPr="001927D6" w:rsidRDefault="00295BCD">
            <w:pPr>
              <w:spacing w:after="0" w:line="240" w:lineRule="auto"/>
              <w:jc w:val="center"/>
              <w:textAlignment w:val="baseline"/>
              <w:rPr>
                <w:szCs w:val="24"/>
                <w:lang w:eastAsia="et-EE"/>
              </w:rPr>
            </w:pPr>
            <w:r w:rsidRPr="001927D6">
              <w:rPr>
                <w:color w:val="000000"/>
                <w:szCs w:val="24"/>
              </w:rPr>
              <w:t>1 372,91</w:t>
            </w:r>
          </w:p>
        </w:tc>
        <w:tc>
          <w:tcPr>
            <w:tcW w:w="1238" w:type="dxa"/>
            <w:vAlign w:val="center"/>
          </w:tcPr>
          <w:p w14:paraId="4243FAAA" w14:textId="77777777" w:rsidR="00295BCD" w:rsidRPr="001927D6" w:rsidRDefault="00295BCD">
            <w:pPr>
              <w:spacing w:after="0" w:line="240" w:lineRule="auto"/>
              <w:jc w:val="center"/>
              <w:textAlignment w:val="baseline"/>
              <w:rPr>
                <w:szCs w:val="24"/>
                <w:lang w:eastAsia="et-EE"/>
              </w:rPr>
            </w:pPr>
            <w:r w:rsidRPr="001927D6">
              <w:rPr>
                <w:color w:val="000000"/>
                <w:szCs w:val="24"/>
              </w:rPr>
              <w:t>7 546,17</w:t>
            </w:r>
          </w:p>
        </w:tc>
      </w:tr>
      <w:tr w:rsidR="00295BCD" w:rsidRPr="001927D6" w14:paraId="4771CC78" w14:textId="77777777" w:rsidTr="00295BCD">
        <w:trPr>
          <w:divId w:val="1316184749"/>
          <w:trHeight w:val="300"/>
        </w:trPr>
        <w:tc>
          <w:tcPr>
            <w:tcW w:w="4632" w:type="dxa"/>
            <w:vAlign w:val="bottom"/>
            <w:hideMark/>
          </w:tcPr>
          <w:p w14:paraId="67A3559C" w14:textId="77777777" w:rsidR="00295BCD" w:rsidRPr="001927D6" w:rsidRDefault="00295BCD">
            <w:pPr>
              <w:spacing w:after="0" w:line="240" w:lineRule="auto"/>
              <w:textAlignment w:val="baseline"/>
              <w:rPr>
                <w:szCs w:val="24"/>
                <w:lang w:eastAsia="et-EE"/>
              </w:rPr>
            </w:pPr>
            <w:r w:rsidRPr="001927D6">
              <w:rPr>
                <w:szCs w:val="24"/>
                <w:lang w:eastAsia="et-EE"/>
              </w:rPr>
              <w:t>Hingamisteede infektsioonid ja põletikud, vanus &gt; 17, kht-ga </w:t>
            </w:r>
          </w:p>
        </w:tc>
        <w:tc>
          <w:tcPr>
            <w:tcW w:w="732" w:type="dxa"/>
            <w:vAlign w:val="center"/>
            <w:hideMark/>
          </w:tcPr>
          <w:p w14:paraId="00183C7C" w14:textId="77777777" w:rsidR="00295BCD" w:rsidRPr="001927D6" w:rsidRDefault="00295BCD">
            <w:pPr>
              <w:spacing w:after="0" w:line="240" w:lineRule="auto"/>
              <w:jc w:val="center"/>
              <w:textAlignment w:val="baseline"/>
              <w:rPr>
                <w:szCs w:val="24"/>
                <w:lang w:eastAsia="et-EE"/>
              </w:rPr>
            </w:pPr>
            <w:r w:rsidRPr="001927D6">
              <w:rPr>
                <w:szCs w:val="24"/>
                <w:lang w:eastAsia="et-EE"/>
              </w:rPr>
              <w:t>079 </w:t>
            </w:r>
          </w:p>
        </w:tc>
        <w:tc>
          <w:tcPr>
            <w:tcW w:w="1243" w:type="dxa"/>
            <w:vAlign w:val="center"/>
          </w:tcPr>
          <w:p w14:paraId="3CD5095C" w14:textId="77777777" w:rsidR="00295BCD" w:rsidRPr="001927D6" w:rsidRDefault="00295BCD">
            <w:pPr>
              <w:spacing w:after="0" w:line="240" w:lineRule="auto"/>
              <w:jc w:val="center"/>
              <w:textAlignment w:val="baseline"/>
              <w:rPr>
                <w:szCs w:val="24"/>
                <w:lang w:eastAsia="et-EE"/>
              </w:rPr>
            </w:pPr>
            <w:r w:rsidRPr="001927D6">
              <w:rPr>
                <w:color w:val="000000"/>
                <w:szCs w:val="24"/>
              </w:rPr>
              <w:t>4 280,08</w:t>
            </w:r>
          </w:p>
        </w:tc>
        <w:tc>
          <w:tcPr>
            <w:tcW w:w="1211" w:type="dxa"/>
            <w:vAlign w:val="center"/>
          </w:tcPr>
          <w:p w14:paraId="53D4DD9F" w14:textId="77777777" w:rsidR="00295BCD" w:rsidRPr="001927D6" w:rsidRDefault="00295BCD">
            <w:pPr>
              <w:spacing w:after="0" w:line="240" w:lineRule="auto"/>
              <w:jc w:val="center"/>
              <w:textAlignment w:val="baseline"/>
              <w:rPr>
                <w:szCs w:val="24"/>
                <w:lang w:eastAsia="et-EE"/>
              </w:rPr>
            </w:pPr>
            <w:r w:rsidRPr="001927D6">
              <w:rPr>
                <w:color w:val="000000"/>
                <w:szCs w:val="24"/>
              </w:rPr>
              <w:t>1 375,49</w:t>
            </w:r>
          </w:p>
        </w:tc>
        <w:tc>
          <w:tcPr>
            <w:tcW w:w="1238" w:type="dxa"/>
            <w:vAlign w:val="center"/>
          </w:tcPr>
          <w:p w14:paraId="28470404" w14:textId="77777777" w:rsidR="00295BCD" w:rsidRPr="001927D6" w:rsidRDefault="00295BCD">
            <w:pPr>
              <w:spacing w:after="0" w:line="240" w:lineRule="auto"/>
              <w:jc w:val="center"/>
              <w:textAlignment w:val="baseline"/>
              <w:rPr>
                <w:szCs w:val="24"/>
                <w:lang w:eastAsia="et-EE"/>
              </w:rPr>
            </w:pPr>
            <w:r w:rsidRPr="001927D6">
              <w:rPr>
                <w:color w:val="000000"/>
                <w:szCs w:val="24"/>
              </w:rPr>
              <w:t>12 027,21</w:t>
            </w:r>
          </w:p>
        </w:tc>
      </w:tr>
      <w:tr w:rsidR="00295BCD" w:rsidRPr="001927D6" w14:paraId="041E277B" w14:textId="77777777" w:rsidTr="00295BCD">
        <w:trPr>
          <w:divId w:val="1316184749"/>
          <w:trHeight w:val="300"/>
        </w:trPr>
        <w:tc>
          <w:tcPr>
            <w:tcW w:w="4632" w:type="dxa"/>
            <w:vAlign w:val="bottom"/>
            <w:hideMark/>
          </w:tcPr>
          <w:p w14:paraId="73BDE837" w14:textId="77777777" w:rsidR="00295BCD" w:rsidRPr="001927D6" w:rsidRDefault="00295BCD">
            <w:pPr>
              <w:spacing w:after="0" w:line="240" w:lineRule="auto"/>
              <w:textAlignment w:val="baseline"/>
              <w:rPr>
                <w:szCs w:val="24"/>
                <w:lang w:eastAsia="et-EE"/>
              </w:rPr>
            </w:pPr>
            <w:r w:rsidRPr="001927D6">
              <w:rPr>
                <w:szCs w:val="24"/>
                <w:lang w:eastAsia="et-EE"/>
              </w:rPr>
              <w:t>Hingamisteede infektsioonid ja põletikud, vanus &gt; 17, kht-ta </w:t>
            </w:r>
          </w:p>
        </w:tc>
        <w:tc>
          <w:tcPr>
            <w:tcW w:w="732" w:type="dxa"/>
            <w:vAlign w:val="center"/>
            <w:hideMark/>
          </w:tcPr>
          <w:p w14:paraId="578270E7" w14:textId="77777777" w:rsidR="00295BCD" w:rsidRPr="001927D6" w:rsidRDefault="00295BCD">
            <w:pPr>
              <w:spacing w:after="0" w:line="240" w:lineRule="auto"/>
              <w:jc w:val="center"/>
              <w:textAlignment w:val="baseline"/>
              <w:rPr>
                <w:szCs w:val="24"/>
                <w:lang w:eastAsia="et-EE"/>
              </w:rPr>
            </w:pPr>
            <w:r w:rsidRPr="001927D6">
              <w:rPr>
                <w:szCs w:val="24"/>
                <w:lang w:eastAsia="et-EE"/>
              </w:rPr>
              <w:t>080 </w:t>
            </w:r>
          </w:p>
        </w:tc>
        <w:tc>
          <w:tcPr>
            <w:tcW w:w="1243" w:type="dxa"/>
            <w:vAlign w:val="center"/>
          </w:tcPr>
          <w:p w14:paraId="42322F8D" w14:textId="77777777" w:rsidR="00295BCD" w:rsidRPr="001927D6" w:rsidRDefault="00295BCD">
            <w:pPr>
              <w:spacing w:after="0" w:line="240" w:lineRule="auto"/>
              <w:jc w:val="center"/>
              <w:textAlignment w:val="baseline"/>
              <w:rPr>
                <w:szCs w:val="24"/>
                <w:lang w:eastAsia="et-EE"/>
              </w:rPr>
            </w:pPr>
            <w:r w:rsidRPr="001927D6">
              <w:rPr>
                <w:color w:val="000000"/>
                <w:szCs w:val="24"/>
              </w:rPr>
              <w:t>2 379,23</w:t>
            </w:r>
          </w:p>
        </w:tc>
        <w:tc>
          <w:tcPr>
            <w:tcW w:w="1211" w:type="dxa"/>
            <w:vAlign w:val="center"/>
          </w:tcPr>
          <w:p w14:paraId="1A5701B3" w14:textId="77777777" w:rsidR="00295BCD" w:rsidRPr="001927D6" w:rsidRDefault="00295BCD">
            <w:pPr>
              <w:spacing w:after="0" w:line="240" w:lineRule="auto"/>
              <w:jc w:val="center"/>
              <w:textAlignment w:val="baseline"/>
              <w:rPr>
                <w:szCs w:val="24"/>
                <w:lang w:eastAsia="et-EE"/>
              </w:rPr>
            </w:pPr>
            <w:r w:rsidRPr="001927D6">
              <w:rPr>
                <w:color w:val="000000"/>
                <w:szCs w:val="24"/>
              </w:rPr>
              <w:t>1 113,31</w:t>
            </w:r>
          </w:p>
        </w:tc>
        <w:tc>
          <w:tcPr>
            <w:tcW w:w="1238" w:type="dxa"/>
            <w:vAlign w:val="center"/>
          </w:tcPr>
          <w:p w14:paraId="16E902D3" w14:textId="77777777" w:rsidR="00295BCD" w:rsidRPr="001927D6" w:rsidRDefault="00295BCD">
            <w:pPr>
              <w:spacing w:after="0" w:line="240" w:lineRule="auto"/>
              <w:jc w:val="center"/>
              <w:textAlignment w:val="baseline"/>
              <w:rPr>
                <w:szCs w:val="24"/>
                <w:lang w:eastAsia="et-EE"/>
              </w:rPr>
            </w:pPr>
            <w:r w:rsidRPr="001927D6">
              <w:rPr>
                <w:color w:val="000000"/>
                <w:szCs w:val="24"/>
              </w:rPr>
              <w:t>4 573,44</w:t>
            </w:r>
          </w:p>
        </w:tc>
      </w:tr>
      <w:tr w:rsidR="00295BCD" w:rsidRPr="001927D6" w14:paraId="1257FFD9" w14:textId="77777777" w:rsidTr="00295BCD">
        <w:trPr>
          <w:divId w:val="1316184749"/>
          <w:trHeight w:val="300"/>
        </w:trPr>
        <w:tc>
          <w:tcPr>
            <w:tcW w:w="4632" w:type="dxa"/>
            <w:vAlign w:val="bottom"/>
            <w:hideMark/>
          </w:tcPr>
          <w:p w14:paraId="13DD5076" w14:textId="77777777" w:rsidR="00295BCD" w:rsidRPr="001927D6" w:rsidRDefault="00295BCD">
            <w:pPr>
              <w:spacing w:after="0" w:line="240" w:lineRule="auto"/>
              <w:textAlignment w:val="baseline"/>
              <w:rPr>
                <w:szCs w:val="24"/>
                <w:lang w:eastAsia="et-EE"/>
              </w:rPr>
            </w:pPr>
            <w:r w:rsidRPr="001927D6">
              <w:rPr>
                <w:szCs w:val="24"/>
                <w:lang w:eastAsia="et-EE"/>
              </w:rPr>
              <w:t>Hingamisteede infektsioonid ja põletikud, vanus 0–17 </w:t>
            </w:r>
          </w:p>
        </w:tc>
        <w:tc>
          <w:tcPr>
            <w:tcW w:w="732" w:type="dxa"/>
            <w:vAlign w:val="center"/>
            <w:hideMark/>
          </w:tcPr>
          <w:p w14:paraId="2C6469E1" w14:textId="77777777" w:rsidR="00295BCD" w:rsidRPr="001927D6" w:rsidRDefault="00295BCD">
            <w:pPr>
              <w:spacing w:after="0" w:line="240" w:lineRule="auto"/>
              <w:jc w:val="center"/>
              <w:textAlignment w:val="baseline"/>
              <w:rPr>
                <w:szCs w:val="24"/>
                <w:lang w:eastAsia="et-EE"/>
              </w:rPr>
            </w:pPr>
            <w:r w:rsidRPr="001927D6">
              <w:rPr>
                <w:szCs w:val="24"/>
                <w:lang w:eastAsia="et-EE"/>
              </w:rPr>
              <w:t>081 </w:t>
            </w:r>
          </w:p>
        </w:tc>
        <w:tc>
          <w:tcPr>
            <w:tcW w:w="1243" w:type="dxa"/>
            <w:vAlign w:val="center"/>
          </w:tcPr>
          <w:p w14:paraId="233E9A42" w14:textId="77777777" w:rsidR="00295BCD" w:rsidRPr="001927D6" w:rsidRDefault="00295BCD">
            <w:pPr>
              <w:spacing w:after="0" w:line="240" w:lineRule="auto"/>
              <w:jc w:val="center"/>
              <w:textAlignment w:val="baseline"/>
              <w:rPr>
                <w:szCs w:val="24"/>
                <w:lang w:eastAsia="et-EE"/>
              </w:rPr>
            </w:pPr>
            <w:r w:rsidRPr="001927D6">
              <w:rPr>
                <w:color w:val="000000"/>
                <w:szCs w:val="24"/>
              </w:rPr>
              <w:t>1 675,02</w:t>
            </w:r>
          </w:p>
        </w:tc>
        <w:tc>
          <w:tcPr>
            <w:tcW w:w="1211" w:type="dxa"/>
            <w:vAlign w:val="center"/>
          </w:tcPr>
          <w:p w14:paraId="33B08E53" w14:textId="77777777" w:rsidR="00295BCD" w:rsidRPr="001927D6" w:rsidRDefault="00295BCD">
            <w:pPr>
              <w:spacing w:after="0" w:line="240" w:lineRule="auto"/>
              <w:jc w:val="center"/>
              <w:textAlignment w:val="baseline"/>
              <w:rPr>
                <w:szCs w:val="24"/>
                <w:lang w:eastAsia="et-EE"/>
              </w:rPr>
            </w:pPr>
            <w:r w:rsidRPr="001927D6">
              <w:rPr>
                <w:color w:val="000000"/>
                <w:szCs w:val="24"/>
              </w:rPr>
              <w:t>904,31</w:t>
            </w:r>
          </w:p>
        </w:tc>
        <w:tc>
          <w:tcPr>
            <w:tcW w:w="1238" w:type="dxa"/>
            <w:vAlign w:val="center"/>
          </w:tcPr>
          <w:p w14:paraId="1750D069" w14:textId="77777777" w:rsidR="00295BCD" w:rsidRPr="001927D6" w:rsidRDefault="00295BCD">
            <w:pPr>
              <w:spacing w:after="0" w:line="240" w:lineRule="auto"/>
              <w:jc w:val="center"/>
              <w:textAlignment w:val="baseline"/>
              <w:rPr>
                <w:szCs w:val="24"/>
                <w:lang w:eastAsia="et-EE"/>
              </w:rPr>
            </w:pPr>
            <w:r w:rsidRPr="001927D6">
              <w:rPr>
                <w:color w:val="000000"/>
                <w:szCs w:val="24"/>
              </w:rPr>
              <w:t>3 584,21</w:t>
            </w:r>
          </w:p>
        </w:tc>
      </w:tr>
      <w:tr w:rsidR="00295BCD" w:rsidRPr="001927D6" w14:paraId="68F56F3C" w14:textId="77777777" w:rsidTr="00295BCD">
        <w:trPr>
          <w:divId w:val="1316184749"/>
          <w:trHeight w:val="300"/>
        </w:trPr>
        <w:tc>
          <w:tcPr>
            <w:tcW w:w="4632" w:type="dxa"/>
            <w:vAlign w:val="bottom"/>
            <w:hideMark/>
          </w:tcPr>
          <w:p w14:paraId="54FEE80B" w14:textId="77777777" w:rsidR="00295BCD" w:rsidRPr="001927D6" w:rsidRDefault="00295BCD">
            <w:pPr>
              <w:spacing w:after="0" w:line="240" w:lineRule="auto"/>
              <w:textAlignment w:val="baseline"/>
              <w:rPr>
                <w:szCs w:val="24"/>
                <w:lang w:eastAsia="et-EE"/>
              </w:rPr>
            </w:pPr>
            <w:r w:rsidRPr="001927D6">
              <w:rPr>
                <w:szCs w:val="24"/>
                <w:lang w:eastAsia="et-EE"/>
              </w:rPr>
              <w:t>Hingamiselundite kasvajad </w:t>
            </w:r>
          </w:p>
        </w:tc>
        <w:tc>
          <w:tcPr>
            <w:tcW w:w="732" w:type="dxa"/>
            <w:vAlign w:val="center"/>
            <w:hideMark/>
          </w:tcPr>
          <w:p w14:paraId="5218E163" w14:textId="77777777" w:rsidR="00295BCD" w:rsidRPr="001927D6" w:rsidRDefault="00295BCD">
            <w:pPr>
              <w:spacing w:after="0" w:line="240" w:lineRule="auto"/>
              <w:jc w:val="center"/>
              <w:textAlignment w:val="baseline"/>
              <w:rPr>
                <w:szCs w:val="24"/>
                <w:lang w:eastAsia="et-EE"/>
              </w:rPr>
            </w:pPr>
            <w:r w:rsidRPr="001927D6">
              <w:rPr>
                <w:szCs w:val="24"/>
                <w:lang w:eastAsia="et-EE"/>
              </w:rPr>
              <w:t>082 </w:t>
            </w:r>
          </w:p>
        </w:tc>
        <w:tc>
          <w:tcPr>
            <w:tcW w:w="1243" w:type="dxa"/>
            <w:vAlign w:val="center"/>
          </w:tcPr>
          <w:p w14:paraId="1F8B6251" w14:textId="77777777" w:rsidR="00295BCD" w:rsidRPr="001927D6" w:rsidRDefault="00295BCD">
            <w:pPr>
              <w:spacing w:after="0" w:line="240" w:lineRule="auto"/>
              <w:jc w:val="center"/>
              <w:textAlignment w:val="baseline"/>
              <w:rPr>
                <w:szCs w:val="24"/>
                <w:lang w:eastAsia="et-EE"/>
              </w:rPr>
            </w:pPr>
            <w:r w:rsidRPr="001927D6">
              <w:rPr>
                <w:color w:val="000000"/>
                <w:szCs w:val="24"/>
              </w:rPr>
              <w:t>2 574,56</w:t>
            </w:r>
          </w:p>
        </w:tc>
        <w:tc>
          <w:tcPr>
            <w:tcW w:w="1211" w:type="dxa"/>
            <w:vAlign w:val="center"/>
          </w:tcPr>
          <w:p w14:paraId="41477E9D" w14:textId="77777777" w:rsidR="00295BCD" w:rsidRPr="001927D6" w:rsidRDefault="00295BCD">
            <w:pPr>
              <w:spacing w:after="0" w:line="240" w:lineRule="auto"/>
              <w:jc w:val="center"/>
              <w:textAlignment w:val="baseline"/>
              <w:rPr>
                <w:szCs w:val="24"/>
                <w:lang w:eastAsia="et-EE"/>
              </w:rPr>
            </w:pPr>
            <w:r w:rsidRPr="001927D6">
              <w:rPr>
                <w:color w:val="000000"/>
                <w:szCs w:val="24"/>
              </w:rPr>
              <w:t>508,64</w:t>
            </w:r>
          </w:p>
        </w:tc>
        <w:tc>
          <w:tcPr>
            <w:tcW w:w="1238" w:type="dxa"/>
            <w:vAlign w:val="center"/>
          </w:tcPr>
          <w:p w14:paraId="6ED127EC" w14:textId="77777777" w:rsidR="00295BCD" w:rsidRPr="001927D6" w:rsidRDefault="00295BCD">
            <w:pPr>
              <w:spacing w:after="0" w:line="240" w:lineRule="auto"/>
              <w:jc w:val="center"/>
              <w:textAlignment w:val="baseline"/>
              <w:rPr>
                <w:szCs w:val="24"/>
                <w:lang w:eastAsia="et-EE"/>
              </w:rPr>
            </w:pPr>
            <w:r w:rsidRPr="001927D6">
              <w:rPr>
                <w:color w:val="000000"/>
                <w:szCs w:val="24"/>
              </w:rPr>
              <w:t>6 085,81</w:t>
            </w:r>
          </w:p>
        </w:tc>
      </w:tr>
      <w:tr w:rsidR="00295BCD" w:rsidRPr="001927D6" w14:paraId="66F2F2B4" w14:textId="77777777" w:rsidTr="00295BCD">
        <w:trPr>
          <w:divId w:val="1316184749"/>
          <w:trHeight w:val="300"/>
        </w:trPr>
        <w:tc>
          <w:tcPr>
            <w:tcW w:w="4632" w:type="dxa"/>
            <w:vAlign w:val="bottom"/>
            <w:hideMark/>
          </w:tcPr>
          <w:p w14:paraId="2AB93D38" w14:textId="77777777" w:rsidR="00295BCD" w:rsidRPr="001927D6" w:rsidRDefault="00295BCD">
            <w:pPr>
              <w:spacing w:after="0" w:line="240" w:lineRule="auto"/>
              <w:textAlignment w:val="baseline"/>
              <w:rPr>
                <w:szCs w:val="24"/>
                <w:lang w:eastAsia="et-EE"/>
              </w:rPr>
            </w:pPr>
            <w:r w:rsidRPr="001927D6">
              <w:rPr>
                <w:szCs w:val="24"/>
                <w:lang w:eastAsia="et-EE"/>
              </w:rPr>
              <w:t>Suured rindkeretraumad, kht-ga </w:t>
            </w:r>
          </w:p>
        </w:tc>
        <w:tc>
          <w:tcPr>
            <w:tcW w:w="732" w:type="dxa"/>
            <w:vAlign w:val="center"/>
            <w:hideMark/>
          </w:tcPr>
          <w:p w14:paraId="1F6E60D1" w14:textId="77777777" w:rsidR="00295BCD" w:rsidRPr="001927D6" w:rsidRDefault="00295BCD">
            <w:pPr>
              <w:spacing w:after="0" w:line="240" w:lineRule="auto"/>
              <w:jc w:val="center"/>
              <w:textAlignment w:val="baseline"/>
              <w:rPr>
                <w:szCs w:val="24"/>
                <w:lang w:eastAsia="et-EE"/>
              </w:rPr>
            </w:pPr>
            <w:r w:rsidRPr="001927D6">
              <w:rPr>
                <w:szCs w:val="24"/>
                <w:lang w:eastAsia="et-EE"/>
              </w:rPr>
              <w:t>083 </w:t>
            </w:r>
          </w:p>
        </w:tc>
        <w:tc>
          <w:tcPr>
            <w:tcW w:w="1243" w:type="dxa"/>
            <w:vAlign w:val="center"/>
          </w:tcPr>
          <w:p w14:paraId="6884F2BD" w14:textId="77777777" w:rsidR="00295BCD" w:rsidRPr="001927D6" w:rsidRDefault="00295BCD">
            <w:pPr>
              <w:spacing w:after="0" w:line="240" w:lineRule="auto"/>
              <w:jc w:val="center"/>
              <w:textAlignment w:val="baseline"/>
              <w:rPr>
                <w:szCs w:val="24"/>
                <w:lang w:eastAsia="et-EE"/>
              </w:rPr>
            </w:pPr>
            <w:r w:rsidRPr="001927D6">
              <w:rPr>
                <w:color w:val="000000"/>
                <w:szCs w:val="24"/>
              </w:rPr>
              <w:t>2 089,35</w:t>
            </w:r>
          </w:p>
        </w:tc>
        <w:tc>
          <w:tcPr>
            <w:tcW w:w="1211" w:type="dxa"/>
            <w:vAlign w:val="center"/>
          </w:tcPr>
          <w:p w14:paraId="4F611B12" w14:textId="77777777" w:rsidR="00295BCD" w:rsidRPr="001927D6" w:rsidRDefault="00295BCD">
            <w:pPr>
              <w:spacing w:after="0" w:line="240" w:lineRule="auto"/>
              <w:jc w:val="center"/>
              <w:textAlignment w:val="baseline"/>
              <w:rPr>
                <w:szCs w:val="24"/>
                <w:lang w:eastAsia="et-EE"/>
              </w:rPr>
            </w:pPr>
            <w:r w:rsidRPr="001927D6">
              <w:rPr>
                <w:color w:val="000000"/>
                <w:szCs w:val="24"/>
              </w:rPr>
              <w:t>734,65</w:t>
            </w:r>
          </w:p>
        </w:tc>
        <w:tc>
          <w:tcPr>
            <w:tcW w:w="1238" w:type="dxa"/>
            <w:vAlign w:val="center"/>
          </w:tcPr>
          <w:p w14:paraId="5B585648" w14:textId="77777777" w:rsidR="00295BCD" w:rsidRPr="001927D6" w:rsidRDefault="00295BCD">
            <w:pPr>
              <w:spacing w:after="0" w:line="240" w:lineRule="auto"/>
              <w:jc w:val="center"/>
              <w:textAlignment w:val="baseline"/>
              <w:rPr>
                <w:szCs w:val="24"/>
                <w:lang w:eastAsia="et-EE"/>
              </w:rPr>
            </w:pPr>
            <w:r w:rsidRPr="001927D6">
              <w:rPr>
                <w:color w:val="000000"/>
                <w:szCs w:val="24"/>
              </w:rPr>
              <w:t>6 516,67</w:t>
            </w:r>
          </w:p>
        </w:tc>
      </w:tr>
      <w:tr w:rsidR="00295BCD" w:rsidRPr="001927D6" w14:paraId="65B8AC97" w14:textId="77777777" w:rsidTr="00295BCD">
        <w:trPr>
          <w:divId w:val="1316184749"/>
          <w:trHeight w:val="300"/>
        </w:trPr>
        <w:tc>
          <w:tcPr>
            <w:tcW w:w="4632" w:type="dxa"/>
            <w:vAlign w:val="bottom"/>
            <w:hideMark/>
          </w:tcPr>
          <w:p w14:paraId="1155C879" w14:textId="77777777" w:rsidR="00295BCD" w:rsidRPr="001927D6" w:rsidRDefault="00295BCD">
            <w:pPr>
              <w:spacing w:after="0" w:line="240" w:lineRule="auto"/>
              <w:textAlignment w:val="baseline"/>
              <w:rPr>
                <w:szCs w:val="24"/>
                <w:lang w:eastAsia="et-EE"/>
              </w:rPr>
            </w:pPr>
            <w:r w:rsidRPr="001927D6">
              <w:rPr>
                <w:szCs w:val="24"/>
                <w:lang w:eastAsia="et-EE"/>
              </w:rPr>
              <w:t>Suured rindkeretraumad, kht-ta </w:t>
            </w:r>
          </w:p>
        </w:tc>
        <w:tc>
          <w:tcPr>
            <w:tcW w:w="732" w:type="dxa"/>
            <w:vAlign w:val="center"/>
            <w:hideMark/>
          </w:tcPr>
          <w:p w14:paraId="22F87EB5" w14:textId="77777777" w:rsidR="00295BCD" w:rsidRPr="001927D6" w:rsidRDefault="00295BCD">
            <w:pPr>
              <w:spacing w:after="0" w:line="240" w:lineRule="auto"/>
              <w:jc w:val="center"/>
              <w:textAlignment w:val="baseline"/>
              <w:rPr>
                <w:szCs w:val="24"/>
                <w:lang w:eastAsia="et-EE"/>
              </w:rPr>
            </w:pPr>
            <w:r w:rsidRPr="001927D6">
              <w:rPr>
                <w:szCs w:val="24"/>
                <w:lang w:eastAsia="et-EE"/>
              </w:rPr>
              <w:t>084 </w:t>
            </w:r>
          </w:p>
        </w:tc>
        <w:tc>
          <w:tcPr>
            <w:tcW w:w="1243" w:type="dxa"/>
            <w:vAlign w:val="center"/>
          </w:tcPr>
          <w:p w14:paraId="3221BACC" w14:textId="77777777" w:rsidR="00295BCD" w:rsidRPr="001927D6" w:rsidRDefault="00295BCD">
            <w:pPr>
              <w:spacing w:after="0" w:line="240" w:lineRule="auto"/>
              <w:jc w:val="center"/>
              <w:textAlignment w:val="baseline"/>
              <w:rPr>
                <w:szCs w:val="24"/>
                <w:lang w:eastAsia="et-EE"/>
              </w:rPr>
            </w:pPr>
            <w:r w:rsidRPr="001927D6">
              <w:rPr>
                <w:color w:val="000000"/>
                <w:szCs w:val="24"/>
              </w:rPr>
              <w:t>1 249,21</w:t>
            </w:r>
          </w:p>
        </w:tc>
        <w:tc>
          <w:tcPr>
            <w:tcW w:w="1211" w:type="dxa"/>
            <w:vAlign w:val="center"/>
          </w:tcPr>
          <w:p w14:paraId="5308042B" w14:textId="77777777" w:rsidR="00295BCD" w:rsidRPr="001927D6" w:rsidRDefault="00295BCD">
            <w:pPr>
              <w:spacing w:after="0" w:line="240" w:lineRule="auto"/>
              <w:jc w:val="center"/>
              <w:textAlignment w:val="baseline"/>
              <w:rPr>
                <w:szCs w:val="24"/>
                <w:lang w:eastAsia="et-EE"/>
              </w:rPr>
            </w:pPr>
            <w:r w:rsidRPr="001927D6">
              <w:rPr>
                <w:color w:val="000000"/>
                <w:szCs w:val="24"/>
              </w:rPr>
              <w:t>462,82</w:t>
            </w:r>
          </w:p>
        </w:tc>
        <w:tc>
          <w:tcPr>
            <w:tcW w:w="1238" w:type="dxa"/>
            <w:vAlign w:val="center"/>
          </w:tcPr>
          <w:p w14:paraId="7594BA36" w14:textId="77777777" w:rsidR="00295BCD" w:rsidRPr="001927D6" w:rsidRDefault="00295BCD">
            <w:pPr>
              <w:spacing w:after="0" w:line="240" w:lineRule="auto"/>
              <w:jc w:val="center"/>
              <w:textAlignment w:val="baseline"/>
              <w:rPr>
                <w:szCs w:val="24"/>
                <w:lang w:eastAsia="et-EE"/>
              </w:rPr>
            </w:pPr>
            <w:r w:rsidRPr="001927D6">
              <w:rPr>
                <w:color w:val="000000"/>
                <w:szCs w:val="24"/>
              </w:rPr>
              <w:t>1 837,99</w:t>
            </w:r>
          </w:p>
        </w:tc>
      </w:tr>
      <w:tr w:rsidR="00295BCD" w:rsidRPr="001927D6" w14:paraId="0788A3E1" w14:textId="77777777" w:rsidTr="00295BCD">
        <w:trPr>
          <w:divId w:val="1316184749"/>
          <w:trHeight w:val="300"/>
        </w:trPr>
        <w:tc>
          <w:tcPr>
            <w:tcW w:w="4632" w:type="dxa"/>
            <w:vAlign w:val="bottom"/>
            <w:hideMark/>
          </w:tcPr>
          <w:p w14:paraId="78C20A2C" w14:textId="77777777" w:rsidR="00295BCD" w:rsidRPr="001927D6" w:rsidRDefault="00295BCD">
            <w:pPr>
              <w:spacing w:after="0" w:line="240" w:lineRule="auto"/>
              <w:textAlignment w:val="baseline"/>
              <w:rPr>
                <w:szCs w:val="24"/>
                <w:lang w:eastAsia="et-EE"/>
              </w:rPr>
            </w:pPr>
            <w:r w:rsidRPr="001927D6">
              <w:rPr>
                <w:szCs w:val="24"/>
                <w:lang w:eastAsia="et-EE"/>
              </w:rPr>
              <w:t>Vedelik pleuraõõnes, kht-ga </w:t>
            </w:r>
          </w:p>
        </w:tc>
        <w:tc>
          <w:tcPr>
            <w:tcW w:w="732" w:type="dxa"/>
            <w:vAlign w:val="center"/>
            <w:hideMark/>
          </w:tcPr>
          <w:p w14:paraId="470D3AB6" w14:textId="77777777" w:rsidR="00295BCD" w:rsidRPr="001927D6" w:rsidRDefault="00295BCD">
            <w:pPr>
              <w:spacing w:after="0" w:line="240" w:lineRule="auto"/>
              <w:jc w:val="center"/>
              <w:textAlignment w:val="baseline"/>
              <w:rPr>
                <w:szCs w:val="24"/>
                <w:lang w:eastAsia="et-EE"/>
              </w:rPr>
            </w:pPr>
            <w:r w:rsidRPr="001927D6">
              <w:rPr>
                <w:szCs w:val="24"/>
                <w:lang w:eastAsia="et-EE"/>
              </w:rPr>
              <w:t>085 </w:t>
            </w:r>
          </w:p>
        </w:tc>
        <w:tc>
          <w:tcPr>
            <w:tcW w:w="1243" w:type="dxa"/>
            <w:vAlign w:val="center"/>
          </w:tcPr>
          <w:p w14:paraId="6192345A" w14:textId="77777777" w:rsidR="00295BCD" w:rsidRPr="001927D6" w:rsidRDefault="00295BCD">
            <w:pPr>
              <w:spacing w:after="0" w:line="240" w:lineRule="auto"/>
              <w:jc w:val="center"/>
              <w:textAlignment w:val="baseline"/>
              <w:rPr>
                <w:szCs w:val="24"/>
                <w:lang w:eastAsia="et-EE"/>
              </w:rPr>
            </w:pPr>
            <w:r w:rsidRPr="001927D6">
              <w:rPr>
                <w:color w:val="000000"/>
                <w:szCs w:val="24"/>
              </w:rPr>
              <w:t>3 679,13</w:t>
            </w:r>
          </w:p>
        </w:tc>
        <w:tc>
          <w:tcPr>
            <w:tcW w:w="1211" w:type="dxa"/>
            <w:vAlign w:val="center"/>
          </w:tcPr>
          <w:p w14:paraId="40EF518A" w14:textId="77777777" w:rsidR="00295BCD" w:rsidRPr="001927D6" w:rsidRDefault="00295BCD">
            <w:pPr>
              <w:spacing w:after="0" w:line="240" w:lineRule="auto"/>
              <w:jc w:val="center"/>
              <w:textAlignment w:val="baseline"/>
              <w:rPr>
                <w:szCs w:val="24"/>
                <w:lang w:eastAsia="et-EE"/>
              </w:rPr>
            </w:pPr>
            <w:r w:rsidRPr="001927D6">
              <w:rPr>
                <w:color w:val="000000"/>
                <w:szCs w:val="24"/>
              </w:rPr>
              <w:t>527,98</w:t>
            </w:r>
          </w:p>
        </w:tc>
        <w:tc>
          <w:tcPr>
            <w:tcW w:w="1238" w:type="dxa"/>
            <w:vAlign w:val="center"/>
          </w:tcPr>
          <w:p w14:paraId="3817E3BD" w14:textId="77777777" w:rsidR="00295BCD" w:rsidRPr="001927D6" w:rsidRDefault="00295BCD">
            <w:pPr>
              <w:spacing w:after="0" w:line="240" w:lineRule="auto"/>
              <w:jc w:val="center"/>
              <w:textAlignment w:val="baseline"/>
              <w:rPr>
                <w:szCs w:val="24"/>
                <w:lang w:eastAsia="et-EE"/>
              </w:rPr>
            </w:pPr>
            <w:r w:rsidRPr="001927D6">
              <w:rPr>
                <w:color w:val="000000"/>
                <w:szCs w:val="24"/>
              </w:rPr>
              <w:t>7 414,45</w:t>
            </w:r>
          </w:p>
        </w:tc>
      </w:tr>
      <w:tr w:rsidR="00295BCD" w:rsidRPr="001927D6" w14:paraId="45EAC085" w14:textId="77777777" w:rsidTr="00295BCD">
        <w:trPr>
          <w:divId w:val="1316184749"/>
          <w:trHeight w:val="300"/>
        </w:trPr>
        <w:tc>
          <w:tcPr>
            <w:tcW w:w="4632" w:type="dxa"/>
            <w:vAlign w:val="bottom"/>
            <w:hideMark/>
          </w:tcPr>
          <w:p w14:paraId="20039687" w14:textId="77777777" w:rsidR="00295BCD" w:rsidRPr="001927D6" w:rsidRDefault="00295BCD">
            <w:pPr>
              <w:spacing w:after="0" w:line="240" w:lineRule="auto"/>
              <w:textAlignment w:val="baseline"/>
              <w:rPr>
                <w:szCs w:val="24"/>
                <w:lang w:eastAsia="et-EE"/>
              </w:rPr>
            </w:pPr>
            <w:r w:rsidRPr="001927D6">
              <w:rPr>
                <w:szCs w:val="24"/>
                <w:lang w:eastAsia="et-EE"/>
              </w:rPr>
              <w:t>Vedelik pleuraõõnes, kht-ta </w:t>
            </w:r>
          </w:p>
        </w:tc>
        <w:tc>
          <w:tcPr>
            <w:tcW w:w="732" w:type="dxa"/>
            <w:vAlign w:val="center"/>
            <w:hideMark/>
          </w:tcPr>
          <w:p w14:paraId="44B27DD4" w14:textId="77777777" w:rsidR="00295BCD" w:rsidRPr="001927D6" w:rsidRDefault="00295BCD">
            <w:pPr>
              <w:spacing w:after="0" w:line="240" w:lineRule="auto"/>
              <w:jc w:val="center"/>
              <w:textAlignment w:val="baseline"/>
              <w:rPr>
                <w:szCs w:val="24"/>
                <w:lang w:eastAsia="et-EE"/>
              </w:rPr>
            </w:pPr>
            <w:r w:rsidRPr="001927D6">
              <w:rPr>
                <w:szCs w:val="24"/>
                <w:lang w:eastAsia="et-EE"/>
              </w:rPr>
              <w:t>086 </w:t>
            </w:r>
          </w:p>
        </w:tc>
        <w:tc>
          <w:tcPr>
            <w:tcW w:w="1243" w:type="dxa"/>
            <w:vAlign w:val="center"/>
          </w:tcPr>
          <w:p w14:paraId="0E91FE1E" w14:textId="77777777" w:rsidR="00295BCD" w:rsidRPr="001927D6" w:rsidRDefault="00295BCD">
            <w:pPr>
              <w:spacing w:after="0" w:line="240" w:lineRule="auto"/>
              <w:jc w:val="center"/>
              <w:textAlignment w:val="baseline"/>
              <w:rPr>
                <w:szCs w:val="24"/>
                <w:lang w:eastAsia="et-EE"/>
              </w:rPr>
            </w:pPr>
            <w:r w:rsidRPr="001927D6">
              <w:rPr>
                <w:color w:val="000000"/>
                <w:szCs w:val="24"/>
              </w:rPr>
              <w:t>2 089,54</w:t>
            </w:r>
          </w:p>
        </w:tc>
        <w:tc>
          <w:tcPr>
            <w:tcW w:w="1211" w:type="dxa"/>
            <w:vAlign w:val="center"/>
          </w:tcPr>
          <w:p w14:paraId="11CE7F0C" w14:textId="77777777" w:rsidR="00295BCD" w:rsidRPr="001927D6" w:rsidRDefault="00295BCD">
            <w:pPr>
              <w:spacing w:after="0" w:line="240" w:lineRule="auto"/>
              <w:jc w:val="center"/>
              <w:textAlignment w:val="baseline"/>
              <w:rPr>
                <w:szCs w:val="24"/>
                <w:lang w:eastAsia="et-EE"/>
              </w:rPr>
            </w:pPr>
            <w:r w:rsidRPr="001927D6">
              <w:rPr>
                <w:color w:val="000000"/>
                <w:szCs w:val="24"/>
              </w:rPr>
              <w:t>574,12</w:t>
            </w:r>
          </w:p>
        </w:tc>
        <w:tc>
          <w:tcPr>
            <w:tcW w:w="1238" w:type="dxa"/>
            <w:vAlign w:val="center"/>
          </w:tcPr>
          <w:p w14:paraId="39ECA10A" w14:textId="77777777" w:rsidR="00295BCD" w:rsidRPr="001927D6" w:rsidRDefault="00295BCD">
            <w:pPr>
              <w:spacing w:after="0" w:line="240" w:lineRule="auto"/>
              <w:jc w:val="center"/>
              <w:textAlignment w:val="baseline"/>
              <w:rPr>
                <w:szCs w:val="24"/>
                <w:lang w:eastAsia="et-EE"/>
              </w:rPr>
            </w:pPr>
            <w:r w:rsidRPr="001927D6">
              <w:rPr>
                <w:color w:val="000000"/>
                <w:szCs w:val="24"/>
              </w:rPr>
              <w:t>3 920,48</w:t>
            </w:r>
          </w:p>
        </w:tc>
      </w:tr>
      <w:tr w:rsidR="00295BCD" w:rsidRPr="001927D6" w14:paraId="48215CE1" w14:textId="77777777" w:rsidTr="00295BCD">
        <w:trPr>
          <w:divId w:val="1316184749"/>
          <w:trHeight w:val="300"/>
        </w:trPr>
        <w:tc>
          <w:tcPr>
            <w:tcW w:w="4632" w:type="dxa"/>
            <w:vAlign w:val="bottom"/>
            <w:hideMark/>
          </w:tcPr>
          <w:p w14:paraId="59E87785" w14:textId="77777777" w:rsidR="00295BCD" w:rsidRPr="001927D6" w:rsidRDefault="00295BCD">
            <w:pPr>
              <w:spacing w:after="0" w:line="240" w:lineRule="auto"/>
              <w:textAlignment w:val="baseline"/>
              <w:rPr>
                <w:szCs w:val="24"/>
                <w:lang w:eastAsia="et-EE"/>
              </w:rPr>
            </w:pPr>
            <w:r w:rsidRPr="001927D6">
              <w:rPr>
                <w:szCs w:val="24"/>
                <w:lang w:eastAsia="et-EE"/>
              </w:rPr>
              <w:t>Kopsuturse ja hingamispuudulikkus </w:t>
            </w:r>
          </w:p>
        </w:tc>
        <w:tc>
          <w:tcPr>
            <w:tcW w:w="732" w:type="dxa"/>
            <w:vAlign w:val="center"/>
            <w:hideMark/>
          </w:tcPr>
          <w:p w14:paraId="463E14EA" w14:textId="77777777" w:rsidR="00295BCD" w:rsidRPr="001927D6" w:rsidRDefault="00295BCD">
            <w:pPr>
              <w:spacing w:after="0" w:line="240" w:lineRule="auto"/>
              <w:jc w:val="center"/>
              <w:textAlignment w:val="baseline"/>
              <w:rPr>
                <w:szCs w:val="24"/>
                <w:lang w:eastAsia="et-EE"/>
              </w:rPr>
            </w:pPr>
            <w:r w:rsidRPr="001927D6">
              <w:rPr>
                <w:szCs w:val="24"/>
                <w:lang w:eastAsia="et-EE"/>
              </w:rPr>
              <w:t>087 </w:t>
            </w:r>
          </w:p>
        </w:tc>
        <w:tc>
          <w:tcPr>
            <w:tcW w:w="1243" w:type="dxa"/>
            <w:vAlign w:val="center"/>
          </w:tcPr>
          <w:p w14:paraId="56B5288D" w14:textId="77777777" w:rsidR="00295BCD" w:rsidRPr="001927D6" w:rsidRDefault="00295BCD">
            <w:pPr>
              <w:spacing w:after="0" w:line="240" w:lineRule="auto"/>
              <w:jc w:val="center"/>
              <w:textAlignment w:val="baseline"/>
              <w:rPr>
                <w:szCs w:val="24"/>
                <w:lang w:eastAsia="et-EE"/>
              </w:rPr>
            </w:pPr>
            <w:r w:rsidRPr="001927D6">
              <w:rPr>
                <w:color w:val="000000"/>
                <w:szCs w:val="24"/>
              </w:rPr>
              <w:t>3 155,14</w:t>
            </w:r>
          </w:p>
        </w:tc>
        <w:tc>
          <w:tcPr>
            <w:tcW w:w="1211" w:type="dxa"/>
            <w:vAlign w:val="center"/>
          </w:tcPr>
          <w:p w14:paraId="7EE1975D" w14:textId="77777777" w:rsidR="00295BCD" w:rsidRPr="001927D6" w:rsidRDefault="00295BCD">
            <w:pPr>
              <w:spacing w:after="0" w:line="240" w:lineRule="auto"/>
              <w:jc w:val="center"/>
              <w:textAlignment w:val="baseline"/>
              <w:rPr>
                <w:szCs w:val="24"/>
                <w:lang w:eastAsia="et-EE"/>
              </w:rPr>
            </w:pPr>
            <w:r w:rsidRPr="001927D6">
              <w:rPr>
                <w:color w:val="000000"/>
                <w:szCs w:val="24"/>
              </w:rPr>
              <w:t>686,38</w:t>
            </w:r>
          </w:p>
        </w:tc>
        <w:tc>
          <w:tcPr>
            <w:tcW w:w="1238" w:type="dxa"/>
            <w:vAlign w:val="center"/>
          </w:tcPr>
          <w:p w14:paraId="2F78CB70" w14:textId="77777777" w:rsidR="00295BCD" w:rsidRPr="001927D6" w:rsidRDefault="00295BCD">
            <w:pPr>
              <w:spacing w:after="0" w:line="240" w:lineRule="auto"/>
              <w:jc w:val="center"/>
              <w:textAlignment w:val="baseline"/>
              <w:rPr>
                <w:szCs w:val="24"/>
                <w:lang w:eastAsia="et-EE"/>
              </w:rPr>
            </w:pPr>
            <w:r w:rsidRPr="001927D6">
              <w:rPr>
                <w:color w:val="000000"/>
                <w:szCs w:val="24"/>
              </w:rPr>
              <w:t>7 815,78</w:t>
            </w:r>
          </w:p>
        </w:tc>
      </w:tr>
      <w:tr w:rsidR="00295BCD" w:rsidRPr="001927D6" w14:paraId="466FB4DA" w14:textId="77777777" w:rsidTr="00295BCD">
        <w:trPr>
          <w:divId w:val="1316184749"/>
          <w:trHeight w:val="300"/>
        </w:trPr>
        <w:tc>
          <w:tcPr>
            <w:tcW w:w="4632" w:type="dxa"/>
            <w:vAlign w:val="bottom"/>
            <w:hideMark/>
          </w:tcPr>
          <w:p w14:paraId="42F511BC" w14:textId="77777777" w:rsidR="00295BCD" w:rsidRPr="001927D6" w:rsidRDefault="00295BCD">
            <w:pPr>
              <w:spacing w:after="0" w:line="240" w:lineRule="auto"/>
              <w:textAlignment w:val="baseline"/>
              <w:rPr>
                <w:szCs w:val="24"/>
                <w:lang w:eastAsia="et-EE"/>
              </w:rPr>
            </w:pPr>
            <w:r w:rsidRPr="001927D6">
              <w:rPr>
                <w:szCs w:val="24"/>
                <w:lang w:eastAsia="et-EE"/>
              </w:rPr>
              <w:t>Krooniline obstruktiivne kopsuhaigus </w:t>
            </w:r>
          </w:p>
        </w:tc>
        <w:tc>
          <w:tcPr>
            <w:tcW w:w="732" w:type="dxa"/>
            <w:vAlign w:val="center"/>
            <w:hideMark/>
          </w:tcPr>
          <w:p w14:paraId="4EB625A6" w14:textId="77777777" w:rsidR="00295BCD" w:rsidRPr="001927D6" w:rsidRDefault="00295BCD">
            <w:pPr>
              <w:spacing w:after="0" w:line="240" w:lineRule="auto"/>
              <w:jc w:val="center"/>
              <w:textAlignment w:val="baseline"/>
              <w:rPr>
                <w:szCs w:val="24"/>
                <w:lang w:eastAsia="et-EE"/>
              </w:rPr>
            </w:pPr>
            <w:r w:rsidRPr="001927D6">
              <w:rPr>
                <w:szCs w:val="24"/>
                <w:lang w:eastAsia="et-EE"/>
              </w:rPr>
              <w:t>088 </w:t>
            </w:r>
          </w:p>
        </w:tc>
        <w:tc>
          <w:tcPr>
            <w:tcW w:w="1243" w:type="dxa"/>
            <w:vAlign w:val="center"/>
          </w:tcPr>
          <w:p w14:paraId="3CCF2EAA" w14:textId="77777777" w:rsidR="00295BCD" w:rsidRPr="001927D6" w:rsidRDefault="00295BCD">
            <w:pPr>
              <w:spacing w:after="0" w:line="240" w:lineRule="auto"/>
              <w:jc w:val="center"/>
              <w:textAlignment w:val="baseline"/>
              <w:rPr>
                <w:szCs w:val="24"/>
                <w:lang w:eastAsia="et-EE"/>
              </w:rPr>
            </w:pPr>
            <w:r w:rsidRPr="001927D6">
              <w:rPr>
                <w:color w:val="000000"/>
                <w:szCs w:val="24"/>
              </w:rPr>
              <w:t>2 348,80</w:t>
            </w:r>
          </w:p>
        </w:tc>
        <w:tc>
          <w:tcPr>
            <w:tcW w:w="1211" w:type="dxa"/>
            <w:vAlign w:val="center"/>
          </w:tcPr>
          <w:p w14:paraId="733E1608" w14:textId="77777777" w:rsidR="00295BCD" w:rsidRPr="001927D6" w:rsidRDefault="00295BCD">
            <w:pPr>
              <w:spacing w:after="0" w:line="240" w:lineRule="auto"/>
              <w:jc w:val="center"/>
              <w:textAlignment w:val="baseline"/>
              <w:rPr>
                <w:szCs w:val="24"/>
                <w:lang w:eastAsia="et-EE"/>
              </w:rPr>
            </w:pPr>
            <w:r w:rsidRPr="001927D6">
              <w:rPr>
                <w:color w:val="000000"/>
                <w:szCs w:val="24"/>
              </w:rPr>
              <w:t>541,76</w:t>
            </w:r>
          </w:p>
        </w:tc>
        <w:tc>
          <w:tcPr>
            <w:tcW w:w="1238" w:type="dxa"/>
            <w:vAlign w:val="center"/>
          </w:tcPr>
          <w:p w14:paraId="2FE02EC9" w14:textId="77777777" w:rsidR="00295BCD" w:rsidRPr="001927D6" w:rsidRDefault="00295BCD">
            <w:pPr>
              <w:spacing w:after="0" w:line="240" w:lineRule="auto"/>
              <w:jc w:val="center"/>
              <w:textAlignment w:val="baseline"/>
              <w:rPr>
                <w:szCs w:val="24"/>
                <w:lang w:eastAsia="et-EE"/>
              </w:rPr>
            </w:pPr>
            <w:r w:rsidRPr="001927D6">
              <w:rPr>
                <w:color w:val="000000"/>
                <w:szCs w:val="24"/>
              </w:rPr>
              <w:t>5 098,34</w:t>
            </w:r>
          </w:p>
        </w:tc>
      </w:tr>
      <w:tr w:rsidR="00295BCD" w:rsidRPr="001927D6" w14:paraId="6998C7F4" w14:textId="77777777" w:rsidTr="00295BCD">
        <w:trPr>
          <w:divId w:val="1316184749"/>
          <w:trHeight w:val="300"/>
        </w:trPr>
        <w:tc>
          <w:tcPr>
            <w:tcW w:w="4632" w:type="dxa"/>
            <w:vAlign w:val="bottom"/>
            <w:hideMark/>
          </w:tcPr>
          <w:p w14:paraId="4679F53F" w14:textId="77777777" w:rsidR="00295BCD" w:rsidRPr="001927D6" w:rsidRDefault="00295BCD">
            <w:pPr>
              <w:spacing w:after="0" w:line="240" w:lineRule="auto"/>
              <w:textAlignment w:val="baseline"/>
              <w:rPr>
                <w:szCs w:val="24"/>
                <w:lang w:eastAsia="et-EE"/>
              </w:rPr>
            </w:pPr>
            <w:r w:rsidRPr="001927D6">
              <w:rPr>
                <w:szCs w:val="24"/>
                <w:lang w:eastAsia="et-EE"/>
              </w:rPr>
              <w:t>Kopsupõletikud ja pleuriidid, vanus &gt; 17, kht-ga </w:t>
            </w:r>
          </w:p>
        </w:tc>
        <w:tc>
          <w:tcPr>
            <w:tcW w:w="732" w:type="dxa"/>
            <w:vAlign w:val="center"/>
            <w:hideMark/>
          </w:tcPr>
          <w:p w14:paraId="4FC25ADC" w14:textId="77777777" w:rsidR="00295BCD" w:rsidRPr="001927D6" w:rsidRDefault="00295BCD">
            <w:pPr>
              <w:spacing w:after="0" w:line="240" w:lineRule="auto"/>
              <w:jc w:val="center"/>
              <w:textAlignment w:val="baseline"/>
              <w:rPr>
                <w:szCs w:val="24"/>
                <w:lang w:eastAsia="et-EE"/>
              </w:rPr>
            </w:pPr>
            <w:r w:rsidRPr="001927D6">
              <w:rPr>
                <w:szCs w:val="24"/>
                <w:lang w:eastAsia="et-EE"/>
              </w:rPr>
              <w:t>089 </w:t>
            </w:r>
          </w:p>
        </w:tc>
        <w:tc>
          <w:tcPr>
            <w:tcW w:w="1243" w:type="dxa"/>
            <w:vAlign w:val="center"/>
          </w:tcPr>
          <w:p w14:paraId="6E24961E" w14:textId="77777777" w:rsidR="00295BCD" w:rsidRPr="001927D6" w:rsidRDefault="00295BCD">
            <w:pPr>
              <w:spacing w:after="0" w:line="240" w:lineRule="auto"/>
              <w:jc w:val="center"/>
              <w:textAlignment w:val="baseline"/>
              <w:rPr>
                <w:szCs w:val="24"/>
                <w:lang w:eastAsia="et-EE"/>
              </w:rPr>
            </w:pPr>
            <w:r w:rsidRPr="001927D6">
              <w:rPr>
                <w:color w:val="000000"/>
                <w:szCs w:val="24"/>
              </w:rPr>
              <w:t>3 305,69</w:t>
            </w:r>
          </w:p>
        </w:tc>
        <w:tc>
          <w:tcPr>
            <w:tcW w:w="1211" w:type="dxa"/>
            <w:vAlign w:val="center"/>
          </w:tcPr>
          <w:p w14:paraId="0C9FE1D5" w14:textId="77777777" w:rsidR="00295BCD" w:rsidRPr="001927D6" w:rsidRDefault="00295BCD">
            <w:pPr>
              <w:spacing w:after="0" w:line="240" w:lineRule="auto"/>
              <w:jc w:val="center"/>
              <w:textAlignment w:val="baseline"/>
              <w:rPr>
                <w:szCs w:val="24"/>
                <w:lang w:eastAsia="et-EE"/>
              </w:rPr>
            </w:pPr>
            <w:r w:rsidRPr="001927D6">
              <w:rPr>
                <w:color w:val="000000"/>
                <w:szCs w:val="24"/>
              </w:rPr>
              <w:t>1 142,92</w:t>
            </w:r>
          </w:p>
        </w:tc>
        <w:tc>
          <w:tcPr>
            <w:tcW w:w="1238" w:type="dxa"/>
            <w:vAlign w:val="center"/>
          </w:tcPr>
          <w:p w14:paraId="6CA74F44" w14:textId="77777777" w:rsidR="00295BCD" w:rsidRPr="001927D6" w:rsidRDefault="00295BCD">
            <w:pPr>
              <w:spacing w:after="0" w:line="240" w:lineRule="auto"/>
              <w:jc w:val="center"/>
              <w:textAlignment w:val="baseline"/>
              <w:rPr>
                <w:szCs w:val="24"/>
                <w:lang w:eastAsia="et-EE"/>
              </w:rPr>
            </w:pPr>
            <w:r w:rsidRPr="001927D6">
              <w:rPr>
                <w:color w:val="000000"/>
                <w:szCs w:val="24"/>
              </w:rPr>
              <w:t>8 070,81</w:t>
            </w:r>
          </w:p>
        </w:tc>
      </w:tr>
      <w:tr w:rsidR="00295BCD" w:rsidRPr="001927D6" w14:paraId="3806561A" w14:textId="77777777" w:rsidTr="00295BCD">
        <w:trPr>
          <w:divId w:val="1316184749"/>
          <w:trHeight w:val="300"/>
        </w:trPr>
        <w:tc>
          <w:tcPr>
            <w:tcW w:w="4632" w:type="dxa"/>
            <w:vAlign w:val="bottom"/>
            <w:hideMark/>
          </w:tcPr>
          <w:p w14:paraId="253BDD58"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Kopsupõletikud ja pleuriidid, vanus &gt; 17, kht-ta </w:t>
            </w:r>
          </w:p>
        </w:tc>
        <w:tc>
          <w:tcPr>
            <w:tcW w:w="732" w:type="dxa"/>
            <w:vAlign w:val="center"/>
            <w:hideMark/>
          </w:tcPr>
          <w:p w14:paraId="04A73C8F" w14:textId="77777777" w:rsidR="00295BCD" w:rsidRPr="001927D6" w:rsidRDefault="00295BCD">
            <w:pPr>
              <w:spacing w:after="0" w:line="240" w:lineRule="auto"/>
              <w:jc w:val="center"/>
              <w:textAlignment w:val="baseline"/>
              <w:rPr>
                <w:szCs w:val="24"/>
                <w:lang w:eastAsia="et-EE"/>
              </w:rPr>
            </w:pPr>
            <w:r w:rsidRPr="001927D6">
              <w:rPr>
                <w:szCs w:val="24"/>
                <w:lang w:eastAsia="et-EE"/>
              </w:rPr>
              <w:t>090 </w:t>
            </w:r>
          </w:p>
        </w:tc>
        <w:tc>
          <w:tcPr>
            <w:tcW w:w="1243" w:type="dxa"/>
            <w:vAlign w:val="center"/>
          </w:tcPr>
          <w:p w14:paraId="1ECAE748" w14:textId="77777777" w:rsidR="00295BCD" w:rsidRPr="001927D6" w:rsidRDefault="00295BCD">
            <w:pPr>
              <w:spacing w:after="0" w:line="240" w:lineRule="auto"/>
              <w:jc w:val="center"/>
              <w:textAlignment w:val="baseline"/>
              <w:rPr>
                <w:szCs w:val="24"/>
                <w:lang w:eastAsia="et-EE"/>
              </w:rPr>
            </w:pPr>
            <w:r w:rsidRPr="001927D6">
              <w:rPr>
                <w:color w:val="000000"/>
                <w:szCs w:val="24"/>
              </w:rPr>
              <w:t>1 969,51</w:t>
            </w:r>
          </w:p>
        </w:tc>
        <w:tc>
          <w:tcPr>
            <w:tcW w:w="1211" w:type="dxa"/>
            <w:vAlign w:val="center"/>
          </w:tcPr>
          <w:p w14:paraId="69178ADF" w14:textId="77777777" w:rsidR="00295BCD" w:rsidRPr="001927D6" w:rsidRDefault="00295BCD">
            <w:pPr>
              <w:spacing w:after="0" w:line="240" w:lineRule="auto"/>
              <w:jc w:val="center"/>
              <w:textAlignment w:val="baseline"/>
              <w:rPr>
                <w:szCs w:val="24"/>
                <w:lang w:eastAsia="et-EE"/>
              </w:rPr>
            </w:pPr>
            <w:r w:rsidRPr="001927D6">
              <w:rPr>
                <w:color w:val="000000"/>
                <w:szCs w:val="24"/>
              </w:rPr>
              <w:t>810,34</w:t>
            </w:r>
          </w:p>
        </w:tc>
        <w:tc>
          <w:tcPr>
            <w:tcW w:w="1238" w:type="dxa"/>
            <w:vAlign w:val="center"/>
          </w:tcPr>
          <w:p w14:paraId="4737856C" w14:textId="77777777" w:rsidR="00295BCD" w:rsidRPr="001927D6" w:rsidRDefault="00295BCD">
            <w:pPr>
              <w:spacing w:after="0" w:line="240" w:lineRule="auto"/>
              <w:jc w:val="center"/>
              <w:textAlignment w:val="baseline"/>
              <w:rPr>
                <w:szCs w:val="24"/>
                <w:lang w:eastAsia="et-EE"/>
              </w:rPr>
            </w:pPr>
            <w:r w:rsidRPr="001927D6">
              <w:rPr>
                <w:color w:val="000000"/>
                <w:szCs w:val="24"/>
              </w:rPr>
              <w:t>3 348,68</w:t>
            </w:r>
          </w:p>
        </w:tc>
      </w:tr>
      <w:tr w:rsidR="00295BCD" w:rsidRPr="001927D6" w14:paraId="42347BEA" w14:textId="77777777" w:rsidTr="00295BCD">
        <w:trPr>
          <w:divId w:val="1316184749"/>
          <w:trHeight w:val="300"/>
        </w:trPr>
        <w:tc>
          <w:tcPr>
            <w:tcW w:w="4632" w:type="dxa"/>
            <w:vAlign w:val="bottom"/>
            <w:hideMark/>
          </w:tcPr>
          <w:p w14:paraId="6622036D" w14:textId="77777777" w:rsidR="00295BCD" w:rsidRPr="001927D6" w:rsidRDefault="00295BCD">
            <w:pPr>
              <w:spacing w:after="0" w:line="240" w:lineRule="auto"/>
              <w:textAlignment w:val="baseline"/>
              <w:rPr>
                <w:szCs w:val="24"/>
                <w:lang w:eastAsia="et-EE"/>
              </w:rPr>
            </w:pPr>
            <w:r w:rsidRPr="001927D6">
              <w:rPr>
                <w:szCs w:val="24"/>
                <w:lang w:eastAsia="et-EE"/>
              </w:rPr>
              <w:t>Kopsupõletikud ja pleuriidid, vanus 0–17, kht-ga </w:t>
            </w:r>
          </w:p>
        </w:tc>
        <w:tc>
          <w:tcPr>
            <w:tcW w:w="732" w:type="dxa"/>
            <w:vAlign w:val="center"/>
            <w:hideMark/>
          </w:tcPr>
          <w:p w14:paraId="41EA6096" w14:textId="77777777" w:rsidR="00295BCD" w:rsidRPr="001927D6" w:rsidRDefault="00295BCD">
            <w:pPr>
              <w:spacing w:after="0" w:line="240" w:lineRule="auto"/>
              <w:jc w:val="center"/>
              <w:textAlignment w:val="baseline"/>
              <w:rPr>
                <w:szCs w:val="24"/>
                <w:lang w:eastAsia="et-EE"/>
              </w:rPr>
            </w:pPr>
            <w:r w:rsidRPr="001927D6">
              <w:rPr>
                <w:szCs w:val="24"/>
                <w:lang w:eastAsia="et-EE"/>
              </w:rPr>
              <w:t>091A </w:t>
            </w:r>
          </w:p>
        </w:tc>
        <w:tc>
          <w:tcPr>
            <w:tcW w:w="1243" w:type="dxa"/>
            <w:vAlign w:val="center"/>
          </w:tcPr>
          <w:p w14:paraId="57883B39" w14:textId="77777777" w:rsidR="00295BCD" w:rsidRPr="001927D6" w:rsidRDefault="00295BCD">
            <w:pPr>
              <w:spacing w:after="0" w:line="240" w:lineRule="auto"/>
              <w:jc w:val="center"/>
              <w:textAlignment w:val="baseline"/>
              <w:rPr>
                <w:szCs w:val="24"/>
                <w:lang w:eastAsia="et-EE"/>
              </w:rPr>
            </w:pPr>
            <w:r w:rsidRPr="001927D6">
              <w:rPr>
                <w:color w:val="000000"/>
                <w:szCs w:val="24"/>
              </w:rPr>
              <w:t>1 717,54</w:t>
            </w:r>
          </w:p>
        </w:tc>
        <w:tc>
          <w:tcPr>
            <w:tcW w:w="1211" w:type="dxa"/>
            <w:vAlign w:val="center"/>
          </w:tcPr>
          <w:p w14:paraId="2054E6A8" w14:textId="77777777" w:rsidR="00295BCD" w:rsidRPr="001927D6" w:rsidRDefault="00295BCD">
            <w:pPr>
              <w:spacing w:after="0" w:line="240" w:lineRule="auto"/>
              <w:jc w:val="center"/>
              <w:textAlignment w:val="baseline"/>
              <w:rPr>
                <w:szCs w:val="24"/>
                <w:lang w:eastAsia="et-EE"/>
              </w:rPr>
            </w:pPr>
            <w:r w:rsidRPr="001927D6">
              <w:rPr>
                <w:color w:val="000000"/>
                <w:szCs w:val="24"/>
              </w:rPr>
              <w:t>725,91</w:t>
            </w:r>
          </w:p>
        </w:tc>
        <w:tc>
          <w:tcPr>
            <w:tcW w:w="1238" w:type="dxa"/>
            <w:vAlign w:val="center"/>
          </w:tcPr>
          <w:p w14:paraId="7421728D" w14:textId="77777777" w:rsidR="00295BCD" w:rsidRPr="001927D6" w:rsidRDefault="00295BCD">
            <w:pPr>
              <w:spacing w:after="0" w:line="240" w:lineRule="auto"/>
              <w:jc w:val="center"/>
              <w:textAlignment w:val="baseline"/>
              <w:rPr>
                <w:szCs w:val="24"/>
                <w:lang w:eastAsia="et-EE"/>
              </w:rPr>
            </w:pPr>
            <w:r w:rsidRPr="001927D6">
              <w:rPr>
                <w:color w:val="000000"/>
                <w:szCs w:val="24"/>
              </w:rPr>
              <w:t>3 821,84</w:t>
            </w:r>
          </w:p>
        </w:tc>
      </w:tr>
      <w:tr w:rsidR="00295BCD" w:rsidRPr="001927D6" w14:paraId="20AF7653" w14:textId="77777777" w:rsidTr="00295BCD">
        <w:trPr>
          <w:divId w:val="1316184749"/>
          <w:trHeight w:val="300"/>
        </w:trPr>
        <w:tc>
          <w:tcPr>
            <w:tcW w:w="4632" w:type="dxa"/>
            <w:vAlign w:val="bottom"/>
            <w:hideMark/>
          </w:tcPr>
          <w:p w14:paraId="7282A10A" w14:textId="77777777" w:rsidR="00295BCD" w:rsidRPr="001927D6" w:rsidRDefault="00295BCD">
            <w:pPr>
              <w:spacing w:after="0" w:line="240" w:lineRule="auto"/>
              <w:textAlignment w:val="baseline"/>
              <w:rPr>
                <w:szCs w:val="24"/>
                <w:lang w:eastAsia="et-EE"/>
              </w:rPr>
            </w:pPr>
            <w:r w:rsidRPr="001927D6">
              <w:rPr>
                <w:szCs w:val="24"/>
                <w:lang w:eastAsia="et-EE"/>
              </w:rPr>
              <w:t>Kopsupõletikud ja pleuriidid, vanus 0–17, kht-ta </w:t>
            </w:r>
          </w:p>
        </w:tc>
        <w:tc>
          <w:tcPr>
            <w:tcW w:w="732" w:type="dxa"/>
            <w:vAlign w:val="center"/>
            <w:hideMark/>
          </w:tcPr>
          <w:p w14:paraId="1868DF17" w14:textId="77777777" w:rsidR="00295BCD" w:rsidRPr="001927D6" w:rsidRDefault="00295BCD">
            <w:pPr>
              <w:spacing w:after="0" w:line="240" w:lineRule="auto"/>
              <w:jc w:val="center"/>
              <w:textAlignment w:val="baseline"/>
              <w:rPr>
                <w:szCs w:val="24"/>
                <w:lang w:eastAsia="et-EE"/>
              </w:rPr>
            </w:pPr>
            <w:r w:rsidRPr="001927D6">
              <w:rPr>
                <w:szCs w:val="24"/>
                <w:lang w:eastAsia="et-EE"/>
              </w:rPr>
              <w:t>091B </w:t>
            </w:r>
          </w:p>
        </w:tc>
        <w:tc>
          <w:tcPr>
            <w:tcW w:w="1243" w:type="dxa"/>
            <w:vAlign w:val="center"/>
          </w:tcPr>
          <w:p w14:paraId="0A4342E9" w14:textId="77777777" w:rsidR="00295BCD" w:rsidRPr="001927D6" w:rsidRDefault="00295BCD">
            <w:pPr>
              <w:spacing w:after="0" w:line="240" w:lineRule="auto"/>
              <w:jc w:val="center"/>
              <w:textAlignment w:val="baseline"/>
              <w:rPr>
                <w:szCs w:val="24"/>
                <w:lang w:eastAsia="et-EE"/>
              </w:rPr>
            </w:pPr>
            <w:r w:rsidRPr="001927D6">
              <w:rPr>
                <w:color w:val="000000"/>
                <w:szCs w:val="24"/>
              </w:rPr>
              <w:t>1 235,89</w:t>
            </w:r>
          </w:p>
        </w:tc>
        <w:tc>
          <w:tcPr>
            <w:tcW w:w="1211" w:type="dxa"/>
            <w:vAlign w:val="center"/>
          </w:tcPr>
          <w:p w14:paraId="516A980B" w14:textId="77777777" w:rsidR="00295BCD" w:rsidRPr="001927D6" w:rsidRDefault="00295BCD">
            <w:pPr>
              <w:spacing w:after="0" w:line="240" w:lineRule="auto"/>
              <w:jc w:val="center"/>
              <w:textAlignment w:val="baseline"/>
              <w:rPr>
                <w:szCs w:val="24"/>
                <w:lang w:eastAsia="et-EE"/>
              </w:rPr>
            </w:pPr>
            <w:r w:rsidRPr="001927D6">
              <w:rPr>
                <w:color w:val="000000"/>
                <w:szCs w:val="24"/>
              </w:rPr>
              <w:t>581,55</w:t>
            </w:r>
          </w:p>
        </w:tc>
        <w:tc>
          <w:tcPr>
            <w:tcW w:w="1238" w:type="dxa"/>
            <w:vAlign w:val="center"/>
          </w:tcPr>
          <w:p w14:paraId="0157CF11" w14:textId="77777777" w:rsidR="00295BCD" w:rsidRPr="001927D6" w:rsidRDefault="00295BCD">
            <w:pPr>
              <w:spacing w:after="0" w:line="240" w:lineRule="auto"/>
              <w:jc w:val="center"/>
              <w:textAlignment w:val="baseline"/>
              <w:rPr>
                <w:szCs w:val="24"/>
                <w:lang w:eastAsia="et-EE"/>
              </w:rPr>
            </w:pPr>
            <w:r w:rsidRPr="001927D6">
              <w:rPr>
                <w:color w:val="000000"/>
                <w:szCs w:val="24"/>
              </w:rPr>
              <w:t>2 077,10</w:t>
            </w:r>
          </w:p>
        </w:tc>
      </w:tr>
      <w:tr w:rsidR="00295BCD" w:rsidRPr="001927D6" w14:paraId="3CB38B1A" w14:textId="77777777" w:rsidTr="00295BCD">
        <w:trPr>
          <w:divId w:val="1316184749"/>
          <w:trHeight w:val="300"/>
        </w:trPr>
        <w:tc>
          <w:tcPr>
            <w:tcW w:w="4632" w:type="dxa"/>
            <w:vAlign w:val="bottom"/>
            <w:hideMark/>
          </w:tcPr>
          <w:p w14:paraId="065B1C02" w14:textId="77777777" w:rsidR="00295BCD" w:rsidRPr="001927D6" w:rsidRDefault="00295BCD">
            <w:pPr>
              <w:spacing w:after="0" w:line="240" w:lineRule="auto"/>
              <w:textAlignment w:val="baseline"/>
              <w:rPr>
                <w:szCs w:val="24"/>
                <w:lang w:eastAsia="et-EE"/>
              </w:rPr>
            </w:pPr>
            <w:r w:rsidRPr="001927D6">
              <w:rPr>
                <w:szCs w:val="24"/>
                <w:lang w:eastAsia="et-EE"/>
              </w:rPr>
              <w:t>Interstitsiaalsed kopsuhaigused, kht-ga </w:t>
            </w:r>
          </w:p>
        </w:tc>
        <w:tc>
          <w:tcPr>
            <w:tcW w:w="732" w:type="dxa"/>
            <w:vAlign w:val="center"/>
            <w:hideMark/>
          </w:tcPr>
          <w:p w14:paraId="704E2D23" w14:textId="77777777" w:rsidR="00295BCD" w:rsidRPr="001927D6" w:rsidRDefault="00295BCD">
            <w:pPr>
              <w:spacing w:after="0" w:line="240" w:lineRule="auto"/>
              <w:jc w:val="center"/>
              <w:textAlignment w:val="baseline"/>
              <w:rPr>
                <w:szCs w:val="24"/>
                <w:lang w:eastAsia="et-EE"/>
              </w:rPr>
            </w:pPr>
            <w:r w:rsidRPr="001927D6">
              <w:rPr>
                <w:szCs w:val="24"/>
                <w:lang w:eastAsia="et-EE"/>
              </w:rPr>
              <w:t>092 </w:t>
            </w:r>
          </w:p>
        </w:tc>
        <w:tc>
          <w:tcPr>
            <w:tcW w:w="1243" w:type="dxa"/>
            <w:vAlign w:val="center"/>
          </w:tcPr>
          <w:p w14:paraId="022686F3" w14:textId="77777777" w:rsidR="00295BCD" w:rsidRPr="001927D6" w:rsidRDefault="00295BCD">
            <w:pPr>
              <w:spacing w:after="0" w:line="240" w:lineRule="auto"/>
              <w:jc w:val="center"/>
              <w:textAlignment w:val="baseline"/>
              <w:rPr>
                <w:szCs w:val="24"/>
                <w:lang w:eastAsia="et-EE"/>
              </w:rPr>
            </w:pPr>
            <w:r w:rsidRPr="001927D6">
              <w:rPr>
                <w:color w:val="000000"/>
                <w:szCs w:val="24"/>
              </w:rPr>
              <w:t>2 882,74</w:t>
            </w:r>
          </w:p>
        </w:tc>
        <w:tc>
          <w:tcPr>
            <w:tcW w:w="1211" w:type="dxa"/>
            <w:vAlign w:val="center"/>
          </w:tcPr>
          <w:p w14:paraId="1B13D173" w14:textId="77777777" w:rsidR="00295BCD" w:rsidRPr="001927D6" w:rsidRDefault="00295BCD">
            <w:pPr>
              <w:spacing w:after="0" w:line="240" w:lineRule="auto"/>
              <w:jc w:val="center"/>
              <w:textAlignment w:val="baseline"/>
              <w:rPr>
                <w:szCs w:val="24"/>
                <w:lang w:eastAsia="et-EE"/>
              </w:rPr>
            </w:pPr>
            <w:r w:rsidRPr="001927D6">
              <w:rPr>
                <w:color w:val="000000"/>
                <w:szCs w:val="24"/>
              </w:rPr>
              <w:t>784,08</w:t>
            </w:r>
          </w:p>
        </w:tc>
        <w:tc>
          <w:tcPr>
            <w:tcW w:w="1238" w:type="dxa"/>
            <w:vAlign w:val="center"/>
          </w:tcPr>
          <w:p w14:paraId="6256F2F5" w14:textId="77777777" w:rsidR="00295BCD" w:rsidRPr="001927D6" w:rsidRDefault="00295BCD">
            <w:pPr>
              <w:spacing w:after="0" w:line="240" w:lineRule="auto"/>
              <w:jc w:val="center"/>
              <w:textAlignment w:val="baseline"/>
              <w:rPr>
                <w:szCs w:val="24"/>
                <w:lang w:eastAsia="et-EE"/>
              </w:rPr>
            </w:pPr>
            <w:r w:rsidRPr="001927D6">
              <w:rPr>
                <w:color w:val="000000"/>
                <w:szCs w:val="24"/>
              </w:rPr>
              <w:t>6 428,38</w:t>
            </w:r>
          </w:p>
        </w:tc>
      </w:tr>
      <w:tr w:rsidR="00295BCD" w:rsidRPr="001927D6" w14:paraId="33F868DC" w14:textId="77777777" w:rsidTr="00295BCD">
        <w:trPr>
          <w:divId w:val="1316184749"/>
          <w:trHeight w:val="300"/>
        </w:trPr>
        <w:tc>
          <w:tcPr>
            <w:tcW w:w="4632" w:type="dxa"/>
            <w:vAlign w:val="bottom"/>
            <w:hideMark/>
          </w:tcPr>
          <w:p w14:paraId="4EEC4614" w14:textId="77777777" w:rsidR="00295BCD" w:rsidRPr="001927D6" w:rsidRDefault="00295BCD">
            <w:pPr>
              <w:spacing w:after="0" w:line="240" w:lineRule="auto"/>
              <w:textAlignment w:val="baseline"/>
              <w:rPr>
                <w:szCs w:val="24"/>
                <w:lang w:eastAsia="et-EE"/>
              </w:rPr>
            </w:pPr>
            <w:r w:rsidRPr="001927D6">
              <w:rPr>
                <w:szCs w:val="24"/>
                <w:lang w:eastAsia="et-EE"/>
              </w:rPr>
              <w:t>Interstitsiaalsed kopsuhaigused, kht-ta </w:t>
            </w:r>
          </w:p>
        </w:tc>
        <w:tc>
          <w:tcPr>
            <w:tcW w:w="732" w:type="dxa"/>
            <w:vAlign w:val="center"/>
            <w:hideMark/>
          </w:tcPr>
          <w:p w14:paraId="59493ABE" w14:textId="77777777" w:rsidR="00295BCD" w:rsidRPr="001927D6" w:rsidRDefault="00295BCD">
            <w:pPr>
              <w:spacing w:after="0" w:line="240" w:lineRule="auto"/>
              <w:jc w:val="center"/>
              <w:textAlignment w:val="baseline"/>
              <w:rPr>
                <w:szCs w:val="24"/>
                <w:lang w:eastAsia="et-EE"/>
              </w:rPr>
            </w:pPr>
            <w:r w:rsidRPr="001927D6">
              <w:rPr>
                <w:szCs w:val="24"/>
                <w:lang w:eastAsia="et-EE"/>
              </w:rPr>
              <w:t>093 </w:t>
            </w:r>
          </w:p>
        </w:tc>
        <w:tc>
          <w:tcPr>
            <w:tcW w:w="1243" w:type="dxa"/>
            <w:vAlign w:val="center"/>
          </w:tcPr>
          <w:p w14:paraId="695F5DD1" w14:textId="77777777" w:rsidR="00295BCD" w:rsidRPr="001927D6" w:rsidRDefault="00295BCD">
            <w:pPr>
              <w:spacing w:after="0" w:line="240" w:lineRule="auto"/>
              <w:jc w:val="center"/>
              <w:textAlignment w:val="baseline"/>
              <w:rPr>
                <w:szCs w:val="24"/>
                <w:lang w:eastAsia="et-EE"/>
              </w:rPr>
            </w:pPr>
            <w:r w:rsidRPr="001927D6">
              <w:rPr>
                <w:color w:val="000000"/>
                <w:szCs w:val="24"/>
              </w:rPr>
              <w:t>1 952,83</w:t>
            </w:r>
          </w:p>
        </w:tc>
        <w:tc>
          <w:tcPr>
            <w:tcW w:w="1211" w:type="dxa"/>
            <w:vAlign w:val="center"/>
          </w:tcPr>
          <w:p w14:paraId="0A9F101E" w14:textId="77777777" w:rsidR="00295BCD" w:rsidRPr="001927D6" w:rsidRDefault="00295BCD">
            <w:pPr>
              <w:spacing w:after="0" w:line="240" w:lineRule="auto"/>
              <w:jc w:val="center"/>
              <w:textAlignment w:val="baseline"/>
              <w:rPr>
                <w:szCs w:val="24"/>
                <w:lang w:eastAsia="et-EE"/>
              </w:rPr>
            </w:pPr>
            <w:r w:rsidRPr="001927D6">
              <w:rPr>
                <w:color w:val="000000"/>
                <w:szCs w:val="24"/>
              </w:rPr>
              <w:t>545,08</w:t>
            </w:r>
          </w:p>
        </w:tc>
        <w:tc>
          <w:tcPr>
            <w:tcW w:w="1238" w:type="dxa"/>
            <w:vAlign w:val="center"/>
          </w:tcPr>
          <w:p w14:paraId="133A05AD" w14:textId="77777777" w:rsidR="00295BCD" w:rsidRPr="001927D6" w:rsidRDefault="00295BCD">
            <w:pPr>
              <w:spacing w:after="0" w:line="240" w:lineRule="auto"/>
              <w:jc w:val="center"/>
              <w:textAlignment w:val="baseline"/>
              <w:rPr>
                <w:szCs w:val="24"/>
                <w:lang w:eastAsia="et-EE"/>
              </w:rPr>
            </w:pPr>
            <w:r w:rsidRPr="001927D6">
              <w:rPr>
                <w:color w:val="000000"/>
                <w:szCs w:val="24"/>
              </w:rPr>
              <w:t>4 327,55</w:t>
            </w:r>
          </w:p>
        </w:tc>
      </w:tr>
      <w:tr w:rsidR="00295BCD" w:rsidRPr="001927D6" w14:paraId="4B1FB7E6" w14:textId="77777777" w:rsidTr="00295BCD">
        <w:trPr>
          <w:divId w:val="1316184749"/>
          <w:trHeight w:val="300"/>
        </w:trPr>
        <w:tc>
          <w:tcPr>
            <w:tcW w:w="4632" w:type="dxa"/>
            <w:vAlign w:val="bottom"/>
            <w:hideMark/>
          </w:tcPr>
          <w:p w14:paraId="5BDB7D70" w14:textId="77777777" w:rsidR="00295BCD" w:rsidRPr="001927D6" w:rsidRDefault="00295BCD">
            <w:pPr>
              <w:spacing w:after="0" w:line="240" w:lineRule="auto"/>
              <w:textAlignment w:val="baseline"/>
              <w:rPr>
                <w:szCs w:val="24"/>
                <w:lang w:eastAsia="et-EE"/>
              </w:rPr>
            </w:pPr>
            <w:r w:rsidRPr="001927D6">
              <w:rPr>
                <w:szCs w:val="24"/>
                <w:lang w:eastAsia="et-EE"/>
              </w:rPr>
              <w:t>Õhkrind, kht-ga </w:t>
            </w:r>
          </w:p>
        </w:tc>
        <w:tc>
          <w:tcPr>
            <w:tcW w:w="732" w:type="dxa"/>
            <w:vAlign w:val="center"/>
            <w:hideMark/>
          </w:tcPr>
          <w:p w14:paraId="0E681066" w14:textId="77777777" w:rsidR="00295BCD" w:rsidRPr="001927D6" w:rsidRDefault="00295BCD">
            <w:pPr>
              <w:spacing w:after="0" w:line="240" w:lineRule="auto"/>
              <w:jc w:val="center"/>
              <w:textAlignment w:val="baseline"/>
              <w:rPr>
                <w:szCs w:val="24"/>
                <w:lang w:eastAsia="et-EE"/>
              </w:rPr>
            </w:pPr>
            <w:r w:rsidRPr="001927D6">
              <w:rPr>
                <w:szCs w:val="24"/>
                <w:lang w:eastAsia="et-EE"/>
              </w:rPr>
              <w:t>094 </w:t>
            </w:r>
          </w:p>
        </w:tc>
        <w:tc>
          <w:tcPr>
            <w:tcW w:w="1243" w:type="dxa"/>
            <w:vAlign w:val="center"/>
          </w:tcPr>
          <w:p w14:paraId="4949E34F" w14:textId="77777777" w:rsidR="00295BCD" w:rsidRPr="001927D6" w:rsidRDefault="00295BCD">
            <w:pPr>
              <w:spacing w:after="0" w:line="240" w:lineRule="auto"/>
              <w:jc w:val="center"/>
              <w:textAlignment w:val="baseline"/>
              <w:rPr>
                <w:szCs w:val="24"/>
                <w:lang w:eastAsia="et-EE"/>
              </w:rPr>
            </w:pPr>
            <w:r w:rsidRPr="001927D6">
              <w:rPr>
                <w:color w:val="000000"/>
                <w:szCs w:val="24"/>
              </w:rPr>
              <w:t>2 113,60</w:t>
            </w:r>
          </w:p>
        </w:tc>
        <w:tc>
          <w:tcPr>
            <w:tcW w:w="1211" w:type="dxa"/>
            <w:vAlign w:val="center"/>
          </w:tcPr>
          <w:p w14:paraId="32A227C4" w14:textId="77777777" w:rsidR="00295BCD" w:rsidRPr="001927D6" w:rsidRDefault="00295BCD">
            <w:pPr>
              <w:spacing w:after="0" w:line="240" w:lineRule="auto"/>
              <w:jc w:val="center"/>
              <w:textAlignment w:val="baseline"/>
              <w:rPr>
                <w:szCs w:val="24"/>
                <w:lang w:eastAsia="et-EE"/>
              </w:rPr>
            </w:pPr>
            <w:r w:rsidRPr="001927D6">
              <w:rPr>
                <w:color w:val="000000"/>
                <w:szCs w:val="24"/>
              </w:rPr>
              <w:t>553,33</w:t>
            </w:r>
          </w:p>
        </w:tc>
        <w:tc>
          <w:tcPr>
            <w:tcW w:w="1238" w:type="dxa"/>
            <w:vAlign w:val="center"/>
          </w:tcPr>
          <w:p w14:paraId="11DC4A6B" w14:textId="77777777" w:rsidR="00295BCD" w:rsidRPr="001927D6" w:rsidRDefault="00295BCD">
            <w:pPr>
              <w:spacing w:after="0" w:line="240" w:lineRule="auto"/>
              <w:jc w:val="center"/>
              <w:textAlignment w:val="baseline"/>
              <w:rPr>
                <w:szCs w:val="24"/>
                <w:lang w:eastAsia="et-EE"/>
              </w:rPr>
            </w:pPr>
            <w:r w:rsidRPr="001927D6">
              <w:rPr>
                <w:color w:val="000000"/>
                <w:szCs w:val="24"/>
              </w:rPr>
              <w:t>5 568,68</w:t>
            </w:r>
          </w:p>
        </w:tc>
      </w:tr>
      <w:tr w:rsidR="00295BCD" w:rsidRPr="001927D6" w14:paraId="43B92D7F" w14:textId="77777777" w:rsidTr="00295BCD">
        <w:trPr>
          <w:divId w:val="1316184749"/>
          <w:trHeight w:val="300"/>
        </w:trPr>
        <w:tc>
          <w:tcPr>
            <w:tcW w:w="4632" w:type="dxa"/>
            <w:vAlign w:val="bottom"/>
            <w:hideMark/>
          </w:tcPr>
          <w:p w14:paraId="1ADEC1E8" w14:textId="77777777" w:rsidR="00295BCD" w:rsidRPr="001927D6" w:rsidRDefault="00295BCD">
            <w:pPr>
              <w:spacing w:after="0" w:line="240" w:lineRule="auto"/>
              <w:textAlignment w:val="baseline"/>
              <w:rPr>
                <w:szCs w:val="24"/>
                <w:lang w:eastAsia="et-EE"/>
              </w:rPr>
            </w:pPr>
            <w:r w:rsidRPr="001927D6">
              <w:rPr>
                <w:szCs w:val="24"/>
                <w:lang w:eastAsia="et-EE"/>
              </w:rPr>
              <w:t>Õhkrind, kht-ta </w:t>
            </w:r>
          </w:p>
        </w:tc>
        <w:tc>
          <w:tcPr>
            <w:tcW w:w="732" w:type="dxa"/>
            <w:vAlign w:val="center"/>
            <w:hideMark/>
          </w:tcPr>
          <w:p w14:paraId="6EC1A277" w14:textId="77777777" w:rsidR="00295BCD" w:rsidRPr="001927D6" w:rsidRDefault="00295BCD">
            <w:pPr>
              <w:spacing w:after="0" w:line="240" w:lineRule="auto"/>
              <w:jc w:val="center"/>
              <w:textAlignment w:val="baseline"/>
              <w:rPr>
                <w:szCs w:val="24"/>
                <w:lang w:eastAsia="et-EE"/>
              </w:rPr>
            </w:pPr>
            <w:r w:rsidRPr="001927D6">
              <w:rPr>
                <w:szCs w:val="24"/>
                <w:lang w:eastAsia="et-EE"/>
              </w:rPr>
              <w:t>095 </w:t>
            </w:r>
          </w:p>
        </w:tc>
        <w:tc>
          <w:tcPr>
            <w:tcW w:w="1243" w:type="dxa"/>
            <w:vAlign w:val="center"/>
          </w:tcPr>
          <w:p w14:paraId="1582B07C" w14:textId="77777777" w:rsidR="00295BCD" w:rsidRPr="001927D6" w:rsidRDefault="00295BCD">
            <w:pPr>
              <w:spacing w:after="0" w:line="240" w:lineRule="auto"/>
              <w:jc w:val="center"/>
              <w:textAlignment w:val="baseline"/>
              <w:rPr>
                <w:szCs w:val="24"/>
                <w:lang w:eastAsia="et-EE"/>
              </w:rPr>
            </w:pPr>
            <w:r w:rsidRPr="001927D6">
              <w:rPr>
                <w:color w:val="000000"/>
                <w:szCs w:val="24"/>
              </w:rPr>
              <w:t>948,16</w:t>
            </w:r>
          </w:p>
        </w:tc>
        <w:tc>
          <w:tcPr>
            <w:tcW w:w="1211" w:type="dxa"/>
            <w:vAlign w:val="center"/>
          </w:tcPr>
          <w:p w14:paraId="51B94542" w14:textId="77777777" w:rsidR="00295BCD" w:rsidRPr="001927D6" w:rsidRDefault="00295BCD">
            <w:pPr>
              <w:spacing w:after="0" w:line="240" w:lineRule="auto"/>
              <w:jc w:val="center"/>
              <w:textAlignment w:val="baseline"/>
              <w:rPr>
                <w:szCs w:val="24"/>
                <w:lang w:eastAsia="et-EE"/>
              </w:rPr>
            </w:pPr>
            <w:r w:rsidRPr="001927D6">
              <w:rPr>
                <w:color w:val="000000"/>
                <w:szCs w:val="24"/>
              </w:rPr>
              <w:t>311,79</w:t>
            </w:r>
          </w:p>
        </w:tc>
        <w:tc>
          <w:tcPr>
            <w:tcW w:w="1238" w:type="dxa"/>
            <w:vAlign w:val="center"/>
          </w:tcPr>
          <w:p w14:paraId="4BA2E85E" w14:textId="77777777" w:rsidR="00295BCD" w:rsidRPr="001927D6" w:rsidRDefault="00295BCD">
            <w:pPr>
              <w:spacing w:after="0" w:line="240" w:lineRule="auto"/>
              <w:jc w:val="center"/>
              <w:textAlignment w:val="baseline"/>
              <w:rPr>
                <w:szCs w:val="24"/>
                <w:lang w:eastAsia="et-EE"/>
              </w:rPr>
            </w:pPr>
            <w:r w:rsidRPr="001927D6">
              <w:rPr>
                <w:color w:val="000000"/>
                <w:szCs w:val="24"/>
              </w:rPr>
              <w:t>2 239,15</w:t>
            </w:r>
          </w:p>
        </w:tc>
      </w:tr>
      <w:tr w:rsidR="00295BCD" w:rsidRPr="001927D6" w14:paraId="297EFA55" w14:textId="77777777" w:rsidTr="00295BCD">
        <w:trPr>
          <w:divId w:val="1316184749"/>
          <w:trHeight w:val="300"/>
        </w:trPr>
        <w:tc>
          <w:tcPr>
            <w:tcW w:w="4632" w:type="dxa"/>
            <w:vAlign w:val="bottom"/>
            <w:hideMark/>
          </w:tcPr>
          <w:p w14:paraId="321348B0" w14:textId="77777777" w:rsidR="00295BCD" w:rsidRPr="001927D6" w:rsidRDefault="00295BCD">
            <w:pPr>
              <w:spacing w:after="0" w:line="240" w:lineRule="auto"/>
              <w:textAlignment w:val="baseline"/>
              <w:rPr>
                <w:szCs w:val="24"/>
                <w:lang w:eastAsia="et-EE"/>
              </w:rPr>
            </w:pPr>
            <w:r w:rsidRPr="001927D6">
              <w:rPr>
                <w:szCs w:val="24"/>
                <w:lang w:eastAsia="et-EE"/>
              </w:rPr>
              <w:t>Bronhiidid ja bronhiaalastma, vanus &gt; 17, kht-ga </w:t>
            </w:r>
          </w:p>
        </w:tc>
        <w:tc>
          <w:tcPr>
            <w:tcW w:w="732" w:type="dxa"/>
            <w:vAlign w:val="center"/>
            <w:hideMark/>
          </w:tcPr>
          <w:p w14:paraId="28D862D4" w14:textId="77777777" w:rsidR="00295BCD" w:rsidRPr="001927D6" w:rsidRDefault="00295BCD">
            <w:pPr>
              <w:spacing w:after="0" w:line="240" w:lineRule="auto"/>
              <w:jc w:val="center"/>
              <w:textAlignment w:val="baseline"/>
              <w:rPr>
                <w:szCs w:val="24"/>
                <w:lang w:eastAsia="et-EE"/>
              </w:rPr>
            </w:pPr>
            <w:r w:rsidRPr="001927D6">
              <w:rPr>
                <w:szCs w:val="24"/>
                <w:lang w:eastAsia="et-EE"/>
              </w:rPr>
              <w:t>096 </w:t>
            </w:r>
          </w:p>
        </w:tc>
        <w:tc>
          <w:tcPr>
            <w:tcW w:w="1243" w:type="dxa"/>
            <w:vAlign w:val="center"/>
          </w:tcPr>
          <w:p w14:paraId="10541F28" w14:textId="77777777" w:rsidR="00295BCD" w:rsidRPr="001927D6" w:rsidRDefault="00295BCD">
            <w:pPr>
              <w:spacing w:after="0" w:line="240" w:lineRule="auto"/>
              <w:jc w:val="center"/>
              <w:textAlignment w:val="baseline"/>
              <w:rPr>
                <w:szCs w:val="24"/>
                <w:lang w:eastAsia="et-EE"/>
              </w:rPr>
            </w:pPr>
            <w:r w:rsidRPr="001927D6">
              <w:rPr>
                <w:color w:val="000000"/>
                <w:szCs w:val="24"/>
              </w:rPr>
              <w:t>2 580,42</w:t>
            </w:r>
          </w:p>
        </w:tc>
        <w:tc>
          <w:tcPr>
            <w:tcW w:w="1211" w:type="dxa"/>
            <w:vAlign w:val="center"/>
          </w:tcPr>
          <w:p w14:paraId="063C0798" w14:textId="77777777" w:rsidR="00295BCD" w:rsidRPr="001927D6" w:rsidRDefault="00295BCD">
            <w:pPr>
              <w:spacing w:after="0" w:line="240" w:lineRule="auto"/>
              <w:jc w:val="center"/>
              <w:textAlignment w:val="baseline"/>
              <w:rPr>
                <w:szCs w:val="24"/>
                <w:lang w:eastAsia="et-EE"/>
              </w:rPr>
            </w:pPr>
            <w:r w:rsidRPr="001927D6">
              <w:rPr>
                <w:color w:val="000000"/>
                <w:szCs w:val="24"/>
              </w:rPr>
              <w:t>994,86</w:t>
            </w:r>
          </w:p>
        </w:tc>
        <w:tc>
          <w:tcPr>
            <w:tcW w:w="1238" w:type="dxa"/>
            <w:vAlign w:val="center"/>
          </w:tcPr>
          <w:p w14:paraId="47FBFF53" w14:textId="77777777" w:rsidR="00295BCD" w:rsidRPr="001927D6" w:rsidRDefault="00295BCD">
            <w:pPr>
              <w:spacing w:after="0" w:line="240" w:lineRule="auto"/>
              <w:jc w:val="center"/>
              <w:textAlignment w:val="baseline"/>
              <w:rPr>
                <w:szCs w:val="24"/>
                <w:lang w:eastAsia="et-EE"/>
              </w:rPr>
            </w:pPr>
            <w:r w:rsidRPr="001927D6">
              <w:rPr>
                <w:color w:val="000000"/>
                <w:szCs w:val="24"/>
              </w:rPr>
              <w:t>4 816,18</w:t>
            </w:r>
          </w:p>
        </w:tc>
      </w:tr>
      <w:tr w:rsidR="00295BCD" w:rsidRPr="001927D6" w14:paraId="762A288A" w14:textId="77777777" w:rsidTr="00295BCD">
        <w:trPr>
          <w:divId w:val="1316184749"/>
          <w:trHeight w:val="300"/>
        </w:trPr>
        <w:tc>
          <w:tcPr>
            <w:tcW w:w="4632" w:type="dxa"/>
            <w:vAlign w:val="bottom"/>
            <w:hideMark/>
          </w:tcPr>
          <w:p w14:paraId="075646EE" w14:textId="77777777" w:rsidR="00295BCD" w:rsidRPr="001927D6" w:rsidRDefault="00295BCD">
            <w:pPr>
              <w:spacing w:after="0" w:line="240" w:lineRule="auto"/>
              <w:textAlignment w:val="baseline"/>
              <w:rPr>
                <w:szCs w:val="24"/>
                <w:lang w:eastAsia="et-EE"/>
              </w:rPr>
            </w:pPr>
            <w:r w:rsidRPr="001927D6">
              <w:rPr>
                <w:szCs w:val="24"/>
                <w:lang w:eastAsia="et-EE"/>
              </w:rPr>
              <w:t>Bronhiidid ja bronhiaalastma, vanus &gt; 17, kht-ta </w:t>
            </w:r>
          </w:p>
        </w:tc>
        <w:tc>
          <w:tcPr>
            <w:tcW w:w="732" w:type="dxa"/>
            <w:vAlign w:val="center"/>
            <w:hideMark/>
          </w:tcPr>
          <w:p w14:paraId="13EBC6D8" w14:textId="77777777" w:rsidR="00295BCD" w:rsidRPr="001927D6" w:rsidRDefault="00295BCD">
            <w:pPr>
              <w:spacing w:after="0" w:line="240" w:lineRule="auto"/>
              <w:jc w:val="center"/>
              <w:textAlignment w:val="baseline"/>
              <w:rPr>
                <w:szCs w:val="24"/>
                <w:lang w:eastAsia="et-EE"/>
              </w:rPr>
            </w:pPr>
            <w:r w:rsidRPr="001927D6">
              <w:rPr>
                <w:szCs w:val="24"/>
                <w:lang w:eastAsia="et-EE"/>
              </w:rPr>
              <w:t>097 </w:t>
            </w:r>
          </w:p>
        </w:tc>
        <w:tc>
          <w:tcPr>
            <w:tcW w:w="1243" w:type="dxa"/>
            <w:vAlign w:val="center"/>
          </w:tcPr>
          <w:p w14:paraId="573810A7" w14:textId="77777777" w:rsidR="00295BCD" w:rsidRPr="001927D6" w:rsidRDefault="00295BCD">
            <w:pPr>
              <w:spacing w:after="0" w:line="240" w:lineRule="auto"/>
              <w:jc w:val="center"/>
              <w:textAlignment w:val="baseline"/>
              <w:rPr>
                <w:szCs w:val="24"/>
                <w:lang w:eastAsia="et-EE"/>
              </w:rPr>
            </w:pPr>
            <w:r w:rsidRPr="001927D6">
              <w:rPr>
                <w:color w:val="000000"/>
                <w:szCs w:val="24"/>
              </w:rPr>
              <w:t>1 918,12</w:t>
            </w:r>
          </w:p>
        </w:tc>
        <w:tc>
          <w:tcPr>
            <w:tcW w:w="1211" w:type="dxa"/>
            <w:vAlign w:val="center"/>
          </w:tcPr>
          <w:p w14:paraId="1CE3BBC0" w14:textId="77777777" w:rsidR="00295BCD" w:rsidRPr="001927D6" w:rsidRDefault="00295BCD">
            <w:pPr>
              <w:spacing w:after="0" w:line="240" w:lineRule="auto"/>
              <w:jc w:val="center"/>
              <w:textAlignment w:val="baseline"/>
              <w:rPr>
                <w:szCs w:val="24"/>
                <w:lang w:eastAsia="et-EE"/>
              </w:rPr>
            </w:pPr>
            <w:r w:rsidRPr="001927D6">
              <w:rPr>
                <w:color w:val="000000"/>
                <w:szCs w:val="24"/>
              </w:rPr>
              <w:t>523,19</w:t>
            </w:r>
          </w:p>
        </w:tc>
        <w:tc>
          <w:tcPr>
            <w:tcW w:w="1238" w:type="dxa"/>
            <w:vAlign w:val="center"/>
          </w:tcPr>
          <w:p w14:paraId="67A6697F" w14:textId="77777777" w:rsidR="00295BCD" w:rsidRPr="001927D6" w:rsidRDefault="00295BCD">
            <w:pPr>
              <w:spacing w:after="0" w:line="240" w:lineRule="auto"/>
              <w:jc w:val="center"/>
              <w:textAlignment w:val="baseline"/>
              <w:rPr>
                <w:szCs w:val="24"/>
                <w:lang w:eastAsia="et-EE"/>
              </w:rPr>
            </w:pPr>
            <w:r w:rsidRPr="001927D6">
              <w:rPr>
                <w:color w:val="000000"/>
                <w:szCs w:val="24"/>
              </w:rPr>
              <w:t>3 179,51</w:t>
            </w:r>
          </w:p>
        </w:tc>
      </w:tr>
      <w:tr w:rsidR="00295BCD" w:rsidRPr="001927D6" w14:paraId="250CCA99" w14:textId="77777777" w:rsidTr="00295BCD">
        <w:trPr>
          <w:divId w:val="1316184749"/>
          <w:trHeight w:val="300"/>
        </w:trPr>
        <w:tc>
          <w:tcPr>
            <w:tcW w:w="4632" w:type="dxa"/>
            <w:vAlign w:val="bottom"/>
            <w:hideMark/>
          </w:tcPr>
          <w:p w14:paraId="4A623C8E" w14:textId="77777777" w:rsidR="00295BCD" w:rsidRPr="001927D6" w:rsidRDefault="00295BCD">
            <w:pPr>
              <w:spacing w:after="0" w:line="240" w:lineRule="auto"/>
              <w:textAlignment w:val="baseline"/>
              <w:rPr>
                <w:szCs w:val="24"/>
                <w:lang w:eastAsia="et-EE"/>
              </w:rPr>
            </w:pPr>
            <w:r w:rsidRPr="001927D6">
              <w:rPr>
                <w:szCs w:val="24"/>
                <w:lang w:eastAsia="et-EE"/>
              </w:rPr>
              <w:t>Bronhiidid ja bronhiaalastma, vanus 0–17, kht-ga </w:t>
            </w:r>
          </w:p>
        </w:tc>
        <w:tc>
          <w:tcPr>
            <w:tcW w:w="732" w:type="dxa"/>
            <w:vAlign w:val="center"/>
            <w:hideMark/>
          </w:tcPr>
          <w:p w14:paraId="35B9E855" w14:textId="77777777" w:rsidR="00295BCD" w:rsidRPr="001927D6" w:rsidRDefault="00295BCD">
            <w:pPr>
              <w:spacing w:after="0" w:line="240" w:lineRule="auto"/>
              <w:jc w:val="center"/>
              <w:textAlignment w:val="baseline"/>
              <w:rPr>
                <w:szCs w:val="24"/>
                <w:lang w:eastAsia="et-EE"/>
              </w:rPr>
            </w:pPr>
            <w:r w:rsidRPr="001927D6">
              <w:rPr>
                <w:szCs w:val="24"/>
                <w:lang w:eastAsia="et-EE"/>
              </w:rPr>
              <w:t>098A </w:t>
            </w:r>
          </w:p>
        </w:tc>
        <w:tc>
          <w:tcPr>
            <w:tcW w:w="1243" w:type="dxa"/>
            <w:vAlign w:val="center"/>
          </w:tcPr>
          <w:p w14:paraId="3812C911" w14:textId="77777777" w:rsidR="00295BCD" w:rsidRPr="001927D6" w:rsidRDefault="00295BCD">
            <w:pPr>
              <w:spacing w:after="0" w:line="240" w:lineRule="auto"/>
              <w:jc w:val="center"/>
              <w:textAlignment w:val="baseline"/>
              <w:rPr>
                <w:szCs w:val="24"/>
                <w:lang w:eastAsia="et-EE"/>
              </w:rPr>
            </w:pPr>
            <w:r w:rsidRPr="001927D6">
              <w:rPr>
                <w:color w:val="000000"/>
                <w:szCs w:val="24"/>
              </w:rPr>
              <w:t>1 314,66</w:t>
            </w:r>
          </w:p>
        </w:tc>
        <w:tc>
          <w:tcPr>
            <w:tcW w:w="1211" w:type="dxa"/>
            <w:vAlign w:val="center"/>
          </w:tcPr>
          <w:p w14:paraId="43B84FE4" w14:textId="77777777" w:rsidR="00295BCD" w:rsidRPr="001927D6" w:rsidRDefault="00295BCD">
            <w:pPr>
              <w:spacing w:after="0" w:line="240" w:lineRule="auto"/>
              <w:jc w:val="center"/>
              <w:textAlignment w:val="baseline"/>
              <w:rPr>
                <w:szCs w:val="24"/>
                <w:lang w:eastAsia="et-EE"/>
              </w:rPr>
            </w:pPr>
            <w:r w:rsidRPr="001927D6">
              <w:rPr>
                <w:color w:val="000000"/>
                <w:szCs w:val="24"/>
              </w:rPr>
              <w:t>486,43</w:t>
            </w:r>
          </w:p>
        </w:tc>
        <w:tc>
          <w:tcPr>
            <w:tcW w:w="1238" w:type="dxa"/>
            <w:vAlign w:val="center"/>
          </w:tcPr>
          <w:p w14:paraId="10DDB8F2" w14:textId="77777777" w:rsidR="00295BCD" w:rsidRPr="001927D6" w:rsidRDefault="00295BCD">
            <w:pPr>
              <w:spacing w:after="0" w:line="240" w:lineRule="auto"/>
              <w:jc w:val="center"/>
              <w:textAlignment w:val="baseline"/>
              <w:rPr>
                <w:szCs w:val="24"/>
                <w:lang w:eastAsia="et-EE"/>
              </w:rPr>
            </w:pPr>
            <w:r w:rsidRPr="001927D6">
              <w:rPr>
                <w:color w:val="000000"/>
                <w:szCs w:val="24"/>
              </w:rPr>
              <w:t>2 508,02</w:t>
            </w:r>
          </w:p>
        </w:tc>
      </w:tr>
      <w:tr w:rsidR="00295BCD" w:rsidRPr="001927D6" w14:paraId="61B89767" w14:textId="77777777" w:rsidTr="00295BCD">
        <w:trPr>
          <w:divId w:val="1316184749"/>
          <w:trHeight w:val="300"/>
        </w:trPr>
        <w:tc>
          <w:tcPr>
            <w:tcW w:w="4632" w:type="dxa"/>
            <w:vAlign w:val="bottom"/>
            <w:hideMark/>
          </w:tcPr>
          <w:p w14:paraId="76C50946" w14:textId="77777777" w:rsidR="00295BCD" w:rsidRPr="001927D6" w:rsidRDefault="00295BCD">
            <w:pPr>
              <w:spacing w:after="0" w:line="240" w:lineRule="auto"/>
              <w:textAlignment w:val="baseline"/>
              <w:rPr>
                <w:szCs w:val="24"/>
                <w:lang w:eastAsia="et-EE"/>
              </w:rPr>
            </w:pPr>
            <w:r w:rsidRPr="001927D6">
              <w:rPr>
                <w:szCs w:val="24"/>
                <w:lang w:eastAsia="et-EE"/>
              </w:rPr>
              <w:t>Bronhiidid ja bronhiaalastma, vanus 0–17, kht-ta </w:t>
            </w:r>
          </w:p>
        </w:tc>
        <w:tc>
          <w:tcPr>
            <w:tcW w:w="732" w:type="dxa"/>
            <w:vAlign w:val="center"/>
            <w:hideMark/>
          </w:tcPr>
          <w:p w14:paraId="0001BD64" w14:textId="77777777" w:rsidR="00295BCD" w:rsidRPr="001927D6" w:rsidRDefault="00295BCD">
            <w:pPr>
              <w:spacing w:after="0" w:line="240" w:lineRule="auto"/>
              <w:jc w:val="center"/>
              <w:textAlignment w:val="baseline"/>
              <w:rPr>
                <w:szCs w:val="24"/>
                <w:lang w:eastAsia="et-EE"/>
              </w:rPr>
            </w:pPr>
            <w:r w:rsidRPr="001927D6">
              <w:rPr>
                <w:szCs w:val="24"/>
                <w:lang w:eastAsia="et-EE"/>
              </w:rPr>
              <w:t>098B </w:t>
            </w:r>
          </w:p>
        </w:tc>
        <w:tc>
          <w:tcPr>
            <w:tcW w:w="1243" w:type="dxa"/>
            <w:vAlign w:val="center"/>
          </w:tcPr>
          <w:p w14:paraId="5DCB5BA6" w14:textId="77777777" w:rsidR="00295BCD" w:rsidRPr="001927D6" w:rsidRDefault="00295BCD">
            <w:pPr>
              <w:spacing w:after="0" w:line="240" w:lineRule="auto"/>
              <w:jc w:val="center"/>
              <w:textAlignment w:val="baseline"/>
              <w:rPr>
                <w:szCs w:val="24"/>
                <w:lang w:eastAsia="et-EE"/>
              </w:rPr>
            </w:pPr>
            <w:r w:rsidRPr="001927D6">
              <w:rPr>
                <w:color w:val="000000"/>
                <w:szCs w:val="24"/>
              </w:rPr>
              <w:t>1 092,79</w:t>
            </w:r>
          </w:p>
        </w:tc>
        <w:tc>
          <w:tcPr>
            <w:tcW w:w="1211" w:type="dxa"/>
            <w:vAlign w:val="center"/>
          </w:tcPr>
          <w:p w14:paraId="5D87E398" w14:textId="77777777" w:rsidR="00295BCD" w:rsidRPr="001927D6" w:rsidRDefault="00295BCD">
            <w:pPr>
              <w:spacing w:after="0" w:line="240" w:lineRule="auto"/>
              <w:jc w:val="center"/>
              <w:textAlignment w:val="baseline"/>
              <w:rPr>
                <w:szCs w:val="24"/>
                <w:lang w:eastAsia="et-EE"/>
              </w:rPr>
            </w:pPr>
            <w:r w:rsidRPr="001927D6">
              <w:rPr>
                <w:color w:val="000000"/>
                <w:szCs w:val="24"/>
              </w:rPr>
              <w:t>489,82</w:t>
            </w:r>
          </w:p>
        </w:tc>
        <w:tc>
          <w:tcPr>
            <w:tcW w:w="1238" w:type="dxa"/>
            <w:vAlign w:val="center"/>
          </w:tcPr>
          <w:p w14:paraId="41332253" w14:textId="77777777" w:rsidR="00295BCD" w:rsidRPr="001927D6" w:rsidRDefault="00295BCD">
            <w:pPr>
              <w:spacing w:after="0" w:line="240" w:lineRule="auto"/>
              <w:jc w:val="center"/>
              <w:textAlignment w:val="baseline"/>
              <w:rPr>
                <w:szCs w:val="24"/>
                <w:lang w:eastAsia="et-EE"/>
              </w:rPr>
            </w:pPr>
            <w:r w:rsidRPr="001927D6">
              <w:rPr>
                <w:color w:val="000000"/>
                <w:szCs w:val="24"/>
              </w:rPr>
              <w:t>2 035,05</w:t>
            </w:r>
          </w:p>
        </w:tc>
      </w:tr>
      <w:tr w:rsidR="00295BCD" w:rsidRPr="001927D6" w14:paraId="79869B5F" w14:textId="77777777" w:rsidTr="00295BCD">
        <w:trPr>
          <w:divId w:val="1316184749"/>
          <w:trHeight w:val="300"/>
        </w:trPr>
        <w:tc>
          <w:tcPr>
            <w:tcW w:w="4632" w:type="dxa"/>
            <w:vAlign w:val="bottom"/>
            <w:hideMark/>
          </w:tcPr>
          <w:p w14:paraId="01952EAD" w14:textId="77777777" w:rsidR="00295BCD" w:rsidRPr="001927D6" w:rsidRDefault="00295BCD">
            <w:pPr>
              <w:spacing w:after="0" w:line="240" w:lineRule="auto"/>
              <w:textAlignment w:val="baseline"/>
              <w:rPr>
                <w:szCs w:val="24"/>
                <w:lang w:eastAsia="et-EE"/>
              </w:rPr>
            </w:pPr>
            <w:r w:rsidRPr="001927D6">
              <w:rPr>
                <w:szCs w:val="24"/>
                <w:lang w:eastAsia="et-EE"/>
              </w:rPr>
              <w:t>Hingamiselunditega seotud haigustunnused ja sümptomid, kht-ga </w:t>
            </w:r>
          </w:p>
        </w:tc>
        <w:tc>
          <w:tcPr>
            <w:tcW w:w="732" w:type="dxa"/>
            <w:vAlign w:val="center"/>
            <w:hideMark/>
          </w:tcPr>
          <w:p w14:paraId="532C57AC" w14:textId="77777777" w:rsidR="00295BCD" w:rsidRPr="001927D6" w:rsidRDefault="00295BCD">
            <w:pPr>
              <w:spacing w:after="0" w:line="240" w:lineRule="auto"/>
              <w:jc w:val="center"/>
              <w:textAlignment w:val="baseline"/>
              <w:rPr>
                <w:szCs w:val="24"/>
                <w:lang w:eastAsia="et-EE"/>
              </w:rPr>
            </w:pPr>
            <w:r w:rsidRPr="001927D6">
              <w:rPr>
                <w:szCs w:val="24"/>
                <w:lang w:eastAsia="et-EE"/>
              </w:rPr>
              <w:t>099 </w:t>
            </w:r>
          </w:p>
        </w:tc>
        <w:tc>
          <w:tcPr>
            <w:tcW w:w="1243" w:type="dxa"/>
            <w:vAlign w:val="center"/>
          </w:tcPr>
          <w:p w14:paraId="672C3D7F" w14:textId="77777777" w:rsidR="00295BCD" w:rsidRPr="001927D6" w:rsidRDefault="00295BCD">
            <w:pPr>
              <w:spacing w:after="0" w:line="240" w:lineRule="auto"/>
              <w:jc w:val="center"/>
              <w:textAlignment w:val="baseline"/>
              <w:rPr>
                <w:szCs w:val="24"/>
                <w:lang w:eastAsia="et-EE"/>
              </w:rPr>
            </w:pPr>
            <w:r w:rsidRPr="001927D6">
              <w:rPr>
                <w:color w:val="000000"/>
                <w:szCs w:val="24"/>
              </w:rPr>
              <w:t>1 979,30</w:t>
            </w:r>
          </w:p>
        </w:tc>
        <w:tc>
          <w:tcPr>
            <w:tcW w:w="1211" w:type="dxa"/>
            <w:vAlign w:val="center"/>
          </w:tcPr>
          <w:p w14:paraId="2740188A" w14:textId="77777777" w:rsidR="00295BCD" w:rsidRPr="001927D6" w:rsidRDefault="00295BCD">
            <w:pPr>
              <w:spacing w:after="0" w:line="240" w:lineRule="auto"/>
              <w:jc w:val="center"/>
              <w:textAlignment w:val="baseline"/>
              <w:rPr>
                <w:szCs w:val="24"/>
                <w:lang w:eastAsia="et-EE"/>
              </w:rPr>
            </w:pPr>
            <w:r w:rsidRPr="001927D6">
              <w:rPr>
                <w:color w:val="000000"/>
                <w:szCs w:val="24"/>
              </w:rPr>
              <w:t>325,21</w:t>
            </w:r>
          </w:p>
        </w:tc>
        <w:tc>
          <w:tcPr>
            <w:tcW w:w="1238" w:type="dxa"/>
            <w:vAlign w:val="center"/>
          </w:tcPr>
          <w:p w14:paraId="60FA3315" w14:textId="77777777" w:rsidR="00295BCD" w:rsidRPr="001927D6" w:rsidRDefault="00295BCD">
            <w:pPr>
              <w:spacing w:after="0" w:line="240" w:lineRule="auto"/>
              <w:jc w:val="center"/>
              <w:textAlignment w:val="baseline"/>
              <w:rPr>
                <w:szCs w:val="24"/>
                <w:lang w:eastAsia="et-EE"/>
              </w:rPr>
            </w:pPr>
            <w:r w:rsidRPr="001927D6">
              <w:rPr>
                <w:color w:val="000000"/>
                <w:szCs w:val="24"/>
              </w:rPr>
              <w:t>4 870,40</w:t>
            </w:r>
          </w:p>
        </w:tc>
      </w:tr>
      <w:tr w:rsidR="00295BCD" w:rsidRPr="001927D6" w14:paraId="7DCDEC6C" w14:textId="77777777" w:rsidTr="00295BCD">
        <w:trPr>
          <w:divId w:val="1316184749"/>
          <w:trHeight w:val="300"/>
        </w:trPr>
        <w:tc>
          <w:tcPr>
            <w:tcW w:w="4632" w:type="dxa"/>
            <w:vAlign w:val="bottom"/>
            <w:hideMark/>
          </w:tcPr>
          <w:p w14:paraId="3C03772F" w14:textId="77777777" w:rsidR="00295BCD" w:rsidRPr="001927D6" w:rsidRDefault="00295BCD">
            <w:pPr>
              <w:spacing w:after="0" w:line="240" w:lineRule="auto"/>
              <w:textAlignment w:val="baseline"/>
              <w:rPr>
                <w:szCs w:val="24"/>
                <w:lang w:eastAsia="et-EE"/>
              </w:rPr>
            </w:pPr>
            <w:r w:rsidRPr="001927D6">
              <w:rPr>
                <w:szCs w:val="24"/>
                <w:lang w:eastAsia="et-EE"/>
              </w:rPr>
              <w:t>Hingamiselunditega seotud haigustunnused ja sümptomid, kht-ta </w:t>
            </w:r>
          </w:p>
        </w:tc>
        <w:tc>
          <w:tcPr>
            <w:tcW w:w="732" w:type="dxa"/>
            <w:vAlign w:val="center"/>
            <w:hideMark/>
          </w:tcPr>
          <w:p w14:paraId="6C0020A9" w14:textId="77777777" w:rsidR="00295BCD" w:rsidRPr="001927D6" w:rsidRDefault="00295BCD">
            <w:pPr>
              <w:spacing w:after="0" w:line="240" w:lineRule="auto"/>
              <w:jc w:val="center"/>
              <w:textAlignment w:val="baseline"/>
              <w:rPr>
                <w:szCs w:val="24"/>
                <w:lang w:eastAsia="et-EE"/>
              </w:rPr>
            </w:pPr>
            <w:r w:rsidRPr="001927D6">
              <w:rPr>
                <w:szCs w:val="24"/>
                <w:lang w:eastAsia="et-EE"/>
              </w:rPr>
              <w:t>100 </w:t>
            </w:r>
          </w:p>
        </w:tc>
        <w:tc>
          <w:tcPr>
            <w:tcW w:w="1243" w:type="dxa"/>
            <w:vAlign w:val="center"/>
          </w:tcPr>
          <w:p w14:paraId="5BF1E463" w14:textId="77777777" w:rsidR="00295BCD" w:rsidRPr="001927D6" w:rsidRDefault="00295BCD">
            <w:pPr>
              <w:spacing w:after="0" w:line="240" w:lineRule="auto"/>
              <w:jc w:val="center"/>
              <w:textAlignment w:val="baseline"/>
              <w:rPr>
                <w:szCs w:val="24"/>
                <w:lang w:eastAsia="et-EE"/>
              </w:rPr>
            </w:pPr>
            <w:r w:rsidRPr="001927D6">
              <w:rPr>
                <w:color w:val="000000"/>
                <w:szCs w:val="24"/>
              </w:rPr>
              <w:t>1 002,32</w:t>
            </w:r>
          </w:p>
        </w:tc>
        <w:tc>
          <w:tcPr>
            <w:tcW w:w="1211" w:type="dxa"/>
            <w:vAlign w:val="center"/>
          </w:tcPr>
          <w:p w14:paraId="69D38081" w14:textId="77777777" w:rsidR="00295BCD" w:rsidRPr="001927D6" w:rsidRDefault="00295BCD">
            <w:pPr>
              <w:spacing w:after="0" w:line="240" w:lineRule="auto"/>
              <w:jc w:val="center"/>
              <w:textAlignment w:val="baseline"/>
              <w:rPr>
                <w:szCs w:val="24"/>
                <w:lang w:eastAsia="et-EE"/>
              </w:rPr>
            </w:pPr>
            <w:r w:rsidRPr="001927D6">
              <w:rPr>
                <w:color w:val="000000"/>
                <w:szCs w:val="24"/>
              </w:rPr>
              <w:t>330,40</w:t>
            </w:r>
          </w:p>
        </w:tc>
        <w:tc>
          <w:tcPr>
            <w:tcW w:w="1238" w:type="dxa"/>
            <w:vAlign w:val="center"/>
          </w:tcPr>
          <w:p w14:paraId="71F5CD32" w14:textId="77777777" w:rsidR="00295BCD" w:rsidRPr="001927D6" w:rsidRDefault="00295BCD">
            <w:pPr>
              <w:spacing w:after="0" w:line="240" w:lineRule="auto"/>
              <w:jc w:val="center"/>
              <w:textAlignment w:val="baseline"/>
              <w:rPr>
                <w:szCs w:val="24"/>
                <w:lang w:eastAsia="et-EE"/>
              </w:rPr>
            </w:pPr>
            <w:r w:rsidRPr="001927D6">
              <w:rPr>
                <w:color w:val="000000"/>
                <w:szCs w:val="24"/>
              </w:rPr>
              <w:t>2 204,91</w:t>
            </w:r>
          </w:p>
        </w:tc>
      </w:tr>
      <w:tr w:rsidR="00295BCD" w:rsidRPr="001927D6" w14:paraId="56F41426" w14:textId="77777777" w:rsidTr="00295BCD">
        <w:trPr>
          <w:divId w:val="1316184749"/>
          <w:trHeight w:val="300"/>
        </w:trPr>
        <w:tc>
          <w:tcPr>
            <w:tcW w:w="4632" w:type="dxa"/>
            <w:vAlign w:val="bottom"/>
            <w:hideMark/>
          </w:tcPr>
          <w:p w14:paraId="5FF3F5C6" w14:textId="77777777" w:rsidR="00295BCD" w:rsidRPr="001927D6" w:rsidRDefault="00295BCD">
            <w:pPr>
              <w:spacing w:after="0" w:line="240" w:lineRule="auto"/>
              <w:textAlignment w:val="baseline"/>
              <w:rPr>
                <w:szCs w:val="24"/>
                <w:lang w:eastAsia="et-EE"/>
              </w:rPr>
            </w:pPr>
            <w:r w:rsidRPr="001927D6">
              <w:rPr>
                <w:szCs w:val="24"/>
                <w:lang w:eastAsia="et-EE"/>
              </w:rPr>
              <w:t>Hingamiselundite muud haigused, kht-ga </w:t>
            </w:r>
          </w:p>
        </w:tc>
        <w:tc>
          <w:tcPr>
            <w:tcW w:w="732" w:type="dxa"/>
            <w:vAlign w:val="center"/>
            <w:hideMark/>
          </w:tcPr>
          <w:p w14:paraId="2D28A797" w14:textId="77777777" w:rsidR="00295BCD" w:rsidRPr="001927D6" w:rsidRDefault="00295BCD">
            <w:pPr>
              <w:spacing w:after="0" w:line="240" w:lineRule="auto"/>
              <w:jc w:val="center"/>
              <w:textAlignment w:val="baseline"/>
              <w:rPr>
                <w:szCs w:val="24"/>
                <w:lang w:eastAsia="et-EE"/>
              </w:rPr>
            </w:pPr>
            <w:r w:rsidRPr="001927D6">
              <w:rPr>
                <w:szCs w:val="24"/>
                <w:lang w:eastAsia="et-EE"/>
              </w:rPr>
              <w:t>101 </w:t>
            </w:r>
          </w:p>
        </w:tc>
        <w:tc>
          <w:tcPr>
            <w:tcW w:w="1243" w:type="dxa"/>
            <w:vAlign w:val="center"/>
          </w:tcPr>
          <w:p w14:paraId="0BB20C99" w14:textId="77777777" w:rsidR="00295BCD" w:rsidRPr="001927D6" w:rsidRDefault="00295BCD">
            <w:pPr>
              <w:spacing w:after="0" w:line="240" w:lineRule="auto"/>
              <w:jc w:val="center"/>
              <w:textAlignment w:val="baseline"/>
              <w:rPr>
                <w:szCs w:val="24"/>
                <w:lang w:eastAsia="et-EE"/>
              </w:rPr>
            </w:pPr>
            <w:r w:rsidRPr="001927D6">
              <w:rPr>
                <w:color w:val="000000"/>
                <w:szCs w:val="24"/>
              </w:rPr>
              <w:t>2 767,14</w:t>
            </w:r>
          </w:p>
        </w:tc>
        <w:tc>
          <w:tcPr>
            <w:tcW w:w="1211" w:type="dxa"/>
            <w:vAlign w:val="center"/>
          </w:tcPr>
          <w:p w14:paraId="4899FAA9" w14:textId="77777777" w:rsidR="00295BCD" w:rsidRPr="001927D6" w:rsidRDefault="00295BCD">
            <w:pPr>
              <w:spacing w:after="0" w:line="240" w:lineRule="auto"/>
              <w:jc w:val="center"/>
              <w:textAlignment w:val="baseline"/>
              <w:rPr>
                <w:szCs w:val="24"/>
                <w:lang w:eastAsia="et-EE"/>
              </w:rPr>
            </w:pPr>
            <w:r w:rsidRPr="001927D6">
              <w:rPr>
                <w:color w:val="000000"/>
                <w:szCs w:val="24"/>
              </w:rPr>
              <w:t>538,32</w:t>
            </w:r>
          </w:p>
        </w:tc>
        <w:tc>
          <w:tcPr>
            <w:tcW w:w="1238" w:type="dxa"/>
            <w:vAlign w:val="center"/>
          </w:tcPr>
          <w:p w14:paraId="5631FE42" w14:textId="77777777" w:rsidR="00295BCD" w:rsidRPr="001927D6" w:rsidRDefault="00295BCD">
            <w:pPr>
              <w:spacing w:after="0" w:line="240" w:lineRule="auto"/>
              <w:jc w:val="center"/>
              <w:textAlignment w:val="baseline"/>
              <w:rPr>
                <w:szCs w:val="24"/>
                <w:lang w:eastAsia="et-EE"/>
              </w:rPr>
            </w:pPr>
            <w:r w:rsidRPr="001927D6">
              <w:rPr>
                <w:color w:val="000000"/>
                <w:szCs w:val="24"/>
              </w:rPr>
              <w:t>8 757,56</w:t>
            </w:r>
          </w:p>
        </w:tc>
      </w:tr>
      <w:tr w:rsidR="00295BCD" w:rsidRPr="001927D6" w14:paraId="4753E945" w14:textId="77777777" w:rsidTr="00295BCD">
        <w:trPr>
          <w:divId w:val="1316184749"/>
          <w:trHeight w:val="300"/>
        </w:trPr>
        <w:tc>
          <w:tcPr>
            <w:tcW w:w="4632" w:type="dxa"/>
            <w:vAlign w:val="bottom"/>
            <w:hideMark/>
          </w:tcPr>
          <w:p w14:paraId="6CB5DE67" w14:textId="77777777" w:rsidR="00295BCD" w:rsidRPr="001927D6" w:rsidRDefault="00295BCD">
            <w:pPr>
              <w:spacing w:after="0" w:line="240" w:lineRule="auto"/>
              <w:textAlignment w:val="baseline"/>
              <w:rPr>
                <w:szCs w:val="24"/>
                <w:lang w:eastAsia="et-EE"/>
              </w:rPr>
            </w:pPr>
            <w:r w:rsidRPr="001927D6">
              <w:rPr>
                <w:szCs w:val="24"/>
                <w:lang w:eastAsia="et-EE"/>
              </w:rPr>
              <w:t>Hingamiselundite muud haigused, kht-ta </w:t>
            </w:r>
          </w:p>
        </w:tc>
        <w:tc>
          <w:tcPr>
            <w:tcW w:w="732" w:type="dxa"/>
            <w:vAlign w:val="center"/>
            <w:hideMark/>
          </w:tcPr>
          <w:p w14:paraId="18220524" w14:textId="77777777" w:rsidR="00295BCD" w:rsidRPr="001927D6" w:rsidRDefault="00295BCD">
            <w:pPr>
              <w:spacing w:after="0" w:line="240" w:lineRule="auto"/>
              <w:jc w:val="center"/>
              <w:textAlignment w:val="baseline"/>
              <w:rPr>
                <w:szCs w:val="24"/>
                <w:lang w:eastAsia="et-EE"/>
              </w:rPr>
            </w:pPr>
            <w:r w:rsidRPr="001927D6">
              <w:rPr>
                <w:szCs w:val="24"/>
                <w:lang w:eastAsia="et-EE"/>
              </w:rPr>
              <w:t>102 </w:t>
            </w:r>
          </w:p>
        </w:tc>
        <w:tc>
          <w:tcPr>
            <w:tcW w:w="1243" w:type="dxa"/>
            <w:vAlign w:val="center"/>
          </w:tcPr>
          <w:p w14:paraId="6C2BE2F5" w14:textId="77777777" w:rsidR="00295BCD" w:rsidRPr="001927D6" w:rsidRDefault="00295BCD">
            <w:pPr>
              <w:spacing w:after="0" w:line="240" w:lineRule="auto"/>
              <w:jc w:val="center"/>
              <w:textAlignment w:val="baseline"/>
              <w:rPr>
                <w:szCs w:val="24"/>
                <w:lang w:eastAsia="et-EE"/>
              </w:rPr>
            </w:pPr>
            <w:r w:rsidRPr="001927D6">
              <w:rPr>
                <w:color w:val="000000"/>
                <w:szCs w:val="24"/>
              </w:rPr>
              <w:t>1 078,49</w:t>
            </w:r>
          </w:p>
        </w:tc>
        <w:tc>
          <w:tcPr>
            <w:tcW w:w="1211" w:type="dxa"/>
            <w:vAlign w:val="center"/>
          </w:tcPr>
          <w:p w14:paraId="6AAEC9A3" w14:textId="77777777" w:rsidR="00295BCD" w:rsidRPr="001927D6" w:rsidRDefault="00295BCD">
            <w:pPr>
              <w:spacing w:after="0" w:line="240" w:lineRule="auto"/>
              <w:jc w:val="center"/>
              <w:textAlignment w:val="baseline"/>
              <w:rPr>
                <w:szCs w:val="24"/>
                <w:lang w:eastAsia="et-EE"/>
              </w:rPr>
            </w:pPr>
            <w:r w:rsidRPr="001927D6">
              <w:rPr>
                <w:color w:val="000000"/>
                <w:szCs w:val="24"/>
              </w:rPr>
              <w:t>298,78</w:t>
            </w:r>
          </w:p>
        </w:tc>
        <w:tc>
          <w:tcPr>
            <w:tcW w:w="1238" w:type="dxa"/>
            <w:vAlign w:val="center"/>
          </w:tcPr>
          <w:p w14:paraId="4E7A5D23" w14:textId="77777777" w:rsidR="00295BCD" w:rsidRPr="001927D6" w:rsidRDefault="00295BCD">
            <w:pPr>
              <w:spacing w:after="0" w:line="240" w:lineRule="auto"/>
              <w:jc w:val="center"/>
              <w:textAlignment w:val="baseline"/>
              <w:rPr>
                <w:szCs w:val="24"/>
                <w:lang w:eastAsia="et-EE"/>
              </w:rPr>
            </w:pPr>
            <w:r w:rsidRPr="001927D6">
              <w:rPr>
                <w:color w:val="000000"/>
                <w:szCs w:val="24"/>
              </w:rPr>
              <w:t>2 428,16</w:t>
            </w:r>
          </w:p>
        </w:tc>
      </w:tr>
      <w:tr w:rsidR="00295BCD" w:rsidRPr="001927D6" w14:paraId="2666BF06" w14:textId="77777777" w:rsidTr="00295BCD">
        <w:trPr>
          <w:divId w:val="1316184749"/>
          <w:trHeight w:val="300"/>
        </w:trPr>
        <w:tc>
          <w:tcPr>
            <w:tcW w:w="4632" w:type="dxa"/>
            <w:vAlign w:val="bottom"/>
            <w:hideMark/>
          </w:tcPr>
          <w:p w14:paraId="7928E8EF" w14:textId="77777777" w:rsidR="00295BCD" w:rsidRPr="001927D6" w:rsidRDefault="00295BCD">
            <w:pPr>
              <w:spacing w:after="0" w:line="240" w:lineRule="auto"/>
              <w:textAlignment w:val="baseline"/>
              <w:rPr>
                <w:szCs w:val="24"/>
                <w:lang w:eastAsia="et-EE"/>
              </w:rPr>
            </w:pPr>
            <w:r w:rsidRPr="001927D6">
              <w:rPr>
                <w:szCs w:val="24"/>
                <w:lang w:eastAsia="et-EE"/>
              </w:rPr>
              <w:t>Südame ühe klapi operatsioon </w:t>
            </w:r>
          </w:p>
        </w:tc>
        <w:tc>
          <w:tcPr>
            <w:tcW w:w="732" w:type="dxa"/>
            <w:vAlign w:val="center"/>
            <w:hideMark/>
          </w:tcPr>
          <w:p w14:paraId="317D161B" w14:textId="77777777" w:rsidR="00295BCD" w:rsidRPr="001927D6" w:rsidRDefault="00295BCD">
            <w:pPr>
              <w:spacing w:after="0" w:line="240" w:lineRule="auto"/>
              <w:jc w:val="center"/>
              <w:textAlignment w:val="baseline"/>
              <w:rPr>
                <w:szCs w:val="24"/>
                <w:lang w:eastAsia="et-EE"/>
              </w:rPr>
            </w:pPr>
            <w:r w:rsidRPr="001927D6">
              <w:rPr>
                <w:szCs w:val="24"/>
                <w:lang w:eastAsia="et-EE"/>
              </w:rPr>
              <w:t>104A </w:t>
            </w:r>
          </w:p>
        </w:tc>
        <w:tc>
          <w:tcPr>
            <w:tcW w:w="1243" w:type="dxa"/>
            <w:vAlign w:val="center"/>
          </w:tcPr>
          <w:p w14:paraId="26C5D843" w14:textId="77777777" w:rsidR="00295BCD" w:rsidRPr="001927D6" w:rsidRDefault="00295BCD">
            <w:pPr>
              <w:spacing w:after="0" w:line="240" w:lineRule="auto"/>
              <w:jc w:val="center"/>
              <w:textAlignment w:val="baseline"/>
              <w:rPr>
                <w:szCs w:val="24"/>
                <w:lang w:eastAsia="et-EE"/>
              </w:rPr>
            </w:pPr>
            <w:r w:rsidRPr="001927D6">
              <w:rPr>
                <w:color w:val="000000"/>
                <w:szCs w:val="24"/>
              </w:rPr>
              <w:t>13 958,26</w:t>
            </w:r>
          </w:p>
        </w:tc>
        <w:tc>
          <w:tcPr>
            <w:tcW w:w="1211" w:type="dxa"/>
            <w:vAlign w:val="center"/>
          </w:tcPr>
          <w:p w14:paraId="0F063CA3" w14:textId="77777777" w:rsidR="00295BCD" w:rsidRPr="001927D6" w:rsidRDefault="00295BCD">
            <w:pPr>
              <w:spacing w:after="0" w:line="240" w:lineRule="auto"/>
              <w:jc w:val="center"/>
              <w:textAlignment w:val="baseline"/>
              <w:rPr>
                <w:szCs w:val="24"/>
                <w:lang w:eastAsia="et-EE"/>
              </w:rPr>
            </w:pPr>
            <w:r w:rsidRPr="001927D6">
              <w:rPr>
                <w:color w:val="000000"/>
                <w:szCs w:val="24"/>
              </w:rPr>
              <w:t>11 243,01</w:t>
            </w:r>
          </w:p>
        </w:tc>
        <w:tc>
          <w:tcPr>
            <w:tcW w:w="1238" w:type="dxa"/>
            <w:vAlign w:val="center"/>
          </w:tcPr>
          <w:p w14:paraId="7D50F8D3" w14:textId="77777777" w:rsidR="00295BCD" w:rsidRPr="001927D6" w:rsidRDefault="00295BCD">
            <w:pPr>
              <w:spacing w:after="0" w:line="240" w:lineRule="auto"/>
              <w:jc w:val="center"/>
              <w:textAlignment w:val="baseline"/>
              <w:rPr>
                <w:szCs w:val="24"/>
                <w:lang w:eastAsia="et-EE"/>
              </w:rPr>
            </w:pPr>
            <w:r w:rsidRPr="001927D6">
              <w:rPr>
                <w:color w:val="000000"/>
                <w:szCs w:val="24"/>
              </w:rPr>
              <w:t>18 377,60</w:t>
            </w:r>
          </w:p>
        </w:tc>
      </w:tr>
      <w:tr w:rsidR="00295BCD" w:rsidRPr="001927D6" w14:paraId="3A500E5C" w14:textId="77777777" w:rsidTr="00295BCD">
        <w:trPr>
          <w:divId w:val="1316184749"/>
          <w:trHeight w:val="300"/>
        </w:trPr>
        <w:tc>
          <w:tcPr>
            <w:tcW w:w="4632" w:type="dxa"/>
            <w:vAlign w:val="bottom"/>
            <w:hideMark/>
          </w:tcPr>
          <w:p w14:paraId="4EBB1322" w14:textId="77777777" w:rsidR="00295BCD" w:rsidRPr="001927D6" w:rsidRDefault="00295BCD">
            <w:pPr>
              <w:spacing w:after="0" w:line="240" w:lineRule="auto"/>
              <w:textAlignment w:val="baseline"/>
              <w:rPr>
                <w:szCs w:val="24"/>
                <w:lang w:eastAsia="et-EE"/>
              </w:rPr>
            </w:pPr>
            <w:r w:rsidRPr="001927D6">
              <w:rPr>
                <w:szCs w:val="24"/>
                <w:lang w:eastAsia="et-EE"/>
              </w:rPr>
              <w:t>Südameklappide operatsioonid või südame ühe klapi operatsioon, kht-ga </w:t>
            </w:r>
          </w:p>
        </w:tc>
        <w:tc>
          <w:tcPr>
            <w:tcW w:w="732" w:type="dxa"/>
            <w:vAlign w:val="center"/>
            <w:hideMark/>
          </w:tcPr>
          <w:p w14:paraId="79D9E3E7" w14:textId="77777777" w:rsidR="00295BCD" w:rsidRPr="001927D6" w:rsidRDefault="00295BCD">
            <w:pPr>
              <w:spacing w:after="0" w:line="240" w:lineRule="auto"/>
              <w:jc w:val="center"/>
              <w:textAlignment w:val="baseline"/>
              <w:rPr>
                <w:szCs w:val="24"/>
                <w:lang w:eastAsia="et-EE"/>
              </w:rPr>
            </w:pPr>
            <w:r w:rsidRPr="001927D6">
              <w:rPr>
                <w:szCs w:val="24"/>
                <w:lang w:eastAsia="et-EE"/>
              </w:rPr>
              <w:t>104B </w:t>
            </w:r>
          </w:p>
        </w:tc>
        <w:tc>
          <w:tcPr>
            <w:tcW w:w="1243" w:type="dxa"/>
            <w:vAlign w:val="center"/>
          </w:tcPr>
          <w:p w14:paraId="37090BFB" w14:textId="77777777" w:rsidR="00295BCD" w:rsidRPr="001927D6" w:rsidRDefault="00295BCD">
            <w:pPr>
              <w:spacing w:after="0" w:line="240" w:lineRule="auto"/>
              <w:jc w:val="center"/>
              <w:textAlignment w:val="baseline"/>
              <w:rPr>
                <w:szCs w:val="24"/>
                <w:lang w:eastAsia="et-EE"/>
              </w:rPr>
            </w:pPr>
            <w:r w:rsidRPr="001927D6">
              <w:rPr>
                <w:color w:val="000000"/>
                <w:szCs w:val="24"/>
              </w:rPr>
              <w:t>20 594,67</w:t>
            </w:r>
          </w:p>
        </w:tc>
        <w:tc>
          <w:tcPr>
            <w:tcW w:w="1211" w:type="dxa"/>
            <w:vAlign w:val="center"/>
          </w:tcPr>
          <w:p w14:paraId="711D67C9" w14:textId="77777777" w:rsidR="00295BCD" w:rsidRPr="001927D6" w:rsidRDefault="00295BCD">
            <w:pPr>
              <w:spacing w:after="0" w:line="240" w:lineRule="auto"/>
              <w:jc w:val="center"/>
              <w:textAlignment w:val="baseline"/>
              <w:rPr>
                <w:szCs w:val="24"/>
                <w:lang w:eastAsia="et-EE"/>
              </w:rPr>
            </w:pPr>
            <w:r w:rsidRPr="001927D6">
              <w:rPr>
                <w:color w:val="000000"/>
                <w:szCs w:val="24"/>
              </w:rPr>
              <w:t>12 615,44</w:t>
            </w:r>
          </w:p>
        </w:tc>
        <w:tc>
          <w:tcPr>
            <w:tcW w:w="1238" w:type="dxa"/>
            <w:vAlign w:val="center"/>
          </w:tcPr>
          <w:p w14:paraId="10236E6D" w14:textId="77777777" w:rsidR="00295BCD" w:rsidRPr="001927D6" w:rsidRDefault="00295BCD">
            <w:pPr>
              <w:spacing w:after="0" w:line="240" w:lineRule="auto"/>
              <w:jc w:val="center"/>
              <w:textAlignment w:val="baseline"/>
              <w:rPr>
                <w:szCs w:val="24"/>
                <w:lang w:eastAsia="et-EE"/>
              </w:rPr>
            </w:pPr>
            <w:r w:rsidRPr="001927D6">
              <w:rPr>
                <w:color w:val="000000"/>
                <w:szCs w:val="24"/>
              </w:rPr>
              <w:t>38 675,04</w:t>
            </w:r>
          </w:p>
        </w:tc>
      </w:tr>
      <w:tr w:rsidR="00295BCD" w:rsidRPr="001927D6" w14:paraId="1A4A809D" w14:textId="77777777" w:rsidTr="00295BCD">
        <w:trPr>
          <w:divId w:val="1316184749"/>
          <w:trHeight w:val="300"/>
        </w:trPr>
        <w:tc>
          <w:tcPr>
            <w:tcW w:w="4632" w:type="dxa"/>
            <w:vAlign w:val="bottom"/>
            <w:hideMark/>
          </w:tcPr>
          <w:p w14:paraId="2C43B331" w14:textId="77777777" w:rsidR="00295BCD" w:rsidRPr="001927D6" w:rsidRDefault="00295BCD">
            <w:pPr>
              <w:spacing w:after="0" w:line="240" w:lineRule="auto"/>
              <w:textAlignment w:val="baseline"/>
              <w:rPr>
                <w:szCs w:val="24"/>
                <w:lang w:eastAsia="et-EE"/>
              </w:rPr>
            </w:pPr>
            <w:r w:rsidRPr="001927D6">
              <w:rPr>
                <w:szCs w:val="24"/>
                <w:lang w:eastAsia="et-EE"/>
              </w:rPr>
              <w:t>Perkutaanne südameklapi implanteerimine </w:t>
            </w:r>
          </w:p>
        </w:tc>
        <w:tc>
          <w:tcPr>
            <w:tcW w:w="732" w:type="dxa"/>
            <w:vAlign w:val="center"/>
            <w:hideMark/>
          </w:tcPr>
          <w:p w14:paraId="3C3E3B7D" w14:textId="77777777" w:rsidR="00295BCD" w:rsidRPr="001927D6" w:rsidRDefault="00295BCD">
            <w:pPr>
              <w:spacing w:after="0" w:line="240" w:lineRule="auto"/>
              <w:jc w:val="center"/>
              <w:textAlignment w:val="baseline"/>
              <w:rPr>
                <w:szCs w:val="24"/>
                <w:lang w:eastAsia="et-EE"/>
              </w:rPr>
            </w:pPr>
            <w:r w:rsidRPr="001927D6">
              <w:rPr>
                <w:szCs w:val="24"/>
                <w:lang w:eastAsia="et-EE"/>
              </w:rPr>
              <w:t>104D </w:t>
            </w:r>
          </w:p>
        </w:tc>
        <w:tc>
          <w:tcPr>
            <w:tcW w:w="1243" w:type="dxa"/>
            <w:vAlign w:val="center"/>
          </w:tcPr>
          <w:p w14:paraId="3A7CF856" w14:textId="77777777" w:rsidR="00295BCD" w:rsidRPr="001927D6" w:rsidRDefault="00295BCD">
            <w:pPr>
              <w:spacing w:after="0" w:line="240" w:lineRule="auto"/>
              <w:jc w:val="center"/>
              <w:textAlignment w:val="baseline"/>
              <w:rPr>
                <w:szCs w:val="24"/>
                <w:lang w:eastAsia="et-EE"/>
              </w:rPr>
            </w:pPr>
            <w:r w:rsidRPr="001927D6">
              <w:rPr>
                <w:color w:val="000000"/>
                <w:szCs w:val="24"/>
              </w:rPr>
              <w:t>28 412,55</w:t>
            </w:r>
          </w:p>
        </w:tc>
        <w:tc>
          <w:tcPr>
            <w:tcW w:w="1211" w:type="dxa"/>
            <w:vAlign w:val="center"/>
          </w:tcPr>
          <w:p w14:paraId="674FD17C" w14:textId="77777777" w:rsidR="00295BCD" w:rsidRPr="001927D6" w:rsidRDefault="00295BCD">
            <w:pPr>
              <w:spacing w:after="0" w:line="240" w:lineRule="auto"/>
              <w:jc w:val="center"/>
              <w:textAlignment w:val="baseline"/>
              <w:rPr>
                <w:szCs w:val="24"/>
                <w:lang w:eastAsia="et-EE"/>
              </w:rPr>
            </w:pPr>
            <w:r w:rsidRPr="001927D6">
              <w:rPr>
                <w:color w:val="000000"/>
                <w:szCs w:val="24"/>
              </w:rPr>
              <w:t>13 483,73</w:t>
            </w:r>
          </w:p>
        </w:tc>
        <w:tc>
          <w:tcPr>
            <w:tcW w:w="1238" w:type="dxa"/>
            <w:vAlign w:val="center"/>
          </w:tcPr>
          <w:p w14:paraId="7C245E81" w14:textId="77777777" w:rsidR="00295BCD" w:rsidRPr="001927D6" w:rsidRDefault="00295BCD">
            <w:pPr>
              <w:spacing w:after="0" w:line="240" w:lineRule="auto"/>
              <w:jc w:val="center"/>
              <w:textAlignment w:val="baseline"/>
              <w:rPr>
                <w:szCs w:val="24"/>
                <w:lang w:eastAsia="et-EE"/>
              </w:rPr>
            </w:pPr>
            <w:r w:rsidRPr="001927D6">
              <w:rPr>
                <w:color w:val="000000"/>
                <w:szCs w:val="24"/>
              </w:rPr>
              <w:t>57 595,69</w:t>
            </w:r>
          </w:p>
        </w:tc>
      </w:tr>
      <w:tr w:rsidR="00295BCD" w:rsidRPr="001927D6" w14:paraId="07981549" w14:textId="77777777" w:rsidTr="00295BCD">
        <w:trPr>
          <w:divId w:val="1316184749"/>
          <w:trHeight w:val="300"/>
        </w:trPr>
        <w:tc>
          <w:tcPr>
            <w:tcW w:w="4632" w:type="dxa"/>
            <w:vAlign w:val="bottom"/>
            <w:hideMark/>
          </w:tcPr>
          <w:p w14:paraId="3734C35A" w14:textId="77777777" w:rsidR="00295BCD" w:rsidRPr="001927D6" w:rsidRDefault="00295BCD">
            <w:pPr>
              <w:spacing w:after="0" w:line="240" w:lineRule="auto"/>
              <w:textAlignment w:val="baseline"/>
              <w:rPr>
                <w:szCs w:val="24"/>
                <w:lang w:eastAsia="et-EE"/>
              </w:rPr>
            </w:pPr>
            <w:r w:rsidRPr="001927D6">
              <w:rPr>
                <w:szCs w:val="24"/>
                <w:lang w:eastAsia="et-EE"/>
              </w:rPr>
              <w:t>Südameklappide operatsioonid koos südame kateeterdamisega, lühike ravi </w:t>
            </w:r>
          </w:p>
        </w:tc>
        <w:tc>
          <w:tcPr>
            <w:tcW w:w="732" w:type="dxa"/>
            <w:vAlign w:val="center"/>
            <w:hideMark/>
          </w:tcPr>
          <w:p w14:paraId="7E3735FF" w14:textId="77777777" w:rsidR="00295BCD" w:rsidRPr="001927D6" w:rsidRDefault="00295BCD">
            <w:pPr>
              <w:spacing w:after="0" w:line="240" w:lineRule="auto"/>
              <w:jc w:val="center"/>
              <w:textAlignment w:val="baseline"/>
              <w:rPr>
                <w:szCs w:val="24"/>
                <w:lang w:eastAsia="et-EE"/>
              </w:rPr>
            </w:pPr>
            <w:r w:rsidRPr="001927D6">
              <w:rPr>
                <w:szCs w:val="24"/>
                <w:lang w:eastAsia="et-EE"/>
              </w:rPr>
              <w:t>104O </w:t>
            </w:r>
          </w:p>
        </w:tc>
        <w:tc>
          <w:tcPr>
            <w:tcW w:w="1243" w:type="dxa"/>
            <w:vAlign w:val="center"/>
          </w:tcPr>
          <w:p w14:paraId="271F83D4" w14:textId="77777777" w:rsidR="00295BCD" w:rsidRPr="001927D6" w:rsidRDefault="00295BCD">
            <w:pPr>
              <w:spacing w:after="0" w:line="240" w:lineRule="auto"/>
              <w:jc w:val="center"/>
              <w:textAlignment w:val="baseline"/>
              <w:rPr>
                <w:szCs w:val="24"/>
                <w:lang w:eastAsia="et-EE"/>
              </w:rPr>
            </w:pPr>
            <w:r w:rsidRPr="001927D6">
              <w:rPr>
                <w:color w:val="000000"/>
                <w:szCs w:val="24"/>
              </w:rPr>
              <w:t>2 261,36</w:t>
            </w:r>
          </w:p>
        </w:tc>
        <w:tc>
          <w:tcPr>
            <w:tcW w:w="1211" w:type="dxa"/>
            <w:vAlign w:val="center"/>
          </w:tcPr>
          <w:p w14:paraId="7F113028" w14:textId="77777777" w:rsidR="00295BCD" w:rsidRPr="001927D6" w:rsidRDefault="00295BCD">
            <w:pPr>
              <w:spacing w:after="0" w:line="240" w:lineRule="auto"/>
              <w:jc w:val="center"/>
              <w:textAlignment w:val="baseline"/>
              <w:rPr>
                <w:szCs w:val="24"/>
                <w:lang w:eastAsia="et-EE"/>
              </w:rPr>
            </w:pPr>
            <w:r w:rsidRPr="001927D6">
              <w:rPr>
                <w:color w:val="000000"/>
                <w:szCs w:val="24"/>
              </w:rPr>
              <w:t>1 073,17</w:t>
            </w:r>
          </w:p>
        </w:tc>
        <w:tc>
          <w:tcPr>
            <w:tcW w:w="1238" w:type="dxa"/>
            <w:vAlign w:val="center"/>
          </w:tcPr>
          <w:p w14:paraId="51716E0F" w14:textId="77777777" w:rsidR="00295BCD" w:rsidRPr="001927D6" w:rsidRDefault="00295BCD">
            <w:pPr>
              <w:spacing w:after="0" w:line="240" w:lineRule="auto"/>
              <w:jc w:val="center"/>
              <w:textAlignment w:val="baseline"/>
              <w:rPr>
                <w:szCs w:val="24"/>
                <w:lang w:eastAsia="et-EE"/>
              </w:rPr>
            </w:pPr>
            <w:r w:rsidRPr="001927D6">
              <w:rPr>
                <w:color w:val="000000"/>
                <w:szCs w:val="24"/>
              </w:rPr>
              <w:t>4 584,05</w:t>
            </w:r>
          </w:p>
        </w:tc>
      </w:tr>
      <w:tr w:rsidR="00295BCD" w:rsidRPr="001927D6" w14:paraId="59530308" w14:textId="77777777" w:rsidTr="00295BCD">
        <w:trPr>
          <w:divId w:val="1316184749"/>
          <w:trHeight w:val="300"/>
        </w:trPr>
        <w:tc>
          <w:tcPr>
            <w:tcW w:w="4632" w:type="dxa"/>
            <w:vAlign w:val="bottom"/>
            <w:hideMark/>
          </w:tcPr>
          <w:p w14:paraId="70755135" w14:textId="77777777" w:rsidR="00295BCD" w:rsidRPr="001927D6" w:rsidRDefault="00295BCD">
            <w:pPr>
              <w:spacing w:after="0" w:line="240" w:lineRule="auto"/>
              <w:textAlignment w:val="baseline"/>
              <w:rPr>
                <w:szCs w:val="24"/>
                <w:lang w:eastAsia="et-EE"/>
              </w:rPr>
            </w:pPr>
            <w:r w:rsidRPr="001927D6">
              <w:rPr>
                <w:szCs w:val="24"/>
                <w:lang w:eastAsia="et-EE"/>
              </w:rPr>
              <w:t>Koronaararterite šuntimine ilma südame kateeterdamiseta </w:t>
            </w:r>
          </w:p>
        </w:tc>
        <w:tc>
          <w:tcPr>
            <w:tcW w:w="732" w:type="dxa"/>
            <w:vAlign w:val="center"/>
            <w:hideMark/>
          </w:tcPr>
          <w:p w14:paraId="5FB9473A" w14:textId="77777777" w:rsidR="00295BCD" w:rsidRPr="001927D6" w:rsidRDefault="00295BCD">
            <w:pPr>
              <w:spacing w:after="0" w:line="240" w:lineRule="auto"/>
              <w:jc w:val="center"/>
              <w:textAlignment w:val="baseline"/>
              <w:rPr>
                <w:szCs w:val="24"/>
                <w:lang w:eastAsia="et-EE"/>
              </w:rPr>
            </w:pPr>
            <w:r w:rsidRPr="001927D6">
              <w:rPr>
                <w:szCs w:val="24"/>
                <w:lang w:eastAsia="et-EE"/>
              </w:rPr>
              <w:t>107A </w:t>
            </w:r>
          </w:p>
        </w:tc>
        <w:tc>
          <w:tcPr>
            <w:tcW w:w="1243" w:type="dxa"/>
            <w:vAlign w:val="center"/>
          </w:tcPr>
          <w:p w14:paraId="61EE6857" w14:textId="77777777" w:rsidR="00295BCD" w:rsidRPr="001927D6" w:rsidRDefault="00295BCD">
            <w:pPr>
              <w:spacing w:after="0" w:line="240" w:lineRule="auto"/>
              <w:jc w:val="center"/>
              <w:textAlignment w:val="baseline"/>
              <w:rPr>
                <w:szCs w:val="24"/>
                <w:lang w:eastAsia="et-EE"/>
              </w:rPr>
            </w:pPr>
            <w:r w:rsidRPr="001927D6">
              <w:rPr>
                <w:color w:val="000000"/>
                <w:szCs w:val="24"/>
              </w:rPr>
              <w:t>11 069,86</w:t>
            </w:r>
          </w:p>
        </w:tc>
        <w:tc>
          <w:tcPr>
            <w:tcW w:w="1211" w:type="dxa"/>
            <w:vAlign w:val="center"/>
          </w:tcPr>
          <w:p w14:paraId="1225BD81" w14:textId="77777777" w:rsidR="00295BCD" w:rsidRPr="001927D6" w:rsidRDefault="00295BCD">
            <w:pPr>
              <w:spacing w:after="0" w:line="240" w:lineRule="auto"/>
              <w:jc w:val="center"/>
              <w:textAlignment w:val="baseline"/>
              <w:rPr>
                <w:szCs w:val="24"/>
                <w:lang w:eastAsia="et-EE"/>
              </w:rPr>
            </w:pPr>
            <w:r w:rsidRPr="001927D6">
              <w:rPr>
                <w:color w:val="000000"/>
                <w:szCs w:val="24"/>
              </w:rPr>
              <w:t>9 621,93</w:t>
            </w:r>
          </w:p>
        </w:tc>
        <w:tc>
          <w:tcPr>
            <w:tcW w:w="1238" w:type="dxa"/>
            <w:vAlign w:val="center"/>
          </w:tcPr>
          <w:p w14:paraId="4CE3C6EB" w14:textId="77777777" w:rsidR="00295BCD" w:rsidRPr="001927D6" w:rsidRDefault="00295BCD">
            <w:pPr>
              <w:spacing w:after="0" w:line="240" w:lineRule="auto"/>
              <w:jc w:val="center"/>
              <w:textAlignment w:val="baseline"/>
              <w:rPr>
                <w:szCs w:val="24"/>
                <w:lang w:eastAsia="et-EE"/>
              </w:rPr>
            </w:pPr>
            <w:r w:rsidRPr="001927D6">
              <w:rPr>
                <w:color w:val="000000"/>
                <w:szCs w:val="24"/>
              </w:rPr>
              <w:t>13 418,57</w:t>
            </w:r>
          </w:p>
        </w:tc>
      </w:tr>
      <w:tr w:rsidR="00295BCD" w:rsidRPr="001927D6" w14:paraId="787FDC22" w14:textId="77777777" w:rsidTr="00295BCD">
        <w:trPr>
          <w:divId w:val="1316184749"/>
          <w:trHeight w:val="300"/>
        </w:trPr>
        <w:tc>
          <w:tcPr>
            <w:tcW w:w="4632" w:type="dxa"/>
            <w:vAlign w:val="bottom"/>
            <w:hideMark/>
          </w:tcPr>
          <w:p w14:paraId="60A825B1" w14:textId="77777777" w:rsidR="00295BCD" w:rsidRPr="001927D6" w:rsidRDefault="00295BCD">
            <w:pPr>
              <w:spacing w:after="0" w:line="240" w:lineRule="auto"/>
              <w:textAlignment w:val="baseline"/>
              <w:rPr>
                <w:szCs w:val="24"/>
                <w:lang w:eastAsia="et-EE"/>
              </w:rPr>
            </w:pPr>
            <w:r w:rsidRPr="001927D6">
              <w:rPr>
                <w:szCs w:val="24"/>
                <w:lang w:eastAsia="et-EE"/>
              </w:rPr>
              <w:t>Koronaararterite šuntimine koos südame kateeterdamisega </w:t>
            </w:r>
          </w:p>
        </w:tc>
        <w:tc>
          <w:tcPr>
            <w:tcW w:w="732" w:type="dxa"/>
            <w:vAlign w:val="center"/>
            <w:hideMark/>
          </w:tcPr>
          <w:p w14:paraId="2DBAE4B3" w14:textId="77777777" w:rsidR="00295BCD" w:rsidRPr="001927D6" w:rsidRDefault="00295BCD">
            <w:pPr>
              <w:spacing w:after="0" w:line="240" w:lineRule="auto"/>
              <w:jc w:val="center"/>
              <w:textAlignment w:val="baseline"/>
              <w:rPr>
                <w:szCs w:val="24"/>
                <w:lang w:eastAsia="et-EE"/>
              </w:rPr>
            </w:pPr>
            <w:r w:rsidRPr="001927D6">
              <w:rPr>
                <w:szCs w:val="24"/>
                <w:lang w:eastAsia="et-EE"/>
              </w:rPr>
              <w:t>107B </w:t>
            </w:r>
          </w:p>
        </w:tc>
        <w:tc>
          <w:tcPr>
            <w:tcW w:w="1243" w:type="dxa"/>
            <w:vAlign w:val="center"/>
          </w:tcPr>
          <w:p w14:paraId="75E461FE" w14:textId="77777777" w:rsidR="00295BCD" w:rsidRPr="001927D6" w:rsidRDefault="00295BCD">
            <w:pPr>
              <w:spacing w:after="0" w:line="240" w:lineRule="auto"/>
              <w:jc w:val="center"/>
              <w:textAlignment w:val="baseline"/>
              <w:rPr>
                <w:szCs w:val="24"/>
                <w:lang w:eastAsia="et-EE"/>
              </w:rPr>
            </w:pPr>
            <w:r w:rsidRPr="001927D6">
              <w:rPr>
                <w:color w:val="000000"/>
                <w:szCs w:val="24"/>
              </w:rPr>
              <w:t>2 261,36</w:t>
            </w:r>
          </w:p>
        </w:tc>
        <w:tc>
          <w:tcPr>
            <w:tcW w:w="1211" w:type="dxa"/>
            <w:vAlign w:val="center"/>
          </w:tcPr>
          <w:p w14:paraId="55904B9A" w14:textId="77777777" w:rsidR="00295BCD" w:rsidRPr="001927D6" w:rsidRDefault="00295BCD">
            <w:pPr>
              <w:spacing w:after="0" w:line="240" w:lineRule="auto"/>
              <w:jc w:val="center"/>
              <w:textAlignment w:val="baseline"/>
              <w:rPr>
                <w:szCs w:val="24"/>
                <w:lang w:eastAsia="et-EE"/>
              </w:rPr>
            </w:pPr>
            <w:r w:rsidRPr="001927D6">
              <w:rPr>
                <w:color w:val="000000"/>
                <w:szCs w:val="24"/>
              </w:rPr>
              <w:t>1 073,17</w:t>
            </w:r>
          </w:p>
        </w:tc>
        <w:tc>
          <w:tcPr>
            <w:tcW w:w="1238" w:type="dxa"/>
            <w:vAlign w:val="center"/>
          </w:tcPr>
          <w:p w14:paraId="1BB13661" w14:textId="77777777" w:rsidR="00295BCD" w:rsidRPr="001927D6" w:rsidRDefault="00295BCD">
            <w:pPr>
              <w:spacing w:after="0" w:line="240" w:lineRule="auto"/>
              <w:jc w:val="center"/>
              <w:textAlignment w:val="baseline"/>
              <w:rPr>
                <w:szCs w:val="24"/>
                <w:lang w:eastAsia="et-EE"/>
              </w:rPr>
            </w:pPr>
            <w:r w:rsidRPr="001927D6">
              <w:rPr>
                <w:color w:val="000000"/>
                <w:szCs w:val="24"/>
              </w:rPr>
              <w:t>4 584,05</w:t>
            </w:r>
          </w:p>
        </w:tc>
      </w:tr>
      <w:tr w:rsidR="00295BCD" w:rsidRPr="001927D6" w14:paraId="70422E6B" w14:textId="77777777" w:rsidTr="00295BCD">
        <w:trPr>
          <w:divId w:val="1316184749"/>
          <w:trHeight w:val="300"/>
        </w:trPr>
        <w:tc>
          <w:tcPr>
            <w:tcW w:w="4632" w:type="dxa"/>
            <w:vAlign w:val="bottom"/>
            <w:hideMark/>
          </w:tcPr>
          <w:p w14:paraId="5C2D0DB2" w14:textId="77777777" w:rsidR="00295BCD" w:rsidRPr="001927D6" w:rsidRDefault="00295BCD">
            <w:pPr>
              <w:spacing w:after="0" w:line="240" w:lineRule="auto"/>
              <w:textAlignment w:val="baseline"/>
              <w:rPr>
                <w:szCs w:val="24"/>
                <w:lang w:eastAsia="et-EE"/>
              </w:rPr>
            </w:pPr>
            <w:r w:rsidRPr="001927D6">
              <w:rPr>
                <w:szCs w:val="24"/>
                <w:lang w:eastAsia="et-EE"/>
              </w:rPr>
              <w:t>Koronaararterite šuntimine koos keerukate operatsioonidega või kht-ga </w:t>
            </w:r>
          </w:p>
        </w:tc>
        <w:tc>
          <w:tcPr>
            <w:tcW w:w="732" w:type="dxa"/>
            <w:vAlign w:val="center"/>
            <w:hideMark/>
          </w:tcPr>
          <w:p w14:paraId="47733D8E" w14:textId="77777777" w:rsidR="00295BCD" w:rsidRPr="001927D6" w:rsidRDefault="00295BCD">
            <w:pPr>
              <w:spacing w:after="0" w:line="240" w:lineRule="auto"/>
              <w:jc w:val="center"/>
              <w:textAlignment w:val="baseline"/>
              <w:rPr>
                <w:szCs w:val="24"/>
                <w:lang w:eastAsia="et-EE"/>
              </w:rPr>
            </w:pPr>
            <w:r w:rsidRPr="001927D6">
              <w:rPr>
                <w:szCs w:val="24"/>
                <w:lang w:eastAsia="et-EE"/>
              </w:rPr>
              <w:t>107C </w:t>
            </w:r>
          </w:p>
        </w:tc>
        <w:tc>
          <w:tcPr>
            <w:tcW w:w="1243" w:type="dxa"/>
            <w:vAlign w:val="center"/>
          </w:tcPr>
          <w:p w14:paraId="2B0D4CE6" w14:textId="77777777" w:rsidR="00295BCD" w:rsidRPr="001927D6" w:rsidRDefault="00295BCD">
            <w:pPr>
              <w:spacing w:after="0" w:line="240" w:lineRule="auto"/>
              <w:jc w:val="center"/>
              <w:textAlignment w:val="baseline"/>
              <w:rPr>
                <w:szCs w:val="24"/>
                <w:lang w:eastAsia="et-EE"/>
              </w:rPr>
            </w:pPr>
            <w:r w:rsidRPr="001927D6">
              <w:rPr>
                <w:color w:val="000000"/>
                <w:szCs w:val="24"/>
              </w:rPr>
              <w:t>13 647,87</w:t>
            </w:r>
          </w:p>
        </w:tc>
        <w:tc>
          <w:tcPr>
            <w:tcW w:w="1211" w:type="dxa"/>
            <w:vAlign w:val="center"/>
          </w:tcPr>
          <w:p w14:paraId="384BE501" w14:textId="77777777" w:rsidR="00295BCD" w:rsidRPr="001927D6" w:rsidRDefault="00295BCD">
            <w:pPr>
              <w:spacing w:after="0" w:line="240" w:lineRule="auto"/>
              <w:jc w:val="center"/>
              <w:textAlignment w:val="baseline"/>
              <w:rPr>
                <w:szCs w:val="24"/>
                <w:lang w:eastAsia="et-EE"/>
              </w:rPr>
            </w:pPr>
            <w:r w:rsidRPr="001927D6">
              <w:rPr>
                <w:color w:val="000000"/>
                <w:szCs w:val="24"/>
              </w:rPr>
              <w:t>9 809,53</w:t>
            </w:r>
          </w:p>
        </w:tc>
        <w:tc>
          <w:tcPr>
            <w:tcW w:w="1238" w:type="dxa"/>
            <w:vAlign w:val="center"/>
          </w:tcPr>
          <w:p w14:paraId="529D1BD9" w14:textId="77777777" w:rsidR="00295BCD" w:rsidRPr="001927D6" w:rsidRDefault="00295BCD">
            <w:pPr>
              <w:spacing w:after="0" w:line="240" w:lineRule="auto"/>
              <w:jc w:val="center"/>
              <w:textAlignment w:val="baseline"/>
              <w:rPr>
                <w:szCs w:val="24"/>
                <w:lang w:eastAsia="et-EE"/>
              </w:rPr>
            </w:pPr>
            <w:r w:rsidRPr="001927D6">
              <w:rPr>
                <w:color w:val="000000"/>
                <w:szCs w:val="24"/>
              </w:rPr>
              <w:t>24 081,29</w:t>
            </w:r>
          </w:p>
        </w:tc>
      </w:tr>
      <w:tr w:rsidR="00295BCD" w:rsidRPr="001927D6" w14:paraId="0090BF97" w14:textId="77777777" w:rsidTr="00295BCD">
        <w:trPr>
          <w:divId w:val="1316184749"/>
          <w:trHeight w:val="300"/>
        </w:trPr>
        <w:tc>
          <w:tcPr>
            <w:tcW w:w="4632" w:type="dxa"/>
            <w:vAlign w:val="bottom"/>
            <w:hideMark/>
          </w:tcPr>
          <w:p w14:paraId="35FBAFDD" w14:textId="77777777" w:rsidR="00295BCD" w:rsidRPr="001927D6" w:rsidRDefault="00295BCD">
            <w:pPr>
              <w:spacing w:after="0" w:line="240" w:lineRule="auto"/>
              <w:textAlignment w:val="baseline"/>
              <w:rPr>
                <w:szCs w:val="24"/>
                <w:lang w:eastAsia="et-EE"/>
              </w:rPr>
            </w:pPr>
            <w:r w:rsidRPr="001927D6">
              <w:rPr>
                <w:szCs w:val="24"/>
                <w:lang w:eastAsia="et-EE"/>
              </w:rPr>
              <w:t>Koronaararterite šuntimine ilma südame kateeterdamiseta, lühike ravi </w:t>
            </w:r>
          </w:p>
        </w:tc>
        <w:tc>
          <w:tcPr>
            <w:tcW w:w="732" w:type="dxa"/>
            <w:vAlign w:val="center"/>
            <w:hideMark/>
          </w:tcPr>
          <w:p w14:paraId="139687D5" w14:textId="77777777" w:rsidR="00295BCD" w:rsidRPr="001927D6" w:rsidRDefault="00295BCD">
            <w:pPr>
              <w:spacing w:after="0" w:line="240" w:lineRule="auto"/>
              <w:jc w:val="center"/>
              <w:textAlignment w:val="baseline"/>
              <w:rPr>
                <w:szCs w:val="24"/>
                <w:lang w:eastAsia="et-EE"/>
              </w:rPr>
            </w:pPr>
            <w:r w:rsidRPr="001927D6">
              <w:rPr>
                <w:szCs w:val="24"/>
                <w:lang w:eastAsia="et-EE"/>
              </w:rPr>
              <w:t>107O </w:t>
            </w:r>
          </w:p>
        </w:tc>
        <w:tc>
          <w:tcPr>
            <w:tcW w:w="1243" w:type="dxa"/>
            <w:vAlign w:val="center"/>
          </w:tcPr>
          <w:p w14:paraId="10E5A1FE" w14:textId="77777777" w:rsidR="00295BCD" w:rsidRPr="001927D6" w:rsidRDefault="00295BCD">
            <w:pPr>
              <w:spacing w:after="0" w:line="240" w:lineRule="auto"/>
              <w:jc w:val="center"/>
              <w:textAlignment w:val="baseline"/>
              <w:rPr>
                <w:szCs w:val="24"/>
                <w:lang w:eastAsia="et-EE"/>
              </w:rPr>
            </w:pPr>
            <w:r w:rsidRPr="001927D6">
              <w:rPr>
                <w:color w:val="000000"/>
                <w:szCs w:val="24"/>
              </w:rPr>
              <w:t>2 261,36</w:t>
            </w:r>
          </w:p>
        </w:tc>
        <w:tc>
          <w:tcPr>
            <w:tcW w:w="1211" w:type="dxa"/>
            <w:vAlign w:val="center"/>
          </w:tcPr>
          <w:p w14:paraId="548435CF" w14:textId="77777777" w:rsidR="00295BCD" w:rsidRPr="001927D6" w:rsidRDefault="00295BCD">
            <w:pPr>
              <w:spacing w:after="0" w:line="240" w:lineRule="auto"/>
              <w:jc w:val="center"/>
              <w:textAlignment w:val="baseline"/>
              <w:rPr>
                <w:szCs w:val="24"/>
                <w:lang w:eastAsia="et-EE"/>
              </w:rPr>
            </w:pPr>
            <w:r w:rsidRPr="001927D6">
              <w:rPr>
                <w:color w:val="000000"/>
                <w:szCs w:val="24"/>
              </w:rPr>
              <w:t>1 073,17</w:t>
            </w:r>
          </w:p>
        </w:tc>
        <w:tc>
          <w:tcPr>
            <w:tcW w:w="1238" w:type="dxa"/>
            <w:vAlign w:val="center"/>
          </w:tcPr>
          <w:p w14:paraId="6F112A4D" w14:textId="77777777" w:rsidR="00295BCD" w:rsidRPr="001927D6" w:rsidRDefault="00295BCD">
            <w:pPr>
              <w:spacing w:after="0" w:line="240" w:lineRule="auto"/>
              <w:jc w:val="center"/>
              <w:textAlignment w:val="baseline"/>
              <w:rPr>
                <w:szCs w:val="24"/>
                <w:lang w:eastAsia="et-EE"/>
              </w:rPr>
            </w:pPr>
            <w:r w:rsidRPr="001927D6">
              <w:rPr>
                <w:color w:val="000000"/>
                <w:szCs w:val="24"/>
              </w:rPr>
              <w:t>4 584,05</w:t>
            </w:r>
          </w:p>
        </w:tc>
      </w:tr>
      <w:tr w:rsidR="00295BCD" w:rsidRPr="001927D6" w14:paraId="4AA0A09F" w14:textId="77777777" w:rsidTr="00295BCD">
        <w:trPr>
          <w:divId w:val="1316184749"/>
          <w:trHeight w:val="300"/>
        </w:trPr>
        <w:tc>
          <w:tcPr>
            <w:tcW w:w="4632" w:type="dxa"/>
            <w:vAlign w:val="bottom"/>
            <w:hideMark/>
          </w:tcPr>
          <w:p w14:paraId="4C12C1D2" w14:textId="77777777" w:rsidR="00295BCD" w:rsidRPr="001927D6" w:rsidRDefault="00295BCD">
            <w:pPr>
              <w:spacing w:after="0" w:line="240" w:lineRule="auto"/>
              <w:textAlignment w:val="baseline"/>
              <w:rPr>
                <w:szCs w:val="24"/>
                <w:lang w:eastAsia="et-EE"/>
              </w:rPr>
            </w:pPr>
            <w:r w:rsidRPr="001927D6">
              <w:rPr>
                <w:szCs w:val="24"/>
                <w:lang w:eastAsia="et-EE"/>
              </w:rPr>
              <w:t>Muud kardiotorakaalsed operatsioonid </w:t>
            </w:r>
          </w:p>
        </w:tc>
        <w:tc>
          <w:tcPr>
            <w:tcW w:w="732" w:type="dxa"/>
            <w:vAlign w:val="center"/>
            <w:hideMark/>
          </w:tcPr>
          <w:p w14:paraId="06A27773" w14:textId="77777777" w:rsidR="00295BCD" w:rsidRPr="001927D6" w:rsidRDefault="00295BCD">
            <w:pPr>
              <w:spacing w:after="0" w:line="240" w:lineRule="auto"/>
              <w:jc w:val="center"/>
              <w:textAlignment w:val="baseline"/>
              <w:rPr>
                <w:szCs w:val="24"/>
                <w:lang w:eastAsia="et-EE"/>
              </w:rPr>
            </w:pPr>
            <w:r w:rsidRPr="001927D6">
              <w:rPr>
                <w:szCs w:val="24"/>
                <w:lang w:eastAsia="et-EE"/>
              </w:rPr>
              <w:t>108 </w:t>
            </w:r>
          </w:p>
        </w:tc>
        <w:tc>
          <w:tcPr>
            <w:tcW w:w="1243" w:type="dxa"/>
            <w:vAlign w:val="center"/>
          </w:tcPr>
          <w:p w14:paraId="21CD33C5" w14:textId="77777777" w:rsidR="00295BCD" w:rsidRPr="001927D6" w:rsidRDefault="00295BCD">
            <w:pPr>
              <w:spacing w:after="0" w:line="240" w:lineRule="auto"/>
              <w:jc w:val="center"/>
              <w:textAlignment w:val="baseline"/>
              <w:rPr>
                <w:szCs w:val="24"/>
                <w:lang w:eastAsia="et-EE"/>
              </w:rPr>
            </w:pPr>
            <w:r w:rsidRPr="001927D6">
              <w:rPr>
                <w:color w:val="000000"/>
                <w:szCs w:val="24"/>
              </w:rPr>
              <w:t>13 201,25</w:t>
            </w:r>
          </w:p>
        </w:tc>
        <w:tc>
          <w:tcPr>
            <w:tcW w:w="1211" w:type="dxa"/>
            <w:vAlign w:val="center"/>
          </w:tcPr>
          <w:p w14:paraId="5847E0DC" w14:textId="77777777" w:rsidR="00295BCD" w:rsidRPr="001927D6" w:rsidRDefault="00295BCD">
            <w:pPr>
              <w:spacing w:after="0" w:line="240" w:lineRule="auto"/>
              <w:jc w:val="center"/>
              <w:textAlignment w:val="baseline"/>
              <w:rPr>
                <w:szCs w:val="24"/>
                <w:lang w:eastAsia="et-EE"/>
              </w:rPr>
            </w:pPr>
            <w:r w:rsidRPr="001927D6">
              <w:rPr>
                <w:color w:val="000000"/>
                <w:szCs w:val="24"/>
              </w:rPr>
              <w:t>5 833,09</w:t>
            </w:r>
          </w:p>
        </w:tc>
        <w:tc>
          <w:tcPr>
            <w:tcW w:w="1238" w:type="dxa"/>
            <w:vAlign w:val="center"/>
          </w:tcPr>
          <w:p w14:paraId="588A3F06" w14:textId="77777777" w:rsidR="00295BCD" w:rsidRPr="001927D6" w:rsidRDefault="00295BCD">
            <w:pPr>
              <w:spacing w:after="0" w:line="240" w:lineRule="auto"/>
              <w:jc w:val="center"/>
              <w:textAlignment w:val="baseline"/>
              <w:rPr>
                <w:szCs w:val="24"/>
                <w:lang w:eastAsia="et-EE"/>
              </w:rPr>
            </w:pPr>
            <w:r w:rsidRPr="001927D6">
              <w:rPr>
                <w:color w:val="000000"/>
                <w:szCs w:val="24"/>
              </w:rPr>
              <w:t>23 166,74</w:t>
            </w:r>
          </w:p>
        </w:tc>
      </w:tr>
      <w:tr w:rsidR="00295BCD" w:rsidRPr="001927D6" w14:paraId="44FADEA9" w14:textId="77777777" w:rsidTr="00295BCD">
        <w:trPr>
          <w:divId w:val="1316184749"/>
          <w:trHeight w:val="300"/>
        </w:trPr>
        <w:tc>
          <w:tcPr>
            <w:tcW w:w="4632" w:type="dxa"/>
            <w:vAlign w:val="bottom"/>
            <w:hideMark/>
          </w:tcPr>
          <w:p w14:paraId="0F3ECCA1" w14:textId="77777777" w:rsidR="00295BCD" w:rsidRPr="001927D6" w:rsidRDefault="00295BCD">
            <w:pPr>
              <w:spacing w:after="0" w:line="240" w:lineRule="auto"/>
              <w:textAlignment w:val="baseline"/>
              <w:rPr>
                <w:szCs w:val="24"/>
                <w:lang w:eastAsia="et-EE"/>
              </w:rPr>
            </w:pPr>
            <w:r w:rsidRPr="001927D6">
              <w:rPr>
                <w:szCs w:val="24"/>
                <w:lang w:eastAsia="et-EE"/>
              </w:rPr>
              <w:t>Muud kardiotorakaalsed operatsioonid, lühike ravi </w:t>
            </w:r>
          </w:p>
        </w:tc>
        <w:tc>
          <w:tcPr>
            <w:tcW w:w="732" w:type="dxa"/>
            <w:vAlign w:val="center"/>
            <w:hideMark/>
          </w:tcPr>
          <w:p w14:paraId="773D004C" w14:textId="77777777" w:rsidR="00295BCD" w:rsidRPr="001927D6" w:rsidRDefault="00295BCD">
            <w:pPr>
              <w:spacing w:after="0" w:line="240" w:lineRule="auto"/>
              <w:jc w:val="center"/>
              <w:textAlignment w:val="baseline"/>
              <w:rPr>
                <w:szCs w:val="24"/>
                <w:lang w:eastAsia="et-EE"/>
              </w:rPr>
            </w:pPr>
            <w:r w:rsidRPr="001927D6">
              <w:rPr>
                <w:szCs w:val="24"/>
                <w:lang w:eastAsia="et-EE"/>
              </w:rPr>
              <w:t>108O </w:t>
            </w:r>
          </w:p>
        </w:tc>
        <w:tc>
          <w:tcPr>
            <w:tcW w:w="1243" w:type="dxa"/>
            <w:vAlign w:val="center"/>
          </w:tcPr>
          <w:p w14:paraId="7A414C35" w14:textId="77777777" w:rsidR="00295BCD" w:rsidRPr="001927D6" w:rsidRDefault="00295BCD">
            <w:pPr>
              <w:spacing w:after="0" w:line="240" w:lineRule="auto"/>
              <w:jc w:val="center"/>
              <w:textAlignment w:val="baseline"/>
              <w:rPr>
                <w:szCs w:val="24"/>
                <w:lang w:eastAsia="et-EE"/>
              </w:rPr>
            </w:pPr>
            <w:r w:rsidRPr="001927D6">
              <w:rPr>
                <w:color w:val="000000"/>
                <w:szCs w:val="24"/>
              </w:rPr>
              <w:t>2 261,36</w:t>
            </w:r>
          </w:p>
        </w:tc>
        <w:tc>
          <w:tcPr>
            <w:tcW w:w="1211" w:type="dxa"/>
            <w:vAlign w:val="center"/>
          </w:tcPr>
          <w:p w14:paraId="36157CF9" w14:textId="77777777" w:rsidR="00295BCD" w:rsidRPr="001927D6" w:rsidRDefault="00295BCD">
            <w:pPr>
              <w:spacing w:after="0" w:line="240" w:lineRule="auto"/>
              <w:jc w:val="center"/>
              <w:textAlignment w:val="baseline"/>
              <w:rPr>
                <w:szCs w:val="24"/>
                <w:lang w:eastAsia="et-EE"/>
              </w:rPr>
            </w:pPr>
            <w:r w:rsidRPr="001927D6">
              <w:rPr>
                <w:color w:val="000000"/>
                <w:szCs w:val="24"/>
              </w:rPr>
              <w:t>1 073,17</w:t>
            </w:r>
          </w:p>
        </w:tc>
        <w:tc>
          <w:tcPr>
            <w:tcW w:w="1238" w:type="dxa"/>
            <w:vAlign w:val="center"/>
          </w:tcPr>
          <w:p w14:paraId="71682FB3" w14:textId="77777777" w:rsidR="00295BCD" w:rsidRPr="001927D6" w:rsidRDefault="00295BCD">
            <w:pPr>
              <w:spacing w:after="0" w:line="240" w:lineRule="auto"/>
              <w:jc w:val="center"/>
              <w:textAlignment w:val="baseline"/>
              <w:rPr>
                <w:szCs w:val="24"/>
                <w:lang w:eastAsia="et-EE"/>
              </w:rPr>
            </w:pPr>
            <w:r w:rsidRPr="001927D6">
              <w:rPr>
                <w:color w:val="000000"/>
                <w:szCs w:val="24"/>
              </w:rPr>
              <w:t>4 584,05</w:t>
            </w:r>
          </w:p>
        </w:tc>
      </w:tr>
      <w:tr w:rsidR="00295BCD" w:rsidRPr="001927D6" w14:paraId="65A72A38" w14:textId="77777777" w:rsidTr="00295BCD">
        <w:trPr>
          <w:divId w:val="1316184749"/>
          <w:trHeight w:val="300"/>
        </w:trPr>
        <w:tc>
          <w:tcPr>
            <w:tcW w:w="4632" w:type="dxa"/>
            <w:vAlign w:val="bottom"/>
            <w:hideMark/>
          </w:tcPr>
          <w:p w14:paraId="673CE451" w14:textId="77777777" w:rsidR="00295BCD" w:rsidRPr="001927D6" w:rsidRDefault="00295BCD">
            <w:pPr>
              <w:spacing w:after="0" w:line="240" w:lineRule="auto"/>
              <w:textAlignment w:val="baseline"/>
              <w:rPr>
                <w:szCs w:val="24"/>
                <w:lang w:eastAsia="et-EE"/>
              </w:rPr>
            </w:pPr>
            <w:r w:rsidRPr="001927D6">
              <w:rPr>
                <w:szCs w:val="24"/>
                <w:lang w:eastAsia="et-EE"/>
              </w:rPr>
              <w:t>Torakaalaneurüsmi operatsioon </w:t>
            </w:r>
          </w:p>
        </w:tc>
        <w:tc>
          <w:tcPr>
            <w:tcW w:w="732" w:type="dxa"/>
            <w:vAlign w:val="center"/>
            <w:hideMark/>
          </w:tcPr>
          <w:p w14:paraId="260FD8FC" w14:textId="77777777" w:rsidR="00295BCD" w:rsidRPr="001927D6" w:rsidRDefault="00295BCD">
            <w:pPr>
              <w:spacing w:after="0" w:line="240" w:lineRule="auto"/>
              <w:jc w:val="center"/>
              <w:textAlignment w:val="baseline"/>
              <w:rPr>
                <w:szCs w:val="24"/>
                <w:lang w:eastAsia="et-EE"/>
              </w:rPr>
            </w:pPr>
            <w:r w:rsidRPr="001927D6">
              <w:rPr>
                <w:szCs w:val="24"/>
                <w:lang w:eastAsia="et-EE"/>
              </w:rPr>
              <w:t>109N </w:t>
            </w:r>
          </w:p>
        </w:tc>
        <w:tc>
          <w:tcPr>
            <w:tcW w:w="1243" w:type="dxa"/>
            <w:vAlign w:val="center"/>
          </w:tcPr>
          <w:p w14:paraId="4904020E" w14:textId="77777777" w:rsidR="00295BCD" w:rsidRPr="001927D6" w:rsidRDefault="00295BCD">
            <w:pPr>
              <w:spacing w:after="0" w:line="240" w:lineRule="auto"/>
              <w:jc w:val="center"/>
              <w:textAlignment w:val="baseline"/>
              <w:rPr>
                <w:szCs w:val="24"/>
                <w:lang w:eastAsia="et-EE"/>
              </w:rPr>
            </w:pPr>
            <w:r w:rsidRPr="001927D6">
              <w:rPr>
                <w:color w:val="000000"/>
                <w:szCs w:val="24"/>
              </w:rPr>
              <w:t>25 774,80</w:t>
            </w:r>
          </w:p>
        </w:tc>
        <w:tc>
          <w:tcPr>
            <w:tcW w:w="1211" w:type="dxa"/>
            <w:vAlign w:val="center"/>
          </w:tcPr>
          <w:p w14:paraId="39CFAA01" w14:textId="77777777" w:rsidR="00295BCD" w:rsidRPr="001927D6" w:rsidRDefault="00295BCD">
            <w:pPr>
              <w:spacing w:after="0" w:line="240" w:lineRule="auto"/>
              <w:jc w:val="center"/>
              <w:textAlignment w:val="baseline"/>
              <w:rPr>
                <w:szCs w:val="24"/>
                <w:lang w:eastAsia="et-EE"/>
              </w:rPr>
            </w:pPr>
            <w:r w:rsidRPr="001927D6">
              <w:rPr>
                <w:color w:val="000000"/>
                <w:szCs w:val="24"/>
              </w:rPr>
              <w:t>14 162,76</w:t>
            </w:r>
          </w:p>
        </w:tc>
        <w:tc>
          <w:tcPr>
            <w:tcW w:w="1238" w:type="dxa"/>
            <w:vAlign w:val="center"/>
          </w:tcPr>
          <w:p w14:paraId="6EB9B6D0" w14:textId="77777777" w:rsidR="00295BCD" w:rsidRPr="001927D6" w:rsidRDefault="00295BCD">
            <w:pPr>
              <w:spacing w:after="0" w:line="240" w:lineRule="auto"/>
              <w:jc w:val="center"/>
              <w:textAlignment w:val="baseline"/>
              <w:rPr>
                <w:szCs w:val="24"/>
                <w:lang w:eastAsia="et-EE"/>
              </w:rPr>
            </w:pPr>
            <w:r w:rsidRPr="001927D6">
              <w:rPr>
                <w:color w:val="000000"/>
                <w:szCs w:val="24"/>
              </w:rPr>
              <w:t>44 877,12</w:t>
            </w:r>
          </w:p>
        </w:tc>
      </w:tr>
      <w:tr w:rsidR="00295BCD" w:rsidRPr="001927D6" w14:paraId="2F99012D" w14:textId="77777777" w:rsidTr="00295BCD">
        <w:trPr>
          <w:divId w:val="1316184749"/>
          <w:trHeight w:val="300"/>
        </w:trPr>
        <w:tc>
          <w:tcPr>
            <w:tcW w:w="4632" w:type="dxa"/>
            <w:vAlign w:val="bottom"/>
            <w:hideMark/>
          </w:tcPr>
          <w:p w14:paraId="590B8C78" w14:textId="77777777" w:rsidR="00295BCD" w:rsidRPr="001927D6" w:rsidRDefault="00295BCD">
            <w:pPr>
              <w:spacing w:after="0" w:line="240" w:lineRule="auto"/>
              <w:textAlignment w:val="baseline"/>
              <w:rPr>
                <w:szCs w:val="24"/>
                <w:lang w:eastAsia="et-EE"/>
              </w:rPr>
            </w:pPr>
            <w:r w:rsidRPr="001927D6">
              <w:rPr>
                <w:szCs w:val="24"/>
                <w:lang w:eastAsia="et-EE"/>
              </w:rPr>
              <w:t>Suured kardiovaskulaarsed operatsioonid, kht-ga </w:t>
            </w:r>
          </w:p>
        </w:tc>
        <w:tc>
          <w:tcPr>
            <w:tcW w:w="732" w:type="dxa"/>
            <w:vAlign w:val="center"/>
            <w:hideMark/>
          </w:tcPr>
          <w:p w14:paraId="2B18C78A" w14:textId="77777777" w:rsidR="00295BCD" w:rsidRPr="001927D6" w:rsidRDefault="00295BCD">
            <w:pPr>
              <w:spacing w:after="0" w:line="240" w:lineRule="auto"/>
              <w:jc w:val="center"/>
              <w:textAlignment w:val="baseline"/>
              <w:rPr>
                <w:szCs w:val="24"/>
                <w:lang w:eastAsia="et-EE"/>
              </w:rPr>
            </w:pPr>
            <w:r w:rsidRPr="001927D6">
              <w:rPr>
                <w:szCs w:val="24"/>
                <w:lang w:eastAsia="et-EE"/>
              </w:rPr>
              <w:t>110 </w:t>
            </w:r>
          </w:p>
        </w:tc>
        <w:tc>
          <w:tcPr>
            <w:tcW w:w="1243" w:type="dxa"/>
            <w:vAlign w:val="center"/>
          </w:tcPr>
          <w:p w14:paraId="70ABBAD8" w14:textId="77777777" w:rsidR="00295BCD" w:rsidRPr="001927D6" w:rsidRDefault="00295BCD">
            <w:pPr>
              <w:spacing w:after="0" w:line="240" w:lineRule="auto"/>
              <w:jc w:val="center"/>
              <w:textAlignment w:val="baseline"/>
              <w:rPr>
                <w:szCs w:val="24"/>
                <w:lang w:eastAsia="et-EE"/>
              </w:rPr>
            </w:pPr>
            <w:r w:rsidRPr="001927D6">
              <w:rPr>
                <w:color w:val="000000"/>
                <w:szCs w:val="24"/>
              </w:rPr>
              <w:t>9 361,47</w:t>
            </w:r>
          </w:p>
        </w:tc>
        <w:tc>
          <w:tcPr>
            <w:tcW w:w="1211" w:type="dxa"/>
            <w:vAlign w:val="center"/>
          </w:tcPr>
          <w:p w14:paraId="072BD5C7" w14:textId="77777777" w:rsidR="00295BCD" w:rsidRPr="001927D6" w:rsidRDefault="00295BCD">
            <w:pPr>
              <w:spacing w:after="0" w:line="240" w:lineRule="auto"/>
              <w:jc w:val="center"/>
              <w:textAlignment w:val="baseline"/>
              <w:rPr>
                <w:szCs w:val="24"/>
                <w:lang w:eastAsia="et-EE"/>
              </w:rPr>
            </w:pPr>
            <w:r w:rsidRPr="001927D6">
              <w:rPr>
                <w:color w:val="000000"/>
                <w:szCs w:val="24"/>
              </w:rPr>
              <w:t>3 246,54</w:t>
            </w:r>
          </w:p>
        </w:tc>
        <w:tc>
          <w:tcPr>
            <w:tcW w:w="1238" w:type="dxa"/>
            <w:vAlign w:val="center"/>
          </w:tcPr>
          <w:p w14:paraId="37B4D696" w14:textId="77777777" w:rsidR="00295BCD" w:rsidRPr="001927D6" w:rsidRDefault="00295BCD">
            <w:pPr>
              <w:spacing w:after="0" w:line="240" w:lineRule="auto"/>
              <w:jc w:val="center"/>
              <w:textAlignment w:val="baseline"/>
              <w:rPr>
                <w:szCs w:val="24"/>
                <w:lang w:eastAsia="et-EE"/>
              </w:rPr>
            </w:pPr>
            <w:r w:rsidRPr="001927D6">
              <w:rPr>
                <w:color w:val="000000"/>
                <w:szCs w:val="24"/>
              </w:rPr>
              <w:t>22 621,15</w:t>
            </w:r>
          </w:p>
        </w:tc>
      </w:tr>
      <w:tr w:rsidR="00295BCD" w:rsidRPr="001927D6" w14:paraId="5949BEEA" w14:textId="77777777" w:rsidTr="00295BCD">
        <w:trPr>
          <w:divId w:val="1316184749"/>
          <w:trHeight w:val="300"/>
        </w:trPr>
        <w:tc>
          <w:tcPr>
            <w:tcW w:w="4632" w:type="dxa"/>
            <w:vAlign w:val="bottom"/>
            <w:hideMark/>
          </w:tcPr>
          <w:p w14:paraId="1BCED62B"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Suured kardiovaskulaarsed operatsioonid, kht-ta </w:t>
            </w:r>
          </w:p>
        </w:tc>
        <w:tc>
          <w:tcPr>
            <w:tcW w:w="732" w:type="dxa"/>
            <w:vAlign w:val="center"/>
            <w:hideMark/>
          </w:tcPr>
          <w:p w14:paraId="68FAF9A6" w14:textId="77777777" w:rsidR="00295BCD" w:rsidRPr="001927D6" w:rsidRDefault="00295BCD">
            <w:pPr>
              <w:spacing w:after="0" w:line="240" w:lineRule="auto"/>
              <w:jc w:val="center"/>
              <w:textAlignment w:val="baseline"/>
              <w:rPr>
                <w:szCs w:val="24"/>
                <w:lang w:eastAsia="et-EE"/>
              </w:rPr>
            </w:pPr>
            <w:r w:rsidRPr="001927D6">
              <w:rPr>
                <w:szCs w:val="24"/>
                <w:lang w:eastAsia="et-EE"/>
              </w:rPr>
              <w:t>111 </w:t>
            </w:r>
          </w:p>
        </w:tc>
        <w:tc>
          <w:tcPr>
            <w:tcW w:w="1243" w:type="dxa"/>
            <w:vAlign w:val="center"/>
          </w:tcPr>
          <w:p w14:paraId="7F4840D3" w14:textId="77777777" w:rsidR="00295BCD" w:rsidRPr="001927D6" w:rsidRDefault="00295BCD">
            <w:pPr>
              <w:spacing w:after="0" w:line="240" w:lineRule="auto"/>
              <w:jc w:val="center"/>
              <w:textAlignment w:val="baseline"/>
              <w:rPr>
                <w:szCs w:val="24"/>
                <w:lang w:eastAsia="et-EE"/>
              </w:rPr>
            </w:pPr>
            <w:r w:rsidRPr="001927D6">
              <w:rPr>
                <w:color w:val="000000"/>
                <w:szCs w:val="24"/>
              </w:rPr>
              <w:t>8 753,96</w:t>
            </w:r>
          </w:p>
        </w:tc>
        <w:tc>
          <w:tcPr>
            <w:tcW w:w="1211" w:type="dxa"/>
            <w:vAlign w:val="center"/>
          </w:tcPr>
          <w:p w14:paraId="11EBD198" w14:textId="77777777" w:rsidR="00295BCD" w:rsidRPr="001927D6" w:rsidRDefault="00295BCD">
            <w:pPr>
              <w:spacing w:after="0" w:line="240" w:lineRule="auto"/>
              <w:jc w:val="center"/>
              <w:textAlignment w:val="baseline"/>
              <w:rPr>
                <w:szCs w:val="24"/>
                <w:lang w:eastAsia="et-EE"/>
              </w:rPr>
            </w:pPr>
            <w:r w:rsidRPr="001927D6">
              <w:rPr>
                <w:color w:val="000000"/>
                <w:szCs w:val="24"/>
              </w:rPr>
              <w:t>3 690,20</w:t>
            </w:r>
          </w:p>
        </w:tc>
        <w:tc>
          <w:tcPr>
            <w:tcW w:w="1238" w:type="dxa"/>
            <w:vAlign w:val="center"/>
          </w:tcPr>
          <w:p w14:paraId="1ED48046" w14:textId="77777777" w:rsidR="00295BCD" w:rsidRPr="001927D6" w:rsidRDefault="00295BCD">
            <w:pPr>
              <w:spacing w:after="0" w:line="240" w:lineRule="auto"/>
              <w:jc w:val="center"/>
              <w:textAlignment w:val="baseline"/>
              <w:rPr>
                <w:szCs w:val="24"/>
                <w:lang w:eastAsia="et-EE"/>
              </w:rPr>
            </w:pPr>
            <w:r w:rsidRPr="001927D6">
              <w:rPr>
                <w:color w:val="000000"/>
                <w:szCs w:val="24"/>
              </w:rPr>
              <w:t>15 622,16</w:t>
            </w:r>
          </w:p>
        </w:tc>
      </w:tr>
      <w:tr w:rsidR="00295BCD" w:rsidRPr="001927D6" w14:paraId="62B895AD" w14:textId="77777777" w:rsidTr="00295BCD">
        <w:trPr>
          <w:divId w:val="1316184749"/>
          <w:trHeight w:val="300"/>
        </w:trPr>
        <w:tc>
          <w:tcPr>
            <w:tcW w:w="4632" w:type="dxa"/>
            <w:vAlign w:val="bottom"/>
            <w:hideMark/>
          </w:tcPr>
          <w:p w14:paraId="7D2E0DC4" w14:textId="77777777" w:rsidR="00295BCD" w:rsidRPr="001927D6" w:rsidRDefault="00295BCD">
            <w:pPr>
              <w:spacing w:after="0" w:line="240" w:lineRule="auto"/>
              <w:textAlignment w:val="baseline"/>
              <w:rPr>
                <w:szCs w:val="24"/>
                <w:lang w:eastAsia="et-EE"/>
              </w:rPr>
            </w:pPr>
            <w:r w:rsidRPr="001927D6">
              <w:rPr>
                <w:szCs w:val="24"/>
                <w:lang w:eastAsia="et-EE"/>
              </w:rPr>
              <w:t>Suured kardiovaskulaarsed operatsioonid, lühike ravi </w:t>
            </w:r>
          </w:p>
        </w:tc>
        <w:tc>
          <w:tcPr>
            <w:tcW w:w="732" w:type="dxa"/>
            <w:vAlign w:val="center"/>
            <w:hideMark/>
          </w:tcPr>
          <w:p w14:paraId="6AD31495" w14:textId="77777777" w:rsidR="00295BCD" w:rsidRPr="001927D6" w:rsidRDefault="00295BCD">
            <w:pPr>
              <w:spacing w:after="0" w:line="240" w:lineRule="auto"/>
              <w:jc w:val="center"/>
              <w:textAlignment w:val="baseline"/>
              <w:rPr>
                <w:szCs w:val="24"/>
                <w:lang w:eastAsia="et-EE"/>
              </w:rPr>
            </w:pPr>
            <w:r w:rsidRPr="001927D6">
              <w:rPr>
                <w:szCs w:val="24"/>
                <w:lang w:eastAsia="et-EE"/>
              </w:rPr>
              <w:t>111O </w:t>
            </w:r>
          </w:p>
        </w:tc>
        <w:tc>
          <w:tcPr>
            <w:tcW w:w="1243" w:type="dxa"/>
            <w:vAlign w:val="center"/>
          </w:tcPr>
          <w:p w14:paraId="3EC9860D" w14:textId="77777777" w:rsidR="00295BCD" w:rsidRPr="001927D6" w:rsidRDefault="00295BCD">
            <w:pPr>
              <w:spacing w:after="0" w:line="240" w:lineRule="auto"/>
              <w:jc w:val="center"/>
              <w:textAlignment w:val="baseline"/>
              <w:rPr>
                <w:szCs w:val="24"/>
                <w:lang w:eastAsia="et-EE"/>
              </w:rPr>
            </w:pPr>
            <w:r w:rsidRPr="001927D6">
              <w:rPr>
                <w:color w:val="000000"/>
                <w:szCs w:val="24"/>
              </w:rPr>
              <w:t>3 207,36</w:t>
            </w:r>
          </w:p>
        </w:tc>
        <w:tc>
          <w:tcPr>
            <w:tcW w:w="1211" w:type="dxa"/>
            <w:vAlign w:val="center"/>
          </w:tcPr>
          <w:p w14:paraId="5428662E" w14:textId="77777777" w:rsidR="00295BCD" w:rsidRPr="001927D6" w:rsidRDefault="00295BCD">
            <w:pPr>
              <w:spacing w:after="0" w:line="240" w:lineRule="auto"/>
              <w:jc w:val="center"/>
              <w:textAlignment w:val="baseline"/>
              <w:rPr>
                <w:szCs w:val="24"/>
                <w:lang w:eastAsia="et-EE"/>
              </w:rPr>
            </w:pPr>
            <w:r w:rsidRPr="001927D6">
              <w:rPr>
                <w:color w:val="000000"/>
                <w:szCs w:val="24"/>
              </w:rPr>
              <w:t>1 522,12</w:t>
            </w:r>
          </w:p>
        </w:tc>
        <w:tc>
          <w:tcPr>
            <w:tcW w:w="1238" w:type="dxa"/>
            <w:vAlign w:val="center"/>
          </w:tcPr>
          <w:p w14:paraId="2CE4DB2A" w14:textId="77777777" w:rsidR="00295BCD" w:rsidRPr="001927D6" w:rsidRDefault="00295BCD">
            <w:pPr>
              <w:spacing w:after="0" w:line="240" w:lineRule="auto"/>
              <w:jc w:val="center"/>
              <w:textAlignment w:val="baseline"/>
              <w:rPr>
                <w:szCs w:val="24"/>
                <w:lang w:eastAsia="et-EE"/>
              </w:rPr>
            </w:pPr>
            <w:r w:rsidRPr="001927D6">
              <w:rPr>
                <w:color w:val="000000"/>
                <w:szCs w:val="24"/>
              </w:rPr>
              <w:t>3 207,36</w:t>
            </w:r>
          </w:p>
        </w:tc>
      </w:tr>
      <w:tr w:rsidR="00295BCD" w:rsidRPr="001927D6" w14:paraId="2C480FED" w14:textId="77777777" w:rsidTr="00295BCD">
        <w:trPr>
          <w:divId w:val="1316184749"/>
          <w:trHeight w:val="300"/>
        </w:trPr>
        <w:tc>
          <w:tcPr>
            <w:tcW w:w="4632" w:type="dxa"/>
            <w:vAlign w:val="bottom"/>
            <w:hideMark/>
          </w:tcPr>
          <w:p w14:paraId="5E52E942" w14:textId="77777777" w:rsidR="00295BCD" w:rsidRPr="001927D6" w:rsidRDefault="00295BCD">
            <w:pPr>
              <w:spacing w:after="0" w:line="240" w:lineRule="auto"/>
              <w:textAlignment w:val="baseline"/>
              <w:rPr>
                <w:szCs w:val="24"/>
                <w:lang w:eastAsia="et-EE"/>
              </w:rPr>
            </w:pPr>
            <w:r w:rsidRPr="001927D6">
              <w:rPr>
                <w:szCs w:val="24"/>
                <w:lang w:eastAsia="et-EE"/>
              </w:rPr>
              <w:t>Muud perkutaansed kardiovaskulaarsed protseduurid </w:t>
            </w:r>
          </w:p>
        </w:tc>
        <w:tc>
          <w:tcPr>
            <w:tcW w:w="732" w:type="dxa"/>
            <w:vAlign w:val="center"/>
            <w:hideMark/>
          </w:tcPr>
          <w:p w14:paraId="2DCB79E5" w14:textId="77777777" w:rsidR="00295BCD" w:rsidRPr="001927D6" w:rsidRDefault="00295BCD">
            <w:pPr>
              <w:spacing w:after="0" w:line="240" w:lineRule="auto"/>
              <w:jc w:val="center"/>
              <w:textAlignment w:val="baseline"/>
              <w:rPr>
                <w:szCs w:val="24"/>
                <w:lang w:eastAsia="et-EE"/>
              </w:rPr>
            </w:pPr>
            <w:r w:rsidRPr="001927D6">
              <w:rPr>
                <w:szCs w:val="24"/>
                <w:lang w:eastAsia="et-EE"/>
              </w:rPr>
              <w:t>112A </w:t>
            </w:r>
          </w:p>
        </w:tc>
        <w:tc>
          <w:tcPr>
            <w:tcW w:w="1243" w:type="dxa"/>
            <w:vAlign w:val="center"/>
          </w:tcPr>
          <w:p w14:paraId="721015C3" w14:textId="77777777" w:rsidR="00295BCD" w:rsidRPr="001927D6" w:rsidRDefault="00295BCD">
            <w:pPr>
              <w:spacing w:after="0" w:line="240" w:lineRule="auto"/>
              <w:jc w:val="center"/>
              <w:textAlignment w:val="baseline"/>
              <w:rPr>
                <w:szCs w:val="24"/>
                <w:lang w:eastAsia="et-EE"/>
              </w:rPr>
            </w:pPr>
            <w:r w:rsidRPr="001927D6">
              <w:rPr>
                <w:color w:val="000000"/>
                <w:szCs w:val="24"/>
              </w:rPr>
              <w:t>6 674,68</w:t>
            </w:r>
          </w:p>
        </w:tc>
        <w:tc>
          <w:tcPr>
            <w:tcW w:w="1211" w:type="dxa"/>
            <w:vAlign w:val="center"/>
          </w:tcPr>
          <w:p w14:paraId="6E1FD64B" w14:textId="77777777" w:rsidR="00295BCD" w:rsidRPr="001927D6" w:rsidRDefault="00295BCD">
            <w:pPr>
              <w:spacing w:after="0" w:line="240" w:lineRule="auto"/>
              <w:jc w:val="center"/>
              <w:textAlignment w:val="baseline"/>
              <w:rPr>
                <w:szCs w:val="24"/>
                <w:lang w:eastAsia="et-EE"/>
              </w:rPr>
            </w:pPr>
            <w:r w:rsidRPr="001927D6">
              <w:rPr>
                <w:color w:val="000000"/>
                <w:szCs w:val="24"/>
              </w:rPr>
              <w:t>3 211,40</w:t>
            </w:r>
          </w:p>
        </w:tc>
        <w:tc>
          <w:tcPr>
            <w:tcW w:w="1238" w:type="dxa"/>
            <w:vAlign w:val="center"/>
          </w:tcPr>
          <w:p w14:paraId="566CF035" w14:textId="77777777" w:rsidR="00295BCD" w:rsidRPr="001927D6" w:rsidRDefault="00295BCD">
            <w:pPr>
              <w:spacing w:after="0" w:line="240" w:lineRule="auto"/>
              <w:jc w:val="center"/>
              <w:textAlignment w:val="baseline"/>
              <w:rPr>
                <w:szCs w:val="24"/>
                <w:lang w:eastAsia="et-EE"/>
              </w:rPr>
            </w:pPr>
            <w:r w:rsidRPr="001927D6">
              <w:rPr>
                <w:color w:val="000000"/>
                <w:szCs w:val="24"/>
              </w:rPr>
              <w:t>8 761,16</w:t>
            </w:r>
          </w:p>
        </w:tc>
      </w:tr>
      <w:tr w:rsidR="00295BCD" w:rsidRPr="001927D6" w14:paraId="36DEB887" w14:textId="77777777" w:rsidTr="00295BCD">
        <w:trPr>
          <w:divId w:val="1316184749"/>
          <w:trHeight w:val="300"/>
        </w:trPr>
        <w:tc>
          <w:tcPr>
            <w:tcW w:w="4632" w:type="dxa"/>
            <w:vAlign w:val="bottom"/>
            <w:hideMark/>
          </w:tcPr>
          <w:p w14:paraId="6397B570" w14:textId="77777777" w:rsidR="00295BCD" w:rsidRPr="001927D6" w:rsidRDefault="00295BCD">
            <w:pPr>
              <w:spacing w:after="0" w:line="240" w:lineRule="auto"/>
              <w:textAlignment w:val="baseline"/>
              <w:rPr>
                <w:szCs w:val="24"/>
                <w:lang w:eastAsia="et-EE"/>
              </w:rPr>
            </w:pPr>
            <w:r w:rsidRPr="001927D6">
              <w:rPr>
                <w:szCs w:val="24"/>
                <w:lang w:eastAsia="et-EE"/>
              </w:rPr>
              <w:t>Perkutaanne ablatsioon südamearütmia puhul </w:t>
            </w:r>
          </w:p>
        </w:tc>
        <w:tc>
          <w:tcPr>
            <w:tcW w:w="732" w:type="dxa"/>
            <w:vAlign w:val="center"/>
            <w:hideMark/>
          </w:tcPr>
          <w:p w14:paraId="4E186852" w14:textId="77777777" w:rsidR="00295BCD" w:rsidRPr="001927D6" w:rsidRDefault="00295BCD">
            <w:pPr>
              <w:spacing w:after="0" w:line="240" w:lineRule="auto"/>
              <w:jc w:val="center"/>
              <w:textAlignment w:val="baseline"/>
              <w:rPr>
                <w:szCs w:val="24"/>
                <w:lang w:eastAsia="et-EE"/>
              </w:rPr>
            </w:pPr>
            <w:r w:rsidRPr="001927D6">
              <w:rPr>
                <w:szCs w:val="24"/>
                <w:lang w:eastAsia="et-EE"/>
              </w:rPr>
              <w:t>112B </w:t>
            </w:r>
          </w:p>
        </w:tc>
        <w:tc>
          <w:tcPr>
            <w:tcW w:w="1243" w:type="dxa"/>
            <w:vAlign w:val="center"/>
          </w:tcPr>
          <w:p w14:paraId="1966FB71" w14:textId="77777777" w:rsidR="00295BCD" w:rsidRPr="001927D6" w:rsidRDefault="00295BCD">
            <w:pPr>
              <w:spacing w:after="0" w:line="240" w:lineRule="auto"/>
              <w:jc w:val="center"/>
              <w:textAlignment w:val="baseline"/>
              <w:rPr>
                <w:szCs w:val="24"/>
                <w:lang w:eastAsia="et-EE"/>
              </w:rPr>
            </w:pPr>
            <w:r w:rsidRPr="001927D6">
              <w:rPr>
                <w:color w:val="000000"/>
                <w:szCs w:val="24"/>
              </w:rPr>
              <w:t>7 799,95</w:t>
            </w:r>
          </w:p>
        </w:tc>
        <w:tc>
          <w:tcPr>
            <w:tcW w:w="1211" w:type="dxa"/>
            <w:vAlign w:val="center"/>
          </w:tcPr>
          <w:p w14:paraId="1EC8D5E0" w14:textId="77777777" w:rsidR="00295BCD" w:rsidRPr="001927D6" w:rsidRDefault="00295BCD">
            <w:pPr>
              <w:spacing w:after="0" w:line="240" w:lineRule="auto"/>
              <w:jc w:val="center"/>
              <w:textAlignment w:val="baseline"/>
              <w:rPr>
                <w:szCs w:val="24"/>
                <w:lang w:eastAsia="et-EE"/>
              </w:rPr>
            </w:pPr>
            <w:r w:rsidRPr="001927D6">
              <w:rPr>
                <w:color w:val="000000"/>
                <w:szCs w:val="24"/>
              </w:rPr>
              <w:t>4 904,29</w:t>
            </w:r>
          </w:p>
        </w:tc>
        <w:tc>
          <w:tcPr>
            <w:tcW w:w="1238" w:type="dxa"/>
            <w:vAlign w:val="center"/>
          </w:tcPr>
          <w:p w14:paraId="19C1B237" w14:textId="77777777" w:rsidR="00295BCD" w:rsidRPr="001927D6" w:rsidRDefault="00295BCD">
            <w:pPr>
              <w:spacing w:after="0" w:line="240" w:lineRule="auto"/>
              <w:jc w:val="center"/>
              <w:textAlignment w:val="baseline"/>
              <w:rPr>
                <w:szCs w:val="24"/>
                <w:lang w:eastAsia="et-EE"/>
              </w:rPr>
            </w:pPr>
            <w:r w:rsidRPr="001927D6">
              <w:rPr>
                <w:color w:val="000000"/>
                <w:szCs w:val="24"/>
              </w:rPr>
              <w:t>9 588,90</w:t>
            </w:r>
          </w:p>
        </w:tc>
      </w:tr>
      <w:tr w:rsidR="00295BCD" w:rsidRPr="001927D6" w14:paraId="711E6278" w14:textId="77777777" w:rsidTr="00295BCD">
        <w:trPr>
          <w:divId w:val="1316184749"/>
          <w:trHeight w:val="300"/>
        </w:trPr>
        <w:tc>
          <w:tcPr>
            <w:tcW w:w="4632" w:type="dxa"/>
            <w:vAlign w:val="bottom"/>
            <w:hideMark/>
          </w:tcPr>
          <w:p w14:paraId="1959F700" w14:textId="77777777" w:rsidR="00295BCD" w:rsidRPr="001927D6" w:rsidRDefault="00295BCD">
            <w:pPr>
              <w:spacing w:after="0" w:line="240" w:lineRule="auto"/>
              <w:textAlignment w:val="baseline"/>
              <w:rPr>
                <w:szCs w:val="24"/>
                <w:lang w:eastAsia="et-EE"/>
              </w:rPr>
            </w:pPr>
            <w:r w:rsidRPr="001927D6">
              <w:rPr>
                <w:szCs w:val="24"/>
                <w:lang w:eastAsia="et-EE"/>
              </w:rPr>
              <w:t>Perkutaansed kardiovaskulaarsed operatsioonid ägeda müokardi infarktita, kht-ta </w:t>
            </w:r>
          </w:p>
        </w:tc>
        <w:tc>
          <w:tcPr>
            <w:tcW w:w="732" w:type="dxa"/>
            <w:vAlign w:val="center"/>
            <w:hideMark/>
          </w:tcPr>
          <w:p w14:paraId="2B657A51" w14:textId="77777777" w:rsidR="00295BCD" w:rsidRPr="001927D6" w:rsidRDefault="00295BCD">
            <w:pPr>
              <w:spacing w:after="0" w:line="240" w:lineRule="auto"/>
              <w:jc w:val="center"/>
              <w:textAlignment w:val="baseline"/>
              <w:rPr>
                <w:szCs w:val="24"/>
                <w:lang w:eastAsia="et-EE"/>
              </w:rPr>
            </w:pPr>
            <w:r w:rsidRPr="001927D6">
              <w:rPr>
                <w:szCs w:val="24"/>
                <w:lang w:eastAsia="et-EE"/>
              </w:rPr>
              <w:t>112C </w:t>
            </w:r>
          </w:p>
        </w:tc>
        <w:tc>
          <w:tcPr>
            <w:tcW w:w="1243" w:type="dxa"/>
            <w:vAlign w:val="center"/>
          </w:tcPr>
          <w:p w14:paraId="6F123B8E" w14:textId="77777777" w:rsidR="00295BCD" w:rsidRPr="001927D6" w:rsidRDefault="00295BCD">
            <w:pPr>
              <w:spacing w:after="0" w:line="240" w:lineRule="auto"/>
              <w:jc w:val="center"/>
              <w:textAlignment w:val="baseline"/>
              <w:rPr>
                <w:szCs w:val="24"/>
                <w:lang w:eastAsia="et-EE"/>
              </w:rPr>
            </w:pPr>
            <w:r w:rsidRPr="001927D6">
              <w:rPr>
                <w:color w:val="000000"/>
                <w:szCs w:val="24"/>
              </w:rPr>
              <w:t>3 079,83</w:t>
            </w:r>
          </w:p>
        </w:tc>
        <w:tc>
          <w:tcPr>
            <w:tcW w:w="1211" w:type="dxa"/>
            <w:vAlign w:val="center"/>
          </w:tcPr>
          <w:p w14:paraId="2983B764" w14:textId="77777777" w:rsidR="00295BCD" w:rsidRPr="001927D6" w:rsidRDefault="00295BCD">
            <w:pPr>
              <w:spacing w:after="0" w:line="240" w:lineRule="auto"/>
              <w:jc w:val="center"/>
              <w:textAlignment w:val="baseline"/>
              <w:rPr>
                <w:szCs w:val="24"/>
                <w:lang w:eastAsia="et-EE"/>
              </w:rPr>
            </w:pPr>
            <w:r w:rsidRPr="001927D6">
              <w:rPr>
                <w:color w:val="000000"/>
                <w:szCs w:val="24"/>
              </w:rPr>
              <w:t>1 275,64</w:t>
            </w:r>
          </w:p>
        </w:tc>
        <w:tc>
          <w:tcPr>
            <w:tcW w:w="1238" w:type="dxa"/>
            <w:vAlign w:val="center"/>
          </w:tcPr>
          <w:p w14:paraId="3D1F3418" w14:textId="77777777" w:rsidR="00295BCD" w:rsidRPr="001927D6" w:rsidRDefault="00295BCD">
            <w:pPr>
              <w:spacing w:after="0" w:line="240" w:lineRule="auto"/>
              <w:jc w:val="center"/>
              <w:textAlignment w:val="baseline"/>
              <w:rPr>
                <w:szCs w:val="24"/>
                <w:lang w:eastAsia="et-EE"/>
              </w:rPr>
            </w:pPr>
            <w:r w:rsidRPr="001927D6">
              <w:rPr>
                <w:color w:val="000000"/>
                <w:szCs w:val="24"/>
              </w:rPr>
              <w:t>6 069,83</w:t>
            </w:r>
          </w:p>
        </w:tc>
      </w:tr>
      <w:tr w:rsidR="00295BCD" w:rsidRPr="001927D6" w14:paraId="42ECDC23" w14:textId="77777777" w:rsidTr="00295BCD">
        <w:trPr>
          <w:divId w:val="1316184749"/>
          <w:trHeight w:val="300"/>
        </w:trPr>
        <w:tc>
          <w:tcPr>
            <w:tcW w:w="4632" w:type="dxa"/>
            <w:vAlign w:val="bottom"/>
            <w:hideMark/>
          </w:tcPr>
          <w:p w14:paraId="35B4890F" w14:textId="77777777" w:rsidR="00295BCD" w:rsidRPr="001927D6" w:rsidRDefault="00295BCD">
            <w:pPr>
              <w:spacing w:after="0" w:line="240" w:lineRule="auto"/>
              <w:textAlignment w:val="baseline"/>
              <w:rPr>
                <w:szCs w:val="24"/>
                <w:lang w:eastAsia="et-EE"/>
              </w:rPr>
            </w:pPr>
            <w:r w:rsidRPr="001927D6">
              <w:rPr>
                <w:szCs w:val="24"/>
                <w:lang w:eastAsia="et-EE"/>
              </w:rPr>
              <w:t>Perkutaansed kardiovaskulaarsed operatsioonid ägeda müokardi infarktita, kht-ga </w:t>
            </w:r>
          </w:p>
        </w:tc>
        <w:tc>
          <w:tcPr>
            <w:tcW w:w="732" w:type="dxa"/>
            <w:vAlign w:val="center"/>
            <w:hideMark/>
          </w:tcPr>
          <w:p w14:paraId="69FADAD7" w14:textId="77777777" w:rsidR="00295BCD" w:rsidRPr="001927D6" w:rsidRDefault="00295BCD">
            <w:pPr>
              <w:spacing w:after="0" w:line="240" w:lineRule="auto"/>
              <w:jc w:val="center"/>
              <w:textAlignment w:val="baseline"/>
              <w:rPr>
                <w:szCs w:val="24"/>
                <w:lang w:eastAsia="et-EE"/>
              </w:rPr>
            </w:pPr>
            <w:r w:rsidRPr="001927D6">
              <w:rPr>
                <w:szCs w:val="24"/>
                <w:lang w:eastAsia="et-EE"/>
              </w:rPr>
              <w:t>112D </w:t>
            </w:r>
          </w:p>
        </w:tc>
        <w:tc>
          <w:tcPr>
            <w:tcW w:w="1243" w:type="dxa"/>
            <w:vAlign w:val="center"/>
          </w:tcPr>
          <w:p w14:paraId="57AA5481" w14:textId="77777777" w:rsidR="00295BCD" w:rsidRPr="001927D6" w:rsidRDefault="00295BCD">
            <w:pPr>
              <w:spacing w:after="0" w:line="240" w:lineRule="auto"/>
              <w:jc w:val="center"/>
              <w:textAlignment w:val="baseline"/>
              <w:rPr>
                <w:szCs w:val="24"/>
                <w:lang w:eastAsia="et-EE"/>
              </w:rPr>
            </w:pPr>
            <w:r w:rsidRPr="001927D6">
              <w:rPr>
                <w:color w:val="000000"/>
                <w:szCs w:val="24"/>
              </w:rPr>
              <w:t>3 528,42</w:t>
            </w:r>
          </w:p>
        </w:tc>
        <w:tc>
          <w:tcPr>
            <w:tcW w:w="1211" w:type="dxa"/>
            <w:vAlign w:val="center"/>
          </w:tcPr>
          <w:p w14:paraId="3C78B001" w14:textId="77777777" w:rsidR="00295BCD" w:rsidRPr="001927D6" w:rsidRDefault="00295BCD">
            <w:pPr>
              <w:spacing w:after="0" w:line="240" w:lineRule="auto"/>
              <w:jc w:val="center"/>
              <w:textAlignment w:val="baseline"/>
              <w:rPr>
                <w:szCs w:val="24"/>
                <w:lang w:eastAsia="et-EE"/>
              </w:rPr>
            </w:pPr>
            <w:r w:rsidRPr="001927D6">
              <w:rPr>
                <w:color w:val="000000"/>
                <w:szCs w:val="24"/>
              </w:rPr>
              <w:t>1 275,80</w:t>
            </w:r>
          </w:p>
        </w:tc>
        <w:tc>
          <w:tcPr>
            <w:tcW w:w="1238" w:type="dxa"/>
            <w:vAlign w:val="center"/>
          </w:tcPr>
          <w:p w14:paraId="7D04F9B7" w14:textId="77777777" w:rsidR="00295BCD" w:rsidRPr="001927D6" w:rsidRDefault="00295BCD">
            <w:pPr>
              <w:spacing w:after="0" w:line="240" w:lineRule="auto"/>
              <w:jc w:val="center"/>
              <w:textAlignment w:val="baseline"/>
              <w:rPr>
                <w:szCs w:val="24"/>
                <w:lang w:eastAsia="et-EE"/>
              </w:rPr>
            </w:pPr>
            <w:r w:rsidRPr="001927D6">
              <w:rPr>
                <w:color w:val="000000"/>
                <w:szCs w:val="24"/>
              </w:rPr>
              <w:t>7 401,15</w:t>
            </w:r>
          </w:p>
        </w:tc>
      </w:tr>
      <w:tr w:rsidR="00295BCD" w:rsidRPr="001927D6" w14:paraId="14A4F9D1" w14:textId="77777777" w:rsidTr="00295BCD">
        <w:trPr>
          <w:divId w:val="1316184749"/>
          <w:trHeight w:val="300"/>
        </w:trPr>
        <w:tc>
          <w:tcPr>
            <w:tcW w:w="4632" w:type="dxa"/>
            <w:vAlign w:val="bottom"/>
            <w:hideMark/>
          </w:tcPr>
          <w:p w14:paraId="13C611E5" w14:textId="77777777" w:rsidR="00295BCD" w:rsidRPr="001927D6" w:rsidRDefault="00295BCD">
            <w:pPr>
              <w:spacing w:after="0" w:line="240" w:lineRule="auto"/>
              <w:textAlignment w:val="baseline"/>
              <w:rPr>
                <w:szCs w:val="24"/>
                <w:lang w:eastAsia="et-EE"/>
              </w:rPr>
            </w:pPr>
            <w:r w:rsidRPr="001927D6">
              <w:rPr>
                <w:szCs w:val="24"/>
                <w:lang w:eastAsia="et-EE"/>
              </w:rPr>
              <w:t>Perkutaansed kardiovaskulaarsed operatsioonid ägeda müokardi infarktiga, kht-ta </w:t>
            </w:r>
          </w:p>
        </w:tc>
        <w:tc>
          <w:tcPr>
            <w:tcW w:w="732" w:type="dxa"/>
            <w:vAlign w:val="center"/>
            <w:hideMark/>
          </w:tcPr>
          <w:p w14:paraId="30A9363D" w14:textId="77777777" w:rsidR="00295BCD" w:rsidRPr="001927D6" w:rsidRDefault="00295BCD">
            <w:pPr>
              <w:spacing w:after="0" w:line="240" w:lineRule="auto"/>
              <w:jc w:val="center"/>
              <w:textAlignment w:val="baseline"/>
              <w:rPr>
                <w:szCs w:val="24"/>
                <w:lang w:eastAsia="et-EE"/>
              </w:rPr>
            </w:pPr>
            <w:r w:rsidRPr="001927D6">
              <w:rPr>
                <w:szCs w:val="24"/>
                <w:lang w:eastAsia="et-EE"/>
              </w:rPr>
              <w:t>112E </w:t>
            </w:r>
          </w:p>
        </w:tc>
        <w:tc>
          <w:tcPr>
            <w:tcW w:w="1243" w:type="dxa"/>
            <w:vAlign w:val="center"/>
          </w:tcPr>
          <w:p w14:paraId="669296E7" w14:textId="77777777" w:rsidR="00295BCD" w:rsidRPr="001927D6" w:rsidRDefault="00295BCD">
            <w:pPr>
              <w:spacing w:after="0" w:line="240" w:lineRule="auto"/>
              <w:jc w:val="center"/>
              <w:textAlignment w:val="baseline"/>
              <w:rPr>
                <w:szCs w:val="24"/>
                <w:lang w:eastAsia="et-EE"/>
              </w:rPr>
            </w:pPr>
            <w:r w:rsidRPr="001927D6">
              <w:rPr>
                <w:color w:val="000000"/>
                <w:szCs w:val="24"/>
              </w:rPr>
              <w:t>6 084,96</w:t>
            </w:r>
          </w:p>
        </w:tc>
        <w:tc>
          <w:tcPr>
            <w:tcW w:w="1211" w:type="dxa"/>
            <w:vAlign w:val="center"/>
          </w:tcPr>
          <w:p w14:paraId="20B40678" w14:textId="77777777" w:rsidR="00295BCD" w:rsidRPr="001927D6" w:rsidRDefault="00295BCD">
            <w:pPr>
              <w:spacing w:after="0" w:line="240" w:lineRule="auto"/>
              <w:jc w:val="center"/>
              <w:textAlignment w:val="baseline"/>
              <w:rPr>
                <w:szCs w:val="24"/>
                <w:lang w:eastAsia="et-EE"/>
              </w:rPr>
            </w:pPr>
            <w:r w:rsidRPr="001927D6">
              <w:rPr>
                <w:color w:val="000000"/>
                <w:szCs w:val="24"/>
              </w:rPr>
              <w:t>3 603,40</w:t>
            </w:r>
          </w:p>
        </w:tc>
        <w:tc>
          <w:tcPr>
            <w:tcW w:w="1238" w:type="dxa"/>
            <w:vAlign w:val="center"/>
          </w:tcPr>
          <w:p w14:paraId="3568E84F" w14:textId="77777777" w:rsidR="00295BCD" w:rsidRPr="001927D6" w:rsidRDefault="00295BCD">
            <w:pPr>
              <w:spacing w:after="0" w:line="240" w:lineRule="auto"/>
              <w:jc w:val="center"/>
              <w:textAlignment w:val="baseline"/>
              <w:rPr>
                <w:szCs w:val="24"/>
                <w:lang w:eastAsia="et-EE"/>
              </w:rPr>
            </w:pPr>
            <w:r w:rsidRPr="001927D6">
              <w:rPr>
                <w:color w:val="000000"/>
                <w:szCs w:val="24"/>
              </w:rPr>
              <w:t>8 982,80</w:t>
            </w:r>
          </w:p>
        </w:tc>
      </w:tr>
      <w:tr w:rsidR="00295BCD" w:rsidRPr="001927D6" w14:paraId="7DF23058" w14:textId="77777777" w:rsidTr="00295BCD">
        <w:trPr>
          <w:divId w:val="1316184749"/>
          <w:trHeight w:val="300"/>
        </w:trPr>
        <w:tc>
          <w:tcPr>
            <w:tcW w:w="4632" w:type="dxa"/>
            <w:vAlign w:val="bottom"/>
            <w:hideMark/>
          </w:tcPr>
          <w:p w14:paraId="1810759C" w14:textId="77777777" w:rsidR="00295BCD" w:rsidRPr="001927D6" w:rsidRDefault="00295BCD">
            <w:pPr>
              <w:spacing w:after="0" w:line="240" w:lineRule="auto"/>
              <w:textAlignment w:val="baseline"/>
              <w:rPr>
                <w:szCs w:val="24"/>
                <w:lang w:eastAsia="et-EE"/>
              </w:rPr>
            </w:pPr>
            <w:r w:rsidRPr="001927D6">
              <w:rPr>
                <w:szCs w:val="24"/>
                <w:lang w:eastAsia="et-EE"/>
              </w:rPr>
              <w:t>Perkutaansed kardiovaskulaarsed operatsioonid ägeda müokardi infarktiga, kht-ga </w:t>
            </w:r>
          </w:p>
        </w:tc>
        <w:tc>
          <w:tcPr>
            <w:tcW w:w="732" w:type="dxa"/>
            <w:vAlign w:val="center"/>
            <w:hideMark/>
          </w:tcPr>
          <w:p w14:paraId="4A7C9B5E" w14:textId="77777777" w:rsidR="00295BCD" w:rsidRPr="001927D6" w:rsidRDefault="00295BCD">
            <w:pPr>
              <w:spacing w:after="0" w:line="240" w:lineRule="auto"/>
              <w:jc w:val="center"/>
              <w:textAlignment w:val="baseline"/>
              <w:rPr>
                <w:szCs w:val="24"/>
                <w:lang w:eastAsia="et-EE"/>
              </w:rPr>
            </w:pPr>
            <w:r w:rsidRPr="001927D6">
              <w:rPr>
                <w:szCs w:val="24"/>
                <w:lang w:eastAsia="et-EE"/>
              </w:rPr>
              <w:t>112F </w:t>
            </w:r>
          </w:p>
        </w:tc>
        <w:tc>
          <w:tcPr>
            <w:tcW w:w="1243" w:type="dxa"/>
            <w:vAlign w:val="center"/>
          </w:tcPr>
          <w:p w14:paraId="296139BF" w14:textId="77777777" w:rsidR="00295BCD" w:rsidRPr="001927D6" w:rsidRDefault="00295BCD">
            <w:pPr>
              <w:spacing w:after="0" w:line="240" w:lineRule="auto"/>
              <w:jc w:val="center"/>
              <w:textAlignment w:val="baseline"/>
              <w:rPr>
                <w:szCs w:val="24"/>
                <w:lang w:eastAsia="et-EE"/>
              </w:rPr>
            </w:pPr>
            <w:r w:rsidRPr="001927D6">
              <w:rPr>
                <w:color w:val="000000"/>
                <w:szCs w:val="24"/>
              </w:rPr>
              <w:t>7 450,41</w:t>
            </w:r>
          </w:p>
        </w:tc>
        <w:tc>
          <w:tcPr>
            <w:tcW w:w="1211" w:type="dxa"/>
            <w:vAlign w:val="center"/>
          </w:tcPr>
          <w:p w14:paraId="11F10AA3" w14:textId="77777777" w:rsidR="00295BCD" w:rsidRPr="001927D6" w:rsidRDefault="00295BCD">
            <w:pPr>
              <w:spacing w:after="0" w:line="240" w:lineRule="auto"/>
              <w:jc w:val="center"/>
              <w:textAlignment w:val="baseline"/>
              <w:rPr>
                <w:szCs w:val="24"/>
                <w:lang w:eastAsia="et-EE"/>
              </w:rPr>
            </w:pPr>
            <w:r w:rsidRPr="001927D6">
              <w:rPr>
                <w:color w:val="000000"/>
                <w:szCs w:val="24"/>
              </w:rPr>
              <w:t>3 677,13</w:t>
            </w:r>
          </w:p>
        </w:tc>
        <w:tc>
          <w:tcPr>
            <w:tcW w:w="1238" w:type="dxa"/>
            <w:vAlign w:val="center"/>
          </w:tcPr>
          <w:p w14:paraId="6731D62B" w14:textId="77777777" w:rsidR="00295BCD" w:rsidRPr="001927D6" w:rsidRDefault="00295BCD">
            <w:pPr>
              <w:spacing w:after="0" w:line="240" w:lineRule="auto"/>
              <w:jc w:val="center"/>
              <w:textAlignment w:val="baseline"/>
              <w:rPr>
                <w:szCs w:val="24"/>
                <w:lang w:eastAsia="et-EE"/>
              </w:rPr>
            </w:pPr>
            <w:r w:rsidRPr="001927D6">
              <w:rPr>
                <w:color w:val="000000"/>
                <w:szCs w:val="24"/>
              </w:rPr>
              <w:t>13 536,88</w:t>
            </w:r>
          </w:p>
        </w:tc>
      </w:tr>
      <w:tr w:rsidR="00295BCD" w:rsidRPr="001927D6" w14:paraId="20263C4E" w14:textId="77777777" w:rsidTr="00295BCD">
        <w:trPr>
          <w:divId w:val="1316184749"/>
          <w:trHeight w:val="300"/>
        </w:trPr>
        <w:tc>
          <w:tcPr>
            <w:tcW w:w="4632" w:type="dxa"/>
            <w:vAlign w:val="bottom"/>
            <w:hideMark/>
          </w:tcPr>
          <w:p w14:paraId="4F35A26B" w14:textId="77777777" w:rsidR="00295BCD" w:rsidRPr="001927D6" w:rsidRDefault="00295BCD">
            <w:pPr>
              <w:spacing w:after="0" w:line="240" w:lineRule="auto"/>
              <w:textAlignment w:val="baseline"/>
              <w:rPr>
                <w:szCs w:val="24"/>
                <w:lang w:eastAsia="et-EE"/>
              </w:rPr>
            </w:pPr>
            <w:r w:rsidRPr="001927D6">
              <w:rPr>
                <w:szCs w:val="24"/>
                <w:lang w:eastAsia="et-EE"/>
              </w:rPr>
              <w:t>Perkutaanne ablatsioon südamearütmia puhul, lühike ravi </w:t>
            </w:r>
          </w:p>
        </w:tc>
        <w:tc>
          <w:tcPr>
            <w:tcW w:w="732" w:type="dxa"/>
            <w:vAlign w:val="center"/>
            <w:hideMark/>
          </w:tcPr>
          <w:p w14:paraId="57A4C5DA" w14:textId="77777777" w:rsidR="00295BCD" w:rsidRPr="001927D6" w:rsidRDefault="00295BCD">
            <w:pPr>
              <w:spacing w:after="0" w:line="240" w:lineRule="auto"/>
              <w:jc w:val="center"/>
              <w:textAlignment w:val="baseline"/>
              <w:rPr>
                <w:szCs w:val="24"/>
                <w:lang w:eastAsia="et-EE"/>
              </w:rPr>
            </w:pPr>
            <w:r w:rsidRPr="001927D6">
              <w:rPr>
                <w:szCs w:val="24"/>
                <w:lang w:eastAsia="et-EE"/>
              </w:rPr>
              <w:t>112P </w:t>
            </w:r>
          </w:p>
        </w:tc>
        <w:tc>
          <w:tcPr>
            <w:tcW w:w="1243" w:type="dxa"/>
            <w:vAlign w:val="center"/>
          </w:tcPr>
          <w:p w14:paraId="67471402" w14:textId="77777777" w:rsidR="00295BCD" w:rsidRPr="001927D6" w:rsidRDefault="00295BCD">
            <w:pPr>
              <w:spacing w:after="0" w:line="240" w:lineRule="auto"/>
              <w:jc w:val="center"/>
              <w:textAlignment w:val="baseline"/>
              <w:rPr>
                <w:szCs w:val="24"/>
                <w:lang w:eastAsia="et-EE"/>
              </w:rPr>
            </w:pPr>
            <w:r w:rsidRPr="001927D6">
              <w:rPr>
                <w:color w:val="000000"/>
                <w:szCs w:val="24"/>
              </w:rPr>
              <w:t>5 813,48</w:t>
            </w:r>
          </w:p>
        </w:tc>
        <w:tc>
          <w:tcPr>
            <w:tcW w:w="1211" w:type="dxa"/>
            <w:vAlign w:val="center"/>
          </w:tcPr>
          <w:p w14:paraId="2CD78C6F" w14:textId="77777777" w:rsidR="00295BCD" w:rsidRPr="001927D6" w:rsidRDefault="00295BCD">
            <w:pPr>
              <w:spacing w:after="0" w:line="240" w:lineRule="auto"/>
              <w:jc w:val="center"/>
              <w:textAlignment w:val="baseline"/>
              <w:rPr>
                <w:szCs w:val="24"/>
                <w:lang w:eastAsia="et-EE"/>
              </w:rPr>
            </w:pPr>
            <w:r w:rsidRPr="001927D6">
              <w:rPr>
                <w:color w:val="000000"/>
                <w:szCs w:val="24"/>
              </w:rPr>
              <w:t>3 830,96</w:t>
            </w:r>
          </w:p>
        </w:tc>
        <w:tc>
          <w:tcPr>
            <w:tcW w:w="1238" w:type="dxa"/>
            <w:vAlign w:val="center"/>
          </w:tcPr>
          <w:p w14:paraId="643353E4" w14:textId="77777777" w:rsidR="00295BCD" w:rsidRPr="001927D6" w:rsidRDefault="00295BCD">
            <w:pPr>
              <w:spacing w:after="0" w:line="240" w:lineRule="auto"/>
              <w:jc w:val="center"/>
              <w:textAlignment w:val="baseline"/>
              <w:rPr>
                <w:szCs w:val="24"/>
                <w:lang w:eastAsia="et-EE"/>
              </w:rPr>
            </w:pPr>
            <w:r w:rsidRPr="001927D6">
              <w:rPr>
                <w:color w:val="000000"/>
                <w:szCs w:val="24"/>
              </w:rPr>
              <w:t>7 312,36</w:t>
            </w:r>
          </w:p>
        </w:tc>
      </w:tr>
      <w:tr w:rsidR="00295BCD" w:rsidRPr="001927D6" w14:paraId="062A2E71" w14:textId="77777777" w:rsidTr="00295BCD">
        <w:trPr>
          <w:divId w:val="1316184749"/>
          <w:trHeight w:val="300"/>
        </w:trPr>
        <w:tc>
          <w:tcPr>
            <w:tcW w:w="4632" w:type="dxa"/>
            <w:vAlign w:val="bottom"/>
            <w:hideMark/>
          </w:tcPr>
          <w:p w14:paraId="75E43414" w14:textId="77777777" w:rsidR="00295BCD" w:rsidRPr="001927D6" w:rsidRDefault="00295BCD">
            <w:pPr>
              <w:spacing w:after="0" w:line="240" w:lineRule="auto"/>
              <w:textAlignment w:val="baseline"/>
              <w:rPr>
                <w:szCs w:val="24"/>
                <w:lang w:eastAsia="et-EE"/>
              </w:rPr>
            </w:pPr>
            <w:r w:rsidRPr="001927D6">
              <w:rPr>
                <w:szCs w:val="24"/>
                <w:lang w:eastAsia="et-EE"/>
              </w:rPr>
              <w:t>Muud perkutaansed kardiovaskulaarsed operatsioonid, lühike ravi </w:t>
            </w:r>
          </w:p>
        </w:tc>
        <w:tc>
          <w:tcPr>
            <w:tcW w:w="732" w:type="dxa"/>
            <w:vAlign w:val="center"/>
            <w:hideMark/>
          </w:tcPr>
          <w:p w14:paraId="4EAEE8DD" w14:textId="77777777" w:rsidR="00295BCD" w:rsidRPr="001927D6" w:rsidRDefault="00295BCD">
            <w:pPr>
              <w:spacing w:after="0" w:line="240" w:lineRule="auto"/>
              <w:jc w:val="center"/>
              <w:textAlignment w:val="baseline"/>
              <w:rPr>
                <w:szCs w:val="24"/>
                <w:lang w:eastAsia="et-EE"/>
              </w:rPr>
            </w:pPr>
            <w:r w:rsidRPr="001927D6">
              <w:rPr>
                <w:szCs w:val="24"/>
                <w:lang w:eastAsia="et-EE"/>
              </w:rPr>
              <w:t>112Q </w:t>
            </w:r>
          </w:p>
        </w:tc>
        <w:tc>
          <w:tcPr>
            <w:tcW w:w="1243" w:type="dxa"/>
            <w:vAlign w:val="center"/>
          </w:tcPr>
          <w:p w14:paraId="27283B08" w14:textId="77777777" w:rsidR="00295BCD" w:rsidRPr="001927D6" w:rsidRDefault="00295BCD">
            <w:pPr>
              <w:spacing w:after="0" w:line="240" w:lineRule="auto"/>
              <w:jc w:val="center"/>
              <w:textAlignment w:val="baseline"/>
              <w:rPr>
                <w:szCs w:val="24"/>
                <w:lang w:eastAsia="et-EE"/>
              </w:rPr>
            </w:pPr>
            <w:r w:rsidRPr="001927D6">
              <w:rPr>
                <w:color w:val="000000"/>
                <w:szCs w:val="24"/>
              </w:rPr>
              <w:t>1 171,88</w:t>
            </w:r>
          </w:p>
        </w:tc>
        <w:tc>
          <w:tcPr>
            <w:tcW w:w="1211" w:type="dxa"/>
            <w:vAlign w:val="center"/>
          </w:tcPr>
          <w:p w14:paraId="4D6D6617" w14:textId="77777777" w:rsidR="00295BCD" w:rsidRPr="001927D6" w:rsidRDefault="00295BCD">
            <w:pPr>
              <w:spacing w:after="0" w:line="240" w:lineRule="auto"/>
              <w:jc w:val="center"/>
              <w:textAlignment w:val="baseline"/>
              <w:rPr>
                <w:szCs w:val="24"/>
                <w:lang w:eastAsia="et-EE"/>
              </w:rPr>
            </w:pPr>
            <w:r w:rsidRPr="001927D6">
              <w:rPr>
                <w:color w:val="000000"/>
                <w:szCs w:val="24"/>
              </w:rPr>
              <w:t>1 118,33</w:t>
            </w:r>
          </w:p>
        </w:tc>
        <w:tc>
          <w:tcPr>
            <w:tcW w:w="1238" w:type="dxa"/>
            <w:vAlign w:val="center"/>
          </w:tcPr>
          <w:p w14:paraId="78F2656E" w14:textId="77777777" w:rsidR="00295BCD" w:rsidRPr="001927D6" w:rsidRDefault="00295BCD">
            <w:pPr>
              <w:spacing w:after="0" w:line="240" w:lineRule="auto"/>
              <w:jc w:val="center"/>
              <w:textAlignment w:val="baseline"/>
              <w:rPr>
                <w:szCs w:val="24"/>
                <w:lang w:eastAsia="et-EE"/>
              </w:rPr>
            </w:pPr>
            <w:r w:rsidRPr="001927D6">
              <w:rPr>
                <w:color w:val="000000"/>
                <w:szCs w:val="24"/>
              </w:rPr>
              <w:t>1 843,62</w:t>
            </w:r>
          </w:p>
        </w:tc>
      </w:tr>
      <w:tr w:rsidR="00295BCD" w:rsidRPr="001927D6" w14:paraId="25D653FA" w14:textId="77777777" w:rsidTr="00295BCD">
        <w:trPr>
          <w:divId w:val="1316184749"/>
          <w:trHeight w:val="300"/>
        </w:trPr>
        <w:tc>
          <w:tcPr>
            <w:tcW w:w="4632" w:type="dxa"/>
            <w:vAlign w:val="bottom"/>
            <w:hideMark/>
          </w:tcPr>
          <w:p w14:paraId="1B4453BC" w14:textId="77777777" w:rsidR="00295BCD" w:rsidRPr="001927D6" w:rsidRDefault="00295BCD">
            <w:pPr>
              <w:spacing w:after="0" w:line="240" w:lineRule="auto"/>
              <w:textAlignment w:val="baseline"/>
              <w:rPr>
                <w:szCs w:val="24"/>
                <w:lang w:eastAsia="et-EE"/>
              </w:rPr>
            </w:pPr>
            <w:r w:rsidRPr="001927D6">
              <w:rPr>
                <w:szCs w:val="24"/>
                <w:lang w:eastAsia="et-EE"/>
              </w:rPr>
              <w:t>Amputatsioonid vereringesüsteemi haiguste tõttu, v.a ülajäseme ja varba amputatsioonid </w:t>
            </w:r>
          </w:p>
        </w:tc>
        <w:tc>
          <w:tcPr>
            <w:tcW w:w="732" w:type="dxa"/>
            <w:vAlign w:val="center"/>
            <w:hideMark/>
          </w:tcPr>
          <w:p w14:paraId="274D0CFE" w14:textId="77777777" w:rsidR="00295BCD" w:rsidRPr="001927D6" w:rsidRDefault="00295BCD">
            <w:pPr>
              <w:spacing w:after="0" w:line="240" w:lineRule="auto"/>
              <w:jc w:val="center"/>
              <w:textAlignment w:val="baseline"/>
              <w:rPr>
                <w:szCs w:val="24"/>
                <w:lang w:eastAsia="et-EE"/>
              </w:rPr>
            </w:pPr>
            <w:r w:rsidRPr="001927D6">
              <w:rPr>
                <w:szCs w:val="24"/>
                <w:lang w:eastAsia="et-EE"/>
              </w:rPr>
              <w:t>113 </w:t>
            </w:r>
          </w:p>
        </w:tc>
        <w:tc>
          <w:tcPr>
            <w:tcW w:w="1243" w:type="dxa"/>
            <w:vAlign w:val="center"/>
          </w:tcPr>
          <w:p w14:paraId="51F840DE" w14:textId="77777777" w:rsidR="00295BCD" w:rsidRPr="001927D6" w:rsidRDefault="00295BCD">
            <w:pPr>
              <w:spacing w:after="0" w:line="240" w:lineRule="auto"/>
              <w:jc w:val="center"/>
              <w:textAlignment w:val="baseline"/>
              <w:rPr>
                <w:szCs w:val="24"/>
                <w:lang w:eastAsia="et-EE"/>
              </w:rPr>
            </w:pPr>
            <w:r w:rsidRPr="001927D6">
              <w:rPr>
                <w:color w:val="000000"/>
                <w:szCs w:val="24"/>
              </w:rPr>
              <w:t>5 759,65</w:t>
            </w:r>
          </w:p>
        </w:tc>
        <w:tc>
          <w:tcPr>
            <w:tcW w:w="1211" w:type="dxa"/>
            <w:vAlign w:val="center"/>
          </w:tcPr>
          <w:p w14:paraId="3BDD6143" w14:textId="77777777" w:rsidR="00295BCD" w:rsidRPr="001927D6" w:rsidRDefault="00295BCD">
            <w:pPr>
              <w:spacing w:after="0" w:line="240" w:lineRule="auto"/>
              <w:jc w:val="center"/>
              <w:textAlignment w:val="baseline"/>
              <w:rPr>
                <w:szCs w:val="24"/>
                <w:lang w:eastAsia="et-EE"/>
              </w:rPr>
            </w:pPr>
            <w:r w:rsidRPr="001927D6">
              <w:rPr>
                <w:color w:val="000000"/>
                <w:szCs w:val="24"/>
              </w:rPr>
              <w:t>2 206,24</w:t>
            </w:r>
          </w:p>
        </w:tc>
        <w:tc>
          <w:tcPr>
            <w:tcW w:w="1238" w:type="dxa"/>
            <w:vAlign w:val="center"/>
          </w:tcPr>
          <w:p w14:paraId="36E90E4C" w14:textId="77777777" w:rsidR="00295BCD" w:rsidRPr="001927D6" w:rsidRDefault="00295BCD">
            <w:pPr>
              <w:spacing w:after="0" w:line="240" w:lineRule="auto"/>
              <w:jc w:val="center"/>
              <w:textAlignment w:val="baseline"/>
              <w:rPr>
                <w:szCs w:val="24"/>
                <w:lang w:eastAsia="et-EE"/>
              </w:rPr>
            </w:pPr>
            <w:r w:rsidRPr="001927D6">
              <w:rPr>
                <w:color w:val="000000"/>
                <w:szCs w:val="24"/>
              </w:rPr>
              <w:t>15 787,24</w:t>
            </w:r>
          </w:p>
        </w:tc>
      </w:tr>
      <w:tr w:rsidR="00295BCD" w:rsidRPr="001927D6" w14:paraId="5DDEDF8E" w14:textId="77777777" w:rsidTr="00295BCD">
        <w:trPr>
          <w:divId w:val="1316184749"/>
          <w:trHeight w:val="300"/>
        </w:trPr>
        <w:tc>
          <w:tcPr>
            <w:tcW w:w="4632" w:type="dxa"/>
            <w:vAlign w:val="bottom"/>
            <w:hideMark/>
          </w:tcPr>
          <w:p w14:paraId="2A60538C" w14:textId="77777777" w:rsidR="00295BCD" w:rsidRPr="001927D6" w:rsidRDefault="00295BCD">
            <w:pPr>
              <w:spacing w:after="0" w:line="240" w:lineRule="auto"/>
              <w:textAlignment w:val="baseline"/>
              <w:rPr>
                <w:szCs w:val="24"/>
                <w:lang w:eastAsia="et-EE"/>
              </w:rPr>
            </w:pPr>
            <w:r w:rsidRPr="001927D6">
              <w:rPr>
                <w:szCs w:val="24"/>
                <w:lang w:eastAsia="et-EE"/>
              </w:rPr>
              <w:t>Amputatsioonid vereringesüsteemi haiguste tõttu, v.a ülajäseme ja varba amputatsioonid, lühike ravi </w:t>
            </w:r>
          </w:p>
        </w:tc>
        <w:tc>
          <w:tcPr>
            <w:tcW w:w="732" w:type="dxa"/>
            <w:vAlign w:val="center"/>
            <w:hideMark/>
          </w:tcPr>
          <w:p w14:paraId="4C71DE67" w14:textId="77777777" w:rsidR="00295BCD" w:rsidRPr="001927D6" w:rsidRDefault="00295BCD">
            <w:pPr>
              <w:spacing w:after="0" w:line="240" w:lineRule="auto"/>
              <w:jc w:val="center"/>
              <w:textAlignment w:val="baseline"/>
              <w:rPr>
                <w:szCs w:val="24"/>
                <w:lang w:eastAsia="et-EE"/>
              </w:rPr>
            </w:pPr>
            <w:r w:rsidRPr="001927D6">
              <w:rPr>
                <w:szCs w:val="24"/>
                <w:lang w:eastAsia="et-EE"/>
              </w:rPr>
              <w:t>113O </w:t>
            </w:r>
          </w:p>
        </w:tc>
        <w:tc>
          <w:tcPr>
            <w:tcW w:w="1243" w:type="dxa"/>
            <w:vAlign w:val="center"/>
          </w:tcPr>
          <w:p w14:paraId="476DE644" w14:textId="77777777" w:rsidR="00295BCD" w:rsidRPr="001927D6" w:rsidRDefault="00295BCD">
            <w:pPr>
              <w:spacing w:after="0" w:line="240" w:lineRule="auto"/>
              <w:jc w:val="center"/>
              <w:textAlignment w:val="baseline"/>
              <w:rPr>
                <w:szCs w:val="24"/>
                <w:lang w:eastAsia="et-EE"/>
              </w:rPr>
            </w:pPr>
            <w:r w:rsidRPr="001927D6">
              <w:rPr>
                <w:color w:val="000000"/>
                <w:szCs w:val="24"/>
              </w:rPr>
              <w:t>759,45</w:t>
            </w:r>
          </w:p>
        </w:tc>
        <w:tc>
          <w:tcPr>
            <w:tcW w:w="1211" w:type="dxa"/>
            <w:vAlign w:val="center"/>
          </w:tcPr>
          <w:p w14:paraId="5E27982A" w14:textId="77777777" w:rsidR="00295BCD" w:rsidRPr="001927D6" w:rsidRDefault="00295BCD">
            <w:pPr>
              <w:spacing w:after="0" w:line="240" w:lineRule="auto"/>
              <w:jc w:val="center"/>
              <w:textAlignment w:val="baseline"/>
              <w:rPr>
                <w:szCs w:val="24"/>
                <w:lang w:eastAsia="et-EE"/>
              </w:rPr>
            </w:pPr>
            <w:r w:rsidRPr="001927D6">
              <w:rPr>
                <w:color w:val="000000"/>
                <w:szCs w:val="24"/>
              </w:rPr>
              <w:t>360,41</w:t>
            </w:r>
          </w:p>
        </w:tc>
        <w:tc>
          <w:tcPr>
            <w:tcW w:w="1238" w:type="dxa"/>
            <w:vAlign w:val="center"/>
          </w:tcPr>
          <w:p w14:paraId="30057ED1" w14:textId="77777777" w:rsidR="00295BCD" w:rsidRPr="001927D6" w:rsidRDefault="00295BCD">
            <w:pPr>
              <w:spacing w:after="0" w:line="240" w:lineRule="auto"/>
              <w:jc w:val="center"/>
              <w:textAlignment w:val="baseline"/>
              <w:rPr>
                <w:szCs w:val="24"/>
                <w:lang w:eastAsia="et-EE"/>
              </w:rPr>
            </w:pPr>
            <w:r w:rsidRPr="001927D6">
              <w:rPr>
                <w:color w:val="000000"/>
                <w:szCs w:val="24"/>
              </w:rPr>
              <w:t>1 539,49</w:t>
            </w:r>
          </w:p>
        </w:tc>
      </w:tr>
      <w:tr w:rsidR="00295BCD" w:rsidRPr="001927D6" w14:paraId="71297EDA" w14:textId="77777777" w:rsidTr="00295BCD">
        <w:trPr>
          <w:divId w:val="1316184749"/>
          <w:trHeight w:val="300"/>
        </w:trPr>
        <w:tc>
          <w:tcPr>
            <w:tcW w:w="4632" w:type="dxa"/>
            <w:vAlign w:val="bottom"/>
            <w:hideMark/>
          </w:tcPr>
          <w:p w14:paraId="4A333D4D" w14:textId="77777777" w:rsidR="00295BCD" w:rsidRPr="001927D6" w:rsidRDefault="00295BCD">
            <w:pPr>
              <w:spacing w:after="0" w:line="240" w:lineRule="auto"/>
              <w:textAlignment w:val="baseline"/>
              <w:rPr>
                <w:szCs w:val="24"/>
                <w:lang w:eastAsia="et-EE"/>
              </w:rPr>
            </w:pPr>
            <w:r w:rsidRPr="001927D6">
              <w:rPr>
                <w:szCs w:val="24"/>
                <w:lang w:eastAsia="et-EE"/>
              </w:rPr>
              <w:t>Ülajäseme ja varba amputatsioonid vereringesüsteemi haiguste tõttu </w:t>
            </w:r>
          </w:p>
        </w:tc>
        <w:tc>
          <w:tcPr>
            <w:tcW w:w="732" w:type="dxa"/>
            <w:vAlign w:val="center"/>
            <w:hideMark/>
          </w:tcPr>
          <w:p w14:paraId="2AC39056" w14:textId="77777777" w:rsidR="00295BCD" w:rsidRPr="001927D6" w:rsidRDefault="00295BCD">
            <w:pPr>
              <w:spacing w:after="0" w:line="240" w:lineRule="auto"/>
              <w:jc w:val="center"/>
              <w:textAlignment w:val="baseline"/>
              <w:rPr>
                <w:szCs w:val="24"/>
                <w:lang w:eastAsia="et-EE"/>
              </w:rPr>
            </w:pPr>
            <w:r w:rsidRPr="001927D6">
              <w:rPr>
                <w:szCs w:val="24"/>
                <w:lang w:eastAsia="et-EE"/>
              </w:rPr>
              <w:t>114 </w:t>
            </w:r>
          </w:p>
        </w:tc>
        <w:tc>
          <w:tcPr>
            <w:tcW w:w="1243" w:type="dxa"/>
            <w:vAlign w:val="center"/>
          </w:tcPr>
          <w:p w14:paraId="2B84F328" w14:textId="77777777" w:rsidR="00295BCD" w:rsidRPr="001927D6" w:rsidRDefault="00295BCD">
            <w:pPr>
              <w:spacing w:after="0" w:line="240" w:lineRule="auto"/>
              <w:jc w:val="center"/>
              <w:textAlignment w:val="baseline"/>
              <w:rPr>
                <w:szCs w:val="24"/>
                <w:lang w:eastAsia="et-EE"/>
              </w:rPr>
            </w:pPr>
            <w:r w:rsidRPr="001927D6">
              <w:rPr>
                <w:color w:val="000000"/>
                <w:szCs w:val="24"/>
              </w:rPr>
              <w:t>2 337,46</w:t>
            </w:r>
          </w:p>
        </w:tc>
        <w:tc>
          <w:tcPr>
            <w:tcW w:w="1211" w:type="dxa"/>
            <w:vAlign w:val="center"/>
          </w:tcPr>
          <w:p w14:paraId="26711D0D" w14:textId="77777777" w:rsidR="00295BCD" w:rsidRPr="001927D6" w:rsidRDefault="00295BCD">
            <w:pPr>
              <w:spacing w:after="0" w:line="240" w:lineRule="auto"/>
              <w:jc w:val="center"/>
              <w:textAlignment w:val="baseline"/>
              <w:rPr>
                <w:szCs w:val="24"/>
                <w:lang w:eastAsia="et-EE"/>
              </w:rPr>
            </w:pPr>
            <w:r w:rsidRPr="001927D6">
              <w:rPr>
                <w:color w:val="000000"/>
                <w:szCs w:val="24"/>
              </w:rPr>
              <w:t>750,90</w:t>
            </w:r>
          </w:p>
        </w:tc>
        <w:tc>
          <w:tcPr>
            <w:tcW w:w="1238" w:type="dxa"/>
            <w:vAlign w:val="center"/>
          </w:tcPr>
          <w:p w14:paraId="5C743531" w14:textId="77777777" w:rsidR="00295BCD" w:rsidRPr="001927D6" w:rsidRDefault="00295BCD">
            <w:pPr>
              <w:spacing w:after="0" w:line="240" w:lineRule="auto"/>
              <w:jc w:val="center"/>
              <w:textAlignment w:val="baseline"/>
              <w:rPr>
                <w:szCs w:val="24"/>
                <w:lang w:eastAsia="et-EE"/>
              </w:rPr>
            </w:pPr>
            <w:r w:rsidRPr="001927D6">
              <w:rPr>
                <w:color w:val="000000"/>
                <w:szCs w:val="24"/>
              </w:rPr>
              <w:t>5 093,88</w:t>
            </w:r>
          </w:p>
        </w:tc>
      </w:tr>
      <w:tr w:rsidR="00295BCD" w:rsidRPr="001927D6" w14:paraId="0A0FAACF" w14:textId="77777777" w:rsidTr="00295BCD">
        <w:trPr>
          <w:divId w:val="1316184749"/>
          <w:trHeight w:val="300"/>
        </w:trPr>
        <w:tc>
          <w:tcPr>
            <w:tcW w:w="4632" w:type="dxa"/>
            <w:vAlign w:val="bottom"/>
            <w:hideMark/>
          </w:tcPr>
          <w:p w14:paraId="5FF45A2B" w14:textId="77777777" w:rsidR="00295BCD" w:rsidRPr="001927D6" w:rsidRDefault="00295BCD">
            <w:pPr>
              <w:spacing w:after="0" w:line="240" w:lineRule="auto"/>
              <w:textAlignment w:val="baseline"/>
              <w:rPr>
                <w:szCs w:val="24"/>
                <w:lang w:eastAsia="et-EE"/>
              </w:rPr>
            </w:pPr>
            <w:r w:rsidRPr="001927D6">
              <w:rPr>
                <w:szCs w:val="24"/>
                <w:lang w:eastAsia="et-EE"/>
              </w:rPr>
              <w:t>Ülajäseme ja varba amputatsioonid vereringesüsteemi haiguste tõttu, lühike ravi </w:t>
            </w:r>
          </w:p>
        </w:tc>
        <w:tc>
          <w:tcPr>
            <w:tcW w:w="732" w:type="dxa"/>
            <w:vAlign w:val="center"/>
            <w:hideMark/>
          </w:tcPr>
          <w:p w14:paraId="3C340FE5" w14:textId="77777777" w:rsidR="00295BCD" w:rsidRPr="001927D6" w:rsidRDefault="00295BCD">
            <w:pPr>
              <w:spacing w:after="0" w:line="240" w:lineRule="auto"/>
              <w:jc w:val="center"/>
              <w:textAlignment w:val="baseline"/>
              <w:rPr>
                <w:szCs w:val="24"/>
                <w:lang w:eastAsia="et-EE"/>
              </w:rPr>
            </w:pPr>
            <w:r w:rsidRPr="001927D6">
              <w:rPr>
                <w:szCs w:val="24"/>
                <w:lang w:eastAsia="et-EE"/>
              </w:rPr>
              <w:t>114O </w:t>
            </w:r>
          </w:p>
        </w:tc>
        <w:tc>
          <w:tcPr>
            <w:tcW w:w="1243" w:type="dxa"/>
            <w:vAlign w:val="center"/>
          </w:tcPr>
          <w:p w14:paraId="345289BA" w14:textId="77777777" w:rsidR="00295BCD" w:rsidRPr="001927D6" w:rsidRDefault="00295BCD">
            <w:pPr>
              <w:spacing w:after="0" w:line="240" w:lineRule="auto"/>
              <w:jc w:val="center"/>
              <w:textAlignment w:val="baseline"/>
              <w:rPr>
                <w:szCs w:val="24"/>
                <w:lang w:eastAsia="et-EE"/>
              </w:rPr>
            </w:pPr>
            <w:r w:rsidRPr="001927D6">
              <w:rPr>
                <w:color w:val="000000"/>
                <w:szCs w:val="24"/>
              </w:rPr>
              <w:t>440,79</w:t>
            </w:r>
          </w:p>
        </w:tc>
        <w:tc>
          <w:tcPr>
            <w:tcW w:w="1211" w:type="dxa"/>
            <w:vAlign w:val="center"/>
          </w:tcPr>
          <w:p w14:paraId="5D7A6DA0" w14:textId="77777777" w:rsidR="00295BCD" w:rsidRPr="001927D6" w:rsidRDefault="00295BCD">
            <w:pPr>
              <w:spacing w:after="0" w:line="240" w:lineRule="auto"/>
              <w:jc w:val="center"/>
              <w:textAlignment w:val="baseline"/>
              <w:rPr>
                <w:szCs w:val="24"/>
                <w:lang w:eastAsia="et-EE"/>
              </w:rPr>
            </w:pPr>
            <w:r w:rsidRPr="001927D6">
              <w:rPr>
                <w:color w:val="000000"/>
                <w:szCs w:val="24"/>
              </w:rPr>
              <w:t>389,82</w:t>
            </w:r>
          </w:p>
        </w:tc>
        <w:tc>
          <w:tcPr>
            <w:tcW w:w="1238" w:type="dxa"/>
            <w:vAlign w:val="center"/>
          </w:tcPr>
          <w:p w14:paraId="3CCC70C9" w14:textId="77777777" w:rsidR="00295BCD" w:rsidRPr="001927D6" w:rsidRDefault="00295BCD">
            <w:pPr>
              <w:spacing w:after="0" w:line="240" w:lineRule="auto"/>
              <w:jc w:val="center"/>
              <w:textAlignment w:val="baseline"/>
              <w:rPr>
                <w:szCs w:val="24"/>
                <w:lang w:eastAsia="et-EE"/>
              </w:rPr>
            </w:pPr>
            <w:r w:rsidRPr="001927D6">
              <w:rPr>
                <w:color w:val="000000"/>
                <w:szCs w:val="24"/>
              </w:rPr>
              <w:t>709,03</w:t>
            </w:r>
          </w:p>
        </w:tc>
      </w:tr>
      <w:tr w:rsidR="00295BCD" w:rsidRPr="001927D6" w14:paraId="6AF4C9BE" w14:textId="77777777" w:rsidTr="00295BCD">
        <w:trPr>
          <w:divId w:val="1316184749"/>
          <w:trHeight w:val="300"/>
        </w:trPr>
        <w:tc>
          <w:tcPr>
            <w:tcW w:w="4632" w:type="dxa"/>
            <w:vAlign w:val="bottom"/>
            <w:hideMark/>
          </w:tcPr>
          <w:p w14:paraId="16188E3C" w14:textId="77777777" w:rsidR="00295BCD" w:rsidRPr="001927D6" w:rsidRDefault="00295BCD">
            <w:pPr>
              <w:spacing w:after="0" w:line="240" w:lineRule="auto"/>
              <w:textAlignment w:val="baseline"/>
              <w:rPr>
                <w:szCs w:val="24"/>
                <w:lang w:eastAsia="et-EE"/>
              </w:rPr>
            </w:pPr>
            <w:r w:rsidRPr="001927D6">
              <w:rPr>
                <w:szCs w:val="24"/>
                <w:lang w:eastAsia="et-EE"/>
              </w:rPr>
              <w:t>Südame püsistimulaatori või defibrillaatori eemaldamine </w:t>
            </w:r>
          </w:p>
        </w:tc>
        <w:tc>
          <w:tcPr>
            <w:tcW w:w="732" w:type="dxa"/>
            <w:vAlign w:val="center"/>
            <w:hideMark/>
          </w:tcPr>
          <w:p w14:paraId="47154EC4" w14:textId="77777777" w:rsidR="00295BCD" w:rsidRPr="001927D6" w:rsidRDefault="00295BCD">
            <w:pPr>
              <w:spacing w:after="0" w:line="240" w:lineRule="auto"/>
              <w:jc w:val="center"/>
              <w:textAlignment w:val="baseline"/>
              <w:rPr>
                <w:szCs w:val="24"/>
                <w:lang w:eastAsia="et-EE"/>
              </w:rPr>
            </w:pPr>
            <w:r w:rsidRPr="001927D6">
              <w:rPr>
                <w:szCs w:val="24"/>
                <w:lang w:eastAsia="et-EE"/>
              </w:rPr>
              <w:t>115A </w:t>
            </w:r>
          </w:p>
        </w:tc>
        <w:tc>
          <w:tcPr>
            <w:tcW w:w="1243" w:type="dxa"/>
            <w:vAlign w:val="center"/>
          </w:tcPr>
          <w:p w14:paraId="177B8D2C" w14:textId="77777777" w:rsidR="00295BCD" w:rsidRPr="001927D6" w:rsidRDefault="00295BCD">
            <w:pPr>
              <w:spacing w:after="0" w:line="240" w:lineRule="auto"/>
              <w:jc w:val="center"/>
              <w:textAlignment w:val="baseline"/>
              <w:rPr>
                <w:szCs w:val="24"/>
                <w:lang w:eastAsia="et-EE"/>
              </w:rPr>
            </w:pPr>
            <w:r w:rsidRPr="001927D6">
              <w:rPr>
                <w:color w:val="000000"/>
                <w:szCs w:val="24"/>
              </w:rPr>
              <w:t>6 045,66</w:t>
            </w:r>
          </w:p>
        </w:tc>
        <w:tc>
          <w:tcPr>
            <w:tcW w:w="1211" w:type="dxa"/>
            <w:vAlign w:val="center"/>
          </w:tcPr>
          <w:p w14:paraId="79E38DE6" w14:textId="77777777" w:rsidR="00295BCD" w:rsidRPr="001927D6" w:rsidRDefault="00295BCD">
            <w:pPr>
              <w:spacing w:after="0" w:line="240" w:lineRule="auto"/>
              <w:jc w:val="center"/>
              <w:textAlignment w:val="baseline"/>
              <w:rPr>
                <w:szCs w:val="24"/>
                <w:lang w:eastAsia="et-EE"/>
              </w:rPr>
            </w:pPr>
            <w:r w:rsidRPr="001927D6">
              <w:rPr>
                <w:color w:val="000000"/>
                <w:szCs w:val="24"/>
              </w:rPr>
              <w:t>1 392,39</w:t>
            </w:r>
          </w:p>
        </w:tc>
        <w:tc>
          <w:tcPr>
            <w:tcW w:w="1238" w:type="dxa"/>
            <w:vAlign w:val="center"/>
          </w:tcPr>
          <w:p w14:paraId="29C7A43F" w14:textId="77777777" w:rsidR="00295BCD" w:rsidRPr="001927D6" w:rsidRDefault="00295BCD">
            <w:pPr>
              <w:spacing w:after="0" w:line="240" w:lineRule="auto"/>
              <w:jc w:val="center"/>
              <w:textAlignment w:val="baseline"/>
              <w:rPr>
                <w:szCs w:val="24"/>
                <w:lang w:eastAsia="et-EE"/>
              </w:rPr>
            </w:pPr>
            <w:r w:rsidRPr="001927D6">
              <w:rPr>
                <w:color w:val="000000"/>
                <w:szCs w:val="24"/>
              </w:rPr>
              <w:t>16 823,68</w:t>
            </w:r>
          </w:p>
        </w:tc>
      </w:tr>
      <w:tr w:rsidR="00295BCD" w:rsidRPr="001927D6" w14:paraId="6FE84BC5" w14:textId="77777777" w:rsidTr="00295BCD">
        <w:trPr>
          <w:divId w:val="1316184749"/>
          <w:trHeight w:val="300"/>
        </w:trPr>
        <w:tc>
          <w:tcPr>
            <w:tcW w:w="4632" w:type="dxa"/>
            <w:vAlign w:val="bottom"/>
            <w:hideMark/>
          </w:tcPr>
          <w:p w14:paraId="4BEC7B74" w14:textId="77777777" w:rsidR="00295BCD" w:rsidRPr="001927D6" w:rsidRDefault="00295BCD">
            <w:pPr>
              <w:spacing w:after="0" w:line="240" w:lineRule="auto"/>
              <w:textAlignment w:val="baseline"/>
              <w:rPr>
                <w:szCs w:val="24"/>
                <w:lang w:eastAsia="et-EE"/>
              </w:rPr>
            </w:pPr>
            <w:r w:rsidRPr="001927D6">
              <w:rPr>
                <w:szCs w:val="24"/>
                <w:lang w:eastAsia="et-EE"/>
              </w:rPr>
              <w:t>Südame stimulaatori revisioon või südame defibrillaatori vahetamine </w:t>
            </w:r>
          </w:p>
        </w:tc>
        <w:tc>
          <w:tcPr>
            <w:tcW w:w="732" w:type="dxa"/>
            <w:vAlign w:val="center"/>
            <w:hideMark/>
          </w:tcPr>
          <w:p w14:paraId="4A48EDAD" w14:textId="77777777" w:rsidR="00295BCD" w:rsidRPr="001927D6" w:rsidRDefault="00295BCD">
            <w:pPr>
              <w:spacing w:after="0" w:line="240" w:lineRule="auto"/>
              <w:jc w:val="center"/>
              <w:textAlignment w:val="baseline"/>
              <w:rPr>
                <w:szCs w:val="24"/>
                <w:lang w:eastAsia="et-EE"/>
              </w:rPr>
            </w:pPr>
            <w:r w:rsidRPr="001927D6">
              <w:rPr>
                <w:szCs w:val="24"/>
                <w:lang w:eastAsia="et-EE"/>
              </w:rPr>
              <w:t>115B </w:t>
            </w:r>
          </w:p>
        </w:tc>
        <w:tc>
          <w:tcPr>
            <w:tcW w:w="1243" w:type="dxa"/>
            <w:vAlign w:val="center"/>
          </w:tcPr>
          <w:p w14:paraId="6AD2EC33" w14:textId="77777777" w:rsidR="00295BCD" w:rsidRPr="001927D6" w:rsidRDefault="00295BCD">
            <w:pPr>
              <w:spacing w:after="0" w:line="240" w:lineRule="auto"/>
              <w:jc w:val="center"/>
              <w:textAlignment w:val="baseline"/>
              <w:rPr>
                <w:szCs w:val="24"/>
                <w:lang w:eastAsia="et-EE"/>
              </w:rPr>
            </w:pPr>
            <w:r w:rsidRPr="001927D6">
              <w:rPr>
                <w:color w:val="000000"/>
                <w:szCs w:val="24"/>
              </w:rPr>
              <w:t>5 302,43</w:t>
            </w:r>
          </w:p>
        </w:tc>
        <w:tc>
          <w:tcPr>
            <w:tcW w:w="1211" w:type="dxa"/>
            <w:vAlign w:val="center"/>
          </w:tcPr>
          <w:p w14:paraId="38BC3F03" w14:textId="77777777" w:rsidR="00295BCD" w:rsidRPr="001927D6" w:rsidRDefault="00295BCD">
            <w:pPr>
              <w:spacing w:after="0" w:line="240" w:lineRule="auto"/>
              <w:jc w:val="center"/>
              <w:textAlignment w:val="baseline"/>
              <w:rPr>
                <w:szCs w:val="24"/>
                <w:lang w:eastAsia="et-EE"/>
              </w:rPr>
            </w:pPr>
            <w:r w:rsidRPr="001927D6">
              <w:rPr>
                <w:color w:val="000000"/>
                <w:szCs w:val="24"/>
              </w:rPr>
              <w:t>2 628,47</w:t>
            </w:r>
          </w:p>
        </w:tc>
        <w:tc>
          <w:tcPr>
            <w:tcW w:w="1238" w:type="dxa"/>
            <w:vAlign w:val="center"/>
          </w:tcPr>
          <w:p w14:paraId="28CA31E1" w14:textId="77777777" w:rsidR="00295BCD" w:rsidRPr="001927D6" w:rsidRDefault="00295BCD">
            <w:pPr>
              <w:spacing w:after="0" w:line="240" w:lineRule="auto"/>
              <w:jc w:val="center"/>
              <w:textAlignment w:val="baseline"/>
              <w:rPr>
                <w:szCs w:val="24"/>
                <w:lang w:eastAsia="et-EE"/>
              </w:rPr>
            </w:pPr>
            <w:r w:rsidRPr="001927D6">
              <w:rPr>
                <w:color w:val="000000"/>
                <w:szCs w:val="24"/>
              </w:rPr>
              <w:t>9 908,82</w:t>
            </w:r>
          </w:p>
        </w:tc>
      </w:tr>
      <w:tr w:rsidR="00295BCD" w:rsidRPr="001927D6" w14:paraId="5288F54C" w14:textId="77777777" w:rsidTr="00295BCD">
        <w:trPr>
          <w:divId w:val="1316184749"/>
          <w:trHeight w:val="300"/>
        </w:trPr>
        <w:tc>
          <w:tcPr>
            <w:tcW w:w="4632" w:type="dxa"/>
            <w:vAlign w:val="bottom"/>
            <w:hideMark/>
          </w:tcPr>
          <w:p w14:paraId="3DAFA5E6" w14:textId="77777777" w:rsidR="00295BCD" w:rsidRPr="001927D6" w:rsidRDefault="00295BCD">
            <w:pPr>
              <w:spacing w:after="0" w:line="240" w:lineRule="auto"/>
              <w:textAlignment w:val="baseline"/>
              <w:rPr>
                <w:szCs w:val="24"/>
                <w:lang w:eastAsia="et-EE"/>
              </w:rPr>
            </w:pPr>
            <w:r w:rsidRPr="001927D6">
              <w:rPr>
                <w:szCs w:val="24"/>
                <w:lang w:eastAsia="et-EE"/>
              </w:rPr>
              <w:t>Südame defibrillaatori asendamine või implanteerimine </w:t>
            </w:r>
          </w:p>
        </w:tc>
        <w:tc>
          <w:tcPr>
            <w:tcW w:w="732" w:type="dxa"/>
            <w:vAlign w:val="center"/>
            <w:hideMark/>
          </w:tcPr>
          <w:p w14:paraId="167C4099" w14:textId="77777777" w:rsidR="00295BCD" w:rsidRPr="001927D6" w:rsidRDefault="00295BCD">
            <w:pPr>
              <w:spacing w:after="0" w:line="240" w:lineRule="auto"/>
              <w:jc w:val="center"/>
              <w:textAlignment w:val="baseline"/>
              <w:rPr>
                <w:szCs w:val="24"/>
                <w:lang w:eastAsia="et-EE"/>
              </w:rPr>
            </w:pPr>
            <w:r w:rsidRPr="001927D6">
              <w:rPr>
                <w:szCs w:val="24"/>
                <w:lang w:eastAsia="et-EE"/>
              </w:rPr>
              <w:t>115C </w:t>
            </w:r>
          </w:p>
        </w:tc>
        <w:tc>
          <w:tcPr>
            <w:tcW w:w="1243" w:type="dxa"/>
            <w:vAlign w:val="center"/>
          </w:tcPr>
          <w:p w14:paraId="37C6F178" w14:textId="77777777" w:rsidR="00295BCD" w:rsidRPr="001927D6" w:rsidRDefault="00295BCD">
            <w:pPr>
              <w:spacing w:after="0" w:line="240" w:lineRule="auto"/>
              <w:jc w:val="center"/>
              <w:textAlignment w:val="baseline"/>
              <w:rPr>
                <w:szCs w:val="24"/>
                <w:lang w:eastAsia="et-EE"/>
              </w:rPr>
            </w:pPr>
            <w:r w:rsidRPr="001927D6">
              <w:rPr>
                <w:color w:val="000000"/>
                <w:szCs w:val="24"/>
              </w:rPr>
              <w:t>13 299,16</w:t>
            </w:r>
          </w:p>
        </w:tc>
        <w:tc>
          <w:tcPr>
            <w:tcW w:w="1211" w:type="dxa"/>
            <w:vAlign w:val="center"/>
          </w:tcPr>
          <w:p w14:paraId="662A51CC" w14:textId="77777777" w:rsidR="00295BCD" w:rsidRPr="001927D6" w:rsidRDefault="00295BCD">
            <w:pPr>
              <w:spacing w:after="0" w:line="240" w:lineRule="auto"/>
              <w:jc w:val="center"/>
              <w:textAlignment w:val="baseline"/>
              <w:rPr>
                <w:szCs w:val="24"/>
                <w:lang w:eastAsia="et-EE"/>
              </w:rPr>
            </w:pPr>
            <w:r w:rsidRPr="001927D6">
              <w:rPr>
                <w:color w:val="000000"/>
                <w:szCs w:val="24"/>
              </w:rPr>
              <w:t>8 122,62</w:t>
            </w:r>
          </w:p>
        </w:tc>
        <w:tc>
          <w:tcPr>
            <w:tcW w:w="1238" w:type="dxa"/>
            <w:vAlign w:val="center"/>
          </w:tcPr>
          <w:p w14:paraId="0090EAB6" w14:textId="77777777" w:rsidR="00295BCD" w:rsidRPr="001927D6" w:rsidRDefault="00295BCD">
            <w:pPr>
              <w:spacing w:after="0" w:line="240" w:lineRule="auto"/>
              <w:jc w:val="center"/>
              <w:textAlignment w:val="baseline"/>
              <w:rPr>
                <w:szCs w:val="24"/>
                <w:lang w:eastAsia="et-EE"/>
              </w:rPr>
            </w:pPr>
            <w:r w:rsidRPr="001927D6">
              <w:rPr>
                <w:color w:val="000000"/>
                <w:szCs w:val="24"/>
              </w:rPr>
              <w:t>22 681,13</w:t>
            </w:r>
          </w:p>
        </w:tc>
      </w:tr>
      <w:tr w:rsidR="00295BCD" w:rsidRPr="001927D6" w14:paraId="778164F9" w14:textId="77777777" w:rsidTr="00295BCD">
        <w:trPr>
          <w:divId w:val="1316184749"/>
          <w:trHeight w:val="300"/>
        </w:trPr>
        <w:tc>
          <w:tcPr>
            <w:tcW w:w="4632" w:type="dxa"/>
            <w:vAlign w:val="bottom"/>
            <w:hideMark/>
          </w:tcPr>
          <w:p w14:paraId="6B3752C1" w14:textId="77777777" w:rsidR="00295BCD" w:rsidRPr="001927D6" w:rsidRDefault="00295BCD">
            <w:pPr>
              <w:spacing w:after="0" w:line="240" w:lineRule="auto"/>
              <w:textAlignment w:val="baseline"/>
              <w:rPr>
                <w:szCs w:val="24"/>
                <w:lang w:eastAsia="et-EE"/>
              </w:rPr>
            </w:pPr>
            <w:r w:rsidRPr="001927D6">
              <w:rPr>
                <w:szCs w:val="24"/>
                <w:lang w:eastAsia="et-EE"/>
              </w:rPr>
              <w:t>Südame defibrillaatori või püsistimulaatori eemaldamine, lühike ravi </w:t>
            </w:r>
          </w:p>
        </w:tc>
        <w:tc>
          <w:tcPr>
            <w:tcW w:w="732" w:type="dxa"/>
            <w:vAlign w:val="center"/>
            <w:hideMark/>
          </w:tcPr>
          <w:p w14:paraId="446E9BDE" w14:textId="77777777" w:rsidR="00295BCD" w:rsidRPr="001927D6" w:rsidRDefault="00295BCD">
            <w:pPr>
              <w:spacing w:after="0" w:line="240" w:lineRule="auto"/>
              <w:jc w:val="center"/>
              <w:textAlignment w:val="baseline"/>
              <w:rPr>
                <w:szCs w:val="24"/>
                <w:lang w:eastAsia="et-EE"/>
              </w:rPr>
            </w:pPr>
            <w:r w:rsidRPr="001927D6">
              <w:rPr>
                <w:szCs w:val="24"/>
                <w:lang w:eastAsia="et-EE"/>
              </w:rPr>
              <w:t>115O </w:t>
            </w:r>
          </w:p>
        </w:tc>
        <w:tc>
          <w:tcPr>
            <w:tcW w:w="1243" w:type="dxa"/>
            <w:vAlign w:val="center"/>
          </w:tcPr>
          <w:p w14:paraId="625E60E6" w14:textId="77777777" w:rsidR="00295BCD" w:rsidRPr="001927D6" w:rsidRDefault="00295BCD">
            <w:pPr>
              <w:spacing w:after="0" w:line="240" w:lineRule="auto"/>
              <w:jc w:val="center"/>
              <w:textAlignment w:val="baseline"/>
              <w:rPr>
                <w:szCs w:val="24"/>
                <w:lang w:eastAsia="et-EE"/>
              </w:rPr>
            </w:pPr>
            <w:r w:rsidRPr="001927D6">
              <w:rPr>
                <w:color w:val="000000"/>
                <w:szCs w:val="24"/>
              </w:rPr>
              <w:t>1 551,29</w:t>
            </w:r>
          </w:p>
        </w:tc>
        <w:tc>
          <w:tcPr>
            <w:tcW w:w="1211" w:type="dxa"/>
            <w:vAlign w:val="center"/>
          </w:tcPr>
          <w:p w14:paraId="59B83BCF" w14:textId="77777777" w:rsidR="00295BCD" w:rsidRPr="001927D6" w:rsidRDefault="00295BCD">
            <w:pPr>
              <w:spacing w:after="0" w:line="240" w:lineRule="auto"/>
              <w:jc w:val="center"/>
              <w:textAlignment w:val="baseline"/>
              <w:rPr>
                <w:szCs w:val="24"/>
                <w:lang w:eastAsia="et-EE"/>
              </w:rPr>
            </w:pPr>
            <w:r w:rsidRPr="001927D6">
              <w:rPr>
                <w:color w:val="000000"/>
                <w:szCs w:val="24"/>
              </w:rPr>
              <w:t>523,19</w:t>
            </w:r>
          </w:p>
        </w:tc>
        <w:tc>
          <w:tcPr>
            <w:tcW w:w="1238" w:type="dxa"/>
            <w:vAlign w:val="center"/>
          </w:tcPr>
          <w:p w14:paraId="0BDB4F64" w14:textId="77777777" w:rsidR="00295BCD" w:rsidRPr="001927D6" w:rsidRDefault="00295BCD">
            <w:pPr>
              <w:spacing w:after="0" w:line="240" w:lineRule="auto"/>
              <w:jc w:val="center"/>
              <w:textAlignment w:val="baseline"/>
              <w:rPr>
                <w:szCs w:val="24"/>
                <w:lang w:eastAsia="et-EE"/>
              </w:rPr>
            </w:pPr>
            <w:r w:rsidRPr="001927D6">
              <w:rPr>
                <w:color w:val="000000"/>
                <w:szCs w:val="24"/>
              </w:rPr>
              <w:t>3 292,50</w:t>
            </w:r>
          </w:p>
        </w:tc>
      </w:tr>
      <w:tr w:rsidR="00295BCD" w:rsidRPr="001927D6" w14:paraId="494A7E24" w14:textId="77777777" w:rsidTr="00295BCD">
        <w:trPr>
          <w:divId w:val="1316184749"/>
          <w:trHeight w:val="300"/>
        </w:trPr>
        <w:tc>
          <w:tcPr>
            <w:tcW w:w="4632" w:type="dxa"/>
            <w:vAlign w:val="bottom"/>
            <w:hideMark/>
          </w:tcPr>
          <w:p w14:paraId="3A0BA6C2" w14:textId="77777777" w:rsidR="00295BCD" w:rsidRPr="001927D6" w:rsidRDefault="00295BCD">
            <w:pPr>
              <w:spacing w:after="0" w:line="240" w:lineRule="auto"/>
              <w:textAlignment w:val="baseline"/>
              <w:rPr>
                <w:szCs w:val="24"/>
                <w:lang w:eastAsia="et-EE"/>
              </w:rPr>
            </w:pPr>
            <w:r w:rsidRPr="001927D6">
              <w:rPr>
                <w:szCs w:val="24"/>
                <w:lang w:eastAsia="et-EE"/>
              </w:rPr>
              <w:t>Südame püsistimulaatori asendamine või implanteerimine, lühike ravi </w:t>
            </w:r>
          </w:p>
        </w:tc>
        <w:tc>
          <w:tcPr>
            <w:tcW w:w="732" w:type="dxa"/>
            <w:vAlign w:val="center"/>
            <w:hideMark/>
          </w:tcPr>
          <w:p w14:paraId="6C093585" w14:textId="77777777" w:rsidR="00295BCD" w:rsidRPr="001927D6" w:rsidRDefault="00295BCD">
            <w:pPr>
              <w:spacing w:after="0" w:line="240" w:lineRule="auto"/>
              <w:jc w:val="center"/>
              <w:textAlignment w:val="baseline"/>
              <w:rPr>
                <w:szCs w:val="24"/>
                <w:lang w:eastAsia="et-EE"/>
              </w:rPr>
            </w:pPr>
            <w:r w:rsidRPr="001927D6">
              <w:rPr>
                <w:szCs w:val="24"/>
                <w:lang w:eastAsia="et-EE"/>
              </w:rPr>
              <w:t>116O </w:t>
            </w:r>
          </w:p>
        </w:tc>
        <w:tc>
          <w:tcPr>
            <w:tcW w:w="1243" w:type="dxa"/>
            <w:vAlign w:val="center"/>
          </w:tcPr>
          <w:p w14:paraId="38570F60" w14:textId="77777777" w:rsidR="00295BCD" w:rsidRPr="001927D6" w:rsidRDefault="00295BCD">
            <w:pPr>
              <w:spacing w:after="0" w:line="240" w:lineRule="auto"/>
              <w:jc w:val="center"/>
              <w:textAlignment w:val="baseline"/>
              <w:rPr>
                <w:szCs w:val="24"/>
                <w:lang w:eastAsia="et-EE"/>
              </w:rPr>
            </w:pPr>
            <w:r w:rsidRPr="001927D6">
              <w:rPr>
                <w:color w:val="000000"/>
                <w:szCs w:val="24"/>
              </w:rPr>
              <w:t>2 997,21</w:t>
            </w:r>
          </w:p>
        </w:tc>
        <w:tc>
          <w:tcPr>
            <w:tcW w:w="1211" w:type="dxa"/>
            <w:vAlign w:val="center"/>
          </w:tcPr>
          <w:p w14:paraId="7EF5AA9E" w14:textId="77777777" w:rsidR="00295BCD" w:rsidRPr="001927D6" w:rsidRDefault="00295BCD">
            <w:pPr>
              <w:spacing w:after="0" w:line="240" w:lineRule="auto"/>
              <w:jc w:val="center"/>
              <w:textAlignment w:val="baseline"/>
              <w:rPr>
                <w:szCs w:val="24"/>
                <w:lang w:eastAsia="et-EE"/>
              </w:rPr>
            </w:pPr>
            <w:r w:rsidRPr="001927D6">
              <w:rPr>
                <w:color w:val="000000"/>
                <w:szCs w:val="24"/>
              </w:rPr>
              <w:t>1 846,53</w:t>
            </w:r>
          </w:p>
        </w:tc>
        <w:tc>
          <w:tcPr>
            <w:tcW w:w="1238" w:type="dxa"/>
            <w:vAlign w:val="center"/>
          </w:tcPr>
          <w:p w14:paraId="319F59F3" w14:textId="77777777" w:rsidR="00295BCD" w:rsidRPr="001927D6" w:rsidRDefault="00295BCD">
            <w:pPr>
              <w:spacing w:after="0" w:line="240" w:lineRule="auto"/>
              <w:jc w:val="center"/>
              <w:textAlignment w:val="baseline"/>
              <w:rPr>
                <w:szCs w:val="24"/>
                <w:lang w:eastAsia="et-EE"/>
              </w:rPr>
            </w:pPr>
            <w:r w:rsidRPr="001927D6">
              <w:rPr>
                <w:color w:val="000000"/>
                <w:szCs w:val="24"/>
              </w:rPr>
              <w:t>3 820,51</w:t>
            </w:r>
          </w:p>
        </w:tc>
      </w:tr>
      <w:tr w:rsidR="00295BCD" w:rsidRPr="001927D6" w14:paraId="4FEC2492" w14:textId="77777777" w:rsidTr="00295BCD">
        <w:trPr>
          <w:divId w:val="1316184749"/>
          <w:trHeight w:val="300"/>
        </w:trPr>
        <w:tc>
          <w:tcPr>
            <w:tcW w:w="4632" w:type="dxa"/>
            <w:vAlign w:val="bottom"/>
            <w:hideMark/>
          </w:tcPr>
          <w:p w14:paraId="49D61421" w14:textId="77777777" w:rsidR="00295BCD" w:rsidRPr="001927D6" w:rsidRDefault="00295BCD">
            <w:pPr>
              <w:spacing w:after="0" w:line="240" w:lineRule="auto"/>
              <w:textAlignment w:val="baseline"/>
              <w:rPr>
                <w:szCs w:val="24"/>
                <w:lang w:eastAsia="et-EE"/>
              </w:rPr>
            </w:pPr>
            <w:r w:rsidRPr="001927D6">
              <w:rPr>
                <w:szCs w:val="24"/>
                <w:lang w:eastAsia="et-EE"/>
              </w:rPr>
              <w:t>Südame defibrillaatori asendamine või implanteerimine, lühike ravi </w:t>
            </w:r>
          </w:p>
        </w:tc>
        <w:tc>
          <w:tcPr>
            <w:tcW w:w="732" w:type="dxa"/>
            <w:vAlign w:val="center"/>
            <w:hideMark/>
          </w:tcPr>
          <w:p w14:paraId="34CF02CA" w14:textId="77777777" w:rsidR="00295BCD" w:rsidRPr="001927D6" w:rsidRDefault="00295BCD">
            <w:pPr>
              <w:spacing w:after="0" w:line="240" w:lineRule="auto"/>
              <w:jc w:val="center"/>
              <w:textAlignment w:val="baseline"/>
              <w:rPr>
                <w:szCs w:val="24"/>
                <w:lang w:eastAsia="et-EE"/>
              </w:rPr>
            </w:pPr>
            <w:r w:rsidRPr="001927D6">
              <w:rPr>
                <w:szCs w:val="24"/>
                <w:lang w:eastAsia="et-EE"/>
              </w:rPr>
              <w:t>117O </w:t>
            </w:r>
          </w:p>
        </w:tc>
        <w:tc>
          <w:tcPr>
            <w:tcW w:w="1243" w:type="dxa"/>
            <w:vAlign w:val="center"/>
          </w:tcPr>
          <w:p w14:paraId="04AAE032" w14:textId="77777777" w:rsidR="00295BCD" w:rsidRPr="001927D6" w:rsidRDefault="00295BCD">
            <w:pPr>
              <w:spacing w:after="0" w:line="240" w:lineRule="auto"/>
              <w:jc w:val="center"/>
              <w:textAlignment w:val="baseline"/>
              <w:rPr>
                <w:szCs w:val="24"/>
                <w:lang w:eastAsia="et-EE"/>
              </w:rPr>
            </w:pPr>
            <w:r w:rsidRPr="001927D6">
              <w:rPr>
                <w:color w:val="000000"/>
                <w:szCs w:val="24"/>
              </w:rPr>
              <w:t>7 946,96</w:t>
            </w:r>
          </w:p>
        </w:tc>
        <w:tc>
          <w:tcPr>
            <w:tcW w:w="1211" w:type="dxa"/>
            <w:vAlign w:val="center"/>
          </w:tcPr>
          <w:p w14:paraId="2A67855A" w14:textId="77777777" w:rsidR="00295BCD" w:rsidRPr="001927D6" w:rsidRDefault="00295BCD">
            <w:pPr>
              <w:spacing w:after="0" w:line="240" w:lineRule="auto"/>
              <w:jc w:val="center"/>
              <w:textAlignment w:val="baseline"/>
              <w:rPr>
                <w:szCs w:val="24"/>
                <w:lang w:eastAsia="et-EE"/>
              </w:rPr>
            </w:pPr>
            <w:r w:rsidRPr="001927D6">
              <w:rPr>
                <w:color w:val="000000"/>
                <w:szCs w:val="24"/>
              </w:rPr>
              <w:t>5 402,40</w:t>
            </w:r>
          </w:p>
        </w:tc>
        <w:tc>
          <w:tcPr>
            <w:tcW w:w="1238" w:type="dxa"/>
            <w:vAlign w:val="center"/>
          </w:tcPr>
          <w:p w14:paraId="6073A775" w14:textId="77777777" w:rsidR="00295BCD" w:rsidRPr="001927D6" w:rsidRDefault="00295BCD">
            <w:pPr>
              <w:spacing w:after="0" w:line="240" w:lineRule="auto"/>
              <w:jc w:val="center"/>
              <w:textAlignment w:val="baseline"/>
              <w:rPr>
                <w:szCs w:val="24"/>
                <w:lang w:eastAsia="et-EE"/>
              </w:rPr>
            </w:pPr>
            <w:r w:rsidRPr="001927D6">
              <w:rPr>
                <w:color w:val="000000"/>
                <w:szCs w:val="24"/>
              </w:rPr>
              <w:t>12 049,94</w:t>
            </w:r>
          </w:p>
        </w:tc>
      </w:tr>
      <w:tr w:rsidR="00295BCD" w:rsidRPr="001927D6" w14:paraId="5E9365AA" w14:textId="77777777" w:rsidTr="00295BCD">
        <w:trPr>
          <w:divId w:val="1316184749"/>
          <w:trHeight w:val="300"/>
        </w:trPr>
        <w:tc>
          <w:tcPr>
            <w:tcW w:w="4632" w:type="dxa"/>
            <w:vAlign w:val="bottom"/>
            <w:hideMark/>
          </w:tcPr>
          <w:p w14:paraId="3143D28D" w14:textId="77777777" w:rsidR="00295BCD" w:rsidRPr="001927D6" w:rsidRDefault="00295BCD">
            <w:pPr>
              <w:spacing w:after="0" w:line="240" w:lineRule="auto"/>
              <w:textAlignment w:val="baseline"/>
              <w:rPr>
                <w:szCs w:val="24"/>
                <w:lang w:eastAsia="et-EE"/>
              </w:rPr>
            </w:pPr>
            <w:r w:rsidRPr="001927D6">
              <w:rPr>
                <w:szCs w:val="24"/>
                <w:lang w:eastAsia="et-EE"/>
              </w:rPr>
              <w:t>Veeni ligeerimine ja eemaldamine </w:t>
            </w:r>
          </w:p>
        </w:tc>
        <w:tc>
          <w:tcPr>
            <w:tcW w:w="732" w:type="dxa"/>
            <w:vAlign w:val="center"/>
            <w:hideMark/>
          </w:tcPr>
          <w:p w14:paraId="11F13914" w14:textId="77777777" w:rsidR="00295BCD" w:rsidRPr="001927D6" w:rsidRDefault="00295BCD">
            <w:pPr>
              <w:spacing w:after="0" w:line="240" w:lineRule="auto"/>
              <w:jc w:val="center"/>
              <w:textAlignment w:val="baseline"/>
              <w:rPr>
                <w:szCs w:val="24"/>
                <w:lang w:eastAsia="et-EE"/>
              </w:rPr>
            </w:pPr>
            <w:r w:rsidRPr="001927D6">
              <w:rPr>
                <w:szCs w:val="24"/>
                <w:lang w:eastAsia="et-EE"/>
              </w:rPr>
              <w:t>119 </w:t>
            </w:r>
          </w:p>
        </w:tc>
        <w:tc>
          <w:tcPr>
            <w:tcW w:w="1243" w:type="dxa"/>
            <w:vAlign w:val="center"/>
          </w:tcPr>
          <w:p w14:paraId="6E275D2D" w14:textId="77777777" w:rsidR="00295BCD" w:rsidRPr="001927D6" w:rsidRDefault="00295BCD">
            <w:pPr>
              <w:spacing w:after="0" w:line="240" w:lineRule="auto"/>
              <w:jc w:val="center"/>
              <w:textAlignment w:val="baseline"/>
              <w:rPr>
                <w:szCs w:val="24"/>
                <w:lang w:eastAsia="et-EE"/>
              </w:rPr>
            </w:pPr>
            <w:r w:rsidRPr="001927D6">
              <w:rPr>
                <w:color w:val="000000"/>
                <w:szCs w:val="24"/>
              </w:rPr>
              <w:t>1 184,69</w:t>
            </w:r>
          </w:p>
        </w:tc>
        <w:tc>
          <w:tcPr>
            <w:tcW w:w="1211" w:type="dxa"/>
            <w:vAlign w:val="center"/>
          </w:tcPr>
          <w:p w14:paraId="772E67ED" w14:textId="77777777" w:rsidR="00295BCD" w:rsidRPr="001927D6" w:rsidRDefault="00295BCD">
            <w:pPr>
              <w:spacing w:after="0" w:line="240" w:lineRule="auto"/>
              <w:jc w:val="center"/>
              <w:textAlignment w:val="baseline"/>
              <w:rPr>
                <w:szCs w:val="24"/>
                <w:lang w:eastAsia="et-EE"/>
              </w:rPr>
            </w:pPr>
            <w:r w:rsidRPr="001927D6">
              <w:rPr>
                <w:color w:val="000000"/>
                <w:szCs w:val="24"/>
              </w:rPr>
              <w:t>951,16</w:t>
            </w:r>
          </w:p>
        </w:tc>
        <w:tc>
          <w:tcPr>
            <w:tcW w:w="1238" w:type="dxa"/>
            <w:vAlign w:val="center"/>
          </w:tcPr>
          <w:p w14:paraId="4A55F48B" w14:textId="77777777" w:rsidR="00295BCD" w:rsidRPr="001927D6" w:rsidRDefault="00295BCD">
            <w:pPr>
              <w:spacing w:after="0" w:line="240" w:lineRule="auto"/>
              <w:jc w:val="center"/>
              <w:textAlignment w:val="baseline"/>
              <w:rPr>
                <w:szCs w:val="24"/>
                <w:lang w:eastAsia="et-EE"/>
              </w:rPr>
            </w:pPr>
            <w:r w:rsidRPr="001927D6">
              <w:rPr>
                <w:color w:val="000000"/>
                <w:szCs w:val="24"/>
              </w:rPr>
              <w:t>1 626,23</w:t>
            </w:r>
          </w:p>
        </w:tc>
      </w:tr>
      <w:tr w:rsidR="00295BCD" w:rsidRPr="001927D6" w14:paraId="74B67A5D" w14:textId="77777777" w:rsidTr="00295BCD">
        <w:trPr>
          <w:divId w:val="1316184749"/>
          <w:trHeight w:val="300"/>
        </w:trPr>
        <w:tc>
          <w:tcPr>
            <w:tcW w:w="4632" w:type="dxa"/>
            <w:vAlign w:val="bottom"/>
            <w:hideMark/>
          </w:tcPr>
          <w:p w14:paraId="57B01D8C" w14:textId="77777777" w:rsidR="00295BCD" w:rsidRPr="001927D6" w:rsidRDefault="00295BCD">
            <w:pPr>
              <w:spacing w:after="0" w:line="240" w:lineRule="auto"/>
              <w:textAlignment w:val="baseline"/>
              <w:rPr>
                <w:szCs w:val="24"/>
                <w:lang w:eastAsia="et-EE"/>
              </w:rPr>
            </w:pPr>
            <w:r w:rsidRPr="001927D6">
              <w:rPr>
                <w:szCs w:val="24"/>
                <w:lang w:eastAsia="et-EE"/>
              </w:rPr>
              <w:t>Veeni ligeerimine ja eemaldamine, lühike ravi </w:t>
            </w:r>
          </w:p>
        </w:tc>
        <w:tc>
          <w:tcPr>
            <w:tcW w:w="732" w:type="dxa"/>
            <w:vAlign w:val="center"/>
            <w:hideMark/>
          </w:tcPr>
          <w:p w14:paraId="1A6A6831" w14:textId="77777777" w:rsidR="00295BCD" w:rsidRPr="001927D6" w:rsidRDefault="00295BCD">
            <w:pPr>
              <w:spacing w:after="0" w:line="240" w:lineRule="auto"/>
              <w:jc w:val="center"/>
              <w:textAlignment w:val="baseline"/>
              <w:rPr>
                <w:szCs w:val="24"/>
                <w:lang w:eastAsia="et-EE"/>
              </w:rPr>
            </w:pPr>
            <w:r w:rsidRPr="001927D6">
              <w:rPr>
                <w:szCs w:val="24"/>
                <w:lang w:eastAsia="et-EE"/>
              </w:rPr>
              <w:t>119O </w:t>
            </w:r>
          </w:p>
        </w:tc>
        <w:tc>
          <w:tcPr>
            <w:tcW w:w="1243" w:type="dxa"/>
            <w:vAlign w:val="center"/>
          </w:tcPr>
          <w:p w14:paraId="7F2BDB97" w14:textId="77777777" w:rsidR="00295BCD" w:rsidRPr="001927D6" w:rsidRDefault="00295BCD">
            <w:pPr>
              <w:spacing w:after="0" w:line="240" w:lineRule="auto"/>
              <w:jc w:val="center"/>
              <w:textAlignment w:val="baseline"/>
              <w:rPr>
                <w:szCs w:val="24"/>
                <w:lang w:eastAsia="et-EE"/>
              </w:rPr>
            </w:pPr>
            <w:r w:rsidRPr="001927D6">
              <w:rPr>
                <w:color w:val="000000"/>
                <w:szCs w:val="24"/>
              </w:rPr>
              <w:t>978,62</w:t>
            </w:r>
          </w:p>
        </w:tc>
        <w:tc>
          <w:tcPr>
            <w:tcW w:w="1211" w:type="dxa"/>
            <w:vAlign w:val="center"/>
          </w:tcPr>
          <w:p w14:paraId="50942E1C" w14:textId="77777777" w:rsidR="00295BCD" w:rsidRPr="001927D6" w:rsidRDefault="00295BCD">
            <w:pPr>
              <w:spacing w:after="0" w:line="240" w:lineRule="auto"/>
              <w:jc w:val="center"/>
              <w:textAlignment w:val="baseline"/>
              <w:rPr>
                <w:szCs w:val="24"/>
                <w:lang w:eastAsia="et-EE"/>
              </w:rPr>
            </w:pPr>
            <w:r w:rsidRPr="001927D6">
              <w:rPr>
                <w:color w:val="000000"/>
                <w:szCs w:val="24"/>
              </w:rPr>
              <w:t>560,25</w:t>
            </w:r>
          </w:p>
        </w:tc>
        <w:tc>
          <w:tcPr>
            <w:tcW w:w="1238" w:type="dxa"/>
            <w:vAlign w:val="center"/>
          </w:tcPr>
          <w:p w14:paraId="5FB9C48F" w14:textId="77777777" w:rsidR="00295BCD" w:rsidRPr="001927D6" w:rsidRDefault="00295BCD">
            <w:pPr>
              <w:spacing w:after="0" w:line="240" w:lineRule="auto"/>
              <w:jc w:val="center"/>
              <w:textAlignment w:val="baseline"/>
              <w:rPr>
                <w:szCs w:val="24"/>
                <w:lang w:eastAsia="et-EE"/>
              </w:rPr>
            </w:pPr>
            <w:r w:rsidRPr="001927D6">
              <w:rPr>
                <w:color w:val="000000"/>
                <w:szCs w:val="24"/>
              </w:rPr>
              <w:t>1 137,29</w:t>
            </w:r>
          </w:p>
        </w:tc>
      </w:tr>
      <w:tr w:rsidR="00295BCD" w:rsidRPr="001927D6" w14:paraId="0244B348" w14:textId="77777777" w:rsidTr="00295BCD">
        <w:trPr>
          <w:divId w:val="1316184749"/>
          <w:trHeight w:val="300"/>
        </w:trPr>
        <w:tc>
          <w:tcPr>
            <w:tcW w:w="4632" w:type="dxa"/>
            <w:vAlign w:val="bottom"/>
            <w:hideMark/>
          </w:tcPr>
          <w:p w14:paraId="17812884" w14:textId="77777777" w:rsidR="00295BCD" w:rsidRPr="001927D6" w:rsidRDefault="00295BCD">
            <w:pPr>
              <w:spacing w:after="0" w:line="240" w:lineRule="auto"/>
              <w:textAlignment w:val="baseline"/>
              <w:rPr>
                <w:szCs w:val="24"/>
                <w:lang w:eastAsia="et-EE"/>
              </w:rPr>
            </w:pPr>
            <w:r w:rsidRPr="001927D6">
              <w:rPr>
                <w:szCs w:val="24"/>
                <w:lang w:eastAsia="et-EE"/>
              </w:rPr>
              <w:t>Vereringesüsteemi muud operatsioonid </w:t>
            </w:r>
          </w:p>
        </w:tc>
        <w:tc>
          <w:tcPr>
            <w:tcW w:w="732" w:type="dxa"/>
            <w:vAlign w:val="center"/>
            <w:hideMark/>
          </w:tcPr>
          <w:p w14:paraId="50FC04A1" w14:textId="77777777" w:rsidR="00295BCD" w:rsidRPr="001927D6" w:rsidRDefault="00295BCD">
            <w:pPr>
              <w:spacing w:after="0" w:line="240" w:lineRule="auto"/>
              <w:jc w:val="center"/>
              <w:textAlignment w:val="baseline"/>
              <w:rPr>
                <w:szCs w:val="24"/>
                <w:lang w:eastAsia="et-EE"/>
              </w:rPr>
            </w:pPr>
            <w:r w:rsidRPr="001927D6">
              <w:rPr>
                <w:szCs w:val="24"/>
                <w:lang w:eastAsia="et-EE"/>
              </w:rPr>
              <w:t>120 </w:t>
            </w:r>
          </w:p>
        </w:tc>
        <w:tc>
          <w:tcPr>
            <w:tcW w:w="1243" w:type="dxa"/>
            <w:vAlign w:val="center"/>
          </w:tcPr>
          <w:p w14:paraId="6F4A6290" w14:textId="77777777" w:rsidR="00295BCD" w:rsidRPr="001927D6" w:rsidRDefault="00295BCD">
            <w:pPr>
              <w:spacing w:after="0" w:line="240" w:lineRule="auto"/>
              <w:jc w:val="center"/>
              <w:textAlignment w:val="baseline"/>
              <w:rPr>
                <w:szCs w:val="24"/>
                <w:lang w:eastAsia="et-EE"/>
              </w:rPr>
            </w:pPr>
            <w:r w:rsidRPr="001927D6">
              <w:rPr>
                <w:color w:val="000000"/>
                <w:szCs w:val="24"/>
              </w:rPr>
              <w:t>4 206,24</w:t>
            </w:r>
          </w:p>
        </w:tc>
        <w:tc>
          <w:tcPr>
            <w:tcW w:w="1211" w:type="dxa"/>
            <w:vAlign w:val="center"/>
          </w:tcPr>
          <w:p w14:paraId="13B4127F" w14:textId="77777777" w:rsidR="00295BCD" w:rsidRPr="001927D6" w:rsidRDefault="00295BCD">
            <w:pPr>
              <w:spacing w:after="0" w:line="240" w:lineRule="auto"/>
              <w:jc w:val="center"/>
              <w:textAlignment w:val="baseline"/>
              <w:rPr>
                <w:szCs w:val="24"/>
                <w:lang w:eastAsia="et-EE"/>
              </w:rPr>
            </w:pPr>
            <w:r w:rsidRPr="001927D6">
              <w:rPr>
                <w:color w:val="000000"/>
                <w:szCs w:val="24"/>
              </w:rPr>
              <w:t>1 938,94</w:t>
            </w:r>
          </w:p>
        </w:tc>
        <w:tc>
          <w:tcPr>
            <w:tcW w:w="1238" w:type="dxa"/>
            <w:vAlign w:val="center"/>
          </w:tcPr>
          <w:p w14:paraId="7E364010" w14:textId="77777777" w:rsidR="00295BCD" w:rsidRPr="001927D6" w:rsidRDefault="00295BCD">
            <w:pPr>
              <w:spacing w:after="0" w:line="240" w:lineRule="auto"/>
              <w:jc w:val="center"/>
              <w:textAlignment w:val="baseline"/>
              <w:rPr>
                <w:szCs w:val="24"/>
                <w:lang w:eastAsia="et-EE"/>
              </w:rPr>
            </w:pPr>
            <w:r w:rsidRPr="001927D6">
              <w:rPr>
                <w:color w:val="000000"/>
                <w:szCs w:val="24"/>
              </w:rPr>
              <w:t>9 418,56</w:t>
            </w:r>
          </w:p>
        </w:tc>
      </w:tr>
      <w:tr w:rsidR="00295BCD" w:rsidRPr="001927D6" w14:paraId="295B883A" w14:textId="77777777" w:rsidTr="00295BCD">
        <w:trPr>
          <w:divId w:val="1316184749"/>
          <w:trHeight w:val="300"/>
        </w:trPr>
        <w:tc>
          <w:tcPr>
            <w:tcW w:w="4632" w:type="dxa"/>
            <w:vAlign w:val="bottom"/>
            <w:hideMark/>
          </w:tcPr>
          <w:p w14:paraId="209E823D" w14:textId="77777777" w:rsidR="00295BCD" w:rsidRPr="001927D6" w:rsidRDefault="00295BCD">
            <w:pPr>
              <w:spacing w:after="0" w:line="240" w:lineRule="auto"/>
              <w:textAlignment w:val="baseline"/>
              <w:rPr>
                <w:szCs w:val="24"/>
                <w:lang w:eastAsia="et-EE"/>
              </w:rPr>
            </w:pPr>
            <w:r w:rsidRPr="001927D6">
              <w:rPr>
                <w:szCs w:val="24"/>
                <w:lang w:eastAsia="et-EE"/>
              </w:rPr>
              <w:t>Vereringesüsteemi muud operatsioonid, lühike ravi </w:t>
            </w:r>
          </w:p>
        </w:tc>
        <w:tc>
          <w:tcPr>
            <w:tcW w:w="732" w:type="dxa"/>
            <w:vAlign w:val="center"/>
            <w:hideMark/>
          </w:tcPr>
          <w:p w14:paraId="7BF710A9" w14:textId="77777777" w:rsidR="00295BCD" w:rsidRPr="001927D6" w:rsidRDefault="00295BCD">
            <w:pPr>
              <w:spacing w:after="0" w:line="240" w:lineRule="auto"/>
              <w:jc w:val="center"/>
              <w:textAlignment w:val="baseline"/>
              <w:rPr>
                <w:szCs w:val="24"/>
                <w:lang w:eastAsia="et-EE"/>
              </w:rPr>
            </w:pPr>
            <w:r w:rsidRPr="001927D6">
              <w:rPr>
                <w:szCs w:val="24"/>
                <w:lang w:eastAsia="et-EE"/>
              </w:rPr>
              <w:t>120O </w:t>
            </w:r>
          </w:p>
        </w:tc>
        <w:tc>
          <w:tcPr>
            <w:tcW w:w="1243" w:type="dxa"/>
            <w:vAlign w:val="center"/>
          </w:tcPr>
          <w:p w14:paraId="50472492" w14:textId="77777777" w:rsidR="00295BCD" w:rsidRPr="001927D6" w:rsidRDefault="00295BCD">
            <w:pPr>
              <w:spacing w:after="0" w:line="240" w:lineRule="auto"/>
              <w:jc w:val="center"/>
              <w:textAlignment w:val="baseline"/>
              <w:rPr>
                <w:szCs w:val="24"/>
                <w:lang w:eastAsia="et-EE"/>
              </w:rPr>
            </w:pPr>
            <w:r w:rsidRPr="001927D6">
              <w:rPr>
                <w:color w:val="000000"/>
                <w:szCs w:val="24"/>
              </w:rPr>
              <w:t>914,64</w:t>
            </w:r>
          </w:p>
        </w:tc>
        <w:tc>
          <w:tcPr>
            <w:tcW w:w="1211" w:type="dxa"/>
            <w:vAlign w:val="center"/>
          </w:tcPr>
          <w:p w14:paraId="5452D492" w14:textId="77777777" w:rsidR="00295BCD" w:rsidRPr="001927D6" w:rsidRDefault="00295BCD">
            <w:pPr>
              <w:spacing w:after="0" w:line="240" w:lineRule="auto"/>
              <w:jc w:val="center"/>
              <w:textAlignment w:val="baseline"/>
              <w:rPr>
                <w:szCs w:val="24"/>
                <w:lang w:eastAsia="et-EE"/>
              </w:rPr>
            </w:pPr>
            <w:r w:rsidRPr="001927D6">
              <w:rPr>
                <w:color w:val="000000"/>
                <w:szCs w:val="24"/>
              </w:rPr>
              <w:t>449,49</w:t>
            </w:r>
          </w:p>
        </w:tc>
        <w:tc>
          <w:tcPr>
            <w:tcW w:w="1238" w:type="dxa"/>
            <w:vAlign w:val="center"/>
          </w:tcPr>
          <w:p w14:paraId="08B1D596" w14:textId="77777777" w:rsidR="00295BCD" w:rsidRPr="001927D6" w:rsidRDefault="00295BCD">
            <w:pPr>
              <w:spacing w:after="0" w:line="240" w:lineRule="auto"/>
              <w:jc w:val="center"/>
              <w:textAlignment w:val="baseline"/>
              <w:rPr>
                <w:szCs w:val="24"/>
                <w:lang w:eastAsia="et-EE"/>
              </w:rPr>
            </w:pPr>
            <w:r w:rsidRPr="001927D6">
              <w:rPr>
                <w:color w:val="000000"/>
                <w:szCs w:val="24"/>
              </w:rPr>
              <w:t>3 037,93</w:t>
            </w:r>
          </w:p>
        </w:tc>
      </w:tr>
      <w:tr w:rsidR="00295BCD" w:rsidRPr="001927D6" w14:paraId="3B7CD070" w14:textId="77777777" w:rsidTr="00295BCD">
        <w:trPr>
          <w:divId w:val="1316184749"/>
          <w:trHeight w:val="300"/>
        </w:trPr>
        <w:tc>
          <w:tcPr>
            <w:tcW w:w="4632" w:type="dxa"/>
            <w:vAlign w:val="bottom"/>
            <w:hideMark/>
          </w:tcPr>
          <w:p w14:paraId="3785DD68" w14:textId="77777777" w:rsidR="00295BCD" w:rsidRPr="001927D6" w:rsidRDefault="00295BCD">
            <w:pPr>
              <w:spacing w:after="0" w:line="240" w:lineRule="auto"/>
              <w:textAlignment w:val="baseline"/>
              <w:rPr>
                <w:szCs w:val="24"/>
                <w:lang w:eastAsia="et-EE"/>
              </w:rPr>
            </w:pPr>
            <w:r w:rsidRPr="001927D6">
              <w:rPr>
                <w:szCs w:val="24"/>
                <w:lang w:eastAsia="et-EE"/>
              </w:rPr>
              <w:t>Kardioversioon, lühike ravi </w:t>
            </w:r>
          </w:p>
        </w:tc>
        <w:tc>
          <w:tcPr>
            <w:tcW w:w="732" w:type="dxa"/>
            <w:vAlign w:val="center"/>
            <w:hideMark/>
          </w:tcPr>
          <w:p w14:paraId="258BAB6F" w14:textId="77777777" w:rsidR="00295BCD" w:rsidRPr="001927D6" w:rsidRDefault="00295BCD">
            <w:pPr>
              <w:spacing w:after="0" w:line="240" w:lineRule="auto"/>
              <w:jc w:val="center"/>
              <w:textAlignment w:val="baseline"/>
              <w:rPr>
                <w:szCs w:val="24"/>
                <w:lang w:eastAsia="et-EE"/>
              </w:rPr>
            </w:pPr>
            <w:r w:rsidRPr="001927D6">
              <w:rPr>
                <w:szCs w:val="24"/>
                <w:lang w:eastAsia="et-EE"/>
              </w:rPr>
              <w:t>120P </w:t>
            </w:r>
          </w:p>
        </w:tc>
        <w:tc>
          <w:tcPr>
            <w:tcW w:w="1243" w:type="dxa"/>
            <w:vAlign w:val="center"/>
          </w:tcPr>
          <w:p w14:paraId="7A3C9431" w14:textId="77777777" w:rsidR="00295BCD" w:rsidRPr="001927D6" w:rsidRDefault="00295BCD">
            <w:pPr>
              <w:spacing w:after="0" w:line="240" w:lineRule="auto"/>
              <w:jc w:val="center"/>
              <w:textAlignment w:val="baseline"/>
              <w:rPr>
                <w:szCs w:val="24"/>
                <w:lang w:eastAsia="et-EE"/>
              </w:rPr>
            </w:pPr>
            <w:r w:rsidRPr="001927D6">
              <w:rPr>
                <w:color w:val="000000"/>
                <w:szCs w:val="24"/>
              </w:rPr>
              <w:t>450,03</w:t>
            </w:r>
          </w:p>
        </w:tc>
        <w:tc>
          <w:tcPr>
            <w:tcW w:w="1211" w:type="dxa"/>
            <w:vAlign w:val="center"/>
          </w:tcPr>
          <w:p w14:paraId="010E17F6" w14:textId="77777777" w:rsidR="00295BCD" w:rsidRPr="001927D6" w:rsidRDefault="00295BCD">
            <w:pPr>
              <w:spacing w:after="0" w:line="240" w:lineRule="auto"/>
              <w:jc w:val="center"/>
              <w:textAlignment w:val="baseline"/>
              <w:rPr>
                <w:szCs w:val="24"/>
                <w:lang w:eastAsia="et-EE"/>
              </w:rPr>
            </w:pPr>
            <w:r w:rsidRPr="001927D6">
              <w:rPr>
                <w:color w:val="000000"/>
                <w:szCs w:val="24"/>
              </w:rPr>
              <w:t>153,73</w:t>
            </w:r>
          </w:p>
        </w:tc>
        <w:tc>
          <w:tcPr>
            <w:tcW w:w="1238" w:type="dxa"/>
            <w:vAlign w:val="center"/>
          </w:tcPr>
          <w:p w14:paraId="14B9EB19" w14:textId="77777777" w:rsidR="00295BCD" w:rsidRPr="001927D6" w:rsidRDefault="00295BCD">
            <w:pPr>
              <w:spacing w:after="0" w:line="240" w:lineRule="auto"/>
              <w:jc w:val="center"/>
              <w:textAlignment w:val="baseline"/>
              <w:rPr>
                <w:szCs w:val="24"/>
                <w:lang w:eastAsia="et-EE"/>
              </w:rPr>
            </w:pPr>
            <w:r w:rsidRPr="001927D6">
              <w:rPr>
                <w:color w:val="000000"/>
                <w:szCs w:val="24"/>
              </w:rPr>
              <w:t>1 188,36</w:t>
            </w:r>
          </w:p>
        </w:tc>
      </w:tr>
      <w:tr w:rsidR="00295BCD" w:rsidRPr="001927D6" w14:paraId="6EFCF6B7" w14:textId="77777777" w:rsidTr="00295BCD">
        <w:trPr>
          <w:divId w:val="1316184749"/>
          <w:trHeight w:val="300"/>
        </w:trPr>
        <w:tc>
          <w:tcPr>
            <w:tcW w:w="4632" w:type="dxa"/>
            <w:vAlign w:val="bottom"/>
            <w:hideMark/>
          </w:tcPr>
          <w:p w14:paraId="3E551A10"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Äge müokardi infarkt kardiovaskulaarsete tüsistustega, elus neljandal ravipäeval </w:t>
            </w:r>
          </w:p>
        </w:tc>
        <w:tc>
          <w:tcPr>
            <w:tcW w:w="732" w:type="dxa"/>
            <w:vAlign w:val="center"/>
            <w:hideMark/>
          </w:tcPr>
          <w:p w14:paraId="61D5B0FA" w14:textId="77777777" w:rsidR="00295BCD" w:rsidRPr="001927D6" w:rsidRDefault="00295BCD">
            <w:pPr>
              <w:spacing w:after="0" w:line="240" w:lineRule="auto"/>
              <w:jc w:val="center"/>
              <w:textAlignment w:val="baseline"/>
              <w:rPr>
                <w:szCs w:val="24"/>
                <w:lang w:eastAsia="et-EE"/>
              </w:rPr>
            </w:pPr>
            <w:r w:rsidRPr="001927D6">
              <w:rPr>
                <w:szCs w:val="24"/>
                <w:lang w:eastAsia="et-EE"/>
              </w:rPr>
              <w:t>121 </w:t>
            </w:r>
          </w:p>
        </w:tc>
        <w:tc>
          <w:tcPr>
            <w:tcW w:w="1243" w:type="dxa"/>
            <w:vAlign w:val="center"/>
          </w:tcPr>
          <w:p w14:paraId="5DF34681" w14:textId="77777777" w:rsidR="00295BCD" w:rsidRPr="001927D6" w:rsidRDefault="00295BCD">
            <w:pPr>
              <w:spacing w:after="0" w:line="240" w:lineRule="auto"/>
              <w:jc w:val="center"/>
              <w:textAlignment w:val="baseline"/>
              <w:rPr>
                <w:szCs w:val="24"/>
                <w:lang w:eastAsia="et-EE"/>
              </w:rPr>
            </w:pPr>
            <w:r w:rsidRPr="001927D6">
              <w:rPr>
                <w:color w:val="000000"/>
                <w:szCs w:val="24"/>
              </w:rPr>
              <w:t>4 590,92</w:t>
            </w:r>
          </w:p>
        </w:tc>
        <w:tc>
          <w:tcPr>
            <w:tcW w:w="1211" w:type="dxa"/>
            <w:vAlign w:val="center"/>
          </w:tcPr>
          <w:p w14:paraId="58E49AFA" w14:textId="77777777" w:rsidR="00295BCD" w:rsidRPr="001927D6" w:rsidRDefault="00295BCD">
            <w:pPr>
              <w:spacing w:after="0" w:line="240" w:lineRule="auto"/>
              <w:jc w:val="center"/>
              <w:textAlignment w:val="baseline"/>
              <w:rPr>
                <w:szCs w:val="24"/>
                <w:lang w:eastAsia="et-EE"/>
              </w:rPr>
            </w:pPr>
            <w:r w:rsidRPr="001927D6">
              <w:rPr>
                <w:color w:val="000000"/>
                <w:szCs w:val="24"/>
              </w:rPr>
              <w:t>1 254,64</w:t>
            </w:r>
          </w:p>
        </w:tc>
        <w:tc>
          <w:tcPr>
            <w:tcW w:w="1238" w:type="dxa"/>
            <w:vAlign w:val="center"/>
          </w:tcPr>
          <w:p w14:paraId="551A5A09" w14:textId="77777777" w:rsidR="00295BCD" w:rsidRPr="001927D6" w:rsidRDefault="00295BCD">
            <w:pPr>
              <w:spacing w:after="0" w:line="240" w:lineRule="auto"/>
              <w:jc w:val="center"/>
              <w:textAlignment w:val="baseline"/>
              <w:rPr>
                <w:szCs w:val="24"/>
                <w:lang w:eastAsia="et-EE"/>
              </w:rPr>
            </w:pPr>
            <w:r w:rsidRPr="001927D6">
              <w:rPr>
                <w:color w:val="000000"/>
                <w:szCs w:val="24"/>
              </w:rPr>
              <w:t>11 466,51</w:t>
            </w:r>
          </w:p>
        </w:tc>
      </w:tr>
      <w:tr w:rsidR="00295BCD" w:rsidRPr="001927D6" w14:paraId="5A31B3D9" w14:textId="77777777" w:rsidTr="00295BCD">
        <w:trPr>
          <w:divId w:val="1316184749"/>
          <w:trHeight w:val="300"/>
        </w:trPr>
        <w:tc>
          <w:tcPr>
            <w:tcW w:w="4632" w:type="dxa"/>
            <w:vAlign w:val="bottom"/>
            <w:hideMark/>
          </w:tcPr>
          <w:p w14:paraId="7991B673" w14:textId="77777777" w:rsidR="00295BCD" w:rsidRPr="001927D6" w:rsidRDefault="00295BCD">
            <w:pPr>
              <w:spacing w:after="0" w:line="240" w:lineRule="auto"/>
              <w:textAlignment w:val="baseline"/>
              <w:rPr>
                <w:szCs w:val="24"/>
                <w:lang w:eastAsia="et-EE"/>
              </w:rPr>
            </w:pPr>
            <w:r w:rsidRPr="001927D6">
              <w:rPr>
                <w:szCs w:val="24"/>
                <w:lang w:eastAsia="et-EE"/>
              </w:rPr>
              <w:t>Äge müokardi infarkt kardiovaskulaarsete tüsistusteta, elus neljandal ravipäeval </w:t>
            </w:r>
          </w:p>
        </w:tc>
        <w:tc>
          <w:tcPr>
            <w:tcW w:w="732" w:type="dxa"/>
            <w:vAlign w:val="center"/>
            <w:hideMark/>
          </w:tcPr>
          <w:p w14:paraId="6611503D" w14:textId="77777777" w:rsidR="00295BCD" w:rsidRPr="001927D6" w:rsidRDefault="00295BCD">
            <w:pPr>
              <w:spacing w:after="0" w:line="240" w:lineRule="auto"/>
              <w:jc w:val="center"/>
              <w:textAlignment w:val="baseline"/>
              <w:rPr>
                <w:szCs w:val="24"/>
                <w:lang w:eastAsia="et-EE"/>
              </w:rPr>
            </w:pPr>
            <w:r w:rsidRPr="001927D6">
              <w:rPr>
                <w:szCs w:val="24"/>
                <w:lang w:eastAsia="et-EE"/>
              </w:rPr>
              <w:t>122 </w:t>
            </w:r>
          </w:p>
        </w:tc>
        <w:tc>
          <w:tcPr>
            <w:tcW w:w="1243" w:type="dxa"/>
            <w:vAlign w:val="center"/>
          </w:tcPr>
          <w:p w14:paraId="414014BE" w14:textId="77777777" w:rsidR="00295BCD" w:rsidRPr="001927D6" w:rsidRDefault="00295BCD">
            <w:pPr>
              <w:spacing w:after="0" w:line="240" w:lineRule="auto"/>
              <w:jc w:val="center"/>
              <w:textAlignment w:val="baseline"/>
              <w:rPr>
                <w:szCs w:val="24"/>
                <w:lang w:eastAsia="et-EE"/>
              </w:rPr>
            </w:pPr>
            <w:r w:rsidRPr="001927D6">
              <w:rPr>
                <w:color w:val="000000"/>
                <w:szCs w:val="24"/>
              </w:rPr>
              <w:t>2 943,59</w:t>
            </w:r>
          </w:p>
        </w:tc>
        <w:tc>
          <w:tcPr>
            <w:tcW w:w="1211" w:type="dxa"/>
            <w:vAlign w:val="center"/>
          </w:tcPr>
          <w:p w14:paraId="52689C08" w14:textId="77777777" w:rsidR="00295BCD" w:rsidRPr="001927D6" w:rsidRDefault="00295BCD">
            <w:pPr>
              <w:spacing w:after="0" w:line="240" w:lineRule="auto"/>
              <w:jc w:val="center"/>
              <w:textAlignment w:val="baseline"/>
              <w:rPr>
                <w:szCs w:val="24"/>
                <w:lang w:eastAsia="et-EE"/>
              </w:rPr>
            </w:pPr>
            <w:r w:rsidRPr="001927D6">
              <w:rPr>
                <w:color w:val="000000"/>
                <w:szCs w:val="24"/>
              </w:rPr>
              <w:t>567,30</w:t>
            </w:r>
          </w:p>
        </w:tc>
        <w:tc>
          <w:tcPr>
            <w:tcW w:w="1238" w:type="dxa"/>
            <w:vAlign w:val="center"/>
          </w:tcPr>
          <w:p w14:paraId="1236C509" w14:textId="77777777" w:rsidR="00295BCD" w:rsidRPr="001927D6" w:rsidRDefault="00295BCD">
            <w:pPr>
              <w:spacing w:after="0" w:line="240" w:lineRule="auto"/>
              <w:jc w:val="center"/>
              <w:textAlignment w:val="baseline"/>
              <w:rPr>
                <w:szCs w:val="24"/>
                <w:lang w:eastAsia="et-EE"/>
              </w:rPr>
            </w:pPr>
            <w:r w:rsidRPr="001927D6">
              <w:rPr>
                <w:color w:val="000000"/>
                <w:szCs w:val="24"/>
              </w:rPr>
              <w:t>5 975,64</w:t>
            </w:r>
          </w:p>
        </w:tc>
      </w:tr>
      <w:tr w:rsidR="00295BCD" w:rsidRPr="001927D6" w14:paraId="47FB0D76" w14:textId="77777777" w:rsidTr="00295BCD">
        <w:trPr>
          <w:divId w:val="1316184749"/>
          <w:trHeight w:val="300"/>
        </w:trPr>
        <w:tc>
          <w:tcPr>
            <w:tcW w:w="4632" w:type="dxa"/>
            <w:vAlign w:val="bottom"/>
            <w:hideMark/>
          </w:tcPr>
          <w:p w14:paraId="3FCD73E8" w14:textId="77777777" w:rsidR="00295BCD" w:rsidRPr="001927D6" w:rsidRDefault="00295BCD">
            <w:pPr>
              <w:spacing w:after="0" w:line="240" w:lineRule="auto"/>
              <w:textAlignment w:val="baseline"/>
              <w:rPr>
                <w:szCs w:val="24"/>
                <w:lang w:eastAsia="et-EE"/>
              </w:rPr>
            </w:pPr>
            <w:r w:rsidRPr="001927D6">
              <w:rPr>
                <w:szCs w:val="24"/>
                <w:lang w:eastAsia="et-EE"/>
              </w:rPr>
              <w:t>Äge müokardi infarkt kardiovaskulaarsete tüsistustega, surm esimese kolme ravipäeva jooksul </w:t>
            </w:r>
          </w:p>
        </w:tc>
        <w:tc>
          <w:tcPr>
            <w:tcW w:w="732" w:type="dxa"/>
            <w:vAlign w:val="center"/>
            <w:hideMark/>
          </w:tcPr>
          <w:p w14:paraId="47E47096" w14:textId="77777777" w:rsidR="00295BCD" w:rsidRPr="001927D6" w:rsidRDefault="00295BCD">
            <w:pPr>
              <w:spacing w:after="0" w:line="240" w:lineRule="auto"/>
              <w:jc w:val="center"/>
              <w:textAlignment w:val="baseline"/>
              <w:rPr>
                <w:szCs w:val="24"/>
                <w:lang w:eastAsia="et-EE"/>
              </w:rPr>
            </w:pPr>
            <w:r w:rsidRPr="001927D6">
              <w:rPr>
                <w:szCs w:val="24"/>
                <w:lang w:eastAsia="et-EE"/>
              </w:rPr>
              <w:t>123 </w:t>
            </w:r>
          </w:p>
        </w:tc>
        <w:tc>
          <w:tcPr>
            <w:tcW w:w="1243" w:type="dxa"/>
            <w:vAlign w:val="center"/>
          </w:tcPr>
          <w:p w14:paraId="21BFF426" w14:textId="77777777" w:rsidR="00295BCD" w:rsidRPr="001927D6" w:rsidRDefault="00295BCD">
            <w:pPr>
              <w:spacing w:after="0" w:line="240" w:lineRule="auto"/>
              <w:jc w:val="center"/>
              <w:textAlignment w:val="baseline"/>
              <w:rPr>
                <w:szCs w:val="24"/>
                <w:lang w:eastAsia="et-EE"/>
              </w:rPr>
            </w:pPr>
            <w:r w:rsidRPr="001927D6">
              <w:rPr>
                <w:color w:val="000000"/>
                <w:szCs w:val="24"/>
              </w:rPr>
              <w:t>1 307,02</w:t>
            </w:r>
          </w:p>
        </w:tc>
        <w:tc>
          <w:tcPr>
            <w:tcW w:w="1211" w:type="dxa"/>
            <w:vAlign w:val="center"/>
          </w:tcPr>
          <w:p w14:paraId="5C061E7C" w14:textId="77777777" w:rsidR="00295BCD" w:rsidRPr="001927D6" w:rsidRDefault="00295BCD">
            <w:pPr>
              <w:spacing w:after="0" w:line="240" w:lineRule="auto"/>
              <w:jc w:val="center"/>
              <w:textAlignment w:val="baseline"/>
              <w:rPr>
                <w:szCs w:val="24"/>
                <w:lang w:eastAsia="et-EE"/>
              </w:rPr>
            </w:pPr>
            <w:r w:rsidRPr="001927D6">
              <w:rPr>
                <w:color w:val="000000"/>
                <w:szCs w:val="24"/>
              </w:rPr>
              <w:t>141,39</w:t>
            </w:r>
          </w:p>
        </w:tc>
        <w:tc>
          <w:tcPr>
            <w:tcW w:w="1238" w:type="dxa"/>
            <w:vAlign w:val="center"/>
          </w:tcPr>
          <w:p w14:paraId="71CC5C3A" w14:textId="77777777" w:rsidR="00295BCD" w:rsidRPr="001927D6" w:rsidRDefault="00295BCD">
            <w:pPr>
              <w:spacing w:after="0" w:line="240" w:lineRule="auto"/>
              <w:jc w:val="center"/>
              <w:textAlignment w:val="baseline"/>
              <w:rPr>
                <w:szCs w:val="24"/>
                <w:lang w:eastAsia="et-EE"/>
              </w:rPr>
            </w:pPr>
            <w:r w:rsidRPr="001927D6">
              <w:rPr>
                <w:color w:val="000000"/>
                <w:szCs w:val="24"/>
              </w:rPr>
              <w:t>3 616,12</w:t>
            </w:r>
          </w:p>
        </w:tc>
      </w:tr>
      <w:tr w:rsidR="00295BCD" w:rsidRPr="001927D6" w14:paraId="4665637E" w14:textId="77777777" w:rsidTr="00295BCD">
        <w:trPr>
          <w:divId w:val="1316184749"/>
          <w:trHeight w:val="300"/>
        </w:trPr>
        <w:tc>
          <w:tcPr>
            <w:tcW w:w="4632" w:type="dxa"/>
            <w:vAlign w:val="bottom"/>
            <w:hideMark/>
          </w:tcPr>
          <w:p w14:paraId="05405365" w14:textId="77777777" w:rsidR="00295BCD" w:rsidRPr="001927D6" w:rsidRDefault="00295BCD">
            <w:pPr>
              <w:spacing w:after="0" w:line="240" w:lineRule="auto"/>
              <w:textAlignment w:val="baseline"/>
              <w:rPr>
                <w:szCs w:val="24"/>
                <w:lang w:eastAsia="et-EE"/>
              </w:rPr>
            </w:pPr>
            <w:r w:rsidRPr="001927D6">
              <w:rPr>
                <w:szCs w:val="24"/>
                <w:lang w:eastAsia="et-EE"/>
              </w:rPr>
              <w:t>Diagnostiline perkutaanne südame protseduur keerukate vereringe seisunditega </w:t>
            </w:r>
          </w:p>
        </w:tc>
        <w:tc>
          <w:tcPr>
            <w:tcW w:w="732" w:type="dxa"/>
            <w:vAlign w:val="center"/>
            <w:hideMark/>
          </w:tcPr>
          <w:p w14:paraId="0FCBEFE8" w14:textId="77777777" w:rsidR="00295BCD" w:rsidRPr="001927D6" w:rsidRDefault="00295BCD">
            <w:pPr>
              <w:spacing w:after="0" w:line="240" w:lineRule="auto"/>
              <w:jc w:val="center"/>
              <w:textAlignment w:val="baseline"/>
              <w:rPr>
                <w:szCs w:val="24"/>
                <w:lang w:eastAsia="et-EE"/>
              </w:rPr>
            </w:pPr>
            <w:r w:rsidRPr="001927D6">
              <w:rPr>
                <w:szCs w:val="24"/>
                <w:lang w:eastAsia="et-EE"/>
              </w:rPr>
              <w:t>124 </w:t>
            </w:r>
          </w:p>
        </w:tc>
        <w:tc>
          <w:tcPr>
            <w:tcW w:w="1243" w:type="dxa"/>
            <w:vAlign w:val="center"/>
          </w:tcPr>
          <w:p w14:paraId="1DBF6330" w14:textId="77777777" w:rsidR="00295BCD" w:rsidRPr="001927D6" w:rsidRDefault="00295BCD">
            <w:pPr>
              <w:spacing w:after="0" w:line="240" w:lineRule="auto"/>
              <w:jc w:val="center"/>
              <w:textAlignment w:val="baseline"/>
              <w:rPr>
                <w:szCs w:val="24"/>
                <w:lang w:eastAsia="et-EE"/>
              </w:rPr>
            </w:pPr>
            <w:r w:rsidRPr="001927D6">
              <w:rPr>
                <w:color w:val="000000"/>
                <w:szCs w:val="24"/>
              </w:rPr>
              <w:t>3 860,61</w:t>
            </w:r>
          </w:p>
        </w:tc>
        <w:tc>
          <w:tcPr>
            <w:tcW w:w="1211" w:type="dxa"/>
            <w:vAlign w:val="center"/>
          </w:tcPr>
          <w:p w14:paraId="524CDBFD" w14:textId="77777777" w:rsidR="00295BCD" w:rsidRPr="001927D6" w:rsidRDefault="00295BCD">
            <w:pPr>
              <w:spacing w:after="0" w:line="240" w:lineRule="auto"/>
              <w:jc w:val="center"/>
              <w:textAlignment w:val="baseline"/>
              <w:rPr>
                <w:szCs w:val="24"/>
                <w:lang w:eastAsia="et-EE"/>
              </w:rPr>
            </w:pPr>
            <w:r w:rsidRPr="001927D6">
              <w:rPr>
                <w:color w:val="000000"/>
                <w:szCs w:val="24"/>
              </w:rPr>
              <w:t>1 912,52</w:t>
            </w:r>
          </w:p>
        </w:tc>
        <w:tc>
          <w:tcPr>
            <w:tcW w:w="1238" w:type="dxa"/>
            <w:vAlign w:val="center"/>
          </w:tcPr>
          <w:p w14:paraId="69A0518C" w14:textId="77777777" w:rsidR="00295BCD" w:rsidRPr="001927D6" w:rsidRDefault="00295BCD">
            <w:pPr>
              <w:spacing w:after="0" w:line="240" w:lineRule="auto"/>
              <w:jc w:val="center"/>
              <w:textAlignment w:val="baseline"/>
              <w:rPr>
                <w:szCs w:val="24"/>
                <w:lang w:eastAsia="et-EE"/>
              </w:rPr>
            </w:pPr>
            <w:r w:rsidRPr="001927D6">
              <w:rPr>
                <w:color w:val="000000"/>
                <w:szCs w:val="24"/>
              </w:rPr>
              <w:t>6 805,98</w:t>
            </w:r>
          </w:p>
        </w:tc>
      </w:tr>
      <w:tr w:rsidR="00295BCD" w:rsidRPr="001927D6" w14:paraId="6CA56862" w14:textId="77777777" w:rsidTr="00295BCD">
        <w:trPr>
          <w:divId w:val="1316184749"/>
          <w:trHeight w:val="300"/>
        </w:trPr>
        <w:tc>
          <w:tcPr>
            <w:tcW w:w="4632" w:type="dxa"/>
            <w:vAlign w:val="bottom"/>
            <w:hideMark/>
          </w:tcPr>
          <w:p w14:paraId="3AA6A760" w14:textId="77777777" w:rsidR="00295BCD" w:rsidRPr="001927D6" w:rsidRDefault="00295BCD">
            <w:pPr>
              <w:spacing w:after="0" w:line="240" w:lineRule="auto"/>
              <w:textAlignment w:val="baseline"/>
              <w:rPr>
                <w:szCs w:val="24"/>
                <w:lang w:eastAsia="et-EE"/>
              </w:rPr>
            </w:pPr>
            <w:r w:rsidRPr="001927D6">
              <w:rPr>
                <w:szCs w:val="24"/>
                <w:lang w:eastAsia="et-EE"/>
              </w:rPr>
              <w:t>Diagnostiline perkutaanne südame protseduur ilma keerukate vereringe seisunditeta </w:t>
            </w:r>
          </w:p>
        </w:tc>
        <w:tc>
          <w:tcPr>
            <w:tcW w:w="732" w:type="dxa"/>
            <w:vAlign w:val="center"/>
            <w:hideMark/>
          </w:tcPr>
          <w:p w14:paraId="266FD61C" w14:textId="77777777" w:rsidR="00295BCD" w:rsidRPr="001927D6" w:rsidRDefault="00295BCD">
            <w:pPr>
              <w:spacing w:after="0" w:line="240" w:lineRule="auto"/>
              <w:jc w:val="center"/>
              <w:textAlignment w:val="baseline"/>
              <w:rPr>
                <w:szCs w:val="24"/>
                <w:lang w:eastAsia="et-EE"/>
              </w:rPr>
            </w:pPr>
            <w:r w:rsidRPr="001927D6">
              <w:rPr>
                <w:szCs w:val="24"/>
                <w:lang w:eastAsia="et-EE"/>
              </w:rPr>
              <w:t>125 </w:t>
            </w:r>
          </w:p>
        </w:tc>
        <w:tc>
          <w:tcPr>
            <w:tcW w:w="1243" w:type="dxa"/>
            <w:vAlign w:val="center"/>
          </w:tcPr>
          <w:p w14:paraId="2B75A78C" w14:textId="77777777" w:rsidR="00295BCD" w:rsidRPr="001927D6" w:rsidRDefault="00295BCD">
            <w:pPr>
              <w:spacing w:after="0" w:line="240" w:lineRule="auto"/>
              <w:jc w:val="center"/>
              <w:textAlignment w:val="baseline"/>
              <w:rPr>
                <w:szCs w:val="24"/>
                <w:lang w:eastAsia="et-EE"/>
              </w:rPr>
            </w:pPr>
            <w:r w:rsidRPr="001927D6">
              <w:rPr>
                <w:color w:val="000000"/>
                <w:szCs w:val="24"/>
              </w:rPr>
              <w:t>2 948,64</w:t>
            </w:r>
          </w:p>
        </w:tc>
        <w:tc>
          <w:tcPr>
            <w:tcW w:w="1211" w:type="dxa"/>
            <w:vAlign w:val="center"/>
          </w:tcPr>
          <w:p w14:paraId="5BA96240" w14:textId="77777777" w:rsidR="00295BCD" w:rsidRPr="001927D6" w:rsidRDefault="00295BCD">
            <w:pPr>
              <w:spacing w:after="0" w:line="240" w:lineRule="auto"/>
              <w:jc w:val="center"/>
              <w:textAlignment w:val="baseline"/>
              <w:rPr>
                <w:szCs w:val="24"/>
                <w:lang w:eastAsia="et-EE"/>
              </w:rPr>
            </w:pPr>
            <w:r w:rsidRPr="001927D6">
              <w:rPr>
                <w:color w:val="000000"/>
                <w:szCs w:val="24"/>
              </w:rPr>
              <w:t>2 323,33</w:t>
            </w:r>
          </w:p>
        </w:tc>
        <w:tc>
          <w:tcPr>
            <w:tcW w:w="1238" w:type="dxa"/>
            <w:vAlign w:val="center"/>
          </w:tcPr>
          <w:p w14:paraId="0C2B1A87" w14:textId="77777777" w:rsidR="00295BCD" w:rsidRPr="001927D6" w:rsidRDefault="00295BCD">
            <w:pPr>
              <w:spacing w:after="0" w:line="240" w:lineRule="auto"/>
              <w:jc w:val="center"/>
              <w:textAlignment w:val="baseline"/>
              <w:rPr>
                <w:szCs w:val="24"/>
                <w:lang w:eastAsia="et-EE"/>
              </w:rPr>
            </w:pPr>
            <w:r w:rsidRPr="001927D6">
              <w:rPr>
                <w:color w:val="000000"/>
                <w:szCs w:val="24"/>
              </w:rPr>
              <w:t>9 872,78</w:t>
            </w:r>
          </w:p>
        </w:tc>
      </w:tr>
      <w:tr w:rsidR="00295BCD" w:rsidRPr="001927D6" w14:paraId="49A22CD2" w14:textId="77777777" w:rsidTr="00295BCD">
        <w:trPr>
          <w:divId w:val="1316184749"/>
          <w:trHeight w:val="300"/>
        </w:trPr>
        <w:tc>
          <w:tcPr>
            <w:tcW w:w="4632" w:type="dxa"/>
            <w:vAlign w:val="bottom"/>
            <w:hideMark/>
          </w:tcPr>
          <w:p w14:paraId="20A27269" w14:textId="77777777" w:rsidR="00295BCD" w:rsidRPr="001927D6" w:rsidRDefault="00295BCD">
            <w:pPr>
              <w:spacing w:after="0" w:line="240" w:lineRule="auto"/>
              <w:textAlignment w:val="baseline"/>
              <w:rPr>
                <w:szCs w:val="24"/>
                <w:lang w:eastAsia="et-EE"/>
              </w:rPr>
            </w:pPr>
            <w:r w:rsidRPr="001927D6">
              <w:rPr>
                <w:szCs w:val="24"/>
                <w:lang w:eastAsia="et-EE"/>
              </w:rPr>
              <w:t>Diagnostiline perkutaanne südame protseduur, lühike ravi </w:t>
            </w:r>
          </w:p>
        </w:tc>
        <w:tc>
          <w:tcPr>
            <w:tcW w:w="732" w:type="dxa"/>
            <w:vAlign w:val="center"/>
            <w:hideMark/>
          </w:tcPr>
          <w:p w14:paraId="130BF4E6" w14:textId="77777777" w:rsidR="00295BCD" w:rsidRPr="001927D6" w:rsidRDefault="00295BCD">
            <w:pPr>
              <w:spacing w:after="0" w:line="240" w:lineRule="auto"/>
              <w:jc w:val="center"/>
              <w:textAlignment w:val="baseline"/>
              <w:rPr>
                <w:szCs w:val="24"/>
                <w:lang w:eastAsia="et-EE"/>
              </w:rPr>
            </w:pPr>
            <w:r w:rsidRPr="001927D6">
              <w:rPr>
                <w:szCs w:val="24"/>
                <w:lang w:eastAsia="et-EE"/>
              </w:rPr>
              <w:t>125O </w:t>
            </w:r>
          </w:p>
        </w:tc>
        <w:tc>
          <w:tcPr>
            <w:tcW w:w="1243" w:type="dxa"/>
            <w:vAlign w:val="center"/>
          </w:tcPr>
          <w:p w14:paraId="4CBECB5C" w14:textId="77777777" w:rsidR="00295BCD" w:rsidRPr="001927D6" w:rsidRDefault="00295BCD">
            <w:pPr>
              <w:spacing w:after="0" w:line="240" w:lineRule="auto"/>
              <w:jc w:val="center"/>
              <w:textAlignment w:val="baseline"/>
              <w:rPr>
                <w:szCs w:val="24"/>
                <w:lang w:eastAsia="et-EE"/>
              </w:rPr>
            </w:pPr>
            <w:r w:rsidRPr="001927D6">
              <w:rPr>
                <w:color w:val="000000"/>
                <w:szCs w:val="24"/>
              </w:rPr>
              <w:t>2 525,22</w:t>
            </w:r>
          </w:p>
        </w:tc>
        <w:tc>
          <w:tcPr>
            <w:tcW w:w="1211" w:type="dxa"/>
            <w:vAlign w:val="center"/>
          </w:tcPr>
          <w:p w14:paraId="4E8C5DEA" w14:textId="77777777" w:rsidR="00295BCD" w:rsidRPr="001927D6" w:rsidRDefault="00295BCD">
            <w:pPr>
              <w:spacing w:after="0" w:line="240" w:lineRule="auto"/>
              <w:jc w:val="center"/>
              <w:textAlignment w:val="baseline"/>
              <w:rPr>
                <w:szCs w:val="24"/>
                <w:lang w:eastAsia="et-EE"/>
              </w:rPr>
            </w:pPr>
            <w:r w:rsidRPr="001927D6">
              <w:rPr>
                <w:color w:val="000000"/>
                <w:szCs w:val="24"/>
              </w:rPr>
              <w:t>1 198,39</w:t>
            </w:r>
          </w:p>
        </w:tc>
        <w:tc>
          <w:tcPr>
            <w:tcW w:w="1238" w:type="dxa"/>
            <w:vAlign w:val="center"/>
          </w:tcPr>
          <w:p w14:paraId="79FBBD82" w14:textId="77777777" w:rsidR="00295BCD" w:rsidRPr="001927D6" w:rsidRDefault="00295BCD">
            <w:pPr>
              <w:spacing w:after="0" w:line="240" w:lineRule="auto"/>
              <w:jc w:val="center"/>
              <w:textAlignment w:val="baseline"/>
              <w:rPr>
                <w:szCs w:val="24"/>
                <w:lang w:eastAsia="et-EE"/>
              </w:rPr>
            </w:pPr>
            <w:r w:rsidRPr="001927D6">
              <w:rPr>
                <w:color w:val="000000"/>
                <w:szCs w:val="24"/>
              </w:rPr>
              <w:t>2 525,22</w:t>
            </w:r>
          </w:p>
        </w:tc>
      </w:tr>
      <w:tr w:rsidR="00295BCD" w:rsidRPr="001927D6" w14:paraId="45C16107" w14:textId="77777777" w:rsidTr="00295BCD">
        <w:trPr>
          <w:divId w:val="1316184749"/>
          <w:trHeight w:val="300"/>
        </w:trPr>
        <w:tc>
          <w:tcPr>
            <w:tcW w:w="4632" w:type="dxa"/>
            <w:vAlign w:val="bottom"/>
            <w:hideMark/>
          </w:tcPr>
          <w:p w14:paraId="6D9E5339" w14:textId="77777777" w:rsidR="00295BCD" w:rsidRPr="001927D6" w:rsidRDefault="00295BCD">
            <w:pPr>
              <w:spacing w:after="0" w:line="240" w:lineRule="auto"/>
              <w:textAlignment w:val="baseline"/>
              <w:rPr>
                <w:szCs w:val="24"/>
                <w:lang w:eastAsia="et-EE"/>
              </w:rPr>
            </w:pPr>
            <w:r w:rsidRPr="001927D6">
              <w:rPr>
                <w:szCs w:val="24"/>
                <w:lang w:eastAsia="et-EE"/>
              </w:rPr>
              <w:t>Äge ja alaäge endokardiit </w:t>
            </w:r>
          </w:p>
        </w:tc>
        <w:tc>
          <w:tcPr>
            <w:tcW w:w="732" w:type="dxa"/>
            <w:vAlign w:val="center"/>
            <w:hideMark/>
          </w:tcPr>
          <w:p w14:paraId="6DEB90DD" w14:textId="77777777" w:rsidR="00295BCD" w:rsidRPr="001927D6" w:rsidRDefault="00295BCD">
            <w:pPr>
              <w:spacing w:after="0" w:line="240" w:lineRule="auto"/>
              <w:jc w:val="center"/>
              <w:textAlignment w:val="baseline"/>
              <w:rPr>
                <w:szCs w:val="24"/>
                <w:lang w:eastAsia="et-EE"/>
              </w:rPr>
            </w:pPr>
            <w:r w:rsidRPr="001927D6">
              <w:rPr>
                <w:szCs w:val="24"/>
                <w:lang w:eastAsia="et-EE"/>
              </w:rPr>
              <w:t>126 </w:t>
            </w:r>
          </w:p>
        </w:tc>
        <w:tc>
          <w:tcPr>
            <w:tcW w:w="1243" w:type="dxa"/>
            <w:vAlign w:val="center"/>
          </w:tcPr>
          <w:p w14:paraId="01216281" w14:textId="77777777" w:rsidR="00295BCD" w:rsidRPr="001927D6" w:rsidRDefault="00295BCD">
            <w:pPr>
              <w:spacing w:after="0" w:line="240" w:lineRule="auto"/>
              <w:jc w:val="center"/>
              <w:textAlignment w:val="baseline"/>
              <w:rPr>
                <w:szCs w:val="24"/>
                <w:lang w:eastAsia="et-EE"/>
              </w:rPr>
            </w:pPr>
            <w:r w:rsidRPr="001927D6">
              <w:rPr>
                <w:color w:val="000000"/>
                <w:szCs w:val="24"/>
              </w:rPr>
              <w:t>8 375,60</w:t>
            </w:r>
          </w:p>
        </w:tc>
        <w:tc>
          <w:tcPr>
            <w:tcW w:w="1211" w:type="dxa"/>
            <w:vAlign w:val="center"/>
          </w:tcPr>
          <w:p w14:paraId="78CC97D9" w14:textId="77777777" w:rsidR="00295BCD" w:rsidRPr="001927D6" w:rsidRDefault="00295BCD">
            <w:pPr>
              <w:spacing w:after="0" w:line="240" w:lineRule="auto"/>
              <w:jc w:val="center"/>
              <w:textAlignment w:val="baseline"/>
              <w:rPr>
                <w:szCs w:val="24"/>
                <w:lang w:eastAsia="et-EE"/>
              </w:rPr>
            </w:pPr>
            <w:r w:rsidRPr="001927D6">
              <w:rPr>
                <w:color w:val="000000"/>
                <w:szCs w:val="24"/>
              </w:rPr>
              <w:t>795,75</w:t>
            </w:r>
          </w:p>
        </w:tc>
        <w:tc>
          <w:tcPr>
            <w:tcW w:w="1238" w:type="dxa"/>
            <w:vAlign w:val="center"/>
          </w:tcPr>
          <w:p w14:paraId="5BEA4762" w14:textId="77777777" w:rsidR="00295BCD" w:rsidRPr="001927D6" w:rsidRDefault="00295BCD">
            <w:pPr>
              <w:spacing w:after="0" w:line="240" w:lineRule="auto"/>
              <w:jc w:val="center"/>
              <w:textAlignment w:val="baseline"/>
              <w:rPr>
                <w:szCs w:val="24"/>
                <w:lang w:eastAsia="et-EE"/>
              </w:rPr>
            </w:pPr>
            <w:r w:rsidRPr="001927D6">
              <w:rPr>
                <w:color w:val="000000"/>
                <w:szCs w:val="24"/>
              </w:rPr>
              <w:t>22 075,95</w:t>
            </w:r>
          </w:p>
        </w:tc>
      </w:tr>
      <w:tr w:rsidR="00295BCD" w:rsidRPr="001927D6" w14:paraId="40A3313B" w14:textId="77777777" w:rsidTr="00295BCD">
        <w:trPr>
          <w:divId w:val="1316184749"/>
          <w:trHeight w:val="300"/>
        </w:trPr>
        <w:tc>
          <w:tcPr>
            <w:tcW w:w="4632" w:type="dxa"/>
            <w:vAlign w:val="bottom"/>
            <w:hideMark/>
          </w:tcPr>
          <w:p w14:paraId="26B42EFF" w14:textId="77777777" w:rsidR="00295BCD" w:rsidRPr="001927D6" w:rsidRDefault="00295BCD">
            <w:pPr>
              <w:spacing w:after="0" w:line="240" w:lineRule="auto"/>
              <w:textAlignment w:val="baseline"/>
              <w:rPr>
                <w:szCs w:val="24"/>
                <w:lang w:eastAsia="et-EE"/>
              </w:rPr>
            </w:pPr>
            <w:r w:rsidRPr="001927D6">
              <w:rPr>
                <w:szCs w:val="24"/>
                <w:lang w:eastAsia="et-EE"/>
              </w:rPr>
              <w:t>Südamepuudulikkus ja šokk </w:t>
            </w:r>
          </w:p>
        </w:tc>
        <w:tc>
          <w:tcPr>
            <w:tcW w:w="732" w:type="dxa"/>
            <w:vAlign w:val="center"/>
            <w:hideMark/>
          </w:tcPr>
          <w:p w14:paraId="697BC43A" w14:textId="77777777" w:rsidR="00295BCD" w:rsidRPr="001927D6" w:rsidRDefault="00295BCD">
            <w:pPr>
              <w:spacing w:after="0" w:line="240" w:lineRule="auto"/>
              <w:jc w:val="center"/>
              <w:textAlignment w:val="baseline"/>
              <w:rPr>
                <w:szCs w:val="24"/>
                <w:lang w:eastAsia="et-EE"/>
              </w:rPr>
            </w:pPr>
            <w:r w:rsidRPr="001927D6">
              <w:rPr>
                <w:szCs w:val="24"/>
                <w:lang w:eastAsia="et-EE"/>
              </w:rPr>
              <w:t>127 </w:t>
            </w:r>
          </w:p>
        </w:tc>
        <w:tc>
          <w:tcPr>
            <w:tcW w:w="1243" w:type="dxa"/>
            <w:vAlign w:val="center"/>
          </w:tcPr>
          <w:p w14:paraId="4C23CBDF" w14:textId="77777777" w:rsidR="00295BCD" w:rsidRPr="001927D6" w:rsidRDefault="00295BCD">
            <w:pPr>
              <w:spacing w:after="0" w:line="240" w:lineRule="auto"/>
              <w:jc w:val="center"/>
              <w:textAlignment w:val="baseline"/>
              <w:rPr>
                <w:szCs w:val="24"/>
                <w:lang w:eastAsia="et-EE"/>
              </w:rPr>
            </w:pPr>
            <w:r w:rsidRPr="001927D6">
              <w:rPr>
                <w:color w:val="000000"/>
                <w:szCs w:val="24"/>
              </w:rPr>
              <w:t>2 962,92</w:t>
            </w:r>
          </w:p>
        </w:tc>
        <w:tc>
          <w:tcPr>
            <w:tcW w:w="1211" w:type="dxa"/>
            <w:vAlign w:val="center"/>
          </w:tcPr>
          <w:p w14:paraId="14510BF2" w14:textId="77777777" w:rsidR="00295BCD" w:rsidRPr="001927D6" w:rsidRDefault="00295BCD">
            <w:pPr>
              <w:spacing w:after="0" w:line="240" w:lineRule="auto"/>
              <w:jc w:val="center"/>
              <w:textAlignment w:val="baseline"/>
              <w:rPr>
                <w:szCs w:val="24"/>
                <w:lang w:eastAsia="et-EE"/>
              </w:rPr>
            </w:pPr>
            <w:r w:rsidRPr="001927D6">
              <w:rPr>
                <w:color w:val="000000"/>
                <w:szCs w:val="24"/>
              </w:rPr>
              <w:t>776,17</w:t>
            </w:r>
          </w:p>
        </w:tc>
        <w:tc>
          <w:tcPr>
            <w:tcW w:w="1238" w:type="dxa"/>
            <w:vAlign w:val="center"/>
          </w:tcPr>
          <w:p w14:paraId="044405E7" w14:textId="77777777" w:rsidR="00295BCD" w:rsidRPr="001927D6" w:rsidRDefault="00295BCD">
            <w:pPr>
              <w:spacing w:after="0" w:line="240" w:lineRule="auto"/>
              <w:jc w:val="center"/>
              <w:textAlignment w:val="baseline"/>
              <w:rPr>
                <w:szCs w:val="24"/>
                <w:lang w:eastAsia="et-EE"/>
              </w:rPr>
            </w:pPr>
            <w:r w:rsidRPr="001927D6">
              <w:rPr>
                <w:color w:val="000000"/>
                <w:szCs w:val="24"/>
              </w:rPr>
              <w:t>6 827,30</w:t>
            </w:r>
          </w:p>
        </w:tc>
      </w:tr>
      <w:tr w:rsidR="00295BCD" w:rsidRPr="001927D6" w14:paraId="70C5E678" w14:textId="77777777" w:rsidTr="00295BCD">
        <w:trPr>
          <w:divId w:val="1316184749"/>
          <w:trHeight w:val="300"/>
        </w:trPr>
        <w:tc>
          <w:tcPr>
            <w:tcW w:w="4632" w:type="dxa"/>
            <w:vAlign w:val="bottom"/>
            <w:hideMark/>
          </w:tcPr>
          <w:p w14:paraId="4FA474C2" w14:textId="77777777" w:rsidR="00295BCD" w:rsidRPr="001927D6" w:rsidRDefault="00295BCD">
            <w:pPr>
              <w:spacing w:after="0" w:line="240" w:lineRule="auto"/>
              <w:textAlignment w:val="baseline"/>
              <w:rPr>
                <w:szCs w:val="24"/>
                <w:lang w:eastAsia="et-EE"/>
              </w:rPr>
            </w:pPr>
            <w:r w:rsidRPr="001927D6">
              <w:rPr>
                <w:szCs w:val="24"/>
                <w:lang w:eastAsia="et-EE"/>
              </w:rPr>
              <w:t>Süvaveenide tromboflebiit </w:t>
            </w:r>
          </w:p>
        </w:tc>
        <w:tc>
          <w:tcPr>
            <w:tcW w:w="732" w:type="dxa"/>
            <w:vAlign w:val="center"/>
            <w:hideMark/>
          </w:tcPr>
          <w:p w14:paraId="73200586" w14:textId="77777777" w:rsidR="00295BCD" w:rsidRPr="001927D6" w:rsidRDefault="00295BCD">
            <w:pPr>
              <w:spacing w:after="0" w:line="240" w:lineRule="auto"/>
              <w:jc w:val="center"/>
              <w:textAlignment w:val="baseline"/>
              <w:rPr>
                <w:szCs w:val="24"/>
                <w:lang w:eastAsia="et-EE"/>
              </w:rPr>
            </w:pPr>
            <w:r w:rsidRPr="001927D6">
              <w:rPr>
                <w:szCs w:val="24"/>
                <w:lang w:eastAsia="et-EE"/>
              </w:rPr>
              <w:t>128 </w:t>
            </w:r>
          </w:p>
        </w:tc>
        <w:tc>
          <w:tcPr>
            <w:tcW w:w="1243" w:type="dxa"/>
            <w:vAlign w:val="center"/>
          </w:tcPr>
          <w:p w14:paraId="2E80D7B9" w14:textId="77777777" w:rsidR="00295BCD" w:rsidRPr="001927D6" w:rsidRDefault="00295BCD">
            <w:pPr>
              <w:spacing w:after="0" w:line="240" w:lineRule="auto"/>
              <w:jc w:val="center"/>
              <w:textAlignment w:val="baseline"/>
              <w:rPr>
                <w:szCs w:val="24"/>
                <w:lang w:eastAsia="et-EE"/>
              </w:rPr>
            </w:pPr>
            <w:r w:rsidRPr="001927D6">
              <w:rPr>
                <w:color w:val="000000"/>
                <w:szCs w:val="24"/>
              </w:rPr>
              <w:t>2 226,44</w:t>
            </w:r>
          </w:p>
        </w:tc>
        <w:tc>
          <w:tcPr>
            <w:tcW w:w="1211" w:type="dxa"/>
            <w:vAlign w:val="center"/>
          </w:tcPr>
          <w:p w14:paraId="1FE0995E" w14:textId="77777777" w:rsidR="00295BCD" w:rsidRPr="001927D6" w:rsidRDefault="00295BCD">
            <w:pPr>
              <w:spacing w:after="0" w:line="240" w:lineRule="auto"/>
              <w:jc w:val="center"/>
              <w:textAlignment w:val="baseline"/>
              <w:rPr>
                <w:szCs w:val="24"/>
                <w:lang w:eastAsia="et-EE"/>
              </w:rPr>
            </w:pPr>
            <w:r w:rsidRPr="001927D6">
              <w:rPr>
                <w:color w:val="000000"/>
                <w:szCs w:val="24"/>
              </w:rPr>
              <w:t>839,08</w:t>
            </w:r>
          </w:p>
        </w:tc>
        <w:tc>
          <w:tcPr>
            <w:tcW w:w="1238" w:type="dxa"/>
            <w:vAlign w:val="center"/>
          </w:tcPr>
          <w:p w14:paraId="066877BB" w14:textId="77777777" w:rsidR="00295BCD" w:rsidRPr="001927D6" w:rsidRDefault="00295BCD">
            <w:pPr>
              <w:spacing w:after="0" w:line="240" w:lineRule="auto"/>
              <w:jc w:val="center"/>
              <w:textAlignment w:val="baseline"/>
              <w:rPr>
                <w:szCs w:val="24"/>
                <w:lang w:eastAsia="et-EE"/>
              </w:rPr>
            </w:pPr>
            <w:r w:rsidRPr="001927D6">
              <w:rPr>
                <w:color w:val="000000"/>
                <w:szCs w:val="24"/>
              </w:rPr>
              <w:t>3 876,93</w:t>
            </w:r>
          </w:p>
        </w:tc>
      </w:tr>
      <w:tr w:rsidR="00295BCD" w:rsidRPr="001927D6" w14:paraId="4282E9F9" w14:textId="77777777" w:rsidTr="00295BCD">
        <w:trPr>
          <w:divId w:val="1316184749"/>
          <w:trHeight w:val="300"/>
        </w:trPr>
        <w:tc>
          <w:tcPr>
            <w:tcW w:w="4632" w:type="dxa"/>
            <w:vAlign w:val="bottom"/>
            <w:hideMark/>
          </w:tcPr>
          <w:p w14:paraId="732789DE" w14:textId="77777777" w:rsidR="00295BCD" w:rsidRPr="001927D6" w:rsidRDefault="00295BCD">
            <w:pPr>
              <w:spacing w:after="0" w:line="240" w:lineRule="auto"/>
              <w:textAlignment w:val="baseline"/>
              <w:rPr>
                <w:szCs w:val="24"/>
                <w:lang w:eastAsia="et-EE"/>
              </w:rPr>
            </w:pPr>
            <w:r w:rsidRPr="001927D6">
              <w:rPr>
                <w:szCs w:val="24"/>
                <w:lang w:eastAsia="et-EE"/>
              </w:rPr>
              <w:t>Selgitamata põhjusega südameseiskus </w:t>
            </w:r>
          </w:p>
        </w:tc>
        <w:tc>
          <w:tcPr>
            <w:tcW w:w="732" w:type="dxa"/>
            <w:vAlign w:val="center"/>
            <w:hideMark/>
          </w:tcPr>
          <w:p w14:paraId="4EE108A7" w14:textId="77777777" w:rsidR="00295BCD" w:rsidRPr="001927D6" w:rsidRDefault="00295BCD">
            <w:pPr>
              <w:spacing w:after="0" w:line="240" w:lineRule="auto"/>
              <w:jc w:val="center"/>
              <w:textAlignment w:val="baseline"/>
              <w:rPr>
                <w:szCs w:val="24"/>
                <w:lang w:eastAsia="et-EE"/>
              </w:rPr>
            </w:pPr>
            <w:r w:rsidRPr="001927D6">
              <w:rPr>
                <w:szCs w:val="24"/>
                <w:lang w:eastAsia="et-EE"/>
              </w:rPr>
              <w:t>129 </w:t>
            </w:r>
          </w:p>
        </w:tc>
        <w:tc>
          <w:tcPr>
            <w:tcW w:w="1243" w:type="dxa"/>
            <w:vAlign w:val="center"/>
          </w:tcPr>
          <w:p w14:paraId="2A15C403" w14:textId="77777777" w:rsidR="00295BCD" w:rsidRPr="001927D6" w:rsidRDefault="00295BCD">
            <w:pPr>
              <w:spacing w:after="0" w:line="240" w:lineRule="auto"/>
              <w:jc w:val="center"/>
              <w:textAlignment w:val="baseline"/>
              <w:rPr>
                <w:szCs w:val="24"/>
                <w:lang w:eastAsia="et-EE"/>
              </w:rPr>
            </w:pPr>
            <w:r w:rsidRPr="001927D6">
              <w:rPr>
                <w:color w:val="000000"/>
                <w:szCs w:val="24"/>
              </w:rPr>
              <w:t>4 834,23</w:t>
            </w:r>
          </w:p>
        </w:tc>
        <w:tc>
          <w:tcPr>
            <w:tcW w:w="1211" w:type="dxa"/>
            <w:vAlign w:val="center"/>
          </w:tcPr>
          <w:p w14:paraId="200D7CA9" w14:textId="77777777" w:rsidR="00295BCD" w:rsidRPr="001927D6" w:rsidRDefault="00295BCD">
            <w:pPr>
              <w:spacing w:after="0" w:line="240" w:lineRule="auto"/>
              <w:jc w:val="center"/>
              <w:textAlignment w:val="baseline"/>
              <w:rPr>
                <w:szCs w:val="24"/>
                <w:lang w:eastAsia="et-EE"/>
              </w:rPr>
            </w:pPr>
            <w:r w:rsidRPr="001927D6">
              <w:rPr>
                <w:color w:val="000000"/>
                <w:szCs w:val="24"/>
              </w:rPr>
              <w:t>212,58</w:t>
            </w:r>
          </w:p>
        </w:tc>
        <w:tc>
          <w:tcPr>
            <w:tcW w:w="1238" w:type="dxa"/>
            <w:vAlign w:val="center"/>
          </w:tcPr>
          <w:p w14:paraId="40742381" w14:textId="77777777" w:rsidR="00295BCD" w:rsidRPr="001927D6" w:rsidRDefault="00295BCD">
            <w:pPr>
              <w:spacing w:after="0" w:line="240" w:lineRule="auto"/>
              <w:jc w:val="center"/>
              <w:textAlignment w:val="baseline"/>
              <w:rPr>
                <w:szCs w:val="24"/>
                <w:lang w:eastAsia="et-EE"/>
              </w:rPr>
            </w:pPr>
            <w:r w:rsidRPr="001927D6">
              <w:rPr>
                <w:color w:val="000000"/>
                <w:szCs w:val="24"/>
              </w:rPr>
              <w:t>15 771,24</w:t>
            </w:r>
          </w:p>
        </w:tc>
      </w:tr>
      <w:tr w:rsidR="00295BCD" w:rsidRPr="001927D6" w14:paraId="33607FA2" w14:textId="77777777" w:rsidTr="00295BCD">
        <w:trPr>
          <w:divId w:val="1316184749"/>
          <w:trHeight w:val="300"/>
        </w:trPr>
        <w:tc>
          <w:tcPr>
            <w:tcW w:w="4632" w:type="dxa"/>
            <w:vAlign w:val="bottom"/>
            <w:hideMark/>
          </w:tcPr>
          <w:p w14:paraId="3356D4B1" w14:textId="77777777" w:rsidR="00295BCD" w:rsidRPr="001927D6" w:rsidRDefault="00295BCD">
            <w:pPr>
              <w:spacing w:after="0" w:line="240" w:lineRule="auto"/>
              <w:textAlignment w:val="baseline"/>
              <w:rPr>
                <w:szCs w:val="24"/>
                <w:lang w:eastAsia="et-EE"/>
              </w:rPr>
            </w:pPr>
            <w:r w:rsidRPr="001927D6">
              <w:rPr>
                <w:szCs w:val="24"/>
                <w:lang w:eastAsia="et-EE"/>
              </w:rPr>
              <w:t>Perifeersed vaskulaarhaigused, kht-ga </w:t>
            </w:r>
          </w:p>
        </w:tc>
        <w:tc>
          <w:tcPr>
            <w:tcW w:w="732" w:type="dxa"/>
            <w:vAlign w:val="center"/>
            <w:hideMark/>
          </w:tcPr>
          <w:p w14:paraId="252A5EF9" w14:textId="77777777" w:rsidR="00295BCD" w:rsidRPr="001927D6" w:rsidRDefault="00295BCD">
            <w:pPr>
              <w:spacing w:after="0" w:line="240" w:lineRule="auto"/>
              <w:jc w:val="center"/>
              <w:textAlignment w:val="baseline"/>
              <w:rPr>
                <w:szCs w:val="24"/>
                <w:lang w:eastAsia="et-EE"/>
              </w:rPr>
            </w:pPr>
            <w:r w:rsidRPr="001927D6">
              <w:rPr>
                <w:szCs w:val="24"/>
                <w:lang w:eastAsia="et-EE"/>
              </w:rPr>
              <w:t>130 </w:t>
            </w:r>
          </w:p>
        </w:tc>
        <w:tc>
          <w:tcPr>
            <w:tcW w:w="1243" w:type="dxa"/>
            <w:vAlign w:val="center"/>
          </w:tcPr>
          <w:p w14:paraId="658A33AC" w14:textId="77777777" w:rsidR="00295BCD" w:rsidRPr="001927D6" w:rsidRDefault="00295BCD">
            <w:pPr>
              <w:spacing w:after="0" w:line="240" w:lineRule="auto"/>
              <w:jc w:val="center"/>
              <w:textAlignment w:val="baseline"/>
              <w:rPr>
                <w:szCs w:val="24"/>
                <w:lang w:eastAsia="et-EE"/>
              </w:rPr>
            </w:pPr>
            <w:r w:rsidRPr="001927D6">
              <w:rPr>
                <w:color w:val="000000"/>
                <w:szCs w:val="24"/>
              </w:rPr>
              <w:t>2 002,76</w:t>
            </w:r>
          </w:p>
        </w:tc>
        <w:tc>
          <w:tcPr>
            <w:tcW w:w="1211" w:type="dxa"/>
            <w:vAlign w:val="center"/>
          </w:tcPr>
          <w:p w14:paraId="01ED36B0" w14:textId="77777777" w:rsidR="00295BCD" w:rsidRPr="001927D6" w:rsidRDefault="00295BCD">
            <w:pPr>
              <w:spacing w:after="0" w:line="240" w:lineRule="auto"/>
              <w:jc w:val="center"/>
              <w:textAlignment w:val="baseline"/>
              <w:rPr>
                <w:szCs w:val="24"/>
                <w:lang w:eastAsia="et-EE"/>
              </w:rPr>
            </w:pPr>
            <w:r w:rsidRPr="001927D6">
              <w:rPr>
                <w:color w:val="000000"/>
                <w:szCs w:val="24"/>
              </w:rPr>
              <w:t>517,38</w:t>
            </w:r>
          </w:p>
        </w:tc>
        <w:tc>
          <w:tcPr>
            <w:tcW w:w="1238" w:type="dxa"/>
            <w:vAlign w:val="center"/>
          </w:tcPr>
          <w:p w14:paraId="0457B251" w14:textId="77777777" w:rsidR="00295BCD" w:rsidRPr="001927D6" w:rsidRDefault="00295BCD">
            <w:pPr>
              <w:spacing w:after="0" w:line="240" w:lineRule="auto"/>
              <w:jc w:val="center"/>
              <w:textAlignment w:val="baseline"/>
              <w:rPr>
                <w:szCs w:val="24"/>
                <w:lang w:eastAsia="et-EE"/>
              </w:rPr>
            </w:pPr>
            <w:r w:rsidRPr="001927D6">
              <w:rPr>
                <w:color w:val="000000"/>
                <w:szCs w:val="24"/>
              </w:rPr>
              <w:t>5 300,64</w:t>
            </w:r>
          </w:p>
        </w:tc>
      </w:tr>
      <w:tr w:rsidR="00295BCD" w:rsidRPr="001927D6" w14:paraId="3A2A4FF6" w14:textId="77777777" w:rsidTr="00295BCD">
        <w:trPr>
          <w:divId w:val="1316184749"/>
          <w:trHeight w:val="300"/>
        </w:trPr>
        <w:tc>
          <w:tcPr>
            <w:tcW w:w="4632" w:type="dxa"/>
            <w:vAlign w:val="bottom"/>
            <w:hideMark/>
          </w:tcPr>
          <w:p w14:paraId="180D28C9" w14:textId="77777777" w:rsidR="00295BCD" w:rsidRPr="001927D6" w:rsidRDefault="00295BCD">
            <w:pPr>
              <w:spacing w:after="0" w:line="240" w:lineRule="auto"/>
              <w:textAlignment w:val="baseline"/>
              <w:rPr>
                <w:szCs w:val="24"/>
                <w:lang w:eastAsia="et-EE"/>
              </w:rPr>
            </w:pPr>
            <w:r w:rsidRPr="001927D6">
              <w:rPr>
                <w:szCs w:val="24"/>
                <w:lang w:eastAsia="et-EE"/>
              </w:rPr>
              <w:t>Perifeersed vaskulaarhaigused, kht-ta </w:t>
            </w:r>
          </w:p>
        </w:tc>
        <w:tc>
          <w:tcPr>
            <w:tcW w:w="732" w:type="dxa"/>
            <w:vAlign w:val="center"/>
            <w:hideMark/>
          </w:tcPr>
          <w:p w14:paraId="4BE2616D" w14:textId="77777777" w:rsidR="00295BCD" w:rsidRPr="001927D6" w:rsidRDefault="00295BCD">
            <w:pPr>
              <w:spacing w:after="0" w:line="240" w:lineRule="auto"/>
              <w:jc w:val="center"/>
              <w:textAlignment w:val="baseline"/>
              <w:rPr>
                <w:szCs w:val="24"/>
                <w:lang w:eastAsia="et-EE"/>
              </w:rPr>
            </w:pPr>
            <w:r w:rsidRPr="001927D6">
              <w:rPr>
                <w:szCs w:val="24"/>
                <w:lang w:eastAsia="et-EE"/>
              </w:rPr>
              <w:t>131 </w:t>
            </w:r>
          </w:p>
        </w:tc>
        <w:tc>
          <w:tcPr>
            <w:tcW w:w="1243" w:type="dxa"/>
            <w:vAlign w:val="center"/>
          </w:tcPr>
          <w:p w14:paraId="46C06FD9" w14:textId="77777777" w:rsidR="00295BCD" w:rsidRPr="001927D6" w:rsidRDefault="00295BCD">
            <w:pPr>
              <w:spacing w:after="0" w:line="240" w:lineRule="auto"/>
              <w:jc w:val="center"/>
              <w:textAlignment w:val="baseline"/>
              <w:rPr>
                <w:szCs w:val="24"/>
                <w:lang w:eastAsia="et-EE"/>
              </w:rPr>
            </w:pPr>
            <w:r w:rsidRPr="001927D6">
              <w:rPr>
                <w:color w:val="000000"/>
                <w:szCs w:val="24"/>
              </w:rPr>
              <w:t>1 535,41</w:t>
            </w:r>
          </w:p>
        </w:tc>
        <w:tc>
          <w:tcPr>
            <w:tcW w:w="1211" w:type="dxa"/>
            <w:vAlign w:val="center"/>
          </w:tcPr>
          <w:p w14:paraId="5F8FA083" w14:textId="77777777" w:rsidR="00295BCD" w:rsidRPr="001927D6" w:rsidRDefault="00295BCD">
            <w:pPr>
              <w:spacing w:after="0" w:line="240" w:lineRule="auto"/>
              <w:jc w:val="center"/>
              <w:textAlignment w:val="baseline"/>
              <w:rPr>
                <w:szCs w:val="24"/>
                <w:lang w:eastAsia="et-EE"/>
              </w:rPr>
            </w:pPr>
            <w:r w:rsidRPr="001927D6">
              <w:rPr>
                <w:color w:val="000000"/>
                <w:szCs w:val="24"/>
              </w:rPr>
              <w:t>463,62</w:t>
            </w:r>
          </w:p>
        </w:tc>
        <w:tc>
          <w:tcPr>
            <w:tcW w:w="1238" w:type="dxa"/>
            <w:vAlign w:val="center"/>
          </w:tcPr>
          <w:p w14:paraId="240DA2C6" w14:textId="77777777" w:rsidR="00295BCD" w:rsidRPr="001927D6" w:rsidRDefault="00295BCD">
            <w:pPr>
              <w:spacing w:after="0" w:line="240" w:lineRule="auto"/>
              <w:jc w:val="center"/>
              <w:textAlignment w:val="baseline"/>
              <w:rPr>
                <w:szCs w:val="24"/>
                <w:lang w:eastAsia="et-EE"/>
              </w:rPr>
            </w:pPr>
            <w:r w:rsidRPr="001927D6">
              <w:rPr>
                <w:color w:val="000000"/>
                <w:szCs w:val="24"/>
              </w:rPr>
              <w:t>3 412,90</w:t>
            </w:r>
          </w:p>
        </w:tc>
      </w:tr>
      <w:tr w:rsidR="00295BCD" w:rsidRPr="001927D6" w14:paraId="130511E5" w14:textId="77777777" w:rsidTr="00295BCD">
        <w:trPr>
          <w:divId w:val="1316184749"/>
          <w:trHeight w:val="300"/>
        </w:trPr>
        <w:tc>
          <w:tcPr>
            <w:tcW w:w="4632" w:type="dxa"/>
            <w:vAlign w:val="bottom"/>
            <w:hideMark/>
          </w:tcPr>
          <w:p w14:paraId="044A5588" w14:textId="77777777" w:rsidR="00295BCD" w:rsidRPr="001927D6" w:rsidRDefault="00295BCD">
            <w:pPr>
              <w:spacing w:after="0" w:line="240" w:lineRule="auto"/>
              <w:textAlignment w:val="baseline"/>
              <w:rPr>
                <w:szCs w:val="24"/>
                <w:lang w:eastAsia="et-EE"/>
              </w:rPr>
            </w:pPr>
            <w:r w:rsidRPr="001927D6">
              <w:rPr>
                <w:szCs w:val="24"/>
                <w:lang w:eastAsia="et-EE"/>
              </w:rPr>
              <w:t>Ateroskleroos, kht-ga </w:t>
            </w:r>
          </w:p>
        </w:tc>
        <w:tc>
          <w:tcPr>
            <w:tcW w:w="732" w:type="dxa"/>
            <w:vAlign w:val="center"/>
            <w:hideMark/>
          </w:tcPr>
          <w:p w14:paraId="32BFE89F" w14:textId="77777777" w:rsidR="00295BCD" w:rsidRPr="001927D6" w:rsidRDefault="00295BCD">
            <w:pPr>
              <w:spacing w:after="0" w:line="240" w:lineRule="auto"/>
              <w:jc w:val="center"/>
              <w:textAlignment w:val="baseline"/>
              <w:rPr>
                <w:szCs w:val="24"/>
                <w:lang w:eastAsia="et-EE"/>
              </w:rPr>
            </w:pPr>
            <w:r w:rsidRPr="001927D6">
              <w:rPr>
                <w:szCs w:val="24"/>
                <w:lang w:eastAsia="et-EE"/>
              </w:rPr>
              <w:t>132 </w:t>
            </w:r>
          </w:p>
        </w:tc>
        <w:tc>
          <w:tcPr>
            <w:tcW w:w="1243" w:type="dxa"/>
            <w:vAlign w:val="center"/>
          </w:tcPr>
          <w:p w14:paraId="074BE7AB" w14:textId="77777777" w:rsidR="00295BCD" w:rsidRPr="001927D6" w:rsidRDefault="00295BCD">
            <w:pPr>
              <w:spacing w:after="0" w:line="240" w:lineRule="auto"/>
              <w:jc w:val="center"/>
              <w:textAlignment w:val="baseline"/>
              <w:rPr>
                <w:szCs w:val="24"/>
                <w:lang w:eastAsia="et-EE"/>
              </w:rPr>
            </w:pPr>
            <w:r w:rsidRPr="001927D6">
              <w:rPr>
                <w:color w:val="000000"/>
                <w:szCs w:val="24"/>
              </w:rPr>
              <w:t>2 540,07</w:t>
            </w:r>
          </w:p>
        </w:tc>
        <w:tc>
          <w:tcPr>
            <w:tcW w:w="1211" w:type="dxa"/>
            <w:vAlign w:val="center"/>
          </w:tcPr>
          <w:p w14:paraId="06033EAD" w14:textId="77777777" w:rsidR="00295BCD" w:rsidRPr="001927D6" w:rsidRDefault="00295BCD">
            <w:pPr>
              <w:spacing w:after="0" w:line="240" w:lineRule="auto"/>
              <w:jc w:val="center"/>
              <w:textAlignment w:val="baseline"/>
              <w:rPr>
                <w:szCs w:val="24"/>
                <w:lang w:eastAsia="et-EE"/>
              </w:rPr>
            </w:pPr>
            <w:r w:rsidRPr="001927D6">
              <w:rPr>
                <w:color w:val="000000"/>
                <w:szCs w:val="24"/>
              </w:rPr>
              <w:t>532,74</w:t>
            </w:r>
          </w:p>
        </w:tc>
        <w:tc>
          <w:tcPr>
            <w:tcW w:w="1238" w:type="dxa"/>
            <w:vAlign w:val="center"/>
          </w:tcPr>
          <w:p w14:paraId="45882520" w14:textId="77777777" w:rsidR="00295BCD" w:rsidRPr="001927D6" w:rsidRDefault="00295BCD">
            <w:pPr>
              <w:spacing w:after="0" w:line="240" w:lineRule="auto"/>
              <w:jc w:val="center"/>
              <w:textAlignment w:val="baseline"/>
              <w:rPr>
                <w:szCs w:val="24"/>
                <w:lang w:eastAsia="et-EE"/>
              </w:rPr>
            </w:pPr>
            <w:r w:rsidRPr="001927D6">
              <w:rPr>
                <w:color w:val="000000"/>
                <w:szCs w:val="24"/>
              </w:rPr>
              <w:t>7 380,72</w:t>
            </w:r>
          </w:p>
        </w:tc>
      </w:tr>
      <w:tr w:rsidR="00295BCD" w:rsidRPr="001927D6" w14:paraId="5579E02F" w14:textId="77777777" w:rsidTr="00295BCD">
        <w:trPr>
          <w:divId w:val="1316184749"/>
          <w:trHeight w:val="300"/>
        </w:trPr>
        <w:tc>
          <w:tcPr>
            <w:tcW w:w="4632" w:type="dxa"/>
            <w:vAlign w:val="bottom"/>
            <w:hideMark/>
          </w:tcPr>
          <w:p w14:paraId="448C4CCB" w14:textId="77777777" w:rsidR="00295BCD" w:rsidRPr="001927D6" w:rsidRDefault="00295BCD">
            <w:pPr>
              <w:spacing w:after="0" w:line="240" w:lineRule="auto"/>
              <w:textAlignment w:val="baseline"/>
              <w:rPr>
                <w:szCs w:val="24"/>
                <w:lang w:eastAsia="et-EE"/>
              </w:rPr>
            </w:pPr>
            <w:r w:rsidRPr="001927D6">
              <w:rPr>
                <w:szCs w:val="24"/>
                <w:lang w:eastAsia="et-EE"/>
              </w:rPr>
              <w:t>Ateroskleroos, kht-ta </w:t>
            </w:r>
          </w:p>
        </w:tc>
        <w:tc>
          <w:tcPr>
            <w:tcW w:w="732" w:type="dxa"/>
            <w:vAlign w:val="center"/>
            <w:hideMark/>
          </w:tcPr>
          <w:p w14:paraId="556ACFFA" w14:textId="77777777" w:rsidR="00295BCD" w:rsidRPr="001927D6" w:rsidRDefault="00295BCD">
            <w:pPr>
              <w:spacing w:after="0" w:line="240" w:lineRule="auto"/>
              <w:jc w:val="center"/>
              <w:textAlignment w:val="baseline"/>
              <w:rPr>
                <w:szCs w:val="24"/>
                <w:lang w:eastAsia="et-EE"/>
              </w:rPr>
            </w:pPr>
            <w:r w:rsidRPr="001927D6">
              <w:rPr>
                <w:szCs w:val="24"/>
                <w:lang w:eastAsia="et-EE"/>
              </w:rPr>
              <w:t>133 </w:t>
            </w:r>
          </w:p>
        </w:tc>
        <w:tc>
          <w:tcPr>
            <w:tcW w:w="1243" w:type="dxa"/>
            <w:vAlign w:val="center"/>
          </w:tcPr>
          <w:p w14:paraId="7DB9878D" w14:textId="77777777" w:rsidR="00295BCD" w:rsidRPr="001927D6" w:rsidRDefault="00295BCD">
            <w:pPr>
              <w:spacing w:after="0" w:line="240" w:lineRule="auto"/>
              <w:jc w:val="center"/>
              <w:textAlignment w:val="baseline"/>
              <w:rPr>
                <w:szCs w:val="24"/>
                <w:lang w:eastAsia="et-EE"/>
              </w:rPr>
            </w:pPr>
            <w:r w:rsidRPr="001927D6">
              <w:rPr>
                <w:color w:val="000000"/>
                <w:szCs w:val="24"/>
              </w:rPr>
              <w:t>1 724,49</w:t>
            </w:r>
          </w:p>
        </w:tc>
        <w:tc>
          <w:tcPr>
            <w:tcW w:w="1211" w:type="dxa"/>
            <w:vAlign w:val="center"/>
          </w:tcPr>
          <w:p w14:paraId="51923557" w14:textId="77777777" w:rsidR="00295BCD" w:rsidRPr="001927D6" w:rsidRDefault="00295BCD">
            <w:pPr>
              <w:spacing w:after="0" w:line="240" w:lineRule="auto"/>
              <w:jc w:val="center"/>
              <w:textAlignment w:val="baseline"/>
              <w:rPr>
                <w:szCs w:val="24"/>
                <w:lang w:eastAsia="et-EE"/>
              </w:rPr>
            </w:pPr>
            <w:r w:rsidRPr="001927D6">
              <w:rPr>
                <w:color w:val="000000"/>
                <w:szCs w:val="24"/>
              </w:rPr>
              <w:t>634,41</w:t>
            </w:r>
          </w:p>
        </w:tc>
        <w:tc>
          <w:tcPr>
            <w:tcW w:w="1238" w:type="dxa"/>
            <w:vAlign w:val="center"/>
          </w:tcPr>
          <w:p w14:paraId="71153407" w14:textId="77777777" w:rsidR="00295BCD" w:rsidRPr="001927D6" w:rsidRDefault="00295BCD">
            <w:pPr>
              <w:spacing w:after="0" w:line="240" w:lineRule="auto"/>
              <w:jc w:val="center"/>
              <w:textAlignment w:val="baseline"/>
              <w:rPr>
                <w:szCs w:val="24"/>
                <w:lang w:eastAsia="et-EE"/>
              </w:rPr>
            </w:pPr>
            <w:r w:rsidRPr="001927D6">
              <w:rPr>
                <w:color w:val="000000"/>
                <w:szCs w:val="24"/>
              </w:rPr>
              <w:t>3 643,40</w:t>
            </w:r>
          </w:p>
        </w:tc>
      </w:tr>
      <w:tr w:rsidR="00295BCD" w:rsidRPr="001927D6" w14:paraId="2F745E94" w14:textId="77777777" w:rsidTr="00295BCD">
        <w:trPr>
          <w:divId w:val="1316184749"/>
          <w:trHeight w:val="300"/>
        </w:trPr>
        <w:tc>
          <w:tcPr>
            <w:tcW w:w="4632" w:type="dxa"/>
            <w:vAlign w:val="bottom"/>
            <w:hideMark/>
          </w:tcPr>
          <w:p w14:paraId="3F9A5DCA" w14:textId="77777777" w:rsidR="00295BCD" w:rsidRPr="001927D6" w:rsidRDefault="00295BCD">
            <w:pPr>
              <w:spacing w:after="0" w:line="240" w:lineRule="auto"/>
              <w:textAlignment w:val="baseline"/>
              <w:rPr>
                <w:szCs w:val="24"/>
                <w:lang w:eastAsia="et-EE"/>
              </w:rPr>
            </w:pPr>
            <w:r w:rsidRPr="001927D6">
              <w:rPr>
                <w:szCs w:val="24"/>
                <w:lang w:eastAsia="et-EE"/>
              </w:rPr>
              <w:t>Hüpertensioon </w:t>
            </w:r>
          </w:p>
        </w:tc>
        <w:tc>
          <w:tcPr>
            <w:tcW w:w="732" w:type="dxa"/>
            <w:vAlign w:val="center"/>
            <w:hideMark/>
          </w:tcPr>
          <w:p w14:paraId="200CEBBF" w14:textId="77777777" w:rsidR="00295BCD" w:rsidRPr="001927D6" w:rsidRDefault="00295BCD">
            <w:pPr>
              <w:spacing w:after="0" w:line="240" w:lineRule="auto"/>
              <w:jc w:val="center"/>
              <w:textAlignment w:val="baseline"/>
              <w:rPr>
                <w:szCs w:val="24"/>
                <w:lang w:eastAsia="et-EE"/>
              </w:rPr>
            </w:pPr>
            <w:r w:rsidRPr="001927D6">
              <w:rPr>
                <w:szCs w:val="24"/>
                <w:lang w:eastAsia="et-EE"/>
              </w:rPr>
              <w:t>134 </w:t>
            </w:r>
          </w:p>
        </w:tc>
        <w:tc>
          <w:tcPr>
            <w:tcW w:w="1243" w:type="dxa"/>
            <w:vAlign w:val="center"/>
          </w:tcPr>
          <w:p w14:paraId="2ABCBE4D" w14:textId="77777777" w:rsidR="00295BCD" w:rsidRPr="001927D6" w:rsidRDefault="00295BCD">
            <w:pPr>
              <w:spacing w:after="0" w:line="240" w:lineRule="auto"/>
              <w:jc w:val="center"/>
              <w:textAlignment w:val="baseline"/>
              <w:rPr>
                <w:szCs w:val="24"/>
                <w:lang w:eastAsia="et-EE"/>
              </w:rPr>
            </w:pPr>
            <w:r w:rsidRPr="001927D6">
              <w:rPr>
                <w:color w:val="000000"/>
                <w:szCs w:val="24"/>
              </w:rPr>
              <w:t>1 817,77</w:t>
            </w:r>
          </w:p>
        </w:tc>
        <w:tc>
          <w:tcPr>
            <w:tcW w:w="1211" w:type="dxa"/>
            <w:vAlign w:val="center"/>
          </w:tcPr>
          <w:p w14:paraId="25DD677E" w14:textId="77777777" w:rsidR="00295BCD" w:rsidRPr="001927D6" w:rsidRDefault="00295BCD">
            <w:pPr>
              <w:spacing w:after="0" w:line="240" w:lineRule="auto"/>
              <w:jc w:val="center"/>
              <w:textAlignment w:val="baseline"/>
              <w:rPr>
                <w:szCs w:val="24"/>
                <w:lang w:eastAsia="et-EE"/>
              </w:rPr>
            </w:pPr>
            <w:r w:rsidRPr="001927D6">
              <w:rPr>
                <w:color w:val="000000"/>
                <w:szCs w:val="24"/>
              </w:rPr>
              <w:t>576,06</w:t>
            </w:r>
          </w:p>
        </w:tc>
        <w:tc>
          <w:tcPr>
            <w:tcW w:w="1238" w:type="dxa"/>
            <w:vAlign w:val="center"/>
          </w:tcPr>
          <w:p w14:paraId="39D8063F" w14:textId="77777777" w:rsidR="00295BCD" w:rsidRPr="001927D6" w:rsidRDefault="00295BCD">
            <w:pPr>
              <w:spacing w:after="0" w:line="240" w:lineRule="auto"/>
              <w:jc w:val="center"/>
              <w:textAlignment w:val="baseline"/>
              <w:rPr>
                <w:szCs w:val="24"/>
                <w:lang w:eastAsia="et-EE"/>
              </w:rPr>
            </w:pPr>
            <w:r w:rsidRPr="001927D6">
              <w:rPr>
                <w:color w:val="000000"/>
                <w:szCs w:val="24"/>
              </w:rPr>
              <w:t>3 558,10</w:t>
            </w:r>
          </w:p>
        </w:tc>
      </w:tr>
      <w:tr w:rsidR="00295BCD" w:rsidRPr="001927D6" w14:paraId="03EB4645" w14:textId="77777777" w:rsidTr="00295BCD">
        <w:trPr>
          <w:divId w:val="1316184749"/>
          <w:trHeight w:val="300"/>
        </w:trPr>
        <w:tc>
          <w:tcPr>
            <w:tcW w:w="4632" w:type="dxa"/>
            <w:vAlign w:val="bottom"/>
            <w:hideMark/>
          </w:tcPr>
          <w:p w14:paraId="1E5D1661" w14:textId="77777777" w:rsidR="00295BCD" w:rsidRPr="001927D6" w:rsidRDefault="00295BCD">
            <w:pPr>
              <w:spacing w:after="0" w:line="240" w:lineRule="auto"/>
              <w:textAlignment w:val="baseline"/>
              <w:rPr>
                <w:szCs w:val="24"/>
                <w:lang w:eastAsia="et-EE"/>
              </w:rPr>
            </w:pPr>
            <w:r w:rsidRPr="001927D6">
              <w:rPr>
                <w:szCs w:val="24"/>
                <w:lang w:eastAsia="et-EE"/>
              </w:rPr>
              <w:t>Südame kaasasündinud haigused ja klapirikked, vanus &gt; 17, kht-ga </w:t>
            </w:r>
          </w:p>
        </w:tc>
        <w:tc>
          <w:tcPr>
            <w:tcW w:w="732" w:type="dxa"/>
            <w:vAlign w:val="center"/>
            <w:hideMark/>
          </w:tcPr>
          <w:p w14:paraId="74304D12" w14:textId="77777777" w:rsidR="00295BCD" w:rsidRPr="001927D6" w:rsidRDefault="00295BCD">
            <w:pPr>
              <w:spacing w:after="0" w:line="240" w:lineRule="auto"/>
              <w:jc w:val="center"/>
              <w:textAlignment w:val="baseline"/>
              <w:rPr>
                <w:szCs w:val="24"/>
                <w:lang w:eastAsia="et-EE"/>
              </w:rPr>
            </w:pPr>
            <w:r w:rsidRPr="001927D6">
              <w:rPr>
                <w:szCs w:val="24"/>
                <w:lang w:eastAsia="et-EE"/>
              </w:rPr>
              <w:t>135 </w:t>
            </w:r>
          </w:p>
        </w:tc>
        <w:tc>
          <w:tcPr>
            <w:tcW w:w="1243" w:type="dxa"/>
            <w:vAlign w:val="center"/>
          </w:tcPr>
          <w:p w14:paraId="7C099077" w14:textId="77777777" w:rsidR="00295BCD" w:rsidRPr="001927D6" w:rsidRDefault="00295BCD">
            <w:pPr>
              <w:spacing w:after="0" w:line="240" w:lineRule="auto"/>
              <w:jc w:val="center"/>
              <w:textAlignment w:val="baseline"/>
              <w:rPr>
                <w:szCs w:val="24"/>
                <w:lang w:eastAsia="et-EE"/>
              </w:rPr>
            </w:pPr>
            <w:r w:rsidRPr="001927D6">
              <w:rPr>
                <w:color w:val="000000"/>
                <w:szCs w:val="24"/>
              </w:rPr>
              <w:t>1 758,83</w:t>
            </w:r>
          </w:p>
        </w:tc>
        <w:tc>
          <w:tcPr>
            <w:tcW w:w="1211" w:type="dxa"/>
            <w:vAlign w:val="center"/>
          </w:tcPr>
          <w:p w14:paraId="15F818D9" w14:textId="77777777" w:rsidR="00295BCD" w:rsidRPr="001927D6" w:rsidRDefault="00295BCD">
            <w:pPr>
              <w:spacing w:after="0" w:line="240" w:lineRule="auto"/>
              <w:jc w:val="center"/>
              <w:textAlignment w:val="baseline"/>
              <w:rPr>
                <w:szCs w:val="24"/>
                <w:lang w:eastAsia="et-EE"/>
              </w:rPr>
            </w:pPr>
            <w:r w:rsidRPr="001927D6">
              <w:rPr>
                <w:color w:val="000000"/>
                <w:szCs w:val="24"/>
              </w:rPr>
              <w:t>546,26</w:t>
            </w:r>
          </w:p>
        </w:tc>
        <w:tc>
          <w:tcPr>
            <w:tcW w:w="1238" w:type="dxa"/>
            <w:vAlign w:val="center"/>
          </w:tcPr>
          <w:p w14:paraId="69DDFACC" w14:textId="77777777" w:rsidR="00295BCD" w:rsidRPr="001927D6" w:rsidRDefault="00295BCD">
            <w:pPr>
              <w:spacing w:after="0" w:line="240" w:lineRule="auto"/>
              <w:jc w:val="center"/>
              <w:textAlignment w:val="baseline"/>
              <w:rPr>
                <w:szCs w:val="24"/>
                <w:lang w:eastAsia="et-EE"/>
              </w:rPr>
            </w:pPr>
            <w:r w:rsidRPr="001927D6">
              <w:rPr>
                <w:color w:val="000000"/>
                <w:szCs w:val="24"/>
              </w:rPr>
              <w:t>4 287,84</w:t>
            </w:r>
          </w:p>
        </w:tc>
      </w:tr>
      <w:tr w:rsidR="00295BCD" w:rsidRPr="001927D6" w14:paraId="615FD61E" w14:textId="77777777" w:rsidTr="00295BCD">
        <w:trPr>
          <w:divId w:val="1316184749"/>
          <w:trHeight w:val="300"/>
        </w:trPr>
        <w:tc>
          <w:tcPr>
            <w:tcW w:w="4632" w:type="dxa"/>
            <w:vAlign w:val="bottom"/>
            <w:hideMark/>
          </w:tcPr>
          <w:p w14:paraId="73F37697" w14:textId="77777777" w:rsidR="00295BCD" w:rsidRPr="001927D6" w:rsidRDefault="00295BCD">
            <w:pPr>
              <w:spacing w:after="0" w:line="240" w:lineRule="auto"/>
              <w:textAlignment w:val="baseline"/>
              <w:rPr>
                <w:szCs w:val="24"/>
                <w:lang w:eastAsia="et-EE"/>
              </w:rPr>
            </w:pPr>
            <w:r w:rsidRPr="001927D6">
              <w:rPr>
                <w:szCs w:val="24"/>
                <w:lang w:eastAsia="et-EE"/>
              </w:rPr>
              <w:t>Südame kaasasündinud haigused ja klapirikked, vanus &gt; 17, kht-ta </w:t>
            </w:r>
          </w:p>
        </w:tc>
        <w:tc>
          <w:tcPr>
            <w:tcW w:w="732" w:type="dxa"/>
            <w:vAlign w:val="center"/>
            <w:hideMark/>
          </w:tcPr>
          <w:p w14:paraId="5E198187" w14:textId="77777777" w:rsidR="00295BCD" w:rsidRPr="001927D6" w:rsidRDefault="00295BCD">
            <w:pPr>
              <w:spacing w:after="0" w:line="240" w:lineRule="auto"/>
              <w:jc w:val="center"/>
              <w:textAlignment w:val="baseline"/>
              <w:rPr>
                <w:szCs w:val="24"/>
                <w:lang w:eastAsia="et-EE"/>
              </w:rPr>
            </w:pPr>
            <w:r w:rsidRPr="001927D6">
              <w:rPr>
                <w:szCs w:val="24"/>
                <w:lang w:eastAsia="et-EE"/>
              </w:rPr>
              <w:t>136 </w:t>
            </w:r>
          </w:p>
        </w:tc>
        <w:tc>
          <w:tcPr>
            <w:tcW w:w="1243" w:type="dxa"/>
            <w:vAlign w:val="center"/>
          </w:tcPr>
          <w:p w14:paraId="138B0FDB" w14:textId="77777777" w:rsidR="00295BCD" w:rsidRPr="001927D6" w:rsidRDefault="00295BCD">
            <w:pPr>
              <w:spacing w:after="0" w:line="240" w:lineRule="auto"/>
              <w:jc w:val="center"/>
              <w:textAlignment w:val="baseline"/>
              <w:rPr>
                <w:szCs w:val="24"/>
                <w:lang w:eastAsia="et-EE"/>
              </w:rPr>
            </w:pPr>
            <w:r w:rsidRPr="001927D6">
              <w:rPr>
                <w:color w:val="000000"/>
                <w:szCs w:val="24"/>
              </w:rPr>
              <w:t>1 375,79</w:t>
            </w:r>
          </w:p>
        </w:tc>
        <w:tc>
          <w:tcPr>
            <w:tcW w:w="1211" w:type="dxa"/>
            <w:vAlign w:val="center"/>
          </w:tcPr>
          <w:p w14:paraId="58EC090B" w14:textId="77777777" w:rsidR="00295BCD" w:rsidRPr="001927D6" w:rsidRDefault="00295BCD">
            <w:pPr>
              <w:spacing w:after="0" w:line="240" w:lineRule="auto"/>
              <w:jc w:val="center"/>
              <w:textAlignment w:val="baseline"/>
              <w:rPr>
                <w:szCs w:val="24"/>
                <w:lang w:eastAsia="et-EE"/>
              </w:rPr>
            </w:pPr>
            <w:r w:rsidRPr="001927D6">
              <w:rPr>
                <w:color w:val="000000"/>
                <w:szCs w:val="24"/>
              </w:rPr>
              <w:t>539,37</w:t>
            </w:r>
          </w:p>
        </w:tc>
        <w:tc>
          <w:tcPr>
            <w:tcW w:w="1238" w:type="dxa"/>
            <w:vAlign w:val="center"/>
          </w:tcPr>
          <w:p w14:paraId="7223C595" w14:textId="77777777" w:rsidR="00295BCD" w:rsidRPr="001927D6" w:rsidRDefault="00295BCD">
            <w:pPr>
              <w:spacing w:after="0" w:line="240" w:lineRule="auto"/>
              <w:jc w:val="center"/>
              <w:textAlignment w:val="baseline"/>
              <w:rPr>
                <w:szCs w:val="24"/>
                <w:lang w:eastAsia="et-EE"/>
              </w:rPr>
            </w:pPr>
            <w:r w:rsidRPr="001927D6">
              <w:rPr>
                <w:color w:val="000000"/>
                <w:szCs w:val="24"/>
              </w:rPr>
              <w:t>2 599,42</w:t>
            </w:r>
          </w:p>
        </w:tc>
      </w:tr>
      <w:tr w:rsidR="00295BCD" w:rsidRPr="001927D6" w14:paraId="603A1E31" w14:textId="77777777" w:rsidTr="00295BCD">
        <w:trPr>
          <w:divId w:val="1316184749"/>
          <w:trHeight w:val="300"/>
        </w:trPr>
        <w:tc>
          <w:tcPr>
            <w:tcW w:w="4632" w:type="dxa"/>
            <w:vAlign w:val="bottom"/>
            <w:hideMark/>
          </w:tcPr>
          <w:p w14:paraId="34A639CE" w14:textId="77777777" w:rsidR="00295BCD" w:rsidRPr="001927D6" w:rsidRDefault="00295BCD">
            <w:pPr>
              <w:spacing w:after="0" w:line="240" w:lineRule="auto"/>
              <w:textAlignment w:val="baseline"/>
              <w:rPr>
                <w:szCs w:val="24"/>
                <w:lang w:eastAsia="et-EE"/>
              </w:rPr>
            </w:pPr>
            <w:r w:rsidRPr="001927D6">
              <w:rPr>
                <w:szCs w:val="24"/>
                <w:lang w:eastAsia="et-EE"/>
              </w:rPr>
              <w:t>Südame kaasasündinud haigused ja klapirikked, vanus 0–17 </w:t>
            </w:r>
          </w:p>
        </w:tc>
        <w:tc>
          <w:tcPr>
            <w:tcW w:w="732" w:type="dxa"/>
            <w:vAlign w:val="center"/>
            <w:hideMark/>
          </w:tcPr>
          <w:p w14:paraId="680465CE" w14:textId="77777777" w:rsidR="00295BCD" w:rsidRPr="001927D6" w:rsidRDefault="00295BCD">
            <w:pPr>
              <w:spacing w:after="0" w:line="240" w:lineRule="auto"/>
              <w:jc w:val="center"/>
              <w:textAlignment w:val="baseline"/>
              <w:rPr>
                <w:szCs w:val="24"/>
                <w:lang w:eastAsia="et-EE"/>
              </w:rPr>
            </w:pPr>
            <w:r w:rsidRPr="001927D6">
              <w:rPr>
                <w:szCs w:val="24"/>
                <w:lang w:eastAsia="et-EE"/>
              </w:rPr>
              <w:t>137 </w:t>
            </w:r>
          </w:p>
        </w:tc>
        <w:tc>
          <w:tcPr>
            <w:tcW w:w="1243" w:type="dxa"/>
            <w:vAlign w:val="center"/>
          </w:tcPr>
          <w:p w14:paraId="0BC2851A" w14:textId="77777777" w:rsidR="00295BCD" w:rsidRPr="001927D6" w:rsidRDefault="00295BCD">
            <w:pPr>
              <w:spacing w:after="0" w:line="240" w:lineRule="auto"/>
              <w:jc w:val="center"/>
              <w:textAlignment w:val="baseline"/>
              <w:rPr>
                <w:szCs w:val="24"/>
                <w:lang w:eastAsia="et-EE"/>
              </w:rPr>
            </w:pPr>
            <w:r w:rsidRPr="001927D6">
              <w:rPr>
                <w:color w:val="000000"/>
                <w:szCs w:val="24"/>
              </w:rPr>
              <w:t>1 086,47</w:t>
            </w:r>
          </w:p>
        </w:tc>
        <w:tc>
          <w:tcPr>
            <w:tcW w:w="1211" w:type="dxa"/>
            <w:vAlign w:val="center"/>
          </w:tcPr>
          <w:p w14:paraId="4078F430" w14:textId="77777777" w:rsidR="00295BCD" w:rsidRPr="001927D6" w:rsidRDefault="00295BCD">
            <w:pPr>
              <w:spacing w:after="0" w:line="240" w:lineRule="auto"/>
              <w:jc w:val="center"/>
              <w:textAlignment w:val="baseline"/>
              <w:rPr>
                <w:szCs w:val="24"/>
                <w:lang w:eastAsia="et-EE"/>
              </w:rPr>
            </w:pPr>
            <w:r w:rsidRPr="001927D6">
              <w:rPr>
                <w:color w:val="000000"/>
                <w:szCs w:val="24"/>
              </w:rPr>
              <w:t>532,35</w:t>
            </w:r>
          </w:p>
        </w:tc>
        <w:tc>
          <w:tcPr>
            <w:tcW w:w="1238" w:type="dxa"/>
            <w:vAlign w:val="center"/>
          </w:tcPr>
          <w:p w14:paraId="7B3CA2AF" w14:textId="77777777" w:rsidR="00295BCD" w:rsidRPr="001927D6" w:rsidRDefault="00295BCD">
            <w:pPr>
              <w:spacing w:after="0" w:line="240" w:lineRule="auto"/>
              <w:jc w:val="center"/>
              <w:textAlignment w:val="baseline"/>
              <w:rPr>
                <w:szCs w:val="24"/>
                <w:lang w:eastAsia="et-EE"/>
              </w:rPr>
            </w:pPr>
            <w:r w:rsidRPr="001927D6">
              <w:rPr>
                <w:color w:val="000000"/>
                <w:szCs w:val="24"/>
              </w:rPr>
              <w:t>2 221,79</w:t>
            </w:r>
          </w:p>
        </w:tc>
      </w:tr>
      <w:tr w:rsidR="00295BCD" w:rsidRPr="001927D6" w14:paraId="010481F7" w14:textId="77777777" w:rsidTr="00295BCD">
        <w:trPr>
          <w:divId w:val="1316184749"/>
          <w:trHeight w:val="300"/>
        </w:trPr>
        <w:tc>
          <w:tcPr>
            <w:tcW w:w="4632" w:type="dxa"/>
            <w:vAlign w:val="bottom"/>
            <w:hideMark/>
          </w:tcPr>
          <w:p w14:paraId="30A51924" w14:textId="77777777" w:rsidR="00295BCD" w:rsidRPr="001927D6" w:rsidRDefault="00295BCD">
            <w:pPr>
              <w:spacing w:after="0" w:line="240" w:lineRule="auto"/>
              <w:textAlignment w:val="baseline"/>
              <w:rPr>
                <w:szCs w:val="24"/>
                <w:lang w:eastAsia="et-EE"/>
              </w:rPr>
            </w:pPr>
            <w:r w:rsidRPr="001927D6">
              <w:rPr>
                <w:szCs w:val="24"/>
                <w:lang w:eastAsia="et-EE"/>
              </w:rPr>
              <w:t>Südame arütmiad ja juhtehäired, kht-ga </w:t>
            </w:r>
          </w:p>
        </w:tc>
        <w:tc>
          <w:tcPr>
            <w:tcW w:w="732" w:type="dxa"/>
            <w:vAlign w:val="center"/>
            <w:hideMark/>
          </w:tcPr>
          <w:p w14:paraId="48C23DAA" w14:textId="77777777" w:rsidR="00295BCD" w:rsidRPr="001927D6" w:rsidRDefault="00295BCD">
            <w:pPr>
              <w:spacing w:after="0" w:line="240" w:lineRule="auto"/>
              <w:jc w:val="center"/>
              <w:textAlignment w:val="baseline"/>
              <w:rPr>
                <w:szCs w:val="24"/>
                <w:lang w:eastAsia="et-EE"/>
              </w:rPr>
            </w:pPr>
            <w:r w:rsidRPr="001927D6">
              <w:rPr>
                <w:szCs w:val="24"/>
                <w:lang w:eastAsia="et-EE"/>
              </w:rPr>
              <w:t>138 </w:t>
            </w:r>
          </w:p>
        </w:tc>
        <w:tc>
          <w:tcPr>
            <w:tcW w:w="1243" w:type="dxa"/>
            <w:vAlign w:val="center"/>
          </w:tcPr>
          <w:p w14:paraId="5EC47673" w14:textId="77777777" w:rsidR="00295BCD" w:rsidRPr="001927D6" w:rsidRDefault="00295BCD">
            <w:pPr>
              <w:spacing w:after="0" w:line="240" w:lineRule="auto"/>
              <w:jc w:val="center"/>
              <w:textAlignment w:val="baseline"/>
              <w:rPr>
                <w:szCs w:val="24"/>
                <w:lang w:eastAsia="et-EE"/>
              </w:rPr>
            </w:pPr>
            <w:r w:rsidRPr="001927D6">
              <w:rPr>
                <w:color w:val="000000"/>
                <w:szCs w:val="24"/>
              </w:rPr>
              <w:t>2 208,09</w:t>
            </w:r>
          </w:p>
        </w:tc>
        <w:tc>
          <w:tcPr>
            <w:tcW w:w="1211" w:type="dxa"/>
            <w:vAlign w:val="center"/>
          </w:tcPr>
          <w:p w14:paraId="320115DC" w14:textId="77777777" w:rsidR="00295BCD" w:rsidRPr="001927D6" w:rsidRDefault="00295BCD">
            <w:pPr>
              <w:spacing w:after="0" w:line="240" w:lineRule="auto"/>
              <w:jc w:val="center"/>
              <w:textAlignment w:val="baseline"/>
              <w:rPr>
                <w:szCs w:val="24"/>
                <w:lang w:eastAsia="et-EE"/>
              </w:rPr>
            </w:pPr>
            <w:r w:rsidRPr="001927D6">
              <w:rPr>
                <w:color w:val="000000"/>
                <w:szCs w:val="24"/>
              </w:rPr>
              <w:t>581,03</w:t>
            </w:r>
          </w:p>
        </w:tc>
        <w:tc>
          <w:tcPr>
            <w:tcW w:w="1238" w:type="dxa"/>
            <w:vAlign w:val="center"/>
          </w:tcPr>
          <w:p w14:paraId="6EB06AF7" w14:textId="77777777" w:rsidR="00295BCD" w:rsidRPr="001927D6" w:rsidRDefault="00295BCD">
            <w:pPr>
              <w:spacing w:after="0" w:line="240" w:lineRule="auto"/>
              <w:jc w:val="center"/>
              <w:textAlignment w:val="baseline"/>
              <w:rPr>
                <w:szCs w:val="24"/>
                <w:lang w:eastAsia="et-EE"/>
              </w:rPr>
            </w:pPr>
            <w:r w:rsidRPr="001927D6">
              <w:rPr>
                <w:color w:val="000000"/>
                <w:szCs w:val="24"/>
              </w:rPr>
              <w:t>5 502,41</w:t>
            </w:r>
          </w:p>
        </w:tc>
      </w:tr>
      <w:tr w:rsidR="00295BCD" w:rsidRPr="001927D6" w14:paraId="02275649" w14:textId="77777777" w:rsidTr="00295BCD">
        <w:trPr>
          <w:divId w:val="1316184749"/>
          <w:trHeight w:val="300"/>
        </w:trPr>
        <w:tc>
          <w:tcPr>
            <w:tcW w:w="4632" w:type="dxa"/>
            <w:vAlign w:val="bottom"/>
            <w:hideMark/>
          </w:tcPr>
          <w:p w14:paraId="24FA9A81" w14:textId="77777777" w:rsidR="00295BCD" w:rsidRPr="001927D6" w:rsidRDefault="00295BCD">
            <w:pPr>
              <w:spacing w:after="0" w:line="240" w:lineRule="auto"/>
              <w:textAlignment w:val="baseline"/>
              <w:rPr>
                <w:szCs w:val="24"/>
                <w:lang w:eastAsia="et-EE"/>
              </w:rPr>
            </w:pPr>
            <w:r w:rsidRPr="001927D6">
              <w:rPr>
                <w:szCs w:val="24"/>
                <w:lang w:eastAsia="et-EE"/>
              </w:rPr>
              <w:t>Südame arütmiad ja juhtehäired, kht-ta </w:t>
            </w:r>
          </w:p>
        </w:tc>
        <w:tc>
          <w:tcPr>
            <w:tcW w:w="732" w:type="dxa"/>
            <w:vAlign w:val="center"/>
            <w:hideMark/>
          </w:tcPr>
          <w:p w14:paraId="3D05FC10" w14:textId="77777777" w:rsidR="00295BCD" w:rsidRPr="001927D6" w:rsidRDefault="00295BCD">
            <w:pPr>
              <w:spacing w:after="0" w:line="240" w:lineRule="auto"/>
              <w:jc w:val="center"/>
              <w:textAlignment w:val="baseline"/>
              <w:rPr>
                <w:szCs w:val="24"/>
                <w:lang w:eastAsia="et-EE"/>
              </w:rPr>
            </w:pPr>
            <w:r w:rsidRPr="001927D6">
              <w:rPr>
                <w:szCs w:val="24"/>
                <w:lang w:eastAsia="et-EE"/>
              </w:rPr>
              <w:t>139 </w:t>
            </w:r>
          </w:p>
        </w:tc>
        <w:tc>
          <w:tcPr>
            <w:tcW w:w="1243" w:type="dxa"/>
            <w:vAlign w:val="center"/>
          </w:tcPr>
          <w:p w14:paraId="29A3D5CE" w14:textId="77777777" w:rsidR="00295BCD" w:rsidRPr="001927D6" w:rsidRDefault="00295BCD">
            <w:pPr>
              <w:spacing w:after="0" w:line="240" w:lineRule="auto"/>
              <w:jc w:val="center"/>
              <w:textAlignment w:val="baseline"/>
              <w:rPr>
                <w:szCs w:val="24"/>
                <w:lang w:eastAsia="et-EE"/>
              </w:rPr>
            </w:pPr>
            <w:r w:rsidRPr="001927D6">
              <w:rPr>
                <w:color w:val="000000"/>
                <w:szCs w:val="24"/>
              </w:rPr>
              <w:t>2 370,22</w:t>
            </w:r>
          </w:p>
        </w:tc>
        <w:tc>
          <w:tcPr>
            <w:tcW w:w="1211" w:type="dxa"/>
            <w:vAlign w:val="center"/>
          </w:tcPr>
          <w:p w14:paraId="0D4E15DB" w14:textId="77777777" w:rsidR="00295BCD" w:rsidRPr="001927D6" w:rsidRDefault="00295BCD">
            <w:pPr>
              <w:spacing w:after="0" w:line="240" w:lineRule="auto"/>
              <w:jc w:val="center"/>
              <w:textAlignment w:val="baseline"/>
              <w:rPr>
                <w:szCs w:val="24"/>
                <w:lang w:eastAsia="et-EE"/>
              </w:rPr>
            </w:pPr>
            <w:r w:rsidRPr="001927D6">
              <w:rPr>
                <w:color w:val="000000"/>
                <w:szCs w:val="24"/>
              </w:rPr>
              <w:t>198,14</w:t>
            </w:r>
          </w:p>
        </w:tc>
        <w:tc>
          <w:tcPr>
            <w:tcW w:w="1238" w:type="dxa"/>
            <w:vAlign w:val="center"/>
          </w:tcPr>
          <w:p w14:paraId="07A93A1E" w14:textId="77777777" w:rsidR="00295BCD" w:rsidRPr="001927D6" w:rsidRDefault="00295BCD">
            <w:pPr>
              <w:spacing w:after="0" w:line="240" w:lineRule="auto"/>
              <w:jc w:val="center"/>
              <w:textAlignment w:val="baseline"/>
              <w:rPr>
                <w:szCs w:val="24"/>
                <w:lang w:eastAsia="et-EE"/>
              </w:rPr>
            </w:pPr>
            <w:r w:rsidRPr="001927D6">
              <w:rPr>
                <w:color w:val="000000"/>
                <w:szCs w:val="24"/>
              </w:rPr>
              <w:t>8 228,76</w:t>
            </w:r>
          </w:p>
        </w:tc>
      </w:tr>
      <w:tr w:rsidR="00295BCD" w:rsidRPr="001927D6" w14:paraId="2BFD28A8" w14:textId="77777777" w:rsidTr="00295BCD">
        <w:trPr>
          <w:divId w:val="1316184749"/>
          <w:trHeight w:val="300"/>
        </w:trPr>
        <w:tc>
          <w:tcPr>
            <w:tcW w:w="4632" w:type="dxa"/>
            <w:vAlign w:val="bottom"/>
            <w:hideMark/>
          </w:tcPr>
          <w:p w14:paraId="3A25E9A3" w14:textId="77777777" w:rsidR="00295BCD" w:rsidRPr="001927D6" w:rsidRDefault="00295BCD">
            <w:pPr>
              <w:spacing w:after="0" w:line="240" w:lineRule="auto"/>
              <w:textAlignment w:val="baseline"/>
              <w:rPr>
                <w:szCs w:val="24"/>
                <w:lang w:eastAsia="et-EE"/>
              </w:rPr>
            </w:pPr>
            <w:r w:rsidRPr="001927D6">
              <w:rPr>
                <w:szCs w:val="24"/>
                <w:lang w:eastAsia="et-EE"/>
              </w:rPr>
              <w:t>Stenokardia, kht-ga </w:t>
            </w:r>
          </w:p>
        </w:tc>
        <w:tc>
          <w:tcPr>
            <w:tcW w:w="732" w:type="dxa"/>
            <w:vAlign w:val="center"/>
            <w:hideMark/>
          </w:tcPr>
          <w:p w14:paraId="5B80F81E" w14:textId="77777777" w:rsidR="00295BCD" w:rsidRPr="001927D6" w:rsidRDefault="00295BCD">
            <w:pPr>
              <w:spacing w:after="0" w:line="240" w:lineRule="auto"/>
              <w:jc w:val="center"/>
              <w:textAlignment w:val="baseline"/>
              <w:rPr>
                <w:szCs w:val="24"/>
                <w:lang w:eastAsia="et-EE"/>
              </w:rPr>
            </w:pPr>
            <w:r w:rsidRPr="001927D6">
              <w:rPr>
                <w:szCs w:val="24"/>
                <w:lang w:eastAsia="et-EE"/>
              </w:rPr>
              <w:t>140C </w:t>
            </w:r>
          </w:p>
        </w:tc>
        <w:tc>
          <w:tcPr>
            <w:tcW w:w="1243" w:type="dxa"/>
            <w:vAlign w:val="center"/>
          </w:tcPr>
          <w:p w14:paraId="7DBB88F0" w14:textId="77777777" w:rsidR="00295BCD" w:rsidRPr="001927D6" w:rsidRDefault="00295BCD">
            <w:pPr>
              <w:spacing w:after="0" w:line="240" w:lineRule="auto"/>
              <w:jc w:val="center"/>
              <w:textAlignment w:val="baseline"/>
              <w:rPr>
                <w:szCs w:val="24"/>
                <w:lang w:eastAsia="et-EE"/>
              </w:rPr>
            </w:pPr>
            <w:r w:rsidRPr="001927D6">
              <w:rPr>
                <w:color w:val="000000"/>
                <w:szCs w:val="24"/>
              </w:rPr>
              <w:t>1 853,60</w:t>
            </w:r>
          </w:p>
        </w:tc>
        <w:tc>
          <w:tcPr>
            <w:tcW w:w="1211" w:type="dxa"/>
            <w:vAlign w:val="center"/>
          </w:tcPr>
          <w:p w14:paraId="1E814A90" w14:textId="77777777" w:rsidR="00295BCD" w:rsidRPr="001927D6" w:rsidRDefault="00295BCD">
            <w:pPr>
              <w:spacing w:after="0" w:line="240" w:lineRule="auto"/>
              <w:jc w:val="center"/>
              <w:textAlignment w:val="baseline"/>
              <w:rPr>
                <w:szCs w:val="24"/>
                <w:lang w:eastAsia="et-EE"/>
              </w:rPr>
            </w:pPr>
            <w:r w:rsidRPr="001927D6">
              <w:rPr>
                <w:color w:val="000000"/>
                <w:szCs w:val="24"/>
              </w:rPr>
              <w:t>390,44</w:t>
            </w:r>
          </w:p>
        </w:tc>
        <w:tc>
          <w:tcPr>
            <w:tcW w:w="1238" w:type="dxa"/>
            <w:vAlign w:val="center"/>
          </w:tcPr>
          <w:p w14:paraId="61163507" w14:textId="77777777" w:rsidR="00295BCD" w:rsidRPr="001927D6" w:rsidRDefault="00295BCD">
            <w:pPr>
              <w:spacing w:after="0" w:line="240" w:lineRule="auto"/>
              <w:jc w:val="center"/>
              <w:textAlignment w:val="baseline"/>
              <w:rPr>
                <w:szCs w:val="24"/>
                <w:lang w:eastAsia="et-EE"/>
              </w:rPr>
            </w:pPr>
            <w:r w:rsidRPr="001927D6">
              <w:rPr>
                <w:color w:val="000000"/>
                <w:szCs w:val="24"/>
              </w:rPr>
              <w:t>3 911,12</w:t>
            </w:r>
          </w:p>
        </w:tc>
      </w:tr>
      <w:tr w:rsidR="00295BCD" w:rsidRPr="001927D6" w14:paraId="61D64371" w14:textId="77777777" w:rsidTr="00295BCD">
        <w:trPr>
          <w:divId w:val="1316184749"/>
          <w:trHeight w:val="300"/>
        </w:trPr>
        <w:tc>
          <w:tcPr>
            <w:tcW w:w="4632" w:type="dxa"/>
            <w:vAlign w:val="bottom"/>
            <w:hideMark/>
          </w:tcPr>
          <w:p w14:paraId="2A0D8A14" w14:textId="77777777" w:rsidR="00295BCD" w:rsidRPr="001927D6" w:rsidRDefault="00295BCD">
            <w:pPr>
              <w:spacing w:after="0" w:line="240" w:lineRule="auto"/>
              <w:textAlignment w:val="baseline"/>
              <w:rPr>
                <w:szCs w:val="24"/>
                <w:lang w:eastAsia="et-EE"/>
              </w:rPr>
            </w:pPr>
            <w:r w:rsidRPr="001927D6">
              <w:rPr>
                <w:szCs w:val="24"/>
                <w:lang w:eastAsia="et-EE"/>
              </w:rPr>
              <w:t>Stenokardia, kht-ta </w:t>
            </w:r>
          </w:p>
        </w:tc>
        <w:tc>
          <w:tcPr>
            <w:tcW w:w="732" w:type="dxa"/>
            <w:vAlign w:val="center"/>
            <w:hideMark/>
          </w:tcPr>
          <w:p w14:paraId="6476DAF5" w14:textId="77777777" w:rsidR="00295BCD" w:rsidRPr="001927D6" w:rsidRDefault="00295BCD">
            <w:pPr>
              <w:spacing w:after="0" w:line="240" w:lineRule="auto"/>
              <w:jc w:val="center"/>
              <w:textAlignment w:val="baseline"/>
              <w:rPr>
                <w:szCs w:val="24"/>
                <w:lang w:eastAsia="et-EE"/>
              </w:rPr>
            </w:pPr>
            <w:r w:rsidRPr="001927D6">
              <w:rPr>
                <w:szCs w:val="24"/>
                <w:lang w:eastAsia="et-EE"/>
              </w:rPr>
              <w:t>140N </w:t>
            </w:r>
          </w:p>
        </w:tc>
        <w:tc>
          <w:tcPr>
            <w:tcW w:w="1243" w:type="dxa"/>
            <w:vAlign w:val="center"/>
          </w:tcPr>
          <w:p w14:paraId="3EBAE3F6" w14:textId="77777777" w:rsidR="00295BCD" w:rsidRPr="001927D6" w:rsidRDefault="00295BCD">
            <w:pPr>
              <w:spacing w:after="0" w:line="240" w:lineRule="auto"/>
              <w:jc w:val="center"/>
              <w:textAlignment w:val="baseline"/>
              <w:rPr>
                <w:szCs w:val="24"/>
                <w:lang w:eastAsia="et-EE"/>
              </w:rPr>
            </w:pPr>
            <w:r w:rsidRPr="001927D6">
              <w:rPr>
                <w:color w:val="000000"/>
                <w:szCs w:val="24"/>
              </w:rPr>
              <w:t>1 773,03</w:t>
            </w:r>
          </w:p>
        </w:tc>
        <w:tc>
          <w:tcPr>
            <w:tcW w:w="1211" w:type="dxa"/>
            <w:vAlign w:val="center"/>
          </w:tcPr>
          <w:p w14:paraId="22C830FB" w14:textId="77777777" w:rsidR="00295BCD" w:rsidRPr="001927D6" w:rsidRDefault="00295BCD">
            <w:pPr>
              <w:spacing w:after="0" w:line="240" w:lineRule="auto"/>
              <w:jc w:val="center"/>
              <w:textAlignment w:val="baseline"/>
              <w:rPr>
                <w:szCs w:val="24"/>
                <w:lang w:eastAsia="et-EE"/>
              </w:rPr>
            </w:pPr>
            <w:r w:rsidRPr="001927D6">
              <w:rPr>
                <w:color w:val="000000"/>
                <w:szCs w:val="24"/>
              </w:rPr>
              <w:t>585,23</w:t>
            </w:r>
          </w:p>
        </w:tc>
        <w:tc>
          <w:tcPr>
            <w:tcW w:w="1238" w:type="dxa"/>
            <w:vAlign w:val="center"/>
          </w:tcPr>
          <w:p w14:paraId="750BD423" w14:textId="77777777" w:rsidR="00295BCD" w:rsidRPr="001927D6" w:rsidRDefault="00295BCD">
            <w:pPr>
              <w:spacing w:after="0" w:line="240" w:lineRule="auto"/>
              <w:jc w:val="center"/>
              <w:textAlignment w:val="baseline"/>
              <w:rPr>
                <w:szCs w:val="24"/>
                <w:lang w:eastAsia="et-EE"/>
              </w:rPr>
            </w:pPr>
            <w:r w:rsidRPr="001927D6">
              <w:rPr>
                <w:color w:val="000000"/>
                <w:szCs w:val="24"/>
              </w:rPr>
              <w:t>3 321,01</w:t>
            </w:r>
          </w:p>
        </w:tc>
      </w:tr>
      <w:tr w:rsidR="00295BCD" w:rsidRPr="001927D6" w14:paraId="4D2BE87E" w14:textId="77777777" w:rsidTr="00295BCD">
        <w:trPr>
          <w:divId w:val="1316184749"/>
          <w:trHeight w:val="300"/>
        </w:trPr>
        <w:tc>
          <w:tcPr>
            <w:tcW w:w="4632" w:type="dxa"/>
            <w:vAlign w:val="bottom"/>
            <w:hideMark/>
          </w:tcPr>
          <w:p w14:paraId="73E62249" w14:textId="77777777" w:rsidR="00295BCD" w:rsidRPr="001927D6" w:rsidRDefault="00295BCD">
            <w:pPr>
              <w:spacing w:after="0" w:line="240" w:lineRule="auto"/>
              <w:textAlignment w:val="baseline"/>
              <w:rPr>
                <w:szCs w:val="24"/>
                <w:lang w:eastAsia="et-EE"/>
              </w:rPr>
            </w:pPr>
            <w:r w:rsidRPr="001927D6">
              <w:rPr>
                <w:szCs w:val="24"/>
                <w:lang w:eastAsia="et-EE"/>
              </w:rPr>
              <w:t>Minestus ja kollaps, kht-ga </w:t>
            </w:r>
          </w:p>
        </w:tc>
        <w:tc>
          <w:tcPr>
            <w:tcW w:w="732" w:type="dxa"/>
            <w:vAlign w:val="center"/>
            <w:hideMark/>
          </w:tcPr>
          <w:p w14:paraId="5EBE3B5C" w14:textId="77777777" w:rsidR="00295BCD" w:rsidRPr="001927D6" w:rsidRDefault="00295BCD">
            <w:pPr>
              <w:spacing w:after="0" w:line="240" w:lineRule="auto"/>
              <w:jc w:val="center"/>
              <w:textAlignment w:val="baseline"/>
              <w:rPr>
                <w:szCs w:val="24"/>
                <w:lang w:eastAsia="et-EE"/>
              </w:rPr>
            </w:pPr>
            <w:r w:rsidRPr="001927D6">
              <w:rPr>
                <w:szCs w:val="24"/>
                <w:lang w:eastAsia="et-EE"/>
              </w:rPr>
              <w:t>141 </w:t>
            </w:r>
          </w:p>
        </w:tc>
        <w:tc>
          <w:tcPr>
            <w:tcW w:w="1243" w:type="dxa"/>
            <w:vAlign w:val="center"/>
          </w:tcPr>
          <w:p w14:paraId="42F8278A" w14:textId="77777777" w:rsidR="00295BCD" w:rsidRPr="001927D6" w:rsidRDefault="00295BCD">
            <w:pPr>
              <w:spacing w:after="0" w:line="240" w:lineRule="auto"/>
              <w:jc w:val="center"/>
              <w:textAlignment w:val="baseline"/>
              <w:rPr>
                <w:szCs w:val="24"/>
                <w:lang w:eastAsia="et-EE"/>
              </w:rPr>
            </w:pPr>
            <w:r w:rsidRPr="001927D6">
              <w:rPr>
                <w:color w:val="000000"/>
                <w:szCs w:val="24"/>
              </w:rPr>
              <w:t>1 918,29</w:t>
            </w:r>
          </w:p>
        </w:tc>
        <w:tc>
          <w:tcPr>
            <w:tcW w:w="1211" w:type="dxa"/>
            <w:vAlign w:val="center"/>
          </w:tcPr>
          <w:p w14:paraId="4511C148" w14:textId="77777777" w:rsidR="00295BCD" w:rsidRPr="001927D6" w:rsidRDefault="00295BCD">
            <w:pPr>
              <w:spacing w:after="0" w:line="240" w:lineRule="auto"/>
              <w:jc w:val="center"/>
              <w:textAlignment w:val="baseline"/>
              <w:rPr>
                <w:szCs w:val="24"/>
                <w:lang w:eastAsia="et-EE"/>
              </w:rPr>
            </w:pPr>
            <w:r w:rsidRPr="001927D6">
              <w:rPr>
                <w:color w:val="000000"/>
                <w:szCs w:val="24"/>
              </w:rPr>
              <w:t>611,81</w:t>
            </w:r>
          </w:p>
        </w:tc>
        <w:tc>
          <w:tcPr>
            <w:tcW w:w="1238" w:type="dxa"/>
            <w:vAlign w:val="center"/>
          </w:tcPr>
          <w:p w14:paraId="5530D36D" w14:textId="77777777" w:rsidR="00295BCD" w:rsidRPr="001927D6" w:rsidRDefault="00295BCD">
            <w:pPr>
              <w:spacing w:after="0" w:line="240" w:lineRule="auto"/>
              <w:jc w:val="center"/>
              <w:textAlignment w:val="baseline"/>
              <w:rPr>
                <w:szCs w:val="24"/>
                <w:lang w:eastAsia="et-EE"/>
              </w:rPr>
            </w:pPr>
            <w:r w:rsidRPr="001927D6">
              <w:rPr>
                <w:color w:val="000000"/>
                <w:szCs w:val="24"/>
              </w:rPr>
              <w:t>4 107,74</w:t>
            </w:r>
          </w:p>
        </w:tc>
      </w:tr>
      <w:tr w:rsidR="00295BCD" w:rsidRPr="001927D6" w14:paraId="5A0EDE68" w14:textId="77777777" w:rsidTr="00295BCD">
        <w:trPr>
          <w:divId w:val="1316184749"/>
          <w:trHeight w:val="300"/>
        </w:trPr>
        <w:tc>
          <w:tcPr>
            <w:tcW w:w="4632" w:type="dxa"/>
            <w:vAlign w:val="bottom"/>
            <w:hideMark/>
          </w:tcPr>
          <w:p w14:paraId="28831932" w14:textId="77777777" w:rsidR="00295BCD" w:rsidRPr="001927D6" w:rsidRDefault="00295BCD">
            <w:pPr>
              <w:spacing w:after="0" w:line="240" w:lineRule="auto"/>
              <w:textAlignment w:val="baseline"/>
              <w:rPr>
                <w:szCs w:val="24"/>
                <w:lang w:eastAsia="et-EE"/>
              </w:rPr>
            </w:pPr>
            <w:r w:rsidRPr="001927D6">
              <w:rPr>
                <w:szCs w:val="24"/>
                <w:lang w:eastAsia="et-EE"/>
              </w:rPr>
              <w:t>Minestus ja kollaps, kht-ta </w:t>
            </w:r>
          </w:p>
        </w:tc>
        <w:tc>
          <w:tcPr>
            <w:tcW w:w="732" w:type="dxa"/>
            <w:vAlign w:val="center"/>
            <w:hideMark/>
          </w:tcPr>
          <w:p w14:paraId="486A4A76" w14:textId="77777777" w:rsidR="00295BCD" w:rsidRPr="001927D6" w:rsidRDefault="00295BCD">
            <w:pPr>
              <w:spacing w:after="0" w:line="240" w:lineRule="auto"/>
              <w:jc w:val="center"/>
              <w:textAlignment w:val="baseline"/>
              <w:rPr>
                <w:szCs w:val="24"/>
                <w:lang w:eastAsia="et-EE"/>
              </w:rPr>
            </w:pPr>
            <w:r w:rsidRPr="001927D6">
              <w:rPr>
                <w:szCs w:val="24"/>
                <w:lang w:eastAsia="et-EE"/>
              </w:rPr>
              <w:t>142 </w:t>
            </w:r>
          </w:p>
        </w:tc>
        <w:tc>
          <w:tcPr>
            <w:tcW w:w="1243" w:type="dxa"/>
            <w:vAlign w:val="center"/>
          </w:tcPr>
          <w:p w14:paraId="30B76CA8" w14:textId="77777777" w:rsidR="00295BCD" w:rsidRPr="001927D6" w:rsidRDefault="00295BCD">
            <w:pPr>
              <w:spacing w:after="0" w:line="240" w:lineRule="auto"/>
              <w:jc w:val="center"/>
              <w:textAlignment w:val="baseline"/>
              <w:rPr>
                <w:szCs w:val="24"/>
                <w:lang w:eastAsia="et-EE"/>
              </w:rPr>
            </w:pPr>
            <w:r w:rsidRPr="001927D6">
              <w:rPr>
                <w:color w:val="000000"/>
                <w:szCs w:val="24"/>
              </w:rPr>
              <w:t>1 030,30</w:t>
            </w:r>
          </w:p>
        </w:tc>
        <w:tc>
          <w:tcPr>
            <w:tcW w:w="1211" w:type="dxa"/>
            <w:vAlign w:val="center"/>
          </w:tcPr>
          <w:p w14:paraId="07D03011" w14:textId="77777777" w:rsidR="00295BCD" w:rsidRPr="001927D6" w:rsidRDefault="00295BCD">
            <w:pPr>
              <w:spacing w:after="0" w:line="240" w:lineRule="auto"/>
              <w:jc w:val="center"/>
              <w:textAlignment w:val="baseline"/>
              <w:rPr>
                <w:szCs w:val="24"/>
                <w:lang w:eastAsia="et-EE"/>
              </w:rPr>
            </w:pPr>
            <w:r w:rsidRPr="001927D6">
              <w:rPr>
                <w:color w:val="000000"/>
                <w:szCs w:val="24"/>
              </w:rPr>
              <w:t>422,67</w:t>
            </w:r>
          </w:p>
        </w:tc>
        <w:tc>
          <w:tcPr>
            <w:tcW w:w="1238" w:type="dxa"/>
            <w:vAlign w:val="center"/>
          </w:tcPr>
          <w:p w14:paraId="58D0B725" w14:textId="77777777" w:rsidR="00295BCD" w:rsidRPr="001927D6" w:rsidRDefault="00295BCD">
            <w:pPr>
              <w:spacing w:after="0" w:line="240" w:lineRule="auto"/>
              <w:jc w:val="center"/>
              <w:textAlignment w:val="baseline"/>
              <w:rPr>
                <w:szCs w:val="24"/>
                <w:lang w:eastAsia="et-EE"/>
              </w:rPr>
            </w:pPr>
            <w:r w:rsidRPr="001927D6">
              <w:rPr>
                <w:color w:val="000000"/>
                <w:szCs w:val="24"/>
              </w:rPr>
              <w:t>2 196,82</w:t>
            </w:r>
          </w:p>
        </w:tc>
      </w:tr>
      <w:tr w:rsidR="00295BCD" w:rsidRPr="001927D6" w14:paraId="5C29154E" w14:textId="77777777" w:rsidTr="00295BCD">
        <w:trPr>
          <w:divId w:val="1316184749"/>
          <w:trHeight w:val="300"/>
        </w:trPr>
        <w:tc>
          <w:tcPr>
            <w:tcW w:w="4632" w:type="dxa"/>
            <w:vAlign w:val="bottom"/>
            <w:hideMark/>
          </w:tcPr>
          <w:p w14:paraId="07771F11" w14:textId="77777777" w:rsidR="00295BCD" w:rsidRPr="001927D6" w:rsidRDefault="00295BCD">
            <w:pPr>
              <w:spacing w:after="0" w:line="240" w:lineRule="auto"/>
              <w:textAlignment w:val="baseline"/>
              <w:rPr>
                <w:szCs w:val="24"/>
                <w:lang w:eastAsia="et-EE"/>
              </w:rPr>
            </w:pPr>
            <w:r w:rsidRPr="001927D6">
              <w:rPr>
                <w:szCs w:val="24"/>
                <w:lang w:eastAsia="et-EE"/>
              </w:rPr>
              <w:t>Rindkere valud </w:t>
            </w:r>
          </w:p>
        </w:tc>
        <w:tc>
          <w:tcPr>
            <w:tcW w:w="732" w:type="dxa"/>
            <w:vAlign w:val="center"/>
            <w:hideMark/>
          </w:tcPr>
          <w:p w14:paraId="7FEF7623" w14:textId="77777777" w:rsidR="00295BCD" w:rsidRPr="001927D6" w:rsidRDefault="00295BCD">
            <w:pPr>
              <w:spacing w:after="0" w:line="240" w:lineRule="auto"/>
              <w:jc w:val="center"/>
              <w:textAlignment w:val="baseline"/>
              <w:rPr>
                <w:szCs w:val="24"/>
                <w:lang w:eastAsia="et-EE"/>
              </w:rPr>
            </w:pPr>
            <w:r w:rsidRPr="001927D6">
              <w:rPr>
                <w:szCs w:val="24"/>
                <w:lang w:eastAsia="et-EE"/>
              </w:rPr>
              <w:t>143 </w:t>
            </w:r>
          </w:p>
        </w:tc>
        <w:tc>
          <w:tcPr>
            <w:tcW w:w="1243" w:type="dxa"/>
            <w:vAlign w:val="center"/>
          </w:tcPr>
          <w:p w14:paraId="209407F1" w14:textId="77777777" w:rsidR="00295BCD" w:rsidRPr="001927D6" w:rsidRDefault="00295BCD">
            <w:pPr>
              <w:spacing w:after="0" w:line="240" w:lineRule="auto"/>
              <w:jc w:val="center"/>
              <w:textAlignment w:val="baseline"/>
              <w:rPr>
                <w:szCs w:val="24"/>
                <w:lang w:eastAsia="et-EE"/>
              </w:rPr>
            </w:pPr>
            <w:r w:rsidRPr="001927D6">
              <w:rPr>
                <w:color w:val="000000"/>
                <w:szCs w:val="24"/>
              </w:rPr>
              <w:t>1 438,55</w:t>
            </w:r>
          </w:p>
        </w:tc>
        <w:tc>
          <w:tcPr>
            <w:tcW w:w="1211" w:type="dxa"/>
            <w:vAlign w:val="center"/>
          </w:tcPr>
          <w:p w14:paraId="6A015954" w14:textId="77777777" w:rsidR="00295BCD" w:rsidRPr="001927D6" w:rsidRDefault="00295BCD">
            <w:pPr>
              <w:spacing w:after="0" w:line="240" w:lineRule="auto"/>
              <w:jc w:val="center"/>
              <w:textAlignment w:val="baseline"/>
              <w:rPr>
                <w:szCs w:val="24"/>
                <w:lang w:eastAsia="et-EE"/>
              </w:rPr>
            </w:pPr>
            <w:r w:rsidRPr="001927D6">
              <w:rPr>
                <w:color w:val="000000"/>
                <w:szCs w:val="24"/>
              </w:rPr>
              <w:t>426,58</w:t>
            </w:r>
          </w:p>
        </w:tc>
        <w:tc>
          <w:tcPr>
            <w:tcW w:w="1238" w:type="dxa"/>
            <w:vAlign w:val="center"/>
          </w:tcPr>
          <w:p w14:paraId="50CCCEDF" w14:textId="77777777" w:rsidR="00295BCD" w:rsidRPr="001927D6" w:rsidRDefault="00295BCD">
            <w:pPr>
              <w:spacing w:after="0" w:line="240" w:lineRule="auto"/>
              <w:jc w:val="center"/>
              <w:textAlignment w:val="baseline"/>
              <w:rPr>
                <w:szCs w:val="24"/>
                <w:lang w:eastAsia="et-EE"/>
              </w:rPr>
            </w:pPr>
            <w:r w:rsidRPr="001927D6">
              <w:rPr>
                <w:color w:val="000000"/>
                <w:szCs w:val="24"/>
              </w:rPr>
              <w:t>2 790,70</w:t>
            </w:r>
          </w:p>
        </w:tc>
      </w:tr>
      <w:tr w:rsidR="00295BCD" w:rsidRPr="001927D6" w14:paraId="05770FE4" w14:textId="77777777" w:rsidTr="00295BCD">
        <w:trPr>
          <w:divId w:val="1316184749"/>
          <w:trHeight w:val="300"/>
        </w:trPr>
        <w:tc>
          <w:tcPr>
            <w:tcW w:w="4632" w:type="dxa"/>
            <w:vAlign w:val="bottom"/>
            <w:hideMark/>
          </w:tcPr>
          <w:p w14:paraId="2F233870" w14:textId="77777777" w:rsidR="00295BCD" w:rsidRPr="001927D6" w:rsidRDefault="00295BCD">
            <w:pPr>
              <w:spacing w:after="0" w:line="240" w:lineRule="auto"/>
              <w:textAlignment w:val="baseline"/>
              <w:rPr>
                <w:szCs w:val="24"/>
                <w:lang w:eastAsia="et-EE"/>
              </w:rPr>
            </w:pPr>
            <w:r w:rsidRPr="001927D6">
              <w:rPr>
                <w:szCs w:val="24"/>
                <w:lang w:eastAsia="et-EE"/>
              </w:rPr>
              <w:t>Vereringesüsteemi muud haigused, kht-ga </w:t>
            </w:r>
          </w:p>
        </w:tc>
        <w:tc>
          <w:tcPr>
            <w:tcW w:w="732" w:type="dxa"/>
            <w:vAlign w:val="center"/>
            <w:hideMark/>
          </w:tcPr>
          <w:p w14:paraId="7538F820" w14:textId="77777777" w:rsidR="00295BCD" w:rsidRPr="001927D6" w:rsidRDefault="00295BCD">
            <w:pPr>
              <w:spacing w:after="0" w:line="240" w:lineRule="auto"/>
              <w:jc w:val="center"/>
              <w:textAlignment w:val="baseline"/>
              <w:rPr>
                <w:szCs w:val="24"/>
                <w:lang w:eastAsia="et-EE"/>
              </w:rPr>
            </w:pPr>
            <w:r w:rsidRPr="001927D6">
              <w:rPr>
                <w:szCs w:val="24"/>
                <w:lang w:eastAsia="et-EE"/>
              </w:rPr>
              <w:t>144 </w:t>
            </w:r>
          </w:p>
        </w:tc>
        <w:tc>
          <w:tcPr>
            <w:tcW w:w="1243" w:type="dxa"/>
            <w:vAlign w:val="center"/>
          </w:tcPr>
          <w:p w14:paraId="2593E2DB" w14:textId="77777777" w:rsidR="00295BCD" w:rsidRPr="001927D6" w:rsidRDefault="00295BCD">
            <w:pPr>
              <w:spacing w:after="0" w:line="240" w:lineRule="auto"/>
              <w:jc w:val="center"/>
              <w:textAlignment w:val="baseline"/>
              <w:rPr>
                <w:szCs w:val="24"/>
                <w:lang w:eastAsia="et-EE"/>
              </w:rPr>
            </w:pPr>
            <w:r w:rsidRPr="001927D6">
              <w:rPr>
                <w:color w:val="000000"/>
                <w:szCs w:val="24"/>
              </w:rPr>
              <w:t>2 965,23</w:t>
            </w:r>
          </w:p>
        </w:tc>
        <w:tc>
          <w:tcPr>
            <w:tcW w:w="1211" w:type="dxa"/>
            <w:vAlign w:val="center"/>
          </w:tcPr>
          <w:p w14:paraId="3572AF85" w14:textId="77777777" w:rsidR="00295BCD" w:rsidRPr="001927D6" w:rsidRDefault="00295BCD">
            <w:pPr>
              <w:spacing w:after="0" w:line="240" w:lineRule="auto"/>
              <w:jc w:val="center"/>
              <w:textAlignment w:val="baseline"/>
              <w:rPr>
                <w:szCs w:val="24"/>
                <w:lang w:eastAsia="et-EE"/>
              </w:rPr>
            </w:pPr>
            <w:r w:rsidRPr="001927D6">
              <w:rPr>
                <w:color w:val="000000"/>
                <w:szCs w:val="24"/>
              </w:rPr>
              <w:t>518,97</w:t>
            </w:r>
          </w:p>
        </w:tc>
        <w:tc>
          <w:tcPr>
            <w:tcW w:w="1238" w:type="dxa"/>
            <w:vAlign w:val="center"/>
          </w:tcPr>
          <w:p w14:paraId="0BC4517E" w14:textId="77777777" w:rsidR="00295BCD" w:rsidRPr="001927D6" w:rsidRDefault="00295BCD">
            <w:pPr>
              <w:spacing w:after="0" w:line="240" w:lineRule="auto"/>
              <w:jc w:val="center"/>
              <w:textAlignment w:val="baseline"/>
              <w:rPr>
                <w:szCs w:val="24"/>
                <w:lang w:eastAsia="et-EE"/>
              </w:rPr>
            </w:pPr>
            <w:r w:rsidRPr="001927D6">
              <w:rPr>
                <w:color w:val="000000"/>
                <w:szCs w:val="24"/>
              </w:rPr>
              <w:t>7 395,21</w:t>
            </w:r>
          </w:p>
        </w:tc>
      </w:tr>
      <w:tr w:rsidR="00295BCD" w:rsidRPr="001927D6" w14:paraId="1246DC9C" w14:textId="77777777" w:rsidTr="00295BCD">
        <w:trPr>
          <w:divId w:val="1316184749"/>
          <w:trHeight w:val="300"/>
        </w:trPr>
        <w:tc>
          <w:tcPr>
            <w:tcW w:w="4632" w:type="dxa"/>
            <w:vAlign w:val="bottom"/>
            <w:hideMark/>
          </w:tcPr>
          <w:p w14:paraId="43A94B62" w14:textId="77777777" w:rsidR="00295BCD" w:rsidRPr="001927D6" w:rsidRDefault="00295BCD">
            <w:pPr>
              <w:spacing w:after="0" w:line="240" w:lineRule="auto"/>
              <w:textAlignment w:val="baseline"/>
              <w:rPr>
                <w:szCs w:val="24"/>
                <w:lang w:eastAsia="et-EE"/>
              </w:rPr>
            </w:pPr>
            <w:r w:rsidRPr="001927D6">
              <w:rPr>
                <w:szCs w:val="24"/>
                <w:lang w:eastAsia="et-EE"/>
              </w:rPr>
              <w:t>Vereringesüsteemi muud haigused, kht-ta </w:t>
            </w:r>
          </w:p>
        </w:tc>
        <w:tc>
          <w:tcPr>
            <w:tcW w:w="732" w:type="dxa"/>
            <w:vAlign w:val="center"/>
            <w:hideMark/>
          </w:tcPr>
          <w:p w14:paraId="50BDD939" w14:textId="77777777" w:rsidR="00295BCD" w:rsidRPr="001927D6" w:rsidRDefault="00295BCD">
            <w:pPr>
              <w:spacing w:after="0" w:line="240" w:lineRule="auto"/>
              <w:jc w:val="center"/>
              <w:textAlignment w:val="baseline"/>
              <w:rPr>
                <w:szCs w:val="24"/>
                <w:lang w:eastAsia="et-EE"/>
              </w:rPr>
            </w:pPr>
            <w:r w:rsidRPr="001927D6">
              <w:rPr>
                <w:szCs w:val="24"/>
                <w:lang w:eastAsia="et-EE"/>
              </w:rPr>
              <w:t>145 </w:t>
            </w:r>
          </w:p>
        </w:tc>
        <w:tc>
          <w:tcPr>
            <w:tcW w:w="1243" w:type="dxa"/>
            <w:vAlign w:val="center"/>
          </w:tcPr>
          <w:p w14:paraId="1E434BC2" w14:textId="77777777" w:rsidR="00295BCD" w:rsidRPr="001927D6" w:rsidRDefault="00295BCD">
            <w:pPr>
              <w:spacing w:after="0" w:line="240" w:lineRule="auto"/>
              <w:jc w:val="center"/>
              <w:textAlignment w:val="baseline"/>
              <w:rPr>
                <w:szCs w:val="24"/>
                <w:lang w:eastAsia="et-EE"/>
              </w:rPr>
            </w:pPr>
            <w:r w:rsidRPr="001927D6">
              <w:rPr>
                <w:color w:val="000000"/>
                <w:szCs w:val="24"/>
              </w:rPr>
              <w:t>1 667,03</w:t>
            </w:r>
          </w:p>
        </w:tc>
        <w:tc>
          <w:tcPr>
            <w:tcW w:w="1211" w:type="dxa"/>
            <w:vAlign w:val="center"/>
          </w:tcPr>
          <w:p w14:paraId="16BE021C" w14:textId="77777777" w:rsidR="00295BCD" w:rsidRPr="001927D6" w:rsidRDefault="00295BCD">
            <w:pPr>
              <w:spacing w:after="0" w:line="240" w:lineRule="auto"/>
              <w:jc w:val="center"/>
              <w:textAlignment w:val="baseline"/>
              <w:rPr>
                <w:szCs w:val="24"/>
                <w:lang w:eastAsia="et-EE"/>
              </w:rPr>
            </w:pPr>
            <w:r w:rsidRPr="001927D6">
              <w:rPr>
                <w:color w:val="000000"/>
                <w:szCs w:val="24"/>
              </w:rPr>
              <w:t>318,31</w:t>
            </w:r>
          </w:p>
        </w:tc>
        <w:tc>
          <w:tcPr>
            <w:tcW w:w="1238" w:type="dxa"/>
            <w:vAlign w:val="center"/>
          </w:tcPr>
          <w:p w14:paraId="12639B3B" w14:textId="77777777" w:rsidR="00295BCD" w:rsidRPr="001927D6" w:rsidRDefault="00295BCD">
            <w:pPr>
              <w:spacing w:after="0" w:line="240" w:lineRule="auto"/>
              <w:jc w:val="center"/>
              <w:textAlignment w:val="baseline"/>
              <w:rPr>
                <w:szCs w:val="24"/>
                <w:lang w:eastAsia="et-EE"/>
              </w:rPr>
            </w:pPr>
            <w:r w:rsidRPr="001927D6">
              <w:rPr>
                <w:color w:val="000000"/>
                <w:szCs w:val="24"/>
              </w:rPr>
              <w:t>5 120,51</w:t>
            </w:r>
          </w:p>
        </w:tc>
      </w:tr>
      <w:tr w:rsidR="00295BCD" w:rsidRPr="001927D6" w14:paraId="36C3A590" w14:textId="77777777" w:rsidTr="00295BCD">
        <w:trPr>
          <w:divId w:val="1316184749"/>
          <w:trHeight w:val="300"/>
        </w:trPr>
        <w:tc>
          <w:tcPr>
            <w:tcW w:w="4632" w:type="dxa"/>
            <w:vAlign w:val="bottom"/>
            <w:hideMark/>
          </w:tcPr>
          <w:p w14:paraId="438A0CA9" w14:textId="77777777" w:rsidR="00295BCD" w:rsidRPr="001927D6" w:rsidRDefault="00295BCD">
            <w:pPr>
              <w:spacing w:after="0" w:line="240" w:lineRule="auto"/>
              <w:textAlignment w:val="baseline"/>
              <w:rPr>
                <w:szCs w:val="24"/>
                <w:lang w:eastAsia="et-EE"/>
              </w:rPr>
            </w:pPr>
            <w:r w:rsidRPr="001927D6">
              <w:rPr>
                <w:szCs w:val="24"/>
                <w:lang w:eastAsia="et-EE"/>
              </w:rPr>
              <w:t>Pärasoole resektsioon, kht-ga </w:t>
            </w:r>
          </w:p>
        </w:tc>
        <w:tc>
          <w:tcPr>
            <w:tcW w:w="732" w:type="dxa"/>
            <w:vAlign w:val="center"/>
            <w:hideMark/>
          </w:tcPr>
          <w:p w14:paraId="22148DE2" w14:textId="77777777" w:rsidR="00295BCD" w:rsidRPr="001927D6" w:rsidRDefault="00295BCD">
            <w:pPr>
              <w:spacing w:after="0" w:line="240" w:lineRule="auto"/>
              <w:jc w:val="center"/>
              <w:textAlignment w:val="baseline"/>
              <w:rPr>
                <w:szCs w:val="24"/>
                <w:lang w:eastAsia="et-EE"/>
              </w:rPr>
            </w:pPr>
            <w:r w:rsidRPr="001927D6">
              <w:rPr>
                <w:szCs w:val="24"/>
                <w:lang w:eastAsia="et-EE"/>
              </w:rPr>
              <w:t>146 </w:t>
            </w:r>
          </w:p>
        </w:tc>
        <w:tc>
          <w:tcPr>
            <w:tcW w:w="1243" w:type="dxa"/>
            <w:vAlign w:val="center"/>
          </w:tcPr>
          <w:p w14:paraId="0993CC74" w14:textId="77777777" w:rsidR="00295BCD" w:rsidRPr="001927D6" w:rsidRDefault="00295BCD">
            <w:pPr>
              <w:spacing w:after="0" w:line="240" w:lineRule="auto"/>
              <w:jc w:val="center"/>
              <w:textAlignment w:val="baseline"/>
              <w:rPr>
                <w:szCs w:val="24"/>
                <w:lang w:eastAsia="et-EE"/>
              </w:rPr>
            </w:pPr>
            <w:r w:rsidRPr="001927D6">
              <w:rPr>
                <w:color w:val="000000"/>
                <w:szCs w:val="24"/>
              </w:rPr>
              <w:t>11 564,13</w:t>
            </w:r>
          </w:p>
        </w:tc>
        <w:tc>
          <w:tcPr>
            <w:tcW w:w="1211" w:type="dxa"/>
            <w:vAlign w:val="center"/>
          </w:tcPr>
          <w:p w14:paraId="06173E35" w14:textId="77777777" w:rsidR="00295BCD" w:rsidRPr="001927D6" w:rsidRDefault="00295BCD">
            <w:pPr>
              <w:spacing w:after="0" w:line="240" w:lineRule="auto"/>
              <w:jc w:val="center"/>
              <w:textAlignment w:val="baseline"/>
              <w:rPr>
                <w:szCs w:val="24"/>
                <w:lang w:eastAsia="et-EE"/>
              </w:rPr>
            </w:pPr>
            <w:r w:rsidRPr="001927D6">
              <w:rPr>
                <w:color w:val="000000"/>
                <w:szCs w:val="24"/>
              </w:rPr>
              <w:t>5 510,57</w:t>
            </w:r>
          </w:p>
        </w:tc>
        <w:tc>
          <w:tcPr>
            <w:tcW w:w="1238" w:type="dxa"/>
            <w:vAlign w:val="center"/>
          </w:tcPr>
          <w:p w14:paraId="44BA3658" w14:textId="77777777" w:rsidR="00295BCD" w:rsidRPr="001927D6" w:rsidRDefault="00295BCD">
            <w:pPr>
              <w:spacing w:after="0" w:line="240" w:lineRule="auto"/>
              <w:jc w:val="center"/>
              <w:textAlignment w:val="baseline"/>
              <w:rPr>
                <w:szCs w:val="24"/>
                <w:lang w:eastAsia="et-EE"/>
              </w:rPr>
            </w:pPr>
            <w:r w:rsidRPr="001927D6">
              <w:rPr>
                <w:color w:val="000000"/>
                <w:szCs w:val="24"/>
              </w:rPr>
              <w:t>22 151,20</w:t>
            </w:r>
          </w:p>
        </w:tc>
      </w:tr>
      <w:tr w:rsidR="00295BCD" w:rsidRPr="001927D6" w14:paraId="336316D4" w14:textId="77777777" w:rsidTr="00295BCD">
        <w:trPr>
          <w:divId w:val="1316184749"/>
          <w:trHeight w:val="300"/>
        </w:trPr>
        <w:tc>
          <w:tcPr>
            <w:tcW w:w="4632" w:type="dxa"/>
            <w:vAlign w:val="bottom"/>
            <w:hideMark/>
          </w:tcPr>
          <w:p w14:paraId="0AB345C1" w14:textId="77777777" w:rsidR="00295BCD" w:rsidRPr="001927D6" w:rsidRDefault="00295BCD">
            <w:pPr>
              <w:spacing w:after="0" w:line="240" w:lineRule="auto"/>
              <w:textAlignment w:val="baseline"/>
              <w:rPr>
                <w:szCs w:val="24"/>
                <w:lang w:eastAsia="et-EE"/>
              </w:rPr>
            </w:pPr>
            <w:r w:rsidRPr="001927D6">
              <w:rPr>
                <w:szCs w:val="24"/>
                <w:lang w:eastAsia="et-EE"/>
              </w:rPr>
              <w:t>Pärasoole resektsioon, kht-ta </w:t>
            </w:r>
          </w:p>
        </w:tc>
        <w:tc>
          <w:tcPr>
            <w:tcW w:w="732" w:type="dxa"/>
            <w:vAlign w:val="center"/>
            <w:hideMark/>
          </w:tcPr>
          <w:p w14:paraId="1A87B8AF" w14:textId="77777777" w:rsidR="00295BCD" w:rsidRPr="001927D6" w:rsidRDefault="00295BCD">
            <w:pPr>
              <w:spacing w:after="0" w:line="240" w:lineRule="auto"/>
              <w:jc w:val="center"/>
              <w:textAlignment w:val="baseline"/>
              <w:rPr>
                <w:szCs w:val="24"/>
                <w:lang w:eastAsia="et-EE"/>
              </w:rPr>
            </w:pPr>
            <w:r w:rsidRPr="001927D6">
              <w:rPr>
                <w:szCs w:val="24"/>
                <w:lang w:eastAsia="et-EE"/>
              </w:rPr>
              <w:t>147 </w:t>
            </w:r>
          </w:p>
        </w:tc>
        <w:tc>
          <w:tcPr>
            <w:tcW w:w="1243" w:type="dxa"/>
            <w:vAlign w:val="center"/>
          </w:tcPr>
          <w:p w14:paraId="63C4D48F" w14:textId="77777777" w:rsidR="00295BCD" w:rsidRPr="001927D6" w:rsidRDefault="00295BCD">
            <w:pPr>
              <w:spacing w:after="0" w:line="240" w:lineRule="auto"/>
              <w:jc w:val="center"/>
              <w:textAlignment w:val="baseline"/>
              <w:rPr>
                <w:szCs w:val="24"/>
                <w:lang w:eastAsia="et-EE"/>
              </w:rPr>
            </w:pPr>
            <w:r w:rsidRPr="001927D6">
              <w:rPr>
                <w:color w:val="000000"/>
                <w:szCs w:val="24"/>
              </w:rPr>
              <w:t>6 877,08</w:t>
            </w:r>
          </w:p>
        </w:tc>
        <w:tc>
          <w:tcPr>
            <w:tcW w:w="1211" w:type="dxa"/>
            <w:vAlign w:val="center"/>
          </w:tcPr>
          <w:p w14:paraId="111B5AA1" w14:textId="77777777" w:rsidR="00295BCD" w:rsidRPr="001927D6" w:rsidRDefault="00295BCD">
            <w:pPr>
              <w:spacing w:after="0" w:line="240" w:lineRule="auto"/>
              <w:jc w:val="center"/>
              <w:textAlignment w:val="baseline"/>
              <w:rPr>
                <w:szCs w:val="24"/>
                <w:lang w:eastAsia="et-EE"/>
              </w:rPr>
            </w:pPr>
            <w:r w:rsidRPr="001927D6">
              <w:rPr>
                <w:color w:val="000000"/>
                <w:szCs w:val="24"/>
              </w:rPr>
              <w:t>5 367,56</w:t>
            </w:r>
          </w:p>
        </w:tc>
        <w:tc>
          <w:tcPr>
            <w:tcW w:w="1238" w:type="dxa"/>
            <w:vAlign w:val="center"/>
          </w:tcPr>
          <w:p w14:paraId="61707C72" w14:textId="77777777" w:rsidR="00295BCD" w:rsidRPr="001927D6" w:rsidRDefault="00295BCD">
            <w:pPr>
              <w:spacing w:after="0" w:line="240" w:lineRule="auto"/>
              <w:jc w:val="center"/>
              <w:textAlignment w:val="baseline"/>
              <w:rPr>
                <w:szCs w:val="24"/>
                <w:lang w:eastAsia="et-EE"/>
              </w:rPr>
            </w:pPr>
            <w:r w:rsidRPr="001927D6">
              <w:rPr>
                <w:color w:val="000000"/>
                <w:szCs w:val="24"/>
              </w:rPr>
              <w:t>8 966,39</w:t>
            </w:r>
          </w:p>
        </w:tc>
      </w:tr>
      <w:tr w:rsidR="00295BCD" w:rsidRPr="001927D6" w14:paraId="65FA06F5" w14:textId="77777777" w:rsidTr="00295BCD">
        <w:trPr>
          <w:divId w:val="1316184749"/>
          <w:trHeight w:val="300"/>
        </w:trPr>
        <w:tc>
          <w:tcPr>
            <w:tcW w:w="4632" w:type="dxa"/>
            <w:vAlign w:val="bottom"/>
            <w:hideMark/>
          </w:tcPr>
          <w:p w14:paraId="7B6F8EB1" w14:textId="77777777" w:rsidR="00295BCD" w:rsidRPr="001927D6" w:rsidRDefault="00295BCD">
            <w:pPr>
              <w:spacing w:after="0" w:line="240" w:lineRule="auto"/>
              <w:textAlignment w:val="baseline"/>
              <w:rPr>
                <w:szCs w:val="24"/>
                <w:lang w:eastAsia="et-EE"/>
              </w:rPr>
            </w:pPr>
            <w:r w:rsidRPr="001927D6">
              <w:rPr>
                <w:szCs w:val="24"/>
                <w:lang w:eastAsia="et-EE"/>
              </w:rPr>
              <w:t>Pärasoole resektsioon, lühike ravi </w:t>
            </w:r>
          </w:p>
        </w:tc>
        <w:tc>
          <w:tcPr>
            <w:tcW w:w="732" w:type="dxa"/>
            <w:vAlign w:val="center"/>
            <w:hideMark/>
          </w:tcPr>
          <w:p w14:paraId="01C207AD" w14:textId="77777777" w:rsidR="00295BCD" w:rsidRPr="001927D6" w:rsidRDefault="00295BCD">
            <w:pPr>
              <w:spacing w:after="0" w:line="240" w:lineRule="auto"/>
              <w:jc w:val="center"/>
              <w:textAlignment w:val="baseline"/>
              <w:rPr>
                <w:szCs w:val="24"/>
                <w:lang w:eastAsia="et-EE"/>
              </w:rPr>
            </w:pPr>
            <w:r w:rsidRPr="001927D6">
              <w:rPr>
                <w:szCs w:val="24"/>
                <w:lang w:eastAsia="et-EE"/>
              </w:rPr>
              <w:t>147O </w:t>
            </w:r>
          </w:p>
        </w:tc>
        <w:tc>
          <w:tcPr>
            <w:tcW w:w="1243" w:type="dxa"/>
            <w:vAlign w:val="center"/>
          </w:tcPr>
          <w:p w14:paraId="0BAD3691" w14:textId="77777777" w:rsidR="00295BCD" w:rsidRPr="001927D6" w:rsidRDefault="00295BCD">
            <w:pPr>
              <w:spacing w:after="0" w:line="240" w:lineRule="auto"/>
              <w:jc w:val="center"/>
              <w:textAlignment w:val="baseline"/>
              <w:rPr>
                <w:szCs w:val="24"/>
                <w:lang w:eastAsia="et-EE"/>
              </w:rPr>
            </w:pPr>
            <w:r w:rsidRPr="001927D6">
              <w:rPr>
                <w:color w:val="000000"/>
                <w:szCs w:val="24"/>
              </w:rPr>
              <w:t>2 261,36</w:t>
            </w:r>
          </w:p>
        </w:tc>
        <w:tc>
          <w:tcPr>
            <w:tcW w:w="1211" w:type="dxa"/>
            <w:vAlign w:val="center"/>
          </w:tcPr>
          <w:p w14:paraId="0F130D6E" w14:textId="77777777" w:rsidR="00295BCD" w:rsidRPr="001927D6" w:rsidRDefault="00295BCD">
            <w:pPr>
              <w:spacing w:after="0" w:line="240" w:lineRule="auto"/>
              <w:jc w:val="center"/>
              <w:textAlignment w:val="baseline"/>
              <w:rPr>
                <w:szCs w:val="24"/>
                <w:lang w:eastAsia="et-EE"/>
              </w:rPr>
            </w:pPr>
            <w:r w:rsidRPr="001927D6">
              <w:rPr>
                <w:color w:val="000000"/>
                <w:szCs w:val="24"/>
              </w:rPr>
              <w:t>1 073,17</w:t>
            </w:r>
          </w:p>
        </w:tc>
        <w:tc>
          <w:tcPr>
            <w:tcW w:w="1238" w:type="dxa"/>
            <w:vAlign w:val="center"/>
          </w:tcPr>
          <w:p w14:paraId="68F6FAA2" w14:textId="77777777" w:rsidR="00295BCD" w:rsidRPr="001927D6" w:rsidRDefault="00295BCD">
            <w:pPr>
              <w:spacing w:after="0" w:line="240" w:lineRule="auto"/>
              <w:jc w:val="center"/>
              <w:textAlignment w:val="baseline"/>
              <w:rPr>
                <w:szCs w:val="24"/>
                <w:lang w:eastAsia="et-EE"/>
              </w:rPr>
            </w:pPr>
            <w:r w:rsidRPr="001927D6">
              <w:rPr>
                <w:color w:val="000000"/>
                <w:szCs w:val="24"/>
              </w:rPr>
              <w:t>4 584,05</w:t>
            </w:r>
          </w:p>
        </w:tc>
      </w:tr>
      <w:tr w:rsidR="00295BCD" w:rsidRPr="001927D6" w14:paraId="419D53CE" w14:textId="77777777" w:rsidTr="00295BCD">
        <w:trPr>
          <w:divId w:val="1316184749"/>
          <w:trHeight w:val="300"/>
        </w:trPr>
        <w:tc>
          <w:tcPr>
            <w:tcW w:w="4632" w:type="dxa"/>
            <w:vAlign w:val="bottom"/>
            <w:hideMark/>
          </w:tcPr>
          <w:p w14:paraId="43E9CEF4" w14:textId="77777777" w:rsidR="00295BCD" w:rsidRPr="001927D6" w:rsidRDefault="00295BCD">
            <w:pPr>
              <w:spacing w:after="0" w:line="240" w:lineRule="auto"/>
              <w:textAlignment w:val="baseline"/>
              <w:rPr>
                <w:szCs w:val="24"/>
                <w:lang w:eastAsia="et-EE"/>
              </w:rPr>
            </w:pPr>
            <w:r w:rsidRPr="001927D6">
              <w:rPr>
                <w:szCs w:val="24"/>
                <w:lang w:eastAsia="et-EE"/>
              </w:rPr>
              <w:t>Peen- ja jämesoole suured operatsioonid, kht-ga </w:t>
            </w:r>
          </w:p>
        </w:tc>
        <w:tc>
          <w:tcPr>
            <w:tcW w:w="732" w:type="dxa"/>
            <w:vAlign w:val="center"/>
            <w:hideMark/>
          </w:tcPr>
          <w:p w14:paraId="7BB53A55" w14:textId="77777777" w:rsidR="00295BCD" w:rsidRPr="001927D6" w:rsidRDefault="00295BCD">
            <w:pPr>
              <w:spacing w:after="0" w:line="240" w:lineRule="auto"/>
              <w:jc w:val="center"/>
              <w:textAlignment w:val="baseline"/>
              <w:rPr>
                <w:szCs w:val="24"/>
                <w:lang w:eastAsia="et-EE"/>
              </w:rPr>
            </w:pPr>
            <w:r w:rsidRPr="001927D6">
              <w:rPr>
                <w:szCs w:val="24"/>
                <w:lang w:eastAsia="et-EE"/>
              </w:rPr>
              <w:t>148 </w:t>
            </w:r>
          </w:p>
        </w:tc>
        <w:tc>
          <w:tcPr>
            <w:tcW w:w="1243" w:type="dxa"/>
            <w:vAlign w:val="center"/>
          </w:tcPr>
          <w:p w14:paraId="728BCAF5" w14:textId="77777777" w:rsidR="00295BCD" w:rsidRPr="001927D6" w:rsidRDefault="00295BCD">
            <w:pPr>
              <w:spacing w:after="0" w:line="240" w:lineRule="auto"/>
              <w:jc w:val="center"/>
              <w:textAlignment w:val="baseline"/>
              <w:rPr>
                <w:szCs w:val="24"/>
                <w:lang w:eastAsia="et-EE"/>
              </w:rPr>
            </w:pPr>
            <w:r w:rsidRPr="001927D6">
              <w:rPr>
                <w:color w:val="000000"/>
                <w:szCs w:val="24"/>
              </w:rPr>
              <w:t>9 493,47</w:t>
            </w:r>
          </w:p>
        </w:tc>
        <w:tc>
          <w:tcPr>
            <w:tcW w:w="1211" w:type="dxa"/>
            <w:vAlign w:val="center"/>
          </w:tcPr>
          <w:p w14:paraId="77F61169" w14:textId="77777777" w:rsidR="00295BCD" w:rsidRPr="001927D6" w:rsidRDefault="00295BCD">
            <w:pPr>
              <w:spacing w:after="0" w:line="240" w:lineRule="auto"/>
              <w:jc w:val="center"/>
              <w:textAlignment w:val="baseline"/>
              <w:rPr>
                <w:szCs w:val="24"/>
                <w:lang w:eastAsia="et-EE"/>
              </w:rPr>
            </w:pPr>
            <w:r w:rsidRPr="001927D6">
              <w:rPr>
                <w:color w:val="000000"/>
                <w:szCs w:val="24"/>
              </w:rPr>
              <w:t>3 589,24</w:t>
            </w:r>
          </w:p>
        </w:tc>
        <w:tc>
          <w:tcPr>
            <w:tcW w:w="1238" w:type="dxa"/>
            <w:vAlign w:val="center"/>
          </w:tcPr>
          <w:p w14:paraId="3606E574" w14:textId="77777777" w:rsidR="00295BCD" w:rsidRPr="001927D6" w:rsidRDefault="00295BCD">
            <w:pPr>
              <w:spacing w:after="0" w:line="240" w:lineRule="auto"/>
              <w:jc w:val="center"/>
              <w:textAlignment w:val="baseline"/>
              <w:rPr>
                <w:szCs w:val="24"/>
                <w:lang w:eastAsia="et-EE"/>
              </w:rPr>
            </w:pPr>
            <w:r w:rsidRPr="001927D6">
              <w:rPr>
                <w:color w:val="000000"/>
                <w:szCs w:val="24"/>
              </w:rPr>
              <w:t>24 455,69</w:t>
            </w:r>
          </w:p>
        </w:tc>
      </w:tr>
      <w:tr w:rsidR="00295BCD" w:rsidRPr="001927D6" w14:paraId="13E96903" w14:textId="77777777" w:rsidTr="00295BCD">
        <w:trPr>
          <w:divId w:val="1316184749"/>
          <w:trHeight w:val="300"/>
        </w:trPr>
        <w:tc>
          <w:tcPr>
            <w:tcW w:w="4632" w:type="dxa"/>
            <w:vAlign w:val="bottom"/>
            <w:hideMark/>
          </w:tcPr>
          <w:p w14:paraId="4BA4D64F" w14:textId="77777777" w:rsidR="00295BCD" w:rsidRPr="001927D6" w:rsidRDefault="00295BCD">
            <w:pPr>
              <w:spacing w:after="0" w:line="240" w:lineRule="auto"/>
              <w:textAlignment w:val="baseline"/>
              <w:rPr>
                <w:szCs w:val="24"/>
                <w:lang w:eastAsia="et-EE"/>
              </w:rPr>
            </w:pPr>
            <w:r w:rsidRPr="001927D6">
              <w:rPr>
                <w:szCs w:val="24"/>
                <w:lang w:eastAsia="et-EE"/>
              </w:rPr>
              <w:t>Peen- ja jämesoole suured operatsioonid, kht-ta </w:t>
            </w:r>
          </w:p>
        </w:tc>
        <w:tc>
          <w:tcPr>
            <w:tcW w:w="732" w:type="dxa"/>
            <w:vAlign w:val="center"/>
            <w:hideMark/>
          </w:tcPr>
          <w:p w14:paraId="0DBE71B0" w14:textId="77777777" w:rsidR="00295BCD" w:rsidRPr="001927D6" w:rsidRDefault="00295BCD">
            <w:pPr>
              <w:spacing w:after="0" w:line="240" w:lineRule="auto"/>
              <w:jc w:val="center"/>
              <w:textAlignment w:val="baseline"/>
              <w:rPr>
                <w:szCs w:val="24"/>
                <w:lang w:eastAsia="et-EE"/>
              </w:rPr>
            </w:pPr>
            <w:r w:rsidRPr="001927D6">
              <w:rPr>
                <w:szCs w:val="24"/>
                <w:lang w:eastAsia="et-EE"/>
              </w:rPr>
              <w:t>149 </w:t>
            </w:r>
          </w:p>
        </w:tc>
        <w:tc>
          <w:tcPr>
            <w:tcW w:w="1243" w:type="dxa"/>
            <w:vAlign w:val="center"/>
          </w:tcPr>
          <w:p w14:paraId="5E1C305F" w14:textId="77777777" w:rsidR="00295BCD" w:rsidRPr="001927D6" w:rsidRDefault="00295BCD">
            <w:pPr>
              <w:spacing w:after="0" w:line="240" w:lineRule="auto"/>
              <w:jc w:val="center"/>
              <w:textAlignment w:val="baseline"/>
              <w:rPr>
                <w:szCs w:val="24"/>
                <w:lang w:eastAsia="et-EE"/>
              </w:rPr>
            </w:pPr>
            <w:r w:rsidRPr="001927D6">
              <w:rPr>
                <w:color w:val="000000"/>
                <w:szCs w:val="24"/>
              </w:rPr>
              <w:t>6 022,98</w:t>
            </w:r>
          </w:p>
        </w:tc>
        <w:tc>
          <w:tcPr>
            <w:tcW w:w="1211" w:type="dxa"/>
            <w:vAlign w:val="center"/>
          </w:tcPr>
          <w:p w14:paraId="7A7898A1" w14:textId="77777777" w:rsidR="00295BCD" w:rsidRPr="001927D6" w:rsidRDefault="00295BCD">
            <w:pPr>
              <w:spacing w:after="0" w:line="240" w:lineRule="auto"/>
              <w:jc w:val="center"/>
              <w:textAlignment w:val="baseline"/>
              <w:rPr>
                <w:szCs w:val="24"/>
                <w:lang w:eastAsia="et-EE"/>
              </w:rPr>
            </w:pPr>
            <w:r w:rsidRPr="001927D6">
              <w:rPr>
                <w:color w:val="000000"/>
                <w:szCs w:val="24"/>
              </w:rPr>
              <w:t>2 700,30</w:t>
            </w:r>
          </w:p>
        </w:tc>
        <w:tc>
          <w:tcPr>
            <w:tcW w:w="1238" w:type="dxa"/>
            <w:vAlign w:val="center"/>
          </w:tcPr>
          <w:p w14:paraId="7F845CCF" w14:textId="77777777" w:rsidR="00295BCD" w:rsidRPr="001927D6" w:rsidRDefault="00295BCD">
            <w:pPr>
              <w:spacing w:after="0" w:line="240" w:lineRule="auto"/>
              <w:jc w:val="center"/>
              <w:textAlignment w:val="baseline"/>
              <w:rPr>
                <w:szCs w:val="24"/>
                <w:lang w:eastAsia="et-EE"/>
              </w:rPr>
            </w:pPr>
            <w:r w:rsidRPr="001927D6">
              <w:rPr>
                <w:color w:val="000000"/>
                <w:szCs w:val="24"/>
              </w:rPr>
              <w:t>9 241,40</w:t>
            </w:r>
          </w:p>
        </w:tc>
      </w:tr>
      <w:tr w:rsidR="00295BCD" w:rsidRPr="001927D6" w14:paraId="3E309D64" w14:textId="77777777" w:rsidTr="00295BCD">
        <w:trPr>
          <w:divId w:val="1316184749"/>
          <w:trHeight w:val="300"/>
        </w:trPr>
        <w:tc>
          <w:tcPr>
            <w:tcW w:w="4632" w:type="dxa"/>
            <w:vAlign w:val="bottom"/>
            <w:hideMark/>
          </w:tcPr>
          <w:p w14:paraId="7C6E5CA5"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Peen- ja jämesoole suured operatsioonid, lühike ravi </w:t>
            </w:r>
          </w:p>
        </w:tc>
        <w:tc>
          <w:tcPr>
            <w:tcW w:w="732" w:type="dxa"/>
            <w:vAlign w:val="center"/>
            <w:hideMark/>
          </w:tcPr>
          <w:p w14:paraId="30E52DDD" w14:textId="77777777" w:rsidR="00295BCD" w:rsidRPr="001927D6" w:rsidRDefault="00295BCD">
            <w:pPr>
              <w:spacing w:after="0" w:line="240" w:lineRule="auto"/>
              <w:jc w:val="center"/>
              <w:textAlignment w:val="baseline"/>
              <w:rPr>
                <w:szCs w:val="24"/>
                <w:lang w:eastAsia="et-EE"/>
              </w:rPr>
            </w:pPr>
            <w:r w:rsidRPr="001927D6">
              <w:rPr>
                <w:szCs w:val="24"/>
                <w:lang w:eastAsia="et-EE"/>
              </w:rPr>
              <w:t>149O </w:t>
            </w:r>
          </w:p>
        </w:tc>
        <w:tc>
          <w:tcPr>
            <w:tcW w:w="1243" w:type="dxa"/>
            <w:vAlign w:val="center"/>
          </w:tcPr>
          <w:p w14:paraId="631D3DF1" w14:textId="77777777" w:rsidR="00295BCD" w:rsidRPr="001927D6" w:rsidRDefault="00295BCD">
            <w:pPr>
              <w:spacing w:after="0" w:line="240" w:lineRule="auto"/>
              <w:jc w:val="center"/>
              <w:textAlignment w:val="baseline"/>
              <w:rPr>
                <w:szCs w:val="24"/>
                <w:lang w:eastAsia="et-EE"/>
              </w:rPr>
            </w:pPr>
            <w:r w:rsidRPr="001927D6">
              <w:rPr>
                <w:color w:val="000000"/>
                <w:szCs w:val="24"/>
              </w:rPr>
              <w:t>1 902,68</w:t>
            </w:r>
          </w:p>
        </w:tc>
        <w:tc>
          <w:tcPr>
            <w:tcW w:w="1211" w:type="dxa"/>
            <w:vAlign w:val="center"/>
          </w:tcPr>
          <w:p w14:paraId="73DE2B67" w14:textId="77777777" w:rsidR="00295BCD" w:rsidRPr="001927D6" w:rsidRDefault="00295BCD">
            <w:pPr>
              <w:spacing w:after="0" w:line="240" w:lineRule="auto"/>
              <w:jc w:val="center"/>
              <w:textAlignment w:val="baseline"/>
              <w:rPr>
                <w:szCs w:val="24"/>
                <w:lang w:eastAsia="et-EE"/>
              </w:rPr>
            </w:pPr>
            <w:r w:rsidRPr="001927D6">
              <w:rPr>
                <w:color w:val="000000"/>
                <w:szCs w:val="24"/>
              </w:rPr>
              <w:t>1 354,16</w:t>
            </w:r>
          </w:p>
        </w:tc>
        <w:tc>
          <w:tcPr>
            <w:tcW w:w="1238" w:type="dxa"/>
            <w:vAlign w:val="center"/>
          </w:tcPr>
          <w:p w14:paraId="2D33FAFE" w14:textId="77777777" w:rsidR="00295BCD" w:rsidRPr="001927D6" w:rsidRDefault="00295BCD">
            <w:pPr>
              <w:spacing w:after="0" w:line="240" w:lineRule="auto"/>
              <w:jc w:val="center"/>
              <w:textAlignment w:val="baseline"/>
              <w:rPr>
                <w:szCs w:val="24"/>
                <w:lang w:eastAsia="et-EE"/>
              </w:rPr>
            </w:pPr>
            <w:r w:rsidRPr="001927D6">
              <w:rPr>
                <w:color w:val="000000"/>
                <w:szCs w:val="24"/>
              </w:rPr>
              <w:t>2 032,89</w:t>
            </w:r>
          </w:p>
        </w:tc>
      </w:tr>
      <w:tr w:rsidR="00295BCD" w:rsidRPr="001927D6" w14:paraId="6BCF0B87" w14:textId="77777777" w:rsidTr="00295BCD">
        <w:trPr>
          <w:divId w:val="1316184749"/>
          <w:trHeight w:val="300"/>
        </w:trPr>
        <w:tc>
          <w:tcPr>
            <w:tcW w:w="4632" w:type="dxa"/>
            <w:vAlign w:val="bottom"/>
            <w:hideMark/>
          </w:tcPr>
          <w:p w14:paraId="6A12EB3A" w14:textId="77777777" w:rsidR="00295BCD" w:rsidRPr="001927D6" w:rsidRDefault="00295BCD">
            <w:pPr>
              <w:spacing w:after="0" w:line="240" w:lineRule="auto"/>
              <w:textAlignment w:val="baseline"/>
              <w:rPr>
                <w:szCs w:val="24"/>
                <w:lang w:eastAsia="et-EE"/>
              </w:rPr>
            </w:pPr>
            <w:r w:rsidRPr="001927D6">
              <w:rPr>
                <w:szCs w:val="24"/>
                <w:lang w:eastAsia="et-EE"/>
              </w:rPr>
              <w:t>Kõhukelmeliidete vabastamine, kht-ga </w:t>
            </w:r>
          </w:p>
        </w:tc>
        <w:tc>
          <w:tcPr>
            <w:tcW w:w="732" w:type="dxa"/>
            <w:vAlign w:val="center"/>
            <w:hideMark/>
          </w:tcPr>
          <w:p w14:paraId="72D71178" w14:textId="77777777" w:rsidR="00295BCD" w:rsidRPr="001927D6" w:rsidRDefault="00295BCD">
            <w:pPr>
              <w:spacing w:after="0" w:line="240" w:lineRule="auto"/>
              <w:jc w:val="center"/>
              <w:textAlignment w:val="baseline"/>
              <w:rPr>
                <w:szCs w:val="24"/>
                <w:lang w:eastAsia="et-EE"/>
              </w:rPr>
            </w:pPr>
            <w:r w:rsidRPr="001927D6">
              <w:rPr>
                <w:szCs w:val="24"/>
                <w:lang w:eastAsia="et-EE"/>
              </w:rPr>
              <w:t>150 </w:t>
            </w:r>
          </w:p>
        </w:tc>
        <w:tc>
          <w:tcPr>
            <w:tcW w:w="1243" w:type="dxa"/>
            <w:vAlign w:val="center"/>
          </w:tcPr>
          <w:p w14:paraId="3FC61D08" w14:textId="77777777" w:rsidR="00295BCD" w:rsidRPr="001927D6" w:rsidRDefault="00295BCD">
            <w:pPr>
              <w:spacing w:after="0" w:line="240" w:lineRule="auto"/>
              <w:jc w:val="center"/>
              <w:textAlignment w:val="baseline"/>
              <w:rPr>
                <w:szCs w:val="24"/>
                <w:lang w:eastAsia="et-EE"/>
              </w:rPr>
            </w:pPr>
            <w:r w:rsidRPr="001927D6">
              <w:rPr>
                <w:color w:val="000000"/>
                <w:szCs w:val="24"/>
              </w:rPr>
              <w:t>6 741,85</w:t>
            </w:r>
          </w:p>
        </w:tc>
        <w:tc>
          <w:tcPr>
            <w:tcW w:w="1211" w:type="dxa"/>
            <w:vAlign w:val="center"/>
          </w:tcPr>
          <w:p w14:paraId="2E54A03D" w14:textId="77777777" w:rsidR="00295BCD" w:rsidRPr="001927D6" w:rsidRDefault="00295BCD">
            <w:pPr>
              <w:spacing w:after="0" w:line="240" w:lineRule="auto"/>
              <w:jc w:val="center"/>
              <w:textAlignment w:val="baseline"/>
              <w:rPr>
                <w:szCs w:val="24"/>
                <w:lang w:eastAsia="et-EE"/>
              </w:rPr>
            </w:pPr>
            <w:r w:rsidRPr="001927D6">
              <w:rPr>
                <w:color w:val="000000"/>
                <w:szCs w:val="24"/>
              </w:rPr>
              <w:t>2 659,59</w:t>
            </w:r>
          </w:p>
        </w:tc>
        <w:tc>
          <w:tcPr>
            <w:tcW w:w="1238" w:type="dxa"/>
            <w:vAlign w:val="center"/>
          </w:tcPr>
          <w:p w14:paraId="7F93FFF3" w14:textId="77777777" w:rsidR="00295BCD" w:rsidRPr="001927D6" w:rsidRDefault="00295BCD">
            <w:pPr>
              <w:spacing w:after="0" w:line="240" w:lineRule="auto"/>
              <w:jc w:val="center"/>
              <w:textAlignment w:val="baseline"/>
              <w:rPr>
                <w:szCs w:val="24"/>
                <w:lang w:eastAsia="et-EE"/>
              </w:rPr>
            </w:pPr>
            <w:r w:rsidRPr="001927D6">
              <w:rPr>
                <w:color w:val="000000"/>
                <w:szCs w:val="24"/>
              </w:rPr>
              <w:t>18 447,79</w:t>
            </w:r>
          </w:p>
        </w:tc>
      </w:tr>
      <w:tr w:rsidR="00295BCD" w:rsidRPr="001927D6" w14:paraId="610A5DBB" w14:textId="77777777" w:rsidTr="00295BCD">
        <w:trPr>
          <w:divId w:val="1316184749"/>
          <w:trHeight w:val="300"/>
        </w:trPr>
        <w:tc>
          <w:tcPr>
            <w:tcW w:w="4632" w:type="dxa"/>
            <w:vAlign w:val="bottom"/>
            <w:hideMark/>
          </w:tcPr>
          <w:p w14:paraId="00FA3CCC" w14:textId="77777777" w:rsidR="00295BCD" w:rsidRPr="001927D6" w:rsidRDefault="00295BCD">
            <w:pPr>
              <w:spacing w:after="0" w:line="240" w:lineRule="auto"/>
              <w:textAlignment w:val="baseline"/>
              <w:rPr>
                <w:szCs w:val="24"/>
                <w:lang w:eastAsia="et-EE"/>
              </w:rPr>
            </w:pPr>
            <w:r w:rsidRPr="001927D6">
              <w:rPr>
                <w:szCs w:val="24"/>
                <w:lang w:eastAsia="et-EE"/>
              </w:rPr>
              <w:t>Kõhukelmeliidete vabastamine, kht-ta </w:t>
            </w:r>
          </w:p>
        </w:tc>
        <w:tc>
          <w:tcPr>
            <w:tcW w:w="732" w:type="dxa"/>
            <w:vAlign w:val="center"/>
            <w:hideMark/>
          </w:tcPr>
          <w:p w14:paraId="1AFB103D" w14:textId="77777777" w:rsidR="00295BCD" w:rsidRPr="001927D6" w:rsidRDefault="00295BCD">
            <w:pPr>
              <w:spacing w:after="0" w:line="240" w:lineRule="auto"/>
              <w:jc w:val="center"/>
              <w:textAlignment w:val="baseline"/>
              <w:rPr>
                <w:szCs w:val="24"/>
                <w:lang w:eastAsia="et-EE"/>
              </w:rPr>
            </w:pPr>
            <w:r w:rsidRPr="001927D6">
              <w:rPr>
                <w:szCs w:val="24"/>
                <w:lang w:eastAsia="et-EE"/>
              </w:rPr>
              <w:t>151 </w:t>
            </w:r>
          </w:p>
        </w:tc>
        <w:tc>
          <w:tcPr>
            <w:tcW w:w="1243" w:type="dxa"/>
            <w:vAlign w:val="center"/>
          </w:tcPr>
          <w:p w14:paraId="2CAABB7F" w14:textId="77777777" w:rsidR="00295BCD" w:rsidRPr="001927D6" w:rsidRDefault="00295BCD">
            <w:pPr>
              <w:spacing w:after="0" w:line="240" w:lineRule="auto"/>
              <w:jc w:val="center"/>
              <w:textAlignment w:val="baseline"/>
              <w:rPr>
                <w:szCs w:val="24"/>
                <w:lang w:eastAsia="et-EE"/>
              </w:rPr>
            </w:pPr>
            <w:r w:rsidRPr="001927D6">
              <w:rPr>
                <w:color w:val="000000"/>
                <w:szCs w:val="24"/>
              </w:rPr>
              <w:t>3 746,43</w:t>
            </w:r>
          </w:p>
        </w:tc>
        <w:tc>
          <w:tcPr>
            <w:tcW w:w="1211" w:type="dxa"/>
            <w:vAlign w:val="center"/>
          </w:tcPr>
          <w:p w14:paraId="2CE7B31E" w14:textId="77777777" w:rsidR="00295BCD" w:rsidRPr="001927D6" w:rsidRDefault="00295BCD">
            <w:pPr>
              <w:spacing w:after="0" w:line="240" w:lineRule="auto"/>
              <w:jc w:val="center"/>
              <w:textAlignment w:val="baseline"/>
              <w:rPr>
                <w:szCs w:val="24"/>
                <w:lang w:eastAsia="et-EE"/>
              </w:rPr>
            </w:pPr>
            <w:r w:rsidRPr="001927D6">
              <w:rPr>
                <w:color w:val="000000"/>
                <w:szCs w:val="24"/>
              </w:rPr>
              <w:t>2 114,86</w:t>
            </w:r>
          </w:p>
        </w:tc>
        <w:tc>
          <w:tcPr>
            <w:tcW w:w="1238" w:type="dxa"/>
            <w:vAlign w:val="center"/>
          </w:tcPr>
          <w:p w14:paraId="4FCF5C07" w14:textId="77777777" w:rsidR="00295BCD" w:rsidRPr="001927D6" w:rsidRDefault="00295BCD">
            <w:pPr>
              <w:spacing w:after="0" w:line="240" w:lineRule="auto"/>
              <w:jc w:val="center"/>
              <w:textAlignment w:val="baseline"/>
              <w:rPr>
                <w:szCs w:val="24"/>
                <w:lang w:eastAsia="et-EE"/>
              </w:rPr>
            </w:pPr>
            <w:r w:rsidRPr="001927D6">
              <w:rPr>
                <w:color w:val="000000"/>
                <w:szCs w:val="24"/>
              </w:rPr>
              <w:t>7 870,82</w:t>
            </w:r>
          </w:p>
        </w:tc>
      </w:tr>
      <w:tr w:rsidR="00295BCD" w:rsidRPr="001927D6" w14:paraId="68A98CAB" w14:textId="77777777" w:rsidTr="00295BCD">
        <w:trPr>
          <w:divId w:val="1316184749"/>
          <w:trHeight w:val="300"/>
        </w:trPr>
        <w:tc>
          <w:tcPr>
            <w:tcW w:w="4632" w:type="dxa"/>
            <w:vAlign w:val="bottom"/>
            <w:hideMark/>
          </w:tcPr>
          <w:p w14:paraId="65BAC7B7" w14:textId="77777777" w:rsidR="00295BCD" w:rsidRPr="001927D6" w:rsidRDefault="00295BCD">
            <w:pPr>
              <w:spacing w:after="0" w:line="240" w:lineRule="auto"/>
              <w:textAlignment w:val="baseline"/>
              <w:rPr>
                <w:szCs w:val="24"/>
                <w:lang w:eastAsia="et-EE"/>
              </w:rPr>
            </w:pPr>
            <w:r w:rsidRPr="001927D6">
              <w:rPr>
                <w:szCs w:val="24"/>
                <w:lang w:eastAsia="et-EE"/>
              </w:rPr>
              <w:t>Kõhukelmeliidete vabastamine, lühike ravi </w:t>
            </w:r>
          </w:p>
        </w:tc>
        <w:tc>
          <w:tcPr>
            <w:tcW w:w="732" w:type="dxa"/>
            <w:vAlign w:val="center"/>
            <w:hideMark/>
          </w:tcPr>
          <w:p w14:paraId="498CB031" w14:textId="77777777" w:rsidR="00295BCD" w:rsidRPr="001927D6" w:rsidRDefault="00295BCD">
            <w:pPr>
              <w:spacing w:after="0" w:line="240" w:lineRule="auto"/>
              <w:jc w:val="center"/>
              <w:textAlignment w:val="baseline"/>
              <w:rPr>
                <w:szCs w:val="24"/>
                <w:lang w:eastAsia="et-EE"/>
              </w:rPr>
            </w:pPr>
            <w:r w:rsidRPr="001927D6">
              <w:rPr>
                <w:szCs w:val="24"/>
                <w:lang w:eastAsia="et-EE"/>
              </w:rPr>
              <w:t>151O </w:t>
            </w:r>
          </w:p>
        </w:tc>
        <w:tc>
          <w:tcPr>
            <w:tcW w:w="1243" w:type="dxa"/>
            <w:vAlign w:val="center"/>
          </w:tcPr>
          <w:p w14:paraId="3550132E" w14:textId="77777777" w:rsidR="00295BCD" w:rsidRPr="001927D6" w:rsidRDefault="00295BCD">
            <w:pPr>
              <w:spacing w:after="0" w:line="240" w:lineRule="auto"/>
              <w:jc w:val="center"/>
              <w:textAlignment w:val="baseline"/>
              <w:rPr>
                <w:szCs w:val="24"/>
                <w:lang w:eastAsia="et-EE"/>
              </w:rPr>
            </w:pPr>
            <w:r w:rsidRPr="001927D6">
              <w:rPr>
                <w:color w:val="000000"/>
                <w:szCs w:val="24"/>
              </w:rPr>
              <w:t>907,23</w:t>
            </w:r>
          </w:p>
        </w:tc>
        <w:tc>
          <w:tcPr>
            <w:tcW w:w="1211" w:type="dxa"/>
            <w:vAlign w:val="center"/>
          </w:tcPr>
          <w:p w14:paraId="5BFC9B35" w14:textId="77777777" w:rsidR="00295BCD" w:rsidRPr="001927D6" w:rsidRDefault="00295BCD">
            <w:pPr>
              <w:spacing w:after="0" w:line="240" w:lineRule="auto"/>
              <w:jc w:val="center"/>
              <w:textAlignment w:val="baseline"/>
              <w:rPr>
                <w:szCs w:val="24"/>
                <w:lang w:eastAsia="et-EE"/>
              </w:rPr>
            </w:pPr>
            <w:r w:rsidRPr="001927D6">
              <w:rPr>
                <w:color w:val="000000"/>
                <w:szCs w:val="24"/>
              </w:rPr>
              <w:t>430,54</w:t>
            </w:r>
          </w:p>
        </w:tc>
        <w:tc>
          <w:tcPr>
            <w:tcW w:w="1238" w:type="dxa"/>
            <w:vAlign w:val="center"/>
          </w:tcPr>
          <w:p w14:paraId="04DB35BF" w14:textId="77777777" w:rsidR="00295BCD" w:rsidRPr="001927D6" w:rsidRDefault="00295BCD">
            <w:pPr>
              <w:spacing w:after="0" w:line="240" w:lineRule="auto"/>
              <w:jc w:val="center"/>
              <w:textAlignment w:val="baseline"/>
              <w:rPr>
                <w:szCs w:val="24"/>
                <w:lang w:eastAsia="et-EE"/>
              </w:rPr>
            </w:pPr>
            <w:r w:rsidRPr="001927D6">
              <w:rPr>
                <w:color w:val="000000"/>
                <w:szCs w:val="24"/>
              </w:rPr>
              <w:t>907,23</w:t>
            </w:r>
          </w:p>
        </w:tc>
      </w:tr>
      <w:tr w:rsidR="00295BCD" w:rsidRPr="001927D6" w14:paraId="728EFA26" w14:textId="77777777" w:rsidTr="00295BCD">
        <w:trPr>
          <w:divId w:val="1316184749"/>
          <w:trHeight w:val="300"/>
        </w:trPr>
        <w:tc>
          <w:tcPr>
            <w:tcW w:w="4632" w:type="dxa"/>
            <w:vAlign w:val="bottom"/>
            <w:hideMark/>
          </w:tcPr>
          <w:p w14:paraId="4B86635F" w14:textId="77777777" w:rsidR="00295BCD" w:rsidRPr="001927D6" w:rsidRDefault="00295BCD">
            <w:pPr>
              <w:spacing w:after="0" w:line="240" w:lineRule="auto"/>
              <w:textAlignment w:val="baseline"/>
              <w:rPr>
                <w:szCs w:val="24"/>
                <w:lang w:eastAsia="et-EE"/>
              </w:rPr>
            </w:pPr>
            <w:r w:rsidRPr="001927D6">
              <w:rPr>
                <w:szCs w:val="24"/>
                <w:lang w:eastAsia="et-EE"/>
              </w:rPr>
              <w:t>Peen- ja jämesoole väikesed operatsioonid, kht-ga </w:t>
            </w:r>
          </w:p>
        </w:tc>
        <w:tc>
          <w:tcPr>
            <w:tcW w:w="732" w:type="dxa"/>
            <w:vAlign w:val="center"/>
            <w:hideMark/>
          </w:tcPr>
          <w:p w14:paraId="7D9F18E3" w14:textId="77777777" w:rsidR="00295BCD" w:rsidRPr="001927D6" w:rsidRDefault="00295BCD">
            <w:pPr>
              <w:spacing w:after="0" w:line="240" w:lineRule="auto"/>
              <w:jc w:val="center"/>
              <w:textAlignment w:val="baseline"/>
              <w:rPr>
                <w:szCs w:val="24"/>
                <w:lang w:eastAsia="et-EE"/>
              </w:rPr>
            </w:pPr>
            <w:r w:rsidRPr="001927D6">
              <w:rPr>
                <w:szCs w:val="24"/>
                <w:lang w:eastAsia="et-EE"/>
              </w:rPr>
              <w:t>152 </w:t>
            </w:r>
          </w:p>
        </w:tc>
        <w:tc>
          <w:tcPr>
            <w:tcW w:w="1243" w:type="dxa"/>
            <w:vAlign w:val="center"/>
          </w:tcPr>
          <w:p w14:paraId="5B8AB373" w14:textId="77777777" w:rsidR="00295BCD" w:rsidRPr="001927D6" w:rsidRDefault="00295BCD">
            <w:pPr>
              <w:spacing w:after="0" w:line="240" w:lineRule="auto"/>
              <w:jc w:val="center"/>
              <w:textAlignment w:val="baseline"/>
              <w:rPr>
                <w:szCs w:val="24"/>
                <w:lang w:eastAsia="et-EE"/>
              </w:rPr>
            </w:pPr>
            <w:r w:rsidRPr="001927D6">
              <w:rPr>
                <w:color w:val="000000"/>
                <w:szCs w:val="24"/>
              </w:rPr>
              <w:t>6 392,74</w:t>
            </w:r>
          </w:p>
        </w:tc>
        <w:tc>
          <w:tcPr>
            <w:tcW w:w="1211" w:type="dxa"/>
            <w:vAlign w:val="center"/>
          </w:tcPr>
          <w:p w14:paraId="73132DB2" w14:textId="77777777" w:rsidR="00295BCD" w:rsidRPr="001927D6" w:rsidRDefault="00295BCD">
            <w:pPr>
              <w:spacing w:after="0" w:line="240" w:lineRule="auto"/>
              <w:jc w:val="center"/>
              <w:textAlignment w:val="baseline"/>
              <w:rPr>
                <w:szCs w:val="24"/>
                <w:lang w:eastAsia="et-EE"/>
              </w:rPr>
            </w:pPr>
            <w:r w:rsidRPr="001927D6">
              <w:rPr>
                <w:color w:val="000000"/>
                <w:szCs w:val="24"/>
              </w:rPr>
              <w:t>2 604,88</w:t>
            </w:r>
          </w:p>
        </w:tc>
        <w:tc>
          <w:tcPr>
            <w:tcW w:w="1238" w:type="dxa"/>
            <w:vAlign w:val="center"/>
          </w:tcPr>
          <w:p w14:paraId="41CD0D96" w14:textId="77777777" w:rsidR="00295BCD" w:rsidRPr="001927D6" w:rsidRDefault="00295BCD">
            <w:pPr>
              <w:spacing w:after="0" w:line="240" w:lineRule="auto"/>
              <w:jc w:val="center"/>
              <w:textAlignment w:val="baseline"/>
              <w:rPr>
                <w:szCs w:val="24"/>
                <w:lang w:eastAsia="et-EE"/>
              </w:rPr>
            </w:pPr>
            <w:r w:rsidRPr="001927D6">
              <w:rPr>
                <w:color w:val="000000"/>
                <w:szCs w:val="24"/>
              </w:rPr>
              <w:t>20 947,75</w:t>
            </w:r>
          </w:p>
        </w:tc>
      </w:tr>
      <w:tr w:rsidR="00295BCD" w:rsidRPr="001927D6" w14:paraId="3B9753F3" w14:textId="77777777" w:rsidTr="00295BCD">
        <w:trPr>
          <w:divId w:val="1316184749"/>
          <w:trHeight w:val="300"/>
        </w:trPr>
        <w:tc>
          <w:tcPr>
            <w:tcW w:w="4632" w:type="dxa"/>
            <w:vAlign w:val="bottom"/>
            <w:hideMark/>
          </w:tcPr>
          <w:p w14:paraId="721F68A8" w14:textId="77777777" w:rsidR="00295BCD" w:rsidRPr="001927D6" w:rsidRDefault="00295BCD">
            <w:pPr>
              <w:spacing w:after="0" w:line="240" w:lineRule="auto"/>
              <w:textAlignment w:val="baseline"/>
              <w:rPr>
                <w:szCs w:val="24"/>
                <w:lang w:eastAsia="et-EE"/>
              </w:rPr>
            </w:pPr>
            <w:r w:rsidRPr="001927D6">
              <w:rPr>
                <w:szCs w:val="24"/>
                <w:lang w:eastAsia="et-EE"/>
              </w:rPr>
              <w:t>Peen- ja jämesoole väikesed operatsioonid, kht-ta </w:t>
            </w:r>
          </w:p>
        </w:tc>
        <w:tc>
          <w:tcPr>
            <w:tcW w:w="732" w:type="dxa"/>
            <w:vAlign w:val="center"/>
            <w:hideMark/>
          </w:tcPr>
          <w:p w14:paraId="39FEE1C1" w14:textId="77777777" w:rsidR="00295BCD" w:rsidRPr="001927D6" w:rsidRDefault="00295BCD">
            <w:pPr>
              <w:spacing w:after="0" w:line="240" w:lineRule="auto"/>
              <w:jc w:val="center"/>
              <w:textAlignment w:val="baseline"/>
              <w:rPr>
                <w:szCs w:val="24"/>
                <w:lang w:eastAsia="et-EE"/>
              </w:rPr>
            </w:pPr>
            <w:r w:rsidRPr="001927D6">
              <w:rPr>
                <w:szCs w:val="24"/>
                <w:lang w:eastAsia="et-EE"/>
              </w:rPr>
              <w:t>153 </w:t>
            </w:r>
          </w:p>
        </w:tc>
        <w:tc>
          <w:tcPr>
            <w:tcW w:w="1243" w:type="dxa"/>
            <w:vAlign w:val="center"/>
          </w:tcPr>
          <w:p w14:paraId="0227722C" w14:textId="77777777" w:rsidR="00295BCD" w:rsidRPr="001927D6" w:rsidRDefault="00295BCD">
            <w:pPr>
              <w:spacing w:after="0" w:line="240" w:lineRule="auto"/>
              <w:jc w:val="center"/>
              <w:textAlignment w:val="baseline"/>
              <w:rPr>
                <w:szCs w:val="24"/>
                <w:lang w:eastAsia="et-EE"/>
              </w:rPr>
            </w:pPr>
            <w:r w:rsidRPr="001927D6">
              <w:rPr>
                <w:color w:val="000000"/>
                <w:szCs w:val="24"/>
              </w:rPr>
              <w:t>3 106,39</w:t>
            </w:r>
          </w:p>
        </w:tc>
        <w:tc>
          <w:tcPr>
            <w:tcW w:w="1211" w:type="dxa"/>
            <w:vAlign w:val="center"/>
          </w:tcPr>
          <w:p w14:paraId="3E53B948" w14:textId="77777777" w:rsidR="00295BCD" w:rsidRPr="001927D6" w:rsidRDefault="00295BCD">
            <w:pPr>
              <w:spacing w:after="0" w:line="240" w:lineRule="auto"/>
              <w:jc w:val="center"/>
              <w:textAlignment w:val="baseline"/>
              <w:rPr>
                <w:szCs w:val="24"/>
                <w:lang w:eastAsia="et-EE"/>
              </w:rPr>
            </w:pPr>
            <w:r w:rsidRPr="001927D6">
              <w:rPr>
                <w:color w:val="000000"/>
                <w:szCs w:val="24"/>
              </w:rPr>
              <w:t>1 760,19</w:t>
            </w:r>
          </w:p>
        </w:tc>
        <w:tc>
          <w:tcPr>
            <w:tcW w:w="1238" w:type="dxa"/>
            <w:vAlign w:val="center"/>
          </w:tcPr>
          <w:p w14:paraId="2CF7DAF2" w14:textId="77777777" w:rsidR="00295BCD" w:rsidRPr="001927D6" w:rsidRDefault="00295BCD">
            <w:pPr>
              <w:spacing w:after="0" w:line="240" w:lineRule="auto"/>
              <w:jc w:val="center"/>
              <w:textAlignment w:val="baseline"/>
              <w:rPr>
                <w:szCs w:val="24"/>
                <w:lang w:eastAsia="et-EE"/>
              </w:rPr>
            </w:pPr>
            <w:r w:rsidRPr="001927D6">
              <w:rPr>
                <w:color w:val="000000"/>
                <w:szCs w:val="24"/>
              </w:rPr>
              <w:t>6 091,96</w:t>
            </w:r>
          </w:p>
        </w:tc>
      </w:tr>
      <w:tr w:rsidR="00295BCD" w:rsidRPr="001927D6" w14:paraId="1635AABF" w14:textId="77777777" w:rsidTr="00295BCD">
        <w:trPr>
          <w:divId w:val="1316184749"/>
          <w:trHeight w:val="300"/>
        </w:trPr>
        <w:tc>
          <w:tcPr>
            <w:tcW w:w="4632" w:type="dxa"/>
            <w:vAlign w:val="bottom"/>
            <w:hideMark/>
          </w:tcPr>
          <w:p w14:paraId="377C698B" w14:textId="77777777" w:rsidR="00295BCD" w:rsidRPr="001927D6" w:rsidRDefault="00295BCD">
            <w:pPr>
              <w:spacing w:after="0" w:line="240" w:lineRule="auto"/>
              <w:textAlignment w:val="baseline"/>
              <w:rPr>
                <w:szCs w:val="24"/>
                <w:lang w:eastAsia="et-EE"/>
              </w:rPr>
            </w:pPr>
            <w:r w:rsidRPr="001927D6">
              <w:rPr>
                <w:szCs w:val="24"/>
                <w:lang w:eastAsia="et-EE"/>
              </w:rPr>
              <w:t>Peen- ja jämesoole väikesed operatsioonid, lühike ravi </w:t>
            </w:r>
          </w:p>
        </w:tc>
        <w:tc>
          <w:tcPr>
            <w:tcW w:w="732" w:type="dxa"/>
            <w:vAlign w:val="center"/>
            <w:hideMark/>
          </w:tcPr>
          <w:p w14:paraId="3AE9D249" w14:textId="77777777" w:rsidR="00295BCD" w:rsidRPr="001927D6" w:rsidRDefault="00295BCD">
            <w:pPr>
              <w:spacing w:after="0" w:line="240" w:lineRule="auto"/>
              <w:jc w:val="center"/>
              <w:textAlignment w:val="baseline"/>
              <w:rPr>
                <w:szCs w:val="24"/>
                <w:lang w:eastAsia="et-EE"/>
              </w:rPr>
            </w:pPr>
            <w:r w:rsidRPr="001927D6">
              <w:rPr>
                <w:szCs w:val="24"/>
                <w:lang w:eastAsia="et-EE"/>
              </w:rPr>
              <w:t>153O </w:t>
            </w:r>
          </w:p>
        </w:tc>
        <w:tc>
          <w:tcPr>
            <w:tcW w:w="1243" w:type="dxa"/>
            <w:vAlign w:val="center"/>
          </w:tcPr>
          <w:p w14:paraId="37351DBA" w14:textId="77777777" w:rsidR="00295BCD" w:rsidRPr="001927D6" w:rsidRDefault="00295BCD">
            <w:pPr>
              <w:spacing w:after="0" w:line="240" w:lineRule="auto"/>
              <w:jc w:val="center"/>
              <w:textAlignment w:val="baseline"/>
              <w:rPr>
                <w:szCs w:val="24"/>
                <w:lang w:eastAsia="et-EE"/>
              </w:rPr>
            </w:pPr>
            <w:r w:rsidRPr="001927D6">
              <w:rPr>
                <w:color w:val="000000"/>
                <w:szCs w:val="24"/>
              </w:rPr>
              <w:t>1 582,07</w:t>
            </w:r>
          </w:p>
        </w:tc>
        <w:tc>
          <w:tcPr>
            <w:tcW w:w="1211" w:type="dxa"/>
            <w:vAlign w:val="center"/>
          </w:tcPr>
          <w:p w14:paraId="0BC22EEE" w14:textId="77777777" w:rsidR="00295BCD" w:rsidRPr="001927D6" w:rsidRDefault="00295BCD">
            <w:pPr>
              <w:spacing w:after="0" w:line="240" w:lineRule="auto"/>
              <w:jc w:val="center"/>
              <w:textAlignment w:val="baseline"/>
              <w:rPr>
                <w:szCs w:val="24"/>
                <w:lang w:eastAsia="et-EE"/>
              </w:rPr>
            </w:pPr>
            <w:r w:rsidRPr="001927D6">
              <w:rPr>
                <w:color w:val="000000"/>
                <w:szCs w:val="24"/>
              </w:rPr>
              <w:t>546,64</w:t>
            </w:r>
          </w:p>
        </w:tc>
        <w:tc>
          <w:tcPr>
            <w:tcW w:w="1238" w:type="dxa"/>
            <w:vAlign w:val="center"/>
          </w:tcPr>
          <w:p w14:paraId="338F2971" w14:textId="77777777" w:rsidR="00295BCD" w:rsidRPr="001927D6" w:rsidRDefault="00295BCD">
            <w:pPr>
              <w:spacing w:after="0" w:line="240" w:lineRule="auto"/>
              <w:jc w:val="center"/>
              <w:textAlignment w:val="baseline"/>
              <w:rPr>
                <w:szCs w:val="24"/>
                <w:lang w:eastAsia="et-EE"/>
              </w:rPr>
            </w:pPr>
            <w:r w:rsidRPr="001927D6">
              <w:rPr>
                <w:color w:val="000000"/>
                <w:szCs w:val="24"/>
              </w:rPr>
              <w:t>3 022,13</w:t>
            </w:r>
          </w:p>
        </w:tc>
      </w:tr>
      <w:tr w:rsidR="00295BCD" w:rsidRPr="001927D6" w14:paraId="4C1FF922" w14:textId="77777777" w:rsidTr="00295BCD">
        <w:trPr>
          <w:divId w:val="1316184749"/>
          <w:trHeight w:val="300"/>
        </w:trPr>
        <w:tc>
          <w:tcPr>
            <w:tcW w:w="4632" w:type="dxa"/>
            <w:vAlign w:val="bottom"/>
            <w:hideMark/>
          </w:tcPr>
          <w:p w14:paraId="23E41AEF" w14:textId="77777777" w:rsidR="00295BCD" w:rsidRPr="001927D6" w:rsidRDefault="00295BCD">
            <w:pPr>
              <w:spacing w:after="0" w:line="240" w:lineRule="auto"/>
              <w:textAlignment w:val="baseline"/>
              <w:rPr>
                <w:szCs w:val="24"/>
                <w:lang w:eastAsia="et-EE"/>
              </w:rPr>
            </w:pPr>
            <w:r w:rsidRPr="001927D6">
              <w:rPr>
                <w:szCs w:val="24"/>
                <w:lang w:eastAsia="et-EE"/>
              </w:rPr>
              <w:t>Mao, söögitoru ja kaksteistsõrmiku suured operatsioonid, vanus &gt; 17, kht-ga </w:t>
            </w:r>
          </w:p>
        </w:tc>
        <w:tc>
          <w:tcPr>
            <w:tcW w:w="732" w:type="dxa"/>
            <w:vAlign w:val="center"/>
            <w:hideMark/>
          </w:tcPr>
          <w:p w14:paraId="00EA097C" w14:textId="77777777" w:rsidR="00295BCD" w:rsidRPr="001927D6" w:rsidRDefault="00295BCD">
            <w:pPr>
              <w:spacing w:after="0" w:line="240" w:lineRule="auto"/>
              <w:jc w:val="center"/>
              <w:textAlignment w:val="baseline"/>
              <w:rPr>
                <w:szCs w:val="24"/>
                <w:lang w:eastAsia="et-EE"/>
              </w:rPr>
            </w:pPr>
            <w:r w:rsidRPr="001927D6">
              <w:rPr>
                <w:szCs w:val="24"/>
                <w:lang w:eastAsia="et-EE"/>
              </w:rPr>
              <w:t>154A </w:t>
            </w:r>
          </w:p>
        </w:tc>
        <w:tc>
          <w:tcPr>
            <w:tcW w:w="1243" w:type="dxa"/>
            <w:vAlign w:val="center"/>
          </w:tcPr>
          <w:p w14:paraId="2D7A988A" w14:textId="77777777" w:rsidR="00295BCD" w:rsidRPr="001927D6" w:rsidRDefault="00295BCD">
            <w:pPr>
              <w:spacing w:after="0" w:line="240" w:lineRule="auto"/>
              <w:jc w:val="center"/>
              <w:textAlignment w:val="baseline"/>
              <w:rPr>
                <w:szCs w:val="24"/>
                <w:lang w:eastAsia="et-EE"/>
              </w:rPr>
            </w:pPr>
            <w:r w:rsidRPr="001927D6">
              <w:rPr>
                <w:color w:val="000000"/>
                <w:szCs w:val="24"/>
              </w:rPr>
              <w:t>14 253,36</w:t>
            </w:r>
          </w:p>
        </w:tc>
        <w:tc>
          <w:tcPr>
            <w:tcW w:w="1211" w:type="dxa"/>
            <w:vAlign w:val="center"/>
          </w:tcPr>
          <w:p w14:paraId="533AAC57" w14:textId="77777777" w:rsidR="00295BCD" w:rsidRPr="001927D6" w:rsidRDefault="00295BCD">
            <w:pPr>
              <w:spacing w:after="0" w:line="240" w:lineRule="auto"/>
              <w:jc w:val="center"/>
              <w:textAlignment w:val="baseline"/>
              <w:rPr>
                <w:szCs w:val="24"/>
                <w:lang w:eastAsia="et-EE"/>
              </w:rPr>
            </w:pPr>
            <w:r w:rsidRPr="001927D6">
              <w:rPr>
                <w:color w:val="000000"/>
                <w:szCs w:val="24"/>
              </w:rPr>
              <w:t>5 725,85</w:t>
            </w:r>
          </w:p>
        </w:tc>
        <w:tc>
          <w:tcPr>
            <w:tcW w:w="1238" w:type="dxa"/>
            <w:vAlign w:val="center"/>
          </w:tcPr>
          <w:p w14:paraId="0CF27284" w14:textId="77777777" w:rsidR="00295BCD" w:rsidRPr="001927D6" w:rsidRDefault="00295BCD">
            <w:pPr>
              <w:spacing w:after="0" w:line="240" w:lineRule="auto"/>
              <w:jc w:val="center"/>
              <w:textAlignment w:val="baseline"/>
              <w:rPr>
                <w:szCs w:val="24"/>
                <w:lang w:eastAsia="et-EE"/>
              </w:rPr>
            </w:pPr>
            <w:r w:rsidRPr="001927D6">
              <w:rPr>
                <w:color w:val="000000"/>
                <w:szCs w:val="24"/>
              </w:rPr>
              <w:t>33 386,35</w:t>
            </w:r>
          </w:p>
        </w:tc>
      </w:tr>
      <w:tr w:rsidR="00295BCD" w:rsidRPr="001927D6" w14:paraId="39E681E2" w14:textId="77777777" w:rsidTr="00295BCD">
        <w:trPr>
          <w:divId w:val="1316184749"/>
          <w:trHeight w:val="300"/>
        </w:trPr>
        <w:tc>
          <w:tcPr>
            <w:tcW w:w="4632" w:type="dxa"/>
            <w:vAlign w:val="bottom"/>
            <w:hideMark/>
          </w:tcPr>
          <w:p w14:paraId="01A57CA0" w14:textId="77777777" w:rsidR="00295BCD" w:rsidRPr="001927D6" w:rsidRDefault="00295BCD">
            <w:pPr>
              <w:spacing w:after="0" w:line="240" w:lineRule="auto"/>
              <w:textAlignment w:val="baseline"/>
              <w:rPr>
                <w:szCs w:val="24"/>
                <w:lang w:eastAsia="et-EE"/>
              </w:rPr>
            </w:pPr>
            <w:r w:rsidRPr="001927D6">
              <w:rPr>
                <w:szCs w:val="24"/>
                <w:lang w:eastAsia="et-EE"/>
              </w:rPr>
              <w:t>Mao, söögitoru ja kaksteistsõrmiku muud operatsioonid, vanus &gt; 17, kht-ga </w:t>
            </w:r>
          </w:p>
        </w:tc>
        <w:tc>
          <w:tcPr>
            <w:tcW w:w="732" w:type="dxa"/>
            <w:vAlign w:val="center"/>
            <w:hideMark/>
          </w:tcPr>
          <w:p w14:paraId="44AAAF7C" w14:textId="77777777" w:rsidR="00295BCD" w:rsidRPr="001927D6" w:rsidRDefault="00295BCD">
            <w:pPr>
              <w:spacing w:after="0" w:line="240" w:lineRule="auto"/>
              <w:jc w:val="center"/>
              <w:textAlignment w:val="baseline"/>
              <w:rPr>
                <w:szCs w:val="24"/>
                <w:lang w:eastAsia="et-EE"/>
              </w:rPr>
            </w:pPr>
            <w:r w:rsidRPr="001927D6">
              <w:rPr>
                <w:szCs w:val="24"/>
                <w:lang w:eastAsia="et-EE"/>
              </w:rPr>
              <w:t>154B </w:t>
            </w:r>
          </w:p>
        </w:tc>
        <w:tc>
          <w:tcPr>
            <w:tcW w:w="1243" w:type="dxa"/>
            <w:vAlign w:val="center"/>
          </w:tcPr>
          <w:p w14:paraId="631B0C13" w14:textId="77777777" w:rsidR="00295BCD" w:rsidRPr="001927D6" w:rsidRDefault="00295BCD">
            <w:pPr>
              <w:spacing w:after="0" w:line="240" w:lineRule="auto"/>
              <w:jc w:val="center"/>
              <w:textAlignment w:val="baseline"/>
              <w:rPr>
                <w:szCs w:val="24"/>
                <w:lang w:eastAsia="et-EE"/>
              </w:rPr>
            </w:pPr>
            <w:r w:rsidRPr="001927D6">
              <w:rPr>
                <w:color w:val="000000"/>
                <w:szCs w:val="24"/>
              </w:rPr>
              <w:t>6 107,76</w:t>
            </w:r>
          </w:p>
        </w:tc>
        <w:tc>
          <w:tcPr>
            <w:tcW w:w="1211" w:type="dxa"/>
            <w:vAlign w:val="center"/>
          </w:tcPr>
          <w:p w14:paraId="1FAB2D04" w14:textId="77777777" w:rsidR="00295BCD" w:rsidRPr="001927D6" w:rsidRDefault="00295BCD">
            <w:pPr>
              <w:spacing w:after="0" w:line="240" w:lineRule="auto"/>
              <w:jc w:val="center"/>
              <w:textAlignment w:val="baseline"/>
              <w:rPr>
                <w:szCs w:val="24"/>
                <w:lang w:eastAsia="et-EE"/>
              </w:rPr>
            </w:pPr>
            <w:r w:rsidRPr="001927D6">
              <w:rPr>
                <w:color w:val="000000"/>
                <w:szCs w:val="24"/>
              </w:rPr>
              <w:t>2 298,81</w:t>
            </w:r>
          </w:p>
        </w:tc>
        <w:tc>
          <w:tcPr>
            <w:tcW w:w="1238" w:type="dxa"/>
            <w:vAlign w:val="center"/>
          </w:tcPr>
          <w:p w14:paraId="04EAAC74" w14:textId="77777777" w:rsidR="00295BCD" w:rsidRPr="001927D6" w:rsidRDefault="00295BCD">
            <w:pPr>
              <w:spacing w:after="0" w:line="240" w:lineRule="auto"/>
              <w:jc w:val="center"/>
              <w:textAlignment w:val="baseline"/>
              <w:rPr>
                <w:szCs w:val="24"/>
                <w:lang w:eastAsia="et-EE"/>
              </w:rPr>
            </w:pPr>
            <w:r w:rsidRPr="001927D6">
              <w:rPr>
                <w:color w:val="000000"/>
                <w:szCs w:val="24"/>
              </w:rPr>
              <w:t>17 882,81</w:t>
            </w:r>
          </w:p>
        </w:tc>
      </w:tr>
      <w:tr w:rsidR="00295BCD" w:rsidRPr="001927D6" w14:paraId="41B8003D" w14:textId="77777777" w:rsidTr="00295BCD">
        <w:trPr>
          <w:divId w:val="1316184749"/>
          <w:trHeight w:val="300"/>
        </w:trPr>
        <w:tc>
          <w:tcPr>
            <w:tcW w:w="4632" w:type="dxa"/>
            <w:vAlign w:val="bottom"/>
            <w:hideMark/>
          </w:tcPr>
          <w:p w14:paraId="5B11873A" w14:textId="77777777" w:rsidR="00295BCD" w:rsidRPr="001927D6" w:rsidRDefault="00295BCD">
            <w:pPr>
              <w:spacing w:after="0" w:line="240" w:lineRule="auto"/>
              <w:textAlignment w:val="baseline"/>
              <w:rPr>
                <w:szCs w:val="24"/>
                <w:lang w:eastAsia="et-EE"/>
              </w:rPr>
            </w:pPr>
            <w:r w:rsidRPr="001927D6">
              <w:rPr>
                <w:szCs w:val="24"/>
                <w:lang w:eastAsia="et-EE"/>
              </w:rPr>
              <w:t>Mao, söögitoru ja kaksteistsõrmiku suured operatsioonid, vanus &gt; 17, kht-ta </w:t>
            </w:r>
          </w:p>
        </w:tc>
        <w:tc>
          <w:tcPr>
            <w:tcW w:w="732" w:type="dxa"/>
            <w:vAlign w:val="center"/>
            <w:hideMark/>
          </w:tcPr>
          <w:p w14:paraId="4A7DAAE4" w14:textId="77777777" w:rsidR="00295BCD" w:rsidRPr="001927D6" w:rsidRDefault="00295BCD">
            <w:pPr>
              <w:spacing w:after="0" w:line="240" w:lineRule="auto"/>
              <w:jc w:val="center"/>
              <w:textAlignment w:val="baseline"/>
              <w:rPr>
                <w:szCs w:val="24"/>
                <w:lang w:eastAsia="et-EE"/>
              </w:rPr>
            </w:pPr>
            <w:r w:rsidRPr="001927D6">
              <w:rPr>
                <w:szCs w:val="24"/>
                <w:lang w:eastAsia="et-EE"/>
              </w:rPr>
              <w:t>155A </w:t>
            </w:r>
          </w:p>
        </w:tc>
        <w:tc>
          <w:tcPr>
            <w:tcW w:w="1243" w:type="dxa"/>
            <w:vAlign w:val="center"/>
          </w:tcPr>
          <w:p w14:paraId="5211B91B" w14:textId="77777777" w:rsidR="00295BCD" w:rsidRPr="001927D6" w:rsidRDefault="00295BCD">
            <w:pPr>
              <w:spacing w:after="0" w:line="240" w:lineRule="auto"/>
              <w:jc w:val="center"/>
              <w:textAlignment w:val="baseline"/>
              <w:rPr>
                <w:szCs w:val="24"/>
                <w:lang w:eastAsia="et-EE"/>
              </w:rPr>
            </w:pPr>
            <w:r w:rsidRPr="001927D6">
              <w:rPr>
                <w:color w:val="000000"/>
                <w:szCs w:val="24"/>
              </w:rPr>
              <w:t>9 761,45</w:t>
            </w:r>
          </w:p>
        </w:tc>
        <w:tc>
          <w:tcPr>
            <w:tcW w:w="1211" w:type="dxa"/>
            <w:vAlign w:val="center"/>
          </w:tcPr>
          <w:p w14:paraId="0CF71734" w14:textId="77777777" w:rsidR="00295BCD" w:rsidRPr="001927D6" w:rsidRDefault="00295BCD">
            <w:pPr>
              <w:spacing w:after="0" w:line="240" w:lineRule="auto"/>
              <w:jc w:val="center"/>
              <w:textAlignment w:val="baseline"/>
              <w:rPr>
                <w:szCs w:val="24"/>
                <w:lang w:eastAsia="et-EE"/>
              </w:rPr>
            </w:pPr>
            <w:r w:rsidRPr="001927D6">
              <w:rPr>
                <w:color w:val="000000"/>
                <w:szCs w:val="24"/>
              </w:rPr>
              <w:t>4 198,45</w:t>
            </w:r>
          </w:p>
        </w:tc>
        <w:tc>
          <w:tcPr>
            <w:tcW w:w="1238" w:type="dxa"/>
            <w:vAlign w:val="center"/>
          </w:tcPr>
          <w:p w14:paraId="7E41E9EC" w14:textId="77777777" w:rsidR="00295BCD" w:rsidRPr="001927D6" w:rsidRDefault="00295BCD">
            <w:pPr>
              <w:spacing w:after="0" w:line="240" w:lineRule="auto"/>
              <w:jc w:val="center"/>
              <w:textAlignment w:val="baseline"/>
              <w:rPr>
                <w:szCs w:val="24"/>
                <w:lang w:eastAsia="et-EE"/>
              </w:rPr>
            </w:pPr>
            <w:r w:rsidRPr="001927D6">
              <w:rPr>
                <w:color w:val="000000"/>
                <w:szCs w:val="24"/>
              </w:rPr>
              <w:t>14 335,31</w:t>
            </w:r>
          </w:p>
        </w:tc>
      </w:tr>
      <w:tr w:rsidR="00295BCD" w:rsidRPr="001927D6" w14:paraId="59598F07" w14:textId="77777777" w:rsidTr="00295BCD">
        <w:trPr>
          <w:divId w:val="1316184749"/>
          <w:trHeight w:val="300"/>
        </w:trPr>
        <w:tc>
          <w:tcPr>
            <w:tcW w:w="4632" w:type="dxa"/>
            <w:vAlign w:val="bottom"/>
            <w:hideMark/>
          </w:tcPr>
          <w:p w14:paraId="4AEE0797" w14:textId="77777777" w:rsidR="00295BCD" w:rsidRPr="001927D6" w:rsidRDefault="00295BCD">
            <w:pPr>
              <w:spacing w:after="0" w:line="240" w:lineRule="auto"/>
              <w:textAlignment w:val="baseline"/>
              <w:rPr>
                <w:szCs w:val="24"/>
                <w:lang w:eastAsia="et-EE"/>
              </w:rPr>
            </w:pPr>
            <w:r w:rsidRPr="001927D6">
              <w:rPr>
                <w:szCs w:val="24"/>
                <w:lang w:eastAsia="et-EE"/>
              </w:rPr>
              <w:t>Mao, söögitoru ja kaksteistsõrmiku muud operatsioonid, vanus &gt; 17, kht-ta </w:t>
            </w:r>
          </w:p>
        </w:tc>
        <w:tc>
          <w:tcPr>
            <w:tcW w:w="732" w:type="dxa"/>
            <w:vAlign w:val="center"/>
            <w:hideMark/>
          </w:tcPr>
          <w:p w14:paraId="28A6071F" w14:textId="77777777" w:rsidR="00295BCD" w:rsidRPr="001927D6" w:rsidRDefault="00295BCD">
            <w:pPr>
              <w:spacing w:after="0" w:line="240" w:lineRule="auto"/>
              <w:jc w:val="center"/>
              <w:textAlignment w:val="baseline"/>
              <w:rPr>
                <w:szCs w:val="24"/>
                <w:lang w:eastAsia="et-EE"/>
              </w:rPr>
            </w:pPr>
            <w:r w:rsidRPr="001927D6">
              <w:rPr>
                <w:szCs w:val="24"/>
                <w:lang w:eastAsia="et-EE"/>
              </w:rPr>
              <w:t>155B </w:t>
            </w:r>
          </w:p>
        </w:tc>
        <w:tc>
          <w:tcPr>
            <w:tcW w:w="1243" w:type="dxa"/>
            <w:vAlign w:val="center"/>
          </w:tcPr>
          <w:p w14:paraId="046BECE2" w14:textId="77777777" w:rsidR="00295BCD" w:rsidRPr="001927D6" w:rsidRDefault="00295BCD">
            <w:pPr>
              <w:spacing w:after="0" w:line="240" w:lineRule="auto"/>
              <w:jc w:val="center"/>
              <w:textAlignment w:val="baseline"/>
              <w:rPr>
                <w:szCs w:val="24"/>
                <w:lang w:eastAsia="et-EE"/>
              </w:rPr>
            </w:pPr>
            <w:r w:rsidRPr="001927D6">
              <w:rPr>
                <w:color w:val="000000"/>
                <w:szCs w:val="24"/>
              </w:rPr>
              <w:t>3 502,02</w:t>
            </w:r>
          </w:p>
        </w:tc>
        <w:tc>
          <w:tcPr>
            <w:tcW w:w="1211" w:type="dxa"/>
            <w:vAlign w:val="center"/>
          </w:tcPr>
          <w:p w14:paraId="3B6B4B8E" w14:textId="77777777" w:rsidR="00295BCD" w:rsidRPr="001927D6" w:rsidRDefault="00295BCD">
            <w:pPr>
              <w:spacing w:after="0" w:line="240" w:lineRule="auto"/>
              <w:jc w:val="center"/>
              <w:textAlignment w:val="baseline"/>
              <w:rPr>
                <w:szCs w:val="24"/>
                <w:lang w:eastAsia="et-EE"/>
              </w:rPr>
            </w:pPr>
            <w:r w:rsidRPr="001927D6">
              <w:rPr>
                <w:color w:val="000000"/>
                <w:szCs w:val="24"/>
              </w:rPr>
              <w:t>1 965,06</w:t>
            </w:r>
          </w:p>
        </w:tc>
        <w:tc>
          <w:tcPr>
            <w:tcW w:w="1238" w:type="dxa"/>
            <w:vAlign w:val="center"/>
          </w:tcPr>
          <w:p w14:paraId="1E3E5BEF" w14:textId="77777777" w:rsidR="00295BCD" w:rsidRPr="001927D6" w:rsidRDefault="00295BCD">
            <w:pPr>
              <w:spacing w:after="0" w:line="240" w:lineRule="auto"/>
              <w:jc w:val="center"/>
              <w:textAlignment w:val="baseline"/>
              <w:rPr>
                <w:szCs w:val="24"/>
                <w:lang w:eastAsia="et-EE"/>
              </w:rPr>
            </w:pPr>
            <w:r w:rsidRPr="001927D6">
              <w:rPr>
                <w:color w:val="000000"/>
                <w:szCs w:val="24"/>
              </w:rPr>
              <w:t>6 547,23</w:t>
            </w:r>
          </w:p>
        </w:tc>
      </w:tr>
      <w:tr w:rsidR="00295BCD" w:rsidRPr="001927D6" w14:paraId="16E99C01" w14:textId="77777777" w:rsidTr="00295BCD">
        <w:trPr>
          <w:divId w:val="1316184749"/>
          <w:trHeight w:val="300"/>
        </w:trPr>
        <w:tc>
          <w:tcPr>
            <w:tcW w:w="4632" w:type="dxa"/>
            <w:vAlign w:val="bottom"/>
            <w:hideMark/>
          </w:tcPr>
          <w:p w14:paraId="5BD0EA04" w14:textId="77777777" w:rsidR="00295BCD" w:rsidRPr="001927D6" w:rsidRDefault="00295BCD">
            <w:pPr>
              <w:spacing w:after="0" w:line="240" w:lineRule="auto"/>
              <w:textAlignment w:val="baseline"/>
              <w:rPr>
                <w:szCs w:val="24"/>
                <w:lang w:eastAsia="et-EE"/>
              </w:rPr>
            </w:pPr>
            <w:r w:rsidRPr="001927D6">
              <w:rPr>
                <w:szCs w:val="24"/>
                <w:lang w:eastAsia="et-EE"/>
              </w:rPr>
              <w:t>Mao, söögitoru ja kaksteistsõrmiku operatsioonid, vanus 0–17 </w:t>
            </w:r>
          </w:p>
        </w:tc>
        <w:tc>
          <w:tcPr>
            <w:tcW w:w="732" w:type="dxa"/>
            <w:vAlign w:val="center"/>
            <w:hideMark/>
          </w:tcPr>
          <w:p w14:paraId="78AE798F" w14:textId="77777777" w:rsidR="00295BCD" w:rsidRPr="001927D6" w:rsidRDefault="00295BCD">
            <w:pPr>
              <w:spacing w:after="0" w:line="240" w:lineRule="auto"/>
              <w:jc w:val="center"/>
              <w:textAlignment w:val="baseline"/>
              <w:rPr>
                <w:szCs w:val="24"/>
                <w:lang w:eastAsia="et-EE"/>
              </w:rPr>
            </w:pPr>
            <w:r w:rsidRPr="001927D6">
              <w:rPr>
                <w:szCs w:val="24"/>
                <w:lang w:eastAsia="et-EE"/>
              </w:rPr>
              <w:t>156 </w:t>
            </w:r>
          </w:p>
        </w:tc>
        <w:tc>
          <w:tcPr>
            <w:tcW w:w="1243" w:type="dxa"/>
            <w:vAlign w:val="center"/>
          </w:tcPr>
          <w:p w14:paraId="587A688C" w14:textId="77777777" w:rsidR="00295BCD" w:rsidRPr="001927D6" w:rsidRDefault="00295BCD">
            <w:pPr>
              <w:spacing w:after="0" w:line="240" w:lineRule="auto"/>
              <w:jc w:val="center"/>
              <w:textAlignment w:val="baseline"/>
              <w:rPr>
                <w:szCs w:val="24"/>
                <w:lang w:eastAsia="et-EE"/>
              </w:rPr>
            </w:pPr>
            <w:r w:rsidRPr="001927D6">
              <w:rPr>
                <w:color w:val="000000"/>
                <w:szCs w:val="24"/>
              </w:rPr>
              <w:t>4 229,61</w:t>
            </w:r>
          </w:p>
        </w:tc>
        <w:tc>
          <w:tcPr>
            <w:tcW w:w="1211" w:type="dxa"/>
            <w:vAlign w:val="center"/>
          </w:tcPr>
          <w:p w14:paraId="6B09979A" w14:textId="77777777" w:rsidR="00295BCD" w:rsidRPr="001927D6" w:rsidRDefault="00295BCD">
            <w:pPr>
              <w:spacing w:after="0" w:line="240" w:lineRule="auto"/>
              <w:jc w:val="center"/>
              <w:textAlignment w:val="baseline"/>
              <w:rPr>
                <w:szCs w:val="24"/>
                <w:lang w:eastAsia="et-EE"/>
              </w:rPr>
            </w:pPr>
            <w:r w:rsidRPr="001927D6">
              <w:rPr>
                <w:color w:val="000000"/>
                <w:szCs w:val="24"/>
              </w:rPr>
              <w:t>2 808,94</w:t>
            </w:r>
          </w:p>
        </w:tc>
        <w:tc>
          <w:tcPr>
            <w:tcW w:w="1238" w:type="dxa"/>
            <w:vAlign w:val="center"/>
          </w:tcPr>
          <w:p w14:paraId="6A09D97E" w14:textId="77777777" w:rsidR="00295BCD" w:rsidRPr="001927D6" w:rsidRDefault="00295BCD">
            <w:pPr>
              <w:spacing w:after="0" w:line="240" w:lineRule="auto"/>
              <w:jc w:val="center"/>
              <w:textAlignment w:val="baseline"/>
              <w:rPr>
                <w:szCs w:val="24"/>
                <w:lang w:eastAsia="et-EE"/>
              </w:rPr>
            </w:pPr>
            <w:r w:rsidRPr="001927D6">
              <w:rPr>
                <w:color w:val="000000"/>
                <w:szCs w:val="24"/>
              </w:rPr>
              <w:t>5 599,32</w:t>
            </w:r>
          </w:p>
        </w:tc>
      </w:tr>
      <w:tr w:rsidR="00295BCD" w:rsidRPr="001927D6" w14:paraId="0004CF0F" w14:textId="77777777" w:rsidTr="00295BCD">
        <w:trPr>
          <w:divId w:val="1316184749"/>
          <w:trHeight w:val="300"/>
        </w:trPr>
        <w:tc>
          <w:tcPr>
            <w:tcW w:w="4632" w:type="dxa"/>
            <w:vAlign w:val="bottom"/>
            <w:hideMark/>
          </w:tcPr>
          <w:p w14:paraId="1B12950D" w14:textId="77777777" w:rsidR="00295BCD" w:rsidRPr="001927D6" w:rsidRDefault="00295BCD">
            <w:pPr>
              <w:spacing w:after="0" w:line="240" w:lineRule="auto"/>
              <w:textAlignment w:val="baseline"/>
              <w:rPr>
                <w:szCs w:val="24"/>
                <w:lang w:eastAsia="et-EE"/>
              </w:rPr>
            </w:pPr>
            <w:r w:rsidRPr="001927D6">
              <w:rPr>
                <w:szCs w:val="24"/>
                <w:lang w:eastAsia="et-EE"/>
              </w:rPr>
              <w:t>Mao, söögitoru ja kaksteistsõrmiku operatsioonid, lühike ravi </w:t>
            </w:r>
          </w:p>
        </w:tc>
        <w:tc>
          <w:tcPr>
            <w:tcW w:w="732" w:type="dxa"/>
            <w:vAlign w:val="center"/>
            <w:hideMark/>
          </w:tcPr>
          <w:p w14:paraId="32ECE086" w14:textId="77777777" w:rsidR="00295BCD" w:rsidRPr="001927D6" w:rsidRDefault="00295BCD">
            <w:pPr>
              <w:spacing w:after="0" w:line="240" w:lineRule="auto"/>
              <w:jc w:val="center"/>
              <w:textAlignment w:val="baseline"/>
              <w:rPr>
                <w:szCs w:val="24"/>
                <w:lang w:eastAsia="et-EE"/>
              </w:rPr>
            </w:pPr>
            <w:r w:rsidRPr="001927D6">
              <w:rPr>
                <w:szCs w:val="24"/>
                <w:lang w:eastAsia="et-EE"/>
              </w:rPr>
              <w:t>156O </w:t>
            </w:r>
          </w:p>
        </w:tc>
        <w:tc>
          <w:tcPr>
            <w:tcW w:w="1243" w:type="dxa"/>
            <w:vAlign w:val="center"/>
          </w:tcPr>
          <w:p w14:paraId="446E557D" w14:textId="77777777" w:rsidR="00295BCD" w:rsidRPr="001927D6" w:rsidRDefault="00295BCD">
            <w:pPr>
              <w:spacing w:after="0" w:line="240" w:lineRule="auto"/>
              <w:jc w:val="center"/>
              <w:textAlignment w:val="baseline"/>
              <w:rPr>
                <w:szCs w:val="24"/>
                <w:lang w:eastAsia="et-EE"/>
              </w:rPr>
            </w:pPr>
            <w:r w:rsidRPr="001927D6">
              <w:rPr>
                <w:color w:val="000000"/>
                <w:szCs w:val="24"/>
              </w:rPr>
              <w:t>1 630,75</w:t>
            </w:r>
          </w:p>
        </w:tc>
        <w:tc>
          <w:tcPr>
            <w:tcW w:w="1211" w:type="dxa"/>
            <w:vAlign w:val="center"/>
          </w:tcPr>
          <w:p w14:paraId="57D269F6" w14:textId="77777777" w:rsidR="00295BCD" w:rsidRPr="001927D6" w:rsidRDefault="00295BCD">
            <w:pPr>
              <w:spacing w:after="0" w:line="240" w:lineRule="auto"/>
              <w:jc w:val="center"/>
              <w:textAlignment w:val="baseline"/>
              <w:rPr>
                <w:szCs w:val="24"/>
                <w:lang w:eastAsia="et-EE"/>
              </w:rPr>
            </w:pPr>
            <w:r w:rsidRPr="001927D6">
              <w:rPr>
                <w:color w:val="000000"/>
                <w:szCs w:val="24"/>
              </w:rPr>
              <w:t>1 606,81</w:t>
            </w:r>
          </w:p>
        </w:tc>
        <w:tc>
          <w:tcPr>
            <w:tcW w:w="1238" w:type="dxa"/>
            <w:vAlign w:val="center"/>
          </w:tcPr>
          <w:p w14:paraId="3E37DC22" w14:textId="77777777" w:rsidR="00295BCD" w:rsidRPr="001927D6" w:rsidRDefault="00295BCD">
            <w:pPr>
              <w:spacing w:after="0" w:line="240" w:lineRule="auto"/>
              <w:jc w:val="center"/>
              <w:textAlignment w:val="baseline"/>
              <w:rPr>
                <w:szCs w:val="24"/>
                <w:lang w:eastAsia="et-EE"/>
              </w:rPr>
            </w:pPr>
            <w:r w:rsidRPr="001927D6">
              <w:rPr>
                <w:color w:val="000000"/>
                <w:szCs w:val="24"/>
              </w:rPr>
              <w:t>2 107,03</w:t>
            </w:r>
          </w:p>
        </w:tc>
      </w:tr>
      <w:tr w:rsidR="00295BCD" w:rsidRPr="001927D6" w14:paraId="6015A115" w14:textId="77777777" w:rsidTr="00295BCD">
        <w:trPr>
          <w:divId w:val="1316184749"/>
          <w:trHeight w:val="300"/>
        </w:trPr>
        <w:tc>
          <w:tcPr>
            <w:tcW w:w="4632" w:type="dxa"/>
            <w:vAlign w:val="bottom"/>
            <w:hideMark/>
          </w:tcPr>
          <w:p w14:paraId="53882998" w14:textId="77777777" w:rsidR="00295BCD" w:rsidRPr="001927D6" w:rsidRDefault="00295BCD">
            <w:pPr>
              <w:spacing w:after="0" w:line="240" w:lineRule="auto"/>
              <w:textAlignment w:val="baseline"/>
              <w:rPr>
                <w:szCs w:val="24"/>
                <w:lang w:eastAsia="et-EE"/>
              </w:rPr>
            </w:pPr>
            <w:r w:rsidRPr="001927D6">
              <w:rPr>
                <w:szCs w:val="24"/>
                <w:lang w:eastAsia="et-EE"/>
              </w:rPr>
              <w:t>Väikesed sooleoperatsioonid, kht-ga </w:t>
            </w:r>
          </w:p>
        </w:tc>
        <w:tc>
          <w:tcPr>
            <w:tcW w:w="732" w:type="dxa"/>
            <w:vAlign w:val="center"/>
            <w:hideMark/>
          </w:tcPr>
          <w:p w14:paraId="29B0A070" w14:textId="77777777" w:rsidR="00295BCD" w:rsidRPr="001927D6" w:rsidRDefault="00295BCD">
            <w:pPr>
              <w:spacing w:after="0" w:line="240" w:lineRule="auto"/>
              <w:jc w:val="center"/>
              <w:textAlignment w:val="baseline"/>
              <w:rPr>
                <w:szCs w:val="24"/>
                <w:lang w:eastAsia="et-EE"/>
              </w:rPr>
            </w:pPr>
            <w:r w:rsidRPr="001927D6">
              <w:rPr>
                <w:szCs w:val="24"/>
                <w:lang w:eastAsia="et-EE"/>
              </w:rPr>
              <w:t>157 </w:t>
            </w:r>
          </w:p>
        </w:tc>
        <w:tc>
          <w:tcPr>
            <w:tcW w:w="1243" w:type="dxa"/>
            <w:vAlign w:val="center"/>
          </w:tcPr>
          <w:p w14:paraId="78079F75" w14:textId="77777777" w:rsidR="00295BCD" w:rsidRPr="001927D6" w:rsidRDefault="00295BCD">
            <w:pPr>
              <w:spacing w:after="0" w:line="240" w:lineRule="auto"/>
              <w:jc w:val="center"/>
              <w:textAlignment w:val="baseline"/>
              <w:rPr>
                <w:szCs w:val="24"/>
                <w:lang w:eastAsia="et-EE"/>
              </w:rPr>
            </w:pPr>
            <w:r w:rsidRPr="001927D6">
              <w:rPr>
                <w:color w:val="000000"/>
                <w:szCs w:val="24"/>
              </w:rPr>
              <w:t>1 936,66</w:t>
            </w:r>
          </w:p>
        </w:tc>
        <w:tc>
          <w:tcPr>
            <w:tcW w:w="1211" w:type="dxa"/>
            <w:vAlign w:val="center"/>
          </w:tcPr>
          <w:p w14:paraId="577D433D" w14:textId="77777777" w:rsidR="00295BCD" w:rsidRPr="001927D6" w:rsidRDefault="00295BCD">
            <w:pPr>
              <w:spacing w:after="0" w:line="240" w:lineRule="auto"/>
              <w:jc w:val="center"/>
              <w:textAlignment w:val="baseline"/>
              <w:rPr>
                <w:szCs w:val="24"/>
                <w:lang w:eastAsia="et-EE"/>
              </w:rPr>
            </w:pPr>
            <w:r w:rsidRPr="001927D6">
              <w:rPr>
                <w:color w:val="000000"/>
                <w:szCs w:val="24"/>
              </w:rPr>
              <w:t>970,97</w:t>
            </w:r>
          </w:p>
        </w:tc>
        <w:tc>
          <w:tcPr>
            <w:tcW w:w="1238" w:type="dxa"/>
            <w:vAlign w:val="center"/>
          </w:tcPr>
          <w:p w14:paraId="7B895F30" w14:textId="77777777" w:rsidR="00295BCD" w:rsidRPr="001927D6" w:rsidRDefault="00295BCD">
            <w:pPr>
              <w:spacing w:after="0" w:line="240" w:lineRule="auto"/>
              <w:jc w:val="center"/>
              <w:textAlignment w:val="baseline"/>
              <w:rPr>
                <w:szCs w:val="24"/>
                <w:lang w:eastAsia="et-EE"/>
              </w:rPr>
            </w:pPr>
            <w:r w:rsidRPr="001927D6">
              <w:rPr>
                <w:color w:val="000000"/>
                <w:szCs w:val="24"/>
              </w:rPr>
              <w:t>4 220,97</w:t>
            </w:r>
          </w:p>
        </w:tc>
      </w:tr>
      <w:tr w:rsidR="00295BCD" w:rsidRPr="001927D6" w14:paraId="4E8F89C3" w14:textId="77777777" w:rsidTr="00295BCD">
        <w:trPr>
          <w:divId w:val="1316184749"/>
          <w:trHeight w:val="300"/>
        </w:trPr>
        <w:tc>
          <w:tcPr>
            <w:tcW w:w="4632" w:type="dxa"/>
            <w:vAlign w:val="bottom"/>
            <w:hideMark/>
          </w:tcPr>
          <w:p w14:paraId="38D18B28" w14:textId="77777777" w:rsidR="00295BCD" w:rsidRPr="001927D6" w:rsidRDefault="00295BCD">
            <w:pPr>
              <w:spacing w:after="0" w:line="240" w:lineRule="auto"/>
              <w:textAlignment w:val="baseline"/>
              <w:rPr>
                <w:szCs w:val="24"/>
                <w:lang w:eastAsia="et-EE"/>
              </w:rPr>
            </w:pPr>
            <w:r w:rsidRPr="001927D6">
              <w:rPr>
                <w:szCs w:val="24"/>
                <w:lang w:eastAsia="et-EE"/>
              </w:rPr>
              <w:t>Väikesed sooleoperatsioonid, kht-ta </w:t>
            </w:r>
          </w:p>
        </w:tc>
        <w:tc>
          <w:tcPr>
            <w:tcW w:w="732" w:type="dxa"/>
            <w:vAlign w:val="center"/>
            <w:hideMark/>
          </w:tcPr>
          <w:p w14:paraId="59D43FEB" w14:textId="77777777" w:rsidR="00295BCD" w:rsidRPr="001927D6" w:rsidRDefault="00295BCD">
            <w:pPr>
              <w:spacing w:after="0" w:line="240" w:lineRule="auto"/>
              <w:jc w:val="center"/>
              <w:textAlignment w:val="baseline"/>
              <w:rPr>
                <w:szCs w:val="24"/>
                <w:lang w:eastAsia="et-EE"/>
              </w:rPr>
            </w:pPr>
            <w:r w:rsidRPr="001927D6">
              <w:rPr>
                <w:szCs w:val="24"/>
                <w:lang w:eastAsia="et-EE"/>
              </w:rPr>
              <w:t>158 </w:t>
            </w:r>
          </w:p>
        </w:tc>
        <w:tc>
          <w:tcPr>
            <w:tcW w:w="1243" w:type="dxa"/>
            <w:vAlign w:val="center"/>
          </w:tcPr>
          <w:p w14:paraId="3EA4F1AA" w14:textId="77777777" w:rsidR="00295BCD" w:rsidRPr="001927D6" w:rsidRDefault="00295BCD">
            <w:pPr>
              <w:spacing w:after="0" w:line="240" w:lineRule="auto"/>
              <w:jc w:val="center"/>
              <w:textAlignment w:val="baseline"/>
              <w:rPr>
                <w:szCs w:val="24"/>
                <w:lang w:eastAsia="et-EE"/>
              </w:rPr>
            </w:pPr>
            <w:r w:rsidRPr="001927D6">
              <w:rPr>
                <w:color w:val="000000"/>
                <w:szCs w:val="24"/>
              </w:rPr>
              <w:t>1 167,97</w:t>
            </w:r>
          </w:p>
        </w:tc>
        <w:tc>
          <w:tcPr>
            <w:tcW w:w="1211" w:type="dxa"/>
            <w:vAlign w:val="center"/>
          </w:tcPr>
          <w:p w14:paraId="58D7D1AF" w14:textId="77777777" w:rsidR="00295BCD" w:rsidRPr="001927D6" w:rsidRDefault="00295BCD">
            <w:pPr>
              <w:spacing w:after="0" w:line="240" w:lineRule="auto"/>
              <w:jc w:val="center"/>
              <w:textAlignment w:val="baseline"/>
              <w:rPr>
                <w:szCs w:val="24"/>
                <w:lang w:eastAsia="et-EE"/>
              </w:rPr>
            </w:pPr>
            <w:r w:rsidRPr="001927D6">
              <w:rPr>
                <w:color w:val="000000"/>
                <w:szCs w:val="24"/>
              </w:rPr>
              <w:t>884,18</w:t>
            </w:r>
          </w:p>
        </w:tc>
        <w:tc>
          <w:tcPr>
            <w:tcW w:w="1238" w:type="dxa"/>
            <w:vAlign w:val="center"/>
          </w:tcPr>
          <w:p w14:paraId="6A9418FD" w14:textId="77777777" w:rsidR="00295BCD" w:rsidRPr="001927D6" w:rsidRDefault="00295BCD">
            <w:pPr>
              <w:spacing w:after="0" w:line="240" w:lineRule="auto"/>
              <w:jc w:val="center"/>
              <w:textAlignment w:val="baseline"/>
              <w:rPr>
                <w:szCs w:val="24"/>
                <w:lang w:eastAsia="et-EE"/>
              </w:rPr>
            </w:pPr>
            <w:r w:rsidRPr="001927D6">
              <w:rPr>
                <w:color w:val="000000"/>
                <w:szCs w:val="24"/>
              </w:rPr>
              <w:t>1 988,20</w:t>
            </w:r>
          </w:p>
        </w:tc>
      </w:tr>
      <w:tr w:rsidR="00295BCD" w:rsidRPr="001927D6" w14:paraId="1F4A7AE2" w14:textId="77777777" w:rsidTr="00295BCD">
        <w:trPr>
          <w:divId w:val="1316184749"/>
          <w:trHeight w:val="300"/>
        </w:trPr>
        <w:tc>
          <w:tcPr>
            <w:tcW w:w="4632" w:type="dxa"/>
            <w:vAlign w:val="bottom"/>
            <w:hideMark/>
          </w:tcPr>
          <w:p w14:paraId="73A4CE3C" w14:textId="77777777" w:rsidR="00295BCD" w:rsidRPr="001927D6" w:rsidRDefault="00295BCD">
            <w:pPr>
              <w:spacing w:after="0" w:line="240" w:lineRule="auto"/>
              <w:textAlignment w:val="baseline"/>
              <w:rPr>
                <w:szCs w:val="24"/>
                <w:lang w:eastAsia="et-EE"/>
              </w:rPr>
            </w:pPr>
            <w:r w:rsidRPr="001927D6">
              <w:rPr>
                <w:szCs w:val="24"/>
                <w:lang w:eastAsia="et-EE"/>
              </w:rPr>
              <w:t>Väikesed sooleoperatsioonid, lühike ravi </w:t>
            </w:r>
          </w:p>
        </w:tc>
        <w:tc>
          <w:tcPr>
            <w:tcW w:w="732" w:type="dxa"/>
            <w:vAlign w:val="center"/>
            <w:hideMark/>
          </w:tcPr>
          <w:p w14:paraId="1488D02E" w14:textId="77777777" w:rsidR="00295BCD" w:rsidRPr="001927D6" w:rsidRDefault="00295BCD">
            <w:pPr>
              <w:spacing w:after="0" w:line="240" w:lineRule="auto"/>
              <w:jc w:val="center"/>
              <w:textAlignment w:val="baseline"/>
              <w:rPr>
                <w:szCs w:val="24"/>
                <w:lang w:eastAsia="et-EE"/>
              </w:rPr>
            </w:pPr>
            <w:r w:rsidRPr="001927D6">
              <w:rPr>
                <w:szCs w:val="24"/>
                <w:lang w:eastAsia="et-EE"/>
              </w:rPr>
              <w:t>158O </w:t>
            </w:r>
          </w:p>
        </w:tc>
        <w:tc>
          <w:tcPr>
            <w:tcW w:w="1243" w:type="dxa"/>
            <w:vAlign w:val="center"/>
          </w:tcPr>
          <w:p w14:paraId="5FA73C44" w14:textId="77777777" w:rsidR="00295BCD" w:rsidRPr="001927D6" w:rsidRDefault="00295BCD">
            <w:pPr>
              <w:spacing w:after="0" w:line="240" w:lineRule="auto"/>
              <w:jc w:val="center"/>
              <w:textAlignment w:val="baseline"/>
              <w:rPr>
                <w:szCs w:val="24"/>
                <w:lang w:eastAsia="et-EE"/>
              </w:rPr>
            </w:pPr>
            <w:r w:rsidRPr="001927D6">
              <w:rPr>
                <w:color w:val="000000"/>
                <w:szCs w:val="24"/>
              </w:rPr>
              <w:t>791,74</w:t>
            </w:r>
          </w:p>
        </w:tc>
        <w:tc>
          <w:tcPr>
            <w:tcW w:w="1211" w:type="dxa"/>
            <w:vAlign w:val="center"/>
          </w:tcPr>
          <w:p w14:paraId="2DBFE874" w14:textId="77777777" w:rsidR="00295BCD" w:rsidRPr="001927D6" w:rsidRDefault="00295BCD">
            <w:pPr>
              <w:spacing w:after="0" w:line="240" w:lineRule="auto"/>
              <w:jc w:val="center"/>
              <w:textAlignment w:val="baseline"/>
              <w:rPr>
                <w:szCs w:val="24"/>
                <w:lang w:eastAsia="et-EE"/>
              </w:rPr>
            </w:pPr>
            <w:r w:rsidRPr="001927D6">
              <w:rPr>
                <w:color w:val="000000"/>
                <w:szCs w:val="24"/>
              </w:rPr>
              <w:t>600,97</w:t>
            </w:r>
          </w:p>
        </w:tc>
        <w:tc>
          <w:tcPr>
            <w:tcW w:w="1238" w:type="dxa"/>
            <w:vAlign w:val="center"/>
          </w:tcPr>
          <w:p w14:paraId="36456543" w14:textId="77777777" w:rsidR="00295BCD" w:rsidRPr="001927D6" w:rsidRDefault="00295BCD">
            <w:pPr>
              <w:spacing w:after="0" w:line="240" w:lineRule="auto"/>
              <w:jc w:val="center"/>
              <w:textAlignment w:val="baseline"/>
              <w:rPr>
                <w:szCs w:val="24"/>
                <w:lang w:eastAsia="et-EE"/>
              </w:rPr>
            </w:pPr>
            <w:r w:rsidRPr="001927D6">
              <w:rPr>
                <w:color w:val="000000"/>
                <w:szCs w:val="24"/>
              </w:rPr>
              <w:t>1 040,92</w:t>
            </w:r>
          </w:p>
        </w:tc>
      </w:tr>
      <w:tr w:rsidR="00295BCD" w:rsidRPr="001927D6" w14:paraId="2909ED6A" w14:textId="77777777" w:rsidTr="00295BCD">
        <w:trPr>
          <w:divId w:val="1316184749"/>
          <w:trHeight w:val="300"/>
        </w:trPr>
        <w:tc>
          <w:tcPr>
            <w:tcW w:w="4632" w:type="dxa"/>
            <w:vAlign w:val="bottom"/>
            <w:hideMark/>
          </w:tcPr>
          <w:p w14:paraId="0758E4C8" w14:textId="77777777" w:rsidR="00295BCD" w:rsidRPr="001927D6" w:rsidRDefault="00295BCD">
            <w:pPr>
              <w:spacing w:after="0" w:line="240" w:lineRule="auto"/>
              <w:textAlignment w:val="baseline"/>
              <w:rPr>
                <w:szCs w:val="24"/>
                <w:lang w:eastAsia="et-EE"/>
              </w:rPr>
            </w:pPr>
            <w:r w:rsidRPr="001927D6">
              <w:rPr>
                <w:szCs w:val="24"/>
                <w:lang w:eastAsia="et-EE"/>
              </w:rPr>
              <w:t>Songa operatsioonid, välja arvatud kubemesong ja reiesong, vanus &gt; 17, kht-ga </w:t>
            </w:r>
          </w:p>
        </w:tc>
        <w:tc>
          <w:tcPr>
            <w:tcW w:w="732" w:type="dxa"/>
            <w:vAlign w:val="center"/>
            <w:hideMark/>
          </w:tcPr>
          <w:p w14:paraId="784D745D" w14:textId="77777777" w:rsidR="00295BCD" w:rsidRPr="001927D6" w:rsidRDefault="00295BCD">
            <w:pPr>
              <w:spacing w:after="0" w:line="240" w:lineRule="auto"/>
              <w:jc w:val="center"/>
              <w:textAlignment w:val="baseline"/>
              <w:rPr>
                <w:szCs w:val="24"/>
                <w:lang w:eastAsia="et-EE"/>
              </w:rPr>
            </w:pPr>
            <w:r w:rsidRPr="001927D6">
              <w:rPr>
                <w:szCs w:val="24"/>
                <w:lang w:eastAsia="et-EE"/>
              </w:rPr>
              <w:t>159 </w:t>
            </w:r>
          </w:p>
        </w:tc>
        <w:tc>
          <w:tcPr>
            <w:tcW w:w="1243" w:type="dxa"/>
            <w:vAlign w:val="center"/>
          </w:tcPr>
          <w:p w14:paraId="4E761E54" w14:textId="77777777" w:rsidR="00295BCD" w:rsidRPr="001927D6" w:rsidRDefault="00295BCD">
            <w:pPr>
              <w:spacing w:after="0" w:line="240" w:lineRule="auto"/>
              <w:jc w:val="center"/>
              <w:textAlignment w:val="baseline"/>
              <w:rPr>
                <w:szCs w:val="24"/>
                <w:lang w:eastAsia="et-EE"/>
              </w:rPr>
            </w:pPr>
            <w:r w:rsidRPr="001927D6">
              <w:rPr>
                <w:color w:val="000000"/>
                <w:szCs w:val="24"/>
              </w:rPr>
              <w:t>2 364,19</w:t>
            </w:r>
          </w:p>
        </w:tc>
        <w:tc>
          <w:tcPr>
            <w:tcW w:w="1211" w:type="dxa"/>
            <w:vAlign w:val="center"/>
          </w:tcPr>
          <w:p w14:paraId="247650D0" w14:textId="77777777" w:rsidR="00295BCD" w:rsidRPr="001927D6" w:rsidRDefault="00295BCD">
            <w:pPr>
              <w:spacing w:after="0" w:line="240" w:lineRule="auto"/>
              <w:jc w:val="center"/>
              <w:textAlignment w:val="baseline"/>
              <w:rPr>
                <w:szCs w:val="24"/>
                <w:lang w:eastAsia="et-EE"/>
              </w:rPr>
            </w:pPr>
            <w:r w:rsidRPr="001927D6">
              <w:rPr>
                <w:color w:val="000000"/>
                <w:szCs w:val="24"/>
              </w:rPr>
              <w:t>1 303,72</w:t>
            </w:r>
          </w:p>
        </w:tc>
        <w:tc>
          <w:tcPr>
            <w:tcW w:w="1238" w:type="dxa"/>
            <w:vAlign w:val="center"/>
          </w:tcPr>
          <w:p w14:paraId="6A06FC4C" w14:textId="77777777" w:rsidR="00295BCD" w:rsidRPr="001927D6" w:rsidRDefault="00295BCD">
            <w:pPr>
              <w:spacing w:after="0" w:line="240" w:lineRule="auto"/>
              <w:jc w:val="center"/>
              <w:textAlignment w:val="baseline"/>
              <w:rPr>
                <w:szCs w:val="24"/>
                <w:lang w:eastAsia="et-EE"/>
              </w:rPr>
            </w:pPr>
            <w:r w:rsidRPr="001927D6">
              <w:rPr>
                <w:color w:val="000000"/>
                <w:szCs w:val="24"/>
              </w:rPr>
              <w:t>4 086,64</w:t>
            </w:r>
          </w:p>
        </w:tc>
      </w:tr>
      <w:tr w:rsidR="00295BCD" w:rsidRPr="001927D6" w14:paraId="3868BED2" w14:textId="77777777" w:rsidTr="00295BCD">
        <w:trPr>
          <w:divId w:val="1316184749"/>
          <w:trHeight w:val="300"/>
        </w:trPr>
        <w:tc>
          <w:tcPr>
            <w:tcW w:w="4632" w:type="dxa"/>
            <w:vAlign w:val="bottom"/>
            <w:hideMark/>
          </w:tcPr>
          <w:p w14:paraId="7CE5D45F" w14:textId="77777777" w:rsidR="00295BCD" w:rsidRPr="001927D6" w:rsidRDefault="00295BCD">
            <w:pPr>
              <w:spacing w:after="0" w:line="240" w:lineRule="auto"/>
              <w:textAlignment w:val="baseline"/>
              <w:rPr>
                <w:szCs w:val="24"/>
                <w:lang w:eastAsia="et-EE"/>
              </w:rPr>
            </w:pPr>
            <w:r w:rsidRPr="001927D6">
              <w:rPr>
                <w:szCs w:val="24"/>
                <w:lang w:eastAsia="et-EE"/>
              </w:rPr>
              <w:t>Songa operatsioonid, välja arvatud kubemesong ja reiesong, vanus &gt; 17, kht-ta </w:t>
            </w:r>
          </w:p>
        </w:tc>
        <w:tc>
          <w:tcPr>
            <w:tcW w:w="732" w:type="dxa"/>
            <w:vAlign w:val="center"/>
            <w:hideMark/>
          </w:tcPr>
          <w:p w14:paraId="18112AB0" w14:textId="77777777" w:rsidR="00295BCD" w:rsidRPr="001927D6" w:rsidRDefault="00295BCD">
            <w:pPr>
              <w:spacing w:after="0" w:line="240" w:lineRule="auto"/>
              <w:jc w:val="center"/>
              <w:textAlignment w:val="baseline"/>
              <w:rPr>
                <w:szCs w:val="24"/>
                <w:lang w:eastAsia="et-EE"/>
              </w:rPr>
            </w:pPr>
            <w:r w:rsidRPr="001927D6">
              <w:rPr>
                <w:szCs w:val="24"/>
                <w:lang w:eastAsia="et-EE"/>
              </w:rPr>
              <w:t>160 </w:t>
            </w:r>
          </w:p>
        </w:tc>
        <w:tc>
          <w:tcPr>
            <w:tcW w:w="1243" w:type="dxa"/>
            <w:vAlign w:val="center"/>
          </w:tcPr>
          <w:p w14:paraId="659F643F" w14:textId="77777777" w:rsidR="00295BCD" w:rsidRPr="001927D6" w:rsidRDefault="00295BCD">
            <w:pPr>
              <w:spacing w:after="0" w:line="240" w:lineRule="auto"/>
              <w:jc w:val="center"/>
              <w:textAlignment w:val="baseline"/>
              <w:rPr>
                <w:szCs w:val="24"/>
                <w:lang w:eastAsia="et-EE"/>
              </w:rPr>
            </w:pPr>
            <w:r w:rsidRPr="001927D6">
              <w:rPr>
                <w:color w:val="000000"/>
                <w:szCs w:val="24"/>
              </w:rPr>
              <w:t>2 061,07</w:t>
            </w:r>
          </w:p>
        </w:tc>
        <w:tc>
          <w:tcPr>
            <w:tcW w:w="1211" w:type="dxa"/>
            <w:vAlign w:val="center"/>
          </w:tcPr>
          <w:p w14:paraId="2ED5BB93" w14:textId="77777777" w:rsidR="00295BCD" w:rsidRPr="001927D6" w:rsidRDefault="00295BCD">
            <w:pPr>
              <w:spacing w:after="0" w:line="240" w:lineRule="auto"/>
              <w:jc w:val="center"/>
              <w:textAlignment w:val="baseline"/>
              <w:rPr>
                <w:szCs w:val="24"/>
                <w:lang w:eastAsia="et-EE"/>
              </w:rPr>
            </w:pPr>
            <w:r w:rsidRPr="001927D6">
              <w:rPr>
                <w:color w:val="000000"/>
                <w:szCs w:val="24"/>
              </w:rPr>
              <w:t>1 138,37</w:t>
            </w:r>
          </w:p>
        </w:tc>
        <w:tc>
          <w:tcPr>
            <w:tcW w:w="1238" w:type="dxa"/>
            <w:vAlign w:val="center"/>
          </w:tcPr>
          <w:p w14:paraId="5889C573" w14:textId="77777777" w:rsidR="00295BCD" w:rsidRPr="001927D6" w:rsidRDefault="00295BCD">
            <w:pPr>
              <w:spacing w:after="0" w:line="240" w:lineRule="auto"/>
              <w:jc w:val="center"/>
              <w:textAlignment w:val="baseline"/>
              <w:rPr>
                <w:szCs w:val="24"/>
                <w:lang w:eastAsia="et-EE"/>
              </w:rPr>
            </w:pPr>
            <w:r w:rsidRPr="001927D6">
              <w:rPr>
                <w:color w:val="000000"/>
                <w:szCs w:val="24"/>
              </w:rPr>
              <w:t>3 315,26</w:t>
            </w:r>
          </w:p>
        </w:tc>
      </w:tr>
      <w:tr w:rsidR="00295BCD" w:rsidRPr="001927D6" w14:paraId="66F68974" w14:textId="77777777" w:rsidTr="00295BCD">
        <w:trPr>
          <w:divId w:val="1316184749"/>
          <w:trHeight w:val="300"/>
        </w:trPr>
        <w:tc>
          <w:tcPr>
            <w:tcW w:w="4632" w:type="dxa"/>
            <w:vAlign w:val="bottom"/>
            <w:hideMark/>
          </w:tcPr>
          <w:p w14:paraId="256D434D" w14:textId="77777777" w:rsidR="00295BCD" w:rsidRPr="001927D6" w:rsidRDefault="00295BCD">
            <w:pPr>
              <w:spacing w:after="0" w:line="240" w:lineRule="auto"/>
              <w:textAlignment w:val="baseline"/>
              <w:rPr>
                <w:szCs w:val="24"/>
                <w:lang w:eastAsia="et-EE"/>
              </w:rPr>
            </w:pPr>
            <w:r w:rsidRPr="001927D6">
              <w:rPr>
                <w:szCs w:val="24"/>
                <w:lang w:eastAsia="et-EE"/>
              </w:rPr>
              <w:t>Songa operatsioonid, välja arvatud kubemesong ja reiesong, lühike ravi </w:t>
            </w:r>
          </w:p>
        </w:tc>
        <w:tc>
          <w:tcPr>
            <w:tcW w:w="732" w:type="dxa"/>
            <w:vAlign w:val="center"/>
            <w:hideMark/>
          </w:tcPr>
          <w:p w14:paraId="6BBB9F9C" w14:textId="77777777" w:rsidR="00295BCD" w:rsidRPr="001927D6" w:rsidRDefault="00295BCD">
            <w:pPr>
              <w:spacing w:after="0" w:line="240" w:lineRule="auto"/>
              <w:jc w:val="center"/>
              <w:textAlignment w:val="baseline"/>
              <w:rPr>
                <w:szCs w:val="24"/>
                <w:lang w:eastAsia="et-EE"/>
              </w:rPr>
            </w:pPr>
            <w:r w:rsidRPr="001927D6">
              <w:rPr>
                <w:szCs w:val="24"/>
                <w:lang w:eastAsia="et-EE"/>
              </w:rPr>
              <w:t>160O </w:t>
            </w:r>
          </w:p>
        </w:tc>
        <w:tc>
          <w:tcPr>
            <w:tcW w:w="1243" w:type="dxa"/>
            <w:vAlign w:val="center"/>
          </w:tcPr>
          <w:p w14:paraId="17E71E2F" w14:textId="77777777" w:rsidR="00295BCD" w:rsidRPr="001927D6" w:rsidRDefault="00295BCD">
            <w:pPr>
              <w:spacing w:after="0" w:line="240" w:lineRule="auto"/>
              <w:jc w:val="center"/>
              <w:textAlignment w:val="baseline"/>
              <w:rPr>
                <w:szCs w:val="24"/>
                <w:lang w:eastAsia="et-EE"/>
              </w:rPr>
            </w:pPr>
            <w:r w:rsidRPr="001927D6">
              <w:rPr>
                <w:color w:val="000000"/>
                <w:szCs w:val="24"/>
              </w:rPr>
              <w:t>1 122,52</w:t>
            </w:r>
          </w:p>
        </w:tc>
        <w:tc>
          <w:tcPr>
            <w:tcW w:w="1211" w:type="dxa"/>
            <w:vAlign w:val="center"/>
          </w:tcPr>
          <w:p w14:paraId="187DA3F4" w14:textId="77777777" w:rsidR="00295BCD" w:rsidRPr="001927D6" w:rsidRDefault="00295BCD">
            <w:pPr>
              <w:spacing w:after="0" w:line="240" w:lineRule="auto"/>
              <w:jc w:val="center"/>
              <w:textAlignment w:val="baseline"/>
              <w:rPr>
                <w:szCs w:val="24"/>
                <w:lang w:eastAsia="et-EE"/>
              </w:rPr>
            </w:pPr>
            <w:r w:rsidRPr="001927D6">
              <w:rPr>
                <w:color w:val="000000"/>
                <w:szCs w:val="24"/>
              </w:rPr>
              <w:t>887,12</w:t>
            </w:r>
          </w:p>
        </w:tc>
        <w:tc>
          <w:tcPr>
            <w:tcW w:w="1238" w:type="dxa"/>
            <w:vAlign w:val="center"/>
          </w:tcPr>
          <w:p w14:paraId="270787EE" w14:textId="77777777" w:rsidR="00295BCD" w:rsidRPr="001927D6" w:rsidRDefault="00295BCD">
            <w:pPr>
              <w:spacing w:after="0" w:line="240" w:lineRule="auto"/>
              <w:jc w:val="center"/>
              <w:textAlignment w:val="baseline"/>
              <w:rPr>
                <w:szCs w:val="24"/>
                <w:lang w:eastAsia="et-EE"/>
              </w:rPr>
            </w:pPr>
            <w:r w:rsidRPr="001927D6">
              <w:rPr>
                <w:color w:val="000000"/>
                <w:szCs w:val="24"/>
              </w:rPr>
              <w:t>1 591,52</w:t>
            </w:r>
          </w:p>
        </w:tc>
      </w:tr>
      <w:tr w:rsidR="00295BCD" w:rsidRPr="001927D6" w14:paraId="5D040AB7" w14:textId="77777777" w:rsidTr="00295BCD">
        <w:trPr>
          <w:divId w:val="1316184749"/>
          <w:trHeight w:val="300"/>
        </w:trPr>
        <w:tc>
          <w:tcPr>
            <w:tcW w:w="4632" w:type="dxa"/>
            <w:vAlign w:val="bottom"/>
            <w:hideMark/>
          </w:tcPr>
          <w:p w14:paraId="1B0418BC" w14:textId="77777777" w:rsidR="00295BCD" w:rsidRPr="001927D6" w:rsidRDefault="00295BCD">
            <w:pPr>
              <w:spacing w:after="0" w:line="240" w:lineRule="auto"/>
              <w:textAlignment w:val="baseline"/>
              <w:rPr>
                <w:szCs w:val="24"/>
                <w:lang w:eastAsia="et-EE"/>
              </w:rPr>
            </w:pPr>
            <w:r w:rsidRPr="001927D6">
              <w:rPr>
                <w:szCs w:val="24"/>
                <w:lang w:eastAsia="et-EE"/>
              </w:rPr>
              <w:t>Kubemesonga ja reiesonga operatsioonid, vanus &gt; 17, kht-ga </w:t>
            </w:r>
          </w:p>
        </w:tc>
        <w:tc>
          <w:tcPr>
            <w:tcW w:w="732" w:type="dxa"/>
            <w:vAlign w:val="center"/>
            <w:hideMark/>
          </w:tcPr>
          <w:p w14:paraId="0735A5DD" w14:textId="77777777" w:rsidR="00295BCD" w:rsidRPr="001927D6" w:rsidRDefault="00295BCD">
            <w:pPr>
              <w:spacing w:after="0" w:line="240" w:lineRule="auto"/>
              <w:jc w:val="center"/>
              <w:textAlignment w:val="baseline"/>
              <w:rPr>
                <w:szCs w:val="24"/>
                <w:lang w:eastAsia="et-EE"/>
              </w:rPr>
            </w:pPr>
            <w:r w:rsidRPr="001927D6">
              <w:rPr>
                <w:szCs w:val="24"/>
                <w:lang w:eastAsia="et-EE"/>
              </w:rPr>
              <w:t>161 </w:t>
            </w:r>
          </w:p>
        </w:tc>
        <w:tc>
          <w:tcPr>
            <w:tcW w:w="1243" w:type="dxa"/>
            <w:vAlign w:val="center"/>
          </w:tcPr>
          <w:p w14:paraId="3028C04A" w14:textId="77777777" w:rsidR="00295BCD" w:rsidRPr="001927D6" w:rsidRDefault="00295BCD">
            <w:pPr>
              <w:spacing w:after="0" w:line="240" w:lineRule="auto"/>
              <w:jc w:val="center"/>
              <w:textAlignment w:val="baseline"/>
              <w:rPr>
                <w:szCs w:val="24"/>
                <w:lang w:eastAsia="et-EE"/>
              </w:rPr>
            </w:pPr>
            <w:r w:rsidRPr="001927D6">
              <w:rPr>
                <w:color w:val="000000"/>
                <w:szCs w:val="24"/>
              </w:rPr>
              <w:t>1 624,39</w:t>
            </w:r>
          </w:p>
        </w:tc>
        <w:tc>
          <w:tcPr>
            <w:tcW w:w="1211" w:type="dxa"/>
            <w:vAlign w:val="center"/>
          </w:tcPr>
          <w:p w14:paraId="2665A8C8" w14:textId="77777777" w:rsidR="00295BCD" w:rsidRPr="001927D6" w:rsidRDefault="00295BCD">
            <w:pPr>
              <w:spacing w:after="0" w:line="240" w:lineRule="auto"/>
              <w:jc w:val="center"/>
              <w:textAlignment w:val="baseline"/>
              <w:rPr>
                <w:szCs w:val="24"/>
                <w:lang w:eastAsia="et-EE"/>
              </w:rPr>
            </w:pPr>
            <w:r w:rsidRPr="001927D6">
              <w:rPr>
                <w:color w:val="000000"/>
                <w:szCs w:val="24"/>
              </w:rPr>
              <w:t>1 131,49</w:t>
            </w:r>
          </w:p>
        </w:tc>
        <w:tc>
          <w:tcPr>
            <w:tcW w:w="1238" w:type="dxa"/>
            <w:vAlign w:val="center"/>
          </w:tcPr>
          <w:p w14:paraId="2508C897" w14:textId="77777777" w:rsidR="00295BCD" w:rsidRPr="001927D6" w:rsidRDefault="00295BCD">
            <w:pPr>
              <w:spacing w:after="0" w:line="240" w:lineRule="auto"/>
              <w:jc w:val="center"/>
              <w:textAlignment w:val="baseline"/>
              <w:rPr>
                <w:szCs w:val="24"/>
                <w:lang w:eastAsia="et-EE"/>
              </w:rPr>
            </w:pPr>
            <w:r w:rsidRPr="001927D6">
              <w:rPr>
                <w:color w:val="000000"/>
                <w:szCs w:val="24"/>
              </w:rPr>
              <w:t>2 521,61</w:t>
            </w:r>
          </w:p>
        </w:tc>
      </w:tr>
      <w:tr w:rsidR="00295BCD" w:rsidRPr="001927D6" w14:paraId="1387944C" w14:textId="77777777" w:rsidTr="00295BCD">
        <w:trPr>
          <w:divId w:val="1316184749"/>
          <w:trHeight w:val="300"/>
        </w:trPr>
        <w:tc>
          <w:tcPr>
            <w:tcW w:w="4632" w:type="dxa"/>
            <w:vAlign w:val="bottom"/>
            <w:hideMark/>
          </w:tcPr>
          <w:p w14:paraId="7F1C01B7" w14:textId="77777777" w:rsidR="00295BCD" w:rsidRPr="001927D6" w:rsidRDefault="00295BCD">
            <w:pPr>
              <w:spacing w:after="0" w:line="240" w:lineRule="auto"/>
              <w:textAlignment w:val="baseline"/>
              <w:rPr>
                <w:szCs w:val="24"/>
                <w:lang w:eastAsia="et-EE"/>
              </w:rPr>
            </w:pPr>
            <w:r w:rsidRPr="001927D6">
              <w:rPr>
                <w:szCs w:val="24"/>
                <w:lang w:eastAsia="et-EE"/>
              </w:rPr>
              <w:t>Kubemesonga ja reiesonga operatsioonid, vanus &gt; 17, kht-ta </w:t>
            </w:r>
          </w:p>
        </w:tc>
        <w:tc>
          <w:tcPr>
            <w:tcW w:w="732" w:type="dxa"/>
            <w:vAlign w:val="center"/>
            <w:hideMark/>
          </w:tcPr>
          <w:p w14:paraId="707AD79E" w14:textId="77777777" w:rsidR="00295BCD" w:rsidRPr="001927D6" w:rsidRDefault="00295BCD">
            <w:pPr>
              <w:spacing w:after="0" w:line="240" w:lineRule="auto"/>
              <w:jc w:val="center"/>
              <w:textAlignment w:val="baseline"/>
              <w:rPr>
                <w:szCs w:val="24"/>
                <w:lang w:eastAsia="et-EE"/>
              </w:rPr>
            </w:pPr>
            <w:r w:rsidRPr="001927D6">
              <w:rPr>
                <w:szCs w:val="24"/>
                <w:lang w:eastAsia="et-EE"/>
              </w:rPr>
              <w:t>162 </w:t>
            </w:r>
          </w:p>
        </w:tc>
        <w:tc>
          <w:tcPr>
            <w:tcW w:w="1243" w:type="dxa"/>
            <w:vAlign w:val="center"/>
          </w:tcPr>
          <w:p w14:paraId="33AEB844" w14:textId="77777777" w:rsidR="00295BCD" w:rsidRPr="001927D6" w:rsidRDefault="00295BCD">
            <w:pPr>
              <w:spacing w:after="0" w:line="240" w:lineRule="auto"/>
              <w:jc w:val="center"/>
              <w:textAlignment w:val="baseline"/>
              <w:rPr>
                <w:szCs w:val="24"/>
                <w:lang w:eastAsia="et-EE"/>
              </w:rPr>
            </w:pPr>
            <w:r w:rsidRPr="001927D6">
              <w:rPr>
                <w:color w:val="000000"/>
                <w:szCs w:val="24"/>
              </w:rPr>
              <w:t>1 399,76</w:t>
            </w:r>
          </w:p>
        </w:tc>
        <w:tc>
          <w:tcPr>
            <w:tcW w:w="1211" w:type="dxa"/>
            <w:vAlign w:val="center"/>
          </w:tcPr>
          <w:p w14:paraId="50DFE9E2" w14:textId="77777777" w:rsidR="00295BCD" w:rsidRPr="001927D6" w:rsidRDefault="00295BCD">
            <w:pPr>
              <w:spacing w:after="0" w:line="240" w:lineRule="auto"/>
              <w:jc w:val="center"/>
              <w:textAlignment w:val="baseline"/>
              <w:rPr>
                <w:szCs w:val="24"/>
                <w:lang w:eastAsia="et-EE"/>
              </w:rPr>
            </w:pPr>
            <w:r w:rsidRPr="001927D6">
              <w:rPr>
                <w:color w:val="000000"/>
                <w:szCs w:val="24"/>
              </w:rPr>
              <w:t>1 117,73</w:t>
            </w:r>
          </w:p>
        </w:tc>
        <w:tc>
          <w:tcPr>
            <w:tcW w:w="1238" w:type="dxa"/>
            <w:vAlign w:val="center"/>
          </w:tcPr>
          <w:p w14:paraId="391C737F" w14:textId="77777777" w:rsidR="00295BCD" w:rsidRPr="001927D6" w:rsidRDefault="00295BCD">
            <w:pPr>
              <w:spacing w:after="0" w:line="240" w:lineRule="auto"/>
              <w:jc w:val="center"/>
              <w:textAlignment w:val="baseline"/>
              <w:rPr>
                <w:szCs w:val="24"/>
                <w:lang w:eastAsia="et-EE"/>
              </w:rPr>
            </w:pPr>
            <w:r w:rsidRPr="001927D6">
              <w:rPr>
                <w:color w:val="000000"/>
                <w:szCs w:val="24"/>
              </w:rPr>
              <w:t>1 946,72</w:t>
            </w:r>
          </w:p>
        </w:tc>
      </w:tr>
      <w:tr w:rsidR="00295BCD" w:rsidRPr="001927D6" w14:paraId="1CE07E08" w14:textId="77777777" w:rsidTr="00295BCD">
        <w:trPr>
          <w:divId w:val="1316184749"/>
          <w:trHeight w:val="300"/>
        </w:trPr>
        <w:tc>
          <w:tcPr>
            <w:tcW w:w="4632" w:type="dxa"/>
            <w:vAlign w:val="bottom"/>
            <w:hideMark/>
          </w:tcPr>
          <w:p w14:paraId="5350F42F" w14:textId="77777777" w:rsidR="00295BCD" w:rsidRPr="001927D6" w:rsidRDefault="00295BCD">
            <w:pPr>
              <w:spacing w:after="0" w:line="240" w:lineRule="auto"/>
              <w:textAlignment w:val="baseline"/>
              <w:rPr>
                <w:szCs w:val="24"/>
                <w:lang w:eastAsia="et-EE"/>
              </w:rPr>
            </w:pPr>
            <w:r w:rsidRPr="001927D6">
              <w:rPr>
                <w:szCs w:val="24"/>
                <w:lang w:eastAsia="et-EE"/>
              </w:rPr>
              <w:t>Kubemesonga ja reiesonga operatsioonid, lühike ravi </w:t>
            </w:r>
          </w:p>
        </w:tc>
        <w:tc>
          <w:tcPr>
            <w:tcW w:w="732" w:type="dxa"/>
            <w:vAlign w:val="center"/>
            <w:hideMark/>
          </w:tcPr>
          <w:p w14:paraId="63B4A157" w14:textId="77777777" w:rsidR="00295BCD" w:rsidRPr="001927D6" w:rsidRDefault="00295BCD">
            <w:pPr>
              <w:spacing w:after="0" w:line="240" w:lineRule="auto"/>
              <w:jc w:val="center"/>
              <w:textAlignment w:val="baseline"/>
              <w:rPr>
                <w:szCs w:val="24"/>
                <w:lang w:eastAsia="et-EE"/>
              </w:rPr>
            </w:pPr>
            <w:r w:rsidRPr="001927D6">
              <w:rPr>
                <w:szCs w:val="24"/>
                <w:lang w:eastAsia="et-EE"/>
              </w:rPr>
              <w:t>162O </w:t>
            </w:r>
          </w:p>
        </w:tc>
        <w:tc>
          <w:tcPr>
            <w:tcW w:w="1243" w:type="dxa"/>
            <w:vAlign w:val="center"/>
          </w:tcPr>
          <w:p w14:paraId="239E6085" w14:textId="77777777" w:rsidR="00295BCD" w:rsidRPr="001927D6" w:rsidRDefault="00295BCD">
            <w:pPr>
              <w:spacing w:after="0" w:line="240" w:lineRule="auto"/>
              <w:jc w:val="center"/>
              <w:textAlignment w:val="baseline"/>
              <w:rPr>
                <w:szCs w:val="24"/>
                <w:lang w:eastAsia="et-EE"/>
              </w:rPr>
            </w:pPr>
            <w:r w:rsidRPr="001927D6">
              <w:rPr>
                <w:color w:val="000000"/>
                <w:szCs w:val="24"/>
              </w:rPr>
              <w:t>1 219,13</w:t>
            </w:r>
          </w:p>
        </w:tc>
        <w:tc>
          <w:tcPr>
            <w:tcW w:w="1211" w:type="dxa"/>
            <w:vAlign w:val="center"/>
          </w:tcPr>
          <w:p w14:paraId="0DE9A6F6" w14:textId="77777777" w:rsidR="00295BCD" w:rsidRPr="001927D6" w:rsidRDefault="00295BCD">
            <w:pPr>
              <w:spacing w:after="0" w:line="240" w:lineRule="auto"/>
              <w:jc w:val="center"/>
              <w:textAlignment w:val="baseline"/>
              <w:rPr>
                <w:szCs w:val="24"/>
                <w:lang w:eastAsia="et-EE"/>
              </w:rPr>
            </w:pPr>
            <w:r w:rsidRPr="001927D6">
              <w:rPr>
                <w:color w:val="000000"/>
                <w:szCs w:val="24"/>
              </w:rPr>
              <w:t>973,19</w:t>
            </w:r>
          </w:p>
        </w:tc>
        <w:tc>
          <w:tcPr>
            <w:tcW w:w="1238" w:type="dxa"/>
            <w:vAlign w:val="center"/>
          </w:tcPr>
          <w:p w14:paraId="57B6DA45" w14:textId="77777777" w:rsidR="00295BCD" w:rsidRPr="001927D6" w:rsidRDefault="00295BCD">
            <w:pPr>
              <w:spacing w:after="0" w:line="240" w:lineRule="auto"/>
              <w:jc w:val="center"/>
              <w:textAlignment w:val="baseline"/>
              <w:rPr>
                <w:szCs w:val="24"/>
                <w:lang w:eastAsia="et-EE"/>
              </w:rPr>
            </w:pPr>
            <w:r w:rsidRPr="001927D6">
              <w:rPr>
                <w:color w:val="000000"/>
                <w:szCs w:val="24"/>
              </w:rPr>
              <w:t>1 574,95</w:t>
            </w:r>
          </w:p>
        </w:tc>
      </w:tr>
      <w:tr w:rsidR="00295BCD" w:rsidRPr="001927D6" w14:paraId="0D8BA310" w14:textId="77777777" w:rsidTr="00295BCD">
        <w:trPr>
          <w:divId w:val="1316184749"/>
          <w:trHeight w:val="300"/>
        </w:trPr>
        <w:tc>
          <w:tcPr>
            <w:tcW w:w="4632" w:type="dxa"/>
            <w:vAlign w:val="bottom"/>
            <w:hideMark/>
          </w:tcPr>
          <w:p w14:paraId="6B4FC123" w14:textId="77777777" w:rsidR="00295BCD" w:rsidRPr="001927D6" w:rsidRDefault="00295BCD">
            <w:pPr>
              <w:spacing w:after="0" w:line="240" w:lineRule="auto"/>
              <w:textAlignment w:val="baseline"/>
              <w:rPr>
                <w:szCs w:val="24"/>
                <w:lang w:eastAsia="et-EE"/>
              </w:rPr>
            </w:pPr>
            <w:r w:rsidRPr="001927D6">
              <w:rPr>
                <w:szCs w:val="24"/>
                <w:lang w:eastAsia="et-EE"/>
              </w:rPr>
              <w:t>Kubemesonga ja reiesonga operatsioonid, kahepoolne, lühike ravi </w:t>
            </w:r>
          </w:p>
        </w:tc>
        <w:tc>
          <w:tcPr>
            <w:tcW w:w="732" w:type="dxa"/>
            <w:vAlign w:val="center"/>
            <w:hideMark/>
          </w:tcPr>
          <w:p w14:paraId="6DB13973" w14:textId="77777777" w:rsidR="00295BCD" w:rsidRPr="001927D6" w:rsidRDefault="00295BCD">
            <w:pPr>
              <w:spacing w:after="0" w:line="240" w:lineRule="auto"/>
              <w:jc w:val="center"/>
              <w:textAlignment w:val="baseline"/>
              <w:rPr>
                <w:szCs w:val="24"/>
                <w:lang w:eastAsia="et-EE"/>
              </w:rPr>
            </w:pPr>
            <w:r w:rsidRPr="001927D6">
              <w:rPr>
                <w:szCs w:val="24"/>
                <w:lang w:eastAsia="et-EE"/>
              </w:rPr>
              <w:t>162P </w:t>
            </w:r>
          </w:p>
        </w:tc>
        <w:tc>
          <w:tcPr>
            <w:tcW w:w="1243" w:type="dxa"/>
            <w:vAlign w:val="center"/>
          </w:tcPr>
          <w:p w14:paraId="42F5D39C" w14:textId="77777777" w:rsidR="00295BCD" w:rsidRPr="001927D6" w:rsidRDefault="00295BCD">
            <w:pPr>
              <w:spacing w:after="0" w:line="240" w:lineRule="auto"/>
              <w:jc w:val="center"/>
              <w:textAlignment w:val="baseline"/>
              <w:rPr>
                <w:szCs w:val="24"/>
                <w:lang w:eastAsia="et-EE"/>
              </w:rPr>
            </w:pPr>
            <w:r w:rsidRPr="001927D6">
              <w:rPr>
                <w:color w:val="000000"/>
                <w:szCs w:val="24"/>
              </w:rPr>
              <w:t>1 671,98</w:t>
            </w:r>
          </w:p>
        </w:tc>
        <w:tc>
          <w:tcPr>
            <w:tcW w:w="1211" w:type="dxa"/>
            <w:vAlign w:val="center"/>
          </w:tcPr>
          <w:p w14:paraId="6BC3D1A0" w14:textId="77777777" w:rsidR="00295BCD" w:rsidRPr="001927D6" w:rsidRDefault="00295BCD">
            <w:pPr>
              <w:spacing w:after="0" w:line="240" w:lineRule="auto"/>
              <w:jc w:val="center"/>
              <w:textAlignment w:val="baseline"/>
              <w:rPr>
                <w:szCs w:val="24"/>
                <w:lang w:eastAsia="et-EE"/>
              </w:rPr>
            </w:pPr>
            <w:r w:rsidRPr="001927D6">
              <w:rPr>
                <w:color w:val="000000"/>
                <w:szCs w:val="24"/>
              </w:rPr>
              <w:t>1 259,23</w:t>
            </w:r>
          </w:p>
        </w:tc>
        <w:tc>
          <w:tcPr>
            <w:tcW w:w="1238" w:type="dxa"/>
            <w:vAlign w:val="center"/>
          </w:tcPr>
          <w:p w14:paraId="524DCBAE" w14:textId="77777777" w:rsidR="00295BCD" w:rsidRPr="001927D6" w:rsidRDefault="00295BCD">
            <w:pPr>
              <w:spacing w:after="0" w:line="240" w:lineRule="auto"/>
              <w:jc w:val="center"/>
              <w:textAlignment w:val="baseline"/>
              <w:rPr>
                <w:szCs w:val="24"/>
                <w:lang w:eastAsia="et-EE"/>
              </w:rPr>
            </w:pPr>
            <w:r w:rsidRPr="001927D6">
              <w:rPr>
                <w:color w:val="000000"/>
                <w:szCs w:val="24"/>
              </w:rPr>
              <w:t>2 129,24</w:t>
            </w:r>
          </w:p>
        </w:tc>
      </w:tr>
      <w:tr w:rsidR="00295BCD" w:rsidRPr="001927D6" w14:paraId="074852FC" w14:textId="77777777" w:rsidTr="00295BCD">
        <w:trPr>
          <w:divId w:val="1316184749"/>
          <w:trHeight w:val="300"/>
        </w:trPr>
        <w:tc>
          <w:tcPr>
            <w:tcW w:w="4632" w:type="dxa"/>
            <w:vAlign w:val="bottom"/>
            <w:hideMark/>
          </w:tcPr>
          <w:p w14:paraId="40FB4FEA" w14:textId="77777777" w:rsidR="00295BCD" w:rsidRPr="001927D6" w:rsidRDefault="00295BCD">
            <w:pPr>
              <w:spacing w:after="0" w:line="240" w:lineRule="auto"/>
              <w:textAlignment w:val="baseline"/>
              <w:rPr>
                <w:szCs w:val="24"/>
                <w:lang w:eastAsia="et-EE"/>
              </w:rPr>
            </w:pPr>
            <w:r w:rsidRPr="001927D6">
              <w:rPr>
                <w:szCs w:val="24"/>
                <w:lang w:eastAsia="et-EE"/>
              </w:rPr>
              <w:t>Songa operatsioonid, vanus 0–17 </w:t>
            </w:r>
          </w:p>
        </w:tc>
        <w:tc>
          <w:tcPr>
            <w:tcW w:w="732" w:type="dxa"/>
            <w:vAlign w:val="center"/>
            <w:hideMark/>
          </w:tcPr>
          <w:p w14:paraId="04359935" w14:textId="77777777" w:rsidR="00295BCD" w:rsidRPr="001927D6" w:rsidRDefault="00295BCD">
            <w:pPr>
              <w:spacing w:after="0" w:line="240" w:lineRule="auto"/>
              <w:jc w:val="center"/>
              <w:textAlignment w:val="baseline"/>
              <w:rPr>
                <w:szCs w:val="24"/>
                <w:lang w:eastAsia="et-EE"/>
              </w:rPr>
            </w:pPr>
            <w:r w:rsidRPr="001927D6">
              <w:rPr>
                <w:szCs w:val="24"/>
                <w:lang w:eastAsia="et-EE"/>
              </w:rPr>
              <w:t>163 </w:t>
            </w:r>
          </w:p>
        </w:tc>
        <w:tc>
          <w:tcPr>
            <w:tcW w:w="1243" w:type="dxa"/>
            <w:vAlign w:val="center"/>
          </w:tcPr>
          <w:p w14:paraId="17432786" w14:textId="77777777" w:rsidR="00295BCD" w:rsidRPr="001927D6" w:rsidRDefault="00295BCD">
            <w:pPr>
              <w:spacing w:after="0" w:line="240" w:lineRule="auto"/>
              <w:jc w:val="center"/>
              <w:textAlignment w:val="baseline"/>
              <w:rPr>
                <w:szCs w:val="24"/>
                <w:lang w:eastAsia="et-EE"/>
              </w:rPr>
            </w:pPr>
            <w:r w:rsidRPr="001927D6">
              <w:rPr>
                <w:color w:val="000000"/>
                <w:szCs w:val="24"/>
              </w:rPr>
              <w:t>1 224,34</w:t>
            </w:r>
          </w:p>
        </w:tc>
        <w:tc>
          <w:tcPr>
            <w:tcW w:w="1211" w:type="dxa"/>
            <w:vAlign w:val="center"/>
          </w:tcPr>
          <w:p w14:paraId="06500C09" w14:textId="77777777" w:rsidR="00295BCD" w:rsidRPr="001927D6" w:rsidRDefault="00295BCD">
            <w:pPr>
              <w:spacing w:after="0" w:line="240" w:lineRule="auto"/>
              <w:jc w:val="center"/>
              <w:textAlignment w:val="baseline"/>
              <w:rPr>
                <w:szCs w:val="24"/>
                <w:lang w:eastAsia="et-EE"/>
              </w:rPr>
            </w:pPr>
            <w:r w:rsidRPr="001927D6">
              <w:rPr>
                <w:color w:val="000000"/>
                <w:szCs w:val="24"/>
              </w:rPr>
              <w:t>1 016,22</w:t>
            </w:r>
          </w:p>
        </w:tc>
        <w:tc>
          <w:tcPr>
            <w:tcW w:w="1238" w:type="dxa"/>
            <w:vAlign w:val="center"/>
          </w:tcPr>
          <w:p w14:paraId="47EA6C44" w14:textId="77777777" w:rsidR="00295BCD" w:rsidRPr="001927D6" w:rsidRDefault="00295BCD">
            <w:pPr>
              <w:spacing w:after="0" w:line="240" w:lineRule="auto"/>
              <w:jc w:val="center"/>
              <w:textAlignment w:val="baseline"/>
              <w:rPr>
                <w:szCs w:val="24"/>
                <w:lang w:eastAsia="et-EE"/>
              </w:rPr>
            </w:pPr>
            <w:r w:rsidRPr="001927D6">
              <w:rPr>
                <w:color w:val="000000"/>
                <w:szCs w:val="24"/>
              </w:rPr>
              <w:t>1 621,58</w:t>
            </w:r>
          </w:p>
        </w:tc>
      </w:tr>
      <w:tr w:rsidR="00295BCD" w:rsidRPr="001927D6" w14:paraId="582AC5A9" w14:textId="77777777" w:rsidTr="00295BCD">
        <w:trPr>
          <w:divId w:val="1316184749"/>
          <w:trHeight w:val="300"/>
        </w:trPr>
        <w:tc>
          <w:tcPr>
            <w:tcW w:w="4632" w:type="dxa"/>
            <w:vAlign w:val="bottom"/>
            <w:hideMark/>
          </w:tcPr>
          <w:p w14:paraId="7CA43EB2" w14:textId="77777777" w:rsidR="00295BCD" w:rsidRPr="001927D6" w:rsidRDefault="00295BCD">
            <w:pPr>
              <w:spacing w:after="0" w:line="240" w:lineRule="auto"/>
              <w:textAlignment w:val="baseline"/>
              <w:rPr>
                <w:szCs w:val="24"/>
                <w:lang w:eastAsia="et-EE"/>
              </w:rPr>
            </w:pPr>
            <w:r w:rsidRPr="001927D6">
              <w:rPr>
                <w:szCs w:val="24"/>
                <w:lang w:eastAsia="et-EE"/>
              </w:rPr>
              <w:t>Apendektoomia, tüsistunud </w:t>
            </w:r>
          </w:p>
        </w:tc>
        <w:tc>
          <w:tcPr>
            <w:tcW w:w="732" w:type="dxa"/>
            <w:vAlign w:val="center"/>
            <w:hideMark/>
          </w:tcPr>
          <w:p w14:paraId="440638DC" w14:textId="77777777" w:rsidR="00295BCD" w:rsidRPr="001927D6" w:rsidRDefault="00295BCD">
            <w:pPr>
              <w:spacing w:after="0" w:line="240" w:lineRule="auto"/>
              <w:jc w:val="center"/>
              <w:textAlignment w:val="baseline"/>
              <w:rPr>
                <w:szCs w:val="24"/>
                <w:lang w:eastAsia="et-EE"/>
              </w:rPr>
            </w:pPr>
            <w:r w:rsidRPr="001927D6">
              <w:rPr>
                <w:szCs w:val="24"/>
                <w:lang w:eastAsia="et-EE"/>
              </w:rPr>
              <w:t>166N </w:t>
            </w:r>
          </w:p>
        </w:tc>
        <w:tc>
          <w:tcPr>
            <w:tcW w:w="1243" w:type="dxa"/>
            <w:vAlign w:val="center"/>
          </w:tcPr>
          <w:p w14:paraId="3DC0360D" w14:textId="77777777" w:rsidR="00295BCD" w:rsidRPr="001927D6" w:rsidRDefault="00295BCD">
            <w:pPr>
              <w:spacing w:after="0" w:line="240" w:lineRule="auto"/>
              <w:jc w:val="center"/>
              <w:textAlignment w:val="baseline"/>
              <w:rPr>
                <w:szCs w:val="24"/>
                <w:lang w:eastAsia="et-EE"/>
              </w:rPr>
            </w:pPr>
            <w:r w:rsidRPr="001927D6">
              <w:rPr>
                <w:color w:val="000000"/>
                <w:szCs w:val="24"/>
              </w:rPr>
              <w:t>2 682,22</w:t>
            </w:r>
          </w:p>
        </w:tc>
        <w:tc>
          <w:tcPr>
            <w:tcW w:w="1211" w:type="dxa"/>
            <w:vAlign w:val="center"/>
          </w:tcPr>
          <w:p w14:paraId="11E65A4E" w14:textId="77777777" w:rsidR="00295BCD" w:rsidRPr="001927D6" w:rsidRDefault="00295BCD">
            <w:pPr>
              <w:spacing w:after="0" w:line="240" w:lineRule="auto"/>
              <w:jc w:val="center"/>
              <w:textAlignment w:val="baseline"/>
              <w:rPr>
                <w:szCs w:val="24"/>
                <w:lang w:eastAsia="et-EE"/>
              </w:rPr>
            </w:pPr>
            <w:r w:rsidRPr="001927D6">
              <w:rPr>
                <w:color w:val="000000"/>
                <w:szCs w:val="24"/>
              </w:rPr>
              <w:t>1 448,17</w:t>
            </w:r>
          </w:p>
        </w:tc>
        <w:tc>
          <w:tcPr>
            <w:tcW w:w="1238" w:type="dxa"/>
            <w:vAlign w:val="center"/>
          </w:tcPr>
          <w:p w14:paraId="4D23240C" w14:textId="77777777" w:rsidR="00295BCD" w:rsidRPr="001927D6" w:rsidRDefault="00295BCD">
            <w:pPr>
              <w:spacing w:after="0" w:line="240" w:lineRule="auto"/>
              <w:jc w:val="center"/>
              <w:textAlignment w:val="baseline"/>
              <w:rPr>
                <w:szCs w:val="24"/>
                <w:lang w:eastAsia="et-EE"/>
              </w:rPr>
            </w:pPr>
            <w:r w:rsidRPr="001927D6">
              <w:rPr>
                <w:color w:val="000000"/>
                <w:szCs w:val="24"/>
              </w:rPr>
              <w:t>5 748,34</w:t>
            </w:r>
          </w:p>
        </w:tc>
      </w:tr>
      <w:tr w:rsidR="00295BCD" w:rsidRPr="001927D6" w14:paraId="640D8927" w14:textId="77777777" w:rsidTr="00295BCD">
        <w:trPr>
          <w:divId w:val="1316184749"/>
          <w:trHeight w:val="300"/>
        </w:trPr>
        <w:tc>
          <w:tcPr>
            <w:tcW w:w="4632" w:type="dxa"/>
            <w:vAlign w:val="bottom"/>
            <w:hideMark/>
          </w:tcPr>
          <w:p w14:paraId="7BEDD469" w14:textId="77777777" w:rsidR="00295BCD" w:rsidRPr="001927D6" w:rsidRDefault="00295BCD">
            <w:pPr>
              <w:spacing w:after="0" w:line="240" w:lineRule="auto"/>
              <w:textAlignment w:val="baseline"/>
              <w:rPr>
                <w:szCs w:val="24"/>
                <w:lang w:eastAsia="et-EE"/>
              </w:rPr>
            </w:pPr>
            <w:r w:rsidRPr="001927D6">
              <w:rPr>
                <w:szCs w:val="24"/>
                <w:lang w:eastAsia="et-EE"/>
              </w:rPr>
              <w:t>Apendektoomia, tüsistumata, kht-ta </w:t>
            </w:r>
          </w:p>
        </w:tc>
        <w:tc>
          <w:tcPr>
            <w:tcW w:w="732" w:type="dxa"/>
            <w:vAlign w:val="center"/>
            <w:hideMark/>
          </w:tcPr>
          <w:p w14:paraId="6DFAAF30" w14:textId="77777777" w:rsidR="00295BCD" w:rsidRPr="001927D6" w:rsidRDefault="00295BCD">
            <w:pPr>
              <w:spacing w:after="0" w:line="240" w:lineRule="auto"/>
              <w:jc w:val="center"/>
              <w:textAlignment w:val="baseline"/>
              <w:rPr>
                <w:szCs w:val="24"/>
                <w:lang w:eastAsia="et-EE"/>
              </w:rPr>
            </w:pPr>
            <w:r w:rsidRPr="001927D6">
              <w:rPr>
                <w:szCs w:val="24"/>
                <w:lang w:eastAsia="et-EE"/>
              </w:rPr>
              <w:t>167 </w:t>
            </w:r>
          </w:p>
        </w:tc>
        <w:tc>
          <w:tcPr>
            <w:tcW w:w="1243" w:type="dxa"/>
            <w:vAlign w:val="center"/>
          </w:tcPr>
          <w:p w14:paraId="451FA5C5" w14:textId="77777777" w:rsidR="00295BCD" w:rsidRPr="001927D6" w:rsidRDefault="00295BCD">
            <w:pPr>
              <w:spacing w:after="0" w:line="240" w:lineRule="auto"/>
              <w:jc w:val="center"/>
              <w:textAlignment w:val="baseline"/>
              <w:rPr>
                <w:szCs w:val="24"/>
                <w:lang w:eastAsia="et-EE"/>
              </w:rPr>
            </w:pPr>
            <w:r w:rsidRPr="001927D6">
              <w:rPr>
                <w:color w:val="000000"/>
                <w:szCs w:val="24"/>
              </w:rPr>
              <w:t>1 602,25</w:t>
            </w:r>
          </w:p>
        </w:tc>
        <w:tc>
          <w:tcPr>
            <w:tcW w:w="1211" w:type="dxa"/>
            <w:vAlign w:val="center"/>
          </w:tcPr>
          <w:p w14:paraId="6A274E9B" w14:textId="77777777" w:rsidR="00295BCD" w:rsidRPr="001927D6" w:rsidRDefault="00295BCD">
            <w:pPr>
              <w:spacing w:after="0" w:line="240" w:lineRule="auto"/>
              <w:jc w:val="center"/>
              <w:textAlignment w:val="baseline"/>
              <w:rPr>
                <w:szCs w:val="24"/>
                <w:lang w:eastAsia="et-EE"/>
              </w:rPr>
            </w:pPr>
            <w:r w:rsidRPr="001927D6">
              <w:rPr>
                <w:color w:val="000000"/>
                <w:szCs w:val="24"/>
              </w:rPr>
              <w:t>1 257,20</w:t>
            </w:r>
          </w:p>
        </w:tc>
        <w:tc>
          <w:tcPr>
            <w:tcW w:w="1238" w:type="dxa"/>
            <w:vAlign w:val="center"/>
          </w:tcPr>
          <w:p w14:paraId="00FF7A90" w14:textId="77777777" w:rsidR="00295BCD" w:rsidRPr="001927D6" w:rsidRDefault="00295BCD">
            <w:pPr>
              <w:spacing w:after="0" w:line="240" w:lineRule="auto"/>
              <w:jc w:val="center"/>
              <w:textAlignment w:val="baseline"/>
              <w:rPr>
                <w:szCs w:val="24"/>
                <w:lang w:eastAsia="et-EE"/>
              </w:rPr>
            </w:pPr>
            <w:r w:rsidRPr="001927D6">
              <w:rPr>
                <w:color w:val="000000"/>
                <w:szCs w:val="24"/>
              </w:rPr>
              <w:t>2 276,05</w:t>
            </w:r>
          </w:p>
        </w:tc>
      </w:tr>
      <w:tr w:rsidR="00295BCD" w:rsidRPr="001927D6" w14:paraId="0475AC2F" w14:textId="77777777" w:rsidTr="00295BCD">
        <w:trPr>
          <w:divId w:val="1316184749"/>
          <w:trHeight w:val="300"/>
        </w:trPr>
        <w:tc>
          <w:tcPr>
            <w:tcW w:w="4632" w:type="dxa"/>
            <w:vAlign w:val="bottom"/>
            <w:hideMark/>
          </w:tcPr>
          <w:p w14:paraId="765388C3" w14:textId="77777777" w:rsidR="00295BCD" w:rsidRPr="001927D6" w:rsidRDefault="00295BCD">
            <w:pPr>
              <w:spacing w:after="0" w:line="240" w:lineRule="auto"/>
              <w:textAlignment w:val="baseline"/>
              <w:rPr>
                <w:szCs w:val="24"/>
                <w:lang w:eastAsia="et-EE"/>
              </w:rPr>
            </w:pPr>
            <w:r w:rsidRPr="001927D6">
              <w:rPr>
                <w:szCs w:val="24"/>
                <w:lang w:eastAsia="et-EE"/>
              </w:rPr>
              <w:t>Apendektoomia, lühike ravi </w:t>
            </w:r>
          </w:p>
        </w:tc>
        <w:tc>
          <w:tcPr>
            <w:tcW w:w="732" w:type="dxa"/>
            <w:vAlign w:val="center"/>
            <w:hideMark/>
          </w:tcPr>
          <w:p w14:paraId="7DB2A635" w14:textId="77777777" w:rsidR="00295BCD" w:rsidRPr="001927D6" w:rsidRDefault="00295BCD">
            <w:pPr>
              <w:spacing w:after="0" w:line="240" w:lineRule="auto"/>
              <w:jc w:val="center"/>
              <w:textAlignment w:val="baseline"/>
              <w:rPr>
                <w:szCs w:val="24"/>
                <w:lang w:eastAsia="et-EE"/>
              </w:rPr>
            </w:pPr>
            <w:r w:rsidRPr="001927D6">
              <w:rPr>
                <w:szCs w:val="24"/>
                <w:lang w:eastAsia="et-EE"/>
              </w:rPr>
              <w:t>167O </w:t>
            </w:r>
          </w:p>
        </w:tc>
        <w:tc>
          <w:tcPr>
            <w:tcW w:w="1243" w:type="dxa"/>
            <w:vAlign w:val="center"/>
          </w:tcPr>
          <w:p w14:paraId="499F4BBF" w14:textId="77777777" w:rsidR="00295BCD" w:rsidRPr="001927D6" w:rsidRDefault="00295BCD">
            <w:pPr>
              <w:spacing w:after="0" w:line="240" w:lineRule="auto"/>
              <w:jc w:val="center"/>
              <w:textAlignment w:val="baseline"/>
              <w:rPr>
                <w:szCs w:val="24"/>
                <w:lang w:eastAsia="et-EE"/>
              </w:rPr>
            </w:pPr>
            <w:r w:rsidRPr="001927D6">
              <w:rPr>
                <w:color w:val="000000"/>
                <w:szCs w:val="24"/>
              </w:rPr>
              <w:t>1 319,36</w:t>
            </w:r>
          </w:p>
        </w:tc>
        <w:tc>
          <w:tcPr>
            <w:tcW w:w="1211" w:type="dxa"/>
            <w:vAlign w:val="center"/>
          </w:tcPr>
          <w:p w14:paraId="7F29A80A" w14:textId="77777777" w:rsidR="00295BCD" w:rsidRPr="001927D6" w:rsidRDefault="00295BCD">
            <w:pPr>
              <w:spacing w:after="0" w:line="240" w:lineRule="auto"/>
              <w:jc w:val="center"/>
              <w:textAlignment w:val="baseline"/>
              <w:rPr>
                <w:szCs w:val="24"/>
                <w:lang w:eastAsia="et-EE"/>
              </w:rPr>
            </w:pPr>
            <w:r w:rsidRPr="001927D6">
              <w:rPr>
                <w:color w:val="000000"/>
                <w:szCs w:val="24"/>
              </w:rPr>
              <w:t>1 070,44</w:t>
            </w:r>
          </w:p>
        </w:tc>
        <w:tc>
          <w:tcPr>
            <w:tcW w:w="1238" w:type="dxa"/>
            <w:vAlign w:val="center"/>
          </w:tcPr>
          <w:p w14:paraId="7C2076AC" w14:textId="77777777" w:rsidR="00295BCD" w:rsidRPr="001927D6" w:rsidRDefault="00295BCD">
            <w:pPr>
              <w:spacing w:after="0" w:line="240" w:lineRule="auto"/>
              <w:jc w:val="center"/>
              <w:textAlignment w:val="baseline"/>
              <w:rPr>
                <w:szCs w:val="24"/>
                <w:lang w:eastAsia="et-EE"/>
              </w:rPr>
            </w:pPr>
            <w:r w:rsidRPr="001927D6">
              <w:rPr>
                <w:color w:val="000000"/>
                <w:szCs w:val="24"/>
              </w:rPr>
              <w:t>1 674,97</w:t>
            </w:r>
          </w:p>
        </w:tc>
      </w:tr>
      <w:tr w:rsidR="00295BCD" w:rsidRPr="001927D6" w14:paraId="5D106FC9" w14:textId="77777777" w:rsidTr="00295BCD">
        <w:trPr>
          <w:divId w:val="1316184749"/>
          <w:trHeight w:val="300"/>
        </w:trPr>
        <w:tc>
          <w:tcPr>
            <w:tcW w:w="4632" w:type="dxa"/>
            <w:vAlign w:val="bottom"/>
            <w:hideMark/>
          </w:tcPr>
          <w:p w14:paraId="315B38C1" w14:textId="77777777" w:rsidR="00295BCD" w:rsidRPr="001927D6" w:rsidRDefault="00295BCD">
            <w:pPr>
              <w:spacing w:after="0" w:line="240" w:lineRule="auto"/>
              <w:textAlignment w:val="baseline"/>
              <w:rPr>
                <w:szCs w:val="24"/>
                <w:lang w:eastAsia="et-EE"/>
              </w:rPr>
            </w:pPr>
            <w:r w:rsidRPr="001927D6">
              <w:rPr>
                <w:szCs w:val="24"/>
                <w:lang w:eastAsia="et-EE"/>
              </w:rPr>
              <w:t>Suuõõne operatsioonid, kht-ga </w:t>
            </w:r>
          </w:p>
        </w:tc>
        <w:tc>
          <w:tcPr>
            <w:tcW w:w="732" w:type="dxa"/>
            <w:vAlign w:val="center"/>
            <w:hideMark/>
          </w:tcPr>
          <w:p w14:paraId="139D0800" w14:textId="77777777" w:rsidR="00295BCD" w:rsidRPr="001927D6" w:rsidRDefault="00295BCD">
            <w:pPr>
              <w:spacing w:after="0" w:line="240" w:lineRule="auto"/>
              <w:jc w:val="center"/>
              <w:textAlignment w:val="baseline"/>
              <w:rPr>
                <w:szCs w:val="24"/>
                <w:lang w:eastAsia="et-EE"/>
              </w:rPr>
            </w:pPr>
            <w:r w:rsidRPr="001927D6">
              <w:rPr>
                <w:szCs w:val="24"/>
                <w:lang w:eastAsia="et-EE"/>
              </w:rPr>
              <w:t>168 </w:t>
            </w:r>
          </w:p>
        </w:tc>
        <w:tc>
          <w:tcPr>
            <w:tcW w:w="1243" w:type="dxa"/>
            <w:vAlign w:val="center"/>
          </w:tcPr>
          <w:p w14:paraId="0A48B135" w14:textId="77777777" w:rsidR="00295BCD" w:rsidRPr="001927D6" w:rsidRDefault="00295BCD">
            <w:pPr>
              <w:spacing w:after="0" w:line="240" w:lineRule="auto"/>
              <w:jc w:val="center"/>
              <w:textAlignment w:val="baseline"/>
              <w:rPr>
                <w:szCs w:val="24"/>
                <w:lang w:eastAsia="et-EE"/>
              </w:rPr>
            </w:pPr>
            <w:r w:rsidRPr="001927D6">
              <w:rPr>
                <w:color w:val="000000"/>
                <w:szCs w:val="24"/>
              </w:rPr>
              <w:t>6 201,83</w:t>
            </w:r>
          </w:p>
        </w:tc>
        <w:tc>
          <w:tcPr>
            <w:tcW w:w="1211" w:type="dxa"/>
            <w:vAlign w:val="center"/>
          </w:tcPr>
          <w:p w14:paraId="21C3037D" w14:textId="77777777" w:rsidR="00295BCD" w:rsidRPr="001927D6" w:rsidRDefault="00295BCD">
            <w:pPr>
              <w:spacing w:after="0" w:line="240" w:lineRule="auto"/>
              <w:jc w:val="center"/>
              <w:textAlignment w:val="baseline"/>
              <w:rPr>
                <w:szCs w:val="24"/>
                <w:lang w:eastAsia="et-EE"/>
              </w:rPr>
            </w:pPr>
            <w:r w:rsidRPr="001927D6">
              <w:rPr>
                <w:color w:val="000000"/>
                <w:szCs w:val="24"/>
              </w:rPr>
              <w:t>1 696,71</w:t>
            </w:r>
          </w:p>
        </w:tc>
        <w:tc>
          <w:tcPr>
            <w:tcW w:w="1238" w:type="dxa"/>
            <w:vAlign w:val="center"/>
          </w:tcPr>
          <w:p w14:paraId="5169A5F4" w14:textId="77777777" w:rsidR="00295BCD" w:rsidRPr="001927D6" w:rsidRDefault="00295BCD">
            <w:pPr>
              <w:spacing w:after="0" w:line="240" w:lineRule="auto"/>
              <w:jc w:val="center"/>
              <w:textAlignment w:val="baseline"/>
              <w:rPr>
                <w:szCs w:val="24"/>
                <w:lang w:eastAsia="et-EE"/>
              </w:rPr>
            </w:pPr>
            <w:r w:rsidRPr="001927D6">
              <w:rPr>
                <w:color w:val="000000"/>
                <w:szCs w:val="24"/>
              </w:rPr>
              <w:t>19 798,21</w:t>
            </w:r>
          </w:p>
        </w:tc>
      </w:tr>
      <w:tr w:rsidR="00295BCD" w:rsidRPr="001927D6" w14:paraId="629E511D" w14:textId="77777777" w:rsidTr="00295BCD">
        <w:trPr>
          <w:divId w:val="1316184749"/>
          <w:trHeight w:val="300"/>
        </w:trPr>
        <w:tc>
          <w:tcPr>
            <w:tcW w:w="4632" w:type="dxa"/>
            <w:vAlign w:val="bottom"/>
            <w:hideMark/>
          </w:tcPr>
          <w:p w14:paraId="5A9D4C4F"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Suuõõne operatsioonid, kht-ta </w:t>
            </w:r>
          </w:p>
        </w:tc>
        <w:tc>
          <w:tcPr>
            <w:tcW w:w="732" w:type="dxa"/>
            <w:vAlign w:val="center"/>
            <w:hideMark/>
          </w:tcPr>
          <w:p w14:paraId="5F8547D1" w14:textId="77777777" w:rsidR="00295BCD" w:rsidRPr="001927D6" w:rsidRDefault="00295BCD">
            <w:pPr>
              <w:spacing w:after="0" w:line="240" w:lineRule="auto"/>
              <w:jc w:val="center"/>
              <w:textAlignment w:val="baseline"/>
              <w:rPr>
                <w:szCs w:val="24"/>
                <w:lang w:eastAsia="et-EE"/>
              </w:rPr>
            </w:pPr>
            <w:r w:rsidRPr="001927D6">
              <w:rPr>
                <w:szCs w:val="24"/>
                <w:lang w:eastAsia="et-EE"/>
              </w:rPr>
              <w:t>169 </w:t>
            </w:r>
          </w:p>
        </w:tc>
        <w:tc>
          <w:tcPr>
            <w:tcW w:w="1243" w:type="dxa"/>
            <w:vAlign w:val="center"/>
          </w:tcPr>
          <w:p w14:paraId="172103F4" w14:textId="77777777" w:rsidR="00295BCD" w:rsidRPr="001927D6" w:rsidRDefault="00295BCD">
            <w:pPr>
              <w:spacing w:after="0" w:line="240" w:lineRule="auto"/>
              <w:jc w:val="center"/>
              <w:textAlignment w:val="baseline"/>
              <w:rPr>
                <w:szCs w:val="24"/>
                <w:lang w:eastAsia="et-EE"/>
              </w:rPr>
            </w:pPr>
            <w:r w:rsidRPr="001927D6">
              <w:rPr>
                <w:color w:val="000000"/>
                <w:szCs w:val="24"/>
              </w:rPr>
              <w:t>1 503,37</w:t>
            </w:r>
          </w:p>
        </w:tc>
        <w:tc>
          <w:tcPr>
            <w:tcW w:w="1211" w:type="dxa"/>
            <w:vAlign w:val="center"/>
          </w:tcPr>
          <w:p w14:paraId="68A1781D" w14:textId="77777777" w:rsidR="00295BCD" w:rsidRPr="001927D6" w:rsidRDefault="00295BCD">
            <w:pPr>
              <w:spacing w:after="0" w:line="240" w:lineRule="auto"/>
              <w:jc w:val="center"/>
              <w:textAlignment w:val="baseline"/>
              <w:rPr>
                <w:szCs w:val="24"/>
                <w:lang w:eastAsia="et-EE"/>
              </w:rPr>
            </w:pPr>
            <w:r w:rsidRPr="001927D6">
              <w:rPr>
                <w:color w:val="000000"/>
                <w:szCs w:val="24"/>
              </w:rPr>
              <w:t>889,93</w:t>
            </w:r>
          </w:p>
        </w:tc>
        <w:tc>
          <w:tcPr>
            <w:tcW w:w="1238" w:type="dxa"/>
            <w:vAlign w:val="center"/>
          </w:tcPr>
          <w:p w14:paraId="1589CD86" w14:textId="77777777" w:rsidR="00295BCD" w:rsidRPr="001927D6" w:rsidRDefault="00295BCD">
            <w:pPr>
              <w:spacing w:after="0" w:line="240" w:lineRule="auto"/>
              <w:jc w:val="center"/>
              <w:textAlignment w:val="baseline"/>
              <w:rPr>
                <w:szCs w:val="24"/>
                <w:lang w:eastAsia="et-EE"/>
              </w:rPr>
            </w:pPr>
            <w:r w:rsidRPr="001927D6">
              <w:rPr>
                <w:color w:val="000000"/>
                <w:szCs w:val="24"/>
              </w:rPr>
              <w:t>2 514,69</w:t>
            </w:r>
          </w:p>
        </w:tc>
      </w:tr>
      <w:tr w:rsidR="00295BCD" w:rsidRPr="001927D6" w14:paraId="0ADC6676" w14:textId="77777777" w:rsidTr="00295BCD">
        <w:trPr>
          <w:divId w:val="1316184749"/>
          <w:trHeight w:val="300"/>
        </w:trPr>
        <w:tc>
          <w:tcPr>
            <w:tcW w:w="4632" w:type="dxa"/>
            <w:vAlign w:val="bottom"/>
            <w:hideMark/>
          </w:tcPr>
          <w:p w14:paraId="6E9AB1A7" w14:textId="77777777" w:rsidR="00295BCD" w:rsidRPr="001927D6" w:rsidRDefault="00295BCD">
            <w:pPr>
              <w:spacing w:after="0" w:line="240" w:lineRule="auto"/>
              <w:textAlignment w:val="baseline"/>
              <w:rPr>
                <w:szCs w:val="24"/>
                <w:lang w:eastAsia="et-EE"/>
              </w:rPr>
            </w:pPr>
            <w:r w:rsidRPr="001927D6">
              <w:rPr>
                <w:szCs w:val="24"/>
                <w:lang w:eastAsia="et-EE"/>
              </w:rPr>
              <w:t>Suuõõne operatsioonid, lühike ravi </w:t>
            </w:r>
          </w:p>
        </w:tc>
        <w:tc>
          <w:tcPr>
            <w:tcW w:w="732" w:type="dxa"/>
            <w:vAlign w:val="center"/>
            <w:hideMark/>
          </w:tcPr>
          <w:p w14:paraId="3F9E57FE" w14:textId="77777777" w:rsidR="00295BCD" w:rsidRPr="001927D6" w:rsidRDefault="00295BCD">
            <w:pPr>
              <w:spacing w:after="0" w:line="240" w:lineRule="auto"/>
              <w:jc w:val="center"/>
              <w:textAlignment w:val="baseline"/>
              <w:rPr>
                <w:szCs w:val="24"/>
                <w:lang w:eastAsia="et-EE"/>
              </w:rPr>
            </w:pPr>
            <w:r w:rsidRPr="001927D6">
              <w:rPr>
                <w:szCs w:val="24"/>
                <w:lang w:eastAsia="et-EE"/>
              </w:rPr>
              <w:t>169O </w:t>
            </w:r>
          </w:p>
        </w:tc>
        <w:tc>
          <w:tcPr>
            <w:tcW w:w="1243" w:type="dxa"/>
            <w:vAlign w:val="center"/>
          </w:tcPr>
          <w:p w14:paraId="38A27CB9" w14:textId="77777777" w:rsidR="00295BCD" w:rsidRPr="001927D6" w:rsidRDefault="00295BCD">
            <w:pPr>
              <w:spacing w:after="0" w:line="240" w:lineRule="auto"/>
              <w:jc w:val="center"/>
              <w:textAlignment w:val="baseline"/>
              <w:rPr>
                <w:szCs w:val="24"/>
                <w:lang w:eastAsia="et-EE"/>
              </w:rPr>
            </w:pPr>
            <w:r w:rsidRPr="001927D6">
              <w:rPr>
                <w:color w:val="000000"/>
                <w:szCs w:val="24"/>
              </w:rPr>
              <w:t>564,78</w:t>
            </w:r>
          </w:p>
        </w:tc>
        <w:tc>
          <w:tcPr>
            <w:tcW w:w="1211" w:type="dxa"/>
            <w:vAlign w:val="center"/>
          </w:tcPr>
          <w:p w14:paraId="4C9789B1" w14:textId="77777777" w:rsidR="00295BCD" w:rsidRPr="001927D6" w:rsidRDefault="00295BCD">
            <w:pPr>
              <w:spacing w:after="0" w:line="240" w:lineRule="auto"/>
              <w:jc w:val="center"/>
              <w:textAlignment w:val="baseline"/>
              <w:rPr>
                <w:szCs w:val="24"/>
                <w:lang w:eastAsia="et-EE"/>
              </w:rPr>
            </w:pPr>
            <w:r w:rsidRPr="001927D6">
              <w:rPr>
                <w:color w:val="000000"/>
                <w:szCs w:val="24"/>
              </w:rPr>
              <w:t>449,49</w:t>
            </w:r>
          </w:p>
        </w:tc>
        <w:tc>
          <w:tcPr>
            <w:tcW w:w="1238" w:type="dxa"/>
            <w:vAlign w:val="center"/>
          </w:tcPr>
          <w:p w14:paraId="6C8A25E3" w14:textId="77777777" w:rsidR="00295BCD" w:rsidRPr="001927D6" w:rsidRDefault="00295BCD">
            <w:pPr>
              <w:spacing w:after="0" w:line="240" w:lineRule="auto"/>
              <w:jc w:val="center"/>
              <w:textAlignment w:val="baseline"/>
              <w:rPr>
                <w:szCs w:val="24"/>
                <w:lang w:eastAsia="et-EE"/>
              </w:rPr>
            </w:pPr>
            <w:r w:rsidRPr="001927D6">
              <w:rPr>
                <w:color w:val="000000"/>
                <w:szCs w:val="24"/>
              </w:rPr>
              <w:t>897,28</w:t>
            </w:r>
          </w:p>
        </w:tc>
      </w:tr>
      <w:tr w:rsidR="00295BCD" w:rsidRPr="001927D6" w14:paraId="27581698" w14:textId="77777777" w:rsidTr="00295BCD">
        <w:trPr>
          <w:divId w:val="1316184749"/>
          <w:trHeight w:val="300"/>
        </w:trPr>
        <w:tc>
          <w:tcPr>
            <w:tcW w:w="4632" w:type="dxa"/>
            <w:vAlign w:val="bottom"/>
            <w:hideMark/>
          </w:tcPr>
          <w:p w14:paraId="44536D0C" w14:textId="77777777" w:rsidR="00295BCD" w:rsidRPr="001927D6" w:rsidRDefault="00295BCD">
            <w:pPr>
              <w:spacing w:after="0" w:line="240" w:lineRule="auto"/>
              <w:textAlignment w:val="baseline"/>
              <w:rPr>
                <w:szCs w:val="24"/>
                <w:lang w:eastAsia="et-EE"/>
              </w:rPr>
            </w:pPr>
            <w:r w:rsidRPr="001927D6">
              <w:rPr>
                <w:szCs w:val="24"/>
                <w:lang w:eastAsia="et-EE"/>
              </w:rPr>
              <w:t>Seedeelundite muud operatsioonid, kht-ga </w:t>
            </w:r>
          </w:p>
        </w:tc>
        <w:tc>
          <w:tcPr>
            <w:tcW w:w="732" w:type="dxa"/>
            <w:vAlign w:val="center"/>
            <w:hideMark/>
          </w:tcPr>
          <w:p w14:paraId="4F8B3755" w14:textId="77777777" w:rsidR="00295BCD" w:rsidRPr="001927D6" w:rsidRDefault="00295BCD">
            <w:pPr>
              <w:spacing w:after="0" w:line="240" w:lineRule="auto"/>
              <w:jc w:val="center"/>
              <w:textAlignment w:val="baseline"/>
              <w:rPr>
                <w:szCs w:val="24"/>
                <w:lang w:eastAsia="et-EE"/>
              </w:rPr>
            </w:pPr>
            <w:r w:rsidRPr="001927D6">
              <w:rPr>
                <w:szCs w:val="24"/>
                <w:lang w:eastAsia="et-EE"/>
              </w:rPr>
              <w:t>170 </w:t>
            </w:r>
          </w:p>
        </w:tc>
        <w:tc>
          <w:tcPr>
            <w:tcW w:w="1243" w:type="dxa"/>
            <w:vAlign w:val="center"/>
          </w:tcPr>
          <w:p w14:paraId="2AD686C8" w14:textId="77777777" w:rsidR="00295BCD" w:rsidRPr="001927D6" w:rsidRDefault="00295BCD">
            <w:pPr>
              <w:spacing w:after="0" w:line="240" w:lineRule="auto"/>
              <w:jc w:val="center"/>
              <w:textAlignment w:val="baseline"/>
              <w:rPr>
                <w:szCs w:val="24"/>
                <w:lang w:eastAsia="et-EE"/>
              </w:rPr>
            </w:pPr>
            <w:r w:rsidRPr="001927D6">
              <w:rPr>
                <w:color w:val="000000"/>
                <w:szCs w:val="24"/>
              </w:rPr>
              <w:t>6 120,25</w:t>
            </w:r>
          </w:p>
        </w:tc>
        <w:tc>
          <w:tcPr>
            <w:tcW w:w="1211" w:type="dxa"/>
            <w:vAlign w:val="center"/>
          </w:tcPr>
          <w:p w14:paraId="02FD6467" w14:textId="77777777" w:rsidR="00295BCD" w:rsidRPr="001927D6" w:rsidRDefault="00295BCD">
            <w:pPr>
              <w:spacing w:after="0" w:line="240" w:lineRule="auto"/>
              <w:jc w:val="center"/>
              <w:textAlignment w:val="baseline"/>
              <w:rPr>
                <w:szCs w:val="24"/>
                <w:lang w:eastAsia="et-EE"/>
              </w:rPr>
            </w:pPr>
            <w:r w:rsidRPr="001927D6">
              <w:rPr>
                <w:color w:val="000000"/>
                <w:szCs w:val="24"/>
              </w:rPr>
              <w:t>1 605,41</w:t>
            </w:r>
          </w:p>
        </w:tc>
        <w:tc>
          <w:tcPr>
            <w:tcW w:w="1238" w:type="dxa"/>
            <w:vAlign w:val="center"/>
          </w:tcPr>
          <w:p w14:paraId="4E016A4E" w14:textId="77777777" w:rsidR="00295BCD" w:rsidRPr="001927D6" w:rsidRDefault="00295BCD">
            <w:pPr>
              <w:spacing w:after="0" w:line="240" w:lineRule="auto"/>
              <w:jc w:val="center"/>
              <w:textAlignment w:val="baseline"/>
              <w:rPr>
                <w:szCs w:val="24"/>
                <w:lang w:eastAsia="et-EE"/>
              </w:rPr>
            </w:pPr>
            <w:r w:rsidRPr="001927D6">
              <w:rPr>
                <w:color w:val="000000"/>
                <w:szCs w:val="24"/>
              </w:rPr>
              <w:t>18 230,39</w:t>
            </w:r>
          </w:p>
        </w:tc>
      </w:tr>
      <w:tr w:rsidR="00295BCD" w:rsidRPr="001927D6" w14:paraId="66E4AA96" w14:textId="77777777" w:rsidTr="00295BCD">
        <w:trPr>
          <w:divId w:val="1316184749"/>
          <w:trHeight w:val="300"/>
        </w:trPr>
        <w:tc>
          <w:tcPr>
            <w:tcW w:w="4632" w:type="dxa"/>
            <w:vAlign w:val="bottom"/>
            <w:hideMark/>
          </w:tcPr>
          <w:p w14:paraId="7967910B" w14:textId="77777777" w:rsidR="00295BCD" w:rsidRPr="001927D6" w:rsidRDefault="00295BCD">
            <w:pPr>
              <w:spacing w:after="0" w:line="240" w:lineRule="auto"/>
              <w:textAlignment w:val="baseline"/>
              <w:rPr>
                <w:szCs w:val="24"/>
                <w:lang w:eastAsia="et-EE"/>
              </w:rPr>
            </w:pPr>
            <w:r w:rsidRPr="001927D6">
              <w:rPr>
                <w:szCs w:val="24"/>
                <w:lang w:eastAsia="et-EE"/>
              </w:rPr>
              <w:t>Seedeelundite muud operatsioonid, kht-ta </w:t>
            </w:r>
          </w:p>
        </w:tc>
        <w:tc>
          <w:tcPr>
            <w:tcW w:w="732" w:type="dxa"/>
            <w:vAlign w:val="center"/>
            <w:hideMark/>
          </w:tcPr>
          <w:p w14:paraId="15344C4F" w14:textId="77777777" w:rsidR="00295BCD" w:rsidRPr="001927D6" w:rsidRDefault="00295BCD">
            <w:pPr>
              <w:spacing w:after="0" w:line="240" w:lineRule="auto"/>
              <w:jc w:val="center"/>
              <w:textAlignment w:val="baseline"/>
              <w:rPr>
                <w:szCs w:val="24"/>
                <w:lang w:eastAsia="et-EE"/>
              </w:rPr>
            </w:pPr>
            <w:r w:rsidRPr="001927D6">
              <w:rPr>
                <w:szCs w:val="24"/>
                <w:lang w:eastAsia="et-EE"/>
              </w:rPr>
              <w:t>171 </w:t>
            </w:r>
          </w:p>
        </w:tc>
        <w:tc>
          <w:tcPr>
            <w:tcW w:w="1243" w:type="dxa"/>
            <w:vAlign w:val="center"/>
          </w:tcPr>
          <w:p w14:paraId="1260292D" w14:textId="77777777" w:rsidR="00295BCD" w:rsidRPr="001927D6" w:rsidRDefault="00295BCD">
            <w:pPr>
              <w:spacing w:after="0" w:line="240" w:lineRule="auto"/>
              <w:jc w:val="center"/>
              <w:textAlignment w:val="baseline"/>
              <w:rPr>
                <w:szCs w:val="24"/>
                <w:lang w:eastAsia="et-EE"/>
              </w:rPr>
            </w:pPr>
            <w:r w:rsidRPr="001927D6">
              <w:rPr>
                <w:color w:val="000000"/>
                <w:szCs w:val="24"/>
              </w:rPr>
              <w:t>2 578,61</w:t>
            </w:r>
          </w:p>
        </w:tc>
        <w:tc>
          <w:tcPr>
            <w:tcW w:w="1211" w:type="dxa"/>
            <w:vAlign w:val="center"/>
          </w:tcPr>
          <w:p w14:paraId="0E1858DA" w14:textId="77777777" w:rsidR="00295BCD" w:rsidRPr="001927D6" w:rsidRDefault="00295BCD">
            <w:pPr>
              <w:spacing w:after="0" w:line="240" w:lineRule="auto"/>
              <w:jc w:val="center"/>
              <w:textAlignment w:val="baseline"/>
              <w:rPr>
                <w:szCs w:val="24"/>
                <w:lang w:eastAsia="et-EE"/>
              </w:rPr>
            </w:pPr>
            <w:r w:rsidRPr="001927D6">
              <w:rPr>
                <w:color w:val="000000"/>
                <w:szCs w:val="24"/>
              </w:rPr>
              <w:t>1 220,71</w:t>
            </w:r>
          </w:p>
        </w:tc>
        <w:tc>
          <w:tcPr>
            <w:tcW w:w="1238" w:type="dxa"/>
            <w:vAlign w:val="center"/>
          </w:tcPr>
          <w:p w14:paraId="57154AD5" w14:textId="77777777" w:rsidR="00295BCD" w:rsidRPr="001927D6" w:rsidRDefault="00295BCD">
            <w:pPr>
              <w:spacing w:after="0" w:line="240" w:lineRule="auto"/>
              <w:jc w:val="center"/>
              <w:textAlignment w:val="baseline"/>
              <w:rPr>
                <w:szCs w:val="24"/>
                <w:lang w:eastAsia="et-EE"/>
              </w:rPr>
            </w:pPr>
            <w:r w:rsidRPr="001927D6">
              <w:rPr>
                <w:color w:val="000000"/>
                <w:szCs w:val="24"/>
              </w:rPr>
              <w:t>6 551,00</w:t>
            </w:r>
          </w:p>
        </w:tc>
      </w:tr>
      <w:tr w:rsidR="00295BCD" w:rsidRPr="001927D6" w14:paraId="295B5B13" w14:textId="77777777" w:rsidTr="00295BCD">
        <w:trPr>
          <w:divId w:val="1316184749"/>
          <w:trHeight w:val="300"/>
        </w:trPr>
        <w:tc>
          <w:tcPr>
            <w:tcW w:w="4632" w:type="dxa"/>
            <w:vAlign w:val="bottom"/>
            <w:hideMark/>
          </w:tcPr>
          <w:p w14:paraId="6D713B32" w14:textId="77777777" w:rsidR="00295BCD" w:rsidRPr="001927D6" w:rsidRDefault="00295BCD">
            <w:pPr>
              <w:spacing w:after="0" w:line="240" w:lineRule="auto"/>
              <w:textAlignment w:val="baseline"/>
              <w:rPr>
                <w:szCs w:val="24"/>
                <w:lang w:eastAsia="et-EE"/>
              </w:rPr>
            </w:pPr>
            <w:r w:rsidRPr="001927D6">
              <w:rPr>
                <w:szCs w:val="24"/>
                <w:lang w:eastAsia="et-EE"/>
              </w:rPr>
              <w:t>Seedeelundite muud operatsioonid, lühike ravi </w:t>
            </w:r>
          </w:p>
        </w:tc>
        <w:tc>
          <w:tcPr>
            <w:tcW w:w="732" w:type="dxa"/>
            <w:vAlign w:val="center"/>
            <w:hideMark/>
          </w:tcPr>
          <w:p w14:paraId="2BF8CCED" w14:textId="77777777" w:rsidR="00295BCD" w:rsidRPr="001927D6" w:rsidRDefault="00295BCD">
            <w:pPr>
              <w:spacing w:after="0" w:line="240" w:lineRule="auto"/>
              <w:jc w:val="center"/>
              <w:textAlignment w:val="baseline"/>
              <w:rPr>
                <w:szCs w:val="24"/>
                <w:lang w:eastAsia="et-EE"/>
              </w:rPr>
            </w:pPr>
            <w:r w:rsidRPr="001927D6">
              <w:rPr>
                <w:szCs w:val="24"/>
                <w:lang w:eastAsia="et-EE"/>
              </w:rPr>
              <w:t>171O </w:t>
            </w:r>
          </w:p>
        </w:tc>
        <w:tc>
          <w:tcPr>
            <w:tcW w:w="1243" w:type="dxa"/>
            <w:vAlign w:val="center"/>
          </w:tcPr>
          <w:p w14:paraId="02DA58F9" w14:textId="77777777" w:rsidR="00295BCD" w:rsidRPr="001927D6" w:rsidRDefault="00295BCD">
            <w:pPr>
              <w:spacing w:after="0" w:line="240" w:lineRule="auto"/>
              <w:jc w:val="center"/>
              <w:textAlignment w:val="baseline"/>
              <w:rPr>
                <w:szCs w:val="24"/>
                <w:lang w:eastAsia="et-EE"/>
              </w:rPr>
            </w:pPr>
            <w:r w:rsidRPr="001927D6">
              <w:rPr>
                <w:color w:val="000000"/>
                <w:szCs w:val="24"/>
              </w:rPr>
              <w:t>1 130,07</w:t>
            </w:r>
          </w:p>
        </w:tc>
        <w:tc>
          <w:tcPr>
            <w:tcW w:w="1211" w:type="dxa"/>
            <w:vAlign w:val="center"/>
          </w:tcPr>
          <w:p w14:paraId="0D93F6C4" w14:textId="77777777" w:rsidR="00295BCD" w:rsidRPr="001927D6" w:rsidRDefault="00295BCD">
            <w:pPr>
              <w:spacing w:after="0" w:line="240" w:lineRule="auto"/>
              <w:jc w:val="center"/>
              <w:textAlignment w:val="baseline"/>
              <w:rPr>
                <w:szCs w:val="24"/>
                <w:lang w:eastAsia="et-EE"/>
              </w:rPr>
            </w:pPr>
            <w:r w:rsidRPr="001927D6">
              <w:rPr>
                <w:color w:val="000000"/>
                <w:szCs w:val="24"/>
              </w:rPr>
              <w:t>799,32</w:t>
            </w:r>
          </w:p>
        </w:tc>
        <w:tc>
          <w:tcPr>
            <w:tcW w:w="1238" w:type="dxa"/>
            <w:vAlign w:val="center"/>
          </w:tcPr>
          <w:p w14:paraId="006E7A6D" w14:textId="77777777" w:rsidR="00295BCD" w:rsidRPr="001927D6" w:rsidRDefault="00295BCD">
            <w:pPr>
              <w:spacing w:after="0" w:line="240" w:lineRule="auto"/>
              <w:jc w:val="center"/>
              <w:textAlignment w:val="baseline"/>
              <w:rPr>
                <w:szCs w:val="24"/>
                <w:lang w:eastAsia="et-EE"/>
              </w:rPr>
            </w:pPr>
            <w:r w:rsidRPr="001927D6">
              <w:rPr>
                <w:color w:val="000000"/>
                <w:szCs w:val="24"/>
              </w:rPr>
              <w:t>1 642,70</w:t>
            </w:r>
          </w:p>
        </w:tc>
      </w:tr>
      <w:tr w:rsidR="00295BCD" w:rsidRPr="001927D6" w14:paraId="5E12D01F" w14:textId="77777777" w:rsidTr="00295BCD">
        <w:trPr>
          <w:divId w:val="1316184749"/>
          <w:trHeight w:val="300"/>
        </w:trPr>
        <w:tc>
          <w:tcPr>
            <w:tcW w:w="4632" w:type="dxa"/>
            <w:vAlign w:val="bottom"/>
            <w:hideMark/>
          </w:tcPr>
          <w:p w14:paraId="30C1B994" w14:textId="77777777" w:rsidR="00295BCD" w:rsidRPr="001927D6" w:rsidRDefault="00295BCD">
            <w:pPr>
              <w:spacing w:after="0" w:line="240" w:lineRule="auto"/>
              <w:textAlignment w:val="baseline"/>
              <w:rPr>
                <w:szCs w:val="24"/>
                <w:lang w:eastAsia="et-EE"/>
              </w:rPr>
            </w:pPr>
            <w:r w:rsidRPr="001927D6">
              <w:rPr>
                <w:szCs w:val="24"/>
                <w:lang w:eastAsia="et-EE"/>
              </w:rPr>
              <w:t>Seedeelundite pahaloomulised kasvajad, kht-ga </w:t>
            </w:r>
          </w:p>
        </w:tc>
        <w:tc>
          <w:tcPr>
            <w:tcW w:w="732" w:type="dxa"/>
            <w:vAlign w:val="center"/>
            <w:hideMark/>
          </w:tcPr>
          <w:p w14:paraId="12F9214C" w14:textId="77777777" w:rsidR="00295BCD" w:rsidRPr="001927D6" w:rsidRDefault="00295BCD">
            <w:pPr>
              <w:spacing w:after="0" w:line="240" w:lineRule="auto"/>
              <w:jc w:val="center"/>
              <w:textAlignment w:val="baseline"/>
              <w:rPr>
                <w:szCs w:val="24"/>
                <w:lang w:eastAsia="et-EE"/>
              </w:rPr>
            </w:pPr>
            <w:r w:rsidRPr="001927D6">
              <w:rPr>
                <w:szCs w:val="24"/>
                <w:lang w:eastAsia="et-EE"/>
              </w:rPr>
              <w:t>172 </w:t>
            </w:r>
          </w:p>
        </w:tc>
        <w:tc>
          <w:tcPr>
            <w:tcW w:w="1243" w:type="dxa"/>
            <w:vAlign w:val="center"/>
          </w:tcPr>
          <w:p w14:paraId="7A7F171E" w14:textId="77777777" w:rsidR="00295BCD" w:rsidRPr="001927D6" w:rsidRDefault="00295BCD">
            <w:pPr>
              <w:spacing w:after="0" w:line="240" w:lineRule="auto"/>
              <w:jc w:val="center"/>
              <w:textAlignment w:val="baseline"/>
              <w:rPr>
                <w:szCs w:val="24"/>
                <w:lang w:eastAsia="et-EE"/>
              </w:rPr>
            </w:pPr>
            <w:r w:rsidRPr="001927D6">
              <w:rPr>
                <w:color w:val="000000"/>
                <w:szCs w:val="24"/>
              </w:rPr>
              <w:t>2 743,79</w:t>
            </w:r>
          </w:p>
        </w:tc>
        <w:tc>
          <w:tcPr>
            <w:tcW w:w="1211" w:type="dxa"/>
            <w:vAlign w:val="center"/>
          </w:tcPr>
          <w:p w14:paraId="78A6CC6C" w14:textId="77777777" w:rsidR="00295BCD" w:rsidRPr="001927D6" w:rsidRDefault="00295BCD">
            <w:pPr>
              <w:spacing w:after="0" w:line="240" w:lineRule="auto"/>
              <w:jc w:val="center"/>
              <w:textAlignment w:val="baseline"/>
              <w:rPr>
                <w:szCs w:val="24"/>
                <w:lang w:eastAsia="et-EE"/>
              </w:rPr>
            </w:pPr>
            <w:r w:rsidRPr="001927D6">
              <w:rPr>
                <w:color w:val="000000"/>
                <w:szCs w:val="24"/>
              </w:rPr>
              <w:t>787,08</w:t>
            </w:r>
          </w:p>
        </w:tc>
        <w:tc>
          <w:tcPr>
            <w:tcW w:w="1238" w:type="dxa"/>
            <w:vAlign w:val="center"/>
          </w:tcPr>
          <w:p w14:paraId="31FD50D5" w14:textId="77777777" w:rsidR="00295BCD" w:rsidRPr="001927D6" w:rsidRDefault="00295BCD">
            <w:pPr>
              <w:spacing w:after="0" w:line="240" w:lineRule="auto"/>
              <w:jc w:val="center"/>
              <w:textAlignment w:val="baseline"/>
              <w:rPr>
                <w:szCs w:val="24"/>
                <w:lang w:eastAsia="et-EE"/>
              </w:rPr>
            </w:pPr>
            <w:r w:rsidRPr="001927D6">
              <w:rPr>
                <w:color w:val="000000"/>
                <w:szCs w:val="24"/>
              </w:rPr>
              <w:t>5 450,38</w:t>
            </w:r>
          </w:p>
        </w:tc>
      </w:tr>
      <w:tr w:rsidR="00295BCD" w:rsidRPr="001927D6" w14:paraId="5D7C5036" w14:textId="77777777" w:rsidTr="00295BCD">
        <w:trPr>
          <w:divId w:val="1316184749"/>
          <w:trHeight w:val="300"/>
        </w:trPr>
        <w:tc>
          <w:tcPr>
            <w:tcW w:w="4632" w:type="dxa"/>
            <w:vAlign w:val="bottom"/>
            <w:hideMark/>
          </w:tcPr>
          <w:p w14:paraId="12C71FD0" w14:textId="77777777" w:rsidR="00295BCD" w:rsidRPr="001927D6" w:rsidRDefault="00295BCD">
            <w:pPr>
              <w:spacing w:after="0" w:line="240" w:lineRule="auto"/>
              <w:textAlignment w:val="baseline"/>
              <w:rPr>
                <w:szCs w:val="24"/>
                <w:lang w:eastAsia="et-EE"/>
              </w:rPr>
            </w:pPr>
            <w:r w:rsidRPr="001927D6">
              <w:rPr>
                <w:szCs w:val="24"/>
                <w:lang w:eastAsia="et-EE"/>
              </w:rPr>
              <w:t>Seedeelundite pahaloomulised kasvajad, kht-ta </w:t>
            </w:r>
          </w:p>
        </w:tc>
        <w:tc>
          <w:tcPr>
            <w:tcW w:w="732" w:type="dxa"/>
            <w:vAlign w:val="center"/>
            <w:hideMark/>
          </w:tcPr>
          <w:p w14:paraId="7C1C2D46" w14:textId="77777777" w:rsidR="00295BCD" w:rsidRPr="001927D6" w:rsidRDefault="00295BCD">
            <w:pPr>
              <w:spacing w:after="0" w:line="240" w:lineRule="auto"/>
              <w:jc w:val="center"/>
              <w:textAlignment w:val="baseline"/>
              <w:rPr>
                <w:szCs w:val="24"/>
                <w:lang w:eastAsia="et-EE"/>
              </w:rPr>
            </w:pPr>
            <w:r w:rsidRPr="001927D6">
              <w:rPr>
                <w:szCs w:val="24"/>
                <w:lang w:eastAsia="et-EE"/>
              </w:rPr>
              <w:t>173 </w:t>
            </w:r>
          </w:p>
        </w:tc>
        <w:tc>
          <w:tcPr>
            <w:tcW w:w="1243" w:type="dxa"/>
            <w:vAlign w:val="center"/>
          </w:tcPr>
          <w:p w14:paraId="6001D7E7" w14:textId="77777777" w:rsidR="00295BCD" w:rsidRPr="001927D6" w:rsidRDefault="00295BCD">
            <w:pPr>
              <w:spacing w:after="0" w:line="240" w:lineRule="auto"/>
              <w:jc w:val="center"/>
              <w:textAlignment w:val="baseline"/>
              <w:rPr>
                <w:szCs w:val="24"/>
                <w:lang w:eastAsia="et-EE"/>
              </w:rPr>
            </w:pPr>
            <w:r w:rsidRPr="001927D6">
              <w:rPr>
                <w:color w:val="000000"/>
                <w:szCs w:val="24"/>
              </w:rPr>
              <w:t>1 565,49</w:t>
            </w:r>
          </w:p>
        </w:tc>
        <w:tc>
          <w:tcPr>
            <w:tcW w:w="1211" w:type="dxa"/>
            <w:vAlign w:val="center"/>
          </w:tcPr>
          <w:p w14:paraId="41C4B453" w14:textId="77777777" w:rsidR="00295BCD" w:rsidRPr="001927D6" w:rsidRDefault="00295BCD">
            <w:pPr>
              <w:spacing w:after="0" w:line="240" w:lineRule="auto"/>
              <w:jc w:val="center"/>
              <w:textAlignment w:val="baseline"/>
              <w:rPr>
                <w:szCs w:val="24"/>
                <w:lang w:eastAsia="et-EE"/>
              </w:rPr>
            </w:pPr>
            <w:r w:rsidRPr="001927D6">
              <w:rPr>
                <w:color w:val="000000"/>
                <w:szCs w:val="24"/>
              </w:rPr>
              <w:t>395,78</w:t>
            </w:r>
          </w:p>
        </w:tc>
        <w:tc>
          <w:tcPr>
            <w:tcW w:w="1238" w:type="dxa"/>
            <w:vAlign w:val="center"/>
          </w:tcPr>
          <w:p w14:paraId="3246B436" w14:textId="77777777" w:rsidR="00295BCD" w:rsidRPr="001927D6" w:rsidRDefault="00295BCD">
            <w:pPr>
              <w:spacing w:after="0" w:line="240" w:lineRule="auto"/>
              <w:jc w:val="center"/>
              <w:textAlignment w:val="baseline"/>
              <w:rPr>
                <w:szCs w:val="24"/>
                <w:lang w:eastAsia="et-EE"/>
              </w:rPr>
            </w:pPr>
            <w:r w:rsidRPr="001927D6">
              <w:rPr>
                <w:color w:val="000000"/>
                <w:szCs w:val="24"/>
              </w:rPr>
              <w:t>4 012,23</w:t>
            </w:r>
          </w:p>
        </w:tc>
      </w:tr>
      <w:tr w:rsidR="00295BCD" w:rsidRPr="001927D6" w14:paraId="290FB9A4" w14:textId="77777777" w:rsidTr="00295BCD">
        <w:trPr>
          <w:divId w:val="1316184749"/>
          <w:trHeight w:val="300"/>
        </w:trPr>
        <w:tc>
          <w:tcPr>
            <w:tcW w:w="4632" w:type="dxa"/>
            <w:vAlign w:val="bottom"/>
            <w:hideMark/>
          </w:tcPr>
          <w:p w14:paraId="051E043C" w14:textId="77777777" w:rsidR="00295BCD" w:rsidRPr="001927D6" w:rsidRDefault="00295BCD">
            <w:pPr>
              <w:spacing w:after="0" w:line="240" w:lineRule="auto"/>
              <w:textAlignment w:val="baseline"/>
              <w:rPr>
                <w:szCs w:val="24"/>
                <w:lang w:eastAsia="et-EE"/>
              </w:rPr>
            </w:pPr>
            <w:r w:rsidRPr="001927D6">
              <w:rPr>
                <w:szCs w:val="24"/>
                <w:lang w:eastAsia="et-EE"/>
              </w:rPr>
              <w:t>Tüsistunud peptiline haavand või seedetrakti verejooks </w:t>
            </w:r>
          </w:p>
        </w:tc>
        <w:tc>
          <w:tcPr>
            <w:tcW w:w="732" w:type="dxa"/>
            <w:vAlign w:val="center"/>
            <w:hideMark/>
          </w:tcPr>
          <w:p w14:paraId="6B951263" w14:textId="77777777" w:rsidR="00295BCD" w:rsidRPr="001927D6" w:rsidRDefault="00295BCD">
            <w:pPr>
              <w:spacing w:after="0" w:line="240" w:lineRule="auto"/>
              <w:jc w:val="center"/>
              <w:textAlignment w:val="baseline"/>
              <w:rPr>
                <w:szCs w:val="24"/>
                <w:lang w:eastAsia="et-EE"/>
              </w:rPr>
            </w:pPr>
            <w:r w:rsidRPr="001927D6">
              <w:rPr>
                <w:szCs w:val="24"/>
                <w:lang w:eastAsia="et-EE"/>
              </w:rPr>
              <w:t>174N </w:t>
            </w:r>
          </w:p>
        </w:tc>
        <w:tc>
          <w:tcPr>
            <w:tcW w:w="1243" w:type="dxa"/>
            <w:vAlign w:val="center"/>
          </w:tcPr>
          <w:p w14:paraId="50EF60B1" w14:textId="77777777" w:rsidR="00295BCD" w:rsidRPr="001927D6" w:rsidRDefault="00295BCD">
            <w:pPr>
              <w:spacing w:after="0" w:line="240" w:lineRule="auto"/>
              <w:jc w:val="center"/>
              <w:textAlignment w:val="baseline"/>
              <w:rPr>
                <w:szCs w:val="24"/>
                <w:lang w:eastAsia="et-EE"/>
              </w:rPr>
            </w:pPr>
            <w:r w:rsidRPr="001927D6">
              <w:rPr>
                <w:color w:val="000000"/>
                <w:szCs w:val="24"/>
              </w:rPr>
              <w:t>2 642,16</w:t>
            </w:r>
          </w:p>
        </w:tc>
        <w:tc>
          <w:tcPr>
            <w:tcW w:w="1211" w:type="dxa"/>
            <w:vAlign w:val="center"/>
          </w:tcPr>
          <w:p w14:paraId="0A5D428B" w14:textId="77777777" w:rsidR="00295BCD" w:rsidRPr="001927D6" w:rsidRDefault="00295BCD">
            <w:pPr>
              <w:spacing w:after="0" w:line="240" w:lineRule="auto"/>
              <w:jc w:val="center"/>
              <w:textAlignment w:val="baseline"/>
              <w:rPr>
                <w:szCs w:val="24"/>
                <w:lang w:eastAsia="et-EE"/>
              </w:rPr>
            </w:pPr>
            <w:r w:rsidRPr="001927D6">
              <w:rPr>
                <w:color w:val="000000"/>
                <w:szCs w:val="24"/>
              </w:rPr>
              <w:t>794,28</w:t>
            </w:r>
          </w:p>
        </w:tc>
        <w:tc>
          <w:tcPr>
            <w:tcW w:w="1238" w:type="dxa"/>
            <w:vAlign w:val="center"/>
          </w:tcPr>
          <w:p w14:paraId="36CE729D" w14:textId="77777777" w:rsidR="00295BCD" w:rsidRPr="001927D6" w:rsidRDefault="00295BCD">
            <w:pPr>
              <w:spacing w:after="0" w:line="240" w:lineRule="auto"/>
              <w:jc w:val="center"/>
              <w:textAlignment w:val="baseline"/>
              <w:rPr>
                <w:szCs w:val="24"/>
                <w:lang w:eastAsia="et-EE"/>
              </w:rPr>
            </w:pPr>
            <w:r w:rsidRPr="001927D6">
              <w:rPr>
                <w:color w:val="000000"/>
                <w:szCs w:val="24"/>
              </w:rPr>
              <w:t>6 101,09</w:t>
            </w:r>
          </w:p>
        </w:tc>
      </w:tr>
      <w:tr w:rsidR="00295BCD" w:rsidRPr="001927D6" w14:paraId="54EF3498" w14:textId="77777777" w:rsidTr="00295BCD">
        <w:trPr>
          <w:divId w:val="1316184749"/>
          <w:trHeight w:val="300"/>
        </w:trPr>
        <w:tc>
          <w:tcPr>
            <w:tcW w:w="4632" w:type="dxa"/>
            <w:vAlign w:val="bottom"/>
            <w:hideMark/>
          </w:tcPr>
          <w:p w14:paraId="5B51A2CA" w14:textId="77777777" w:rsidR="00295BCD" w:rsidRPr="001927D6" w:rsidRDefault="00295BCD">
            <w:pPr>
              <w:spacing w:after="0" w:line="240" w:lineRule="auto"/>
              <w:textAlignment w:val="baseline"/>
              <w:rPr>
                <w:szCs w:val="24"/>
                <w:lang w:eastAsia="et-EE"/>
              </w:rPr>
            </w:pPr>
            <w:r w:rsidRPr="001927D6">
              <w:rPr>
                <w:szCs w:val="24"/>
                <w:lang w:eastAsia="et-EE"/>
              </w:rPr>
              <w:t>Tüsistumata peptiline haavand või seedetrakti verejooks </w:t>
            </w:r>
          </w:p>
        </w:tc>
        <w:tc>
          <w:tcPr>
            <w:tcW w:w="732" w:type="dxa"/>
            <w:vAlign w:val="center"/>
            <w:hideMark/>
          </w:tcPr>
          <w:p w14:paraId="65DF13E5" w14:textId="77777777" w:rsidR="00295BCD" w:rsidRPr="001927D6" w:rsidRDefault="00295BCD">
            <w:pPr>
              <w:spacing w:after="0" w:line="240" w:lineRule="auto"/>
              <w:jc w:val="center"/>
              <w:textAlignment w:val="baseline"/>
              <w:rPr>
                <w:szCs w:val="24"/>
                <w:lang w:eastAsia="et-EE"/>
              </w:rPr>
            </w:pPr>
            <w:r w:rsidRPr="001927D6">
              <w:rPr>
                <w:szCs w:val="24"/>
                <w:lang w:eastAsia="et-EE"/>
              </w:rPr>
              <w:t>175N </w:t>
            </w:r>
          </w:p>
        </w:tc>
        <w:tc>
          <w:tcPr>
            <w:tcW w:w="1243" w:type="dxa"/>
            <w:vAlign w:val="center"/>
          </w:tcPr>
          <w:p w14:paraId="3A0B2357" w14:textId="77777777" w:rsidR="00295BCD" w:rsidRPr="001927D6" w:rsidRDefault="00295BCD">
            <w:pPr>
              <w:spacing w:after="0" w:line="240" w:lineRule="auto"/>
              <w:jc w:val="center"/>
              <w:textAlignment w:val="baseline"/>
              <w:rPr>
                <w:szCs w:val="24"/>
                <w:lang w:eastAsia="et-EE"/>
              </w:rPr>
            </w:pPr>
            <w:r w:rsidRPr="001927D6">
              <w:rPr>
                <w:color w:val="000000"/>
                <w:szCs w:val="24"/>
              </w:rPr>
              <w:t>1 510,07</w:t>
            </w:r>
          </w:p>
        </w:tc>
        <w:tc>
          <w:tcPr>
            <w:tcW w:w="1211" w:type="dxa"/>
            <w:vAlign w:val="center"/>
          </w:tcPr>
          <w:p w14:paraId="585790B4" w14:textId="77777777" w:rsidR="00295BCD" w:rsidRPr="001927D6" w:rsidRDefault="00295BCD">
            <w:pPr>
              <w:spacing w:after="0" w:line="240" w:lineRule="auto"/>
              <w:jc w:val="center"/>
              <w:textAlignment w:val="baseline"/>
              <w:rPr>
                <w:szCs w:val="24"/>
                <w:lang w:eastAsia="et-EE"/>
              </w:rPr>
            </w:pPr>
            <w:r w:rsidRPr="001927D6">
              <w:rPr>
                <w:color w:val="000000"/>
                <w:szCs w:val="24"/>
              </w:rPr>
              <w:t>483,10</w:t>
            </w:r>
          </w:p>
        </w:tc>
        <w:tc>
          <w:tcPr>
            <w:tcW w:w="1238" w:type="dxa"/>
            <w:vAlign w:val="center"/>
          </w:tcPr>
          <w:p w14:paraId="325729E6" w14:textId="77777777" w:rsidR="00295BCD" w:rsidRPr="001927D6" w:rsidRDefault="00295BCD">
            <w:pPr>
              <w:spacing w:after="0" w:line="240" w:lineRule="auto"/>
              <w:jc w:val="center"/>
              <w:textAlignment w:val="baseline"/>
              <w:rPr>
                <w:szCs w:val="24"/>
                <w:lang w:eastAsia="et-EE"/>
              </w:rPr>
            </w:pPr>
            <w:r w:rsidRPr="001927D6">
              <w:rPr>
                <w:color w:val="000000"/>
                <w:szCs w:val="24"/>
              </w:rPr>
              <w:t>2 901,67</w:t>
            </w:r>
          </w:p>
        </w:tc>
      </w:tr>
      <w:tr w:rsidR="00295BCD" w:rsidRPr="001927D6" w14:paraId="0B34B49C" w14:textId="77777777" w:rsidTr="00295BCD">
        <w:trPr>
          <w:divId w:val="1316184749"/>
          <w:trHeight w:val="300"/>
        </w:trPr>
        <w:tc>
          <w:tcPr>
            <w:tcW w:w="4632" w:type="dxa"/>
            <w:vAlign w:val="bottom"/>
            <w:hideMark/>
          </w:tcPr>
          <w:p w14:paraId="77C19577" w14:textId="77777777" w:rsidR="00295BCD" w:rsidRPr="001927D6" w:rsidRDefault="00295BCD">
            <w:pPr>
              <w:spacing w:after="0" w:line="240" w:lineRule="auto"/>
              <w:textAlignment w:val="baseline"/>
              <w:rPr>
                <w:szCs w:val="24"/>
                <w:lang w:eastAsia="et-EE"/>
              </w:rPr>
            </w:pPr>
            <w:r w:rsidRPr="001927D6">
              <w:rPr>
                <w:szCs w:val="24"/>
                <w:lang w:eastAsia="et-EE"/>
              </w:rPr>
              <w:t>Põletikuline soolehaigus </w:t>
            </w:r>
          </w:p>
        </w:tc>
        <w:tc>
          <w:tcPr>
            <w:tcW w:w="732" w:type="dxa"/>
            <w:vAlign w:val="center"/>
            <w:hideMark/>
          </w:tcPr>
          <w:p w14:paraId="588FE5CC" w14:textId="77777777" w:rsidR="00295BCD" w:rsidRPr="001927D6" w:rsidRDefault="00295BCD">
            <w:pPr>
              <w:spacing w:after="0" w:line="240" w:lineRule="auto"/>
              <w:jc w:val="center"/>
              <w:textAlignment w:val="baseline"/>
              <w:rPr>
                <w:szCs w:val="24"/>
                <w:lang w:eastAsia="et-EE"/>
              </w:rPr>
            </w:pPr>
            <w:r w:rsidRPr="001927D6">
              <w:rPr>
                <w:szCs w:val="24"/>
                <w:lang w:eastAsia="et-EE"/>
              </w:rPr>
              <w:t>179 </w:t>
            </w:r>
          </w:p>
        </w:tc>
        <w:tc>
          <w:tcPr>
            <w:tcW w:w="1243" w:type="dxa"/>
            <w:vAlign w:val="center"/>
          </w:tcPr>
          <w:p w14:paraId="236FAEC9" w14:textId="77777777" w:rsidR="00295BCD" w:rsidRPr="001927D6" w:rsidRDefault="00295BCD">
            <w:pPr>
              <w:spacing w:after="0" w:line="240" w:lineRule="auto"/>
              <w:jc w:val="center"/>
              <w:textAlignment w:val="baseline"/>
              <w:rPr>
                <w:szCs w:val="24"/>
                <w:lang w:eastAsia="et-EE"/>
              </w:rPr>
            </w:pPr>
            <w:r w:rsidRPr="001927D6">
              <w:rPr>
                <w:color w:val="000000"/>
                <w:szCs w:val="24"/>
              </w:rPr>
              <w:t>1 957,77</w:t>
            </w:r>
          </w:p>
        </w:tc>
        <w:tc>
          <w:tcPr>
            <w:tcW w:w="1211" w:type="dxa"/>
            <w:vAlign w:val="center"/>
          </w:tcPr>
          <w:p w14:paraId="0E91092C" w14:textId="77777777" w:rsidR="00295BCD" w:rsidRPr="001927D6" w:rsidRDefault="00295BCD">
            <w:pPr>
              <w:spacing w:after="0" w:line="240" w:lineRule="auto"/>
              <w:jc w:val="center"/>
              <w:textAlignment w:val="baseline"/>
              <w:rPr>
                <w:szCs w:val="24"/>
                <w:lang w:eastAsia="et-EE"/>
              </w:rPr>
            </w:pPr>
            <w:r w:rsidRPr="001927D6">
              <w:rPr>
                <w:color w:val="000000"/>
                <w:szCs w:val="24"/>
              </w:rPr>
              <w:t>719,36</w:t>
            </w:r>
          </w:p>
        </w:tc>
        <w:tc>
          <w:tcPr>
            <w:tcW w:w="1238" w:type="dxa"/>
            <w:vAlign w:val="center"/>
          </w:tcPr>
          <w:p w14:paraId="6D19A0A4" w14:textId="77777777" w:rsidR="00295BCD" w:rsidRPr="001927D6" w:rsidRDefault="00295BCD">
            <w:pPr>
              <w:spacing w:after="0" w:line="240" w:lineRule="auto"/>
              <w:jc w:val="center"/>
              <w:textAlignment w:val="baseline"/>
              <w:rPr>
                <w:szCs w:val="24"/>
                <w:lang w:eastAsia="et-EE"/>
              </w:rPr>
            </w:pPr>
            <w:r w:rsidRPr="001927D6">
              <w:rPr>
                <w:color w:val="000000"/>
                <w:szCs w:val="24"/>
              </w:rPr>
              <w:t>4 581,80</w:t>
            </w:r>
          </w:p>
        </w:tc>
      </w:tr>
      <w:tr w:rsidR="00295BCD" w:rsidRPr="001927D6" w14:paraId="6886640F" w14:textId="77777777" w:rsidTr="00295BCD">
        <w:trPr>
          <w:divId w:val="1316184749"/>
          <w:trHeight w:val="300"/>
        </w:trPr>
        <w:tc>
          <w:tcPr>
            <w:tcW w:w="4632" w:type="dxa"/>
            <w:vAlign w:val="bottom"/>
            <w:hideMark/>
          </w:tcPr>
          <w:p w14:paraId="0001700F" w14:textId="77777777" w:rsidR="00295BCD" w:rsidRPr="001927D6" w:rsidRDefault="00295BCD">
            <w:pPr>
              <w:spacing w:after="0" w:line="240" w:lineRule="auto"/>
              <w:textAlignment w:val="baseline"/>
              <w:rPr>
                <w:szCs w:val="24"/>
                <w:lang w:eastAsia="et-EE"/>
              </w:rPr>
            </w:pPr>
            <w:r w:rsidRPr="001927D6">
              <w:rPr>
                <w:szCs w:val="24"/>
                <w:lang w:eastAsia="et-EE"/>
              </w:rPr>
              <w:t>Soolesulgus, kht-ga </w:t>
            </w:r>
          </w:p>
        </w:tc>
        <w:tc>
          <w:tcPr>
            <w:tcW w:w="732" w:type="dxa"/>
            <w:vAlign w:val="center"/>
            <w:hideMark/>
          </w:tcPr>
          <w:p w14:paraId="5234A971" w14:textId="77777777" w:rsidR="00295BCD" w:rsidRPr="001927D6" w:rsidRDefault="00295BCD">
            <w:pPr>
              <w:spacing w:after="0" w:line="240" w:lineRule="auto"/>
              <w:jc w:val="center"/>
              <w:textAlignment w:val="baseline"/>
              <w:rPr>
                <w:szCs w:val="24"/>
                <w:lang w:eastAsia="et-EE"/>
              </w:rPr>
            </w:pPr>
            <w:r w:rsidRPr="001927D6">
              <w:rPr>
                <w:szCs w:val="24"/>
                <w:lang w:eastAsia="et-EE"/>
              </w:rPr>
              <w:t>180 </w:t>
            </w:r>
          </w:p>
        </w:tc>
        <w:tc>
          <w:tcPr>
            <w:tcW w:w="1243" w:type="dxa"/>
            <w:vAlign w:val="center"/>
          </w:tcPr>
          <w:p w14:paraId="49554485" w14:textId="77777777" w:rsidR="00295BCD" w:rsidRPr="001927D6" w:rsidRDefault="00295BCD">
            <w:pPr>
              <w:spacing w:after="0" w:line="240" w:lineRule="auto"/>
              <w:jc w:val="center"/>
              <w:textAlignment w:val="baseline"/>
              <w:rPr>
                <w:szCs w:val="24"/>
                <w:lang w:eastAsia="et-EE"/>
              </w:rPr>
            </w:pPr>
            <w:r w:rsidRPr="001927D6">
              <w:rPr>
                <w:color w:val="000000"/>
                <w:szCs w:val="24"/>
              </w:rPr>
              <w:t>1 483,08</w:t>
            </w:r>
          </w:p>
        </w:tc>
        <w:tc>
          <w:tcPr>
            <w:tcW w:w="1211" w:type="dxa"/>
            <w:vAlign w:val="center"/>
          </w:tcPr>
          <w:p w14:paraId="67327C4E" w14:textId="77777777" w:rsidR="00295BCD" w:rsidRPr="001927D6" w:rsidRDefault="00295BCD">
            <w:pPr>
              <w:spacing w:after="0" w:line="240" w:lineRule="auto"/>
              <w:jc w:val="center"/>
              <w:textAlignment w:val="baseline"/>
              <w:rPr>
                <w:szCs w:val="24"/>
                <w:lang w:eastAsia="et-EE"/>
              </w:rPr>
            </w:pPr>
            <w:r w:rsidRPr="001927D6">
              <w:rPr>
                <w:color w:val="000000"/>
                <w:szCs w:val="24"/>
              </w:rPr>
              <w:t>588,74</w:t>
            </w:r>
          </w:p>
        </w:tc>
        <w:tc>
          <w:tcPr>
            <w:tcW w:w="1238" w:type="dxa"/>
            <w:vAlign w:val="center"/>
          </w:tcPr>
          <w:p w14:paraId="16D79BF3" w14:textId="77777777" w:rsidR="00295BCD" w:rsidRPr="001927D6" w:rsidRDefault="00295BCD">
            <w:pPr>
              <w:spacing w:after="0" w:line="240" w:lineRule="auto"/>
              <w:jc w:val="center"/>
              <w:textAlignment w:val="baseline"/>
              <w:rPr>
                <w:szCs w:val="24"/>
                <w:lang w:eastAsia="et-EE"/>
              </w:rPr>
            </w:pPr>
            <w:r w:rsidRPr="001927D6">
              <w:rPr>
                <w:color w:val="000000"/>
                <w:szCs w:val="24"/>
              </w:rPr>
              <w:t>4 064,67</w:t>
            </w:r>
          </w:p>
        </w:tc>
      </w:tr>
      <w:tr w:rsidR="00295BCD" w:rsidRPr="001927D6" w14:paraId="202E652E" w14:textId="77777777" w:rsidTr="00295BCD">
        <w:trPr>
          <w:divId w:val="1316184749"/>
          <w:trHeight w:val="300"/>
        </w:trPr>
        <w:tc>
          <w:tcPr>
            <w:tcW w:w="4632" w:type="dxa"/>
            <w:vAlign w:val="bottom"/>
            <w:hideMark/>
          </w:tcPr>
          <w:p w14:paraId="06B988CA" w14:textId="77777777" w:rsidR="00295BCD" w:rsidRPr="001927D6" w:rsidRDefault="00295BCD">
            <w:pPr>
              <w:spacing w:after="0" w:line="240" w:lineRule="auto"/>
              <w:textAlignment w:val="baseline"/>
              <w:rPr>
                <w:szCs w:val="24"/>
                <w:lang w:eastAsia="et-EE"/>
              </w:rPr>
            </w:pPr>
            <w:r w:rsidRPr="001927D6">
              <w:rPr>
                <w:szCs w:val="24"/>
                <w:lang w:eastAsia="et-EE"/>
              </w:rPr>
              <w:t>Soolesulgus, kht-ta </w:t>
            </w:r>
          </w:p>
        </w:tc>
        <w:tc>
          <w:tcPr>
            <w:tcW w:w="732" w:type="dxa"/>
            <w:vAlign w:val="center"/>
            <w:hideMark/>
          </w:tcPr>
          <w:p w14:paraId="16C17218" w14:textId="77777777" w:rsidR="00295BCD" w:rsidRPr="001927D6" w:rsidRDefault="00295BCD">
            <w:pPr>
              <w:spacing w:after="0" w:line="240" w:lineRule="auto"/>
              <w:jc w:val="center"/>
              <w:textAlignment w:val="baseline"/>
              <w:rPr>
                <w:szCs w:val="24"/>
                <w:lang w:eastAsia="et-EE"/>
              </w:rPr>
            </w:pPr>
            <w:r w:rsidRPr="001927D6">
              <w:rPr>
                <w:szCs w:val="24"/>
                <w:lang w:eastAsia="et-EE"/>
              </w:rPr>
              <w:t>181 </w:t>
            </w:r>
          </w:p>
        </w:tc>
        <w:tc>
          <w:tcPr>
            <w:tcW w:w="1243" w:type="dxa"/>
            <w:vAlign w:val="center"/>
          </w:tcPr>
          <w:p w14:paraId="1642CBDA" w14:textId="77777777" w:rsidR="00295BCD" w:rsidRPr="001927D6" w:rsidRDefault="00295BCD">
            <w:pPr>
              <w:spacing w:after="0" w:line="240" w:lineRule="auto"/>
              <w:jc w:val="center"/>
              <w:textAlignment w:val="baseline"/>
              <w:rPr>
                <w:szCs w:val="24"/>
                <w:lang w:eastAsia="et-EE"/>
              </w:rPr>
            </w:pPr>
            <w:r w:rsidRPr="001927D6">
              <w:rPr>
                <w:color w:val="000000"/>
                <w:szCs w:val="24"/>
              </w:rPr>
              <w:t>972,75</w:t>
            </w:r>
          </w:p>
        </w:tc>
        <w:tc>
          <w:tcPr>
            <w:tcW w:w="1211" w:type="dxa"/>
            <w:vAlign w:val="center"/>
          </w:tcPr>
          <w:p w14:paraId="1B932877" w14:textId="77777777" w:rsidR="00295BCD" w:rsidRPr="001927D6" w:rsidRDefault="00295BCD">
            <w:pPr>
              <w:spacing w:after="0" w:line="240" w:lineRule="auto"/>
              <w:jc w:val="center"/>
              <w:textAlignment w:val="baseline"/>
              <w:rPr>
                <w:szCs w:val="24"/>
                <w:lang w:eastAsia="et-EE"/>
              </w:rPr>
            </w:pPr>
            <w:r w:rsidRPr="001927D6">
              <w:rPr>
                <w:color w:val="000000"/>
                <w:szCs w:val="24"/>
              </w:rPr>
              <w:t>533,09</w:t>
            </w:r>
          </w:p>
        </w:tc>
        <w:tc>
          <w:tcPr>
            <w:tcW w:w="1238" w:type="dxa"/>
            <w:vAlign w:val="center"/>
          </w:tcPr>
          <w:p w14:paraId="77840E88" w14:textId="77777777" w:rsidR="00295BCD" w:rsidRPr="001927D6" w:rsidRDefault="00295BCD">
            <w:pPr>
              <w:spacing w:after="0" w:line="240" w:lineRule="auto"/>
              <w:jc w:val="center"/>
              <w:textAlignment w:val="baseline"/>
              <w:rPr>
                <w:szCs w:val="24"/>
                <w:lang w:eastAsia="et-EE"/>
              </w:rPr>
            </w:pPr>
            <w:r w:rsidRPr="001927D6">
              <w:rPr>
                <w:color w:val="000000"/>
                <w:szCs w:val="24"/>
              </w:rPr>
              <w:t>1 941,55</w:t>
            </w:r>
          </w:p>
        </w:tc>
      </w:tr>
      <w:tr w:rsidR="00295BCD" w:rsidRPr="001927D6" w14:paraId="0812D323" w14:textId="77777777" w:rsidTr="00295BCD">
        <w:trPr>
          <w:divId w:val="1316184749"/>
          <w:trHeight w:val="300"/>
        </w:trPr>
        <w:tc>
          <w:tcPr>
            <w:tcW w:w="4632" w:type="dxa"/>
            <w:vAlign w:val="bottom"/>
            <w:hideMark/>
          </w:tcPr>
          <w:p w14:paraId="2EEC4D3C" w14:textId="77777777" w:rsidR="00295BCD" w:rsidRPr="001927D6" w:rsidRDefault="00295BCD">
            <w:pPr>
              <w:spacing w:after="0" w:line="240" w:lineRule="auto"/>
              <w:textAlignment w:val="baseline"/>
              <w:rPr>
                <w:szCs w:val="24"/>
                <w:lang w:eastAsia="et-EE"/>
              </w:rPr>
            </w:pPr>
            <w:r w:rsidRPr="001927D6">
              <w:rPr>
                <w:szCs w:val="24"/>
                <w:lang w:eastAsia="et-EE"/>
              </w:rPr>
              <w:t>Ösofagiit, gastroenteriit ja seedeelundite muud haigused, vanus &gt; 17, kht-ga </w:t>
            </w:r>
          </w:p>
        </w:tc>
        <w:tc>
          <w:tcPr>
            <w:tcW w:w="732" w:type="dxa"/>
            <w:vAlign w:val="center"/>
            <w:hideMark/>
          </w:tcPr>
          <w:p w14:paraId="3A5BC120" w14:textId="77777777" w:rsidR="00295BCD" w:rsidRPr="001927D6" w:rsidRDefault="00295BCD">
            <w:pPr>
              <w:spacing w:after="0" w:line="240" w:lineRule="auto"/>
              <w:jc w:val="center"/>
              <w:textAlignment w:val="baseline"/>
              <w:rPr>
                <w:szCs w:val="24"/>
                <w:lang w:eastAsia="et-EE"/>
              </w:rPr>
            </w:pPr>
            <w:r w:rsidRPr="001927D6">
              <w:rPr>
                <w:szCs w:val="24"/>
                <w:lang w:eastAsia="et-EE"/>
              </w:rPr>
              <w:t>182 </w:t>
            </w:r>
          </w:p>
        </w:tc>
        <w:tc>
          <w:tcPr>
            <w:tcW w:w="1243" w:type="dxa"/>
            <w:vAlign w:val="center"/>
          </w:tcPr>
          <w:p w14:paraId="6D0CC9A8" w14:textId="77777777" w:rsidR="00295BCD" w:rsidRPr="001927D6" w:rsidRDefault="00295BCD">
            <w:pPr>
              <w:spacing w:after="0" w:line="240" w:lineRule="auto"/>
              <w:jc w:val="center"/>
              <w:textAlignment w:val="baseline"/>
              <w:rPr>
                <w:szCs w:val="24"/>
                <w:lang w:eastAsia="et-EE"/>
              </w:rPr>
            </w:pPr>
            <w:r w:rsidRPr="001927D6">
              <w:rPr>
                <w:color w:val="000000"/>
                <w:szCs w:val="24"/>
              </w:rPr>
              <w:t>2 181,40</w:t>
            </w:r>
          </w:p>
        </w:tc>
        <w:tc>
          <w:tcPr>
            <w:tcW w:w="1211" w:type="dxa"/>
            <w:vAlign w:val="center"/>
          </w:tcPr>
          <w:p w14:paraId="1EA1147D" w14:textId="77777777" w:rsidR="00295BCD" w:rsidRPr="001927D6" w:rsidRDefault="00295BCD">
            <w:pPr>
              <w:spacing w:after="0" w:line="240" w:lineRule="auto"/>
              <w:jc w:val="center"/>
              <w:textAlignment w:val="baseline"/>
              <w:rPr>
                <w:szCs w:val="24"/>
                <w:lang w:eastAsia="et-EE"/>
              </w:rPr>
            </w:pPr>
            <w:r w:rsidRPr="001927D6">
              <w:rPr>
                <w:color w:val="000000"/>
                <w:szCs w:val="24"/>
              </w:rPr>
              <w:t>607,90</w:t>
            </w:r>
          </w:p>
        </w:tc>
        <w:tc>
          <w:tcPr>
            <w:tcW w:w="1238" w:type="dxa"/>
            <w:vAlign w:val="center"/>
          </w:tcPr>
          <w:p w14:paraId="249BCCF7" w14:textId="77777777" w:rsidR="00295BCD" w:rsidRPr="001927D6" w:rsidRDefault="00295BCD">
            <w:pPr>
              <w:spacing w:after="0" w:line="240" w:lineRule="auto"/>
              <w:jc w:val="center"/>
              <w:textAlignment w:val="baseline"/>
              <w:rPr>
                <w:szCs w:val="24"/>
                <w:lang w:eastAsia="et-EE"/>
              </w:rPr>
            </w:pPr>
            <w:r w:rsidRPr="001927D6">
              <w:rPr>
                <w:color w:val="000000"/>
                <w:szCs w:val="24"/>
              </w:rPr>
              <w:t>4 989,03</w:t>
            </w:r>
          </w:p>
        </w:tc>
      </w:tr>
      <w:tr w:rsidR="00295BCD" w:rsidRPr="001927D6" w14:paraId="3CB8F844" w14:textId="77777777" w:rsidTr="00295BCD">
        <w:trPr>
          <w:divId w:val="1316184749"/>
          <w:trHeight w:val="300"/>
        </w:trPr>
        <w:tc>
          <w:tcPr>
            <w:tcW w:w="4632" w:type="dxa"/>
            <w:vAlign w:val="bottom"/>
            <w:hideMark/>
          </w:tcPr>
          <w:p w14:paraId="553A8A0E" w14:textId="77777777" w:rsidR="00295BCD" w:rsidRPr="001927D6" w:rsidRDefault="00295BCD">
            <w:pPr>
              <w:spacing w:after="0" w:line="240" w:lineRule="auto"/>
              <w:textAlignment w:val="baseline"/>
              <w:rPr>
                <w:szCs w:val="24"/>
                <w:lang w:eastAsia="et-EE"/>
              </w:rPr>
            </w:pPr>
            <w:r w:rsidRPr="001927D6">
              <w:rPr>
                <w:szCs w:val="24"/>
                <w:lang w:eastAsia="et-EE"/>
              </w:rPr>
              <w:t>Ösofagiit, gastroenteriit ja seedeelundite muud haigused, vanus &gt; 17, kht-ta </w:t>
            </w:r>
          </w:p>
        </w:tc>
        <w:tc>
          <w:tcPr>
            <w:tcW w:w="732" w:type="dxa"/>
            <w:vAlign w:val="center"/>
            <w:hideMark/>
          </w:tcPr>
          <w:p w14:paraId="41CF1899" w14:textId="77777777" w:rsidR="00295BCD" w:rsidRPr="001927D6" w:rsidRDefault="00295BCD">
            <w:pPr>
              <w:spacing w:after="0" w:line="240" w:lineRule="auto"/>
              <w:jc w:val="center"/>
              <w:textAlignment w:val="baseline"/>
              <w:rPr>
                <w:szCs w:val="24"/>
                <w:lang w:eastAsia="et-EE"/>
              </w:rPr>
            </w:pPr>
            <w:r w:rsidRPr="001927D6">
              <w:rPr>
                <w:szCs w:val="24"/>
                <w:lang w:eastAsia="et-EE"/>
              </w:rPr>
              <w:t>183 </w:t>
            </w:r>
          </w:p>
        </w:tc>
        <w:tc>
          <w:tcPr>
            <w:tcW w:w="1243" w:type="dxa"/>
            <w:vAlign w:val="center"/>
          </w:tcPr>
          <w:p w14:paraId="40EF736F" w14:textId="77777777" w:rsidR="00295BCD" w:rsidRPr="001927D6" w:rsidRDefault="00295BCD">
            <w:pPr>
              <w:spacing w:after="0" w:line="240" w:lineRule="auto"/>
              <w:jc w:val="center"/>
              <w:textAlignment w:val="baseline"/>
              <w:rPr>
                <w:szCs w:val="24"/>
                <w:lang w:eastAsia="et-EE"/>
              </w:rPr>
            </w:pPr>
            <w:r w:rsidRPr="001927D6">
              <w:rPr>
                <w:color w:val="000000"/>
                <w:szCs w:val="24"/>
              </w:rPr>
              <w:t>1 272,68</w:t>
            </w:r>
          </w:p>
        </w:tc>
        <w:tc>
          <w:tcPr>
            <w:tcW w:w="1211" w:type="dxa"/>
            <w:vAlign w:val="center"/>
          </w:tcPr>
          <w:p w14:paraId="3D2C3899" w14:textId="77777777" w:rsidR="00295BCD" w:rsidRPr="001927D6" w:rsidRDefault="00295BCD">
            <w:pPr>
              <w:spacing w:after="0" w:line="240" w:lineRule="auto"/>
              <w:jc w:val="center"/>
              <w:textAlignment w:val="baseline"/>
              <w:rPr>
                <w:szCs w:val="24"/>
                <w:lang w:eastAsia="et-EE"/>
              </w:rPr>
            </w:pPr>
            <w:r w:rsidRPr="001927D6">
              <w:rPr>
                <w:color w:val="000000"/>
                <w:szCs w:val="24"/>
              </w:rPr>
              <w:t>364,81</w:t>
            </w:r>
          </w:p>
        </w:tc>
        <w:tc>
          <w:tcPr>
            <w:tcW w:w="1238" w:type="dxa"/>
            <w:vAlign w:val="center"/>
          </w:tcPr>
          <w:p w14:paraId="6484262A" w14:textId="77777777" w:rsidR="00295BCD" w:rsidRPr="001927D6" w:rsidRDefault="00295BCD">
            <w:pPr>
              <w:spacing w:after="0" w:line="240" w:lineRule="auto"/>
              <w:jc w:val="center"/>
              <w:textAlignment w:val="baseline"/>
              <w:rPr>
                <w:szCs w:val="24"/>
                <w:lang w:eastAsia="et-EE"/>
              </w:rPr>
            </w:pPr>
            <w:r w:rsidRPr="001927D6">
              <w:rPr>
                <w:color w:val="000000"/>
                <w:szCs w:val="24"/>
              </w:rPr>
              <w:t>2 598,96</w:t>
            </w:r>
          </w:p>
        </w:tc>
      </w:tr>
      <w:tr w:rsidR="00295BCD" w:rsidRPr="001927D6" w14:paraId="43FBE058" w14:textId="77777777" w:rsidTr="00295BCD">
        <w:trPr>
          <w:divId w:val="1316184749"/>
          <w:trHeight w:val="300"/>
        </w:trPr>
        <w:tc>
          <w:tcPr>
            <w:tcW w:w="4632" w:type="dxa"/>
            <w:vAlign w:val="bottom"/>
            <w:hideMark/>
          </w:tcPr>
          <w:p w14:paraId="1F192ED5" w14:textId="77777777" w:rsidR="00295BCD" w:rsidRPr="001927D6" w:rsidRDefault="00295BCD">
            <w:pPr>
              <w:spacing w:after="0" w:line="240" w:lineRule="auto"/>
              <w:textAlignment w:val="baseline"/>
              <w:rPr>
                <w:szCs w:val="24"/>
                <w:lang w:eastAsia="et-EE"/>
              </w:rPr>
            </w:pPr>
            <w:r w:rsidRPr="001927D6">
              <w:rPr>
                <w:szCs w:val="24"/>
                <w:lang w:eastAsia="et-EE"/>
              </w:rPr>
              <w:t>Ösofagiit, gastroenteriit ja seedeelundite muud haigused, vanus 0–17, kht-ga </w:t>
            </w:r>
          </w:p>
        </w:tc>
        <w:tc>
          <w:tcPr>
            <w:tcW w:w="732" w:type="dxa"/>
            <w:vAlign w:val="center"/>
            <w:hideMark/>
          </w:tcPr>
          <w:p w14:paraId="24266AF6" w14:textId="77777777" w:rsidR="00295BCD" w:rsidRPr="001927D6" w:rsidRDefault="00295BCD">
            <w:pPr>
              <w:spacing w:after="0" w:line="240" w:lineRule="auto"/>
              <w:jc w:val="center"/>
              <w:textAlignment w:val="baseline"/>
              <w:rPr>
                <w:szCs w:val="24"/>
                <w:lang w:eastAsia="et-EE"/>
              </w:rPr>
            </w:pPr>
            <w:r w:rsidRPr="001927D6">
              <w:rPr>
                <w:szCs w:val="24"/>
                <w:lang w:eastAsia="et-EE"/>
              </w:rPr>
              <w:t>184A </w:t>
            </w:r>
          </w:p>
        </w:tc>
        <w:tc>
          <w:tcPr>
            <w:tcW w:w="1243" w:type="dxa"/>
            <w:vAlign w:val="center"/>
          </w:tcPr>
          <w:p w14:paraId="70E22114" w14:textId="77777777" w:rsidR="00295BCD" w:rsidRPr="001927D6" w:rsidRDefault="00295BCD">
            <w:pPr>
              <w:spacing w:after="0" w:line="240" w:lineRule="auto"/>
              <w:jc w:val="center"/>
              <w:textAlignment w:val="baseline"/>
              <w:rPr>
                <w:szCs w:val="24"/>
                <w:lang w:eastAsia="et-EE"/>
              </w:rPr>
            </w:pPr>
            <w:r w:rsidRPr="001927D6">
              <w:rPr>
                <w:color w:val="000000"/>
                <w:szCs w:val="24"/>
              </w:rPr>
              <w:t>973,24</w:t>
            </w:r>
          </w:p>
        </w:tc>
        <w:tc>
          <w:tcPr>
            <w:tcW w:w="1211" w:type="dxa"/>
            <w:vAlign w:val="center"/>
          </w:tcPr>
          <w:p w14:paraId="2E1BE192" w14:textId="77777777" w:rsidR="00295BCD" w:rsidRPr="001927D6" w:rsidRDefault="00295BCD">
            <w:pPr>
              <w:spacing w:after="0" w:line="240" w:lineRule="auto"/>
              <w:jc w:val="center"/>
              <w:textAlignment w:val="baseline"/>
              <w:rPr>
                <w:szCs w:val="24"/>
                <w:lang w:eastAsia="et-EE"/>
              </w:rPr>
            </w:pPr>
            <w:r w:rsidRPr="001927D6">
              <w:rPr>
                <w:color w:val="000000"/>
                <w:szCs w:val="24"/>
              </w:rPr>
              <w:t>326,59</w:t>
            </w:r>
          </w:p>
        </w:tc>
        <w:tc>
          <w:tcPr>
            <w:tcW w:w="1238" w:type="dxa"/>
            <w:vAlign w:val="center"/>
          </w:tcPr>
          <w:p w14:paraId="7EA967B1" w14:textId="77777777" w:rsidR="00295BCD" w:rsidRPr="001927D6" w:rsidRDefault="00295BCD">
            <w:pPr>
              <w:spacing w:after="0" w:line="240" w:lineRule="auto"/>
              <w:jc w:val="center"/>
              <w:textAlignment w:val="baseline"/>
              <w:rPr>
                <w:szCs w:val="24"/>
                <w:lang w:eastAsia="et-EE"/>
              </w:rPr>
            </w:pPr>
            <w:r w:rsidRPr="001927D6">
              <w:rPr>
                <w:color w:val="000000"/>
                <w:szCs w:val="24"/>
              </w:rPr>
              <w:t>2 098,33</w:t>
            </w:r>
          </w:p>
        </w:tc>
      </w:tr>
      <w:tr w:rsidR="00295BCD" w:rsidRPr="001927D6" w14:paraId="3EE81BCA" w14:textId="77777777" w:rsidTr="00295BCD">
        <w:trPr>
          <w:divId w:val="1316184749"/>
          <w:trHeight w:val="300"/>
        </w:trPr>
        <w:tc>
          <w:tcPr>
            <w:tcW w:w="4632" w:type="dxa"/>
            <w:vAlign w:val="bottom"/>
            <w:hideMark/>
          </w:tcPr>
          <w:p w14:paraId="30DA714D" w14:textId="77777777" w:rsidR="00295BCD" w:rsidRPr="001927D6" w:rsidRDefault="00295BCD">
            <w:pPr>
              <w:spacing w:after="0" w:line="240" w:lineRule="auto"/>
              <w:textAlignment w:val="baseline"/>
              <w:rPr>
                <w:szCs w:val="24"/>
                <w:lang w:eastAsia="et-EE"/>
              </w:rPr>
            </w:pPr>
            <w:r w:rsidRPr="001927D6">
              <w:rPr>
                <w:szCs w:val="24"/>
                <w:lang w:eastAsia="et-EE"/>
              </w:rPr>
              <w:t>Ösofagiit, gastroenteriit ja seedeelundite muud haigused, vanus 0–17, kht-ta </w:t>
            </w:r>
          </w:p>
        </w:tc>
        <w:tc>
          <w:tcPr>
            <w:tcW w:w="732" w:type="dxa"/>
            <w:vAlign w:val="center"/>
            <w:hideMark/>
          </w:tcPr>
          <w:p w14:paraId="47396EF0" w14:textId="77777777" w:rsidR="00295BCD" w:rsidRPr="001927D6" w:rsidRDefault="00295BCD">
            <w:pPr>
              <w:spacing w:after="0" w:line="240" w:lineRule="auto"/>
              <w:jc w:val="center"/>
              <w:textAlignment w:val="baseline"/>
              <w:rPr>
                <w:szCs w:val="24"/>
                <w:lang w:eastAsia="et-EE"/>
              </w:rPr>
            </w:pPr>
            <w:r w:rsidRPr="001927D6">
              <w:rPr>
                <w:szCs w:val="24"/>
                <w:lang w:eastAsia="et-EE"/>
              </w:rPr>
              <w:t>184B </w:t>
            </w:r>
          </w:p>
        </w:tc>
        <w:tc>
          <w:tcPr>
            <w:tcW w:w="1243" w:type="dxa"/>
            <w:vAlign w:val="center"/>
          </w:tcPr>
          <w:p w14:paraId="0161D079" w14:textId="77777777" w:rsidR="00295BCD" w:rsidRPr="001927D6" w:rsidRDefault="00295BCD">
            <w:pPr>
              <w:spacing w:after="0" w:line="240" w:lineRule="auto"/>
              <w:jc w:val="center"/>
              <w:textAlignment w:val="baseline"/>
              <w:rPr>
                <w:szCs w:val="24"/>
                <w:lang w:eastAsia="et-EE"/>
              </w:rPr>
            </w:pPr>
            <w:r w:rsidRPr="001927D6">
              <w:rPr>
                <w:color w:val="000000"/>
                <w:szCs w:val="24"/>
              </w:rPr>
              <w:t>827,71</w:t>
            </w:r>
          </w:p>
        </w:tc>
        <w:tc>
          <w:tcPr>
            <w:tcW w:w="1211" w:type="dxa"/>
            <w:vAlign w:val="center"/>
          </w:tcPr>
          <w:p w14:paraId="208758EC" w14:textId="77777777" w:rsidR="00295BCD" w:rsidRPr="001927D6" w:rsidRDefault="00295BCD">
            <w:pPr>
              <w:spacing w:after="0" w:line="240" w:lineRule="auto"/>
              <w:jc w:val="center"/>
              <w:textAlignment w:val="baseline"/>
              <w:rPr>
                <w:szCs w:val="24"/>
                <w:lang w:eastAsia="et-EE"/>
              </w:rPr>
            </w:pPr>
            <w:r w:rsidRPr="001927D6">
              <w:rPr>
                <w:color w:val="000000"/>
                <w:szCs w:val="24"/>
              </w:rPr>
              <w:t>385,05</w:t>
            </w:r>
          </w:p>
        </w:tc>
        <w:tc>
          <w:tcPr>
            <w:tcW w:w="1238" w:type="dxa"/>
            <w:vAlign w:val="center"/>
          </w:tcPr>
          <w:p w14:paraId="036B1A99" w14:textId="77777777" w:rsidR="00295BCD" w:rsidRPr="001927D6" w:rsidRDefault="00295BCD">
            <w:pPr>
              <w:spacing w:after="0" w:line="240" w:lineRule="auto"/>
              <w:jc w:val="center"/>
              <w:textAlignment w:val="baseline"/>
              <w:rPr>
                <w:szCs w:val="24"/>
                <w:lang w:eastAsia="et-EE"/>
              </w:rPr>
            </w:pPr>
            <w:r w:rsidRPr="001927D6">
              <w:rPr>
                <w:color w:val="000000"/>
                <w:szCs w:val="24"/>
              </w:rPr>
              <w:t>1 389,67</w:t>
            </w:r>
          </w:p>
        </w:tc>
      </w:tr>
      <w:tr w:rsidR="00295BCD" w:rsidRPr="001927D6" w14:paraId="4105F264" w14:textId="77777777" w:rsidTr="00295BCD">
        <w:trPr>
          <w:divId w:val="1316184749"/>
          <w:trHeight w:val="300"/>
        </w:trPr>
        <w:tc>
          <w:tcPr>
            <w:tcW w:w="4632" w:type="dxa"/>
            <w:vAlign w:val="bottom"/>
            <w:hideMark/>
          </w:tcPr>
          <w:p w14:paraId="697ED90D" w14:textId="77777777" w:rsidR="00295BCD" w:rsidRPr="001927D6" w:rsidRDefault="00295BCD">
            <w:pPr>
              <w:spacing w:after="0" w:line="240" w:lineRule="auto"/>
              <w:textAlignment w:val="baseline"/>
              <w:rPr>
                <w:szCs w:val="24"/>
                <w:lang w:eastAsia="et-EE"/>
              </w:rPr>
            </w:pPr>
            <w:r w:rsidRPr="001927D6">
              <w:rPr>
                <w:szCs w:val="24"/>
                <w:lang w:eastAsia="et-EE"/>
              </w:rPr>
              <w:t>Suu- ja hambahaigused, v.a ekstraktsioonid ja restauratsioonid, vanus &gt; 17 </w:t>
            </w:r>
          </w:p>
        </w:tc>
        <w:tc>
          <w:tcPr>
            <w:tcW w:w="732" w:type="dxa"/>
            <w:vAlign w:val="center"/>
            <w:hideMark/>
          </w:tcPr>
          <w:p w14:paraId="4259C6F3" w14:textId="77777777" w:rsidR="00295BCD" w:rsidRPr="001927D6" w:rsidRDefault="00295BCD">
            <w:pPr>
              <w:spacing w:after="0" w:line="240" w:lineRule="auto"/>
              <w:jc w:val="center"/>
              <w:textAlignment w:val="baseline"/>
              <w:rPr>
                <w:szCs w:val="24"/>
                <w:lang w:eastAsia="et-EE"/>
              </w:rPr>
            </w:pPr>
            <w:r w:rsidRPr="001927D6">
              <w:rPr>
                <w:szCs w:val="24"/>
                <w:lang w:eastAsia="et-EE"/>
              </w:rPr>
              <w:t>185 </w:t>
            </w:r>
          </w:p>
        </w:tc>
        <w:tc>
          <w:tcPr>
            <w:tcW w:w="1243" w:type="dxa"/>
            <w:vAlign w:val="center"/>
          </w:tcPr>
          <w:p w14:paraId="09324274" w14:textId="77777777" w:rsidR="00295BCD" w:rsidRPr="001927D6" w:rsidRDefault="00295BCD">
            <w:pPr>
              <w:spacing w:after="0" w:line="240" w:lineRule="auto"/>
              <w:jc w:val="center"/>
              <w:textAlignment w:val="baseline"/>
              <w:rPr>
                <w:szCs w:val="24"/>
                <w:lang w:eastAsia="et-EE"/>
              </w:rPr>
            </w:pPr>
            <w:r w:rsidRPr="001927D6">
              <w:rPr>
                <w:color w:val="000000"/>
                <w:szCs w:val="24"/>
              </w:rPr>
              <w:t>1 654,71</w:t>
            </w:r>
          </w:p>
        </w:tc>
        <w:tc>
          <w:tcPr>
            <w:tcW w:w="1211" w:type="dxa"/>
            <w:vAlign w:val="center"/>
          </w:tcPr>
          <w:p w14:paraId="682C1E60" w14:textId="77777777" w:rsidR="00295BCD" w:rsidRPr="001927D6" w:rsidRDefault="00295BCD">
            <w:pPr>
              <w:spacing w:after="0" w:line="240" w:lineRule="auto"/>
              <w:jc w:val="center"/>
              <w:textAlignment w:val="baseline"/>
              <w:rPr>
                <w:szCs w:val="24"/>
                <w:lang w:eastAsia="et-EE"/>
              </w:rPr>
            </w:pPr>
            <w:r w:rsidRPr="001927D6">
              <w:rPr>
                <w:color w:val="000000"/>
                <w:szCs w:val="24"/>
              </w:rPr>
              <w:t>263,52</w:t>
            </w:r>
          </w:p>
        </w:tc>
        <w:tc>
          <w:tcPr>
            <w:tcW w:w="1238" w:type="dxa"/>
            <w:vAlign w:val="center"/>
          </w:tcPr>
          <w:p w14:paraId="7F963897" w14:textId="77777777" w:rsidR="00295BCD" w:rsidRPr="001927D6" w:rsidRDefault="00295BCD">
            <w:pPr>
              <w:spacing w:after="0" w:line="240" w:lineRule="auto"/>
              <w:jc w:val="center"/>
              <w:textAlignment w:val="baseline"/>
              <w:rPr>
                <w:szCs w:val="24"/>
                <w:lang w:eastAsia="et-EE"/>
              </w:rPr>
            </w:pPr>
            <w:r w:rsidRPr="001927D6">
              <w:rPr>
                <w:color w:val="000000"/>
                <w:szCs w:val="24"/>
              </w:rPr>
              <w:t>4 007,46</w:t>
            </w:r>
          </w:p>
        </w:tc>
      </w:tr>
      <w:tr w:rsidR="00295BCD" w:rsidRPr="001927D6" w14:paraId="7F2542C6" w14:textId="77777777" w:rsidTr="00295BCD">
        <w:trPr>
          <w:divId w:val="1316184749"/>
          <w:trHeight w:val="300"/>
        </w:trPr>
        <w:tc>
          <w:tcPr>
            <w:tcW w:w="4632" w:type="dxa"/>
            <w:vAlign w:val="bottom"/>
            <w:hideMark/>
          </w:tcPr>
          <w:p w14:paraId="1C30B1C9" w14:textId="77777777" w:rsidR="00295BCD" w:rsidRPr="001927D6" w:rsidRDefault="00295BCD">
            <w:pPr>
              <w:spacing w:after="0" w:line="240" w:lineRule="auto"/>
              <w:textAlignment w:val="baseline"/>
              <w:rPr>
                <w:szCs w:val="24"/>
                <w:lang w:eastAsia="et-EE"/>
              </w:rPr>
            </w:pPr>
            <w:r w:rsidRPr="001927D6">
              <w:rPr>
                <w:szCs w:val="24"/>
                <w:lang w:eastAsia="et-EE"/>
              </w:rPr>
              <w:t>Suu- ja hambahaigused, v.a ekstraktsioonid ja restauratsioonid, vanus 0–17 </w:t>
            </w:r>
          </w:p>
        </w:tc>
        <w:tc>
          <w:tcPr>
            <w:tcW w:w="732" w:type="dxa"/>
            <w:vAlign w:val="center"/>
            <w:hideMark/>
          </w:tcPr>
          <w:p w14:paraId="13211C20" w14:textId="77777777" w:rsidR="00295BCD" w:rsidRPr="001927D6" w:rsidRDefault="00295BCD">
            <w:pPr>
              <w:spacing w:after="0" w:line="240" w:lineRule="auto"/>
              <w:jc w:val="center"/>
              <w:textAlignment w:val="baseline"/>
              <w:rPr>
                <w:szCs w:val="24"/>
                <w:lang w:eastAsia="et-EE"/>
              </w:rPr>
            </w:pPr>
            <w:r w:rsidRPr="001927D6">
              <w:rPr>
                <w:szCs w:val="24"/>
                <w:lang w:eastAsia="et-EE"/>
              </w:rPr>
              <w:t>186 </w:t>
            </w:r>
          </w:p>
        </w:tc>
        <w:tc>
          <w:tcPr>
            <w:tcW w:w="1243" w:type="dxa"/>
            <w:vAlign w:val="center"/>
          </w:tcPr>
          <w:p w14:paraId="7840C2A0" w14:textId="77777777" w:rsidR="00295BCD" w:rsidRPr="001927D6" w:rsidRDefault="00295BCD">
            <w:pPr>
              <w:spacing w:after="0" w:line="240" w:lineRule="auto"/>
              <w:jc w:val="center"/>
              <w:textAlignment w:val="baseline"/>
              <w:rPr>
                <w:szCs w:val="24"/>
                <w:lang w:eastAsia="et-EE"/>
              </w:rPr>
            </w:pPr>
            <w:r w:rsidRPr="001927D6">
              <w:rPr>
                <w:color w:val="000000"/>
                <w:szCs w:val="24"/>
              </w:rPr>
              <w:t>880,19</w:t>
            </w:r>
          </w:p>
        </w:tc>
        <w:tc>
          <w:tcPr>
            <w:tcW w:w="1211" w:type="dxa"/>
            <w:vAlign w:val="center"/>
          </w:tcPr>
          <w:p w14:paraId="67776D82" w14:textId="77777777" w:rsidR="00295BCD" w:rsidRPr="001927D6" w:rsidRDefault="00295BCD">
            <w:pPr>
              <w:spacing w:after="0" w:line="240" w:lineRule="auto"/>
              <w:jc w:val="center"/>
              <w:textAlignment w:val="baseline"/>
              <w:rPr>
                <w:szCs w:val="24"/>
                <w:lang w:eastAsia="et-EE"/>
              </w:rPr>
            </w:pPr>
            <w:r w:rsidRPr="001927D6">
              <w:rPr>
                <w:color w:val="000000"/>
                <w:szCs w:val="24"/>
              </w:rPr>
              <w:t>259,90</w:t>
            </w:r>
          </w:p>
        </w:tc>
        <w:tc>
          <w:tcPr>
            <w:tcW w:w="1238" w:type="dxa"/>
            <w:vAlign w:val="center"/>
          </w:tcPr>
          <w:p w14:paraId="6BB0F7F4" w14:textId="77777777" w:rsidR="00295BCD" w:rsidRPr="001927D6" w:rsidRDefault="00295BCD">
            <w:pPr>
              <w:spacing w:after="0" w:line="240" w:lineRule="auto"/>
              <w:jc w:val="center"/>
              <w:textAlignment w:val="baseline"/>
              <w:rPr>
                <w:szCs w:val="24"/>
                <w:lang w:eastAsia="et-EE"/>
              </w:rPr>
            </w:pPr>
            <w:r w:rsidRPr="001927D6">
              <w:rPr>
                <w:color w:val="000000"/>
                <w:szCs w:val="24"/>
              </w:rPr>
              <w:t>1 635,70</w:t>
            </w:r>
          </w:p>
        </w:tc>
      </w:tr>
      <w:tr w:rsidR="00295BCD" w:rsidRPr="001927D6" w14:paraId="55ED7AD5" w14:textId="77777777" w:rsidTr="00295BCD">
        <w:trPr>
          <w:divId w:val="1316184749"/>
          <w:trHeight w:val="300"/>
        </w:trPr>
        <w:tc>
          <w:tcPr>
            <w:tcW w:w="4632" w:type="dxa"/>
            <w:vAlign w:val="bottom"/>
            <w:hideMark/>
          </w:tcPr>
          <w:p w14:paraId="537F9EF0" w14:textId="77777777" w:rsidR="00295BCD" w:rsidRPr="001927D6" w:rsidRDefault="00295BCD">
            <w:pPr>
              <w:spacing w:after="0" w:line="240" w:lineRule="auto"/>
              <w:textAlignment w:val="baseline"/>
              <w:rPr>
                <w:szCs w:val="24"/>
                <w:lang w:eastAsia="et-EE"/>
              </w:rPr>
            </w:pPr>
            <w:r w:rsidRPr="001927D6">
              <w:rPr>
                <w:szCs w:val="24"/>
                <w:lang w:eastAsia="et-EE"/>
              </w:rPr>
              <w:t>Hamba ekstraktsioonid ja restauratsioonid </w:t>
            </w:r>
          </w:p>
        </w:tc>
        <w:tc>
          <w:tcPr>
            <w:tcW w:w="732" w:type="dxa"/>
            <w:vAlign w:val="center"/>
            <w:hideMark/>
          </w:tcPr>
          <w:p w14:paraId="62014483" w14:textId="77777777" w:rsidR="00295BCD" w:rsidRPr="001927D6" w:rsidRDefault="00295BCD">
            <w:pPr>
              <w:spacing w:after="0" w:line="240" w:lineRule="auto"/>
              <w:jc w:val="center"/>
              <w:textAlignment w:val="baseline"/>
              <w:rPr>
                <w:szCs w:val="24"/>
                <w:lang w:eastAsia="et-EE"/>
              </w:rPr>
            </w:pPr>
            <w:r w:rsidRPr="001927D6">
              <w:rPr>
                <w:szCs w:val="24"/>
                <w:lang w:eastAsia="et-EE"/>
              </w:rPr>
              <w:t>187 </w:t>
            </w:r>
          </w:p>
        </w:tc>
        <w:tc>
          <w:tcPr>
            <w:tcW w:w="1243" w:type="dxa"/>
            <w:vAlign w:val="center"/>
          </w:tcPr>
          <w:p w14:paraId="65AE41EF" w14:textId="77777777" w:rsidR="00295BCD" w:rsidRPr="001927D6" w:rsidRDefault="00295BCD">
            <w:pPr>
              <w:spacing w:after="0" w:line="240" w:lineRule="auto"/>
              <w:jc w:val="center"/>
              <w:textAlignment w:val="baseline"/>
              <w:rPr>
                <w:szCs w:val="24"/>
                <w:lang w:eastAsia="et-EE"/>
              </w:rPr>
            </w:pPr>
            <w:r w:rsidRPr="001927D6">
              <w:rPr>
                <w:color w:val="000000"/>
                <w:szCs w:val="24"/>
              </w:rPr>
              <w:t>1 232,37</w:t>
            </w:r>
          </w:p>
        </w:tc>
        <w:tc>
          <w:tcPr>
            <w:tcW w:w="1211" w:type="dxa"/>
            <w:vAlign w:val="center"/>
          </w:tcPr>
          <w:p w14:paraId="692460B0" w14:textId="77777777" w:rsidR="00295BCD" w:rsidRPr="001927D6" w:rsidRDefault="00295BCD">
            <w:pPr>
              <w:spacing w:after="0" w:line="240" w:lineRule="auto"/>
              <w:jc w:val="center"/>
              <w:textAlignment w:val="baseline"/>
              <w:rPr>
                <w:szCs w:val="24"/>
                <w:lang w:eastAsia="et-EE"/>
              </w:rPr>
            </w:pPr>
            <w:r w:rsidRPr="001927D6">
              <w:rPr>
                <w:color w:val="000000"/>
                <w:szCs w:val="24"/>
              </w:rPr>
              <w:t>838,91</w:t>
            </w:r>
          </w:p>
        </w:tc>
        <w:tc>
          <w:tcPr>
            <w:tcW w:w="1238" w:type="dxa"/>
            <w:vAlign w:val="center"/>
          </w:tcPr>
          <w:p w14:paraId="339E2B3C" w14:textId="77777777" w:rsidR="00295BCD" w:rsidRPr="001927D6" w:rsidRDefault="00295BCD">
            <w:pPr>
              <w:spacing w:after="0" w:line="240" w:lineRule="auto"/>
              <w:jc w:val="center"/>
              <w:textAlignment w:val="baseline"/>
              <w:rPr>
                <w:szCs w:val="24"/>
                <w:lang w:eastAsia="et-EE"/>
              </w:rPr>
            </w:pPr>
            <w:r w:rsidRPr="001927D6">
              <w:rPr>
                <w:color w:val="000000"/>
                <w:szCs w:val="24"/>
              </w:rPr>
              <w:t>1 878,79</w:t>
            </w:r>
          </w:p>
        </w:tc>
      </w:tr>
      <w:tr w:rsidR="00295BCD" w:rsidRPr="001927D6" w14:paraId="73A116CF" w14:textId="77777777" w:rsidTr="00295BCD">
        <w:trPr>
          <w:divId w:val="1316184749"/>
          <w:trHeight w:val="300"/>
        </w:trPr>
        <w:tc>
          <w:tcPr>
            <w:tcW w:w="4632" w:type="dxa"/>
            <w:vAlign w:val="bottom"/>
            <w:hideMark/>
          </w:tcPr>
          <w:p w14:paraId="128E15A6" w14:textId="77777777" w:rsidR="00295BCD" w:rsidRPr="001927D6" w:rsidRDefault="00295BCD">
            <w:pPr>
              <w:spacing w:after="0" w:line="240" w:lineRule="auto"/>
              <w:textAlignment w:val="baseline"/>
              <w:rPr>
                <w:szCs w:val="24"/>
                <w:lang w:eastAsia="et-EE"/>
              </w:rPr>
            </w:pPr>
            <w:r w:rsidRPr="001927D6">
              <w:rPr>
                <w:szCs w:val="24"/>
                <w:lang w:eastAsia="et-EE"/>
              </w:rPr>
              <w:t>Hamba ekstraktsioonid ja restauratsioonid, lühike ravi </w:t>
            </w:r>
          </w:p>
        </w:tc>
        <w:tc>
          <w:tcPr>
            <w:tcW w:w="732" w:type="dxa"/>
            <w:vAlign w:val="center"/>
            <w:hideMark/>
          </w:tcPr>
          <w:p w14:paraId="6FE133BB" w14:textId="77777777" w:rsidR="00295BCD" w:rsidRPr="001927D6" w:rsidRDefault="00295BCD">
            <w:pPr>
              <w:spacing w:after="0" w:line="240" w:lineRule="auto"/>
              <w:jc w:val="center"/>
              <w:textAlignment w:val="baseline"/>
              <w:rPr>
                <w:szCs w:val="24"/>
                <w:lang w:eastAsia="et-EE"/>
              </w:rPr>
            </w:pPr>
            <w:r w:rsidRPr="001927D6">
              <w:rPr>
                <w:szCs w:val="24"/>
                <w:lang w:eastAsia="et-EE"/>
              </w:rPr>
              <w:t>187O </w:t>
            </w:r>
          </w:p>
        </w:tc>
        <w:tc>
          <w:tcPr>
            <w:tcW w:w="1243" w:type="dxa"/>
            <w:vAlign w:val="center"/>
          </w:tcPr>
          <w:p w14:paraId="2D8A7024" w14:textId="77777777" w:rsidR="00295BCD" w:rsidRPr="001927D6" w:rsidRDefault="00295BCD">
            <w:pPr>
              <w:spacing w:after="0" w:line="240" w:lineRule="auto"/>
              <w:jc w:val="center"/>
              <w:textAlignment w:val="baseline"/>
              <w:rPr>
                <w:szCs w:val="24"/>
                <w:lang w:eastAsia="et-EE"/>
              </w:rPr>
            </w:pPr>
            <w:r w:rsidRPr="001927D6">
              <w:rPr>
                <w:color w:val="000000"/>
                <w:szCs w:val="24"/>
              </w:rPr>
              <w:t>939,87</w:t>
            </w:r>
          </w:p>
        </w:tc>
        <w:tc>
          <w:tcPr>
            <w:tcW w:w="1211" w:type="dxa"/>
            <w:vAlign w:val="center"/>
          </w:tcPr>
          <w:p w14:paraId="32FCDB70" w14:textId="77777777" w:rsidR="00295BCD" w:rsidRPr="001927D6" w:rsidRDefault="00295BCD">
            <w:pPr>
              <w:spacing w:after="0" w:line="240" w:lineRule="auto"/>
              <w:jc w:val="center"/>
              <w:textAlignment w:val="baseline"/>
              <w:rPr>
                <w:szCs w:val="24"/>
                <w:lang w:eastAsia="et-EE"/>
              </w:rPr>
            </w:pPr>
            <w:r w:rsidRPr="001927D6">
              <w:rPr>
                <w:color w:val="000000"/>
                <w:szCs w:val="24"/>
              </w:rPr>
              <w:t>696,20</w:t>
            </w:r>
          </w:p>
        </w:tc>
        <w:tc>
          <w:tcPr>
            <w:tcW w:w="1238" w:type="dxa"/>
            <w:vAlign w:val="center"/>
          </w:tcPr>
          <w:p w14:paraId="297B20AB" w14:textId="77777777" w:rsidR="00295BCD" w:rsidRPr="001927D6" w:rsidRDefault="00295BCD">
            <w:pPr>
              <w:spacing w:after="0" w:line="240" w:lineRule="auto"/>
              <w:jc w:val="center"/>
              <w:textAlignment w:val="baseline"/>
              <w:rPr>
                <w:szCs w:val="24"/>
                <w:lang w:eastAsia="et-EE"/>
              </w:rPr>
            </w:pPr>
            <w:r w:rsidRPr="001927D6">
              <w:rPr>
                <w:color w:val="000000"/>
                <w:szCs w:val="24"/>
              </w:rPr>
              <w:t>1 254,26</w:t>
            </w:r>
          </w:p>
        </w:tc>
      </w:tr>
      <w:tr w:rsidR="00295BCD" w:rsidRPr="001927D6" w14:paraId="2F0CEAC8" w14:textId="77777777" w:rsidTr="00295BCD">
        <w:trPr>
          <w:divId w:val="1316184749"/>
          <w:trHeight w:val="300"/>
        </w:trPr>
        <w:tc>
          <w:tcPr>
            <w:tcW w:w="4632" w:type="dxa"/>
            <w:vAlign w:val="bottom"/>
            <w:hideMark/>
          </w:tcPr>
          <w:p w14:paraId="05F50979" w14:textId="77777777" w:rsidR="00295BCD" w:rsidRPr="001927D6" w:rsidRDefault="00295BCD">
            <w:pPr>
              <w:spacing w:after="0" w:line="240" w:lineRule="auto"/>
              <w:textAlignment w:val="baseline"/>
              <w:rPr>
                <w:szCs w:val="24"/>
                <w:lang w:eastAsia="et-EE"/>
              </w:rPr>
            </w:pPr>
            <w:r w:rsidRPr="001927D6">
              <w:rPr>
                <w:szCs w:val="24"/>
                <w:lang w:eastAsia="et-EE"/>
              </w:rPr>
              <w:t>Seedeelundite muud haigused, vanus &gt; 17, kht-ga </w:t>
            </w:r>
          </w:p>
        </w:tc>
        <w:tc>
          <w:tcPr>
            <w:tcW w:w="732" w:type="dxa"/>
            <w:vAlign w:val="center"/>
            <w:hideMark/>
          </w:tcPr>
          <w:p w14:paraId="24792D9E" w14:textId="77777777" w:rsidR="00295BCD" w:rsidRPr="001927D6" w:rsidRDefault="00295BCD">
            <w:pPr>
              <w:spacing w:after="0" w:line="240" w:lineRule="auto"/>
              <w:jc w:val="center"/>
              <w:textAlignment w:val="baseline"/>
              <w:rPr>
                <w:szCs w:val="24"/>
                <w:lang w:eastAsia="et-EE"/>
              </w:rPr>
            </w:pPr>
            <w:r w:rsidRPr="001927D6">
              <w:rPr>
                <w:szCs w:val="24"/>
                <w:lang w:eastAsia="et-EE"/>
              </w:rPr>
              <w:t>188 </w:t>
            </w:r>
          </w:p>
        </w:tc>
        <w:tc>
          <w:tcPr>
            <w:tcW w:w="1243" w:type="dxa"/>
            <w:vAlign w:val="center"/>
          </w:tcPr>
          <w:p w14:paraId="57D7C4E3" w14:textId="77777777" w:rsidR="00295BCD" w:rsidRPr="001927D6" w:rsidRDefault="00295BCD">
            <w:pPr>
              <w:spacing w:after="0" w:line="240" w:lineRule="auto"/>
              <w:jc w:val="center"/>
              <w:textAlignment w:val="baseline"/>
              <w:rPr>
                <w:szCs w:val="24"/>
                <w:lang w:eastAsia="et-EE"/>
              </w:rPr>
            </w:pPr>
            <w:r w:rsidRPr="001927D6">
              <w:rPr>
                <w:color w:val="000000"/>
                <w:szCs w:val="24"/>
              </w:rPr>
              <w:t>2 123,64</w:t>
            </w:r>
          </w:p>
        </w:tc>
        <w:tc>
          <w:tcPr>
            <w:tcW w:w="1211" w:type="dxa"/>
            <w:vAlign w:val="center"/>
          </w:tcPr>
          <w:p w14:paraId="0BA9250A" w14:textId="77777777" w:rsidR="00295BCD" w:rsidRPr="001927D6" w:rsidRDefault="00295BCD">
            <w:pPr>
              <w:spacing w:after="0" w:line="240" w:lineRule="auto"/>
              <w:jc w:val="center"/>
              <w:textAlignment w:val="baseline"/>
              <w:rPr>
                <w:szCs w:val="24"/>
                <w:lang w:eastAsia="et-EE"/>
              </w:rPr>
            </w:pPr>
            <w:r w:rsidRPr="001927D6">
              <w:rPr>
                <w:color w:val="000000"/>
                <w:szCs w:val="24"/>
              </w:rPr>
              <w:t>467,74</w:t>
            </w:r>
          </w:p>
        </w:tc>
        <w:tc>
          <w:tcPr>
            <w:tcW w:w="1238" w:type="dxa"/>
            <w:vAlign w:val="center"/>
          </w:tcPr>
          <w:p w14:paraId="72FEABAC" w14:textId="77777777" w:rsidR="00295BCD" w:rsidRPr="001927D6" w:rsidRDefault="00295BCD">
            <w:pPr>
              <w:spacing w:after="0" w:line="240" w:lineRule="auto"/>
              <w:jc w:val="center"/>
              <w:textAlignment w:val="baseline"/>
              <w:rPr>
                <w:szCs w:val="24"/>
                <w:lang w:eastAsia="et-EE"/>
              </w:rPr>
            </w:pPr>
            <w:r w:rsidRPr="001927D6">
              <w:rPr>
                <w:color w:val="000000"/>
                <w:szCs w:val="24"/>
              </w:rPr>
              <w:t>5 847,48</w:t>
            </w:r>
          </w:p>
        </w:tc>
      </w:tr>
      <w:tr w:rsidR="00295BCD" w:rsidRPr="001927D6" w14:paraId="4D0DC3D8" w14:textId="77777777" w:rsidTr="00295BCD">
        <w:trPr>
          <w:divId w:val="1316184749"/>
          <w:trHeight w:val="300"/>
        </w:trPr>
        <w:tc>
          <w:tcPr>
            <w:tcW w:w="4632" w:type="dxa"/>
            <w:vAlign w:val="bottom"/>
            <w:hideMark/>
          </w:tcPr>
          <w:p w14:paraId="1D97D9E4" w14:textId="77777777" w:rsidR="00295BCD" w:rsidRPr="001927D6" w:rsidRDefault="00295BCD">
            <w:pPr>
              <w:spacing w:after="0" w:line="240" w:lineRule="auto"/>
              <w:textAlignment w:val="baseline"/>
              <w:rPr>
                <w:szCs w:val="24"/>
                <w:lang w:eastAsia="et-EE"/>
              </w:rPr>
            </w:pPr>
            <w:r w:rsidRPr="001927D6">
              <w:rPr>
                <w:szCs w:val="24"/>
                <w:lang w:eastAsia="et-EE"/>
              </w:rPr>
              <w:t>Seedeelundite muud haigused, vanus &gt; 17, kht-ta </w:t>
            </w:r>
          </w:p>
        </w:tc>
        <w:tc>
          <w:tcPr>
            <w:tcW w:w="732" w:type="dxa"/>
            <w:vAlign w:val="center"/>
            <w:hideMark/>
          </w:tcPr>
          <w:p w14:paraId="658ED47F" w14:textId="77777777" w:rsidR="00295BCD" w:rsidRPr="001927D6" w:rsidRDefault="00295BCD">
            <w:pPr>
              <w:spacing w:after="0" w:line="240" w:lineRule="auto"/>
              <w:jc w:val="center"/>
              <w:textAlignment w:val="baseline"/>
              <w:rPr>
                <w:szCs w:val="24"/>
                <w:lang w:eastAsia="et-EE"/>
              </w:rPr>
            </w:pPr>
            <w:r w:rsidRPr="001927D6">
              <w:rPr>
                <w:szCs w:val="24"/>
                <w:lang w:eastAsia="et-EE"/>
              </w:rPr>
              <w:t>189 </w:t>
            </w:r>
          </w:p>
        </w:tc>
        <w:tc>
          <w:tcPr>
            <w:tcW w:w="1243" w:type="dxa"/>
            <w:vAlign w:val="center"/>
          </w:tcPr>
          <w:p w14:paraId="337AEFB8" w14:textId="77777777" w:rsidR="00295BCD" w:rsidRPr="001927D6" w:rsidRDefault="00295BCD">
            <w:pPr>
              <w:spacing w:after="0" w:line="240" w:lineRule="auto"/>
              <w:jc w:val="center"/>
              <w:textAlignment w:val="baseline"/>
              <w:rPr>
                <w:szCs w:val="24"/>
                <w:lang w:eastAsia="et-EE"/>
              </w:rPr>
            </w:pPr>
            <w:r w:rsidRPr="001927D6">
              <w:rPr>
                <w:color w:val="000000"/>
                <w:szCs w:val="24"/>
              </w:rPr>
              <w:t>1 120,21</w:t>
            </w:r>
          </w:p>
        </w:tc>
        <w:tc>
          <w:tcPr>
            <w:tcW w:w="1211" w:type="dxa"/>
            <w:vAlign w:val="center"/>
          </w:tcPr>
          <w:p w14:paraId="0E4B28AF" w14:textId="77777777" w:rsidR="00295BCD" w:rsidRPr="001927D6" w:rsidRDefault="00295BCD">
            <w:pPr>
              <w:spacing w:after="0" w:line="240" w:lineRule="auto"/>
              <w:jc w:val="center"/>
              <w:textAlignment w:val="baseline"/>
              <w:rPr>
                <w:szCs w:val="24"/>
                <w:lang w:eastAsia="et-EE"/>
              </w:rPr>
            </w:pPr>
            <w:r w:rsidRPr="001927D6">
              <w:rPr>
                <w:color w:val="000000"/>
                <w:szCs w:val="24"/>
              </w:rPr>
              <w:t>241,35</w:t>
            </w:r>
          </w:p>
        </w:tc>
        <w:tc>
          <w:tcPr>
            <w:tcW w:w="1238" w:type="dxa"/>
            <w:vAlign w:val="center"/>
          </w:tcPr>
          <w:p w14:paraId="746475F2" w14:textId="77777777" w:rsidR="00295BCD" w:rsidRPr="001927D6" w:rsidRDefault="00295BCD">
            <w:pPr>
              <w:spacing w:after="0" w:line="240" w:lineRule="auto"/>
              <w:jc w:val="center"/>
              <w:textAlignment w:val="baseline"/>
              <w:rPr>
                <w:szCs w:val="24"/>
                <w:lang w:eastAsia="et-EE"/>
              </w:rPr>
            </w:pPr>
            <w:r w:rsidRPr="001927D6">
              <w:rPr>
                <w:color w:val="000000"/>
                <w:szCs w:val="24"/>
              </w:rPr>
              <w:t>2 680,68</w:t>
            </w:r>
          </w:p>
        </w:tc>
      </w:tr>
      <w:tr w:rsidR="00295BCD" w:rsidRPr="001927D6" w14:paraId="17556B5D" w14:textId="77777777" w:rsidTr="00295BCD">
        <w:trPr>
          <w:divId w:val="1316184749"/>
          <w:trHeight w:val="300"/>
        </w:trPr>
        <w:tc>
          <w:tcPr>
            <w:tcW w:w="4632" w:type="dxa"/>
            <w:vAlign w:val="bottom"/>
            <w:hideMark/>
          </w:tcPr>
          <w:p w14:paraId="241F03EC" w14:textId="77777777" w:rsidR="00295BCD" w:rsidRPr="001927D6" w:rsidRDefault="00295BCD">
            <w:pPr>
              <w:spacing w:after="0" w:line="240" w:lineRule="auto"/>
              <w:textAlignment w:val="baseline"/>
              <w:rPr>
                <w:szCs w:val="24"/>
                <w:lang w:eastAsia="et-EE"/>
              </w:rPr>
            </w:pPr>
            <w:r w:rsidRPr="001927D6">
              <w:rPr>
                <w:szCs w:val="24"/>
                <w:lang w:eastAsia="et-EE"/>
              </w:rPr>
              <w:t>Seedeelundite muud haigused, vanus 0–17 </w:t>
            </w:r>
          </w:p>
        </w:tc>
        <w:tc>
          <w:tcPr>
            <w:tcW w:w="732" w:type="dxa"/>
            <w:vAlign w:val="center"/>
            <w:hideMark/>
          </w:tcPr>
          <w:p w14:paraId="54E62F07" w14:textId="77777777" w:rsidR="00295BCD" w:rsidRPr="001927D6" w:rsidRDefault="00295BCD">
            <w:pPr>
              <w:spacing w:after="0" w:line="240" w:lineRule="auto"/>
              <w:jc w:val="center"/>
              <w:textAlignment w:val="baseline"/>
              <w:rPr>
                <w:szCs w:val="24"/>
                <w:lang w:eastAsia="et-EE"/>
              </w:rPr>
            </w:pPr>
            <w:r w:rsidRPr="001927D6">
              <w:rPr>
                <w:szCs w:val="24"/>
                <w:lang w:eastAsia="et-EE"/>
              </w:rPr>
              <w:t>190 </w:t>
            </w:r>
          </w:p>
        </w:tc>
        <w:tc>
          <w:tcPr>
            <w:tcW w:w="1243" w:type="dxa"/>
            <w:vAlign w:val="center"/>
          </w:tcPr>
          <w:p w14:paraId="1DA70586" w14:textId="77777777" w:rsidR="00295BCD" w:rsidRPr="001927D6" w:rsidRDefault="00295BCD">
            <w:pPr>
              <w:spacing w:after="0" w:line="240" w:lineRule="auto"/>
              <w:jc w:val="center"/>
              <w:textAlignment w:val="baseline"/>
              <w:rPr>
                <w:szCs w:val="24"/>
                <w:lang w:eastAsia="et-EE"/>
              </w:rPr>
            </w:pPr>
            <w:r w:rsidRPr="001927D6">
              <w:rPr>
                <w:color w:val="000000"/>
                <w:szCs w:val="24"/>
              </w:rPr>
              <w:t>984,76</w:t>
            </w:r>
          </w:p>
        </w:tc>
        <w:tc>
          <w:tcPr>
            <w:tcW w:w="1211" w:type="dxa"/>
            <w:vAlign w:val="center"/>
          </w:tcPr>
          <w:p w14:paraId="2B8BA153" w14:textId="77777777" w:rsidR="00295BCD" w:rsidRPr="001927D6" w:rsidRDefault="00295BCD">
            <w:pPr>
              <w:spacing w:after="0" w:line="240" w:lineRule="auto"/>
              <w:jc w:val="center"/>
              <w:textAlignment w:val="baseline"/>
              <w:rPr>
                <w:szCs w:val="24"/>
                <w:lang w:eastAsia="et-EE"/>
              </w:rPr>
            </w:pPr>
            <w:r w:rsidRPr="001927D6">
              <w:rPr>
                <w:color w:val="000000"/>
                <w:szCs w:val="24"/>
              </w:rPr>
              <w:t>291,42</w:t>
            </w:r>
          </w:p>
        </w:tc>
        <w:tc>
          <w:tcPr>
            <w:tcW w:w="1238" w:type="dxa"/>
            <w:vAlign w:val="center"/>
          </w:tcPr>
          <w:p w14:paraId="26B8B71C" w14:textId="77777777" w:rsidR="00295BCD" w:rsidRPr="001927D6" w:rsidRDefault="00295BCD">
            <w:pPr>
              <w:spacing w:after="0" w:line="240" w:lineRule="auto"/>
              <w:jc w:val="center"/>
              <w:textAlignment w:val="baseline"/>
              <w:rPr>
                <w:szCs w:val="24"/>
                <w:lang w:eastAsia="et-EE"/>
              </w:rPr>
            </w:pPr>
            <w:r w:rsidRPr="001927D6">
              <w:rPr>
                <w:color w:val="000000"/>
                <w:szCs w:val="24"/>
              </w:rPr>
              <w:t>2 555,72</w:t>
            </w:r>
          </w:p>
        </w:tc>
      </w:tr>
      <w:tr w:rsidR="00295BCD" w:rsidRPr="001927D6" w14:paraId="1085AE8C" w14:textId="77777777" w:rsidTr="00295BCD">
        <w:trPr>
          <w:divId w:val="1316184749"/>
          <w:trHeight w:val="300"/>
        </w:trPr>
        <w:tc>
          <w:tcPr>
            <w:tcW w:w="4632" w:type="dxa"/>
            <w:vAlign w:val="bottom"/>
            <w:hideMark/>
          </w:tcPr>
          <w:p w14:paraId="43049F7C" w14:textId="77777777" w:rsidR="00295BCD" w:rsidRPr="001927D6" w:rsidRDefault="00295BCD">
            <w:pPr>
              <w:spacing w:after="0" w:line="240" w:lineRule="auto"/>
              <w:textAlignment w:val="baseline"/>
              <w:rPr>
                <w:szCs w:val="24"/>
                <w:lang w:eastAsia="et-EE"/>
              </w:rPr>
            </w:pPr>
            <w:r w:rsidRPr="001927D6">
              <w:rPr>
                <w:szCs w:val="24"/>
                <w:lang w:eastAsia="et-EE"/>
              </w:rPr>
              <w:t>Kõhunäärme, maksa ja šundi operatsioonid, kht-ga </w:t>
            </w:r>
          </w:p>
        </w:tc>
        <w:tc>
          <w:tcPr>
            <w:tcW w:w="732" w:type="dxa"/>
            <w:vAlign w:val="center"/>
            <w:hideMark/>
          </w:tcPr>
          <w:p w14:paraId="23672394" w14:textId="77777777" w:rsidR="00295BCD" w:rsidRPr="001927D6" w:rsidRDefault="00295BCD">
            <w:pPr>
              <w:spacing w:after="0" w:line="240" w:lineRule="auto"/>
              <w:jc w:val="center"/>
              <w:textAlignment w:val="baseline"/>
              <w:rPr>
                <w:szCs w:val="24"/>
                <w:lang w:eastAsia="et-EE"/>
              </w:rPr>
            </w:pPr>
            <w:r w:rsidRPr="001927D6">
              <w:rPr>
                <w:szCs w:val="24"/>
                <w:lang w:eastAsia="et-EE"/>
              </w:rPr>
              <w:t>191B </w:t>
            </w:r>
          </w:p>
        </w:tc>
        <w:tc>
          <w:tcPr>
            <w:tcW w:w="1243" w:type="dxa"/>
            <w:vAlign w:val="center"/>
          </w:tcPr>
          <w:p w14:paraId="46CC9BD6" w14:textId="77777777" w:rsidR="00295BCD" w:rsidRPr="001927D6" w:rsidRDefault="00295BCD">
            <w:pPr>
              <w:spacing w:after="0" w:line="240" w:lineRule="auto"/>
              <w:jc w:val="center"/>
              <w:textAlignment w:val="baseline"/>
              <w:rPr>
                <w:szCs w:val="24"/>
                <w:lang w:eastAsia="et-EE"/>
              </w:rPr>
            </w:pPr>
            <w:r w:rsidRPr="001927D6">
              <w:rPr>
                <w:color w:val="000000"/>
                <w:szCs w:val="24"/>
              </w:rPr>
              <w:t>12 514,56</w:t>
            </w:r>
          </w:p>
        </w:tc>
        <w:tc>
          <w:tcPr>
            <w:tcW w:w="1211" w:type="dxa"/>
            <w:vAlign w:val="center"/>
          </w:tcPr>
          <w:p w14:paraId="32834DFD" w14:textId="77777777" w:rsidR="00295BCD" w:rsidRPr="001927D6" w:rsidRDefault="00295BCD">
            <w:pPr>
              <w:spacing w:after="0" w:line="240" w:lineRule="auto"/>
              <w:jc w:val="center"/>
              <w:textAlignment w:val="baseline"/>
              <w:rPr>
                <w:szCs w:val="24"/>
                <w:lang w:eastAsia="et-EE"/>
              </w:rPr>
            </w:pPr>
            <w:r w:rsidRPr="001927D6">
              <w:rPr>
                <w:color w:val="000000"/>
                <w:szCs w:val="24"/>
              </w:rPr>
              <w:t>2 606,06</w:t>
            </w:r>
          </w:p>
        </w:tc>
        <w:tc>
          <w:tcPr>
            <w:tcW w:w="1238" w:type="dxa"/>
            <w:vAlign w:val="center"/>
          </w:tcPr>
          <w:p w14:paraId="7253B64D" w14:textId="77777777" w:rsidR="00295BCD" w:rsidRPr="001927D6" w:rsidRDefault="00295BCD">
            <w:pPr>
              <w:spacing w:after="0" w:line="240" w:lineRule="auto"/>
              <w:jc w:val="center"/>
              <w:textAlignment w:val="baseline"/>
              <w:rPr>
                <w:szCs w:val="24"/>
                <w:lang w:eastAsia="et-EE"/>
              </w:rPr>
            </w:pPr>
            <w:r w:rsidRPr="001927D6">
              <w:rPr>
                <w:color w:val="000000"/>
                <w:szCs w:val="24"/>
              </w:rPr>
              <w:t>25 419,21</w:t>
            </w:r>
          </w:p>
        </w:tc>
      </w:tr>
      <w:tr w:rsidR="00295BCD" w:rsidRPr="001927D6" w14:paraId="6FA8DC36" w14:textId="77777777" w:rsidTr="00295BCD">
        <w:trPr>
          <w:divId w:val="1316184749"/>
          <w:trHeight w:val="300"/>
        </w:trPr>
        <w:tc>
          <w:tcPr>
            <w:tcW w:w="4632" w:type="dxa"/>
            <w:vAlign w:val="bottom"/>
            <w:hideMark/>
          </w:tcPr>
          <w:p w14:paraId="7385ED06" w14:textId="77777777" w:rsidR="00295BCD" w:rsidRPr="001927D6" w:rsidRDefault="00295BCD">
            <w:pPr>
              <w:spacing w:after="0" w:line="240" w:lineRule="auto"/>
              <w:textAlignment w:val="baseline"/>
              <w:rPr>
                <w:szCs w:val="24"/>
                <w:lang w:eastAsia="et-EE"/>
              </w:rPr>
            </w:pPr>
            <w:r w:rsidRPr="001927D6">
              <w:rPr>
                <w:szCs w:val="24"/>
                <w:lang w:eastAsia="et-EE"/>
              </w:rPr>
              <w:t>Kõhunäärme või maksa operatsioon, kht-ta </w:t>
            </w:r>
          </w:p>
        </w:tc>
        <w:tc>
          <w:tcPr>
            <w:tcW w:w="732" w:type="dxa"/>
            <w:vAlign w:val="center"/>
            <w:hideMark/>
          </w:tcPr>
          <w:p w14:paraId="73E2F9E9" w14:textId="77777777" w:rsidR="00295BCD" w:rsidRPr="001927D6" w:rsidRDefault="00295BCD">
            <w:pPr>
              <w:spacing w:after="0" w:line="240" w:lineRule="auto"/>
              <w:jc w:val="center"/>
              <w:textAlignment w:val="baseline"/>
              <w:rPr>
                <w:szCs w:val="24"/>
                <w:lang w:eastAsia="et-EE"/>
              </w:rPr>
            </w:pPr>
            <w:r w:rsidRPr="001927D6">
              <w:rPr>
                <w:szCs w:val="24"/>
                <w:lang w:eastAsia="et-EE"/>
              </w:rPr>
              <w:t>192 </w:t>
            </w:r>
          </w:p>
        </w:tc>
        <w:tc>
          <w:tcPr>
            <w:tcW w:w="1243" w:type="dxa"/>
            <w:vAlign w:val="center"/>
          </w:tcPr>
          <w:p w14:paraId="659A4DDD" w14:textId="77777777" w:rsidR="00295BCD" w:rsidRPr="001927D6" w:rsidRDefault="00295BCD">
            <w:pPr>
              <w:spacing w:after="0" w:line="240" w:lineRule="auto"/>
              <w:jc w:val="center"/>
              <w:textAlignment w:val="baseline"/>
              <w:rPr>
                <w:szCs w:val="24"/>
                <w:lang w:eastAsia="et-EE"/>
              </w:rPr>
            </w:pPr>
            <w:r w:rsidRPr="001927D6">
              <w:rPr>
                <w:color w:val="000000"/>
                <w:szCs w:val="24"/>
              </w:rPr>
              <w:t>7 386,06</w:t>
            </w:r>
          </w:p>
        </w:tc>
        <w:tc>
          <w:tcPr>
            <w:tcW w:w="1211" w:type="dxa"/>
            <w:vAlign w:val="center"/>
          </w:tcPr>
          <w:p w14:paraId="6BA9F89D" w14:textId="77777777" w:rsidR="00295BCD" w:rsidRPr="001927D6" w:rsidRDefault="00295BCD">
            <w:pPr>
              <w:spacing w:after="0" w:line="240" w:lineRule="auto"/>
              <w:jc w:val="center"/>
              <w:textAlignment w:val="baseline"/>
              <w:rPr>
                <w:szCs w:val="24"/>
                <w:lang w:eastAsia="et-EE"/>
              </w:rPr>
            </w:pPr>
            <w:r w:rsidRPr="001927D6">
              <w:rPr>
                <w:color w:val="000000"/>
                <w:szCs w:val="24"/>
              </w:rPr>
              <w:t>2 079,06</w:t>
            </w:r>
          </w:p>
        </w:tc>
        <w:tc>
          <w:tcPr>
            <w:tcW w:w="1238" w:type="dxa"/>
            <w:vAlign w:val="center"/>
          </w:tcPr>
          <w:p w14:paraId="72B39D5D" w14:textId="77777777" w:rsidR="00295BCD" w:rsidRPr="001927D6" w:rsidRDefault="00295BCD">
            <w:pPr>
              <w:spacing w:after="0" w:line="240" w:lineRule="auto"/>
              <w:jc w:val="center"/>
              <w:textAlignment w:val="baseline"/>
              <w:rPr>
                <w:szCs w:val="24"/>
                <w:lang w:eastAsia="et-EE"/>
              </w:rPr>
            </w:pPr>
            <w:r w:rsidRPr="001927D6">
              <w:rPr>
                <w:color w:val="000000"/>
                <w:szCs w:val="24"/>
              </w:rPr>
              <w:t>15 473,67</w:t>
            </w:r>
          </w:p>
        </w:tc>
      </w:tr>
      <w:tr w:rsidR="00295BCD" w:rsidRPr="001927D6" w14:paraId="04F8C7EC" w14:textId="77777777" w:rsidTr="00295BCD">
        <w:trPr>
          <w:divId w:val="1316184749"/>
          <w:trHeight w:val="300"/>
        </w:trPr>
        <w:tc>
          <w:tcPr>
            <w:tcW w:w="4632" w:type="dxa"/>
            <w:vAlign w:val="bottom"/>
            <w:hideMark/>
          </w:tcPr>
          <w:p w14:paraId="3C150552" w14:textId="77777777" w:rsidR="00295BCD" w:rsidRPr="001927D6" w:rsidRDefault="00295BCD">
            <w:pPr>
              <w:spacing w:after="0" w:line="240" w:lineRule="auto"/>
              <w:textAlignment w:val="baseline"/>
              <w:rPr>
                <w:szCs w:val="24"/>
                <w:lang w:eastAsia="et-EE"/>
              </w:rPr>
            </w:pPr>
            <w:r w:rsidRPr="001927D6">
              <w:rPr>
                <w:szCs w:val="24"/>
                <w:lang w:eastAsia="et-EE"/>
              </w:rPr>
              <w:t>Kõhunäärme või maksa operatsioon, lühike ravi </w:t>
            </w:r>
          </w:p>
        </w:tc>
        <w:tc>
          <w:tcPr>
            <w:tcW w:w="732" w:type="dxa"/>
            <w:vAlign w:val="center"/>
            <w:hideMark/>
          </w:tcPr>
          <w:p w14:paraId="0D79DE74" w14:textId="77777777" w:rsidR="00295BCD" w:rsidRPr="001927D6" w:rsidRDefault="00295BCD">
            <w:pPr>
              <w:spacing w:after="0" w:line="240" w:lineRule="auto"/>
              <w:jc w:val="center"/>
              <w:textAlignment w:val="baseline"/>
              <w:rPr>
                <w:szCs w:val="24"/>
                <w:lang w:eastAsia="et-EE"/>
              </w:rPr>
            </w:pPr>
            <w:r w:rsidRPr="001927D6">
              <w:rPr>
                <w:szCs w:val="24"/>
                <w:lang w:eastAsia="et-EE"/>
              </w:rPr>
              <w:t>192O </w:t>
            </w:r>
          </w:p>
        </w:tc>
        <w:tc>
          <w:tcPr>
            <w:tcW w:w="1243" w:type="dxa"/>
            <w:vAlign w:val="center"/>
          </w:tcPr>
          <w:p w14:paraId="1757BC72" w14:textId="77777777" w:rsidR="00295BCD" w:rsidRPr="001927D6" w:rsidRDefault="00295BCD">
            <w:pPr>
              <w:spacing w:after="0" w:line="240" w:lineRule="auto"/>
              <w:jc w:val="center"/>
              <w:textAlignment w:val="baseline"/>
              <w:rPr>
                <w:szCs w:val="24"/>
                <w:lang w:eastAsia="et-EE"/>
              </w:rPr>
            </w:pPr>
            <w:r w:rsidRPr="001927D6">
              <w:rPr>
                <w:color w:val="000000"/>
                <w:szCs w:val="24"/>
              </w:rPr>
              <w:t>1 641,76</w:t>
            </w:r>
          </w:p>
        </w:tc>
        <w:tc>
          <w:tcPr>
            <w:tcW w:w="1211" w:type="dxa"/>
            <w:vAlign w:val="center"/>
          </w:tcPr>
          <w:p w14:paraId="1BE50CA6" w14:textId="77777777" w:rsidR="00295BCD" w:rsidRPr="001927D6" w:rsidRDefault="00295BCD">
            <w:pPr>
              <w:spacing w:after="0" w:line="240" w:lineRule="auto"/>
              <w:jc w:val="center"/>
              <w:textAlignment w:val="baseline"/>
              <w:rPr>
                <w:szCs w:val="24"/>
                <w:lang w:eastAsia="et-EE"/>
              </w:rPr>
            </w:pPr>
            <w:r w:rsidRPr="001927D6">
              <w:rPr>
                <w:color w:val="000000"/>
                <w:szCs w:val="24"/>
              </w:rPr>
              <w:t>779,13</w:t>
            </w:r>
          </w:p>
        </w:tc>
        <w:tc>
          <w:tcPr>
            <w:tcW w:w="1238" w:type="dxa"/>
            <w:vAlign w:val="center"/>
          </w:tcPr>
          <w:p w14:paraId="3D230EBA" w14:textId="77777777" w:rsidR="00295BCD" w:rsidRPr="001927D6" w:rsidRDefault="00295BCD">
            <w:pPr>
              <w:spacing w:after="0" w:line="240" w:lineRule="auto"/>
              <w:jc w:val="center"/>
              <w:textAlignment w:val="baseline"/>
              <w:rPr>
                <w:szCs w:val="24"/>
                <w:lang w:eastAsia="et-EE"/>
              </w:rPr>
            </w:pPr>
            <w:r w:rsidRPr="001927D6">
              <w:rPr>
                <w:color w:val="000000"/>
                <w:szCs w:val="24"/>
              </w:rPr>
              <w:t>1 641,76</w:t>
            </w:r>
          </w:p>
        </w:tc>
      </w:tr>
      <w:tr w:rsidR="00295BCD" w:rsidRPr="001927D6" w14:paraId="2A168A0E" w14:textId="77777777" w:rsidTr="00295BCD">
        <w:trPr>
          <w:divId w:val="1316184749"/>
          <w:trHeight w:val="300"/>
        </w:trPr>
        <w:tc>
          <w:tcPr>
            <w:tcW w:w="4632" w:type="dxa"/>
            <w:vAlign w:val="bottom"/>
            <w:hideMark/>
          </w:tcPr>
          <w:p w14:paraId="571A4DBF" w14:textId="77777777" w:rsidR="00295BCD" w:rsidRPr="001927D6" w:rsidRDefault="00295BCD">
            <w:pPr>
              <w:spacing w:after="0" w:line="240" w:lineRule="auto"/>
              <w:textAlignment w:val="baseline"/>
              <w:rPr>
                <w:szCs w:val="24"/>
                <w:lang w:eastAsia="et-EE"/>
              </w:rPr>
            </w:pPr>
            <w:r w:rsidRPr="001927D6">
              <w:rPr>
                <w:szCs w:val="24"/>
                <w:lang w:eastAsia="et-EE"/>
              </w:rPr>
              <w:t>Sapiteede operatsioonid, v.a ainult koletsüstektoomia, kht-ga </w:t>
            </w:r>
          </w:p>
        </w:tc>
        <w:tc>
          <w:tcPr>
            <w:tcW w:w="732" w:type="dxa"/>
            <w:vAlign w:val="center"/>
            <w:hideMark/>
          </w:tcPr>
          <w:p w14:paraId="27258E40" w14:textId="77777777" w:rsidR="00295BCD" w:rsidRPr="001927D6" w:rsidRDefault="00295BCD">
            <w:pPr>
              <w:spacing w:after="0" w:line="240" w:lineRule="auto"/>
              <w:jc w:val="center"/>
              <w:textAlignment w:val="baseline"/>
              <w:rPr>
                <w:szCs w:val="24"/>
                <w:lang w:eastAsia="et-EE"/>
              </w:rPr>
            </w:pPr>
            <w:r w:rsidRPr="001927D6">
              <w:rPr>
                <w:szCs w:val="24"/>
                <w:lang w:eastAsia="et-EE"/>
              </w:rPr>
              <w:t>193 </w:t>
            </w:r>
          </w:p>
        </w:tc>
        <w:tc>
          <w:tcPr>
            <w:tcW w:w="1243" w:type="dxa"/>
            <w:vAlign w:val="center"/>
          </w:tcPr>
          <w:p w14:paraId="66CEFC5F" w14:textId="77777777" w:rsidR="00295BCD" w:rsidRPr="001927D6" w:rsidRDefault="00295BCD">
            <w:pPr>
              <w:spacing w:after="0" w:line="240" w:lineRule="auto"/>
              <w:jc w:val="center"/>
              <w:textAlignment w:val="baseline"/>
              <w:rPr>
                <w:szCs w:val="24"/>
                <w:lang w:eastAsia="et-EE"/>
              </w:rPr>
            </w:pPr>
            <w:r w:rsidRPr="001927D6">
              <w:rPr>
                <w:color w:val="000000"/>
                <w:szCs w:val="24"/>
              </w:rPr>
              <w:t>7 192,56</w:t>
            </w:r>
          </w:p>
        </w:tc>
        <w:tc>
          <w:tcPr>
            <w:tcW w:w="1211" w:type="dxa"/>
            <w:vAlign w:val="center"/>
          </w:tcPr>
          <w:p w14:paraId="2DB4C186" w14:textId="77777777" w:rsidR="00295BCD" w:rsidRPr="001927D6" w:rsidRDefault="00295BCD">
            <w:pPr>
              <w:spacing w:after="0" w:line="240" w:lineRule="auto"/>
              <w:jc w:val="center"/>
              <w:textAlignment w:val="baseline"/>
              <w:rPr>
                <w:szCs w:val="24"/>
                <w:lang w:eastAsia="et-EE"/>
              </w:rPr>
            </w:pPr>
            <w:r w:rsidRPr="001927D6">
              <w:rPr>
                <w:color w:val="000000"/>
                <w:szCs w:val="24"/>
              </w:rPr>
              <w:t>1 610,78</w:t>
            </w:r>
          </w:p>
        </w:tc>
        <w:tc>
          <w:tcPr>
            <w:tcW w:w="1238" w:type="dxa"/>
            <w:vAlign w:val="center"/>
          </w:tcPr>
          <w:p w14:paraId="0A70F292" w14:textId="77777777" w:rsidR="00295BCD" w:rsidRPr="001927D6" w:rsidRDefault="00295BCD">
            <w:pPr>
              <w:spacing w:after="0" w:line="240" w:lineRule="auto"/>
              <w:jc w:val="center"/>
              <w:textAlignment w:val="baseline"/>
              <w:rPr>
                <w:szCs w:val="24"/>
                <w:lang w:eastAsia="et-EE"/>
              </w:rPr>
            </w:pPr>
            <w:r w:rsidRPr="001927D6">
              <w:rPr>
                <w:color w:val="000000"/>
                <w:szCs w:val="24"/>
              </w:rPr>
              <w:t>22 111,00</w:t>
            </w:r>
          </w:p>
        </w:tc>
      </w:tr>
      <w:tr w:rsidR="00295BCD" w:rsidRPr="001927D6" w14:paraId="03E03AED" w14:textId="77777777" w:rsidTr="00295BCD">
        <w:trPr>
          <w:divId w:val="1316184749"/>
          <w:trHeight w:val="300"/>
        </w:trPr>
        <w:tc>
          <w:tcPr>
            <w:tcW w:w="4632" w:type="dxa"/>
            <w:vAlign w:val="bottom"/>
            <w:hideMark/>
          </w:tcPr>
          <w:p w14:paraId="3DBB0BB6" w14:textId="77777777" w:rsidR="00295BCD" w:rsidRPr="001927D6" w:rsidRDefault="00295BCD">
            <w:pPr>
              <w:spacing w:after="0" w:line="240" w:lineRule="auto"/>
              <w:textAlignment w:val="baseline"/>
              <w:rPr>
                <w:szCs w:val="24"/>
                <w:lang w:eastAsia="et-EE"/>
              </w:rPr>
            </w:pPr>
            <w:r w:rsidRPr="001927D6">
              <w:rPr>
                <w:szCs w:val="24"/>
                <w:lang w:eastAsia="et-EE"/>
              </w:rPr>
              <w:t>Sapiteede operatsioonid, v.a ainult koletsüstektoomia, kht-ta </w:t>
            </w:r>
          </w:p>
        </w:tc>
        <w:tc>
          <w:tcPr>
            <w:tcW w:w="732" w:type="dxa"/>
            <w:vAlign w:val="center"/>
            <w:hideMark/>
          </w:tcPr>
          <w:p w14:paraId="4BBD09AD" w14:textId="77777777" w:rsidR="00295BCD" w:rsidRPr="001927D6" w:rsidRDefault="00295BCD">
            <w:pPr>
              <w:spacing w:after="0" w:line="240" w:lineRule="auto"/>
              <w:jc w:val="center"/>
              <w:textAlignment w:val="baseline"/>
              <w:rPr>
                <w:szCs w:val="24"/>
                <w:lang w:eastAsia="et-EE"/>
              </w:rPr>
            </w:pPr>
            <w:r w:rsidRPr="001927D6">
              <w:rPr>
                <w:szCs w:val="24"/>
                <w:lang w:eastAsia="et-EE"/>
              </w:rPr>
              <w:t>194 </w:t>
            </w:r>
          </w:p>
        </w:tc>
        <w:tc>
          <w:tcPr>
            <w:tcW w:w="1243" w:type="dxa"/>
            <w:vAlign w:val="center"/>
          </w:tcPr>
          <w:p w14:paraId="2E291368" w14:textId="77777777" w:rsidR="00295BCD" w:rsidRPr="001927D6" w:rsidRDefault="00295BCD">
            <w:pPr>
              <w:spacing w:after="0" w:line="240" w:lineRule="auto"/>
              <w:jc w:val="center"/>
              <w:textAlignment w:val="baseline"/>
              <w:rPr>
                <w:szCs w:val="24"/>
                <w:lang w:eastAsia="et-EE"/>
              </w:rPr>
            </w:pPr>
            <w:r w:rsidRPr="001927D6">
              <w:rPr>
                <w:color w:val="000000"/>
                <w:szCs w:val="24"/>
              </w:rPr>
              <w:t>2 944,32</w:t>
            </w:r>
          </w:p>
        </w:tc>
        <w:tc>
          <w:tcPr>
            <w:tcW w:w="1211" w:type="dxa"/>
            <w:vAlign w:val="center"/>
          </w:tcPr>
          <w:p w14:paraId="78DA4349" w14:textId="77777777" w:rsidR="00295BCD" w:rsidRPr="001927D6" w:rsidRDefault="00295BCD">
            <w:pPr>
              <w:spacing w:after="0" w:line="240" w:lineRule="auto"/>
              <w:jc w:val="center"/>
              <w:textAlignment w:val="baseline"/>
              <w:rPr>
                <w:szCs w:val="24"/>
                <w:lang w:eastAsia="et-EE"/>
              </w:rPr>
            </w:pPr>
            <w:r w:rsidRPr="001927D6">
              <w:rPr>
                <w:color w:val="000000"/>
                <w:szCs w:val="24"/>
              </w:rPr>
              <w:t>1 341,41</w:t>
            </w:r>
          </w:p>
        </w:tc>
        <w:tc>
          <w:tcPr>
            <w:tcW w:w="1238" w:type="dxa"/>
            <w:vAlign w:val="center"/>
          </w:tcPr>
          <w:p w14:paraId="685444CC" w14:textId="77777777" w:rsidR="00295BCD" w:rsidRPr="001927D6" w:rsidRDefault="00295BCD">
            <w:pPr>
              <w:spacing w:after="0" w:line="240" w:lineRule="auto"/>
              <w:jc w:val="center"/>
              <w:textAlignment w:val="baseline"/>
              <w:rPr>
                <w:szCs w:val="24"/>
                <w:lang w:eastAsia="et-EE"/>
              </w:rPr>
            </w:pPr>
            <w:r w:rsidRPr="001927D6">
              <w:rPr>
                <w:color w:val="000000"/>
                <w:szCs w:val="24"/>
              </w:rPr>
              <w:t>5 694,39</w:t>
            </w:r>
          </w:p>
        </w:tc>
      </w:tr>
      <w:tr w:rsidR="00295BCD" w:rsidRPr="001927D6" w14:paraId="7AD09ACA" w14:textId="77777777" w:rsidTr="00295BCD">
        <w:trPr>
          <w:divId w:val="1316184749"/>
          <w:trHeight w:val="300"/>
        </w:trPr>
        <w:tc>
          <w:tcPr>
            <w:tcW w:w="4632" w:type="dxa"/>
            <w:vAlign w:val="bottom"/>
            <w:hideMark/>
          </w:tcPr>
          <w:p w14:paraId="4C415064" w14:textId="77777777" w:rsidR="00295BCD" w:rsidRPr="001927D6" w:rsidRDefault="00295BCD">
            <w:pPr>
              <w:spacing w:after="0" w:line="240" w:lineRule="auto"/>
              <w:textAlignment w:val="baseline"/>
              <w:rPr>
                <w:szCs w:val="24"/>
                <w:lang w:eastAsia="et-EE"/>
              </w:rPr>
            </w:pPr>
            <w:r w:rsidRPr="001927D6">
              <w:rPr>
                <w:szCs w:val="24"/>
                <w:lang w:eastAsia="et-EE"/>
              </w:rPr>
              <w:t>Koletsüstektoomia ühissapijuha uuringuga, kht-ga </w:t>
            </w:r>
          </w:p>
        </w:tc>
        <w:tc>
          <w:tcPr>
            <w:tcW w:w="732" w:type="dxa"/>
            <w:vAlign w:val="center"/>
            <w:hideMark/>
          </w:tcPr>
          <w:p w14:paraId="00B5F24F" w14:textId="77777777" w:rsidR="00295BCD" w:rsidRPr="001927D6" w:rsidRDefault="00295BCD">
            <w:pPr>
              <w:spacing w:after="0" w:line="240" w:lineRule="auto"/>
              <w:jc w:val="center"/>
              <w:textAlignment w:val="baseline"/>
              <w:rPr>
                <w:szCs w:val="24"/>
                <w:lang w:eastAsia="et-EE"/>
              </w:rPr>
            </w:pPr>
            <w:r w:rsidRPr="001927D6">
              <w:rPr>
                <w:szCs w:val="24"/>
                <w:lang w:eastAsia="et-EE"/>
              </w:rPr>
              <w:t>195 </w:t>
            </w:r>
          </w:p>
        </w:tc>
        <w:tc>
          <w:tcPr>
            <w:tcW w:w="1243" w:type="dxa"/>
            <w:vAlign w:val="center"/>
          </w:tcPr>
          <w:p w14:paraId="5F1D7C57" w14:textId="77777777" w:rsidR="00295BCD" w:rsidRPr="001927D6" w:rsidRDefault="00295BCD">
            <w:pPr>
              <w:spacing w:after="0" w:line="240" w:lineRule="auto"/>
              <w:jc w:val="center"/>
              <w:textAlignment w:val="baseline"/>
              <w:rPr>
                <w:szCs w:val="24"/>
                <w:lang w:eastAsia="et-EE"/>
              </w:rPr>
            </w:pPr>
            <w:r w:rsidRPr="001927D6">
              <w:rPr>
                <w:color w:val="000000"/>
                <w:szCs w:val="24"/>
              </w:rPr>
              <w:t>8 488,77</w:t>
            </w:r>
          </w:p>
        </w:tc>
        <w:tc>
          <w:tcPr>
            <w:tcW w:w="1211" w:type="dxa"/>
            <w:vAlign w:val="center"/>
          </w:tcPr>
          <w:p w14:paraId="093805EE" w14:textId="77777777" w:rsidR="00295BCD" w:rsidRPr="001927D6" w:rsidRDefault="00295BCD">
            <w:pPr>
              <w:spacing w:after="0" w:line="240" w:lineRule="auto"/>
              <w:jc w:val="center"/>
              <w:textAlignment w:val="baseline"/>
              <w:rPr>
                <w:szCs w:val="24"/>
                <w:lang w:eastAsia="et-EE"/>
              </w:rPr>
            </w:pPr>
            <w:r w:rsidRPr="001927D6">
              <w:rPr>
                <w:color w:val="000000"/>
                <w:szCs w:val="24"/>
              </w:rPr>
              <w:t>3 442,26</w:t>
            </w:r>
          </w:p>
        </w:tc>
        <w:tc>
          <w:tcPr>
            <w:tcW w:w="1238" w:type="dxa"/>
            <w:vAlign w:val="center"/>
          </w:tcPr>
          <w:p w14:paraId="45481EC1" w14:textId="77777777" w:rsidR="00295BCD" w:rsidRPr="001927D6" w:rsidRDefault="00295BCD">
            <w:pPr>
              <w:spacing w:after="0" w:line="240" w:lineRule="auto"/>
              <w:jc w:val="center"/>
              <w:textAlignment w:val="baseline"/>
              <w:rPr>
                <w:szCs w:val="24"/>
                <w:lang w:eastAsia="et-EE"/>
              </w:rPr>
            </w:pPr>
            <w:r w:rsidRPr="001927D6">
              <w:rPr>
                <w:color w:val="000000"/>
                <w:szCs w:val="24"/>
              </w:rPr>
              <w:t>17 664,19</w:t>
            </w:r>
          </w:p>
        </w:tc>
      </w:tr>
      <w:tr w:rsidR="00295BCD" w:rsidRPr="001927D6" w14:paraId="68C1E6F1" w14:textId="77777777" w:rsidTr="00295BCD">
        <w:trPr>
          <w:divId w:val="1316184749"/>
          <w:trHeight w:val="300"/>
        </w:trPr>
        <w:tc>
          <w:tcPr>
            <w:tcW w:w="4632" w:type="dxa"/>
            <w:vAlign w:val="bottom"/>
            <w:hideMark/>
          </w:tcPr>
          <w:p w14:paraId="2FCF3EEE"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Koletsüstektoomia ühissapijuha uuringuga, kht-ta </w:t>
            </w:r>
          </w:p>
        </w:tc>
        <w:tc>
          <w:tcPr>
            <w:tcW w:w="732" w:type="dxa"/>
            <w:vAlign w:val="center"/>
            <w:hideMark/>
          </w:tcPr>
          <w:p w14:paraId="3CADFA91" w14:textId="77777777" w:rsidR="00295BCD" w:rsidRPr="001927D6" w:rsidRDefault="00295BCD">
            <w:pPr>
              <w:spacing w:after="0" w:line="240" w:lineRule="auto"/>
              <w:jc w:val="center"/>
              <w:textAlignment w:val="baseline"/>
              <w:rPr>
                <w:szCs w:val="24"/>
                <w:lang w:eastAsia="et-EE"/>
              </w:rPr>
            </w:pPr>
            <w:r w:rsidRPr="001927D6">
              <w:rPr>
                <w:szCs w:val="24"/>
                <w:lang w:eastAsia="et-EE"/>
              </w:rPr>
              <w:t>196 </w:t>
            </w:r>
          </w:p>
        </w:tc>
        <w:tc>
          <w:tcPr>
            <w:tcW w:w="1243" w:type="dxa"/>
            <w:vAlign w:val="center"/>
          </w:tcPr>
          <w:p w14:paraId="797258CD" w14:textId="77777777" w:rsidR="00295BCD" w:rsidRPr="001927D6" w:rsidRDefault="00295BCD">
            <w:pPr>
              <w:spacing w:after="0" w:line="240" w:lineRule="auto"/>
              <w:jc w:val="center"/>
              <w:textAlignment w:val="baseline"/>
              <w:rPr>
                <w:szCs w:val="24"/>
                <w:lang w:eastAsia="et-EE"/>
              </w:rPr>
            </w:pPr>
            <w:r w:rsidRPr="001927D6">
              <w:rPr>
                <w:color w:val="000000"/>
                <w:szCs w:val="24"/>
              </w:rPr>
              <w:t>3 385,76</w:t>
            </w:r>
          </w:p>
        </w:tc>
        <w:tc>
          <w:tcPr>
            <w:tcW w:w="1211" w:type="dxa"/>
            <w:vAlign w:val="center"/>
          </w:tcPr>
          <w:p w14:paraId="32C59F4B" w14:textId="77777777" w:rsidR="00295BCD" w:rsidRPr="001927D6" w:rsidRDefault="00295BCD">
            <w:pPr>
              <w:spacing w:after="0" w:line="240" w:lineRule="auto"/>
              <w:jc w:val="center"/>
              <w:textAlignment w:val="baseline"/>
              <w:rPr>
                <w:szCs w:val="24"/>
                <w:lang w:eastAsia="et-EE"/>
              </w:rPr>
            </w:pPr>
            <w:r w:rsidRPr="001927D6">
              <w:rPr>
                <w:color w:val="000000"/>
                <w:szCs w:val="24"/>
              </w:rPr>
              <w:t>1 871,12</w:t>
            </w:r>
          </w:p>
        </w:tc>
        <w:tc>
          <w:tcPr>
            <w:tcW w:w="1238" w:type="dxa"/>
            <w:vAlign w:val="center"/>
          </w:tcPr>
          <w:p w14:paraId="627CCC99" w14:textId="77777777" w:rsidR="00295BCD" w:rsidRPr="001927D6" w:rsidRDefault="00295BCD">
            <w:pPr>
              <w:spacing w:after="0" w:line="240" w:lineRule="auto"/>
              <w:jc w:val="center"/>
              <w:textAlignment w:val="baseline"/>
              <w:rPr>
                <w:szCs w:val="24"/>
                <w:lang w:eastAsia="et-EE"/>
              </w:rPr>
            </w:pPr>
            <w:r w:rsidRPr="001927D6">
              <w:rPr>
                <w:color w:val="000000"/>
                <w:szCs w:val="24"/>
              </w:rPr>
              <w:t>4 615,38</w:t>
            </w:r>
          </w:p>
        </w:tc>
      </w:tr>
      <w:tr w:rsidR="00295BCD" w:rsidRPr="001927D6" w14:paraId="3F7B04CB" w14:textId="77777777" w:rsidTr="00295BCD">
        <w:trPr>
          <w:divId w:val="1316184749"/>
          <w:trHeight w:val="300"/>
        </w:trPr>
        <w:tc>
          <w:tcPr>
            <w:tcW w:w="4632" w:type="dxa"/>
            <w:vAlign w:val="bottom"/>
            <w:hideMark/>
          </w:tcPr>
          <w:p w14:paraId="71C591D3" w14:textId="77777777" w:rsidR="00295BCD" w:rsidRPr="001927D6" w:rsidRDefault="00295BCD">
            <w:pPr>
              <w:spacing w:after="0" w:line="240" w:lineRule="auto"/>
              <w:textAlignment w:val="baseline"/>
              <w:rPr>
                <w:szCs w:val="24"/>
                <w:lang w:eastAsia="et-EE"/>
              </w:rPr>
            </w:pPr>
            <w:r w:rsidRPr="001927D6">
              <w:rPr>
                <w:szCs w:val="24"/>
                <w:lang w:eastAsia="et-EE"/>
              </w:rPr>
              <w:t>Koletsüstektoomia, v.a laparoskoopiline, ühissapijuha uuringuta, kht-ga </w:t>
            </w:r>
          </w:p>
        </w:tc>
        <w:tc>
          <w:tcPr>
            <w:tcW w:w="732" w:type="dxa"/>
            <w:vAlign w:val="center"/>
            <w:hideMark/>
          </w:tcPr>
          <w:p w14:paraId="43784988" w14:textId="77777777" w:rsidR="00295BCD" w:rsidRPr="001927D6" w:rsidRDefault="00295BCD">
            <w:pPr>
              <w:spacing w:after="0" w:line="240" w:lineRule="auto"/>
              <w:jc w:val="center"/>
              <w:textAlignment w:val="baseline"/>
              <w:rPr>
                <w:szCs w:val="24"/>
                <w:lang w:eastAsia="et-EE"/>
              </w:rPr>
            </w:pPr>
            <w:r w:rsidRPr="001927D6">
              <w:rPr>
                <w:szCs w:val="24"/>
                <w:lang w:eastAsia="et-EE"/>
              </w:rPr>
              <w:t>197 </w:t>
            </w:r>
          </w:p>
        </w:tc>
        <w:tc>
          <w:tcPr>
            <w:tcW w:w="1243" w:type="dxa"/>
            <w:vAlign w:val="center"/>
          </w:tcPr>
          <w:p w14:paraId="78A9C63D" w14:textId="77777777" w:rsidR="00295BCD" w:rsidRPr="001927D6" w:rsidRDefault="00295BCD">
            <w:pPr>
              <w:spacing w:after="0" w:line="240" w:lineRule="auto"/>
              <w:jc w:val="center"/>
              <w:textAlignment w:val="baseline"/>
              <w:rPr>
                <w:szCs w:val="24"/>
                <w:lang w:eastAsia="et-EE"/>
              </w:rPr>
            </w:pPr>
            <w:r w:rsidRPr="001927D6">
              <w:rPr>
                <w:color w:val="000000"/>
                <w:szCs w:val="24"/>
              </w:rPr>
              <w:t>5 902,40</w:t>
            </w:r>
          </w:p>
        </w:tc>
        <w:tc>
          <w:tcPr>
            <w:tcW w:w="1211" w:type="dxa"/>
            <w:vAlign w:val="center"/>
          </w:tcPr>
          <w:p w14:paraId="2426F837" w14:textId="77777777" w:rsidR="00295BCD" w:rsidRPr="001927D6" w:rsidRDefault="00295BCD">
            <w:pPr>
              <w:spacing w:after="0" w:line="240" w:lineRule="auto"/>
              <w:jc w:val="center"/>
              <w:textAlignment w:val="baseline"/>
              <w:rPr>
                <w:szCs w:val="24"/>
                <w:lang w:eastAsia="et-EE"/>
              </w:rPr>
            </w:pPr>
            <w:r w:rsidRPr="001927D6">
              <w:rPr>
                <w:color w:val="000000"/>
                <w:szCs w:val="24"/>
              </w:rPr>
              <w:t>2 277,03</w:t>
            </w:r>
          </w:p>
        </w:tc>
        <w:tc>
          <w:tcPr>
            <w:tcW w:w="1238" w:type="dxa"/>
            <w:vAlign w:val="center"/>
          </w:tcPr>
          <w:p w14:paraId="060D18BF" w14:textId="77777777" w:rsidR="00295BCD" w:rsidRPr="001927D6" w:rsidRDefault="00295BCD">
            <w:pPr>
              <w:spacing w:after="0" w:line="240" w:lineRule="auto"/>
              <w:jc w:val="center"/>
              <w:textAlignment w:val="baseline"/>
              <w:rPr>
                <w:szCs w:val="24"/>
                <w:lang w:eastAsia="et-EE"/>
              </w:rPr>
            </w:pPr>
            <w:r w:rsidRPr="001927D6">
              <w:rPr>
                <w:color w:val="000000"/>
                <w:szCs w:val="24"/>
              </w:rPr>
              <w:t>16 042,41</w:t>
            </w:r>
          </w:p>
        </w:tc>
      </w:tr>
      <w:tr w:rsidR="00295BCD" w:rsidRPr="001927D6" w14:paraId="26F09B0F" w14:textId="77777777" w:rsidTr="00295BCD">
        <w:trPr>
          <w:divId w:val="1316184749"/>
          <w:trHeight w:val="300"/>
        </w:trPr>
        <w:tc>
          <w:tcPr>
            <w:tcW w:w="4632" w:type="dxa"/>
            <w:vAlign w:val="bottom"/>
            <w:hideMark/>
          </w:tcPr>
          <w:p w14:paraId="6D73BC6E" w14:textId="77777777" w:rsidR="00295BCD" w:rsidRPr="001927D6" w:rsidRDefault="00295BCD">
            <w:pPr>
              <w:spacing w:after="0" w:line="240" w:lineRule="auto"/>
              <w:textAlignment w:val="baseline"/>
              <w:rPr>
                <w:szCs w:val="24"/>
                <w:lang w:eastAsia="et-EE"/>
              </w:rPr>
            </w:pPr>
            <w:r w:rsidRPr="001927D6">
              <w:rPr>
                <w:szCs w:val="24"/>
                <w:lang w:eastAsia="et-EE"/>
              </w:rPr>
              <w:t>Koletsüstektoomia, v.a laparoskoopiline, ühissapijuha uuringuta, kht-ta </w:t>
            </w:r>
          </w:p>
        </w:tc>
        <w:tc>
          <w:tcPr>
            <w:tcW w:w="732" w:type="dxa"/>
            <w:vAlign w:val="center"/>
            <w:hideMark/>
          </w:tcPr>
          <w:p w14:paraId="0C10BC41" w14:textId="77777777" w:rsidR="00295BCD" w:rsidRPr="001927D6" w:rsidRDefault="00295BCD">
            <w:pPr>
              <w:spacing w:after="0" w:line="240" w:lineRule="auto"/>
              <w:jc w:val="center"/>
              <w:textAlignment w:val="baseline"/>
              <w:rPr>
                <w:szCs w:val="24"/>
                <w:lang w:eastAsia="et-EE"/>
              </w:rPr>
            </w:pPr>
            <w:r w:rsidRPr="001927D6">
              <w:rPr>
                <w:szCs w:val="24"/>
                <w:lang w:eastAsia="et-EE"/>
              </w:rPr>
              <w:t>198 </w:t>
            </w:r>
          </w:p>
        </w:tc>
        <w:tc>
          <w:tcPr>
            <w:tcW w:w="1243" w:type="dxa"/>
            <w:vAlign w:val="center"/>
          </w:tcPr>
          <w:p w14:paraId="7912B97D" w14:textId="77777777" w:rsidR="00295BCD" w:rsidRPr="001927D6" w:rsidRDefault="00295BCD">
            <w:pPr>
              <w:spacing w:after="0" w:line="240" w:lineRule="auto"/>
              <w:jc w:val="center"/>
              <w:textAlignment w:val="baseline"/>
              <w:rPr>
                <w:szCs w:val="24"/>
                <w:lang w:eastAsia="et-EE"/>
              </w:rPr>
            </w:pPr>
            <w:r w:rsidRPr="001927D6">
              <w:rPr>
                <w:color w:val="000000"/>
                <w:szCs w:val="24"/>
              </w:rPr>
              <w:t>4 115,51</w:t>
            </w:r>
          </w:p>
        </w:tc>
        <w:tc>
          <w:tcPr>
            <w:tcW w:w="1211" w:type="dxa"/>
            <w:vAlign w:val="center"/>
          </w:tcPr>
          <w:p w14:paraId="5E62F33C" w14:textId="77777777" w:rsidR="00295BCD" w:rsidRPr="001927D6" w:rsidRDefault="00295BCD">
            <w:pPr>
              <w:spacing w:after="0" w:line="240" w:lineRule="auto"/>
              <w:jc w:val="center"/>
              <w:textAlignment w:val="baseline"/>
              <w:rPr>
                <w:szCs w:val="24"/>
                <w:lang w:eastAsia="et-EE"/>
              </w:rPr>
            </w:pPr>
            <w:r w:rsidRPr="001927D6">
              <w:rPr>
                <w:color w:val="000000"/>
                <w:szCs w:val="24"/>
              </w:rPr>
              <w:t>1 990,26</w:t>
            </w:r>
          </w:p>
        </w:tc>
        <w:tc>
          <w:tcPr>
            <w:tcW w:w="1238" w:type="dxa"/>
            <w:vAlign w:val="center"/>
          </w:tcPr>
          <w:p w14:paraId="151A2455" w14:textId="77777777" w:rsidR="00295BCD" w:rsidRPr="001927D6" w:rsidRDefault="00295BCD">
            <w:pPr>
              <w:spacing w:after="0" w:line="240" w:lineRule="auto"/>
              <w:jc w:val="center"/>
              <w:textAlignment w:val="baseline"/>
              <w:rPr>
                <w:szCs w:val="24"/>
                <w:lang w:eastAsia="et-EE"/>
              </w:rPr>
            </w:pPr>
            <w:r w:rsidRPr="001927D6">
              <w:rPr>
                <w:color w:val="000000"/>
                <w:szCs w:val="24"/>
              </w:rPr>
              <w:t>6 245,23</w:t>
            </w:r>
          </w:p>
        </w:tc>
      </w:tr>
      <w:tr w:rsidR="00295BCD" w:rsidRPr="001927D6" w14:paraId="59B053EE" w14:textId="77777777" w:rsidTr="00295BCD">
        <w:trPr>
          <w:divId w:val="1316184749"/>
          <w:trHeight w:val="300"/>
        </w:trPr>
        <w:tc>
          <w:tcPr>
            <w:tcW w:w="4632" w:type="dxa"/>
            <w:vAlign w:val="bottom"/>
            <w:hideMark/>
          </w:tcPr>
          <w:p w14:paraId="7779618B" w14:textId="77777777" w:rsidR="00295BCD" w:rsidRPr="001927D6" w:rsidRDefault="00295BCD">
            <w:pPr>
              <w:spacing w:after="0" w:line="240" w:lineRule="auto"/>
              <w:textAlignment w:val="baseline"/>
              <w:rPr>
                <w:szCs w:val="24"/>
                <w:lang w:eastAsia="et-EE"/>
              </w:rPr>
            </w:pPr>
            <w:r w:rsidRPr="001927D6">
              <w:rPr>
                <w:szCs w:val="24"/>
                <w:lang w:eastAsia="et-EE"/>
              </w:rPr>
              <w:t>Maksa ja sapiteede pahaloomuliste kasvajate diagnoosimisprotseduurid </w:t>
            </w:r>
          </w:p>
        </w:tc>
        <w:tc>
          <w:tcPr>
            <w:tcW w:w="732" w:type="dxa"/>
            <w:vAlign w:val="center"/>
            <w:hideMark/>
          </w:tcPr>
          <w:p w14:paraId="069FFC33" w14:textId="77777777" w:rsidR="00295BCD" w:rsidRPr="001927D6" w:rsidRDefault="00295BCD">
            <w:pPr>
              <w:spacing w:after="0" w:line="240" w:lineRule="auto"/>
              <w:jc w:val="center"/>
              <w:textAlignment w:val="baseline"/>
              <w:rPr>
                <w:szCs w:val="24"/>
                <w:lang w:eastAsia="et-EE"/>
              </w:rPr>
            </w:pPr>
            <w:r w:rsidRPr="001927D6">
              <w:rPr>
                <w:szCs w:val="24"/>
                <w:lang w:eastAsia="et-EE"/>
              </w:rPr>
              <w:t>199 </w:t>
            </w:r>
          </w:p>
        </w:tc>
        <w:tc>
          <w:tcPr>
            <w:tcW w:w="1243" w:type="dxa"/>
            <w:vAlign w:val="center"/>
          </w:tcPr>
          <w:p w14:paraId="429AD6D1" w14:textId="77777777" w:rsidR="00295BCD" w:rsidRPr="001927D6" w:rsidRDefault="00295BCD">
            <w:pPr>
              <w:spacing w:after="0" w:line="240" w:lineRule="auto"/>
              <w:jc w:val="center"/>
              <w:textAlignment w:val="baseline"/>
              <w:rPr>
                <w:szCs w:val="24"/>
                <w:lang w:eastAsia="et-EE"/>
              </w:rPr>
            </w:pPr>
            <w:r w:rsidRPr="001927D6">
              <w:rPr>
                <w:color w:val="000000"/>
                <w:szCs w:val="24"/>
              </w:rPr>
              <w:t>4 986,92</w:t>
            </w:r>
          </w:p>
        </w:tc>
        <w:tc>
          <w:tcPr>
            <w:tcW w:w="1211" w:type="dxa"/>
            <w:vAlign w:val="center"/>
          </w:tcPr>
          <w:p w14:paraId="492FE2CC" w14:textId="77777777" w:rsidR="00295BCD" w:rsidRPr="001927D6" w:rsidRDefault="00295BCD">
            <w:pPr>
              <w:spacing w:after="0" w:line="240" w:lineRule="auto"/>
              <w:jc w:val="center"/>
              <w:textAlignment w:val="baseline"/>
              <w:rPr>
                <w:szCs w:val="24"/>
                <w:lang w:eastAsia="et-EE"/>
              </w:rPr>
            </w:pPr>
            <w:r w:rsidRPr="001927D6">
              <w:rPr>
                <w:color w:val="000000"/>
                <w:szCs w:val="24"/>
              </w:rPr>
              <w:t>1 481,19</w:t>
            </w:r>
          </w:p>
        </w:tc>
        <w:tc>
          <w:tcPr>
            <w:tcW w:w="1238" w:type="dxa"/>
            <w:vAlign w:val="center"/>
          </w:tcPr>
          <w:p w14:paraId="4D1C81E7" w14:textId="77777777" w:rsidR="00295BCD" w:rsidRPr="001927D6" w:rsidRDefault="00295BCD">
            <w:pPr>
              <w:spacing w:after="0" w:line="240" w:lineRule="auto"/>
              <w:jc w:val="center"/>
              <w:textAlignment w:val="baseline"/>
              <w:rPr>
                <w:szCs w:val="24"/>
                <w:lang w:eastAsia="et-EE"/>
              </w:rPr>
            </w:pPr>
            <w:r w:rsidRPr="001927D6">
              <w:rPr>
                <w:color w:val="000000"/>
                <w:szCs w:val="24"/>
              </w:rPr>
              <w:t>11 763,07</w:t>
            </w:r>
          </w:p>
        </w:tc>
      </w:tr>
      <w:tr w:rsidR="00295BCD" w:rsidRPr="001927D6" w14:paraId="09CEAD7F" w14:textId="77777777" w:rsidTr="00295BCD">
        <w:trPr>
          <w:divId w:val="1316184749"/>
          <w:trHeight w:val="300"/>
        </w:trPr>
        <w:tc>
          <w:tcPr>
            <w:tcW w:w="4632" w:type="dxa"/>
            <w:vAlign w:val="bottom"/>
            <w:hideMark/>
          </w:tcPr>
          <w:p w14:paraId="5C90C992" w14:textId="77777777" w:rsidR="00295BCD" w:rsidRPr="001927D6" w:rsidRDefault="00295BCD">
            <w:pPr>
              <w:spacing w:after="0" w:line="240" w:lineRule="auto"/>
              <w:textAlignment w:val="baseline"/>
              <w:rPr>
                <w:szCs w:val="24"/>
                <w:lang w:eastAsia="et-EE"/>
              </w:rPr>
            </w:pPr>
            <w:r w:rsidRPr="001927D6">
              <w:rPr>
                <w:szCs w:val="24"/>
                <w:lang w:eastAsia="et-EE"/>
              </w:rPr>
              <w:t>Maksa ja sapiteede mittepahaloomuliste kasvajate diagnostilised protseduurid </w:t>
            </w:r>
          </w:p>
        </w:tc>
        <w:tc>
          <w:tcPr>
            <w:tcW w:w="732" w:type="dxa"/>
            <w:vAlign w:val="center"/>
            <w:hideMark/>
          </w:tcPr>
          <w:p w14:paraId="3991C666" w14:textId="77777777" w:rsidR="00295BCD" w:rsidRPr="001927D6" w:rsidRDefault="00295BCD">
            <w:pPr>
              <w:spacing w:after="0" w:line="240" w:lineRule="auto"/>
              <w:jc w:val="center"/>
              <w:textAlignment w:val="baseline"/>
              <w:rPr>
                <w:szCs w:val="24"/>
                <w:lang w:eastAsia="et-EE"/>
              </w:rPr>
            </w:pPr>
            <w:r w:rsidRPr="001927D6">
              <w:rPr>
                <w:szCs w:val="24"/>
                <w:lang w:eastAsia="et-EE"/>
              </w:rPr>
              <w:t>200 </w:t>
            </w:r>
          </w:p>
        </w:tc>
        <w:tc>
          <w:tcPr>
            <w:tcW w:w="1243" w:type="dxa"/>
            <w:vAlign w:val="center"/>
          </w:tcPr>
          <w:p w14:paraId="28750129" w14:textId="77777777" w:rsidR="00295BCD" w:rsidRPr="001927D6" w:rsidRDefault="00295BCD">
            <w:pPr>
              <w:spacing w:after="0" w:line="240" w:lineRule="auto"/>
              <w:jc w:val="center"/>
              <w:textAlignment w:val="baseline"/>
              <w:rPr>
                <w:szCs w:val="24"/>
                <w:lang w:eastAsia="et-EE"/>
              </w:rPr>
            </w:pPr>
            <w:r w:rsidRPr="001927D6">
              <w:rPr>
                <w:color w:val="000000"/>
                <w:szCs w:val="24"/>
              </w:rPr>
              <w:t>7 057,10</w:t>
            </w:r>
          </w:p>
        </w:tc>
        <w:tc>
          <w:tcPr>
            <w:tcW w:w="1211" w:type="dxa"/>
            <w:vAlign w:val="center"/>
          </w:tcPr>
          <w:p w14:paraId="2BBA4E06" w14:textId="77777777" w:rsidR="00295BCD" w:rsidRPr="001927D6" w:rsidRDefault="00295BCD">
            <w:pPr>
              <w:spacing w:after="0" w:line="240" w:lineRule="auto"/>
              <w:jc w:val="center"/>
              <w:textAlignment w:val="baseline"/>
              <w:rPr>
                <w:szCs w:val="24"/>
                <w:lang w:eastAsia="et-EE"/>
              </w:rPr>
            </w:pPr>
            <w:r w:rsidRPr="001927D6">
              <w:rPr>
                <w:color w:val="000000"/>
                <w:szCs w:val="24"/>
              </w:rPr>
              <w:t>1 173,47</w:t>
            </w:r>
          </w:p>
        </w:tc>
        <w:tc>
          <w:tcPr>
            <w:tcW w:w="1238" w:type="dxa"/>
            <w:vAlign w:val="center"/>
          </w:tcPr>
          <w:p w14:paraId="255004A3" w14:textId="77777777" w:rsidR="00295BCD" w:rsidRPr="001927D6" w:rsidRDefault="00295BCD">
            <w:pPr>
              <w:spacing w:after="0" w:line="240" w:lineRule="auto"/>
              <w:jc w:val="center"/>
              <w:textAlignment w:val="baseline"/>
              <w:rPr>
                <w:szCs w:val="24"/>
                <w:lang w:eastAsia="et-EE"/>
              </w:rPr>
            </w:pPr>
            <w:r w:rsidRPr="001927D6">
              <w:rPr>
                <w:color w:val="000000"/>
                <w:szCs w:val="24"/>
              </w:rPr>
              <w:t>27 790,51</w:t>
            </w:r>
          </w:p>
        </w:tc>
      </w:tr>
      <w:tr w:rsidR="00295BCD" w:rsidRPr="001927D6" w14:paraId="6998D0A7" w14:textId="77777777" w:rsidTr="00295BCD">
        <w:trPr>
          <w:divId w:val="1316184749"/>
          <w:trHeight w:val="300"/>
        </w:trPr>
        <w:tc>
          <w:tcPr>
            <w:tcW w:w="4632" w:type="dxa"/>
            <w:vAlign w:val="bottom"/>
            <w:hideMark/>
          </w:tcPr>
          <w:p w14:paraId="58E2912A" w14:textId="77777777" w:rsidR="00295BCD" w:rsidRPr="001927D6" w:rsidRDefault="00295BCD">
            <w:pPr>
              <w:spacing w:after="0" w:line="240" w:lineRule="auto"/>
              <w:textAlignment w:val="baseline"/>
              <w:rPr>
                <w:szCs w:val="24"/>
                <w:lang w:eastAsia="et-EE"/>
              </w:rPr>
            </w:pPr>
            <w:r w:rsidRPr="001927D6">
              <w:rPr>
                <w:szCs w:val="24"/>
                <w:lang w:eastAsia="et-EE"/>
              </w:rPr>
              <w:t>Maksa ja sapiteede haiguste diagnostilised protseduurid, lühike ravi </w:t>
            </w:r>
          </w:p>
        </w:tc>
        <w:tc>
          <w:tcPr>
            <w:tcW w:w="732" w:type="dxa"/>
            <w:vAlign w:val="center"/>
            <w:hideMark/>
          </w:tcPr>
          <w:p w14:paraId="06E7E2A9" w14:textId="77777777" w:rsidR="00295BCD" w:rsidRPr="001927D6" w:rsidRDefault="00295BCD">
            <w:pPr>
              <w:spacing w:after="0" w:line="240" w:lineRule="auto"/>
              <w:jc w:val="center"/>
              <w:textAlignment w:val="baseline"/>
              <w:rPr>
                <w:szCs w:val="24"/>
                <w:lang w:eastAsia="et-EE"/>
              </w:rPr>
            </w:pPr>
            <w:r w:rsidRPr="001927D6">
              <w:rPr>
                <w:szCs w:val="24"/>
                <w:lang w:eastAsia="et-EE"/>
              </w:rPr>
              <w:t>200O </w:t>
            </w:r>
          </w:p>
        </w:tc>
        <w:tc>
          <w:tcPr>
            <w:tcW w:w="1243" w:type="dxa"/>
            <w:vAlign w:val="center"/>
          </w:tcPr>
          <w:p w14:paraId="08EF1E2D" w14:textId="77777777" w:rsidR="00295BCD" w:rsidRPr="001927D6" w:rsidRDefault="00295BCD">
            <w:pPr>
              <w:spacing w:after="0" w:line="240" w:lineRule="auto"/>
              <w:jc w:val="center"/>
              <w:textAlignment w:val="baseline"/>
              <w:rPr>
                <w:szCs w:val="24"/>
                <w:lang w:eastAsia="et-EE"/>
              </w:rPr>
            </w:pPr>
            <w:r w:rsidRPr="001927D6">
              <w:rPr>
                <w:color w:val="000000"/>
                <w:szCs w:val="24"/>
              </w:rPr>
              <w:t>1 260,45</w:t>
            </w:r>
          </w:p>
        </w:tc>
        <w:tc>
          <w:tcPr>
            <w:tcW w:w="1211" w:type="dxa"/>
            <w:vAlign w:val="center"/>
          </w:tcPr>
          <w:p w14:paraId="58656157" w14:textId="77777777" w:rsidR="00295BCD" w:rsidRPr="001927D6" w:rsidRDefault="00295BCD">
            <w:pPr>
              <w:spacing w:after="0" w:line="240" w:lineRule="auto"/>
              <w:jc w:val="center"/>
              <w:textAlignment w:val="baseline"/>
              <w:rPr>
                <w:szCs w:val="24"/>
                <w:lang w:eastAsia="et-EE"/>
              </w:rPr>
            </w:pPr>
            <w:r w:rsidRPr="001927D6">
              <w:rPr>
                <w:color w:val="000000"/>
                <w:szCs w:val="24"/>
              </w:rPr>
              <w:t>837,82</w:t>
            </w:r>
          </w:p>
        </w:tc>
        <w:tc>
          <w:tcPr>
            <w:tcW w:w="1238" w:type="dxa"/>
            <w:vAlign w:val="center"/>
          </w:tcPr>
          <w:p w14:paraId="44541AE6" w14:textId="77777777" w:rsidR="00295BCD" w:rsidRPr="001927D6" w:rsidRDefault="00295BCD">
            <w:pPr>
              <w:spacing w:after="0" w:line="240" w:lineRule="auto"/>
              <w:jc w:val="center"/>
              <w:textAlignment w:val="baseline"/>
              <w:rPr>
                <w:szCs w:val="24"/>
                <w:lang w:eastAsia="et-EE"/>
              </w:rPr>
            </w:pPr>
            <w:r w:rsidRPr="001927D6">
              <w:rPr>
                <w:color w:val="000000"/>
                <w:szCs w:val="24"/>
              </w:rPr>
              <w:t>1 838,58</w:t>
            </w:r>
          </w:p>
        </w:tc>
      </w:tr>
      <w:tr w:rsidR="00295BCD" w:rsidRPr="001927D6" w14:paraId="33520886" w14:textId="77777777" w:rsidTr="00295BCD">
        <w:trPr>
          <w:divId w:val="1316184749"/>
          <w:trHeight w:val="300"/>
        </w:trPr>
        <w:tc>
          <w:tcPr>
            <w:tcW w:w="4632" w:type="dxa"/>
            <w:vAlign w:val="bottom"/>
            <w:hideMark/>
          </w:tcPr>
          <w:p w14:paraId="26899479" w14:textId="77777777" w:rsidR="00295BCD" w:rsidRPr="001927D6" w:rsidRDefault="00295BCD">
            <w:pPr>
              <w:spacing w:after="0" w:line="240" w:lineRule="auto"/>
              <w:textAlignment w:val="baseline"/>
              <w:rPr>
                <w:szCs w:val="24"/>
                <w:lang w:eastAsia="et-EE"/>
              </w:rPr>
            </w:pPr>
            <w:r w:rsidRPr="001927D6">
              <w:rPr>
                <w:szCs w:val="24"/>
                <w:lang w:eastAsia="et-EE"/>
              </w:rPr>
              <w:t>Maksa, sapiteede või kõhunäärme muud operatsioonid </w:t>
            </w:r>
          </w:p>
        </w:tc>
        <w:tc>
          <w:tcPr>
            <w:tcW w:w="732" w:type="dxa"/>
            <w:vAlign w:val="center"/>
            <w:hideMark/>
          </w:tcPr>
          <w:p w14:paraId="0711BED3" w14:textId="77777777" w:rsidR="00295BCD" w:rsidRPr="001927D6" w:rsidRDefault="00295BCD">
            <w:pPr>
              <w:spacing w:after="0" w:line="240" w:lineRule="auto"/>
              <w:jc w:val="center"/>
              <w:textAlignment w:val="baseline"/>
              <w:rPr>
                <w:szCs w:val="24"/>
                <w:lang w:eastAsia="et-EE"/>
              </w:rPr>
            </w:pPr>
            <w:r w:rsidRPr="001927D6">
              <w:rPr>
                <w:szCs w:val="24"/>
                <w:lang w:eastAsia="et-EE"/>
              </w:rPr>
              <w:t>201 </w:t>
            </w:r>
          </w:p>
        </w:tc>
        <w:tc>
          <w:tcPr>
            <w:tcW w:w="1243" w:type="dxa"/>
            <w:vAlign w:val="center"/>
          </w:tcPr>
          <w:p w14:paraId="4ED26876" w14:textId="77777777" w:rsidR="00295BCD" w:rsidRPr="001927D6" w:rsidRDefault="00295BCD">
            <w:pPr>
              <w:spacing w:after="0" w:line="240" w:lineRule="auto"/>
              <w:jc w:val="center"/>
              <w:textAlignment w:val="baseline"/>
              <w:rPr>
                <w:szCs w:val="24"/>
                <w:lang w:eastAsia="et-EE"/>
              </w:rPr>
            </w:pPr>
            <w:r w:rsidRPr="001927D6">
              <w:rPr>
                <w:color w:val="000000"/>
                <w:szCs w:val="24"/>
              </w:rPr>
              <w:t>7 251,75</w:t>
            </w:r>
          </w:p>
        </w:tc>
        <w:tc>
          <w:tcPr>
            <w:tcW w:w="1211" w:type="dxa"/>
            <w:vAlign w:val="center"/>
          </w:tcPr>
          <w:p w14:paraId="78FE5F77" w14:textId="77777777" w:rsidR="00295BCD" w:rsidRPr="001927D6" w:rsidRDefault="00295BCD">
            <w:pPr>
              <w:spacing w:after="0" w:line="240" w:lineRule="auto"/>
              <w:jc w:val="center"/>
              <w:textAlignment w:val="baseline"/>
              <w:rPr>
                <w:szCs w:val="24"/>
                <w:lang w:eastAsia="et-EE"/>
              </w:rPr>
            </w:pPr>
            <w:r w:rsidRPr="001927D6">
              <w:rPr>
                <w:color w:val="000000"/>
                <w:szCs w:val="24"/>
              </w:rPr>
              <w:t>1 932,48</w:t>
            </w:r>
          </w:p>
        </w:tc>
        <w:tc>
          <w:tcPr>
            <w:tcW w:w="1238" w:type="dxa"/>
            <w:vAlign w:val="center"/>
          </w:tcPr>
          <w:p w14:paraId="51A147F3" w14:textId="77777777" w:rsidR="00295BCD" w:rsidRPr="001927D6" w:rsidRDefault="00295BCD">
            <w:pPr>
              <w:spacing w:after="0" w:line="240" w:lineRule="auto"/>
              <w:jc w:val="center"/>
              <w:textAlignment w:val="baseline"/>
              <w:rPr>
                <w:szCs w:val="24"/>
                <w:lang w:eastAsia="et-EE"/>
              </w:rPr>
            </w:pPr>
            <w:r w:rsidRPr="001927D6">
              <w:rPr>
                <w:color w:val="000000"/>
                <w:szCs w:val="24"/>
              </w:rPr>
              <w:t>43 798,80</w:t>
            </w:r>
          </w:p>
        </w:tc>
      </w:tr>
      <w:tr w:rsidR="00295BCD" w:rsidRPr="001927D6" w14:paraId="51DF24C9" w14:textId="77777777" w:rsidTr="00295BCD">
        <w:trPr>
          <w:divId w:val="1316184749"/>
          <w:trHeight w:val="300"/>
        </w:trPr>
        <w:tc>
          <w:tcPr>
            <w:tcW w:w="4632" w:type="dxa"/>
            <w:vAlign w:val="bottom"/>
            <w:hideMark/>
          </w:tcPr>
          <w:p w14:paraId="6D1DCEF3" w14:textId="77777777" w:rsidR="00295BCD" w:rsidRPr="001927D6" w:rsidRDefault="00295BCD">
            <w:pPr>
              <w:spacing w:after="0" w:line="240" w:lineRule="auto"/>
              <w:textAlignment w:val="baseline"/>
              <w:rPr>
                <w:szCs w:val="24"/>
                <w:lang w:eastAsia="et-EE"/>
              </w:rPr>
            </w:pPr>
            <w:r w:rsidRPr="001927D6">
              <w:rPr>
                <w:szCs w:val="24"/>
                <w:lang w:eastAsia="et-EE"/>
              </w:rPr>
              <w:t>Maksa, sapiteede või kõhunäärme muud operatsioonid, lühike ravi </w:t>
            </w:r>
          </w:p>
        </w:tc>
        <w:tc>
          <w:tcPr>
            <w:tcW w:w="732" w:type="dxa"/>
            <w:vAlign w:val="center"/>
            <w:hideMark/>
          </w:tcPr>
          <w:p w14:paraId="2B992B0D" w14:textId="77777777" w:rsidR="00295BCD" w:rsidRPr="001927D6" w:rsidRDefault="00295BCD">
            <w:pPr>
              <w:spacing w:after="0" w:line="240" w:lineRule="auto"/>
              <w:jc w:val="center"/>
              <w:textAlignment w:val="baseline"/>
              <w:rPr>
                <w:szCs w:val="24"/>
                <w:lang w:eastAsia="et-EE"/>
              </w:rPr>
            </w:pPr>
            <w:r w:rsidRPr="001927D6">
              <w:rPr>
                <w:szCs w:val="24"/>
                <w:lang w:eastAsia="et-EE"/>
              </w:rPr>
              <w:t>201O </w:t>
            </w:r>
          </w:p>
        </w:tc>
        <w:tc>
          <w:tcPr>
            <w:tcW w:w="1243" w:type="dxa"/>
            <w:vAlign w:val="center"/>
          </w:tcPr>
          <w:p w14:paraId="2E15656B" w14:textId="77777777" w:rsidR="00295BCD" w:rsidRPr="001927D6" w:rsidRDefault="00295BCD">
            <w:pPr>
              <w:spacing w:after="0" w:line="240" w:lineRule="auto"/>
              <w:jc w:val="center"/>
              <w:textAlignment w:val="baseline"/>
              <w:rPr>
                <w:szCs w:val="24"/>
                <w:lang w:eastAsia="et-EE"/>
              </w:rPr>
            </w:pPr>
            <w:r w:rsidRPr="001927D6">
              <w:rPr>
                <w:color w:val="000000"/>
                <w:szCs w:val="24"/>
              </w:rPr>
              <w:t>2 251,65</w:t>
            </w:r>
          </w:p>
        </w:tc>
        <w:tc>
          <w:tcPr>
            <w:tcW w:w="1211" w:type="dxa"/>
            <w:vAlign w:val="center"/>
          </w:tcPr>
          <w:p w14:paraId="05E08F98" w14:textId="77777777" w:rsidR="00295BCD" w:rsidRPr="001927D6" w:rsidRDefault="00295BCD">
            <w:pPr>
              <w:spacing w:after="0" w:line="240" w:lineRule="auto"/>
              <w:jc w:val="center"/>
              <w:textAlignment w:val="baseline"/>
              <w:rPr>
                <w:szCs w:val="24"/>
                <w:lang w:eastAsia="et-EE"/>
              </w:rPr>
            </w:pPr>
            <w:r w:rsidRPr="001927D6">
              <w:rPr>
                <w:color w:val="000000"/>
                <w:szCs w:val="24"/>
              </w:rPr>
              <w:t>1 068,57</w:t>
            </w:r>
          </w:p>
        </w:tc>
        <w:tc>
          <w:tcPr>
            <w:tcW w:w="1238" w:type="dxa"/>
            <w:vAlign w:val="center"/>
          </w:tcPr>
          <w:p w14:paraId="12F165E8" w14:textId="77777777" w:rsidR="00295BCD" w:rsidRPr="001927D6" w:rsidRDefault="00295BCD">
            <w:pPr>
              <w:spacing w:after="0" w:line="240" w:lineRule="auto"/>
              <w:jc w:val="center"/>
              <w:textAlignment w:val="baseline"/>
              <w:rPr>
                <w:szCs w:val="24"/>
                <w:lang w:eastAsia="et-EE"/>
              </w:rPr>
            </w:pPr>
            <w:r w:rsidRPr="001927D6">
              <w:rPr>
                <w:color w:val="000000"/>
                <w:szCs w:val="24"/>
              </w:rPr>
              <w:t>4 564,37</w:t>
            </w:r>
          </w:p>
        </w:tc>
      </w:tr>
      <w:tr w:rsidR="00295BCD" w:rsidRPr="001927D6" w14:paraId="4539DB01" w14:textId="77777777" w:rsidTr="00295BCD">
        <w:trPr>
          <w:divId w:val="1316184749"/>
          <w:trHeight w:val="300"/>
        </w:trPr>
        <w:tc>
          <w:tcPr>
            <w:tcW w:w="4632" w:type="dxa"/>
            <w:vAlign w:val="bottom"/>
            <w:hideMark/>
          </w:tcPr>
          <w:p w14:paraId="78931300" w14:textId="77777777" w:rsidR="00295BCD" w:rsidRPr="001927D6" w:rsidRDefault="00295BCD">
            <w:pPr>
              <w:spacing w:after="0" w:line="240" w:lineRule="auto"/>
              <w:textAlignment w:val="baseline"/>
              <w:rPr>
                <w:szCs w:val="24"/>
                <w:lang w:eastAsia="et-EE"/>
              </w:rPr>
            </w:pPr>
            <w:r w:rsidRPr="001927D6">
              <w:rPr>
                <w:szCs w:val="24"/>
                <w:lang w:eastAsia="et-EE"/>
              </w:rPr>
              <w:t>Maksatsirroos ja alkoholhepatiit </w:t>
            </w:r>
          </w:p>
        </w:tc>
        <w:tc>
          <w:tcPr>
            <w:tcW w:w="732" w:type="dxa"/>
            <w:vAlign w:val="center"/>
            <w:hideMark/>
          </w:tcPr>
          <w:p w14:paraId="3D4CDAFD" w14:textId="77777777" w:rsidR="00295BCD" w:rsidRPr="001927D6" w:rsidRDefault="00295BCD">
            <w:pPr>
              <w:spacing w:after="0" w:line="240" w:lineRule="auto"/>
              <w:jc w:val="center"/>
              <w:textAlignment w:val="baseline"/>
              <w:rPr>
                <w:szCs w:val="24"/>
                <w:lang w:eastAsia="et-EE"/>
              </w:rPr>
            </w:pPr>
            <w:r w:rsidRPr="001927D6">
              <w:rPr>
                <w:szCs w:val="24"/>
                <w:lang w:eastAsia="et-EE"/>
              </w:rPr>
              <w:t>202 </w:t>
            </w:r>
          </w:p>
        </w:tc>
        <w:tc>
          <w:tcPr>
            <w:tcW w:w="1243" w:type="dxa"/>
            <w:vAlign w:val="center"/>
          </w:tcPr>
          <w:p w14:paraId="4879FCA4" w14:textId="77777777" w:rsidR="00295BCD" w:rsidRPr="001927D6" w:rsidRDefault="00295BCD">
            <w:pPr>
              <w:spacing w:after="0" w:line="240" w:lineRule="auto"/>
              <w:jc w:val="center"/>
              <w:textAlignment w:val="baseline"/>
              <w:rPr>
                <w:szCs w:val="24"/>
                <w:lang w:eastAsia="et-EE"/>
              </w:rPr>
            </w:pPr>
            <w:r w:rsidRPr="001927D6">
              <w:rPr>
                <w:color w:val="000000"/>
                <w:szCs w:val="24"/>
              </w:rPr>
              <w:t>3 577,45</w:t>
            </w:r>
          </w:p>
        </w:tc>
        <w:tc>
          <w:tcPr>
            <w:tcW w:w="1211" w:type="dxa"/>
            <w:vAlign w:val="center"/>
          </w:tcPr>
          <w:p w14:paraId="0ADE0C87" w14:textId="77777777" w:rsidR="00295BCD" w:rsidRPr="001927D6" w:rsidRDefault="00295BCD">
            <w:pPr>
              <w:spacing w:after="0" w:line="240" w:lineRule="auto"/>
              <w:jc w:val="center"/>
              <w:textAlignment w:val="baseline"/>
              <w:rPr>
                <w:szCs w:val="24"/>
                <w:lang w:eastAsia="et-EE"/>
              </w:rPr>
            </w:pPr>
            <w:r w:rsidRPr="001927D6">
              <w:rPr>
                <w:color w:val="000000"/>
                <w:szCs w:val="24"/>
              </w:rPr>
              <w:t>866,04</w:t>
            </w:r>
          </w:p>
        </w:tc>
        <w:tc>
          <w:tcPr>
            <w:tcW w:w="1238" w:type="dxa"/>
            <w:vAlign w:val="center"/>
          </w:tcPr>
          <w:p w14:paraId="03934E92" w14:textId="77777777" w:rsidR="00295BCD" w:rsidRPr="001927D6" w:rsidRDefault="00295BCD">
            <w:pPr>
              <w:spacing w:after="0" w:line="240" w:lineRule="auto"/>
              <w:jc w:val="center"/>
              <w:textAlignment w:val="baseline"/>
              <w:rPr>
                <w:szCs w:val="24"/>
                <w:lang w:eastAsia="et-EE"/>
              </w:rPr>
            </w:pPr>
            <w:r w:rsidRPr="001927D6">
              <w:rPr>
                <w:color w:val="000000"/>
                <w:szCs w:val="24"/>
              </w:rPr>
              <w:t>10 413,86</w:t>
            </w:r>
          </w:p>
        </w:tc>
      </w:tr>
      <w:tr w:rsidR="00295BCD" w:rsidRPr="001927D6" w14:paraId="7DD2CF29" w14:textId="77777777" w:rsidTr="00295BCD">
        <w:trPr>
          <w:divId w:val="1316184749"/>
          <w:trHeight w:val="300"/>
        </w:trPr>
        <w:tc>
          <w:tcPr>
            <w:tcW w:w="4632" w:type="dxa"/>
            <w:vAlign w:val="bottom"/>
            <w:hideMark/>
          </w:tcPr>
          <w:p w14:paraId="57939665" w14:textId="77777777" w:rsidR="00295BCD" w:rsidRPr="001927D6" w:rsidRDefault="00295BCD">
            <w:pPr>
              <w:spacing w:after="0" w:line="240" w:lineRule="auto"/>
              <w:textAlignment w:val="baseline"/>
              <w:rPr>
                <w:szCs w:val="24"/>
                <w:lang w:eastAsia="et-EE"/>
              </w:rPr>
            </w:pPr>
            <w:r w:rsidRPr="001927D6">
              <w:rPr>
                <w:szCs w:val="24"/>
                <w:lang w:eastAsia="et-EE"/>
              </w:rPr>
              <w:t>Maksa, sapiteede või kõhunäärme pahaloomulised kasvajad </w:t>
            </w:r>
          </w:p>
        </w:tc>
        <w:tc>
          <w:tcPr>
            <w:tcW w:w="732" w:type="dxa"/>
            <w:vAlign w:val="center"/>
            <w:hideMark/>
          </w:tcPr>
          <w:p w14:paraId="53FD8325" w14:textId="77777777" w:rsidR="00295BCD" w:rsidRPr="001927D6" w:rsidRDefault="00295BCD">
            <w:pPr>
              <w:spacing w:after="0" w:line="240" w:lineRule="auto"/>
              <w:jc w:val="center"/>
              <w:textAlignment w:val="baseline"/>
              <w:rPr>
                <w:szCs w:val="24"/>
                <w:lang w:eastAsia="et-EE"/>
              </w:rPr>
            </w:pPr>
            <w:r w:rsidRPr="001927D6">
              <w:rPr>
                <w:szCs w:val="24"/>
                <w:lang w:eastAsia="et-EE"/>
              </w:rPr>
              <w:t>203 </w:t>
            </w:r>
          </w:p>
        </w:tc>
        <w:tc>
          <w:tcPr>
            <w:tcW w:w="1243" w:type="dxa"/>
            <w:vAlign w:val="center"/>
          </w:tcPr>
          <w:p w14:paraId="3F9D1635" w14:textId="77777777" w:rsidR="00295BCD" w:rsidRPr="001927D6" w:rsidRDefault="00295BCD">
            <w:pPr>
              <w:spacing w:after="0" w:line="240" w:lineRule="auto"/>
              <w:jc w:val="center"/>
              <w:textAlignment w:val="baseline"/>
              <w:rPr>
                <w:szCs w:val="24"/>
                <w:lang w:eastAsia="et-EE"/>
              </w:rPr>
            </w:pPr>
            <w:r w:rsidRPr="001927D6">
              <w:rPr>
                <w:color w:val="000000"/>
                <w:szCs w:val="24"/>
              </w:rPr>
              <w:t>2 744,70</w:t>
            </w:r>
          </w:p>
        </w:tc>
        <w:tc>
          <w:tcPr>
            <w:tcW w:w="1211" w:type="dxa"/>
            <w:vAlign w:val="center"/>
          </w:tcPr>
          <w:p w14:paraId="0869BB16" w14:textId="77777777" w:rsidR="00295BCD" w:rsidRPr="001927D6" w:rsidRDefault="00295BCD">
            <w:pPr>
              <w:spacing w:after="0" w:line="240" w:lineRule="auto"/>
              <w:jc w:val="center"/>
              <w:textAlignment w:val="baseline"/>
              <w:rPr>
                <w:szCs w:val="24"/>
                <w:lang w:eastAsia="et-EE"/>
              </w:rPr>
            </w:pPr>
            <w:r w:rsidRPr="001927D6">
              <w:rPr>
                <w:color w:val="000000"/>
                <w:szCs w:val="24"/>
              </w:rPr>
              <w:t>542,16</w:t>
            </w:r>
          </w:p>
        </w:tc>
        <w:tc>
          <w:tcPr>
            <w:tcW w:w="1238" w:type="dxa"/>
            <w:vAlign w:val="center"/>
          </w:tcPr>
          <w:p w14:paraId="5B3AE793" w14:textId="77777777" w:rsidR="00295BCD" w:rsidRPr="001927D6" w:rsidRDefault="00295BCD">
            <w:pPr>
              <w:spacing w:after="0" w:line="240" w:lineRule="auto"/>
              <w:jc w:val="center"/>
              <w:textAlignment w:val="baseline"/>
              <w:rPr>
                <w:szCs w:val="24"/>
                <w:lang w:eastAsia="et-EE"/>
              </w:rPr>
            </w:pPr>
            <w:r w:rsidRPr="001927D6">
              <w:rPr>
                <w:color w:val="000000"/>
                <w:szCs w:val="24"/>
              </w:rPr>
              <w:t>7 716,48</w:t>
            </w:r>
          </w:p>
        </w:tc>
      </w:tr>
      <w:tr w:rsidR="00295BCD" w:rsidRPr="001927D6" w14:paraId="065B77B2" w14:textId="77777777" w:rsidTr="00295BCD">
        <w:trPr>
          <w:divId w:val="1316184749"/>
          <w:trHeight w:val="300"/>
        </w:trPr>
        <w:tc>
          <w:tcPr>
            <w:tcW w:w="4632" w:type="dxa"/>
            <w:vAlign w:val="bottom"/>
            <w:hideMark/>
          </w:tcPr>
          <w:p w14:paraId="1B625327" w14:textId="77777777" w:rsidR="00295BCD" w:rsidRPr="001927D6" w:rsidRDefault="00295BCD">
            <w:pPr>
              <w:spacing w:after="0" w:line="240" w:lineRule="auto"/>
              <w:textAlignment w:val="baseline"/>
              <w:rPr>
                <w:szCs w:val="24"/>
                <w:lang w:eastAsia="et-EE"/>
              </w:rPr>
            </w:pPr>
            <w:r w:rsidRPr="001927D6">
              <w:rPr>
                <w:szCs w:val="24"/>
                <w:lang w:eastAsia="et-EE"/>
              </w:rPr>
              <w:t>Kõhunäärme haigused, v.a pahaloomulised kasvajad </w:t>
            </w:r>
          </w:p>
        </w:tc>
        <w:tc>
          <w:tcPr>
            <w:tcW w:w="732" w:type="dxa"/>
            <w:vAlign w:val="center"/>
            <w:hideMark/>
          </w:tcPr>
          <w:p w14:paraId="261CD15E" w14:textId="77777777" w:rsidR="00295BCD" w:rsidRPr="001927D6" w:rsidRDefault="00295BCD">
            <w:pPr>
              <w:spacing w:after="0" w:line="240" w:lineRule="auto"/>
              <w:jc w:val="center"/>
              <w:textAlignment w:val="baseline"/>
              <w:rPr>
                <w:szCs w:val="24"/>
                <w:lang w:eastAsia="et-EE"/>
              </w:rPr>
            </w:pPr>
            <w:r w:rsidRPr="001927D6">
              <w:rPr>
                <w:szCs w:val="24"/>
                <w:lang w:eastAsia="et-EE"/>
              </w:rPr>
              <w:t>204 </w:t>
            </w:r>
          </w:p>
        </w:tc>
        <w:tc>
          <w:tcPr>
            <w:tcW w:w="1243" w:type="dxa"/>
            <w:vAlign w:val="center"/>
          </w:tcPr>
          <w:p w14:paraId="3A98C097" w14:textId="77777777" w:rsidR="00295BCD" w:rsidRPr="001927D6" w:rsidRDefault="00295BCD">
            <w:pPr>
              <w:spacing w:after="0" w:line="240" w:lineRule="auto"/>
              <w:jc w:val="center"/>
              <w:textAlignment w:val="baseline"/>
              <w:rPr>
                <w:szCs w:val="24"/>
                <w:lang w:eastAsia="et-EE"/>
              </w:rPr>
            </w:pPr>
            <w:r w:rsidRPr="001927D6">
              <w:rPr>
                <w:color w:val="000000"/>
                <w:szCs w:val="24"/>
              </w:rPr>
              <w:t>2 027,69</w:t>
            </w:r>
          </w:p>
        </w:tc>
        <w:tc>
          <w:tcPr>
            <w:tcW w:w="1211" w:type="dxa"/>
            <w:vAlign w:val="center"/>
          </w:tcPr>
          <w:p w14:paraId="1121389A" w14:textId="77777777" w:rsidR="00295BCD" w:rsidRPr="001927D6" w:rsidRDefault="00295BCD">
            <w:pPr>
              <w:spacing w:after="0" w:line="240" w:lineRule="auto"/>
              <w:jc w:val="center"/>
              <w:textAlignment w:val="baseline"/>
              <w:rPr>
                <w:szCs w:val="24"/>
                <w:lang w:eastAsia="et-EE"/>
              </w:rPr>
            </w:pPr>
            <w:r w:rsidRPr="001927D6">
              <w:rPr>
                <w:color w:val="000000"/>
                <w:szCs w:val="24"/>
              </w:rPr>
              <w:t>658,08</w:t>
            </w:r>
          </w:p>
        </w:tc>
        <w:tc>
          <w:tcPr>
            <w:tcW w:w="1238" w:type="dxa"/>
            <w:vAlign w:val="center"/>
          </w:tcPr>
          <w:p w14:paraId="428513F5" w14:textId="77777777" w:rsidR="00295BCD" w:rsidRPr="001927D6" w:rsidRDefault="00295BCD">
            <w:pPr>
              <w:spacing w:after="0" w:line="240" w:lineRule="auto"/>
              <w:jc w:val="center"/>
              <w:textAlignment w:val="baseline"/>
              <w:rPr>
                <w:szCs w:val="24"/>
                <w:lang w:eastAsia="et-EE"/>
              </w:rPr>
            </w:pPr>
            <w:r w:rsidRPr="001927D6">
              <w:rPr>
                <w:color w:val="000000"/>
                <w:szCs w:val="24"/>
              </w:rPr>
              <w:t>5 161,80</w:t>
            </w:r>
          </w:p>
        </w:tc>
      </w:tr>
      <w:tr w:rsidR="00295BCD" w:rsidRPr="001927D6" w14:paraId="0C7C0C3D" w14:textId="77777777" w:rsidTr="00295BCD">
        <w:trPr>
          <w:divId w:val="1316184749"/>
          <w:trHeight w:val="300"/>
        </w:trPr>
        <w:tc>
          <w:tcPr>
            <w:tcW w:w="4632" w:type="dxa"/>
            <w:vAlign w:val="bottom"/>
            <w:hideMark/>
          </w:tcPr>
          <w:p w14:paraId="7E0BAB65" w14:textId="77777777" w:rsidR="00295BCD" w:rsidRPr="001927D6" w:rsidRDefault="00295BCD">
            <w:pPr>
              <w:spacing w:after="0" w:line="240" w:lineRule="auto"/>
              <w:textAlignment w:val="baseline"/>
              <w:rPr>
                <w:szCs w:val="24"/>
                <w:lang w:eastAsia="et-EE"/>
              </w:rPr>
            </w:pPr>
            <w:r w:rsidRPr="001927D6">
              <w:rPr>
                <w:szCs w:val="24"/>
                <w:lang w:eastAsia="et-EE"/>
              </w:rPr>
              <w:t>Maksahaigused, v.a pahaloomulised kasvajad, maksatsirroos, alkoholhepatiit, kht-ga </w:t>
            </w:r>
          </w:p>
        </w:tc>
        <w:tc>
          <w:tcPr>
            <w:tcW w:w="732" w:type="dxa"/>
            <w:vAlign w:val="center"/>
            <w:hideMark/>
          </w:tcPr>
          <w:p w14:paraId="20BB49B0" w14:textId="77777777" w:rsidR="00295BCD" w:rsidRPr="001927D6" w:rsidRDefault="00295BCD">
            <w:pPr>
              <w:spacing w:after="0" w:line="240" w:lineRule="auto"/>
              <w:jc w:val="center"/>
              <w:textAlignment w:val="baseline"/>
              <w:rPr>
                <w:szCs w:val="24"/>
                <w:lang w:eastAsia="et-EE"/>
              </w:rPr>
            </w:pPr>
            <w:r w:rsidRPr="001927D6">
              <w:rPr>
                <w:szCs w:val="24"/>
                <w:lang w:eastAsia="et-EE"/>
              </w:rPr>
              <w:t>205 </w:t>
            </w:r>
          </w:p>
        </w:tc>
        <w:tc>
          <w:tcPr>
            <w:tcW w:w="1243" w:type="dxa"/>
            <w:vAlign w:val="center"/>
          </w:tcPr>
          <w:p w14:paraId="4C06B27D" w14:textId="77777777" w:rsidR="00295BCD" w:rsidRPr="001927D6" w:rsidRDefault="00295BCD">
            <w:pPr>
              <w:spacing w:after="0" w:line="240" w:lineRule="auto"/>
              <w:jc w:val="center"/>
              <w:textAlignment w:val="baseline"/>
              <w:rPr>
                <w:szCs w:val="24"/>
                <w:lang w:eastAsia="et-EE"/>
              </w:rPr>
            </w:pPr>
            <w:r w:rsidRPr="001927D6">
              <w:rPr>
                <w:color w:val="000000"/>
                <w:szCs w:val="24"/>
              </w:rPr>
              <w:t>3 510,64</w:t>
            </w:r>
          </w:p>
        </w:tc>
        <w:tc>
          <w:tcPr>
            <w:tcW w:w="1211" w:type="dxa"/>
            <w:vAlign w:val="center"/>
          </w:tcPr>
          <w:p w14:paraId="37FA3F2D" w14:textId="77777777" w:rsidR="00295BCD" w:rsidRPr="001927D6" w:rsidRDefault="00295BCD">
            <w:pPr>
              <w:spacing w:after="0" w:line="240" w:lineRule="auto"/>
              <w:jc w:val="center"/>
              <w:textAlignment w:val="baseline"/>
              <w:rPr>
                <w:szCs w:val="24"/>
                <w:lang w:eastAsia="et-EE"/>
              </w:rPr>
            </w:pPr>
            <w:r w:rsidRPr="001927D6">
              <w:rPr>
                <w:color w:val="000000"/>
                <w:szCs w:val="24"/>
              </w:rPr>
              <w:t>1 018,84</w:t>
            </w:r>
          </w:p>
        </w:tc>
        <w:tc>
          <w:tcPr>
            <w:tcW w:w="1238" w:type="dxa"/>
            <w:vAlign w:val="center"/>
          </w:tcPr>
          <w:p w14:paraId="16566C0E" w14:textId="77777777" w:rsidR="00295BCD" w:rsidRPr="001927D6" w:rsidRDefault="00295BCD">
            <w:pPr>
              <w:spacing w:after="0" w:line="240" w:lineRule="auto"/>
              <w:jc w:val="center"/>
              <w:textAlignment w:val="baseline"/>
              <w:rPr>
                <w:szCs w:val="24"/>
                <w:lang w:eastAsia="et-EE"/>
              </w:rPr>
            </w:pPr>
            <w:r w:rsidRPr="001927D6">
              <w:rPr>
                <w:color w:val="000000"/>
                <w:szCs w:val="24"/>
              </w:rPr>
              <w:t>8 690,72</w:t>
            </w:r>
          </w:p>
        </w:tc>
      </w:tr>
      <w:tr w:rsidR="00295BCD" w:rsidRPr="001927D6" w14:paraId="6CADA5E0" w14:textId="77777777" w:rsidTr="00295BCD">
        <w:trPr>
          <w:divId w:val="1316184749"/>
          <w:trHeight w:val="300"/>
        </w:trPr>
        <w:tc>
          <w:tcPr>
            <w:tcW w:w="4632" w:type="dxa"/>
            <w:vAlign w:val="bottom"/>
            <w:hideMark/>
          </w:tcPr>
          <w:p w14:paraId="0DEE27A7" w14:textId="77777777" w:rsidR="00295BCD" w:rsidRPr="001927D6" w:rsidRDefault="00295BCD">
            <w:pPr>
              <w:spacing w:after="0" w:line="240" w:lineRule="auto"/>
              <w:textAlignment w:val="baseline"/>
              <w:rPr>
                <w:szCs w:val="24"/>
                <w:lang w:eastAsia="et-EE"/>
              </w:rPr>
            </w:pPr>
            <w:r w:rsidRPr="001927D6">
              <w:rPr>
                <w:szCs w:val="24"/>
                <w:lang w:eastAsia="et-EE"/>
              </w:rPr>
              <w:t>Maksahaigused, v.a pahaloomulised kasvajad, maksatsirroos, alkoholhepatiit, kht-ta </w:t>
            </w:r>
          </w:p>
        </w:tc>
        <w:tc>
          <w:tcPr>
            <w:tcW w:w="732" w:type="dxa"/>
            <w:vAlign w:val="center"/>
            <w:hideMark/>
          </w:tcPr>
          <w:p w14:paraId="0473DA95" w14:textId="77777777" w:rsidR="00295BCD" w:rsidRPr="001927D6" w:rsidRDefault="00295BCD">
            <w:pPr>
              <w:spacing w:after="0" w:line="240" w:lineRule="auto"/>
              <w:jc w:val="center"/>
              <w:textAlignment w:val="baseline"/>
              <w:rPr>
                <w:szCs w:val="24"/>
                <w:lang w:eastAsia="et-EE"/>
              </w:rPr>
            </w:pPr>
            <w:r w:rsidRPr="001927D6">
              <w:rPr>
                <w:szCs w:val="24"/>
                <w:lang w:eastAsia="et-EE"/>
              </w:rPr>
              <w:t>206 </w:t>
            </w:r>
          </w:p>
        </w:tc>
        <w:tc>
          <w:tcPr>
            <w:tcW w:w="1243" w:type="dxa"/>
            <w:vAlign w:val="center"/>
          </w:tcPr>
          <w:p w14:paraId="6B954059" w14:textId="77777777" w:rsidR="00295BCD" w:rsidRPr="001927D6" w:rsidRDefault="00295BCD">
            <w:pPr>
              <w:spacing w:after="0" w:line="240" w:lineRule="auto"/>
              <w:jc w:val="center"/>
              <w:textAlignment w:val="baseline"/>
              <w:rPr>
                <w:szCs w:val="24"/>
                <w:lang w:eastAsia="et-EE"/>
              </w:rPr>
            </w:pPr>
            <w:r w:rsidRPr="001927D6">
              <w:rPr>
                <w:color w:val="000000"/>
                <w:szCs w:val="24"/>
              </w:rPr>
              <w:t>1 725,16</w:t>
            </w:r>
          </w:p>
        </w:tc>
        <w:tc>
          <w:tcPr>
            <w:tcW w:w="1211" w:type="dxa"/>
            <w:vAlign w:val="center"/>
          </w:tcPr>
          <w:p w14:paraId="57D27557" w14:textId="77777777" w:rsidR="00295BCD" w:rsidRPr="001927D6" w:rsidRDefault="00295BCD">
            <w:pPr>
              <w:spacing w:after="0" w:line="240" w:lineRule="auto"/>
              <w:jc w:val="center"/>
              <w:textAlignment w:val="baseline"/>
              <w:rPr>
                <w:szCs w:val="24"/>
                <w:lang w:eastAsia="et-EE"/>
              </w:rPr>
            </w:pPr>
            <w:r w:rsidRPr="001927D6">
              <w:rPr>
                <w:color w:val="000000"/>
                <w:szCs w:val="24"/>
              </w:rPr>
              <w:t>553,23</w:t>
            </w:r>
          </w:p>
        </w:tc>
        <w:tc>
          <w:tcPr>
            <w:tcW w:w="1238" w:type="dxa"/>
            <w:vAlign w:val="center"/>
          </w:tcPr>
          <w:p w14:paraId="3FEC70BC" w14:textId="77777777" w:rsidR="00295BCD" w:rsidRPr="001927D6" w:rsidRDefault="00295BCD">
            <w:pPr>
              <w:spacing w:after="0" w:line="240" w:lineRule="auto"/>
              <w:jc w:val="center"/>
              <w:textAlignment w:val="baseline"/>
              <w:rPr>
                <w:szCs w:val="24"/>
                <w:lang w:eastAsia="et-EE"/>
              </w:rPr>
            </w:pPr>
            <w:r w:rsidRPr="001927D6">
              <w:rPr>
                <w:color w:val="000000"/>
                <w:szCs w:val="24"/>
              </w:rPr>
              <w:t>3 447,19</w:t>
            </w:r>
          </w:p>
        </w:tc>
      </w:tr>
      <w:tr w:rsidR="00295BCD" w:rsidRPr="001927D6" w14:paraId="2671AFD0" w14:textId="77777777" w:rsidTr="00295BCD">
        <w:trPr>
          <w:divId w:val="1316184749"/>
          <w:trHeight w:val="300"/>
        </w:trPr>
        <w:tc>
          <w:tcPr>
            <w:tcW w:w="4632" w:type="dxa"/>
            <w:vAlign w:val="bottom"/>
            <w:hideMark/>
          </w:tcPr>
          <w:p w14:paraId="5CC16A73" w14:textId="77777777" w:rsidR="00295BCD" w:rsidRPr="001927D6" w:rsidRDefault="00295BCD">
            <w:pPr>
              <w:spacing w:after="0" w:line="240" w:lineRule="auto"/>
              <w:textAlignment w:val="baseline"/>
              <w:rPr>
                <w:szCs w:val="24"/>
                <w:lang w:eastAsia="et-EE"/>
              </w:rPr>
            </w:pPr>
            <w:r w:rsidRPr="001927D6">
              <w:rPr>
                <w:szCs w:val="24"/>
                <w:lang w:eastAsia="et-EE"/>
              </w:rPr>
              <w:t>Sapiteede haigused, kht-ga </w:t>
            </w:r>
          </w:p>
        </w:tc>
        <w:tc>
          <w:tcPr>
            <w:tcW w:w="732" w:type="dxa"/>
            <w:vAlign w:val="center"/>
            <w:hideMark/>
          </w:tcPr>
          <w:p w14:paraId="031DA329" w14:textId="77777777" w:rsidR="00295BCD" w:rsidRPr="001927D6" w:rsidRDefault="00295BCD">
            <w:pPr>
              <w:spacing w:after="0" w:line="240" w:lineRule="auto"/>
              <w:jc w:val="center"/>
              <w:textAlignment w:val="baseline"/>
              <w:rPr>
                <w:szCs w:val="24"/>
                <w:lang w:eastAsia="et-EE"/>
              </w:rPr>
            </w:pPr>
            <w:r w:rsidRPr="001927D6">
              <w:rPr>
                <w:szCs w:val="24"/>
                <w:lang w:eastAsia="et-EE"/>
              </w:rPr>
              <w:t>207 </w:t>
            </w:r>
          </w:p>
        </w:tc>
        <w:tc>
          <w:tcPr>
            <w:tcW w:w="1243" w:type="dxa"/>
            <w:vAlign w:val="center"/>
          </w:tcPr>
          <w:p w14:paraId="23090628" w14:textId="77777777" w:rsidR="00295BCD" w:rsidRPr="001927D6" w:rsidRDefault="00295BCD">
            <w:pPr>
              <w:spacing w:after="0" w:line="240" w:lineRule="auto"/>
              <w:jc w:val="center"/>
              <w:textAlignment w:val="baseline"/>
              <w:rPr>
                <w:szCs w:val="24"/>
                <w:lang w:eastAsia="et-EE"/>
              </w:rPr>
            </w:pPr>
            <w:r w:rsidRPr="001927D6">
              <w:rPr>
                <w:color w:val="000000"/>
                <w:szCs w:val="24"/>
              </w:rPr>
              <w:t>2 373,31</w:t>
            </w:r>
          </w:p>
        </w:tc>
        <w:tc>
          <w:tcPr>
            <w:tcW w:w="1211" w:type="dxa"/>
            <w:vAlign w:val="center"/>
          </w:tcPr>
          <w:p w14:paraId="2C3DF118" w14:textId="77777777" w:rsidR="00295BCD" w:rsidRPr="001927D6" w:rsidRDefault="00295BCD">
            <w:pPr>
              <w:spacing w:after="0" w:line="240" w:lineRule="auto"/>
              <w:jc w:val="center"/>
              <w:textAlignment w:val="baseline"/>
              <w:rPr>
                <w:szCs w:val="24"/>
                <w:lang w:eastAsia="et-EE"/>
              </w:rPr>
            </w:pPr>
            <w:r w:rsidRPr="001927D6">
              <w:rPr>
                <w:color w:val="000000"/>
                <w:szCs w:val="24"/>
              </w:rPr>
              <w:t>559,30</w:t>
            </w:r>
          </w:p>
        </w:tc>
        <w:tc>
          <w:tcPr>
            <w:tcW w:w="1238" w:type="dxa"/>
            <w:vAlign w:val="center"/>
          </w:tcPr>
          <w:p w14:paraId="5F56F7EA" w14:textId="77777777" w:rsidR="00295BCD" w:rsidRPr="001927D6" w:rsidRDefault="00295BCD">
            <w:pPr>
              <w:spacing w:after="0" w:line="240" w:lineRule="auto"/>
              <w:jc w:val="center"/>
              <w:textAlignment w:val="baseline"/>
              <w:rPr>
                <w:szCs w:val="24"/>
                <w:lang w:eastAsia="et-EE"/>
              </w:rPr>
            </w:pPr>
            <w:r w:rsidRPr="001927D6">
              <w:rPr>
                <w:color w:val="000000"/>
                <w:szCs w:val="24"/>
              </w:rPr>
              <w:t>5 947,44</w:t>
            </w:r>
          </w:p>
        </w:tc>
      </w:tr>
      <w:tr w:rsidR="00295BCD" w:rsidRPr="001927D6" w14:paraId="51CFBF20" w14:textId="77777777" w:rsidTr="00295BCD">
        <w:trPr>
          <w:divId w:val="1316184749"/>
          <w:trHeight w:val="300"/>
        </w:trPr>
        <w:tc>
          <w:tcPr>
            <w:tcW w:w="4632" w:type="dxa"/>
            <w:vAlign w:val="bottom"/>
            <w:hideMark/>
          </w:tcPr>
          <w:p w14:paraId="7272964D" w14:textId="77777777" w:rsidR="00295BCD" w:rsidRPr="001927D6" w:rsidRDefault="00295BCD">
            <w:pPr>
              <w:spacing w:after="0" w:line="240" w:lineRule="auto"/>
              <w:textAlignment w:val="baseline"/>
              <w:rPr>
                <w:szCs w:val="24"/>
                <w:lang w:eastAsia="et-EE"/>
              </w:rPr>
            </w:pPr>
            <w:r w:rsidRPr="001927D6">
              <w:rPr>
                <w:szCs w:val="24"/>
                <w:lang w:eastAsia="et-EE"/>
              </w:rPr>
              <w:t>Sapiteede haigused, kht-ta </w:t>
            </w:r>
          </w:p>
        </w:tc>
        <w:tc>
          <w:tcPr>
            <w:tcW w:w="732" w:type="dxa"/>
            <w:vAlign w:val="center"/>
            <w:hideMark/>
          </w:tcPr>
          <w:p w14:paraId="30FCFCB6" w14:textId="77777777" w:rsidR="00295BCD" w:rsidRPr="001927D6" w:rsidRDefault="00295BCD">
            <w:pPr>
              <w:spacing w:after="0" w:line="240" w:lineRule="auto"/>
              <w:jc w:val="center"/>
              <w:textAlignment w:val="baseline"/>
              <w:rPr>
                <w:szCs w:val="24"/>
                <w:lang w:eastAsia="et-EE"/>
              </w:rPr>
            </w:pPr>
            <w:r w:rsidRPr="001927D6">
              <w:rPr>
                <w:szCs w:val="24"/>
                <w:lang w:eastAsia="et-EE"/>
              </w:rPr>
              <w:t>208 </w:t>
            </w:r>
          </w:p>
        </w:tc>
        <w:tc>
          <w:tcPr>
            <w:tcW w:w="1243" w:type="dxa"/>
            <w:vAlign w:val="center"/>
          </w:tcPr>
          <w:p w14:paraId="7477ABF4" w14:textId="77777777" w:rsidR="00295BCD" w:rsidRPr="001927D6" w:rsidRDefault="00295BCD">
            <w:pPr>
              <w:spacing w:after="0" w:line="240" w:lineRule="auto"/>
              <w:jc w:val="center"/>
              <w:textAlignment w:val="baseline"/>
              <w:rPr>
                <w:szCs w:val="24"/>
                <w:lang w:eastAsia="et-EE"/>
              </w:rPr>
            </w:pPr>
            <w:r w:rsidRPr="001927D6">
              <w:rPr>
                <w:color w:val="000000"/>
                <w:szCs w:val="24"/>
              </w:rPr>
              <w:t>1 386,69</w:t>
            </w:r>
          </w:p>
        </w:tc>
        <w:tc>
          <w:tcPr>
            <w:tcW w:w="1211" w:type="dxa"/>
            <w:vAlign w:val="center"/>
          </w:tcPr>
          <w:p w14:paraId="2E0CA7AD" w14:textId="77777777" w:rsidR="00295BCD" w:rsidRPr="001927D6" w:rsidRDefault="00295BCD">
            <w:pPr>
              <w:spacing w:after="0" w:line="240" w:lineRule="auto"/>
              <w:jc w:val="center"/>
              <w:textAlignment w:val="baseline"/>
              <w:rPr>
                <w:szCs w:val="24"/>
                <w:lang w:eastAsia="et-EE"/>
              </w:rPr>
            </w:pPr>
            <w:r w:rsidRPr="001927D6">
              <w:rPr>
                <w:color w:val="000000"/>
                <w:szCs w:val="24"/>
              </w:rPr>
              <w:t>227,37</w:t>
            </w:r>
          </w:p>
        </w:tc>
        <w:tc>
          <w:tcPr>
            <w:tcW w:w="1238" w:type="dxa"/>
            <w:vAlign w:val="center"/>
          </w:tcPr>
          <w:p w14:paraId="36897163" w14:textId="77777777" w:rsidR="00295BCD" w:rsidRPr="001927D6" w:rsidRDefault="00295BCD">
            <w:pPr>
              <w:spacing w:after="0" w:line="240" w:lineRule="auto"/>
              <w:jc w:val="center"/>
              <w:textAlignment w:val="baseline"/>
              <w:rPr>
                <w:szCs w:val="24"/>
                <w:lang w:eastAsia="et-EE"/>
              </w:rPr>
            </w:pPr>
            <w:r w:rsidRPr="001927D6">
              <w:rPr>
                <w:color w:val="000000"/>
                <w:szCs w:val="24"/>
              </w:rPr>
              <w:t>2 946,17</w:t>
            </w:r>
          </w:p>
        </w:tc>
      </w:tr>
      <w:tr w:rsidR="00295BCD" w:rsidRPr="001927D6" w14:paraId="190D1D27" w14:textId="77777777" w:rsidTr="00295BCD">
        <w:trPr>
          <w:divId w:val="1316184749"/>
          <w:trHeight w:val="300"/>
        </w:trPr>
        <w:tc>
          <w:tcPr>
            <w:tcW w:w="4632" w:type="dxa"/>
            <w:vAlign w:val="bottom"/>
            <w:hideMark/>
          </w:tcPr>
          <w:p w14:paraId="29E41880" w14:textId="77777777" w:rsidR="00295BCD" w:rsidRPr="001927D6" w:rsidRDefault="00295BCD">
            <w:pPr>
              <w:spacing w:after="0" w:line="240" w:lineRule="auto"/>
              <w:textAlignment w:val="baseline"/>
              <w:rPr>
                <w:szCs w:val="24"/>
                <w:lang w:eastAsia="et-EE"/>
              </w:rPr>
            </w:pPr>
            <w:r w:rsidRPr="001927D6">
              <w:rPr>
                <w:szCs w:val="24"/>
                <w:lang w:eastAsia="et-EE"/>
              </w:rPr>
              <w:t>Teisene operatsioon (sh endoproteesimine) puusal </w:t>
            </w:r>
          </w:p>
        </w:tc>
        <w:tc>
          <w:tcPr>
            <w:tcW w:w="732" w:type="dxa"/>
            <w:vAlign w:val="center"/>
            <w:hideMark/>
          </w:tcPr>
          <w:p w14:paraId="2E8CB33A" w14:textId="77777777" w:rsidR="00295BCD" w:rsidRPr="001927D6" w:rsidRDefault="00295BCD">
            <w:pPr>
              <w:spacing w:after="0" w:line="240" w:lineRule="auto"/>
              <w:jc w:val="center"/>
              <w:textAlignment w:val="baseline"/>
              <w:rPr>
                <w:szCs w:val="24"/>
                <w:lang w:eastAsia="et-EE"/>
              </w:rPr>
            </w:pPr>
            <w:r w:rsidRPr="001927D6">
              <w:rPr>
                <w:szCs w:val="24"/>
                <w:lang w:eastAsia="et-EE"/>
              </w:rPr>
              <w:t>209C </w:t>
            </w:r>
          </w:p>
        </w:tc>
        <w:tc>
          <w:tcPr>
            <w:tcW w:w="1243" w:type="dxa"/>
            <w:vAlign w:val="center"/>
          </w:tcPr>
          <w:p w14:paraId="66C491E8" w14:textId="77777777" w:rsidR="00295BCD" w:rsidRPr="001927D6" w:rsidRDefault="00295BCD">
            <w:pPr>
              <w:spacing w:after="0" w:line="240" w:lineRule="auto"/>
              <w:jc w:val="center"/>
              <w:textAlignment w:val="baseline"/>
              <w:rPr>
                <w:szCs w:val="24"/>
                <w:lang w:eastAsia="et-EE"/>
              </w:rPr>
            </w:pPr>
            <w:r w:rsidRPr="001927D6">
              <w:rPr>
                <w:color w:val="000000"/>
                <w:szCs w:val="24"/>
              </w:rPr>
              <w:t>8 719,89</w:t>
            </w:r>
          </w:p>
        </w:tc>
        <w:tc>
          <w:tcPr>
            <w:tcW w:w="1211" w:type="dxa"/>
            <w:vAlign w:val="center"/>
          </w:tcPr>
          <w:p w14:paraId="1E1E6952" w14:textId="77777777" w:rsidR="00295BCD" w:rsidRPr="001927D6" w:rsidRDefault="00295BCD">
            <w:pPr>
              <w:spacing w:after="0" w:line="240" w:lineRule="auto"/>
              <w:jc w:val="center"/>
              <w:textAlignment w:val="baseline"/>
              <w:rPr>
                <w:szCs w:val="24"/>
                <w:lang w:eastAsia="et-EE"/>
              </w:rPr>
            </w:pPr>
            <w:r w:rsidRPr="001927D6">
              <w:rPr>
                <w:color w:val="000000"/>
                <w:szCs w:val="24"/>
              </w:rPr>
              <w:t>5 355,99</w:t>
            </w:r>
          </w:p>
        </w:tc>
        <w:tc>
          <w:tcPr>
            <w:tcW w:w="1238" w:type="dxa"/>
            <w:vAlign w:val="center"/>
          </w:tcPr>
          <w:p w14:paraId="0FBB21D2" w14:textId="77777777" w:rsidR="00295BCD" w:rsidRPr="001927D6" w:rsidRDefault="00295BCD">
            <w:pPr>
              <w:spacing w:after="0" w:line="240" w:lineRule="auto"/>
              <w:jc w:val="center"/>
              <w:textAlignment w:val="baseline"/>
              <w:rPr>
                <w:szCs w:val="24"/>
                <w:lang w:eastAsia="et-EE"/>
              </w:rPr>
            </w:pPr>
            <w:r w:rsidRPr="001927D6">
              <w:rPr>
                <w:color w:val="000000"/>
                <w:szCs w:val="24"/>
              </w:rPr>
              <w:t>13 430,93</w:t>
            </w:r>
          </w:p>
        </w:tc>
      </w:tr>
      <w:tr w:rsidR="00295BCD" w:rsidRPr="001927D6" w14:paraId="277EEB72" w14:textId="77777777" w:rsidTr="00295BCD">
        <w:trPr>
          <w:divId w:val="1316184749"/>
          <w:trHeight w:val="300"/>
        </w:trPr>
        <w:tc>
          <w:tcPr>
            <w:tcW w:w="4632" w:type="dxa"/>
            <w:vAlign w:val="bottom"/>
            <w:hideMark/>
          </w:tcPr>
          <w:p w14:paraId="27242CEC" w14:textId="77777777" w:rsidR="00295BCD" w:rsidRPr="001927D6" w:rsidRDefault="00295BCD">
            <w:pPr>
              <w:spacing w:after="0" w:line="240" w:lineRule="auto"/>
              <w:textAlignment w:val="baseline"/>
              <w:rPr>
                <w:szCs w:val="24"/>
                <w:lang w:eastAsia="et-EE"/>
              </w:rPr>
            </w:pPr>
            <w:r w:rsidRPr="001927D6">
              <w:rPr>
                <w:szCs w:val="24"/>
                <w:lang w:eastAsia="et-EE"/>
              </w:rPr>
              <w:t>Esmane endoproteesimine puusal, traumajärgne või kht-ga </w:t>
            </w:r>
          </w:p>
        </w:tc>
        <w:tc>
          <w:tcPr>
            <w:tcW w:w="732" w:type="dxa"/>
            <w:vAlign w:val="center"/>
            <w:hideMark/>
          </w:tcPr>
          <w:p w14:paraId="31DC25B6" w14:textId="77777777" w:rsidR="00295BCD" w:rsidRPr="001927D6" w:rsidRDefault="00295BCD">
            <w:pPr>
              <w:spacing w:after="0" w:line="240" w:lineRule="auto"/>
              <w:jc w:val="center"/>
              <w:textAlignment w:val="baseline"/>
              <w:rPr>
                <w:szCs w:val="24"/>
                <w:lang w:eastAsia="et-EE"/>
              </w:rPr>
            </w:pPr>
            <w:r w:rsidRPr="001927D6">
              <w:rPr>
                <w:szCs w:val="24"/>
                <w:lang w:eastAsia="et-EE"/>
              </w:rPr>
              <w:t>209D </w:t>
            </w:r>
          </w:p>
        </w:tc>
        <w:tc>
          <w:tcPr>
            <w:tcW w:w="1243" w:type="dxa"/>
            <w:vAlign w:val="center"/>
          </w:tcPr>
          <w:p w14:paraId="659F97FF" w14:textId="77777777" w:rsidR="00295BCD" w:rsidRPr="001927D6" w:rsidRDefault="00295BCD">
            <w:pPr>
              <w:spacing w:after="0" w:line="240" w:lineRule="auto"/>
              <w:jc w:val="center"/>
              <w:textAlignment w:val="baseline"/>
              <w:rPr>
                <w:szCs w:val="24"/>
                <w:lang w:eastAsia="et-EE"/>
              </w:rPr>
            </w:pPr>
            <w:r w:rsidRPr="001927D6">
              <w:rPr>
                <w:color w:val="000000"/>
                <w:szCs w:val="24"/>
              </w:rPr>
              <w:t>5 409,96</w:t>
            </w:r>
          </w:p>
        </w:tc>
        <w:tc>
          <w:tcPr>
            <w:tcW w:w="1211" w:type="dxa"/>
            <w:vAlign w:val="center"/>
          </w:tcPr>
          <w:p w14:paraId="36970C85" w14:textId="77777777" w:rsidR="00295BCD" w:rsidRPr="001927D6" w:rsidRDefault="00295BCD">
            <w:pPr>
              <w:spacing w:after="0" w:line="240" w:lineRule="auto"/>
              <w:jc w:val="center"/>
              <w:textAlignment w:val="baseline"/>
              <w:rPr>
                <w:szCs w:val="24"/>
                <w:lang w:eastAsia="et-EE"/>
              </w:rPr>
            </w:pPr>
            <w:r w:rsidRPr="001927D6">
              <w:rPr>
                <w:color w:val="000000"/>
                <w:szCs w:val="24"/>
              </w:rPr>
              <w:t>4 240,33</w:t>
            </w:r>
          </w:p>
        </w:tc>
        <w:tc>
          <w:tcPr>
            <w:tcW w:w="1238" w:type="dxa"/>
            <w:vAlign w:val="center"/>
          </w:tcPr>
          <w:p w14:paraId="5BC81FF5" w14:textId="77777777" w:rsidR="00295BCD" w:rsidRPr="001927D6" w:rsidRDefault="00295BCD">
            <w:pPr>
              <w:spacing w:after="0" w:line="240" w:lineRule="auto"/>
              <w:jc w:val="center"/>
              <w:textAlignment w:val="baseline"/>
              <w:rPr>
                <w:szCs w:val="24"/>
                <w:lang w:eastAsia="et-EE"/>
              </w:rPr>
            </w:pPr>
            <w:r w:rsidRPr="001927D6">
              <w:rPr>
                <w:color w:val="000000"/>
                <w:szCs w:val="24"/>
              </w:rPr>
              <w:t>7 200,94</w:t>
            </w:r>
          </w:p>
        </w:tc>
      </w:tr>
      <w:tr w:rsidR="00295BCD" w:rsidRPr="001927D6" w14:paraId="235EF2C2" w14:textId="77777777" w:rsidTr="00295BCD">
        <w:trPr>
          <w:divId w:val="1316184749"/>
          <w:trHeight w:val="300"/>
        </w:trPr>
        <w:tc>
          <w:tcPr>
            <w:tcW w:w="4632" w:type="dxa"/>
            <w:vAlign w:val="bottom"/>
            <w:hideMark/>
          </w:tcPr>
          <w:p w14:paraId="4B1B4E67" w14:textId="77777777" w:rsidR="00295BCD" w:rsidRPr="001927D6" w:rsidRDefault="00295BCD">
            <w:pPr>
              <w:spacing w:after="0" w:line="240" w:lineRule="auto"/>
              <w:textAlignment w:val="baseline"/>
              <w:rPr>
                <w:szCs w:val="24"/>
                <w:lang w:eastAsia="et-EE"/>
              </w:rPr>
            </w:pPr>
            <w:r w:rsidRPr="001927D6">
              <w:rPr>
                <w:szCs w:val="24"/>
                <w:lang w:eastAsia="et-EE"/>
              </w:rPr>
              <w:t>Esmane endoproteesimine puusal, kht-ta </w:t>
            </w:r>
          </w:p>
        </w:tc>
        <w:tc>
          <w:tcPr>
            <w:tcW w:w="732" w:type="dxa"/>
            <w:vAlign w:val="center"/>
            <w:hideMark/>
          </w:tcPr>
          <w:p w14:paraId="719BA506" w14:textId="77777777" w:rsidR="00295BCD" w:rsidRPr="001927D6" w:rsidRDefault="00295BCD">
            <w:pPr>
              <w:spacing w:after="0" w:line="240" w:lineRule="auto"/>
              <w:jc w:val="center"/>
              <w:textAlignment w:val="baseline"/>
              <w:rPr>
                <w:szCs w:val="24"/>
                <w:lang w:eastAsia="et-EE"/>
              </w:rPr>
            </w:pPr>
            <w:r w:rsidRPr="001927D6">
              <w:rPr>
                <w:szCs w:val="24"/>
                <w:lang w:eastAsia="et-EE"/>
              </w:rPr>
              <w:t>209E </w:t>
            </w:r>
          </w:p>
        </w:tc>
        <w:tc>
          <w:tcPr>
            <w:tcW w:w="1243" w:type="dxa"/>
            <w:vAlign w:val="center"/>
          </w:tcPr>
          <w:p w14:paraId="7B16CEB0" w14:textId="77777777" w:rsidR="00295BCD" w:rsidRPr="001927D6" w:rsidRDefault="00295BCD">
            <w:pPr>
              <w:spacing w:after="0" w:line="240" w:lineRule="auto"/>
              <w:jc w:val="center"/>
              <w:textAlignment w:val="baseline"/>
              <w:rPr>
                <w:szCs w:val="24"/>
                <w:lang w:eastAsia="et-EE"/>
              </w:rPr>
            </w:pPr>
            <w:r w:rsidRPr="001927D6">
              <w:rPr>
                <w:color w:val="000000"/>
                <w:szCs w:val="24"/>
              </w:rPr>
              <w:t>5 174,28</w:t>
            </w:r>
          </w:p>
        </w:tc>
        <w:tc>
          <w:tcPr>
            <w:tcW w:w="1211" w:type="dxa"/>
            <w:vAlign w:val="center"/>
          </w:tcPr>
          <w:p w14:paraId="35042B5A" w14:textId="77777777" w:rsidR="00295BCD" w:rsidRPr="001927D6" w:rsidRDefault="00295BCD">
            <w:pPr>
              <w:spacing w:after="0" w:line="240" w:lineRule="auto"/>
              <w:jc w:val="center"/>
              <w:textAlignment w:val="baseline"/>
              <w:rPr>
                <w:szCs w:val="24"/>
                <w:lang w:eastAsia="et-EE"/>
              </w:rPr>
            </w:pPr>
            <w:r w:rsidRPr="001927D6">
              <w:rPr>
                <w:color w:val="000000"/>
                <w:szCs w:val="24"/>
              </w:rPr>
              <w:t>4 592,35</w:t>
            </w:r>
          </w:p>
        </w:tc>
        <w:tc>
          <w:tcPr>
            <w:tcW w:w="1238" w:type="dxa"/>
            <w:vAlign w:val="center"/>
          </w:tcPr>
          <w:p w14:paraId="7BFFE772" w14:textId="77777777" w:rsidR="00295BCD" w:rsidRPr="001927D6" w:rsidRDefault="00295BCD">
            <w:pPr>
              <w:spacing w:after="0" w:line="240" w:lineRule="auto"/>
              <w:jc w:val="center"/>
              <w:textAlignment w:val="baseline"/>
              <w:rPr>
                <w:szCs w:val="24"/>
                <w:lang w:eastAsia="et-EE"/>
              </w:rPr>
            </w:pPr>
            <w:r w:rsidRPr="001927D6">
              <w:rPr>
                <w:color w:val="000000"/>
                <w:szCs w:val="24"/>
              </w:rPr>
              <w:t>5 927,27</w:t>
            </w:r>
          </w:p>
        </w:tc>
      </w:tr>
      <w:tr w:rsidR="00295BCD" w:rsidRPr="001927D6" w14:paraId="297E20EA" w14:textId="77777777" w:rsidTr="00295BCD">
        <w:trPr>
          <w:divId w:val="1316184749"/>
          <w:trHeight w:val="300"/>
        </w:trPr>
        <w:tc>
          <w:tcPr>
            <w:tcW w:w="4632" w:type="dxa"/>
            <w:vAlign w:val="bottom"/>
            <w:hideMark/>
          </w:tcPr>
          <w:p w14:paraId="0C93B726" w14:textId="77777777" w:rsidR="00295BCD" w:rsidRPr="001927D6" w:rsidRDefault="00295BCD">
            <w:pPr>
              <w:spacing w:after="0" w:line="240" w:lineRule="auto"/>
              <w:textAlignment w:val="baseline"/>
              <w:rPr>
                <w:szCs w:val="24"/>
                <w:lang w:eastAsia="et-EE"/>
              </w:rPr>
            </w:pPr>
            <w:r w:rsidRPr="001927D6">
              <w:rPr>
                <w:szCs w:val="24"/>
                <w:lang w:eastAsia="et-EE"/>
              </w:rPr>
              <w:t>Teisene operatsioon (sh endoproteesimine) põlvel/pahkluul </w:t>
            </w:r>
          </w:p>
        </w:tc>
        <w:tc>
          <w:tcPr>
            <w:tcW w:w="732" w:type="dxa"/>
            <w:vAlign w:val="center"/>
            <w:hideMark/>
          </w:tcPr>
          <w:p w14:paraId="19E5E8E6" w14:textId="77777777" w:rsidR="00295BCD" w:rsidRPr="001927D6" w:rsidRDefault="00295BCD">
            <w:pPr>
              <w:spacing w:after="0" w:line="240" w:lineRule="auto"/>
              <w:jc w:val="center"/>
              <w:textAlignment w:val="baseline"/>
              <w:rPr>
                <w:szCs w:val="24"/>
                <w:lang w:eastAsia="et-EE"/>
              </w:rPr>
            </w:pPr>
            <w:r w:rsidRPr="001927D6">
              <w:rPr>
                <w:szCs w:val="24"/>
                <w:lang w:eastAsia="et-EE"/>
              </w:rPr>
              <w:t>209F </w:t>
            </w:r>
          </w:p>
        </w:tc>
        <w:tc>
          <w:tcPr>
            <w:tcW w:w="1243" w:type="dxa"/>
            <w:vAlign w:val="center"/>
          </w:tcPr>
          <w:p w14:paraId="24248CF5" w14:textId="77777777" w:rsidR="00295BCD" w:rsidRPr="001927D6" w:rsidRDefault="00295BCD">
            <w:pPr>
              <w:spacing w:after="0" w:line="240" w:lineRule="auto"/>
              <w:jc w:val="center"/>
              <w:textAlignment w:val="baseline"/>
              <w:rPr>
                <w:szCs w:val="24"/>
                <w:lang w:eastAsia="et-EE"/>
              </w:rPr>
            </w:pPr>
            <w:r w:rsidRPr="001927D6">
              <w:rPr>
                <w:color w:val="000000"/>
                <w:szCs w:val="24"/>
              </w:rPr>
              <w:t>9 309,61</w:t>
            </w:r>
          </w:p>
        </w:tc>
        <w:tc>
          <w:tcPr>
            <w:tcW w:w="1211" w:type="dxa"/>
            <w:vAlign w:val="center"/>
          </w:tcPr>
          <w:p w14:paraId="29405ED5" w14:textId="77777777" w:rsidR="00295BCD" w:rsidRPr="001927D6" w:rsidRDefault="00295BCD">
            <w:pPr>
              <w:spacing w:after="0" w:line="240" w:lineRule="auto"/>
              <w:jc w:val="center"/>
              <w:textAlignment w:val="baseline"/>
              <w:rPr>
                <w:szCs w:val="24"/>
                <w:lang w:eastAsia="et-EE"/>
              </w:rPr>
            </w:pPr>
            <w:r w:rsidRPr="001927D6">
              <w:rPr>
                <w:color w:val="000000"/>
                <w:szCs w:val="24"/>
              </w:rPr>
              <w:t>4 042,98</w:t>
            </w:r>
          </w:p>
        </w:tc>
        <w:tc>
          <w:tcPr>
            <w:tcW w:w="1238" w:type="dxa"/>
            <w:vAlign w:val="center"/>
          </w:tcPr>
          <w:p w14:paraId="2582E454" w14:textId="77777777" w:rsidR="00295BCD" w:rsidRPr="001927D6" w:rsidRDefault="00295BCD">
            <w:pPr>
              <w:spacing w:after="0" w:line="240" w:lineRule="auto"/>
              <w:jc w:val="center"/>
              <w:textAlignment w:val="baseline"/>
              <w:rPr>
                <w:szCs w:val="24"/>
                <w:lang w:eastAsia="et-EE"/>
              </w:rPr>
            </w:pPr>
            <w:r w:rsidRPr="001927D6">
              <w:rPr>
                <w:color w:val="000000"/>
                <w:szCs w:val="24"/>
              </w:rPr>
              <w:t>14 822,05</w:t>
            </w:r>
          </w:p>
        </w:tc>
      </w:tr>
      <w:tr w:rsidR="00295BCD" w:rsidRPr="001927D6" w14:paraId="6EA19C12" w14:textId="77777777" w:rsidTr="00295BCD">
        <w:trPr>
          <w:divId w:val="1316184749"/>
          <w:trHeight w:val="300"/>
        </w:trPr>
        <w:tc>
          <w:tcPr>
            <w:tcW w:w="4632" w:type="dxa"/>
            <w:vAlign w:val="bottom"/>
            <w:hideMark/>
          </w:tcPr>
          <w:p w14:paraId="66C185E6" w14:textId="77777777" w:rsidR="00295BCD" w:rsidRPr="001927D6" w:rsidRDefault="00295BCD">
            <w:pPr>
              <w:spacing w:after="0" w:line="240" w:lineRule="auto"/>
              <w:textAlignment w:val="baseline"/>
              <w:rPr>
                <w:szCs w:val="24"/>
                <w:lang w:eastAsia="et-EE"/>
              </w:rPr>
            </w:pPr>
            <w:r w:rsidRPr="001927D6">
              <w:rPr>
                <w:szCs w:val="24"/>
                <w:lang w:eastAsia="et-EE"/>
              </w:rPr>
              <w:t>Esmane operatsioon (sh endoproteesimine) põlvel/pahkluul </w:t>
            </w:r>
          </w:p>
        </w:tc>
        <w:tc>
          <w:tcPr>
            <w:tcW w:w="732" w:type="dxa"/>
            <w:vAlign w:val="center"/>
            <w:hideMark/>
          </w:tcPr>
          <w:p w14:paraId="293AC10B" w14:textId="77777777" w:rsidR="00295BCD" w:rsidRPr="001927D6" w:rsidRDefault="00295BCD">
            <w:pPr>
              <w:spacing w:after="0" w:line="240" w:lineRule="auto"/>
              <w:jc w:val="center"/>
              <w:textAlignment w:val="baseline"/>
              <w:rPr>
                <w:szCs w:val="24"/>
                <w:lang w:eastAsia="et-EE"/>
              </w:rPr>
            </w:pPr>
            <w:r w:rsidRPr="001927D6">
              <w:rPr>
                <w:szCs w:val="24"/>
                <w:lang w:eastAsia="et-EE"/>
              </w:rPr>
              <w:t>209G </w:t>
            </w:r>
          </w:p>
        </w:tc>
        <w:tc>
          <w:tcPr>
            <w:tcW w:w="1243" w:type="dxa"/>
            <w:vAlign w:val="center"/>
          </w:tcPr>
          <w:p w14:paraId="4E0C7978" w14:textId="77777777" w:rsidR="00295BCD" w:rsidRPr="001927D6" w:rsidRDefault="00295BCD">
            <w:pPr>
              <w:spacing w:after="0" w:line="240" w:lineRule="auto"/>
              <w:jc w:val="center"/>
              <w:textAlignment w:val="baseline"/>
              <w:rPr>
                <w:szCs w:val="24"/>
                <w:lang w:eastAsia="et-EE"/>
              </w:rPr>
            </w:pPr>
            <w:r w:rsidRPr="001927D6">
              <w:rPr>
                <w:color w:val="000000"/>
                <w:szCs w:val="24"/>
              </w:rPr>
              <w:t>5 679,03</w:t>
            </w:r>
          </w:p>
        </w:tc>
        <w:tc>
          <w:tcPr>
            <w:tcW w:w="1211" w:type="dxa"/>
            <w:vAlign w:val="center"/>
          </w:tcPr>
          <w:p w14:paraId="4F9CCC75" w14:textId="77777777" w:rsidR="00295BCD" w:rsidRPr="001927D6" w:rsidRDefault="00295BCD">
            <w:pPr>
              <w:spacing w:after="0" w:line="240" w:lineRule="auto"/>
              <w:jc w:val="center"/>
              <w:textAlignment w:val="baseline"/>
              <w:rPr>
                <w:szCs w:val="24"/>
                <w:lang w:eastAsia="et-EE"/>
              </w:rPr>
            </w:pPr>
            <w:r w:rsidRPr="001927D6">
              <w:rPr>
                <w:color w:val="000000"/>
                <w:szCs w:val="24"/>
              </w:rPr>
              <w:t>5 017,25</w:t>
            </w:r>
          </w:p>
        </w:tc>
        <w:tc>
          <w:tcPr>
            <w:tcW w:w="1238" w:type="dxa"/>
            <w:vAlign w:val="center"/>
          </w:tcPr>
          <w:p w14:paraId="4D5C7281" w14:textId="77777777" w:rsidR="00295BCD" w:rsidRPr="001927D6" w:rsidRDefault="00295BCD">
            <w:pPr>
              <w:spacing w:after="0" w:line="240" w:lineRule="auto"/>
              <w:jc w:val="center"/>
              <w:textAlignment w:val="baseline"/>
              <w:rPr>
                <w:szCs w:val="24"/>
                <w:lang w:eastAsia="et-EE"/>
              </w:rPr>
            </w:pPr>
            <w:r w:rsidRPr="001927D6">
              <w:rPr>
                <w:color w:val="000000"/>
                <w:szCs w:val="24"/>
              </w:rPr>
              <w:t>6 431,74</w:t>
            </w:r>
          </w:p>
        </w:tc>
      </w:tr>
      <w:tr w:rsidR="00295BCD" w:rsidRPr="001927D6" w14:paraId="3477D025" w14:textId="77777777" w:rsidTr="00295BCD">
        <w:trPr>
          <w:divId w:val="1316184749"/>
          <w:trHeight w:val="300"/>
        </w:trPr>
        <w:tc>
          <w:tcPr>
            <w:tcW w:w="4632" w:type="dxa"/>
            <w:vAlign w:val="bottom"/>
            <w:hideMark/>
          </w:tcPr>
          <w:p w14:paraId="48ED5D3E" w14:textId="77777777" w:rsidR="00295BCD" w:rsidRPr="001927D6" w:rsidRDefault="00295BCD">
            <w:pPr>
              <w:spacing w:after="0" w:line="240" w:lineRule="auto"/>
              <w:textAlignment w:val="baseline"/>
              <w:rPr>
                <w:szCs w:val="24"/>
                <w:lang w:eastAsia="et-EE"/>
              </w:rPr>
            </w:pPr>
            <w:r w:rsidRPr="001927D6">
              <w:rPr>
                <w:szCs w:val="24"/>
                <w:lang w:eastAsia="et-EE"/>
              </w:rPr>
              <w:t>Alajäseme ja selle suurte liigeste esmane proteesimine, lühike ravi </w:t>
            </w:r>
          </w:p>
        </w:tc>
        <w:tc>
          <w:tcPr>
            <w:tcW w:w="732" w:type="dxa"/>
            <w:vAlign w:val="center"/>
            <w:hideMark/>
          </w:tcPr>
          <w:p w14:paraId="551EF35B" w14:textId="77777777" w:rsidR="00295BCD" w:rsidRPr="001927D6" w:rsidRDefault="00295BCD">
            <w:pPr>
              <w:spacing w:after="0" w:line="240" w:lineRule="auto"/>
              <w:jc w:val="center"/>
              <w:textAlignment w:val="baseline"/>
              <w:rPr>
                <w:szCs w:val="24"/>
                <w:lang w:eastAsia="et-EE"/>
              </w:rPr>
            </w:pPr>
            <w:r w:rsidRPr="001927D6">
              <w:rPr>
                <w:szCs w:val="24"/>
                <w:lang w:eastAsia="et-EE"/>
              </w:rPr>
              <w:t>209O </w:t>
            </w:r>
          </w:p>
        </w:tc>
        <w:tc>
          <w:tcPr>
            <w:tcW w:w="1243" w:type="dxa"/>
            <w:vAlign w:val="center"/>
          </w:tcPr>
          <w:p w14:paraId="1F6AD01D" w14:textId="77777777" w:rsidR="00295BCD" w:rsidRPr="001927D6" w:rsidRDefault="00295BCD">
            <w:pPr>
              <w:spacing w:after="0" w:line="240" w:lineRule="auto"/>
              <w:jc w:val="center"/>
              <w:textAlignment w:val="baseline"/>
              <w:rPr>
                <w:szCs w:val="24"/>
                <w:lang w:eastAsia="et-EE"/>
              </w:rPr>
            </w:pPr>
            <w:r w:rsidRPr="001927D6">
              <w:rPr>
                <w:color w:val="000000"/>
                <w:szCs w:val="24"/>
              </w:rPr>
              <w:t>729,66</w:t>
            </w:r>
          </w:p>
        </w:tc>
        <w:tc>
          <w:tcPr>
            <w:tcW w:w="1211" w:type="dxa"/>
            <w:vAlign w:val="center"/>
          </w:tcPr>
          <w:p w14:paraId="5FBEAB25" w14:textId="77777777" w:rsidR="00295BCD" w:rsidRPr="001927D6" w:rsidRDefault="00295BCD">
            <w:pPr>
              <w:spacing w:after="0" w:line="240" w:lineRule="auto"/>
              <w:jc w:val="center"/>
              <w:textAlignment w:val="baseline"/>
              <w:rPr>
                <w:szCs w:val="24"/>
                <w:lang w:eastAsia="et-EE"/>
              </w:rPr>
            </w:pPr>
            <w:r w:rsidRPr="001927D6">
              <w:rPr>
                <w:color w:val="000000"/>
                <w:szCs w:val="24"/>
              </w:rPr>
              <w:t>575,30</w:t>
            </w:r>
          </w:p>
        </w:tc>
        <w:tc>
          <w:tcPr>
            <w:tcW w:w="1238" w:type="dxa"/>
            <w:vAlign w:val="center"/>
          </w:tcPr>
          <w:p w14:paraId="30B896A4" w14:textId="77777777" w:rsidR="00295BCD" w:rsidRPr="001927D6" w:rsidRDefault="00295BCD">
            <w:pPr>
              <w:spacing w:after="0" w:line="240" w:lineRule="auto"/>
              <w:jc w:val="center"/>
              <w:textAlignment w:val="baseline"/>
              <w:rPr>
                <w:szCs w:val="24"/>
                <w:lang w:eastAsia="et-EE"/>
              </w:rPr>
            </w:pPr>
            <w:r w:rsidRPr="001927D6">
              <w:rPr>
                <w:color w:val="000000"/>
                <w:szCs w:val="24"/>
              </w:rPr>
              <w:t>1 899,43</w:t>
            </w:r>
          </w:p>
        </w:tc>
      </w:tr>
      <w:tr w:rsidR="00295BCD" w:rsidRPr="001927D6" w14:paraId="50E9D9E3" w14:textId="77777777" w:rsidTr="00295BCD">
        <w:trPr>
          <w:divId w:val="1316184749"/>
          <w:trHeight w:val="300"/>
        </w:trPr>
        <w:tc>
          <w:tcPr>
            <w:tcW w:w="4632" w:type="dxa"/>
            <w:vAlign w:val="bottom"/>
            <w:hideMark/>
          </w:tcPr>
          <w:p w14:paraId="7378E89D" w14:textId="77777777" w:rsidR="00295BCD" w:rsidRPr="001927D6" w:rsidRDefault="00295BCD">
            <w:pPr>
              <w:spacing w:after="0" w:line="240" w:lineRule="auto"/>
              <w:textAlignment w:val="baseline"/>
              <w:rPr>
                <w:szCs w:val="24"/>
                <w:lang w:eastAsia="et-EE"/>
              </w:rPr>
            </w:pPr>
            <w:r w:rsidRPr="001927D6">
              <w:rPr>
                <w:szCs w:val="24"/>
                <w:lang w:eastAsia="et-EE"/>
              </w:rPr>
              <w:t>Vaagna, puusa ja reieluu traumaga seotud suured operatsioonid, vanus &gt; 17, kht-ga </w:t>
            </w:r>
          </w:p>
        </w:tc>
        <w:tc>
          <w:tcPr>
            <w:tcW w:w="732" w:type="dxa"/>
            <w:vAlign w:val="center"/>
            <w:hideMark/>
          </w:tcPr>
          <w:p w14:paraId="0080D2B0" w14:textId="77777777" w:rsidR="00295BCD" w:rsidRPr="001927D6" w:rsidRDefault="00295BCD">
            <w:pPr>
              <w:spacing w:after="0" w:line="240" w:lineRule="auto"/>
              <w:jc w:val="center"/>
              <w:textAlignment w:val="baseline"/>
              <w:rPr>
                <w:szCs w:val="24"/>
                <w:lang w:eastAsia="et-EE"/>
              </w:rPr>
            </w:pPr>
            <w:r w:rsidRPr="001927D6">
              <w:rPr>
                <w:szCs w:val="24"/>
                <w:lang w:eastAsia="et-EE"/>
              </w:rPr>
              <w:t>210A </w:t>
            </w:r>
          </w:p>
        </w:tc>
        <w:tc>
          <w:tcPr>
            <w:tcW w:w="1243" w:type="dxa"/>
            <w:vAlign w:val="center"/>
          </w:tcPr>
          <w:p w14:paraId="691F62F5" w14:textId="77777777" w:rsidR="00295BCD" w:rsidRPr="001927D6" w:rsidRDefault="00295BCD">
            <w:pPr>
              <w:spacing w:after="0" w:line="240" w:lineRule="auto"/>
              <w:jc w:val="center"/>
              <w:textAlignment w:val="baseline"/>
              <w:rPr>
                <w:szCs w:val="24"/>
                <w:lang w:eastAsia="et-EE"/>
              </w:rPr>
            </w:pPr>
            <w:r w:rsidRPr="001927D6">
              <w:rPr>
                <w:color w:val="000000"/>
                <w:szCs w:val="24"/>
              </w:rPr>
              <w:t>9 445,48</w:t>
            </w:r>
          </w:p>
        </w:tc>
        <w:tc>
          <w:tcPr>
            <w:tcW w:w="1211" w:type="dxa"/>
            <w:vAlign w:val="center"/>
          </w:tcPr>
          <w:p w14:paraId="7424339C" w14:textId="77777777" w:rsidR="00295BCD" w:rsidRPr="001927D6" w:rsidRDefault="00295BCD">
            <w:pPr>
              <w:spacing w:after="0" w:line="240" w:lineRule="auto"/>
              <w:jc w:val="center"/>
              <w:textAlignment w:val="baseline"/>
              <w:rPr>
                <w:szCs w:val="24"/>
                <w:lang w:eastAsia="et-EE"/>
              </w:rPr>
            </w:pPr>
            <w:r w:rsidRPr="001927D6">
              <w:rPr>
                <w:color w:val="000000"/>
                <w:szCs w:val="24"/>
              </w:rPr>
              <w:t>4 530,09</w:t>
            </w:r>
          </w:p>
        </w:tc>
        <w:tc>
          <w:tcPr>
            <w:tcW w:w="1238" w:type="dxa"/>
            <w:vAlign w:val="center"/>
          </w:tcPr>
          <w:p w14:paraId="2BDCCE7A" w14:textId="77777777" w:rsidR="00295BCD" w:rsidRPr="001927D6" w:rsidRDefault="00295BCD">
            <w:pPr>
              <w:spacing w:after="0" w:line="240" w:lineRule="auto"/>
              <w:jc w:val="center"/>
              <w:textAlignment w:val="baseline"/>
              <w:rPr>
                <w:szCs w:val="24"/>
                <w:lang w:eastAsia="et-EE"/>
              </w:rPr>
            </w:pPr>
            <w:r w:rsidRPr="001927D6">
              <w:rPr>
                <w:color w:val="000000"/>
                <w:szCs w:val="24"/>
              </w:rPr>
              <w:t>23 010,95</w:t>
            </w:r>
          </w:p>
        </w:tc>
      </w:tr>
      <w:tr w:rsidR="00295BCD" w:rsidRPr="001927D6" w14:paraId="08DE35B9" w14:textId="77777777" w:rsidTr="00295BCD">
        <w:trPr>
          <w:divId w:val="1316184749"/>
          <w:trHeight w:val="300"/>
        </w:trPr>
        <w:tc>
          <w:tcPr>
            <w:tcW w:w="4632" w:type="dxa"/>
            <w:vAlign w:val="bottom"/>
            <w:hideMark/>
          </w:tcPr>
          <w:p w14:paraId="3658C2D1" w14:textId="77777777" w:rsidR="00295BCD" w:rsidRPr="001927D6" w:rsidRDefault="00295BCD">
            <w:pPr>
              <w:spacing w:after="0" w:line="240" w:lineRule="auto"/>
              <w:textAlignment w:val="baseline"/>
              <w:rPr>
                <w:szCs w:val="24"/>
                <w:lang w:eastAsia="et-EE"/>
              </w:rPr>
            </w:pPr>
            <w:r w:rsidRPr="001927D6">
              <w:rPr>
                <w:szCs w:val="24"/>
                <w:lang w:eastAsia="et-EE"/>
              </w:rPr>
              <w:t>Puusa ja reie operatsioonid, v.a suurtel liigestel, vanus &gt; 17, kht-ga </w:t>
            </w:r>
          </w:p>
        </w:tc>
        <w:tc>
          <w:tcPr>
            <w:tcW w:w="732" w:type="dxa"/>
            <w:vAlign w:val="center"/>
            <w:hideMark/>
          </w:tcPr>
          <w:p w14:paraId="06368E3E" w14:textId="77777777" w:rsidR="00295BCD" w:rsidRPr="001927D6" w:rsidRDefault="00295BCD">
            <w:pPr>
              <w:spacing w:after="0" w:line="240" w:lineRule="auto"/>
              <w:jc w:val="center"/>
              <w:textAlignment w:val="baseline"/>
              <w:rPr>
                <w:szCs w:val="24"/>
                <w:lang w:eastAsia="et-EE"/>
              </w:rPr>
            </w:pPr>
            <w:r w:rsidRPr="001927D6">
              <w:rPr>
                <w:szCs w:val="24"/>
                <w:lang w:eastAsia="et-EE"/>
              </w:rPr>
              <w:t>210N </w:t>
            </w:r>
          </w:p>
        </w:tc>
        <w:tc>
          <w:tcPr>
            <w:tcW w:w="1243" w:type="dxa"/>
            <w:vAlign w:val="center"/>
          </w:tcPr>
          <w:p w14:paraId="75FB8A7B" w14:textId="77777777" w:rsidR="00295BCD" w:rsidRPr="001927D6" w:rsidRDefault="00295BCD">
            <w:pPr>
              <w:spacing w:after="0" w:line="240" w:lineRule="auto"/>
              <w:jc w:val="center"/>
              <w:textAlignment w:val="baseline"/>
              <w:rPr>
                <w:szCs w:val="24"/>
                <w:lang w:eastAsia="et-EE"/>
              </w:rPr>
            </w:pPr>
            <w:r w:rsidRPr="001927D6">
              <w:rPr>
                <w:color w:val="000000"/>
                <w:szCs w:val="24"/>
              </w:rPr>
              <w:t>5 081,22</w:t>
            </w:r>
          </w:p>
        </w:tc>
        <w:tc>
          <w:tcPr>
            <w:tcW w:w="1211" w:type="dxa"/>
            <w:vAlign w:val="center"/>
          </w:tcPr>
          <w:p w14:paraId="4DFC8619" w14:textId="77777777" w:rsidR="00295BCD" w:rsidRPr="001927D6" w:rsidRDefault="00295BCD">
            <w:pPr>
              <w:spacing w:after="0" w:line="240" w:lineRule="auto"/>
              <w:jc w:val="center"/>
              <w:textAlignment w:val="baseline"/>
              <w:rPr>
                <w:szCs w:val="24"/>
                <w:lang w:eastAsia="et-EE"/>
              </w:rPr>
            </w:pPr>
            <w:r w:rsidRPr="001927D6">
              <w:rPr>
                <w:color w:val="000000"/>
                <w:szCs w:val="24"/>
              </w:rPr>
              <w:t>2 041,36</w:t>
            </w:r>
          </w:p>
        </w:tc>
        <w:tc>
          <w:tcPr>
            <w:tcW w:w="1238" w:type="dxa"/>
            <w:vAlign w:val="center"/>
          </w:tcPr>
          <w:p w14:paraId="6BB138D5" w14:textId="77777777" w:rsidR="00295BCD" w:rsidRPr="001927D6" w:rsidRDefault="00295BCD">
            <w:pPr>
              <w:spacing w:after="0" w:line="240" w:lineRule="auto"/>
              <w:jc w:val="center"/>
              <w:textAlignment w:val="baseline"/>
              <w:rPr>
                <w:szCs w:val="24"/>
                <w:lang w:eastAsia="et-EE"/>
              </w:rPr>
            </w:pPr>
            <w:r w:rsidRPr="001927D6">
              <w:rPr>
                <w:color w:val="000000"/>
                <w:szCs w:val="24"/>
              </w:rPr>
              <w:t>8 694,48</w:t>
            </w:r>
          </w:p>
        </w:tc>
      </w:tr>
      <w:tr w:rsidR="00295BCD" w:rsidRPr="001927D6" w14:paraId="17A75B0A" w14:textId="77777777" w:rsidTr="00295BCD">
        <w:trPr>
          <w:divId w:val="1316184749"/>
          <w:trHeight w:val="300"/>
        </w:trPr>
        <w:tc>
          <w:tcPr>
            <w:tcW w:w="4632" w:type="dxa"/>
            <w:vAlign w:val="bottom"/>
            <w:hideMark/>
          </w:tcPr>
          <w:p w14:paraId="4FBFB4E0" w14:textId="77777777" w:rsidR="00295BCD" w:rsidRPr="001927D6" w:rsidRDefault="00295BCD">
            <w:pPr>
              <w:spacing w:after="0" w:line="240" w:lineRule="auto"/>
              <w:textAlignment w:val="baseline"/>
              <w:rPr>
                <w:szCs w:val="24"/>
                <w:lang w:eastAsia="et-EE"/>
              </w:rPr>
            </w:pPr>
            <w:r w:rsidRPr="001927D6">
              <w:rPr>
                <w:szCs w:val="24"/>
                <w:lang w:eastAsia="et-EE"/>
              </w:rPr>
              <w:t>Vaagna, puusa ja reieluu traumaga seotud suured operatsioonid, vanus &gt; 17, kht-ta </w:t>
            </w:r>
          </w:p>
        </w:tc>
        <w:tc>
          <w:tcPr>
            <w:tcW w:w="732" w:type="dxa"/>
            <w:vAlign w:val="center"/>
            <w:hideMark/>
          </w:tcPr>
          <w:p w14:paraId="088AD7D6" w14:textId="77777777" w:rsidR="00295BCD" w:rsidRPr="001927D6" w:rsidRDefault="00295BCD">
            <w:pPr>
              <w:spacing w:after="0" w:line="240" w:lineRule="auto"/>
              <w:jc w:val="center"/>
              <w:textAlignment w:val="baseline"/>
              <w:rPr>
                <w:szCs w:val="24"/>
                <w:lang w:eastAsia="et-EE"/>
              </w:rPr>
            </w:pPr>
            <w:r w:rsidRPr="001927D6">
              <w:rPr>
                <w:szCs w:val="24"/>
                <w:lang w:eastAsia="et-EE"/>
              </w:rPr>
              <w:t>211A </w:t>
            </w:r>
          </w:p>
        </w:tc>
        <w:tc>
          <w:tcPr>
            <w:tcW w:w="1243" w:type="dxa"/>
            <w:vAlign w:val="center"/>
          </w:tcPr>
          <w:p w14:paraId="5186D3C7" w14:textId="77777777" w:rsidR="00295BCD" w:rsidRPr="001927D6" w:rsidRDefault="00295BCD">
            <w:pPr>
              <w:spacing w:after="0" w:line="240" w:lineRule="auto"/>
              <w:jc w:val="center"/>
              <w:textAlignment w:val="baseline"/>
              <w:rPr>
                <w:szCs w:val="24"/>
                <w:lang w:eastAsia="et-EE"/>
              </w:rPr>
            </w:pPr>
            <w:r w:rsidRPr="001927D6">
              <w:rPr>
                <w:color w:val="000000"/>
                <w:szCs w:val="24"/>
              </w:rPr>
              <w:t>5 757,51</w:t>
            </w:r>
          </w:p>
        </w:tc>
        <w:tc>
          <w:tcPr>
            <w:tcW w:w="1211" w:type="dxa"/>
            <w:vAlign w:val="center"/>
          </w:tcPr>
          <w:p w14:paraId="3C776B7C" w14:textId="77777777" w:rsidR="00295BCD" w:rsidRPr="001927D6" w:rsidRDefault="00295BCD">
            <w:pPr>
              <w:spacing w:after="0" w:line="240" w:lineRule="auto"/>
              <w:jc w:val="center"/>
              <w:textAlignment w:val="baseline"/>
              <w:rPr>
                <w:szCs w:val="24"/>
                <w:lang w:eastAsia="et-EE"/>
              </w:rPr>
            </w:pPr>
            <w:r w:rsidRPr="001927D6">
              <w:rPr>
                <w:color w:val="000000"/>
                <w:szCs w:val="24"/>
              </w:rPr>
              <w:t>3 684,42</w:t>
            </w:r>
          </w:p>
        </w:tc>
        <w:tc>
          <w:tcPr>
            <w:tcW w:w="1238" w:type="dxa"/>
            <w:vAlign w:val="center"/>
          </w:tcPr>
          <w:p w14:paraId="4C6346FE" w14:textId="77777777" w:rsidR="00295BCD" w:rsidRPr="001927D6" w:rsidRDefault="00295BCD">
            <w:pPr>
              <w:spacing w:after="0" w:line="240" w:lineRule="auto"/>
              <w:jc w:val="center"/>
              <w:textAlignment w:val="baseline"/>
              <w:rPr>
                <w:szCs w:val="24"/>
                <w:lang w:eastAsia="et-EE"/>
              </w:rPr>
            </w:pPr>
            <w:r w:rsidRPr="001927D6">
              <w:rPr>
                <w:color w:val="000000"/>
                <w:szCs w:val="24"/>
              </w:rPr>
              <w:t>9 516,97</w:t>
            </w:r>
          </w:p>
        </w:tc>
      </w:tr>
      <w:tr w:rsidR="00295BCD" w:rsidRPr="001927D6" w14:paraId="15FC791B" w14:textId="77777777" w:rsidTr="00295BCD">
        <w:trPr>
          <w:divId w:val="1316184749"/>
          <w:trHeight w:val="300"/>
        </w:trPr>
        <w:tc>
          <w:tcPr>
            <w:tcW w:w="4632" w:type="dxa"/>
            <w:vAlign w:val="bottom"/>
            <w:hideMark/>
          </w:tcPr>
          <w:p w14:paraId="0A5C3D2B" w14:textId="77777777" w:rsidR="00295BCD" w:rsidRPr="001927D6" w:rsidRDefault="00295BCD">
            <w:pPr>
              <w:spacing w:after="0" w:line="240" w:lineRule="auto"/>
              <w:textAlignment w:val="baseline"/>
              <w:rPr>
                <w:szCs w:val="24"/>
                <w:lang w:eastAsia="et-EE"/>
              </w:rPr>
            </w:pPr>
            <w:r w:rsidRPr="001927D6">
              <w:rPr>
                <w:szCs w:val="24"/>
                <w:lang w:eastAsia="et-EE"/>
              </w:rPr>
              <w:t>Puusa ja reie operatsioonid, v.a suurtel liigestel, vanus &gt; 17, kht-ta </w:t>
            </w:r>
          </w:p>
        </w:tc>
        <w:tc>
          <w:tcPr>
            <w:tcW w:w="732" w:type="dxa"/>
            <w:vAlign w:val="center"/>
            <w:hideMark/>
          </w:tcPr>
          <w:p w14:paraId="0FA34662" w14:textId="77777777" w:rsidR="00295BCD" w:rsidRPr="001927D6" w:rsidRDefault="00295BCD">
            <w:pPr>
              <w:spacing w:after="0" w:line="240" w:lineRule="auto"/>
              <w:jc w:val="center"/>
              <w:textAlignment w:val="baseline"/>
              <w:rPr>
                <w:szCs w:val="24"/>
                <w:lang w:eastAsia="et-EE"/>
              </w:rPr>
            </w:pPr>
            <w:r w:rsidRPr="001927D6">
              <w:rPr>
                <w:szCs w:val="24"/>
                <w:lang w:eastAsia="et-EE"/>
              </w:rPr>
              <w:t>211N </w:t>
            </w:r>
          </w:p>
        </w:tc>
        <w:tc>
          <w:tcPr>
            <w:tcW w:w="1243" w:type="dxa"/>
            <w:vAlign w:val="center"/>
          </w:tcPr>
          <w:p w14:paraId="05CFD414" w14:textId="77777777" w:rsidR="00295BCD" w:rsidRPr="001927D6" w:rsidRDefault="00295BCD">
            <w:pPr>
              <w:spacing w:after="0" w:line="240" w:lineRule="auto"/>
              <w:jc w:val="center"/>
              <w:textAlignment w:val="baseline"/>
              <w:rPr>
                <w:szCs w:val="24"/>
                <w:lang w:eastAsia="et-EE"/>
              </w:rPr>
            </w:pPr>
            <w:r w:rsidRPr="001927D6">
              <w:rPr>
                <w:color w:val="000000"/>
                <w:szCs w:val="24"/>
              </w:rPr>
              <w:t>3 981,36</w:t>
            </w:r>
          </w:p>
        </w:tc>
        <w:tc>
          <w:tcPr>
            <w:tcW w:w="1211" w:type="dxa"/>
            <w:vAlign w:val="center"/>
          </w:tcPr>
          <w:p w14:paraId="1107B8C5" w14:textId="77777777" w:rsidR="00295BCD" w:rsidRPr="001927D6" w:rsidRDefault="00295BCD">
            <w:pPr>
              <w:spacing w:after="0" w:line="240" w:lineRule="auto"/>
              <w:jc w:val="center"/>
              <w:textAlignment w:val="baseline"/>
              <w:rPr>
                <w:szCs w:val="24"/>
                <w:lang w:eastAsia="et-EE"/>
              </w:rPr>
            </w:pPr>
            <w:r w:rsidRPr="001927D6">
              <w:rPr>
                <w:color w:val="000000"/>
                <w:szCs w:val="24"/>
              </w:rPr>
              <w:t>684,07</w:t>
            </w:r>
          </w:p>
        </w:tc>
        <w:tc>
          <w:tcPr>
            <w:tcW w:w="1238" w:type="dxa"/>
            <w:vAlign w:val="center"/>
          </w:tcPr>
          <w:p w14:paraId="70480533" w14:textId="77777777" w:rsidR="00295BCD" w:rsidRPr="001927D6" w:rsidRDefault="00295BCD">
            <w:pPr>
              <w:spacing w:after="0" w:line="240" w:lineRule="auto"/>
              <w:jc w:val="center"/>
              <w:textAlignment w:val="baseline"/>
              <w:rPr>
                <w:szCs w:val="24"/>
                <w:lang w:eastAsia="et-EE"/>
              </w:rPr>
            </w:pPr>
            <w:r w:rsidRPr="001927D6">
              <w:rPr>
                <w:color w:val="000000"/>
                <w:szCs w:val="24"/>
              </w:rPr>
              <w:t>5 674,33</w:t>
            </w:r>
          </w:p>
        </w:tc>
      </w:tr>
      <w:tr w:rsidR="00295BCD" w:rsidRPr="001927D6" w14:paraId="41EF3E88" w14:textId="77777777" w:rsidTr="00295BCD">
        <w:trPr>
          <w:divId w:val="1316184749"/>
          <w:trHeight w:val="300"/>
        </w:trPr>
        <w:tc>
          <w:tcPr>
            <w:tcW w:w="4632" w:type="dxa"/>
            <w:vAlign w:val="bottom"/>
            <w:hideMark/>
          </w:tcPr>
          <w:p w14:paraId="11BEB2CA"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Puusa ja reie operatsioonid, v.a suurtel liigestel, vanus 0–17 </w:t>
            </w:r>
          </w:p>
        </w:tc>
        <w:tc>
          <w:tcPr>
            <w:tcW w:w="732" w:type="dxa"/>
            <w:vAlign w:val="center"/>
            <w:hideMark/>
          </w:tcPr>
          <w:p w14:paraId="5BDDA8C7" w14:textId="77777777" w:rsidR="00295BCD" w:rsidRPr="001927D6" w:rsidRDefault="00295BCD">
            <w:pPr>
              <w:spacing w:after="0" w:line="240" w:lineRule="auto"/>
              <w:jc w:val="center"/>
              <w:textAlignment w:val="baseline"/>
              <w:rPr>
                <w:szCs w:val="24"/>
                <w:lang w:eastAsia="et-EE"/>
              </w:rPr>
            </w:pPr>
            <w:r w:rsidRPr="001927D6">
              <w:rPr>
                <w:szCs w:val="24"/>
                <w:lang w:eastAsia="et-EE"/>
              </w:rPr>
              <w:t>212 </w:t>
            </w:r>
          </w:p>
        </w:tc>
        <w:tc>
          <w:tcPr>
            <w:tcW w:w="1243" w:type="dxa"/>
            <w:vAlign w:val="center"/>
          </w:tcPr>
          <w:p w14:paraId="61A0B960" w14:textId="77777777" w:rsidR="00295BCD" w:rsidRPr="001927D6" w:rsidRDefault="00295BCD">
            <w:pPr>
              <w:spacing w:after="0" w:line="240" w:lineRule="auto"/>
              <w:jc w:val="center"/>
              <w:textAlignment w:val="baseline"/>
              <w:rPr>
                <w:szCs w:val="24"/>
                <w:lang w:eastAsia="et-EE"/>
              </w:rPr>
            </w:pPr>
            <w:r w:rsidRPr="001927D6">
              <w:rPr>
                <w:color w:val="000000"/>
                <w:szCs w:val="24"/>
              </w:rPr>
              <w:t>3 074,79</w:t>
            </w:r>
          </w:p>
        </w:tc>
        <w:tc>
          <w:tcPr>
            <w:tcW w:w="1211" w:type="dxa"/>
            <w:vAlign w:val="center"/>
          </w:tcPr>
          <w:p w14:paraId="6DF484F8" w14:textId="77777777" w:rsidR="00295BCD" w:rsidRPr="001927D6" w:rsidRDefault="00295BCD">
            <w:pPr>
              <w:spacing w:after="0" w:line="240" w:lineRule="auto"/>
              <w:jc w:val="center"/>
              <w:textAlignment w:val="baseline"/>
              <w:rPr>
                <w:szCs w:val="24"/>
                <w:lang w:eastAsia="et-EE"/>
              </w:rPr>
            </w:pPr>
            <w:r w:rsidRPr="001927D6">
              <w:rPr>
                <w:color w:val="000000"/>
                <w:szCs w:val="24"/>
              </w:rPr>
              <w:t>995,78</w:t>
            </w:r>
          </w:p>
        </w:tc>
        <w:tc>
          <w:tcPr>
            <w:tcW w:w="1238" w:type="dxa"/>
            <w:vAlign w:val="center"/>
          </w:tcPr>
          <w:p w14:paraId="589E09EA" w14:textId="77777777" w:rsidR="00295BCD" w:rsidRPr="001927D6" w:rsidRDefault="00295BCD">
            <w:pPr>
              <w:spacing w:after="0" w:line="240" w:lineRule="auto"/>
              <w:jc w:val="center"/>
              <w:textAlignment w:val="baseline"/>
              <w:rPr>
                <w:szCs w:val="24"/>
                <w:lang w:eastAsia="et-EE"/>
              </w:rPr>
            </w:pPr>
            <w:r w:rsidRPr="001927D6">
              <w:rPr>
                <w:color w:val="000000"/>
                <w:szCs w:val="24"/>
              </w:rPr>
              <w:t>6 193,63</w:t>
            </w:r>
          </w:p>
        </w:tc>
      </w:tr>
      <w:tr w:rsidR="00295BCD" w:rsidRPr="001927D6" w14:paraId="76AF22B5" w14:textId="77777777" w:rsidTr="00295BCD">
        <w:trPr>
          <w:divId w:val="1316184749"/>
          <w:trHeight w:val="300"/>
        </w:trPr>
        <w:tc>
          <w:tcPr>
            <w:tcW w:w="4632" w:type="dxa"/>
            <w:vAlign w:val="bottom"/>
            <w:hideMark/>
          </w:tcPr>
          <w:p w14:paraId="123ED029" w14:textId="77777777" w:rsidR="00295BCD" w:rsidRPr="001927D6" w:rsidRDefault="00295BCD">
            <w:pPr>
              <w:spacing w:after="0" w:line="240" w:lineRule="auto"/>
              <w:textAlignment w:val="baseline"/>
              <w:rPr>
                <w:szCs w:val="24"/>
                <w:lang w:eastAsia="et-EE"/>
              </w:rPr>
            </w:pPr>
            <w:r w:rsidRPr="001927D6">
              <w:rPr>
                <w:szCs w:val="24"/>
                <w:lang w:eastAsia="et-EE"/>
              </w:rPr>
              <w:t>Puusa ja reie operatsioonid, v.a suurtel liigestel, lühike ravi </w:t>
            </w:r>
          </w:p>
        </w:tc>
        <w:tc>
          <w:tcPr>
            <w:tcW w:w="732" w:type="dxa"/>
            <w:vAlign w:val="center"/>
            <w:hideMark/>
          </w:tcPr>
          <w:p w14:paraId="0EC465D3" w14:textId="77777777" w:rsidR="00295BCD" w:rsidRPr="001927D6" w:rsidRDefault="00295BCD">
            <w:pPr>
              <w:spacing w:after="0" w:line="240" w:lineRule="auto"/>
              <w:jc w:val="center"/>
              <w:textAlignment w:val="baseline"/>
              <w:rPr>
                <w:szCs w:val="24"/>
                <w:lang w:eastAsia="et-EE"/>
              </w:rPr>
            </w:pPr>
            <w:r w:rsidRPr="001927D6">
              <w:rPr>
                <w:szCs w:val="24"/>
                <w:lang w:eastAsia="et-EE"/>
              </w:rPr>
              <w:t>212O </w:t>
            </w:r>
          </w:p>
        </w:tc>
        <w:tc>
          <w:tcPr>
            <w:tcW w:w="1243" w:type="dxa"/>
            <w:vAlign w:val="center"/>
          </w:tcPr>
          <w:p w14:paraId="1F831A95" w14:textId="77777777" w:rsidR="00295BCD" w:rsidRPr="001927D6" w:rsidRDefault="00295BCD">
            <w:pPr>
              <w:spacing w:after="0" w:line="240" w:lineRule="auto"/>
              <w:jc w:val="center"/>
              <w:textAlignment w:val="baseline"/>
              <w:rPr>
                <w:szCs w:val="24"/>
                <w:lang w:eastAsia="et-EE"/>
              </w:rPr>
            </w:pPr>
            <w:r w:rsidRPr="001927D6">
              <w:rPr>
                <w:color w:val="000000"/>
                <w:szCs w:val="24"/>
              </w:rPr>
              <w:t>1 302,99</w:t>
            </w:r>
          </w:p>
        </w:tc>
        <w:tc>
          <w:tcPr>
            <w:tcW w:w="1211" w:type="dxa"/>
            <w:vAlign w:val="center"/>
          </w:tcPr>
          <w:p w14:paraId="039F922F" w14:textId="77777777" w:rsidR="00295BCD" w:rsidRPr="001927D6" w:rsidRDefault="00295BCD">
            <w:pPr>
              <w:spacing w:after="0" w:line="240" w:lineRule="auto"/>
              <w:jc w:val="center"/>
              <w:textAlignment w:val="baseline"/>
              <w:rPr>
                <w:szCs w:val="24"/>
                <w:lang w:eastAsia="et-EE"/>
              </w:rPr>
            </w:pPr>
            <w:r w:rsidRPr="001927D6">
              <w:rPr>
                <w:color w:val="000000"/>
                <w:szCs w:val="24"/>
              </w:rPr>
              <w:t>553,67</w:t>
            </w:r>
          </w:p>
        </w:tc>
        <w:tc>
          <w:tcPr>
            <w:tcW w:w="1238" w:type="dxa"/>
            <w:vAlign w:val="center"/>
          </w:tcPr>
          <w:p w14:paraId="1BB7D690" w14:textId="77777777" w:rsidR="00295BCD" w:rsidRPr="001927D6" w:rsidRDefault="00295BCD">
            <w:pPr>
              <w:spacing w:after="0" w:line="240" w:lineRule="auto"/>
              <w:jc w:val="center"/>
              <w:textAlignment w:val="baseline"/>
              <w:rPr>
                <w:szCs w:val="24"/>
                <w:lang w:eastAsia="et-EE"/>
              </w:rPr>
            </w:pPr>
            <w:r w:rsidRPr="001927D6">
              <w:rPr>
                <w:color w:val="000000"/>
                <w:szCs w:val="24"/>
              </w:rPr>
              <w:t>2 356,88</w:t>
            </w:r>
          </w:p>
        </w:tc>
      </w:tr>
      <w:tr w:rsidR="00295BCD" w:rsidRPr="001927D6" w14:paraId="06DA7499" w14:textId="77777777" w:rsidTr="00295BCD">
        <w:trPr>
          <w:divId w:val="1316184749"/>
          <w:trHeight w:val="300"/>
        </w:trPr>
        <w:tc>
          <w:tcPr>
            <w:tcW w:w="4632" w:type="dxa"/>
            <w:vAlign w:val="bottom"/>
            <w:hideMark/>
          </w:tcPr>
          <w:p w14:paraId="37D37623" w14:textId="77777777" w:rsidR="00295BCD" w:rsidRPr="001927D6" w:rsidRDefault="00295BCD">
            <w:pPr>
              <w:spacing w:after="0" w:line="240" w:lineRule="auto"/>
              <w:textAlignment w:val="baseline"/>
              <w:rPr>
                <w:szCs w:val="24"/>
                <w:lang w:eastAsia="et-EE"/>
              </w:rPr>
            </w:pPr>
            <w:r w:rsidRPr="001927D6">
              <w:rPr>
                <w:szCs w:val="24"/>
                <w:lang w:eastAsia="et-EE"/>
              </w:rPr>
              <w:t>Amputatsioonid luulihaskonna- ja sidekoehaiguste korral </w:t>
            </w:r>
          </w:p>
        </w:tc>
        <w:tc>
          <w:tcPr>
            <w:tcW w:w="732" w:type="dxa"/>
            <w:vAlign w:val="center"/>
            <w:hideMark/>
          </w:tcPr>
          <w:p w14:paraId="4667E445" w14:textId="77777777" w:rsidR="00295BCD" w:rsidRPr="001927D6" w:rsidRDefault="00295BCD">
            <w:pPr>
              <w:spacing w:after="0" w:line="240" w:lineRule="auto"/>
              <w:jc w:val="center"/>
              <w:textAlignment w:val="baseline"/>
              <w:rPr>
                <w:szCs w:val="24"/>
                <w:lang w:eastAsia="et-EE"/>
              </w:rPr>
            </w:pPr>
            <w:r w:rsidRPr="001927D6">
              <w:rPr>
                <w:szCs w:val="24"/>
                <w:lang w:eastAsia="et-EE"/>
              </w:rPr>
              <w:t>213 </w:t>
            </w:r>
          </w:p>
        </w:tc>
        <w:tc>
          <w:tcPr>
            <w:tcW w:w="1243" w:type="dxa"/>
            <w:vAlign w:val="center"/>
          </w:tcPr>
          <w:p w14:paraId="1AAD16D1" w14:textId="77777777" w:rsidR="00295BCD" w:rsidRPr="001927D6" w:rsidRDefault="00295BCD">
            <w:pPr>
              <w:spacing w:after="0" w:line="240" w:lineRule="auto"/>
              <w:jc w:val="center"/>
              <w:textAlignment w:val="baseline"/>
              <w:rPr>
                <w:szCs w:val="24"/>
                <w:lang w:eastAsia="et-EE"/>
              </w:rPr>
            </w:pPr>
            <w:r w:rsidRPr="001927D6">
              <w:rPr>
                <w:color w:val="000000"/>
                <w:szCs w:val="24"/>
              </w:rPr>
              <w:t>4 877,58</w:t>
            </w:r>
          </w:p>
        </w:tc>
        <w:tc>
          <w:tcPr>
            <w:tcW w:w="1211" w:type="dxa"/>
            <w:vAlign w:val="center"/>
          </w:tcPr>
          <w:p w14:paraId="7D510B0A" w14:textId="77777777" w:rsidR="00295BCD" w:rsidRPr="001927D6" w:rsidRDefault="00295BCD">
            <w:pPr>
              <w:spacing w:after="0" w:line="240" w:lineRule="auto"/>
              <w:jc w:val="center"/>
              <w:textAlignment w:val="baseline"/>
              <w:rPr>
                <w:szCs w:val="24"/>
                <w:lang w:eastAsia="et-EE"/>
              </w:rPr>
            </w:pPr>
            <w:r w:rsidRPr="001927D6">
              <w:rPr>
                <w:color w:val="000000"/>
                <w:szCs w:val="24"/>
              </w:rPr>
              <w:t>1 214,07</w:t>
            </w:r>
          </w:p>
        </w:tc>
        <w:tc>
          <w:tcPr>
            <w:tcW w:w="1238" w:type="dxa"/>
            <w:vAlign w:val="center"/>
          </w:tcPr>
          <w:p w14:paraId="29218AE6" w14:textId="77777777" w:rsidR="00295BCD" w:rsidRPr="001927D6" w:rsidRDefault="00295BCD">
            <w:pPr>
              <w:spacing w:after="0" w:line="240" w:lineRule="auto"/>
              <w:jc w:val="center"/>
              <w:textAlignment w:val="baseline"/>
              <w:rPr>
                <w:szCs w:val="24"/>
                <w:lang w:eastAsia="et-EE"/>
              </w:rPr>
            </w:pPr>
            <w:r w:rsidRPr="001927D6">
              <w:rPr>
                <w:color w:val="000000"/>
                <w:szCs w:val="24"/>
              </w:rPr>
              <w:t>13 429,10</w:t>
            </w:r>
          </w:p>
        </w:tc>
      </w:tr>
      <w:tr w:rsidR="00295BCD" w:rsidRPr="001927D6" w14:paraId="75AF5F94" w14:textId="77777777" w:rsidTr="00295BCD">
        <w:trPr>
          <w:divId w:val="1316184749"/>
          <w:trHeight w:val="300"/>
        </w:trPr>
        <w:tc>
          <w:tcPr>
            <w:tcW w:w="4632" w:type="dxa"/>
            <w:vAlign w:val="bottom"/>
            <w:hideMark/>
          </w:tcPr>
          <w:p w14:paraId="05B7B94C" w14:textId="77777777" w:rsidR="00295BCD" w:rsidRPr="001927D6" w:rsidRDefault="00295BCD">
            <w:pPr>
              <w:spacing w:after="0" w:line="240" w:lineRule="auto"/>
              <w:textAlignment w:val="baseline"/>
              <w:rPr>
                <w:szCs w:val="24"/>
                <w:lang w:eastAsia="et-EE"/>
              </w:rPr>
            </w:pPr>
            <w:r w:rsidRPr="001927D6">
              <w:rPr>
                <w:szCs w:val="24"/>
                <w:lang w:eastAsia="et-EE"/>
              </w:rPr>
              <w:t>Amputatsioonid luulihaskonna- ja sidekoehaiguste korral, lühike ravi </w:t>
            </w:r>
          </w:p>
        </w:tc>
        <w:tc>
          <w:tcPr>
            <w:tcW w:w="732" w:type="dxa"/>
            <w:vAlign w:val="center"/>
            <w:hideMark/>
          </w:tcPr>
          <w:p w14:paraId="744C566C" w14:textId="77777777" w:rsidR="00295BCD" w:rsidRPr="001927D6" w:rsidRDefault="00295BCD">
            <w:pPr>
              <w:spacing w:after="0" w:line="240" w:lineRule="auto"/>
              <w:jc w:val="center"/>
              <w:textAlignment w:val="baseline"/>
              <w:rPr>
                <w:szCs w:val="24"/>
                <w:lang w:eastAsia="et-EE"/>
              </w:rPr>
            </w:pPr>
            <w:r w:rsidRPr="001927D6">
              <w:rPr>
                <w:szCs w:val="24"/>
                <w:lang w:eastAsia="et-EE"/>
              </w:rPr>
              <w:t>213O </w:t>
            </w:r>
          </w:p>
        </w:tc>
        <w:tc>
          <w:tcPr>
            <w:tcW w:w="1243" w:type="dxa"/>
            <w:vAlign w:val="center"/>
          </w:tcPr>
          <w:p w14:paraId="2F9C67D2" w14:textId="77777777" w:rsidR="00295BCD" w:rsidRPr="001927D6" w:rsidRDefault="00295BCD">
            <w:pPr>
              <w:spacing w:after="0" w:line="240" w:lineRule="auto"/>
              <w:jc w:val="center"/>
              <w:textAlignment w:val="baseline"/>
              <w:rPr>
                <w:szCs w:val="24"/>
                <w:lang w:eastAsia="et-EE"/>
              </w:rPr>
            </w:pPr>
            <w:r w:rsidRPr="001927D6">
              <w:rPr>
                <w:color w:val="000000"/>
                <w:szCs w:val="24"/>
              </w:rPr>
              <w:t>1 321,71</w:t>
            </w:r>
          </w:p>
        </w:tc>
        <w:tc>
          <w:tcPr>
            <w:tcW w:w="1211" w:type="dxa"/>
            <w:vAlign w:val="center"/>
          </w:tcPr>
          <w:p w14:paraId="1E479D10" w14:textId="77777777" w:rsidR="00295BCD" w:rsidRPr="001927D6" w:rsidRDefault="00295BCD">
            <w:pPr>
              <w:spacing w:after="0" w:line="240" w:lineRule="auto"/>
              <w:jc w:val="center"/>
              <w:textAlignment w:val="baseline"/>
              <w:rPr>
                <w:szCs w:val="24"/>
                <w:lang w:eastAsia="et-EE"/>
              </w:rPr>
            </w:pPr>
            <w:r w:rsidRPr="001927D6">
              <w:rPr>
                <w:color w:val="000000"/>
                <w:szCs w:val="24"/>
              </w:rPr>
              <w:t>846,67</w:t>
            </w:r>
          </w:p>
        </w:tc>
        <w:tc>
          <w:tcPr>
            <w:tcW w:w="1238" w:type="dxa"/>
            <w:vAlign w:val="center"/>
          </w:tcPr>
          <w:p w14:paraId="3C612403" w14:textId="77777777" w:rsidR="00295BCD" w:rsidRPr="001927D6" w:rsidRDefault="00295BCD">
            <w:pPr>
              <w:spacing w:after="0" w:line="240" w:lineRule="auto"/>
              <w:jc w:val="center"/>
              <w:textAlignment w:val="baseline"/>
              <w:rPr>
                <w:szCs w:val="24"/>
                <w:lang w:eastAsia="et-EE"/>
              </w:rPr>
            </w:pPr>
            <w:r w:rsidRPr="001927D6">
              <w:rPr>
                <w:color w:val="000000"/>
                <w:szCs w:val="24"/>
              </w:rPr>
              <w:t>1 716,26</w:t>
            </w:r>
          </w:p>
        </w:tc>
      </w:tr>
      <w:tr w:rsidR="00295BCD" w:rsidRPr="001927D6" w14:paraId="6175105C" w14:textId="77777777" w:rsidTr="00295BCD">
        <w:trPr>
          <w:divId w:val="1316184749"/>
          <w:trHeight w:val="300"/>
        </w:trPr>
        <w:tc>
          <w:tcPr>
            <w:tcW w:w="4632" w:type="dxa"/>
            <w:vAlign w:val="bottom"/>
            <w:hideMark/>
          </w:tcPr>
          <w:p w14:paraId="63F29E75" w14:textId="77777777" w:rsidR="00295BCD" w:rsidRPr="001927D6" w:rsidRDefault="00295BCD">
            <w:pPr>
              <w:spacing w:after="0" w:line="240" w:lineRule="auto"/>
              <w:textAlignment w:val="baseline"/>
              <w:rPr>
                <w:szCs w:val="24"/>
                <w:lang w:eastAsia="et-EE"/>
              </w:rPr>
            </w:pPr>
            <w:r w:rsidRPr="001927D6">
              <w:rPr>
                <w:szCs w:val="24"/>
                <w:lang w:eastAsia="et-EE"/>
              </w:rPr>
              <w:t>Kombineeritud eesmine/tagumine spondülodees </w:t>
            </w:r>
          </w:p>
        </w:tc>
        <w:tc>
          <w:tcPr>
            <w:tcW w:w="732" w:type="dxa"/>
            <w:vAlign w:val="center"/>
            <w:hideMark/>
          </w:tcPr>
          <w:p w14:paraId="6DB5EBB5" w14:textId="77777777" w:rsidR="00295BCD" w:rsidRPr="001927D6" w:rsidRDefault="00295BCD">
            <w:pPr>
              <w:spacing w:after="0" w:line="240" w:lineRule="auto"/>
              <w:jc w:val="center"/>
              <w:textAlignment w:val="baseline"/>
              <w:rPr>
                <w:szCs w:val="24"/>
                <w:lang w:eastAsia="et-EE"/>
              </w:rPr>
            </w:pPr>
            <w:r w:rsidRPr="001927D6">
              <w:rPr>
                <w:szCs w:val="24"/>
                <w:lang w:eastAsia="et-EE"/>
              </w:rPr>
              <w:t>214A </w:t>
            </w:r>
          </w:p>
        </w:tc>
        <w:tc>
          <w:tcPr>
            <w:tcW w:w="1243" w:type="dxa"/>
            <w:vAlign w:val="center"/>
          </w:tcPr>
          <w:p w14:paraId="77206C99" w14:textId="77777777" w:rsidR="00295BCD" w:rsidRPr="001927D6" w:rsidRDefault="00295BCD">
            <w:pPr>
              <w:spacing w:after="0" w:line="240" w:lineRule="auto"/>
              <w:jc w:val="center"/>
              <w:textAlignment w:val="baseline"/>
              <w:rPr>
                <w:szCs w:val="24"/>
                <w:lang w:eastAsia="et-EE"/>
              </w:rPr>
            </w:pPr>
            <w:r w:rsidRPr="001927D6">
              <w:rPr>
                <w:color w:val="000000"/>
                <w:szCs w:val="24"/>
              </w:rPr>
              <w:t>12 712,94</w:t>
            </w:r>
          </w:p>
        </w:tc>
        <w:tc>
          <w:tcPr>
            <w:tcW w:w="1211" w:type="dxa"/>
            <w:vAlign w:val="center"/>
          </w:tcPr>
          <w:p w14:paraId="31F30E83" w14:textId="77777777" w:rsidR="00295BCD" w:rsidRPr="001927D6" w:rsidRDefault="00295BCD">
            <w:pPr>
              <w:spacing w:after="0" w:line="240" w:lineRule="auto"/>
              <w:jc w:val="center"/>
              <w:textAlignment w:val="baseline"/>
              <w:rPr>
                <w:szCs w:val="24"/>
                <w:lang w:eastAsia="et-EE"/>
              </w:rPr>
            </w:pPr>
            <w:r w:rsidRPr="001927D6">
              <w:rPr>
                <w:color w:val="000000"/>
                <w:szCs w:val="24"/>
              </w:rPr>
              <w:t>8 623,94</w:t>
            </w:r>
          </w:p>
        </w:tc>
        <w:tc>
          <w:tcPr>
            <w:tcW w:w="1238" w:type="dxa"/>
            <w:vAlign w:val="center"/>
          </w:tcPr>
          <w:p w14:paraId="548084D7" w14:textId="77777777" w:rsidR="00295BCD" w:rsidRPr="001927D6" w:rsidRDefault="00295BCD">
            <w:pPr>
              <w:spacing w:after="0" w:line="240" w:lineRule="auto"/>
              <w:jc w:val="center"/>
              <w:textAlignment w:val="baseline"/>
              <w:rPr>
                <w:szCs w:val="24"/>
                <w:lang w:eastAsia="et-EE"/>
              </w:rPr>
            </w:pPr>
            <w:r w:rsidRPr="001927D6">
              <w:rPr>
                <w:color w:val="000000"/>
                <w:szCs w:val="24"/>
              </w:rPr>
              <w:t>20 753,37</w:t>
            </w:r>
          </w:p>
        </w:tc>
      </w:tr>
      <w:tr w:rsidR="00295BCD" w:rsidRPr="001927D6" w14:paraId="0813925A" w14:textId="77777777" w:rsidTr="00295BCD">
        <w:trPr>
          <w:divId w:val="1316184749"/>
          <w:trHeight w:val="300"/>
        </w:trPr>
        <w:tc>
          <w:tcPr>
            <w:tcW w:w="4632" w:type="dxa"/>
            <w:vAlign w:val="bottom"/>
            <w:hideMark/>
          </w:tcPr>
          <w:p w14:paraId="6301749C" w14:textId="77777777" w:rsidR="00295BCD" w:rsidRPr="001927D6" w:rsidRDefault="00295BCD">
            <w:pPr>
              <w:spacing w:after="0" w:line="240" w:lineRule="auto"/>
              <w:textAlignment w:val="baseline"/>
              <w:rPr>
                <w:szCs w:val="24"/>
                <w:lang w:eastAsia="et-EE"/>
              </w:rPr>
            </w:pPr>
            <w:r w:rsidRPr="001927D6">
              <w:rPr>
                <w:szCs w:val="24"/>
                <w:lang w:eastAsia="et-EE"/>
              </w:rPr>
              <w:t>Spondülodees, kht-ga </w:t>
            </w:r>
          </w:p>
        </w:tc>
        <w:tc>
          <w:tcPr>
            <w:tcW w:w="732" w:type="dxa"/>
            <w:vAlign w:val="center"/>
            <w:hideMark/>
          </w:tcPr>
          <w:p w14:paraId="49E360AF" w14:textId="77777777" w:rsidR="00295BCD" w:rsidRPr="001927D6" w:rsidRDefault="00295BCD">
            <w:pPr>
              <w:spacing w:after="0" w:line="240" w:lineRule="auto"/>
              <w:jc w:val="center"/>
              <w:textAlignment w:val="baseline"/>
              <w:rPr>
                <w:szCs w:val="24"/>
                <w:lang w:eastAsia="et-EE"/>
              </w:rPr>
            </w:pPr>
            <w:r w:rsidRPr="001927D6">
              <w:rPr>
                <w:szCs w:val="24"/>
                <w:lang w:eastAsia="et-EE"/>
              </w:rPr>
              <w:t>214B </w:t>
            </w:r>
          </w:p>
        </w:tc>
        <w:tc>
          <w:tcPr>
            <w:tcW w:w="1243" w:type="dxa"/>
            <w:vAlign w:val="center"/>
          </w:tcPr>
          <w:p w14:paraId="3300F583" w14:textId="77777777" w:rsidR="00295BCD" w:rsidRPr="001927D6" w:rsidRDefault="00295BCD">
            <w:pPr>
              <w:spacing w:after="0" w:line="240" w:lineRule="auto"/>
              <w:jc w:val="center"/>
              <w:textAlignment w:val="baseline"/>
              <w:rPr>
                <w:szCs w:val="24"/>
                <w:lang w:eastAsia="et-EE"/>
              </w:rPr>
            </w:pPr>
            <w:r w:rsidRPr="001927D6">
              <w:rPr>
                <w:color w:val="000000"/>
                <w:szCs w:val="24"/>
              </w:rPr>
              <w:t>13 726,03</w:t>
            </w:r>
          </w:p>
        </w:tc>
        <w:tc>
          <w:tcPr>
            <w:tcW w:w="1211" w:type="dxa"/>
            <w:vAlign w:val="center"/>
          </w:tcPr>
          <w:p w14:paraId="46D7778F" w14:textId="77777777" w:rsidR="00295BCD" w:rsidRPr="001927D6" w:rsidRDefault="00295BCD">
            <w:pPr>
              <w:spacing w:after="0" w:line="240" w:lineRule="auto"/>
              <w:jc w:val="center"/>
              <w:textAlignment w:val="baseline"/>
              <w:rPr>
                <w:szCs w:val="24"/>
                <w:lang w:eastAsia="et-EE"/>
              </w:rPr>
            </w:pPr>
            <w:r w:rsidRPr="001927D6">
              <w:rPr>
                <w:color w:val="000000"/>
                <w:szCs w:val="24"/>
              </w:rPr>
              <w:t>8 001,32</w:t>
            </w:r>
          </w:p>
        </w:tc>
        <w:tc>
          <w:tcPr>
            <w:tcW w:w="1238" w:type="dxa"/>
            <w:vAlign w:val="center"/>
          </w:tcPr>
          <w:p w14:paraId="5312820A" w14:textId="77777777" w:rsidR="00295BCD" w:rsidRPr="001927D6" w:rsidRDefault="00295BCD">
            <w:pPr>
              <w:spacing w:after="0" w:line="240" w:lineRule="auto"/>
              <w:jc w:val="center"/>
              <w:textAlignment w:val="baseline"/>
              <w:rPr>
                <w:szCs w:val="24"/>
                <w:lang w:eastAsia="et-EE"/>
              </w:rPr>
            </w:pPr>
            <w:r w:rsidRPr="001927D6">
              <w:rPr>
                <w:color w:val="000000"/>
                <w:szCs w:val="24"/>
              </w:rPr>
              <w:t>27 153,88</w:t>
            </w:r>
          </w:p>
        </w:tc>
      </w:tr>
      <w:tr w:rsidR="00295BCD" w:rsidRPr="001927D6" w14:paraId="37CD1D27" w14:textId="77777777" w:rsidTr="00295BCD">
        <w:trPr>
          <w:divId w:val="1316184749"/>
          <w:trHeight w:val="300"/>
        </w:trPr>
        <w:tc>
          <w:tcPr>
            <w:tcW w:w="4632" w:type="dxa"/>
            <w:vAlign w:val="bottom"/>
            <w:hideMark/>
          </w:tcPr>
          <w:p w14:paraId="71E23C91" w14:textId="77777777" w:rsidR="00295BCD" w:rsidRPr="001927D6" w:rsidRDefault="00295BCD">
            <w:pPr>
              <w:spacing w:after="0" w:line="240" w:lineRule="auto"/>
              <w:textAlignment w:val="baseline"/>
              <w:rPr>
                <w:szCs w:val="24"/>
                <w:lang w:eastAsia="et-EE"/>
              </w:rPr>
            </w:pPr>
            <w:r w:rsidRPr="001927D6">
              <w:rPr>
                <w:szCs w:val="24"/>
                <w:lang w:eastAsia="et-EE"/>
              </w:rPr>
              <w:t>Selja ja kaela operatsioonid, v.a spondülodees, kht-ga </w:t>
            </w:r>
          </w:p>
        </w:tc>
        <w:tc>
          <w:tcPr>
            <w:tcW w:w="732" w:type="dxa"/>
            <w:vAlign w:val="center"/>
            <w:hideMark/>
          </w:tcPr>
          <w:p w14:paraId="0F3A7785" w14:textId="77777777" w:rsidR="00295BCD" w:rsidRPr="001927D6" w:rsidRDefault="00295BCD">
            <w:pPr>
              <w:spacing w:after="0" w:line="240" w:lineRule="auto"/>
              <w:jc w:val="center"/>
              <w:textAlignment w:val="baseline"/>
              <w:rPr>
                <w:szCs w:val="24"/>
                <w:lang w:eastAsia="et-EE"/>
              </w:rPr>
            </w:pPr>
            <w:r w:rsidRPr="001927D6">
              <w:rPr>
                <w:szCs w:val="24"/>
                <w:lang w:eastAsia="et-EE"/>
              </w:rPr>
              <w:t>214C </w:t>
            </w:r>
          </w:p>
        </w:tc>
        <w:tc>
          <w:tcPr>
            <w:tcW w:w="1243" w:type="dxa"/>
            <w:vAlign w:val="center"/>
          </w:tcPr>
          <w:p w14:paraId="5107F212" w14:textId="77777777" w:rsidR="00295BCD" w:rsidRPr="001927D6" w:rsidRDefault="00295BCD">
            <w:pPr>
              <w:spacing w:after="0" w:line="240" w:lineRule="auto"/>
              <w:jc w:val="center"/>
              <w:textAlignment w:val="baseline"/>
              <w:rPr>
                <w:szCs w:val="24"/>
                <w:lang w:eastAsia="et-EE"/>
              </w:rPr>
            </w:pPr>
            <w:r w:rsidRPr="001927D6">
              <w:rPr>
                <w:color w:val="000000"/>
                <w:szCs w:val="24"/>
              </w:rPr>
              <w:t>2 725,09</w:t>
            </w:r>
          </w:p>
        </w:tc>
        <w:tc>
          <w:tcPr>
            <w:tcW w:w="1211" w:type="dxa"/>
            <w:vAlign w:val="center"/>
          </w:tcPr>
          <w:p w14:paraId="38DE84B1" w14:textId="77777777" w:rsidR="00295BCD" w:rsidRPr="001927D6" w:rsidRDefault="00295BCD">
            <w:pPr>
              <w:spacing w:after="0" w:line="240" w:lineRule="auto"/>
              <w:jc w:val="center"/>
              <w:textAlignment w:val="baseline"/>
              <w:rPr>
                <w:szCs w:val="24"/>
                <w:lang w:eastAsia="et-EE"/>
              </w:rPr>
            </w:pPr>
            <w:r w:rsidRPr="001927D6">
              <w:rPr>
                <w:color w:val="000000"/>
                <w:szCs w:val="24"/>
              </w:rPr>
              <w:t>1 542,69</w:t>
            </w:r>
          </w:p>
        </w:tc>
        <w:tc>
          <w:tcPr>
            <w:tcW w:w="1238" w:type="dxa"/>
            <w:vAlign w:val="center"/>
          </w:tcPr>
          <w:p w14:paraId="4B954035" w14:textId="77777777" w:rsidR="00295BCD" w:rsidRPr="001927D6" w:rsidRDefault="00295BCD">
            <w:pPr>
              <w:spacing w:after="0" w:line="240" w:lineRule="auto"/>
              <w:jc w:val="center"/>
              <w:textAlignment w:val="baseline"/>
              <w:rPr>
                <w:szCs w:val="24"/>
                <w:lang w:eastAsia="et-EE"/>
              </w:rPr>
            </w:pPr>
            <w:r w:rsidRPr="001927D6">
              <w:rPr>
                <w:color w:val="000000"/>
                <w:szCs w:val="24"/>
              </w:rPr>
              <w:t>5 478,68</w:t>
            </w:r>
          </w:p>
        </w:tc>
      </w:tr>
      <w:tr w:rsidR="00295BCD" w:rsidRPr="001927D6" w14:paraId="79DD82CF" w14:textId="77777777" w:rsidTr="00295BCD">
        <w:trPr>
          <w:divId w:val="1316184749"/>
          <w:trHeight w:val="300"/>
        </w:trPr>
        <w:tc>
          <w:tcPr>
            <w:tcW w:w="4632" w:type="dxa"/>
            <w:vAlign w:val="bottom"/>
            <w:hideMark/>
          </w:tcPr>
          <w:p w14:paraId="52E42A39" w14:textId="77777777" w:rsidR="00295BCD" w:rsidRPr="001927D6" w:rsidRDefault="00295BCD">
            <w:pPr>
              <w:spacing w:after="0" w:line="240" w:lineRule="auto"/>
              <w:textAlignment w:val="baseline"/>
              <w:rPr>
                <w:szCs w:val="24"/>
                <w:lang w:eastAsia="et-EE"/>
              </w:rPr>
            </w:pPr>
            <w:r w:rsidRPr="001927D6">
              <w:rPr>
                <w:szCs w:val="24"/>
                <w:lang w:eastAsia="et-EE"/>
              </w:rPr>
              <w:t>Eesmine ja tagumine spondülodees, kht-ta </w:t>
            </w:r>
          </w:p>
        </w:tc>
        <w:tc>
          <w:tcPr>
            <w:tcW w:w="732" w:type="dxa"/>
            <w:vAlign w:val="center"/>
            <w:hideMark/>
          </w:tcPr>
          <w:p w14:paraId="1634AA5F" w14:textId="77777777" w:rsidR="00295BCD" w:rsidRPr="001927D6" w:rsidRDefault="00295BCD">
            <w:pPr>
              <w:spacing w:after="0" w:line="240" w:lineRule="auto"/>
              <w:jc w:val="center"/>
              <w:textAlignment w:val="baseline"/>
              <w:rPr>
                <w:szCs w:val="24"/>
                <w:lang w:eastAsia="et-EE"/>
              </w:rPr>
            </w:pPr>
            <w:r w:rsidRPr="001927D6">
              <w:rPr>
                <w:szCs w:val="24"/>
                <w:lang w:eastAsia="et-EE"/>
              </w:rPr>
              <w:t>215B </w:t>
            </w:r>
          </w:p>
        </w:tc>
        <w:tc>
          <w:tcPr>
            <w:tcW w:w="1243" w:type="dxa"/>
            <w:vAlign w:val="center"/>
          </w:tcPr>
          <w:p w14:paraId="7D78B3EF" w14:textId="77777777" w:rsidR="00295BCD" w:rsidRPr="001927D6" w:rsidRDefault="00295BCD">
            <w:pPr>
              <w:spacing w:after="0" w:line="240" w:lineRule="auto"/>
              <w:jc w:val="center"/>
              <w:textAlignment w:val="baseline"/>
              <w:rPr>
                <w:szCs w:val="24"/>
                <w:lang w:eastAsia="et-EE"/>
              </w:rPr>
            </w:pPr>
            <w:r w:rsidRPr="001927D6">
              <w:rPr>
                <w:color w:val="000000"/>
                <w:szCs w:val="24"/>
              </w:rPr>
              <w:t>8 972,57</w:t>
            </w:r>
          </w:p>
        </w:tc>
        <w:tc>
          <w:tcPr>
            <w:tcW w:w="1211" w:type="dxa"/>
            <w:vAlign w:val="center"/>
          </w:tcPr>
          <w:p w14:paraId="1A9BC539" w14:textId="77777777" w:rsidR="00295BCD" w:rsidRPr="001927D6" w:rsidRDefault="00295BCD">
            <w:pPr>
              <w:spacing w:after="0" w:line="240" w:lineRule="auto"/>
              <w:jc w:val="center"/>
              <w:textAlignment w:val="baseline"/>
              <w:rPr>
                <w:szCs w:val="24"/>
                <w:lang w:eastAsia="et-EE"/>
              </w:rPr>
            </w:pPr>
            <w:r w:rsidRPr="001927D6">
              <w:rPr>
                <w:color w:val="000000"/>
                <w:szCs w:val="24"/>
              </w:rPr>
              <w:t>3 675,30</w:t>
            </w:r>
          </w:p>
        </w:tc>
        <w:tc>
          <w:tcPr>
            <w:tcW w:w="1238" w:type="dxa"/>
            <w:vAlign w:val="center"/>
          </w:tcPr>
          <w:p w14:paraId="64E9D6AC" w14:textId="77777777" w:rsidR="00295BCD" w:rsidRPr="001927D6" w:rsidRDefault="00295BCD">
            <w:pPr>
              <w:spacing w:after="0" w:line="240" w:lineRule="auto"/>
              <w:jc w:val="center"/>
              <w:textAlignment w:val="baseline"/>
              <w:rPr>
                <w:szCs w:val="24"/>
                <w:lang w:eastAsia="et-EE"/>
              </w:rPr>
            </w:pPr>
            <w:r w:rsidRPr="001927D6">
              <w:rPr>
                <w:color w:val="000000"/>
                <w:szCs w:val="24"/>
              </w:rPr>
              <w:t>16 270,79</w:t>
            </w:r>
          </w:p>
        </w:tc>
      </w:tr>
      <w:tr w:rsidR="00295BCD" w:rsidRPr="001927D6" w14:paraId="3F4E1117" w14:textId="77777777" w:rsidTr="00295BCD">
        <w:trPr>
          <w:divId w:val="1316184749"/>
          <w:trHeight w:val="300"/>
        </w:trPr>
        <w:tc>
          <w:tcPr>
            <w:tcW w:w="4632" w:type="dxa"/>
            <w:vAlign w:val="bottom"/>
            <w:hideMark/>
          </w:tcPr>
          <w:p w14:paraId="41F048D8" w14:textId="77777777" w:rsidR="00295BCD" w:rsidRPr="001927D6" w:rsidRDefault="00295BCD">
            <w:pPr>
              <w:spacing w:after="0" w:line="240" w:lineRule="auto"/>
              <w:textAlignment w:val="baseline"/>
              <w:rPr>
                <w:szCs w:val="24"/>
                <w:lang w:eastAsia="et-EE"/>
              </w:rPr>
            </w:pPr>
            <w:r w:rsidRPr="001927D6">
              <w:rPr>
                <w:szCs w:val="24"/>
                <w:lang w:eastAsia="et-EE"/>
              </w:rPr>
              <w:t>Selja ja kaela operatsioonid, v.a spondülodees, kht-ta </w:t>
            </w:r>
          </w:p>
        </w:tc>
        <w:tc>
          <w:tcPr>
            <w:tcW w:w="732" w:type="dxa"/>
            <w:vAlign w:val="center"/>
            <w:hideMark/>
          </w:tcPr>
          <w:p w14:paraId="3A2753DF" w14:textId="77777777" w:rsidR="00295BCD" w:rsidRPr="001927D6" w:rsidRDefault="00295BCD">
            <w:pPr>
              <w:spacing w:after="0" w:line="240" w:lineRule="auto"/>
              <w:jc w:val="center"/>
              <w:textAlignment w:val="baseline"/>
              <w:rPr>
                <w:szCs w:val="24"/>
                <w:lang w:eastAsia="et-EE"/>
              </w:rPr>
            </w:pPr>
            <w:r w:rsidRPr="001927D6">
              <w:rPr>
                <w:szCs w:val="24"/>
                <w:lang w:eastAsia="et-EE"/>
              </w:rPr>
              <w:t>215C </w:t>
            </w:r>
          </w:p>
        </w:tc>
        <w:tc>
          <w:tcPr>
            <w:tcW w:w="1243" w:type="dxa"/>
            <w:vAlign w:val="center"/>
          </w:tcPr>
          <w:p w14:paraId="11C95DD8" w14:textId="77777777" w:rsidR="00295BCD" w:rsidRPr="001927D6" w:rsidRDefault="00295BCD">
            <w:pPr>
              <w:spacing w:after="0" w:line="240" w:lineRule="auto"/>
              <w:jc w:val="center"/>
              <w:textAlignment w:val="baseline"/>
              <w:rPr>
                <w:szCs w:val="24"/>
                <w:lang w:eastAsia="et-EE"/>
              </w:rPr>
            </w:pPr>
            <w:r w:rsidRPr="001927D6">
              <w:rPr>
                <w:color w:val="000000"/>
                <w:szCs w:val="24"/>
              </w:rPr>
              <w:t>2 168,43</w:t>
            </w:r>
          </w:p>
        </w:tc>
        <w:tc>
          <w:tcPr>
            <w:tcW w:w="1211" w:type="dxa"/>
            <w:vAlign w:val="center"/>
          </w:tcPr>
          <w:p w14:paraId="7521D40C" w14:textId="77777777" w:rsidR="00295BCD" w:rsidRPr="001927D6" w:rsidRDefault="00295BCD">
            <w:pPr>
              <w:spacing w:after="0" w:line="240" w:lineRule="auto"/>
              <w:jc w:val="center"/>
              <w:textAlignment w:val="baseline"/>
              <w:rPr>
                <w:szCs w:val="24"/>
                <w:lang w:eastAsia="et-EE"/>
              </w:rPr>
            </w:pPr>
            <w:r w:rsidRPr="001927D6">
              <w:rPr>
                <w:color w:val="000000"/>
                <w:szCs w:val="24"/>
              </w:rPr>
              <w:t>1 414,81</w:t>
            </w:r>
          </w:p>
        </w:tc>
        <w:tc>
          <w:tcPr>
            <w:tcW w:w="1238" w:type="dxa"/>
            <w:vAlign w:val="center"/>
          </w:tcPr>
          <w:p w14:paraId="2DD0D37C" w14:textId="77777777" w:rsidR="00295BCD" w:rsidRPr="001927D6" w:rsidRDefault="00295BCD">
            <w:pPr>
              <w:spacing w:after="0" w:line="240" w:lineRule="auto"/>
              <w:jc w:val="center"/>
              <w:textAlignment w:val="baseline"/>
              <w:rPr>
                <w:szCs w:val="24"/>
                <w:lang w:eastAsia="et-EE"/>
              </w:rPr>
            </w:pPr>
            <w:r w:rsidRPr="001927D6">
              <w:rPr>
                <w:color w:val="000000"/>
                <w:szCs w:val="24"/>
              </w:rPr>
              <w:t>3 554,39</w:t>
            </w:r>
          </w:p>
        </w:tc>
      </w:tr>
      <w:tr w:rsidR="00295BCD" w:rsidRPr="001927D6" w14:paraId="49FD7166" w14:textId="77777777" w:rsidTr="00295BCD">
        <w:trPr>
          <w:divId w:val="1316184749"/>
          <w:trHeight w:val="300"/>
        </w:trPr>
        <w:tc>
          <w:tcPr>
            <w:tcW w:w="4632" w:type="dxa"/>
            <w:vAlign w:val="bottom"/>
            <w:hideMark/>
          </w:tcPr>
          <w:p w14:paraId="30F27F6A" w14:textId="77777777" w:rsidR="00295BCD" w:rsidRPr="001927D6" w:rsidRDefault="00295BCD">
            <w:pPr>
              <w:spacing w:after="0" w:line="240" w:lineRule="auto"/>
              <w:textAlignment w:val="baseline"/>
              <w:rPr>
                <w:szCs w:val="24"/>
                <w:lang w:eastAsia="et-EE"/>
              </w:rPr>
            </w:pPr>
            <w:r w:rsidRPr="001927D6">
              <w:rPr>
                <w:szCs w:val="24"/>
                <w:lang w:eastAsia="et-EE"/>
              </w:rPr>
              <w:t>Selja ja kaela operatsioonid, lühike ravi </w:t>
            </w:r>
          </w:p>
        </w:tc>
        <w:tc>
          <w:tcPr>
            <w:tcW w:w="732" w:type="dxa"/>
            <w:vAlign w:val="center"/>
            <w:hideMark/>
          </w:tcPr>
          <w:p w14:paraId="620EDA1A" w14:textId="77777777" w:rsidR="00295BCD" w:rsidRPr="001927D6" w:rsidRDefault="00295BCD">
            <w:pPr>
              <w:spacing w:after="0" w:line="240" w:lineRule="auto"/>
              <w:jc w:val="center"/>
              <w:textAlignment w:val="baseline"/>
              <w:rPr>
                <w:szCs w:val="24"/>
                <w:lang w:eastAsia="et-EE"/>
              </w:rPr>
            </w:pPr>
            <w:r w:rsidRPr="001927D6">
              <w:rPr>
                <w:szCs w:val="24"/>
                <w:lang w:eastAsia="et-EE"/>
              </w:rPr>
              <w:t>215O </w:t>
            </w:r>
          </w:p>
        </w:tc>
        <w:tc>
          <w:tcPr>
            <w:tcW w:w="1243" w:type="dxa"/>
            <w:vAlign w:val="center"/>
          </w:tcPr>
          <w:p w14:paraId="6ED1F40E" w14:textId="77777777" w:rsidR="00295BCD" w:rsidRPr="001927D6" w:rsidRDefault="00295BCD">
            <w:pPr>
              <w:spacing w:after="0" w:line="240" w:lineRule="auto"/>
              <w:jc w:val="center"/>
              <w:textAlignment w:val="baseline"/>
              <w:rPr>
                <w:szCs w:val="24"/>
                <w:lang w:eastAsia="et-EE"/>
              </w:rPr>
            </w:pPr>
            <w:r w:rsidRPr="001927D6">
              <w:rPr>
                <w:color w:val="000000"/>
                <w:szCs w:val="24"/>
              </w:rPr>
              <w:t>1 297,19</w:t>
            </w:r>
          </w:p>
        </w:tc>
        <w:tc>
          <w:tcPr>
            <w:tcW w:w="1211" w:type="dxa"/>
            <w:vAlign w:val="center"/>
          </w:tcPr>
          <w:p w14:paraId="078CAA69" w14:textId="77777777" w:rsidR="00295BCD" w:rsidRPr="001927D6" w:rsidRDefault="00295BCD">
            <w:pPr>
              <w:spacing w:after="0" w:line="240" w:lineRule="auto"/>
              <w:jc w:val="center"/>
              <w:textAlignment w:val="baseline"/>
              <w:rPr>
                <w:szCs w:val="24"/>
                <w:lang w:eastAsia="et-EE"/>
              </w:rPr>
            </w:pPr>
            <w:r w:rsidRPr="001927D6">
              <w:rPr>
                <w:color w:val="000000"/>
                <w:szCs w:val="24"/>
              </w:rPr>
              <w:t>1 109,62</w:t>
            </w:r>
          </w:p>
        </w:tc>
        <w:tc>
          <w:tcPr>
            <w:tcW w:w="1238" w:type="dxa"/>
            <w:vAlign w:val="center"/>
          </w:tcPr>
          <w:p w14:paraId="3A723238" w14:textId="77777777" w:rsidR="00295BCD" w:rsidRPr="001927D6" w:rsidRDefault="00295BCD">
            <w:pPr>
              <w:spacing w:after="0" w:line="240" w:lineRule="auto"/>
              <w:jc w:val="center"/>
              <w:textAlignment w:val="baseline"/>
              <w:rPr>
                <w:szCs w:val="24"/>
                <w:lang w:eastAsia="et-EE"/>
              </w:rPr>
            </w:pPr>
            <w:r w:rsidRPr="001927D6">
              <w:rPr>
                <w:color w:val="000000"/>
                <w:szCs w:val="24"/>
              </w:rPr>
              <w:t>2 026,42</w:t>
            </w:r>
          </w:p>
        </w:tc>
      </w:tr>
      <w:tr w:rsidR="00295BCD" w:rsidRPr="001927D6" w14:paraId="019BB7D6" w14:textId="77777777" w:rsidTr="00295BCD">
        <w:trPr>
          <w:divId w:val="1316184749"/>
          <w:trHeight w:val="300"/>
        </w:trPr>
        <w:tc>
          <w:tcPr>
            <w:tcW w:w="4632" w:type="dxa"/>
            <w:vAlign w:val="bottom"/>
            <w:hideMark/>
          </w:tcPr>
          <w:p w14:paraId="1AF434D7" w14:textId="77777777" w:rsidR="00295BCD" w:rsidRPr="001927D6" w:rsidRDefault="00295BCD">
            <w:pPr>
              <w:spacing w:after="0" w:line="240" w:lineRule="auto"/>
              <w:textAlignment w:val="baseline"/>
              <w:rPr>
                <w:szCs w:val="24"/>
                <w:lang w:eastAsia="et-EE"/>
              </w:rPr>
            </w:pPr>
            <w:r w:rsidRPr="001927D6">
              <w:rPr>
                <w:szCs w:val="24"/>
                <w:lang w:eastAsia="et-EE"/>
              </w:rPr>
              <w:t>Luulihaskonna ja sidekoe diagnostilised protseduurid </w:t>
            </w:r>
          </w:p>
        </w:tc>
        <w:tc>
          <w:tcPr>
            <w:tcW w:w="732" w:type="dxa"/>
            <w:vAlign w:val="center"/>
            <w:hideMark/>
          </w:tcPr>
          <w:p w14:paraId="259BED54" w14:textId="77777777" w:rsidR="00295BCD" w:rsidRPr="001927D6" w:rsidRDefault="00295BCD">
            <w:pPr>
              <w:spacing w:after="0" w:line="240" w:lineRule="auto"/>
              <w:jc w:val="center"/>
              <w:textAlignment w:val="baseline"/>
              <w:rPr>
                <w:szCs w:val="24"/>
                <w:lang w:eastAsia="et-EE"/>
              </w:rPr>
            </w:pPr>
            <w:r w:rsidRPr="001927D6">
              <w:rPr>
                <w:szCs w:val="24"/>
                <w:lang w:eastAsia="et-EE"/>
              </w:rPr>
              <w:t>216 </w:t>
            </w:r>
          </w:p>
        </w:tc>
        <w:tc>
          <w:tcPr>
            <w:tcW w:w="1243" w:type="dxa"/>
            <w:vAlign w:val="center"/>
          </w:tcPr>
          <w:p w14:paraId="69EC8575" w14:textId="77777777" w:rsidR="00295BCD" w:rsidRPr="001927D6" w:rsidRDefault="00295BCD">
            <w:pPr>
              <w:spacing w:after="0" w:line="240" w:lineRule="auto"/>
              <w:jc w:val="center"/>
              <w:textAlignment w:val="baseline"/>
              <w:rPr>
                <w:szCs w:val="24"/>
                <w:lang w:eastAsia="et-EE"/>
              </w:rPr>
            </w:pPr>
            <w:r w:rsidRPr="001927D6">
              <w:rPr>
                <w:color w:val="000000"/>
                <w:szCs w:val="24"/>
              </w:rPr>
              <w:t>3 645,06</w:t>
            </w:r>
          </w:p>
        </w:tc>
        <w:tc>
          <w:tcPr>
            <w:tcW w:w="1211" w:type="dxa"/>
            <w:vAlign w:val="center"/>
          </w:tcPr>
          <w:p w14:paraId="31C8C075" w14:textId="77777777" w:rsidR="00295BCD" w:rsidRPr="001927D6" w:rsidRDefault="00295BCD">
            <w:pPr>
              <w:spacing w:after="0" w:line="240" w:lineRule="auto"/>
              <w:jc w:val="center"/>
              <w:textAlignment w:val="baseline"/>
              <w:rPr>
                <w:szCs w:val="24"/>
                <w:lang w:eastAsia="et-EE"/>
              </w:rPr>
            </w:pPr>
            <w:r w:rsidRPr="001927D6">
              <w:rPr>
                <w:color w:val="000000"/>
                <w:szCs w:val="24"/>
              </w:rPr>
              <w:t>972,00</w:t>
            </w:r>
          </w:p>
        </w:tc>
        <w:tc>
          <w:tcPr>
            <w:tcW w:w="1238" w:type="dxa"/>
            <w:vAlign w:val="center"/>
          </w:tcPr>
          <w:p w14:paraId="7D8C1201" w14:textId="77777777" w:rsidR="00295BCD" w:rsidRPr="001927D6" w:rsidRDefault="00295BCD">
            <w:pPr>
              <w:spacing w:after="0" w:line="240" w:lineRule="auto"/>
              <w:jc w:val="center"/>
              <w:textAlignment w:val="baseline"/>
              <w:rPr>
                <w:szCs w:val="24"/>
                <w:lang w:eastAsia="et-EE"/>
              </w:rPr>
            </w:pPr>
            <w:r w:rsidRPr="001927D6">
              <w:rPr>
                <w:color w:val="000000"/>
                <w:szCs w:val="24"/>
              </w:rPr>
              <w:t>10 227,97</w:t>
            </w:r>
          </w:p>
        </w:tc>
      </w:tr>
      <w:tr w:rsidR="00295BCD" w:rsidRPr="001927D6" w14:paraId="364AD46A" w14:textId="77777777" w:rsidTr="00295BCD">
        <w:trPr>
          <w:divId w:val="1316184749"/>
          <w:trHeight w:val="300"/>
        </w:trPr>
        <w:tc>
          <w:tcPr>
            <w:tcW w:w="4632" w:type="dxa"/>
            <w:vAlign w:val="bottom"/>
            <w:hideMark/>
          </w:tcPr>
          <w:p w14:paraId="4DE84FCD" w14:textId="77777777" w:rsidR="00295BCD" w:rsidRPr="001927D6" w:rsidRDefault="00295BCD">
            <w:pPr>
              <w:spacing w:after="0" w:line="240" w:lineRule="auto"/>
              <w:textAlignment w:val="baseline"/>
              <w:rPr>
                <w:szCs w:val="24"/>
                <w:lang w:eastAsia="et-EE"/>
              </w:rPr>
            </w:pPr>
            <w:r w:rsidRPr="001927D6">
              <w:rPr>
                <w:szCs w:val="24"/>
                <w:lang w:eastAsia="et-EE"/>
              </w:rPr>
              <w:t>Luulihaskonna ja sidekoe diagnostilised protseduurid, lühike ravi </w:t>
            </w:r>
          </w:p>
        </w:tc>
        <w:tc>
          <w:tcPr>
            <w:tcW w:w="732" w:type="dxa"/>
            <w:vAlign w:val="center"/>
            <w:hideMark/>
          </w:tcPr>
          <w:p w14:paraId="644A5B1D" w14:textId="77777777" w:rsidR="00295BCD" w:rsidRPr="001927D6" w:rsidRDefault="00295BCD">
            <w:pPr>
              <w:spacing w:after="0" w:line="240" w:lineRule="auto"/>
              <w:jc w:val="center"/>
              <w:textAlignment w:val="baseline"/>
              <w:rPr>
                <w:szCs w:val="24"/>
                <w:lang w:eastAsia="et-EE"/>
              </w:rPr>
            </w:pPr>
            <w:r w:rsidRPr="001927D6">
              <w:rPr>
                <w:szCs w:val="24"/>
                <w:lang w:eastAsia="et-EE"/>
              </w:rPr>
              <w:t>216O </w:t>
            </w:r>
          </w:p>
        </w:tc>
        <w:tc>
          <w:tcPr>
            <w:tcW w:w="1243" w:type="dxa"/>
            <w:vAlign w:val="center"/>
          </w:tcPr>
          <w:p w14:paraId="13966591" w14:textId="77777777" w:rsidR="00295BCD" w:rsidRPr="001927D6" w:rsidRDefault="00295BCD">
            <w:pPr>
              <w:spacing w:after="0" w:line="240" w:lineRule="auto"/>
              <w:jc w:val="center"/>
              <w:textAlignment w:val="baseline"/>
              <w:rPr>
                <w:szCs w:val="24"/>
                <w:lang w:eastAsia="et-EE"/>
              </w:rPr>
            </w:pPr>
            <w:r w:rsidRPr="001927D6">
              <w:rPr>
                <w:color w:val="000000"/>
                <w:szCs w:val="24"/>
              </w:rPr>
              <w:t>936,36</w:t>
            </w:r>
          </w:p>
        </w:tc>
        <w:tc>
          <w:tcPr>
            <w:tcW w:w="1211" w:type="dxa"/>
            <w:vAlign w:val="center"/>
          </w:tcPr>
          <w:p w14:paraId="0BC33316" w14:textId="77777777" w:rsidR="00295BCD" w:rsidRPr="001927D6" w:rsidRDefault="00295BCD">
            <w:pPr>
              <w:spacing w:after="0" w:line="240" w:lineRule="auto"/>
              <w:jc w:val="center"/>
              <w:textAlignment w:val="baseline"/>
              <w:rPr>
                <w:szCs w:val="24"/>
                <w:lang w:eastAsia="et-EE"/>
              </w:rPr>
            </w:pPr>
            <w:r w:rsidRPr="001927D6">
              <w:rPr>
                <w:color w:val="000000"/>
                <w:szCs w:val="24"/>
              </w:rPr>
              <w:t>522,05</w:t>
            </w:r>
          </w:p>
        </w:tc>
        <w:tc>
          <w:tcPr>
            <w:tcW w:w="1238" w:type="dxa"/>
            <w:vAlign w:val="center"/>
          </w:tcPr>
          <w:p w14:paraId="5A8B8A70" w14:textId="77777777" w:rsidR="00295BCD" w:rsidRPr="001927D6" w:rsidRDefault="00295BCD">
            <w:pPr>
              <w:spacing w:after="0" w:line="240" w:lineRule="auto"/>
              <w:jc w:val="center"/>
              <w:textAlignment w:val="baseline"/>
              <w:rPr>
                <w:szCs w:val="24"/>
                <w:lang w:eastAsia="et-EE"/>
              </w:rPr>
            </w:pPr>
            <w:r w:rsidRPr="001927D6">
              <w:rPr>
                <w:color w:val="000000"/>
                <w:szCs w:val="24"/>
              </w:rPr>
              <w:t>1 277,85</w:t>
            </w:r>
          </w:p>
        </w:tc>
      </w:tr>
      <w:tr w:rsidR="00295BCD" w:rsidRPr="001927D6" w14:paraId="576C5A61" w14:textId="77777777" w:rsidTr="00295BCD">
        <w:trPr>
          <w:divId w:val="1316184749"/>
          <w:trHeight w:val="300"/>
        </w:trPr>
        <w:tc>
          <w:tcPr>
            <w:tcW w:w="4632" w:type="dxa"/>
            <w:vAlign w:val="bottom"/>
            <w:hideMark/>
          </w:tcPr>
          <w:p w14:paraId="6FC3A54C" w14:textId="77777777" w:rsidR="00295BCD" w:rsidRPr="001927D6" w:rsidRDefault="00295BCD">
            <w:pPr>
              <w:spacing w:after="0" w:line="240" w:lineRule="auto"/>
              <w:textAlignment w:val="baseline"/>
              <w:rPr>
                <w:szCs w:val="24"/>
                <w:lang w:eastAsia="et-EE"/>
              </w:rPr>
            </w:pPr>
            <w:r w:rsidRPr="001927D6">
              <w:rPr>
                <w:szCs w:val="24"/>
                <w:lang w:eastAsia="et-EE"/>
              </w:rPr>
              <w:t>Haavakorrastus ja nahaplastika luulihaskonna ja sidekoe haiguste puhul, v.a labakäsi </w:t>
            </w:r>
          </w:p>
        </w:tc>
        <w:tc>
          <w:tcPr>
            <w:tcW w:w="732" w:type="dxa"/>
            <w:vAlign w:val="center"/>
            <w:hideMark/>
          </w:tcPr>
          <w:p w14:paraId="3FA936B1" w14:textId="77777777" w:rsidR="00295BCD" w:rsidRPr="001927D6" w:rsidRDefault="00295BCD">
            <w:pPr>
              <w:spacing w:after="0" w:line="240" w:lineRule="auto"/>
              <w:jc w:val="center"/>
              <w:textAlignment w:val="baseline"/>
              <w:rPr>
                <w:szCs w:val="24"/>
                <w:lang w:eastAsia="et-EE"/>
              </w:rPr>
            </w:pPr>
            <w:r w:rsidRPr="001927D6">
              <w:rPr>
                <w:szCs w:val="24"/>
                <w:lang w:eastAsia="et-EE"/>
              </w:rPr>
              <w:t>217 </w:t>
            </w:r>
          </w:p>
        </w:tc>
        <w:tc>
          <w:tcPr>
            <w:tcW w:w="1243" w:type="dxa"/>
            <w:vAlign w:val="center"/>
          </w:tcPr>
          <w:p w14:paraId="59A3F54C" w14:textId="77777777" w:rsidR="00295BCD" w:rsidRPr="001927D6" w:rsidRDefault="00295BCD">
            <w:pPr>
              <w:spacing w:after="0" w:line="240" w:lineRule="auto"/>
              <w:jc w:val="center"/>
              <w:textAlignment w:val="baseline"/>
              <w:rPr>
                <w:szCs w:val="24"/>
                <w:lang w:eastAsia="et-EE"/>
              </w:rPr>
            </w:pPr>
            <w:r w:rsidRPr="001927D6">
              <w:rPr>
                <w:color w:val="000000"/>
                <w:szCs w:val="24"/>
              </w:rPr>
              <w:t>9 101,39</w:t>
            </w:r>
          </w:p>
        </w:tc>
        <w:tc>
          <w:tcPr>
            <w:tcW w:w="1211" w:type="dxa"/>
            <w:vAlign w:val="center"/>
          </w:tcPr>
          <w:p w14:paraId="02064C04" w14:textId="77777777" w:rsidR="00295BCD" w:rsidRPr="001927D6" w:rsidRDefault="00295BCD">
            <w:pPr>
              <w:spacing w:after="0" w:line="240" w:lineRule="auto"/>
              <w:jc w:val="center"/>
              <w:textAlignment w:val="baseline"/>
              <w:rPr>
                <w:szCs w:val="24"/>
                <w:lang w:eastAsia="et-EE"/>
              </w:rPr>
            </w:pPr>
            <w:r w:rsidRPr="001927D6">
              <w:rPr>
                <w:color w:val="000000"/>
                <w:szCs w:val="24"/>
              </w:rPr>
              <w:t>1 986,02</w:t>
            </w:r>
          </w:p>
        </w:tc>
        <w:tc>
          <w:tcPr>
            <w:tcW w:w="1238" w:type="dxa"/>
            <w:vAlign w:val="center"/>
          </w:tcPr>
          <w:p w14:paraId="469EDC0B" w14:textId="77777777" w:rsidR="00295BCD" w:rsidRPr="001927D6" w:rsidRDefault="00295BCD">
            <w:pPr>
              <w:spacing w:after="0" w:line="240" w:lineRule="auto"/>
              <w:jc w:val="center"/>
              <w:textAlignment w:val="baseline"/>
              <w:rPr>
                <w:szCs w:val="24"/>
                <w:lang w:eastAsia="et-EE"/>
              </w:rPr>
            </w:pPr>
            <w:r w:rsidRPr="001927D6">
              <w:rPr>
                <w:color w:val="000000"/>
                <w:szCs w:val="24"/>
              </w:rPr>
              <w:t>21 783,33</w:t>
            </w:r>
          </w:p>
        </w:tc>
      </w:tr>
      <w:tr w:rsidR="00295BCD" w:rsidRPr="001927D6" w14:paraId="2B4118A3" w14:textId="77777777" w:rsidTr="00295BCD">
        <w:trPr>
          <w:divId w:val="1316184749"/>
          <w:trHeight w:val="300"/>
        </w:trPr>
        <w:tc>
          <w:tcPr>
            <w:tcW w:w="4632" w:type="dxa"/>
            <w:vAlign w:val="bottom"/>
            <w:hideMark/>
          </w:tcPr>
          <w:p w14:paraId="72D4178C" w14:textId="77777777" w:rsidR="00295BCD" w:rsidRPr="001927D6" w:rsidRDefault="00295BCD">
            <w:pPr>
              <w:spacing w:after="0" w:line="240" w:lineRule="auto"/>
              <w:textAlignment w:val="baseline"/>
              <w:rPr>
                <w:szCs w:val="24"/>
                <w:lang w:eastAsia="et-EE"/>
              </w:rPr>
            </w:pPr>
            <w:r w:rsidRPr="001927D6">
              <w:rPr>
                <w:szCs w:val="24"/>
                <w:lang w:eastAsia="et-EE"/>
              </w:rPr>
              <w:t>Haavakorrastus ja nahaplastika luulihaskonna ja sidekoe haiguste puhul, v.a labakäsi, lühike ravi </w:t>
            </w:r>
          </w:p>
        </w:tc>
        <w:tc>
          <w:tcPr>
            <w:tcW w:w="732" w:type="dxa"/>
            <w:vAlign w:val="center"/>
            <w:hideMark/>
          </w:tcPr>
          <w:p w14:paraId="4D984DAB" w14:textId="77777777" w:rsidR="00295BCD" w:rsidRPr="001927D6" w:rsidRDefault="00295BCD">
            <w:pPr>
              <w:spacing w:after="0" w:line="240" w:lineRule="auto"/>
              <w:jc w:val="center"/>
              <w:textAlignment w:val="baseline"/>
              <w:rPr>
                <w:szCs w:val="24"/>
                <w:lang w:eastAsia="et-EE"/>
              </w:rPr>
            </w:pPr>
            <w:r w:rsidRPr="001927D6">
              <w:rPr>
                <w:szCs w:val="24"/>
                <w:lang w:eastAsia="et-EE"/>
              </w:rPr>
              <w:t>217O </w:t>
            </w:r>
          </w:p>
        </w:tc>
        <w:tc>
          <w:tcPr>
            <w:tcW w:w="1243" w:type="dxa"/>
            <w:vAlign w:val="center"/>
          </w:tcPr>
          <w:p w14:paraId="66E8840B" w14:textId="77777777" w:rsidR="00295BCD" w:rsidRPr="001927D6" w:rsidRDefault="00295BCD">
            <w:pPr>
              <w:spacing w:after="0" w:line="240" w:lineRule="auto"/>
              <w:jc w:val="center"/>
              <w:textAlignment w:val="baseline"/>
              <w:rPr>
                <w:szCs w:val="24"/>
                <w:lang w:eastAsia="et-EE"/>
              </w:rPr>
            </w:pPr>
            <w:r w:rsidRPr="001927D6">
              <w:rPr>
                <w:color w:val="000000"/>
                <w:szCs w:val="24"/>
              </w:rPr>
              <w:t>1 028,28</w:t>
            </w:r>
          </w:p>
        </w:tc>
        <w:tc>
          <w:tcPr>
            <w:tcW w:w="1211" w:type="dxa"/>
            <w:vAlign w:val="center"/>
          </w:tcPr>
          <w:p w14:paraId="011E7B8F" w14:textId="77777777" w:rsidR="00295BCD" w:rsidRPr="001927D6" w:rsidRDefault="00295BCD">
            <w:pPr>
              <w:spacing w:after="0" w:line="240" w:lineRule="auto"/>
              <w:jc w:val="center"/>
              <w:textAlignment w:val="baseline"/>
              <w:rPr>
                <w:szCs w:val="24"/>
                <w:lang w:eastAsia="et-EE"/>
              </w:rPr>
            </w:pPr>
            <w:r w:rsidRPr="001927D6">
              <w:rPr>
                <w:color w:val="000000"/>
                <w:szCs w:val="24"/>
              </w:rPr>
              <w:t>666,34</w:t>
            </w:r>
          </w:p>
        </w:tc>
        <w:tc>
          <w:tcPr>
            <w:tcW w:w="1238" w:type="dxa"/>
            <w:vAlign w:val="center"/>
          </w:tcPr>
          <w:p w14:paraId="0976BD19" w14:textId="77777777" w:rsidR="00295BCD" w:rsidRPr="001927D6" w:rsidRDefault="00295BCD">
            <w:pPr>
              <w:spacing w:after="0" w:line="240" w:lineRule="auto"/>
              <w:jc w:val="center"/>
              <w:textAlignment w:val="baseline"/>
              <w:rPr>
                <w:szCs w:val="24"/>
                <w:lang w:eastAsia="et-EE"/>
              </w:rPr>
            </w:pPr>
            <w:r w:rsidRPr="001927D6">
              <w:rPr>
                <w:color w:val="000000"/>
                <w:szCs w:val="24"/>
              </w:rPr>
              <w:t>1 842,69</w:t>
            </w:r>
          </w:p>
        </w:tc>
      </w:tr>
      <w:tr w:rsidR="00295BCD" w:rsidRPr="001927D6" w14:paraId="69F25377" w14:textId="77777777" w:rsidTr="00295BCD">
        <w:trPr>
          <w:divId w:val="1316184749"/>
          <w:trHeight w:val="300"/>
        </w:trPr>
        <w:tc>
          <w:tcPr>
            <w:tcW w:w="4632" w:type="dxa"/>
            <w:vAlign w:val="bottom"/>
            <w:hideMark/>
          </w:tcPr>
          <w:p w14:paraId="7B5AFF2A" w14:textId="77777777" w:rsidR="00295BCD" w:rsidRPr="001927D6" w:rsidRDefault="00295BCD">
            <w:pPr>
              <w:spacing w:after="0" w:line="240" w:lineRule="auto"/>
              <w:textAlignment w:val="baseline"/>
              <w:rPr>
                <w:szCs w:val="24"/>
                <w:lang w:eastAsia="et-EE"/>
              </w:rPr>
            </w:pPr>
            <w:r w:rsidRPr="001927D6">
              <w:rPr>
                <w:szCs w:val="24"/>
                <w:lang w:eastAsia="et-EE"/>
              </w:rPr>
              <w:t>Alajäseme ja õlavarre operatsioonid, v.a puusal, labajalal, reiel, vanus &gt; 17, kht-ga </w:t>
            </w:r>
          </w:p>
        </w:tc>
        <w:tc>
          <w:tcPr>
            <w:tcW w:w="732" w:type="dxa"/>
            <w:vAlign w:val="center"/>
            <w:hideMark/>
          </w:tcPr>
          <w:p w14:paraId="6CFBDD90" w14:textId="77777777" w:rsidR="00295BCD" w:rsidRPr="001927D6" w:rsidRDefault="00295BCD">
            <w:pPr>
              <w:spacing w:after="0" w:line="240" w:lineRule="auto"/>
              <w:jc w:val="center"/>
              <w:textAlignment w:val="baseline"/>
              <w:rPr>
                <w:szCs w:val="24"/>
                <w:lang w:eastAsia="et-EE"/>
              </w:rPr>
            </w:pPr>
            <w:r w:rsidRPr="001927D6">
              <w:rPr>
                <w:szCs w:val="24"/>
                <w:lang w:eastAsia="et-EE"/>
              </w:rPr>
              <w:t>218 </w:t>
            </w:r>
          </w:p>
        </w:tc>
        <w:tc>
          <w:tcPr>
            <w:tcW w:w="1243" w:type="dxa"/>
            <w:vAlign w:val="center"/>
          </w:tcPr>
          <w:p w14:paraId="156FC3BE" w14:textId="77777777" w:rsidR="00295BCD" w:rsidRPr="001927D6" w:rsidRDefault="00295BCD">
            <w:pPr>
              <w:spacing w:after="0" w:line="240" w:lineRule="auto"/>
              <w:jc w:val="center"/>
              <w:textAlignment w:val="baseline"/>
              <w:rPr>
                <w:szCs w:val="24"/>
                <w:lang w:eastAsia="et-EE"/>
              </w:rPr>
            </w:pPr>
            <w:r w:rsidRPr="001927D6">
              <w:rPr>
                <w:color w:val="000000"/>
                <w:szCs w:val="24"/>
              </w:rPr>
              <w:t>4 171,25</w:t>
            </w:r>
          </w:p>
        </w:tc>
        <w:tc>
          <w:tcPr>
            <w:tcW w:w="1211" w:type="dxa"/>
            <w:vAlign w:val="center"/>
          </w:tcPr>
          <w:p w14:paraId="7BB50F2F" w14:textId="77777777" w:rsidR="00295BCD" w:rsidRPr="001927D6" w:rsidRDefault="00295BCD">
            <w:pPr>
              <w:spacing w:after="0" w:line="240" w:lineRule="auto"/>
              <w:jc w:val="center"/>
              <w:textAlignment w:val="baseline"/>
              <w:rPr>
                <w:szCs w:val="24"/>
                <w:lang w:eastAsia="et-EE"/>
              </w:rPr>
            </w:pPr>
            <w:r w:rsidRPr="001927D6">
              <w:rPr>
                <w:color w:val="000000"/>
                <w:szCs w:val="24"/>
              </w:rPr>
              <w:t>2 263,05</w:t>
            </w:r>
          </w:p>
        </w:tc>
        <w:tc>
          <w:tcPr>
            <w:tcW w:w="1238" w:type="dxa"/>
            <w:vAlign w:val="center"/>
          </w:tcPr>
          <w:p w14:paraId="6C1482FF" w14:textId="77777777" w:rsidR="00295BCD" w:rsidRPr="001927D6" w:rsidRDefault="00295BCD">
            <w:pPr>
              <w:spacing w:after="0" w:line="240" w:lineRule="auto"/>
              <w:jc w:val="center"/>
              <w:textAlignment w:val="baseline"/>
              <w:rPr>
                <w:szCs w:val="24"/>
                <w:lang w:eastAsia="et-EE"/>
              </w:rPr>
            </w:pPr>
            <w:r w:rsidRPr="001927D6">
              <w:rPr>
                <w:color w:val="000000"/>
                <w:szCs w:val="24"/>
              </w:rPr>
              <w:t>8 567,86</w:t>
            </w:r>
          </w:p>
        </w:tc>
      </w:tr>
      <w:tr w:rsidR="00295BCD" w:rsidRPr="001927D6" w14:paraId="4481C39A" w14:textId="77777777" w:rsidTr="00295BCD">
        <w:trPr>
          <w:divId w:val="1316184749"/>
          <w:trHeight w:val="300"/>
        </w:trPr>
        <w:tc>
          <w:tcPr>
            <w:tcW w:w="4632" w:type="dxa"/>
            <w:vAlign w:val="bottom"/>
            <w:hideMark/>
          </w:tcPr>
          <w:p w14:paraId="1078EC8D" w14:textId="77777777" w:rsidR="00295BCD" w:rsidRPr="001927D6" w:rsidRDefault="00295BCD">
            <w:pPr>
              <w:spacing w:after="0" w:line="240" w:lineRule="auto"/>
              <w:textAlignment w:val="baseline"/>
              <w:rPr>
                <w:szCs w:val="24"/>
                <w:lang w:eastAsia="et-EE"/>
              </w:rPr>
            </w:pPr>
            <w:r w:rsidRPr="001927D6">
              <w:rPr>
                <w:szCs w:val="24"/>
                <w:lang w:eastAsia="et-EE"/>
              </w:rPr>
              <w:t>Alajäseme ja õlavarre operatsioonid, v.a puusal, labajalal, reiel, vanus &gt; 17, kht-ta </w:t>
            </w:r>
          </w:p>
        </w:tc>
        <w:tc>
          <w:tcPr>
            <w:tcW w:w="732" w:type="dxa"/>
            <w:vAlign w:val="center"/>
            <w:hideMark/>
          </w:tcPr>
          <w:p w14:paraId="0A179B6B" w14:textId="77777777" w:rsidR="00295BCD" w:rsidRPr="001927D6" w:rsidRDefault="00295BCD">
            <w:pPr>
              <w:spacing w:after="0" w:line="240" w:lineRule="auto"/>
              <w:jc w:val="center"/>
              <w:textAlignment w:val="baseline"/>
              <w:rPr>
                <w:szCs w:val="24"/>
                <w:lang w:eastAsia="et-EE"/>
              </w:rPr>
            </w:pPr>
            <w:r w:rsidRPr="001927D6">
              <w:rPr>
                <w:szCs w:val="24"/>
                <w:lang w:eastAsia="et-EE"/>
              </w:rPr>
              <w:t>219 </w:t>
            </w:r>
          </w:p>
        </w:tc>
        <w:tc>
          <w:tcPr>
            <w:tcW w:w="1243" w:type="dxa"/>
            <w:vAlign w:val="center"/>
          </w:tcPr>
          <w:p w14:paraId="46B20235" w14:textId="77777777" w:rsidR="00295BCD" w:rsidRPr="001927D6" w:rsidRDefault="00295BCD">
            <w:pPr>
              <w:spacing w:after="0" w:line="240" w:lineRule="auto"/>
              <w:jc w:val="center"/>
              <w:textAlignment w:val="baseline"/>
              <w:rPr>
                <w:szCs w:val="24"/>
                <w:lang w:eastAsia="et-EE"/>
              </w:rPr>
            </w:pPr>
            <w:r w:rsidRPr="001927D6">
              <w:rPr>
                <w:color w:val="000000"/>
                <w:szCs w:val="24"/>
              </w:rPr>
              <w:t>2 896,52</w:t>
            </w:r>
          </w:p>
        </w:tc>
        <w:tc>
          <w:tcPr>
            <w:tcW w:w="1211" w:type="dxa"/>
            <w:vAlign w:val="center"/>
          </w:tcPr>
          <w:p w14:paraId="360B76C8" w14:textId="77777777" w:rsidR="00295BCD" w:rsidRPr="001927D6" w:rsidRDefault="00295BCD">
            <w:pPr>
              <w:spacing w:after="0" w:line="240" w:lineRule="auto"/>
              <w:jc w:val="center"/>
              <w:textAlignment w:val="baseline"/>
              <w:rPr>
                <w:szCs w:val="24"/>
                <w:lang w:eastAsia="et-EE"/>
              </w:rPr>
            </w:pPr>
            <w:r w:rsidRPr="001927D6">
              <w:rPr>
                <w:color w:val="000000"/>
                <w:szCs w:val="24"/>
              </w:rPr>
              <w:t>1 740,87</w:t>
            </w:r>
          </w:p>
        </w:tc>
        <w:tc>
          <w:tcPr>
            <w:tcW w:w="1238" w:type="dxa"/>
            <w:vAlign w:val="center"/>
          </w:tcPr>
          <w:p w14:paraId="70D8B417" w14:textId="77777777" w:rsidR="00295BCD" w:rsidRPr="001927D6" w:rsidRDefault="00295BCD">
            <w:pPr>
              <w:spacing w:after="0" w:line="240" w:lineRule="auto"/>
              <w:jc w:val="center"/>
              <w:textAlignment w:val="baseline"/>
              <w:rPr>
                <w:szCs w:val="24"/>
                <w:lang w:eastAsia="et-EE"/>
              </w:rPr>
            </w:pPr>
            <w:r w:rsidRPr="001927D6">
              <w:rPr>
                <w:color w:val="000000"/>
                <w:szCs w:val="24"/>
              </w:rPr>
              <w:t>4 819,74</w:t>
            </w:r>
          </w:p>
        </w:tc>
      </w:tr>
      <w:tr w:rsidR="00295BCD" w:rsidRPr="001927D6" w14:paraId="346ACAF2" w14:textId="77777777" w:rsidTr="00295BCD">
        <w:trPr>
          <w:divId w:val="1316184749"/>
          <w:trHeight w:val="300"/>
        </w:trPr>
        <w:tc>
          <w:tcPr>
            <w:tcW w:w="4632" w:type="dxa"/>
            <w:vAlign w:val="bottom"/>
            <w:hideMark/>
          </w:tcPr>
          <w:p w14:paraId="4139BE7E" w14:textId="77777777" w:rsidR="00295BCD" w:rsidRPr="001927D6" w:rsidRDefault="00295BCD">
            <w:pPr>
              <w:spacing w:after="0" w:line="240" w:lineRule="auto"/>
              <w:textAlignment w:val="baseline"/>
              <w:rPr>
                <w:szCs w:val="24"/>
                <w:lang w:eastAsia="et-EE"/>
              </w:rPr>
            </w:pPr>
            <w:r w:rsidRPr="001927D6">
              <w:rPr>
                <w:szCs w:val="24"/>
                <w:lang w:eastAsia="et-EE"/>
              </w:rPr>
              <w:t>Alajäseme ja õlavarre operatsioonid, v.a puusal, labajalal, reiel, vanus 0–17 </w:t>
            </w:r>
          </w:p>
        </w:tc>
        <w:tc>
          <w:tcPr>
            <w:tcW w:w="732" w:type="dxa"/>
            <w:vAlign w:val="center"/>
            <w:hideMark/>
          </w:tcPr>
          <w:p w14:paraId="5F4DAF8E" w14:textId="77777777" w:rsidR="00295BCD" w:rsidRPr="001927D6" w:rsidRDefault="00295BCD">
            <w:pPr>
              <w:spacing w:after="0" w:line="240" w:lineRule="auto"/>
              <w:jc w:val="center"/>
              <w:textAlignment w:val="baseline"/>
              <w:rPr>
                <w:szCs w:val="24"/>
                <w:lang w:eastAsia="et-EE"/>
              </w:rPr>
            </w:pPr>
            <w:r w:rsidRPr="001927D6">
              <w:rPr>
                <w:szCs w:val="24"/>
                <w:lang w:eastAsia="et-EE"/>
              </w:rPr>
              <w:t>220 </w:t>
            </w:r>
          </w:p>
        </w:tc>
        <w:tc>
          <w:tcPr>
            <w:tcW w:w="1243" w:type="dxa"/>
            <w:vAlign w:val="center"/>
          </w:tcPr>
          <w:p w14:paraId="4254B4E0" w14:textId="77777777" w:rsidR="00295BCD" w:rsidRPr="001927D6" w:rsidRDefault="00295BCD">
            <w:pPr>
              <w:spacing w:after="0" w:line="240" w:lineRule="auto"/>
              <w:jc w:val="center"/>
              <w:textAlignment w:val="baseline"/>
              <w:rPr>
                <w:szCs w:val="24"/>
                <w:lang w:eastAsia="et-EE"/>
              </w:rPr>
            </w:pPr>
            <w:r w:rsidRPr="001927D6">
              <w:rPr>
                <w:color w:val="000000"/>
                <w:szCs w:val="24"/>
              </w:rPr>
              <w:t>1 845,30</w:t>
            </w:r>
          </w:p>
        </w:tc>
        <w:tc>
          <w:tcPr>
            <w:tcW w:w="1211" w:type="dxa"/>
            <w:vAlign w:val="center"/>
          </w:tcPr>
          <w:p w14:paraId="46ABCA7E" w14:textId="77777777" w:rsidR="00295BCD" w:rsidRPr="001927D6" w:rsidRDefault="00295BCD">
            <w:pPr>
              <w:spacing w:after="0" w:line="240" w:lineRule="auto"/>
              <w:jc w:val="center"/>
              <w:textAlignment w:val="baseline"/>
              <w:rPr>
                <w:szCs w:val="24"/>
                <w:lang w:eastAsia="et-EE"/>
              </w:rPr>
            </w:pPr>
            <w:r w:rsidRPr="001927D6">
              <w:rPr>
                <w:color w:val="000000"/>
                <w:szCs w:val="24"/>
              </w:rPr>
              <w:t>1 239,40</w:t>
            </w:r>
          </w:p>
        </w:tc>
        <w:tc>
          <w:tcPr>
            <w:tcW w:w="1238" w:type="dxa"/>
            <w:vAlign w:val="center"/>
          </w:tcPr>
          <w:p w14:paraId="47842ACD" w14:textId="77777777" w:rsidR="00295BCD" w:rsidRPr="001927D6" w:rsidRDefault="00295BCD">
            <w:pPr>
              <w:spacing w:after="0" w:line="240" w:lineRule="auto"/>
              <w:jc w:val="center"/>
              <w:textAlignment w:val="baseline"/>
              <w:rPr>
                <w:szCs w:val="24"/>
                <w:lang w:eastAsia="et-EE"/>
              </w:rPr>
            </w:pPr>
            <w:r w:rsidRPr="001927D6">
              <w:rPr>
                <w:color w:val="000000"/>
                <w:szCs w:val="24"/>
              </w:rPr>
              <w:t>3 118,19</w:t>
            </w:r>
          </w:p>
        </w:tc>
      </w:tr>
      <w:tr w:rsidR="00295BCD" w:rsidRPr="001927D6" w14:paraId="797A3A82" w14:textId="77777777" w:rsidTr="00295BCD">
        <w:trPr>
          <w:divId w:val="1316184749"/>
          <w:trHeight w:val="300"/>
        </w:trPr>
        <w:tc>
          <w:tcPr>
            <w:tcW w:w="4632" w:type="dxa"/>
            <w:vAlign w:val="bottom"/>
            <w:hideMark/>
          </w:tcPr>
          <w:p w14:paraId="7FF882E6" w14:textId="77777777" w:rsidR="00295BCD" w:rsidRPr="001927D6" w:rsidRDefault="00295BCD">
            <w:pPr>
              <w:spacing w:after="0" w:line="240" w:lineRule="auto"/>
              <w:textAlignment w:val="baseline"/>
              <w:rPr>
                <w:szCs w:val="24"/>
                <w:lang w:eastAsia="et-EE"/>
              </w:rPr>
            </w:pPr>
            <w:r w:rsidRPr="001927D6">
              <w:rPr>
                <w:szCs w:val="24"/>
                <w:lang w:eastAsia="et-EE"/>
              </w:rPr>
              <w:t>Alajäseme ja õlavarre operatsioonid, v.a puusal, labajalal, reiel, lühike ravi </w:t>
            </w:r>
          </w:p>
        </w:tc>
        <w:tc>
          <w:tcPr>
            <w:tcW w:w="732" w:type="dxa"/>
            <w:vAlign w:val="center"/>
            <w:hideMark/>
          </w:tcPr>
          <w:p w14:paraId="7BC29B5A" w14:textId="77777777" w:rsidR="00295BCD" w:rsidRPr="001927D6" w:rsidRDefault="00295BCD">
            <w:pPr>
              <w:spacing w:after="0" w:line="240" w:lineRule="auto"/>
              <w:jc w:val="center"/>
              <w:textAlignment w:val="baseline"/>
              <w:rPr>
                <w:szCs w:val="24"/>
                <w:lang w:eastAsia="et-EE"/>
              </w:rPr>
            </w:pPr>
            <w:r w:rsidRPr="001927D6">
              <w:rPr>
                <w:szCs w:val="24"/>
                <w:lang w:eastAsia="et-EE"/>
              </w:rPr>
              <w:t>220O </w:t>
            </w:r>
          </w:p>
        </w:tc>
        <w:tc>
          <w:tcPr>
            <w:tcW w:w="1243" w:type="dxa"/>
            <w:vAlign w:val="center"/>
          </w:tcPr>
          <w:p w14:paraId="73CEB7D0" w14:textId="77777777" w:rsidR="00295BCD" w:rsidRPr="001927D6" w:rsidRDefault="00295BCD">
            <w:pPr>
              <w:spacing w:after="0" w:line="240" w:lineRule="auto"/>
              <w:jc w:val="center"/>
              <w:textAlignment w:val="baseline"/>
              <w:rPr>
                <w:szCs w:val="24"/>
                <w:lang w:eastAsia="et-EE"/>
              </w:rPr>
            </w:pPr>
            <w:r w:rsidRPr="001927D6">
              <w:rPr>
                <w:color w:val="000000"/>
                <w:szCs w:val="24"/>
              </w:rPr>
              <w:t>1 431,51</w:t>
            </w:r>
          </w:p>
        </w:tc>
        <w:tc>
          <w:tcPr>
            <w:tcW w:w="1211" w:type="dxa"/>
            <w:vAlign w:val="center"/>
          </w:tcPr>
          <w:p w14:paraId="5C6EAAF6" w14:textId="77777777" w:rsidR="00295BCD" w:rsidRPr="001927D6" w:rsidRDefault="00295BCD">
            <w:pPr>
              <w:spacing w:after="0" w:line="240" w:lineRule="auto"/>
              <w:jc w:val="center"/>
              <w:textAlignment w:val="baseline"/>
              <w:rPr>
                <w:szCs w:val="24"/>
                <w:lang w:eastAsia="et-EE"/>
              </w:rPr>
            </w:pPr>
            <w:r w:rsidRPr="001927D6">
              <w:rPr>
                <w:color w:val="000000"/>
                <w:szCs w:val="24"/>
              </w:rPr>
              <w:t>664,66</w:t>
            </w:r>
          </w:p>
        </w:tc>
        <w:tc>
          <w:tcPr>
            <w:tcW w:w="1238" w:type="dxa"/>
            <w:vAlign w:val="center"/>
          </w:tcPr>
          <w:p w14:paraId="1CA177B6" w14:textId="77777777" w:rsidR="00295BCD" w:rsidRPr="001927D6" w:rsidRDefault="00295BCD">
            <w:pPr>
              <w:spacing w:after="0" w:line="240" w:lineRule="auto"/>
              <w:jc w:val="center"/>
              <w:textAlignment w:val="baseline"/>
              <w:rPr>
                <w:szCs w:val="24"/>
                <w:lang w:eastAsia="et-EE"/>
              </w:rPr>
            </w:pPr>
            <w:r w:rsidRPr="001927D6">
              <w:rPr>
                <w:color w:val="000000"/>
                <w:szCs w:val="24"/>
              </w:rPr>
              <w:t>2 460,70</w:t>
            </w:r>
          </w:p>
        </w:tc>
      </w:tr>
      <w:tr w:rsidR="00295BCD" w:rsidRPr="001927D6" w14:paraId="487DCEA9" w14:textId="77777777" w:rsidTr="00295BCD">
        <w:trPr>
          <w:divId w:val="1316184749"/>
          <w:trHeight w:val="300"/>
        </w:trPr>
        <w:tc>
          <w:tcPr>
            <w:tcW w:w="4632" w:type="dxa"/>
            <w:vAlign w:val="bottom"/>
            <w:hideMark/>
          </w:tcPr>
          <w:p w14:paraId="612392AC" w14:textId="77777777" w:rsidR="00295BCD" w:rsidRPr="001927D6" w:rsidRDefault="00295BCD">
            <w:pPr>
              <w:spacing w:after="0" w:line="240" w:lineRule="auto"/>
              <w:textAlignment w:val="baseline"/>
              <w:rPr>
                <w:szCs w:val="24"/>
                <w:lang w:eastAsia="et-EE"/>
              </w:rPr>
            </w:pPr>
            <w:r w:rsidRPr="001927D6">
              <w:rPr>
                <w:szCs w:val="24"/>
                <w:lang w:eastAsia="et-EE"/>
              </w:rPr>
              <w:t>Põlve operatsioonid, kht-ga </w:t>
            </w:r>
          </w:p>
        </w:tc>
        <w:tc>
          <w:tcPr>
            <w:tcW w:w="732" w:type="dxa"/>
            <w:vAlign w:val="center"/>
            <w:hideMark/>
          </w:tcPr>
          <w:p w14:paraId="2CBEBDA8" w14:textId="77777777" w:rsidR="00295BCD" w:rsidRPr="001927D6" w:rsidRDefault="00295BCD">
            <w:pPr>
              <w:spacing w:after="0" w:line="240" w:lineRule="auto"/>
              <w:jc w:val="center"/>
              <w:textAlignment w:val="baseline"/>
              <w:rPr>
                <w:szCs w:val="24"/>
                <w:lang w:eastAsia="et-EE"/>
              </w:rPr>
            </w:pPr>
            <w:r w:rsidRPr="001927D6">
              <w:rPr>
                <w:szCs w:val="24"/>
                <w:lang w:eastAsia="et-EE"/>
              </w:rPr>
              <w:t>221 </w:t>
            </w:r>
          </w:p>
        </w:tc>
        <w:tc>
          <w:tcPr>
            <w:tcW w:w="1243" w:type="dxa"/>
            <w:vAlign w:val="center"/>
          </w:tcPr>
          <w:p w14:paraId="2C7EA276" w14:textId="77777777" w:rsidR="00295BCD" w:rsidRPr="001927D6" w:rsidRDefault="00295BCD">
            <w:pPr>
              <w:spacing w:after="0" w:line="240" w:lineRule="auto"/>
              <w:jc w:val="center"/>
              <w:textAlignment w:val="baseline"/>
              <w:rPr>
                <w:szCs w:val="24"/>
                <w:lang w:eastAsia="et-EE"/>
              </w:rPr>
            </w:pPr>
            <w:r w:rsidRPr="001927D6">
              <w:rPr>
                <w:color w:val="000000"/>
                <w:szCs w:val="24"/>
              </w:rPr>
              <w:t>4 580,44</w:t>
            </w:r>
          </w:p>
        </w:tc>
        <w:tc>
          <w:tcPr>
            <w:tcW w:w="1211" w:type="dxa"/>
            <w:vAlign w:val="center"/>
          </w:tcPr>
          <w:p w14:paraId="112B46D6" w14:textId="77777777" w:rsidR="00295BCD" w:rsidRPr="001927D6" w:rsidRDefault="00295BCD">
            <w:pPr>
              <w:spacing w:after="0" w:line="240" w:lineRule="auto"/>
              <w:jc w:val="center"/>
              <w:textAlignment w:val="baseline"/>
              <w:rPr>
                <w:szCs w:val="24"/>
                <w:lang w:eastAsia="et-EE"/>
              </w:rPr>
            </w:pPr>
            <w:r w:rsidRPr="001927D6">
              <w:rPr>
                <w:color w:val="000000"/>
                <w:szCs w:val="24"/>
              </w:rPr>
              <w:t>1 407,72</w:t>
            </w:r>
          </w:p>
        </w:tc>
        <w:tc>
          <w:tcPr>
            <w:tcW w:w="1238" w:type="dxa"/>
            <w:vAlign w:val="center"/>
          </w:tcPr>
          <w:p w14:paraId="44493B89" w14:textId="77777777" w:rsidR="00295BCD" w:rsidRPr="001927D6" w:rsidRDefault="00295BCD">
            <w:pPr>
              <w:spacing w:after="0" w:line="240" w:lineRule="auto"/>
              <w:jc w:val="center"/>
              <w:textAlignment w:val="baseline"/>
              <w:rPr>
                <w:szCs w:val="24"/>
                <w:lang w:eastAsia="et-EE"/>
              </w:rPr>
            </w:pPr>
            <w:r w:rsidRPr="001927D6">
              <w:rPr>
                <w:color w:val="000000"/>
                <w:szCs w:val="24"/>
              </w:rPr>
              <w:t>11 811,24</w:t>
            </w:r>
          </w:p>
        </w:tc>
      </w:tr>
      <w:tr w:rsidR="00295BCD" w:rsidRPr="001927D6" w14:paraId="2A8E8356" w14:textId="77777777" w:rsidTr="00295BCD">
        <w:trPr>
          <w:divId w:val="1316184749"/>
          <w:trHeight w:val="300"/>
        </w:trPr>
        <w:tc>
          <w:tcPr>
            <w:tcW w:w="4632" w:type="dxa"/>
            <w:vAlign w:val="bottom"/>
            <w:hideMark/>
          </w:tcPr>
          <w:p w14:paraId="1D6E05B5" w14:textId="77777777" w:rsidR="00295BCD" w:rsidRPr="001927D6" w:rsidRDefault="00295BCD">
            <w:pPr>
              <w:spacing w:after="0" w:line="240" w:lineRule="auto"/>
              <w:textAlignment w:val="baseline"/>
              <w:rPr>
                <w:szCs w:val="24"/>
                <w:lang w:eastAsia="et-EE"/>
              </w:rPr>
            </w:pPr>
            <w:r w:rsidRPr="001927D6">
              <w:rPr>
                <w:szCs w:val="24"/>
                <w:lang w:eastAsia="et-EE"/>
              </w:rPr>
              <w:t>Põlve operatsioonid, kht-ta </w:t>
            </w:r>
          </w:p>
        </w:tc>
        <w:tc>
          <w:tcPr>
            <w:tcW w:w="732" w:type="dxa"/>
            <w:vAlign w:val="center"/>
            <w:hideMark/>
          </w:tcPr>
          <w:p w14:paraId="20DDC234" w14:textId="77777777" w:rsidR="00295BCD" w:rsidRPr="001927D6" w:rsidRDefault="00295BCD">
            <w:pPr>
              <w:spacing w:after="0" w:line="240" w:lineRule="auto"/>
              <w:jc w:val="center"/>
              <w:textAlignment w:val="baseline"/>
              <w:rPr>
                <w:szCs w:val="24"/>
                <w:lang w:eastAsia="et-EE"/>
              </w:rPr>
            </w:pPr>
            <w:r w:rsidRPr="001927D6">
              <w:rPr>
                <w:szCs w:val="24"/>
                <w:lang w:eastAsia="et-EE"/>
              </w:rPr>
              <w:t>222 </w:t>
            </w:r>
          </w:p>
        </w:tc>
        <w:tc>
          <w:tcPr>
            <w:tcW w:w="1243" w:type="dxa"/>
            <w:vAlign w:val="center"/>
          </w:tcPr>
          <w:p w14:paraId="7670095F" w14:textId="77777777" w:rsidR="00295BCD" w:rsidRPr="001927D6" w:rsidRDefault="00295BCD">
            <w:pPr>
              <w:spacing w:after="0" w:line="240" w:lineRule="auto"/>
              <w:jc w:val="center"/>
              <w:textAlignment w:val="baseline"/>
              <w:rPr>
                <w:szCs w:val="24"/>
                <w:lang w:eastAsia="et-EE"/>
              </w:rPr>
            </w:pPr>
            <w:r w:rsidRPr="001927D6">
              <w:rPr>
                <w:color w:val="000000"/>
                <w:szCs w:val="24"/>
              </w:rPr>
              <w:t>2 381,48</w:t>
            </w:r>
          </w:p>
        </w:tc>
        <w:tc>
          <w:tcPr>
            <w:tcW w:w="1211" w:type="dxa"/>
            <w:vAlign w:val="center"/>
          </w:tcPr>
          <w:p w14:paraId="43248277" w14:textId="77777777" w:rsidR="00295BCD" w:rsidRPr="001927D6" w:rsidRDefault="00295BCD">
            <w:pPr>
              <w:spacing w:after="0" w:line="240" w:lineRule="auto"/>
              <w:jc w:val="center"/>
              <w:textAlignment w:val="baseline"/>
              <w:rPr>
                <w:szCs w:val="24"/>
                <w:lang w:eastAsia="et-EE"/>
              </w:rPr>
            </w:pPr>
            <w:r w:rsidRPr="001927D6">
              <w:rPr>
                <w:color w:val="000000"/>
                <w:szCs w:val="24"/>
              </w:rPr>
              <w:t>1 106,24</w:t>
            </w:r>
          </w:p>
        </w:tc>
        <w:tc>
          <w:tcPr>
            <w:tcW w:w="1238" w:type="dxa"/>
            <w:vAlign w:val="center"/>
          </w:tcPr>
          <w:p w14:paraId="6AADD9EF" w14:textId="77777777" w:rsidR="00295BCD" w:rsidRPr="001927D6" w:rsidRDefault="00295BCD">
            <w:pPr>
              <w:spacing w:after="0" w:line="240" w:lineRule="auto"/>
              <w:jc w:val="center"/>
              <w:textAlignment w:val="baseline"/>
              <w:rPr>
                <w:szCs w:val="24"/>
                <w:lang w:eastAsia="et-EE"/>
              </w:rPr>
            </w:pPr>
            <w:r w:rsidRPr="001927D6">
              <w:rPr>
                <w:color w:val="000000"/>
                <w:szCs w:val="24"/>
              </w:rPr>
              <w:t>3 865,01</w:t>
            </w:r>
          </w:p>
        </w:tc>
      </w:tr>
      <w:tr w:rsidR="00295BCD" w:rsidRPr="001927D6" w14:paraId="75C2676A" w14:textId="77777777" w:rsidTr="00295BCD">
        <w:trPr>
          <w:divId w:val="1316184749"/>
          <w:trHeight w:val="300"/>
        </w:trPr>
        <w:tc>
          <w:tcPr>
            <w:tcW w:w="4632" w:type="dxa"/>
            <w:vAlign w:val="bottom"/>
            <w:hideMark/>
          </w:tcPr>
          <w:p w14:paraId="38514818" w14:textId="77777777" w:rsidR="00295BCD" w:rsidRPr="001927D6" w:rsidRDefault="00295BCD">
            <w:pPr>
              <w:spacing w:after="0" w:line="240" w:lineRule="auto"/>
              <w:textAlignment w:val="baseline"/>
              <w:rPr>
                <w:szCs w:val="24"/>
                <w:lang w:eastAsia="et-EE"/>
              </w:rPr>
            </w:pPr>
            <w:r w:rsidRPr="001927D6">
              <w:rPr>
                <w:szCs w:val="24"/>
                <w:lang w:eastAsia="et-EE"/>
              </w:rPr>
              <w:t>Põlve operatsioonid, lühike ravi </w:t>
            </w:r>
          </w:p>
        </w:tc>
        <w:tc>
          <w:tcPr>
            <w:tcW w:w="732" w:type="dxa"/>
            <w:vAlign w:val="center"/>
            <w:hideMark/>
          </w:tcPr>
          <w:p w14:paraId="21478FFF" w14:textId="77777777" w:rsidR="00295BCD" w:rsidRPr="001927D6" w:rsidRDefault="00295BCD">
            <w:pPr>
              <w:spacing w:after="0" w:line="240" w:lineRule="auto"/>
              <w:jc w:val="center"/>
              <w:textAlignment w:val="baseline"/>
              <w:rPr>
                <w:szCs w:val="24"/>
                <w:lang w:eastAsia="et-EE"/>
              </w:rPr>
            </w:pPr>
            <w:r w:rsidRPr="001927D6">
              <w:rPr>
                <w:szCs w:val="24"/>
                <w:lang w:eastAsia="et-EE"/>
              </w:rPr>
              <w:t>222O </w:t>
            </w:r>
          </w:p>
        </w:tc>
        <w:tc>
          <w:tcPr>
            <w:tcW w:w="1243" w:type="dxa"/>
            <w:vAlign w:val="center"/>
          </w:tcPr>
          <w:p w14:paraId="516BE3DB" w14:textId="77777777" w:rsidR="00295BCD" w:rsidRPr="001927D6" w:rsidRDefault="00295BCD">
            <w:pPr>
              <w:spacing w:after="0" w:line="240" w:lineRule="auto"/>
              <w:jc w:val="center"/>
              <w:textAlignment w:val="baseline"/>
              <w:rPr>
                <w:szCs w:val="24"/>
                <w:lang w:eastAsia="et-EE"/>
              </w:rPr>
            </w:pPr>
            <w:r w:rsidRPr="001927D6">
              <w:rPr>
                <w:color w:val="000000"/>
                <w:szCs w:val="24"/>
              </w:rPr>
              <w:t>1 071,98</w:t>
            </w:r>
          </w:p>
        </w:tc>
        <w:tc>
          <w:tcPr>
            <w:tcW w:w="1211" w:type="dxa"/>
            <w:vAlign w:val="center"/>
          </w:tcPr>
          <w:p w14:paraId="33112792" w14:textId="77777777" w:rsidR="00295BCD" w:rsidRPr="001927D6" w:rsidRDefault="00295BCD">
            <w:pPr>
              <w:spacing w:after="0" w:line="240" w:lineRule="auto"/>
              <w:jc w:val="center"/>
              <w:textAlignment w:val="baseline"/>
              <w:rPr>
                <w:szCs w:val="24"/>
                <w:lang w:eastAsia="et-EE"/>
              </w:rPr>
            </w:pPr>
            <w:r w:rsidRPr="001927D6">
              <w:rPr>
                <w:color w:val="000000"/>
                <w:szCs w:val="24"/>
              </w:rPr>
              <w:t>847,82</w:t>
            </w:r>
          </w:p>
        </w:tc>
        <w:tc>
          <w:tcPr>
            <w:tcW w:w="1238" w:type="dxa"/>
            <w:vAlign w:val="center"/>
          </w:tcPr>
          <w:p w14:paraId="3427CBCE" w14:textId="77777777" w:rsidR="00295BCD" w:rsidRPr="001927D6" w:rsidRDefault="00295BCD">
            <w:pPr>
              <w:spacing w:after="0" w:line="240" w:lineRule="auto"/>
              <w:jc w:val="center"/>
              <w:textAlignment w:val="baseline"/>
              <w:rPr>
                <w:szCs w:val="24"/>
                <w:lang w:eastAsia="et-EE"/>
              </w:rPr>
            </w:pPr>
            <w:r w:rsidRPr="001927D6">
              <w:rPr>
                <w:color w:val="000000"/>
                <w:szCs w:val="24"/>
              </w:rPr>
              <w:t>1 866,32</w:t>
            </w:r>
          </w:p>
        </w:tc>
      </w:tr>
      <w:tr w:rsidR="00295BCD" w:rsidRPr="001927D6" w14:paraId="67F83DFD" w14:textId="77777777" w:rsidTr="00295BCD">
        <w:trPr>
          <w:divId w:val="1316184749"/>
          <w:trHeight w:val="300"/>
        </w:trPr>
        <w:tc>
          <w:tcPr>
            <w:tcW w:w="4632" w:type="dxa"/>
            <w:vAlign w:val="bottom"/>
            <w:hideMark/>
          </w:tcPr>
          <w:p w14:paraId="3E063595" w14:textId="77777777" w:rsidR="00295BCD" w:rsidRPr="001927D6" w:rsidRDefault="00295BCD">
            <w:pPr>
              <w:spacing w:after="0" w:line="240" w:lineRule="auto"/>
              <w:textAlignment w:val="baseline"/>
              <w:rPr>
                <w:szCs w:val="24"/>
                <w:lang w:eastAsia="et-EE"/>
              </w:rPr>
            </w:pPr>
            <w:r w:rsidRPr="001927D6">
              <w:rPr>
                <w:szCs w:val="24"/>
                <w:lang w:eastAsia="et-EE"/>
              </w:rPr>
              <w:t>Suured põlve protseduurid, lühike ravi </w:t>
            </w:r>
          </w:p>
        </w:tc>
        <w:tc>
          <w:tcPr>
            <w:tcW w:w="732" w:type="dxa"/>
            <w:vAlign w:val="center"/>
            <w:hideMark/>
          </w:tcPr>
          <w:p w14:paraId="0F427A83" w14:textId="77777777" w:rsidR="00295BCD" w:rsidRPr="001927D6" w:rsidRDefault="00295BCD">
            <w:pPr>
              <w:spacing w:after="0" w:line="240" w:lineRule="auto"/>
              <w:jc w:val="center"/>
              <w:textAlignment w:val="baseline"/>
              <w:rPr>
                <w:szCs w:val="24"/>
                <w:lang w:eastAsia="et-EE"/>
              </w:rPr>
            </w:pPr>
            <w:r w:rsidRPr="001927D6">
              <w:rPr>
                <w:szCs w:val="24"/>
                <w:lang w:eastAsia="et-EE"/>
              </w:rPr>
              <w:t>222P </w:t>
            </w:r>
          </w:p>
        </w:tc>
        <w:tc>
          <w:tcPr>
            <w:tcW w:w="1243" w:type="dxa"/>
            <w:vAlign w:val="center"/>
          </w:tcPr>
          <w:p w14:paraId="04629DDA" w14:textId="77777777" w:rsidR="00295BCD" w:rsidRPr="001927D6" w:rsidRDefault="00295BCD">
            <w:pPr>
              <w:spacing w:after="0" w:line="240" w:lineRule="auto"/>
              <w:jc w:val="center"/>
              <w:textAlignment w:val="baseline"/>
              <w:rPr>
                <w:szCs w:val="24"/>
                <w:lang w:eastAsia="et-EE"/>
              </w:rPr>
            </w:pPr>
            <w:r w:rsidRPr="001927D6">
              <w:rPr>
                <w:color w:val="000000"/>
                <w:szCs w:val="24"/>
              </w:rPr>
              <w:t>1 752,36</w:t>
            </w:r>
          </w:p>
        </w:tc>
        <w:tc>
          <w:tcPr>
            <w:tcW w:w="1211" w:type="dxa"/>
            <w:vAlign w:val="center"/>
          </w:tcPr>
          <w:p w14:paraId="564E78C1" w14:textId="77777777" w:rsidR="00295BCD" w:rsidRPr="001927D6" w:rsidRDefault="00295BCD">
            <w:pPr>
              <w:spacing w:after="0" w:line="240" w:lineRule="auto"/>
              <w:jc w:val="center"/>
              <w:textAlignment w:val="baseline"/>
              <w:rPr>
                <w:szCs w:val="24"/>
                <w:lang w:eastAsia="et-EE"/>
              </w:rPr>
            </w:pPr>
            <w:r w:rsidRPr="001927D6">
              <w:rPr>
                <w:color w:val="000000"/>
                <w:szCs w:val="24"/>
              </w:rPr>
              <w:t>969,45</w:t>
            </w:r>
          </w:p>
        </w:tc>
        <w:tc>
          <w:tcPr>
            <w:tcW w:w="1238" w:type="dxa"/>
            <w:vAlign w:val="center"/>
          </w:tcPr>
          <w:p w14:paraId="1B7B65AC" w14:textId="77777777" w:rsidR="00295BCD" w:rsidRPr="001927D6" w:rsidRDefault="00295BCD">
            <w:pPr>
              <w:spacing w:after="0" w:line="240" w:lineRule="auto"/>
              <w:jc w:val="center"/>
              <w:textAlignment w:val="baseline"/>
              <w:rPr>
                <w:szCs w:val="24"/>
                <w:lang w:eastAsia="et-EE"/>
              </w:rPr>
            </w:pPr>
            <w:r w:rsidRPr="001927D6">
              <w:rPr>
                <w:color w:val="000000"/>
                <w:szCs w:val="24"/>
              </w:rPr>
              <w:t>3 067,90</w:t>
            </w:r>
          </w:p>
        </w:tc>
      </w:tr>
      <w:tr w:rsidR="00295BCD" w:rsidRPr="001927D6" w14:paraId="4AEB7527" w14:textId="77777777" w:rsidTr="00295BCD">
        <w:trPr>
          <w:divId w:val="1316184749"/>
          <w:trHeight w:val="300"/>
        </w:trPr>
        <w:tc>
          <w:tcPr>
            <w:tcW w:w="4632" w:type="dxa"/>
            <w:vAlign w:val="bottom"/>
            <w:hideMark/>
          </w:tcPr>
          <w:p w14:paraId="396F1031" w14:textId="77777777" w:rsidR="00295BCD" w:rsidRPr="001927D6" w:rsidRDefault="00295BCD">
            <w:pPr>
              <w:spacing w:after="0" w:line="240" w:lineRule="auto"/>
              <w:textAlignment w:val="baseline"/>
              <w:rPr>
                <w:szCs w:val="24"/>
                <w:lang w:eastAsia="et-EE"/>
              </w:rPr>
            </w:pPr>
            <w:r w:rsidRPr="001927D6">
              <w:rPr>
                <w:szCs w:val="24"/>
                <w:lang w:eastAsia="et-EE"/>
              </w:rPr>
              <w:t>Õla- ja küünarliigese suured operatsioonid või ülajäseme muud operatsioonid, kht-ga </w:t>
            </w:r>
          </w:p>
        </w:tc>
        <w:tc>
          <w:tcPr>
            <w:tcW w:w="732" w:type="dxa"/>
            <w:vAlign w:val="center"/>
            <w:hideMark/>
          </w:tcPr>
          <w:p w14:paraId="74CCF63F" w14:textId="77777777" w:rsidR="00295BCD" w:rsidRPr="001927D6" w:rsidRDefault="00295BCD">
            <w:pPr>
              <w:spacing w:after="0" w:line="240" w:lineRule="auto"/>
              <w:jc w:val="center"/>
              <w:textAlignment w:val="baseline"/>
              <w:rPr>
                <w:szCs w:val="24"/>
                <w:lang w:eastAsia="et-EE"/>
              </w:rPr>
            </w:pPr>
            <w:r w:rsidRPr="001927D6">
              <w:rPr>
                <w:szCs w:val="24"/>
                <w:lang w:eastAsia="et-EE"/>
              </w:rPr>
              <w:t>223 </w:t>
            </w:r>
          </w:p>
        </w:tc>
        <w:tc>
          <w:tcPr>
            <w:tcW w:w="1243" w:type="dxa"/>
            <w:vAlign w:val="center"/>
          </w:tcPr>
          <w:p w14:paraId="760FD5E8" w14:textId="77777777" w:rsidR="00295BCD" w:rsidRPr="001927D6" w:rsidRDefault="00295BCD">
            <w:pPr>
              <w:spacing w:after="0" w:line="240" w:lineRule="auto"/>
              <w:jc w:val="center"/>
              <w:textAlignment w:val="baseline"/>
              <w:rPr>
                <w:szCs w:val="24"/>
                <w:lang w:eastAsia="et-EE"/>
              </w:rPr>
            </w:pPr>
            <w:r w:rsidRPr="001927D6">
              <w:rPr>
                <w:color w:val="000000"/>
                <w:szCs w:val="24"/>
              </w:rPr>
              <w:t>2 883,68</w:t>
            </w:r>
          </w:p>
        </w:tc>
        <w:tc>
          <w:tcPr>
            <w:tcW w:w="1211" w:type="dxa"/>
            <w:vAlign w:val="center"/>
          </w:tcPr>
          <w:p w14:paraId="588E0B68" w14:textId="77777777" w:rsidR="00295BCD" w:rsidRPr="001927D6" w:rsidRDefault="00295BCD">
            <w:pPr>
              <w:spacing w:after="0" w:line="240" w:lineRule="auto"/>
              <w:jc w:val="center"/>
              <w:textAlignment w:val="baseline"/>
              <w:rPr>
                <w:szCs w:val="24"/>
                <w:lang w:eastAsia="et-EE"/>
              </w:rPr>
            </w:pPr>
            <w:r w:rsidRPr="001927D6">
              <w:rPr>
                <w:color w:val="000000"/>
                <w:szCs w:val="24"/>
              </w:rPr>
              <w:t>1 474,06</w:t>
            </w:r>
          </w:p>
        </w:tc>
        <w:tc>
          <w:tcPr>
            <w:tcW w:w="1238" w:type="dxa"/>
            <w:vAlign w:val="center"/>
          </w:tcPr>
          <w:p w14:paraId="5C5884CC" w14:textId="77777777" w:rsidR="00295BCD" w:rsidRPr="001927D6" w:rsidRDefault="00295BCD">
            <w:pPr>
              <w:spacing w:after="0" w:line="240" w:lineRule="auto"/>
              <w:jc w:val="center"/>
              <w:textAlignment w:val="baseline"/>
              <w:rPr>
                <w:szCs w:val="24"/>
                <w:lang w:eastAsia="et-EE"/>
              </w:rPr>
            </w:pPr>
            <w:r w:rsidRPr="001927D6">
              <w:rPr>
                <w:color w:val="000000"/>
                <w:szCs w:val="24"/>
              </w:rPr>
              <w:t>5 381,62</w:t>
            </w:r>
          </w:p>
        </w:tc>
      </w:tr>
      <w:tr w:rsidR="00295BCD" w:rsidRPr="001927D6" w14:paraId="47F442B0" w14:textId="77777777" w:rsidTr="00295BCD">
        <w:trPr>
          <w:divId w:val="1316184749"/>
          <w:trHeight w:val="300"/>
        </w:trPr>
        <w:tc>
          <w:tcPr>
            <w:tcW w:w="4632" w:type="dxa"/>
            <w:vAlign w:val="bottom"/>
            <w:hideMark/>
          </w:tcPr>
          <w:p w14:paraId="45FA3A5A" w14:textId="77777777" w:rsidR="00295BCD" w:rsidRPr="001927D6" w:rsidRDefault="00295BCD">
            <w:pPr>
              <w:spacing w:after="0" w:line="240" w:lineRule="auto"/>
              <w:textAlignment w:val="baseline"/>
              <w:rPr>
                <w:szCs w:val="24"/>
                <w:lang w:eastAsia="et-EE"/>
              </w:rPr>
            </w:pPr>
            <w:r w:rsidRPr="001927D6">
              <w:rPr>
                <w:szCs w:val="24"/>
                <w:lang w:eastAsia="et-EE"/>
              </w:rPr>
              <w:t>Õla- ja küünarliigese suured operatsioonid või ülajäseme muud operatsioonid, lühike ravi </w:t>
            </w:r>
          </w:p>
        </w:tc>
        <w:tc>
          <w:tcPr>
            <w:tcW w:w="732" w:type="dxa"/>
            <w:vAlign w:val="center"/>
            <w:hideMark/>
          </w:tcPr>
          <w:p w14:paraId="2B9D58BA" w14:textId="77777777" w:rsidR="00295BCD" w:rsidRPr="001927D6" w:rsidRDefault="00295BCD">
            <w:pPr>
              <w:spacing w:after="0" w:line="240" w:lineRule="auto"/>
              <w:jc w:val="center"/>
              <w:textAlignment w:val="baseline"/>
              <w:rPr>
                <w:szCs w:val="24"/>
                <w:lang w:eastAsia="et-EE"/>
              </w:rPr>
            </w:pPr>
            <w:r w:rsidRPr="001927D6">
              <w:rPr>
                <w:szCs w:val="24"/>
                <w:lang w:eastAsia="et-EE"/>
              </w:rPr>
              <w:t>223O </w:t>
            </w:r>
          </w:p>
        </w:tc>
        <w:tc>
          <w:tcPr>
            <w:tcW w:w="1243" w:type="dxa"/>
            <w:vAlign w:val="center"/>
          </w:tcPr>
          <w:p w14:paraId="4E619CBB" w14:textId="77777777" w:rsidR="00295BCD" w:rsidRPr="001927D6" w:rsidRDefault="00295BCD">
            <w:pPr>
              <w:spacing w:after="0" w:line="240" w:lineRule="auto"/>
              <w:jc w:val="center"/>
              <w:textAlignment w:val="baseline"/>
              <w:rPr>
                <w:szCs w:val="24"/>
                <w:lang w:eastAsia="et-EE"/>
              </w:rPr>
            </w:pPr>
            <w:r w:rsidRPr="001927D6">
              <w:rPr>
                <w:color w:val="000000"/>
                <w:szCs w:val="24"/>
              </w:rPr>
              <w:t>1 761,28</w:t>
            </w:r>
          </w:p>
        </w:tc>
        <w:tc>
          <w:tcPr>
            <w:tcW w:w="1211" w:type="dxa"/>
            <w:vAlign w:val="center"/>
          </w:tcPr>
          <w:p w14:paraId="11C67E83" w14:textId="77777777" w:rsidR="00295BCD" w:rsidRPr="001927D6" w:rsidRDefault="00295BCD">
            <w:pPr>
              <w:spacing w:after="0" w:line="240" w:lineRule="auto"/>
              <w:jc w:val="center"/>
              <w:textAlignment w:val="baseline"/>
              <w:rPr>
                <w:szCs w:val="24"/>
                <w:lang w:eastAsia="et-EE"/>
              </w:rPr>
            </w:pPr>
            <w:r w:rsidRPr="001927D6">
              <w:rPr>
                <w:color w:val="000000"/>
                <w:szCs w:val="24"/>
              </w:rPr>
              <w:t>1 072,23</w:t>
            </w:r>
          </w:p>
        </w:tc>
        <w:tc>
          <w:tcPr>
            <w:tcW w:w="1238" w:type="dxa"/>
            <w:vAlign w:val="center"/>
          </w:tcPr>
          <w:p w14:paraId="06F0337F" w14:textId="77777777" w:rsidR="00295BCD" w:rsidRPr="001927D6" w:rsidRDefault="00295BCD">
            <w:pPr>
              <w:spacing w:after="0" w:line="240" w:lineRule="auto"/>
              <w:jc w:val="center"/>
              <w:textAlignment w:val="baseline"/>
              <w:rPr>
                <w:szCs w:val="24"/>
                <w:lang w:eastAsia="et-EE"/>
              </w:rPr>
            </w:pPr>
            <w:r w:rsidRPr="001927D6">
              <w:rPr>
                <w:color w:val="000000"/>
                <w:szCs w:val="24"/>
              </w:rPr>
              <w:t>3 577,44</w:t>
            </w:r>
          </w:p>
        </w:tc>
      </w:tr>
      <w:tr w:rsidR="00295BCD" w:rsidRPr="001927D6" w14:paraId="43882301" w14:textId="77777777" w:rsidTr="00295BCD">
        <w:trPr>
          <w:divId w:val="1316184749"/>
          <w:trHeight w:val="300"/>
        </w:trPr>
        <w:tc>
          <w:tcPr>
            <w:tcW w:w="4632" w:type="dxa"/>
            <w:vAlign w:val="bottom"/>
            <w:hideMark/>
          </w:tcPr>
          <w:p w14:paraId="00AF3295" w14:textId="77777777" w:rsidR="00295BCD" w:rsidRPr="001927D6" w:rsidRDefault="00295BCD">
            <w:pPr>
              <w:spacing w:after="0" w:line="240" w:lineRule="auto"/>
              <w:textAlignment w:val="baseline"/>
              <w:rPr>
                <w:szCs w:val="24"/>
                <w:lang w:eastAsia="et-EE"/>
              </w:rPr>
            </w:pPr>
            <w:r w:rsidRPr="001927D6">
              <w:rPr>
                <w:szCs w:val="24"/>
                <w:lang w:eastAsia="et-EE"/>
              </w:rPr>
              <w:t>Õla, küünra ja küünarvarre operatsioonid, v.a suurte liigeste operatsioonid, kht-ta </w:t>
            </w:r>
          </w:p>
        </w:tc>
        <w:tc>
          <w:tcPr>
            <w:tcW w:w="732" w:type="dxa"/>
            <w:vAlign w:val="center"/>
            <w:hideMark/>
          </w:tcPr>
          <w:p w14:paraId="5C342D08" w14:textId="77777777" w:rsidR="00295BCD" w:rsidRPr="001927D6" w:rsidRDefault="00295BCD">
            <w:pPr>
              <w:spacing w:after="0" w:line="240" w:lineRule="auto"/>
              <w:jc w:val="center"/>
              <w:textAlignment w:val="baseline"/>
              <w:rPr>
                <w:szCs w:val="24"/>
                <w:lang w:eastAsia="et-EE"/>
              </w:rPr>
            </w:pPr>
            <w:r w:rsidRPr="001927D6">
              <w:rPr>
                <w:szCs w:val="24"/>
                <w:lang w:eastAsia="et-EE"/>
              </w:rPr>
              <w:t>224 </w:t>
            </w:r>
          </w:p>
        </w:tc>
        <w:tc>
          <w:tcPr>
            <w:tcW w:w="1243" w:type="dxa"/>
            <w:vAlign w:val="center"/>
          </w:tcPr>
          <w:p w14:paraId="58B080DF" w14:textId="77777777" w:rsidR="00295BCD" w:rsidRPr="001927D6" w:rsidRDefault="00295BCD">
            <w:pPr>
              <w:spacing w:after="0" w:line="240" w:lineRule="auto"/>
              <w:jc w:val="center"/>
              <w:textAlignment w:val="baseline"/>
              <w:rPr>
                <w:szCs w:val="24"/>
                <w:lang w:eastAsia="et-EE"/>
              </w:rPr>
            </w:pPr>
            <w:r w:rsidRPr="001927D6">
              <w:rPr>
                <w:color w:val="000000"/>
                <w:szCs w:val="24"/>
              </w:rPr>
              <w:t>2 251,04</w:t>
            </w:r>
          </w:p>
        </w:tc>
        <w:tc>
          <w:tcPr>
            <w:tcW w:w="1211" w:type="dxa"/>
            <w:vAlign w:val="center"/>
          </w:tcPr>
          <w:p w14:paraId="064CBEB6" w14:textId="77777777" w:rsidR="00295BCD" w:rsidRPr="001927D6" w:rsidRDefault="00295BCD">
            <w:pPr>
              <w:spacing w:after="0" w:line="240" w:lineRule="auto"/>
              <w:jc w:val="center"/>
              <w:textAlignment w:val="baseline"/>
              <w:rPr>
                <w:szCs w:val="24"/>
                <w:lang w:eastAsia="et-EE"/>
              </w:rPr>
            </w:pPr>
            <w:r w:rsidRPr="001927D6">
              <w:rPr>
                <w:color w:val="000000"/>
                <w:szCs w:val="24"/>
              </w:rPr>
              <w:t>1 384,92</w:t>
            </w:r>
          </w:p>
        </w:tc>
        <w:tc>
          <w:tcPr>
            <w:tcW w:w="1238" w:type="dxa"/>
            <w:vAlign w:val="center"/>
          </w:tcPr>
          <w:p w14:paraId="493CFB79" w14:textId="77777777" w:rsidR="00295BCD" w:rsidRPr="001927D6" w:rsidRDefault="00295BCD">
            <w:pPr>
              <w:spacing w:after="0" w:line="240" w:lineRule="auto"/>
              <w:jc w:val="center"/>
              <w:textAlignment w:val="baseline"/>
              <w:rPr>
                <w:szCs w:val="24"/>
                <w:lang w:eastAsia="et-EE"/>
              </w:rPr>
            </w:pPr>
            <w:r w:rsidRPr="001927D6">
              <w:rPr>
                <w:color w:val="000000"/>
                <w:szCs w:val="24"/>
              </w:rPr>
              <w:t>3 121,45</w:t>
            </w:r>
          </w:p>
        </w:tc>
      </w:tr>
      <w:tr w:rsidR="00295BCD" w:rsidRPr="001927D6" w14:paraId="342C2237" w14:textId="77777777" w:rsidTr="00295BCD">
        <w:trPr>
          <w:divId w:val="1316184749"/>
          <w:trHeight w:val="300"/>
        </w:trPr>
        <w:tc>
          <w:tcPr>
            <w:tcW w:w="4632" w:type="dxa"/>
            <w:vAlign w:val="bottom"/>
            <w:hideMark/>
          </w:tcPr>
          <w:p w14:paraId="58B3B33B" w14:textId="77777777" w:rsidR="00295BCD" w:rsidRPr="001927D6" w:rsidRDefault="00295BCD">
            <w:pPr>
              <w:spacing w:after="0" w:line="240" w:lineRule="auto"/>
              <w:textAlignment w:val="baseline"/>
              <w:rPr>
                <w:szCs w:val="24"/>
                <w:lang w:eastAsia="et-EE"/>
              </w:rPr>
            </w:pPr>
            <w:r w:rsidRPr="001927D6">
              <w:rPr>
                <w:szCs w:val="24"/>
                <w:lang w:eastAsia="et-EE"/>
              </w:rPr>
              <w:t>Õla, küünra ja küünarvarre operatsioonid, v.a suurte liigeste operatsioonid, lühike ravi </w:t>
            </w:r>
          </w:p>
        </w:tc>
        <w:tc>
          <w:tcPr>
            <w:tcW w:w="732" w:type="dxa"/>
            <w:vAlign w:val="center"/>
            <w:hideMark/>
          </w:tcPr>
          <w:p w14:paraId="00EFBE6C" w14:textId="77777777" w:rsidR="00295BCD" w:rsidRPr="001927D6" w:rsidRDefault="00295BCD">
            <w:pPr>
              <w:spacing w:after="0" w:line="240" w:lineRule="auto"/>
              <w:jc w:val="center"/>
              <w:textAlignment w:val="baseline"/>
              <w:rPr>
                <w:szCs w:val="24"/>
                <w:lang w:eastAsia="et-EE"/>
              </w:rPr>
            </w:pPr>
            <w:r w:rsidRPr="001927D6">
              <w:rPr>
                <w:szCs w:val="24"/>
                <w:lang w:eastAsia="et-EE"/>
              </w:rPr>
              <w:t>224O </w:t>
            </w:r>
          </w:p>
        </w:tc>
        <w:tc>
          <w:tcPr>
            <w:tcW w:w="1243" w:type="dxa"/>
            <w:vAlign w:val="center"/>
          </w:tcPr>
          <w:p w14:paraId="0868DC80" w14:textId="77777777" w:rsidR="00295BCD" w:rsidRPr="001927D6" w:rsidRDefault="00295BCD">
            <w:pPr>
              <w:spacing w:after="0" w:line="240" w:lineRule="auto"/>
              <w:jc w:val="center"/>
              <w:textAlignment w:val="baseline"/>
              <w:rPr>
                <w:szCs w:val="24"/>
                <w:lang w:eastAsia="et-EE"/>
              </w:rPr>
            </w:pPr>
            <w:r w:rsidRPr="001927D6">
              <w:rPr>
                <w:color w:val="000000"/>
                <w:szCs w:val="24"/>
              </w:rPr>
              <w:t>1 731,08</w:t>
            </w:r>
          </w:p>
        </w:tc>
        <w:tc>
          <w:tcPr>
            <w:tcW w:w="1211" w:type="dxa"/>
            <w:vAlign w:val="center"/>
          </w:tcPr>
          <w:p w14:paraId="39DFD4DF" w14:textId="77777777" w:rsidR="00295BCD" w:rsidRPr="001927D6" w:rsidRDefault="00295BCD">
            <w:pPr>
              <w:spacing w:after="0" w:line="240" w:lineRule="auto"/>
              <w:jc w:val="center"/>
              <w:textAlignment w:val="baseline"/>
              <w:rPr>
                <w:szCs w:val="24"/>
                <w:lang w:eastAsia="et-EE"/>
              </w:rPr>
            </w:pPr>
            <w:r w:rsidRPr="001927D6">
              <w:rPr>
                <w:color w:val="000000"/>
                <w:szCs w:val="24"/>
              </w:rPr>
              <w:t>813,79</w:t>
            </w:r>
          </w:p>
        </w:tc>
        <w:tc>
          <w:tcPr>
            <w:tcW w:w="1238" w:type="dxa"/>
            <w:vAlign w:val="center"/>
          </w:tcPr>
          <w:p w14:paraId="5AF64118" w14:textId="77777777" w:rsidR="00295BCD" w:rsidRPr="001927D6" w:rsidRDefault="00295BCD">
            <w:pPr>
              <w:spacing w:after="0" w:line="240" w:lineRule="auto"/>
              <w:jc w:val="center"/>
              <w:textAlignment w:val="baseline"/>
              <w:rPr>
                <w:szCs w:val="24"/>
                <w:lang w:eastAsia="et-EE"/>
              </w:rPr>
            </w:pPr>
            <w:r w:rsidRPr="001927D6">
              <w:rPr>
                <w:color w:val="000000"/>
                <w:szCs w:val="24"/>
              </w:rPr>
              <w:t>2 520,55</w:t>
            </w:r>
          </w:p>
        </w:tc>
      </w:tr>
      <w:tr w:rsidR="00295BCD" w:rsidRPr="001927D6" w14:paraId="3F85248E" w14:textId="77777777" w:rsidTr="00295BCD">
        <w:trPr>
          <w:divId w:val="1316184749"/>
          <w:trHeight w:val="300"/>
        </w:trPr>
        <w:tc>
          <w:tcPr>
            <w:tcW w:w="4632" w:type="dxa"/>
            <w:vAlign w:val="bottom"/>
            <w:hideMark/>
          </w:tcPr>
          <w:p w14:paraId="1C29726C"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Labajala operatsioonid </w:t>
            </w:r>
          </w:p>
        </w:tc>
        <w:tc>
          <w:tcPr>
            <w:tcW w:w="732" w:type="dxa"/>
            <w:vAlign w:val="center"/>
            <w:hideMark/>
          </w:tcPr>
          <w:p w14:paraId="7D1755EC" w14:textId="77777777" w:rsidR="00295BCD" w:rsidRPr="001927D6" w:rsidRDefault="00295BCD">
            <w:pPr>
              <w:spacing w:after="0" w:line="240" w:lineRule="auto"/>
              <w:jc w:val="center"/>
              <w:textAlignment w:val="baseline"/>
              <w:rPr>
                <w:szCs w:val="24"/>
                <w:lang w:eastAsia="et-EE"/>
              </w:rPr>
            </w:pPr>
            <w:r w:rsidRPr="001927D6">
              <w:rPr>
                <w:szCs w:val="24"/>
                <w:lang w:eastAsia="et-EE"/>
              </w:rPr>
              <w:t>225 </w:t>
            </w:r>
          </w:p>
        </w:tc>
        <w:tc>
          <w:tcPr>
            <w:tcW w:w="1243" w:type="dxa"/>
            <w:vAlign w:val="center"/>
          </w:tcPr>
          <w:p w14:paraId="034843E3" w14:textId="77777777" w:rsidR="00295BCD" w:rsidRPr="001927D6" w:rsidRDefault="00295BCD">
            <w:pPr>
              <w:spacing w:after="0" w:line="240" w:lineRule="auto"/>
              <w:jc w:val="center"/>
              <w:textAlignment w:val="baseline"/>
              <w:rPr>
                <w:szCs w:val="24"/>
                <w:lang w:eastAsia="et-EE"/>
              </w:rPr>
            </w:pPr>
            <w:r w:rsidRPr="001927D6">
              <w:rPr>
                <w:color w:val="000000"/>
                <w:szCs w:val="24"/>
              </w:rPr>
              <w:t>1 900,46</w:t>
            </w:r>
          </w:p>
        </w:tc>
        <w:tc>
          <w:tcPr>
            <w:tcW w:w="1211" w:type="dxa"/>
            <w:vAlign w:val="center"/>
          </w:tcPr>
          <w:p w14:paraId="06610667" w14:textId="77777777" w:rsidR="00295BCD" w:rsidRPr="001927D6" w:rsidRDefault="00295BCD">
            <w:pPr>
              <w:spacing w:after="0" w:line="240" w:lineRule="auto"/>
              <w:jc w:val="center"/>
              <w:textAlignment w:val="baseline"/>
              <w:rPr>
                <w:szCs w:val="24"/>
                <w:lang w:eastAsia="et-EE"/>
              </w:rPr>
            </w:pPr>
            <w:r w:rsidRPr="001927D6">
              <w:rPr>
                <w:color w:val="000000"/>
                <w:szCs w:val="24"/>
              </w:rPr>
              <w:t>1 165,43</w:t>
            </w:r>
          </w:p>
        </w:tc>
        <w:tc>
          <w:tcPr>
            <w:tcW w:w="1238" w:type="dxa"/>
            <w:vAlign w:val="center"/>
          </w:tcPr>
          <w:p w14:paraId="533F53F8" w14:textId="77777777" w:rsidR="00295BCD" w:rsidRPr="001927D6" w:rsidRDefault="00295BCD">
            <w:pPr>
              <w:spacing w:after="0" w:line="240" w:lineRule="auto"/>
              <w:jc w:val="center"/>
              <w:textAlignment w:val="baseline"/>
              <w:rPr>
                <w:szCs w:val="24"/>
                <w:lang w:eastAsia="et-EE"/>
              </w:rPr>
            </w:pPr>
            <w:r w:rsidRPr="001927D6">
              <w:rPr>
                <w:color w:val="000000"/>
                <w:szCs w:val="24"/>
              </w:rPr>
              <w:t>3 393,43</w:t>
            </w:r>
          </w:p>
        </w:tc>
      </w:tr>
      <w:tr w:rsidR="00295BCD" w:rsidRPr="001927D6" w14:paraId="2C74AB59" w14:textId="77777777" w:rsidTr="00295BCD">
        <w:trPr>
          <w:divId w:val="1316184749"/>
          <w:trHeight w:val="300"/>
        </w:trPr>
        <w:tc>
          <w:tcPr>
            <w:tcW w:w="4632" w:type="dxa"/>
            <w:vAlign w:val="bottom"/>
            <w:hideMark/>
          </w:tcPr>
          <w:p w14:paraId="71D83379" w14:textId="77777777" w:rsidR="00295BCD" w:rsidRPr="001927D6" w:rsidRDefault="00295BCD">
            <w:pPr>
              <w:spacing w:after="0" w:line="240" w:lineRule="auto"/>
              <w:textAlignment w:val="baseline"/>
              <w:rPr>
                <w:szCs w:val="24"/>
                <w:lang w:eastAsia="et-EE"/>
              </w:rPr>
            </w:pPr>
            <w:r w:rsidRPr="001927D6">
              <w:rPr>
                <w:szCs w:val="24"/>
                <w:lang w:eastAsia="et-EE"/>
              </w:rPr>
              <w:t>Labajala operatsioonid, lühike ravi </w:t>
            </w:r>
          </w:p>
        </w:tc>
        <w:tc>
          <w:tcPr>
            <w:tcW w:w="732" w:type="dxa"/>
            <w:vAlign w:val="center"/>
            <w:hideMark/>
          </w:tcPr>
          <w:p w14:paraId="0E3BABA3" w14:textId="77777777" w:rsidR="00295BCD" w:rsidRPr="001927D6" w:rsidRDefault="00295BCD">
            <w:pPr>
              <w:spacing w:after="0" w:line="240" w:lineRule="auto"/>
              <w:jc w:val="center"/>
              <w:textAlignment w:val="baseline"/>
              <w:rPr>
                <w:szCs w:val="24"/>
                <w:lang w:eastAsia="et-EE"/>
              </w:rPr>
            </w:pPr>
            <w:r w:rsidRPr="001927D6">
              <w:rPr>
                <w:szCs w:val="24"/>
                <w:lang w:eastAsia="et-EE"/>
              </w:rPr>
              <w:t>225O </w:t>
            </w:r>
          </w:p>
        </w:tc>
        <w:tc>
          <w:tcPr>
            <w:tcW w:w="1243" w:type="dxa"/>
            <w:vAlign w:val="center"/>
          </w:tcPr>
          <w:p w14:paraId="2234374D" w14:textId="77777777" w:rsidR="00295BCD" w:rsidRPr="001927D6" w:rsidRDefault="00295BCD">
            <w:pPr>
              <w:spacing w:after="0" w:line="240" w:lineRule="auto"/>
              <w:jc w:val="center"/>
              <w:textAlignment w:val="baseline"/>
              <w:rPr>
                <w:szCs w:val="24"/>
                <w:lang w:eastAsia="et-EE"/>
              </w:rPr>
            </w:pPr>
            <w:r w:rsidRPr="001927D6">
              <w:rPr>
                <w:color w:val="000000"/>
                <w:szCs w:val="24"/>
              </w:rPr>
              <w:t>1 203,38</w:t>
            </w:r>
          </w:p>
        </w:tc>
        <w:tc>
          <w:tcPr>
            <w:tcW w:w="1211" w:type="dxa"/>
            <w:vAlign w:val="center"/>
          </w:tcPr>
          <w:p w14:paraId="483A4975" w14:textId="77777777" w:rsidR="00295BCD" w:rsidRPr="001927D6" w:rsidRDefault="00295BCD">
            <w:pPr>
              <w:spacing w:after="0" w:line="240" w:lineRule="auto"/>
              <w:jc w:val="center"/>
              <w:textAlignment w:val="baseline"/>
              <w:rPr>
                <w:szCs w:val="24"/>
                <w:lang w:eastAsia="et-EE"/>
              </w:rPr>
            </w:pPr>
            <w:r w:rsidRPr="001927D6">
              <w:rPr>
                <w:color w:val="000000"/>
                <w:szCs w:val="24"/>
              </w:rPr>
              <w:t>724,24</w:t>
            </w:r>
          </w:p>
        </w:tc>
        <w:tc>
          <w:tcPr>
            <w:tcW w:w="1238" w:type="dxa"/>
            <w:vAlign w:val="center"/>
          </w:tcPr>
          <w:p w14:paraId="7F20E817" w14:textId="77777777" w:rsidR="00295BCD" w:rsidRPr="001927D6" w:rsidRDefault="00295BCD">
            <w:pPr>
              <w:spacing w:after="0" w:line="240" w:lineRule="auto"/>
              <w:jc w:val="center"/>
              <w:textAlignment w:val="baseline"/>
              <w:rPr>
                <w:szCs w:val="24"/>
                <w:lang w:eastAsia="et-EE"/>
              </w:rPr>
            </w:pPr>
            <w:r w:rsidRPr="001927D6">
              <w:rPr>
                <w:color w:val="000000"/>
                <w:szCs w:val="24"/>
              </w:rPr>
              <w:t>1 620,31</w:t>
            </w:r>
          </w:p>
        </w:tc>
      </w:tr>
      <w:tr w:rsidR="00295BCD" w:rsidRPr="001927D6" w14:paraId="0FEA7AC0" w14:textId="77777777" w:rsidTr="00295BCD">
        <w:trPr>
          <w:divId w:val="1316184749"/>
          <w:trHeight w:val="300"/>
        </w:trPr>
        <w:tc>
          <w:tcPr>
            <w:tcW w:w="4632" w:type="dxa"/>
            <w:vAlign w:val="bottom"/>
            <w:hideMark/>
          </w:tcPr>
          <w:p w14:paraId="12DE4BE1" w14:textId="77777777" w:rsidR="00295BCD" w:rsidRPr="001927D6" w:rsidRDefault="00295BCD">
            <w:pPr>
              <w:spacing w:after="0" w:line="240" w:lineRule="auto"/>
              <w:textAlignment w:val="baseline"/>
              <w:rPr>
                <w:szCs w:val="24"/>
                <w:lang w:eastAsia="et-EE"/>
              </w:rPr>
            </w:pPr>
            <w:r w:rsidRPr="001927D6">
              <w:rPr>
                <w:szCs w:val="24"/>
                <w:lang w:eastAsia="et-EE"/>
              </w:rPr>
              <w:t>Pehmete kudede operatsioonid, kht-ga </w:t>
            </w:r>
          </w:p>
        </w:tc>
        <w:tc>
          <w:tcPr>
            <w:tcW w:w="732" w:type="dxa"/>
            <w:vAlign w:val="center"/>
            <w:hideMark/>
          </w:tcPr>
          <w:p w14:paraId="7511A258" w14:textId="77777777" w:rsidR="00295BCD" w:rsidRPr="001927D6" w:rsidRDefault="00295BCD">
            <w:pPr>
              <w:spacing w:after="0" w:line="240" w:lineRule="auto"/>
              <w:jc w:val="center"/>
              <w:textAlignment w:val="baseline"/>
              <w:rPr>
                <w:szCs w:val="24"/>
                <w:lang w:eastAsia="et-EE"/>
              </w:rPr>
            </w:pPr>
            <w:r w:rsidRPr="001927D6">
              <w:rPr>
                <w:szCs w:val="24"/>
                <w:lang w:eastAsia="et-EE"/>
              </w:rPr>
              <w:t>226 </w:t>
            </w:r>
          </w:p>
        </w:tc>
        <w:tc>
          <w:tcPr>
            <w:tcW w:w="1243" w:type="dxa"/>
            <w:vAlign w:val="center"/>
          </w:tcPr>
          <w:p w14:paraId="408DFF3B" w14:textId="77777777" w:rsidR="00295BCD" w:rsidRPr="001927D6" w:rsidRDefault="00295BCD">
            <w:pPr>
              <w:spacing w:after="0" w:line="240" w:lineRule="auto"/>
              <w:jc w:val="center"/>
              <w:textAlignment w:val="baseline"/>
              <w:rPr>
                <w:szCs w:val="24"/>
                <w:lang w:eastAsia="et-EE"/>
              </w:rPr>
            </w:pPr>
            <w:r w:rsidRPr="001927D6">
              <w:rPr>
                <w:color w:val="000000"/>
                <w:szCs w:val="24"/>
              </w:rPr>
              <w:t>2 378,57</w:t>
            </w:r>
          </w:p>
        </w:tc>
        <w:tc>
          <w:tcPr>
            <w:tcW w:w="1211" w:type="dxa"/>
            <w:vAlign w:val="center"/>
          </w:tcPr>
          <w:p w14:paraId="22855E9D" w14:textId="77777777" w:rsidR="00295BCD" w:rsidRPr="001927D6" w:rsidRDefault="00295BCD">
            <w:pPr>
              <w:spacing w:after="0" w:line="240" w:lineRule="auto"/>
              <w:jc w:val="center"/>
              <w:textAlignment w:val="baseline"/>
              <w:rPr>
                <w:szCs w:val="24"/>
                <w:lang w:eastAsia="et-EE"/>
              </w:rPr>
            </w:pPr>
            <w:r w:rsidRPr="001927D6">
              <w:rPr>
                <w:color w:val="000000"/>
                <w:szCs w:val="24"/>
              </w:rPr>
              <w:t>1 178,30</w:t>
            </w:r>
          </w:p>
        </w:tc>
        <w:tc>
          <w:tcPr>
            <w:tcW w:w="1238" w:type="dxa"/>
            <w:vAlign w:val="center"/>
          </w:tcPr>
          <w:p w14:paraId="718B8140" w14:textId="77777777" w:rsidR="00295BCD" w:rsidRPr="001927D6" w:rsidRDefault="00295BCD">
            <w:pPr>
              <w:spacing w:after="0" w:line="240" w:lineRule="auto"/>
              <w:jc w:val="center"/>
              <w:textAlignment w:val="baseline"/>
              <w:rPr>
                <w:szCs w:val="24"/>
                <w:lang w:eastAsia="et-EE"/>
              </w:rPr>
            </w:pPr>
            <w:r w:rsidRPr="001927D6">
              <w:rPr>
                <w:color w:val="000000"/>
                <w:szCs w:val="24"/>
              </w:rPr>
              <w:t>5 994,48</w:t>
            </w:r>
          </w:p>
        </w:tc>
      </w:tr>
      <w:tr w:rsidR="00295BCD" w:rsidRPr="001927D6" w14:paraId="53CFF774" w14:textId="77777777" w:rsidTr="00295BCD">
        <w:trPr>
          <w:divId w:val="1316184749"/>
          <w:trHeight w:val="300"/>
        </w:trPr>
        <w:tc>
          <w:tcPr>
            <w:tcW w:w="4632" w:type="dxa"/>
            <w:vAlign w:val="bottom"/>
            <w:hideMark/>
          </w:tcPr>
          <w:p w14:paraId="3173CD06" w14:textId="77777777" w:rsidR="00295BCD" w:rsidRPr="001927D6" w:rsidRDefault="00295BCD">
            <w:pPr>
              <w:spacing w:after="0" w:line="240" w:lineRule="auto"/>
              <w:textAlignment w:val="baseline"/>
              <w:rPr>
                <w:szCs w:val="24"/>
                <w:lang w:eastAsia="et-EE"/>
              </w:rPr>
            </w:pPr>
            <w:r w:rsidRPr="001927D6">
              <w:rPr>
                <w:szCs w:val="24"/>
                <w:lang w:eastAsia="et-EE"/>
              </w:rPr>
              <w:t>Pehmete kudede operatsioonid, kht-ta </w:t>
            </w:r>
          </w:p>
        </w:tc>
        <w:tc>
          <w:tcPr>
            <w:tcW w:w="732" w:type="dxa"/>
            <w:vAlign w:val="center"/>
            <w:hideMark/>
          </w:tcPr>
          <w:p w14:paraId="428D3EA3" w14:textId="77777777" w:rsidR="00295BCD" w:rsidRPr="001927D6" w:rsidRDefault="00295BCD">
            <w:pPr>
              <w:spacing w:after="0" w:line="240" w:lineRule="auto"/>
              <w:jc w:val="center"/>
              <w:textAlignment w:val="baseline"/>
              <w:rPr>
                <w:szCs w:val="24"/>
                <w:lang w:eastAsia="et-EE"/>
              </w:rPr>
            </w:pPr>
            <w:r w:rsidRPr="001927D6">
              <w:rPr>
                <w:szCs w:val="24"/>
                <w:lang w:eastAsia="et-EE"/>
              </w:rPr>
              <w:t>227 </w:t>
            </w:r>
          </w:p>
        </w:tc>
        <w:tc>
          <w:tcPr>
            <w:tcW w:w="1243" w:type="dxa"/>
            <w:vAlign w:val="center"/>
          </w:tcPr>
          <w:p w14:paraId="3FA8DCCA" w14:textId="77777777" w:rsidR="00295BCD" w:rsidRPr="001927D6" w:rsidRDefault="00295BCD">
            <w:pPr>
              <w:spacing w:after="0" w:line="240" w:lineRule="auto"/>
              <w:jc w:val="center"/>
              <w:textAlignment w:val="baseline"/>
              <w:rPr>
                <w:szCs w:val="24"/>
                <w:lang w:eastAsia="et-EE"/>
              </w:rPr>
            </w:pPr>
            <w:r w:rsidRPr="001927D6">
              <w:rPr>
                <w:color w:val="000000"/>
                <w:szCs w:val="24"/>
              </w:rPr>
              <w:t>1 568,46</w:t>
            </w:r>
          </w:p>
        </w:tc>
        <w:tc>
          <w:tcPr>
            <w:tcW w:w="1211" w:type="dxa"/>
            <w:vAlign w:val="center"/>
          </w:tcPr>
          <w:p w14:paraId="4C2B0899" w14:textId="77777777" w:rsidR="00295BCD" w:rsidRPr="001927D6" w:rsidRDefault="00295BCD">
            <w:pPr>
              <w:spacing w:after="0" w:line="240" w:lineRule="auto"/>
              <w:jc w:val="center"/>
              <w:textAlignment w:val="baseline"/>
              <w:rPr>
                <w:szCs w:val="24"/>
                <w:lang w:eastAsia="et-EE"/>
              </w:rPr>
            </w:pPr>
            <w:r w:rsidRPr="001927D6">
              <w:rPr>
                <w:color w:val="000000"/>
                <w:szCs w:val="24"/>
              </w:rPr>
              <w:t>1 004,13</w:t>
            </w:r>
          </w:p>
        </w:tc>
        <w:tc>
          <w:tcPr>
            <w:tcW w:w="1238" w:type="dxa"/>
            <w:vAlign w:val="center"/>
          </w:tcPr>
          <w:p w14:paraId="29F5BFE8" w14:textId="77777777" w:rsidR="00295BCD" w:rsidRPr="001927D6" w:rsidRDefault="00295BCD">
            <w:pPr>
              <w:spacing w:after="0" w:line="240" w:lineRule="auto"/>
              <w:jc w:val="center"/>
              <w:textAlignment w:val="baseline"/>
              <w:rPr>
                <w:szCs w:val="24"/>
                <w:lang w:eastAsia="et-EE"/>
              </w:rPr>
            </w:pPr>
            <w:r w:rsidRPr="001927D6">
              <w:rPr>
                <w:color w:val="000000"/>
                <w:szCs w:val="24"/>
              </w:rPr>
              <w:t>2 359,02</w:t>
            </w:r>
          </w:p>
        </w:tc>
      </w:tr>
      <w:tr w:rsidR="00295BCD" w:rsidRPr="001927D6" w14:paraId="1FB2805A" w14:textId="77777777" w:rsidTr="00295BCD">
        <w:trPr>
          <w:divId w:val="1316184749"/>
          <w:trHeight w:val="300"/>
        </w:trPr>
        <w:tc>
          <w:tcPr>
            <w:tcW w:w="4632" w:type="dxa"/>
            <w:vAlign w:val="bottom"/>
            <w:hideMark/>
          </w:tcPr>
          <w:p w14:paraId="6C55049D" w14:textId="77777777" w:rsidR="00295BCD" w:rsidRPr="001927D6" w:rsidRDefault="00295BCD">
            <w:pPr>
              <w:spacing w:after="0" w:line="240" w:lineRule="auto"/>
              <w:textAlignment w:val="baseline"/>
              <w:rPr>
                <w:szCs w:val="24"/>
                <w:lang w:eastAsia="et-EE"/>
              </w:rPr>
            </w:pPr>
            <w:r w:rsidRPr="001927D6">
              <w:rPr>
                <w:szCs w:val="24"/>
                <w:lang w:eastAsia="et-EE"/>
              </w:rPr>
              <w:t>Pehmete kudede operatsioonid, lühike ravi </w:t>
            </w:r>
          </w:p>
        </w:tc>
        <w:tc>
          <w:tcPr>
            <w:tcW w:w="732" w:type="dxa"/>
            <w:vAlign w:val="center"/>
            <w:hideMark/>
          </w:tcPr>
          <w:p w14:paraId="149EF552" w14:textId="77777777" w:rsidR="00295BCD" w:rsidRPr="001927D6" w:rsidRDefault="00295BCD">
            <w:pPr>
              <w:spacing w:after="0" w:line="240" w:lineRule="auto"/>
              <w:jc w:val="center"/>
              <w:textAlignment w:val="baseline"/>
              <w:rPr>
                <w:szCs w:val="24"/>
                <w:lang w:eastAsia="et-EE"/>
              </w:rPr>
            </w:pPr>
            <w:r w:rsidRPr="001927D6">
              <w:rPr>
                <w:szCs w:val="24"/>
                <w:lang w:eastAsia="et-EE"/>
              </w:rPr>
              <w:t>227O </w:t>
            </w:r>
          </w:p>
        </w:tc>
        <w:tc>
          <w:tcPr>
            <w:tcW w:w="1243" w:type="dxa"/>
            <w:vAlign w:val="center"/>
          </w:tcPr>
          <w:p w14:paraId="31360F0D" w14:textId="77777777" w:rsidR="00295BCD" w:rsidRPr="001927D6" w:rsidRDefault="00295BCD">
            <w:pPr>
              <w:spacing w:after="0" w:line="240" w:lineRule="auto"/>
              <w:jc w:val="center"/>
              <w:textAlignment w:val="baseline"/>
              <w:rPr>
                <w:szCs w:val="24"/>
                <w:lang w:eastAsia="et-EE"/>
              </w:rPr>
            </w:pPr>
            <w:r w:rsidRPr="001927D6">
              <w:rPr>
                <w:color w:val="000000"/>
                <w:szCs w:val="24"/>
              </w:rPr>
              <w:t>748,00</w:t>
            </w:r>
          </w:p>
        </w:tc>
        <w:tc>
          <w:tcPr>
            <w:tcW w:w="1211" w:type="dxa"/>
            <w:vAlign w:val="center"/>
          </w:tcPr>
          <w:p w14:paraId="01EC2B69" w14:textId="77777777" w:rsidR="00295BCD" w:rsidRPr="001927D6" w:rsidRDefault="00295BCD">
            <w:pPr>
              <w:spacing w:after="0" w:line="240" w:lineRule="auto"/>
              <w:jc w:val="center"/>
              <w:textAlignment w:val="baseline"/>
              <w:rPr>
                <w:szCs w:val="24"/>
                <w:lang w:eastAsia="et-EE"/>
              </w:rPr>
            </w:pPr>
            <w:r w:rsidRPr="001927D6">
              <w:rPr>
                <w:color w:val="000000"/>
                <w:szCs w:val="24"/>
              </w:rPr>
              <w:t>365,12</w:t>
            </w:r>
          </w:p>
        </w:tc>
        <w:tc>
          <w:tcPr>
            <w:tcW w:w="1238" w:type="dxa"/>
            <w:vAlign w:val="center"/>
          </w:tcPr>
          <w:p w14:paraId="5C4A0BC6" w14:textId="77777777" w:rsidR="00295BCD" w:rsidRPr="001927D6" w:rsidRDefault="00295BCD">
            <w:pPr>
              <w:spacing w:after="0" w:line="240" w:lineRule="auto"/>
              <w:jc w:val="center"/>
              <w:textAlignment w:val="baseline"/>
              <w:rPr>
                <w:szCs w:val="24"/>
                <w:lang w:eastAsia="et-EE"/>
              </w:rPr>
            </w:pPr>
            <w:r w:rsidRPr="001927D6">
              <w:rPr>
                <w:color w:val="000000"/>
                <w:szCs w:val="24"/>
              </w:rPr>
              <w:t>1 404,14</w:t>
            </w:r>
          </w:p>
        </w:tc>
      </w:tr>
      <w:tr w:rsidR="00295BCD" w:rsidRPr="001927D6" w14:paraId="3B5502A6" w14:textId="77777777" w:rsidTr="00295BCD">
        <w:trPr>
          <w:divId w:val="1316184749"/>
          <w:trHeight w:val="300"/>
        </w:trPr>
        <w:tc>
          <w:tcPr>
            <w:tcW w:w="4632" w:type="dxa"/>
            <w:vAlign w:val="bottom"/>
            <w:hideMark/>
          </w:tcPr>
          <w:p w14:paraId="1DF2C9E0" w14:textId="77777777" w:rsidR="00295BCD" w:rsidRPr="001927D6" w:rsidRDefault="00295BCD">
            <w:pPr>
              <w:spacing w:after="0" w:line="240" w:lineRule="auto"/>
              <w:textAlignment w:val="baseline"/>
              <w:rPr>
                <w:szCs w:val="24"/>
                <w:lang w:eastAsia="et-EE"/>
              </w:rPr>
            </w:pPr>
            <w:r w:rsidRPr="001927D6">
              <w:rPr>
                <w:szCs w:val="24"/>
                <w:lang w:eastAsia="et-EE"/>
              </w:rPr>
              <w:t>Suured operatsioonid pöidlal või liigestel või labakäe ja randme muud operatsioonid, kht-ga </w:t>
            </w:r>
          </w:p>
        </w:tc>
        <w:tc>
          <w:tcPr>
            <w:tcW w:w="732" w:type="dxa"/>
            <w:vAlign w:val="center"/>
            <w:hideMark/>
          </w:tcPr>
          <w:p w14:paraId="06374D4D" w14:textId="77777777" w:rsidR="00295BCD" w:rsidRPr="001927D6" w:rsidRDefault="00295BCD">
            <w:pPr>
              <w:spacing w:after="0" w:line="240" w:lineRule="auto"/>
              <w:jc w:val="center"/>
              <w:textAlignment w:val="baseline"/>
              <w:rPr>
                <w:szCs w:val="24"/>
                <w:lang w:eastAsia="et-EE"/>
              </w:rPr>
            </w:pPr>
            <w:r w:rsidRPr="001927D6">
              <w:rPr>
                <w:szCs w:val="24"/>
                <w:lang w:eastAsia="et-EE"/>
              </w:rPr>
              <w:t>228 </w:t>
            </w:r>
          </w:p>
        </w:tc>
        <w:tc>
          <w:tcPr>
            <w:tcW w:w="1243" w:type="dxa"/>
            <w:vAlign w:val="center"/>
          </w:tcPr>
          <w:p w14:paraId="129D3BEC" w14:textId="77777777" w:rsidR="00295BCD" w:rsidRPr="001927D6" w:rsidRDefault="00295BCD">
            <w:pPr>
              <w:spacing w:after="0" w:line="240" w:lineRule="auto"/>
              <w:jc w:val="center"/>
              <w:textAlignment w:val="baseline"/>
              <w:rPr>
                <w:szCs w:val="24"/>
                <w:lang w:eastAsia="et-EE"/>
              </w:rPr>
            </w:pPr>
            <w:r w:rsidRPr="001927D6">
              <w:rPr>
                <w:color w:val="000000"/>
                <w:szCs w:val="24"/>
              </w:rPr>
              <w:t>2 327,06</w:t>
            </w:r>
          </w:p>
        </w:tc>
        <w:tc>
          <w:tcPr>
            <w:tcW w:w="1211" w:type="dxa"/>
            <w:vAlign w:val="center"/>
          </w:tcPr>
          <w:p w14:paraId="35108202" w14:textId="77777777" w:rsidR="00295BCD" w:rsidRPr="001927D6" w:rsidRDefault="00295BCD">
            <w:pPr>
              <w:spacing w:after="0" w:line="240" w:lineRule="auto"/>
              <w:jc w:val="center"/>
              <w:textAlignment w:val="baseline"/>
              <w:rPr>
                <w:szCs w:val="24"/>
                <w:lang w:eastAsia="et-EE"/>
              </w:rPr>
            </w:pPr>
            <w:r w:rsidRPr="001927D6">
              <w:rPr>
                <w:color w:val="000000"/>
                <w:szCs w:val="24"/>
              </w:rPr>
              <w:t>938,43</w:t>
            </w:r>
          </w:p>
        </w:tc>
        <w:tc>
          <w:tcPr>
            <w:tcW w:w="1238" w:type="dxa"/>
            <w:vAlign w:val="center"/>
          </w:tcPr>
          <w:p w14:paraId="5558662F" w14:textId="77777777" w:rsidR="00295BCD" w:rsidRPr="001927D6" w:rsidRDefault="00295BCD">
            <w:pPr>
              <w:spacing w:after="0" w:line="240" w:lineRule="auto"/>
              <w:jc w:val="center"/>
              <w:textAlignment w:val="baseline"/>
              <w:rPr>
                <w:szCs w:val="24"/>
                <w:lang w:eastAsia="et-EE"/>
              </w:rPr>
            </w:pPr>
            <w:r w:rsidRPr="001927D6">
              <w:rPr>
                <w:color w:val="000000"/>
                <w:szCs w:val="24"/>
              </w:rPr>
              <w:t>4 658,94</w:t>
            </w:r>
          </w:p>
        </w:tc>
      </w:tr>
      <w:tr w:rsidR="00295BCD" w:rsidRPr="001927D6" w14:paraId="1F148189" w14:textId="77777777" w:rsidTr="00295BCD">
        <w:trPr>
          <w:divId w:val="1316184749"/>
          <w:trHeight w:val="300"/>
        </w:trPr>
        <w:tc>
          <w:tcPr>
            <w:tcW w:w="4632" w:type="dxa"/>
            <w:vAlign w:val="bottom"/>
            <w:hideMark/>
          </w:tcPr>
          <w:p w14:paraId="47537185" w14:textId="77777777" w:rsidR="00295BCD" w:rsidRPr="001927D6" w:rsidRDefault="00295BCD">
            <w:pPr>
              <w:spacing w:after="0" w:line="240" w:lineRule="auto"/>
              <w:textAlignment w:val="baseline"/>
              <w:rPr>
                <w:szCs w:val="24"/>
                <w:lang w:eastAsia="et-EE"/>
              </w:rPr>
            </w:pPr>
            <w:r w:rsidRPr="001927D6">
              <w:rPr>
                <w:szCs w:val="24"/>
                <w:lang w:eastAsia="et-EE"/>
              </w:rPr>
              <w:t>Suured operatsioonid pöidlal, liigestel või labakäe ja randme muud operatsioonid, lühike ravi </w:t>
            </w:r>
          </w:p>
        </w:tc>
        <w:tc>
          <w:tcPr>
            <w:tcW w:w="732" w:type="dxa"/>
            <w:vAlign w:val="center"/>
            <w:hideMark/>
          </w:tcPr>
          <w:p w14:paraId="6736E5A3" w14:textId="77777777" w:rsidR="00295BCD" w:rsidRPr="001927D6" w:rsidRDefault="00295BCD">
            <w:pPr>
              <w:spacing w:after="0" w:line="240" w:lineRule="auto"/>
              <w:jc w:val="center"/>
              <w:textAlignment w:val="baseline"/>
              <w:rPr>
                <w:szCs w:val="24"/>
                <w:lang w:eastAsia="et-EE"/>
              </w:rPr>
            </w:pPr>
            <w:r w:rsidRPr="001927D6">
              <w:rPr>
                <w:szCs w:val="24"/>
                <w:lang w:eastAsia="et-EE"/>
              </w:rPr>
              <w:t>228O </w:t>
            </w:r>
          </w:p>
        </w:tc>
        <w:tc>
          <w:tcPr>
            <w:tcW w:w="1243" w:type="dxa"/>
            <w:vAlign w:val="center"/>
          </w:tcPr>
          <w:p w14:paraId="401494C0" w14:textId="77777777" w:rsidR="00295BCD" w:rsidRPr="001927D6" w:rsidRDefault="00295BCD">
            <w:pPr>
              <w:spacing w:after="0" w:line="240" w:lineRule="auto"/>
              <w:jc w:val="center"/>
              <w:textAlignment w:val="baseline"/>
              <w:rPr>
                <w:szCs w:val="24"/>
                <w:lang w:eastAsia="et-EE"/>
              </w:rPr>
            </w:pPr>
            <w:r w:rsidRPr="001927D6">
              <w:rPr>
                <w:color w:val="000000"/>
                <w:szCs w:val="24"/>
              </w:rPr>
              <w:t>1 351,92</w:t>
            </w:r>
          </w:p>
        </w:tc>
        <w:tc>
          <w:tcPr>
            <w:tcW w:w="1211" w:type="dxa"/>
            <w:vAlign w:val="center"/>
          </w:tcPr>
          <w:p w14:paraId="709B7139" w14:textId="77777777" w:rsidR="00295BCD" w:rsidRPr="001927D6" w:rsidRDefault="00295BCD">
            <w:pPr>
              <w:spacing w:after="0" w:line="240" w:lineRule="auto"/>
              <w:jc w:val="center"/>
              <w:textAlignment w:val="baseline"/>
              <w:rPr>
                <w:szCs w:val="24"/>
                <w:lang w:eastAsia="et-EE"/>
              </w:rPr>
            </w:pPr>
            <w:r w:rsidRPr="001927D6">
              <w:rPr>
                <w:color w:val="000000"/>
                <w:szCs w:val="24"/>
              </w:rPr>
              <w:t>775,73</w:t>
            </w:r>
          </w:p>
        </w:tc>
        <w:tc>
          <w:tcPr>
            <w:tcW w:w="1238" w:type="dxa"/>
            <w:vAlign w:val="center"/>
          </w:tcPr>
          <w:p w14:paraId="165391FE" w14:textId="77777777" w:rsidR="00295BCD" w:rsidRPr="001927D6" w:rsidRDefault="00295BCD">
            <w:pPr>
              <w:spacing w:after="0" w:line="240" w:lineRule="auto"/>
              <w:jc w:val="center"/>
              <w:textAlignment w:val="baseline"/>
              <w:rPr>
                <w:szCs w:val="24"/>
                <w:lang w:eastAsia="et-EE"/>
              </w:rPr>
            </w:pPr>
            <w:r w:rsidRPr="001927D6">
              <w:rPr>
                <w:color w:val="000000"/>
                <w:szCs w:val="24"/>
              </w:rPr>
              <w:t>2 145,21</w:t>
            </w:r>
          </w:p>
        </w:tc>
      </w:tr>
      <w:tr w:rsidR="00295BCD" w:rsidRPr="001927D6" w14:paraId="19A27DE0" w14:textId="77777777" w:rsidTr="00295BCD">
        <w:trPr>
          <w:divId w:val="1316184749"/>
          <w:trHeight w:val="300"/>
        </w:trPr>
        <w:tc>
          <w:tcPr>
            <w:tcW w:w="4632" w:type="dxa"/>
            <w:vAlign w:val="bottom"/>
            <w:hideMark/>
          </w:tcPr>
          <w:p w14:paraId="70BA2A73" w14:textId="77777777" w:rsidR="00295BCD" w:rsidRPr="001927D6" w:rsidRDefault="00295BCD">
            <w:pPr>
              <w:spacing w:after="0" w:line="240" w:lineRule="auto"/>
              <w:textAlignment w:val="baseline"/>
              <w:rPr>
                <w:szCs w:val="24"/>
                <w:lang w:eastAsia="et-EE"/>
              </w:rPr>
            </w:pPr>
            <w:r w:rsidRPr="001927D6">
              <w:rPr>
                <w:szCs w:val="24"/>
                <w:lang w:eastAsia="et-EE"/>
              </w:rPr>
              <w:t>Labakäe ja randme operatsioonid, v.a suurte liigeste operatsioonid, kht-ta </w:t>
            </w:r>
          </w:p>
        </w:tc>
        <w:tc>
          <w:tcPr>
            <w:tcW w:w="732" w:type="dxa"/>
            <w:vAlign w:val="center"/>
            <w:hideMark/>
          </w:tcPr>
          <w:p w14:paraId="30FB7B22" w14:textId="77777777" w:rsidR="00295BCD" w:rsidRPr="001927D6" w:rsidRDefault="00295BCD">
            <w:pPr>
              <w:spacing w:after="0" w:line="240" w:lineRule="auto"/>
              <w:jc w:val="center"/>
              <w:textAlignment w:val="baseline"/>
              <w:rPr>
                <w:szCs w:val="24"/>
                <w:lang w:eastAsia="et-EE"/>
              </w:rPr>
            </w:pPr>
            <w:r w:rsidRPr="001927D6">
              <w:rPr>
                <w:szCs w:val="24"/>
                <w:lang w:eastAsia="et-EE"/>
              </w:rPr>
              <w:t>229 </w:t>
            </w:r>
          </w:p>
        </w:tc>
        <w:tc>
          <w:tcPr>
            <w:tcW w:w="1243" w:type="dxa"/>
            <w:vAlign w:val="center"/>
          </w:tcPr>
          <w:p w14:paraId="3AAF9CD8" w14:textId="77777777" w:rsidR="00295BCD" w:rsidRPr="001927D6" w:rsidRDefault="00295BCD">
            <w:pPr>
              <w:spacing w:after="0" w:line="240" w:lineRule="auto"/>
              <w:jc w:val="center"/>
              <w:textAlignment w:val="baseline"/>
              <w:rPr>
                <w:szCs w:val="24"/>
                <w:lang w:eastAsia="et-EE"/>
              </w:rPr>
            </w:pPr>
            <w:r w:rsidRPr="001927D6">
              <w:rPr>
                <w:color w:val="000000"/>
                <w:szCs w:val="24"/>
              </w:rPr>
              <w:t>1 599,58</w:t>
            </w:r>
          </w:p>
        </w:tc>
        <w:tc>
          <w:tcPr>
            <w:tcW w:w="1211" w:type="dxa"/>
            <w:vAlign w:val="center"/>
          </w:tcPr>
          <w:p w14:paraId="7E20EDF8" w14:textId="77777777" w:rsidR="00295BCD" w:rsidRPr="001927D6" w:rsidRDefault="00295BCD">
            <w:pPr>
              <w:spacing w:after="0" w:line="240" w:lineRule="auto"/>
              <w:jc w:val="center"/>
              <w:textAlignment w:val="baseline"/>
              <w:rPr>
                <w:szCs w:val="24"/>
                <w:lang w:eastAsia="et-EE"/>
              </w:rPr>
            </w:pPr>
            <w:r w:rsidRPr="001927D6">
              <w:rPr>
                <w:color w:val="000000"/>
                <w:szCs w:val="24"/>
              </w:rPr>
              <w:t>920,49</w:t>
            </w:r>
          </w:p>
        </w:tc>
        <w:tc>
          <w:tcPr>
            <w:tcW w:w="1238" w:type="dxa"/>
            <w:vAlign w:val="center"/>
          </w:tcPr>
          <w:p w14:paraId="50564BB0" w14:textId="77777777" w:rsidR="00295BCD" w:rsidRPr="001927D6" w:rsidRDefault="00295BCD">
            <w:pPr>
              <w:spacing w:after="0" w:line="240" w:lineRule="auto"/>
              <w:jc w:val="center"/>
              <w:textAlignment w:val="baseline"/>
              <w:rPr>
                <w:szCs w:val="24"/>
                <w:lang w:eastAsia="et-EE"/>
              </w:rPr>
            </w:pPr>
            <w:r w:rsidRPr="001927D6">
              <w:rPr>
                <w:color w:val="000000"/>
                <w:szCs w:val="24"/>
              </w:rPr>
              <w:t>3 075,49</w:t>
            </w:r>
          </w:p>
        </w:tc>
      </w:tr>
      <w:tr w:rsidR="00295BCD" w:rsidRPr="001927D6" w14:paraId="33B88E2F" w14:textId="77777777" w:rsidTr="00295BCD">
        <w:trPr>
          <w:divId w:val="1316184749"/>
          <w:trHeight w:val="300"/>
        </w:trPr>
        <w:tc>
          <w:tcPr>
            <w:tcW w:w="4632" w:type="dxa"/>
            <w:vAlign w:val="bottom"/>
            <w:hideMark/>
          </w:tcPr>
          <w:p w14:paraId="09C3B32D" w14:textId="77777777" w:rsidR="00295BCD" w:rsidRPr="001927D6" w:rsidRDefault="00295BCD">
            <w:pPr>
              <w:spacing w:after="0" w:line="240" w:lineRule="auto"/>
              <w:textAlignment w:val="baseline"/>
              <w:rPr>
                <w:szCs w:val="24"/>
                <w:lang w:eastAsia="et-EE"/>
              </w:rPr>
            </w:pPr>
            <w:r w:rsidRPr="001927D6">
              <w:rPr>
                <w:szCs w:val="24"/>
                <w:lang w:eastAsia="et-EE"/>
              </w:rPr>
              <w:t>Labakäe ja randme operatsioonid, v.a suurte liigeste operatsioonid, lühike ravi </w:t>
            </w:r>
          </w:p>
        </w:tc>
        <w:tc>
          <w:tcPr>
            <w:tcW w:w="732" w:type="dxa"/>
            <w:vAlign w:val="center"/>
            <w:hideMark/>
          </w:tcPr>
          <w:p w14:paraId="33BD6CB0" w14:textId="77777777" w:rsidR="00295BCD" w:rsidRPr="001927D6" w:rsidRDefault="00295BCD">
            <w:pPr>
              <w:spacing w:after="0" w:line="240" w:lineRule="auto"/>
              <w:jc w:val="center"/>
              <w:textAlignment w:val="baseline"/>
              <w:rPr>
                <w:szCs w:val="24"/>
                <w:lang w:eastAsia="et-EE"/>
              </w:rPr>
            </w:pPr>
            <w:r w:rsidRPr="001927D6">
              <w:rPr>
                <w:szCs w:val="24"/>
                <w:lang w:eastAsia="et-EE"/>
              </w:rPr>
              <w:t>229O </w:t>
            </w:r>
          </w:p>
        </w:tc>
        <w:tc>
          <w:tcPr>
            <w:tcW w:w="1243" w:type="dxa"/>
            <w:vAlign w:val="center"/>
          </w:tcPr>
          <w:p w14:paraId="04FF5D47" w14:textId="77777777" w:rsidR="00295BCD" w:rsidRPr="001927D6" w:rsidRDefault="00295BCD">
            <w:pPr>
              <w:spacing w:after="0" w:line="240" w:lineRule="auto"/>
              <w:jc w:val="center"/>
              <w:textAlignment w:val="baseline"/>
              <w:rPr>
                <w:szCs w:val="24"/>
                <w:lang w:eastAsia="et-EE"/>
              </w:rPr>
            </w:pPr>
            <w:r w:rsidRPr="001927D6">
              <w:rPr>
                <w:color w:val="000000"/>
                <w:szCs w:val="24"/>
              </w:rPr>
              <w:t>701,15</w:t>
            </w:r>
          </w:p>
        </w:tc>
        <w:tc>
          <w:tcPr>
            <w:tcW w:w="1211" w:type="dxa"/>
            <w:vAlign w:val="center"/>
          </w:tcPr>
          <w:p w14:paraId="53AA2F41" w14:textId="77777777" w:rsidR="00295BCD" w:rsidRPr="001927D6" w:rsidRDefault="00295BCD">
            <w:pPr>
              <w:spacing w:after="0" w:line="240" w:lineRule="auto"/>
              <w:jc w:val="center"/>
              <w:textAlignment w:val="baseline"/>
              <w:rPr>
                <w:szCs w:val="24"/>
                <w:lang w:eastAsia="et-EE"/>
              </w:rPr>
            </w:pPr>
            <w:r w:rsidRPr="001927D6">
              <w:rPr>
                <w:color w:val="000000"/>
                <w:szCs w:val="24"/>
              </w:rPr>
              <w:t>365,12</w:t>
            </w:r>
          </w:p>
        </w:tc>
        <w:tc>
          <w:tcPr>
            <w:tcW w:w="1238" w:type="dxa"/>
            <w:vAlign w:val="center"/>
          </w:tcPr>
          <w:p w14:paraId="42E3AEE0" w14:textId="77777777" w:rsidR="00295BCD" w:rsidRPr="001927D6" w:rsidRDefault="00295BCD">
            <w:pPr>
              <w:spacing w:after="0" w:line="240" w:lineRule="auto"/>
              <w:jc w:val="center"/>
              <w:textAlignment w:val="baseline"/>
              <w:rPr>
                <w:szCs w:val="24"/>
                <w:lang w:eastAsia="et-EE"/>
              </w:rPr>
            </w:pPr>
            <w:r w:rsidRPr="001927D6">
              <w:rPr>
                <w:color w:val="000000"/>
                <w:szCs w:val="24"/>
              </w:rPr>
              <w:t>1 344,41</w:t>
            </w:r>
          </w:p>
        </w:tc>
      </w:tr>
      <w:tr w:rsidR="00295BCD" w:rsidRPr="001927D6" w14:paraId="32D3CF63" w14:textId="77777777" w:rsidTr="00295BCD">
        <w:trPr>
          <w:divId w:val="1316184749"/>
          <w:trHeight w:val="300"/>
        </w:trPr>
        <w:tc>
          <w:tcPr>
            <w:tcW w:w="4632" w:type="dxa"/>
            <w:vAlign w:val="bottom"/>
            <w:hideMark/>
          </w:tcPr>
          <w:p w14:paraId="4A336D80" w14:textId="77777777" w:rsidR="00295BCD" w:rsidRPr="001927D6" w:rsidRDefault="00295BCD">
            <w:pPr>
              <w:spacing w:after="0" w:line="240" w:lineRule="auto"/>
              <w:textAlignment w:val="baseline"/>
              <w:rPr>
                <w:szCs w:val="24"/>
                <w:lang w:eastAsia="et-EE"/>
              </w:rPr>
            </w:pPr>
            <w:r w:rsidRPr="001927D6">
              <w:rPr>
                <w:szCs w:val="24"/>
                <w:lang w:eastAsia="et-EE"/>
              </w:rPr>
              <w:t>Sisemise fiksatsioonivahendi eemaldamine puusast ja reiest paikse ekstsisiooni teel </w:t>
            </w:r>
          </w:p>
        </w:tc>
        <w:tc>
          <w:tcPr>
            <w:tcW w:w="732" w:type="dxa"/>
            <w:vAlign w:val="center"/>
            <w:hideMark/>
          </w:tcPr>
          <w:p w14:paraId="31FCABD5" w14:textId="77777777" w:rsidR="00295BCD" w:rsidRPr="001927D6" w:rsidRDefault="00295BCD">
            <w:pPr>
              <w:spacing w:after="0" w:line="240" w:lineRule="auto"/>
              <w:jc w:val="center"/>
              <w:textAlignment w:val="baseline"/>
              <w:rPr>
                <w:szCs w:val="24"/>
                <w:lang w:eastAsia="et-EE"/>
              </w:rPr>
            </w:pPr>
            <w:r w:rsidRPr="001927D6">
              <w:rPr>
                <w:szCs w:val="24"/>
                <w:lang w:eastAsia="et-EE"/>
              </w:rPr>
              <w:t>230 </w:t>
            </w:r>
          </w:p>
        </w:tc>
        <w:tc>
          <w:tcPr>
            <w:tcW w:w="1243" w:type="dxa"/>
            <w:vAlign w:val="center"/>
          </w:tcPr>
          <w:p w14:paraId="4558C62C" w14:textId="77777777" w:rsidR="00295BCD" w:rsidRPr="001927D6" w:rsidRDefault="00295BCD">
            <w:pPr>
              <w:spacing w:after="0" w:line="240" w:lineRule="auto"/>
              <w:jc w:val="center"/>
              <w:textAlignment w:val="baseline"/>
              <w:rPr>
                <w:szCs w:val="24"/>
                <w:lang w:eastAsia="et-EE"/>
              </w:rPr>
            </w:pPr>
            <w:r w:rsidRPr="001927D6">
              <w:rPr>
                <w:color w:val="000000"/>
                <w:szCs w:val="24"/>
              </w:rPr>
              <w:t>1 963,42</w:t>
            </w:r>
          </w:p>
        </w:tc>
        <w:tc>
          <w:tcPr>
            <w:tcW w:w="1211" w:type="dxa"/>
            <w:vAlign w:val="center"/>
          </w:tcPr>
          <w:p w14:paraId="79B75DDF" w14:textId="77777777" w:rsidR="00295BCD" w:rsidRPr="001927D6" w:rsidRDefault="00295BCD">
            <w:pPr>
              <w:spacing w:after="0" w:line="240" w:lineRule="auto"/>
              <w:jc w:val="center"/>
              <w:textAlignment w:val="baseline"/>
              <w:rPr>
                <w:szCs w:val="24"/>
                <w:lang w:eastAsia="et-EE"/>
              </w:rPr>
            </w:pPr>
            <w:r w:rsidRPr="001927D6">
              <w:rPr>
                <w:color w:val="000000"/>
                <w:szCs w:val="24"/>
              </w:rPr>
              <w:t>947,53</w:t>
            </w:r>
          </w:p>
        </w:tc>
        <w:tc>
          <w:tcPr>
            <w:tcW w:w="1238" w:type="dxa"/>
            <w:vAlign w:val="center"/>
          </w:tcPr>
          <w:p w14:paraId="0A9936B1" w14:textId="77777777" w:rsidR="00295BCD" w:rsidRPr="001927D6" w:rsidRDefault="00295BCD">
            <w:pPr>
              <w:spacing w:after="0" w:line="240" w:lineRule="auto"/>
              <w:jc w:val="center"/>
              <w:textAlignment w:val="baseline"/>
              <w:rPr>
                <w:szCs w:val="24"/>
                <w:lang w:eastAsia="et-EE"/>
              </w:rPr>
            </w:pPr>
            <w:r w:rsidRPr="001927D6">
              <w:rPr>
                <w:color w:val="000000"/>
                <w:szCs w:val="24"/>
              </w:rPr>
              <w:t>4 812,64</w:t>
            </w:r>
          </w:p>
        </w:tc>
      </w:tr>
      <w:tr w:rsidR="00295BCD" w:rsidRPr="001927D6" w14:paraId="5594B5E3" w14:textId="77777777" w:rsidTr="00295BCD">
        <w:trPr>
          <w:divId w:val="1316184749"/>
          <w:trHeight w:val="300"/>
        </w:trPr>
        <w:tc>
          <w:tcPr>
            <w:tcW w:w="4632" w:type="dxa"/>
            <w:vAlign w:val="bottom"/>
            <w:hideMark/>
          </w:tcPr>
          <w:p w14:paraId="02C7CD74" w14:textId="77777777" w:rsidR="00295BCD" w:rsidRPr="001927D6" w:rsidRDefault="00295BCD">
            <w:pPr>
              <w:spacing w:after="0" w:line="240" w:lineRule="auto"/>
              <w:textAlignment w:val="baseline"/>
              <w:rPr>
                <w:szCs w:val="24"/>
                <w:lang w:eastAsia="et-EE"/>
              </w:rPr>
            </w:pPr>
            <w:r w:rsidRPr="001927D6">
              <w:rPr>
                <w:szCs w:val="24"/>
                <w:lang w:eastAsia="et-EE"/>
              </w:rPr>
              <w:t>Sisemise fiksatsioonivahendi eemaldamine puusast ja reiest paikse ekstsisiooni teel, lühike ravi </w:t>
            </w:r>
          </w:p>
        </w:tc>
        <w:tc>
          <w:tcPr>
            <w:tcW w:w="732" w:type="dxa"/>
            <w:vAlign w:val="center"/>
            <w:hideMark/>
          </w:tcPr>
          <w:p w14:paraId="46218F5E" w14:textId="77777777" w:rsidR="00295BCD" w:rsidRPr="001927D6" w:rsidRDefault="00295BCD">
            <w:pPr>
              <w:spacing w:after="0" w:line="240" w:lineRule="auto"/>
              <w:jc w:val="center"/>
              <w:textAlignment w:val="baseline"/>
              <w:rPr>
                <w:szCs w:val="24"/>
                <w:lang w:eastAsia="et-EE"/>
              </w:rPr>
            </w:pPr>
            <w:r w:rsidRPr="001927D6">
              <w:rPr>
                <w:szCs w:val="24"/>
                <w:lang w:eastAsia="et-EE"/>
              </w:rPr>
              <w:t>230O </w:t>
            </w:r>
          </w:p>
        </w:tc>
        <w:tc>
          <w:tcPr>
            <w:tcW w:w="1243" w:type="dxa"/>
            <w:vAlign w:val="center"/>
          </w:tcPr>
          <w:p w14:paraId="1085D3C8" w14:textId="77777777" w:rsidR="00295BCD" w:rsidRPr="001927D6" w:rsidRDefault="00295BCD">
            <w:pPr>
              <w:spacing w:after="0" w:line="240" w:lineRule="auto"/>
              <w:jc w:val="center"/>
              <w:textAlignment w:val="baseline"/>
              <w:rPr>
                <w:szCs w:val="24"/>
                <w:lang w:eastAsia="et-EE"/>
              </w:rPr>
            </w:pPr>
            <w:r w:rsidRPr="001927D6">
              <w:rPr>
                <w:color w:val="000000"/>
                <w:szCs w:val="24"/>
              </w:rPr>
              <w:t>883,87</w:t>
            </w:r>
          </w:p>
        </w:tc>
        <w:tc>
          <w:tcPr>
            <w:tcW w:w="1211" w:type="dxa"/>
            <w:vAlign w:val="center"/>
          </w:tcPr>
          <w:p w14:paraId="791A66D6" w14:textId="77777777" w:rsidR="00295BCD" w:rsidRPr="001927D6" w:rsidRDefault="00295BCD">
            <w:pPr>
              <w:spacing w:after="0" w:line="240" w:lineRule="auto"/>
              <w:jc w:val="center"/>
              <w:textAlignment w:val="baseline"/>
              <w:rPr>
                <w:szCs w:val="24"/>
                <w:lang w:eastAsia="et-EE"/>
              </w:rPr>
            </w:pPr>
            <w:r w:rsidRPr="001927D6">
              <w:rPr>
                <w:color w:val="000000"/>
                <w:szCs w:val="24"/>
              </w:rPr>
              <w:t>708,16</w:t>
            </w:r>
          </w:p>
        </w:tc>
        <w:tc>
          <w:tcPr>
            <w:tcW w:w="1238" w:type="dxa"/>
            <w:vAlign w:val="center"/>
          </w:tcPr>
          <w:p w14:paraId="04E80F04" w14:textId="77777777" w:rsidR="00295BCD" w:rsidRPr="001927D6" w:rsidRDefault="00295BCD">
            <w:pPr>
              <w:spacing w:after="0" w:line="240" w:lineRule="auto"/>
              <w:jc w:val="center"/>
              <w:textAlignment w:val="baseline"/>
              <w:rPr>
                <w:szCs w:val="24"/>
                <w:lang w:eastAsia="et-EE"/>
              </w:rPr>
            </w:pPr>
            <w:r w:rsidRPr="001927D6">
              <w:rPr>
                <w:color w:val="000000"/>
                <w:szCs w:val="24"/>
              </w:rPr>
              <w:t>1 151,95</w:t>
            </w:r>
          </w:p>
        </w:tc>
      </w:tr>
      <w:tr w:rsidR="00295BCD" w:rsidRPr="001927D6" w14:paraId="31A16593" w14:textId="77777777" w:rsidTr="00295BCD">
        <w:trPr>
          <w:divId w:val="1316184749"/>
          <w:trHeight w:val="300"/>
        </w:trPr>
        <w:tc>
          <w:tcPr>
            <w:tcW w:w="4632" w:type="dxa"/>
            <w:vAlign w:val="bottom"/>
            <w:hideMark/>
          </w:tcPr>
          <w:p w14:paraId="4512B076" w14:textId="77777777" w:rsidR="00295BCD" w:rsidRPr="001927D6" w:rsidRDefault="00295BCD">
            <w:pPr>
              <w:spacing w:after="0" w:line="240" w:lineRule="auto"/>
              <w:textAlignment w:val="baseline"/>
              <w:rPr>
                <w:szCs w:val="24"/>
                <w:lang w:eastAsia="et-EE"/>
              </w:rPr>
            </w:pPr>
            <w:r w:rsidRPr="001927D6">
              <w:rPr>
                <w:szCs w:val="24"/>
                <w:lang w:eastAsia="et-EE"/>
              </w:rPr>
              <w:t>Sisemise fiksatsioonivahendi eemaldamine paikse ekstsisiooni teel, v.a puusast ja reiest </w:t>
            </w:r>
          </w:p>
        </w:tc>
        <w:tc>
          <w:tcPr>
            <w:tcW w:w="732" w:type="dxa"/>
            <w:vAlign w:val="center"/>
            <w:hideMark/>
          </w:tcPr>
          <w:p w14:paraId="79088764" w14:textId="77777777" w:rsidR="00295BCD" w:rsidRPr="001927D6" w:rsidRDefault="00295BCD">
            <w:pPr>
              <w:spacing w:after="0" w:line="240" w:lineRule="auto"/>
              <w:jc w:val="center"/>
              <w:textAlignment w:val="baseline"/>
              <w:rPr>
                <w:szCs w:val="24"/>
                <w:lang w:eastAsia="et-EE"/>
              </w:rPr>
            </w:pPr>
            <w:r w:rsidRPr="001927D6">
              <w:rPr>
                <w:szCs w:val="24"/>
                <w:lang w:eastAsia="et-EE"/>
              </w:rPr>
              <w:t>231 </w:t>
            </w:r>
          </w:p>
        </w:tc>
        <w:tc>
          <w:tcPr>
            <w:tcW w:w="1243" w:type="dxa"/>
            <w:vAlign w:val="center"/>
          </w:tcPr>
          <w:p w14:paraId="573EF014" w14:textId="77777777" w:rsidR="00295BCD" w:rsidRPr="001927D6" w:rsidRDefault="00295BCD">
            <w:pPr>
              <w:spacing w:after="0" w:line="240" w:lineRule="auto"/>
              <w:jc w:val="center"/>
              <w:textAlignment w:val="baseline"/>
              <w:rPr>
                <w:szCs w:val="24"/>
                <w:lang w:eastAsia="et-EE"/>
              </w:rPr>
            </w:pPr>
            <w:r w:rsidRPr="001927D6">
              <w:rPr>
                <w:color w:val="000000"/>
                <w:szCs w:val="24"/>
              </w:rPr>
              <w:t>1 937,84</w:t>
            </w:r>
          </w:p>
        </w:tc>
        <w:tc>
          <w:tcPr>
            <w:tcW w:w="1211" w:type="dxa"/>
            <w:vAlign w:val="center"/>
          </w:tcPr>
          <w:p w14:paraId="248D06B5" w14:textId="77777777" w:rsidR="00295BCD" w:rsidRPr="001927D6" w:rsidRDefault="00295BCD">
            <w:pPr>
              <w:spacing w:after="0" w:line="240" w:lineRule="auto"/>
              <w:jc w:val="center"/>
              <w:textAlignment w:val="baseline"/>
              <w:rPr>
                <w:szCs w:val="24"/>
                <w:lang w:eastAsia="et-EE"/>
              </w:rPr>
            </w:pPr>
            <w:r w:rsidRPr="001927D6">
              <w:rPr>
                <w:color w:val="000000"/>
                <w:szCs w:val="24"/>
              </w:rPr>
              <w:t>857,90</w:t>
            </w:r>
          </w:p>
        </w:tc>
        <w:tc>
          <w:tcPr>
            <w:tcW w:w="1238" w:type="dxa"/>
            <w:vAlign w:val="center"/>
          </w:tcPr>
          <w:p w14:paraId="5147269E" w14:textId="77777777" w:rsidR="00295BCD" w:rsidRPr="001927D6" w:rsidRDefault="00295BCD">
            <w:pPr>
              <w:spacing w:after="0" w:line="240" w:lineRule="auto"/>
              <w:jc w:val="center"/>
              <w:textAlignment w:val="baseline"/>
              <w:rPr>
                <w:szCs w:val="24"/>
                <w:lang w:eastAsia="et-EE"/>
              </w:rPr>
            </w:pPr>
            <w:r w:rsidRPr="001927D6">
              <w:rPr>
                <w:color w:val="000000"/>
                <w:szCs w:val="24"/>
              </w:rPr>
              <w:t>6 385,90</w:t>
            </w:r>
          </w:p>
        </w:tc>
      </w:tr>
      <w:tr w:rsidR="00295BCD" w:rsidRPr="001927D6" w14:paraId="4E328CE0" w14:textId="77777777" w:rsidTr="00295BCD">
        <w:trPr>
          <w:divId w:val="1316184749"/>
          <w:trHeight w:val="300"/>
        </w:trPr>
        <w:tc>
          <w:tcPr>
            <w:tcW w:w="4632" w:type="dxa"/>
            <w:vAlign w:val="bottom"/>
            <w:hideMark/>
          </w:tcPr>
          <w:p w14:paraId="17C27AA4" w14:textId="77777777" w:rsidR="00295BCD" w:rsidRPr="001927D6" w:rsidRDefault="00295BCD">
            <w:pPr>
              <w:spacing w:after="0" w:line="240" w:lineRule="auto"/>
              <w:textAlignment w:val="baseline"/>
              <w:rPr>
                <w:szCs w:val="24"/>
                <w:lang w:eastAsia="et-EE"/>
              </w:rPr>
            </w:pPr>
            <w:r w:rsidRPr="001927D6">
              <w:rPr>
                <w:szCs w:val="24"/>
                <w:lang w:eastAsia="et-EE"/>
              </w:rPr>
              <w:t>Sisemise fiksatsioonivahendi eemaldamine paikse ekstsisiooni teel, v.a puusast ja reiest, lühike ravi </w:t>
            </w:r>
          </w:p>
        </w:tc>
        <w:tc>
          <w:tcPr>
            <w:tcW w:w="732" w:type="dxa"/>
            <w:vAlign w:val="center"/>
            <w:hideMark/>
          </w:tcPr>
          <w:p w14:paraId="1AE7AEEF" w14:textId="77777777" w:rsidR="00295BCD" w:rsidRPr="001927D6" w:rsidRDefault="00295BCD">
            <w:pPr>
              <w:spacing w:after="0" w:line="240" w:lineRule="auto"/>
              <w:jc w:val="center"/>
              <w:textAlignment w:val="baseline"/>
              <w:rPr>
                <w:szCs w:val="24"/>
                <w:lang w:eastAsia="et-EE"/>
              </w:rPr>
            </w:pPr>
            <w:r w:rsidRPr="001927D6">
              <w:rPr>
                <w:szCs w:val="24"/>
                <w:lang w:eastAsia="et-EE"/>
              </w:rPr>
              <w:t>231O </w:t>
            </w:r>
          </w:p>
        </w:tc>
        <w:tc>
          <w:tcPr>
            <w:tcW w:w="1243" w:type="dxa"/>
            <w:vAlign w:val="center"/>
          </w:tcPr>
          <w:p w14:paraId="452ED9FF" w14:textId="77777777" w:rsidR="00295BCD" w:rsidRPr="001927D6" w:rsidRDefault="00295BCD">
            <w:pPr>
              <w:spacing w:after="0" w:line="240" w:lineRule="auto"/>
              <w:jc w:val="center"/>
              <w:textAlignment w:val="baseline"/>
              <w:rPr>
                <w:szCs w:val="24"/>
                <w:lang w:eastAsia="et-EE"/>
              </w:rPr>
            </w:pPr>
            <w:r w:rsidRPr="001927D6">
              <w:rPr>
                <w:color w:val="000000"/>
                <w:szCs w:val="24"/>
              </w:rPr>
              <w:t>757,02</w:t>
            </w:r>
          </w:p>
        </w:tc>
        <w:tc>
          <w:tcPr>
            <w:tcW w:w="1211" w:type="dxa"/>
            <w:vAlign w:val="center"/>
          </w:tcPr>
          <w:p w14:paraId="316DD6F1" w14:textId="77777777" w:rsidR="00295BCD" w:rsidRPr="001927D6" w:rsidRDefault="00295BCD">
            <w:pPr>
              <w:spacing w:after="0" w:line="240" w:lineRule="auto"/>
              <w:jc w:val="center"/>
              <w:textAlignment w:val="baseline"/>
              <w:rPr>
                <w:szCs w:val="24"/>
                <w:lang w:eastAsia="et-EE"/>
              </w:rPr>
            </w:pPr>
            <w:r w:rsidRPr="001927D6">
              <w:rPr>
                <w:color w:val="000000"/>
                <w:szCs w:val="24"/>
              </w:rPr>
              <w:t>519,78</w:t>
            </w:r>
          </w:p>
        </w:tc>
        <w:tc>
          <w:tcPr>
            <w:tcW w:w="1238" w:type="dxa"/>
            <w:vAlign w:val="center"/>
          </w:tcPr>
          <w:p w14:paraId="5DDBA414" w14:textId="77777777" w:rsidR="00295BCD" w:rsidRPr="001927D6" w:rsidRDefault="00295BCD">
            <w:pPr>
              <w:spacing w:after="0" w:line="240" w:lineRule="auto"/>
              <w:jc w:val="center"/>
              <w:textAlignment w:val="baseline"/>
              <w:rPr>
                <w:szCs w:val="24"/>
                <w:lang w:eastAsia="et-EE"/>
              </w:rPr>
            </w:pPr>
            <w:r w:rsidRPr="001927D6">
              <w:rPr>
                <w:color w:val="000000"/>
                <w:szCs w:val="24"/>
              </w:rPr>
              <w:t>1 023,23</w:t>
            </w:r>
          </w:p>
        </w:tc>
      </w:tr>
      <w:tr w:rsidR="00295BCD" w:rsidRPr="001927D6" w14:paraId="54CAE185" w14:textId="77777777" w:rsidTr="00295BCD">
        <w:trPr>
          <w:divId w:val="1316184749"/>
          <w:trHeight w:val="300"/>
        </w:trPr>
        <w:tc>
          <w:tcPr>
            <w:tcW w:w="4632" w:type="dxa"/>
            <w:vAlign w:val="bottom"/>
            <w:hideMark/>
          </w:tcPr>
          <w:p w14:paraId="04533FA6" w14:textId="77777777" w:rsidR="00295BCD" w:rsidRPr="001927D6" w:rsidRDefault="00295BCD">
            <w:pPr>
              <w:spacing w:after="0" w:line="240" w:lineRule="auto"/>
              <w:textAlignment w:val="baseline"/>
              <w:rPr>
                <w:szCs w:val="24"/>
                <w:lang w:eastAsia="et-EE"/>
              </w:rPr>
            </w:pPr>
            <w:r w:rsidRPr="001927D6">
              <w:rPr>
                <w:szCs w:val="24"/>
                <w:lang w:eastAsia="et-EE"/>
              </w:rPr>
              <w:t>Artroskoopia </w:t>
            </w:r>
          </w:p>
        </w:tc>
        <w:tc>
          <w:tcPr>
            <w:tcW w:w="732" w:type="dxa"/>
            <w:vAlign w:val="center"/>
            <w:hideMark/>
          </w:tcPr>
          <w:p w14:paraId="08BD87B8" w14:textId="77777777" w:rsidR="00295BCD" w:rsidRPr="001927D6" w:rsidRDefault="00295BCD">
            <w:pPr>
              <w:spacing w:after="0" w:line="240" w:lineRule="auto"/>
              <w:jc w:val="center"/>
              <w:textAlignment w:val="baseline"/>
              <w:rPr>
                <w:szCs w:val="24"/>
                <w:lang w:eastAsia="et-EE"/>
              </w:rPr>
            </w:pPr>
            <w:r w:rsidRPr="001927D6">
              <w:rPr>
                <w:szCs w:val="24"/>
                <w:lang w:eastAsia="et-EE"/>
              </w:rPr>
              <w:t>232 </w:t>
            </w:r>
          </w:p>
        </w:tc>
        <w:tc>
          <w:tcPr>
            <w:tcW w:w="1243" w:type="dxa"/>
            <w:vAlign w:val="center"/>
          </w:tcPr>
          <w:p w14:paraId="6A0C4B19" w14:textId="77777777" w:rsidR="00295BCD" w:rsidRPr="001927D6" w:rsidRDefault="00295BCD">
            <w:pPr>
              <w:spacing w:after="0" w:line="240" w:lineRule="auto"/>
              <w:jc w:val="center"/>
              <w:textAlignment w:val="baseline"/>
              <w:rPr>
                <w:szCs w:val="24"/>
                <w:lang w:eastAsia="et-EE"/>
              </w:rPr>
            </w:pPr>
            <w:r w:rsidRPr="001927D6">
              <w:rPr>
                <w:color w:val="000000"/>
                <w:szCs w:val="24"/>
              </w:rPr>
              <w:t>2 027,02</w:t>
            </w:r>
          </w:p>
        </w:tc>
        <w:tc>
          <w:tcPr>
            <w:tcW w:w="1211" w:type="dxa"/>
            <w:vAlign w:val="center"/>
          </w:tcPr>
          <w:p w14:paraId="74A9F331" w14:textId="77777777" w:rsidR="00295BCD" w:rsidRPr="001927D6" w:rsidRDefault="00295BCD">
            <w:pPr>
              <w:spacing w:after="0" w:line="240" w:lineRule="auto"/>
              <w:jc w:val="center"/>
              <w:textAlignment w:val="baseline"/>
              <w:rPr>
                <w:szCs w:val="24"/>
                <w:lang w:eastAsia="et-EE"/>
              </w:rPr>
            </w:pPr>
            <w:r w:rsidRPr="001927D6">
              <w:rPr>
                <w:color w:val="000000"/>
                <w:szCs w:val="24"/>
              </w:rPr>
              <w:t>1 093,45</w:t>
            </w:r>
          </w:p>
        </w:tc>
        <w:tc>
          <w:tcPr>
            <w:tcW w:w="1238" w:type="dxa"/>
            <w:vAlign w:val="center"/>
          </w:tcPr>
          <w:p w14:paraId="36E39B55" w14:textId="77777777" w:rsidR="00295BCD" w:rsidRPr="001927D6" w:rsidRDefault="00295BCD">
            <w:pPr>
              <w:spacing w:after="0" w:line="240" w:lineRule="auto"/>
              <w:jc w:val="center"/>
              <w:textAlignment w:val="baseline"/>
              <w:rPr>
                <w:szCs w:val="24"/>
                <w:lang w:eastAsia="et-EE"/>
              </w:rPr>
            </w:pPr>
            <w:r w:rsidRPr="001927D6">
              <w:rPr>
                <w:color w:val="000000"/>
                <w:szCs w:val="24"/>
              </w:rPr>
              <w:t>5 500,46</w:t>
            </w:r>
          </w:p>
        </w:tc>
      </w:tr>
      <w:tr w:rsidR="00295BCD" w:rsidRPr="001927D6" w14:paraId="5A56EE90" w14:textId="77777777" w:rsidTr="00295BCD">
        <w:trPr>
          <w:divId w:val="1316184749"/>
          <w:trHeight w:val="300"/>
        </w:trPr>
        <w:tc>
          <w:tcPr>
            <w:tcW w:w="4632" w:type="dxa"/>
            <w:vAlign w:val="bottom"/>
            <w:hideMark/>
          </w:tcPr>
          <w:p w14:paraId="063A9CC3" w14:textId="77777777" w:rsidR="00295BCD" w:rsidRPr="001927D6" w:rsidRDefault="00295BCD">
            <w:pPr>
              <w:spacing w:after="0" w:line="240" w:lineRule="auto"/>
              <w:textAlignment w:val="baseline"/>
              <w:rPr>
                <w:szCs w:val="24"/>
                <w:lang w:eastAsia="et-EE"/>
              </w:rPr>
            </w:pPr>
            <w:r w:rsidRPr="001927D6">
              <w:rPr>
                <w:szCs w:val="24"/>
                <w:lang w:eastAsia="et-EE"/>
              </w:rPr>
              <w:t>Artroskoopia, lühike ravi </w:t>
            </w:r>
          </w:p>
        </w:tc>
        <w:tc>
          <w:tcPr>
            <w:tcW w:w="732" w:type="dxa"/>
            <w:vAlign w:val="center"/>
            <w:hideMark/>
          </w:tcPr>
          <w:p w14:paraId="119C9878" w14:textId="77777777" w:rsidR="00295BCD" w:rsidRPr="001927D6" w:rsidRDefault="00295BCD">
            <w:pPr>
              <w:spacing w:after="0" w:line="240" w:lineRule="auto"/>
              <w:jc w:val="center"/>
              <w:textAlignment w:val="baseline"/>
              <w:rPr>
                <w:szCs w:val="24"/>
                <w:lang w:eastAsia="et-EE"/>
              </w:rPr>
            </w:pPr>
            <w:r w:rsidRPr="001927D6">
              <w:rPr>
                <w:szCs w:val="24"/>
                <w:lang w:eastAsia="et-EE"/>
              </w:rPr>
              <w:t>232O </w:t>
            </w:r>
          </w:p>
        </w:tc>
        <w:tc>
          <w:tcPr>
            <w:tcW w:w="1243" w:type="dxa"/>
            <w:vAlign w:val="center"/>
          </w:tcPr>
          <w:p w14:paraId="3F91ECD7" w14:textId="77777777" w:rsidR="00295BCD" w:rsidRPr="001927D6" w:rsidRDefault="00295BCD">
            <w:pPr>
              <w:spacing w:after="0" w:line="240" w:lineRule="auto"/>
              <w:jc w:val="center"/>
              <w:textAlignment w:val="baseline"/>
              <w:rPr>
                <w:szCs w:val="24"/>
                <w:lang w:eastAsia="et-EE"/>
              </w:rPr>
            </w:pPr>
            <w:r w:rsidRPr="001927D6">
              <w:rPr>
                <w:color w:val="000000"/>
                <w:szCs w:val="24"/>
              </w:rPr>
              <w:t>1 015,27</w:t>
            </w:r>
          </w:p>
        </w:tc>
        <w:tc>
          <w:tcPr>
            <w:tcW w:w="1211" w:type="dxa"/>
            <w:vAlign w:val="center"/>
          </w:tcPr>
          <w:p w14:paraId="5C37C540" w14:textId="77777777" w:rsidR="00295BCD" w:rsidRPr="001927D6" w:rsidRDefault="00295BCD">
            <w:pPr>
              <w:spacing w:after="0" w:line="240" w:lineRule="auto"/>
              <w:jc w:val="center"/>
              <w:textAlignment w:val="baseline"/>
              <w:rPr>
                <w:szCs w:val="24"/>
                <w:lang w:eastAsia="et-EE"/>
              </w:rPr>
            </w:pPr>
            <w:r w:rsidRPr="001927D6">
              <w:rPr>
                <w:color w:val="000000"/>
                <w:szCs w:val="24"/>
              </w:rPr>
              <w:t>559,78</w:t>
            </w:r>
          </w:p>
        </w:tc>
        <w:tc>
          <w:tcPr>
            <w:tcW w:w="1238" w:type="dxa"/>
            <w:vAlign w:val="center"/>
          </w:tcPr>
          <w:p w14:paraId="62971D96" w14:textId="77777777" w:rsidR="00295BCD" w:rsidRPr="001927D6" w:rsidRDefault="00295BCD">
            <w:pPr>
              <w:spacing w:after="0" w:line="240" w:lineRule="auto"/>
              <w:jc w:val="center"/>
              <w:textAlignment w:val="baseline"/>
              <w:rPr>
                <w:szCs w:val="24"/>
                <w:lang w:eastAsia="et-EE"/>
              </w:rPr>
            </w:pPr>
            <w:r w:rsidRPr="001927D6">
              <w:rPr>
                <w:color w:val="000000"/>
                <w:szCs w:val="24"/>
              </w:rPr>
              <w:t>1 532,40</w:t>
            </w:r>
          </w:p>
        </w:tc>
      </w:tr>
      <w:tr w:rsidR="00295BCD" w:rsidRPr="001927D6" w14:paraId="5FF15912" w14:textId="77777777" w:rsidTr="00295BCD">
        <w:trPr>
          <w:divId w:val="1316184749"/>
          <w:trHeight w:val="300"/>
        </w:trPr>
        <w:tc>
          <w:tcPr>
            <w:tcW w:w="4632" w:type="dxa"/>
            <w:vAlign w:val="bottom"/>
            <w:hideMark/>
          </w:tcPr>
          <w:p w14:paraId="540AF9CE" w14:textId="77777777" w:rsidR="00295BCD" w:rsidRPr="001927D6" w:rsidRDefault="00295BCD">
            <w:pPr>
              <w:spacing w:after="0" w:line="240" w:lineRule="auto"/>
              <w:textAlignment w:val="baseline"/>
              <w:rPr>
                <w:szCs w:val="24"/>
                <w:lang w:eastAsia="et-EE"/>
              </w:rPr>
            </w:pPr>
            <w:r w:rsidRPr="001927D6">
              <w:rPr>
                <w:szCs w:val="24"/>
                <w:lang w:eastAsia="et-EE"/>
              </w:rPr>
              <w:t>Luulihaskonna ja sidekoe muud operatsioonid, kht-ga </w:t>
            </w:r>
          </w:p>
        </w:tc>
        <w:tc>
          <w:tcPr>
            <w:tcW w:w="732" w:type="dxa"/>
            <w:vAlign w:val="center"/>
            <w:hideMark/>
          </w:tcPr>
          <w:p w14:paraId="441E3877" w14:textId="77777777" w:rsidR="00295BCD" w:rsidRPr="001927D6" w:rsidRDefault="00295BCD">
            <w:pPr>
              <w:spacing w:after="0" w:line="240" w:lineRule="auto"/>
              <w:jc w:val="center"/>
              <w:textAlignment w:val="baseline"/>
              <w:rPr>
                <w:szCs w:val="24"/>
                <w:lang w:eastAsia="et-EE"/>
              </w:rPr>
            </w:pPr>
            <w:r w:rsidRPr="001927D6">
              <w:rPr>
                <w:szCs w:val="24"/>
                <w:lang w:eastAsia="et-EE"/>
              </w:rPr>
              <w:t>233 </w:t>
            </w:r>
          </w:p>
        </w:tc>
        <w:tc>
          <w:tcPr>
            <w:tcW w:w="1243" w:type="dxa"/>
            <w:vAlign w:val="center"/>
          </w:tcPr>
          <w:p w14:paraId="566904E5" w14:textId="77777777" w:rsidR="00295BCD" w:rsidRPr="001927D6" w:rsidRDefault="00295BCD">
            <w:pPr>
              <w:spacing w:after="0" w:line="240" w:lineRule="auto"/>
              <w:jc w:val="center"/>
              <w:textAlignment w:val="baseline"/>
              <w:rPr>
                <w:szCs w:val="24"/>
                <w:lang w:eastAsia="et-EE"/>
              </w:rPr>
            </w:pPr>
            <w:r w:rsidRPr="001927D6">
              <w:rPr>
                <w:color w:val="000000"/>
                <w:szCs w:val="24"/>
              </w:rPr>
              <w:t>6 167,52</w:t>
            </w:r>
          </w:p>
        </w:tc>
        <w:tc>
          <w:tcPr>
            <w:tcW w:w="1211" w:type="dxa"/>
            <w:vAlign w:val="center"/>
          </w:tcPr>
          <w:p w14:paraId="15EDB2F7" w14:textId="77777777" w:rsidR="00295BCD" w:rsidRPr="001927D6" w:rsidRDefault="00295BCD">
            <w:pPr>
              <w:spacing w:after="0" w:line="240" w:lineRule="auto"/>
              <w:jc w:val="center"/>
              <w:textAlignment w:val="baseline"/>
              <w:rPr>
                <w:szCs w:val="24"/>
                <w:lang w:eastAsia="et-EE"/>
              </w:rPr>
            </w:pPr>
            <w:r w:rsidRPr="001927D6">
              <w:rPr>
                <w:color w:val="000000"/>
                <w:szCs w:val="24"/>
              </w:rPr>
              <w:t>1 497,50</w:t>
            </w:r>
          </w:p>
        </w:tc>
        <w:tc>
          <w:tcPr>
            <w:tcW w:w="1238" w:type="dxa"/>
            <w:vAlign w:val="center"/>
          </w:tcPr>
          <w:p w14:paraId="5AF7652D" w14:textId="77777777" w:rsidR="00295BCD" w:rsidRPr="001927D6" w:rsidRDefault="00295BCD">
            <w:pPr>
              <w:spacing w:after="0" w:line="240" w:lineRule="auto"/>
              <w:jc w:val="center"/>
              <w:textAlignment w:val="baseline"/>
              <w:rPr>
                <w:szCs w:val="24"/>
                <w:lang w:eastAsia="et-EE"/>
              </w:rPr>
            </w:pPr>
            <w:r w:rsidRPr="001927D6">
              <w:rPr>
                <w:color w:val="000000"/>
                <w:szCs w:val="24"/>
              </w:rPr>
              <w:t>17 922,64</w:t>
            </w:r>
          </w:p>
        </w:tc>
      </w:tr>
      <w:tr w:rsidR="00295BCD" w:rsidRPr="001927D6" w14:paraId="48F94EAE" w14:textId="77777777" w:rsidTr="00295BCD">
        <w:trPr>
          <w:divId w:val="1316184749"/>
          <w:trHeight w:val="300"/>
        </w:trPr>
        <w:tc>
          <w:tcPr>
            <w:tcW w:w="4632" w:type="dxa"/>
            <w:vAlign w:val="bottom"/>
            <w:hideMark/>
          </w:tcPr>
          <w:p w14:paraId="48F2ECB1" w14:textId="77777777" w:rsidR="00295BCD" w:rsidRPr="001927D6" w:rsidRDefault="00295BCD">
            <w:pPr>
              <w:spacing w:after="0" w:line="240" w:lineRule="auto"/>
              <w:textAlignment w:val="baseline"/>
              <w:rPr>
                <w:szCs w:val="24"/>
                <w:lang w:eastAsia="et-EE"/>
              </w:rPr>
            </w:pPr>
            <w:r w:rsidRPr="001927D6">
              <w:rPr>
                <w:szCs w:val="24"/>
                <w:lang w:eastAsia="et-EE"/>
              </w:rPr>
              <w:t>Luulihaskonna ja sidekoe muud operatsioonid, kht-ta </w:t>
            </w:r>
          </w:p>
        </w:tc>
        <w:tc>
          <w:tcPr>
            <w:tcW w:w="732" w:type="dxa"/>
            <w:vAlign w:val="center"/>
            <w:hideMark/>
          </w:tcPr>
          <w:p w14:paraId="2A6F2462" w14:textId="77777777" w:rsidR="00295BCD" w:rsidRPr="001927D6" w:rsidRDefault="00295BCD">
            <w:pPr>
              <w:spacing w:after="0" w:line="240" w:lineRule="auto"/>
              <w:jc w:val="center"/>
              <w:textAlignment w:val="baseline"/>
              <w:rPr>
                <w:szCs w:val="24"/>
                <w:lang w:eastAsia="et-EE"/>
              </w:rPr>
            </w:pPr>
            <w:r w:rsidRPr="001927D6">
              <w:rPr>
                <w:szCs w:val="24"/>
                <w:lang w:eastAsia="et-EE"/>
              </w:rPr>
              <w:t>234 </w:t>
            </w:r>
          </w:p>
        </w:tc>
        <w:tc>
          <w:tcPr>
            <w:tcW w:w="1243" w:type="dxa"/>
            <w:vAlign w:val="center"/>
          </w:tcPr>
          <w:p w14:paraId="04D39487" w14:textId="77777777" w:rsidR="00295BCD" w:rsidRPr="001927D6" w:rsidRDefault="00295BCD">
            <w:pPr>
              <w:spacing w:after="0" w:line="240" w:lineRule="auto"/>
              <w:jc w:val="center"/>
              <w:textAlignment w:val="baseline"/>
              <w:rPr>
                <w:szCs w:val="24"/>
                <w:lang w:eastAsia="et-EE"/>
              </w:rPr>
            </w:pPr>
            <w:r w:rsidRPr="001927D6">
              <w:rPr>
                <w:color w:val="000000"/>
                <w:szCs w:val="24"/>
              </w:rPr>
              <w:t>3 906,69</w:t>
            </w:r>
          </w:p>
        </w:tc>
        <w:tc>
          <w:tcPr>
            <w:tcW w:w="1211" w:type="dxa"/>
            <w:vAlign w:val="center"/>
          </w:tcPr>
          <w:p w14:paraId="43F5B91D" w14:textId="77777777" w:rsidR="00295BCD" w:rsidRPr="001927D6" w:rsidRDefault="00295BCD">
            <w:pPr>
              <w:spacing w:after="0" w:line="240" w:lineRule="auto"/>
              <w:jc w:val="center"/>
              <w:textAlignment w:val="baseline"/>
              <w:rPr>
                <w:szCs w:val="24"/>
                <w:lang w:eastAsia="et-EE"/>
              </w:rPr>
            </w:pPr>
            <w:r w:rsidRPr="001927D6">
              <w:rPr>
                <w:color w:val="000000"/>
                <w:szCs w:val="24"/>
              </w:rPr>
              <w:t>1 219,75</w:t>
            </w:r>
          </w:p>
        </w:tc>
        <w:tc>
          <w:tcPr>
            <w:tcW w:w="1238" w:type="dxa"/>
            <w:vAlign w:val="center"/>
          </w:tcPr>
          <w:p w14:paraId="44CB5E9C" w14:textId="77777777" w:rsidR="00295BCD" w:rsidRPr="001927D6" w:rsidRDefault="00295BCD">
            <w:pPr>
              <w:spacing w:after="0" w:line="240" w:lineRule="auto"/>
              <w:jc w:val="center"/>
              <w:textAlignment w:val="baseline"/>
              <w:rPr>
                <w:szCs w:val="24"/>
                <w:lang w:eastAsia="et-EE"/>
              </w:rPr>
            </w:pPr>
            <w:r w:rsidRPr="001927D6">
              <w:rPr>
                <w:color w:val="000000"/>
                <w:szCs w:val="24"/>
              </w:rPr>
              <w:t>16 373,07</w:t>
            </w:r>
          </w:p>
        </w:tc>
      </w:tr>
      <w:tr w:rsidR="00295BCD" w:rsidRPr="001927D6" w14:paraId="055C4048" w14:textId="77777777" w:rsidTr="00295BCD">
        <w:trPr>
          <w:divId w:val="1316184749"/>
          <w:trHeight w:val="300"/>
        </w:trPr>
        <w:tc>
          <w:tcPr>
            <w:tcW w:w="4632" w:type="dxa"/>
            <w:vAlign w:val="bottom"/>
            <w:hideMark/>
          </w:tcPr>
          <w:p w14:paraId="1F4C320B" w14:textId="77777777" w:rsidR="00295BCD" w:rsidRPr="001927D6" w:rsidRDefault="00295BCD">
            <w:pPr>
              <w:spacing w:after="0" w:line="240" w:lineRule="auto"/>
              <w:textAlignment w:val="baseline"/>
              <w:rPr>
                <w:szCs w:val="24"/>
                <w:lang w:eastAsia="et-EE"/>
              </w:rPr>
            </w:pPr>
            <w:r w:rsidRPr="001927D6">
              <w:rPr>
                <w:szCs w:val="24"/>
                <w:lang w:eastAsia="et-EE"/>
              </w:rPr>
              <w:t>Luulihaskonna ja sidekoe muud operatsioonid, lühike ravi </w:t>
            </w:r>
          </w:p>
        </w:tc>
        <w:tc>
          <w:tcPr>
            <w:tcW w:w="732" w:type="dxa"/>
            <w:vAlign w:val="center"/>
            <w:hideMark/>
          </w:tcPr>
          <w:p w14:paraId="492898C0" w14:textId="77777777" w:rsidR="00295BCD" w:rsidRPr="001927D6" w:rsidRDefault="00295BCD">
            <w:pPr>
              <w:spacing w:after="0" w:line="240" w:lineRule="auto"/>
              <w:jc w:val="center"/>
              <w:textAlignment w:val="baseline"/>
              <w:rPr>
                <w:szCs w:val="24"/>
                <w:lang w:eastAsia="et-EE"/>
              </w:rPr>
            </w:pPr>
            <w:r w:rsidRPr="001927D6">
              <w:rPr>
                <w:szCs w:val="24"/>
                <w:lang w:eastAsia="et-EE"/>
              </w:rPr>
              <w:t>234O </w:t>
            </w:r>
          </w:p>
        </w:tc>
        <w:tc>
          <w:tcPr>
            <w:tcW w:w="1243" w:type="dxa"/>
            <w:vAlign w:val="center"/>
          </w:tcPr>
          <w:p w14:paraId="3578E5E7" w14:textId="77777777" w:rsidR="00295BCD" w:rsidRPr="001927D6" w:rsidRDefault="00295BCD">
            <w:pPr>
              <w:spacing w:after="0" w:line="240" w:lineRule="auto"/>
              <w:jc w:val="center"/>
              <w:textAlignment w:val="baseline"/>
              <w:rPr>
                <w:szCs w:val="24"/>
                <w:lang w:eastAsia="et-EE"/>
              </w:rPr>
            </w:pPr>
            <w:r w:rsidRPr="001927D6">
              <w:rPr>
                <w:color w:val="000000"/>
                <w:szCs w:val="24"/>
              </w:rPr>
              <w:t>1 136,68</w:t>
            </w:r>
          </w:p>
        </w:tc>
        <w:tc>
          <w:tcPr>
            <w:tcW w:w="1211" w:type="dxa"/>
            <w:vAlign w:val="center"/>
          </w:tcPr>
          <w:p w14:paraId="7A1894D3" w14:textId="77777777" w:rsidR="00295BCD" w:rsidRPr="001927D6" w:rsidRDefault="00295BCD">
            <w:pPr>
              <w:spacing w:after="0" w:line="240" w:lineRule="auto"/>
              <w:jc w:val="center"/>
              <w:textAlignment w:val="baseline"/>
              <w:rPr>
                <w:szCs w:val="24"/>
                <w:lang w:eastAsia="et-EE"/>
              </w:rPr>
            </w:pPr>
            <w:r w:rsidRPr="001927D6">
              <w:rPr>
                <w:color w:val="000000"/>
                <w:szCs w:val="24"/>
              </w:rPr>
              <w:t>661,32</w:t>
            </w:r>
          </w:p>
        </w:tc>
        <w:tc>
          <w:tcPr>
            <w:tcW w:w="1238" w:type="dxa"/>
            <w:vAlign w:val="center"/>
          </w:tcPr>
          <w:p w14:paraId="1C124E8D" w14:textId="77777777" w:rsidR="00295BCD" w:rsidRPr="001927D6" w:rsidRDefault="00295BCD">
            <w:pPr>
              <w:spacing w:after="0" w:line="240" w:lineRule="auto"/>
              <w:jc w:val="center"/>
              <w:textAlignment w:val="baseline"/>
              <w:rPr>
                <w:szCs w:val="24"/>
                <w:lang w:eastAsia="et-EE"/>
              </w:rPr>
            </w:pPr>
            <w:r w:rsidRPr="001927D6">
              <w:rPr>
                <w:color w:val="000000"/>
                <w:szCs w:val="24"/>
              </w:rPr>
              <w:t>1 968,64</w:t>
            </w:r>
          </w:p>
        </w:tc>
      </w:tr>
      <w:tr w:rsidR="00295BCD" w:rsidRPr="001927D6" w14:paraId="60939C6C" w14:textId="77777777" w:rsidTr="00295BCD">
        <w:trPr>
          <w:divId w:val="1316184749"/>
          <w:trHeight w:val="300"/>
        </w:trPr>
        <w:tc>
          <w:tcPr>
            <w:tcW w:w="4632" w:type="dxa"/>
            <w:vAlign w:val="bottom"/>
            <w:hideMark/>
          </w:tcPr>
          <w:p w14:paraId="3F1AC174" w14:textId="77777777" w:rsidR="00295BCD" w:rsidRPr="001927D6" w:rsidRDefault="00295BCD">
            <w:pPr>
              <w:spacing w:after="0" w:line="240" w:lineRule="auto"/>
              <w:textAlignment w:val="baseline"/>
              <w:rPr>
                <w:szCs w:val="24"/>
                <w:lang w:eastAsia="et-EE"/>
              </w:rPr>
            </w:pPr>
            <w:r w:rsidRPr="001927D6">
              <w:rPr>
                <w:szCs w:val="24"/>
                <w:lang w:eastAsia="et-EE"/>
              </w:rPr>
              <w:t>Reieluumurrud </w:t>
            </w:r>
          </w:p>
        </w:tc>
        <w:tc>
          <w:tcPr>
            <w:tcW w:w="732" w:type="dxa"/>
            <w:vAlign w:val="center"/>
            <w:hideMark/>
          </w:tcPr>
          <w:p w14:paraId="007C5AEF" w14:textId="77777777" w:rsidR="00295BCD" w:rsidRPr="001927D6" w:rsidRDefault="00295BCD">
            <w:pPr>
              <w:spacing w:after="0" w:line="240" w:lineRule="auto"/>
              <w:jc w:val="center"/>
              <w:textAlignment w:val="baseline"/>
              <w:rPr>
                <w:szCs w:val="24"/>
                <w:lang w:eastAsia="et-EE"/>
              </w:rPr>
            </w:pPr>
            <w:r w:rsidRPr="001927D6">
              <w:rPr>
                <w:szCs w:val="24"/>
                <w:lang w:eastAsia="et-EE"/>
              </w:rPr>
              <w:t>235 </w:t>
            </w:r>
          </w:p>
        </w:tc>
        <w:tc>
          <w:tcPr>
            <w:tcW w:w="1243" w:type="dxa"/>
            <w:vAlign w:val="center"/>
          </w:tcPr>
          <w:p w14:paraId="3DB9237E" w14:textId="77777777" w:rsidR="00295BCD" w:rsidRPr="001927D6" w:rsidRDefault="00295BCD">
            <w:pPr>
              <w:spacing w:after="0" w:line="240" w:lineRule="auto"/>
              <w:jc w:val="center"/>
              <w:textAlignment w:val="baseline"/>
              <w:rPr>
                <w:szCs w:val="24"/>
                <w:lang w:eastAsia="et-EE"/>
              </w:rPr>
            </w:pPr>
            <w:r w:rsidRPr="001927D6">
              <w:rPr>
                <w:color w:val="000000"/>
                <w:szCs w:val="24"/>
              </w:rPr>
              <w:t>1 762,63</w:t>
            </w:r>
          </w:p>
        </w:tc>
        <w:tc>
          <w:tcPr>
            <w:tcW w:w="1211" w:type="dxa"/>
            <w:vAlign w:val="center"/>
          </w:tcPr>
          <w:p w14:paraId="02937A1C" w14:textId="77777777" w:rsidR="00295BCD" w:rsidRPr="001927D6" w:rsidRDefault="00295BCD">
            <w:pPr>
              <w:spacing w:after="0" w:line="240" w:lineRule="auto"/>
              <w:jc w:val="center"/>
              <w:textAlignment w:val="baseline"/>
              <w:rPr>
                <w:szCs w:val="24"/>
                <w:lang w:eastAsia="et-EE"/>
              </w:rPr>
            </w:pPr>
            <w:r w:rsidRPr="001927D6">
              <w:rPr>
                <w:color w:val="000000"/>
                <w:szCs w:val="24"/>
              </w:rPr>
              <w:t>466,81</w:t>
            </w:r>
          </w:p>
        </w:tc>
        <w:tc>
          <w:tcPr>
            <w:tcW w:w="1238" w:type="dxa"/>
            <w:vAlign w:val="center"/>
          </w:tcPr>
          <w:p w14:paraId="6EC0413C" w14:textId="77777777" w:rsidR="00295BCD" w:rsidRPr="001927D6" w:rsidRDefault="00295BCD">
            <w:pPr>
              <w:spacing w:after="0" w:line="240" w:lineRule="auto"/>
              <w:jc w:val="center"/>
              <w:textAlignment w:val="baseline"/>
              <w:rPr>
                <w:szCs w:val="24"/>
                <w:lang w:eastAsia="et-EE"/>
              </w:rPr>
            </w:pPr>
            <w:r w:rsidRPr="001927D6">
              <w:rPr>
                <w:color w:val="000000"/>
                <w:szCs w:val="24"/>
              </w:rPr>
              <w:t>3 593,18</w:t>
            </w:r>
          </w:p>
        </w:tc>
      </w:tr>
      <w:tr w:rsidR="00295BCD" w:rsidRPr="001927D6" w14:paraId="3B065741" w14:textId="77777777" w:rsidTr="00295BCD">
        <w:trPr>
          <w:divId w:val="1316184749"/>
          <w:trHeight w:val="300"/>
        </w:trPr>
        <w:tc>
          <w:tcPr>
            <w:tcW w:w="4632" w:type="dxa"/>
            <w:vAlign w:val="bottom"/>
            <w:hideMark/>
          </w:tcPr>
          <w:p w14:paraId="19E4D54C" w14:textId="77777777" w:rsidR="00295BCD" w:rsidRPr="001927D6" w:rsidRDefault="00295BCD">
            <w:pPr>
              <w:spacing w:after="0" w:line="240" w:lineRule="auto"/>
              <w:textAlignment w:val="baseline"/>
              <w:rPr>
                <w:szCs w:val="24"/>
                <w:lang w:eastAsia="et-EE"/>
              </w:rPr>
            </w:pPr>
            <w:r w:rsidRPr="001927D6">
              <w:rPr>
                <w:szCs w:val="24"/>
                <w:lang w:eastAsia="et-EE"/>
              </w:rPr>
              <w:t>Reieluukaela- ja vaagnaluumurrud </w:t>
            </w:r>
          </w:p>
        </w:tc>
        <w:tc>
          <w:tcPr>
            <w:tcW w:w="732" w:type="dxa"/>
            <w:vAlign w:val="center"/>
            <w:hideMark/>
          </w:tcPr>
          <w:p w14:paraId="7AD773F6" w14:textId="77777777" w:rsidR="00295BCD" w:rsidRPr="001927D6" w:rsidRDefault="00295BCD">
            <w:pPr>
              <w:spacing w:after="0" w:line="240" w:lineRule="auto"/>
              <w:jc w:val="center"/>
              <w:textAlignment w:val="baseline"/>
              <w:rPr>
                <w:szCs w:val="24"/>
                <w:lang w:eastAsia="et-EE"/>
              </w:rPr>
            </w:pPr>
            <w:r w:rsidRPr="001927D6">
              <w:rPr>
                <w:szCs w:val="24"/>
                <w:lang w:eastAsia="et-EE"/>
              </w:rPr>
              <w:t>236 </w:t>
            </w:r>
          </w:p>
        </w:tc>
        <w:tc>
          <w:tcPr>
            <w:tcW w:w="1243" w:type="dxa"/>
            <w:vAlign w:val="center"/>
          </w:tcPr>
          <w:p w14:paraId="36889CC7" w14:textId="77777777" w:rsidR="00295BCD" w:rsidRPr="001927D6" w:rsidRDefault="00295BCD">
            <w:pPr>
              <w:spacing w:after="0" w:line="240" w:lineRule="auto"/>
              <w:jc w:val="center"/>
              <w:textAlignment w:val="baseline"/>
              <w:rPr>
                <w:szCs w:val="24"/>
                <w:lang w:eastAsia="et-EE"/>
              </w:rPr>
            </w:pPr>
            <w:r w:rsidRPr="001927D6">
              <w:rPr>
                <w:color w:val="000000"/>
                <w:szCs w:val="24"/>
              </w:rPr>
              <w:t>1 915,69</w:t>
            </w:r>
          </w:p>
        </w:tc>
        <w:tc>
          <w:tcPr>
            <w:tcW w:w="1211" w:type="dxa"/>
            <w:vAlign w:val="center"/>
          </w:tcPr>
          <w:p w14:paraId="31F3543D" w14:textId="77777777" w:rsidR="00295BCD" w:rsidRPr="001927D6" w:rsidRDefault="00295BCD">
            <w:pPr>
              <w:spacing w:after="0" w:line="240" w:lineRule="auto"/>
              <w:jc w:val="center"/>
              <w:textAlignment w:val="baseline"/>
              <w:rPr>
                <w:szCs w:val="24"/>
                <w:lang w:eastAsia="et-EE"/>
              </w:rPr>
            </w:pPr>
            <w:r w:rsidRPr="001927D6">
              <w:rPr>
                <w:color w:val="000000"/>
                <w:szCs w:val="24"/>
              </w:rPr>
              <w:t>525,71</w:t>
            </w:r>
          </w:p>
        </w:tc>
        <w:tc>
          <w:tcPr>
            <w:tcW w:w="1238" w:type="dxa"/>
            <w:vAlign w:val="center"/>
          </w:tcPr>
          <w:p w14:paraId="5EF368BF" w14:textId="77777777" w:rsidR="00295BCD" w:rsidRPr="001927D6" w:rsidRDefault="00295BCD">
            <w:pPr>
              <w:spacing w:after="0" w:line="240" w:lineRule="auto"/>
              <w:jc w:val="center"/>
              <w:textAlignment w:val="baseline"/>
              <w:rPr>
                <w:szCs w:val="24"/>
                <w:lang w:eastAsia="et-EE"/>
              </w:rPr>
            </w:pPr>
            <w:r w:rsidRPr="001927D6">
              <w:rPr>
                <w:color w:val="000000"/>
                <w:szCs w:val="24"/>
              </w:rPr>
              <w:t>4 034,89</w:t>
            </w:r>
          </w:p>
        </w:tc>
      </w:tr>
      <w:tr w:rsidR="00295BCD" w:rsidRPr="001927D6" w14:paraId="7CB18485" w14:textId="77777777" w:rsidTr="00295BCD">
        <w:trPr>
          <w:divId w:val="1316184749"/>
          <w:trHeight w:val="300"/>
        </w:trPr>
        <w:tc>
          <w:tcPr>
            <w:tcW w:w="4632" w:type="dxa"/>
            <w:vAlign w:val="bottom"/>
            <w:hideMark/>
          </w:tcPr>
          <w:p w14:paraId="7D4E39B8" w14:textId="77777777" w:rsidR="00295BCD" w:rsidRPr="001927D6" w:rsidRDefault="00295BCD">
            <w:pPr>
              <w:spacing w:after="0" w:line="240" w:lineRule="auto"/>
              <w:textAlignment w:val="baseline"/>
              <w:rPr>
                <w:szCs w:val="24"/>
                <w:lang w:eastAsia="et-EE"/>
              </w:rPr>
            </w:pPr>
            <w:r w:rsidRPr="001927D6">
              <w:rPr>
                <w:szCs w:val="24"/>
                <w:lang w:eastAsia="et-EE"/>
              </w:rPr>
              <w:t>Reieluukaela, vaagnaluude ja reiepiirkonna nihestused, venitused ja dislokatsioonid </w:t>
            </w:r>
          </w:p>
        </w:tc>
        <w:tc>
          <w:tcPr>
            <w:tcW w:w="732" w:type="dxa"/>
            <w:vAlign w:val="center"/>
            <w:hideMark/>
          </w:tcPr>
          <w:p w14:paraId="3D093145" w14:textId="77777777" w:rsidR="00295BCD" w:rsidRPr="001927D6" w:rsidRDefault="00295BCD">
            <w:pPr>
              <w:spacing w:after="0" w:line="240" w:lineRule="auto"/>
              <w:jc w:val="center"/>
              <w:textAlignment w:val="baseline"/>
              <w:rPr>
                <w:szCs w:val="24"/>
                <w:lang w:eastAsia="et-EE"/>
              </w:rPr>
            </w:pPr>
            <w:r w:rsidRPr="001927D6">
              <w:rPr>
                <w:szCs w:val="24"/>
                <w:lang w:eastAsia="et-EE"/>
              </w:rPr>
              <w:t>237 </w:t>
            </w:r>
          </w:p>
        </w:tc>
        <w:tc>
          <w:tcPr>
            <w:tcW w:w="1243" w:type="dxa"/>
            <w:vAlign w:val="center"/>
          </w:tcPr>
          <w:p w14:paraId="24B3ED6C" w14:textId="77777777" w:rsidR="00295BCD" w:rsidRPr="001927D6" w:rsidRDefault="00295BCD">
            <w:pPr>
              <w:spacing w:after="0" w:line="240" w:lineRule="auto"/>
              <w:jc w:val="center"/>
              <w:textAlignment w:val="baseline"/>
              <w:rPr>
                <w:szCs w:val="24"/>
                <w:lang w:eastAsia="et-EE"/>
              </w:rPr>
            </w:pPr>
            <w:r w:rsidRPr="001927D6">
              <w:rPr>
                <w:color w:val="000000"/>
                <w:szCs w:val="24"/>
              </w:rPr>
              <w:t>1 034,29</w:t>
            </w:r>
          </w:p>
        </w:tc>
        <w:tc>
          <w:tcPr>
            <w:tcW w:w="1211" w:type="dxa"/>
            <w:vAlign w:val="center"/>
          </w:tcPr>
          <w:p w14:paraId="25A81B68" w14:textId="77777777" w:rsidR="00295BCD" w:rsidRPr="001927D6" w:rsidRDefault="00295BCD">
            <w:pPr>
              <w:spacing w:after="0" w:line="240" w:lineRule="auto"/>
              <w:jc w:val="center"/>
              <w:textAlignment w:val="baseline"/>
              <w:rPr>
                <w:szCs w:val="24"/>
                <w:lang w:eastAsia="et-EE"/>
              </w:rPr>
            </w:pPr>
            <w:r w:rsidRPr="001927D6">
              <w:rPr>
                <w:color w:val="000000"/>
                <w:szCs w:val="24"/>
              </w:rPr>
              <w:t>324,22</w:t>
            </w:r>
          </w:p>
        </w:tc>
        <w:tc>
          <w:tcPr>
            <w:tcW w:w="1238" w:type="dxa"/>
            <w:vAlign w:val="center"/>
          </w:tcPr>
          <w:p w14:paraId="3D303016" w14:textId="77777777" w:rsidR="00295BCD" w:rsidRPr="001927D6" w:rsidRDefault="00295BCD">
            <w:pPr>
              <w:spacing w:after="0" w:line="240" w:lineRule="auto"/>
              <w:jc w:val="center"/>
              <w:textAlignment w:val="baseline"/>
              <w:rPr>
                <w:szCs w:val="24"/>
                <w:lang w:eastAsia="et-EE"/>
              </w:rPr>
            </w:pPr>
            <w:r w:rsidRPr="001927D6">
              <w:rPr>
                <w:color w:val="000000"/>
                <w:szCs w:val="24"/>
              </w:rPr>
              <w:t>2 533,35</w:t>
            </w:r>
          </w:p>
        </w:tc>
      </w:tr>
      <w:tr w:rsidR="00295BCD" w:rsidRPr="001927D6" w14:paraId="2D782DBD" w14:textId="77777777" w:rsidTr="00295BCD">
        <w:trPr>
          <w:divId w:val="1316184749"/>
          <w:trHeight w:val="300"/>
        </w:trPr>
        <w:tc>
          <w:tcPr>
            <w:tcW w:w="4632" w:type="dxa"/>
            <w:vAlign w:val="bottom"/>
            <w:hideMark/>
          </w:tcPr>
          <w:p w14:paraId="4135DBED" w14:textId="77777777" w:rsidR="00295BCD" w:rsidRPr="001927D6" w:rsidRDefault="00295BCD">
            <w:pPr>
              <w:spacing w:after="0" w:line="240" w:lineRule="auto"/>
              <w:textAlignment w:val="baseline"/>
              <w:rPr>
                <w:szCs w:val="24"/>
                <w:lang w:eastAsia="et-EE"/>
              </w:rPr>
            </w:pPr>
            <w:r w:rsidRPr="001927D6">
              <w:rPr>
                <w:szCs w:val="24"/>
                <w:lang w:eastAsia="et-EE"/>
              </w:rPr>
              <w:t>Osteomüeliit </w:t>
            </w:r>
          </w:p>
        </w:tc>
        <w:tc>
          <w:tcPr>
            <w:tcW w:w="732" w:type="dxa"/>
            <w:vAlign w:val="center"/>
            <w:hideMark/>
          </w:tcPr>
          <w:p w14:paraId="4A42E572" w14:textId="77777777" w:rsidR="00295BCD" w:rsidRPr="001927D6" w:rsidRDefault="00295BCD">
            <w:pPr>
              <w:spacing w:after="0" w:line="240" w:lineRule="auto"/>
              <w:jc w:val="center"/>
              <w:textAlignment w:val="baseline"/>
              <w:rPr>
                <w:szCs w:val="24"/>
                <w:lang w:eastAsia="et-EE"/>
              </w:rPr>
            </w:pPr>
            <w:r w:rsidRPr="001927D6">
              <w:rPr>
                <w:szCs w:val="24"/>
                <w:lang w:eastAsia="et-EE"/>
              </w:rPr>
              <w:t>238 </w:t>
            </w:r>
          </w:p>
        </w:tc>
        <w:tc>
          <w:tcPr>
            <w:tcW w:w="1243" w:type="dxa"/>
            <w:vAlign w:val="center"/>
          </w:tcPr>
          <w:p w14:paraId="036911CC" w14:textId="77777777" w:rsidR="00295BCD" w:rsidRPr="001927D6" w:rsidRDefault="00295BCD">
            <w:pPr>
              <w:spacing w:after="0" w:line="240" w:lineRule="auto"/>
              <w:jc w:val="center"/>
              <w:textAlignment w:val="baseline"/>
              <w:rPr>
                <w:szCs w:val="24"/>
                <w:lang w:eastAsia="et-EE"/>
              </w:rPr>
            </w:pPr>
            <w:r w:rsidRPr="001927D6">
              <w:rPr>
                <w:color w:val="000000"/>
                <w:szCs w:val="24"/>
              </w:rPr>
              <w:t>2 746,97</w:t>
            </w:r>
          </w:p>
        </w:tc>
        <w:tc>
          <w:tcPr>
            <w:tcW w:w="1211" w:type="dxa"/>
            <w:vAlign w:val="center"/>
          </w:tcPr>
          <w:p w14:paraId="70DC683E" w14:textId="77777777" w:rsidR="00295BCD" w:rsidRPr="001927D6" w:rsidRDefault="00295BCD">
            <w:pPr>
              <w:spacing w:after="0" w:line="240" w:lineRule="auto"/>
              <w:jc w:val="center"/>
              <w:textAlignment w:val="baseline"/>
              <w:rPr>
                <w:szCs w:val="24"/>
                <w:lang w:eastAsia="et-EE"/>
              </w:rPr>
            </w:pPr>
            <w:r w:rsidRPr="001927D6">
              <w:rPr>
                <w:color w:val="000000"/>
                <w:szCs w:val="24"/>
              </w:rPr>
              <w:t>316,89</w:t>
            </w:r>
          </w:p>
        </w:tc>
        <w:tc>
          <w:tcPr>
            <w:tcW w:w="1238" w:type="dxa"/>
            <w:vAlign w:val="center"/>
          </w:tcPr>
          <w:p w14:paraId="52980803" w14:textId="77777777" w:rsidR="00295BCD" w:rsidRPr="001927D6" w:rsidRDefault="00295BCD">
            <w:pPr>
              <w:spacing w:after="0" w:line="240" w:lineRule="auto"/>
              <w:jc w:val="center"/>
              <w:textAlignment w:val="baseline"/>
              <w:rPr>
                <w:szCs w:val="24"/>
                <w:lang w:eastAsia="et-EE"/>
              </w:rPr>
            </w:pPr>
            <w:r w:rsidRPr="001927D6">
              <w:rPr>
                <w:color w:val="000000"/>
                <w:szCs w:val="24"/>
              </w:rPr>
              <w:t>7 335,34</w:t>
            </w:r>
          </w:p>
        </w:tc>
      </w:tr>
      <w:tr w:rsidR="00295BCD" w:rsidRPr="001927D6" w14:paraId="4ABBD4DD" w14:textId="77777777" w:rsidTr="00295BCD">
        <w:trPr>
          <w:divId w:val="1316184749"/>
          <w:trHeight w:val="300"/>
        </w:trPr>
        <w:tc>
          <w:tcPr>
            <w:tcW w:w="4632" w:type="dxa"/>
            <w:vAlign w:val="bottom"/>
            <w:hideMark/>
          </w:tcPr>
          <w:p w14:paraId="767F6C8C" w14:textId="77777777" w:rsidR="00295BCD" w:rsidRPr="001927D6" w:rsidRDefault="00295BCD">
            <w:pPr>
              <w:spacing w:after="0" w:line="240" w:lineRule="auto"/>
              <w:textAlignment w:val="baseline"/>
              <w:rPr>
                <w:szCs w:val="24"/>
                <w:lang w:eastAsia="et-EE"/>
              </w:rPr>
            </w:pPr>
            <w:r w:rsidRPr="001927D6">
              <w:rPr>
                <w:szCs w:val="24"/>
                <w:lang w:eastAsia="et-EE"/>
              </w:rPr>
              <w:t>Patoloogilised luumurrud ja luulihaskonna ning sidekoe pahaloomulised kasvajad </w:t>
            </w:r>
          </w:p>
        </w:tc>
        <w:tc>
          <w:tcPr>
            <w:tcW w:w="732" w:type="dxa"/>
            <w:vAlign w:val="center"/>
            <w:hideMark/>
          </w:tcPr>
          <w:p w14:paraId="11741C3E" w14:textId="77777777" w:rsidR="00295BCD" w:rsidRPr="001927D6" w:rsidRDefault="00295BCD">
            <w:pPr>
              <w:spacing w:after="0" w:line="240" w:lineRule="auto"/>
              <w:jc w:val="center"/>
              <w:textAlignment w:val="baseline"/>
              <w:rPr>
                <w:szCs w:val="24"/>
                <w:lang w:eastAsia="et-EE"/>
              </w:rPr>
            </w:pPr>
            <w:r w:rsidRPr="001927D6">
              <w:rPr>
                <w:szCs w:val="24"/>
                <w:lang w:eastAsia="et-EE"/>
              </w:rPr>
              <w:t>239 </w:t>
            </w:r>
          </w:p>
        </w:tc>
        <w:tc>
          <w:tcPr>
            <w:tcW w:w="1243" w:type="dxa"/>
            <w:vAlign w:val="center"/>
          </w:tcPr>
          <w:p w14:paraId="2E6C20DC" w14:textId="77777777" w:rsidR="00295BCD" w:rsidRPr="001927D6" w:rsidRDefault="00295BCD">
            <w:pPr>
              <w:spacing w:after="0" w:line="240" w:lineRule="auto"/>
              <w:jc w:val="center"/>
              <w:textAlignment w:val="baseline"/>
              <w:rPr>
                <w:szCs w:val="24"/>
                <w:lang w:eastAsia="et-EE"/>
              </w:rPr>
            </w:pPr>
            <w:r w:rsidRPr="001927D6">
              <w:rPr>
                <w:color w:val="000000"/>
                <w:szCs w:val="24"/>
              </w:rPr>
              <w:t>1 973,97</w:t>
            </w:r>
          </w:p>
        </w:tc>
        <w:tc>
          <w:tcPr>
            <w:tcW w:w="1211" w:type="dxa"/>
            <w:vAlign w:val="center"/>
          </w:tcPr>
          <w:p w14:paraId="05356374" w14:textId="77777777" w:rsidR="00295BCD" w:rsidRPr="001927D6" w:rsidRDefault="00295BCD">
            <w:pPr>
              <w:spacing w:after="0" w:line="240" w:lineRule="auto"/>
              <w:jc w:val="center"/>
              <w:textAlignment w:val="baseline"/>
              <w:rPr>
                <w:szCs w:val="24"/>
                <w:lang w:eastAsia="et-EE"/>
              </w:rPr>
            </w:pPr>
            <w:r w:rsidRPr="001927D6">
              <w:rPr>
                <w:color w:val="000000"/>
                <w:szCs w:val="24"/>
              </w:rPr>
              <w:t>602,29</w:t>
            </w:r>
          </w:p>
        </w:tc>
        <w:tc>
          <w:tcPr>
            <w:tcW w:w="1238" w:type="dxa"/>
            <w:vAlign w:val="center"/>
          </w:tcPr>
          <w:p w14:paraId="6C351036" w14:textId="77777777" w:rsidR="00295BCD" w:rsidRPr="001927D6" w:rsidRDefault="00295BCD">
            <w:pPr>
              <w:spacing w:after="0" w:line="240" w:lineRule="auto"/>
              <w:jc w:val="center"/>
              <w:textAlignment w:val="baseline"/>
              <w:rPr>
                <w:szCs w:val="24"/>
                <w:lang w:eastAsia="et-EE"/>
              </w:rPr>
            </w:pPr>
            <w:r w:rsidRPr="001927D6">
              <w:rPr>
                <w:color w:val="000000"/>
                <w:szCs w:val="24"/>
              </w:rPr>
              <w:t>4 868,36</w:t>
            </w:r>
          </w:p>
        </w:tc>
      </w:tr>
      <w:tr w:rsidR="00295BCD" w:rsidRPr="001927D6" w14:paraId="59EBEA7D" w14:textId="77777777" w:rsidTr="00295BCD">
        <w:trPr>
          <w:divId w:val="1316184749"/>
          <w:trHeight w:val="300"/>
        </w:trPr>
        <w:tc>
          <w:tcPr>
            <w:tcW w:w="4632" w:type="dxa"/>
            <w:vAlign w:val="bottom"/>
            <w:hideMark/>
          </w:tcPr>
          <w:p w14:paraId="22E1F5D5" w14:textId="77777777" w:rsidR="00295BCD" w:rsidRPr="001927D6" w:rsidRDefault="00295BCD">
            <w:pPr>
              <w:spacing w:after="0" w:line="240" w:lineRule="auto"/>
              <w:textAlignment w:val="baseline"/>
              <w:rPr>
                <w:szCs w:val="24"/>
                <w:lang w:eastAsia="et-EE"/>
              </w:rPr>
            </w:pPr>
            <w:r w:rsidRPr="001927D6">
              <w:rPr>
                <w:szCs w:val="24"/>
                <w:lang w:eastAsia="et-EE"/>
              </w:rPr>
              <w:t>Sidekoehaigused või vaskuliidid, kht-ga </w:t>
            </w:r>
          </w:p>
        </w:tc>
        <w:tc>
          <w:tcPr>
            <w:tcW w:w="732" w:type="dxa"/>
            <w:vAlign w:val="center"/>
            <w:hideMark/>
          </w:tcPr>
          <w:p w14:paraId="51A0B429" w14:textId="77777777" w:rsidR="00295BCD" w:rsidRPr="001927D6" w:rsidRDefault="00295BCD">
            <w:pPr>
              <w:spacing w:after="0" w:line="240" w:lineRule="auto"/>
              <w:jc w:val="center"/>
              <w:textAlignment w:val="baseline"/>
              <w:rPr>
                <w:szCs w:val="24"/>
                <w:lang w:eastAsia="et-EE"/>
              </w:rPr>
            </w:pPr>
            <w:r w:rsidRPr="001927D6">
              <w:rPr>
                <w:szCs w:val="24"/>
                <w:lang w:eastAsia="et-EE"/>
              </w:rPr>
              <w:t>240N </w:t>
            </w:r>
          </w:p>
        </w:tc>
        <w:tc>
          <w:tcPr>
            <w:tcW w:w="1243" w:type="dxa"/>
            <w:vAlign w:val="center"/>
          </w:tcPr>
          <w:p w14:paraId="1D2C6330" w14:textId="77777777" w:rsidR="00295BCD" w:rsidRPr="001927D6" w:rsidRDefault="00295BCD">
            <w:pPr>
              <w:spacing w:after="0" w:line="240" w:lineRule="auto"/>
              <w:jc w:val="center"/>
              <w:textAlignment w:val="baseline"/>
              <w:rPr>
                <w:szCs w:val="24"/>
                <w:lang w:eastAsia="et-EE"/>
              </w:rPr>
            </w:pPr>
            <w:r w:rsidRPr="001927D6">
              <w:rPr>
                <w:color w:val="000000"/>
                <w:szCs w:val="24"/>
              </w:rPr>
              <w:t>2 168,66</w:t>
            </w:r>
          </w:p>
        </w:tc>
        <w:tc>
          <w:tcPr>
            <w:tcW w:w="1211" w:type="dxa"/>
            <w:vAlign w:val="center"/>
          </w:tcPr>
          <w:p w14:paraId="4AE5D731" w14:textId="77777777" w:rsidR="00295BCD" w:rsidRPr="001927D6" w:rsidRDefault="00295BCD">
            <w:pPr>
              <w:spacing w:after="0" w:line="240" w:lineRule="auto"/>
              <w:jc w:val="center"/>
              <w:textAlignment w:val="baseline"/>
              <w:rPr>
                <w:szCs w:val="24"/>
                <w:lang w:eastAsia="et-EE"/>
              </w:rPr>
            </w:pPr>
            <w:r w:rsidRPr="001927D6">
              <w:rPr>
                <w:color w:val="000000"/>
                <w:szCs w:val="24"/>
              </w:rPr>
              <w:t>331,01</w:t>
            </w:r>
          </w:p>
        </w:tc>
        <w:tc>
          <w:tcPr>
            <w:tcW w:w="1238" w:type="dxa"/>
            <w:vAlign w:val="center"/>
          </w:tcPr>
          <w:p w14:paraId="6E7D59D3" w14:textId="77777777" w:rsidR="00295BCD" w:rsidRPr="001927D6" w:rsidRDefault="00295BCD">
            <w:pPr>
              <w:spacing w:after="0" w:line="240" w:lineRule="auto"/>
              <w:jc w:val="center"/>
              <w:textAlignment w:val="baseline"/>
              <w:rPr>
                <w:szCs w:val="24"/>
                <w:lang w:eastAsia="et-EE"/>
              </w:rPr>
            </w:pPr>
            <w:r w:rsidRPr="001927D6">
              <w:rPr>
                <w:color w:val="000000"/>
                <w:szCs w:val="24"/>
              </w:rPr>
              <w:t>7 227,27</w:t>
            </w:r>
          </w:p>
        </w:tc>
      </w:tr>
      <w:tr w:rsidR="00295BCD" w:rsidRPr="001927D6" w14:paraId="59E6D34E" w14:textId="77777777" w:rsidTr="00295BCD">
        <w:trPr>
          <w:divId w:val="1316184749"/>
          <w:trHeight w:val="300"/>
        </w:trPr>
        <w:tc>
          <w:tcPr>
            <w:tcW w:w="4632" w:type="dxa"/>
            <w:vAlign w:val="bottom"/>
            <w:hideMark/>
          </w:tcPr>
          <w:p w14:paraId="4A8F9A8C" w14:textId="77777777" w:rsidR="00295BCD" w:rsidRPr="001927D6" w:rsidRDefault="00295BCD">
            <w:pPr>
              <w:spacing w:after="0" w:line="240" w:lineRule="auto"/>
              <w:textAlignment w:val="baseline"/>
              <w:rPr>
                <w:szCs w:val="24"/>
                <w:lang w:eastAsia="et-EE"/>
              </w:rPr>
            </w:pPr>
            <w:r w:rsidRPr="001927D6">
              <w:rPr>
                <w:szCs w:val="24"/>
                <w:lang w:eastAsia="et-EE"/>
              </w:rPr>
              <w:t>Sidekoehaigused või vaskuliidid, kht-ta </w:t>
            </w:r>
          </w:p>
        </w:tc>
        <w:tc>
          <w:tcPr>
            <w:tcW w:w="732" w:type="dxa"/>
            <w:vAlign w:val="center"/>
            <w:hideMark/>
          </w:tcPr>
          <w:p w14:paraId="0228BE3C" w14:textId="77777777" w:rsidR="00295BCD" w:rsidRPr="001927D6" w:rsidRDefault="00295BCD">
            <w:pPr>
              <w:spacing w:after="0" w:line="240" w:lineRule="auto"/>
              <w:jc w:val="center"/>
              <w:textAlignment w:val="baseline"/>
              <w:rPr>
                <w:szCs w:val="24"/>
                <w:lang w:eastAsia="et-EE"/>
              </w:rPr>
            </w:pPr>
            <w:r w:rsidRPr="001927D6">
              <w:rPr>
                <w:szCs w:val="24"/>
                <w:lang w:eastAsia="et-EE"/>
              </w:rPr>
              <w:t>241N </w:t>
            </w:r>
          </w:p>
        </w:tc>
        <w:tc>
          <w:tcPr>
            <w:tcW w:w="1243" w:type="dxa"/>
            <w:vAlign w:val="center"/>
          </w:tcPr>
          <w:p w14:paraId="7016C14F" w14:textId="77777777" w:rsidR="00295BCD" w:rsidRPr="001927D6" w:rsidRDefault="00295BCD">
            <w:pPr>
              <w:spacing w:after="0" w:line="240" w:lineRule="auto"/>
              <w:jc w:val="center"/>
              <w:textAlignment w:val="baseline"/>
              <w:rPr>
                <w:szCs w:val="24"/>
                <w:lang w:eastAsia="et-EE"/>
              </w:rPr>
            </w:pPr>
            <w:r w:rsidRPr="001927D6">
              <w:rPr>
                <w:color w:val="000000"/>
                <w:szCs w:val="24"/>
              </w:rPr>
              <w:t>1 913,40</w:t>
            </w:r>
          </w:p>
        </w:tc>
        <w:tc>
          <w:tcPr>
            <w:tcW w:w="1211" w:type="dxa"/>
            <w:vAlign w:val="center"/>
          </w:tcPr>
          <w:p w14:paraId="3402F8C6" w14:textId="77777777" w:rsidR="00295BCD" w:rsidRPr="001927D6" w:rsidRDefault="00295BCD">
            <w:pPr>
              <w:spacing w:after="0" w:line="240" w:lineRule="auto"/>
              <w:jc w:val="center"/>
              <w:textAlignment w:val="baseline"/>
              <w:rPr>
                <w:szCs w:val="24"/>
                <w:lang w:eastAsia="et-EE"/>
              </w:rPr>
            </w:pPr>
            <w:r w:rsidRPr="001927D6">
              <w:rPr>
                <w:color w:val="000000"/>
                <w:szCs w:val="24"/>
              </w:rPr>
              <w:t>362,36</w:t>
            </w:r>
          </w:p>
        </w:tc>
        <w:tc>
          <w:tcPr>
            <w:tcW w:w="1238" w:type="dxa"/>
            <w:vAlign w:val="center"/>
          </w:tcPr>
          <w:p w14:paraId="710EA542" w14:textId="77777777" w:rsidR="00295BCD" w:rsidRPr="001927D6" w:rsidRDefault="00295BCD">
            <w:pPr>
              <w:spacing w:after="0" w:line="240" w:lineRule="auto"/>
              <w:jc w:val="center"/>
              <w:textAlignment w:val="baseline"/>
              <w:rPr>
                <w:szCs w:val="24"/>
                <w:lang w:eastAsia="et-EE"/>
              </w:rPr>
            </w:pPr>
            <w:r w:rsidRPr="001927D6">
              <w:rPr>
                <w:color w:val="000000"/>
                <w:szCs w:val="24"/>
              </w:rPr>
              <w:t>6 090,98</w:t>
            </w:r>
          </w:p>
        </w:tc>
      </w:tr>
      <w:tr w:rsidR="00295BCD" w:rsidRPr="001927D6" w14:paraId="753EFBB0" w14:textId="77777777" w:rsidTr="00295BCD">
        <w:trPr>
          <w:divId w:val="1316184749"/>
          <w:trHeight w:val="300"/>
        </w:trPr>
        <w:tc>
          <w:tcPr>
            <w:tcW w:w="4632" w:type="dxa"/>
            <w:vAlign w:val="bottom"/>
            <w:hideMark/>
          </w:tcPr>
          <w:p w14:paraId="07453AC5" w14:textId="77777777" w:rsidR="00295BCD" w:rsidRPr="001927D6" w:rsidRDefault="00295BCD">
            <w:pPr>
              <w:spacing w:after="0" w:line="240" w:lineRule="auto"/>
              <w:textAlignment w:val="baseline"/>
              <w:rPr>
                <w:szCs w:val="24"/>
                <w:lang w:eastAsia="et-EE"/>
              </w:rPr>
            </w:pPr>
            <w:r w:rsidRPr="001927D6">
              <w:rPr>
                <w:szCs w:val="24"/>
                <w:lang w:eastAsia="et-EE"/>
              </w:rPr>
              <w:t>Septiline artriit või bursiit </w:t>
            </w:r>
          </w:p>
        </w:tc>
        <w:tc>
          <w:tcPr>
            <w:tcW w:w="732" w:type="dxa"/>
            <w:vAlign w:val="center"/>
            <w:hideMark/>
          </w:tcPr>
          <w:p w14:paraId="05EC4C78" w14:textId="77777777" w:rsidR="00295BCD" w:rsidRPr="001927D6" w:rsidRDefault="00295BCD">
            <w:pPr>
              <w:spacing w:after="0" w:line="240" w:lineRule="auto"/>
              <w:jc w:val="center"/>
              <w:textAlignment w:val="baseline"/>
              <w:rPr>
                <w:szCs w:val="24"/>
                <w:lang w:eastAsia="et-EE"/>
              </w:rPr>
            </w:pPr>
            <w:r w:rsidRPr="001927D6">
              <w:rPr>
                <w:szCs w:val="24"/>
                <w:lang w:eastAsia="et-EE"/>
              </w:rPr>
              <w:t>242A </w:t>
            </w:r>
          </w:p>
        </w:tc>
        <w:tc>
          <w:tcPr>
            <w:tcW w:w="1243" w:type="dxa"/>
            <w:vAlign w:val="center"/>
          </w:tcPr>
          <w:p w14:paraId="553E5436" w14:textId="77777777" w:rsidR="00295BCD" w:rsidRPr="001927D6" w:rsidRDefault="00295BCD">
            <w:pPr>
              <w:spacing w:after="0" w:line="240" w:lineRule="auto"/>
              <w:jc w:val="center"/>
              <w:textAlignment w:val="baseline"/>
              <w:rPr>
                <w:szCs w:val="24"/>
                <w:lang w:eastAsia="et-EE"/>
              </w:rPr>
            </w:pPr>
            <w:r w:rsidRPr="001927D6">
              <w:rPr>
                <w:color w:val="000000"/>
                <w:szCs w:val="24"/>
              </w:rPr>
              <w:t>4 258,68</w:t>
            </w:r>
          </w:p>
        </w:tc>
        <w:tc>
          <w:tcPr>
            <w:tcW w:w="1211" w:type="dxa"/>
            <w:vAlign w:val="center"/>
          </w:tcPr>
          <w:p w14:paraId="5331736F" w14:textId="77777777" w:rsidR="00295BCD" w:rsidRPr="001927D6" w:rsidRDefault="00295BCD">
            <w:pPr>
              <w:spacing w:after="0" w:line="240" w:lineRule="auto"/>
              <w:jc w:val="center"/>
              <w:textAlignment w:val="baseline"/>
              <w:rPr>
                <w:szCs w:val="24"/>
                <w:lang w:eastAsia="et-EE"/>
              </w:rPr>
            </w:pPr>
            <w:r w:rsidRPr="001927D6">
              <w:rPr>
                <w:color w:val="000000"/>
                <w:szCs w:val="24"/>
              </w:rPr>
              <w:t>818,78</w:t>
            </w:r>
          </w:p>
        </w:tc>
        <w:tc>
          <w:tcPr>
            <w:tcW w:w="1238" w:type="dxa"/>
            <w:vAlign w:val="center"/>
          </w:tcPr>
          <w:p w14:paraId="2B263EAB" w14:textId="77777777" w:rsidR="00295BCD" w:rsidRPr="001927D6" w:rsidRDefault="00295BCD">
            <w:pPr>
              <w:spacing w:after="0" w:line="240" w:lineRule="auto"/>
              <w:jc w:val="center"/>
              <w:textAlignment w:val="baseline"/>
              <w:rPr>
                <w:szCs w:val="24"/>
                <w:lang w:eastAsia="et-EE"/>
              </w:rPr>
            </w:pPr>
            <w:r w:rsidRPr="001927D6">
              <w:rPr>
                <w:color w:val="000000"/>
                <w:szCs w:val="24"/>
              </w:rPr>
              <w:t>11 381,92</w:t>
            </w:r>
          </w:p>
        </w:tc>
      </w:tr>
      <w:tr w:rsidR="00295BCD" w:rsidRPr="001927D6" w14:paraId="70C1F5D5" w14:textId="77777777" w:rsidTr="00295BCD">
        <w:trPr>
          <w:divId w:val="1316184749"/>
          <w:trHeight w:val="300"/>
        </w:trPr>
        <w:tc>
          <w:tcPr>
            <w:tcW w:w="4632" w:type="dxa"/>
            <w:vAlign w:val="bottom"/>
            <w:hideMark/>
          </w:tcPr>
          <w:p w14:paraId="0C4A796A" w14:textId="77777777" w:rsidR="00295BCD" w:rsidRPr="001927D6" w:rsidRDefault="00295BCD">
            <w:pPr>
              <w:spacing w:after="0" w:line="240" w:lineRule="auto"/>
              <w:textAlignment w:val="baseline"/>
              <w:rPr>
                <w:szCs w:val="24"/>
                <w:lang w:eastAsia="et-EE"/>
              </w:rPr>
            </w:pPr>
            <w:r w:rsidRPr="001927D6">
              <w:rPr>
                <w:szCs w:val="24"/>
                <w:lang w:eastAsia="et-EE"/>
              </w:rPr>
              <w:t>Spetsiifiline põletikuline artropaatia, kht-ga </w:t>
            </w:r>
          </w:p>
        </w:tc>
        <w:tc>
          <w:tcPr>
            <w:tcW w:w="732" w:type="dxa"/>
            <w:vAlign w:val="center"/>
            <w:hideMark/>
          </w:tcPr>
          <w:p w14:paraId="20208F55" w14:textId="77777777" w:rsidR="00295BCD" w:rsidRPr="001927D6" w:rsidRDefault="00295BCD">
            <w:pPr>
              <w:spacing w:after="0" w:line="240" w:lineRule="auto"/>
              <w:jc w:val="center"/>
              <w:textAlignment w:val="baseline"/>
              <w:rPr>
                <w:szCs w:val="24"/>
                <w:lang w:eastAsia="et-EE"/>
              </w:rPr>
            </w:pPr>
            <w:r w:rsidRPr="001927D6">
              <w:rPr>
                <w:szCs w:val="24"/>
                <w:lang w:eastAsia="et-EE"/>
              </w:rPr>
              <w:t>242B </w:t>
            </w:r>
          </w:p>
        </w:tc>
        <w:tc>
          <w:tcPr>
            <w:tcW w:w="1243" w:type="dxa"/>
            <w:vAlign w:val="center"/>
          </w:tcPr>
          <w:p w14:paraId="1C276FB8" w14:textId="77777777" w:rsidR="00295BCD" w:rsidRPr="001927D6" w:rsidRDefault="00295BCD">
            <w:pPr>
              <w:spacing w:after="0" w:line="240" w:lineRule="auto"/>
              <w:jc w:val="center"/>
              <w:textAlignment w:val="baseline"/>
              <w:rPr>
                <w:szCs w:val="24"/>
                <w:lang w:eastAsia="et-EE"/>
              </w:rPr>
            </w:pPr>
            <w:r w:rsidRPr="001927D6">
              <w:rPr>
                <w:color w:val="000000"/>
                <w:szCs w:val="24"/>
              </w:rPr>
              <w:t>1 937,95</w:t>
            </w:r>
          </w:p>
        </w:tc>
        <w:tc>
          <w:tcPr>
            <w:tcW w:w="1211" w:type="dxa"/>
            <w:vAlign w:val="center"/>
          </w:tcPr>
          <w:p w14:paraId="2FF5B665" w14:textId="77777777" w:rsidR="00295BCD" w:rsidRPr="001927D6" w:rsidRDefault="00295BCD">
            <w:pPr>
              <w:spacing w:after="0" w:line="240" w:lineRule="auto"/>
              <w:jc w:val="center"/>
              <w:textAlignment w:val="baseline"/>
              <w:rPr>
                <w:szCs w:val="24"/>
                <w:lang w:eastAsia="et-EE"/>
              </w:rPr>
            </w:pPr>
            <w:r w:rsidRPr="001927D6">
              <w:rPr>
                <w:color w:val="000000"/>
                <w:szCs w:val="24"/>
              </w:rPr>
              <w:t>425,40</w:t>
            </w:r>
          </w:p>
        </w:tc>
        <w:tc>
          <w:tcPr>
            <w:tcW w:w="1238" w:type="dxa"/>
            <w:vAlign w:val="center"/>
          </w:tcPr>
          <w:p w14:paraId="0062FE49" w14:textId="77777777" w:rsidR="00295BCD" w:rsidRPr="001927D6" w:rsidRDefault="00295BCD">
            <w:pPr>
              <w:spacing w:after="0" w:line="240" w:lineRule="auto"/>
              <w:jc w:val="center"/>
              <w:textAlignment w:val="baseline"/>
              <w:rPr>
                <w:szCs w:val="24"/>
                <w:lang w:eastAsia="et-EE"/>
              </w:rPr>
            </w:pPr>
            <w:r w:rsidRPr="001927D6">
              <w:rPr>
                <w:color w:val="000000"/>
                <w:szCs w:val="24"/>
              </w:rPr>
              <w:t>5 581,58</w:t>
            </w:r>
          </w:p>
        </w:tc>
      </w:tr>
      <w:tr w:rsidR="00295BCD" w:rsidRPr="001927D6" w14:paraId="71CD3166" w14:textId="77777777" w:rsidTr="00295BCD">
        <w:trPr>
          <w:divId w:val="1316184749"/>
          <w:trHeight w:val="300"/>
        </w:trPr>
        <w:tc>
          <w:tcPr>
            <w:tcW w:w="4632" w:type="dxa"/>
            <w:vAlign w:val="bottom"/>
            <w:hideMark/>
          </w:tcPr>
          <w:p w14:paraId="5C00D8E0" w14:textId="77777777" w:rsidR="00295BCD" w:rsidRPr="001927D6" w:rsidRDefault="00295BCD">
            <w:pPr>
              <w:spacing w:after="0" w:line="240" w:lineRule="auto"/>
              <w:textAlignment w:val="baseline"/>
              <w:rPr>
                <w:szCs w:val="24"/>
                <w:lang w:eastAsia="et-EE"/>
              </w:rPr>
            </w:pPr>
            <w:r w:rsidRPr="001927D6">
              <w:rPr>
                <w:szCs w:val="24"/>
                <w:lang w:eastAsia="et-EE"/>
              </w:rPr>
              <w:t>Spetsiifiline põletikuline artropaatia, kht-ta </w:t>
            </w:r>
          </w:p>
        </w:tc>
        <w:tc>
          <w:tcPr>
            <w:tcW w:w="732" w:type="dxa"/>
            <w:vAlign w:val="center"/>
            <w:hideMark/>
          </w:tcPr>
          <w:p w14:paraId="278CF234" w14:textId="77777777" w:rsidR="00295BCD" w:rsidRPr="001927D6" w:rsidRDefault="00295BCD">
            <w:pPr>
              <w:spacing w:after="0" w:line="240" w:lineRule="auto"/>
              <w:jc w:val="center"/>
              <w:textAlignment w:val="baseline"/>
              <w:rPr>
                <w:szCs w:val="24"/>
                <w:lang w:eastAsia="et-EE"/>
              </w:rPr>
            </w:pPr>
            <w:r w:rsidRPr="001927D6">
              <w:rPr>
                <w:szCs w:val="24"/>
                <w:lang w:eastAsia="et-EE"/>
              </w:rPr>
              <w:t>242C </w:t>
            </w:r>
          </w:p>
        </w:tc>
        <w:tc>
          <w:tcPr>
            <w:tcW w:w="1243" w:type="dxa"/>
            <w:vAlign w:val="center"/>
          </w:tcPr>
          <w:p w14:paraId="65346CC9" w14:textId="77777777" w:rsidR="00295BCD" w:rsidRPr="001927D6" w:rsidRDefault="00295BCD">
            <w:pPr>
              <w:spacing w:after="0" w:line="240" w:lineRule="auto"/>
              <w:jc w:val="center"/>
              <w:textAlignment w:val="baseline"/>
              <w:rPr>
                <w:szCs w:val="24"/>
                <w:lang w:eastAsia="et-EE"/>
              </w:rPr>
            </w:pPr>
            <w:r w:rsidRPr="001927D6">
              <w:rPr>
                <w:color w:val="000000"/>
                <w:szCs w:val="24"/>
              </w:rPr>
              <w:t>1 253,19</w:t>
            </w:r>
          </w:p>
        </w:tc>
        <w:tc>
          <w:tcPr>
            <w:tcW w:w="1211" w:type="dxa"/>
            <w:vAlign w:val="center"/>
          </w:tcPr>
          <w:p w14:paraId="273E4831" w14:textId="77777777" w:rsidR="00295BCD" w:rsidRPr="001927D6" w:rsidRDefault="00295BCD">
            <w:pPr>
              <w:spacing w:after="0" w:line="240" w:lineRule="auto"/>
              <w:jc w:val="center"/>
              <w:textAlignment w:val="baseline"/>
              <w:rPr>
                <w:szCs w:val="24"/>
                <w:lang w:eastAsia="et-EE"/>
              </w:rPr>
            </w:pPr>
            <w:r w:rsidRPr="001927D6">
              <w:rPr>
                <w:color w:val="000000"/>
                <w:szCs w:val="24"/>
              </w:rPr>
              <w:t>412,69</w:t>
            </w:r>
          </w:p>
        </w:tc>
        <w:tc>
          <w:tcPr>
            <w:tcW w:w="1238" w:type="dxa"/>
            <w:vAlign w:val="center"/>
          </w:tcPr>
          <w:p w14:paraId="1B644C3B" w14:textId="77777777" w:rsidR="00295BCD" w:rsidRPr="001927D6" w:rsidRDefault="00295BCD">
            <w:pPr>
              <w:spacing w:after="0" w:line="240" w:lineRule="auto"/>
              <w:jc w:val="center"/>
              <w:textAlignment w:val="baseline"/>
              <w:rPr>
                <w:szCs w:val="24"/>
                <w:lang w:eastAsia="et-EE"/>
              </w:rPr>
            </w:pPr>
            <w:r w:rsidRPr="001927D6">
              <w:rPr>
                <w:color w:val="000000"/>
                <w:szCs w:val="24"/>
              </w:rPr>
              <w:t>2 900,75</w:t>
            </w:r>
          </w:p>
        </w:tc>
      </w:tr>
      <w:tr w:rsidR="00295BCD" w:rsidRPr="001927D6" w14:paraId="3820E95D" w14:textId="77777777" w:rsidTr="00295BCD">
        <w:trPr>
          <w:divId w:val="1316184749"/>
          <w:trHeight w:val="300"/>
        </w:trPr>
        <w:tc>
          <w:tcPr>
            <w:tcW w:w="4632" w:type="dxa"/>
            <w:vAlign w:val="bottom"/>
            <w:hideMark/>
          </w:tcPr>
          <w:p w14:paraId="67ECF835" w14:textId="77777777" w:rsidR="00295BCD" w:rsidRPr="001927D6" w:rsidRDefault="00295BCD">
            <w:pPr>
              <w:spacing w:after="0" w:line="240" w:lineRule="auto"/>
              <w:textAlignment w:val="baseline"/>
              <w:rPr>
                <w:szCs w:val="24"/>
                <w:lang w:eastAsia="et-EE"/>
              </w:rPr>
            </w:pPr>
            <w:r w:rsidRPr="001927D6">
              <w:rPr>
                <w:szCs w:val="24"/>
                <w:lang w:eastAsia="et-EE"/>
              </w:rPr>
              <w:t>Muud artriidid </w:t>
            </w:r>
          </w:p>
        </w:tc>
        <w:tc>
          <w:tcPr>
            <w:tcW w:w="732" w:type="dxa"/>
            <w:vAlign w:val="center"/>
            <w:hideMark/>
          </w:tcPr>
          <w:p w14:paraId="08FB07A9" w14:textId="77777777" w:rsidR="00295BCD" w:rsidRPr="001927D6" w:rsidRDefault="00295BCD">
            <w:pPr>
              <w:spacing w:after="0" w:line="240" w:lineRule="auto"/>
              <w:jc w:val="center"/>
              <w:textAlignment w:val="baseline"/>
              <w:rPr>
                <w:szCs w:val="24"/>
                <w:lang w:eastAsia="et-EE"/>
              </w:rPr>
            </w:pPr>
            <w:r w:rsidRPr="001927D6">
              <w:rPr>
                <w:szCs w:val="24"/>
                <w:lang w:eastAsia="et-EE"/>
              </w:rPr>
              <w:t>242D </w:t>
            </w:r>
          </w:p>
        </w:tc>
        <w:tc>
          <w:tcPr>
            <w:tcW w:w="1243" w:type="dxa"/>
            <w:vAlign w:val="center"/>
          </w:tcPr>
          <w:p w14:paraId="2161A248" w14:textId="77777777" w:rsidR="00295BCD" w:rsidRPr="001927D6" w:rsidRDefault="00295BCD">
            <w:pPr>
              <w:spacing w:after="0" w:line="240" w:lineRule="auto"/>
              <w:jc w:val="center"/>
              <w:textAlignment w:val="baseline"/>
              <w:rPr>
                <w:szCs w:val="24"/>
                <w:lang w:eastAsia="et-EE"/>
              </w:rPr>
            </w:pPr>
            <w:r w:rsidRPr="001927D6">
              <w:rPr>
                <w:color w:val="000000"/>
                <w:szCs w:val="24"/>
              </w:rPr>
              <w:t>1 771,30</w:t>
            </w:r>
          </w:p>
        </w:tc>
        <w:tc>
          <w:tcPr>
            <w:tcW w:w="1211" w:type="dxa"/>
            <w:vAlign w:val="center"/>
          </w:tcPr>
          <w:p w14:paraId="399B6D5D" w14:textId="77777777" w:rsidR="00295BCD" w:rsidRPr="001927D6" w:rsidRDefault="00295BCD">
            <w:pPr>
              <w:spacing w:after="0" w:line="240" w:lineRule="auto"/>
              <w:jc w:val="center"/>
              <w:textAlignment w:val="baseline"/>
              <w:rPr>
                <w:szCs w:val="24"/>
                <w:lang w:eastAsia="et-EE"/>
              </w:rPr>
            </w:pPr>
            <w:r w:rsidRPr="001927D6">
              <w:rPr>
                <w:color w:val="000000"/>
                <w:szCs w:val="24"/>
              </w:rPr>
              <w:t>461,37</w:t>
            </w:r>
          </w:p>
        </w:tc>
        <w:tc>
          <w:tcPr>
            <w:tcW w:w="1238" w:type="dxa"/>
            <w:vAlign w:val="center"/>
          </w:tcPr>
          <w:p w14:paraId="1ABF4E06" w14:textId="77777777" w:rsidR="00295BCD" w:rsidRPr="001927D6" w:rsidRDefault="00295BCD">
            <w:pPr>
              <w:spacing w:after="0" w:line="240" w:lineRule="auto"/>
              <w:jc w:val="center"/>
              <w:textAlignment w:val="baseline"/>
              <w:rPr>
                <w:szCs w:val="24"/>
                <w:lang w:eastAsia="et-EE"/>
              </w:rPr>
            </w:pPr>
            <w:r w:rsidRPr="001927D6">
              <w:rPr>
                <w:color w:val="000000"/>
                <w:szCs w:val="24"/>
              </w:rPr>
              <w:t>4 544,62</w:t>
            </w:r>
          </w:p>
        </w:tc>
      </w:tr>
      <w:tr w:rsidR="00295BCD" w:rsidRPr="001927D6" w14:paraId="693EC28C" w14:textId="77777777" w:rsidTr="00295BCD">
        <w:trPr>
          <w:divId w:val="1316184749"/>
          <w:trHeight w:val="300"/>
        </w:trPr>
        <w:tc>
          <w:tcPr>
            <w:tcW w:w="4632" w:type="dxa"/>
            <w:vAlign w:val="bottom"/>
            <w:hideMark/>
          </w:tcPr>
          <w:p w14:paraId="61A55C91"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Artroosid, kht-ga </w:t>
            </w:r>
          </w:p>
        </w:tc>
        <w:tc>
          <w:tcPr>
            <w:tcW w:w="732" w:type="dxa"/>
            <w:vAlign w:val="center"/>
            <w:hideMark/>
          </w:tcPr>
          <w:p w14:paraId="1FDD00F7" w14:textId="77777777" w:rsidR="00295BCD" w:rsidRPr="001927D6" w:rsidRDefault="00295BCD">
            <w:pPr>
              <w:spacing w:after="0" w:line="240" w:lineRule="auto"/>
              <w:jc w:val="center"/>
              <w:textAlignment w:val="baseline"/>
              <w:rPr>
                <w:szCs w:val="24"/>
                <w:lang w:eastAsia="et-EE"/>
              </w:rPr>
            </w:pPr>
            <w:r w:rsidRPr="001927D6">
              <w:rPr>
                <w:szCs w:val="24"/>
                <w:lang w:eastAsia="et-EE"/>
              </w:rPr>
              <w:t>242E </w:t>
            </w:r>
          </w:p>
        </w:tc>
        <w:tc>
          <w:tcPr>
            <w:tcW w:w="1243" w:type="dxa"/>
            <w:vAlign w:val="center"/>
          </w:tcPr>
          <w:p w14:paraId="7C7AD8D8" w14:textId="77777777" w:rsidR="00295BCD" w:rsidRPr="001927D6" w:rsidRDefault="00295BCD">
            <w:pPr>
              <w:spacing w:after="0" w:line="240" w:lineRule="auto"/>
              <w:jc w:val="center"/>
              <w:textAlignment w:val="baseline"/>
              <w:rPr>
                <w:szCs w:val="24"/>
                <w:lang w:eastAsia="et-EE"/>
              </w:rPr>
            </w:pPr>
            <w:r w:rsidRPr="001927D6">
              <w:rPr>
                <w:color w:val="000000"/>
                <w:szCs w:val="24"/>
              </w:rPr>
              <w:t>1 706,64</w:t>
            </w:r>
          </w:p>
        </w:tc>
        <w:tc>
          <w:tcPr>
            <w:tcW w:w="1211" w:type="dxa"/>
            <w:vAlign w:val="center"/>
          </w:tcPr>
          <w:p w14:paraId="0FDDE3DD" w14:textId="77777777" w:rsidR="00295BCD" w:rsidRPr="001927D6" w:rsidRDefault="00295BCD">
            <w:pPr>
              <w:spacing w:after="0" w:line="240" w:lineRule="auto"/>
              <w:jc w:val="center"/>
              <w:textAlignment w:val="baseline"/>
              <w:rPr>
                <w:szCs w:val="24"/>
                <w:lang w:eastAsia="et-EE"/>
              </w:rPr>
            </w:pPr>
            <w:r w:rsidRPr="001927D6">
              <w:rPr>
                <w:color w:val="000000"/>
                <w:szCs w:val="24"/>
              </w:rPr>
              <w:t>266,20</w:t>
            </w:r>
          </w:p>
        </w:tc>
        <w:tc>
          <w:tcPr>
            <w:tcW w:w="1238" w:type="dxa"/>
            <w:vAlign w:val="center"/>
          </w:tcPr>
          <w:p w14:paraId="4E7B3F78" w14:textId="77777777" w:rsidR="00295BCD" w:rsidRPr="001927D6" w:rsidRDefault="00295BCD">
            <w:pPr>
              <w:spacing w:after="0" w:line="240" w:lineRule="auto"/>
              <w:jc w:val="center"/>
              <w:textAlignment w:val="baseline"/>
              <w:rPr>
                <w:szCs w:val="24"/>
                <w:lang w:eastAsia="et-EE"/>
              </w:rPr>
            </w:pPr>
            <w:r w:rsidRPr="001927D6">
              <w:rPr>
                <w:color w:val="000000"/>
                <w:szCs w:val="24"/>
              </w:rPr>
              <w:t>4 857,98</w:t>
            </w:r>
          </w:p>
        </w:tc>
      </w:tr>
      <w:tr w:rsidR="00295BCD" w:rsidRPr="001927D6" w14:paraId="16699004" w14:textId="77777777" w:rsidTr="00295BCD">
        <w:trPr>
          <w:divId w:val="1316184749"/>
          <w:trHeight w:val="300"/>
        </w:trPr>
        <w:tc>
          <w:tcPr>
            <w:tcW w:w="4632" w:type="dxa"/>
            <w:vAlign w:val="bottom"/>
            <w:hideMark/>
          </w:tcPr>
          <w:p w14:paraId="27BA5A8A" w14:textId="77777777" w:rsidR="00295BCD" w:rsidRPr="001927D6" w:rsidRDefault="00295BCD">
            <w:pPr>
              <w:spacing w:after="0" w:line="240" w:lineRule="auto"/>
              <w:textAlignment w:val="baseline"/>
              <w:rPr>
                <w:szCs w:val="24"/>
                <w:lang w:eastAsia="et-EE"/>
              </w:rPr>
            </w:pPr>
            <w:r w:rsidRPr="001927D6">
              <w:rPr>
                <w:szCs w:val="24"/>
                <w:lang w:eastAsia="et-EE"/>
              </w:rPr>
              <w:t>Artroosid, kht-ta </w:t>
            </w:r>
          </w:p>
        </w:tc>
        <w:tc>
          <w:tcPr>
            <w:tcW w:w="732" w:type="dxa"/>
            <w:vAlign w:val="center"/>
            <w:hideMark/>
          </w:tcPr>
          <w:p w14:paraId="33302644" w14:textId="77777777" w:rsidR="00295BCD" w:rsidRPr="001927D6" w:rsidRDefault="00295BCD">
            <w:pPr>
              <w:spacing w:after="0" w:line="240" w:lineRule="auto"/>
              <w:jc w:val="center"/>
              <w:textAlignment w:val="baseline"/>
              <w:rPr>
                <w:szCs w:val="24"/>
                <w:lang w:eastAsia="et-EE"/>
              </w:rPr>
            </w:pPr>
            <w:r w:rsidRPr="001927D6">
              <w:rPr>
                <w:szCs w:val="24"/>
                <w:lang w:eastAsia="et-EE"/>
              </w:rPr>
              <w:t>242F </w:t>
            </w:r>
          </w:p>
        </w:tc>
        <w:tc>
          <w:tcPr>
            <w:tcW w:w="1243" w:type="dxa"/>
            <w:vAlign w:val="center"/>
          </w:tcPr>
          <w:p w14:paraId="5938D924" w14:textId="77777777" w:rsidR="00295BCD" w:rsidRPr="001927D6" w:rsidRDefault="00295BCD">
            <w:pPr>
              <w:spacing w:after="0" w:line="240" w:lineRule="auto"/>
              <w:jc w:val="center"/>
              <w:textAlignment w:val="baseline"/>
              <w:rPr>
                <w:szCs w:val="24"/>
                <w:lang w:eastAsia="et-EE"/>
              </w:rPr>
            </w:pPr>
            <w:r w:rsidRPr="001927D6">
              <w:rPr>
                <w:color w:val="000000"/>
                <w:szCs w:val="24"/>
              </w:rPr>
              <w:t>986,37</w:t>
            </w:r>
          </w:p>
        </w:tc>
        <w:tc>
          <w:tcPr>
            <w:tcW w:w="1211" w:type="dxa"/>
            <w:vAlign w:val="center"/>
          </w:tcPr>
          <w:p w14:paraId="74EF1D21" w14:textId="77777777" w:rsidR="00295BCD" w:rsidRPr="001927D6" w:rsidRDefault="00295BCD">
            <w:pPr>
              <w:spacing w:after="0" w:line="240" w:lineRule="auto"/>
              <w:jc w:val="center"/>
              <w:textAlignment w:val="baseline"/>
              <w:rPr>
                <w:szCs w:val="24"/>
                <w:lang w:eastAsia="et-EE"/>
              </w:rPr>
            </w:pPr>
            <w:r w:rsidRPr="001927D6">
              <w:rPr>
                <w:color w:val="000000"/>
                <w:szCs w:val="24"/>
              </w:rPr>
              <w:t>247,68</w:t>
            </w:r>
          </w:p>
        </w:tc>
        <w:tc>
          <w:tcPr>
            <w:tcW w:w="1238" w:type="dxa"/>
            <w:vAlign w:val="center"/>
          </w:tcPr>
          <w:p w14:paraId="143D8024" w14:textId="77777777" w:rsidR="00295BCD" w:rsidRPr="001927D6" w:rsidRDefault="00295BCD">
            <w:pPr>
              <w:spacing w:after="0" w:line="240" w:lineRule="auto"/>
              <w:jc w:val="center"/>
              <w:textAlignment w:val="baseline"/>
              <w:rPr>
                <w:szCs w:val="24"/>
                <w:lang w:eastAsia="et-EE"/>
              </w:rPr>
            </w:pPr>
            <w:r w:rsidRPr="001927D6">
              <w:rPr>
                <w:color w:val="000000"/>
                <w:szCs w:val="24"/>
              </w:rPr>
              <w:t>2 261,32</w:t>
            </w:r>
          </w:p>
        </w:tc>
      </w:tr>
      <w:tr w:rsidR="00295BCD" w:rsidRPr="001927D6" w14:paraId="45EB0CB5" w14:textId="77777777" w:rsidTr="00295BCD">
        <w:trPr>
          <w:divId w:val="1316184749"/>
          <w:trHeight w:val="300"/>
        </w:trPr>
        <w:tc>
          <w:tcPr>
            <w:tcW w:w="4632" w:type="dxa"/>
            <w:vAlign w:val="bottom"/>
            <w:hideMark/>
          </w:tcPr>
          <w:p w14:paraId="6AC6A000" w14:textId="77777777" w:rsidR="00295BCD" w:rsidRPr="001927D6" w:rsidRDefault="00295BCD">
            <w:pPr>
              <w:spacing w:after="0" w:line="240" w:lineRule="auto"/>
              <w:textAlignment w:val="baseline"/>
              <w:rPr>
                <w:szCs w:val="24"/>
                <w:lang w:eastAsia="et-EE"/>
              </w:rPr>
            </w:pPr>
            <w:r w:rsidRPr="001927D6">
              <w:rPr>
                <w:szCs w:val="24"/>
                <w:lang w:eastAsia="et-EE"/>
              </w:rPr>
              <w:t>Seljavalud </w:t>
            </w:r>
          </w:p>
        </w:tc>
        <w:tc>
          <w:tcPr>
            <w:tcW w:w="732" w:type="dxa"/>
            <w:vAlign w:val="center"/>
            <w:hideMark/>
          </w:tcPr>
          <w:p w14:paraId="60F502D4" w14:textId="77777777" w:rsidR="00295BCD" w:rsidRPr="001927D6" w:rsidRDefault="00295BCD">
            <w:pPr>
              <w:spacing w:after="0" w:line="240" w:lineRule="auto"/>
              <w:jc w:val="center"/>
              <w:textAlignment w:val="baseline"/>
              <w:rPr>
                <w:szCs w:val="24"/>
                <w:lang w:eastAsia="et-EE"/>
              </w:rPr>
            </w:pPr>
            <w:r w:rsidRPr="001927D6">
              <w:rPr>
                <w:szCs w:val="24"/>
                <w:lang w:eastAsia="et-EE"/>
              </w:rPr>
              <w:t>243 </w:t>
            </w:r>
          </w:p>
        </w:tc>
        <w:tc>
          <w:tcPr>
            <w:tcW w:w="1243" w:type="dxa"/>
            <w:vAlign w:val="center"/>
          </w:tcPr>
          <w:p w14:paraId="327A6F56" w14:textId="77777777" w:rsidR="00295BCD" w:rsidRPr="001927D6" w:rsidRDefault="00295BCD">
            <w:pPr>
              <w:spacing w:after="0" w:line="240" w:lineRule="auto"/>
              <w:jc w:val="center"/>
              <w:textAlignment w:val="baseline"/>
              <w:rPr>
                <w:szCs w:val="24"/>
                <w:lang w:eastAsia="et-EE"/>
              </w:rPr>
            </w:pPr>
            <w:r w:rsidRPr="001927D6">
              <w:rPr>
                <w:color w:val="000000"/>
                <w:szCs w:val="24"/>
              </w:rPr>
              <w:t>1 499,42</w:t>
            </w:r>
          </w:p>
        </w:tc>
        <w:tc>
          <w:tcPr>
            <w:tcW w:w="1211" w:type="dxa"/>
            <w:vAlign w:val="center"/>
          </w:tcPr>
          <w:p w14:paraId="1E0DF46F" w14:textId="77777777" w:rsidR="00295BCD" w:rsidRPr="001927D6" w:rsidRDefault="00295BCD">
            <w:pPr>
              <w:spacing w:after="0" w:line="240" w:lineRule="auto"/>
              <w:jc w:val="center"/>
              <w:textAlignment w:val="baseline"/>
              <w:rPr>
                <w:szCs w:val="24"/>
                <w:lang w:eastAsia="et-EE"/>
              </w:rPr>
            </w:pPr>
            <w:r w:rsidRPr="001927D6">
              <w:rPr>
                <w:color w:val="000000"/>
                <w:szCs w:val="24"/>
              </w:rPr>
              <w:t>274,20</w:t>
            </w:r>
          </w:p>
        </w:tc>
        <w:tc>
          <w:tcPr>
            <w:tcW w:w="1238" w:type="dxa"/>
            <w:vAlign w:val="center"/>
          </w:tcPr>
          <w:p w14:paraId="18671706" w14:textId="77777777" w:rsidR="00295BCD" w:rsidRPr="001927D6" w:rsidRDefault="00295BCD">
            <w:pPr>
              <w:spacing w:after="0" w:line="240" w:lineRule="auto"/>
              <w:jc w:val="center"/>
              <w:textAlignment w:val="baseline"/>
              <w:rPr>
                <w:szCs w:val="24"/>
                <w:lang w:eastAsia="et-EE"/>
              </w:rPr>
            </w:pPr>
            <w:r w:rsidRPr="001927D6">
              <w:rPr>
                <w:color w:val="000000"/>
                <w:szCs w:val="24"/>
              </w:rPr>
              <w:t>3 861,79</w:t>
            </w:r>
          </w:p>
        </w:tc>
      </w:tr>
      <w:tr w:rsidR="00295BCD" w:rsidRPr="001927D6" w14:paraId="36DA5E3C" w14:textId="77777777" w:rsidTr="00295BCD">
        <w:trPr>
          <w:divId w:val="1316184749"/>
          <w:trHeight w:val="300"/>
        </w:trPr>
        <w:tc>
          <w:tcPr>
            <w:tcW w:w="4632" w:type="dxa"/>
            <w:vAlign w:val="bottom"/>
            <w:hideMark/>
          </w:tcPr>
          <w:p w14:paraId="65535930" w14:textId="77777777" w:rsidR="00295BCD" w:rsidRPr="001927D6" w:rsidRDefault="00295BCD">
            <w:pPr>
              <w:spacing w:after="0" w:line="240" w:lineRule="auto"/>
              <w:textAlignment w:val="baseline"/>
              <w:rPr>
                <w:szCs w:val="24"/>
                <w:lang w:eastAsia="et-EE"/>
              </w:rPr>
            </w:pPr>
            <w:r w:rsidRPr="001927D6">
              <w:rPr>
                <w:szCs w:val="24"/>
                <w:lang w:eastAsia="et-EE"/>
              </w:rPr>
              <w:t>Luuhaigused ja spetsiifilised artropaatiad, kht-ga </w:t>
            </w:r>
          </w:p>
        </w:tc>
        <w:tc>
          <w:tcPr>
            <w:tcW w:w="732" w:type="dxa"/>
            <w:vAlign w:val="center"/>
            <w:hideMark/>
          </w:tcPr>
          <w:p w14:paraId="499173AF" w14:textId="77777777" w:rsidR="00295BCD" w:rsidRPr="001927D6" w:rsidRDefault="00295BCD">
            <w:pPr>
              <w:spacing w:after="0" w:line="240" w:lineRule="auto"/>
              <w:jc w:val="center"/>
              <w:textAlignment w:val="baseline"/>
              <w:rPr>
                <w:szCs w:val="24"/>
                <w:lang w:eastAsia="et-EE"/>
              </w:rPr>
            </w:pPr>
            <w:r w:rsidRPr="001927D6">
              <w:rPr>
                <w:szCs w:val="24"/>
                <w:lang w:eastAsia="et-EE"/>
              </w:rPr>
              <w:t>244 </w:t>
            </w:r>
          </w:p>
        </w:tc>
        <w:tc>
          <w:tcPr>
            <w:tcW w:w="1243" w:type="dxa"/>
            <w:vAlign w:val="center"/>
          </w:tcPr>
          <w:p w14:paraId="6C0FD3F8" w14:textId="77777777" w:rsidR="00295BCD" w:rsidRPr="001927D6" w:rsidRDefault="00295BCD">
            <w:pPr>
              <w:spacing w:after="0" w:line="240" w:lineRule="auto"/>
              <w:jc w:val="center"/>
              <w:textAlignment w:val="baseline"/>
              <w:rPr>
                <w:szCs w:val="24"/>
                <w:lang w:eastAsia="et-EE"/>
              </w:rPr>
            </w:pPr>
            <w:r w:rsidRPr="001927D6">
              <w:rPr>
                <w:color w:val="000000"/>
                <w:szCs w:val="24"/>
              </w:rPr>
              <w:t>2 277,48</w:t>
            </w:r>
          </w:p>
        </w:tc>
        <w:tc>
          <w:tcPr>
            <w:tcW w:w="1211" w:type="dxa"/>
            <w:vAlign w:val="center"/>
          </w:tcPr>
          <w:p w14:paraId="3643B14D" w14:textId="77777777" w:rsidR="00295BCD" w:rsidRPr="001927D6" w:rsidRDefault="00295BCD">
            <w:pPr>
              <w:spacing w:after="0" w:line="240" w:lineRule="auto"/>
              <w:jc w:val="center"/>
              <w:textAlignment w:val="baseline"/>
              <w:rPr>
                <w:szCs w:val="24"/>
                <w:lang w:eastAsia="et-EE"/>
              </w:rPr>
            </w:pPr>
            <w:r w:rsidRPr="001927D6">
              <w:rPr>
                <w:color w:val="000000"/>
                <w:szCs w:val="24"/>
              </w:rPr>
              <w:t>669,95</w:t>
            </w:r>
          </w:p>
        </w:tc>
        <w:tc>
          <w:tcPr>
            <w:tcW w:w="1238" w:type="dxa"/>
            <w:vAlign w:val="center"/>
          </w:tcPr>
          <w:p w14:paraId="5DF5B980" w14:textId="77777777" w:rsidR="00295BCD" w:rsidRPr="001927D6" w:rsidRDefault="00295BCD">
            <w:pPr>
              <w:spacing w:after="0" w:line="240" w:lineRule="auto"/>
              <w:jc w:val="center"/>
              <w:textAlignment w:val="baseline"/>
              <w:rPr>
                <w:szCs w:val="24"/>
                <w:lang w:eastAsia="et-EE"/>
              </w:rPr>
            </w:pPr>
            <w:r w:rsidRPr="001927D6">
              <w:rPr>
                <w:color w:val="000000"/>
                <w:szCs w:val="24"/>
              </w:rPr>
              <w:t>4 757,85</w:t>
            </w:r>
          </w:p>
        </w:tc>
      </w:tr>
      <w:tr w:rsidR="00295BCD" w:rsidRPr="001927D6" w14:paraId="1BC2398D" w14:textId="77777777" w:rsidTr="00295BCD">
        <w:trPr>
          <w:divId w:val="1316184749"/>
          <w:trHeight w:val="300"/>
        </w:trPr>
        <w:tc>
          <w:tcPr>
            <w:tcW w:w="4632" w:type="dxa"/>
            <w:vAlign w:val="bottom"/>
            <w:hideMark/>
          </w:tcPr>
          <w:p w14:paraId="725DEB80" w14:textId="77777777" w:rsidR="00295BCD" w:rsidRPr="001927D6" w:rsidRDefault="00295BCD">
            <w:pPr>
              <w:spacing w:after="0" w:line="240" w:lineRule="auto"/>
              <w:textAlignment w:val="baseline"/>
              <w:rPr>
                <w:szCs w:val="24"/>
                <w:lang w:eastAsia="et-EE"/>
              </w:rPr>
            </w:pPr>
            <w:r w:rsidRPr="001927D6">
              <w:rPr>
                <w:szCs w:val="24"/>
                <w:lang w:eastAsia="et-EE"/>
              </w:rPr>
              <w:t>Luuhaigused ja spetsiifilised artropaatiad, kht-ta </w:t>
            </w:r>
          </w:p>
        </w:tc>
        <w:tc>
          <w:tcPr>
            <w:tcW w:w="732" w:type="dxa"/>
            <w:vAlign w:val="center"/>
            <w:hideMark/>
          </w:tcPr>
          <w:p w14:paraId="18208730" w14:textId="77777777" w:rsidR="00295BCD" w:rsidRPr="001927D6" w:rsidRDefault="00295BCD">
            <w:pPr>
              <w:spacing w:after="0" w:line="240" w:lineRule="auto"/>
              <w:jc w:val="center"/>
              <w:textAlignment w:val="baseline"/>
              <w:rPr>
                <w:szCs w:val="24"/>
                <w:lang w:eastAsia="et-EE"/>
              </w:rPr>
            </w:pPr>
            <w:r w:rsidRPr="001927D6">
              <w:rPr>
                <w:szCs w:val="24"/>
                <w:lang w:eastAsia="et-EE"/>
              </w:rPr>
              <w:t>245 </w:t>
            </w:r>
          </w:p>
        </w:tc>
        <w:tc>
          <w:tcPr>
            <w:tcW w:w="1243" w:type="dxa"/>
            <w:vAlign w:val="center"/>
          </w:tcPr>
          <w:p w14:paraId="32EEEF51" w14:textId="77777777" w:rsidR="00295BCD" w:rsidRPr="001927D6" w:rsidRDefault="00295BCD">
            <w:pPr>
              <w:spacing w:after="0" w:line="240" w:lineRule="auto"/>
              <w:jc w:val="center"/>
              <w:textAlignment w:val="baseline"/>
              <w:rPr>
                <w:szCs w:val="24"/>
                <w:lang w:eastAsia="et-EE"/>
              </w:rPr>
            </w:pPr>
            <w:r w:rsidRPr="001927D6">
              <w:rPr>
                <w:color w:val="000000"/>
                <w:szCs w:val="24"/>
              </w:rPr>
              <w:t>1 047,25</w:t>
            </w:r>
          </w:p>
        </w:tc>
        <w:tc>
          <w:tcPr>
            <w:tcW w:w="1211" w:type="dxa"/>
            <w:vAlign w:val="center"/>
          </w:tcPr>
          <w:p w14:paraId="135FB6B8" w14:textId="77777777" w:rsidR="00295BCD" w:rsidRPr="001927D6" w:rsidRDefault="00295BCD">
            <w:pPr>
              <w:spacing w:after="0" w:line="240" w:lineRule="auto"/>
              <w:jc w:val="center"/>
              <w:textAlignment w:val="baseline"/>
              <w:rPr>
                <w:szCs w:val="24"/>
                <w:lang w:eastAsia="et-EE"/>
              </w:rPr>
            </w:pPr>
            <w:r w:rsidRPr="001927D6">
              <w:rPr>
                <w:color w:val="000000"/>
                <w:szCs w:val="24"/>
              </w:rPr>
              <w:t>283,61</w:t>
            </w:r>
          </w:p>
        </w:tc>
        <w:tc>
          <w:tcPr>
            <w:tcW w:w="1238" w:type="dxa"/>
            <w:vAlign w:val="center"/>
          </w:tcPr>
          <w:p w14:paraId="59F15E79" w14:textId="77777777" w:rsidR="00295BCD" w:rsidRPr="001927D6" w:rsidRDefault="00295BCD">
            <w:pPr>
              <w:spacing w:after="0" w:line="240" w:lineRule="auto"/>
              <w:jc w:val="center"/>
              <w:textAlignment w:val="baseline"/>
              <w:rPr>
                <w:szCs w:val="24"/>
                <w:lang w:eastAsia="et-EE"/>
              </w:rPr>
            </w:pPr>
            <w:r w:rsidRPr="001927D6">
              <w:rPr>
                <w:color w:val="000000"/>
                <w:szCs w:val="24"/>
              </w:rPr>
              <w:t>2 996,04</w:t>
            </w:r>
          </w:p>
        </w:tc>
      </w:tr>
      <w:tr w:rsidR="00295BCD" w:rsidRPr="001927D6" w14:paraId="24EC0622" w14:textId="77777777" w:rsidTr="00295BCD">
        <w:trPr>
          <w:divId w:val="1316184749"/>
          <w:trHeight w:val="300"/>
        </w:trPr>
        <w:tc>
          <w:tcPr>
            <w:tcW w:w="4632" w:type="dxa"/>
            <w:vAlign w:val="bottom"/>
            <w:hideMark/>
          </w:tcPr>
          <w:p w14:paraId="052697CA" w14:textId="77777777" w:rsidR="00295BCD" w:rsidRPr="001927D6" w:rsidRDefault="00295BCD">
            <w:pPr>
              <w:spacing w:after="0" w:line="240" w:lineRule="auto"/>
              <w:textAlignment w:val="baseline"/>
              <w:rPr>
                <w:szCs w:val="24"/>
                <w:lang w:eastAsia="et-EE"/>
              </w:rPr>
            </w:pPr>
            <w:r w:rsidRPr="001927D6">
              <w:rPr>
                <w:szCs w:val="24"/>
                <w:lang w:eastAsia="et-EE"/>
              </w:rPr>
              <w:t>Luulihaskonna- ja sidekoehaiguste tunnused ja sümptomid </w:t>
            </w:r>
          </w:p>
        </w:tc>
        <w:tc>
          <w:tcPr>
            <w:tcW w:w="732" w:type="dxa"/>
            <w:vAlign w:val="center"/>
            <w:hideMark/>
          </w:tcPr>
          <w:p w14:paraId="3499D163" w14:textId="77777777" w:rsidR="00295BCD" w:rsidRPr="001927D6" w:rsidRDefault="00295BCD">
            <w:pPr>
              <w:spacing w:after="0" w:line="240" w:lineRule="auto"/>
              <w:jc w:val="center"/>
              <w:textAlignment w:val="baseline"/>
              <w:rPr>
                <w:szCs w:val="24"/>
                <w:lang w:eastAsia="et-EE"/>
              </w:rPr>
            </w:pPr>
            <w:r w:rsidRPr="001927D6">
              <w:rPr>
                <w:szCs w:val="24"/>
                <w:lang w:eastAsia="et-EE"/>
              </w:rPr>
              <w:t>247 </w:t>
            </w:r>
          </w:p>
        </w:tc>
        <w:tc>
          <w:tcPr>
            <w:tcW w:w="1243" w:type="dxa"/>
            <w:vAlign w:val="center"/>
          </w:tcPr>
          <w:p w14:paraId="0C0294DD" w14:textId="77777777" w:rsidR="00295BCD" w:rsidRPr="001927D6" w:rsidRDefault="00295BCD">
            <w:pPr>
              <w:spacing w:after="0" w:line="240" w:lineRule="auto"/>
              <w:jc w:val="center"/>
              <w:textAlignment w:val="baseline"/>
              <w:rPr>
                <w:szCs w:val="24"/>
                <w:lang w:eastAsia="et-EE"/>
              </w:rPr>
            </w:pPr>
            <w:r w:rsidRPr="001927D6">
              <w:rPr>
                <w:color w:val="000000"/>
                <w:szCs w:val="24"/>
              </w:rPr>
              <w:t>1 881,02</w:t>
            </w:r>
          </w:p>
        </w:tc>
        <w:tc>
          <w:tcPr>
            <w:tcW w:w="1211" w:type="dxa"/>
            <w:vAlign w:val="center"/>
          </w:tcPr>
          <w:p w14:paraId="5A15AA37" w14:textId="77777777" w:rsidR="00295BCD" w:rsidRPr="001927D6" w:rsidRDefault="00295BCD">
            <w:pPr>
              <w:spacing w:after="0" w:line="240" w:lineRule="auto"/>
              <w:jc w:val="center"/>
              <w:textAlignment w:val="baseline"/>
              <w:rPr>
                <w:szCs w:val="24"/>
                <w:lang w:eastAsia="et-EE"/>
              </w:rPr>
            </w:pPr>
            <w:r w:rsidRPr="001927D6">
              <w:rPr>
                <w:color w:val="000000"/>
                <w:szCs w:val="24"/>
              </w:rPr>
              <w:t>445,48</w:t>
            </w:r>
          </w:p>
        </w:tc>
        <w:tc>
          <w:tcPr>
            <w:tcW w:w="1238" w:type="dxa"/>
            <w:vAlign w:val="center"/>
          </w:tcPr>
          <w:p w14:paraId="0C2FE836" w14:textId="77777777" w:rsidR="00295BCD" w:rsidRPr="001927D6" w:rsidRDefault="00295BCD">
            <w:pPr>
              <w:spacing w:after="0" w:line="240" w:lineRule="auto"/>
              <w:jc w:val="center"/>
              <w:textAlignment w:val="baseline"/>
              <w:rPr>
                <w:szCs w:val="24"/>
                <w:lang w:eastAsia="et-EE"/>
              </w:rPr>
            </w:pPr>
            <w:r w:rsidRPr="001927D6">
              <w:rPr>
                <w:color w:val="000000"/>
                <w:szCs w:val="24"/>
              </w:rPr>
              <w:t>5 012,29</w:t>
            </w:r>
          </w:p>
        </w:tc>
      </w:tr>
      <w:tr w:rsidR="00295BCD" w:rsidRPr="001927D6" w14:paraId="74D68AF1" w14:textId="77777777" w:rsidTr="00295BCD">
        <w:trPr>
          <w:divId w:val="1316184749"/>
          <w:trHeight w:val="300"/>
        </w:trPr>
        <w:tc>
          <w:tcPr>
            <w:tcW w:w="4632" w:type="dxa"/>
            <w:vAlign w:val="bottom"/>
            <w:hideMark/>
          </w:tcPr>
          <w:p w14:paraId="0DB407C4" w14:textId="77777777" w:rsidR="00295BCD" w:rsidRPr="001927D6" w:rsidRDefault="00295BCD">
            <w:pPr>
              <w:spacing w:after="0" w:line="240" w:lineRule="auto"/>
              <w:textAlignment w:val="baseline"/>
              <w:rPr>
                <w:szCs w:val="24"/>
                <w:lang w:eastAsia="et-EE"/>
              </w:rPr>
            </w:pPr>
            <w:r w:rsidRPr="001927D6">
              <w:rPr>
                <w:szCs w:val="24"/>
                <w:lang w:eastAsia="et-EE"/>
              </w:rPr>
              <w:t>Tendoniit, müosiit ja bursiit </w:t>
            </w:r>
          </w:p>
        </w:tc>
        <w:tc>
          <w:tcPr>
            <w:tcW w:w="732" w:type="dxa"/>
            <w:vAlign w:val="center"/>
            <w:hideMark/>
          </w:tcPr>
          <w:p w14:paraId="4E9AB3A2" w14:textId="77777777" w:rsidR="00295BCD" w:rsidRPr="001927D6" w:rsidRDefault="00295BCD">
            <w:pPr>
              <w:spacing w:after="0" w:line="240" w:lineRule="auto"/>
              <w:jc w:val="center"/>
              <w:textAlignment w:val="baseline"/>
              <w:rPr>
                <w:szCs w:val="24"/>
                <w:lang w:eastAsia="et-EE"/>
              </w:rPr>
            </w:pPr>
            <w:r w:rsidRPr="001927D6">
              <w:rPr>
                <w:szCs w:val="24"/>
                <w:lang w:eastAsia="et-EE"/>
              </w:rPr>
              <w:t>248 </w:t>
            </w:r>
          </w:p>
        </w:tc>
        <w:tc>
          <w:tcPr>
            <w:tcW w:w="1243" w:type="dxa"/>
            <w:vAlign w:val="center"/>
          </w:tcPr>
          <w:p w14:paraId="1FEA27FE" w14:textId="77777777" w:rsidR="00295BCD" w:rsidRPr="001927D6" w:rsidRDefault="00295BCD">
            <w:pPr>
              <w:spacing w:after="0" w:line="240" w:lineRule="auto"/>
              <w:jc w:val="center"/>
              <w:textAlignment w:val="baseline"/>
              <w:rPr>
                <w:szCs w:val="24"/>
                <w:lang w:eastAsia="et-EE"/>
              </w:rPr>
            </w:pPr>
            <w:r w:rsidRPr="001927D6">
              <w:rPr>
                <w:color w:val="000000"/>
                <w:szCs w:val="24"/>
              </w:rPr>
              <w:t>2 728,15</w:t>
            </w:r>
          </w:p>
        </w:tc>
        <w:tc>
          <w:tcPr>
            <w:tcW w:w="1211" w:type="dxa"/>
            <w:vAlign w:val="center"/>
          </w:tcPr>
          <w:p w14:paraId="750D0274" w14:textId="77777777" w:rsidR="00295BCD" w:rsidRPr="001927D6" w:rsidRDefault="00295BCD">
            <w:pPr>
              <w:spacing w:after="0" w:line="240" w:lineRule="auto"/>
              <w:jc w:val="center"/>
              <w:textAlignment w:val="baseline"/>
              <w:rPr>
                <w:szCs w:val="24"/>
                <w:lang w:eastAsia="et-EE"/>
              </w:rPr>
            </w:pPr>
            <w:r w:rsidRPr="001927D6">
              <w:rPr>
                <w:color w:val="000000"/>
                <w:szCs w:val="24"/>
              </w:rPr>
              <w:t>554,78</w:t>
            </w:r>
          </w:p>
        </w:tc>
        <w:tc>
          <w:tcPr>
            <w:tcW w:w="1238" w:type="dxa"/>
            <w:vAlign w:val="center"/>
          </w:tcPr>
          <w:p w14:paraId="0F240B6A" w14:textId="77777777" w:rsidR="00295BCD" w:rsidRPr="001927D6" w:rsidRDefault="00295BCD">
            <w:pPr>
              <w:spacing w:after="0" w:line="240" w:lineRule="auto"/>
              <w:jc w:val="center"/>
              <w:textAlignment w:val="baseline"/>
              <w:rPr>
                <w:szCs w:val="24"/>
                <w:lang w:eastAsia="et-EE"/>
              </w:rPr>
            </w:pPr>
            <w:r w:rsidRPr="001927D6">
              <w:rPr>
                <w:color w:val="000000"/>
                <w:szCs w:val="24"/>
              </w:rPr>
              <w:t>6 712,19</w:t>
            </w:r>
          </w:p>
        </w:tc>
      </w:tr>
      <w:tr w:rsidR="00295BCD" w:rsidRPr="001927D6" w14:paraId="37E3C029" w14:textId="77777777" w:rsidTr="00295BCD">
        <w:trPr>
          <w:divId w:val="1316184749"/>
          <w:trHeight w:val="300"/>
        </w:trPr>
        <w:tc>
          <w:tcPr>
            <w:tcW w:w="4632" w:type="dxa"/>
            <w:vAlign w:val="bottom"/>
            <w:hideMark/>
          </w:tcPr>
          <w:p w14:paraId="659D2A8C" w14:textId="77777777" w:rsidR="00295BCD" w:rsidRPr="001927D6" w:rsidRDefault="00295BCD">
            <w:pPr>
              <w:spacing w:after="0" w:line="240" w:lineRule="auto"/>
              <w:textAlignment w:val="baseline"/>
              <w:rPr>
                <w:szCs w:val="24"/>
                <w:lang w:eastAsia="et-EE"/>
              </w:rPr>
            </w:pPr>
            <w:r w:rsidRPr="001927D6">
              <w:rPr>
                <w:szCs w:val="24"/>
                <w:lang w:eastAsia="et-EE"/>
              </w:rPr>
              <w:t>Luulihaskonna- ja sidekoehaiguste järelravi </w:t>
            </w:r>
          </w:p>
        </w:tc>
        <w:tc>
          <w:tcPr>
            <w:tcW w:w="732" w:type="dxa"/>
            <w:vAlign w:val="center"/>
            <w:hideMark/>
          </w:tcPr>
          <w:p w14:paraId="59762562" w14:textId="77777777" w:rsidR="00295BCD" w:rsidRPr="001927D6" w:rsidRDefault="00295BCD">
            <w:pPr>
              <w:spacing w:after="0" w:line="240" w:lineRule="auto"/>
              <w:jc w:val="center"/>
              <w:textAlignment w:val="baseline"/>
              <w:rPr>
                <w:szCs w:val="24"/>
                <w:lang w:eastAsia="et-EE"/>
              </w:rPr>
            </w:pPr>
            <w:r w:rsidRPr="001927D6">
              <w:rPr>
                <w:szCs w:val="24"/>
                <w:lang w:eastAsia="et-EE"/>
              </w:rPr>
              <w:t>249 </w:t>
            </w:r>
          </w:p>
        </w:tc>
        <w:tc>
          <w:tcPr>
            <w:tcW w:w="1243" w:type="dxa"/>
            <w:vAlign w:val="center"/>
          </w:tcPr>
          <w:p w14:paraId="2485095A" w14:textId="77777777" w:rsidR="00295BCD" w:rsidRPr="001927D6" w:rsidRDefault="00295BCD">
            <w:pPr>
              <w:spacing w:after="0" w:line="240" w:lineRule="auto"/>
              <w:jc w:val="center"/>
              <w:textAlignment w:val="baseline"/>
              <w:rPr>
                <w:szCs w:val="24"/>
                <w:lang w:eastAsia="et-EE"/>
              </w:rPr>
            </w:pPr>
            <w:r w:rsidRPr="001927D6">
              <w:rPr>
                <w:color w:val="000000"/>
                <w:szCs w:val="24"/>
              </w:rPr>
              <w:t>1 805,12</w:t>
            </w:r>
          </w:p>
        </w:tc>
        <w:tc>
          <w:tcPr>
            <w:tcW w:w="1211" w:type="dxa"/>
            <w:vAlign w:val="center"/>
          </w:tcPr>
          <w:p w14:paraId="1EC498FD" w14:textId="77777777" w:rsidR="00295BCD" w:rsidRPr="001927D6" w:rsidRDefault="00295BCD">
            <w:pPr>
              <w:spacing w:after="0" w:line="240" w:lineRule="auto"/>
              <w:jc w:val="center"/>
              <w:textAlignment w:val="baseline"/>
              <w:rPr>
                <w:szCs w:val="24"/>
                <w:lang w:eastAsia="et-EE"/>
              </w:rPr>
            </w:pPr>
            <w:r w:rsidRPr="001927D6">
              <w:rPr>
                <w:color w:val="000000"/>
                <w:szCs w:val="24"/>
              </w:rPr>
              <w:t>546,68</w:t>
            </w:r>
          </w:p>
        </w:tc>
        <w:tc>
          <w:tcPr>
            <w:tcW w:w="1238" w:type="dxa"/>
            <w:vAlign w:val="center"/>
          </w:tcPr>
          <w:p w14:paraId="772DECD6" w14:textId="77777777" w:rsidR="00295BCD" w:rsidRPr="001927D6" w:rsidRDefault="00295BCD">
            <w:pPr>
              <w:spacing w:after="0" w:line="240" w:lineRule="auto"/>
              <w:jc w:val="center"/>
              <w:textAlignment w:val="baseline"/>
              <w:rPr>
                <w:szCs w:val="24"/>
                <w:lang w:eastAsia="et-EE"/>
              </w:rPr>
            </w:pPr>
            <w:r w:rsidRPr="001927D6">
              <w:rPr>
                <w:color w:val="000000"/>
                <w:szCs w:val="24"/>
              </w:rPr>
              <w:t>4 047,40</w:t>
            </w:r>
          </w:p>
        </w:tc>
      </w:tr>
      <w:tr w:rsidR="00295BCD" w:rsidRPr="001927D6" w14:paraId="609CEB5D" w14:textId="77777777" w:rsidTr="00295BCD">
        <w:trPr>
          <w:divId w:val="1316184749"/>
          <w:trHeight w:val="300"/>
        </w:trPr>
        <w:tc>
          <w:tcPr>
            <w:tcW w:w="4632" w:type="dxa"/>
            <w:vAlign w:val="bottom"/>
            <w:hideMark/>
          </w:tcPr>
          <w:p w14:paraId="374FA675" w14:textId="77777777" w:rsidR="00295BCD" w:rsidRPr="001927D6" w:rsidRDefault="00295BCD">
            <w:pPr>
              <w:spacing w:after="0" w:line="240" w:lineRule="auto"/>
              <w:textAlignment w:val="baseline"/>
              <w:rPr>
                <w:szCs w:val="24"/>
                <w:lang w:eastAsia="et-EE"/>
              </w:rPr>
            </w:pPr>
            <w:r w:rsidRPr="001927D6">
              <w:rPr>
                <w:szCs w:val="24"/>
                <w:lang w:eastAsia="et-EE"/>
              </w:rPr>
              <w:t>Küünarvarre-, labakäe- ja labajalamurrud, nihestused, venitused ja dislokatsioonid, vanus &gt; 17, kht-ga </w:t>
            </w:r>
          </w:p>
        </w:tc>
        <w:tc>
          <w:tcPr>
            <w:tcW w:w="732" w:type="dxa"/>
            <w:vAlign w:val="center"/>
            <w:hideMark/>
          </w:tcPr>
          <w:p w14:paraId="05B1ADE0" w14:textId="77777777" w:rsidR="00295BCD" w:rsidRPr="001927D6" w:rsidRDefault="00295BCD">
            <w:pPr>
              <w:spacing w:after="0" w:line="240" w:lineRule="auto"/>
              <w:jc w:val="center"/>
              <w:textAlignment w:val="baseline"/>
              <w:rPr>
                <w:szCs w:val="24"/>
                <w:lang w:eastAsia="et-EE"/>
              </w:rPr>
            </w:pPr>
            <w:r w:rsidRPr="001927D6">
              <w:rPr>
                <w:szCs w:val="24"/>
                <w:lang w:eastAsia="et-EE"/>
              </w:rPr>
              <w:t>250 </w:t>
            </w:r>
          </w:p>
        </w:tc>
        <w:tc>
          <w:tcPr>
            <w:tcW w:w="1243" w:type="dxa"/>
            <w:vAlign w:val="center"/>
          </w:tcPr>
          <w:p w14:paraId="0C6815E9" w14:textId="77777777" w:rsidR="00295BCD" w:rsidRPr="001927D6" w:rsidRDefault="00295BCD">
            <w:pPr>
              <w:spacing w:after="0" w:line="240" w:lineRule="auto"/>
              <w:jc w:val="center"/>
              <w:textAlignment w:val="baseline"/>
              <w:rPr>
                <w:szCs w:val="24"/>
                <w:lang w:eastAsia="et-EE"/>
              </w:rPr>
            </w:pPr>
            <w:r w:rsidRPr="001927D6">
              <w:rPr>
                <w:color w:val="000000"/>
                <w:szCs w:val="24"/>
              </w:rPr>
              <w:t>1 438,87</w:t>
            </w:r>
          </w:p>
        </w:tc>
        <w:tc>
          <w:tcPr>
            <w:tcW w:w="1211" w:type="dxa"/>
            <w:vAlign w:val="center"/>
          </w:tcPr>
          <w:p w14:paraId="101D5394" w14:textId="77777777" w:rsidR="00295BCD" w:rsidRPr="001927D6" w:rsidRDefault="00295BCD">
            <w:pPr>
              <w:spacing w:after="0" w:line="240" w:lineRule="auto"/>
              <w:jc w:val="center"/>
              <w:textAlignment w:val="baseline"/>
              <w:rPr>
                <w:szCs w:val="24"/>
                <w:lang w:eastAsia="et-EE"/>
              </w:rPr>
            </w:pPr>
            <w:r w:rsidRPr="001927D6">
              <w:rPr>
                <w:color w:val="000000"/>
                <w:szCs w:val="24"/>
              </w:rPr>
              <w:t>453,60</w:t>
            </w:r>
          </w:p>
        </w:tc>
        <w:tc>
          <w:tcPr>
            <w:tcW w:w="1238" w:type="dxa"/>
            <w:vAlign w:val="center"/>
          </w:tcPr>
          <w:p w14:paraId="501C16A0" w14:textId="77777777" w:rsidR="00295BCD" w:rsidRPr="001927D6" w:rsidRDefault="00295BCD">
            <w:pPr>
              <w:spacing w:after="0" w:line="240" w:lineRule="auto"/>
              <w:jc w:val="center"/>
              <w:textAlignment w:val="baseline"/>
              <w:rPr>
                <w:szCs w:val="24"/>
                <w:lang w:eastAsia="et-EE"/>
              </w:rPr>
            </w:pPr>
            <w:r w:rsidRPr="001927D6">
              <w:rPr>
                <w:color w:val="000000"/>
                <w:szCs w:val="24"/>
              </w:rPr>
              <w:t>3 985,50</w:t>
            </w:r>
          </w:p>
        </w:tc>
      </w:tr>
      <w:tr w:rsidR="00295BCD" w:rsidRPr="001927D6" w14:paraId="59D0179E" w14:textId="77777777" w:rsidTr="00295BCD">
        <w:trPr>
          <w:divId w:val="1316184749"/>
          <w:trHeight w:val="300"/>
        </w:trPr>
        <w:tc>
          <w:tcPr>
            <w:tcW w:w="4632" w:type="dxa"/>
            <w:vAlign w:val="bottom"/>
            <w:hideMark/>
          </w:tcPr>
          <w:p w14:paraId="7EFE368F" w14:textId="77777777" w:rsidR="00295BCD" w:rsidRPr="001927D6" w:rsidRDefault="00295BCD">
            <w:pPr>
              <w:spacing w:after="0" w:line="240" w:lineRule="auto"/>
              <w:textAlignment w:val="baseline"/>
              <w:rPr>
                <w:szCs w:val="24"/>
                <w:lang w:eastAsia="et-EE"/>
              </w:rPr>
            </w:pPr>
            <w:r w:rsidRPr="001927D6">
              <w:rPr>
                <w:szCs w:val="24"/>
                <w:lang w:eastAsia="et-EE"/>
              </w:rPr>
              <w:t>Küünarvarre-, labakäe- ja labajalamurrud, nihestused, venitused ja dislokatsioonid, vanus &gt; 17, kht-ta </w:t>
            </w:r>
          </w:p>
        </w:tc>
        <w:tc>
          <w:tcPr>
            <w:tcW w:w="732" w:type="dxa"/>
            <w:vAlign w:val="center"/>
            <w:hideMark/>
          </w:tcPr>
          <w:p w14:paraId="797FFBBD" w14:textId="77777777" w:rsidR="00295BCD" w:rsidRPr="001927D6" w:rsidRDefault="00295BCD">
            <w:pPr>
              <w:spacing w:after="0" w:line="240" w:lineRule="auto"/>
              <w:jc w:val="center"/>
              <w:textAlignment w:val="baseline"/>
              <w:rPr>
                <w:szCs w:val="24"/>
                <w:lang w:eastAsia="et-EE"/>
              </w:rPr>
            </w:pPr>
            <w:r w:rsidRPr="001927D6">
              <w:rPr>
                <w:szCs w:val="24"/>
                <w:lang w:eastAsia="et-EE"/>
              </w:rPr>
              <w:t>251 </w:t>
            </w:r>
          </w:p>
        </w:tc>
        <w:tc>
          <w:tcPr>
            <w:tcW w:w="1243" w:type="dxa"/>
            <w:vAlign w:val="center"/>
          </w:tcPr>
          <w:p w14:paraId="3DE9822A" w14:textId="77777777" w:rsidR="00295BCD" w:rsidRPr="001927D6" w:rsidRDefault="00295BCD">
            <w:pPr>
              <w:spacing w:after="0" w:line="240" w:lineRule="auto"/>
              <w:jc w:val="center"/>
              <w:textAlignment w:val="baseline"/>
              <w:rPr>
                <w:szCs w:val="24"/>
                <w:lang w:eastAsia="et-EE"/>
              </w:rPr>
            </w:pPr>
            <w:r w:rsidRPr="001927D6">
              <w:rPr>
                <w:color w:val="000000"/>
                <w:szCs w:val="24"/>
              </w:rPr>
              <w:t>948,95</w:t>
            </w:r>
          </w:p>
        </w:tc>
        <w:tc>
          <w:tcPr>
            <w:tcW w:w="1211" w:type="dxa"/>
            <w:vAlign w:val="center"/>
          </w:tcPr>
          <w:p w14:paraId="42334C84" w14:textId="77777777" w:rsidR="00295BCD" w:rsidRPr="001927D6" w:rsidRDefault="00295BCD">
            <w:pPr>
              <w:spacing w:after="0" w:line="240" w:lineRule="auto"/>
              <w:jc w:val="center"/>
              <w:textAlignment w:val="baseline"/>
              <w:rPr>
                <w:szCs w:val="24"/>
                <w:lang w:eastAsia="et-EE"/>
              </w:rPr>
            </w:pPr>
            <w:r w:rsidRPr="001927D6">
              <w:rPr>
                <w:color w:val="000000"/>
                <w:szCs w:val="24"/>
              </w:rPr>
              <w:t>300,62</w:t>
            </w:r>
          </w:p>
        </w:tc>
        <w:tc>
          <w:tcPr>
            <w:tcW w:w="1238" w:type="dxa"/>
            <w:vAlign w:val="center"/>
          </w:tcPr>
          <w:p w14:paraId="450B33D4" w14:textId="77777777" w:rsidR="00295BCD" w:rsidRPr="001927D6" w:rsidRDefault="00295BCD">
            <w:pPr>
              <w:spacing w:after="0" w:line="240" w:lineRule="auto"/>
              <w:jc w:val="center"/>
              <w:textAlignment w:val="baseline"/>
              <w:rPr>
                <w:szCs w:val="24"/>
                <w:lang w:eastAsia="et-EE"/>
              </w:rPr>
            </w:pPr>
            <w:r w:rsidRPr="001927D6">
              <w:rPr>
                <w:color w:val="000000"/>
                <w:szCs w:val="24"/>
              </w:rPr>
              <w:t>1 833,97</w:t>
            </w:r>
          </w:p>
        </w:tc>
      </w:tr>
      <w:tr w:rsidR="00295BCD" w:rsidRPr="001927D6" w14:paraId="65490D49" w14:textId="77777777" w:rsidTr="00295BCD">
        <w:trPr>
          <w:divId w:val="1316184749"/>
          <w:trHeight w:val="300"/>
        </w:trPr>
        <w:tc>
          <w:tcPr>
            <w:tcW w:w="4632" w:type="dxa"/>
            <w:vAlign w:val="bottom"/>
            <w:hideMark/>
          </w:tcPr>
          <w:p w14:paraId="1F26ECCE" w14:textId="77777777" w:rsidR="00295BCD" w:rsidRPr="001927D6" w:rsidRDefault="00295BCD">
            <w:pPr>
              <w:spacing w:after="0" w:line="240" w:lineRule="auto"/>
              <w:textAlignment w:val="baseline"/>
              <w:rPr>
                <w:szCs w:val="24"/>
                <w:lang w:eastAsia="et-EE"/>
              </w:rPr>
            </w:pPr>
            <w:r w:rsidRPr="001927D6">
              <w:rPr>
                <w:szCs w:val="24"/>
                <w:lang w:eastAsia="et-EE"/>
              </w:rPr>
              <w:t>Küünarvarre-, labakäe- ja labajalamurrud, nihestused, venitused ja dislokatsioonid, vanus 0–17 </w:t>
            </w:r>
          </w:p>
        </w:tc>
        <w:tc>
          <w:tcPr>
            <w:tcW w:w="732" w:type="dxa"/>
            <w:vAlign w:val="center"/>
            <w:hideMark/>
          </w:tcPr>
          <w:p w14:paraId="33575D99" w14:textId="77777777" w:rsidR="00295BCD" w:rsidRPr="001927D6" w:rsidRDefault="00295BCD">
            <w:pPr>
              <w:spacing w:after="0" w:line="240" w:lineRule="auto"/>
              <w:jc w:val="center"/>
              <w:textAlignment w:val="baseline"/>
              <w:rPr>
                <w:szCs w:val="24"/>
                <w:lang w:eastAsia="et-EE"/>
              </w:rPr>
            </w:pPr>
            <w:r w:rsidRPr="001927D6">
              <w:rPr>
                <w:szCs w:val="24"/>
                <w:lang w:eastAsia="et-EE"/>
              </w:rPr>
              <w:t>252 </w:t>
            </w:r>
          </w:p>
        </w:tc>
        <w:tc>
          <w:tcPr>
            <w:tcW w:w="1243" w:type="dxa"/>
            <w:vAlign w:val="center"/>
          </w:tcPr>
          <w:p w14:paraId="39AE8A5A" w14:textId="77777777" w:rsidR="00295BCD" w:rsidRPr="001927D6" w:rsidRDefault="00295BCD">
            <w:pPr>
              <w:spacing w:after="0" w:line="240" w:lineRule="auto"/>
              <w:jc w:val="center"/>
              <w:textAlignment w:val="baseline"/>
              <w:rPr>
                <w:szCs w:val="24"/>
                <w:lang w:eastAsia="et-EE"/>
              </w:rPr>
            </w:pPr>
            <w:r w:rsidRPr="001927D6">
              <w:rPr>
                <w:color w:val="000000"/>
                <w:szCs w:val="24"/>
              </w:rPr>
              <w:t>668,54</w:t>
            </w:r>
          </w:p>
        </w:tc>
        <w:tc>
          <w:tcPr>
            <w:tcW w:w="1211" w:type="dxa"/>
            <w:vAlign w:val="center"/>
          </w:tcPr>
          <w:p w14:paraId="77FE7B61" w14:textId="77777777" w:rsidR="00295BCD" w:rsidRPr="001927D6" w:rsidRDefault="00295BCD">
            <w:pPr>
              <w:spacing w:after="0" w:line="240" w:lineRule="auto"/>
              <w:jc w:val="center"/>
              <w:textAlignment w:val="baseline"/>
              <w:rPr>
                <w:szCs w:val="24"/>
                <w:lang w:eastAsia="et-EE"/>
              </w:rPr>
            </w:pPr>
            <w:r w:rsidRPr="001927D6">
              <w:rPr>
                <w:color w:val="000000"/>
                <w:szCs w:val="24"/>
              </w:rPr>
              <w:t>509,50</w:t>
            </w:r>
          </w:p>
        </w:tc>
        <w:tc>
          <w:tcPr>
            <w:tcW w:w="1238" w:type="dxa"/>
            <w:vAlign w:val="center"/>
          </w:tcPr>
          <w:p w14:paraId="78D02C86" w14:textId="77777777" w:rsidR="00295BCD" w:rsidRPr="001927D6" w:rsidRDefault="00295BCD">
            <w:pPr>
              <w:spacing w:after="0" w:line="240" w:lineRule="auto"/>
              <w:jc w:val="center"/>
              <w:textAlignment w:val="baseline"/>
              <w:rPr>
                <w:szCs w:val="24"/>
                <w:lang w:eastAsia="et-EE"/>
              </w:rPr>
            </w:pPr>
            <w:r w:rsidRPr="001927D6">
              <w:rPr>
                <w:color w:val="000000"/>
                <w:szCs w:val="24"/>
              </w:rPr>
              <w:t>1 432,11</w:t>
            </w:r>
          </w:p>
        </w:tc>
      </w:tr>
      <w:tr w:rsidR="00295BCD" w:rsidRPr="001927D6" w14:paraId="7F9989CE" w14:textId="77777777" w:rsidTr="00295BCD">
        <w:trPr>
          <w:divId w:val="1316184749"/>
          <w:trHeight w:val="300"/>
        </w:trPr>
        <w:tc>
          <w:tcPr>
            <w:tcW w:w="4632" w:type="dxa"/>
            <w:vAlign w:val="bottom"/>
            <w:hideMark/>
          </w:tcPr>
          <w:p w14:paraId="3E8F860E" w14:textId="77777777" w:rsidR="00295BCD" w:rsidRPr="001927D6" w:rsidRDefault="00295BCD">
            <w:pPr>
              <w:spacing w:after="0" w:line="240" w:lineRule="auto"/>
              <w:textAlignment w:val="baseline"/>
              <w:rPr>
                <w:szCs w:val="24"/>
                <w:lang w:eastAsia="et-EE"/>
              </w:rPr>
            </w:pPr>
            <w:r w:rsidRPr="001927D6">
              <w:rPr>
                <w:szCs w:val="24"/>
                <w:lang w:eastAsia="et-EE"/>
              </w:rPr>
              <w:t>Õlavarre-, jalasääre-, v.a labajalamurrud, nihestused, venitused ja dislokatsioonid, vanus &gt; 17, kht-ga </w:t>
            </w:r>
          </w:p>
        </w:tc>
        <w:tc>
          <w:tcPr>
            <w:tcW w:w="732" w:type="dxa"/>
            <w:vAlign w:val="center"/>
            <w:hideMark/>
          </w:tcPr>
          <w:p w14:paraId="2316AD71" w14:textId="77777777" w:rsidR="00295BCD" w:rsidRPr="001927D6" w:rsidRDefault="00295BCD">
            <w:pPr>
              <w:spacing w:after="0" w:line="240" w:lineRule="auto"/>
              <w:jc w:val="center"/>
              <w:textAlignment w:val="baseline"/>
              <w:rPr>
                <w:szCs w:val="24"/>
                <w:lang w:eastAsia="et-EE"/>
              </w:rPr>
            </w:pPr>
            <w:r w:rsidRPr="001927D6">
              <w:rPr>
                <w:szCs w:val="24"/>
                <w:lang w:eastAsia="et-EE"/>
              </w:rPr>
              <w:t>253 </w:t>
            </w:r>
          </w:p>
        </w:tc>
        <w:tc>
          <w:tcPr>
            <w:tcW w:w="1243" w:type="dxa"/>
            <w:vAlign w:val="center"/>
          </w:tcPr>
          <w:p w14:paraId="3808802C" w14:textId="77777777" w:rsidR="00295BCD" w:rsidRPr="001927D6" w:rsidRDefault="00295BCD">
            <w:pPr>
              <w:spacing w:after="0" w:line="240" w:lineRule="auto"/>
              <w:jc w:val="center"/>
              <w:textAlignment w:val="baseline"/>
              <w:rPr>
                <w:szCs w:val="24"/>
                <w:lang w:eastAsia="et-EE"/>
              </w:rPr>
            </w:pPr>
            <w:r w:rsidRPr="001927D6">
              <w:rPr>
                <w:color w:val="000000"/>
                <w:szCs w:val="24"/>
              </w:rPr>
              <w:t>1 713,24</w:t>
            </w:r>
          </w:p>
        </w:tc>
        <w:tc>
          <w:tcPr>
            <w:tcW w:w="1211" w:type="dxa"/>
            <w:vAlign w:val="center"/>
          </w:tcPr>
          <w:p w14:paraId="3929F3B3" w14:textId="77777777" w:rsidR="00295BCD" w:rsidRPr="001927D6" w:rsidRDefault="00295BCD">
            <w:pPr>
              <w:spacing w:after="0" w:line="240" w:lineRule="auto"/>
              <w:jc w:val="center"/>
              <w:textAlignment w:val="baseline"/>
              <w:rPr>
                <w:szCs w:val="24"/>
                <w:lang w:eastAsia="et-EE"/>
              </w:rPr>
            </w:pPr>
            <w:r w:rsidRPr="001927D6">
              <w:rPr>
                <w:color w:val="000000"/>
                <w:szCs w:val="24"/>
              </w:rPr>
              <w:t>375,91</w:t>
            </w:r>
          </w:p>
        </w:tc>
        <w:tc>
          <w:tcPr>
            <w:tcW w:w="1238" w:type="dxa"/>
            <w:vAlign w:val="center"/>
          </w:tcPr>
          <w:p w14:paraId="1976DA18" w14:textId="77777777" w:rsidR="00295BCD" w:rsidRPr="001927D6" w:rsidRDefault="00295BCD">
            <w:pPr>
              <w:spacing w:after="0" w:line="240" w:lineRule="auto"/>
              <w:jc w:val="center"/>
              <w:textAlignment w:val="baseline"/>
              <w:rPr>
                <w:szCs w:val="24"/>
                <w:lang w:eastAsia="et-EE"/>
              </w:rPr>
            </w:pPr>
            <w:r w:rsidRPr="001927D6">
              <w:rPr>
                <w:color w:val="000000"/>
                <w:szCs w:val="24"/>
              </w:rPr>
              <w:t>4 124,67</w:t>
            </w:r>
          </w:p>
        </w:tc>
      </w:tr>
      <w:tr w:rsidR="00295BCD" w:rsidRPr="001927D6" w14:paraId="4C842A70" w14:textId="77777777" w:rsidTr="00295BCD">
        <w:trPr>
          <w:divId w:val="1316184749"/>
          <w:trHeight w:val="300"/>
        </w:trPr>
        <w:tc>
          <w:tcPr>
            <w:tcW w:w="4632" w:type="dxa"/>
            <w:vAlign w:val="bottom"/>
            <w:hideMark/>
          </w:tcPr>
          <w:p w14:paraId="4048A1CA" w14:textId="77777777" w:rsidR="00295BCD" w:rsidRPr="001927D6" w:rsidRDefault="00295BCD">
            <w:pPr>
              <w:spacing w:after="0" w:line="240" w:lineRule="auto"/>
              <w:textAlignment w:val="baseline"/>
              <w:rPr>
                <w:szCs w:val="24"/>
                <w:lang w:eastAsia="et-EE"/>
              </w:rPr>
            </w:pPr>
            <w:r w:rsidRPr="001927D6">
              <w:rPr>
                <w:szCs w:val="24"/>
                <w:lang w:eastAsia="et-EE"/>
              </w:rPr>
              <w:t>Õlavarre-, jalasääre-, v.a labajalamurrud, nihestused, venitused ja dislokatsioonid, vanus &gt; 17, kht-ta </w:t>
            </w:r>
          </w:p>
        </w:tc>
        <w:tc>
          <w:tcPr>
            <w:tcW w:w="732" w:type="dxa"/>
            <w:vAlign w:val="center"/>
            <w:hideMark/>
          </w:tcPr>
          <w:p w14:paraId="3D73A943" w14:textId="77777777" w:rsidR="00295BCD" w:rsidRPr="001927D6" w:rsidRDefault="00295BCD">
            <w:pPr>
              <w:spacing w:after="0" w:line="240" w:lineRule="auto"/>
              <w:jc w:val="center"/>
              <w:textAlignment w:val="baseline"/>
              <w:rPr>
                <w:szCs w:val="24"/>
                <w:lang w:eastAsia="et-EE"/>
              </w:rPr>
            </w:pPr>
            <w:r w:rsidRPr="001927D6">
              <w:rPr>
                <w:szCs w:val="24"/>
                <w:lang w:eastAsia="et-EE"/>
              </w:rPr>
              <w:t>254 </w:t>
            </w:r>
          </w:p>
        </w:tc>
        <w:tc>
          <w:tcPr>
            <w:tcW w:w="1243" w:type="dxa"/>
            <w:vAlign w:val="center"/>
          </w:tcPr>
          <w:p w14:paraId="193131E1" w14:textId="77777777" w:rsidR="00295BCD" w:rsidRPr="001927D6" w:rsidRDefault="00295BCD">
            <w:pPr>
              <w:spacing w:after="0" w:line="240" w:lineRule="auto"/>
              <w:jc w:val="center"/>
              <w:textAlignment w:val="baseline"/>
              <w:rPr>
                <w:szCs w:val="24"/>
                <w:lang w:eastAsia="et-EE"/>
              </w:rPr>
            </w:pPr>
            <w:r w:rsidRPr="001927D6">
              <w:rPr>
                <w:color w:val="000000"/>
                <w:szCs w:val="24"/>
              </w:rPr>
              <w:t>963,28</w:t>
            </w:r>
          </w:p>
        </w:tc>
        <w:tc>
          <w:tcPr>
            <w:tcW w:w="1211" w:type="dxa"/>
            <w:vAlign w:val="center"/>
          </w:tcPr>
          <w:p w14:paraId="0F53439B" w14:textId="77777777" w:rsidR="00295BCD" w:rsidRPr="001927D6" w:rsidRDefault="00295BCD">
            <w:pPr>
              <w:spacing w:after="0" w:line="240" w:lineRule="auto"/>
              <w:jc w:val="center"/>
              <w:textAlignment w:val="baseline"/>
              <w:rPr>
                <w:szCs w:val="24"/>
                <w:lang w:eastAsia="et-EE"/>
              </w:rPr>
            </w:pPr>
            <w:r w:rsidRPr="001927D6">
              <w:rPr>
                <w:color w:val="000000"/>
                <w:szCs w:val="24"/>
              </w:rPr>
              <w:t>251,49</w:t>
            </w:r>
          </w:p>
        </w:tc>
        <w:tc>
          <w:tcPr>
            <w:tcW w:w="1238" w:type="dxa"/>
            <w:vAlign w:val="center"/>
          </w:tcPr>
          <w:p w14:paraId="08555400" w14:textId="77777777" w:rsidR="00295BCD" w:rsidRPr="001927D6" w:rsidRDefault="00295BCD">
            <w:pPr>
              <w:spacing w:after="0" w:line="240" w:lineRule="auto"/>
              <w:jc w:val="center"/>
              <w:textAlignment w:val="baseline"/>
              <w:rPr>
                <w:szCs w:val="24"/>
                <w:lang w:eastAsia="et-EE"/>
              </w:rPr>
            </w:pPr>
            <w:r w:rsidRPr="001927D6">
              <w:rPr>
                <w:color w:val="000000"/>
                <w:szCs w:val="24"/>
              </w:rPr>
              <w:t>2 492,18</w:t>
            </w:r>
          </w:p>
        </w:tc>
      </w:tr>
      <w:tr w:rsidR="00295BCD" w:rsidRPr="001927D6" w14:paraId="7416F848" w14:textId="77777777" w:rsidTr="00295BCD">
        <w:trPr>
          <w:divId w:val="1316184749"/>
          <w:trHeight w:val="300"/>
        </w:trPr>
        <w:tc>
          <w:tcPr>
            <w:tcW w:w="4632" w:type="dxa"/>
            <w:vAlign w:val="bottom"/>
            <w:hideMark/>
          </w:tcPr>
          <w:p w14:paraId="055CEB80" w14:textId="77777777" w:rsidR="00295BCD" w:rsidRPr="001927D6" w:rsidRDefault="00295BCD">
            <w:pPr>
              <w:spacing w:after="0" w:line="240" w:lineRule="auto"/>
              <w:textAlignment w:val="baseline"/>
              <w:rPr>
                <w:szCs w:val="24"/>
                <w:lang w:eastAsia="et-EE"/>
              </w:rPr>
            </w:pPr>
            <w:r w:rsidRPr="001927D6">
              <w:rPr>
                <w:szCs w:val="24"/>
                <w:lang w:eastAsia="et-EE"/>
              </w:rPr>
              <w:t>Õlavarre-, jalasääre-, v.a labajalamurrud, nihestused, venitused ja dislokatsioonid, vanus 0–17 </w:t>
            </w:r>
          </w:p>
        </w:tc>
        <w:tc>
          <w:tcPr>
            <w:tcW w:w="732" w:type="dxa"/>
            <w:vAlign w:val="center"/>
            <w:hideMark/>
          </w:tcPr>
          <w:p w14:paraId="58C334B0" w14:textId="77777777" w:rsidR="00295BCD" w:rsidRPr="001927D6" w:rsidRDefault="00295BCD">
            <w:pPr>
              <w:spacing w:after="0" w:line="240" w:lineRule="auto"/>
              <w:jc w:val="center"/>
              <w:textAlignment w:val="baseline"/>
              <w:rPr>
                <w:szCs w:val="24"/>
                <w:lang w:eastAsia="et-EE"/>
              </w:rPr>
            </w:pPr>
            <w:r w:rsidRPr="001927D6">
              <w:rPr>
                <w:szCs w:val="24"/>
                <w:lang w:eastAsia="et-EE"/>
              </w:rPr>
              <w:t>255 </w:t>
            </w:r>
          </w:p>
        </w:tc>
        <w:tc>
          <w:tcPr>
            <w:tcW w:w="1243" w:type="dxa"/>
            <w:vAlign w:val="center"/>
          </w:tcPr>
          <w:p w14:paraId="53C91DB3" w14:textId="77777777" w:rsidR="00295BCD" w:rsidRPr="001927D6" w:rsidRDefault="00295BCD">
            <w:pPr>
              <w:spacing w:after="0" w:line="240" w:lineRule="auto"/>
              <w:jc w:val="center"/>
              <w:textAlignment w:val="baseline"/>
              <w:rPr>
                <w:szCs w:val="24"/>
                <w:lang w:eastAsia="et-EE"/>
              </w:rPr>
            </w:pPr>
            <w:r w:rsidRPr="001927D6">
              <w:rPr>
                <w:color w:val="000000"/>
                <w:szCs w:val="24"/>
              </w:rPr>
              <w:t>674,59</w:t>
            </w:r>
          </w:p>
        </w:tc>
        <w:tc>
          <w:tcPr>
            <w:tcW w:w="1211" w:type="dxa"/>
            <w:vAlign w:val="center"/>
          </w:tcPr>
          <w:p w14:paraId="65854D18" w14:textId="77777777" w:rsidR="00295BCD" w:rsidRPr="001927D6" w:rsidRDefault="00295BCD">
            <w:pPr>
              <w:spacing w:after="0" w:line="240" w:lineRule="auto"/>
              <w:jc w:val="center"/>
              <w:textAlignment w:val="baseline"/>
              <w:rPr>
                <w:szCs w:val="24"/>
                <w:lang w:eastAsia="et-EE"/>
              </w:rPr>
            </w:pPr>
            <w:r w:rsidRPr="001927D6">
              <w:rPr>
                <w:color w:val="000000"/>
                <w:szCs w:val="24"/>
              </w:rPr>
              <w:t>249,95</w:t>
            </w:r>
          </w:p>
        </w:tc>
        <w:tc>
          <w:tcPr>
            <w:tcW w:w="1238" w:type="dxa"/>
            <w:vAlign w:val="center"/>
          </w:tcPr>
          <w:p w14:paraId="45EB6F3B" w14:textId="77777777" w:rsidR="00295BCD" w:rsidRPr="001927D6" w:rsidRDefault="00295BCD">
            <w:pPr>
              <w:spacing w:after="0" w:line="240" w:lineRule="auto"/>
              <w:jc w:val="center"/>
              <w:textAlignment w:val="baseline"/>
              <w:rPr>
                <w:szCs w:val="24"/>
                <w:lang w:eastAsia="et-EE"/>
              </w:rPr>
            </w:pPr>
            <w:r w:rsidRPr="001927D6">
              <w:rPr>
                <w:color w:val="000000"/>
                <w:szCs w:val="24"/>
              </w:rPr>
              <w:t>1 616,83</w:t>
            </w:r>
          </w:p>
        </w:tc>
      </w:tr>
      <w:tr w:rsidR="00295BCD" w:rsidRPr="001927D6" w14:paraId="5632E91B" w14:textId="77777777" w:rsidTr="00295BCD">
        <w:trPr>
          <w:divId w:val="1316184749"/>
          <w:trHeight w:val="300"/>
        </w:trPr>
        <w:tc>
          <w:tcPr>
            <w:tcW w:w="4632" w:type="dxa"/>
            <w:vAlign w:val="bottom"/>
            <w:hideMark/>
          </w:tcPr>
          <w:p w14:paraId="303FD7CC" w14:textId="77777777" w:rsidR="00295BCD" w:rsidRPr="001927D6" w:rsidRDefault="00295BCD">
            <w:pPr>
              <w:spacing w:after="0" w:line="240" w:lineRule="auto"/>
              <w:textAlignment w:val="baseline"/>
              <w:rPr>
                <w:szCs w:val="24"/>
                <w:lang w:eastAsia="et-EE"/>
              </w:rPr>
            </w:pPr>
            <w:r w:rsidRPr="001927D6">
              <w:rPr>
                <w:szCs w:val="24"/>
                <w:lang w:eastAsia="et-EE"/>
              </w:rPr>
              <w:t>Luulihaskonna ja sidekoe muud haigused </w:t>
            </w:r>
          </w:p>
        </w:tc>
        <w:tc>
          <w:tcPr>
            <w:tcW w:w="732" w:type="dxa"/>
            <w:vAlign w:val="center"/>
            <w:hideMark/>
          </w:tcPr>
          <w:p w14:paraId="1C46677B" w14:textId="77777777" w:rsidR="00295BCD" w:rsidRPr="001927D6" w:rsidRDefault="00295BCD">
            <w:pPr>
              <w:spacing w:after="0" w:line="240" w:lineRule="auto"/>
              <w:jc w:val="center"/>
              <w:textAlignment w:val="baseline"/>
              <w:rPr>
                <w:szCs w:val="24"/>
                <w:lang w:eastAsia="et-EE"/>
              </w:rPr>
            </w:pPr>
            <w:r w:rsidRPr="001927D6">
              <w:rPr>
                <w:szCs w:val="24"/>
                <w:lang w:eastAsia="et-EE"/>
              </w:rPr>
              <w:t>256 </w:t>
            </w:r>
          </w:p>
        </w:tc>
        <w:tc>
          <w:tcPr>
            <w:tcW w:w="1243" w:type="dxa"/>
            <w:vAlign w:val="center"/>
          </w:tcPr>
          <w:p w14:paraId="53FCA044" w14:textId="77777777" w:rsidR="00295BCD" w:rsidRPr="001927D6" w:rsidRDefault="00295BCD">
            <w:pPr>
              <w:spacing w:after="0" w:line="240" w:lineRule="auto"/>
              <w:jc w:val="center"/>
              <w:textAlignment w:val="baseline"/>
              <w:rPr>
                <w:szCs w:val="24"/>
                <w:lang w:eastAsia="et-EE"/>
              </w:rPr>
            </w:pPr>
            <w:r w:rsidRPr="001927D6">
              <w:rPr>
                <w:color w:val="000000"/>
                <w:szCs w:val="24"/>
              </w:rPr>
              <w:t>1 950,31</w:t>
            </w:r>
          </w:p>
        </w:tc>
        <w:tc>
          <w:tcPr>
            <w:tcW w:w="1211" w:type="dxa"/>
            <w:vAlign w:val="center"/>
          </w:tcPr>
          <w:p w14:paraId="1D9D2E97" w14:textId="77777777" w:rsidR="00295BCD" w:rsidRPr="001927D6" w:rsidRDefault="00295BCD">
            <w:pPr>
              <w:spacing w:after="0" w:line="240" w:lineRule="auto"/>
              <w:jc w:val="center"/>
              <w:textAlignment w:val="baseline"/>
              <w:rPr>
                <w:szCs w:val="24"/>
                <w:lang w:eastAsia="et-EE"/>
              </w:rPr>
            </w:pPr>
            <w:r w:rsidRPr="001927D6">
              <w:rPr>
                <w:color w:val="000000"/>
                <w:szCs w:val="24"/>
              </w:rPr>
              <w:t>331,20</w:t>
            </w:r>
          </w:p>
        </w:tc>
        <w:tc>
          <w:tcPr>
            <w:tcW w:w="1238" w:type="dxa"/>
            <w:vAlign w:val="center"/>
          </w:tcPr>
          <w:p w14:paraId="3211212F" w14:textId="77777777" w:rsidR="00295BCD" w:rsidRPr="001927D6" w:rsidRDefault="00295BCD">
            <w:pPr>
              <w:spacing w:after="0" w:line="240" w:lineRule="auto"/>
              <w:jc w:val="center"/>
              <w:textAlignment w:val="baseline"/>
              <w:rPr>
                <w:szCs w:val="24"/>
                <w:lang w:eastAsia="et-EE"/>
              </w:rPr>
            </w:pPr>
            <w:r w:rsidRPr="001927D6">
              <w:rPr>
                <w:color w:val="000000"/>
                <w:szCs w:val="24"/>
              </w:rPr>
              <w:t>7 483,23</w:t>
            </w:r>
          </w:p>
        </w:tc>
      </w:tr>
      <w:tr w:rsidR="00295BCD" w:rsidRPr="001927D6" w14:paraId="6FFF9720" w14:textId="77777777" w:rsidTr="00295BCD">
        <w:trPr>
          <w:divId w:val="1316184749"/>
          <w:trHeight w:val="300"/>
        </w:trPr>
        <w:tc>
          <w:tcPr>
            <w:tcW w:w="4632" w:type="dxa"/>
            <w:vAlign w:val="bottom"/>
            <w:hideMark/>
          </w:tcPr>
          <w:p w14:paraId="7A259343" w14:textId="77777777" w:rsidR="00295BCD" w:rsidRPr="001927D6" w:rsidRDefault="00295BCD">
            <w:pPr>
              <w:spacing w:after="0" w:line="240" w:lineRule="auto"/>
              <w:textAlignment w:val="baseline"/>
              <w:rPr>
                <w:szCs w:val="24"/>
                <w:lang w:eastAsia="et-EE"/>
              </w:rPr>
            </w:pPr>
            <w:r w:rsidRPr="001927D6">
              <w:rPr>
                <w:szCs w:val="24"/>
                <w:lang w:eastAsia="et-EE"/>
              </w:rPr>
              <w:t>Täielik mastektoomia pahaloomulise kasvaja puhul, kht-ga </w:t>
            </w:r>
          </w:p>
        </w:tc>
        <w:tc>
          <w:tcPr>
            <w:tcW w:w="732" w:type="dxa"/>
            <w:vAlign w:val="center"/>
            <w:hideMark/>
          </w:tcPr>
          <w:p w14:paraId="0E8F651B" w14:textId="77777777" w:rsidR="00295BCD" w:rsidRPr="001927D6" w:rsidRDefault="00295BCD">
            <w:pPr>
              <w:spacing w:after="0" w:line="240" w:lineRule="auto"/>
              <w:jc w:val="center"/>
              <w:textAlignment w:val="baseline"/>
              <w:rPr>
                <w:szCs w:val="24"/>
                <w:lang w:eastAsia="et-EE"/>
              </w:rPr>
            </w:pPr>
            <w:r w:rsidRPr="001927D6">
              <w:rPr>
                <w:szCs w:val="24"/>
                <w:lang w:eastAsia="et-EE"/>
              </w:rPr>
              <w:t>257 </w:t>
            </w:r>
          </w:p>
        </w:tc>
        <w:tc>
          <w:tcPr>
            <w:tcW w:w="1243" w:type="dxa"/>
            <w:vAlign w:val="center"/>
          </w:tcPr>
          <w:p w14:paraId="2E2688B6" w14:textId="77777777" w:rsidR="00295BCD" w:rsidRPr="001927D6" w:rsidRDefault="00295BCD">
            <w:pPr>
              <w:spacing w:after="0" w:line="240" w:lineRule="auto"/>
              <w:jc w:val="center"/>
              <w:textAlignment w:val="baseline"/>
              <w:rPr>
                <w:szCs w:val="24"/>
                <w:lang w:eastAsia="et-EE"/>
              </w:rPr>
            </w:pPr>
            <w:r w:rsidRPr="001927D6">
              <w:rPr>
                <w:color w:val="000000"/>
                <w:szCs w:val="24"/>
              </w:rPr>
              <w:t>4 468,72</w:t>
            </w:r>
          </w:p>
        </w:tc>
        <w:tc>
          <w:tcPr>
            <w:tcW w:w="1211" w:type="dxa"/>
            <w:vAlign w:val="center"/>
          </w:tcPr>
          <w:p w14:paraId="17578809" w14:textId="77777777" w:rsidR="00295BCD" w:rsidRPr="001927D6" w:rsidRDefault="00295BCD">
            <w:pPr>
              <w:spacing w:after="0" w:line="240" w:lineRule="auto"/>
              <w:jc w:val="center"/>
              <w:textAlignment w:val="baseline"/>
              <w:rPr>
                <w:szCs w:val="24"/>
                <w:lang w:eastAsia="et-EE"/>
              </w:rPr>
            </w:pPr>
            <w:r w:rsidRPr="001927D6">
              <w:rPr>
                <w:color w:val="000000"/>
                <w:szCs w:val="24"/>
              </w:rPr>
              <w:t>2 472,07</w:t>
            </w:r>
          </w:p>
        </w:tc>
        <w:tc>
          <w:tcPr>
            <w:tcW w:w="1238" w:type="dxa"/>
            <w:vAlign w:val="center"/>
          </w:tcPr>
          <w:p w14:paraId="140A738D" w14:textId="77777777" w:rsidR="00295BCD" w:rsidRPr="001927D6" w:rsidRDefault="00295BCD">
            <w:pPr>
              <w:spacing w:after="0" w:line="240" w:lineRule="auto"/>
              <w:jc w:val="center"/>
              <w:textAlignment w:val="baseline"/>
              <w:rPr>
                <w:szCs w:val="24"/>
                <w:lang w:eastAsia="et-EE"/>
              </w:rPr>
            </w:pPr>
            <w:r w:rsidRPr="001927D6">
              <w:rPr>
                <w:color w:val="000000"/>
                <w:szCs w:val="24"/>
              </w:rPr>
              <w:t>7 736,95</w:t>
            </w:r>
          </w:p>
        </w:tc>
      </w:tr>
      <w:tr w:rsidR="00295BCD" w:rsidRPr="001927D6" w14:paraId="04F8BAAD" w14:textId="77777777" w:rsidTr="00295BCD">
        <w:trPr>
          <w:divId w:val="1316184749"/>
          <w:trHeight w:val="300"/>
        </w:trPr>
        <w:tc>
          <w:tcPr>
            <w:tcW w:w="4632" w:type="dxa"/>
            <w:vAlign w:val="bottom"/>
            <w:hideMark/>
          </w:tcPr>
          <w:p w14:paraId="3B559B97" w14:textId="77777777" w:rsidR="00295BCD" w:rsidRPr="001927D6" w:rsidRDefault="00295BCD">
            <w:pPr>
              <w:spacing w:after="0" w:line="240" w:lineRule="auto"/>
              <w:textAlignment w:val="baseline"/>
              <w:rPr>
                <w:szCs w:val="24"/>
                <w:lang w:eastAsia="et-EE"/>
              </w:rPr>
            </w:pPr>
            <w:r w:rsidRPr="001927D6">
              <w:rPr>
                <w:szCs w:val="24"/>
                <w:lang w:eastAsia="et-EE"/>
              </w:rPr>
              <w:t>Täielik mastektoomia pahaloomulise kasvaja puhul, kht-ta </w:t>
            </w:r>
          </w:p>
        </w:tc>
        <w:tc>
          <w:tcPr>
            <w:tcW w:w="732" w:type="dxa"/>
            <w:vAlign w:val="center"/>
            <w:hideMark/>
          </w:tcPr>
          <w:p w14:paraId="5E3EB829" w14:textId="77777777" w:rsidR="00295BCD" w:rsidRPr="001927D6" w:rsidRDefault="00295BCD">
            <w:pPr>
              <w:spacing w:after="0" w:line="240" w:lineRule="auto"/>
              <w:jc w:val="center"/>
              <w:textAlignment w:val="baseline"/>
              <w:rPr>
                <w:szCs w:val="24"/>
                <w:lang w:eastAsia="et-EE"/>
              </w:rPr>
            </w:pPr>
            <w:r w:rsidRPr="001927D6">
              <w:rPr>
                <w:szCs w:val="24"/>
                <w:lang w:eastAsia="et-EE"/>
              </w:rPr>
              <w:t>258 </w:t>
            </w:r>
          </w:p>
        </w:tc>
        <w:tc>
          <w:tcPr>
            <w:tcW w:w="1243" w:type="dxa"/>
            <w:vAlign w:val="center"/>
          </w:tcPr>
          <w:p w14:paraId="272BE19A" w14:textId="77777777" w:rsidR="00295BCD" w:rsidRPr="001927D6" w:rsidRDefault="00295BCD">
            <w:pPr>
              <w:spacing w:after="0" w:line="240" w:lineRule="auto"/>
              <w:jc w:val="center"/>
              <w:textAlignment w:val="baseline"/>
              <w:rPr>
                <w:szCs w:val="24"/>
                <w:lang w:eastAsia="et-EE"/>
              </w:rPr>
            </w:pPr>
            <w:r w:rsidRPr="001927D6">
              <w:rPr>
                <w:color w:val="000000"/>
                <w:szCs w:val="24"/>
              </w:rPr>
              <w:t>3 904,58</w:t>
            </w:r>
          </w:p>
        </w:tc>
        <w:tc>
          <w:tcPr>
            <w:tcW w:w="1211" w:type="dxa"/>
            <w:vAlign w:val="center"/>
          </w:tcPr>
          <w:p w14:paraId="597A8937" w14:textId="77777777" w:rsidR="00295BCD" w:rsidRPr="001927D6" w:rsidRDefault="00295BCD">
            <w:pPr>
              <w:spacing w:after="0" w:line="240" w:lineRule="auto"/>
              <w:jc w:val="center"/>
              <w:textAlignment w:val="baseline"/>
              <w:rPr>
                <w:szCs w:val="24"/>
                <w:lang w:eastAsia="et-EE"/>
              </w:rPr>
            </w:pPr>
            <w:r w:rsidRPr="001927D6">
              <w:rPr>
                <w:color w:val="000000"/>
                <w:szCs w:val="24"/>
              </w:rPr>
              <w:t>2 349,33</w:t>
            </w:r>
          </w:p>
        </w:tc>
        <w:tc>
          <w:tcPr>
            <w:tcW w:w="1238" w:type="dxa"/>
            <w:vAlign w:val="center"/>
          </w:tcPr>
          <w:p w14:paraId="4CEEECA1" w14:textId="77777777" w:rsidR="00295BCD" w:rsidRPr="001927D6" w:rsidRDefault="00295BCD">
            <w:pPr>
              <w:spacing w:after="0" w:line="240" w:lineRule="auto"/>
              <w:jc w:val="center"/>
              <w:textAlignment w:val="baseline"/>
              <w:rPr>
                <w:szCs w:val="24"/>
                <w:lang w:eastAsia="et-EE"/>
              </w:rPr>
            </w:pPr>
            <w:r w:rsidRPr="001927D6">
              <w:rPr>
                <w:color w:val="000000"/>
                <w:szCs w:val="24"/>
              </w:rPr>
              <w:t>5 944,77</w:t>
            </w:r>
          </w:p>
        </w:tc>
      </w:tr>
      <w:tr w:rsidR="00295BCD" w:rsidRPr="001927D6" w14:paraId="48989F68" w14:textId="77777777" w:rsidTr="00295BCD">
        <w:trPr>
          <w:divId w:val="1316184749"/>
          <w:trHeight w:val="300"/>
        </w:trPr>
        <w:tc>
          <w:tcPr>
            <w:tcW w:w="4632" w:type="dxa"/>
            <w:vAlign w:val="bottom"/>
            <w:hideMark/>
          </w:tcPr>
          <w:p w14:paraId="551E3EB0" w14:textId="77777777" w:rsidR="00295BCD" w:rsidRPr="001927D6" w:rsidRDefault="00295BCD">
            <w:pPr>
              <w:spacing w:after="0" w:line="240" w:lineRule="auto"/>
              <w:textAlignment w:val="baseline"/>
              <w:rPr>
                <w:szCs w:val="24"/>
                <w:lang w:eastAsia="et-EE"/>
              </w:rPr>
            </w:pPr>
            <w:r w:rsidRPr="001927D6">
              <w:rPr>
                <w:szCs w:val="24"/>
                <w:lang w:eastAsia="et-EE"/>
              </w:rPr>
              <w:t>Täielik mastektoomia pahaloomulise kasvaja puhul, lühike ravi </w:t>
            </w:r>
          </w:p>
        </w:tc>
        <w:tc>
          <w:tcPr>
            <w:tcW w:w="732" w:type="dxa"/>
            <w:vAlign w:val="center"/>
            <w:hideMark/>
          </w:tcPr>
          <w:p w14:paraId="0457B67D" w14:textId="77777777" w:rsidR="00295BCD" w:rsidRPr="001927D6" w:rsidRDefault="00295BCD">
            <w:pPr>
              <w:spacing w:after="0" w:line="240" w:lineRule="auto"/>
              <w:jc w:val="center"/>
              <w:textAlignment w:val="baseline"/>
              <w:rPr>
                <w:szCs w:val="24"/>
                <w:lang w:eastAsia="et-EE"/>
              </w:rPr>
            </w:pPr>
            <w:r w:rsidRPr="001927D6">
              <w:rPr>
                <w:szCs w:val="24"/>
                <w:lang w:eastAsia="et-EE"/>
              </w:rPr>
              <w:t>258O </w:t>
            </w:r>
          </w:p>
        </w:tc>
        <w:tc>
          <w:tcPr>
            <w:tcW w:w="1243" w:type="dxa"/>
            <w:vAlign w:val="center"/>
          </w:tcPr>
          <w:p w14:paraId="34009701" w14:textId="77777777" w:rsidR="00295BCD" w:rsidRPr="001927D6" w:rsidRDefault="00295BCD">
            <w:pPr>
              <w:spacing w:after="0" w:line="240" w:lineRule="auto"/>
              <w:jc w:val="center"/>
              <w:textAlignment w:val="baseline"/>
              <w:rPr>
                <w:szCs w:val="24"/>
                <w:lang w:eastAsia="et-EE"/>
              </w:rPr>
            </w:pPr>
            <w:r w:rsidRPr="001927D6">
              <w:rPr>
                <w:color w:val="000000"/>
                <w:szCs w:val="24"/>
              </w:rPr>
              <w:t>2 261,36</w:t>
            </w:r>
          </w:p>
        </w:tc>
        <w:tc>
          <w:tcPr>
            <w:tcW w:w="1211" w:type="dxa"/>
            <w:vAlign w:val="center"/>
          </w:tcPr>
          <w:p w14:paraId="15ADC0AE" w14:textId="77777777" w:rsidR="00295BCD" w:rsidRPr="001927D6" w:rsidRDefault="00295BCD">
            <w:pPr>
              <w:spacing w:after="0" w:line="240" w:lineRule="auto"/>
              <w:jc w:val="center"/>
              <w:textAlignment w:val="baseline"/>
              <w:rPr>
                <w:szCs w:val="24"/>
                <w:lang w:eastAsia="et-EE"/>
              </w:rPr>
            </w:pPr>
            <w:r w:rsidRPr="001927D6">
              <w:rPr>
                <w:color w:val="000000"/>
                <w:szCs w:val="24"/>
              </w:rPr>
              <w:t>1 073,17</w:t>
            </w:r>
          </w:p>
        </w:tc>
        <w:tc>
          <w:tcPr>
            <w:tcW w:w="1238" w:type="dxa"/>
            <w:vAlign w:val="center"/>
          </w:tcPr>
          <w:p w14:paraId="45C59958" w14:textId="77777777" w:rsidR="00295BCD" w:rsidRPr="001927D6" w:rsidRDefault="00295BCD">
            <w:pPr>
              <w:spacing w:after="0" w:line="240" w:lineRule="auto"/>
              <w:jc w:val="center"/>
              <w:textAlignment w:val="baseline"/>
              <w:rPr>
                <w:szCs w:val="24"/>
                <w:lang w:eastAsia="et-EE"/>
              </w:rPr>
            </w:pPr>
            <w:r w:rsidRPr="001927D6">
              <w:rPr>
                <w:color w:val="000000"/>
                <w:szCs w:val="24"/>
              </w:rPr>
              <w:t>4 584,05</w:t>
            </w:r>
          </w:p>
        </w:tc>
      </w:tr>
      <w:tr w:rsidR="00295BCD" w:rsidRPr="001927D6" w14:paraId="11F3BBB3" w14:textId="77777777" w:rsidTr="00295BCD">
        <w:trPr>
          <w:divId w:val="1316184749"/>
          <w:trHeight w:val="300"/>
        </w:trPr>
        <w:tc>
          <w:tcPr>
            <w:tcW w:w="4632" w:type="dxa"/>
            <w:vAlign w:val="bottom"/>
            <w:hideMark/>
          </w:tcPr>
          <w:p w14:paraId="22283BD7" w14:textId="77777777" w:rsidR="00295BCD" w:rsidRPr="001927D6" w:rsidRDefault="00295BCD">
            <w:pPr>
              <w:spacing w:after="0" w:line="240" w:lineRule="auto"/>
              <w:textAlignment w:val="baseline"/>
              <w:rPr>
                <w:szCs w:val="24"/>
                <w:lang w:eastAsia="et-EE"/>
              </w:rPr>
            </w:pPr>
            <w:r w:rsidRPr="001927D6">
              <w:rPr>
                <w:szCs w:val="24"/>
                <w:lang w:eastAsia="et-EE"/>
              </w:rPr>
              <w:t>Osaline mastektoomia pahaloomulise kasvaja puhul, kht-ga </w:t>
            </w:r>
          </w:p>
        </w:tc>
        <w:tc>
          <w:tcPr>
            <w:tcW w:w="732" w:type="dxa"/>
            <w:vAlign w:val="center"/>
            <w:hideMark/>
          </w:tcPr>
          <w:p w14:paraId="7C8C5F86" w14:textId="77777777" w:rsidR="00295BCD" w:rsidRPr="001927D6" w:rsidRDefault="00295BCD">
            <w:pPr>
              <w:spacing w:after="0" w:line="240" w:lineRule="auto"/>
              <w:jc w:val="center"/>
              <w:textAlignment w:val="baseline"/>
              <w:rPr>
                <w:szCs w:val="24"/>
                <w:lang w:eastAsia="et-EE"/>
              </w:rPr>
            </w:pPr>
            <w:r w:rsidRPr="001927D6">
              <w:rPr>
                <w:szCs w:val="24"/>
                <w:lang w:eastAsia="et-EE"/>
              </w:rPr>
              <w:t>259 </w:t>
            </w:r>
          </w:p>
        </w:tc>
        <w:tc>
          <w:tcPr>
            <w:tcW w:w="1243" w:type="dxa"/>
            <w:vAlign w:val="center"/>
          </w:tcPr>
          <w:p w14:paraId="30398F44" w14:textId="77777777" w:rsidR="00295BCD" w:rsidRPr="001927D6" w:rsidRDefault="00295BCD">
            <w:pPr>
              <w:spacing w:after="0" w:line="240" w:lineRule="auto"/>
              <w:jc w:val="center"/>
              <w:textAlignment w:val="baseline"/>
              <w:rPr>
                <w:szCs w:val="24"/>
                <w:lang w:eastAsia="et-EE"/>
              </w:rPr>
            </w:pPr>
            <w:r w:rsidRPr="001927D6">
              <w:rPr>
                <w:color w:val="000000"/>
                <w:szCs w:val="24"/>
              </w:rPr>
              <w:t>4 207,68</w:t>
            </w:r>
          </w:p>
        </w:tc>
        <w:tc>
          <w:tcPr>
            <w:tcW w:w="1211" w:type="dxa"/>
            <w:vAlign w:val="center"/>
          </w:tcPr>
          <w:p w14:paraId="2B39F9A6" w14:textId="77777777" w:rsidR="00295BCD" w:rsidRPr="001927D6" w:rsidRDefault="00295BCD">
            <w:pPr>
              <w:spacing w:after="0" w:line="240" w:lineRule="auto"/>
              <w:jc w:val="center"/>
              <w:textAlignment w:val="baseline"/>
              <w:rPr>
                <w:szCs w:val="24"/>
                <w:lang w:eastAsia="et-EE"/>
              </w:rPr>
            </w:pPr>
            <w:r w:rsidRPr="001927D6">
              <w:rPr>
                <w:color w:val="000000"/>
                <w:szCs w:val="24"/>
              </w:rPr>
              <w:t>2 221,75</w:t>
            </w:r>
          </w:p>
        </w:tc>
        <w:tc>
          <w:tcPr>
            <w:tcW w:w="1238" w:type="dxa"/>
            <w:vAlign w:val="center"/>
          </w:tcPr>
          <w:p w14:paraId="6A2B15E4" w14:textId="77777777" w:rsidR="00295BCD" w:rsidRPr="001927D6" w:rsidRDefault="00295BCD">
            <w:pPr>
              <w:spacing w:after="0" w:line="240" w:lineRule="auto"/>
              <w:jc w:val="center"/>
              <w:textAlignment w:val="baseline"/>
              <w:rPr>
                <w:szCs w:val="24"/>
                <w:lang w:eastAsia="et-EE"/>
              </w:rPr>
            </w:pPr>
            <w:r w:rsidRPr="001927D6">
              <w:rPr>
                <w:color w:val="000000"/>
                <w:szCs w:val="24"/>
              </w:rPr>
              <w:t>7 184,66</w:t>
            </w:r>
          </w:p>
        </w:tc>
      </w:tr>
      <w:tr w:rsidR="00295BCD" w:rsidRPr="001927D6" w14:paraId="12E4D35C" w14:textId="77777777" w:rsidTr="00295BCD">
        <w:trPr>
          <w:divId w:val="1316184749"/>
          <w:trHeight w:val="300"/>
        </w:trPr>
        <w:tc>
          <w:tcPr>
            <w:tcW w:w="4632" w:type="dxa"/>
            <w:vAlign w:val="bottom"/>
            <w:hideMark/>
          </w:tcPr>
          <w:p w14:paraId="4E747CC5" w14:textId="77777777" w:rsidR="00295BCD" w:rsidRPr="001927D6" w:rsidRDefault="00295BCD">
            <w:pPr>
              <w:spacing w:after="0" w:line="240" w:lineRule="auto"/>
              <w:textAlignment w:val="baseline"/>
              <w:rPr>
                <w:szCs w:val="24"/>
                <w:lang w:eastAsia="et-EE"/>
              </w:rPr>
            </w:pPr>
            <w:r w:rsidRPr="001927D6">
              <w:rPr>
                <w:szCs w:val="24"/>
                <w:lang w:eastAsia="et-EE"/>
              </w:rPr>
              <w:t>Osaline mastektoomia pahaloomulise kasvaja puhul, kht-ta </w:t>
            </w:r>
          </w:p>
        </w:tc>
        <w:tc>
          <w:tcPr>
            <w:tcW w:w="732" w:type="dxa"/>
            <w:vAlign w:val="center"/>
            <w:hideMark/>
          </w:tcPr>
          <w:p w14:paraId="65E37AFD" w14:textId="77777777" w:rsidR="00295BCD" w:rsidRPr="001927D6" w:rsidRDefault="00295BCD">
            <w:pPr>
              <w:spacing w:after="0" w:line="240" w:lineRule="auto"/>
              <w:jc w:val="center"/>
              <w:textAlignment w:val="baseline"/>
              <w:rPr>
                <w:szCs w:val="24"/>
                <w:lang w:eastAsia="et-EE"/>
              </w:rPr>
            </w:pPr>
            <w:r w:rsidRPr="001927D6">
              <w:rPr>
                <w:szCs w:val="24"/>
                <w:lang w:eastAsia="et-EE"/>
              </w:rPr>
              <w:t>260 </w:t>
            </w:r>
          </w:p>
        </w:tc>
        <w:tc>
          <w:tcPr>
            <w:tcW w:w="1243" w:type="dxa"/>
            <w:vAlign w:val="center"/>
          </w:tcPr>
          <w:p w14:paraId="62F22B8D" w14:textId="77777777" w:rsidR="00295BCD" w:rsidRPr="001927D6" w:rsidRDefault="00295BCD">
            <w:pPr>
              <w:spacing w:after="0" w:line="240" w:lineRule="auto"/>
              <w:jc w:val="center"/>
              <w:textAlignment w:val="baseline"/>
              <w:rPr>
                <w:szCs w:val="24"/>
                <w:lang w:eastAsia="et-EE"/>
              </w:rPr>
            </w:pPr>
            <w:r w:rsidRPr="001927D6">
              <w:rPr>
                <w:color w:val="000000"/>
                <w:szCs w:val="24"/>
              </w:rPr>
              <w:t>3 997,69</w:t>
            </w:r>
          </w:p>
        </w:tc>
        <w:tc>
          <w:tcPr>
            <w:tcW w:w="1211" w:type="dxa"/>
            <w:vAlign w:val="center"/>
          </w:tcPr>
          <w:p w14:paraId="7F7DB2C9" w14:textId="77777777" w:rsidR="00295BCD" w:rsidRPr="001927D6" w:rsidRDefault="00295BCD">
            <w:pPr>
              <w:spacing w:after="0" w:line="240" w:lineRule="auto"/>
              <w:jc w:val="center"/>
              <w:textAlignment w:val="baseline"/>
              <w:rPr>
                <w:szCs w:val="24"/>
                <w:lang w:eastAsia="et-EE"/>
              </w:rPr>
            </w:pPr>
            <w:r w:rsidRPr="001927D6">
              <w:rPr>
                <w:color w:val="000000"/>
                <w:szCs w:val="24"/>
              </w:rPr>
              <w:t>2 000,07</w:t>
            </w:r>
          </w:p>
        </w:tc>
        <w:tc>
          <w:tcPr>
            <w:tcW w:w="1238" w:type="dxa"/>
            <w:vAlign w:val="center"/>
          </w:tcPr>
          <w:p w14:paraId="1440BECF" w14:textId="77777777" w:rsidR="00295BCD" w:rsidRPr="001927D6" w:rsidRDefault="00295BCD">
            <w:pPr>
              <w:spacing w:after="0" w:line="240" w:lineRule="auto"/>
              <w:jc w:val="center"/>
              <w:textAlignment w:val="baseline"/>
              <w:rPr>
                <w:szCs w:val="24"/>
                <w:lang w:eastAsia="et-EE"/>
              </w:rPr>
            </w:pPr>
            <w:r w:rsidRPr="001927D6">
              <w:rPr>
                <w:color w:val="000000"/>
                <w:szCs w:val="24"/>
              </w:rPr>
              <w:t>5 951,85</w:t>
            </w:r>
          </w:p>
        </w:tc>
      </w:tr>
      <w:tr w:rsidR="00295BCD" w:rsidRPr="001927D6" w14:paraId="00A2B1FA" w14:textId="77777777" w:rsidTr="00295BCD">
        <w:trPr>
          <w:divId w:val="1316184749"/>
          <w:trHeight w:val="300"/>
        </w:trPr>
        <w:tc>
          <w:tcPr>
            <w:tcW w:w="4632" w:type="dxa"/>
            <w:vAlign w:val="bottom"/>
            <w:hideMark/>
          </w:tcPr>
          <w:p w14:paraId="6F8D20D3" w14:textId="77777777" w:rsidR="00295BCD" w:rsidRPr="001927D6" w:rsidRDefault="00295BCD">
            <w:pPr>
              <w:spacing w:after="0" w:line="240" w:lineRule="auto"/>
              <w:textAlignment w:val="baseline"/>
              <w:rPr>
                <w:szCs w:val="24"/>
                <w:lang w:eastAsia="et-EE"/>
              </w:rPr>
            </w:pPr>
            <w:r w:rsidRPr="001927D6">
              <w:rPr>
                <w:szCs w:val="24"/>
                <w:lang w:eastAsia="et-EE"/>
              </w:rPr>
              <w:t>Osaline mastektoomia pahaloomulise kasvaja puhul, lühike ravi </w:t>
            </w:r>
          </w:p>
        </w:tc>
        <w:tc>
          <w:tcPr>
            <w:tcW w:w="732" w:type="dxa"/>
            <w:vAlign w:val="center"/>
            <w:hideMark/>
          </w:tcPr>
          <w:p w14:paraId="14312588" w14:textId="77777777" w:rsidR="00295BCD" w:rsidRPr="001927D6" w:rsidRDefault="00295BCD">
            <w:pPr>
              <w:spacing w:after="0" w:line="240" w:lineRule="auto"/>
              <w:jc w:val="center"/>
              <w:textAlignment w:val="baseline"/>
              <w:rPr>
                <w:szCs w:val="24"/>
                <w:lang w:eastAsia="et-EE"/>
              </w:rPr>
            </w:pPr>
            <w:r w:rsidRPr="001927D6">
              <w:rPr>
                <w:szCs w:val="24"/>
                <w:lang w:eastAsia="et-EE"/>
              </w:rPr>
              <w:t>260O </w:t>
            </w:r>
          </w:p>
        </w:tc>
        <w:tc>
          <w:tcPr>
            <w:tcW w:w="1243" w:type="dxa"/>
            <w:vAlign w:val="center"/>
          </w:tcPr>
          <w:p w14:paraId="3C799505" w14:textId="77777777" w:rsidR="00295BCD" w:rsidRPr="001927D6" w:rsidRDefault="00295BCD">
            <w:pPr>
              <w:spacing w:after="0" w:line="240" w:lineRule="auto"/>
              <w:jc w:val="center"/>
              <w:textAlignment w:val="baseline"/>
              <w:rPr>
                <w:szCs w:val="24"/>
                <w:lang w:eastAsia="et-EE"/>
              </w:rPr>
            </w:pPr>
            <w:r w:rsidRPr="001927D6">
              <w:rPr>
                <w:color w:val="000000"/>
                <w:szCs w:val="24"/>
              </w:rPr>
              <w:t>1 958,37</w:t>
            </w:r>
          </w:p>
        </w:tc>
        <w:tc>
          <w:tcPr>
            <w:tcW w:w="1211" w:type="dxa"/>
            <w:vAlign w:val="center"/>
          </w:tcPr>
          <w:p w14:paraId="1F56A6A7" w14:textId="77777777" w:rsidR="00295BCD" w:rsidRPr="001927D6" w:rsidRDefault="00295BCD">
            <w:pPr>
              <w:spacing w:after="0" w:line="240" w:lineRule="auto"/>
              <w:jc w:val="center"/>
              <w:textAlignment w:val="baseline"/>
              <w:rPr>
                <w:szCs w:val="24"/>
                <w:lang w:eastAsia="et-EE"/>
              </w:rPr>
            </w:pPr>
            <w:r w:rsidRPr="001927D6">
              <w:rPr>
                <w:color w:val="000000"/>
                <w:szCs w:val="24"/>
              </w:rPr>
              <w:t>1 134,37</w:t>
            </w:r>
          </w:p>
        </w:tc>
        <w:tc>
          <w:tcPr>
            <w:tcW w:w="1238" w:type="dxa"/>
            <w:vAlign w:val="center"/>
          </w:tcPr>
          <w:p w14:paraId="5A44133B" w14:textId="77777777" w:rsidR="00295BCD" w:rsidRPr="001927D6" w:rsidRDefault="00295BCD">
            <w:pPr>
              <w:spacing w:after="0" w:line="240" w:lineRule="auto"/>
              <w:jc w:val="center"/>
              <w:textAlignment w:val="baseline"/>
              <w:rPr>
                <w:szCs w:val="24"/>
                <w:lang w:eastAsia="et-EE"/>
              </w:rPr>
            </w:pPr>
            <w:r w:rsidRPr="001927D6">
              <w:rPr>
                <w:color w:val="000000"/>
                <w:szCs w:val="24"/>
              </w:rPr>
              <w:t>3 189,47</w:t>
            </w:r>
          </w:p>
        </w:tc>
      </w:tr>
      <w:tr w:rsidR="00295BCD" w:rsidRPr="001927D6" w14:paraId="20807B4A" w14:textId="77777777" w:rsidTr="00295BCD">
        <w:trPr>
          <w:divId w:val="1316184749"/>
          <w:trHeight w:val="300"/>
        </w:trPr>
        <w:tc>
          <w:tcPr>
            <w:tcW w:w="4632" w:type="dxa"/>
            <w:vAlign w:val="bottom"/>
            <w:hideMark/>
          </w:tcPr>
          <w:p w14:paraId="7C927ABD" w14:textId="77777777" w:rsidR="00295BCD" w:rsidRPr="001927D6" w:rsidRDefault="00295BCD">
            <w:pPr>
              <w:spacing w:after="0" w:line="240" w:lineRule="auto"/>
              <w:textAlignment w:val="baseline"/>
              <w:rPr>
                <w:szCs w:val="24"/>
                <w:lang w:eastAsia="et-EE"/>
              </w:rPr>
            </w:pPr>
            <w:r w:rsidRPr="001927D6">
              <w:rPr>
                <w:szCs w:val="24"/>
                <w:lang w:eastAsia="et-EE"/>
              </w:rPr>
              <w:t>Rinnanäärme operatsioonid mittepahaloomuliste kasvajate puhul, v.a biopsia ja paikne ekstsisioon </w:t>
            </w:r>
          </w:p>
        </w:tc>
        <w:tc>
          <w:tcPr>
            <w:tcW w:w="732" w:type="dxa"/>
            <w:vAlign w:val="center"/>
            <w:hideMark/>
          </w:tcPr>
          <w:p w14:paraId="1A7BAA56" w14:textId="77777777" w:rsidR="00295BCD" w:rsidRPr="001927D6" w:rsidRDefault="00295BCD">
            <w:pPr>
              <w:spacing w:after="0" w:line="240" w:lineRule="auto"/>
              <w:jc w:val="center"/>
              <w:textAlignment w:val="baseline"/>
              <w:rPr>
                <w:szCs w:val="24"/>
                <w:lang w:eastAsia="et-EE"/>
              </w:rPr>
            </w:pPr>
            <w:r w:rsidRPr="001927D6">
              <w:rPr>
                <w:szCs w:val="24"/>
                <w:lang w:eastAsia="et-EE"/>
              </w:rPr>
              <w:t>261 </w:t>
            </w:r>
          </w:p>
        </w:tc>
        <w:tc>
          <w:tcPr>
            <w:tcW w:w="1243" w:type="dxa"/>
            <w:vAlign w:val="center"/>
          </w:tcPr>
          <w:p w14:paraId="1542660F" w14:textId="77777777" w:rsidR="00295BCD" w:rsidRPr="001927D6" w:rsidRDefault="00295BCD">
            <w:pPr>
              <w:spacing w:after="0" w:line="240" w:lineRule="auto"/>
              <w:jc w:val="center"/>
              <w:textAlignment w:val="baseline"/>
              <w:rPr>
                <w:szCs w:val="24"/>
                <w:lang w:eastAsia="et-EE"/>
              </w:rPr>
            </w:pPr>
            <w:r w:rsidRPr="001927D6">
              <w:rPr>
                <w:color w:val="000000"/>
                <w:szCs w:val="24"/>
              </w:rPr>
              <w:t>3 359,95</w:t>
            </w:r>
          </w:p>
        </w:tc>
        <w:tc>
          <w:tcPr>
            <w:tcW w:w="1211" w:type="dxa"/>
            <w:vAlign w:val="center"/>
          </w:tcPr>
          <w:p w14:paraId="2F52057F" w14:textId="77777777" w:rsidR="00295BCD" w:rsidRPr="001927D6" w:rsidRDefault="00295BCD">
            <w:pPr>
              <w:spacing w:after="0" w:line="240" w:lineRule="auto"/>
              <w:jc w:val="center"/>
              <w:textAlignment w:val="baseline"/>
              <w:rPr>
                <w:szCs w:val="24"/>
                <w:lang w:eastAsia="et-EE"/>
              </w:rPr>
            </w:pPr>
            <w:r w:rsidRPr="001927D6">
              <w:rPr>
                <w:color w:val="000000"/>
                <w:szCs w:val="24"/>
              </w:rPr>
              <w:t>1 767,17</w:t>
            </w:r>
          </w:p>
        </w:tc>
        <w:tc>
          <w:tcPr>
            <w:tcW w:w="1238" w:type="dxa"/>
            <w:vAlign w:val="center"/>
          </w:tcPr>
          <w:p w14:paraId="78A9ADE1" w14:textId="77777777" w:rsidR="00295BCD" w:rsidRPr="001927D6" w:rsidRDefault="00295BCD">
            <w:pPr>
              <w:spacing w:after="0" w:line="240" w:lineRule="auto"/>
              <w:jc w:val="center"/>
              <w:textAlignment w:val="baseline"/>
              <w:rPr>
                <w:szCs w:val="24"/>
                <w:lang w:eastAsia="et-EE"/>
              </w:rPr>
            </w:pPr>
            <w:r w:rsidRPr="001927D6">
              <w:rPr>
                <w:color w:val="000000"/>
                <w:szCs w:val="24"/>
              </w:rPr>
              <w:t>4 519,07</w:t>
            </w:r>
          </w:p>
        </w:tc>
      </w:tr>
      <w:tr w:rsidR="00295BCD" w:rsidRPr="001927D6" w14:paraId="4C52395C" w14:textId="77777777" w:rsidTr="00295BCD">
        <w:trPr>
          <w:divId w:val="1316184749"/>
          <w:trHeight w:val="300"/>
        </w:trPr>
        <w:tc>
          <w:tcPr>
            <w:tcW w:w="4632" w:type="dxa"/>
            <w:vAlign w:val="bottom"/>
            <w:hideMark/>
          </w:tcPr>
          <w:p w14:paraId="7C0684BF"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Rinnanäärme operatsioonid mittepahaloomuliste kasvajate puhul, v.a biopsia ja paikne ekstsisioon, lühike ravi </w:t>
            </w:r>
          </w:p>
        </w:tc>
        <w:tc>
          <w:tcPr>
            <w:tcW w:w="732" w:type="dxa"/>
            <w:vAlign w:val="center"/>
            <w:hideMark/>
          </w:tcPr>
          <w:p w14:paraId="211F7C70" w14:textId="77777777" w:rsidR="00295BCD" w:rsidRPr="001927D6" w:rsidRDefault="00295BCD">
            <w:pPr>
              <w:spacing w:after="0" w:line="240" w:lineRule="auto"/>
              <w:jc w:val="center"/>
              <w:textAlignment w:val="baseline"/>
              <w:rPr>
                <w:szCs w:val="24"/>
                <w:lang w:eastAsia="et-EE"/>
              </w:rPr>
            </w:pPr>
            <w:r w:rsidRPr="001927D6">
              <w:rPr>
                <w:szCs w:val="24"/>
                <w:lang w:eastAsia="et-EE"/>
              </w:rPr>
              <w:t>261O </w:t>
            </w:r>
          </w:p>
        </w:tc>
        <w:tc>
          <w:tcPr>
            <w:tcW w:w="1243" w:type="dxa"/>
            <w:vAlign w:val="center"/>
          </w:tcPr>
          <w:p w14:paraId="4FF5A1A3" w14:textId="77777777" w:rsidR="00295BCD" w:rsidRPr="001927D6" w:rsidRDefault="00295BCD">
            <w:pPr>
              <w:spacing w:after="0" w:line="240" w:lineRule="auto"/>
              <w:jc w:val="center"/>
              <w:textAlignment w:val="baseline"/>
              <w:rPr>
                <w:szCs w:val="24"/>
                <w:lang w:eastAsia="et-EE"/>
              </w:rPr>
            </w:pPr>
            <w:r w:rsidRPr="001927D6">
              <w:rPr>
                <w:color w:val="000000"/>
                <w:szCs w:val="24"/>
              </w:rPr>
              <w:t>1 356,73</w:t>
            </w:r>
          </w:p>
        </w:tc>
        <w:tc>
          <w:tcPr>
            <w:tcW w:w="1211" w:type="dxa"/>
            <w:vAlign w:val="center"/>
          </w:tcPr>
          <w:p w14:paraId="1D46D8F6" w14:textId="77777777" w:rsidR="00295BCD" w:rsidRPr="001927D6" w:rsidRDefault="00295BCD">
            <w:pPr>
              <w:spacing w:after="0" w:line="240" w:lineRule="auto"/>
              <w:jc w:val="center"/>
              <w:textAlignment w:val="baseline"/>
              <w:rPr>
                <w:szCs w:val="24"/>
                <w:lang w:eastAsia="et-EE"/>
              </w:rPr>
            </w:pPr>
            <w:r w:rsidRPr="001927D6">
              <w:rPr>
                <w:color w:val="000000"/>
                <w:szCs w:val="24"/>
              </w:rPr>
              <w:t>965,14</w:t>
            </w:r>
          </w:p>
        </w:tc>
        <w:tc>
          <w:tcPr>
            <w:tcW w:w="1238" w:type="dxa"/>
            <w:vAlign w:val="center"/>
          </w:tcPr>
          <w:p w14:paraId="41FE1AAD" w14:textId="77777777" w:rsidR="00295BCD" w:rsidRPr="001927D6" w:rsidRDefault="00295BCD">
            <w:pPr>
              <w:spacing w:after="0" w:line="240" w:lineRule="auto"/>
              <w:jc w:val="center"/>
              <w:textAlignment w:val="baseline"/>
              <w:rPr>
                <w:szCs w:val="24"/>
                <w:lang w:eastAsia="et-EE"/>
              </w:rPr>
            </w:pPr>
            <w:r w:rsidRPr="001927D6">
              <w:rPr>
                <w:color w:val="000000"/>
                <w:szCs w:val="24"/>
              </w:rPr>
              <w:t>2 138,99</w:t>
            </w:r>
          </w:p>
        </w:tc>
      </w:tr>
      <w:tr w:rsidR="00295BCD" w:rsidRPr="001927D6" w14:paraId="751452D2" w14:textId="77777777" w:rsidTr="00295BCD">
        <w:trPr>
          <w:divId w:val="1316184749"/>
          <w:trHeight w:val="300"/>
        </w:trPr>
        <w:tc>
          <w:tcPr>
            <w:tcW w:w="4632" w:type="dxa"/>
            <w:vAlign w:val="bottom"/>
            <w:hideMark/>
          </w:tcPr>
          <w:p w14:paraId="096F6873" w14:textId="77777777" w:rsidR="00295BCD" w:rsidRPr="001927D6" w:rsidRDefault="00295BCD">
            <w:pPr>
              <w:spacing w:after="0" w:line="240" w:lineRule="auto"/>
              <w:textAlignment w:val="baseline"/>
              <w:rPr>
                <w:szCs w:val="24"/>
                <w:lang w:eastAsia="et-EE"/>
              </w:rPr>
            </w:pPr>
            <w:r w:rsidRPr="001927D6">
              <w:rPr>
                <w:szCs w:val="24"/>
                <w:lang w:eastAsia="et-EE"/>
              </w:rPr>
              <w:t>Rinnanäärme biopsia ja paikne ekstsisioon mittepahaloomuliste kasvajate puhul </w:t>
            </w:r>
          </w:p>
        </w:tc>
        <w:tc>
          <w:tcPr>
            <w:tcW w:w="732" w:type="dxa"/>
            <w:vAlign w:val="center"/>
            <w:hideMark/>
          </w:tcPr>
          <w:p w14:paraId="1206B815" w14:textId="77777777" w:rsidR="00295BCD" w:rsidRPr="001927D6" w:rsidRDefault="00295BCD">
            <w:pPr>
              <w:spacing w:after="0" w:line="240" w:lineRule="auto"/>
              <w:jc w:val="center"/>
              <w:textAlignment w:val="baseline"/>
              <w:rPr>
                <w:szCs w:val="24"/>
                <w:lang w:eastAsia="et-EE"/>
              </w:rPr>
            </w:pPr>
            <w:r w:rsidRPr="001927D6">
              <w:rPr>
                <w:szCs w:val="24"/>
                <w:lang w:eastAsia="et-EE"/>
              </w:rPr>
              <w:t>262 </w:t>
            </w:r>
          </w:p>
        </w:tc>
        <w:tc>
          <w:tcPr>
            <w:tcW w:w="1243" w:type="dxa"/>
            <w:vAlign w:val="center"/>
          </w:tcPr>
          <w:p w14:paraId="26D0A8DD" w14:textId="77777777" w:rsidR="00295BCD" w:rsidRPr="001927D6" w:rsidRDefault="00295BCD">
            <w:pPr>
              <w:spacing w:after="0" w:line="240" w:lineRule="auto"/>
              <w:jc w:val="center"/>
              <w:textAlignment w:val="baseline"/>
              <w:rPr>
                <w:szCs w:val="24"/>
                <w:lang w:eastAsia="et-EE"/>
              </w:rPr>
            </w:pPr>
            <w:r w:rsidRPr="001927D6">
              <w:rPr>
                <w:color w:val="000000"/>
                <w:szCs w:val="24"/>
              </w:rPr>
              <w:t>1 941,72</w:t>
            </w:r>
          </w:p>
        </w:tc>
        <w:tc>
          <w:tcPr>
            <w:tcW w:w="1211" w:type="dxa"/>
            <w:vAlign w:val="center"/>
          </w:tcPr>
          <w:p w14:paraId="2DEAF8B5" w14:textId="77777777" w:rsidR="00295BCD" w:rsidRPr="001927D6" w:rsidRDefault="00295BCD">
            <w:pPr>
              <w:spacing w:after="0" w:line="240" w:lineRule="auto"/>
              <w:jc w:val="center"/>
              <w:textAlignment w:val="baseline"/>
              <w:rPr>
                <w:szCs w:val="24"/>
                <w:lang w:eastAsia="et-EE"/>
              </w:rPr>
            </w:pPr>
            <w:r w:rsidRPr="001927D6">
              <w:rPr>
                <w:color w:val="000000"/>
                <w:szCs w:val="24"/>
              </w:rPr>
              <w:t>1 174,63</w:t>
            </w:r>
          </w:p>
        </w:tc>
        <w:tc>
          <w:tcPr>
            <w:tcW w:w="1238" w:type="dxa"/>
            <w:vAlign w:val="center"/>
          </w:tcPr>
          <w:p w14:paraId="2A540A1A" w14:textId="77777777" w:rsidR="00295BCD" w:rsidRPr="001927D6" w:rsidRDefault="00295BCD">
            <w:pPr>
              <w:spacing w:after="0" w:line="240" w:lineRule="auto"/>
              <w:jc w:val="center"/>
              <w:textAlignment w:val="baseline"/>
              <w:rPr>
                <w:szCs w:val="24"/>
                <w:lang w:eastAsia="et-EE"/>
              </w:rPr>
            </w:pPr>
            <w:r w:rsidRPr="001927D6">
              <w:rPr>
                <w:color w:val="000000"/>
                <w:szCs w:val="24"/>
              </w:rPr>
              <w:t>3 597,23</w:t>
            </w:r>
          </w:p>
        </w:tc>
      </w:tr>
      <w:tr w:rsidR="00295BCD" w:rsidRPr="001927D6" w14:paraId="1CC4D216" w14:textId="77777777" w:rsidTr="00295BCD">
        <w:trPr>
          <w:divId w:val="1316184749"/>
          <w:trHeight w:val="300"/>
        </w:trPr>
        <w:tc>
          <w:tcPr>
            <w:tcW w:w="4632" w:type="dxa"/>
            <w:vAlign w:val="bottom"/>
            <w:hideMark/>
          </w:tcPr>
          <w:p w14:paraId="27BA3827" w14:textId="77777777" w:rsidR="00295BCD" w:rsidRPr="001927D6" w:rsidRDefault="00295BCD">
            <w:pPr>
              <w:spacing w:after="0" w:line="240" w:lineRule="auto"/>
              <w:textAlignment w:val="baseline"/>
              <w:rPr>
                <w:szCs w:val="24"/>
                <w:lang w:eastAsia="et-EE"/>
              </w:rPr>
            </w:pPr>
            <w:r w:rsidRPr="001927D6">
              <w:rPr>
                <w:szCs w:val="24"/>
                <w:lang w:eastAsia="et-EE"/>
              </w:rPr>
              <w:t>Rinnanäärme biopsia ja paikne ekstsisioon mittepahaloomuliste kasvajate puhul, lühike ravi </w:t>
            </w:r>
          </w:p>
        </w:tc>
        <w:tc>
          <w:tcPr>
            <w:tcW w:w="732" w:type="dxa"/>
            <w:vAlign w:val="center"/>
            <w:hideMark/>
          </w:tcPr>
          <w:p w14:paraId="2E08FF5E" w14:textId="77777777" w:rsidR="00295BCD" w:rsidRPr="001927D6" w:rsidRDefault="00295BCD">
            <w:pPr>
              <w:spacing w:after="0" w:line="240" w:lineRule="auto"/>
              <w:jc w:val="center"/>
              <w:textAlignment w:val="baseline"/>
              <w:rPr>
                <w:szCs w:val="24"/>
                <w:lang w:eastAsia="et-EE"/>
              </w:rPr>
            </w:pPr>
            <w:r w:rsidRPr="001927D6">
              <w:rPr>
                <w:szCs w:val="24"/>
                <w:lang w:eastAsia="et-EE"/>
              </w:rPr>
              <w:t>262O </w:t>
            </w:r>
          </w:p>
        </w:tc>
        <w:tc>
          <w:tcPr>
            <w:tcW w:w="1243" w:type="dxa"/>
            <w:vAlign w:val="center"/>
          </w:tcPr>
          <w:p w14:paraId="2A3992C4" w14:textId="77777777" w:rsidR="00295BCD" w:rsidRPr="001927D6" w:rsidRDefault="00295BCD">
            <w:pPr>
              <w:spacing w:after="0" w:line="240" w:lineRule="auto"/>
              <w:jc w:val="center"/>
              <w:textAlignment w:val="baseline"/>
              <w:rPr>
                <w:szCs w:val="24"/>
                <w:lang w:eastAsia="et-EE"/>
              </w:rPr>
            </w:pPr>
            <w:r w:rsidRPr="001927D6">
              <w:rPr>
                <w:color w:val="000000"/>
                <w:szCs w:val="24"/>
              </w:rPr>
              <w:t>1 322,94</w:t>
            </w:r>
          </w:p>
        </w:tc>
        <w:tc>
          <w:tcPr>
            <w:tcW w:w="1211" w:type="dxa"/>
            <w:vAlign w:val="center"/>
          </w:tcPr>
          <w:p w14:paraId="7DC025F7" w14:textId="77777777" w:rsidR="00295BCD" w:rsidRPr="001927D6" w:rsidRDefault="00295BCD">
            <w:pPr>
              <w:spacing w:after="0" w:line="240" w:lineRule="auto"/>
              <w:jc w:val="center"/>
              <w:textAlignment w:val="baseline"/>
              <w:rPr>
                <w:szCs w:val="24"/>
                <w:lang w:eastAsia="et-EE"/>
              </w:rPr>
            </w:pPr>
            <w:r w:rsidRPr="001927D6">
              <w:rPr>
                <w:color w:val="000000"/>
                <w:szCs w:val="24"/>
              </w:rPr>
              <w:t>985,34</w:t>
            </w:r>
          </w:p>
        </w:tc>
        <w:tc>
          <w:tcPr>
            <w:tcW w:w="1238" w:type="dxa"/>
            <w:vAlign w:val="center"/>
          </w:tcPr>
          <w:p w14:paraId="4F7D80D9" w14:textId="77777777" w:rsidR="00295BCD" w:rsidRPr="001927D6" w:rsidRDefault="00295BCD">
            <w:pPr>
              <w:spacing w:after="0" w:line="240" w:lineRule="auto"/>
              <w:jc w:val="center"/>
              <w:textAlignment w:val="baseline"/>
              <w:rPr>
                <w:szCs w:val="24"/>
                <w:lang w:eastAsia="et-EE"/>
              </w:rPr>
            </w:pPr>
            <w:r w:rsidRPr="001927D6">
              <w:rPr>
                <w:color w:val="000000"/>
                <w:szCs w:val="24"/>
              </w:rPr>
              <w:t>2 078,74</w:t>
            </w:r>
          </w:p>
        </w:tc>
      </w:tr>
      <w:tr w:rsidR="00295BCD" w:rsidRPr="001927D6" w14:paraId="69B66D17" w14:textId="77777777" w:rsidTr="00295BCD">
        <w:trPr>
          <w:divId w:val="1316184749"/>
          <w:trHeight w:val="300"/>
        </w:trPr>
        <w:tc>
          <w:tcPr>
            <w:tcW w:w="4632" w:type="dxa"/>
            <w:vAlign w:val="bottom"/>
            <w:hideMark/>
          </w:tcPr>
          <w:p w14:paraId="45BC53E2" w14:textId="77777777" w:rsidR="00295BCD" w:rsidRPr="001927D6" w:rsidRDefault="00295BCD">
            <w:pPr>
              <w:spacing w:after="0" w:line="240" w:lineRule="auto"/>
              <w:textAlignment w:val="baseline"/>
              <w:rPr>
                <w:szCs w:val="24"/>
                <w:lang w:eastAsia="et-EE"/>
              </w:rPr>
            </w:pPr>
            <w:r w:rsidRPr="001927D6">
              <w:rPr>
                <w:szCs w:val="24"/>
                <w:lang w:eastAsia="et-EE"/>
              </w:rPr>
              <w:t>Naha siirdamine ja/või kahjustatud koe eemaldamine nahahaavandi või tselluliidi puhul, kht-ga </w:t>
            </w:r>
          </w:p>
        </w:tc>
        <w:tc>
          <w:tcPr>
            <w:tcW w:w="732" w:type="dxa"/>
            <w:vAlign w:val="center"/>
            <w:hideMark/>
          </w:tcPr>
          <w:p w14:paraId="64EAE04A" w14:textId="77777777" w:rsidR="00295BCD" w:rsidRPr="001927D6" w:rsidRDefault="00295BCD">
            <w:pPr>
              <w:spacing w:after="0" w:line="240" w:lineRule="auto"/>
              <w:jc w:val="center"/>
              <w:textAlignment w:val="baseline"/>
              <w:rPr>
                <w:szCs w:val="24"/>
                <w:lang w:eastAsia="et-EE"/>
              </w:rPr>
            </w:pPr>
            <w:r w:rsidRPr="001927D6">
              <w:rPr>
                <w:szCs w:val="24"/>
                <w:lang w:eastAsia="et-EE"/>
              </w:rPr>
              <w:t>263 </w:t>
            </w:r>
          </w:p>
        </w:tc>
        <w:tc>
          <w:tcPr>
            <w:tcW w:w="1243" w:type="dxa"/>
            <w:vAlign w:val="center"/>
          </w:tcPr>
          <w:p w14:paraId="21AB52E6" w14:textId="77777777" w:rsidR="00295BCD" w:rsidRPr="001927D6" w:rsidRDefault="00295BCD">
            <w:pPr>
              <w:spacing w:after="0" w:line="240" w:lineRule="auto"/>
              <w:jc w:val="center"/>
              <w:textAlignment w:val="baseline"/>
              <w:rPr>
                <w:szCs w:val="24"/>
                <w:lang w:eastAsia="et-EE"/>
              </w:rPr>
            </w:pPr>
            <w:r w:rsidRPr="001927D6">
              <w:rPr>
                <w:color w:val="000000"/>
                <w:szCs w:val="24"/>
              </w:rPr>
              <w:t>5 805,66</w:t>
            </w:r>
          </w:p>
        </w:tc>
        <w:tc>
          <w:tcPr>
            <w:tcW w:w="1211" w:type="dxa"/>
            <w:vAlign w:val="center"/>
          </w:tcPr>
          <w:p w14:paraId="4497F721" w14:textId="77777777" w:rsidR="00295BCD" w:rsidRPr="001927D6" w:rsidRDefault="00295BCD">
            <w:pPr>
              <w:spacing w:after="0" w:line="240" w:lineRule="auto"/>
              <w:jc w:val="center"/>
              <w:textAlignment w:val="baseline"/>
              <w:rPr>
                <w:szCs w:val="24"/>
                <w:lang w:eastAsia="et-EE"/>
              </w:rPr>
            </w:pPr>
            <w:r w:rsidRPr="001927D6">
              <w:rPr>
                <w:color w:val="000000"/>
                <w:szCs w:val="24"/>
              </w:rPr>
              <w:t>2 634,25</w:t>
            </w:r>
          </w:p>
        </w:tc>
        <w:tc>
          <w:tcPr>
            <w:tcW w:w="1238" w:type="dxa"/>
            <w:vAlign w:val="center"/>
          </w:tcPr>
          <w:p w14:paraId="14F081F6" w14:textId="77777777" w:rsidR="00295BCD" w:rsidRPr="001927D6" w:rsidRDefault="00295BCD">
            <w:pPr>
              <w:spacing w:after="0" w:line="240" w:lineRule="auto"/>
              <w:jc w:val="center"/>
              <w:textAlignment w:val="baseline"/>
              <w:rPr>
                <w:szCs w:val="24"/>
                <w:lang w:eastAsia="et-EE"/>
              </w:rPr>
            </w:pPr>
            <w:r w:rsidRPr="001927D6">
              <w:rPr>
                <w:color w:val="000000"/>
                <w:szCs w:val="24"/>
              </w:rPr>
              <w:t>12 190,19</w:t>
            </w:r>
          </w:p>
        </w:tc>
      </w:tr>
      <w:tr w:rsidR="00295BCD" w:rsidRPr="001927D6" w14:paraId="1A4EA0BE" w14:textId="77777777" w:rsidTr="00295BCD">
        <w:trPr>
          <w:divId w:val="1316184749"/>
          <w:trHeight w:val="300"/>
        </w:trPr>
        <w:tc>
          <w:tcPr>
            <w:tcW w:w="4632" w:type="dxa"/>
            <w:vAlign w:val="bottom"/>
            <w:hideMark/>
          </w:tcPr>
          <w:p w14:paraId="16840A70" w14:textId="77777777" w:rsidR="00295BCD" w:rsidRPr="001927D6" w:rsidRDefault="00295BCD">
            <w:pPr>
              <w:spacing w:after="0" w:line="240" w:lineRule="auto"/>
              <w:textAlignment w:val="baseline"/>
              <w:rPr>
                <w:szCs w:val="24"/>
                <w:lang w:eastAsia="et-EE"/>
              </w:rPr>
            </w:pPr>
            <w:r w:rsidRPr="001927D6">
              <w:rPr>
                <w:szCs w:val="24"/>
                <w:lang w:eastAsia="et-EE"/>
              </w:rPr>
              <w:t>Naha siirdamine ja/või kahjustatud koe eemaldamine nahahaavandi või tselluliidi puhul, kht-ta </w:t>
            </w:r>
          </w:p>
        </w:tc>
        <w:tc>
          <w:tcPr>
            <w:tcW w:w="732" w:type="dxa"/>
            <w:vAlign w:val="center"/>
            <w:hideMark/>
          </w:tcPr>
          <w:p w14:paraId="6291208F" w14:textId="77777777" w:rsidR="00295BCD" w:rsidRPr="001927D6" w:rsidRDefault="00295BCD">
            <w:pPr>
              <w:spacing w:after="0" w:line="240" w:lineRule="auto"/>
              <w:jc w:val="center"/>
              <w:textAlignment w:val="baseline"/>
              <w:rPr>
                <w:szCs w:val="24"/>
                <w:lang w:eastAsia="et-EE"/>
              </w:rPr>
            </w:pPr>
            <w:r w:rsidRPr="001927D6">
              <w:rPr>
                <w:szCs w:val="24"/>
                <w:lang w:eastAsia="et-EE"/>
              </w:rPr>
              <w:t>264 </w:t>
            </w:r>
          </w:p>
        </w:tc>
        <w:tc>
          <w:tcPr>
            <w:tcW w:w="1243" w:type="dxa"/>
            <w:vAlign w:val="center"/>
          </w:tcPr>
          <w:p w14:paraId="749AFECA" w14:textId="77777777" w:rsidR="00295BCD" w:rsidRPr="001927D6" w:rsidRDefault="00295BCD">
            <w:pPr>
              <w:spacing w:after="0" w:line="240" w:lineRule="auto"/>
              <w:jc w:val="center"/>
              <w:textAlignment w:val="baseline"/>
              <w:rPr>
                <w:szCs w:val="24"/>
                <w:lang w:eastAsia="et-EE"/>
              </w:rPr>
            </w:pPr>
            <w:r w:rsidRPr="001927D6">
              <w:rPr>
                <w:color w:val="000000"/>
                <w:szCs w:val="24"/>
              </w:rPr>
              <w:t>3 914,52</w:t>
            </w:r>
          </w:p>
        </w:tc>
        <w:tc>
          <w:tcPr>
            <w:tcW w:w="1211" w:type="dxa"/>
            <w:vAlign w:val="center"/>
          </w:tcPr>
          <w:p w14:paraId="792D7A59" w14:textId="77777777" w:rsidR="00295BCD" w:rsidRPr="001927D6" w:rsidRDefault="00295BCD">
            <w:pPr>
              <w:spacing w:after="0" w:line="240" w:lineRule="auto"/>
              <w:jc w:val="center"/>
              <w:textAlignment w:val="baseline"/>
              <w:rPr>
                <w:szCs w:val="24"/>
                <w:lang w:eastAsia="et-EE"/>
              </w:rPr>
            </w:pPr>
            <w:r w:rsidRPr="001927D6">
              <w:rPr>
                <w:color w:val="000000"/>
                <w:szCs w:val="24"/>
              </w:rPr>
              <w:t>1 793,29</w:t>
            </w:r>
          </w:p>
        </w:tc>
        <w:tc>
          <w:tcPr>
            <w:tcW w:w="1238" w:type="dxa"/>
            <w:vAlign w:val="center"/>
          </w:tcPr>
          <w:p w14:paraId="60BBA8FB" w14:textId="77777777" w:rsidR="00295BCD" w:rsidRPr="001927D6" w:rsidRDefault="00295BCD">
            <w:pPr>
              <w:spacing w:after="0" w:line="240" w:lineRule="auto"/>
              <w:jc w:val="center"/>
              <w:textAlignment w:val="baseline"/>
              <w:rPr>
                <w:szCs w:val="24"/>
                <w:lang w:eastAsia="et-EE"/>
              </w:rPr>
            </w:pPr>
            <w:r w:rsidRPr="001927D6">
              <w:rPr>
                <w:color w:val="000000"/>
                <w:szCs w:val="24"/>
              </w:rPr>
              <w:t>6 489,92</w:t>
            </w:r>
          </w:p>
        </w:tc>
      </w:tr>
      <w:tr w:rsidR="00295BCD" w:rsidRPr="001927D6" w14:paraId="254CF536" w14:textId="77777777" w:rsidTr="00295BCD">
        <w:trPr>
          <w:divId w:val="1316184749"/>
          <w:trHeight w:val="300"/>
        </w:trPr>
        <w:tc>
          <w:tcPr>
            <w:tcW w:w="4632" w:type="dxa"/>
            <w:vAlign w:val="bottom"/>
            <w:hideMark/>
          </w:tcPr>
          <w:p w14:paraId="557960A7" w14:textId="77777777" w:rsidR="00295BCD" w:rsidRPr="001927D6" w:rsidRDefault="00295BCD">
            <w:pPr>
              <w:spacing w:after="0" w:line="240" w:lineRule="auto"/>
              <w:textAlignment w:val="baseline"/>
              <w:rPr>
                <w:szCs w:val="24"/>
                <w:lang w:eastAsia="et-EE"/>
              </w:rPr>
            </w:pPr>
            <w:r w:rsidRPr="001927D6">
              <w:rPr>
                <w:szCs w:val="24"/>
                <w:lang w:eastAsia="et-EE"/>
              </w:rPr>
              <w:t>Naha siirdamine ja/või kahjustatud koe eemaldamine, v.a nahahaavandi või tselluliidi puhul, kht-ga </w:t>
            </w:r>
          </w:p>
        </w:tc>
        <w:tc>
          <w:tcPr>
            <w:tcW w:w="732" w:type="dxa"/>
            <w:vAlign w:val="center"/>
            <w:hideMark/>
          </w:tcPr>
          <w:p w14:paraId="2C7DD962" w14:textId="77777777" w:rsidR="00295BCD" w:rsidRPr="001927D6" w:rsidRDefault="00295BCD">
            <w:pPr>
              <w:spacing w:after="0" w:line="240" w:lineRule="auto"/>
              <w:jc w:val="center"/>
              <w:textAlignment w:val="baseline"/>
              <w:rPr>
                <w:szCs w:val="24"/>
                <w:lang w:eastAsia="et-EE"/>
              </w:rPr>
            </w:pPr>
            <w:r w:rsidRPr="001927D6">
              <w:rPr>
                <w:szCs w:val="24"/>
                <w:lang w:eastAsia="et-EE"/>
              </w:rPr>
              <w:t>265 </w:t>
            </w:r>
          </w:p>
        </w:tc>
        <w:tc>
          <w:tcPr>
            <w:tcW w:w="1243" w:type="dxa"/>
            <w:vAlign w:val="center"/>
          </w:tcPr>
          <w:p w14:paraId="730961F6" w14:textId="77777777" w:rsidR="00295BCD" w:rsidRPr="001927D6" w:rsidRDefault="00295BCD">
            <w:pPr>
              <w:spacing w:after="0" w:line="240" w:lineRule="auto"/>
              <w:jc w:val="center"/>
              <w:textAlignment w:val="baseline"/>
              <w:rPr>
                <w:szCs w:val="24"/>
                <w:lang w:eastAsia="et-EE"/>
              </w:rPr>
            </w:pPr>
            <w:r w:rsidRPr="001927D6">
              <w:rPr>
                <w:color w:val="000000"/>
                <w:szCs w:val="24"/>
              </w:rPr>
              <w:t>3 954,93</w:t>
            </w:r>
          </w:p>
        </w:tc>
        <w:tc>
          <w:tcPr>
            <w:tcW w:w="1211" w:type="dxa"/>
            <w:vAlign w:val="center"/>
          </w:tcPr>
          <w:p w14:paraId="4A0000A5" w14:textId="77777777" w:rsidR="00295BCD" w:rsidRPr="001927D6" w:rsidRDefault="00295BCD">
            <w:pPr>
              <w:spacing w:after="0" w:line="240" w:lineRule="auto"/>
              <w:jc w:val="center"/>
              <w:textAlignment w:val="baseline"/>
              <w:rPr>
                <w:szCs w:val="24"/>
                <w:lang w:eastAsia="et-EE"/>
              </w:rPr>
            </w:pPr>
            <w:r w:rsidRPr="001927D6">
              <w:rPr>
                <w:color w:val="000000"/>
                <w:szCs w:val="24"/>
              </w:rPr>
              <w:t>1 335,47</w:t>
            </w:r>
          </w:p>
        </w:tc>
        <w:tc>
          <w:tcPr>
            <w:tcW w:w="1238" w:type="dxa"/>
            <w:vAlign w:val="center"/>
          </w:tcPr>
          <w:p w14:paraId="7D259187" w14:textId="77777777" w:rsidR="00295BCD" w:rsidRPr="001927D6" w:rsidRDefault="00295BCD">
            <w:pPr>
              <w:spacing w:after="0" w:line="240" w:lineRule="auto"/>
              <w:jc w:val="center"/>
              <w:textAlignment w:val="baseline"/>
              <w:rPr>
                <w:szCs w:val="24"/>
                <w:lang w:eastAsia="et-EE"/>
              </w:rPr>
            </w:pPr>
            <w:r w:rsidRPr="001927D6">
              <w:rPr>
                <w:color w:val="000000"/>
                <w:szCs w:val="24"/>
              </w:rPr>
              <w:t>13 926,88</w:t>
            </w:r>
          </w:p>
        </w:tc>
      </w:tr>
      <w:tr w:rsidR="00295BCD" w:rsidRPr="001927D6" w14:paraId="45102B02" w14:textId="77777777" w:rsidTr="00295BCD">
        <w:trPr>
          <w:divId w:val="1316184749"/>
          <w:trHeight w:val="300"/>
        </w:trPr>
        <w:tc>
          <w:tcPr>
            <w:tcW w:w="4632" w:type="dxa"/>
            <w:vAlign w:val="bottom"/>
            <w:hideMark/>
          </w:tcPr>
          <w:p w14:paraId="1467D430" w14:textId="77777777" w:rsidR="00295BCD" w:rsidRPr="001927D6" w:rsidRDefault="00295BCD">
            <w:pPr>
              <w:spacing w:after="0" w:line="240" w:lineRule="auto"/>
              <w:textAlignment w:val="baseline"/>
              <w:rPr>
                <w:szCs w:val="24"/>
                <w:lang w:eastAsia="et-EE"/>
              </w:rPr>
            </w:pPr>
            <w:r w:rsidRPr="001927D6">
              <w:rPr>
                <w:szCs w:val="24"/>
                <w:lang w:eastAsia="et-EE"/>
              </w:rPr>
              <w:t>Naha siirdamine ja/või kahjustatud koe eemaldamine, v.a nahahaavandi või tselluliidi puhul, kht-ta </w:t>
            </w:r>
          </w:p>
        </w:tc>
        <w:tc>
          <w:tcPr>
            <w:tcW w:w="732" w:type="dxa"/>
            <w:vAlign w:val="center"/>
            <w:hideMark/>
          </w:tcPr>
          <w:p w14:paraId="6E43F86C" w14:textId="77777777" w:rsidR="00295BCD" w:rsidRPr="001927D6" w:rsidRDefault="00295BCD">
            <w:pPr>
              <w:spacing w:after="0" w:line="240" w:lineRule="auto"/>
              <w:jc w:val="center"/>
              <w:textAlignment w:val="baseline"/>
              <w:rPr>
                <w:szCs w:val="24"/>
                <w:lang w:eastAsia="et-EE"/>
              </w:rPr>
            </w:pPr>
            <w:r w:rsidRPr="001927D6">
              <w:rPr>
                <w:szCs w:val="24"/>
                <w:lang w:eastAsia="et-EE"/>
              </w:rPr>
              <w:t>266 </w:t>
            </w:r>
          </w:p>
        </w:tc>
        <w:tc>
          <w:tcPr>
            <w:tcW w:w="1243" w:type="dxa"/>
            <w:vAlign w:val="center"/>
          </w:tcPr>
          <w:p w14:paraId="409E2FE9" w14:textId="77777777" w:rsidR="00295BCD" w:rsidRPr="001927D6" w:rsidRDefault="00295BCD">
            <w:pPr>
              <w:spacing w:after="0" w:line="240" w:lineRule="auto"/>
              <w:jc w:val="center"/>
              <w:textAlignment w:val="baseline"/>
              <w:rPr>
                <w:szCs w:val="24"/>
                <w:lang w:eastAsia="et-EE"/>
              </w:rPr>
            </w:pPr>
            <w:r w:rsidRPr="001927D6">
              <w:rPr>
                <w:color w:val="000000"/>
                <w:szCs w:val="24"/>
              </w:rPr>
              <w:t>3 309,55</w:t>
            </w:r>
          </w:p>
        </w:tc>
        <w:tc>
          <w:tcPr>
            <w:tcW w:w="1211" w:type="dxa"/>
            <w:vAlign w:val="center"/>
          </w:tcPr>
          <w:p w14:paraId="0FA0CE0C" w14:textId="77777777" w:rsidR="00295BCD" w:rsidRPr="001927D6" w:rsidRDefault="00295BCD">
            <w:pPr>
              <w:spacing w:after="0" w:line="240" w:lineRule="auto"/>
              <w:jc w:val="center"/>
              <w:textAlignment w:val="baseline"/>
              <w:rPr>
                <w:szCs w:val="24"/>
                <w:lang w:eastAsia="et-EE"/>
              </w:rPr>
            </w:pPr>
            <w:r w:rsidRPr="001927D6">
              <w:rPr>
                <w:color w:val="000000"/>
                <w:szCs w:val="24"/>
              </w:rPr>
              <w:t>1 425,03</w:t>
            </w:r>
          </w:p>
        </w:tc>
        <w:tc>
          <w:tcPr>
            <w:tcW w:w="1238" w:type="dxa"/>
            <w:vAlign w:val="center"/>
          </w:tcPr>
          <w:p w14:paraId="270D5204" w14:textId="77777777" w:rsidR="00295BCD" w:rsidRPr="001927D6" w:rsidRDefault="00295BCD">
            <w:pPr>
              <w:spacing w:after="0" w:line="240" w:lineRule="auto"/>
              <w:jc w:val="center"/>
              <w:textAlignment w:val="baseline"/>
              <w:rPr>
                <w:szCs w:val="24"/>
                <w:lang w:eastAsia="et-EE"/>
              </w:rPr>
            </w:pPr>
            <w:r w:rsidRPr="001927D6">
              <w:rPr>
                <w:color w:val="000000"/>
                <w:szCs w:val="24"/>
              </w:rPr>
              <w:t>4 823,85</w:t>
            </w:r>
          </w:p>
        </w:tc>
      </w:tr>
      <w:tr w:rsidR="00295BCD" w:rsidRPr="001927D6" w14:paraId="6865CEE1" w14:textId="77777777" w:rsidTr="00295BCD">
        <w:trPr>
          <w:divId w:val="1316184749"/>
          <w:trHeight w:val="300"/>
        </w:trPr>
        <w:tc>
          <w:tcPr>
            <w:tcW w:w="4632" w:type="dxa"/>
            <w:vAlign w:val="bottom"/>
            <w:hideMark/>
          </w:tcPr>
          <w:p w14:paraId="184ED77A" w14:textId="77777777" w:rsidR="00295BCD" w:rsidRPr="001927D6" w:rsidRDefault="00295BCD">
            <w:pPr>
              <w:spacing w:after="0" w:line="240" w:lineRule="auto"/>
              <w:textAlignment w:val="baseline"/>
              <w:rPr>
                <w:szCs w:val="24"/>
                <w:lang w:eastAsia="et-EE"/>
              </w:rPr>
            </w:pPr>
            <w:r w:rsidRPr="001927D6">
              <w:rPr>
                <w:szCs w:val="24"/>
                <w:lang w:eastAsia="et-EE"/>
              </w:rPr>
              <w:t>Naha siirdamine ja/või kahjustatud koe eemaldamine, v.a nahahaavandi või tselluliidi puhul, lühike ravi </w:t>
            </w:r>
          </w:p>
        </w:tc>
        <w:tc>
          <w:tcPr>
            <w:tcW w:w="732" w:type="dxa"/>
            <w:vAlign w:val="center"/>
            <w:hideMark/>
          </w:tcPr>
          <w:p w14:paraId="23AD1E71" w14:textId="77777777" w:rsidR="00295BCD" w:rsidRPr="001927D6" w:rsidRDefault="00295BCD">
            <w:pPr>
              <w:spacing w:after="0" w:line="240" w:lineRule="auto"/>
              <w:jc w:val="center"/>
              <w:textAlignment w:val="baseline"/>
              <w:rPr>
                <w:szCs w:val="24"/>
                <w:lang w:eastAsia="et-EE"/>
              </w:rPr>
            </w:pPr>
            <w:r w:rsidRPr="001927D6">
              <w:rPr>
                <w:szCs w:val="24"/>
                <w:lang w:eastAsia="et-EE"/>
              </w:rPr>
              <w:t>266O </w:t>
            </w:r>
          </w:p>
        </w:tc>
        <w:tc>
          <w:tcPr>
            <w:tcW w:w="1243" w:type="dxa"/>
            <w:vAlign w:val="center"/>
          </w:tcPr>
          <w:p w14:paraId="43759497" w14:textId="77777777" w:rsidR="00295BCD" w:rsidRPr="001927D6" w:rsidRDefault="00295BCD">
            <w:pPr>
              <w:spacing w:after="0" w:line="240" w:lineRule="auto"/>
              <w:jc w:val="center"/>
              <w:textAlignment w:val="baseline"/>
              <w:rPr>
                <w:szCs w:val="24"/>
                <w:lang w:eastAsia="et-EE"/>
              </w:rPr>
            </w:pPr>
            <w:r w:rsidRPr="001927D6">
              <w:rPr>
                <w:color w:val="000000"/>
                <w:szCs w:val="24"/>
              </w:rPr>
              <w:t>1 269,06</w:t>
            </w:r>
          </w:p>
        </w:tc>
        <w:tc>
          <w:tcPr>
            <w:tcW w:w="1211" w:type="dxa"/>
            <w:vAlign w:val="center"/>
          </w:tcPr>
          <w:p w14:paraId="10D23FE6" w14:textId="77777777" w:rsidR="00295BCD" w:rsidRPr="001927D6" w:rsidRDefault="00295BCD">
            <w:pPr>
              <w:spacing w:after="0" w:line="240" w:lineRule="auto"/>
              <w:jc w:val="center"/>
              <w:textAlignment w:val="baseline"/>
              <w:rPr>
                <w:szCs w:val="24"/>
                <w:lang w:eastAsia="et-EE"/>
              </w:rPr>
            </w:pPr>
            <w:r w:rsidRPr="001927D6">
              <w:rPr>
                <w:color w:val="000000"/>
                <w:szCs w:val="24"/>
              </w:rPr>
              <w:t>449,49</w:t>
            </w:r>
          </w:p>
        </w:tc>
        <w:tc>
          <w:tcPr>
            <w:tcW w:w="1238" w:type="dxa"/>
            <w:vAlign w:val="center"/>
          </w:tcPr>
          <w:p w14:paraId="6CEA0244" w14:textId="77777777" w:rsidR="00295BCD" w:rsidRPr="001927D6" w:rsidRDefault="00295BCD">
            <w:pPr>
              <w:spacing w:after="0" w:line="240" w:lineRule="auto"/>
              <w:jc w:val="center"/>
              <w:textAlignment w:val="baseline"/>
              <w:rPr>
                <w:szCs w:val="24"/>
                <w:lang w:eastAsia="et-EE"/>
              </w:rPr>
            </w:pPr>
            <w:r w:rsidRPr="001927D6">
              <w:rPr>
                <w:color w:val="000000"/>
                <w:szCs w:val="24"/>
              </w:rPr>
              <w:t>2 968,91</w:t>
            </w:r>
          </w:p>
        </w:tc>
      </w:tr>
      <w:tr w:rsidR="00295BCD" w:rsidRPr="001927D6" w14:paraId="0F41020B" w14:textId="77777777" w:rsidTr="00295BCD">
        <w:trPr>
          <w:divId w:val="1316184749"/>
          <w:trHeight w:val="300"/>
        </w:trPr>
        <w:tc>
          <w:tcPr>
            <w:tcW w:w="4632" w:type="dxa"/>
            <w:vAlign w:val="bottom"/>
            <w:hideMark/>
          </w:tcPr>
          <w:p w14:paraId="24BE8866" w14:textId="77777777" w:rsidR="00295BCD" w:rsidRPr="001927D6" w:rsidRDefault="00295BCD">
            <w:pPr>
              <w:spacing w:after="0" w:line="240" w:lineRule="auto"/>
              <w:textAlignment w:val="baseline"/>
              <w:rPr>
                <w:szCs w:val="24"/>
                <w:lang w:eastAsia="et-EE"/>
              </w:rPr>
            </w:pPr>
            <w:r w:rsidRPr="001927D6">
              <w:rPr>
                <w:szCs w:val="24"/>
                <w:lang w:eastAsia="et-EE"/>
              </w:rPr>
              <w:t>Perianaalsed ja karvu sisaldavate tsüstide operatsioonid </w:t>
            </w:r>
          </w:p>
        </w:tc>
        <w:tc>
          <w:tcPr>
            <w:tcW w:w="732" w:type="dxa"/>
            <w:vAlign w:val="center"/>
            <w:hideMark/>
          </w:tcPr>
          <w:p w14:paraId="3C8371CB" w14:textId="77777777" w:rsidR="00295BCD" w:rsidRPr="001927D6" w:rsidRDefault="00295BCD">
            <w:pPr>
              <w:spacing w:after="0" w:line="240" w:lineRule="auto"/>
              <w:jc w:val="center"/>
              <w:textAlignment w:val="baseline"/>
              <w:rPr>
                <w:szCs w:val="24"/>
                <w:lang w:eastAsia="et-EE"/>
              </w:rPr>
            </w:pPr>
            <w:r w:rsidRPr="001927D6">
              <w:rPr>
                <w:szCs w:val="24"/>
                <w:lang w:eastAsia="et-EE"/>
              </w:rPr>
              <w:t>267 </w:t>
            </w:r>
          </w:p>
        </w:tc>
        <w:tc>
          <w:tcPr>
            <w:tcW w:w="1243" w:type="dxa"/>
            <w:vAlign w:val="center"/>
          </w:tcPr>
          <w:p w14:paraId="19B15031" w14:textId="77777777" w:rsidR="00295BCD" w:rsidRPr="001927D6" w:rsidRDefault="00295BCD">
            <w:pPr>
              <w:spacing w:after="0" w:line="240" w:lineRule="auto"/>
              <w:jc w:val="center"/>
              <w:textAlignment w:val="baseline"/>
              <w:rPr>
                <w:szCs w:val="24"/>
                <w:lang w:eastAsia="et-EE"/>
              </w:rPr>
            </w:pPr>
            <w:r w:rsidRPr="001927D6">
              <w:rPr>
                <w:color w:val="000000"/>
                <w:szCs w:val="24"/>
              </w:rPr>
              <w:t>1 092,40</w:t>
            </w:r>
          </w:p>
        </w:tc>
        <w:tc>
          <w:tcPr>
            <w:tcW w:w="1211" w:type="dxa"/>
            <w:vAlign w:val="center"/>
          </w:tcPr>
          <w:p w14:paraId="425E1A4D" w14:textId="77777777" w:rsidR="00295BCD" w:rsidRPr="001927D6" w:rsidRDefault="00295BCD">
            <w:pPr>
              <w:spacing w:after="0" w:line="240" w:lineRule="auto"/>
              <w:jc w:val="center"/>
              <w:textAlignment w:val="baseline"/>
              <w:rPr>
                <w:szCs w:val="24"/>
                <w:lang w:eastAsia="et-EE"/>
              </w:rPr>
            </w:pPr>
            <w:r w:rsidRPr="001927D6">
              <w:rPr>
                <w:color w:val="000000"/>
                <w:szCs w:val="24"/>
              </w:rPr>
              <w:t>758,67</w:t>
            </w:r>
          </w:p>
        </w:tc>
        <w:tc>
          <w:tcPr>
            <w:tcW w:w="1238" w:type="dxa"/>
            <w:vAlign w:val="center"/>
          </w:tcPr>
          <w:p w14:paraId="2F23E626" w14:textId="77777777" w:rsidR="00295BCD" w:rsidRPr="001927D6" w:rsidRDefault="00295BCD">
            <w:pPr>
              <w:spacing w:after="0" w:line="240" w:lineRule="auto"/>
              <w:jc w:val="center"/>
              <w:textAlignment w:val="baseline"/>
              <w:rPr>
                <w:szCs w:val="24"/>
                <w:lang w:eastAsia="et-EE"/>
              </w:rPr>
            </w:pPr>
            <w:r w:rsidRPr="001927D6">
              <w:rPr>
                <w:color w:val="000000"/>
                <w:szCs w:val="24"/>
              </w:rPr>
              <w:t>1 644,09</w:t>
            </w:r>
          </w:p>
        </w:tc>
      </w:tr>
      <w:tr w:rsidR="00295BCD" w:rsidRPr="001927D6" w14:paraId="6A3528B4" w14:textId="77777777" w:rsidTr="00295BCD">
        <w:trPr>
          <w:divId w:val="1316184749"/>
          <w:trHeight w:val="300"/>
        </w:trPr>
        <w:tc>
          <w:tcPr>
            <w:tcW w:w="4632" w:type="dxa"/>
            <w:vAlign w:val="bottom"/>
            <w:hideMark/>
          </w:tcPr>
          <w:p w14:paraId="4BF8295A" w14:textId="77777777" w:rsidR="00295BCD" w:rsidRPr="001927D6" w:rsidRDefault="00295BCD">
            <w:pPr>
              <w:spacing w:after="0" w:line="240" w:lineRule="auto"/>
              <w:textAlignment w:val="baseline"/>
              <w:rPr>
                <w:szCs w:val="24"/>
                <w:lang w:eastAsia="et-EE"/>
              </w:rPr>
            </w:pPr>
            <w:r w:rsidRPr="001927D6">
              <w:rPr>
                <w:szCs w:val="24"/>
                <w:lang w:eastAsia="et-EE"/>
              </w:rPr>
              <w:t>Perianaalsed ja karvu sisaldavate tsüstide operatsioonid, lühike ravi </w:t>
            </w:r>
          </w:p>
        </w:tc>
        <w:tc>
          <w:tcPr>
            <w:tcW w:w="732" w:type="dxa"/>
            <w:vAlign w:val="center"/>
            <w:hideMark/>
          </w:tcPr>
          <w:p w14:paraId="0A5734DF" w14:textId="77777777" w:rsidR="00295BCD" w:rsidRPr="001927D6" w:rsidRDefault="00295BCD">
            <w:pPr>
              <w:spacing w:after="0" w:line="240" w:lineRule="auto"/>
              <w:jc w:val="center"/>
              <w:textAlignment w:val="baseline"/>
              <w:rPr>
                <w:szCs w:val="24"/>
                <w:lang w:eastAsia="et-EE"/>
              </w:rPr>
            </w:pPr>
            <w:r w:rsidRPr="001927D6">
              <w:rPr>
                <w:szCs w:val="24"/>
                <w:lang w:eastAsia="et-EE"/>
              </w:rPr>
              <w:t>267O </w:t>
            </w:r>
          </w:p>
        </w:tc>
        <w:tc>
          <w:tcPr>
            <w:tcW w:w="1243" w:type="dxa"/>
            <w:vAlign w:val="center"/>
          </w:tcPr>
          <w:p w14:paraId="4E93F3F3" w14:textId="77777777" w:rsidR="00295BCD" w:rsidRPr="001927D6" w:rsidRDefault="00295BCD">
            <w:pPr>
              <w:spacing w:after="0" w:line="240" w:lineRule="auto"/>
              <w:jc w:val="center"/>
              <w:textAlignment w:val="baseline"/>
              <w:rPr>
                <w:szCs w:val="24"/>
                <w:lang w:eastAsia="et-EE"/>
              </w:rPr>
            </w:pPr>
            <w:r w:rsidRPr="001927D6">
              <w:rPr>
                <w:color w:val="000000"/>
                <w:szCs w:val="24"/>
              </w:rPr>
              <w:t>828,59</w:t>
            </w:r>
          </w:p>
        </w:tc>
        <w:tc>
          <w:tcPr>
            <w:tcW w:w="1211" w:type="dxa"/>
            <w:vAlign w:val="center"/>
          </w:tcPr>
          <w:p w14:paraId="1D02A02C" w14:textId="77777777" w:rsidR="00295BCD" w:rsidRPr="001927D6" w:rsidRDefault="00295BCD">
            <w:pPr>
              <w:spacing w:after="0" w:line="240" w:lineRule="auto"/>
              <w:jc w:val="center"/>
              <w:textAlignment w:val="baseline"/>
              <w:rPr>
                <w:szCs w:val="24"/>
                <w:lang w:eastAsia="et-EE"/>
              </w:rPr>
            </w:pPr>
            <w:r w:rsidRPr="001927D6">
              <w:rPr>
                <w:color w:val="000000"/>
                <w:szCs w:val="24"/>
              </w:rPr>
              <w:t>398,36</w:t>
            </w:r>
          </w:p>
        </w:tc>
        <w:tc>
          <w:tcPr>
            <w:tcW w:w="1238" w:type="dxa"/>
            <w:vAlign w:val="center"/>
          </w:tcPr>
          <w:p w14:paraId="08C78B3C" w14:textId="77777777" w:rsidR="00295BCD" w:rsidRPr="001927D6" w:rsidRDefault="00295BCD">
            <w:pPr>
              <w:spacing w:after="0" w:line="240" w:lineRule="auto"/>
              <w:jc w:val="center"/>
              <w:textAlignment w:val="baseline"/>
              <w:rPr>
                <w:szCs w:val="24"/>
                <w:lang w:eastAsia="et-EE"/>
              </w:rPr>
            </w:pPr>
            <w:r w:rsidRPr="001927D6">
              <w:rPr>
                <w:color w:val="000000"/>
                <w:szCs w:val="24"/>
              </w:rPr>
              <w:t>1 087,09</w:t>
            </w:r>
          </w:p>
        </w:tc>
      </w:tr>
      <w:tr w:rsidR="00295BCD" w:rsidRPr="001927D6" w14:paraId="0F6BCF7C" w14:textId="77777777" w:rsidTr="00295BCD">
        <w:trPr>
          <w:divId w:val="1316184749"/>
          <w:trHeight w:val="300"/>
        </w:trPr>
        <w:tc>
          <w:tcPr>
            <w:tcW w:w="4632" w:type="dxa"/>
            <w:vAlign w:val="bottom"/>
            <w:hideMark/>
          </w:tcPr>
          <w:p w14:paraId="14676C2B" w14:textId="77777777" w:rsidR="00295BCD" w:rsidRPr="001927D6" w:rsidRDefault="00295BCD">
            <w:pPr>
              <w:spacing w:after="0" w:line="240" w:lineRule="auto"/>
              <w:textAlignment w:val="baseline"/>
              <w:rPr>
                <w:szCs w:val="24"/>
                <w:lang w:eastAsia="et-EE"/>
              </w:rPr>
            </w:pPr>
            <w:r w:rsidRPr="001927D6">
              <w:rPr>
                <w:szCs w:val="24"/>
                <w:lang w:eastAsia="et-EE"/>
              </w:rPr>
              <w:t>Naha ja nahaaluskoe plastilised operatsioonid </w:t>
            </w:r>
          </w:p>
        </w:tc>
        <w:tc>
          <w:tcPr>
            <w:tcW w:w="732" w:type="dxa"/>
            <w:vAlign w:val="center"/>
            <w:hideMark/>
          </w:tcPr>
          <w:p w14:paraId="5EAD5AE0" w14:textId="77777777" w:rsidR="00295BCD" w:rsidRPr="001927D6" w:rsidRDefault="00295BCD">
            <w:pPr>
              <w:spacing w:after="0" w:line="240" w:lineRule="auto"/>
              <w:jc w:val="center"/>
              <w:textAlignment w:val="baseline"/>
              <w:rPr>
                <w:szCs w:val="24"/>
                <w:lang w:eastAsia="et-EE"/>
              </w:rPr>
            </w:pPr>
            <w:r w:rsidRPr="001927D6">
              <w:rPr>
                <w:szCs w:val="24"/>
                <w:lang w:eastAsia="et-EE"/>
              </w:rPr>
              <w:t>268 </w:t>
            </w:r>
          </w:p>
        </w:tc>
        <w:tc>
          <w:tcPr>
            <w:tcW w:w="1243" w:type="dxa"/>
            <w:vAlign w:val="center"/>
          </w:tcPr>
          <w:p w14:paraId="3B84387D" w14:textId="77777777" w:rsidR="00295BCD" w:rsidRPr="001927D6" w:rsidRDefault="00295BCD">
            <w:pPr>
              <w:spacing w:after="0" w:line="240" w:lineRule="auto"/>
              <w:jc w:val="center"/>
              <w:textAlignment w:val="baseline"/>
              <w:rPr>
                <w:szCs w:val="24"/>
                <w:lang w:eastAsia="et-EE"/>
              </w:rPr>
            </w:pPr>
            <w:r w:rsidRPr="001927D6">
              <w:rPr>
                <w:color w:val="000000"/>
                <w:szCs w:val="24"/>
              </w:rPr>
              <w:t>2 732,00</w:t>
            </w:r>
          </w:p>
        </w:tc>
        <w:tc>
          <w:tcPr>
            <w:tcW w:w="1211" w:type="dxa"/>
            <w:vAlign w:val="center"/>
          </w:tcPr>
          <w:p w14:paraId="5A77E994" w14:textId="77777777" w:rsidR="00295BCD" w:rsidRPr="001927D6" w:rsidRDefault="00295BCD">
            <w:pPr>
              <w:spacing w:after="0" w:line="240" w:lineRule="auto"/>
              <w:jc w:val="center"/>
              <w:textAlignment w:val="baseline"/>
              <w:rPr>
                <w:szCs w:val="24"/>
                <w:lang w:eastAsia="et-EE"/>
              </w:rPr>
            </w:pPr>
            <w:r w:rsidRPr="001927D6">
              <w:rPr>
                <w:color w:val="000000"/>
                <w:szCs w:val="24"/>
              </w:rPr>
              <w:t>1 193,70</w:t>
            </w:r>
          </w:p>
        </w:tc>
        <w:tc>
          <w:tcPr>
            <w:tcW w:w="1238" w:type="dxa"/>
            <w:vAlign w:val="center"/>
          </w:tcPr>
          <w:p w14:paraId="4548A842" w14:textId="77777777" w:rsidR="00295BCD" w:rsidRPr="001927D6" w:rsidRDefault="00295BCD">
            <w:pPr>
              <w:spacing w:after="0" w:line="240" w:lineRule="auto"/>
              <w:jc w:val="center"/>
              <w:textAlignment w:val="baseline"/>
              <w:rPr>
                <w:szCs w:val="24"/>
                <w:lang w:eastAsia="et-EE"/>
              </w:rPr>
            </w:pPr>
            <w:r w:rsidRPr="001927D6">
              <w:rPr>
                <w:color w:val="000000"/>
                <w:szCs w:val="24"/>
              </w:rPr>
              <w:t>5 843,35</w:t>
            </w:r>
          </w:p>
        </w:tc>
      </w:tr>
      <w:tr w:rsidR="00295BCD" w:rsidRPr="001927D6" w14:paraId="151CFD95" w14:textId="77777777" w:rsidTr="00295BCD">
        <w:trPr>
          <w:divId w:val="1316184749"/>
          <w:trHeight w:val="300"/>
        </w:trPr>
        <w:tc>
          <w:tcPr>
            <w:tcW w:w="4632" w:type="dxa"/>
            <w:vAlign w:val="bottom"/>
            <w:hideMark/>
          </w:tcPr>
          <w:p w14:paraId="360383EA" w14:textId="77777777" w:rsidR="00295BCD" w:rsidRPr="001927D6" w:rsidRDefault="00295BCD">
            <w:pPr>
              <w:spacing w:after="0" w:line="240" w:lineRule="auto"/>
              <w:textAlignment w:val="baseline"/>
              <w:rPr>
                <w:szCs w:val="24"/>
                <w:lang w:eastAsia="et-EE"/>
              </w:rPr>
            </w:pPr>
            <w:r w:rsidRPr="001927D6">
              <w:rPr>
                <w:szCs w:val="24"/>
                <w:lang w:eastAsia="et-EE"/>
              </w:rPr>
              <w:t>Naha ja nahaaluskoe plastilised operatsioonid, lühike ravi </w:t>
            </w:r>
          </w:p>
        </w:tc>
        <w:tc>
          <w:tcPr>
            <w:tcW w:w="732" w:type="dxa"/>
            <w:vAlign w:val="center"/>
            <w:hideMark/>
          </w:tcPr>
          <w:p w14:paraId="3FE886DE" w14:textId="77777777" w:rsidR="00295BCD" w:rsidRPr="001927D6" w:rsidRDefault="00295BCD">
            <w:pPr>
              <w:spacing w:after="0" w:line="240" w:lineRule="auto"/>
              <w:jc w:val="center"/>
              <w:textAlignment w:val="baseline"/>
              <w:rPr>
                <w:szCs w:val="24"/>
                <w:lang w:eastAsia="et-EE"/>
              </w:rPr>
            </w:pPr>
            <w:r w:rsidRPr="001927D6">
              <w:rPr>
                <w:szCs w:val="24"/>
                <w:lang w:eastAsia="et-EE"/>
              </w:rPr>
              <w:t>268O </w:t>
            </w:r>
          </w:p>
        </w:tc>
        <w:tc>
          <w:tcPr>
            <w:tcW w:w="1243" w:type="dxa"/>
            <w:vAlign w:val="center"/>
          </w:tcPr>
          <w:p w14:paraId="568ACAD7" w14:textId="77777777" w:rsidR="00295BCD" w:rsidRPr="001927D6" w:rsidRDefault="00295BCD">
            <w:pPr>
              <w:spacing w:after="0" w:line="240" w:lineRule="auto"/>
              <w:jc w:val="center"/>
              <w:textAlignment w:val="baseline"/>
              <w:rPr>
                <w:szCs w:val="24"/>
                <w:lang w:eastAsia="et-EE"/>
              </w:rPr>
            </w:pPr>
            <w:r w:rsidRPr="001927D6">
              <w:rPr>
                <w:color w:val="000000"/>
                <w:szCs w:val="24"/>
              </w:rPr>
              <w:t>1 012,06</w:t>
            </w:r>
          </w:p>
        </w:tc>
        <w:tc>
          <w:tcPr>
            <w:tcW w:w="1211" w:type="dxa"/>
            <w:vAlign w:val="center"/>
          </w:tcPr>
          <w:p w14:paraId="25946BEE" w14:textId="77777777" w:rsidR="00295BCD" w:rsidRPr="001927D6" w:rsidRDefault="00295BCD">
            <w:pPr>
              <w:spacing w:after="0" w:line="240" w:lineRule="auto"/>
              <w:jc w:val="center"/>
              <w:textAlignment w:val="baseline"/>
              <w:rPr>
                <w:szCs w:val="24"/>
                <w:lang w:eastAsia="et-EE"/>
              </w:rPr>
            </w:pPr>
            <w:r w:rsidRPr="001927D6">
              <w:rPr>
                <w:color w:val="000000"/>
                <w:szCs w:val="24"/>
              </w:rPr>
              <w:t>517,43</w:t>
            </w:r>
          </w:p>
        </w:tc>
        <w:tc>
          <w:tcPr>
            <w:tcW w:w="1238" w:type="dxa"/>
            <w:vAlign w:val="center"/>
          </w:tcPr>
          <w:p w14:paraId="49FD4A6C" w14:textId="77777777" w:rsidR="00295BCD" w:rsidRPr="001927D6" w:rsidRDefault="00295BCD">
            <w:pPr>
              <w:spacing w:after="0" w:line="240" w:lineRule="auto"/>
              <w:jc w:val="center"/>
              <w:textAlignment w:val="baseline"/>
              <w:rPr>
                <w:szCs w:val="24"/>
                <w:lang w:eastAsia="et-EE"/>
              </w:rPr>
            </w:pPr>
            <w:r w:rsidRPr="001927D6">
              <w:rPr>
                <w:color w:val="000000"/>
                <w:szCs w:val="24"/>
              </w:rPr>
              <w:t>1 687,44</w:t>
            </w:r>
          </w:p>
        </w:tc>
      </w:tr>
      <w:tr w:rsidR="00295BCD" w:rsidRPr="001927D6" w14:paraId="2ED03D25" w14:textId="77777777" w:rsidTr="00295BCD">
        <w:trPr>
          <w:divId w:val="1316184749"/>
          <w:trHeight w:val="300"/>
        </w:trPr>
        <w:tc>
          <w:tcPr>
            <w:tcW w:w="4632" w:type="dxa"/>
            <w:vAlign w:val="bottom"/>
            <w:hideMark/>
          </w:tcPr>
          <w:p w14:paraId="143909A2" w14:textId="77777777" w:rsidR="00295BCD" w:rsidRPr="001927D6" w:rsidRDefault="00295BCD">
            <w:pPr>
              <w:spacing w:after="0" w:line="240" w:lineRule="auto"/>
              <w:textAlignment w:val="baseline"/>
              <w:rPr>
                <w:szCs w:val="24"/>
                <w:lang w:eastAsia="et-EE"/>
              </w:rPr>
            </w:pPr>
            <w:r w:rsidRPr="001927D6">
              <w:rPr>
                <w:szCs w:val="24"/>
                <w:lang w:eastAsia="et-EE"/>
              </w:rPr>
              <w:t>Naha ja nahaaluskoe muud operatsioonid, kht-ga </w:t>
            </w:r>
          </w:p>
        </w:tc>
        <w:tc>
          <w:tcPr>
            <w:tcW w:w="732" w:type="dxa"/>
            <w:vAlign w:val="center"/>
            <w:hideMark/>
          </w:tcPr>
          <w:p w14:paraId="6B3350C9" w14:textId="77777777" w:rsidR="00295BCD" w:rsidRPr="001927D6" w:rsidRDefault="00295BCD">
            <w:pPr>
              <w:spacing w:after="0" w:line="240" w:lineRule="auto"/>
              <w:jc w:val="center"/>
              <w:textAlignment w:val="baseline"/>
              <w:rPr>
                <w:szCs w:val="24"/>
                <w:lang w:eastAsia="et-EE"/>
              </w:rPr>
            </w:pPr>
            <w:r w:rsidRPr="001927D6">
              <w:rPr>
                <w:szCs w:val="24"/>
                <w:lang w:eastAsia="et-EE"/>
              </w:rPr>
              <w:t>269 </w:t>
            </w:r>
          </w:p>
        </w:tc>
        <w:tc>
          <w:tcPr>
            <w:tcW w:w="1243" w:type="dxa"/>
            <w:vAlign w:val="center"/>
          </w:tcPr>
          <w:p w14:paraId="2AAF0D0E" w14:textId="77777777" w:rsidR="00295BCD" w:rsidRPr="001927D6" w:rsidRDefault="00295BCD">
            <w:pPr>
              <w:spacing w:after="0" w:line="240" w:lineRule="auto"/>
              <w:jc w:val="center"/>
              <w:textAlignment w:val="baseline"/>
              <w:rPr>
                <w:szCs w:val="24"/>
                <w:lang w:eastAsia="et-EE"/>
              </w:rPr>
            </w:pPr>
            <w:r w:rsidRPr="001927D6">
              <w:rPr>
                <w:color w:val="000000"/>
                <w:szCs w:val="24"/>
              </w:rPr>
              <w:t>3 963,91</w:t>
            </w:r>
          </w:p>
        </w:tc>
        <w:tc>
          <w:tcPr>
            <w:tcW w:w="1211" w:type="dxa"/>
            <w:vAlign w:val="center"/>
          </w:tcPr>
          <w:p w14:paraId="1894AA6E" w14:textId="77777777" w:rsidR="00295BCD" w:rsidRPr="001927D6" w:rsidRDefault="00295BCD">
            <w:pPr>
              <w:spacing w:after="0" w:line="240" w:lineRule="auto"/>
              <w:jc w:val="center"/>
              <w:textAlignment w:val="baseline"/>
              <w:rPr>
                <w:szCs w:val="24"/>
                <w:lang w:eastAsia="et-EE"/>
              </w:rPr>
            </w:pPr>
            <w:r w:rsidRPr="001927D6">
              <w:rPr>
                <w:color w:val="000000"/>
                <w:szCs w:val="24"/>
              </w:rPr>
              <w:t>1 107,63</w:t>
            </w:r>
          </w:p>
        </w:tc>
        <w:tc>
          <w:tcPr>
            <w:tcW w:w="1238" w:type="dxa"/>
            <w:vAlign w:val="center"/>
          </w:tcPr>
          <w:p w14:paraId="1A5AF75C" w14:textId="77777777" w:rsidR="00295BCD" w:rsidRPr="001927D6" w:rsidRDefault="00295BCD">
            <w:pPr>
              <w:spacing w:after="0" w:line="240" w:lineRule="auto"/>
              <w:jc w:val="center"/>
              <w:textAlignment w:val="baseline"/>
              <w:rPr>
                <w:szCs w:val="24"/>
                <w:lang w:eastAsia="et-EE"/>
              </w:rPr>
            </w:pPr>
            <w:r w:rsidRPr="001927D6">
              <w:rPr>
                <w:color w:val="000000"/>
                <w:szCs w:val="24"/>
              </w:rPr>
              <w:t>10 784,25</w:t>
            </w:r>
          </w:p>
        </w:tc>
      </w:tr>
      <w:tr w:rsidR="00295BCD" w:rsidRPr="001927D6" w14:paraId="65BDE884" w14:textId="77777777" w:rsidTr="00295BCD">
        <w:trPr>
          <w:divId w:val="1316184749"/>
          <w:trHeight w:val="300"/>
        </w:trPr>
        <w:tc>
          <w:tcPr>
            <w:tcW w:w="4632" w:type="dxa"/>
            <w:vAlign w:val="bottom"/>
            <w:hideMark/>
          </w:tcPr>
          <w:p w14:paraId="05C67B2D" w14:textId="77777777" w:rsidR="00295BCD" w:rsidRPr="001927D6" w:rsidRDefault="00295BCD">
            <w:pPr>
              <w:spacing w:after="0" w:line="240" w:lineRule="auto"/>
              <w:textAlignment w:val="baseline"/>
              <w:rPr>
                <w:szCs w:val="24"/>
                <w:lang w:eastAsia="et-EE"/>
              </w:rPr>
            </w:pPr>
            <w:r w:rsidRPr="001927D6">
              <w:rPr>
                <w:szCs w:val="24"/>
                <w:lang w:eastAsia="et-EE"/>
              </w:rPr>
              <w:t>Naha ja nahaaluskoe muud operatsioonid, kht-ta </w:t>
            </w:r>
          </w:p>
        </w:tc>
        <w:tc>
          <w:tcPr>
            <w:tcW w:w="732" w:type="dxa"/>
            <w:vAlign w:val="center"/>
            <w:hideMark/>
          </w:tcPr>
          <w:p w14:paraId="2A7032CF" w14:textId="77777777" w:rsidR="00295BCD" w:rsidRPr="001927D6" w:rsidRDefault="00295BCD">
            <w:pPr>
              <w:spacing w:after="0" w:line="240" w:lineRule="auto"/>
              <w:jc w:val="center"/>
              <w:textAlignment w:val="baseline"/>
              <w:rPr>
                <w:szCs w:val="24"/>
                <w:lang w:eastAsia="et-EE"/>
              </w:rPr>
            </w:pPr>
            <w:r w:rsidRPr="001927D6">
              <w:rPr>
                <w:szCs w:val="24"/>
                <w:lang w:eastAsia="et-EE"/>
              </w:rPr>
              <w:t>270 </w:t>
            </w:r>
          </w:p>
        </w:tc>
        <w:tc>
          <w:tcPr>
            <w:tcW w:w="1243" w:type="dxa"/>
            <w:vAlign w:val="center"/>
          </w:tcPr>
          <w:p w14:paraId="2D59F14A" w14:textId="77777777" w:rsidR="00295BCD" w:rsidRPr="001927D6" w:rsidRDefault="00295BCD">
            <w:pPr>
              <w:spacing w:after="0" w:line="240" w:lineRule="auto"/>
              <w:jc w:val="center"/>
              <w:textAlignment w:val="baseline"/>
              <w:rPr>
                <w:szCs w:val="24"/>
                <w:lang w:eastAsia="et-EE"/>
              </w:rPr>
            </w:pPr>
            <w:r w:rsidRPr="001927D6">
              <w:rPr>
                <w:color w:val="000000"/>
                <w:szCs w:val="24"/>
              </w:rPr>
              <w:t>1 529,83</w:t>
            </w:r>
          </w:p>
        </w:tc>
        <w:tc>
          <w:tcPr>
            <w:tcW w:w="1211" w:type="dxa"/>
            <w:vAlign w:val="center"/>
          </w:tcPr>
          <w:p w14:paraId="6E8A5F4C" w14:textId="77777777" w:rsidR="00295BCD" w:rsidRPr="001927D6" w:rsidRDefault="00295BCD">
            <w:pPr>
              <w:spacing w:after="0" w:line="240" w:lineRule="auto"/>
              <w:jc w:val="center"/>
              <w:textAlignment w:val="baseline"/>
              <w:rPr>
                <w:szCs w:val="24"/>
                <w:lang w:eastAsia="et-EE"/>
              </w:rPr>
            </w:pPr>
            <w:r w:rsidRPr="001927D6">
              <w:rPr>
                <w:color w:val="000000"/>
                <w:szCs w:val="24"/>
              </w:rPr>
              <w:t>523,76</w:t>
            </w:r>
          </w:p>
        </w:tc>
        <w:tc>
          <w:tcPr>
            <w:tcW w:w="1238" w:type="dxa"/>
            <w:vAlign w:val="center"/>
          </w:tcPr>
          <w:p w14:paraId="4D76E862" w14:textId="77777777" w:rsidR="00295BCD" w:rsidRPr="001927D6" w:rsidRDefault="00295BCD">
            <w:pPr>
              <w:spacing w:after="0" w:line="240" w:lineRule="auto"/>
              <w:jc w:val="center"/>
              <w:textAlignment w:val="baseline"/>
              <w:rPr>
                <w:szCs w:val="24"/>
                <w:lang w:eastAsia="et-EE"/>
              </w:rPr>
            </w:pPr>
            <w:r w:rsidRPr="001927D6">
              <w:rPr>
                <w:color w:val="000000"/>
                <w:szCs w:val="24"/>
              </w:rPr>
              <w:t>3 876,72</w:t>
            </w:r>
          </w:p>
        </w:tc>
      </w:tr>
      <w:tr w:rsidR="00295BCD" w:rsidRPr="001927D6" w14:paraId="47EDA102" w14:textId="77777777" w:rsidTr="00295BCD">
        <w:trPr>
          <w:divId w:val="1316184749"/>
          <w:trHeight w:val="300"/>
        </w:trPr>
        <w:tc>
          <w:tcPr>
            <w:tcW w:w="4632" w:type="dxa"/>
            <w:vAlign w:val="bottom"/>
            <w:hideMark/>
          </w:tcPr>
          <w:p w14:paraId="418E05E4" w14:textId="77777777" w:rsidR="00295BCD" w:rsidRPr="001927D6" w:rsidRDefault="00295BCD">
            <w:pPr>
              <w:spacing w:after="0" w:line="240" w:lineRule="auto"/>
              <w:textAlignment w:val="baseline"/>
              <w:rPr>
                <w:szCs w:val="24"/>
                <w:lang w:eastAsia="et-EE"/>
              </w:rPr>
            </w:pPr>
            <w:r w:rsidRPr="001927D6">
              <w:rPr>
                <w:szCs w:val="24"/>
                <w:lang w:eastAsia="et-EE"/>
              </w:rPr>
              <w:t>Naha ja nahaaluskoe muud operatsioonid, lühike ravi </w:t>
            </w:r>
          </w:p>
        </w:tc>
        <w:tc>
          <w:tcPr>
            <w:tcW w:w="732" w:type="dxa"/>
            <w:vAlign w:val="center"/>
            <w:hideMark/>
          </w:tcPr>
          <w:p w14:paraId="0084D1ED" w14:textId="77777777" w:rsidR="00295BCD" w:rsidRPr="001927D6" w:rsidRDefault="00295BCD">
            <w:pPr>
              <w:spacing w:after="0" w:line="240" w:lineRule="auto"/>
              <w:jc w:val="center"/>
              <w:textAlignment w:val="baseline"/>
              <w:rPr>
                <w:szCs w:val="24"/>
                <w:lang w:eastAsia="et-EE"/>
              </w:rPr>
            </w:pPr>
            <w:r w:rsidRPr="001927D6">
              <w:rPr>
                <w:szCs w:val="24"/>
                <w:lang w:eastAsia="et-EE"/>
              </w:rPr>
              <w:t>270O </w:t>
            </w:r>
          </w:p>
        </w:tc>
        <w:tc>
          <w:tcPr>
            <w:tcW w:w="1243" w:type="dxa"/>
            <w:vAlign w:val="center"/>
          </w:tcPr>
          <w:p w14:paraId="02761943" w14:textId="77777777" w:rsidR="00295BCD" w:rsidRPr="001927D6" w:rsidRDefault="00295BCD">
            <w:pPr>
              <w:spacing w:after="0" w:line="240" w:lineRule="auto"/>
              <w:jc w:val="center"/>
              <w:textAlignment w:val="baseline"/>
              <w:rPr>
                <w:szCs w:val="24"/>
                <w:lang w:eastAsia="et-EE"/>
              </w:rPr>
            </w:pPr>
            <w:r w:rsidRPr="001927D6">
              <w:rPr>
                <w:color w:val="000000"/>
                <w:szCs w:val="24"/>
              </w:rPr>
              <w:t>514,32</w:t>
            </w:r>
          </w:p>
        </w:tc>
        <w:tc>
          <w:tcPr>
            <w:tcW w:w="1211" w:type="dxa"/>
            <w:vAlign w:val="center"/>
          </w:tcPr>
          <w:p w14:paraId="07B3E09B" w14:textId="77777777" w:rsidR="00295BCD" w:rsidRPr="001927D6" w:rsidRDefault="00295BCD">
            <w:pPr>
              <w:spacing w:after="0" w:line="240" w:lineRule="auto"/>
              <w:jc w:val="center"/>
              <w:textAlignment w:val="baseline"/>
              <w:rPr>
                <w:szCs w:val="24"/>
                <w:lang w:eastAsia="et-EE"/>
              </w:rPr>
            </w:pPr>
            <w:r w:rsidRPr="001927D6">
              <w:rPr>
                <w:color w:val="000000"/>
                <w:szCs w:val="24"/>
              </w:rPr>
              <w:t>395,69</w:t>
            </w:r>
          </w:p>
        </w:tc>
        <w:tc>
          <w:tcPr>
            <w:tcW w:w="1238" w:type="dxa"/>
            <w:vAlign w:val="center"/>
          </w:tcPr>
          <w:p w14:paraId="1ABC614E" w14:textId="77777777" w:rsidR="00295BCD" w:rsidRPr="001927D6" w:rsidRDefault="00295BCD">
            <w:pPr>
              <w:spacing w:after="0" w:line="240" w:lineRule="auto"/>
              <w:jc w:val="center"/>
              <w:textAlignment w:val="baseline"/>
              <w:rPr>
                <w:szCs w:val="24"/>
                <w:lang w:eastAsia="et-EE"/>
              </w:rPr>
            </w:pPr>
            <w:r w:rsidRPr="001927D6">
              <w:rPr>
                <w:color w:val="000000"/>
                <w:szCs w:val="24"/>
              </w:rPr>
              <w:t>821,58</w:t>
            </w:r>
          </w:p>
        </w:tc>
      </w:tr>
      <w:tr w:rsidR="00295BCD" w:rsidRPr="001927D6" w14:paraId="1781D2ED" w14:textId="77777777" w:rsidTr="00295BCD">
        <w:trPr>
          <w:divId w:val="1316184749"/>
          <w:trHeight w:val="300"/>
        </w:trPr>
        <w:tc>
          <w:tcPr>
            <w:tcW w:w="4632" w:type="dxa"/>
            <w:vAlign w:val="bottom"/>
            <w:hideMark/>
          </w:tcPr>
          <w:p w14:paraId="0246A8E4" w14:textId="77777777" w:rsidR="00295BCD" w:rsidRPr="001927D6" w:rsidRDefault="00295BCD">
            <w:pPr>
              <w:spacing w:after="0" w:line="240" w:lineRule="auto"/>
              <w:textAlignment w:val="baseline"/>
              <w:rPr>
                <w:szCs w:val="24"/>
                <w:lang w:eastAsia="et-EE"/>
              </w:rPr>
            </w:pPr>
            <w:r w:rsidRPr="001927D6">
              <w:rPr>
                <w:szCs w:val="24"/>
                <w:lang w:eastAsia="et-EE"/>
              </w:rPr>
              <w:t>Nahahaavandid </w:t>
            </w:r>
          </w:p>
        </w:tc>
        <w:tc>
          <w:tcPr>
            <w:tcW w:w="732" w:type="dxa"/>
            <w:vAlign w:val="center"/>
            <w:hideMark/>
          </w:tcPr>
          <w:p w14:paraId="6BC9DA2A" w14:textId="77777777" w:rsidR="00295BCD" w:rsidRPr="001927D6" w:rsidRDefault="00295BCD">
            <w:pPr>
              <w:spacing w:after="0" w:line="240" w:lineRule="auto"/>
              <w:jc w:val="center"/>
              <w:textAlignment w:val="baseline"/>
              <w:rPr>
                <w:szCs w:val="24"/>
                <w:lang w:eastAsia="et-EE"/>
              </w:rPr>
            </w:pPr>
            <w:r w:rsidRPr="001927D6">
              <w:rPr>
                <w:szCs w:val="24"/>
                <w:lang w:eastAsia="et-EE"/>
              </w:rPr>
              <w:t>271 </w:t>
            </w:r>
          </w:p>
        </w:tc>
        <w:tc>
          <w:tcPr>
            <w:tcW w:w="1243" w:type="dxa"/>
            <w:vAlign w:val="center"/>
          </w:tcPr>
          <w:p w14:paraId="39C364F6" w14:textId="77777777" w:rsidR="00295BCD" w:rsidRPr="001927D6" w:rsidRDefault="00295BCD">
            <w:pPr>
              <w:spacing w:after="0" w:line="240" w:lineRule="auto"/>
              <w:jc w:val="center"/>
              <w:textAlignment w:val="baseline"/>
              <w:rPr>
                <w:szCs w:val="24"/>
                <w:lang w:eastAsia="et-EE"/>
              </w:rPr>
            </w:pPr>
            <w:r w:rsidRPr="001927D6">
              <w:rPr>
                <w:color w:val="000000"/>
                <w:szCs w:val="24"/>
              </w:rPr>
              <w:t>2 500,92</w:t>
            </w:r>
          </w:p>
        </w:tc>
        <w:tc>
          <w:tcPr>
            <w:tcW w:w="1211" w:type="dxa"/>
            <w:vAlign w:val="center"/>
          </w:tcPr>
          <w:p w14:paraId="18050AE9" w14:textId="77777777" w:rsidR="00295BCD" w:rsidRPr="001927D6" w:rsidRDefault="00295BCD">
            <w:pPr>
              <w:spacing w:after="0" w:line="240" w:lineRule="auto"/>
              <w:jc w:val="center"/>
              <w:textAlignment w:val="baseline"/>
              <w:rPr>
                <w:szCs w:val="24"/>
                <w:lang w:eastAsia="et-EE"/>
              </w:rPr>
            </w:pPr>
            <w:r w:rsidRPr="001927D6">
              <w:rPr>
                <w:color w:val="000000"/>
                <w:szCs w:val="24"/>
              </w:rPr>
              <w:t>499,93</w:t>
            </w:r>
          </w:p>
        </w:tc>
        <w:tc>
          <w:tcPr>
            <w:tcW w:w="1238" w:type="dxa"/>
            <w:vAlign w:val="center"/>
          </w:tcPr>
          <w:p w14:paraId="14804272" w14:textId="77777777" w:rsidR="00295BCD" w:rsidRPr="001927D6" w:rsidRDefault="00295BCD">
            <w:pPr>
              <w:spacing w:after="0" w:line="240" w:lineRule="auto"/>
              <w:jc w:val="center"/>
              <w:textAlignment w:val="baseline"/>
              <w:rPr>
                <w:szCs w:val="24"/>
                <w:lang w:eastAsia="et-EE"/>
              </w:rPr>
            </w:pPr>
            <w:r w:rsidRPr="001927D6">
              <w:rPr>
                <w:color w:val="000000"/>
                <w:szCs w:val="24"/>
              </w:rPr>
              <w:t>5 984,00</w:t>
            </w:r>
          </w:p>
        </w:tc>
      </w:tr>
      <w:tr w:rsidR="00295BCD" w:rsidRPr="001927D6" w14:paraId="39A4F191" w14:textId="77777777" w:rsidTr="00295BCD">
        <w:trPr>
          <w:divId w:val="1316184749"/>
          <w:trHeight w:val="300"/>
        </w:trPr>
        <w:tc>
          <w:tcPr>
            <w:tcW w:w="4632" w:type="dxa"/>
            <w:vAlign w:val="bottom"/>
            <w:hideMark/>
          </w:tcPr>
          <w:p w14:paraId="6A859AD2" w14:textId="77777777" w:rsidR="00295BCD" w:rsidRPr="001927D6" w:rsidRDefault="00295BCD">
            <w:pPr>
              <w:spacing w:after="0" w:line="240" w:lineRule="auto"/>
              <w:textAlignment w:val="baseline"/>
              <w:rPr>
                <w:szCs w:val="24"/>
                <w:lang w:eastAsia="et-EE"/>
              </w:rPr>
            </w:pPr>
            <w:r w:rsidRPr="001927D6">
              <w:rPr>
                <w:szCs w:val="24"/>
                <w:lang w:eastAsia="et-EE"/>
              </w:rPr>
              <w:t>Naha suured kahjustused, kht-ga </w:t>
            </w:r>
          </w:p>
        </w:tc>
        <w:tc>
          <w:tcPr>
            <w:tcW w:w="732" w:type="dxa"/>
            <w:vAlign w:val="center"/>
            <w:hideMark/>
          </w:tcPr>
          <w:p w14:paraId="22916A7E" w14:textId="77777777" w:rsidR="00295BCD" w:rsidRPr="001927D6" w:rsidRDefault="00295BCD">
            <w:pPr>
              <w:spacing w:after="0" w:line="240" w:lineRule="auto"/>
              <w:jc w:val="center"/>
              <w:textAlignment w:val="baseline"/>
              <w:rPr>
                <w:szCs w:val="24"/>
                <w:lang w:eastAsia="et-EE"/>
              </w:rPr>
            </w:pPr>
            <w:r w:rsidRPr="001927D6">
              <w:rPr>
                <w:szCs w:val="24"/>
                <w:lang w:eastAsia="et-EE"/>
              </w:rPr>
              <w:t>272 </w:t>
            </w:r>
          </w:p>
        </w:tc>
        <w:tc>
          <w:tcPr>
            <w:tcW w:w="1243" w:type="dxa"/>
            <w:vAlign w:val="center"/>
          </w:tcPr>
          <w:p w14:paraId="3FAF3572" w14:textId="77777777" w:rsidR="00295BCD" w:rsidRPr="001927D6" w:rsidRDefault="00295BCD">
            <w:pPr>
              <w:spacing w:after="0" w:line="240" w:lineRule="auto"/>
              <w:jc w:val="center"/>
              <w:textAlignment w:val="baseline"/>
              <w:rPr>
                <w:szCs w:val="24"/>
                <w:lang w:eastAsia="et-EE"/>
              </w:rPr>
            </w:pPr>
            <w:r w:rsidRPr="001927D6">
              <w:rPr>
                <w:color w:val="000000"/>
                <w:szCs w:val="24"/>
              </w:rPr>
              <w:t>2 138,53</w:t>
            </w:r>
          </w:p>
        </w:tc>
        <w:tc>
          <w:tcPr>
            <w:tcW w:w="1211" w:type="dxa"/>
            <w:vAlign w:val="center"/>
          </w:tcPr>
          <w:p w14:paraId="3FA22FCE" w14:textId="77777777" w:rsidR="00295BCD" w:rsidRPr="001927D6" w:rsidRDefault="00295BCD">
            <w:pPr>
              <w:spacing w:after="0" w:line="240" w:lineRule="auto"/>
              <w:jc w:val="center"/>
              <w:textAlignment w:val="baseline"/>
              <w:rPr>
                <w:szCs w:val="24"/>
                <w:lang w:eastAsia="et-EE"/>
              </w:rPr>
            </w:pPr>
            <w:r w:rsidRPr="001927D6">
              <w:rPr>
                <w:color w:val="000000"/>
                <w:szCs w:val="24"/>
              </w:rPr>
              <w:t>587,41</w:t>
            </w:r>
          </w:p>
        </w:tc>
        <w:tc>
          <w:tcPr>
            <w:tcW w:w="1238" w:type="dxa"/>
            <w:vAlign w:val="center"/>
          </w:tcPr>
          <w:p w14:paraId="4C10C010" w14:textId="77777777" w:rsidR="00295BCD" w:rsidRPr="001927D6" w:rsidRDefault="00295BCD">
            <w:pPr>
              <w:spacing w:after="0" w:line="240" w:lineRule="auto"/>
              <w:jc w:val="center"/>
              <w:textAlignment w:val="baseline"/>
              <w:rPr>
                <w:szCs w:val="24"/>
                <w:lang w:eastAsia="et-EE"/>
              </w:rPr>
            </w:pPr>
            <w:r w:rsidRPr="001927D6">
              <w:rPr>
                <w:color w:val="000000"/>
                <w:szCs w:val="24"/>
              </w:rPr>
              <w:t>4 250,06</w:t>
            </w:r>
          </w:p>
        </w:tc>
      </w:tr>
      <w:tr w:rsidR="00295BCD" w:rsidRPr="001927D6" w14:paraId="5F307263" w14:textId="77777777" w:rsidTr="00295BCD">
        <w:trPr>
          <w:divId w:val="1316184749"/>
          <w:trHeight w:val="300"/>
        </w:trPr>
        <w:tc>
          <w:tcPr>
            <w:tcW w:w="4632" w:type="dxa"/>
            <w:vAlign w:val="bottom"/>
            <w:hideMark/>
          </w:tcPr>
          <w:p w14:paraId="07D413A8" w14:textId="77777777" w:rsidR="00295BCD" w:rsidRPr="001927D6" w:rsidRDefault="00295BCD">
            <w:pPr>
              <w:spacing w:after="0" w:line="240" w:lineRule="auto"/>
              <w:textAlignment w:val="baseline"/>
              <w:rPr>
                <w:szCs w:val="24"/>
                <w:lang w:eastAsia="et-EE"/>
              </w:rPr>
            </w:pPr>
            <w:r w:rsidRPr="001927D6">
              <w:rPr>
                <w:szCs w:val="24"/>
                <w:lang w:eastAsia="et-EE"/>
              </w:rPr>
              <w:t>Naha suured kahjustused, kht-ta </w:t>
            </w:r>
          </w:p>
        </w:tc>
        <w:tc>
          <w:tcPr>
            <w:tcW w:w="732" w:type="dxa"/>
            <w:vAlign w:val="center"/>
            <w:hideMark/>
          </w:tcPr>
          <w:p w14:paraId="6E02CE8C" w14:textId="77777777" w:rsidR="00295BCD" w:rsidRPr="001927D6" w:rsidRDefault="00295BCD">
            <w:pPr>
              <w:spacing w:after="0" w:line="240" w:lineRule="auto"/>
              <w:jc w:val="center"/>
              <w:textAlignment w:val="baseline"/>
              <w:rPr>
                <w:szCs w:val="24"/>
                <w:lang w:eastAsia="et-EE"/>
              </w:rPr>
            </w:pPr>
            <w:r w:rsidRPr="001927D6">
              <w:rPr>
                <w:szCs w:val="24"/>
                <w:lang w:eastAsia="et-EE"/>
              </w:rPr>
              <w:t>273 </w:t>
            </w:r>
          </w:p>
        </w:tc>
        <w:tc>
          <w:tcPr>
            <w:tcW w:w="1243" w:type="dxa"/>
            <w:vAlign w:val="center"/>
          </w:tcPr>
          <w:p w14:paraId="7CBACBBD" w14:textId="77777777" w:rsidR="00295BCD" w:rsidRPr="001927D6" w:rsidRDefault="00295BCD">
            <w:pPr>
              <w:spacing w:after="0" w:line="240" w:lineRule="auto"/>
              <w:jc w:val="center"/>
              <w:textAlignment w:val="baseline"/>
              <w:rPr>
                <w:szCs w:val="24"/>
                <w:lang w:eastAsia="et-EE"/>
              </w:rPr>
            </w:pPr>
            <w:r w:rsidRPr="001927D6">
              <w:rPr>
                <w:color w:val="000000"/>
                <w:szCs w:val="24"/>
              </w:rPr>
              <w:t>1 701,10</w:t>
            </w:r>
          </w:p>
        </w:tc>
        <w:tc>
          <w:tcPr>
            <w:tcW w:w="1211" w:type="dxa"/>
            <w:vAlign w:val="center"/>
          </w:tcPr>
          <w:p w14:paraId="25270DAB" w14:textId="77777777" w:rsidR="00295BCD" w:rsidRPr="001927D6" w:rsidRDefault="00295BCD">
            <w:pPr>
              <w:spacing w:after="0" w:line="240" w:lineRule="auto"/>
              <w:jc w:val="center"/>
              <w:textAlignment w:val="baseline"/>
              <w:rPr>
                <w:szCs w:val="24"/>
                <w:lang w:eastAsia="et-EE"/>
              </w:rPr>
            </w:pPr>
            <w:r w:rsidRPr="001927D6">
              <w:rPr>
                <w:color w:val="000000"/>
                <w:szCs w:val="24"/>
              </w:rPr>
              <w:t>313,60</w:t>
            </w:r>
          </w:p>
        </w:tc>
        <w:tc>
          <w:tcPr>
            <w:tcW w:w="1238" w:type="dxa"/>
            <w:vAlign w:val="center"/>
          </w:tcPr>
          <w:p w14:paraId="66442446" w14:textId="77777777" w:rsidR="00295BCD" w:rsidRPr="001927D6" w:rsidRDefault="00295BCD">
            <w:pPr>
              <w:spacing w:after="0" w:line="240" w:lineRule="auto"/>
              <w:jc w:val="center"/>
              <w:textAlignment w:val="baseline"/>
              <w:rPr>
                <w:szCs w:val="24"/>
                <w:lang w:eastAsia="et-EE"/>
              </w:rPr>
            </w:pPr>
            <w:r w:rsidRPr="001927D6">
              <w:rPr>
                <w:color w:val="000000"/>
                <w:szCs w:val="24"/>
              </w:rPr>
              <w:t>2 505,08</w:t>
            </w:r>
          </w:p>
        </w:tc>
      </w:tr>
      <w:tr w:rsidR="00295BCD" w:rsidRPr="001927D6" w14:paraId="3241E0A9" w14:textId="77777777" w:rsidTr="00295BCD">
        <w:trPr>
          <w:divId w:val="1316184749"/>
          <w:trHeight w:val="300"/>
        </w:trPr>
        <w:tc>
          <w:tcPr>
            <w:tcW w:w="4632" w:type="dxa"/>
            <w:vAlign w:val="bottom"/>
            <w:hideMark/>
          </w:tcPr>
          <w:p w14:paraId="60A11B73" w14:textId="77777777" w:rsidR="00295BCD" w:rsidRPr="001927D6" w:rsidRDefault="00295BCD">
            <w:pPr>
              <w:spacing w:after="0" w:line="240" w:lineRule="auto"/>
              <w:textAlignment w:val="baseline"/>
              <w:rPr>
                <w:szCs w:val="24"/>
                <w:lang w:eastAsia="et-EE"/>
              </w:rPr>
            </w:pPr>
            <w:r w:rsidRPr="001927D6">
              <w:rPr>
                <w:szCs w:val="24"/>
                <w:lang w:eastAsia="et-EE"/>
              </w:rPr>
              <w:t>Rinnanäärme pahaloomulised kasvajad, kht-ga </w:t>
            </w:r>
          </w:p>
        </w:tc>
        <w:tc>
          <w:tcPr>
            <w:tcW w:w="732" w:type="dxa"/>
            <w:vAlign w:val="center"/>
            <w:hideMark/>
          </w:tcPr>
          <w:p w14:paraId="1FA702AA" w14:textId="77777777" w:rsidR="00295BCD" w:rsidRPr="001927D6" w:rsidRDefault="00295BCD">
            <w:pPr>
              <w:spacing w:after="0" w:line="240" w:lineRule="auto"/>
              <w:jc w:val="center"/>
              <w:textAlignment w:val="baseline"/>
              <w:rPr>
                <w:szCs w:val="24"/>
                <w:lang w:eastAsia="et-EE"/>
              </w:rPr>
            </w:pPr>
            <w:r w:rsidRPr="001927D6">
              <w:rPr>
                <w:szCs w:val="24"/>
                <w:lang w:eastAsia="et-EE"/>
              </w:rPr>
              <w:t>274 </w:t>
            </w:r>
          </w:p>
        </w:tc>
        <w:tc>
          <w:tcPr>
            <w:tcW w:w="1243" w:type="dxa"/>
            <w:vAlign w:val="center"/>
          </w:tcPr>
          <w:p w14:paraId="651DFF35" w14:textId="77777777" w:rsidR="00295BCD" w:rsidRPr="001927D6" w:rsidRDefault="00295BCD">
            <w:pPr>
              <w:spacing w:after="0" w:line="240" w:lineRule="auto"/>
              <w:jc w:val="center"/>
              <w:textAlignment w:val="baseline"/>
              <w:rPr>
                <w:szCs w:val="24"/>
                <w:lang w:eastAsia="et-EE"/>
              </w:rPr>
            </w:pPr>
            <w:r w:rsidRPr="001927D6">
              <w:rPr>
                <w:color w:val="000000"/>
                <w:szCs w:val="24"/>
              </w:rPr>
              <w:t>2 343,98</w:t>
            </w:r>
          </w:p>
        </w:tc>
        <w:tc>
          <w:tcPr>
            <w:tcW w:w="1211" w:type="dxa"/>
            <w:vAlign w:val="center"/>
          </w:tcPr>
          <w:p w14:paraId="4AD49116" w14:textId="77777777" w:rsidR="00295BCD" w:rsidRPr="001927D6" w:rsidRDefault="00295BCD">
            <w:pPr>
              <w:spacing w:after="0" w:line="240" w:lineRule="auto"/>
              <w:jc w:val="center"/>
              <w:textAlignment w:val="baseline"/>
              <w:rPr>
                <w:szCs w:val="24"/>
                <w:lang w:eastAsia="et-EE"/>
              </w:rPr>
            </w:pPr>
            <w:r w:rsidRPr="001927D6">
              <w:rPr>
                <w:color w:val="000000"/>
                <w:szCs w:val="24"/>
              </w:rPr>
              <w:t>789,97</w:t>
            </w:r>
          </w:p>
        </w:tc>
        <w:tc>
          <w:tcPr>
            <w:tcW w:w="1238" w:type="dxa"/>
            <w:vAlign w:val="center"/>
          </w:tcPr>
          <w:p w14:paraId="57CEC3FF" w14:textId="77777777" w:rsidR="00295BCD" w:rsidRPr="001927D6" w:rsidRDefault="00295BCD">
            <w:pPr>
              <w:spacing w:after="0" w:line="240" w:lineRule="auto"/>
              <w:jc w:val="center"/>
              <w:textAlignment w:val="baseline"/>
              <w:rPr>
                <w:szCs w:val="24"/>
                <w:lang w:eastAsia="et-EE"/>
              </w:rPr>
            </w:pPr>
            <w:r w:rsidRPr="001927D6">
              <w:rPr>
                <w:color w:val="000000"/>
                <w:szCs w:val="24"/>
              </w:rPr>
              <w:t>5 554,95</w:t>
            </w:r>
          </w:p>
        </w:tc>
      </w:tr>
      <w:tr w:rsidR="00295BCD" w:rsidRPr="001927D6" w14:paraId="5A57752D" w14:textId="77777777" w:rsidTr="00295BCD">
        <w:trPr>
          <w:divId w:val="1316184749"/>
          <w:trHeight w:val="300"/>
        </w:trPr>
        <w:tc>
          <w:tcPr>
            <w:tcW w:w="4632" w:type="dxa"/>
            <w:vAlign w:val="bottom"/>
            <w:hideMark/>
          </w:tcPr>
          <w:p w14:paraId="245470C3" w14:textId="77777777" w:rsidR="00295BCD" w:rsidRPr="001927D6" w:rsidRDefault="00295BCD">
            <w:pPr>
              <w:spacing w:after="0" w:line="240" w:lineRule="auto"/>
              <w:textAlignment w:val="baseline"/>
              <w:rPr>
                <w:szCs w:val="24"/>
                <w:lang w:eastAsia="et-EE"/>
              </w:rPr>
            </w:pPr>
            <w:r w:rsidRPr="001927D6">
              <w:rPr>
                <w:szCs w:val="24"/>
                <w:lang w:eastAsia="et-EE"/>
              </w:rPr>
              <w:t>Rinnanäärme pahaloomulised kasvajad, kht-ta </w:t>
            </w:r>
          </w:p>
        </w:tc>
        <w:tc>
          <w:tcPr>
            <w:tcW w:w="732" w:type="dxa"/>
            <w:vAlign w:val="center"/>
            <w:hideMark/>
          </w:tcPr>
          <w:p w14:paraId="5676B99D" w14:textId="77777777" w:rsidR="00295BCD" w:rsidRPr="001927D6" w:rsidRDefault="00295BCD">
            <w:pPr>
              <w:spacing w:after="0" w:line="240" w:lineRule="auto"/>
              <w:jc w:val="center"/>
              <w:textAlignment w:val="baseline"/>
              <w:rPr>
                <w:szCs w:val="24"/>
                <w:lang w:eastAsia="et-EE"/>
              </w:rPr>
            </w:pPr>
            <w:r w:rsidRPr="001927D6">
              <w:rPr>
                <w:szCs w:val="24"/>
                <w:lang w:eastAsia="et-EE"/>
              </w:rPr>
              <w:t>275 </w:t>
            </w:r>
          </w:p>
        </w:tc>
        <w:tc>
          <w:tcPr>
            <w:tcW w:w="1243" w:type="dxa"/>
            <w:vAlign w:val="center"/>
          </w:tcPr>
          <w:p w14:paraId="23BB8E89" w14:textId="77777777" w:rsidR="00295BCD" w:rsidRPr="001927D6" w:rsidRDefault="00295BCD">
            <w:pPr>
              <w:spacing w:after="0" w:line="240" w:lineRule="auto"/>
              <w:jc w:val="center"/>
              <w:textAlignment w:val="baseline"/>
              <w:rPr>
                <w:szCs w:val="24"/>
                <w:lang w:eastAsia="et-EE"/>
              </w:rPr>
            </w:pPr>
            <w:r w:rsidRPr="001927D6">
              <w:rPr>
                <w:color w:val="000000"/>
                <w:szCs w:val="24"/>
              </w:rPr>
              <w:t>1 526,12</w:t>
            </w:r>
          </w:p>
        </w:tc>
        <w:tc>
          <w:tcPr>
            <w:tcW w:w="1211" w:type="dxa"/>
            <w:vAlign w:val="center"/>
          </w:tcPr>
          <w:p w14:paraId="6D57D0B8" w14:textId="77777777" w:rsidR="00295BCD" w:rsidRPr="001927D6" w:rsidRDefault="00295BCD">
            <w:pPr>
              <w:spacing w:after="0" w:line="240" w:lineRule="auto"/>
              <w:jc w:val="center"/>
              <w:textAlignment w:val="baseline"/>
              <w:rPr>
                <w:szCs w:val="24"/>
                <w:lang w:eastAsia="et-EE"/>
              </w:rPr>
            </w:pPr>
            <w:r w:rsidRPr="001927D6">
              <w:rPr>
                <w:color w:val="000000"/>
                <w:szCs w:val="24"/>
              </w:rPr>
              <w:t>384,88</w:t>
            </w:r>
          </w:p>
        </w:tc>
        <w:tc>
          <w:tcPr>
            <w:tcW w:w="1238" w:type="dxa"/>
            <w:vAlign w:val="center"/>
          </w:tcPr>
          <w:p w14:paraId="5CEF1076" w14:textId="77777777" w:rsidR="00295BCD" w:rsidRPr="001927D6" w:rsidRDefault="00295BCD">
            <w:pPr>
              <w:spacing w:after="0" w:line="240" w:lineRule="auto"/>
              <w:jc w:val="center"/>
              <w:textAlignment w:val="baseline"/>
              <w:rPr>
                <w:szCs w:val="24"/>
                <w:lang w:eastAsia="et-EE"/>
              </w:rPr>
            </w:pPr>
            <w:r w:rsidRPr="001927D6">
              <w:rPr>
                <w:color w:val="000000"/>
                <w:szCs w:val="24"/>
              </w:rPr>
              <w:t>3 507,70</w:t>
            </w:r>
          </w:p>
        </w:tc>
      </w:tr>
      <w:tr w:rsidR="00295BCD" w:rsidRPr="001927D6" w14:paraId="7B43FC9D" w14:textId="77777777" w:rsidTr="00295BCD">
        <w:trPr>
          <w:divId w:val="1316184749"/>
          <w:trHeight w:val="300"/>
        </w:trPr>
        <w:tc>
          <w:tcPr>
            <w:tcW w:w="4632" w:type="dxa"/>
            <w:vAlign w:val="bottom"/>
            <w:hideMark/>
          </w:tcPr>
          <w:p w14:paraId="68373848" w14:textId="77777777" w:rsidR="00295BCD" w:rsidRPr="001927D6" w:rsidRDefault="00295BCD">
            <w:pPr>
              <w:spacing w:after="0" w:line="240" w:lineRule="auto"/>
              <w:textAlignment w:val="baseline"/>
              <w:rPr>
                <w:szCs w:val="24"/>
                <w:lang w:eastAsia="et-EE"/>
              </w:rPr>
            </w:pPr>
            <w:r w:rsidRPr="001927D6">
              <w:rPr>
                <w:szCs w:val="24"/>
                <w:lang w:eastAsia="et-EE"/>
              </w:rPr>
              <w:t>Rinnanäärme mittepahaloomulised kasvajad </w:t>
            </w:r>
          </w:p>
        </w:tc>
        <w:tc>
          <w:tcPr>
            <w:tcW w:w="732" w:type="dxa"/>
            <w:vAlign w:val="center"/>
            <w:hideMark/>
          </w:tcPr>
          <w:p w14:paraId="29770271" w14:textId="77777777" w:rsidR="00295BCD" w:rsidRPr="001927D6" w:rsidRDefault="00295BCD">
            <w:pPr>
              <w:spacing w:after="0" w:line="240" w:lineRule="auto"/>
              <w:jc w:val="center"/>
              <w:textAlignment w:val="baseline"/>
              <w:rPr>
                <w:szCs w:val="24"/>
                <w:lang w:eastAsia="et-EE"/>
              </w:rPr>
            </w:pPr>
            <w:r w:rsidRPr="001927D6">
              <w:rPr>
                <w:szCs w:val="24"/>
                <w:lang w:eastAsia="et-EE"/>
              </w:rPr>
              <w:t>276 </w:t>
            </w:r>
          </w:p>
        </w:tc>
        <w:tc>
          <w:tcPr>
            <w:tcW w:w="1243" w:type="dxa"/>
            <w:vAlign w:val="center"/>
          </w:tcPr>
          <w:p w14:paraId="55A56C2F" w14:textId="77777777" w:rsidR="00295BCD" w:rsidRPr="001927D6" w:rsidRDefault="00295BCD">
            <w:pPr>
              <w:spacing w:after="0" w:line="240" w:lineRule="auto"/>
              <w:jc w:val="center"/>
              <w:textAlignment w:val="baseline"/>
              <w:rPr>
                <w:szCs w:val="24"/>
                <w:lang w:eastAsia="et-EE"/>
              </w:rPr>
            </w:pPr>
            <w:r w:rsidRPr="001927D6">
              <w:rPr>
                <w:color w:val="000000"/>
                <w:szCs w:val="24"/>
              </w:rPr>
              <w:t>869,16</w:t>
            </w:r>
          </w:p>
        </w:tc>
        <w:tc>
          <w:tcPr>
            <w:tcW w:w="1211" w:type="dxa"/>
            <w:vAlign w:val="center"/>
          </w:tcPr>
          <w:p w14:paraId="46343DB0" w14:textId="77777777" w:rsidR="00295BCD" w:rsidRPr="001927D6" w:rsidRDefault="00295BCD">
            <w:pPr>
              <w:spacing w:after="0" w:line="240" w:lineRule="auto"/>
              <w:jc w:val="center"/>
              <w:textAlignment w:val="baseline"/>
              <w:rPr>
                <w:szCs w:val="24"/>
                <w:lang w:eastAsia="et-EE"/>
              </w:rPr>
            </w:pPr>
            <w:r w:rsidRPr="001927D6">
              <w:rPr>
                <w:color w:val="000000"/>
                <w:szCs w:val="24"/>
              </w:rPr>
              <w:t>268,02</w:t>
            </w:r>
          </w:p>
        </w:tc>
        <w:tc>
          <w:tcPr>
            <w:tcW w:w="1238" w:type="dxa"/>
            <w:vAlign w:val="center"/>
          </w:tcPr>
          <w:p w14:paraId="5D2F5104" w14:textId="77777777" w:rsidR="00295BCD" w:rsidRPr="001927D6" w:rsidRDefault="00295BCD">
            <w:pPr>
              <w:spacing w:after="0" w:line="240" w:lineRule="auto"/>
              <w:jc w:val="center"/>
              <w:textAlignment w:val="baseline"/>
              <w:rPr>
                <w:szCs w:val="24"/>
                <w:lang w:eastAsia="et-EE"/>
              </w:rPr>
            </w:pPr>
            <w:r w:rsidRPr="001927D6">
              <w:rPr>
                <w:color w:val="000000"/>
                <w:szCs w:val="24"/>
              </w:rPr>
              <w:t>2 284,78</w:t>
            </w:r>
          </w:p>
        </w:tc>
      </w:tr>
      <w:tr w:rsidR="00295BCD" w:rsidRPr="001927D6" w14:paraId="6697EA28" w14:textId="77777777" w:rsidTr="00295BCD">
        <w:trPr>
          <w:divId w:val="1316184749"/>
          <w:trHeight w:val="300"/>
        </w:trPr>
        <w:tc>
          <w:tcPr>
            <w:tcW w:w="4632" w:type="dxa"/>
            <w:vAlign w:val="bottom"/>
            <w:hideMark/>
          </w:tcPr>
          <w:p w14:paraId="7A3EFE08" w14:textId="77777777" w:rsidR="00295BCD" w:rsidRPr="001927D6" w:rsidRDefault="00295BCD">
            <w:pPr>
              <w:spacing w:after="0" w:line="240" w:lineRule="auto"/>
              <w:textAlignment w:val="baseline"/>
              <w:rPr>
                <w:szCs w:val="24"/>
                <w:lang w:eastAsia="et-EE"/>
              </w:rPr>
            </w:pPr>
            <w:r w:rsidRPr="001927D6">
              <w:rPr>
                <w:szCs w:val="24"/>
                <w:lang w:eastAsia="et-EE"/>
              </w:rPr>
              <w:t>Tselluliit, vanus &gt; 17, kht-ga </w:t>
            </w:r>
          </w:p>
        </w:tc>
        <w:tc>
          <w:tcPr>
            <w:tcW w:w="732" w:type="dxa"/>
            <w:vAlign w:val="center"/>
            <w:hideMark/>
          </w:tcPr>
          <w:p w14:paraId="5DA4616E" w14:textId="77777777" w:rsidR="00295BCD" w:rsidRPr="001927D6" w:rsidRDefault="00295BCD">
            <w:pPr>
              <w:spacing w:after="0" w:line="240" w:lineRule="auto"/>
              <w:jc w:val="center"/>
              <w:textAlignment w:val="baseline"/>
              <w:rPr>
                <w:szCs w:val="24"/>
                <w:lang w:eastAsia="et-EE"/>
              </w:rPr>
            </w:pPr>
            <w:r w:rsidRPr="001927D6">
              <w:rPr>
                <w:szCs w:val="24"/>
                <w:lang w:eastAsia="et-EE"/>
              </w:rPr>
              <w:t>277 </w:t>
            </w:r>
          </w:p>
        </w:tc>
        <w:tc>
          <w:tcPr>
            <w:tcW w:w="1243" w:type="dxa"/>
            <w:vAlign w:val="center"/>
          </w:tcPr>
          <w:p w14:paraId="063AA1CA" w14:textId="77777777" w:rsidR="00295BCD" w:rsidRPr="001927D6" w:rsidRDefault="00295BCD">
            <w:pPr>
              <w:spacing w:after="0" w:line="240" w:lineRule="auto"/>
              <w:jc w:val="center"/>
              <w:textAlignment w:val="baseline"/>
              <w:rPr>
                <w:szCs w:val="24"/>
                <w:lang w:eastAsia="et-EE"/>
              </w:rPr>
            </w:pPr>
            <w:r w:rsidRPr="001927D6">
              <w:rPr>
                <w:color w:val="000000"/>
                <w:szCs w:val="24"/>
              </w:rPr>
              <w:t>3 241,45</w:t>
            </w:r>
          </w:p>
        </w:tc>
        <w:tc>
          <w:tcPr>
            <w:tcW w:w="1211" w:type="dxa"/>
            <w:vAlign w:val="center"/>
          </w:tcPr>
          <w:p w14:paraId="125D7A48" w14:textId="77777777" w:rsidR="00295BCD" w:rsidRPr="001927D6" w:rsidRDefault="00295BCD">
            <w:pPr>
              <w:spacing w:after="0" w:line="240" w:lineRule="auto"/>
              <w:jc w:val="center"/>
              <w:textAlignment w:val="baseline"/>
              <w:rPr>
                <w:szCs w:val="24"/>
                <w:lang w:eastAsia="et-EE"/>
              </w:rPr>
            </w:pPr>
            <w:r w:rsidRPr="001927D6">
              <w:rPr>
                <w:color w:val="000000"/>
                <w:szCs w:val="24"/>
              </w:rPr>
              <w:t>1 137,47</w:t>
            </w:r>
          </w:p>
        </w:tc>
        <w:tc>
          <w:tcPr>
            <w:tcW w:w="1238" w:type="dxa"/>
            <w:vAlign w:val="center"/>
          </w:tcPr>
          <w:p w14:paraId="2728E2F7" w14:textId="77777777" w:rsidR="00295BCD" w:rsidRPr="001927D6" w:rsidRDefault="00295BCD">
            <w:pPr>
              <w:spacing w:after="0" w:line="240" w:lineRule="auto"/>
              <w:jc w:val="center"/>
              <w:textAlignment w:val="baseline"/>
              <w:rPr>
                <w:szCs w:val="24"/>
                <w:lang w:eastAsia="et-EE"/>
              </w:rPr>
            </w:pPr>
            <w:r w:rsidRPr="001927D6">
              <w:rPr>
                <w:color w:val="000000"/>
                <w:szCs w:val="24"/>
              </w:rPr>
              <w:t>7 523,00</w:t>
            </w:r>
          </w:p>
        </w:tc>
      </w:tr>
      <w:tr w:rsidR="00295BCD" w:rsidRPr="001927D6" w14:paraId="17C11A44" w14:textId="77777777" w:rsidTr="00295BCD">
        <w:trPr>
          <w:divId w:val="1316184749"/>
          <w:trHeight w:val="300"/>
        </w:trPr>
        <w:tc>
          <w:tcPr>
            <w:tcW w:w="4632" w:type="dxa"/>
            <w:vAlign w:val="bottom"/>
            <w:hideMark/>
          </w:tcPr>
          <w:p w14:paraId="6CFEE4DC" w14:textId="77777777" w:rsidR="00295BCD" w:rsidRPr="001927D6" w:rsidRDefault="00295BCD">
            <w:pPr>
              <w:spacing w:after="0" w:line="240" w:lineRule="auto"/>
              <w:textAlignment w:val="baseline"/>
              <w:rPr>
                <w:szCs w:val="24"/>
                <w:lang w:eastAsia="et-EE"/>
              </w:rPr>
            </w:pPr>
            <w:r w:rsidRPr="001927D6">
              <w:rPr>
                <w:szCs w:val="24"/>
                <w:lang w:eastAsia="et-EE"/>
              </w:rPr>
              <w:t>Tselluliit, vanus &gt; 17, kht-ta </w:t>
            </w:r>
          </w:p>
        </w:tc>
        <w:tc>
          <w:tcPr>
            <w:tcW w:w="732" w:type="dxa"/>
            <w:vAlign w:val="center"/>
            <w:hideMark/>
          </w:tcPr>
          <w:p w14:paraId="099EAE15" w14:textId="77777777" w:rsidR="00295BCD" w:rsidRPr="001927D6" w:rsidRDefault="00295BCD">
            <w:pPr>
              <w:spacing w:after="0" w:line="240" w:lineRule="auto"/>
              <w:jc w:val="center"/>
              <w:textAlignment w:val="baseline"/>
              <w:rPr>
                <w:szCs w:val="24"/>
                <w:lang w:eastAsia="et-EE"/>
              </w:rPr>
            </w:pPr>
            <w:r w:rsidRPr="001927D6">
              <w:rPr>
                <w:szCs w:val="24"/>
                <w:lang w:eastAsia="et-EE"/>
              </w:rPr>
              <w:t>278 </w:t>
            </w:r>
          </w:p>
        </w:tc>
        <w:tc>
          <w:tcPr>
            <w:tcW w:w="1243" w:type="dxa"/>
            <w:vAlign w:val="center"/>
          </w:tcPr>
          <w:p w14:paraId="27890D4F" w14:textId="77777777" w:rsidR="00295BCD" w:rsidRPr="001927D6" w:rsidRDefault="00295BCD">
            <w:pPr>
              <w:spacing w:after="0" w:line="240" w:lineRule="auto"/>
              <w:jc w:val="center"/>
              <w:textAlignment w:val="baseline"/>
              <w:rPr>
                <w:szCs w:val="24"/>
                <w:lang w:eastAsia="et-EE"/>
              </w:rPr>
            </w:pPr>
            <w:r w:rsidRPr="001927D6">
              <w:rPr>
                <w:color w:val="000000"/>
                <w:szCs w:val="24"/>
              </w:rPr>
              <w:t>1 616,07</w:t>
            </w:r>
          </w:p>
        </w:tc>
        <w:tc>
          <w:tcPr>
            <w:tcW w:w="1211" w:type="dxa"/>
            <w:vAlign w:val="center"/>
          </w:tcPr>
          <w:p w14:paraId="4FD05395" w14:textId="77777777" w:rsidR="00295BCD" w:rsidRPr="001927D6" w:rsidRDefault="00295BCD">
            <w:pPr>
              <w:spacing w:after="0" w:line="240" w:lineRule="auto"/>
              <w:jc w:val="center"/>
              <w:textAlignment w:val="baseline"/>
              <w:rPr>
                <w:szCs w:val="24"/>
                <w:lang w:eastAsia="et-EE"/>
              </w:rPr>
            </w:pPr>
            <w:r w:rsidRPr="001927D6">
              <w:rPr>
                <w:color w:val="000000"/>
                <w:szCs w:val="24"/>
              </w:rPr>
              <w:t>544,36</w:t>
            </w:r>
          </w:p>
        </w:tc>
        <w:tc>
          <w:tcPr>
            <w:tcW w:w="1238" w:type="dxa"/>
            <w:vAlign w:val="center"/>
          </w:tcPr>
          <w:p w14:paraId="06236AB3" w14:textId="77777777" w:rsidR="00295BCD" w:rsidRPr="001927D6" w:rsidRDefault="00295BCD">
            <w:pPr>
              <w:spacing w:after="0" w:line="240" w:lineRule="auto"/>
              <w:jc w:val="center"/>
              <w:textAlignment w:val="baseline"/>
              <w:rPr>
                <w:szCs w:val="24"/>
                <w:lang w:eastAsia="et-EE"/>
              </w:rPr>
            </w:pPr>
            <w:r w:rsidRPr="001927D6">
              <w:rPr>
                <w:color w:val="000000"/>
                <w:szCs w:val="24"/>
              </w:rPr>
              <w:t>2 780,56</w:t>
            </w:r>
          </w:p>
        </w:tc>
      </w:tr>
      <w:tr w:rsidR="00295BCD" w:rsidRPr="001927D6" w14:paraId="6C16FB56" w14:textId="77777777" w:rsidTr="00295BCD">
        <w:trPr>
          <w:divId w:val="1316184749"/>
          <w:trHeight w:val="300"/>
        </w:trPr>
        <w:tc>
          <w:tcPr>
            <w:tcW w:w="4632" w:type="dxa"/>
            <w:vAlign w:val="bottom"/>
            <w:hideMark/>
          </w:tcPr>
          <w:p w14:paraId="66194FE2" w14:textId="77777777" w:rsidR="00295BCD" w:rsidRPr="001927D6" w:rsidRDefault="00295BCD">
            <w:pPr>
              <w:spacing w:after="0" w:line="240" w:lineRule="auto"/>
              <w:textAlignment w:val="baseline"/>
              <w:rPr>
                <w:szCs w:val="24"/>
                <w:lang w:eastAsia="et-EE"/>
              </w:rPr>
            </w:pPr>
            <w:r w:rsidRPr="001927D6">
              <w:rPr>
                <w:szCs w:val="24"/>
                <w:lang w:eastAsia="et-EE"/>
              </w:rPr>
              <w:t>Tselluliit, vanus 0–17 </w:t>
            </w:r>
          </w:p>
        </w:tc>
        <w:tc>
          <w:tcPr>
            <w:tcW w:w="732" w:type="dxa"/>
            <w:vAlign w:val="center"/>
            <w:hideMark/>
          </w:tcPr>
          <w:p w14:paraId="741A7F3E" w14:textId="77777777" w:rsidR="00295BCD" w:rsidRPr="001927D6" w:rsidRDefault="00295BCD">
            <w:pPr>
              <w:spacing w:after="0" w:line="240" w:lineRule="auto"/>
              <w:jc w:val="center"/>
              <w:textAlignment w:val="baseline"/>
              <w:rPr>
                <w:szCs w:val="24"/>
                <w:lang w:eastAsia="et-EE"/>
              </w:rPr>
            </w:pPr>
            <w:r w:rsidRPr="001927D6">
              <w:rPr>
                <w:szCs w:val="24"/>
                <w:lang w:eastAsia="et-EE"/>
              </w:rPr>
              <w:t>279 </w:t>
            </w:r>
          </w:p>
        </w:tc>
        <w:tc>
          <w:tcPr>
            <w:tcW w:w="1243" w:type="dxa"/>
            <w:vAlign w:val="center"/>
          </w:tcPr>
          <w:p w14:paraId="37906E2D" w14:textId="77777777" w:rsidR="00295BCD" w:rsidRPr="001927D6" w:rsidRDefault="00295BCD">
            <w:pPr>
              <w:spacing w:after="0" w:line="240" w:lineRule="auto"/>
              <w:jc w:val="center"/>
              <w:textAlignment w:val="baseline"/>
              <w:rPr>
                <w:szCs w:val="24"/>
                <w:lang w:eastAsia="et-EE"/>
              </w:rPr>
            </w:pPr>
            <w:r w:rsidRPr="001927D6">
              <w:rPr>
                <w:color w:val="000000"/>
                <w:szCs w:val="24"/>
              </w:rPr>
              <w:t>1 012,85</w:t>
            </w:r>
          </w:p>
        </w:tc>
        <w:tc>
          <w:tcPr>
            <w:tcW w:w="1211" w:type="dxa"/>
            <w:vAlign w:val="center"/>
          </w:tcPr>
          <w:p w14:paraId="3ADF898B" w14:textId="77777777" w:rsidR="00295BCD" w:rsidRPr="001927D6" w:rsidRDefault="00295BCD">
            <w:pPr>
              <w:spacing w:after="0" w:line="240" w:lineRule="auto"/>
              <w:jc w:val="center"/>
              <w:textAlignment w:val="baseline"/>
              <w:rPr>
                <w:szCs w:val="24"/>
                <w:lang w:eastAsia="et-EE"/>
              </w:rPr>
            </w:pPr>
            <w:r w:rsidRPr="001927D6">
              <w:rPr>
                <w:color w:val="000000"/>
                <w:szCs w:val="24"/>
              </w:rPr>
              <w:t>396,84</w:t>
            </w:r>
          </w:p>
        </w:tc>
        <w:tc>
          <w:tcPr>
            <w:tcW w:w="1238" w:type="dxa"/>
            <w:vAlign w:val="center"/>
          </w:tcPr>
          <w:p w14:paraId="2CAC6121" w14:textId="77777777" w:rsidR="00295BCD" w:rsidRPr="001927D6" w:rsidRDefault="00295BCD">
            <w:pPr>
              <w:spacing w:after="0" w:line="240" w:lineRule="auto"/>
              <w:jc w:val="center"/>
              <w:textAlignment w:val="baseline"/>
              <w:rPr>
                <w:szCs w:val="24"/>
                <w:lang w:eastAsia="et-EE"/>
              </w:rPr>
            </w:pPr>
            <w:r w:rsidRPr="001927D6">
              <w:rPr>
                <w:color w:val="000000"/>
                <w:szCs w:val="24"/>
              </w:rPr>
              <w:t>2 061,08</w:t>
            </w:r>
          </w:p>
        </w:tc>
      </w:tr>
      <w:tr w:rsidR="00295BCD" w:rsidRPr="001927D6" w14:paraId="7A0DB7E2" w14:textId="77777777" w:rsidTr="00295BCD">
        <w:trPr>
          <w:divId w:val="1316184749"/>
          <w:trHeight w:val="300"/>
        </w:trPr>
        <w:tc>
          <w:tcPr>
            <w:tcW w:w="4632" w:type="dxa"/>
            <w:vAlign w:val="bottom"/>
            <w:hideMark/>
          </w:tcPr>
          <w:p w14:paraId="48B515F7"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Naha ja nahaaluskoe trauma, vanus &gt; 17, kht-ga </w:t>
            </w:r>
          </w:p>
        </w:tc>
        <w:tc>
          <w:tcPr>
            <w:tcW w:w="732" w:type="dxa"/>
            <w:vAlign w:val="center"/>
            <w:hideMark/>
          </w:tcPr>
          <w:p w14:paraId="66188B28" w14:textId="77777777" w:rsidR="00295BCD" w:rsidRPr="001927D6" w:rsidRDefault="00295BCD">
            <w:pPr>
              <w:spacing w:after="0" w:line="240" w:lineRule="auto"/>
              <w:jc w:val="center"/>
              <w:textAlignment w:val="baseline"/>
              <w:rPr>
                <w:szCs w:val="24"/>
                <w:lang w:eastAsia="et-EE"/>
              </w:rPr>
            </w:pPr>
            <w:r w:rsidRPr="001927D6">
              <w:rPr>
                <w:szCs w:val="24"/>
                <w:lang w:eastAsia="et-EE"/>
              </w:rPr>
              <w:t>280 </w:t>
            </w:r>
          </w:p>
        </w:tc>
        <w:tc>
          <w:tcPr>
            <w:tcW w:w="1243" w:type="dxa"/>
            <w:vAlign w:val="center"/>
          </w:tcPr>
          <w:p w14:paraId="569F62FC" w14:textId="77777777" w:rsidR="00295BCD" w:rsidRPr="001927D6" w:rsidRDefault="00295BCD">
            <w:pPr>
              <w:spacing w:after="0" w:line="240" w:lineRule="auto"/>
              <w:jc w:val="center"/>
              <w:textAlignment w:val="baseline"/>
              <w:rPr>
                <w:szCs w:val="24"/>
                <w:lang w:eastAsia="et-EE"/>
              </w:rPr>
            </w:pPr>
            <w:r w:rsidRPr="001927D6">
              <w:rPr>
                <w:color w:val="000000"/>
                <w:szCs w:val="24"/>
              </w:rPr>
              <w:t>1 648,52</w:t>
            </w:r>
          </w:p>
        </w:tc>
        <w:tc>
          <w:tcPr>
            <w:tcW w:w="1211" w:type="dxa"/>
            <w:vAlign w:val="center"/>
          </w:tcPr>
          <w:p w14:paraId="3BA53523" w14:textId="77777777" w:rsidR="00295BCD" w:rsidRPr="001927D6" w:rsidRDefault="00295BCD">
            <w:pPr>
              <w:spacing w:after="0" w:line="240" w:lineRule="auto"/>
              <w:jc w:val="center"/>
              <w:textAlignment w:val="baseline"/>
              <w:rPr>
                <w:szCs w:val="24"/>
                <w:lang w:eastAsia="et-EE"/>
              </w:rPr>
            </w:pPr>
            <w:r w:rsidRPr="001927D6">
              <w:rPr>
                <w:color w:val="000000"/>
                <w:szCs w:val="24"/>
              </w:rPr>
              <w:t>581,84</w:t>
            </w:r>
          </w:p>
        </w:tc>
        <w:tc>
          <w:tcPr>
            <w:tcW w:w="1238" w:type="dxa"/>
            <w:vAlign w:val="center"/>
          </w:tcPr>
          <w:p w14:paraId="4BF46684" w14:textId="77777777" w:rsidR="00295BCD" w:rsidRPr="001927D6" w:rsidRDefault="00295BCD">
            <w:pPr>
              <w:spacing w:after="0" w:line="240" w:lineRule="auto"/>
              <w:jc w:val="center"/>
              <w:textAlignment w:val="baseline"/>
              <w:rPr>
                <w:szCs w:val="24"/>
                <w:lang w:eastAsia="et-EE"/>
              </w:rPr>
            </w:pPr>
            <w:r w:rsidRPr="001927D6">
              <w:rPr>
                <w:color w:val="000000"/>
                <w:szCs w:val="24"/>
              </w:rPr>
              <w:t>4 616,54</w:t>
            </w:r>
          </w:p>
        </w:tc>
      </w:tr>
      <w:tr w:rsidR="00295BCD" w:rsidRPr="001927D6" w14:paraId="4BC432B1" w14:textId="77777777" w:rsidTr="00295BCD">
        <w:trPr>
          <w:divId w:val="1316184749"/>
          <w:trHeight w:val="300"/>
        </w:trPr>
        <w:tc>
          <w:tcPr>
            <w:tcW w:w="4632" w:type="dxa"/>
            <w:vAlign w:val="bottom"/>
            <w:hideMark/>
          </w:tcPr>
          <w:p w14:paraId="7B544273" w14:textId="77777777" w:rsidR="00295BCD" w:rsidRPr="001927D6" w:rsidRDefault="00295BCD">
            <w:pPr>
              <w:spacing w:after="0" w:line="240" w:lineRule="auto"/>
              <w:textAlignment w:val="baseline"/>
              <w:rPr>
                <w:szCs w:val="24"/>
                <w:lang w:eastAsia="et-EE"/>
              </w:rPr>
            </w:pPr>
            <w:r w:rsidRPr="001927D6">
              <w:rPr>
                <w:szCs w:val="24"/>
                <w:lang w:eastAsia="et-EE"/>
              </w:rPr>
              <w:t>Naha ja nahaaluskoe trauma, vanus &gt; 17, kht-ta </w:t>
            </w:r>
          </w:p>
        </w:tc>
        <w:tc>
          <w:tcPr>
            <w:tcW w:w="732" w:type="dxa"/>
            <w:vAlign w:val="center"/>
            <w:hideMark/>
          </w:tcPr>
          <w:p w14:paraId="6A861E9A" w14:textId="77777777" w:rsidR="00295BCD" w:rsidRPr="001927D6" w:rsidRDefault="00295BCD">
            <w:pPr>
              <w:spacing w:after="0" w:line="240" w:lineRule="auto"/>
              <w:jc w:val="center"/>
              <w:textAlignment w:val="baseline"/>
              <w:rPr>
                <w:szCs w:val="24"/>
                <w:lang w:eastAsia="et-EE"/>
              </w:rPr>
            </w:pPr>
            <w:r w:rsidRPr="001927D6">
              <w:rPr>
                <w:szCs w:val="24"/>
                <w:lang w:eastAsia="et-EE"/>
              </w:rPr>
              <w:t>281 </w:t>
            </w:r>
          </w:p>
        </w:tc>
        <w:tc>
          <w:tcPr>
            <w:tcW w:w="1243" w:type="dxa"/>
            <w:vAlign w:val="center"/>
          </w:tcPr>
          <w:p w14:paraId="3650D848" w14:textId="77777777" w:rsidR="00295BCD" w:rsidRPr="001927D6" w:rsidRDefault="00295BCD">
            <w:pPr>
              <w:spacing w:after="0" w:line="240" w:lineRule="auto"/>
              <w:jc w:val="center"/>
              <w:textAlignment w:val="baseline"/>
              <w:rPr>
                <w:szCs w:val="24"/>
                <w:lang w:eastAsia="et-EE"/>
              </w:rPr>
            </w:pPr>
            <w:r w:rsidRPr="001927D6">
              <w:rPr>
                <w:color w:val="000000"/>
                <w:szCs w:val="24"/>
              </w:rPr>
              <w:t>1 167,72</w:t>
            </w:r>
          </w:p>
        </w:tc>
        <w:tc>
          <w:tcPr>
            <w:tcW w:w="1211" w:type="dxa"/>
            <w:vAlign w:val="center"/>
          </w:tcPr>
          <w:p w14:paraId="56860FEE" w14:textId="77777777" w:rsidR="00295BCD" w:rsidRPr="001927D6" w:rsidRDefault="00295BCD">
            <w:pPr>
              <w:spacing w:after="0" w:line="240" w:lineRule="auto"/>
              <w:jc w:val="center"/>
              <w:textAlignment w:val="baseline"/>
              <w:rPr>
                <w:szCs w:val="24"/>
                <w:lang w:eastAsia="et-EE"/>
              </w:rPr>
            </w:pPr>
            <w:r w:rsidRPr="001927D6">
              <w:rPr>
                <w:color w:val="000000"/>
                <w:szCs w:val="24"/>
              </w:rPr>
              <w:t>326,53</w:t>
            </w:r>
          </w:p>
        </w:tc>
        <w:tc>
          <w:tcPr>
            <w:tcW w:w="1238" w:type="dxa"/>
            <w:vAlign w:val="center"/>
          </w:tcPr>
          <w:p w14:paraId="701E0C21" w14:textId="77777777" w:rsidR="00295BCD" w:rsidRPr="001927D6" w:rsidRDefault="00295BCD">
            <w:pPr>
              <w:spacing w:after="0" w:line="240" w:lineRule="auto"/>
              <w:jc w:val="center"/>
              <w:textAlignment w:val="baseline"/>
              <w:rPr>
                <w:szCs w:val="24"/>
                <w:lang w:eastAsia="et-EE"/>
              </w:rPr>
            </w:pPr>
            <w:r w:rsidRPr="001927D6">
              <w:rPr>
                <w:color w:val="000000"/>
                <w:szCs w:val="24"/>
              </w:rPr>
              <w:t>2 657,62</w:t>
            </w:r>
          </w:p>
        </w:tc>
      </w:tr>
      <w:tr w:rsidR="00295BCD" w:rsidRPr="001927D6" w14:paraId="38826C3D" w14:textId="77777777" w:rsidTr="00295BCD">
        <w:trPr>
          <w:divId w:val="1316184749"/>
          <w:trHeight w:val="300"/>
        </w:trPr>
        <w:tc>
          <w:tcPr>
            <w:tcW w:w="4632" w:type="dxa"/>
            <w:vAlign w:val="bottom"/>
            <w:hideMark/>
          </w:tcPr>
          <w:p w14:paraId="40D98EEF" w14:textId="77777777" w:rsidR="00295BCD" w:rsidRPr="001927D6" w:rsidRDefault="00295BCD">
            <w:pPr>
              <w:spacing w:after="0" w:line="240" w:lineRule="auto"/>
              <w:textAlignment w:val="baseline"/>
              <w:rPr>
                <w:szCs w:val="24"/>
                <w:lang w:eastAsia="et-EE"/>
              </w:rPr>
            </w:pPr>
            <w:r w:rsidRPr="001927D6">
              <w:rPr>
                <w:szCs w:val="24"/>
                <w:lang w:eastAsia="et-EE"/>
              </w:rPr>
              <w:t>Naha ja nahaaluskoe trauma, vanus 0–17 </w:t>
            </w:r>
          </w:p>
        </w:tc>
        <w:tc>
          <w:tcPr>
            <w:tcW w:w="732" w:type="dxa"/>
            <w:vAlign w:val="center"/>
            <w:hideMark/>
          </w:tcPr>
          <w:p w14:paraId="754D5078" w14:textId="77777777" w:rsidR="00295BCD" w:rsidRPr="001927D6" w:rsidRDefault="00295BCD">
            <w:pPr>
              <w:spacing w:after="0" w:line="240" w:lineRule="auto"/>
              <w:jc w:val="center"/>
              <w:textAlignment w:val="baseline"/>
              <w:rPr>
                <w:szCs w:val="24"/>
                <w:lang w:eastAsia="et-EE"/>
              </w:rPr>
            </w:pPr>
            <w:r w:rsidRPr="001927D6">
              <w:rPr>
                <w:szCs w:val="24"/>
                <w:lang w:eastAsia="et-EE"/>
              </w:rPr>
              <w:t>282 </w:t>
            </w:r>
          </w:p>
        </w:tc>
        <w:tc>
          <w:tcPr>
            <w:tcW w:w="1243" w:type="dxa"/>
            <w:vAlign w:val="center"/>
          </w:tcPr>
          <w:p w14:paraId="32151025" w14:textId="77777777" w:rsidR="00295BCD" w:rsidRPr="001927D6" w:rsidRDefault="00295BCD">
            <w:pPr>
              <w:spacing w:after="0" w:line="240" w:lineRule="auto"/>
              <w:jc w:val="center"/>
              <w:textAlignment w:val="baseline"/>
              <w:rPr>
                <w:szCs w:val="24"/>
                <w:lang w:eastAsia="et-EE"/>
              </w:rPr>
            </w:pPr>
            <w:r w:rsidRPr="001927D6">
              <w:rPr>
                <w:color w:val="000000"/>
                <w:szCs w:val="24"/>
              </w:rPr>
              <w:t>383,18</w:t>
            </w:r>
          </w:p>
        </w:tc>
        <w:tc>
          <w:tcPr>
            <w:tcW w:w="1211" w:type="dxa"/>
            <w:vAlign w:val="center"/>
          </w:tcPr>
          <w:p w14:paraId="6D191B5A" w14:textId="77777777" w:rsidR="00295BCD" w:rsidRPr="001927D6" w:rsidRDefault="00295BCD">
            <w:pPr>
              <w:spacing w:after="0" w:line="240" w:lineRule="auto"/>
              <w:jc w:val="center"/>
              <w:textAlignment w:val="baseline"/>
              <w:rPr>
                <w:szCs w:val="24"/>
                <w:lang w:eastAsia="et-EE"/>
              </w:rPr>
            </w:pPr>
            <w:r w:rsidRPr="001927D6">
              <w:rPr>
                <w:color w:val="000000"/>
                <w:szCs w:val="24"/>
              </w:rPr>
              <w:t>244,18</w:t>
            </w:r>
          </w:p>
        </w:tc>
        <w:tc>
          <w:tcPr>
            <w:tcW w:w="1238" w:type="dxa"/>
            <w:vAlign w:val="center"/>
          </w:tcPr>
          <w:p w14:paraId="773B4992" w14:textId="77777777" w:rsidR="00295BCD" w:rsidRPr="001927D6" w:rsidRDefault="00295BCD">
            <w:pPr>
              <w:spacing w:after="0" w:line="240" w:lineRule="auto"/>
              <w:jc w:val="center"/>
              <w:textAlignment w:val="baseline"/>
              <w:rPr>
                <w:szCs w:val="24"/>
                <w:lang w:eastAsia="et-EE"/>
              </w:rPr>
            </w:pPr>
            <w:r w:rsidRPr="001927D6">
              <w:rPr>
                <w:color w:val="000000"/>
                <w:szCs w:val="24"/>
              </w:rPr>
              <w:t>870,53</w:t>
            </w:r>
          </w:p>
        </w:tc>
      </w:tr>
      <w:tr w:rsidR="00295BCD" w:rsidRPr="001927D6" w14:paraId="5D9B9DBB" w14:textId="77777777" w:rsidTr="00295BCD">
        <w:trPr>
          <w:divId w:val="1316184749"/>
          <w:trHeight w:val="300"/>
        </w:trPr>
        <w:tc>
          <w:tcPr>
            <w:tcW w:w="4632" w:type="dxa"/>
            <w:vAlign w:val="bottom"/>
            <w:hideMark/>
          </w:tcPr>
          <w:p w14:paraId="7E7F1FEC" w14:textId="77777777" w:rsidR="00295BCD" w:rsidRPr="001927D6" w:rsidRDefault="00295BCD">
            <w:pPr>
              <w:spacing w:after="0" w:line="240" w:lineRule="auto"/>
              <w:textAlignment w:val="baseline"/>
              <w:rPr>
                <w:szCs w:val="24"/>
                <w:lang w:eastAsia="et-EE"/>
              </w:rPr>
            </w:pPr>
            <w:r w:rsidRPr="001927D6">
              <w:rPr>
                <w:szCs w:val="24"/>
                <w:lang w:eastAsia="et-EE"/>
              </w:rPr>
              <w:t>Naha väikesed kahjustused, kht-ga </w:t>
            </w:r>
          </w:p>
        </w:tc>
        <w:tc>
          <w:tcPr>
            <w:tcW w:w="732" w:type="dxa"/>
            <w:vAlign w:val="center"/>
            <w:hideMark/>
          </w:tcPr>
          <w:p w14:paraId="6DF890AD" w14:textId="77777777" w:rsidR="00295BCD" w:rsidRPr="001927D6" w:rsidRDefault="00295BCD">
            <w:pPr>
              <w:spacing w:after="0" w:line="240" w:lineRule="auto"/>
              <w:jc w:val="center"/>
              <w:textAlignment w:val="baseline"/>
              <w:rPr>
                <w:szCs w:val="24"/>
                <w:lang w:eastAsia="et-EE"/>
              </w:rPr>
            </w:pPr>
            <w:r w:rsidRPr="001927D6">
              <w:rPr>
                <w:szCs w:val="24"/>
                <w:lang w:eastAsia="et-EE"/>
              </w:rPr>
              <w:t>283 </w:t>
            </w:r>
          </w:p>
        </w:tc>
        <w:tc>
          <w:tcPr>
            <w:tcW w:w="1243" w:type="dxa"/>
            <w:vAlign w:val="center"/>
          </w:tcPr>
          <w:p w14:paraId="73D32512" w14:textId="77777777" w:rsidR="00295BCD" w:rsidRPr="001927D6" w:rsidRDefault="00295BCD">
            <w:pPr>
              <w:spacing w:after="0" w:line="240" w:lineRule="auto"/>
              <w:jc w:val="center"/>
              <w:textAlignment w:val="baseline"/>
              <w:rPr>
                <w:szCs w:val="24"/>
                <w:lang w:eastAsia="et-EE"/>
              </w:rPr>
            </w:pPr>
            <w:r w:rsidRPr="001927D6">
              <w:rPr>
                <w:color w:val="000000"/>
                <w:szCs w:val="24"/>
              </w:rPr>
              <w:t>1 835,41</w:t>
            </w:r>
          </w:p>
        </w:tc>
        <w:tc>
          <w:tcPr>
            <w:tcW w:w="1211" w:type="dxa"/>
            <w:vAlign w:val="center"/>
          </w:tcPr>
          <w:p w14:paraId="064216DC" w14:textId="77777777" w:rsidR="00295BCD" w:rsidRPr="001927D6" w:rsidRDefault="00295BCD">
            <w:pPr>
              <w:spacing w:after="0" w:line="240" w:lineRule="auto"/>
              <w:jc w:val="center"/>
              <w:textAlignment w:val="baseline"/>
              <w:rPr>
                <w:szCs w:val="24"/>
                <w:lang w:eastAsia="et-EE"/>
              </w:rPr>
            </w:pPr>
            <w:r w:rsidRPr="001927D6">
              <w:rPr>
                <w:color w:val="000000"/>
                <w:szCs w:val="24"/>
              </w:rPr>
              <w:t>466,43</w:t>
            </w:r>
          </w:p>
        </w:tc>
        <w:tc>
          <w:tcPr>
            <w:tcW w:w="1238" w:type="dxa"/>
            <w:vAlign w:val="center"/>
          </w:tcPr>
          <w:p w14:paraId="30739804" w14:textId="77777777" w:rsidR="00295BCD" w:rsidRPr="001927D6" w:rsidRDefault="00295BCD">
            <w:pPr>
              <w:spacing w:after="0" w:line="240" w:lineRule="auto"/>
              <w:jc w:val="center"/>
              <w:textAlignment w:val="baseline"/>
              <w:rPr>
                <w:szCs w:val="24"/>
                <w:lang w:eastAsia="et-EE"/>
              </w:rPr>
            </w:pPr>
            <w:r w:rsidRPr="001927D6">
              <w:rPr>
                <w:color w:val="000000"/>
                <w:szCs w:val="24"/>
              </w:rPr>
              <w:t>3 141,13</w:t>
            </w:r>
          </w:p>
        </w:tc>
      </w:tr>
      <w:tr w:rsidR="00295BCD" w:rsidRPr="001927D6" w14:paraId="077ED69E" w14:textId="77777777" w:rsidTr="00295BCD">
        <w:trPr>
          <w:divId w:val="1316184749"/>
          <w:trHeight w:val="300"/>
        </w:trPr>
        <w:tc>
          <w:tcPr>
            <w:tcW w:w="4632" w:type="dxa"/>
            <w:vAlign w:val="bottom"/>
            <w:hideMark/>
          </w:tcPr>
          <w:p w14:paraId="35FEE554" w14:textId="77777777" w:rsidR="00295BCD" w:rsidRPr="001927D6" w:rsidRDefault="00295BCD">
            <w:pPr>
              <w:spacing w:after="0" w:line="240" w:lineRule="auto"/>
              <w:textAlignment w:val="baseline"/>
              <w:rPr>
                <w:szCs w:val="24"/>
                <w:lang w:eastAsia="et-EE"/>
              </w:rPr>
            </w:pPr>
            <w:r w:rsidRPr="001927D6">
              <w:rPr>
                <w:szCs w:val="24"/>
                <w:lang w:eastAsia="et-EE"/>
              </w:rPr>
              <w:t>Naha väikesed kahjustused, kht-ta </w:t>
            </w:r>
          </w:p>
        </w:tc>
        <w:tc>
          <w:tcPr>
            <w:tcW w:w="732" w:type="dxa"/>
            <w:vAlign w:val="center"/>
            <w:hideMark/>
          </w:tcPr>
          <w:p w14:paraId="0EB08B8E" w14:textId="77777777" w:rsidR="00295BCD" w:rsidRPr="001927D6" w:rsidRDefault="00295BCD">
            <w:pPr>
              <w:spacing w:after="0" w:line="240" w:lineRule="auto"/>
              <w:jc w:val="center"/>
              <w:textAlignment w:val="baseline"/>
              <w:rPr>
                <w:szCs w:val="24"/>
                <w:lang w:eastAsia="et-EE"/>
              </w:rPr>
            </w:pPr>
            <w:r w:rsidRPr="001927D6">
              <w:rPr>
                <w:szCs w:val="24"/>
                <w:lang w:eastAsia="et-EE"/>
              </w:rPr>
              <w:t>284 </w:t>
            </w:r>
          </w:p>
        </w:tc>
        <w:tc>
          <w:tcPr>
            <w:tcW w:w="1243" w:type="dxa"/>
            <w:vAlign w:val="center"/>
          </w:tcPr>
          <w:p w14:paraId="25E6775E" w14:textId="77777777" w:rsidR="00295BCD" w:rsidRPr="001927D6" w:rsidRDefault="00295BCD">
            <w:pPr>
              <w:spacing w:after="0" w:line="240" w:lineRule="auto"/>
              <w:jc w:val="center"/>
              <w:textAlignment w:val="baseline"/>
              <w:rPr>
                <w:szCs w:val="24"/>
                <w:lang w:eastAsia="et-EE"/>
              </w:rPr>
            </w:pPr>
            <w:r w:rsidRPr="001927D6">
              <w:rPr>
                <w:color w:val="000000"/>
                <w:szCs w:val="24"/>
              </w:rPr>
              <w:t>1 270,79</w:t>
            </w:r>
          </w:p>
        </w:tc>
        <w:tc>
          <w:tcPr>
            <w:tcW w:w="1211" w:type="dxa"/>
            <w:vAlign w:val="center"/>
          </w:tcPr>
          <w:p w14:paraId="157E0E25" w14:textId="77777777" w:rsidR="00295BCD" w:rsidRPr="001927D6" w:rsidRDefault="00295BCD">
            <w:pPr>
              <w:spacing w:after="0" w:line="240" w:lineRule="auto"/>
              <w:jc w:val="center"/>
              <w:textAlignment w:val="baseline"/>
              <w:rPr>
                <w:szCs w:val="24"/>
                <w:lang w:eastAsia="et-EE"/>
              </w:rPr>
            </w:pPr>
            <w:r w:rsidRPr="001927D6">
              <w:rPr>
                <w:color w:val="000000"/>
                <w:szCs w:val="24"/>
              </w:rPr>
              <w:t>295,50</w:t>
            </w:r>
          </w:p>
        </w:tc>
        <w:tc>
          <w:tcPr>
            <w:tcW w:w="1238" w:type="dxa"/>
            <w:vAlign w:val="center"/>
          </w:tcPr>
          <w:p w14:paraId="1FF14F60" w14:textId="77777777" w:rsidR="00295BCD" w:rsidRPr="001927D6" w:rsidRDefault="00295BCD">
            <w:pPr>
              <w:spacing w:after="0" w:line="240" w:lineRule="auto"/>
              <w:jc w:val="center"/>
              <w:textAlignment w:val="baseline"/>
              <w:rPr>
                <w:szCs w:val="24"/>
                <w:lang w:eastAsia="et-EE"/>
              </w:rPr>
            </w:pPr>
            <w:r w:rsidRPr="001927D6">
              <w:rPr>
                <w:color w:val="000000"/>
                <w:szCs w:val="24"/>
              </w:rPr>
              <w:t>2 408,84</w:t>
            </w:r>
          </w:p>
        </w:tc>
      </w:tr>
      <w:tr w:rsidR="00295BCD" w:rsidRPr="001927D6" w14:paraId="57E8AD5F" w14:textId="77777777" w:rsidTr="00295BCD">
        <w:trPr>
          <w:divId w:val="1316184749"/>
          <w:trHeight w:val="300"/>
        </w:trPr>
        <w:tc>
          <w:tcPr>
            <w:tcW w:w="4632" w:type="dxa"/>
            <w:vAlign w:val="bottom"/>
            <w:hideMark/>
          </w:tcPr>
          <w:p w14:paraId="27FC1C7A" w14:textId="77777777" w:rsidR="00295BCD" w:rsidRPr="001927D6" w:rsidRDefault="00295BCD">
            <w:pPr>
              <w:spacing w:after="0" w:line="240" w:lineRule="auto"/>
              <w:textAlignment w:val="baseline"/>
              <w:rPr>
                <w:szCs w:val="24"/>
                <w:lang w:eastAsia="et-EE"/>
              </w:rPr>
            </w:pPr>
            <w:r w:rsidRPr="001927D6">
              <w:rPr>
                <w:szCs w:val="24"/>
                <w:lang w:eastAsia="et-EE"/>
              </w:rPr>
              <w:t>Alajäseme amputatsioon endokriin-, toitumis- ja ainevahetushäirete korral </w:t>
            </w:r>
          </w:p>
        </w:tc>
        <w:tc>
          <w:tcPr>
            <w:tcW w:w="732" w:type="dxa"/>
            <w:vAlign w:val="center"/>
            <w:hideMark/>
          </w:tcPr>
          <w:p w14:paraId="0DDD4D30" w14:textId="77777777" w:rsidR="00295BCD" w:rsidRPr="001927D6" w:rsidRDefault="00295BCD">
            <w:pPr>
              <w:spacing w:after="0" w:line="240" w:lineRule="auto"/>
              <w:jc w:val="center"/>
              <w:textAlignment w:val="baseline"/>
              <w:rPr>
                <w:szCs w:val="24"/>
                <w:lang w:eastAsia="et-EE"/>
              </w:rPr>
            </w:pPr>
            <w:r w:rsidRPr="001927D6">
              <w:rPr>
                <w:szCs w:val="24"/>
                <w:lang w:eastAsia="et-EE"/>
              </w:rPr>
              <w:t>285 </w:t>
            </w:r>
          </w:p>
        </w:tc>
        <w:tc>
          <w:tcPr>
            <w:tcW w:w="1243" w:type="dxa"/>
            <w:vAlign w:val="center"/>
          </w:tcPr>
          <w:p w14:paraId="7DE6EE3F" w14:textId="77777777" w:rsidR="00295BCD" w:rsidRPr="001927D6" w:rsidRDefault="00295BCD">
            <w:pPr>
              <w:spacing w:after="0" w:line="240" w:lineRule="auto"/>
              <w:jc w:val="center"/>
              <w:textAlignment w:val="baseline"/>
              <w:rPr>
                <w:szCs w:val="24"/>
                <w:lang w:eastAsia="et-EE"/>
              </w:rPr>
            </w:pPr>
            <w:r w:rsidRPr="001927D6">
              <w:rPr>
                <w:color w:val="000000"/>
                <w:szCs w:val="24"/>
              </w:rPr>
              <w:t>3 742,58</w:t>
            </w:r>
          </w:p>
        </w:tc>
        <w:tc>
          <w:tcPr>
            <w:tcW w:w="1211" w:type="dxa"/>
            <w:vAlign w:val="center"/>
          </w:tcPr>
          <w:p w14:paraId="1F4ECF7D" w14:textId="77777777" w:rsidR="00295BCD" w:rsidRPr="001927D6" w:rsidRDefault="00295BCD">
            <w:pPr>
              <w:spacing w:after="0" w:line="240" w:lineRule="auto"/>
              <w:jc w:val="center"/>
              <w:textAlignment w:val="baseline"/>
              <w:rPr>
                <w:szCs w:val="24"/>
                <w:lang w:eastAsia="et-EE"/>
              </w:rPr>
            </w:pPr>
            <w:r w:rsidRPr="001927D6">
              <w:rPr>
                <w:color w:val="000000"/>
                <w:szCs w:val="24"/>
              </w:rPr>
              <w:t>905,63</w:t>
            </w:r>
          </w:p>
        </w:tc>
        <w:tc>
          <w:tcPr>
            <w:tcW w:w="1238" w:type="dxa"/>
            <w:vAlign w:val="center"/>
          </w:tcPr>
          <w:p w14:paraId="2D7AB7C4" w14:textId="77777777" w:rsidR="00295BCD" w:rsidRPr="001927D6" w:rsidRDefault="00295BCD">
            <w:pPr>
              <w:spacing w:after="0" w:line="240" w:lineRule="auto"/>
              <w:jc w:val="center"/>
              <w:textAlignment w:val="baseline"/>
              <w:rPr>
                <w:szCs w:val="24"/>
                <w:lang w:eastAsia="et-EE"/>
              </w:rPr>
            </w:pPr>
            <w:r w:rsidRPr="001927D6">
              <w:rPr>
                <w:color w:val="000000"/>
                <w:szCs w:val="24"/>
              </w:rPr>
              <w:t>13 901,90</w:t>
            </w:r>
          </w:p>
        </w:tc>
      </w:tr>
      <w:tr w:rsidR="00295BCD" w:rsidRPr="001927D6" w14:paraId="5755BF92" w14:textId="77777777" w:rsidTr="00295BCD">
        <w:trPr>
          <w:divId w:val="1316184749"/>
          <w:trHeight w:val="300"/>
        </w:trPr>
        <w:tc>
          <w:tcPr>
            <w:tcW w:w="4632" w:type="dxa"/>
            <w:vAlign w:val="bottom"/>
            <w:hideMark/>
          </w:tcPr>
          <w:p w14:paraId="1450072E" w14:textId="77777777" w:rsidR="00295BCD" w:rsidRPr="001927D6" w:rsidRDefault="00295BCD">
            <w:pPr>
              <w:spacing w:after="0" w:line="240" w:lineRule="auto"/>
              <w:textAlignment w:val="baseline"/>
              <w:rPr>
                <w:szCs w:val="24"/>
                <w:lang w:eastAsia="et-EE"/>
              </w:rPr>
            </w:pPr>
            <w:r w:rsidRPr="001927D6">
              <w:rPr>
                <w:szCs w:val="24"/>
                <w:lang w:eastAsia="et-EE"/>
              </w:rPr>
              <w:t>Alajäseme amputatsioon endokriin-, toitumis- ja ainevahetushäirete korral, lühike ravi </w:t>
            </w:r>
          </w:p>
        </w:tc>
        <w:tc>
          <w:tcPr>
            <w:tcW w:w="732" w:type="dxa"/>
            <w:vAlign w:val="center"/>
            <w:hideMark/>
          </w:tcPr>
          <w:p w14:paraId="5D30383D" w14:textId="77777777" w:rsidR="00295BCD" w:rsidRPr="001927D6" w:rsidRDefault="00295BCD">
            <w:pPr>
              <w:spacing w:after="0" w:line="240" w:lineRule="auto"/>
              <w:jc w:val="center"/>
              <w:textAlignment w:val="baseline"/>
              <w:rPr>
                <w:szCs w:val="24"/>
                <w:lang w:eastAsia="et-EE"/>
              </w:rPr>
            </w:pPr>
            <w:r w:rsidRPr="001927D6">
              <w:rPr>
                <w:szCs w:val="24"/>
                <w:lang w:eastAsia="et-EE"/>
              </w:rPr>
              <w:t>285O </w:t>
            </w:r>
          </w:p>
        </w:tc>
        <w:tc>
          <w:tcPr>
            <w:tcW w:w="1243" w:type="dxa"/>
            <w:vAlign w:val="center"/>
          </w:tcPr>
          <w:p w14:paraId="1DEA75C5" w14:textId="77777777" w:rsidR="00295BCD" w:rsidRPr="001927D6" w:rsidRDefault="00295BCD">
            <w:pPr>
              <w:spacing w:after="0" w:line="240" w:lineRule="auto"/>
              <w:jc w:val="center"/>
              <w:textAlignment w:val="baseline"/>
              <w:rPr>
                <w:szCs w:val="24"/>
                <w:lang w:eastAsia="et-EE"/>
              </w:rPr>
            </w:pPr>
            <w:r w:rsidRPr="001927D6">
              <w:rPr>
                <w:color w:val="000000"/>
                <w:szCs w:val="24"/>
              </w:rPr>
              <w:t>589,28</w:t>
            </w:r>
          </w:p>
        </w:tc>
        <w:tc>
          <w:tcPr>
            <w:tcW w:w="1211" w:type="dxa"/>
            <w:vAlign w:val="center"/>
          </w:tcPr>
          <w:p w14:paraId="46B4D8D6" w14:textId="77777777" w:rsidR="00295BCD" w:rsidRPr="001927D6" w:rsidRDefault="00295BCD">
            <w:pPr>
              <w:spacing w:after="0" w:line="240" w:lineRule="auto"/>
              <w:jc w:val="center"/>
              <w:textAlignment w:val="baseline"/>
              <w:rPr>
                <w:szCs w:val="24"/>
                <w:lang w:eastAsia="et-EE"/>
              </w:rPr>
            </w:pPr>
            <w:r w:rsidRPr="001927D6">
              <w:rPr>
                <w:color w:val="000000"/>
                <w:szCs w:val="24"/>
              </w:rPr>
              <w:t>389,82</w:t>
            </w:r>
          </w:p>
        </w:tc>
        <w:tc>
          <w:tcPr>
            <w:tcW w:w="1238" w:type="dxa"/>
            <w:vAlign w:val="center"/>
          </w:tcPr>
          <w:p w14:paraId="22EF7484" w14:textId="77777777" w:rsidR="00295BCD" w:rsidRPr="001927D6" w:rsidRDefault="00295BCD">
            <w:pPr>
              <w:spacing w:after="0" w:line="240" w:lineRule="auto"/>
              <w:jc w:val="center"/>
              <w:textAlignment w:val="baseline"/>
              <w:rPr>
                <w:szCs w:val="24"/>
                <w:lang w:eastAsia="et-EE"/>
              </w:rPr>
            </w:pPr>
            <w:r w:rsidRPr="001927D6">
              <w:rPr>
                <w:color w:val="000000"/>
                <w:szCs w:val="24"/>
              </w:rPr>
              <w:t>900,66</w:t>
            </w:r>
          </w:p>
        </w:tc>
      </w:tr>
      <w:tr w:rsidR="00295BCD" w:rsidRPr="001927D6" w14:paraId="02A4FC54" w14:textId="77777777" w:rsidTr="00295BCD">
        <w:trPr>
          <w:divId w:val="1316184749"/>
          <w:trHeight w:val="300"/>
        </w:trPr>
        <w:tc>
          <w:tcPr>
            <w:tcW w:w="4632" w:type="dxa"/>
            <w:vAlign w:val="bottom"/>
            <w:hideMark/>
          </w:tcPr>
          <w:p w14:paraId="0FA33928" w14:textId="77777777" w:rsidR="00295BCD" w:rsidRPr="001927D6" w:rsidRDefault="00295BCD">
            <w:pPr>
              <w:spacing w:after="0" w:line="240" w:lineRule="auto"/>
              <w:textAlignment w:val="baseline"/>
              <w:rPr>
                <w:szCs w:val="24"/>
                <w:lang w:eastAsia="et-EE"/>
              </w:rPr>
            </w:pPr>
            <w:r w:rsidRPr="001927D6">
              <w:rPr>
                <w:szCs w:val="24"/>
                <w:lang w:eastAsia="et-EE"/>
              </w:rPr>
              <w:t>Neerupealiste ja hüpofüüsi operatsioonid </w:t>
            </w:r>
          </w:p>
        </w:tc>
        <w:tc>
          <w:tcPr>
            <w:tcW w:w="732" w:type="dxa"/>
            <w:vAlign w:val="center"/>
            <w:hideMark/>
          </w:tcPr>
          <w:p w14:paraId="03D46357" w14:textId="77777777" w:rsidR="00295BCD" w:rsidRPr="001927D6" w:rsidRDefault="00295BCD">
            <w:pPr>
              <w:spacing w:after="0" w:line="240" w:lineRule="auto"/>
              <w:jc w:val="center"/>
              <w:textAlignment w:val="baseline"/>
              <w:rPr>
                <w:szCs w:val="24"/>
                <w:lang w:eastAsia="et-EE"/>
              </w:rPr>
            </w:pPr>
            <w:r w:rsidRPr="001927D6">
              <w:rPr>
                <w:szCs w:val="24"/>
                <w:lang w:eastAsia="et-EE"/>
              </w:rPr>
              <w:t>286 </w:t>
            </w:r>
          </w:p>
        </w:tc>
        <w:tc>
          <w:tcPr>
            <w:tcW w:w="1243" w:type="dxa"/>
            <w:vAlign w:val="center"/>
          </w:tcPr>
          <w:p w14:paraId="05F3AFBD" w14:textId="77777777" w:rsidR="00295BCD" w:rsidRPr="001927D6" w:rsidRDefault="00295BCD">
            <w:pPr>
              <w:spacing w:after="0" w:line="240" w:lineRule="auto"/>
              <w:jc w:val="center"/>
              <w:textAlignment w:val="baseline"/>
              <w:rPr>
                <w:szCs w:val="24"/>
                <w:lang w:eastAsia="et-EE"/>
              </w:rPr>
            </w:pPr>
            <w:r w:rsidRPr="001927D6">
              <w:rPr>
                <w:color w:val="000000"/>
                <w:szCs w:val="24"/>
              </w:rPr>
              <w:t>5 412,99</w:t>
            </w:r>
          </w:p>
        </w:tc>
        <w:tc>
          <w:tcPr>
            <w:tcW w:w="1211" w:type="dxa"/>
            <w:vAlign w:val="center"/>
          </w:tcPr>
          <w:p w14:paraId="70A9A2CD" w14:textId="77777777" w:rsidR="00295BCD" w:rsidRPr="001927D6" w:rsidRDefault="00295BCD">
            <w:pPr>
              <w:spacing w:after="0" w:line="240" w:lineRule="auto"/>
              <w:jc w:val="center"/>
              <w:textAlignment w:val="baseline"/>
              <w:rPr>
                <w:szCs w:val="24"/>
                <w:lang w:eastAsia="et-EE"/>
              </w:rPr>
            </w:pPr>
            <w:r w:rsidRPr="001927D6">
              <w:rPr>
                <w:color w:val="000000"/>
                <w:szCs w:val="24"/>
              </w:rPr>
              <w:t>3 616,46</w:t>
            </w:r>
          </w:p>
        </w:tc>
        <w:tc>
          <w:tcPr>
            <w:tcW w:w="1238" w:type="dxa"/>
            <w:vAlign w:val="center"/>
          </w:tcPr>
          <w:p w14:paraId="36D774B4" w14:textId="77777777" w:rsidR="00295BCD" w:rsidRPr="001927D6" w:rsidRDefault="00295BCD">
            <w:pPr>
              <w:spacing w:after="0" w:line="240" w:lineRule="auto"/>
              <w:jc w:val="center"/>
              <w:textAlignment w:val="baseline"/>
              <w:rPr>
                <w:szCs w:val="24"/>
                <w:lang w:eastAsia="et-EE"/>
              </w:rPr>
            </w:pPr>
            <w:r w:rsidRPr="001927D6">
              <w:rPr>
                <w:color w:val="000000"/>
                <w:szCs w:val="24"/>
              </w:rPr>
              <w:t>8 453,23</w:t>
            </w:r>
          </w:p>
        </w:tc>
      </w:tr>
      <w:tr w:rsidR="00295BCD" w:rsidRPr="001927D6" w14:paraId="127D55D6" w14:textId="77777777" w:rsidTr="00295BCD">
        <w:trPr>
          <w:divId w:val="1316184749"/>
          <w:trHeight w:val="300"/>
        </w:trPr>
        <w:tc>
          <w:tcPr>
            <w:tcW w:w="4632" w:type="dxa"/>
            <w:vAlign w:val="bottom"/>
            <w:hideMark/>
          </w:tcPr>
          <w:p w14:paraId="0E70DB51" w14:textId="77777777" w:rsidR="00295BCD" w:rsidRPr="001927D6" w:rsidRDefault="00295BCD">
            <w:pPr>
              <w:spacing w:after="0" w:line="240" w:lineRule="auto"/>
              <w:textAlignment w:val="baseline"/>
              <w:rPr>
                <w:szCs w:val="24"/>
                <w:lang w:eastAsia="et-EE"/>
              </w:rPr>
            </w:pPr>
            <w:r w:rsidRPr="001927D6">
              <w:rPr>
                <w:szCs w:val="24"/>
                <w:lang w:eastAsia="et-EE"/>
              </w:rPr>
              <w:t>Muude endokriinsüsteemi elundite operatsioon, lühike ravi </w:t>
            </w:r>
          </w:p>
        </w:tc>
        <w:tc>
          <w:tcPr>
            <w:tcW w:w="732" w:type="dxa"/>
            <w:vAlign w:val="center"/>
            <w:hideMark/>
          </w:tcPr>
          <w:p w14:paraId="1A9A59C5" w14:textId="77777777" w:rsidR="00295BCD" w:rsidRPr="001927D6" w:rsidRDefault="00295BCD">
            <w:pPr>
              <w:spacing w:after="0" w:line="240" w:lineRule="auto"/>
              <w:jc w:val="center"/>
              <w:textAlignment w:val="baseline"/>
              <w:rPr>
                <w:szCs w:val="24"/>
                <w:lang w:eastAsia="et-EE"/>
              </w:rPr>
            </w:pPr>
            <w:r w:rsidRPr="001927D6">
              <w:rPr>
                <w:szCs w:val="24"/>
                <w:lang w:eastAsia="et-EE"/>
              </w:rPr>
              <w:t>287O </w:t>
            </w:r>
          </w:p>
        </w:tc>
        <w:tc>
          <w:tcPr>
            <w:tcW w:w="1243" w:type="dxa"/>
            <w:vAlign w:val="center"/>
          </w:tcPr>
          <w:p w14:paraId="2E728C8C" w14:textId="77777777" w:rsidR="00295BCD" w:rsidRPr="001927D6" w:rsidRDefault="00295BCD">
            <w:pPr>
              <w:spacing w:after="0" w:line="240" w:lineRule="auto"/>
              <w:jc w:val="center"/>
              <w:textAlignment w:val="baseline"/>
              <w:rPr>
                <w:szCs w:val="24"/>
                <w:lang w:eastAsia="et-EE"/>
              </w:rPr>
            </w:pPr>
            <w:r w:rsidRPr="001927D6">
              <w:rPr>
                <w:color w:val="000000"/>
                <w:szCs w:val="24"/>
              </w:rPr>
              <w:t>1 962,69</w:t>
            </w:r>
          </w:p>
        </w:tc>
        <w:tc>
          <w:tcPr>
            <w:tcW w:w="1211" w:type="dxa"/>
            <w:vAlign w:val="center"/>
          </w:tcPr>
          <w:p w14:paraId="7B869040" w14:textId="77777777" w:rsidR="00295BCD" w:rsidRPr="001927D6" w:rsidRDefault="00295BCD">
            <w:pPr>
              <w:spacing w:after="0" w:line="240" w:lineRule="auto"/>
              <w:jc w:val="center"/>
              <w:textAlignment w:val="baseline"/>
              <w:rPr>
                <w:szCs w:val="24"/>
                <w:lang w:eastAsia="et-EE"/>
              </w:rPr>
            </w:pPr>
            <w:r w:rsidRPr="001927D6">
              <w:rPr>
                <w:color w:val="000000"/>
                <w:szCs w:val="24"/>
              </w:rPr>
              <w:t>1 668,68</w:t>
            </w:r>
          </w:p>
        </w:tc>
        <w:tc>
          <w:tcPr>
            <w:tcW w:w="1238" w:type="dxa"/>
            <w:vAlign w:val="center"/>
          </w:tcPr>
          <w:p w14:paraId="7458ECB2" w14:textId="77777777" w:rsidR="00295BCD" w:rsidRPr="001927D6" w:rsidRDefault="00295BCD">
            <w:pPr>
              <w:spacing w:after="0" w:line="240" w:lineRule="auto"/>
              <w:jc w:val="center"/>
              <w:textAlignment w:val="baseline"/>
              <w:rPr>
                <w:szCs w:val="24"/>
                <w:lang w:eastAsia="et-EE"/>
              </w:rPr>
            </w:pPr>
            <w:r w:rsidRPr="001927D6">
              <w:rPr>
                <w:color w:val="000000"/>
                <w:szCs w:val="24"/>
              </w:rPr>
              <w:t>2 059,15</w:t>
            </w:r>
          </w:p>
        </w:tc>
      </w:tr>
      <w:tr w:rsidR="00295BCD" w:rsidRPr="001927D6" w14:paraId="6C6C41AC" w14:textId="77777777" w:rsidTr="00295BCD">
        <w:trPr>
          <w:divId w:val="1316184749"/>
          <w:trHeight w:val="300"/>
        </w:trPr>
        <w:tc>
          <w:tcPr>
            <w:tcW w:w="4632" w:type="dxa"/>
            <w:vAlign w:val="bottom"/>
            <w:hideMark/>
          </w:tcPr>
          <w:p w14:paraId="6D52BF3E" w14:textId="77777777" w:rsidR="00295BCD" w:rsidRPr="001927D6" w:rsidRDefault="00295BCD">
            <w:pPr>
              <w:spacing w:after="0" w:line="240" w:lineRule="auto"/>
              <w:textAlignment w:val="baseline"/>
              <w:rPr>
                <w:szCs w:val="24"/>
                <w:lang w:eastAsia="et-EE"/>
              </w:rPr>
            </w:pPr>
            <w:r w:rsidRPr="001927D6">
              <w:rPr>
                <w:szCs w:val="24"/>
                <w:lang w:eastAsia="et-EE"/>
              </w:rPr>
              <w:t>Gastrointestinaalsed operatsioonid rasvumise korral </w:t>
            </w:r>
          </w:p>
        </w:tc>
        <w:tc>
          <w:tcPr>
            <w:tcW w:w="732" w:type="dxa"/>
            <w:vAlign w:val="center"/>
            <w:hideMark/>
          </w:tcPr>
          <w:p w14:paraId="1A7F98D3" w14:textId="77777777" w:rsidR="00295BCD" w:rsidRPr="001927D6" w:rsidRDefault="00295BCD">
            <w:pPr>
              <w:spacing w:after="0" w:line="240" w:lineRule="auto"/>
              <w:jc w:val="center"/>
              <w:textAlignment w:val="baseline"/>
              <w:rPr>
                <w:szCs w:val="24"/>
                <w:lang w:eastAsia="et-EE"/>
              </w:rPr>
            </w:pPr>
            <w:r w:rsidRPr="001927D6">
              <w:rPr>
                <w:szCs w:val="24"/>
                <w:lang w:eastAsia="et-EE"/>
              </w:rPr>
              <w:t>288A </w:t>
            </w:r>
          </w:p>
        </w:tc>
        <w:tc>
          <w:tcPr>
            <w:tcW w:w="1243" w:type="dxa"/>
            <w:vAlign w:val="center"/>
          </w:tcPr>
          <w:p w14:paraId="2C168E53" w14:textId="77777777" w:rsidR="00295BCD" w:rsidRPr="001927D6" w:rsidRDefault="00295BCD">
            <w:pPr>
              <w:spacing w:after="0" w:line="240" w:lineRule="auto"/>
              <w:jc w:val="center"/>
              <w:textAlignment w:val="baseline"/>
              <w:rPr>
                <w:szCs w:val="24"/>
                <w:lang w:eastAsia="et-EE"/>
              </w:rPr>
            </w:pPr>
            <w:r w:rsidRPr="001927D6">
              <w:rPr>
                <w:color w:val="000000"/>
                <w:szCs w:val="24"/>
              </w:rPr>
              <w:t>4 269,79</w:t>
            </w:r>
          </w:p>
        </w:tc>
        <w:tc>
          <w:tcPr>
            <w:tcW w:w="1211" w:type="dxa"/>
            <w:vAlign w:val="center"/>
          </w:tcPr>
          <w:p w14:paraId="785EDE6A" w14:textId="77777777" w:rsidR="00295BCD" w:rsidRPr="001927D6" w:rsidRDefault="00295BCD">
            <w:pPr>
              <w:spacing w:after="0" w:line="240" w:lineRule="auto"/>
              <w:jc w:val="center"/>
              <w:textAlignment w:val="baseline"/>
              <w:rPr>
                <w:szCs w:val="24"/>
                <w:lang w:eastAsia="et-EE"/>
              </w:rPr>
            </w:pPr>
            <w:r w:rsidRPr="001927D6">
              <w:rPr>
                <w:color w:val="000000"/>
                <w:szCs w:val="24"/>
              </w:rPr>
              <w:t>3 402,92</w:t>
            </w:r>
          </w:p>
        </w:tc>
        <w:tc>
          <w:tcPr>
            <w:tcW w:w="1238" w:type="dxa"/>
            <w:vAlign w:val="center"/>
          </w:tcPr>
          <w:p w14:paraId="6A8787A9" w14:textId="77777777" w:rsidR="00295BCD" w:rsidRPr="001927D6" w:rsidRDefault="00295BCD">
            <w:pPr>
              <w:spacing w:after="0" w:line="240" w:lineRule="auto"/>
              <w:jc w:val="center"/>
              <w:textAlignment w:val="baseline"/>
              <w:rPr>
                <w:szCs w:val="24"/>
                <w:lang w:eastAsia="et-EE"/>
              </w:rPr>
            </w:pPr>
            <w:r w:rsidRPr="001927D6">
              <w:rPr>
                <w:color w:val="000000"/>
                <w:szCs w:val="24"/>
              </w:rPr>
              <w:t>5 045,83</w:t>
            </w:r>
          </w:p>
        </w:tc>
      </w:tr>
      <w:tr w:rsidR="00295BCD" w:rsidRPr="001927D6" w14:paraId="4B77D991" w14:textId="77777777" w:rsidTr="00295BCD">
        <w:trPr>
          <w:divId w:val="1316184749"/>
          <w:trHeight w:val="300"/>
        </w:trPr>
        <w:tc>
          <w:tcPr>
            <w:tcW w:w="4632" w:type="dxa"/>
            <w:vAlign w:val="bottom"/>
            <w:hideMark/>
          </w:tcPr>
          <w:p w14:paraId="1020572D" w14:textId="77777777" w:rsidR="00295BCD" w:rsidRPr="001927D6" w:rsidRDefault="00295BCD">
            <w:pPr>
              <w:spacing w:after="0" w:line="240" w:lineRule="auto"/>
              <w:textAlignment w:val="baseline"/>
              <w:rPr>
                <w:szCs w:val="24"/>
                <w:lang w:eastAsia="et-EE"/>
              </w:rPr>
            </w:pPr>
            <w:r w:rsidRPr="001927D6">
              <w:rPr>
                <w:szCs w:val="24"/>
                <w:lang w:eastAsia="et-EE"/>
              </w:rPr>
              <w:t>Muud operatsioonid rasvumise korral </w:t>
            </w:r>
          </w:p>
        </w:tc>
        <w:tc>
          <w:tcPr>
            <w:tcW w:w="732" w:type="dxa"/>
            <w:vAlign w:val="center"/>
            <w:hideMark/>
          </w:tcPr>
          <w:p w14:paraId="43BD1E35" w14:textId="77777777" w:rsidR="00295BCD" w:rsidRPr="001927D6" w:rsidRDefault="00295BCD">
            <w:pPr>
              <w:spacing w:after="0" w:line="240" w:lineRule="auto"/>
              <w:jc w:val="center"/>
              <w:textAlignment w:val="baseline"/>
              <w:rPr>
                <w:szCs w:val="24"/>
                <w:lang w:eastAsia="et-EE"/>
              </w:rPr>
            </w:pPr>
            <w:r w:rsidRPr="001927D6">
              <w:rPr>
                <w:szCs w:val="24"/>
                <w:lang w:eastAsia="et-EE"/>
              </w:rPr>
              <w:t>288B </w:t>
            </w:r>
          </w:p>
        </w:tc>
        <w:tc>
          <w:tcPr>
            <w:tcW w:w="1243" w:type="dxa"/>
            <w:vAlign w:val="center"/>
          </w:tcPr>
          <w:p w14:paraId="493CAE52" w14:textId="77777777" w:rsidR="00295BCD" w:rsidRPr="001927D6" w:rsidRDefault="00295BCD">
            <w:pPr>
              <w:spacing w:after="0" w:line="240" w:lineRule="auto"/>
              <w:jc w:val="center"/>
              <w:textAlignment w:val="baseline"/>
              <w:rPr>
                <w:szCs w:val="24"/>
                <w:lang w:eastAsia="et-EE"/>
              </w:rPr>
            </w:pPr>
            <w:r w:rsidRPr="001927D6">
              <w:rPr>
                <w:color w:val="000000"/>
                <w:szCs w:val="24"/>
              </w:rPr>
              <w:t>3 074,17</w:t>
            </w:r>
          </w:p>
        </w:tc>
        <w:tc>
          <w:tcPr>
            <w:tcW w:w="1211" w:type="dxa"/>
            <w:vAlign w:val="center"/>
          </w:tcPr>
          <w:p w14:paraId="37F85C2D" w14:textId="77777777" w:rsidR="00295BCD" w:rsidRPr="001927D6" w:rsidRDefault="00295BCD">
            <w:pPr>
              <w:spacing w:after="0" w:line="240" w:lineRule="auto"/>
              <w:jc w:val="center"/>
              <w:textAlignment w:val="baseline"/>
              <w:rPr>
                <w:szCs w:val="24"/>
                <w:lang w:eastAsia="et-EE"/>
              </w:rPr>
            </w:pPr>
            <w:r w:rsidRPr="001927D6">
              <w:rPr>
                <w:color w:val="000000"/>
                <w:szCs w:val="24"/>
              </w:rPr>
              <w:t>2 379,22</w:t>
            </w:r>
          </w:p>
        </w:tc>
        <w:tc>
          <w:tcPr>
            <w:tcW w:w="1238" w:type="dxa"/>
            <w:vAlign w:val="center"/>
          </w:tcPr>
          <w:p w14:paraId="4DF502C3" w14:textId="77777777" w:rsidR="00295BCD" w:rsidRPr="001927D6" w:rsidRDefault="00295BCD">
            <w:pPr>
              <w:spacing w:after="0" w:line="240" w:lineRule="auto"/>
              <w:jc w:val="center"/>
              <w:textAlignment w:val="baseline"/>
              <w:rPr>
                <w:szCs w:val="24"/>
                <w:lang w:eastAsia="et-EE"/>
              </w:rPr>
            </w:pPr>
            <w:r w:rsidRPr="001927D6">
              <w:rPr>
                <w:color w:val="000000"/>
                <w:szCs w:val="24"/>
              </w:rPr>
              <w:t>3 953,09</w:t>
            </w:r>
          </w:p>
        </w:tc>
      </w:tr>
      <w:tr w:rsidR="00295BCD" w:rsidRPr="001927D6" w14:paraId="112D5FAE" w14:textId="77777777" w:rsidTr="00295BCD">
        <w:trPr>
          <w:divId w:val="1316184749"/>
          <w:trHeight w:val="300"/>
        </w:trPr>
        <w:tc>
          <w:tcPr>
            <w:tcW w:w="4632" w:type="dxa"/>
            <w:vAlign w:val="bottom"/>
            <w:hideMark/>
          </w:tcPr>
          <w:p w14:paraId="4FE26AA3" w14:textId="77777777" w:rsidR="00295BCD" w:rsidRPr="001927D6" w:rsidRDefault="00295BCD">
            <w:pPr>
              <w:spacing w:after="0" w:line="240" w:lineRule="auto"/>
              <w:textAlignment w:val="baseline"/>
              <w:rPr>
                <w:szCs w:val="24"/>
                <w:lang w:eastAsia="et-EE"/>
              </w:rPr>
            </w:pPr>
            <w:r w:rsidRPr="001927D6">
              <w:rPr>
                <w:szCs w:val="24"/>
                <w:lang w:eastAsia="et-EE"/>
              </w:rPr>
              <w:t>Gastrointestinaalsed operatsioonid rasvumise korral, lühike ravi </w:t>
            </w:r>
          </w:p>
        </w:tc>
        <w:tc>
          <w:tcPr>
            <w:tcW w:w="732" w:type="dxa"/>
            <w:vAlign w:val="center"/>
            <w:hideMark/>
          </w:tcPr>
          <w:p w14:paraId="3C21DCB0" w14:textId="77777777" w:rsidR="00295BCD" w:rsidRPr="001927D6" w:rsidRDefault="00295BCD">
            <w:pPr>
              <w:spacing w:after="0" w:line="240" w:lineRule="auto"/>
              <w:jc w:val="center"/>
              <w:textAlignment w:val="baseline"/>
              <w:rPr>
                <w:szCs w:val="24"/>
                <w:lang w:eastAsia="et-EE"/>
              </w:rPr>
            </w:pPr>
            <w:r w:rsidRPr="001927D6">
              <w:rPr>
                <w:szCs w:val="24"/>
                <w:lang w:eastAsia="et-EE"/>
              </w:rPr>
              <w:t>288O </w:t>
            </w:r>
          </w:p>
        </w:tc>
        <w:tc>
          <w:tcPr>
            <w:tcW w:w="1243" w:type="dxa"/>
            <w:vAlign w:val="center"/>
          </w:tcPr>
          <w:p w14:paraId="7A1C0DDF" w14:textId="77777777" w:rsidR="00295BCD" w:rsidRPr="001927D6" w:rsidRDefault="00295BCD">
            <w:pPr>
              <w:spacing w:after="0" w:line="240" w:lineRule="auto"/>
              <w:jc w:val="center"/>
              <w:textAlignment w:val="baseline"/>
              <w:rPr>
                <w:szCs w:val="24"/>
                <w:lang w:eastAsia="et-EE"/>
              </w:rPr>
            </w:pPr>
            <w:r w:rsidRPr="001927D6">
              <w:rPr>
                <w:color w:val="000000"/>
                <w:szCs w:val="24"/>
              </w:rPr>
              <w:t>5 519,94</w:t>
            </w:r>
          </w:p>
        </w:tc>
        <w:tc>
          <w:tcPr>
            <w:tcW w:w="1211" w:type="dxa"/>
            <w:vAlign w:val="center"/>
          </w:tcPr>
          <w:p w14:paraId="214D1E39" w14:textId="77777777" w:rsidR="00295BCD" w:rsidRPr="001927D6" w:rsidRDefault="00295BCD">
            <w:pPr>
              <w:spacing w:after="0" w:line="240" w:lineRule="auto"/>
              <w:jc w:val="center"/>
              <w:textAlignment w:val="baseline"/>
              <w:rPr>
                <w:szCs w:val="24"/>
                <w:lang w:eastAsia="et-EE"/>
              </w:rPr>
            </w:pPr>
            <w:r w:rsidRPr="001927D6">
              <w:rPr>
                <w:color w:val="000000"/>
                <w:szCs w:val="24"/>
              </w:rPr>
              <w:t>2 619,60</w:t>
            </w:r>
          </w:p>
        </w:tc>
        <w:tc>
          <w:tcPr>
            <w:tcW w:w="1238" w:type="dxa"/>
            <w:vAlign w:val="center"/>
          </w:tcPr>
          <w:p w14:paraId="268D2E13" w14:textId="77777777" w:rsidR="00295BCD" w:rsidRPr="001927D6" w:rsidRDefault="00295BCD">
            <w:pPr>
              <w:spacing w:after="0" w:line="240" w:lineRule="auto"/>
              <w:jc w:val="center"/>
              <w:textAlignment w:val="baseline"/>
              <w:rPr>
                <w:szCs w:val="24"/>
                <w:lang w:eastAsia="et-EE"/>
              </w:rPr>
            </w:pPr>
            <w:r w:rsidRPr="001927D6">
              <w:rPr>
                <w:color w:val="000000"/>
                <w:szCs w:val="24"/>
              </w:rPr>
              <w:t>11 189,60</w:t>
            </w:r>
          </w:p>
        </w:tc>
      </w:tr>
      <w:tr w:rsidR="00295BCD" w:rsidRPr="001927D6" w14:paraId="6443D01C" w14:textId="77777777" w:rsidTr="00295BCD">
        <w:trPr>
          <w:divId w:val="1316184749"/>
          <w:trHeight w:val="300"/>
        </w:trPr>
        <w:tc>
          <w:tcPr>
            <w:tcW w:w="4632" w:type="dxa"/>
            <w:vAlign w:val="bottom"/>
            <w:hideMark/>
          </w:tcPr>
          <w:p w14:paraId="14BC4259" w14:textId="77777777" w:rsidR="00295BCD" w:rsidRPr="001927D6" w:rsidRDefault="00295BCD">
            <w:pPr>
              <w:spacing w:after="0" w:line="240" w:lineRule="auto"/>
              <w:textAlignment w:val="baseline"/>
              <w:rPr>
                <w:szCs w:val="24"/>
                <w:lang w:eastAsia="et-EE"/>
              </w:rPr>
            </w:pPr>
            <w:r w:rsidRPr="001927D6">
              <w:rPr>
                <w:szCs w:val="24"/>
                <w:lang w:eastAsia="et-EE"/>
              </w:rPr>
              <w:t>Muud operatsioonid rasvumise korral, lühike ravi </w:t>
            </w:r>
          </w:p>
        </w:tc>
        <w:tc>
          <w:tcPr>
            <w:tcW w:w="732" w:type="dxa"/>
            <w:vAlign w:val="center"/>
            <w:hideMark/>
          </w:tcPr>
          <w:p w14:paraId="154A0349" w14:textId="77777777" w:rsidR="00295BCD" w:rsidRPr="001927D6" w:rsidRDefault="00295BCD">
            <w:pPr>
              <w:spacing w:after="0" w:line="240" w:lineRule="auto"/>
              <w:jc w:val="center"/>
              <w:textAlignment w:val="baseline"/>
              <w:rPr>
                <w:szCs w:val="24"/>
                <w:lang w:eastAsia="et-EE"/>
              </w:rPr>
            </w:pPr>
            <w:r w:rsidRPr="001927D6">
              <w:rPr>
                <w:szCs w:val="24"/>
                <w:lang w:eastAsia="et-EE"/>
              </w:rPr>
              <w:t>288P </w:t>
            </w:r>
          </w:p>
        </w:tc>
        <w:tc>
          <w:tcPr>
            <w:tcW w:w="1243" w:type="dxa"/>
            <w:vAlign w:val="center"/>
          </w:tcPr>
          <w:p w14:paraId="536CCEC7" w14:textId="77777777" w:rsidR="00295BCD" w:rsidRPr="001927D6" w:rsidRDefault="00295BCD">
            <w:pPr>
              <w:spacing w:after="0" w:line="240" w:lineRule="auto"/>
              <w:jc w:val="center"/>
              <w:textAlignment w:val="baseline"/>
              <w:rPr>
                <w:szCs w:val="24"/>
                <w:lang w:eastAsia="et-EE"/>
              </w:rPr>
            </w:pPr>
            <w:r w:rsidRPr="001927D6">
              <w:rPr>
                <w:color w:val="000000"/>
                <w:szCs w:val="24"/>
              </w:rPr>
              <w:t>1 893,61</w:t>
            </w:r>
          </w:p>
        </w:tc>
        <w:tc>
          <w:tcPr>
            <w:tcW w:w="1211" w:type="dxa"/>
            <w:vAlign w:val="center"/>
          </w:tcPr>
          <w:p w14:paraId="1045782B" w14:textId="77777777" w:rsidR="00295BCD" w:rsidRPr="001927D6" w:rsidRDefault="00295BCD">
            <w:pPr>
              <w:spacing w:after="0" w:line="240" w:lineRule="auto"/>
              <w:jc w:val="center"/>
              <w:textAlignment w:val="baseline"/>
              <w:rPr>
                <w:szCs w:val="24"/>
                <w:lang w:eastAsia="et-EE"/>
              </w:rPr>
            </w:pPr>
            <w:r w:rsidRPr="001927D6">
              <w:rPr>
                <w:color w:val="000000"/>
                <w:szCs w:val="24"/>
              </w:rPr>
              <w:t>898,65</w:t>
            </w:r>
          </w:p>
        </w:tc>
        <w:tc>
          <w:tcPr>
            <w:tcW w:w="1238" w:type="dxa"/>
            <w:vAlign w:val="center"/>
          </w:tcPr>
          <w:p w14:paraId="541FD539" w14:textId="77777777" w:rsidR="00295BCD" w:rsidRPr="001927D6" w:rsidRDefault="00295BCD">
            <w:pPr>
              <w:spacing w:after="0" w:line="240" w:lineRule="auto"/>
              <w:jc w:val="center"/>
              <w:textAlignment w:val="baseline"/>
              <w:rPr>
                <w:szCs w:val="24"/>
                <w:lang w:eastAsia="et-EE"/>
              </w:rPr>
            </w:pPr>
            <w:r w:rsidRPr="001927D6">
              <w:rPr>
                <w:color w:val="000000"/>
                <w:szCs w:val="24"/>
              </w:rPr>
              <w:t>1 893,61</w:t>
            </w:r>
          </w:p>
        </w:tc>
      </w:tr>
      <w:tr w:rsidR="00295BCD" w:rsidRPr="001927D6" w14:paraId="71663288" w14:textId="77777777" w:rsidTr="00295BCD">
        <w:trPr>
          <w:divId w:val="1316184749"/>
          <w:trHeight w:val="300"/>
        </w:trPr>
        <w:tc>
          <w:tcPr>
            <w:tcW w:w="4632" w:type="dxa"/>
            <w:vAlign w:val="bottom"/>
            <w:hideMark/>
          </w:tcPr>
          <w:p w14:paraId="1893AB4D" w14:textId="77777777" w:rsidR="00295BCD" w:rsidRPr="001927D6" w:rsidRDefault="00295BCD">
            <w:pPr>
              <w:spacing w:after="0" w:line="240" w:lineRule="auto"/>
              <w:textAlignment w:val="baseline"/>
              <w:rPr>
                <w:szCs w:val="24"/>
                <w:lang w:eastAsia="et-EE"/>
              </w:rPr>
            </w:pPr>
            <w:r w:rsidRPr="001927D6">
              <w:rPr>
                <w:szCs w:val="24"/>
                <w:lang w:eastAsia="et-EE"/>
              </w:rPr>
              <w:t>Kõrvalkilpnäärme operatsioonid </w:t>
            </w:r>
          </w:p>
        </w:tc>
        <w:tc>
          <w:tcPr>
            <w:tcW w:w="732" w:type="dxa"/>
            <w:vAlign w:val="center"/>
            <w:hideMark/>
          </w:tcPr>
          <w:p w14:paraId="741F5660" w14:textId="77777777" w:rsidR="00295BCD" w:rsidRPr="001927D6" w:rsidRDefault="00295BCD">
            <w:pPr>
              <w:spacing w:after="0" w:line="240" w:lineRule="auto"/>
              <w:jc w:val="center"/>
              <w:textAlignment w:val="baseline"/>
              <w:rPr>
                <w:szCs w:val="24"/>
                <w:lang w:eastAsia="et-EE"/>
              </w:rPr>
            </w:pPr>
            <w:r w:rsidRPr="001927D6">
              <w:rPr>
                <w:szCs w:val="24"/>
                <w:lang w:eastAsia="et-EE"/>
              </w:rPr>
              <w:t>289 </w:t>
            </w:r>
          </w:p>
        </w:tc>
        <w:tc>
          <w:tcPr>
            <w:tcW w:w="1243" w:type="dxa"/>
            <w:vAlign w:val="center"/>
          </w:tcPr>
          <w:p w14:paraId="7141A3EC" w14:textId="77777777" w:rsidR="00295BCD" w:rsidRPr="001927D6" w:rsidRDefault="00295BCD">
            <w:pPr>
              <w:spacing w:after="0" w:line="240" w:lineRule="auto"/>
              <w:jc w:val="center"/>
              <w:textAlignment w:val="baseline"/>
              <w:rPr>
                <w:szCs w:val="24"/>
                <w:lang w:eastAsia="et-EE"/>
              </w:rPr>
            </w:pPr>
            <w:r w:rsidRPr="001927D6">
              <w:rPr>
                <w:color w:val="000000"/>
                <w:szCs w:val="24"/>
              </w:rPr>
              <w:t>2 032,92</w:t>
            </w:r>
          </w:p>
        </w:tc>
        <w:tc>
          <w:tcPr>
            <w:tcW w:w="1211" w:type="dxa"/>
            <w:vAlign w:val="center"/>
          </w:tcPr>
          <w:p w14:paraId="7E3A8918" w14:textId="77777777" w:rsidR="00295BCD" w:rsidRPr="001927D6" w:rsidRDefault="00295BCD">
            <w:pPr>
              <w:spacing w:after="0" w:line="240" w:lineRule="auto"/>
              <w:jc w:val="center"/>
              <w:textAlignment w:val="baseline"/>
              <w:rPr>
                <w:szCs w:val="24"/>
                <w:lang w:eastAsia="et-EE"/>
              </w:rPr>
            </w:pPr>
            <w:r w:rsidRPr="001927D6">
              <w:rPr>
                <w:color w:val="000000"/>
                <w:szCs w:val="24"/>
              </w:rPr>
              <w:t>1 653,01</w:t>
            </w:r>
          </w:p>
        </w:tc>
        <w:tc>
          <w:tcPr>
            <w:tcW w:w="1238" w:type="dxa"/>
            <w:vAlign w:val="center"/>
          </w:tcPr>
          <w:p w14:paraId="26AA615F" w14:textId="77777777" w:rsidR="00295BCD" w:rsidRPr="001927D6" w:rsidRDefault="00295BCD">
            <w:pPr>
              <w:spacing w:after="0" w:line="240" w:lineRule="auto"/>
              <w:jc w:val="center"/>
              <w:textAlignment w:val="baseline"/>
              <w:rPr>
                <w:szCs w:val="24"/>
                <w:lang w:eastAsia="et-EE"/>
              </w:rPr>
            </w:pPr>
            <w:r w:rsidRPr="001927D6">
              <w:rPr>
                <w:color w:val="000000"/>
                <w:szCs w:val="24"/>
              </w:rPr>
              <w:t>2 638,31</w:t>
            </w:r>
          </w:p>
        </w:tc>
      </w:tr>
      <w:tr w:rsidR="00295BCD" w:rsidRPr="001927D6" w14:paraId="5617D896" w14:textId="77777777" w:rsidTr="00295BCD">
        <w:trPr>
          <w:divId w:val="1316184749"/>
          <w:trHeight w:val="300"/>
        </w:trPr>
        <w:tc>
          <w:tcPr>
            <w:tcW w:w="4632" w:type="dxa"/>
            <w:vAlign w:val="bottom"/>
            <w:hideMark/>
          </w:tcPr>
          <w:p w14:paraId="78AD6E02" w14:textId="77777777" w:rsidR="00295BCD" w:rsidRPr="001927D6" w:rsidRDefault="00295BCD">
            <w:pPr>
              <w:spacing w:after="0" w:line="240" w:lineRule="auto"/>
              <w:textAlignment w:val="baseline"/>
              <w:rPr>
                <w:szCs w:val="24"/>
                <w:lang w:eastAsia="et-EE"/>
              </w:rPr>
            </w:pPr>
            <w:r w:rsidRPr="001927D6">
              <w:rPr>
                <w:szCs w:val="24"/>
                <w:lang w:eastAsia="et-EE"/>
              </w:rPr>
              <w:t>Kilpnäärme operatsioonid </w:t>
            </w:r>
          </w:p>
        </w:tc>
        <w:tc>
          <w:tcPr>
            <w:tcW w:w="732" w:type="dxa"/>
            <w:vAlign w:val="center"/>
            <w:hideMark/>
          </w:tcPr>
          <w:p w14:paraId="3062446E" w14:textId="77777777" w:rsidR="00295BCD" w:rsidRPr="001927D6" w:rsidRDefault="00295BCD">
            <w:pPr>
              <w:spacing w:after="0" w:line="240" w:lineRule="auto"/>
              <w:jc w:val="center"/>
              <w:textAlignment w:val="baseline"/>
              <w:rPr>
                <w:szCs w:val="24"/>
                <w:lang w:eastAsia="et-EE"/>
              </w:rPr>
            </w:pPr>
            <w:r w:rsidRPr="001927D6">
              <w:rPr>
                <w:szCs w:val="24"/>
                <w:lang w:eastAsia="et-EE"/>
              </w:rPr>
              <w:t>290 </w:t>
            </w:r>
          </w:p>
        </w:tc>
        <w:tc>
          <w:tcPr>
            <w:tcW w:w="1243" w:type="dxa"/>
            <w:vAlign w:val="center"/>
          </w:tcPr>
          <w:p w14:paraId="44E7F39F" w14:textId="77777777" w:rsidR="00295BCD" w:rsidRPr="001927D6" w:rsidRDefault="00295BCD">
            <w:pPr>
              <w:spacing w:after="0" w:line="240" w:lineRule="auto"/>
              <w:jc w:val="center"/>
              <w:textAlignment w:val="baseline"/>
              <w:rPr>
                <w:szCs w:val="24"/>
                <w:lang w:eastAsia="et-EE"/>
              </w:rPr>
            </w:pPr>
            <w:r w:rsidRPr="001927D6">
              <w:rPr>
                <w:color w:val="000000"/>
                <w:szCs w:val="24"/>
              </w:rPr>
              <w:t>2 169,93</w:t>
            </w:r>
          </w:p>
        </w:tc>
        <w:tc>
          <w:tcPr>
            <w:tcW w:w="1211" w:type="dxa"/>
            <w:vAlign w:val="center"/>
          </w:tcPr>
          <w:p w14:paraId="1179F56E" w14:textId="77777777" w:rsidR="00295BCD" w:rsidRPr="001927D6" w:rsidRDefault="00295BCD">
            <w:pPr>
              <w:spacing w:after="0" w:line="240" w:lineRule="auto"/>
              <w:jc w:val="center"/>
              <w:textAlignment w:val="baseline"/>
              <w:rPr>
                <w:szCs w:val="24"/>
                <w:lang w:eastAsia="et-EE"/>
              </w:rPr>
            </w:pPr>
            <w:r w:rsidRPr="001927D6">
              <w:rPr>
                <w:color w:val="000000"/>
                <w:szCs w:val="24"/>
              </w:rPr>
              <w:t>1 720,41</w:t>
            </w:r>
          </w:p>
        </w:tc>
        <w:tc>
          <w:tcPr>
            <w:tcW w:w="1238" w:type="dxa"/>
            <w:vAlign w:val="center"/>
          </w:tcPr>
          <w:p w14:paraId="0EC92833" w14:textId="77777777" w:rsidR="00295BCD" w:rsidRPr="001927D6" w:rsidRDefault="00295BCD">
            <w:pPr>
              <w:spacing w:after="0" w:line="240" w:lineRule="auto"/>
              <w:jc w:val="center"/>
              <w:textAlignment w:val="baseline"/>
              <w:rPr>
                <w:szCs w:val="24"/>
                <w:lang w:eastAsia="et-EE"/>
              </w:rPr>
            </w:pPr>
            <w:r w:rsidRPr="001927D6">
              <w:rPr>
                <w:color w:val="000000"/>
                <w:szCs w:val="24"/>
              </w:rPr>
              <w:t>2 830,37</w:t>
            </w:r>
          </w:p>
        </w:tc>
      </w:tr>
      <w:tr w:rsidR="00295BCD" w:rsidRPr="001927D6" w14:paraId="14400976" w14:textId="77777777" w:rsidTr="00295BCD">
        <w:trPr>
          <w:divId w:val="1316184749"/>
          <w:trHeight w:val="300"/>
        </w:trPr>
        <w:tc>
          <w:tcPr>
            <w:tcW w:w="4632" w:type="dxa"/>
            <w:vAlign w:val="bottom"/>
            <w:hideMark/>
          </w:tcPr>
          <w:p w14:paraId="6BDCC4D6" w14:textId="77777777" w:rsidR="00295BCD" w:rsidRPr="001927D6" w:rsidRDefault="00295BCD">
            <w:pPr>
              <w:spacing w:after="0" w:line="240" w:lineRule="auto"/>
              <w:textAlignment w:val="baseline"/>
              <w:rPr>
                <w:szCs w:val="24"/>
                <w:lang w:eastAsia="et-EE"/>
              </w:rPr>
            </w:pPr>
            <w:r w:rsidRPr="001927D6">
              <w:rPr>
                <w:szCs w:val="24"/>
                <w:lang w:eastAsia="et-EE"/>
              </w:rPr>
              <w:t>Kilpnäärme operatsioonid, lühike ravi </w:t>
            </w:r>
          </w:p>
        </w:tc>
        <w:tc>
          <w:tcPr>
            <w:tcW w:w="732" w:type="dxa"/>
            <w:vAlign w:val="center"/>
            <w:hideMark/>
          </w:tcPr>
          <w:p w14:paraId="0F78377D" w14:textId="77777777" w:rsidR="00295BCD" w:rsidRPr="001927D6" w:rsidRDefault="00295BCD">
            <w:pPr>
              <w:spacing w:after="0" w:line="240" w:lineRule="auto"/>
              <w:jc w:val="center"/>
              <w:textAlignment w:val="baseline"/>
              <w:rPr>
                <w:szCs w:val="24"/>
                <w:lang w:eastAsia="et-EE"/>
              </w:rPr>
            </w:pPr>
            <w:r w:rsidRPr="001927D6">
              <w:rPr>
                <w:szCs w:val="24"/>
                <w:lang w:eastAsia="et-EE"/>
              </w:rPr>
              <w:t>290O </w:t>
            </w:r>
          </w:p>
        </w:tc>
        <w:tc>
          <w:tcPr>
            <w:tcW w:w="1243" w:type="dxa"/>
            <w:vAlign w:val="center"/>
          </w:tcPr>
          <w:p w14:paraId="11F55FB3" w14:textId="77777777" w:rsidR="00295BCD" w:rsidRPr="001927D6" w:rsidRDefault="00295BCD">
            <w:pPr>
              <w:spacing w:after="0" w:line="240" w:lineRule="auto"/>
              <w:jc w:val="center"/>
              <w:textAlignment w:val="baseline"/>
              <w:rPr>
                <w:szCs w:val="24"/>
                <w:lang w:eastAsia="et-EE"/>
              </w:rPr>
            </w:pPr>
            <w:r w:rsidRPr="001927D6">
              <w:rPr>
                <w:color w:val="000000"/>
                <w:szCs w:val="24"/>
              </w:rPr>
              <w:t>1 828,93</w:t>
            </w:r>
          </w:p>
        </w:tc>
        <w:tc>
          <w:tcPr>
            <w:tcW w:w="1211" w:type="dxa"/>
            <w:vAlign w:val="center"/>
          </w:tcPr>
          <w:p w14:paraId="0D650CBA" w14:textId="77777777" w:rsidR="00295BCD" w:rsidRPr="001927D6" w:rsidRDefault="00295BCD">
            <w:pPr>
              <w:spacing w:after="0" w:line="240" w:lineRule="auto"/>
              <w:jc w:val="center"/>
              <w:textAlignment w:val="baseline"/>
              <w:rPr>
                <w:szCs w:val="24"/>
                <w:lang w:eastAsia="et-EE"/>
              </w:rPr>
            </w:pPr>
            <w:r w:rsidRPr="001927D6">
              <w:rPr>
                <w:color w:val="000000"/>
                <w:szCs w:val="24"/>
              </w:rPr>
              <w:t>1 727,08</w:t>
            </w:r>
          </w:p>
        </w:tc>
        <w:tc>
          <w:tcPr>
            <w:tcW w:w="1238" w:type="dxa"/>
            <w:vAlign w:val="center"/>
          </w:tcPr>
          <w:p w14:paraId="78A605F9" w14:textId="77777777" w:rsidR="00295BCD" w:rsidRPr="001927D6" w:rsidRDefault="00295BCD">
            <w:pPr>
              <w:spacing w:after="0" w:line="240" w:lineRule="auto"/>
              <w:jc w:val="center"/>
              <w:textAlignment w:val="baseline"/>
              <w:rPr>
                <w:szCs w:val="24"/>
                <w:lang w:eastAsia="et-EE"/>
              </w:rPr>
            </w:pPr>
            <w:r w:rsidRPr="001927D6">
              <w:rPr>
                <w:color w:val="000000"/>
                <w:szCs w:val="24"/>
              </w:rPr>
              <w:t>1 998,54</w:t>
            </w:r>
          </w:p>
        </w:tc>
      </w:tr>
      <w:tr w:rsidR="00295BCD" w:rsidRPr="001927D6" w14:paraId="25A6D058" w14:textId="77777777" w:rsidTr="00295BCD">
        <w:trPr>
          <w:divId w:val="1316184749"/>
          <w:trHeight w:val="300"/>
        </w:trPr>
        <w:tc>
          <w:tcPr>
            <w:tcW w:w="4632" w:type="dxa"/>
            <w:vAlign w:val="bottom"/>
            <w:hideMark/>
          </w:tcPr>
          <w:p w14:paraId="77B7ABD6" w14:textId="77777777" w:rsidR="00295BCD" w:rsidRPr="001927D6" w:rsidRDefault="00295BCD">
            <w:pPr>
              <w:spacing w:after="0" w:line="240" w:lineRule="auto"/>
              <w:textAlignment w:val="baseline"/>
              <w:rPr>
                <w:szCs w:val="24"/>
                <w:lang w:eastAsia="et-EE"/>
              </w:rPr>
            </w:pPr>
            <w:r w:rsidRPr="001927D6">
              <w:rPr>
                <w:szCs w:val="24"/>
                <w:lang w:eastAsia="et-EE"/>
              </w:rPr>
              <w:t>Suhkurtõbi, vanus 0–17 </w:t>
            </w:r>
          </w:p>
        </w:tc>
        <w:tc>
          <w:tcPr>
            <w:tcW w:w="732" w:type="dxa"/>
            <w:vAlign w:val="center"/>
            <w:hideMark/>
          </w:tcPr>
          <w:p w14:paraId="5C4824E1" w14:textId="77777777" w:rsidR="00295BCD" w:rsidRPr="001927D6" w:rsidRDefault="00295BCD">
            <w:pPr>
              <w:spacing w:after="0" w:line="240" w:lineRule="auto"/>
              <w:jc w:val="center"/>
              <w:textAlignment w:val="baseline"/>
              <w:rPr>
                <w:szCs w:val="24"/>
                <w:lang w:eastAsia="et-EE"/>
              </w:rPr>
            </w:pPr>
            <w:r w:rsidRPr="001927D6">
              <w:rPr>
                <w:szCs w:val="24"/>
                <w:lang w:eastAsia="et-EE"/>
              </w:rPr>
              <w:t>291 </w:t>
            </w:r>
          </w:p>
        </w:tc>
        <w:tc>
          <w:tcPr>
            <w:tcW w:w="1243" w:type="dxa"/>
            <w:vAlign w:val="center"/>
          </w:tcPr>
          <w:p w14:paraId="56BBBA8E" w14:textId="77777777" w:rsidR="00295BCD" w:rsidRPr="001927D6" w:rsidRDefault="00295BCD">
            <w:pPr>
              <w:spacing w:after="0" w:line="240" w:lineRule="auto"/>
              <w:jc w:val="center"/>
              <w:textAlignment w:val="baseline"/>
              <w:rPr>
                <w:szCs w:val="24"/>
                <w:lang w:eastAsia="et-EE"/>
              </w:rPr>
            </w:pPr>
            <w:r w:rsidRPr="001927D6">
              <w:rPr>
                <w:color w:val="000000"/>
                <w:szCs w:val="24"/>
              </w:rPr>
              <w:t>1 103,89</w:t>
            </w:r>
          </w:p>
        </w:tc>
        <w:tc>
          <w:tcPr>
            <w:tcW w:w="1211" w:type="dxa"/>
            <w:vAlign w:val="center"/>
          </w:tcPr>
          <w:p w14:paraId="7AF0CC39" w14:textId="77777777" w:rsidR="00295BCD" w:rsidRPr="001927D6" w:rsidRDefault="00295BCD">
            <w:pPr>
              <w:spacing w:after="0" w:line="240" w:lineRule="auto"/>
              <w:jc w:val="center"/>
              <w:textAlignment w:val="baseline"/>
              <w:rPr>
                <w:szCs w:val="24"/>
                <w:lang w:eastAsia="et-EE"/>
              </w:rPr>
            </w:pPr>
            <w:r w:rsidRPr="001927D6">
              <w:rPr>
                <w:color w:val="000000"/>
                <w:szCs w:val="24"/>
              </w:rPr>
              <w:t>317,56</w:t>
            </w:r>
          </w:p>
        </w:tc>
        <w:tc>
          <w:tcPr>
            <w:tcW w:w="1238" w:type="dxa"/>
            <w:vAlign w:val="center"/>
          </w:tcPr>
          <w:p w14:paraId="02D7A377" w14:textId="77777777" w:rsidR="00295BCD" w:rsidRPr="001927D6" w:rsidRDefault="00295BCD">
            <w:pPr>
              <w:spacing w:after="0" w:line="240" w:lineRule="auto"/>
              <w:jc w:val="center"/>
              <w:textAlignment w:val="baseline"/>
              <w:rPr>
                <w:szCs w:val="24"/>
                <w:lang w:eastAsia="et-EE"/>
              </w:rPr>
            </w:pPr>
            <w:r w:rsidRPr="001927D6">
              <w:rPr>
                <w:color w:val="000000"/>
                <w:szCs w:val="24"/>
              </w:rPr>
              <w:t>2 198,39</w:t>
            </w:r>
          </w:p>
        </w:tc>
      </w:tr>
      <w:tr w:rsidR="00295BCD" w:rsidRPr="001927D6" w14:paraId="58C8B97E" w14:textId="77777777" w:rsidTr="00295BCD">
        <w:trPr>
          <w:divId w:val="1316184749"/>
          <w:trHeight w:val="300"/>
        </w:trPr>
        <w:tc>
          <w:tcPr>
            <w:tcW w:w="4632" w:type="dxa"/>
            <w:vAlign w:val="bottom"/>
            <w:hideMark/>
          </w:tcPr>
          <w:p w14:paraId="0B9377B9" w14:textId="77777777" w:rsidR="00295BCD" w:rsidRPr="001927D6" w:rsidRDefault="00295BCD">
            <w:pPr>
              <w:spacing w:after="0" w:line="240" w:lineRule="auto"/>
              <w:textAlignment w:val="baseline"/>
              <w:rPr>
                <w:szCs w:val="24"/>
                <w:lang w:eastAsia="et-EE"/>
              </w:rPr>
            </w:pPr>
            <w:r w:rsidRPr="001927D6">
              <w:rPr>
                <w:szCs w:val="24"/>
                <w:lang w:eastAsia="et-EE"/>
              </w:rPr>
              <w:t>Suhkurtõbi, vanus &gt; 17, kht-ga </w:t>
            </w:r>
          </w:p>
        </w:tc>
        <w:tc>
          <w:tcPr>
            <w:tcW w:w="732" w:type="dxa"/>
            <w:vAlign w:val="center"/>
            <w:hideMark/>
          </w:tcPr>
          <w:p w14:paraId="33649DB8" w14:textId="77777777" w:rsidR="00295BCD" w:rsidRPr="001927D6" w:rsidRDefault="00295BCD">
            <w:pPr>
              <w:spacing w:after="0" w:line="240" w:lineRule="auto"/>
              <w:jc w:val="center"/>
              <w:textAlignment w:val="baseline"/>
              <w:rPr>
                <w:szCs w:val="24"/>
                <w:lang w:eastAsia="et-EE"/>
              </w:rPr>
            </w:pPr>
            <w:r w:rsidRPr="001927D6">
              <w:rPr>
                <w:szCs w:val="24"/>
                <w:lang w:eastAsia="et-EE"/>
              </w:rPr>
              <w:t>291C </w:t>
            </w:r>
          </w:p>
        </w:tc>
        <w:tc>
          <w:tcPr>
            <w:tcW w:w="1243" w:type="dxa"/>
            <w:vAlign w:val="center"/>
          </w:tcPr>
          <w:p w14:paraId="36036773" w14:textId="77777777" w:rsidR="00295BCD" w:rsidRPr="001927D6" w:rsidRDefault="00295BCD">
            <w:pPr>
              <w:spacing w:after="0" w:line="240" w:lineRule="auto"/>
              <w:jc w:val="center"/>
              <w:textAlignment w:val="baseline"/>
              <w:rPr>
                <w:szCs w:val="24"/>
                <w:lang w:eastAsia="et-EE"/>
              </w:rPr>
            </w:pPr>
            <w:r w:rsidRPr="001927D6">
              <w:rPr>
                <w:color w:val="000000"/>
                <w:szCs w:val="24"/>
              </w:rPr>
              <w:t>2 420,17</w:t>
            </w:r>
          </w:p>
        </w:tc>
        <w:tc>
          <w:tcPr>
            <w:tcW w:w="1211" w:type="dxa"/>
            <w:vAlign w:val="center"/>
          </w:tcPr>
          <w:p w14:paraId="3BA464D2" w14:textId="77777777" w:rsidR="00295BCD" w:rsidRPr="001927D6" w:rsidRDefault="00295BCD">
            <w:pPr>
              <w:spacing w:after="0" w:line="240" w:lineRule="auto"/>
              <w:jc w:val="center"/>
              <w:textAlignment w:val="baseline"/>
              <w:rPr>
                <w:szCs w:val="24"/>
                <w:lang w:eastAsia="et-EE"/>
              </w:rPr>
            </w:pPr>
            <w:r w:rsidRPr="001927D6">
              <w:rPr>
                <w:color w:val="000000"/>
                <w:szCs w:val="24"/>
              </w:rPr>
              <w:t>702,88</w:t>
            </w:r>
          </w:p>
        </w:tc>
        <w:tc>
          <w:tcPr>
            <w:tcW w:w="1238" w:type="dxa"/>
            <w:vAlign w:val="center"/>
          </w:tcPr>
          <w:p w14:paraId="2CBC8F0D" w14:textId="77777777" w:rsidR="00295BCD" w:rsidRPr="001927D6" w:rsidRDefault="00295BCD">
            <w:pPr>
              <w:spacing w:after="0" w:line="240" w:lineRule="auto"/>
              <w:jc w:val="center"/>
              <w:textAlignment w:val="baseline"/>
              <w:rPr>
                <w:szCs w:val="24"/>
                <w:lang w:eastAsia="et-EE"/>
              </w:rPr>
            </w:pPr>
            <w:r w:rsidRPr="001927D6">
              <w:rPr>
                <w:color w:val="000000"/>
                <w:szCs w:val="24"/>
              </w:rPr>
              <w:t>6 021,36</w:t>
            </w:r>
          </w:p>
        </w:tc>
      </w:tr>
      <w:tr w:rsidR="00295BCD" w:rsidRPr="001927D6" w14:paraId="4751FF2C" w14:textId="77777777" w:rsidTr="00295BCD">
        <w:trPr>
          <w:divId w:val="1316184749"/>
          <w:trHeight w:val="300"/>
        </w:trPr>
        <w:tc>
          <w:tcPr>
            <w:tcW w:w="4632" w:type="dxa"/>
            <w:vAlign w:val="bottom"/>
            <w:hideMark/>
          </w:tcPr>
          <w:p w14:paraId="2780F376" w14:textId="77777777" w:rsidR="00295BCD" w:rsidRPr="001927D6" w:rsidRDefault="00295BCD">
            <w:pPr>
              <w:spacing w:after="0" w:line="240" w:lineRule="auto"/>
              <w:textAlignment w:val="baseline"/>
              <w:rPr>
                <w:szCs w:val="24"/>
                <w:lang w:eastAsia="et-EE"/>
              </w:rPr>
            </w:pPr>
            <w:r w:rsidRPr="001927D6">
              <w:rPr>
                <w:szCs w:val="24"/>
                <w:lang w:eastAsia="et-EE"/>
              </w:rPr>
              <w:t>Suhkurtõbi, vanus &gt; 17, hulgitüsistuste ja kht-ga </w:t>
            </w:r>
          </w:p>
        </w:tc>
        <w:tc>
          <w:tcPr>
            <w:tcW w:w="732" w:type="dxa"/>
            <w:vAlign w:val="center"/>
            <w:hideMark/>
          </w:tcPr>
          <w:p w14:paraId="1908C3CC" w14:textId="77777777" w:rsidR="00295BCD" w:rsidRPr="001927D6" w:rsidRDefault="00295BCD">
            <w:pPr>
              <w:spacing w:after="0" w:line="240" w:lineRule="auto"/>
              <w:jc w:val="center"/>
              <w:textAlignment w:val="baseline"/>
              <w:rPr>
                <w:szCs w:val="24"/>
                <w:lang w:eastAsia="et-EE"/>
              </w:rPr>
            </w:pPr>
            <w:r w:rsidRPr="001927D6">
              <w:rPr>
                <w:szCs w:val="24"/>
                <w:lang w:eastAsia="et-EE"/>
              </w:rPr>
              <w:t>291M </w:t>
            </w:r>
          </w:p>
        </w:tc>
        <w:tc>
          <w:tcPr>
            <w:tcW w:w="1243" w:type="dxa"/>
            <w:vAlign w:val="center"/>
          </w:tcPr>
          <w:p w14:paraId="004C18FE" w14:textId="77777777" w:rsidR="00295BCD" w:rsidRPr="001927D6" w:rsidRDefault="00295BCD">
            <w:pPr>
              <w:spacing w:after="0" w:line="240" w:lineRule="auto"/>
              <w:jc w:val="center"/>
              <w:textAlignment w:val="baseline"/>
              <w:rPr>
                <w:szCs w:val="24"/>
                <w:lang w:eastAsia="et-EE"/>
              </w:rPr>
            </w:pPr>
            <w:r w:rsidRPr="001927D6">
              <w:rPr>
                <w:color w:val="000000"/>
                <w:szCs w:val="24"/>
              </w:rPr>
              <w:t>4 401,20</w:t>
            </w:r>
          </w:p>
        </w:tc>
        <w:tc>
          <w:tcPr>
            <w:tcW w:w="1211" w:type="dxa"/>
            <w:vAlign w:val="center"/>
          </w:tcPr>
          <w:p w14:paraId="02677E60" w14:textId="77777777" w:rsidR="00295BCD" w:rsidRPr="001927D6" w:rsidRDefault="00295BCD">
            <w:pPr>
              <w:spacing w:after="0" w:line="240" w:lineRule="auto"/>
              <w:jc w:val="center"/>
              <w:textAlignment w:val="baseline"/>
              <w:rPr>
                <w:szCs w:val="24"/>
                <w:lang w:eastAsia="et-EE"/>
              </w:rPr>
            </w:pPr>
            <w:r w:rsidRPr="001927D6">
              <w:rPr>
                <w:color w:val="000000"/>
                <w:szCs w:val="24"/>
              </w:rPr>
              <w:t>1 094,93</w:t>
            </w:r>
          </w:p>
        </w:tc>
        <w:tc>
          <w:tcPr>
            <w:tcW w:w="1238" w:type="dxa"/>
            <w:vAlign w:val="center"/>
          </w:tcPr>
          <w:p w14:paraId="5767E1E5" w14:textId="77777777" w:rsidR="00295BCD" w:rsidRPr="001927D6" w:rsidRDefault="00295BCD">
            <w:pPr>
              <w:spacing w:after="0" w:line="240" w:lineRule="auto"/>
              <w:jc w:val="center"/>
              <w:textAlignment w:val="baseline"/>
              <w:rPr>
                <w:szCs w:val="24"/>
                <w:lang w:eastAsia="et-EE"/>
              </w:rPr>
            </w:pPr>
            <w:r w:rsidRPr="001927D6">
              <w:rPr>
                <w:color w:val="000000"/>
                <w:szCs w:val="24"/>
              </w:rPr>
              <w:t>11 244,90</w:t>
            </w:r>
          </w:p>
        </w:tc>
      </w:tr>
      <w:tr w:rsidR="00295BCD" w:rsidRPr="001927D6" w14:paraId="0E61F35F" w14:textId="77777777" w:rsidTr="00295BCD">
        <w:trPr>
          <w:divId w:val="1316184749"/>
          <w:trHeight w:val="300"/>
        </w:trPr>
        <w:tc>
          <w:tcPr>
            <w:tcW w:w="4632" w:type="dxa"/>
            <w:vAlign w:val="bottom"/>
            <w:hideMark/>
          </w:tcPr>
          <w:p w14:paraId="2FB7119A" w14:textId="77777777" w:rsidR="00295BCD" w:rsidRPr="001927D6" w:rsidRDefault="00295BCD">
            <w:pPr>
              <w:spacing w:after="0" w:line="240" w:lineRule="auto"/>
              <w:textAlignment w:val="baseline"/>
              <w:rPr>
                <w:szCs w:val="24"/>
                <w:lang w:eastAsia="et-EE"/>
              </w:rPr>
            </w:pPr>
            <w:r w:rsidRPr="001927D6">
              <w:rPr>
                <w:szCs w:val="24"/>
                <w:lang w:eastAsia="et-EE"/>
              </w:rPr>
              <w:t>Suhkurtõbi, vanus &gt; 17, kht-ta </w:t>
            </w:r>
          </w:p>
        </w:tc>
        <w:tc>
          <w:tcPr>
            <w:tcW w:w="732" w:type="dxa"/>
            <w:vAlign w:val="center"/>
            <w:hideMark/>
          </w:tcPr>
          <w:p w14:paraId="1D2B19E3" w14:textId="77777777" w:rsidR="00295BCD" w:rsidRPr="001927D6" w:rsidRDefault="00295BCD">
            <w:pPr>
              <w:spacing w:after="0" w:line="240" w:lineRule="auto"/>
              <w:jc w:val="center"/>
              <w:textAlignment w:val="baseline"/>
              <w:rPr>
                <w:szCs w:val="24"/>
                <w:lang w:eastAsia="et-EE"/>
              </w:rPr>
            </w:pPr>
            <w:r w:rsidRPr="001927D6">
              <w:rPr>
                <w:szCs w:val="24"/>
                <w:lang w:eastAsia="et-EE"/>
              </w:rPr>
              <w:t>291N </w:t>
            </w:r>
          </w:p>
        </w:tc>
        <w:tc>
          <w:tcPr>
            <w:tcW w:w="1243" w:type="dxa"/>
            <w:vAlign w:val="center"/>
          </w:tcPr>
          <w:p w14:paraId="198CE43F" w14:textId="77777777" w:rsidR="00295BCD" w:rsidRPr="001927D6" w:rsidRDefault="00295BCD">
            <w:pPr>
              <w:spacing w:after="0" w:line="240" w:lineRule="auto"/>
              <w:jc w:val="center"/>
              <w:textAlignment w:val="baseline"/>
              <w:rPr>
                <w:szCs w:val="24"/>
                <w:lang w:eastAsia="et-EE"/>
              </w:rPr>
            </w:pPr>
            <w:r w:rsidRPr="001927D6">
              <w:rPr>
                <w:color w:val="000000"/>
                <w:szCs w:val="24"/>
              </w:rPr>
              <w:t>1 504,20</w:t>
            </w:r>
          </w:p>
        </w:tc>
        <w:tc>
          <w:tcPr>
            <w:tcW w:w="1211" w:type="dxa"/>
            <w:vAlign w:val="center"/>
          </w:tcPr>
          <w:p w14:paraId="4D1D0300" w14:textId="77777777" w:rsidR="00295BCD" w:rsidRPr="001927D6" w:rsidRDefault="00295BCD">
            <w:pPr>
              <w:spacing w:after="0" w:line="240" w:lineRule="auto"/>
              <w:jc w:val="center"/>
              <w:textAlignment w:val="baseline"/>
              <w:rPr>
                <w:szCs w:val="24"/>
                <w:lang w:eastAsia="et-EE"/>
              </w:rPr>
            </w:pPr>
            <w:r w:rsidRPr="001927D6">
              <w:rPr>
                <w:color w:val="000000"/>
                <w:szCs w:val="24"/>
              </w:rPr>
              <w:t>587,13</w:t>
            </w:r>
          </w:p>
        </w:tc>
        <w:tc>
          <w:tcPr>
            <w:tcW w:w="1238" w:type="dxa"/>
            <w:vAlign w:val="center"/>
          </w:tcPr>
          <w:p w14:paraId="6D090717" w14:textId="77777777" w:rsidR="00295BCD" w:rsidRPr="001927D6" w:rsidRDefault="00295BCD">
            <w:pPr>
              <w:spacing w:after="0" w:line="240" w:lineRule="auto"/>
              <w:jc w:val="center"/>
              <w:textAlignment w:val="baseline"/>
              <w:rPr>
                <w:szCs w:val="24"/>
                <w:lang w:eastAsia="et-EE"/>
              </w:rPr>
            </w:pPr>
            <w:r w:rsidRPr="001927D6">
              <w:rPr>
                <w:color w:val="000000"/>
                <w:szCs w:val="24"/>
              </w:rPr>
              <w:t>3 014,66</w:t>
            </w:r>
          </w:p>
        </w:tc>
      </w:tr>
      <w:tr w:rsidR="00295BCD" w:rsidRPr="001927D6" w14:paraId="4614291C" w14:textId="77777777" w:rsidTr="00295BCD">
        <w:trPr>
          <w:divId w:val="1316184749"/>
          <w:trHeight w:val="300"/>
        </w:trPr>
        <w:tc>
          <w:tcPr>
            <w:tcW w:w="4632" w:type="dxa"/>
            <w:vAlign w:val="bottom"/>
            <w:hideMark/>
          </w:tcPr>
          <w:p w14:paraId="5EC23A48" w14:textId="77777777" w:rsidR="00295BCD" w:rsidRPr="001927D6" w:rsidRDefault="00295BCD">
            <w:pPr>
              <w:spacing w:after="0" w:line="240" w:lineRule="auto"/>
              <w:textAlignment w:val="baseline"/>
              <w:rPr>
                <w:szCs w:val="24"/>
                <w:lang w:eastAsia="et-EE"/>
              </w:rPr>
            </w:pPr>
            <w:r w:rsidRPr="001927D6">
              <w:rPr>
                <w:szCs w:val="24"/>
                <w:lang w:eastAsia="et-EE"/>
              </w:rPr>
              <w:t>Muud operatsioonid endokriin-, toitumis- ja ainevahetushäirete korral, kht-ga </w:t>
            </w:r>
          </w:p>
        </w:tc>
        <w:tc>
          <w:tcPr>
            <w:tcW w:w="732" w:type="dxa"/>
            <w:vAlign w:val="center"/>
            <w:hideMark/>
          </w:tcPr>
          <w:p w14:paraId="5C42D3E4" w14:textId="77777777" w:rsidR="00295BCD" w:rsidRPr="001927D6" w:rsidRDefault="00295BCD">
            <w:pPr>
              <w:spacing w:after="0" w:line="240" w:lineRule="auto"/>
              <w:jc w:val="center"/>
              <w:textAlignment w:val="baseline"/>
              <w:rPr>
                <w:szCs w:val="24"/>
                <w:lang w:eastAsia="et-EE"/>
              </w:rPr>
            </w:pPr>
            <w:r w:rsidRPr="001927D6">
              <w:rPr>
                <w:szCs w:val="24"/>
                <w:lang w:eastAsia="et-EE"/>
              </w:rPr>
              <w:t>292 </w:t>
            </w:r>
          </w:p>
        </w:tc>
        <w:tc>
          <w:tcPr>
            <w:tcW w:w="1243" w:type="dxa"/>
            <w:vAlign w:val="center"/>
          </w:tcPr>
          <w:p w14:paraId="0AC7B5B6" w14:textId="77777777" w:rsidR="00295BCD" w:rsidRPr="001927D6" w:rsidRDefault="00295BCD">
            <w:pPr>
              <w:spacing w:after="0" w:line="240" w:lineRule="auto"/>
              <w:jc w:val="center"/>
              <w:textAlignment w:val="baseline"/>
              <w:rPr>
                <w:szCs w:val="24"/>
                <w:lang w:eastAsia="et-EE"/>
              </w:rPr>
            </w:pPr>
            <w:r w:rsidRPr="001927D6">
              <w:rPr>
                <w:color w:val="000000"/>
                <w:szCs w:val="24"/>
              </w:rPr>
              <w:t>5 108,08</w:t>
            </w:r>
          </w:p>
        </w:tc>
        <w:tc>
          <w:tcPr>
            <w:tcW w:w="1211" w:type="dxa"/>
            <w:vAlign w:val="center"/>
          </w:tcPr>
          <w:p w14:paraId="2A92BF77" w14:textId="77777777" w:rsidR="00295BCD" w:rsidRPr="001927D6" w:rsidRDefault="00295BCD">
            <w:pPr>
              <w:spacing w:after="0" w:line="240" w:lineRule="auto"/>
              <w:jc w:val="center"/>
              <w:textAlignment w:val="baseline"/>
              <w:rPr>
                <w:szCs w:val="24"/>
                <w:lang w:eastAsia="et-EE"/>
              </w:rPr>
            </w:pPr>
            <w:r w:rsidRPr="001927D6">
              <w:rPr>
                <w:color w:val="000000"/>
                <w:szCs w:val="24"/>
              </w:rPr>
              <w:t>1 444,18</w:t>
            </w:r>
          </w:p>
        </w:tc>
        <w:tc>
          <w:tcPr>
            <w:tcW w:w="1238" w:type="dxa"/>
            <w:vAlign w:val="center"/>
          </w:tcPr>
          <w:p w14:paraId="5AC8027C" w14:textId="77777777" w:rsidR="00295BCD" w:rsidRPr="001927D6" w:rsidRDefault="00295BCD">
            <w:pPr>
              <w:spacing w:after="0" w:line="240" w:lineRule="auto"/>
              <w:jc w:val="center"/>
              <w:textAlignment w:val="baseline"/>
              <w:rPr>
                <w:szCs w:val="24"/>
                <w:lang w:eastAsia="et-EE"/>
              </w:rPr>
            </w:pPr>
            <w:r w:rsidRPr="001927D6">
              <w:rPr>
                <w:color w:val="000000"/>
                <w:szCs w:val="24"/>
              </w:rPr>
              <w:t>13 213,98</w:t>
            </w:r>
          </w:p>
        </w:tc>
      </w:tr>
      <w:tr w:rsidR="00295BCD" w:rsidRPr="001927D6" w14:paraId="667720C4" w14:textId="77777777" w:rsidTr="00295BCD">
        <w:trPr>
          <w:divId w:val="1316184749"/>
          <w:trHeight w:val="300"/>
        </w:trPr>
        <w:tc>
          <w:tcPr>
            <w:tcW w:w="4632" w:type="dxa"/>
            <w:vAlign w:val="bottom"/>
            <w:hideMark/>
          </w:tcPr>
          <w:p w14:paraId="0E79FDC1" w14:textId="77777777" w:rsidR="00295BCD" w:rsidRPr="001927D6" w:rsidRDefault="00295BCD">
            <w:pPr>
              <w:spacing w:after="0" w:line="240" w:lineRule="auto"/>
              <w:textAlignment w:val="baseline"/>
              <w:rPr>
                <w:szCs w:val="24"/>
                <w:lang w:eastAsia="et-EE"/>
              </w:rPr>
            </w:pPr>
            <w:r w:rsidRPr="001927D6">
              <w:rPr>
                <w:szCs w:val="24"/>
                <w:lang w:eastAsia="et-EE"/>
              </w:rPr>
              <w:t>Muud operatsioonid endokriin-, toitumis- ja ainevahetushäirete korral, kht-ta </w:t>
            </w:r>
          </w:p>
        </w:tc>
        <w:tc>
          <w:tcPr>
            <w:tcW w:w="732" w:type="dxa"/>
            <w:vAlign w:val="center"/>
            <w:hideMark/>
          </w:tcPr>
          <w:p w14:paraId="79087BC6" w14:textId="77777777" w:rsidR="00295BCD" w:rsidRPr="001927D6" w:rsidRDefault="00295BCD">
            <w:pPr>
              <w:spacing w:after="0" w:line="240" w:lineRule="auto"/>
              <w:jc w:val="center"/>
              <w:textAlignment w:val="baseline"/>
              <w:rPr>
                <w:szCs w:val="24"/>
                <w:lang w:eastAsia="et-EE"/>
              </w:rPr>
            </w:pPr>
            <w:r w:rsidRPr="001927D6">
              <w:rPr>
                <w:szCs w:val="24"/>
                <w:lang w:eastAsia="et-EE"/>
              </w:rPr>
              <w:t>293 </w:t>
            </w:r>
          </w:p>
        </w:tc>
        <w:tc>
          <w:tcPr>
            <w:tcW w:w="1243" w:type="dxa"/>
            <w:vAlign w:val="center"/>
          </w:tcPr>
          <w:p w14:paraId="558150A4" w14:textId="77777777" w:rsidR="00295BCD" w:rsidRPr="001927D6" w:rsidRDefault="00295BCD">
            <w:pPr>
              <w:spacing w:after="0" w:line="240" w:lineRule="auto"/>
              <w:jc w:val="center"/>
              <w:textAlignment w:val="baseline"/>
              <w:rPr>
                <w:szCs w:val="24"/>
                <w:lang w:eastAsia="et-EE"/>
              </w:rPr>
            </w:pPr>
            <w:r w:rsidRPr="001927D6">
              <w:rPr>
                <w:color w:val="000000"/>
                <w:szCs w:val="24"/>
              </w:rPr>
              <w:t>2 512,16</w:t>
            </w:r>
          </w:p>
        </w:tc>
        <w:tc>
          <w:tcPr>
            <w:tcW w:w="1211" w:type="dxa"/>
            <w:vAlign w:val="center"/>
          </w:tcPr>
          <w:p w14:paraId="5CFF8B34" w14:textId="77777777" w:rsidR="00295BCD" w:rsidRPr="001927D6" w:rsidRDefault="00295BCD">
            <w:pPr>
              <w:spacing w:after="0" w:line="240" w:lineRule="auto"/>
              <w:jc w:val="center"/>
              <w:textAlignment w:val="baseline"/>
              <w:rPr>
                <w:szCs w:val="24"/>
                <w:lang w:eastAsia="et-EE"/>
              </w:rPr>
            </w:pPr>
            <w:r w:rsidRPr="001927D6">
              <w:rPr>
                <w:color w:val="000000"/>
                <w:szCs w:val="24"/>
              </w:rPr>
              <w:t>1 056,35</w:t>
            </w:r>
          </w:p>
        </w:tc>
        <w:tc>
          <w:tcPr>
            <w:tcW w:w="1238" w:type="dxa"/>
            <w:vAlign w:val="center"/>
          </w:tcPr>
          <w:p w14:paraId="528C2BBF" w14:textId="77777777" w:rsidR="00295BCD" w:rsidRPr="001927D6" w:rsidRDefault="00295BCD">
            <w:pPr>
              <w:spacing w:after="0" w:line="240" w:lineRule="auto"/>
              <w:jc w:val="center"/>
              <w:textAlignment w:val="baseline"/>
              <w:rPr>
                <w:szCs w:val="24"/>
                <w:lang w:eastAsia="et-EE"/>
              </w:rPr>
            </w:pPr>
            <w:r w:rsidRPr="001927D6">
              <w:rPr>
                <w:color w:val="000000"/>
                <w:szCs w:val="24"/>
              </w:rPr>
              <w:t>7 676,08</w:t>
            </w:r>
          </w:p>
        </w:tc>
      </w:tr>
      <w:tr w:rsidR="00295BCD" w:rsidRPr="001927D6" w14:paraId="3F2B46BA" w14:textId="77777777" w:rsidTr="00295BCD">
        <w:trPr>
          <w:divId w:val="1316184749"/>
          <w:trHeight w:val="300"/>
        </w:trPr>
        <w:tc>
          <w:tcPr>
            <w:tcW w:w="4632" w:type="dxa"/>
            <w:vAlign w:val="bottom"/>
            <w:hideMark/>
          </w:tcPr>
          <w:p w14:paraId="0330EC01" w14:textId="77777777" w:rsidR="00295BCD" w:rsidRPr="001927D6" w:rsidRDefault="00295BCD">
            <w:pPr>
              <w:spacing w:after="0" w:line="240" w:lineRule="auto"/>
              <w:textAlignment w:val="baseline"/>
              <w:rPr>
                <w:szCs w:val="24"/>
                <w:lang w:eastAsia="et-EE"/>
              </w:rPr>
            </w:pPr>
            <w:r w:rsidRPr="001927D6">
              <w:rPr>
                <w:szCs w:val="24"/>
                <w:lang w:eastAsia="et-EE"/>
              </w:rPr>
              <w:t>Muud operatsioonid endokriin-, toitumis- ja ainevahetushäirete korral, lühike ravi </w:t>
            </w:r>
          </w:p>
        </w:tc>
        <w:tc>
          <w:tcPr>
            <w:tcW w:w="732" w:type="dxa"/>
            <w:vAlign w:val="center"/>
            <w:hideMark/>
          </w:tcPr>
          <w:p w14:paraId="06DA8BF4" w14:textId="77777777" w:rsidR="00295BCD" w:rsidRPr="001927D6" w:rsidRDefault="00295BCD">
            <w:pPr>
              <w:spacing w:after="0" w:line="240" w:lineRule="auto"/>
              <w:jc w:val="center"/>
              <w:textAlignment w:val="baseline"/>
              <w:rPr>
                <w:szCs w:val="24"/>
                <w:lang w:eastAsia="et-EE"/>
              </w:rPr>
            </w:pPr>
            <w:r w:rsidRPr="001927D6">
              <w:rPr>
                <w:szCs w:val="24"/>
                <w:lang w:eastAsia="et-EE"/>
              </w:rPr>
              <w:t>293O </w:t>
            </w:r>
          </w:p>
        </w:tc>
        <w:tc>
          <w:tcPr>
            <w:tcW w:w="1243" w:type="dxa"/>
            <w:vAlign w:val="center"/>
          </w:tcPr>
          <w:p w14:paraId="0937BBDB" w14:textId="77777777" w:rsidR="00295BCD" w:rsidRPr="001927D6" w:rsidRDefault="00295BCD">
            <w:pPr>
              <w:spacing w:after="0" w:line="240" w:lineRule="auto"/>
              <w:jc w:val="center"/>
              <w:textAlignment w:val="baseline"/>
              <w:rPr>
                <w:szCs w:val="24"/>
                <w:lang w:eastAsia="et-EE"/>
              </w:rPr>
            </w:pPr>
            <w:r w:rsidRPr="001927D6">
              <w:rPr>
                <w:color w:val="000000"/>
                <w:szCs w:val="24"/>
              </w:rPr>
              <w:t>1 526,17</w:t>
            </w:r>
          </w:p>
        </w:tc>
        <w:tc>
          <w:tcPr>
            <w:tcW w:w="1211" w:type="dxa"/>
            <w:vAlign w:val="center"/>
          </w:tcPr>
          <w:p w14:paraId="3A2E6B1C" w14:textId="77777777" w:rsidR="00295BCD" w:rsidRPr="001927D6" w:rsidRDefault="00295BCD">
            <w:pPr>
              <w:spacing w:after="0" w:line="240" w:lineRule="auto"/>
              <w:jc w:val="center"/>
              <w:textAlignment w:val="baseline"/>
              <w:rPr>
                <w:szCs w:val="24"/>
                <w:lang w:eastAsia="et-EE"/>
              </w:rPr>
            </w:pPr>
            <w:r w:rsidRPr="001927D6">
              <w:rPr>
                <w:color w:val="000000"/>
                <w:szCs w:val="24"/>
              </w:rPr>
              <w:t>724,28</w:t>
            </w:r>
          </w:p>
        </w:tc>
        <w:tc>
          <w:tcPr>
            <w:tcW w:w="1238" w:type="dxa"/>
            <w:vAlign w:val="center"/>
          </w:tcPr>
          <w:p w14:paraId="21CFE259" w14:textId="77777777" w:rsidR="00295BCD" w:rsidRPr="001927D6" w:rsidRDefault="00295BCD">
            <w:pPr>
              <w:spacing w:after="0" w:line="240" w:lineRule="auto"/>
              <w:jc w:val="center"/>
              <w:textAlignment w:val="baseline"/>
              <w:rPr>
                <w:szCs w:val="24"/>
                <w:lang w:eastAsia="et-EE"/>
              </w:rPr>
            </w:pPr>
            <w:r w:rsidRPr="001927D6">
              <w:rPr>
                <w:color w:val="000000"/>
                <w:szCs w:val="24"/>
              </w:rPr>
              <w:t>3 093,74</w:t>
            </w:r>
          </w:p>
        </w:tc>
      </w:tr>
      <w:tr w:rsidR="00295BCD" w:rsidRPr="001927D6" w14:paraId="01C48F63" w14:textId="77777777" w:rsidTr="00295BCD">
        <w:trPr>
          <w:divId w:val="1316184749"/>
          <w:trHeight w:val="300"/>
        </w:trPr>
        <w:tc>
          <w:tcPr>
            <w:tcW w:w="4632" w:type="dxa"/>
            <w:vAlign w:val="bottom"/>
            <w:hideMark/>
          </w:tcPr>
          <w:p w14:paraId="7A45119A" w14:textId="77777777" w:rsidR="00295BCD" w:rsidRPr="001927D6" w:rsidRDefault="00295BCD">
            <w:pPr>
              <w:spacing w:after="0" w:line="240" w:lineRule="auto"/>
              <w:textAlignment w:val="baseline"/>
              <w:rPr>
                <w:szCs w:val="24"/>
                <w:lang w:eastAsia="et-EE"/>
              </w:rPr>
            </w:pPr>
            <w:r w:rsidRPr="001927D6">
              <w:rPr>
                <w:szCs w:val="24"/>
                <w:lang w:eastAsia="et-EE"/>
              </w:rPr>
              <w:t>Toitumis- ja muud ainevahetushäired, vanus &gt; 17, kht-ga </w:t>
            </w:r>
          </w:p>
        </w:tc>
        <w:tc>
          <w:tcPr>
            <w:tcW w:w="732" w:type="dxa"/>
            <w:vAlign w:val="center"/>
            <w:hideMark/>
          </w:tcPr>
          <w:p w14:paraId="46C13E73" w14:textId="77777777" w:rsidR="00295BCD" w:rsidRPr="001927D6" w:rsidRDefault="00295BCD">
            <w:pPr>
              <w:spacing w:after="0" w:line="240" w:lineRule="auto"/>
              <w:jc w:val="center"/>
              <w:textAlignment w:val="baseline"/>
              <w:rPr>
                <w:szCs w:val="24"/>
                <w:lang w:eastAsia="et-EE"/>
              </w:rPr>
            </w:pPr>
            <w:r w:rsidRPr="001927D6">
              <w:rPr>
                <w:szCs w:val="24"/>
                <w:lang w:eastAsia="et-EE"/>
              </w:rPr>
              <w:t>296C </w:t>
            </w:r>
          </w:p>
        </w:tc>
        <w:tc>
          <w:tcPr>
            <w:tcW w:w="1243" w:type="dxa"/>
            <w:vAlign w:val="center"/>
          </w:tcPr>
          <w:p w14:paraId="7E85A534" w14:textId="77777777" w:rsidR="00295BCD" w:rsidRPr="001927D6" w:rsidRDefault="00295BCD">
            <w:pPr>
              <w:spacing w:after="0" w:line="240" w:lineRule="auto"/>
              <w:jc w:val="center"/>
              <w:textAlignment w:val="baseline"/>
              <w:rPr>
                <w:szCs w:val="24"/>
                <w:lang w:eastAsia="et-EE"/>
              </w:rPr>
            </w:pPr>
            <w:r w:rsidRPr="001927D6">
              <w:rPr>
                <w:color w:val="000000"/>
                <w:szCs w:val="24"/>
              </w:rPr>
              <w:t>2 414,44</w:t>
            </w:r>
          </w:p>
        </w:tc>
        <w:tc>
          <w:tcPr>
            <w:tcW w:w="1211" w:type="dxa"/>
            <w:vAlign w:val="center"/>
          </w:tcPr>
          <w:p w14:paraId="681FBD84" w14:textId="77777777" w:rsidR="00295BCD" w:rsidRPr="001927D6" w:rsidRDefault="00295BCD">
            <w:pPr>
              <w:spacing w:after="0" w:line="240" w:lineRule="auto"/>
              <w:jc w:val="center"/>
              <w:textAlignment w:val="baseline"/>
              <w:rPr>
                <w:szCs w:val="24"/>
                <w:lang w:eastAsia="et-EE"/>
              </w:rPr>
            </w:pPr>
            <w:r w:rsidRPr="001927D6">
              <w:rPr>
                <w:color w:val="000000"/>
                <w:szCs w:val="24"/>
              </w:rPr>
              <w:t>822,92</w:t>
            </w:r>
          </w:p>
        </w:tc>
        <w:tc>
          <w:tcPr>
            <w:tcW w:w="1238" w:type="dxa"/>
            <w:vAlign w:val="center"/>
          </w:tcPr>
          <w:p w14:paraId="24B65416" w14:textId="77777777" w:rsidR="00295BCD" w:rsidRPr="001927D6" w:rsidRDefault="00295BCD">
            <w:pPr>
              <w:spacing w:after="0" w:line="240" w:lineRule="auto"/>
              <w:jc w:val="center"/>
              <w:textAlignment w:val="baseline"/>
              <w:rPr>
                <w:szCs w:val="24"/>
                <w:lang w:eastAsia="et-EE"/>
              </w:rPr>
            </w:pPr>
            <w:r w:rsidRPr="001927D6">
              <w:rPr>
                <w:color w:val="000000"/>
                <w:szCs w:val="24"/>
              </w:rPr>
              <w:t>5 342,53</w:t>
            </w:r>
          </w:p>
        </w:tc>
      </w:tr>
      <w:tr w:rsidR="00295BCD" w:rsidRPr="001927D6" w14:paraId="59E6F5B7" w14:textId="77777777" w:rsidTr="00295BCD">
        <w:trPr>
          <w:divId w:val="1316184749"/>
          <w:trHeight w:val="300"/>
        </w:trPr>
        <w:tc>
          <w:tcPr>
            <w:tcW w:w="4632" w:type="dxa"/>
            <w:vAlign w:val="bottom"/>
            <w:hideMark/>
          </w:tcPr>
          <w:p w14:paraId="6CBD6FB3" w14:textId="77777777" w:rsidR="00295BCD" w:rsidRPr="001927D6" w:rsidRDefault="00295BCD">
            <w:pPr>
              <w:spacing w:after="0" w:line="240" w:lineRule="auto"/>
              <w:textAlignment w:val="baseline"/>
              <w:rPr>
                <w:szCs w:val="24"/>
                <w:lang w:eastAsia="et-EE"/>
              </w:rPr>
            </w:pPr>
            <w:r w:rsidRPr="001927D6">
              <w:rPr>
                <w:szCs w:val="24"/>
                <w:lang w:eastAsia="et-EE"/>
              </w:rPr>
              <w:t>Toitumis- ja muud ainevahetushäired, vanus &gt; 17, oluliste kht-ga </w:t>
            </w:r>
          </w:p>
        </w:tc>
        <w:tc>
          <w:tcPr>
            <w:tcW w:w="732" w:type="dxa"/>
            <w:vAlign w:val="center"/>
            <w:hideMark/>
          </w:tcPr>
          <w:p w14:paraId="3A7322B6" w14:textId="77777777" w:rsidR="00295BCD" w:rsidRPr="001927D6" w:rsidRDefault="00295BCD">
            <w:pPr>
              <w:spacing w:after="0" w:line="240" w:lineRule="auto"/>
              <w:jc w:val="center"/>
              <w:textAlignment w:val="baseline"/>
              <w:rPr>
                <w:szCs w:val="24"/>
                <w:lang w:eastAsia="et-EE"/>
              </w:rPr>
            </w:pPr>
            <w:r w:rsidRPr="001927D6">
              <w:rPr>
                <w:szCs w:val="24"/>
                <w:lang w:eastAsia="et-EE"/>
              </w:rPr>
              <w:t>296M </w:t>
            </w:r>
          </w:p>
        </w:tc>
        <w:tc>
          <w:tcPr>
            <w:tcW w:w="1243" w:type="dxa"/>
            <w:vAlign w:val="center"/>
          </w:tcPr>
          <w:p w14:paraId="6E077442" w14:textId="77777777" w:rsidR="00295BCD" w:rsidRPr="001927D6" w:rsidRDefault="00295BCD">
            <w:pPr>
              <w:spacing w:after="0" w:line="240" w:lineRule="auto"/>
              <w:jc w:val="center"/>
              <w:textAlignment w:val="baseline"/>
              <w:rPr>
                <w:szCs w:val="24"/>
                <w:lang w:eastAsia="et-EE"/>
              </w:rPr>
            </w:pPr>
            <w:r w:rsidRPr="001927D6">
              <w:rPr>
                <w:color w:val="000000"/>
                <w:szCs w:val="24"/>
              </w:rPr>
              <w:t>3 043,74</w:t>
            </w:r>
          </w:p>
        </w:tc>
        <w:tc>
          <w:tcPr>
            <w:tcW w:w="1211" w:type="dxa"/>
            <w:vAlign w:val="center"/>
          </w:tcPr>
          <w:p w14:paraId="2F040782" w14:textId="77777777" w:rsidR="00295BCD" w:rsidRPr="001927D6" w:rsidRDefault="00295BCD">
            <w:pPr>
              <w:spacing w:after="0" w:line="240" w:lineRule="auto"/>
              <w:jc w:val="center"/>
              <w:textAlignment w:val="baseline"/>
              <w:rPr>
                <w:szCs w:val="24"/>
                <w:lang w:eastAsia="et-EE"/>
              </w:rPr>
            </w:pPr>
            <w:r w:rsidRPr="001927D6">
              <w:rPr>
                <w:color w:val="000000"/>
                <w:szCs w:val="24"/>
              </w:rPr>
              <w:t>726,12</w:t>
            </w:r>
          </w:p>
        </w:tc>
        <w:tc>
          <w:tcPr>
            <w:tcW w:w="1238" w:type="dxa"/>
            <w:vAlign w:val="center"/>
          </w:tcPr>
          <w:p w14:paraId="48A0BFB2" w14:textId="77777777" w:rsidR="00295BCD" w:rsidRPr="001927D6" w:rsidRDefault="00295BCD">
            <w:pPr>
              <w:spacing w:after="0" w:line="240" w:lineRule="auto"/>
              <w:jc w:val="center"/>
              <w:textAlignment w:val="baseline"/>
              <w:rPr>
                <w:szCs w:val="24"/>
                <w:lang w:eastAsia="et-EE"/>
              </w:rPr>
            </w:pPr>
            <w:r w:rsidRPr="001927D6">
              <w:rPr>
                <w:color w:val="000000"/>
                <w:szCs w:val="24"/>
              </w:rPr>
              <w:t>5 663,27</w:t>
            </w:r>
          </w:p>
        </w:tc>
      </w:tr>
      <w:tr w:rsidR="00295BCD" w:rsidRPr="001927D6" w14:paraId="0B53FF06" w14:textId="77777777" w:rsidTr="00295BCD">
        <w:trPr>
          <w:divId w:val="1316184749"/>
          <w:trHeight w:val="300"/>
        </w:trPr>
        <w:tc>
          <w:tcPr>
            <w:tcW w:w="4632" w:type="dxa"/>
            <w:vAlign w:val="bottom"/>
            <w:hideMark/>
          </w:tcPr>
          <w:p w14:paraId="0C6D5675" w14:textId="77777777" w:rsidR="00295BCD" w:rsidRPr="001927D6" w:rsidRDefault="00295BCD">
            <w:pPr>
              <w:spacing w:after="0" w:line="240" w:lineRule="auto"/>
              <w:textAlignment w:val="baseline"/>
              <w:rPr>
                <w:szCs w:val="24"/>
                <w:lang w:eastAsia="et-EE"/>
              </w:rPr>
            </w:pPr>
            <w:r w:rsidRPr="001927D6">
              <w:rPr>
                <w:szCs w:val="24"/>
                <w:lang w:eastAsia="et-EE"/>
              </w:rPr>
              <w:t>Toitumis- ja muud ainevahetushäired, vanus &gt; 17, kht-ta </w:t>
            </w:r>
          </w:p>
        </w:tc>
        <w:tc>
          <w:tcPr>
            <w:tcW w:w="732" w:type="dxa"/>
            <w:vAlign w:val="center"/>
            <w:hideMark/>
          </w:tcPr>
          <w:p w14:paraId="599A8C56" w14:textId="77777777" w:rsidR="00295BCD" w:rsidRPr="001927D6" w:rsidRDefault="00295BCD">
            <w:pPr>
              <w:spacing w:after="0" w:line="240" w:lineRule="auto"/>
              <w:jc w:val="center"/>
              <w:textAlignment w:val="baseline"/>
              <w:rPr>
                <w:szCs w:val="24"/>
                <w:lang w:eastAsia="et-EE"/>
              </w:rPr>
            </w:pPr>
            <w:r w:rsidRPr="001927D6">
              <w:rPr>
                <w:szCs w:val="24"/>
                <w:lang w:eastAsia="et-EE"/>
              </w:rPr>
              <w:t>297 </w:t>
            </w:r>
          </w:p>
        </w:tc>
        <w:tc>
          <w:tcPr>
            <w:tcW w:w="1243" w:type="dxa"/>
            <w:vAlign w:val="center"/>
          </w:tcPr>
          <w:p w14:paraId="1906A42C" w14:textId="77777777" w:rsidR="00295BCD" w:rsidRPr="001927D6" w:rsidRDefault="00295BCD">
            <w:pPr>
              <w:spacing w:after="0" w:line="240" w:lineRule="auto"/>
              <w:jc w:val="center"/>
              <w:textAlignment w:val="baseline"/>
              <w:rPr>
                <w:szCs w:val="24"/>
                <w:lang w:eastAsia="et-EE"/>
              </w:rPr>
            </w:pPr>
            <w:r w:rsidRPr="001927D6">
              <w:rPr>
                <w:color w:val="000000"/>
                <w:szCs w:val="24"/>
              </w:rPr>
              <w:t>1 541,27</w:t>
            </w:r>
          </w:p>
        </w:tc>
        <w:tc>
          <w:tcPr>
            <w:tcW w:w="1211" w:type="dxa"/>
            <w:vAlign w:val="center"/>
          </w:tcPr>
          <w:p w14:paraId="2ED4F929" w14:textId="77777777" w:rsidR="00295BCD" w:rsidRPr="001927D6" w:rsidRDefault="00295BCD">
            <w:pPr>
              <w:spacing w:after="0" w:line="240" w:lineRule="auto"/>
              <w:jc w:val="center"/>
              <w:textAlignment w:val="baseline"/>
              <w:rPr>
                <w:szCs w:val="24"/>
                <w:lang w:eastAsia="et-EE"/>
              </w:rPr>
            </w:pPr>
            <w:r w:rsidRPr="001927D6">
              <w:rPr>
                <w:color w:val="000000"/>
                <w:szCs w:val="24"/>
              </w:rPr>
              <w:t>413,96</w:t>
            </w:r>
          </w:p>
        </w:tc>
        <w:tc>
          <w:tcPr>
            <w:tcW w:w="1238" w:type="dxa"/>
            <w:vAlign w:val="center"/>
          </w:tcPr>
          <w:p w14:paraId="3B67772E" w14:textId="77777777" w:rsidR="00295BCD" w:rsidRPr="001927D6" w:rsidRDefault="00295BCD">
            <w:pPr>
              <w:spacing w:after="0" w:line="240" w:lineRule="auto"/>
              <w:jc w:val="center"/>
              <w:textAlignment w:val="baseline"/>
              <w:rPr>
                <w:szCs w:val="24"/>
                <w:lang w:eastAsia="et-EE"/>
              </w:rPr>
            </w:pPr>
            <w:r w:rsidRPr="001927D6">
              <w:rPr>
                <w:color w:val="000000"/>
                <w:szCs w:val="24"/>
              </w:rPr>
              <w:t>3 448,50</w:t>
            </w:r>
          </w:p>
        </w:tc>
      </w:tr>
      <w:tr w:rsidR="00295BCD" w:rsidRPr="001927D6" w14:paraId="1CF4C24B" w14:textId="77777777" w:rsidTr="00295BCD">
        <w:trPr>
          <w:divId w:val="1316184749"/>
          <w:trHeight w:val="300"/>
        </w:trPr>
        <w:tc>
          <w:tcPr>
            <w:tcW w:w="4632" w:type="dxa"/>
            <w:vAlign w:val="bottom"/>
            <w:hideMark/>
          </w:tcPr>
          <w:p w14:paraId="306B3E74" w14:textId="77777777" w:rsidR="00295BCD" w:rsidRPr="001927D6" w:rsidRDefault="00295BCD">
            <w:pPr>
              <w:spacing w:after="0" w:line="240" w:lineRule="auto"/>
              <w:textAlignment w:val="baseline"/>
              <w:rPr>
                <w:szCs w:val="24"/>
                <w:lang w:eastAsia="et-EE"/>
              </w:rPr>
            </w:pPr>
            <w:r w:rsidRPr="001927D6">
              <w:rPr>
                <w:szCs w:val="24"/>
                <w:lang w:eastAsia="et-EE"/>
              </w:rPr>
              <w:t>Toitumis- ja muud ainevahetushäired, vanus 0–17 </w:t>
            </w:r>
          </w:p>
        </w:tc>
        <w:tc>
          <w:tcPr>
            <w:tcW w:w="732" w:type="dxa"/>
            <w:vAlign w:val="center"/>
            <w:hideMark/>
          </w:tcPr>
          <w:p w14:paraId="1D47C79A" w14:textId="77777777" w:rsidR="00295BCD" w:rsidRPr="001927D6" w:rsidRDefault="00295BCD">
            <w:pPr>
              <w:spacing w:after="0" w:line="240" w:lineRule="auto"/>
              <w:jc w:val="center"/>
              <w:textAlignment w:val="baseline"/>
              <w:rPr>
                <w:szCs w:val="24"/>
                <w:lang w:eastAsia="et-EE"/>
              </w:rPr>
            </w:pPr>
            <w:r w:rsidRPr="001927D6">
              <w:rPr>
                <w:szCs w:val="24"/>
                <w:lang w:eastAsia="et-EE"/>
              </w:rPr>
              <w:t>298 </w:t>
            </w:r>
          </w:p>
        </w:tc>
        <w:tc>
          <w:tcPr>
            <w:tcW w:w="1243" w:type="dxa"/>
            <w:vAlign w:val="center"/>
          </w:tcPr>
          <w:p w14:paraId="65C12227" w14:textId="77777777" w:rsidR="00295BCD" w:rsidRPr="001927D6" w:rsidRDefault="00295BCD">
            <w:pPr>
              <w:spacing w:after="0" w:line="240" w:lineRule="auto"/>
              <w:jc w:val="center"/>
              <w:textAlignment w:val="baseline"/>
              <w:rPr>
                <w:szCs w:val="24"/>
                <w:lang w:eastAsia="et-EE"/>
              </w:rPr>
            </w:pPr>
            <w:r w:rsidRPr="001927D6">
              <w:rPr>
                <w:color w:val="000000"/>
                <w:szCs w:val="24"/>
              </w:rPr>
              <w:t>1 205,79</w:t>
            </w:r>
          </w:p>
        </w:tc>
        <w:tc>
          <w:tcPr>
            <w:tcW w:w="1211" w:type="dxa"/>
            <w:vAlign w:val="center"/>
          </w:tcPr>
          <w:p w14:paraId="3D482FC0" w14:textId="77777777" w:rsidR="00295BCD" w:rsidRPr="001927D6" w:rsidRDefault="00295BCD">
            <w:pPr>
              <w:spacing w:after="0" w:line="240" w:lineRule="auto"/>
              <w:jc w:val="center"/>
              <w:textAlignment w:val="baseline"/>
              <w:rPr>
                <w:szCs w:val="24"/>
                <w:lang w:eastAsia="et-EE"/>
              </w:rPr>
            </w:pPr>
            <w:r w:rsidRPr="001927D6">
              <w:rPr>
                <w:color w:val="000000"/>
                <w:szCs w:val="24"/>
              </w:rPr>
              <w:t>435,67</w:t>
            </w:r>
          </w:p>
        </w:tc>
        <w:tc>
          <w:tcPr>
            <w:tcW w:w="1238" w:type="dxa"/>
            <w:vAlign w:val="center"/>
          </w:tcPr>
          <w:p w14:paraId="155C9CB7" w14:textId="77777777" w:rsidR="00295BCD" w:rsidRPr="001927D6" w:rsidRDefault="00295BCD">
            <w:pPr>
              <w:spacing w:after="0" w:line="240" w:lineRule="auto"/>
              <w:jc w:val="center"/>
              <w:textAlignment w:val="baseline"/>
              <w:rPr>
                <w:szCs w:val="24"/>
                <w:lang w:eastAsia="et-EE"/>
              </w:rPr>
            </w:pPr>
            <w:r w:rsidRPr="001927D6">
              <w:rPr>
                <w:color w:val="000000"/>
                <w:szCs w:val="24"/>
              </w:rPr>
              <w:t>2 561,13</w:t>
            </w:r>
          </w:p>
        </w:tc>
      </w:tr>
      <w:tr w:rsidR="00295BCD" w:rsidRPr="001927D6" w14:paraId="12462F40" w14:textId="77777777" w:rsidTr="00295BCD">
        <w:trPr>
          <w:divId w:val="1316184749"/>
          <w:trHeight w:val="300"/>
        </w:trPr>
        <w:tc>
          <w:tcPr>
            <w:tcW w:w="4632" w:type="dxa"/>
            <w:vAlign w:val="bottom"/>
            <w:hideMark/>
          </w:tcPr>
          <w:p w14:paraId="74CE785B" w14:textId="77777777" w:rsidR="00295BCD" w:rsidRPr="001927D6" w:rsidRDefault="00295BCD">
            <w:pPr>
              <w:spacing w:after="0" w:line="240" w:lineRule="auto"/>
              <w:textAlignment w:val="baseline"/>
              <w:rPr>
                <w:szCs w:val="24"/>
                <w:lang w:eastAsia="et-EE"/>
              </w:rPr>
            </w:pPr>
            <w:r w:rsidRPr="001927D6">
              <w:rPr>
                <w:szCs w:val="24"/>
                <w:lang w:eastAsia="et-EE"/>
              </w:rPr>
              <w:t>Kaasasündinud ainevahetushäired </w:t>
            </w:r>
          </w:p>
        </w:tc>
        <w:tc>
          <w:tcPr>
            <w:tcW w:w="732" w:type="dxa"/>
            <w:vAlign w:val="center"/>
            <w:hideMark/>
          </w:tcPr>
          <w:p w14:paraId="2FEC3558" w14:textId="77777777" w:rsidR="00295BCD" w:rsidRPr="001927D6" w:rsidRDefault="00295BCD">
            <w:pPr>
              <w:spacing w:after="0" w:line="240" w:lineRule="auto"/>
              <w:jc w:val="center"/>
              <w:textAlignment w:val="baseline"/>
              <w:rPr>
                <w:szCs w:val="24"/>
                <w:lang w:eastAsia="et-EE"/>
              </w:rPr>
            </w:pPr>
            <w:r w:rsidRPr="001927D6">
              <w:rPr>
                <w:szCs w:val="24"/>
                <w:lang w:eastAsia="et-EE"/>
              </w:rPr>
              <w:t>299 </w:t>
            </w:r>
          </w:p>
        </w:tc>
        <w:tc>
          <w:tcPr>
            <w:tcW w:w="1243" w:type="dxa"/>
            <w:vAlign w:val="center"/>
          </w:tcPr>
          <w:p w14:paraId="13C7353B" w14:textId="77777777" w:rsidR="00295BCD" w:rsidRPr="001927D6" w:rsidRDefault="00295BCD">
            <w:pPr>
              <w:spacing w:after="0" w:line="240" w:lineRule="auto"/>
              <w:jc w:val="center"/>
              <w:textAlignment w:val="baseline"/>
              <w:rPr>
                <w:szCs w:val="24"/>
                <w:lang w:eastAsia="et-EE"/>
              </w:rPr>
            </w:pPr>
            <w:r w:rsidRPr="001927D6">
              <w:rPr>
                <w:color w:val="000000"/>
                <w:szCs w:val="24"/>
              </w:rPr>
              <w:t>1 214,89</w:t>
            </w:r>
          </w:p>
        </w:tc>
        <w:tc>
          <w:tcPr>
            <w:tcW w:w="1211" w:type="dxa"/>
            <w:vAlign w:val="center"/>
          </w:tcPr>
          <w:p w14:paraId="5C51DE1E" w14:textId="77777777" w:rsidR="00295BCD" w:rsidRPr="001927D6" w:rsidRDefault="00295BCD">
            <w:pPr>
              <w:spacing w:after="0" w:line="240" w:lineRule="auto"/>
              <w:jc w:val="center"/>
              <w:textAlignment w:val="baseline"/>
              <w:rPr>
                <w:szCs w:val="24"/>
                <w:lang w:eastAsia="et-EE"/>
              </w:rPr>
            </w:pPr>
            <w:r w:rsidRPr="001927D6">
              <w:rPr>
                <w:color w:val="000000"/>
                <w:szCs w:val="24"/>
              </w:rPr>
              <w:t>505,31</w:t>
            </w:r>
          </w:p>
        </w:tc>
        <w:tc>
          <w:tcPr>
            <w:tcW w:w="1238" w:type="dxa"/>
            <w:vAlign w:val="center"/>
          </w:tcPr>
          <w:p w14:paraId="4BC2FBE4" w14:textId="77777777" w:rsidR="00295BCD" w:rsidRPr="001927D6" w:rsidRDefault="00295BCD">
            <w:pPr>
              <w:spacing w:after="0" w:line="240" w:lineRule="auto"/>
              <w:jc w:val="center"/>
              <w:textAlignment w:val="baseline"/>
              <w:rPr>
                <w:szCs w:val="24"/>
                <w:lang w:eastAsia="et-EE"/>
              </w:rPr>
            </w:pPr>
            <w:r w:rsidRPr="001927D6">
              <w:rPr>
                <w:color w:val="000000"/>
                <w:szCs w:val="24"/>
              </w:rPr>
              <w:t>2 860,69</w:t>
            </w:r>
          </w:p>
        </w:tc>
      </w:tr>
      <w:tr w:rsidR="00295BCD" w:rsidRPr="001927D6" w14:paraId="2AFE24B9" w14:textId="77777777" w:rsidTr="00295BCD">
        <w:trPr>
          <w:divId w:val="1316184749"/>
          <w:trHeight w:val="300"/>
        </w:trPr>
        <w:tc>
          <w:tcPr>
            <w:tcW w:w="4632" w:type="dxa"/>
            <w:vAlign w:val="bottom"/>
            <w:hideMark/>
          </w:tcPr>
          <w:p w14:paraId="298F606D" w14:textId="77777777" w:rsidR="00295BCD" w:rsidRPr="001927D6" w:rsidRDefault="00295BCD">
            <w:pPr>
              <w:spacing w:after="0" w:line="240" w:lineRule="auto"/>
              <w:textAlignment w:val="baseline"/>
              <w:rPr>
                <w:szCs w:val="24"/>
                <w:lang w:eastAsia="et-EE"/>
              </w:rPr>
            </w:pPr>
            <w:r w:rsidRPr="001927D6">
              <w:rPr>
                <w:szCs w:val="24"/>
                <w:lang w:eastAsia="et-EE"/>
              </w:rPr>
              <w:t>Endokriinhaigused, kht-ga </w:t>
            </w:r>
          </w:p>
        </w:tc>
        <w:tc>
          <w:tcPr>
            <w:tcW w:w="732" w:type="dxa"/>
            <w:vAlign w:val="center"/>
            <w:hideMark/>
          </w:tcPr>
          <w:p w14:paraId="7C72F595" w14:textId="77777777" w:rsidR="00295BCD" w:rsidRPr="001927D6" w:rsidRDefault="00295BCD">
            <w:pPr>
              <w:spacing w:after="0" w:line="240" w:lineRule="auto"/>
              <w:jc w:val="center"/>
              <w:textAlignment w:val="baseline"/>
              <w:rPr>
                <w:szCs w:val="24"/>
                <w:lang w:eastAsia="et-EE"/>
              </w:rPr>
            </w:pPr>
            <w:r w:rsidRPr="001927D6">
              <w:rPr>
                <w:szCs w:val="24"/>
                <w:lang w:eastAsia="et-EE"/>
              </w:rPr>
              <w:t>300 </w:t>
            </w:r>
          </w:p>
        </w:tc>
        <w:tc>
          <w:tcPr>
            <w:tcW w:w="1243" w:type="dxa"/>
            <w:vAlign w:val="center"/>
          </w:tcPr>
          <w:p w14:paraId="614459FA" w14:textId="77777777" w:rsidR="00295BCD" w:rsidRPr="001927D6" w:rsidRDefault="00295BCD">
            <w:pPr>
              <w:spacing w:after="0" w:line="240" w:lineRule="auto"/>
              <w:jc w:val="center"/>
              <w:textAlignment w:val="baseline"/>
              <w:rPr>
                <w:szCs w:val="24"/>
                <w:lang w:eastAsia="et-EE"/>
              </w:rPr>
            </w:pPr>
            <w:r w:rsidRPr="001927D6">
              <w:rPr>
                <w:color w:val="000000"/>
                <w:szCs w:val="24"/>
              </w:rPr>
              <w:t>2 115,23</w:t>
            </w:r>
          </w:p>
        </w:tc>
        <w:tc>
          <w:tcPr>
            <w:tcW w:w="1211" w:type="dxa"/>
            <w:vAlign w:val="center"/>
          </w:tcPr>
          <w:p w14:paraId="163CA79C" w14:textId="77777777" w:rsidR="00295BCD" w:rsidRPr="001927D6" w:rsidRDefault="00295BCD">
            <w:pPr>
              <w:spacing w:after="0" w:line="240" w:lineRule="auto"/>
              <w:jc w:val="center"/>
              <w:textAlignment w:val="baseline"/>
              <w:rPr>
                <w:szCs w:val="24"/>
                <w:lang w:eastAsia="et-EE"/>
              </w:rPr>
            </w:pPr>
            <w:r w:rsidRPr="001927D6">
              <w:rPr>
                <w:color w:val="000000"/>
                <w:szCs w:val="24"/>
              </w:rPr>
              <w:t>435,15</w:t>
            </w:r>
          </w:p>
        </w:tc>
        <w:tc>
          <w:tcPr>
            <w:tcW w:w="1238" w:type="dxa"/>
            <w:vAlign w:val="center"/>
          </w:tcPr>
          <w:p w14:paraId="2FF6D2B5" w14:textId="77777777" w:rsidR="00295BCD" w:rsidRPr="001927D6" w:rsidRDefault="00295BCD">
            <w:pPr>
              <w:spacing w:after="0" w:line="240" w:lineRule="auto"/>
              <w:jc w:val="center"/>
              <w:textAlignment w:val="baseline"/>
              <w:rPr>
                <w:szCs w:val="24"/>
                <w:lang w:eastAsia="et-EE"/>
              </w:rPr>
            </w:pPr>
            <w:r w:rsidRPr="001927D6">
              <w:rPr>
                <w:color w:val="000000"/>
                <w:szCs w:val="24"/>
              </w:rPr>
              <w:t>5 600,91</w:t>
            </w:r>
          </w:p>
        </w:tc>
      </w:tr>
      <w:tr w:rsidR="00295BCD" w:rsidRPr="001927D6" w14:paraId="217232A8" w14:textId="77777777" w:rsidTr="00295BCD">
        <w:trPr>
          <w:divId w:val="1316184749"/>
          <w:trHeight w:val="300"/>
        </w:trPr>
        <w:tc>
          <w:tcPr>
            <w:tcW w:w="4632" w:type="dxa"/>
            <w:vAlign w:val="bottom"/>
            <w:hideMark/>
          </w:tcPr>
          <w:p w14:paraId="72D3A52C"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Endokriinhaigused, kht-ta </w:t>
            </w:r>
          </w:p>
        </w:tc>
        <w:tc>
          <w:tcPr>
            <w:tcW w:w="732" w:type="dxa"/>
            <w:vAlign w:val="center"/>
            <w:hideMark/>
          </w:tcPr>
          <w:p w14:paraId="3C746C44" w14:textId="77777777" w:rsidR="00295BCD" w:rsidRPr="001927D6" w:rsidRDefault="00295BCD">
            <w:pPr>
              <w:spacing w:after="0" w:line="240" w:lineRule="auto"/>
              <w:jc w:val="center"/>
              <w:textAlignment w:val="baseline"/>
              <w:rPr>
                <w:szCs w:val="24"/>
                <w:lang w:eastAsia="et-EE"/>
              </w:rPr>
            </w:pPr>
            <w:r w:rsidRPr="001927D6">
              <w:rPr>
                <w:szCs w:val="24"/>
                <w:lang w:eastAsia="et-EE"/>
              </w:rPr>
              <w:t>301 </w:t>
            </w:r>
          </w:p>
        </w:tc>
        <w:tc>
          <w:tcPr>
            <w:tcW w:w="1243" w:type="dxa"/>
            <w:vAlign w:val="center"/>
          </w:tcPr>
          <w:p w14:paraId="596A3A1A" w14:textId="77777777" w:rsidR="00295BCD" w:rsidRPr="001927D6" w:rsidRDefault="00295BCD">
            <w:pPr>
              <w:spacing w:after="0" w:line="240" w:lineRule="auto"/>
              <w:jc w:val="center"/>
              <w:textAlignment w:val="baseline"/>
              <w:rPr>
                <w:szCs w:val="24"/>
                <w:lang w:eastAsia="et-EE"/>
              </w:rPr>
            </w:pPr>
            <w:r w:rsidRPr="001927D6">
              <w:rPr>
                <w:color w:val="000000"/>
                <w:szCs w:val="24"/>
              </w:rPr>
              <w:t>1 340,36</w:t>
            </w:r>
          </w:p>
        </w:tc>
        <w:tc>
          <w:tcPr>
            <w:tcW w:w="1211" w:type="dxa"/>
            <w:vAlign w:val="center"/>
          </w:tcPr>
          <w:p w14:paraId="5B43E9A2" w14:textId="77777777" w:rsidR="00295BCD" w:rsidRPr="001927D6" w:rsidRDefault="00295BCD">
            <w:pPr>
              <w:spacing w:after="0" w:line="240" w:lineRule="auto"/>
              <w:jc w:val="center"/>
              <w:textAlignment w:val="baseline"/>
              <w:rPr>
                <w:szCs w:val="24"/>
                <w:lang w:eastAsia="et-EE"/>
              </w:rPr>
            </w:pPr>
            <w:r w:rsidRPr="001927D6">
              <w:rPr>
                <w:color w:val="000000"/>
                <w:szCs w:val="24"/>
              </w:rPr>
              <w:t>361,80</w:t>
            </w:r>
          </w:p>
        </w:tc>
        <w:tc>
          <w:tcPr>
            <w:tcW w:w="1238" w:type="dxa"/>
            <w:vAlign w:val="center"/>
          </w:tcPr>
          <w:p w14:paraId="5766E529" w14:textId="77777777" w:rsidR="00295BCD" w:rsidRPr="001927D6" w:rsidRDefault="00295BCD">
            <w:pPr>
              <w:spacing w:after="0" w:line="240" w:lineRule="auto"/>
              <w:jc w:val="center"/>
              <w:textAlignment w:val="baseline"/>
              <w:rPr>
                <w:szCs w:val="24"/>
                <w:lang w:eastAsia="et-EE"/>
              </w:rPr>
            </w:pPr>
            <w:r w:rsidRPr="001927D6">
              <w:rPr>
                <w:color w:val="000000"/>
                <w:szCs w:val="24"/>
              </w:rPr>
              <w:t>2 426,37</w:t>
            </w:r>
          </w:p>
        </w:tc>
      </w:tr>
      <w:tr w:rsidR="00295BCD" w:rsidRPr="001927D6" w14:paraId="01DE2186" w14:textId="77777777" w:rsidTr="00295BCD">
        <w:trPr>
          <w:divId w:val="1316184749"/>
          <w:trHeight w:val="300"/>
        </w:trPr>
        <w:tc>
          <w:tcPr>
            <w:tcW w:w="4632" w:type="dxa"/>
            <w:vAlign w:val="bottom"/>
            <w:hideMark/>
          </w:tcPr>
          <w:p w14:paraId="350E2BED" w14:textId="77777777" w:rsidR="00295BCD" w:rsidRPr="001927D6" w:rsidRDefault="00295BCD">
            <w:pPr>
              <w:spacing w:after="0" w:line="240" w:lineRule="auto"/>
              <w:textAlignment w:val="baseline"/>
              <w:rPr>
                <w:szCs w:val="24"/>
                <w:lang w:eastAsia="et-EE"/>
              </w:rPr>
            </w:pPr>
            <w:r w:rsidRPr="001927D6">
              <w:rPr>
                <w:szCs w:val="24"/>
                <w:lang w:eastAsia="et-EE"/>
              </w:rPr>
              <w:t>Neerude, kusejuha operatsioonid ja kusepõie suured operatsioonid kasvajate puhul </w:t>
            </w:r>
          </w:p>
        </w:tc>
        <w:tc>
          <w:tcPr>
            <w:tcW w:w="732" w:type="dxa"/>
            <w:vAlign w:val="center"/>
            <w:hideMark/>
          </w:tcPr>
          <w:p w14:paraId="7BB7F537" w14:textId="77777777" w:rsidR="00295BCD" w:rsidRPr="001927D6" w:rsidRDefault="00295BCD">
            <w:pPr>
              <w:spacing w:after="0" w:line="240" w:lineRule="auto"/>
              <w:jc w:val="center"/>
              <w:textAlignment w:val="baseline"/>
              <w:rPr>
                <w:szCs w:val="24"/>
                <w:lang w:eastAsia="et-EE"/>
              </w:rPr>
            </w:pPr>
            <w:r w:rsidRPr="001927D6">
              <w:rPr>
                <w:szCs w:val="24"/>
                <w:lang w:eastAsia="et-EE"/>
              </w:rPr>
              <w:t>303 </w:t>
            </w:r>
          </w:p>
        </w:tc>
        <w:tc>
          <w:tcPr>
            <w:tcW w:w="1243" w:type="dxa"/>
            <w:vAlign w:val="center"/>
          </w:tcPr>
          <w:p w14:paraId="5B47422E" w14:textId="77777777" w:rsidR="00295BCD" w:rsidRPr="001927D6" w:rsidRDefault="00295BCD">
            <w:pPr>
              <w:spacing w:after="0" w:line="240" w:lineRule="auto"/>
              <w:jc w:val="center"/>
              <w:textAlignment w:val="baseline"/>
              <w:rPr>
                <w:szCs w:val="24"/>
                <w:lang w:eastAsia="et-EE"/>
              </w:rPr>
            </w:pPr>
            <w:r w:rsidRPr="001927D6">
              <w:rPr>
                <w:color w:val="000000"/>
                <w:szCs w:val="24"/>
              </w:rPr>
              <w:t>6 077,70</w:t>
            </w:r>
          </w:p>
        </w:tc>
        <w:tc>
          <w:tcPr>
            <w:tcW w:w="1211" w:type="dxa"/>
            <w:vAlign w:val="center"/>
          </w:tcPr>
          <w:p w14:paraId="57C2BAA6" w14:textId="77777777" w:rsidR="00295BCD" w:rsidRPr="001927D6" w:rsidRDefault="00295BCD">
            <w:pPr>
              <w:spacing w:after="0" w:line="240" w:lineRule="auto"/>
              <w:jc w:val="center"/>
              <w:textAlignment w:val="baseline"/>
              <w:rPr>
                <w:szCs w:val="24"/>
                <w:lang w:eastAsia="et-EE"/>
              </w:rPr>
            </w:pPr>
            <w:r w:rsidRPr="001927D6">
              <w:rPr>
                <w:color w:val="000000"/>
                <w:szCs w:val="24"/>
              </w:rPr>
              <w:t>2 766,51</w:t>
            </w:r>
          </w:p>
        </w:tc>
        <w:tc>
          <w:tcPr>
            <w:tcW w:w="1238" w:type="dxa"/>
            <w:vAlign w:val="center"/>
          </w:tcPr>
          <w:p w14:paraId="647F4745" w14:textId="77777777" w:rsidR="00295BCD" w:rsidRPr="001927D6" w:rsidRDefault="00295BCD">
            <w:pPr>
              <w:spacing w:after="0" w:line="240" w:lineRule="auto"/>
              <w:jc w:val="center"/>
              <w:textAlignment w:val="baseline"/>
              <w:rPr>
                <w:szCs w:val="24"/>
                <w:lang w:eastAsia="et-EE"/>
              </w:rPr>
            </w:pPr>
            <w:r w:rsidRPr="001927D6">
              <w:rPr>
                <w:color w:val="000000"/>
                <w:szCs w:val="24"/>
              </w:rPr>
              <w:t>14 088,49</w:t>
            </w:r>
          </w:p>
        </w:tc>
      </w:tr>
      <w:tr w:rsidR="00295BCD" w:rsidRPr="001927D6" w14:paraId="45EA1DB0" w14:textId="77777777" w:rsidTr="00295BCD">
        <w:trPr>
          <w:divId w:val="1316184749"/>
          <w:trHeight w:val="300"/>
        </w:trPr>
        <w:tc>
          <w:tcPr>
            <w:tcW w:w="4632" w:type="dxa"/>
            <w:vAlign w:val="bottom"/>
            <w:hideMark/>
          </w:tcPr>
          <w:p w14:paraId="41B8C408" w14:textId="77777777" w:rsidR="00295BCD" w:rsidRPr="001927D6" w:rsidRDefault="00295BCD">
            <w:pPr>
              <w:spacing w:after="0" w:line="240" w:lineRule="auto"/>
              <w:textAlignment w:val="baseline"/>
              <w:rPr>
                <w:szCs w:val="24"/>
                <w:lang w:eastAsia="et-EE"/>
              </w:rPr>
            </w:pPr>
            <w:r w:rsidRPr="001927D6">
              <w:rPr>
                <w:szCs w:val="24"/>
                <w:lang w:eastAsia="et-EE"/>
              </w:rPr>
              <w:t>Neerude, kusejuha operatsioonid ja kusepõie suured operatsioonid mittekasvajaliste haiguste puhul, kht-ga </w:t>
            </w:r>
          </w:p>
        </w:tc>
        <w:tc>
          <w:tcPr>
            <w:tcW w:w="732" w:type="dxa"/>
            <w:vAlign w:val="center"/>
            <w:hideMark/>
          </w:tcPr>
          <w:p w14:paraId="68454325" w14:textId="77777777" w:rsidR="00295BCD" w:rsidRPr="001927D6" w:rsidRDefault="00295BCD">
            <w:pPr>
              <w:spacing w:after="0" w:line="240" w:lineRule="auto"/>
              <w:jc w:val="center"/>
              <w:textAlignment w:val="baseline"/>
              <w:rPr>
                <w:szCs w:val="24"/>
                <w:lang w:eastAsia="et-EE"/>
              </w:rPr>
            </w:pPr>
            <w:r w:rsidRPr="001927D6">
              <w:rPr>
                <w:szCs w:val="24"/>
                <w:lang w:eastAsia="et-EE"/>
              </w:rPr>
              <w:t>304 </w:t>
            </w:r>
          </w:p>
        </w:tc>
        <w:tc>
          <w:tcPr>
            <w:tcW w:w="1243" w:type="dxa"/>
            <w:vAlign w:val="center"/>
          </w:tcPr>
          <w:p w14:paraId="442DC3EC" w14:textId="77777777" w:rsidR="00295BCD" w:rsidRPr="001927D6" w:rsidRDefault="00295BCD">
            <w:pPr>
              <w:spacing w:after="0" w:line="240" w:lineRule="auto"/>
              <w:jc w:val="center"/>
              <w:textAlignment w:val="baseline"/>
              <w:rPr>
                <w:szCs w:val="24"/>
                <w:lang w:eastAsia="et-EE"/>
              </w:rPr>
            </w:pPr>
            <w:r w:rsidRPr="001927D6">
              <w:rPr>
                <w:color w:val="000000"/>
                <w:szCs w:val="24"/>
              </w:rPr>
              <w:t>4 572,16</w:t>
            </w:r>
          </w:p>
        </w:tc>
        <w:tc>
          <w:tcPr>
            <w:tcW w:w="1211" w:type="dxa"/>
            <w:vAlign w:val="center"/>
          </w:tcPr>
          <w:p w14:paraId="2AC21AA3" w14:textId="77777777" w:rsidR="00295BCD" w:rsidRPr="001927D6" w:rsidRDefault="00295BCD">
            <w:pPr>
              <w:spacing w:after="0" w:line="240" w:lineRule="auto"/>
              <w:jc w:val="center"/>
              <w:textAlignment w:val="baseline"/>
              <w:rPr>
                <w:szCs w:val="24"/>
                <w:lang w:eastAsia="et-EE"/>
              </w:rPr>
            </w:pPr>
            <w:r w:rsidRPr="001927D6">
              <w:rPr>
                <w:color w:val="000000"/>
                <w:szCs w:val="24"/>
              </w:rPr>
              <w:t>1 258,46</w:t>
            </w:r>
          </w:p>
        </w:tc>
        <w:tc>
          <w:tcPr>
            <w:tcW w:w="1238" w:type="dxa"/>
            <w:vAlign w:val="center"/>
          </w:tcPr>
          <w:p w14:paraId="7384BA40" w14:textId="77777777" w:rsidR="00295BCD" w:rsidRPr="001927D6" w:rsidRDefault="00295BCD">
            <w:pPr>
              <w:spacing w:after="0" w:line="240" w:lineRule="auto"/>
              <w:jc w:val="center"/>
              <w:textAlignment w:val="baseline"/>
              <w:rPr>
                <w:szCs w:val="24"/>
                <w:lang w:eastAsia="et-EE"/>
              </w:rPr>
            </w:pPr>
            <w:r w:rsidRPr="001927D6">
              <w:rPr>
                <w:color w:val="000000"/>
                <w:szCs w:val="24"/>
              </w:rPr>
              <w:t>11 428,16</w:t>
            </w:r>
          </w:p>
        </w:tc>
      </w:tr>
      <w:tr w:rsidR="00295BCD" w:rsidRPr="001927D6" w14:paraId="4FB60223" w14:textId="77777777" w:rsidTr="00295BCD">
        <w:trPr>
          <w:divId w:val="1316184749"/>
          <w:trHeight w:val="300"/>
        </w:trPr>
        <w:tc>
          <w:tcPr>
            <w:tcW w:w="4632" w:type="dxa"/>
            <w:vAlign w:val="bottom"/>
            <w:hideMark/>
          </w:tcPr>
          <w:p w14:paraId="4181CD44" w14:textId="77777777" w:rsidR="00295BCD" w:rsidRPr="001927D6" w:rsidRDefault="00295BCD">
            <w:pPr>
              <w:spacing w:after="0" w:line="240" w:lineRule="auto"/>
              <w:textAlignment w:val="baseline"/>
              <w:rPr>
                <w:szCs w:val="24"/>
                <w:lang w:eastAsia="et-EE"/>
              </w:rPr>
            </w:pPr>
            <w:r w:rsidRPr="001927D6">
              <w:rPr>
                <w:szCs w:val="24"/>
                <w:lang w:eastAsia="et-EE"/>
              </w:rPr>
              <w:t>Neerude, kusejuha operatsioonid ja kusepõie suured operatsioonid mittekasvajaliste haiguste puhul, kht-ta </w:t>
            </w:r>
          </w:p>
        </w:tc>
        <w:tc>
          <w:tcPr>
            <w:tcW w:w="732" w:type="dxa"/>
            <w:vAlign w:val="center"/>
            <w:hideMark/>
          </w:tcPr>
          <w:p w14:paraId="2BAC8BDC" w14:textId="77777777" w:rsidR="00295BCD" w:rsidRPr="001927D6" w:rsidRDefault="00295BCD">
            <w:pPr>
              <w:spacing w:after="0" w:line="240" w:lineRule="auto"/>
              <w:jc w:val="center"/>
              <w:textAlignment w:val="baseline"/>
              <w:rPr>
                <w:szCs w:val="24"/>
                <w:lang w:eastAsia="et-EE"/>
              </w:rPr>
            </w:pPr>
            <w:r w:rsidRPr="001927D6">
              <w:rPr>
                <w:szCs w:val="24"/>
                <w:lang w:eastAsia="et-EE"/>
              </w:rPr>
              <w:t>305 </w:t>
            </w:r>
          </w:p>
        </w:tc>
        <w:tc>
          <w:tcPr>
            <w:tcW w:w="1243" w:type="dxa"/>
            <w:vAlign w:val="center"/>
          </w:tcPr>
          <w:p w14:paraId="157E4ED1" w14:textId="77777777" w:rsidR="00295BCD" w:rsidRPr="001927D6" w:rsidRDefault="00295BCD">
            <w:pPr>
              <w:spacing w:after="0" w:line="240" w:lineRule="auto"/>
              <w:jc w:val="center"/>
              <w:textAlignment w:val="baseline"/>
              <w:rPr>
                <w:szCs w:val="24"/>
                <w:lang w:eastAsia="et-EE"/>
              </w:rPr>
            </w:pPr>
            <w:r w:rsidRPr="001927D6">
              <w:rPr>
                <w:color w:val="000000"/>
                <w:szCs w:val="24"/>
              </w:rPr>
              <w:t>3 998,75</w:t>
            </w:r>
          </w:p>
        </w:tc>
        <w:tc>
          <w:tcPr>
            <w:tcW w:w="1211" w:type="dxa"/>
            <w:vAlign w:val="center"/>
          </w:tcPr>
          <w:p w14:paraId="29A25DE0" w14:textId="77777777" w:rsidR="00295BCD" w:rsidRPr="001927D6" w:rsidRDefault="00295BCD">
            <w:pPr>
              <w:spacing w:after="0" w:line="240" w:lineRule="auto"/>
              <w:jc w:val="center"/>
              <w:textAlignment w:val="baseline"/>
              <w:rPr>
                <w:szCs w:val="24"/>
                <w:lang w:eastAsia="et-EE"/>
              </w:rPr>
            </w:pPr>
            <w:r w:rsidRPr="001927D6">
              <w:rPr>
                <w:color w:val="000000"/>
                <w:szCs w:val="24"/>
              </w:rPr>
              <w:t>1 454,62</w:t>
            </w:r>
          </w:p>
        </w:tc>
        <w:tc>
          <w:tcPr>
            <w:tcW w:w="1238" w:type="dxa"/>
            <w:vAlign w:val="center"/>
          </w:tcPr>
          <w:p w14:paraId="54F82BD2" w14:textId="77777777" w:rsidR="00295BCD" w:rsidRPr="001927D6" w:rsidRDefault="00295BCD">
            <w:pPr>
              <w:spacing w:after="0" w:line="240" w:lineRule="auto"/>
              <w:jc w:val="center"/>
              <w:textAlignment w:val="baseline"/>
              <w:rPr>
                <w:szCs w:val="24"/>
                <w:lang w:eastAsia="et-EE"/>
              </w:rPr>
            </w:pPr>
            <w:r w:rsidRPr="001927D6">
              <w:rPr>
                <w:color w:val="000000"/>
                <w:szCs w:val="24"/>
              </w:rPr>
              <w:t>5 662,82</w:t>
            </w:r>
          </w:p>
        </w:tc>
      </w:tr>
      <w:tr w:rsidR="00295BCD" w:rsidRPr="001927D6" w14:paraId="7E0DC787" w14:textId="77777777" w:rsidTr="00295BCD">
        <w:trPr>
          <w:divId w:val="1316184749"/>
          <w:trHeight w:val="300"/>
        </w:trPr>
        <w:tc>
          <w:tcPr>
            <w:tcW w:w="4632" w:type="dxa"/>
            <w:vAlign w:val="bottom"/>
            <w:hideMark/>
          </w:tcPr>
          <w:p w14:paraId="147CD34E" w14:textId="77777777" w:rsidR="00295BCD" w:rsidRPr="001927D6" w:rsidRDefault="00295BCD">
            <w:pPr>
              <w:spacing w:after="0" w:line="240" w:lineRule="auto"/>
              <w:textAlignment w:val="baseline"/>
              <w:rPr>
                <w:szCs w:val="24"/>
                <w:lang w:eastAsia="et-EE"/>
              </w:rPr>
            </w:pPr>
            <w:r w:rsidRPr="001927D6">
              <w:rPr>
                <w:szCs w:val="24"/>
                <w:lang w:eastAsia="et-EE"/>
              </w:rPr>
              <w:t>Neerude, kusejuha operatsioonid ja kusepõie suured operatsioonid mittekasvajaliste haiguste puhul, lühike ravi </w:t>
            </w:r>
          </w:p>
        </w:tc>
        <w:tc>
          <w:tcPr>
            <w:tcW w:w="732" w:type="dxa"/>
            <w:vAlign w:val="center"/>
            <w:hideMark/>
          </w:tcPr>
          <w:p w14:paraId="13C321F8" w14:textId="77777777" w:rsidR="00295BCD" w:rsidRPr="001927D6" w:rsidRDefault="00295BCD">
            <w:pPr>
              <w:spacing w:after="0" w:line="240" w:lineRule="auto"/>
              <w:jc w:val="center"/>
              <w:textAlignment w:val="baseline"/>
              <w:rPr>
                <w:szCs w:val="24"/>
                <w:lang w:eastAsia="et-EE"/>
              </w:rPr>
            </w:pPr>
            <w:r w:rsidRPr="001927D6">
              <w:rPr>
                <w:szCs w:val="24"/>
                <w:lang w:eastAsia="et-EE"/>
              </w:rPr>
              <w:t>305O </w:t>
            </w:r>
          </w:p>
        </w:tc>
        <w:tc>
          <w:tcPr>
            <w:tcW w:w="1243" w:type="dxa"/>
            <w:vAlign w:val="center"/>
          </w:tcPr>
          <w:p w14:paraId="3FFAD746" w14:textId="77777777" w:rsidR="00295BCD" w:rsidRPr="001927D6" w:rsidRDefault="00295BCD">
            <w:pPr>
              <w:spacing w:after="0" w:line="240" w:lineRule="auto"/>
              <w:jc w:val="center"/>
              <w:textAlignment w:val="baseline"/>
              <w:rPr>
                <w:szCs w:val="24"/>
                <w:lang w:eastAsia="et-EE"/>
              </w:rPr>
            </w:pPr>
            <w:r w:rsidRPr="001927D6">
              <w:rPr>
                <w:color w:val="000000"/>
                <w:szCs w:val="24"/>
              </w:rPr>
              <w:t>799,65</w:t>
            </w:r>
          </w:p>
        </w:tc>
        <w:tc>
          <w:tcPr>
            <w:tcW w:w="1211" w:type="dxa"/>
            <w:vAlign w:val="center"/>
          </w:tcPr>
          <w:p w14:paraId="15216A67" w14:textId="77777777" w:rsidR="00295BCD" w:rsidRPr="001927D6" w:rsidRDefault="00295BCD">
            <w:pPr>
              <w:spacing w:after="0" w:line="240" w:lineRule="auto"/>
              <w:jc w:val="center"/>
              <w:textAlignment w:val="baseline"/>
              <w:rPr>
                <w:szCs w:val="24"/>
                <w:lang w:eastAsia="et-EE"/>
              </w:rPr>
            </w:pPr>
            <w:r w:rsidRPr="001927D6">
              <w:rPr>
                <w:color w:val="000000"/>
                <w:szCs w:val="24"/>
              </w:rPr>
              <w:t>403,05</w:t>
            </w:r>
          </w:p>
        </w:tc>
        <w:tc>
          <w:tcPr>
            <w:tcW w:w="1238" w:type="dxa"/>
            <w:vAlign w:val="center"/>
          </w:tcPr>
          <w:p w14:paraId="3DFBC051" w14:textId="77777777" w:rsidR="00295BCD" w:rsidRPr="001927D6" w:rsidRDefault="00295BCD">
            <w:pPr>
              <w:spacing w:after="0" w:line="240" w:lineRule="auto"/>
              <w:jc w:val="center"/>
              <w:textAlignment w:val="baseline"/>
              <w:rPr>
                <w:szCs w:val="24"/>
                <w:lang w:eastAsia="et-EE"/>
              </w:rPr>
            </w:pPr>
            <w:r w:rsidRPr="001927D6">
              <w:rPr>
                <w:color w:val="000000"/>
                <w:szCs w:val="24"/>
              </w:rPr>
              <w:t>2 725,23</w:t>
            </w:r>
          </w:p>
        </w:tc>
      </w:tr>
      <w:tr w:rsidR="00295BCD" w:rsidRPr="001927D6" w14:paraId="13086CB5" w14:textId="77777777" w:rsidTr="00295BCD">
        <w:trPr>
          <w:divId w:val="1316184749"/>
          <w:trHeight w:val="300"/>
        </w:trPr>
        <w:tc>
          <w:tcPr>
            <w:tcW w:w="4632" w:type="dxa"/>
            <w:vAlign w:val="bottom"/>
            <w:hideMark/>
          </w:tcPr>
          <w:p w14:paraId="71AC79A8" w14:textId="77777777" w:rsidR="00295BCD" w:rsidRPr="001927D6" w:rsidRDefault="00295BCD">
            <w:pPr>
              <w:spacing w:after="0" w:line="240" w:lineRule="auto"/>
              <w:textAlignment w:val="baseline"/>
              <w:rPr>
                <w:szCs w:val="24"/>
                <w:lang w:eastAsia="et-EE"/>
              </w:rPr>
            </w:pPr>
            <w:r w:rsidRPr="001927D6">
              <w:rPr>
                <w:szCs w:val="24"/>
                <w:lang w:eastAsia="et-EE"/>
              </w:rPr>
              <w:t>Ureetra tehisliku sulgurlihase protseduur </w:t>
            </w:r>
          </w:p>
        </w:tc>
        <w:tc>
          <w:tcPr>
            <w:tcW w:w="732" w:type="dxa"/>
            <w:vAlign w:val="center"/>
            <w:hideMark/>
          </w:tcPr>
          <w:p w14:paraId="00C4065D" w14:textId="77777777" w:rsidR="00295BCD" w:rsidRPr="001927D6" w:rsidRDefault="00295BCD">
            <w:pPr>
              <w:spacing w:after="0" w:line="240" w:lineRule="auto"/>
              <w:jc w:val="center"/>
              <w:textAlignment w:val="baseline"/>
              <w:rPr>
                <w:szCs w:val="24"/>
                <w:lang w:eastAsia="et-EE"/>
              </w:rPr>
            </w:pPr>
            <w:r w:rsidRPr="001927D6">
              <w:rPr>
                <w:szCs w:val="24"/>
                <w:lang w:eastAsia="et-EE"/>
              </w:rPr>
              <w:t>307N </w:t>
            </w:r>
          </w:p>
        </w:tc>
        <w:tc>
          <w:tcPr>
            <w:tcW w:w="1243" w:type="dxa"/>
            <w:vAlign w:val="center"/>
          </w:tcPr>
          <w:p w14:paraId="7B34D9A6" w14:textId="77777777" w:rsidR="00295BCD" w:rsidRPr="001927D6" w:rsidRDefault="00295BCD">
            <w:pPr>
              <w:spacing w:after="0" w:line="240" w:lineRule="auto"/>
              <w:jc w:val="center"/>
              <w:textAlignment w:val="baseline"/>
              <w:rPr>
                <w:szCs w:val="24"/>
                <w:lang w:eastAsia="et-EE"/>
              </w:rPr>
            </w:pPr>
            <w:r w:rsidRPr="001927D6">
              <w:rPr>
                <w:color w:val="000000"/>
                <w:szCs w:val="24"/>
              </w:rPr>
              <w:t>4 079,93</w:t>
            </w:r>
          </w:p>
        </w:tc>
        <w:tc>
          <w:tcPr>
            <w:tcW w:w="1211" w:type="dxa"/>
            <w:vAlign w:val="center"/>
          </w:tcPr>
          <w:p w14:paraId="358EBA88" w14:textId="77777777" w:rsidR="00295BCD" w:rsidRPr="001927D6" w:rsidRDefault="00295BCD">
            <w:pPr>
              <w:spacing w:after="0" w:line="240" w:lineRule="auto"/>
              <w:jc w:val="center"/>
              <w:textAlignment w:val="baseline"/>
              <w:rPr>
                <w:szCs w:val="24"/>
                <w:lang w:eastAsia="et-EE"/>
              </w:rPr>
            </w:pPr>
            <w:r w:rsidRPr="001927D6">
              <w:rPr>
                <w:color w:val="000000"/>
                <w:szCs w:val="24"/>
              </w:rPr>
              <w:t>3 151,40</w:t>
            </w:r>
          </w:p>
        </w:tc>
        <w:tc>
          <w:tcPr>
            <w:tcW w:w="1238" w:type="dxa"/>
            <w:vAlign w:val="center"/>
          </w:tcPr>
          <w:p w14:paraId="3F96B0C6" w14:textId="77777777" w:rsidR="00295BCD" w:rsidRPr="001927D6" w:rsidRDefault="00295BCD">
            <w:pPr>
              <w:spacing w:after="0" w:line="240" w:lineRule="auto"/>
              <w:jc w:val="center"/>
              <w:textAlignment w:val="baseline"/>
              <w:rPr>
                <w:szCs w:val="24"/>
                <w:lang w:eastAsia="et-EE"/>
              </w:rPr>
            </w:pPr>
            <w:r w:rsidRPr="001927D6">
              <w:rPr>
                <w:color w:val="000000"/>
                <w:szCs w:val="24"/>
              </w:rPr>
              <w:t>4 535,23</w:t>
            </w:r>
          </w:p>
        </w:tc>
      </w:tr>
      <w:tr w:rsidR="00295BCD" w:rsidRPr="001927D6" w14:paraId="65E0C5CB" w14:textId="77777777" w:rsidTr="00295BCD">
        <w:trPr>
          <w:divId w:val="1316184749"/>
          <w:trHeight w:val="300"/>
        </w:trPr>
        <w:tc>
          <w:tcPr>
            <w:tcW w:w="4632" w:type="dxa"/>
            <w:vAlign w:val="bottom"/>
            <w:hideMark/>
          </w:tcPr>
          <w:p w14:paraId="453F07E3" w14:textId="77777777" w:rsidR="00295BCD" w:rsidRPr="001927D6" w:rsidRDefault="00295BCD">
            <w:pPr>
              <w:spacing w:after="0" w:line="240" w:lineRule="auto"/>
              <w:textAlignment w:val="baseline"/>
              <w:rPr>
                <w:szCs w:val="24"/>
                <w:lang w:eastAsia="et-EE"/>
              </w:rPr>
            </w:pPr>
            <w:r w:rsidRPr="001927D6">
              <w:rPr>
                <w:szCs w:val="24"/>
                <w:lang w:eastAsia="et-EE"/>
              </w:rPr>
              <w:t>Kusepõie väikesed operatsioonid, kht-ga </w:t>
            </w:r>
          </w:p>
        </w:tc>
        <w:tc>
          <w:tcPr>
            <w:tcW w:w="732" w:type="dxa"/>
            <w:vAlign w:val="center"/>
            <w:hideMark/>
          </w:tcPr>
          <w:p w14:paraId="1E1E68C8" w14:textId="77777777" w:rsidR="00295BCD" w:rsidRPr="001927D6" w:rsidRDefault="00295BCD">
            <w:pPr>
              <w:spacing w:after="0" w:line="240" w:lineRule="auto"/>
              <w:jc w:val="center"/>
              <w:textAlignment w:val="baseline"/>
              <w:rPr>
                <w:szCs w:val="24"/>
                <w:lang w:eastAsia="et-EE"/>
              </w:rPr>
            </w:pPr>
            <w:r w:rsidRPr="001927D6">
              <w:rPr>
                <w:szCs w:val="24"/>
                <w:lang w:eastAsia="et-EE"/>
              </w:rPr>
              <w:t>308 </w:t>
            </w:r>
          </w:p>
        </w:tc>
        <w:tc>
          <w:tcPr>
            <w:tcW w:w="1243" w:type="dxa"/>
            <w:vAlign w:val="center"/>
          </w:tcPr>
          <w:p w14:paraId="0FA687EB" w14:textId="77777777" w:rsidR="00295BCD" w:rsidRPr="001927D6" w:rsidRDefault="00295BCD">
            <w:pPr>
              <w:spacing w:after="0" w:line="240" w:lineRule="auto"/>
              <w:jc w:val="center"/>
              <w:textAlignment w:val="baseline"/>
              <w:rPr>
                <w:szCs w:val="24"/>
                <w:lang w:eastAsia="et-EE"/>
              </w:rPr>
            </w:pPr>
            <w:r w:rsidRPr="001927D6">
              <w:rPr>
                <w:color w:val="000000"/>
                <w:szCs w:val="24"/>
              </w:rPr>
              <w:t>2 978,77</w:t>
            </w:r>
          </w:p>
        </w:tc>
        <w:tc>
          <w:tcPr>
            <w:tcW w:w="1211" w:type="dxa"/>
            <w:vAlign w:val="center"/>
          </w:tcPr>
          <w:p w14:paraId="02B8EBE3" w14:textId="77777777" w:rsidR="00295BCD" w:rsidRPr="001927D6" w:rsidRDefault="00295BCD">
            <w:pPr>
              <w:spacing w:after="0" w:line="240" w:lineRule="auto"/>
              <w:jc w:val="center"/>
              <w:textAlignment w:val="baseline"/>
              <w:rPr>
                <w:szCs w:val="24"/>
                <w:lang w:eastAsia="et-EE"/>
              </w:rPr>
            </w:pPr>
            <w:r w:rsidRPr="001927D6">
              <w:rPr>
                <w:color w:val="000000"/>
                <w:szCs w:val="24"/>
              </w:rPr>
              <w:t>1 368,61</w:t>
            </w:r>
          </w:p>
        </w:tc>
        <w:tc>
          <w:tcPr>
            <w:tcW w:w="1238" w:type="dxa"/>
            <w:vAlign w:val="center"/>
          </w:tcPr>
          <w:p w14:paraId="0B3E08B5" w14:textId="77777777" w:rsidR="00295BCD" w:rsidRPr="001927D6" w:rsidRDefault="00295BCD">
            <w:pPr>
              <w:spacing w:after="0" w:line="240" w:lineRule="auto"/>
              <w:jc w:val="center"/>
              <w:textAlignment w:val="baseline"/>
              <w:rPr>
                <w:szCs w:val="24"/>
                <w:lang w:eastAsia="et-EE"/>
              </w:rPr>
            </w:pPr>
            <w:r w:rsidRPr="001927D6">
              <w:rPr>
                <w:color w:val="000000"/>
                <w:szCs w:val="24"/>
              </w:rPr>
              <w:t>5 554,44</w:t>
            </w:r>
          </w:p>
        </w:tc>
      </w:tr>
      <w:tr w:rsidR="00295BCD" w:rsidRPr="001927D6" w14:paraId="555F8A23" w14:textId="77777777" w:rsidTr="00295BCD">
        <w:trPr>
          <w:divId w:val="1316184749"/>
          <w:trHeight w:val="300"/>
        </w:trPr>
        <w:tc>
          <w:tcPr>
            <w:tcW w:w="4632" w:type="dxa"/>
            <w:vAlign w:val="bottom"/>
            <w:hideMark/>
          </w:tcPr>
          <w:p w14:paraId="7B10FCDC" w14:textId="77777777" w:rsidR="00295BCD" w:rsidRPr="001927D6" w:rsidRDefault="00295BCD">
            <w:pPr>
              <w:spacing w:after="0" w:line="240" w:lineRule="auto"/>
              <w:textAlignment w:val="baseline"/>
              <w:rPr>
                <w:szCs w:val="24"/>
                <w:lang w:eastAsia="et-EE"/>
              </w:rPr>
            </w:pPr>
            <w:r w:rsidRPr="001927D6">
              <w:rPr>
                <w:szCs w:val="24"/>
                <w:lang w:eastAsia="et-EE"/>
              </w:rPr>
              <w:t>Kusepõie väikesed operatsioonid, kht-ta </w:t>
            </w:r>
          </w:p>
        </w:tc>
        <w:tc>
          <w:tcPr>
            <w:tcW w:w="732" w:type="dxa"/>
            <w:vAlign w:val="center"/>
            <w:hideMark/>
          </w:tcPr>
          <w:p w14:paraId="55C18C11" w14:textId="77777777" w:rsidR="00295BCD" w:rsidRPr="001927D6" w:rsidRDefault="00295BCD">
            <w:pPr>
              <w:spacing w:after="0" w:line="240" w:lineRule="auto"/>
              <w:jc w:val="center"/>
              <w:textAlignment w:val="baseline"/>
              <w:rPr>
                <w:szCs w:val="24"/>
                <w:lang w:eastAsia="et-EE"/>
              </w:rPr>
            </w:pPr>
            <w:r w:rsidRPr="001927D6">
              <w:rPr>
                <w:szCs w:val="24"/>
                <w:lang w:eastAsia="et-EE"/>
              </w:rPr>
              <w:t>309 </w:t>
            </w:r>
          </w:p>
        </w:tc>
        <w:tc>
          <w:tcPr>
            <w:tcW w:w="1243" w:type="dxa"/>
            <w:vAlign w:val="center"/>
          </w:tcPr>
          <w:p w14:paraId="7D2743A9" w14:textId="77777777" w:rsidR="00295BCD" w:rsidRPr="001927D6" w:rsidRDefault="00295BCD">
            <w:pPr>
              <w:spacing w:after="0" w:line="240" w:lineRule="auto"/>
              <w:jc w:val="center"/>
              <w:textAlignment w:val="baseline"/>
              <w:rPr>
                <w:szCs w:val="24"/>
                <w:lang w:eastAsia="et-EE"/>
              </w:rPr>
            </w:pPr>
            <w:r w:rsidRPr="001927D6">
              <w:rPr>
                <w:color w:val="000000"/>
                <w:szCs w:val="24"/>
              </w:rPr>
              <w:t>2 145,63</w:t>
            </w:r>
          </w:p>
        </w:tc>
        <w:tc>
          <w:tcPr>
            <w:tcW w:w="1211" w:type="dxa"/>
            <w:vAlign w:val="center"/>
          </w:tcPr>
          <w:p w14:paraId="665BA247" w14:textId="77777777" w:rsidR="00295BCD" w:rsidRPr="001927D6" w:rsidRDefault="00295BCD">
            <w:pPr>
              <w:spacing w:after="0" w:line="240" w:lineRule="auto"/>
              <w:jc w:val="center"/>
              <w:textAlignment w:val="baseline"/>
              <w:rPr>
                <w:szCs w:val="24"/>
                <w:lang w:eastAsia="et-EE"/>
              </w:rPr>
            </w:pPr>
            <w:r w:rsidRPr="001927D6">
              <w:rPr>
                <w:color w:val="000000"/>
                <w:szCs w:val="24"/>
              </w:rPr>
              <w:t>1 262,59</w:t>
            </w:r>
          </w:p>
        </w:tc>
        <w:tc>
          <w:tcPr>
            <w:tcW w:w="1238" w:type="dxa"/>
            <w:vAlign w:val="center"/>
          </w:tcPr>
          <w:p w14:paraId="646D6F9B" w14:textId="77777777" w:rsidR="00295BCD" w:rsidRPr="001927D6" w:rsidRDefault="00295BCD">
            <w:pPr>
              <w:spacing w:after="0" w:line="240" w:lineRule="auto"/>
              <w:jc w:val="center"/>
              <w:textAlignment w:val="baseline"/>
              <w:rPr>
                <w:szCs w:val="24"/>
                <w:lang w:eastAsia="et-EE"/>
              </w:rPr>
            </w:pPr>
            <w:r w:rsidRPr="001927D6">
              <w:rPr>
                <w:color w:val="000000"/>
                <w:szCs w:val="24"/>
              </w:rPr>
              <w:t>4 190,17</w:t>
            </w:r>
          </w:p>
        </w:tc>
      </w:tr>
      <w:tr w:rsidR="00295BCD" w:rsidRPr="001927D6" w14:paraId="6B8B8316" w14:textId="77777777" w:rsidTr="00295BCD">
        <w:trPr>
          <w:divId w:val="1316184749"/>
          <w:trHeight w:val="300"/>
        </w:trPr>
        <w:tc>
          <w:tcPr>
            <w:tcW w:w="4632" w:type="dxa"/>
            <w:vAlign w:val="bottom"/>
            <w:hideMark/>
          </w:tcPr>
          <w:p w14:paraId="4D435215" w14:textId="77777777" w:rsidR="00295BCD" w:rsidRPr="001927D6" w:rsidRDefault="00295BCD">
            <w:pPr>
              <w:spacing w:after="0" w:line="240" w:lineRule="auto"/>
              <w:textAlignment w:val="baseline"/>
              <w:rPr>
                <w:szCs w:val="24"/>
                <w:lang w:eastAsia="et-EE"/>
              </w:rPr>
            </w:pPr>
            <w:r w:rsidRPr="001927D6">
              <w:rPr>
                <w:szCs w:val="24"/>
                <w:lang w:eastAsia="et-EE"/>
              </w:rPr>
              <w:t>Kusepõie väikesed operatsioonid, lühike ravi </w:t>
            </w:r>
          </w:p>
        </w:tc>
        <w:tc>
          <w:tcPr>
            <w:tcW w:w="732" w:type="dxa"/>
            <w:vAlign w:val="center"/>
            <w:hideMark/>
          </w:tcPr>
          <w:p w14:paraId="2AB0C2A7" w14:textId="77777777" w:rsidR="00295BCD" w:rsidRPr="001927D6" w:rsidRDefault="00295BCD">
            <w:pPr>
              <w:spacing w:after="0" w:line="240" w:lineRule="auto"/>
              <w:jc w:val="center"/>
              <w:textAlignment w:val="baseline"/>
              <w:rPr>
                <w:szCs w:val="24"/>
                <w:lang w:eastAsia="et-EE"/>
              </w:rPr>
            </w:pPr>
            <w:r w:rsidRPr="001927D6">
              <w:rPr>
                <w:szCs w:val="24"/>
                <w:lang w:eastAsia="et-EE"/>
              </w:rPr>
              <w:t>309O </w:t>
            </w:r>
          </w:p>
        </w:tc>
        <w:tc>
          <w:tcPr>
            <w:tcW w:w="1243" w:type="dxa"/>
            <w:vAlign w:val="center"/>
          </w:tcPr>
          <w:p w14:paraId="5A283E08" w14:textId="77777777" w:rsidR="00295BCD" w:rsidRPr="001927D6" w:rsidRDefault="00295BCD">
            <w:pPr>
              <w:spacing w:after="0" w:line="240" w:lineRule="auto"/>
              <w:jc w:val="center"/>
              <w:textAlignment w:val="baseline"/>
              <w:rPr>
                <w:szCs w:val="24"/>
                <w:lang w:eastAsia="et-EE"/>
              </w:rPr>
            </w:pPr>
            <w:r w:rsidRPr="001927D6">
              <w:rPr>
                <w:color w:val="000000"/>
                <w:szCs w:val="24"/>
              </w:rPr>
              <w:t>1 409,16</w:t>
            </w:r>
          </w:p>
        </w:tc>
        <w:tc>
          <w:tcPr>
            <w:tcW w:w="1211" w:type="dxa"/>
            <w:vAlign w:val="center"/>
          </w:tcPr>
          <w:p w14:paraId="54E0B00B" w14:textId="77777777" w:rsidR="00295BCD" w:rsidRPr="001927D6" w:rsidRDefault="00295BCD">
            <w:pPr>
              <w:spacing w:after="0" w:line="240" w:lineRule="auto"/>
              <w:jc w:val="center"/>
              <w:textAlignment w:val="baseline"/>
              <w:rPr>
                <w:szCs w:val="24"/>
                <w:lang w:eastAsia="et-EE"/>
              </w:rPr>
            </w:pPr>
            <w:r w:rsidRPr="001927D6">
              <w:rPr>
                <w:color w:val="000000"/>
                <w:szCs w:val="24"/>
              </w:rPr>
              <w:t>1 130,55</w:t>
            </w:r>
          </w:p>
        </w:tc>
        <w:tc>
          <w:tcPr>
            <w:tcW w:w="1238" w:type="dxa"/>
            <w:vAlign w:val="center"/>
          </w:tcPr>
          <w:p w14:paraId="4ACE687E" w14:textId="77777777" w:rsidR="00295BCD" w:rsidRPr="001927D6" w:rsidRDefault="00295BCD">
            <w:pPr>
              <w:spacing w:after="0" w:line="240" w:lineRule="auto"/>
              <w:jc w:val="center"/>
              <w:textAlignment w:val="baseline"/>
              <w:rPr>
                <w:szCs w:val="24"/>
                <w:lang w:eastAsia="et-EE"/>
              </w:rPr>
            </w:pPr>
            <w:r w:rsidRPr="001927D6">
              <w:rPr>
                <w:color w:val="000000"/>
                <w:szCs w:val="24"/>
              </w:rPr>
              <w:t>1 727,45</w:t>
            </w:r>
          </w:p>
        </w:tc>
      </w:tr>
      <w:tr w:rsidR="00295BCD" w:rsidRPr="001927D6" w14:paraId="2D0308DE" w14:textId="77777777" w:rsidTr="00295BCD">
        <w:trPr>
          <w:divId w:val="1316184749"/>
          <w:trHeight w:val="300"/>
        </w:trPr>
        <w:tc>
          <w:tcPr>
            <w:tcW w:w="4632" w:type="dxa"/>
            <w:vAlign w:val="bottom"/>
            <w:hideMark/>
          </w:tcPr>
          <w:p w14:paraId="6230D09C" w14:textId="77777777" w:rsidR="00295BCD" w:rsidRPr="001927D6" w:rsidRDefault="00295BCD">
            <w:pPr>
              <w:spacing w:after="0" w:line="240" w:lineRule="auto"/>
              <w:textAlignment w:val="baseline"/>
              <w:rPr>
                <w:szCs w:val="24"/>
                <w:lang w:eastAsia="et-EE"/>
              </w:rPr>
            </w:pPr>
            <w:r w:rsidRPr="001927D6">
              <w:rPr>
                <w:szCs w:val="24"/>
                <w:lang w:eastAsia="et-EE"/>
              </w:rPr>
              <w:t>Transuretraalsed operatsioonid, kht-ga </w:t>
            </w:r>
          </w:p>
        </w:tc>
        <w:tc>
          <w:tcPr>
            <w:tcW w:w="732" w:type="dxa"/>
            <w:vAlign w:val="center"/>
            <w:hideMark/>
          </w:tcPr>
          <w:p w14:paraId="05BFE6FD" w14:textId="77777777" w:rsidR="00295BCD" w:rsidRPr="001927D6" w:rsidRDefault="00295BCD">
            <w:pPr>
              <w:spacing w:after="0" w:line="240" w:lineRule="auto"/>
              <w:jc w:val="center"/>
              <w:textAlignment w:val="baseline"/>
              <w:rPr>
                <w:szCs w:val="24"/>
                <w:lang w:eastAsia="et-EE"/>
              </w:rPr>
            </w:pPr>
            <w:r w:rsidRPr="001927D6">
              <w:rPr>
                <w:szCs w:val="24"/>
                <w:lang w:eastAsia="et-EE"/>
              </w:rPr>
              <w:t>310 </w:t>
            </w:r>
          </w:p>
        </w:tc>
        <w:tc>
          <w:tcPr>
            <w:tcW w:w="1243" w:type="dxa"/>
            <w:vAlign w:val="center"/>
          </w:tcPr>
          <w:p w14:paraId="2E0D241F" w14:textId="77777777" w:rsidR="00295BCD" w:rsidRPr="001927D6" w:rsidRDefault="00295BCD">
            <w:pPr>
              <w:spacing w:after="0" w:line="240" w:lineRule="auto"/>
              <w:jc w:val="center"/>
              <w:textAlignment w:val="baseline"/>
              <w:rPr>
                <w:szCs w:val="24"/>
                <w:lang w:eastAsia="et-EE"/>
              </w:rPr>
            </w:pPr>
            <w:r w:rsidRPr="001927D6">
              <w:rPr>
                <w:color w:val="000000"/>
                <w:szCs w:val="24"/>
              </w:rPr>
              <w:t>3 317,17</w:t>
            </w:r>
          </w:p>
        </w:tc>
        <w:tc>
          <w:tcPr>
            <w:tcW w:w="1211" w:type="dxa"/>
            <w:vAlign w:val="center"/>
          </w:tcPr>
          <w:p w14:paraId="492F732E" w14:textId="77777777" w:rsidR="00295BCD" w:rsidRPr="001927D6" w:rsidRDefault="00295BCD">
            <w:pPr>
              <w:spacing w:after="0" w:line="240" w:lineRule="auto"/>
              <w:jc w:val="center"/>
              <w:textAlignment w:val="baseline"/>
              <w:rPr>
                <w:szCs w:val="24"/>
                <w:lang w:eastAsia="et-EE"/>
              </w:rPr>
            </w:pPr>
            <w:r w:rsidRPr="001927D6">
              <w:rPr>
                <w:color w:val="000000"/>
                <w:szCs w:val="24"/>
              </w:rPr>
              <w:t>1 656,54</w:t>
            </w:r>
          </w:p>
        </w:tc>
        <w:tc>
          <w:tcPr>
            <w:tcW w:w="1238" w:type="dxa"/>
            <w:vAlign w:val="center"/>
          </w:tcPr>
          <w:p w14:paraId="3C629536" w14:textId="77777777" w:rsidR="00295BCD" w:rsidRPr="001927D6" w:rsidRDefault="00295BCD">
            <w:pPr>
              <w:spacing w:after="0" w:line="240" w:lineRule="auto"/>
              <w:jc w:val="center"/>
              <w:textAlignment w:val="baseline"/>
              <w:rPr>
                <w:szCs w:val="24"/>
                <w:lang w:eastAsia="et-EE"/>
              </w:rPr>
            </w:pPr>
            <w:r w:rsidRPr="001927D6">
              <w:rPr>
                <w:color w:val="000000"/>
                <w:szCs w:val="24"/>
              </w:rPr>
              <w:t>4 719,75</w:t>
            </w:r>
          </w:p>
        </w:tc>
      </w:tr>
      <w:tr w:rsidR="00295BCD" w:rsidRPr="001927D6" w14:paraId="5887D1E6" w14:textId="77777777" w:rsidTr="00295BCD">
        <w:trPr>
          <w:divId w:val="1316184749"/>
          <w:trHeight w:val="300"/>
        </w:trPr>
        <w:tc>
          <w:tcPr>
            <w:tcW w:w="4632" w:type="dxa"/>
            <w:vAlign w:val="bottom"/>
            <w:hideMark/>
          </w:tcPr>
          <w:p w14:paraId="6877F4BA" w14:textId="77777777" w:rsidR="00295BCD" w:rsidRPr="001927D6" w:rsidRDefault="00295BCD">
            <w:pPr>
              <w:spacing w:after="0" w:line="240" w:lineRule="auto"/>
              <w:textAlignment w:val="baseline"/>
              <w:rPr>
                <w:szCs w:val="24"/>
                <w:lang w:eastAsia="et-EE"/>
              </w:rPr>
            </w:pPr>
            <w:r w:rsidRPr="001927D6">
              <w:rPr>
                <w:szCs w:val="24"/>
                <w:lang w:eastAsia="et-EE"/>
              </w:rPr>
              <w:t>Transuretraalsed operatsioonid, kht-ta </w:t>
            </w:r>
          </w:p>
        </w:tc>
        <w:tc>
          <w:tcPr>
            <w:tcW w:w="732" w:type="dxa"/>
            <w:vAlign w:val="center"/>
            <w:hideMark/>
          </w:tcPr>
          <w:p w14:paraId="5CF479BB" w14:textId="77777777" w:rsidR="00295BCD" w:rsidRPr="001927D6" w:rsidRDefault="00295BCD">
            <w:pPr>
              <w:spacing w:after="0" w:line="240" w:lineRule="auto"/>
              <w:jc w:val="center"/>
              <w:textAlignment w:val="baseline"/>
              <w:rPr>
                <w:szCs w:val="24"/>
                <w:lang w:eastAsia="et-EE"/>
              </w:rPr>
            </w:pPr>
            <w:r w:rsidRPr="001927D6">
              <w:rPr>
                <w:szCs w:val="24"/>
                <w:lang w:eastAsia="et-EE"/>
              </w:rPr>
              <w:t>311 </w:t>
            </w:r>
          </w:p>
        </w:tc>
        <w:tc>
          <w:tcPr>
            <w:tcW w:w="1243" w:type="dxa"/>
            <w:vAlign w:val="center"/>
          </w:tcPr>
          <w:p w14:paraId="29EEE5EF" w14:textId="77777777" w:rsidR="00295BCD" w:rsidRPr="001927D6" w:rsidRDefault="00295BCD">
            <w:pPr>
              <w:spacing w:after="0" w:line="240" w:lineRule="auto"/>
              <w:jc w:val="center"/>
              <w:textAlignment w:val="baseline"/>
              <w:rPr>
                <w:szCs w:val="24"/>
                <w:lang w:eastAsia="et-EE"/>
              </w:rPr>
            </w:pPr>
            <w:r w:rsidRPr="001927D6">
              <w:rPr>
                <w:color w:val="000000"/>
                <w:szCs w:val="24"/>
              </w:rPr>
              <w:t>3 048,84</w:t>
            </w:r>
          </w:p>
        </w:tc>
        <w:tc>
          <w:tcPr>
            <w:tcW w:w="1211" w:type="dxa"/>
            <w:vAlign w:val="center"/>
          </w:tcPr>
          <w:p w14:paraId="4CF7C3FC" w14:textId="77777777" w:rsidR="00295BCD" w:rsidRPr="001927D6" w:rsidRDefault="00295BCD">
            <w:pPr>
              <w:spacing w:after="0" w:line="240" w:lineRule="auto"/>
              <w:jc w:val="center"/>
              <w:textAlignment w:val="baseline"/>
              <w:rPr>
                <w:szCs w:val="24"/>
                <w:lang w:eastAsia="et-EE"/>
              </w:rPr>
            </w:pPr>
            <w:r w:rsidRPr="001927D6">
              <w:rPr>
                <w:color w:val="000000"/>
                <w:szCs w:val="24"/>
              </w:rPr>
              <w:t>1 523,09</w:t>
            </w:r>
          </w:p>
        </w:tc>
        <w:tc>
          <w:tcPr>
            <w:tcW w:w="1238" w:type="dxa"/>
            <w:vAlign w:val="center"/>
          </w:tcPr>
          <w:p w14:paraId="5826834C" w14:textId="77777777" w:rsidR="00295BCD" w:rsidRPr="001927D6" w:rsidRDefault="00295BCD">
            <w:pPr>
              <w:spacing w:after="0" w:line="240" w:lineRule="auto"/>
              <w:jc w:val="center"/>
              <w:textAlignment w:val="baseline"/>
              <w:rPr>
                <w:szCs w:val="24"/>
                <w:lang w:eastAsia="et-EE"/>
              </w:rPr>
            </w:pPr>
            <w:r w:rsidRPr="001927D6">
              <w:rPr>
                <w:color w:val="000000"/>
                <w:szCs w:val="24"/>
              </w:rPr>
              <w:t>3 928,71</w:t>
            </w:r>
          </w:p>
        </w:tc>
      </w:tr>
      <w:tr w:rsidR="00295BCD" w:rsidRPr="001927D6" w14:paraId="5BFE026D" w14:textId="77777777" w:rsidTr="00295BCD">
        <w:trPr>
          <w:divId w:val="1316184749"/>
          <w:trHeight w:val="300"/>
        </w:trPr>
        <w:tc>
          <w:tcPr>
            <w:tcW w:w="4632" w:type="dxa"/>
            <w:vAlign w:val="bottom"/>
            <w:hideMark/>
          </w:tcPr>
          <w:p w14:paraId="6D8C55D8" w14:textId="77777777" w:rsidR="00295BCD" w:rsidRPr="001927D6" w:rsidRDefault="00295BCD">
            <w:pPr>
              <w:spacing w:after="0" w:line="240" w:lineRule="auto"/>
              <w:textAlignment w:val="baseline"/>
              <w:rPr>
                <w:szCs w:val="24"/>
                <w:lang w:eastAsia="et-EE"/>
              </w:rPr>
            </w:pPr>
            <w:r w:rsidRPr="001927D6">
              <w:rPr>
                <w:szCs w:val="24"/>
                <w:lang w:eastAsia="et-EE"/>
              </w:rPr>
              <w:t>Transuretraalsed operatsioonid, lühike ravi </w:t>
            </w:r>
          </w:p>
        </w:tc>
        <w:tc>
          <w:tcPr>
            <w:tcW w:w="732" w:type="dxa"/>
            <w:vAlign w:val="center"/>
            <w:hideMark/>
          </w:tcPr>
          <w:p w14:paraId="3BC631E3" w14:textId="77777777" w:rsidR="00295BCD" w:rsidRPr="001927D6" w:rsidRDefault="00295BCD">
            <w:pPr>
              <w:spacing w:after="0" w:line="240" w:lineRule="auto"/>
              <w:jc w:val="center"/>
              <w:textAlignment w:val="baseline"/>
              <w:rPr>
                <w:szCs w:val="24"/>
                <w:lang w:eastAsia="et-EE"/>
              </w:rPr>
            </w:pPr>
            <w:r w:rsidRPr="001927D6">
              <w:rPr>
                <w:szCs w:val="24"/>
                <w:lang w:eastAsia="et-EE"/>
              </w:rPr>
              <w:t>311O </w:t>
            </w:r>
          </w:p>
        </w:tc>
        <w:tc>
          <w:tcPr>
            <w:tcW w:w="1243" w:type="dxa"/>
            <w:vAlign w:val="center"/>
          </w:tcPr>
          <w:p w14:paraId="3D749307" w14:textId="77777777" w:rsidR="00295BCD" w:rsidRPr="001927D6" w:rsidRDefault="00295BCD">
            <w:pPr>
              <w:spacing w:after="0" w:line="240" w:lineRule="auto"/>
              <w:jc w:val="center"/>
              <w:textAlignment w:val="baseline"/>
              <w:rPr>
                <w:szCs w:val="24"/>
                <w:lang w:eastAsia="et-EE"/>
              </w:rPr>
            </w:pPr>
            <w:r w:rsidRPr="001927D6">
              <w:rPr>
                <w:color w:val="000000"/>
                <w:szCs w:val="24"/>
              </w:rPr>
              <w:t>2 736,58</w:t>
            </w:r>
          </w:p>
        </w:tc>
        <w:tc>
          <w:tcPr>
            <w:tcW w:w="1211" w:type="dxa"/>
            <w:vAlign w:val="center"/>
          </w:tcPr>
          <w:p w14:paraId="3C394AE9" w14:textId="77777777" w:rsidR="00295BCD" w:rsidRPr="001927D6" w:rsidRDefault="00295BCD">
            <w:pPr>
              <w:spacing w:after="0" w:line="240" w:lineRule="auto"/>
              <w:jc w:val="center"/>
              <w:textAlignment w:val="baseline"/>
              <w:rPr>
                <w:szCs w:val="24"/>
                <w:lang w:eastAsia="et-EE"/>
              </w:rPr>
            </w:pPr>
            <w:r w:rsidRPr="001927D6">
              <w:rPr>
                <w:color w:val="000000"/>
                <w:szCs w:val="24"/>
              </w:rPr>
              <w:t>2 588,98</w:t>
            </w:r>
          </w:p>
        </w:tc>
        <w:tc>
          <w:tcPr>
            <w:tcW w:w="1238" w:type="dxa"/>
            <w:vAlign w:val="center"/>
          </w:tcPr>
          <w:p w14:paraId="7CFB9E8A" w14:textId="77777777" w:rsidR="00295BCD" w:rsidRPr="001927D6" w:rsidRDefault="00295BCD">
            <w:pPr>
              <w:spacing w:after="0" w:line="240" w:lineRule="auto"/>
              <w:jc w:val="center"/>
              <w:textAlignment w:val="baseline"/>
              <w:rPr>
                <w:szCs w:val="24"/>
                <w:lang w:eastAsia="et-EE"/>
              </w:rPr>
            </w:pPr>
            <w:r w:rsidRPr="001927D6">
              <w:rPr>
                <w:color w:val="000000"/>
                <w:szCs w:val="24"/>
              </w:rPr>
              <w:t>2 953,17</w:t>
            </w:r>
          </w:p>
        </w:tc>
      </w:tr>
      <w:tr w:rsidR="00295BCD" w:rsidRPr="001927D6" w14:paraId="48777FBB" w14:textId="77777777" w:rsidTr="00295BCD">
        <w:trPr>
          <w:divId w:val="1316184749"/>
          <w:trHeight w:val="300"/>
        </w:trPr>
        <w:tc>
          <w:tcPr>
            <w:tcW w:w="4632" w:type="dxa"/>
            <w:vAlign w:val="bottom"/>
            <w:hideMark/>
          </w:tcPr>
          <w:p w14:paraId="3AAFF7D3" w14:textId="77777777" w:rsidR="00295BCD" w:rsidRPr="001927D6" w:rsidRDefault="00295BCD">
            <w:pPr>
              <w:spacing w:after="0" w:line="240" w:lineRule="auto"/>
              <w:textAlignment w:val="baseline"/>
              <w:rPr>
                <w:szCs w:val="24"/>
                <w:lang w:eastAsia="et-EE"/>
              </w:rPr>
            </w:pPr>
            <w:r w:rsidRPr="001927D6">
              <w:rPr>
                <w:szCs w:val="24"/>
                <w:lang w:eastAsia="et-EE"/>
              </w:rPr>
              <w:t>Kusiti operatsioonid, vanus &gt;17, kht-ga </w:t>
            </w:r>
          </w:p>
        </w:tc>
        <w:tc>
          <w:tcPr>
            <w:tcW w:w="732" w:type="dxa"/>
            <w:vAlign w:val="center"/>
            <w:hideMark/>
          </w:tcPr>
          <w:p w14:paraId="0BC32688" w14:textId="77777777" w:rsidR="00295BCD" w:rsidRPr="001927D6" w:rsidRDefault="00295BCD">
            <w:pPr>
              <w:spacing w:after="0" w:line="240" w:lineRule="auto"/>
              <w:jc w:val="center"/>
              <w:textAlignment w:val="baseline"/>
              <w:rPr>
                <w:szCs w:val="24"/>
                <w:lang w:eastAsia="et-EE"/>
              </w:rPr>
            </w:pPr>
            <w:r w:rsidRPr="001927D6">
              <w:rPr>
                <w:szCs w:val="24"/>
                <w:lang w:eastAsia="et-EE"/>
              </w:rPr>
              <w:t>312 </w:t>
            </w:r>
          </w:p>
        </w:tc>
        <w:tc>
          <w:tcPr>
            <w:tcW w:w="1243" w:type="dxa"/>
            <w:vAlign w:val="center"/>
          </w:tcPr>
          <w:p w14:paraId="58A9F0D1" w14:textId="77777777" w:rsidR="00295BCD" w:rsidRPr="001927D6" w:rsidRDefault="00295BCD">
            <w:pPr>
              <w:spacing w:after="0" w:line="240" w:lineRule="auto"/>
              <w:jc w:val="center"/>
              <w:textAlignment w:val="baseline"/>
              <w:rPr>
                <w:szCs w:val="24"/>
                <w:lang w:eastAsia="et-EE"/>
              </w:rPr>
            </w:pPr>
            <w:r w:rsidRPr="001927D6">
              <w:rPr>
                <w:color w:val="000000"/>
                <w:szCs w:val="24"/>
              </w:rPr>
              <w:t>1 886,93</w:t>
            </w:r>
          </w:p>
        </w:tc>
        <w:tc>
          <w:tcPr>
            <w:tcW w:w="1211" w:type="dxa"/>
            <w:vAlign w:val="center"/>
          </w:tcPr>
          <w:p w14:paraId="0A8871B9" w14:textId="77777777" w:rsidR="00295BCD" w:rsidRPr="001927D6" w:rsidRDefault="00295BCD">
            <w:pPr>
              <w:spacing w:after="0" w:line="240" w:lineRule="auto"/>
              <w:jc w:val="center"/>
              <w:textAlignment w:val="baseline"/>
              <w:rPr>
                <w:szCs w:val="24"/>
                <w:lang w:eastAsia="et-EE"/>
              </w:rPr>
            </w:pPr>
            <w:r w:rsidRPr="001927D6">
              <w:rPr>
                <w:color w:val="000000"/>
                <w:szCs w:val="24"/>
              </w:rPr>
              <w:t>1 103,80</w:t>
            </w:r>
          </w:p>
        </w:tc>
        <w:tc>
          <w:tcPr>
            <w:tcW w:w="1238" w:type="dxa"/>
            <w:vAlign w:val="center"/>
          </w:tcPr>
          <w:p w14:paraId="2F7F79FC" w14:textId="77777777" w:rsidR="00295BCD" w:rsidRPr="001927D6" w:rsidRDefault="00295BCD">
            <w:pPr>
              <w:spacing w:after="0" w:line="240" w:lineRule="auto"/>
              <w:jc w:val="center"/>
              <w:textAlignment w:val="baseline"/>
              <w:rPr>
                <w:szCs w:val="24"/>
                <w:lang w:eastAsia="et-EE"/>
              </w:rPr>
            </w:pPr>
            <w:r w:rsidRPr="001927D6">
              <w:rPr>
                <w:color w:val="000000"/>
                <w:szCs w:val="24"/>
              </w:rPr>
              <w:t>3 235,98</w:t>
            </w:r>
          </w:p>
        </w:tc>
      </w:tr>
      <w:tr w:rsidR="00295BCD" w:rsidRPr="001927D6" w14:paraId="20B0DD75" w14:textId="77777777" w:rsidTr="00295BCD">
        <w:trPr>
          <w:divId w:val="1316184749"/>
          <w:trHeight w:val="300"/>
        </w:trPr>
        <w:tc>
          <w:tcPr>
            <w:tcW w:w="4632" w:type="dxa"/>
            <w:vAlign w:val="bottom"/>
            <w:hideMark/>
          </w:tcPr>
          <w:p w14:paraId="2B6BF1D7" w14:textId="77777777" w:rsidR="00295BCD" w:rsidRPr="001927D6" w:rsidRDefault="00295BCD">
            <w:pPr>
              <w:spacing w:after="0" w:line="240" w:lineRule="auto"/>
              <w:textAlignment w:val="baseline"/>
              <w:rPr>
                <w:szCs w:val="24"/>
                <w:lang w:eastAsia="et-EE"/>
              </w:rPr>
            </w:pPr>
            <w:r w:rsidRPr="001927D6">
              <w:rPr>
                <w:szCs w:val="24"/>
                <w:lang w:eastAsia="et-EE"/>
              </w:rPr>
              <w:t>Kusiti operatsioonid, vanus &gt; 17, kht-ta </w:t>
            </w:r>
          </w:p>
        </w:tc>
        <w:tc>
          <w:tcPr>
            <w:tcW w:w="732" w:type="dxa"/>
            <w:vAlign w:val="center"/>
            <w:hideMark/>
          </w:tcPr>
          <w:p w14:paraId="672994D4" w14:textId="77777777" w:rsidR="00295BCD" w:rsidRPr="001927D6" w:rsidRDefault="00295BCD">
            <w:pPr>
              <w:spacing w:after="0" w:line="240" w:lineRule="auto"/>
              <w:jc w:val="center"/>
              <w:textAlignment w:val="baseline"/>
              <w:rPr>
                <w:szCs w:val="24"/>
                <w:lang w:eastAsia="et-EE"/>
              </w:rPr>
            </w:pPr>
            <w:r w:rsidRPr="001927D6">
              <w:rPr>
                <w:szCs w:val="24"/>
                <w:lang w:eastAsia="et-EE"/>
              </w:rPr>
              <w:t>313 </w:t>
            </w:r>
          </w:p>
        </w:tc>
        <w:tc>
          <w:tcPr>
            <w:tcW w:w="1243" w:type="dxa"/>
            <w:vAlign w:val="center"/>
          </w:tcPr>
          <w:p w14:paraId="413F6D0C" w14:textId="77777777" w:rsidR="00295BCD" w:rsidRPr="001927D6" w:rsidRDefault="00295BCD">
            <w:pPr>
              <w:spacing w:after="0" w:line="240" w:lineRule="auto"/>
              <w:jc w:val="center"/>
              <w:textAlignment w:val="baseline"/>
              <w:rPr>
                <w:szCs w:val="24"/>
                <w:lang w:eastAsia="et-EE"/>
              </w:rPr>
            </w:pPr>
            <w:r w:rsidRPr="001927D6">
              <w:rPr>
                <w:color w:val="000000"/>
                <w:szCs w:val="24"/>
              </w:rPr>
              <w:t>1 430,20</w:t>
            </w:r>
          </w:p>
        </w:tc>
        <w:tc>
          <w:tcPr>
            <w:tcW w:w="1211" w:type="dxa"/>
            <w:vAlign w:val="center"/>
          </w:tcPr>
          <w:p w14:paraId="39472BA5" w14:textId="77777777" w:rsidR="00295BCD" w:rsidRPr="001927D6" w:rsidRDefault="00295BCD">
            <w:pPr>
              <w:spacing w:after="0" w:line="240" w:lineRule="auto"/>
              <w:jc w:val="center"/>
              <w:textAlignment w:val="baseline"/>
              <w:rPr>
                <w:szCs w:val="24"/>
                <w:lang w:eastAsia="et-EE"/>
              </w:rPr>
            </w:pPr>
            <w:r w:rsidRPr="001927D6">
              <w:rPr>
                <w:color w:val="000000"/>
                <w:szCs w:val="24"/>
              </w:rPr>
              <w:t>882,67</w:t>
            </w:r>
          </w:p>
        </w:tc>
        <w:tc>
          <w:tcPr>
            <w:tcW w:w="1238" w:type="dxa"/>
            <w:vAlign w:val="center"/>
          </w:tcPr>
          <w:p w14:paraId="7A621AF3" w14:textId="77777777" w:rsidR="00295BCD" w:rsidRPr="001927D6" w:rsidRDefault="00295BCD">
            <w:pPr>
              <w:spacing w:after="0" w:line="240" w:lineRule="auto"/>
              <w:jc w:val="center"/>
              <w:textAlignment w:val="baseline"/>
              <w:rPr>
                <w:szCs w:val="24"/>
                <w:lang w:eastAsia="et-EE"/>
              </w:rPr>
            </w:pPr>
            <w:r w:rsidRPr="001927D6">
              <w:rPr>
                <w:color w:val="000000"/>
                <w:szCs w:val="24"/>
              </w:rPr>
              <w:t>2 656,93</w:t>
            </w:r>
          </w:p>
        </w:tc>
      </w:tr>
      <w:tr w:rsidR="00295BCD" w:rsidRPr="001927D6" w14:paraId="60314243" w14:textId="77777777" w:rsidTr="00295BCD">
        <w:trPr>
          <w:divId w:val="1316184749"/>
          <w:trHeight w:val="300"/>
        </w:trPr>
        <w:tc>
          <w:tcPr>
            <w:tcW w:w="4632" w:type="dxa"/>
            <w:vAlign w:val="bottom"/>
            <w:hideMark/>
          </w:tcPr>
          <w:p w14:paraId="3C2C8AAD" w14:textId="77777777" w:rsidR="00295BCD" w:rsidRPr="001927D6" w:rsidRDefault="00295BCD">
            <w:pPr>
              <w:spacing w:after="0" w:line="240" w:lineRule="auto"/>
              <w:textAlignment w:val="baseline"/>
              <w:rPr>
                <w:szCs w:val="24"/>
                <w:lang w:eastAsia="et-EE"/>
              </w:rPr>
            </w:pPr>
            <w:r w:rsidRPr="001927D6">
              <w:rPr>
                <w:szCs w:val="24"/>
                <w:lang w:eastAsia="et-EE"/>
              </w:rPr>
              <w:t>Kusiti operatsioonid, vanus 0–17 </w:t>
            </w:r>
          </w:p>
        </w:tc>
        <w:tc>
          <w:tcPr>
            <w:tcW w:w="732" w:type="dxa"/>
            <w:vAlign w:val="center"/>
            <w:hideMark/>
          </w:tcPr>
          <w:p w14:paraId="13D0D908" w14:textId="77777777" w:rsidR="00295BCD" w:rsidRPr="001927D6" w:rsidRDefault="00295BCD">
            <w:pPr>
              <w:spacing w:after="0" w:line="240" w:lineRule="auto"/>
              <w:jc w:val="center"/>
              <w:textAlignment w:val="baseline"/>
              <w:rPr>
                <w:szCs w:val="24"/>
                <w:lang w:eastAsia="et-EE"/>
              </w:rPr>
            </w:pPr>
            <w:r w:rsidRPr="001927D6">
              <w:rPr>
                <w:szCs w:val="24"/>
                <w:lang w:eastAsia="et-EE"/>
              </w:rPr>
              <w:t>314 </w:t>
            </w:r>
          </w:p>
        </w:tc>
        <w:tc>
          <w:tcPr>
            <w:tcW w:w="1243" w:type="dxa"/>
            <w:vAlign w:val="center"/>
          </w:tcPr>
          <w:p w14:paraId="4E22B4A3" w14:textId="77777777" w:rsidR="00295BCD" w:rsidRPr="001927D6" w:rsidRDefault="00295BCD">
            <w:pPr>
              <w:spacing w:after="0" w:line="240" w:lineRule="auto"/>
              <w:jc w:val="center"/>
              <w:textAlignment w:val="baseline"/>
              <w:rPr>
                <w:szCs w:val="24"/>
                <w:lang w:eastAsia="et-EE"/>
              </w:rPr>
            </w:pPr>
            <w:r w:rsidRPr="001927D6">
              <w:rPr>
                <w:color w:val="000000"/>
                <w:szCs w:val="24"/>
              </w:rPr>
              <w:t>1 828,55</w:t>
            </w:r>
          </w:p>
        </w:tc>
        <w:tc>
          <w:tcPr>
            <w:tcW w:w="1211" w:type="dxa"/>
            <w:vAlign w:val="center"/>
          </w:tcPr>
          <w:p w14:paraId="2478BBEA" w14:textId="77777777" w:rsidR="00295BCD" w:rsidRPr="001927D6" w:rsidRDefault="00295BCD">
            <w:pPr>
              <w:spacing w:after="0" w:line="240" w:lineRule="auto"/>
              <w:jc w:val="center"/>
              <w:textAlignment w:val="baseline"/>
              <w:rPr>
                <w:szCs w:val="24"/>
                <w:lang w:eastAsia="et-EE"/>
              </w:rPr>
            </w:pPr>
            <w:r w:rsidRPr="001927D6">
              <w:rPr>
                <w:color w:val="000000"/>
                <w:szCs w:val="24"/>
              </w:rPr>
              <w:t>809,55</w:t>
            </w:r>
          </w:p>
        </w:tc>
        <w:tc>
          <w:tcPr>
            <w:tcW w:w="1238" w:type="dxa"/>
            <w:vAlign w:val="center"/>
          </w:tcPr>
          <w:p w14:paraId="46CDCCA9" w14:textId="77777777" w:rsidR="00295BCD" w:rsidRPr="001927D6" w:rsidRDefault="00295BCD">
            <w:pPr>
              <w:spacing w:after="0" w:line="240" w:lineRule="auto"/>
              <w:jc w:val="center"/>
              <w:textAlignment w:val="baseline"/>
              <w:rPr>
                <w:szCs w:val="24"/>
                <w:lang w:eastAsia="et-EE"/>
              </w:rPr>
            </w:pPr>
            <w:r w:rsidRPr="001927D6">
              <w:rPr>
                <w:color w:val="000000"/>
                <w:szCs w:val="24"/>
              </w:rPr>
              <w:t>3 920,93</w:t>
            </w:r>
          </w:p>
        </w:tc>
      </w:tr>
      <w:tr w:rsidR="00295BCD" w:rsidRPr="001927D6" w14:paraId="300C8AC8" w14:textId="77777777" w:rsidTr="00295BCD">
        <w:trPr>
          <w:divId w:val="1316184749"/>
          <w:trHeight w:val="300"/>
        </w:trPr>
        <w:tc>
          <w:tcPr>
            <w:tcW w:w="4632" w:type="dxa"/>
            <w:vAlign w:val="bottom"/>
            <w:hideMark/>
          </w:tcPr>
          <w:p w14:paraId="5CC8007F" w14:textId="77777777" w:rsidR="00295BCD" w:rsidRPr="001927D6" w:rsidRDefault="00295BCD">
            <w:pPr>
              <w:spacing w:after="0" w:line="240" w:lineRule="auto"/>
              <w:textAlignment w:val="baseline"/>
              <w:rPr>
                <w:szCs w:val="24"/>
                <w:lang w:eastAsia="et-EE"/>
              </w:rPr>
            </w:pPr>
            <w:r w:rsidRPr="001927D6">
              <w:rPr>
                <w:szCs w:val="24"/>
                <w:lang w:eastAsia="et-EE"/>
              </w:rPr>
              <w:t>Kusiti operatsioonid, lühike ravi </w:t>
            </w:r>
          </w:p>
        </w:tc>
        <w:tc>
          <w:tcPr>
            <w:tcW w:w="732" w:type="dxa"/>
            <w:vAlign w:val="center"/>
            <w:hideMark/>
          </w:tcPr>
          <w:p w14:paraId="7FC7E126" w14:textId="77777777" w:rsidR="00295BCD" w:rsidRPr="001927D6" w:rsidRDefault="00295BCD">
            <w:pPr>
              <w:spacing w:after="0" w:line="240" w:lineRule="auto"/>
              <w:jc w:val="center"/>
              <w:textAlignment w:val="baseline"/>
              <w:rPr>
                <w:szCs w:val="24"/>
                <w:lang w:eastAsia="et-EE"/>
              </w:rPr>
            </w:pPr>
            <w:r w:rsidRPr="001927D6">
              <w:rPr>
                <w:szCs w:val="24"/>
                <w:lang w:eastAsia="et-EE"/>
              </w:rPr>
              <w:t>314O </w:t>
            </w:r>
          </w:p>
        </w:tc>
        <w:tc>
          <w:tcPr>
            <w:tcW w:w="1243" w:type="dxa"/>
            <w:vAlign w:val="center"/>
          </w:tcPr>
          <w:p w14:paraId="321566EA" w14:textId="77777777" w:rsidR="00295BCD" w:rsidRPr="001927D6" w:rsidRDefault="00295BCD">
            <w:pPr>
              <w:spacing w:after="0" w:line="240" w:lineRule="auto"/>
              <w:jc w:val="center"/>
              <w:textAlignment w:val="baseline"/>
              <w:rPr>
                <w:szCs w:val="24"/>
                <w:lang w:eastAsia="et-EE"/>
              </w:rPr>
            </w:pPr>
            <w:r w:rsidRPr="001927D6">
              <w:rPr>
                <w:color w:val="000000"/>
                <w:szCs w:val="24"/>
              </w:rPr>
              <w:t>815,49</w:t>
            </w:r>
          </w:p>
        </w:tc>
        <w:tc>
          <w:tcPr>
            <w:tcW w:w="1211" w:type="dxa"/>
            <w:vAlign w:val="center"/>
          </w:tcPr>
          <w:p w14:paraId="7A19FF70" w14:textId="77777777" w:rsidR="00295BCD" w:rsidRPr="001927D6" w:rsidRDefault="00295BCD">
            <w:pPr>
              <w:spacing w:after="0" w:line="240" w:lineRule="auto"/>
              <w:jc w:val="center"/>
              <w:textAlignment w:val="baseline"/>
              <w:rPr>
                <w:szCs w:val="24"/>
                <w:lang w:eastAsia="et-EE"/>
              </w:rPr>
            </w:pPr>
            <w:r w:rsidRPr="001927D6">
              <w:rPr>
                <w:color w:val="000000"/>
                <w:szCs w:val="24"/>
              </w:rPr>
              <w:t>643,45</w:t>
            </w:r>
          </w:p>
        </w:tc>
        <w:tc>
          <w:tcPr>
            <w:tcW w:w="1238" w:type="dxa"/>
            <w:vAlign w:val="center"/>
          </w:tcPr>
          <w:p w14:paraId="5269631F" w14:textId="77777777" w:rsidR="00295BCD" w:rsidRPr="001927D6" w:rsidRDefault="00295BCD">
            <w:pPr>
              <w:spacing w:after="0" w:line="240" w:lineRule="auto"/>
              <w:jc w:val="center"/>
              <w:textAlignment w:val="baseline"/>
              <w:rPr>
                <w:szCs w:val="24"/>
                <w:lang w:eastAsia="et-EE"/>
              </w:rPr>
            </w:pPr>
            <w:r w:rsidRPr="001927D6">
              <w:rPr>
                <w:color w:val="000000"/>
                <w:szCs w:val="24"/>
              </w:rPr>
              <w:t>1 067,07</w:t>
            </w:r>
          </w:p>
        </w:tc>
      </w:tr>
      <w:tr w:rsidR="00295BCD" w:rsidRPr="001927D6" w14:paraId="462D2B9E" w14:textId="77777777" w:rsidTr="00295BCD">
        <w:trPr>
          <w:divId w:val="1316184749"/>
          <w:trHeight w:val="300"/>
        </w:trPr>
        <w:tc>
          <w:tcPr>
            <w:tcW w:w="4632" w:type="dxa"/>
            <w:vAlign w:val="bottom"/>
            <w:hideMark/>
          </w:tcPr>
          <w:p w14:paraId="6C34F16C" w14:textId="77777777" w:rsidR="00295BCD" w:rsidRPr="001927D6" w:rsidRDefault="00295BCD">
            <w:pPr>
              <w:spacing w:after="0" w:line="240" w:lineRule="auto"/>
              <w:textAlignment w:val="baseline"/>
              <w:rPr>
                <w:szCs w:val="24"/>
                <w:lang w:eastAsia="et-EE"/>
              </w:rPr>
            </w:pPr>
            <w:r w:rsidRPr="001927D6">
              <w:rPr>
                <w:szCs w:val="24"/>
                <w:lang w:eastAsia="et-EE"/>
              </w:rPr>
              <w:t>Hemodialüüsi kateetri asetamine neerude ja kuseteede haiguste korral </w:t>
            </w:r>
          </w:p>
        </w:tc>
        <w:tc>
          <w:tcPr>
            <w:tcW w:w="732" w:type="dxa"/>
            <w:vAlign w:val="center"/>
            <w:hideMark/>
          </w:tcPr>
          <w:p w14:paraId="461EA31C" w14:textId="77777777" w:rsidR="00295BCD" w:rsidRPr="001927D6" w:rsidRDefault="00295BCD">
            <w:pPr>
              <w:spacing w:after="0" w:line="240" w:lineRule="auto"/>
              <w:jc w:val="center"/>
              <w:textAlignment w:val="baseline"/>
              <w:rPr>
                <w:szCs w:val="24"/>
                <w:lang w:eastAsia="et-EE"/>
              </w:rPr>
            </w:pPr>
            <w:r w:rsidRPr="001927D6">
              <w:rPr>
                <w:szCs w:val="24"/>
                <w:lang w:eastAsia="et-EE"/>
              </w:rPr>
              <w:t>315A </w:t>
            </w:r>
          </w:p>
        </w:tc>
        <w:tc>
          <w:tcPr>
            <w:tcW w:w="1243" w:type="dxa"/>
            <w:vAlign w:val="center"/>
          </w:tcPr>
          <w:p w14:paraId="20645226" w14:textId="77777777" w:rsidR="00295BCD" w:rsidRPr="001927D6" w:rsidRDefault="00295BCD">
            <w:pPr>
              <w:spacing w:after="0" w:line="240" w:lineRule="auto"/>
              <w:jc w:val="center"/>
              <w:textAlignment w:val="baseline"/>
              <w:rPr>
                <w:szCs w:val="24"/>
                <w:lang w:eastAsia="et-EE"/>
              </w:rPr>
            </w:pPr>
            <w:r w:rsidRPr="001927D6">
              <w:rPr>
                <w:color w:val="000000"/>
                <w:szCs w:val="24"/>
              </w:rPr>
              <w:t>23 106,24</w:t>
            </w:r>
          </w:p>
        </w:tc>
        <w:tc>
          <w:tcPr>
            <w:tcW w:w="1211" w:type="dxa"/>
            <w:vAlign w:val="center"/>
          </w:tcPr>
          <w:p w14:paraId="43B041A3" w14:textId="77777777" w:rsidR="00295BCD" w:rsidRPr="001927D6" w:rsidRDefault="00295BCD">
            <w:pPr>
              <w:spacing w:after="0" w:line="240" w:lineRule="auto"/>
              <w:jc w:val="center"/>
              <w:textAlignment w:val="baseline"/>
              <w:rPr>
                <w:szCs w:val="24"/>
                <w:lang w:eastAsia="et-EE"/>
              </w:rPr>
            </w:pPr>
            <w:r w:rsidRPr="001927D6">
              <w:rPr>
                <w:color w:val="000000"/>
                <w:szCs w:val="24"/>
              </w:rPr>
              <w:t>7 344,07</w:t>
            </w:r>
          </w:p>
        </w:tc>
        <w:tc>
          <w:tcPr>
            <w:tcW w:w="1238" w:type="dxa"/>
            <w:vAlign w:val="center"/>
          </w:tcPr>
          <w:p w14:paraId="5BD2EF24" w14:textId="77777777" w:rsidR="00295BCD" w:rsidRPr="001927D6" w:rsidRDefault="00295BCD">
            <w:pPr>
              <w:spacing w:after="0" w:line="240" w:lineRule="auto"/>
              <w:jc w:val="center"/>
              <w:textAlignment w:val="baseline"/>
              <w:rPr>
                <w:szCs w:val="24"/>
                <w:lang w:eastAsia="et-EE"/>
              </w:rPr>
            </w:pPr>
            <w:r w:rsidRPr="001927D6">
              <w:rPr>
                <w:color w:val="000000"/>
                <w:szCs w:val="24"/>
              </w:rPr>
              <w:t>55 216,38</w:t>
            </w:r>
          </w:p>
        </w:tc>
      </w:tr>
      <w:tr w:rsidR="00295BCD" w:rsidRPr="001927D6" w14:paraId="0EF39711" w14:textId="77777777" w:rsidTr="00295BCD">
        <w:trPr>
          <w:divId w:val="1316184749"/>
          <w:trHeight w:val="300"/>
        </w:trPr>
        <w:tc>
          <w:tcPr>
            <w:tcW w:w="4632" w:type="dxa"/>
            <w:vAlign w:val="bottom"/>
            <w:hideMark/>
          </w:tcPr>
          <w:p w14:paraId="4DEF29AF" w14:textId="77777777" w:rsidR="00295BCD" w:rsidRPr="001927D6" w:rsidRDefault="00295BCD">
            <w:pPr>
              <w:spacing w:after="0" w:line="240" w:lineRule="auto"/>
              <w:textAlignment w:val="baseline"/>
              <w:rPr>
                <w:szCs w:val="24"/>
                <w:lang w:eastAsia="et-EE"/>
              </w:rPr>
            </w:pPr>
            <w:r w:rsidRPr="001927D6">
              <w:rPr>
                <w:szCs w:val="24"/>
                <w:lang w:eastAsia="et-EE"/>
              </w:rPr>
              <w:t>Neerude ja kuseteede muud operatsioonid </w:t>
            </w:r>
          </w:p>
        </w:tc>
        <w:tc>
          <w:tcPr>
            <w:tcW w:w="732" w:type="dxa"/>
            <w:vAlign w:val="center"/>
            <w:hideMark/>
          </w:tcPr>
          <w:p w14:paraId="6B1EFDE1" w14:textId="77777777" w:rsidR="00295BCD" w:rsidRPr="001927D6" w:rsidRDefault="00295BCD">
            <w:pPr>
              <w:spacing w:after="0" w:line="240" w:lineRule="auto"/>
              <w:jc w:val="center"/>
              <w:textAlignment w:val="baseline"/>
              <w:rPr>
                <w:szCs w:val="24"/>
                <w:lang w:eastAsia="et-EE"/>
              </w:rPr>
            </w:pPr>
            <w:r w:rsidRPr="001927D6">
              <w:rPr>
                <w:szCs w:val="24"/>
                <w:lang w:eastAsia="et-EE"/>
              </w:rPr>
              <w:t>315B </w:t>
            </w:r>
          </w:p>
        </w:tc>
        <w:tc>
          <w:tcPr>
            <w:tcW w:w="1243" w:type="dxa"/>
            <w:vAlign w:val="center"/>
          </w:tcPr>
          <w:p w14:paraId="1EFEA2BE" w14:textId="77777777" w:rsidR="00295BCD" w:rsidRPr="001927D6" w:rsidRDefault="00295BCD">
            <w:pPr>
              <w:spacing w:after="0" w:line="240" w:lineRule="auto"/>
              <w:jc w:val="center"/>
              <w:textAlignment w:val="baseline"/>
              <w:rPr>
                <w:szCs w:val="24"/>
                <w:lang w:eastAsia="et-EE"/>
              </w:rPr>
            </w:pPr>
            <w:r w:rsidRPr="001927D6">
              <w:rPr>
                <w:color w:val="000000"/>
                <w:szCs w:val="24"/>
              </w:rPr>
              <w:t>2 796,11</w:t>
            </w:r>
          </w:p>
        </w:tc>
        <w:tc>
          <w:tcPr>
            <w:tcW w:w="1211" w:type="dxa"/>
            <w:vAlign w:val="center"/>
          </w:tcPr>
          <w:p w14:paraId="29B60C32" w14:textId="77777777" w:rsidR="00295BCD" w:rsidRPr="001927D6" w:rsidRDefault="00295BCD">
            <w:pPr>
              <w:spacing w:after="0" w:line="240" w:lineRule="auto"/>
              <w:jc w:val="center"/>
              <w:textAlignment w:val="baseline"/>
              <w:rPr>
                <w:szCs w:val="24"/>
                <w:lang w:eastAsia="et-EE"/>
              </w:rPr>
            </w:pPr>
            <w:r w:rsidRPr="001927D6">
              <w:rPr>
                <w:color w:val="000000"/>
                <w:szCs w:val="24"/>
              </w:rPr>
              <w:t>732,95</w:t>
            </w:r>
          </w:p>
        </w:tc>
        <w:tc>
          <w:tcPr>
            <w:tcW w:w="1238" w:type="dxa"/>
            <w:vAlign w:val="center"/>
          </w:tcPr>
          <w:p w14:paraId="47FEA458" w14:textId="77777777" w:rsidR="00295BCD" w:rsidRPr="001927D6" w:rsidRDefault="00295BCD">
            <w:pPr>
              <w:spacing w:after="0" w:line="240" w:lineRule="auto"/>
              <w:jc w:val="center"/>
              <w:textAlignment w:val="baseline"/>
              <w:rPr>
                <w:szCs w:val="24"/>
                <w:lang w:eastAsia="et-EE"/>
              </w:rPr>
            </w:pPr>
            <w:r w:rsidRPr="001927D6">
              <w:rPr>
                <w:color w:val="000000"/>
                <w:szCs w:val="24"/>
              </w:rPr>
              <w:t>9 469,16</w:t>
            </w:r>
          </w:p>
        </w:tc>
      </w:tr>
      <w:tr w:rsidR="00295BCD" w:rsidRPr="001927D6" w14:paraId="19A1E758" w14:textId="77777777" w:rsidTr="00295BCD">
        <w:trPr>
          <w:divId w:val="1316184749"/>
          <w:trHeight w:val="300"/>
        </w:trPr>
        <w:tc>
          <w:tcPr>
            <w:tcW w:w="4632" w:type="dxa"/>
            <w:vAlign w:val="bottom"/>
            <w:hideMark/>
          </w:tcPr>
          <w:p w14:paraId="31F72B83" w14:textId="77777777" w:rsidR="00295BCD" w:rsidRPr="001927D6" w:rsidRDefault="00295BCD">
            <w:pPr>
              <w:spacing w:after="0" w:line="240" w:lineRule="auto"/>
              <w:textAlignment w:val="baseline"/>
              <w:rPr>
                <w:szCs w:val="24"/>
                <w:lang w:eastAsia="et-EE"/>
              </w:rPr>
            </w:pPr>
            <w:r w:rsidRPr="001927D6">
              <w:rPr>
                <w:szCs w:val="24"/>
                <w:lang w:eastAsia="et-EE"/>
              </w:rPr>
              <w:t>Arteriovenoosse fistuli rajamine või sulgemine neerude ja kuseteede haiguste korral </w:t>
            </w:r>
          </w:p>
        </w:tc>
        <w:tc>
          <w:tcPr>
            <w:tcW w:w="732" w:type="dxa"/>
            <w:vAlign w:val="center"/>
            <w:hideMark/>
          </w:tcPr>
          <w:p w14:paraId="724D0D3D" w14:textId="77777777" w:rsidR="00295BCD" w:rsidRPr="001927D6" w:rsidRDefault="00295BCD">
            <w:pPr>
              <w:spacing w:after="0" w:line="240" w:lineRule="auto"/>
              <w:jc w:val="center"/>
              <w:textAlignment w:val="baseline"/>
              <w:rPr>
                <w:szCs w:val="24"/>
                <w:lang w:eastAsia="et-EE"/>
              </w:rPr>
            </w:pPr>
            <w:r w:rsidRPr="001927D6">
              <w:rPr>
                <w:szCs w:val="24"/>
                <w:lang w:eastAsia="et-EE"/>
              </w:rPr>
              <w:t>315D </w:t>
            </w:r>
          </w:p>
        </w:tc>
        <w:tc>
          <w:tcPr>
            <w:tcW w:w="1243" w:type="dxa"/>
            <w:vAlign w:val="center"/>
          </w:tcPr>
          <w:p w14:paraId="1101D666" w14:textId="77777777" w:rsidR="00295BCD" w:rsidRPr="001927D6" w:rsidRDefault="00295BCD">
            <w:pPr>
              <w:spacing w:after="0" w:line="240" w:lineRule="auto"/>
              <w:jc w:val="center"/>
              <w:textAlignment w:val="baseline"/>
              <w:rPr>
                <w:szCs w:val="24"/>
                <w:lang w:eastAsia="et-EE"/>
              </w:rPr>
            </w:pPr>
            <w:r w:rsidRPr="001927D6">
              <w:rPr>
                <w:color w:val="000000"/>
                <w:szCs w:val="24"/>
              </w:rPr>
              <w:t>2 974,16</w:t>
            </w:r>
          </w:p>
        </w:tc>
        <w:tc>
          <w:tcPr>
            <w:tcW w:w="1211" w:type="dxa"/>
            <w:vAlign w:val="center"/>
          </w:tcPr>
          <w:p w14:paraId="0E8AB6A3" w14:textId="77777777" w:rsidR="00295BCD" w:rsidRPr="001927D6" w:rsidRDefault="00295BCD">
            <w:pPr>
              <w:spacing w:after="0" w:line="240" w:lineRule="auto"/>
              <w:jc w:val="center"/>
              <w:textAlignment w:val="baseline"/>
              <w:rPr>
                <w:szCs w:val="24"/>
                <w:lang w:eastAsia="et-EE"/>
              </w:rPr>
            </w:pPr>
            <w:r w:rsidRPr="001927D6">
              <w:rPr>
                <w:color w:val="000000"/>
                <w:szCs w:val="24"/>
              </w:rPr>
              <w:t>1 216,54</w:t>
            </w:r>
          </w:p>
        </w:tc>
        <w:tc>
          <w:tcPr>
            <w:tcW w:w="1238" w:type="dxa"/>
            <w:vAlign w:val="center"/>
          </w:tcPr>
          <w:p w14:paraId="7A8D4BCD" w14:textId="77777777" w:rsidR="00295BCD" w:rsidRPr="001927D6" w:rsidRDefault="00295BCD">
            <w:pPr>
              <w:spacing w:after="0" w:line="240" w:lineRule="auto"/>
              <w:jc w:val="center"/>
              <w:textAlignment w:val="baseline"/>
              <w:rPr>
                <w:szCs w:val="24"/>
                <w:lang w:eastAsia="et-EE"/>
              </w:rPr>
            </w:pPr>
            <w:r w:rsidRPr="001927D6">
              <w:rPr>
                <w:color w:val="000000"/>
                <w:szCs w:val="24"/>
              </w:rPr>
              <w:t>11 624,33</w:t>
            </w:r>
          </w:p>
        </w:tc>
      </w:tr>
      <w:tr w:rsidR="00295BCD" w:rsidRPr="001927D6" w14:paraId="477C6960" w14:textId="77777777" w:rsidTr="00295BCD">
        <w:trPr>
          <w:divId w:val="1316184749"/>
          <w:trHeight w:val="300"/>
        </w:trPr>
        <w:tc>
          <w:tcPr>
            <w:tcW w:w="4632" w:type="dxa"/>
            <w:vAlign w:val="bottom"/>
            <w:hideMark/>
          </w:tcPr>
          <w:p w14:paraId="7334D5C9" w14:textId="77777777" w:rsidR="00295BCD" w:rsidRPr="001927D6" w:rsidRDefault="00295BCD">
            <w:pPr>
              <w:spacing w:after="0" w:line="240" w:lineRule="auto"/>
              <w:textAlignment w:val="baseline"/>
              <w:rPr>
                <w:szCs w:val="24"/>
                <w:lang w:eastAsia="et-EE"/>
              </w:rPr>
            </w:pPr>
            <w:r w:rsidRPr="001927D6">
              <w:rPr>
                <w:szCs w:val="24"/>
                <w:lang w:eastAsia="et-EE"/>
              </w:rPr>
              <w:t>Peritoneaaldialüüsi kateetri asetamine neerude ja kuseteede haiguste korral </w:t>
            </w:r>
          </w:p>
        </w:tc>
        <w:tc>
          <w:tcPr>
            <w:tcW w:w="732" w:type="dxa"/>
            <w:vAlign w:val="center"/>
            <w:hideMark/>
          </w:tcPr>
          <w:p w14:paraId="4CFA7069" w14:textId="77777777" w:rsidR="00295BCD" w:rsidRPr="001927D6" w:rsidRDefault="00295BCD">
            <w:pPr>
              <w:spacing w:after="0" w:line="240" w:lineRule="auto"/>
              <w:jc w:val="center"/>
              <w:textAlignment w:val="baseline"/>
              <w:rPr>
                <w:szCs w:val="24"/>
                <w:lang w:eastAsia="et-EE"/>
              </w:rPr>
            </w:pPr>
            <w:r w:rsidRPr="001927D6">
              <w:rPr>
                <w:szCs w:val="24"/>
                <w:lang w:eastAsia="et-EE"/>
              </w:rPr>
              <w:t>315E </w:t>
            </w:r>
          </w:p>
        </w:tc>
        <w:tc>
          <w:tcPr>
            <w:tcW w:w="1243" w:type="dxa"/>
            <w:vAlign w:val="center"/>
          </w:tcPr>
          <w:p w14:paraId="3EB757AB" w14:textId="77777777" w:rsidR="00295BCD" w:rsidRPr="001927D6" w:rsidRDefault="00295BCD">
            <w:pPr>
              <w:spacing w:after="0" w:line="240" w:lineRule="auto"/>
              <w:jc w:val="center"/>
              <w:textAlignment w:val="baseline"/>
              <w:rPr>
                <w:szCs w:val="24"/>
                <w:lang w:eastAsia="et-EE"/>
              </w:rPr>
            </w:pPr>
            <w:r w:rsidRPr="001927D6">
              <w:rPr>
                <w:color w:val="000000"/>
                <w:szCs w:val="24"/>
              </w:rPr>
              <w:t>3 683,94</w:t>
            </w:r>
          </w:p>
        </w:tc>
        <w:tc>
          <w:tcPr>
            <w:tcW w:w="1211" w:type="dxa"/>
            <w:vAlign w:val="center"/>
          </w:tcPr>
          <w:p w14:paraId="1AAB07B3" w14:textId="77777777" w:rsidR="00295BCD" w:rsidRPr="001927D6" w:rsidRDefault="00295BCD">
            <w:pPr>
              <w:spacing w:after="0" w:line="240" w:lineRule="auto"/>
              <w:jc w:val="center"/>
              <w:textAlignment w:val="baseline"/>
              <w:rPr>
                <w:szCs w:val="24"/>
                <w:lang w:eastAsia="et-EE"/>
              </w:rPr>
            </w:pPr>
            <w:r w:rsidRPr="001927D6">
              <w:rPr>
                <w:color w:val="000000"/>
                <w:szCs w:val="24"/>
              </w:rPr>
              <w:t>1 489,77</w:t>
            </w:r>
          </w:p>
        </w:tc>
        <w:tc>
          <w:tcPr>
            <w:tcW w:w="1238" w:type="dxa"/>
            <w:vAlign w:val="center"/>
          </w:tcPr>
          <w:p w14:paraId="2E5329EE" w14:textId="77777777" w:rsidR="00295BCD" w:rsidRPr="001927D6" w:rsidRDefault="00295BCD">
            <w:pPr>
              <w:spacing w:after="0" w:line="240" w:lineRule="auto"/>
              <w:jc w:val="center"/>
              <w:textAlignment w:val="baseline"/>
              <w:rPr>
                <w:szCs w:val="24"/>
                <w:lang w:eastAsia="et-EE"/>
              </w:rPr>
            </w:pPr>
            <w:r w:rsidRPr="001927D6">
              <w:rPr>
                <w:color w:val="000000"/>
                <w:szCs w:val="24"/>
              </w:rPr>
              <w:t>7 873,99</w:t>
            </w:r>
          </w:p>
        </w:tc>
      </w:tr>
      <w:tr w:rsidR="00295BCD" w:rsidRPr="001927D6" w14:paraId="489DA0EB" w14:textId="77777777" w:rsidTr="00295BCD">
        <w:trPr>
          <w:divId w:val="1316184749"/>
          <w:trHeight w:val="300"/>
        </w:trPr>
        <w:tc>
          <w:tcPr>
            <w:tcW w:w="4632" w:type="dxa"/>
            <w:vAlign w:val="bottom"/>
            <w:hideMark/>
          </w:tcPr>
          <w:p w14:paraId="0AE36085" w14:textId="77777777" w:rsidR="00295BCD" w:rsidRPr="001927D6" w:rsidRDefault="00295BCD">
            <w:pPr>
              <w:spacing w:after="0" w:line="240" w:lineRule="auto"/>
              <w:textAlignment w:val="baseline"/>
              <w:rPr>
                <w:szCs w:val="24"/>
                <w:lang w:eastAsia="et-EE"/>
              </w:rPr>
            </w:pPr>
            <w:r w:rsidRPr="001927D6">
              <w:rPr>
                <w:szCs w:val="24"/>
                <w:lang w:eastAsia="et-EE"/>
              </w:rPr>
              <w:t>Neerude ja kuseteede muud operatsioonid, lühike ravi </w:t>
            </w:r>
          </w:p>
        </w:tc>
        <w:tc>
          <w:tcPr>
            <w:tcW w:w="732" w:type="dxa"/>
            <w:vAlign w:val="center"/>
            <w:hideMark/>
          </w:tcPr>
          <w:p w14:paraId="4FFA7D39" w14:textId="77777777" w:rsidR="00295BCD" w:rsidRPr="001927D6" w:rsidRDefault="00295BCD">
            <w:pPr>
              <w:spacing w:after="0" w:line="240" w:lineRule="auto"/>
              <w:jc w:val="center"/>
              <w:textAlignment w:val="baseline"/>
              <w:rPr>
                <w:szCs w:val="24"/>
                <w:lang w:eastAsia="et-EE"/>
              </w:rPr>
            </w:pPr>
            <w:r w:rsidRPr="001927D6">
              <w:rPr>
                <w:szCs w:val="24"/>
                <w:lang w:eastAsia="et-EE"/>
              </w:rPr>
              <w:t>315O </w:t>
            </w:r>
          </w:p>
        </w:tc>
        <w:tc>
          <w:tcPr>
            <w:tcW w:w="1243" w:type="dxa"/>
            <w:vAlign w:val="center"/>
          </w:tcPr>
          <w:p w14:paraId="57A2C24E" w14:textId="77777777" w:rsidR="00295BCD" w:rsidRPr="001927D6" w:rsidRDefault="00295BCD">
            <w:pPr>
              <w:spacing w:after="0" w:line="240" w:lineRule="auto"/>
              <w:jc w:val="center"/>
              <w:textAlignment w:val="baseline"/>
              <w:rPr>
                <w:szCs w:val="24"/>
                <w:lang w:eastAsia="et-EE"/>
              </w:rPr>
            </w:pPr>
            <w:r w:rsidRPr="001927D6">
              <w:rPr>
                <w:color w:val="000000"/>
                <w:szCs w:val="24"/>
              </w:rPr>
              <w:t>668,83</w:t>
            </w:r>
          </w:p>
        </w:tc>
        <w:tc>
          <w:tcPr>
            <w:tcW w:w="1211" w:type="dxa"/>
            <w:vAlign w:val="center"/>
          </w:tcPr>
          <w:p w14:paraId="1A0518EF" w14:textId="77777777" w:rsidR="00295BCD" w:rsidRPr="001927D6" w:rsidRDefault="00295BCD">
            <w:pPr>
              <w:spacing w:after="0" w:line="240" w:lineRule="auto"/>
              <w:jc w:val="center"/>
              <w:textAlignment w:val="baseline"/>
              <w:rPr>
                <w:szCs w:val="24"/>
                <w:lang w:eastAsia="et-EE"/>
              </w:rPr>
            </w:pPr>
            <w:r w:rsidRPr="001927D6">
              <w:rPr>
                <w:color w:val="000000"/>
                <w:szCs w:val="24"/>
              </w:rPr>
              <w:t>286,05</w:t>
            </w:r>
          </w:p>
        </w:tc>
        <w:tc>
          <w:tcPr>
            <w:tcW w:w="1238" w:type="dxa"/>
            <w:vAlign w:val="center"/>
          </w:tcPr>
          <w:p w14:paraId="509A4032" w14:textId="77777777" w:rsidR="00295BCD" w:rsidRPr="001927D6" w:rsidRDefault="00295BCD">
            <w:pPr>
              <w:spacing w:after="0" w:line="240" w:lineRule="auto"/>
              <w:jc w:val="center"/>
              <w:textAlignment w:val="baseline"/>
              <w:rPr>
                <w:szCs w:val="24"/>
                <w:lang w:eastAsia="et-EE"/>
              </w:rPr>
            </w:pPr>
            <w:r w:rsidRPr="001927D6">
              <w:rPr>
                <w:color w:val="000000"/>
                <w:szCs w:val="24"/>
              </w:rPr>
              <w:t>2 625,82</w:t>
            </w:r>
          </w:p>
        </w:tc>
      </w:tr>
      <w:tr w:rsidR="00295BCD" w:rsidRPr="001927D6" w14:paraId="49E202CC" w14:textId="77777777" w:rsidTr="00295BCD">
        <w:trPr>
          <w:divId w:val="1316184749"/>
          <w:trHeight w:val="300"/>
        </w:trPr>
        <w:tc>
          <w:tcPr>
            <w:tcW w:w="4632" w:type="dxa"/>
            <w:vAlign w:val="bottom"/>
            <w:hideMark/>
          </w:tcPr>
          <w:p w14:paraId="623340A5" w14:textId="77777777" w:rsidR="00295BCD" w:rsidRPr="001927D6" w:rsidRDefault="00295BCD">
            <w:pPr>
              <w:spacing w:after="0" w:line="240" w:lineRule="auto"/>
              <w:textAlignment w:val="baseline"/>
              <w:rPr>
                <w:szCs w:val="24"/>
                <w:lang w:eastAsia="et-EE"/>
              </w:rPr>
            </w:pPr>
            <w:r w:rsidRPr="001927D6">
              <w:rPr>
                <w:szCs w:val="24"/>
                <w:lang w:eastAsia="et-EE"/>
              </w:rPr>
              <w:t>Neerupuudulikkus </w:t>
            </w:r>
          </w:p>
        </w:tc>
        <w:tc>
          <w:tcPr>
            <w:tcW w:w="732" w:type="dxa"/>
            <w:vAlign w:val="center"/>
            <w:hideMark/>
          </w:tcPr>
          <w:p w14:paraId="6343DBA5" w14:textId="77777777" w:rsidR="00295BCD" w:rsidRPr="001927D6" w:rsidRDefault="00295BCD">
            <w:pPr>
              <w:spacing w:after="0" w:line="240" w:lineRule="auto"/>
              <w:jc w:val="center"/>
              <w:textAlignment w:val="baseline"/>
              <w:rPr>
                <w:szCs w:val="24"/>
                <w:lang w:eastAsia="et-EE"/>
              </w:rPr>
            </w:pPr>
            <w:r w:rsidRPr="001927D6">
              <w:rPr>
                <w:szCs w:val="24"/>
                <w:lang w:eastAsia="et-EE"/>
              </w:rPr>
              <w:t>316 </w:t>
            </w:r>
          </w:p>
        </w:tc>
        <w:tc>
          <w:tcPr>
            <w:tcW w:w="1243" w:type="dxa"/>
            <w:vAlign w:val="center"/>
          </w:tcPr>
          <w:p w14:paraId="3D4E43C0" w14:textId="77777777" w:rsidR="00295BCD" w:rsidRPr="001927D6" w:rsidRDefault="00295BCD">
            <w:pPr>
              <w:spacing w:after="0" w:line="240" w:lineRule="auto"/>
              <w:jc w:val="center"/>
              <w:textAlignment w:val="baseline"/>
              <w:rPr>
                <w:szCs w:val="24"/>
                <w:lang w:eastAsia="et-EE"/>
              </w:rPr>
            </w:pPr>
            <w:r w:rsidRPr="001927D6">
              <w:rPr>
                <w:color w:val="000000"/>
                <w:szCs w:val="24"/>
              </w:rPr>
              <w:t>2 988,92</w:t>
            </w:r>
          </w:p>
        </w:tc>
        <w:tc>
          <w:tcPr>
            <w:tcW w:w="1211" w:type="dxa"/>
            <w:vAlign w:val="center"/>
          </w:tcPr>
          <w:p w14:paraId="7E89EB6C" w14:textId="77777777" w:rsidR="00295BCD" w:rsidRPr="001927D6" w:rsidRDefault="00295BCD">
            <w:pPr>
              <w:spacing w:after="0" w:line="240" w:lineRule="auto"/>
              <w:jc w:val="center"/>
              <w:textAlignment w:val="baseline"/>
              <w:rPr>
                <w:szCs w:val="24"/>
                <w:lang w:eastAsia="et-EE"/>
              </w:rPr>
            </w:pPr>
            <w:r w:rsidRPr="001927D6">
              <w:rPr>
                <w:color w:val="000000"/>
                <w:szCs w:val="24"/>
              </w:rPr>
              <w:t>855,37</w:t>
            </w:r>
          </w:p>
        </w:tc>
        <w:tc>
          <w:tcPr>
            <w:tcW w:w="1238" w:type="dxa"/>
            <w:vAlign w:val="center"/>
          </w:tcPr>
          <w:p w14:paraId="0C1983CD" w14:textId="77777777" w:rsidR="00295BCD" w:rsidRPr="001927D6" w:rsidRDefault="00295BCD">
            <w:pPr>
              <w:spacing w:after="0" w:line="240" w:lineRule="auto"/>
              <w:jc w:val="center"/>
              <w:textAlignment w:val="baseline"/>
              <w:rPr>
                <w:szCs w:val="24"/>
                <w:lang w:eastAsia="et-EE"/>
              </w:rPr>
            </w:pPr>
            <w:r w:rsidRPr="001927D6">
              <w:rPr>
                <w:color w:val="000000"/>
                <w:szCs w:val="24"/>
              </w:rPr>
              <w:t>7 205,26</w:t>
            </w:r>
          </w:p>
        </w:tc>
      </w:tr>
      <w:tr w:rsidR="00295BCD" w:rsidRPr="001927D6" w14:paraId="3EAC91F2" w14:textId="77777777" w:rsidTr="00295BCD">
        <w:trPr>
          <w:divId w:val="1316184749"/>
          <w:trHeight w:val="300"/>
        </w:trPr>
        <w:tc>
          <w:tcPr>
            <w:tcW w:w="4632" w:type="dxa"/>
            <w:vAlign w:val="bottom"/>
            <w:hideMark/>
          </w:tcPr>
          <w:p w14:paraId="7E923634" w14:textId="77777777" w:rsidR="00295BCD" w:rsidRPr="001927D6" w:rsidRDefault="00295BCD">
            <w:pPr>
              <w:spacing w:after="0" w:line="240" w:lineRule="auto"/>
              <w:textAlignment w:val="baseline"/>
              <w:rPr>
                <w:szCs w:val="24"/>
                <w:lang w:eastAsia="et-EE"/>
              </w:rPr>
            </w:pPr>
            <w:r w:rsidRPr="001927D6">
              <w:rPr>
                <w:szCs w:val="24"/>
                <w:lang w:eastAsia="et-EE"/>
              </w:rPr>
              <w:t>Neerude dialüüsravi </w:t>
            </w:r>
          </w:p>
        </w:tc>
        <w:tc>
          <w:tcPr>
            <w:tcW w:w="732" w:type="dxa"/>
            <w:vAlign w:val="center"/>
            <w:hideMark/>
          </w:tcPr>
          <w:p w14:paraId="4A3670E3" w14:textId="77777777" w:rsidR="00295BCD" w:rsidRPr="001927D6" w:rsidRDefault="00295BCD">
            <w:pPr>
              <w:spacing w:after="0" w:line="240" w:lineRule="auto"/>
              <w:jc w:val="center"/>
              <w:textAlignment w:val="baseline"/>
              <w:rPr>
                <w:szCs w:val="24"/>
                <w:lang w:eastAsia="et-EE"/>
              </w:rPr>
            </w:pPr>
            <w:r w:rsidRPr="001927D6">
              <w:rPr>
                <w:szCs w:val="24"/>
                <w:lang w:eastAsia="et-EE"/>
              </w:rPr>
              <w:t>317 </w:t>
            </w:r>
          </w:p>
        </w:tc>
        <w:tc>
          <w:tcPr>
            <w:tcW w:w="1243" w:type="dxa"/>
            <w:vAlign w:val="center"/>
          </w:tcPr>
          <w:p w14:paraId="25958204" w14:textId="77777777" w:rsidR="00295BCD" w:rsidRPr="001927D6" w:rsidRDefault="00295BCD">
            <w:pPr>
              <w:spacing w:after="0" w:line="240" w:lineRule="auto"/>
              <w:jc w:val="center"/>
              <w:textAlignment w:val="baseline"/>
              <w:rPr>
                <w:szCs w:val="24"/>
                <w:lang w:eastAsia="et-EE"/>
              </w:rPr>
            </w:pPr>
            <w:r w:rsidRPr="001927D6">
              <w:rPr>
                <w:color w:val="000000"/>
                <w:szCs w:val="24"/>
              </w:rPr>
              <w:t>3 773,56</w:t>
            </w:r>
          </w:p>
        </w:tc>
        <w:tc>
          <w:tcPr>
            <w:tcW w:w="1211" w:type="dxa"/>
            <w:vAlign w:val="center"/>
          </w:tcPr>
          <w:p w14:paraId="73A9AD37" w14:textId="77777777" w:rsidR="00295BCD" w:rsidRPr="001927D6" w:rsidRDefault="00295BCD">
            <w:pPr>
              <w:spacing w:after="0" w:line="240" w:lineRule="auto"/>
              <w:jc w:val="center"/>
              <w:textAlignment w:val="baseline"/>
              <w:rPr>
                <w:szCs w:val="24"/>
                <w:lang w:eastAsia="et-EE"/>
              </w:rPr>
            </w:pPr>
            <w:r w:rsidRPr="001927D6">
              <w:rPr>
                <w:color w:val="000000"/>
                <w:szCs w:val="24"/>
              </w:rPr>
              <w:t>1 191,89</w:t>
            </w:r>
          </w:p>
        </w:tc>
        <w:tc>
          <w:tcPr>
            <w:tcW w:w="1238" w:type="dxa"/>
            <w:vAlign w:val="center"/>
          </w:tcPr>
          <w:p w14:paraId="4F67080C" w14:textId="77777777" w:rsidR="00295BCD" w:rsidRPr="001927D6" w:rsidRDefault="00295BCD">
            <w:pPr>
              <w:spacing w:after="0" w:line="240" w:lineRule="auto"/>
              <w:jc w:val="center"/>
              <w:textAlignment w:val="baseline"/>
              <w:rPr>
                <w:szCs w:val="24"/>
                <w:lang w:eastAsia="et-EE"/>
              </w:rPr>
            </w:pPr>
            <w:r w:rsidRPr="001927D6">
              <w:rPr>
                <w:color w:val="000000"/>
                <w:szCs w:val="24"/>
              </w:rPr>
              <w:t>7 319,60</w:t>
            </w:r>
          </w:p>
        </w:tc>
      </w:tr>
      <w:tr w:rsidR="00295BCD" w:rsidRPr="001927D6" w14:paraId="100F3328" w14:textId="77777777" w:rsidTr="00295BCD">
        <w:trPr>
          <w:divId w:val="1316184749"/>
          <w:trHeight w:val="300"/>
        </w:trPr>
        <w:tc>
          <w:tcPr>
            <w:tcW w:w="4632" w:type="dxa"/>
            <w:vAlign w:val="bottom"/>
            <w:hideMark/>
          </w:tcPr>
          <w:p w14:paraId="7D67C5BB" w14:textId="77777777" w:rsidR="00295BCD" w:rsidRPr="001927D6" w:rsidRDefault="00295BCD">
            <w:pPr>
              <w:spacing w:after="0" w:line="240" w:lineRule="auto"/>
              <w:textAlignment w:val="baseline"/>
              <w:rPr>
                <w:szCs w:val="24"/>
                <w:lang w:eastAsia="et-EE"/>
              </w:rPr>
            </w:pPr>
            <w:r w:rsidRPr="001927D6">
              <w:rPr>
                <w:szCs w:val="24"/>
                <w:lang w:eastAsia="et-EE"/>
              </w:rPr>
              <w:t>Neerude dialüüsravi, lühike ravi </w:t>
            </w:r>
          </w:p>
        </w:tc>
        <w:tc>
          <w:tcPr>
            <w:tcW w:w="732" w:type="dxa"/>
            <w:vAlign w:val="center"/>
            <w:hideMark/>
          </w:tcPr>
          <w:p w14:paraId="11198874" w14:textId="77777777" w:rsidR="00295BCD" w:rsidRPr="001927D6" w:rsidRDefault="00295BCD">
            <w:pPr>
              <w:spacing w:after="0" w:line="240" w:lineRule="auto"/>
              <w:jc w:val="center"/>
              <w:textAlignment w:val="baseline"/>
              <w:rPr>
                <w:szCs w:val="24"/>
                <w:lang w:eastAsia="et-EE"/>
              </w:rPr>
            </w:pPr>
            <w:r w:rsidRPr="001927D6">
              <w:rPr>
                <w:szCs w:val="24"/>
                <w:lang w:eastAsia="et-EE"/>
              </w:rPr>
              <w:t>317O </w:t>
            </w:r>
          </w:p>
        </w:tc>
        <w:tc>
          <w:tcPr>
            <w:tcW w:w="1243" w:type="dxa"/>
            <w:vAlign w:val="center"/>
          </w:tcPr>
          <w:p w14:paraId="1B9484D0" w14:textId="77777777" w:rsidR="00295BCD" w:rsidRPr="001927D6" w:rsidRDefault="00295BCD">
            <w:pPr>
              <w:spacing w:after="0" w:line="240" w:lineRule="auto"/>
              <w:jc w:val="center"/>
              <w:textAlignment w:val="baseline"/>
              <w:rPr>
                <w:szCs w:val="24"/>
                <w:lang w:eastAsia="et-EE"/>
              </w:rPr>
            </w:pPr>
            <w:r w:rsidRPr="001927D6">
              <w:rPr>
                <w:color w:val="000000"/>
                <w:szCs w:val="24"/>
              </w:rPr>
              <w:t>1 419,93</w:t>
            </w:r>
          </w:p>
        </w:tc>
        <w:tc>
          <w:tcPr>
            <w:tcW w:w="1211" w:type="dxa"/>
            <w:vAlign w:val="center"/>
          </w:tcPr>
          <w:p w14:paraId="2BB7DBA8" w14:textId="77777777" w:rsidR="00295BCD" w:rsidRPr="001927D6" w:rsidRDefault="00295BCD">
            <w:pPr>
              <w:spacing w:after="0" w:line="240" w:lineRule="auto"/>
              <w:jc w:val="center"/>
              <w:textAlignment w:val="baseline"/>
              <w:rPr>
                <w:szCs w:val="24"/>
                <w:lang w:eastAsia="et-EE"/>
              </w:rPr>
            </w:pPr>
            <w:r w:rsidRPr="001927D6">
              <w:rPr>
                <w:color w:val="000000"/>
                <w:szCs w:val="24"/>
              </w:rPr>
              <w:t>753,35</w:t>
            </w:r>
          </w:p>
        </w:tc>
        <w:tc>
          <w:tcPr>
            <w:tcW w:w="1238" w:type="dxa"/>
            <w:vAlign w:val="center"/>
          </w:tcPr>
          <w:p w14:paraId="4772896F" w14:textId="77777777" w:rsidR="00295BCD" w:rsidRPr="001927D6" w:rsidRDefault="00295BCD">
            <w:pPr>
              <w:spacing w:after="0" w:line="240" w:lineRule="auto"/>
              <w:jc w:val="center"/>
              <w:textAlignment w:val="baseline"/>
              <w:rPr>
                <w:szCs w:val="24"/>
                <w:lang w:eastAsia="et-EE"/>
              </w:rPr>
            </w:pPr>
            <w:r w:rsidRPr="001927D6">
              <w:rPr>
                <w:color w:val="000000"/>
                <w:szCs w:val="24"/>
              </w:rPr>
              <w:t>1 617,06</w:t>
            </w:r>
          </w:p>
        </w:tc>
      </w:tr>
      <w:tr w:rsidR="00295BCD" w:rsidRPr="001927D6" w14:paraId="0CEC2878" w14:textId="77777777" w:rsidTr="00295BCD">
        <w:trPr>
          <w:divId w:val="1316184749"/>
          <w:trHeight w:val="300"/>
        </w:trPr>
        <w:tc>
          <w:tcPr>
            <w:tcW w:w="4632" w:type="dxa"/>
            <w:vAlign w:val="bottom"/>
            <w:hideMark/>
          </w:tcPr>
          <w:p w14:paraId="322A321D" w14:textId="77777777" w:rsidR="00295BCD" w:rsidRPr="001927D6" w:rsidRDefault="00295BCD">
            <w:pPr>
              <w:spacing w:after="0" w:line="240" w:lineRule="auto"/>
              <w:textAlignment w:val="baseline"/>
              <w:rPr>
                <w:szCs w:val="24"/>
                <w:lang w:eastAsia="et-EE"/>
              </w:rPr>
            </w:pPr>
            <w:r w:rsidRPr="001927D6">
              <w:rPr>
                <w:szCs w:val="24"/>
                <w:lang w:eastAsia="et-EE"/>
              </w:rPr>
              <w:t>Neerude ja kuseteede kasvajad, kht-ga </w:t>
            </w:r>
          </w:p>
        </w:tc>
        <w:tc>
          <w:tcPr>
            <w:tcW w:w="732" w:type="dxa"/>
            <w:vAlign w:val="center"/>
            <w:hideMark/>
          </w:tcPr>
          <w:p w14:paraId="17D15F4D" w14:textId="77777777" w:rsidR="00295BCD" w:rsidRPr="001927D6" w:rsidRDefault="00295BCD">
            <w:pPr>
              <w:spacing w:after="0" w:line="240" w:lineRule="auto"/>
              <w:jc w:val="center"/>
              <w:textAlignment w:val="baseline"/>
              <w:rPr>
                <w:szCs w:val="24"/>
                <w:lang w:eastAsia="et-EE"/>
              </w:rPr>
            </w:pPr>
            <w:r w:rsidRPr="001927D6">
              <w:rPr>
                <w:szCs w:val="24"/>
                <w:lang w:eastAsia="et-EE"/>
              </w:rPr>
              <w:t>318 </w:t>
            </w:r>
          </w:p>
        </w:tc>
        <w:tc>
          <w:tcPr>
            <w:tcW w:w="1243" w:type="dxa"/>
            <w:vAlign w:val="center"/>
          </w:tcPr>
          <w:p w14:paraId="5641BB81" w14:textId="77777777" w:rsidR="00295BCD" w:rsidRPr="001927D6" w:rsidRDefault="00295BCD">
            <w:pPr>
              <w:spacing w:after="0" w:line="240" w:lineRule="auto"/>
              <w:jc w:val="center"/>
              <w:textAlignment w:val="baseline"/>
              <w:rPr>
                <w:szCs w:val="24"/>
                <w:lang w:eastAsia="et-EE"/>
              </w:rPr>
            </w:pPr>
            <w:r w:rsidRPr="001927D6">
              <w:rPr>
                <w:color w:val="000000"/>
                <w:szCs w:val="24"/>
              </w:rPr>
              <w:t>2 438,54</w:t>
            </w:r>
          </w:p>
        </w:tc>
        <w:tc>
          <w:tcPr>
            <w:tcW w:w="1211" w:type="dxa"/>
            <w:vAlign w:val="center"/>
          </w:tcPr>
          <w:p w14:paraId="32C315FC" w14:textId="77777777" w:rsidR="00295BCD" w:rsidRPr="001927D6" w:rsidRDefault="00295BCD">
            <w:pPr>
              <w:spacing w:after="0" w:line="240" w:lineRule="auto"/>
              <w:jc w:val="center"/>
              <w:textAlignment w:val="baseline"/>
              <w:rPr>
                <w:szCs w:val="24"/>
                <w:lang w:eastAsia="et-EE"/>
              </w:rPr>
            </w:pPr>
            <w:r w:rsidRPr="001927D6">
              <w:rPr>
                <w:color w:val="000000"/>
                <w:szCs w:val="24"/>
              </w:rPr>
              <w:t>448,72</w:t>
            </w:r>
          </w:p>
        </w:tc>
        <w:tc>
          <w:tcPr>
            <w:tcW w:w="1238" w:type="dxa"/>
            <w:vAlign w:val="center"/>
          </w:tcPr>
          <w:p w14:paraId="012F4163" w14:textId="77777777" w:rsidR="00295BCD" w:rsidRPr="001927D6" w:rsidRDefault="00295BCD">
            <w:pPr>
              <w:spacing w:after="0" w:line="240" w:lineRule="auto"/>
              <w:jc w:val="center"/>
              <w:textAlignment w:val="baseline"/>
              <w:rPr>
                <w:szCs w:val="24"/>
                <w:lang w:eastAsia="et-EE"/>
              </w:rPr>
            </w:pPr>
            <w:r w:rsidRPr="001927D6">
              <w:rPr>
                <w:color w:val="000000"/>
                <w:szCs w:val="24"/>
              </w:rPr>
              <w:t>5 404,64</w:t>
            </w:r>
          </w:p>
        </w:tc>
      </w:tr>
      <w:tr w:rsidR="00295BCD" w:rsidRPr="001927D6" w14:paraId="05CED87F" w14:textId="77777777" w:rsidTr="00295BCD">
        <w:trPr>
          <w:divId w:val="1316184749"/>
          <w:trHeight w:val="300"/>
        </w:trPr>
        <w:tc>
          <w:tcPr>
            <w:tcW w:w="4632" w:type="dxa"/>
            <w:vAlign w:val="bottom"/>
            <w:hideMark/>
          </w:tcPr>
          <w:p w14:paraId="5AD92B3B" w14:textId="77777777" w:rsidR="00295BCD" w:rsidRPr="001927D6" w:rsidRDefault="00295BCD">
            <w:pPr>
              <w:spacing w:after="0" w:line="240" w:lineRule="auto"/>
              <w:textAlignment w:val="baseline"/>
              <w:rPr>
                <w:szCs w:val="24"/>
                <w:lang w:eastAsia="et-EE"/>
              </w:rPr>
            </w:pPr>
            <w:r w:rsidRPr="001927D6">
              <w:rPr>
                <w:szCs w:val="24"/>
                <w:lang w:eastAsia="et-EE"/>
              </w:rPr>
              <w:t>Neerude ja kuseteede kasvajad, kht-ta </w:t>
            </w:r>
          </w:p>
        </w:tc>
        <w:tc>
          <w:tcPr>
            <w:tcW w:w="732" w:type="dxa"/>
            <w:vAlign w:val="center"/>
            <w:hideMark/>
          </w:tcPr>
          <w:p w14:paraId="585C5F25" w14:textId="77777777" w:rsidR="00295BCD" w:rsidRPr="001927D6" w:rsidRDefault="00295BCD">
            <w:pPr>
              <w:spacing w:after="0" w:line="240" w:lineRule="auto"/>
              <w:jc w:val="center"/>
              <w:textAlignment w:val="baseline"/>
              <w:rPr>
                <w:szCs w:val="24"/>
                <w:lang w:eastAsia="et-EE"/>
              </w:rPr>
            </w:pPr>
            <w:r w:rsidRPr="001927D6">
              <w:rPr>
                <w:szCs w:val="24"/>
                <w:lang w:eastAsia="et-EE"/>
              </w:rPr>
              <w:t>319 </w:t>
            </w:r>
          </w:p>
        </w:tc>
        <w:tc>
          <w:tcPr>
            <w:tcW w:w="1243" w:type="dxa"/>
            <w:vAlign w:val="center"/>
          </w:tcPr>
          <w:p w14:paraId="6ABAF564" w14:textId="77777777" w:rsidR="00295BCD" w:rsidRPr="001927D6" w:rsidRDefault="00295BCD">
            <w:pPr>
              <w:spacing w:after="0" w:line="240" w:lineRule="auto"/>
              <w:jc w:val="center"/>
              <w:textAlignment w:val="baseline"/>
              <w:rPr>
                <w:szCs w:val="24"/>
                <w:lang w:eastAsia="et-EE"/>
              </w:rPr>
            </w:pPr>
            <w:r w:rsidRPr="001927D6">
              <w:rPr>
                <w:color w:val="000000"/>
                <w:szCs w:val="24"/>
              </w:rPr>
              <w:t>1 156,44</w:t>
            </w:r>
          </w:p>
        </w:tc>
        <w:tc>
          <w:tcPr>
            <w:tcW w:w="1211" w:type="dxa"/>
            <w:vAlign w:val="center"/>
          </w:tcPr>
          <w:p w14:paraId="2164ED33" w14:textId="77777777" w:rsidR="00295BCD" w:rsidRPr="001927D6" w:rsidRDefault="00295BCD">
            <w:pPr>
              <w:spacing w:after="0" w:line="240" w:lineRule="auto"/>
              <w:jc w:val="center"/>
              <w:textAlignment w:val="baseline"/>
              <w:rPr>
                <w:szCs w:val="24"/>
                <w:lang w:eastAsia="et-EE"/>
              </w:rPr>
            </w:pPr>
            <w:r w:rsidRPr="001927D6">
              <w:rPr>
                <w:color w:val="000000"/>
                <w:szCs w:val="24"/>
              </w:rPr>
              <w:t>324,68</w:t>
            </w:r>
          </w:p>
        </w:tc>
        <w:tc>
          <w:tcPr>
            <w:tcW w:w="1238" w:type="dxa"/>
            <w:vAlign w:val="center"/>
          </w:tcPr>
          <w:p w14:paraId="37EC7846" w14:textId="77777777" w:rsidR="00295BCD" w:rsidRPr="001927D6" w:rsidRDefault="00295BCD">
            <w:pPr>
              <w:spacing w:after="0" w:line="240" w:lineRule="auto"/>
              <w:jc w:val="center"/>
              <w:textAlignment w:val="baseline"/>
              <w:rPr>
                <w:szCs w:val="24"/>
                <w:lang w:eastAsia="et-EE"/>
              </w:rPr>
            </w:pPr>
            <w:r w:rsidRPr="001927D6">
              <w:rPr>
                <w:color w:val="000000"/>
                <w:szCs w:val="24"/>
              </w:rPr>
              <w:t>3 101,95</w:t>
            </w:r>
          </w:p>
        </w:tc>
      </w:tr>
      <w:tr w:rsidR="00295BCD" w:rsidRPr="001927D6" w14:paraId="04F1973C" w14:textId="77777777" w:rsidTr="00295BCD">
        <w:trPr>
          <w:divId w:val="1316184749"/>
          <w:trHeight w:val="300"/>
        </w:trPr>
        <w:tc>
          <w:tcPr>
            <w:tcW w:w="4632" w:type="dxa"/>
            <w:vAlign w:val="bottom"/>
            <w:hideMark/>
          </w:tcPr>
          <w:p w14:paraId="6B54230D" w14:textId="77777777" w:rsidR="00295BCD" w:rsidRPr="001927D6" w:rsidRDefault="00295BCD">
            <w:pPr>
              <w:spacing w:after="0" w:line="240" w:lineRule="auto"/>
              <w:textAlignment w:val="baseline"/>
              <w:rPr>
                <w:szCs w:val="24"/>
                <w:lang w:eastAsia="et-EE"/>
              </w:rPr>
            </w:pPr>
            <w:r w:rsidRPr="001927D6">
              <w:rPr>
                <w:szCs w:val="24"/>
                <w:lang w:eastAsia="et-EE"/>
              </w:rPr>
              <w:t>Neerude ja kuseteede infektsioonid, vanus &gt; 17, kht-ga </w:t>
            </w:r>
          </w:p>
        </w:tc>
        <w:tc>
          <w:tcPr>
            <w:tcW w:w="732" w:type="dxa"/>
            <w:vAlign w:val="center"/>
            <w:hideMark/>
          </w:tcPr>
          <w:p w14:paraId="15D19C4A" w14:textId="77777777" w:rsidR="00295BCD" w:rsidRPr="001927D6" w:rsidRDefault="00295BCD">
            <w:pPr>
              <w:spacing w:after="0" w:line="240" w:lineRule="auto"/>
              <w:jc w:val="center"/>
              <w:textAlignment w:val="baseline"/>
              <w:rPr>
                <w:szCs w:val="24"/>
                <w:lang w:eastAsia="et-EE"/>
              </w:rPr>
            </w:pPr>
            <w:r w:rsidRPr="001927D6">
              <w:rPr>
                <w:szCs w:val="24"/>
                <w:lang w:eastAsia="et-EE"/>
              </w:rPr>
              <w:t>320 </w:t>
            </w:r>
          </w:p>
        </w:tc>
        <w:tc>
          <w:tcPr>
            <w:tcW w:w="1243" w:type="dxa"/>
            <w:vAlign w:val="center"/>
          </w:tcPr>
          <w:p w14:paraId="25659262" w14:textId="77777777" w:rsidR="00295BCD" w:rsidRPr="001927D6" w:rsidRDefault="00295BCD">
            <w:pPr>
              <w:spacing w:after="0" w:line="240" w:lineRule="auto"/>
              <w:jc w:val="center"/>
              <w:textAlignment w:val="baseline"/>
              <w:rPr>
                <w:szCs w:val="24"/>
                <w:lang w:eastAsia="et-EE"/>
              </w:rPr>
            </w:pPr>
            <w:r w:rsidRPr="001927D6">
              <w:rPr>
                <w:color w:val="000000"/>
                <w:szCs w:val="24"/>
              </w:rPr>
              <w:t>3 275,52</w:t>
            </w:r>
          </w:p>
        </w:tc>
        <w:tc>
          <w:tcPr>
            <w:tcW w:w="1211" w:type="dxa"/>
            <w:vAlign w:val="center"/>
          </w:tcPr>
          <w:p w14:paraId="44AD88BA" w14:textId="77777777" w:rsidR="00295BCD" w:rsidRPr="001927D6" w:rsidRDefault="00295BCD">
            <w:pPr>
              <w:spacing w:after="0" w:line="240" w:lineRule="auto"/>
              <w:jc w:val="center"/>
              <w:textAlignment w:val="baseline"/>
              <w:rPr>
                <w:szCs w:val="24"/>
                <w:lang w:eastAsia="et-EE"/>
              </w:rPr>
            </w:pPr>
            <w:r w:rsidRPr="001927D6">
              <w:rPr>
                <w:color w:val="000000"/>
                <w:szCs w:val="24"/>
              </w:rPr>
              <w:t>1 173,74</w:t>
            </w:r>
          </w:p>
        </w:tc>
        <w:tc>
          <w:tcPr>
            <w:tcW w:w="1238" w:type="dxa"/>
            <w:vAlign w:val="center"/>
          </w:tcPr>
          <w:p w14:paraId="50631A37" w14:textId="77777777" w:rsidR="00295BCD" w:rsidRPr="001927D6" w:rsidRDefault="00295BCD">
            <w:pPr>
              <w:spacing w:after="0" w:line="240" w:lineRule="auto"/>
              <w:jc w:val="center"/>
              <w:textAlignment w:val="baseline"/>
              <w:rPr>
                <w:szCs w:val="24"/>
                <w:lang w:eastAsia="et-EE"/>
              </w:rPr>
            </w:pPr>
            <w:r w:rsidRPr="001927D6">
              <w:rPr>
                <w:color w:val="000000"/>
                <w:szCs w:val="24"/>
              </w:rPr>
              <w:t>7 841,42</w:t>
            </w:r>
          </w:p>
        </w:tc>
      </w:tr>
      <w:tr w:rsidR="00295BCD" w:rsidRPr="001927D6" w14:paraId="69007966" w14:textId="77777777" w:rsidTr="00295BCD">
        <w:trPr>
          <w:divId w:val="1316184749"/>
          <w:trHeight w:val="300"/>
        </w:trPr>
        <w:tc>
          <w:tcPr>
            <w:tcW w:w="4632" w:type="dxa"/>
            <w:vAlign w:val="bottom"/>
            <w:hideMark/>
          </w:tcPr>
          <w:p w14:paraId="434397D0" w14:textId="77777777" w:rsidR="00295BCD" w:rsidRPr="001927D6" w:rsidRDefault="00295BCD">
            <w:pPr>
              <w:spacing w:after="0" w:line="240" w:lineRule="auto"/>
              <w:textAlignment w:val="baseline"/>
              <w:rPr>
                <w:szCs w:val="24"/>
                <w:lang w:eastAsia="et-EE"/>
              </w:rPr>
            </w:pPr>
            <w:r w:rsidRPr="001927D6">
              <w:rPr>
                <w:szCs w:val="24"/>
                <w:lang w:eastAsia="et-EE"/>
              </w:rPr>
              <w:t>Neerude ja kuseteede infektsioonid, vanus &gt; 17, kht-ta </w:t>
            </w:r>
          </w:p>
        </w:tc>
        <w:tc>
          <w:tcPr>
            <w:tcW w:w="732" w:type="dxa"/>
            <w:vAlign w:val="center"/>
            <w:hideMark/>
          </w:tcPr>
          <w:p w14:paraId="1323D730" w14:textId="77777777" w:rsidR="00295BCD" w:rsidRPr="001927D6" w:rsidRDefault="00295BCD">
            <w:pPr>
              <w:spacing w:after="0" w:line="240" w:lineRule="auto"/>
              <w:jc w:val="center"/>
              <w:textAlignment w:val="baseline"/>
              <w:rPr>
                <w:szCs w:val="24"/>
                <w:lang w:eastAsia="et-EE"/>
              </w:rPr>
            </w:pPr>
            <w:r w:rsidRPr="001927D6">
              <w:rPr>
                <w:szCs w:val="24"/>
                <w:lang w:eastAsia="et-EE"/>
              </w:rPr>
              <w:t>321 </w:t>
            </w:r>
          </w:p>
        </w:tc>
        <w:tc>
          <w:tcPr>
            <w:tcW w:w="1243" w:type="dxa"/>
            <w:vAlign w:val="center"/>
          </w:tcPr>
          <w:p w14:paraId="610310FF" w14:textId="77777777" w:rsidR="00295BCD" w:rsidRPr="001927D6" w:rsidRDefault="00295BCD">
            <w:pPr>
              <w:spacing w:after="0" w:line="240" w:lineRule="auto"/>
              <w:jc w:val="center"/>
              <w:textAlignment w:val="baseline"/>
              <w:rPr>
                <w:szCs w:val="24"/>
                <w:lang w:eastAsia="et-EE"/>
              </w:rPr>
            </w:pPr>
            <w:r w:rsidRPr="001927D6">
              <w:rPr>
                <w:color w:val="000000"/>
                <w:szCs w:val="24"/>
              </w:rPr>
              <w:t>2 012,27</w:t>
            </w:r>
          </w:p>
        </w:tc>
        <w:tc>
          <w:tcPr>
            <w:tcW w:w="1211" w:type="dxa"/>
            <w:vAlign w:val="center"/>
          </w:tcPr>
          <w:p w14:paraId="4DAFE831" w14:textId="77777777" w:rsidR="00295BCD" w:rsidRPr="001927D6" w:rsidRDefault="00295BCD">
            <w:pPr>
              <w:spacing w:after="0" w:line="240" w:lineRule="auto"/>
              <w:jc w:val="center"/>
              <w:textAlignment w:val="baseline"/>
              <w:rPr>
                <w:szCs w:val="24"/>
                <w:lang w:eastAsia="et-EE"/>
              </w:rPr>
            </w:pPr>
            <w:r w:rsidRPr="001927D6">
              <w:rPr>
                <w:color w:val="000000"/>
                <w:szCs w:val="24"/>
              </w:rPr>
              <w:t>872,30</w:t>
            </w:r>
          </w:p>
        </w:tc>
        <w:tc>
          <w:tcPr>
            <w:tcW w:w="1238" w:type="dxa"/>
            <w:vAlign w:val="center"/>
          </w:tcPr>
          <w:p w14:paraId="706B8CAB" w14:textId="77777777" w:rsidR="00295BCD" w:rsidRPr="001927D6" w:rsidRDefault="00295BCD">
            <w:pPr>
              <w:spacing w:after="0" w:line="240" w:lineRule="auto"/>
              <w:jc w:val="center"/>
              <w:textAlignment w:val="baseline"/>
              <w:rPr>
                <w:szCs w:val="24"/>
                <w:lang w:eastAsia="et-EE"/>
              </w:rPr>
            </w:pPr>
            <w:r w:rsidRPr="001927D6">
              <w:rPr>
                <w:color w:val="000000"/>
                <w:szCs w:val="24"/>
              </w:rPr>
              <w:t>3 874,41</w:t>
            </w:r>
          </w:p>
        </w:tc>
      </w:tr>
      <w:tr w:rsidR="00295BCD" w:rsidRPr="001927D6" w14:paraId="4CD85654" w14:textId="77777777" w:rsidTr="00295BCD">
        <w:trPr>
          <w:divId w:val="1316184749"/>
          <w:trHeight w:val="300"/>
        </w:trPr>
        <w:tc>
          <w:tcPr>
            <w:tcW w:w="4632" w:type="dxa"/>
            <w:vAlign w:val="bottom"/>
            <w:hideMark/>
          </w:tcPr>
          <w:p w14:paraId="523E32DE" w14:textId="77777777" w:rsidR="00295BCD" w:rsidRPr="001927D6" w:rsidRDefault="00295BCD">
            <w:pPr>
              <w:spacing w:after="0" w:line="240" w:lineRule="auto"/>
              <w:textAlignment w:val="baseline"/>
              <w:rPr>
                <w:szCs w:val="24"/>
                <w:lang w:eastAsia="et-EE"/>
              </w:rPr>
            </w:pPr>
            <w:r w:rsidRPr="001927D6">
              <w:rPr>
                <w:szCs w:val="24"/>
                <w:lang w:eastAsia="et-EE"/>
              </w:rPr>
              <w:t>Neerude ja kuseteede infektsioonid, vanus 0–17 </w:t>
            </w:r>
          </w:p>
        </w:tc>
        <w:tc>
          <w:tcPr>
            <w:tcW w:w="732" w:type="dxa"/>
            <w:vAlign w:val="center"/>
            <w:hideMark/>
          </w:tcPr>
          <w:p w14:paraId="37324F4F" w14:textId="77777777" w:rsidR="00295BCD" w:rsidRPr="001927D6" w:rsidRDefault="00295BCD">
            <w:pPr>
              <w:spacing w:after="0" w:line="240" w:lineRule="auto"/>
              <w:jc w:val="center"/>
              <w:textAlignment w:val="baseline"/>
              <w:rPr>
                <w:szCs w:val="24"/>
                <w:lang w:eastAsia="et-EE"/>
              </w:rPr>
            </w:pPr>
            <w:r w:rsidRPr="001927D6">
              <w:rPr>
                <w:szCs w:val="24"/>
                <w:lang w:eastAsia="et-EE"/>
              </w:rPr>
              <w:t>322 </w:t>
            </w:r>
          </w:p>
        </w:tc>
        <w:tc>
          <w:tcPr>
            <w:tcW w:w="1243" w:type="dxa"/>
            <w:vAlign w:val="center"/>
          </w:tcPr>
          <w:p w14:paraId="20194951" w14:textId="77777777" w:rsidR="00295BCD" w:rsidRPr="001927D6" w:rsidRDefault="00295BCD">
            <w:pPr>
              <w:spacing w:after="0" w:line="240" w:lineRule="auto"/>
              <w:jc w:val="center"/>
              <w:textAlignment w:val="baseline"/>
              <w:rPr>
                <w:szCs w:val="24"/>
                <w:lang w:eastAsia="et-EE"/>
              </w:rPr>
            </w:pPr>
            <w:r w:rsidRPr="001927D6">
              <w:rPr>
                <w:color w:val="000000"/>
                <w:szCs w:val="24"/>
              </w:rPr>
              <w:t>1 476,94</w:t>
            </w:r>
          </w:p>
        </w:tc>
        <w:tc>
          <w:tcPr>
            <w:tcW w:w="1211" w:type="dxa"/>
            <w:vAlign w:val="center"/>
          </w:tcPr>
          <w:p w14:paraId="051E6413" w14:textId="77777777" w:rsidR="00295BCD" w:rsidRPr="001927D6" w:rsidRDefault="00295BCD">
            <w:pPr>
              <w:spacing w:after="0" w:line="240" w:lineRule="auto"/>
              <w:jc w:val="center"/>
              <w:textAlignment w:val="baseline"/>
              <w:rPr>
                <w:szCs w:val="24"/>
                <w:lang w:eastAsia="et-EE"/>
              </w:rPr>
            </w:pPr>
            <w:r w:rsidRPr="001927D6">
              <w:rPr>
                <w:color w:val="000000"/>
                <w:szCs w:val="24"/>
              </w:rPr>
              <w:t>612,81</w:t>
            </w:r>
          </w:p>
        </w:tc>
        <w:tc>
          <w:tcPr>
            <w:tcW w:w="1238" w:type="dxa"/>
            <w:vAlign w:val="center"/>
          </w:tcPr>
          <w:p w14:paraId="79F1D07D" w14:textId="77777777" w:rsidR="00295BCD" w:rsidRPr="001927D6" w:rsidRDefault="00295BCD">
            <w:pPr>
              <w:spacing w:after="0" w:line="240" w:lineRule="auto"/>
              <w:jc w:val="center"/>
              <w:textAlignment w:val="baseline"/>
              <w:rPr>
                <w:szCs w:val="24"/>
                <w:lang w:eastAsia="et-EE"/>
              </w:rPr>
            </w:pPr>
            <w:r w:rsidRPr="001927D6">
              <w:rPr>
                <w:color w:val="000000"/>
                <w:szCs w:val="24"/>
              </w:rPr>
              <w:t>2 697,06</w:t>
            </w:r>
          </w:p>
        </w:tc>
      </w:tr>
      <w:tr w:rsidR="00295BCD" w:rsidRPr="001927D6" w14:paraId="0E9D405F" w14:textId="77777777" w:rsidTr="00295BCD">
        <w:trPr>
          <w:divId w:val="1316184749"/>
          <w:trHeight w:val="300"/>
        </w:trPr>
        <w:tc>
          <w:tcPr>
            <w:tcW w:w="4632" w:type="dxa"/>
            <w:vAlign w:val="bottom"/>
            <w:hideMark/>
          </w:tcPr>
          <w:p w14:paraId="2274A55E" w14:textId="77777777" w:rsidR="00295BCD" w:rsidRPr="001927D6" w:rsidRDefault="00295BCD">
            <w:pPr>
              <w:spacing w:after="0" w:line="240" w:lineRule="auto"/>
              <w:textAlignment w:val="baseline"/>
              <w:rPr>
                <w:szCs w:val="24"/>
                <w:lang w:eastAsia="et-EE"/>
              </w:rPr>
            </w:pPr>
            <w:r w:rsidRPr="001927D6">
              <w:rPr>
                <w:szCs w:val="24"/>
                <w:lang w:eastAsia="et-EE"/>
              </w:rPr>
              <w:t>Kuseteede kivid, kht-ga </w:t>
            </w:r>
          </w:p>
        </w:tc>
        <w:tc>
          <w:tcPr>
            <w:tcW w:w="732" w:type="dxa"/>
            <w:vAlign w:val="center"/>
            <w:hideMark/>
          </w:tcPr>
          <w:p w14:paraId="6FF8BA3F" w14:textId="77777777" w:rsidR="00295BCD" w:rsidRPr="001927D6" w:rsidRDefault="00295BCD">
            <w:pPr>
              <w:spacing w:after="0" w:line="240" w:lineRule="auto"/>
              <w:jc w:val="center"/>
              <w:textAlignment w:val="baseline"/>
              <w:rPr>
                <w:szCs w:val="24"/>
                <w:lang w:eastAsia="et-EE"/>
              </w:rPr>
            </w:pPr>
            <w:r w:rsidRPr="001927D6">
              <w:rPr>
                <w:szCs w:val="24"/>
                <w:lang w:eastAsia="et-EE"/>
              </w:rPr>
              <w:t>323 </w:t>
            </w:r>
          </w:p>
        </w:tc>
        <w:tc>
          <w:tcPr>
            <w:tcW w:w="1243" w:type="dxa"/>
            <w:vAlign w:val="center"/>
          </w:tcPr>
          <w:p w14:paraId="340DFE72" w14:textId="77777777" w:rsidR="00295BCD" w:rsidRPr="001927D6" w:rsidRDefault="00295BCD">
            <w:pPr>
              <w:spacing w:after="0" w:line="240" w:lineRule="auto"/>
              <w:jc w:val="center"/>
              <w:textAlignment w:val="baseline"/>
              <w:rPr>
                <w:szCs w:val="24"/>
                <w:lang w:eastAsia="et-EE"/>
              </w:rPr>
            </w:pPr>
            <w:r w:rsidRPr="001927D6">
              <w:rPr>
                <w:color w:val="000000"/>
                <w:szCs w:val="24"/>
              </w:rPr>
              <w:t>1 621,23</w:t>
            </w:r>
          </w:p>
        </w:tc>
        <w:tc>
          <w:tcPr>
            <w:tcW w:w="1211" w:type="dxa"/>
            <w:vAlign w:val="center"/>
          </w:tcPr>
          <w:p w14:paraId="17E72320" w14:textId="77777777" w:rsidR="00295BCD" w:rsidRPr="001927D6" w:rsidRDefault="00295BCD">
            <w:pPr>
              <w:spacing w:after="0" w:line="240" w:lineRule="auto"/>
              <w:jc w:val="center"/>
              <w:textAlignment w:val="baseline"/>
              <w:rPr>
                <w:szCs w:val="24"/>
                <w:lang w:eastAsia="et-EE"/>
              </w:rPr>
            </w:pPr>
            <w:r w:rsidRPr="001927D6">
              <w:rPr>
                <w:color w:val="000000"/>
                <w:szCs w:val="24"/>
              </w:rPr>
              <w:t>462,78</w:t>
            </w:r>
          </w:p>
        </w:tc>
        <w:tc>
          <w:tcPr>
            <w:tcW w:w="1238" w:type="dxa"/>
            <w:vAlign w:val="center"/>
          </w:tcPr>
          <w:p w14:paraId="193B2F96" w14:textId="77777777" w:rsidR="00295BCD" w:rsidRPr="001927D6" w:rsidRDefault="00295BCD">
            <w:pPr>
              <w:spacing w:after="0" w:line="240" w:lineRule="auto"/>
              <w:jc w:val="center"/>
              <w:textAlignment w:val="baseline"/>
              <w:rPr>
                <w:szCs w:val="24"/>
                <w:lang w:eastAsia="et-EE"/>
              </w:rPr>
            </w:pPr>
            <w:r w:rsidRPr="001927D6">
              <w:rPr>
                <w:color w:val="000000"/>
                <w:szCs w:val="24"/>
              </w:rPr>
              <w:t>4 827,98</w:t>
            </w:r>
          </w:p>
        </w:tc>
      </w:tr>
      <w:tr w:rsidR="00295BCD" w:rsidRPr="001927D6" w14:paraId="6629DF60" w14:textId="77777777" w:rsidTr="00295BCD">
        <w:trPr>
          <w:divId w:val="1316184749"/>
          <w:trHeight w:val="300"/>
        </w:trPr>
        <w:tc>
          <w:tcPr>
            <w:tcW w:w="4632" w:type="dxa"/>
            <w:vAlign w:val="bottom"/>
            <w:hideMark/>
          </w:tcPr>
          <w:p w14:paraId="41BB3CCD"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Litotripsia, lühike ravi </w:t>
            </w:r>
          </w:p>
        </w:tc>
        <w:tc>
          <w:tcPr>
            <w:tcW w:w="732" w:type="dxa"/>
            <w:vAlign w:val="center"/>
            <w:hideMark/>
          </w:tcPr>
          <w:p w14:paraId="47185878" w14:textId="77777777" w:rsidR="00295BCD" w:rsidRPr="001927D6" w:rsidRDefault="00295BCD">
            <w:pPr>
              <w:spacing w:after="0" w:line="240" w:lineRule="auto"/>
              <w:jc w:val="center"/>
              <w:textAlignment w:val="baseline"/>
              <w:rPr>
                <w:szCs w:val="24"/>
                <w:lang w:eastAsia="et-EE"/>
              </w:rPr>
            </w:pPr>
            <w:r w:rsidRPr="001927D6">
              <w:rPr>
                <w:szCs w:val="24"/>
                <w:lang w:eastAsia="et-EE"/>
              </w:rPr>
              <w:t>323O </w:t>
            </w:r>
          </w:p>
        </w:tc>
        <w:tc>
          <w:tcPr>
            <w:tcW w:w="1243" w:type="dxa"/>
            <w:vAlign w:val="center"/>
          </w:tcPr>
          <w:p w14:paraId="0C06BED3" w14:textId="77777777" w:rsidR="00295BCD" w:rsidRPr="001927D6" w:rsidRDefault="00295BCD">
            <w:pPr>
              <w:spacing w:after="0" w:line="240" w:lineRule="auto"/>
              <w:jc w:val="center"/>
              <w:textAlignment w:val="baseline"/>
              <w:rPr>
                <w:szCs w:val="24"/>
                <w:lang w:eastAsia="et-EE"/>
              </w:rPr>
            </w:pPr>
            <w:r w:rsidRPr="001927D6">
              <w:rPr>
                <w:color w:val="000000"/>
                <w:szCs w:val="24"/>
              </w:rPr>
              <w:t>887,26</w:t>
            </w:r>
          </w:p>
        </w:tc>
        <w:tc>
          <w:tcPr>
            <w:tcW w:w="1211" w:type="dxa"/>
            <w:vAlign w:val="center"/>
          </w:tcPr>
          <w:p w14:paraId="79D36636" w14:textId="77777777" w:rsidR="00295BCD" w:rsidRPr="001927D6" w:rsidRDefault="00295BCD">
            <w:pPr>
              <w:spacing w:after="0" w:line="240" w:lineRule="auto"/>
              <w:jc w:val="center"/>
              <w:textAlignment w:val="baseline"/>
              <w:rPr>
                <w:szCs w:val="24"/>
                <w:lang w:eastAsia="et-EE"/>
              </w:rPr>
            </w:pPr>
            <w:r w:rsidRPr="001927D6">
              <w:rPr>
                <w:color w:val="000000"/>
                <w:szCs w:val="24"/>
              </w:rPr>
              <w:t>813,99</w:t>
            </w:r>
          </w:p>
        </w:tc>
        <w:tc>
          <w:tcPr>
            <w:tcW w:w="1238" w:type="dxa"/>
            <w:vAlign w:val="center"/>
          </w:tcPr>
          <w:p w14:paraId="3E052359" w14:textId="77777777" w:rsidR="00295BCD" w:rsidRPr="001927D6" w:rsidRDefault="00295BCD">
            <w:pPr>
              <w:spacing w:after="0" w:line="240" w:lineRule="auto"/>
              <w:jc w:val="center"/>
              <w:textAlignment w:val="baseline"/>
              <w:rPr>
                <w:szCs w:val="24"/>
                <w:lang w:eastAsia="et-EE"/>
              </w:rPr>
            </w:pPr>
            <w:r w:rsidRPr="001927D6">
              <w:rPr>
                <w:color w:val="000000"/>
                <w:szCs w:val="24"/>
              </w:rPr>
              <w:t>918,68</w:t>
            </w:r>
          </w:p>
        </w:tc>
      </w:tr>
      <w:tr w:rsidR="00295BCD" w:rsidRPr="001927D6" w14:paraId="5E789BAE" w14:textId="77777777" w:rsidTr="00295BCD">
        <w:trPr>
          <w:divId w:val="1316184749"/>
          <w:trHeight w:val="300"/>
        </w:trPr>
        <w:tc>
          <w:tcPr>
            <w:tcW w:w="4632" w:type="dxa"/>
            <w:vAlign w:val="bottom"/>
            <w:hideMark/>
          </w:tcPr>
          <w:p w14:paraId="6F6B621B" w14:textId="77777777" w:rsidR="00295BCD" w:rsidRPr="001927D6" w:rsidRDefault="00295BCD">
            <w:pPr>
              <w:spacing w:after="0" w:line="240" w:lineRule="auto"/>
              <w:textAlignment w:val="baseline"/>
              <w:rPr>
                <w:szCs w:val="24"/>
                <w:lang w:eastAsia="et-EE"/>
              </w:rPr>
            </w:pPr>
            <w:r w:rsidRPr="001927D6">
              <w:rPr>
                <w:szCs w:val="24"/>
                <w:lang w:eastAsia="et-EE"/>
              </w:rPr>
              <w:t>Kuseteede kivid, kht-ta </w:t>
            </w:r>
          </w:p>
        </w:tc>
        <w:tc>
          <w:tcPr>
            <w:tcW w:w="732" w:type="dxa"/>
            <w:vAlign w:val="center"/>
            <w:hideMark/>
          </w:tcPr>
          <w:p w14:paraId="059F85CC" w14:textId="77777777" w:rsidR="00295BCD" w:rsidRPr="001927D6" w:rsidRDefault="00295BCD">
            <w:pPr>
              <w:spacing w:after="0" w:line="240" w:lineRule="auto"/>
              <w:jc w:val="center"/>
              <w:textAlignment w:val="baseline"/>
              <w:rPr>
                <w:szCs w:val="24"/>
                <w:lang w:eastAsia="et-EE"/>
              </w:rPr>
            </w:pPr>
            <w:r w:rsidRPr="001927D6">
              <w:rPr>
                <w:szCs w:val="24"/>
                <w:lang w:eastAsia="et-EE"/>
              </w:rPr>
              <w:t>324 </w:t>
            </w:r>
          </w:p>
        </w:tc>
        <w:tc>
          <w:tcPr>
            <w:tcW w:w="1243" w:type="dxa"/>
            <w:vAlign w:val="center"/>
          </w:tcPr>
          <w:p w14:paraId="53DC8A72" w14:textId="77777777" w:rsidR="00295BCD" w:rsidRPr="001927D6" w:rsidRDefault="00295BCD">
            <w:pPr>
              <w:spacing w:after="0" w:line="240" w:lineRule="auto"/>
              <w:jc w:val="center"/>
              <w:textAlignment w:val="baseline"/>
              <w:rPr>
                <w:szCs w:val="24"/>
                <w:lang w:eastAsia="et-EE"/>
              </w:rPr>
            </w:pPr>
            <w:r w:rsidRPr="001927D6">
              <w:rPr>
                <w:color w:val="000000"/>
                <w:szCs w:val="24"/>
              </w:rPr>
              <w:t>822,67</w:t>
            </w:r>
          </w:p>
        </w:tc>
        <w:tc>
          <w:tcPr>
            <w:tcW w:w="1211" w:type="dxa"/>
            <w:vAlign w:val="center"/>
          </w:tcPr>
          <w:p w14:paraId="4EB81F1D" w14:textId="77777777" w:rsidR="00295BCD" w:rsidRPr="001927D6" w:rsidRDefault="00295BCD">
            <w:pPr>
              <w:spacing w:after="0" w:line="240" w:lineRule="auto"/>
              <w:jc w:val="center"/>
              <w:textAlignment w:val="baseline"/>
              <w:rPr>
                <w:szCs w:val="24"/>
                <w:lang w:eastAsia="et-EE"/>
              </w:rPr>
            </w:pPr>
            <w:r w:rsidRPr="001927D6">
              <w:rPr>
                <w:color w:val="000000"/>
                <w:szCs w:val="24"/>
              </w:rPr>
              <w:t>319,96</w:t>
            </w:r>
          </w:p>
        </w:tc>
        <w:tc>
          <w:tcPr>
            <w:tcW w:w="1238" w:type="dxa"/>
            <w:vAlign w:val="center"/>
          </w:tcPr>
          <w:p w14:paraId="088E845D" w14:textId="77777777" w:rsidR="00295BCD" w:rsidRPr="001927D6" w:rsidRDefault="00295BCD">
            <w:pPr>
              <w:spacing w:after="0" w:line="240" w:lineRule="auto"/>
              <w:jc w:val="center"/>
              <w:textAlignment w:val="baseline"/>
              <w:rPr>
                <w:szCs w:val="24"/>
                <w:lang w:eastAsia="et-EE"/>
              </w:rPr>
            </w:pPr>
            <w:r w:rsidRPr="001927D6">
              <w:rPr>
                <w:color w:val="000000"/>
                <w:szCs w:val="24"/>
              </w:rPr>
              <w:t>2 325,41</w:t>
            </w:r>
          </w:p>
        </w:tc>
      </w:tr>
      <w:tr w:rsidR="00295BCD" w:rsidRPr="001927D6" w14:paraId="381D46A5" w14:textId="77777777" w:rsidTr="00295BCD">
        <w:trPr>
          <w:divId w:val="1316184749"/>
          <w:trHeight w:val="300"/>
        </w:trPr>
        <w:tc>
          <w:tcPr>
            <w:tcW w:w="4632" w:type="dxa"/>
            <w:vAlign w:val="bottom"/>
            <w:hideMark/>
          </w:tcPr>
          <w:p w14:paraId="53F94F61" w14:textId="77777777" w:rsidR="00295BCD" w:rsidRPr="001927D6" w:rsidRDefault="00295BCD">
            <w:pPr>
              <w:spacing w:after="0" w:line="240" w:lineRule="auto"/>
              <w:textAlignment w:val="baseline"/>
              <w:rPr>
                <w:szCs w:val="24"/>
                <w:lang w:eastAsia="et-EE"/>
              </w:rPr>
            </w:pPr>
            <w:r w:rsidRPr="001927D6">
              <w:rPr>
                <w:szCs w:val="24"/>
                <w:lang w:eastAsia="et-EE"/>
              </w:rPr>
              <w:t>Neerude ja kuseteede haiguste tunnused ja sümptomid, vanus &gt; 17, kht-ga </w:t>
            </w:r>
          </w:p>
        </w:tc>
        <w:tc>
          <w:tcPr>
            <w:tcW w:w="732" w:type="dxa"/>
            <w:vAlign w:val="center"/>
            <w:hideMark/>
          </w:tcPr>
          <w:p w14:paraId="1E672F08" w14:textId="77777777" w:rsidR="00295BCD" w:rsidRPr="001927D6" w:rsidRDefault="00295BCD">
            <w:pPr>
              <w:spacing w:after="0" w:line="240" w:lineRule="auto"/>
              <w:jc w:val="center"/>
              <w:textAlignment w:val="baseline"/>
              <w:rPr>
                <w:szCs w:val="24"/>
                <w:lang w:eastAsia="et-EE"/>
              </w:rPr>
            </w:pPr>
            <w:r w:rsidRPr="001927D6">
              <w:rPr>
                <w:szCs w:val="24"/>
                <w:lang w:eastAsia="et-EE"/>
              </w:rPr>
              <w:t>325 </w:t>
            </w:r>
          </w:p>
        </w:tc>
        <w:tc>
          <w:tcPr>
            <w:tcW w:w="1243" w:type="dxa"/>
            <w:vAlign w:val="center"/>
          </w:tcPr>
          <w:p w14:paraId="778403DE" w14:textId="77777777" w:rsidR="00295BCD" w:rsidRPr="001927D6" w:rsidRDefault="00295BCD">
            <w:pPr>
              <w:spacing w:after="0" w:line="240" w:lineRule="auto"/>
              <w:jc w:val="center"/>
              <w:textAlignment w:val="baseline"/>
              <w:rPr>
                <w:szCs w:val="24"/>
                <w:lang w:eastAsia="et-EE"/>
              </w:rPr>
            </w:pPr>
            <w:r w:rsidRPr="001927D6">
              <w:rPr>
                <w:color w:val="000000"/>
                <w:szCs w:val="24"/>
              </w:rPr>
              <w:t>1 870,25</w:t>
            </w:r>
          </w:p>
        </w:tc>
        <w:tc>
          <w:tcPr>
            <w:tcW w:w="1211" w:type="dxa"/>
            <w:vAlign w:val="center"/>
          </w:tcPr>
          <w:p w14:paraId="1E95642C" w14:textId="77777777" w:rsidR="00295BCD" w:rsidRPr="001927D6" w:rsidRDefault="00295BCD">
            <w:pPr>
              <w:spacing w:after="0" w:line="240" w:lineRule="auto"/>
              <w:jc w:val="center"/>
              <w:textAlignment w:val="baseline"/>
              <w:rPr>
                <w:szCs w:val="24"/>
                <w:lang w:eastAsia="et-EE"/>
              </w:rPr>
            </w:pPr>
            <w:r w:rsidRPr="001927D6">
              <w:rPr>
                <w:color w:val="000000"/>
                <w:szCs w:val="24"/>
              </w:rPr>
              <w:t>420,50</w:t>
            </w:r>
          </w:p>
        </w:tc>
        <w:tc>
          <w:tcPr>
            <w:tcW w:w="1238" w:type="dxa"/>
            <w:vAlign w:val="center"/>
          </w:tcPr>
          <w:p w14:paraId="64309DA9" w14:textId="77777777" w:rsidR="00295BCD" w:rsidRPr="001927D6" w:rsidRDefault="00295BCD">
            <w:pPr>
              <w:spacing w:after="0" w:line="240" w:lineRule="auto"/>
              <w:jc w:val="center"/>
              <w:textAlignment w:val="baseline"/>
              <w:rPr>
                <w:szCs w:val="24"/>
                <w:lang w:eastAsia="et-EE"/>
              </w:rPr>
            </w:pPr>
            <w:r w:rsidRPr="001927D6">
              <w:rPr>
                <w:color w:val="000000"/>
                <w:szCs w:val="24"/>
              </w:rPr>
              <w:t>5 701,13</w:t>
            </w:r>
          </w:p>
        </w:tc>
      </w:tr>
      <w:tr w:rsidR="00295BCD" w:rsidRPr="001927D6" w14:paraId="18F0DFD3" w14:textId="77777777" w:rsidTr="00295BCD">
        <w:trPr>
          <w:divId w:val="1316184749"/>
          <w:trHeight w:val="300"/>
        </w:trPr>
        <w:tc>
          <w:tcPr>
            <w:tcW w:w="4632" w:type="dxa"/>
            <w:vAlign w:val="bottom"/>
            <w:hideMark/>
          </w:tcPr>
          <w:p w14:paraId="562BF125" w14:textId="77777777" w:rsidR="00295BCD" w:rsidRPr="001927D6" w:rsidRDefault="00295BCD">
            <w:pPr>
              <w:spacing w:after="0" w:line="240" w:lineRule="auto"/>
              <w:textAlignment w:val="baseline"/>
              <w:rPr>
                <w:szCs w:val="24"/>
                <w:lang w:eastAsia="et-EE"/>
              </w:rPr>
            </w:pPr>
            <w:r w:rsidRPr="001927D6">
              <w:rPr>
                <w:szCs w:val="24"/>
                <w:lang w:eastAsia="et-EE"/>
              </w:rPr>
              <w:t>Neerude ja kuseteede haiguste tunnused ja sümptomid, vanus &gt; 17, kht-ta </w:t>
            </w:r>
          </w:p>
        </w:tc>
        <w:tc>
          <w:tcPr>
            <w:tcW w:w="732" w:type="dxa"/>
            <w:vAlign w:val="center"/>
            <w:hideMark/>
          </w:tcPr>
          <w:p w14:paraId="6ECF0409" w14:textId="77777777" w:rsidR="00295BCD" w:rsidRPr="001927D6" w:rsidRDefault="00295BCD">
            <w:pPr>
              <w:spacing w:after="0" w:line="240" w:lineRule="auto"/>
              <w:jc w:val="center"/>
              <w:textAlignment w:val="baseline"/>
              <w:rPr>
                <w:szCs w:val="24"/>
                <w:lang w:eastAsia="et-EE"/>
              </w:rPr>
            </w:pPr>
            <w:r w:rsidRPr="001927D6">
              <w:rPr>
                <w:szCs w:val="24"/>
                <w:lang w:eastAsia="et-EE"/>
              </w:rPr>
              <w:t>326 </w:t>
            </w:r>
          </w:p>
        </w:tc>
        <w:tc>
          <w:tcPr>
            <w:tcW w:w="1243" w:type="dxa"/>
            <w:vAlign w:val="center"/>
          </w:tcPr>
          <w:p w14:paraId="16DAC72E" w14:textId="77777777" w:rsidR="00295BCD" w:rsidRPr="001927D6" w:rsidRDefault="00295BCD">
            <w:pPr>
              <w:spacing w:after="0" w:line="240" w:lineRule="auto"/>
              <w:jc w:val="center"/>
              <w:textAlignment w:val="baseline"/>
              <w:rPr>
                <w:szCs w:val="24"/>
                <w:lang w:eastAsia="et-EE"/>
              </w:rPr>
            </w:pPr>
            <w:r w:rsidRPr="001927D6">
              <w:rPr>
                <w:color w:val="000000"/>
                <w:szCs w:val="24"/>
              </w:rPr>
              <w:t>769,49</w:t>
            </w:r>
          </w:p>
        </w:tc>
        <w:tc>
          <w:tcPr>
            <w:tcW w:w="1211" w:type="dxa"/>
            <w:vAlign w:val="center"/>
          </w:tcPr>
          <w:p w14:paraId="6217F791" w14:textId="77777777" w:rsidR="00295BCD" w:rsidRPr="001927D6" w:rsidRDefault="00295BCD">
            <w:pPr>
              <w:spacing w:after="0" w:line="240" w:lineRule="auto"/>
              <w:jc w:val="center"/>
              <w:textAlignment w:val="baseline"/>
              <w:rPr>
                <w:szCs w:val="24"/>
                <w:lang w:eastAsia="et-EE"/>
              </w:rPr>
            </w:pPr>
            <w:r w:rsidRPr="001927D6">
              <w:rPr>
                <w:color w:val="000000"/>
                <w:szCs w:val="24"/>
              </w:rPr>
              <w:t>201,88</w:t>
            </w:r>
          </w:p>
        </w:tc>
        <w:tc>
          <w:tcPr>
            <w:tcW w:w="1238" w:type="dxa"/>
            <w:vAlign w:val="center"/>
          </w:tcPr>
          <w:p w14:paraId="4C8156EF" w14:textId="77777777" w:rsidR="00295BCD" w:rsidRPr="001927D6" w:rsidRDefault="00295BCD">
            <w:pPr>
              <w:spacing w:after="0" w:line="240" w:lineRule="auto"/>
              <w:jc w:val="center"/>
              <w:textAlignment w:val="baseline"/>
              <w:rPr>
                <w:szCs w:val="24"/>
                <w:lang w:eastAsia="et-EE"/>
              </w:rPr>
            </w:pPr>
            <w:r w:rsidRPr="001927D6">
              <w:rPr>
                <w:color w:val="000000"/>
                <w:szCs w:val="24"/>
              </w:rPr>
              <w:t>2 692,17</w:t>
            </w:r>
          </w:p>
        </w:tc>
      </w:tr>
      <w:tr w:rsidR="00295BCD" w:rsidRPr="001927D6" w14:paraId="78719ED2" w14:textId="77777777" w:rsidTr="00295BCD">
        <w:trPr>
          <w:divId w:val="1316184749"/>
          <w:trHeight w:val="300"/>
        </w:trPr>
        <w:tc>
          <w:tcPr>
            <w:tcW w:w="4632" w:type="dxa"/>
            <w:vAlign w:val="bottom"/>
            <w:hideMark/>
          </w:tcPr>
          <w:p w14:paraId="6BC762B0" w14:textId="77777777" w:rsidR="00295BCD" w:rsidRPr="001927D6" w:rsidRDefault="00295BCD">
            <w:pPr>
              <w:spacing w:after="0" w:line="240" w:lineRule="auto"/>
              <w:textAlignment w:val="baseline"/>
              <w:rPr>
                <w:szCs w:val="24"/>
                <w:lang w:eastAsia="et-EE"/>
              </w:rPr>
            </w:pPr>
            <w:r w:rsidRPr="001927D6">
              <w:rPr>
                <w:szCs w:val="24"/>
                <w:lang w:eastAsia="et-EE"/>
              </w:rPr>
              <w:t>Neerude ja kuseteede haiguste tunnused ja sümptomid, vanus 0–17 </w:t>
            </w:r>
          </w:p>
        </w:tc>
        <w:tc>
          <w:tcPr>
            <w:tcW w:w="732" w:type="dxa"/>
            <w:vAlign w:val="center"/>
            <w:hideMark/>
          </w:tcPr>
          <w:p w14:paraId="5B21ED40" w14:textId="77777777" w:rsidR="00295BCD" w:rsidRPr="001927D6" w:rsidRDefault="00295BCD">
            <w:pPr>
              <w:spacing w:after="0" w:line="240" w:lineRule="auto"/>
              <w:jc w:val="center"/>
              <w:textAlignment w:val="baseline"/>
              <w:rPr>
                <w:szCs w:val="24"/>
                <w:lang w:eastAsia="et-EE"/>
              </w:rPr>
            </w:pPr>
            <w:r w:rsidRPr="001927D6">
              <w:rPr>
                <w:szCs w:val="24"/>
                <w:lang w:eastAsia="et-EE"/>
              </w:rPr>
              <w:t>327 </w:t>
            </w:r>
          </w:p>
        </w:tc>
        <w:tc>
          <w:tcPr>
            <w:tcW w:w="1243" w:type="dxa"/>
            <w:vAlign w:val="center"/>
          </w:tcPr>
          <w:p w14:paraId="3F979F12" w14:textId="77777777" w:rsidR="00295BCD" w:rsidRPr="001927D6" w:rsidRDefault="00295BCD">
            <w:pPr>
              <w:spacing w:after="0" w:line="240" w:lineRule="auto"/>
              <w:jc w:val="center"/>
              <w:textAlignment w:val="baseline"/>
              <w:rPr>
                <w:szCs w:val="24"/>
                <w:lang w:eastAsia="et-EE"/>
              </w:rPr>
            </w:pPr>
            <w:r w:rsidRPr="001927D6">
              <w:rPr>
                <w:color w:val="000000"/>
                <w:szCs w:val="24"/>
              </w:rPr>
              <w:t>667,04</w:t>
            </w:r>
          </w:p>
        </w:tc>
        <w:tc>
          <w:tcPr>
            <w:tcW w:w="1211" w:type="dxa"/>
            <w:vAlign w:val="center"/>
          </w:tcPr>
          <w:p w14:paraId="36BE41D1" w14:textId="77777777" w:rsidR="00295BCD" w:rsidRPr="001927D6" w:rsidRDefault="00295BCD">
            <w:pPr>
              <w:spacing w:after="0" w:line="240" w:lineRule="auto"/>
              <w:jc w:val="center"/>
              <w:textAlignment w:val="baseline"/>
              <w:rPr>
                <w:szCs w:val="24"/>
                <w:lang w:eastAsia="et-EE"/>
              </w:rPr>
            </w:pPr>
            <w:r w:rsidRPr="001927D6">
              <w:rPr>
                <w:color w:val="000000"/>
                <w:szCs w:val="24"/>
              </w:rPr>
              <w:t>296,14</w:t>
            </w:r>
          </w:p>
        </w:tc>
        <w:tc>
          <w:tcPr>
            <w:tcW w:w="1238" w:type="dxa"/>
            <w:vAlign w:val="center"/>
          </w:tcPr>
          <w:p w14:paraId="3BEFC552" w14:textId="77777777" w:rsidR="00295BCD" w:rsidRPr="001927D6" w:rsidRDefault="00295BCD">
            <w:pPr>
              <w:spacing w:after="0" w:line="240" w:lineRule="auto"/>
              <w:jc w:val="center"/>
              <w:textAlignment w:val="baseline"/>
              <w:rPr>
                <w:szCs w:val="24"/>
                <w:lang w:eastAsia="et-EE"/>
              </w:rPr>
            </w:pPr>
            <w:r w:rsidRPr="001927D6">
              <w:rPr>
                <w:color w:val="000000"/>
                <w:szCs w:val="24"/>
              </w:rPr>
              <w:t>1 141,65</w:t>
            </w:r>
          </w:p>
        </w:tc>
      </w:tr>
      <w:tr w:rsidR="00295BCD" w:rsidRPr="001927D6" w14:paraId="135FE665" w14:textId="77777777" w:rsidTr="00295BCD">
        <w:trPr>
          <w:divId w:val="1316184749"/>
          <w:trHeight w:val="300"/>
        </w:trPr>
        <w:tc>
          <w:tcPr>
            <w:tcW w:w="4632" w:type="dxa"/>
            <w:vAlign w:val="bottom"/>
            <w:hideMark/>
          </w:tcPr>
          <w:p w14:paraId="39E6DBCB" w14:textId="77777777" w:rsidR="00295BCD" w:rsidRPr="001927D6" w:rsidRDefault="00295BCD">
            <w:pPr>
              <w:spacing w:after="0" w:line="240" w:lineRule="auto"/>
              <w:textAlignment w:val="baseline"/>
              <w:rPr>
                <w:szCs w:val="24"/>
                <w:lang w:eastAsia="et-EE"/>
              </w:rPr>
            </w:pPr>
            <w:r w:rsidRPr="001927D6">
              <w:rPr>
                <w:szCs w:val="24"/>
                <w:lang w:eastAsia="et-EE"/>
              </w:rPr>
              <w:t>Kusiti striktuur </w:t>
            </w:r>
          </w:p>
        </w:tc>
        <w:tc>
          <w:tcPr>
            <w:tcW w:w="732" w:type="dxa"/>
            <w:vAlign w:val="center"/>
            <w:hideMark/>
          </w:tcPr>
          <w:p w14:paraId="688ADE2C" w14:textId="77777777" w:rsidR="00295BCD" w:rsidRPr="001927D6" w:rsidRDefault="00295BCD">
            <w:pPr>
              <w:spacing w:after="0" w:line="240" w:lineRule="auto"/>
              <w:jc w:val="center"/>
              <w:textAlignment w:val="baseline"/>
              <w:rPr>
                <w:szCs w:val="24"/>
                <w:lang w:eastAsia="et-EE"/>
              </w:rPr>
            </w:pPr>
            <w:r w:rsidRPr="001927D6">
              <w:rPr>
                <w:szCs w:val="24"/>
                <w:lang w:eastAsia="et-EE"/>
              </w:rPr>
              <w:t>329N </w:t>
            </w:r>
          </w:p>
        </w:tc>
        <w:tc>
          <w:tcPr>
            <w:tcW w:w="1243" w:type="dxa"/>
            <w:vAlign w:val="center"/>
          </w:tcPr>
          <w:p w14:paraId="327A3F9D" w14:textId="77777777" w:rsidR="00295BCD" w:rsidRPr="001927D6" w:rsidRDefault="00295BCD">
            <w:pPr>
              <w:spacing w:after="0" w:line="240" w:lineRule="auto"/>
              <w:jc w:val="center"/>
              <w:textAlignment w:val="baseline"/>
              <w:rPr>
                <w:szCs w:val="24"/>
                <w:lang w:eastAsia="et-EE"/>
              </w:rPr>
            </w:pPr>
            <w:r w:rsidRPr="001927D6">
              <w:rPr>
                <w:color w:val="000000"/>
                <w:szCs w:val="24"/>
              </w:rPr>
              <w:t>1 149,31</w:t>
            </w:r>
          </w:p>
        </w:tc>
        <w:tc>
          <w:tcPr>
            <w:tcW w:w="1211" w:type="dxa"/>
            <w:vAlign w:val="center"/>
          </w:tcPr>
          <w:p w14:paraId="16E726A8" w14:textId="77777777" w:rsidR="00295BCD" w:rsidRPr="001927D6" w:rsidRDefault="00295BCD">
            <w:pPr>
              <w:spacing w:after="0" w:line="240" w:lineRule="auto"/>
              <w:jc w:val="center"/>
              <w:textAlignment w:val="baseline"/>
              <w:rPr>
                <w:szCs w:val="24"/>
                <w:lang w:eastAsia="et-EE"/>
              </w:rPr>
            </w:pPr>
            <w:r w:rsidRPr="001927D6">
              <w:rPr>
                <w:color w:val="000000"/>
                <w:szCs w:val="24"/>
              </w:rPr>
              <w:t>315,78</w:t>
            </w:r>
          </w:p>
        </w:tc>
        <w:tc>
          <w:tcPr>
            <w:tcW w:w="1238" w:type="dxa"/>
            <w:vAlign w:val="center"/>
          </w:tcPr>
          <w:p w14:paraId="3CC2AC7C" w14:textId="77777777" w:rsidR="00295BCD" w:rsidRPr="001927D6" w:rsidRDefault="00295BCD">
            <w:pPr>
              <w:spacing w:after="0" w:line="240" w:lineRule="auto"/>
              <w:jc w:val="center"/>
              <w:textAlignment w:val="baseline"/>
              <w:rPr>
                <w:szCs w:val="24"/>
                <w:lang w:eastAsia="et-EE"/>
              </w:rPr>
            </w:pPr>
            <w:r w:rsidRPr="001927D6">
              <w:rPr>
                <w:color w:val="000000"/>
                <w:szCs w:val="24"/>
              </w:rPr>
              <w:t>2 000,14</w:t>
            </w:r>
          </w:p>
        </w:tc>
      </w:tr>
      <w:tr w:rsidR="00295BCD" w:rsidRPr="001927D6" w14:paraId="121B5F26" w14:textId="77777777" w:rsidTr="00295BCD">
        <w:trPr>
          <w:divId w:val="1316184749"/>
          <w:trHeight w:val="300"/>
        </w:trPr>
        <w:tc>
          <w:tcPr>
            <w:tcW w:w="4632" w:type="dxa"/>
            <w:vAlign w:val="bottom"/>
            <w:hideMark/>
          </w:tcPr>
          <w:p w14:paraId="61165FE5" w14:textId="77777777" w:rsidR="00295BCD" w:rsidRPr="001927D6" w:rsidRDefault="00295BCD">
            <w:pPr>
              <w:spacing w:after="0" w:line="240" w:lineRule="auto"/>
              <w:textAlignment w:val="baseline"/>
              <w:rPr>
                <w:szCs w:val="24"/>
                <w:lang w:eastAsia="et-EE"/>
              </w:rPr>
            </w:pPr>
            <w:r w:rsidRPr="001927D6">
              <w:rPr>
                <w:szCs w:val="24"/>
                <w:lang w:eastAsia="et-EE"/>
              </w:rPr>
              <w:t>Neerude ja kuseteede muud haigused, vanus &gt; 17, kht-ga </w:t>
            </w:r>
          </w:p>
        </w:tc>
        <w:tc>
          <w:tcPr>
            <w:tcW w:w="732" w:type="dxa"/>
            <w:vAlign w:val="center"/>
            <w:hideMark/>
          </w:tcPr>
          <w:p w14:paraId="3269BEAA" w14:textId="77777777" w:rsidR="00295BCD" w:rsidRPr="001927D6" w:rsidRDefault="00295BCD">
            <w:pPr>
              <w:spacing w:after="0" w:line="240" w:lineRule="auto"/>
              <w:jc w:val="center"/>
              <w:textAlignment w:val="baseline"/>
              <w:rPr>
                <w:szCs w:val="24"/>
                <w:lang w:eastAsia="et-EE"/>
              </w:rPr>
            </w:pPr>
            <w:r w:rsidRPr="001927D6">
              <w:rPr>
                <w:szCs w:val="24"/>
                <w:lang w:eastAsia="et-EE"/>
              </w:rPr>
              <w:t>331 </w:t>
            </w:r>
          </w:p>
        </w:tc>
        <w:tc>
          <w:tcPr>
            <w:tcW w:w="1243" w:type="dxa"/>
            <w:vAlign w:val="center"/>
          </w:tcPr>
          <w:p w14:paraId="1DC45DDF" w14:textId="77777777" w:rsidR="00295BCD" w:rsidRPr="001927D6" w:rsidRDefault="00295BCD">
            <w:pPr>
              <w:spacing w:after="0" w:line="240" w:lineRule="auto"/>
              <w:jc w:val="center"/>
              <w:textAlignment w:val="baseline"/>
              <w:rPr>
                <w:szCs w:val="24"/>
                <w:lang w:eastAsia="et-EE"/>
              </w:rPr>
            </w:pPr>
            <w:r w:rsidRPr="001927D6">
              <w:rPr>
                <w:color w:val="000000"/>
                <w:szCs w:val="24"/>
              </w:rPr>
              <w:t>2 320,66</w:t>
            </w:r>
          </w:p>
        </w:tc>
        <w:tc>
          <w:tcPr>
            <w:tcW w:w="1211" w:type="dxa"/>
            <w:vAlign w:val="center"/>
          </w:tcPr>
          <w:p w14:paraId="1151ECE3" w14:textId="77777777" w:rsidR="00295BCD" w:rsidRPr="001927D6" w:rsidRDefault="00295BCD">
            <w:pPr>
              <w:spacing w:after="0" w:line="240" w:lineRule="auto"/>
              <w:jc w:val="center"/>
              <w:textAlignment w:val="baseline"/>
              <w:rPr>
                <w:szCs w:val="24"/>
                <w:lang w:eastAsia="et-EE"/>
              </w:rPr>
            </w:pPr>
            <w:r w:rsidRPr="001927D6">
              <w:rPr>
                <w:color w:val="000000"/>
                <w:szCs w:val="24"/>
              </w:rPr>
              <w:t>646,41</w:t>
            </w:r>
          </w:p>
        </w:tc>
        <w:tc>
          <w:tcPr>
            <w:tcW w:w="1238" w:type="dxa"/>
            <w:vAlign w:val="center"/>
          </w:tcPr>
          <w:p w14:paraId="0EF96EC6" w14:textId="77777777" w:rsidR="00295BCD" w:rsidRPr="001927D6" w:rsidRDefault="00295BCD">
            <w:pPr>
              <w:spacing w:after="0" w:line="240" w:lineRule="auto"/>
              <w:jc w:val="center"/>
              <w:textAlignment w:val="baseline"/>
              <w:rPr>
                <w:szCs w:val="24"/>
                <w:lang w:eastAsia="et-EE"/>
              </w:rPr>
            </w:pPr>
            <w:r w:rsidRPr="001927D6">
              <w:rPr>
                <w:color w:val="000000"/>
                <w:szCs w:val="24"/>
              </w:rPr>
              <w:t>5 039,23</w:t>
            </w:r>
          </w:p>
        </w:tc>
      </w:tr>
      <w:tr w:rsidR="00295BCD" w:rsidRPr="001927D6" w14:paraId="42042722" w14:textId="77777777" w:rsidTr="00295BCD">
        <w:trPr>
          <w:divId w:val="1316184749"/>
          <w:trHeight w:val="300"/>
        </w:trPr>
        <w:tc>
          <w:tcPr>
            <w:tcW w:w="4632" w:type="dxa"/>
            <w:vAlign w:val="bottom"/>
            <w:hideMark/>
          </w:tcPr>
          <w:p w14:paraId="3F1DF7A4" w14:textId="77777777" w:rsidR="00295BCD" w:rsidRPr="001927D6" w:rsidRDefault="00295BCD">
            <w:pPr>
              <w:spacing w:after="0" w:line="240" w:lineRule="auto"/>
              <w:textAlignment w:val="baseline"/>
              <w:rPr>
                <w:szCs w:val="24"/>
                <w:lang w:eastAsia="et-EE"/>
              </w:rPr>
            </w:pPr>
            <w:r w:rsidRPr="001927D6">
              <w:rPr>
                <w:szCs w:val="24"/>
                <w:lang w:eastAsia="et-EE"/>
              </w:rPr>
              <w:t>Neerude ja kuseteede muud haigused, vanus &gt; 17, kht-ta </w:t>
            </w:r>
          </w:p>
        </w:tc>
        <w:tc>
          <w:tcPr>
            <w:tcW w:w="732" w:type="dxa"/>
            <w:vAlign w:val="center"/>
            <w:hideMark/>
          </w:tcPr>
          <w:p w14:paraId="7BB22950" w14:textId="77777777" w:rsidR="00295BCD" w:rsidRPr="001927D6" w:rsidRDefault="00295BCD">
            <w:pPr>
              <w:spacing w:after="0" w:line="240" w:lineRule="auto"/>
              <w:jc w:val="center"/>
              <w:textAlignment w:val="baseline"/>
              <w:rPr>
                <w:szCs w:val="24"/>
                <w:lang w:eastAsia="et-EE"/>
              </w:rPr>
            </w:pPr>
            <w:r w:rsidRPr="001927D6">
              <w:rPr>
                <w:szCs w:val="24"/>
                <w:lang w:eastAsia="et-EE"/>
              </w:rPr>
              <w:t>332 </w:t>
            </w:r>
          </w:p>
        </w:tc>
        <w:tc>
          <w:tcPr>
            <w:tcW w:w="1243" w:type="dxa"/>
            <w:vAlign w:val="center"/>
          </w:tcPr>
          <w:p w14:paraId="7CE7E0FD" w14:textId="77777777" w:rsidR="00295BCD" w:rsidRPr="001927D6" w:rsidRDefault="00295BCD">
            <w:pPr>
              <w:spacing w:after="0" w:line="240" w:lineRule="auto"/>
              <w:jc w:val="center"/>
              <w:textAlignment w:val="baseline"/>
              <w:rPr>
                <w:szCs w:val="24"/>
                <w:lang w:eastAsia="et-EE"/>
              </w:rPr>
            </w:pPr>
            <w:r w:rsidRPr="001927D6">
              <w:rPr>
                <w:color w:val="000000"/>
                <w:szCs w:val="24"/>
              </w:rPr>
              <w:t>1 365,16</w:t>
            </w:r>
          </w:p>
        </w:tc>
        <w:tc>
          <w:tcPr>
            <w:tcW w:w="1211" w:type="dxa"/>
            <w:vAlign w:val="center"/>
          </w:tcPr>
          <w:p w14:paraId="66AF3EB9" w14:textId="77777777" w:rsidR="00295BCD" w:rsidRPr="001927D6" w:rsidRDefault="00295BCD">
            <w:pPr>
              <w:spacing w:after="0" w:line="240" w:lineRule="auto"/>
              <w:jc w:val="center"/>
              <w:textAlignment w:val="baseline"/>
              <w:rPr>
                <w:szCs w:val="24"/>
                <w:lang w:eastAsia="et-EE"/>
              </w:rPr>
            </w:pPr>
            <w:r w:rsidRPr="001927D6">
              <w:rPr>
                <w:color w:val="000000"/>
                <w:szCs w:val="24"/>
              </w:rPr>
              <w:t>271,25</w:t>
            </w:r>
          </w:p>
        </w:tc>
        <w:tc>
          <w:tcPr>
            <w:tcW w:w="1238" w:type="dxa"/>
            <w:vAlign w:val="center"/>
          </w:tcPr>
          <w:p w14:paraId="6C061FF0" w14:textId="77777777" w:rsidR="00295BCD" w:rsidRPr="001927D6" w:rsidRDefault="00295BCD">
            <w:pPr>
              <w:spacing w:after="0" w:line="240" w:lineRule="auto"/>
              <w:jc w:val="center"/>
              <w:textAlignment w:val="baseline"/>
              <w:rPr>
                <w:szCs w:val="24"/>
                <w:lang w:eastAsia="et-EE"/>
              </w:rPr>
            </w:pPr>
            <w:r w:rsidRPr="001927D6">
              <w:rPr>
                <w:color w:val="000000"/>
                <w:szCs w:val="24"/>
              </w:rPr>
              <w:t>3 436,03</w:t>
            </w:r>
          </w:p>
        </w:tc>
      </w:tr>
      <w:tr w:rsidR="00295BCD" w:rsidRPr="001927D6" w14:paraId="14999A35" w14:textId="77777777" w:rsidTr="00295BCD">
        <w:trPr>
          <w:divId w:val="1316184749"/>
          <w:trHeight w:val="300"/>
        </w:trPr>
        <w:tc>
          <w:tcPr>
            <w:tcW w:w="4632" w:type="dxa"/>
            <w:vAlign w:val="bottom"/>
            <w:hideMark/>
          </w:tcPr>
          <w:p w14:paraId="345E2163" w14:textId="77777777" w:rsidR="00295BCD" w:rsidRPr="001927D6" w:rsidRDefault="00295BCD">
            <w:pPr>
              <w:spacing w:after="0" w:line="240" w:lineRule="auto"/>
              <w:textAlignment w:val="baseline"/>
              <w:rPr>
                <w:szCs w:val="24"/>
                <w:lang w:eastAsia="et-EE"/>
              </w:rPr>
            </w:pPr>
            <w:r w:rsidRPr="001927D6">
              <w:rPr>
                <w:szCs w:val="24"/>
                <w:lang w:eastAsia="et-EE"/>
              </w:rPr>
              <w:t>Neerude ja kuseteede muud haigused, vanus 0–17 </w:t>
            </w:r>
          </w:p>
        </w:tc>
        <w:tc>
          <w:tcPr>
            <w:tcW w:w="732" w:type="dxa"/>
            <w:vAlign w:val="center"/>
            <w:hideMark/>
          </w:tcPr>
          <w:p w14:paraId="1A33AB3C" w14:textId="77777777" w:rsidR="00295BCD" w:rsidRPr="001927D6" w:rsidRDefault="00295BCD">
            <w:pPr>
              <w:spacing w:after="0" w:line="240" w:lineRule="auto"/>
              <w:jc w:val="center"/>
              <w:textAlignment w:val="baseline"/>
              <w:rPr>
                <w:szCs w:val="24"/>
                <w:lang w:eastAsia="et-EE"/>
              </w:rPr>
            </w:pPr>
            <w:r w:rsidRPr="001927D6">
              <w:rPr>
                <w:szCs w:val="24"/>
                <w:lang w:eastAsia="et-EE"/>
              </w:rPr>
              <w:t>333 </w:t>
            </w:r>
          </w:p>
        </w:tc>
        <w:tc>
          <w:tcPr>
            <w:tcW w:w="1243" w:type="dxa"/>
            <w:vAlign w:val="center"/>
          </w:tcPr>
          <w:p w14:paraId="4B3CCF39" w14:textId="77777777" w:rsidR="00295BCD" w:rsidRPr="001927D6" w:rsidRDefault="00295BCD">
            <w:pPr>
              <w:spacing w:after="0" w:line="240" w:lineRule="auto"/>
              <w:jc w:val="center"/>
              <w:textAlignment w:val="baseline"/>
              <w:rPr>
                <w:szCs w:val="24"/>
                <w:lang w:eastAsia="et-EE"/>
              </w:rPr>
            </w:pPr>
            <w:r w:rsidRPr="001927D6">
              <w:rPr>
                <w:color w:val="000000"/>
                <w:szCs w:val="24"/>
              </w:rPr>
              <w:t>1 582,93</w:t>
            </w:r>
          </w:p>
        </w:tc>
        <w:tc>
          <w:tcPr>
            <w:tcW w:w="1211" w:type="dxa"/>
            <w:vAlign w:val="center"/>
          </w:tcPr>
          <w:p w14:paraId="76E6A0E9" w14:textId="77777777" w:rsidR="00295BCD" w:rsidRPr="001927D6" w:rsidRDefault="00295BCD">
            <w:pPr>
              <w:spacing w:after="0" w:line="240" w:lineRule="auto"/>
              <w:jc w:val="center"/>
              <w:textAlignment w:val="baseline"/>
              <w:rPr>
                <w:szCs w:val="24"/>
                <w:lang w:eastAsia="et-EE"/>
              </w:rPr>
            </w:pPr>
            <w:r w:rsidRPr="001927D6">
              <w:rPr>
                <w:color w:val="000000"/>
                <w:szCs w:val="24"/>
              </w:rPr>
              <w:t>576,76</w:t>
            </w:r>
          </w:p>
        </w:tc>
        <w:tc>
          <w:tcPr>
            <w:tcW w:w="1238" w:type="dxa"/>
            <w:vAlign w:val="center"/>
          </w:tcPr>
          <w:p w14:paraId="08B7F75F" w14:textId="77777777" w:rsidR="00295BCD" w:rsidRPr="001927D6" w:rsidRDefault="00295BCD">
            <w:pPr>
              <w:spacing w:after="0" w:line="240" w:lineRule="auto"/>
              <w:jc w:val="center"/>
              <w:textAlignment w:val="baseline"/>
              <w:rPr>
                <w:szCs w:val="24"/>
                <w:lang w:eastAsia="et-EE"/>
              </w:rPr>
            </w:pPr>
            <w:r w:rsidRPr="001927D6">
              <w:rPr>
                <w:color w:val="000000"/>
                <w:szCs w:val="24"/>
              </w:rPr>
              <w:t>3 525,22</w:t>
            </w:r>
          </w:p>
        </w:tc>
      </w:tr>
      <w:tr w:rsidR="00295BCD" w:rsidRPr="001927D6" w14:paraId="490B285B" w14:textId="77777777" w:rsidTr="00295BCD">
        <w:trPr>
          <w:divId w:val="1316184749"/>
          <w:trHeight w:val="300"/>
        </w:trPr>
        <w:tc>
          <w:tcPr>
            <w:tcW w:w="4632" w:type="dxa"/>
            <w:vAlign w:val="bottom"/>
            <w:hideMark/>
          </w:tcPr>
          <w:p w14:paraId="63BD9A8D" w14:textId="77777777" w:rsidR="00295BCD" w:rsidRPr="001927D6" w:rsidRDefault="00295BCD">
            <w:pPr>
              <w:spacing w:after="0" w:line="240" w:lineRule="auto"/>
              <w:textAlignment w:val="baseline"/>
              <w:rPr>
                <w:szCs w:val="24"/>
                <w:lang w:eastAsia="et-EE"/>
              </w:rPr>
            </w:pPr>
            <w:r w:rsidRPr="001927D6">
              <w:rPr>
                <w:szCs w:val="24"/>
                <w:lang w:eastAsia="et-EE"/>
              </w:rPr>
              <w:t>Mehe vaagnaelundite suured operatsioonid, kht-ga </w:t>
            </w:r>
          </w:p>
        </w:tc>
        <w:tc>
          <w:tcPr>
            <w:tcW w:w="732" w:type="dxa"/>
            <w:vAlign w:val="center"/>
            <w:hideMark/>
          </w:tcPr>
          <w:p w14:paraId="7BDEEF02" w14:textId="77777777" w:rsidR="00295BCD" w:rsidRPr="001927D6" w:rsidRDefault="00295BCD">
            <w:pPr>
              <w:spacing w:after="0" w:line="240" w:lineRule="auto"/>
              <w:jc w:val="center"/>
              <w:textAlignment w:val="baseline"/>
              <w:rPr>
                <w:szCs w:val="24"/>
                <w:lang w:eastAsia="et-EE"/>
              </w:rPr>
            </w:pPr>
            <w:r w:rsidRPr="001927D6">
              <w:rPr>
                <w:szCs w:val="24"/>
                <w:lang w:eastAsia="et-EE"/>
              </w:rPr>
              <w:t>334 </w:t>
            </w:r>
          </w:p>
        </w:tc>
        <w:tc>
          <w:tcPr>
            <w:tcW w:w="1243" w:type="dxa"/>
            <w:vAlign w:val="center"/>
          </w:tcPr>
          <w:p w14:paraId="32840D1F" w14:textId="77777777" w:rsidR="00295BCD" w:rsidRPr="001927D6" w:rsidRDefault="00295BCD">
            <w:pPr>
              <w:spacing w:after="0" w:line="240" w:lineRule="auto"/>
              <w:jc w:val="center"/>
              <w:textAlignment w:val="baseline"/>
              <w:rPr>
                <w:szCs w:val="24"/>
                <w:lang w:eastAsia="et-EE"/>
              </w:rPr>
            </w:pPr>
            <w:r w:rsidRPr="001927D6">
              <w:rPr>
                <w:color w:val="000000"/>
                <w:szCs w:val="24"/>
              </w:rPr>
              <w:t>7 486,09</w:t>
            </w:r>
          </w:p>
        </w:tc>
        <w:tc>
          <w:tcPr>
            <w:tcW w:w="1211" w:type="dxa"/>
            <w:vAlign w:val="center"/>
          </w:tcPr>
          <w:p w14:paraId="0EF83F99" w14:textId="77777777" w:rsidR="00295BCD" w:rsidRPr="001927D6" w:rsidRDefault="00295BCD">
            <w:pPr>
              <w:spacing w:after="0" w:line="240" w:lineRule="auto"/>
              <w:jc w:val="center"/>
              <w:textAlignment w:val="baseline"/>
              <w:rPr>
                <w:szCs w:val="24"/>
                <w:lang w:eastAsia="et-EE"/>
              </w:rPr>
            </w:pPr>
            <w:r w:rsidRPr="001927D6">
              <w:rPr>
                <w:color w:val="000000"/>
                <w:szCs w:val="24"/>
              </w:rPr>
              <w:t>4 524,41</w:t>
            </w:r>
          </w:p>
        </w:tc>
        <w:tc>
          <w:tcPr>
            <w:tcW w:w="1238" w:type="dxa"/>
            <w:vAlign w:val="center"/>
          </w:tcPr>
          <w:p w14:paraId="64AC822F" w14:textId="77777777" w:rsidR="00295BCD" w:rsidRPr="001927D6" w:rsidRDefault="00295BCD">
            <w:pPr>
              <w:spacing w:after="0" w:line="240" w:lineRule="auto"/>
              <w:jc w:val="center"/>
              <w:textAlignment w:val="baseline"/>
              <w:rPr>
                <w:szCs w:val="24"/>
                <w:lang w:eastAsia="et-EE"/>
              </w:rPr>
            </w:pPr>
            <w:r w:rsidRPr="001927D6">
              <w:rPr>
                <w:color w:val="000000"/>
                <w:szCs w:val="24"/>
              </w:rPr>
              <w:t>10 576,18</w:t>
            </w:r>
          </w:p>
        </w:tc>
      </w:tr>
      <w:tr w:rsidR="00295BCD" w:rsidRPr="001927D6" w14:paraId="72CFC08E" w14:textId="77777777" w:rsidTr="00295BCD">
        <w:trPr>
          <w:divId w:val="1316184749"/>
          <w:trHeight w:val="300"/>
        </w:trPr>
        <w:tc>
          <w:tcPr>
            <w:tcW w:w="4632" w:type="dxa"/>
            <w:vAlign w:val="bottom"/>
            <w:hideMark/>
          </w:tcPr>
          <w:p w14:paraId="4C17F862" w14:textId="77777777" w:rsidR="00295BCD" w:rsidRPr="001927D6" w:rsidRDefault="00295BCD">
            <w:pPr>
              <w:spacing w:after="0" w:line="240" w:lineRule="auto"/>
              <w:textAlignment w:val="baseline"/>
              <w:rPr>
                <w:szCs w:val="24"/>
                <w:lang w:eastAsia="et-EE"/>
              </w:rPr>
            </w:pPr>
            <w:r w:rsidRPr="001927D6">
              <w:rPr>
                <w:szCs w:val="24"/>
                <w:lang w:eastAsia="et-EE"/>
              </w:rPr>
              <w:t>Mehe vaagnaelundite suured operatsioonid, kht-ta </w:t>
            </w:r>
          </w:p>
        </w:tc>
        <w:tc>
          <w:tcPr>
            <w:tcW w:w="732" w:type="dxa"/>
            <w:vAlign w:val="center"/>
            <w:hideMark/>
          </w:tcPr>
          <w:p w14:paraId="4EA0B2D3" w14:textId="77777777" w:rsidR="00295BCD" w:rsidRPr="001927D6" w:rsidRDefault="00295BCD">
            <w:pPr>
              <w:spacing w:after="0" w:line="240" w:lineRule="auto"/>
              <w:jc w:val="center"/>
              <w:textAlignment w:val="baseline"/>
              <w:rPr>
                <w:szCs w:val="24"/>
                <w:lang w:eastAsia="et-EE"/>
              </w:rPr>
            </w:pPr>
            <w:r w:rsidRPr="001927D6">
              <w:rPr>
                <w:szCs w:val="24"/>
                <w:lang w:eastAsia="et-EE"/>
              </w:rPr>
              <w:t>335 </w:t>
            </w:r>
          </w:p>
        </w:tc>
        <w:tc>
          <w:tcPr>
            <w:tcW w:w="1243" w:type="dxa"/>
            <w:vAlign w:val="center"/>
          </w:tcPr>
          <w:p w14:paraId="05F91FB9" w14:textId="77777777" w:rsidR="00295BCD" w:rsidRPr="001927D6" w:rsidRDefault="00295BCD">
            <w:pPr>
              <w:spacing w:after="0" w:line="240" w:lineRule="auto"/>
              <w:jc w:val="center"/>
              <w:textAlignment w:val="baseline"/>
              <w:rPr>
                <w:szCs w:val="24"/>
                <w:lang w:eastAsia="et-EE"/>
              </w:rPr>
            </w:pPr>
            <w:r w:rsidRPr="001927D6">
              <w:rPr>
                <w:color w:val="000000"/>
                <w:szCs w:val="24"/>
              </w:rPr>
              <w:t>6 489,52</w:t>
            </w:r>
          </w:p>
        </w:tc>
        <w:tc>
          <w:tcPr>
            <w:tcW w:w="1211" w:type="dxa"/>
            <w:vAlign w:val="center"/>
          </w:tcPr>
          <w:p w14:paraId="4142B23B" w14:textId="77777777" w:rsidR="00295BCD" w:rsidRPr="001927D6" w:rsidRDefault="00295BCD">
            <w:pPr>
              <w:spacing w:after="0" w:line="240" w:lineRule="auto"/>
              <w:jc w:val="center"/>
              <w:textAlignment w:val="baseline"/>
              <w:rPr>
                <w:szCs w:val="24"/>
                <w:lang w:eastAsia="et-EE"/>
              </w:rPr>
            </w:pPr>
            <w:r w:rsidRPr="001927D6">
              <w:rPr>
                <w:color w:val="000000"/>
                <w:szCs w:val="24"/>
              </w:rPr>
              <w:t>4 253,29</w:t>
            </w:r>
          </w:p>
        </w:tc>
        <w:tc>
          <w:tcPr>
            <w:tcW w:w="1238" w:type="dxa"/>
            <w:vAlign w:val="center"/>
          </w:tcPr>
          <w:p w14:paraId="36BC59DA" w14:textId="77777777" w:rsidR="00295BCD" w:rsidRPr="001927D6" w:rsidRDefault="00295BCD">
            <w:pPr>
              <w:spacing w:after="0" w:line="240" w:lineRule="auto"/>
              <w:jc w:val="center"/>
              <w:textAlignment w:val="baseline"/>
              <w:rPr>
                <w:szCs w:val="24"/>
                <w:lang w:eastAsia="et-EE"/>
              </w:rPr>
            </w:pPr>
            <w:r w:rsidRPr="001927D6">
              <w:rPr>
                <w:color w:val="000000"/>
                <w:szCs w:val="24"/>
              </w:rPr>
              <w:t>8 272,94</w:t>
            </w:r>
          </w:p>
        </w:tc>
      </w:tr>
      <w:tr w:rsidR="00295BCD" w:rsidRPr="001927D6" w14:paraId="4BA61D59" w14:textId="77777777" w:rsidTr="00295BCD">
        <w:trPr>
          <w:divId w:val="1316184749"/>
          <w:trHeight w:val="300"/>
        </w:trPr>
        <w:tc>
          <w:tcPr>
            <w:tcW w:w="4632" w:type="dxa"/>
            <w:vAlign w:val="bottom"/>
            <w:hideMark/>
          </w:tcPr>
          <w:p w14:paraId="271B08EA" w14:textId="77777777" w:rsidR="00295BCD" w:rsidRPr="001927D6" w:rsidRDefault="00295BCD">
            <w:pPr>
              <w:spacing w:after="0" w:line="240" w:lineRule="auto"/>
              <w:textAlignment w:val="baseline"/>
              <w:rPr>
                <w:szCs w:val="24"/>
                <w:lang w:eastAsia="et-EE"/>
              </w:rPr>
            </w:pPr>
            <w:r w:rsidRPr="001927D6">
              <w:rPr>
                <w:szCs w:val="24"/>
                <w:lang w:eastAsia="et-EE"/>
              </w:rPr>
              <w:t>Mehe vaagnaelundite suured operatsioonid, lühike ravi </w:t>
            </w:r>
          </w:p>
        </w:tc>
        <w:tc>
          <w:tcPr>
            <w:tcW w:w="732" w:type="dxa"/>
            <w:vAlign w:val="center"/>
            <w:hideMark/>
          </w:tcPr>
          <w:p w14:paraId="5331C044" w14:textId="77777777" w:rsidR="00295BCD" w:rsidRPr="001927D6" w:rsidRDefault="00295BCD">
            <w:pPr>
              <w:spacing w:after="0" w:line="240" w:lineRule="auto"/>
              <w:jc w:val="center"/>
              <w:textAlignment w:val="baseline"/>
              <w:rPr>
                <w:szCs w:val="24"/>
                <w:lang w:eastAsia="et-EE"/>
              </w:rPr>
            </w:pPr>
            <w:r w:rsidRPr="001927D6">
              <w:rPr>
                <w:szCs w:val="24"/>
                <w:lang w:eastAsia="et-EE"/>
              </w:rPr>
              <w:t>335O </w:t>
            </w:r>
          </w:p>
        </w:tc>
        <w:tc>
          <w:tcPr>
            <w:tcW w:w="1243" w:type="dxa"/>
            <w:vAlign w:val="center"/>
          </w:tcPr>
          <w:p w14:paraId="36A9C094" w14:textId="77777777" w:rsidR="00295BCD" w:rsidRPr="001927D6" w:rsidRDefault="00295BCD">
            <w:pPr>
              <w:spacing w:after="0" w:line="240" w:lineRule="auto"/>
              <w:jc w:val="center"/>
              <w:textAlignment w:val="baseline"/>
              <w:rPr>
                <w:szCs w:val="24"/>
                <w:lang w:eastAsia="et-EE"/>
              </w:rPr>
            </w:pPr>
            <w:r w:rsidRPr="001927D6">
              <w:rPr>
                <w:color w:val="000000"/>
                <w:szCs w:val="24"/>
              </w:rPr>
              <w:t>1 362,77</w:t>
            </w:r>
          </w:p>
        </w:tc>
        <w:tc>
          <w:tcPr>
            <w:tcW w:w="1211" w:type="dxa"/>
            <w:vAlign w:val="center"/>
          </w:tcPr>
          <w:p w14:paraId="294DB95F" w14:textId="77777777" w:rsidR="00295BCD" w:rsidRPr="001927D6" w:rsidRDefault="00295BCD">
            <w:pPr>
              <w:spacing w:after="0" w:line="240" w:lineRule="auto"/>
              <w:jc w:val="center"/>
              <w:textAlignment w:val="baseline"/>
              <w:rPr>
                <w:szCs w:val="24"/>
                <w:lang w:eastAsia="et-EE"/>
              </w:rPr>
            </w:pPr>
            <w:r w:rsidRPr="001927D6">
              <w:rPr>
                <w:color w:val="000000"/>
                <w:szCs w:val="24"/>
              </w:rPr>
              <w:t>646,73</w:t>
            </w:r>
          </w:p>
        </w:tc>
        <w:tc>
          <w:tcPr>
            <w:tcW w:w="1238" w:type="dxa"/>
            <w:vAlign w:val="center"/>
          </w:tcPr>
          <w:p w14:paraId="25CD2F8E" w14:textId="77777777" w:rsidR="00295BCD" w:rsidRPr="001927D6" w:rsidRDefault="00295BCD">
            <w:pPr>
              <w:spacing w:after="0" w:line="240" w:lineRule="auto"/>
              <w:jc w:val="center"/>
              <w:textAlignment w:val="baseline"/>
              <w:rPr>
                <w:szCs w:val="24"/>
                <w:lang w:eastAsia="et-EE"/>
              </w:rPr>
            </w:pPr>
            <w:r w:rsidRPr="001927D6">
              <w:rPr>
                <w:color w:val="000000"/>
                <w:szCs w:val="24"/>
              </w:rPr>
              <w:t>1 362,77</w:t>
            </w:r>
          </w:p>
        </w:tc>
      </w:tr>
      <w:tr w:rsidR="00295BCD" w:rsidRPr="001927D6" w14:paraId="1F099580" w14:textId="77777777" w:rsidTr="00295BCD">
        <w:trPr>
          <w:divId w:val="1316184749"/>
          <w:trHeight w:val="300"/>
        </w:trPr>
        <w:tc>
          <w:tcPr>
            <w:tcW w:w="4632" w:type="dxa"/>
            <w:vAlign w:val="bottom"/>
            <w:hideMark/>
          </w:tcPr>
          <w:p w14:paraId="3EC0B31A" w14:textId="77777777" w:rsidR="00295BCD" w:rsidRPr="001927D6" w:rsidRDefault="00295BCD">
            <w:pPr>
              <w:spacing w:after="0" w:line="240" w:lineRule="auto"/>
              <w:textAlignment w:val="baseline"/>
              <w:rPr>
                <w:szCs w:val="24"/>
                <w:lang w:eastAsia="et-EE"/>
              </w:rPr>
            </w:pPr>
            <w:r w:rsidRPr="001927D6">
              <w:rPr>
                <w:szCs w:val="24"/>
                <w:lang w:eastAsia="et-EE"/>
              </w:rPr>
              <w:t>Transuretraalne prostatektoomia, kht-ga </w:t>
            </w:r>
          </w:p>
        </w:tc>
        <w:tc>
          <w:tcPr>
            <w:tcW w:w="732" w:type="dxa"/>
            <w:vAlign w:val="center"/>
            <w:hideMark/>
          </w:tcPr>
          <w:p w14:paraId="01A3C923" w14:textId="77777777" w:rsidR="00295BCD" w:rsidRPr="001927D6" w:rsidRDefault="00295BCD">
            <w:pPr>
              <w:spacing w:after="0" w:line="240" w:lineRule="auto"/>
              <w:jc w:val="center"/>
              <w:textAlignment w:val="baseline"/>
              <w:rPr>
                <w:szCs w:val="24"/>
                <w:lang w:eastAsia="et-EE"/>
              </w:rPr>
            </w:pPr>
            <w:r w:rsidRPr="001927D6">
              <w:rPr>
                <w:szCs w:val="24"/>
                <w:lang w:eastAsia="et-EE"/>
              </w:rPr>
              <w:t>336 </w:t>
            </w:r>
          </w:p>
        </w:tc>
        <w:tc>
          <w:tcPr>
            <w:tcW w:w="1243" w:type="dxa"/>
            <w:vAlign w:val="center"/>
          </w:tcPr>
          <w:p w14:paraId="0367EB48" w14:textId="77777777" w:rsidR="00295BCD" w:rsidRPr="001927D6" w:rsidRDefault="00295BCD">
            <w:pPr>
              <w:spacing w:after="0" w:line="240" w:lineRule="auto"/>
              <w:jc w:val="center"/>
              <w:textAlignment w:val="baseline"/>
              <w:rPr>
                <w:szCs w:val="24"/>
                <w:lang w:eastAsia="et-EE"/>
              </w:rPr>
            </w:pPr>
            <w:r w:rsidRPr="001927D6">
              <w:rPr>
                <w:color w:val="000000"/>
                <w:szCs w:val="24"/>
              </w:rPr>
              <w:t>3 015,90</w:t>
            </w:r>
          </w:p>
        </w:tc>
        <w:tc>
          <w:tcPr>
            <w:tcW w:w="1211" w:type="dxa"/>
            <w:vAlign w:val="center"/>
          </w:tcPr>
          <w:p w14:paraId="44B9D909" w14:textId="77777777" w:rsidR="00295BCD" w:rsidRPr="001927D6" w:rsidRDefault="00295BCD">
            <w:pPr>
              <w:spacing w:after="0" w:line="240" w:lineRule="auto"/>
              <w:jc w:val="center"/>
              <w:textAlignment w:val="baseline"/>
              <w:rPr>
                <w:szCs w:val="24"/>
                <w:lang w:eastAsia="et-EE"/>
              </w:rPr>
            </w:pPr>
            <w:r w:rsidRPr="001927D6">
              <w:rPr>
                <w:color w:val="000000"/>
                <w:szCs w:val="24"/>
              </w:rPr>
              <w:t>2 382,37</w:t>
            </w:r>
          </w:p>
        </w:tc>
        <w:tc>
          <w:tcPr>
            <w:tcW w:w="1238" w:type="dxa"/>
            <w:vAlign w:val="center"/>
          </w:tcPr>
          <w:p w14:paraId="28C8163B" w14:textId="77777777" w:rsidR="00295BCD" w:rsidRPr="001927D6" w:rsidRDefault="00295BCD">
            <w:pPr>
              <w:spacing w:after="0" w:line="240" w:lineRule="auto"/>
              <w:jc w:val="center"/>
              <w:textAlignment w:val="baseline"/>
              <w:rPr>
                <w:szCs w:val="24"/>
                <w:lang w:eastAsia="et-EE"/>
              </w:rPr>
            </w:pPr>
            <w:r w:rsidRPr="001927D6">
              <w:rPr>
                <w:color w:val="000000"/>
                <w:szCs w:val="24"/>
              </w:rPr>
              <w:t>4 224,79</w:t>
            </w:r>
          </w:p>
        </w:tc>
      </w:tr>
      <w:tr w:rsidR="00295BCD" w:rsidRPr="001927D6" w14:paraId="05A9D0F4" w14:textId="77777777" w:rsidTr="00295BCD">
        <w:trPr>
          <w:divId w:val="1316184749"/>
          <w:trHeight w:val="300"/>
        </w:trPr>
        <w:tc>
          <w:tcPr>
            <w:tcW w:w="4632" w:type="dxa"/>
            <w:vAlign w:val="bottom"/>
            <w:hideMark/>
          </w:tcPr>
          <w:p w14:paraId="4DB90E97" w14:textId="77777777" w:rsidR="00295BCD" w:rsidRPr="001927D6" w:rsidRDefault="00295BCD">
            <w:pPr>
              <w:spacing w:after="0" w:line="240" w:lineRule="auto"/>
              <w:textAlignment w:val="baseline"/>
              <w:rPr>
                <w:szCs w:val="24"/>
                <w:lang w:eastAsia="et-EE"/>
              </w:rPr>
            </w:pPr>
            <w:r w:rsidRPr="001927D6">
              <w:rPr>
                <w:szCs w:val="24"/>
                <w:lang w:eastAsia="et-EE"/>
              </w:rPr>
              <w:t>Transuretraalne prostatektoomia, kht-ta </w:t>
            </w:r>
          </w:p>
        </w:tc>
        <w:tc>
          <w:tcPr>
            <w:tcW w:w="732" w:type="dxa"/>
            <w:vAlign w:val="center"/>
            <w:hideMark/>
          </w:tcPr>
          <w:p w14:paraId="4F718E72" w14:textId="77777777" w:rsidR="00295BCD" w:rsidRPr="001927D6" w:rsidRDefault="00295BCD">
            <w:pPr>
              <w:spacing w:after="0" w:line="240" w:lineRule="auto"/>
              <w:jc w:val="center"/>
              <w:textAlignment w:val="baseline"/>
              <w:rPr>
                <w:szCs w:val="24"/>
                <w:lang w:eastAsia="et-EE"/>
              </w:rPr>
            </w:pPr>
            <w:r w:rsidRPr="001927D6">
              <w:rPr>
                <w:szCs w:val="24"/>
                <w:lang w:eastAsia="et-EE"/>
              </w:rPr>
              <w:t>337 </w:t>
            </w:r>
          </w:p>
        </w:tc>
        <w:tc>
          <w:tcPr>
            <w:tcW w:w="1243" w:type="dxa"/>
            <w:vAlign w:val="center"/>
          </w:tcPr>
          <w:p w14:paraId="52729237" w14:textId="77777777" w:rsidR="00295BCD" w:rsidRPr="001927D6" w:rsidRDefault="00295BCD">
            <w:pPr>
              <w:spacing w:after="0" w:line="240" w:lineRule="auto"/>
              <w:jc w:val="center"/>
              <w:textAlignment w:val="baseline"/>
              <w:rPr>
                <w:szCs w:val="24"/>
                <w:lang w:eastAsia="et-EE"/>
              </w:rPr>
            </w:pPr>
            <w:r w:rsidRPr="001927D6">
              <w:rPr>
                <w:color w:val="000000"/>
                <w:szCs w:val="24"/>
              </w:rPr>
              <w:t>2 880,63</w:t>
            </w:r>
          </w:p>
        </w:tc>
        <w:tc>
          <w:tcPr>
            <w:tcW w:w="1211" w:type="dxa"/>
            <w:vAlign w:val="center"/>
          </w:tcPr>
          <w:p w14:paraId="106029EA" w14:textId="77777777" w:rsidR="00295BCD" w:rsidRPr="001927D6" w:rsidRDefault="00295BCD">
            <w:pPr>
              <w:spacing w:after="0" w:line="240" w:lineRule="auto"/>
              <w:jc w:val="center"/>
              <w:textAlignment w:val="baseline"/>
              <w:rPr>
                <w:szCs w:val="24"/>
                <w:lang w:eastAsia="et-EE"/>
              </w:rPr>
            </w:pPr>
            <w:r w:rsidRPr="001927D6">
              <w:rPr>
                <w:color w:val="000000"/>
                <w:szCs w:val="24"/>
              </w:rPr>
              <w:t>2 197,76</w:t>
            </w:r>
          </w:p>
        </w:tc>
        <w:tc>
          <w:tcPr>
            <w:tcW w:w="1238" w:type="dxa"/>
            <w:vAlign w:val="center"/>
          </w:tcPr>
          <w:p w14:paraId="5434B8FE" w14:textId="77777777" w:rsidR="00295BCD" w:rsidRPr="001927D6" w:rsidRDefault="00295BCD">
            <w:pPr>
              <w:spacing w:after="0" w:line="240" w:lineRule="auto"/>
              <w:jc w:val="center"/>
              <w:textAlignment w:val="baseline"/>
              <w:rPr>
                <w:szCs w:val="24"/>
                <w:lang w:eastAsia="et-EE"/>
              </w:rPr>
            </w:pPr>
            <w:r w:rsidRPr="001927D6">
              <w:rPr>
                <w:color w:val="000000"/>
                <w:szCs w:val="24"/>
              </w:rPr>
              <w:t>3 683,10</w:t>
            </w:r>
          </w:p>
        </w:tc>
      </w:tr>
      <w:tr w:rsidR="00295BCD" w:rsidRPr="001927D6" w14:paraId="4E3F0B88" w14:textId="77777777" w:rsidTr="00295BCD">
        <w:trPr>
          <w:divId w:val="1316184749"/>
          <w:trHeight w:val="300"/>
        </w:trPr>
        <w:tc>
          <w:tcPr>
            <w:tcW w:w="4632" w:type="dxa"/>
            <w:vAlign w:val="bottom"/>
            <w:hideMark/>
          </w:tcPr>
          <w:p w14:paraId="5EC1CA99" w14:textId="77777777" w:rsidR="00295BCD" w:rsidRPr="001927D6" w:rsidRDefault="00295BCD">
            <w:pPr>
              <w:spacing w:after="0" w:line="240" w:lineRule="auto"/>
              <w:textAlignment w:val="baseline"/>
              <w:rPr>
                <w:szCs w:val="24"/>
                <w:lang w:eastAsia="et-EE"/>
              </w:rPr>
            </w:pPr>
            <w:r w:rsidRPr="001927D6">
              <w:rPr>
                <w:szCs w:val="24"/>
                <w:lang w:eastAsia="et-EE"/>
              </w:rPr>
              <w:t>Transuretraalne prostatektoomia, lühike ravi </w:t>
            </w:r>
          </w:p>
        </w:tc>
        <w:tc>
          <w:tcPr>
            <w:tcW w:w="732" w:type="dxa"/>
            <w:vAlign w:val="center"/>
            <w:hideMark/>
          </w:tcPr>
          <w:p w14:paraId="4B8644FF" w14:textId="77777777" w:rsidR="00295BCD" w:rsidRPr="001927D6" w:rsidRDefault="00295BCD">
            <w:pPr>
              <w:spacing w:after="0" w:line="240" w:lineRule="auto"/>
              <w:jc w:val="center"/>
              <w:textAlignment w:val="baseline"/>
              <w:rPr>
                <w:szCs w:val="24"/>
                <w:lang w:eastAsia="et-EE"/>
              </w:rPr>
            </w:pPr>
            <w:r w:rsidRPr="001927D6">
              <w:rPr>
                <w:szCs w:val="24"/>
                <w:lang w:eastAsia="et-EE"/>
              </w:rPr>
              <w:t>337O </w:t>
            </w:r>
          </w:p>
        </w:tc>
        <w:tc>
          <w:tcPr>
            <w:tcW w:w="1243" w:type="dxa"/>
            <w:vAlign w:val="center"/>
          </w:tcPr>
          <w:p w14:paraId="7911B650" w14:textId="77777777" w:rsidR="00295BCD" w:rsidRPr="001927D6" w:rsidRDefault="00295BCD">
            <w:pPr>
              <w:spacing w:after="0" w:line="240" w:lineRule="auto"/>
              <w:jc w:val="center"/>
              <w:textAlignment w:val="baseline"/>
              <w:rPr>
                <w:szCs w:val="24"/>
                <w:lang w:eastAsia="et-EE"/>
              </w:rPr>
            </w:pPr>
            <w:r w:rsidRPr="001927D6">
              <w:rPr>
                <w:color w:val="000000"/>
                <w:szCs w:val="24"/>
              </w:rPr>
              <w:t>1 167,07</w:t>
            </w:r>
          </w:p>
        </w:tc>
        <w:tc>
          <w:tcPr>
            <w:tcW w:w="1211" w:type="dxa"/>
            <w:vAlign w:val="center"/>
          </w:tcPr>
          <w:p w14:paraId="378C0670" w14:textId="77777777" w:rsidR="00295BCD" w:rsidRPr="001927D6" w:rsidRDefault="00295BCD">
            <w:pPr>
              <w:spacing w:after="0" w:line="240" w:lineRule="auto"/>
              <w:jc w:val="center"/>
              <w:textAlignment w:val="baseline"/>
              <w:rPr>
                <w:szCs w:val="24"/>
                <w:lang w:eastAsia="et-EE"/>
              </w:rPr>
            </w:pPr>
            <w:r w:rsidRPr="001927D6">
              <w:rPr>
                <w:color w:val="000000"/>
                <w:szCs w:val="24"/>
              </w:rPr>
              <w:t>553,86</w:t>
            </w:r>
          </w:p>
        </w:tc>
        <w:tc>
          <w:tcPr>
            <w:tcW w:w="1238" w:type="dxa"/>
            <w:vAlign w:val="center"/>
          </w:tcPr>
          <w:p w14:paraId="11DFB568" w14:textId="77777777" w:rsidR="00295BCD" w:rsidRPr="001927D6" w:rsidRDefault="00295BCD">
            <w:pPr>
              <w:spacing w:after="0" w:line="240" w:lineRule="auto"/>
              <w:jc w:val="center"/>
              <w:textAlignment w:val="baseline"/>
              <w:rPr>
                <w:szCs w:val="24"/>
                <w:lang w:eastAsia="et-EE"/>
              </w:rPr>
            </w:pPr>
            <w:r w:rsidRPr="001927D6">
              <w:rPr>
                <w:color w:val="000000"/>
                <w:szCs w:val="24"/>
              </w:rPr>
              <w:t>2 365,80</w:t>
            </w:r>
          </w:p>
        </w:tc>
      </w:tr>
      <w:tr w:rsidR="00295BCD" w:rsidRPr="001927D6" w14:paraId="20FB6B52" w14:textId="77777777" w:rsidTr="00295BCD">
        <w:trPr>
          <w:divId w:val="1316184749"/>
          <w:trHeight w:val="300"/>
        </w:trPr>
        <w:tc>
          <w:tcPr>
            <w:tcW w:w="4632" w:type="dxa"/>
            <w:vAlign w:val="bottom"/>
            <w:hideMark/>
          </w:tcPr>
          <w:p w14:paraId="63AA3573" w14:textId="77777777" w:rsidR="00295BCD" w:rsidRPr="001927D6" w:rsidRDefault="00295BCD">
            <w:pPr>
              <w:spacing w:after="0" w:line="240" w:lineRule="auto"/>
              <w:textAlignment w:val="baseline"/>
              <w:rPr>
                <w:szCs w:val="24"/>
                <w:lang w:eastAsia="et-EE"/>
              </w:rPr>
            </w:pPr>
            <w:r w:rsidRPr="001927D6">
              <w:rPr>
                <w:szCs w:val="24"/>
                <w:lang w:eastAsia="et-EE"/>
              </w:rPr>
              <w:t>Operatsioonid munandite pahaloomuliste kasvajate korral </w:t>
            </w:r>
          </w:p>
        </w:tc>
        <w:tc>
          <w:tcPr>
            <w:tcW w:w="732" w:type="dxa"/>
            <w:vAlign w:val="center"/>
            <w:hideMark/>
          </w:tcPr>
          <w:p w14:paraId="13D15CD7" w14:textId="77777777" w:rsidR="00295BCD" w:rsidRPr="001927D6" w:rsidRDefault="00295BCD">
            <w:pPr>
              <w:spacing w:after="0" w:line="240" w:lineRule="auto"/>
              <w:jc w:val="center"/>
              <w:textAlignment w:val="baseline"/>
              <w:rPr>
                <w:szCs w:val="24"/>
                <w:lang w:eastAsia="et-EE"/>
              </w:rPr>
            </w:pPr>
            <w:r w:rsidRPr="001927D6">
              <w:rPr>
                <w:szCs w:val="24"/>
                <w:lang w:eastAsia="et-EE"/>
              </w:rPr>
              <w:t>338 </w:t>
            </w:r>
          </w:p>
        </w:tc>
        <w:tc>
          <w:tcPr>
            <w:tcW w:w="1243" w:type="dxa"/>
            <w:vAlign w:val="center"/>
          </w:tcPr>
          <w:p w14:paraId="61E35256" w14:textId="77777777" w:rsidR="00295BCD" w:rsidRPr="001927D6" w:rsidRDefault="00295BCD">
            <w:pPr>
              <w:spacing w:after="0" w:line="240" w:lineRule="auto"/>
              <w:jc w:val="center"/>
              <w:textAlignment w:val="baseline"/>
              <w:rPr>
                <w:szCs w:val="24"/>
                <w:lang w:eastAsia="et-EE"/>
              </w:rPr>
            </w:pPr>
            <w:r w:rsidRPr="001927D6">
              <w:rPr>
                <w:color w:val="000000"/>
                <w:szCs w:val="24"/>
              </w:rPr>
              <w:t>1 622,20</w:t>
            </w:r>
          </w:p>
        </w:tc>
        <w:tc>
          <w:tcPr>
            <w:tcW w:w="1211" w:type="dxa"/>
            <w:vAlign w:val="center"/>
          </w:tcPr>
          <w:p w14:paraId="68DA89DA" w14:textId="77777777" w:rsidR="00295BCD" w:rsidRPr="001927D6" w:rsidRDefault="00295BCD">
            <w:pPr>
              <w:spacing w:after="0" w:line="240" w:lineRule="auto"/>
              <w:jc w:val="center"/>
              <w:textAlignment w:val="baseline"/>
              <w:rPr>
                <w:szCs w:val="24"/>
                <w:lang w:eastAsia="et-EE"/>
              </w:rPr>
            </w:pPr>
            <w:r w:rsidRPr="001927D6">
              <w:rPr>
                <w:color w:val="000000"/>
                <w:szCs w:val="24"/>
              </w:rPr>
              <w:t>653,10</w:t>
            </w:r>
          </w:p>
        </w:tc>
        <w:tc>
          <w:tcPr>
            <w:tcW w:w="1238" w:type="dxa"/>
            <w:vAlign w:val="center"/>
          </w:tcPr>
          <w:p w14:paraId="22E75D85" w14:textId="77777777" w:rsidR="00295BCD" w:rsidRPr="001927D6" w:rsidRDefault="00295BCD">
            <w:pPr>
              <w:spacing w:after="0" w:line="240" w:lineRule="auto"/>
              <w:jc w:val="center"/>
              <w:textAlignment w:val="baseline"/>
              <w:rPr>
                <w:szCs w:val="24"/>
                <w:lang w:eastAsia="et-EE"/>
              </w:rPr>
            </w:pPr>
            <w:r w:rsidRPr="001927D6">
              <w:rPr>
                <w:color w:val="000000"/>
                <w:szCs w:val="24"/>
              </w:rPr>
              <w:t>2 872,21</w:t>
            </w:r>
          </w:p>
        </w:tc>
      </w:tr>
      <w:tr w:rsidR="00295BCD" w:rsidRPr="001927D6" w14:paraId="49E6E34D" w14:textId="77777777" w:rsidTr="00295BCD">
        <w:trPr>
          <w:divId w:val="1316184749"/>
          <w:trHeight w:val="300"/>
        </w:trPr>
        <w:tc>
          <w:tcPr>
            <w:tcW w:w="4632" w:type="dxa"/>
            <w:vAlign w:val="bottom"/>
            <w:hideMark/>
          </w:tcPr>
          <w:p w14:paraId="6850DE83" w14:textId="77777777" w:rsidR="00295BCD" w:rsidRPr="001927D6" w:rsidRDefault="00295BCD">
            <w:pPr>
              <w:spacing w:after="0" w:line="240" w:lineRule="auto"/>
              <w:textAlignment w:val="baseline"/>
              <w:rPr>
                <w:szCs w:val="24"/>
                <w:lang w:eastAsia="et-EE"/>
              </w:rPr>
            </w:pPr>
            <w:r w:rsidRPr="001927D6">
              <w:rPr>
                <w:szCs w:val="24"/>
                <w:lang w:eastAsia="et-EE"/>
              </w:rPr>
              <w:t>Operatsioonid munandite mittepahaloomuliste kasvajate korral, vanus &gt; 17 </w:t>
            </w:r>
          </w:p>
        </w:tc>
        <w:tc>
          <w:tcPr>
            <w:tcW w:w="732" w:type="dxa"/>
            <w:vAlign w:val="center"/>
            <w:hideMark/>
          </w:tcPr>
          <w:p w14:paraId="01752A80" w14:textId="77777777" w:rsidR="00295BCD" w:rsidRPr="001927D6" w:rsidRDefault="00295BCD">
            <w:pPr>
              <w:spacing w:after="0" w:line="240" w:lineRule="auto"/>
              <w:jc w:val="center"/>
              <w:textAlignment w:val="baseline"/>
              <w:rPr>
                <w:szCs w:val="24"/>
                <w:lang w:eastAsia="et-EE"/>
              </w:rPr>
            </w:pPr>
            <w:r w:rsidRPr="001927D6">
              <w:rPr>
                <w:szCs w:val="24"/>
                <w:lang w:eastAsia="et-EE"/>
              </w:rPr>
              <w:t>339 </w:t>
            </w:r>
          </w:p>
        </w:tc>
        <w:tc>
          <w:tcPr>
            <w:tcW w:w="1243" w:type="dxa"/>
            <w:vAlign w:val="center"/>
          </w:tcPr>
          <w:p w14:paraId="06EC1AFD" w14:textId="77777777" w:rsidR="00295BCD" w:rsidRPr="001927D6" w:rsidRDefault="00295BCD">
            <w:pPr>
              <w:spacing w:after="0" w:line="240" w:lineRule="auto"/>
              <w:jc w:val="center"/>
              <w:textAlignment w:val="baseline"/>
              <w:rPr>
                <w:szCs w:val="24"/>
                <w:lang w:eastAsia="et-EE"/>
              </w:rPr>
            </w:pPr>
            <w:r w:rsidRPr="001927D6">
              <w:rPr>
                <w:color w:val="000000"/>
                <w:szCs w:val="24"/>
              </w:rPr>
              <w:t>1 551,26</w:t>
            </w:r>
          </w:p>
        </w:tc>
        <w:tc>
          <w:tcPr>
            <w:tcW w:w="1211" w:type="dxa"/>
            <w:vAlign w:val="center"/>
          </w:tcPr>
          <w:p w14:paraId="2AD40F04" w14:textId="77777777" w:rsidR="00295BCD" w:rsidRPr="001927D6" w:rsidRDefault="00295BCD">
            <w:pPr>
              <w:spacing w:after="0" w:line="240" w:lineRule="auto"/>
              <w:jc w:val="center"/>
              <w:textAlignment w:val="baseline"/>
              <w:rPr>
                <w:szCs w:val="24"/>
                <w:lang w:eastAsia="et-EE"/>
              </w:rPr>
            </w:pPr>
            <w:r w:rsidRPr="001927D6">
              <w:rPr>
                <w:color w:val="000000"/>
                <w:szCs w:val="24"/>
              </w:rPr>
              <w:t>862,80</w:t>
            </w:r>
          </w:p>
        </w:tc>
        <w:tc>
          <w:tcPr>
            <w:tcW w:w="1238" w:type="dxa"/>
            <w:vAlign w:val="center"/>
          </w:tcPr>
          <w:p w14:paraId="2450C6C9" w14:textId="77777777" w:rsidR="00295BCD" w:rsidRPr="001927D6" w:rsidRDefault="00295BCD">
            <w:pPr>
              <w:spacing w:after="0" w:line="240" w:lineRule="auto"/>
              <w:jc w:val="center"/>
              <w:textAlignment w:val="baseline"/>
              <w:rPr>
                <w:szCs w:val="24"/>
                <w:lang w:eastAsia="et-EE"/>
              </w:rPr>
            </w:pPr>
            <w:r w:rsidRPr="001927D6">
              <w:rPr>
                <w:color w:val="000000"/>
                <w:szCs w:val="24"/>
              </w:rPr>
              <w:t>3 605,85</w:t>
            </w:r>
          </w:p>
        </w:tc>
      </w:tr>
      <w:tr w:rsidR="00295BCD" w:rsidRPr="001927D6" w14:paraId="6C351813" w14:textId="77777777" w:rsidTr="00295BCD">
        <w:trPr>
          <w:divId w:val="1316184749"/>
          <w:trHeight w:val="300"/>
        </w:trPr>
        <w:tc>
          <w:tcPr>
            <w:tcW w:w="4632" w:type="dxa"/>
            <w:vAlign w:val="bottom"/>
            <w:hideMark/>
          </w:tcPr>
          <w:p w14:paraId="39AACDBD" w14:textId="77777777" w:rsidR="00295BCD" w:rsidRPr="001927D6" w:rsidRDefault="00295BCD">
            <w:pPr>
              <w:spacing w:after="0" w:line="240" w:lineRule="auto"/>
              <w:textAlignment w:val="baseline"/>
              <w:rPr>
                <w:szCs w:val="24"/>
                <w:lang w:eastAsia="et-EE"/>
              </w:rPr>
            </w:pPr>
            <w:r w:rsidRPr="001927D6">
              <w:rPr>
                <w:szCs w:val="24"/>
                <w:lang w:eastAsia="et-EE"/>
              </w:rPr>
              <w:t>Operatsioonid munandite mittepahaloomuliste kasvajate korral, vanus 0–17 </w:t>
            </w:r>
          </w:p>
        </w:tc>
        <w:tc>
          <w:tcPr>
            <w:tcW w:w="732" w:type="dxa"/>
            <w:vAlign w:val="center"/>
            <w:hideMark/>
          </w:tcPr>
          <w:p w14:paraId="68A395D6" w14:textId="77777777" w:rsidR="00295BCD" w:rsidRPr="001927D6" w:rsidRDefault="00295BCD">
            <w:pPr>
              <w:spacing w:after="0" w:line="240" w:lineRule="auto"/>
              <w:jc w:val="center"/>
              <w:textAlignment w:val="baseline"/>
              <w:rPr>
                <w:szCs w:val="24"/>
                <w:lang w:eastAsia="et-EE"/>
              </w:rPr>
            </w:pPr>
            <w:r w:rsidRPr="001927D6">
              <w:rPr>
                <w:szCs w:val="24"/>
                <w:lang w:eastAsia="et-EE"/>
              </w:rPr>
              <w:t>340 </w:t>
            </w:r>
          </w:p>
        </w:tc>
        <w:tc>
          <w:tcPr>
            <w:tcW w:w="1243" w:type="dxa"/>
            <w:vAlign w:val="center"/>
          </w:tcPr>
          <w:p w14:paraId="66B82C33" w14:textId="77777777" w:rsidR="00295BCD" w:rsidRPr="001927D6" w:rsidRDefault="00295BCD">
            <w:pPr>
              <w:spacing w:after="0" w:line="240" w:lineRule="auto"/>
              <w:jc w:val="center"/>
              <w:textAlignment w:val="baseline"/>
              <w:rPr>
                <w:szCs w:val="24"/>
                <w:lang w:eastAsia="et-EE"/>
              </w:rPr>
            </w:pPr>
            <w:r w:rsidRPr="001927D6">
              <w:rPr>
                <w:color w:val="000000"/>
                <w:szCs w:val="24"/>
              </w:rPr>
              <w:t>1 229,25</w:t>
            </w:r>
          </w:p>
        </w:tc>
        <w:tc>
          <w:tcPr>
            <w:tcW w:w="1211" w:type="dxa"/>
            <w:vAlign w:val="center"/>
          </w:tcPr>
          <w:p w14:paraId="42848B3A" w14:textId="77777777" w:rsidR="00295BCD" w:rsidRPr="001927D6" w:rsidRDefault="00295BCD">
            <w:pPr>
              <w:spacing w:after="0" w:line="240" w:lineRule="auto"/>
              <w:jc w:val="center"/>
              <w:textAlignment w:val="baseline"/>
              <w:rPr>
                <w:szCs w:val="24"/>
                <w:lang w:eastAsia="et-EE"/>
              </w:rPr>
            </w:pPr>
            <w:r w:rsidRPr="001927D6">
              <w:rPr>
                <w:color w:val="000000"/>
                <w:szCs w:val="24"/>
              </w:rPr>
              <w:t>800,87</w:t>
            </w:r>
          </w:p>
        </w:tc>
        <w:tc>
          <w:tcPr>
            <w:tcW w:w="1238" w:type="dxa"/>
            <w:vAlign w:val="center"/>
          </w:tcPr>
          <w:p w14:paraId="71DDFCB8" w14:textId="77777777" w:rsidR="00295BCD" w:rsidRPr="001927D6" w:rsidRDefault="00295BCD">
            <w:pPr>
              <w:spacing w:after="0" w:line="240" w:lineRule="auto"/>
              <w:jc w:val="center"/>
              <w:textAlignment w:val="baseline"/>
              <w:rPr>
                <w:szCs w:val="24"/>
                <w:lang w:eastAsia="et-EE"/>
              </w:rPr>
            </w:pPr>
            <w:r w:rsidRPr="001927D6">
              <w:rPr>
                <w:color w:val="000000"/>
                <w:szCs w:val="24"/>
              </w:rPr>
              <w:t>1 841,79</w:t>
            </w:r>
          </w:p>
        </w:tc>
      </w:tr>
      <w:tr w:rsidR="00295BCD" w:rsidRPr="001927D6" w14:paraId="785C5F3B" w14:textId="77777777" w:rsidTr="00295BCD">
        <w:trPr>
          <w:divId w:val="1316184749"/>
          <w:trHeight w:val="300"/>
        </w:trPr>
        <w:tc>
          <w:tcPr>
            <w:tcW w:w="4632" w:type="dxa"/>
            <w:vAlign w:val="bottom"/>
            <w:hideMark/>
          </w:tcPr>
          <w:p w14:paraId="4BE98D35" w14:textId="77777777" w:rsidR="00295BCD" w:rsidRPr="001927D6" w:rsidRDefault="00295BCD">
            <w:pPr>
              <w:spacing w:after="0" w:line="240" w:lineRule="auto"/>
              <w:textAlignment w:val="baseline"/>
              <w:rPr>
                <w:szCs w:val="24"/>
                <w:lang w:eastAsia="et-EE"/>
              </w:rPr>
            </w:pPr>
            <w:r w:rsidRPr="001927D6">
              <w:rPr>
                <w:szCs w:val="24"/>
                <w:lang w:eastAsia="et-EE"/>
              </w:rPr>
              <w:t>Operatsioonid munanditel, lühike ravi </w:t>
            </w:r>
          </w:p>
        </w:tc>
        <w:tc>
          <w:tcPr>
            <w:tcW w:w="732" w:type="dxa"/>
            <w:vAlign w:val="center"/>
            <w:hideMark/>
          </w:tcPr>
          <w:p w14:paraId="59DB1147" w14:textId="77777777" w:rsidR="00295BCD" w:rsidRPr="001927D6" w:rsidRDefault="00295BCD">
            <w:pPr>
              <w:spacing w:after="0" w:line="240" w:lineRule="auto"/>
              <w:jc w:val="center"/>
              <w:textAlignment w:val="baseline"/>
              <w:rPr>
                <w:szCs w:val="24"/>
                <w:lang w:eastAsia="et-EE"/>
              </w:rPr>
            </w:pPr>
            <w:r w:rsidRPr="001927D6">
              <w:rPr>
                <w:szCs w:val="24"/>
                <w:lang w:eastAsia="et-EE"/>
              </w:rPr>
              <w:t>340O </w:t>
            </w:r>
          </w:p>
        </w:tc>
        <w:tc>
          <w:tcPr>
            <w:tcW w:w="1243" w:type="dxa"/>
            <w:vAlign w:val="center"/>
          </w:tcPr>
          <w:p w14:paraId="4432C7A1" w14:textId="77777777" w:rsidR="00295BCD" w:rsidRPr="001927D6" w:rsidRDefault="00295BCD">
            <w:pPr>
              <w:spacing w:after="0" w:line="240" w:lineRule="auto"/>
              <w:jc w:val="center"/>
              <w:textAlignment w:val="baseline"/>
              <w:rPr>
                <w:szCs w:val="24"/>
                <w:lang w:eastAsia="et-EE"/>
              </w:rPr>
            </w:pPr>
            <w:r w:rsidRPr="001927D6">
              <w:rPr>
                <w:color w:val="000000"/>
                <w:szCs w:val="24"/>
              </w:rPr>
              <w:t>913,69</w:t>
            </w:r>
          </w:p>
        </w:tc>
        <w:tc>
          <w:tcPr>
            <w:tcW w:w="1211" w:type="dxa"/>
            <w:vAlign w:val="center"/>
          </w:tcPr>
          <w:p w14:paraId="6B214879" w14:textId="77777777" w:rsidR="00295BCD" w:rsidRPr="001927D6" w:rsidRDefault="00295BCD">
            <w:pPr>
              <w:spacing w:after="0" w:line="240" w:lineRule="auto"/>
              <w:jc w:val="center"/>
              <w:textAlignment w:val="baseline"/>
              <w:rPr>
                <w:szCs w:val="24"/>
                <w:lang w:eastAsia="et-EE"/>
              </w:rPr>
            </w:pPr>
            <w:r w:rsidRPr="001927D6">
              <w:rPr>
                <w:color w:val="000000"/>
                <w:szCs w:val="24"/>
              </w:rPr>
              <w:t>708,61</w:t>
            </w:r>
          </w:p>
        </w:tc>
        <w:tc>
          <w:tcPr>
            <w:tcW w:w="1238" w:type="dxa"/>
            <w:vAlign w:val="center"/>
          </w:tcPr>
          <w:p w14:paraId="76E633C1" w14:textId="77777777" w:rsidR="00295BCD" w:rsidRPr="001927D6" w:rsidRDefault="00295BCD">
            <w:pPr>
              <w:spacing w:after="0" w:line="240" w:lineRule="auto"/>
              <w:jc w:val="center"/>
              <w:textAlignment w:val="baseline"/>
              <w:rPr>
                <w:szCs w:val="24"/>
                <w:lang w:eastAsia="et-EE"/>
              </w:rPr>
            </w:pPr>
            <w:r w:rsidRPr="001927D6">
              <w:rPr>
                <w:color w:val="000000"/>
                <w:szCs w:val="24"/>
              </w:rPr>
              <w:t>1 275,99</w:t>
            </w:r>
          </w:p>
        </w:tc>
      </w:tr>
      <w:tr w:rsidR="00295BCD" w:rsidRPr="001927D6" w14:paraId="74EF0C09" w14:textId="77777777" w:rsidTr="00295BCD">
        <w:trPr>
          <w:divId w:val="1316184749"/>
          <w:trHeight w:val="300"/>
        </w:trPr>
        <w:tc>
          <w:tcPr>
            <w:tcW w:w="4632" w:type="dxa"/>
            <w:vAlign w:val="bottom"/>
            <w:hideMark/>
          </w:tcPr>
          <w:p w14:paraId="0ABE5ED6" w14:textId="77777777" w:rsidR="00295BCD" w:rsidRPr="001927D6" w:rsidRDefault="00295BCD">
            <w:pPr>
              <w:spacing w:after="0" w:line="240" w:lineRule="auto"/>
              <w:textAlignment w:val="baseline"/>
              <w:rPr>
                <w:szCs w:val="24"/>
                <w:lang w:eastAsia="et-EE"/>
              </w:rPr>
            </w:pPr>
            <w:r w:rsidRPr="001927D6">
              <w:rPr>
                <w:szCs w:val="24"/>
                <w:lang w:eastAsia="et-EE"/>
              </w:rPr>
              <w:t>Peenise operatsioonid </w:t>
            </w:r>
          </w:p>
        </w:tc>
        <w:tc>
          <w:tcPr>
            <w:tcW w:w="732" w:type="dxa"/>
            <w:vAlign w:val="center"/>
            <w:hideMark/>
          </w:tcPr>
          <w:p w14:paraId="4448E9B8" w14:textId="77777777" w:rsidR="00295BCD" w:rsidRPr="001927D6" w:rsidRDefault="00295BCD">
            <w:pPr>
              <w:spacing w:after="0" w:line="240" w:lineRule="auto"/>
              <w:jc w:val="center"/>
              <w:textAlignment w:val="baseline"/>
              <w:rPr>
                <w:szCs w:val="24"/>
                <w:lang w:eastAsia="et-EE"/>
              </w:rPr>
            </w:pPr>
            <w:r w:rsidRPr="001927D6">
              <w:rPr>
                <w:szCs w:val="24"/>
                <w:lang w:eastAsia="et-EE"/>
              </w:rPr>
              <w:t>341 </w:t>
            </w:r>
          </w:p>
        </w:tc>
        <w:tc>
          <w:tcPr>
            <w:tcW w:w="1243" w:type="dxa"/>
            <w:vAlign w:val="center"/>
          </w:tcPr>
          <w:p w14:paraId="3C3B179A" w14:textId="77777777" w:rsidR="00295BCD" w:rsidRPr="001927D6" w:rsidRDefault="00295BCD">
            <w:pPr>
              <w:spacing w:after="0" w:line="240" w:lineRule="auto"/>
              <w:jc w:val="center"/>
              <w:textAlignment w:val="baseline"/>
              <w:rPr>
                <w:szCs w:val="24"/>
                <w:lang w:eastAsia="et-EE"/>
              </w:rPr>
            </w:pPr>
            <w:r w:rsidRPr="001927D6">
              <w:rPr>
                <w:color w:val="000000"/>
                <w:szCs w:val="24"/>
              </w:rPr>
              <w:t>2 699,34</w:t>
            </w:r>
          </w:p>
        </w:tc>
        <w:tc>
          <w:tcPr>
            <w:tcW w:w="1211" w:type="dxa"/>
            <w:vAlign w:val="center"/>
          </w:tcPr>
          <w:p w14:paraId="42054E08" w14:textId="77777777" w:rsidR="00295BCD" w:rsidRPr="001927D6" w:rsidRDefault="00295BCD">
            <w:pPr>
              <w:spacing w:after="0" w:line="240" w:lineRule="auto"/>
              <w:jc w:val="center"/>
              <w:textAlignment w:val="baseline"/>
              <w:rPr>
                <w:szCs w:val="24"/>
                <w:lang w:eastAsia="et-EE"/>
              </w:rPr>
            </w:pPr>
            <w:r w:rsidRPr="001927D6">
              <w:rPr>
                <w:color w:val="000000"/>
                <w:szCs w:val="24"/>
              </w:rPr>
              <w:t>837,81</w:t>
            </w:r>
          </w:p>
        </w:tc>
        <w:tc>
          <w:tcPr>
            <w:tcW w:w="1238" w:type="dxa"/>
            <w:vAlign w:val="center"/>
          </w:tcPr>
          <w:p w14:paraId="608F4FA3" w14:textId="77777777" w:rsidR="00295BCD" w:rsidRPr="001927D6" w:rsidRDefault="00295BCD">
            <w:pPr>
              <w:spacing w:after="0" w:line="240" w:lineRule="auto"/>
              <w:jc w:val="center"/>
              <w:textAlignment w:val="baseline"/>
              <w:rPr>
                <w:szCs w:val="24"/>
                <w:lang w:eastAsia="et-EE"/>
              </w:rPr>
            </w:pPr>
            <w:r w:rsidRPr="001927D6">
              <w:rPr>
                <w:color w:val="000000"/>
                <w:szCs w:val="24"/>
              </w:rPr>
              <w:t>4 404,23</w:t>
            </w:r>
          </w:p>
        </w:tc>
      </w:tr>
      <w:tr w:rsidR="00295BCD" w:rsidRPr="001927D6" w14:paraId="4450A76C" w14:textId="77777777" w:rsidTr="00295BCD">
        <w:trPr>
          <w:divId w:val="1316184749"/>
          <w:trHeight w:val="300"/>
        </w:trPr>
        <w:tc>
          <w:tcPr>
            <w:tcW w:w="4632" w:type="dxa"/>
            <w:vAlign w:val="bottom"/>
            <w:hideMark/>
          </w:tcPr>
          <w:p w14:paraId="11AD9DB9" w14:textId="77777777" w:rsidR="00295BCD" w:rsidRPr="001927D6" w:rsidRDefault="00295BCD">
            <w:pPr>
              <w:spacing w:after="0" w:line="240" w:lineRule="auto"/>
              <w:textAlignment w:val="baseline"/>
              <w:rPr>
                <w:szCs w:val="24"/>
                <w:lang w:eastAsia="et-EE"/>
              </w:rPr>
            </w:pPr>
            <w:r w:rsidRPr="001927D6">
              <w:rPr>
                <w:szCs w:val="24"/>
                <w:lang w:eastAsia="et-EE"/>
              </w:rPr>
              <w:t>Peenise operatsioonid, lühike ravi </w:t>
            </w:r>
          </w:p>
        </w:tc>
        <w:tc>
          <w:tcPr>
            <w:tcW w:w="732" w:type="dxa"/>
            <w:vAlign w:val="center"/>
            <w:hideMark/>
          </w:tcPr>
          <w:p w14:paraId="4C887DC6" w14:textId="77777777" w:rsidR="00295BCD" w:rsidRPr="001927D6" w:rsidRDefault="00295BCD">
            <w:pPr>
              <w:spacing w:after="0" w:line="240" w:lineRule="auto"/>
              <w:jc w:val="center"/>
              <w:textAlignment w:val="baseline"/>
              <w:rPr>
                <w:szCs w:val="24"/>
                <w:lang w:eastAsia="et-EE"/>
              </w:rPr>
            </w:pPr>
            <w:r w:rsidRPr="001927D6">
              <w:rPr>
                <w:szCs w:val="24"/>
                <w:lang w:eastAsia="et-EE"/>
              </w:rPr>
              <w:t>341O </w:t>
            </w:r>
          </w:p>
        </w:tc>
        <w:tc>
          <w:tcPr>
            <w:tcW w:w="1243" w:type="dxa"/>
            <w:vAlign w:val="center"/>
          </w:tcPr>
          <w:p w14:paraId="2B4DFE48" w14:textId="77777777" w:rsidR="00295BCD" w:rsidRPr="001927D6" w:rsidRDefault="00295BCD">
            <w:pPr>
              <w:spacing w:after="0" w:line="240" w:lineRule="auto"/>
              <w:jc w:val="center"/>
              <w:textAlignment w:val="baseline"/>
              <w:rPr>
                <w:szCs w:val="24"/>
                <w:lang w:eastAsia="et-EE"/>
              </w:rPr>
            </w:pPr>
            <w:r w:rsidRPr="001927D6">
              <w:rPr>
                <w:color w:val="000000"/>
                <w:szCs w:val="24"/>
              </w:rPr>
              <w:t>745,91</w:t>
            </w:r>
          </w:p>
        </w:tc>
        <w:tc>
          <w:tcPr>
            <w:tcW w:w="1211" w:type="dxa"/>
            <w:vAlign w:val="center"/>
          </w:tcPr>
          <w:p w14:paraId="6A20D277" w14:textId="77777777" w:rsidR="00295BCD" w:rsidRPr="001927D6" w:rsidRDefault="00295BCD">
            <w:pPr>
              <w:spacing w:after="0" w:line="240" w:lineRule="auto"/>
              <w:jc w:val="center"/>
              <w:textAlignment w:val="baseline"/>
              <w:rPr>
                <w:szCs w:val="24"/>
                <w:lang w:eastAsia="et-EE"/>
              </w:rPr>
            </w:pPr>
            <w:r w:rsidRPr="001927D6">
              <w:rPr>
                <w:color w:val="000000"/>
                <w:szCs w:val="24"/>
              </w:rPr>
              <w:t>511,47</w:t>
            </w:r>
          </w:p>
        </w:tc>
        <w:tc>
          <w:tcPr>
            <w:tcW w:w="1238" w:type="dxa"/>
            <w:vAlign w:val="center"/>
          </w:tcPr>
          <w:p w14:paraId="083715EC" w14:textId="77777777" w:rsidR="00295BCD" w:rsidRPr="001927D6" w:rsidRDefault="00295BCD">
            <w:pPr>
              <w:spacing w:after="0" w:line="240" w:lineRule="auto"/>
              <w:jc w:val="center"/>
              <w:textAlignment w:val="baseline"/>
              <w:rPr>
                <w:szCs w:val="24"/>
                <w:lang w:eastAsia="et-EE"/>
              </w:rPr>
            </w:pPr>
            <w:r w:rsidRPr="001927D6">
              <w:rPr>
                <w:color w:val="000000"/>
                <w:szCs w:val="24"/>
              </w:rPr>
              <w:t>994,50</w:t>
            </w:r>
          </w:p>
        </w:tc>
      </w:tr>
      <w:tr w:rsidR="00295BCD" w:rsidRPr="001927D6" w14:paraId="4AE23947" w14:textId="77777777" w:rsidTr="00295BCD">
        <w:trPr>
          <w:divId w:val="1316184749"/>
          <w:trHeight w:val="300"/>
        </w:trPr>
        <w:tc>
          <w:tcPr>
            <w:tcW w:w="4632" w:type="dxa"/>
            <w:vAlign w:val="bottom"/>
            <w:hideMark/>
          </w:tcPr>
          <w:p w14:paraId="6533A5E9" w14:textId="77777777" w:rsidR="00295BCD" w:rsidRPr="001927D6" w:rsidRDefault="00295BCD">
            <w:pPr>
              <w:spacing w:after="0" w:line="240" w:lineRule="auto"/>
              <w:textAlignment w:val="baseline"/>
              <w:rPr>
                <w:szCs w:val="24"/>
                <w:lang w:eastAsia="et-EE"/>
              </w:rPr>
            </w:pPr>
            <w:r w:rsidRPr="001927D6">
              <w:rPr>
                <w:szCs w:val="24"/>
                <w:lang w:eastAsia="et-EE"/>
              </w:rPr>
              <w:t>Tsirkumtsisioon </w:t>
            </w:r>
          </w:p>
        </w:tc>
        <w:tc>
          <w:tcPr>
            <w:tcW w:w="732" w:type="dxa"/>
            <w:vAlign w:val="center"/>
            <w:hideMark/>
          </w:tcPr>
          <w:p w14:paraId="0970C705" w14:textId="77777777" w:rsidR="00295BCD" w:rsidRPr="001927D6" w:rsidRDefault="00295BCD">
            <w:pPr>
              <w:spacing w:after="0" w:line="240" w:lineRule="auto"/>
              <w:jc w:val="center"/>
              <w:textAlignment w:val="baseline"/>
              <w:rPr>
                <w:szCs w:val="24"/>
                <w:lang w:eastAsia="et-EE"/>
              </w:rPr>
            </w:pPr>
            <w:r w:rsidRPr="001927D6">
              <w:rPr>
                <w:szCs w:val="24"/>
                <w:lang w:eastAsia="et-EE"/>
              </w:rPr>
              <w:t>342N </w:t>
            </w:r>
          </w:p>
        </w:tc>
        <w:tc>
          <w:tcPr>
            <w:tcW w:w="1243" w:type="dxa"/>
            <w:vAlign w:val="center"/>
          </w:tcPr>
          <w:p w14:paraId="468FC975" w14:textId="77777777" w:rsidR="00295BCD" w:rsidRPr="001927D6" w:rsidRDefault="00295BCD">
            <w:pPr>
              <w:spacing w:after="0" w:line="240" w:lineRule="auto"/>
              <w:jc w:val="center"/>
              <w:textAlignment w:val="baseline"/>
              <w:rPr>
                <w:szCs w:val="24"/>
                <w:lang w:eastAsia="et-EE"/>
              </w:rPr>
            </w:pPr>
            <w:r w:rsidRPr="001927D6">
              <w:rPr>
                <w:color w:val="000000"/>
                <w:szCs w:val="24"/>
              </w:rPr>
              <w:t>983,05</w:t>
            </w:r>
          </w:p>
        </w:tc>
        <w:tc>
          <w:tcPr>
            <w:tcW w:w="1211" w:type="dxa"/>
            <w:vAlign w:val="center"/>
          </w:tcPr>
          <w:p w14:paraId="153061A7" w14:textId="77777777" w:rsidR="00295BCD" w:rsidRPr="001927D6" w:rsidRDefault="00295BCD">
            <w:pPr>
              <w:spacing w:after="0" w:line="240" w:lineRule="auto"/>
              <w:jc w:val="center"/>
              <w:textAlignment w:val="baseline"/>
              <w:rPr>
                <w:szCs w:val="24"/>
                <w:lang w:eastAsia="et-EE"/>
              </w:rPr>
            </w:pPr>
            <w:r w:rsidRPr="001927D6">
              <w:rPr>
                <w:color w:val="000000"/>
                <w:szCs w:val="24"/>
              </w:rPr>
              <w:t>763,52</w:t>
            </w:r>
          </w:p>
        </w:tc>
        <w:tc>
          <w:tcPr>
            <w:tcW w:w="1238" w:type="dxa"/>
            <w:vAlign w:val="center"/>
          </w:tcPr>
          <w:p w14:paraId="7C1EF677" w14:textId="77777777" w:rsidR="00295BCD" w:rsidRPr="001927D6" w:rsidRDefault="00295BCD">
            <w:pPr>
              <w:spacing w:after="0" w:line="240" w:lineRule="auto"/>
              <w:jc w:val="center"/>
              <w:textAlignment w:val="baseline"/>
              <w:rPr>
                <w:szCs w:val="24"/>
                <w:lang w:eastAsia="et-EE"/>
              </w:rPr>
            </w:pPr>
            <w:r w:rsidRPr="001927D6">
              <w:rPr>
                <w:color w:val="000000"/>
                <w:szCs w:val="24"/>
              </w:rPr>
              <w:t>1 370,88</w:t>
            </w:r>
          </w:p>
        </w:tc>
      </w:tr>
      <w:tr w:rsidR="00295BCD" w:rsidRPr="001927D6" w14:paraId="3B180D0A" w14:textId="77777777" w:rsidTr="00295BCD">
        <w:trPr>
          <w:divId w:val="1316184749"/>
          <w:trHeight w:val="300"/>
        </w:trPr>
        <w:tc>
          <w:tcPr>
            <w:tcW w:w="4632" w:type="dxa"/>
            <w:vAlign w:val="bottom"/>
            <w:hideMark/>
          </w:tcPr>
          <w:p w14:paraId="63BC30FB" w14:textId="77777777" w:rsidR="00295BCD" w:rsidRPr="001927D6" w:rsidRDefault="00295BCD">
            <w:pPr>
              <w:spacing w:after="0" w:line="240" w:lineRule="auto"/>
              <w:textAlignment w:val="baseline"/>
              <w:rPr>
                <w:szCs w:val="24"/>
                <w:lang w:eastAsia="et-EE"/>
              </w:rPr>
            </w:pPr>
            <w:r w:rsidRPr="001927D6">
              <w:rPr>
                <w:szCs w:val="24"/>
                <w:lang w:eastAsia="et-EE"/>
              </w:rPr>
              <w:t>Tsirkumtsisioon, lühike ravi </w:t>
            </w:r>
          </w:p>
        </w:tc>
        <w:tc>
          <w:tcPr>
            <w:tcW w:w="732" w:type="dxa"/>
            <w:vAlign w:val="center"/>
            <w:hideMark/>
          </w:tcPr>
          <w:p w14:paraId="45B0055E" w14:textId="77777777" w:rsidR="00295BCD" w:rsidRPr="001927D6" w:rsidRDefault="00295BCD">
            <w:pPr>
              <w:spacing w:after="0" w:line="240" w:lineRule="auto"/>
              <w:jc w:val="center"/>
              <w:textAlignment w:val="baseline"/>
              <w:rPr>
                <w:szCs w:val="24"/>
                <w:lang w:eastAsia="et-EE"/>
              </w:rPr>
            </w:pPr>
            <w:r w:rsidRPr="001927D6">
              <w:rPr>
                <w:szCs w:val="24"/>
                <w:lang w:eastAsia="et-EE"/>
              </w:rPr>
              <w:t>343O </w:t>
            </w:r>
          </w:p>
        </w:tc>
        <w:tc>
          <w:tcPr>
            <w:tcW w:w="1243" w:type="dxa"/>
            <w:vAlign w:val="center"/>
          </w:tcPr>
          <w:p w14:paraId="0CCACE7A" w14:textId="77777777" w:rsidR="00295BCD" w:rsidRPr="001927D6" w:rsidRDefault="00295BCD">
            <w:pPr>
              <w:spacing w:after="0" w:line="240" w:lineRule="auto"/>
              <w:jc w:val="center"/>
              <w:textAlignment w:val="baseline"/>
              <w:rPr>
                <w:szCs w:val="24"/>
                <w:lang w:eastAsia="et-EE"/>
              </w:rPr>
            </w:pPr>
            <w:r w:rsidRPr="001927D6">
              <w:rPr>
                <w:color w:val="000000"/>
                <w:szCs w:val="24"/>
              </w:rPr>
              <w:t>758,40</w:t>
            </w:r>
          </w:p>
        </w:tc>
        <w:tc>
          <w:tcPr>
            <w:tcW w:w="1211" w:type="dxa"/>
            <w:vAlign w:val="center"/>
          </w:tcPr>
          <w:p w14:paraId="5B5FE44D" w14:textId="77777777" w:rsidR="00295BCD" w:rsidRPr="001927D6" w:rsidRDefault="00295BCD">
            <w:pPr>
              <w:spacing w:after="0" w:line="240" w:lineRule="auto"/>
              <w:jc w:val="center"/>
              <w:textAlignment w:val="baseline"/>
              <w:rPr>
                <w:szCs w:val="24"/>
                <w:lang w:eastAsia="et-EE"/>
              </w:rPr>
            </w:pPr>
            <w:r w:rsidRPr="001927D6">
              <w:rPr>
                <w:color w:val="000000"/>
                <w:szCs w:val="24"/>
              </w:rPr>
              <w:t>671,77</w:t>
            </w:r>
          </w:p>
        </w:tc>
        <w:tc>
          <w:tcPr>
            <w:tcW w:w="1238" w:type="dxa"/>
            <w:vAlign w:val="center"/>
          </w:tcPr>
          <w:p w14:paraId="08C650D7" w14:textId="77777777" w:rsidR="00295BCD" w:rsidRPr="001927D6" w:rsidRDefault="00295BCD">
            <w:pPr>
              <w:spacing w:after="0" w:line="240" w:lineRule="auto"/>
              <w:jc w:val="center"/>
              <w:textAlignment w:val="baseline"/>
              <w:rPr>
                <w:szCs w:val="24"/>
                <w:lang w:eastAsia="et-EE"/>
              </w:rPr>
            </w:pPr>
            <w:r w:rsidRPr="001927D6">
              <w:rPr>
                <w:color w:val="000000"/>
                <w:szCs w:val="24"/>
              </w:rPr>
              <w:t>892,28</w:t>
            </w:r>
          </w:p>
        </w:tc>
      </w:tr>
      <w:tr w:rsidR="00295BCD" w:rsidRPr="001927D6" w14:paraId="5225F7AD" w14:textId="77777777" w:rsidTr="00295BCD">
        <w:trPr>
          <w:divId w:val="1316184749"/>
          <w:trHeight w:val="300"/>
        </w:trPr>
        <w:tc>
          <w:tcPr>
            <w:tcW w:w="4632" w:type="dxa"/>
            <w:vAlign w:val="bottom"/>
            <w:hideMark/>
          </w:tcPr>
          <w:p w14:paraId="24B916AB" w14:textId="77777777" w:rsidR="00295BCD" w:rsidRPr="001927D6" w:rsidRDefault="00295BCD">
            <w:pPr>
              <w:spacing w:after="0" w:line="240" w:lineRule="auto"/>
              <w:textAlignment w:val="baseline"/>
              <w:rPr>
                <w:szCs w:val="24"/>
                <w:lang w:eastAsia="et-EE"/>
              </w:rPr>
            </w:pPr>
            <w:r w:rsidRPr="001927D6">
              <w:rPr>
                <w:szCs w:val="24"/>
                <w:lang w:eastAsia="et-EE"/>
              </w:rPr>
              <w:t>Muud operatsioonid mehe reproduktiivsüsteemi pahaloomuliste kasvajate korral </w:t>
            </w:r>
          </w:p>
        </w:tc>
        <w:tc>
          <w:tcPr>
            <w:tcW w:w="732" w:type="dxa"/>
            <w:vAlign w:val="center"/>
            <w:hideMark/>
          </w:tcPr>
          <w:p w14:paraId="6BA77662" w14:textId="77777777" w:rsidR="00295BCD" w:rsidRPr="001927D6" w:rsidRDefault="00295BCD">
            <w:pPr>
              <w:spacing w:after="0" w:line="240" w:lineRule="auto"/>
              <w:jc w:val="center"/>
              <w:textAlignment w:val="baseline"/>
              <w:rPr>
                <w:szCs w:val="24"/>
                <w:lang w:eastAsia="et-EE"/>
              </w:rPr>
            </w:pPr>
            <w:r w:rsidRPr="001927D6">
              <w:rPr>
                <w:szCs w:val="24"/>
                <w:lang w:eastAsia="et-EE"/>
              </w:rPr>
              <w:t>344 </w:t>
            </w:r>
          </w:p>
        </w:tc>
        <w:tc>
          <w:tcPr>
            <w:tcW w:w="1243" w:type="dxa"/>
            <w:vAlign w:val="center"/>
          </w:tcPr>
          <w:p w14:paraId="12758CC2" w14:textId="77777777" w:rsidR="00295BCD" w:rsidRPr="001927D6" w:rsidRDefault="00295BCD">
            <w:pPr>
              <w:spacing w:after="0" w:line="240" w:lineRule="auto"/>
              <w:jc w:val="center"/>
              <w:textAlignment w:val="baseline"/>
              <w:rPr>
                <w:szCs w:val="24"/>
                <w:lang w:eastAsia="et-EE"/>
              </w:rPr>
            </w:pPr>
            <w:r w:rsidRPr="001927D6">
              <w:rPr>
                <w:color w:val="000000"/>
                <w:szCs w:val="24"/>
              </w:rPr>
              <w:t>3 821,13</w:t>
            </w:r>
          </w:p>
        </w:tc>
        <w:tc>
          <w:tcPr>
            <w:tcW w:w="1211" w:type="dxa"/>
            <w:vAlign w:val="center"/>
          </w:tcPr>
          <w:p w14:paraId="42A5AB65" w14:textId="77777777" w:rsidR="00295BCD" w:rsidRPr="001927D6" w:rsidRDefault="00295BCD">
            <w:pPr>
              <w:spacing w:after="0" w:line="240" w:lineRule="auto"/>
              <w:jc w:val="center"/>
              <w:textAlignment w:val="baseline"/>
              <w:rPr>
                <w:szCs w:val="24"/>
                <w:lang w:eastAsia="et-EE"/>
              </w:rPr>
            </w:pPr>
            <w:r w:rsidRPr="001927D6">
              <w:rPr>
                <w:color w:val="000000"/>
                <w:szCs w:val="24"/>
              </w:rPr>
              <w:t>1 471,10</w:t>
            </w:r>
          </w:p>
        </w:tc>
        <w:tc>
          <w:tcPr>
            <w:tcW w:w="1238" w:type="dxa"/>
            <w:vAlign w:val="center"/>
          </w:tcPr>
          <w:p w14:paraId="68AD0F04" w14:textId="77777777" w:rsidR="00295BCD" w:rsidRPr="001927D6" w:rsidRDefault="00295BCD">
            <w:pPr>
              <w:spacing w:after="0" w:line="240" w:lineRule="auto"/>
              <w:jc w:val="center"/>
              <w:textAlignment w:val="baseline"/>
              <w:rPr>
                <w:szCs w:val="24"/>
                <w:lang w:eastAsia="et-EE"/>
              </w:rPr>
            </w:pPr>
            <w:r w:rsidRPr="001927D6">
              <w:rPr>
                <w:color w:val="000000"/>
                <w:szCs w:val="24"/>
              </w:rPr>
              <w:t>13 143,42</w:t>
            </w:r>
          </w:p>
        </w:tc>
      </w:tr>
      <w:tr w:rsidR="00295BCD" w:rsidRPr="001927D6" w14:paraId="70689967" w14:textId="77777777" w:rsidTr="00295BCD">
        <w:trPr>
          <w:divId w:val="1316184749"/>
          <w:trHeight w:val="300"/>
        </w:trPr>
        <w:tc>
          <w:tcPr>
            <w:tcW w:w="4632" w:type="dxa"/>
            <w:vAlign w:val="bottom"/>
            <w:hideMark/>
          </w:tcPr>
          <w:p w14:paraId="159B7EEB" w14:textId="77777777" w:rsidR="00295BCD" w:rsidRPr="001927D6" w:rsidRDefault="00295BCD">
            <w:pPr>
              <w:spacing w:after="0" w:line="240" w:lineRule="auto"/>
              <w:textAlignment w:val="baseline"/>
              <w:rPr>
                <w:szCs w:val="24"/>
                <w:lang w:eastAsia="et-EE"/>
              </w:rPr>
            </w:pPr>
            <w:r w:rsidRPr="001927D6">
              <w:rPr>
                <w:szCs w:val="24"/>
                <w:lang w:eastAsia="et-EE"/>
              </w:rPr>
              <w:t>Muud operatsioonid mehe reproduktiivsüsteemi kasvajate, v.a pahaloomuliste kasvajate korral </w:t>
            </w:r>
          </w:p>
        </w:tc>
        <w:tc>
          <w:tcPr>
            <w:tcW w:w="732" w:type="dxa"/>
            <w:vAlign w:val="center"/>
            <w:hideMark/>
          </w:tcPr>
          <w:p w14:paraId="0960B366" w14:textId="77777777" w:rsidR="00295BCD" w:rsidRPr="001927D6" w:rsidRDefault="00295BCD">
            <w:pPr>
              <w:spacing w:after="0" w:line="240" w:lineRule="auto"/>
              <w:jc w:val="center"/>
              <w:textAlignment w:val="baseline"/>
              <w:rPr>
                <w:szCs w:val="24"/>
                <w:lang w:eastAsia="et-EE"/>
              </w:rPr>
            </w:pPr>
            <w:r w:rsidRPr="001927D6">
              <w:rPr>
                <w:szCs w:val="24"/>
                <w:lang w:eastAsia="et-EE"/>
              </w:rPr>
              <w:t>345 </w:t>
            </w:r>
          </w:p>
        </w:tc>
        <w:tc>
          <w:tcPr>
            <w:tcW w:w="1243" w:type="dxa"/>
            <w:vAlign w:val="center"/>
          </w:tcPr>
          <w:p w14:paraId="5DCF021B" w14:textId="77777777" w:rsidR="00295BCD" w:rsidRPr="001927D6" w:rsidRDefault="00295BCD">
            <w:pPr>
              <w:spacing w:after="0" w:line="240" w:lineRule="auto"/>
              <w:jc w:val="center"/>
              <w:textAlignment w:val="baseline"/>
              <w:rPr>
                <w:szCs w:val="24"/>
                <w:lang w:eastAsia="et-EE"/>
              </w:rPr>
            </w:pPr>
            <w:r w:rsidRPr="001927D6">
              <w:rPr>
                <w:color w:val="000000"/>
                <w:szCs w:val="24"/>
              </w:rPr>
              <w:t>2 080,91</w:t>
            </w:r>
          </w:p>
        </w:tc>
        <w:tc>
          <w:tcPr>
            <w:tcW w:w="1211" w:type="dxa"/>
            <w:vAlign w:val="center"/>
          </w:tcPr>
          <w:p w14:paraId="6990AC88" w14:textId="77777777" w:rsidR="00295BCD" w:rsidRPr="001927D6" w:rsidRDefault="00295BCD">
            <w:pPr>
              <w:spacing w:after="0" w:line="240" w:lineRule="auto"/>
              <w:jc w:val="center"/>
              <w:textAlignment w:val="baseline"/>
              <w:rPr>
                <w:szCs w:val="24"/>
                <w:lang w:eastAsia="et-EE"/>
              </w:rPr>
            </w:pPr>
            <w:r w:rsidRPr="001927D6">
              <w:rPr>
                <w:color w:val="000000"/>
                <w:szCs w:val="24"/>
              </w:rPr>
              <w:t>706,51</w:t>
            </w:r>
          </w:p>
        </w:tc>
        <w:tc>
          <w:tcPr>
            <w:tcW w:w="1238" w:type="dxa"/>
            <w:vAlign w:val="center"/>
          </w:tcPr>
          <w:p w14:paraId="6E37DEBB" w14:textId="77777777" w:rsidR="00295BCD" w:rsidRPr="001927D6" w:rsidRDefault="00295BCD">
            <w:pPr>
              <w:spacing w:after="0" w:line="240" w:lineRule="auto"/>
              <w:jc w:val="center"/>
              <w:textAlignment w:val="baseline"/>
              <w:rPr>
                <w:szCs w:val="24"/>
                <w:lang w:eastAsia="et-EE"/>
              </w:rPr>
            </w:pPr>
            <w:r w:rsidRPr="001927D6">
              <w:rPr>
                <w:color w:val="000000"/>
                <w:szCs w:val="24"/>
              </w:rPr>
              <w:t>4 672,91</w:t>
            </w:r>
          </w:p>
        </w:tc>
      </w:tr>
      <w:tr w:rsidR="00295BCD" w:rsidRPr="001927D6" w14:paraId="24270B88" w14:textId="77777777" w:rsidTr="00295BCD">
        <w:trPr>
          <w:divId w:val="1316184749"/>
          <w:trHeight w:val="300"/>
        </w:trPr>
        <w:tc>
          <w:tcPr>
            <w:tcW w:w="4632" w:type="dxa"/>
            <w:vAlign w:val="bottom"/>
            <w:hideMark/>
          </w:tcPr>
          <w:p w14:paraId="77D1ECCA" w14:textId="77777777" w:rsidR="00295BCD" w:rsidRPr="001927D6" w:rsidRDefault="00295BCD">
            <w:pPr>
              <w:spacing w:after="0" w:line="240" w:lineRule="auto"/>
              <w:textAlignment w:val="baseline"/>
              <w:rPr>
                <w:szCs w:val="24"/>
                <w:lang w:eastAsia="et-EE"/>
              </w:rPr>
            </w:pPr>
            <w:r w:rsidRPr="001927D6">
              <w:rPr>
                <w:szCs w:val="24"/>
                <w:lang w:eastAsia="et-EE"/>
              </w:rPr>
              <w:t>Muud mehe reproduktiivsüsteemi operatsioonid, lühike ravi </w:t>
            </w:r>
          </w:p>
        </w:tc>
        <w:tc>
          <w:tcPr>
            <w:tcW w:w="732" w:type="dxa"/>
            <w:vAlign w:val="center"/>
            <w:hideMark/>
          </w:tcPr>
          <w:p w14:paraId="4B7602A2" w14:textId="77777777" w:rsidR="00295BCD" w:rsidRPr="001927D6" w:rsidRDefault="00295BCD">
            <w:pPr>
              <w:spacing w:after="0" w:line="240" w:lineRule="auto"/>
              <w:jc w:val="center"/>
              <w:textAlignment w:val="baseline"/>
              <w:rPr>
                <w:szCs w:val="24"/>
                <w:lang w:eastAsia="et-EE"/>
              </w:rPr>
            </w:pPr>
            <w:r w:rsidRPr="001927D6">
              <w:rPr>
                <w:szCs w:val="24"/>
                <w:lang w:eastAsia="et-EE"/>
              </w:rPr>
              <w:t>345O </w:t>
            </w:r>
          </w:p>
        </w:tc>
        <w:tc>
          <w:tcPr>
            <w:tcW w:w="1243" w:type="dxa"/>
            <w:vAlign w:val="center"/>
          </w:tcPr>
          <w:p w14:paraId="094FE76F" w14:textId="77777777" w:rsidR="00295BCD" w:rsidRPr="001927D6" w:rsidRDefault="00295BCD">
            <w:pPr>
              <w:spacing w:after="0" w:line="240" w:lineRule="auto"/>
              <w:jc w:val="center"/>
              <w:textAlignment w:val="baseline"/>
              <w:rPr>
                <w:szCs w:val="24"/>
                <w:lang w:eastAsia="et-EE"/>
              </w:rPr>
            </w:pPr>
            <w:r w:rsidRPr="001927D6">
              <w:rPr>
                <w:color w:val="000000"/>
                <w:szCs w:val="24"/>
              </w:rPr>
              <w:t>1 068,99</w:t>
            </w:r>
          </w:p>
        </w:tc>
        <w:tc>
          <w:tcPr>
            <w:tcW w:w="1211" w:type="dxa"/>
            <w:vAlign w:val="center"/>
          </w:tcPr>
          <w:p w14:paraId="596E33FC" w14:textId="77777777" w:rsidR="00295BCD" w:rsidRPr="001927D6" w:rsidRDefault="00295BCD">
            <w:pPr>
              <w:spacing w:after="0" w:line="240" w:lineRule="auto"/>
              <w:jc w:val="center"/>
              <w:textAlignment w:val="baseline"/>
              <w:rPr>
                <w:szCs w:val="24"/>
                <w:lang w:eastAsia="et-EE"/>
              </w:rPr>
            </w:pPr>
            <w:r w:rsidRPr="001927D6">
              <w:rPr>
                <w:color w:val="000000"/>
                <w:szCs w:val="24"/>
              </w:rPr>
              <w:t>734,11</w:t>
            </w:r>
          </w:p>
        </w:tc>
        <w:tc>
          <w:tcPr>
            <w:tcW w:w="1238" w:type="dxa"/>
            <w:vAlign w:val="center"/>
          </w:tcPr>
          <w:p w14:paraId="73CD4042" w14:textId="77777777" w:rsidR="00295BCD" w:rsidRPr="001927D6" w:rsidRDefault="00295BCD">
            <w:pPr>
              <w:spacing w:after="0" w:line="240" w:lineRule="auto"/>
              <w:jc w:val="center"/>
              <w:textAlignment w:val="baseline"/>
              <w:rPr>
                <w:szCs w:val="24"/>
                <w:lang w:eastAsia="et-EE"/>
              </w:rPr>
            </w:pPr>
            <w:r w:rsidRPr="001927D6">
              <w:rPr>
                <w:color w:val="000000"/>
                <w:szCs w:val="24"/>
              </w:rPr>
              <w:t>1 397,33</w:t>
            </w:r>
          </w:p>
        </w:tc>
      </w:tr>
      <w:tr w:rsidR="00295BCD" w:rsidRPr="001927D6" w14:paraId="581283BC" w14:textId="77777777" w:rsidTr="00295BCD">
        <w:trPr>
          <w:divId w:val="1316184749"/>
          <w:trHeight w:val="300"/>
        </w:trPr>
        <w:tc>
          <w:tcPr>
            <w:tcW w:w="4632" w:type="dxa"/>
            <w:vAlign w:val="bottom"/>
            <w:hideMark/>
          </w:tcPr>
          <w:p w14:paraId="08F21516" w14:textId="77777777" w:rsidR="00295BCD" w:rsidRPr="001927D6" w:rsidRDefault="00295BCD">
            <w:pPr>
              <w:spacing w:after="0" w:line="240" w:lineRule="auto"/>
              <w:textAlignment w:val="baseline"/>
              <w:rPr>
                <w:szCs w:val="24"/>
                <w:lang w:eastAsia="et-EE"/>
              </w:rPr>
            </w:pPr>
            <w:r w:rsidRPr="001927D6">
              <w:rPr>
                <w:szCs w:val="24"/>
                <w:lang w:eastAsia="et-EE"/>
              </w:rPr>
              <w:t>Mehe reproduktiivsüsteemi pahaloomulised kasvajad, kht-ga </w:t>
            </w:r>
          </w:p>
        </w:tc>
        <w:tc>
          <w:tcPr>
            <w:tcW w:w="732" w:type="dxa"/>
            <w:vAlign w:val="center"/>
            <w:hideMark/>
          </w:tcPr>
          <w:p w14:paraId="4A1F94B4" w14:textId="77777777" w:rsidR="00295BCD" w:rsidRPr="001927D6" w:rsidRDefault="00295BCD">
            <w:pPr>
              <w:spacing w:after="0" w:line="240" w:lineRule="auto"/>
              <w:jc w:val="center"/>
              <w:textAlignment w:val="baseline"/>
              <w:rPr>
                <w:szCs w:val="24"/>
                <w:lang w:eastAsia="et-EE"/>
              </w:rPr>
            </w:pPr>
            <w:r w:rsidRPr="001927D6">
              <w:rPr>
                <w:szCs w:val="24"/>
                <w:lang w:eastAsia="et-EE"/>
              </w:rPr>
              <w:t>346 </w:t>
            </w:r>
          </w:p>
        </w:tc>
        <w:tc>
          <w:tcPr>
            <w:tcW w:w="1243" w:type="dxa"/>
            <w:vAlign w:val="center"/>
          </w:tcPr>
          <w:p w14:paraId="3898A192" w14:textId="77777777" w:rsidR="00295BCD" w:rsidRPr="001927D6" w:rsidRDefault="00295BCD">
            <w:pPr>
              <w:spacing w:after="0" w:line="240" w:lineRule="auto"/>
              <w:jc w:val="center"/>
              <w:textAlignment w:val="baseline"/>
              <w:rPr>
                <w:szCs w:val="24"/>
                <w:lang w:eastAsia="et-EE"/>
              </w:rPr>
            </w:pPr>
            <w:r w:rsidRPr="001927D6">
              <w:rPr>
                <w:color w:val="000000"/>
                <w:szCs w:val="24"/>
              </w:rPr>
              <w:t>2 414,25</w:t>
            </w:r>
          </w:p>
        </w:tc>
        <w:tc>
          <w:tcPr>
            <w:tcW w:w="1211" w:type="dxa"/>
            <w:vAlign w:val="center"/>
          </w:tcPr>
          <w:p w14:paraId="527B3242" w14:textId="77777777" w:rsidR="00295BCD" w:rsidRPr="001927D6" w:rsidRDefault="00295BCD">
            <w:pPr>
              <w:spacing w:after="0" w:line="240" w:lineRule="auto"/>
              <w:jc w:val="center"/>
              <w:textAlignment w:val="baseline"/>
              <w:rPr>
                <w:szCs w:val="24"/>
                <w:lang w:eastAsia="et-EE"/>
              </w:rPr>
            </w:pPr>
            <w:r w:rsidRPr="001927D6">
              <w:rPr>
                <w:color w:val="000000"/>
                <w:szCs w:val="24"/>
              </w:rPr>
              <w:t>377,23</w:t>
            </w:r>
          </w:p>
        </w:tc>
        <w:tc>
          <w:tcPr>
            <w:tcW w:w="1238" w:type="dxa"/>
            <w:vAlign w:val="center"/>
          </w:tcPr>
          <w:p w14:paraId="5B43EE1C" w14:textId="77777777" w:rsidR="00295BCD" w:rsidRPr="001927D6" w:rsidRDefault="00295BCD">
            <w:pPr>
              <w:spacing w:after="0" w:line="240" w:lineRule="auto"/>
              <w:jc w:val="center"/>
              <w:textAlignment w:val="baseline"/>
              <w:rPr>
                <w:szCs w:val="24"/>
                <w:lang w:eastAsia="et-EE"/>
              </w:rPr>
            </w:pPr>
            <w:r w:rsidRPr="001927D6">
              <w:rPr>
                <w:color w:val="000000"/>
                <w:szCs w:val="24"/>
              </w:rPr>
              <w:t>6 364,89</w:t>
            </w:r>
          </w:p>
        </w:tc>
      </w:tr>
      <w:tr w:rsidR="00295BCD" w:rsidRPr="001927D6" w14:paraId="4DB06E17" w14:textId="77777777" w:rsidTr="00295BCD">
        <w:trPr>
          <w:divId w:val="1316184749"/>
          <w:trHeight w:val="300"/>
        </w:trPr>
        <w:tc>
          <w:tcPr>
            <w:tcW w:w="4632" w:type="dxa"/>
            <w:vAlign w:val="bottom"/>
            <w:hideMark/>
          </w:tcPr>
          <w:p w14:paraId="59549BC9" w14:textId="77777777" w:rsidR="00295BCD" w:rsidRPr="001927D6" w:rsidRDefault="00295BCD">
            <w:pPr>
              <w:spacing w:after="0" w:line="240" w:lineRule="auto"/>
              <w:textAlignment w:val="baseline"/>
              <w:rPr>
                <w:szCs w:val="24"/>
                <w:lang w:eastAsia="et-EE"/>
              </w:rPr>
            </w:pPr>
            <w:r w:rsidRPr="001927D6">
              <w:rPr>
                <w:szCs w:val="24"/>
                <w:lang w:eastAsia="et-EE"/>
              </w:rPr>
              <w:t>Mehe reproduktiivsüsteemi pahaloomulised kasvajad, kht-ta </w:t>
            </w:r>
          </w:p>
        </w:tc>
        <w:tc>
          <w:tcPr>
            <w:tcW w:w="732" w:type="dxa"/>
            <w:vAlign w:val="center"/>
            <w:hideMark/>
          </w:tcPr>
          <w:p w14:paraId="1DE95BB8" w14:textId="77777777" w:rsidR="00295BCD" w:rsidRPr="001927D6" w:rsidRDefault="00295BCD">
            <w:pPr>
              <w:spacing w:after="0" w:line="240" w:lineRule="auto"/>
              <w:jc w:val="center"/>
              <w:textAlignment w:val="baseline"/>
              <w:rPr>
                <w:szCs w:val="24"/>
                <w:lang w:eastAsia="et-EE"/>
              </w:rPr>
            </w:pPr>
            <w:r w:rsidRPr="001927D6">
              <w:rPr>
                <w:szCs w:val="24"/>
                <w:lang w:eastAsia="et-EE"/>
              </w:rPr>
              <w:t>347 </w:t>
            </w:r>
          </w:p>
        </w:tc>
        <w:tc>
          <w:tcPr>
            <w:tcW w:w="1243" w:type="dxa"/>
            <w:vAlign w:val="center"/>
          </w:tcPr>
          <w:p w14:paraId="1C705253" w14:textId="77777777" w:rsidR="00295BCD" w:rsidRPr="001927D6" w:rsidRDefault="00295BCD">
            <w:pPr>
              <w:spacing w:after="0" w:line="240" w:lineRule="auto"/>
              <w:jc w:val="center"/>
              <w:textAlignment w:val="baseline"/>
              <w:rPr>
                <w:szCs w:val="24"/>
                <w:lang w:eastAsia="et-EE"/>
              </w:rPr>
            </w:pPr>
            <w:r w:rsidRPr="001927D6">
              <w:rPr>
                <w:color w:val="000000"/>
                <w:szCs w:val="24"/>
              </w:rPr>
              <w:t>1 003,17</w:t>
            </w:r>
          </w:p>
        </w:tc>
        <w:tc>
          <w:tcPr>
            <w:tcW w:w="1211" w:type="dxa"/>
            <w:vAlign w:val="center"/>
          </w:tcPr>
          <w:p w14:paraId="1C1301A3" w14:textId="77777777" w:rsidR="00295BCD" w:rsidRPr="001927D6" w:rsidRDefault="00295BCD">
            <w:pPr>
              <w:spacing w:after="0" w:line="240" w:lineRule="auto"/>
              <w:jc w:val="center"/>
              <w:textAlignment w:val="baseline"/>
              <w:rPr>
                <w:szCs w:val="24"/>
                <w:lang w:eastAsia="et-EE"/>
              </w:rPr>
            </w:pPr>
            <w:r w:rsidRPr="001927D6">
              <w:rPr>
                <w:color w:val="000000"/>
                <w:szCs w:val="24"/>
              </w:rPr>
              <w:t>271,29</w:t>
            </w:r>
          </w:p>
        </w:tc>
        <w:tc>
          <w:tcPr>
            <w:tcW w:w="1238" w:type="dxa"/>
            <w:vAlign w:val="center"/>
          </w:tcPr>
          <w:p w14:paraId="203288A2" w14:textId="77777777" w:rsidR="00295BCD" w:rsidRPr="001927D6" w:rsidRDefault="00295BCD">
            <w:pPr>
              <w:spacing w:after="0" w:line="240" w:lineRule="auto"/>
              <w:jc w:val="center"/>
              <w:textAlignment w:val="baseline"/>
              <w:rPr>
                <w:szCs w:val="24"/>
                <w:lang w:eastAsia="et-EE"/>
              </w:rPr>
            </w:pPr>
            <w:r w:rsidRPr="001927D6">
              <w:rPr>
                <w:color w:val="000000"/>
                <w:szCs w:val="24"/>
              </w:rPr>
              <w:t>2 037,03</w:t>
            </w:r>
          </w:p>
        </w:tc>
      </w:tr>
      <w:tr w:rsidR="00295BCD" w:rsidRPr="001927D6" w14:paraId="134EBAB4" w14:textId="77777777" w:rsidTr="00295BCD">
        <w:trPr>
          <w:divId w:val="1316184749"/>
          <w:trHeight w:val="300"/>
        </w:trPr>
        <w:tc>
          <w:tcPr>
            <w:tcW w:w="4632" w:type="dxa"/>
            <w:vAlign w:val="bottom"/>
            <w:hideMark/>
          </w:tcPr>
          <w:p w14:paraId="047C4DE3"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Eesnäärme healoomuline hüpertroofia </w:t>
            </w:r>
          </w:p>
        </w:tc>
        <w:tc>
          <w:tcPr>
            <w:tcW w:w="732" w:type="dxa"/>
            <w:vAlign w:val="center"/>
            <w:hideMark/>
          </w:tcPr>
          <w:p w14:paraId="2FC4B5AA" w14:textId="77777777" w:rsidR="00295BCD" w:rsidRPr="001927D6" w:rsidRDefault="00295BCD">
            <w:pPr>
              <w:spacing w:after="0" w:line="240" w:lineRule="auto"/>
              <w:jc w:val="center"/>
              <w:textAlignment w:val="baseline"/>
              <w:rPr>
                <w:szCs w:val="24"/>
                <w:lang w:eastAsia="et-EE"/>
              </w:rPr>
            </w:pPr>
            <w:r w:rsidRPr="001927D6">
              <w:rPr>
                <w:szCs w:val="24"/>
                <w:lang w:eastAsia="et-EE"/>
              </w:rPr>
              <w:t>349N </w:t>
            </w:r>
          </w:p>
        </w:tc>
        <w:tc>
          <w:tcPr>
            <w:tcW w:w="1243" w:type="dxa"/>
            <w:vAlign w:val="center"/>
          </w:tcPr>
          <w:p w14:paraId="2879F714" w14:textId="77777777" w:rsidR="00295BCD" w:rsidRPr="001927D6" w:rsidRDefault="00295BCD">
            <w:pPr>
              <w:spacing w:after="0" w:line="240" w:lineRule="auto"/>
              <w:jc w:val="center"/>
              <w:textAlignment w:val="baseline"/>
              <w:rPr>
                <w:szCs w:val="24"/>
                <w:lang w:eastAsia="et-EE"/>
              </w:rPr>
            </w:pPr>
            <w:r w:rsidRPr="001927D6">
              <w:rPr>
                <w:color w:val="000000"/>
                <w:szCs w:val="24"/>
              </w:rPr>
              <w:t>1 212,82</w:t>
            </w:r>
          </w:p>
        </w:tc>
        <w:tc>
          <w:tcPr>
            <w:tcW w:w="1211" w:type="dxa"/>
            <w:vAlign w:val="center"/>
          </w:tcPr>
          <w:p w14:paraId="6A087635" w14:textId="77777777" w:rsidR="00295BCD" w:rsidRPr="001927D6" w:rsidRDefault="00295BCD">
            <w:pPr>
              <w:spacing w:after="0" w:line="240" w:lineRule="auto"/>
              <w:jc w:val="center"/>
              <w:textAlignment w:val="baseline"/>
              <w:rPr>
                <w:szCs w:val="24"/>
                <w:lang w:eastAsia="et-EE"/>
              </w:rPr>
            </w:pPr>
            <w:r w:rsidRPr="001927D6">
              <w:rPr>
                <w:color w:val="000000"/>
                <w:szCs w:val="24"/>
              </w:rPr>
              <w:t>302,25</w:t>
            </w:r>
          </w:p>
        </w:tc>
        <w:tc>
          <w:tcPr>
            <w:tcW w:w="1238" w:type="dxa"/>
            <w:vAlign w:val="center"/>
          </w:tcPr>
          <w:p w14:paraId="61ABB514" w14:textId="77777777" w:rsidR="00295BCD" w:rsidRPr="001927D6" w:rsidRDefault="00295BCD">
            <w:pPr>
              <w:spacing w:after="0" w:line="240" w:lineRule="auto"/>
              <w:jc w:val="center"/>
              <w:textAlignment w:val="baseline"/>
              <w:rPr>
                <w:szCs w:val="24"/>
                <w:lang w:eastAsia="et-EE"/>
              </w:rPr>
            </w:pPr>
            <w:r w:rsidRPr="001927D6">
              <w:rPr>
                <w:color w:val="000000"/>
                <w:szCs w:val="24"/>
              </w:rPr>
              <w:t>3 207,69</w:t>
            </w:r>
          </w:p>
        </w:tc>
      </w:tr>
      <w:tr w:rsidR="00295BCD" w:rsidRPr="001927D6" w14:paraId="23FF9F13" w14:textId="77777777" w:rsidTr="00295BCD">
        <w:trPr>
          <w:divId w:val="1316184749"/>
          <w:trHeight w:val="300"/>
        </w:trPr>
        <w:tc>
          <w:tcPr>
            <w:tcW w:w="4632" w:type="dxa"/>
            <w:vAlign w:val="bottom"/>
            <w:hideMark/>
          </w:tcPr>
          <w:p w14:paraId="4E5D3739" w14:textId="77777777" w:rsidR="00295BCD" w:rsidRPr="001927D6" w:rsidRDefault="00295BCD">
            <w:pPr>
              <w:spacing w:after="0" w:line="240" w:lineRule="auto"/>
              <w:textAlignment w:val="baseline"/>
              <w:rPr>
                <w:szCs w:val="24"/>
                <w:lang w:eastAsia="et-EE"/>
              </w:rPr>
            </w:pPr>
            <w:r w:rsidRPr="001927D6">
              <w:rPr>
                <w:szCs w:val="24"/>
                <w:lang w:eastAsia="et-EE"/>
              </w:rPr>
              <w:t>Mehe reproduktiivsüsteemi põletikud </w:t>
            </w:r>
          </w:p>
        </w:tc>
        <w:tc>
          <w:tcPr>
            <w:tcW w:w="732" w:type="dxa"/>
            <w:vAlign w:val="center"/>
            <w:hideMark/>
          </w:tcPr>
          <w:p w14:paraId="691C6982" w14:textId="77777777" w:rsidR="00295BCD" w:rsidRPr="001927D6" w:rsidRDefault="00295BCD">
            <w:pPr>
              <w:spacing w:after="0" w:line="240" w:lineRule="auto"/>
              <w:jc w:val="center"/>
              <w:textAlignment w:val="baseline"/>
              <w:rPr>
                <w:szCs w:val="24"/>
                <w:lang w:eastAsia="et-EE"/>
              </w:rPr>
            </w:pPr>
            <w:r w:rsidRPr="001927D6">
              <w:rPr>
                <w:szCs w:val="24"/>
                <w:lang w:eastAsia="et-EE"/>
              </w:rPr>
              <w:t>350 </w:t>
            </w:r>
          </w:p>
        </w:tc>
        <w:tc>
          <w:tcPr>
            <w:tcW w:w="1243" w:type="dxa"/>
            <w:vAlign w:val="center"/>
          </w:tcPr>
          <w:p w14:paraId="02089E56" w14:textId="77777777" w:rsidR="00295BCD" w:rsidRPr="001927D6" w:rsidRDefault="00295BCD">
            <w:pPr>
              <w:spacing w:after="0" w:line="240" w:lineRule="auto"/>
              <w:jc w:val="center"/>
              <w:textAlignment w:val="baseline"/>
              <w:rPr>
                <w:szCs w:val="24"/>
                <w:lang w:eastAsia="et-EE"/>
              </w:rPr>
            </w:pPr>
            <w:r w:rsidRPr="001927D6">
              <w:rPr>
                <w:color w:val="000000"/>
                <w:szCs w:val="24"/>
              </w:rPr>
              <w:t>1 533,95</w:t>
            </w:r>
          </w:p>
        </w:tc>
        <w:tc>
          <w:tcPr>
            <w:tcW w:w="1211" w:type="dxa"/>
            <w:vAlign w:val="center"/>
          </w:tcPr>
          <w:p w14:paraId="1FAEF142" w14:textId="77777777" w:rsidR="00295BCD" w:rsidRPr="001927D6" w:rsidRDefault="00295BCD">
            <w:pPr>
              <w:spacing w:after="0" w:line="240" w:lineRule="auto"/>
              <w:jc w:val="center"/>
              <w:textAlignment w:val="baseline"/>
              <w:rPr>
                <w:szCs w:val="24"/>
                <w:lang w:eastAsia="et-EE"/>
              </w:rPr>
            </w:pPr>
            <w:r w:rsidRPr="001927D6">
              <w:rPr>
                <w:color w:val="000000"/>
                <w:szCs w:val="24"/>
              </w:rPr>
              <w:t>556,84</w:t>
            </w:r>
          </w:p>
        </w:tc>
        <w:tc>
          <w:tcPr>
            <w:tcW w:w="1238" w:type="dxa"/>
            <w:vAlign w:val="center"/>
          </w:tcPr>
          <w:p w14:paraId="156A244F" w14:textId="77777777" w:rsidR="00295BCD" w:rsidRPr="001927D6" w:rsidRDefault="00295BCD">
            <w:pPr>
              <w:spacing w:after="0" w:line="240" w:lineRule="auto"/>
              <w:jc w:val="center"/>
              <w:textAlignment w:val="baseline"/>
              <w:rPr>
                <w:szCs w:val="24"/>
                <w:lang w:eastAsia="et-EE"/>
              </w:rPr>
            </w:pPr>
            <w:r w:rsidRPr="001927D6">
              <w:rPr>
                <w:color w:val="000000"/>
                <w:szCs w:val="24"/>
              </w:rPr>
              <w:t>3 930,79</w:t>
            </w:r>
          </w:p>
        </w:tc>
      </w:tr>
      <w:tr w:rsidR="00295BCD" w:rsidRPr="001927D6" w14:paraId="2EA80C7F" w14:textId="77777777" w:rsidTr="00295BCD">
        <w:trPr>
          <w:divId w:val="1316184749"/>
          <w:trHeight w:val="300"/>
        </w:trPr>
        <w:tc>
          <w:tcPr>
            <w:tcW w:w="4632" w:type="dxa"/>
            <w:vAlign w:val="bottom"/>
            <w:hideMark/>
          </w:tcPr>
          <w:p w14:paraId="20867478" w14:textId="77777777" w:rsidR="00295BCD" w:rsidRPr="001927D6" w:rsidRDefault="00295BCD">
            <w:pPr>
              <w:spacing w:after="0" w:line="240" w:lineRule="auto"/>
              <w:textAlignment w:val="baseline"/>
              <w:rPr>
                <w:szCs w:val="24"/>
                <w:lang w:eastAsia="et-EE"/>
              </w:rPr>
            </w:pPr>
            <w:r w:rsidRPr="001927D6">
              <w:rPr>
                <w:szCs w:val="24"/>
                <w:lang w:eastAsia="et-EE"/>
              </w:rPr>
              <w:t>Mehe steriliseerimine </w:t>
            </w:r>
          </w:p>
        </w:tc>
        <w:tc>
          <w:tcPr>
            <w:tcW w:w="732" w:type="dxa"/>
            <w:vAlign w:val="center"/>
            <w:hideMark/>
          </w:tcPr>
          <w:p w14:paraId="612EEDE4" w14:textId="77777777" w:rsidR="00295BCD" w:rsidRPr="001927D6" w:rsidRDefault="00295BCD">
            <w:pPr>
              <w:spacing w:after="0" w:line="240" w:lineRule="auto"/>
              <w:jc w:val="center"/>
              <w:textAlignment w:val="baseline"/>
              <w:rPr>
                <w:szCs w:val="24"/>
                <w:lang w:eastAsia="et-EE"/>
              </w:rPr>
            </w:pPr>
            <w:r w:rsidRPr="001927D6">
              <w:rPr>
                <w:szCs w:val="24"/>
                <w:lang w:eastAsia="et-EE"/>
              </w:rPr>
              <w:t>351 </w:t>
            </w:r>
          </w:p>
        </w:tc>
        <w:tc>
          <w:tcPr>
            <w:tcW w:w="1243" w:type="dxa"/>
            <w:vAlign w:val="center"/>
          </w:tcPr>
          <w:p w14:paraId="60693CE9" w14:textId="77777777" w:rsidR="00295BCD" w:rsidRPr="001927D6" w:rsidRDefault="00295BCD">
            <w:pPr>
              <w:spacing w:after="0" w:line="240" w:lineRule="auto"/>
              <w:jc w:val="center"/>
              <w:textAlignment w:val="baseline"/>
              <w:rPr>
                <w:szCs w:val="24"/>
                <w:lang w:eastAsia="et-EE"/>
              </w:rPr>
            </w:pPr>
            <w:r w:rsidRPr="001927D6">
              <w:rPr>
                <w:color w:val="000000"/>
                <w:szCs w:val="24"/>
              </w:rPr>
              <w:t>975,72</w:t>
            </w:r>
          </w:p>
        </w:tc>
        <w:tc>
          <w:tcPr>
            <w:tcW w:w="1211" w:type="dxa"/>
            <w:vAlign w:val="center"/>
          </w:tcPr>
          <w:p w14:paraId="4052A4DD" w14:textId="77777777" w:rsidR="00295BCD" w:rsidRPr="001927D6" w:rsidRDefault="00295BCD">
            <w:pPr>
              <w:spacing w:after="0" w:line="240" w:lineRule="auto"/>
              <w:jc w:val="center"/>
              <w:textAlignment w:val="baseline"/>
              <w:rPr>
                <w:szCs w:val="24"/>
                <w:lang w:eastAsia="et-EE"/>
              </w:rPr>
            </w:pPr>
            <w:r w:rsidRPr="001927D6">
              <w:rPr>
                <w:color w:val="000000"/>
                <w:szCs w:val="24"/>
              </w:rPr>
              <w:t>863,83</w:t>
            </w:r>
          </w:p>
        </w:tc>
        <w:tc>
          <w:tcPr>
            <w:tcW w:w="1238" w:type="dxa"/>
            <w:vAlign w:val="center"/>
          </w:tcPr>
          <w:p w14:paraId="3D8B938B" w14:textId="77777777" w:rsidR="00295BCD" w:rsidRPr="001927D6" w:rsidRDefault="00295BCD">
            <w:pPr>
              <w:spacing w:after="0" w:line="240" w:lineRule="auto"/>
              <w:jc w:val="center"/>
              <w:textAlignment w:val="baseline"/>
              <w:rPr>
                <w:szCs w:val="24"/>
                <w:lang w:eastAsia="et-EE"/>
              </w:rPr>
            </w:pPr>
            <w:r w:rsidRPr="001927D6">
              <w:rPr>
                <w:color w:val="000000"/>
                <w:szCs w:val="24"/>
              </w:rPr>
              <w:t>1 159,01</w:t>
            </w:r>
          </w:p>
        </w:tc>
      </w:tr>
      <w:tr w:rsidR="00295BCD" w:rsidRPr="001927D6" w14:paraId="30FCBB9F" w14:textId="77777777" w:rsidTr="00295BCD">
        <w:trPr>
          <w:divId w:val="1316184749"/>
          <w:trHeight w:val="300"/>
        </w:trPr>
        <w:tc>
          <w:tcPr>
            <w:tcW w:w="4632" w:type="dxa"/>
            <w:vAlign w:val="bottom"/>
            <w:hideMark/>
          </w:tcPr>
          <w:p w14:paraId="7FF4252C" w14:textId="77777777" w:rsidR="00295BCD" w:rsidRPr="001927D6" w:rsidRDefault="00295BCD">
            <w:pPr>
              <w:spacing w:after="0" w:line="240" w:lineRule="auto"/>
              <w:textAlignment w:val="baseline"/>
              <w:rPr>
                <w:szCs w:val="24"/>
                <w:lang w:eastAsia="et-EE"/>
              </w:rPr>
            </w:pPr>
            <w:r w:rsidRPr="001927D6">
              <w:rPr>
                <w:szCs w:val="24"/>
                <w:lang w:eastAsia="et-EE"/>
              </w:rPr>
              <w:t>Mehe steriliseerimine, lühike ravi </w:t>
            </w:r>
          </w:p>
        </w:tc>
        <w:tc>
          <w:tcPr>
            <w:tcW w:w="732" w:type="dxa"/>
            <w:vAlign w:val="center"/>
            <w:hideMark/>
          </w:tcPr>
          <w:p w14:paraId="5442FC4C" w14:textId="77777777" w:rsidR="00295BCD" w:rsidRPr="001927D6" w:rsidRDefault="00295BCD">
            <w:pPr>
              <w:spacing w:after="0" w:line="240" w:lineRule="auto"/>
              <w:jc w:val="center"/>
              <w:textAlignment w:val="baseline"/>
              <w:rPr>
                <w:szCs w:val="24"/>
                <w:lang w:eastAsia="et-EE"/>
              </w:rPr>
            </w:pPr>
            <w:r w:rsidRPr="001927D6">
              <w:rPr>
                <w:szCs w:val="24"/>
                <w:lang w:eastAsia="et-EE"/>
              </w:rPr>
              <w:t>351O </w:t>
            </w:r>
          </w:p>
        </w:tc>
        <w:tc>
          <w:tcPr>
            <w:tcW w:w="1243" w:type="dxa"/>
            <w:vAlign w:val="center"/>
          </w:tcPr>
          <w:p w14:paraId="28D5DE6E" w14:textId="77777777" w:rsidR="00295BCD" w:rsidRPr="001927D6" w:rsidRDefault="00295BCD">
            <w:pPr>
              <w:spacing w:after="0" w:line="240" w:lineRule="auto"/>
              <w:jc w:val="center"/>
              <w:textAlignment w:val="baseline"/>
              <w:rPr>
                <w:szCs w:val="24"/>
                <w:lang w:eastAsia="et-EE"/>
              </w:rPr>
            </w:pPr>
            <w:r w:rsidRPr="001927D6">
              <w:rPr>
                <w:color w:val="000000"/>
                <w:szCs w:val="24"/>
              </w:rPr>
              <w:t>842,91</w:t>
            </w:r>
          </w:p>
        </w:tc>
        <w:tc>
          <w:tcPr>
            <w:tcW w:w="1211" w:type="dxa"/>
            <w:vAlign w:val="center"/>
          </w:tcPr>
          <w:p w14:paraId="2FC2EE3D" w14:textId="77777777" w:rsidR="00295BCD" w:rsidRPr="001927D6" w:rsidRDefault="00295BCD">
            <w:pPr>
              <w:spacing w:after="0" w:line="240" w:lineRule="auto"/>
              <w:jc w:val="center"/>
              <w:textAlignment w:val="baseline"/>
              <w:rPr>
                <w:szCs w:val="24"/>
                <w:lang w:eastAsia="et-EE"/>
              </w:rPr>
            </w:pPr>
            <w:r w:rsidRPr="001927D6">
              <w:rPr>
                <w:color w:val="000000"/>
                <w:szCs w:val="24"/>
              </w:rPr>
              <w:t>731,67</w:t>
            </w:r>
          </w:p>
        </w:tc>
        <w:tc>
          <w:tcPr>
            <w:tcW w:w="1238" w:type="dxa"/>
            <w:vAlign w:val="center"/>
          </w:tcPr>
          <w:p w14:paraId="643A708D" w14:textId="77777777" w:rsidR="00295BCD" w:rsidRPr="001927D6" w:rsidRDefault="00295BCD">
            <w:pPr>
              <w:spacing w:after="0" w:line="240" w:lineRule="auto"/>
              <w:jc w:val="center"/>
              <w:textAlignment w:val="baseline"/>
              <w:rPr>
                <w:szCs w:val="24"/>
                <w:lang w:eastAsia="et-EE"/>
              </w:rPr>
            </w:pPr>
            <w:r w:rsidRPr="001927D6">
              <w:rPr>
                <w:color w:val="000000"/>
                <w:szCs w:val="24"/>
              </w:rPr>
              <w:t>960,75</w:t>
            </w:r>
          </w:p>
        </w:tc>
      </w:tr>
      <w:tr w:rsidR="00295BCD" w:rsidRPr="001927D6" w14:paraId="0DFD08D6" w14:textId="77777777" w:rsidTr="00295BCD">
        <w:trPr>
          <w:divId w:val="1316184749"/>
          <w:trHeight w:val="300"/>
        </w:trPr>
        <w:tc>
          <w:tcPr>
            <w:tcW w:w="4632" w:type="dxa"/>
            <w:vAlign w:val="bottom"/>
            <w:hideMark/>
          </w:tcPr>
          <w:p w14:paraId="6AB699E7" w14:textId="77777777" w:rsidR="00295BCD" w:rsidRPr="001927D6" w:rsidRDefault="00295BCD">
            <w:pPr>
              <w:spacing w:after="0" w:line="240" w:lineRule="auto"/>
              <w:textAlignment w:val="baseline"/>
              <w:rPr>
                <w:szCs w:val="24"/>
                <w:lang w:eastAsia="et-EE"/>
              </w:rPr>
            </w:pPr>
            <w:r w:rsidRPr="001927D6">
              <w:rPr>
                <w:szCs w:val="24"/>
                <w:lang w:eastAsia="et-EE"/>
              </w:rPr>
              <w:t>Muud mehe reproduktiivsüsteemi haigused </w:t>
            </w:r>
          </w:p>
        </w:tc>
        <w:tc>
          <w:tcPr>
            <w:tcW w:w="732" w:type="dxa"/>
            <w:vAlign w:val="center"/>
            <w:hideMark/>
          </w:tcPr>
          <w:p w14:paraId="7A3B1645" w14:textId="77777777" w:rsidR="00295BCD" w:rsidRPr="001927D6" w:rsidRDefault="00295BCD">
            <w:pPr>
              <w:spacing w:after="0" w:line="240" w:lineRule="auto"/>
              <w:jc w:val="center"/>
              <w:textAlignment w:val="baseline"/>
              <w:rPr>
                <w:szCs w:val="24"/>
                <w:lang w:eastAsia="et-EE"/>
              </w:rPr>
            </w:pPr>
            <w:r w:rsidRPr="001927D6">
              <w:rPr>
                <w:szCs w:val="24"/>
                <w:lang w:eastAsia="et-EE"/>
              </w:rPr>
              <w:t>352 </w:t>
            </w:r>
          </w:p>
        </w:tc>
        <w:tc>
          <w:tcPr>
            <w:tcW w:w="1243" w:type="dxa"/>
            <w:vAlign w:val="center"/>
          </w:tcPr>
          <w:p w14:paraId="47D24FB9" w14:textId="77777777" w:rsidR="00295BCD" w:rsidRPr="001927D6" w:rsidRDefault="00295BCD">
            <w:pPr>
              <w:spacing w:after="0" w:line="240" w:lineRule="auto"/>
              <w:jc w:val="center"/>
              <w:textAlignment w:val="baseline"/>
              <w:rPr>
                <w:szCs w:val="24"/>
                <w:lang w:eastAsia="et-EE"/>
              </w:rPr>
            </w:pPr>
            <w:r w:rsidRPr="001927D6">
              <w:rPr>
                <w:color w:val="000000"/>
                <w:szCs w:val="24"/>
              </w:rPr>
              <w:t>874,13</w:t>
            </w:r>
          </w:p>
        </w:tc>
        <w:tc>
          <w:tcPr>
            <w:tcW w:w="1211" w:type="dxa"/>
            <w:vAlign w:val="center"/>
          </w:tcPr>
          <w:p w14:paraId="6A495362" w14:textId="77777777" w:rsidR="00295BCD" w:rsidRPr="001927D6" w:rsidRDefault="00295BCD">
            <w:pPr>
              <w:spacing w:after="0" w:line="240" w:lineRule="auto"/>
              <w:jc w:val="center"/>
              <w:textAlignment w:val="baseline"/>
              <w:rPr>
                <w:szCs w:val="24"/>
                <w:lang w:eastAsia="et-EE"/>
              </w:rPr>
            </w:pPr>
            <w:r w:rsidRPr="001927D6">
              <w:rPr>
                <w:color w:val="000000"/>
                <w:szCs w:val="24"/>
              </w:rPr>
              <w:t>244,91</w:t>
            </w:r>
          </w:p>
        </w:tc>
        <w:tc>
          <w:tcPr>
            <w:tcW w:w="1238" w:type="dxa"/>
            <w:vAlign w:val="center"/>
          </w:tcPr>
          <w:p w14:paraId="1A10B504" w14:textId="77777777" w:rsidR="00295BCD" w:rsidRPr="001927D6" w:rsidRDefault="00295BCD">
            <w:pPr>
              <w:spacing w:after="0" w:line="240" w:lineRule="auto"/>
              <w:jc w:val="center"/>
              <w:textAlignment w:val="baseline"/>
              <w:rPr>
                <w:szCs w:val="24"/>
                <w:lang w:eastAsia="et-EE"/>
              </w:rPr>
            </w:pPr>
            <w:r w:rsidRPr="001927D6">
              <w:rPr>
                <w:color w:val="000000"/>
                <w:szCs w:val="24"/>
              </w:rPr>
              <w:t>2 033,70</w:t>
            </w:r>
          </w:p>
        </w:tc>
      </w:tr>
      <w:tr w:rsidR="00295BCD" w:rsidRPr="001927D6" w14:paraId="57FDB9FC" w14:textId="77777777" w:rsidTr="00295BCD">
        <w:trPr>
          <w:divId w:val="1316184749"/>
          <w:trHeight w:val="300"/>
        </w:trPr>
        <w:tc>
          <w:tcPr>
            <w:tcW w:w="4632" w:type="dxa"/>
            <w:vAlign w:val="bottom"/>
            <w:hideMark/>
          </w:tcPr>
          <w:p w14:paraId="3F48BDED" w14:textId="77777777" w:rsidR="00295BCD" w:rsidRPr="001927D6" w:rsidRDefault="00295BCD">
            <w:pPr>
              <w:spacing w:after="0" w:line="240" w:lineRule="auto"/>
              <w:textAlignment w:val="baseline"/>
              <w:rPr>
                <w:szCs w:val="24"/>
                <w:lang w:eastAsia="et-EE"/>
              </w:rPr>
            </w:pPr>
            <w:r w:rsidRPr="001927D6">
              <w:rPr>
                <w:szCs w:val="24"/>
                <w:lang w:eastAsia="et-EE"/>
              </w:rPr>
              <w:t>Vaagnaelundite evistseratsioon, radikaalne hüsterektoomia ja radikaalne vulvektoomia </w:t>
            </w:r>
          </w:p>
        </w:tc>
        <w:tc>
          <w:tcPr>
            <w:tcW w:w="732" w:type="dxa"/>
            <w:vAlign w:val="center"/>
            <w:hideMark/>
          </w:tcPr>
          <w:p w14:paraId="64AB122D" w14:textId="77777777" w:rsidR="00295BCD" w:rsidRPr="001927D6" w:rsidRDefault="00295BCD">
            <w:pPr>
              <w:spacing w:after="0" w:line="240" w:lineRule="auto"/>
              <w:jc w:val="center"/>
              <w:textAlignment w:val="baseline"/>
              <w:rPr>
                <w:szCs w:val="24"/>
                <w:lang w:eastAsia="et-EE"/>
              </w:rPr>
            </w:pPr>
            <w:r w:rsidRPr="001927D6">
              <w:rPr>
                <w:szCs w:val="24"/>
                <w:lang w:eastAsia="et-EE"/>
              </w:rPr>
              <w:t>353 </w:t>
            </w:r>
          </w:p>
        </w:tc>
        <w:tc>
          <w:tcPr>
            <w:tcW w:w="1243" w:type="dxa"/>
            <w:vAlign w:val="center"/>
          </w:tcPr>
          <w:p w14:paraId="11E52377" w14:textId="77777777" w:rsidR="00295BCD" w:rsidRPr="001927D6" w:rsidRDefault="00295BCD">
            <w:pPr>
              <w:spacing w:after="0" w:line="240" w:lineRule="auto"/>
              <w:jc w:val="center"/>
              <w:textAlignment w:val="baseline"/>
              <w:rPr>
                <w:szCs w:val="24"/>
                <w:lang w:eastAsia="et-EE"/>
              </w:rPr>
            </w:pPr>
            <w:r w:rsidRPr="001927D6">
              <w:rPr>
                <w:color w:val="000000"/>
                <w:szCs w:val="24"/>
              </w:rPr>
              <w:t>7 346,22</w:t>
            </w:r>
          </w:p>
        </w:tc>
        <w:tc>
          <w:tcPr>
            <w:tcW w:w="1211" w:type="dxa"/>
            <w:vAlign w:val="center"/>
          </w:tcPr>
          <w:p w14:paraId="1E8E3AEA" w14:textId="77777777" w:rsidR="00295BCD" w:rsidRPr="001927D6" w:rsidRDefault="00295BCD">
            <w:pPr>
              <w:spacing w:after="0" w:line="240" w:lineRule="auto"/>
              <w:jc w:val="center"/>
              <w:textAlignment w:val="baseline"/>
              <w:rPr>
                <w:szCs w:val="24"/>
                <w:lang w:eastAsia="et-EE"/>
              </w:rPr>
            </w:pPr>
            <w:r w:rsidRPr="001927D6">
              <w:rPr>
                <w:color w:val="000000"/>
                <w:szCs w:val="24"/>
              </w:rPr>
              <w:t>3 935,57</w:t>
            </w:r>
          </w:p>
        </w:tc>
        <w:tc>
          <w:tcPr>
            <w:tcW w:w="1238" w:type="dxa"/>
            <w:vAlign w:val="center"/>
          </w:tcPr>
          <w:p w14:paraId="5176DCB4" w14:textId="77777777" w:rsidR="00295BCD" w:rsidRPr="001927D6" w:rsidRDefault="00295BCD">
            <w:pPr>
              <w:spacing w:after="0" w:line="240" w:lineRule="auto"/>
              <w:jc w:val="center"/>
              <w:textAlignment w:val="baseline"/>
              <w:rPr>
                <w:szCs w:val="24"/>
                <w:lang w:eastAsia="et-EE"/>
              </w:rPr>
            </w:pPr>
            <w:r w:rsidRPr="001927D6">
              <w:rPr>
                <w:color w:val="000000"/>
                <w:szCs w:val="24"/>
              </w:rPr>
              <w:t>15 775,73</w:t>
            </w:r>
          </w:p>
        </w:tc>
      </w:tr>
      <w:tr w:rsidR="00295BCD" w:rsidRPr="001927D6" w14:paraId="0181EDFB" w14:textId="77777777" w:rsidTr="00295BCD">
        <w:trPr>
          <w:divId w:val="1316184749"/>
          <w:trHeight w:val="300"/>
        </w:trPr>
        <w:tc>
          <w:tcPr>
            <w:tcW w:w="4632" w:type="dxa"/>
            <w:vAlign w:val="bottom"/>
            <w:hideMark/>
          </w:tcPr>
          <w:p w14:paraId="3BD4D529" w14:textId="77777777" w:rsidR="00295BCD" w:rsidRPr="001927D6" w:rsidRDefault="00295BCD">
            <w:pPr>
              <w:spacing w:after="0" w:line="240" w:lineRule="auto"/>
              <w:textAlignment w:val="baseline"/>
              <w:rPr>
                <w:szCs w:val="24"/>
                <w:lang w:eastAsia="et-EE"/>
              </w:rPr>
            </w:pPr>
            <w:r w:rsidRPr="001927D6">
              <w:rPr>
                <w:szCs w:val="24"/>
                <w:lang w:eastAsia="et-EE"/>
              </w:rPr>
              <w:t>Vaagnaelundite evistseratsioon, radikaalne hüsterektoomia ja radikaalne vulvektoomia, lühike ravi </w:t>
            </w:r>
          </w:p>
        </w:tc>
        <w:tc>
          <w:tcPr>
            <w:tcW w:w="732" w:type="dxa"/>
            <w:vAlign w:val="center"/>
            <w:hideMark/>
          </w:tcPr>
          <w:p w14:paraId="6F024CD9" w14:textId="77777777" w:rsidR="00295BCD" w:rsidRPr="001927D6" w:rsidRDefault="00295BCD">
            <w:pPr>
              <w:spacing w:after="0" w:line="240" w:lineRule="auto"/>
              <w:jc w:val="center"/>
              <w:textAlignment w:val="baseline"/>
              <w:rPr>
                <w:szCs w:val="24"/>
                <w:lang w:eastAsia="et-EE"/>
              </w:rPr>
            </w:pPr>
            <w:r w:rsidRPr="001927D6">
              <w:rPr>
                <w:szCs w:val="24"/>
                <w:lang w:eastAsia="et-EE"/>
              </w:rPr>
              <w:t>353O </w:t>
            </w:r>
          </w:p>
        </w:tc>
        <w:tc>
          <w:tcPr>
            <w:tcW w:w="1243" w:type="dxa"/>
            <w:vAlign w:val="center"/>
          </w:tcPr>
          <w:p w14:paraId="464B218F" w14:textId="77777777" w:rsidR="00295BCD" w:rsidRPr="001927D6" w:rsidRDefault="00295BCD">
            <w:pPr>
              <w:spacing w:after="0" w:line="240" w:lineRule="auto"/>
              <w:jc w:val="center"/>
              <w:textAlignment w:val="baseline"/>
              <w:rPr>
                <w:szCs w:val="24"/>
                <w:lang w:eastAsia="et-EE"/>
              </w:rPr>
            </w:pPr>
            <w:r w:rsidRPr="001927D6">
              <w:rPr>
                <w:color w:val="000000"/>
                <w:szCs w:val="24"/>
              </w:rPr>
              <w:t>2 455,47</w:t>
            </w:r>
          </w:p>
        </w:tc>
        <w:tc>
          <w:tcPr>
            <w:tcW w:w="1211" w:type="dxa"/>
            <w:vAlign w:val="center"/>
          </w:tcPr>
          <w:p w14:paraId="4B534730" w14:textId="77777777" w:rsidR="00295BCD" w:rsidRPr="001927D6" w:rsidRDefault="00295BCD">
            <w:pPr>
              <w:spacing w:after="0" w:line="240" w:lineRule="auto"/>
              <w:jc w:val="center"/>
              <w:textAlignment w:val="baseline"/>
              <w:rPr>
                <w:szCs w:val="24"/>
                <w:lang w:eastAsia="et-EE"/>
              </w:rPr>
            </w:pPr>
            <w:r w:rsidRPr="001927D6">
              <w:rPr>
                <w:color w:val="000000"/>
                <w:szCs w:val="24"/>
              </w:rPr>
              <w:t>1 165,29</w:t>
            </w:r>
          </w:p>
        </w:tc>
        <w:tc>
          <w:tcPr>
            <w:tcW w:w="1238" w:type="dxa"/>
            <w:vAlign w:val="center"/>
          </w:tcPr>
          <w:p w14:paraId="54DEC6EA" w14:textId="77777777" w:rsidR="00295BCD" w:rsidRPr="001927D6" w:rsidRDefault="00295BCD">
            <w:pPr>
              <w:spacing w:after="0" w:line="240" w:lineRule="auto"/>
              <w:jc w:val="center"/>
              <w:textAlignment w:val="baseline"/>
              <w:rPr>
                <w:szCs w:val="24"/>
                <w:lang w:eastAsia="et-EE"/>
              </w:rPr>
            </w:pPr>
            <w:r w:rsidRPr="001927D6">
              <w:rPr>
                <w:color w:val="000000"/>
                <w:szCs w:val="24"/>
              </w:rPr>
              <w:t>4 977,53</w:t>
            </w:r>
          </w:p>
        </w:tc>
      </w:tr>
      <w:tr w:rsidR="00295BCD" w:rsidRPr="001927D6" w14:paraId="7A7EC06B" w14:textId="77777777" w:rsidTr="00295BCD">
        <w:trPr>
          <w:divId w:val="1316184749"/>
          <w:trHeight w:val="300"/>
        </w:trPr>
        <w:tc>
          <w:tcPr>
            <w:tcW w:w="4632" w:type="dxa"/>
            <w:vAlign w:val="bottom"/>
            <w:hideMark/>
          </w:tcPr>
          <w:p w14:paraId="70936A08" w14:textId="77777777" w:rsidR="00295BCD" w:rsidRPr="001927D6" w:rsidRDefault="00295BCD">
            <w:pPr>
              <w:spacing w:after="0" w:line="240" w:lineRule="auto"/>
              <w:textAlignment w:val="baseline"/>
              <w:rPr>
                <w:szCs w:val="24"/>
                <w:lang w:eastAsia="et-EE"/>
              </w:rPr>
            </w:pPr>
            <w:r w:rsidRPr="001927D6">
              <w:rPr>
                <w:szCs w:val="24"/>
                <w:lang w:eastAsia="et-EE"/>
              </w:rPr>
              <w:t>Naise reproduktiivsüsteemi operatsioonid pahaloomuliste kasvajate korral, v.a munasarjad või emakamanused, kht-ga </w:t>
            </w:r>
          </w:p>
        </w:tc>
        <w:tc>
          <w:tcPr>
            <w:tcW w:w="732" w:type="dxa"/>
            <w:vAlign w:val="center"/>
            <w:hideMark/>
          </w:tcPr>
          <w:p w14:paraId="6257A96B" w14:textId="77777777" w:rsidR="00295BCD" w:rsidRPr="001927D6" w:rsidRDefault="00295BCD">
            <w:pPr>
              <w:spacing w:after="0" w:line="240" w:lineRule="auto"/>
              <w:jc w:val="center"/>
              <w:textAlignment w:val="baseline"/>
              <w:rPr>
                <w:szCs w:val="24"/>
                <w:lang w:eastAsia="et-EE"/>
              </w:rPr>
            </w:pPr>
            <w:r w:rsidRPr="001927D6">
              <w:rPr>
                <w:szCs w:val="24"/>
                <w:lang w:eastAsia="et-EE"/>
              </w:rPr>
              <w:t>354 </w:t>
            </w:r>
          </w:p>
        </w:tc>
        <w:tc>
          <w:tcPr>
            <w:tcW w:w="1243" w:type="dxa"/>
            <w:vAlign w:val="center"/>
          </w:tcPr>
          <w:p w14:paraId="580B64A2" w14:textId="77777777" w:rsidR="00295BCD" w:rsidRPr="001927D6" w:rsidRDefault="00295BCD">
            <w:pPr>
              <w:spacing w:after="0" w:line="240" w:lineRule="auto"/>
              <w:jc w:val="center"/>
              <w:textAlignment w:val="baseline"/>
              <w:rPr>
                <w:szCs w:val="24"/>
                <w:lang w:eastAsia="et-EE"/>
              </w:rPr>
            </w:pPr>
            <w:r w:rsidRPr="001927D6">
              <w:rPr>
                <w:color w:val="000000"/>
                <w:szCs w:val="24"/>
              </w:rPr>
              <w:t>5 381,90</w:t>
            </w:r>
          </w:p>
        </w:tc>
        <w:tc>
          <w:tcPr>
            <w:tcW w:w="1211" w:type="dxa"/>
            <w:vAlign w:val="center"/>
          </w:tcPr>
          <w:p w14:paraId="482070DE" w14:textId="77777777" w:rsidR="00295BCD" w:rsidRPr="001927D6" w:rsidRDefault="00295BCD">
            <w:pPr>
              <w:spacing w:after="0" w:line="240" w:lineRule="auto"/>
              <w:jc w:val="center"/>
              <w:textAlignment w:val="baseline"/>
              <w:rPr>
                <w:szCs w:val="24"/>
                <w:lang w:eastAsia="et-EE"/>
              </w:rPr>
            </w:pPr>
            <w:r w:rsidRPr="001927D6">
              <w:rPr>
                <w:color w:val="000000"/>
                <w:szCs w:val="24"/>
              </w:rPr>
              <w:t>1 659,78</w:t>
            </w:r>
          </w:p>
        </w:tc>
        <w:tc>
          <w:tcPr>
            <w:tcW w:w="1238" w:type="dxa"/>
            <w:vAlign w:val="center"/>
          </w:tcPr>
          <w:p w14:paraId="1F96E292" w14:textId="77777777" w:rsidR="00295BCD" w:rsidRPr="001927D6" w:rsidRDefault="00295BCD">
            <w:pPr>
              <w:spacing w:after="0" w:line="240" w:lineRule="auto"/>
              <w:jc w:val="center"/>
              <w:textAlignment w:val="baseline"/>
              <w:rPr>
                <w:szCs w:val="24"/>
                <w:lang w:eastAsia="et-EE"/>
              </w:rPr>
            </w:pPr>
            <w:r w:rsidRPr="001927D6">
              <w:rPr>
                <w:color w:val="000000"/>
                <w:szCs w:val="24"/>
              </w:rPr>
              <w:t>7 712,09</w:t>
            </w:r>
          </w:p>
        </w:tc>
      </w:tr>
      <w:tr w:rsidR="00295BCD" w:rsidRPr="001927D6" w14:paraId="5CDDDF9F" w14:textId="77777777" w:rsidTr="00295BCD">
        <w:trPr>
          <w:divId w:val="1316184749"/>
          <w:trHeight w:val="300"/>
        </w:trPr>
        <w:tc>
          <w:tcPr>
            <w:tcW w:w="4632" w:type="dxa"/>
            <w:vAlign w:val="bottom"/>
            <w:hideMark/>
          </w:tcPr>
          <w:p w14:paraId="6BA8D0B7" w14:textId="77777777" w:rsidR="00295BCD" w:rsidRPr="001927D6" w:rsidRDefault="00295BCD">
            <w:pPr>
              <w:spacing w:after="0" w:line="240" w:lineRule="auto"/>
              <w:textAlignment w:val="baseline"/>
              <w:rPr>
                <w:szCs w:val="24"/>
                <w:lang w:eastAsia="et-EE"/>
              </w:rPr>
            </w:pPr>
            <w:r w:rsidRPr="001927D6">
              <w:rPr>
                <w:szCs w:val="24"/>
                <w:lang w:eastAsia="et-EE"/>
              </w:rPr>
              <w:t>Naise reproduktiivsüsteemi operatsioonid pahaloomuliste kasvajate korral, v.a munasarjad või emakamanused, kht-ta </w:t>
            </w:r>
          </w:p>
        </w:tc>
        <w:tc>
          <w:tcPr>
            <w:tcW w:w="732" w:type="dxa"/>
            <w:vAlign w:val="center"/>
            <w:hideMark/>
          </w:tcPr>
          <w:p w14:paraId="465BE275" w14:textId="77777777" w:rsidR="00295BCD" w:rsidRPr="001927D6" w:rsidRDefault="00295BCD">
            <w:pPr>
              <w:spacing w:after="0" w:line="240" w:lineRule="auto"/>
              <w:jc w:val="center"/>
              <w:textAlignment w:val="baseline"/>
              <w:rPr>
                <w:szCs w:val="24"/>
                <w:lang w:eastAsia="et-EE"/>
              </w:rPr>
            </w:pPr>
            <w:r w:rsidRPr="001927D6">
              <w:rPr>
                <w:szCs w:val="24"/>
                <w:lang w:eastAsia="et-EE"/>
              </w:rPr>
              <w:t>355 </w:t>
            </w:r>
          </w:p>
        </w:tc>
        <w:tc>
          <w:tcPr>
            <w:tcW w:w="1243" w:type="dxa"/>
            <w:vAlign w:val="center"/>
          </w:tcPr>
          <w:p w14:paraId="4E0B8496" w14:textId="77777777" w:rsidR="00295BCD" w:rsidRPr="001927D6" w:rsidRDefault="00295BCD">
            <w:pPr>
              <w:spacing w:after="0" w:line="240" w:lineRule="auto"/>
              <w:jc w:val="center"/>
              <w:textAlignment w:val="baseline"/>
              <w:rPr>
                <w:szCs w:val="24"/>
                <w:lang w:eastAsia="et-EE"/>
              </w:rPr>
            </w:pPr>
            <w:r w:rsidRPr="001927D6">
              <w:rPr>
                <w:color w:val="000000"/>
                <w:szCs w:val="24"/>
              </w:rPr>
              <w:t>4 919,67</w:t>
            </w:r>
          </w:p>
        </w:tc>
        <w:tc>
          <w:tcPr>
            <w:tcW w:w="1211" w:type="dxa"/>
            <w:vAlign w:val="center"/>
          </w:tcPr>
          <w:p w14:paraId="2AEA3F6B" w14:textId="77777777" w:rsidR="00295BCD" w:rsidRPr="001927D6" w:rsidRDefault="00295BCD">
            <w:pPr>
              <w:spacing w:after="0" w:line="240" w:lineRule="auto"/>
              <w:jc w:val="center"/>
              <w:textAlignment w:val="baseline"/>
              <w:rPr>
                <w:szCs w:val="24"/>
                <w:lang w:eastAsia="et-EE"/>
              </w:rPr>
            </w:pPr>
            <w:r w:rsidRPr="001927D6">
              <w:rPr>
                <w:color w:val="000000"/>
                <w:szCs w:val="24"/>
              </w:rPr>
              <w:t>1 534,26</w:t>
            </w:r>
          </w:p>
        </w:tc>
        <w:tc>
          <w:tcPr>
            <w:tcW w:w="1238" w:type="dxa"/>
            <w:vAlign w:val="center"/>
          </w:tcPr>
          <w:p w14:paraId="778FA5F0" w14:textId="77777777" w:rsidR="00295BCD" w:rsidRPr="001927D6" w:rsidRDefault="00295BCD">
            <w:pPr>
              <w:spacing w:after="0" w:line="240" w:lineRule="auto"/>
              <w:jc w:val="center"/>
              <w:textAlignment w:val="baseline"/>
              <w:rPr>
                <w:szCs w:val="24"/>
                <w:lang w:eastAsia="et-EE"/>
              </w:rPr>
            </w:pPr>
            <w:r w:rsidRPr="001927D6">
              <w:rPr>
                <w:color w:val="000000"/>
                <w:szCs w:val="24"/>
              </w:rPr>
              <w:t>7 112,64</w:t>
            </w:r>
          </w:p>
        </w:tc>
      </w:tr>
      <w:tr w:rsidR="00295BCD" w:rsidRPr="001927D6" w14:paraId="4694ADC1" w14:textId="77777777" w:rsidTr="00295BCD">
        <w:trPr>
          <w:divId w:val="1316184749"/>
          <w:trHeight w:val="300"/>
        </w:trPr>
        <w:tc>
          <w:tcPr>
            <w:tcW w:w="4632" w:type="dxa"/>
            <w:vAlign w:val="bottom"/>
            <w:hideMark/>
          </w:tcPr>
          <w:p w14:paraId="46D8C548" w14:textId="77777777" w:rsidR="00295BCD" w:rsidRPr="001927D6" w:rsidRDefault="00295BCD">
            <w:pPr>
              <w:spacing w:after="0" w:line="240" w:lineRule="auto"/>
              <w:textAlignment w:val="baseline"/>
              <w:rPr>
                <w:szCs w:val="24"/>
                <w:lang w:eastAsia="et-EE"/>
              </w:rPr>
            </w:pPr>
            <w:r w:rsidRPr="001927D6">
              <w:rPr>
                <w:szCs w:val="24"/>
                <w:lang w:eastAsia="et-EE"/>
              </w:rPr>
              <w:t>Naise reproduktiivsüsteemi operatsioonid pahaloomuliste kasvajate korral, v.a munasarjad või emakamanused, lühike ravi </w:t>
            </w:r>
          </w:p>
        </w:tc>
        <w:tc>
          <w:tcPr>
            <w:tcW w:w="732" w:type="dxa"/>
            <w:vAlign w:val="center"/>
            <w:hideMark/>
          </w:tcPr>
          <w:p w14:paraId="051531ED" w14:textId="77777777" w:rsidR="00295BCD" w:rsidRPr="001927D6" w:rsidRDefault="00295BCD">
            <w:pPr>
              <w:spacing w:after="0" w:line="240" w:lineRule="auto"/>
              <w:jc w:val="center"/>
              <w:textAlignment w:val="baseline"/>
              <w:rPr>
                <w:szCs w:val="24"/>
                <w:lang w:eastAsia="et-EE"/>
              </w:rPr>
            </w:pPr>
            <w:r w:rsidRPr="001927D6">
              <w:rPr>
                <w:szCs w:val="24"/>
                <w:lang w:eastAsia="et-EE"/>
              </w:rPr>
              <w:t>355O </w:t>
            </w:r>
          </w:p>
        </w:tc>
        <w:tc>
          <w:tcPr>
            <w:tcW w:w="1243" w:type="dxa"/>
            <w:vAlign w:val="center"/>
          </w:tcPr>
          <w:p w14:paraId="1929119D" w14:textId="77777777" w:rsidR="00295BCD" w:rsidRPr="001927D6" w:rsidRDefault="00295BCD">
            <w:pPr>
              <w:spacing w:after="0" w:line="240" w:lineRule="auto"/>
              <w:jc w:val="center"/>
              <w:textAlignment w:val="baseline"/>
              <w:rPr>
                <w:szCs w:val="24"/>
                <w:lang w:eastAsia="et-EE"/>
              </w:rPr>
            </w:pPr>
            <w:r w:rsidRPr="001927D6">
              <w:rPr>
                <w:color w:val="000000"/>
                <w:szCs w:val="24"/>
              </w:rPr>
              <w:t>1 155,88</w:t>
            </w:r>
          </w:p>
        </w:tc>
        <w:tc>
          <w:tcPr>
            <w:tcW w:w="1211" w:type="dxa"/>
            <w:vAlign w:val="center"/>
          </w:tcPr>
          <w:p w14:paraId="57957692" w14:textId="77777777" w:rsidR="00295BCD" w:rsidRPr="001927D6" w:rsidRDefault="00295BCD">
            <w:pPr>
              <w:spacing w:after="0" w:line="240" w:lineRule="auto"/>
              <w:jc w:val="center"/>
              <w:textAlignment w:val="baseline"/>
              <w:rPr>
                <w:szCs w:val="24"/>
                <w:lang w:eastAsia="et-EE"/>
              </w:rPr>
            </w:pPr>
            <w:r w:rsidRPr="001927D6">
              <w:rPr>
                <w:color w:val="000000"/>
                <w:szCs w:val="24"/>
              </w:rPr>
              <w:t>882,29</w:t>
            </w:r>
          </w:p>
        </w:tc>
        <w:tc>
          <w:tcPr>
            <w:tcW w:w="1238" w:type="dxa"/>
            <w:vAlign w:val="center"/>
          </w:tcPr>
          <w:p w14:paraId="1BF2A445" w14:textId="77777777" w:rsidR="00295BCD" w:rsidRPr="001927D6" w:rsidRDefault="00295BCD">
            <w:pPr>
              <w:spacing w:after="0" w:line="240" w:lineRule="auto"/>
              <w:jc w:val="center"/>
              <w:textAlignment w:val="baseline"/>
              <w:rPr>
                <w:szCs w:val="24"/>
                <w:lang w:eastAsia="et-EE"/>
              </w:rPr>
            </w:pPr>
            <w:r w:rsidRPr="001927D6">
              <w:rPr>
                <w:color w:val="000000"/>
                <w:szCs w:val="24"/>
              </w:rPr>
              <w:t>1 617,15</w:t>
            </w:r>
          </w:p>
        </w:tc>
      </w:tr>
      <w:tr w:rsidR="00295BCD" w:rsidRPr="001927D6" w14:paraId="7B193D36" w14:textId="77777777" w:rsidTr="00295BCD">
        <w:trPr>
          <w:divId w:val="1316184749"/>
          <w:trHeight w:val="300"/>
        </w:trPr>
        <w:tc>
          <w:tcPr>
            <w:tcW w:w="4632" w:type="dxa"/>
            <w:vAlign w:val="bottom"/>
            <w:hideMark/>
          </w:tcPr>
          <w:p w14:paraId="50DA91EA" w14:textId="77777777" w:rsidR="00295BCD" w:rsidRPr="001927D6" w:rsidRDefault="00295BCD">
            <w:pPr>
              <w:spacing w:after="0" w:line="240" w:lineRule="auto"/>
              <w:textAlignment w:val="baseline"/>
              <w:rPr>
                <w:szCs w:val="24"/>
                <w:lang w:eastAsia="et-EE"/>
              </w:rPr>
            </w:pPr>
            <w:r w:rsidRPr="001927D6">
              <w:rPr>
                <w:szCs w:val="24"/>
                <w:lang w:eastAsia="et-EE"/>
              </w:rPr>
              <w:t>Naise reproduktiivsüsteemi rekonstruktiivsed operatsioonid </w:t>
            </w:r>
          </w:p>
        </w:tc>
        <w:tc>
          <w:tcPr>
            <w:tcW w:w="732" w:type="dxa"/>
            <w:vAlign w:val="center"/>
            <w:hideMark/>
          </w:tcPr>
          <w:p w14:paraId="6C1C9ED0" w14:textId="77777777" w:rsidR="00295BCD" w:rsidRPr="001927D6" w:rsidRDefault="00295BCD">
            <w:pPr>
              <w:spacing w:after="0" w:line="240" w:lineRule="auto"/>
              <w:jc w:val="center"/>
              <w:textAlignment w:val="baseline"/>
              <w:rPr>
                <w:szCs w:val="24"/>
                <w:lang w:eastAsia="et-EE"/>
              </w:rPr>
            </w:pPr>
            <w:r w:rsidRPr="001927D6">
              <w:rPr>
                <w:szCs w:val="24"/>
                <w:lang w:eastAsia="et-EE"/>
              </w:rPr>
              <w:t>356 </w:t>
            </w:r>
          </w:p>
        </w:tc>
        <w:tc>
          <w:tcPr>
            <w:tcW w:w="1243" w:type="dxa"/>
            <w:vAlign w:val="center"/>
          </w:tcPr>
          <w:p w14:paraId="2105857B" w14:textId="77777777" w:rsidR="00295BCD" w:rsidRPr="001927D6" w:rsidRDefault="00295BCD">
            <w:pPr>
              <w:spacing w:after="0" w:line="240" w:lineRule="auto"/>
              <w:jc w:val="center"/>
              <w:textAlignment w:val="baseline"/>
              <w:rPr>
                <w:szCs w:val="24"/>
                <w:lang w:eastAsia="et-EE"/>
              </w:rPr>
            </w:pPr>
            <w:r w:rsidRPr="001927D6">
              <w:rPr>
                <w:color w:val="000000"/>
                <w:szCs w:val="24"/>
              </w:rPr>
              <w:t>2 161,18</w:t>
            </w:r>
          </w:p>
        </w:tc>
        <w:tc>
          <w:tcPr>
            <w:tcW w:w="1211" w:type="dxa"/>
            <w:vAlign w:val="center"/>
          </w:tcPr>
          <w:p w14:paraId="6BDE7328" w14:textId="77777777" w:rsidR="00295BCD" w:rsidRPr="001927D6" w:rsidRDefault="00295BCD">
            <w:pPr>
              <w:spacing w:after="0" w:line="240" w:lineRule="auto"/>
              <w:jc w:val="center"/>
              <w:textAlignment w:val="baseline"/>
              <w:rPr>
                <w:szCs w:val="24"/>
                <w:lang w:eastAsia="et-EE"/>
              </w:rPr>
            </w:pPr>
            <w:r w:rsidRPr="001927D6">
              <w:rPr>
                <w:color w:val="000000"/>
                <w:szCs w:val="24"/>
              </w:rPr>
              <w:t>1 181,62</w:t>
            </w:r>
          </w:p>
        </w:tc>
        <w:tc>
          <w:tcPr>
            <w:tcW w:w="1238" w:type="dxa"/>
            <w:vAlign w:val="center"/>
          </w:tcPr>
          <w:p w14:paraId="4FF4BD91" w14:textId="77777777" w:rsidR="00295BCD" w:rsidRPr="001927D6" w:rsidRDefault="00295BCD">
            <w:pPr>
              <w:spacing w:after="0" w:line="240" w:lineRule="auto"/>
              <w:jc w:val="center"/>
              <w:textAlignment w:val="baseline"/>
              <w:rPr>
                <w:szCs w:val="24"/>
                <w:lang w:eastAsia="et-EE"/>
              </w:rPr>
            </w:pPr>
            <w:r w:rsidRPr="001927D6">
              <w:rPr>
                <w:color w:val="000000"/>
                <w:szCs w:val="24"/>
              </w:rPr>
              <w:t>3 511,76</w:t>
            </w:r>
          </w:p>
        </w:tc>
      </w:tr>
      <w:tr w:rsidR="00295BCD" w:rsidRPr="001927D6" w14:paraId="79C7F841" w14:textId="77777777" w:rsidTr="00295BCD">
        <w:trPr>
          <w:divId w:val="1316184749"/>
          <w:trHeight w:val="300"/>
        </w:trPr>
        <w:tc>
          <w:tcPr>
            <w:tcW w:w="4632" w:type="dxa"/>
            <w:vAlign w:val="bottom"/>
            <w:hideMark/>
          </w:tcPr>
          <w:p w14:paraId="124E4325" w14:textId="77777777" w:rsidR="00295BCD" w:rsidRPr="001927D6" w:rsidRDefault="00295BCD">
            <w:pPr>
              <w:spacing w:after="0" w:line="240" w:lineRule="auto"/>
              <w:textAlignment w:val="baseline"/>
              <w:rPr>
                <w:szCs w:val="24"/>
                <w:lang w:eastAsia="et-EE"/>
              </w:rPr>
            </w:pPr>
            <w:r w:rsidRPr="001927D6">
              <w:rPr>
                <w:szCs w:val="24"/>
                <w:lang w:eastAsia="et-EE"/>
              </w:rPr>
              <w:t>Naise reproduktiivsüsteemi rekonstruktiivsed operatsioonid, lühike ravi </w:t>
            </w:r>
          </w:p>
        </w:tc>
        <w:tc>
          <w:tcPr>
            <w:tcW w:w="732" w:type="dxa"/>
            <w:vAlign w:val="center"/>
            <w:hideMark/>
          </w:tcPr>
          <w:p w14:paraId="5F72A61A" w14:textId="77777777" w:rsidR="00295BCD" w:rsidRPr="001927D6" w:rsidRDefault="00295BCD">
            <w:pPr>
              <w:spacing w:after="0" w:line="240" w:lineRule="auto"/>
              <w:jc w:val="center"/>
              <w:textAlignment w:val="baseline"/>
              <w:rPr>
                <w:szCs w:val="24"/>
                <w:lang w:eastAsia="et-EE"/>
              </w:rPr>
            </w:pPr>
            <w:r w:rsidRPr="001927D6">
              <w:rPr>
                <w:szCs w:val="24"/>
                <w:lang w:eastAsia="et-EE"/>
              </w:rPr>
              <w:t>356O </w:t>
            </w:r>
          </w:p>
        </w:tc>
        <w:tc>
          <w:tcPr>
            <w:tcW w:w="1243" w:type="dxa"/>
            <w:vAlign w:val="center"/>
          </w:tcPr>
          <w:p w14:paraId="4C5B0E1C" w14:textId="77777777" w:rsidR="00295BCD" w:rsidRPr="001927D6" w:rsidRDefault="00295BCD">
            <w:pPr>
              <w:spacing w:after="0" w:line="240" w:lineRule="auto"/>
              <w:jc w:val="center"/>
              <w:textAlignment w:val="baseline"/>
              <w:rPr>
                <w:szCs w:val="24"/>
                <w:lang w:eastAsia="et-EE"/>
              </w:rPr>
            </w:pPr>
            <w:r w:rsidRPr="001927D6">
              <w:rPr>
                <w:color w:val="000000"/>
                <w:szCs w:val="24"/>
              </w:rPr>
              <w:t>1 120,27</w:t>
            </w:r>
          </w:p>
        </w:tc>
        <w:tc>
          <w:tcPr>
            <w:tcW w:w="1211" w:type="dxa"/>
            <w:vAlign w:val="center"/>
          </w:tcPr>
          <w:p w14:paraId="5C3919C4" w14:textId="77777777" w:rsidR="00295BCD" w:rsidRPr="001927D6" w:rsidRDefault="00295BCD">
            <w:pPr>
              <w:spacing w:after="0" w:line="240" w:lineRule="auto"/>
              <w:jc w:val="center"/>
              <w:textAlignment w:val="baseline"/>
              <w:rPr>
                <w:szCs w:val="24"/>
                <w:lang w:eastAsia="et-EE"/>
              </w:rPr>
            </w:pPr>
            <w:r w:rsidRPr="001927D6">
              <w:rPr>
                <w:color w:val="000000"/>
                <w:szCs w:val="24"/>
              </w:rPr>
              <w:t>854,69</w:t>
            </w:r>
          </w:p>
        </w:tc>
        <w:tc>
          <w:tcPr>
            <w:tcW w:w="1238" w:type="dxa"/>
            <w:vAlign w:val="center"/>
          </w:tcPr>
          <w:p w14:paraId="159E6CFE" w14:textId="77777777" w:rsidR="00295BCD" w:rsidRPr="001927D6" w:rsidRDefault="00295BCD">
            <w:pPr>
              <w:spacing w:after="0" w:line="240" w:lineRule="auto"/>
              <w:jc w:val="center"/>
              <w:textAlignment w:val="baseline"/>
              <w:rPr>
                <w:szCs w:val="24"/>
                <w:lang w:eastAsia="et-EE"/>
              </w:rPr>
            </w:pPr>
            <w:r w:rsidRPr="001927D6">
              <w:rPr>
                <w:color w:val="000000"/>
                <w:szCs w:val="24"/>
              </w:rPr>
              <w:t>1 291,98</w:t>
            </w:r>
          </w:p>
        </w:tc>
      </w:tr>
      <w:tr w:rsidR="00295BCD" w:rsidRPr="001927D6" w14:paraId="68108128" w14:textId="77777777" w:rsidTr="00295BCD">
        <w:trPr>
          <w:divId w:val="1316184749"/>
          <w:trHeight w:val="300"/>
        </w:trPr>
        <w:tc>
          <w:tcPr>
            <w:tcW w:w="4632" w:type="dxa"/>
            <w:vAlign w:val="bottom"/>
            <w:hideMark/>
          </w:tcPr>
          <w:p w14:paraId="078BC75C" w14:textId="77777777" w:rsidR="00295BCD" w:rsidRPr="001927D6" w:rsidRDefault="00295BCD">
            <w:pPr>
              <w:spacing w:after="0" w:line="240" w:lineRule="auto"/>
              <w:textAlignment w:val="baseline"/>
              <w:rPr>
                <w:szCs w:val="24"/>
                <w:lang w:eastAsia="et-EE"/>
              </w:rPr>
            </w:pPr>
            <w:r w:rsidRPr="001927D6">
              <w:rPr>
                <w:szCs w:val="24"/>
                <w:lang w:eastAsia="et-EE"/>
              </w:rPr>
              <w:t>Emaka ja emakamanuste operatsioonid munasarja või emakamanuste pahaloomuliste kasvajate korral </w:t>
            </w:r>
          </w:p>
        </w:tc>
        <w:tc>
          <w:tcPr>
            <w:tcW w:w="732" w:type="dxa"/>
            <w:vAlign w:val="center"/>
            <w:hideMark/>
          </w:tcPr>
          <w:p w14:paraId="186BBDB6" w14:textId="77777777" w:rsidR="00295BCD" w:rsidRPr="001927D6" w:rsidRDefault="00295BCD">
            <w:pPr>
              <w:spacing w:after="0" w:line="240" w:lineRule="auto"/>
              <w:jc w:val="center"/>
              <w:textAlignment w:val="baseline"/>
              <w:rPr>
                <w:szCs w:val="24"/>
                <w:lang w:eastAsia="et-EE"/>
              </w:rPr>
            </w:pPr>
            <w:r w:rsidRPr="001927D6">
              <w:rPr>
                <w:szCs w:val="24"/>
                <w:lang w:eastAsia="et-EE"/>
              </w:rPr>
              <w:t>357 </w:t>
            </w:r>
          </w:p>
        </w:tc>
        <w:tc>
          <w:tcPr>
            <w:tcW w:w="1243" w:type="dxa"/>
            <w:vAlign w:val="center"/>
          </w:tcPr>
          <w:p w14:paraId="7859A5D0" w14:textId="77777777" w:rsidR="00295BCD" w:rsidRPr="001927D6" w:rsidRDefault="00295BCD">
            <w:pPr>
              <w:spacing w:after="0" w:line="240" w:lineRule="auto"/>
              <w:jc w:val="center"/>
              <w:textAlignment w:val="baseline"/>
              <w:rPr>
                <w:szCs w:val="24"/>
                <w:lang w:eastAsia="et-EE"/>
              </w:rPr>
            </w:pPr>
            <w:r w:rsidRPr="001927D6">
              <w:rPr>
                <w:color w:val="000000"/>
                <w:szCs w:val="24"/>
              </w:rPr>
              <w:t>4 475,70</w:t>
            </w:r>
          </w:p>
        </w:tc>
        <w:tc>
          <w:tcPr>
            <w:tcW w:w="1211" w:type="dxa"/>
            <w:vAlign w:val="center"/>
          </w:tcPr>
          <w:p w14:paraId="223B0D55" w14:textId="77777777" w:rsidR="00295BCD" w:rsidRPr="001927D6" w:rsidRDefault="00295BCD">
            <w:pPr>
              <w:spacing w:after="0" w:line="240" w:lineRule="auto"/>
              <w:jc w:val="center"/>
              <w:textAlignment w:val="baseline"/>
              <w:rPr>
                <w:szCs w:val="24"/>
                <w:lang w:eastAsia="et-EE"/>
              </w:rPr>
            </w:pPr>
            <w:r w:rsidRPr="001927D6">
              <w:rPr>
                <w:color w:val="000000"/>
                <w:szCs w:val="24"/>
              </w:rPr>
              <w:t>2 049,17</w:t>
            </w:r>
          </w:p>
        </w:tc>
        <w:tc>
          <w:tcPr>
            <w:tcW w:w="1238" w:type="dxa"/>
            <w:vAlign w:val="center"/>
          </w:tcPr>
          <w:p w14:paraId="4E7B3797" w14:textId="77777777" w:rsidR="00295BCD" w:rsidRPr="001927D6" w:rsidRDefault="00295BCD">
            <w:pPr>
              <w:spacing w:after="0" w:line="240" w:lineRule="auto"/>
              <w:jc w:val="center"/>
              <w:textAlignment w:val="baseline"/>
              <w:rPr>
                <w:szCs w:val="24"/>
                <w:lang w:eastAsia="et-EE"/>
              </w:rPr>
            </w:pPr>
            <w:r w:rsidRPr="001927D6">
              <w:rPr>
                <w:color w:val="000000"/>
                <w:szCs w:val="24"/>
              </w:rPr>
              <w:t>9 793,17</w:t>
            </w:r>
          </w:p>
        </w:tc>
      </w:tr>
      <w:tr w:rsidR="00295BCD" w:rsidRPr="001927D6" w14:paraId="41EFFE43" w14:textId="77777777" w:rsidTr="00295BCD">
        <w:trPr>
          <w:divId w:val="1316184749"/>
          <w:trHeight w:val="300"/>
        </w:trPr>
        <w:tc>
          <w:tcPr>
            <w:tcW w:w="4632" w:type="dxa"/>
            <w:vAlign w:val="bottom"/>
            <w:hideMark/>
          </w:tcPr>
          <w:p w14:paraId="5C37CB8C" w14:textId="77777777" w:rsidR="00295BCD" w:rsidRPr="001927D6" w:rsidRDefault="00295BCD">
            <w:pPr>
              <w:spacing w:after="0" w:line="240" w:lineRule="auto"/>
              <w:textAlignment w:val="baseline"/>
              <w:rPr>
                <w:szCs w:val="24"/>
                <w:lang w:eastAsia="et-EE"/>
              </w:rPr>
            </w:pPr>
            <w:r w:rsidRPr="001927D6">
              <w:rPr>
                <w:szCs w:val="24"/>
                <w:lang w:eastAsia="et-EE"/>
              </w:rPr>
              <w:t>Emaka ja emakamanuste operatsioonid munasarja või emakamanuste pahaloomuliste kasvajate korral, lühike ravi </w:t>
            </w:r>
          </w:p>
        </w:tc>
        <w:tc>
          <w:tcPr>
            <w:tcW w:w="732" w:type="dxa"/>
            <w:vAlign w:val="center"/>
            <w:hideMark/>
          </w:tcPr>
          <w:p w14:paraId="6388A8E7" w14:textId="77777777" w:rsidR="00295BCD" w:rsidRPr="001927D6" w:rsidRDefault="00295BCD">
            <w:pPr>
              <w:spacing w:after="0" w:line="240" w:lineRule="auto"/>
              <w:jc w:val="center"/>
              <w:textAlignment w:val="baseline"/>
              <w:rPr>
                <w:szCs w:val="24"/>
                <w:lang w:eastAsia="et-EE"/>
              </w:rPr>
            </w:pPr>
            <w:r w:rsidRPr="001927D6">
              <w:rPr>
                <w:szCs w:val="24"/>
                <w:lang w:eastAsia="et-EE"/>
              </w:rPr>
              <w:t>357O </w:t>
            </w:r>
          </w:p>
        </w:tc>
        <w:tc>
          <w:tcPr>
            <w:tcW w:w="1243" w:type="dxa"/>
            <w:vAlign w:val="center"/>
          </w:tcPr>
          <w:p w14:paraId="0CC4871A" w14:textId="77777777" w:rsidR="00295BCD" w:rsidRPr="001927D6" w:rsidRDefault="00295BCD">
            <w:pPr>
              <w:spacing w:after="0" w:line="240" w:lineRule="auto"/>
              <w:jc w:val="center"/>
              <w:textAlignment w:val="baseline"/>
              <w:rPr>
                <w:szCs w:val="24"/>
                <w:lang w:eastAsia="et-EE"/>
              </w:rPr>
            </w:pPr>
            <w:r w:rsidRPr="001927D6">
              <w:rPr>
                <w:color w:val="000000"/>
                <w:szCs w:val="24"/>
              </w:rPr>
              <w:t>1 890,65</w:t>
            </w:r>
          </w:p>
        </w:tc>
        <w:tc>
          <w:tcPr>
            <w:tcW w:w="1211" w:type="dxa"/>
            <w:vAlign w:val="center"/>
          </w:tcPr>
          <w:p w14:paraId="6A7FBA79" w14:textId="77777777" w:rsidR="00295BCD" w:rsidRPr="001927D6" w:rsidRDefault="00295BCD">
            <w:pPr>
              <w:spacing w:after="0" w:line="240" w:lineRule="auto"/>
              <w:jc w:val="center"/>
              <w:textAlignment w:val="baseline"/>
              <w:rPr>
                <w:szCs w:val="24"/>
                <w:lang w:eastAsia="et-EE"/>
              </w:rPr>
            </w:pPr>
            <w:r w:rsidRPr="001927D6">
              <w:rPr>
                <w:color w:val="000000"/>
                <w:szCs w:val="24"/>
              </w:rPr>
              <w:t>1 454,69</w:t>
            </w:r>
          </w:p>
        </w:tc>
        <w:tc>
          <w:tcPr>
            <w:tcW w:w="1238" w:type="dxa"/>
            <w:vAlign w:val="center"/>
          </w:tcPr>
          <w:p w14:paraId="41219F7B" w14:textId="77777777" w:rsidR="00295BCD" w:rsidRPr="001927D6" w:rsidRDefault="00295BCD">
            <w:pPr>
              <w:spacing w:after="0" w:line="240" w:lineRule="auto"/>
              <w:jc w:val="center"/>
              <w:textAlignment w:val="baseline"/>
              <w:rPr>
                <w:szCs w:val="24"/>
                <w:lang w:eastAsia="et-EE"/>
              </w:rPr>
            </w:pPr>
            <w:r w:rsidRPr="001927D6">
              <w:rPr>
                <w:color w:val="000000"/>
                <w:szCs w:val="24"/>
              </w:rPr>
              <w:t>2 575,04</w:t>
            </w:r>
          </w:p>
        </w:tc>
      </w:tr>
      <w:tr w:rsidR="00295BCD" w:rsidRPr="001927D6" w14:paraId="50E62CFE" w14:textId="77777777" w:rsidTr="00295BCD">
        <w:trPr>
          <w:divId w:val="1316184749"/>
          <w:trHeight w:val="300"/>
        </w:trPr>
        <w:tc>
          <w:tcPr>
            <w:tcW w:w="4632" w:type="dxa"/>
            <w:vAlign w:val="bottom"/>
            <w:hideMark/>
          </w:tcPr>
          <w:p w14:paraId="2EFA1C3E" w14:textId="77777777" w:rsidR="00295BCD" w:rsidRPr="001927D6" w:rsidRDefault="00295BCD">
            <w:pPr>
              <w:spacing w:after="0" w:line="240" w:lineRule="auto"/>
              <w:textAlignment w:val="baseline"/>
              <w:rPr>
                <w:szCs w:val="24"/>
                <w:lang w:eastAsia="et-EE"/>
              </w:rPr>
            </w:pPr>
            <w:r w:rsidRPr="001927D6">
              <w:rPr>
                <w:szCs w:val="24"/>
                <w:lang w:eastAsia="et-EE"/>
              </w:rPr>
              <w:t>Emaka ja emakamanuste operatsioonid munasarja või emakamanuste mittepahaloomuliste kasvajate korral, kht-ga </w:t>
            </w:r>
          </w:p>
        </w:tc>
        <w:tc>
          <w:tcPr>
            <w:tcW w:w="732" w:type="dxa"/>
            <w:vAlign w:val="center"/>
            <w:hideMark/>
          </w:tcPr>
          <w:p w14:paraId="4C1A5070" w14:textId="77777777" w:rsidR="00295BCD" w:rsidRPr="001927D6" w:rsidRDefault="00295BCD">
            <w:pPr>
              <w:spacing w:after="0" w:line="240" w:lineRule="auto"/>
              <w:jc w:val="center"/>
              <w:textAlignment w:val="baseline"/>
              <w:rPr>
                <w:szCs w:val="24"/>
                <w:lang w:eastAsia="et-EE"/>
              </w:rPr>
            </w:pPr>
            <w:r w:rsidRPr="001927D6">
              <w:rPr>
                <w:szCs w:val="24"/>
                <w:lang w:eastAsia="et-EE"/>
              </w:rPr>
              <w:t>358 </w:t>
            </w:r>
          </w:p>
        </w:tc>
        <w:tc>
          <w:tcPr>
            <w:tcW w:w="1243" w:type="dxa"/>
            <w:vAlign w:val="center"/>
          </w:tcPr>
          <w:p w14:paraId="288CB154" w14:textId="77777777" w:rsidR="00295BCD" w:rsidRPr="001927D6" w:rsidRDefault="00295BCD">
            <w:pPr>
              <w:spacing w:after="0" w:line="240" w:lineRule="auto"/>
              <w:jc w:val="center"/>
              <w:textAlignment w:val="baseline"/>
              <w:rPr>
                <w:szCs w:val="24"/>
                <w:lang w:eastAsia="et-EE"/>
              </w:rPr>
            </w:pPr>
            <w:r w:rsidRPr="001927D6">
              <w:rPr>
                <w:color w:val="000000"/>
                <w:szCs w:val="24"/>
              </w:rPr>
              <w:t>3 014,75</w:t>
            </w:r>
          </w:p>
        </w:tc>
        <w:tc>
          <w:tcPr>
            <w:tcW w:w="1211" w:type="dxa"/>
            <w:vAlign w:val="center"/>
          </w:tcPr>
          <w:p w14:paraId="387BB8C9" w14:textId="77777777" w:rsidR="00295BCD" w:rsidRPr="001927D6" w:rsidRDefault="00295BCD">
            <w:pPr>
              <w:spacing w:after="0" w:line="240" w:lineRule="auto"/>
              <w:jc w:val="center"/>
              <w:textAlignment w:val="baseline"/>
              <w:rPr>
                <w:szCs w:val="24"/>
                <w:lang w:eastAsia="et-EE"/>
              </w:rPr>
            </w:pPr>
            <w:r w:rsidRPr="001927D6">
              <w:rPr>
                <w:color w:val="000000"/>
                <w:szCs w:val="24"/>
              </w:rPr>
              <w:t>1 516,64</w:t>
            </w:r>
          </w:p>
        </w:tc>
        <w:tc>
          <w:tcPr>
            <w:tcW w:w="1238" w:type="dxa"/>
            <w:vAlign w:val="center"/>
          </w:tcPr>
          <w:p w14:paraId="7D6CC59E" w14:textId="77777777" w:rsidR="00295BCD" w:rsidRPr="001927D6" w:rsidRDefault="00295BCD">
            <w:pPr>
              <w:spacing w:after="0" w:line="240" w:lineRule="auto"/>
              <w:jc w:val="center"/>
              <w:textAlignment w:val="baseline"/>
              <w:rPr>
                <w:szCs w:val="24"/>
                <w:lang w:eastAsia="et-EE"/>
              </w:rPr>
            </w:pPr>
            <w:r w:rsidRPr="001927D6">
              <w:rPr>
                <w:color w:val="000000"/>
                <w:szCs w:val="24"/>
              </w:rPr>
              <w:t>4 444,84</w:t>
            </w:r>
          </w:p>
        </w:tc>
      </w:tr>
      <w:tr w:rsidR="00295BCD" w:rsidRPr="001927D6" w14:paraId="6721E0FC" w14:textId="77777777" w:rsidTr="00295BCD">
        <w:trPr>
          <w:divId w:val="1316184749"/>
          <w:trHeight w:val="300"/>
        </w:trPr>
        <w:tc>
          <w:tcPr>
            <w:tcW w:w="4632" w:type="dxa"/>
            <w:vAlign w:val="bottom"/>
            <w:hideMark/>
          </w:tcPr>
          <w:p w14:paraId="2958EA03" w14:textId="77777777" w:rsidR="00295BCD" w:rsidRPr="001927D6" w:rsidRDefault="00295BCD">
            <w:pPr>
              <w:spacing w:after="0" w:line="240" w:lineRule="auto"/>
              <w:textAlignment w:val="baseline"/>
              <w:rPr>
                <w:szCs w:val="24"/>
                <w:lang w:eastAsia="et-EE"/>
              </w:rPr>
            </w:pPr>
            <w:r w:rsidRPr="001927D6">
              <w:rPr>
                <w:szCs w:val="24"/>
                <w:lang w:eastAsia="et-EE"/>
              </w:rPr>
              <w:t>Emaka ja emakamanuste operatsioonid munasarja või emakamanuste mittepahaloomuliste kasvajate korral, kht-ta </w:t>
            </w:r>
          </w:p>
        </w:tc>
        <w:tc>
          <w:tcPr>
            <w:tcW w:w="732" w:type="dxa"/>
            <w:vAlign w:val="center"/>
            <w:hideMark/>
          </w:tcPr>
          <w:p w14:paraId="5316317B" w14:textId="77777777" w:rsidR="00295BCD" w:rsidRPr="001927D6" w:rsidRDefault="00295BCD">
            <w:pPr>
              <w:spacing w:after="0" w:line="240" w:lineRule="auto"/>
              <w:jc w:val="center"/>
              <w:textAlignment w:val="baseline"/>
              <w:rPr>
                <w:szCs w:val="24"/>
                <w:lang w:eastAsia="et-EE"/>
              </w:rPr>
            </w:pPr>
            <w:r w:rsidRPr="001927D6">
              <w:rPr>
                <w:szCs w:val="24"/>
                <w:lang w:eastAsia="et-EE"/>
              </w:rPr>
              <w:t>359 </w:t>
            </w:r>
          </w:p>
        </w:tc>
        <w:tc>
          <w:tcPr>
            <w:tcW w:w="1243" w:type="dxa"/>
            <w:vAlign w:val="center"/>
          </w:tcPr>
          <w:p w14:paraId="157524F6" w14:textId="77777777" w:rsidR="00295BCD" w:rsidRPr="001927D6" w:rsidRDefault="00295BCD">
            <w:pPr>
              <w:spacing w:after="0" w:line="240" w:lineRule="auto"/>
              <w:jc w:val="center"/>
              <w:textAlignment w:val="baseline"/>
              <w:rPr>
                <w:szCs w:val="24"/>
                <w:lang w:eastAsia="et-EE"/>
              </w:rPr>
            </w:pPr>
            <w:r w:rsidRPr="001927D6">
              <w:rPr>
                <w:color w:val="000000"/>
                <w:szCs w:val="24"/>
              </w:rPr>
              <w:t>2 722,16</w:t>
            </w:r>
          </w:p>
        </w:tc>
        <w:tc>
          <w:tcPr>
            <w:tcW w:w="1211" w:type="dxa"/>
            <w:vAlign w:val="center"/>
          </w:tcPr>
          <w:p w14:paraId="4A17ACB6" w14:textId="77777777" w:rsidR="00295BCD" w:rsidRPr="001927D6" w:rsidRDefault="00295BCD">
            <w:pPr>
              <w:spacing w:after="0" w:line="240" w:lineRule="auto"/>
              <w:jc w:val="center"/>
              <w:textAlignment w:val="baseline"/>
              <w:rPr>
                <w:szCs w:val="24"/>
                <w:lang w:eastAsia="et-EE"/>
              </w:rPr>
            </w:pPr>
            <w:r w:rsidRPr="001927D6">
              <w:rPr>
                <w:color w:val="000000"/>
                <w:szCs w:val="24"/>
              </w:rPr>
              <w:t>1 510,23</w:t>
            </w:r>
          </w:p>
        </w:tc>
        <w:tc>
          <w:tcPr>
            <w:tcW w:w="1238" w:type="dxa"/>
            <w:vAlign w:val="center"/>
          </w:tcPr>
          <w:p w14:paraId="09499691" w14:textId="77777777" w:rsidR="00295BCD" w:rsidRPr="001927D6" w:rsidRDefault="00295BCD">
            <w:pPr>
              <w:spacing w:after="0" w:line="240" w:lineRule="auto"/>
              <w:jc w:val="center"/>
              <w:textAlignment w:val="baseline"/>
              <w:rPr>
                <w:szCs w:val="24"/>
                <w:lang w:eastAsia="et-EE"/>
              </w:rPr>
            </w:pPr>
            <w:r w:rsidRPr="001927D6">
              <w:rPr>
                <w:color w:val="000000"/>
                <w:szCs w:val="24"/>
              </w:rPr>
              <w:t>4 287,23</w:t>
            </w:r>
          </w:p>
        </w:tc>
      </w:tr>
      <w:tr w:rsidR="00295BCD" w:rsidRPr="001927D6" w14:paraId="6F31F10A" w14:textId="77777777" w:rsidTr="00295BCD">
        <w:trPr>
          <w:divId w:val="1316184749"/>
          <w:trHeight w:val="300"/>
        </w:trPr>
        <w:tc>
          <w:tcPr>
            <w:tcW w:w="4632" w:type="dxa"/>
            <w:vAlign w:val="bottom"/>
            <w:hideMark/>
          </w:tcPr>
          <w:p w14:paraId="19C1191D" w14:textId="77777777" w:rsidR="00295BCD" w:rsidRPr="001927D6" w:rsidRDefault="00295BCD">
            <w:pPr>
              <w:spacing w:after="0" w:line="240" w:lineRule="auto"/>
              <w:textAlignment w:val="baseline"/>
              <w:rPr>
                <w:szCs w:val="24"/>
                <w:lang w:eastAsia="et-EE"/>
              </w:rPr>
            </w:pPr>
            <w:r w:rsidRPr="001927D6">
              <w:rPr>
                <w:szCs w:val="24"/>
                <w:lang w:eastAsia="et-EE"/>
              </w:rPr>
              <w:t>Emaka ja emakamanuste operatsioonid munasarja või emakamanuste mittepahaloomuliste kasvajate korral, lühike ravi </w:t>
            </w:r>
          </w:p>
        </w:tc>
        <w:tc>
          <w:tcPr>
            <w:tcW w:w="732" w:type="dxa"/>
            <w:vAlign w:val="center"/>
            <w:hideMark/>
          </w:tcPr>
          <w:p w14:paraId="1FED20CA" w14:textId="77777777" w:rsidR="00295BCD" w:rsidRPr="001927D6" w:rsidRDefault="00295BCD">
            <w:pPr>
              <w:spacing w:after="0" w:line="240" w:lineRule="auto"/>
              <w:jc w:val="center"/>
              <w:textAlignment w:val="baseline"/>
              <w:rPr>
                <w:szCs w:val="24"/>
                <w:lang w:eastAsia="et-EE"/>
              </w:rPr>
            </w:pPr>
            <w:r w:rsidRPr="001927D6">
              <w:rPr>
                <w:szCs w:val="24"/>
                <w:lang w:eastAsia="et-EE"/>
              </w:rPr>
              <w:t>359O </w:t>
            </w:r>
          </w:p>
        </w:tc>
        <w:tc>
          <w:tcPr>
            <w:tcW w:w="1243" w:type="dxa"/>
            <w:vAlign w:val="center"/>
          </w:tcPr>
          <w:p w14:paraId="670FA226" w14:textId="77777777" w:rsidR="00295BCD" w:rsidRPr="001927D6" w:rsidRDefault="00295BCD">
            <w:pPr>
              <w:spacing w:after="0" w:line="240" w:lineRule="auto"/>
              <w:jc w:val="center"/>
              <w:textAlignment w:val="baseline"/>
              <w:rPr>
                <w:szCs w:val="24"/>
                <w:lang w:eastAsia="et-EE"/>
              </w:rPr>
            </w:pPr>
            <w:r w:rsidRPr="001927D6">
              <w:rPr>
                <w:color w:val="000000"/>
                <w:szCs w:val="24"/>
              </w:rPr>
              <w:t>944,69</w:t>
            </w:r>
          </w:p>
        </w:tc>
        <w:tc>
          <w:tcPr>
            <w:tcW w:w="1211" w:type="dxa"/>
            <w:vAlign w:val="center"/>
          </w:tcPr>
          <w:p w14:paraId="5DCC718E" w14:textId="77777777" w:rsidR="00295BCD" w:rsidRPr="001927D6" w:rsidRDefault="00295BCD">
            <w:pPr>
              <w:spacing w:after="0" w:line="240" w:lineRule="auto"/>
              <w:jc w:val="center"/>
              <w:textAlignment w:val="baseline"/>
              <w:rPr>
                <w:szCs w:val="24"/>
                <w:lang w:eastAsia="et-EE"/>
              </w:rPr>
            </w:pPr>
            <w:r w:rsidRPr="001927D6">
              <w:rPr>
                <w:color w:val="000000"/>
                <w:szCs w:val="24"/>
              </w:rPr>
              <w:t>763,46</w:t>
            </w:r>
          </w:p>
        </w:tc>
        <w:tc>
          <w:tcPr>
            <w:tcW w:w="1238" w:type="dxa"/>
            <w:vAlign w:val="center"/>
          </w:tcPr>
          <w:p w14:paraId="072D480E" w14:textId="77777777" w:rsidR="00295BCD" w:rsidRPr="001927D6" w:rsidRDefault="00295BCD">
            <w:pPr>
              <w:spacing w:after="0" w:line="240" w:lineRule="auto"/>
              <w:jc w:val="center"/>
              <w:textAlignment w:val="baseline"/>
              <w:rPr>
                <w:szCs w:val="24"/>
                <w:lang w:eastAsia="et-EE"/>
              </w:rPr>
            </w:pPr>
            <w:r w:rsidRPr="001927D6">
              <w:rPr>
                <w:color w:val="000000"/>
                <w:szCs w:val="24"/>
              </w:rPr>
              <w:t>1 244,63</w:t>
            </w:r>
          </w:p>
        </w:tc>
      </w:tr>
      <w:tr w:rsidR="00295BCD" w:rsidRPr="001927D6" w14:paraId="5B0A7A6B" w14:textId="77777777" w:rsidTr="00295BCD">
        <w:trPr>
          <w:divId w:val="1316184749"/>
          <w:trHeight w:val="300"/>
        </w:trPr>
        <w:tc>
          <w:tcPr>
            <w:tcW w:w="4632" w:type="dxa"/>
            <w:vAlign w:val="bottom"/>
            <w:hideMark/>
          </w:tcPr>
          <w:p w14:paraId="69F8F00F" w14:textId="77777777" w:rsidR="00295BCD" w:rsidRPr="001927D6" w:rsidRDefault="00295BCD">
            <w:pPr>
              <w:spacing w:after="0" w:line="240" w:lineRule="auto"/>
              <w:textAlignment w:val="baseline"/>
              <w:rPr>
                <w:szCs w:val="24"/>
                <w:lang w:eastAsia="et-EE"/>
              </w:rPr>
            </w:pPr>
            <w:r w:rsidRPr="001927D6">
              <w:rPr>
                <w:szCs w:val="24"/>
                <w:lang w:eastAsia="et-EE"/>
              </w:rPr>
              <w:t>Tupe, emakakaela ja vulva operatsioonid </w:t>
            </w:r>
          </w:p>
        </w:tc>
        <w:tc>
          <w:tcPr>
            <w:tcW w:w="732" w:type="dxa"/>
            <w:vAlign w:val="center"/>
            <w:hideMark/>
          </w:tcPr>
          <w:p w14:paraId="0E1E7127" w14:textId="77777777" w:rsidR="00295BCD" w:rsidRPr="001927D6" w:rsidRDefault="00295BCD">
            <w:pPr>
              <w:spacing w:after="0" w:line="240" w:lineRule="auto"/>
              <w:jc w:val="center"/>
              <w:textAlignment w:val="baseline"/>
              <w:rPr>
                <w:szCs w:val="24"/>
                <w:lang w:eastAsia="et-EE"/>
              </w:rPr>
            </w:pPr>
            <w:r w:rsidRPr="001927D6">
              <w:rPr>
                <w:szCs w:val="24"/>
                <w:lang w:eastAsia="et-EE"/>
              </w:rPr>
              <w:t>360 </w:t>
            </w:r>
          </w:p>
        </w:tc>
        <w:tc>
          <w:tcPr>
            <w:tcW w:w="1243" w:type="dxa"/>
            <w:vAlign w:val="center"/>
          </w:tcPr>
          <w:p w14:paraId="40E7A8C1" w14:textId="77777777" w:rsidR="00295BCD" w:rsidRPr="001927D6" w:rsidRDefault="00295BCD">
            <w:pPr>
              <w:spacing w:after="0" w:line="240" w:lineRule="auto"/>
              <w:jc w:val="center"/>
              <w:textAlignment w:val="baseline"/>
              <w:rPr>
                <w:szCs w:val="24"/>
                <w:lang w:eastAsia="et-EE"/>
              </w:rPr>
            </w:pPr>
            <w:r w:rsidRPr="001927D6">
              <w:rPr>
                <w:color w:val="000000"/>
                <w:szCs w:val="24"/>
              </w:rPr>
              <w:t>1 195,98</w:t>
            </w:r>
          </w:p>
        </w:tc>
        <w:tc>
          <w:tcPr>
            <w:tcW w:w="1211" w:type="dxa"/>
            <w:vAlign w:val="center"/>
          </w:tcPr>
          <w:p w14:paraId="1241C7D0" w14:textId="77777777" w:rsidR="00295BCD" w:rsidRPr="001927D6" w:rsidRDefault="00295BCD">
            <w:pPr>
              <w:spacing w:after="0" w:line="240" w:lineRule="auto"/>
              <w:jc w:val="center"/>
              <w:textAlignment w:val="baseline"/>
              <w:rPr>
                <w:szCs w:val="24"/>
                <w:lang w:eastAsia="et-EE"/>
              </w:rPr>
            </w:pPr>
            <w:r w:rsidRPr="001927D6">
              <w:rPr>
                <w:color w:val="000000"/>
                <w:szCs w:val="24"/>
              </w:rPr>
              <w:t>617,42</w:t>
            </w:r>
          </w:p>
        </w:tc>
        <w:tc>
          <w:tcPr>
            <w:tcW w:w="1238" w:type="dxa"/>
            <w:vAlign w:val="center"/>
          </w:tcPr>
          <w:p w14:paraId="009B25EC" w14:textId="77777777" w:rsidR="00295BCD" w:rsidRPr="001927D6" w:rsidRDefault="00295BCD">
            <w:pPr>
              <w:spacing w:after="0" w:line="240" w:lineRule="auto"/>
              <w:jc w:val="center"/>
              <w:textAlignment w:val="baseline"/>
              <w:rPr>
                <w:szCs w:val="24"/>
                <w:lang w:eastAsia="et-EE"/>
              </w:rPr>
            </w:pPr>
            <w:r w:rsidRPr="001927D6">
              <w:rPr>
                <w:color w:val="000000"/>
                <w:szCs w:val="24"/>
              </w:rPr>
              <w:t>2 489,48</w:t>
            </w:r>
          </w:p>
        </w:tc>
      </w:tr>
      <w:tr w:rsidR="00295BCD" w:rsidRPr="001927D6" w14:paraId="2BACB0CE" w14:textId="77777777" w:rsidTr="00295BCD">
        <w:trPr>
          <w:divId w:val="1316184749"/>
          <w:trHeight w:val="300"/>
        </w:trPr>
        <w:tc>
          <w:tcPr>
            <w:tcW w:w="4632" w:type="dxa"/>
            <w:vAlign w:val="bottom"/>
            <w:hideMark/>
          </w:tcPr>
          <w:p w14:paraId="3C0730BE" w14:textId="77777777" w:rsidR="00295BCD" w:rsidRPr="001927D6" w:rsidRDefault="00295BCD">
            <w:pPr>
              <w:spacing w:after="0" w:line="240" w:lineRule="auto"/>
              <w:textAlignment w:val="baseline"/>
              <w:rPr>
                <w:szCs w:val="24"/>
                <w:lang w:eastAsia="et-EE"/>
              </w:rPr>
            </w:pPr>
            <w:r w:rsidRPr="001927D6">
              <w:rPr>
                <w:szCs w:val="24"/>
                <w:lang w:eastAsia="et-EE"/>
              </w:rPr>
              <w:t>Tupe, emakakaela ja vulva operatsioonid, lühike ravi </w:t>
            </w:r>
          </w:p>
        </w:tc>
        <w:tc>
          <w:tcPr>
            <w:tcW w:w="732" w:type="dxa"/>
            <w:vAlign w:val="center"/>
            <w:hideMark/>
          </w:tcPr>
          <w:p w14:paraId="7AE5AE1B" w14:textId="77777777" w:rsidR="00295BCD" w:rsidRPr="001927D6" w:rsidRDefault="00295BCD">
            <w:pPr>
              <w:spacing w:after="0" w:line="240" w:lineRule="auto"/>
              <w:jc w:val="center"/>
              <w:textAlignment w:val="baseline"/>
              <w:rPr>
                <w:szCs w:val="24"/>
                <w:lang w:eastAsia="et-EE"/>
              </w:rPr>
            </w:pPr>
            <w:r w:rsidRPr="001927D6">
              <w:rPr>
                <w:szCs w:val="24"/>
                <w:lang w:eastAsia="et-EE"/>
              </w:rPr>
              <w:t>360O </w:t>
            </w:r>
          </w:p>
        </w:tc>
        <w:tc>
          <w:tcPr>
            <w:tcW w:w="1243" w:type="dxa"/>
            <w:vAlign w:val="center"/>
          </w:tcPr>
          <w:p w14:paraId="58552DC7" w14:textId="77777777" w:rsidR="00295BCD" w:rsidRPr="001927D6" w:rsidRDefault="00295BCD">
            <w:pPr>
              <w:spacing w:after="0" w:line="240" w:lineRule="auto"/>
              <w:jc w:val="center"/>
              <w:textAlignment w:val="baseline"/>
              <w:rPr>
                <w:szCs w:val="24"/>
                <w:lang w:eastAsia="et-EE"/>
              </w:rPr>
            </w:pPr>
            <w:r w:rsidRPr="001927D6">
              <w:rPr>
                <w:color w:val="000000"/>
                <w:szCs w:val="24"/>
              </w:rPr>
              <w:t>674,47</w:t>
            </w:r>
          </w:p>
        </w:tc>
        <w:tc>
          <w:tcPr>
            <w:tcW w:w="1211" w:type="dxa"/>
            <w:vAlign w:val="center"/>
          </w:tcPr>
          <w:p w14:paraId="56CA21C1" w14:textId="77777777" w:rsidR="00295BCD" w:rsidRPr="001927D6" w:rsidRDefault="00295BCD">
            <w:pPr>
              <w:spacing w:after="0" w:line="240" w:lineRule="auto"/>
              <w:jc w:val="center"/>
              <w:textAlignment w:val="baseline"/>
              <w:rPr>
                <w:szCs w:val="24"/>
                <w:lang w:eastAsia="et-EE"/>
              </w:rPr>
            </w:pPr>
            <w:r w:rsidRPr="001927D6">
              <w:rPr>
                <w:color w:val="000000"/>
                <w:szCs w:val="24"/>
              </w:rPr>
              <w:t>432,30</w:t>
            </w:r>
          </w:p>
        </w:tc>
        <w:tc>
          <w:tcPr>
            <w:tcW w:w="1238" w:type="dxa"/>
            <w:vAlign w:val="center"/>
          </w:tcPr>
          <w:p w14:paraId="237DC99F" w14:textId="77777777" w:rsidR="00295BCD" w:rsidRPr="001927D6" w:rsidRDefault="00295BCD">
            <w:pPr>
              <w:spacing w:after="0" w:line="240" w:lineRule="auto"/>
              <w:jc w:val="center"/>
              <w:textAlignment w:val="baseline"/>
              <w:rPr>
                <w:szCs w:val="24"/>
                <w:lang w:eastAsia="et-EE"/>
              </w:rPr>
            </w:pPr>
            <w:r w:rsidRPr="001927D6">
              <w:rPr>
                <w:color w:val="000000"/>
                <w:szCs w:val="24"/>
              </w:rPr>
              <w:t>1 089,98</w:t>
            </w:r>
          </w:p>
        </w:tc>
      </w:tr>
      <w:tr w:rsidR="00295BCD" w:rsidRPr="001927D6" w14:paraId="38DD9594" w14:textId="77777777" w:rsidTr="00295BCD">
        <w:trPr>
          <w:divId w:val="1316184749"/>
          <w:trHeight w:val="300"/>
        </w:trPr>
        <w:tc>
          <w:tcPr>
            <w:tcW w:w="4632" w:type="dxa"/>
            <w:vAlign w:val="bottom"/>
            <w:hideMark/>
          </w:tcPr>
          <w:p w14:paraId="1B0792B9" w14:textId="77777777" w:rsidR="00295BCD" w:rsidRPr="001927D6" w:rsidRDefault="00295BCD">
            <w:pPr>
              <w:spacing w:after="0" w:line="240" w:lineRule="auto"/>
              <w:textAlignment w:val="baseline"/>
              <w:rPr>
                <w:szCs w:val="24"/>
                <w:lang w:eastAsia="et-EE"/>
              </w:rPr>
            </w:pPr>
            <w:r w:rsidRPr="001927D6">
              <w:rPr>
                <w:szCs w:val="24"/>
                <w:lang w:eastAsia="et-EE"/>
              </w:rPr>
              <w:t>Günekoloogiline laparoskoopia või naise steriliseerimine laparotoomial </w:t>
            </w:r>
          </w:p>
        </w:tc>
        <w:tc>
          <w:tcPr>
            <w:tcW w:w="732" w:type="dxa"/>
            <w:vAlign w:val="center"/>
            <w:hideMark/>
          </w:tcPr>
          <w:p w14:paraId="0C948C6A" w14:textId="77777777" w:rsidR="00295BCD" w:rsidRPr="001927D6" w:rsidRDefault="00295BCD">
            <w:pPr>
              <w:spacing w:after="0" w:line="240" w:lineRule="auto"/>
              <w:jc w:val="center"/>
              <w:textAlignment w:val="baseline"/>
              <w:rPr>
                <w:szCs w:val="24"/>
                <w:lang w:eastAsia="et-EE"/>
              </w:rPr>
            </w:pPr>
            <w:r w:rsidRPr="001927D6">
              <w:rPr>
                <w:szCs w:val="24"/>
                <w:lang w:eastAsia="et-EE"/>
              </w:rPr>
              <w:t>361 </w:t>
            </w:r>
          </w:p>
        </w:tc>
        <w:tc>
          <w:tcPr>
            <w:tcW w:w="1243" w:type="dxa"/>
            <w:vAlign w:val="center"/>
          </w:tcPr>
          <w:p w14:paraId="39DB83BE" w14:textId="77777777" w:rsidR="00295BCD" w:rsidRPr="001927D6" w:rsidRDefault="00295BCD">
            <w:pPr>
              <w:spacing w:after="0" w:line="240" w:lineRule="auto"/>
              <w:jc w:val="center"/>
              <w:textAlignment w:val="baseline"/>
              <w:rPr>
                <w:szCs w:val="24"/>
                <w:lang w:eastAsia="et-EE"/>
              </w:rPr>
            </w:pPr>
            <w:r w:rsidRPr="001927D6">
              <w:rPr>
                <w:color w:val="000000"/>
                <w:szCs w:val="24"/>
              </w:rPr>
              <w:t>1 917,61</w:t>
            </w:r>
          </w:p>
        </w:tc>
        <w:tc>
          <w:tcPr>
            <w:tcW w:w="1211" w:type="dxa"/>
            <w:vAlign w:val="center"/>
          </w:tcPr>
          <w:p w14:paraId="3559E392" w14:textId="77777777" w:rsidR="00295BCD" w:rsidRPr="001927D6" w:rsidRDefault="00295BCD">
            <w:pPr>
              <w:spacing w:after="0" w:line="240" w:lineRule="auto"/>
              <w:jc w:val="center"/>
              <w:textAlignment w:val="baseline"/>
              <w:rPr>
                <w:szCs w:val="24"/>
                <w:lang w:eastAsia="et-EE"/>
              </w:rPr>
            </w:pPr>
            <w:r w:rsidRPr="001927D6">
              <w:rPr>
                <w:color w:val="000000"/>
                <w:szCs w:val="24"/>
              </w:rPr>
              <w:t>1 226,61</w:t>
            </w:r>
          </w:p>
        </w:tc>
        <w:tc>
          <w:tcPr>
            <w:tcW w:w="1238" w:type="dxa"/>
            <w:vAlign w:val="center"/>
          </w:tcPr>
          <w:p w14:paraId="547C1FD2" w14:textId="77777777" w:rsidR="00295BCD" w:rsidRPr="001927D6" w:rsidRDefault="00295BCD">
            <w:pPr>
              <w:spacing w:after="0" w:line="240" w:lineRule="auto"/>
              <w:jc w:val="center"/>
              <w:textAlignment w:val="baseline"/>
              <w:rPr>
                <w:szCs w:val="24"/>
                <w:lang w:eastAsia="et-EE"/>
              </w:rPr>
            </w:pPr>
            <w:r w:rsidRPr="001927D6">
              <w:rPr>
                <w:color w:val="000000"/>
                <w:szCs w:val="24"/>
              </w:rPr>
              <w:t>4 284,39</w:t>
            </w:r>
          </w:p>
        </w:tc>
      </w:tr>
      <w:tr w:rsidR="00295BCD" w:rsidRPr="001927D6" w14:paraId="6B42E965" w14:textId="77777777" w:rsidTr="00295BCD">
        <w:trPr>
          <w:divId w:val="1316184749"/>
          <w:trHeight w:val="300"/>
        </w:trPr>
        <w:tc>
          <w:tcPr>
            <w:tcW w:w="4632" w:type="dxa"/>
            <w:vAlign w:val="bottom"/>
            <w:hideMark/>
          </w:tcPr>
          <w:p w14:paraId="27C023E3" w14:textId="77777777" w:rsidR="00295BCD" w:rsidRPr="001927D6" w:rsidRDefault="00295BCD">
            <w:pPr>
              <w:spacing w:after="0" w:line="240" w:lineRule="auto"/>
              <w:textAlignment w:val="baseline"/>
              <w:rPr>
                <w:szCs w:val="24"/>
                <w:lang w:eastAsia="et-EE"/>
              </w:rPr>
            </w:pPr>
            <w:r w:rsidRPr="001927D6">
              <w:rPr>
                <w:szCs w:val="24"/>
                <w:lang w:eastAsia="et-EE"/>
              </w:rPr>
              <w:t>Günekoloogiline laparoskoopia või naise steriliseerimine laparotoomial, lühike ravi </w:t>
            </w:r>
          </w:p>
        </w:tc>
        <w:tc>
          <w:tcPr>
            <w:tcW w:w="732" w:type="dxa"/>
            <w:vAlign w:val="center"/>
            <w:hideMark/>
          </w:tcPr>
          <w:p w14:paraId="112D7C22" w14:textId="77777777" w:rsidR="00295BCD" w:rsidRPr="001927D6" w:rsidRDefault="00295BCD">
            <w:pPr>
              <w:spacing w:after="0" w:line="240" w:lineRule="auto"/>
              <w:jc w:val="center"/>
              <w:textAlignment w:val="baseline"/>
              <w:rPr>
                <w:szCs w:val="24"/>
                <w:lang w:eastAsia="et-EE"/>
              </w:rPr>
            </w:pPr>
            <w:r w:rsidRPr="001927D6">
              <w:rPr>
                <w:szCs w:val="24"/>
                <w:lang w:eastAsia="et-EE"/>
              </w:rPr>
              <w:t>361O </w:t>
            </w:r>
          </w:p>
        </w:tc>
        <w:tc>
          <w:tcPr>
            <w:tcW w:w="1243" w:type="dxa"/>
            <w:vAlign w:val="center"/>
          </w:tcPr>
          <w:p w14:paraId="18FFCE77" w14:textId="77777777" w:rsidR="00295BCD" w:rsidRPr="001927D6" w:rsidRDefault="00295BCD">
            <w:pPr>
              <w:spacing w:after="0" w:line="240" w:lineRule="auto"/>
              <w:jc w:val="center"/>
              <w:textAlignment w:val="baseline"/>
              <w:rPr>
                <w:szCs w:val="24"/>
                <w:lang w:eastAsia="et-EE"/>
              </w:rPr>
            </w:pPr>
            <w:r w:rsidRPr="001927D6">
              <w:rPr>
                <w:color w:val="000000"/>
                <w:szCs w:val="24"/>
              </w:rPr>
              <w:t>1 202,43</w:t>
            </w:r>
          </w:p>
        </w:tc>
        <w:tc>
          <w:tcPr>
            <w:tcW w:w="1211" w:type="dxa"/>
            <w:vAlign w:val="center"/>
          </w:tcPr>
          <w:p w14:paraId="28A061DB" w14:textId="77777777" w:rsidR="00295BCD" w:rsidRPr="001927D6" w:rsidRDefault="00295BCD">
            <w:pPr>
              <w:spacing w:after="0" w:line="240" w:lineRule="auto"/>
              <w:jc w:val="center"/>
              <w:textAlignment w:val="baseline"/>
              <w:rPr>
                <w:szCs w:val="24"/>
                <w:lang w:eastAsia="et-EE"/>
              </w:rPr>
            </w:pPr>
            <w:r w:rsidRPr="001927D6">
              <w:rPr>
                <w:color w:val="000000"/>
                <w:szCs w:val="24"/>
              </w:rPr>
              <w:t>909,63</w:t>
            </w:r>
          </w:p>
        </w:tc>
        <w:tc>
          <w:tcPr>
            <w:tcW w:w="1238" w:type="dxa"/>
            <w:vAlign w:val="center"/>
          </w:tcPr>
          <w:p w14:paraId="2BD6D1FF" w14:textId="77777777" w:rsidR="00295BCD" w:rsidRPr="001927D6" w:rsidRDefault="00295BCD">
            <w:pPr>
              <w:spacing w:after="0" w:line="240" w:lineRule="auto"/>
              <w:jc w:val="center"/>
              <w:textAlignment w:val="baseline"/>
              <w:rPr>
                <w:szCs w:val="24"/>
                <w:lang w:eastAsia="et-EE"/>
              </w:rPr>
            </w:pPr>
            <w:r w:rsidRPr="001927D6">
              <w:rPr>
                <w:color w:val="000000"/>
                <w:szCs w:val="24"/>
              </w:rPr>
              <w:t>1 497,53</w:t>
            </w:r>
          </w:p>
        </w:tc>
      </w:tr>
      <w:tr w:rsidR="00295BCD" w:rsidRPr="001927D6" w14:paraId="4E783C9A" w14:textId="77777777" w:rsidTr="00295BCD">
        <w:trPr>
          <w:divId w:val="1316184749"/>
          <w:trHeight w:val="300"/>
        </w:trPr>
        <w:tc>
          <w:tcPr>
            <w:tcW w:w="4632" w:type="dxa"/>
            <w:vAlign w:val="bottom"/>
            <w:hideMark/>
          </w:tcPr>
          <w:p w14:paraId="0100A5A8"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Laparoskoopiline või muu endoskoopiline steriliseerimine </w:t>
            </w:r>
          </w:p>
        </w:tc>
        <w:tc>
          <w:tcPr>
            <w:tcW w:w="732" w:type="dxa"/>
            <w:vAlign w:val="center"/>
            <w:hideMark/>
          </w:tcPr>
          <w:p w14:paraId="10DFC91E" w14:textId="77777777" w:rsidR="00295BCD" w:rsidRPr="001927D6" w:rsidRDefault="00295BCD">
            <w:pPr>
              <w:spacing w:after="0" w:line="240" w:lineRule="auto"/>
              <w:jc w:val="center"/>
              <w:textAlignment w:val="baseline"/>
              <w:rPr>
                <w:szCs w:val="24"/>
                <w:lang w:eastAsia="et-EE"/>
              </w:rPr>
            </w:pPr>
            <w:r w:rsidRPr="001927D6">
              <w:rPr>
                <w:szCs w:val="24"/>
                <w:lang w:eastAsia="et-EE"/>
              </w:rPr>
              <w:t>362 </w:t>
            </w:r>
          </w:p>
        </w:tc>
        <w:tc>
          <w:tcPr>
            <w:tcW w:w="1243" w:type="dxa"/>
            <w:vAlign w:val="center"/>
          </w:tcPr>
          <w:p w14:paraId="74334862" w14:textId="77777777" w:rsidR="00295BCD" w:rsidRPr="001927D6" w:rsidRDefault="00295BCD">
            <w:pPr>
              <w:spacing w:after="0" w:line="240" w:lineRule="auto"/>
              <w:jc w:val="center"/>
              <w:textAlignment w:val="baseline"/>
              <w:rPr>
                <w:szCs w:val="24"/>
                <w:lang w:eastAsia="et-EE"/>
              </w:rPr>
            </w:pPr>
            <w:r w:rsidRPr="001927D6">
              <w:rPr>
                <w:color w:val="000000"/>
                <w:szCs w:val="24"/>
              </w:rPr>
              <w:t>1 451,99</w:t>
            </w:r>
          </w:p>
        </w:tc>
        <w:tc>
          <w:tcPr>
            <w:tcW w:w="1211" w:type="dxa"/>
            <w:vAlign w:val="center"/>
          </w:tcPr>
          <w:p w14:paraId="6E6CBDB0" w14:textId="77777777" w:rsidR="00295BCD" w:rsidRPr="001927D6" w:rsidRDefault="00295BCD">
            <w:pPr>
              <w:spacing w:after="0" w:line="240" w:lineRule="auto"/>
              <w:jc w:val="center"/>
              <w:textAlignment w:val="baseline"/>
              <w:rPr>
                <w:szCs w:val="24"/>
                <w:lang w:eastAsia="et-EE"/>
              </w:rPr>
            </w:pPr>
            <w:r w:rsidRPr="001927D6">
              <w:rPr>
                <w:color w:val="000000"/>
                <w:szCs w:val="24"/>
              </w:rPr>
              <w:t>1 228,92</w:t>
            </w:r>
          </w:p>
        </w:tc>
        <w:tc>
          <w:tcPr>
            <w:tcW w:w="1238" w:type="dxa"/>
            <w:vAlign w:val="center"/>
          </w:tcPr>
          <w:p w14:paraId="5CB608B0" w14:textId="77777777" w:rsidR="00295BCD" w:rsidRPr="001927D6" w:rsidRDefault="00295BCD">
            <w:pPr>
              <w:spacing w:after="0" w:line="240" w:lineRule="auto"/>
              <w:jc w:val="center"/>
              <w:textAlignment w:val="baseline"/>
              <w:rPr>
                <w:szCs w:val="24"/>
                <w:lang w:eastAsia="et-EE"/>
              </w:rPr>
            </w:pPr>
            <w:r w:rsidRPr="001927D6">
              <w:rPr>
                <w:color w:val="000000"/>
                <w:szCs w:val="24"/>
              </w:rPr>
              <w:t>1 723,36</w:t>
            </w:r>
          </w:p>
        </w:tc>
      </w:tr>
      <w:tr w:rsidR="00295BCD" w:rsidRPr="001927D6" w14:paraId="21FA8192" w14:textId="77777777" w:rsidTr="00295BCD">
        <w:trPr>
          <w:divId w:val="1316184749"/>
          <w:trHeight w:val="300"/>
        </w:trPr>
        <w:tc>
          <w:tcPr>
            <w:tcW w:w="4632" w:type="dxa"/>
            <w:vAlign w:val="bottom"/>
            <w:hideMark/>
          </w:tcPr>
          <w:p w14:paraId="75B9B2AA" w14:textId="77777777" w:rsidR="00295BCD" w:rsidRPr="001927D6" w:rsidRDefault="00295BCD">
            <w:pPr>
              <w:spacing w:after="0" w:line="240" w:lineRule="auto"/>
              <w:textAlignment w:val="baseline"/>
              <w:rPr>
                <w:szCs w:val="24"/>
                <w:lang w:eastAsia="et-EE"/>
              </w:rPr>
            </w:pPr>
            <w:r w:rsidRPr="001927D6">
              <w:rPr>
                <w:szCs w:val="24"/>
                <w:lang w:eastAsia="et-EE"/>
              </w:rPr>
              <w:t>Laparoskoopiline või muu endoskoopiline steriliseerimine, lühike ravi </w:t>
            </w:r>
          </w:p>
        </w:tc>
        <w:tc>
          <w:tcPr>
            <w:tcW w:w="732" w:type="dxa"/>
            <w:vAlign w:val="center"/>
            <w:hideMark/>
          </w:tcPr>
          <w:p w14:paraId="700811FA" w14:textId="77777777" w:rsidR="00295BCD" w:rsidRPr="001927D6" w:rsidRDefault="00295BCD">
            <w:pPr>
              <w:spacing w:after="0" w:line="240" w:lineRule="auto"/>
              <w:jc w:val="center"/>
              <w:textAlignment w:val="baseline"/>
              <w:rPr>
                <w:szCs w:val="24"/>
                <w:lang w:eastAsia="et-EE"/>
              </w:rPr>
            </w:pPr>
            <w:r w:rsidRPr="001927D6">
              <w:rPr>
                <w:szCs w:val="24"/>
                <w:lang w:eastAsia="et-EE"/>
              </w:rPr>
              <w:t>362O </w:t>
            </w:r>
          </w:p>
        </w:tc>
        <w:tc>
          <w:tcPr>
            <w:tcW w:w="1243" w:type="dxa"/>
            <w:vAlign w:val="center"/>
          </w:tcPr>
          <w:p w14:paraId="00A68528" w14:textId="77777777" w:rsidR="00295BCD" w:rsidRPr="001927D6" w:rsidRDefault="00295BCD">
            <w:pPr>
              <w:spacing w:after="0" w:line="240" w:lineRule="auto"/>
              <w:jc w:val="center"/>
              <w:textAlignment w:val="baseline"/>
              <w:rPr>
                <w:szCs w:val="24"/>
                <w:lang w:eastAsia="et-EE"/>
              </w:rPr>
            </w:pPr>
            <w:r w:rsidRPr="001927D6">
              <w:rPr>
                <w:color w:val="000000"/>
                <w:szCs w:val="24"/>
              </w:rPr>
              <w:t>1 376,67</w:t>
            </w:r>
          </w:p>
        </w:tc>
        <w:tc>
          <w:tcPr>
            <w:tcW w:w="1211" w:type="dxa"/>
            <w:vAlign w:val="center"/>
          </w:tcPr>
          <w:p w14:paraId="0F4F0136" w14:textId="77777777" w:rsidR="00295BCD" w:rsidRPr="001927D6" w:rsidRDefault="00295BCD">
            <w:pPr>
              <w:spacing w:after="0" w:line="240" w:lineRule="auto"/>
              <w:jc w:val="center"/>
              <w:textAlignment w:val="baseline"/>
              <w:rPr>
                <w:szCs w:val="24"/>
                <w:lang w:eastAsia="et-EE"/>
              </w:rPr>
            </w:pPr>
            <w:r w:rsidRPr="001927D6">
              <w:rPr>
                <w:color w:val="000000"/>
                <w:szCs w:val="24"/>
              </w:rPr>
              <w:t>1 135,27</w:t>
            </w:r>
          </w:p>
        </w:tc>
        <w:tc>
          <w:tcPr>
            <w:tcW w:w="1238" w:type="dxa"/>
            <w:vAlign w:val="center"/>
          </w:tcPr>
          <w:p w14:paraId="64EE3880" w14:textId="77777777" w:rsidR="00295BCD" w:rsidRPr="001927D6" w:rsidRDefault="00295BCD">
            <w:pPr>
              <w:spacing w:after="0" w:line="240" w:lineRule="auto"/>
              <w:jc w:val="center"/>
              <w:textAlignment w:val="baseline"/>
              <w:rPr>
                <w:szCs w:val="24"/>
                <w:lang w:eastAsia="et-EE"/>
              </w:rPr>
            </w:pPr>
            <w:r w:rsidRPr="001927D6">
              <w:rPr>
                <w:color w:val="000000"/>
                <w:szCs w:val="24"/>
              </w:rPr>
              <w:t>1 588,66</w:t>
            </w:r>
          </w:p>
        </w:tc>
      </w:tr>
      <w:tr w:rsidR="00295BCD" w:rsidRPr="001927D6" w14:paraId="07F2FA7B" w14:textId="77777777" w:rsidTr="00295BCD">
        <w:trPr>
          <w:divId w:val="1316184749"/>
          <w:trHeight w:val="300"/>
        </w:trPr>
        <w:tc>
          <w:tcPr>
            <w:tcW w:w="4632" w:type="dxa"/>
            <w:vAlign w:val="bottom"/>
            <w:hideMark/>
          </w:tcPr>
          <w:p w14:paraId="224991F6" w14:textId="77777777" w:rsidR="00295BCD" w:rsidRPr="001927D6" w:rsidRDefault="00295BCD">
            <w:pPr>
              <w:spacing w:after="0" w:line="240" w:lineRule="auto"/>
              <w:textAlignment w:val="baseline"/>
              <w:rPr>
                <w:szCs w:val="24"/>
                <w:lang w:eastAsia="et-EE"/>
              </w:rPr>
            </w:pPr>
            <w:r w:rsidRPr="001927D6">
              <w:rPr>
                <w:szCs w:val="24"/>
                <w:lang w:eastAsia="et-EE"/>
              </w:rPr>
              <w:t>Emaka abrasioon, emakakaela konisatsioon ja radioimplantaadi paigaldamine pahaloomuliste kasvajate korral </w:t>
            </w:r>
          </w:p>
        </w:tc>
        <w:tc>
          <w:tcPr>
            <w:tcW w:w="732" w:type="dxa"/>
            <w:vAlign w:val="center"/>
            <w:hideMark/>
          </w:tcPr>
          <w:p w14:paraId="7B714EA0" w14:textId="77777777" w:rsidR="00295BCD" w:rsidRPr="001927D6" w:rsidRDefault="00295BCD">
            <w:pPr>
              <w:spacing w:after="0" w:line="240" w:lineRule="auto"/>
              <w:jc w:val="center"/>
              <w:textAlignment w:val="baseline"/>
              <w:rPr>
                <w:szCs w:val="24"/>
                <w:lang w:eastAsia="et-EE"/>
              </w:rPr>
            </w:pPr>
            <w:r w:rsidRPr="001927D6">
              <w:rPr>
                <w:szCs w:val="24"/>
                <w:lang w:eastAsia="et-EE"/>
              </w:rPr>
              <w:t>363 </w:t>
            </w:r>
          </w:p>
        </w:tc>
        <w:tc>
          <w:tcPr>
            <w:tcW w:w="1243" w:type="dxa"/>
            <w:vAlign w:val="center"/>
          </w:tcPr>
          <w:p w14:paraId="44E23C2C" w14:textId="77777777" w:rsidR="00295BCD" w:rsidRPr="001927D6" w:rsidRDefault="00295BCD">
            <w:pPr>
              <w:spacing w:after="0" w:line="240" w:lineRule="auto"/>
              <w:jc w:val="center"/>
              <w:textAlignment w:val="baseline"/>
              <w:rPr>
                <w:szCs w:val="24"/>
                <w:lang w:eastAsia="et-EE"/>
              </w:rPr>
            </w:pPr>
            <w:r w:rsidRPr="001927D6">
              <w:rPr>
                <w:color w:val="000000"/>
                <w:szCs w:val="24"/>
              </w:rPr>
              <w:t>2 105,15</w:t>
            </w:r>
          </w:p>
        </w:tc>
        <w:tc>
          <w:tcPr>
            <w:tcW w:w="1211" w:type="dxa"/>
            <w:vAlign w:val="center"/>
          </w:tcPr>
          <w:p w14:paraId="362B3B20" w14:textId="77777777" w:rsidR="00295BCD" w:rsidRPr="001927D6" w:rsidRDefault="00295BCD">
            <w:pPr>
              <w:spacing w:after="0" w:line="240" w:lineRule="auto"/>
              <w:jc w:val="center"/>
              <w:textAlignment w:val="baseline"/>
              <w:rPr>
                <w:szCs w:val="24"/>
                <w:lang w:eastAsia="et-EE"/>
              </w:rPr>
            </w:pPr>
            <w:r w:rsidRPr="001927D6">
              <w:rPr>
                <w:color w:val="000000"/>
                <w:szCs w:val="24"/>
              </w:rPr>
              <w:t>1 111,66</w:t>
            </w:r>
          </w:p>
        </w:tc>
        <w:tc>
          <w:tcPr>
            <w:tcW w:w="1238" w:type="dxa"/>
            <w:vAlign w:val="center"/>
          </w:tcPr>
          <w:p w14:paraId="33881DFB" w14:textId="77777777" w:rsidR="00295BCD" w:rsidRPr="001927D6" w:rsidRDefault="00295BCD">
            <w:pPr>
              <w:spacing w:after="0" w:line="240" w:lineRule="auto"/>
              <w:jc w:val="center"/>
              <w:textAlignment w:val="baseline"/>
              <w:rPr>
                <w:szCs w:val="24"/>
                <w:lang w:eastAsia="et-EE"/>
              </w:rPr>
            </w:pPr>
            <w:r w:rsidRPr="001927D6">
              <w:rPr>
                <w:color w:val="000000"/>
                <w:szCs w:val="24"/>
              </w:rPr>
              <w:t>4 099,63</w:t>
            </w:r>
          </w:p>
        </w:tc>
      </w:tr>
      <w:tr w:rsidR="00295BCD" w:rsidRPr="001927D6" w14:paraId="19B15D68" w14:textId="77777777" w:rsidTr="00295BCD">
        <w:trPr>
          <w:divId w:val="1316184749"/>
          <w:trHeight w:val="300"/>
        </w:trPr>
        <w:tc>
          <w:tcPr>
            <w:tcW w:w="4632" w:type="dxa"/>
            <w:vAlign w:val="bottom"/>
            <w:hideMark/>
          </w:tcPr>
          <w:p w14:paraId="0F80016D" w14:textId="77777777" w:rsidR="00295BCD" w:rsidRPr="001927D6" w:rsidRDefault="00295BCD">
            <w:pPr>
              <w:spacing w:after="0" w:line="240" w:lineRule="auto"/>
              <w:textAlignment w:val="baseline"/>
              <w:rPr>
                <w:szCs w:val="24"/>
                <w:lang w:eastAsia="et-EE"/>
              </w:rPr>
            </w:pPr>
            <w:r w:rsidRPr="001927D6">
              <w:rPr>
                <w:szCs w:val="24"/>
                <w:lang w:eastAsia="et-EE"/>
              </w:rPr>
              <w:t>Emaka abrasioon, emakakaela konisatsioon mittepahaloomuliste kasvajate korral </w:t>
            </w:r>
          </w:p>
        </w:tc>
        <w:tc>
          <w:tcPr>
            <w:tcW w:w="732" w:type="dxa"/>
            <w:vAlign w:val="center"/>
            <w:hideMark/>
          </w:tcPr>
          <w:p w14:paraId="3CC363AD" w14:textId="77777777" w:rsidR="00295BCD" w:rsidRPr="001927D6" w:rsidRDefault="00295BCD">
            <w:pPr>
              <w:spacing w:after="0" w:line="240" w:lineRule="auto"/>
              <w:jc w:val="center"/>
              <w:textAlignment w:val="baseline"/>
              <w:rPr>
                <w:szCs w:val="24"/>
                <w:lang w:eastAsia="et-EE"/>
              </w:rPr>
            </w:pPr>
            <w:r w:rsidRPr="001927D6">
              <w:rPr>
                <w:szCs w:val="24"/>
                <w:lang w:eastAsia="et-EE"/>
              </w:rPr>
              <w:t>364 </w:t>
            </w:r>
          </w:p>
        </w:tc>
        <w:tc>
          <w:tcPr>
            <w:tcW w:w="1243" w:type="dxa"/>
            <w:vAlign w:val="center"/>
          </w:tcPr>
          <w:p w14:paraId="2ED3BCB7" w14:textId="77777777" w:rsidR="00295BCD" w:rsidRPr="001927D6" w:rsidRDefault="00295BCD">
            <w:pPr>
              <w:spacing w:after="0" w:line="240" w:lineRule="auto"/>
              <w:jc w:val="center"/>
              <w:textAlignment w:val="baseline"/>
              <w:rPr>
                <w:szCs w:val="24"/>
                <w:lang w:eastAsia="et-EE"/>
              </w:rPr>
            </w:pPr>
            <w:r w:rsidRPr="001927D6">
              <w:rPr>
                <w:color w:val="000000"/>
                <w:szCs w:val="24"/>
              </w:rPr>
              <w:t>1 040,99</w:t>
            </w:r>
          </w:p>
        </w:tc>
        <w:tc>
          <w:tcPr>
            <w:tcW w:w="1211" w:type="dxa"/>
            <w:vAlign w:val="center"/>
          </w:tcPr>
          <w:p w14:paraId="0BFB7C4B" w14:textId="77777777" w:rsidR="00295BCD" w:rsidRPr="001927D6" w:rsidRDefault="00295BCD">
            <w:pPr>
              <w:spacing w:after="0" w:line="240" w:lineRule="auto"/>
              <w:jc w:val="center"/>
              <w:textAlignment w:val="baseline"/>
              <w:rPr>
                <w:szCs w:val="24"/>
                <w:lang w:eastAsia="et-EE"/>
              </w:rPr>
            </w:pPr>
            <w:r w:rsidRPr="001927D6">
              <w:rPr>
                <w:color w:val="000000"/>
                <w:szCs w:val="24"/>
              </w:rPr>
              <w:t>606,55</w:t>
            </w:r>
          </w:p>
        </w:tc>
        <w:tc>
          <w:tcPr>
            <w:tcW w:w="1238" w:type="dxa"/>
            <w:vAlign w:val="center"/>
          </w:tcPr>
          <w:p w14:paraId="49DC0B7C" w14:textId="77777777" w:rsidR="00295BCD" w:rsidRPr="001927D6" w:rsidRDefault="00295BCD">
            <w:pPr>
              <w:spacing w:after="0" w:line="240" w:lineRule="auto"/>
              <w:jc w:val="center"/>
              <w:textAlignment w:val="baseline"/>
              <w:rPr>
                <w:szCs w:val="24"/>
                <w:lang w:eastAsia="et-EE"/>
              </w:rPr>
            </w:pPr>
            <w:r w:rsidRPr="001927D6">
              <w:rPr>
                <w:color w:val="000000"/>
                <w:szCs w:val="24"/>
              </w:rPr>
              <w:t>1 798,63</w:t>
            </w:r>
          </w:p>
        </w:tc>
      </w:tr>
      <w:tr w:rsidR="00295BCD" w:rsidRPr="001927D6" w14:paraId="0C891170" w14:textId="77777777" w:rsidTr="00295BCD">
        <w:trPr>
          <w:divId w:val="1316184749"/>
          <w:trHeight w:val="300"/>
        </w:trPr>
        <w:tc>
          <w:tcPr>
            <w:tcW w:w="4632" w:type="dxa"/>
            <w:vAlign w:val="bottom"/>
            <w:hideMark/>
          </w:tcPr>
          <w:p w14:paraId="44590B97" w14:textId="77777777" w:rsidR="00295BCD" w:rsidRPr="001927D6" w:rsidRDefault="00295BCD">
            <w:pPr>
              <w:spacing w:after="0" w:line="240" w:lineRule="auto"/>
              <w:textAlignment w:val="baseline"/>
              <w:rPr>
                <w:szCs w:val="24"/>
                <w:lang w:eastAsia="et-EE"/>
              </w:rPr>
            </w:pPr>
            <w:r w:rsidRPr="001927D6">
              <w:rPr>
                <w:szCs w:val="24"/>
                <w:lang w:eastAsia="et-EE"/>
              </w:rPr>
              <w:t>Emaka abrasioon, emakakaela konisatsioon mittepahaloomuliste kasvajate korral, lühike ravi </w:t>
            </w:r>
          </w:p>
        </w:tc>
        <w:tc>
          <w:tcPr>
            <w:tcW w:w="732" w:type="dxa"/>
            <w:vAlign w:val="center"/>
            <w:hideMark/>
          </w:tcPr>
          <w:p w14:paraId="271E6B29" w14:textId="77777777" w:rsidR="00295BCD" w:rsidRPr="001927D6" w:rsidRDefault="00295BCD">
            <w:pPr>
              <w:spacing w:after="0" w:line="240" w:lineRule="auto"/>
              <w:jc w:val="center"/>
              <w:textAlignment w:val="baseline"/>
              <w:rPr>
                <w:szCs w:val="24"/>
                <w:lang w:eastAsia="et-EE"/>
              </w:rPr>
            </w:pPr>
            <w:r w:rsidRPr="001927D6">
              <w:rPr>
                <w:szCs w:val="24"/>
                <w:lang w:eastAsia="et-EE"/>
              </w:rPr>
              <w:t>364O </w:t>
            </w:r>
          </w:p>
        </w:tc>
        <w:tc>
          <w:tcPr>
            <w:tcW w:w="1243" w:type="dxa"/>
            <w:vAlign w:val="center"/>
          </w:tcPr>
          <w:p w14:paraId="5501CC6D" w14:textId="77777777" w:rsidR="00295BCD" w:rsidRPr="001927D6" w:rsidRDefault="00295BCD">
            <w:pPr>
              <w:spacing w:after="0" w:line="240" w:lineRule="auto"/>
              <w:jc w:val="center"/>
              <w:textAlignment w:val="baseline"/>
              <w:rPr>
                <w:szCs w:val="24"/>
                <w:lang w:eastAsia="et-EE"/>
              </w:rPr>
            </w:pPr>
            <w:r w:rsidRPr="001927D6">
              <w:rPr>
                <w:color w:val="000000"/>
                <w:szCs w:val="24"/>
              </w:rPr>
              <w:t>781,64</w:t>
            </w:r>
          </w:p>
        </w:tc>
        <w:tc>
          <w:tcPr>
            <w:tcW w:w="1211" w:type="dxa"/>
            <w:vAlign w:val="center"/>
          </w:tcPr>
          <w:p w14:paraId="410C44D8" w14:textId="77777777" w:rsidR="00295BCD" w:rsidRPr="001927D6" w:rsidRDefault="00295BCD">
            <w:pPr>
              <w:spacing w:after="0" w:line="240" w:lineRule="auto"/>
              <w:jc w:val="center"/>
              <w:textAlignment w:val="baseline"/>
              <w:rPr>
                <w:szCs w:val="24"/>
                <w:lang w:eastAsia="et-EE"/>
              </w:rPr>
            </w:pPr>
            <w:r w:rsidRPr="001927D6">
              <w:rPr>
                <w:color w:val="000000"/>
                <w:szCs w:val="24"/>
              </w:rPr>
              <w:t>485,82</w:t>
            </w:r>
          </w:p>
        </w:tc>
        <w:tc>
          <w:tcPr>
            <w:tcW w:w="1238" w:type="dxa"/>
            <w:vAlign w:val="center"/>
          </w:tcPr>
          <w:p w14:paraId="0EB9E4BE" w14:textId="77777777" w:rsidR="00295BCD" w:rsidRPr="001927D6" w:rsidRDefault="00295BCD">
            <w:pPr>
              <w:spacing w:after="0" w:line="240" w:lineRule="auto"/>
              <w:jc w:val="center"/>
              <w:textAlignment w:val="baseline"/>
              <w:rPr>
                <w:szCs w:val="24"/>
                <w:lang w:eastAsia="et-EE"/>
              </w:rPr>
            </w:pPr>
            <w:r w:rsidRPr="001927D6">
              <w:rPr>
                <w:color w:val="000000"/>
                <w:szCs w:val="24"/>
              </w:rPr>
              <w:t>1 028,39</w:t>
            </w:r>
          </w:p>
        </w:tc>
      </w:tr>
      <w:tr w:rsidR="00295BCD" w:rsidRPr="001927D6" w14:paraId="3FAA85AD" w14:textId="77777777" w:rsidTr="00295BCD">
        <w:trPr>
          <w:divId w:val="1316184749"/>
          <w:trHeight w:val="300"/>
        </w:trPr>
        <w:tc>
          <w:tcPr>
            <w:tcW w:w="4632" w:type="dxa"/>
            <w:vAlign w:val="bottom"/>
            <w:hideMark/>
          </w:tcPr>
          <w:p w14:paraId="016EA2F3" w14:textId="77777777" w:rsidR="00295BCD" w:rsidRPr="001927D6" w:rsidRDefault="00295BCD">
            <w:pPr>
              <w:spacing w:after="0" w:line="240" w:lineRule="auto"/>
              <w:textAlignment w:val="baseline"/>
              <w:rPr>
                <w:szCs w:val="24"/>
                <w:lang w:eastAsia="et-EE"/>
              </w:rPr>
            </w:pPr>
            <w:r w:rsidRPr="001927D6">
              <w:rPr>
                <w:szCs w:val="24"/>
                <w:lang w:eastAsia="et-EE"/>
              </w:rPr>
              <w:t>Naise reproduktiivsüsteemi muud operatsioonid </w:t>
            </w:r>
          </w:p>
        </w:tc>
        <w:tc>
          <w:tcPr>
            <w:tcW w:w="732" w:type="dxa"/>
            <w:vAlign w:val="center"/>
            <w:hideMark/>
          </w:tcPr>
          <w:p w14:paraId="0C6DECAB" w14:textId="77777777" w:rsidR="00295BCD" w:rsidRPr="001927D6" w:rsidRDefault="00295BCD">
            <w:pPr>
              <w:spacing w:after="0" w:line="240" w:lineRule="auto"/>
              <w:jc w:val="center"/>
              <w:textAlignment w:val="baseline"/>
              <w:rPr>
                <w:szCs w:val="24"/>
                <w:lang w:eastAsia="et-EE"/>
              </w:rPr>
            </w:pPr>
            <w:r w:rsidRPr="001927D6">
              <w:rPr>
                <w:szCs w:val="24"/>
                <w:lang w:eastAsia="et-EE"/>
              </w:rPr>
              <w:t>365 </w:t>
            </w:r>
          </w:p>
        </w:tc>
        <w:tc>
          <w:tcPr>
            <w:tcW w:w="1243" w:type="dxa"/>
            <w:vAlign w:val="center"/>
          </w:tcPr>
          <w:p w14:paraId="701D0BED" w14:textId="77777777" w:rsidR="00295BCD" w:rsidRPr="001927D6" w:rsidRDefault="00295BCD">
            <w:pPr>
              <w:spacing w:after="0" w:line="240" w:lineRule="auto"/>
              <w:jc w:val="center"/>
              <w:textAlignment w:val="baseline"/>
              <w:rPr>
                <w:szCs w:val="24"/>
                <w:lang w:eastAsia="et-EE"/>
              </w:rPr>
            </w:pPr>
            <w:r w:rsidRPr="001927D6">
              <w:rPr>
                <w:color w:val="000000"/>
                <w:szCs w:val="24"/>
              </w:rPr>
              <w:t>2 736,40</w:t>
            </w:r>
          </w:p>
        </w:tc>
        <w:tc>
          <w:tcPr>
            <w:tcW w:w="1211" w:type="dxa"/>
            <w:vAlign w:val="center"/>
          </w:tcPr>
          <w:p w14:paraId="255F6418" w14:textId="77777777" w:rsidR="00295BCD" w:rsidRPr="001927D6" w:rsidRDefault="00295BCD">
            <w:pPr>
              <w:spacing w:after="0" w:line="240" w:lineRule="auto"/>
              <w:jc w:val="center"/>
              <w:textAlignment w:val="baseline"/>
              <w:rPr>
                <w:szCs w:val="24"/>
                <w:lang w:eastAsia="et-EE"/>
              </w:rPr>
            </w:pPr>
            <w:r w:rsidRPr="001927D6">
              <w:rPr>
                <w:color w:val="000000"/>
                <w:szCs w:val="24"/>
              </w:rPr>
              <w:t>1 281,42</w:t>
            </w:r>
          </w:p>
        </w:tc>
        <w:tc>
          <w:tcPr>
            <w:tcW w:w="1238" w:type="dxa"/>
            <w:vAlign w:val="center"/>
          </w:tcPr>
          <w:p w14:paraId="578FB89F" w14:textId="77777777" w:rsidR="00295BCD" w:rsidRPr="001927D6" w:rsidRDefault="00295BCD">
            <w:pPr>
              <w:spacing w:after="0" w:line="240" w:lineRule="auto"/>
              <w:jc w:val="center"/>
              <w:textAlignment w:val="baseline"/>
              <w:rPr>
                <w:szCs w:val="24"/>
                <w:lang w:eastAsia="et-EE"/>
              </w:rPr>
            </w:pPr>
            <w:r w:rsidRPr="001927D6">
              <w:rPr>
                <w:color w:val="000000"/>
                <w:szCs w:val="24"/>
              </w:rPr>
              <w:t>8 309,40</w:t>
            </w:r>
          </w:p>
        </w:tc>
      </w:tr>
      <w:tr w:rsidR="00295BCD" w:rsidRPr="001927D6" w14:paraId="0C1DF471" w14:textId="77777777" w:rsidTr="00295BCD">
        <w:trPr>
          <w:divId w:val="1316184749"/>
          <w:trHeight w:val="300"/>
        </w:trPr>
        <w:tc>
          <w:tcPr>
            <w:tcW w:w="4632" w:type="dxa"/>
            <w:vAlign w:val="bottom"/>
            <w:hideMark/>
          </w:tcPr>
          <w:p w14:paraId="0BD7167E" w14:textId="77777777" w:rsidR="00295BCD" w:rsidRPr="001927D6" w:rsidRDefault="00295BCD">
            <w:pPr>
              <w:spacing w:after="0" w:line="240" w:lineRule="auto"/>
              <w:textAlignment w:val="baseline"/>
              <w:rPr>
                <w:szCs w:val="24"/>
                <w:lang w:eastAsia="et-EE"/>
              </w:rPr>
            </w:pPr>
            <w:r w:rsidRPr="001927D6">
              <w:rPr>
                <w:szCs w:val="24"/>
                <w:lang w:eastAsia="et-EE"/>
              </w:rPr>
              <w:t>Naise reproduktiivsüsteemi muud operatsioonid, lühike ravi </w:t>
            </w:r>
          </w:p>
        </w:tc>
        <w:tc>
          <w:tcPr>
            <w:tcW w:w="732" w:type="dxa"/>
            <w:vAlign w:val="center"/>
            <w:hideMark/>
          </w:tcPr>
          <w:p w14:paraId="55868EAD" w14:textId="77777777" w:rsidR="00295BCD" w:rsidRPr="001927D6" w:rsidRDefault="00295BCD">
            <w:pPr>
              <w:spacing w:after="0" w:line="240" w:lineRule="auto"/>
              <w:jc w:val="center"/>
              <w:textAlignment w:val="baseline"/>
              <w:rPr>
                <w:szCs w:val="24"/>
                <w:lang w:eastAsia="et-EE"/>
              </w:rPr>
            </w:pPr>
            <w:r w:rsidRPr="001927D6">
              <w:rPr>
                <w:szCs w:val="24"/>
                <w:lang w:eastAsia="et-EE"/>
              </w:rPr>
              <w:t>365O </w:t>
            </w:r>
          </w:p>
        </w:tc>
        <w:tc>
          <w:tcPr>
            <w:tcW w:w="1243" w:type="dxa"/>
            <w:vAlign w:val="center"/>
          </w:tcPr>
          <w:p w14:paraId="261C77D0" w14:textId="77777777" w:rsidR="00295BCD" w:rsidRPr="001927D6" w:rsidRDefault="00295BCD">
            <w:pPr>
              <w:spacing w:after="0" w:line="240" w:lineRule="auto"/>
              <w:jc w:val="center"/>
              <w:textAlignment w:val="baseline"/>
              <w:rPr>
                <w:szCs w:val="24"/>
                <w:lang w:eastAsia="et-EE"/>
              </w:rPr>
            </w:pPr>
            <w:r w:rsidRPr="001927D6">
              <w:rPr>
                <w:color w:val="000000"/>
                <w:szCs w:val="24"/>
              </w:rPr>
              <w:t>1 235,94</w:t>
            </w:r>
          </w:p>
        </w:tc>
        <w:tc>
          <w:tcPr>
            <w:tcW w:w="1211" w:type="dxa"/>
            <w:vAlign w:val="center"/>
          </w:tcPr>
          <w:p w14:paraId="2D2D2ECB" w14:textId="77777777" w:rsidR="00295BCD" w:rsidRPr="001927D6" w:rsidRDefault="00295BCD">
            <w:pPr>
              <w:spacing w:after="0" w:line="240" w:lineRule="auto"/>
              <w:jc w:val="center"/>
              <w:textAlignment w:val="baseline"/>
              <w:rPr>
                <w:szCs w:val="24"/>
                <w:lang w:eastAsia="et-EE"/>
              </w:rPr>
            </w:pPr>
            <w:r w:rsidRPr="001927D6">
              <w:rPr>
                <w:color w:val="000000"/>
                <w:szCs w:val="24"/>
              </w:rPr>
              <w:t>862,93</w:t>
            </w:r>
          </w:p>
        </w:tc>
        <w:tc>
          <w:tcPr>
            <w:tcW w:w="1238" w:type="dxa"/>
            <w:vAlign w:val="center"/>
          </w:tcPr>
          <w:p w14:paraId="3968FF7B" w14:textId="77777777" w:rsidR="00295BCD" w:rsidRPr="001927D6" w:rsidRDefault="00295BCD">
            <w:pPr>
              <w:spacing w:after="0" w:line="240" w:lineRule="auto"/>
              <w:jc w:val="center"/>
              <w:textAlignment w:val="baseline"/>
              <w:rPr>
                <w:szCs w:val="24"/>
                <w:lang w:eastAsia="et-EE"/>
              </w:rPr>
            </w:pPr>
            <w:r w:rsidRPr="001927D6">
              <w:rPr>
                <w:color w:val="000000"/>
                <w:szCs w:val="24"/>
              </w:rPr>
              <w:t>1 680,14</w:t>
            </w:r>
          </w:p>
        </w:tc>
      </w:tr>
      <w:tr w:rsidR="00295BCD" w:rsidRPr="001927D6" w14:paraId="055F3AB7" w14:textId="77777777" w:rsidTr="00295BCD">
        <w:trPr>
          <w:divId w:val="1316184749"/>
          <w:trHeight w:val="300"/>
        </w:trPr>
        <w:tc>
          <w:tcPr>
            <w:tcW w:w="4632" w:type="dxa"/>
            <w:vAlign w:val="bottom"/>
            <w:hideMark/>
          </w:tcPr>
          <w:p w14:paraId="743755F5" w14:textId="77777777" w:rsidR="00295BCD" w:rsidRPr="001927D6" w:rsidRDefault="00295BCD">
            <w:pPr>
              <w:spacing w:after="0" w:line="240" w:lineRule="auto"/>
              <w:textAlignment w:val="baseline"/>
              <w:rPr>
                <w:szCs w:val="24"/>
                <w:lang w:eastAsia="et-EE"/>
              </w:rPr>
            </w:pPr>
            <w:r w:rsidRPr="001927D6">
              <w:rPr>
                <w:szCs w:val="24"/>
                <w:lang w:eastAsia="et-EE"/>
              </w:rPr>
              <w:t>Naise reproduktiivsüsteemi pahaloomulised kasvajad, kht-ga </w:t>
            </w:r>
          </w:p>
        </w:tc>
        <w:tc>
          <w:tcPr>
            <w:tcW w:w="732" w:type="dxa"/>
            <w:vAlign w:val="center"/>
            <w:hideMark/>
          </w:tcPr>
          <w:p w14:paraId="09E9A014" w14:textId="77777777" w:rsidR="00295BCD" w:rsidRPr="001927D6" w:rsidRDefault="00295BCD">
            <w:pPr>
              <w:spacing w:after="0" w:line="240" w:lineRule="auto"/>
              <w:jc w:val="center"/>
              <w:textAlignment w:val="baseline"/>
              <w:rPr>
                <w:szCs w:val="24"/>
                <w:lang w:eastAsia="et-EE"/>
              </w:rPr>
            </w:pPr>
            <w:r w:rsidRPr="001927D6">
              <w:rPr>
                <w:szCs w:val="24"/>
                <w:lang w:eastAsia="et-EE"/>
              </w:rPr>
              <w:t>366 </w:t>
            </w:r>
          </w:p>
        </w:tc>
        <w:tc>
          <w:tcPr>
            <w:tcW w:w="1243" w:type="dxa"/>
            <w:vAlign w:val="center"/>
          </w:tcPr>
          <w:p w14:paraId="62AECD58" w14:textId="77777777" w:rsidR="00295BCD" w:rsidRPr="001927D6" w:rsidRDefault="00295BCD">
            <w:pPr>
              <w:spacing w:after="0" w:line="240" w:lineRule="auto"/>
              <w:jc w:val="center"/>
              <w:textAlignment w:val="baseline"/>
              <w:rPr>
                <w:szCs w:val="24"/>
                <w:lang w:eastAsia="et-EE"/>
              </w:rPr>
            </w:pPr>
            <w:r w:rsidRPr="001927D6">
              <w:rPr>
                <w:color w:val="000000"/>
                <w:szCs w:val="24"/>
              </w:rPr>
              <w:t>2 307,65</w:t>
            </w:r>
          </w:p>
        </w:tc>
        <w:tc>
          <w:tcPr>
            <w:tcW w:w="1211" w:type="dxa"/>
            <w:vAlign w:val="center"/>
          </w:tcPr>
          <w:p w14:paraId="67089E01" w14:textId="77777777" w:rsidR="00295BCD" w:rsidRPr="001927D6" w:rsidRDefault="00295BCD">
            <w:pPr>
              <w:spacing w:after="0" w:line="240" w:lineRule="auto"/>
              <w:jc w:val="center"/>
              <w:textAlignment w:val="baseline"/>
              <w:rPr>
                <w:szCs w:val="24"/>
                <w:lang w:eastAsia="et-EE"/>
              </w:rPr>
            </w:pPr>
            <w:r w:rsidRPr="001927D6">
              <w:rPr>
                <w:color w:val="000000"/>
                <w:szCs w:val="24"/>
              </w:rPr>
              <w:t>461,79</w:t>
            </w:r>
          </w:p>
        </w:tc>
        <w:tc>
          <w:tcPr>
            <w:tcW w:w="1238" w:type="dxa"/>
            <w:vAlign w:val="center"/>
          </w:tcPr>
          <w:p w14:paraId="50A281ED" w14:textId="77777777" w:rsidR="00295BCD" w:rsidRPr="001927D6" w:rsidRDefault="00295BCD">
            <w:pPr>
              <w:spacing w:after="0" w:line="240" w:lineRule="auto"/>
              <w:jc w:val="center"/>
              <w:textAlignment w:val="baseline"/>
              <w:rPr>
                <w:szCs w:val="24"/>
                <w:lang w:eastAsia="et-EE"/>
              </w:rPr>
            </w:pPr>
            <w:r w:rsidRPr="001927D6">
              <w:rPr>
                <w:color w:val="000000"/>
                <w:szCs w:val="24"/>
              </w:rPr>
              <w:t>4 772,81</w:t>
            </w:r>
          </w:p>
        </w:tc>
      </w:tr>
      <w:tr w:rsidR="00295BCD" w:rsidRPr="001927D6" w14:paraId="7F748937" w14:textId="77777777" w:rsidTr="00295BCD">
        <w:trPr>
          <w:divId w:val="1316184749"/>
          <w:trHeight w:val="300"/>
        </w:trPr>
        <w:tc>
          <w:tcPr>
            <w:tcW w:w="4632" w:type="dxa"/>
            <w:vAlign w:val="bottom"/>
            <w:hideMark/>
          </w:tcPr>
          <w:p w14:paraId="315C3B40" w14:textId="77777777" w:rsidR="00295BCD" w:rsidRPr="001927D6" w:rsidRDefault="00295BCD">
            <w:pPr>
              <w:spacing w:after="0" w:line="240" w:lineRule="auto"/>
              <w:textAlignment w:val="baseline"/>
              <w:rPr>
                <w:szCs w:val="24"/>
                <w:lang w:eastAsia="et-EE"/>
              </w:rPr>
            </w:pPr>
            <w:r w:rsidRPr="001927D6">
              <w:rPr>
                <w:szCs w:val="24"/>
                <w:lang w:eastAsia="et-EE"/>
              </w:rPr>
              <w:t>Naise reproduktiivsüsteemi pahaloomulised kasvajad, kht-ta </w:t>
            </w:r>
          </w:p>
        </w:tc>
        <w:tc>
          <w:tcPr>
            <w:tcW w:w="732" w:type="dxa"/>
            <w:vAlign w:val="center"/>
            <w:hideMark/>
          </w:tcPr>
          <w:p w14:paraId="3A59C5A4" w14:textId="77777777" w:rsidR="00295BCD" w:rsidRPr="001927D6" w:rsidRDefault="00295BCD">
            <w:pPr>
              <w:spacing w:after="0" w:line="240" w:lineRule="auto"/>
              <w:jc w:val="center"/>
              <w:textAlignment w:val="baseline"/>
              <w:rPr>
                <w:szCs w:val="24"/>
                <w:lang w:eastAsia="et-EE"/>
              </w:rPr>
            </w:pPr>
            <w:r w:rsidRPr="001927D6">
              <w:rPr>
                <w:szCs w:val="24"/>
                <w:lang w:eastAsia="et-EE"/>
              </w:rPr>
              <w:t>367 </w:t>
            </w:r>
          </w:p>
        </w:tc>
        <w:tc>
          <w:tcPr>
            <w:tcW w:w="1243" w:type="dxa"/>
            <w:vAlign w:val="center"/>
          </w:tcPr>
          <w:p w14:paraId="20FFF1AE" w14:textId="77777777" w:rsidR="00295BCD" w:rsidRPr="001927D6" w:rsidRDefault="00295BCD">
            <w:pPr>
              <w:spacing w:after="0" w:line="240" w:lineRule="auto"/>
              <w:jc w:val="center"/>
              <w:textAlignment w:val="baseline"/>
              <w:rPr>
                <w:szCs w:val="24"/>
                <w:lang w:eastAsia="et-EE"/>
              </w:rPr>
            </w:pPr>
            <w:r w:rsidRPr="001927D6">
              <w:rPr>
                <w:color w:val="000000"/>
                <w:szCs w:val="24"/>
              </w:rPr>
              <w:t>1 820,56</w:t>
            </w:r>
          </w:p>
        </w:tc>
        <w:tc>
          <w:tcPr>
            <w:tcW w:w="1211" w:type="dxa"/>
            <w:vAlign w:val="center"/>
          </w:tcPr>
          <w:p w14:paraId="15E77688" w14:textId="77777777" w:rsidR="00295BCD" w:rsidRPr="001927D6" w:rsidRDefault="00295BCD">
            <w:pPr>
              <w:spacing w:after="0" w:line="240" w:lineRule="auto"/>
              <w:jc w:val="center"/>
              <w:textAlignment w:val="baseline"/>
              <w:rPr>
                <w:szCs w:val="24"/>
                <w:lang w:eastAsia="et-EE"/>
              </w:rPr>
            </w:pPr>
            <w:r w:rsidRPr="001927D6">
              <w:rPr>
                <w:color w:val="000000"/>
                <w:szCs w:val="24"/>
              </w:rPr>
              <w:t>399,06</w:t>
            </w:r>
          </w:p>
        </w:tc>
        <w:tc>
          <w:tcPr>
            <w:tcW w:w="1238" w:type="dxa"/>
            <w:vAlign w:val="center"/>
          </w:tcPr>
          <w:p w14:paraId="6BBAFC78" w14:textId="77777777" w:rsidR="00295BCD" w:rsidRPr="001927D6" w:rsidRDefault="00295BCD">
            <w:pPr>
              <w:spacing w:after="0" w:line="240" w:lineRule="auto"/>
              <w:jc w:val="center"/>
              <w:textAlignment w:val="baseline"/>
              <w:rPr>
                <w:szCs w:val="24"/>
                <w:lang w:eastAsia="et-EE"/>
              </w:rPr>
            </w:pPr>
            <w:r w:rsidRPr="001927D6">
              <w:rPr>
                <w:color w:val="000000"/>
                <w:szCs w:val="24"/>
              </w:rPr>
              <w:t>4 411,51</w:t>
            </w:r>
          </w:p>
        </w:tc>
      </w:tr>
      <w:tr w:rsidR="00295BCD" w:rsidRPr="001927D6" w14:paraId="000D5EF1" w14:textId="77777777" w:rsidTr="00295BCD">
        <w:trPr>
          <w:divId w:val="1316184749"/>
          <w:trHeight w:val="300"/>
        </w:trPr>
        <w:tc>
          <w:tcPr>
            <w:tcW w:w="4632" w:type="dxa"/>
            <w:vAlign w:val="bottom"/>
            <w:hideMark/>
          </w:tcPr>
          <w:p w14:paraId="34C10C7A" w14:textId="77777777" w:rsidR="00295BCD" w:rsidRPr="001927D6" w:rsidRDefault="00295BCD">
            <w:pPr>
              <w:spacing w:after="0" w:line="240" w:lineRule="auto"/>
              <w:textAlignment w:val="baseline"/>
              <w:rPr>
                <w:szCs w:val="24"/>
                <w:lang w:eastAsia="et-EE"/>
              </w:rPr>
            </w:pPr>
            <w:r w:rsidRPr="001927D6">
              <w:rPr>
                <w:szCs w:val="24"/>
                <w:lang w:eastAsia="et-EE"/>
              </w:rPr>
              <w:t>Naise reproduktiivsüsteemi infektsioonid </w:t>
            </w:r>
          </w:p>
        </w:tc>
        <w:tc>
          <w:tcPr>
            <w:tcW w:w="732" w:type="dxa"/>
            <w:vAlign w:val="center"/>
            <w:hideMark/>
          </w:tcPr>
          <w:p w14:paraId="6D0863C8" w14:textId="77777777" w:rsidR="00295BCD" w:rsidRPr="001927D6" w:rsidRDefault="00295BCD">
            <w:pPr>
              <w:spacing w:after="0" w:line="240" w:lineRule="auto"/>
              <w:jc w:val="center"/>
              <w:textAlignment w:val="baseline"/>
              <w:rPr>
                <w:szCs w:val="24"/>
                <w:lang w:eastAsia="et-EE"/>
              </w:rPr>
            </w:pPr>
            <w:r w:rsidRPr="001927D6">
              <w:rPr>
                <w:szCs w:val="24"/>
                <w:lang w:eastAsia="et-EE"/>
              </w:rPr>
              <w:t>368 </w:t>
            </w:r>
          </w:p>
        </w:tc>
        <w:tc>
          <w:tcPr>
            <w:tcW w:w="1243" w:type="dxa"/>
            <w:vAlign w:val="center"/>
          </w:tcPr>
          <w:p w14:paraId="75E8EA16" w14:textId="77777777" w:rsidR="00295BCD" w:rsidRPr="001927D6" w:rsidRDefault="00295BCD">
            <w:pPr>
              <w:spacing w:after="0" w:line="240" w:lineRule="auto"/>
              <w:jc w:val="center"/>
              <w:textAlignment w:val="baseline"/>
              <w:rPr>
                <w:szCs w:val="24"/>
                <w:lang w:eastAsia="et-EE"/>
              </w:rPr>
            </w:pPr>
            <w:r w:rsidRPr="001927D6">
              <w:rPr>
                <w:color w:val="000000"/>
                <w:szCs w:val="24"/>
              </w:rPr>
              <w:t>1 253,82</w:t>
            </w:r>
          </w:p>
        </w:tc>
        <w:tc>
          <w:tcPr>
            <w:tcW w:w="1211" w:type="dxa"/>
            <w:vAlign w:val="center"/>
          </w:tcPr>
          <w:p w14:paraId="036946B5" w14:textId="77777777" w:rsidR="00295BCD" w:rsidRPr="001927D6" w:rsidRDefault="00295BCD">
            <w:pPr>
              <w:spacing w:after="0" w:line="240" w:lineRule="auto"/>
              <w:jc w:val="center"/>
              <w:textAlignment w:val="baseline"/>
              <w:rPr>
                <w:szCs w:val="24"/>
                <w:lang w:eastAsia="et-EE"/>
              </w:rPr>
            </w:pPr>
            <w:r w:rsidRPr="001927D6">
              <w:rPr>
                <w:color w:val="000000"/>
                <w:szCs w:val="24"/>
              </w:rPr>
              <w:t>408,47</w:t>
            </w:r>
          </w:p>
        </w:tc>
        <w:tc>
          <w:tcPr>
            <w:tcW w:w="1238" w:type="dxa"/>
            <w:vAlign w:val="center"/>
          </w:tcPr>
          <w:p w14:paraId="78CA32D7" w14:textId="77777777" w:rsidR="00295BCD" w:rsidRPr="001927D6" w:rsidRDefault="00295BCD">
            <w:pPr>
              <w:spacing w:after="0" w:line="240" w:lineRule="auto"/>
              <w:jc w:val="center"/>
              <w:textAlignment w:val="baseline"/>
              <w:rPr>
                <w:szCs w:val="24"/>
                <w:lang w:eastAsia="et-EE"/>
              </w:rPr>
            </w:pPr>
            <w:r w:rsidRPr="001927D6">
              <w:rPr>
                <w:color w:val="000000"/>
                <w:szCs w:val="24"/>
              </w:rPr>
              <w:t>2 543,17</w:t>
            </w:r>
          </w:p>
        </w:tc>
      </w:tr>
      <w:tr w:rsidR="00295BCD" w:rsidRPr="001927D6" w14:paraId="5A7495BA" w14:textId="77777777" w:rsidTr="00295BCD">
        <w:trPr>
          <w:divId w:val="1316184749"/>
          <w:trHeight w:val="300"/>
        </w:trPr>
        <w:tc>
          <w:tcPr>
            <w:tcW w:w="4632" w:type="dxa"/>
            <w:vAlign w:val="bottom"/>
            <w:hideMark/>
          </w:tcPr>
          <w:p w14:paraId="1BFFE858" w14:textId="77777777" w:rsidR="00295BCD" w:rsidRPr="001927D6" w:rsidRDefault="00295BCD">
            <w:pPr>
              <w:spacing w:after="0" w:line="240" w:lineRule="auto"/>
              <w:textAlignment w:val="baseline"/>
              <w:rPr>
                <w:szCs w:val="24"/>
                <w:lang w:eastAsia="et-EE"/>
              </w:rPr>
            </w:pPr>
            <w:r w:rsidRPr="001927D6">
              <w:rPr>
                <w:szCs w:val="24"/>
                <w:lang w:eastAsia="et-EE"/>
              </w:rPr>
              <w:t>Menstruatsioonihäired ja muud naise reproduktiivsüsteemi haigused </w:t>
            </w:r>
          </w:p>
        </w:tc>
        <w:tc>
          <w:tcPr>
            <w:tcW w:w="732" w:type="dxa"/>
            <w:vAlign w:val="center"/>
            <w:hideMark/>
          </w:tcPr>
          <w:p w14:paraId="43813290" w14:textId="77777777" w:rsidR="00295BCD" w:rsidRPr="001927D6" w:rsidRDefault="00295BCD">
            <w:pPr>
              <w:spacing w:after="0" w:line="240" w:lineRule="auto"/>
              <w:jc w:val="center"/>
              <w:textAlignment w:val="baseline"/>
              <w:rPr>
                <w:szCs w:val="24"/>
                <w:lang w:eastAsia="et-EE"/>
              </w:rPr>
            </w:pPr>
            <w:r w:rsidRPr="001927D6">
              <w:rPr>
                <w:szCs w:val="24"/>
                <w:lang w:eastAsia="et-EE"/>
              </w:rPr>
              <w:t>369 </w:t>
            </w:r>
          </w:p>
        </w:tc>
        <w:tc>
          <w:tcPr>
            <w:tcW w:w="1243" w:type="dxa"/>
            <w:vAlign w:val="center"/>
          </w:tcPr>
          <w:p w14:paraId="4E7DA770" w14:textId="77777777" w:rsidR="00295BCD" w:rsidRPr="001927D6" w:rsidRDefault="00295BCD">
            <w:pPr>
              <w:spacing w:after="0" w:line="240" w:lineRule="auto"/>
              <w:jc w:val="center"/>
              <w:textAlignment w:val="baseline"/>
              <w:rPr>
                <w:szCs w:val="24"/>
                <w:lang w:eastAsia="et-EE"/>
              </w:rPr>
            </w:pPr>
            <w:r w:rsidRPr="001927D6">
              <w:rPr>
                <w:color w:val="000000"/>
                <w:szCs w:val="24"/>
              </w:rPr>
              <w:t>653,48</w:t>
            </w:r>
          </w:p>
        </w:tc>
        <w:tc>
          <w:tcPr>
            <w:tcW w:w="1211" w:type="dxa"/>
            <w:vAlign w:val="center"/>
          </w:tcPr>
          <w:p w14:paraId="458D4775" w14:textId="77777777" w:rsidR="00295BCD" w:rsidRPr="001927D6" w:rsidRDefault="00295BCD">
            <w:pPr>
              <w:spacing w:after="0" w:line="240" w:lineRule="auto"/>
              <w:jc w:val="center"/>
              <w:textAlignment w:val="baseline"/>
              <w:rPr>
                <w:szCs w:val="24"/>
                <w:lang w:eastAsia="et-EE"/>
              </w:rPr>
            </w:pPr>
            <w:r w:rsidRPr="001927D6">
              <w:rPr>
                <w:color w:val="000000"/>
                <w:szCs w:val="24"/>
              </w:rPr>
              <w:t>205,92</w:t>
            </w:r>
          </w:p>
        </w:tc>
        <w:tc>
          <w:tcPr>
            <w:tcW w:w="1238" w:type="dxa"/>
            <w:vAlign w:val="center"/>
          </w:tcPr>
          <w:p w14:paraId="57FB3030" w14:textId="77777777" w:rsidR="00295BCD" w:rsidRPr="001927D6" w:rsidRDefault="00295BCD">
            <w:pPr>
              <w:spacing w:after="0" w:line="240" w:lineRule="auto"/>
              <w:jc w:val="center"/>
              <w:textAlignment w:val="baseline"/>
              <w:rPr>
                <w:szCs w:val="24"/>
                <w:lang w:eastAsia="et-EE"/>
              </w:rPr>
            </w:pPr>
            <w:r w:rsidRPr="001927D6">
              <w:rPr>
                <w:color w:val="000000"/>
                <w:szCs w:val="24"/>
              </w:rPr>
              <w:t>1 770,78</w:t>
            </w:r>
          </w:p>
        </w:tc>
      </w:tr>
      <w:tr w:rsidR="00295BCD" w:rsidRPr="001927D6" w14:paraId="7CDCB8B3" w14:textId="77777777" w:rsidTr="00295BCD">
        <w:trPr>
          <w:divId w:val="1316184749"/>
          <w:trHeight w:val="300"/>
        </w:trPr>
        <w:tc>
          <w:tcPr>
            <w:tcW w:w="4632" w:type="dxa"/>
            <w:vAlign w:val="bottom"/>
            <w:hideMark/>
          </w:tcPr>
          <w:p w14:paraId="45A0D6D0" w14:textId="77777777" w:rsidR="00295BCD" w:rsidRPr="001927D6" w:rsidRDefault="00295BCD">
            <w:pPr>
              <w:spacing w:after="0" w:line="240" w:lineRule="auto"/>
              <w:textAlignment w:val="baseline"/>
              <w:rPr>
                <w:szCs w:val="24"/>
                <w:lang w:eastAsia="et-EE"/>
              </w:rPr>
            </w:pPr>
            <w:r w:rsidRPr="001927D6">
              <w:rPr>
                <w:szCs w:val="24"/>
                <w:lang w:eastAsia="et-EE"/>
              </w:rPr>
              <w:t>Keisrilõige, kht-ga </w:t>
            </w:r>
          </w:p>
        </w:tc>
        <w:tc>
          <w:tcPr>
            <w:tcW w:w="732" w:type="dxa"/>
            <w:vAlign w:val="center"/>
            <w:hideMark/>
          </w:tcPr>
          <w:p w14:paraId="465DC606" w14:textId="77777777" w:rsidR="00295BCD" w:rsidRPr="001927D6" w:rsidRDefault="00295BCD">
            <w:pPr>
              <w:spacing w:after="0" w:line="240" w:lineRule="auto"/>
              <w:jc w:val="center"/>
              <w:textAlignment w:val="baseline"/>
              <w:rPr>
                <w:szCs w:val="24"/>
                <w:lang w:eastAsia="et-EE"/>
              </w:rPr>
            </w:pPr>
            <w:r w:rsidRPr="001927D6">
              <w:rPr>
                <w:szCs w:val="24"/>
                <w:lang w:eastAsia="et-EE"/>
              </w:rPr>
              <w:t>370 </w:t>
            </w:r>
          </w:p>
        </w:tc>
        <w:tc>
          <w:tcPr>
            <w:tcW w:w="1243" w:type="dxa"/>
            <w:vAlign w:val="center"/>
          </w:tcPr>
          <w:p w14:paraId="1682B391" w14:textId="77777777" w:rsidR="00295BCD" w:rsidRPr="001927D6" w:rsidRDefault="00295BCD">
            <w:pPr>
              <w:spacing w:after="0" w:line="240" w:lineRule="auto"/>
              <w:jc w:val="center"/>
              <w:textAlignment w:val="baseline"/>
              <w:rPr>
                <w:szCs w:val="24"/>
                <w:lang w:eastAsia="et-EE"/>
              </w:rPr>
            </w:pPr>
            <w:r w:rsidRPr="001927D6">
              <w:rPr>
                <w:color w:val="000000"/>
                <w:szCs w:val="24"/>
              </w:rPr>
              <w:t>3 097,47</w:t>
            </w:r>
          </w:p>
        </w:tc>
        <w:tc>
          <w:tcPr>
            <w:tcW w:w="1211" w:type="dxa"/>
            <w:vAlign w:val="center"/>
          </w:tcPr>
          <w:p w14:paraId="2F2F7DEB" w14:textId="77777777" w:rsidR="00295BCD" w:rsidRPr="001927D6" w:rsidRDefault="00295BCD">
            <w:pPr>
              <w:spacing w:after="0" w:line="240" w:lineRule="auto"/>
              <w:jc w:val="center"/>
              <w:textAlignment w:val="baseline"/>
              <w:rPr>
                <w:szCs w:val="24"/>
                <w:lang w:eastAsia="et-EE"/>
              </w:rPr>
            </w:pPr>
            <w:r w:rsidRPr="001927D6">
              <w:rPr>
                <w:color w:val="000000"/>
                <w:szCs w:val="24"/>
              </w:rPr>
              <w:t>2 041,30</w:t>
            </w:r>
          </w:p>
        </w:tc>
        <w:tc>
          <w:tcPr>
            <w:tcW w:w="1238" w:type="dxa"/>
            <w:vAlign w:val="center"/>
          </w:tcPr>
          <w:p w14:paraId="4BFE7BB5" w14:textId="77777777" w:rsidR="00295BCD" w:rsidRPr="001927D6" w:rsidRDefault="00295BCD">
            <w:pPr>
              <w:spacing w:after="0" w:line="240" w:lineRule="auto"/>
              <w:jc w:val="center"/>
              <w:textAlignment w:val="baseline"/>
              <w:rPr>
                <w:szCs w:val="24"/>
                <w:lang w:eastAsia="et-EE"/>
              </w:rPr>
            </w:pPr>
            <w:r w:rsidRPr="001927D6">
              <w:rPr>
                <w:color w:val="000000"/>
                <w:szCs w:val="24"/>
              </w:rPr>
              <w:t>4 571,72</w:t>
            </w:r>
          </w:p>
        </w:tc>
      </w:tr>
      <w:tr w:rsidR="00295BCD" w:rsidRPr="001927D6" w14:paraId="426137D1" w14:textId="77777777" w:rsidTr="00295BCD">
        <w:trPr>
          <w:divId w:val="1316184749"/>
          <w:trHeight w:val="300"/>
        </w:trPr>
        <w:tc>
          <w:tcPr>
            <w:tcW w:w="4632" w:type="dxa"/>
            <w:vAlign w:val="bottom"/>
            <w:hideMark/>
          </w:tcPr>
          <w:p w14:paraId="3AA6A516" w14:textId="77777777" w:rsidR="00295BCD" w:rsidRPr="001927D6" w:rsidRDefault="00295BCD">
            <w:pPr>
              <w:spacing w:after="0" w:line="240" w:lineRule="auto"/>
              <w:textAlignment w:val="baseline"/>
              <w:rPr>
                <w:szCs w:val="24"/>
                <w:lang w:eastAsia="et-EE"/>
              </w:rPr>
            </w:pPr>
            <w:r w:rsidRPr="001927D6">
              <w:rPr>
                <w:szCs w:val="24"/>
                <w:lang w:eastAsia="et-EE"/>
              </w:rPr>
              <w:t>Keisrilõige, kht-ta </w:t>
            </w:r>
          </w:p>
        </w:tc>
        <w:tc>
          <w:tcPr>
            <w:tcW w:w="732" w:type="dxa"/>
            <w:vAlign w:val="center"/>
            <w:hideMark/>
          </w:tcPr>
          <w:p w14:paraId="261812C9" w14:textId="77777777" w:rsidR="00295BCD" w:rsidRPr="001927D6" w:rsidRDefault="00295BCD">
            <w:pPr>
              <w:spacing w:after="0" w:line="240" w:lineRule="auto"/>
              <w:jc w:val="center"/>
              <w:textAlignment w:val="baseline"/>
              <w:rPr>
                <w:szCs w:val="24"/>
                <w:lang w:eastAsia="et-EE"/>
              </w:rPr>
            </w:pPr>
            <w:r w:rsidRPr="001927D6">
              <w:rPr>
                <w:szCs w:val="24"/>
                <w:lang w:eastAsia="et-EE"/>
              </w:rPr>
              <w:t>371 </w:t>
            </w:r>
          </w:p>
        </w:tc>
        <w:tc>
          <w:tcPr>
            <w:tcW w:w="1243" w:type="dxa"/>
            <w:vAlign w:val="center"/>
          </w:tcPr>
          <w:p w14:paraId="0495820A" w14:textId="77777777" w:rsidR="00295BCD" w:rsidRPr="001927D6" w:rsidRDefault="00295BCD">
            <w:pPr>
              <w:spacing w:after="0" w:line="240" w:lineRule="auto"/>
              <w:jc w:val="center"/>
              <w:textAlignment w:val="baseline"/>
              <w:rPr>
                <w:szCs w:val="24"/>
                <w:lang w:eastAsia="et-EE"/>
              </w:rPr>
            </w:pPr>
            <w:r w:rsidRPr="001927D6">
              <w:rPr>
                <w:color w:val="000000"/>
                <w:szCs w:val="24"/>
              </w:rPr>
              <w:t>2 602,52</w:t>
            </w:r>
          </w:p>
        </w:tc>
        <w:tc>
          <w:tcPr>
            <w:tcW w:w="1211" w:type="dxa"/>
            <w:vAlign w:val="center"/>
          </w:tcPr>
          <w:p w14:paraId="76AA6503" w14:textId="77777777" w:rsidR="00295BCD" w:rsidRPr="001927D6" w:rsidRDefault="00295BCD">
            <w:pPr>
              <w:spacing w:after="0" w:line="240" w:lineRule="auto"/>
              <w:jc w:val="center"/>
              <w:textAlignment w:val="baseline"/>
              <w:rPr>
                <w:szCs w:val="24"/>
                <w:lang w:eastAsia="et-EE"/>
              </w:rPr>
            </w:pPr>
            <w:r w:rsidRPr="001927D6">
              <w:rPr>
                <w:color w:val="000000"/>
                <w:szCs w:val="24"/>
              </w:rPr>
              <w:t>1 812,88</w:t>
            </w:r>
          </w:p>
        </w:tc>
        <w:tc>
          <w:tcPr>
            <w:tcW w:w="1238" w:type="dxa"/>
            <w:vAlign w:val="center"/>
          </w:tcPr>
          <w:p w14:paraId="01F22AD1" w14:textId="77777777" w:rsidR="00295BCD" w:rsidRPr="001927D6" w:rsidRDefault="00295BCD">
            <w:pPr>
              <w:spacing w:after="0" w:line="240" w:lineRule="auto"/>
              <w:jc w:val="center"/>
              <w:textAlignment w:val="baseline"/>
              <w:rPr>
                <w:szCs w:val="24"/>
                <w:lang w:eastAsia="et-EE"/>
              </w:rPr>
            </w:pPr>
            <w:r w:rsidRPr="001927D6">
              <w:rPr>
                <w:color w:val="000000"/>
                <w:szCs w:val="24"/>
              </w:rPr>
              <w:t>3 647,96</w:t>
            </w:r>
          </w:p>
        </w:tc>
      </w:tr>
      <w:tr w:rsidR="00295BCD" w:rsidRPr="001927D6" w14:paraId="3E26415A" w14:textId="77777777" w:rsidTr="00295BCD">
        <w:trPr>
          <w:divId w:val="1316184749"/>
          <w:trHeight w:val="300"/>
        </w:trPr>
        <w:tc>
          <w:tcPr>
            <w:tcW w:w="4632" w:type="dxa"/>
            <w:vAlign w:val="bottom"/>
            <w:hideMark/>
          </w:tcPr>
          <w:p w14:paraId="26A726FE" w14:textId="77777777" w:rsidR="00295BCD" w:rsidRPr="001927D6" w:rsidRDefault="00295BCD">
            <w:pPr>
              <w:spacing w:after="0" w:line="240" w:lineRule="auto"/>
              <w:textAlignment w:val="baseline"/>
              <w:rPr>
                <w:szCs w:val="24"/>
                <w:lang w:eastAsia="et-EE"/>
              </w:rPr>
            </w:pPr>
            <w:r w:rsidRPr="001927D6">
              <w:rPr>
                <w:szCs w:val="24"/>
                <w:lang w:eastAsia="et-EE"/>
              </w:rPr>
              <w:t>Keisrilõige, lühike ravi </w:t>
            </w:r>
          </w:p>
        </w:tc>
        <w:tc>
          <w:tcPr>
            <w:tcW w:w="732" w:type="dxa"/>
            <w:vAlign w:val="center"/>
            <w:hideMark/>
          </w:tcPr>
          <w:p w14:paraId="758FB57D" w14:textId="77777777" w:rsidR="00295BCD" w:rsidRPr="001927D6" w:rsidRDefault="00295BCD">
            <w:pPr>
              <w:spacing w:after="0" w:line="240" w:lineRule="auto"/>
              <w:jc w:val="center"/>
              <w:textAlignment w:val="baseline"/>
              <w:rPr>
                <w:szCs w:val="24"/>
                <w:lang w:eastAsia="et-EE"/>
              </w:rPr>
            </w:pPr>
            <w:r w:rsidRPr="001927D6">
              <w:rPr>
                <w:szCs w:val="24"/>
                <w:lang w:eastAsia="et-EE"/>
              </w:rPr>
              <w:t>371O </w:t>
            </w:r>
          </w:p>
        </w:tc>
        <w:tc>
          <w:tcPr>
            <w:tcW w:w="1243" w:type="dxa"/>
            <w:vAlign w:val="center"/>
          </w:tcPr>
          <w:p w14:paraId="253266BC" w14:textId="77777777" w:rsidR="00295BCD" w:rsidRPr="001927D6" w:rsidRDefault="00295BCD">
            <w:pPr>
              <w:spacing w:after="0" w:line="240" w:lineRule="auto"/>
              <w:jc w:val="center"/>
              <w:textAlignment w:val="baseline"/>
              <w:rPr>
                <w:szCs w:val="24"/>
                <w:lang w:eastAsia="et-EE"/>
              </w:rPr>
            </w:pPr>
            <w:r w:rsidRPr="001927D6">
              <w:rPr>
                <w:color w:val="000000"/>
                <w:szCs w:val="24"/>
              </w:rPr>
              <w:t>1 130,68</w:t>
            </w:r>
          </w:p>
        </w:tc>
        <w:tc>
          <w:tcPr>
            <w:tcW w:w="1211" w:type="dxa"/>
            <w:vAlign w:val="center"/>
          </w:tcPr>
          <w:p w14:paraId="199C0A8C" w14:textId="77777777" w:rsidR="00295BCD" w:rsidRPr="001927D6" w:rsidRDefault="00295BCD">
            <w:pPr>
              <w:spacing w:after="0" w:line="240" w:lineRule="auto"/>
              <w:jc w:val="center"/>
              <w:textAlignment w:val="baseline"/>
              <w:rPr>
                <w:szCs w:val="24"/>
                <w:lang w:eastAsia="et-EE"/>
              </w:rPr>
            </w:pPr>
            <w:r w:rsidRPr="001927D6">
              <w:rPr>
                <w:color w:val="000000"/>
                <w:szCs w:val="24"/>
              </w:rPr>
              <w:t>536,59</w:t>
            </w:r>
          </w:p>
        </w:tc>
        <w:tc>
          <w:tcPr>
            <w:tcW w:w="1238" w:type="dxa"/>
            <w:vAlign w:val="center"/>
          </w:tcPr>
          <w:p w14:paraId="124D64F2" w14:textId="77777777" w:rsidR="00295BCD" w:rsidRPr="001927D6" w:rsidRDefault="00295BCD">
            <w:pPr>
              <w:spacing w:after="0" w:line="240" w:lineRule="auto"/>
              <w:jc w:val="center"/>
              <w:textAlignment w:val="baseline"/>
              <w:rPr>
                <w:szCs w:val="24"/>
                <w:lang w:eastAsia="et-EE"/>
              </w:rPr>
            </w:pPr>
            <w:r w:rsidRPr="001927D6">
              <w:rPr>
                <w:color w:val="000000"/>
                <w:szCs w:val="24"/>
              </w:rPr>
              <w:t>2 292,02</w:t>
            </w:r>
          </w:p>
        </w:tc>
      </w:tr>
      <w:tr w:rsidR="00295BCD" w:rsidRPr="001927D6" w14:paraId="48E91050" w14:textId="77777777" w:rsidTr="00295BCD">
        <w:trPr>
          <w:divId w:val="1316184749"/>
          <w:trHeight w:val="300"/>
        </w:trPr>
        <w:tc>
          <w:tcPr>
            <w:tcW w:w="4632" w:type="dxa"/>
            <w:vAlign w:val="bottom"/>
            <w:hideMark/>
          </w:tcPr>
          <w:p w14:paraId="5CA5DE54" w14:textId="77777777" w:rsidR="00295BCD" w:rsidRPr="001927D6" w:rsidRDefault="00295BCD">
            <w:pPr>
              <w:spacing w:after="0" w:line="240" w:lineRule="auto"/>
              <w:textAlignment w:val="baseline"/>
              <w:rPr>
                <w:szCs w:val="24"/>
                <w:lang w:eastAsia="et-EE"/>
              </w:rPr>
            </w:pPr>
            <w:r w:rsidRPr="001927D6">
              <w:rPr>
                <w:szCs w:val="24"/>
                <w:lang w:eastAsia="et-EE"/>
              </w:rPr>
              <w:t>Vaginaalne sünnitus, kht-ga </w:t>
            </w:r>
          </w:p>
        </w:tc>
        <w:tc>
          <w:tcPr>
            <w:tcW w:w="732" w:type="dxa"/>
            <w:vAlign w:val="center"/>
            <w:hideMark/>
          </w:tcPr>
          <w:p w14:paraId="624F250A" w14:textId="77777777" w:rsidR="00295BCD" w:rsidRPr="001927D6" w:rsidRDefault="00295BCD">
            <w:pPr>
              <w:spacing w:after="0" w:line="240" w:lineRule="auto"/>
              <w:jc w:val="center"/>
              <w:textAlignment w:val="baseline"/>
              <w:rPr>
                <w:szCs w:val="24"/>
                <w:lang w:eastAsia="et-EE"/>
              </w:rPr>
            </w:pPr>
            <w:r w:rsidRPr="001927D6">
              <w:rPr>
                <w:szCs w:val="24"/>
                <w:lang w:eastAsia="et-EE"/>
              </w:rPr>
              <w:t>372 </w:t>
            </w:r>
          </w:p>
        </w:tc>
        <w:tc>
          <w:tcPr>
            <w:tcW w:w="1243" w:type="dxa"/>
            <w:vAlign w:val="center"/>
          </w:tcPr>
          <w:p w14:paraId="114CD963" w14:textId="77777777" w:rsidR="00295BCD" w:rsidRPr="001927D6" w:rsidRDefault="00295BCD">
            <w:pPr>
              <w:spacing w:after="0" w:line="240" w:lineRule="auto"/>
              <w:jc w:val="center"/>
              <w:textAlignment w:val="baseline"/>
              <w:rPr>
                <w:szCs w:val="24"/>
                <w:lang w:eastAsia="et-EE"/>
              </w:rPr>
            </w:pPr>
            <w:r w:rsidRPr="001927D6">
              <w:rPr>
                <w:color w:val="000000"/>
                <w:szCs w:val="24"/>
              </w:rPr>
              <w:t>2 310,61</w:t>
            </w:r>
          </w:p>
        </w:tc>
        <w:tc>
          <w:tcPr>
            <w:tcW w:w="1211" w:type="dxa"/>
            <w:vAlign w:val="center"/>
          </w:tcPr>
          <w:p w14:paraId="4C3C5BE5" w14:textId="77777777" w:rsidR="00295BCD" w:rsidRPr="001927D6" w:rsidRDefault="00295BCD">
            <w:pPr>
              <w:spacing w:after="0" w:line="240" w:lineRule="auto"/>
              <w:jc w:val="center"/>
              <w:textAlignment w:val="baseline"/>
              <w:rPr>
                <w:szCs w:val="24"/>
                <w:lang w:eastAsia="et-EE"/>
              </w:rPr>
            </w:pPr>
            <w:r w:rsidRPr="001927D6">
              <w:rPr>
                <w:color w:val="000000"/>
                <w:szCs w:val="24"/>
              </w:rPr>
              <w:t>1 885,22</w:t>
            </w:r>
          </w:p>
        </w:tc>
        <w:tc>
          <w:tcPr>
            <w:tcW w:w="1238" w:type="dxa"/>
            <w:vAlign w:val="center"/>
          </w:tcPr>
          <w:p w14:paraId="429E2B1F" w14:textId="77777777" w:rsidR="00295BCD" w:rsidRPr="001927D6" w:rsidRDefault="00295BCD">
            <w:pPr>
              <w:spacing w:after="0" w:line="240" w:lineRule="auto"/>
              <w:jc w:val="center"/>
              <w:textAlignment w:val="baseline"/>
              <w:rPr>
                <w:szCs w:val="24"/>
                <w:lang w:eastAsia="et-EE"/>
              </w:rPr>
            </w:pPr>
            <w:r w:rsidRPr="001927D6">
              <w:rPr>
                <w:color w:val="000000"/>
                <w:szCs w:val="24"/>
              </w:rPr>
              <w:t>3 159,20</w:t>
            </w:r>
          </w:p>
        </w:tc>
      </w:tr>
      <w:tr w:rsidR="00295BCD" w:rsidRPr="001927D6" w14:paraId="17A3FC84" w14:textId="77777777" w:rsidTr="00295BCD">
        <w:trPr>
          <w:divId w:val="1316184749"/>
          <w:trHeight w:val="300"/>
        </w:trPr>
        <w:tc>
          <w:tcPr>
            <w:tcW w:w="4632" w:type="dxa"/>
            <w:vAlign w:val="bottom"/>
            <w:hideMark/>
          </w:tcPr>
          <w:p w14:paraId="3023B4EA" w14:textId="77777777" w:rsidR="00295BCD" w:rsidRPr="001927D6" w:rsidRDefault="00295BCD">
            <w:pPr>
              <w:spacing w:after="0" w:line="240" w:lineRule="auto"/>
              <w:textAlignment w:val="baseline"/>
              <w:rPr>
                <w:szCs w:val="24"/>
                <w:lang w:eastAsia="et-EE"/>
              </w:rPr>
            </w:pPr>
            <w:r w:rsidRPr="001927D6">
              <w:rPr>
                <w:szCs w:val="24"/>
                <w:lang w:eastAsia="et-EE"/>
              </w:rPr>
              <w:t>Vaginaalne sünnitus, kht-ta </w:t>
            </w:r>
          </w:p>
        </w:tc>
        <w:tc>
          <w:tcPr>
            <w:tcW w:w="732" w:type="dxa"/>
            <w:vAlign w:val="center"/>
            <w:hideMark/>
          </w:tcPr>
          <w:p w14:paraId="64E04567" w14:textId="77777777" w:rsidR="00295BCD" w:rsidRPr="001927D6" w:rsidRDefault="00295BCD">
            <w:pPr>
              <w:spacing w:after="0" w:line="240" w:lineRule="auto"/>
              <w:jc w:val="center"/>
              <w:textAlignment w:val="baseline"/>
              <w:rPr>
                <w:szCs w:val="24"/>
                <w:lang w:eastAsia="et-EE"/>
              </w:rPr>
            </w:pPr>
            <w:r w:rsidRPr="001927D6">
              <w:rPr>
                <w:szCs w:val="24"/>
                <w:lang w:eastAsia="et-EE"/>
              </w:rPr>
              <w:t>373 </w:t>
            </w:r>
          </w:p>
        </w:tc>
        <w:tc>
          <w:tcPr>
            <w:tcW w:w="1243" w:type="dxa"/>
            <w:vAlign w:val="center"/>
          </w:tcPr>
          <w:p w14:paraId="0AD37CCD" w14:textId="77777777" w:rsidR="00295BCD" w:rsidRPr="001927D6" w:rsidRDefault="00295BCD">
            <w:pPr>
              <w:spacing w:after="0" w:line="240" w:lineRule="auto"/>
              <w:jc w:val="center"/>
              <w:textAlignment w:val="baseline"/>
              <w:rPr>
                <w:szCs w:val="24"/>
                <w:lang w:eastAsia="et-EE"/>
              </w:rPr>
            </w:pPr>
            <w:r w:rsidRPr="001927D6">
              <w:rPr>
                <w:color w:val="000000"/>
                <w:szCs w:val="24"/>
              </w:rPr>
              <w:t>1 990,73</w:t>
            </w:r>
          </w:p>
        </w:tc>
        <w:tc>
          <w:tcPr>
            <w:tcW w:w="1211" w:type="dxa"/>
            <w:vAlign w:val="center"/>
          </w:tcPr>
          <w:p w14:paraId="6E678C07" w14:textId="77777777" w:rsidR="00295BCD" w:rsidRPr="001927D6" w:rsidRDefault="00295BCD">
            <w:pPr>
              <w:spacing w:after="0" w:line="240" w:lineRule="auto"/>
              <w:jc w:val="center"/>
              <w:textAlignment w:val="baseline"/>
              <w:rPr>
                <w:szCs w:val="24"/>
                <w:lang w:eastAsia="et-EE"/>
              </w:rPr>
            </w:pPr>
            <w:r w:rsidRPr="001927D6">
              <w:rPr>
                <w:color w:val="000000"/>
                <w:szCs w:val="24"/>
              </w:rPr>
              <w:t>1 806,91</w:t>
            </w:r>
          </w:p>
        </w:tc>
        <w:tc>
          <w:tcPr>
            <w:tcW w:w="1238" w:type="dxa"/>
            <w:vAlign w:val="center"/>
          </w:tcPr>
          <w:p w14:paraId="1573D44B" w14:textId="77777777" w:rsidR="00295BCD" w:rsidRPr="001927D6" w:rsidRDefault="00295BCD">
            <w:pPr>
              <w:spacing w:after="0" w:line="240" w:lineRule="auto"/>
              <w:jc w:val="center"/>
              <w:textAlignment w:val="baseline"/>
              <w:rPr>
                <w:szCs w:val="24"/>
                <w:lang w:eastAsia="et-EE"/>
              </w:rPr>
            </w:pPr>
            <w:r w:rsidRPr="001927D6">
              <w:rPr>
                <w:color w:val="000000"/>
                <w:szCs w:val="24"/>
              </w:rPr>
              <w:t>2 547,49</w:t>
            </w:r>
          </w:p>
        </w:tc>
      </w:tr>
      <w:tr w:rsidR="00295BCD" w:rsidRPr="001927D6" w14:paraId="42374E60" w14:textId="77777777" w:rsidTr="00295BCD">
        <w:trPr>
          <w:divId w:val="1316184749"/>
          <w:trHeight w:val="300"/>
        </w:trPr>
        <w:tc>
          <w:tcPr>
            <w:tcW w:w="4632" w:type="dxa"/>
            <w:vAlign w:val="bottom"/>
            <w:hideMark/>
          </w:tcPr>
          <w:p w14:paraId="091B216F" w14:textId="77777777" w:rsidR="00295BCD" w:rsidRPr="001927D6" w:rsidRDefault="00295BCD">
            <w:pPr>
              <w:spacing w:after="0" w:line="240" w:lineRule="auto"/>
              <w:textAlignment w:val="baseline"/>
              <w:rPr>
                <w:szCs w:val="24"/>
                <w:lang w:eastAsia="et-EE"/>
              </w:rPr>
            </w:pPr>
            <w:r w:rsidRPr="001927D6">
              <w:rPr>
                <w:szCs w:val="24"/>
                <w:lang w:eastAsia="et-EE"/>
              </w:rPr>
              <w:t>Vaginaalne sünnitus, lühike ravi </w:t>
            </w:r>
          </w:p>
        </w:tc>
        <w:tc>
          <w:tcPr>
            <w:tcW w:w="732" w:type="dxa"/>
            <w:vAlign w:val="center"/>
            <w:hideMark/>
          </w:tcPr>
          <w:p w14:paraId="70DE4BC1" w14:textId="77777777" w:rsidR="00295BCD" w:rsidRPr="001927D6" w:rsidRDefault="00295BCD">
            <w:pPr>
              <w:spacing w:after="0" w:line="240" w:lineRule="auto"/>
              <w:jc w:val="center"/>
              <w:textAlignment w:val="baseline"/>
              <w:rPr>
                <w:szCs w:val="24"/>
                <w:lang w:eastAsia="et-EE"/>
              </w:rPr>
            </w:pPr>
            <w:r w:rsidRPr="001927D6">
              <w:rPr>
                <w:szCs w:val="24"/>
                <w:lang w:eastAsia="et-EE"/>
              </w:rPr>
              <w:t>373O </w:t>
            </w:r>
          </w:p>
        </w:tc>
        <w:tc>
          <w:tcPr>
            <w:tcW w:w="1243" w:type="dxa"/>
            <w:vAlign w:val="center"/>
          </w:tcPr>
          <w:p w14:paraId="1B0D204E" w14:textId="77777777" w:rsidR="00295BCD" w:rsidRPr="001927D6" w:rsidRDefault="00295BCD">
            <w:pPr>
              <w:spacing w:after="0" w:line="240" w:lineRule="auto"/>
              <w:jc w:val="center"/>
              <w:textAlignment w:val="baseline"/>
              <w:rPr>
                <w:szCs w:val="24"/>
                <w:lang w:eastAsia="et-EE"/>
              </w:rPr>
            </w:pPr>
            <w:r w:rsidRPr="001927D6">
              <w:rPr>
                <w:color w:val="000000"/>
                <w:szCs w:val="24"/>
              </w:rPr>
              <w:t>1 797,60</w:t>
            </w:r>
          </w:p>
        </w:tc>
        <w:tc>
          <w:tcPr>
            <w:tcW w:w="1211" w:type="dxa"/>
            <w:vAlign w:val="center"/>
          </w:tcPr>
          <w:p w14:paraId="619D071B" w14:textId="77777777" w:rsidR="00295BCD" w:rsidRPr="001927D6" w:rsidRDefault="00295BCD">
            <w:pPr>
              <w:spacing w:after="0" w:line="240" w:lineRule="auto"/>
              <w:jc w:val="center"/>
              <w:textAlignment w:val="baseline"/>
              <w:rPr>
                <w:szCs w:val="24"/>
                <w:lang w:eastAsia="et-EE"/>
              </w:rPr>
            </w:pPr>
            <w:r w:rsidRPr="001927D6">
              <w:rPr>
                <w:color w:val="000000"/>
                <w:szCs w:val="24"/>
              </w:rPr>
              <w:t>507,15</w:t>
            </w:r>
          </w:p>
        </w:tc>
        <w:tc>
          <w:tcPr>
            <w:tcW w:w="1238" w:type="dxa"/>
            <w:vAlign w:val="center"/>
          </w:tcPr>
          <w:p w14:paraId="60268E8B" w14:textId="77777777" w:rsidR="00295BCD" w:rsidRPr="001927D6" w:rsidRDefault="00295BCD">
            <w:pPr>
              <w:spacing w:after="0" w:line="240" w:lineRule="auto"/>
              <w:jc w:val="center"/>
              <w:textAlignment w:val="baseline"/>
              <w:rPr>
                <w:szCs w:val="24"/>
                <w:lang w:eastAsia="et-EE"/>
              </w:rPr>
            </w:pPr>
            <w:r w:rsidRPr="001927D6">
              <w:rPr>
                <w:color w:val="000000"/>
                <w:szCs w:val="24"/>
              </w:rPr>
              <w:t>2 009,10</w:t>
            </w:r>
          </w:p>
        </w:tc>
      </w:tr>
      <w:tr w:rsidR="00295BCD" w:rsidRPr="001927D6" w14:paraId="00492958" w14:textId="77777777" w:rsidTr="00295BCD">
        <w:trPr>
          <w:divId w:val="1316184749"/>
          <w:trHeight w:val="300"/>
        </w:trPr>
        <w:tc>
          <w:tcPr>
            <w:tcW w:w="4632" w:type="dxa"/>
            <w:vAlign w:val="bottom"/>
            <w:hideMark/>
          </w:tcPr>
          <w:p w14:paraId="5EC69795" w14:textId="77777777" w:rsidR="00295BCD" w:rsidRPr="001927D6" w:rsidRDefault="00295BCD">
            <w:pPr>
              <w:spacing w:after="0" w:line="240" w:lineRule="auto"/>
              <w:textAlignment w:val="baseline"/>
              <w:rPr>
                <w:szCs w:val="24"/>
                <w:lang w:eastAsia="et-EE"/>
              </w:rPr>
            </w:pPr>
            <w:r w:rsidRPr="001927D6">
              <w:rPr>
                <w:szCs w:val="24"/>
                <w:lang w:eastAsia="et-EE"/>
              </w:rPr>
              <w:t>Vaginaalne sünnitus koos steriliseerimisega ja/või emakaõõne abrasiooniga </w:t>
            </w:r>
          </w:p>
        </w:tc>
        <w:tc>
          <w:tcPr>
            <w:tcW w:w="732" w:type="dxa"/>
            <w:vAlign w:val="center"/>
            <w:hideMark/>
          </w:tcPr>
          <w:p w14:paraId="03B21FC0" w14:textId="77777777" w:rsidR="00295BCD" w:rsidRPr="001927D6" w:rsidRDefault="00295BCD">
            <w:pPr>
              <w:spacing w:after="0" w:line="240" w:lineRule="auto"/>
              <w:jc w:val="center"/>
              <w:textAlignment w:val="baseline"/>
              <w:rPr>
                <w:szCs w:val="24"/>
                <w:lang w:eastAsia="et-EE"/>
              </w:rPr>
            </w:pPr>
            <w:r w:rsidRPr="001927D6">
              <w:rPr>
                <w:szCs w:val="24"/>
                <w:lang w:eastAsia="et-EE"/>
              </w:rPr>
              <w:t>374 </w:t>
            </w:r>
          </w:p>
        </w:tc>
        <w:tc>
          <w:tcPr>
            <w:tcW w:w="1243" w:type="dxa"/>
            <w:vAlign w:val="center"/>
          </w:tcPr>
          <w:p w14:paraId="6378BC73" w14:textId="77777777" w:rsidR="00295BCD" w:rsidRPr="001927D6" w:rsidRDefault="00295BCD">
            <w:pPr>
              <w:spacing w:after="0" w:line="240" w:lineRule="auto"/>
              <w:jc w:val="center"/>
              <w:textAlignment w:val="baseline"/>
              <w:rPr>
                <w:szCs w:val="24"/>
                <w:lang w:eastAsia="et-EE"/>
              </w:rPr>
            </w:pPr>
            <w:r w:rsidRPr="001927D6">
              <w:rPr>
                <w:color w:val="000000"/>
                <w:szCs w:val="24"/>
              </w:rPr>
              <w:t>4 022,67</w:t>
            </w:r>
          </w:p>
        </w:tc>
        <w:tc>
          <w:tcPr>
            <w:tcW w:w="1211" w:type="dxa"/>
            <w:vAlign w:val="center"/>
          </w:tcPr>
          <w:p w14:paraId="29E26E5B" w14:textId="77777777" w:rsidR="00295BCD" w:rsidRPr="001927D6" w:rsidRDefault="00295BCD">
            <w:pPr>
              <w:spacing w:after="0" w:line="240" w:lineRule="auto"/>
              <w:jc w:val="center"/>
              <w:textAlignment w:val="baseline"/>
              <w:rPr>
                <w:szCs w:val="24"/>
                <w:lang w:eastAsia="et-EE"/>
              </w:rPr>
            </w:pPr>
            <w:r w:rsidRPr="001927D6">
              <w:rPr>
                <w:color w:val="000000"/>
                <w:szCs w:val="24"/>
              </w:rPr>
              <w:t>2 524,33</w:t>
            </w:r>
          </w:p>
        </w:tc>
        <w:tc>
          <w:tcPr>
            <w:tcW w:w="1238" w:type="dxa"/>
            <w:vAlign w:val="center"/>
          </w:tcPr>
          <w:p w14:paraId="6EB06615" w14:textId="77777777" w:rsidR="00295BCD" w:rsidRPr="001927D6" w:rsidRDefault="00295BCD">
            <w:pPr>
              <w:spacing w:after="0" w:line="240" w:lineRule="auto"/>
              <w:jc w:val="center"/>
              <w:textAlignment w:val="baseline"/>
              <w:rPr>
                <w:szCs w:val="24"/>
                <w:lang w:eastAsia="et-EE"/>
              </w:rPr>
            </w:pPr>
            <w:r w:rsidRPr="001927D6">
              <w:rPr>
                <w:color w:val="000000"/>
                <w:szCs w:val="24"/>
              </w:rPr>
              <w:t>7 475,18</w:t>
            </w:r>
          </w:p>
        </w:tc>
      </w:tr>
      <w:tr w:rsidR="00295BCD" w:rsidRPr="001927D6" w14:paraId="43C702AF" w14:textId="77777777" w:rsidTr="00295BCD">
        <w:trPr>
          <w:divId w:val="1316184749"/>
          <w:trHeight w:val="300"/>
        </w:trPr>
        <w:tc>
          <w:tcPr>
            <w:tcW w:w="4632" w:type="dxa"/>
            <w:vAlign w:val="bottom"/>
            <w:hideMark/>
          </w:tcPr>
          <w:p w14:paraId="11C3D63C" w14:textId="77777777" w:rsidR="00295BCD" w:rsidRPr="001927D6" w:rsidRDefault="00295BCD">
            <w:pPr>
              <w:spacing w:after="0" w:line="240" w:lineRule="auto"/>
              <w:textAlignment w:val="baseline"/>
              <w:rPr>
                <w:szCs w:val="24"/>
                <w:lang w:eastAsia="et-EE"/>
              </w:rPr>
            </w:pPr>
            <w:r w:rsidRPr="001927D6">
              <w:rPr>
                <w:szCs w:val="24"/>
                <w:lang w:eastAsia="et-EE"/>
              </w:rPr>
              <w:t>Vaginaalne sünnitus koos operatsiooniga, v.a sterilisatsioon ja/või emakaõõne abrasioon </w:t>
            </w:r>
          </w:p>
        </w:tc>
        <w:tc>
          <w:tcPr>
            <w:tcW w:w="732" w:type="dxa"/>
            <w:vAlign w:val="center"/>
            <w:hideMark/>
          </w:tcPr>
          <w:p w14:paraId="20FE774B" w14:textId="77777777" w:rsidR="00295BCD" w:rsidRPr="001927D6" w:rsidRDefault="00295BCD">
            <w:pPr>
              <w:spacing w:after="0" w:line="240" w:lineRule="auto"/>
              <w:jc w:val="center"/>
              <w:textAlignment w:val="baseline"/>
              <w:rPr>
                <w:szCs w:val="24"/>
                <w:lang w:eastAsia="et-EE"/>
              </w:rPr>
            </w:pPr>
            <w:r w:rsidRPr="001927D6">
              <w:rPr>
                <w:szCs w:val="24"/>
                <w:lang w:eastAsia="et-EE"/>
              </w:rPr>
              <w:t>375 </w:t>
            </w:r>
          </w:p>
        </w:tc>
        <w:tc>
          <w:tcPr>
            <w:tcW w:w="1243" w:type="dxa"/>
            <w:vAlign w:val="center"/>
          </w:tcPr>
          <w:p w14:paraId="5D3342A1" w14:textId="77777777" w:rsidR="00295BCD" w:rsidRPr="001927D6" w:rsidRDefault="00295BCD">
            <w:pPr>
              <w:spacing w:after="0" w:line="240" w:lineRule="auto"/>
              <w:jc w:val="center"/>
              <w:textAlignment w:val="baseline"/>
              <w:rPr>
                <w:szCs w:val="24"/>
                <w:lang w:eastAsia="et-EE"/>
              </w:rPr>
            </w:pPr>
            <w:r w:rsidRPr="001927D6">
              <w:rPr>
                <w:color w:val="000000"/>
                <w:szCs w:val="24"/>
              </w:rPr>
              <w:t>3 462,26</w:t>
            </w:r>
          </w:p>
        </w:tc>
        <w:tc>
          <w:tcPr>
            <w:tcW w:w="1211" w:type="dxa"/>
            <w:vAlign w:val="center"/>
          </w:tcPr>
          <w:p w14:paraId="12900A5C" w14:textId="77777777" w:rsidR="00295BCD" w:rsidRPr="001927D6" w:rsidRDefault="00295BCD">
            <w:pPr>
              <w:spacing w:after="0" w:line="240" w:lineRule="auto"/>
              <w:jc w:val="center"/>
              <w:textAlignment w:val="baseline"/>
              <w:rPr>
                <w:szCs w:val="24"/>
                <w:lang w:eastAsia="et-EE"/>
              </w:rPr>
            </w:pPr>
            <w:r w:rsidRPr="001927D6">
              <w:rPr>
                <w:color w:val="000000"/>
                <w:szCs w:val="24"/>
              </w:rPr>
              <w:t>2 232,71</w:t>
            </w:r>
          </w:p>
        </w:tc>
        <w:tc>
          <w:tcPr>
            <w:tcW w:w="1238" w:type="dxa"/>
            <w:vAlign w:val="center"/>
          </w:tcPr>
          <w:p w14:paraId="3AEA262B" w14:textId="77777777" w:rsidR="00295BCD" w:rsidRPr="001927D6" w:rsidRDefault="00295BCD">
            <w:pPr>
              <w:spacing w:after="0" w:line="240" w:lineRule="auto"/>
              <w:jc w:val="center"/>
              <w:textAlignment w:val="baseline"/>
              <w:rPr>
                <w:szCs w:val="24"/>
                <w:lang w:eastAsia="et-EE"/>
              </w:rPr>
            </w:pPr>
            <w:r w:rsidRPr="001927D6">
              <w:rPr>
                <w:color w:val="000000"/>
                <w:szCs w:val="24"/>
              </w:rPr>
              <w:t>8 098,52</w:t>
            </w:r>
          </w:p>
        </w:tc>
      </w:tr>
      <w:tr w:rsidR="00295BCD" w:rsidRPr="001927D6" w14:paraId="289E35D1" w14:textId="77777777" w:rsidTr="00295BCD">
        <w:trPr>
          <w:divId w:val="1316184749"/>
          <w:trHeight w:val="300"/>
        </w:trPr>
        <w:tc>
          <w:tcPr>
            <w:tcW w:w="4632" w:type="dxa"/>
            <w:vAlign w:val="bottom"/>
            <w:hideMark/>
          </w:tcPr>
          <w:p w14:paraId="44BEBCDB" w14:textId="77777777" w:rsidR="00295BCD" w:rsidRPr="001927D6" w:rsidRDefault="00295BCD">
            <w:pPr>
              <w:spacing w:after="0" w:line="240" w:lineRule="auto"/>
              <w:textAlignment w:val="baseline"/>
              <w:rPr>
                <w:szCs w:val="24"/>
                <w:lang w:eastAsia="et-EE"/>
              </w:rPr>
            </w:pPr>
            <w:r w:rsidRPr="001927D6">
              <w:rPr>
                <w:szCs w:val="24"/>
                <w:lang w:eastAsia="et-EE"/>
              </w:rPr>
              <w:t>Sünnitus- ja abordijärgsed haigused, operatsioonita </w:t>
            </w:r>
          </w:p>
        </w:tc>
        <w:tc>
          <w:tcPr>
            <w:tcW w:w="732" w:type="dxa"/>
            <w:vAlign w:val="center"/>
            <w:hideMark/>
          </w:tcPr>
          <w:p w14:paraId="645FE9C2" w14:textId="77777777" w:rsidR="00295BCD" w:rsidRPr="001927D6" w:rsidRDefault="00295BCD">
            <w:pPr>
              <w:spacing w:after="0" w:line="240" w:lineRule="auto"/>
              <w:jc w:val="center"/>
              <w:textAlignment w:val="baseline"/>
              <w:rPr>
                <w:szCs w:val="24"/>
                <w:lang w:eastAsia="et-EE"/>
              </w:rPr>
            </w:pPr>
            <w:r w:rsidRPr="001927D6">
              <w:rPr>
                <w:szCs w:val="24"/>
                <w:lang w:eastAsia="et-EE"/>
              </w:rPr>
              <w:t>376 </w:t>
            </w:r>
          </w:p>
        </w:tc>
        <w:tc>
          <w:tcPr>
            <w:tcW w:w="1243" w:type="dxa"/>
            <w:vAlign w:val="center"/>
          </w:tcPr>
          <w:p w14:paraId="4E97AD43" w14:textId="77777777" w:rsidR="00295BCD" w:rsidRPr="001927D6" w:rsidRDefault="00295BCD">
            <w:pPr>
              <w:spacing w:after="0" w:line="240" w:lineRule="auto"/>
              <w:jc w:val="center"/>
              <w:textAlignment w:val="baseline"/>
              <w:rPr>
                <w:szCs w:val="24"/>
                <w:lang w:eastAsia="et-EE"/>
              </w:rPr>
            </w:pPr>
            <w:r w:rsidRPr="001927D6">
              <w:rPr>
                <w:color w:val="000000"/>
                <w:szCs w:val="24"/>
              </w:rPr>
              <w:t>707,99</w:t>
            </w:r>
          </w:p>
        </w:tc>
        <w:tc>
          <w:tcPr>
            <w:tcW w:w="1211" w:type="dxa"/>
            <w:vAlign w:val="center"/>
          </w:tcPr>
          <w:p w14:paraId="2BDED1DC" w14:textId="77777777" w:rsidR="00295BCD" w:rsidRPr="001927D6" w:rsidRDefault="00295BCD">
            <w:pPr>
              <w:spacing w:after="0" w:line="240" w:lineRule="auto"/>
              <w:jc w:val="center"/>
              <w:textAlignment w:val="baseline"/>
              <w:rPr>
                <w:szCs w:val="24"/>
                <w:lang w:eastAsia="et-EE"/>
              </w:rPr>
            </w:pPr>
            <w:r w:rsidRPr="001927D6">
              <w:rPr>
                <w:color w:val="000000"/>
                <w:szCs w:val="24"/>
              </w:rPr>
              <w:t>234,83</w:t>
            </w:r>
          </w:p>
        </w:tc>
        <w:tc>
          <w:tcPr>
            <w:tcW w:w="1238" w:type="dxa"/>
            <w:vAlign w:val="center"/>
          </w:tcPr>
          <w:p w14:paraId="1E25BBB1" w14:textId="77777777" w:rsidR="00295BCD" w:rsidRPr="001927D6" w:rsidRDefault="00295BCD">
            <w:pPr>
              <w:spacing w:after="0" w:line="240" w:lineRule="auto"/>
              <w:jc w:val="center"/>
              <w:textAlignment w:val="baseline"/>
              <w:rPr>
                <w:szCs w:val="24"/>
                <w:lang w:eastAsia="et-EE"/>
              </w:rPr>
            </w:pPr>
            <w:r w:rsidRPr="001927D6">
              <w:rPr>
                <w:color w:val="000000"/>
                <w:szCs w:val="24"/>
              </w:rPr>
              <w:t>1 615,00</w:t>
            </w:r>
          </w:p>
        </w:tc>
      </w:tr>
      <w:tr w:rsidR="00295BCD" w:rsidRPr="001927D6" w14:paraId="0FE44E8F" w14:textId="77777777" w:rsidTr="00295BCD">
        <w:trPr>
          <w:divId w:val="1316184749"/>
          <w:trHeight w:val="300"/>
        </w:trPr>
        <w:tc>
          <w:tcPr>
            <w:tcW w:w="4632" w:type="dxa"/>
            <w:vAlign w:val="bottom"/>
            <w:hideMark/>
          </w:tcPr>
          <w:p w14:paraId="58835576" w14:textId="77777777" w:rsidR="00295BCD" w:rsidRPr="001927D6" w:rsidRDefault="00295BCD">
            <w:pPr>
              <w:spacing w:after="0" w:line="240" w:lineRule="auto"/>
              <w:textAlignment w:val="baseline"/>
              <w:rPr>
                <w:szCs w:val="24"/>
                <w:lang w:eastAsia="et-EE"/>
              </w:rPr>
            </w:pPr>
            <w:r w:rsidRPr="001927D6">
              <w:rPr>
                <w:szCs w:val="24"/>
                <w:lang w:eastAsia="et-EE"/>
              </w:rPr>
              <w:t>Sünnitusabi probleem, vajalik operatsioon </w:t>
            </w:r>
          </w:p>
        </w:tc>
        <w:tc>
          <w:tcPr>
            <w:tcW w:w="732" w:type="dxa"/>
            <w:vAlign w:val="center"/>
            <w:hideMark/>
          </w:tcPr>
          <w:p w14:paraId="41727518" w14:textId="77777777" w:rsidR="00295BCD" w:rsidRPr="001927D6" w:rsidRDefault="00295BCD">
            <w:pPr>
              <w:spacing w:after="0" w:line="240" w:lineRule="auto"/>
              <w:jc w:val="center"/>
              <w:textAlignment w:val="baseline"/>
              <w:rPr>
                <w:szCs w:val="24"/>
                <w:lang w:eastAsia="et-EE"/>
              </w:rPr>
            </w:pPr>
            <w:r w:rsidRPr="001927D6">
              <w:rPr>
                <w:szCs w:val="24"/>
                <w:lang w:eastAsia="et-EE"/>
              </w:rPr>
              <w:t>377N </w:t>
            </w:r>
          </w:p>
        </w:tc>
        <w:tc>
          <w:tcPr>
            <w:tcW w:w="1243" w:type="dxa"/>
            <w:vAlign w:val="center"/>
          </w:tcPr>
          <w:p w14:paraId="5F0302C4" w14:textId="77777777" w:rsidR="00295BCD" w:rsidRPr="001927D6" w:rsidRDefault="00295BCD">
            <w:pPr>
              <w:spacing w:after="0" w:line="240" w:lineRule="auto"/>
              <w:jc w:val="center"/>
              <w:textAlignment w:val="baseline"/>
              <w:rPr>
                <w:szCs w:val="24"/>
                <w:lang w:eastAsia="et-EE"/>
              </w:rPr>
            </w:pPr>
            <w:r w:rsidRPr="001927D6">
              <w:rPr>
                <w:color w:val="000000"/>
                <w:szCs w:val="24"/>
              </w:rPr>
              <w:t>1 103,01</w:t>
            </w:r>
          </w:p>
        </w:tc>
        <w:tc>
          <w:tcPr>
            <w:tcW w:w="1211" w:type="dxa"/>
            <w:vAlign w:val="center"/>
          </w:tcPr>
          <w:p w14:paraId="118E0C5F" w14:textId="77777777" w:rsidR="00295BCD" w:rsidRPr="001927D6" w:rsidRDefault="00295BCD">
            <w:pPr>
              <w:spacing w:after="0" w:line="240" w:lineRule="auto"/>
              <w:jc w:val="center"/>
              <w:textAlignment w:val="baseline"/>
              <w:rPr>
                <w:szCs w:val="24"/>
                <w:lang w:eastAsia="et-EE"/>
              </w:rPr>
            </w:pPr>
            <w:r w:rsidRPr="001927D6">
              <w:rPr>
                <w:color w:val="000000"/>
                <w:szCs w:val="24"/>
              </w:rPr>
              <w:t>537,12</w:t>
            </w:r>
          </w:p>
        </w:tc>
        <w:tc>
          <w:tcPr>
            <w:tcW w:w="1238" w:type="dxa"/>
            <w:vAlign w:val="center"/>
          </w:tcPr>
          <w:p w14:paraId="117D52F5" w14:textId="77777777" w:rsidR="00295BCD" w:rsidRPr="001927D6" w:rsidRDefault="00295BCD">
            <w:pPr>
              <w:spacing w:after="0" w:line="240" w:lineRule="auto"/>
              <w:jc w:val="center"/>
              <w:textAlignment w:val="baseline"/>
              <w:rPr>
                <w:szCs w:val="24"/>
                <w:lang w:eastAsia="et-EE"/>
              </w:rPr>
            </w:pPr>
            <w:r w:rsidRPr="001927D6">
              <w:rPr>
                <w:color w:val="000000"/>
                <w:szCs w:val="24"/>
              </w:rPr>
              <w:t>3 022,17</w:t>
            </w:r>
          </w:p>
        </w:tc>
      </w:tr>
      <w:tr w:rsidR="00295BCD" w:rsidRPr="001927D6" w14:paraId="3BDF2DE1" w14:textId="77777777" w:rsidTr="00295BCD">
        <w:trPr>
          <w:divId w:val="1316184749"/>
          <w:trHeight w:val="300"/>
        </w:trPr>
        <w:tc>
          <w:tcPr>
            <w:tcW w:w="4632" w:type="dxa"/>
            <w:vAlign w:val="bottom"/>
            <w:hideMark/>
          </w:tcPr>
          <w:p w14:paraId="44A6775A" w14:textId="77777777" w:rsidR="00295BCD" w:rsidRPr="001927D6" w:rsidRDefault="00295BCD">
            <w:pPr>
              <w:spacing w:after="0" w:line="240" w:lineRule="auto"/>
              <w:textAlignment w:val="baseline"/>
              <w:rPr>
                <w:szCs w:val="24"/>
                <w:lang w:eastAsia="et-EE"/>
              </w:rPr>
            </w:pPr>
            <w:r w:rsidRPr="001927D6">
              <w:rPr>
                <w:szCs w:val="24"/>
                <w:lang w:eastAsia="et-EE"/>
              </w:rPr>
              <w:t>Sünnitus- ja abordijärgsed haigused, operatsioonita, lühike ravi </w:t>
            </w:r>
          </w:p>
        </w:tc>
        <w:tc>
          <w:tcPr>
            <w:tcW w:w="732" w:type="dxa"/>
            <w:vAlign w:val="center"/>
            <w:hideMark/>
          </w:tcPr>
          <w:p w14:paraId="413D8266" w14:textId="77777777" w:rsidR="00295BCD" w:rsidRPr="001927D6" w:rsidRDefault="00295BCD">
            <w:pPr>
              <w:spacing w:after="0" w:line="240" w:lineRule="auto"/>
              <w:jc w:val="center"/>
              <w:textAlignment w:val="baseline"/>
              <w:rPr>
                <w:szCs w:val="24"/>
                <w:lang w:eastAsia="et-EE"/>
              </w:rPr>
            </w:pPr>
            <w:r w:rsidRPr="001927D6">
              <w:rPr>
                <w:szCs w:val="24"/>
                <w:lang w:eastAsia="et-EE"/>
              </w:rPr>
              <w:t>377O </w:t>
            </w:r>
          </w:p>
        </w:tc>
        <w:tc>
          <w:tcPr>
            <w:tcW w:w="1243" w:type="dxa"/>
            <w:vAlign w:val="center"/>
          </w:tcPr>
          <w:p w14:paraId="6FC06090" w14:textId="77777777" w:rsidR="00295BCD" w:rsidRPr="001927D6" w:rsidRDefault="00295BCD">
            <w:pPr>
              <w:spacing w:after="0" w:line="240" w:lineRule="auto"/>
              <w:jc w:val="center"/>
              <w:textAlignment w:val="baseline"/>
              <w:rPr>
                <w:szCs w:val="24"/>
                <w:lang w:eastAsia="et-EE"/>
              </w:rPr>
            </w:pPr>
            <w:r w:rsidRPr="001927D6">
              <w:rPr>
                <w:color w:val="000000"/>
                <w:szCs w:val="24"/>
              </w:rPr>
              <w:t>900,98</w:t>
            </w:r>
          </w:p>
        </w:tc>
        <w:tc>
          <w:tcPr>
            <w:tcW w:w="1211" w:type="dxa"/>
            <w:vAlign w:val="center"/>
          </w:tcPr>
          <w:p w14:paraId="42456887" w14:textId="77777777" w:rsidR="00295BCD" w:rsidRPr="001927D6" w:rsidRDefault="00295BCD">
            <w:pPr>
              <w:spacing w:after="0" w:line="240" w:lineRule="auto"/>
              <w:jc w:val="center"/>
              <w:textAlignment w:val="baseline"/>
              <w:rPr>
                <w:szCs w:val="24"/>
                <w:lang w:eastAsia="et-EE"/>
              </w:rPr>
            </w:pPr>
            <w:r w:rsidRPr="001927D6">
              <w:rPr>
                <w:color w:val="000000"/>
                <w:szCs w:val="24"/>
              </w:rPr>
              <w:t>786,84</w:t>
            </w:r>
          </w:p>
        </w:tc>
        <w:tc>
          <w:tcPr>
            <w:tcW w:w="1238" w:type="dxa"/>
            <w:vAlign w:val="center"/>
          </w:tcPr>
          <w:p w14:paraId="7BC7D264" w14:textId="77777777" w:rsidR="00295BCD" w:rsidRPr="001927D6" w:rsidRDefault="00295BCD">
            <w:pPr>
              <w:spacing w:after="0" w:line="240" w:lineRule="auto"/>
              <w:jc w:val="center"/>
              <w:textAlignment w:val="baseline"/>
              <w:rPr>
                <w:szCs w:val="24"/>
                <w:lang w:eastAsia="et-EE"/>
              </w:rPr>
            </w:pPr>
            <w:r w:rsidRPr="001927D6">
              <w:rPr>
                <w:color w:val="000000"/>
                <w:szCs w:val="24"/>
              </w:rPr>
              <w:t>1 049,91</w:t>
            </w:r>
          </w:p>
        </w:tc>
      </w:tr>
      <w:tr w:rsidR="00295BCD" w:rsidRPr="001927D6" w14:paraId="5C519EED" w14:textId="77777777" w:rsidTr="00295BCD">
        <w:trPr>
          <w:divId w:val="1316184749"/>
          <w:trHeight w:val="300"/>
        </w:trPr>
        <w:tc>
          <w:tcPr>
            <w:tcW w:w="4632" w:type="dxa"/>
            <w:vAlign w:val="bottom"/>
            <w:hideMark/>
          </w:tcPr>
          <w:p w14:paraId="7BEFEBC6" w14:textId="77777777" w:rsidR="00295BCD" w:rsidRPr="001927D6" w:rsidRDefault="00295BCD">
            <w:pPr>
              <w:spacing w:after="0" w:line="240" w:lineRule="auto"/>
              <w:textAlignment w:val="baseline"/>
              <w:rPr>
                <w:szCs w:val="24"/>
                <w:lang w:eastAsia="et-EE"/>
              </w:rPr>
            </w:pPr>
            <w:r w:rsidRPr="001927D6">
              <w:rPr>
                <w:szCs w:val="24"/>
                <w:lang w:eastAsia="et-EE"/>
              </w:rPr>
              <w:t>Operatsioon emakavälise raseduse korral </w:t>
            </w:r>
          </w:p>
        </w:tc>
        <w:tc>
          <w:tcPr>
            <w:tcW w:w="732" w:type="dxa"/>
            <w:vAlign w:val="center"/>
            <w:hideMark/>
          </w:tcPr>
          <w:p w14:paraId="3E34FF5E" w14:textId="77777777" w:rsidR="00295BCD" w:rsidRPr="001927D6" w:rsidRDefault="00295BCD">
            <w:pPr>
              <w:spacing w:after="0" w:line="240" w:lineRule="auto"/>
              <w:jc w:val="center"/>
              <w:textAlignment w:val="baseline"/>
              <w:rPr>
                <w:szCs w:val="24"/>
                <w:lang w:eastAsia="et-EE"/>
              </w:rPr>
            </w:pPr>
            <w:r w:rsidRPr="001927D6">
              <w:rPr>
                <w:szCs w:val="24"/>
                <w:lang w:eastAsia="et-EE"/>
              </w:rPr>
              <w:t>378N </w:t>
            </w:r>
          </w:p>
        </w:tc>
        <w:tc>
          <w:tcPr>
            <w:tcW w:w="1243" w:type="dxa"/>
            <w:vAlign w:val="center"/>
          </w:tcPr>
          <w:p w14:paraId="12359D7B" w14:textId="77777777" w:rsidR="00295BCD" w:rsidRPr="001927D6" w:rsidRDefault="00295BCD">
            <w:pPr>
              <w:spacing w:after="0" w:line="240" w:lineRule="auto"/>
              <w:jc w:val="center"/>
              <w:textAlignment w:val="baseline"/>
              <w:rPr>
                <w:szCs w:val="24"/>
                <w:lang w:eastAsia="et-EE"/>
              </w:rPr>
            </w:pPr>
            <w:r w:rsidRPr="001927D6">
              <w:rPr>
                <w:color w:val="000000"/>
                <w:szCs w:val="24"/>
              </w:rPr>
              <w:t>1 890,92</w:t>
            </w:r>
          </w:p>
        </w:tc>
        <w:tc>
          <w:tcPr>
            <w:tcW w:w="1211" w:type="dxa"/>
            <w:vAlign w:val="center"/>
          </w:tcPr>
          <w:p w14:paraId="2DE7337A" w14:textId="77777777" w:rsidR="00295BCD" w:rsidRPr="001927D6" w:rsidRDefault="00295BCD">
            <w:pPr>
              <w:spacing w:after="0" w:line="240" w:lineRule="auto"/>
              <w:jc w:val="center"/>
              <w:textAlignment w:val="baseline"/>
              <w:rPr>
                <w:szCs w:val="24"/>
                <w:lang w:eastAsia="et-EE"/>
              </w:rPr>
            </w:pPr>
            <w:r w:rsidRPr="001927D6">
              <w:rPr>
                <w:color w:val="000000"/>
                <w:szCs w:val="24"/>
              </w:rPr>
              <w:t>1 653,59</w:t>
            </w:r>
          </w:p>
        </w:tc>
        <w:tc>
          <w:tcPr>
            <w:tcW w:w="1238" w:type="dxa"/>
            <w:vAlign w:val="center"/>
          </w:tcPr>
          <w:p w14:paraId="19AEA737" w14:textId="77777777" w:rsidR="00295BCD" w:rsidRPr="001927D6" w:rsidRDefault="00295BCD">
            <w:pPr>
              <w:spacing w:after="0" w:line="240" w:lineRule="auto"/>
              <w:jc w:val="center"/>
              <w:textAlignment w:val="baseline"/>
              <w:rPr>
                <w:szCs w:val="24"/>
                <w:lang w:eastAsia="et-EE"/>
              </w:rPr>
            </w:pPr>
            <w:r w:rsidRPr="001927D6">
              <w:rPr>
                <w:color w:val="000000"/>
                <w:szCs w:val="24"/>
              </w:rPr>
              <w:t>2 401,38</w:t>
            </w:r>
          </w:p>
        </w:tc>
      </w:tr>
      <w:tr w:rsidR="00295BCD" w:rsidRPr="001927D6" w14:paraId="616024D7" w14:textId="77777777" w:rsidTr="00295BCD">
        <w:trPr>
          <w:divId w:val="1316184749"/>
          <w:trHeight w:val="300"/>
        </w:trPr>
        <w:tc>
          <w:tcPr>
            <w:tcW w:w="4632" w:type="dxa"/>
            <w:vAlign w:val="bottom"/>
            <w:hideMark/>
          </w:tcPr>
          <w:p w14:paraId="424AE1E8" w14:textId="77777777" w:rsidR="00295BCD" w:rsidRPr="001927D6" w:rsidRDefault="00295BCD">
            <w:pPr>
              <w:spacing w:after="0" w:line="240" w:lineRule="auto"/>
              <w:textAlignment w:val="baseline"/>
              <w:rPr>
                <w:szCs w:val="24"/>
                <w:lang w:eastAsia="et-EE"/>
              </w:rPr>
            </w:pPr>
            <w:r w:rsidRPr="001927D6">
              <w:rPr>
                <w:szCs w:val="24"/>
                <w:lang w:eastAsia="et-EE"/>
              </w:rPr>
              <w:t>Ähvardav iseeneslik abort </w:t>
            </w:r>
          </w:p>
        </w:tc>
        <w:tc>
          <w:tcPr>
            <w:tcW w:w="732" w:type="dxa"/>
            <w:vAlign w:val="center"/>
            <w:hideMark/>
          </w:tcPr>
          <w:p w14:paraId="4DC96C21" w14:textId="77777777" w:rsidR="00295BCD" w:rsidRPr="001927D6" w:rsidRDefault="00295BCD">
            <w:pPr>
              <w:spacing w:after="0" w:line="240" w:lineRule="auto"/>
              <w:jc w:val="center"/>
              <w:textAlignment w:val="baseline"/>
              <w:rPr>
                <w:szCs w:val="24"/>
                <w:lang w:eastAsia="et-EE"/>
              </w:rPr>
            </w:pPr>
            <w:r w:rsidRPr="001927D6">
              <w:rPr>
                <w:szCs w:val="24"/>
                <w:lang w:eastAsia="et-EE"/>
              </w:rPr>
              <w:t>379 </w:t>
            </w:r>
          </w:p>
        </w:tc>
        <w:tc>
          <w:tcPr>
            <w:tcW w:w="1243" w:type="dxa"/>
            <w:vAlign w:val="center"/>
          </w:tcPr>
          <w:p w14:paraId="43460894" w14:textId="77777777" w:rsidR="00295BCD" w:rsidRPr="001927D6" w:rsidRDefault="00295BCD">
            <w:pPr>
              <w:spacing w:after="0" w:line="240" w:lineRule="auto"/>
              <w:jc w:val="center"/>
              <w:textAlignment w:val="baseline"/>
              <w:rPr>
                <w:szCs w:val="24"/>
                <w:lang w:eastAsia="et-EE"/>
              </w:rPr>
            </w:pPr>
            <w:r w:rsidRPr="001927D6">
              <w:rPr>
                <w:color w:val="000000"/>
                <w:szCs w:val="24"/>
              </w:rPr>
              <w:t>718,47</w:t>
            </w:r>
          </w:p>
        </w:tc>
        <w:tc>
          <w:tcPr>
            <w:tcW w:w="1211" w:type="dxa"/>
            <w:vAlign w:val="center"/>
          </w:tcPr>
          <w:p w14:paraId="70C3E064" w14:textId="77777777" w:rsidR="00295BCD" w:rsidRPr="001927D6" w:rsidRDefault="00295BCD">
            <w:pPr>
              <w:spacing w:after="0" w:line="240" w:lineRule="auto"/>
              <w:jc w:val="center"/>
              <w:textAlignment w:val="baseline"/>
              <w:rPr>
                <w:szCs w:val="24"/>
                <w:lang w:eastAsia="et-EE"/>
              </w:rPr>
            </w:pPr>
            <w:r w:rsidRPr="001927D6">
              <w:rPr>
                <w:color w:val="000000"/>
                <w:szCs w:val="24"/>
              </w:rPr>
              <w:t>265,08</w:t>
            </w:r>
          </w:p>
        </w:tc>
        <w:tc>
          <w:tcPr>
            <w:tcW w:w="1238" w:type="dxa"/>
            <w:vAlign w:val="center"/>
          </w:tcPr>
          <w:p w14:paraId="2584593C" w14:textId="77777777" w:rsidR="00295BCD" w:rsidRPr="001927D6" w:rsidRDefault="00295BCD">
            <w:pPr>
              <w:spacing w:after="0" w:line="240" w:lineRule="auto"/>
              <w:jc w:val="center"/>
              <w:textAlignment w:val="baseline"/>
              <w:rPr>
                <w:szCs w:val="24"/>
                <w:lang w:eastAsia="et-EE"/>
              </w:rPr>
            </w:pPr>
            <w:r w:rsidRPr="001927D6">
              <w:rPr>
                <w:color w:val="000000"/>
                <w:szCs w:val="24"/>
              </w:rPr>
              <w:t>1 473,99</w:t>
            </w:r>
          </w:p>
        </w:tc>
      </w:tr>
      <w:tr w:rsidR="00295BCD" w:rsidRPr="001927D6" w14:paraId="66BFA3F8" w14:textId="77777777" w:rsidTr="00295BCD">
        <w:trPr>
          <w:divId w:val="1316184749"/>
          <w:trHeight w:val="300"/>
        </w:trPr>
        <w:tc>
          <w:tcPr>
            <w:tcW w:w="4632" w:type="dxa"/>
            <w:vAlign w:val="bottom"/>
            <w:hideMark/>
          </w:tcPr>
          <w:p w14:paraId="40724856" w14:textId="77777777" w:rsidR="00295BCD" w:rsidRPr="001927D6" w:rsidRDefault="00295BCD">
            <w:pPr>
              <w:spacing w:after="0" w:line="240" w:lineRule="auto"/>
              <w:textAlignment w:val="baseline"/>
              <w:rPr>
                <w:szCs w:val="24"/>
                <w:lang w:eastAsia="et-EE"/>
              </w:rPr>
            </w:pPr>
            <w:r w:rsidRPr="001927D6">
              <w:rPr>
                <w:szCs w:val="24"/>
                <w:lang w:eastAsia="et-EE"/>
              </w:rPr>
              <w:t>Abort emakaõõne abrasioonita </w:t>
            </w:r>
          </w:p>
        </w:tc>
        <w:tc>
          <w:tcPr>
            <w:tcW w:w="732" w:type="dxa"/>
            <w:vAlign w:val="center"/>
            <w:hideMark/>
          </w:tcPr>
          <w:p w14:paraId="7B4DEB39" w14:textId="77777777" w:rsidR="00295BCD" w:rsidRPr="001927D6" w:rsidRDefault="00295BCD">
            <w:pPr>
              <w:spacing w:after="0" w:line="240" w:lineRule="auto"/>
              <w:jc w:val="center"/>
              <w:textAlignment w:val="baseline"/>
              <w:rPr>
                <w:szCs w:val="24"/>
                <w:lang w:eastAsia="et-EE"/>
              </w:rPr>
            </w:pPr>
            <w:r w:rsidRPr="001927D6">
              <w:rPr>
                <w:szCs w:val="24"/>
                <w:lang w:eastAsia="et-EE"/>
              </w:rPr>
              <w:t>380 </w:t>
            </w:r>
          </w:p>
        </w:tc>
        <w:tc>
          <w:tcPr>
            <w:tcW w:w="1243" w:type="dxa"/>
            <w:vAlign w:val="center"/>
          </w:tcPr>
          <w:p w14:paraId="7745DDB1" w14:textId="77777777" w:rsidR="00295BCD" w:rsidRPr="001927D6" w:rsidRDefault="00295BCD">
            <w:pPr>
              <w:spacing w:after="0" w:line="240" w:lineRule="auto"/>
              <w:jc w:val="center"/>
              <w:textAlignment w:val="baseline"/>
              <w:rPr>
                <w:szCs w:val="24"/>
                <w:lang w:eastAsia="et-EE"/>
              </w:rPr>
            </w:pPr>
            <w:r w:rsidRPr="001927D6">
              <w:rPr>
                <w:color w:val="000000"/>
                <w:szCs w:val="24"/>
              </w:rPr>
              <w:t>506,00</w:t>
            </w:r>
          </w:p>
        </w:tc>
        <w:tc>
          <w:tcPr>
            <w:tcW w:w="1211" w:type="dxa"/>
            <w:vAlign w:val="center"/>
          </w:tcPr>
          <w:p w14:paraId="4E56D665" w14:textId="77777777" w:rsidR="00295BCD" w:rsidRPr="001927D6" w:rsidRDefault="00295BCD">
            <w:pPr>
              <w:spacing w:after="0" w:line="240" w:lineRule="auto"/>
              <w:jc w:val="center"/>
              <w:textAlignment w:val="baseline"/>
              <w:rPr>
                <w:szCs w:val="24"/>
                <w:lang w:eastAsia="et-EE"/>
              </w:rPr>
            </w:pPr>
            <w:r w:rsidRPr="001927D6">
              <w:rPr>
                <w:color w:val="000000"/>
                <w:szCs w:val="24"/>
              </w:rPr>
              <w:t>250,20</w:t>
            </w:r>
          </w:p>
        </w:tc>
        <w:tc>
          <w:tcPr>
            <w:tcW w:w="1238" w:type="dxa"/>
            <w:vAlign w:val="center"/>
          </w:tcPr>
          <w:p w14:paraId="746BCDB6" w14:textId="77777777" w:rsidR="00295BCD" w:rsidRPr="001927D6" w:rsidRDefault="00295BCD">
            <w:pPr>
              <w:spacing w:after="0" w:line="240" w:lineRule="auto"/>
              <w:jc w:val="center"/>
              <w:textAlignment w:val="baseline"/>
              <w:rPr>
                <w:szCs w:val="24"/>
                <w:lang w:eastAsia="et-EE"/>
              </w:rPr>
            </w:pPr>
            <w:r w:rsidRPr="001927D6">
              <w:rPr>
                <w:color w:val="000000"/>
                <w:szCs w:val="24"/>
              </w:rPr>
              <w:t>1 162,05</w:t>
            </w:r>
          </w:p>
        </w:tc>
      </w:tr>
      <w:tr w:rsidR="00295BCD" w:rsidRPr="001927D6" w14:paraId="51CFE4C3" w14:textId="77777777" w:rsidTr="00295BCD">
        <w:trPr>
          <w:divId w:val="1316184749"/>
          <w:trHeight w:val="300"/>
        </w:trPr>
        <w:tc>
          <w:tcPr>
            <w:tcW w:w="4632" w:type="dxa"/>
            <w:vAlign w:val="bottom"/>
            <w:hideMark/>
          </w:tcPr>
          <w:p w14:paraId="61024DD0" w14:textId="77777777" w:rsidR="00295BCD" w:rsidRPr="001927D6" w:rsidRDefault="00295BCD">
            <w:pPr>
              <w:spacing w:after="0" w:line="240" w:lineRule="auto"/>
              <w:textAlignment w:val="baseline"/>
              <w:rPr>
                <w:szCs w:val="24"/>
                <w:lang w:eastAsia="et-EE"/>
              </w:rPr>
            </w:pPr>
            <w:r w:rsidRPr="001927D6">
              <w:rPr>
                <w:szCs w:val="24"/>
                <w:lang w:eastAsia="et-EE"/>
              </w:rPr>
              <w:t>Abort koos emakaõõne abrasiooni, vaakumaspiratsiooni või hüsterotoomiaga </w:t>
            </w:r>
          </w:p>
        </w:tc>
        <w:tc>
          <w:tcPr>
            <w:tcW w:w="732" w:type="dxa"/>
            <w:vAlign w:val="center"/>
            <w:hideMark/>
          </w:tcPr>
          <w:p w14:paraId="307013E8" w14:textId="77777777" w:rsidR="00295BCD" w:rsidRPr="001927D6" w:rsidRDefault="00295BCD">
            <w:pPr>
              <w:spacing w:after="0" w:line="240" w:lineRule="auto"/>
              <w:jc w:val="center"/>
              <w:textAlignment w:val="baseline"/>
              <w:rPr>
                <w:szCs w:val="24"/>
                <w:lang w:eastAsia="et-EE"/>
              </w:rPr>
            </w:pPr>
            <w:r w:rsidRPr="001927D6">
              <w:rPr>
                <w:szCs w:val="24"/>
                <w:lang w:eastAsia="et-EE"/>
              </w:rPr>
              <w:t>381 </w:t>
            </w:r>
          </w:p>
        </w:tc>
        <w:tc>
          <w:tcPr>
            <w:tcW w:w="1243" w:type="dxa"/>
            <w:vAlign w:val="center"/>
          </w:tcPr>
          <w:p w14:paraId="56B881F9" w14:textId="77777777" w:rsidR="00295BCD" w:rsidRPr="001927D6" w:rsidRDefault="00295BCD">
            <w:pPr>
              <w:spacing w:after="0" w:line="240" w:lineRule="auto"/>
              <w:jc w:val="center"/>
              <w:textAlignment w:val="baseline"/>
              <w:rPr>
                <w:szCs w:val="24"/>
                <w:lang w:eastAsia="et-EE"/>
              </w:rPr>
            </w:pPr>
            <w:r w:rsidRPr="001927D6">
              <w:rPr>
                <w:color w:val="000000"/>
                <w:szCs w:val="24"/>
              </w:rPr>
              <w:t>961,13</w:t>
            </w:r>
          </w:p>
        </w:tc>
        <w:tc>
          <w:tcPr>
            <w:tcW w:w="1211" w:type="dxa"/>
            <w:vAlign w:val="center"/>
          </w:tcPr>
          <w:p w14:paraId="7F5F0D5D" w14:textId="77777777" w:rsidR="00295BCD" w:rsidRPr="001927D6" w:rsidRDefault="00295BCD">
            <w:pPr>
              <w:spacing w:after="0" w:line="240" w:lineRule="auto"/>
              <w:jc w:val="center"/>
              <w:textAlignment w:val="baseline"/>
              <w:rPr>
                <w:szCs w:val="24"/>
                <w:lang w:eastAsia="et-EE"/>
              </w:rPr>
            </w:pPr>
            <w:r w:rsidRPr="001927D6">
              <w:rPr>
                <w:color w:val="000000"/>
                <w:szCs w:val="24"/>
              </w:rPr>
              <w:t>352,13</w:t>
            </w:r>
          </w:p>
        </w:tc>
        <w:tc>
          <w:tcPr>
            <w:tcW w:w="1238" w:type="dxa"/>
            <w:vAlign w:val="center"/>
          </w:tcPr>
          <w:p w14:paraId="7C9095CD" w14:textId="77777777" w:rsidR="00295BCD" w:rsidRPr="001927D6" w:rsidRDefault="00295BCD">
            <w:pPr>
              <w:spacing w:after="0" w:line="240" w:lineRule="auto"/>
              <w:jc w:val="center"/>
              <w:textAlignment w:val="baseline"/>
              <w:rPr>
                <w:szCs w:val="24"/>
                <w:lang w:eastAsia="et-EE"/>
              </w:rPr>
            </w:pPr>
            <w:r w:rsidRPr="001927D6">
              <w:rPr>
                <w:color w:val="000000"/>
                <w:szCs w:val="24"/>
              </w:rPr>
              <w:t>2 064,89</w:t>
            </w:r>
          </w:p>
        </w:tc>
      </w:tr>
      <w:tr w:rsidR="00295BCD" w:rsidRPr="001927D6" w14:paraId="6D4233E7" w14:textId="77777777" w:rsidTr="00295BCD">
        <w:trPr>
          <w:divId w:val="1316184749"/>
          <w:trHeight w:val="300"/>
        </w:trPr>
        <w:tc>
          <w:tcPr>
            <w:tcW w:w="4632" w:type="dxa"/>
            <w:vAlign w:val="bottom"/>
            <w:hideMark/>
          </w:tcPr>
          <w:p w14:paraId="2F880075" w14:textId="77777777" w:rsidR="00295BCD" w:rsidRPr="001927D6" w:rsidRDefault="00295BCD">
            <w:pPr>
              <w:spacing w:after="0" w:line="240" w:lineRule="auto"/>
              <w:textAlignment w:val="baseline"/>
              <w:rPr>
                <w:szCs w:val="24"/>
                <w:lang w:eastAsia="et-EE"/>
              </w:rPr>
            </w:pPr>
            <w:r w:rsidRPr="001927D6">
              <w:rPr>
                <w:szCs w:val="24"/>
                <w:lang w:eastAsia="et-EE"/>
              </w:rPr>
              <w:t>Abort, lühike ravi </w:t>
            </w:r>
          </w:p>
        </w:tc>
        <w:tc>
          <w:tcPr>
            <w:tcW w:w="732" w:type="dxa"/>
            <w:vAlign w:val="center"/>
            <w:hideMark/>
          </w:tcPr>
          <w:p w14:paraId="0F864666" w14:textId="77777777" w:rsidR="00295BCD" w:rsidRPr="001927D6" w:rsidRDefault="00295BCD">
            <w:pPr>
              <w:spacing w:after="0" w:line="240" w:lineRule="auto"/>
              <w:jc w:val="center"/>
              <w:textAlignment w:val="baseline"/>
              <w:rPr>
                <w:szCs w:val="24"/>
                <w:lang w:eastAsia="et-EE"/>
              </w:rPr>
            </w:pPr>
            <w:r w:rsidRPr="001927D6">
              <w:rPr>
                <w:szCs w:val="24"/>
                <w:lang w:eastAsia="et-EE"/>
              </w:rPr>
              <w:t>381O </w:t>
            </w:r>
          </w:p>
        </w:tc>
        <w:tc>
          <w:tcPr>
            <w:tcW w:w="1243" w:type="dxa"/>
            <w:vAlign w:val="center"/>
          </w:tcPr>
          <w:p w14:paraId="2D476BE1" w14:textId="77777777" w:rsidR="00295BCD" w:rsidRPr="001927D6" w:rsidRDefault="00295BCD">
            <w:pPr>
              <w:spacing w:after="0" w:line="240" w:lineRule="auto"/>
              <w:jc w:val="center"/>
              <w:textAlignment w:val="baseline"/>
              <w:rPr>
                <w:szCs w:val="24"/>
                <w:lang w:eastAsia="et-EE"/>
              </w:rPr>
            </w:pPr>
            <w:r w:rsidRPr="001927D6">
              <w:rPr>
                <w:color w:val="000000"/>
                <w:szCs w:val="24"/>
              </w:rPr>
              <w:t>460,96</w:t>
            </w:r>
          </w:p>
        </w:tc>
        <w:tc>
          <w:tcPr>
            <w:tcW w:w="1211" w:type="dxa"/>
            <w:vAlign w:val="center"/>
          </w:tcPr>
          <w:p w14:paraId="280272C1" w14:textId="77777777" w:rsidR="00295BCD" w:rsidRPr="001927D6" w:rsidRDefault="00295BCD">
            <w:pPr>
              <w:spacing w:after="0" w:line="240" w:lineRule="auto"/>
              <w:jc w:val="center"/>
              <w:textAlignment w:val="baseline"/>
              <w:rPr>
                <w:szCs w:val="24"/>
                <w:lang w:eastAsia="et-EE"/>
              </w:rPr>
            </w:pPr>
            <w:r w:rsidRPr="001927D6">
              <w:rPr>
                <w:color w:val="000000"/>
                <w:szCs w:val="24"/>
              </w:rPr>
              <w:t>238,04</w:t>
            </w:r>
          </w:p>
        </w:tc>
        <w:tc>
          <w:tcPr>
            <w:tcW w:w="1238" w:type="dxa"/>
            <w:vAlign w:val="center"/>
          </w:tcPr>
          <w:p w14:paraId="00F90BB1" w14:textId="77777777" w:rsidR="00295BCD" w:rsidRPr="001927D6" w:rsidRDefault="00295BCD">
            <w:pPr>
              <w:spacing w:after="0" w:line="240" w:lineRule="auto"/>
              <w:jc w:val="center"/>
              <w:textAlignment w:val="baseline"/>
              <w:rPr>
                <w:szCs w:val="24"/>
                <w:lang w:eastAsia="et-EE"/>
              </w:rPr>
            </w:pPr>
            <w:r w:rsidRPr="001927D6">
              <w:rPr>
                <w:color w:val="000000"/>
                <w:szCs w:val="24"/>
              </w:rPr>
              <w:t>887,64</w:t>
            </w:r>
          </w:p>
        </w:tc>
      </w:tr>
      <w:tr w:rsidR="00295BCD" w:rsidRPr="001927D6" w14:paraId="7BECEE37" w14:textId="77777777" w:rsidTr="00295BCD">
        <w:trPr>
          <w:divId w:val="1316184749"/>
          <w:trHeight w:val="300"/>
        </w:trPr>
        <w:tc>
          <w:tcPr>
            <w:tcW w:w="4632" w:type="dxa"/>
            <w:vAlign w:val="bottom"/>
            <w:hideMark/>
          </w:tcPr>
          <w:p w14:paraId="1FCE2460" w14:textId="77777777" w:rsidR="00295BCD" w:rsidRPr="001927D6" w:rsidRDefault="00295BCD">
            <w:pPr>
              <w:spacing w:after="0" w:line="240" w:lineRule="auto"/>
              <w:textAlignment w:val="baseline"/>
              <w:rPr>
                <w:szCs w:val="24"/>
                <w:lang w:eastAsia="et-EE"/>
              </w:rPr>
            </w:pPr>
            <w:r w:rsidRPr="001927D6">
              <w:rPr>
                <w:szCs w:val="24"/>
                <w:lang w:eastAsia="et-EE"/>
              </w:rPr>
              <w:t>Ebatuhud </w:t>
            </w:r>
          </w:p>
        </w:tc>
        <w:tc>
          <w:tcPr>
            <w:tcW w:w="732" w:type="dxa"/>
            <w:vAlign w:val="center"/>
            <w:hideMark/>
          </w:tcPr>
          <w:p w14:paraId="425634D7" w14:textId="77777777" w:rsidR="00295BCD" w:rsidRPr="001927D6" w:rsidRDefault="00295BCD">
            <w:pPr>
              <w:spacing w:after="0" w:line="240" w:lineRule="auto"/>
              <w:jc w:val="center"/>
              <w:textAlignment w:val="baseline"/>
              <w:rPr>
                <w:szCs w:val="24"/>
                <w:lang w:eastAsia="et-EE"/>
              </w:rPr>
            </w:pPr>
            <w:r w:rsidRPr="001927D6">
              <w:rPr>
                <w:szCs w:val="24"/>
                <w:lang w:eastAsia="et-EE"/>
              </w:rPr>
              <w:t>382 </w:t>
            </w:r>
          </w:p>
        </w:tc>
        <w:tc>
          <w:tcPr>
            <w:tcW w:w="1243" w:type="dxa"/>
            <w:vAlign w:val="center"/>
          </w:tcPr>
          <w:p w14:paraId="0035FE44" w14:textId="77777777" w:rsidR="00295BCD" w:rsidRPr="001927D6" w:rsidRDefault="00295BCD">
            <w:pPr>
              <w:spacing w:after="0" w:line="240" w:lineRule="auto"/>
              <w:jc w:val="center"/>
              <w:textAlignment w:val="baseline"/>
              <w:rPr>
                <w:szCs w:val="24"/>
                <w:lang w:eastAsia="et-EE"/>
              </w:rPr>
            </w:pPr>
            <w:r w:rsidRPr="001927D6">
              <w:rPr>
                <w:color w:val="000000"/>
                <w:szCs w:val="24"/>
              </w:rPr>
              <w:t>447,82</w:t>
            </w:r>
          </w:p>
        </w:tc>
        <w:tc>
          <w:tcPr>
            <w:tcW w:w="1211" w:type="dxa"/>
            <w:vAlign w:val="center"/>
          </w:tcPr>
          <w:p w14:paraId="3268283B" w14:textId="77777777" w:rsidR="00295BCD" w:rsidRPr="001927D6" w:rsidRDefault="00295BCD">
            <w:pPr>
              <w:spacing w:after="0" w:line="240" w:lineRule="auto"/>
              <w:jc w:val="center"/>
              <w:textAlignment w:val="baseline"/>
              <w:rPr>
                <w:szCs w:val="24"/>
                <w:lang w:eastAsia="et-EE"/>
              </w:rPr>
            </w:pPr>
            <w:r w:rsidRPr="001927D6">
              <w:rPr>
                <w:color w:val="000000"/>
                <w:szCs w:val="24"/>
              </w:rPr>
              <w:t>288,40</w:t>
            </w:r>
          </w:p>
        </w:tc>
        <w:tc>
          <w:tcPr>
            <w:tcW w:w="1238" w:type="dxa"/>
            <w:vAlign w:val="center"/>
          </w:tcPr>
          <w:p w14:paraId="60DC3BBF" w14:textId="77777777" w:rsidR="00295BCD" w:rsidRPr="001927D6" w:rsidRDefault="00295BCD">
            <w:pPr>
              <w:spacing w:after="0" w:line="240" w:lineRule="auto"/>
              <w:jc w:val="center"/>
              <w:textAlignment w:val="baseline"/>
              <w:rPr>
                <w:szCs w:val="24"/>
                <w:lang w:eastAsia="et-EE"/>
              </w:rPr>
            </w:pPr>
            <w:r w:rsidRPr="001927D6">
              <w:rPr>
                <w:color w:val="000000"/>
                <w:szCs w:val="24"/>
              </w:rPr>
              <w:t>980,39</w:t>
            </w:r>
          </w:p>
        </w:tc>
      </w:tr>
      <w:tr w:rsidR="00295BCD" w:rsidRPr="001927D6" w14:paraId="248770E0" w14:textId="77777777" w:rsidTr="00295BCD">
        <w:trPr>
          <w:divId w:val="1316184749"/>
          <w:trHeight w:val="300"/>
        </w:trPr>
        <w:tc>
          <w:tcPr>
            <w:tcW w:w="4632" w:type="dxa"/>
            <w:vAlign w:val="bottom"/>
            <w:hideMark/>
          </w:tcPr>
          <w:p w14:paraId="4B7BC065"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Muud rasedusaegsed haigused, tüsistustega </w:t>
            </w:r>
          </w:p>
        </w:tc>
        <w:tc>
          <w:tcPr>
            <w:tcW w:w="732" w:type="dxa"/>
            <w:vAlign w:val="center"/>
            <w:hideMark/>
          </w:tcPr>
          <w:p w14:paraId="6590CBD0" w14:textId="77777777" w:rsidR="00295BCD" w:rsidRPr="001927D6" w:rsidRDefault="00295BCD">
            <w:pPr>
              <w:spacing w:after="0" w:line="240" w:lineRule="auto"/>
              <w:jc w:val="center"/>
              <w:textAlignment w:val="baseline"/>
              <w:rPr>
                <w:szCs w:val="24"/>
                <w:lang w:eastAsia="et-EE"/>
              </w:rPr>
            </w:pPr>
            <w:r w:rsidRPr="001927D6">
              <w:rPr>
                <w:szCs w:val="24"/>
                <w:lang w:eastAsia="et-EE"/>
              </w:rPr>
              <w:t>383 </w:t>
            </w:r>
          </w:p>
        </w:tc>
        <w:tc>
          <w:tcPr>
            <w:tcW w:w="1243" w:type="dxa"/>
            <w:vAlign w:val="center"/>
          </w:tcPr>
          <w:p w14:paraId="7EE7E4B1" w14:textId="77777777" w:rsidR="00295BCD" w:rsidRPr="001927D6" w:rsidRDefault="00295BCD">
            <w:pPr>
              <w:spacing w:after="0" w:line="240" w:lineRule="auto"/>
              <w:jc w:val="center"/>
              <w:textAlignment w:val="baseline"/>
              <w:rPr>
                <w:szCs w:val="24"/>
                <w:lang w:eastAsia="et-EE"/>
              </w:rPr>
            </w:pPr>
            <w:r w:rsidRPr="001927D6">
              <w:rPr>
                <w:color w:val="000000"/>
                <w:szCs w:val="24"/>
              </w:rPr>
              <w:t>714,82</w:t>
            </w:r>
          </w:p>
        </w:tc>
        <w:tc>
          <w:tcPr>
            <w:tcW w:w="1211" w:type="dxa"/>
            <w:vAlign w:val="center"/>
          </w:tcPr>
          <w:p w14:paraId="213D5D5A" w14:textId="77777777" w:rsidR="00295BCD" w:rsidRPr="001927D6" w:rsidRDefault="00295BCD">
            <w:pPr>
              <w:spacing w:after="0" w:line="240" w:lineRule="auto"/>
              <w:jc w:val="center"/>
              <w:textAlignment w:val="baseline"/>
              <w:rPr>
                <w:szCs w:val="24"/>
                <w:lang w:eastAsia="et-EE"/>
              </w:rPr>
            </w:pPr>
            <w:r w:rsidRPr="001927D6">
              <w:rPr>
                <w:color w:val="000000"/>
                <w:szCs w:val="24"/>
              </w:rPr>
              <w:t>275,24</w:t>
            </w:r>
          </w:p>
        </w:tc>
        <w:tc>
          <w:tcPr>
            <w:tcW w:w="1238" w:type="dxa"/>
            <w:vAlign w:val="center"/>
          </w:tcPr>
          <w:p w14:paraId="4A3313B2" w14:textId="77777777" w:rsidR="00295BCD" w:rsidRPr="001927D6" w:rsidRDefault="00295BCD">
            <w:pPr>
              <w:spacing w:after="0" w:line="240" w:lineRule="auto"/>
              <w:jc w:val="center"/>
              <w:textAlignment w:val="baseline"/>
              <w:rPr>
                <w:szCs w:val="24"/>
                <w:lang w:eastAsia="et-EE"/>
              </w:rPr>
            </w:pPr>
            <w:r w:rsidRPr="001927D6">
              <w:rPr>
                <w:color w:val="000000"/>
                <w:szCs w:val="24"/>
              </w:rPr>
              <w:t>1 619,59</w:t>
            </w:r>
          </w:p>
        </w:tc>
      </w:tr>
      <w:tr w:rsidR="00295BCD" w:rsidRPr="001927D6" w14:paraId="1F48F134" w14:textId="77777777" w:rsidTr="00295BCD">
        <w:trPr>
          <w:divId w:val="1316184749"/>
          <w:trHeight w:val="300"/>
        </w:trPr>
        <w:tc>
          <w:tcPr>
            <w:tcW w:w="4632" w:type="dxa"/>
            <w:vAlign w:val="bottom"/>
            <w:hideMark/>
          </w:tcPr>
          <w:p w14:paraId="7B0219B6" w14:textId="77777777" w:rsidR="00295BCD" w:rsidRPr="001927D6" w:rsidRDefault="00295BCD">
            <w:pPr>
              <w:spacing w:after="0" w:line="240" w:lineRule="auto"/>
              <w:textAlignment w:val="baseline"/>
              <w:rPr>
                <w:szCs w:val="24"/>
                <w:lang w:eastAsia="et-EE"/>
              </w:rPr>
            </w:pPr>
            <w:r w:rsidRPr="001927D6">
              <w:rPr>
                <w:szCs w:val="24"/>
                <w:lang w:eastAsia="et-EE"/>
              </w:rPr>
              <w:t>Muud rasedusaegsed haigused, tüsistusteta </w:t>
            </w:r>
          </w:p>
        </w:tc>
        <w:tc>
          <w:tcPr>
            <w:tcW w:w="732" w:type="dxa"/>
            <w:vAlign w:val="center"/>
            <w:hideMark/>
          </w:tcPr>
          <w:p w14:paraId="1AA1613E" w14:textId="77777777" w:rsidR="00295BCD" w:rsidRPr="001927D6" w:rsidRDefault="00295BCD">
            <w:pPr>
              <w:spacing w:after="0" w:line="240" w:lineRule="auto"/>
              <w:jc w:val="center"/>
              <w:textAlignment w:val="baseline"/>
              <w:rPr>
                <w:szCs w:val="24"/>
                <w:lang w:eastAsia="et-EE"/>
              </w:rPr>
            </w:pPr>
            <w:r w:rsidRPr="001927D6">
              <w:rPr>
                <w:szCs w:val="24"/>
                <w:lang w:eastAsia="et-EE"/>
              </w:rPr>
              <w:t>384 </w:t>
            </w:r>
          </w:p>
        </w:tc>
        <w:tc>
          <w:tcPr>
            <w:tcW w:w="1243" w:type="dxa"/>
            <w:vAlign w:val="center"/>
          </w:tcPr>
          <w:p w14:paraId="3C1C4065" w14:textId="77777777" w:rsidR="00295BCD" w:rsidRPr="001927D6" w:rsidRDefault="00295BCD">
            <w:pPr>
              <w:spacing w:after="0" w:line="240" w:lineRule="auto"/>
              <w:jc w:val="center"/>
              <w:textAlignment w:val="baseline"/>
              <w:rPr>
                <w:szCs w:val="24"/>
                <w:lang w:eastAsia="et-EE"/>
              </w:rPr>
            </w:pPr>
            <w:r w:rsidRPr="001927D6">
              <w:rPr>
                <w:color w:val="000000"/>
                <w:szCs w:val="24"/>
              </w:rPr>
              <w:t>470,51</w:t>
            </w:r>
          </w:p>
        </w:tc>
        <w:tc>
          <w:tcPr>
            <w:tcW w:w="1211" w:type="dxa"/>
            <w:vAlign w:val="center"/>
          </w:tcPr>
          <w:p w14:paraId="22DF375D" w14:textId="77777777" w:rsidR="00295BCD" w:rsidRPr="001927D6" w:rsidRDefault="00295BCD">
            <w:pPr>
              <w:spacing w:after="0" w:line="240" w:lineRule="auto"/>
              <w:jc w:val="center"/>
              <w:textAlignment w:val="baseline"/>
              <w:rPr>
                <w:szCs w:val="24"/>
                <w:lang w:eastAsia="et-EE"/>
              </w:rPr>
            </w:pPr>
            <w:r w:rsidRPr="001927D6">
              <w:rPr>
                <w:color w:val="000000"/>
                <w:szCs w:val="24"/>
              </w:rPr>
              <w:t>243,62</w:t>
            </w:r>
          </w:p>
        </w:tc>
        <w:tc>
          <w:tcPr>
            <w:tcW w:w="1238" w:type="dxa"/>
            <w:vAlign w:val="center"/>
          </w:tcPr>
          <w:p w14:paraId="685BA800" w14:textId="77777777" w:rsidR="00295BCD" w:rsidRPr="001927D6" w:rsidRDefault="00295BCD">
            <w:pPr>
              <w:spacing w:after="0" w:line="240" w:lineRule="auto"/>
              <w:jc w:val="center"/>
              <w:textAlignment w:val="baseline"/>
              <w:rPr>
                <w:szCs w:val="24"/>
                <w:lang w:eastAsia="et-EE"/>
              </w:rPr>
            </w:pPr>
            <w:r w:rsidRPr="001927D6">
              <w:rPr>
                <w:color w:val="000000"/>
                <w:szCs w:val="24"/>
              </w:rPr>
              <w:t>956,23</w:t>
            </w:r>
          </w:p>
        </w:tc>
      </w:tr>
      <w:tr w:rsidR="00295BCD" w:rsidRPr="001927D6" w14:paraId="29C0A5E8" w14:textId="77777777" w:rsidTr="00295BCD">
        <w:trPr>
          <w:divId w:val="1316184749"/>
          <w:trHeight w:val="300"/>
        </w:trPr>
        <w:tc>
          <w:tcPr>
            <w:tcW w:w="4632" w:type="dxa"/>
            <w:vAlign w:val="bottom"/>
            <w:hideMark/>
          </w:tcPr>
          <w:p w14:paraId="4C5A0C44" w14:textId="77777777" w:rsidR="00295BCD" w:rsidRPr="001927D6" w:rsidRDefault="00295BCD">
            <w:pPr>
              <w:spacing w:after="0" w:line="240" w:lineRule="auto"/>
              <w:textAlignment w:val="baseline"/>
              <w:rPr>
                <w:szCs w:val="24"/>
                <w:lang w:eastAsia="et-EE"/>
              </w:rPr>
            </w:pPr>
            <w:r w:rsidRPr="001927D6">
              <w:rPr>
                <w:szCs w:val="24"/>
                <w:lang w:eastAsia="et-EE"/>
              </w:rPr>
              <w:t>Vastsündinu, kes suri 2 päeva jooksul või viidi üle teise osakonda 5 päeva jooksul </w:t>
            </w:r>
          </w:p>
        </w:tc>
        <w:tc>
          <w:tcPr>
            <w:tcW w:w="732" w:type="dxa"/>
            <w:vAlign w:val="center"/>
            <w:hideMark/>
          </w:tcPr>
          <w:p w14:paraId="35956545" w14:textId="77777777" w:rsidR="00295BCD" w:rsidRPr="001927D6" w:rsidRDefault="00295BCD">
            <w:pPr>
              <w:spacing w:after="0" w:line="240" w:lineRule="auto"/>
              <w:jc w:val="center"/>
              <w:textAlignment w:val="baseline"/>
              <w:rPr>
                <w:szCs w:val="24"/>
                <w:lang w:eastAsia="et-EE"/>
              </w:rPr>
            </w:pPr>
            <w:r w:rsidRPr="001927D6">
              <w:rPr>
                <w:szCs w:val="24"/>
                <w:lang w:eastAsia="et-EE"/>
              </w:rPr>
              <w:t>385A </w:t>
            </w:r>
          </w:p>
        </w:tc>
        <w:tc>
          <w:tcPr>
            <w:tcW w:w="1243" w:type="dxa"/>
            <w:vAlign w:val="center"/>
          </w:tcPr>
          <w:p w14:paraId="3F5AD65E" w14:textId="77777777" w:rsidR="00295BCD" w:rsidRPr="001927D6" w:rsidRDefault="00295BCD">
            <w:pPr>
              <w:spacing w:after="0" w:line="240" w:lineRule="auto"/>
              <w:jc w:val="center"/>
              <w:textAlignment w:val="baseline"/>
              <w:rPr>
                <w:szCs w:val="24"/>
                <w:lang w:eastAsia="et-EE"/>
              </w:rPr>
            </w:pPr>
            <w:r w:rsidRPr="001927D6">
              <w:rPr>
                <w:color w:val="000000"/>
                <w:szCs w:val="24"/>
              </w:rPr>
              <w:t>1 797,48</w:t>
            </w:r>
          </w:p>
        </w:tc>
        <w:tc>
          <w:tcPr>
            <w:tcW w:w="1211" w:type="dxa"/>
            <w:vAlign w:val="center"/>
          </w:tcPr>
          <w:p w14:paraId="1ADEA6DF" w14:textId="77777777" w:rsidR="00295BCD" w:rsidRPr="001927D6" w:rsidRDefault="00295BCD">
            <w:pPr>
              <w:spacing w:after="0" w:line="240" w:lineRule="auto"/>
              <w:jc w:val="center"/>
              <w:textAlignment w:val="baseline"/>
              <w:rPr>
                <w:szCs w:val="24"/>
                <w:lang w:eastAsia="et-EE"/>
              </w:rPr>
            </w:pPr>
            <w:r w:rsidRPr="001927D6">
              <w:rPr>
                <w:color w:val="000000"/>
                <w:szCs w:val="24"/>
              </w:rPr>
              <w:t>853,03</w:t>
            </w:r>
          </w:p>
        </w:tc>
        <w:tc>
          <w:tcPr>
            <w:tcW w:w="1238" w:type="dxa"/>
            <w:vAlign w:val="center"/>
          </w:tcPr>
          <w:p w14:paraId="6AB480DE" w14:textId="77777777" w:rsidR="00295BCD" w:rsidRPr="001927D6" w:rsidRDefault="00295BCD">
            <w:pPr>
              <w:spacing w:after="0" w:line="240" w:lineRule="auto"/>
              <w:jc w:val="center"/>
              <w:textAlignment w:val="baseline"/>
              <w:rPr>
                <w:szCs w:val="24"/>
                <w:lang w:eastAsia="et-EE"/>
              </w:rPr>
            </w:pPr>
            <w:r w:rsidRPr="001927D6">
              <w:rPr>
                <w:color w:val="000000"/>
                <w:szCs w:val="24"/>
              </w:rPr>
              <w:t>1 797,48</w:t>
            </w:r>
          </w:p>
        </w:tc>
      </w:tr>
      <w:tr w:rsidR="00295BCD" w:rsidRPr="001927D6" w14:paraId="4C5F61BE" w14:textId="77777777" w:rsidTr="00295BCD">
        <w:trPr>
          <w:divId w:val="1316184749"/>
          <w:trHeight w:val="300"/>
        </w:trPr>
        <w:tc>
          <w:tcPr>
            <w:tcW w:w="4632" w:type="dxa"/>
            <w:vAlign w:val="bottom"/>
            <w:hideMark/>
          </w:tcPr>
          <w:p w14:paraId="5EA98647" w14:textId="77777777" w:rsidR="00295BCD" w:rsidRPr="001927D6" w:rsidRDefault="00295BCD">
            <w:pPr>
              <w:spacing w:after="0" w:line="240" w:lineRule="auto"/>
              <w:textAlignment w:val="baseline"/>
              <w:rPr>
                <w:szCs w:val="24"/>
                <w:lang w:eastAsia="et-EE"/>
              </w:rPr>
            </w:pPr>
            <w:r w:rsidRPr="001927D6">
              <w:rPr>
                <w:szCs w:val="24"/>
                <w:lang w:eastAsia="et-EE"/>
              </w:rPr>
              <w:t>Järelravi vastsündinuea haiguste või hiljem avaldunud neonataalsete haiguste tõttu </w:t>
            </w:r>
          </w:p>
        </w:tc>
        <w:tc>
          <w:tcPr>
            <w:tcW w:w="732" w:type="dxa"/>
            <w:vAlign w:val="center"/>
            <w:hideMark/>
          </w:tcPr>
          <w:p w14:paraId="28913932" w14:textId="77777777" w:rsidR="00295BCD" w:rsidRPr="001927D6" w:rsidRDefault="00295BCD">
            <w:pPr>
              <w:spacing w:after="0" w:line="240" w:lineRule="auto"/>
              <w:jc w:val="center"/>
              <w:textAlignment w:val="baseline"/>
              <w:rPr>
                <w:szCs w:val="24"/>
                <w:lang w:eastAsia="et-EE"/>
              </w:rPr>
            </w:pPr>
            <w:r w:rsidRPr="001927D6">
              <w:rPr>
                <w:szCs w:val="24"/>
                <w:lang w:eastAsia="et-EE"/>
              </w:rPr>
              <w:t>385B </w:t>
            </w:r>
          </w:p>
        </w:tc>
        <w:tc>
          <w:tcPr>
            <w:tcW w:w="1243" w:type="dxa"/>
            <w:vAlign w:val="center"/>
          </w:tcPr>
          <w:p w14:paraId="664C001D" w14:textId="77777777" w:rsidR="00295BCD" w:rsidRPr="001927D6" w:rsidRDefault="00295BCD">
            <w:pPr>
              <w:spacing w:after="0" w:line="240" w:lineRule="auto"/>
              <w:jc w:val="center"/>
              <w:textAlignment w:val="baseline"/>
              <w:rPr>
                <w:szCs w:val="24"/>
                <w:lang w:eastAsia="et-EE"/>
              </w:rPr>
            </w:pPr>
            <w:r w:rsidRPr="001927D6">
              <w:rPr>
                <w:color w:val="000000"/>
                <w:szCs w:val="24"/>
              </w:rPr>
              <w:t>1 267,17</w:t>
            </w:r>
          </w:p>
        </w:tc>
        <w:tc>
          <w:tcPr>
            <w:tcW w:w="1211" w:type="dxa"/>
            <w:vAlign w:val="center"/>
          </w:tcPr>
          <w:p w14:paraId="0CAD4748" w14:textId="77777777" w:rsidR="00295BCD" w:rsidRPr="001927D6" w:rsidRDefault="00295BCD">
            <w:pPr>
              <w:spacing w:after="0" w:line="240" w:lineRule="auto"/>
              <w:jc w:val="center"/>
              <w:textAlignment w:val="baseline"/>
              <w:rPr>
                <w:szCs w:val="24"/>
                <w:lang w:eastAsia="et-EE"/>
              </w:rPr>
            </w:pPr>
            <w:r w:rsidRPr="001927D6">
              <w:rPr>
                <w:color w:val="000000"/>
                <w:szCs w:val="24"/>
              </w:rPr>
              <w:t>442,58</w:t>
            </w:r>
          </w:p>
        </w:tc>
        <w:tc>
          <w:tcPr>
            <w:tcW w:w="1238" w:type="dxa"/>
            <w:vAlign w:val="center"/>
          </w:tcPr>
          <w:p w14:paraId="6E945A76" w14:textId="77777777" w:rsidR="00295BCD" w:rsidRPr="001927D6" w:rsidRDefault="00295BCD">
            <w:pPr>
              <w:spacing w:after="0" w:line="240" w:lineRule="auto"/>
              <w:jc w:val="center"/>
              <w:textAlignment w:val="baseline"/>
              <w:rPr>
                <w:szCs w:val="24"/>
                <w:lang w:eastAsia="et-EE"/>
              </w:rPr>
            </w:pPr>
            <w:r w:rsidRPr="001927D6">
              <w:rPr>
                <w:color w:val="000000"/>
                <w:szCs w:val="24"/>
              </w:rPr>
              <w:t>3 198,82</w:t>
            </w:r>
          </w:p>
        </w:tc>
      </w:tr>
      <w:tr w:rsidR="00295BCD" w:rsidRPr="001927D6" w14:paraId="7887E0F9" w14:textId="77777777" w:rsidTr="00295BCD">
        <w:trPr>
          <w:divId w:val="1316184749"/>
          <w:trHeight w:val="300"/>
        </w:trPr>
        <w:tc>
          <w:tcPr>
            <w:tcW w:w="4632" w:type="dxa"/>
            <w:vAlign w:val="bottom"/>
            <w:hideMark/>
          </w:tcPr>
          <w:p w14:paraId="0235A00D" w14:textId="77777777" w:rsidR="00295BCD" w:rsidRPr="001927D6" w:rsidRDefault="00295BCD">
            <w:pPr>
              <w:spacing w:after="0" w:line="240" w:lineRule="auto"/>
              <w:textAlignment w:val="baseline"/>
              <w:rPr>
                <w:szCs w:val="24"/>
                <w:lang w:eastAsia="et-EE"/>
              </w:rPr>
            </w:pPr>
            <w:r w:rsidRPr="001927D6">
              <w:rPr>
                <w:szCs w:val="24"/>
                <w:lang w:eastAsia="et-EE"/>
              </w:rPr>
              <w:t>&lt; 1000 g sünnikaaluga vastsündinute järelravi </w:t>
            </w:r>
          </w:p>
        </w:tc>
        <w:tc>
          <w:tcPr>
            <w:tcW w:w="732" w:type="dxa"/>
            <w:vAlign w:val="center"/>
            <w:hideMark/>
          </w:tcPr>
          <w:p w14:paraId="5E49C705" w14:textId="77777777" w:rsidR="00295BCD" w:rsidRPr="001927D6" w:rsidRDefault="00295BCD">
            <w:pPr>
              <w:spacing w:after="0" w:line="240" w:lineRule="auto"/>
              <w:jc w:val="center"/>
              <w:textAlignment w:val="baseline"/>
              <w:rPr>
                <w:szCs w:val="24"/>
                <w:lang w:eastAsia="et-EE"/>
              </w:rPr>
            </w:pPr>
            <w:r w:rsidRPr="001927D6">
              <w:rPr>
                <w:szCs w:val="24"/>
                <w:lang w:eastAsia="et-EE"/>
              </w:rPr>
              <w:t>385C </w:t>
            </w:r>
          </w:p>
        </w:tc>
        <w:tc>
          <w:tcPr>
            <w:tcW w:w="1243" w:type="dxa"/>
            <w:vAlign w:val="center"/>
          </w:tcPr>
          <w:p w14:paraId="4F6502C7" w14:textId="77777777" w:rsidR="00295BCD" w:rsidRPr="001927D6" w:rsidRDefault="00295BCD">
            <w:pPr>
              <w:spacing w:after="0" w:line="240" w:lineRule="auto"/>
              <w:jc w:val="center"/>
              <w:textAlignment w:val="baseline"/>
              <w:rPr>
                <w:szCs w:val="24"/>
                <w:lang w:eastAsia="et-EE"/>
              </w:rPr>
            </w:pPr>
            <w:r w:rsidRPr="001927D6">
              <w:rPr>
                <w:color w:val="000000"/>
                <w:szCs w:val="24"/>
              </w:rPr>
              <w:t>32 453,68</w:t>
            </w:r>
          </w:p>
        </w:tc>
        <w:tc>
          <w:tcPr>
            <w:tcW w:w="1211" w:type="dxa"/>
            <w:vAlign w:val="center"/>
          </w:tcPr>
          <w:p w14:paraId="712875B7" w14:textId="77777777" w:rsidR="00295BCD" w:rsidRPr="001927D6" w:rsidRDefault="00295BCD">
            <w:pPr>
              <w:spacing w:after="0" w:line="240" w:lineRule="auto"/>
              <w:jc w:val="center"/>
              <w:textAlignment w:val="baseline"/>
              <w:rPr>
                <w:szCs w:val="24"/>
                <w:lang w:eastAsia="et-EE"/>
              </w:rPr>
            </w:pPr>
            <w:r w:rsidRPr="001927D6">
              <w:rPr>
                <w:color w:val="000000"/>
                <w:szCs w:val="24"/>
              </w:rPr>
              <w:t>8 456,23</w:t>
            </w:r>
          </w:p>
        </w:tc>
        <w:tc>
          <w:tcPr>
            <w:tcW w:w="1238" w:type="dxa"/>
            <w:vAlign w:val="center"/>
          </w:tcPr>
          <w:p w14:paraId="3838DD20" w14:textId="77777777" w:rsidR="00295BCD" w:rsidRPr="001927D6" w:rsidRDefault="00295BCD">
            <w:pPr>
              <w:spacing w:after="0" w:line="240" w:lineRule="auto"/>
              <w:jc w:val="center"/>
              <w:textAlignment w:val="baseline"/>
              <w:rPr>
                <w:szCs w:val="24"/>
                <w:lang w:eastAsia="et-EE"/>
              </w:rPr>
            </w:pPr>
            <w:r w:rsidRPr="001927D6">
              <w:rPr>
                <w:color w:val="000000"/>
                <w:szCs w:val="24"/>
              </w:rPr>
              <w:t>74 911,81</w:t>
            </w:r>
          </w:p>
        </w:tc>
      </w:tr>
      <w:tr w:rsidR="00295BCD" w:rsidRPr="001927D6" w14:paraId="1D5794CE" w14:textId="77777777" w:rsidTr="00295BCD">
        <w:trPr>
          <w:divId w:val="1316184749"/>
          <w:trHeight w:val="300"/>
        </w:trPr>
        <w:tc>
          <w:tcPr>
            <w:tcW w:w="4632" w:type="dxa"/>
            <w:vAlign w:val="bottom"/>
            <w:hideMark/>
          </w:tcPr>
          <w:p w14:paraId="0FCEB42F" w14:textId="77777777" w:rsidR="00295BCD" w:rsidRPr="001927D6" w:rsidRDefault="00295BCD">
            <w:pPr>
              <w:spacing w:after="0" w:line="240" w:lineRule="auto"/>
              <w:textAlignment w:val="baseline"/>
              <w:rPr>
                <w:szCs w:val="24"/>
                <w:lang w:eastAsia="et-EE"/>
              </w:rPr>
            </w:pPr>
            <w:r w:rsidRPr="001927D6">
              <w:rPr>
                <w:szCs w:val="24"/>
                <w:lang w:eastAsia="et-EE"/>
              </w:rPr>
              <w:t>1000–1499 g sünnikaaluga vastsündinud </w:t>
            </w:r>
          </w:p>
        </w:tc>
        <w:tc>
          <w:tcPr>
            <w:tcW w:w="732" w:type="dxa"/>
            <w:vAlign w:val="center"/>
            <w:hideMark/>
          </w:tcPr>
          <w:p w14:paraId="07E32F24" w14:textId="77777777" w:rsidR="00295BCD" w:rsidRPr="001927D6" w:rsidRDefault="00295BCD">
            <w:pPr>
              <w:spacing w:after="0" w:line="240" w:lineRule="auto"/>
              <w:jc w:val="center"/>
              <w:textAlignment w:val="baseline"/>
              <w:rPr>
                <w:szCs w:val="24"/>
                <w:lang w:eastAsia="et-EE"/>
              </w:rPr>
            </w:pPr>
            <w:r w:rsidRPr="001927D6">
              <w:rPr>
                <w:szCs w:val="24"/>
                <w:lang w:eastAsia="et-EE"/>
              </w:rPr>
              <w:t>387N </w:t>
            </w:r>
          </w:p>
        </w:tc>
        <w:tc>
          <w:tcPr>
            <w:tcW w:w="1243" w:type="dxa"/>
            <w:vAlign w:val="center"/>
          </w:tcPr>
          <w:p w14:paraId="3194372B" w14:textId="77777777" w:rsidR="00295BCD" w:rsidRPr="001927D6" w:rsidRDefault="00295BCD">
            <w:pPr>
              <w:spacing w:after="0" w:line="240" w:lineRule="auto"/>
              <w:jc w:val="center"/>
              <w:textAlignment w:val="baseline"/>
              <w:rPr>
                <w:szCs w:val="24"/>
                <w:lang w:eastAsia="et-EE"/>
              </w:rPr>
            </w:pPr>
            <w:r w:rsidRPr="001927D6">
              <w:rPr>
                <w:color w:val="000000"/>
                <w:szCs w:val="24"/>
              </w:rPr>
              <w:t>37 747,45</w:t>
            </w:r>
          </w:p>
        </w:tc>
        <w:tc>
          <w:tcPr>
            <w:tcW w:w="1211" w:type="dxa"/>
            <w:vAlign w:val="center"/>
          </w:tcPr>
          <w:p w14:paraId="1E154437" w14:textId="77777777" w:rsidR="00295BCD" w:rsidRPr="001927D6" w:rsidRDefault="00295BCD">
            <w:pPr>
              <w:spacing w:after="0" w:line="240" w:lineRule="auto"/>
              <w:jc w:val="center"/>
              <w:textAlignment w:val="baseline"/>
              <w:rPr>
                <w:szCs w:val="24"/>
                <w:lang w:eastAsia="et-EE"/>
              </w:rPr>
            </w:pPr>
            <w:r w:rsidRPr="001927D6">
              <w:rPr>
                <w:color w:val="000000"/>
                <w:szCs w:val="24"/>
              </w:rPr>
              <w:t>17 638,89</w:t>
            </w:r>
          </w:p>
        </w:tc>
        <w:tc>
          <w:tcPr>
            <w:tcW w:w="1238" w:type="dxa"/>
            <w:vAlign w:val="center"/>
          </w:tcPr>
          <w:p w14:paraId="30E6B26C" w14:textId="77777777" w:rsidR="00295BCD" w:rsidRPr="001927D6" w:rsidRDefault="00295BCD">
            <w:pPr>
              <w:spacing w:after="0" w:line="240" w:lineRule="auto"/>
              <w:jc w:val="center"/>
              <w:textAlignment w:val="baseline"/>
              <w:rPr>
                <w:szCs w:val="24"/>
                <w:lang w:eastAsia="et-EE"/>
              </w:rPr>
            </w:pPr>
            <w:r w:rsidRPr="001927D6">
              <w:rPr>
                <w:color w:val="000000"/>
                <w:szCs w:val="24"/>
              </w:rPr>
              <w:t>78 547,43</w:t>
            </w:r>
          </w:p>
        </w:tc>
      </w:tr>
      <w:tr w:rsidR="00295BCD" w:rsidRPr="001927D6" w14:paraId="3B02B6B3" w14:textId="77777777" w:rsidTr="00295BCD">
        <w:trPr>
          <w:divId w:val="1316184749"/>
          <w:trHeight w:val="300"/>
        </w:trPr>
        <w:tc>
          <w:tcPr>
            <w:tcW w:w="4632" w:type="dxa"/>
            <w:vAlign w:val="bottom"/>
            <w:hideMark/>
          </w:tcPr>
          <w:p w14:paraId="43F465D2" w14:textId="77777777" w:rsidR="00295BCD" w:rsidRPr="001927D6" w:rsidRDefault="00295BCD">
            <w:pPr>
              <w:spacing w:after="0" w:line="240" w:lineRule="auto"/>
              <w:textAlignment w:val="baseline"/>
              <w:rPr>
                <w:szCs w:val="24"/>
                <w:lang w:eastAsia="et-EE"/>
              </w:rPr>
            </w:pPr>
            <w:r w:rsidRPr="001927D6">
              <w:rPr>
                <w:szCs w:val="24"/>
                <w:lang w:eastAsia="et-EE"/>
              </w:rPr>
              <w:t>1500–2499 g sünnikaaluga vastsündinu, paljude haigusseisunditega </w:t>
            </w:r>
          </w:p>
        </w:tc>
        <w:tc>
          <w:tcPr>
            <w:tcW w:w="732" w:type="dxa"/>
            <w:vAlign w:val="center"/>
            <w:hideMark/>
          </w:tcPr>
          <w:p w14:paraId="11F311F8" w14:textId="77777777" w:rsidR="00295BCD" w:rsidRPr="001927D6" w:rsidRDefault="00295BCD">
            <w:pPr>
              <w:spacing w:after="0" w:line="240" w:lineRule="auto"/>
              <w:jc w:val="center"/>
              <w:textAlignment w:val="baseline"/>
              <w:rPr>
                <w:szCs w:val="24"/>
                <w:lang w:eastAsia="et-EE"/>
              </w:rPr>
            </w:pPr>
            <w:r w:rsidRPr="001927D6">
              <w:rPr>
                <w:szCs w:val="24"/>
                <w:lang w:eastAsia="et-EE"/>
              </w:rPr>
              <w:t>388A </w:t>
            </w:r>
          </w:p>
        </w:tc>
        <w:tc>
          <w:tcPr>
            <w:tcW w:w="1243" w:type="dxa"/>
            <w:vAlign w:val="center"/>
          </w:tcPr>
          <w:p w14:paraId="3505010E" w14:textId="77777777" w:rsidR="00295BCD" w:rsidRPr="001927D6" w:rsidRDefault="00295BCD">
            <w:pPr>
              <w:spacing w:after="0" w:line="240" w:lineRule="auto"/>
              <w:jc w:val="center"/>
              <w:textAlignment w:val="baseline"/>
              <w:rPr>
                <w:szCs w:val="24"/>
                <w:lang w:eastAsia="et-EE"/>
              </w:rPr>
            </w:pPr>
            <w:r w:rsidRPr="001927D6">
              <w:rPr>
                <w:color w:val="000000"/>
                <w:szCs w:val="24"/>
              </w:rPr>
              <w:t>18 332,64</w:t>
            </w:r>
          </w:p>
        </w:tc>
        <w:tc>
          <w:tcPr>
            <w:tcW w:w="1211" w:type="dxa"/>
            <w:vAlign w:val="center"/>
          </w:tcPr>
          <w:p w14:paraId="1C064523" w14:textId="77777777" w:rsidR="00295BCD" w:rsidRPr="001927D6" w:rsidRDefault="00295BCD">
            <w:pPr>
              <w:spacing w:after="0" w:line="240" w:lineRule="auto"/>
              <w:jc w:val="center"/>
              <w:textAlignment w:val="baseline"/>
              <w:rPr>
                <w:szCs w:val="24"/>
                <w:lang w:eastAsia="et-EE"/>
              </w:rPr>
            </w:pPr>
            <w:r w:rsidRPr="001927D6">
              <w:rPr>
                <w:color w:val="000000"/>
                <w:szCs w:val="24"/>
              </w:rPr>
              <w:t>3 229,29</w:t>
            </w:r>
          </w:p>
        </w:tc>
        <w:tc>
          <w:tcPr>
            <w:tcW w:w="1238" w:type="dxa"/>
            <w:vAlign w:val="center"/>
          </w:tcPr>
          <w:p w14:paraId="37971B65" w14:textId="77777777" w:rsidR="00295BCD" w:rsidRPr="001927D6" w:rsidRDefault="00295BCD">
            <w:pPr>
              <w:spacing w:after="0" w:line="240" w:lineRule="auto"/>
              <w:jc w:val="center"/>
              <w:textAlignment w:val="baseline"/>
              <w:rPr>
                <w:szCs w:val="24"/>
                <w:lang w:eastAsia="et-EE"/>
              </w:rPr>
            </w:pPr>
            <w:r w:rsidRPr="001927D6">
              <w:rPr>
                <w:color w:val="000000"/>
                <w:szCs w:val="24"/>
              </w:rPr>
              <w:t>94 390,06</w:t>
            </w:r>
          </w:p>
        </w:tc>
      </w:tr>
      <w:tr w:rsidR="00295BCD" w:rsidRPr="001927D6" w14:paraId="1B2977AF" w14:textId="77777777" w:rsidTr="00295BCD">
        <w:trPr>
          <w:divId w:val="1316184749"/>
          <w:trHeight w:val="300"/>
        </w:trPr>
        <w:tc>
          <w:tcPr>
            <w:tcW w:w="4632" w:type="dxa"/>
            <w:vAlign w:val="bottom"/>
            <w:hideMark/>
          </w:tcPr>
          <w:p w14:paraId="7227D607" w14:textId="77777777" w:rsidR="00295BCD" w:rsidRPr="001927D6" w:rsidRDefault="00295BCD">
            <w:pPr>
              <w:spacing w:after="0" w:line="240" w:lineRule="auto"/>
              <w:textAlignment w:val="baseline"/>
              <w:rPr>
                <w:szCs w:val="24"/>
                <w:lang w:eastAsia="et-EE"/>
              </w:rPr>
            </w:pPr>
            <w:r w:rsidRPr="001927D6">
              <w:rPr>
                <w:szCs w:val="24"/>
                <w:lang w:eastAsia="et-EE"/>
              </w:rPr>
              <w:t>1500–2499 g sünnikaaluga vastsündinu </w:t>
            </w:r>
          </w:p>
        </w:tc>
        <w:tc>
          <w:tcPr>
            <w:tcW w:w="732" w:type="dxa"/>
            <w:vAlign w:val="center"/>
            <w:hideMark/>
          </w:tcPr>
          <w:p w14:paraId="7D4AC50C" w14:textId="77777777" w:rsidR="00295BCD" w:rsidRPr="001927D6" w:rsidRDefault="00295BCD">
            <w:pPr>
              <w:spacing w:after="0" w:line="240" w:lineRule="auto"/>
              <w:jc w:val="center"/>
              <w:textAlignment w:val="baseline"/>
              <w:rPr>
                <w:szCs w:val="24"/>
                <w:lang w:eastAsia="et-EE"/>
              </w:rPr>
            </w:pPr>
            <w:r w:rsidRPr="001927D6">
              <w:rPr>
                <w:szCs w:val="24"/>
                <w:lang w:eastAsia="et-EE"/>
              </w:rPr>
              <w:t>388B </w:t>
            </w:r>
          </w:p>
        </w:tc>
        <w:tc>
          <w:tcPr>
            <w:tcW w:w="1243" w:type="dxa"/>
            <w:vAlign w:val="center"/>
          </w:tcPr>
          <w:p w14:paraId="38765CF7" w14:textId="77777777" w:rsidR="00295BCD" w:rsidRPr="001927D6" w:rsidRDefault="00295BCD">
            <w:pPr>
              <w:spacing w:after="0" w:line="240" w:lineRule="auto"/>
              <w:jc w:val="center"/>
              <w:textAlignment w:val="baseline"/>
              <w:rPr>
                <w:szCs w:val="24"/>
                <w:lang w:eastAsia="et-EE"/>
              </w:rPr>
            </w:pPr>
            <w:r w:rsidRPr="001927D6">
              <w:rPr>
                <w:color w:val="000000"/>
                <w:szCs w:val="24"/>
              </w:rPr>
              <w:t>3 866,00</w:t>
            </w:r>
          </w:p>
        </w:tc>
        <w:tc>
          <w:tcPr>
            <w:tcW w:w="1211" w:type="dxa"/>
            <w:vAlign w:val="center"/>
          </w:tcPr>
          <w:p w14:paraId="2FD93018" w14:textId="77777777" w:rsidR="00295BCD" w:rsidRPr="001927D6" w:rsidRDefault="00295BCD">
            <w:pPr>
              <w:spacing w:after="0" w:line="240" w:lineRule="auto"/>
              <w:jc w:val="center"/>
              <w:textAlignment w:val="baseline"/>
              <w:rPr>
                <w:szCs w:val="24"/>
                <w:lang w:eastAsia="et-EE"/>
              </w:rPr>
            </w:pPr>
            <w:r w:rsidRPr="001927D6">
              <w:rPr>
                <w:color w:val="000000"/>
                <w:szCs w:val="24"/>
              </w:rPr>
              <w:t>1 101,70</w:t>
            </w:r>
          </w:p>
        </w:tc>
        <w:tc>
          <w:tcPr>
            <w:tcW w:w="1238" w:type="dxa"/>
            <w:vAlign w:val="center"/>
          </w:tcPr>
          <w:p w14:paraId="3A16E3AF" w14:textId="77777777" w:rsidR="00295BCD" w:rsidRPr="001927D6" w:rsidRDefault="00295BCD">
            <w:pPr>
              <w:spacing w:after="0" w:line="240" w:lineRule="auto"/>
              <w:jc w:val="center"/>
              <w:textAlignment w:val="baseline"/>
              <w:rPr>
                <w:szCs w:val="24"/>
                <w:lang w:eastAsia="et-EE"/>
              </w:rPr>
            </w:pPr>
            <w:r w:rsidRPr="001927D6">
              <w:rPr>
                <w:color w:val="000000"/>
                <w:szCs w:val="24"/>
              </w:rPr>
              <w:t>8 516,93</w:t>
            </w:r>
          </w:p>
        </w:tc>
      </w:tr>
      <w:tr w:rsidR="00295BCD" w:rsidRPr="001927D6" w14:paraId="1EB2D9EB" w14:textId="77777777" w:rsidTr="00295BCD">
        <w:trPr>
          <w:divId w:val="1316184749"/>
          <w:trHeight w:val="300"/>
        </w:trPr>
        <w:tc>
          <w:tcPr>
            <w:tcW w:w="4632" w:type="dxa"/>
            <w:vAlign w:val="bottom"/>
            <w:hideMark/>
          </w:tcPr>
          <w:p w14:paraId="20E13683" w14:textId="77777777" w:rsidR="00295BCD" w:rsidRPr="001927D6" w:rsidRDefault="00295BCD">
            <w:pPr>
              <w:spacing w:after="0" w:line="240" w:lineRule="auto"/>
              <w:textAlignment w:val="baseline"/>
              <w:rPr>
                <w:szCs w:val="24"/>
                <w:lang w:eastAsia="et-EE"/>
              </w:rPr>
            </w:pPr>
            <w:r w:rsidRPr="001927D6">
              <w:rPr>
                <w:szCs w:val="24"/>
                <w:lang w:eastAsia="et-EE"/>
              </w:rPr>
              <w:t>1500–2499 g sünnikaaluga vastsündinu, hingamisraviga, operatsiooniga, elus </w:t>
            </w:r>
          </w:p>
        </w:tc>
        <w:tc>
          <w:tcPr>
            <w:tcW w:w="732" w:type="dxa"/>
            <w:vAlign w:val="center"/>
            <w:hideMark/>
          </w:tcPr>
          <w:p w14:paraId="7AF5136E" w14:textId="77777777" w:rsidR="00295BCD" w:rsidRPr="001927D6" w:rsidRDefault="00295BCD">
            <w:pPr>
              <w:spacing w:after="0" w:line="240" w:lineRule="auto"/>
              <w:jc w:val="center"/>
              <w:textAlignment w:val="baseline"/>
              <w:rPr>
                <w:szCs w:val="24"/>
                <w:lang w:eastAsia="et-EE"/>
              </w:rPr>
            </w:pPr>
            <w:r w:rsidRPr="001927D6">
              <w:rPr>
                <w:szCs w:val="24"/>
                <w:lang w:eastAsia="et-EE"/>
              </w:rPr>
              <w:t>388C </w:t>
            </w:r>
          </w:p>
        </w:tc>
        <w:tc>
          <w:tcPr>
            <w:tcW w:w="1243" w:type="dxa"/>
            <w:vAlign w:val="center"/>
          </w:tcPr>
          <w:p w14:paraId="26F76CFB" w14:textId="77777777" w:rsidR="00295BCD" w:rsidRPr="001927D6" w:rsidRDefault="00295BCD">
            <w:pPr>
              <w:spacing w:after="0" w:line="240" w:lineRule="auto"/>
              <w:jc w:val="center"/>
              <w:textAlignment w:val="baseline"/>
              <w:rPr>
                <w:szCs w:val="24"/>
                <w:lang w:eastAsia="et-EE"/>
              </w:rPr>
            </w:pPr>
            <w:r w:rsidRPr="001927D6">
              <w:rPr>
                <w:color w:val="000000"/>
                <w:szCs w:val="24"/>
              </w:rPr>
              <w:t>9 782,58</w:t>
            </w:r>
          </w:p>
        </w:tc>
        <w:tc>
          <w:tcPr>
            <w:tcW w:w="1211" w:type="dxa"/>
            <w:vAlign w:val="center"/>
          </w:tcPr>
          <w:p w14:paraId="7D1CA322" w14:textId="77777777" w:rsidR="00295BCD" w:rsidRPr="001927D6" w:rsidRDefault="00295BCD">
            <w:pPr>
              <w:spacing w:after="0" w:line="240" w:lineRule="auto"/>
              <w:jc w:val="center"/>
              <w:textAlignment w:val="baseline"/>
              <w:rPr>
                <w:szCs w:val="24"/>
                <w:lang w:eastAsia="et-EE"/>
              </w:rPr>
            </w:pPr>
            <w:r w:rsidRPr="001927D6">
              <w:rPr>
                <w:color w:val="000000"/>
                <w:szCs w:val="24"/>
              </w:rPr>
              <w:t>3 435,66</w:t>
            </w:r>
          </w:p>
        </w:tc>
        <w:tc>
          <w:tcPr>
            <w:tcW w:w="1238" w:type="dxa"/>
            <w:vAlign w:val="center"/>
          </w:tcPr>
          <w:p w14:paraId="4EAB5A45" w14:textId="77777777" w:rsidR="00295BCD" w:rsidRPr="001927D6" w:rsidRDefault="00295BCD">
            <w:pPr>
              <w:spacing w:after="0" w:line="240" w:lineRule="auto"/>
              <w:jc w:val="center"/>
              <w:textAlignment w:val="baseline"/>
              <w:rPr>
                <w:szCs w:val="24"/>
                <w:lang w:eastAsia="et-EE"/>
              </w:rPr>
            </w:pPr>
            <w:r w:rsidRPr="001927D6">
              <w:rPr>
                <w:color w:val="000000"/>
                <w:szCs w:val="24"/>
              </w:rPr>
              <w:t>21 393,59</w:t>
            </w:r>
          </w:p>
        </w:tc>
      </w:tr>
      <w:tr w:rsidR="00295BCD" w:rsidRPr="001927D6" w14:paraId="14759E5F" w14:textId="77777777" w:rsidTr="00295BCD">
        <w:trPr>
          <w:divId w:val="1316184749"/>
          <w:trHeight w:val="300"/>
        </w:trPr>
        <w:tc>
          <w:tcPr>
            <w:tcW w:w="4632" w:type="dxa"/>
            <w:vAlign w:val="bottom"/>
            <w:hideMark/>
          </w:tcPr>
          <w:p w14:paraId="4E5EBF79" w14:textId="77777777" w:rsidR="00295BCD" w:rsidRPr="001927D6" w:rsidRDefault="00295BCD">
            <w:pPr>
              <w:spacing w:after="0" w:line="240" w:lineRule="auto"/>
              <w:textAlignment w:val="baseline"/>
              <w:rPr>
                <w:szCs w:val="24"/>
                <w:lang w:eastAsia="et-EE"/>
              </w:rPr>
            </w:pPr>
            <w:r w:rsidRPr="001927D6">
              <w:rPr>
                <w:szCs w:val="24"/>
                <w:lang w:eastAsia="et-EE"/>
              </w:rPr>
              <w:t>Vastsündinu, teostatud operatsioon </w:t>
            </w:r>
          </w:p>
        </w:tc>
        <w:tc>
          <w:tcPr>
            <w:tcW w:w="732" w:type="dxa"/>
            <w:vAlign w:val="center"/>
            <w:hideMark/>
          </w:tcPr>
          <w:p w14:paraId="23E45A27" w14:textId="77777777" w:rsidR="00295BCD" w:rsidRPr="001927D6" w:rsidRDefault="00295BCD">
            <w:pPr>
              <w:spacing w:after="0" w:line="240" w:lineRule="auto"/>
              <w:jc w:val="center"/>
              <w:textAlignment w:val="baseline"/>
              <w:rPr>
                <w:szCs w:val="24"/>
                <w:lang w:eastAsia="et-EE"/>
              </w:rPr>
            </w:pPr>
            <w:r w:rsidRPr="001927D6">
              <w:rPr>
                <w:szCs w:val="24"/>
                <w:lang w:eastAsia="et-EE"/>
              </w:rPr>
              <w:t>389A </w:t>
            </w:r>
          </w:p>
        </w:tc>
        <w:tc>
          <w:tcPr>
            <w:tcW w:w="1243" w:type="dxa"/>
            <w:vAlign w:val="center"/>
          </w:tcPr>
          <w:p w14:paraId="0A6351CE" w14:textId="77777777" w:rsidR="00295BCD" w:rsidRPr="001927D6" w:rsidRDefault="00295BCD">
            <w:pPr>
              <w:spacing w:after="0" w:line="240" w:lineRule="auto"/>
              <w:jc w:val="center"/>
              <w:textAlignment w:val="baseline"/>
              <w:rPr>
                <w:szCs w:val="24"/>
                <w:lang w:eastAsia="et-EE"/>
              </w:rPr>
            </w:pPr>
            <w:r w:rsidRPr="001927D6">
              <w:rPr>
                <w:color w:val="000000"/>
                <w:szCs w:val="24"/>
              </w:rPr>
              <w:t>29 381,79</w:t>
            </w:r>
          </w:p>
        </w:tc>
        <w:tc>
          <w:tcPr>
            <w:tcW w:w="1211" w:type="dxa"/>
            <w:vAlign w:val="center"/>
          </w:tcPr>
          <w:p w14:paraId="1F45F1D4" w14:textId="77777777" w:rsidR="00295BCD" w:rsidRPr="001927D6" w:rsidRDefault="00295BCD">
            <w:pPr>
              <w:spacing w:after="0" w:line="240" w:lineRule="auto"/>
              <w:jc w:val="center"/>
              <w:textAlignment w:val="baseline"/>
              <w:rPr>
                <w:szCs w:val="24"/>
                <w:lang w:eastAsia="et-EE"/>
              </w:rPr>
            </w:pPr>
            <w:r w:rsidRPr="001927D6">
              <w:rPr>
                <w:color w:val="000000"/>
                <w:szCs w:val="24"/>
              </w:rPr>
              <w:t>3 501,14</w:t>
            </w:r>
          </w:p>
        </w:tc>
        <w:tc>
          <w:tcPr>
            <w:tcW w:w="1238" w:type="dxa"/>
            <w:vAlign w:val="center"/>
          </w:tcPr>
          <w:p w14:paraId="595B0903" w14:textId="77777777" w:rsidR="00295BCD" w:rsidRPr="001927D6" w:rsidRDefault="00295BCD">
            <w:pPr>
              <w:spacing w:after="0" w:line="240" w:lineRule="auto"/>
              <w:jc w:val="center"/>
              <w:textAlignment w:val="baseline"/>
              <w:rPr>
                <w:szCs w:val="24"/>
                <w:lang w:eastAsia="et-EE"/>
              </w:rPr>
            </w:pPr>
            <w:r w:rsidRPr="001927D6">
              <w:rPr>
                <w:color w:val="000000"/>
                <w:szCs w:val="24"/>
              </w:rPr>
              <w:t>72 805,21</w:t>
            </w:r>
          </w:p>
        </w:tc>
      </w:tr>
      <w:tr w:rsidR="00295BCD" w:rsidRPr="001927D6" w14:paraId="7D469267" w14:textId="77777777" w:rsidTr="00295BCD">
        <w:trPr>
          <w:divId w:val="1316184749"/>
          <w:trHeight w:val="300"/>
        </w:trPr>
        <w:tc>
          <w:tcPr>
            <w:tcW w:w="4632" w:type="dxa"/>
            <w:vAlign w:val="bottom"/>
            <w:hideMark/>
          </w:tcPr>
          <w:p w14:paraId="7F4953A9" w14:textId="77777777" w:rsidR="00295BCD" w:rsidRPr="001927D6" w:rsidRDefault="00295BCD">
            <w:pPr>
              <w:spacing w:after="0" w:line="240" w:lineRule="auto"/>
              <w:textAlignment w:val="baseline"/>
              <w:rPr>
                <w:szCs w:val="24"/>
                <w:lang w:eastAsia="et-EE"/>
              </w:rPr>
            </w:pPr>
            <w:r w:rsidRPr="001927D6">
              <w:rPr>
                <w:szCs w:val="24"/>
                <w:lang w:eastAsia="et-EE"/>
              </w:rPr>
              <w:t>Vastsündinu mitmete haigusseisunditega </w:t>
            </w:r>
          </w:p>
        </w:tc>
        <w:tc>
          <w:tcPr>
            <w:tcW w:w="732" w:type="dxa"/>
            <w:vAlign w:val="center"/>
            <w:hideMark/>
          </w:tcPr>
          <w:p w14:paraId="3B1B8097" w14:textId="77777777" w:rsidR="00295BCD" w:rsidRPr="001927D6" w:rsidRDefault="00295BCD">
            <w:pPr>
              <w:spacing w:after="0" w:line="240" w:lineRule="auto"/>
              <w:jc w:val="center"/>
              <w:textAlignment w:val="baseline"/>
              <w:rPr>
                <w:szCs w:val="24"/>
                <w:lang w:eastAsia="et-EE"/>
              </w:rPr>
            </w:pPr>
            <w:r w:rsidRPr="001927D6">
              <w:rPr>
                <w:szCs w:val="24"/>
                <w:lang w:eastAsia="et-EE"/>
              </w:rPr>
              <w:t>389B </w:t>
            </w:r>
          </w:p>
        </w:tc>
        <w:tc>
          <w:tcPr>
            <w:tcW w:w="1243" w:type="dxa"/>
            <w:vAlign w:val="center"/>
          </w:tcPr>
          <w:p w14:paraId="292106FC" w14:textId="77777777" w:rsidR="00295BCD" w:rsidRPr="001927D6" w:rsidRDefault="00295BCD">
            <w:pPr>
              <w:spacing w:after="0" w:line="240" w:lineRule="auto"/>
              <w:jc w:val="center"/>
              <w:textAlignment w:val="baseline"/>
              <w:rPr>
                <w:szCs w:val="24"/>
                <w:lang w:eastAsia="et-EE"/>
              </w:rPr>
            </w:pPr>
            <w:r w:rsidRPr="001927D6">
              <w:rPr>
                <w:color w:val="000000"/>
                <w:szCs w:val="24"/>
              </w:rPr>
              <w:t>3 966,28</w:t>
            </w:r>
          </w:p>
        </w:tc>
        <w:tc>
          <w:tcPr>
            <w:tcW w:w="1211" w:type="dxa"/>
            <w:vAlign w:val="center"/>
          </w:tcPr>
          <w:p w14:paraId="7315BB20" w14:textId="77777777" w:rsidR="00295BCD" w:rsidRPr="001927D6" w:rsidRDefault="00295BCD">
            <w:pPr>
              <w:spacing w:after="0" w:line="240" w:lineRule="auto"/>
              <w:jc w:val="center"/>
              <w:textAlignment w:val="baseline"/>
              <w:rPr>
                <w:szCs w:val="24"/>
                <w:lang w:eastAsia="et-EE"/>
              </w:rPr>
            </w:pPr>
            <w:r w:rsidRPr="001927D6">
              <w:rPr>
                <w:color w:val="000000"/>
                <w:szCs w:val="24"/>
              </w:rPr>
              <w:t>1 131,13</w:t>
            </w:r>
          </w:p>
        </w:tc>
        <w:tc>
          <w:tcPr>
            <w:tcW w:w="1238" w:type="dxa"/>
            <w:vAlign w:val="center"/>
          </w:tcPr>
          <w:p w14:paraId="23B8A2B4" w14:textId="77777777" w:rsidR="00295BCD" w:rsidRPr="001927D6" w:rsidRDefault="00295BCD">
            <w:pPr>
              <w:spacing w:after="0" w:line="240" w:lineRule="auto"/>
              <w:jc w:val="center"/>
              <w:textAlignment w:val="baseline"/>
              <w:rPr>
                <w:szCs w:val="24"/>
                <w:lang w:eastAsia="et-EE"/>
              </w:rPr>
            </w:pPr>
            <w:r w:rsidRPr="001927D6">
              <w:rPr>
                <w:color w:val="000000"/>
                <w:szCs w:val="24"/>
              </w:rPr>
              <w:t>10 905,45</w:t>
            </w:r>
          </w:p>
        </w:tc>
      </w:tr>
      <w:tr w:rsidR="00295BCD" w:rsidRPr="001927D6" w14:paraId="391F0B95" w14:textId="77777777" w:rsidTr="00295BCD">
        <w:trPr>
          <w:divId w:val="1316184749"/>
          <w:trHeight w:val="300"/>
        </w:trPr>
        <w:tc>
          <w:tcPr>
            <w:tcW w:w="4632" w:type="dxa"/>
            <w:vAlign w:val="bottom"/>
            <w:hideMark/>
          </w:tcPr>
          <w:p w14:paraId="176B7068" w14:textId="77777777" w:rsidR="00295BCD" w:rsidRPr="001927D6" w:rsidRDefault="00295BCD">
            <w:pPr>
              <w:spacing w:after="0" w:line="240" w:lineRule="auto"/>
              <w:textAlignment w:val="baseline"/>
              <w:rPr>
                <w:szCs w:val="24"/>
                <w:lang w:eastAsia="et-EE"/>
              </w:rPr>
            </w:pPr>
            <w:r w:rsidRPr="001927D6">
              <w:rPr>
                <w:szCs w:val="24"/>
                <w:lang w:eastAsia="et-EE"/>
              </w:rPr>
              <w:t>Vastsündinu paljude haigusseisunditega, hingamisraviga, elus vähemalt ühe ööpäeva </w:t>
            </w:r>
          </w:p>
        </w:tc>
        <w:tc>
          <w:tcPr>
            <w:tcW w:w="732" w:type="dxa"/>
            <w:vAlign w:val="center"/>
            <w:hideMark/>
          </w:tcPr>
          <w:p w14:paraId="0FC40A58" w14:textId="77777777" w:rsidR="00295BCD" w:rsidRPr="001927D6" w:rsidRDefault="00295BCD">
            <w:pPr>
              <w:spacing w:after="0" w:line="240" w:lineRule="auto"/>
              <w:jc w:val="center"/>
              <w:textAlignment w:val="baseline"/>
              <w:rPr>
                <w:szCs w:val="24"/>
                <w:lang w:eastAsia="et-EE"/>
              </w:rPr>
            </w:pPr>
            <w:r w:rsidRPr="001927D6">
              <w:rPr>
                <w:szCs w:val="24"/>
                <w:lang w:eastAsia="et-EE"/>
              </w:rPr>
              <w:t>389C </w:t>
            </w:r>
          </w:p>
        </w:tc>
        <w:tc>
          <w:tcPr>
            <w:tcW w:w="1243" w:type="dxa"/>
            <w:vAlign w:val="center"/>
          </w:tcPr>
          <w:p w14:paraId="6ECD8D29" w14:textId="77777777" w:rsidR="00295BCD" w:rsidRPr="001927D6" w:rsidRDefault="00295BCD">
            <w:pPr>
              <w:spacing w:after="0" w:line="240" w:lineRule="auto"/>
              <w:jc w:val="center"/>
              <w:textAlignment w:val="baseline"/>
              <w:rPr>
                <w:szCs w:val="24"/>
                <w:lang w:eastAsia="et-EE"/>
              </w:rPr>
            </w:pPr>
            <w:r w:rsidRPr="001927D6">
              <w:rPr>
                <w:color w:val="000000"/>
                <w:szCs w:val="24"/>
              </w:rPr>
              <w:t>3 246,16</w:t>
            </w:r>
          </w:p>
        </w:tc>
        <w:tc>
          <w:tcPr>
            <w:tcW w:w="1211" w:type="dxa"/>
            <w:vAlign w:val="center"/>
          </w:tcPr>
          <w:p w14:paraId="5EAD4AC4" w14:textId="77777777" w:rsidR="00295BCD" w:rsidRPr="001927D6" w:rsidRDefault="00295BCD">
            <w:pPr>
              <w:spacing w:after="0" w:line="240" w:lineRule="auto"/>
              <w:jc w:val="center"/>
              <w:textAlignment w:val="baseline"/>
              <w:rPr>
                <w:szCs w:val="24"/>
                <w:lang w:eastAsia="et-EE"/>
              </w:rPr>
            </w:pPr>
            <w:r w:rsidRPr="001927D6">
              <w:rPr>
                <w:color w:val="000000"/>
                <w:szCs w:val="24"/>
              </w:rPr>
              <w:t>1 509,22</w:t>
            </w:r>
          </w:p>
        </w:tc>
        <w:tc>
          <w:tcPr>
            <w:tcW w:w="1238" w:type="dxa"/>
            <w:vAlign w:val="center"/>
          </w:tcPr>
          <w:p w14:paraId="391A1832" w14:textId="77777777" w:rsidR="00295BCD" w:rsidRPr="001927D6" w:rsidRDefault="00295BCD">
            <w:pPr>
              <w:spacing w:after="0" w:line="240" w:lineRule="auto"/>
              <w:jc w:val="center"/>
              <w:textAlignment w:val="baseline"/>
              <w:rPr>
                <w:szCs w:val="24"/>
                <w:lang w:eastAsia="et-EE"/>
              </w:rPr>
            </w:pPr>
            <w:r w:rsidRPr="001927D6">
              <w:rPr>
                <w:color w:val="000000"/>
                <w:szCs w:val="24"/>
              </w:rPr>
              <w:t>8 544,93</w:t>
            </w:r>
          </w:p>
        </w:tc>
      </w:tr>
      <w:tr w:rsidR="00295BCD" w:rsidRPr="001927D6" w14:paraId="4231BFA3" w14:textId="77777777" w:rsidTr="00295BCD">
        <w:trPr>
          <w:divId w:val="1316184749"/>
          <w:trHeight w:val="300"/>
        </w:trPr>
        <w:tc>
          <w:tcPr>
            <w:tcW w:w="4632" w:type="dxa"/>
            <w:vAlign w:val="bottom"/>
            <w:hideMark/>
          </w:tcPr>
          <w:p w14:paraId="770C2FAA" w14:textId="77777777" w:rsidR="00295BCD" w:rsidRPr="001927D6" w:rsidRDefault="00295BCD">
            <w:pPr>
              <w:spacing w:after="0" w:line="240" w:lineRule="auto"/>
              <w:textAlignment w:val="baseline"/>
              <w:rPr>
                <w:szCs w:val="24"/>
                <w:lang w:eastAsia="et-EE"/>
              </w:rPr>
            </w:pPr>
            <w:r w:rsidRPr="001927D6">
              <w:rPr>
                <w:szCs w:val="24"/>
                <w:lang w:eastAsia="et-EE"/>
              </w:rPr>
              <w:t>Vastsündinu, muude haigusseisunditega </w:t>
            </w:r>
          </w:p>
        </w:tc>
        <w:tc>
          <w:tcPr>
            <w:tcW w:w="732" w:type="dxa"/>
            <w:vAlign w:val="center"/>
            <w:hideMark/>
          </w:tcPr>
          <w:p w14:paraId="298D731D" w14:textId="77777777" w:rsidR="00295BCD" w:rsidRPr="001927D6" w:rsidRDefault="00295BCD">
            <w:pPr>
              <w:spacing w:after="0" w:line="240" w:lineRule="auto"/>
              <w:jc w:val="center"/>
              <w:textAlignment w:val="baseline"/>
              <w:rPr>
                <w:szCs w:val="24"/>
                <w:lang w:eastAsia="et-EE"/>
              </w:rPr>
            </w:pPr>
            <w:r w:rsidRPr="001927D6">
              <w:rPr>
                <w:szCs w:val="24"/>
                <w:lang w:eastAsia="et-EE"/>
              </w:rPr>
              <w:t>390 </w:t>
            </w:r>
          </w:p>
        </w:tc>
        <w:tc>
          <w:tcPr>
            <w:tcW w:w="1243" w:type="dxa"/>
            <w:vAlign w:val="center"/>
          </w:tcPr>
          <w:p w14:paraId="3285D7CF" w14:textId="77777777" w:rsidR="00295BCD" w:rsidRPr="001927D6" w:rsidRDefault="00295BCD">
            <w:pPr>
              <w:spacing w:after="0" w:line="240" w:lineRule="auto"/>
              <w:jc w:val="center"/>
              <w:textAlignment w:val="baseline"/>
              <w:rPr>
                <w:szCs w:val="24"/>
                <w:lang w:eastAsia="et-EE"/>
              </w:rPr>
            </w:pPr>
            <w:r w:rsidRPr="001927D6">
              <w:rPr>
                <w:color w:val="000000"/>
                <w:szCs w:val="24"/>
              </w:rPr>
              <w:t>1 689,54</w:t>
            </w:r>
          </w:p>
        </w:tc>
        <w:tc>
          <w:tcPr>
            <w:tcW w:w="1211" w:type="dxa"/>
            <w:vAlign w:val="center"/>
          </w:tcPr>
          <w:p w14:paraId="53B4E37C" w14:textId="77777777" w:rsidR="00295BCD" w:rsidRPr="001927D6" w:rsidRDefault="00295BCD">
            <w:pPr>
              <w:spacing w:after="0" w:line="240" w:lineRule="auto"/>
              <w:jc w:val="center"/>
              <w:textAlignment w:val="baseline"/>
              <w:rPr>
                <w:szCs w:val="24"/>
                <w:lang w:eastAsia="et-EE"/>
              </w:rPr>
            </w:pPr>
            <w:r w:rsidRPr="001927D6">
              <w:rPr>
                <w:color w:val="000000"/>
                <w:szCs w:val="24"/>
              </w:rPr>
              <w:t>560,06</w:t>
            </w:r>
          </w:p>
        </w:tc>
        <w:tc>
          <w:tcPr>
            <w:tcW w:w="1238" w:type="dxa"/>
            <w:vAlign w:val="center"/>
          </w:tcPr>
          <w:p w14:paraId="5D87EA3B" w14:textId="77777777" w:rsidR="00295BCD" w:rsidRPr="001927D6" w:rsidRDefault="00295BCD">
            <w:pPr>
              <w:spacing w:after="0" w:line="240" w:lineRule="auto"/>
              <w:jc w:val="center"/>
              <w:textAlignment w:val="baseline"/>
              <w:rPr>
                <w:szCs w:val="24"/>
                <w:lang w:eastAsia="et-EE"/>
              </w:rPr>
            </w:pPr>
            <w:r w:rsidRPr="001927D6">
              <w:rPr>
                <w:color w:val="000000"/>
                <w:szCs w:val="24"/>
              </w:rPr>
              <w:t>3 616,76</w:t>
            </w:r>
          </w:p>
        </w:tc>
      </w:tr>
      <w:tr w:rsidR="00295BCD" w:rsidRPr="001927D6" w14:paraId="44144391" w14:textId="77777777" w:rsidTr="00295BCD">
        <w:trPr>
          <w:divId w:val="1316184749"/>
          <w:trHeight w:val="300"/>
        </w:trPr>
        <w:tc>
          <w:tcPr>
            <w:tcW w:w="4632" w:type="dxa"/>
            <w:vAlign w:val="bottom"/>
            <w:hideMark/>
          </w:tcPr>
          <w:p w14:paraId="0991A0C4" w14:textId="77777777" w:rsidR="00295BCD" w:rsidRPr="001927D6" w:rsidRDefault="00295BCD">
            <w:pPr>
              <w:spacing w:after="0" w:line="240" w:lineRule="auto"/>
              <w:textAlignment w:val="baseline"/>
              <w:rPr>
                <w:szCs w:val="24"/>
                <w:lang w:eastAsia="et-EE"/>
              </w:rPr>
            </w:pPr>
            <w:r w:rsidRPr="001927D6">
              <w:rPr>
                <w:szCs w:val="24"/>
                <w:lang w:eastAsia="et-EE"/>
              </w:rPr>
              <w:t>Normaalne vastsündinu </w:t>
            </w:r>
          </w:p>
        </w:tc>
        <w:tc>
          <w:tcPr>
            <w:tcW w:w="732" w:type="dxa"/>
            <w:vAlign w:val="center"/>
            <w:hideMark/>
          </w:tcPr>
          <w:p w14:paraId="32D13CCC" w14:textId="77777777" w:rsidR="00295BCD" w:rsidRPr="001927D6" w:rsidRDefault="00295BCD">
            <w:pPr>
              <w:spacing w:after="0" w:line="240" w:lineRule="auto"/>
              <w:jc w:val="center"/>
              <w:textAlignment w:val="baseline"/>
              <w:rPr>
                <w:szCs w:val="24"/>
                <w:lang w:eastAsia="et-EE"/>
              </w:rPr>
            </w:pPr>
            <w:r w:rsidRPr="001927D6">
              <w:rPr>
                <w:szCs w:val="24"/>
                <w:lang w:eastAsia="et-EE"/>
              </w:rPr>
              <w:t>391 </w:t>
            </w:r>
          </w:p>
        </w:tc>
        <w:tc>
          <w:tcPr>
            <w:tcW w:w="1243" w:type="dxa"/>
            <w:vAlign w:val="center"/>
          </w:tcPr>
          <w:p w14:paraId="20161D6D" w14:textId="77777777" w:rsidR="00295BCD" w:rsidRPr="001927D6" w:rsidRDefault="00295BCD">
            <w:pPr>
              <w:spacing w:after="0" w:line="240" w:lineRule="auto"/>
              <w:jc w:val="center"/>
              <w:textAlignment w:val="baseline"/>
              <w:rPr>
                <w:szCs w:val="24"/>
                <w:lang w:eastAsia="et-EE"/>
              </w:rPr>
            </w:pPr>
            <w:r w:rsidRPr="001927D6">
              <w:rPr>
                <w:color w:val="000000"/>
                <w:szCs w:val="24"/>
              </w:rPr>
              <w:t>976,68</w:t>
            </w:r>
          </w:p>
        </w:tc>
        <w:tc>
          <w:tcPr>
            <w:tcW w:w="1211" w:type="dxa"/>
            <w:vAlign w:val="center"/>
          </w:tcPr>
          <w:p w14:paraId="0B73A4BC" w14:textId="77777777" w:rsidR="00295BCD" w:rsidRPr="001927D6" w:rsidRDefault="00295BCD">
            <w:pPr>
              <w:spacing w:after="0" w:line="240" w:lineRule="auto"/>
              <w:jc w:val="center"/>
              <w:textAlignment w:val="baseline"/>
              <w:rPr>
                <w:szCs w:val="24"/>
                <w:lang w:eastAsia="et-EE"/>
              </w:rPr>
            </w:pPr>
            <w:r w:rsidRPr="001927D6">
              <w:rPr>
                <w:color w:val="000000"/>
                <w:szCs w:val="24"/>
              </w:rPr>
              <w:t>301,37</w:t>
            </w:r>
          </w:p>
        </w:tc>
        <w:tc>
          <w:tcPr>
            <w:tcW w:w="1238" w:type="dxa"/>
            <w:vAlign w:val="center"/>
          </w:tcPr>
          <w:p w14:paraId="6E83745F" w14:textId="77777777" w:rsidR="00295BCD" w:rsidRPr="001927D6" w:rsidRDefault="00295BCD">
            <w:pPr>
              <w:spacing w:after="0" w:line="240" w:lineRule="auto"/>
              <w:jc w:val="center"/>
              <w:textAlignment w:val="baseline"/>
              <w:rPr>
                <w:szCs w:val="24"/>
                <w:lang w:eastAsia="et-EE"/>
              </w:rPr>
            </w:pPr>
            <w:r w:rsidRPr="001927D6">
              <w:rPr>
                <w:color w:val="000000"/>
                <w:szCs w:val="24"/>
              </w:rPr>
              <w:t>1 915,95</w:t>
            </w:r>
          </w:p>
        </w:tc>
      </w:tr>
      <w:tr w:rsidR="00295BCD" w:rsidRPr="001927D6" w14:paraId="6C031DBC" w14:textId="77777777" w:rsidTr="00295BCD">
        <w:trPr>
          <w:divId w:val="1316184749"/>
          <w:trHeight w:val="300"/>
        </w:trPr>
        <w:tc>
          <w:tcPr>
            <w:tcW w:w="4632" w:type="dxa"/>
            <w:vAlign w:val="bottom"/>
            <w:hideMark/>
          </w:tcPr>
          <w:p w14:paraId="5870F09C" w14:textId="77777777" w:rsidR="00295BCD" w:rsidRPr="001927D6" w:rsidRDefault="00295BCD">
            <w:pPr>
              <w:spacing w:after="0" w:line="240" w:lineRule="auto"/>
              <w:textAlignment w:val="baseline"/>
              <w:rPr>
                <w:szCs w:val="24"/>
                <w:lang w:eastAsia="et-EE"/>
              </w:rPr>
            </w:pPr>
            <w:r w:rsidRPr="001927D6">
              <w:rPr>
                <w:szCs w:val="24"/>
                <w:lang w:eastAsia="et-EE"/>
              </w:rPr>
              <w:t>Splenektoomia, vanus &gt; 17 </w:t>
            </w:r>
          </w:p>
        </w:tc>
        <w:tc>
          <w:tcPr>
            <w:tcW w:w="732" w:type="dxa"/>
            <w:vAlign w:val="center"/>
            <w:hideMark/>
          </w:tcPr>
          <w:p w14:paraId="7FCB6FD4" w14:textId="77777777" w:rsidR="00295BCD" w:rsidRPr="001927D6" w:rsidRDefault="00295BCD">
            <w:pPr>
              <w:spacing w:after="0" w:line="240" w:lineRule="auto"/>
              <w:jc w:val="center"/>
              <w:textAlignment w:val="baseline"/>
              <w:rPr>
                <w:szCs w:val="24"/>
                <w:lang w:eastAsia="et-EE"/>
              </w:rPr>
            </w:pPr>
            <w:r w:rsidRPr="001927D6">
              <w:rPr>
                <w:szCs w:val="24"/>
                <w:lang w:eastAsia="et-EE"/>
              </w:rPr>
              <w:t>392 </w:t>
            </w:r>
          </w:p>
        </w:tc>
        <w:tc>
          <w:tcPr>
            <w:tcW w:w="1243" w:type="dxa"/>
            <w:vAlign w:val="center"/>
          </w:tcPr>
          <w:p w14:paraId="3A8E0C15" w14:textId="77777777" w:rsidR="00295BCD" w:rsidRPr="001927D6" w:rsidRDefault="00295BCD">
            <w:pPr>
              <w:spacing w:after="0" w:line="240" w:lineRule="auto"/>
              <w:jc w:val="center"/>
              <w:textAlignment w:val="baseline"/>
              <w:rPr>
                <w:szCs w:val="24"/>
                <w:lang w:eastAsia="et-EE"/>
              </w:rPr>
            </w:pPr>
            <w:r w:rsidRPr="001927D6">
              <w:rPr>
                <w:color w:val="000000"/>
                <w:szCs w:val="24"/>
              </w:rPr>
              <w:t>7 443,09</w:t>
            </w:r>
          </w:p>
        </w:tc>
        <w:tc>
          <w:tcPr>
            <w:tcW w:w="1211" w:type="dxa"/>
            <w:vAlign w:val="center"/>
          </w:tcPr>
          <w:p w14:paraId="7672430A" w14:textId="77777777" w:rsidR="00295BCD" w:rsidRPr="001927D6" w:rsidRDefault="00295BCD">
            <w:pPr>
              <w:spacing w:after="0" w:line="240" w:lineRule="auto"/>
              <w:jc w:val="center"/>
              <w:textAlignment w:val="baseline"/>
              <w:rPr>
                <w:szCs w:val="24"/>
                <w:lang w:eastAsia="et-EE"/>
              </w:rPr>
            </w:pPr>
            <w:r w:rsidRPr="001927D6">
              <w:rPr>
                <w:color w:val="000000"/>
                <w:szCs w:val="24"/>
              </w:rPr>
              <w:t>3 684,69</w:t>
            </w:r>
          </w:p>
        </w:tc>
        <w:tc>
          <w:tcPr>
            <w:tcW w:w="1238" w:type="dxa"/>
            <w:vAlign w:val="center"/>
          </w:tcPr>
          <w:p w14:paraId="1882C66E" w14:textId="77777777" w:rsidR="00295BCD" w:rsidRPr="001927D6" w:rsidRDefault="00295BCD">
            <w:pPr>
              <w:spacing w:after="0" w:line="240" w:lineRule="auto"/>
              <w:jc w:val="center"/>
              <w:textAlignment w:val="baseline"/>
              <w:rPr>
                <w:szCs w:val="24"/>
                <w:lang w:eastAsia="et-EE"/>
              </w:rPr>
            </w:pPr>
            <w:r w:rsidRPr="001927D6">
              <w:rPr>
                <w:color w:val="000000"/>
                <w:szCs w:val="24"/>
              </w:rPr>
              <w:t>19 998,29</w:t>
            </w:r>
          </w:p>
        </w:tc>
      </w:tr>
      <w:tr w:rsidR="00295BCD" w:rsidRPr="001927D6" w14:paraId="44D3777C" w14:textId="77777777" w:rsidTr="00295BCD">
        <w:trPr>
          <w:divId w:val="1316184749"/>
          <w:trHeight w:val="300"/>
        </w:trPr>
        <w:tc>
          <w:tcPr>
            <w:tcW w:w="4632" w:type="dxa"/>
            <w:vAlign w:val="bottom"/>
            <w:hideMark/>
          </w:tcPr>
          <w:p w14:paraId="4E98A2D7" w14:textId="77777777" w:rsidR="00295BCD" w:rsidRPr="001927D6" w:rsidRDefault="00295BCD">
            <w:pPr>
              <w:spacing w:after="0" w:line="240" w:lineRule="auto"/>
              <w:textAlignment w:val="baseline"/>
              <w:rPr>
                <w:szCs w:val="24"/>
                <w:lang w:eastAsia="et-EE"/>
              </w:rPr>
            </w:pPr>
            <w:r w:rsidRPr="001927D6">
              <w:rPr>
                <w:szCs w:val="24"/>
                <w:lang w:eastAsia="et-EE"/>
              </w:rPr>
              <w:t>Splenektoomia, vanus 0–17 </w:t>
            </w:r>
          </w:p>
        </w:tc>
        <w:tc>
          <w:tcPr>
            <w:tcW w:w="732" w:type="dxa"/>
            <w:vAlign w:val="center"/>
            <w:hideMark/>
          </w:tcPr>
          <w:p w14:paraId="50AC0186" w14:textId="77777777" w:rsidR="00295BCD" w:rsidRPr="001927D6" w:rsidRDefault="00295BCD">
            <w:pPr>
              <w:spacing w:after="0" w:line="240" w:lineRule="auto"/>
              <w:jc w:val="center"/>
              <w:textAlignment w:val="baseline"/>
              <w:rPr>
                <w:szCs w:val="24"/>
                <w:lang w:eastAsia="et-EE"/>
              </w:rPr>
            </w:pPr>
            <w:r w:rsidRPr="001927D6">
              <w:rPr>
                <w:szCs w:val="24"/>
                <w:lang w:eastAsia="et-EE"/>
              </w:rPr>
              <w:t>393 </w:t>
            </w:r>
          </w:p>
        </w:tc>
        <w:tc>
          <w:tcPr>
            <w:tcW w:w="1243" w:type="dxa"/>
            <w:vAlign w:val="center"/>
          </w:tcPr>
          <w:p w14:paraId="71C34F56" w14:textId="77777777" w:rsidR="00295BCD" w:rsidRPr="001927D6" w:rsidRDefault="00295BCD">
            <w:pPr>
              <w:spacing w:after="0" w:line="240" w:lineRule="auto"/>
              <w:jc w:val="center"/>
              <w:textAlignment w:val="baseline"/>
              <w:rPr>
                <w:szCs w:val="24"/>
                <w:lang w:eastAsia="et-EE"/>
              </w:rPr>
            </w:pPr>
            <w:r w:rsidRPr="001927D6">
              <w:rPr>
                <w:color w:val="000000"/>
                <w:szCs w:val="24"/>
              </w:rPr>
              <w:t>4 121,70</w:t>
            </w:r>
          </w:p>
        </w:tc>
        <w:tc>
          <w:tcPr>
            <w:tcW w:w="1211" w:type="dxa"/>
            <w:vAlign w:val="center"/>
          </w:tcPr>
          <w:p w14:paraId="6CC79864" w14:textId="77777777" w:rsidR="00295BCD" w:rsidRPr="001927D6" w:rsidRDefault="00295BCD">
            <w:pPr>
              <w:spacing w:after="0" w:line="240" w:lineRule="auto"/>
              <w:jc w:val="center"/>
              <w:textAlignment w:val="baseline"/>
              <w:rPr>
                <w:szCs w:val="24"/>
                <w:lang w:eastAsia="et-EE"/>
              </w:rPr>
            </w:pPr>
            <w:r w:rsidRPr="001927D6">
              <w:rPr>
                <w:color w:val="000000"/>
                <w:szCs w:val="24"/>
              </w:rPr>
              <w:t>3 819,72</w:t>
            </w:r>
          </w:p>
        </w:tc>
        <w:tc>
          <w:tcPr>
            <w:tcW w:w="1238" w:type="dxa"/>
            <w:vAlign w:val="center"/>
          </w:tcPr>
          <w:p w14:paraId="402E21CC" w14:textId="77777777" w:rsidR="00295BCD" w:rsidRPr="001927D6" w:rsidRDefault="00295BCD">
            <w:pPr>
              <w:spacing w:after="0" w:line="240" w:lineRule="auto"/>
              <w:jc w:val="center"/>
              <w:textAlignment w:val="baseline"/>
              <w:rPr>
                <w:szCs w:val="24"/>
                <w:lang w:eastAsia="et-EE"/>
              </w:rPr>
            </w:pPr>
            <w:r w:rsidRPr="001927D6">
              <w:rPr>
                <w:color w:val="000000"/>
                <w:szCs w:val="24"/>
              </w:rPr>
              <w:t>5 319,40</w:t>
            </w:r>
          </w:p>
        </w:tc>
      </w:tr>
      <w:tr w:rsidR="00295BCD" w:rsidRPr="001927D6" w14:paraId="1D02A625" w14:textId="77777777" w:rsidTr="00295BCD">
        <w:trPr>
          <w:divId w:val="1316184749"/>
          <w:trHeight w:val="300"/>
        </w:trPr>
        <w:tc>
          <w:tcPr>
            <w:tcW w:w="4632" w:type="dxa"/>
            <w:vAlign w:val="bottom"/>
            <w:hideMark/>
          </w:tcPr>
          <w:p w14:paraId="7F9BAADB" w14:textId="77777777" w:rsidR="00295BCD" w:rsidRPr="001927D6" w:rsidRDefault="00295BCD">
            <w:pPr>
              <w:spacing w:after="0" w:line="240" w:lineRule="auto"/>
              <w:textAlignment w:val="baseline"/>
              <w:rPr>
                <w:szCs w:val="24"/>
                <w:lang w:eastAsia="et-EE"/>
              </w:rPr>
            </w:pPr>
            <w:r w:rsidRPr="001927D6">
              <w:rPr>
                <w:szCs w:val="24"/>
                <w:lang w:eastAsia="et-EE"/>
              </w:rPr>
              <w:t>Vere ja vereloomeelundite muud operatsioonid </w:t>
            </w:r>
          </w:p>
        </w:tc>
        <w:tc>
          <w:tcPr>
            <w:tcW w:w="732" w:type="dxa"/>
            <w:vAlign w:val="center"/>
            <w:hideMark/>
          </w:tcPr>
          <w:p w14:paraId="11F69975" w14:textId="77777777" w:rsidR="00295BCD" w:rsidRPr="001927D6" w:rsidRDefault="00295BCD">
            <w:pPr>
              <w:spacing w:after="0" w:line="240" w:lineRule="auto"/>
              <w:jc w:val="center"/>
              <w:textAlignment w:val="baseline"/>
              <w:rPr>
                <w:szCs w:val="24"/>
                <w:lang w:eastAsia="et-EE"/>
              </w:rPr>
            </w:pPr>
            <w:r w:rsidRPr="001927D6">
              <w:rPr>
                <w:szCs w:val="24"/>
                <w:lang w:eastAsia="et-EE"/>
              </w:rPr>
              <w:t>394 </w:t>
            </w:r>
          </w:p>
        </w:tc>
        <w:tc>
          <w:tcPr>
            <w:tcW w:w="1243" w:type="dxa"/>
            <w:vAlign w:val="center"/>
          </w:tcPr>
          <w:p w14:paraId="3C69E7C2" w14:textId="77777777" w:rsidR="00295BCD" w:rsidRPr="001927D6" w:rsidRDefault="00295BCD">
            <w:pPr>
              <w:spacing w:after="0" w:line="240" w:lineRule="auto"/>
              <w:jc w:val="center"/>
              <w:textAlignment w:val="baseline"/>
              <w:rPr>
                <w:szCs w:val="24"/>
                <w:lang w:eastAsia="et-EE"/>
              </w:rPr>
            </w:pPr>
            <w:r w:rsidRPr="001927D6">
              <w:rPr>
                <w:color w:val="000000"/>
                <w:szCs w:val="24"/>
              </w:rPr>
              <w:t>3 396,91</w:t>
            </w:r>
          </w:p>
        </w:tc>
        <w:tc>
          <w:tcPr>
            <w:tcW w:w="1211" w:type="dxa"/>
            <w:vAlign w:val="center"/>
          </w:tcPr>
          <w:p w14:paraId="45ECD78A" w14:textId="77777777" w:rsidR="00295BCD" w:rsidRPr="001927D6" w:rsidRDefault="00295BCD">
            <w:pPr>
              <w:spacing w:after="0" w:line="240" w:lineRule="auto"/>
              <w:jc w:val="center"/>
              <w:textAlignment w:val="baseline"/>
              <w:rPr>
                <w:szCs w:val="24"/>
                <w:lang w:eastAsia="et-EE"/>
              </w:rPr>
            </w:pPr>
            <w:r w:rsidRPr="001927D6">
              <w:rPr>
                <w:color w:val="000000"/>
                <w:szCs w:val="24"/>
              </w:rPr>
              <w:t>1 146,66</w:t>
            </w:r>
          </w:p>
        </w:tc>
        <w:tc>
          <w:tcPr>
            <w:tcW w:w="1238" w:type="dxa"/>
            <w:vAlign w:val="center"/>
          </w:tcPr>
          <w:p w14:paraId="2A15AFB6" w14:textId="77777777" w:rsidR="00295BCD" w:rsidRPr="001927D6" w:rsidRDefault="00295BCD">
            <w:pPr>
              <w:spacing w:after="0" w:line="240" w:lineRule="auto"/>
              <w:jc w:val="center"/>
              <w:textAlignment w:val="baseline"/>
              <w:rPr>
                <w:szCs w:val="24"/>
                <w:lang w:eastAsia="et-EE"/>
              </w:rPr>
            </w:pPr>
            <w:r w:rsidRPr="001927D6">
              <w:rPr>
                <w:color w:val="000000"/>
                <w:szCs w:val="24"/>
              </w:rPr>
              <w:t>12 668,34</w:t>
            </w:r>
          </w:p>
        </w:tc>
      </w:tr>
      <w:tr w:rsidR="00295BCD" w:rsidRPr="001927D6" w14:paraId="30EA37C3" w14:textId="77777777" w:rsidTr="00295BCD">
        <w:trPr>
          <w:divId w:val="1316184749"/>
          <w:trHeight w:val="300"/>
        </w:trPr>
        <w:tc>
          <w:tcPr>
            <w:tcW w:w="4632" w:type="dxa"/>
            <w:vAlign w:val="bottom"/>
            <w:hideMark/>
          </w:tcPr>
          <w:p w14:paraId="09ACA8CB" w14:textId="77777777" w:rsidR="00295BCD" w:rsidRPr="001927D6" w:rsidRDefault="00295BCD">
            <w:pPr>
              <w:spacing w:after="0" w:line="240" w:lineRule="auto"/>
              <w:textAlignment w:val="baseline"/>
              <w:rPr>
                <w:szCs w:val="24"/>
                <w:lang w:eastAsia="et-EE"/>
              </w:rPr>
            </w:pPr>
            <w:r w:rsidRPr="001927D6">
              <w:rPr>
                <w:szCs w:val="24"/>
                <w:lang w:eastAsia="et-EE"/>
              </w:rPr>
              <w:t>Vere ja vereloomeelundite muud operatsioonid, lühike ravi </w:t>
            </w:r>
          </w:p>
        </w:tc>
        <w:tc>
          <w:tcPr>
            <w:tcW w:w="732" w:type="dxa"/>
            <w:vAlign w:val="center"/>
            <w:hideMark/>
          </w:tcPr>
          <w:p w14:paraId="3FD434EF" w14:textId="77777777" w:rsidR="00295BCD" w:rsidRPr="001927D6" w:rsidRDefault="00295BCD">
            <w:pPr>
              <w:spacing w:after="0" w:line="240" w:lineRule="auto"/>
              <w:jc w:val="center"/>
              <w:textAlignment w:val="baseline"/>
              <w:rPr>
                <w:szCs w:val="24"/>
                <w:lang w:eastAsia="et-EE"/>
              </w:rPr>
            </w:pPr>
            <w:r w:rsidRPr="001927D6">
              <w:rPr>
                <w:szCs w:val="24"/>
                <w:lang w:eastAsia="et-EE"/>
              </w:rPr>
              <w:t>394O </w:t>
            </w:r>
          </w:p>
        </w:tc>
        <w:tc>
          <w:tcPr>
            <w:tcW w:w="1243" w:type="dxa"/>
            <w:vAlign w:val="center"/>
          </w:tcPr>
          <w:p w14:paraId="4AFF8FB6" w14:textId="77777777" w:rsidR="00295BCD" w:rsidRPr="001927D6" w:rsidRDefault="00295BCD">
            <w:pPr>
              <w:spacing w:after="0" w:line="240" w:lineRule="auto"/>
              <w:jc w:val="center"/>
              <w:textAlignment w:val="baseline"/>
              <w:rPr>
                <w:szCs w:val="24"/>
                <w:lang w:eastAsia="et-EE"/>
              </w:rPr>
            </w:pPr>
            <w:r w:rsidRPr="001927D6">
              <w:rPr>
                <w:color w:val="000000"/>
                <w:szCs w:val="24"/>
              </w:rPr>
              <w:t>1 722,22</w:t>
            </w:r>
          </w:p>
        </w:tc>
        <w:tc>
          <w:tcPr>
            <w:tcW w:w="1211" w:type="dxa"/>
            <w:vAlign w:val="center"/>
          </w:tcPr>
          <w:p w14:paraId="49391F9E" w14:textId="77777777" w:rsidR="00295BCD" w:rsidRPr="001927D6" w:rsidRDefault="00295BCD">
            <w:pPr>
              <w:spacing w:after="0" w:line="240" w:lineRule="auto"/>
              <w:jc w:val="center"/>
              <w:textAlignment w:val="baseline"/>
              <w:rPr>
                <w:szCs w:val="24"/>
                <w:lang w:eastAsia="et-EE"/>
              </w:rPr>
            </w:pPr>
            <w:r w:rsidRPr="001927D6">
              <w:rPr>
                <w:color w:val="000000"/>
                <w:szCs w:val="24"/>
              </w:rPr>
              <w:t>798,43</w:t>
            </w:r>
          </w:p>
        </w:tc>
        <w:tc>
          <w:tcPr>
            <w:tcW w:w="1238" w:type="dxa"/>
            <w:vAlign w:val="center"/>
          </w:tcPr>
          <w:p w14:paraId="2F7EDCD2" w14:textId="77777777" w:rsidR="00295BCD" w:rsidRPr="001927D6" w:rsidRDefault="00295BCD">
            <w:pPr>
              <w:spacing w:after="0" w:line="240" w:lineRule="auto"/>
              <w:jc w:val="center"/>
              <w:textAlignment w:val="baseline"/>
              <w:rPr>
                <w:szCs w:val="24"/>
                <w:lang w:eastAsia="et-EE"/>
              </w:rPr>
            </w:pPr>
            <w:r w:rsidRPr="001927D6">
              <w:rPr>
                <w:color w:val="000000"/>
                <w:szCs w:val="24"/>
              </w:rPr>
              <w:t>2 755,15</w:t>
            </w:r>
          </w:p>
        </w:tc>
      </w:tr>
      <w:tr w:rsidR="00295BCD" w:rsidRPr="001927D6" w14:paraId="7A74DC14" w14:textId="77777777" w:rsidTr="00295BCD">
        <w:trPr>
          <w:divId w:val="1316184749"/>
          <w:trHeight w:val="300"/>
        </w:trPr>
        <w:tc>
          <w:tcPr>
            <w:tcW w:w="4632" w:type="dxa"/>
            <w:vAlign w:val="bottom"/>
            <w:hideMark/>
          </w:tcPr>
          <w:p w14:paraId="2469F4A8" w14:textId="77777777" w:rsidR="00295BCD" w:rsidRPr="001927D6" w:rsidRDefault="00295BCD">
            <w:pPr>
              <w:spacing w:after="0" w:line="240" w:lineRule="auto"/>
              <w:textAlignment w:val="baseline"/>
              <w:rPr>
                <w:szCs w:val="24"/>
                <w:lang w:eastAsia="et-EE"/>
              </w:rPr>
            </w:pPr>
            <w:r w:rsidRPr="001927D6">
              <w:rPr>
                <w:szCs w:val="24"/>
                <w:lang w:eastAsia="et-EE"/>
              </w:rPr>
              <w:t>Vere punalibledega seotud haigused, vanus &gt; 17 </w:t>
            </w:r>
          </w:p>
        </w:tc>
        <w:tc>
          <w:tcPr>
            <w:tcW w:w="732" w:type="dxa"/>
            <w:vAlign w:val="center"/>
            <w:hideMark/>
          </w:tcPr>
          <w:p w14:paraId="0FDB8915" w14:textId="77777777" w:rsidR="00295BCD" w:rsidRPr="001927D6" w:rsidRDefault="00295BCD">
            <w:pPr>
              <w:spacing w:after="0" w:line="240" w:lineRule="auto"/>
              <w:jc w:val="center"/>
              <w:textAlignment w:val="baseline"/>
              <w:rPr>
                <w:szCs w:val="24"/>
                <w:lang w:eastAsia="et-EE"/>
              </w:rPr>
            </w:pPr>
            <w:r w:rsidRPr="001927D6">
              <w:rPr>
                <w:szCs w:val="24"/>
                <w:lang w:eastAsia="et-EE"/>
              </w:rPr>
              <w:t>395 </w:t>
            </w:r>
          </w:p>
        </w:tc>
        <w:tc>
          <w:tcPr>
            <w:tcW w:w="1243" w:type="dxa"/>
            <w:vAlign w:val="center"/>
          </w:tcPr>
          <w:p w14:paraId="74269902" w14:textId="77777777" w:rsidR="00295BCD" w:rsidRPr="001927D6" w:rsidRDefault="00295BCD">
            <w:pPr>
              <w:spacing w:after="0" w:line="240" w:lineRule="auto"/>
              <w:jc w:val="center"/>
              <w:textAlignment w:val="baseline"/>
              <w:rPr>
                <w:szCs w:val="24"/>
                <w:lang w:eastAsia="et-EE"/>
              </w:rPr>
            </w:pPr>
            <w:r w:rsidRPr="001927D6">
              <w:rPr>
                <w:color w:val="000000"/>
                <w:szCs w:val="24"/>
              </w:rPr>
              <w:t>2 763,77</w:t>
            </w:r>
          </w:p>
        </w:tc>
        <w:tc>
          <w:tcPr>
            <w:tcW w:w="1211" w:type="dxa"/>
            <w:vAlign w:val="center"/>
          </w:tcPr>
          <w:p w14:paraId="07C8CC47" w14:textId="77777777" w:rsidR="00295BCD" w:rsidRPr="001927D6" w:rsidRDefault="00295BCD">
            <w:pPr>
              <w:spacing w:after="0" w:line="240" w:lineRule="auto"/>
              <w:jc w:val="center"/>
              <w:textAlignment w:val="baseline"/>
              <w:rPr>
                <w:szCs w:val="24"/>
                <w:lang w:eastAsia="et-EE"/>
              </w:rPr>
            </w:pPr>
            <w:r w:rsidRPr="001927D6">
              <w:rPr>
                <w:color w:val="000000"/>
                <w:szCs w:val="24"/>
              </w:rPr>
              <w:t>734,12</w:t>
            </w:r>
          </w:p>
        </w:tc>
        <w:tc>
          <w:tcPr>
            <w:tcW w:w="1238" w:type="dxa"/>
            <w:vAlign w:val="center"/>
          </w:tcPr>
          <w:p w14:paraId="3D517EA9" w14:textId="77777777" w:rsidR="00295BCD" w:rsidRPr="001927D6" w:rsidRDefault="00295BCD">
            <w:pPr>
              <w:spacing w:after="0" w:line="240" w:lineRule="auto"/>
              <w:jc w:val="center"/>
              <w:textAlignment w:val="baseline"/>
              <w:rPr>
                <w:szCs w:val="24"/>
                <w:lang w:eastAsia="et-EE"/>
              </w:rPr>
            </w:pPr>
            <w:r w:rsidRPr="001927D6">
              <w:rPr>
                <w:color w:val="000000"/>
                <w:szCs w:val="24"/>
              </w:rPr>
              <w:t>5 398,49</w:t>
            </w:r>
          </w:p>
        </w:tc>
      </w:tr>
      <w:tr w:rsidR="00295BCD" w:rsidRPr="001927D6" w14:paraId="4EECC0F3" w14:textId="77777777" w:rsidTr="00295BCD">
        <w:trPr>
          <w:divId w:val="1316184749"/>
          <w:trHeight w:val="300"/>
        </w:trPr>
        <w:tc>
          <w:tcPr>
            <w:tcW w:w="4632" w:type="dxa"/>
            <w:vAlign w:val="bottom"/>
            <w:hideMark/>
          </w:tcPr>
          <w:p w14:paraId="702BDE6E" w14:textId="77777777" w:rsidR="00295BCD" w:rsidRPr="001927D6" w:rsidRDefault="00295BCD">
            <w:pPr>
              <w:spacing w:after="0" w:line="240" w:lineRule="auto"/>
              <w:textAlignment w:val="baseline"/>
              <w:rPr>
                <w:szCs w:val="24"/>
                <w:lang w:eastAsia="et-EE"/>
              </w:rPr>
            </w:pPr>
            <w:r w:rsidRPr="001927D6">
              <w:rPr>
                <w:szCs w:val="24"/>
                <w:lang w:eastAsia="et-EE"/>
              </w:rPr>
              <w:t>Vere punalibledega seotud haigused, vanus 0–17 </w:t>
            </w:r>
          </w:p>
        </w:tc>
        <w:tc>
          <w:tcPr>
            <w:tcW w:w="732" w:type="dxa"/>
            <w:vAlign w:val="center"/>
            <w:hideMark/>
          </w:tcPr>
          <w:p w14:paraId="5E0102D7" w14:textId="77777777" w:rsidR="00295BCD" w:rsidRPr="001927D6" w:rsidRDefault="00295BCD">
            <w:pPr>
              <w:spacing w:after="0" w:line="240" w:lineRule="auto"/>
              <w:jc w:val="center"/>
              <w:textAlignment w:val="baseline"/>
              <w:rPr>
                <w:szCs w:val="24"/>
                <w:lang w:eastAsia="et-EE"/>
              </w:rPr>
            </w:pPr>
            <w:r w:rsidRPr="001927D6">
              <w:rPr>
                <w:szCs w:val="24"/>
                <w:lang w:eastAsia="et-EE"/>
              </w:rPr>
              <w:t>396 </w:t>
            </w:r>
          </w:p>
        </w:tc>
        <w:tc>
          <w:tcPr>
            <w:tcW w:w="1243" w:type="dxa"/>
            <w:vAlign w:val="center"/>
          </w:tcPr>
          <w:p w14:paraId="67D6ED10" w14:textId="77777777" w:rsidR="00295BCD" w:rsidRPr="001927D6" w:rsidRDefault="00295BCD">
            <w:pPr>
              <w:spacing w:after="0" w:line="240" w:lineRule="auto"/>
              <w:jc w:val="center"/>
              <w:textAlignment w:val="baseline"/>
              <w:rPr>
                <w:szCs w:val="24"/>
                <w:lang w:eastAsia="et-EE"/>
              </w:rPr>
            </w:pPr>
            <w:r w:rsidRPr="001927D6">
              <w:rPr>
                <w:color w:val="000000"/>
                <w:szCs w:val="24"/>
              </w:rPr>
              <w:t>946,17</w:t>
            </w:r>
          </w:p>
        </w:tc>
        <w:tc>
          <w:tcPr>
            <w:tcW w:w="1211" w:type="dxa"/>
            <w:vAlign w:val="center"/>
          </w:tcPr>
          <w:p w14:paraId="3B515B6D" w14:textId="77777777" w:rsidR="00295BCD" w:rsidRPr="001927D6" w:rsidRDefault="00295BCD">
            <w:pPr>
              <w:spacing w:after="0" w:line="240" w:lineRule="auto"/>
              <w:jc w:val="center"/>
              <w:textAlignment w:val="baseline"/>
              <w:rPr>
                <w:szCs w:val="24"/>
                <w:lang w:eastAsia="et-EE"/>
              </w:rPr>
            </w:pPr>
            <w:r w:rsidRPr="001927D6">
              <w:rPr>
                <w:color w:val="000000"/>
                <w:szCs w:val="24"/>
              </w:rPr>
              <w:t>219,79</w:t>
            </w:r>
          </w:p>
        </w:tc>
        <w:tc>
          <w:tcPr>
            <w:tcW w:w="1238" w:type="dxa"/>
            <w:vAlign w:val="center"/>
          </w:tcPr>
          <w:p w14:paraId="3B2D2B8E" w14:textId="77777777" w:rsidR="00295BCD" w:rsidRPr="001927D6" w:rsidRDefault="00295BCD">
            <w:pPr>
              <w:spacing w:after="0" w:line="240" w:lineRule="auto"/>
              <w:jc w:val="center"/>
              <w:textAlignment w:val="baseline"/>
              <w:rPr>
                <w:szCs w:val="24"/>
                <w:lang w:eastAsia="et-EE"/>
              </w:rPr>
            </w:pPr>
            <w:r w:rsidRPr="001927D6">
              <w:rPr>
                <w:color w:val="000000"/>
                <w:szCs w:val="24"/>
              </w:rPr>
              <w:t>3 236,18</w:t>
            </w:r>
          </w:p>
        </w:tc>
      </w:tr>
      <w:tr w:rsidR="00295BCD" w:rsidRPr="001927D6" w14:paraId="6F7CA40B" w14:textId="77777777" w:rsidTr="00295BCD">
        <w:trPr>
          <w:divId w:val="1316184749"/>
          <w:trHeight w:val="300"/>
        </w:trPr>
        <w:tc>
          <w:tcPr>
            <w:tcW w:w="4632" w:type="dxa"/>
            <w:vAlign w:val="bottom"/>
            <w:hideMark/>
          </w:tcPr>
          <w:p w14:paraId="6BB3065D" w14:textId="77777777" w:rsidR="00295BCD" w:rsidRPr="001927D6" w:rsidRDefault="00295BCD">
            <w:pPr>
              <w:spacing w:after="0" w:line="240" w:lineRule="auto"/>
              <w:textAlignment w:val="baseline"/>
              <w:rPr>
                <w:szCs w:val="24"/>
                <w:lang w:eastAsia="et-EE"/>
              </w:rPr>
            </w:pPr>
            <w:r w:rsidRPr="001927D6">
              <w:rPr>
                <w:szCs w:val="24"/>
                <w:lang w:eastAsia="et-EE"/>
              </w:rPr>
              <w:t>Hüübivushäired </w:t>
            </w:r>
          </w:p>
        </w:tc>
        <w:tc>
          <w:tcPr>
            <w:tcW w:w="732" w:type="dxa"/>
            <w:vAlign w:val="center"/>
            <w:hideMark/>
          </w:tcPr>
          <w:p w14:paraId="4E0800B1" w14:textId="77777777" w:rsidR="00295BCD" w:rsidRPr="001927D6" w:rsidRDefault="00295BCD">
            <w:pPr>
              <w:spacing w:after="0" w:line="240" w:lineRule="auto"/>
              <w:jc w:val="center"/>
              <w:textAlignment w:val="baseline"/>
              <w:rPr>
                <w:szCs w:val="24"/>
                <w:lang w:eastAsia="et-EE"/>
              </w:rPr>
            </w:pPr>
            <w:r w:rsidRPr="001927D6">
              <w:rPr>
                <w:szCs w:val="24"/>
                <w:lang w:eastAsia="et-EE"/>
              </w:rPr>
              <w:t>397 </w:t>
            </w:r>
          </w:p>
        </w:tc>
        <w:tc>
          <w:tcPr>
            <w:tcW w:w="1243" w:type="dxa"/>
            <w:vAlign w:val="center"/>
          </w:tcPr>
          <w:p w14:paraId="240F5727" w14:textId="77777777" w:rsidR="00295BCD" w:rsidRPr="001927D6" w:rsidRDefault="00295BCD">
            <w:pPr>
              <w:spacing w:after="0" w:line="240" w:lineRule="auto"/>
              <w:jc w:val="center"/>
              <w:textAlignment w:val="baseline"/>
              <w:rPr>
                <w:szCs w:val="24"/>
                <w:lang w:eastAsia="et-EE"/>
              </w:rPr>
            </w:pPr>
            <w:r w:rsidRPr="001927D6">
              <w:rPr>
                <w:color w:val="000000"/>
                <w:szCs w:val="24"/>
              </w:rPr>
              <w:t>3 406,47</w:t>
            </w:r>
          </w:p>
        </w:tc>
        <w:tc>
          <w:tcPr>
            <w:tcW w:w="1211" w:type="dxa"/>
            <w:vAlign w:val="center"/>
          </w:tcPr>
          <w:p w14:paraId="7B8F2644" w14:textId="77777777" w:rsidR="00295BCD" w:rsidRPr="001927D6" w:rsidRDefault="00295BCD">
            <w:pPr>
              <w:spacing w:after="0" w:line="240" w:lineRule="auto"/>
              <w:jc w:val="center"/>
              <w:textAlignment w:val="baseline"/>
              <w:rPr>
                <w:szCs w:val="24"/>
                <w:lang w:eastAsia="et-EE"/>
              </w:rPr>
            </w:pPr>
            <w:r w:rsidRPr="001927D6">
              <w:rPr>
                <w:color w:val="000000"/>
                <w:szCs w:val="24"/>
              </w:rPr>
              <w:t>568,05</w:t>
            </w:r>
          </w:p>
        </w:tc>
        <w:tc>
          <w:tcPr>
            <w:tcW w:w="1238" w:type="dxa"/>
            <w:vAlign w:val="center"/>
          </w:tcPr>
          <w:p w14:paraId="3DBBFA43" w14:textId="77777777" w:rsidR="00295BCD" w:rsidRPr="001927D6" w:rsidRDefault="00295BCD">
            <w:pPr>
              <w:spacing w:after="0" w:line="240" w:lineRule="auto"/>
              <w:jc w:val="center"/>
              <w:textAlignment w:val="baseline"/>
              <w:rPr>
                <w:szCs w:val="24"/>
                <w:lang w:eastAsia="et-EE"/>
              </w:rPr>
            </w:pPr>
            <w:r w:rsidRPr="001927D6">
              <w:rPr>
                <w:color w:val="000000"/>
                <w:szCs w:val="24"/>
              </w:rPr>
              <w:t>10 056,31</w:t>
            </w:r>
          </w:p>
        </w:tc>
      </w:tr>
      <w:tr w:rsidR="00295BCD" w:rsidRPr="001927D6" w14:paraId="574E8D5C" w14:textId="77777777" w:rsidTr="00295BCD">
        <w:trPr>
          <w:divId w:val="1316184749"/>
          <w:trHeight w:val="300"/>
        </w:trPr>
        <w:tc>
          <w:tcPr>
            <w:tcW w:w="4632" w:type="dxa"/>
            <w:vAlign w:val="bottom"/>
            <w:hideMark/>
          </w:tcPr>
          <w:p w14:paraId="1BAE33AF" w14:textId="77777777" w:rsidR="00295BCD" w:rsidRPr="001927D6" w:rsidRDefault="00295BCD">
            <w:pPr>
              <w:spacing w:after="0" w:line="240" w:lineRule="auto"/>
              <w:textAlignment w:val="baseline"/>
              <w:rPr>
                <w:szCs w:val="24"/>
                <w:lang w:eastAsia="et-EE"/>
              </w:rPr>
            </w:pPr>
            <w:r w:rsidRPr="001927D6">
              <w:rPr>
                <w:szCs w:val="24"/>
                <w:lang w:eastAsia="et-EE"/>
              </w:rPr>
              <w:t>Retikuloendoteliaalsüsteemi ja immuunmehhanismidega seotud haigused, kht-ga </w:t>
            </w:r>
          </w:p>
        </w:tc>
        <w:tc>
          <w:tcPr>
            <w:tcW w:w="732" w:type="dxa"/>
            <w:vAlign w:val="center"/>
            <w:hideMark/>
          </w:tcPr>
          <w:p w14:paraId="05017374" w14:textId="77777777" w:rsidR="00295BCD" w:rsidRPr="001927D6" w:rsidRDefault="00295BCD">
            <w:pPr>
              <w:spacing w:after="0" w:line="240" w:lineRule="auto"/>
              <w:jc w:val="center"/>
              <w:textAlignment w:val="baseline"/>
              <w:rPr>
                <w:szCs w:val="24"/>
                <w:lang w:eastAsia="et-EE"/>
              </w:rPr>
            </w:pPr>
            <w:r w:rsidRPr="001927D6">
              <w:rPr>
                <w:szCs w:val="24"/>
                <w:lang w:eastAsia="et-EE"/>
              </w:rPr>
              <w:t>398 </w:t>
            </w:r>
          </w:p>
        </w:tc>
        <w:tc>
          <w:tcPr>
            <w:tcW w:w="1243" w:type="dxa"/>
            <w:vAlign w:val="center"/>
          </w:tcPr>
          <w:p w14:paraId="23B6E96E" w14:textId="77777777" w:rsidR="00295BCD" w:rsidRPr="001927D6" w:rsidRDefault="00295BCD">
            <w:pPr>
              <w:spacing w:after="0" w:line="240" w:lineRule="auto"/>
              <w:jc w:val="center"/>
              <w:textAlignment w:val="baseline"/>
              <w:rPr>
                <w:szCs w:val="24"/>
                <w:lang w:eastAsia="et-EE"/>
              </w:rPr>
            </w:pPr>
            <w:r w:rsidRPr="001927D6">
              <w:rPr>
                <w:color w:val="000000"/>
                <w:szCs w:val="24"/>
              </w:rPr>
              <w:t>2 677,62</w:t>
            </w:r>
          </w:p>
        </w:tc>
        <w:tc>
          <w:tcPr>
            <w:tcW w:w="1211" w:type="dxa"/>
            <w:vAlign w:val="center"/>
          </w:tcPr>
          <w:p w14:paraId="3B25F4F5" w14:textId="77777777" w:rsidR="00295BCD" w:rsidRPr="001927D6" w:rsidRDefault="00295BCD">
            <w:pPr>
              <w:spacing w:after="0" w:line="240" w:lineRule="auto"/>
              <w:jc w:val="center"/>
              <w:textAlignment w:val="baseline"/>
              <w:rPr>
                <w:szCs w:val="24"/>
                <w:lang w:eastAsia="et-EE"/>
              </w:rPr>
            </w:pPr>
            <w:r w:rsidRPr="001927D6">
              <w:rPr>
                <w:color w:val="000000"/>
                <w:szCs w:val="24"/>
              </w:rPr>
              <w:t>785,68</w:t>
            </w:r>
          </w:p>
        </w:tc>
        <w:tc>
          <w:tcPr>
            <w:tcW w:w="1238" w:type="dxa"/>
            <w:vAlign w:val="center"/>
          </w:tcPr>
          <w:p w14:paraId="3A33263C" w14:textId="77777777" w:rsidR="00295BCD" w:rsidRPr="001927D6" w:rsidRDefault="00295BCD">
            <w:pPr>
              <w:spacing w:after="0" w:line="240" w:lineRule="auto"/>
              <w:jc w:val="center"/>
              <w:textAlignment w:val="baseline"/>
              <w:rPr>
                <w:szCs w:val="24"/>
                <w:lang w:eastAsia="et-EE"/>
              </w:rPr>
            </w:pPr>
            <w:r w:rsidRPr="001927D6">
              <w:rPr>
                <w:color w:val="000000"/>
                <w:szCs w:val="24"/>
              </w:rPr>
              <w:t>6 157,87</w:t>
            </w:r>
          </w:p>
        </w:tc>
      </w:tr>
      <w:tr w:rsidR="00295BCD" w:rsidRPr="001927D6" w14:paraId="47CDC366" w14:textId="77777777" w:rsidTr="00295BCD">
        <w:trPr>
          <w:divId w:val="1316184749"/>
          <w:trHeight w:val="300"/>
        </w:trPr>
        <w:tc>
          <w:tcPr>
            <w:tcW w:w="4632" w:type="dxa"/>
            <w:vAlign w:val="bottom"/>
            <w:hideMark/>
          </w:tcPr>
          <w:p w14:paraId="7B91D9C9" w14:textId="77777777" w:rsidR="00295BCD" w:rsidRPr="001927D6" w:rsidRDefault="00295BCD">
            <w:pPr>
              <w:spacing w:after="0" w:line="240" w:lineRule="auto"/>
              <w:textAlignment w:val="baseline"/>
              <w:rPr>
                <w:szCs w:val="24"/>
                <w:lang w:eastAsia="et-EE"/>
              </w:rPr>
            </w:pPr>
            <w:r w:rsidRPr="001927D6">
              <w:rPr>
                <w:szCs w:val="24"/>
                <w:lang w:eastAsia="et-EE"/>
              </w:rPr>
              <w:t>Retikuloendoteliaalsüsteemi ja immuunmehhanismidega seotud haigused, kht-ta </w:t>
            </w:r>
          </w:p>
        </w:tc>
        <w:tc>
          <w:tcPr>
            <w:tcW w:w="732" w:type="dxa"/>
            <w:vAlign w:val="center"/>
            <w:hideMark/>
          </w:tcPr>
          <w:p w14:paraId="255CEC48" w14:textId="77777777" w:rsidR="00295BCD" w:rsidRPr="001927D6" w:rsidRDefault="00295BCD">
            <w:pPr>
              <w:spacing w:after="0" w:line="240" w:lineRule="auto"/>
              <w:jc w:val="center"/>
              <w:textAlignment w:val="baseline"/>
              <w:rPr>
                <w:szCs w:val="24"/>
                <w:lang w:eastAsia="et-EE"/>
              </w:rPr>
            </w:pPr>
            <w:r w:rsidRPr="001927D6">
              <w:rPr>
                <w:szCs w:val="24"/>
                <w:lang w:eastAsia="et-EE"/>
              </w:rPr>
              <w:t>399 </w:t>
            </w:r>
          </w:p>
        </w:tc>
        <w:tc>
          <w:tcPr>
            <w:tcW w:w="1243" w:type="dxa"/>
            <w:vAlign w:val="center"/>
          </w:tcPr>
          <w:p w14:paraId="78E14E29" w14:textId="77777777" w:rsidR="00295BCD" w:rsidRPr="001927D6" w:rsidRDefault="00295BCD">
            <w:pPr>
              <w:spacing w:after="0" w:line="240" w:lineRule="auto"/>
              <w:jc w:val="center"/>
              <w:textAlignment w:val="baseline"/>
              <w:rPr>
                <w:szCs w:val="24"/>
                <w:lang w:eastAsia="et-EE"/>
              </w:rPr>
            </w:pPr>
            <w:r w:rsidRPr="001927D6">
              <w:rPr>
                <w:color w:val="000000"/>
                <w:szCs w:val="24"/>
              </w:rPr>
              <w:t>1 844,74</w:t>
            </w:r>
          </w:p>
        </w:tc>
        <w:tc>
          <w:tcPr>
            <w:tcW w:w="1211" w:type="dxa"/>
            <w:vAlign w:val="center"/>
          </w:tcPr>
          <w:p w14:paraId="76806A16" w14:textId="77777777" w:rsidR="00295BCD" w:rsidRPr="001927D6" w:rsidRDefault="00295BCD">
            <w:pPr>
              <w:spacing w:after="0" w:line="240" w:lineRule="auto"/>
              <w:jc w:val="center"/>
              <w:textAlignment w:val="baseline"/>
              <w:rPr>
                <w:szCs w:val="24"/>
                <w:lang w:eastAsia="et-EE"/>
              </w:rPr>
            </w:pPr>
            <w:r w:rsidRPr="001927D6">
              <w:rPr>
                <w:color w:val="000000"/>
                <w:szCs w:val="24"/>
              </w:rPr>
              <w:t>469,46</w:t>
            </w:r>
          </w:p>
        </w:tc>
        <w:tc>
          <w:tcPr>
            <w:tcW w:w="1238" w:type="dxa"/>
            <w:vAlign w:val="center"/>
          </w:tcPr>
          <w:p w14:paraId="3772BD1D" w14:textId="77777777" w:rsidR="00295BCD" w:rsidRPr="001927D6" w:rsidRDefault="00295BCD">
            <w:pPr>
              <w:spacing w:after="0" w:line="240" w:lineRule="auto"/>
              <w:jc w:val="center"/>
              <w:textAlignment w:val="baseline"/>
              <w:rPr>
                <w:szCs w:val="24"/>
                <w:lang w:eastAsia="et-EE"/>
              </w:rPr>
            </w:pPr>
            <w:r w:rsidRPr="001927D6">
              <w:rPr>
                <w:color w:val="000000"/>
                <w:szCs w:val="24"/>
              </w:rPr>
              <w:t>4 425,09</w:t>
            </w:r>
          </w:p>
        </w:tc>
      </w:tr>
      <w:tr w:rsidR="00295BCD" w:rsidRPr="001927D6" w14:paraId="101B4333" w14:textId="77777777" w:rsidTr="00295BCD">
        <w:trPr>
          <w:divId w:val="1316184749"/>
          <w:trHeight w:val="300"/>
        </w:trPr>
        <w:tc>
          <w:tcPr>
            <w:tcW w:w="4632" w:type="dxa"/>
            <w:vAlign w:val="bottom"/>
            <w:hideMark/>
          </w:tcPr>
          <w:p w14:paraId="3BCDECEF" w14:textId="77777777" w:rsidR="00295BCD" w:rsidRPr="001927D6" w:rsidRDefault="00295BCD">
            <w:pPr>
              <w:spacing w:after="0" w:line="240" w:lineRule="auto"/>
              <w:textAlignment w:val="baseline"/>
              <w:rPr>
                <w:szCs w:val="24"/>
                <w:lang w:eastAsia="et-EE"/>
              </w:rPr>
            </w:pPr>
            <w:r w:rsidRPr="001927D6">
              <w:rPr>
                <w:szCs w:val="24"/>
                <w:lang w:eastAsia="et-EE"/>
              </w:rPr>
              <w:t>Lümfoom ja leukeemia koos nende korral tehtavate suurte operatsioonidega </w:t>
            </w:r>
          </w:p>
        </w:tc>
        <w:tc>
          <w:tcPr>
            <w:tcW w:w="732" w:type="dxa"/>
            <w:vAlign w:val="center"/>
            <w:hideMark/>
          </w:tcPr>
          <w:p w14:paraId="66074E3C" w14:textId="77777777" w:rsidR="00295BCD" w:rsidRPr="001927D6" w:rsidRDefault="00295BCD">
            <w:pPr>
              <w:spacing w:after="0" w:line="240" w:lineRule="auto"/>
              <w:jc w:val="center"/>
              <w:textAlignment w:val="baseline"/>
              <w:rPr>
                <w:szCs w:val="24"/>
                <w:lang w:eastAsia="et-EE"/>
              </w:rPr>
            </w:pPr>
            <w:r w:rsidRPr="001927D6">
              <w:rPr>
                <w:szCs w:val="24"/>
                <w:lang w:eastAsia="et-EE"/>
              </w:rPr>
              <w:t>400 </w:t>
            </w:r>
          </w:p>
        </w:tc>
        <w:tc>
          <w:tcPr>
            <w:tcW w:w="1243" w:type="dxa"/>
            <w:vAlign w:val="center"/>
          </w:tcPr>
          <w:p w14:paraId="41514397" w14:textId="77777777" w:rsidR="00295BCD" w:rsidRPr="001927D6" w:rsidRDefault="00295BCD">
            <w:pPr>
              <w:spacing w:after="0" w:line="240" w:lineRule="auto"/>
              <w:jc w:val="center"/>
              <w:textAlignment w:val="baseline"/>
              <w:rPr>
                <w:szCs w:val="24"/>
                <w:lang w:eastAsia="et-EE"/>
              </w:rPr>
            </w:pPr>
            <w:r w:rsidRPr="001927D6">
              <w:rPr>
                <w:color w:val="000000"/>
                <w:szCs w:val="24"/>
              </w:rPr>
              <w:t>6 245,16</w:t>
            </w:r>
          </w:p>
        </w:tc>
        <w:tc>
          <w:tcPr>
            <w:tcW w:w="1211" w:type="dxa"/>
            <w:vAlign w:val="center"/>
          </w:tcPr>
          <w:p w14:paraId="659AD1FE" w14:textId="77777777" w:rsidR="00295BCD" w:rsidRPr="001927D6" w:rsidRDefault="00295BCD">
            <w:pPr>
              <w:spacing w:after="0" w:line="240" w:lineRule="auto"/>
              <w:jc w:val="center"/>
              <w:textAlignment w:val="baseline"/>
              <w:rPr>
                <w:szCs w:val="24"/>
                <w:lang w:eastAsia="et-EE"/>
              </w:rPr>
            </w:pPr>
            <w:r w:rsidRPr="001927D6">
              <w:rPr>
                <w:color w:val="000000"/>
                <w:szCs w:val="24"/>
              </w:rPr>
              <w:t>2 200,38</w:t>
            </w:r>
          </w:p>
        </w:tc>
        <w:tc>
          <w:tcPr>
            <w:tcW w:w="1238" w:type="dxa"/>
            <w:vAlign w:val="center"/>
          </w:tcPr>
          <w:p w14:paraId="7F76EAD1" w14:textId="77777777" w:rsidR="00295BCD" w:rsidRPr="001927D6" w:rsidRDefault="00295BCD">
            <w:pPr>
              <w:spacing w:after="0" w:line="240" w:lineRule="auto"/>
              <w:jc w:val="center"/>
              <w:textAlignment w:val="baseline"/>
              <w:rPr>
                <w:szCs w:val="24"/>
                <w:lang w:eastAsia="et-EE"/>
              </w:rPr>
            </w:pPr>
            <w:r w:rsidRPr="001927D6">
              <w:rPr>
                <w:color w:val="000000"/>
                <w:szCs w:val="24"/>
              </w:rPr>
              <w:t>16 195,44</w:t>
            </w:r>
          </w:p>
        </w:tc>
      </w:tr>
      <w:tr w:rsidR="00295BCD" w:rsidRPr="001927D6" w14:paraId="7C27F8BC" w14:textId="77777777" w:rsidTr="00295BCD">
        <w:trPr>
          <w:divId w:val="1316184749"/>
          <w:trHeight w:val="300"/>
        </w:trPr>
        <w:tc>
          <w:tcPr>
            <w:tcW w:w="4632" w:type="dxa"/>
            <w:vAlign w:val="bottom"/>
            <w:hideMark/>
          </w:tcPr>
          <w:p w14:paraId="00EDA4F8" w14:textId="77777777" w:rsidR="00295BCD" w:rsidRPr="001927D6" w:rsidRDefault="00295BCD">
            <w:pPr>
              <w:spacing w:after="0" w:line="240" w:lineRule="auto"/>
              <w:textAlignment w:val="baseline"/>
              <w:rPr>
                <w:szCs w:val="24"/>
                <w:lang w:eastAsia="et-EE"/>
              </w:rPr>
            </w:pPr>
            <w:r w:rsidRPr="001927D6">
              <w:rPr>
                <w:szCs w:val="24"/>
                <w:lang w:eastAsia="et-EE"/>
              </w:rPr>
              <w:t>Lümfoom ja krooniline leukeemia koos nende korral tehtavate muude operatsioonidega, kht-ga </w:t>
            </w:r>
          </w:p>
        </w:tc>
        <w:tc>
          <w:tcPr>
            <w:tcW w:w="732" w:type="dxa"/>
            <w:vAlign w:val="center"/>
            <w:hideMark/>
          </w:tcPr>
          <w:p w14:paraId="37DE5C5E" w14:textId="77777777" w:rsidR="00295BCD" w:rsidRPr="001927D6" w:rsidRDefault="00295BCD">
            <w:pPr>
              <w:spacing w:after="0" w:line="240" w:lineRule="auto"/>
              <w:jc w:val="center"/>
              <w:textAlignment w:val="baseline"/>
              <w:rPr>
                <w:szCs w:val="24"/>
                <w:lang w:eastAsia="et-EE"/>
              </w:rPr>
            </w:pPr>
            <w:r w:rsidRPr="001927D6">
              <w:rPr>
                <w:szCs w:val="24"/>
                <w:lang w:eastAsia="et-EE"/>
              </w:rPr>
              <w:t>401 </w:t>
            </w:r>
          </w:p>
        </w:tc>
        <w:tc>
          <w:tcPr>
            <w:tcW w:w="1243" w:type="dxa"/>
            <w:vAlign w:val="center"/>
          </w:tcPr>
          <w:p w14:paraId="688A444F" w14:textId="77777777" w:rsidR="00295BCD" w:rsidRPr="001927D6" w:rsidRDefault="00295BCD">
            <w:pPr>
              <w:spacing w:after="0" w:line="240" w:lineRule="auto"/>
              <w:jc w:val="center"/>
              <w:textAlignment w:val="baseline"/>
              <w:rPr>
                <w:szCs w:val="24"/>
                <w:lang w:eastAsia="et-EE"/>
              </w:rPr>
            </w:pPr>
            <w:r w:rsidRPr="001927D6">
              <w:rPr>
                <w:color w:val="000000"/>
                <w:szCs w:val="24"/>
              </w:rPr>
              <w:t>6 032,83</w:t>
            </w:r>
          </w:p>
        </w:tc>
        <w:tc>
          <w:tcPr>
            <w:tcW w:w="1211" w:type="dxa"/>
            <w:vAlign w:val="center"/>
          </w:tcPr>
          <w:p w14:paraId="1B6B7EEA" w14:textId="77777777" w:rsidR="00295BCD" w:rsidRPr="001927D6" w:rsidRDefault="00295BCD">
            <w:pPr>
              <w:spacing w:after="0" w:line="240" w:lineRule="auto"/>
              <w:jc w:val="center"/>
              <w:textAlignment w:val="baseline"/>
              <w:rPr>
                <w:szCs w:val="24"/>
                <w:lang w:eastAsia="et-EE"/>
              </w:rPr>
            </w:pPr>
            <w:r w:rsidRPr="001927D6">
              <w:rPr>
                <w:color w:val="000000"/>
                <w:szCs w:val="24"/>
              </w:rPr>
              <w:t>1 805,00</w:t>
            </w:r>
          </w:p>
        </w:tc>
        <w:tc>
          <w:tcPr>
            <w:tcW w:w="1238" w:type="dxa"/>
            <w:vAlign w:val="center"/>
          </w:tcPr>
          <w:p w14:paraId="05F0A649" w14:textId="77777777" w:rsidR="00295BCD" w:rsidRPr="001927D6" w:rsidRDefault="00295BCD">
            <w:pPr>
              <w:spacing w:after="0" w:line="240" w:lineRule="auto"/>
              <w:jc w:val="center"/>
              <w:textAlignment w:val="baseline"/>
              <w:rPr>
                <w:szCs w:val="24"/>
                <w:lang w:eastAsia="et-EE"/>
              </w:rPr>
            </w:pPr>
            <w:r w:rsidRPr="001927D6">
              <w:rPr>
                <w:color w:val="000000"/>
                <w:szCs w:val="24"/>
              </w:rPr>
              <w:t>18 858,68</w:t>
            </w:r>
          </w:p>
        </w:tc>
      </w:tr>
      <w:tr w:rsidR="00295BCD" w:rsidRPr="001927D6" w14:paraId="731F680C" w14:textId="77777777" w:rsidTr="00295BCD">
        <w:trPr>
          <w:divId w:val="1316184749"/>
          <w:trHeight w:val="300"/>
        </w:trPr>
        <w:tc>
          <w:tcPr>
            <w:tcW w:w="4632" w:type="dxa"/>
            <w:vAlign w:val="bottom"/>
            <w:hideMark/>
          </w:tcPr>
          <w:p w14:paraId="247E49AC" w14:textId="77777777" w:rsidR="00295BCD" w:rsidRPr="001927D6" w:rsidRDefault="00295BCD">
            <w:pPr>
              <w:spacing w:after="0" w:line="240" w:lineRule="auto"/>
              <w:textAlignment w:val="baseline"/>
              <w:rPr>
                <w:szCs w:val="24"/>
                <w:lang w:eastAsia="et-EE"/>
              </w:rPr>
            </w:pPr>
            <w:r w:rsidRPr="001927D6">
              <w:rPr>
                <w:szCs w:val="24"/>
                <w:lang w:eastAsia="et-EE"/>
              </w:rPr>
              <w:t>Lümfoom ja krooniline leukeemia koos nende korral tehtavate muude operatsioonidega, kht-ta </w:t>
            </w:r>
          </w:p>
        </w:tc>
        <w:tc>
          <w:tcPr>
            <w:tcW w:w="732" w:type="dxa"/>
            <w:vAlign w:val="center"/>
            <w:hideMark/>
          </w:tcPr>
          <w:p w14:paraId="1BDD0B40" w14:textId="77777777" w:rsidR="00295BCD" w:rsidRPr="001927D6" w:rsidRDefault="00295BCD">
            <w:pPr>
              <w:spacing w:after="0" w:line="240" w:lineRule="auto"/>
              <w:jc w:val="center"/>
              <w:textAlignment w:val="baseline"/>
              <w:rPr>
                <w:szCs w:val="24"/>
                <w:lang w:eastAsia="et-EE"/>
              </w:rPr>
            </w:pPr>
            <w:r w:rsidRPr="001927D6">
              <w:rPr>
                <w:szCs w:val="24"/>
                <w:lang w:eastAsia="et-EE"/>
              </w:rPr>
              <w:t>402 </w:t>
            </w:r>
          </w:p>
        </w:tc>
        <w:tc>
          <w:tcPr>
            <w:tcW w:w="1243" w:type="dxa"/>
            <w:vAlign w:val="center"/>
          </w:tcPr>
          <w:p w14:paraId="0A055FD5" w14:textId="77777777" w:rsidR="00295BCD" w:rsidRPr="001927D6" w:rsidRDefault="00295BCD">
            <w:pPr>
              <w:spacing w:after="0" w:line="240" w:lineRule="auto"/>
              <w:jc w:val="center"/>
              <w:textAlignment w:val="baseline"/>
              <w:rPr>
                <w:szCs w:val="24"/>
                <w:lang w:eastAsia="et-EE"/>
              </w:rPr>
            </w:pPr>
            <w:r w:rsidRPr="001927D6">
              <w:rPr>
                <w:color w:val="000000"/>
                <w:szCs w:val="24"/>
              </w:rPr>
              <w:t>3 004,41</w:t>
            </w:r>
          </w:p>
        </w:tc>
        <w:tc>
          <w:tcPr>
            <w:tcW w:w="1211" w:type="dxa"/>
            <w:vAlign w:val="center"/>
          </w:tcPr>
          <w:p w14:paraId="0B3A3018" w14:textId="77777777" w:rsidR="00295BCD" w:rsidRPr="001927D6" w:rsidRDefault="00295BCD">
            <w:pPr>
              <w:spacing w:after="0" w:line="240" w:lineRule="auto"/>
              <w:jc w:val="center"/>
              <w:textAlignment w:val="baseline"/>
              <w:rPr>
                <w:szCs w:val="24"/>
                <w:lang w:eastAsia="et-EE"/>
              </w:rPr>
            </w:pPr>
            <w:r w:rsidRPr="001927D6">
              <w:rPr>
                <w:color w:val="000000"/>
                <w:szCs w:val="24"/>
              </w:rPr>
              <w:t>1 629,79</w:t>
            </w:r>
          </w:p>
        </w:tc>
        <w:tc>
          <w:tcPr>
            <w:tcW w:w="1238" w:type="dxa"/>
            <w:vAlign w:val="center"/>
          </w:tcPr>
          <w:p w14:paraId="5253C7A8" w14:textId="77777777" w:rsidR="00295BCD" w:rsidRPr="001927D6" w:rsidRDefault="00295BCD">
            <w:pPr>
              <w:spacing w:after="0" w:line="240" w:lineRule="auto"/>
              <w:jc w:val="center"/>
              <w:textAlignment w:val="baseline"/>
              <w:rPr>
                <w:szCs w:val="24"/>
                <w:lang w:eastAsia="et-EE"/>
              </w:rPr>
            </w:pPr>
            <w:r w:rsidRPr="001927D6">
              <w:rPr>
                <w:color w:val="000000"/>
                <w:szCs w:val="24"/>
              </w:rPr>
              <w:t>5 604,84</w:t>
            </w:r>
          </w:p>
        </w:tc>
      </w:tr>
      <w:tr w:rsidR="00295BCD" w:rsidRPr="001927D6" w14:paraId="7682137A" w14:textId="77777777" w:rsidTr="00295BCD">
        <w:trPr>
          <w:divId w:val="1316184749"/>
          <w:trHeight w:val="300"/>
        </w:trPr>
        <w:tc>
          <w:tcPr>
            <w:tcW w:w="4632" w:type="dxa"/>
            <w:vAlign w:val="bottom"/>
            <w:hideMark/>
          </w:tcPr>
          <w:p w14:paraId="16E78368"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Lümfoom ja krooniline leukeemia koos nende korral tehtavate muude operatsioonidega, lühike ravi </w:t>
            </w:r>
          </w:p>
        </w:tc>
        <w:tc>
          <w:tcPr>
            <w:tcW w:w="732" w:type="dxa"/>
            <w:vAlign w:val="center"/>
            <w:hideMark/>
          </w:tcPr>
          <w:p w14:paraId="4AA8E7C0" w14:textId="77777777" w:rsidR="00295BCD" w:rsidRPr="001927D6" w:rsidRDefault="00295BCD">
            <w:pPr>
              <w:spacing w:after="0" w:line="240" w:lineRule="auto"/>
              <w:jc w:val="center"/>
              <w:textAlignment w:val="baseline"/>
              <w:rPr>
                <w:szCs w:val="24"/>
                <w:lang w:eastAsia="et-EE"/>
              </w:rPr>
            </w:pPr>
            <w:r w:rsidRPr="001927D6">
              <w:rPr>
                <w:szCs w:val="24"/>
                <w:lang w:eastAsia="et-EE"/>
              </w:rPr>
              <w:t>402O </w:t>
            </w:r>
          </w:p>
        </w:tc>
        <w:tc>
          <w:tcPr>
            <w:tcW w:w="1243" w:type="dxa"/>
            <w:vAlign w:val="center"/>
          </w:tcPr>
          <w:p w14:paraId="4CCF88B7" w14:textId="77777777" w:rsidR="00295BCD" w:rsidRPr="001927D6" w:rsidRDefault="00295BCD">
            <w:pPr>
              <w:spacing w:after="0" w:line="240" w:lineRule="auto"/>
              <w:jc w:val="center"/>
              <w:textAlignment w:val="baseline"/>
              <w:rPr>
                <w:szCs w:val="24"/>
                <w:lang w:eastAsia="et-EE"/>
              </w:rPr>
            </w:pPr>
            <w:r w:rsidRPr="001927D6">
              <w:rPr>
                <w:color w:val="000000"/>
                <w:szCs w:val="24"/>
              </w:rPr>
              <w:t>2 166,73</w:t>
            </w:r>
          </w:p>
        </w:tc>
        <w:tc>
          <w:tcPr>
            <w:tcW w:w="1211" w:type="dxa"/>
            <w:vAlign w:val="center"/>
          </w:tcPr>
          <w:p w14:paraId="50BCB7C2" w14:textId="77777777" w:rsidR="00295BCD" w:rsidRPr="001927D6" w:rsidRDefault="00295BCD">
            <w:pPr>
              <w:spacing w:after="0" w:line="240" w:lineRule="auto"/>
              <w:jc w:val="center"/>
              <w:textAlignment w:val="baseline"/>
              <w:rPr>
                <w:szCs w:val="24"/>
                <w:lang w:eastAsia="et-EE"/>
              </w:rPr>
            </w:pPr>
            <w:r w:rsidRPr="001927D6">
              <w:rPr>
                <w:color w:val="000000"/>
                <w:szCs w:val="24"/>
              </w:rPr>
              <w:t>1 336,24</w:t>
            </w:r>
          </w:p>
        </w:tc>
        <w:tc>
          <w:tcPr>
            <w:tcW w:w="1238" w:type="dxa"/>
            <w:vAlign w:val="center"/>
          </w:tcPr>
          <w:p w14:paraId="72E2812A" w14:textId="77777777" w:rsidR="00295BCD" w:rsidRPr="001927D6" w:rsidRDefault="00295BCD">
            <w:pPr>
              <w:spacing w:after="0" w:line="240" w:lineRule="auto"/>
              <w:jc w:val="center"/>
              <w:textAlignment w:val="baseline"/>
              <w:rPr>
                <w:szCs w:val="24"/>
                <w:lang w:eastAsia="et-EE"/>
              </w:rPr>
            </w:pPr>
            <w:r w:rsidRPr="001927D6">
              <w:rPr>
                <w:color w:val="000000"/>
                <w:szCs w:val="24"/>
              </w:rPr>
              <w:t>2 925,46</w:t>
            </w:r>
          </w:p>
        </w:tc>
      </w:tr>
      <w:tr w:rsidR="00295BCD" w:rsidRPr="001927D6" w14:paraId="40581B00" w14:textId="77777777" w:rsidTr="00295BCD">
        <w:trPr>
          <w:divId w:val="1316184749"/>
          <w:trHeight w:val="300"/>
        </w:trPr>
        <w:tc>
          <w:tcPr>
            <w:tcW w:w="4632" w:type="dxa"/>
            <w:vAlign w:val="bottom"/>
            <w:hideMark/>
          </w:tcPr>
          <w:p w14:paraId="77322CD2" w14:textId="77777777" w:rsidR="00295BCD" w:rsidRPr="001927D6" w:rsidRDefault="00295BCD">
            <w:pPr>
              <w:spacing w:after="0" w:line="240" w:lineRule="auto"/>
              <w:textAlignment w:val="baseline"/>
              <w:rPr>
                <w:szCs w:val="24"/>
                <w:lang w:eastAsia="et-EE"/>
              </w:rPr>
            </w:pPr>
            <w:r w:rsidRPr="001927D6">
              <w:rPr>
                <w:szCs w:val="24"/>
                <w:lang w:eastAsia="et-EE"/>
              </w:rPr>
              <w:t>Lümfoom ja krooniline leukeemia, kht-ga </w:t>
            </w:r>
          </w:p>
        </w:tc>
        <w:tc>
          <w:tcPr>
            <w:tcW w:w="732" w:type="dxa"/>
            <w:vAlign w:val="center"/>
            <w:hideMark/>
          </w:tcPr>
          <w:p w14:paraId="5AEE7E15" w14:textId="77777777" w:rsidR="00295BCD" w:rsidRPr="001927D6" w:rsidRDefault="00295BCD">
            <w:pPr>
              <w:spacing w:after="0" w:line="240" w:lineRule="auto"/>
              <w:jc w:val="center"/>
              <w:textAlignment w:val="baseline"/>
              <w:rPr>
                <w:szCs w:val="24"/>
                <w:lang w:eastAsia="et-EE"/>
              </w:rPr>
            </w:pPr>
            <w:r w:rsidRPr="001927D6">
              <w:rPr>
                <w:szCs w:val="24"/>
                <w:lang w:eastAsia="et-EE"/>
              </w:rPr>
              <w:t>403 </w:t>
            </w:r>
          </w:p>
        </w:tc>
        <w:tc>
          <w:tcPr>
            <w:tcW w:w="1243" w:type="dxa"/>
            <w:vAlign w:val="center"/>
          </w:tcPr>
          <w:p w14:paraId="0A67C6F8" w14:textId="77777777" w:rsidR="00295BCD" w:rsidRPr="001927D6" w:rsidRDefault="00295BCD">
            <w:pPr>
              <w:spacing w:after="0" w:line="240" w:lineRule="auto"/>
              <w:jc w:val="center"/>
              <w:textAlignment w:val="baseline"/>
              <w:rPr>
                <w:szCs w:val="24"/>
                <w:lang w:eastAsia="et-EE"/>
              </w:rPr>
            </w:pPr>
            <w:r w:rsidRPr="001927D6">
              <w:rPr>
                <w:color w:val="000000"/>
                <w:szCs w:val="24"/>
              </w:rPr>
              <w:t>3 107,33</w:t>
            </w:r>
          </w:p>
        </w:tc>
        <w:tc>
          <w:tcPr>
            <w:tcW w:w="1211" w:type="dxa"/>
            <w:vAlign w:val="center"/>
          </w:tcPr>
          <w:p w14:paraId="4A48DBAE" w14:textId="77777777" w:rsidR="00295BCD" w:rsidRPr="001927D6" w:rsidRDefault="00295BCD">
            <w:pPr>
              <w:spacing w:after="0" w:line="240" w:lineRule="auto"/>
              <w:jc w:val="center"/>
              <w:textAlignment w:val="baseline"/>
              <w:rPr>
                <w:szCs w:val="24"/>
                <w:lang w:eastAsia="et-EE"/>
              </w:rPr>
            </w:pPr>
            <w:r w:rsidRPr="001927D6">
              <w:rPr>
                <w:color w:val="000000"/>
                <w:szCs w:val="24"/>
              </w:rPr>
              <w:t>720,66</w:t>
            </w:r>
          </w:p>
        </w:tc>
        <w:tc>
          <w:tcPr>
            <w:tcW w:w="1238" w:type="dxa"/>
            <w:vAlign w:val="center"/>
          </w:tcPr>
          <w:p w14:paraId="682075E7" w14:textId="77777777" w:rsidR="00295BCD" w:rsidRPr="001927D6" w:rsidRDefault="00295BCD">
            <w:pPr>
              <w:spacing w:after="0" w:line="240" w:lineRule="auto"/>
              <w:jc w:val="center"/>
              <w:textAlignment w:val="baseline"/>
              <w:rPr>
                <w:szCs w:val="24"/>
                <w:lang w:eastAsia="et-EE"/>
              </w:rPr>
            </w:pPr>
            <w:r w:rsidRPr="001927D6">
              <w:rPr>
                <w:color w:val="000000"/>
                <w:szCs w:val="24"/>
              </w:rPr>
              <w:t>8 298,15</w:t>
            </w:r>
          </w:p>
        </w:tc>
      </w:tr>
      <w:tr w:rsidR="00295BCD" w:rsidRPr="001927D6" w14:paraId="7B5CF9C6" w14:textId="77777777" w:rsidTr="00295BCD">
        <w:trPr>
          <w:divId w:val="1316184749"/>
          <w:trHeight w:val="300"/>
        </w:trPr>
        <w:tc>
          <w:tcPr>
            <w:tcW w:w="4632" w:type="dxa"/>
            <w:vAlign w:val="bottom"/>
            <w:hideMark/>
          </w:tcPr>
          <w:p w14:paraId="0F10A10D" w14:textId="77777777" w:rsidR="00295BCD" w:rsidRPr="001927D6" w:rsidRDefault="00295BCD">
            <w:pPr>
              <w:spacing w:after="0" w:line="240" w:lineRule="auto"/>
              <w:textAlignment w:val="baseline"/>
              <w:rPr>
                <w:szCs w:val="24"/>
                <w:lang w:eastAsia="et-EE"/>
              </w:rPr>
            </w:pPr>
            <w:r w:rsidRPr="001927D6">
              <w:rPr>
                <w:szCs w:val="24"/>
                <w:lang w:eastAsia="et-EE"/>
              </w:rPr>
              <w:t>Lümfoom ja krooniline leukeemia, kht-ta </w:t>
            </w:r>
          </w:p>
        </w:tc>
        <w:tc>
          <w:tcPr>
            <w:tcW w:w="732" w:type="dxa"/>
            <w:vAlign w:val="center"/>
            <w:hideMark/>
          </w:tcPr>
          <w:p w14:paraId="0BFF1F3B" w14:textId="77777777" w:rsidR="00295BCD" w:rsidRPr="001927D6" w:rsidRDefault="00295BCD">
            <w:pPr>
              <w:spacing w:after="0" w:line="240" w:lineRule="auto"/>
              <w:jc w:val="center"/>
              <w:textAlignment w:val="baseline"/>
              <w:rPr>
                <w:szCs w:val="24"/>
                <w:lang w:eastAsia="et-EE"/>
              </w:rPr>
            </w:pPr>
            <w:r w:rsidRPr="001927D6">
              <w:rPr>
                <w:szCs w:val="24"/>
                <w:lang w:eastAsia="et-EE"/>
              </w:rPr>
              <w:t>404 </w:t>
            </w:r>
          </w:p>
        </w:tc>
        <w:tc>
          <w:tcPr>
            <w:tcW w:w="1243" w:type="dxa"/>
            <w:vAlign w:val="center"/>
          </w:tcPr>
          <w:p w14:paraId="555DD40D" w14:textId="77777777" w:rsidR="00295BCD" w:rsidRPr="001927D6" w:rsidRDefault="00295BCD">
            <w:pPr>
              <w:spacing w:after="0" w:line="240" w:lineRule="auto"/>
              <w:jc w:val="center"/>
              <w:textAlignment w:val="baseline"/>
              <w:rPr>
                <w:szCs w:val="24"/>
                <w:lang w:eastAsia="et-EE"/>
              </w:rPr>
            </w:pPr>
            <w:r w:rsidRPr="001927D6">
              <w:rPr>
                <w:color w:val="000000"/>
                <w:szCs w:val="24"/>
              </w:rPr>
              <w:t>1 760,38</w:t>
            </w:r>
          </w:p>
        </w:tc>
        <w:tc>
          <w:tcPr>
            <w:tcW w:w="1211" w:type="dxa"/>
            <w:vAlign w:val="center"/>
          </w:tcPr>
          <w:p w14:paraId="0B9CEAB7" w14:textId="77777777" w:rsidR="00295BCD" w:rsidRPr="001927D6" w:rsidRDefault="00295BCD">
            <w:pPr>
              <w:spacing w:after="0" w:line="240" w:lineRule="auto"/>
              <w:jc w:val="center"/>
              <w:textAlignment w:val="baseline"/>
              <w:rPr>
                <w:szCs w:val="24"/>
                <w:lang w:eastAsia="et-EE"/>
              </w:rPr>
            </w:pPr>
            <w:r w:rsidRPr="001927D6">
              <w:rPr>
                <w:color w:val="000000"/>
                <w:szCs w:val="24"/>
              </w:rPr>
              <w:t>360,36</w:t>
            </w:r>
          </w:p>
        </w:tc>
        <w:tc>
          <w:tcPr>
            <w:tcW w:w="1238" w:type="dxa"/>
            <w:vAlign w:val="center"/>
          </w:tcPr>
          <w:p w14:paraId="1DE528DA" w14:textId="77777777" w:rsidR="00295BCD" w:rsidRPr="001927D6" w:rsidRDefault="00295BCD">
            <w:pPr>
              <w:spacing w:after="0" w:line="240" w:lineRule="auto"/>
              <w:jc w:val="center"/>
              <w:textAlignment w:val="baseline"/>
              <w:rPr>
                <w:szCs w:val="24"/>
                <w:lang w:eastAsia="et-EE"/>
              </w:rPr>
            </w:pPr>
            <w:r w:rsidRPr="001927D6">
              <w:rPr>
                <w:color w:val="000000"/>
                <w:szCs w:val="24"/>
              </w:rPr>
              <w:t>4 562,44</w:t>
            </w:r>
          </w:p>
        </w:tc>
      </w:tr>
      <w:tr w:rsidR="00295BCD" w:rsidRPr="001927D6" w14:paraId="3AF98DCC" w14:textId="77777777" w:rsidTr="00295BCD">
        <w:trPr>
          <w:divId w:val="1316184749"/>
          <w:trHeight w:val="300"/>
        </w:trPr>
        <w:tc>
          <w:tcPr>
            <w:tcW w:w="4632" w:type="dxa"/>
            <w:vAlign w:val="bottom"/>
            <w:hideMark/>
          </w:tcPr>
          <w:p w14:paraId="38E7252E" w14:textId="77777777" w:rsidR="00295BCD" w:rsidRPr="001927D6" w:rsidRDefault="00295BCD">
            <w:pPr>
              <w:spacing w:after="0" w:line="240" w:lineRule="auto"/>
              <w:textAlignment w:val="baseline"/>
              <w:rPr>
                <w:szCs w:val="24"/>
                <w:lang w:eastAsia="et-EE"/>
              </w:rPr>
            </w:pPr>
            <w:r w:rsidRPr="001927D6">
              <w:rPr>
                <w:szCs w:val="24"/>
                <w:lang w:eastAsia="et-EE"/>
              </w:rPr>
              <w:t>Äge leukeemia ilma suurte operatsioonideta, vanus 0–17 </w:t>
            </w:r>
          </w:p>
        </w:tc>
        <w:tc>
          <w:tcPr>
            <w:tcW w:w="732" w:type="dxa"/>
            <w:vAlign w:val="center"/>
            <w:hideMark/>
          </w:tcPr>
          <w:p w14:paraId="168A201E" w14:textId="77777777" w:rsidR="00295BCD" w:rsidRPr="001927D6" w:rsidRDefault="00295BCD">
            <w:pPr>
              <w:spacing w:after="0" w:line="240" w:lineRule="auto"/>
              <w:jc w:val="center"/>
              <w:textAlignment w:val="baseline"/>
              <w:rPr>
                <w:szCs w:val="24"/>
                <w:lang w:eastAsia="et-EE"/>
              </w:rPr>
            </w:pPr>
            <w:r w:rsidRPr="001927D6">
              <w:rPr>
                <w:szCs w:val="24"/>
                <w:lang w:eastAsia="et-EE"/>
              </w:rPr>
              <w:t>405 </w:t>
            </w:r>
          </w:p>
        </w:tc>
        <w:tc>
          <w:tcPr>
            <w:tcW w:w="1243" w:type="dxa"/>
            <w:vAlign w:val="center"/>
          </w:tcPr>
          <w:p w14:paraId="4BFEE089" w14:textId="77777777" w:rsidR="00295BCD" w:rsidRPr="001927D6" w:rsidRDefault="00295BCD">
            <w:pPr>
              <w:spacing w:after="0" w:line="240" w:lineRule="auto"/>
              <w:jc w:val="center"/>
              <w:textAlignment w:val="baseline"/>
              <w:rPr>
                <w:szCs w:val="24"/>
                <w:lang w:eastAsia="et-EE"/>
              </w:rPr>
            </w:pPr>
            <w:r w:rsidRPr="001927D6">
              <w:rPr>
                <w:color w:val="000000"/>
                <w:szCs w:val="24"/>
              </w:rPr>
              <w:t>1 051,93</w:t>
            </w:r>
          </w:p>
        </w:tc>
        <w:tc>
          <w:tcPr>
            <w:tcW w:w="1211" w:type="dxa"/>
            <w:vAlign w:val="center"/>
          </w:tcPr>
          <w:p w14:paraId="0BF8C61C" w14:textId="77777777" w:rsidR="00295BCD" w:rsidRPr="001927D6" w:rsidRDefault="00295BCD">
            <w:pPr>
              <w:spacing w:after="0" w:line="240" w:lineRule="auto"/>
              <w:jc w:val="center"/>
              <w:textAlignment w:val="baseline"/>
              <w:rPr>
                <w:szCs w:val="24"/>
                <w:lang w:eastAsia="et-EE"/>
              </w:rPr>
            </w:pPr>
            <w:r w:rsidRPr="001927D6">
              <w:rPr>
                <w:color w:val="000000"/>
                <w:szCs w:val="24"/>
              </w:rPr>
              <w:t>355,98</w:t>
            </w:r>
          </w:p>
        </w:tc>
        <w:tc>
          <w:tcPr>
            <w:tcW w:w="1238" w:type="dxa"/>
            <w:vAlign w:val="center"/>
          </w:tcPr>
          <w:p w14:paraId="61D4C795" w14:textId="77777777" w:rsidR="00295BCD" w:rsidRPr="001927D6" w:rsidRDefault="00295BCD">
            <w:pPr>
              <w:spacing w:after="0" w:line="240" w:lineRule="auto"/>
              <w:jc w:val="center"/>
              <w:textAlignment w:val="baseline"/>
              <w:rPr>
                <w:szCs w:val="24"/>
                <w:lang w:eastAsia="et-EE"/>
              </w:rPr>
            </w:pPr>
            <w:r w:rsidRPr="001927D6">
              <w:rPr>
                <w:color w:val="000000"/>
                <w:szCs w:val="24"/>
              </w:rPr>
              <w:t>3 488,30</w:t>
            </w:r>
          </w:p>
        </w:tc>
      </w:tr>
      <w:tr w:rsidR="00295BCD" w:rsidRPr="001927D6" w14:paraId="41DA0367" w14:textId="77777777" w:rsidTr="00295BCD">
        <w:trPr>
          <w:divId w:val="1316184749"/>
          <w:trHeight w:val="300"/>
        </w:trPr>
        <w:tc>
          <w:tcPr>
            <w:tcW w:w="4632" w:type="dxa"/>
            <w:vAlign w:val="bottom"/>
            <w:hideMark/>
          </w:tcPr>
          <w:p w14:paraId="12C1AFD1" w14:textId="77777777" w:rsidR="00295BCD" w:rsidRPr="001927D6" w:rsidRDefault="00295BCD">
            <w:pPr>
              <w:spacing w:after="0" w:line="240" w:lineRule="auto"/>
              <w:textAlignment w:val="baseline"/>
              <w:rPr>
                <w:szCs w:val="24"/>
                <w:lang w:eastAsia="et-EE"/>
              </w:rPr>
            </w:pPr>
            <w:r w:rsidRPr="001927D6">
              <w:rPr>
                <w:szCs w:val="24"/>
                <w:lang w:eastAsia="et-EE"/>
              </w:rPr>
              <w:t>Müeloproliferatiivsed haigused või vähediferentseerunud kasvajad koos nende korral tehtavate suurte operatsioonidega, kht-ga </w:t>
            </w:r>
          </w:p>
        </w:tc>
        <w:tc>
          <w:tcPr>
            <w:tcW w:w="732" w:type="dxa"/>
            <w:vAlign w:val="center"/>
            <w:hideMark/>
          </w:tcPr>
          <w:p w14:paraId="2B829D33" w14:textId="77777777" w:rsidR="00295BCD" w:rsidRPr="001927D6" w:rsidRDefault="00295BCD">
            <w:pPr>
              <w:spacing w:after="0" w:line="240" w:lineRule="auto"/>
              <w:jc w:val="center"/>
              <w:textAlignment w:val="baseline"/>
              <w:rPr>
                <w:szCs w:val="24"/>
                <w:lang w:eastAsia="et-EE"/>
              </w:rPr>
            </w:pPr>
            <w:r w:rsidRPr="001927D6">
              <w:rPr>
                <w:szCs w:val="24"/>
                <w:lang w:eastAsia="et-EE"/>
              </w:rPr>
              <w:t>406 </w:t>
            </w:r>
          </w:p>
        </w:tc>
        <w:tc>
          <w:tcPr>
            <w:tcW w:w="1243" w:type="dxa"/>
            <w:vAlign w:val="center"/>
          </w:tcPr>
          <w:p w14:paraId="4CD570D0" w14:textId="77777777" w:rsidR="00295BCD" w:rsidRPr="001927D6" w:rsidRDefault="00295BCD">
            <w:pPr>
              <w:spacing w:after="0" w:line="240" w:lineRule="auto"/>
              <w:jc w:val="center"/>
              <w:textAlignment w:val="baseline"/>
              <w:rPr>
                <w:szCs w:val="24"/>
                <w:lang w:eastAsia="et-EE"/>
              </w:rPr>
            </w:pPr>
            <w:r w:rsidRPr="001927D6">
              <w:rPr>
                <w:color w:val="000000"/>
                <w:szCs w:val="24"/>
              </w:rPr>
              <w:t>7 991,99</w:t>
            </w:r>
          </w:p>
        </w:tc>
        <w:tc>
          <w:tcPr>
            <w:tcW w:w="1211" w:type="dxa"/>
            <w:vAlign w:val="center"/>
          </w:tcPr>
          <w:p w14:paraId="3355B9C0" w14:textId="77777777" w:rsidR="00295BCD" w:rsidRPr="001927D6" w:rsidRDefault="00295BCD">
            <w:pPr>
              <w:spacing w:after="0" w:line="240" w:lineRule="auto"/>
              <w:jc w:val="center"/>
              <w:textAlignment w:val="baseline"/>
              <w:rPr>
                <w:szCs w:val="24"/>
                <w:lang w:eastAsia="et-EE"/>
              </w:rPr>
            </w:pPr>
            <w:r w:rsidRPr="001927D6">
              <w:rPr>
                <w:color w:val="000000"/>
                <w:szCs w:val="24"/>
              </w:rPr>
              <w:t>2 942,29</w:t>
            </w:r>
          </w:p>
        </w:tc>
        <w:tc>
          <w:tcPr>
            <w:tcW w:w="1238" w:type="dxa"/>
            <w:vAlign w:val="center"/>
          </w:tcPr>
          <w:p w14:paraId="7AC3BA96" w14:textId="77777777" w:rsidR="00295BCD" w:rsidRPr="001927D6" w:rsidRDefault="00295BCD">
            <w:pPr>
              <w:spacing w:after="0" w:line="240" w:lineRule="auto"/>
              <w:jc w:val="center"/>
              <w:textAlignment w:val="baseline"/>
              <w:rPr>
                <w:szCs w:val="24"/>
                <w:lang w:eastAsia="et-EE"/>
              </w:rPr>
            </w:pPr>
            <w:r w:rsidRPr="001927D6">
              <w:rPr>
                <w:color w:val="000000"/>
                <w:szCs w:val="24"/>
              </w:rPr>
              <w:t>23 540,63</w:t>
            </w:r>
          </w:p>
        </w:tc>
      </w:tr>
      <w:tr w:rsidR="00295BCD" w:rsidRPr="001927D6" w14:paraId="5F421561" w14:textId="77777777" w:rsidTr="00295BCD">
        <w:trPr>
          <w:divId w:val="1316184749"/>
          <w:trHeight w:val="300"/>
        </w:trPr>
        <w:tc>
          <w:tcPr>
            <w:tcW w:w="4632" w:type="dxa"/>
            <w:vAlign w:val="bottom"/>
            <w:hideMark/>
          </w:tcPr>
          <w:p w14:paraId="63C16A72" w14:textId="77777777" w:rsidR="00295BCD" w:rsidRPr="001927D6" w:rsidRDefault="00295BCD">
            <w:pPr>
              <w:spacing w:after="0" w:line="240" w:lineRule="auto"/>
              <w:textAlignment w:val="baseline"/>
              <w:rPr>
                <w:szCs w:val="24"/>
                <w:lang w:eastAsia="et-EE"/>
              </w:rPr>
            </w:pPr>
            <w:r w:rsidRPr="001927D6">
              <w:rPr>
                <w:szCs w:val="24"/>
                <w:lang w:eastAsia="et-EE"/>
              </w:rPr>
              <w:t>Müeloproliferatiivsed haigused või vähediferentseerunud kasvajad koos nende korral tehtavate suurte operatsioonidega, kht-ta </w:t>
            </w:r>
          </w:p>
        </w:tc>
        <w:tc>
          <w:tcPr>
            <w:tcW w:w="732" w:type="dxa"/>
            <w:vAlign w:val="center"/>
            <w:hideMark/>
          </w:tcPr>
          <w:p w14:paraId="0E1D8410" w14:textId="77777777" w:rsidR="00295BCD" w:rsidRPr="001927D6" w:rsidRDefault="00295BCD">
            <w:pPr>
              <w:spacing w:after="0" w:line="240" w:lineRule="auto"/>
              <w:jc w:val="center"/>
              <w:textAlignment w:val="baseline"/>
              <w:rPr>
                <w:szCs w:val="24"/>
                <w:lang w:eastAsia="et-EE"/>
              </w:rPr>
            </w:pPr>
            <w:r w:rsidRPr="001927D6">
              <w:rPr>
                <w:szCs w:val="24"/>
                <w:lang w:eastAsia="et-EE"/>
              </w:rPr>
              <w:t>407 </w:t>
            </w:r>
          </w:p>
        </w:tc>
        <w:tc>
          <w:tcPr>
            <w:tcW w:w="1243" w:type="dxa"/>
            <w:vAlign w:val="center"/>
          </w:tcPr>
          <w:p w14:paraId="1D601BD4" w14:textId="77777777" w:rsidR="00295BCD" w:rsidRPr="001927D6" w:rsidRDefault="00295BCD">
            <w:pPr>
              <w:spacing w:after="0" w:line="240" w:lineRule="auto"/>
              <w:jc w:val="center"/>
              <w:textAlignment w:val="baseline"/>
              <w:rPr>
                <w:szCs w:val="24"/>
                <w:lang w:eastAsia="et-EE"/>
              </w:rPr>
            </w:pPr>
            <w:r w:rsidRPr="001927D6">
              <w:rPr>
                <w:color w:val="000000"/>
                <w:szCs w:val="24"/>
              </w:rPr>
              <w:t>4 279,94</w:t>
            </w:r>
          </w:p>
        </w:tc>
        <w:tc>
          <w:tcPr>
            <w:tcW w:w="1211" w:type="dxa"/>
            <w:vAlign w:val="center"/>
          </w:tcPr>
          <w:p w14:paraId="0B184878" w14:textId="77777777" w:rsidR="00295BCD" w:rsidRPr="001927D6" w:rsidRDefault="00295BCD">
            <w:pPr>
              <w:spacing w:after="0" w:line="240" w:lineRule="auto"/>
              <w:jc w:val="center"/>
              <w:textAlignment w:val="baseline"/>
              <w:rPr>
                <w:szCs w:val="24"/>
                <w:lang w:eastAsia="et-EE"/>
              </w:rPr>
            </w:pPr>
            <w:r w:rsidRPr="001927D6">
              <w:rPr>
                <w:color w:val="000000"/>
                <w:szCs w:val="24"/>
              </w:rPr>
              <w:t>2 087,52</w:t>
            </w:r>
          </w:p>
        </w:tc>
        <w:tc>
          <w:tcPr>
            <w:tcW w:w="1238" w:type="dxa"/>
            <w:vAlign w:val="center"/>
          </w:tcPr>
          <w:p w14:paraId="3DA0DCC4" w14:textId="77777777" w:rsidR="00295BCD" w:rsidRPr="001927D6" w:rsidRDefault="00295BCD">
            <w:pPr>
              <w:spacing w:after="0" w:line="240" w:lineRule="auto"/>
              <w:jc w:val="center"/>
              <w:textAlignment w:val="baseline"/>
              <w:rPr>
                <w:szCs w:val="24"/>
                <w:lang w:eastAsia="et-EE"/>
              </w:rPr>
            </w:pPr>
            <w:r w:rsidRPr="001927D6">
              <w:rPr>
                <w:color w:val="000000"/>
                <w:szCs w:val="24"/>
              </w:rPr>
              <w:t>7 570,36</w:t>
            </w:r>
          </w:p>
        </w:tc>
      </w:tr>
      <w:tr w:rsidR="00295BCD" w:rsidRPr="001927D6" w14:paraId="3E27B60A" w14:textId="77777777" w:rsidTr="00295BCD">
        <w:trPr>
          <w:divId w:val="1316184749"/>
          <w:trHeight w:val="300"/>
        </w:trPr>
        <w:tc>
          <w:tcPr>
            <w:tcW w:w="4632" w:type="dxa"/>
            <w:vAlign w:val="bottom"/>
            <w:hideMark/>
          </w:tcPr>
          <w:p w14:paraId="053B23B3" w14:textId="77777777" w:rsidR="00295BCD" w:rsidRPr="001927D6" w:rsidRDefault="00295BCD">
            <w:pPr>
              <w:spacing w:after="0" w:line="240" w:lineRule="auto"/>
              <w:textAlignment w:val="baseline"/>
              <w:rPr>
                <w:szCs w:val="24"/>
                <w:lang w:eastAsia="et-EE"/>
              </w:rPr>
            </w:pPr>
            <w:r w:rsidRPr="001927D6">
              <w:rPr>
                <w:szCs w:val="24"/>
                <w:lang w:eastAsia="et-EE"/>
              </w:rPr>
              <w:t>Müeloproliferatiivsed haigused või vähediferentseerunud kasvajad koos nende korral tehtavate suurte operatsioonidega, lühike ravi </w:t>
            </w:r>
          </w:p>
        </w:tc>
        <w:tc>
          <w:tcPr>
            <w:tcW w:w="732" w:type="dxa"/>
            <w:vAlign w:val="center"/>
            <w:hideMark/>
          </w:tcPr>
          <w:p w14:paraId="48D54E5D" w14:textId="77777777" w:rsidR="00295BCD" w:rsidRPr="001927D6" w:rsidRDefault="00295BCD">
            <w:pPr>
              <w:spacing w:after="0" w:line="240" w:lineRule="auto"/>
              <w:jc w:val="center"/>
              <w:textAlignment w:val="baseline"/>
              <w:rPr>
                <w:szCs w:val="24"/>
                <w:lang w:eastAsia="et-EE"/>
              </w:rPr>
            </w:pPr>
            <w:r w:rsidRPr="001927D6">
              <w:rPr>
                <w:szCs w:val="24"/>
                <w:lang w:eastAsia="et-EE"/>
              </w:rPr>
              <w:t>407O </w:t>
            </w:r>
          </w:p>
        </w:tc>
        <w:tc>
          <w:tcPr>
            <w:tcW w:w="1243" w:type="dxa"/>
            <w:vAlign w:val="center"/>
          </w:tcPr>
          <w:p w14:paraId="3A2C1270" w14:textId="77777777" w:rsidR="00295BCD" w:rsidRPr="001927D6" w:rsidRDefault="00295BCD">
            <w:pPr>
              <w:spacing w:after="0" w:line="240" w:lineRule="auto"/>
              <w:jc w:val="center"/>
              <w:textAlignment w:val="baseline"/>
              <w:rPr>
                <w:szCs w:val="24"/>
                <w:lang w:eastAsia="et-EE"/>
              </w:rPr>
            </w:pPr>
            <w:r w:rsidRPr="001927D6">
              <w:rPr>
                <w:color w:val="000000"/>
                <w:szCs w:val="24"/>
              </w:rPr>
              <w:t>1 096,71</w:t>
            </w:r>
          </w:p>
        </w:tc>
        <w:tc>
          <w:tcPr>
            <w:tcW w:w="1211" w:type="dxa"/>
            <w:vAlign w:val="center"/>
          </w:tcPr>
          <w:p w14:paraId="47CC258F" w14:textId="77777777" w:rsidR="00295BCD" w:rsidRPr="001927D6" w:rsidRDefault="00295BCD">
            <w:pPr>
              <w:spacing w:after="0" w:line="240" w:lineRule="auto"/>
              <w:jc w:val="center"/>
              <w:textAlignment w:val="baseline"/>
              <w:rPr>
                <w:szCs w:val="24"/>
                <w:lang w:eastAsia="et-EE"/>
              </w:rPr>
            </w:pPr>
            <w:r w:rsidRPr="001927D6">
              <w:rPr>
                <w:color w:val="000000"/>
                <w:szCs w:val="24"/>
              </w:rPr>
              <w:t>520,46</w:t>
            </w:r>
          </w:p>
        </w:tc>
        <w:tc>
          <w:tcPr>
            <w:tcW w:w="1238" w:type="dxa"/>
            <w:vAlign w:val="center"/>
          </w:tcPr>
          <w:p w14:paraId="7DC9B4BD" w14:textId="77777777" w:rsidR="00295BCD" w:rsidRPr="001927D6" w:rsidRDefault="00295BCD">
            <w:pPr>
              <w:spacing w:after="0" w:line="240" w:lineRule="auto"/>
              <w:jc w:val="center"/>
              <w:textAlignment w:val="baseline"/>
              <w:rPr>
                <w:szCs w:val="24"/>
                <w:lang w:eastAsia="et-EE"/>
              </w:rPr>
            </w:pPr>
            <w:r w:rsidRPr="001927D6">
              <w:rPr>
                <w:color w:val="000000"/>
                <w:szCs w:val="24"/>
              </w:rPr>
              <w:t>2 223,16</w:t>
            </w:r>
          </w:p>
        </w:tc>
      </w:tr>
      <w:tr w:rsidR="00295BCD" w:rsidRPr="001927D6" w14:paraId="437A9C05" w14:textId="77777777" w:rsidTr="00295BCD">
        <w:trPr>
          <w:divId w:val="1316184749"/>
          <w:trHeight w:val="300"/>
        </w:trPr>
        <w:tc>
          <w:tcPr>
            <w:tcW w:w="4632" w:type="dxa"/>
            <w:vAlign w:val="bottom"/>
            <w:hideMark/>
          </w:tcPr>
          <w:p w14:paraId="147F6F62" w14:textId="77777777" w:rsidR="00295BCD" w:rsidRPr="001927D6" w:rsidRDefault="00295BCD">
            <w:pPr>
              <w:spacing w:after="0" w:line="240" w:lineRule="auto"/>
              <w:textAlignment w:val="baseline"/>
              <w:rPr>
                <w:szCs w:val="24"/>
                <w:lang w:eastAsia="et-EE"/>
              </w:rPr>
            </w:pPr>
            <w:r w:rsidRPr="001927D6">
              <w:rPr>
                <w:szCs w:val="24"/>
                <w:lang w:eastAsia="et-EE"/>
              </w:rPr>
              <w:t>Müeloproliferatiivsed haigused või vähediferentseerunud kasvajad koos nende korral tehtavate muude operatsioonidega </w:t>
            </w:r>
          </w:p>
        </w:tc>
        <w:tc>
          <w:tcPr>
            <w:tcW w:w="732" w:type="dxa"/>
            <w:vAlign w:val="center"/>
            <w:hideMark/>
          </w:tcPr>
          <w:p w14:paraId="77E0BC98" w14:textId="77777777" w:rsidR="00295BCD" w:rsidRPr="001927D6" w:rsidRDefault="00295BCD">
            <w:pPr>
              <w:spacing w:after="0" w:line="240" w:lineRule="auto"/>
              <w:jc w:val="center"/>
              <w:textAlignment w:val="baseline"/>
              <w:rPr>
                <w:szCs w:val="24"/>
                <w:lang w:eastAsia="et-EE"/>
              </w:rPr>
            </w:pPr>
            <w:r w:rsidRPr="001927D6">
              <w:rPr>
                <w:szCs w:val="24"/>
                <w:lang w:eastAsia="et-EE"/>
              </w:rPr>
              <w:t>408 </w:t>
            </w:r>
          </w:p>
        </w:tc>
        <w:tc>
          <w:tcPr>
            <w:tcW w:w="1243" w:type="dxa"/>
            <w:vAlign w:val="center"/>
          </w:tcPr>
          <w:p w14:paraId="03B003B1" w14:textId="77777777" w:rsidR="00295BCD" w:rsidRPr="001927D6" w:rsidRDefault="00295BCD">
            <w:pPr>
              <w:spacing w:after="0" w:line="240" w:lineRule="auto"/>
              <w:jc w:val="center"/>
              <w:textAlignment w:val="baseline"/>
              <w:rPr>
                <w:szCs w:val="24"/>
                <w:lang w:eastAsia="et-EE"/>
              </w:rPr>
            </w:pPr>
            <w:r w:rsidRPr="001927D6">
              <w:rPr>
                <w:color w:val="000000"/>
                <w:szCs w:val="24"/>
              </w:rPr>
              <w:t>3 615,11</w:t>
            </w:r>
          </w:p>
        </w:tc>
        <w:tc>
          <w:tcPr>
            <w:tcW w:w="1211" w:type="dxa"/>
            <w:vAlign w:val="center"/>
          </w:tcPr>
          <w:p w14:paraId="128A4325" w14:textId="77777777" w:rsidR="00295BCD" w:rsidRPr="001927D6" w:rsidRDefault="00295BCD">
            <w:pPr>
              <w:spacing w:after="0" w:line="240" w:lineRule="auto"/>
              <w:jc w:val="center"/>
              <w:textAlignment w:val="baseline"/>
              <w:rPr>
                <w:szCs w:val="24"/>
                <w:lang w:eastAsia="et-EE"/>
              </w:rPr>
            </w:pPr>
            <w:r w:rsidRPr="001927D6">
              <w:rPr>
                <w:color w:val="000000"/>
                <w:szCs w:val="24"/>
              </w:rPr>
              <w:t>1 417,18</w:t>
            </w:r>
          </w:p>
        </w:tc>
        <w:tc>
          <w:tcPr>
            <w:tcW w:w="1238" w:type="dxa"/>
            <w:vAlign w:val="center"/>
          </w:tcPr>
          <w:p w14:paraId="5D3E8B80" w14:textId="77777777" w:rsidR="00295BCD" w:rsidRPr="001927D6" w:rsidRDefault="00295BCD">
            <w:pPr>
              <w:spacing w:after="0" w:line="240" w:lineRule="auto"/>
              <w:jc w:val="center"/>
              <w:textAlignment w:val="baseline"/>
              <w:rPr>
                <w:szCs w:val="24"/>
                <w:lang w:eastAsia="et-EE"/>
              </w:rPr>
            </w:pPr>
            <w:r w:rsidRPr="001927D6">
              <w:rPr>
                <w:color w:val="000000"/>
                <w:szCs w:val="24"/>
              </w:rPr>
              <w:t>7 704,33</w:t>
            </w:r>
          </w:p>
        </w:tc>
      </w:tr>
      <w:tr w:rsidR="00295BCD" w:rsidRPr="001927D6" w14:paraId="27531A60" w14:textId="77777777" w:rsidTr="00295BCD">
        <w:trPr>
          <w:divId w:val="1316184749"/>
          <w:trHeight w:val="300"/>
        </w:trPr>
        <w:tc>
          <w:tcPr>
            <w:tcW w:w="4632" w:type="dxa"/>
            <w:vAlign w:val="bottom"/>
            <w:hideMark/>
          </w:tcPr>
          <w:p w14:paraId="51C04295" w14:textId="77777777" w:rsidR="00295BCD" w:rsidRPr="001927D6" w:rsidRDefault="00295BCD">
            <w:pPr>
              <w:spacing w:after="0" w:line="240" w:lineRule="auto"/>
              <w:textAlignment w:val="baseline"/>
              <w:rPr>
                <w:szCs w:val="24"/>
                <w:lang w:eastAsia="et-EE"/>
              </w:rPr>
            </w:pPr>
            <w:r w:rsidRPr="001927D6">
              <w:rPr>
                <w:szCs w:val="24"/>
                <w:lang w:eastAsia="et-EE"/>
              </w:rPr>
              <w:t>Müeloproliferatiivsed haigused või vähediferentseerunud kasvajad koos nende korral tehtavate muude operatsioonidega, lühike ravi </w:t>
            </w:r>
          </w:p>
        </w:tc>
        <w:tc>
          <w:tcPr>
            <w:tcW w:w="732" w:type="dxa"/>
            <w:vAlign w:val="center"/>
            <w:hideMark/>
          </w:tcPr>
          <w:p w14:paraId="57C73501" w14:textId="77777777" w:rsidR="00295BCD" w:rsidRPr="001927D6" w:rsidRDefault="00295BCD">
            <w:pPr>
              <w:spacing w:after="0" w:line="240" w:lineRule="auto"/>
              <w:jc w:val="center"/>
              <w:textAlignment w:val="baseline"/>
              <w:rPr>
                <w:szCs w:val="24"/>
                <w:lang w:eastAsia="et-EE"/>
              </w:rPr>
            </w:pPr>
            <w:r w:rsidRPr="001927D6">
              <w:rPr>
                <w:szCs w:val="24"/>
                <w:lang w:eastAsia="et-EE"/>
              </w:rPr>
              <w:t>408O </w:t>
            </w:r>
          </w:p>
        </w:tc>
        <w:tc>
          <w:tcPr>
            <w:tcW w:w="1243" w:type="dxa"/>
            <w:vAlign w:val="center"/>
          </w:tcPr>
          <w:p w14:paraId="10495044" w14:textId="77777777" w:rsidR="00295BCD" w:rsidRPr="001927D6" w:rsidRDefault="00295BCD">
            <w:pPr>
              <w:spacing w:after="0" w:line="240" w:lineRule="auto"/>
              <w:jc w:val="center"/>
              <w:textAlignment w:val="baseline"/>
              <w:rPr>
                <w:szCs w:val="24"/>
                <w:lang w:eastAsia="et-EE"/>
              </w:rPr>
            </w:pPr>
            <w:r w:rsidRPr="001927D6">
              <w:rPr>
                <w:color w:val="000000"/>
                <w:szCs w:val="24"/>
              </w:rPr>
              <w:t>1 027,98</w:t>
            </w:r>
          </w:p>
        </w:tc>
        <w:tc>
          <w:tcPr>
            <w:tcW w:w="1211" w:type="dxa"/>
            <w:vAlign w:val="center"/>
          </w:tcPr>
          <w:p w14:paraId="6798FF91" w14:textId="77777777" w:rsidR="00295BCD" w:rsidRPr="001927D6" w:rsidRDefault="00295BCD">
            <w:pPr>
              <w:spacing w:after="0" w:line="240" w:lineRule="auto"/>
              <w:jc w:val="center"/>
              <w:textAlignment w:val="baseline"/>
              <w:rPr>
                <w:szCs w:val="24"/>
                <w:lang w:eastAsia="et-EE"/>
              </w:rPr>
            </w:pPr>
            <w:r w:rsidRPr="001927D6">
              <w:rPr>
                <w:color w:val="000000"/>
                <w:szCs w:val="24"/>
              </w:rPr>
              <w:t>563,06</w:t>
            </w:r>
          </w:p>
        </w:tc>
        <w:tc>
          <w:tcPr>
            <w:tcW w:w="1238" w:type="dxa"/>
            <w:vAlign w:val="center"/>
          </w:tcPr>
          <w:p w14:paraId="739146B9" w14:textId="77777777" w:rsidR="00295BCD" w:rsidRPr="001927D6" w:rsidRDefault="00295BCD">
            <w:pPr>
              <w:spacing w:after="0" w:line="240" w:lineRule="auto"/>
              <w:jc w:val="center"/>
              <w:textAlignment w:val="baseline"/>
              <w:rPr>
                <w:szCs w:val="24"/>
                <w:lang w:eastAsia="et-EE"/>
              </w:rPr>
            </w:pPr>
            <w:r w:rsidRPr="001927D6">
              <w:rPr>
                <w:color w:val="000000"/>
                <w:szCs w:val="24"/>
              </w:rPr>
              <w:t>1 781,41</w:t>
            </w:r>
          </w:p>
        </w:tc>
      </w:tr>
      <w:tr w:rsidR="00295BCD" w:rsidRPr="001927D6" w14:paraId="58CFD987" w14:textId="77777777" w:rsidTr="00295BCD">
        <w:trPr>
          <w:divId w:val="1316184749"/>
          <w:trHeight w:val="300"/>
        </w:trPr>
        <w:tc>
          <w:tcPr>
            <w:tcW w:w="4632" w:type="dxa"/>
            <w:vAlign w:val="bottom"/>
            <w:hideMark/>
          </w:tcPr>
          <w:p w14:paraId="3A278F65" w14:textId="77777777" w:rsidR="00295BCD" w:rsidRPr="001927D6" w:rsidRDefault="00295BCD">
            <w:pPr>
              <w:spacing w:after="0" w:line="240" w:lineRule="auto"/>
              <w:textAlignment w:val="baseline"/>
              <w:rPr>
                <w:szCs w:val="24"/>
                <w:lang w:eastAsia="et-EE"/>
              </w:rPr>
            </w:pPr>
            <w:r w:rsidRPr="001927D6">
              <w:rPr>
                <w:szCs w:val="24"/>
                <w:lang w:eastAsia="et-EE"/>
              </w:rPr>
              <w:t>Radioteraapia </w:t>
            </w:r>
          </w:p>
        </w:tc>
        <w:tc>
          <w:tcPr>
            <w:tcW w:w="732" w:type="dxa"/>
            <w:vAlign w:val="center"/>
            <w:hideMark/>
          </w:tcPr>
          <w:p w14:paraId="1AB4EA37" w14:textId="77777777" w:rsidR="00295BCD" w:rsidRPr="001927D6" w:rsidRDefault="00295BCD">
            <w:pPr>
              <w:spacing w:after="0" w:line="240" w:lineRule="auto"/>
              <w:jc w:val="center"/>
              <w:textAlignment w:val="baseline"/>
              <w:rPr>
                <w:szCs w:val="24"/>
                <w:lang w:eastAsia="et-EE"/>
              </w:rPr>
            </w:pPr>
            <w:r w:rsidRPr="001927D6">
              <w:rPr>
                <w:szCs w:val="24"/>
                <w:lang w:eastAsia="et-EE"/>
              </w:rPr>
              <w:t>409 </w:t>
            </w:r>
          </w:p>
        </w:tc>
        <w:tc>
          <w:tcPr>
            <w:tcW w:w="1243" w:type="dxa"/>
            <w:vAlign w:val="center"/>
          </w:tcPr>
          <w:p w14:paraId="2989EF43" w14:textId="77777777" w:rsidR="00295BCD" w:rsidRPr="001927D6" w:rsidRDefault="00295BCD">
            <w:pPr>
              <w:spacing w:after="0" w:line="240" w:lineRule="auto"/>
              <w:jc w:val="center"/>
              <w:textAlignment w:val="baseline"/>
              <w:rPr>
                <w:szCs w:val="24"/>
                <w:lang w:eastAsia="et-EE"/>
              </w:rPr>
            </w:pPr>
            <w:r w:rsidRPr="001927D6">
              <w:rPr>
                <w:color w:val="000000"/>
                <w:szCs w:val="24"/>
              </w:rPr>
              <w:t>5 899,83</w:t>
            </w:r>
          </w:p>
        </w:tc>
        <w:tc>
          <w:tcPr>
            <w:tcW w:w="1211" w:type="dxa"/>
            <w:vAlign w:val="center"/>
          </w:tcPr>
          <w:p w14:paraId="2BACA86B" w14:textId="77777777" w:rsidR="00295BCD" w:rsidRPr="001927D6" w:rsidRDefault="00295BCD">
            <w:pPr>
              <w:spacing w:after="0" w:line="240" w:lineRule="auto"/>
              <w:jc w:val="center"/>
              <w:textAlignment w:val="baseline"/>
              <w:rPr>
                <w:szCs w:val="24"/>
                <w:lang w:eastAsia="et-EE"/>
              </w:rPr>
            </w:pPr>
            <w:r w:rsidRPr="001927D6">
              <w:rPr>
                <w:color w:val="000000"/>
                <w:szCs w:val="24"/>
              </w:rPr>
              <w:t>1 911,30</w:t>
            </w:r>
          </w:p>
        </w:tc>
        <w:tc>
          <w:tcPr>
            <w:tcW w:w="1238" w:type="dxa"/>
            <w:vAlign w:val="center"/>
          </w:tcPr>
          <w:p w14:paraId="19C5EADD" w14:textId="77777777" w:rsidR="00295BCD" w:rsidRPr="001927D6" w:rsidRDefault="00295BCD">
            <w:pPr>
              <w:spacing w:after="0" w:line="240" w:lineRule="auto"/>
              <w:jc w:val="center"/>
              <w:textAlignment w:val="baseline"/>
              <w:rPr>
                <w:szCs w:val="24"/>
                <w:lang w:eastAsia="et-EE"/>
              </w:rPr>
            </w:pPr>
            <w:r w:rsidRPr="001927D6">
              <w:rPr>
                <w:color w:val="000000"/>
                <w:szCs w:val="24"/>
              </w:rPr>
              <w:t>10 834,53</w:t>
            </w:r>
          </w:p>
        </w:tc>
      </w:tr>
      <w:tr w:rsidR="00295BCD" w:rsidRPr="001927D6" w14:paraId="10005C13" w14:textId="77777777" w:rsidTr="00295BCD">
        <w:trPr>
          <w:divId w:val="1316184749"/>
          <w:trHeight w:val="300"/>
        </w:trPr>
        <w:tc>
          <w:tcPr>
            <w:tcW w:w="4632" w:type="dxa"/>
            <w:vAlign w:val="bottom"/>
            <w:hideMark/>
          </w:tcPr>
          <w:p w14:paraId="38D9078E" w14:textId="77777777" w:rsidR="00295BCD" w:rsidRPr="001927D6" w:rsidRDefault="00295BCD">
            <w:pPr>
              <w:spacing w:after="0" w:line="240" w:lineRule="auto"/>
              <w:textAlignment w:val="baseline"/>
              <w:rPr>
                <w:szCs w:val="24"/>
                <w:lang w:eastAsia="et-EE"/>
              </w:rPr>
            </w:pPr>
            <w:r w:rsidRPr="001927D6">
              <w:rPr>
                <w:szCs w:val="24"/>
                <w:lang w:eastAsia="et-EE"/>
              </w:rPr>
              <w:t>Radioteraapia, lühike ravi </w:t>
            </w:r>
          </w:p>
        </w:tc>
        <w:tc>
          <w:tcPr>
            <w:tcW w:w="732" w:type="dxa"/>
            <w:vAlign w:val="center"/>
            <w:hideMark/>
          </w:tcPr>
          <w:p w14:paraId="7903A18F" w14:textId="77777777" w:rsidR="00295BCD" w:rsidRPr="001927D6" w:rsidRDefault="00295BCD">
            <w:pPr>
              <w:spacing w:after="0" w:line="240" w:lineRule="auto"/>
              <w:jc w:val="center"/>
              <w:textAlignment w:val="baseline"/>
              <w:rPr>
                <w:szCs w:val="24"/>
                <w:lang w:eastAsia="et-EE"/>
              </w:rPr>
            </w:pPr>
            <w:r w:rsidRPr="001927D6">
              <w:rPr>
                <w:szCs w:val="24"/>
                <w:lang w:eastAsia="et-EE"/>
              </w:rPr>
              <w:t>409O </w:t>
            </w:r>
          </w:p>
        </w:tc>
        <w:tc>
          <w:tcPr>
            <w:tcW w:w="1243" w:type="dxa"/>
            <w:vAlign w:val="center"/>
          </w:tcPr>
          <w:p w14:paraId="1B59D606" w14:textId="77777777" w:rsidR="00295BCD" w:rsidRPr="001927D6" w:rsidRDefault="00295BCD">
            <w:pPr>
              <w:spacing w:after="0" w:line="240" w:lineRule="auto"/>
              <w:jc w:val="center"/>
              <w:textAlignment w:val="baseline"/>
              <w:rPr>
                <w:szCs w:val="24"/>
                <w:lang w:eastAsia="et-EE"/>
              </w:rPr>
            </w:pPr>
            <w:r w:rsidRPr="001927D6">
              <w:rPr>
                <w:color w:val="000000"/>
                <w:szCs w:val="24"/>
              </w:rPr>
              <w:t>784,21</w:t>
            </w:r>
          </w:p>
        </w:tc>
        <w:tc>
          <w:tcPr>
            <w:tcW w:w="1211" w:type="dxa"/>
            <w:vAlign w:val="center"/>
          </w:tcPr>
          <w:p w14:paraId="60746D62" w14:textId="77777777" w:rsidR="00295BCD" w:rsidRPr="001927D6" w:rsidRDefault="00295BCD">
            <w:pPr>
              <w:spacing w:after="0" w:line="240" w:lineRule="auto"/>
              <w:jc w:val="center"/>
              <w:textAlignment w:val="baseline"/>
              <w:rPr>
                <w:szCs w:val="24"/>
                <w:lang w:eastAsia="et-EE"/>
              </w:rPr>
            </w:pPr>
            <w:r w:rsidRPr="001927D6">
              <w:rPr>
                <w:color w:val="000000"/>
                <w:szCs w:val="24"/>
              </w:rPr>
              <w:t>637,38</w:t>
            </w:r>
          </w:p>
        </w:tc>
        <w:tc>
          <w:tcPr>
            <w:tcW w:w="1238" w:type="dxa"/>
            <w:vAlign w:val="center"/>
          </w:tcPr>
          <w:p w14:paraId="6D953432" w14:textId="77777777" w:rsidR="00295BCD" w:rsidRPr="001927D6" w:rsidRDefault="00295BCD">
            <w:pPr>
              <w:spacing w:after="0" w:line="240" w:lineRule="auto"/>
              <w:jc w:val="center"/>
              <w:textAlignment w:val="baseline"/>
              <w:rPr>
                <w:szCs w:val="24"/>
                <w:lang w:eastAsia="et-EE"/>
              </w:rPr>
            </w:pPr>
            <w:r w:rsidRPr="001927D6">
              <w:rPr>
                <w:color w:val="000000"/>
                <w:szCs w:val="24"/>
              </w:rPr>
              <w:t>1 413,49</w:t>
            </w:r>
          </w:p>
        </w:tc>
      </w:tr>
      <w:tr w:rsidR="00295BCD" w:rsidRPr="001927D6" w14:paraId="7ACED9D6" w14:textId="77777777" w:rsidTr="00295BCD">
        <w:trPr>
          <w:divId w:val="1316184749"/>
          <w:trHeight w:val="300"/>
        </w:trPr>
        <w:tc>
          <w:tcPr>
            <w:tcW w:w="4632" w:type="dxa"/>
            <w:vAlign w:val="bottom"/>
            <w:hideMark/>
          </w:tcPr>
          <w:p w14:paraId="78D90CC1" w14:textId="77777777" w:rsidR="00295BCD" w:rsidRPr="001927D6" w:rsidRDefault="00295BCD">
            <w:pPr>
              <w:spacing w:after="0" w:line="240" w:lineRule="auto"/>
              <w:textAlignment w:val="baseline"/>
              <w:rPr>
                <w:szCs w:val="24"/>
                <w:lang w:eastAsia="et-EE"/>
              </w:rPr>
            </w:pPr>
            <w:r w:rsidRPr="001927D6">
              <w:rPr>
                <w:szCs w:val="24"/>
                <w:lang w:eastAsia="et-EE"/>
              </w:rPr>
              <w:t>Anamneesis pahaloomuline kasvaja </w:t>
            </w:r>
          </w:p>
        </w:tc>
        <w:tc>
          <w:tcPr>
            <w:tcW w:w="732" w:type="dxa"/>
            <w:vAlign w:val="center"/>
            <w:hideMark/>
          </w:tcPr>
          <w:p w14:paraId="39CB4FBC" w14:textId="77777777" w:rsidR="00295BCD" w:rsidRPr="001927D6" w:rsidRDefault="00295BCD">
            <w:pPr>
              <w:spacing w:after="0" w:line="240" w:lineRule="auto"/>
              <w:jc w:val="center"/>
              <w:textAlignment w:val="baseline"/>
              <w:rPr>
                <w:szCs w:val="24"/>
                <w:lang w:eastAsia="et-EE"/>
              </w:rPr>
            </w:pPr>
            <w:r w:rsidRPr="001927D6">
              <w:rPr>
                <w:szCs w:val="24"/>
                <w:lang w:eastAsia="et-EE"/>
              </w:rPr>
              <w:t>411N </w:t>
            </w:r>
          </w:p>
        </w:tc>
        <w:tc>
          <w:tcPr>
            <w:tcW w:w="1243" w:type="dxa"/>
            <w:vAlign w:val="center"/>
          </w:tcPr>
          <w:p w14:paraId="47BEB072" w14:textId="77777777" w:rsidR="00295BCD" w:rsidRPr="001927D6" w:rsidRDefault="00295BCD">
            <w:pPr>
              <w:spacing w:after="0" w:line="240" w:lineRule="auto"/>
              <w:jc w:val="center"/>
              <w:textAlignment w:val="baseline"/>
              <w:rPr>
                <w:szCs w:val="24"/>
                <w:lang w:eastAsia="et-EE"/>
              </w:rPr>
            </w:pPr>
            <w:r w:rsidRPr="001927D6">
              <w:rPr>
                <w:color w:val="000000"/>
                <w:szCs w:val="24"/>
              </w:rPr>
              <w:t>1 438,49</w:t>
            </w:r>
          </w:p>
        </w:tc>
        <w:tc>
          <w:tcPr>
            <w:tcW w:w="1211" w:type="dxa"/>
            <w:vAlign w:val="center"/>
          </w:tcPr>
          <w:p w14:paraId="7983D463" w14:textId="77777777" w:rsidR="00295BCD" w:rsidRPr="001927D6" w:rsidRDefault="00295BCD">
            <w:pPr>
              <w:spacing w:after="0" w:line="240" w:lineRule="auto"/>
              <w:jc w:val="center"/>
              <w:textAlignment w:val="baseline"/>
              <w:rPr>
                <w:szCs w:val="24"/>
                <w:lang w:eastAsia="et-EE"/>
              </w:rPr>
            </w:pPr>
            <w:r w:rsidRPr="001927D6">
              <w:rPr>
                <w:color w:val="000000"/>
                <w:szCs w:val="24"/>
              </w:rPr>
              <w:t>394,86</w:t>
            </w:r>
          </w:p>
        </w:tc>
        <w:tc>
          <w:tcPr>
            <w:tcW w:w="1238" w:type="dxa"/>
            <w:vAlign w:val="center"/>
          </w:tcPr>
          <w:p w14:paraId="5177C509" w14:textId="77777777" w:rsidR="00295BCD" w:rsidRPr="001927D6" w:rsidRDefault="00295BCD">
            <w:pPr>
              <w:spacing w:after="0" w:line="240" w:lineRule="auto"/>
              <w:jc w:val="center"/>
              <w:textAlignment w:val="baseline"/>
              <w:rPr>
                <w:szCs w:val="24"/>
                <w:lang w:eastAsia="et-EE"/>
              </w:rPr>
            </w:pPr>
            <w:r w:rsidRPr="001927D6">
              <w:rPr>
                <w:color w:val="000000"/>
                <w:szCs w:val="24"/>
              </w:rPr>
              <w:t>4 035,34</w:t>
            </w:r>
          </w:p>
        </w:tc>
      </w:tr>
      <w:tr w:rsidR="00295BCD" w:rsidRPr="001927D6" w14:paraId="4CBAABB7" w14:textId="77777777" w:rsidTr="00295BCD">
        <w:trPr>
          <w:divId w:val="1316184749"/>
          <w:trHeight w:val="300"/>
        </w:trPr>
        <w:tc>
          <w:tcPr>
            <w:tcW w:w="4632" w:type="dxa"/>
            <w:vAlign w:val="bottom"/>
            <w:hideMark/>
          </w:tcPr>
          <w:p w14:paraId="6C87D256" w14:textId="77777777" w:rsidR="00295BCD" w:rsidRPr="001927D6" w:rsidRDefault="00295BCD">
            <w:pPr>
              <w:spacing w:after="0" w:line="240" w:lineRule="auto"/>
              <w:textAlignment w:val="baseline"/>
              <w:rPr>
                <w:szCs w:val="24"/>
                <w:lang w:eastAsia="et-EE"/>
              </w:rPr>
            </w:pPr>
            <w:r w:rsidRPr="001927D6">
              <w:rPr>
                <w:szCs w:val="24"/>
                <w:lang w:eastAsia="et-EE"/>
              </w:rPr>
              <w:t>Muud vähediferentseerunud kasvajate korral esinevad müeloproliferatiivsed haigused, kht-ga </w:t>
            </w:r>
          </w:p>
        </w:tc>
        <w:tc>
          <w:tcPr>
            <w:tcW w:w="732" w:type="dxa"/>
            <w:vAlign w:val="center"/>
            <w:hideMark/>
          </w:tcPr>
          <w:p w14:paraId="319D2727" w14:textId="77777777" w:rsidR="00295BCD" w:rsidRPr="001927D6" w:rsidRDefault="00295BCD">
            <w:pPr>
              <w:spacing w:after="0" w:line="240" w:lineRule="auto"/>
              <w:jc w:val="center"/>
              <w:textAlignment w:val="baseline"/>
              <w:rPr>
                <w:szCs w:val="24"/>
                <w:lang w:eastAsia="et-EE"/>
              </w:rPr>
            </w:pPr>
            <w:r w:rsidRPr="001927D6">
              <w:rPr>
                <w:szCs w:val="24"/>
                <w:lang w:eastAsia="et-EE"/>
              </w:rPr>
              <w:t>413 </w:t>
            </w:r>
          </w:p>
        </w:tc>
        <w:tc>
          <w:tcPr>
            <w:tcW w:w="1243" w:type="dxa"/>
            <w:vAlign w:val="center"/>
          </w:tcPr>
          <w:p w14:paraId="74F3CB05" w14:textId="77777777" w:rsidR="00295BCD" w:rsidRPr="001927D6" w:rsidRDefault="00295BCD">
            <w:pPr>
              <w:spacing w:after="0" w:line="240" w:lineRule="auto"/>
              <w:jc w:val="center"/>
              <w:textAlignment w:val="baseline"/>
              <w:rPr>
                <w:szCs w:val="24"/>
                <w:lang w:eastAsia="et-EE"/>
              </w:rPr>
            </w:pPr>
            <w:r w:rsidRPr="001927D6">
              <w:rPr>
                <w:color w:val="000000"/>
                <w:szCs w:val="24"/>
              </w:rPr>
              <w:t>3 292,16</w:t>
            </w:r>
          </w:p>
        </w:tc>
        <w:tc>
          <w:tcPr>
            <w:tcW w:w="1211" w:type="dxa"/>
            <w:vAlign w:val="center"/>
          </w:tcPr>
          <w:p w14:paraId="47C08670" w14:textId="77777777" w:rsidR="00295BCD" w:rsidRPr="001927D6" w:rsidRDefault="00295BCD">
            <w:pPr>
              <w:spacing w:after="0" w:line="240" w:lineRule="auto"/>
              <w:jc w:val="center"/>
              <w:textAlignment w:val="baseline"/>
              <w:rPr>
                <w:szCs w:val="24"/>
                <w:lang w:eastAsia="et-EE"/>
              </w:rPr>
            </w:pPr>
            <w:r w:rsidRPr="001927D6">
              <w:rPr>
                <w:color w:val="000000"/>
                <w:szCs w:val="24"/>
              </w:rPr>
              <w:t>868,90</w:t>
            </w:r>
          </w:p>
        </w:tc>
        <w:tc>
          <w:tcPr>
            <w:tcW w:w="1238" w:type="dxa"/>
            <w:vAlign w:val="center"/>
          </w:tcPr>
          <w:p w14:paraId="3FF247D6" w14:textId="77777777" w:rsidR="00295BCD" w:rsidRPr="001927D6" w:rsidRDefault="00295BCD">
            <w:pPr>
              <w:spacing w:after="0" w:line="240" w:lineRule="auto"/>
              <w:jc w:val="center"/>
              <w:textAlignment w:val="baseline"/>
              <w:rPr>
                <w:szCs w:val="24"/>
                <w:lang w:eastAsia="et-EE"/>
              </w:rPr>
            </w:pPr>
            <w:r w:rsidRPr="001927D6">
              <w:rPr>
                <w:color w:val="000000"/>
                <w:szCs w:val="24"/>
              </w:rPr>
              <w:t>6 118,40</w:t>
            </w:r>
          </w:p>
        </w:tc>
      </w:tr>
      <w:tr w:rsidR="00295BCD" w:rsidRPr="001927D6" w14:paraId="3F101667" w14:textId="77777777" w:rsidTr="00295BCD">
        <w:trPr>
          <w:divId w:val="1316184749"/>
          <w:trHeight w:val="300"/>
        </w:trPr>
        <w:tc>
          <w:tcPr>
            <w:tcW w:w="4632" w:type="dxa"/>
            <w:vAlign w:val="bottom"/>
            <w:hideMark/>
          </w:tcPr>
          <w:p w14:paraId="305A768E" w14:textId="77777777" w:rsidR="00295BCD" w:rsidRPr="001927D6" w:rsidRDefault="00295BCD">
            <w:pPr>
              <w:spacing w:after="0" w:line="240" w:lineRule="auto"/>
              <w:textAlignment w:val="baseline"/>
              <w:rPr>
                <w:szCs w:val="24"/>
                <w:lang w:eastAsia="et-EE"/>
              </w:rPr>
            </w:pPr>
            <w:r w:rsidRPr="001927D6">
              <w:rPr>
                <w:szCs w:val="24"/>
                <w:lang w:eastAsia="et-EE"/>
              </w:rPr>
              <w:t>Muud vähediferentseerunud kasvajate korral esinevad müeloproliferatiivsed haigused, kht-ta </w:t>
            </w:r>
          </w:p>
        </w:tc>
        <w:tc>
          <w:tcPr>
            <w:tcW w:w="732" w:type="dxa"/>
            <w:vAlign w:val="center"/>
            <w:hideMark/>
          </w:tcPr>
          <w:p w14:paraId="1982EEB8" w14:textId="77777777" w:rsidR="00295BCD" w:rsidRPr="001927D6" w:rsidRDefault="00295BCD">
            <w:pPr>
              <w:spacing w:after="0" w:line="240" w:lineRule="auto"/>
              <w:jc w:val="center"/>
              <w:textAlignment w:val="baseline"/>
              <w:rPr>
                <w:szCs w:val="24"/>
                <w:lang w:eastAsia="et-EE"/>
              </w:rPr>
            </w:pPr>
            <w:r w:rsidRPr="001927D6">
              <w:rPr>
                <w:szCs w:val="24"/>
                <w:lang w:eastAsia="et-EE"/>
              </w:rPr>
              <w:t>414 </w:t>
            </w:r>
          </w:p>
        </w:tc>
        <w:tc>
          <w:tcPr>
            <w:tcW w:w="1243" w:type="dxa"/>
            <w:vAlign w:val="center"/>
          </w:tcPr>
          <w:p w14:paraId="4F0CC71C" w14:textId="77777777" w:rsidR="00295BCD" w:rsidRPr="001927D6" w:rsidRDefault="00295BCD">
            <w:pPr>
              <w:spacing w:after="0" w:line="240" w:lineRule="auto"/>
              <w:jc w:val="center"/>
              <w:textAlignment w:val="baseline"/>
              <w:rPr>
                <w:szCs w:val="24"/>
                <w:lang w:eastAsia="et-EE"/>
              </w:rPr>
            </w:pPr>
            <w:r w:rsidRPr="001927D6">
              <w:rPr>
                <w:color w:val="000000"/>
                <w:szCs w:val="24"/>
              </w:rPr>
              <w:t>1 962,06</w:t>
            </w:r>
          </w:p>
        </w:tc>
        <w:tc>
          <w:tcPr>
            <w:tcW w:w="1211" w:type="dxa"/>
            <w:vAlign w:val="center"/>
          </w:tcPr>
          <w:p w14:paraId="383F54D7" w14:textId="77777777" w:rsidR="00295BCD" w:rsidRPr="001927D6" w:rsidRDefault="00295BCD">
            <w:pPr>
              <w:spacing w:after="0" w:line="240" w:lineRule="auto"/>
              <w:jc w:val="center"/>
              <w:textAlignment w:val="baseline"/>
              <w:rPr>
                <w:szCs w:val="24"/>
                <w:lang w:eastAsia="et-EE"/>
              </w:rPr>
            </w:pPr>
            <w:r w:rsidRPr="001927D6">
              <w:rPr>
                <w:color w:val="000000"/>
                <w:szCs w:val="24"/>
              </w:rPr>
              <w:t>593,37</w:t>
            </w:r>
          </w:p>
        </w:tc>
        <w:tc>
          <w:tcPr>
            <w:tcW w:w="1238" w:type="dxa"/>
            <w:vAlign w:val="center"/>
          </w:tcPr>
          <w:p w14:paraId="70A68382" w14:textId="77777777" w:rsidR="00295BCD" w:rsidRPr="001927D6" w:rsidRDefault="00295BCD">
            <w:pPr>
              <w:spacing w:after="0" w:line="240" w:lineRule="auto"/>
              <w:jc w:val="center"/>
              <w:textAlignment w:val="baseline"/>
              <w:rPr>
                <w:szCs w:val="24"/>
                <w:lang w:eastAsia="et-EE"/>
              </w:rPr>
            </w:pPr>
            <w:r w:rsidRPr="001927D6">
              <w:rPr>
                <w:color w:val="000000"/>
                <w:szCs w:val="24"/>
              </w:rPr>
              <w:t>4 268,57</w:t>
            </w:r>
          </w:p>
        </w:tc>
      </w:tr>
      <w:tr w:rsidR="00295BCD" w:rsidRPr="001927D6" w14:paraId="08166712" w14:textId="77777777" w:rsidTr="00295BCD">
        <w:trPr>
          <w:divId w:val="1316184749"/>
          <w:trHeight w:val="300"/>
        </w:trPr>
        <w:tc>
          <w:tcPr>
            <w:tcW w:w="4632" w:type="dxa"/>
            <w:vAlign w:val="bottom"/>
            <w:hideMark/>
          </w:tcPr>
          <w:p w14:paraId="673830C7" w14:textId="77777777" w:rsidR="00295BCD" w:rsidRPr="001927D6" w:rsidRDefault="00295BCD">
            <w:pPr>
              <w:spacing w:after="0" w:line="240" w:lineRule="auto"/>
              <w:textAlignment w:val="baseline"/>
              <w:rPr>
                <w:szCs w:val="24"/>
                <w:lang w:eastAsia="et-EE"/>
              </w:rPr>
            </w:pPr>
            <w:r w:rsidRPr="001927D6">
              <w:rPr>
                <w:szCs w:val="24"/>
                <w:lang w:eastAsia="et-EE"/>
              </w:rPr>
              <w:t>Infektsioon- või parasitaarhaiguste puhused operatsioonid </w:t>
            </w:r>
          </w:p>
        </w:tc>
        <w:tc>
          <w:tcPr>
            <w:tcW w:w="732" w:type="dxa"/>
            <w:vAlign w:val="center"/>
            <w:hideMark/>
          </w:tcPr>
          <w:p w14:paraId="71B42772" w14:textId="77777777" w:rsidR="00295BCD" w:rsidRPr="001927D6" w:rsidRDefault="00295BCD">
            <w:pPr>
              <w:spacing w:after="0" w:line="240" w:lineRule="auto"/>
              <w:jc w:val="center"/>
              <w:textAlignment w:val="baseline"/>
              <w:rPr>
                <w:szCs w:val="24"/>
                <w:lang w:eastAsia="et-EE"/>
              </w:rPr>
            </w:pPr>
            <w:r w:rsidRPr="001927D6">
              <w:rPr>
                <w:szCs w:val="24"/>
                <w:lang w:eastAsia="et-EE"/>
              </w:rPr>
              <w:t>415 </w:t>
            </w:r>
          </w:p>
        </w:tc>
        <w:tc>
          <w:tcPr>
            <w:tcW w:w="1243" w:type="dxa"/>
            <w:vAlign w:val="center"/>
          </w:tcPr>
          <w:p w14:paraId="275A227F" w14:textId="77777777" w:rsidR="00295BCD" w:rsidRPr="001927D6" w:rsidRDefault="00295BCD">
            <w:pPr>
              <w:spacing w:after="0" w:line="240" w:lineRule="auto"/>
              <w:jc w:val="center"/>
              <w:textAlignment w:val="baseline"/>
              <w:rPr>
                <w:szCs w:val="24"/>
                <w:lang w:eastAsia="et-EE"/>
              </w:rPr>
            </w:pPr>
            <w:r w:rsidRPr="001927D6">
              <w:rPr>
                <w:color w:val="000000"/>
                <w:szCs w:val="24"/>
              </w:rPr>
              <w:t>9 175,98</w:t>
            </w:r>
          </w:p>
        </w:tc>
        <w:tc>
          <w:tcPr>
            <w:tcW w:w="1211" w:type="dxa"/>
            <w:vAlign w:val="center"/>
          </w:tcPr>
          <w:p w14:paraId="47EA3322" w14:textId="77777777" w:rsidR="00295BCD" w:rsidRPr="001927D6" w:rsidRDefault="00295BCD">
            <w:pPr>
              <w:spacing w:after="0" w:line="240" w:lineRule="auto"/>
              <w:jc w:val="center"/>
              <w:textAlignment w:val="baseline"/>
              <w:rPr>
                <w:szCs w:val="24"/>
                <w:lang w:eastAsia="et-EE"/>
              </w:rPr>
            </w:pPr>
            <w:r w:rsidRPr="001927D6">
              <w:rPr>
                <w:color w:val="000000"/>
                <w:szCs w:val="24"/>
              </w:rPr>
              <w:t>1 556,69</w:t>
            </w:r>
          </w:p>
        </w:tc>
        <w:tc>
          <w:tcPr>
            <w:tcW w:w="1238" w:type="dxa"/>
            <w:vAlign w:val="center"/>
          </w:tcPr>
          <w:p w14:paraId="7EB886C0" w14:textId="77777777" w:rsidR="00295BCD" w:rsidRPr="001927D6" w:rsidRDefault="00295BCD">
            <w:pPr>
              <w:spacing w:after="0" w:line="240" w:lineRule="auto"/>
              <w:jc w:val="center"/>
              <w:textAlignment w:val="baseline"/>
              <w:rPr>
                <w:szCs w:val="24"/>
                <w:lang w:eastAsia="et-EE"/>
              </w:rPr>
            </w:pPr>
            <w:r w:rsidRPr="001927D6">
              <w:rPr>
                <w:color w:val="000000"/>
                <w:szCs w:val="24"/>
              </w:rPr>
              <w:t>37 332,05</w:t>
            </w:r>
          </w:p>
        </w:tc>
      </w:tr>
      <w:tr w:rsidR="00295BCD" w:rsidRPr="001927D6" w14:paraId="66BA2D4D" w14:textId="77777777" w:rsidTr="00295BCD">
        <w:trPr>
          <w:divId w:val="1316184749"/>
          <w:trHeight w:val="300"/>
        </w:trPr>
        <w:tc>
          <w:tcPr>
            <w:tcW w:w="4632" w:type="dxa"/>
            <w:vAlign w:val="bottom"/>
            <w:hideMark/>
          </w:tcPr>
          <w:p w14:paraId="5E7CBFA1" w14:textId="77777777" w:rsidR="00295BCD" w:rsidRPr="001927D6" w:rsidRDefault="00295BCD">
            <w:pPr>
              <w:spacing w:after="0" w:line="240" w:lineRule="auto"/>
              <w:textAlignment w:val="baseline"/>
              <w:rPr>
                <w:szCs w:val="24"/>
                <w:lang w:eastAsia="et-EE"/>
              </w:rPr>
            </w:pPr>
            <w:r w:rsidRPr="001927D6">
              <w:rPr>
                <w:szCs w:val="24"/>
                <w:lang w:eastAsia="et-EE"/>
              </w:rPr>
              <w:t>Infektsioon- või parasitaarhaiguste puhused operatsioonid, lühike ravi </w:t>
            </w:r>
          </w:p>
        </w:tc>
        <w:tc>
          <w:tcPr>
            <w:tcW w:w="732" w:type="dxa"/>
            <w:vAlign w:val="center"/>
            <w:hideMark/>
          </w:tcPr>
          <w:p w14:paraId="72D07620" w14:textId="77777777" w:rsidR="00295BCD" w:rsidRPr="001927D6" w:rsidRDefault="00295BCD">
            <w:pPr>
              <w:spacing w:after="0" w:line="240" w:lineRule="auto"/>
              <w:jc w:val="center"/>
              <w:textAlignment w:val="baseline"/>
              <w:rPr>
                <w:szCs w:val="24"/>
                <w:lang w:eastAsia="et-EE"/>
              </w:rPr>
            </w:pPr>
            <w:r w:rsidRPr="001927D6">
              <w:rPr>
                <w:szCs w:val="24"/>
                <w:lang w:eastAsia="et-EE"/>
              </w:rPr>
              <w:t>415O </w:t>
            </w:r>
          </w:p>
        </w:tc>
        <w:tc>
          <w:tcPr>
            <w:tcW w:w="1243" w:type="dxa"/>
            <w:vAlign w:val="center"/>
          </w:tcPr>
          <w:p w14:paraId="4250A661" w14:textId="77777777" w:rsidR="00295BCD" w:rsidRPr="001927D6" w:rsidRDefault="00295BCD">
            <w:pPr>
              <w:spacing w:after="0" w:line="240" w:lineRule="auto"/>
              <w:jc w:val="center"/>
              <w:textAlignment w:val="baseline"/>
              <w:rPr>
                <w:szCs w:val="24"/>
                <w:lang w:eastAsia="et-EE"/>
              </w:rPr>
            </w:pPr>
            <w:r w:rsidRPr="001927D6">
              <w:rPr>
                <w:color w:val="000000"/>
                <w:szCs w:val="24"/>
              </w:rPr>
              <w:t>1 137,57</w:t>
            </w:r>
          </w:p>
        </w:tc>
        <w:tc>
          <w:tcPr>
            <w:tcW w:w="1211" w:type="dxa"/>
            <w:vAlign w:val="center"/>
          </w:tcPr>
          <w:p w14:paraId="2B0BC1B7" w14:textId="77777777" w:rsidR="00295BCD" w:rsidRPr="001927D6" w:rsidRDefault="00295BCD">
            <w:pPr>
              <w:spacing w:after="0" w:line="240" w:lineRule="auto"/>
              <w:jc w:val="center"/>
              <w:textAlignment w:val="baseline"/>
              <w:rPr>
                <w:szCs w:val="24"/>
                <w:lang w:eastAsia="et-EE"/>
              </w:rPr>
            </w:pPr>
            <w:r w:rsidRPr="001927D6">
              <w:rPr>
                <w:color w:val="000000"/>
                <w:szCs w:val="24"/>
              </w:rPr>
              <w:t>550,48</w:t>
            </w:r>
          </w:p>
        </w:tc>
        <w:tc>
          <w:tcPr>
            <w:tcW w:w="1238" w:type="dxa"/>
            <w:vAlign w:val="center"/>
          </w:tcPr>
          <w:p w14:paraId="7D134139" w14:textId="77777777" w:rsidR="00295BCD" w:rsidRPr="001927D6" w:rsidRDefault="00295BCD">
            <w:pPr>
              <w:spacing w:after="0" w:line="240" w:lineRule="auto"/>
              <w:jc w:val="center"/>
              <w:textAlignment w:val="baseline"/>
              <w:rPr>
                <w:szCs w:val="24"/>
                <w:lang w:eastAsia="et-EE"/>
              </w:rPr>
            </w:pPr>
            <w:r w:rsidRPr="001927D6">
              <w:rPr>
                <w:color w:val="000000"/>
                <w:szCs w:val="24"/>
              </w:rPr>
              <w:t>1 577,70</w:t>
            </w:r>
          </w:p>
        </w:tc>
      </w:tr>
      <w:tr w:rsidR="00295BCD" w:rsidRPr="001927D6" w14:paraId="42B78C07" w14:textId="77777777" w:rsidTr="00295BCD">
        <w:trPr>
          <w:divId w:val="1316184749"/>
          <w:trHeight w:val="300"/>
        </w:trPr>
        <w:tc>
          <w:tcPr>
            <w:tcW w:w="4632" w:type="dxa"/>
            <w:vAlign w:val="bottom"/>
            <w:hideMark/>
          </w:tcPr>
          <w:p w14:paraId="0F68DE15" w14:textId="77777777" w:rsidR="00295BCD" w:rsidRPr="001927D6" w:rsidRDefault="00295BCD">
            <w:pPr>
              <w:spacing w:after="0" w:line="240" w:lineRule="auto"/>
              <w:textAlignment w:val="baseline"/>
              <w:rPr>
                <w:szCs w:val="24"/>
                <w:lang w:eastAsia="et-EE"/>
              </w:rPr>
            </w:pPr>
            <w:r w:rsidRPr="001927D6">
              <w:rPr>
                <w:szCs w:val="24"/>
                <w:lang w:eastAsia="et-EE"/>
              </w:rPr>
              <w:t>Septitseemia, vanus &gt; 17 </w:t>
            </w:r>
          </w:p>
        </w:tc>
        <w:tc>
          <w:tcPr>
            <w:tcW w:w="732" w:type="dxa"/>
            <w:vAlign w:val="center"/>
            <w:hideMark/>
          </w:tcPr>
          <w:p w14:paraId="451C8FD0" w14:textId="77777777" w:rsidR="00295BCD" w:rsidRPr="001927D6" w:rsidRDefault="00295BCD">
            <w:pPr>
              <w:spacing w:after="0" w:line="240" w:lineRule="auto"/>
              <w:jc w:val="center"/>
              <w:textAlignment w:val="baseline"/>
              <w:rPr>
                <w:szCs w:val="24"/>
                <w:lang w:eastAsia="et-EE"/>
              </w:rPr>
            </w:pPr>
            <w:r w:rsidRPr="001927D6">
              <w:rPr>
                <w:szCs w:val="24"/>
                <w:lang w:eastAsia="et-EE"/>
              </w:rPr>
              <w:t>416N </w:t>
            </w:r>
          </w:p>
        </w:tc>
        <w:tc>
          <w:tcPr>
            <w:tcW w:w="1243" w:type="dxa"/>
            <w:vAlign w:val="center"/>
          </w:tcPr>
          <w:p w14:paraId="73C603A3" w14:textId="77777777" w:rsidR="00295BCD" w:rsidRPr="001927D6" w:rsidRDefault="00295BCD">
            <w:pPr>
              <w:spacing w:after="0" w:line="240" w:lineRule="auto"/>
              <w:jc w:val="center"/>
              <w:textAlignment w:val="baseline"/>
              <w:rPr>
                <w:szCs w:val="24"/>
                <w:lang w:eastAsia="et-EE"/>
              </w:rPr>
            </w:pPr>
            <w:r w:rsidRPr="001927D6">
              <w:rPr>
                <w:color w:val="000000"/>
                <w:szCs w:val="24"/>
              </w:rPr>
              <w:t>4 749,99</w:t>
            </w:r>
          </w:p>
        </w:tc>
        <w:tc>
          <w:tcPr>
            <w:tcW w:w="1211" w:type="dxa"/>
            <w:vAlign w:val="center"/>
          </w:tcPr>
          <w:p w14:paraId="0E8685B2" w14:textId="77777777" w:rsidR="00295BCD" w:rsidRPr="001927D6" w:rsidRDefault="00295BCD">
            <w:pPr>
              <w:spacing w:after="0" w:line="240" w:lineRule="auto"/>
              <w:jc w:val="center"/>
              <w:textAlignment w:val="baseline"/>
              <w:rPr>
                <w:szCs w:val="24"/>
                <w:lang w:eastAsia="et-EE"/>
              </w:rPr>
            </w:pPr>
            <w:r w:rsidRPr="001927D6">
              <w:rPr>
                <w:color w:val="000000"/>
                <w:szCs w:val="24"/>
              </w:rPr>
              <w:t>1 157,25</w:t>
            </w:r>
          </w:p>
        </w:tc>
        <w:tc>
          <w:tcPr>
            <w:tcW w:w="1238" w:type="dxa"/>
            <w:vAlign w:val="center"/>
          </w:tcPr>
          <w:p w14:paraId="59C3AC58" w14:textId="77777777" w:rsidR="00295BCD" w:rsidRPr="001927D6" w:rsidRDefault="00295BCD">
            <w:pPr>
              <w:spacing w:after="0" w:line="240" w:lineRule="auto"/>
              <w:jc w:val="center"/>
              <w:textAlignment w:val="baseline"/>
              <w:rPr>
                <w:szCs w:val="24"/>
                <w:lang w:eastAsia="et-EE"/>
              </w:rPr>
            </w:pPr>
            <w:r w:rsidRPr="001927D6">
              <w:rPr>
                <w:color w:val="000000"/>
                <w:szCs w:val="24"/>
              </w:rPr>
              <w:t>13 879,76</w:t>
            </w:r>
          </w:p>
        </w:tc>
      </w:tr>
      <w:tr w:rsidR="00295BCD" w:rsidRPr="001927D6" w14:paraId="2CBC9648" w14:textId="77777777" w:rsidTr="00295BCD">
        <w:trPr>
          <w:divId w:val="1316184749"/>
          <w:trHeight w:val="300"/>
        </w:trPr>
        <w:tc>
          <w:tcPr>
            <w:tcW w:w="4632" w:type="dxa"/>
            <w:vAlign w:val="bottom"/>
            <w:hideMark/>
          </w:tcPr>
          <w:p w14:paraId="1683BD24" w14:textId="77777777" w:rsidR="00295BCD" w:rsidRPr="001927D6" w:rsidRDefault="00295BCD">
            <w:pPr>
              <w:spacing w:after="0" w:line="240" w:lineRule="auto"/>
              <w:textAlignment w:val="baseline"/>
              <w:rPr>
                <w:szCs w:val="24"/>
                <w:lang w:eastAsia="et-EE"/>
              </w:rPr>
            </w:pPr>
            <w:r w:rsidRPr="001927D6">
              <w:rPr>
                <w:szCs w:val="24"/>
                <w:lang w:eastAsia="et-EE"/>
              </w:rPr>
              <w:t>Septitseemia, vanus 0–17 </w:t>
            </w:r>
          </w:p>
        </w:tc>
        <w:tc>
          <w:tcPr>
            <w:tcW w:w="732" w:type="dxa"/>
            <w:vAlign w:val="center"/>
            <w:hideMark/>
          </w:tcPr>
          <w:p w14:paraId="56FBC453" w14:textId="77777777" w:rsidR="00295BCD" w:rsidRPr="001927D6" w:rsidRDefault="00295BCD">
            <w:pPr>
              <w:spacing w:after="0" w:line="240" w:lineRule="auto"/>
              <w:jc w:val="center"/>
              <w:textAlignment w:val="baseline"/>
              <w:rPr>
                <w:szCs w:val="24"/>
                <w:lang w:eastAsia="et-EE"/>
              </w:rPr>
            </w:pPr>
            <w:r w:rsidRPr="001927D6">
              <w:rPr>
                <w:szCs w:val="24"/>
                <w:lang w:eastAsia="et-EE"/>
              </w:rPr>
              <w:t>417N </w:t>
            </w:r>
          </w:p>
        </w:tc>
        <w:tc>
          <w:tcPr>
            <w:tcW w:w="1243" w:type="dxa"/>
            <w:vAlign w:val="center"/>
          </w:tcPr>
          <w:p w14:paraId="13A7917A" w14:textId="77777777" w:rsidR="00295BCD" w:rsidRPr="001927D6" w:rsidRDefault="00295BCD">
            <w:pPr>
              <w:spacing w:after="0" w:line="240" w:lineRule="auto"/>
              <w:jc w:val="center"/>
              <w:textAlignment w:val="baseline"/>
              <w:rPr>
                <w:szCs w:val="24"/>
                <w:lang w:eastAsia="et-EE"/>
              </w:rPr>
            </w:pPr>
            <w:r w:rsidRPr="001927D6">
              <w:rPr>
                <w:color w:val="000000"/>
                <w:szCs w:val="24"/>
              </w:rPr>
              <w:t>3 447,34</w:t>
            </w:r>
          </w:p>
        </w:tc>
        <w:tc>
          <w:tcPr>
            <w:tcW w:w="1211" w:type="dxa"/>
            <w:vAlign w:val="center"/>
          </w:tcPr>
          <w:p w14:paraId="1E84A953" w14:textId="77777777" w:rsidR="00295BCD" w:rsidRPr="001927D6" w:rsidRDefault="00295BCD">
            <w:pPr>
              <w:spacing w:after="0" w:line="240" w:lineRule="auto"/>
              <w:jc w:val="center"/>
              <w:textAlignment w:val="baseline"/>
              <w:rPr>
                <w:szCs w:val="24"/>
                <w:lang w:eastAsia="et-EE"/>
              </w:rPr>
            </w:pPr>
            <w:r w:rsidRPr="001927D6">
              <w:rPr>
                <w:color w:val="000000"/>
                <w:szCs w:val="24"/>
              </w:rPr>
              <w:t>1 364,43</w:t>
            </w:r>
          </w:p>
        </w:tc>
        <w:tc>
          <w:tcPr>
            <w:tcW w:w="1238" w:type="dxa"/>
            <w:vAlign w:val="center"/>
          </w:tcPr>
          <w:p w14:paraId="62608AE0" w14:textId="77777777" w:rsidR="00295BCD" w:rsidRPr="001927D6" w:rsidRDefault="00295BCD">
            <w:pPr>
              <w:spacing w:after="0" w:line="240" w:lineRule="auto"/>
              <w:jc w:val="center"/>
              <w:textAlignment w:val="baseline"/>
              <w:rPr>
                <w:szCs w:val="24"/>
                <w:lang w:eastAsia="et-EE"/>
              </w:rPr>
            </w:pPr>
            <w:r w:rsidRPr="001927D6">
              <w:rPr>
                <w:color w:val="000000"/>
                <w:szCs w:val="24"/>
              </w:rPr>
              <w:t>7 202,04</w:t>
            </w:r>
          </w:p>
        </w:tc>
      </w:tr>
      <w:tr w:rsidR="00295BCD" w:rsidRPr="001927D6" w14:paraId="1B5B554F" w14:textId="77777777" w:rsidTr="00295BCD">
        <w:trPr>
          <w:divId w:val="1316184749"/>
          <w:trHeight w:val="300"/>
        </w:trPr>
        <w:tc>
          <w:tcPr>
            <w:tcW w:w="4632" w:type="dxa"/>
            <w:vAlign w:val="bottom"/>
            <w:hideMark/>
          </w:tcPr>
          <w:p w14:paraId="59DE1901" w14:textId="77777777" w:rsidR="00295BCD" w:rsidRPr="001927D6" w:rsidRDefault="00295BCD">
            <w:pPr>
              <w:spacing w:after="0" w:line="240" w:lineRule="auto"/>
              <w:textAlignment w:val="baseline"/>
              <w:rPr>
                <w:szCs w:val="24"/>
                <w:lang w:eastAsia="et-EE"/>
              </w:rPr>
            </w:pPr>
            <w:r w:rsidRPr="001927D6">
              <w:rPr>
                <w:szCs w:val="24"/>
                <w:lang w:eastAsia="et-EE"/>
              </w:rPr>
              <w:t>Operatsiooni- ja traumajärgsed infektsioonid </w:t>
            </w:r>
          </w:p>
        </w:tc>
        <w:tc>
          <w:tcPr>
            <w:tcW w:w="732" w:type="dxa"/>
            <w:vAlign w:val="center"/>
            <w:hideMark/>
          </w:tcPr>
          <w:p w14:paraId="387214D4" w14:textId="77777777" w:rsidR="00295BCD" w:rsidRPr="001927D6" w:rsidRDefault="00295BCD">
            <w:pPr>
              <w:spacing w:after="0" w:line="240" w:lineRule="auto"/>
              <w:jc w:val="center"/>
              <w:textAlignment w:val="baseline"/>
              <w:rPr>
                <w:szCs w:val="24"/>
                <w:lang w:eastAsia="et-EE"/>
              </w:rPr>
            </w:pPr>
            <w:r w:rsidRPr="001927D6">
              <w:rPr>
                <w:szCs w:val="24"/>
                <w:lang w:eastAsia="et-EE"/>
              </w:rPr>
              <w:t>418 </w:t>
            </w:r>
          </w:p>
        </w:tc>
        <w:tc>
          <w:tcPr>
            <w:tcW w:w="1243" w:type="dxa"/>
            <w:vAlign w:val="center"/>
          </w:tcPr>
          <w:p w14:paraId="0B95DE36" w14:textId="77777777" w:rsidR="00295BCD" w:rsidRPr="001927D6" w:rsidRDefault="00295BCD">
            <w:pPr>
              <w:spacing w:after="0" w:line="240" w:lineRule="auto"/>
              <w:jc w:val="center"/>
              <w:textAlignment w:val="baseline"/>
              <w:rPr>
                <w:szCs w:val="24"/>
                <w:lang w:eastAsia="et-EE"/>
              </w:rPr>
            </w:pPr>
            <w:r w:rsidRPr="001927D6">
              <w:rPr>
                <w:color w:val="000000"/>
                <w:szCs w:val="24"/>
              </w:rPr>
              <w:t>1 711,84</w:t>
            </w:r>
          </w:p>
        </w:tc>
        <w:tc>
          <w:tcPr>
            <w:tcW w:w="1211" w:type="dxa"/>
            <w:vAlign w:val="center"/>
          </w:tcPr>
          <w:p w14:paraId="0F7A8540" w14:textId="77777777" w:rsidR="00295BCD" w:rsidRPr="001927D6" w:rsidRDefault="00295BCD">
            <w:pPr>
              <w:spacing w:after="0" w:line="240" w:lineRule="auto"/>
              <w:jc w:val="center"/>
              <w:textAlignment w:val="baseline"/>
              <w:rPr>
                <w:szCs w:val="24"/>
                <w:lang w:eastAsia="et-EE"/>
              </w:rPr>
            </w:pPr>
            <w:r w:rsidRPr="001927D6">
              <w:rPr>
                <w:color w:val="000000"/>
                <w:szCs w:val="24"/>
              </w:rPr>
              <w:t>493,38</w:t>
            </w:r>
          </w:p>
        </w:tc>
        <w:tc>
          <w:tcPr>
            <w:tcW w:w="1238" w:type="dxa"/>
            <w:vAlign w:val="center"/>
          </w:tcPr>
          <w:p w14:paraId="6A56B49A" w14:textId="77777777" w:rsidR="00295BCD" w:rsidRPr="001927D6" w:rsidRDefault="00295BCD">
            <w:pPr>
              <w:spacing w:after="0" w:line="240" w:lineRule="auto"/>
              <w:jc w:val="center"/>
              <w:textAlignment w:val="baseline"/>
              <w:rPr>
                <w:szCs w:val="24"/>
                <w:lang w:eastAsia="et-EE"/>
              </w:rPr>
            </w:pPr>
            <w:r w:rsidRPr="001927D6">
              <w:rPr>
                <w:color w:val="000000"/>
                <w:szCs w:val="24"/>
              </w:rPr>
              <w:t>3 755,06</w:t>
            </w:r>
          </w:p>
        </w:tc>
      </w:tr>
      <w:tr w:rsidR="00295BCD" w:rsidRPr="001927D6" w14:paraId="3AB40606" w14:textId="77777777" w:rsidTr="00295BCD">
        <w:trPr>
          <w:divId w:val="1316184749"/>
          <w:trHeight w:val="300"/>
        </w:trPr>
        <w:tc>
          <w:tcPr>
            <w:tcW w:w="4632" w:type="dxa"/>
            <w:vAlign w:val="bottom"/>
            <w:hideMark/>
          </w:tcPr>
          <w:p w14:paraId="19E4779E" w14:textId="77777777" w:rsidR="00295BCD" w:rsidRPr="001927D6" w:rsidRDefault="00295BCD">
            <w:pPr>
              <w:spacing w:after="0" w:line="240" w:lineRule="auto"/>
              <w:textAlignment w:val="baseline"/>
              <w:rPr>
                <w:szCs w:val="24"/>
                <w:lang w:eastAsia="et-EE"/>
              </w:rPr>
            </w:pPr>
            <w:r w:rsidRPr="001927D6">
              <w:rPr>
                <w:szCs w:val="24"/>
                <w:lang w:eastAsia="et-EE"/>
              </w:rPr>
              <w:t>Tundmatu päritoluga palavik, vanus &gt; 17, kht-ga </w:t>
            </w:r>
          </w:p>
        </w:tc>
        <w:tc>
          <w:tcPr>
            <w:tcW w:w="732" w:type="dxa"/>
            <w:vAlign w:val="center"/>
            <w:hideMark/>
          </w:tcPr>
          <w:p w14:paraId="6CCD998D" w14:textId="77777777" w:rsidR="00295BCD" w:rsidRPr="001927D6" w:rsidRDefault="00295BCD">
            <w:pPr>
              <w:spacing w:after="0" w:line="240" w:lineRule="auto"/>
              <w:jc w:val="center"/>
              <w:textAlignment w:val="baseline"/>
              <w:rPr>
                <w:szCs w:val="24"/>
                <w:lang w:eastAsia="et-EE"/>
              </w:rPr>
            </w:pPr>
            <w:r w:rsidRPr="001927D6">
              <w:rPr>
                <w:szCs w:val="24"/>
                <w:lang w:eastAsia="et-EE"/>
              </w:rPr>
              <w:t>419 </w:t>
            </w:r>
          </w:p>
        </w:tc>
        <w:tc>
          <w:tcPr>
            <w:tcW w:w="1243" w:type="dxa"/>
            <w:vAlign w:val="center"/>
          </w:tcPr>
          <w:p w14:paraId="2688960F" w14:textId="77777777" w:rsidR="00295BCD" w:rsidRPr="001927D6" w:rsidRDefault="00295BCD">
            <w:pPr>
              <w:spacing w:after="0" w:line="240" w:lineRule="auto"/>
              <w:jc w:val="center"/>
              <w:textAlignment w:val="baseline"/>
              <w:rPr>
                <w:szCs w:val="24"/>
                <w:lang w:eastAsia="et-EE"/>
              </w:rPr>
            </w:pPr>
            <w:r w:rsidRPr="001927D6">
              <w:rPr>
                <w:color w:val="000000"/>
                <w:szCs w:val="24"/>
              </w:rPr>
              <w:t>2 552,84</w:t>
            </w:r>
          </w:p>
        </w:tc>
        <w:tc>
          <w:tcPr>
            <w:tcW w:w="1211" w:type="dxa"/>
            <w:vAlign w:val="center"/>
          </w:tcPr>
          <w:p w14:paraId="60F17D36" w14:textId="77777777" w:rsidR="00295BCD" w:rsidRPr="001927D6" w:rsidRDefault="00295BCD">
            <w:pPr>
              <w:spacing w:after="0" w:line="240" w:lineRule="auto"/>
              <w:jc w:val="center"/>
              <w:textAlignment w:val="baseline"/>
              <w:rPr>
                <w:szCs w:val="24"/>
                <w:lang w:eastAsia="et-EE"/>
              </w:rPr>
            </w:pPr>
            <w:r w:rsidRPr="001927D6">
              <w:rPr>
                <w:color w:val="000000"/>
                <w:szCs w:val="24"/>
              </w:rPr>
              <w:t>860,06</w:t>
            </w:r>
          </w:p>
        </w:tc>
        <w:tc>
          <w:tcPr>
            <w:tcW w:w="1238" w:type="dxa"/>
            <w:vAlign w:val="center"/>
          </w:tcPr>
          <w:p w14:paraId="2B5D7090" w14:textId="77777777" w:rsidR="00295BCD" w:rsidRPr="001927D6" w:rsidRDefault="00295BCD">
            <w:pPr>
              <w:spacing w:after="0" w:line="240" w:lineRule="auto"/>
              <w:jc w:val="center"/>
              <w:textAlignment w:val="baseline"/>
              <w:rPr>
                <w:szCs w:val="24"/>
                <w:lang w:eastAsia="et-EE"/>
              </w:rPr>
            </w:pPr>
            <w:r w:rsidRPr="001927D6">
              <w:rPr>
                <w:color w:val="000000"/>
                <w:szCs w:val="24"/>
              </w:rPr>
              <w:t>4 610,26</w:t>
            </w:r>
          </w:p>
        </w:tc>
      </w:tr>
      <w:tr w:rsidR="00295BCD" w:rsidRPr="001927D6" w14:paraId="0A9FCC1B" w14:textId="77777777" w:rsidTr="00295BCD">
        <w:trPr>
          <w:divId w:val="1316184749"/>
          <w:trHeight w:val="300"/>
        </w:trPr>
        <w:tc>
          <w:tcPr>
            <w:tcW w:w="4632" w:type="dxa"/>
            <w:vAlign w:val="bottom"/>
            <w:hideMark/>
          </w:tcPr>
          <w:p w14:paraId="2757F97C" w14:textId="77777777" w:rsidR="00295BCD" w:rsidRPr="001927D6" w:rsidRDefault="00295BCD">
            <w:pPr>
              <w:spacing w:after="0" w:line="240" w:lineRule="auto"/>
              <w:textAlignment w:val="baseline"/>
              <w:rPr>
                <w:szCs w:val="24"/>
                <w:lang w:eastAsia="et-EE"/>
              </w:rPr>
            </w:pPr>
            <w:r w:rsidRPr="001927D6">
              <w:rPr>
                <w:szCs w:val="24"/>
                <w:lang w:eastAsia="et-EE"/>
              </w:rPr>
              <w:t>Tundmatu päritoluga palavik, vanus &gt; 17, kht-ta </w:t>
            </w:r>
          </w:p>
        </w:tc>
        <w:tc>
          <w:tcPr>
            <w:tcW w:w="732" w:type="dxa"/>
            <w:vAlign w:val="center"/>
            <w:hideMark/>
          </w:tcPr>
          <w:p w14:paraId="750AD3B3" w14:textId="77777777" w:rsidR="00295BCD" w:rsidRPr="001927D6" w:rsidRDefault="00295BCD">
            <w:pPr>
              <w:spacing w:after="0" w:line="240" w:lineRule="auto"/>
              <w:jc w:val="center"/>
              <w:textAlignment w:val="baseline"/>
              <w:rPr>
                <w:szCs w:val="24"/>
                <w:lang w:eastAsia="et-EE"/>
              </w:rPr>
            </w:pPr>
            <w:r w:rsidRPr="001927D6">
              <w:rPr>
                <w:szCs w:val="24"/>
                <w:lang w:eastAsia="et-EE"/>
              </w:rPr>
              <w:t>420 </w:t>
            </w:r>
          </w:p>
        </w:tc>
        <w:tc>
          <w:tcPr>
            <w:tcW w:w="1243" w:type="dxa"/>
            <w:vAlign w:val="center"/>
          </w:tcPr>
          <w:p w14:paraId="3B686912" w14:textId="77777777" w:rsidR="00295BCD" w:rsidRPr="001927D6" w:rsidRDefault="00295BCD">
            <w:pPr>
              <w:spacing w:after="0" w:line="240" w:lineRule="auto"/>
              <w:jc w:val="center"/>
              <w:textAlignment w:val="baseline"/>
              <w:rPr>
                <w:szCs w:val="24"/>
                <w:lang w:eastAsia="et-EE"/>
              </w:rPr>
            </w:pPr>
            <w:r w:rsidRPr="001927D6">
              <w:rPr>
                <w:color w:val="000000"/>
                <w:szCs w:val="24"/>
              </w:rPr>
              <w:t>2 706,24</w:t>
            </w:r>
          </w:p>
        </w:tc>
        <w:tc>
          <w:tcPr>
            <w:tcW w:w="1211" w:type="dxa"/>
            <w:vAlign w:val="center"/>
          </w:tcPr>
          <w:p w14:paraId="2F93B8DF" w14:textId="77777777" w:rsidR="00295BCD" w:rsidRPr="001927D6" w:rsidRDefault="00295BCD">
            <w:pPr>
              <w:spacing w:after="0" w:line="240" w:lineRule="auto"/>
              <w:jc w:val="center"/>
              <w:textAlignment w:val="baseline"/>
              <w:rPr>
                <w:szCs w:val="24"/>
                <w:lang w:eastAsia="et-EE"/>
              </w:rPr>
            </w:pPr>
            <w:r w:rsidRPr="001927D6">
              <w:rPr>
                <w:color w:val="000000"/>
                <w:szCs w:val="24"/>
              </w:rPr>
              <w:t>498,27</w:t>
            </w:r>
          </w:p>
        </w:tc>
        <w:tc>
          <w:tcPr>
            <w:tcW w:w="1238" w:type="dxa"/>
            <w:vAlign w:val="center"/>
          </w:tcPr>
          <w:p w14:paraId="51281AFA" w14:textId="77777777" w:rsidR="00295BCD" w:rsidRPr="001927D6" w:rsidRDefault="00295BCD">
            <w:pPr>
              <w:spacing w:after="0" w:line="240" w:lineRule="auto"/>
              <w:jc w:val="center"/>
              <w:textAlignment w:val="baseline"/>
              <w:rPr>
                <w:szCs w:val="24"/>
                <w:lang w:eastAsia="et-EE"/>
              </w:rPr>
            </w:pPr>
            <w:r w:rsidRPr="001927D6">
              <w:rPr>
                <w:color w:val="000000"/>
                <w:szCs w:val="24"/>
              </w:rPr>
              <w:t>6 748,21</w:t>
            </w:r>
          </w:p>
        </w:tc>
      </w:tr>
      <w:tr w:rsidR="00295BCD" w:rsidRPr="001927D6" w14:paraId="4226C1FE" w14:textId="77777777" w:rsidTr="00295BCD">
        <w:trPr>
          <w:divId w:val="1316184749"/>
          <w:trHeight w:val="300"/>
        </w:trPr>
        <w:tc>
          <w:tcPr>
            <w:tcW w:w="4632" w:type="dxa"/>
            <w:vAlign w:val="bottom"/>
            <w:hideMark/>
          </w:tcPr>
          <w:p w14:paraId="2F65CEC6" w14:textId="77777777" w:rsidR="00295BCD" w:rsidRPr="001927D6" w:rsidRDefault="00295BCD">
            <w:pPr>
              <w:spacing w:after="0" w:line="240" w:lineRule="auto"/>
              <w:textAlignment w:val="baseline"/>
              <w:rPr>
                <w:szCs w:val="24"/>
                <w:lang w:eastAsia="et-EE"/>
              </w:rPr>
            </w:pPr>
            <w:r w:rsidRPr="001927D6">
              <w:rPr>
                <w:szCs w:val="24"/>
                <w:lang w:eastAsia="et-EE"/>
              </w:rPr>
              <w:t>Viirushaigus, vanus &gt; 17 </w:t>
            </w:r>
          </w:p>
        </w:tc>
        <w:tc>
          <w:tcPr>
            <w:tcW w:w="732" w:type="dxa"/>
            <w:vAlign w:val="center"/>
            <w:hideMark/>
          </w:tcPr>
          <w:p w14:paraId="6FBA46C9" w14:textId="77777777" w:rsidR="00295BCD" w:rsidRPr="001927D6" w:rsidRDefault="00295BCD">
            <w:pPr>
              <w:spacing w:after="0" w:line="240" w:lineRule="auto"/>
              <w:jc w:val="center"/>
              <w:textAlignment w:val="baseline"/>
              <w:rPr>
                <w:szCs w:val="24"/>
                <w:lang w:eastAsia="et-EE"/>
              </w:rPr>
            </w:pPr>
            <w:r w:rsidRPr="001927D6">
              <w:rPr>
                <w:szCs w:val="24"/>
                <w:lang w:eastAsia="et-EE"/>
              </w:rPr>
              <w:t>421 </w:t>
            </w:r>
          </w:p>
        </w:tc>
        <w:tc>
          <w:tcPr>
            <w:tcW w:w="1243" w:type="dxa"/>
            <w:vAlign w:val="center"/>
          </w:tcPr>
          <w:p w14:paraId="583A8A73" w14:textId="77777777" w:rsidR="00295BCD" w:rsidRPr="001927D6" w:rsidRDefault="00295BCD">
            <w:pPr>
              <w:spacing w:after="0" w:line="240" w:lineRule="auto"/>
              <w:jc w:val="center"/>
              <w:textAlignment w:val="baseline"/>
              <w:rPr>
                <w:szCs w:val="24"/>
                <w:lang w:eastAsia="et-EE"/>
              </w:rPr>
            </w:pPr>
            <w:r w:rsidRPr="001927D6">
              <w:rPr>
                <w:color w:val="000000"/>
                <w:szCs w:val="24"/>
              </w:rPr>
              <w:t>2 325,58</w:t>
            </w:r>
          </w:p>
        </w:tc>
        <w:tc>
          <w:tcPr>
            <w:tcW w:w="1211" w:type="dxa"/>
            <w:vAlign w:val="center"/>
          </w:tcPr>
          <w:p w14:paraId="58DE3A50" w14:textId="77777777" w:rsidR="00295BCD" w:rsidRPr="001927D6" w:rsidRDefault="00295BCD">
            <w:pPr>
              <w:spacing w:after="0" w:line="240" w:lineRule="auto"/>
              <w:jc w:val="center"/>
              <w:textAlignment w:val="baseline"/>
              <w:rPr>
                <w:szCs w:val="24"/>
                <w:lang w:eastAsia="et-EE"/>
              </w:rPr>
            </w:pPr>
            <w:r w:rsidRPr="001927D6">
              <w:rPr>
                <w:color w:val="000000"/>
                <w:szCs w:val="24"/>
              </w:rPr>
              <w:t>846,63</w:t>
            </w:r>
          </w:p>
        </w:tc>
        <w:tc>
          <w:tcPr>
            <w:tcW w:w="1238" w:type="dxa"/>
            <w:vAlign w:val="center"/>
          </w:tcPr>
          <w:p w14:paraId="606FF56A" w14:textId="77777777" w:rsidR="00295BCD" w:rsidRPr="001927D6" w:rsidRDefault="00295BCD">
            <w:pPr>
              <w:spacing w:after="0" w:line="240" w:lineRule="auto"/>
              <w:jc w:val="center"/>
              <w:textAlignment w:val="baseline"/>
              <w:rPr>
                <w:szCs w:val="24"/>
                <w:lang w:eastAsia="et-EE"/>
              </w:rPr>
            </w:pPr>
            <w:r w:rsidRPr="001927D6">
              <w:rPr>
                <w:color w:val="000000"/>
                <w:szCs w:val="24"/>
              </w:rPr>
              <w:t>4 579,97</w:t>
            </w:r>
          </w:p>
        </w:tc>
      </w:tr>
      <w:tr w:rsidR="00295BCD" w:rsidRPr="001927D6" w14:paraId="35BA3F63" w14:textId="77777777" w:rsidTr="00295BCD">
        <w:trPr>
          <w:divId w:val="1316184749"/>
          <w:trHeight w:val="300"/>
        </w:trPr>
        <w:tc>
          <w:tcPr>
            <w:tcW w:w="4632" w:type="dxa"/>
            <w:vAlign w:val="bottom"/>
            <w:hideMark/>
          </w:tcPr>
          <w:p w14:paraId="63ED08FC"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Viirushaigus ja tundmatu päritoluga palavik, vanus 0–17 </w:t>
            </w:r>
          </w:p>
        </w:tc>
        <w:tc>
          <w:tcPr>
            <w:tcW w:w="732" w:type="dxa"/>
            <w:vAlign w:val="center"/>
            <w:hideMark/>
          </w:tcPr>
          <w:p w14:paraId="177E91FA" w14:textId="77777777" w:rsidR="00295BCD" w:rsidRPr="001927D6" w:rsidRDefault="00295BCD">
            <w:pPr>
              <w:spacing w:after="0" w:line="240" w:lineRule="auto"/>
              <w:jc w:val="center"/>
              <w:textAlignment w:val="baseline"/>
              <w:rPr>
                <w:szCs w:val="24"/>
                <w:lang w:eastAsia="et-EE"/>
              </w:rPr>
            </w:pPr>
            <w:r w:rsidRPr="001927D6">
              <w:rPr>
                <w:szCs w:val="24"/>
                <w:lang w:eastAsia="et-EE"/>
              </w:rPr>
              <w:t>422 </w:t>
            </w:r>
          </w:p>
        </w:tc>
        <w:tc>
          <w:tcPr>
            <w:tcW w:w="1243" w:type="dxa"/>
            <w:vAlign w:val="center"/>
          </w:tcPr>
          <w:p w14:paraId="6DB2E2E8" w14:textId="77777777" w:rsidR="00295BCD" w:rsidRPr="001927D6" w:rsidRDefault="00295BCD">
            <w:pPr>
              <w:spacing w:after="0" w:line="240" w:lineRule="auto"/>
              <w:jc w:val="center"/>
              <w:textAlignment w:val="baseline"/>
              <w:rPr>
                <w:szCs w:val="24"/>
                <w:lang w:eastAsia="et-EE"/>
              </w:rPr>
            </w:pPr>
            <w:r w:rsidRPr="001927D6">
              <w:rPr>
                <w:color w:val="000000"/>
                <w:szCs w:val="24"/>
              </w:rPr>
              <w:t>1 041,69</w:t>
            </w:r>
          </w:p>
        </w:tc>
        <w:tc>
          <w:tcPr>
            <w:tcW w:w="1211" w:type="dxa"/>
            <w:vAlign w:val="center"/>
          </w:tcPr>
          <w:p w14:paraId="02B7DC3D" w14:textId="77777777" w:rsidR="00295BCD" w:rsidRPr="001927D6" w:rsidRDefault="00295BCD">
            <w:pPr>
              <w:spacing w:after="0" w:line="240" w:lineRule="auto"/>
              <w:jc w:val="center"/>
              <w:textAlignment w:val="baseline"/>
              <w:rPr>
                <w:szCs w:val="24"/>
                <w:lang w:eastAsia="et-EE"/>
              </w:rPr>
            </w:pPr>
            <w:r w:rsidRPr="001927D6">
              <w:rPr>
                <w:color w:val="000000"/>
                <w:szCs w:val="24"/>
              </w:rPr>
              <w:t>455,04</w:t>
            </w:r>
          </w:p>
        </w:tc>
        <w:tc>
          <w:tcPr>
            <w:tcW w:w="1238" w:type="dxa"/>
            <w:vAlign w:val="center"/>
          </w:tcPr>
          <w:p w14:paraId="6288D0AC" w14:textId="77777777" w:rsidR="00295BCD" w:rsidRPr="001927D6" w:rsidRDefault="00295BCD">
            <w:pPr>
              <w:spacing w:after="0" w:line="240" w:lineRule="auto"/>
              <w:jc w:val="center"/>
              <w:textAlignment w:val="baseline"/>
              <w:rPr>
                <w:szCs w:val="24"/>
                <w:lang w:eastAsia="et-EE"/>
              </w:rPr>
            </w:pPr>
            <w:r w:rsidRPr="001927D6">
              <w:rPr>
                <w:color w:val="000000"/>
                <w:szCs w:val="24"/>
              </w:rPr>
              <w:t>1 833,49</w:t>
            </w:r>
          </w:p>
        </w:tc>
      </w:tr>
      <w:tr w:rsidR="00295BCD" w:rsidRPr="001927D6" w14:paraId="67514BAC" w14:textId="77777777" w:rsidTr="00295BCD">
        <w:trPr>
          <w:divId w:val="1316184749"/>
          <w:trHeight w:val="300"/>
        </w:trPr>
        <w:tc>
          <w:tcPr>
            <w:tcW w:w="4632" w:type="dxa"/>
            <w:vAlign w:val="bottom"/>
            <w:hideMark/>
          </w:tcPr>
          <w:p w14:paraId="451E8ED5" w14:textId="77777777" w:rsidR="00295BCD" w:rsidRPr="001927D6" w:rsidRDefault="00295BCD">
            <w:pPr>
              <w:spacing w:after="0" w:line="240" w:lineRule="auto"/>
              <w:textAlignment w:val="baseline"/>
              <w:rPr>
                <w:szCs w:val="24"/>
                <w:lang w:eastAsia="et-EE"/>
              </w:rPr>
            </w:pPr>
            <w:r w:rsidRPr="001927D6">
              <w:rPr>
                <w:szCs w:val="24"/>
                <w:lang w:eastAsia="et-EE"/>
              </w:rPr>
              <w:t>Muud infektsioon- ja parasitaarhaigused </w:t>
            </w:r>
          </w:p>
        </w:tc>
        <w:tc>
          <w:tcPr>
            <w:tcW w:w="732" w:type="dxa"/>
            <w:vAlign w:val="center"/>
            <w:hideMark/>
          </w:tcPr>
          <w:p w14:paraId="405A615D" w14:textId="77777777" w:rsidR="00295BCD" w:rsidRPr="001927D6" w:rsidRDefault="00295BCD">
            <w:pPr>
              <w:spacing w:after="0" w:line="240" w:lineRule="auto"/>
              <w:jc w:val="center"/>
              <w:textAlignment w:val="baseline"/>
              <w:rPr>
                <w:szCs w:val="24"/>
                <w:lang w:eastAsia="et-EE"/>
              </w:rPr>
            </w:pPr>
            <w:r w:rsidRPr="001927D6">
              <w:rPr>
                <w:szCs w:val="24"/>
                <w:lang w:eastAsia="et-EE"/>
              </w:rPr>
              <w:t>423 </w:t>
            </w:r>
          </w:p>
        </w:tc>
        <w:tc>
          <w:tcPr>
            <w:tcW w:w="1243" w:type="dxa"/>
            <w:vAlign w:val="center"/>
          </w:tcPr>
          <w:p w14:paraId="6655FA69" w14:textId="77777777" w:rsidR="00295BCD" w:rsidRPr="001927D6" w:rsidRDefault="00295BCD">
            <w:pPr>
              <w:spacing w:after="0" w:line="240" w:lineRule="auto"/>
              <w:jc w:val="center"/>
              <w:textAlignment w:val="baseline"/>
              <w:rPr>
                <w:szCs w:val="24"/>
                <w:lang w:eastAsia="et-EE"/>
              </w:rPr>
            </w:pPr>
            <w:r w:rsidRPr="001927D6">
              <w:rPr>
                <w:color w:val="000000"/>
                <w:szCs w:val="24"/>
              </w:rPr>
              <w:t>2 655,02</w:t>
            </w:r>
          </w:p>
        </w:tc>
        <w:tc>
          <w:tcPr>
            <w:tcW w:w="1211" w:type="dxa"/>
            <w:vAlign w:val="center"/>
          </w:tcPr>
          <w:p w14:paraId="0B746EE1" w14:textId="77777777" w:rsidR="00295BCD" w:rsidRPr="001927D6" w:rsidRDefault="00295BCD">
            <w:pPr>
              <w:spacing w:after="0" w:line="240" w:lineRule="auto"/>
              <w:jc w:val="center"/>
              <w:textAlignment w:val="baseline"/>
              <w:rPr>
                <w:szCs w:val="24"/>
                <w:lang w:eastAsia="et-EE"/>
              </w:rPr>
            </w:pPr>
            <w:r w:rsidRPr="001927D6">
              <w:rPr>
                <w:color w:val="000000"/>
                <w:szCs w:val="24"/>
              </w:rPr>
              <w:t>639,40</w:t>
            </w:r>
          </w:p>
        </w:tc>
        <w:tc>
          <w:tcPr>
            <w:tcW w:w="1238" w:type="dxa"/>
            <w:vAlign w:val="center"/>
          </w:tcPr>
          <w:p w14:paraId="0CCE7453" w14:textId="77777777" w:rsidR="00295BCD" w:rsidRPr="001927D6" w:rsidRDefault="00295BCD">
            <w:pPr>
              <w:spacing w:after="0" w:line="240" w:lineRule="auto"/>
              <w:jc w:val="center"/>
              <w:textAlignment w:val="baseline"/>
              <w:rPr>
                <w:szCs w:val="24"/>
                <w:lang w:eastAsia="et-EE"/>
              </w:rPr>
            </w:pPr>
            <w:r w:rsidRPr="001927D6">
              <w:rPr>
                <w:color w:val="000000"/>
                <w:szCs w:val="24"/>
              </w:rPr>
              <w:t>6 392,88</w:t>
            </w:r>
          </w:p>
        </w:tc>
      </w:tr>
      <w:tr w:rsidR="00295BCD" w:rsidRPr="001927D6" w14:paraId="45FB5F4F" w14:textId="77777777" w:rsidTr="00295BCD">
        <w:trPr>
          <w:divId w:val="1316184749"/>
          <w:trHeight w:val="300"/>
        </w:trPr>
        <w:tc>
          <w:tcPr>
            <w:tcW w:w="4632" w:type="dxa"/>
            <w:vAlign w:val="bottom"/>
            <w:hideMark/>
          </w:tcPr>
          <w:p w14:paraId="34D0F62D" w14:textId="77777777" w:rsidR="00295BCD" w:rsidRPr="001927D6" w:rsidRDefault="00295BCD">
            <w:pPr>
              <w:spacing w:after="0" w:line="240" w:lineRule="auto"/>
              <w:textAlignment w:val="baseline"/>
              <w:rPr>
                <w:szCs w:val="24"/>
                <w:lang w:eastAsia="et-EE"/>
              </w:rPr>
            </w:pPr>
            <w:r w:rsidRPr="001927D6">
              <w:rPr>
                <w:szCs w:val="24"/>
                <w:lang w:eastAsia="et-EE"/>
              </w:rPr>
              <w:t>Psüühilise haiguse põhidiagnoosi korral tehtud operatsioon </w:t>
            </w:r>
          </w:p>
        </w:tc>
        <w:tc>
          <w:tcPr>
            <w:tcW w:w="732" w:type="dxa"/>
            <w:vAlign w:val="center"/>
            <w:hideMark/>
          </w:tcPr>
          <w:p w14:paraId="4F80FD61" w14:textId="77777777" w:rsidR="00295BCD" w:rsidRPr="001927D6" w:rsidRDefault="00295BCD">
            <w:pPr>
              <w:spacing w:after="0" w:line="240" w:lineRule="auto"/>
              <w:jc w:val="center"/>
              <w:textAlignment w:val="baseline"/>
              <w:rPr>
                <w:szCs w:val="24"/>
                <w:lang w:eastAsia="et-EE"/>
              </w:rPr>
            </w:pPr>
            <w:r w:rsidRPr="001927D6">
              <w:rPr>
                <w:szCs w:val="24"/>
                <w:lang w:eastAsia="et-EE"/>
              </w:rPr>
              <w:t>424N </w:t>
            </w:r>
          </w:p>
        </w:tc>
        <w:tc>
          <w:tcPr>
            <w:tcW w:w="1243" w:type="dxa"/>
            <w:vAlign w:val="center"/>
          </w:tcPr>
          <w:p w14:paraId="228554B2" w14:textId="77777777" w:rsidR="00295BCD" w:rsidRPr="001927D6" w:rsidRDefault="00295BCD">
            <w:pPr>
              <w:spacing w:after="0" w:line="240" w:lineRule="auto"/>
              <w:jc w:val="center"/>
              <w:textAlignment w:val="baseline"/>
              <w:rPr>
                <w:szCs w:val="24"/>
                <w:lang w:eastAsia="et-EE"/>
              </w:rPr>
            </w:pPr>
            <w:r w:rsidRPr="001927D6">
              <w:rPr>
                <w:color w:val="000000"/>
                <w:szCs w:val="24"/>
              </w:rPr>
              <w:t>7 859,07</w:t>
            </w:r>
          </w:p>
        </w:tc>
        <w:tc>
          <w:tcPr>
            <w:tcW w:w="1211" w:type="dxa"/>
            <w:vAlign w:val="center"/>
          </w:tcPr>
          <w:p w14:paraId="700EFE10" w14:textId="77777777" w:rsidR="00295BCD" w:rsidRPr="001927D6" w:rsidRDefault="00295BCD">
            <w:pPr>
              <w:spacing w:after="0" w:line="240" w:lineRule="auto"/>
              <w:jc w:val="center"/>
              <w:textAlignment w:val="baseline"/>
              <w:rPr>
                <w:szCs w:val="24"/>
                <w:lang w:eastAsia="et-EE"/>
              </w:rPr>
            </w:pPr>
            <w:r w:rsidRPr="001927D6">
              <w:rPr>
                <w:color w:val="000000"/>
                <w:szCs w:val="24"/>
              </w:rPr>
              <w:t>1 211,54</w:t>
            </w:r>
          </w:p>
        </w:tc>
        <w:tc>
          <w:tcPr>
            <w:tcW w:w="1238" w:type="dxa"/>
            <w:vAlign w:val="center"/>
          </w:tcPr>
          <w:p w14:paraId="0A359E02" w14:textId="77777777" w:rsidR="00295BCD" w:rsidRPr="001927D6" w:rsidRDefault="00295BCD">
            <w:pPr>
              <w:spacing w:after="0" w:line="240" w:lineRule="auto"/>
              <w:jc w:val="center"/>
              <w:textAlignment w:val="baseline"/>
              <w:rPr>
                <w:szCs w:val="24"/>
                <w:lang w:eastAsia="et-EE"/>
              </w:rPr>
            </w:pPr>
            <w:r w:rsidRPr="001927D6">
              <w:rPr>
                <w:color w:val="000000"/>
                <w:szCs w:val="24"/>
              </w:rPr>
              <w:t>29 167,10</w:t>
            </w:r>
          </w:p>
        </w:tc>
      </w:tr>
      <w:tr w:rsidR="00295BCD" w:rsidRPr="001927D6" w14:paraId="11F9351E" w14:textId="77777777" w:rsidTr="00295BCD">
        <w:trPr>
          <w:divId w:val="1316184749"/>
          <w:trHeight w:val="300"/>
        </w:trPr>
        <w:tc>
          <w:tcPr>
            <w:tcW w:w="4632" w:type="dxa"/>
            <w:vAlign w:val="bottom"/>
            <w:hideMark/>
          </w:tcPr>
          <w:p w14:paraId="57843676" w14:textId="77777777" w:rsidR="00295BCD" w:rsidRPr="001927D6" w:rsidRDefault="00295BCD">
            <w:pPr>
              <w:spacing w:after="0" w:line="240" w:lineRule="auto"/>
              <w:textAlignment w:val="baseline"/>
              <w:rPr>
                <w:szCs w:val="24"/>
                <w:lang w:eastAsia="et-EE"/>
              </w:rPr>
            </w:pPr>
            <w:r w:rsidRPr="001927D6">
              <w:rPr>
                <w:szCs w:val="24"/>
                <w:lang w:eastAsia="et-EE"/>
              </w:rPr>
              <w:t>Psüühilise haiguse põhidiagnoosi korral tehtud operatsioon, lühike ravi </w:t>
            </w:r>
          </w:p>
        </w:tc>
        <w:tc>
          <w:tcPr>
            <w:tcW w:w="732" w:type="dxa"/>
            <w:vAlign w:val="center"/>
            <w:hideMark/>
          </w:tcPr>
          <w:p w14:paraId="062A21C4" w14:textId="77777777" w:rsidR="00295BCD" w:rsidRPr="001927D6" w:rsidRDefault="00295BCD">
            <w:pPr>
              <w:spacing w:after="0" w:line="240" w:lineRule="auto"/>
              <w:jc w:val="center"/>
              <w:textAlignment w:val="baseline"/>
              <w:rPr>
                <w:szCs w:val="24"/>
                <w:lang w:eastAsia="et-EE"/>
              </w:rPr>
            </w:pPr>
            <w:r w:rsidRPr="001927D6">
              <w:rPr>
                <w:szCs w:val="24"/>
                <w:lang w:eastAsia="et-EE"/>
              </w:rPr>
              <w:t>424O </w:t>
            </w:r>
          </w:p>
        </w:tc>
        <w:tc>
          <w:tcPr>
            <w:tcW w:w="1243" w:type="dxa"/>
            <w:vAlign w:val="center"/>
          </w:tcPr>
          <w:p w14:paraId="195E07F7" w14:textId="77777777" w:rsidR="00295BCD" w:rsidRPr="001927D6" w:rsidRDefault="00295BCD">
            <w:pPr>
              <w:spacing w:after="0" w:line="240" w:lineRule="auto"/>
              <w:jc w:val="center"/>
              <w:textAlignment w:val="baseline"/>
              <w:rPr>
                <w:szCs w:val="24"/>
                <w:lang w:eastAsia="et-EE"/>
              </w:rPr>
            </w:pPr>
            <w:r w:rsidRPr="001927D6">
              <w:rPr>
                <w:color w:val="000000"/>
                <w:szCs w:val="24"/>
              </w:rPr>
              <w:t>1 210,75</w:t>
            </w:r>
          </w:p>
        </w:tc>
        <w:tc>
          <w:tcPr>
            <w:tcW w:w="1211" w:type="dxa"/>
            <w:vAlign w:val="center"/>
          </w:tcPr>
          <w:p w14:paraId="47644534" w14:textId="77777777" w:rsidR="00295BCD" w:rsidRPr="001927D6" w:rsidRDefault="00295BCD">
            <w:pPr>
              <w:spacing w:after="0" w:line="240" w:lineRule="auto"/>
              <w:jc w:val="center"/>
              <w:textAlignment w:val="baseline"/>
              <w:rPr>
                <w:szCs w:val="24"/>
                <w:lang w:eastAsia="et-EE"/>
              </w:rPr>
            </w:pPr>
            <w:r w:rsidRPr="001927D6">
              <w:rPr>
                <w:color w:val="000000"/>
                <w:szCs w:val="24"/>
              </w:rPr>
              <w:t>574,58</w:t>
            </w:r>
          </w:p>
        </w:tc>
        <w:tc>
          <w:tcPr>
            <w:tcW w:w="1238" w:type="dxa"/>
            <w:vAlign w:val="center"/>
          </w:tcPr>
          <w:p w14:paraId="6CBFB7C0" w14:textId="77777777" w:rsidR="00295BCD" w:rsidRPr="001927D6" w:rsidRDefault="00295BCD">
            <w:pPr>
              <w:spacing w:after="0" w:line="240" w:lineRule="auto"/>
              <w:jc w:val="center"/>
              <w:textAlignment w:val="baseline"/>
              <w:rPr>
                <w:szCs w:val="24"/>
                <w:lang w:eastAsia="et-EE"/>
              </w:rPr>
            </w:pPr>
            <w:r w:rsidRPr="001927D6">
              <w:rPr>
                <w:color w:val="000000"/>
                <w:szCs w:val="24"/>
              </w:rPr>
              <w:t>2 454,33</w:t>
            </w:r>
          </w:p>
        </w:tc>
      </w:tr>
      <w:tr w:rsidR="00295BCD" w:rsidRPr="001927D6" w14:paraId="724C4AA6" w14:textId="77777777" w:rsidTr="00295BCD">
        <w:trPr>
          <w:divId w:val="1316184749"/>
          <w:trHeight w:val="300"/>
        </w:trPr>
        <w:tc>
          <w:tcPr>
            <w:tcW w:w="4632" w:type="dxa"/>
            <w:vAlign w:val="bottom"/>
            <w:hideMark/>
          </w:tcPr>
          <w:p w14:paraId="207776D3" w14:textId="77777777" w:rsidR="00295BCD" w:rsidRPr="001927D6" w:rsidRDefault="00295BCD">
            <w:pPr>
              <w:spacing w:after="0" w:line="240" w:lineRule="auto"/>
              <w:textAlignment w:val="baseline"/>
              <w:rPr>
                <w:szCs w:val="24"/>
                <w:lang w:eastAsia="et-EE"/>
              </w:rPr>
            </w:pPr>
            <w:r w:rsidRPr="001927D6">
              <w:rPr>
                <w:szCs w:val="24"/>
                <w:lang w:eastAsia="et-EE"/>
              </w:rPr>
              <w:t>Bipolaarsed häired, vanus &lt; 60 </w:t>
            </w:r>
          </w:p>
        </w:tc>
        <w:tc>
          <w:tcPr>
            <w:tcW w:w="732" w:type="dxa"/>
            <w:vAlign w:val="center"/>
            <w:hideMark/>
          </w:tcPr>
          <w:p w14:paraId="2216359A" w14:textId="77777777" w:rsidR="00295BCD" w:rsidRPr="001927D6" w:rsidRDefault="00295BCD">
            <w:pPr>
              <w:spacing w:after="0" w:line="240" w:lineRule="auto"/>
              <w:jc w:val="center"/>
              <w:textAlignment w:val="baseline"/>
              <w:rPr>
                <w:szCs w:val="24"/>
                <w:lang w:eastAsia="et-EE"/>
              </w:rPr>
            </w:pPr>
            <w:r w:rsidRPr="001927D6">
              <w:rPr>
                <w:szCs w:val="24"/>
                <w:lang w:eastAsia="et-EE"/>
              </w:rPr>
              <w:t>426A </w:t>
            </w:r>
          </w:p>
        </w:tc>
        <w:tc>
          <w:tcPr>
            <w:tcW w:w="1243" w:type="dxa"/>
            <w:vAlign w:val="center"/>
          </w:tcPr>
          <w:p w14:paraId="49130A38" w14:textId="77777777" w:rsidR="00295BCD" w:rsidRPr="001927D6" w:rsidRDefault="00295BCD">
            <w:pPr>
              <w:spacing w:after="0" w:line="240" w:lineRule="auto"/>
              <w:jc w:val="center"/>
              <w:textAlignment w:val="baseline"/>
              <w:rPr>
                <w:szCs w:val="24"/>
                <w:lang w:eastAsia="et-EE"/>
              </w:rPr>
            </w:pPr>
            <w:r w:rsidRPr="001927D6">
              <w:rPr>
                <w:color w:val="000000"/>
                <w:szCs w:val="24"/>
              </w:rPr>
              <w:t>4 258,69</w:t>
            </w:r>
          </w:p>
        </w:tc>
        <w:tc>
          <w:tcPr>
            <w:tcW w:w="1211" w:type="dxa"/>
            <w:vAlign w:val="center"/>
          </w:tcPr>
          <w:p w14:paraId="7A7BE5CD" w14:textId="77777777" w:rsidR="00295BCD" w:rsidRPr="001927D6" w:rsidRDefault="00295BCD">
            <w:pPr>
              <w:spacing w:after="0" w:line="240" w:lineRule="auto"/>
              <w:jc w:val="center"/>
              <w:textAlignment w:val="baseline"/>
              <w:rPr>
                <w:szCs w:val="24"/>
                <w:lang w:eastAsia="et-EE"/>
              </w:rPr>
            </w:pPr>
            <w:r w:rsidRPr="001927D6">
              <w:rPr>
                <w:color w:val="000000"/>
                <w:szCs w:val="24"/>
              </w:rPr>
              <w:t>919,49</w:t>
            </w:r>
          </w:p>
        </w:tc>
        <w:tc>
          <w:tcPr>
            <w:tcW w:w="1238" w:type="dxa"/>
            <w:vAlign w:val="center"/>
          </w:tcPr>
          <w:p w14:paraId="7E2BD30B" w14:textId="77777777" w:rsidR="00295BCD" w:rsidRPr="001927D6" w:rsidRDefault="00295BCD">
            <w:pPr>
              <w:spacing w:after="0" w:line="240" w:lineRule="auto"/>
              <w:jc w:val="center"/>
              <w:textAlignment w:val="baseline"/>
              <w:rPr>
                <w:szCs w:val="24"/>
                <w:lang w:eastAsia="et-EE"/>
              </w:rPr>
            </w:pPr>
            <w:r w:rsidRPr="001927D6">
              <w:rPr>
                <w:color w:val="000000"/>
                <w:szCs w:val="24"/>
              </w:rPr>
              <w:t>12 529,20</w:t>
            </w:r>
          </w:p>
        </w:tc>
      </w:tr>
      <w:tr w:rsidR="00295BCD" w:rsidRPr="001927D6" w14:paraId="0D10E775" w14:textId="77777777" w:rsidTr="00295BCD">
        <w:trPr>
          <w:divId w:val="1316184749"/>
          <w:trHeight w:val="300"/>
        </w:trPr>
        <w:tc>
          <w:tcPr>
            <w:tcW w:w="4632" w:type="dxa"/>
            <w:vAlign w:val="bottom"/>
            <w:hideMark/>
          </w:tcPr>
          <w:p w14:paraId="73D8B3AB" w14:textId="77777777" w:rsidR="00295BCD" w:rsidRPr="001927D6" w:rsidRDefault="00295BCD">
            <w:pPr>
              <w:spacing w:after="0" w:line="240" w:lineRule="auto"/>
              <w:textAlignment w:val="baseline"/>
              <w:rPr>
                <w:szCs w:val="24"/>
                <w:lang w:eastAsia="et-EE"/>
              </w:rPr>
            </w:pPr>
            <w:r w:rsidRPr="001927D6">
              <w:rPr>
                <w:szCs w:val="24"/>
                <w:lang w:eastAsia="et-EE"/>
              </w:rPr>
              <w:t>Bipolaarsed häired, vanus &gt; 59 </w:t>
            </w:r>
          </w:p>
        </w:tc>
        <w:tc>
          <w:tcPr>
            <w:tcW w:w="732" w:type="dxa"/>
            <w:vAlign w:val="center"/>
            <w:hideMark/>
          </w:tcPr>
          <w:p w14:paraId="5B71A094" w14:textId="77777777" w:rsidR="00295BCD" w:rsidRPr="001927D6" w:rsidRDefault="00295BCD">
            <w:pPr>
              <w:spacing w:after="0" w:line="240" w:lineRule="auto"/>
              <w:jc w:val="center"/>
              <w:textAlignment w:val="baseline"/>
              <w:rPr>
                <w:szCs w:val="24"/>
                <w:lang w:eastAsia="et-EE"/>
              </w:rPr>
            </w:pPr>
            <w:r w:rsidRPr="001927D6">
              <w:rPr>
                <w:szCs w:val="24"/>
                <w:lang w:eastAsia="et-EE"/>
              </w:rPr>
              <w:t>426B </w:t>
            </w:r>
          </w:p>
        </w:tc>
        <w:tc>
          <w:tcPr>
            <w:tcW w:w="1243" w:type="dxa"/>
            <w:vAlign w:val="center"/>
          </w:tcPr>
          <w:p w14:paraId="312A388A" w14:textId="77777777" w:rsidR="00295BCD" w:rsidRPr="001927D6" w:rsidRDefault="00295BCD">
            <w:pPr>
              <w:spacing w:after="0" w:line="240" w:lineRule="auto"/>
              <w:jc w:val="center"/>
              <w:textAlignment w:val="baseline"/>
              <w:rPr>
                <w:szCs w:val="24"/>
                <w:lang w:eastAsia="et-EE"/>
              </w:rPr>
            </w:pPr>
            <w:r w:rsidRPr="001927D6">
              <w:rPr>
                <w:color w:val="000000"/>
                <w:szCs w:val="24"/>
              </w:rPr>
              <w:t>1 916,82</w:t>
            </w:r>
          </w:p>
        </w:tc>
        <w:tc>
          <w:tcPr>
            <w:tcW w:w="1211" w:type="dxa"/>
            <w:vAlign w:val="center"/>
          </w:tcPr>
          <w:p w14:paraId="3BC7D9C1" w14:textId="77777777" w:rsidR="00295BCD" w:rsidRPr="001927D6" w:rsidRDefault="00295BCD">
            <w:pPr>
              <w:spacing w:after="0" w:line="240" w:lineRule="auto"/>
              <w:jc w:val="center"/>
              <w:textAlignment w:val="baseline"/>
              <w:rPr>
                <w:szCs w:val="24"/>
                <w:lang w:eastAsia="et-EE"/>
              </w:rPr>
            </w:pPr>
            <w:r w:rsidRPr="001927D6">
              <w:rPr>
                <w:color w:val="000000"/>
                <w:szCs w:val="24"/>
              </w:rPr>
              <w:t>909,66</w:t>
            </w:r>
          </w:p>
        </w:tc>
        <w:tc>
          <w:tcPr>
            <w:tcW w:w="1238" w:type="dxa"/>
            <w:vAlign w:val="center"/>
          </w:tcPr>
          <w:p w14:paraId="7CF98FDC" w14:textId="77777777" w:rsidR="00295BCD" w:rsidRPr="001927D6" w:rsidRDefault="00295BCD">
            <w:pPr>
              <w:spacing w:after="0" w:line="240" w:lineRule="auto"/>
              <w:jc w:val="center"/>
              <w:textAlignment w:val="baseline"/>
              <w:rPr>
                <w:szCs w:val="24"/>
                <w:lang w:eastAsia="et-EE"/>
              </w:rPr>
            </w:pPr>
            <w:r w:rsidRPr="001927D6">
              <w:rPr>
                <w:color w:val="000000"/>
                <w:szCs w:val="24"/>
              </w:rPr>
              <w:t>3 885,62</w:t>
            </w:r>
          </w:p>
        </w:tc>
      </w:tr>
      <w:tr w:rsidR="00295BCD" w:rsidRPr="001927D6" w14:paraId="5AF7BC9D" w14:textId="77777777" w:rsidTr="00295BCD">
        <w:trPr>
          <w:divId w:val="1316184749"/>
          <w:trHeight w:val="300"/>
        </w:trPr>
        <w:tc>
          <w:tcPr>
            <w:tcW w:w="4632" w:type="dxa"/>
            <w:vAlign w:val="bottom"/>
            <w:hideMark/>
          </w:tcPr>
          <w:p w14:paraId="5C8C22C8" w14:textId="77777777" w:rsidR="00295BCD" w:rsidRPr="001927D6" w:rsidRDefault="00295BCD">
            <w:pPr>
              <w:spacing w:after="0" w:line="240" w:lineRule="auto"/>
              <w:textAlignment w:val="baseline"/>
              <w:rPr>
                <w:szCs w:val="24"/>
                <w:lang w:eastAsia="et-EE"/>
              </w:rPr>
            </w:pPr>
            <w:r w:rsidRPr="001927D6">
              <w:rPr>
                <w:szCs w:val="24"/>
                <w:lang w:eastAsia="et-EE"/>
              </w:rPr>
              <w:t>Muud meeleoluhäired, vanus &lt; 60 </w:t>
            </w:r>
          </w:p>
        </w:tc>
        <w:tc>
          <w:tcPr>
            <w:tcW w:w="732" w:type="dxa"/>
            <w:vAlign w:val="center"/>
            <w:hideMark/>
          </w:tcPr>
          <w:p w14:paraId="071F441A" w14:textId="77777777" w:rsidR="00295BCD" w:rsidRPr="001927D6" w:rsidRDefault="00295BCD">
            <w:pPr>
              <w:spacing w:after="0" w:line="240" w:lineRule="auto"/>
              <w:jc w:val="center"/>
              <w:textAlignment w:val="baseline"/>
              <w:rPr>
                <w:szCs w:val="24"/>
                <w:lang w:eastAsia="et-EE"/>
              </w:rPr>
            </w:pPr>
            <w:r w:rsidRPr="001927D6">
              <w:rPr>
                <w:szCs w:val="24"/>
                <w:lang w:eastAsia="et-EE"/>
              </w:rPr>
              <w:t>426C </w:t>
            </w:r>
          </w:p>
        </w:tc>
        <w:tc>
          <w:tcPr>
            <w:tcW w:w="1243" w:type="dxa"/>
            <w:vAlign w:val="center"/>
          </w:tcPr>
          <w:p w14:paraId="55844D12" w14:textId="77777777" w:rsidR="00295BCD" w:rsidRPr="001927D6" w:rsidRDefault="00295BCD">
            <w:pPr>
              <w:spacing w:after="0" w:line="240" w:lineRule="auto"/>
              <w:jc w:val="center"/>
              <w:textAlignment w:val="baseline"/>
              <w:rPr>
                <w:szCs w:val="24"/>
                <w:lang w:eastAsia="et-EE"/>
              </w:rPr>
            </w:pPr>
            <w:r w:rsidRPr="001927D6">
              <w:rPr>
                <w:color w:val="000000"/>
                <w:szCs w:val="24"/>
              </w:rPr>
              <w:t>1 713,47</w:t>
            </w:r>
          </w:p>
        </w:tc>
        <w:tc>
          <w:tcPr>
            <w:tcW w:w="1211" w:type="dxa"/>
            <w:vAlign w:val="center"/>
          </w:tcPr>
          <w:p w14:paraId="4F8D8B26" w14:textId="77777777" w:rsidR="00295BCD" w:rsidRPr="001927D6" w:rsidRDefault="00295BCD">
            <w:pPr>
              <w:spacing w:after="0" w:line="240" w:lineRule="auto"/>
              <w:jc w:val="center"/>
              <w:textAlignment w:val="baseline"/>
              <w:rPr>
                <w:szCs w:val="24"/>
                <w:lang w:eastAsia="et-EE"/>
              </w:rPr>
            </w:pPr>
            <w:r w:rsidRPr="001927D6">
              <w:rPr>
                <w:color w:val="000000"/>
                <w:szCs w:val="24"/>
              </w:rPr>
              <w:t>212,05</w:t>
            </w:r>
          </w:p>
        </w:tc>
        <w:tc>
          <w:tcPr>
            <w:tcW w:w="1238" w:type="dxa"/>
            <w:vAlign w:val="center"/>
          </w:tcPr>
          <w:p w14:paraId="042001F5" w14:textId="77777777" w:rsidR="00295BCD" w:rsidRPr="001927D6" w:rsidRDefault="00295BCD">
            <w:pPr>
              <w:spacing w:after="0" w:line="240" w:lineRule="auto"/>
              <w:jc w:val="center"/>
              <w:textAlignment w:val="baseline"/>
              <w:rPr>
                <w:szCs w:val="24"/>
                <w:lang w:eastAsia="et-EE"/>
              </w:rPr>
            </w:pPr>
            <w:r w:rsidRPr="001927D6">
              <w:rPr>
                <w:color w:val="000000"/>
                <w:szCs w:val="24"/>
              </w:rPr>
              <w:t>3 937,87</w:t>
            </w:r>
          </w:p>
        </w:tc>
      </w:tr>
      <w:tr w:rsidR="00295BCD" w:rsidRPr="001927D6" w14:paraId="3E861241" w14:textId="77777777" w:rsidTr="00295BCD">
        <w:trPr>
          <w:divId w:val="1316184749"/>
          <w:trHeight w:val="300"/>
        </w:trPr>
        <w:tc>
          <w:tcPr>
            <w:tcW w:w="4632" w:type="dxa"/>
            <w:vAlign w:val="bottom"/>
            <w:hideMark/>
          </w:tcPr>
          <w:p w14:paraId="6D0BBE1B" w14:textId="77777777" w:rsidR="00295BCD" w:rsidRPr="001927D6" w:rsidRDefault="00295BCD">
            <w:pPr>
              <w:spacing w:after="0" w:line="240" w:lineRule="auto"/>
              <w:textAlignment w:val="baseline"/>
              <w:rPr>
                <w:szCs w:val="24"/>
                <w:lang w:eastAsia="et-EE"/>
              </w:rPr>
            </w:pPr>
            <w:r w:rsidRPr="001927D6">
              <w:rPr>
                <w:szCs w:val="24"/>
                <w:lang w:eastAsia="et-EE"/>
              </w:rPr>
              <w:t>Muud meeleoluhäired, vanus &gt; 59 </w:t>
            </w:r>
          </w:p>
        </w:tc>
        <w:tc>
          <w:tcPr>
            <w:tcW w:w="732" w:type="dxa"/>
            <w:vAlign w:val="center"/>
            <w:hideMark/>
          </w:tcPr>
          <w:p w14:paraId="7689014D" w14:textId="77777777" w:rsidR="00295BCD" w:rsidRPr="001927D6" w:rsidRDefault="00295BCD">
            <w:pPr>
              <w:spacing w:after="0" w:line="240" w:lineRule="auto"/>
              <w:jc w:val="center"/>
              <w:textAlignment w:val="baseline"/>
              <w:rPr>
                <w:szCs w:val="24"/>
                <w:lang w:eastAsia="et-EE"/>
              </w:rPr>
            </w:pPr>
            <w:r w:rsidRPr="001927D6">
              <w:rPr>
                <w:szCs w:val="24"/>
                <w:lang w:eastAsia="et-EE"/>
              </w:rPr>
              <w:t>426D </w:t>
            </w:r>
          </w:p>
        </w:tc>
        <w:tc>
          <w:tcPr>
            <w:tcW w:w="1243" w:type="dxa"/>
            <w:vAlign w:val="center"/>
          </w:tcPr>
          <w:p w14:paraId="0103CB9B" w14:textId="77777777" w:rsidR="00295BCD" w:rsidRPr="001927D6" w:rsidRDefault="00295BCD">
            <w:pPr>
              <w:spacing w:after="0" w:line="240" w:lineRule="auto"/>
              <w:jc w:val="center"/>
              <w:textAlignment w:val="baseline"/>
              <w:rPr>
                <w:szCs w:val="24"/>
                <w:lang w:eastAsia="et-EE"/>
              </w:rPr>
            </w:pPr>
            <w:r w:rsidRPr="001927D6">
              <w:rPr>
                <w:color w:val="000000"/>
                <w:szCs w:val="24"/>
              </w:rPr>
              <w:t>2 378,91</w:t>
            </w:r>
          </w:p>
        </w:tc>
        <w:tc>
          <w:tcPr>
            <w:tcW w:w="1211" w:type="dxa"/>
            <w:vAlign w:val="center"/>
          </w:tcPr>
          <w:p w14:paraId="09A6AAB1" w14:textId="77777777" w:rsidR="00295BCD" w:rsidRPr="001927D6" w:rsidRDefault="00295BCD">
            <w:pPr>
              <w:spacing w:after="0" w:line="240" w:lineRule="auto"/>
              <w:jc w:val="center"/>
              <w:textAlignment w:val="baseline"/>
              <w:rPr>
                <w:szCs w:val="24"/>
                <w:lang w:eastAsia="et-EE"/>
              </w:rPr>
            </w:pPr>
            <w:r w:rsidRPr="001927D6">
              <w:rPr>
                <w:color w:val="000000"/>
                <w:szCs w:val="24"/>
              </w:rPr>
              <w:t>838,12</w:t>
            </w:r>
          </w:p>
        </w:tc>
        <w:tc>
          <w:tcPr>
            <w:tcW w:w="1238" w:type="dxa"/>
            <w:vAlign w:val="center"/>
          </w:tcPr>
          <w:p w14:paraId="59EEF050" w14:textId="77777777" w:rsidR="00295BCD" w:rsidRPr="001927D6" w:rsidRDefault="00295BCD">
            <w:pPr>
              <w:spacing w:after="0" w:line="240" w:lineRule="auto"/>
              <w:jc w:val="center"/>
              <w:textAlignment w:val="baseline"/>
              <w:rPr>
                <w:szCs w:val="24"/>
                <w:lang w:eastAsia="et-EE"/>
              </w:rPr>
            </w:pPr>
            <w:r w:rsidRPr="001927D6">
              <w:rPr>
                <w:color w:val="000000"/>
                <w:szCs w:val="24"/>
              </w:rPr>
              <w:t>5 525,66</w:t>
            </w:r>
          </w:p>
        </w:tc>
      </w:tr>
      <w:tr w:rsidR="00295BCD" w:rsidRPr="001927D6" w14:paraId="51833DA8" w14:textId="77777777" w:rsidTr="00295BCD">
        <w:trPr>
          <w:divId w:val="1316184749"/>
          <w:trHeight w:val="300"/>
        </w:trPr>
        <w:tc>
          <w:tcPr>
            <w:tcW w:w="4632" w:type="dxa"/>
            <w:vAlign w:val="bottom"/>
            <w:hideMark/>
          </w:tcPr>
          <w:p w14:paraId="38771A09" w14:textId="77777777" w:rsidR="00295BCD" w:rsidRPr="001927D6" w:rsidRDefault="00295BCD">
            <w:pPr>
              <w:spacing w:after="0" w:line="240" w:lineRule="auto"/>
              <w:textAlignment w:val="baseline"/>
              <w:rPr>
                <w:szCs w:val="24"/>
                <w:lang w:eastAsia="et-EE"/>
              </w:rPr>
            </w:pPr>
            <w:r w:rsidRPr="001927D6">
              <w:rPr>
                <w:szCs w:val="24"/>
                <w:lang w:eastAsia="et-EE"/>
              </w:rPr>
              <w:t>Ärevushäired </w:t>
            </w:r>
          </w:p>
        </w:tc>
        <w:tc>
          <w:tcPr>
            <w:tcW w:w="732" w:type="dxa"/>
            <w:vAlign w:val="center"/>
            <w:hideMark/>
          </w:tcPr>
          <w:p w14:paraId="4C2E9D9E" w14:textId="77777777" w:rsidR="00295BCD" w:rsidRPr="001927D6" w:rsidRDefault="00295BCD">
            <w:pPr>
              <w:spacing w:after="0" w:line="240" w:lineRule="auto"/>
              <w:jc w:val="center"/>
              <w:textAlignment w:val="baseline"/>
              <w:rPr>
                <w:szCs w:val="24"/>
                <w:lang w:eastAsia="et-EE"/>
              </w:rPr>
            </w:pPr>
            <w:r w:rsidRPr="001927D6">
              <w:rPr>
                <w:szCs w:val="24"/>
                <w:lang w:eastAsia="et-EE"/>
              </w:rPr>
              <w:t>427A </w:t>
            </w:r>
          </w:p>
        </w:tc>
        <w:tc>
          <w:tcPr>
            <w:tcW w:w="1243" w:type="dxa"/>
            <w:vAlign w:val="center"/>
          </w:tcPr>
          <w:p w14:paraId="336181C7" w14:textId="77777777" w:rsidR="00295BCD" w:rsidRPr="001927D6" w:rsidRDefault="00295BCD">
            <w:pPr>
              <w:spacing w:after="0" w:line="240" w:lineRule="auto"/>
              <w:jc w:val="center"/>
              <w:textAlignment w:val="baseline"/>
              <w:rPr>
                <w:szCs w:val="24"/>
                <w:lang w:eastAsia="et-EE"/>
              </w:rPr>
            </w:pPr>
            <w:r w:rsidRPr="001927D6">
              <w:rPr>
                <w:color w:val="000000"/>
                <w:szCs w:val="24"/>
              </w:rPr>
              <w:t>1 563,17</w:t>
            </w:r>
          </w:p>
        </w:tc>
        <w:tc>
          <w:tcPr>
            <w:tcW w:w="1211" w:type="dxa"/>
            <w:vAlign w:val="center"/>
          </w:tcPr>
          <w:p w14:paraId="3EBC7ECB" w14:textId="77777777" w:rsidR="00295BCD" w:rsidRPr="001927D6" w:rsidRDefault="00295BCD">
            <w:pPr>
              <w:spacing w:after="0" w:line="240" w:lineRule="auto"/>
              <w:jc w:val="center"/>
              <w:textAlignment w:val="baseline"/>
              <w:rPr>
                <w:szCs w:val="24"/>
                <w:lang w:eastAsia="et-EE"/>
              </w:rPr>
            </w:pPr>
            <w:r w:rsidRPr="001927D6">
              <w:rPr>
                <w:color w:val="000000"/>
                <w:szCs w:val="24"/>
              </w:rPr>
              <w:t>351,62</w:t>
            </w:r>
          </w:p>
        </w:tc>
        <w:tc>
          <w:tcPr>
            <w:tcW w:w="1238" w:type="dxa"/>
            <w:vAlign w:val="center"/>
          </w:tcPr>
          <w:p w14:paraId="605900DE" w14:textId="77777777" w:rsidR="00295BCD" w:rsidRPr="001927D6" w:rsidRDefault="00295BCD">
            <w:pPr>
              <w:spacing w:after="0" w:line="240" w:lineRule="auto"/>
              <w:jc w:val="center"/>
              <w:textAlignment w:val="baseline"/>
              <w:rPr>
                <w:szCs w:val="24"/>
                <w:lang w:eastAsia="et-EE"/>
              </w:rPr>
            </w:pPr>
            <w:r w:rsidRPr="001927D6">
              <w:rPr>
                <w:color w:val="000000"/>
                <w:szCs w:val="24"/>
              </w:rPr>
              <w:t>3 632,24</w:t>
            </w:r>
          </w:p>
        </w:tc>
      </w:tr>
      <w:tr w:rsidR="00295BCD" w:rsidRPr="001927D6" w14:paraId="1F0FD2DC" w14:textId="77777777" w:rsidTr="00295BCD">
        <w:trPr>
          <w:divId w:val="1316184749"/>
          <w:trHeight w:val="300"/>
        </w:trPr>
        <w:tc>
          <w:tcPr>
            <w:tcW w:w="4632" w:type="dxa"/>
            <w:vAlign w:val="bottom"/>
            <w:hideMark/>
          </w:tcPr>
          <w:p w14:paraId="32E13D49" w14:textId="77777777" w:rsidR="00295BCD" w:rsidRPr="001927D6" w:rsidRDefault="00295BCD">
            <w:pPr>
              <w:spacing w:after="0" w:line="240" w:lineRule="auto"/>
              <w:textAlignment w:val="baseline"/>
              <w:rPr>
                <w:szCs w:val="24"/>
                <w:lang w:eastAsia="et-EE"/>
              </w:rPr>
            </w:pPr>
            <w:r w:rsidRPr="001927D6">
              <w:rPr>
                <w:szCs w:val="24"/>
                <w:lang w:eastAsia="et-EE"/>
              </w:rPr>
              <w:t>Püsivad isiksusemuutused </w:t>
            </w:r>
          </w:p>
        </w:tc>
        <w:tc>
          <w:tcPr>
            <w:tcW w:w="732" w:type="dxa"/>
            <w:vAlign w:val="center"/>
            <w:hideMark/>
          </w:tcPr>
          <w:p w14:paraId="05F8D88A" w14:textId="77777777" w:rsidR="00295BCD" w:rsidRPr="001927D6" w:rsidRDefault="00295BCD">
            <w:pPr>
              <w:spacing w:after="0" w:line="240" w:lineRule="auto"/>
              <w:jc w:val="center"/>
              <w:textAlignment w:val="baseline"/>
              <w:rPr>
                <w:szCs w:val="24"/>
                <w:lang w:eastAsia="et-EE"/>
              </w:rPr>
            </w:pPr>
            <w:r w:rsidRPr="001927D6">
              <w:rPr>
                <w:szCs w:val="24"/>
                <w:lang w:eastAsia="et-EE"/>
              </w:rPr>
              <w:t>427B </w:t>
            </w:r>
          </w:p>
        </w:tc>
        <w:tc>
          <w:tcPr>
            <w:tcW w:w="1243" w:type="dxa"/>
            <w:vAlign w:val="center"/>
          </w:tcPr>
          <w:p w14:paraId="3697D065" w14:textId="77777777" w:rsidR="00295BCD" w:rsidRPr="001927D6" w:rsidRDefault="00295BCD">
            <w:pPr>
              <w:spacing w:after="0" w:line="240" w:lineRule="auto"/>
              <w:jc w:val="center"/>
              <w:textAlignment w:val="baseline"/>
              <w:rPr>
                <w:szCs w:val="24"/>
                <w:lang w:eastAsia="et-EE"/>
              </w:rPr>
            </w:pPr>
            <w:r w:rsidRPr="001927D6">
              <w:rPr>
                <w:color w:val="000000"/>
                <w:szCs w:val="24"/>
              </w:rPr>
              <w:t>1 063,52</w:t>
            </w:r>
          </w:p>
        </w:tc>
        <w:tc>
          <w:tcPr>
            <w:tcW w:w="1211" w:type="dxa"/>
            <w:vAlign w:val="center"/>
          </w:tcPr>
          <w:p w14:paraId="7922773F" w14:textId="77777777" w:rsidR="00295BCD" w:rsidRPr="001927D6" w:rsidRDefault="00295BCD">
            <w:pPr>
              <w:spacing w:after="0" w:line="240" w:lineRule="auto"/>
              <w:jc w:val="center"/>
              <w:textAlignment w:val="baseline"/>
              <w:rPr>
                <w:szCs w:val="24"/>
                <w:lang w:eastAsia="et-EE"/>
              </w:rPr>
            </w:pPr>
            <w:r w:rsidRPr="001927D6">
              <w:rPr>
                <w:color w:val="000000"/>
                <w:szCs w:val="24"/>
              </w:rPr>
              <w:t>253,00</w:t>
            </w:r>
          </w:p>
        </w:tc>
        <w:tc>
          <w:tcPr>
            <w:tcW w:w="1238" w:type="dxa"/>
            <w:vAlign w:val="center"/>
          </w:tcPr>
          <w:p w14:paraId="3A45B3CF" w14:textId="77777777" w:rsidR="00295BCD" w:rsidRPr="001927D6" w:rsidRDefault="00295BCD">
            <w:pPr>
              <w:spacing w:after="0" w:line="240" w:lineRule="auto"/>
              <w:jc w:val="center"/>
              <w:textAlignment w:val="baseline"/>
              <w:rPr>
                <w:szCs w:val="24"/>
                <w:lang w:eastAsia="et-EE"/>
              </w:rPr>
            </w:pPr>
            <w:r w:rsidRPr="001927D6">
              <w:rPr>
                <w:color w:val="000000"/>
                <w:szCs w:val="24"/>
              </w:rPr>
              <w:t>2 623,18</w:t>
            </w:r>
          </w:p>
        </w:tc>
      </w:tr>
      <w:tr w:rsidR="00295BCD" w:rsidRPr="001927D6" w14:paraId="092CF00F" w14:textId="77777777" w:rsidTr="00295BCD">
        <w:trPr>
          <w:divId w:val="1316184749"/>
          <w:trHeight w:val="300"/>
        </w:trPr>
        <w:tc>
          <w:tcPr>
            <w:tcW w:w="4632" w:type="dxa"/>
            <w:vAlign w:val="bottom"/>
            <w:hideMark/>
          </w:tcPr>
          <w:p w14:paraId="3D19006A" w14:textId="77777777" w:rsidR="00295BCD" w:rsidRPr="001927D6" w:rsidRDefault="00295BCD">
            <w:pPr>
              <w:spacing w:after="0" w:line="240" w:lineRule="auto"/>
              <w:textAlignment w:val="baseline"/>
              <w:rPr>
                <w:szCs w:val="24"/>
                <w:lang w:eastAsia="et-EE"/>
              </w:rPr>
            </w:pPr>
            <w:r w:rsidRPr="001927D6">
              <w:rPr>
                <w:szCs w:val="24"/>
                <w:lang w:eastAsia="et-EE"/>
              </w:rPr>
              <w:t>Äge stressreaktsioon </w:t>
            </w:r>
          </w:p>
        </w:tc>
        <w:tc>
          <w:tcPr>
            <w:tcW w:w="732" w:type="dxa"/>
            <w:vAlign w:val="center"/>
            <w:hideMark/>
          </w:tcPr>
          <w:p w14:paraId="0331A8B8" w14:textId="77777777" w:rsidR="00295BCD" w:rsidRPr="001927D6" w:rsidRDefault="00295BCD">
            <w:pPr>
              <w:spacing w:after="0" w:line="240" w:lineRule="auto"/>
              <w:jc w:val="center"/>
              <w:textAlignment w:val="baseline"/>
              <w:rPr>
                <w:szCs w:val="24"/>
                <w:lang w:eastAsia="et-EE"/>
              </w:rPr>
            </w:pPr>
            <w:r w:rsidRPr="001927D6">
              <w:rPr>
                <w:szCs w:val="24"/>
                <w:lang w:eastAsia="et-EE"/>
              </w:rPr>
              <w:t>427C </w:t>
            </w:r>
          </w:p>
        </w:tc>
        <w:tc>
          <w:tcPr>
            <w:tcW w:w="1243" w:type="dxa"/>
            <w:vAlign w:val="center"/>
          </w:tcPr>
          <w:p w14:paraId="232255E4" w14:textId="77777777" w:rsidR="00295BCD" w:rsidRPr="001927D6" w:rsidRDefault="00295BCD">
            <w:pPr>
              <w:spacing w:after="0" w:line="240" w:lineRule="auto"/>
              <w:jc w:val="center"/>
              <w:textAlignment w:val="baseline"/>
              <w:rPr>
                <w:szCs w:val="24"/>
                <w:lang w:eastAsia="et-EE"/>
              </w:rPr>
            </w:pPr>
            <w:r w:rsidRPr="001927D6">
              <w:rPr>
                <w:color w:val="000000"/>
                <w:szCs w:val="24"/>
              </w:rPr>
              <w:t>1 990,36</w:t>
            </w:r>
          </w:p>
        </w:tc>
        <w:tc>
          <w:tcPr>
            <w:tcW w:w="1211" w:type="dxa"/>
            <w:vAlign w:val="center"/>
          </w:tcPr>
          <w:p w14:paraId="7745C466" w14:textId="77777777" w:rsidR="00295BCD" w:rsidRPr="001927D6" w:rsidRDefault="00295BCD">
            <w:pPr>
              <w:spacing w:after="0" w:line="240" w:lineRule="auto"/>
              <w:jc w:val="center"/>
              <w:textAlignment w:val="baseline"/>
              <w:rPr>
                <w:szCs w:val="24"/>
                <w:lang w:eastAsia="et-EE"/>
              </w:rPr>
            </w:pPr>
            <w:r w:rsidRPr="001927D6">
              <w:rPr>
                <w:color w:val="000000"/>
                <w:szCs w:val="24"/>
              </w:rPr>
              <w:t>438,48</w:t>
            </w:r>
          </w:p>
        </w:tc>
        <w:tc>
          <w:tcPr>
            <w:tcW w:w="1238" w:type="dxa"/>
            <w:vAlign w:val="center"/>
          </w:tcPr>
          <w:p w14:paraId="4A8C7337" w14:textId="77777777" w:rsidR="00295BCD" w:rsidRPr="001927D6" w:rsidRDefault="00295BCD">
            <w:pPr>
              <w:spacing w:after="0" w:line="240" w:lineRule="auto"/>
              <w:jc w:val="center"/>
              <w:textAlignment w:val="baseline"/>
              <w:rPr>
                <w:szCs w:val="24"/>
                <w:lang w:eastAsia="et-EE"/>
              </w:rPr>
            </w:pPr>
            <w:r w:rsidRPr="001927D6">
              <w:rPr>
                <w:color w:val="000000"/>
                <w:szCs w:val="24"/>
              </w:rPr>
              <w:t>3 395,68</w:t>
            </w:r>
          </w:p>
        </w:tc>
      </w:tr>
      <w:tr w:rsidR="00295BCD" w:rsidRPr="001927D6" w14:paraId="35FE0E48" w14:textId="77777777" w:rsidTr="00295BCD">
        <w:trPr>
          <w:divId w:val="1316184749"/>
          <w:trHeight w:val="300"/>
        </w:trPr>
        <w:tc>
          <w:tcPr>
            <w:tcW w:w="4632" w:type="dxa"/>
            <w:vAlign w:val="bottom"/>
            <w:hideMark/>
          </w:tcPr>
          <w:p w14:paraId="1C021238" w14:textId="77777777" w:rsidR="00295BCD" w:rsidRPr="001927D6" w:rsidRDefault="00295BCD">
            <w:pPr>
              <w:spacing w:after="0" w:line="240" w:lineRule="auto"/>
              <w:textAlignment w:val="baseline"/>
              <w:rPr>
                <w:szCs w:val="24"/>
                <w:lang w:eastAsia="et-EE"/>
              </w:rPr>
            </w:pPr>
            <w:r w:rsidRPr="001927D6">
              <w:rPr>
                <w:szCs w:val="24"/>
                <w:lang w:eastAsia="et-EE"/>
              </w:rPr>
              <w:t>Muud neuroosid </w:t>
            </w:r>
          </w:p>
        </w:tc>
        <w:tc>
          <w:tcPr>
            <w:tcW w:w="732" w:type="dxa"/>
            <w:vAlign w:val="center"/>
            <w:hideMark/>
          </w:tcPr>
          <w:p w14:paraId="1681AC9D" w14:textId="77777777" w:rsidR="00295BCD" w:rsidRPr="001927D6" w:rsidRDefault="00295BCD">
            <w:pPr>
              <w:spacing w:after="0" w:line="240" w:lineRule="auto"/>
              <w:jc w:val="center"/>
              <w:textAlignment w:val="baseline"/>
              <w:rPr>
                <w:szCs w:val="24"/>
                <w:lang w:eastAsia="et-EE"/>
              </w:rPr>
            </w:pPr>
            <w:r w:rsidRPr="001927D6">
              <w:rPr>
                <w:szCs w:val="24"/>
                <w:lang w:eastAsia="et-EE"/>
              </w:rPr>
              <w:t>427D </w:t>
            </w:r>
          </w:p>
        </w:tc>
        <w:tc>
          <w:tcPr>
            <w:tcW w:w="1243" w:type="dxa"/>
            <w:vAlign w:val="center"/>
          </w:tcPr>
          <w:p w14:paraId="07C7B457" w14:textId="77777777" w:rsidR="00295BCD" w:rsidRPr="001927D6" w:rsidRDefault="00295BCD">
            <w:pPr>
              <w:spacing w:after="0" w:line="240" w:lineRule="auto"/>
              <w:jc w:val="center"/>
              <w:textAlignment w:val="baseline"/>
              <w:rPr>
                <w:szCs w:val="24"/>
                <w:lang w:eastAsia="et-EE"/>
              </w:rPr>
            </w:pPr>
            <w:r w:rsidRPr="001927D6">
              <w:rPr>
                <w:color w:val="000000"/>
                <w:szCs w:val="24"/>
              </w:rPr>
              <w:t>1 682,60</w:t>
            </w:r>
          </w:p>
        </w:tc>
        <w:tc>
          <w:tcPr>
            <w:tcW w:w="1211" w:type="dxa"/>
            <w:vAlign w:val="center"/>
          </w:tcPr>
          <w:p w14:paraId="135E3504" w14:textId="77777777" w:rsidR="00295BCD" w:rsidRPr="001927D6" w:rsidRDefault="00295BCD">
            <w:pPr>
              <w:spacing w:after="0" w:line="240" w:lineRule="auto"/>
              <w:jc w:val="center"/>
              <w:textAlignment w:val="baseline"/>
              <w:rPr>
                <w:szCs w:val="24"/>
                <w:lang w:eastAsia="et-EE"/>
              </w:rPr>
            </w:pPr>
            <w:r w:rsidRPr="001927D6">
              <w:rPr>
                <w:color w:val="000000"/>
                <w:szCs w:val="24"/>
              </w:rPr>
              <w:t>361,58</w:t>
            </w:r>
          </w:p>
        </w:tc>
        <w:tc>
          <w:tcPr>
            <w:tcW w:w="1238" w:type="dxa"/>
            <w:vAlign w:val="center"/>
          </w:tcPr>
          <w:p w14:paraId="202491E7" w14:textId="77777777" w:rsidR="00295BCD" w:rsidRPr="001927D6" w:rsidRDefault="00295BCD">
            <w:pPr>
              <w:spacing w:after="0" w:line="240" w:lineRule="auto"/>
              <w:jc w:val="center"/>
              <w:textAlignment w:val="baseline"/>
              <w:rPr>
                <w:szCs w:val="24"/>
                <w:lang w:eastAsia="et-EE"/>
              </w:rPr>
            </w:pPr>
            <w:r w:rsidRPr="001927D6">
              <w:rPr>
                <w:color w:val="000000"/>
                <w:szCs w:val="24"/>
              </w:rPr>
              <w:t>4 065,63</w:t>
            </w:r>
          </w:p>
        </w:tc>
      </w:tr>
      <w:tr w:rsidR="00295BCD" w:rsidRPr="001927D6" w14:paraId="6747610E" w14:textId="77777777" w:rsidTr="00295BCD">
        <w:trPr>
          <w:divId w:val="1316184749"/>
          <w:trHeight w:val="300"/>
        </w:trPr>
        <w:tc>
          <w:tcPr>
            <w:tcW w:w="4632" w:type="dxa"/>
            <w:vAlign w:val="bottom"/>
            <w:hideMark/>
          </w:tcPr>
          <w:p w14:paraId="6E769EF2" w14:textId="77777777" w:rsidR="00295BCD" w:rsidRPr="001927D6" w:rsidRDefault="00295BCD">
            <w:pPr>
              <w:spacing w:after="0" w:line="240" w:lineRule="auto"/>
              <w:textAlignment w:val="baseline"/>
              <w:rPr>
                <w:szCs w:val="24"/>
                <w:lang w:eastAsia="et-EE"/>
              </w:rPr>
            </w:pPr>
            <w:r w:rsidRPr="001927D6">
              <w:rPr>
                <w:szCs w:val="24"/>
                <w:lang w:eastAsia="et-EE"/>
              </w:rPr>
              <w:t>Isiksuse häired </w:t>
            </w:r>
          </w:p>
        </w:tc>
        <w:tc>
          <w:tcPr>
            <w:tcW w:w="732" w:type="dxa"/>
            <w:vAlign w:val="center"/>
            <w:hideMark/>
          </w:tcPr>
          <w:p w14:paraId="57BC8BFE" w14:textId="77777777" w:rsidR="00295BCD" w:rsidRPr="001927D6" w:rsidRDefault="00295BCD">
            <w:pPr>
              <w:spacing w:after="0" w:line="240" w:lineRule="auto"/>
              <w:jc w:val="center"/>
              <w:textAlignment w:val="baseline"/>
              <w:rPr>
                <w:szCs w:val="24"/>
                <w:lang w:eastAsia="et-EE"/>
              </w:rPr>
            </w:pPr>
            <w:r w:rsidRPr="001927D6">
              <w:rPr>
                <w:szCs w:val="24"/>
                <w:lang w:eastAsia="et-EE"/>
              </w:rPr>
              <w:t>428N </w:t>
            </w:r>
          </w:p>
        </w:tc>
        <w:tc>
          <w:tcPr>
            <w:tcW w:w="1243" w:type="dxa"/>
            <w:vAlign w:val="center"/>
          </w:tcPr>
          <w:p w14:paraId="775386A2" w14:textId="77777777" w:rsidR="00295BCD" w:rsidRPr="001927D6" w:rsidRDefault="00295BCD">
            <w:pPr>
              <w:spacing w:after="0" w:line="240" w:lineRule="auto"/>
              <w:jc w:val="center"/>
              <w:textAlignment w:val="baseline"/>
              <w:rPr>
                <w:szCs w:val="24"/>
                <w:lang w:eastAsia="et-EE"/>
              </w:rPr>
            </w:pPr>
            <w:r w:rsidRPr="001927D6">
              <w:rPr>
                <w:color w:val="000000"/>
                <w:szCs w:val="24"/>
              </w:rPr>
              <w:t>2 095,61</w:t>
            </w:r>
          </w:p>
        </w:tc>
        <w:tc>
          <w:tcPr>
            <w:tcW w:w="1211" w:type="dxa"/>
            <w:vAlign w:val="center"/>
          </w:tcPr>
          <w:p w14:paraId="5A60DC40" w14:textId="77777777" w:rsidR="00295BCD" w:rsidRPr="001927D6" w:rsidRDefault="00295BCD">
            <w:pPr>
              <w:spacing w:after="0" w:line="240" w:lineRule="auto"/>
              <w:jc w:val="center"/>
              <w:textAlignment w:val="baseline"/>
              <w:rPr>
                <w:szCs w:val="24"/>
                <w:lang w:eastAsia="et-EE"/>
              </w:rPr>
            </w:pPr>
            <w:r w:rsidRPr="001927D6">
              <w:rPr>
                <w:color w:val="000000"/>
                <w:szCs w:val="24"/>
              </w:rPr>
              <w:t>1 248,19</w:t>
            </w:r>
          </w:p>
        </w:tc>
        <w:tc>
          <w:tcPr>
            <w:tcW w:w="1238" w:type="dxa"/>
            <w:vAlign w:val="center"/>
          </w:tcPr>
          <w:p w14:paraId="50EE7690" w14:textId="77777777" w:rsidR="00295BCD" w:rsidRPr="001927D6" w:rsidRDefault="00295BCD">
            <w:pPr>
              <w:spacing w:after="0" w:line="240" w:lineRule="auto"/>
              <w:jc w:val="center"/>
              <w:textAlignment w:val="baseline"/>
              <w:rPr>
                <w:szCs w:val="24"/>
                <w:lang w:eastAsia="et-EE"/>
              </w:rPr>
            </w:pPr>
            <w:r w:rsidRPr="001927D6">
              <w:rPr>
                <w:color w:val="000000"/>
                <w:szCs w:val="24"/>
              </w:rPr>
              <w:t>2 165,07</w:t>
            </w:r>
          </w:p>
        </w:tc>
      </w:tr>
      <w:tr w:rsidR="00295BCD" w:rsidRPr="001927D6" w14:paraId="77899325" w14:textId="77777777" w:rsidTr="00295BCD">
        <w:trPr>
          <w:divId w:val="1316184749"/>
          <w:trHeight w:val="300"/>
        </w:trPr>
        <w:tc>
          <w:tcPr>
            <w:tcW w:w="4632" w:type="dxa"/>
            <w:vAlign w:val="bottom"/>
            <w:hideMark/>
          </w:tcPr>
          <w:p w14:paraId="386341C2" w14:textId="77777777" w:rsidR="00295BCD" w:rsidRPr="001927D6" w:rsidRDefault="00295BCD">
            <w:pPr>
              <w:spacing w:after="0" w:line="240" w:lineRule="auto"/>
              <w:textAlignment w:val="baseline"/>
              <w:rPr>
                <w:szCs w:val="24"/>
                <w:lang w:eastAsia="et-EE"/>
              </w:rPr>
            </w:pPr>
            <w:r w:rsidRPr="001927D6">
              <w:rPr>
                <w:szCs w:val="24"/>
                <w:lang w:eastAsia="et-EE"/>
              </w:rPr>
              <w:t>Orgaanilised psüühikahäired, kht-ga </w:t>
            </w:r>
          </w:p>
        </w:tc>
        <w:tc>
          <w:tcPr>
            <w:tcW w:w="732" w:type="dxa"/>
            <w:vAlign w:val="center"/>
            <w:hideMark/>
          </w:tcPr>
          <w:p w14:paraId="52DE89FD" w14:textId="77777777" w:rsidR="00295BCD" w:rsidRPr="001927D6" w:rsidRDefault="00295BCD">
            <w:pPr>
              <w:spacing w:after="0" w:line="240" w:lineRule="auto"/>
              <w:jc w:val="center"/>
              <w:textAlignment w:val="baseline"/>
              <w:rPr>
                <w:szCs w:val="24"/>
                <w:lang w:eastAsia="et-EE"/>
              </w:rPr>
            </w:pPr>
            <w:r w:rsidRPr="001927D6">
              <w:rPr>
                <w:szCs w:val="24"/>
                <w:lang w:eastAsia="et-EE"/>
              </w:rPr>
              <w:t>429A </w:t>
            </w:r>
          </w:p>
        </w:tc>
        <w:tc>
          <w:tcPr>
            <w:tcW w:w="1243" w:type="dxa"/>
            <w:vAlign w:val="center"/>
          </w:tcPr>
          <w:p w14:paraId="3E6098EF" w14:textId="77777777" w:rsidR="00295BCD" w:rsidRPr="001927D6" w:rsidRDefault="00295BCD">
            <w:pPr>
              <w:spacing w:after="0" w:line="240" w:lineRule="auto"/>
              <w:jc w:val="center"/>
              <w:textAlignment w:val="baseline"/>
              <w:rPr>
                <w:szCs w:val="24"/>
                <w:lang w:eastAsia="et-EE"/>
              </w:rPr>
            </w:pPr>
            <w:r w:rsidRPr="001927D6">
              <w:rPr>
                <w:color w:val="000000"/>
                <w:szCs w:val="24"/>
              </w:rPr>
              <w:t>2 578,09</w:t>
            </w:r>
          </w:p>
        </w:tc>
        <w:tc>
          <w:tcPr>
            <w:tcW w:w="1211" w:type="dxa"/>
            <w:vAlign w:val="center"/>
          </w:tcPr>
          <w:p w14:paraId="1AD7E37D" w14:textId="77777777" w:rsidR="00295BCD" w:rsidRPr="001927D6" w:rsidRDefault="00295BCD">
            <w:pPr>
              <w:spacing w:after="0" w:line="240" w:lineRule="auto"/>
              <w:jc w:val="center"/>
              <w:textAlignment w:val="baseline"/>
              <w:rPr>
                <w:szCs w:val="24"/>
                <w:lang w:eastAsia="et-EE"/>
              </w:rPr>
            </w:pPr>
            <w:r w:rsidRPr="001927D6">
              <w:rPr>
                <w:color w:val="000000"/>
                <w:szCs w:val="24"/>
              </w:rPr>
              <w:t>894,71</w:t>
            </w:r>
          </w:p>
        </w:tc>
        <w:tc>
          <w:tcPr>
            <w:tcW w:w="1238" w:type="dxa"/>
            <w:vAlign w:val="center"/>
          </w:tcPr>
          <w:p w14:paraId="673F0401" w14:textId="77777777" w:rsidR="00295BCD" w:rsidRPr="001927D6" w:rsidRDefault="00295BCD">
            <w:pPr>
              <w:spacing w:after="0" w:line="240" w:lineRule="auto"/>
              <w:jc w:val="center"/>
              <w:textAlignment w:val="baseline"/>
              <w:rPr>
                <w:szCs w:val="24"/>
                <w:lang w:eastAsia="et-EE"/>
              </w:rPr>
            </w:pPr>
            <w:r w:rsidRPr="001927D6">
              <w:rPr>
                <w:color w:val="000000"/>
                <w:szCs w:val="24"/>
              </w:rPr>
              <w:t>5 120,55</w:t>
            </w:r>
          </w:p>
        </w:tc>
      </w:tr>
      <w:tr w:rsidR="00295BCD" w:rsidRPr="001927D6" w14:paraId="7014C8AF" w14:textId="77777777" w:rsidTr="00295BCD">
        <w:trPr>
          <w:divId w:val="1316184749"/>
          <w:trHeight w:val="300"/>
        </w:trPr>
        <w:tc>
          <w:tcPr>
            <w:tcW w:w="4632" w:type="dxa"/>
            <w:vAlign w:val="bottom"/>
            <w:hideMark/>
          </w:tcPr>
          <w:p w14:paraId="73DEEB26" w14:textId="77777777" w:rsidR="00295BCD" w:rsidRPr="001927D6" w:rsidRDefault="00295BCD">
            <w:pPr>
              <w:spacing w:after="0" w:line="240" w:lineRule="auto"/>
              <w:textAlignment w:val="baseline"/>
              <w:rPr>
                <w:szCs w:val="24"/>
                <w:lang w:eastAsia="et-EE"/>
              </w:rPr>
            </w:pPr>
            <w:r w:rsidRPr="001927D6">
              <w:rPr>
                <w:szCs w:val="24"/>
                <w:lang w:eastAsia="et-EE"/>
              </w:rPr>
              <w:t>Orgaanilised psüühikahäired, kht-ta </w:t>
            </w:r>
          </w:p>
        </w:tc>
        <w:tc>
          <w:tcPr>
            <w:tcW w:w="732" w:type="dxa"/>
            <w:vAlign w:val="center"/>
            <w:hideMark/>
          </w:tcPr>
          <w:p w14:paraId="49F0029F" w14:textId="77777777" w:rsidR="00295BCD" w:rsidRPr="001927D6" w:rsidRDefault="00295BCD">
            <w:pPr>
              <w:spacing w:after="0" w:line="240" w:lineRule="auto"/>
              <w:jc w:val="center"/>
              <w:textAlignment w:val="baseline"/>
              <w:rPr>
                <w:szCs w:val="24"/>
                <w:lang w:eastAsia="et-EE"/>
              </w:rPr>
            </w:pPr>
            <w:r w:rsidRPr="001927D6">
              <w:rPr>
                <w:szCs w:val="24"/>
                <w:lang w:eastAsia="et-EE"/>
              </w:rPr>
              <w:t>429B </w:t>
            </w:r>
          </w:p>
        </w:tc>
        <w:tc>
          <w:tcPr>
            <w:tcW w:w="1243" w:type="dxa"/>
            <w:vAlign w:val="center"/>
          </w:tcPr>
          <w:p w14:paraId="17A1644F" w14:textId="77777777" w:rsidR="00295BCD" w:rsidRPr="001927D6" w:rsidRDefault="00295BCD">
            <w:pPr>
              <w:spacing w:after="0" w:line="240" w:lineRule="auto"/>
              <w:jc w:val="center"/>
              <w:textAlignment w:val="baseline"/>
              <w:rPr>
                <w:szCs w:val="24"/>
                <w:lang w:eastAsia="et-EE"/>
              </w:rPr>
            </w:pPr>
            <w:r w:rsidRPr="001927D6">
              <w:rPr>
                <w:color w:val="000000"/>
                <w:szCs w:val="24"/>
              </w:rPr>
              <w:t>1 983,61</w:t>
            </w:r>
          </w:p>
        </w:tc>
        <w:tc>
          <w:tcPr>
            <w:tcW w:w="1211" w:type="dxa"/>
            <w:vAlign w:val="center"/>
          </w:tcPr>
          <w:p w14:paraId="2591D64F" w14:textId="77777777" w:rsidR="00295BCD" w:rsidRPr="001927D6" w:rsidRDefault="00295BCD">
            <w:pPr>
              <w:spacing w:after="0" w:line="240" w:lineRule="auto"/>
              <w:jc w:val="center"/>
              <w:textAlignment w:val="baseline"/>
              <w:rPr>
                <w:szCs w:val="24"/>
                <w:lang w:eastAsia="et-EE"/>
              </w:rPr>
            </w:pPr>
            <w:r w:rsidRPr="001927D6">
              <w:rPr>
                <w:color w:val="000000"/>
                <w:szCs w:val="24"/>
              </w:rPr>
              <w:t>730,02</w:t>
            </w:r>
          </w:p>
        </w:tc>
        <w:tc>
          <w:tcPr>
            <w:tcW w:w="1238" w:type="dxa"/>
            <w:vAlign w:val="center"/>
          </w:tcPr>
          <w:p w14:paraId="66D76399" w14:textId="77777777" w:rsidR="00295BCD" w:rsidRPr="001927D6" w:rsidRDefault="00295BCD">
            <w:pPr>
              <w:spacing w:after="0" w:line="240" w:lineRule="auto"/>
              <w:jc w:val="center"/>
              <w:textAlignment w:val="baseline"/>
              <w:rPr>
                <w:szCs w:val="24"/>
                <w:lang w:eastAsia="et-EE"/>
              </w:rPr>
            </w:pPr>
            <w:r w:rsidRPr="001927D6">
              <w:rPr>
                <w:color w:val="000000"/>
                <w:szCs w:val="24"/>
              </w:rPr>
              <w:t>4 068,17</w:t>
            </w:r>
          </w:p>
        </w:tc>
      </w:tr>
      <w:tr w:rsidR="00295BCD" w:rsidRPr="001927D6" w14:paraId="5B692453" w14:textId="77777777" w:rsidTr="00295BCD">
        <w:trPr>
          <w:divId w:val="1316184749"/>
          <w:trHeight w:val="300"/>
        </w:trPr>
        <w:tc>
          <w:tcPr>
            <w:tcW w:w="4632" w:type="dxa"/>
            <w:vAlign w:val="bottom"/>
            <w:hideMark/>
          </w:tcPr>
          <w:p w14:paraId="6863D530" w14:textId="77777777" w:rsidR="00295BCD" w:rsidRPr="001927D6" w:rsidRDefault="00295BCD">
            <w:pPr>
              <w:spacing w:after="0" w:line="240" w:lineRule="auto"/>
              <w:textAlignment w:val="baseline"/>
              <w:rPr>
                <w:szCs w:val="24"/>
                <w:lang w:eastAsia="et-EE"/>
              </w:rPr>
            </w:pPr>
            <w:r w:rsidRPr="001927D6">
              <w:rPr>
                <w:szCs w:val="24"/>
                <w:lang w:eastAsia="et-EE"/>
              </w:rPr>
              <w:t>Skisofreenia, vanus &lt; 30 </w:t>
            </w:r>
          </w:p>
        </w:tc>
        <w:tc>
          <w:tcPr>
            <w:tcW w:w="732" w:type="dxa"/>
            <w:vAlign w:val="center"/>
            <w:hideMark/>
          </w:tcPr>
          <w:p w14:paraId="58F676C4" w14:textId="77777777" w:rsidR="00295BCD" w:rsidRPr="001927D6" w:rsidRDefault="00295BCD">
            <w:pPr>
              <w:spacing w:after="0" w:line="240" w:lineRule="auto"/>
              <w:jc w:val="center"/>
              <w:textAlignment w:val="baseline"/>
              <w:rPr>
                <w:szCs w:val="24"/>
                <w:lang w:eastAsia="et-EE"/>
              </w:rPr>
            </w:pPr>
            <w:r w:rsidRPr="001927D6">
              <w:rPr>
                <w:szCs w:val="24"/>
                <w:lang w:eastAsia="et-EE"/>
              </w:rPr>
              <w:t>430A </w:t>
            </w:r>
          </w:p>
        </w:tc>
        <w:tc>
          <w:tcPr>
            <w:tcW w:w="1243" w:type="dxa"/>
            <w:vAlign w:val="center"/>
          </w:tcPr>
          <w:p w14:paraId="02371F5D" w14:textId="77777777" w:rsidR="00295BCD" w:rsidRPr="001927D6" w:rsidRDefault="00295BCD">
            <w:pPr>
              <w:spacing w:after="0" w:line="240" w:lineRule="auto"/>
              <w:jc w:val="center"/>
              <w:textAlignment w:val="baseline"/>
              <w:rPr>
                <w:szCs w:val="24"/>
                <w:lang w:eastAsia="et-EE"/>
              </w:rPr>
            </w:pPr>
            <w:r w:rsidRPr="001927D6">
              <w:rPr>
                <w:color w:val="000000"/>
                <w:szCs w:val="24"/>
              </w:rPr>
              <w:t>1 118,55</w:t>
            </w:r>
          </w:p>
        </w:tc>
        <w:tc>
          <w:tcPr>
            <w:tcW w:w="1211" w:type="dxa"/>
            <w:vAlign w:val="center"/>
          </w:tcPr>
          <w:p w14:paraId="17BAE451" w14:textId="77777777" w:rsidR="00295BCD" w:rsidRPr="001927D6" w:rsidRDefault="00295BCD">
            <w:pPr>
              <w:spacing w:after="0" w:line="240" w:lineRule="auto"/>
              <w:jc w:val="center"/>
              <w:textAlignment w:val="baseline"/>
              <w:rPr>
                <w:szCs w:val="24"/>
                <w:lang w:eastAsia="et-EE"/>
              </w:rPr>
            </w:pPr>
            <w:r w:rsidRPr="001927D6">
              <w:rPr>
                <w:color w:val="000000"/>
                <w:szCs w:val="24"/>
              </w:rPr>
              <w:t>530,83</w:t>
            </w:r>
          </w:p>
        </w:tc>
        <w:tc>
          <w:tcPr>
            <w:tcW w:w="1238" w:type="dxa"/>
            <w:vAlign w:val="center"/>
          </w:tcPr>
          <w:p w14:paraId="77D5AD60" w14:textId="77777777" w:rsidR="00295BCD" w:rsidRPr="001927D6" w:rsidRDefault="00295BCD">
            <w:pPr>
              <w:spacing w:after="0" w:line="240" w:lineRule="auto"/>
              <w:jc w:val="center"/>
              <w:textAlignment w:val="baseline"/>
              <w:rPr>
                <w:szCs w:val="24"/>
                <w:lang w:eastAsia="et-EE"/>
              </w:rPr>
            </w:pPr>
            <w:r w:rsidRPr="001927D6">
              <w:rPr>
                <w:color w:val="000000"/>
                <w:szCs w:val="24"/>
              </w:rPr>
              <w:t>2 267,43</w:t>
            </w:r>
          </w:p>
        </w:tc>
      </w:tr>
      <w:tr w:rsidR="00295BCD" w:rsidRPr="001927D6" w14:paraId="5D47C558" w14:textId="77777777" w:rsidTr="00295BCD">
        <w:trPr>
          <w:divId w:val="1316184749"/>
          <w:trHeight w:val="300"/>
        </w:trPr>
        <w:tc>
          <w:tcPr>
            <w:tcW w:w="4632" w:type="dxa"/>
            <w:vAlign w:val="bottom"/>
            <w:hideMark/>
          </w:tcPr>
          <w:p w14:paraId="6BA36615" w14:textId="77777777" w:rsidR="00295BCD" w:rsidRPr="001927D6" w:rsidRDefault="00295BCD">
            <w:pPr>
              <w:spacing w:after="0" w:line="240" w:lineRule="auto"/>
              <w:textAlignment w:val="baseline"/>
              <w:rPr>
                <w:szCs w:val="24"/>
                <w:lang w:eastAsia="et-EE"/>
              </w:rPr>
            </w:pPr>
            <w:r w:rsidRPr="001927D6">
              <w:rPr>
                <w:szCs w:val="24"/>
                <w:lang w:eastAsia="et-EE"/>
              </w:rPr>
              <w:t>Skisofreenia, vanus 30–59 </w:t>
            </w:r>
          </w:p>
        </w:tc>
        <w:tc>
          <w:tcPr>
            <w:tcW w:w="732" w:type="dxa"/>
            <w:vAlign w:val="center"/>
            <w:hideMark/>
          </w:tcPr>
          <w:p w14:paraId="76901CFA" w14:textId="77777777" w:rsidR="00295BCD" w:rsidRPr="001927D6" w:rsidRDefault="00295BCD">
            <w:pPr>
              <w:spacing w:after="0" w:line="240" w:lineRule="auto"/>
              <w:jc w:val="center"/>
              <w:textAlignment w:val="baseline"/>
              <w:rPr>
                <w:szCs w:val="24"/>
                <w:lang w:eastAsia="et-EE"/>
              </w:rPr>
            </w:pPr>
            <w:r w:rsidRPr="001927D6">
              <w:rPr>
                <w:szCs w:val="24"/>
                <w:lang w:eastAsia="et-EE"/>
              </w:rPr>
              <w:t>430B </w:t>
            </w:r>
          </w:p>
        </w:tc>
        <w:tc>
          <w:tcPr>
            <w:tcW w:w="1243" w:type="dxa"/>
            <w:vAlign w:val="center"/>
          </w:tcPr>
          <w:p w14:paraId="11B48BA6" w14:textId="77777777" w:rsidR="00295BCD" w:rsidRPr="001927D6" w:rsidRDefault="00295BCD">
            <w:pPr>
              <w:spacing w:after="0" w:line="240" w:lineRule="auto"/>
              <w:jc w:val="center"/>
              <w:textAlignment w:val="baseline"/>
              <w:rPr>
                <w:szCs w:val="24"/>
                <w:lang w:eastAsia="et-EE"/>
              </w:rPr>
            </w:pPr>
            <w:r w:rsidRPr="001927D6">
              <w:rPr>
                <w:color w:val="000000"/>
                <w:szCs w:val="24"/>
              </w:rPr>
              <w:t>1 403,12</w:t>
            </w:r>
          </w:p>
        </w:tc>
        <w:tc>
          <w:tcPr>
            <w:tcW w:w="1211" w:type="dxa"/>
            <w:vAlign w:val="center"/>
          </w:tcPr>
          <w:p w14:paraId="565E1746" w14:textId="77777777" w:rsidR="00295BCD" w:rsidRPr="001927D6" w:rsidRDefault="00295BCD">
            <w:pPr>
              <w:spacing w:after="0" w:line="240" w:lineRule="auto"/>
              <w:jc w:val="center"/>
              <w:textAlignment w:val="baseline"/>
              <w:rPr>
                <w:szCs w:val="24"/>
                <w:lang w:eastAsia="et-EE"/>
              </w:rPr>
            </w:pPr>
            <w:r w:rsidRPr="001927D6">
              <w:rPr>
                <w:color w:val="000000"/>
                <w:szCs w:val="24"/>
              </w:rPr>
              <w:t>332,32</w:t>
            </w:r>
          </w:p>
        </w:tc>
        <w:tc>
          <w:tcPr>
            <w:tcW w:w="1238" w:type="dxa"/>
            <w:vAlign w:val="center"/>
          </w:tcPr>
          <w:p w14:paraId="72AFCC91" w14:textId="77777777" w:rsidR="00295BCD" w:rsidRPr="001927D6" w:rsidRDefault="00295BCD">
            <w:pPr>
              <w:spacing w:after="0" w:line="240" w:lineRule="auto"/>
              <w:jc w:val="center"/>
              <w:textAlignment w:val="baseline"/>
              <w:rPr>
                <w:szCs w:val="24"/>
                <w:lang w:eastAsia="et-EE"/>
              </w:rPr>
            </w:pPr>
            <w:r w:rsidRPr="001927D6">
              <w:rPr>
                <w:color w:val="000000"/>
                <w:szCs w:val="24"/>
              </w:rPr>
              <w:t>2 144,79</w:t>
            </w:r>
          </w:p>
        </w:tc>
      </w:tr>
      <w:tr w:rsidR="00295BCD" w:rsidRPr="001927D6" w14:paraId="5CC172FB" w14:textId="77777777" w:rsidTr="00295BCD">
        <w:trPr>
          <w:divId w:val="1316184749"/>
          <w:trHeight w:val="300"/>
        </w:trPr>
        <w:tc>
          <w:tcPr>
            <w:tcW w:w="4632" w:type="dxa"/>
            <w:vAlign w:val="bottom"/>
            <w:hideMark/>
          </w:tcPr>
          <w:p w14:paraId="256AA5C0" w14:textId="77777777" w:rsidR="00295BCD" w:rsidRPr="001927D6" w:rsidRDefault="00295BCD">
            <w:pPr>
              <w:spacing w:after="0" w:line="240" w:lineRule="auto"/>
              <w:textAlignment w:val="baseline"/>
              <w:rPr>
                <w:szCs w:val="24"/>
                <w:lang w:eastAsia="et-EE"/>
              </w:rPr>
            </w:pPr>
            <w:r w:rsidRPr="001927D6">
              <w:rPr>
                <w:szCs w:val="24"/>
                <w:lang w:eastAsia="et-EE"/>
              </w:rPr>
              <w:t>Skisofreenia, vanus &gt; 59 </w:t>
            </w:r>
          </w:p>
        </w:tc>
        <w:tc>
          <w:tcPr>
            <w:tcW w:w="732" w:type="dxa"/>
            <w:vAlign w:val="center"/>
            <w:hideMark/>
          </w:tcPr>
          <w:p w14:paraId="076575FE" w14:textId="77777777" w:rsidR="00295BCD" w:rsidRPr="001927D6" w:rsidRDefault="00295BCD">
            <w:pPr>
              <w:spacing w:after="0" w:line="240" w:lineRule="auto"/>
              <w:jc w:val="center"/>
              <w:textAlignment w:val="baseline"/>
              <w:rPr>
                <w:szCs w:val="24"/>
                <w:lang w:eastAsia="et-EE"/>
              </w:rPr>
            </w:pPr>
            <w:r w:rsidRPr="001927D6">
              <w:rPr>
                <w:szCs w:val="24"/>
                <w:lang w:eastAsia="et-EE"/>
              </w:rPr>
              <w:t>430C </w:t>
            </w:r>
          </w:p>
        </w:tc>
        <w:tc>
          <w:tcPr>
            <w:tcW w:w="1243" w:type="dxa"/>
            <w:vAlign w:val="center"/>
          </w:tcPr>
          <w:p w14:paraId="5A6C5070" w14:textId="77777777" w:rsidR="00295BCD" w:rsidRPr="001927D6" w:rsidRDefault="00295BCD">
            <w:pPr>
              <w:spacing w:after="0" w:line="240" w:lineRule="auto"/>
              <w:jc w:val="center"/>
              <w:textAlignment w:val="baseline"/>
              <w:rPr>
                <w:szCs w:val="24"/>
                <w:lang w:eastAsia="et-EE"/>
              </w:rPr>
            </w:pPr>
            <w:r w:rsidRPr="001927D6">
              <w:rPr>
                <w:color w:val="000000"/>
                <w:szCs w:val="24"/>
              </w:rPr>
              <w:t>2 698,00</w:t>
            </w:r>
          </w:p>
        </w:tc>
        <w:tc>
          <w:tcPr>
            <w:tcW w:w="1211" w:type="dxa"/>
            <w:vAlign w:val="center"/>
          </w:tcPr>
          <w:p w14:paraId="0856B740" w14:textId="77777777" w:rsidR="00295BCD" w:rsidRPr="001927D6" w:rsidRDefault="00295BCD">
            <w:pPr>
              <w:spacing w:after="0" w:line="240" w:lineRule="auto"/>
              <w:jc w:val="center"/>
              <w:textAlignment w:val="baseline"/>
              <w:rPr>
                <w:szCs w:val="24"/>
                <w:lang w:eastAsia="et-EE"/>
              </w:rPr>
            </w:pPr>
            <w:r w:rsidRPr="001927D6">
              <w:rPr>
                <w:color w:val="000000"/>
                <w:szCs w:val="24"/>
              </w:rPr>
              <w:t>570,50</w:t>
            </w:r>
          </w:p>
        </w:tc>
        <w:tc>
          <w:tcPr>
            <w:tcW w:w="1238" w:type="dxa"/>
            <w:vAlign w:val="center"/>
          </w:tcPr>
          <w:p w14:paraId="01C0CE92" w14:textId="77777777" w:rsidR="00295BCD" w:rsidRPr="001927D6" w:rsidRDefault="00295BCD">
            <w:pPr>
              <w:spacing w:after="0" w:line="240" w:lineRule="auto"/>
              <w:jc w:val="center"/>
              <w:textAlignment w:val="baseline"/>
              <w:rPr>
                <w:szCs w:val="24"/>
                <w:lang w:eastAsia="et-EE"/>
              </w:rPr>
            </w:pPr>
            <w:r w:rsidRPr="001927D6">
              <w:rPr>
                <w:color w:val="000000"/>
                <w:szCs w:val="24"/>
              </w:rPr>
              <w:t>6 086,21</w:t>
            </w:r>
          </w:p>
        </w:tc>
      </w:tr>
      <w:tr w:rsidR="00295BCD" w:rsidRPr="001927D6" w14:paraId="2EE0C6DF" w14:textId="77777777" w:rsidTr="00295BCD">
        <w:trPr>
          <w:divId w:val="1316184749"/>
          <w:trHeight w:val="300"/>
        </w:trPr>
        <w:tc>
          <w:tcPr>
            <w:tcW w:w="4632" w:type="dxa"/>
            <w:vAlign w:val="bottom"/>
            <w:hideMark/>
          </w:tcPr>
          <w:p w14:paraId="0464ED04" w14:textId="77777777" w:rsidR="00295BCD" w:rsidRPr="001927D6" w:rsidRDefault="00295BCD">
            <w:pPr>
              <w:spacing w:after="0" w:line="240" w:lineRule="auto"/>
              <w:textAlignment w:val="baseline"/>
              <w:rPr>
                <w:szCs w:val="24"/>
                <w:lang w:eastAsia="et-EE"/>
              </w:rPr>
            </w:pPr>
            <w:r w:rsidRPr="001927D6">
              <w:rPr>
                <w:szCs w:val="24"/>
                <w:lang w:eastAsia="et-EE"/>
              </w:rPr>
              <w:t>Krooniline mitteskisofreeniline psühhoos </w:t>
            </w:r>
          </w:p>
        </w:tc>
        <w:tc>
          <w:tcPr>
            <w:tcW w:w="732" w:type="dxa"/>
            <w:vAlign w:val="center"/>
            <w:hideMark/>
          </w:tcPr>
          <w:p w14:paraId="2EE5772A" w14:textId="77777777" w:rsidR="00295BCD" w:rsidRPr="001927D6" w:rsidRDefault="00295BCD">
            <w:pPr>
              <w:spacing w:after="0" w:line="240" w:lineRule="auto"/>
              <w:jc w:val="center"/>
              <w:textAlignment w:val="baseline"/>
              <w:rPr>
                <w:szCs w:val="24"/>
                <w:lang w:eastAsia="et-EE"/>
              </w:rPr>
            </w:pPr>
            <w:r w:rsidRPr="001927D6">
              <w:rPr>
                <w:szCs w:val="24"/>
                <w:lang w:eastAsia="et-EE"/>
              </w:rPr>
              <w:t>430D </w:t>
            </w:r>
          </w:p>
        </w:tc>
        <w:tc>
          <w:tcPr>
            <w:tcW w:w="1243" w:type="dxa"/>
            <w:vAlign w:val="center"/>
          </w:tcPr>
          <w:p w14:paraId="34194F64" w14:textId="77777777" w:rsidR="00295BCD" w:rsidRPr="001927D6" w:rsidRDefault="00295BCD">
            <w:pPr>
              <w:spacing w:after="0" w:line="240" w:lineRule="auto"/>
              <w:jc w:val="center"/>
              <w:textAlignment w:val="baseline"/>
              <w:rPr>
                <w:szCs w:val="24"/>
                <w:lang w:eastAsia="et-EE"/>
              </w:rPr>
            </w:pPr>
            <w:r w:rsidRPr="001927D6">
              <w:rPr>
                <w:color w:val="000000"/>
                <w:szCs w:val="24"/>
              </w:rPr>
              <w:t>1 912,21</w:t>
            </w:r>
          </w:p>
        </w:tc>
        <w:tc>
          <w:tcPr>
            <w:tcW w:w="1211" w:type="dxa"/>
            <w:vAlign w:val="center"/>
          </w:tcPr>
          <w:p w14:paraId="4A076D98" w14:textId="77777777" w:rsidR="00295BCD" w:rsidRPr="001927D6" w:rsidRDefault="00295BCD">
            <w:pPr>
              <w:spacing w:after="0" w:line="240" w:lineRule="auto"/>
              <w:jc w:val="center"/>
              <w:textAlignment w:val="baseline"/>
              <w:rPr>
                <w:szCs w:val="24"/>
                <w:lang w:eastAsia="et-EE"/>
              </w:rPr>
            </w:pPr>
            <w:r w:rsidRPr="001927D6">
              <w:rPr>
                <w:color w:val="000000"/>
                <w:szCs w:val="24"/>
              </w:rPr>
              <w:t>672,12</w:t>
            </w:r>
          </w:p>
        </w:tc>
        <w:tc>
          <w:tcPr>
            <w:tcW w:w="1238" w:type="dxa"/>
            <w:vAlign w:val="center"/>
          </w:tcPr>
          <w:p w14:paraId="1A0437E3" w14:textId="77777777" w:rsidR="00295BCD" w:rsidRPr="001927D6" w:rsidRDefault="00295BCD">
            <w:pPr>
              <w:spacing w:after="0" w:line="240" w:lineRule="auto"/>
              <w:jc w:val="center"/>
              <w:textAlignment w:val="baseline"/>
              <w:rPr>
                <w:szCs w:val="24"/>
                <w:lang w:eastAsia="et-EE"/>
              </w:rPr>
            </w:pPr>
            <w:r w:rsidRPr="001927D6">
              <w:rPr>
                <w:color w:val="000000"/>
                <w:szCs w:val="24"/>
              </w:rPr>
              <w:t>5 143,20</w:t>
            </w:r>
          </w:p>
        </w:tc>
      </w:tr>
      <w:tr w:rsidR="00295BCD" w:rsidRPr="001927D6" w14:paraId="6CBC7CE0" w14:textId="77777777" w:rsidTr="00295BCD">
        <w:trPr>
          <w:divId w:val="1316184749"/>
          <w:trHeight w:val="300"/>
        </w:trPr>
        <w:tc>
          <w:tcPr>
            <w:tcW w:w="4632" w:type="dxa"/>
            <w:vAlign w:val="bottom"/>
            <w:hideMark/>
          </w:tcPr>
          <w:p w14:paraId="003A36D3" w14:textId="77777777" w:rsidR="00295BCD" w:rsidRPr="001927D6" w:rsidRDefault="00295BCD">
            <w:pPr>
              <w:spacing w:after="0" w:line="240" w:lineRule="auto"/>
              <w:textAlignment w:val="baseline"/>
              <w:rPr>
                <w:szCs w:val="24"/>
                <w:lang w:eastAsia="et-EE"/>
              </w:rPr>
            </w:pPr>
            <w:r w:rsidRPr="001927D6">
              <w:rPr>
                <w:szCs w:val="24"/>
                <w:lang w:eastAsia="et-EE"/>
              </w:rPr>
              <w:t>Lühiaegne mitteskisofreeniline psühhoos </w:t>
            </w:r>
          </w:p>
        </w:tc>
        <w:tc>
          <w:tcPr>
            <w:tcW w:w="732" w:type="dxa"/>
            <w:vAlign w:val="center"/>
            <w:hideMark/>
          </w:tcPr>
          <w:p w14:paraId="54560003" w14:textId="77777777" w:rsidR="00295BCD" w:rsidRPr="001927D6" w:rsidRDefault="00295BCD">
            <w:pPr>
              <w:spacing w:after="0" w:line="240" w:lineRule="auto"/>
              <w:jc w:val="center"/>
              <w:textAlignment w:val="baseline"/>
              <w:rPr>
                <w:szCs w:val="24"/>
                <w:lang w:eastAsia="et-EE"/>
              </w:rPr>
            </w:pPr>
            <w:r w:rsidRPr="001927D6">
              <w:rPr>
                <w:szCs w:val="24"/>
                <w:lang w:eastAsia="et-EE"/>
              </w:rPr>
              <w:t>430E </w:t>
            </w:r>
          </w:p>
        </w:tc>
        <w:tc>
          <w:tcPr>
            <w:tcW w:w="1243" w:type="dxa"/>
            <w:vAlign w:val="center"/>
          </w:tcPr>
          <w:p w14:paraId="024B5840" w14:textId="77777777" w:rsidR="00295BCD" w:rsidRPr="001927D6" w:rsidRDefault="00295BCD">
            <w:pPr>
              <w:spacing w:after="0" w:line="240" w:lineRule="auto"/>
              <w:jc w:val="center"/>
              <w:textAlignment w:val="baseline"/>
              <w:rPr>
                <w:szCs w:val="24"/>
                <w:lang w:eastAsia="et-EE"/>
              </w:rPr>
            </w:pPr>
            <w:r w:rsidRPr="001927D6">
              <w:rPr>
                <w:color w:val="000000"/>
                <w:szCs w:val="24"/>
              </w:rPr>
              <w:t>4 098,10</w:t>
            </w:r>
          </w:p>
        </w:tc>
        <w:tc>
          <w:tcPr>
            <w:tcW w:w="1211" w:type="dxa"/>
            <w:vAlign w:val="center"/>
          </w:tcPr>
          <w:p w14:paraId="1F8532FE" w14:textId="77777777" w:rsidR="00295BCD" w:rsidRPr="001927D6" w:rsidRDefault="00295BCD">
            <w:pPr>
              <w:spacing w:after="0" w:line="240" w:lineRule="auto"/>
              <w:jc w:val="center"/>
              <w:textAlignment w:val="baseline"/>
              <w:rPr>
                <w:szCs w:val="24"/>
                <w:lang w:eastAsia="et-EE"/>
              </w:rPr>
            </w:pPr>
            <w:r w:rsidRPr="001927D6">
              <w:rPr>
                <w:color w:val="000000"/>
                <w:szCs w:val="24"/>
              </w:rPr>
              <w:t>1 944,83</w:t>
            </w:r>
          </w:p>
        </w:tc>
        <w:tc>
          <w:tcPr>
            <w:tcW w:w="1238" w:type="dxa"/>
            <w:vAlign w:val="center"/>
          </w:tcPr>
          <w:p w14:paraId="54020667" w14:textId="77777777" w:rsidR="00295BCD" w:rsidRPr="001927D6" w:rsidRDefault="00295BCD">
            <w:pPr>
              <w:spacing w:after="0" w:line="240" w:lineRule="auto"/>
              <w:jc w:val="center"/>
              <w:textAlignment w:val="baseline"/>
              <w:rPr>
                <w:szCs w:val="24"/>
                <w:lang w:eastAsia="et-EE"/>
              </w:rPr>
            </w:pPr>
            <w:r w:rsidRPr="001927D6">
              <w:rPr>
                <w:color w:val="000000"/>
                <w:szCs w:val="24"/>
              </w:rPr>
              <w:t>8 307,35</w:t>
            </w:r>
          </w:p>
        </w:tc>
      </w:tr>
      <w:tr w:rsidR="00295BCD" w:rsidRPr="001927D6" w14:paraId="0E1F70A6" w14:textId="77777777" w:rsidTr="00295BCD">
        <w:trPr>
          <w:divId w:val="1316184749"/>
          <w:trHeight w:val="300"/>
        </w:trPr>
        <w:tc>
          <w:tcPr>
            <w:tcW w:w="4632" w:type="dxa"/>
            <w:vAlign w:val="bottom"/>
            <w:hideMark/>
          </w:tcPr>
          <w:p w14:paraId="160F86F4" w14:textId="77777777" w:rsidR="00295BCD" w:rsidRPr="001927D6" w:rsidRDefault="00295BCD">
            <w:pPr>
              <w:spacing w:after="0" w:line="240" w:lineRule="auto"/>
              <w:textAlignment w:val="baseline"/>
              <w:rPr>
                <w:szCs w:val="24"/>
                <w:lang w:eastAsia="et-EE"/>
              </w:rPr>
            </w:pPr>
            <w:r w:rsidRPr="001927D6">
              <w:rPr>
                <w:szCs w:val="24"/>
                <w:lang w:eastAsia="et-EE"/>
              </w:rPr>
              <w:t>Muud psühhootilised sündroomid </w:t>
            </w:r>
          </w:p>
        </w:tc>
        <w:tc>
          <w:tcPr>
            <w:tcW w:w="732" w:type="dxa"/>
            <w:vAlign w:val="center"/>
            <w:hideMark/>
          </w:tcPr>
          <w:p w14:paraId="6CB8EF91" w14:textId="77777777" w:rsidR="00295BCD" w:rsidRPr="001927D6" w:rsidRDefault="00295BCD">
            <w:pPr>
              <w:spacing w:after="0" w:line="240" w:lineRule="auto"/>
              <w:jc w:val="center"/>
              <w:textAlignment w:val="baseline"/>
              <w:rPr>
                <w:szCs w:val="24"/>
                <w:lang w:eastAsia="et-EE"/>
              </w:rPr>
            </w:pPr>
            <w:r w:rsidRPr="001927D6">
              <w:rPr>
                <w:szCs w:val="24"/>
                <w:lang w:eastAsia="et-EE"/>
              </w:rPr>
              <w:t>430F </w:t>
            </w:r>
          </w:p>
        </w:tc>
        <w:tc>
          <w:tcPr>
            <w:tcW w:w="1243" w:type="dxa"/>
            <w:vAlign w:val="center"/>
          </w:tcPr>
          <w:p w14:paraId="0DCB7EF9" w14:textId="77777777" w:rsidR="00295BCD" w:rsidRPr="001927D6" w:rsidRDefault="00295BCD">
            <w:pPr>
              <w:spacing w:after="0" w:line="240" w:lineRule="auto"/>
              <w:jc w:val="center"/>
              <w:textAlignment w:val="baseline"/>
              <w:rPr>
                <w:szCs w:val="24"/>
                <w:lang w:eastAsia="et-EE"/>
              </w:rPr>
            </w:pPr>
            <w:r w:rsidRPr="001927D6">
              <w:rPr>
                <w:color w:val="000000"/>
                <w:szCs w:val="24"/>
              </w:rPr>
              <w:t>3 202,97</w:t>
            </w:r>
          </w:p>
        </w:tc>
        <w:tc>
          <w:tcPr>
            <w:tcW w:w="1211" w:type="dxa"/>
            <w:vAlign w:val="center"/>
          </w:tcPr>
          <w:p w14:paraId="52D2BC25" w14:textId="77777777" w:rsidR="00295BCD" w:rsidRPr="001927D6" w:rsidRDefault="00295BCD">
            <w:pPr>
              <w:spacing w:after="0" w:line="240" w:lineRule="auto"/>
              <w:jc w:val="center"/>
              <w:textAlignment w:val="baseline"/>
              <w:rPr>
                <w:szCs w:val="24"/>
                <w:lang w:eastAsia="et-EE"/>
              </w:rPr>
            </w:pPr>
            <w:r w:rsidRPr="001927D6">
              <w:rPr>
                <w:color w:val="000000"/>
                <w:szCs w:val="24"/>
              </w:rPr>
              <w:t>1 520,03</w:t>
            </w:r>
          </w:p>
        </w:tc>
        <w:tc>
          <w:tcPr>
            <w:tcW w:w="1238" w:type="dxa"/>
            <w:vAlign w:val="center"/>
          </w:tcPr>
          <w:p w14:paraId="7988BF4A" w14:textId="77777777" w:rsidR="00295BCD" w:rsidRPr="001927D6" w:rsidRDefault="00295BCD">
            <w:pPr>
              <w:spacing w:after="0" w:line="240" w:lineRule="auto"/>
              <w:jc w:val="center"/>
              <w:textAlignment w:val="baseline"/>
              <w:rPr>
                <w:szCs w:val="24"/>
                <w:lang w:eastAsia="et-EE"/>
              </w:rPr>
            </w:pPr>
            <w:r w:rsidRPr="001927D6">
              <w:rPr>
                <w:color w:val="000000"/>
                <w:szCs w:val="24"/>
              </w:rPr>
              <w:t>3 202,97</w:t>
            </w:r>
          </w:p>
        </w:tc>
      </w:tr>
      <w:tr w:rsidR="00295BCD" w:rsidRPr="001927D6" w14:paraId="49B583EA" w14:textId="77777777" w:rsidTr="00295BCD">
        <w:trPr>
          <w:divId w:val="1316184749"/>
          <w:trHeight w:val="300"/>
        </w:trPr>
        <w:tc>
          <w:tcPr>
            <w:tcW w:w="4632" w:type="dxa"/>
            <w:vAlign w:val="bottom"/>
            <w:hideMark/>
          </w:tcPr>
          <w:p w14:paraId="67314008" w14:textId="77777777" w:rsidR="00295BCD" w:rsidRPr="001927D6" w:rsidRDefault="00295BCD">
            <w:pPr>
              <w:spacing w:after="0" w:line="240" w:lineRule="auto"/>
              <w:textAlignment w:val="baseline"/>
              <w:rPr>
                <w:szCs w:val="24"/>
                <w:lang w:eastAsia="et-EE"/>
              </w:rPr>
            </w:pPr>
            <w:r w:rsidRPr="001927D6">
              <w:rPr>
                <w:szCs w:val="24"/>
                <w:lang w:eastAsia="et-EE"/>
              </w:rPr>
              <w:t>Vaimne alaareng </w:t>
            </w:r>
          </w:p>
        </w:tc>
        <w:tc>
          <w:tcPr>
            <w:tcW w:w="732" w:type="dxa"/>
            <w:vAlign w:val="center"/>
            <w:hideMark/>
          </w:tcPr>
          <w:p w14:paraId="677267CB" w14:textId="77777777" w:rsidR="00295BCD" w:rsidRPr="001927D6" w:rsidRDefault="00295BCD">
            <w:pPr>
              <w:spacing w:after="0" w:line="240" w:lineRule="auto"/>
              <w:jc w:val="center"/>
              <w:textAlignment w:val="baseline"/>
              <w:rPr>
                <w:szCs w:val="24"/>
                <w:lang w:eastAsia="et-EE"/>
              </w:rPr>
            </w:pPr>
            <w:r w:rsidRPr="001927D6">
              <w:rPr>
                <w:szCs w:val="24"/>
                <w:lang w:eastAsia="et-EE"/>
              </w:rPr>
              <w:t>431A </w:t>
            </w:r>
          </w:p>
        </w:tc>
        <w:tc>
          <w:tcPr>
            <w:tcW w:w="1243" w:type="dxa"/>
            <w:vAlign w:val="center"/>
          </w:tcPr>
          <w:p w14:paraId="2B04BE60" w14:textId="77777777" w:rsidR="00295BCD" w:rsidRPr="001927D6" w:rsidRDefault="00295BCD">
            <w:pPr>
              <w:spacing w:after="0" w:line="240" w:lineRule="auto"/>
              <w:jc w:val="center"/>
              <w:textAlignment w:val="baseline"/>
              <w:rPr>
                <w:szCs w:val="24"/>
                <w:lang w:eastAsia="et-EE"/>
              </w:rPr>
            </w:pPr>
            <w:r w:rsidRPr="001927D6">
              <w:rPr>
                <w:color w:val="000000"/>
                <w:szCs w:val="24"/>
              </w:rPr>
              <w:t>1 309,41</w:t>
            </w:r>
          </w:p>
        </w:tc>
        <w:tc>
          <w:tcPr>
            <w:tcW w:w="1211" w:type="dxa"/>
            <w:vAlign w:val="center"/>
          </w:tcPr>
          <w:p w14:paraId="7008245E" w14:textId="77777777" w:rsidR="00295BCD" w:rsidRPr="001927D6" w:rsidRDefault="00295BCD">
            <w:pPr>
              <w:spacing w:after="0" w:line="240" w:lineRule="auto"/>
              <w:jc w:val="center"/>
              <w:textAlignment w:val="baseline"/>
              <w:rPr>
                <w:szCs w:val="24"/>
                <w:lang w:eastAsia="et-EE"/>
              </w:rPr>
            </w:pPr>
            <w:r w:rsidRPr="001927D6">
              <w:rPr>
                <w:color w:val="000000"/>
                <w:szCs w:val="24"/>
              </w:rPr>
              <w:t>489,60</w:t>
            </w:r>
          </w:p>
        </w:tc>
        <w:tc>
          <w:tcPr>
            <w:tcW w:w="1238" w:type="dxa"/>
            <w:vAlign w:val="center"/>
          </w:tcPr>
          <w:p w14:paraId="03680C89" w14:textId="77777777" w:rsidR="00295BCD" w:rsidRPr="001927D6" w:rsidRDefault="00295BCD">
            <w:pPr>
              <w:spacing w:after="0" w:line="240" w:lineRule="auto"/>
              <w:jc w:val="center"/>
              <w:textAlignment w:val="baseline"/>
              <w:rPr>
                <w:szCs w:val="24"/>
                <w:lang w:eastAsia="et-EE"/>
              </w:rPr>
            </w:pPr>
            <w:r w:rsidRPr="001927D6">
              <w:rPr>
                <w:color w:val="000000"/>
                <w:szCs w:val="24"/>
              </w:rPr>
              <w:t>2 706,72</w:t>
            </w:r>
          </w:p>
        </w:tc>
      </w:tr>
      <w:tr w:rsidR="00295BCD" w:rsidRPr="001927D6" w14:paraId="2646356C" w14:textId="77777777" w:rsidTr="00295BCD">
        <w:trPr>
          <w:divId w:val="1316184749"/>
          <w:trHeight w:val="300"/>
        </w:trPr>
        <w:tc>
          <w:tcPr>
            <w:tcW w:w="4632" w:type="dxa"/>
            <w:vAlign w:val="bottom"/>
            <w:hideMark/>
          </w:tcPr>
          <w:p w14:paraId="53927EEC" w14:textId="77777777" w:rsidR="00295BCD" w:rsidRPr="001927D6" w:rsidRDefault="00295BCD">
            <w:pPr>
              <w:spacing w:after="0" w:line="240" w:lineRule="auto"/>
              <w:textAlignment w:val="baseline"/>
              <w:rPr>
                <w:szCs w:val="24"/>
                <w:lang w:eastAsia="et-EE"/>
              </w:rPr>
            </w:pPr>
            <w:r w:rsidRPr="001927D6">
              <w:rPr>
                <w:szCs w:val="24"/>
                <w:lang w:eastAsia="et-EE"/>
              </w:rPr>
              <w:t>Neuropsühhiaatrilised häired </w:t>
            </w:r>
          </w:p>
        </w:tc>
        <w:tc>
          <w:tcPr>
            <w:tcW w:w="732" w:type="dxa"/>
            <w:vAlign w:val="center"/>
            <w:hideMark/>
          </w:tcPr>
          <w:p w14:paraId="361C188C" w14:textId="77777777" w:rsidR="00295BCD" w:rsidRPr="001927D6" w:rsidRDefault="00295BCD">
            <w:pPr>
              <w:spacing w:after="0" w:line="240" w:lineRule="auto"/>
              <w:jc w:val="center"/>
              <w:textAlignment w:val="baseline"/>
              <w:rPr>
                <w:szCs w:val="24"/>
                <w:lang w:eastAsia="et-EE"/>
              </w:rPr>
            </w:pPr>
            <w:r w:rsidRPr="001927D6">
              <w:rPr>
                <w:szCs w:val="24"/>
                <w:lang w:eastAsia="et-EE"/>
              </w:rPr>
              <w:t>431B </w:t>
            </w:r>
          </w:p>
        </w:tc>
        <w:tc>
          <w:tcPr>
            <w:tcW w:w="1243" w:type="dxa"/>
            <w:vAlign w:val="center"/>
          </w:tcPr>
          <w:p w14:paraId="6EE69384" w14:textId="77777777" w:rsidR="00295BCD" w:rsidRPr="001927D6" w:rsidRDefault="00295BCD">
            <w:pPr>
              <w:spacing w:after="0" w:line="240" w:lineRule="auto"/>
              <w:jc w:val="center"/>
              <w:textAlignment w:val="baseline"/>
              <w:rPr>
                <w:szCs w:val="24"/>
                <w:lang w:eastAsia="et-EE"/>
              </w:rPr>
            </w:pPr>
            <w:r w:rsidRPr="001927D6">
              <w:rPr>
                <w:color w:val="000000"/>
                <w:szCs w:val="24"/>
              </w:rPr>
              <w:t>1 355,96</w:t>
            </w:r>
          </w:p>
        </w:tc>
        <w:tc>
          <w:tcPr>
            <w:tcW w:w="1211" w:type="dxa"/>
            <w:vAlign w:val="center"/>
          </w:tcPr>
          <w:p w14:paraId="1EB614EF" w14:textId="77777777" w:rsidR="00295BCD" w:rsidRPr="001927D6" w:rsidRDefault="00295BCD">
            <w:pPr>
              <w:spacing w:after="0" w:line="240" w:lineRule="auto"/>
              <w:jc w:val="center"/>
              <w:textAlignment w:val="baseline"/>
              <w:rPr>
                <w:szCs w:val="24"/>
                <w:lang w:eastAsia="et-EE"/>
              </w:rPr>
            </w:pPr>
            <w:r w:rsidRPr="001927D6">
              <w:rPr>
                <w:color w:val="000000"/>
                <w:szCs w:val="24"/>
              </w:rPr>
              <w:t>614,21</w:t>
            </w:r>
          </w:p>
        </w:tc>
        <w:tc>
          <w:tcPr>
            <w:tcW w:w="1238" w:type="dxa"/>
            <w:vAlign w:val="center"/>
          </w:tcPr>
          <w:p w14:paraId="4A4DD08B" w14:textId="77777777" w:rsidR="00295BCD" w:rsidRPr="001927D6" w:rsidRDefault="00295BCD">
            <w:pPr>
              <w:spacing w:after="0" w:line="240" w:lineRule="auto"/>
              <w:jc w:val="center"/>
              <w:textAlignment w:val="baseline"/>
              <w:rPr>
                <w:szCs w:val="24"/>
                <w:lang w:eastAsia="et-EE"/>
              </w:rPr>
            </w:pPr>
            <w:r w:rsidRPr="001927D6">
              <w:rPr>
                <w:color w:val="000000"/>
                <w:szCs w:val="24"/>
              </w:rPr>
              <w:t>2 420,17</w:t>
            </w:r>
          </w:p>
        </w:tc>
      </w:tr>
      <w:tr w:rsidR="00295BCD" w:rsidRPr="001927D6" w14:paraId="35F64CAC" w14:textId="77777777" w:rsidTr="00295BCD">
        <w:trPr>
          <w:divId w:val="1316184749"/>
          <w:trHeight w:val="300"/>
        </w:trPr>
        <w:tc>
          <w:tcPr>
            <w:tcW w:w="4632" w:type="dxa"/>
            <w:vAlign w:val="bottom"/>
            <w:hideMark/>
          </w:tcPr>
          <w:p w14:paraId="6E7C2A4D" w14:textId="77777777" w:rsidR="00295BCD" w:rsidRPr="001927D6" w:rsidRDefault="00295BCD">
            <w:pPr>
              <w:spacing w:after="0" w:line="240" w:lineRule="auto"/>
              <w:textAlignment w:val="baseline"/>
              <w:rPr>
                <w:szCs w:val="24"/>
                <w:lang w:eastAsia="et-EE"/>
              </w:rPr>
            </w:pPr>
            <w:r w:rsidRPr="001927D6">
              <w:rPr>
                <w:szCs w:val="24"/>
                <w:lang w:eastAsia="et-EE"/>
              </w:rPr>
              <w:t>Muud lapseea psüühikahäired </w:t>
            </w:r>
          </w:p>
        </w:tc>
        <w:tc>
          <w:tcPr>
            <w:tcW w:w="732" w:type="dxa"/>
            <w:vAlign w:val="center"/>
            <w:hideMark/>
          </w:tcPr>
          <w:p w14:paraId="2C6FC369" w14:textId="77777777" w:rsidR="00295BCD" w:rsidRPr="001927D6" w:rsidRDefault="00295BCD">
            <w:pPr>
              <w:spacing w:after="0" w:line="240" w:lineRule="auto"/>
              <w:jc w:val="center"/>
              <w:textAlignment w:val="baseline"/>
              <w:rPr>
                <w:szCs w:val="24"/>
                <w:lang w:eastAsia="et-EE"/>
              </w:rPr>
            </w:pPr>
            <w:r w:rsidRPr="001927D6">
              <w:rPr>
                <w:szCs w:val="24"/>
                <w:lang w:eastAsia="et-EE"/>
              </w:rPr>
              <w:t>431C </w:t>
            </w:r>
          </w:p>
        </w:tc>
        <w:tc>
          <w:tcPr>
            <w:tcW w:w="1243" w:type="dxa"/>
            <w:vAlign w:val="center"/>
          </w:tcPr>
          <w:p w14:paraId="56A85B4D" w14:textId="77777777" w:rsidR="00295BCD" w:rsidRPr="001927D6" w:rsidRDefault="00295BCD">
            <w:pPr>
              <w:spacing w:after="0" w:line="240" w:lineRule="auto"/>
              <w:jc w:val="center"/>
              <w:textAlignment w:val="baseline"/>
              <w:rPr>
                <w:szCs w:val="24"/>
                <w:lang w:eastAsia="et-EE"/>
              </w:rPr>
            </w:pPr>
            <w:r w:rsidRPr="001927D6">
              <w:rPr>
                <w:color w:val="000000"/>
                <w:szCs w:val="24"/>
              </w:rPr>
              <w:t>794,87</w:t>
            </w:r>
          </w:p>
        </w:tc>
        <w:tc>
          <w:tcPr>
            <w:tcW w:w="1211" w:type="dxa"/>
            <w:vAlign w:val="center"/>
          </w:tcPr>
          <w:p w14:paraId="13C36FBE" w14:textId="77777777" w:rsidR="00295BCD" w:rsidRPr="001927D6" w:rsidRDefault="00295BCD">
            <w:pPr>
              <w:spacing w:after="0" w:line="240" w:lineRule="auto"/>
              <w:jc w:val="center"/>
              <w:textAlignment w:val="baseline"/>
              <w:rPr>
                <w:szCs w:val="24"/>
                <w:lang w:eastAsia="et-EE"/>
              </w:rPr>
            </w:pPr>
            <w:r w:rsidRPr="001927D6">
              <w:rPr>
                <w:color w:val="000000"/>
                <w:szCs w:val="24"/>
              </w:rPr>
              <w:t>209,73</w:t>
            </w:r>
          </w:p>
        </w:tc>
        <w:tc>
          <w:tcPr>
            <w:tcW w:w="1238" w:type="dxa"/>
            <w:vAlign w:val="center"/>
          </w:tcPr>
          <w:p w14:paraId="4BA28C89" w14:textId="77777777" w:rsidR="00295BCD" w:rsidRPr="001927D6" w:rsidRDefault="00295BCD">
            <w:pPr>
              <w:spacing w:after="0" w:line="240" w:lineRule="auto"/>
              <w:jc w:val="center"/>
              <w:textAlignment w:val="baseline"/>
              <w:rPr>
                <w:szCs w:val="24"/>
                <w:lang w:eastAsia="et-EE"/>
              </w:rPr>
            </w:pPr>
            <w:r w:rsidRPr="001927D6">
              <w:rPr>
                <w:color w:val="000000"/>
                <w:szCs w:val="24"/>
              </w:rPr>
              <w:t>2 225,89</w:t>
            </w:r>
          </w:p>
        </w:tc>
      </w:tr>
      <w:tr w:rsidR="00295BCD" w:rsidRPr="001927D6" w14:paraId="7844AB86" w14:textId="77777777" w:rsidTr="00295BCD">
        <w:trPr>
          <w:divId w:val="1316184749"/>
          <w:trHeight w:val="300"/>
        </w:trPr>
        <w:tc>
          <w:tcPr>
            <w:tcW w:w="4632" w:type="dxa"/>
            <w:vAlign w:val="bottom"/>
            <w:hideMark/>
          </w:tcPr>
          <w:p w14:paraId="44E82159" w14:textId="77777777" w:rsidR="00295BCD" w:rsidRPr="001927D6" w:rsidRDefault="00295BCD">
            <w:pPr>
              <w:spacing w:after="0" w:line="240" w:lineRule="auto"/>
              <w:textAlignment w:val="baseline"/>
              <w:rPr>
                <w:szCs w:val="24"/>
                <w:lang w:eastAsia="et-EE"/>
              </w:rPr>
            </w:pPr>
            <w:r w:rsidRPr="001927D6">
              <w:rPr>
                <w:szCs w:val="24"/>
                <w:lang w:eastAsia="et-EE"/>
              </w:rPr>
              <w:t>Söömishäired </w:t>
            </w:r>
          </w:p>
        </w:tc>
        <w:tc>
          <w:tcPr>
            <w:tcW w:w="732" w:type="dxa"/>
            <w:vAlign w:val="center"/>
            <w:hideMark/>
          </w:tcPr>
          <w:p w14:paraId="18543C62" w14:textId="77777777" w:rsidR="00295BCD" w:rsidRPr="001927D6" w:rsidRDefault="00295BCD">
            <w:pPr>
              <w:spacing w:after="0" w:line="240" w:lineRule="auto"/>
              <w:jc w:val="center"/>
              <w:textAlignment w:val="baseline"/>
              <w:rPr>
                <w:szCs w:val="24"/>
                <w:lang w:eastAsia="et-EE"/>
              </w:rPr>
            </w:pPr>
            <w:r w:rsidRPr="001927D6">
              <w:rPr>
                <w:szCs w:val="24"/>
                <w:lang w:eastAsia="et-EE"/>
              </w:rPr>
              <w:t>432A </w:t>
            </w:r>
          </w:p>
        </w:tc>
        <w:tc>
          <w:tcPr>
            <w:tcW w:w="1243" w:type="dxa"/>
            <w:vAlign w:val="center"/>
          </w:tcPr>
          <w:p w14:paraId="729D4866" w14:textId="77777777" w:rsidR="00295BCD" w:rsidRPr="001927D6" w:rsidRDefault="00295BCD">
            <w:pPr>
              <w:spacing w:after="0" w:line="240" w:lineRule="auto"/>
              <w:jc w:val="center"/>
              <w:textAlignment w:val="baseline"/>
              <w:rPr>
                <w:szCs w:val="24"/>
                <w:lang w:eastAsia="et-EE"/>
              </w:rPr>
            </w:pPr>
            <w:r w:rsidRPr="001927D6">
              <w:rPr>
                <w:color w:val="000000"/>
                <w:szCs w:val="24"/>
              </w:rPr>
              <w:t>1 052,46</w:t>
            </w:r>
          </w:p>
        </w:tc>
        <w:tc>
          <w:tcPr>
            <w:tcW w:w="1211" w:type="dxa"/>
            <w:vAlign w:val="center"/>
          </w:tcPr>
          <w:p w14:paraId="16EF783A" w14:textId="77777777" w:rsidR="00295BCD" w:rsidRPr="001927D6" w:rsidRDefault="00295BCD">
            <w:pPr>
              <w:spacing w:after="0" w:line="240" w:lineRule="auto"/>
              <w:jc w:val="center"/>
              <w:textAlignment w:val="baseline"/>
              <w:rPr>
                <w:szCs w:val="24"/>
                <w:lang w:eastAsia="et-EE"/>
              </w:rPr>
            </w:pPr>
            <w:r w:rsidRPr="001927D6">
              <w:rPr>
                <w:color w:val="000000"/>
                <w:szCs w:val="24"/>
              </w:rPr>
              <w:t>315,23</w:t>
            </w:r>
          </w:p>
        </w:tc>
        <w:tc>
          <w:tcPr>
            <w:tcW w:w="1238" w:type="dxa"/>
            <w:vAlign w:val="center"/>
          </w:tcPr>
          <w:p w14:paraId="7BE4169E" w14:textId="77777777" w:rsidR="00295BCD" w:rsidRPr="001927D6" w:rsidRDefault="00295BCD">
            <w:pPr>
              <w:spacing w:after="0" w:line="240" w:lineRule="auto"/>
              <w:jc w:val="center"/>
              <w:textAlignment w:val="baseline"/>
              <w:rPr>
                <w:szCs w:val="24"/>
                <w:lang w:eastAsia="et-EE"/>
              </w:rPr>
            </w:pPr>
            <w:r w:rsidRPr="001927D6">
              <w:rPr>
                <w:color w:val="000000"/>
                <w:szCs w:val="24"/>
              </w:rPr>
              <w:t>2 436,86</w:t>
            </w:r>
          </w:p>
        </w:tc>
      </w:tr>
      <w:tr w:rsidR="00295BCD" w:rsidRPr="001927D6" w14:paraId="349BD784" w14:textId="77777777" w:rsidTr="00295BCD">
        <w:trPr>
          <w:divId w:val="1316184749"/>
          <w:trHeight w:val="300"/>
        </w:trPr>
        <w:tc>
          <w:tcPr>
            <w:tcW w:w="4632" w:type="dxa"/>
            <w:vAlign w:val="bottom"/>
            <w:hideMark/>
          </w:tcPr>
          <w:p w14:paraId="7D7524E5" w14:textId="77777777" w:rsidR="00295BCD" w:rsidRPr="001927D6" w:rsidRDefault="00295BCD">
            <w:pPr>
              <w:spacing w:after="0" w:line="240" w:lineRule="auto"/>
              <w:textAlignment w:val="baseline"/>
              <w:rPr>
                <w:szCs w:val="24"/>
                <w:lang w:eastAsia="et-EE"/>
              </w:rPr>
            </w:pPr>
            <w:r w:rsidRPr="001927D6">
              <w:rPr>
                <w:szCs w:val="24"/>
                <w:lang w:eastAsia="et-EE"/>
              </w:rPr>
              <w:t>Muud spetsiifilised psüühikahäired </w:t>
            </w:r>
          </w:p>
        </w:tc>
        <w:tc>
          <w:tcPr>
            <w:tcW w:w="732" w:type="dxa"/>
            <w:vAlign w:val="center"/>
            <w:hideMark/>
          </w:tcPr>
          <w:p w14:paraId="121550B7" w14:textId="77777777" w:rsidR="00295BCD" w:rsidRPr="001927D6" w:rsidRDefault="00295BCD">
            <w:pPr>
              <w:spacing w:after="0" w:line="240" w:lineRule="auto"/>
              <w:jc w:val="center"/>
              <w:textAlignment w:val="baseline"/>
              <w:rPr>
                <w:szCs w:val="24"/>
                <w:lang w:eastAsia="et-EE"/>
              </w:rPr>
            </w:pPr>
            <w:r w:rsidRPr="001927D6">
              <w:rPr>
                <w:szCs w:val="24"/>
                <w:lang w:eastAsia="et-EE"/>
              </w:rPr>
              <w:t>432B </w:t>
            </w:r>
          </w:p>
        </w:tc>
        <w:tc>
          <w:tcPr>
            <w:tcW w:w="1243" w:type="dxa"/>
            <w:vAlign w:val="center"/>
          </w:tcPr>
          <w:p w14:paraId="56C64922" w14:textId="77777777" w:rsidR="00295BCD" w:rsidRPr="001927D6" w:rsidRDefault="00295BCD">
            <w:pPr>
              <w:spacing w:after="0" w:line="240" w:lineRule="auto"/>
              <w:jc w:val="center"/>
              <w:textAlignment w:val="baseline"/>
              <w:rPr>
                <w:szCs w:val="24"/>
                <w:lang w:eastAsia="et-EE"/>
              </w:rPr>
            </w:pPr>
            <w:r w:rsidRPr="001927D6">
              <w:rPr>
                <w:color w:val="000000"/>
                <w:szCs w:val="24"/>
              </w:rPr>
              <w:t>1 579,03</w:t>
            </w:r>
          </w:p>
        </w:tc>
        <w:tc>
          <w:tcPr>
            <w:tcW w:w="1211" w:type="dxa"/>
            <w:vAlign w:val="center"/>
          </w:tcPr>
          <w:p w14:paraId="0FF0703A" w14:textId="77777777" w:rsidR="00295BCD" w:rsidRPr="001927D6" w:rsidRDefault="00295BCD">
            <w:pPr>
              <w:spacing w:after="0" w:line="240" w:lineRule="auto"/>
              <w:jc w:val="center"/>
              <w:textAlignment w:val="baseline"/>
              <w:rPr>
                <w:szCs w:val="24"/>
                <w:lang w:eastAsia="et-EE"/>
              </w:rPr>
            </w:pPr>
            <w:r w:rsidRPr="001927D6">
              <w:rPr>
                <w:color w:val="000000"/>
                <w:szCs w:val="24"/>
              </w:rPr>
              <w:t>439,51</w:t>
            </w:r>
          </w:p>
        </w:tc>
        <w:tc>
          <w:tcPr>
            <w:tcW w:w="1238" w:type="dxa"/>
            <w:vAlign w:val="center"/>
          </w:tcPr>
          <w:p w14:paraId="160E1081" w14:textId="77777777" w:rsidR="00295BCD" w:rsidRPr="001927D6" w:rsidRDefault="00295BCD">
            <w:pPr>
              <w:spacing w:after="0" w:line="240" w:lineRule="auto"/>
              <w:jc w:val="center"/>
              <w:textAlignment w:val="baseline"/>
              <w:rPr>
                <w:szCs w:val="24"/>
                <w:lang w:eastAsia="et-EE"/>
              </w:rPr>
            </w:pPr>
            <w:r w:rsidRPr="001927D6">
              <w:rPr>
                <w:color w:val="000000"/>
                <w:szCs w:val="24"/>
              </w:rPr>
              <w:t>3 851,25</w:t>
            </w:r>
          </w:p>
        </w:tc>
      </w:tr>
      <w:tr w:rsidR="00295BCD" w:rsidRPr="001927D6" w14:paraId="5E20970B" w14:textId="77777777" w:rsidTr="00295BCD">
        <w:trPr>
          <w:divId w:val="1316184749"/>
          <w:trHeight w:val="300"/>
        </w:trPr>
        <w:tc>
          <w:tcPr>
            <w:tcW w:w="4632" w:type="dxa"/>
            <w:vAlign w:val="bottom"/>
            <w:hideMark/>
          </w:tcPr>
          <w:p w14:paraId="59A7B4B3" w14:textId="77777777" w:rsidR="00295BCD" w:rsidRPr="001927D6" w:rsidRDefault="00295BCD">
            <w:pPr>
              <w:spacing w:after="0" w:line="240" w:lineRule="auto"/>
              <w:textAlignment w:val="baseline"/>
              <w:rPr>
                <w:szCs w:val="24"/>
                <w:lang w:eastAsia="et-EE"/>
              </w:rPr>
            </w:pPr>
            <w:r w:rsidRPr="001927D6">
              <w:rPr>
                <w:szCs w:val="24"/>
                <w:lang w:eastAsia="et-EE"/>
              </w:rPr>
              <w:t>Muud mittespetsiifilised psüühikahäired </w:t>
            </w:r>
          </w:p>
        </w:tc>
        <w:tc>
          <w:tcPr>
            <w:tcW w:w="732" w:type="dxa"/>
            <w:vAlign w:val="center"/>
            <w:hideMark/>
          </w:tcPr>
          <w:p w14:paraId="11CC1763" w14:textId="77777777" w:rsidR="00295BCD" w:rsidRPr="001927D6" w:rsidRDefault="00295BCD">
            <w:pPr>
              <w:spacing w:after="0" w:line="240" w:lineRule="auto"/>
              <w:jc w:val="center"/>
              <w:textAlignment w:val="baseline"/>
              <w:rPr>
                <w:szCs w:val="24"/>
                <w:lang w:eastAsia="et-EE"/>
              </w:rPr>
            </w:pPr>
            <w:r w:rsidRPr="001927D6">
              <w:rPr>
                <w:szCs w:val="24"/>
                <w:lang w:eastAsia="et-EE"/>
              </w:rPr>
              <w:t>432C </w:t>
            </w:r>
          </w:p>
        </w:tc>
        <w:tc>
          <w:tcPr>
            <w:tcW w:w="1243" w:type="dxa"/>
            <w:vAlign w:val="center"/>
          </w:tcPr>
          <w:p w14:paraId="5DA9FB11" w14:textId="77777777" w:rsidR="00295BCD" w:rsidRPr="001927D6" w:rsidRDefault="00295BCD">
            <w:pPr>
              <w:spacing w:after="0" w:line="240" w:lineRule="auto"/>
              <w:jc w:val="center"/>
              <w:textAlignment w:val="baseline"/>
              <w:rPr>
                <w:szCs w:val="24"/>
                <w:lang w:eastAsia="et-EE"/>
              </w:rPr>
            </w:pPr>
            <w:r w:rsidRPr="001927D6">
              <w:rPr>
                <w:color w:val="000000"/>
                <w:szCs w:val="24"/>
              </w:rPr>
              <w:t>839,86</w:t>
            </w:r>
          </w:p>
        </w:tc>
        <w:tc>
          <w:tcPr>
            <w:tcW w:w="1211" w:type="dxa"/>
            <w:vAlign w:val="center"/>
          </w:tcPr>
          <w:p w14:paraId="5D11ADAA" w14:textId="77777777" w:rsidR="00295BCD" w:rsidRPr="001927D6" w:rsidRDefault="00295BCD">
            <w:pPr>
              <w:spacing w:after="0" w:line="240" w:lineRule="auto"/>
              <w:jc w:val="center"/>
              <w:textAlignment w:val="baseline"/>
              <w:rPr>
                <w:szCs w:val="24"/>
                <w:lang w:eastAsia="et-EE"/>
              </w:rPr>
            </w:pPr>
            <w:r w:rsidRPr="001927D6">
              <w:rPr>
                <w:color w:val="000000"/>
                <w:szCs w:val="24"/>
              </w:rPr>
              <w:t>295,33</w:t>
            </w:r>
          </w:p>
        </w:tc>
        <w:tc>
          <w:tcPr>
            <w:tcW w:w="1238" w:type="dxa"/>
            <w:vAlign w:val="center"/>
          </w:tcPr>
          <w:p w14:paraId="0A404195" w14:textId="77777777" w:rsidR="00295BCD" w:rsidRPr="001927D6" w:rsidRDefault="00295BCD">
            <w:pPr>
              <w:spacing w:after="0" w:line="240" w:lineRule="auto"/>
              <w:jc w:val="center"/>
              <w:textAlignment w:val="baseline"/>
              <w:rPr>
                <w:szCs w:val="24"/>
                <w:lang w:eastAsia="et-EE"/>
              </w:rPr>
            </w:pPr>
            <w:r w:rsidRPr="001927D6">
              <w:rPr>
                <w:color w:val="000000"/>
                <w:szCs w:val="24"/>
              </w:rPr>
              <w:t>2 264,62</w:t>
            </w:r>
          </w:p>
        </w:tc>
      </w:tr>
      <w:tr w:rsidR="00295BCD" w:rsidRPr="001927D6" w14:paraId="659C2F6C" w14:textId="77777777" w:rsidTr="00295BCD">
        <w:trPr>
          <w:divId w:val="1316184749"/>
          <w:trHeight w:val="300"/>
        </w:trPr>
        <w:tc>
          <w:tcPr>
            <w:tcW w:w="4632" w:type="dxa"/>
            <w:vAlign w:val="bottom"/>
            <w:hideMark/>
          </w:tcPr>
          <w:p w14:paraId="234F5764" w14:textId="77777777" w:rsidR="00295BCD" w:rsidRPr="001927D6" w:rsidRDefault="00295BCD">
            <w:pPr>
              <w:spacing w:after="0" w:line="240" w:lineRule="auto"/>
              <w:textAlignment w:val="baseline"/>
              <w:rPr>
                <w:szCs w:val="24"/>
                <w:lang w:eastAsia="et-EE"/>
              </w:rPr>
            </w:pPr>
            <w:r w:rsidRPr="001927D6">
              <w:rPr>
                <w:szCs w:val="24"/>
                <w:lang w:eastAsia="et-EE"/>
              </w:rPr>
              <w:t>Psühhiaatriline rehabilitatsioon </w:t>
            </w:r>
          </w:p>
        </w:tc>
        <w:tc>
          <w:tcPr>
            <w:tcW w:w="732" w:type="dxa"/>
            <w:vAlign w:val="center"/>
            <w:hideMark/>
          </w:tcPr>
          <w:p w14:paraId="35D85B5D" w14:textId="77777777" w:rsidR="00295BCD" w:rsidRPr="001927D6" w:rsidRDefault="00295BCD">
            <w:pPr>
              <w:spacing w:after="0" w:line="240" w:lineRule="auto"/>
              <w:jc w:val="center"/>
              <w:textAlignment w:val="baseline"/>
              <w:rPr>
                <w:szCs w:val="24"/>
                <w:lang w:eastAsia="et-EE"/>
              </w:rPr>
            </w:pPr>
            <w:r w:rsidRPr="001927D6">
              <w:rPr>
                <w:szCs w:val="24"/>
                <w:lang w:eastAsia="et-EE"/>
              </w:rPr>
              <w:t>432M </w:t>
            </w:r>
          </w:p>
        </w:tc>
        <w:tc>
          <w:tcPr>
            <w:tcW w:w="1243" w:type="dxa"/>
            <w:vAlign w:val="center"/>
          </w:tcPr>
          <w:p w14:paraId="4835D5ED" w14:textId="77777777" w:rsidR="00295BCD" w:rsidRPr="001927D6" w:rsidRDefault="00295BCD">
            <w:pPr>
              <w:spacing w:after="0" w:line="240" w:lineRule="auto"/>
              <w:jc w:val="center"/>
              <w:textAlignment w:val="baseline"/>
              <w:rPr>
                <w:szCs w:val="24"/>
                <w:lang w:eastAsia="et-EE"/>
              </w:rPr>
            </w:pPr>
            <w:r w:rsidRPr="001927D6">
              <w:rPr>
                <w:color w:val="000000"/>
                <w:szCs w:val="24"/>
              </w:rPr>
              <w:t>13 987,32</w:t>
            </w:r>
          </w:p>
        </w:tc>
        <w:tc>
          <w:tcPr>
            <w:tcW w:w="1211" w:type="dxa"/>
            <w:vAlign w:val="center"/>
          </w:tcPr>
          <w:p w14:paraId="545CC874" w14:textId="77777777" w:rsidR="00295BCD" w:rsidRPr="001927D6" w:rsidRDefault="00295BCD">
            <w:pPr>
              <w:spacing w:after="0" w:line="240" w:lineRule="auto"/>
              <w:jc w:val="center"/>
              <w:textAlignment w:val="baseline"/>
              <w:rPr>
                <w:szCs w:val="24"/>
                <w:lang w:eastAsia="et-EE"/>
              </w:rPr>
            </w:pPr>
            <w:r w:rsidRPr="001927D6">
              <w:rPr>
                <w:color w:val="000000"/>
                <w:szCs w:val="24"/>
              </w:rPr>
              <w:t>5 510,28</w:t>
            </w:r>
          </w:p>
        </w:tc>
        <w:tc>
          <w:tcPr>
            <w:tcW w:w="1238" w:type="dxa"/>
            <w:vAlign w:val="center"/>
          </w:tcPr>
          <w:p w14:paraId="0682DE70" w14:textId="77777777" w:rsidR="00295BCD" w:rsidRPr="001927D6" w:rsidRDefault="00295BCD">
            <w:pPr>
              <w:spacing w:after="0" w:line="240" w:lineRule="auto"/>
              <w:jc w:val="center"/>
              <w:textAlignment w:val="baseline"/>
              <w:rPr>
                <w:szCs w:val="24"/>
                <w:lang w:eastAsia="et-EE"/>
              </w:rPr>
            </w:pPr>
            <w:r w:rsidRPr="001927D6">
              <w:rPr>
                <w:color w:val="000000"/>
                <w:szCs w:val="24"/>
              </w:rPr>
              <w:t>44 145,75</w:t>
            </w:r>
          </w:p>
        </w:tc>
      </w:tr>
      <w:tr w:rsidR="00295BCD" w:rsidRPr="001927D6" w14:paraId="3345C394" w14:textId="77777777" w:rsidTr="00295BCD">
        <w:trPr>
          <w:divId w:val="1316184749"/>
          <w:trHeight w:val="300"/>
        </w:trPr>
        <w:tc>
          <w:tcPr>
            <w:tcW w:w="4632" w:type="dxa"/>
            <w:vAlign w:val="bottom"/>
            <w:hideMark/>
          </w:tcPr>
          <w:p w14:paraId="33D4400A" w14:textId="77777777" w:rsidR="00295BCD" w:rsidRPr="001927D6" w:rsidRDefault="00295BCD">
            <w:pPr>
              <w:spacing w:after="0" w:line="240" w:lineRule="auto"/>
              <w:textAlignment w:val="baseline"/>
              <w:rPr>
                <w:szCs w:val="24"/>
                <w:lang w:eastAsia="et-EE"/>
              </w:rPr>
            </w:pPr>
            <w:r w:rsidRPr="001927D6">
              <w:rPr>
                <w:szCs w:val="24"/>
                <w:lang w:eastAsia="et-EE"/>
              </w:rPr>
              <w:t>Muud kuritarvitamisega seotud häired, kht-ga </w:t>
            </w:r>
          </w:p>
        </w:tc>
        <w:tc>
          <w:tcPr>
            <w:tcW w:w="732" w:type="dxa"/>
            <w:vAlign w:val="center"/>
            <w:hideMark/>
          </w:tcPr>
          <w:p w14:paraId="70A9987F" w14:textId="77777777" w:rsidR="00295BCD" w:rsidRPr="001927D6" w:rsidRDefault="00295BCD">
            <w:pPr>
              <w:spacing w:after="0" w:line="240" w:lineRule="auto"/>
              <w:jc w:val="center"/>
              <w:textAlignment w:val="baseline"/>
              <w:rPr>
                <w:szCs w:val="24"/>
                <w:lang w:eastAsia="et-EE"/>
              </w:rPr>
            </w:pPr>
            <w:r w:rsidRPr="001927D6">
              <w:rPr>
                <w:szCs w:val="24"/>
                <w:lang w:eastAsia="et-EE"/>
              </w:rPr>
              <w:t>436A </w:t>
            </w:r>
          </w:p>
        </w:tc>
        <w:tc>
          <w:tcPr>
            <w:tcW w:w="1243" w:type="dxa"/>
            <w:vAlign w:val="center"/>
          </w:tcPr>
          <w:p w14:paraId="354C2A50" w14:textId="77777777" w:rsidR="00295BCD" w:rsidRPr="001927D6" w:rsidRDefault="00295BCD">
            <w:pPr>
              <w:spacing w:after="0" w:line="240" w:lineRule="auto"/>
              <w:jc w:val="center"/>
              <w:textAlignment w:val="baseline"/>
              <w:rPr>
                <w:szCs w:val="24"/>
                <w:lang w:eastAsia="et-EE"/>
              </w:rPr>
            </w:pPr>
            <w:r w:rsidRPr="001927D6">
              <w:rPr>
                <w:color w:val="000000"/>
                <w:szCs w:val="24"/>
              </w:rPr>
              <w:t>3 136,00</w:t>
            </w:r>
          </w:p>
        </w:tc>
        <w:tc>
          <w:tcPr>
            <w:tcW w:w="1211" w:type="dxa"/>
            <w:vAlign w:val="center"/>
          </w:tcPr>
          <w:p w14:paraId="46000160" w14:textId="77777777" w:rsidR="00295BCD" w:rsidRPr="001927D6" w:rsidRDefault="00295BCD">
            <w:pPr>
              <w:spacing w:after="0" w:line="240" w:lineRule="auto"/>
              <w:jc w:val="center"/>
              <w:textAlignment w:val="baseline"/>
              <w:rPr>
                <w:szCs w:val="24"/>
                <w:lang w:eastAsia="et-EE"/>
              </w:rPr>
            </w:pPr>
            <w:r w:rsidRPr="001927D6">
              <w:rPr>
                <w:color w:val="000000"/>
                <w:szCs w:val="24"/>
              </w:rPr>
              <w:t>663,57</w:t>
            </w:r>
          </w:p>
        </w:tc>
        <w:tc>
          <w:tcPr>
            <w:tcW w:w="1238" w:type="dxa"/>
            <w:vAlign w:val="center"/>
          </w:tcPr>
          <w:p w14:paraId="09419034" w14:textId="77777777" w:rsidR="00295BCD" w:rsidRPr="001927D6" w:rsidRDefault="00295BCD">
            <w:pPr>
              <w:spacing w:after="0" w:line="240" w:lineRule="auto"/>
              <w:jc w:val="center"/>
              <w:textAlignment w:val="baseline"/>
              <w:rPr>
                <w:szCs w:val="24"/>
                <w:lang w:eastAsia="et-EE"/>
              </w:rPr>
            </w:pPr>
            <w:r w:rsidRPr="001927D6">
              <w:rPr>
                <w:color w:val="000000"/>
                <w:szCs w:val="24"/>
              </w:rPr>
              <w:t>8 546,38</w:t>
            </w:r>
          </w:p>
        </w:tc>
      </w:tr>
      <w:tr w:rsidR="00295BCD" w:rsidRPr="001927D6" w14:paraId="487A792F" w14:textId="77777777" w:rsidTr="00295BCD">
        <w:trPr>
          <w:divId w:val="1316184749"/>
          <w:trHeight w:val="300"/>
        </w:trPr>
        <w:tc>
          <w:tcPr>
            <w:tcW w:w="4632" w:type="dxa"/>
            <w:vAlign w:val="bottom"/>
            <w:hideMark/>
          </w:tcPr>
          <w:p w14:paraId="166CD072" w14:textId="77777777" w:rsidR="00295BCD" w:rsidRPr="001927D6" w:rsidRDefault="00295BCD">
            <w:pPr>
              <w:spacing w:after="0" w:line="240" w:lineRule="auto"/>
              <w:textAlignment w:val="baseline"/>
              <w:rPr>
                <w:szCs w:val="24"/>
                <w:lang w:eastAsia="et-EE"/>
              </w:rPr>
            </w:pPr>
            <w:r w:rsidRPr="001927D6">
              <w:rPr>
                <w:szCs w:val="24"/>
                <w:lang w:eastAsia="et-EE"/>
              </w:rPr>
              <w:t>Muud kuritarvitamisega seotud häired, kht-ta </w:t>
            </w:r>
          </w:p>
        </w:tc>
        <w:tc>
          <w:tcPr>
            <w:tcW w:w="732" w:type="dxa"/>
            <w:vAlign w:val="center"/>
            <w:hideMark/>
          </w:tcPr>
          <w:p w14:paraId="67856A6C" w14:textId="77777777" w:rsidR="00295BCD" w:rsidRPr="001927D6" w:rsidRDefault="00295BCD">
            <w:pPr>
              <w:spacing w:after="0" w:line="240" w:lineRule="auto"/>
              <w:jc w:val="center"/>
              <w:textAlignment w:val="baseline"/>
              <w:rPr>
                <w:szCs w:val="24"/>
                <w:lang w:eastAsia="et-EE"/>
              </w:rPr>
            </w:pPr>
            <w:r w:rsidRPr="001927D6">
              <w:rPr>
                <w:szCs w:val="24"/>
                <w:lang w:eastAsia="et-EE"/>
              </w:rPr>
              <w:t>436B </w:t>
            </w:r>
          </w:p>
        </w:tc>
        <w:tc>
          <w:tcPr>
            <w:tcW w:w="1243" w:type="dxa"/>
            <w:vAlign w:val="center"/>
          </w:tcPr>
          <w:p w14:paraId="0450963E" w14:textId="77777777" w:rsidR="00295BCD" w:rsidRPr="001927D6" w:rsidRDefault="00295BCD">
            <w:pPr>
              <w:spacing w:after="0" w:line="240" w:lineRule="auto"/>
              <w:jc w:val="center"/>
              <w:textAlignment w:val="baseline"/>
              <w:rPr>
                <w:szCs w:val="24"/>
                <w:lang w:eastAsia="et-EE"/>
              </w:rPr>
            </w:pPr>
            <w:r w:rsidRPr="001927D6">
              <w:rPr>
                <w:color w:val="000000"/>
                <w:szCs w:val="24"/>
              </w:rPr>
              <w:t>1 065,14</w:t>
            </w:r>
          </w:p>
        </w:tc>
        <w:tc>
          <w:tcPr>
            <w:tcW w:w="1211" w:type="dxa"/>
            <w:vAlign w:val="center"/>
          </w:tcPr>
          <w:p w14:paraId="22A0764F" w14:textId="77777777" w:rsidR="00295BCD" w:rsidRPr="001927D6" w:rsidRDefault="00295BCD">
            <w:pPr>
              <w:spacing w:after="0" w:line="240" w:lineRule="auto"/>
              <w:jc w:val="center"/>
              <w:textAlignment w:val="baseline"/>
              <w:rPr>
                <w:szCs w:val="24"/>
                <w:lang w:eastAsia="et-EE"/>
              </w:rPr>
            </w:pPr>
            <w:r w:rsidRPr="001927D6">
              <w:rPr>
                <w:color w:val="000000"/>
                <w:szCs w:val="24"/>
              </w:rPr>
              <w:t>325,85</w:t>
            </w:r>
          </w:p>
        </w:tc>
        <w:tc>
          <w:tcPr>
            <w:tcW w:w="1238" w:type="dxa"/>
            <w:vAlign w:val="center"/>
          </w:tcPr>
          <w:p w14:paraId="00E76781" w14:textId="77777777" w:rsidR="00295BCD" w:rsidRPr="001927D6" w:rsidRDefault="00295BCD">
            <w:pPr>
              <w:spacing w:after="0" w:line="240" w:lineRule="auto"/>
              <w:jc w:val="center"/>
              <w:textAlignment w:val="baseline"/>
              <w:rPr>
                <w:szCs w:val="24"/>
                <w:lang w:eastAsia="et-EE"/>
              </w:rPr>
            </w:pPr>
            <w:r w:rsidRPr="001927D6">
              <w:rPr>
                <w:color w:val="000000"/>
                <w:szCs w:val="24"/>
              </w:rPr>
              <w:t>3 410,03</w:t>
            </w:r>
          </w:p>
        </w:tc>
      </w:tr>
      <w:tr w:rsidR="00295BCD" w:rsidRPr="001927D6" w14:paraId="626BA922" w14:textId="77777777" w:rsidTr="00295BCD">
        <w:trPr>
          <w:divId w:val="1316184749"/>
          <w:trHeight w:val="300"/>
        </w:trPr>
        <w:tc>
          <w:tcPr>
            <w:tcW w:w="4632" w:type="dxa"/>
            <w:vAlign w:val="bottom"/>
            <w:hideMark/>
          </w:tcPr>
          <w:p w14:paraId="1D87D832" w14:textId="77777777" w:rsidR="00295BCD" w:rsidRPr="001927D6" w:rsidRDefault="00295BCD">
            <w:pPr>
              <w:spacing w:after="0" w:line="240" w:lineRule="auto"/>
              <w:textAlignment w:val="baseline"/>
              <w:rPr>
                <w:szCs w:val="24"/>
                <w:lang w:eastAsia="et-EE"/>
              </w:rPr>
            </w:pPr>
            <w:r w:rsidRPr="001927D6">
              <w:rPr>
                <w:szCs w:val="24"/>
                <w:lang w:eastAsia="et-EE"/>
              </w:rPr>
              <w:t>Kuritarvitamisega seotud psühhoos </w:t>
            </w:r>
          </w:p>
        </w:tc>
        <w:tc>
          <w:tcPr>
            <w:tcW w:w="732" w:type="dxa"/>
            <w:vAlign w:val="center"/>
            <w:hideMark/>
          </w:tcPr>
          <w:p w14:paraId="7F7DA61D" w14:textId="77777777" w:rsidR="00295BCD" w:rsidRPr="001927D6" w:rsidRDefault="00295BCD">
            <w:pPr>
              <w:spacing w:after="0" w:line="240" w:lineRule="auto"/>
              <w:jc w:val="center"/>
              <w:textAlignment w:val="baseline"/>
              <w:rPr>
                <w:szCs w:val="24"/>
                <w:lang w:eastAsia="et-EE"/>
              </w:rPr>
            </w:pPr>
            <w:r w:rsidRPr="001927D6">
              <w:rPr>
                <w:szCs w:val="24"/>
                <w:lang w:eastAsia="et-EE"/>
              </w:rPr>
              <w:t>436C </w:t>
            </w:r>
          </w:p>
        </w:tc>
        <w:tc>
          <w:tcPr>
            <w:tcW w:w="1243" w:type="dxa"/>
            <w:vAlign w:val="center"/>
          </w:tcPr>
          <w:p w14:paraId="125AB055" w14:textId="77777777" w:rsidR="00295BCD" w:rsidRPr="001927D6" w:rsidRDefault="00295BCD">
            <w:pPr>
              <w:spacing w:after="0" w:line="240" w:lineRule="auto"/>
              <w:jc w:val="center"/>
              <w:textAlignment w:val="baseline"/>
              <w:rPr>
                <w:szCs w:val="24"/>
                <w:lang w:eastAsia="et-EE"/>
              </w:rPr>
            </w:pPr>
            <w:r w:rsidRPr="001927D6">
              <w:rPr>
                <w:color w:val="000000"/>
                <w:szCs w:val="24"/>
              </w:rPr>
              <w:t>1 644,15</w:t>
            </w:r>
          </w:p>
        </w:tc>
        <w:tc>
          <w:tcPr>
            <w:tcW w:w="1211" w:type="dxa"/>
            <w:vAlign w:val="center"/>
          </w:tcPr>
          <w:p w14:paraId="3C2B61DB" w14:textId="77777777" w:rsidR="00295BCD" w:rsidRPr="001927D6" w:rsidRDefault="00295BCD">
            <w:pPr>
              <w:spacing w:after="0" w:line="240" w:lineRule="auto"/>
              <w:jc w:val="center"/>
              <w:textAlignment w:val="baseline"/>
              <w:rPr>
                <w:szCs w:val="24"/>
                <w:lang w:eastAsia="et-EE"/>
              </w:rPr>
            </w:pPr>
            <w:r w:rsidRPr="001927D6">
              <w:rPr>
                <w:color w:val="000000"/>
                <w:szCs w:val="24"/>
              </w:rPr>
              <w:t>494,82</w:t>
            </w:r>
          </w:p>
        </w:tc>
        <w:tc>
          <w:tcPr>
            <w:tcW w:w="1238" w:type="dxa"/>
            <w:vAlign w:val="center"/>
          </w:tcPr>
          <w:p w14:paraId="6755D224" w14:textId="77777777" w:rsidR="00295BCD" w:rsidRPr="001927D6" w:rsidRDefault="00295BCD">
            <w:pPr>
              <w:spacing w:after="0" w:line="240" w:lineRule="auto"/>
              <w:jc w:val="center"/>
              <w:textAlignment w:val="baseline"/>
              <w:rPr>
                <w:szCs w:val="24"/>
                <w:lang w:eastAsia="et-EE"/>
              </w:rPr>
            </w:pPr>
            <w:r w:rsidRPr="001927D6">
              <w:rPr>
                <w:color w:val="000000"/>
                <w:szCs w:val="24"/>
              </w:rPr>
              <w:t>2 745,93</w:t>
            </w:r>
          </w:p>
        </w:tc>
      </w:tr>
      <w:tr w:rsidR="00295BCD" w:rsidRPr="001927D6" w14:paraId="2710ED8B" w14:textId="77777777" w:rsidTr="00295BCD">
        <w:trPr>
          <w:divId w:val="1316184749"/>
          <w:trHeight w:val="300"/>
        </w:trPr>
        <w:tc>
          <w:tcPr>
            <w:tcW w:w="4632" w:type="dxa"/>
            <w:vAlign w:val="bottom"/>
            <w:hideMark/>
          </w:tcPr>
          <w:p w14:paraId="5744796F" w14:textId="77777777" w:rsidR="00295BCD" w:rsidRPr="001927D6" w:rsidRDefault="00295BCD">
            <w:pPr>
              <w:spacing w:after="0" w:line="240" w:lineRule="auto"/>
              <w:textAlignment w:val="baseline"/>
              <w:rPr>
                <w:szCs w:val="24"/>
                <w:lang w:eastAsia="et-EE"/>
              </w:rPr>
            </w:pPr>
            <w:r w:rsidRPr="001927D6">
              <w:rPr>
                <w:szCs w:val="24"/>
                <w:lang w:eastAsia="et-EE"/>
              </w:rPr>
              <w:t>Naha siirdamine vigastuste korral </w:t>
            </w:r>
          </w:p>
        </w:tc>
        <w:tc>
          <w:tcPr>
            <w:tcW w:w="732" w:type="dxa"/>
            <w:vAlign w:val="center"/>
            <w:hideMark/>
          </w:tcPr>
          <w:p w14:paraId="78F3695E" w14:textId="77777777" w:rsidR="00295BCD" w:rsidRPr="001927D6" w:rsidRDefault="00295BCD">
            <w:pPr>
              <w:spacing w:after="0" w:line="240" w:lineRule="auto"/>
              <w:jc w:val="center"/>
              <w:textAlignment w:val="baseline"/>
              <w:rPr>
                <w:szCs w:val="24"/>
                <w:lang w:eastAsia="et-EE"/>
              </w:rPr>
            </w:pPr>
            <w:r w:rsidRPr="001927D6">
              <w:rPr>
                <w:szCs w:val="24"/>
                <w:lang w:eastAsia="et-EE"/>
              </w:rPr>
              <w:t>439 </w:t>
            </w:r>
          </w:p>
        </w:tc>
        <w:tc>
          <w:tcPr>
            <w:tcW w:w="1243" w:type="dxa"/>
            <w:vAlign w:val="center"/>
          </w:tcPr>
          <w:p w14:paraId="2D1E3762" w14:textId="77777777" w:rsidR="00295BCD" w:rsidRPr="001927D6" w:rsidRDefault="00295BCD">
            <w:pPr>
              <w:spacing w:after="0" w:line="240" w:lineRule="auto"/>
              <w:jc w:val="center"/>
              <w:textAlignment w:val="baseline"/>
              <w:rPr>
                <w:szCs w:val="24"/>
                <w:lang w:eastAsia="et-EE"/>
              </w:rPr>
            </w:pPr>
            <w:r w:rsidRPr="001927D6">
              <w:rPr>
                <w:color w:val="000000"/>
                <w:szCs w:val="24"/>
              </w:rPr>
              <w:t>4 620,25</w:t>
            </w:r>
          </w:p>
        </w:tc>
        <w:tc>
          <w:tcPr>
            <w:tcW w:w="1211" w:type="dxa"/>
            <w:vAlign w:val="center"/>
          </w:tcPr>
          <w:p w14:paraId="7B3F645E" w14:textId="77777777" w:rsidR="00295BCD" w:rsidRPr="001927D6" w:rsidRDefault="00295BCD">
            <w:pPr>
              <w:spacing w:after="0" w:line="240" w:lineRule="auto"/>
              <w:jc w:val="center"/>
              <w:textAlignment w:val="baseline"/>
              <w:rPr>
                <w:szCs w:val="24"/>
                <w:lang w:eastAsia="et-EE"/>
              </w:rPr>
            </w:pPr>
            <w:r w:rsidRPr="001927D6">
              <w:rPr>
                <w:color w:val="000000"/>
                <w:szCs w:val="24"/>
              </w:rPr>
              <w:t>1 487,10</w:t>
            </w:r>
          </w:p>
        </w:tc>
        <w:tc>
          <w:tcPr>
            <w:tcW w:w="1238" w:type="dxa"/>
            <w:vAlign w:val="center"/>
          </w:tcPr>
          <w:p w14:paraId="49FA6C13" w14:textId="77777777" w:rsidR="00295BCD" w:rsidRPr="001927D6" w:rsidRDefault="00295BCD">
            <w:pPr>
              <w:spacing w:after="0" w:line="240" w:lineRule="auto"/>
              <w:jc w:val="center"/>
              <w:textAlignment w:val="baseline"/>
              <w:rPr>
                <w:szCs w:val="24"/>
                <w:lang w:eastAsia="et-EE"/>
              </w:rPr>
            </w:pPr>
            <w:r w:rsidRPr="001927D6">
              <w:rPr>
                <w:color w:val="000000"/>
                <w:szCs w:val="24"/>
              </w:rPr>
              <w:t>16 317,75</w:t>
            </w:r>
          </w:p>
        </w:tc>
      </w:tr>
      <w:tr w:rsidR="00295BCD" w:rsidRPr="001927D6" w14:paraId="7DDEB67A" w14:textId="77777777" w:rsidTr="00295BCD">
        <w:trPr>
          <w:divId w:val="1316184749"/>
          <w:trHeight w:val="300"/>
        </w:trPr>
        <w:tc>
          <w:tcPr>
            <w:tcW w:w="4632" w:type="dxa"/>
            <w:vAlign w:val="bottom"/>
            <w:hideMark/>
          </w:tcPr>
          <w:p w14:paraId="4F75C2C4" w14:textId="77777777" w:rsidR="00295BCD" w:rsidRPr="001927D6" w:rsidRDefault="00295BCD">
            <w:pPr>
              <w:spacing w:after="0" w:line="240" w:lineRule="auto"/>
              <w:textAlignment w:val="baseline"/>
              <w:rPr>
                <w:szCs w:val="24"/>
                <w:lang w:eastAsia="et-EE"/>
              </w:rPr>
            </w:pPr>
            <w:r w:rsidRPr="001927D6">
              <w:rPr>
                <w:szCs w:val="24"/>
                <w:lang w:eastAsia="et-EE"/>
              </w:rPr>
              <w:t>Naha siirdamine vigastuste korral, lühike ravi </w:t>
            </w:r>
          </w:p>
        </w:tc>
        <w:tc>
          <w:tcPr>
            <w:tcW w:w="732" w:type="dxa"/>
            <w:vAlign w:val="center"/>
            <w:hideMark/>
          </w:tcPr>
          <w:p w14:paraId="73BDA7CD" w14:textId="77777777" w:rsidR="00295BCD" w:rsidRPr="001927D6" w:rsidRDefault="00295BCD">
            <w:pPr>
              <w:spacing w:after="0" w:line="240" w:lineRule="auto"/>
              <w:jc w:val="center"/>
              <w:textAlignment w:val="baseline"/>
              <w:rPr>
                <w:szCs w:val="24"/>
                <w:lang w:eastAsia="et-EE"/>
              </w:rPr>
            </w:pPr>
            <w:r w:rsidRPr="001927D6">
              <w:rPr>
                <w:szCs w:val="24"/>
                <w:lang w:eastAsia="et-EE"/>
              </w:rPr>
              <w:t>439O </w:t>
            </w:r>
          </w:p>
        </w:tc>
        <w:tc>
          <w:tcPr>
            <w:tcW w:w="1243" w:type="dxa"/>
            <w:vAlign w:val="center"/>
          </w:tcPr>
          <w:p w14:paraId="4DDB5211" w14:textId="77777777" w:rsidR="00295BCD" w:rsidRPr="001927D6" w:rsidRDefault="00295BCD">
            <w:pPr>
              <w:spacing w:after="0" w:line="240" w:lineRule="auto"/>
              <w:jc w:val="center"/>
              <w:textAlignment w:val="baseline"/>
              <w:rPr>
                <w:szCs w:val="24"/>
                <w:lang w:eastAsia="et-EE"/>
              </w:rPr>
            </w:pPr>
            <w:r w:rsidRPr="001927D6">
              <w:rPr>
                <w:color w:val="000000"/>
                <w:szCs w:val="24"/>
              </w:rPr>
              <w:t>1 129,07</w:t>
            </w:r>
          </w:p>
        </w:tc>
        <w:tc>
          <w:tcPr>
            <w:tcW w:w="1211" w:type="dxa"/>
            <w:vAlign w:val="center"/>
          </w:tcPr>
          <w:p w14:paraId="71E833E9" w14:textId="77777777" w:rsidR="00295BCD" w:rsidRPr="001927D6" w:rsidRDefault="00295BCD">
            <w:pPr>
              <w:spacing w:after="0" w:line="240" w:lineRule="auto"/>
              <w:jc w:val="center"/>
              <w:textAlignment w:val="baseline"/>
              <w:rPr>
                <w:szCs w:val="24"/>
                <w:lang w:eastAsia="et-EE"/>
              </w:rPr>
            </w:pPr>
            <w:r w:rsidRPr="001927D6">
              <w:rPr>
                <w:color w:val="000000"/>
                <w:szCs w:val="24"/>
              </w:rPr>
              <w:t>691,38</w:t>
            </w:r>
          </w:p>
        </w:tc>
        <w:tc>
          <w:tcPr>
            <w:tcW w:w="1238" w:type="dxa"/>
            <w:vAlign w:val="center"/>
          </w:tcPr>
          <w:p w14:paraId="741C5466" w14:textId="77777777" w:rsidR="00295BCD" w:rsidRPr="001927D6" w:rsidRDefault="00295BCD">
            <w:pPr>
              <w:spacing w:after="0" w:line="240" w:lineRule="auto"/>
              <w:jc w:val="center"/>
              <w:textAlignment w:val="baseline"/>
              <w:rPr>
                <w:szCs w:val="24"/>
                <w:lang w:eastAsia="et-EE"/>
              </w:rPr>
            </w:pPr>
            <w:r w:rsidRPr="001927D6">
              <w:rPr>
                <w:color w:val="000000"/>
                <w:szCs w:val="24"/>
              </w:rPr>
              <w:t>1 510,08</w:t>
            </w:r>
          </w:p>
        </w:tc>
      </w:tr>
      <w:tr w:rsidR="00295BCD" w:rsidRPr="001927D6" w14:paraId="5F079F03" w14:textId="77777777" w:rsidTr="00295BCD">
        <w:trPr>
          <w:divId w:val="1316184749"/>
          <w:trHeight w:val="300"/>
        </w:trPr>
        <w:tc>
          <w:tcPr>
            <w:tcW w:w="4632" w:type="dxa"/>
            <w:vAlign w:val="bottom"/>
            <w:hideMark/>
          </w:tcPr>
          <w:p w14:paraId="640B5609" w14:textId="77777777" w:rsidR="00295BCD" w:rsidRPr="001927D6" w:rsidRDefault="00295BCD">
            <w:pPr>
              <w:spacing w:after="0" w:line="240" w:lineRule="auto"/>
              <w:textAlignment w:val="baseline"/>
              <w:rPr>
                <w:szCs w:val="24"/>
                <w:lang w:eastAsia="et-EE"/>
              </w:rPr>
            </w:pPr>
            <w:r w:rsidRPr="001927D6">
              <w:rPr>
                <w:szCs w:val="24"/>
                <w:lang w:eastAsia="et-EE"/>
              </w:rPr>
              <w:t>Operatsioonid kämblavigastuste korral </w:t>
            </w:r>
          </w:p>
        </w:tc>
        <w:tc>
          <w:tcPr>
            <w:tcW w:w="732" w:type="dxa"/>
            <w:vAlign w:val="center"/>
            <w:hideMark/>
          </w:tcPr>
          <w:p w14:paraId="21F090E1" w14:textId="77777777" w:rsidR="00295BCD" w:rsidRPr="001927D6" w:rsidRDefault="00295BCD">
            <w:pPr>
              <w:spacing w:after="0" w:line="240" w:lineRule="auto"/>
              <w:jc w:val="center"/>
              <w:textAlignment w:val="baseline"/>
              <w:rPr>
                <w:szCs w:val="24"/>
                <w:lang w:eastAsia="et-EE"/>
              </w:rPr>
            </w:pPr>
            <w:r w:rsidRPr="001927D6">
              <w:rPr>
                <w:szCs w:val="24"/>
                <w:lang w:eastAsia="et-EE"/>
              </w:rPr>
              <w:t>441 </w:t>
            </w:r>
          </w:p>
        </w:tc>
        <w:tc>
          <w:tcPr>
            <w:tcW w:w="1243" w:type="dxa"/>
            <w:vAlign w:val="center"/>
          </w:tcPr>
          <w:p w14:paraId="24F2DA03" w14:textId="77777777" w:rsidR="00295BCD" w:rsidRPr="001927D6" w:rsidRDefault="00295BCD">
            <w:pPr>
              <w:spacing w:after="0" w:line="240" w:lineRule="auto"/>
              <w:jc w:val="center"/>
              <w:textAlignment w:val="baseline"/>
              <w:rPr>
                <w:szCs w:val="24"/>
                <w:lang w:eastAsia="et-EE"/>
              </w:rPr>
            </w:pPr>
            <w:r w:rsidRPr="001927D6">
              <w:rPr>
                <w:color w:val="000000"/>
                <w:szCs w:val="24"/>
              </w:rPr>
              <w:t>2 322,07</w:t>
            </w:r>
          </w:p>
        </w:tc>
        <w:tc>
          <w:tcPr>
            <w:tcW w:w="1211" w:type="dxa"/>
            <w:vAlign w:val="center"/>
          </w:tcPr>
          <w:p w14:paraId="13A26981" w14:textId="77777777" w:rsidR="00295BCD" w:rsidRPr="001927D6" w:rsidRDefault="00295BCD">
            <w:pPr>
              <w:spacing w:after="0" w:line="240" w:lineRule="auto"/>
              <w:jc w:val="center"/>
              <w:textAlignment w:val="baseline"/>
              <w:rPr>
                <w:szCs w:val="24"/>
                <w:lang w:eastAsia="et-EE"/>
              </w:rPr>
            </w:pPr>
            <w:r w:rsidRPr="001927D6">
              <w:rPr>
                <w:color w:val="000000"/>
                <w:szCs w:val="24"/>
              </w:rPr>
              <w:t>839,00</w:t>
            </w:r>
          </w:p>
        </w:tc>
        <w:tc>
          <w:tcPr>
            <w:tcW w:w="1238" w:type="dxa"/>
            <w:vAlign w:val="center"/>
          </w:tcPr>
          <w:p w14:paraId="58B6271E" w14:textId="77777777" w:rsidR="00295BCD" w:rsidRPr="001927D6" w:rsidRDefault="00295BCD">
            <w:pPr>
              <w:spacing w:after="0" w:line="240" w:lineRule="auto"/>
              <w:jc w:val="center"/>
              <w:textAlignment w:val="baseline"/>
              <w:rPr>
                <w:szCs w:val="24"/>
                <w:lang w:eastAsia="et-EE"/>
              </w:rPr>
            </w:pPr>
            <w:r w:rsidRPr="001927D6">
              <w:rPr>
                <w:color w:val="000000"/>
                <w:szCs w:val="24"/>
              </w:rPr>
              <w:t>4 922,94</w:t>
            </w:r>
          </w:p>
        </w:tc>
      </w:tr>
      <w:tr w:rsidR="00295BCD" w:rsidRPr="001927D6" w14:paraId="1D4AADED" w14:textId="77777777" w:rsidTr="00295BCD">
        <w:trPr>
          <w:divId w:val="1316184749"/>
          <w:trHeight w:val="300"/>
        </w:trPr>
        <w:tc>
          <w:tcPr>
            <w:tcW w:w="4632" w:type="dxa"/>
            <w:vAlign w:val="bottom"/>
            <w:hideMark/>
          </w:tcPr>
          <w:p w14:paraId="426C0C42" w14:textId="77777777" w:rsidR="00295BCD" w:rsidRPr="001927D6" w:rsidRDefault="00295BCD">
            <w:pPr>
              <w:spacing w:after="0" w:line="240" w:lineRule="auto"/>
              <w:textAlignment w:val="baseline"/>
              <w:rPr>
                <w:szCs w:val="24"/>
                <w:lang w:eastAsia="et-EE"/>
              </w:rPr>
            </w:pPr>
            <w:r w:rsidRPr="001927D6">
              <w:rPr>
                <w:szCs w:val="24"/>
                <w:lang w:eastAsia="et-EE"/>
              </w:rPr>
              <w:t>Operatsioonid kämblavigastuste korral, lühike ravi </w:t>
            </w:r>
          </w:p>
        </w:tc>
        <w:tc>
          <w:tcPr>
            <w:tcW w:w="732" w:type="dxa"/>
            <w:vAlign w:val="center"/>
            <w:hideMark/>
          </w:tcPr>
          <w:p w14:paraId="461F1578" w14:textId="77777777" w:rsidR="00295BCD" w:rsidRPr="001927D6" w:rsidRDefault="00295BCD">
            <w:pPr>
              <w:spacing w:after="0" w:line="240" w:lineRule="auto"/>
              <w:jc w:val="center"/>
              <w:textAlignment w:val="baseline"/>
              <w:rPr>
                <w:szCs w:val="24"/>
                <w:lang w:eastAsia="et-EE"/>
              </w:rPr>
            </w:pPr>
            <w:r w:rsidRPr="001927D6">
              <w:rPr>
                <w:szCs w:val="24"/>
                <w:lang w:eastAsia="et-EE"/>
              </w:rPr>
              <w:t>441O </w:t>
            </w:r>
          </w:p>
        </w:tc>
        <w:tc>
          <w:tcPr>
            <w:tcW w:w="1243" w:type="dxa"/>
            <w:vAlign w:val="center"/>
          </w:tcPr>
          <w:p w14:paraId="3187801A" w14:textId="77777777" w:rsidR="00295BCD" w:rsidRPr="001927D6" w:rsidRDefault="00295BCD">
            <w:pPr>
              <w:spacing w:after="0" w:line="240" w:lineRule="auto"/>
              <w:jc w:val="center"/>
              <w:textAlignment w:val="baseline"/>
              <w:rPr>
                <w:szCs w:val="24"/>
                <w:lang w:eastAsia="et-EE"/>
              </w:rPr>
            </w:pPr>
            <w:r w:rsidRPr="001927D6">
              <w:rPr>
                <w:color w:val="000000"/>
                <w:szCs w:val="24"/>
              </w:rPr>
              <w:t>837,87</w:t>
            </w:r>
          </w:p>
        </w:tc>
        <w:tc>
          <w:tcPr>
            <w:tcW w:w="1211" w:type="dxa"/>
            <w:vAlign w:val="center"/>
          </w:tcPr>
          <w:p w14:paraId="364A2150" w14:textId="77777777" w:rsidR="00295BCD" w:rsidRPr="001927D6" w:rsidRDefault="00295BCD">
            <w:pPr>
              <w:spacing w:after="0" w:line="240" w:lineRule="auto"/>
              <w:jc w:val="center"/>
              <w:textAlignment w:val="baseline"/>
              <w:rPr>
                <w:szCs w:val="24"/>
                <w:lang w:eastAsia="et-EE"/>
              </w:rPr>
            </w:pPr>
            <w:r w:rsidRPr="001927D6">
              <w:rPr>
                <w:color w:val="000000"/>
                <w:szCs w:val="24"/>
              </w:rPr>
              <w:t>389,82</w:t>
            </w:r>
          </w:p>
        </w:tc>
        <w:tc>
          <w:tcPr>
            <w:tcW w:w="1238" w:type="dxa"/>
            <w:vAlign w:val="center"/>
          </w:tcPr>
          <w:p w14:paraId="54ECD8EC" w14:textId="77777777" w:rsidR="00295BCD" w:rsidRPr="001927D6" w:rsidRDefault="00295BCD">
            <w:pPr>
              <w:spacing w:after="0" w:line="240" w:lineRule="auto"/>
              <w:jc w:val="center"/>
              <w:textAlignment w:val="baseline"/>
              <w:rPr>
                <w:szCs w:val="24"/>
                <w:lang w:eastAsia="et-EE"/>
              </w:rPr>
            </w:pPr>
            <w:r w:rsidRPr="001927D6">
              <w:rPr>
                <w:color w:val="000000"/>
                <w:szCs w:val="24"/>
              </w:rPr>
              <w:t>1 478,04</w:t>
            </w:r>
          </w:p>
        </w:tc>
      </w:tr>
      <w:tr w:rsidR="00295BCD" w:rsidRPr="001927D6" w14:paraId="7E5C1A33" w14:textId="77777777" w:rsidTr="00295BCD">
        <w:trPr>
          <w:divId w:val="1316184749"/>
          <w:trHeight w:val="300"/>
        </w:trPr>
        <w:tc>
          <w:tcPr>
            <w:tcW w:w="4632" w:type="dxa"/>
            <w:vAlign w:val="bottom"/>
            <w:hideMark/>
          </w:tcPr>
          <w:p w14:paraId="54FF2EEB" w14:textId="77777777" w:rsidR="00295BCD" w:rsidRPr="001927D6" w:rsidRDefault="00295BCD">
            <w:pPr>
              <w:spacing w:after="0" w:line="240" w:lineRule="auto"/>
              <w:textAlignment w:val="baseline"/>
              <w:rPr>
                <w:szCs w:val="24"/>
                <w:lang w:eastAsia="et-EE"/>
              </w:rPr>
            </w:pPr>
            <w:r w:rsidRPr="001927D6">
              <w:rPr>
                <w:szCs w:val="24"/>
                <w:lang w:eastAsia="et-EE"/>
              </w:rPr>
              <w:t>Muud operatsioonid vigastuste korral, kht-ga </w:t>
            </w:r>
          </w:p>
        </w:tc>
        <w:tc>
          <w:tcPr>
            <w:tcW w:w="732" w:type="dxa"/>
            <w:vAlign w:val="center"/>
            <w:hideMark/>
          </w:tcPr>
          <w:p w14:paraId="5CB7D4B2" w14:textId="77777777" w:rsidR="00295BCD" w:rsidRPr="001927D6" w:rsidRDefault="00295BCD">
            <w:pPr>
              <w:spacing w:after="0" w:line="240" w:lineRule="auto"/>
              <w:jc w:val="center"/>
              <w:textAlignment w:val="baseline"/>
              <w:rPr>
                <w:szCs w:val="24"/>
                <w:lang w:eastAsia="et-EE"/>
              </w:rPr>
            </w:pPr>
            <w:r w:rsidRPr="001927D6">
              <w:rPr>
                <w:szCs w:val="24"/>
                <w:lang w:eastAsia="et-EE"/>
              </w:rPr>
              <w:t>442 </w:t>
            </w:r>
          </w:p>
        </w:tc>
        <w:tc>
          <w:tcPr>
            <w:tcW w:w="1243" w:type="dxa"/>
            <w:vAlign w:val="center"/>
          </w:tcPr>
          <w:p w14:paraId="13679D03" w14:textId="77777777" w:rsidR="00295BCD" w:rsidRPr="001927D6" w:rsidRDefault="00295BCD">
            <w:pPr>
              <w:spacing w:after="0" w:line="240" w:lineRule="auto"/>
              <w:jc w:val="center"/>
              <w:textAlignment w:val="baseline"/>
              <w:rPr>
                <w:szCs w:val="24"/>
                <w:lang w:eastAsia="et-EE"/>
              </w:rPr>
            </w:pPr>
            <w:r w:rsidRPr="001927D6">
              <w:rPr>
                <w:color w:val="000000"/>
                <w:szCs w:val="24"/>
              </w:rPr>
              <w:t>7 169,85</w:t>
            </w:r>
          </w:p>
        </w:tc>
        <w:tc>
          <w:tcPr>
            <w:tcW w:w="1211" w:type="dxa"/>
            <w:vAlign w:val="center"/>
          </w:tcPr>
          <w:p w14:paraId="08FF4898" w14:textId="77777777" w:rsidR="00295BCD" w:rsidRPr="001927D6" w:rsidRDefault="00295BCD">
            <w:pPr>
              <w:spacing w:after="0" w:line="240" w:lineRule="auto"/>
              <w:jc w:val="center"/>
              <w:textAlignment w:val="baseline"/>
              <w:rPr>
                <w:szCs w:val="24"/>
                <w:lang w:eastAsia="et-EE"/>
              </w:rPr>
            </w:pPr>
            <w:r w:rsidRPr="001927D6">
              <w:rPr>
                <w:color w:val="000000"/>
                <w:szCs w:val="24"/>
              </w:rPr>
              <w:t>1 359,33</w:t>
            </w:r>
          </w:p>
        </w:tc>
        <w:tc>
          <w:tcPr>
            <w:tcW w:w="1238" w:type="dxa"/>
            <w:vAlign w:val="center"/>
          </w:tcPr>
          <w:p w14:paraId="4490B427" w14:textId="77777777" w:rsidR="00295BCD" w:rsidRPr="001927D6" w:rsidRDefault="00295BCD">
            <w:pPr>
              <w:spacing w:after="0" w:line="240" w:lineRule="auto"/>
              <w:jc w:val="center"/>
              <w:textAlignment w:val="baseline"/>
              <w:rPr>
                <w:szCs w:val="24"/>
                <w:lang w:eastAsia="et-EE"/>
              </w:rPr>
            </w:pPr>
            <w:r w:rsidRPr="001927D6">
              <w:rPr>
                <w:color w:val="000000"/>
                <w:szCs w:val="24"/>
              </w:rPr>
              <w:t>21 909,64</w:t>
            </w:r>
          </w:p>
        </w:tc>
      </w:tr>
      <w:tr w:rsidR="00295BCD" w:rsidRPr="001927D6" w14:paraId="558885D4" w14:textId="77777777" w:rsidTr="00295BCD">
        <w:trPr>
          <w:divId w:val="1316184749"/>
          <w:trHeight w:val="300"/>
        </w:trPr>
        <w:tc>
          <w:tcPr>
            <w:tcW w:w="4632" w:type="dxa"/>
            <w:vAlign w:val="bottom"/>
            <w:hideMark/>
          </w:tcPr>
          <w:p w14:paraId="2E661528" w14:textId="77777777" w:rsidR="00295BCD" w:rsidRPr="001927D6" w:rsidRDefault="00295BCD">
            <w:pPr>
              <w:spacing w:after="0" w:line="240" w:lineRule="auto"/>
              <w:textAlignment w:val="baseline"/>
              <w:rPr>
                <w:szCs w:val="24"/>
                <w:lang w:eastAsia="et-EE"/>
              </w:rPr>
            </w:pPr>
            <w:r w:rsidRPr="001927D6">
              <w:rPr>
                <w:szCs w:val="24"/>
                <w:lang w:eastAsia="et-EE"/>
              </w:rPr>
              <w:t>Operatsioonid ravitüsistuste korral, lühike ravi </w:t>
            </w:r>
          </w:p>
        </w:tc>
        <w:tc>
          <w:tcPr>
            <w:tcW w:w="732" w:type="dxa"/>
            <w:vAlign w:val="center"/>
            <w:hideMark/>
          </w:tcPr>
          <w:p w14:paraId="1D467879" w14:textId="77777777" w:rsidR="00295BCD" w:rsidRPr="001927D6" w:rsidRDefault="00295BCD">
            <w:pPr>
              <w:spacing w:after="0" w:line="240" w:lineRule="auto"/>
              <w:jc w:val="center"/>
              <w:textAlignment w:val="baseline"/>
              <w:rPr>
                <w:szCs w:val="24"/>
                <w:lang w:eastAsia="et-EE"/>
              </w:rPr>
            </w:pPr>
            <w:r w:rsidRPr="001927D6">
              <w:rPr>
                <w:szCs w:val="24"/>
                <w:lang w:eastAsia="et-EE"/>
              </w:rPr>
              <w:t>442O </w:t>
            </w:r>
          </w:p>
        </w:tc>
        <w:tc>
          <w:tcPr>
            <w:tcW w:w="1243" w:type="dxa"/>
            <w:vAlign w:val="center"/>
          </w:tcPr>
          <w:p w14:paraId="338884BD" w14:textId="77777777" w:rsidR="00295BCD" w:rsidRPr="001927D6" w:rsidRDefault="00295BCD">
            <w:pPr>
              <w:spacing w:after="0" w:line="240" w:lineRule="auto"/>
              <w:jc w:val="center"/>
              <w:textAlignment w:val="baseline"/>
              <w:rPr>
                <w:szCs w:val="24"/>
                <w:lang w:eastAsia="et-EE"/>
              </w:rPr>
            </w:pPr>
            <w:r w:rsidRPr="001927D6">
              <w:rPr>
                <w:color w:val="000000"/>
                <w:szCs w:val="24"/>
              </w:rPr>
              <w:t>1 092,12</w:t>
            </w:r>
          </w:p>
        </w:tc>
        <w:tc>
          <w:tcPr>
            <w:tcW w:w="1211" w:type="dxa"/>
            <w:vAlign w:val="center"/>
          </w:tcPr>
          <w:p w14:paraId="175904C7" w14:textId="77777777" w:rsidR="00295BCD" w:rsidRPr="001927D6" w:rsidRDefault="00295BCD">
            <w:pPr>
              <w:spacing w:after="0" w:line="240" w:lineRule="auto"/>
              <w:jc w:val="center"/>
              <w:textAlignment w:val="baseline"/>
              <w:rPr>
                <w:szCs w:val="24"/>
                <w:lang w:eastAsia="et-EE"/>
              </w:rPr>
            </w:pPr>
            <w:r w:rsidRPr="001927D6">
              <w:rPr>
                <w:color w:val="000000"/>
                <w:szCs w:val="24"/>
              </w:rPr>
              <w:t>804,70</w:t>
            </w:r>
          </w:p>
        </w:tc>
        <w:tc>
          <w:tcPr>
            <w:tcW w:w="1238" w:type="dxa"/>
            <w:vAlign w:val="center"/>
          </w:tcPr>
          <w:p w14:paraId="4D191006" w14:textId="77777777" w:rsidR="00295BCD" w:rsidRPr="001927D6" w:rsidRDefault="00295BCD">
            <w:pPr>
              <w:spacing w:after="0" w:line="240" w:lineRule="auto"/>
              <w:jc w:val="center"/>
              <w:textAlignment w:val="baseline"/>
              <w:rPr>
                <w:szCs w:val="24"/>
                <w:lang w:eastAsia="et-EE"/>
              </w:rPr>
            </w:pPr>
            <w:r w:rsidRPr="001927D6">
              <w:rPr>
                <w:color w:val="000000"/>
                <w:szCs w:val="24"/>
              </w:rPr>
              <w:t>2 175,12</w:t>
            </w:r>
          </w:p>
        </w:tc>
      </w:tr>
      <w:tr w:rsidR="00295BCD" w:rsidRPr="001927D6" w14:paraId="6A0C63EE" w14:textId="77777777" w:rsidTr="00295BCD">
        <w:trPr>
          <w:divId w:val="1316184749"/>
          <w:trHeight w:val="300"/>
        </w:trPr>
        <w:tc>
          <w:tcPr>
            <w:tcW w:w="4632" w:type="dxa"/>
            <w:vAlign w:val="bottom"/>
            <w:hideMark/>
          </w:tcPr>
          <w:p w14:paraId="7182F313" w14:textId="77777777" w:rsidR="00295BCD" w:rsidRPr="001927D6" w:rsidRDefault="00295BCD">
            <w:pPr>
              <w:spacing w:after="0" w:line="240" w:lineRule="auto"/>
              <w:textAlignment w:val="baseline"/>
              <w:rPr>
                <w:szCs w:val="24"/>
                <w:lang w:eastAsia="et-EE"/>
              </w:rPr>
            </w:pPr>
            <w:r w:rsidRPr="001927D6">
              <w:rPr>
                <w:szCs w:val="24"/>
                <w:lang w:eastAsia="et-EE"/>
              </w:rPr>
              <w:t>Muud operatsioonid vigastuste korral, kht-ta </w:t>
            </w:r>
          </w:p>
        </w:tc>
        <w:tc>
          <w:tcPr>
            <w:tcW w:w="732" w:type="dxa"/>
            <w:vAlign w:val="center"/>
            <w:hideMark/>
          </w:tcPr>
          <w:p w14:paraId="47B410AB" w14:textId="77777777" w:rsidR="00295BCD" w:rsidRPr="001927D6" w:rsidRDefault="00295BCD">
            <w:pPr>
              <w:spacing w:after="0" w:line="240" w:lineRule="auto"/>
              <w:jc w:val="center"/>
              <w:textAlignment w:val="baseline"/>
              <w:rPr>
                <w:szCs w:val="24"/>
                <w:lang w:eastAsia="et-EE"/>
              </w:rPr>
            </w:pPr>
            <w:r w:rsidRPr="001927D6">
              <w:rPr>
                <w:szCs w:val="24"/>
                <w:lang w:eastAsia="et-EE"/>
              </w:rPr>
              <w:t>443 </w:t>
            </w:r>
          </w:p>
        </w:tc>
        <w:tc>
          <w:tcPr>
            <w:tcW w:w="1243" w:type="dxa"/>
            <w:vAlign w:val="center"/>
          </w:tcPr>
          <w:p w14:paraId="61F05832" w14:textId="77777777" w:rsidR="00295BCD" w:rsidRPr="001927D6" w:rsidRDefault="00295BCD">
            <w:pPr>
              <w:spacing w:after="0" w:line="240" w:lineRule="auto"/>
              <w:jc w:val="center"/>
              <w:textAlignment w:val="baseline"/>
              <w:rPr>
                <w:szCs w:val="24"/>
                <w:lang w:eastAsia="et-EE"/>
              </w:rPr>
            </w:pPr>
            <w:r w:rsidRPr="001927D6">
              <w:rPr>
                <w:color w:val="000000"/>
                <w:szCs w:val="24"/>
              </w:rPr>
              <w:t>3 502,23</w:t>
            </w:r>
          </w:p>
        </w:tc>
        <w:tc>
          <w:tcPr>
            <w:tcW w:w="1211" w:type="dxa"/>
            <w:vAlign w:val="center"/>
          </w:tcPr>
          <w:p w14:paraId="5C745B77" w14:textId="77777777" w:rsidR="00295BCD" w:rsidRPr="001927D6" w:rsidRDefault="00295BCD">
            <w:pPr>
              <w:spacing w:after="0" w:line="240" w:lineRule="auto"/>
              <w:jc w:val="center"/>
              <w:textAlignment w:val="baseline"/>
              <w:rPr>
                <w:szCs w:val="24"/>
                <w:lang w:eastAsia="et-EE"/>
              </w:rPr>
            </w:pPr>
            <w:r w:rsidRPr="001927D6">
              <w:rPr>
                <w:color w:val="000000"/>
                <w:szCs w:val="24"/>
              </w:rPr>
              <w:t>1 140,09</w:t>
            </w:r>
          </w:p>
        </w:tc>
        <w:tc>
          <w:tcPr>
            <w:tcW w:w="1238" w:type="dxa"/>
            <w:vAlign w:val="center"/>
          </w:tcPr>
          <w:p w14:paraId="76E5D43F" w14:textId="77777777" w:rsidR="00295BCD" w:rsidRPr="001927D6" w:rsidRDefault="00295BCD">
            <w:pPr>
              <w:spacing w:after="0" w:line="240" w:lineRule="auto"/>
              <w:jc w:val="center"/>
              <w:textAlignment w:val="baseline"/>
              <w:rPr>
                <w:szCs w:val="24"/>
                <w:lang w:eastAsia="et-EE"/>
              </w:rPr>
            </w:pPr>
            <w:r w:rsidRPr="001927D6">
              <w:rPr>
                <w:color w:val="000000"/>
                <w:szCs w:val="24"/>
              </w:rPr>
              <w:t>9 402,72</w:t>
            </w:r>
          </w:p>
        </w:tc>
      </w:tr>
      <w:tr w:rsidR="00295BCD" w:rsidRPr="001927D6" w14:paraId="3B3BD43B" w14:textId="77777777" w:rsidTr="00295BCD">
        <w:trPr>
          <w:divId w:val="1316184749"/>
          <w:trHeight w:val="300"/>
        </w:trPr>
        <w:tc>
          <w:tcPr>
            <w:tcW w:w="4632" w:type="dxa"/>
            <w:vAlign w:val="bottom"/>
            <w:hideMark/>
          </w:tcPr>
          <w:p w14:paraId="786282CA"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Muud operatsioonid vigastuste korral, lühike ravi </w:t>
            </w:r>
          </w:p>
        </w:tc>
        <w:tc>
          <w:tcPr>
            <w:tcW w:w="732" w:type="dxa"/>
            <w:vAlign w:val="center"/>
            <w:hideMark/>
          </w:tcPr>
          <w:p w14:paraId="76407DB5" w14:textId="77777777" w:rsidR="00295BCD" w:rsidRPr="001927D6" w:rsidRDefault="00295BCD">
            <w:pPr>
              <w:spacing w:after="0" w:line="240" w:lineRule="auto"/>
              <w:jc w:val="center"/>
              <w:textAlignment w:val="baseline"/>
              <w:rPr>
                <w:szCs w:val="24"/>
                <w:lang w:eastAsia="et-EE"/>
              </w:rPr>
            </w:pPr>
            <w:r w:rsidRPr="001927D6">
              <w:rPr>
                <w:szCs w:val="24"/>
                <w:lang w:eastAsia="et-EE"/>
              </w:rPr>
              <w:t>443O </w:t>
            </w:r>
          </w:p>
        </w:tc>
        <w:tc>
          <w:tcPr>
            <w:tcW w:w="1243" w:type="dxa"/>
            <w:vAlign w:val="center"/>
          </w:tcPr>
          <w:p w14:paraId="2323928D" w14:textId="77777777" w:rsidR="00295BCD" w:rsidRPr="001927D6" w:rsidRDefault="00295BCD">
            <w:pPr>
              <w:spacing w:after="0" w:line="240" w:lineRule="auto"/>
              <w:jc w:val="center"/>
              <w:textAlignment w:val="baseline"/>
              <w:rPr>
                <w:szCs w:val="24"/>
                <w:lang w:eastAsia="et-EE"/>
              </w:rPr>
            </w:pPr>
            <w:r w:rsidRPr="001927D6">
              <w:rPr>
                <w:color w:val="000000"/>
                <w:szCs w:val="24"/>
              </w:rPr>
              <w:t>975,56</w:t>
            </w:r>
          </w:p>
        </w:tc>
        <w:tc>
          <w:tcPr>
            <w:tcW w:w="1211" w:type="dxa"/>
            <w:vAlign w:val="center"/>
          </w:tcPr>
          <w:p w14:paraId="26B9E033" w14:textId="77777777" w:rsidR="00295BCD" w:rsidRPr="001927D6" w:rsidRDefault="00295BCD">
            <w:pPr>
              <w:spacing w:after="0" w:line="240" w:lineRule="auto"/>
              <w:jc w:val="center"/>
              <w:textAlignment w:val="baseline"/>
              <w:rPr>
                <w:szCs w:val="24"/>
                <w:lang w:eastAsia="et-EE"/>
              </w:rPr>
            </w:pPr>
            <w:r w:rsidRPr="001927D6">
              <w:rPr>
                <w:color w:val="000000"/>
                <w:szCs w:val="24"/>
              </w:rPr>
              <w:t>554,07</w:t>
            </w:r>
          </w:p>
        </w:tc>
        <w:tc>
          <w:tcPr>
            <w:tcW w:w="1238" w:type="dxa"/>
            <w:vAlign w:val="center"/>
          </w:tcPr>
          <w:p w14:paraId="43DAC81D" w14:textId="77777777" w:rsidR="00295BCD" w:rsidRPr="001927D6" w:rsidRDefault="00295BCD">
            <w:pPr>
              <w:spacing w:after="0" w:line="240" w:lineRule="auto"/>
              <w:jc w:val="center"/>
              <w:textAlignment w:val="baseline"/>
              <w:rPr>
                <w:szCs w:val="24"/>
                <w:lang w:eastAsia="et-EE"/>
              </w:rPr>
            </w:pPr>
            <w:r w:rsidRPr="001927D6">
              <w:rPr>
                <w:color w:val="000000"/>
                <w:szCs w:val="24"/>
              </w:rPr>
              <w:t>1 551,79</w:t>
            </w:r>
          </w:p>
        </w:tc>
      </w:tr>
      <w:tr w:rsidR="00295BCD" w:rsidRPr="001927D6" w14:paraId="3919D4FD" w14:textId="77777777" w:rsidTr="00295BCD">
        <w:trPr>
          <w:divId w:val="1316184749"/>
          <w:trHeight w:val="300"/>
        </w:trPr>
        <w:tc>
          <w:tcPr>
            <w:tcW w:w="4632" w:type="dxa"/>
            <w:vAlign w:val="bottom"/>
            <w:hideMark/>
          </w:tcPr>
          <w:p w14:paraId="0149B128" w14:textId="77777777" w:rsidR="00295BCD" w:rsidRPr="001927D6" w:rsidRDefault="00295BCD">
            <w:pPr>
              <w:spacing w:after="0" w:line="240" w:lineRule="auto"/>
              <w:textAlignment w:val="baseline"/>
              <w:rPr>
                <w:szCs w:val="24"/>
                <w:lang w:eastAsia="et-EE"/>
              </w:rPr>
            </w:pPr>
            <w:r w:rsidRPr="001927D6">
              <w:rPr>
                <w:szCs w:val="24"/>
                <w:lang w:eastAsia="et-EE"/>
              </w:rPr>
              <w:t>Traumaatiline vigastus, vanus &gt; 17, kht-ga </w:t>
            </w:r>
          </w:p>
        </w:tc>
        <w:tc>
          <w:tcPr>
            <w:tcW w:w="732" w:type="dxa"/>
            <w:vAlign w:val="center"/>
            <w:hideMark/>
          </w:tcPr>
          <w:p w14:paraId="031DF738" w14:textId="77777777" w:rsidR="00295BCD" w:rsidRPr="001927D6" w:rsidRDefault="00295BCD">
            <w:pPr>
              <w:spacing w:after="0" w:line="240" w:lineRule="auto"/>
              <w:jc w:val="center"/>
              <w:textAlignment w:val="baseline"/>
              <w:rPr>
                <w:szCs w:val="24"/>
                <w:lang w:eastAsia="et-EE"/>
              </w:rPr>
            </w:pPr>
            <w:r w:rsidRPr="001927D6">
              <w:rPr>
                <w:szCs w:val="24"/>
                <w:lang w:eastAsia="et-EE"/>
              </w:rPr>
              <w:t>444 </w:t>
            </w:r>
          </w:p>
        </w:tc>
        <w:tc>
          <w:tcPr>
            <w:tcW w:w="1243" w:type="dxa"/>
            <w:vAlign w:val="center"/>
          </w:tcPr>
          <w:p w14:paraId="2FA1CEDA" w14:textId="77777777" w:rsidR="00295BCD" w:rsidRPr="001927D6" w:rsidRDefault="00295BCD">
            <w:pPr>
              <w:spacing w:after="0" w:line="240" w:lineRule="auto"/>
              <w:jc w:val="center"/>
              <w:textAlignment w:val="baseline"/>
              <w:rPr>
                <w:szCs w:val="24"/>
                <w:lang w:eastAsia="et-EE"/>
              </w:rPr>
            </w:pPr>
            <w:r w:rsidRPr="001927D6">
              <w:rPr>
                <w:color w:val="000000"/>
                <w:szCs w:val="24"/>
              </w:rPr>
              <w:t>2 032,07</w:t>
            </w:r>
          </w:p>
        </w:tc>
        <w:tc>
          <w:tcPr>
            <w:tcW w:w="1211" w:type="dxa"/>
            <w:vAlign w:val="center"/>
          </w:tcPr>
          <w:p w14:paraId="6D894650" w14:textId="77777777" w:rsidR="00295BCD" w:rsidRPr="001927D6" w:rsidRDefault="00295BCD">
            <w:pPr>
              <w:spacing w:after="0" w:line="240" w:lineRule="auto"/>
              <w:jc w:val="center"/>
              <w:textAlignment w:val="baseline"/>
              <w:rPr>
                <w:szCs w:val="24"/>
                <w:lang w:eastAsia="et-EE"/>
              </w:rPr>
            </w:pPr>
            <w:r w:rsidRPr="001927D6">
              <w:rPr>
                <w:color w:val="000000"/>
                <w:szCs w:val="24"/>
              </w:rPr>
              <w:t>537,09</w:t>
            </w:r>
          </w:p>
        </w:tc>
        <w:tc>
          <w:tcPr>
            <w:tcW w:w="1238" w:type="dxa"/>
            <w:vAlign w:val="center"/>
          </w:tcPr>
          <w:p w14:paraId="465B56B2" w14:textId="77777777" w:rsidR="00295BCD" w:rsidRPr="001927D6" w:rsidRDefault="00295BCD">
            <w:pPr>
              <w:spacing w:after="0" w:line="240" w:lineRule="auto"/>
              <w:jc w:val="center"/>
              <w:textAlignment w:val="baseline"/>
              <w:rPr>
                <w:szCs w:val="24"/>
                <w:lang w:eastAsia="et-EE"/>
              </w:rPr>
            </w:pPr>
            <w:r w:rsidRPr="001927D6">
              <w:rPr>
                <w:color w:val="000000"/>
                <w:szCs w:val="24"/>
              </w:rPr>
              <w:t>5 129,51</w:t>
            </w:r>
          </w:p>
        </w:tc>
      </w:tr>
      <w:tr w:rsidR="00295BCD" w:rsidRPr="001927D6" w14:paraId="57DD0AB1" w14:textId="77777777" w:rsidTr="00295BCD">
        <w:trPr>
          <w:divId w:val="1316184749"/>
          <w:trHeight w:val="300"/>
        </w:trPr>
        <w:tc>
          <w:tcPr>
            <w:tcW w:w="4632" w:type="dxa"/>
            <w:vAlign w:val="bottom"/>
            <w:hideMark/>
          </w:tcPr>
          <w:p w14:paraId="2F0CBE16" w14:textId="77777777" w:rsidR="00295BCD" w:rsidRPr="001927D6" w:rsidRDefault="00295BCD">
            <w:pPr>
              <w:spacing w:after="0" w:line="240" w:lineRule="auto"/>
              <w:textAlignment w:val="baseline"/>
              <w:rPr>
                <w:szCs w:val="24"/>
                <w:lang w:eastAsia="et-EE"/>
              </w:rPr>
            </w:pPr>
            <w:r w:rsidRPr="001927D6">
              <w:rPr>
                <w:szCs w:val="24"/>
                <w:lang w:eastAsia="et-EE"/>
              </w:rPr>
              <w:t>Traumaatiline vigastus, vanus &gt; 17, kht-ta </w:t>
            </w:r>
          </w:p>
        </w:tc>
        <w:tc>
          <w:tcPr>
            <w:tcW w:w="732" w:type="dxa"/>
            <w:vAlign w:val="center"/>
            <w:hideMark/>
          </w:tcPr>
          <w:p w14:paraId="16E5131C" w14:textId="77777777" w:rsidR="00295BCD" w:rsidRPr="001927D6" w:rsidRDefault="00295BCD">
            <w:pPr>
              <w:spacing w:after="0" w:line="240" w:lineRule="auto"/>
              <w:jc w:val="center"/>
              <w:textAlignment w:val="baseline"/>
              <w:rPr>
                <w:szCs w:val="24"/>
                <w:lang w:eastAsia="et-EE"/>
              </w:rPr>
            </w:pPr>
            <w:r w:rsidRPr="001927D6">
              <w:rPr>
                <w:szCs w:val="24"/>
                <w:lang w:eastAsia="et-EE"/>
              </w:rPr>
              <w:t>445 </w:t>
            </w:r>
          </w:p>
        </w:tc>
        <w:tc>
          <w:tcPr>
            <w:tcW w:w="1243" w:type="dxa"/>
            <w:vAlign w:val="center"/>
          </w:tcPr>
          <w:p w14:paraId="6D1AC6BA" w14:textId="77777777" w:rsidR="00295BCD" w:rsidRPr="001927D6" w:rsidRDefault="00295BCD">
            <w:pPr>
              <w:spacing w:after="0" w:line="240" w:lineRule="auto"/>
              <w:jc w:val="center"/>
              <w:textAlignment w:val="baseline"/>
              <w:rPr>
                <w:szCs w:val="24"/>
                <w:lang w:eastAsia="et-EE"/>
              </w:rPr>
            </w:pPr>
            <w:r w:rsidRPr="001927D6">
              <w:rPr>
                <w:color w:val="000000"/>
                <w:szCs w:val="24"/>
              </w:rPr>
              <w:t>1 396,79</w:t>
            </w:r>
          </w:p>
        </w:tc>
        <w:tc>
          <w:tcPr>
            <w:tcW w:w="1211" w:type="dxa"/>
            <w:vAlign w:val="center"/>
          </w:tcPr>
          <w:p w14:paraId="3746B832" w14:textId="77777777" w:rsidR="00295BCD" w:rsidRPr="001927D6" w:rsidRDefault="00295BCD">
            <w:pPr>
              <w:spacing w:after="0" w:line="240" w:lineRule="auto"/>
              <w:jc w:val="center"/>
              <w:textAlignment w:val="baseline"/>
              <w:rPr>
                <w:szCs w:val="24"/>
                <w:lang w:eastAsia="et-EE"/>
              </w:rPr>
            </w:pPr>
            <w:r w:rsidRPr="001927D6">
              <w:rPr>
                <w:color w:val="000000"/>
                <w:szCs w:val="24"/>
              </w:rPr>
              <w:t>247,37</w:t>
            </w:r>
          </w:p>
        </w:tc>
        <w:tc>
          <w:tcPr>
            <w:tcW w:w="1238" w:type="dxa"/>
            <w:vAlign w:val="center"/>
          </w:tcPr>
          <w:p w14:paraId="2F151BEC" w14:textId="77777777" w:rsidR="00295BCD" w:rsidRPr="001927D6" w:rsidRDefault="00295BCD">
            <w:pPr>
              <w:spacing w:after="0" w:line="240" w:lineRule="auto"/>
              <w:jc w:val="center"/>
              <w:textAlignment w:val="baseline"/>
              <w:rPr>
                <w:szCs w:val="24"/>
                <w:lang w:eastAsia="et-EE"/>
              </w:rPr>
            </w:pPr>
            <w:r w:rsidRPr="001927D6">
              <w:rPr>
                <w:color w:val="000000"/>
                <w:szCs w:val="24"/>
              </w:rPr>
              <w:t>3 610,03</w:t>
            </w:r>
          </w:p>
        </w:tc>
      </w:tr>
      <w:tr w:rsidR="00295BCD" w:rsidRPr="001927D6" w14:paraId="43DACEFD" w14:textId="77777777" w:rsidTr="00295BCD">
        <w:trPr>
          <w:divId w:val="1316184749"/>
          <w:trHeight w:val="300"/>
        </w:trPr>
        <w:tc>
          <w:tcPr>
            <w:tcW w:w="4632" w:type="dxa"/>
            <w:vAlign w:val="bottom"/>
            <w:hideMark/>
          </w:tcPr>
          <w:p w14:paraId="55F01FF6" w14:textId="77777777" w:rsidR="00295BCD" w:rsidRPr="001927D6" w:rsidRDefault="00295BCD">
            <w:pPr>
              <w:spacing w:after="0" w:line="240" w:lineRule="auto"/>
              <w:textAlignment w:val="baseline"/>
              <w:rPr>
                <w:szCs w:val="24"/>
                <w:lang w:eastAsia="et-EE"/>
              </w:rPr>
            </w:pPr>
            <w:r w:rsidRPr="001927D6">
              <w:rPr>
                <w:szCs w:val="24"/>
                <w:lang w:eastAsia="et-EE"/>
              </w:rPr>
              <w:t>Traumaatiline vigastus, vanus 0–17 </w:t>
            </w:r>
          </w:p>
        </w:tc>
        <w:tc>
          <w:tcPr>
            <w:tcW w:w="732" w:type="dxa"/>
            <w:vAlign w:val="center"/>
            <w:hideMark/>
          </w:tcPr>
          <w:p w14:paraId="7806FD46" w14:textId="77777777" w:rsidR="00295BCD" w:rsidRPr="001927D6" w:rsidRDefault="00295BCD">
            <w:pPr>
              <w:spacing w:after="0" w:line="240" w:lineRule="auto"/>
              <w:jc w:val="center"/>
              <w:textAlignment w:val="baseline"/>
              <w:rPr>
                <w:szCs w:val="24"/>
                <w:lang w:eastAsia="et-EE"/>
              </w:rPr>
            </w:pPr>
            <w:r w:rsidRPr="001927D6">
              <w:rPr>
                <w:szCs w:val="24"/>
                <w:lang w:eastAsia="et-EE"/>
              </w:rPr>
              <w:t>446 </w:t>
            </w:r>
          </w:p>
        </w:tc>
        <w:tc>
          <w:tcPr>
            <w:tcW w:w="1243" w:type="dxa"/>
            <w:vAlign w:val="center"/>
          </w:tcPr>
          <w:p w14:paraId="3F2F6FA0" w14:textId="77777777" w:rsidR="00295BCD" w:rsidRPr="001927D6" w:rsidRDefault="00295BCD">
            <w:pPr>
              <w:spacing w:after="0" w:line="240" w:lineRule="auto"/>
              <w:jc w:val="center"/>
              <w:textAlignment w:val="baseline"/>
              <w:rPr>
                <w:szCs w:val="24"/>
                <w:lang w:eastAsia="et-EE"/>
              </w:rPr>
            </w:pPr>
            <w:r w:rsidRPr="001927D6">
              <w:rPr>
                <w:color w:val="000000"/>
                <w:szCs w:val="24"/>
              </w:rPr>
              <w:t>874,10</w:t>
            </w:r>
          </w:p>
        </w:tc>
        <w:tc>
          <w:tcPr>
            <w:tcW w:w="1211" w:type="dxa"/>
            <w:vAlign w:val="center"/>
          </w:tcPr>
          <w:p w14:paraId="19DA1715" w14:textId="77777777" w:rsidR="00295BCD" w:rsidRPr="001927D6" w:rsidRDefault="00295BCD">
            <w:pPr>
              <w:spacing w:after="0" w:line="240" w:lineRule="auto"/>
              <w:jc w:val="center"/>
              <w:textAlignment w:val="baseline"/>
              <w:rPr>
                <w:szCs w:val="24"/>
                <w:lang w:eastAsia="et-EE"/>
              </w:rPr>
            </w:pPr>
            <w:r w:rsidRPr="001927D6">
              <w:rPr>
                <w:color w:val="000000"/>
                <w:szCs w:val="24"/>
              </w:rPr>
              <w:t>233,82</w:t>
            </w:r>
          </w:p>
        </w:tc>
        <w:tc>
          <w:tcPr>
            <w:tcW w:w="1238" w:type="dxa"/>
            <w:vAlign w:val="center"/>
          </w:tcPr>
          <w:p w14:paraId="5EB43ED1" w14:textId="77777777" w:rsidR="00295BCD" w:rsidRPr="001927D6" w:rsidRDefault="00295BCD">
            <w:pPr>
              <w:spacing w:after="0" w:line="240" w:lineRule="auto"/>
              <w:jc w:val="center"/>
              <w:textAlignment w:val="baseline"/>
              <w:rPr>
                <w:szCs w:val="24"/>
                <w:lang w:eastAsia="et-EE"/>
              </w:rPr>
            </w:pPr>
            <w:r w:rsidRPr="001927D6">
              <w:rPr>
                <w:color w:val="000000"/>
                <w:szCs w:val="24"/>
              </w:rPr>
              <w:t>1 896,55</w:t>
            </w:r>
          </w:p>
        </w:tc>
      </w:tr>
      <w:tr w:rsidR="00295BCD" w:rsidRPr="001927D6" w14:paraId="090E60A1" w14:textId="77777777" w:rsidTr="00295BCD">
        <w:trPr>
          <w:divId w:val="1316184749"/>
          <w:trHeight w:val="300"/>
        </w:trPr>
        <w:tc>
          <w:tcPr>
            <w:tcW w:w="4632" w:type="dxa"/>
            <w:vAlign w:val="bottom"/>
            <w:hideMark/>
          </w:tcPr>
          <w:p w14:paraId="3C438B70" w14:textId="77777777" w:rsidR="00295BCD" w:rsidRPr="001927D6" w:rsidRDefault="00295BCD">
            <w:pPr>
              <w:spacing w:after="0" w:line="240" w:lineRule="auto"/>
              <w:textAlignment w:val="baseline"/>
              <w:rPr>
                <w:szCs w:val="24"/>
                <w:lang w:eastAsia="et-EE"/>
              </w:rPr>
            </w:pPr>
            <w:r w:rsidRPr="001927D6">
              <w:rPr>
                <w:szCs w:val="24"/>
                <w:lang w:eastAsia="et-EE"/>
              </w:rPr>
              <w:t>Allergilised reaktsioonid, vanus &gt; 17 </w:t>
            </w:r>
          </w:p>
        </w:tc>
        <w:tc>
          <w:tcPr>
            <w:tcW w:w="732" w:type="dxa"/>
            <w:vAlign w:val="center"/>
            <w:hideMark/>
          </w:tcPr>
          <w:p w14:paraId="06492520" w14:textId="77777777" w:rsidR="00295BCD" w:rsidRPr="001927D6" w:rsidRDefault="00295BCD">
            <w:pPr>
              <w:spacing w:after="0" w:line="240" w:lineRule="auto"/>
              <w:jc w:val="center"/>
              <w:textAlignment w:val="baseline"/>
              <w:rPr>
                <w:szCs w:val="24"/>
                <w:lang w:eastAsia="et-EE"/>
              </w:rPr>
            </w:pPr>
            <w:r w:rsidRPr="001927D6">
              <w:rPr>
                <w:szCs w:val="24"/>
                <w:lang w:eastAsia="et-EE"/>
              </w:rPr>
              <w:t>447 </w:t>
            </w:r>
          </w:p>
        </w:tc>
        <w:tc>
          <w:tcPr>
            <w:tcW w:w="1243" w:type="dxa"/>
            <w:vAlign w:val="center"/>
          </w:tcPr>
          <w:p w14:paraId="3F220382" w14:textId="77777777" w:rsidR="00295BCD" w:rsidRPr="001927D6" w:rsidRDefault="00295BCD">
            <w:pPr>
              <w:spacing w:after="0" w:line="240" w:lineRule="auto"/>
              <w:jc w:val="center"/>
              <w:textAlignment w:val="baseline"/>
              <w:rPr>
                <w:szCs w:val="24"/>
                <w:lang w:eastAsia="et-EE"/>
              </w:rPr>
            </w:pPr>
            <w:r w:rsidRPr="001927D6">
              <w:rPr>
                <w:color w:val="000000"/>
                <w:szCs w:val="24"/>
              </w:rPr>
              <w:t>955,44</w:t>
            </w:r>
          </w:p>
        </w:tc>
        <w:tc>
          <w:tcPr>
            <w:tcW w:w="1211" w:type="dxa"/>
            <w:vAlign w:val="center"/>
          </w:tcPr>
          <w:p w14:paraId="16ED65A0" w14:textId="77777777" w:rsidR="00295BCD" w:rsidRPr="001927D6" w:rsidRDefault="00295BCD">
            <w:pPr>
              <w:spacing w:after="0" w:line="240" w:lineRule="auto"/>
              <w:jc w:val="center"/>
              <w:textAlignment w:val="baseline"/>
              <w:rPr>
                <w:szCs w:val="24"/>
                <w:lang w:eastAsia="et-EE"/>
              </w:rPr>
            </w:pPr>
            <w:r w:rsidRPr="001927D6">
              <w:rPr>
                <w:color w:val="000000"/>
                <w:szCs w:val="24"/>
              </w:rPr>
              <w:t>216,78</w:t>
            </w:r>
          </w:p>
        </w:tc>
        <w:tc>
          <w:tcPr>
            <w:tcW w:w="1238" w:type="dxa"/>
            <w:vAlign w:val="center"/>
          </w:tcPr>
          <w:p w14:paraId="2C6064F9" w14:textId="77777777" w:rsidR="00295BCD" w:rsidRPr="001927D6" w:rsidRDefault="00295BCD">
            <w:pPr>
              <w:spacing w:after="0" w:line="240" w:lineRule="auto"/>
              <w:jc w:val="center"/>
              <w:textAlignment w:val="baseline"/>
              <w:rPr>
                <w:szCs w:val="24"/>
                <w:lang w:eastAsia="et-EE"/>
              </w:rPr>
            </w:pPr>
            <w:r w:rsidRPr="001927D6">
              <w:rPr>
                <w:color w:val="000000"/>
                <w:szCs w:val="24"/>
              </w:rPr>
              <w:t>4 095,19</w:t>
            </w:r>
          </w:p>
        </w:tc>
      </w:tr>
      <w:tr w:rsidR="00295BCD" w:rsidRPr="001927D6" w14:paraId="1E3DE081" w14:textId="77777777" w:rsidTr="00295BCD">
        <w:trPr>
          <w:divId w:val="1316184749"/>
          <w:trHeight w:val="300"/>
        </w:trPr>
        <w:tc>
          <w:tcPr>
            <w:tcW w:w="4632" w:type="dxa"/>
            <w:vAlign w:val="bottom"/>
            <w:hideMark/>
          </w:tcPr>
          <w:p w14:paraId="079DAE7F" w14:textId="77777777" w:rsidR="00295BCD" w:rsidRPr="001927D6" w:rsidRDefault="00295BCD">
            <w:pPr>
              <w:spacing w:after="0" w:line="240" w:lineRule="auto"/>
              <w:textAlignment w:val="baseline"/>
              <w:rPr>
                <w:szCs w:val="24"/>
                <w:lang w:eastAsia="et-EE"/>
              </w:rPr>
            </w:pPr>
            <w:r w:rsidRPr="001927D6">
              <w:rPr>
                <w:szCs w:val="24"/>
                <w:lang w:eastAsia="et-EE"/>
              </w:rPr>
              <w:t>Allergilised reaktsioonid, vanus 0–17 </w:t>
            </w:r>
          </w:p>
        </w:tc>
        <w:tc>
          <w:tcPr>
            <w:tcW w:w="732" w:type="dxa"/>
            <w:vAlign w:val="center"/>
            <w:hideMark/>
          </w:tcPr>
          <w:p w14:paraId="473C05D8" w14:textId="77777777" w:rsidR="00295BCD" w:rsidRPr="001927D6" w:rsidRDefault="00295BCD">
            <w:pPr>
              <w:spacing w:after="0" w:line="240" w:lineRule="auto"/>
              <w:jc w:val="center"/>
              <w:textAlignment w:val="baseline"/>
              <w:rPr>
                <w:szCs w:val="24"/>
                <w:lang w:eastAsia="et-EE"/>
              </w:rPr>
            </w:pPr>
            <w:r w:rsidRPr="001927D6">
              <w:rPr>
                <w:szCs w:val="24"/>
                <w:lang w:eastAsia="et-EE"/>
              </w:rPr>
              <w:t>448 </w:t>
            </w:r>
          </w:p>
        </w:tc>
        <w:tc>
          <w:tcPr>
            <w:tcW w:w="1243" w:type="dxa"/>
            <w:vAlign w:val="center"/>
          </w:tcPr>
          <w:p w14:paraId="64B902C9" w14:textId="77777777" w:rsidR="00295BCD" w:rsidRPr="001927D6" w:rsidRDefault="00295BCD">
            <w:pPr>
              <w:spacing w:after="0" w:line="240" w:lineRule="auto"/>
              <w:jc w:val="center"/>
              <w:textAlignment w:val="baseline"/>
              <w:rPr>
                <w:szCs w:val="24"/>
                <w:lang w:eastAsia="et-EE"/>
              </w:rPr>
            </w:pPr>
            <w:r w:rsidRPr="001927D6">
              <w:rPr>
                <w:color w:val="000000"/>
                <w:szCs w:val="24"/>
              </w:rPr>
              <w:t>573,32</w:t>
            </w:r>
          </w:p>
        </w:tc>
        <w:tc>
          <w:tcPr>
            <w:tcW w:w="1211" w:type="dxa"/>
            <w:vAlign w:val="center"/>
          </w:tcPr>
          <w:p w14:paraId="28ACD8A0" w14:textId="77777777" w:rsidR="00295BCD" w:rsidRPr="001927D6" w:rsidRDefault="00295BCD">
            <w:pPr>
              <w:spacing w:after="0" w:line="240" w:lineRule="auto"/>
              <w:jc w:val="center"/>
              <w:textAlignment w:val="baseline"/>
              <w:rPr>
                <w:szCs w:val="24"/>
                <w:lang w:eastAsia="et-EE"/>
              </w:rPr>
            </w:pPr>
            <w:r w:rsidRPr="001927D6">
              <w:rPr>
                <w:color w:val="000000"/>
                <w:szCs w:val="24"/>
              </w:rPr>
              <w:t>266,00</w:t>
            </w:r>
          </w:p>
        </w:tc>
        <w:tc>
          <w:tcPr>
            <w:tcW w:w="1238" w:type="dxa"/>
            <w:vAlign w:val="center"/>
          </w:tcPr>
          <w:p w14:paraId="09FF326B" w14:textId="77777777" w:rsidR="00295BCD" w:rsidRPr="001927D6" w:rsidRDefault="00295BCD">
            <w:pPr>
              <w:spacing w:after="0" w:line="240" w:lineRule="auto"/>
              <w:jc w:val="center"/>
              <w:textAlignment w:val="baseline"/>
              <w:rPr>
                <w:szCs w:val="24"/>
                <w:lang w:eastAsia="et-EE"/>
              </w:rPr>
            </w:pPr>
            <w:r w:rsidRPr="001927D6">
              <w:rPr>
                <w:color w:val="000000"/>
                <w:szCs w:val="24"/>
              </w:rPr>
              <w:t>919,55</w:t>
            </w:r>
          </w:p>
        </w:tc>
      </w:tr>
      <w:tr w:rsidR="00295BCD" w:rsidRPr="001927D6" w14:paraId="02F14AE5" w14:textId="77777777" w:rsidTr="00295BCD">
        <w:trPr>
          <w:divId w:val="1316184749"/>
          <w:trHeight w:val="300"/>
        </w:trPr>
        <w:tc>
          <w:tcPr>
            <w:tcW w:w="4632" w:type="dxa"/>
            <w:vAlign w:val="bottom"/>
            <w:hideMark/>
          </w:tcPr>
          <w:p w14:paraId="46DA8017" w14:textId="77777777" w:rsidR="00295BCD" w:rsidRPr="001927D6" w:rsidRDefault="00295BCD">
            <w:pPr>
              <w:spacing w:after="0" w:line="240" w:lineRule="auto"/>
              <w:textAlignment w:val="baseline"/>
              <w:rPr>
                <w:szCs w:val="24"/>
                <w:lang w:eastAsia="et-EE"/>
              </w:rPr>
            </w:pPr>
            <w:r w:rsidRPr="001927D6">
              <w:rPr>
                <w:szCs w:val="24"/>
                <w:lang w:eastAsia="et-EE"/>
              </w:rPr>
              <w:t>Mürgistused ja ravimite toksiline toime, vanus &gt; 17, kht-ga </w:t>
            </w:r>
          </w:p>
        </w:tc>
        <w:tc>
          <w:tcPr>
            <w:tcW w:w="732" w:type="dxa"/>
            <w:vAlign w:val="center"/>
            <w:hideMark/>
          </w:tcPr>
          <w:p w14:paraId="4770DA48" w14:textId="77777777" w:rsidR="00295BCD" w:rsidRPr="001927D6" w:rsidRDefault="00295BCD">
            <w:pPr>
              <w:spacing w:after="0" w:line="240" w:lineRule="auto"/>
              <w:jc w:val="center"/>
              <w:textAlignment w:val="baseline"/>
              <w:rPr>
                <w:szCs w:val="24"/>
                <w:lang w:eastAsia="et-EE"/>
              </w:rPr>
            </w:pPr>
            <w:r w:rsidRPr="001927D6">
              <w:rPr>
                <w:szCs w:val="24"/>
                <w:lang w:eastAsia="et-EE"/>
              </w:rPr>
              <w:t>449 </w:t>
            </w:r>
          </w:p>
        </w:tc>
        <w:tc>
          <w:tcPr>
            <w:tcW w:w="1243" w:type="dxa"/>
            <w:vAlign w:val="center"/>
          </w:tcPr>
          <w:p w14:paraId="4F72D386" w14:textId="77777777" w:rsidR="00295BCD" w:rsidRPr="001927D6" w:rsidRDefault="00295BCD">
            <w:pPr>
              <w:spacing w:after="0" w:line="240" w:lineRule="auto"/>
              <w:jc w:val="center"/>
              <w:textAlignment w:val="baseline"/>
              <w:rPr>
                <w:szCs w:val="24"/>
                <w:lang w:eastAsia="et-EE"/>
              </w:rPr>
            </w:pPr>
            <w:r w:rsidRPr="001927D6">
              <w:rPr>
                <w:color w:val="000000"/>
                <w:szCs w:val="24"/>
              </w:rPr>
              <w:t>2 666,75</w:t>
            </w:r>
          </w:p>
        </w:tc>
        <w:tc>
          <w:tcPr>
            <w:tcW w:w="1211" w:type="dxa"/>
            <w:vAlign w:val="center"/>
          </w:tcPr>
          <w:p w14:paraId="03298D95" w14:textId="77777777" w:rsidR="00295BCD" w:rsidRPr="001927D6" w:rsidRDefault="00295BCD">
            <w:pPr>
              <w:spacing w:after="0" w:line="240" w:lineRule="auto"/>
              <w:jc w:val="center"/>
              <w:textAlignment w:val="baseline"/>
              <w:rPr>
                <w:szCs w:val="24"/>
                <w:lang w:eastAsia="et-EE"/>
              </w:rPr>
            </w:pPr>
            <w:r w:rsidRPr="001927D6">
              <w:rPr>
                <w:color w:val="000000"/>
                <w:szCs w:val="24"/>
              </w:rPr>
              <w:t>476,84</w:t>
            </w:r>
          </w:p>
        </w:tc>
        <w:tc>
          <w:tcPr>
            <w:tcW w:w="1238" w:type="dxa"/>
            <w:vAlign w:val="center"/>
          </w:tcPr>
          <w:p w14:paraId="6C292EB2" w14:textId="77777777" w:rsidR="00295BCD" w:rsidRPr="001927D6" w:rsidRDefault="00295BCD">
            <w:pPr>
              <w:spacing w:after="0" w:line="240" w:lineRule="auto"/>
              <w:jc w:val="center"/>
              <w:textAlignment w:val="baseline"/>
              <w:rPr>
                <w:szCs w:val="24"/>
                <w:lang w:eastAsia="et-EE"/>
              </w:rPr>
            </w:pPr>
            <w:r w:rsidRPr="001927D6">
              <w:rPr>
                <w:color w:val="000000"/>
                <w:szCs w:val="24"/>
              </w:rPr>
              <w:t>9 503,05</w:t>
            </w:r>
          </w:p>
        </w:tc>
      </w:tr>
      <w:tr w:rsidR="00295BCD" w:rsidRPr="001927D6" w14:paraId="4B98590B" w14:textId="77777777" w:rsidTr="00295BCD">
        <w:trPr>
          <w:divId w:val="1316184749"/>
          <w:trHeight w:val="300"/>
        </w:trPr>
        <w:tc>
          <w:tcPr>
            <w:tcW w:w="4632" w:type="dxa"/>
            <w:vAlign w:val="bottom"/>
            <w:hideMark/>
          </w:tcPr>
          <w:p w14:paraId="7DD2F0B4" w14:textId="77777777" w:rsidR="00295BCD" w:rsidRPr="001927D6" w:rsidRDefault="00295BCD">
            <w:pPr>
              <w:spacing w:after="0" w:line="240" w:lineRule="auto"/>
              <w:textAlignment w:val="baseline"/>
              <w:rPr>
                <w:szCs w:val="24"/>
                <w:lang w:eastAsia="et-EE"/>
              </w:rPr>
            </w:pPr>
            <w:r w:rsidRPr="001927D6">
              <w:rPr>
                <w:szCs w:val="24"/>
                <w:lang w:eastAsia="et-EE"/>
              </w:rPr>
              <w:t>Mürgistused ja ravimite toksiline toime, vanus &gt; 17, kht-ta </w:t>
            </w:r>
          </w:p>
        </w:tc>
        <w:tc>
          <w:tcPr>
            <w:tcW w:w="732" w:type="dxa"/>
            <w:vAlign w:val="center"/>
            <w:hideMark/>
          </w:tcPr>
          <w:p w14:paraId="20692E78" w14:textId="77777777" w:rsidR="00295BCD" w:rsidRPr="001927D6" w:rsidRDefault="00295BCD">
            <w:pPr>
              <w:spacing w:after="0" w:line="240" w:lineRule="auto"/>
              <w:jc w:val="center"/>
              <w:textAlignment w:val="baseline"/>
              <w:rPr>
                <w:szCs w:val="24"/>
                <w:lang w:eastAsia="et-EE"/>
              </w:rPr>
            </w:pPr>
            <w:r w:rsidRPr="001927D6">
              <w:rPr>
                <w:szCs w:val="24"/>
                <w:lang w:eastAsia="et-EE"/>
              </w:rPr>
              <w:t>450 </w:t>
            </w:r>
          </w:p>
        </w:tc>
        <w:tc>
          <w:tcPr>
            <w:tcW w:w="1243" w:type="dxa"/>
            <w:vAlign w:val="center"/>
          </w:tcPr>
          <w:p w14:paraId="7E286C8F" w14:textId="77777777" w:rsidR="00295BCD" w:rsidRPr="001927D6" w:rsidRDefault="00295BCD">
            <w:pPr>
              <w:spacing w:after="0" w:line="240" w:lineRule="auto"/>
              <w:jc w:val="center"/>
              <w:textAlignment w:val="baseline"/>
              <w:rPr>
                <w:szCs w:val="24"/>
                <w:lang w:eastAsia="et-EE"/>
              </w:rPr>
            </w:pPr>
            <w:r w:rsidRPr="001927D6">
              <w:rPr>
                <w:color w:val="000000"/>
                <w:szCs w:val="24"/>
              </w:rPr>
              <w:t>824,08</w:t>
            </w:r>
          </w:p>
        </w:tc>
        <w:tc>
          <w:tcPr>
            <w:tcW w:w="1211" w:type="dxa"/>
            <w:vAlign w:val="center"/>
          </w:tcPr>
          <w:p w14:paraId="6FD9A847" w14:textId="77777777" w:rsidR="00295BCD" w:rsidRPr="001927D6" w:rsidRDefault="00295BCD">
            <w:pPr>
              <w:spacing w:after="0" w:line="240" w:lineRule="auto"/>
              <w:jc w:val="center"/>
              <w:textAlignment w:val="baseline"/>
              <w:rPr>
                <w:szCs w:val="24"/>
                <w:lang w:eastAsia="et-EE"/>
              </w:rPr>
            </w:pPr>
            <w:r w:rsidRPr="001927D6">
              <w:rPr>
                <w:color w:val="000000"/>
                <w:szCs w:val="24"/>
              </w:rPr>
              <w:t>287,23</w:t>
            </w:r>
          </w:p>
        </w:tc>
        <w:tc>
          <w:tcPr>
            <w:tcW w:w="1238" w:type="dxa"/>
            <w:vAlign w:val="center"/>
          </w:tcPr>
          <w:p w14:paraId="0C198F3A" w14:textId="77777777" w:rsidR="00295BCD" w:rsidRPr="001927D6" w:rsidRDefault="00295BCD">
            <w:pPr>
              <w:spacing w:after="0" w:line="240" w:lineRule="auto"/>
              <w:jc w:val="center"/>
              <w:textAlignment w:val="baseline"/>
              <w:rPr>
                <w:szCs w:val="24"/>
                <w:lang w:eastAsia="et-EE"/>
              </w:rPr>
            </w:pPr>
            <w:r w:rsidRPr="001927D6">
              <w:rPr>
                <w:color w:val="000000"/>
                <w:szCs w:val="24"/>
              </w:rPr>
              <w:t>1 993,20</w:t>
            </w:r>
          </w:p>
        </w:tc>
      </w:tr>
      <w:tr w:rsidR="00295BCD" w:rsidRPr="001927D6" w14:paraId="7E305827" w14:textId="77777777" w:rsidTr="00295BCD">
        <w:trPr>
          <w:divId w:val="1316184749"/>
          <w:trHeight w:val="300"/>
        </w:trPr>
        <w:tc>
          <w:tcPr>
            <w:tcW w:w="4632" w:type="dxa"/>
            <w:vAlign w:val="bottom"/>
            <w:hideMark/>
          </w:tcPr>
          <w:p w14:paraId="2E9CE4F2" w14:textId="77777777" w:rsidR="00295BCD" w:rsidRPr="001927D6" w:rsidRDefault="00295BCD">
            <w:pPr>
              <w:spacing w:after="0" w:line="240" w:lineRule="auto"/>
              <w:textAlignment w:val="baseline"/>
              <w:rPr>
                <w:szCs w:val="24"/>
                <w:lang w:eastAsia="et-EE"/>
              </w:rPr>
            </w:pPr>
            <w:r w:rsidRPr="001927D6">
              <w:rPr>
                <w:szCs w:val="24"/>
                <w:lang w:eastAsia="et-EE"/>
              </w:rPr>
              <w:t>Mürgistused ja ravimite toksiline toime, vanus 0–17 </w:t>
            </w:r>
          </w:p>
        </w:tc>
        <w:tc>
          <w:tcPr>
            <w:tcW w:w="732" w:type="dxa"/>
            <w:vAlign w:val="center"/>
            <w:hideMark/>
          </w:tcPr>
          <w:p w14:paraId="5407EB9C" w14:textId="77777777" w:rsidR="00295BCD" w:rsidRPr="001927D6" w:rsidRDefault="00295BCD">
            <w:pPr>
              <w:spacing w:after="0" w:line="240" w:lineRule="auto"/>
              <w:jc w:val="center"/>
              <w:textAlignment w:val="baseline"/>
              <w:rPr>
                <w:szCs w:val="24"/>
                <w:lang w:eastAsia="et-EE"/>
              </w:rPr>
            </w:pPr>
            <w:r w:rsidRPr="001927D6">
              <w:rPr>
                <w:szCs w:val="24"/>
                <w:lang w:eastAsia="et-EE"/>
              </w:rPr>
              <w:t>451 </w:t>
            </w:r>
          </w:p>
        </w:tc>
        <w:tc>
          <w:tcPr>
            <w:tcW w:w="1243" w:type="dxa"/>
            <w:vAlign w:val="center"/>
          </w:tcPr>
          <w:p w14:paraId="4EE69564" w14:textId="77777777" w:rsidR="00295BCD" w:rsidRPr="001927D6" w:rsidRDefault="00295BCD">
            <w:pPr>
              <w:spacing w:after="0" w:line="240" w:lineRule="auto"/>
              <w:jc w:val="center"/>
              <w:textAlignment w:val="baseline"/>
              <w:rPr>
                <w:szCs w:val="24"/>
                <w:lang w:eastAsia="et-EE"/>
              </w:rPr>
            </w:pPr>
            <w:r w:rsidRPr="001927D6">
              <w:rPr>
                <w:color w:val="000000"/>
                <w:szCs w:val="24"/>
              </w:rPr>
              <w:t>447,17</w:t>
            </w:r>
          </w:p>
        </w:tc>
        <w:tc>
          <w:tcPr>
            <w:tcW w:w="1211" w:type="dxa"/>
            <w:vAlign w:val="center"/>
          </w:tcPr>
          <w:p w14:paraId="7EFDEF5F" w14:textId="77777777" w:rsidR="00295BCD" w:rsidRPr="001927D6" w:rsidRDefault="00295BCD">
            <w:pPr>
              <w:spacing w:after="0" w:line="240" w:lineRule="auto"/>
              <w:jc w:val="center"/>
              <w:textAlignment w:val="baseline"/>
              <w:rPr>
                <w:szCs w:val="24"/>
                <w:lang w:eastAsia="et-EE"/>
              </w:rPr>
            </w:pPr>
            <w:r w:rsidRPr="001927D6">
              <w:rPr>
                <w:color w:val="000000"/>
                <w:szCs w:val="24"/>
              </w:rPr>
              <w:t>252,04</w:t>
            </w:r>
          </w:p>
        </w:tc>
        <w:tc>
          <w:tcPr>
            <w:tcW w:w="1238" w:type="dxa"/>
            <w:vAlign w:val="center"/>
          </w:tcPr>
          <w:p w14:paraId="6ED50BBE" w14:textId="77777777" w:rsidR="00295BCD" w:rsidRPr="001927D6" w:rsidRDefault="00295BCD">
            <w:pPr>
              <w:spacing w:after="0" w:line="240" w:lineRule="auto"/>
              <w:jc w:val="center"/>
              <w:textAlignment w:val="baseline"/>
              <w:rPr>
                <w:szCs w:val="24"/>
                <w:lang w:eastAsia="et-EE"/>
              </w:rPr>
            </w:pPr>
            <w:r w:rsidRPr="001927D6">
              <w:rPr>
                <w:color w:val="000000"/>
                <w:szCs w:val="24"/>
              </w:rPr>
              <w:t>909,49</w:t>
            </w:r>
          </w:p>
        </w:tc>
      </w:tr>
      <w:tr w:rsidR="00295BCD" w:rsidRPr="001927D6" w14:paraId="16B5BE15" w14:textId="77777777" w:rsidTr="00295BCD">
        <w:trPr>
          <w:divId w:val="1316184749"/>
          <w:trHeight w:val="300"/>
        </w:trPr>
        <w:tc>
          <w:tcPr>
            <w:tcW w:w="4632" w:type="dxa"/>
            <w:vAlign w:val="bottom"/>
            <w:hideMark/>
          </w:tcPr>
          <w:p w14:paraId="1FB2D22C" w14:textId="77777777" w:rsidR="00295BCD" w:rsidRPr="001927D6" w:rsidRDefault="00295BCD">
            <w:pPr>
              <w:spacing w:after="0" w:line="240" w:lineRule="auto"/>
              <w:textAlignment w:val="baseline"/>
              <w:rPr>
                <w:szCs w:val="24"/>
                <w:lang w:eastAsia="et-EE"/>
              </w:rPr>
            </w:pPr>
            <w:r w:rsidRPr="001927D6">
              <w:rPr>
                <w:szCs w:val="24"/>
                <w:lang w:eastAsia="et-EE"/>
              </w:rPr>
              <w:t>Ravitüsistused kirurgilise sekkumise korral, kht-ga </w:t>
            </w:r>
          </w:p>
        </w:tc>
        <w:tc>
          <w:tcPr>
            <w:tcW w:w="732" w:type="dxa"/>
            <w:vAlign w:val="center"/>
            <w:hideMark/>
          </w:tcPr>
          <w:p w14:paraId="2A359B28" w14:textId="77777777" w:rsidR="00295BCD" w:rsidRPr="001927D6" w:rsidRDefault="00295BCD">
            <w:pPr>
              <w:spacing w:after="0" w:line="240" w:lineRule="auto"/>
              <w:jc w:val="center"/>
              <w:textAlignment w:val="baseline"/>
              <w:rPr>
                <w:szCs w:val="24"/>
                <w:lang w:eastAsia="et-EE"/>
              </w:rPr>
            </w:pPr>
            <w:r w:rsidRPr="001927D6">
              <w:rPr>
                <w:szCs w:val="24"/>
                <w:lang w:eastAsia="et-EE"/>
              </w:rPr>
              <w:t>452A </w:t>
            </w:r>
          </w:p>
        </w:tc>
        <w:tc>
          <w:tcPr>
            <w:tcW w:w="1243" w:type="dxa"/>
            <w:vAlign w:val="center"/>
          </w:tcPr>
          <w:p w14:paraId="658E17B5" w14:textId="77777777" w:rsidR="00295BCD" w:rsidRPr="001927D6" w:rsidRDefault="00295BCD">
            <w:pPr>
              <w:spacing w:after="0" w:line="240" w:lineRule="auto"/>
              <w:jc w:val="center"/>
              <w:textAlignment w:val="baseline"/>
              <w:rPr>
                <w:szCs w:val="24"/>
                <w:lang w:eastAsia="et-EE"/>
              </w:rPr>
            </w:pPr>
            <w:r w:rsidRPr="001927D6">
              <w:rPr>
                <w:color w:val="000000"/>
                <w:szCs w:val="24"/>
              </w:rPr>
              <w:t>3 304,89</w:t>
            </w:r>
          </w:p>
        </w:tc>
        <w:tc>
          <w:tcPr>
            <w:tcW w:w="1211" w:type="dxa"/>
            <w:vAlign w:val="center"/>
          </w:tcPr>
          <w:p w14:paraId="17307437" w14:textId="77777777" w:rsidR="00295BCD" w:rsidRPr="001927D6" w:rsidRDefault="00295BCD">
            <w:pPr>
              <w:spacing w:after="0" w:line="240" w:lineRule="auto"/>
              <w:jc w:val="center"/>
              <w:textAlignment w:val="baseline"/>
              <w:rPr>
                <w:szCs w:val="24"/>
                <w:lang w:eastAsia="et-EE"/>
              </w:rPr>
            </w:pPr>
            <w:r w:rsidRPr="001927D6">
              <w:rPr>
                <w:color w:val="000000"/>
                <w:szCs w:val="24"/>
              </w:rPr>
              <w:t>806,18</w:t>
            </w:r>
          </w:p>
        </w:tc>
        <w:tc>
          <w:tcPr>
            <w:tcW w:w="1238" w:type="dxa"/>
            <w:vAlign w:val="center"/>
          </w:tcPr>
          <w:p w14:paraId="38E72651" w14:textId="77777777" w:rsidR="00295BCD" w:rsidRPr="001927D6" w:rsidRDefault="00295BCD">
            <w:pPr>
              <w:spacing w:after="0" w:line="240" w:lineRule="auto"/>
              <w:jc w:val="center"/>
              <w:textAlignment w:val="baseline"/>
              <w:rPr>
                <w:szCs w:val="24"/>
                <w:lang w:eastAsia="et-EE"/>
              </w:rPr>
            </w:pPr>
            <w:r w:rsidRPr="001927D6">
              <w:rPr>
                <w:color w:val="000000"/>
                <w:szCs w:val="24"/>
              </w:rPr>
              <w:t>8 185,64</w:t>
            </w:r>
          </w:p>
        </w:tc>
      </w:tr>
      <w:tr w:rsidR="00295BCD" w:rsidRPr="001927D6" w14:paraId="44CB06B4" w14:textId="77777777" w:rsidTr="00295BCD">
        <w:trPr>
          <w:divId w:val="1316184749"/>
          <w:trHeight w:val="300"/>
        </w:trPr>
        <w:tc>
          <w:tcPr>
            <w:tcW w:w="4632" w:type="dxa"/>
            <w:vAlign w:val="bottom"/>
            <w:hideMark/>
          </w:tcPr>
          <w:p w14:paraId="5549D823" w14:textId="77777777" w:rsidR="00295BCD" w:rsidRPr="001927D6" w:rsidRDefault="00295BCD">
            <w:pPr>
              <w:spacing w:after="0" w:line="240" w:lineRule="auto"/>
              <w:textAlignment w:val="baseline"/>
              <w:rPr>
                <w:szCs w:val="24"/>
                <w:lang w:eastAsia="et-EE"/>
              </w:rPr>
            </w:pPr>
            <w:r w:rsidRPr="001927D6">
              <w:rPr>
                <w:szCs w:val="24"/>
                <w:lang w:eastAsia="et-EE"/>
              </w:rPr>
              <w:t>Ravitüsistused mittekirurgilise sekkumise korral, kht-ga </w:t>
            </w:r>
          </w:p>
        </w:tc>
        <w:tc>
          <w:tcPr>
            <w:tcW w:w="732" w:type="dxa"/>
            <w:vAlign w:val="center"/>
            <w:hideMark/>
          </w:tcPr>
          <w:p w14:paraId="0CF58C83" w14:textId="77777777" w:rsidR="00295BCD" w:rsidRPr="001927D6" w:rsidRDefault="00295BCD">
            <w:pPr>
              <w:spacing w:after="0" w:line="240" w:lineRule="auto"/>
              <w:jc w:val="center"/>
              <w:textAlignment w:val="baseline"/>
              <w:rPr>
                <w:szCs w:val="24"/>
                <w:lang w:eastAsia="et-EE"/>
              </w:rPr>
            </w:pPr>
            <w:r w:rsidRPr="001927D6">
              <w:rPr>
                <w:szCs w:val="24"/>
                <w:lang w:eastAsia="et-EE"/>
              </w:rPr>
              <w:t>452B </w:t>
            </w:r>
          </w:p>
        </w:tc>
        <w:tc>
          <w:tcPr>
            <w:tcW w:w="1243" w:type="dxa"/>
            <w:vAlign w:val="center"/>
          </w:tcPr>
          <w:p w14:paraId="431C303E" w14:textId="77777777" w:rsidR="00295BCD" w:rsidRPr="001927D6" w:rsidRDefault="00295BCD">
            <w:pPr>
              <w:spacing w:after="0" w:line="240" w:lineRule="auto"/>
              <w:jc w:val="center"/>
              <w:textAlignment w:val="baseline"/>
              <w:rPr>
                <w:szCs w:val="24"/>
                <w:lang w:eastAsia="et-EE"/>
              </w:rPr>
            </w:pPr>
            <w:r w:rsidRPr="001927D6">
              <w:rPr>
                <w:color w:val="000000"/>
                <w:szCs w:val="24"/>
              </w:rPr>
              <w:t>2 051,19</w:t>
            </w:r>
          </w:p>
        </w:tc>
        <w:tc>
          <w:tcPr>
            <w:tcW w:w="1211" w:type="dxa"/>
            <w:vAlign w:val="center"/>
          </w:tcPr>
          <w:p w14:paraId="2B738C46" w14:textId="77777777" w:rsidR="00295BCD" w:rsidRPr="001927D6" w:rsidRDefault="00295BCD">
            <w:pPr>
              <w:spacing w:after="0" w:line="240" w:lineRule="auto"/>
              <w:jc w:val="center"/>
              <w:textAlignment w:val="baseline"/>
              <w:rPr>
                <w:szCs w:val="24"/>
                <w:lang w:eastAsia="et-EE"/>
              </w:rPr>
            </w:pPr>
            <w:r w:rsidRPr="001927D6">
              <w:rPr>
                <w:color w:val="000000"/>
                <w:szCs w:val="24"/>
              </w:rPr>
              <w:t>318,21</w:t>
            </w:r>
          </w:p>
        </w:tc>
        <w:tc>
          <w:tcPr>
            <w:tcW w:w="1238" w:type="dxa"/>
            <w:vAlign w:val="center"/>
          </w:tcPr>
          <w:p w14:paraId="0AD9136E" w14:textId="77777777" w:rsidR="00295BCD" w:rsidRPr="001927D6" w:rsidRDefault="00295BCD">
            <w:pPr>
              <w:spacing w:after="0" w:line="240" w:lineRule="auto"/>
              <w:jc w:val="center"/>
              <w:textAlignment w:val="baseline"/>
              <w:rPr>
                <w:szCs w:val="24"/>
                <w:lang w:eastAsia="et-EE"/>
              </w:rPr>
            </w:pPr>
            <w:r w:rsidRPr="001927D6">
              <w:rPr>
                <w:color w:val="000000"/>
                <w:szCs w:val="24"/>
              </w:rPr>
              <w:t>5 175,08</w:t>
            </w:r>
          </w:p>
        </w:tc>
      </w:tr>
      <w:tr w:rsidR="00295BCD" w:rsidRPr="001927D6" w14:paraId="570D98BF" w14:textId="77777777" w:rsidTr="00295BCD">
        <w:trPr>
          <w:divId w:val="1316184749"/>
          <w:trHeight w:val="300"/>
        </w:trPr>
        <w:tc>
          <w:tcPr>
            <w:tcW w:w="4632" w:type="dxa"/>
            <w:vAlign w:val="bottom"/>
            <w:hideMark/>
          </w:tcPr>
          <w:p w14:paraId="3BCCF385" w14:textId="77777777" w:rsidR="00295BCD" w:rsidRPr="001927D6" w:rsidRDefault="00295BCD">
            <w:pPr>
              <w:spacing w:after="0" w:line="240" w:lineRule="auto"/>
              <w:textAlignment w:val="baseline"/>
              <w:rPr>
                <w:szCs w:val="24"/>
                <w:lang w:eastAsia="et-EE"/>
              </w:rPr>
            </w:pPr>
            <w:r w:rsidRPr="001927D6">
              <w:rPr>
                <w:szCs w:val="24"/>
                <w:lang w:eastAsia="et-EE"/>
              </w:rPr>
              <w:t>Ravitüsistused kirurgilise sekkumise korral, kht-ta </w:t>
            </w:r>
          </w:p>
        </w:tc>
        <w:tc>
          <w:tcPr>
            <w:tcW w:w="732" w:type="dxa"/>
            <w:vAlign w:val="center"/>
            <w:hideMark/>
          </w:tcPr>
          <w:p w14:paraId="40A6FDC6" w14:textId="77777777" w:rsidR="00295BCD" w:rsidRPr="001927D6" w:rsidRDefault="00295BCD">
            <w:pPr>
              <w:spacing w:after="0" w:line="240" w:lineRule="auto"/>
              <w:jc w:val="center"/>
              <w:textAlignment w:val="baseline"/>
              <w:rPr>
                <w:szCs w:val="24"/>
                <w:lang w:eastAsia="et-EE"/>
              </w:rPr>
            </w:pPr>
            <w:r w:rsidRPr="001927D6">
              <w:rPr>
                <w:szCs w:val="24"/>
                <w:lang w:eastAsia="et-EE"/>
              </w:rPr>
              <w:t>453A </w:t>
            </w:r>
          </w:p>
        </w:tc>
        <w:tc>
          <w:tcPr>
            <w:tcW w:w="1243" w:type="dxa"/>
            <w:vAlign w:val="center"/>
          </w:tcPr>
          <w:p w14:paraId="61626134" w14:textId="77777777" w:rsidR="00295BCD" w:rsidRPr="001927D6" w:rsidRDefault="00295BCD">
            <w:pPr>
              <w:spacing w:after="0" w:line="240" w:lineRule="auto"/>
              <w:jc w:val="center"/>
              <w:textAlignment w:val="baseline"/>
              <w:rPr>
                <w:szCs w:val="24"/>
                <w:lang w:eastAsia="et-EE"/>
              </w:rPr>
            </w:pPr>
            <w:r w:rsidRPr="001927D6">
              <w:rPr>
                <w:color w:val="000000"/>
                <w:szCs w:val="24"/>
              </w:rPr>
              <w:t>1 930,14</w:t>
            </w:r>
          </w:p>
        </w:tc>
        <w:tc>
          <w:tcPr>
            <w:tcW w:w="1211" w:type="dxa"/>
            <w:vAlign w:val="center"/>
          </w:tcPr>
          <w:p w14:paraId="163804A6" w14:textId="77777777" w:rsidR="00295BCD" w:rsidRPr="001927D6" w:rsidRDefault="00295BCD">
            <w:pPr>
              <w:spacing w:after="0" w:line="240" w:lineRule="auto"/>
              <w:jc w:val="center"/>
              <w:textAlignment w:val="baseline"/>
              <w:rPr>
                <w:szCs w:val="24"/>
                <w:lang w:eastAsia="et-EE"/>
              </w:rPr>
            </w:pPr>
            <w:r w:rsidRPr="001927D6">
              <w:rPr>
                <w:color w:val="000000"/>
                <w:szCs w:val="24"/>
              </w:rPr>
              <w:t>683,01</w:t>
            </w:r>
          </w:p>
        </w:tc>
        <w:tc>
          <w:tcPr>
            <w:tcW w:w="1238" w:type="dxa"/>
            <w:vAlign w:val="center"/>
          </w:tcPr>
          <w:p w14:paraId="7E171856" w14:textId="77777777" w:rsidR="00295BCD" w:rsidRPr="001927D6" w:rsidRDefault="00295BCD">
            <w:pPr>
              <w:spacing w:after="0" w:line="240" w:lineRule="auto"/>
              <w:jc w:val="center"/>
              <w:textAlignment w:val="baseline"/>
              <w:rPr>
                <w:szCs w:val="24"/>
                <w:lang w:eastAsia="et-EE"/>
              </w:rPr>
            </w:pPr>
            <w:r w:rsidRPr="001927D6">
              <w:rPr>
                <w:color w:val="000000"/>
                <w:szCs w:val="24"/>
              </w:rPr>
              <w:t>4 065,92</w:t>
            </w:r>
          </w:p>
        </w:tc>
      </w:tr>
      <w:tr w:rsidR="00295BCD" w:rsidRPr="001927D6" w14:paraId="3C6F7D9E" w14:textId="77777777" w:rsidTr="00295BCD">
        <w:trPr>
          <w:divId w:val="1316184749"/>
          <w:trHeight w:val="300"/>
        </w:trPr>
        <w:tc>
          <w:tcPr>
            <w:tcW w:w="4632" w:type="dxa"/>
            <w:vAlign w:val="bottom"/>
            <w:hideMark/>
          </w:tcPr>
          <w:p w14:paraId="3FA9BAD1" w14:textId="77777777" w:rsidR="00295BCD" w:rsidRPr="001927D6" w:rsidRDefault="00295BCD">
            <w:pPr>
              <w:spacing w:after="0" w:line="240" w:lineRule="auto"/>
              <w:textAlignment w:val="baseline"/>
              <w:rPr>
                <w:szCs w:val="24"/>
                <w:lang w:eastAsia="et-EE"/>
              </w:rPr>
            </w:pPr>
            <w:r w:rsidRPr="001927D6">
              <w:rPr>
                <w:szCs w:val="24"/>
                <w:lang w:eastAsia="et-EE"/>
              </w:rPr>
              <w:t>Ravitüsistused mittekirurgilise sekkumise korral, kht-ta </w:t>
            </w:r>
          </w:p>
        </w:tc>
        <w:tc>
          <w:tcPr>
            <w:tcW w:w="732" w:type="dxa"/>
            <w:vAlign w:val="center"/>
            <w:hideMark/>
          </w:tcPr>
          <w:p w14:paraId="6D70BF30" w14:textId="77777777" w:rsidR="00295BCD" w:rsidRPr="001927D6" w:rsidRDefault="00295BCD">
            <w:pPr>
              <w:spacing w:after="0" w:line="240" w:lineRule="auto"/>
              <w:jc w:val="center"/>
              <w:textAlignment w:val="baseline"/>
              <w:rPr>
                <w:szCs w:val="24"/>
                <w:lang w:eastAsia="et-EE"/>
              </w:rPr>
            </w:pPr>
            <w:r w:rsidRPr="001927D6">
              <w:rPr>
                <w:szCs w:val="24"/>
                <w:lang w:eastAsia="et-EE"/>
              </w:rPr>
              <w:t>453B </w:t>
            </w:r>
          </w:p>
        </w:tc>
        <w:tc>
          <w:tcPr>
            <w:tcW w:w="1243" w:type="dxa"/>
            <w:vAlign w:val="center"/>
          </w:tcPr>
          <w:p w14:paraId="1963776C" w14:textId="77777777" w:rsidR="00295BCD" w:rsidRPr="001927D6" w:rsidRDefault="00295BCD">
            <w:pPr>
              <w:spacing w:after="0" w:line="240" w:lineRule="auto"/>
              <w:jc w:val="center"/>
              <w:textAlignment w:val="baseline"/>
              <w:rPr>
                <w:szCs w:val="24"/>
                <w:lang w:eastAsia="et-EE"/>
              </w:rPr>
            </w:pPr>
            <w:r w:rsidRPr="001927D6">
              <w:rPr>
                <w:color w:val="000000"/>
                <w:szCs w:val="24"/>
              </w:rPr>
              <w:t>673,14</w:t>
            </w:r>
          </w:p>
        </w:tc>
        <w:tc>
          <w:tcPr>
            <w:tcW w:w="1211" w:type="dxa"/>
            <w:vAlign w:val="center"/>
          </w:tcPr>
          <w:p w14:paraId="17E91BC4" w14:textId="77777777" w:rsidR="00295BCD" w:rsidRPr="001927D6" w:rsidRDefault="00295BCD">
            <w:pPr>
              <w:spacing w:after="0" w:line="240" w:lineRule="auto"/>
              <w:jc w:val="center"/>
              <w:textAlignment w:val="baseline"/>
              <w:rPr>
                <w:szCs w:val="24"/>
                <w:lang w:eastAsia="et-EE"/>
              </w:rPr>
            </w:pPr>
            <w:r w:rsidRPr="001927D6">
              <w:rPr>
                <w:color w:val="000000"/>
                <w:szCs w:val="24"/>
              </w:rPr>
              <w:t>213,00</w:t>
            </w:r>
          </w:p>
        </w:tc>
        <w:tc>
          <w:tcPr>
            <w:tcW w:w="1238" w:type="dxa"/>
            <w:vAlign w:val="center"/>
          </w:tcPr>
          <w:p w14:paraId="64DAE426" w14:textId="77777777" w:rsidR="00295BCD" w:rsidRPr="001927D6" w:rsidRDefault="00295BCD">
            <w:pPr>
              <w:spacing w:after="0" w:line="240" w:lineRule="auto"/>
              <w:jc w:val="center"/>
              <w:textAlignment w:val="baseline"/>
              <w:rPr>
                <w:szCs w:val="24"/>
                <w:lang w:eastAsia="et-EE"/>
              </w:rPr>
            </w:pPr>
            <w:r w:rsidRPr="001927D6">
              <w:rPr>
                <w:color w:val="000000"/>
                <w:szCs w:val="24"/>
              </w:rPr>
              <w:t>1 920,36</w:t>
            </w:r>
          </w:p>
        </w:tc>
      </w:tr>
      <w:tr w:rsidR="00295BCD" w:rsidRPr="001927D6" w14:paraId="0D8EAD25" w14:textId="77777777" w:rsidTr="00295BCD">
        <w:trPr>
          <w:divId w:val="1316184749"/>
          <w:trHeight w:val="300"/>
        </w:trPr>
        <w:tc>
          <w:tcPr>
            <w:tcW w:w="4632" w:type="dxa"/>
            <w:vAlign w:val="bottom"/>
            <w:hideMark/>
          </w:tcPr>
          <w:p w14:paraId="1C32DAE3" w14:textId="77777777" w:rsidR="00295BCD" w:rsidRPr="001927D6" w:rsidRDefault="00295BCD">
            <w:pPr>
              <w:spacing w:after="0" w:line="240" w:lineRule="auto"/>
              <w:textAlignment w:val="baseline"/>
              <w:rPr>
                <w:szCs w:val="24"/>
                <w:lang w:eastAsia="et-EE"/>
              </w:rPr>
            </w:pPr>
            <w:r w:rsidRPr="001927D6">
              <w:rPr>
                <w:szCs w:val="24"/>
                <w:lang w:eastAsia="et-EE"/>
              </w:rPr>
              <w:t>Muud vigastused, mürgistused ja ravimite toksiline toime, kht-ga </w:t>
            </w:r>
          </w:p>
        </w:tc>
        <w:tc>
          <w:tcPr>
            <w:tcW w:w="732" w:type="dxa"/>
            <w:vAlign w:val="center"/>
            <w:hideMark/>
          </w:tcPr>
          <w:p w14:paraId="6603EAB0" w14:textId="77777777" w:rsidR="00295BCD" w:rsidRPr="001927D6" w:rsidRDefault="00295BCD">
            <w:pPr>
              <w:spacing w:after="0" w:line="240" w:lineRule="auto"/>
              <w:jc w:val="center"/>
              <w:textAlignment w:val="baseline"/>
              <w:rPr>
                <w:szCs w:val="24"/>
                <w:lang w:eastAsia="et-EE"/>
              </w:rPr>
            </w:pPr>
            <w:r w:rsidRPr="001927D6">
              <w:rPr>
                <w:szCs w:val="24"/>
                <w:lang w:eastAsia="et-EE"/>
              </w:rPr>
              <w:t>454 </w:t>
            </w:r>
          </w:p>
        </w:tc>
        <w:tc>
          <w:tcPr>
            <w:tcW w:w="1243" w:type="dxa"/>
            <w:vAlign w:val="center"/>
          </w:tcPr>
          <w:p w14:paraId="3F4F52EE" w14:textId="77777777" w:rsidR="00295BCD" w:rsidRPr="001927D6" w:rsidRDefault="00295BCD">
            <w:pPr>
              <w:spacing w:after="0" w:line="240" w:lineRule="auto"/>
              <w:jc w:val="center"/>
              <w:textAlignment w:val="baseline"/>
              <w:rPr>
                <w:szCs w:val="24"/>
                <w:lang w:eastAsia="et-EE"/>
              </w:rPr>
            </w:pPr>
            <w:r w:rsidRPr="001927D6">
              <w:rPr>
                <w:color w:val="000000"/>
                <w:szCs w:val="24"/>
              </w:rPr>
              <w:t>3 896,50</w:t>
            </w:r>
          </w:p>
        </w:tc>
        <w:tc>
          <w:tcPr>
            <w:tcW w:w="1211" w:type="dxa"/>
            <w:vAlign w:val="center"/>
          </w:tcPr>
          <w:p w14:paraId="612D4B00" w14:textId="77777777" w:rsidR="00295BCD" w:rsidRPr="001927D6" w:rsidRDefault="00295BCD">
            <w:pPr>
              <w:spacing w:after="0" w:line="240" w:lineRule="auto"/>
              <w:jc w:val="center"/>
              <w:textAlignment w:val="baseline"/>
              <w:rPr>
                <w:szCs w:val="24"/>
                <w:lang w:eastAsia="et-EE"/>
              </w:rPr>
            </w:pPr>
            <w:r w:rsidRPr="001927D6">
              <w:rPr>
                <w:color w:val="000000"/>
                <w:szCs w:val="24"/>
              </w:rPr>
              <w:t>310,79</w:t>
            </w:r>
          </w:p>
        </w:tc>
        <w:tc>
          <w:tcPr>
            <w:tcW w:w="1238" w:type="dxa"/>
            <w:vAlign w:val="center"/>
          </w:tcPr>
          <w:p w14:paraId="21A33756" w14:textId="77777777" w:rsidR="00295BCD" w:rsidRPr="001927D6" w:rsidRDefault="00295BCD">
            <w:pPr>
              <w:spacing w:after="0" w:line="240" w:lineRule="auto"/>
              <w:jc w:val="center"/>
              <w:textAlignment w:val="baseline"/>
              <w:rPr>
                <w:szCs w:val="24"/>
                <w:lang w:eastAsia="et-EE"/>
              </w:rPr>
            </w:pPr>
            <w:r w:rsidRPr="001927D6">
              <w:rPr>
                <w:color w:val="000000"/>
                <w:szCs w:val="24"/>
              </w:rPr>
              <w:t>13 161,97</w:t>
            </w:r>
          </w:p>
        </w:tc>
      </w:tr>
      <w:tr w:rsidR="00295BCD" w:rsidRPr="001927D6" w14:paraId="216A5B9E" w14:textId="77777777" w:rsidTr="00295BCD">
        <w:trPr>
          <w:divId w:val="1316184749"/>
          <w:trHeight w:val="300"/>
        </w:trPr>
        <w:tc>
          <w:tcPr>
            <w:tcW w:w="4632" w:type="dxa"/>
            <w:vAlign w:val="bottom"/>
            <w:hideMark/>
          </w:tcPr>
          <w:p w14:paraId="3595222F" w14:textId="77777777" w:rsidR="00295BCD" w:rsidRPr="001927D6" w:rsidRDefault="00295BCD">
            <w:pPr>
              <w:spacing w:after="0" w:line="240" w:lineRule="auto"/>
              <w:textAlignment w:val="baseline"/>
              <w:rPr>
                <w:szCs w:val="24"/>
                <w:lang w:eastAsia="et-EE"/>
              </w:rPr>
            </w:pPr>
            <w:r w:rsidRPr="001927D6">
              <w:rPr>
                <w:szCs w:val="24"/>
                <w:lang w:eastAsia="et-EE"/>
              </w:rPr>
              <w:t>Muud vigastused, mürgistused ja ravimite toksiline toime, kht-ta </w:t>
            </w:r>
          </w:p>
        </w:tc>
        <w:tc>
          <w:tcPr>
            <w:tcW w:w="732" w:type="dxa"/>
            <w:vAlign w:val="center"/>
            <w:hideMark/>
          </w:tcPr>
          <w:p w14:paraId="354D3254" w14:textId="77777777" w:rsidR="00295BCD" w:rsidRPr="001927D6" w:rsidRDefault="00295BCD">
            <w:pPr>
              <w:spacing w:after="0" w:line="240" w:lineRule="auto"/>
              <w:jc w:val="center"/>
              <w:textAlignment w:val="baseline"/>
              <w:rPr>
                <w:szCs w:val="24"/>
                <w:lang w:eastAsia="et-EE"/>
              </w:rPr>
            </w:pPr>
            <w:r w:rsidRPr="001927D6">
              <w:rPr>
                <w:szCs w:val="24"/>
                <w:lang w:eastAsia="et-EE"/>
              </w:rPr>
              <w:t>455 </w:t>
            </w:r>
          </w:p>
        </w:tc>
        <w:tc>
          <w:tcPr>
            <w:tcW w:w="1243" w:type="dxa"/>
            <w:vAlign w:val="center"/>
          </w:tcPr>
          <w:p w14:paraId="6D907E67" w14:textId="77777777" w:rsidR="00295BCD" w:rsidRPr="001927D6" w:rsidRDefault="00295BCD">
            <w:pPr>
              <w:spacing w:after="0" w:line="240" w:lineRule="auto"/>
              <w:jc w:val="center"/>
              <w:textAlignment w:val="baseline"/>
              <w:rPr>
                <w:szCs w:val="24"/>
                <w:lang w:eastAsia="et-EE"/>
              </w:rPr>
            </w:pPr>
            <w:r w:rsidRPr="001927D6">
              <w:rPr>
                <w:color w:val="000000"/>
                <w:szCs w:val="24"/>
              </w:rPr>
              <w:t>620,84</w:t>
            </w:r>
          </w:p>
        </w:tc>
        <w:tc>
          <w:tcPr>
            <w:tcW w:w="1211" w:type="dxa"/>
            <w:vAlign w:val="center"/>
          </w:tcPr>
          <w:p w14:paraId="5B4E36F8" w14:textId="77777777" w:rsidR="00295BCD" w:rsidRPr="001927D6" w:rsidRDefault="00295BCD">
            <w:pPr>
              <w:spacing w:after="0" w:line="240" w:lineRule="auto"/>
              <w:jc w:val="center"/>
              <w:textAlignment w:val="baseline"/>
              <w:rPr>
                <w:szCs w:val="24"/>
                <w:lang w:eastAsia="et-EE"/>
              </w:rPr>
            </w:pPr>
            <w:r w:rsidRPr="001927D6">
              <w:rPr>
                <w:color w:val="000000"/>
                <w:szCs w:val="24"/>
              </w:rPr>
              <w:t>246,34</w:t>
            </w:r>
          </w:p>
        </w:tc>
        <w:tc>
          <w:tcPr>
            <w:tcW w:w="1238" w:type="dxa"/>
            <w:vAlign w:val="center"/>
          </w:tcPr>
          <w:p w14:paraId="629FA42E" w14:textId="77777777" w:rsidR="00295BCD" w:rsidRPr="001927D6" w:rsidRDefault="00295BCD">
            <w:pPr>
              <w:spacing w:after="0" w:line="240" w:lineRule="auto"/>
              <w:jc w:val="center"/>
              <w:textAlignment w:val="baseline"/>
              <w:rPr>
                <w:szCs w:val="24"/>
                <w:lang w:eastAsia="et-EE"/>
              </w:rPr>
            </w:pPr>
            <w:r w:rsidRPr="001927D6">
              <w:rPr>
                <w:color w:val="000000"/>
                <w:szCs w:val="24"/>
              </w:rPr>
              <w:t>1 996,97</w:t>
            </w:r>
          </w:p>
        </w:tc>
      </w:tr>
      <w:tr w:rsidR="00295BCD" w:rsidRPr="001927D6" w14:paraId="3E577AB4" w14:textId="77777777" w:rsidTr="00295BCD">
        <w:trPr>
          <w:divId w:val="1316184749"/>
          <w:trHeight w:val="300"/>
        </w:trPr>
        <w:tc>
          <w:tcPr>
            <w:tcW w:w="4632" w:type="dxa"/>
            <w:vAlign w:val="bottom"/>
            <w:hideMark/>
          </w:tcPr>
          <w:p w14:paraId="08498D40" w14:textId="77777777" w:rsidR="00295BCD" w:rsidRPr="001927D6" w:rsidRDefault="00295BCD">
            <w:pPr>
              <w:spacing w:after="0" w:line="240" w:lineRule="auto"/>
              <w:textAlignment w:val="baseline"/>
              <w:rPr>
                <w:szCs w:val="24"/>
                <w:lang w:eastAsia="et-EE"/>
              </w:rPr>
            </w:pPr>
            <w:r w:rsidRPr="001927D6">
              <w:rPr>
                <w:szCs w:val="24"/>
                <w:lang w:eastAsia="et-EE"/>
              </w:rPr>
              <w:t>Põletushaiged, kes on üle viidud teise aktiivravi haiglasse, ravi kestus alla 6 päeva </w:t>
            </w:r>
          </w:p>
        </w:tc>
        <w:tc>
          <w:tcPr>
            <w:tcW w:w="732" w:type="dxa"/>
            <w:vAlign w:val="center"/>
            <w:hideMark/>
          </w:tcPr>
          <w:p w14:paraId="08BC835B" w14:textId="77777777" w:rsidR="00295BCD" w:rsidRPr="001927D6" w:rsidRDefault="00295BCD">
            <w:pPr>
              <w:spacing w:after="0" w:line="240" w:lineRule="auto"/>
              <w:jc w:val="center"/>
              <w:textAlignment w:val="baseline"/>
              <w:rPr>
                <w:szCs w:val="24"/>
                <w:lang w:eastAsia="et-EE"/>
              </w:rPr>
            </w:pPr>
            <w:r w:rsidRPr="001927D6">
              <w:rPr>
                <w:szCs w:val="24"/>
                <w:lang w:eastAsia="et-EE"/>
              </w:rPr>
              <w:t>456 </w:t>
            </w:r>
          </w:p>
        </w:tc>
        <w:tc>
          <w:tcPr>
            <w:tcW w:w="1243" w:type="dxa"/>
            <w:vAlign w:val="center"/>
          </w:tcPr>
          <w:p w14:paraId="4307E8E4" w14:textId="77777777" w:rsidR="00295BCD" w:rsidRPr="001927D6" w:rsidRDefault="00295BCD">
            <w:pPr>
              <w:spacing w:after="0" w:line="240" w:lineRule="auto"/>
              <w:jc w:val="center"/>
              <w:textAlignment w:val="baseline"/>
              <w:rPr>
                <w:szCs w:val="24"/>
                <w:lang w:eastAsia="et-EE"/>
              </w:rPr>
            </w:pPr>
            <w:r w:rsidRPr="001927D6">
              <w:rPr>
                <w:color w:val="000000"/>
                <w:szCs w:val="24"/>
              </w:rPr>
              <w:t>2 016,30</w:t>
            </w:r>
          </w:p>
        </w:tc>
        <w:tc>
          <w:tcPr>
            <w:tcW w:w="1211" w:type="dxa"/>
            <w:vAlign w:val="center"/>
          </w:tcPr>
          <w:p w14:paraId="217E3A76" w14:textId="77777777" w:rsidR="00295BCD" w:rsidRPr="001927D6" w:rsidRDefault="00295BCD">
            <w:pPr>
              <w:spacing w:after="0" w:line="240" w:lineRule="auto"/>
              <w:jc w:val="center"/>
              <w:textAlignment w:val="baseline"/>
              <w:rPr>
                <w:szCs w:val="24"/>
                <w:lang w:eastAsia="et-EE"/>
              </w:rPr>
            </w:pPr>
            <w:r w:rsidRPr="001927D6">
              <w:rPr>
                <w:color w:val="000000"/>
                <w:szCs w:val="24"/>
              </w:rPr>
              <w:t>956,87</w:t>
            </w:r>
          </w:p>
        </w:tc>
        <w:tc>
          <w:tcPr>
            <w:tcW w:w="1238" w:type="dxa"/>
            <w:vAlign w:val="center"/>
          </w:tcPr>
          <w:p w14:paraId="02958D39" w14:textId="77777777" w:rsidR="00295BCD" w:rsidRPr="001927D6" w:rsidRDefault="00295BCD">
            <w:pPr>
              <w:spacing w:after="0" w:line="240" w:lineRule="auto"/>
              <w:jc w:val="center"/>
              <w:textAlignment w:val="baseline"/>
              <w:rPr>
                <w:szCs w:val="24"/>
                <w:lang w:eastAsia="et-EE"/>
              </w:rPr>
            </w:pPr>
            <w:r w:rsidRPr="001927D6">
              <w:rPr>
                <w:color w:val="000000"/>
                <w:szCs w:val="24"/>
              </w:rPr>
              <w:t>4 087,28</w:t>
            </w:r>
          </w:p>
        </w:tc>
      </w:tr>
      <w:tr w:rsidR="00295BCD" w:rsidRPr="001927D6" w14:paraId="1AE01D08" w14:textId="77777777" w:rsidTr="00295BCD">
        <w:trPr>
          <w:divId w:val="1316184749"/>
          <w:trHeight w:val="300"/>
        </w:trPr>
        <w:tc>
          <w:tcPr>
            <w:tcW w:w="4632" w:type="dxa"/>
            <w:vAlign w:val="bottom"/>
            <w:hideMark/>
          </w:tcPr>
          <w:p w14:paraId="3D0B31AC" w14:textId="77777777" w:rsidR="00295BCD" w:rsidRPr="001927D6" w:rsidRDefault="00295BCD">
            <w:pPr>
              <w:spacing w:after="0" w:line="240" w:lineRule="auto"/>
              <w:textAlignment w:val="baseline"/>
              <w:rPr>
                <w:szCs w:val="24"/>
                <w:lang w:eastAsia="et-EE"/>
              </w:rPr>
            </w:pPr>
            <w:r w:rsidRPr="001927D6">
              <w:rPr>
                <w:szCs w:val="24"/>
                <w:lang w:eastAsia="et-EE"/>
              </w:rPr>
              <w:t>Ulatuslikud põletused, mis ei vaja operatsioone </w:t>
            </w:r>
          </w:p>
        </w:tc>
        <w:tc>
          <w:tcPr>
            <w:tcW w:w="732" w:type="dxa"/>
            <w:vAlign w:val="center"/>
            <w:hideMark/>
          </w:tcPr>
          <w:p w14:paraId="717D5BA3" w14:textId="77777777" w:rsidR="00295BCD" w:rsidRPr="001927D6" w:rsidRDefault="00295BCD">
            <w:pPr>
              <w:spacing w:after="0" w:line="240" w:lineRule="auto"/>
              <w:jc w:val="center"/>
              <w:textAlignment w:val="baseline"/>
              <w:rPr>
                <w:szCs w:val="24"/>
                <w:lang w:eastAsia="et-EE"/>
              </w:rPr>
            </w:pPr>
            <w:r w:rsidRPr="001927D6">
              <w:rPr>
                <w:szCs w:val="24"/>
                <w:lang w:eastAsia="et-EE"/>
              </w:rPr>
              <w:t>457 </w:t>
            </w:r>
          </w:p>
        </w:tc>
        <w:tc>
          <w:tcPr>
            <w:tcW w:w="1243" w:type="dxa"/>
            <w:vAlign w:val="center"/>
          </w:tcPr>
          <w:p w14:paraId="71317958" w14:textId="77777777" w:rsidR="00295BCD" w:rsidRPr="001927D6" w:rsidRDefault="00295BCD">
            <w:pPr>
              <w:spacing w:after="0" w:line="240" w:lineRule="auto"/>
              <w:jc w:val="center"/>
              <w:textAlignment w:val="baseline"/>
              <w:rPr>
                <w:szCs w:val="24"/>
                <w:lang w:eastAsia="et-EE"/>
              </w:rPr>
            </w:pPr>
            <w:r w:rsidRPr="001927D6">
              <w:rPr>
                <w:color w:val="000000"/>
                <w:szCs w:val="24"/>
              </w:rPr>
              <w:t>3 946,18</w:t>
            </w:r>
          </w:p>
        </w:tc>
        <w:tc>
          <w:tcPr>
            <w:tcW w:w="1211" w:type="dxa"/>
            <w:vAlign w:val="center"/>
          </w:tcPr>
          <w:p w14:paraId="12090C00" w14:textId="77777777" w:rsidR="00295BCD" w:rsidRPr="001927D6" w:rsidRDefault="00295BCD">
            <w:pPr>
              <w:spacing w:after="0" w:line="240" w:lineRule="auto"/>
              <w:jc w:val="center"/>
              <w:textAlignment w:val="baseline"/>
              <w:rPr>
                <w:szCs w:val="24"/>
                <w:lang w:eastAsia="et-EE"/>
              </w:rPr>
            </w:pPr>
            <w:r w:rsidRPr="001927D6">
              <w:rPr>
                <w:color w:val="000000"/>
                <w:szCs w:val="24"/>
              </w:rPr>
              <w:t>425,59</w:t>
            </w:r>
          </w:p>
        </w:tc>
        <w:tc>
          <w:tcPr>
            <w:tcW w:w="1238" w:type="dxa"/>
            <w:vAlign w:val="center"/>
          </w:tcPr>
          <w:p w14:paraId="001E0630" w14:textId="77777777" w:rsidR="00295BCD" w:rsidRPr="001927D6" w:rsidRDefault="00295BCD">
            <w:pPr>
              <w:spacing w:after="0" w:line="240" w:lineRule="auto"/>
              <w:jc w:val="center"/>
              <w:textAlignment w:val="baseline"/>
              <w:rPr>
                <w:szCs w:val="24"/>
                <w:lang w:eastAsia="et-EE"/>
              </w:rPr>
            </w:pPr>
            <w:r w:rsidRPr="001927D6">
              <w:rPr>
                <w:color w:val="000000"/>
                <w:szCs w:val="24"/>
              </w:rPr>
              <w:t>12 527,27</w:t>
            </w:r>
          </w:p>
        </w:tc>
      </w:tr>
      <w:tr w:rsidR="00295BCD" w:rsidRPr="001927D6" w14:paraId="0737DCCD" w14:textId="77777777" w:rsidTr="00295BCD">
        <w:trPr>
          <w:divId w:val="1316184749"/>
          <w:trHeight w:val="300"/>
        </w:trPr>
        <w:tc>
          <w:tcPr>
            <w:tcW w:w="4632" w:type="dxa"/>
            <w:vAlign w:val="bottom"/>
            <w:hideMark/>
          </w:tcPr>
          <w:p w14:paraId="22C67B39" w14:textId="77777777" w:rsidR="00295BCD" w:rsidRPr="001927D6" w:rsidRDefault="00295BCD">
            <w:pPr>
              <w:spacing w:after="0" w:line="240" w:lineRule="auto"/>
              <w:textAlignment w:val="baseline"/>
              <w:rPr>
                <w:szCs w:val="24"/>
                <w:lang w:eastAsia="et-EE"/>
              </w:rPr>
            </w:pPr>
            <w:r w:rsidRPr="001927D6">
              <w:rPr>
                <w:szCs w:val="24"/>
                <w:lang w:eastAsia="et-EE"/>
              </w:rPr>
              <w:t>Vähemulatuslikud põletused koos naha siirdamisega </w:t>
            </w:r>
          </w:p>
        </w:tc>
        <w:tc>
          <w:tcPr>
            <w:tcW w:w="732" w:type="dxa"/>
            <w:vAlign w:val="center"/>
            <w:hideMark/>
          </w:tcPr>
          <w:p w14:paraId="33720E3A" w14:textId="77777777" w:rsidR="00295BCD" w:rsidRPr="001927D6" w:rsidRDefault="00295BCD">
            <w:pPr>
              <w:spacing w:after="0" w:line="240" w:lineRule="auto"/>
              <w:jc w:val="center"/>
              <w:textAlignment w:val="baseline"/>
              <w:rPr>
                <w:szCs w:val="24"/>
                <w:lang w:eastAsia="et-EE"/>
              </w:rPr>
            </w:pPr>
            <w:r w:rsidRPr="001927D6">
              <w:rPr>
                <w:szCs w:val="24"/>
                <w:lang w:eastAsia="et-EE"/>
              </w:rPr>
              <w:t>458 </w:t>
            </w:r>
          </w:p>
        </w:tc>
        <w:tc>
          <w:tcPr>
            <w:tcW w:w="1243" w:type="dxa"/>
            <w:vAlign w:val="center"/>
          </w:tcPr>
          <w:p w14:paraId="39989CB7" w14:textId="77777777" w:rsidR="00295BCD" w:rsidRPr="001927D6" w:rsidRDefault="00295BCD">
            <w:pPr>
              <w:spacing w:after="0" w:line="240" w:lineRule="auto"/>
              <w:jc w:val="center"/>
              <w:textAlignment w:val="baseline"/>
              <w:rPr>
                <w:szCs w:val="24"/>
                <w:lang w:eastAsia="et-EE"/>
              </w:rPr>
            </w:pPr>
            <w:r w:rsidRPr="001927D6">
              <w:rPr>
                <w:color w:val="000000"/>
                <w:szCs w:val="24"/>
              </w:rPr>
              <w:t>3 295,28</w:t>
            </w:r>
          </w:p>
        </w:tc>
        <w:tc>
          <w:tcPr>
            <w:tcW w:w="1211" w:type="dxa"/>
            <w:vAlign w:val="center"/>
          </w:tcPr>
          <w:p w14:paraId="2EC0E38F" w14:textId="77777777" w:rsidR="00295BCD" w:rsidRPr="001927D6" w:rsidRDefault="00295BCD">
            <w:pPr>
              <w:spacing w:after="0" w:line="240" w:lineRule="auto"/>
              <w:jc w:val="center"/>
              <w:textAlignment w:val="baseline"/>
              <w:rPr>
                <w:szCs w:val="24"/>
                <w:lang w:eastAsia="et-EE"/>
              </w:rPr>
            </w:pPr>
            <w:r w:rsidRPr="001927D6">
              <w:rPr>
                <w:color w:val="000000"/>
                <w:szCs w:val="24"/>
              </w:rPr>
              <w:t>1 297,05</w:t>
            </w:r>
          </w:p>
        </w:tc>
        <w:tc>
          <w:tcPr>
            <w:tcW w:w="1238" w:type="dxa"/>
            <w:vAlign w:val="center"/>
          </w:tcPr>
          <w:p w14:paraId="38E6BEF0" w14:textId="77777777" w:rsidR="00295BCD" w:rsidRPr="001927D6" w:rsidRDefault="00295BCD">
            <w:pPr>
              <w:spacing w:after="0" w:line="240" w:lineRule="auto"/>
              <w:jc w:val="center"/>
              <w:textAlignment w:val="baseline"/>
              <w:rPr>
                <w:szCs w:val="24"/>
                <w:lang w:eastAsia="et-EE"/>
              </w:rPr>
            </w:pPr>
            <w:r w:rsidRPr="001927D6">
              <w:rPr>
                <w:color w:val="000000"/>
                <w:szCs w:val="24"/>
              </w:rPr>
              <w:t>7 605,83</w:t>
            </w:r>
          </w:p>
        </w:tc>
      </w:tr>
      <w:tr w:rsidR="00295BCD" w:rsidRPr="001927D6" w14:paraId="7D23EDB6" w14:textId="77777777" w:rsidTr="00295BCD">
        <w:trPr>
          <w:divId w:val="1316184749"/>
          <w:trHeight w:val="300"/>
        </w:trPr>
        <w:tc>
          <w:tcPr>
            <w:tcW w:w="4632" w:type="dxa"/>
            <w:vAlign w:val="bottom"/>
            <w:hideMark/>
          </w:tcPr>
          <w:p w14:paraId="051E4F43" w14:textId="77777777" w:rsidR="00295BCD" w:rsidRPr="001927D6" w:rsidRDefault="00295BCD">
            <w:pPr>
              <w:spacing w:after="0" w:line="240" w:lineRule="auto"/>
              <w:textAlignment w:val="baseline"/>
              <w:rPr>
                <w:szCs w:val="24"/>
                <w:lang w:eastAsia="et-EE"/>
              </w:rPr>
            </w:pPr>
            <w:r w:rsidRPr="001927D6">
              <w:rPr>
                <w:szCs w:val="24"/>
                <w:lang w:eastAsia="et-EE"/>
              </w:rPr>
              <w:t>Vähemulatuslikud põletused koos naha siirdamisega, lühike ravi </w:t>
            </w:r>
          </w:p>
        </w:tc>
        <w:tc>
          <w:tcPr>
            <w:tcW w:w="732" w:type="dxa"/>
            <w:vAlign w:val="center"/>
            <w:hideMark/>
          </w:tcPr>
          <w:p w14:paraId="76D365F3" w14:textId="77777777" w:rsidR="00295BCD" w:rsidRPr="001927D6" w:rsidRDefault="00295BCD">
            <w:pPr>
              <w:spacing w:after="0" w:line="240" w:lineRule="auto"/>
              <w:jc w:val="center"/>
              <w:textAlignment w:val="baseline"/>
              <w:rPr>
                <w:szCs w:val="24"/>
                <w:lang w:eastAsia="et-EE"/>
              </w:rPr>
            </w:pPr>
            <w:r w:rsidRPr="001927D6">
              <w:rPr>
                <w:szCs w:val="24"/>
                <w:lang w:eastAsia="et-EE"/>
              </w:rPr>
              <w:t>458O </w:t>
            </w:r>
          </w:p>
        </w:tc>
        <w:tc>
          <w:tcPr>
            <w:tcW w:w="1243" w:type="dxa"/>
            <w:vAlign w:val="center"/>
          </w:tcPr>
          <w:p w14:paraId="26FB065A" w14:textId="77777777" w:rsidR="00295BCD" w:rsidRPr="001927D6" w:rsidRDefault="00295BCD">
            <w:pPr>
              <w:spacing w:after="0" w:line="240" w:lineRule="auto"/>
              <w:jc w:val="center"/>
              <w:textAlignment w:val="baseline"/>
              <w:rPr>
                <w:szCs w:val="24"/>
                <w:lang w:eastAsia="et-EE"/>
              </w:rPr>
            </w:pPr>
            <w:r w:rsidRPr="001927D6">
              <w:rPr>
                <w:color w:val="000000"/>
                <w:szCs w:val="24"/>
              </w:rPr>
              <w:t>963,26</w:t>
            </w:r>
          </w:p>
        </w:tc>
        <w:tc>
          <w:tcPr>
            <w:tcW w:w="1211" w:type="dxa"/>
            <w:vAlign w:val="center"/>
          </w:tcPr>
          <w:p w14:paraId="072F73E7" w14:textId="77777777" w:rsidR="00295BCD" w:rsidRPr="001927D6" w:rsidRDefault="00295BCD">
            <w:pPr>
              <w:spacing w:after="0" w:line="240" w:lineRule="auto"/>
              <w:jc w:val="center"/>
              <w:textAlignment w:val="baseline"/>
              <w:rPr>
                <w:szCs w:val="24"/>
                <w:lang w:eastAsia="et-EE"/>
              </w:rPr>
            </w:pPr>
            <w:r w:rsidRPr="001927D6">
              <w:rPr>
                <w:color w:val="000000"/>
                <w:szCs w:val="24"/>
              </w:rPr>
              <w:t>457,13</w:t>
            </w:r>
          </w:p>
        </w:tc>
        <w:tc>
          <w:tcPr>
            <w:tcW w:w="1238" w:type="dxa"/>
            <w:vAlign w:val="center"/>
          </w:tcPr>
          <w:p w14:paraId="427E2A27" w14:textId="77777777" w:rsidR="00295BCD" w:rsidRPr="001927D6" w:rsidRDefault="00295BCD">
            <w:pPr>
              <w:spacing w:after="0" w:line="240" w:lineRule="auto"/>
              <w:jc w:val="center"/>
              <w:textAlignment w:val="baseline"/>
              <w:rPr>
                <w:szCs w:val="24"/>
                <w:lang w:eastAsia="et-EE"/>
              </w:rPr>
            </w:pPr>
            <w:r w:rsidRPr="001927D6">
              <w:rPr>
                <w:color w:val="000000"/>
                <w:szCs w:val="24"/>
              </w:rPr>
              <w:t>1 952,65</w:t>
            </w:r>
          </w:p>
        </w:tc>
      </w:tr>
      <w:tr w:rsidR="00295BCD" w:rsidRPr="001927D6" w14:paraId="2216FE14" w14:textId="77777777" w:rsidTr="00295BCD">
        <w:trPr>
          <w:divId w:val="1316184749"/>
          <w:trHeight w:val="300"/>
        </w:trPr>
        <w:tc>
          <w:tcPr>
            <w:tcW w:w="4632" w:type="dxa"/>
            <w:vAlign w:val="bottom"/>
            <w:hideMark/>
          </w:tcPr>
          <w:p w14:paraId="66634D43" w14:textId="77777777" w:rsidR="00295BCD" w:rsidRPr="001927D6" w:rsidRDefault="00295BCD">
            <w:pPr>
              <w:spacing w:after="0" w:line="240" w:lineRule="auto"/>
              <w:textAlignment w:val="baseline"/>
              <w:rPr>
                <w:szCs w:val="24"/>
                <w:lang w:eastAsia="et-EE"/>
              </w:rPr>
            </w:pPr>
            <w:r w:rsidRPr="001927D6">
              <w:rPr>
                <w:szCs w:val="24"/>
                <w:lang w:eastAsia="et-EE"/>
              </w:rPr>
              <w:t>Vähemulatuslikud põletused koos haavakorrastuse või muude operatsioonidega </w:t>
            </w:r>
          </w:p>
        </w:tc>
        <w:tc>
          <w:tcPr>
            <w:tcW w:w="732" w:type="dxa"/>
            <w:vAlign w:val="center"/>
            <w:hideMark/>
          </w:tcPr>
          <w:p w14:paraId="0A97DDC8" w14:textId="77777777" w:rsidR="00295BCD" w:rsidRPr="001927D6" w:rsidRDefault="00295BCD">
            <w:pPr>
              <w:spacing w:after="0" w:line="240" w:lineRule="auto"/>
              <w:jc w:val="center"/>
              <w:textAlignment w:val="baseline"/>
              <w:rPr>
                <w:szCs w:val="24"/>
                <w:lang w:eastAsia="et-EE"/>
              </w:rPr>
            </w:pPr>
            <w:r w:rsidRPr="001927D6">
              <w:rPr>
                <w:szCs w:val="24"/>
                <w:lang w:eastAsia="et-EE"/>
              </w:rPr>
              <w:t>459 </w:t>
            </w:r>
          </w:p>
        </w:tc>
        <w:tc>
          <w:tcPr>
            <w:tcW w:w="1243" w:type="dxa"/>
            <w:vAlign w:val="center"/>
          </w:tcPr>
          <w:p w14:paraId="7F23FE58" w14:textId="77777777" w:rsidR="00295BCD" w:rsidRPr="001927D6" w:rsidRDefault="00295BCD">
            <w:pPr>
              <w:spacing w:after="0" w:line="240" w:lineRule="auto"/>
              <w:jc w:val="center"/>
              <w:textAlignment w:val="baseline"/>
              <w:rPr>
                <w:szCs w:val="24"/>
                <w:lang w:eastAsia="et-EE"/>
              </w:rPr>
            </w:pPr>
            <w:r w:rsidRPr="001927D6">
              <w:rPr>
                <w:color w:val="000000"/>
                <w:szCs w:val="24"/>
              </w:rPr>
              <w:t>2 910,61</w:t>
            </w:r>
          </w:p>
        </w:tc>
        <w:tc>
          <w:tcPr>
            <w:tcW w:w="1211" w:type="dxa"/>
            <w:vAlign w:val="center"/>
          </w:tcPr>
          <w:p w14:paraId="22E17B1E" w14:textId="77777777" w:rsidR="00295BCD" w:rsidRPr="001927D6" w:rsidRDefault="00295BCD">
            <w:pPr>
              <w:spacing w:after="0" w:line="240" w:lineRule="auto"/>
              <w:jc w:val="center"/>
              <w:textAlignment w:val="baseline"/>
              <w:rPr>
                <w:szCs w:val="24"/>
                <w:lang w:eastAsia="et-EE"/>
              </w:rPr>
            </w:pPr>
            <w:r w:rsidRPr="001927D6">
              <w:rPr>
                <w:color w:val="000000"/>
                <w:szCs w:val="24"/>
              </w:rPr>
              <w:t>452,96</w:t>
            </w:r>
          </w:p>
        </w:tc>
        <w:tc>
          <w:tcPr>
            <w:tcW w:w="1238" w:type="dxa"/>
            <w:vAlign w:val="center"/>
          </w:tcPr>
          <w:p w14:paraId="3F3CFF32" w14:textId="77777777" w:rsidR="00295BCD" w:rsidRPr="001927D6" w:rsidRDefault="00295BCD">
            <w:pPr>
              <w:spacing w:after="0" w:line="240" w:lineRule="auto"/>
              <w:jc w:val="center"/>
              <w:textAlignment w:val="baseline"/>
              <w:rPr>
                <w:szCs w:val="24"/>
                <w:lang w:eastAsia="et-EE"/>
              </w:rPr>
            </w:pPr>
            <w:r w:rsidRPr="001927D6">
              <w:rPr>
                <w:color w:val="000000"/>
                <w:szCs w:val="24"/>
              </w:rPr>
              <w:t>5 955,91</w:t>
            </w:r>
          </w:p>
        </w:tc>
      </w:tr>
      <w:tr w:rsidR="00295BCD" w:rsidRPr="001927D6" w14:paraId="15DA21AE" w14:textId="77777777" w:rsidTr="00295BCD">
        <w:trPr>
          <w:divId w:val="1316184749"/>
          <w:trHeight w:val="300"/>
        </w:trPr>
        <w:tc>
          <w:tcPr>
            <w:tcW w:w="4632" w:type="dxa"/>
            <w:vAlign w:val="bottom"/>
            <w:hideMark/>
          </w:tcPr>
          <w:p w14:paraId="671E01BB" w14:textId="77777777" w:rsidR="00295BCD" w:rsidRPr="001927D6" w:rsidRDefault="00295BCD">
            <w:pPr>
              <w:spacing w:after="0" w:line="240" w:lineRule="auto"/>
              <w:textAlignment w:val="baseline"/>
              <w:rPr>
                <w:szCs w:val="24"/>
                <w:lang w:eastAsia="et-EE"/>
              </w:rPr>
            </w:pPr>
            <w:r w:rsidRPr="001927D6">
              <w:rPr>
                <w:szCs w:val="24"/>
                <w:lang w:eastAsia="et-EE"/>
              </w:rPr>
              <w:t>Vähemulatuslikud põletused koos haavakorrastuse või muude operatsioonidega, lühike ravi </w:t>
            </w:r>
          </w:p>
        </w:tc>
        <w:tc>
          <w:tcPr>
            <w:tcW w:w="732" w:type="dxa"/>
            <w:vAlign w:val="center"/>
            <w:hideMark/>
          </w:tcPr>
          <w:p w14:paraId="0535532E" w14:textId="77777777" w:rsidR="00295BCD" w:rsidRPr="001927D6" w:rsidRDefault="00295BCD">
            <w:pPr>
              <w:spacing w:after="0" w:line="240" w:lineRule="auto"/>
              <w:jc w:val="center"/>
              <w:textAlignment w:val="baseline"/>
              <w:rPr>
                <w:szCs w:val="24"/>
                <w:lang w:eastAsia="et-EE"/>
              </w:rPr>
            </w:pPr>
            <w:r w:rsidRPr="001927D6">
              <w:rPr>
                <w:szCs w:val="24"/>
                <w:lang w:eastAsia="et-EE"/>
              </w:rPr>
              <w:t>459O </w:t>
            </w:r>
          </w:p>
        </w:tc>
        <w:tc>
          <w:tcPr>
            <w:tcW w:w="1243" w:type="dxa"/>
            <w:vAlign w:val="center"/>
          </w:tcPr>
          <w:p w14:paraId="69C4C2EE" w14:textId="77777777" w:rsidR="00295BCD" w:rsidRPr="001927D6" w:rsidRDefault="00295BCD">
            <w:pPr>
              <w:spacing w:after="0" w:line="240" w:lineRule="auto"/>
              <w:jc w:val="center"/>
              <w:textAlignment w:val="baseline"/>
              <w:rPr>
                <w:szCs w:val="24"/>
                <w:lang w:eastAsia="et-EE"/>
              </w:rPr>
            </w:pPr>
            <w:r w:rsidRPr="001927D6">
              <w:rPr>
                <w:color w:val="000000"/>
                <w:szCs w:val="24"/>
              </w:rPr>
              <w:t>926,12</w:t>
            </w:r>
          </w:p>
        </w:tc>
        <w:tc>
          <w:tcPr>
            <w:tcW w:w="1211" w:type="dxa"/>
            <w:vAlign w:val="center"/>
          </w:tcPr>
          <w:p w14:paraId="3C771FA5" w14:textId="77777777" w:rsidR="00295BCD" w:rsidRPr="001927D6" w:rsidRDefault="00295BCD">
            <w:pPr>
              <w:spacing w:after="0" w:line="240" w:lineRule="auto"/>
              <w:jc w:val="center"/>
              <w:textAlignment w:val="baseline"/>
              <w:rPr>
                <w:szCs w:val="24"/>
                <w:lang w:eastAsia="et-EE"/>
              </w:rPr>
            </w:pPr>
            <w:r w:rsidRPr="001927D6">
              <w:rPr>
                <w:color w:val="000000"/>
                <w:szCs w:val="24"/>
              </w:rPr>
              <w:t>803,82</w:t>
            </w:r>
          </w:p>
        </w:tc>
        <w:tc>
          <w:tcPr>
            <w:tcW w:w="1238" w:type="dxa"/>
            <w:vAlign w:val="center"/>
          </w:tcPr>
          <w:p w14:paraId="4105C818" w14:textId="77777777" w:rsidR="00295BCD" w:rsidRPr="001927D6" w:rsidRDefault="00295BCD">
            <w:pPr>
              <w:spacing w:after="0" w:line="240" w:lineRule="auto"/>
              <w:jc w:val="center"/>
              <w:textAlignment w:val="baseline"/>
              <w:rPr>
                <w:szCs w:val="24"/>
                <w:lang w:eastAsia="et-EE"/>
              </w:rPr>
            </w:pPr>
            <w:r w:rsidRPr="001927D6">
              <w:rPr>
                <w:color w:val="000000"/>
                <w:szCs w:val="24"/>
              </w:rPr>
              <w:t>1 052,16</w:t>
            </w:r>
          </w:p>
        </w:tc>
      </w:tr>
      <w:tr w:rsidR="00295BCD" w:rsidRPr="001927D6" w14:paraId="70B7DE9F" w14:textId="77777777" w:rsidTr="00295BCD">
        <w:trPr>
          <w:divId w:val="1316184749"/>
          <w:trHeight w:val="300"/>
        </w:trPr>
        <w:tc>
          <w:tcPr>
            <w:tcW w:w="4632" w:type="dxa"/>
            <w:vAlign w:val="bottom"/>
            <w:hideMark/>
          </w:tcPr>
          <w:p w14:paraId="6C4AC555" w14:textId="77777777" w:rsidR="00295BCD" w:rsidRPr="001927D6" w:rsidRDefault="00295BCD">
            <w:pPr>
              <w:spacing w:after="0" w:line="240" w:lineRule="auto"/>
              <w:textAlignment w:val="baseline"/>
              <w:rPr>
                <w:szCs w:val="24"/>
                <w:lang w:eastAsia="et-EE"/>
              </w:rPr>
            </w:pPr>
            <w:r w:rsidRPr="001927D6">
              <w:rPr>
                <w:szCs w:val="24"/>
                <w:lang w:eastAsia="et-EE"/>
              </w:rPr>
              <w:t>Vähemulatuslikud põletused, mis ei vaja operatsioone </w:t>
            </w:r>
          </w:p>
        </w:tc>
        <w:tc>
          <w:tcPr>
            <w:tcW w:w="732" w:type="dxa"/>
            <w:vAlign w:val="center"/>
            <w:hideMark/>
          </w:tcPr>
          <w:p w14:paraId="0B8145C5" w14:textId="77777777" w:rsidR="00295BCD" w:rsidRPr="001927D6" w:rsidRDefault="00295BCD">
            <w:pPr>
              <w:spacing w:after="0" w:line="240" w:lineRule="auto"/>
              <w:jc w:val="center"/>
              <w:textAlignment w:val="baseline"/>
              <w:rPr>
                <w:szCs w:val="24"/>
                <w:lang w:eastAsia="et-EE"/>
              </w:rPr>
            </w:pPr>
            <w:r w:rsidRPr="001927D6">
              <w:rPr>
                <w:szCs w:val="24"/>
                <w:lang w:eastAsia="et-EE"/>
              </w:rPr>
              <w:t>460 </w:t>
            </w:r>
          </w:p>
        </w:tc>
        <w:tc>
          <w:tcPr>
            <w:tcW w:w="1243" w:type="dxa"/>
            <w:vAlign w:val="center"/>
          </w:tcPr>
          <w:p w14:paraId="795E3BA7" w14:textId="77777777" w:rsidR="00295BCD" w:rsidRPr="001927D6" w:rsidRDefault="00295BCD">
            <w:pPr>
              <w:spacing w:after="0" w:line="240" w:lineRule="auto"/>
              <w:jc w:val="center"/>
              <w:textAlignment w:val="baseline"/>
              <w:rPr>
                <w:szCs w:val="24"/>
                <w:lang w:eastAsia="et-EE"/>
              </w:rPr>
            </w:pPr>
            <w:r w:rsidRPr="001927D6">
              <w:rPr>
                <w:color w:val="000000"/>
                <w:szCs w:val="24"/>
              </w:rPr>
              <w:t>1 608,45</w:t>
            </w:r>
          </w:p>
        </w:tc>
        <w:tc>
          <w:tcPr>
            <w:tcW w:w="1211" w:type="dxa"/>
            <w:vAlign w:val="center"/>
          </w:tcPr>
          <w:p w14:paraId="2F237280" w14:textId="77777777" w:rsidR="00295BCD" w:rsidRPr="001927D6" w:rsidRDefault="00295BCD">
            <w:pPr>
              <w:spacing w:after="0" w:line="240" w:lineRule="auto"/>
              <w:jc w:val="center"/>
              <w:textAlignment w:val="baseline"/>
              <w:rPr>
                <w:szCs w:val="24"/>
                <w:lang w:eastAsia="et-EE"/>
              </w:rPr>
            </w:pPr>
            <w:r w:rsidRPr="001927D6">
              <w:rPr>
                <w:color w:val="000000"/>
                <w:szCs w:val="24"/>
              </w:rPr>
              <w:t>292,08</w:t>
            </w:r>
          </w:p>
        </w:tc>
        <w:tc>
          <w:tcPr>
            <w:tcW w:w="1238" w:type="dxa"/>
            <w:vAlign w:val="center"/>
          </w:tcPr>
          <w:p w14:paraId="7DEC63A6" w14:textId="77777777" w:rsidR="00295BCD" w:rsidRPr="001927D6" w:rsidRDefault="00295BCD">
            <w:pPr>
              <w:spacing w:after="0" w:line="240" w:lineRule="auto"/>
              <w:jc w:val="center"/>
              <w:textAlignment w:val="baseline"/>
              <w:rPr>
                <w:szCs w:val="24"/>
                <w:lang w:eastAsia="et-EE"/>
              </w:rPr>
            </w:pPr>
            <w:r w:rsidRPr="001927D6">
              <w:rPr>
                <w:color w:val="000000"/>
                <w:szCs w:val="24"/>
              </w:rPr>
              <w:t>4 983,02</w:t>
            </w:r>
          </w:p>
        </w:tc>
      </w:tr>
      <w:tr w:rsidR="00295BCD" w:rsidRPr="001927D6" w14:paraId="5F8E3FAA" w14:textId="77777777" w:rsidTr="00295BCD">
        <w:trPr>
          <w:divId w:val="1316184749"/>
          <w:trHeight w:val="300"/>
        </w:trPr>
        <w:tc>
          <w:tcPr>
            <w:tcW w:w="4632" w:type="dxa"/>
            <w:vAlign w:val="bottom"/>
            <w:hideMark/>
          </w:tcPr>
          <w:p w14:paraId="58E47BC3" w14:textId="77777777" w:rsidR="00295BCD" w:rsidRPr="001927D6" w:rsidRDefault="00295BCD">
            <w:pPr>
              <w:spacing w:after="0" w:line="240" w:lineRule="auto"/>
              <w:textAlignment w:val="baseline"/>
              <w:rPr>
                <w:szCs w:val="24"/>
                <w:lang w:eastAsia="et-EE"/>
              </w:rPr>
            </w:pPr>
            <w:r w:rsidRPr="001927D6">
              <w:rPr>
                <w:szCs w:val="24"/>
                <w:lang w:eastAsia="et-EE"/>
              </w:rPr>
              <w:t>Operatsioon, diagnoosiks kokkupuude terviseteenistusega </w:t>
            </w:r>
          </w:p>
        </w:tc>
        <w:tc>
          <w:tcPr>
            <w:tcW w:w="732" w:type="dxa"/>
            <w:vAlign w:val="center"/>
            <w:hideMark/>
          </w:tcPr>
          <w:p w14:paraId="506CC75F" w14:textId="77777777" w:rsidR="00295BCD" w:rsidRPr="001927D6" w:rsidRDefault="00295BCD">
            <w:pPr>
              <w:spacing w:after="0" w:line="240" w:lineRule="auto"/>
              <w:jc w:val="center"/>
              <w:textAlignment w:val="baseline"/>
              <w:rPr>
                <w:szCs w:val="24"/>
                <w:lang w:eastAsia="et-EE"/>
              </w:rPr>
            </w:pPr>
            <w:r w:rsidRPr="001927D6">
              <w:rPr>
                <w:szCs w:val="24"/>
                <w:lang w:eastAsia="et-EE"/>
              </w:rPr>
              <w:t>461 </w:t>
            </w:r>
          </w:p>
        </w:tc>
        <w:tc>
          <w:tcPr>
            <w:tcW w:w="1243" w:type="dxa"/>
            <w:vAlign w:val="center"/>
          </w:tcPr>
          <w:p w14:paraId="7829780D" w14:textId="77777777" w:rsidR="00295BCD" w:rsidRPr="001927D6" w:rsidRDefault="00295BCD">
            <w:pPr>
              <w:spacing w:after="0" w:line="240" w:lineRule="auto"/>
              <w:jc w:val="center"/>
              <w:textAlignment w:val="baseline"/>
              <w:rPr>
                <w:szCs w:val="24"/>
                <w:lang w:eastAsia="et-EE"/>
              </w:rPr>
            </w:pPr>
            <w:r w:rsidRPr="001927D6">
              <w:rPr>
                <w:color w:val="000000"/>
                <w:szCs w:val="24"/>
              </w:rPr>
              <w:t>3 606,18</w:t>
            </w:r>
          </w:p>
        </w:tc>
        <w:tc>
          <w:tcPr>
            <w:tcW w:w="1211" w:type="dxa"/>
            <w:vAlign w:val="center"/>
          </w:tcPr>
          <w:p w14:paraId="69EF842E" w14:textId="77777777" w:rsidR="00295BCD" w:rsidRPr="001927D6" w:rsidRDefault="00295BCD">
            <w:pPr>
              <w:spacing w:after="0" w:line="240" w:lineRule="auto"/>
              <w:jc w:val="center"/>
              <w:textAlignment w:val="baseline"/>
              <w:rPr>
                <w:szCs w:val="24"/>
                <w:lang w:eastAsia="et-EE"/>
              </w:rPr>
            </w:pPr>
            <w:r w:rsidRPr="001927D6">
              <w:rPr>
                <w:color w:val="000000"/>
                <w:szCs w:val="24"/>
              </w:rPr>
              <w:t>1 716,92</w:t>
            </w:r>
          </w:p>
        </w:tc>
        <w:tc>
          <w:tcPr>
            <w:tcW w:w="1238" w:type="dxa"/>
            <w:vAlign w:val="center"/>
          </w:tcPr>
          <w:p w14:paraId="24AEC37C" w14:textId="77777777" w:rsidR="00295BCD" w:rsidRPr="001927D6" w:rsidRDefault="00295BCD">
            <w:pPr>
              <w:spacing w:after="0" w:line="240" w:lineRule="auto"/>
              <w:jc w:val="center"/>
              <w:textAlignment w:val="baseline"/>
              <w:rPr>
                <w:szCs w:val="24"/>
                <w:lang w:eastAsia="et-EE"/>
              </w:rPr>
            </w:pPr>
            <w:r w:rsidRPr="001927D6">
              <w:rPr>
                <w:color w:val="000000"/>
                <w:szCs w:val="24"/>
              </w:rPr>
              <w:t>6 560,24</w:t>
            </w:r>
          </w:p>
        </w:tc>
      </w:tr>
      <w:tr w:rsidR="00295BCD" w:rsidRPr="001927D6" w14:paraId="6B4D9EFF" w14:textId="77777777" w:rsidTr="00295BCD">
        <w:trPr>
          <w:divId w:val="1316184749"/>
          <w:trHeight w:val="300"/>
        </w:trPr>
        <w:tc>
          <w:tcPr>
            <w:tcW w:w="4632" w:type="dxa"/>
            <w:vAlign w:val="bottom"/>
            <w:hideMark/>
          </w:tcPr>
          <w:p w14:paraId="6F2D51DE" w14:textId="77777777" w:rsidR="00295BCD" w:rsidRPr="001927D6" w:rsidRDefault="00295BCD">
            <w:pPr>
              <w:spacing w:after="0" w:line="240" w:lineRule="auto"/>
              <w:textAlignment w:val="baseline"/>
              <w:rPr>
                <w:szCs w:val="24"/>
                <w:lang w:eastAsia="et-EE"/>
              </w:rPr>
            </w:pPr>
            <w:r w:rsidRPr="001927D6">
              <w:rPr>
                <w:szCs w:val="24"/>
                <w:lang w:eastAsia="et-EE"/>
              </w:rPr>
              <w:t>Operatsioon, diagnoosiks kokkupuude terviseteenistusega, lühike ravi </w:t>
            </w:r>
          </w:p>
        </w:tc>
        <w:tc>
          <w:tcPr>
            <w:tcW w:w="732" w:type="dxa"/>
            <w:vAlign w:val="center"/>
            <w:hideMark/>
          </w:tcPr>
          <w:p w14:paraId="38AAAE2E" w14:textId="77777777" w:rsidR="00295BCD" w:rsidRPr="001927D6" w:rsidRDefault="00295BCD">
            <w:pPr>
              <w:spacing w:after="0" w:line="240" w:lineRule="auto"/>
              <w:jc w:val="center"/>
              <w:textAlignment w:val="baseline"/>
              <w:rPr>
                <w:szCs w:val="24"/>
                <w:lang w:eastAsia="et-EE"/>
              </w:rPr>
            </w:pPr>
            <w:r w:rsidRPr="001927D6">
              <w:rPr>
                <w:szCs w:val="24"/>
                <w:lang w:eastAsia="et-EE"/>
              </w:rPr>
              <w:t>461O </w:t>
            </w:r>
          </w:p>
        </w:tc>
        <w:tc>
          <w:tcPr>
            <w:tcW w:w="1243" w:type="dxa"/>
            <w:vAlign w:val="center"/>
          </w:tcPr>
          <w:p w14:paraId="06E8F05C" w14:textId="77777777" w:rsidR="00295BCD" w:rsidRPr="001927D6" w:rsidRDefault="00295BCD">
            <w:pPr>
              <w:spacing w:after="0" w:line="240" w:lineRule="auto"/>
              <w:jc w:val="center"/>
              <w:textAlignment w:val="baseline"/>
              <w:rPr>
                <w:szCs w:val="24"/>
                <w:lang w:eastAsia="et-EE"/>
              </w:rPr>
            </w:pPr>
            <w:r w:rsidRPr="001927D6">
              <w:rPr>
                <w:color w:val="000000"/>
                <w:szCs w:val="24"/>
              </w:rPr>
              <w:t>959,08</w:t>
            </w:r>
          </w:p>
        </w:tc>
        <w:tc>
          <w:tcPr>
            <w:tcW w:w="1211" w:type="dxa"/>
            <w:vAlign w:val="center"/>
          </w:tcPr>
          <w:p w14:paraId="31599E23" w14:textId="77777777" w:rsidR="00295BCD" w:rsidRPr="001927D6" w:rsidRDefault="00295BCD">
            <w:pPr>
              <w:spacing w:after="0" w:line="240" w:lineRule="auto"/>
              <w:jc w:val="center"/>
              <w:textAlignment w:val="baseline"/>
              <w:rPr>
                <w:szCs w:val="24"/>
                <w:lang w:eastAsia="et-EE"/>
              </w:rPr>
            </w:pPr>
            <w:r w:rsidRPr="001927D6">
              <w:rPr>
                <w:color w:val="000000"/>
                <w:szCs w:val="24"/>
              </w:rPr>
              <w:t>392,52</w:t>
            </w:r>
          </w:p>
        </w:tc>
        <w:tc>
          <w:tcPr>
            <w:tcW w:w="1238" w:type="dxa"/>
            <w:vAlign w:val="center"/>
          </w:tcPr>
          <w:p w14:paraId="56147EB4" w14:textId="77777777" w:rsidR="00295BCD" w:rsidRPr="001927D6" w:rsidRDefault="00295BCD">
            <w:pPr>
              <w:spacing w:after="0" w:line="240" w:lineRule="auto"/>
              <w:jc w:val="center"/>
              <w:textAlignment w:val="baseline"/>
              <w:rPr>
                <w:szCs w:val="24"/>
                <w:lang w:eastAsia="et-EE"/>
              </w:rPr>
            </w:pPr>
            <w:r w:rsidRPr="001927D6">
              <w:rPr>
                <w:color w:val="000000"/>
                <w:szCs w:val="24"/>
              </w:rPr>
              <w:t>1 808,69</w:t>
            </w:r>
          </w:p>
        </w:tc>
      </w:tr>
      <w:tr w:rsidR="00295BCD" w:rsidRPr="001927D6" w14:paraId="5E6C9245" w14:textId="77777777" w:rsidTr="00295BCD">
        <w:trPr>
          <w:divId w:val="1316184749"/>
          <w:trHeight w:val="300"/>
        </w:trPr>
        <w:tc>
          <w:tcPr>
            <w:tcW w:w="4632" w:type="dxa"/>
            <w:vAlign w:val="bottom"/>
            <w:hideMark/>
          </w:tcPr>
          <w:p w14:paraId="1BD99426" w14:textId="77777777" w:rsidR="00295BCD" w:rsidRPr="001927D6" w:rsidRDefault="00295BCD">
            <w:pPr>
              <w:spacing w:after="0" w:line="240" w:lineRule="auto"/>
              <w:textAlignment w:val="baseline"/>
              <w:rPr>
                <w:szCs w:val="24"/>
                <w:lang w:eastAsia="et-EE"/>
              </w:rPr>
            </w:pPr>
            <w:r w:rsidRPr="001927D6">
              <w:rPr>
                <w:szCs w:val="24"/>
                <w:lang w:eastAsia="et-EE"/>
              </w:rPr>
              <w:t>Haigustunnused ja sümptomid, kht-ga </w:t>
            </w:r>
          </w:p>
        </w:tc>
        <w:tc>
          <w:tcPr>
            <w:tcW w:w="732" w:type="dxa"/>
            <w:vAlign w:val="center"/>
            <w:hideMark/>
          </w:tcPr>
          <w:p w14:paraId="051544DC" w14:textId="77777777" w:rsidR="00295BCD" w:rsidRPr="001927D6" w:rsidRDefault="00295BCD">
            <w:pPr>
              <w:spacing w:after="0" w:line="240" w:lineRule="auto"/>
              <w:jc w:val="center"/>
              <w:textAlignment w:val="baseline"/>
              <w:rPr>
                <w:szCs w:val="24"/>
                <w:lang w:eastAsia="et-EE"/>
              </w:rPr>
            </w:pPr>
            <w:r w:rsidRPr="001927D6">
              <w:rPr>
                <w:szCs w:val="24"/>
                <w:lang w:eastAsia="et-EE"/>
              </w:rPr>
              <w:t>463 </w:t>
            </w:r>
          </w:p>
        </w:tc>
        <w:tc>
          <w:tcPr>
            <w:tcW w:w="1243" w:type="dxa"/>
            <w:vAlign w:val="center"/>
          </w:tcPr>
          <w:p w14:paraId="1BFF513D" w14:textId="77777777" w:rsidR="00295BCD" w:rsidRPr="001927D6" w:rsidRDefault="00295BCD">
            <w:pPr>
              <w:spacing w:after="0" w:line="240" w:lineRule="auto"/>
              <w:jc w:val="center"/>
              <w:textAlignment w:val="baseline"/>
              <w:rPr>
                <w:szCs w:val="24"/>
                <w:lang w:eastAsia="et-EE"/>
              </w:rPr>
            </w:pPr>
            <w:r w:rsidRPr="001927D6">
              <w:rPr>
                <w:color w:val="000000"/>
                <w:szCs w:val="24"/>
              </w:rPr>
              <w:t>2 393,71</w:t>
            </w:r>
          </w:p>
        </w:tc>
        <w:tc>
          <w:tcPr>
            <w:tcW w:w="1211" w:type="dxa"/>
            <w:vAlign w:val="center"/>
          </w:tcPr>
          <w:p w14:paraId="2CDC562C" w14:textId="77777777" w:rsidR="00295BCD" w:rsidRPr="001927D6" w:rsidRDefault="00295BCD">
            <w:pPr>
              <w:spacing w:after="0" w:line="240" w:lineRule="auto"/>
              <w:jc w:val="center"/>
              <w:textAlignment w:val="baseline"/>
              <w:rPr>
                <w:szCs w:val="24"/>
                <w:lang w:eastAsia="et-EE"/>
              </w:rPr>
            </w:pPr>
            <w:r w:rsidRPr="001927D6">
              <w:rPr>
                <w:color w:val="000000"/>
                <w:szCs w:val="24"/>
              </w:rPr>
              <w:t>619,69</w:t>
            </w:r>
          </w:p>
        </w:tc>
        <w:tc>
          <w:tcPr>
            <w:tcW w:w="1238" w:type="dxa"/>
            <w:vAlign w:val="center"/>
          </w:tcPr>
          <w:p w14:paraId="1BE294A1" w14:textId="77777777" w:rsidR="00295BCD" w:rsidRPr="001927D6" w:rsidRDefault="00295BCD">
            <w:pPr>
              <w:spacing w:after="0" w:line="240" w:lineRule="auto"/>
              <w:jc w:val="center"/>
              <w:textAlignment w:val="baseline"/>
              <w:rPr>
                <w:szCs w:val="24"/>
                <w:lang w:eastAsia="et-EE"/>
              </w:rPr>
            </w:pPr>
            <w:r w:rsidRPr="001927D6">
              <w:rPr>
                <w:color w:val="000000"/>
                <w:szCs w:val="24"/>
              </w:rPr>
              <w:t>5 424,86</w:t>
            </w:r>
          </w:p>
        </w:tc>
      </w:tr>
      <w:tr w:rsidR="00295BCD" w:rsidRPr="001927D6" w14:paraId="5D1083A0" w14:textId="77777777" w:rsidTr="00295BCD">
        <w:trPr>
          <w:divId w:val="1316184749"/>
          <w:trHeight w:val="300"/>
        </w:trPr>
        <w:tc>
          <w:tcPr>
            <w:tcW w:w="4632" w:type="dxa"/>
            <w:vAlign w:val="bottom"/>
            <w:hideMark/>
          </w:tcPr>
          <w:p w14:paraId="06343A3C" w14:textId="77777777" w:rsidR="00295BCD" w:rsidRPr="001927D6" w:rsidRDefault="00295BCD">
            <w:pPr>
              <w:spacing w:after="0" w:line="240" w:lineRule="auto"/>
              <w:textAlignment w:val="baseline"/>
              <w:rPr>
                <w:szCs w:val="24"/>
                <w:lang w:eastAsia="et-EE"/>
              </w:rPr>
            </w:pPr>
            <w:r w:rsidRPr="001927D6">
              <w:rPr>
                <w:szCs w:val="24"/>
                <w:lang w:eastAsia="et-EE"/>
              </w:rPr>
              <w:t>Haigustunnused ja sümptomid, kht-ta </w:t>
            </w:r>
          </w:p>
        </w:tc>
        <w:tc>
          <w:tcPr>
            <w:tcW w:w="732" w:type="dxa"/>
            <w:vAlign w:val="center"/>
            <w:hideMark/>
          </w:tcPr>
          <w:p w14:paraId="1CAAC91F" w14:textId="77777777" w:rsidR="00295BCD" w:rsidRPr="001927D6" w:rsidRDefault="00295BCD">
            <w:pPr>
              <w:spacing w:after="0" w:line="240" w:lineRule="auto"/>
              <w:jc w:val="center"/>
              <w:textAlignment w:val="baseline"/>
              <w:rPr>
                <w:szCs w:val="24"/>
                <w:lang w:eastAsia="et-EE"/>
              </w:rPr>
            </w:pPr>
            <w:r w:rsidRPr="001927D6">
              <w:rPr>
                <w:szCs w:val="24"/>
                <w:lang w:eastAsia="et-EE"/>
              </w:rPr>
              <w:t>464 </w:t>
            </w:r>
          </w:p>
        </w:tc>
        <w:tc>
          <w:tcPr>
            <w:tcW w:w="1243" w:type="dxa"/>
            <w:vAlign w:val="center"/>
          </w:tcPr>
          <w:p w14:paraId="5EF25C03" w14:textId="77777777" w:rsidR="00295BCD" w:rsidRPr="001927D6" w:rsidRDefault="00295BCD">
            <w:pPr>
              <w:spacing w:after="0" w:line="240" w:lineRule="auto"/>
              <w:jc w:val="center"/>
              <w:textAlignment w:val="baseline"/>
              <w:rPr>
                <w:szCs w:val="24"/>
                <w:lang w:eastAsia="et-EE"/>
              </w:rPr>
            </w:pPr>
            <w:r w:rsidRPr="001927D6">
              <w:rPr>
                <w:color w:val="000000"/>
                <w:szCs w:val="24"/>
              </w:rPr>
              <w:t>1 221,43</w:t>
            </w:r>
          </w:p>
        </w:tc>
        <w:tc>
          <w:tcPr>
            <w:tcW w:w="1211" w:type="dxa"/>
            <w:vAlign w:val="center"/>
          </w:tcPr>
          <w:p w14:paraId="12C0D04F" w14:textId="77777777" w:rsidR="00295BCD" w:rsidRPr="001927D6" w:rsidRDefault="00295BCD">
            <w:pPr>
              <w:spacing w:after="0" w:line="240" w:lineRule="auto"/>
              <w:jc w:val="center"/>
              <w:textAlignment w:val="baseline"/>
              <w:rPr>
                <w:szCs w:val="24"/>
                <w:lang w:eastAsia="et-EE"/>
              </w:rPr>
            </w:pPr>
            <w:r w:rsidRPr="001927D6">
              <w:rPr>
                <w:color w:val="000000"/>
                <w:szCs w:val="24"/>
              </w:rPr>
              <w:t>233,06</w:t>
            </w:r>
          </w:p>
        </w:tc>
        <w:tc>
          <w:tcPr>
            <w:tcW w:w="1238" w:type="dxa"/>
            <w:vAlign w:val="center"/>
          </w:tcPr>
          <w:p w14:paraId="0A042BC9" w14:textId="77777777" w:rsidR="00295BCD" w:rsidRPr="001927D6" w:rsidRDefault="00295BCD">
            <w:pPr>
              <w:spacing w:after="0" w:line="240" w:lineRule="auto"/>
              <w:jc w:val="center"/>
              <w:textAlignment w:val="baseline"/>
              <w:rPr>
                <w:szCs w:val="24"/>
                <w:lang w:eastAsia="et-EE"/>
              </w:rPr>
            </w:pPr>
            <w:r w:rsidRPr="001927D6">
              <w:rPr>
                <w:color w:val="000000"/>
                <w:szCs w:val="24"/>
              </w:rPr>
              <w:t>2 819,00</w:t>
            </w:r>
          </w:p>
        </w:tc>
      </w:tr>
      <w:tr w:rsidR="00295BCD" w:rsidRPr="001927D6" w14:paraId="7FCAC6CE" w14:textId="77777777" w:rsidTr="00295BCD">
        <w:trPr>
          <w:divId w:val="1316184749"/>
          <w:trHeight w:val="300"/>
        </w:trPr>
        <w:tc>
          <w:tcPr>
            <w:tcW w:w="4632" w:type="dxa"/>
            <w:vAlign w:val="bottom"/>
            <w:hideMark/>
          </w:tcPr>
          <w:p w14:paraId="5D968783"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Järelravi, anamnees pahaloomulise kasvajaga </w:t>
            </w:r>
          </w:p>
        </w:tc>
        <w:tc>
          <w:tcPr>
            <w:tcW w:w="732" w:type="dxa"/>
            <w:vAlign w:val="center"/>
            <w:hideMark/>
          </w:tcPr>
          <w:p w14:paraId="72D98620" w14:textId="77777777" w:rsidR="00295BCD" w:rsidRPr="001927D6" w:rsidRDefault="00295BCD">
            <w:pPr>
              <w:spacing w:after="0" w:line="240" w:lineRule="auto"/>
              <w:jc w:val="center"/>
              <w:textAlignment w:val="baseline"/>
              <w:rPr>
                <w:szCs w:val="24"/>
                <w:lang w:eastAsia="et-EE"/>
              </w:rPr>
            </w:pPr>
            <w:r w:rsidRPr="001927D6">
              <w:rPr>
                <w:szCs w:val="24"/>
                <w:lang w:eastAsia="et-EE"/>
              </w:rPr>
              <w:t>465 </w:t>
            </w:r>
          </w:p>
        </w:tc>
        <w:tc>
          <w:tcPr>
            <w:tcW w:w="1243" w:type="dxa"/>
            <w:vAlign w:val="center"/>
          </w:tcPr>
          <w:p w14:paraId="1DFB7C27" w14:textId="77777777" w:rsidR="00295BCD" w:rsidRPr="001927D6" w:rsidRDefault="00295BCD">
            <w:pPr>
              <w:spacing w:after="0" w:line="240" w:lineRule="auto"/>
              <w:jc w:val="center"/>
              <w:textAlignment w:val="baseline"/>
              <w:rPr>
                <w:szCs w:val="24"/>
                <w:lang w:eastAsia="et-EE"/>
              </w:rPr>
            </w:pPr>
            <w:r w:rsidRPr="001927D6">
              <w:rPr>
                <w:color w:val="000000"/>
                <w:szCs w:val="24"/>
              </w:rPr>
              <w:t>444,02</w:t>
            </w:r>
          </w:p>
        </w:tc>
        <w:tc>
          <w:tcPr>
            <w:tcW w:w="1211" w:type="dxa"/>
            <w:vAlign w:val="center"/>
          </w:tcPr>
          <w:p w14:paraId="53D6A7D4" w14:textId="77777777" w:rsidR="00295BCD" w:rsidRPr="001927D6" w:rsidRDefault="00295BCD">
            <w:pPr>
              <w:spacing w:after="0" w:line="240" w:lineRule="auto"/>
              <w:jc w:val="center"/>
              <w:textAlignment w:val="baseline"/>
              <w:rPr>
                <w:szCs w:val="24"/>
                <w:lang w:eastAsia="et-EE"/>
              </w:rPr>
            </w:pPr>
            <w:r w:rsidRPr="001927D6">
              <w:rPr>
                <w:color w:val="000000"/>
                <w:szCs w:val="24"/>
              </w:rPr>
              <w:t>210,72</w:t>
            </w:r>
          </w:p>
        </w:tc>
        <w:tc>
          <w:tcPr>
            <w:tcW w:w="1238" w:type="dxa"/>
            <w:vAlign w:val="center"/>
          </w:tcPr>
          <w:p w14:paraId="6CF14AAD" w14:textId="77777777" w:rsidR="00295BCD" w:rsidRPr="001927D6" w:rsidRDefault="00295BCD">
            <w:pPr>
              <w:spacing w:after="0" w:line="240" w:lineRule="auto"/>
              <w:jc w:val="center"/>
              <w:textAlignment w:val="baseline"/>
              <w:rPr>
                <w:szCs w:val="24"/>
                <w:lang w:eastAsia="et-EE"/>
              </w:rPr>
            </w:pPr>
            <w:r w:rsidRPr="001927D6">
              <w:rPr>
                <w:color w:val="000000"/>
                <w:szCs w:val="24"/>
              </w:rPr>
              <w:t>900,09</w:t>
            </w:r>
          </w:p>
        </w:tc>
      </w:tr>
      <w:tr w:rsidR="00295BCD" w:rsidRPr="001927D6" w14:paraId="48B959CD" w14:textId="77777777" w:rsidTr="00295BCD">
        <w:trPr>
          <w:divId w:val="1316184749"/>
          <w:trHeight w:val="300"/>
        </w:trPr>
        <w:tc>
          <w:tcPr>
            <w:tcW w:w="4632" w:type="dxa"/>
            <w:vAlign w:val="bottom"/>
            <w:hideMark/>
          </w:tcPr>
          <w:p w14:paraId="2139C5B3" w14:textId="77777777" w:rsidR="00295BCD" w:rsidRPr="001927D6" w:rsidRDefault="00295BCD">
            <w:pPr>
              <w:spacing w:after="0" w:line="240" w:lineRule="auto"/>
              <w:textAlignment w:val="baseline"/>
              <w:rPr>
                <w:szCs w:val="24"/>
                <w:lang w:eastAsia="et-EE"/>
              </w:rPr>
            </w:pPr>
            <w:r w:rsidRPr="001927D6">
              <w:rPr>
                <w:szCs w:val="24"/>
                <w:lang w:eastAsia="et-EE"/>
              </w:rPr>
              <w:t>Järelravi, anamnees pahaloomulise kasvajata </w:t>
            </w:r>
          </w:p>
        </w:tc>
        <w:tc>
          <w:tcPr>
            <w:tcW w:w="732" w:type="dxa"/>
            <w:vAlign w:val="center"/>
            <w:hideMark/>
          </w:tcPr>
          <w:p w14:paraId="4062170E" w14:textId="77777777" w:rsidR="00295BCD" w:rsidRPr="001927D6" w:rsidRDefault="00295BCD">
            <w:pPr>
              <w:spacing w:after="0" w:line="240" w:lineRule="auto"/>
              <w:jc w:val="center"/>
              <w:textAlignment w:val="baseline"/>
              <w:rPr>
                <w:szCs w:val="24"/>
                <w:lang w:eastAsia="et-EE"/>
              </w:rPr>
            </w:pPr>
            <w:r w:rsidRPr="001927D6">
              <w:rPr>
                <w:szCs w:val="24"/>
                <w:lang w:eastAsia="et-EE"/>
              </w:rPr>
              <w:t>466 </w:t>
            </w:r>
          </w:p>
        </w:tc>
        <w:tc>
          <w:tcPr>
            <w:tcW w:w="1243" w:type="dxa"/>
            <w:vAlign w:val="center"/>
          </w:tcPr>
          <w:p w14:paraId="0E1B4250" w14:textId="77777777" w:rsidR="00295BCD" w:rsidRPr="001927D6" w:rsidRDefault="00295BCD">
            <w:pPr>
              <w:spacing w:after="0" w:line="240" w:lineRule="auto"/>
              <w:jc w:val="center"/>
              <w:textAlignment w:val="baseline"/>
              <w:rPr>
                <w:szCs w:val="24"/>
                <w:lang w:eastAsia="et-EE"/>
              </w:rPr>
            </w:pPr>
            <w:r w:rsidRPr="001927D6">
              <w:rPr>
                <w:color w:val="000000"/>
                <w:szCs w:val="24"/>
              </w:rPr>
              <w:t>1 340,86</w:t>
            </w:r>
          </w:p>
        </w:tc>
        <w:tc>
          <w:tcPr>
            <w:tcW w:w="1211" w:type="dxa"/>
            <w:vAlign w:val="center"/>
          </w:tcPr>
          <w:p w14:paraId="46CBC2D1" w14:textId="77777777" w:rsidR="00295BCD" w:rsidRPr="001927D6" w:rsidRDefault="00295BCD">
            <w:pPr>
              <w:spacing w:after="0" w:line="240" w:lineRule="auto"/>
              <w:jc w:val="center"/>
              <w:textAlignment w:val="baseline"/>
              <w:rPr>
                <w:szCs w:val="24"/>
                <w:lang w:eastAsia="et-EE"/>
              </w:rPr>
            </w:pPr>
            <w:r w:rsidRPr="001927D6">
              <w:rPr>
                <w:color w:val="000000"/>
                <w:szCs w:val="24"/>
              </w:rPr>
              <w:t>339,83</w:t>
            </w:r>
          </w:p>
        </w:tc>
        <w:tc>
          <w:tcPr>
            <w:tcW w:w="1238" w:type="dxa"/>
            <w:vAlign w:val="center"/>
          </w:tcPr>
          <w:p w14:paraId="11FD97E8" w14:textId="77777777" w:rsidR="00295BCD" w:rsidRPr="001927D6" w:rsidRDefault="00295BCD">
            <w:pPr>
              <w:spacing w:after="0" w:line="240" w:lineRule="auto"/>
              <w:jc w:val="center"/>
              <w:textAlignment w:val="baseline"/>
              <w:rPr>
                <w:szCs w:val="24"/>
                <w:lang w:eastAsia="et-EE"/>
              </w:rPr>
            </w:pPr>
            <w:r w:rsidRPr="001927D6">
              <w:rPr>
                <w:color w:val="000000"/>
                <w:szCs w:val="24"/>
              </w:rPr>
              <w:t>2 847,77</w:t>
            </w:r>
          </w:p>
        </w:tc>
      </w:tr>
      <w:tr w:rsidR="00295BCD" w:rsidRPr="001927D6" w14:paraId="21924BB6" w14:textId="77777777" w:rsidTr="00295BCD">
        <w:trPr>
          <w:divId w:val="1316184749"/>
          <w:trHeight w:val="300"/>
        </w:trPr>
        <w:tc>
          <w:tcPr>
            <w:tcW w:w="4632" w:type="dxa"/>
            <w:vAlign w:val="bottom"/>
            <w:hideMark/>
          </w:tcPr>
          <w:p w14:paraId="09B6E1FF" w14:textId="77777777" w:rsidR="00295BCD" w:rsidRPr="001927D6" w:rsidRDefault="00295BCD">
            <w:pPr>
              <w:spacing w:after="0" w:line="240" w:lineRule="auto"/>
              <w:textAlignment w:val="baseline"/>
              <w:rPr>
                <w:szCs w:val="24"/>
                <w:lang w:eastAsia="et-EE"/>
              </w:rPr>
            </w:pPr>
            <w:r w:rsidRPr="001927D6">
              <w:rPr>
                <w:szCs w:val="24"/>
                <w:lang w:eastAsia="et-EE"/>
              </w:rPr>
              <w:t>Muud tervist mõjutavad tegurid, vanus 0–17 </w:t>
            </w:r>
          </w:p>
        </w:tc>
        <w:tc>
          <w:tcPr>
            <w:tcW w:w="732" w:type="dxa"/>
            <w:vAlign w:val="center"/>
            <w:hideMark/>
          </w:tcPr>
          <w:p w14:paraId="4808A2EB" w14:textId="77777777" w:rsidR="00295BCD" w:rsidRPr="001927D6" w:rsidRDefault="00295BCD">
            <w:pPr>
              <w:spacing w:after="0" w:line="240" w:lineRule="auto"/>
              <w:jc w:val="center"/>
              <w:textAlignment w:val="baseline"/>
              <w:rPr>
                <w:szCs w:val="24"/>
                <w:lang w:eastAsia="et-EE"/>
              </w:rPr>
            </w:pPr>
            <w:r w:rsidRPr="001927D6">
              <w:rPr>
                <w:szCs w:val="24"/>
                <w:lang w:eastAsia="et-EE"/>
              </w:rPr>
              <w:t>467A </w:t>
            </w:r>
          </w:p>
        </w:tc>
        <w:tc>
          <w:tcPr>
            <w:tcW w:w="1243" w:type="dxa"/>
            <w:vAlign w:val="center"/>
          </w:tcPr>
          <w:p w14:paraId="0E5EDC74" w14:textId="77777777" w:rsidR="00295BCD" w:rsidRPr="001927D6" w:rsidRDefault="00295BCD">
            <w:pPr>
              <w:spacing w:after="0" w:line="240" w:lineRule="auto"/>
              <w:jc w:val="center"/>
              <w:textAlignment w:val="baseline"/>
              <w:rPr>
                <w:szCs w:val="24"/>
                <w:lang w:eastAsia="et-EE"/>
              </w:rPr>
            </w:pPr>
            <w:r w:rsidRPr="001927D6">
              <w:rPr>
                <w:color w:val="000000"/>
                <w:szCs w:val="24"/>
              </w:rPr>
              <w:t>839,67</w:t>
            </w:r>
          </w:p>
        </w:tc>
        <w:tc>
          <w:tcPr>
            <w:tcW w:w="1211" w:type="dxa"/>
            <w:vAlign w:val="center"/>
          </w:tcPr>
          <w:p w14:paraId="683C01C4" w14:textId="77777777" w:rsidR="00295BCD" w:rsidRPr="001927D6" w:rsidRDefault="00295BCD">
            <w:pPr>
              <w:spacing w:after="0" w:line="240" w:lineRule="auto"/>
              <w:jc w:val="center"/>
              <w:textAlignment w:val="baseline"/>
              <w:rPr>
                <w:szCs w:val="24"/>
                <w:lang w:eastAsia="et-EE"/>
              </w:rPr>
            </w:pPr>
            <w:r w:rsidRPr="001927D6">
              <w:rPr>
                <w:color w:val="000000"/>
                <w:szCs w:val="24"/>
              </w:rPr>
              <w:t>252,76</w:t>
            </w:r>
          </w:p>
        </w:tc>
        <w:tc>
          <w:tcPr>
            <w:tcW w:w="1238" w:type="dxa"/>
            <w:vAlign w:val="center"/>
          </w:tcPr>
          <w:p w14:paraId="611C9BCF" w14:textId="77777777" w:rsidR="00295BCD" w:rsidRPr="001927D6" w:rsidRDefault="00295BCD">
            <w:pPr>
              <w:spacing w:after="0" w:line="240" w:lineRule="auto"/>
              <w:jc w:val="center"/>
              <w:textAlignment w:val="baseline"/>
              <w:rPr>
                <w:szCs w:val="24"/>
                <w:lang w:eastAsia="et-EE"/>
              </w:rPr>
            </w:pPr>
            <w:r w:rsidRPr="001927D6">
              <w:rPr>
                <w:color w:val="000000"/>
                <w:szCs w:val="24"/>
              </w:rPr>
              <w:t>2 065,44</w:t>
            </w:r>
          </w:p>
        </w:tc>
      </w:tr>
      <w:tr w:rsidR="00295BCD" w:rsidRPr="001927D6" w14:paraId="7FCCE462" w14:textId="77777777" w:rsidTr="00295BCD">
        <w:trPr>
          <w:divId w:val="1316184749"/>
          <w:trHeight w:val="300"/>
        </w:trPr>
        <w:tc>
          <w:tcPr>
            <w:tcW w:w="4632" w:type="dxa"/>
            <w:vAlign w:val="bottom"/>
            <w:hideMark/>
          </w:tcPr>
          <w:p w14:paraId="046F5418" w14:textId="77777777" w:rsidR="00295BCD" w:rsidRPr="001927D6" w:rsidRDefault="00295BCD">
            <w:pPr>
              <w:spacing w:after="0" w:line="240" w:lineRule="auto"/>
              <w:textAlignment w:val="baseline"/>
              <w:rPr>
                <w:szCs w:val="24"/>
                <w:lang w:eastAsia="et-EE"/>
              </w:rPr>
            </w:pPr>
            <w:r w:rsidRPr="001927D6">
              <w:rPr>
                <w:szCs w:val="24"/>
                <w:lang w:eastAsia="et-EE"/>
              </w:rPr>
              <w:t>Muud tervist mõjutavad tegurid, vanus &gt; 17 </w:t>
            </w:r>
          </w:p>
        </w:tc>
        <w:tc>
          <w:tcPr>
            <w:tcW w:w="732" w:type="dxa"/>
            <w:vAlign w:val="center"/>
            <w:hideMark/>
          </w:tcPr>
          <w:p w14:paraId="3DF9E16E" w14:textId="77777777" w:rsidR="00295BCD" w:rsidRPr="001927D6" w:rsidRDefault="00295BCD">
            <w:pPr>
              <w:spacing w:after="0" w:line="240" w:lineRule="auto"/>
              <w:jc w:val="center"/>
              <w:textAlignment w:val="baseline"/>
              <w:rPr>
                <w:szCs w:val="24"/>
                <w:lang w:eastAsia="et-EE"/>
              </w:rPr>
            </w:pPr>
            <w:r w:rsidRPr="001927D6">
              <w:rPr>
                <w:szCs w:val="24"/>
                <w:lang w:eastAsia="et-EE"/>
              </w:rPr>
              <w:t>467B </w:t>
            </w:r>
          </w:p>
        </w:tc>
        <w:tc>
          <w:tcPr>
            <w:tcW w:w="1243" w:type="dxa"/>
            <w:vAlign w:val="center"/>
          </w:tcPr>
          <w:p w14:paraId="364A0218" w14:textId="77777777" w:rsidR="00295BCD" w:rsidRPr="001927D6" w:rsidRDefault="00295BCD">
            <w:pPr>
              <w:spacing w:after="0" w:line="240" w:lineRule="auto"/>
              <w:jc w:val="center"/>
              <w:textAlignment w:val="baseline"/>
              <w:rPr>
                <w:szCs w:val="24"/>
                <w:lang w:eastAsia="et-EE"/>
              </w:rPr>
            </w:pPr>
            <w:r w:rsidRPr="001927D6">
              <w:rPr>
                <w:color w:val="000000"/>
                <w:szCs w:val="24"/>
              </w:rPr>
              <w:t>749,36</w:t>
            </w:r>
          </w:p>
        </w:tc>
        <w:tc>
          <w:tcPr>
            <w:tcW w:w="1211" w:type="dxa"/>
            <w:vAlign w:val="center"/>
          </w:tcPr>
          <w:p w14:paraId="503F10FC" w14:textId="77777777" w:rsidR="00295BCD" w:rsidRPr="001927D6" w:rsidRDefault="00295BCD">
            <w:pPr>
              <w:spacing w:after="0" w:line="240" w:lineRule="auto"/>
              <w:jc w:val="center"/>
              <w:textAlignment w:val="baseline"/>
              <w:rPr>
                <w:szCs w:val="24"/>
                <w:lang w:eastAsia="et-EE"/>
              </w:rPr>
            </w:pPr>
            <w:r w:rsidRPr="001927D6">
              <w:rPr>
                <w:color w:val="000000"/>
                <w:szCs w:val="24"/>
              </w:rPr>
              <w:t>201,88</w:t>
            </w:r>
          </w:p>
        </w:tc>
        <w:tc>
          <w:tcPr>
            <w:tcW w:w="1238" w:type="dxa"/>
            <w:vAlign w:val="center"/>
          </w:tcPr>
          <w:p w14:paraId="1E7B6B37" w14:textId="77777777" w:rsidR="00295BCD" w:rsidRPr="001927D6" w:rsidRDefault="00295BCD">
            <w:pPr>
              <w:spacing w:after="0" w:line="240" w:lineRule="auto"/>
              <w:jc w:val="center"/>
              <w:textAlignment w:val="baseline"/>
              <w:rPr>
                <w:szCs w:val="24"/>
                <w:lang w:eastAsia="et-EE"/>
              </w:rPr>
            </w:pPr>
            <w:r w:rsidRPr="001927D6">
              <w:rPr>
                <w:color w:val="000000"/>
                <w:szCs w:val="24"/>
              </w:rPr>
              <w:t>2 730,64</w:t>
            </w:r>
          </w:p>
        </w:tc>
      </w:tr>
      <w:tr w:rsidR="00295BCD" w:rsidRPr="001927D6" w14:paraId="7FD76CF5" w14:textId="77777777" w:rsidTr="00295BCD">
        <w:trPr>
          <w:divId w:val="1316184749"/>
          <w:trHeight w:val="300"/>
        </w:trPr>
        <w:tc>
          <w:tcPr>
            <w:tcW w:w="4632" w:type="dxa"/>
            <w:vAlign w:val="bottom"/>
            <w:hideMark/>
          </w:tcPr>
          <w:p w14:paraId="726287C6" w14:textId="77777777" w:rsidR="00295BCD" w:rsidRPr="001927D6" w:rsidRDefault="00295BCD">
            <w:pPr>
              <w:spacing w:after="0" w:line="240" w:lineRule="auto"/>
              <w:textAlignment w:val="baseline"/>
              <w:rPr>
                <w:szCs w:val="24"/>
                <w:lang w:eastAsia="et-EE"/>
              </w:rPr>
            </w:pPr>
            <w:r w:rsidRPr="001927D6">
              <w:rPr>
                <w:szCs w:val="24"/>
                <w:lang w:eastAsia="et-EE"/>
              </w:rPr>
              <w:t>Harv diagnoosi ja ulatusliku operatsiooni kombinatsioon </w:t>
            </w:r>
          </w:p>
        </w:tc>
        <w:tc>
          <w:tcPr>
            <w:tcW w:w="732" w:type="dxa"/>
            <w:vAlign w:val="center"/>
            <w:hideMark/>
          </w:tcPr>
          <w:p w14:paraId="48FFA0A7" w14:textId="77777777" w:rsidR="00295BCD" w:rsidRPr="001927D6" w:rsidRDefault="00295BCD">
            <w:pPr>
              <w:spacing w:after="0" w:line="240" w:lineRule="auto"/>
              <w:jc w:val="center"/>
              <w:textAlignment w:val="baseline"/>
              <w:rPr>
                <w:szCs w:val="24"/>
                <w:lang w:eastAsia="et-EE"/>
              </w:rPr>
            </w:pPr>
            <w:r w:rsidRPr="001927D6">
              <w:rPr>
                <w:szCs w:val="24"/>
                <w:lang w:eastAsia="et-EE"/>
              </w:rPr>
              <w:t>468 </w:t>
            </w:r>
          </w:p>
        </w:tc>
        <w:tc>
          <w:tcPr>
            <w:tcW w:w="1243" w:type="dxa"/>
            <w:vAlign w:val="center"/>
          </w:tcPr>
          <w:p w14:paraId="11C30BE6" w14:textId="77777777" w:rsidR="00295BCD" w:rsidRPr="001927D6" w:rsidRDefault="00295BCD">
            <w:pPr>
              <w:spacing w:after="0" w:line="240" w:lineRule="auto"/>
              <w:jc w:val="center"/>
              <w:textAlignment w:val="baseline"/>
              <w:rPr>
                <w:szCs w:val="24"/>
                <w:lang w:eastAsia="et-EE"/>
              </w:rPr>
            </w:pPr>
            <w:r w:rsidRPr="001927D6">
              <w:rPr>
                <w:color w:val="000000"/>
                <w:szCs w:val="24"/>
              </w:rPr>
              <w:t>6 895,72</w:t>
            </w:r>
          </w:p>
        </w:tc>
        <w:tc>
          <w:tcPr>
            <w:tcW w:w="1211" w:type="dxa"/>
            <w:vAlign w:val="center"/>
          </w:tcPr>
          <w:p w14:paraId="02AC393F" w14:textId="77777777" w:rsidR="00295BCD" w:rsidRPr="001927D6" w:rsidRDefault="00295BCD">
            <w:pPr>
              <w:spacing w:after="0" w:line="240" w:lineRule="auto"/>
              <w:jc w:val="center"/>
              <w:textAlignment w:val="baseline"/>
              <w:rPr>
                <w:szCs w:val="24"/>
                <w:lang w:eastAsia="et-EE"/>
              </w:rPr>
            </w:pPr>
            <w:r w:rsidRPr="001927D6">
              <w:rPr>
                <w:color w:val="000000"/>
                <w:szCs w:val="24"/>
              </w:rPr>
              <w:t>1 088,54</w:t>
            </w:r>
          </w:p>
        </w:tc>
        <w:tc>
          <w:tcPr>
            <w:tcW w:w="1238" w:type="dxa"/>
            <w:vAlign w:val="center"/>
          </w:tcPr>
          <w:p w14:paraId="241CCC54" w14:textId="77777777" w:rsidR="00295BCD" w:rsidRPr="001927D6" w:rsidRDefault="00295BCD">
            <w:pPr>
              <w:spacing w:after="0" w:line="240" w:lineRule="auto"/>
              <w:jc w:val="center"/>
              <w:textAlignment w:val="baseline"/>
              <w:rPr>
                <w:szCs w:val="24"/>
                <w:lang w:eastAsia="et-EE"/>
              </w:rPr>
            </w:pPr>
            <w:r w:rsidRPr="001927D6">
              <w:rPr>
                <w:color w:val="000000"/>
                <w:szCs w:val="24"/>
              </w:rPr>
              <w:t>20 112,19</w:t>
            </w:r>
          </w:p>
        </w:tc>
      </w:tr>
      <w:tr w:rsidR="00295BCD" w:rsidRPr="001927D6" w14:paraId="261E176F" w14:textId="77777777" w:rsidTr="00295BCD">
        <w:trPr>
          <w:divId w:val="1316184749"/>
          <w:trHeight w:val="300"/>
        </w:trPr>
        <w:tc>
          <w:tcPr>
            <w:tcW w:w="4632" w:type="dxa"/>
            <w:vAlign w:val="bottom"/>
            <w:hideMark/>
          </w:tcPr>
          <w:p w14:paraId="067BFDED" w14:textId="77777777" w:rsidR="00295BCD" w:rsidRPr="001927D6" w:rsidRDefault="00295BCD">
            <w:pPr>
              <w:spacing w:after="0" w:line="240" w:lineRule="auto"/>
              <w:textAlignment w:val="baseline"/>
              <w:rPr>
                <w:szCs w:val="24"/>
                <w:lang w:eastAsia="et-EE"/>
              </w:rPr>
            </w:pPr>
            <w:r w:rsidRPr="001927D6">
              <w:rPr>
                <w:szCs w:val="24"/>
                <w:lang w:eastAsia="et-EE"/>
              </w:rPr>
              <w:t>Põhidiagnoosiga mitteseonduv ulatuslik operatsioon, lühike ravi </w:t>
            </w:r>
          </w:p>
        </w:tc>
        <w:tc>
          <w:tcPr>
            <w:tcW w:w="732" w:type="dxa"/>
            <w:vAlign w:val="center"/>
            <w:hideMark/>
          </w:tcPr>
          <w:p w14:paraId="5DC91795" w14:textId="77777777" w:rsidR="00295BCD" w:rsidRPr="001927D6" w:rsidRDefault="00295BCD">
            <w:pPr>
              <w:spacing w:after="0" w:line="240" w:lineRule="auto"/>
              <w:jc w:val="center"/>
              <w:textAlignment w:val="baseline"/>
              <w:rPr>
                <w:szCs w:val="24"/>
                <w:lang w:eastAsia="et-EE"/>
              </w:rPr>
            </w:pPr>
            <w:r w:rsidRPr="001927D6">
              <w:rPr>
                <w:szCs w:val="24"/>
                <w:lang w:eastAsia="et-EE"/>
              </w:rPr>
              <w:t>468O </w:t>
            </w:r>
          </w:p>
        </w:tc>
        <w:tc>
          <w:tcPr>
            <w:tcW w:w="1243" w:type="dxa"/>
            <w:vAlign w:val="center"/>
          </w:tcPr>
          <w:p w14:paraId="069A8899" w14:textId="77777777" w:rsidR="00295BCD" w:rsidRPr="001927D6" w:rsidRDefault="00295BCD">
            <w:pPr>
              <w:spacing w:after="0" w:line="240" w:lineRule="auto"/>
              <w:jc w:val="center"/>
              <w:textAlignment w:val="baseline"/>
              <w:rPr>
                <w:szCs w:val="24"/>
                <w:lang w:eastAsia="et-EE"/>
              </w:rPr>
            </w:pPr>
            <w:r w:rsidRPr="001927D6">
              <w:rPr>
                <w:color w:val="000000"/>
                <w:szCs w:val="24"/>
              </w:rPr>
              <w:t>1 010,35</w:t>
            </w:r>
          </w:p>
        </w:tc>
        <w:tc>
          <w:tcPr>
            <w:tcW w:w="1211" w:type="dxa"/>
            <w:vAlign w:val="center"/>
          </w:tcPr>
          <w:p w14:paraId="71770469" w14:textId="77777777" w:rsidR="00295BCD" w:rsidRPr="001927D6" w:rsidRDefault="00295BCD">
            <w:pPr>
              <w:spacing w:after="0" w:line="240" w:lineRule="auto"/>
              <w:jc w:val="center"/>
              <w:textAlignment w:val="baseline"/>
              <w:rPr>
                <w:szCs w:val="24"/>
                <w:lang w:eastAsia="et-EE"/>
              </w:rPr>
            </w:pPr>
            <w:r w:rsidRPr="001927D6">
              <w:rPr>
                <w:color w:val="000000"/>
                <w:szCs w:val="24"/>
              </w:rPr>
              <w:t>461,46</w:t>
            </w:r>
          </w:p>
        </w:tc>
        <w:tc>
          <w:tcPr>
            <w:tcW w:w="1238" w:type="dxa"/>
            <w:vAlign w:val="center"/>
          </w:tcPr>
          <w:p w14:paraId="7DF11E23" w14:textId="77777777" w:rsidR="00295BCD" w:rsidRPr="001927D6" w:rsidRDefault="00295BCD">
            <w:pPr>
              <w:spacing w:after="0" w:line="240" w:lineRule="auto"/>
              <w:jc w:val="center"/>
              <w:textAlignment w:val="baseline"/>
              <w:rPr>
                <w:szCs w:val="24"/>
                <w:lang w:eastAsia="et-EE"/>
              </w:rPr>
            </w:pPr>
            <w:r w:rsidRPr="001927D6">
              <w:rPr>
                <w:color w:val="000000"/>
                <w:szCs w:val="24"/>
              </w:rPr>
              <w:t>1 422,90</w:t>
            </w:r>
          </w:p>
        </w:tc>
      </w:tr>
      <w:tr w:rsidR="00295BCD" w:rsidRPr="001927D6" w14:paraId="19425AB5" w14:textId="77777777" w:rsidTr="00295BCD">
        <w:trPr>
          <w:divId w:val="1316184749"/>
          <w:trHeight w:val="300"/>
        </w:trPr>
        <w:tc>
          <w:tcPr>
            <w:tcW w:w="4632" w:type="dxa"/>
            <w:vAlign w:val="bottom"/>
            <w:hideMark/>
          </w:tcPr>
          <w:p w14:paraId="6B75B465" w14:textId="77777777" w:rsidR="00295BCD" w:rsidRPr="001927D6" w:rsidRDefault="00295BCD">
            <w:pPr>
              <w:spacing w:after="0" w:line="240" w:lineRule="auto"/>
              <w:textAlignment w:val="baseline"/>
              <w:rPr>
                <w:szCs w:val="24"/>
                <w:lang w:eastAsia="et-EE"/>
              </w:rPr>
            </w:pPr>
            <w:r w:rsidRPr="001927D6">
              <w:rPr>
                <w:szCs w:val="24"/>
                <w:lang w:eastAsia="et-EE"/>
              </w:rPr>
              <w:t>Kahepoolsed või mitmikoperatsioonid alajäseme suurtel liigestel </w:t>
            </w:r>
          </w:p>
        </w:tc>
        <w:tc>
          <w:tcPr>
            <w:tcW w:w="732" w:type="dxa"/>
            <w:vAlign w:val="center"/>
            <w:hideMark/>
          </w:tcPr>
          <w:p w14:paraId="1D9673F0" w14:textId="77777777" w:rsidR="00295BCD" w:rsidRPr="001927D6" w:rsidRDefault="00295BCD">
            <w:pPr>
              <w:spacing w:after="0" w:line="240" w:lineRule="auto"/>
              <w:jc w:val="center"/>
              <w:textAlignment w:val="baseline"/>
              <w:rPr>
                <w:szCs w:val="24"/>
                <w:lang w:eastAsia="et-EE"/>
              </w:rPr>
            </w:pPr>
            <w:r w:rsidRPr="001927D6">
              <w:rPr>
                <w:szCs w:val="24"/>
                <w:lang w:eastAsia="et-EE"/>
              </w:rPr>
              <w:t>471N </w:t>
            </w:r>
          </w:p>
        </w:tc>
        <w:tc>
          <w:tcPr>
            <w:tcW w:w="1243" w:type="dxa"/>
            <w:vAlign w:val="center"/>
          </w:tcPr>
          <w:p w14:paraId="2FEA91BC" w14:textId="77777777" w:rsidR="00295BCD" w:rsidRPr="001927D6" w:rsidRDefault="00295BCD">
            <w:pPr>
              <w:spacing w:after="0" w:line="240" w:lineRule="auto"/>
              <w:jc w:val="center"/>
              <w:textAlignment w:val="baseline"/>
              <w:rPr>
                <w:szCs w:val="24"/>
                <w:lang w:eastAsia="et-EE"/>
              </w:rPr>
            </w:pPr>
            <w:r w:rsidRPr="001927D6">
              <w:rPr>
                <w:color w:val="000000"/>
                <w:szCs w:val="24"/>
              </w:rPr>
              <w:t>11 259,33</w:t>
            </w:r>
          </w:p>
        </w:tc>
        <w:tc>
          <w:tcPr>
            <w:tcW w:w="1211" w:type="dxa"/>
            <w:vAlign w:val="center"/>
          </w:tcPr>
          <w:p w14:paraId="54E5A114" w14:textId="77777777" w:rsidR="00295BCD" w:rsidRPr="001927D6" w:rsidRDefault="00295BCD">
            <w:pPr>
              <w:spacing w:after="0" w:line="240" w:lineRule="auto"/>
              <w:jc w:val="center"/>
              <w:textAlignment w:val="baseline"/>
              <w:rPr>
                <w:szCs w:val="24"/>
                <w:lang w:eastAsia="et-EE"/>
              </w:rPr>
            </w:pPr>
            <w:r w:rsidRPr="001927D6">
              <w:rPr>
                <w:color w:val="000000"/>
                <w:szCs w:val="24"/>
              </w:rPr>
              <w:t>5 180,75</w:t>
            </w:r>
          </w:p>
        </w:tc>
        <w:tc>
          <w:tcPr>
            <w:tcW w:w="1238" w:type="dxa"/>
            <w:vAlign w:val="center"/>
          </w:tcPr>
          <w:p w14:paraId="0861568F" w14:textId="77777777" w:rsidR="00295BCD" w:rsidRPr="001927D6" w:rsidRDefault="00295BCD">
            <w:pPr>
              <w:spacing w:after="0" w:line="240" w:lineRule="auto"/>
              <w:jc w:val="center"/>
              <w:textAlignment w:val="baseline"/>
              <w:rPr>
                <w:szCs w:val="24"/>
                <w:lang w:eastAsia="et-EE"/>
              </w:rPr>
            </w:pPr>
            <w:r w:rsidRPr="001927D6">
              <w:rPr>
                <w:color w:val="000000"/>
                <w:szCs w:val="24"/>
              </w:rPr>
              <w:t>19 130,01</w:t>
            </w:r>
          </w:p>
        </w:tc>
      </w:tr>
      <w:tr w:rsidR="00295BCD" w:rsidRPr="001927D6" w14:paraId="365CA029" w14:textId="77777777" w:rsidTr="00295BCD">
        <w:trPr>
          <w:divId w:val="1316184749"/>
          <w:trHeight w:val="300"/>
        </w:trPr>
        <w:tc>
          <w:tcPr>
            <w:tcW w:w="4632" w:type="dxa"/>
            <w:vAlign w:val="bottom"/>
            <w:hideMark/>
          </w:tcPr>
          <w:p w14:paraId="219E926B" w14:textId="77777777" w:rsidR="00295BCD" w:rsidRPr="001927D6" w:rsidRDefault="00295BCD">
            <w:pPr>
              <w:spacing w:after="0" w:line="240" w:lineRule="auto"/>
              <w:textAlignment w:val="baseline"/>
              <w:rPr>
                <w:szCs w:val="24"/>
                <w:lang w:eastAsia="et-EE"/>
              </w:rPr>
            </w:pPr>
            <w:r w:rsidRPr="001927D6">
              <w:rPr>
                <w:szCs w:val="24"/>
                <w:lang w:eastAsia="et-EE"/>
              </w:rPr>
              <w:t>Ulatuslikud põletused, mis vajavad operatsioone </w:t>
            </w:r>
          </w:p>
        </w:tc>
        <w:tc>
          <w:tcPr>
            <w:tcW w:w="732" w:type="dxa"/>
            <w:vAlign w:val="center"/>
            <w:hideMark/>
          </w:tcPr>
          <w:p w14:paraId="5B63E358" w14:textId="77777777" w:rsidR="00295BCD" w:rsidRPr="001927D6" w:rsidRDefault="00295BCD">
            <w:pPr>
              <w:spacing w:after="0" w:line="240" w:lineRule="auto"/>
              <w:jc w:val="center"/>
              <w:textAlignment w:val="baseline"/>
              <w:rPr>
                <w:szCs w:val="24"/>
                <w:lang w:eastAsia="et-EE"/>
              </w:rPr>
            </w:pPr>
            <w:r w:rsidRPr="001927D6">
              <w:rPr>
                <w:szCs w:val="24"/>
                <w:lang w:eastAsia="et-EE"/>
              </w:rPr>
              <w:t>472 </w:t>
            </w:r>
          </w:p>
        </w:tc>
        <w:tc>
          <w:tcPr>
            <w:tcW w:w="1243" w:type="dxa"/>
            <w:vAlign w:val="center"/>
          </w:tcPr>
          <w:p w14:paraId="221583F5" w14:textId="77777777" w:rsidR="00295BCD" w:rsidRPr="001927D6" w:rsidRDefault="00295BCD">
            <w:pPr>
              <w:spacing w:after="0" w:line="240" w:lineRule="auto"/>
              <w:jc w:val="center"/>
              <w:textAlignment w:val="baseline"/>
              <w:rPr>
                <w:szCs w:val="24"/>
                <w:lang w:eastAsia="et-EE"/>
              </w:rPr>
            </w:pPr>
            <w:r w:rsidRPr="001927D6">
              <w:rPr>
                <w:color w:val="000000"/>
                <w:szCs w:val="24"/>
              </w:rPr>
              <w:t>18 556,56</w:t>
            </w:r>
          </w:p>
        </w:tc>
        <w:tc>
          <w:tcPr>
            <w:tcW w:w="1211" w:type="dxa"/>
            <w:vAlign w:val="center"/>
          </w:tcPr>
          <w:p w14:paraId="2E741171" w14:textId="77777777" w:rsidR="00295BCD" w:rsidRPr="001927D6" w:rsidRDefault="00295BCD">
            <w:pPr>
              <w:spacing w:after="0" w:line="240" w:lineRule="auto"/>
              <w:jc w:val="center"/>
              <w:textAlignment w:val="baseline"/>
              <w:rPr>
                <w:szCs w:val="24"/>
                <w:lang w:eastAsia="et-EE"/>
              </w:rPr>
            </w:pPr>
            <w:r w:rsidRPr="001927D6">
              <w:rPr>
                <w:color w:val="000000"/>
                <w:szCs w:val="24"/>
              </w:rPr>
              <w:t>2 852,46</w:t>
            </w:r>
          </w:p>
        </w:tc>
        <w:tc>
          <w:tcPr>
            <w:tcW w:w="1238" w:type="dxa"/>
            <w:vAlign w:val="center"/>
          </w:tcPr>
          <w:p w14:paraId="35CDE1CF" w14:textId="77777777" w:rsidR="00295BCD" w:rsidRPr="001927D6" w:rsidRDefault="00295BCD">
            <w:pPr>
              <w:spacing w:after="0" w:line="240" w:lineRule="auto"/>
              <w:jc w:val="center"/>
              <w:textAlignment w:val="baseline"/>
              <w:rPr>
                <w:szCs w:val="24"/>
                <w:lang w:eastAsia="et-EE"/>
              </w:rPr>
            </w:pPr>
            <w:r w:rsidRPr="001927D6">
              <w:rPr>
                <w:color w:val="000000"/>
                <w:szCs w:val="24"/>
              </w:rPr>
              <w:t>67 692,27</w:t>
            </w:r>
          </w:p>
        </w:tc>
      </w:tr>
      <w:tr w:rsidR="00295BCD" w:rsidRPr="001927D6" w14:paraId="344DADB8" w14:textId="77777777" w:rsidTr="00295BCD">
        <w:trPr>
          <w:divId w:val="1316184749"/>
          <w:trHeight w:val="300"/>
        </w:trPr>
        <w:tc>
          <w:tcPr>
            <w:tcW w:w="4632" w:type="dxa"/>
            <w:vAlign w:val="bottom"/>
            <w:hideMark/>
          </w:tcPr>
          <w:p w14:paraId="1A791632" w14:textId="77777777" w:rsidR="00295BCD" w:rsidRPr="001927D6" w:rsidRDefault="00295BCD">
            <w:pPr>
              <w:spacing w:after="0" w:line="240" w:lineRule="auto"/>
              <w:textAlignment w:val="baseline"/>
              <w:rPr>
                <w:szCs w:val="24"/>
                <w:lang w:eastAsia="et-EE"/>
              </w:rPr>
            </w:pPr>
            <w:r w:rsidRPr="001927D6">
              <w:rPr>
                <w:szCs w:val="24"/>
                <w:lang w:eastAsia="et-EE"/>
              </w:rPr>
              <w:t>Ulatuslikud põletused, mis vajavad operatsioone, lühike ravi </w:t>
            </w:r>
          </w:p>
        </w:tc>
        <w:tc>
          <w:tcPr>
            <w:tcW w:w="732" w:type="dxa"/>
            <w:vAlign w:val="center"/>
            <w:hideMark/>
          </w:tcPr>
          <w:p w14:paraId="325532B7" w14:textId="77777777" w:rsidR="00295BCD" w:rsidRPr="001927D6" w:rsidRDefault="00295BCD">
            <w:pPr>
              <w:spacing w:after="0" w:line="240" w:lineRule="auto"/>
              <w:jc w:val="center"/>
              <w:textAlignment w:val="baseline"/>
              <w:rPr>
                <w:szCs w:val="24"/>
                <w:lang w:eastAsia="et-EE"/>
              </w:rPr>
            </w:pPr>
            <w:r w:rsidRPr="001927D6">
              <w:rPr>
                <w:szCs w:val="24"/>
                <w:lang w:eastAsia="et-EE"/>
              </w:rPr>
              <w:t>472O </w:t>
            </w:r>
          </w:p>
        </w:tc>
        <w:tc>
          <w:tcPr>
            <w:tcW w:w="1243" w:type="dxa"/>
            <w:vAlign w:val="center"/>
          </w:tcPr>
          <w:p w14:paraId="098752F4" w14:textId="77777777" w:rsidR="00295BCD" w:rsidRPr="001927D6" w:rsidRDefault="00295BCD">
            <w:pPr>
              <w:spacing w:after="0" w:line="240" w:lineRule="auto"/>
              <w:jc w:val="center"/>
              <w:textAlignment w:val="baseline"/>
              <w:rPr>
                <w:szCs w:val="24"/>
                <w:lang w:eastAsia="et-EE"/>
              </w:rPr>
            </w:pPr>
            <w:r w:rsidRPr="001927D6">
              <w:rPr>
                <w:color w:val="000000"/>
                <w:szCs w:val="24"/>
              </w:rPr>
              <w:t>2 261,36</w:t>
            </w:r>
          </w:p>
        </w:tc>
        <w:tc>
          <w:tcPr>
            <w:tcW w:w="1211" w:type="dxa"/>
            <w:vAlign w:val="center"/>
          </w:tcPr>
          <w:p w14:paraId="2785FE29" w14:textId="77777777" w:rsidR="00295BCD" w:rsidRPr="001927D6" w:rsidRDefault="00295BCD">
            <w:pPr>
              <w:spacing w:after="0" w:line="240" w:lineRule="auto"/>
              <w:jc w:val="center"/>
              <w:textAlignment w:val="baseline"/>
              <w:rPr>
                <w:szCs w:val="24"/>
                <w:lang w:eastAsia="et-EE"/>
              </w:rPr>
            </w:pPr>
            <w:r w:rsidRPr="001927D6">
              <w:rPr>
                <w:color w:val="000000"/>
                <w:szCs w:val="24"/>
              </w:rPr>
              <w:t>1 073,17</w:t>
            </w:r>
          </w:p>
        </w:tc>
        <w:tc>
          <w:tcPr>
            <w:tcW w:w="1238" w:type="dxa"/>
            <w:vAlign w:val="center"/>
          </w:tcPr>
          <w:p w14:paraId="5A74221E" w14:textId="77777777" w:rsidR="00295BCD" w:rsidRPr="001927D6" w:rsidRDefault="00295BCD">
            <w:pPr>
              <w:spacing w:after="0" w:line="240" w:lineRule="auto"/>
              <w:jc w:val="center"/>
              <w:textAlignment w:val="baseline"/>
              <w:rPr>
                <w:szCs w:val="24"/>
                <w:lang w:eastAsia="et-EE"/>
              </w:rPr>
            </w:pPr>
            <w:r w:rsidRPr="001927D6">
              <w:rPr>
                <w:color w:val="000000"/>
                <w:szCs w:val="24"/>
              </w:rPr>
              <w:t>4 584,05</w:t>
            </w:r>
          </w:p>
        </w:tc>
      </w:tr>
      <w:tr w:rsidR="00295BCD" w:rsidRPr="001927D6" w14:paraId="18AC2C3F" w14:textId="77777777" w:rsidTr="00295BCD">
        <w:trPr>
          <w:divId w:val="1316184749"/>
          <w:trHeight w:val="300"/>
        </w:trPr>
        <w:tc>
          <w:tcPr>
            <w:tcW w:w="4632" w:type="dxa"/>
            <w:vAlign w:val="bottom"/>
            <w:hideMark/>
          </w:tcPr>
          <w:p w14:paraId="230E3700" w14:textId="77777777" w:rsidR="00295BCD" w:rsidRPr="001927D6" w:rsidRDefault="00295BCD">
            <w:pPr>
              <w:spacing w:after="0" w:line="240" w:lineRule="auto"/>
              <w:textAlignment w:val="baseline"/>
              <w:rPr>
                <w:szCs w:val="24"/>
                <w:lang w:eastAsia="et-EE"/>
              </w:rPr>
            </w:pPr>
            <w:r w:rsidRPr="001927D6">
              <w:rPr>
                <w:szCs w:val="24"/>
                <w:lang w:eastAsia="et-EE"/>
              </w:rPr>
              <w:t>Äge leukeemia ilma suurte operatsioonideta, vanus &gt; 17 </w:t>
            </w:r>
          </w:p>
        </w:tc>
        <w:tc>
          <w:tcPr>
            <w:tcW w:w="732" w:type="dxa"/>
            <w:vAlign w:val="center"/>
            <w:hideMark/>
          </w:tcPr>
          <w:p w14:paraId="7360B597" w14:textId="77777777" w:rsidR="00295BCD" w:rsidRPr="001927D6" w:rsidRDefault="00295BCD">
            <w:pPr>
              <w:spacing w:after="0" w:line="240" w:lineRule="auto"/>
              <w:jc w:val="center"/>
              <w:textAlignment w:val="baseline"/>
              <w:rPr>
                <w:szCs w:val="24"/>
                <w:lang w:eastAsia="et-EE"/>
              </w:rPr>
            </w:pPr>
            <w:r w:rsidRPr="001927D6">
              <w:rPr>
                <w:szCs w:val="24"/>
                <w:lang w:eastAsia="et-EE"/>
              </w:rPr>
              <w:t>473 </w:t>
            </w:r>
          </w:p>
        </w:tc>
        <w:tc>
          <w:tcPr>
            <w:tcW w:w="1243" w:type="dxa"/>
            <w:vAlign w:val="center"/>
          </w:tcPr>
          <w:p w14:paraId="602363B4" w14:textId="77777777" w:rsidR="00295BCD" w:rsidRPr="001927D6" w:rsidRDefault="00295BCD">
            <w:pPr>
              <w:spacing w:after="0" w:line="240" w:lineRule="auto"/>
              <w:jc w:val="center"/>
              <w:textAlignment w:val="baseline"/>
              <w:rPr>
                <w:szCs w:val="24"/>
                <w:lang w:eastAsia="et-EE"/>
              </w:rPr>
            </w:pPr>
            <w:r w:rsidRPr="001927D6">
              <w:rPr>
                <w:color w:val="000000"/>
                <w:szCs w:val="24"/>
              </w:rPr>
              <w:t>4 028,89</w:t>
            </w:r>
          </w:p>
        </w:tc>
        <w:tc>
          <w:tcPr>
            <w:tcW w:w="1211" w:type="dxa"/>
            <w:vAlign w:val="center"/>
          </w:tcPr>
          <w:p w14:paraId="48B4E85A" w14:textId="77777777" w:rsidR="00295BCD" w:rsidRPr="001927D6" w:rsidRDefault="00295BCD">
            <w:pPr>
              <w:spacing w:after="0" w:line="240" w:lineRule="auto"/>
              <w:jc w:val="center"/>
              <w:textAlignment w:val="baseline"/>
              <w:rPr>
                <w:szCs w:val="24"/>
                <w:lang w:eastAsia="et-EE"/>
              </w:rPr>
            </w:pPr>
            <w:r w:rsidRPr="001927D6">
              <w:rPr>
                <w:color w:val="000000"/>
                <w:szCs w:val="24"/>
              </w:rPr>
              <w:t>771,17</w:t>
            </w:r>
          </w:p>
        </w:tc>
        <w:tc>
          <w:tcPr>
            <w:tcW w:w="1238" w:type="dxa"/>
            <w:vAlign w:val="center"/>
          </w:tcPr>
          <w:p w14:paraId="5F42971D" w14:textId="77777777" w:rsidR="00295BCD" w:rsidRPr="001927D6" w:rsidRDefault="00295BCD">
            <w:pPr>
              <w:spacing w:after="0" w:line="240" w:lineRule="auto"/>
              <w:jc w:val="center"/>
              <w:textAlignment w:val="baseline"/>
              <w:rPr>
                <w:szCs w:val="24"/>
                <w:lang w:eastAsia="et-EE"/>
              </w:rPr>
            </w:pPr>
            <w:r w:rsidRPr="001927D6">
              <w:rPr>
                <w:color w:val="000000"/>
                <w:szCs w:val="24"/>
              </w:rPr>
              <w:t>9 841,43</w:t>
            </w:r>
          </w:p>
        </w:tc>
      </w:tr>
      <w:tr w:rsidR="00295BCD" w:rsidRPr="001927D6" w14:paraId="67C39641" w14:textId="77777777" w:rsidTr="00295BCD">
        <w:trPr>
          <w:divId w:val="1316184749"/>
          <w:trHeight w:val="300"/>
        </w:trPr>
        <w:tc>
          <w:tcPr>
            <w:tcW w:w="4632" w:type="dxa"/>
            <w:vAlign w:val="bottom"/>
            <w:hideMark/>
          </w:tcPr>
          <w:p w14:paraId="202A3844" w14:textId="77777777" w:rsidR="00295BCD" w:rsidRPr="001927D6" w:rsidRDefault="00295BCD">
            <w:pPr>
              <w:spacing w:after="0" w:line="240" w:lineRule="auto"/>
              <w:textAlignment w:val="baseline"/>
              <w:rPr>
                <w:szCs w:val="24"/>
                <w:lang w:eastAsia="et-EE"/>
              </w:rPr>
            </w:pPr>
            <w:r w:rsidRPr="001927D6">
              <w:rPr>
                <w:szCs w:val="24"/>
                <w:lang w:eastAsia="et-EE"/>
              </w:rPr>
              <w:t>Harv diagnoosi ja muu operatsiooni kombinatsioon </w:t>
            </w:r>
          </w:p>
        </w:tc>
        <w:tc>
          <w:tcPr>
            <w:tcW w:w="732" w:type="dxa"/>
            <w:vAlign w:val="center"/>
            <w:hideMark/>
          </w:tcPr>
          <w:p w14:paraId="0EBD5835" w14:textId="77777777" w:rsidR="00295BCD" w:rsidRPr="001927D6" w:rsidRDefault="00295BCD">
            <w:pPr>
              <w:spacing w:after="0" w:line="240" w:lineRule="auto"/>
              <w:jc w:val="center"/>
              <w:textAlignment w:val="baseline"/>
              <w:rPr>
                <w:szCs w:val="24"/>
                <w:lang w:eastAsia="et-EE"/>
              </w:rPr>
            </w:pPr>
            <w:r w:rsidRPr="001927D6">
              <w:rPr>
                <w:szCs w:val="24"/>
                <w:lang w:eastAsia="et-EE"/>
              </w:rPr>
              <w:t>477 </w:t>
            </w:r>
          </w:p>
        </w:tc>
        <w:tc>
          <w:tcPr>
            <w:tcW w:w="1243" w:type="dxa"/>
            <w:vAlign w:val="center"/>
          </w:tcPr>
          <w:p w14:paraId="10ED9205" w14:textId="77777777" w:rsidR="00295BCD" w:rsidRPr="001927D6" w:rsidRDefault="00295BCD">
            <w:pPr>
              <w:spacing w:after="0" w:line="240" w:lineRule="auto"/>
              <w:jc w:val="center"/>
              <w:textAlignment w:val="baseline"/>
              <w:rPr>
                <w:szCs w:val="24"/>
                <w:lang w:eastAsia="et-EE"/>
              </w:rPr>
            </w:pPr>
            <w:r w:rsidRPr="001927D6">
              <w:rPr>
                <w:color w:val="000000"/>
                <w:szCs w:val="24"/>
              </w:rPr>
              <w:t>4 359,28</w:t>
            </w:r>
          </w:p>
        </w:tc>
        <w:tc>
          <w:tcPr>
            <w:tcW w:w="1211" w:type="dxa"/>
            <w:vAlign w:val="center"/>
          </w:tcPr>
          <w:p w14:paraId="0507761A" w14:textId="77777777" w:rsidR="00295BCD" w:rsidRPr="001927D6" w:rsidRDefault="00295BCD">
            <w:pPr>
              <w:spacing w:after="0" w:line="240" w:lineRule="auto"/>
              <w:jc w:val="center"/>
              <w:textAlignment w:val="baseline"/>
              <w:rPr>
                <w:szCs w:val="24"/>
                <w:lang w:eastAsia="et-EE"/>
              </w:rPr>
            </w:pPr>
            <w:r w:rsidRPr="001927D6">
              <w:rPr>
                <w:color w:val="000000"/>
                <w:szCs w:val="24"/>
              </w:rPr>
              <w:t>1 166,13</w:t>
            </w:r>
          </w:p>
        </w:tc>
        <w:tc>
          <w:tcPr>
            <w:tcW w:w="1238" w:type="dxa"/>
            <w:vAlign w:val="center"/>
          </w:tcPr>
          <w:p w14:paraId="0A4A8456" w14:textId="77777777" w:rsidR="00295BCD" w:rsidRPr="001927D6" w:rsidRDefault="00295BCD">
            <w:pPr>
              <w:spacing w:after="0" w:line="240" w:lineRule="auto"/>
              <w:jc w:val="center"/>
              <w:textAlignment w:val="baseline"/>
              <w:rPr>
                <w:szCs w:val="24"/>
                <w:lang w:eastAsia="et-EE"/>
              </w:rPr>
            </w:pPr>
            <w:r w:rsidRPr="001927D6">
              <w:rPr>
                <w:color w:val="000000"/>
                <w:szCs w:val="24"/>
              </w:rPr>
              <w:t>12 747,28</w:t>
            </w:r>
          </w:p>
        </w:tc>
      </w:tr>
      <w:tr w:rsidR="00295BCD" w:rsidRPr="001927D6" w14:paraId="6AB4AC00" w14:textId="77777777" w:rsidTr="00295BCD">
        <w:trPr>
          <w:divId w:val="1316184749"/>
          <w:trHeight w:val="300"/>
        </w:trPr>
        <w:tc>
          <w:tcPr>
            <w:tcW w:w="4632" w:type="dxa"/>
            <w:vAlign w:val="bottom"/>
            <w:hideMark/>
          </w:tcPr>
          <w:p w14:paraId="55683299" w14:textId="77777777" w:rsidR="00295BCD" w:rsidRPr="001927D6" w:rsidRDefault="00295BCD">
            <w:pPr>
              <w:spacing w:after="0" w:line="240" w:lineRule="auto"/>
              <w:textAlignment w:val="baseline"/>
              <w:rPr>
                <w:szCs w:val="24"/>
                <w:lang w:eastAsia="et-EE"/>
              </w:rPr>
            </w:pPr>
            <w:r w:rsidRPr="001927D6">
              <w:rPr>
                <w:szCs w:val="24"/>
                <w:lang w:eastAsia="et-EE"/>
              </w:rPr>
              <w:t>Põhihaigusega mitteseonduv väheulatuslik operatsioon, lühike ravi </w:t>
            </w:r>
          </w:p>
        </w:tc>
        <w:tc>
          <w:tcPr>
            <w:tcW w:w="732" w:type="dxa"/>
            <w:vAlign w:val="center"/>
            <w:hideMark/>
          </w:tcPr>
          <w:p w14:paraId="196A0282" w14:textId="77777777" w:rsidR="00295BCD" w:rsidRPr="001927D6" w:rsidRDefault="00295BCD">
            <w:pPr>
              <w:spacing w:after="0" w:line="240" w:lineRule="auto"/>
              <w:jc w:val="center"/>
              <w:textAlignment w:val="baseline"/>
              <w:rPr>
                <w:szCs w:val="24"/>
                <w:lang w:eastAsia="et-EE"/>
              </w:rPr>
            </w:pPr>
            <w:r w:rsidRPr="001927D6">
              <w:rPr>
                <w:szCs w:val="24"/>
                <w:lang w:eastAsia="et-EE"/>
              </w:rPr>
              <w:t>477O </w:t>
            </w:r>
          </w:p>
        </w:tc>
        <w:tc>
          <w:tcPr>
            <w:tcW w:w="1243" w:type="dxa"/>
            <w:vAlign w:val="center"/>
          </w:tcPr>
          <w:p w14:paraId="12EEF06C" w14:textId="77777777" w:rsidR="00295BCD" w:rsidRPr="001927D6" w:rsidRDefault="00295BCD">
            <w:pPr>
              <w:spacing w:after="0" w:line="240" w:lineRule="auto"/>
              <w:jc w:val="center"/>
              <w:textAlignment w:val="baseline"/>
              <w:rPr>
                <w:szCs w:val="24"/>
                <w:lang w:eastAsia="et-EE"/>
              </w:rPr>
            </w:pPr>
            <w:r w:rsidRPr="001927D6">
              <w:rPr>
                <w:color w:val="000000"/>
                <w:szCs w:val="24"/>
              </w:rPr>
              <w:t>983,99</w:t>
            </w:r>
          </w:p>
        </w:tc>
        <w:tc>
          <w:tcPr>
            <w:tcW w:w="1211" w:type="dxa"/>
            <w:vAlign w:val="center"/>
          </w:tcPr>
          <w:p w14:paraId="738A25BD" w14:textId="77777777" w:rsidR="00295BCD" w:rsidRPr="001927D6" w:rsidRDefault="00295BCD">
            <w:pPr>
              <w:spacing w:after="0" w:line="240" w:lineRule="auto"/>
              <w:jc w:val="center"/>
              <w:textAlignment w:val="baseline"/>
              <w:rPr>
                <w:szCs w:val="24"/>
                <w:lang w:eastAsia="et-EE"/>
              </w:rPr>
            </w:pPr>
            <w:r w:rsidRPr="001927D6">
              <w:rPr>
                <w:color w:val="000000"/>
                <w:szCs w:val="24"/>
              </w:rPr>
              <w:t>365,12</w:t>
            </w:r>
          </w:p>
        </w:tc>
        <w:tc>
          <w:tcPr>
            <w:tcW w:w="1238" w:type="dxa"/>
            <w:vAlign w:val="center"/>
          </w:tcPr>
          <w:p w14:paraId="15D6C0F1" w14:textId="77777777" w:rsidR="00295BCD" w:rsidRPr="001927D6" w:rsidRDefault="00295BCD">
            <w:pPr>
              <w:spacing w:after="0" w:line="240" w:lineRule="auto"/>
              <w:jc w:val="center"/>
              <w:textAlignment w:val="baseline"/>
              <w:rPr>
                <w:szCs w:val="24"/>
                <w:lang w:eastAsia="et-EE"/>
              </w:rPr>
            </w:pPr>
            <w:r w:rsidRPr="001927D6">
              <w:rPr>
                <w:color w:val="000000"/>
                <w:szCs w:val="24"/>
              </w:rPr>
              <w:t>2 076,62</w:t>
            </w:r>
          </w:p>
        </w:tc>
      </w:tr>
      <w:tr w:rsidR="00295BCD" w:rsidRPr="001927D6" w14:paraId="4F1EF968" w14:textId="77777777" w:rsidTr="00295BCD">
        <w:trPr>
          <w:divId w:val="1316184749"/>
          <w:trHeight w:val="300"/>
        </w:trPr>
        <w:tc>
          <w:tcPr>
            <w:tcW w:w="4632" w:type="dxa"/>
            <w:vAlign w:val="bottom"/>
            <w:hideMark/>
          </w:tcPr>
          <w:p w14:paraId="30375CA9" w14:textId="77777777" w:rsidR="00295BCD" w:rsidRPr="001927D6" w:rsidRDefault="00295BCD">
            <w:pPr>
              <w:spacing w:after="0" w:line="240" w:lineRule="auto"/>
              <w:textAlignment w:val="baseline"/>
              <w:rPr>
                <w:szCs w:val="24"/>
                <w:lang w:eastAsia="et-EE"/>
              </w:rPr>
            </w:pPr>
            <w:r w:rsidRPr="001927D6">
              <w:rPr>
                <w:szCs w:val="24"/>
                <w:lang w:eastAsia="et-EE"/>
              </w:rPr>
              <w:t>Muud veresoonte operatsioonid, kht-ga </w:t>
            </w:r>
          </w:p>
        </w:tc>
        <w:tc>
          <w:tcPr>
            <w:tcW w:w="732" w:type="dxa"/>
            <w:vAlign w:val="center"/>
            <w:hideMark/>
          </w:tcPr>
          <w:p w14:paraId="56EA7F02" w14:textId="77777777" w:rsidR="00295BCD" w:rsidRPr="001927D6" w:rsidRDefault="00295BCD">
            <w:pPr>
              <w:spacing w:after="0" w:line="240" w:lineRule="auto"/>
              <w:jc w:val="center"/>
              <w:textAlignment w:val="baseline"/>
              <w:rPr>
                <w:szCs w:val="24"/>
                <w:lang w:eastAsia="et-EE"/>
              </w:rPr>
            </w:pPr>
            <w:r w:rsidRPr="001927D6">
              <w:rPr>
                <w:szCs w:val="24"/>
                <w:lang w:eastAsia="et-EE"/>
              </w:rPr>
              <w:t>478 </w:t>
            </w:r>
          </w:p>
        </w:tc>
        <w:tc>
          <w:tcPr>
            <w:tcW w:w="1243" w:type="dxa"/>
            <w:vAlign w:val="center"/>
          </w:tcPr>
          <w:p w14:paraId="7D1751BB" w14:textId="77777777" w:rsidR="00295BCD" w:rsidRPr="001927D6" w:rsidRDefault="00295BCD">
            <w:pPr>
              <w:spacing w:after="0" w:line="240" w:lineRule="auto"/>
              <w:jc w:val="center"/>
              <w:textAlignment w:val="baseline"/>
              <w:rPr>
                <w:szCs w:val="24"/>
                <w:lang w:eastAsia="et-EE"/>
              </w:rPr>
            </w:pPr>
            <w:r w:rsidRPr="001927D6">
              <w:rPr>
                <w:color w:val="000000"/>
                <w:szCs w:val="24"/>
              </w:rPr>
              <w:t>6 406,06</w:t>
            </w:r>
          </w:p>
        </w:tc>
        <w:tc>
          <w:tcPr>
            <w:tcW w:w="1211" w:type="dxa"/>
            <w:vAlign w:val="center"/>
          </w:tcPr>
          <w:p w14:paraId="02A76341" w14:textId="77777777" w:rsidR="00295BCD" w:rsidRPr="001927D6" w:rsidRDefault="00295BCD">
            <w:pPr>
              <w:spacing w:after="0" w:line="240" w:lineRule="auto"/>
              <w:jc w:val="center"/>
              <w:textAlignment w:val="baseline"/>
              <w:rPr>
                <w:szCs w:val="24"/>
                <w:lang w:eastAsia="et-EE"/>
              </w:rPr>
            </w:pPr>
            <w:r w:rsidRPr="001927D6">
              <w:rPr>
                <w:color w:val="000000"/>
                <w:szCs w:val="24"/>
              </w:rPr>
              <w:t>2 607,31</w:t>
            </w:r>
          </w:p>
        </w:tc>
        <w:tc>
          <w:tcPr>
            <w:tcW w:w="1238" w:type="dxa"/>
            <w:vAlign w:val="center"/>
          </w:tcPr>
          <w:p w14:paraId="6A9772E0" w14:textId="77777777" w:rsidR="00295BCD" w:rsidRPr="001927D6" w:rsidRDefault="00295BCD">
            <w:pPr>
              <w:spacing w:after="0" w:line="240" w:lineRule="auto"/>
              <w:jc w:val="center"/>
              <w:textAlignment w:val="baseline"/>
              <w:rPr>
                <w:szCs w:val="24"/>
                <w:lang w:eastAsia="et-EE"/>
              </w:rPr>
            </w:pPr>
            <w:r w:rsidRPr="001927D6">
              <w:rPr>
                <w:color w:val="000000"/>
                <w:szCs w:val="24"/>
              </w:rPr>
              <w:t>12 634,83</w:t>
            </w:r>
          </w:p>
        </w:tc>
      </w:tr>
      <w:tr w:rsidR="00295BCD" w:rsidRPr="001927D6" w14:paraId="09010B98" w14:textId="77777777" w:rsidTr="00295BCD">
        <w:trPr>
          <w:divId w:val="1316184749"/>
          <w:trHeight w:val="300"/>
        </w:trPr>
        <w:tc>
          <w:tcPr>
            <w:tcW w:w="4632" w:type="dxa"/>
            <w:vAlign w:val="bottom"/>
            <w:hideMark/>
          </w:tcPr>
          <w:p w14:paraId="7252E930" w14:textId="77777777" w:rsidR="00295BCD" w:rsidRPr="001927D6" w:rsidRDefault="00295BCD">
            <w:pPr>
              <w:spacing w:after="0" w:line="240" w:lineRule="auto"/>
              <w:textAlignment w:val="baseline"/>
              <w:rPr>
                <w:szCs w:val="24"/>
                <w:lang w:eastAsia="et-EE"/>
              </w:rPr>
            </w:pPr>
            <w:r w:rsidRPr="001927D6">
              <w:rPr>
                <w:szCs w:val="24"/>
                <w:lang w:eastAsia="et-EE"/>
              </w:rPr>
              <w:t>Muud veresoonte operatsioonid, kht-ta </w:t>
            </w:r>
          </w:p>
        </w:tc>
        <w:tc>
          <w:tcPr>
            <w:tcW w:w="732" w:type="dxa"/>
            <w:vAlign w:val="center"/>
            <w:hideMark/>
          </w:tcPr>
          <w:p w14:paraId="71C8D18B" w14:textId="77777777" w:rsidR="00295BCD" w:rsidRPr="001927D6" w:rsidRDefault="00295BCD">
            <w:pPr>
              <w:spacing w:after="0" w:line="240" w:lineRule="auto"/>
              <w:jc w:val="center"/>
              <w:textAlignment w:val="baseline"/>
              <w:rPr>
                <w:szCs w:val="24"/>
                <w:lang w:eastAsia="et-EE"/>
              </w:rPr>
            </w:pPr>
            <w:r w:rsidRPr="001927D6">
              <w:rPr>
                <w:szCs w:val="24"/>
                <w:lang w:eastAsia="et-EE"/>
              </w:rPr>
              <w:t>479 </w:t>
            </w:r>
          </w:p>
        </w:tc>
        <w:tc>
          <w:tcPr>
            <w:tcW w:w="1243" w:type="dxa"/>
            <w:vAlign w:val="center"/>
          </w:tcPr>
          <w:p w14:paraId="401BAC1F" w14:textId="77777777" w:rsidR="00295BCD" w:rsidRPr="001927D6" w:rsidRDefault="00295BCD">
            <w:pPr>
              <w:spacing w:after="0" w:line="240" w:lineRule="auto"/>
              <w:jc w:val="center"/>
              <w:textAlignment w:val="baseline"/>
              <w:rPr>
                <w:szCs w:val="24"/>
                <w:lang w:eastAsia="et-EE"/>
              </w:rPr>
            </w:pPr>
            <w:r w:rsidRPr="001927D6">
              <w:rPr>
                <w:color w:val="000000"/>
                <w:szCs w:val="24"/>
              </w:rPr>
              <w:t>5 623,37</w:t>
            </w:r>
          </w:p>
        </w:tc>
        <w:tc>
          <w:tcPr>
            <w:tcW w:w="1211" w:type="dxa"/>
            <w:vAlign w:val="center"/>
          </w:tcPr>
          <w:p w14:paraId="00A6E706" w14:textId="77777777" w:rsidR="00295BCD" w:rsidRPr="001927D6" w:rsidRDefault="00295BCD">
            <w:pPr>
              <w:spacing w:after="0" w:line="240" w:lineRule="auto"/>
              <w:jc w:val="center"/>
              <w:textAlignment w:val="baseline"/>
              <w:rPr>
                <w:szCs w:val="24"/>
                <w:lang w:eastAsia="et-EE"/>
              </w:rPr>
            </w:pPr>
            <w:r w:rsidRPr="001927D6">
              <w:rPr>
                <w:color w:val="000000"/>
                <w:szCs w:val="24"/>
              </w:rPr>
              <w:t>2 275,37</w:t>
            </w:r>
          </w:p>
        </w:tc>
        <w:tc>
          <w:tcPr>
            <w:tcW w:w="1238" w:type="dxa"/>
            <w:vAlign w:val="center"/>
          </w:tcPr>
          <w:p w14:paraId="1DF988C7" w14:textId="77777777" w:rsidR="00295BCD" w:rsidRPr="001927D6" w:rsidRDefault="00295BCD">
            <w:pPr>
              <w:spacing w:after="0" w:line="240" w:lineRule="auto"/>
              <w:jc w:val="center"/>
              <w:textAlignment w:val="baseline"/>
              <w:rPr>
                <w:szCs w:val="24"/>
                <w:lang w:eastAsia="et-EE"/>
              </w:rPr>
            </w:pPr>
            <w:r w:rsidRPr="001927D6">
              <w:rPr>
                <w:color w:val="000000"/>
                <w:szCs w:val="24"/>
              </w:rPr>
              <w:t>10 397,32</w:t>
            </w:r>
          </w:p>
        </w:tc>
      </w:tr>
      <w:tr w:rsidR="00295BCD" w:rsidRPr="001927D6" w14:paraId="5DE3F739" w14:textId="77777777" w:rsidTr="00295BCD">
        <w:trPr>
          <w:divId w:val="1316184749"/>
          <w:trHeight w:val="300"/>
        </w:trPr>
        <w:tc>
          <w:tcPr>
            <w:tcW w:w="4632" w:type="dxa"/>
            <w:vAlign w:val="bottom"/>
            <w:hideMark/>
          </w:tcPr>
          <w:p w14:paraId="08268846" w14:textId="77777777" w:rsidR="00295BCD" w:rsidRPr="001927D6" w:rsidRDefault="00295BCD">
            <w:pPr>
              <w:spacing w:after="0" w:line="240" w:lineRule="auto"/>
              <w:textAlignment w:val="baseline"/>
              <w:rPr>
                <w:szCs w:val="24"/>
                <w:lang w:eastAsia="et-EE"/>
              </w:rPr>
            </w:pPr>
            <w:r w:rsidRPr="001927D6">
              <w:rPr>
                <w:szCs w:val="24"/>
                <w:lang w:eastAsia="et-EE"/>
              </w:rPr>
              <w:t>Muud veresoonte operatsioonid, lühike ravi </w:t>
            </w:r>
          </w:p>
        </w:tc>
        <w:tc>
          <w:tcPr>
            <w:tcW w:w="732" w:type="dxa"/>
            <w:vAlign w:val="center"/>
            <w:hideMark/>
          </w:tcPr>
          <w:p w14:paraId="49468A2F" w14:textId="77777777" w:rsidR="00295BCD" w:rsidRPr="001927D6" w:rsidRDefault="00295BCD">
            <w:pPr>
              <w:spacing w:after="0" w:line="240" w:lineRule="auto"/>
              <w:jc w:val="center"/>
              <w:textAlignment w:val="baseline"/>
              <w:rPr>
                <w:szCs w:val="24"/>
                <w:lang w:eastAsia="et-EE"/>
              </w:rPr>
            </w:pPr>
            <w:r w:rsidRPr="001927D6">
              <w:rPr>
                <w:szCs w:val="24"/>
                <w:lang w:eastAsia="et-EE"/>
              </w:rPr>
              <w:t>479O </w:t>
            </w:r>
          </w:p>
        </w:tc>
        <w:tc>
          <w:tcPr>
            <w:tcW w:w="1243" w:type="dxa"/>
            <w:vAlign w:val="center"/>
          </w:tcPr>
          <w:p w14:paraId="322FF75E" w14:textId="77777777" w:rsidR="00295BCD" w:rsidRPr="001927D6" w:rsidRDefault="00295BCD">
            <w:pPr>
              <w:spacing w:after="0" w:line="240" w:lineRule="auto"/>
              <w:jc w:val="center"/>
              <w:textAlignment w:val="baseline"/>
              <w:rPr>
                <w:szCs w:val="24"/>
                <w:lang w:eastAsia="et-EE"/>
              </w:rPr>
            </w:pPr>
            <w:r w:rsidRPr="001927D6">
              <w:rPr>
                <w:color w:val="000000"/>
                <w:szCs w:val="24"/>
              </w:rPr>
              <w:t>909,48</w:t>
            </w:r>
          </w:p>
        </w:tc>
        <w:tc>
          <w:tcPr>
            <w:tcW w:w="1211" w:type="dxa"/>
            <w:vAlign w:val="center"/>
          </w:tcPr>
          <w:p w14:paraId="75319B79" w14:textId="77777777" w:rsidR="00295BCD" w:rsidRPr="001927D6" w:rsidRDefault="00295BCD">
            <w:pPr>
              <w:spacing w:after="0" w:line="240" w:lineRule="auto"/>
              <w:jc w:val="center"/>
              <w:textAlignment w:val="baseline"/>
              <w:rPr>
                <w:szCs w:val="24"/>
                <w:lang w:eastAsia="et-EE"/>
              </w:rPr>
            </w:pPr>
            <w:r w:rsidRPr="001927D6">
              <w:rPr>
                <w:color w:val="000000"/>
                <w:szCs w:val="24"/>
              </w:rPr>
              <w:t>504,87</w:t>
            </w:r>
          </w:p>
        </w:tc>
        <w:tc>
          <w:tcPr>
            <w:tcW w:w="1238" w:type="dxa"/>
            <w:vAlign w:val="center"/>
          </w:tcPr>
          <w:p w14:paraId="0B26785B" w14:textId="77777777" w:rsidR="00295BCD" w:rsidRPr="001927D6" w:rsidRDefault="00295BCD">
            <w:pPr>
              <w:spacing w:after="0" w:line="240" w:lineRule="auto"/>
              <w:jc w:val="center"/>
              <w:textAlignment w:val="baseline"/>
              <w:rPr>
                <w:szCs w:val="24"/>
                <w:lang w:eastAsia="et-EE"/>
              </w:rPr>
            </w:pPr>
            <w:r w:rsidRPr="001927D6">
              <w:rPr>
                <w:color w:val="000000"/>
                <w:szCs w:val="24"/>
              </w:rPr>
              <w:t>1 222,31</w:t>
            </w:r>
          </w:p>
        </w:tc>
      </w:tr>
      <w:tr w:rsidR="00295BCD" w:rsidRPr="001927D6" w14:paraId="6778B5B0" w14:textId="77777777" w:rsidTr="00295BCD">
        <w:trPr>
          <w:divId w:val="1316184749"/>
          <w:trHeight w:val="300"/>
        </w:trPr>
        <w:tc>
          <w:tcPr>
            <w:tcW w:w="4632" w:type="dxa"/>
            <w:vAlign w:val="bottom"/>
            <w:hideMark/>
          </w:tcPr>
          <w:p w14:paraId="0D904071" w14:textId="77777777" w:rsidR="00295BCD" w:rsidRPr="001927D6" w:rsidRDefault="00295BCD">
            <w:pPr>
              <w:spacing w:after="0" w:line="240" w:lineRule="auto"/>
              <w:textAlignment w:val="baseline"/>
              <w:rPr>
                <w:szCs w:val="24"/>
                <w:lang w:eastAsia="et-EE"/>
              </w:rPr>
            </w:pPr>
            <w:r w:rsidRPr="001927D6">
              <w:rPr>
                <w:szCs w:val="24"/>
                <w:lang w:eastAsia="et-EE"/>
              </w:rPr>
              <w:t>Vereringe intensiivne toetamine </w:t>
            </w:r>
          </w:p>
        </w:tc>
        <w:tc>
          <w:tcPr>
            <w:tcW w:w="732" w:type="dxa"/>
            <w:vAlign w:val="center"/>
            <w:hideMark/>
          </w:tcPr>
          <w:p w14:paraId="7204F6C1" w14:textId="77777777" w:rsidR="00295BCD" w:rsidRPr="001927D6" w:rsidRDefault="00295BCD">
            <w:pPr>
              <w:spacing w:after="0" w:line="240" w:lineRule="auto"/>
              <w:jc w:val="center"/>
              <w:textAlignment w:val="baseline"/>
              <w:rPr>
                <w:szCs w:val="24"/>
                <w:lang w:eastAsia="et-EE"/>
              </w:rPr>
            </w:pPr>
            <w:r w:rsidRPr="001927D6">
              <w:rPr>
                <w:szCs w:val="24"/>
                <w:lang w:eastAsia="et-EE"/>
              </w:rPr>
              <w:t>483B </w:t>
            </w:r>
          </w:p>
        </w:tc>
        <w:tc>
          <w:tcPr>
            <w:tcW w:w="1243" w:type="dxa"/>
            <w:vAlign w:val="center"/>
          </w:tcPr>
          <w:p w14:paraId="437B43CC" w14:textId="77777777" w:rsidR="00295BCD" w:rsidRPr="001927D6" w:rsidRDefault="00295BCD">
            <w:pPr>
              <w:spacing w:after="0" w:line="240" w:lineRule="auto"/>
              <w:jc w:val="center"/>
              <w:textAlignment w:val="baseline"/>
              <w:rPr>
                <w:szCs w:val="24"/>
                <w:lang w:eastAsia="et-EE"/>
              </w:rPr>
            </w:pPr>
            <w:r w:rsidRPr="001927D6">
              <w:rPr>
                <w:color w:val="000000"/>
                <w:szCs w:val="24"/>
              </w:rPr>
              <w:t>42 720,37</w:t>
            </w:r>
          </w:p>
        </w:tc>
        <w:tc>
          <w:tcPr>
            <w:tcW w:w="1211" w:type="dxa"/>
            <w:vAlign w:val="center"/>
          </w:tcPr>
          <w:p w14:paraId="6AE4C259" w14:textId="77777777" w:rsidR="00295BCD" w:rsidRPr="001927D6" w:rsidRDefault="00295BCD">
            <w:pPr>
              <w:spacing w:after="0" w:line="240" w:lineRule="auto"/>
              <w:jc w:val="center"/>
              <w:textAlignment w:val="baseline"/>
              <w:rPr>
                <w:szCs w:val="24"/>
                <w:lang w:eastAsia="et-EE"/>
              </w:rPr>
            </w:pPr>
            <w:r w:rsidRPr="001927D6">
              <w:rPr>
                <w:color w:val="000000"/>
                <w:szCs w:val="24"/>
              </w:rPr>
              <w:t>10 967,91</w:t>
            </w:r>
          </w:p>
        </w:tc>
        <w:tc>
          <w:tcPr>
            <w:tcW w:w="1238" w:type="dxa"/>
            <w:vAlign w:val="center"/>
          </w:tcPr>
          <w:p w14:paraId="6500B6FB" w14:textId="77777777" w:rsidR="00295BCD" w:rsidRPr="001927D6" w:rsidRDefault="00295BCD">
            <w:pPr>
              <w:spacing w:after="0" w:line="240" w:lineRule="auto"/>
              <w:jc w:val="center"/>
              <w:textAlignment w:val="baseline"/>
              <w:rPr>
                <w:szCs w:val="24"/>
                <w:lang w:eastAsia="et-EE"/>
              </w:rPr>
            </w:pPr>
            <w:r w:rsidRPr="001927D6">
              <w:rPr>
                <w:color w:val="000000"/>
                <w:szCs w:val="24"/>
              </w:rPr>
              <w:t>73 965,44</w:t>
            </w:r>
          </w:p>
        </w:tc>
      </w:tr>
      <w:tr w:rsidR="00295BCD" w:rsidRPr="001927D6" w14:paraId="1323B92E" w14:textId="77777777" w:rsidTr="00295BCD">
        <w:trPr>
          <w:divId w:val="1316184749"/>
          <w:trHeight w:val="300"/>
        </w:trPr>
        <w:tc>
          <w:tcPr>
            <w:tcW w:w="4632" w:type="dxa"/>
            <w:vAlign w:val="bottom"/>
            <w:hideMark/>
          </w:tcPr>
          <w:p w14:paraId="1CDF2078" w14:textId="77777777" w:rsidR="00295BCD" w:rsidRPr="001927D6" w:rsidRDefault="00295BCD">
            <w:pPr>
              <w:spacing w:after="0" w:line="240" w:lineRule="auto"/>
              <w:textAlignment w:val="baseline"/>
              <w:rPr>
                <w:szCs w:val="24"/>
                <w:lang w:eastAsia="et-EE"/>
              </w:rPr>
            </w:pPr>
            <w:r w:rsidRPr="001927D6">
              <w:rPr>
                <w:szCs w:val="24"/>
                <w:lang w:eastAsia="et-EE"/>
              </w:rPr>
              <w:t>Kraniotoomia raske hulgitrauma puhul </w:t>
            </w:r>
          </w:p>
        </w:tc>
        <w:tc>
          <w:tcPr>
            <w:tcW w:w="732" w:type="dxa"/>
            <w:vAlign w:val="center"/>
            <w:hideMark/>
          </w:tcPr>
          <w:p w14:paraId="36ED54EA" w14:textId="77777777" w:rsidR="00295BCD" w:rsidRPr="001927D6" w:rsidRDefault="00295BCD">
            <w:pPr>
              <w:spacing w:after="0" w:line="240" w:lineRule="auto"/>
              <w:jc w:val="center"/>
              <w:textAlignment w:val="baseline"/>
              <w:rPr>
                <w:szCs w:val="24"/>
                <w:lang w:eastAsia="et-EE"/>
              </w:rPr>
            </w:pPr>
            <w:r w:rsidRPr="001927D6">
              <w:rPr>
                <w:szCs w:val="24"/>
                <w:lang w:eastAsia="et-EE"/>
              </w:rPr>
              <w:t>484 </w:t>
            </w:r>
          </w:p>
        </w:tc>
        <w:tc>
          <w:tcPr>
            <w:tcW w:w="1243" w:type="dxa"/>
            <w:vAlign w:val="center"/>
          </w:tcPr>
          <w:p w14:paraId="49DF6D20" w14:textId="77777777" w:rsidR="00295BCD" w:rsidRPr="001927D6" w:rsidRDefault="00295BCD">
            <w:pPr>
              <w:spacing w:after="0" w:line="240" w:lineRule="auto"/>
              <w:jc w:val="center"/>
              <w:textAlignment w:val="baseline"/>
              <w:rPr>
                <w:szCs w:val="24"/>
                <w:lang w:eastAsia="et-EE"/>
              </w:rPr>
            </w:pPr>
            <w:r w:rsidRPr="001927D6">
              <w:rPr>
                <w:color w:val="000000"/>
                <w:szCs w:val="24"/>
              </w:rPr>
              <w:t>26 874,76</w:t>
            </w:r>
          </w:p>
        </w:tc>
        <w:tc>
          <w:tcPr>
            <w:tcW w:w="1211" w:type="dxa"/>
            <w:vAlign w:val="center"/>
          </w:tcPr>
          <w:p w14:paraId="1B6A2F7B" w14:textId="77777777" w:rsidR="00295BCD" w:rsidRPr="001927D6" w:rsidRDefault="00295BCD">
            <w:pPr>
              <w:spacing w:after="0" w:line="240" w:lineRule="auto"/>
              <w:jc w:val="center"/>
              <w:textAlignment w:val="baseline"/>
              <w:rPr>
                <w:szCs w:val="24"/>
                <w:lang w:eastAsia="et-EE"/>
              </w:rPr>
            </w:pPr>
            <w:r w:rsidRPr="001927D6">
              <w:rPr>
                <w:color w:val="000000"/>
                <w:szCs w:val="24"/>
              </w:rPr>
              <w:t>3 967,70</w:t>
            </w:r>
          </w:p>
        </w:tc>
        <w:tc>
          <w:tcPr>
            <w:tcW w:w="1238" w:type="dxa"/>
            <w:vAlign w:val="center"/>
          </w:tcPr>
          <w:p w14:paraId="53AC46C4" w14:textId="77777777" w:rsidR="00295BCD" w:rsidRPr="001927D6" w:rsidRDefault="00295BCD">
            <w:pPr>
              <w:spacing w:after="0" w:line="240" w:lineRule="auto"/>
              <w:jc w:val="center"/>
              <w:textAlignment w:val="baseline"/>
              <w:rPr>
                <w:szCs w:val="24"/>
                <w:lang w:eastAsia="et-EE"/>
              </w:rPr>
            </w:pPr>
            <w:r w:rsidRPr="001927D6">
              <w:rPr>
                <w:color w:val="000000"/>
                <w:szCs w:val="24"/>
              </w:rPr>
              <w:t>58 369,17</w:t>
            </w:r>
          </w:p>
        </w:tc>
      </w:tr>
      <w:tr w:rsidR="00295BCD" w:rsidRPr="001927D6" w14:paraId="685BEDB2" w14:textId="77777777" w:rsidTr="00295BCD">
        <w:trPr>
          <w:divId w:val="1316184749"/>
          <w:trHeight w:val="300"/>
        </w:trPr>
        <w:tc>
          <w:tcPr>
            <w:tcW w:w="4632" w:type="dxa"/>
            <w:vAlign w:val="bottom"/>
            <w:hideMark/>
          </w:tcPr>
          <w:p w14:paraId="5C83C35F" w14:textId="77777777" w:rsidR="00295BCD" w:rsidRPr="001927D6" w:rsidRDefault="00295BCD">
            <w:pPr>
              <w:spacing w:after="0" w:line="240" w:lineRule="auto"/>
              <w:textAlignment w:val="baseline"/>
              <w:rPr>
                <w:szCs w:val="24"/>
                <w:lang w:eastAsia="et-EE"/>
              </w:rPr>
            </w:pPr>
            <w:r w:rsidRPr="001927D6">
              <w:rPr>
                <w:szCs w:val="24"/>
                <w:lang w:eastAsia="et-EE"/>
              </w:rPr>
              <w:t>Jäsemete taaskinnistus, puusa ja reie operatsioonid raske hulgitrauma puhul </w:t>
            </w:r>
          </w:p>
        </w:tc>
        <w:tc>
          <w:tcPr>
            <w:tcW w:w="732" w:type="dxa"/>
            <w:vAlign w:val="center"/>
            <w:hideMark/>
          </w:tcPr>
          <w:p w14:paraId="45EAED0D" w14:textId="77777777" w:rsidR="00295BCD" w:rsidRPr="001927D6" w:rsidRDefault="00295BCD">
            <w:pPr>
              <w:spacing w:after="0" w:line="240" w:lineRule="auto"/>
              <w:jc w:val="center"/>
              <w:textAlignment w:val="baseline"/>
              <w:rPr>
                <w:szCs w:val="24"/>
                <w:lang w:eastAsia="et-EE"/>
              </w:rPr>
            </w:pPr>
            <w:r w:rsidRPr="001927D6">
              <w:rPr>
                <w:szCs w:val="24"/>
                <w:lang w:eastAsia="et-EE"/>
              </w:rPr>
              <w:t>485 </w:t>
            </w:r>
          </w:p>
        </w:tc>
        <w:tc>
          <w:tcPr>
            <w:tcW w:w="1243" w:type="dxa"/>
            <w:vAlign w:val="center"/>
          </w:tcPr>
          <w:p w14:paraId="6094E7E2" w14:textId="77777777" w:rsidR="00295BCD" w:rsidRPr="001927D6" w:rsidRDefault="00295BCD">
            <w:pPr>
              <w:spacing w:after="0" w:line="240" w:lineRule="auto"/>
              <w:jc w:val="center"/>
              <w:textAlignment w:val="baseline"/>
              <w:rPr>
                <w:szCs w:val="24"/>
                <w:lang w:eastAsia="et-EE"/>
              </w:rPr>
            </w:pPr>
            <w:r w:rsidRPr="001927D6">
              <w:rPr>
                <w:color w:val="000000"/>
                <w:szCs w:val="24"/>
              </w:rPr>
              <w:t>14 970,69</w:t>
            </w:r>
          </w:p>
        </w:tc>
        <w:tc>
          <w:tcPr>
            <w:tcW w:w="1211" w:type="dxa"/>
            <w:vAlign w:val="center"/>
          </w:tcPr>
          <w:p w14:paraId="4B90B2FA" w14:textId="77777777" w:rsidR="00295BCD" w:rsidRPr="001927D6" w:rsidRDefault="00295BCD">
            <w:pPr>
              <w:spacing w:after="0" w:line="240" w:lineRule="auto"/>
              <w:jc w:val="center"/>
              <w:textAlignment w:val="baseline"/>
              <w:rPr>
                <w:szCs w:val="24"/>
                <w:lang w:eastAsia="et-EE"/>
              </w:rPr>
            </w:pPr>
            <w:r w:rsidRPr="001927D6">
              <w:rPr>
                <w:color w:val="000000"/>
                <w:szCs w:val="24"/>
              </w:rPr>
              <w:t>3 445,68</w:t>
            </w:r>
          </w:p>
        </w:tc>
        <w:tc>
          <w:tcPr>
            <w:tcW w:w="1238" w:type="dxa"/>
            <w:vAlign w:val="center"/>
          </w:tcPr>
          <w:p w14:paraId="092EED8D" w14:textId="77777777" w:rsidR="00295BCD" w:rsidRPr="001927D6" w:rsidRDefault="00295BCD">
            <w:pPr>
              <w:spacing w:after="0" w:line="240" w:lineRule="auto"/>
              <w:jc w:val="center"/>
              <w:textAlignment w:val="baseline"/>
              <w:rPr>
                <w:szCs w:val="24"/>
                <w:lang w:eastAsia="et-EE"/>
              </w:rPr>
            </w:pPr>
            <w:r w:rsidRPr="001927D6">
              <w:rPr>
                <w:color w:val="000000"/>
                <w:szCs w:val="24"/>
              </w:rPr>
              <w:t>59 644,72</w:t>
            </w:r>
          </w:p>
        </w:tc>
      </w:tr>
      <w:tr w:rsidR="00295BCD" w:rsidRPr="001927D6" w14:paraId="2FEDBD1D" w14:textId="77777777" w:rsidTr="00295BCD">
        <w:trPr>
          <w:divId w:val="1316184749"/>
          <w:trHeight w:val="300"/>
        </w:trPr>
        <w:tc>
          <w:tcPr>
            <w:tcW w:w="4632" w:type="dxa"/>
            <w:vAlign w:val="bottom"/>
            <w:hideMark/>
          </w:tcPr>
          <w:p w14:paraId="29BABDB3" w14:textId="77777777" w:rsidR="00295BCD" w:rsidRPr="001927D6" w:rsidRDefault="00295BCD">
            <w:pPr>
              <w:spacing w:after="0" w:line="240" w:lineRule="auto"/>
              <w:textAlignment w:val="baseline"/>
              <w:rPr>
                <w:szCs w:val="24"/>
                <w:lang w:eastAsia="et-EE"/>
              </w:rPr>
            </w:pPr>
            <w:r w:rsidRPr="001927D6">
              <w:rPr>
                <w:szCs w:val="24"/>
                <w:lang w:eastAsia="et-EE"/>
              </w:rPr>
              <w:t>Muud operatsioonid raske hulgitrauma puhul </w:t>
            </w:r>
          </w:p>
        </w:tc>
        <w:tc>
          <w:tcPr>
            <w:tcW w:w="732" w:type="dxa"/>
            <w:vAlign w:val="center"/>
            <w:hideMark/>
          </w:tcPr>
          <w:p w14:paraId="7C0C556A" w14:textId="77777777" w:rsidR="00295BCD" w:rsidRPr="001927D6" w:rsidRDefault="00295BCD">
            <w:pPr>
              <w:spacing w:after="0" w:line="240" w:lineRule="auto"/>
              <w:jc w:val="center"/>
              <w:textAlignment w:val="baseline"/>
              <w:rPr>
                <w:szCs w:val="24"/>
                <w:lang w:eastAsia="et-EE"/>
              </w:rPr>
            </w:pPr>
            <w:r w:rsidRPr="001927D6">
              <w:rPr>
                <w:szCs w:val="24"/>
                <w:lang w:eastAsia="et-EE"/>
              </w:rPr>
              <w:t>486 </w:t>
            </w:r>
          </w:p>
        </w:tc>
        <w:tc>
          <w:tcPr>
            <w:tcW w:w="1243" w:type="dxa"/>
            <w:vAlign w:val="center"/>
          </w:tcPr>
          <w:p w14:paraId="0035B81A" w14:textId="77777777" w:rsidR="00295BCD" w:rsidRPr="001927D6" w:rsidRDefault="00295BCD">
            <w:pPr>
              <w:spacing w:after="0" w:line="240" w:lineRule="auto"/>
              <w:jc w:val="center"/>
              <w:textAlignment w:val="baseline"/>
              <w:rPr>
                <w:szCs w:val="24"/>
                <w:lang w:eastAsia="et-EE"/>
              </w:rPr>
            </w:pPr>
            <w:r w:rsidRPr="001927D6">
              <w:rPr>
                <w:color w:val="000000"/>
                <w:szCs w:val="24"/>
              </w:rPr>
              <w:t>13 118,12</w:t>
            </w:r>
          </w:p>
        </w:tc>
        <w:tc>
          <w:tcPr>
            <w:tcW w:w="1211" w:type="dxa"/>
            <w:vAlign w:val="center"/>
          </w:tcPr>
          <w:p w14:paraId="27E462D6" w14:textId="77777777" w:rsidR="00295BCD" w:rsidRPr="001927D6" w:rsidRDefault="00295BCD">
            <w:pPr>
              <w:spacing w:after="0" w:line="240" w:lineRule="auto"/>
              <w:jc w:val="center"/>
              <w:textAlignment w:val="baseline"/>
              <w:rPr>
                <w:szCs w:val="24"/>
                <w:lang w:eastAsia="et-EE"/>
              </w:rPr>
            </w:pPr>
            <w:r w:rsidRPr="001927D6">
              <w:rPr>
                <w:color w:val="000000"/>
                <w:szCs w:val="24"/>
              </w:rPr>
              <w:t>3 052,65</w:t>
            </w:r>
          </w:p>
        </w:tc>
        <w:tc>
          <w:tcPr>
            <w:tcW w:w="1238" w:type="dxa"/>
            <w:vAlign w:val="center"/>
          </w:tcPr>
          <w:p w14:paraId="7FB077B8" w14:textId="77777777" w:rsidR="00295BCD" w:rsidRPr="001927D6" w:rsidRDefault="00295BCD">
            <w:pPr>
              <w:spacing w:after="0" w:line="240" w:lineRule="auto"/>
              <w:jc w:val="center"/>
              <w:textAlignment w:val="baseline"/>
              <w:rPr>
                <w:szCs w:val="24"/>
                <w:lang w:eastAsia="et-EE"/>
              </w:rPr>
            </w:pPr>
            <w:r w:rsidRPr="001927D6">
              <w:rPr>
                <w:color w:val="000000"/>
                <w:szCs w:val="24"/>
              </w:rPr>
              <w:t>44 029,43</w:t>
            </w:r>
          </w:p>
        </w:tc>
      </w:tr>
      <w:tr w:rsidR="00295BCD" w:rsidRPr="001927D6" w14:paraId="4DCC4729" w14:textId="77777777" w:rsidTr="00295BCD">
        <w:trPr>
          <w:divId w:val="1316184749"/>
          <w:trHeight w:val="300"/>
        </w:trPr>
        <w:tc>
          <w:tcPr>
            <w:tcW w:w="4632" w:type="dxa"/>
            <w:vAlign w:val="bottom"/>
            <w:hideMark/>
          </w:tcPr>
          <w:p w14:paraId="4E7CD155" w14:textId="77777777" w:rsidR="00295BCD" w:rsidRPr="001927D6" w:rsidRDefault="00295BCD">
            <w:pPr>
              <w:spacing w:after="0" w:line="240" w:lineRule="auto"/>
              <w:textAlignment w:val="baseline"/>
              <w:rPr>
                <w:szCs w:val="24"/>
                <w:lang w:eastAsia="et-EE"/>
              </w:rPr>
            </w:pPr>
            <w:r w:rsidRPr="001927D6">
              <w:rPr>
                <w:szCs w:val="24"/>
                <w:lang w:eastAsia="et-EE"/>
              </w:rPr>
              <w:t>Muud operatsioonid raske hulgitrauma puhul, lühike ravi </w:t>
            </w:r>
          </w:p>
        </w:tc>
        <w:tc>
          <w:tcPr>
            <w:tcW w:w="732" w:type="dxa"/>
            <w:vAlign w:val="center"/>
            <w:hideMark/>
          </w:tcPr>
          <w:p w14:paraId="257794E1" w14:textId="77777777" w:rsidR="00295BCD" w:rsidRPr="001927D6" w:rsidRDefault="00295BCD">
            <w:pPr>
              <w:spacing w:after="0" w:line="240" w:lineRule="auto"/>
              <w:jc w:val="center"/>
              <w:textAlignment w:val="baseline"/>
              <w:rPr>
                <w:szCs w:val="24"/>
                <w:lang w:eastAsia="et-EE"/>
              </w:rPr>
            </w:pPr>
            <w:r w:rsidRPr="001927D6">
              <w:rPr>
                <w:szCs w:val="24"/>
                <w:lang w:eastAsia="et-EE"/>
              </w:rPr>
              <w:t>486O </w:t>
            </w:r>
          </w:p>
        </w:tc>
        <w:tc>
          <w:tcPr>
            <w:tcW w:w="1243" w:type="dxa"/>
            <w:vAlign w:val="center"/>
          </w:tcPr>
          <w:p w14:paraId="77973DE6" w14:textId="77777777" w:rsidR="00295BCD" w:rsidRPr="001927D6" w:rsidRDefault="00295BCD">
            <w:pPr>
              <w:spacing w:after="0" w:line="240" w:lineRule="auto"/>
              <w:jc w:val="center"/>
              <w:textAlignment w:val="baseline"/>
              <w:rPr>
                <w:szCs w:val="24"/>
                <w:lang w:eastAsia="et-EE"/>
              </w:rPr>
            </w:pPr>
            <w:r w:rsidRPr="001927D6">
              <w:rPr>
                <w:color w:val="000000"/>
                <w:szCs w:val="24"/>
              </w:rPr>
              <w:t>2 056,47</w:t>
            </w:r>
          </w:p>
        </w:tc>
        <w:tc>
          <w:tcPr>
            <w:tcW w:w="1211" w:type="dxa"/>
            <w:vAlign w:val="center"/>
          </w:tcPr>
          <w:p w14:paraId="002E894F" w14:textId="77777777" w:rsidR="00295BCD" w:rsidRPr="001927D6" w:rsidRDefault="00295BCD">
            <w:pPr>
              <w:spacing w:after="0" w:line="240" w:lineRule="auto"/>
              <w:jc w:val="center"/>
              <w:textAlignment w:val="baseline"/>
              <w:rPr>
                <w:szCs w:val="24"/>
                <w:lang w:eastAsia="et-EE"/>
              </w:rPr>
            </w:pPr>
            <w:r w:rsidRPr="001927D6">
              <w:rPr>
                <w:color w:val="000000"/>
                <w:szCs w:val="24"/>
              </w:rPr>
              <w:t>975,94</w:t>
            </w:r>
          </w:p>
        </w:tc>
        <w:tc>
          <w:tcPr>
            <w:tcW w:w="1238" w:type="dxa"/>
            <w:vAlign w:val="center"/>
          </w:tcPr>
          <w:p w14:paraId="14564CC8" w14:textId="77777777" w:rsidR="00295BCD" w:rsidRPr="001927D6" w:rsidRDefault="00295BCD">
            <w:pPr>
              <w:spacing w:after="0" w:line="240" w:lineRule="auto"/>
              <w:jc w:val="center"/>
              <w:textAlignment w:val="baseline"/>
              <w:rPr>
                <w:szCs w:val="24"/>
                <w:lang w:eastAsia="et-EE"/>
              </w:rPr>
            </w:pPr>
            <w:r w:rsidRPr="001927D6">
              <w:rPr>
                <w:color w:val="000000"/>
                <w:szCs w:val="24"/>
              </w:rPr>
              <w:t>2 056,47</w:t>
            </w:r>
          </w:p>
        </w:tc>
      </w:tr>
      <w:tr w:rsidR="00295BCD" w:rsidRPr="001927D6" w14:paraId="4D41A495" w14:textId="77777777" w:rsidTr="00295BCD">
        <w:trPr>
          <w:divId w:val="1316184749"/>
          <w:trHeight w:val="300"/>
        </w:trPr>
        <w:tc>
          <w:tcPr>
            <w:tcW w:w="4632" w:type="dxa"/>
            <w:vAlign w:val="bottom"/>
            <w:hideMark/>
          </w:tcPr>
          <w:p w14:paraId="30D2C213" w14:textId="77777777" w:rsidR="00295BCD" w:rsidRPr="001927D6" w:rsidRDefault="00295BCD">
            <w:pPr>
              <w:spacing w:after="0" w:line="240" w:lineRule="auto"/>
              <w:textAlignment w:val="baseline"/>
              <w:rPr>
                <w:szCs w:val="24"/>
                <w:lang w:eastAsia="et-EE"/>
              </w:rPr>
            </w:pPr>
            <w:r w:rsidRPr="001927D6">
              <w:rPr>
                <w:szCs w:val="24"/>
                <w:lang w:eastAsia="et-EE"/>
              </w:rPr>
              <w:t>Muu raske hulgitrauma </w:t>
            </w:r>
          </w:p>
        </w:tc>
        <w:tc>
          <w:tcPr>
            <w:tcW w:w="732" w:type="dxa"/>
            <w:vAlign w:val="center"/>
            <w:hideMark/>
          </w:tcPr>
          <w:p w14:paraId="206C1837" w14:textId="77777777" w:rsidR="00295BCD" w:rsidRPr="001927D6" w:rsidRDefault="00295BCD">
            <w:pPr>
              <w:spacing w:after="0" w:line="240" w:lineRule="auto"/>
              <w:jc w:val="center"/>
              <w:textAlignment w:val="baseline"/>
              <w:rPr>
                <w:szCs w:val="24"/>
                <w:lang w:eastAsia="et-EE"/>
              </w:rPr>
            </w:pPr>
            <w:r w:rsidRPr="001927D6">
              <w:rPr>
                <w:szCs w:val="24"/>
                <w:lang w:eastAsia="et-EE"/>
              </w:rPr>
              <w:t>487 </w:t>
            </w:r>
          </w:p>
        </w:tc>
        <w:tc>
          <w:tcPr>
            <w:tcW w:w="1243" w:type="dxa"/>
            <w:vAlign w:val="center"/>
          </w:tcPr>
          <w:p w14:paraId="6DE9AA21" w14:textId="77777777" w:rsidR="00295BCD" w:rsidRPr="001927D6" w:rsidRDefault="00295BCD">
            <w:pPr>
              <w:spacing w:after="0" w:line="240" w:lineRule="auto"/>
              <w:jc w:val="center"/>
              <w:textAlignment w:val="baseline"/>
              <w:rPr>
                <w:szCs w:val="24"/>
                <w:lang w:eastAsia="et-EE"/>
              </w:rPr>
            </w:pPr>
            <w:r w:rsidRPr="001927D6">
              <w:rPr>
                <w:color w:val="000000"/>
                <w:szCs w:val="24"/>
              </w:rPr>
              <w:t>2 430,40</w:t>
            </w:r>
          </w:p>
        </w:tc>
        <w:tc>
          <w:tcPr>
            <w:tcW w:w="1211" w:type="dxa"/>
            <w:vAlign w:val="center"/>
          </w:tcPr>
          <w:p w14:paraId="38309E03" w14:textId="77777777" w:rsidR="00295BCD" w:rsidRPr="001927D6" w:rsidRDefault="00295BCD">
            <w:pPr>
              <w:spacing w:after="0" w:line="240" w:lineRule="auto"/>
              <w:jc w:val="center"/>
              <w:textAlignment w:val="baseline"/>
              <w:rPr>
                <w:szCs w:val="24"/>
                <w:lang w:eastAsia="et-EE"/>
              </w:rPr>
            </w:pPr>
            <w:r w:rsidRPr="001927D6">
              <w:rPr>
                <w:color w:val="000000"/>
                <w:szCs w:val="24"/>
              </w:rPr>
              <w:t>895,13</w:t>
            </w:r>
          </w:p>
        </w:tc>
        <w:tc>
          <w:tcPr>
            <w:tcW w:w="1238" w:type="dxa"/>
            <w:vAlign w:val="center"/>
          </w:tcPr>
          <w:p w14:paraId="3C2AB3D4" w14:textId="77777777" w:rsidR="00295BCD" w:rsidRPr="001927D6" w:rsidRDefault="00295BCD">
            <w:pPr>
              <w:spacing w:after="0" w:line="240" w:lineRule="auto"/>
              <w:jc w:val="center"/>
              <w:textAlignment w:val="baseline"/>
              <w:rPr>
                <w:szCs w:val="24"/>
                <w:lang w:eastAsia="et-EE"/>
              </w:rPr>
            </w:pPr>
            <w:r w:rsidRPr="001927D6">
              <w:rPr>
                <w:color w:val="000000"/>
                <w:szCs w:val="24"/>
              </w:rPr>
              <w:t>6 290,00</w:t>
            </w:r>
          </w:p>
        </w:tc>
      </w:tr>
      <w:tr w:rsidR="00295BCD" w:rsidRPr="001927D6" w14:paraId="10646802" w14:textId="77777777" w:rsidTr="00295BCD">
        <w:trPr>
          <w:divId w:val="1316184749"/>
          <w:trHeight w:val="300"/>
        </w:trPr>
        <w:tc>
          <w:tcPr>
            <w:tcW w:w="4632" w:type="dxa"/>
            <w:vAlign w:val="bottom"/>
            <w:hideMark/>
          </w:tcPr>
          <w:p w14:paraId="6A53B66D" w14:textId="77777777" w:rsidR="00295BCD" w:rsidRPr="001927D6" w:rsidRDefault="00295BCD">
            <w:pPr>
              <w:spacing w:after="0" w:line="240" w:lineRule="auto"/>
              <w:textAlignment w:val="baseline"/>
              <w:rPr>
                <w:szCs w:val="24"/>
                <w:lang w:eastAsia="et-EE"/>
              </w:rPr>
            </w:pPr>
            <w:r w:rsidRPr="001927D6">
              <w:rPr>
                <w:szCs w:val="24"/>
                <w:lang w:eastAsia="et-EE"/>
              </w:rPr>
              <w:t>HIV-infektsioon koos sellega seotud peamiste haigusseisunditega </w:t>
            </w:r>
          </w:p>
        </w:tc>
        <w:tc>
          <w:tcPr>
            <w:tcW w:w="732" w:type="dxa"/>
            <w:vAlign w:val="center"/>
            <w:hideMark/>
          </w:tcPr>
          <w:p w14:paraId="288A6CAF" w14:textId="77777777" w:rsidR="00295BCD" w:rsidRPr="001927D6" w:rsidRDefault="00295BCD">
            <w:pPr>
              <w:spacing w:after="0" w:line="240" w:lineRule="auto"/>
              <w:jc w:val="center"/>
              <w:textAlignment w:val="baseline"/>
              <w:rPr>
                <w:szCs w:val="24"/>
                <w:lang w:eastAsia="et-EE"/>
              </w:rPr>
            </w:pPr>
            <w:r w:rsidRPr="001927D6">
              <w:rPr>
                <w:szCs w:val="24"/>
                <w:lang w:eastAsia="et-EE"/>
              </w:rPr>
              <w:t>489 </w:t>
            </w:r>
          </w:p>
        </w:tc>
        <w:tc>
          <w:tcPr>
            <w:tcW w:w="1243" w:type="dxa"/>
            <w:vAlign w:val="center"/>
          </w:tcPr>
          <w:p w14:paraId="61783D6E" w14:textId="77777777" w:rsidR="00295BCD" w:rsidRPr="001927D6" w:rsidRDefault="00295BCD">
            <w:pPr>
              <w:spacing w:after="0" w:line="240" w:lineRule="auto"/>
              <w:jc w:val="center"/>
              <w:textAlignment w:val="baseline"/>
              <w:rPr>
                <w:szCs w:val="24"/>
                <w:lang w:eastAsia="et-EE"/>
              </w:rPr>
            </w:pPr>
            <w:r w:rsidRPr="001927D6">
              <w:rPr>
                <w:color w:val="000000"/>
                <w:szCs w:val="24"/>
              </w:rPr>
              <w:t>5 385,70</w:t>
            </w:r>
          </w:p>
        </w:tc>
        <w:tc>
          <w:tcPr>
            <w:tcW w:w="1211" w:type="dxa"/>
            <w:vAlign w:val="center"/>
          </w:tcPr>
          <w:p w14:paraId="5CD98637" w14:textId="77777777" w:rsidR="00295BCD" w:rsidRPr="001927D6" w:rsidRDefault="00295BCD">
            <w:pPr>
              <w:spacing w:after="0" w:line="240" w:lineRule="auto"/>
              <w:jc w:val="center"/>
              <w:textAlignment w:val="baseline"/>
              <w:rPr>
                <w:szCs w:val="24"/>
                <w:lang w:eastAsia="et-EE"/>
              </w:rPr>
            </w:pPr>
            <w:r w:rsidRPr="001927D6">
              <w:rPr>
                <w:color w:val="000000"/>
                <w:szCs w:val="24"/>
              </w:rPr>
              <w:t>1 734,44</w:t>
            </w:r>
          </w:p>
        </w:tc>
        <w:tc>
          <w:tcPr>
            <w:tcW w:w="1238" w:type="dxa"/>
            <w:vAlign w:val="center"/>
          </w:tcPr>
          <w:p w14:paraId="1FFEE358" w14:textId="77777777" w:rsidR="00295BCD" w:rsidRPr="001927D6" w:rsidRDefault="00295BCD">
            <w:pPr>
              <w:spacing w:after="0" w:line="240" w:lineRule="auto"/>
              <w:jc w:val="center"/>
              <w:textAlignment w:val="baseline"/>
              <w:rPr>
                <w:szCs w:val="24"/>
                <w:lang w:eastAsia="et-EE"/>
              </w:rPr>
            </w:pPr>
            <w:r w:rsidRPr="001927D6">
              <w:rPr>
                <w:color w:val="000000"/>
                <w:szCs w:val="24"/>
              </w:rPr>
              <w:t>15 317,10</w:t>
            </w:r>
          </w:p>
        </w:tc>
      </w:tr>
      <w:tr w:rsidR="00295BCD" w:rsidRPr="001927D6" w14:paraId="1EE163A2" w14:textId="77777777" w:rsidTr="00295BCD">
        <w:trPr>
          <w:divId w:val="1316184749"/>
          <w:trHeight w:val="300"/>
        </w:trPr>
        <w:tc>
          <w:tcPr>
            <w:tcW w:w="4632" w:type="dxa"/>
            <w:vAlign w:val="bottom"/>
            <w:hideMark/>
          </w:tcPr>
          <w:p w14:paraId="76F6E1AD" w14:textId="77777777" w:rsidR="00295BCD" w:rsidRPr="001927D6" w:rsidRDefault="00295BCD">
            <w:pPr>
              <w:spacing w:after="0" w:line="240" w:lineRule="auto"/>
              <w:textAlignment w:val="baseline"/>
              <w:rPr>
                <w:szCs w:val="24"/>
                <w:lang w:eastAsia="et-EE"/>
              </w:rPr>
            </w:pPr>
            <w:r w:rsidRPr="001927D6">
              <w:rPr>
                <w:szCs w:val="24"/>
                <w:lang w:eastAsia="et-EE"/>
              </w:rPr>
              <w:t>HIV-infektsioon </w:t>
            </w:r>
          </w:p>
        </w:tc>
        <w:tc>
          <w:tcPr>
            <w:tcW w:w="732" w:type="dxa"/>
            <w:vAlign w:val="center"/>
            <w:hideMark/>
          </w:tcPr>
          <w:p w14:paraId="783C9897" w14:textId="77777777" w:rsidR="00295BCD" w:rsidRPr="001927D6" w:rsidRDefault="00295BCD">
            <w:pPr>
              <w:spacing w:after="0" w:line="240" w:lineRule="auto"/>
              <w:jc w:val="center"/>
              <w:textAlignment w:val="baseline"/>
              <w:rPr>
                <w:szCs w:val="24"/>
                <w:lang w:eastAsia="et-EE"/>
              </w:rPr>
            </w:pPr>
            <w:r w:rsidRPr="001927D6">
              <w:rPr>
                <w:szCs w:val="24"/>
                <w:lang w:eastAsia="et-EE"/>
              </w:rPr>
              <w:t>490 </w:t>
            </w:r>
          </w:p>
        </w:tc>
        <w:tc>
          <w:tcPr>
            <w:tcW w:w="1243" w:type="dxa"/>
            <w:vAlign w:val="center"/>
          </w:tcPr>
          <w:p w14:paraId="47B6C4AD" w14:textId="77777777" w:rsidR="00295BCD" w:rsidRPr="001927D6" w:rsidRDefault="00295BCD">
            <w:pPr>
              <w:spacing w:after="0" w:line="240" w:lineRule="auto"/>
              <w:jc w:val="center"/>
              <w:textAlignment w:val="baseline"/>
              <w:rPr>
                <w:szCs w:val="24"/>
                <w:lang w:eastAsia="et-EE"/>
              </w:rPr>
            </w:pPr>
            <w:r w:rsidRPr="001927D6">
              <w:rPr>
                <w:color w:val="000000"/>
                <w:szCs w:val="24"/>
              </w:rPr>
              <w:t>3 285,95</w:t>
            </w:r>
          </w:p>
        </w:tc>
        <w:tc>
          <w:tcPr>
            <w:tcW w:w="1211" w:type="dxa"/>
            <w:vAlign w:val="center"/>
          </w:tcPr>
          <w:p w14:paraId="49A4095F" w14:textId="77777777" w:rsidR="00295BCD" w:rsidRPr="001927D6" w:rsidRDefault="00295BCD">
            <w:pPr>
              <w:spacing w:after="0" w:line="240" w:lineRule="auto"/>
              <w:jc w:val="center"/>
              <w:textAlignment w:val="baseline"/>
              <w:rPr>
                <w:szCs w:val="24"/>
                <w:lang w:eastAsia="et-EE"/>
              </w:rPr>
            </w:pPr>
            <w:r w:rsidRPr="001927D6">
              <w:rPr>
                <w:color w:val="000000"/>
                <w:szCs w:val="24"/>
              </w:rPr>
              <w:t>785,46</w:t>
            </w:r>
          </w:p>
        </w:tc>
        <w:tc>
          <w:tcPr>
            <w:tcW w:w="1238" w:type="dxa"/>
            <w:vAlign w:val="center"/>
          </w:tcPr>
          <w:p w14:paraId="35086A43" w14:textId="77777777" w:rsidR="00295BCD" w:rsidRPr="001927D6" w:rsidRDefault="00295BCD">
            <w:pPr>
              <w:spacing w:after="0" w:line="240" w:lineRule="auto"/>
              <w:jc w:val="center"/>
              <w:textAlignment w:val="baseline"/>
              <w:rPr>
                <w:szCs w:val="24"/>
                <w:lang w:eastAsia="et-EE"/>
              </w:rPr>
            </w:pPr>
            <w:r w:rsidRPr="001927D6">
              <w:rPr>
                <w:color w:val="000000"/>
                <w:szCs w:val="24"/>
              </w:rPr>
              <w:t>7 550,28</w:t>
            </w:r>
          </w:p>
        </w:tc>
      </w:tr>
      <w:tr w:rsidR="00295BCD" w:rsidRPr="001927D6" w14:paraId="148F9124" w14:textId="77777777" w:rsidTr="00295BCD">
        <w:trPr>
          <w:divId w:val="1316184749"/>
          <w:trHeight w:val="300"/>
        </w:trPr>
        <w:tc>
          <w:tcPr>
            <w:tcW w:w="4632" w:type="dxa"/>
            <w:vAlign w:val="bottom"/>
            <w:hideMark/>
          </w:tcPr>
          <w:p w14:paraId="47B808C8" w14:textId="77777777" w:rsidR="00295BCD" w:rsidRPr="001927D6" w:rsidRDefault="00295BCD">
            <w:pPr>
              <w:spacing w:after="0" w:line="240" w:lineRule="auto"/>
              <w:textAlignment w:val="baseline"/>
              <w:rPr>
                <w:szCs w:val="24"/>
                <w:lang w:eastAsia="et-EE"/>
              </w:rPr>
            </w:pPr>
            <w:r w:rsidRPr="001927D6">
              <w:rPr>
                <w:szCs w:val="24"/>
                <w:lang w:eastAsia="et-EE"/>
              </w:rPr>
              <w:t>Ülajäseme suure liigese proteesimine või ülajäseme transplantatsioon </w:t>
            </w:r>
          </w:p>
        </w:tc>
        <w:tc>
          <w:tcPr>
            <w:tcW w:w="732" w:type="dxa"/>
            <w:vAlign w:val="center"/>
            <w:hideMark/>
          </w:tcPr>
          <w:p w14:paraId="7A35ACB5" w14:textId="77777777" w:rsidR="00295BCD" w:rsidRPr="001927D6" w:rsidRDefault="00295BCD">
            <w:pPr>
              <w:spacing w:after="0" w:line="240" w:lineRule="auto"/>
              <w:jc w:val="center"/>
              <w:textAlignment w:val="baseline"/>
              <w:rPr>
                <w:szCs w:val="24"/>
                <w:lang w:eastAsia="et-EE"/>
              </w:rPr>
            </w:pPr>
            <w:r w:rsidRPr="001927D6">
              <w:rPr>
                <w:szCs w:val="24"/>
                <w:lang w:eastAsia="et-EE"/>
              </w:rPr>
              <w:t>491 </w:t>
            </w:r>
          </w:p>
        </w:tc>
        <w:tc>
          <w:tcPr>
            <w:tcW w:w="1243" w:type="dxa"/>
            <w:vAlign w:val="center"/>
          </w:tcPr>
          <w:p w14:paraId="782F839A" w14:textId="77777777" w:rsidR="00295BCD" w:rsidRPr="001927D6" w:rsidRDefault="00295BCD">
            <w:pPr>
              <w:spacing w:after="0" w:line="240" w:lineRule="auto"/>
              <w:jc w:val="center"/>
              <w:textAlignment w:val="baseline"/>
              <w:rPr>
                <w:szCs w:val="24"/>
                <w:lang w:eastAsia="et-EE"/>
              </w:rPr>
            </w:pPr>
            <w:r w:rsidRPr="001927D6">
              <w:rPr>
                <w:color w:val="000000"/>
                <w:szCs w:val="24"/>
              </w:rPr>
              <w:t>5 652,32</w:t>
            </w:r>
          </w:p>
        </w:tc>
        <w:tc>
          <w:tcPr>
            <w:tcW w:w="1211" w:type="dxa"/>
            <w:vAlign w:val="center"/>
          </w:tcPr>
          <w:p w14:paraId="51D8A1DB" w14:textId="77777777" w:rsidR="00295BCD" w:rsidRPr="001927D6" w:rsidRDefault="00295BCD">
            <w:pPr>
              <w:spacing w:after="0" w:line="240" w:lineRule="auto"/>
              <w:jc w:val="center"/>
              <w:textAlignment w:val="baseline"/>
              <w:rPr>
                <w:szCs w:val="24"/>
                <w:lang w:eastAsia="et-EE"/>
              </w:rPr>
            </w:pPr>
            <w:r w:rsidRPr="001927D6">
              <w:rPr>
                <w:color w:val="000000"/>
                <w:szCs w:val="24"/>
              </w:rPr>
              <w:t>4 364,49</w:t>
            </w:r>
          </w:p>
        </w:tc>
        <w:tc>
          <w:tcPr>
            <w:tcW w:w="1238" w:type="dxa"/>
            <w:vAlign w:val="center"/>
          </w:tcPr>
          <w:p w14:paraId="7EC63296" w14:textId="77777777" w:rsidR="00295BCD" w:rsidRPr="001927D6" w:rsidRDefault="00295BCD">
            <w:pPr>
              <w:spacing w:after="0" w:line="240" w:lineRule="auto"/>
              <w:jc w:val="center"/>
              <w:textAlignment w:val="baseline"/>
              <w:rPr>
                <w:szCs w:val="24"/>
                <w:lang w:eastAsia="et-EE"/>
              </w:rPr>
            </w:pPr>
            <w:r w:rsidRPr="001927D6">
              <w:rPr>
                <w:color w:val="000000"/>
                <w:szCs w:val="24"/>
              </w:rPr>
              <w:t>7 276,84</w:t>
            </w:r>
          </w:p>
        </w:tc>
      </w:tr>
      <w:tr w:rsidR="00295BCD" w:rsidRPr="001927D6" w14:paraId="4F0FC505" w14:textId="77777777" w:rsidTr="00295BCD">
        <w:trPr>
          <w:divId w:val="1316184749"/>
          <w:trHeight w:val="300"/>
        </w:trPr>
        <w:tc>
          <w:tcPr>
            <w:tcW w:w="4632" w:type="dxa"/>
            <w:vAlign w:val="bottom"/>
            <w:hideMark/>
          </w:tcPr>
          <w:p w14:paraId="62BFD43D" w14:textId="77777777" w:rsidR="00295BCD" w:rsidRPr="001927D6" w:rsidRDefault="00295BCD">
            <w:pPr>
              <w:spacing w:after="0" w:line="240" w:lineRule="auto"/>
              <w:textAlignment w:val="baseline"/>
              <w:rPr>
                <w:szCs w:val="24"/>
                <w:lang w:eastAsia="et-EE"/>
              </w:rPr>
            </w:pPr>
            <w:r w:rsidRPr="001927D6">
              <w:rPr>
                <w:szCs w:val="24"/>
                <w:lang w:eastAsia="et-EE"/>
              </w:rPr>
              <w:t>Ülajäseme suure liigese proteesimine või ülajäseme transplantatsioon, lühike ravi </w:t>
            </w:r>
          </w:p>
        </w:tc>
        <w:tc>
          <w:tcPr>
            <w:tcW w:w="732" w:type="dxa"/>
            <w:vAlign w:val="center"/>
            <w:hideMark/>
          </w:tcPr>
          <w:p w14:paraId="743E10E8" w14:textId="77777777" w:rsidR="00295BCD" w:rsidRPr="001927D6" w:rsidRDefault="00295BCD">
            <w:pPr>
              <w:spacing w:after="0" w:line="240" w:lineRule="auto"/>
              <w:jc w:val="center"/>
              <w:textAlignment w:val="baseline"/>
              <w:rPr>
                <w:szCs w:val="24"/>
                <w:lang w:eastAsia="et-EE"/>
              </w:rPr>
            </w:pPr>
            <w:r w:rsidRPr="001927D6">
              <w:rPr>
                <w:szCs w:val="24"/>
                <w:lang w:eastAsia="et-EE"/>
              </w:rPr>
              <w:t>491O </w:t>
            </w:r>
          </w:p>
        </w:tc>
        <w:tc>
          <w:tcPr>
            <w:tcW w:w="1243" w:type="dxa"/>
            <w:vAlign w:val="center"/>
          </w:tcPr>
          <w:p w14:paraId="0C1B91F1" w14:textId="77777777" w:rsidR="00295BCD" w:rsidRPr="001927D6" w:rsidRDefault="00295BCD">
            <w:pPr>
              <w:spacing w:after="0" w:line="240" w:lineRule="auto"/>
              <w:jc w:val="center"/>
              <w:textAlignment w:val="baseline"/>
              <w:rPr>
                <w:szCs w:val="24"/>
                <w:lang w:eastAsia="et-EE"/>
              </w:rPr>
            </w:pPr>
            <w:r w:rsidRPr="001927D6">
              <w:rPr>
                <w:color w:val="000000"/>
                <w:szCs w:val="24"/>
              </w:rPr>
              <w:t>3 259,10</w:t>
            </w:r>
          </w:p>
        </w:tc>
        <w:tc>
          <w:tcPr>
            <w:tcW w:w="1211" w:type="dxa"/>
            <w:vAlign w:val="center"/>
          </w:tcPr>
          <w:p w14:paraId="18BA6F32" w14:textId="77777777" w:rsidR="00295BCD" w:rsidRPr="001927D6" w:rsidRDefault="00295BCD">
            <w:pPr>
              <w:spacing w:after="0" w:line="240" w:lineRule="auto"/>
              <w:jc w:val="center"/>
              <w:textAlignment w:val="baseline"/>
              <w:rPr>
                <w:szCs w:val="24"/>
                <w:lang w:eastAsia="et-EE"/>
              </w:rPr>
            </w:pPr>
            <w:r w:rsidRPr="001927D6">
              <w:rPr>
                <w:color w:val="000000"/>
                <w:szCs w:val="24"/>
              </w:rPr>
              <w:t>2 196,67</w:t>
            </w:r>
          </w:p>
        </w:tc>
        <w:tc>
          <w:tcPr>
            <w:tcW w:w="1238" w:type="dxa"/>
            <w:vAlign w:val="center"/>
          </w:tcPr>
          <w:p w14:paraId="43487DD2" w14:textId="77777777" w:rsidR="00295BCD" w:rsidRPr="001927D6" w:rsidRDefault="00295BCD">
            <w:pPr>
              <w:spacing w:after="0" w:line="240" w:lineRule="auto"/>
              <w:jc w:val="center"/>
              <w:textAlignment w:val="baseline"/>
              <w:rPr>
                <w:szCs w:val="24"/>
                <w:lang w:eastAsia="et-EE"/>
              </w:rPr>
            </w:pPr>
            <w:r w:rsidRPr="001927D6">
              <w:rPr>
                <w:color w:val="000000"/>
                <w:szCs w:val="24"/>
              </w:rPr>
              <w:t>4 337,26</w:t>
            </w:r>
          </w:p>
        </w:tc>
      </w:tr>
      <w:tr w:rsidR="00295BCD" w:rsidRPr="001927D6" w14:paraId="273F3302" w14:textId="77777777" w:rsidTr="00295BCD">
        <w:trPr>
          <w:divId w:val="1316184749"/>
          <w:trHeight w:val="300"/>
        </w:trPr>
        <w:tc>
          <w:tcPr>
            <w:tcW w:w="4632" w:type="dxa"/>
            <w:vAlign w:val="bottom"/>
            <w:hideMark/>
          </w:tcPr>
          <w:p w14:paraId="2B062197" w14:textId="77777777" w:rsidR="00295BCD" w:rsidRPr="001927D6" w:rsidRDefault="00295BCD">
            <w:pPr>
              <w:spacing w:after="0" w:line="240" w:lineRule="auto"/>
              <w:textAlignment w:val="baseline"/>
              <w:rPr>
                <w:szCs w:val="24"/>
                <w:lang w:eastAsia="et-EE"/>
              </w:rPr>
            </w:pPr>
            <w:r w:rsidRPr="001927D6">
              <w:rPr>
                <w:szCs w:val="24"/>
                <w:lang w:eastAsia="et-EE"/>
              </w:rPr>
              <w:t>Sapipõie laparoskoopiline või endoskoopiline operatsioon, kht-ga </w:t>
            </w:r>
          </w:p>
        </w:tc>
        <w:tc>
          <w:tcPr>
            <w:tcW w:w="732" w:type="dxa"/>
            <w:vAlign w:val="center"/>
            <w:hideMark/>
          </w:tcPr>
          <w:p w14:paraId="2543705A" w14:textId="77777777" w:rsidR="00295BCD" w:rsidRPr="001927D6" w:rsidRDefault="00295BCD">
            <w:pPr>
              <w:spacing w:after="0" w:line="240" w:lineRule="auto"/>
              <w:jc w:val="center"/>
              <w:textAlignment w:val="baseline"/>
              <w:rPr>
                <w:szCs w:val="24"/>
                <w:lang w:eastAsia="et-EE"/>
              </w:rPr>
            </w:pPr>
            <w:r w:rsidRPr="001927D6">
              <w:rPr>
                <w:szCs w:val="24"/>
                <w:lang w:eastAsia="et-EE"/>
              </w:rPr>
              <w:t>493 </w:t>
            </w:r>
          </w:p>
        </w:tc>
        <w:tc>
          <w:tcPr>
            <w:tcW w:w="1243" w:type="dxa"/>
            <w:vAlign w:val="center"/>
          </w:tcPr>
          <w:p w14:paraId="273A0603" w14:textId="77777777" w:rsidR="00295BCD" w:rsidRPr="001927D6" w:rsidRDefault="00295BCD">
            <w:pPr>
              <w:spacing w:after="0" w:line="240" w:lineRule="auto"/>
              <w:jc w:val="center"/>
              <w:textAlignment w:val="baseline"/>
              <w:rPr>
                <w:szCs w:val="24"/>
                <w:lang w:eastAsia="et-EE"/>
              </w:rPr>
            </w:pPr>
            <w:r w:rsidRPr="001927D6">
              <w:rPr>
                <w:color w:val="000000"/>
                <w:szCs w:val="24"/>
              </w:rPr>
              <w:t>2 840,94</w:t>
            </w:r>
          </w:p>
        </w:tc>
        <w:tc>
          <w:tcPr>
            <w:tcW w:w="1211" w:type="dxa"/>
            <w:vAlign w:val="center"/>
          </w:tcPr>
          <w:p w14:paraId="78056858" w14:textId="77777777" w:rsidR="00295BCD" w:rsidRPr="001927D6" w:rsidRDefault="00295BCD">
            <w:pPr>
              <w:spacing w:after="0" w:line="240" w:lineRule="auto"/>
              <w:jc w:val="center"/>
              <w:textAlignment w:val="baseline"/>
              <w:rPr>
                <w:szCs w:val="24"/>
                <w:lang w:eastAsia="et-EE"/>
              </w:rPr>
            </w:pPr>
            <w:r w:rsidRPr="001927D6">
              <w:rPr>
                <w:color w:val="000000"/>
                <w:szCs w:val="24"/>
              </w:rPr>
              <w:t>1 369,57</w:t>
            </w:r>
          </w:p>
        </w:tc>
        <w:tc>
          <w:tcPr>
            <w:tcW w:w="1238" w:type="dxa"/>
            <w:vAlign w:val="center"/>
          </w:tcPr>
          <w:p w14:paraId="0280EE36" w14:textId="77777777" w:rsidR="00295BCD" w:rsidRPr="001927D6" w:rsidRDefault="00295BCD">
            <w:pPr>
              <w:spacing w:after="0" w:line="240" w:lineRule="auto"/>
              <w:jc w:val="center"/>
              <w:textAlignment w:val="baseline"/>
              <w:rPr>
                <w:szCs w:val="24"/>
                <w:lang w:eastAsia="et-EE"/>
              </w:rPr>
            </w:pPr>
            <w:r w:rsidRPr="001927D6">
              <w:rPr>
                <w:color w:val="000000"/>
                <w:szCs w:val="24"/>
              </w:rPr>
              <w:t>6 910,96</w:t>
            </w:r>
          </w:p>
        </w:tc>
      </w:tr>
      <w:tr w:rsidR="00295BCD" w:rsidRPr="001927D6" w14:paraId="67010CE8" w14:textId="77777777" w:rsidTr="00295BCD">
        <w:trPr>
          <w:divId w:val="1316184749"/>
          <w:trHeight w:val="300"/>
        </w:trPr>
        <w:tc>
          <w:tcPr>
            <w:tcW w:w="4632" w:type="dxa"/>
            <w:vAlign w:val="bottom"/>
            <w:hideMark/>
          </w:tcPr>
          <w:p w14:paraId="3E949FB5" w14:textId="77777777" w:rsidR="00295BCD" w:rsidRPr="001927D6" w:rsidRDefault="00295BCD">
            <w:pPr>
              <w:spacing w:after="0" w:line="240" w:lineRule="auto"/>
              <w:textAlignment w:val="baseline"/>
              <w:rPr>
                <w:szCs w:val="24"/>
                <w:lang w:eastAsia="et-EE"/>
              </w:rPr>
            </w:pPr>
            <w:r w:rsidRPr="001927D6">
              <w:rPr>
                <w:szCs w:val="24"/>
                <w:lang w:eastAsia="et-EE"/>
              </w:rPr>
              <w:t>Sapipõie laparoskoopiline või endoskoopiline operatsioon, kht-ta </w:t>
            </w:r>
          </w:p>
        </w:tc>
        <w:tc>
          <w:tcPr>
            <w:tcW w:w="732" w:type="dxa"/>
            <w:vAlign w:val="center"/>
            <w:hideMark/>
          </w:tcPr>
          <w:p w14:paraId="66BFB446" w14:textId="77777777" w:rsidR="00295BCD" w:rsidRPr="001927D6" w:rsidRDefault="00295BCD">
            <w:pPr>
              <w:spacing w:after="0" w:line="240" w:lineRule="auto"/>
              <w:jc w:val="center"/>
              <w:textAlignment w:val="baseline"/>
              <w:rPr>
                <w:szCs w:val="24"/>
                <w:lang w:eastAsia="et-EE"/>
              </w:rPr>
            </w:pPr>
            <w:r w:rsidRPr="001927D6">
              <w:rPr>
                <w:szCs w:val="24"/>
                <w:lang w:eastAsia="et-EE"/>
              </w:rPr>
              <w:t>494 </w:t>
            </w:r>
          </w:p>
        </w:tc>
        <w:tc>
          <w:tcPr>
            <w:tcW w:w="1243" w:type="dxa"/>
            <w:vAlign w:val="center"/>
          </w:tcPr>
          <w:p w14:paraId="6373D33E" w14:textId="77777777" w:rsidR="00295BCD" w:rsidRPr="001927D6" w:rsidRDefault="00295BCD">
            <w:pPr>
              <w:spacing w:after="0" w:line="240" w:lineRule="auto"/>
              <w:jc w:val="center"/>
              <w:textAlignment w:val="baseline"/>
              <w:rPr>
                <w:szCs w:val="24"/>
                <w:lang w:eastAsia="et-EE"/>
              </w:rPr>
            </w:pPr>
            <w:r w:rsidRPr="001927D6">
              <w:rPr>
                <w:color w:val="000000"/>
                <w:szCs w:val="24"/>
              </w:rPr>
              <w:t>1 790,13</w:t>
            </w:r>
          </w:p>
        </w:tc>
        <w:tc>
          <w:tcPr>
            <w:tcW w:w="1211" w:type="dxa"/>
            <w:vAlign w:val="center"/>
          </w:tcPr>
          <w:p w14:paraId="6D7BEE5A" w14:textId="77777777" w:rsidR="00295BCD" w:rsidRPr="001927D6" w:rsidRDefault="00295BCD">
            <w:pPr>
              <w:spacing w:after="0" w:line="240" w:lineRule="auto"/>
              <w:jc w:val="center"/>
              <w:textAlignment w:val="baseline"/>
              <w:rPr>
                <w:szCs w:val="24"/>
                <w:lang w:eastAsia="et-EE"/>
              </w:rPr>
            </w:pPr>
            <w:r w:rsidRPr="001927D6">
              <w:rPr>
                <w:color w:val="000000"/>
                <w:szCs w:val="24"/>
              </w:rPr>
              <w:t>1 341,41</w:t>
            </w:r>
          </w:p>
        </w:tc>
        <w:tc>
          <w:tcPr>
            <w:tcW w:w="1238" w:type="dxa"/>
            <w:vAlign w:val="center"/>
          </w:tcPr>
          <w:p w14:paraId="4673E410" w14:textId="77777777" w:rsidR="00295BCD" w:rsidRPr="001927D6" w:rsidRDefault="00295BCD">
            <w:pPr>
              <w:spacing w:after="0" w:line="240" w:lineRule="auto"/>
              <w:jc w:val="center"/>
              <w:textAlignment w:val="baseline"/>
              <w:rPr>
                <w:szCs w:val="24"/>
                <w:lang w:eastAsia="et-EE"/>
              </w:rPr>
            </w:pPr>
            <w:r w:rsidRPr="001927D6">
              <w:rPr>
                <w:color w:val="000000"/>
                <w:szCs w:val="24"/>
              </w:rPr>
              <w:t>3 202,78</w:t>
            </w:r>
          </w:p>
        </w:tc>
      </w:tr>
      <w:tr w:rsidR="00295BCD" w:rsidRPr="001927D6" w14:paraId="1F5D15A8" w14:textId="77777777" w:rsidTr="00295BCD">
        <w:trPr>
          <w:divId w:val="1316184749"/>
          <w:trHeight w:val="300"/>
        </w:trPr>
        <w:tc>
          <w:tcPr>
            <w:tcW w:w="4632" w:type="dxa"/>
            <w:vAlign w:val="bottom"/>
            <w:hideMark/>
          </w:tcPr>
          <w:p w14:paraId="2E590AFB" w14:textId="77777777" w:rsidR="00295BCD" w:rsidRPr="001927D6" w:rsidRDefault="00295BCD">
            <w:pPr>
              <w:spacing w:after="0" w:line="240" w:lineRule="auto"/>
              <w:textAlignment w:val="baseline"/>
              <w:rPr>
                <w:szCs w:val="24"/>
                <w:lang w:eastAsia="et-EE"/>
              </w:rPr>
            </w:pPr>
            <w:r w:rsidRPr="001927D6">
              <w:rPr>
                <w:szCs w:val="24"/>
                <w:lang w:eastAsia="et-EE"/>
              </w:rPr>
              <w:t>Sapipõie laparoskoopiline või endoskoopiline operatsioon, lühike ravi </w:t>
            </w:r>
          </w:p>
        </w:tc>
        <w:tc>
          <w:tcPr>
            <w:tcW w:w="732" w:type="dxa"/>
            <w:vAlign w:val="center"/>
            <w:hideMark/>
          </w:tcPr>
          <w:p w14:paraId="29070BD6" w14:textId="77777777" w:rsidR="00295BCD" w:rsidRPr="001927D6" w:rsidRDefault="00295BCD">
            <w:pPr>
              <w:spacing w:after="0" w:line="240" w:lineRule="auto"/>
              <w:jc w:val="center"/>
              <w:textAlignment w:val="baseline"/>
              <w:rPr>
                <w:szCs w:val="24"/>
                <w:lang w:eastAsia="et-EE"/>
              </w:rPr>
            </w:pPr>
            <w:r w:rsidRPr="001927D6">
              <w:rPr>
                <w:szCs w:val="24"/>
                <w:lang w:eastAsia="et-EE"/>
              </w:rPr>
              <w:t>494O </w:t>
            </w:r>
          </w:p>
        </w:tc>
        <w:tc>
          <w:tcPr>
            <w:tcW w:w="1243" w:type="dxa"/>
            <w:vAlign w:val="center"/>
          </w:tcPr>
          <w:p w14:paraId="0E5DE39E" w14:textId="77777777" w:rsidR="00295BCD" w:rsidRPr="001927D6" w:rsidRDefault="00295BCD">
            <w:pPr>
              <w:spacing w:after="0" w:line="240" w:lineRule="auto"/>
              <w:jc w:val="center"/>
              <w:textAlignment w:val="baseline"/>
              <w:rPr>
                <w:szCs w:val="24"/>
                <w:lang w:eastAsia="et-EE"/>
              </w:rPr>
            </w:pPr>
            <w:r w:rsidRPr="001927D6">
              <w:rPr>
                <w:color w:val="000000"/>
                <w:szCs w:val="24"/>
              </w:rPr>
              <w:t>1 317,27</w:t>
            </w:r>
          </w:p>
        </w:tc>
        <w:tc>
          <w:tcPr>
            <w:tcW w:w="1211" w:type="dxa"/>
            <w:vAlign w:val="center"/>
          </w:tcPr>
          <w:p w14:paraId="42F1D3D4" w14:textId="77777777" w:rsidR="00295BCD" w:rsidRPr="001927D6" w:rsidRDefault="00295BCD">
            <w:pPr>
              <w:spacing w:after="0" w:line="240" w:lineRule="auto"/>
              <w:jc w:val="center"/>
              <w:textAlignment w:val="baseline"/>
              <w:rPr>
                <w:szCs w:val="24"/>
                <w:lang w:eastAsia="et-EE"/>
              </w:rPr>
            </w:pPr>
            <w:r w:rsidRPr="001927D6">
              <w:rPr>
                <w:color w:val="000000"/>
                <w:szCs w:val="24"/>
              </w:rPr>
              <w:t>1 217,61</w:t>
            </w:r>
          </w:p>
        </w:tc>
        <w:tc>
          <w:tcPr>
            <w:tcW w:w="1238" w:type="dxa"/>
            <w:vAlign w:val="center"/>
          </w:tcPr>
          <w:p w14:paraId="52584508" w14:textId="77777777" w:rsidR="00295BCD" w:rsidRPr="001927D6" w:rsidRDefault="00295BCD">
            <w:pPr>
              <w:spacing w:after="0" w:line="240" w:lineRule="auto"/>
              <w:jc w:val="center"/>
              <w:textAlignment w:val="baseline"/>
              <w:rPr>
                <w:szCs w:val="24"/>
                <w:lang w:eastAsia="et-EE"/>
              </w:rPr>
            </w:pPr>
            <w:r w:rsidRPr="001927D6">
              <w:rPr>
                <w:color w:val="000000"/>
                <w:szCs w:val="24"/>
              </w:rPr>
              <w:t>1 419,95</w:t>
            </w:r>
          </w:p>
        </w:tc>
      </w:tr>
      <w:tr w:rsidR="00295BCD" w:rsidRPr="001927D6" w14:paraId="1F900F38" w14:textId="77777777" w:rsidTr="00295BCD">
        <w:trPr>
          <w:divId w:val="1316184749"/>
          <w:trHeight w:val="300"/>
        </w:trPr>
        <w:tc>
          <w:tcPr>
            <w:tcW w:w="4632" w:type="dxa"/>
            <w:vAlign w:val="bottom"/>
            <w:hideMark/>
          </w:tcPr>
          <w:p w14:paraId="51148806" w14:textId="77777777" w:rsidR="00295BCD" w:rsidRPr="001927D6" w:rsidRDefault="00295BCD">
            <w:pPr>
              <w:spacing w:after="0" w:line="240" w:lineRule="auto"/>
              <w:textAlignment w:val="baseline"/>
              <w:rPr>
                <w:szCs w:val="24"/>
                <w:lang w:eastAsia="et-EE"/>
              </w:rPr>
            </w:pPr>
            <w:r w:rsidRPr="001927D6">
              <w:rPr>
                <w:szCs w:val="24"/>
                <w:lang w:eastAsia="et-EE"/>
              </w:rPr>
              <w:t>Rinna rekonstruktiivne operatsioon, kht-ga </w:t>
            </w:r>
          </w:p>
        </w:tc>
        <w:tc>
          <w:tcPr>
            <w:tcW w:w="732" w:type="dxa"/>
            <w:vAlign w:val="center"/>
            <w:hideMark/>
          </w:tcPr>
          <w:p w14:paraId="1BB33EA6" w14:textId="77777777" w:rsidR="00295BCD" w:rsidRPr="001927D6" w:rsidRDefault="00295BCD">
            <w:pPr>
              <w:spacing w:after="0" w:line="240" w:lineRule="auto"/>
              <w:jc w:val="center"/>
              <w:textAlignment w:val="baseline"/>
              <w:rPr>
                <w:szCs w:val="24"/>
                <w:lang w:eastAsia="et-EE"/>
              </w:rPr>
            </w:pPr>
            <w:r w:rsidRPr="001927D6">
              <w:rPr>
                <w:szCs w:val="24"/>
                <w:lang w:eastAsia="et-EE"/>
              </w:rPr>
              <w:t>501A </w:t>
            </w:r>
          </w:p>
        </w:tc>
        <w:tc>
          <w:tcPr>
            <w:tcW w:w="1243" w:type="dxa"/>
            <w:vAlign w:val="center"/>
          </w:tcPr>
          <w:p w14:paraId="4677326F" w14:textId="77777777" w:rsidR="00295BCD" w:rsidRPr="001927D6" w:rsidRDefault="00295BCD">
            <w:pPr>
              <w:spacing w:after="0" w:line="240" w:lineRule="auto"/>
              <w:jc w:val="center"/>
              <w:textAlignment w:val="baseline"/>
              <w:rPr>
                <w:szCs w:val="24"/>
                <w:lang w:eastAsia="et-EE"/>
              </w:rPr>
            </w:pPr>
            <w:r w:rsidRPr="001927D6">
              <w:rPr>
                <w:color w:val="000000"/>
                <w:szCs w:val="24"/>
              </w:rPr>
              <w:t>4 189,78</w:t>
            </w:r>
          </w:p>
        </w:tc>
        <w:tc>
          <w:tcPr>
            <w:tcW w:w="1211" w:type="dxa"/>
            <w:vAlign w:val="center"/>
          </w:tcPr>
          <w:p w14:paraId="65D694C7" w14:textId="77777777" w:rsidR="00295BCD" w:rsidRPr="001927D6" w:rsidRDefault="00295BCD">
            <w:pPr>
              <w:spacing w:after="0" w:line="240" w:lineRule="auto"/>
              <w:jc w:val="center"/>
              <w:textAlignment w:val="baseline"/>
              <w:rPr>
                <w:szCs w:val="24"/>
                <w:lang w:eastAsia="et-EE"/>
              </w:rPr>
            </w:pPr>
            <w:r w:rsidRPr="001927D6">
              <w:rPr>
                <w:color w:val="000000"/>
                <w:szCs w:val="24"/>
              </w:rPr>
              <w:t>1 726,59</w:t>
            </w:r>
          </w:p>
        </w:tc>
        <w:tc>
          <w:tcPr>
            <w:tcW w:w="1238" w:type="dxa"/>
            <w:vAlign w:val="center"/>
          </w:tcPr>
          <w:p w14:paraId="741688EE" w14:textId="77777777" w:rsidR="00295BCD" w:rsidRPr="001927D6" w:rsidRDefault="00295BCD">
            <w:pPr>
              <w:spacing w:after="0" w:line="240" w:lineRule="auto"/>
              <w:jc w:val="center"/>
              <w:textAlignment w:val="baseline"/>
              <w:rPr>
                <w:szCs w:val="24"/>
                <w:lang w:eastAsia="et-EE"/>
              </w:rPr>
            </w:pPr>
            <w:r w:rsidRPr="001927D6">
              <w:rPr>
                <w:color w:val="000000"/>
                <w:szCs w:val="24"/>
              </w:rPr>
              <w:t>7 739,47</w:t>
            </w:r>
          </w:p>
        </w:tc>
      </w:tr>
      <w:tr w:rsidR="00295BCD" w:rsidRPr="001927D6" w14:paraId="250CB6A7" w14:textId="77777777" w:rsidTr="00295BCD">
        <w:trPr>
          <w:divId w:val="1316184749"/>
          <w:trHeight w:val="300"/>
        </w:trPr>
        <w:tc>
          <w:tcPr>
            <w:tcW w:w="4632" w:type="dxa"/>
            <w:vAlign w:val="bottom"/>
            <w:hideMark/>
          </w:tcPr>
          <w:p w14:paraId="74A49B73" w14:textId="77777777" w:rsidR="00295BCD" w:rsidRPr="001927D6" w:rsidRDefault="00295BCD">
            <w:pPr>
              <w:spacing w:after="0" w:line="240" w:lineRule="auto"/>
              <w:textAlignment w:val="baseline"/>
              <w:rPr>
                <w:szCs w:val="24"/>
                <w:lang w:eastAsia="et-EE"/>
              </w:rPr>
            </w:pPr>
            <w:r w:rsidRPr="001927D6">
              <w:rPr>
                <w:szCs w:val="24"/>
                <w:lang w:eastAsia="et-EE"/>
              </w:rPr>
              <w:lastRenderedPageBreak/>
              <w:t>Rinna rekonstruktiivne operatsioon, kht-ta </w:t>
            </w:r>
          </w:p>
        </w:tc>
        <w:tc>
          <w:tcPr>
            <w:tcW w:w="732" w:type="dxa"/>
            <w:vAlign w:val="center"/>
            <w:hideMark/>
          </w:tcPr>
          <w:p w14:paraId="69EC8F40" w14:textId="77777777" w:rsidR="00295BCD" w:rsidRPr="001927D6" w:rsidRDefault="00295BCD">
            <w:pPr>
              <w:spacing w:after="0" w:line="240" w:lineRule="auto"/>
              <w:jc w:val="center"/>
              <w:textAlignment w:val="baseline"/>
              <w:rPr>
                <w:szCs w:val="24"/>
                <w:lang w:eastAsia="et-EE"/>
              </w:rPr>
            </w:pPr>
            <w:r w:rsidRPr="001927D6">
              <w:rPr>
                <w:szCs w:val="24"/>
                <w:lang w:eastAsia="et-EE"/>
              </w:rPr>
              <w:t>501B </w:t>
            </w:r>
          </w:p>
        </w:tc>
        <w:tc>
          <w:tcPr>
            <w:tcW w:w="1243" w:type="dxa"/>
            <w:vAlign w:val="center"/>
          </w:tcPr>
          <w:p w14:paraId="3340697C" w14:textId="77777777" w:rsidR="00295BCD" w:rsidRPr="001927D6" w:rsidRDefault="00295BCD">
            <w:pPr>
              <w:spacing w:after="0" w:line="240" w:lineRule="auto"/>
              <w:jc w:val="center"/>
              <w:textAlignment w:val="baseline"/>
              <w:rPr>
                <w:szCs w:val="24"/>
                <w:lang w:eastAsia="et-EE"/>
              </w:rPr>
            </w:pPr>
            <w:r w:rsidRPr="001927D6">
              <w:rPr>
                <w:color w:val="000000"/>
                <w:szCs w:val="24"/>
              </w:rPr>
              <w:t>2 423,06</w:t>
            </w:r>
          </w:p>
        </w:tc>
        <w:tc>
          <w:tcPr>
            <w:tcW w:w="1211" w:type="dxa"/>
            <w:vAlign w:val="center"/>
          </w:tcPr>
          <w:p w14:paraId="491B8EB7" w14:textId="77777777" w:rsidR="00295BCD" w:rsidRPr="001927D6" w:rsidRDefault="00295BCD">
            <w:pPr>
              <w:spacing w:after="0" w:line="240" w:lineRule="auto"/>
              <w:jc w:val="center"/>
              <w:textAlignment w:val="baseline"/>
              <w:rPr>
                <w:szCs w:val="24"/>
                <w:lang w:eastAsia="et-EE"/>
              </w:rPr>
            </w:pPr>
            <w:r w:rsidRPr="001927D6">
              <w:rPr>
                <w:color w:val="000000"/>
                <w:szCs w:val="24"/>
              </w:rPr>
              <w:t>1 918,18</w:t>
            </w:r>
          </w:p>
        </w:tc>
        <w:tc>
          <w:tcPr>
            <w:tcW w:w="1238" w:type="dxa"/>
            <w:vAlign w:val="center"/>
          </w:tcPr>
          <w:p w14:paraId="413EE60F" w14:textId="77777777" w:rsidR="00295BCD" w:rsidRPr="001927D6" w:rsidRDefault="00295BCD">
            <w:pPr>
              <w:spacing w:after="0" w:line="240" w:lineRule="auto"/>
              <w:jc w:val="center"/>
              <w:textAlignment w:val="baseline"/>
              <w:rPr>
                <w:szCs w:val="24"/>
                <w:lang w:eastAsia="et-EE"/>
              </w:rPr>
            </w:pPr>
            <w:r w:rsidRPr="001927D6">
              <w:rPr>
                <w:color w:val="000000"/>
                <w:szCs w:val="24"/>
              </w:rPr>
              <w:t>3 972,25</w:t>
            </w:r>
          </w:p>
        </w:tc>
      </w:tr>
      <w:tr w:rsidR="00295BCD" w:rsidRPr="001927D6" w14:paraId="09A9BE49" w14:textId="77777777" w:rsidTr="00295BCD">
        <w:trPr>
          <w:divId w:val="1316184749"/>
          <w:trHeight w:val="300"/>
        </w:trPr>
        <w:tc>
          <w:tcPr>
            <w:tcW w:w="4632" w:type="dxa"/>
            <w:vAlign w:val="bottom"/>
            <w:hideMark/>
          </w:tcPr>
          <w:p w14:paraId="73C7D90A" w14:textId="77777777" w:rsidR="00295BCD" w:rsidRPr="001927D6" w:rsidRDefault="00295BCD">
            <w:pPr>
              <w:spacing w:after="0" w:line="240" w:lineRule="auto"/>
              <w:textAlignment w:val="baseline"/>
              <w:rPr>
                <w:szCs w:val="24"/>
                <w:lang w:eastAsia="et-EE"/>
              </w:rPr>
            </w:pPr>
            <w:r w:rsidRPr="001927D6">
              <w:rPr>
                <w:szCs w:val="24"/>
                <w:lang w:eastAsia="et-EE"/>
              </w:rPr>
              <w:t>Rinna rekonstruktiivne operatsioon, lühike ravi </w:t>
            </w:r>
          </w:p>
        </w:tc>
        <w:tc>
          <w:tcPr>
            <w:tcW w:w="732" w:type="dxa"/>
            <w:vAlign w:val="center"/>
            <w:hideMark/>
          </w:tcPr>
          <w:p w14:paraId="54DE538F" w14:textId="77777777" w:rsidR="00295BCD" w:rsidRPr="001927D6" w:rsidRDefault="00295BCD">
            <w:pPr>
              <w:spacing w:after="0" w:line="240" w:lineRule="auto"/>
              <w:jc w:val="center"/>
              <w:textAlignment w:val="baseline"/>
              <w:rPr>
                <w:szCs w:val="24"/>
                <w:lang w:eastAsia="et-EE"/>
              </w:rPr>
            </w:pPr>
            <w:r w:rsidRPr="001927D6">
              <w:rPr>
                <w:szCs w:val="24"/>
                <w:lang w:eastAsia="et-EE"/>
              </w:rPr>
              <w:t>501O </w:t>
            </w:r>
          </w:p>
        </w:tc>
        <w:tc>
          <w:tcPr>
            <w:tcW w:w="1243" w:type="dxa"/>
            <w:vAlign w:val="center"/>
          </w:tcPr>
          <w:p w14:paraId="703889C3" w14:textId="77777777" w:rsidR="00295BCD" w:rsidRPr="001927D6" w:rsidRDefault="00295BCD">
            <w:pPr>
              <w:spacing w:after="0" w:line="240" w:lineRule="auto"/>
              <w:jc w:val="center"/>
              <w:textAlignment w:val="baseline"/>
              <w:rPr>
                <w:szCs w:val="24"/>
                <w:lang w:eastAsia="et-EE"/>
              </w:rPr>
            </w:pPr>
            <w:r w:rsidRPr="001927D6">
              <w:rPr>
                <w:color w:val="000000"/>
                <w:szCs w:val="24"/>
              </w:rPr>
              <w:t>1 256,98</w:t>
            </w:r>
          </w:p>
        </w:tc>
        <w:tc>
          <w:tcPr>
            <w:tcW w:w="1211" w:type="dxa"/>
            <w:vAlign w:val="center"/>
          </w:tcPr>
          <w:p w14:paraId="4409DE7F" w14:textId="77777777" w:rsidR="00295BCD" w:rsidRPr="001927D6" w:rsidRDefault="00295BCD">
            <w:pPr>
              <w:spacing w:after="0" w:line="240" w:lineRule="auto"/>
              <w:jc w:val="center"/>
              <w:textAlignment w:val="baseline"/>
              <w:rPr>
                <w:szCs w:val="24"/>
                <w:lang w:eastAsia="et-EE"/>
              </w:rPr>
            </w:pPr>
            <w:r w:rsidRPr="001927D6">
              <w:rPr>
                <w:color w:val="000000"/>
                <w:szCs w:val="24"/>
              </w:rPr>
              <w:t>553,58</w:t>
            </w:r>
          </w:p>
        </w:tc>
        <w:tc>
          <w:tcPr>
            <w:tcW w:w="1238" w:type="dxa"/>
            <w:vAlign w:val="center"/>
          </w:tcPr>
          <w:p w14:paraId="49A99444" w14:textId="77777777" w:rsidR="00295BCD" w:rsidRPr="001927D6" w:rsidRDefault="00295BCD">
            <w:pPr>
              <w:spacing w:after="0" w:line="240" w:lineRule="auto"/>
              <w:jc w:val="center"/>
              <w:textAlignment w:val="baseline"/>
              <w:rPr>
                <w:szCs w:val="24"/>
                <w:lang w:eastAsia="et-EE"/>
              </w:rPr>
            </w:pPr>
            <w:r w:rsidRPr="001927D6">
              <w:rPr>
                <w:color w:val="000000"/>
                <w:szCs w:val="24"/>
              </w:rPr>
              <w:t>2 447,44</w:t>
            </w:r>
          </w:p>
        </w:tc>
      </w:tr>
      <w:tr w:rsidR="00295BCD" w:rsidRPr="001927D6" w14:paraId="52D9424D" w14:textId="77777777" w:rsidTr="00295BCD">
        <w:trPr>
          <w:divId w:val="1316184749"/>
          <w:trHeight w:val="300"/>
        </w:trPr>
        <w:tc>
          <w:tcPr>
            <w:tcW w:w="4632" w:type="dxa"/>
            <w:vAlign w:val="bottom"/>
            <w:hideMark/>
          </w:tcPr>
          <w:p w14:paraId="4FF5B83B" w14:textId="77777777" w:rsidR="00295BCD" w:rsidRPr="001927D6" w:rsidRDefault="00295BCD">
            <w:pPr>
              <w:spacing w:after="0" w:line="240" w:lineRule="auto"/>
              <w:textAlignment w:val="baseline"/>
              <w:rPr>
                <w:szCs w:val="24"/>
                <w:lang w:eastAsia="et-EE"/>
              </w:rPr>
            </w:pPr>
            <w:r w:rsidRPr="001927D6">
              <w:rPr>
                <w:szCs w:val="24"/>
                <w:lang w:eastAsia="et-EE"/>
              </w:rPr>
              <w:t>Mastektoomia ja rinna rekonstruktiivne operatsioon pahaloomulise kasvaja korral </w:t>
            </w:r>
          </w:p>
        </w:tc>
        <w:tc>
          <w:tcPr>
            <w:tcW w:w="732" w:type="dxa"/>
            <w:vAlign w:val="center"/>
            <w:hideMark/>
          </w:tcPr>
          <w:p w14:paraId="20A994BD" w14:textId="77777777" w:rsidR="00295BCD" w:rsidRPr="001927D6" w:rsidRDefault="00295BCD">
            <w:pPr>
              <w:spacing w:after="0" w:line="240" w:lineRule="auto"/>
              <w:jc w:val="center"/>
              <w:textAlignment w:val="baseline"/>
              <w:rPr>
                <w:szCs w:val="24"/>
                <w:lang w:eastAsia="et-EE"/>
              </w:rPr>
            </w:pPr>
            <w:r w:rsidRPr="001927D6">
              <w:rPr>
                <w:szCs w:val="24"/>
                <w:lang w:eastAsia="et-EE"/>
              </w:rPr>
              <w:t>502 </w:t>
            </w:r>
          </w:p>
        </w:tc>
        <w:tc>
          <w:tcPr>
            <w:tcW w:w="1243" w:type="dxa"/>
            <w:vAlign w:val="center"/>
          </w:tcPr>
          <w:p w14:paraId="24BBE051" w14:textId="77777777" w:rsidR="00295BCD" w:rsidRPr="001927D6" w:rsidRDefault="00295BCD">
            <w:pPr>
              <w:spacing w:after="0" w:line="240" w:lineRule="auto"/>
              <w:jc w:val="center"/>
              <w:textAlignment w:val="baseline"/>
              <w:rPr>
                <w:szCs w:val="24"/>
                <w:lang w:eastAsia="et-EE"/>
              </w:rPr>
            </w:pPr>
            <w:r w:rsidRPr="001927D6">
              <w:rPr>
                <w:color w:val="000000"/>
                <w:szCs w:val="24"/>
              </w:rPr>
              <w:t>6 169,51</w:t>
            </w:r>
          </w:p>
        </w:tc>
        <w:tc>
          <w:tcPr>
            <w:tcW w:w="1211" w:type="dxa"/>
            <w:vAlign w:val="center"/>
          </w:tcPr>
          <w:p w14:paraId="56994C1B" w14:textId="77777777" w:rsidR="00295BCD" w:rsidRPr="001927D6" w:rsidRDefault="00295BCD">
            <w:pPr>
              <w:spacing w:after="0" w:line="240" w:lineRule="auto"/>
              <w:jc w:val="center"/>
              <w:textAlignment w:val="baseline"/>
              <w:rPr>
                <w:szCs w:val="24"/>
                <w:lang w:eastAsia="et-EE"/>
              </w:rPr>
            </w:pPr>
            <w:r w:rsidRPr="001927D6">
              <w:rPr>
                <w:color w:val="000000"/>
                <w:szCs w:val="24"/>
              </w:rPr>
              <w:t>3 949,59</w:t>
            </w:r>
          </w:p>
        </w:tc>
        <w:tc>
          <w:tcPr>
            <w:tcW w:w="1238" w:type="dxa"/>
            <w:vAlign w:val="center"/>
          </w:tcPr>
          <w:p w14:paraId="520988FD" w14:textId="77777777" w:rsidR="00295BCD" w:rsidRPr="001927D6" w:rsidRDefault="00295BCD">
            <w:pPr>
              <w:spacing w:after="0" w:line="240" w:lineRule="auto"/>
              <w:jc w:val="center"/>
              <w:textAlignment w:val="baseline"/>
              <w:rPr>
                <w:szCs w:val="24"/>
                <w:lang w:eastAsia="et-EE"/>
              </w:rPr>
            </w:pPr>
            <w:r w:rsidRPr="001927D6">
              <w:rPr>
                <w:color w:val="000000"/>
                <w:szCs w:val="24"/>
              </w:rPr>
              <w:t>8 980,60</w:t>
            </w:r>
          </w:p>
        </w:tc>
      </w:tr>
      <w:tr w:rsidR="00295BCD" w:rsidRPr="001927D6" w14:paraId="2F52DCE5" w14:textId="77777777" w:rsidTr="00295BCD">
        <w:trPr>
          <w:divId w:val="1316184749"/>
          <w:trHeight w:val="300"/>
        </w:trPr>
        <w:tc>
          <w:tcPr>
            <w:tcW w:w="4632" w:type="dxa"/>
            <w:vAlign w:val="bottom"/>
            <w:hideMark/>
          </w:tcPr>
          <w:p w14:paraId="73D16F7E" w14:textId="77777777" w:rsidR="00295BCD" w:rsidRPr="001927D6" w:rsidRDefault="00295BCD">
            <w:pPr>
              <w:spacing w:after="0" w:line="240" w:lineRule="auto"/>
              <w:textAlignment w:val="baseline"/>
              <w:rPr>
                <w:szCs w:val="24"/>
                <w:lang w:eastAsia="et-EE"/>
              </w:rPr>
            </w:pPr>
            <w:r w:rsidRPr="001927D6">
              <w:rPr>
                <w:szCs w:val="24"/>
                <w:lang w:eastAsia="et-EE"/>
              </w:rPr>
              <w:t>Muu operatsioon rinnanäärme haiguse korral </w:t>
            </w:r>
          </w:p>
        </w:tc>
        <w:tc>
          <w:tcPr>
            <w:tcW w:w="732" w:type="dxa"/>
            <w:vAlign w:val="center"/>
            <w:hideMark/>
          </w:tcPr>
          <w:p w14:paraId="44AF27B7" w14:textId="77777777" w:rsidR="00295BCD" w:rsidRPr="001927D6" w:rsidRDefault="00295BCD">
            <w:pPr>
              <w:spacing w:after="0" w:line="240" w:lineRule="auto"/>
              <w:jc w:val="center"/>
              <w:textAlignment w:val="baseline"/>
              <w:rPr>
                <w:szCs w:val="24"/>
                <w:lang w:eastAsia="et-EE"/>
              </w:rPr>
            </w:pPr>
            <w:r w:rsidRPr="001927D6">
              <w:rPr>
                <w:szCs w:val="24"/>
                <w:lang w:eastAsia="et-EE"/>
              </w:rPr>
              <w:t>509 </w:t>
            </w:r>
          </w:p>
        </w:tc>
        <w:tc>
          <w:tcPr>
            <w:tcW w:w="1243" w:type="dxa"/>
            <w:vAlign w:val="center"/>
          </w:tcPr>
          <w:p w14:paraId="0E936389" w14:textId="77777777" w:rsidR="00295BCD" w:rsidRPr="001927D6" w:rsidRDefault="00295BCD">
            <w:pPr>
              <w:spacing w:after="0" w:line="240" w:lineRule="auto"/>
              <w:jc w:val="center"/>
              <w:textAlignment w:val="baseline"/>
              <w:rPr>
                <w:szCs w:val="24"/>
                <w:lang w:eastAsia="et-EE"/>
              </w:rPr>
            </w:pPr>
            <w:r w:rsidRPr="001927D6">
              <w:rPr>
                <w:color w:val="000000"/>
                <w:szCs w:val="24"/>
              </w:rPr>
              <w:t>2 128,07</w:t>
            </w:r>
          </w:p>
        </w:tc>
        <w:tc>
          <w:tcPr>
            <w:tcW w:w="1211" w:type="dxa"/>
            <w:vAlign w:val="center"/>
          </w:tcPr>
          <w:p w14:paraId="475E4042" w14:textId="77777777" w:rsidR="00295BCD" w:rsidRPr="001927D6" w:rsidRDefault="00295BCD">
            <w:pPr>
              <w:spacing w:after="0" w:line="240" w:lineRule="auto"/>
              <w:jc w:val="center"/>
              <w:textAlignment w:val="baseline"/>
              <w:rPr>
                <w:szCs w:val="24"/>
                <w:lang w:eastAsia="et-EE"/>
              </w:rPr>
            </w:pPr>
            <w:r w:rsidRPr="001927D6">
              <w:rPr>
                <w:color w:val="000000"/>
                <w:szCs w:val="24"/>
              </w:rPr>
              <w:t>1 223,23</w:t>
            </w:r>
          </w:p>
        </w:tc>
        <w:tc>
          <w:tcPr>
            <w:tcW w:w="1238" w:type="dxa"/>
            <w:vAlign w:val="center"/>
          </w:tcPr>
          <w:p w14:paraId="05D3F461" w14:textId="77777777" w:rsidR="00295BCD" w:rsidRPr="001927D6" w:rsidRDefault="00295BCD">
            <w:pPr>
              <w:spacing w:after="0" w:line="240" w:lineRule="auto"/>
              <w:jc w:val="center"/>
              <w:textAlignment w:val="baseline"/>
              <w:rPr>
                <w:szCs w:val="24"/>
                <w:lang w:eastAsia="et-EE"/>
              </w:rPr>
            </w:pPr>
            <w:r w:rsidRPr="001927D6">
              <w:rPr>
                <w:color w:val="000000"/>
                <w:szCs w:val="24"/>
              </w:rPr>
              <w:t>3 389,23</w:t>
            </w:r>
          </w:p>
        </w:tc>
      </w:tr>
      <w:tr w:rsidR="00295BCD" w:rsidRPr="001927D6" w14:paraId="1DB6CC22" w14:textId="77777777" w:rsidTr="00295BCD">
        <w:trPr>
          <w:divId w:val="1316184749"/>
          <w:trHeight w:val="300"/>
        </w:trPr>
        <w:tc>
          <w:tcPr>
            <w:tcW w:w="4632" w:type="dxa"/>
            <w:vAlign w:val="bottom"/>
            <w:hideMark/>
          </w:tcPr>
          <w:p w14:paraId="18F104C0" w14:textId="77777777" w:rsidR="00295BCD" w:rsidRPr="001927D6" w:rsidRDefault="00295BCD">
            <w:pPr>
              <w:spacing w:after="0" w:line="240" w:lineRule="auto"/>
              <w:textAlignment w:val="baseline"/>
              <w:rPr>
                <w:szCs w:val="24"/>
                <w:lang w:eastAsia="et-EE"/>
              </w:rPr>
            </w:pPr>
            <w:r w:rsidRPr="001927D6">
              <w:rPr>
                <w:szCs w:val="24"/>
                <w:lang w:eastAsia="et-EE"/>
              </w:rPr>
              <w:t>Muu operatsioon rinnanäärme haiguse korral, lühike ravi </w:t>
            </w:r>
          </w:p>
        </w:tc>
        <w:tc>
          <w:tcPr>
            <w:tcW w:w="732" w:type="dxa"/>
            <w:vAlign w:val="center"/>
            <w:hideMark/>
          </w:tcPr>
          <w:p w14:paraId="714FFF22" w14:textId="77777777" w:rsidR="00295BCD" w:rsidRPr="001927D6" w:rsidRDefault="00295BCD">
            <w:pPr>
              <w:spacing w:after="0" w:line="240" w:lineRule="auto"/>
              <w:jc w:val="center"/>
              <w:textAlignment w:val="baseline"/>
              <w:rPr>
                <w:szCs w:val="24"/>
                <w:lang w:eastAsia="et-EE"/>
              </w:rPr>
            </w:pPr>
            <w:r w:rsidRPr="001927D6">
              <w:rPr>
                <w:szCs w:val="24"/>
                <w:lang w:eastAsia="et-EE"/>
              </w:rPr>
              <w:t>509O </w:t>
            </w:r>
          </w:p>
        </w:tc>
        <w:tc>
          <w:tcPr>
            <w:tcW w:w="1243" w:type="dxa"/>
            <w:vAlign w:val="center"/>
          </w:tcPr>
          <w:p w14:paraId="24FB9CD6" w14:textId="77777777" w:rsidR="00295BCD" w:rsidRPr="001927D6" w:rsidRDefault="00295BCD">
            <w:pPr>
              <w:spacing w:after="0" w:line="240" w:lineRule="auto"/>
              <w:jc w:val="center"/>
              <w:textAlignment w:val="baseline"/>
              <w:rPr>
                <w:szCs w:val="24"/>
                <w:lang w:eastAsia="et-EE"/>
              </w:rPr>
            </w:pPr>
            <w:r w:rsidRPr="001927D6">
              <w:rPr>
                <w:color w:val="000000"/>
                <w:szCs w:val="24"/>
              </w:rPr>
              <w:t>1 239,15</w:t>
            </w:r>
          </w:p>
        </w:tc>
        <w:tc>
          <w:tcPr>
            <w:tcW w:w="1211" w:type="dxa"/>
            <w:vAlign w:val="center"/>
          </w:tcPr>
          <w:p w14:paraId="63BC7D5B" w14:textId="77777777" w:rsidR="00295BCD" w:rsidRPr="001927D6" w:rsidRDefault="00295BCD">
            <w:pPr>
              <w:spacing w:after="0" w:line="240" w:lineRule="auto"/>
              <w:jc w:val="center"/>
              <w:textAlignment w:val="baseline"/>
              <w:rPr>
                <w:szCs w:val="24"/>
                <w:lang w:eastAsia="et-EE"/>
              </w:rPr>
            </w:pPr>
            <w:r w:rsidRPr="001927D6">
              <w:rPr>
                <w:color w:val="000000"/>
                <w:szCs w:val="24"/>
              </w:rPr>
              <w:t>553,58</w:t>
            </w:r>
          </w:p>
        </w:tc>
        <w:tc>
          <w:tcPr>
            <w:tcW w:w="1238" w:type="dxa"/>
            <w:vAlign w:val="center"/>
          </w:tcPr>
          <w:p w14:paraId="5121EE10" w14:textId="77777777" w:rsidR="00295BCD" w:rsidRPr="001927D6" w:rsidRDefault="00295BCD">
            <w:pPr>
              <w:spacing w:after="0" w:line="240" w:lineRule="auto"/>
              <w:jc w:val="center"/>
              <w:textAlignment w:val="baseline"/>
              <w:rPr>
                <w:szCs w:val="24"/>
                <w:lang w:eastAsia="et-EE"/>
              </w:rPr>
            </w:pPr>
            <w:r w:rsidRPr="001927D6">
              <w:rPr>
                <w:color w:val="000000"/>
                <w:szCs w:val="24"/>
              </w:rPr>
              <w:t>1 846,77</w:t>
            </w:r>
          </w:p>
        </w:tc>
      </w:tr>
      <w:tr w:rsidR="00295BCD" w:rsidRPr="001927D6" w14:paraId="3656A3E4" w14:textId="77777777" w:rsidTr="00295BCD">
        <w:trPr>
          <w:divId w:val="1316184749"/>
          <w:trHeight w:val="300"/>
        </w:trPr>
        <w:tc>
          <w:tcPr>
            <w:tcW w:w="4632" w:type="dxa"/>
            <w:vAlign w:val="bottom"/>
            <w:hideMark/>
          </w:tcPr>
          <w:p w14:paraId="08C1F28C" w14:textId="77777777" w:rsidR="00295BCD" w:rsidRPr="001927D6" w:rsidRDefault="00295BCD">
            <w:pPr>
              <w:spacing w:after="0" w:line="240" w:lineRule="auto"/>
              <w:textAlignment w:val="baseline"/>
              <w:rPr>
                <w:szCs w:val="24"/>
                <w:lang w:eastAsia="et-EE"/>
              </w:rPr>
            </w:pPr>
            <w:r w:rsidRPr="001927D6">
              <w:rPr>
                <w:szCs w:val="24"/>
                <w:lang w:eastAsia="et-EE"/>
              </w:rPr>
              <w:t>Obstruktiivne uneapnoe </w:t>
            </w:r>
          </w:p>
        </w:tc>
        <w:tc>
          <w:tcPr>
            <w:tcW w:w="732" w:type="dxa"/>
            <w:vAlign w:val="center"/>
            <w:hideMark/>
          </w:tcPr>
          <w:p w14:paraId="13828F32" w14:textId="77777777" w:rsidR="00295BCD" w:rsidRPr="001927D6" w:rsidRDefault="00295BCD">
            <w:pPr>
              <w:spacing w:after="0" w:line="240" w:lineRule="auto"/>
              <w:jc w:val="center"/>
              <w:textAlignment w:val="baseline"/>
              <w:rPr>
                <w:szCs w:val="24"/>
                <w:lang w:eastAsia="et-EE"/>
              </w:rPr>
            </w:pPr>
            <w:r w:rsidRPr="001927D6">
              <w:rPr>
                <w:szCs w:val="24"/>
                <w:lang w:eastAsia="et-EE"/>
              </w:rPr>
              <w:t>520 </w:t>
            </w:r>
          </w:p>
        </w:tc>
        <w:tc>
          <w:tcPr>
            <w:tcW w:w="1243" w:type="dxa"/>
            <w:vAlign w:val="center"/>
          </w:tcPr>
          <w:p w14:paraId="12BC3CB2" w14:textId="77777777" w:rsidR="00295BCD" w:rsidRPr="001927D6" w:rsidRDefault="00295BCD">
            <w:pPr>
              <w:spacing w:after="0" w:line="240" w:lineRule="auto"/>
              <w:jc w:val="center"/>
              <w:textAlignment w:val="baseline"/>
              <w:rPr>
                <w:szCs w:val="24"/>
                <w:lang w:eastAsia="et-EE"/>
              </w:rPr>
            </w:pPr>
            <w:r w:rsidRPr="001927D6">
              <w:rPr>
                <w:color w:val="000000"/>
                <w:szCs w:val="24"/>
              </w:rPr>
              <w:t>505,63</w:t>
            </w:r>
          </w:p>
        </w:tc>
        <w:tc>
          <w:tcPr>
            <w:tcW w:w="1211" w:type="dxa"/>
            <w:vAlign w:val="center"/>
          </w:tcPr>
          <w:p w14:paraId="5A712FBC" w14:textId="77777777" w:rsidR="00295BCD" w:rsidRPr="001927D6" w:rsidRDefault="00295BCD">
            <w:pPr>
              <w:spacing w:after="0" w:line="240" w:lineRule="auto"/>
              <w:jc w:val="center"/>
              <w:textAlignment w:val="baseline"/>
              <w:rPr>
                <w:szCs w:val="24"/>
                <w:lang w:eastAsia="et-EE"/>
              </w:rPr>
            </w:pPr>
            <w:r w:rsidRPr="001927D6">
              <w:rPr>
                <w:color w:val="000000"/>
                <w:szCs w:val="24"/>
              </w:rPr>
              <w:t>505,52</w:t>
            </w:r>
          </w:p>
        </w:tc>
        <w:tc>
          <w:tcPr>
            <w:tcW w:w="1238" w:type="dxa"/>
            <w:vAlign w:val="center"/>
          </w:tcPr>
          <w:p w14:paraId="43412C8B" w14:textId="77777777" w:rsidR="00295BCD" w:rsidRPr="001927D6" w:rsidRDefault="00295BCD">
            <w:pPr>
              <w:spacing w:after="0" w:line="240" w:lineRule="auto"/>
              <w:jc w:val="center"/>
              <w:textAlignment w:val="baseline"/>
              <w:rPr>
                <w:szCs w:val="24"/>
                <w:lang w:eastAsia="et-EE"/>
              </w:rPr>
            </w:pPr>
            <w:r w:rsidRPr="001927D6">
              <w:rPr>
                <w:color w:val="000000"/>
                <w:szCs w:val="24"/>
              </w:rPr>
              <w:t>507,81</w:t>
            </w:r>
          </w:p>
        </w:tc>
      </w:tr>
      <w:tr w:rsidR="00295BCD" w:rsidRPr="001927D6" w14:paraId="1267DD3C" w14:textId="77777777" w:rsidTr="00295BCD">
        <w:trPr>
          <w:divId w:val="1316184749"/>
          <w:trHeight w:val="300"/>
        </w:trPr>
        <w:tc>
          <w:tcPr>
            <w:tcW w:w="4632" w:type="dxa"/>
            <w:vAlign w:val="bottom"/>
            <w:hideMark/>
          </w:tcPr>
          <w:p w14:paraId="34DA4209" w14:textId="77777777" w:rsidR="00295BCD" w:rsidRPr="001927D6" w:rsidRDefault="00295BCD">
            <w:pPr>
              <w:spacing w:after="0" w:line="240" w:lineRule="auto"/>
              <w:textAlignment w:val="baseline"/>
              <w:rPr>
                <w:szCs w:val="24"/>
                <w:lang w:eastAsia="et-EE"/>
              </w:rPr>
            </w:pPr>
            <w:r w:rsidRPr="001927D6">
              <w:rPr>
                <w:szCs w:val="24"/>
                <w:lang w:eastAsia="et-EE"/>
              </w:rPr>
              <w:t>Tavaline korrektsioon obstruktiivse apnoe korral </w:t>
            </w:r>
          </w:p>
        </w:tc>
        <w:tc>
          <w:tcPr>
            <w:tcW w:w="732" w:type="dxa"/>
            <w:vAlign w:val="center"/>
            <w:hideMark/>
          </w:tcPr>
          <w:p w14:paraId="342435CD" w14:textId="77777777" w:rsidR="00295BCD" w:rsidRPr="001927D6" w:rsidRDefault="00295BCD">
            <w:pPr>
              <w:spacing w:after="0" w:line="240" w:lineRule="auto"/>
              <w:jc w:val="center"/>
              <w:textAlignment w:val="baseline"/>
              <w:rPr>
                <w:szCs w:val="24"/>
                <w:lang w:eastAsia="et-EE"/>
              </w:rPr>
            </w:pPr>
            <w:r w:rsidRPr="001927D6">
              <w:rPr>
                <w:szCs w:val="24"/>
                <w:lang w:eastAsia="et-EE"/>
              </w:rPr>
              <w:t>521 </w:t>
            </w:r>
          </w:p>
        </w:tc>
        <w:tc>
          <w:tcPr>
            <w:tcW w:w="1243" w:type="dxa"/>
            <w:vAlign w:val="center"/>
          </w:tcPr>
          <w:p w14:paraId="6C30CDD7" w14:textId="77777777" w:rsidR="00295BCD" w:rsidRPr="001927D6" w:rsidRDefault="00295BCD">
            <w:pPr>
              <w:spacing w:after="0" w:line="240" w:lineRule="auto"/>
              <w:jc w:val="center"/>
              <w:textAlignment w:val="baseline"/>
              <w:rPr>
                <w:szCs w:val="24"/>
                <w:lang w:eastAsia="et-EE"/>
              </w:rPr>
            </w:pPr>
            <w:r w:rsidRPr="001927D6">
              <w:rPr>
                <w:color w:val="000000"/>
                <w:szCs w:val="24"/>
              </w:rPr>
              <w:t>921,13</w:t>
            </w:r>
          </w:p>
        </w:tc>
        <w:tc>
          <w:tcPr>
            <w:tcW w:w="1211" w:type="dxa"/>
            <w:vAlign w:val="center"/>
          </w:tcPr>
          <w:p w14:paraId="27559F2D" w14:textId="77777777" w:rsidR="00295BCD" w:rsidRPr="001927D6" w:rsidRDefault="00295BCD">
            <w:pPr>
              <w:spacing w:after="0" w:line="240" w:lineRule="auto"/>
              <w:jc w:val="center"/>
              <w:textAlignment w:val="baseline"/>
              <w:rPr>
                <w:szCs w:val="24"/>
                <w:lang w:eastAsia="et-EE"/>
              </w:rPr>
            </w:pPr>
            <w:r w:rsidRPr="001927D6">
              <w:rPr>
                <w:color w:val="000000"/>
                <w:szCs w:val="24"/>
              </w:rPr>
              <w:t>621,92</w:t>
            </w:r>
          </w:p>
        </w:tc>
        <w:tc>
          <w:tcPr>
            <w:tcW w:w="1238" w:type="dxa"/>
            <w:vAlign w:val="center"/>
          </w:tcPr>
          <w:p w14:paraId="1AC854BF" w14:textId="77777777" w:rsidR="00295BCD" w:rsidRPr="001927D6" w:rsidRDefault="00295BCD">
            <w:pPr>
              <w:spacing w:after="0" w:line="240" w:lineRule="auto"/>
              <w:jc w:val="center"/>
              <w:textAlignment w:val="baseline"/>
              <w:rPr>
                <w:szCs w:val="24"/>
                <w:lang w:eastAsia="et-EE"/>
              </w:rPr>
            </w:pPr>
            <w:r w:rsidRPr="001927D6">
              <w:rPr>
                <w:color w:val="000000"/>
                <w:szCs w:val="24"/>
              </w:rPr>
              <w:t>1 208,39</w:t>
            </w:r>
          </w:p>
        </w:tc>
      </w:tr>
      <w:tr w:rsidR="00295BCD" w:rsidRPr="001927D6" w14:paraId="713F60F4" w14:textId="77777777" w:rsidTr="00295BCD">
        <w:trPr>
          <w:divId w:val="1316184749"/>
          <w:trHeight w:val="300"/>
        </w:trPr>
        <w:tc>
          <w:tcPr>
            <w:tcW w:w="4632" w:type="dxa"/>
            <w:vAlign w:val="bottom"/>
            <w:hideMark/>
          </w:tcPr>
          <w:p w14:paraId="359F02F7" w14:textId="77777777" w:rsidR="00295BCD" w:rsidRPr="001927D6" w:rsidRDefault="00295BCD">
            <w:pPr>
              <w:spacing w:after="0" w:line="240" w:lineRule="auto"/>
              <w:textAlignment w:val="baseline"/>
              <w:rPr>
                <w:szCs w:val="24"/>
                <w:lang w:eastAsia="et-EE"/>
              </w:rPr>
            </w:pPr>
            <w:r w:rsidRPr="001927D6">
              <w:rPr>
                <w:szCs w:val="24"/>
                <w:lang w:eastAsia="et-EE"/>
              </w:rPr>
              <w:t>Tavaline korrektsioon obstruktiivse apnoe korral, lühike ravi </w:t>
            </w:r>
          </w:p>
        </w:tc>
        <w:tc>
          <w:tcPr>
            <w:tcW w:w="732" w:type="dxa"/>
            <w:vAlign w:val="center"/>
            <w:hideMark/>
          </w:tcPr>
          <w:p w14:paraId="3041921A" w14:textId="77777777" w:rsidR="00295BCD" w:rsidRPr="001927D6" w:rsidRDefault="00295BCD">
            <w:pPr>
              <w:spacing w:after="0" w:line="240" w:lineRule="auto"/>
              <w:jc w:val="center"/>
              <w:textAlignment w:val="baseline"/>
              <w:rPr>
                <w:szCs w:val="24"/>
                <w:lang w:eastAsia="et-EE"/>
              </w:rPr>
            </w:pPr>
            <w:r w:rsidRPr="001927D6">
              <w:rPr>
                <w:szCs w:val="24"/>
                <w:lang w:eastAsia="et-EE"/>
              </w:rPr>
              <w:t>521O </w:t>
            </w:r>
          </w:p>
        </w:tc>
        <w:tc>
          <w:tcPr>
            <w:tcW w:w="1243" w:type="dxa"/>
            <w:vAlign w:val="center"/>
          </w:tcPr>
          <w:p w14:paraId="5E8EB726" w14:textId="77777777" w:rsidR="00295BCD" w:rsidRPr="001927D6" w:rsidRDefault="00295BCD">
            <w:pPr>
              <w:spacing w:after="0" w:line="240" w:lineRule="auto"/>
              <w:jc w:val="center"/>
              <w:textAlignment w:val="baseline"/>
              <w:rPr>
                <w:szCs w:val="24"/>
                <w:lang w:eastAsia="et-EE"/>
              </w:rPr>
            </w:pPr>
            <w:r w:rsidRPr="001927D6">
              <w:rPr>
                <w:color w:val="000000"/>
                <w:szCs w:val="24"/>
              </w:rPr>
              <w:t>790,00</w:t>
            </w:r>
          </w:p>
        </w:tc>
        <w:tc>
          <w:tcPr>
            <w:tcW w:w="1211" w:type="dxa"/>
            <w:vAlign w:val="center"/>
          </w:tcPr>
          <w:p w14:paraId="2415267E" w14:textId="77777777" w:rsidR="00295BCD" w:rsidRPr="001927D6" w:rsidRDefault="00295BCD">
            <w:pPr>
              <w:spacing w:after="0" w:line="240" w:lineRule="auto"/>
              <w:jc w:val="center"/>
              <w:textAlignment w:val="baseline"/>
              <w:rPr>
                <w:szCs w:val="24"/>
                <w:lang w:eastAsia="et-EE"/>
              </w:rPr>
            </w:pPr>
            <w:r w:rsidRPr="001927D6">
              <w:rPr>
                <w:color w:val="000000"/>
                <w:szCs w:val="24"/>
              </w:rPr>
              <w:t>534,77</w:t>
            </w:r>
          </w:p>
        </w:tc>
        <w:tc>
          <w:tcPr>
            <w:tcW w:w="1238" w:type="dxa"/>
            <w:vAlign w:val="center"/>
          </w:tcPr>
          <w:p w14:paraId="5A7262A6" w14:textId="77777777" w:rsidR="00295BCD" w:rsidRPr="001927D6" w:rsidRDefault="00295BCD">
            <w:pPr>
              <w:spacing w:after="0" w:line="240" w:lineRule="auto"/>
              <w:jc w:val="center"/>
              <w:textAlignment w:val="baseline"/>
              <w:rPr>
                <w:szCs w:val="24"/>
                <w:lang w:eastAsia="et-EE"/>
              </w:rPr>
            </w:pPr>
            <w:r w:rsidRPr="001927D6">
              <w:rPr>
                <w:color w:val="000000"/>
                <w:szCs w:val="24"/>
              </w:rPr>
              <w:t>928,36</w:t>
            </w:r>
          </w:p>
        </w:tc>
      </w:tr>
      <w:tr w:rsidR="00295BCD" w:rsidRPr="001927D6" w14:paraId="201681CB" w14:textId="77777777" w:rsidTr="00295BCD">
        <w:trPr>
          <w:divId w:val="1316184749"/>
          <w:trHeight w:val="300"/>
        </w:trPr>
        <w:tc>
          <w:tcPr>
            <w:tcW w:w="4632" w:type="dxa"/>
            <w:vAlign w:val="bottom"/>
            <w:hideMark/>
          </w:tcPr>
          <w:p w14:paraId="27776B00" w14:textId="77777777" w:rsidR="00295BCD" w:rsidRPr="001927D6" w:rsidRDefault="00295BCD">
            <w:pPr>
              <w:spacing w:after="0" w:line="240" w:lineRule="auto"/>
              <w:textAlignment w:val="baseline"/>
              <w:rPr>
                <w:szCs w:val="24"/>
                <w:lang w:eastAsia="et-EE"/>
              </w:rPr>
            </w:pPr>
            <w:r w:rsidRPr="001927D6">
              <w:rPr>
                <w:szCs w:val="24"/>
                <w:lang w:eastAsia="et-EE"/>
              </w:rPr>
              <w:t>Kesknärvisüsteemi stimuleeriva seadme paigaldamine või asendamine, lühike ravi </w:t>
            </w:r>
          </w:p>
        </w:tc>
        <w:tc>
          <w:tcPr>
            <w:tcW w:w="732" w:type="dxa"/>
            <w:vAlign w:val="center"/>
            <w:hideMark/>
          </w:tcPr>
          <w:p w14:paraId="2B50AA4E" w14:textId="77777777" w:rsidR="00295BCD" w:rsidRPr="001927D6" w:rsidRDefault="00295BCD">
            <w:pPr>
              <w:spacing w:after="0" w:line="240" w:lineRule="auto"/>
              <w:jc w:val="center"/>
              <w:textAlignment w:val="baseline"/>
              <w:rPr>
                <w:szCs w:val="24"/>
                <w:lang w:eastAsia="et-EE"/>
              </w:rPr>
            </w:pPr>
            <w:r w:rsidRPr="001927D6">
              <w:rPr>
                <w:szCs w:val="24"/>
                <w:lang w:eastAsia="et-EE"/>
              </w:rPr>
              <w:t>570O </w:t>
            </w:r>
          </w:p>
        </w:tc>
        <w:tc>
          <w:tcPr>
            <w:tcW w:w="1243" w:type="dxa"/>
            <w:vAlign w:val="center"/>
          </w:tcPr>
          <w:p w14:paraId="50A23ADE" w14:textId="77777777" w:rsidR="00295BCD" w:rsidRPr="001927D6" w:rsidRDefault="00295BCD">
            <w:pPr>
              <w:spacing w:after="0" w:line="240" w:lineRule="auto"/>
              <w:jc w:val="center"/>
              <w:textAlignment w:val="baseline"/>
              <w:rPr>
                <w:szCs w:val="24"/>
                <w:lang w:eastAsia="et-EE"/>
              </w:rPr>
            </w:pPr>
            <w:r w:rsidRPr="001927D6">
              <w:rPr>
                <w:color w:val="000000"/>
                <w:szCs w:val="24"/>
              </w:rPr>
              <w:t>763,72</w:t>
            </w:r>
          </w:p>
        </w:tc>
        <w:tc>
          <w:tcPr>
            <w:tcW w:w="1211" w:type="dxa"/>
            <w:vAlign w:val="center"/>
          </w:tcPr>
          <w:p w14:paraId="7AB929E4" w14:textId="77777777" w:rsidR="00295BCD" w:rsidRPr="001927D6" w:rsidRDefault="00295BCD">
            <w:pPr>
              <w:spacing w:after="0" w:line="240" w:lineRule="auto"/>
              <w:jc w:val="center"/>
              <w:textAlignment w:val="baseline"/>
              <w:rPr>
                <w:szCs w:val="24"/>
                <w:lang w:eastAsia="et-EE"/>
              </w:rPr>
            </w:pPr>
            <w:r w:rsidRPr="001927D6">
              <w:rPr>
                <w:color w:val="000000"/>
                <w:szCs w:val="24"/>
              </w:rPr>
              <w:t>705,00</w:t>
            </w:r>
          </w:p>
        </w:tc>
        <w:tc>
          <w:tcPr>
            <w:tcW w:w="1238" w:type="dxa"/>
            <w:vAlign w:val="center"/>
          </w:tcPr>
          <w:p w14:paraId="2C890877" w14:textId="77777777" w:rsidR="00295BCD" w:rsidRPr="001927D6" w:rsidRDefault="00295BCD">
            <w:pPr>
              <w:spacing w:after="0" w:line="240" w:lineRule="auto"/>
              <w:jc w:val="center"/>
              <w:textAlignment w:val="baseline"/>
              <w:rPr>
                <w:szCs w:val="24"/>
                <w:lang w:eastAsia="et-EE"/>
              </w:rPr>
            </w:pPr>
            <w:r w:rsidRPr="001927D6">
              <w:rPr>
                <w:color w:val="000000"/>
                <w:szCs w:val="24"/>
              </w:rPr>
              <w:t>23 559,12</w:t>
            </w:r>
          </w:p>
        </w:tc>
      </w:tr>
      <w:tr w:rsidR="00295BCD" w:rsidRPr="001927D6" w14:paraId="721B3D23" w14:textId="77777777" w:rsidTr="00295BCD">
        <w:trPr>
          <w:divId w:val="1316184749"/>
          <w:trHeight w:val="300"/>
        </w:trPr>
        <w:tc>
          <w:tcPr>
            <w:tcW w:w="4632" w:type="dxa"/>
            <w:vAlign w:val="bottom"/>
            <w:hideMark/>
          </w:tcPr>
          <w:p w14:paraId="1A7E03F1" w14:textId="77777777" w:rsidR="00295BCD" w:rsidRPr="001927D6" w:rsidRDefault="00295BCD">
            <w:pPr>
              <w:spacing w:after="0" w:line="240" w:lineRule="auto"/>
              <w:textAlignment w:val="baseline"/>
              <w:rPr>
                <w:szCs w:val="24"/>
                <w:lang w:eastAsia="et-EE"/>
              </w:rPr>
            </w:pPr>
            <w:r w:rsidRPr="001927D6">
              <w:rPr>
                <w:szCs w:val="24"/>
                <w:lang w:eastAsia="et-EE"/>
              </w:rPr>
              <w:t>Kesknärvisüsteemi stimuleeriva seadme paigaldamine või asendamine </w:t>
            </w:r>
          </w:p>
        </w:tc>
        <w:tc>
          <w:tcPr>
            <w:tcW w:w="732" w:type="dxa"/>
            <w:vAlign w:val="center"/>
            <w:hideMark/>
          </w:tcPr>
          <w:p w14:paraId="6F69FB0E" w14:textId="77777777" w:rsidR="00295BCD" w:rsidRPr="001927D6" w:rsidRDefault="00295BCD">
            <w:pPr>
              <w:spacing w:after="0" w:line="240" w:lineRule="auto"/>
              <w:jc w:val="center"/>
              <w:textAlignment w:val="baseline"/>
              <w:rPr>
                <w:szCs w:val="24"/>
                <w:lang w:eastAsia="et-EE"/>
              </w:rPr>
            </w:pPr>
            <w:r w:rsidRPr="001927D6">
              <w:rPr>
                <w:szCs w:val="24"/>
                <w:lang w:eastAsia="et-EE"/>
              </w:rPr>
              <w:t>570X </w:t>
            </w:r>
          </w:p>
        </w:tc>
        <w:tc>
          <w:tcPr>
            <w:tcW w:w="1243" w:type="dxa"/>
            <w:vAlign w:val="center"/>
          </w:tcPr>
          <w:p w14:paraId="4FD1455E" w14:textId="77777777" w:rsidR="00295BCD" w:rsidRPr="001927D6" w:rsidRDefault="00295BCD">
            <w:pPr>
              <w:spacing w:after="0" w:line="240" w:lineRule="auto"/>
              <w:jc w:val="center"/>
              <w:textAlignment w:val="baseline"/>
              <w:rPr>
                <w:szCs w:val="24"/>
                <w:lang w:eastAsia="et-EE"/>
              </w:rPr>
            </w:pPr>
            <w:r w:rsidRPr="001927D6">
              <w:rPr>
                <w:color w:val="000000"/>
                <w:szCs w:val="24"/>
              </w:rPr>
              <w:t>8 625,41</w:t>
            </w:r>
          </w:p>
        </w:tc>
        <w:tc>
          <w:tcPr>
            <w:tcW w:w="1211" w:type="dxa"/>
            <w:vAlign w:val="center"/>
          </w:tcPr>
          <w:p w14:paraId="2A5EF59A" w14:textId="77777777" w:rsidR="00295BCD" w:rsidRPr="001927D6" w:rsidRDefault="00295BCD">
            <w:pPr>
              <w:spacing w:after="0" w:line="240" w:lineRule="auto"/>
              <w:jc w:val="center"/>
              <w:textAlignment w:val="baseline"/>
              <w:rPr>
                <w:szCs w:val="24"/>
                <w:lang w:eastAsia="et-EE"/>
              </w:rPr>
            </w:pPr>
            <w:r w:rsidRPr="001927D6">
              <w:rPr>
                <w:color w:val="000000"/>
                <w:szCs w:val="24"/>
              </w:rPr>
              <w:t>1 082,03</w:t>
            </w:r>
          </w:p>
        </w:tc>
        <w:tc>
          <w:tcPr>
            <w:tcW w:w="1238" w:type="dxa"/>
            <w:vAlign w:val="center"/>
          </w:tcPr>
          <w:p w14:paraId="1800CF3E" w14:textId="77777777" w:rsidR="00295BCD" w:rsidRPr="001927D6" w:rsidRDefault="00295BCD">
            <w:pPr>
              <w:spacing w:after="0" w:line="240" w:lineRule="auto"/>
              <w:jc w:val="center"/>
              <w:textAlignment w:val="baseline"/>
              <w:rPr>
                <w:szCs w:val="24"/>
                <w:lang w:eastAsia="et-EE"/>
              </w:rPr>
            </w:pPr>
            <w:r w:rsidRPr="001927D6">
              <w:rPr>
                <w:color w:val="000000"/>
                <w:szCs w:val="24"/>
              </w:rPr>
              <w:t>15 452,37</w:t>
            </w:r>
          </w:p>
        </w:tc>
      </w:tr>
      <w:tr w:rsidR="00295BCD" w:rsidRPr="001927D6" w14:paraId="406C6A45" w14:textId="77777777" w:rsidTr="00295BCD">
        <w:trPr>
          <w:divId w:val="1316184749"/>
          <w:trHeight w:val="300"/>
        </w:trPr>
        <w:tc>
          <w:tcPr>
            <w:tcW w:w="4632" w:type="dxa"/>
            <w:vAlign w:val="bottom"/>
            <w:hideMark/>
          </w:tcPr>
          <w:p w14:paraId="1A0549B9" w14:textId="77777777" w:rsidR="00295BCD" w:rsidRPr="001927D6" w:rsidRDefault="00295BCD">
            <w:pPr>
              <w:spacing w:after="0" w:line="240" w:lineRule="auto"/>
              <w:textAlignment w:val="baseline"/>
              <w:rPr>
                <w:szCs w:val="24"/>
                <w:lang w:eastAsia="et-EE"/>
              </w:rPr>
            </w:pPr>
            <w:r w:rsidRPr="001927D6">
              <w:rPr>
                <w:szCs w:val="24"/>
                <w:lang w:eastAsia="et-EE"/>
              </w:rPr>
              <w:t>Intrakraniaalse või vagaalnärvi stimulaatori paigaldamine </w:t>
            </w:r>
          </w:p>
        </w:tc>
        <w:tc>
          <w:tcPr>
            <w:tcW w:w="732" w:type="dxa"/>
            <w:vAlign w:val="center"/>
            <w:hideMark/>
          </w:tcPr>
          <w:p w14:paraId="57EA0829" w14:textId="77777777" w:rsidR="00295BCD" w:rsidRPr="001927D6" w:rsidRDefault="00295BCD">
            <w:pPr>
              <w:spacing w:after="0" w:line="240" w:lineRule="auto"/>
              <w:jc w:val="center"/>
              <w:textAlignment w:val="baseline"/>
              <w:rPr>
                <w:szCs w:val="24"/>
                <w:lang w:eastAsia="et-EE"/>
              </w:rPr>
            </w:pPr>
            <w:r w:rsidRPr="001927D6">
              <w:rPr>
                <w:szCs w:val="24"/>
                <w:lang w:eastAsia="et-EE"/>
              </w:rPr>
              <w:t>571X </w:t>
            </w:r>
          </w:p>
        </w:tc>
        <w:tc>
          <w:tcPr>
            <w:tcW w:w="1243" w:type="dxa"/>
            <w:vAlign w:val="center"/>
          </w:tcPr>
          <w:p w14:paraId="4847F173" w14:textId="77777777" w:rsidR="00295BCD" w:rsidRPr="001927D6" w:rsidRDefault="00295BCD">
            <w:pPr>
              <w:spacing w:after="0" w:line="240" w:lineRule="auto"/>
              <w:jc w:val="center"/>
              <w:textAlignment w:val="baseline"/>
              <w:rPr>
                <w:szCs w:val="24"/>
                <w:lang w:eastAsia="et-EE"/>
              </w:rPr>
            </w:pPr>
            <w:r w:rsidRPr="001927D6">
              <w:rPr>
                <w:color w:val="000000"/>
                <w:szCs w:val="24"/>
              </w:rPr>
              <w:t>29 552,66</w:t>
            </w:r>
          </w:p>
        </w:tc>
        <w:tc>
          <w:tcPr>
            <w:tcW w:w="1211" w:type="dxa"/>
            <w:vAlign w:val="center"/>
          </w:tcPr>
          <w:p w14:paraId="0B06997B" w14:textId="77777777" w:rsidR="00295BCD" w:rsidRPr="001927D6" w:rsidRDefault="00295BCD">
            <w:pPr>
              <w:spacing w:after="0" w:line="240" w:lineRule="auto"/>
              <w:jc w:val="center"/>
              <w:textAlignment w:val="baseline"/>
              <w:rPr>
                <w:szCs w:val="24"/>
                <w:lang w:eastAsia="et-EE"/>
              </w:rPr>
            </w:pPr>
            <w:r w:rsidRPr="001927D6">
              <w:rPr>
                <w:color w:val="000000"/>
                <w:szCs w:val="24"/>
              </w:rPr>
              <w:t>28 143,51</w:t>
            </w:r>
          </w:p>
        </w:tc>
        <w:tc>
          <w:tcPr>
            <w:tcW w:w="1238" w:type="dxa"/>
            <w:vAlign w:val="center"/>
          </w:tcPr>
          <w:p w14:paraId="173AA8DA" w14:textId="77777777" w:rsidR="00295BCD" w:rsidRPr="001927D6" w:rsidRDefault="00295BCD">
            <w:pPr>
              <w:spacing w:after="0" w:line="240" w:lineRule="auto"/>
              <w:jc w:val="center"/>
              <w:textAlignment w:val="baseline"/>
              <w:rPr>
                <w:szCs w:val="24"/>
                <w:lang w:eastAsia="et-EE"/>
              </w:rPr>
            </w:pPr>
            <w:r w:rsidRPr="001927D6">
              <w:rPr>
                <w:color w:val="000000"/>
                <w:szCs w:val="24"/>
              </w:rPr>
              <w:t>29 731,02</w:t>
            </w:r>
          </w:p>
        </w:tc>
      </w:tr>
    </w:tbl>
    <w:p w14:paraId="127EBEC8" w14:textId="77777777" w:rsidR="00B838B9" w:rsidRDefault="00B838B9" w:rsidP="00334F99">
      <w:pPr>
        <w:spacing w:after="0" w:line="240" w:lineRule="auto"/>
        <w:jc w:val="both"/>
        <w:divId w:val="1316184749"/>
      </w:pPr>
    </w:p>
    <w:p w14:paraId="2B06CD66" w14:textId="77777777" w:rsidR="00F74E24" w:rsidRPr="00687DE8" w:rsidRDefault="00F74E24" w:rsidP="00334F99">
      <w:pPr>
        <w:spacing w:after="0" w:line="240" w:lineRule="auto"/>
        <w:jc w:val="both"/>
        <w:divId w:val="1316184749"/>
      </w:pPr>
    </w:p>
    <w:p w14:paraId="303CC5A8" w14:textId="77777777" w:rsidR="00101A4C" w:rsidRDefault="00101A4C" w:rsidP="00976487">
      <w:pPr>
        <w:spacing w:after="0" w:line="240" w:lineRule="auto"/>
        <w:jc w:val="both"/>
        <w:divId w:val="1316184749"/>
        <w:rPr>
          <w:szCs w:val="24"/>
        </w:rPr>
      </w:pPr>
    </w:p>
    <w:p w14:paraId="236EA161" w14:textId="77777777" w:rsidR="00976487" w:rsidRPr="00687DE8" w:rsidRDefault="00976487" w:rsidP="00976487">
      <w:pPr>
        <w:spacing w:after="0" w:line="240" w:lineRule="auto"/>
        <w:jc w:val="both"/>
        <w:divId w:val="1316184749"/>
        <w:rPr>
          <w:szCs w:val="24"/>
        </w:rPr>
      </w:pPr>
      <w:r w:rsidRPr="00687DE8">
        <w:rPr>
          <w:szCs w:val="24"/>
        </w:rPr>
        <w:t>(2) DRG piirhindu rakendatakse statsionaarses eriarstiabis. DRG piirhindu rakendatakse päevaravis juhul, kui sama haigusjuhu raames on osutatud koodiga 3076 tähistatud tervishoiuteenust.</w:t>
      </w:r>
    </w:p>
    <w:p w14:paraId="6631CEFE" w14:textId="77777777" w:rsidR="00976487" w:rsidRPr="00687DE8" w:rsidRDefault="00976487" w:rsidP="00976487">
      <w:pPr>
        <w:spacing w:after="0" w:line="240" w:lineRule="auto"/>
        <w:jc w:val="both"/>
        <w:divId w:val="1316184749"/>
        <w:rPr>
          <w:szCs w:val="24"/>
        </w:rPr>
      </w:pPr>
    </w:p>
    <w:p w14:paraId="1FDECE6D" w14:textId="245A1E24"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lõikes 1 nimetatud DRG eest tasu maksmise kohustuse üle koos muude samal ajal osutatud teenustega lõigetes 4, 5 ja 6 sätestatud tingimustel.</w:t>
      </w:r>
    </w:p>
    <w:p w14:paraId="41A1F182" w14:textId="77777777" w:rsidR="00976487" w:rsidRPr="00687DE8" w:rsidRDefault="00976487" w:rsidP="00976487">
      <w:pPr>
        <w:spacing w:after="0" w:line="240" w:lineRule="auto"/>
        <w:jc w:val="both"/>
        <w:divId w:val="1316184749"/>
        <w:rPr>
          <w:szCs w:val="24"/>
        </w:rPr>
      </w:pPr>
    </w:p>
    <w:p w14:paraId="7CBACDC2" w14:textId="77777777" w:rsidR="00976487" w:rsidRPr="00687DE8" w:rsidRDefault="00976487" w:rsidP="00976487">
      <w:pPr>
        <w:spacing w:after="0" w:line="240" w:lineRule="auto"/>
        <w:jc w:val="both"/>
        <w:divId w:val="1316184749"/>
        <w:rPr>
          <w:szCs w:val="24"/>
        </w:rPr>
      </w:pPr>
      <w:r w:rsidRPr="00687DE8">
        <w:rPr>
          <w:szCs w:val="24"/>
        </w:rPr>
        <w:t>(4) Tasumisel rakendatakse DRG piirhinda koefitsiendiga 0,7 ja muude samal ajal osutatud teenuste piirhindu koefitsiendiga 0,3.</w:t>
      </w:r>
    </w:p>
    <w:p w14:paraId="25747AE6" w14:textId="77777777" w:rsidR="00976487" w:rsidRPr="00687DE8" w:rsidRDefault="00976487" w:rsidP="00976487">
      <w:pPr>
        <w:spacing w:after="0" w:line="240" w:lineRule="auto"/>
        <w:jc w:val="both"/>
        <w:divId w:val="1316184749"/>
        <w:rPr>
          <w:szCs w:val="24"/>
        </w:rPr>
      </w:pPr>
    </w:p>
    <w:p w14:paraId="009B80EE" w14:textId="77777777" w:rsidR="00976487" w:rsidRPr="00687DE8" w:rsidRDefault="00976487" w:rsidP="00976487">
      <w:pPr>
        <w:spacing w:after="0" w:line="240" w:lineRule="auto"/>
        <w:jc w:val="both"/>
        <w:divId w:val="1316184749"/>
        <w:rPr>
          <w:szCs w:val="24"/>
        </w:rPr>
      </w:pPr>
      <w:r w:rsidRPr="00687DE8">
        <w:rPr>
          <w:szCs w:val="24"/>
        </w:rPr>
        <w:t>(5) DRG piirhinda rakendatakse, kui muude samal ajal osutatud teenuste piirhindade summa jääb lõikes 1 sätestatud muude samal ajal osutatud teenuste piirhindade summa vahemikku või on nendega võrdne.</w:t>
      </w:r>
    </w:p>
    <w:p w14:paraId="68ADE6DA" w14:textId="77777777" w:rsidR="00976487" w:rsidRPr="00687DE8" w:rsidRDefault="00976487" w:rsidP="00976487">
      <w:pPr>
        <w:spacing w:after="0" w:line="240" w:lineRule="auto"/>
        <w:jc w:val="both"/>
        <w:divId w:val="1316184749"/>
        <w:rPr>
          <w:szCs w:val="24"/>
        </w:rPr>
      </w:pPr>
    </w:p>
    <w:p w14:paraId="727E2278" w14:textId="77777777" w:rsidR="00976487" w:rsidRPr="00687DE8" w:rsidRDefault="00976487" w:rsidP="00976487">
      <w:pPr>
        <w:spacing w:after="0" w:line="240" w:lineRule="auto"/>
        <w:jc w:val="both"/>
        <w:divId w:val="1316184749"/>
        <w:rPr>
          <w:szCs w:val="24"/>
        </w:rPr>
      </w:pPr>
      <w:r w:rsidRPr="00687DE8">
        <w:rPr>
          <w:szCs w:val="24"/>
        </w:rPr>
        <w:t>(6) DRG piirhinda ei rakendata järgmistel juhtudel:</w:t>
      </w:r>
    </w:p>
    <w:p w14:paraId="6BFD42C3" w14:textId="77777777" w:rsidR="00976487" w:rsidRPr="00687DE8" w:rsidRDefault="00976487" w:rsidP="00976487">
      <w:pPr>
        <w:spacing w:after="0" w:line="240" w:lineRule="auto"/>
        <w:jc w:val="both"/>
        <w:divId w:val="1316184749"/>
        <w:rPr>
          <w:szCs w:val="24"/>
        </w:rPr>
      </w:pPr>
      <w:r w:rsidRPr="00687DE8">
        <w:rPr>
          <w:szCs w:val="24"/>
        </w:rPr>
        <w:t>1) järgneva raviarve vormistamisel;</w:t>
      </w:r>
    </w:p>
    <w:p w14:paraId="6DF725B4" w14:textId="691FD106" w:rsidR="00976487" w:rsidRPr="00687DE8" w:rsidRDefault="00976487" w:rsidP="00976487">
      <w:pPr>
        <w:spacing w:after="0" w:line="240" w:lineRule="auto"/>
        <w:jc w:val="both"/>
        <w:divId w:val="1316184749"/>
        <w:rPr>
          <w:szCs w:val="24"/>
        </w:rPr>
      </w:pPr>
      <w:r w:rsidRPr="00687DE8">
        <w:rPr>
          <w:szCs w:val="24"/>
        </w:rPr>
        <w:t xml:space="preserve">2) raviarvete puhul, millel on põhierialaks vastavalt tervishoiuteenuse osutajaga sõlmitud ravi rahastamise lepingule märgitud psühhiaatria, taastusravi, kutsehaigused, </w:t>
      </w:r>
      <w:r w:rsidR="00347F8D">
        <w:rPr>
          <w:szCs w:val="24"/>
        </w:rPr>
        <w:t>palliatiivravi</w:t>
      </w:r>
      <w:r w:rsidR="00731046">
        <w:rPr>
          <w:szCs w:val="24"/>
        </w:rPr>
        <w:t xml:space="preserve">, </w:t>
      </w:r>
      <w:r w:rsidR="00187B20">
        <w:rPr>
          <w:szCs w:val="24"/>
        </w:rPr>
        <w:t xml:space="preserve">tervishoiuteenused </w:t>
      </w:r>
      <w:r w:rsidR="00731046">
        <w:rPr>
          <w:szCs w:val="24"/>
        </w:rPr>
        <w:t>vang</w:t>
      </w:r>
      <w:r w:rsidR="00187B20">
        <w:rPr>
          <w:szCs w:val="24"/>
        </w:rPr>
        <w:t>las</w:t>
      </w:r>
      <w:r w:rsidR="00406128">
        <w:rPr>
          <w:szCs w:val="24"/>
        </w:rPr>
        <w:t xml:space="preserve">, </w:t>
      </w:r>
      <w:r w:rsidRPr="00687DE8">
        <w:rPr>
          <w:szCs w:val="24"/>
        </w:rPr>
        <w:t>esmane järelravi või põhihaigus tuberkuloos;</w:t>
      </w:r>
    </w:p>
    <w:p w14:paraId="3D6E55C3" w14:textId="77777777" w:rsidR="00976487" w:rsidRPr="00687DE8" w:rsidRDefault="00976487" w:rsidP="00976487">
      <w:pPr>
        <w:spacing w:after="0" w:line="240" w:lineRule="auto"/>
        <w:jc w:val="both"/>
        <w:divId w:val="1316184749"/>
        <w:rPr>
          <w:szCs w:val="24"/>
        </w:rPr>
      </w:pPr>
      <w:r w:rsidRPr="00687DE8">
        <w:rPr>
          <w:szCs w:val="24"/>
        </w:rPr>
        <w:t>3) raviarvete puhul, millel on põhidiagnoosiks märgitud RHK 10 kood Z51.1 või Z51.2;</w:t>
      </w:r>
    </w:p>
    <w:p w14:paraId="4CDCFEEB" w14:textId="77777777" w:rsidR="00976487" w:rsidRPr="00687DE8" w:rsidRDefault="00976487" w:rsidP="00976487">
      <w:pPr>
        <w:spacing w:after="0" w:line="240" w:lineRule="auto"/>
        <w:jc w:val="both"/>
        <w:divId w:val="1316184749"/>
        <w:rPr>
          <w:szCs w:val="24"/>
        </w:rPr>
      </w:pPr>
      <w:r w:rsidRPr="00687DE8">
        <w:rPr>
          <w:szCs w:val="24"/>
        </w:rPr>
        <w:t>4) raviarvete puhul, mille lõpetamisel suunatakse statsionaarsel või päevaravil viibinud kindlustatud isik vahetult edasi statsionaarsele ravile (</w:t>
      </w:r>
      <w:r w:rsidR="00DC4841" w:rsidRPr="00687DE8">
        <w:rPr>
          <w:szCs w:val="24"/>
        </w:rPr>
        <w:t>välja arvatud</w:t>
      </w:r>
      <w:r w:rsidRPr="00687DE8">
        <w:rPr>
          <w:szCs w:val="24"/>
        </w:rPr>
        <w:t> iseseisev statsionaarne õendusabi ja statsionaarne taastusravi) kohalikust haiglast piirkondlikku, kesk- või üldhaiglasse, üldhaiglast ja haiglate loetelus nimetamata tervishoiuteenuse osutaja juurest piirkondlikku või keskhaiglasse või keskhaiglast piirkondlikku haiglasse;</w:t>
      </w:r>
    </w:p>
    <w:p w14:paraId="552C587C" w14:textId="77777777" w:rsidR="00976487" w:rsidRPr="00687DE8" w:rsidRDefault="00976487" w:rsidP="00976487">
      <w:pPr>
        <w:spacing w:after="0" w:line="240" w:lineRule="auto"/>
        <w:jc w:val="both"/>
        <w:divId w:val="1316184749"/>
        <w:rPr>
          <w:szCs w:val="24"/>
        </w:rPr>
      </w:pPr>
      <w:r w:rsidRPr="00687DE8">
        <w:rPr>
          <w:szCs w:val="24"/>
        </w:rPr>
        <w:lastRenderedPageBreak/>
        <w:t>5) raviarvete puhul, mille alustamiseks on kindlustatud isik statsionaarselt või päevaravilt vahetult edasi suunatud statsionaarsele ravile (</w:t>
      </w:r>
      <w:r w:rsidR="00DC4841" w:rsidRPr="00687DE8">
        <w:rPr>
          <w:szCs w:val="24"/>
        </w:rPr>
        <w:t>välja arvatud</w:t>
      </w:r>
      <w:r w:rsidRPr="00687DE8">
        <w:rPr>
          <w:szCs w:val="24"/>
        </w:rPr>
        <w:t> iseseisev statsionaarne õendusabi ja statsionaarne taastusravi) kohalikku haiglasse piirkondlikust, kesk- või üldhaiglast, üldhaiglasse või haiglate loetelus nimetamata tervishoiuteenuse osutaja juurde piirkondlikust või keskhaiglast või keskhaiglasse piirkondlikust haiglast;</w:t>
      </w:r>
    </w:p>
    <w:p w14:paraId="214B6218" w14:textId="77777777" w:rsidR="00976487" w:rsidRPr="00687DE8" w:rsidRDefault="00976487" w:rsidP="00976487">
      <w:pPr>
        <w:spacing w:after="0" w:line="240" w:lineRule="auto"/>
        <w:jc w:val="both"/>
        <w:divId w:val="1316184749"/>
        <w:rPr>
          <w:szCs w:val="24"/>
        </w:rPr>
      </w:pPr>
      <w:r w:rsidRPr="00687DE8">
        <w:rPr>
          <w:szCs w:val="24"/>
        </w:rPr>
        <w:t>6) raviarvete puhul, mille alustamise ja lõpetamise kuupäev on sama ja millele on märgitud transluminaalse endoskoopia protseduuri NCSP</w:t>
      </w:r>
      <w:r w:rsidR="008A293C" w:rsidRPr="00687DE8">
        <w:rPr>
          <w:szCs w:val="24"/>
        </w:rPr>
        <w:t xml:space="preserve"> </w:t>
      </w:r>
      <w:r w:rsidRPr="00687DE8">
        <w:rPr>
          <w:szCs w:val="24"/>
        </w:rPr>
        <w:t>kood või koodid vastavalt tervishoiuteenuste korraldamise seaduse § 2 lõike 1 alusel kehtestatud määrusele;</w:t>
      </w:r>
    </w:p>
    <w:p w14:paraId="63FEEC69" w14:textId="77777777" w:rsidR="00976487" w:rsidRPr="00687DE8" w:rsidRDefault="00976487" w:rsidP="00976487">
      <w:pPr>
        <w:spacing w:after="0" w:line="240" w:lineRule="auto"/>
        <w:jc w:val="both"/>
        <w:divId w:val="1316184749"/>
        <w:rPr>
          <w:szCs w:val="24"/>
        </w:rPr>
      </w:pPr>
      <w:r w:rsidRPr="00687DE8">
        <w:rPr>
          <w:szCs w:val="24"/>
        </w:rPr>
        <w:t>7) raviarvete puhul, mille alustamise ja lõpetamise kuupäev on sama ja millele on märgitud operatsioonituba mittevajava kirurgilise protseduuri NCSP kood või koodid vastavalt tervishoiuteenuste korraldamise seaduse § 2 lõike 1 alusel kehtestatud määrusele;</w:t>
      </w:r>
    </w:p>
    <w:p w14:paraId="45C0731A" w14:textId="77777777" w:rsidR="00976487" w:rsidRPr="00687DE8" w:rsidRDefault="00976487" w:rsidP="00976487">
      <w:pPr>
        <w:spacing w:after="0" w:line="240" w:lineRule="auto"/>
        <w:jc w:val="both"/>
        <w:divId w:val="1316184749"/>
        <w:rPr>
          <w:szCs w:val="24"/>
        </w:rPr>
      </w:pPr>
      <w:r w:rsidRPr="00687DE8">
        <w:rPr>
          <w:szCs w:val="24"/>
        </w:rPr>
        <w:t>8) raviarvete puhul, mille alustamise ja lõpetamise kuupäev on sama ja millel puudub NCSP kood vastavalt tervishoiuteenuste korraldamise seaduse § 2 lõike 1 alusel kehtestatud määrusele;</w:t>
      </w:r>
    </w:p>
    <w:p w14:paraId="030C8910" w14:textId="260BA418" w:rsidR="00976487" w:rsidRPr="00687DE8" w:rsidRDefault="00976487" w:rsidP="00976487">
      <w:pPr>
        <w:spacing w:after="0" w:line="240" w:lineRule="auto"/>
        <w:jc w:val="both"/>
        <w:divId w:val="1316184749"/>
        <w:rPr>
          <w:szCs w:val="24"/>
        </w:rPr>
      </w:pPr>
      <w:r w:rsidRPr="00687DE8">
        <w:rPr>
          <w:szCs w:val="24"/>
        </w:rPr>
        <w:t>9) ravi rahastamise lepingus kokku</w:t>
      </w:r>
      <w:r w:rsidR="00675E94" w:rsidRPr="00687DE8">
        <w:rPr>
          <w:szCs w:val="24"/>
        </w:rPr>
        <w:t xml:space="preserve"> </w:t>
      </w:r>
      <w:r w:rsidRPr="00687DE8">
        <w:rPr>
          <w:szCs w:val="24"/>
        </w:rPr>
        <w:t>lepitud tingimustel.</w:t>
      </w:r>
    </w:p>
    <w:p w14:paraId="12F2CB69" w14:textId="77777777" w:rsidR="00976487" w:rsidRPr="00687DE8" w:rsidRDefault="00976487" w:rsidP="00976487">
      <w:pPr>
        <w:spacing w:after="0" w:line="240" w:lineRule="auto"/>
        <w:jc w:val="both"/>
        <w:divId w:val="1316184749"/>
        <w:rPr>
          <w:szCs w:val="24"/>
        </w:rPr>
      </w:pPr>
    </w:p>
    <w:p w14:paraId="07722F27" w14:textId="77777777" w:rsidR="00976487" w:rsidRPr="00687DE8" w:rsidRDefault="00976487" w:rsidP="00976487">
      <w:pPr>
        <w:spacing w:after="0" w:line="240" w:lineRule="auto"/>
        <w:jc w:val="center"/>
        <w:outlineLvl w:val="1"/>
        <w:divId w:val="1316184749"/>
        <w:rPr>
          <w:b/>
          <w:bCs/>
          <w:szCs w:val="24"/>
        </w:rPr>
      </w:pPr>
      <w:r w:rsidRPr="00687DE8">
        <w:rPr>
          <w:b/>
          <w:bCs/>
          <w:szCs w:val="24"/>
        </w:rPr>
        <w:t>6. peatükk</w:t>
      </w:r>
      <w:r w:rsidRPr="00687DE8">
        <w:rPr>
          <w:b/>
          <w:bCs/>
          <w:szCs w:val="24"/>
        </w:rPr>
        <w:br/>
        <w:t>Operatsioonid</w:t>
      </w:r>
    </w:p>
    <w:p w14:paraId="42879188" w14:textId="77777777" w:rsidR="00976487" w:rsidRPr="00687DE8" w:rsidRDefault="00976487" w:rsidP="00976487">
      <w:pPr>
        <w:spacing w:after="0" w:line="240" w:lineRule="auto"/>
        <w:jc w:val="both"/>
        <w:outlineLvl w:val="2"/>
        <w:divId w:val="1316184749"/>
        <w:rPr>
          <w:b/>
          <w:bCs/>
          <w:szCs w:val="24"/>
        </w:rPr>
      </w:pPr>
    </w:p>
    <w:p w14:paraId="65E6E83E" w14:textId="77777777" w:rsidR="00976487" w:rsidRDefault="00976487" w:rsidP="00976487">
      <w:pPr>
        <w:spacing w:after="0" w:line="240" w:lineRule="auto"/>
        <w:jc w:val="both"/>
        <w:outlineLvl w:val="2"/>
        <w:divId w:val="1316184749"/>
        <w:rPr>
          <w:b/>
          <w:szCs w:val="24"/>
        </w:rPr>
      </w:pPr>
      <w:r w:rsidRPr="00687DE8">
        <w:rPr>
          <w:b/>
          <w:szCs w:val="24"/>
        </w:rPr>
        <w:t>§ 4</w:t>
      </w:r>
      <w:r w:rsidR="00171E5E" w:rsidRPr="00687DE8">
        <w:rPr>
          <w:b/>
          <w:szCs w:val="24"/>
        </w:rPr>
        <w:t>8</w:t>
      </w:r>
      <w:r w:rsidRPr="00687DE8">
        <w:rPr>
          <w:b/>
          <w:szCs w:val="24"/>
        </w:rPr>
        <w:t>. Üldkirurgia operatsioonide piirhinnad</w:t>
      </w:r>
    </w:p>
    <w:p w14:paraId="2C37671E" w14:textId="77777777" w:rsidR="005332E6" w:rsidRDefault="005332E6" w:rsidP="00976487">
      <w:pPr>
        <w:spacing w:after="0" w:line="240" w:lineRule="auto"/>
        <w:jc w:val="both"/>
        <w:divId w:val="1316184749"/>
      </w:pPr>
    </w:p>
    <w:p w14:paraId="66688A8E" w14:textId="32C43524" w:rsidR="00976487" w:rsidRPr="00687DE8" w:rsidRDefault="00976487" w:rsidP="00976487">
      <w:pPr>
        <w:spacing w:after="0" w:line="240" w:lineRule="auto"/>
        <w:jc w:val="both"/>
        <w:divId w:val="1316184749"/>
      </w:pPr>
      <w:r>
        <w:t>(1) Üldkirurgia operatsioonide piirhinnad on järgmised:</w:t>
      </w:r>
    </w:p>
    <w:p w14:paraId="53986956"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9"/>
        <w:gridCol w:w="1071"/>
        <w:gridCol w:w="1745"/>
      </w:tblGrid>
      <w:tr w:rsidR="00976487" w:rsidRPr="00687DE8" w14:paraId="18CDE667" w14:textId="77777777" w:rsidTr="00FB05FD">
        <w:trPr>
          <w:divId w:val="1316184749"/>
          <w:tblHeader/>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0DFCD5" w14:textId="77777777" w:rsidR="00976487" w:rsidRPr="00687DE8" w:rsidRDefault="00976487">
            <w:pPr>
              <w:spacing w:after="0" w:line="240" w:lineRule="auto"/>
              <w:jc w:val="center"/>
              <w:rPr>
                <w:szCs w:val="24"/>
              </w:rPr>
            </w:pPr>
            <w:r w:rsidRPr="00687DE8">
              <w:rPr>
                <w:b/>
                <w:bCs/>
                <w:szCs w:val="24"/>
              </w:rPr>
              <w:t>Tervishoiuteenuse nimetus</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A94322" w14:textId="77777777" w:rsidR="00976487" w:rsidRPr="00687DE8" w:rsidRDefault="00976487">
            <w:pPr>
              <w:spacing w:after="0" w:line="240" w:lineRule="auto"/>
              <w:jc w:val="center"/>
              <w:rPr>
                <w:szCs w:val="24"/>
              </w:rPr>
            </w:pPr>
            <w:r w:rsidRPr="00687DE8">
              <w:rPr>
                <w:b/>
                <w:bCs/>
                <w:szCs w:val="24"/>
              </w:rPr>
              <w:t>Kood</w:t>
            </w:r>
          </w:p>
        </w:tc>
        <w:tc>
          <w:tcPr>
            <w:tcW w:w="17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813B55" w14:textId="77777777" w:rsidR="00976487" w:rsidRPr="00687DE8" w:rsidRDefault="00976487" w:rsidP="00494DAF">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8D6774" w:rsidRPr="00687DE8" w14:paraId="453459AD"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0CAB93" w14:textId="77777777" w:rsidR="008D6774" w:rsidRPr="00687DE8" w:rsidRDefault="008D6774" w:rsidP="008D6774">
            <w:pPr>
              <w:spacing w:after="0" w:line="240" w:lineRule="auto"/>
              <w:rPr>
                <w:szCs w:val="24"/>
              </w:rPr>
            </w:pPr>
            <w:r w:rsidRPr="00687DE8">
              <w:rPr>
                <w:szCs w:val="24"/>
              </w:rPr>
              <w:t>Karpaalkanali avamine (karpaalkanali sündroomi raviks)</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1EFC0C" w14:textId="77777777" w:rsidR="008D6774" w:rsidRPr="00687DE8" w:rsidRDefault="008D6774" w:rsidP="008D6774">
            <w:pPr>
              <w:spacing w:after="0" w:line="240" w:lineRule="auto"/>
              <w:jc w:val="center"/>
              <w:rPr>
                <w:szCs w:val="24"/>
              </w:rPr>
            </w:pPr>
            <w:r w:rsidRPr="00687DE8">
              <w:rPr>
                <w:szCs w:val="24"/>
              </w:rPr>
              <w:t>0A2102</w:t>
            </w:r>
          </w:p>
        </w:tc>
        <w:tc>
          <w:tcPr>
            <w:tcW w:w="17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B5B198" w14:textId="65BCBA1B" w:rsidR="0B3A0C95" w:rsidRPr="00687DE8" w:rsidRDefault="0001177F">
            <w:pPr>
              <w:spacing w:after="0"/>
              <w:jc w:val="center"/>
              <w:rPr>
                <w:color w:val="000000" w:themeColor="text1"/>
                <w:szCs w:val="24"/>
              </w:rPr>
            </w:pPr>
            <w:r>
              <w:rPr>
                <w:color w:val="000000"/>
              </w:rPr>
              <w:t>275,40</w:t>
            </w:r>
          </w:p>
        </w:tc>
      </w:tr>
      <w:tr w:rsidR="008D6774" w:rsidRPr="00687DE8" w14:paraId="59B865A6"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612176" w14:textId="77777777" w:rsidR="008D6774" w:rsidRPr="00687DE8" w:rsidRDefault="008D6774" w:rsidP="008D6774">
            <w:pPr>
              <w:spacing w:after="0" w:line="240" w:lineRule="auto"/>
              <w:rPr>
                <w:szCs w:val="24"/>
              </w:rPr>
            </w:pPr>
            <w:r w:rsidRPr="00687DE8">
              <w:rPr>
                <w:szCs w:val="24"/>
              </w:rPr>
              <w:t>Kilpnäärme 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4D56A7" w14:textId="77777777" w:rsidR="008D6774" w:rsidRPr="00687DE8" w:rsidRDefault="008D6774" w:rsidP="008D6774">
            <w:pPr>
              <w:spacing w:after="0" w:line="240" w:lineRule="auto"/>
              <w:jc w:val="center"/>
              <w:rPr>
                <w:szCs w:val="24"/>
              </w:rPr>
            </w:pPr>
            <w:r w:rsidRPr="00687DE8">
              <w:rPr>
                <w:szCs w:val="24"/>
              </w:rPr>
              <w:t>0B2101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ED5D86" w14:textId="143C85AA" w:rsidR="0B3A0C95" w:rsidRPr="00687DE8" w:rsidRDefault="0001177F">
            <w:pPr>
              <w:spacing w:after="0"/>
              <w:jc w:val="center"/>
              <w:rPr>
                <w:color w:val="000000" w:themeColor="text1"/>
                <w:szCs w:val="24"/>
              </w:rPr>
            </w:pPr>
            <w:r>
              <w:rPr>
                <w:color w:val="000000"/>
              </w:rPr>
              <w:t>978,61</w:t>
            </w:r>
          </w:p>
        </w:tc>
      </w:tr>
      <w:tr w:rsidR="008D6774" w:rsidRPr="00687DE8" w14:paraId="4929C5EC"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2080CD" w14:textId="77777777" w:rsidR="008D6774" w:rsidRPr="00687DE8" w:rsidRDefault="008D6774" w:rsidP="008D6774">
            <w:pPr>
              <w:spacing w:after="0" w:line="240" w:lineRule="auto"/>
              <w:rPr>
                <w:szCs w:val="24"/>
              </w:rPr>
            </w:pPr>
            <w:r w:rsidRPr="00687DE8">
              <w:rPr>
                <w:szCs w:val="24"/>
              </w:rPr>
              <w:t>Kilpnäärme subtotaalne või radikaalne resektsioon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F9F6BE" w14:textId="77777777" w:rsidR="008D6774" w:rsidRPr="00687DE8" w:rsidRDefault="008D6774" w:rsidP="008D6774">
            <w:pPr>
              <w:spacing w:after="0" w:line="240" w:lineRule="auto"/>
              <w:jc w:val="center"/>
              <w:rPr>
                <w:szCs w:val="24"/>
              </w:rPr>
            </w:pPr>
            <w:r w:rsidRPr="00687DE8">
              <w:rPr>
                <w:szCs w:val="24"/>
              </w:rPr>
              <w:t>0B2102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A10FA2" w14:textId="70E074CA" w:rsidR="0B3A0C95" w:rsidRPr="00687DE8" w:rsidRDefault="0001177F">
            <w:pPr>
              <w:spacing w:after="0"/>
              <w:jc w:val="center"/>
              <w:rPr>
                <w:color w:val="000000" w:themeColor="text1"/>
                <w:szCs w:val="24"/>
              </w:rPr>
            </w:pPr>
            <w:r>
              <w:rPr>
                <w:color w:val="000000"/>
              </w:rPr>
              <w:t>993,06</w:t>
            </w:r>
          </w:p>
        </w:tc>
      </w:tr>
      <w:tr w:rsidR="008D6774" w:rsidRPr="00687DE8" w14:paraId="13DB9939"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9ACC8B" w14:textId="77777777" w:rsidR="008D6774" w:rsidRPr="00687DE8" w:rsidRDefault="008D6774" w:rsidP="008D6774">
            <w:pPr>
              <w:spacing w:after="0" w:line="240" w:lineRule="auto"/>
              <w:rPr>
                <w:szCs w:val="24"/>
              </w:rPr>
            </w:pPr>
            <w:r w:rsidRPr="00687DE8">
              <w:rPr>
                <w:szCs w:val="24"/>
              </w:rPr>
              <w:t>Kõrvalkilpnäärme 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A5DA38" w14:textId="77777777" w:rsidR="008D6774" w:rsidRPr="00687DE8" w:rsidRDefault="008D6774" w:rsidP="008D6774">
            <w:pPr>
              <w:spacing w:after="0" w:line="240" w:lineRule="auto"/>
              <w:jc w:val="center"/>
              <w:rPr>
                <w:szCs w:val="24"/>
              </w:rPr>
            </w:pPr>
            <w:r w:rsidRPr="00687DE8">
              <w:rPr>
                <w:szCs w:val="24"/>
              </w:rPr>
              <w:t>0B2103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8B84DD" w14:textId="6DED65C3" w:rsidR="0B3A0C95" w:rsidRPr="00687DE8" w:rsidRDefault="0001177F">
            <w:pPr>
              <w:spacing w:after="0"/>
              <w:jc w:val="center"/>
              <w:rPr>
                <w:color w:val="000000" w:themeColor="text1"/>
                <w:szCs w:val="24"/>
              </w:rPr>
            </w:pPr>
            <w:r>
              <w:rPr>
                <w:color w:val="000000"/>
              </w:rPr>
              <w:t>1 012,07</w:t>
            </w:r>
          </w:p>
        </w:tc>
      </w:tr>
      <w:tr w:rsidR="008D6774" w:rsidRPr="00687DE8" w14:paraId="1346CB8B"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91CA44" w14:textId="77777777" w:rsidR="008D6774" w:rsidRPr="00687DE8" w:rsidRDefault="008D6774" w:rsidP="008D6774">
            <w:pPr>
              <w:spacing w:after="0" w:line="240" w:lineRule="auto"/>
              <w:rPr>
                <w:szCs w:val="24"/>
              </w:rPr>
            </w:pPr>
            <w:r w:rsidRPr="00687DE8">
              <w:rPr>
                <w:szCs w:val="24"/>
              </w:rPr>
              <w:t>Trahheostoomia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097322" w14:textId="77777777" w:rsidR="008D6774" w:rsidRPr="00687DE8" w:rsidRDefault="008D6774" w:rsidP="008D6774">
            <w:pPr>
              <w:spacing w:after="0" w:line="240" w:lineRule="auto"/>
              <w:jc w:val="center"/>
              <w:rPr>
                <w:szCs w:val="24"/>
              </w:rPr>
            </w:pPr>
            <w:r w:rsidRPr="00687DE8">
              <w:rPr>
                <w:szCs w:val="24"/>
              </w:rPr>
              <w:t>0G2101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EC326F" w14:textId="4765D7C2" w:rsidR="0B3A0C95" w:rsidRPr="00687DE8" w:rsidRDefault="0001177F">
            <w:pPr>
              <w:spacing w:after="0"/>
              <w:jc w:val="center"/>
              <w:rPr>
                <w:color w:val="000000" w:themeColor="text1"/>
                <w:szCs w:val="24"/>
              </w:rPr>
            </w:pPr>
            <w:r>
              <w:rPr>
                <w:color w:val="000000"/>
              </w:rPr>
              <w:t>566,53</w:t>
            </w:r>
          </w:p>
        </w:tc>
      </w:tr>
      <w:tr w:rsidR="008D6774" w:rsidRPr="00687DE8" w14:paraId="5F8A4E26"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FB43E7" w14:textId="77777777" w:rsidR="008D6774" w:rsidRPr="00687DE8" w:rsidRDefault="008D6774" w:rsidP="008D6774">
            <w:pPr>
              <w:spacing w:after="0" w:line="240" w:lineRule="auto"/>
              <w:rPr>
                <w:szCs w:val="24"/>
              </w:rPr>
            </w:pPr>
            <w:r w:rsidRPr="00687DE8">
              <w:rPr>
                <w:szCs w:val="24"/>
              </w:rPr>
              <w:t>Söögitoru operatsioonid (kaelaosa)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68B56E" w14:textId="77777777" w:rsidR="008D6774" w:rsidRPr="00687DE8" w:rsidRDefault="008D6774" w:rsidP="008D6774">
            <w:pPr>
              <w:spacing w:after="0" w:line="240" w:lineRule="auto"/>
              <w:jc w:val="center"/>
              <w:rPr>
                <w:szCs w:val="24"/>
              </w:rPr>
            </w:pPr>
            <w:r w:rsidRPr="00687DE8">
              <w:rPr>
                <w:szCs w:val="24"/>
              </w:rPr>
              <w:t>0J2104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441898" w14:textId="2913194D" w:rsidR="0B3A0C95" w:rsidRPr="00687DE8" w:rsidRDefault="0001177F">
            <w:pPr>
              <w:spacing w:after="0"/>
              <w:jc w:val="center"/>
              <w:rPr>
                <w:color w:val="000000" w:themeColor="text1"/>
                <w:szCs w:val="24"/>
              </w:rPr>
            </w:pPr>
            <w:r>
              <w:rPr>
                <w:color w:val="000000"/>
              </w:rPr>
              <w:t>547,48</w:t>
            </w:r>
          </w:p>
        </w:tc>
      </w:tr>
      <w:tr w:rsidR="008D6774" w:rsidRPr="00687DE8" w14:paraId="327124FC"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E4F0DA" w14:textId="77777777" w:rsidR="008D6774" w:rsidRPr="00687DE8" w:rsidRDefault="008D6774" w:rsidP="008D6774">
            <w:pPr>
              <w:spacing w:after="0" w:line="240" w:lineRule="auto"/>
              <w:rPr>
                <w:szCs w:val="24"/>
              </w:rPr>
            </w:pPr>
            <w:r w:rsidRPr="00687DE8">
              <w:rPr>
                <w:szCs w:val="24"/>
              </w:rPr>
              <w:t>Söögitoru operatsioonid (välja arvatud kaelaosa)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F8CE5D" w14:textId="77777777" w:rsidR="008D6774" w:rsidRPr="00687DE8" w:rsidRDefault="008D6774" w:rsidP="008D6774">
            <w:pPr>
              <w:spacing w:after="0" w:line="240" w:lineRule="auto"/>
              <w:jc w:val="center"/>
              <w:rPr>
                <w:szCs w:val="24"/>
              </w:rPr>
            </w:pPr>
            <w:r w:rsidRPr="00687DE8">
              <w:rPr>
                <w:szCs w:val="24"/>
              </w:rPr>
              <w:t>0J2126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EC84C5" w14:textId="5CBE610F" w:rsidR="0B3A0C95" w:rsidRPr="00687DE8" w:rsidRDefault="0001177F">
            <w:pPr>
              <w:spacing w:after="0"/>
              <w:jc w:val="center"/>
              <w:rPr>
                <w:color w:val="000000" w:themeColor="text1"/>
                <w:szCs w:val="24"/>
              </w:rPr>
            </w:pPr>
            <w:r>
              <w:rPr>
                <w:color w:val="000000"/>
              </w:rPr>
              <w:t>1 731,70</w:t>
            </w:r>
          </w:p>
        </w:tc>
      </w:tr>
      <w:tr w:rsidR="008D6774" w:rsidRPr="00687DE8" w14:paraId="12671E28"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A4B150" w14:textId="77777777" w:rsidR="008D6774" w:rsidRPr="00687DE8" w:rsidRDefault="008D6774" w:rsidP="008D6774">
            <w:pPr>
              <w:spacing w:after="0" w:line="240" w:lineRule="auto"/>
              <w:rPr>
                <w:szCs w:val="24"/>
              </w:rPr>
            </w:pPr>
            <w:r w:rsidRPr="00687DE8">
              <w:rPr>
                <w:szCs w:val="24"/>
              </w:rPr>
              <w:t>Mediastinoskoopiline, torakoskoopiline, laparoskoopiline operatsioon söögitorul, välja arvatud kaelaosa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3314C3" w14:textId="77777777" w:rsidR="008D6774" w:rsidRPr="00687DE8" w:rsidRDefault="008D6774" w:rsidP="008D6774">
            <w:pPr>
              <w:spacing w:after="0" w:line="240" w:lineRule="auto"/>
              <w:jc w:val="center"/>
              <w:rPr>
                <w:szCs w:val="24"/>
              </w:rPr>
            </w:pPr>
          </w:p>
          <w:p w14:paraId="08B080B8" w14:textId="77777777" w:rsidR="008D6774" w:rsidRPr="00687DE8" w:rsidRDefault="008D6774" w:rsidP="008D6774">
            <w:pPr>
              <w:spacing w:after="0" w:line="240" w:lineRule="auto"/>
              <w:jc w:val="center"/>
              <w:rPr>
                <w:szCs w:val="24"/>
              </w:rPr>
            </w:pPr>
            <w:r w:rsidRPr="00687DE8">
              <w:rPr>
                <w:szCs w:val="24"/>
              </w:rPr>
              <w:t>0J2201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F93134" w14:textId="0E9E5E3C" w:rsidR="0B3A0C95" w:rsidRPr="00687DE8" w:rsidRDefault="0001177F">
            <w:pPr>
              <w:spacing w:after="0"/>
              <w:jc w:val="center"/>
              <w:rPr>
                <w:color w:val="000000" w:themeColor="text1"/>
                <w:szCs w:val="24"/>
              </w:rPr>
            </w:pPr>
            <w:r>
              <w:rPr>
                <w:color w:val="000000"/>
              </w:rPr>
              <w:t>2 150,48</w:t>
            </w:r>
          </w:p>
        </w:tc>
      </w:tr>
      <w:tr w:rsidR="008D6774" w:rsidRPr="00687DE8" w14:paraId="3AF0964B"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FC9EE7" w14:textId="77777777" w:rsidR="008D6774" w:rsidRPr="00687DE8" w:rsidRDefault="008D6774" w:rsidP="008D6774">
            <w:pPr>
              <w:spacing w:after="0" w:line="240" w:lineRule="auto"/>
              <w:rPr>
                <w:szCs w:val="24"/>
              </w:rPr>
            </w:pPr>
            <w:r w:rsidRPr="00687DE8">
              <w:rPr>
                <w:szCs w:val="24"/>
              </w:rPr>
              <w:t>Mao ja/või kaksteistsõrmiku 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68CA80" w14:textId="77777777" w:rsidR="008D6774" w:rsidRPr="00687DE8" w:rsidRDefault="008D6774" w:rsidP="008D6774">
            <w:pPr>
              <w:spacing w:after="0" w:line="240" w:lineRule="auto"/>
              <w:jc w:val="center"/>
              <w:rPr>
                <w:szCs w:val="24"/>
              </w:rPr>
            </w:pPr>
            <w:r w:rsidRPr="00687DE8">
              <w:rPr>
                <w:szCs w:val="24"/>
              </w:rPr>
              <w:t>0J2107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47489C" w14:textId="6C91D8D8" w:rsidR="0B3A0C95" w:rsidRPr="00687DE8" w:rsidRDefault="0001177F">
            <w:pPr>
              <w:spacing w:after="0"/>
              <w:jc w:val="center"/>
              <w:rPr>
                <w:color w:val="000000" w:themeColor="text1"/>
                <w:szCs w:val="24"/>
              </w:rPr>
            </w:pPr>
            <w:r>
              <w:rPr>
                <w:color w:val="000000"/>
              </w:rPr>
              <w:t>1 377,42</w:t>
            </w:r>
          </w:p>
        </w:tc>
      </w:tr>
      <w:tr w:rsidR="008D6774" w:rsidRPr="00687DE8" w14:paraId="2633687F"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C29C47" w14:textId="77777777" w:rsidR="008D6774" w:rsidRPr="00687DE8" w:rsidRDefault="008D6774" w:rsidP="008D6774">
            <w:pPr>
              <w:spacing w:after="0" w:line="240" w:lineRule="auto"/>
              <w:rPr>
                <w:szCs w:val="24"/>
              </w:rPr>
            </w:pPr>
            <w:r w:rsidRPr="00687DE8">
              <w:rPr>
                <w:szCs w:val="24"/>
              </w:rPr>
              <w:t>Mao ja/või kaksteistsõrmiku laparoskoopiline 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F2323F" w14:textId="77777777" w:rsidR="008D6774" w:rsidRPr="00687DE8" w:rsidRDefault="008D6774" w:rsidP="008D6774">
            <w:pPr>
              <w:spacing w:after="0" w:line="240" w:lineRule="auto"/>
              <w:jc w:val="center"/>
              <w:rPr>
                <w:szCs w:val="24"/>
              </w:rPr>
            </w:pPr>
            <w:r w:rsidRPr="00687DE8">
              <w:rPr>
                <w:szCs w:val="24"/>
              </w:rPr>
              <w:t>0J2202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99EB7B" w14:textId="3238C763" w:rsidR="0B3A0C95" w:rsidRPr="00687DE8" w:rsidRDefault="0001177F">
            <w:pPr>
              <w:spacing w:after="0"/>
              <w:jc w:val="center"/>
              <w:rPr>
                <w:color w:val="000000" w:themeColor="text1"/>
                <w:szCs w:val="24"/>
              </w:rPr>
            </w:pPr>
            <w:r>
              <w:rPr>
                <w:color w:val="000000"/>
              </w:rPr>
              <w:t>1 535,46</w:t>
            </w:r>
          </w:p>
        </w:tc>
      </w:tr>
      <w:tr w:rsidR="008D6774" w:rsidRPr="00687DE8" w14:paraId="6EC90AD3"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3CA316" w14:textId="77777777" w:rsidR="008D6774" w:rsidRPr="00687DE8" w:rsidRDefault="008D6774" w:rsidP="008D6774">
            <w:pPr>
              <w:spacing w:after="0" w:line="240" w:lineRule="auto"/>
              <w:rPr>
                <w:szCs w:val="24"/>
              </w:rPr>
            </w:pPr>
            <w:r w:rsidRPr="00687DE8">
              <w:rPr>
                <w:szCs w:val="24"/>
              </w:rPr>
              <w:t>Mao ja/või kaksteistsõrmiku pahaloomulise kasvaja 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493964" w14:textId="77777777" w:rsidR="008D6774" w:rsidRPr="00687DE8" w:rsidRDefault="008D6774" w:rsidP="008D6774">
            <w:pPr>
              <w:spacing w:after="0" w:line="240" w:lineRule="auto"/>
              <w:jc w:val="center"/>
              <w:rPr>
                <w:szCs w:val="24"/>
              </w:rPr>
            </w:pPr>
            <w:r w:rsidRPr="00687DE8">
              <w:rPr>
                <w:szCs w:val="24"/>
              </w:rPr>
              <w:t>0J2106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FE2664" w14:textId="4745F09D" w:rsidR="0B3A0C95" w:rsidRPr="00687DE8" w:rsidRDefault="0001177F">
            <w:pPr>
              <w:spacing w:after="0"/>
              <w:jc w:val="center"/>
              <w:rPr>
                <w:color w:val="000000" w:themeColor="text1"/>
                <w:szCs w:val="24"/>
              </w:rPr>
            </w:pPr>
            <w:r>
              <w:rPr>
                <w:color w:val="000000"/>
              </w:rPr>
              <w:t>1 922,76</w:t>
            </w:r>
          </w:p>
        </w:tc>
      </w:tr>
      <w:tr w:rsidR="008D6774" w:rsidRPr="00687DE8" w14:paraId="20761532"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B143DA" w14:textId="77777777" w:rsidR="008D6774" w:rsidRPr="00687DE8" w:rsidRDefault="008D6774" w:rsidP="008D6774">
            <w:pPr>
              <w:spacing w:after="0" w:line="240" w:lineRule="auto"/>
              <w:rPr>
                <w:szCs w:val="24"/>
              </w:rPr>
            </w:pPr>
            <w:r w:rsidRPr="00687DE8">
              <w:rPr>
                <w:szCs w:val="24"/>
              </w:rPr>
              <w:t>Mao ja/või kaksteistsõrmiku pahaloomulise kasvaja laparoskoopiline 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84DE21" w14:textId="77777777" w:rsidR="008D6774" w:rsidRPr="00687DE8" w:rsidRDefault="008D6774" w:rsidP="008D6774">
            <w:pPr>
              <w:spacing w:after="0" w:line="240" w:lineRule="auto"/>
              <w:jc w:val="center"/>
              <w:rPr>
                <w:szCs w:val="24"/>
              </w:rPr>
            </w:pPr>
          </w:p>
          <w:p w14:paraId="1C4A9353" w14:textId="77777777" w:rsidR="008D6774" w:rsidRPr="00687DE8" w:rsidRDefault="008D6774" w:rsidP="008D6774">
            <w:pPr>
              <w:spacing w:after="0" w:line="240" w:lineRule="auto"/>
              <w:jc w:val="center"/>
              <w:rPr>
                <w:szCs w:val="24"/>
              </w:rPr>
            </w:pPr>
            <w:r w:rsidRPr="00687DE8">
              <w:rPr>
                <w:szCs w:val="24"/>
              </w:rPr>
              <w:t>0J2203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BE1E68" w14:textId="612C9418" w:rsidR="0B3A0C95" w:rsidRPr="00687DE8" w:rsidRDefault="0001177F">
            <w:pPr>
              <w:spacing w:after="0"/>
              <w:jc w:val="center"/>
              <w:rPr>
                <w:color w:val="000000" w:themeColor="text1"/>
                <w:szCs w:val="24"/>
              </w:rPr>
            </w:pPr>
            <w:r>
              <w:rPr>
                <w:color w:val="000000"/>
              </w:rPr>
              <w:t>2 426,18</w:t>
            </w:r>
          </w:p>
        </w:tc>
      </w:tr>
      <w:tr w:rsidR="008D6774" w:rsidRPr="00687DE8" w14:paraId="7382E340"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17F34E" w14:textId="77777777" w:rsidR="008D6774" w:rsidRPr="00687DE8" w:rsidRDefault="008D6774" w:rsidP="008D6774">
            <w:pPr>
              <w:spacing w:after="0" w:line="240" w:lineRule="auto"/>
              <w:rPr>
                <w:szCs w:val="24"/>
              </w:rPr>
            </w:pPr>
            <w:r w:rsidRPr="00687DE8">
              <w:rPr>
                <w:szCs w:val="24"/>
              </w:rPr>
              <w:t>Bariaatriline laparoskoopiline maost möödajuhtiv operatsioon või bariaatriline vertikaalne mao resektsioon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DDF6DD" w14:textId="77777777" w:rsidR="008D6774" w:rsidRPr="00687DE8" w:rsidRDefault="008D6774" w:rsidP="008D6774">
            <w:pPr>
              <w:spacing w:after="0" w:line="240" w:lineRule="auto"/>
              <w:jc w:val="center"/>
              <w:rPr>
                <w:szCs w:val="24"/>
              </w:rPr>
            </w:pPr>
          </w:p>
          <w:p w14:paraId="40545C1E" w14:textId="77777777" w:rsidR="008D6774" w:rsidRPr="00687DE8" w:rsidRDefault="008D6774" w:rsidP="008D6774">
            <w:pPr>
              <w:spacing w:after="0" w:line="240" w:lineRule="auto"/>
              <w:jc w:val="center"/>
              <w:rPr>
                <w:szCs w:val="24"/>
              </w:rPr>
            </w:pPr>
            <w:r w:rsidRPr="00687DE8">
              <w:rPr>
                <w:szCs w:val="24"/>
              </w:rPr>
              <w:t>0J2204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84FBBD" w14:textId="063A4D7D" w:rsidR="0B3A0C95" w:rsidRPr="00687DE8" w:rsidRDefault="0001177F">
            <w:pPr>
              <w:spacing w:after="0"/>
              <w:jc w:val="center"/>
              <w:rPr>
                <w:color w:val="000000" w:themeColor="text1"/>
                <w:szCs w:val="24"/>
              </w:rPr>
            </w:pPr>
            <w:r>
              <w:rPr>
                <w:color w:val="000000"/>
              </w:rPr>
              <w:t>1 667,30</w:t>
            </w:r>
          </w:p>
        </w:tc>
      </w:tr>
      <w:tr w:rsidR="008D6774" w:rsidRPr="00687DE8" w14:paraId="20BB17C5"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54FA85" w14:textId="77777777" w:rsidR="008D6774" w:rsidRPr="00687DE8" w:rsidRDefault="008D6774" w:rsidP="008D6774">
            <w:pPr>
              <w:spacing w:after="0" w:line="240" w:lineRule="auto"/>
              <w:rPr>
                <w:szCs w:val="24"/>
              </w:rPr>
            </w:pPr>
            <w:r w:rsidRPr="00687DE8">
              <w:rPr>
                <w:szCs w:val="24"/>
              </w:rPr>
              <w:t>Sapipõie 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1BAC49" w14:textId="77777777" w:rsidR="008D6774" w:rsidRPr="00687DE8" w:rsidRDefault="008D6774" w:rsidP="008D6774">
            <w:pPr>
              <w:spacing w:after="0" w:line="240" w:lineRule="auto"/>
              <w:jc w:val="center"/>
              <w:rPr>
                <w:szCs w:val="24"/>
              </w:rPr>
            </w:pPr>
            <w:r w:rsidRPr="00687DE8">
              <w:rPr>
                <w:szCs w:val="24"/>
              </w:rPr>
              <w:t>0J2108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6335DC" w14:textId="05BB760D" w:rsidR="0B3A0C95" w:rsidRPr="00687DE8" w:rsidRDefault="0001177F">
            <w:pPr>
              <w:spacing w:after="0"/>
              <w:jc w:val="center"/>
              <w:rPr>
                <w:color w:val="000000" w:themeColor="text1"/>
                <w:szCs w:val="24"/>
              </w:rPr>
            </w:pPr>
            <w:r>
              <w:rPr>
                <w:color w:val="000000"/>
              </w:rPr>
              <w:t>723,76</w:t>
            </w:r>
          </w:p>
        </w:tc>
      </w:tr>
      <w:tr w:rsidR="008D6774" w:rsidRPr="00687DE8" w14:paraId="253255CF"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8B9936" w14:textId="77777777" w:rsidR="008D6774" w:rsidRPr="00687DE8" w:rsidRDefault="008D6774" w:rsidP="008D6774">
            <w:pPr>
              <w:spacing w:after="0" w:line="240" w:lineRule="auto"/>
              <w:rPr>
                <w:szCs w:val="24"/>
              </w:rPr>
            </w:pPr>
            <w:r w:rsidRPr="00687DE8">
              <w:rPr>
                <w:szCs w:val="24"/>
              </w:rPr>
              <w:t>Sapipõie laparoskoopiline 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8192BF" w14:textId="77777777" w:rsidR="008D6774" w:rsidRPr="00687DE8" w:rsidRDefault="008D6774" w:rsidP="008D6774">
            <w:pPr>
              <w:spacing w:after="0" w:line="240" w:lineRule="auto"/>
              <w:jc w:val="center"/>
              <w:rPr>
                <w:szCs w:val="24"/>
              </w:rPr>
            </w:pPr>
            <w:r w:rsidRPr="00687DE8">
              <w:rPr>
                <w:szCs w:val="24"/>
              </w:rPr>
              <w:t>0J2205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D6AEE1" w14:textId="03AC88B3" w:rsidR="0B3A0C95" w:rsidRPr="00687DE8" w:rsidRDefault="0001177F">
            <w:pPr>
              <w:spacing w:after="0"/>
              <w:jc w:val="center"/>
              <w:rPr>
                <w:color w:val="000000" w:themeColor="text1"/>
                <w:szCs w:val="24"/>
              </w:rPr>
            </w:pPr>
            <w:r>
              <w:rPr>
                <w:color w:val="000000"/>
              </w:rPr>
              <w:t>744,05</w:t>
            </w:r>
          </w:p>
        </w:tc>
      </w:tr>
      <w:tr w:rsidR="008D6774" w:rsidRPr="00687DE8" w14:paraId="0FCC5301"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12A524" w14:textId="77777777" w:rsidR="008D6774" w:rsidRPr="00687DE8" w:rsidRDefault="008D6774" w:rsidP="008D6774">
            <w:pPr>
              <w:spacing w:after="0" w:line="240" w:lineRule="auto"/>
              <w:rPr>
                <w:szCs w:val="24"/>
              </w:rPr>
            </w:pPr>
            <w:r w:rsidRPr="00687DE8">
              <w:rPr>
                <w:szCs w:val="24"/>
              </w:rPr>
              <w:t>Sapiteede 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561FBC" w14:textId="77777777" w:rsidR="008D6774" w:rsidRPr="00687DE8" w:rsidRDefault="008D6774" w:rsidP="008D6774">
            <w:pPr>
              <w:spacing w:after="0" w:line="240" w:lineRule="auto"/>
              <w:jc w:val="center"/>
              <w:rPr>
                <w:szCs w:val="24"/>
              </w:rPr>
            </w:pPr>
            <w:r w:rsidRPr="00687DE8">
              <w:rPr>
                <w:szCs w:val="24"/>
              </w:rPr>
              <w:t>0J2109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3037F5" w14:textId="0D04E271" w:rsidR="0B3A0C95" w:rsidRPr="00687DE8" w:rsidRDefault="0001177F">
            <w:pPr>
              <w:spacing w:after="0"/>
              <w:jc w:val="center"/>
              <w:rPr>
                <w:color w:val="000000" w:themeColor="text1"/>
                <w:szCs w:val="24"/>
              </w:rPr>
            </w:pPr>
            <w:r>
              <w:rPr>
                <w:color w:val="000000"/>
              </w:rPr>
              <w:t>1 379,10</w:t>
            </w:r>
          </w:p>
        </w:tc>
      </w:tr>
      <w:tr w:rsidR="008D6774" w:rsidRPr="00687DE8" w14:paraId="63C184D5"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991765" w14:textId="77777777" w:rsidR="008D6774" w:rsidRPr="00687DE8" w:rsidRDefault="008D6774" w:rsidP="008D6774">
            <w:pPr>
              <w:spacing w:after="0" w:line="240" w:lineRule="auto"/>
              <w:rPr>
                <w:szCs w:val="24"/>
              </w:rPr>
            </w:pPr>
            <w:r w:rsidRPr="00687DE8">
              <w:rPr>
                <w:szCs w:val="24"/>
              </w:rPr>
              <w:t>Sapiteede laparoskoopiline 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2342DB" w14:textId="77777777" w:rsidR="008D6774" w:rsidRPr="00687DE8" w:rsidRDefault="008D6774" w:rsidP="008D6774">
            <w:pPr>
              <w:spacing w:after="0" w:line="240" w:lineRule="auto"/>
              <w:jc w:val="center"/>
              <w:rPr>
                <w:szCs w:val="24"/>
              </w:rPr>
            </w:pPr>
            <w:r w:rsidRPr="00687DE8">
              <w:rPr>
                <w:szCs w:val="24"/>
              </w:rPr>
              <w:t>0J2206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780A2F" w14:textId="0F6FD15C" w:rsidR="0B3A0C95" w:rsidRPr="00687DE8" w:rsidRDefault="0001177F">
            <w:pPr>
              <w:spacing w:after="0"/>
              <w:jc w:val="center"/>
              <w:rPr>
                <w:color w:val="000000" w:themeColor="text1"/>
                <w:szCs w:val="24"/>
              </w:rPr>
            </w:pPr>
            <w:r>
              <w:rPr>
                <w:color w:val="000000"/>
              </w:rPr>
              <w:t>1 430,51</w:t>
            </w:r>
          </w:p>
        </w:tc>
      </w:tr>
      <w:tr w:rsidR="008D6774" w:rsidRPr="00687DE8" w14:paraId="55ADE9E5"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11B94C" w14:textId="77777777" w:rsidR="008D6774" w:rsidRPr="00687DE8" w:rsidRDefault="008D6774" w:rsidP="008D6774">
            <w:pPr>
              <w:spacing w:after="0" w:line="240" w:lineRule="auto"/>
              <w:rPr>
                <w:szCs w:val="24"/>
              </w:rPr>
            </w:pPr>
            <w:r w:rsidRPr="00687DE8">
              <w:rPr>
                <w:szCs w:val="24"/>
              </w:rPr>
              <w:lastRenderedPageBreak/>
              <w:t>Hemihepatektoomia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FE4AE3" w14:textId="77777777" w:rsidR="008D6774" w:rsidRPr="00687DE8" w:rsidRDefault="008D6774" w:rsidP="008D6774">
            <w:pPr>
              <w:spacing w:after="0" w:line="240" w:lineRule="auto"/>
              <w:jc w:val="center"/>
              <w:rPr>
                <w:szCs w:val="24"/>
              </w:rPr>
            </w:pPr>
            <w:r w:rsidRPr="00687DE8">
              <w:rPr>
                <w:szCs w:val="24"/>
              </w:rPr>
              <w:t>0J2110</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AA6066" w14:textId="4FBF74C3" w:rsidR="0B3A0C95" w:rsidRPr="00687DE8" w:rsidRDefault="0001177F">
            <w:pPr>
              <w:spacing w:after="0"/>
              <w:jc w:val="center"/>
              <w:rPr>
                <w:color w:val="000000" w:themeColor="text1"/>
                <w:szCs w:val="24"/>
              </w:rPr>
            </w:pPr>
            <w:r>
              <w:rPr>
                <w:color w:val="000000"/>
              </w:rPr>
              <w:t>1 968,46</w:t>
            </w:r>
          </w:p>
        </w:tc>
      </w:tr>
      <w:tr w:rsidR="008D6774" w:rsidRPr="00687DE8" w14:paraId="2C9C53ED"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F2E4CA" w14:textId="77777777" w:rsidR="008D6774" w:rsidRPr="00687DE8" w:rsidRDefault="008D6774" w:rsidP="008D6774">
            <w:pPr>
              <w:spacing w:after="0" w:line="240" w:lineRule="auto"/>
              <w:rPr>
                <w:szCs w:val="24"/>
              </w:rPr>
            </w:pPr>
            <w:r w:rsidRPr="00687DE8">
              <w:rPr>
                <w:szCs w:val="24"/>
              </w:rPr>
              <w:t>Laparoskoopiline hemihepatektoomia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3FD0C2" w14:textId="77777777" w:rsidR="008D6774" w:rsidRPr="00687DE8" w:rsidRDefault="008D6774" w:rsidP="008D6774">
            <w:pPr>
              <w:spacing w:after="0" w:line="240" w:lineRule="auto"/>
              <w:jc w:val="center"/>
              <w:rPr>
                <w:szCs w:val="24"/>
              </w:rPr>
            </w:pPr>
            <w:r w:rsidRPr="00687DE8">
              <w:rPr>
                <w:szCs w:val="24"/>
              </w:rPr>
              <w:t>0J2207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86C3D5" w14:textId="7EEF3B79" w:rsidR="0B3A0C95" w:rsidRPr="00687DE8" w:rsidRDefault="0001177F">
            <w:pPr>
              <w:spacing w:after="0"/>
              <w:jc w:val="center"/>
              <w:rPr>
                <w:color w:val="000000" w:themeColor="text1"/>
                <w:szCs w:val="24"/>
              </w:rPr>
            </w:pPr>
            <w:r>
              <w:rPr>
                <w:color w:val="000000"/>
              </w:rPr>
              <w:t>2 420,26</w:t>
            </w:r>
          </w:p>
        </w:tc>
      </w:tr>
      <w:tr w:rsidR="008D6774" w:rsidRPr="00687DE8" w14:paraId="403FF8B1"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4C74D5" w14:textId="77777777" w:rsidR="008D6774" w:rsidRPr="00687DE8" w:rsidRDefault="008D6774" w:rsidP="008D6774">
            <w:pPr>
              <w:spacing w:after="0" w:line="240" w:lineRule="auto"/>
              <w:rPr>
                <w:szCs w:val="24"/>
              </w:rPr>
            </w:pPr>
            <w:r w:rsidRPr="00687DE8">
              <w:rPr>
                <w:szCs w:val="24"/>
              </w:rPr>
              <w:t>Maksa atüüpiline resektsioon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2AB8AB" w14:textId="77777777" w:rsidR="008D6774" w:rsidRPr="00687DE8" w:rsidRDefault="008D6774" w:rsidP="008D6774">
            <w:pPr>
              <w:spacing w:after="0" w:line="240" w:lineRule="auto"/>
              <w:jc w:val="center"/>
              <w:rPr>
                <w:szCs w:val="24"/>
              </w:rPr>
            </w:pPr>
            <w:r w:rsidRPr="00687DE8">
              <w:rPr>
                <w:szCs w:val="24"/>
              </w:rPr>
              <w:t>0J2111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127E64" w14:textId="3AC97A9B" w:rsidR="0B3A0C95" w:rsidRPr="00687DE8" w:rsidRDefault="0001177F">
            <w:pPr>
              <w:spacing w:after="0"/>
              <w:jc w:val="center"/>
              <w:rPr>
                <w:color w:val="000000" w:themeColor="text1"/>
                <w:szCs w:val="24"/>
              </w:rPr>
            </w:pPr>
            <w:r>
              <w:rPr>
                <w:color w:val="000000"/>
              </w:rPr>
              <w:t>1 522,84</w:t>
            </w:r>
          </w:p>
        </w:tc>
      </w:tr>
      <w:tr w:rsidR="008D6774" w:rsidRPr="00687DE8" w14:paraId="325F3AD4"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348660" w14:textId="77777777" w:rsidR="008D6774" w:rsidRPr="00687DE8" w:rsidRDefault="008D6774" w:rsidP="008D6774">
            <w:pPr>
              <w:spacing w:after="0" w:line="240" w:lineRule="auto"/>
              <w:rPr>
                <w:szCs w:val="24"/>
              </w:rPr>
            </w:pPr>
            <w:r w:rsidRPr="00687DE8">
              <w:rPr>
                <w:szCs w:val="24"/>
              </w:rPr>
              <w:t>Maksa laparoskoopiline atüüpiline resektsioon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13F62F" w14:textId="77777777" w:rsidR="008D6774" w:rsidRPr="00687DE8" w:rsidRDefault="008D6774" w:rsidP="008D6774">
            <w:pPr>
              <w:spacing w:after="0" w:line="240" w:lineRule="auto"/>
              <w:jc w:val="center"/>
              <w:rPr>
                <w:szCs w:val="24"/>
              </w:rPr>
            </w:pPr>
            <w:r w:rsidRPr="00687DE8">
              <w:rPr>
                <w:szCs w:val="24"/>
              </w:rPr>
              <w:t>0J2208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2FF6F6" w14:textId="5E716AA4" w:rsidR="0B3A0C95" w:rsidRPr="00687DE8" w:rsidRDefault="0001177F">
            <w:pPr>
              <w:spacing w:after="0"/>
              <w:jc w:val="center"/>
              <w:rPr>
                <w:color w:val="000000" w:themeColor="text1"/>
                <w:szCs w:val="24"/>
              </w:rPr>
            </w:pPr>
            <w:r>
              <w:rPr>
                <w:color w:val="000000"/>
              </w:rPr>
              <w:t>2 108,66</w:t>
            </w:r>
          </w:p>
        </w:tc>
      </w:tr>
      <w:tr w:rsidR="008D6774" w:rsidRPr="00687DE8" w14:paraId="5FF37BBF"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60B834" w14:textId="77777777" w:rsidR="008D6774" w:rsidRPr="00687DE8" w:rsidRDefault="008D6774" w:rsidP="008D6774">
            <w:pPr>
              <w:spacing w:after="0" w:line="240" w:lineRule="auto"/>
              <w:rPr>
                <w:szCs w:val="24"/>
              </w:rPr>
            </w:pPr>
            <w:r w:rsidRPr="00687DE8">
              <w:rPr>
                <w:szCs w:val="24"/>
              </w:rPr>
              <w:t>Maksa siirdamine</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87468F" w14:textId="77777777" w:rsidR="008D6774" w:rsidRPr="00687DE8" w:rsidRDefault="008D6774" w:rsidP="008D6774">
            <w:pPr>
              <w:spacing w:after="0" w:line="240" w:lineRule="auto"/>
              <w:jc w:val="center"/>
              <w:rPr>
                <w:szCs w:val="24"/>
              </w:rPr>
            </w:pPr>
            <w:r w:rsidRPr="00687DE8">
              <w:rPr>
                <w:szCs w:val="24"/>
              </w:rPr>
              <w:t>0J2124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6D0BC2" w14:textId="401509B8" w:rsidR="0B3A0C95" w:rsidRPr="00687DE8" w:rsidRDefault="0001177F">
            <w:pPr>
              <w:spacing w:after="0"/>
              <w:jc w:val="center"/>
              <w:rPr>
                <w:color w:val="000000" w:themeColor="text1"/>
                <w:szCs w:val="24"/>
              </w:rPr>
            </w:pPr>
            <w:r>
              <w:rPr>
                <w:color w:val="000000"/>
              </w:rPr>
              <w:t>6 624,94</w:t>
            </w:r>
          </w:p>
        </w:tc>
      </w:tr>
      <w:tr w:rsidR="008D6774" w:rsidRPr="00687DE8" w14:paraId="46F276D6"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DF40A8" w14:textId="77777777" w:rsidR="008D6774" w:rsidRPr="00687DE8" w:rsidRDefault="008D6774" w:rsidP="008D6774">
            <w:pPr>
              <w:spacing w:after="0" w:line="240" w:lineRule="auto"/>
              <w:rPr>
                <w:szCs w:val="24"/>
              </w:rPr>
            </w:pPr>
            <w:r w:rsidRPr="00687DE8">
              <w:rPr>
                <w:szCs w:val="24"/>
              </w:rPr>
              <w:t>Splenektoomia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C02096" w14:textId="77777777" w:rsidR="008D6774" w:rsidRPr="00687DE8" w:rsidRDefault="008D6774" w:rsidP="008D6774">
            <w:pPr>
              <w:spacing w:after="0" w:line="240" w:lineRule="auto"/>
              <w:jc w:val="center"/>
              <w:rPr>
                <w:szCs w:val="24"/>
              </w:rPr>
            </w:pPr>
            <w:r w:rsidRPr="00687DE8">
              <w:rPr>
                <w:szCs w:val="24"/>
              </w:rPr>
              <w:t>0J2112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2F179F" w14:textId="0222A027" w:rsidR="0B3A0C95" w:rsidRPr="00687DE8" w:rsidRDefault="0001177F">
            <w:pPr>
              <w:spacing w:after="0"/>
              <w:jc w:val="center"/>
              <w:rPr>
                <w:color w:val="000000" w:themeColor="text1"/>
                <w:szCs w:val="24"/>
              </w:rPr>
            </w:pPr>
            <w:r>
              <w:rPr>
                <w:color w:val="000000"/>
              </w:rPr>
              <w:t>913,66</w:t>
            </w:r>
          </w:p>
        </w:tc>
      </w:tr>
      <w:tr w:rsidR="008D6774" w:rsidRPr="00687DE8" w14:paraId="5D22C358"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C5D558" w14:textId="77777777" w:rsidR="008D6774" w:rsidRPr="00687DE8" w:rsidRDefault="008D6774" w:rsidP="008D6774">
            <w:pPr>
              <w:spacing w:after="0" w:line="240" w:lineRule="auto"/>
              <w:rPr>
                <w:szCs w:val="24"/>
              </w:rPr>
            </w:pPr>
            <w:r w:rsidRPr="00687DE8">
              <w:rPr>
                <w:szCs w:val="24"/>
              </w:rPr>
              <w:t>Laparoskoopiline splenektoomia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96767F" w14:textId="77777777" w:rsidR="008D6774" w:rsidRPr="00687DE8" w:rsidRDefault="008D6774" w:rsidP="008D6774">
            <w:pPr>
              <w:spacing w:after="0" w:line="240" w:lineRule="auto"/>
              <w:jc w:val="center"/>
              <w:rPr>
                <w:szCs w:val="24"/>
              </w:rPr>
            </w:pPr>
            <w:r w:rsidRPr="00687DE8">
              <w:rPr>
                <w:szCs w:val="24"/>
              </w:rPr>
              <w:t>0J2209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4A7BFE" w14:textId="0566B683" w:rsidR="0B3A0C95" w:rsidRPr="00687DE8" w:rsidRDefault="0001177F">
            <w:pPr>
              <w:spacing w:after="0"/>
              <w:jc w:val="center"/>
              <w:rPr>
                <w:color w:val="000000" w:themeColor="text1"/>
                <w:szCs w:val="24"/>
              </w:rPr>
            </w:pPr>
            <w:r>
              <w:rPr>
                <w:color w:val="000000"/>
              </w:rPr>
              <w:t>1 792,35</w:t>
            </w:r>
          </w:p>
        </w:tc>
      </w:tr>
      <w:tr w:rsidR="008D6774" w:rsidRPr="00687DE8" w14:paraId="597BBE8E"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ACE947" w14:textId="77777777" w:rsidR="008D6774" w:rsidRPr="00687DE8" w:rsidRDefault="008D6774" w:rsidP="008D6774">
            <w:pPr>
              <w:spacing w:after="0" w:line="240" w:lineRule="auto"/>
              <w:rPr>
                <w:szCs w:val="24"/>
              </w:rPr>
            </w:pPr>
            <w:r w:rsidRPr="00687DE8">
              <w:rPr>
                <w:szCs w:val="24"/>
              </w:rPr>
              <w:t>Pankrease resektsioon ja/või pankreatojejunostoomia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7E0843" w14:textId="77777777" w:rsidR="008D6774" w:rsidRPr="00687DE8" w:rsidRDefault="008D6774" w:rsidP="008D6774">
            <w:pPr>
              <w:spacing w:after="0" w:line="240" w:lineRule="auto"/>
              <w:jc w:val="center"/>
              <w:rPr>
                <w:szCs w:val="24"/>
              </w:rPr>
            </w:pPr>
            <w:r w:rsidRPr="00687DE8">
              <w:rPr>
                <w:szCs w:val="24"/>
              </w:rPr>
              <w:t>0J2113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3A3AB9" w14:textId="507477DD" w:rsidR="0B3A0C95" w:rsidRPr="00687DE8" w:rsidRDefault="0001177F">
            <w:pPr>
              <w:spacing w:after="0"/>
              <w:jc w:val="center"/>
              <w:rPr>
                <w:color w:val="000000" w:themeColor="text1"/>
                <w:szCs w:val="24"/>
              </w:rPr>
            </w:pPr>
            <w:r>
              <w:rPr>
                <w:color w:val="000000"/>
              </w:rPr>
              <w:t>1 899,38</w:t>
            </w:r>
          </w:p>
        </w:tc>
      </w:tr>
      <w:tr w:rsidR="008D6774" w:rsidRPr="00687DE8" w14:paraId="7EECB390"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4A3163" w14:textId="77777777" w:rsidR="008D6774" w:rsidRPr="00687DE8" w:rsidRDefault="008D6774" w:rsidP="008D6774">
            <w:pPr>
              <w:spacing w:after="0" w:line="240" w:lineRule="auto"/>
              <w:rPr>
                <w:szCs w:val="24"/>
              </w:rPr>
            </w:pPr>
            <w:r w:rsidRPr="00687DE8">
              <w:rPr>
                <w:szCs w:val="24"/>
              </w:rPr>
              <w:t>Pankreatoduodenaalne resektsioon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55A111" w14:textId="77777777" w:rsidR="008D6774" w:rsidRPr="00687DE8" w:rsidRDefault="008D6774" w:rsidP="008D6774">
            <w:pPr>
              <w:spacing w:after="0" w:line="240" w:lineRule="auto"/>
              <w:jc w:val="center"/>
              <w:rPr>
                <w:szCs w:val="24"/>
              </w:rPr>
            </w:pPr>
            <w:r w:rsidRPr="00687DE8">
              <w:rPr>
                <w:szCs w:val="24"/>
              </w:rPr>
              <w:t>0J2114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A92025" w14:textId="1F273391" w:rsidR="0B3A0C95" w:rsidRPr="00687DE8" w:rsidRDefault="0001177F">
            <w:pPr>
              <w:spacing w:after="0"/>
              <w:jc w:val="center"/>
              <w:rPr>
                <w:color w:val="000000" w:themeColor="text1"/>
                <w:szCs w:val="24"/>
              </w:rPr>
            </w:pPr>
            <w:r>
              <w:rPr>
                <w:color w:val="000000"/>
              </w:rPr>
              <w:t>2 255,44</w:t>
            </w:r>
          </w:p>
        </w:tc>
      </w:tr>
      <w:tr w:rsidR="008D6774" w:rsidRPr="00687DE8" w14:paraId="3A818FEB"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B1A7A7" w14:textId="77777777" w:rsidR="008D6774" w:rsidRPr="00687DE8" w:rsidRDefault="008D6774" w:rsidP="008D6774">
            <w:pPr>
              <w:spacing w:after="0" w:line="240" w:lineRule="auto"/>
              <w:rPr>
                <w:szCs w:val="24"/>
              </w:rPr>
            </w:pPr>
            <w:r w:rsidRPr="00687DE8">
              <w:rPr>
                <w:szCs w:val="24"/>
              </w:rPr>
              <w:t>Laparoskoopiline kõhunäärme 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7993C1" w14:textId="77777777" w:rsidR="008D6774" w:rsidRPr="00687DE8" w:rsidRDefault="008D6774" w:rsidP="008D6774">
            <w:pPr>
              <w:spacing w:after="0" w:line="240" w:lineRule="auto"/>
              <w:jc w:val="center"/>
              <w:rPr>
                <w:szCs w:val="24"/>
              </w:rPr>
            </w:pPr>
            <w:r w:rsidRPr="00687DE8">
              <w:rPr>
                <w:szCs w:val="24"/>
              </w:rPr>
              <w:t>0J2210</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3148E1" w14:textId="3DF20782" w:rsidR="0B3A0C95" w:rsidRPr="00687DE8" w:rsidRDefault="0001177F">
            <w:pPr>
              <w:spacing w:after="0"/>
              <w:jc w:val="center"/>
              <w:rPr>
                <w:color w:val="000000" w:themeColor="text1"/>
                <w:szCs w:val="24"/>
              </w:rPr>
            </w:pPr>
            <w:r>
              <w:rPr>
                <w:color w:val="000000"/>
              </w:rPr>
              <w:t>1 851,88</w:t>
            </w:r>
          </w:p>
        </w:tc>
      </w:tr>
      <w:tr w:rsidR="008D6774" w:rsidRPr="00687DE8" w14:paraId="657FD8EE"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7AFB72" w14:textId="77777777" w:rsidR="008D6774" w:rsidRPr="00687DE8" w:rsidRDefault="008D6774" w:rsidP="008D6774">
            <w:pPr>
              <w:spacing w:after="0" w:line="240" w:lineRule="auto"/>
              <w:rPr>
                <w:szCs w:val="24"/>
              </w:rPr>
            </w:pPr>
            <w:r w:rsidRPr="00687DE8">
              <w:rPr>
                <w:szCs w:val="24"/>
              </w:rPr>
              <w:t>Apendektoomia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0D0C6B" w14:textId="77777777" w:rsidR="008D6774" w:rsidRPr="00687DE8" w:rsidRDefault="008D6774" w:rsidP="008D6774">
            <w:pPr>
              <w:spacing w:after="0" w:line="240" w:lineRule="auto"/>
              <w:jc w:val="center"/>
              <w:rPr>
                <w:szCs w:val="24"/>
              </w:rPr>
            </w:pPr>
            <w:r w:rsidRPr="00687DE8">
              <w:rPr>
                <w:szCs w:val="24"/>
              </w:rPr>
              <w:t>0J2125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632736" w14:textId="0916EB29" w:rsidR="0B3A0C95" w:rsidRPr="00687DE8" w:rsidRDefault="0001177F">
            <w:pPr>
              <w:spacing w:after="0"/>
              <w:jc w:val="center"/>
              <w:rPr>
                <w:color w:val="000000" w:themeColor="text1"/>
                <w:szCs w:val="24"/>
              </w:rPr>
            </w:pPr>
            <w:r>
              <w:rPr>
                <w:color w:val="000000"/>
              </w:rPr>
              <w:t>473,75</w:t>
            </w:r>
          </w:p>
        </w:tc>
      </w:tr>
      <w:tr w:rsidR="008D6774" w:rsidRPr="00687DE8" w14:paraId="302D07C8"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B20A9C" w14:textId="77777777" w:rsidR="008D6774" w:rsidRPr="00687DE8" w:rsidRDefault="008D6774" w:rsidP="008D6774">
            <w:pPr>
              <w:spacing w:after="0" w:line="240" w:lineRule="auto"/>
              <w:rPr>
                <w:szCs w:val="24"/>
              </w:rPr>
            </w:pPr>
            <w:r w:rsidRPr="00687DE8">
              <w:rPr>
                <w:szCs w:val="24"/>
              </w:rPr>
              <w:t>Apendektoomia kesklõikest</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4DEEF1" w14:textId="77777777" w:rsidR="008D6774" w:rsidRPr="00687DE8" w:rsidRDefault="008D6774" w:rsidP="008D6774">
            <w:pPr>
              <w:spacing w:after="0" w:line="240" w:lineRule="auto"/>
              <w:jc w:val="center"/>
              <w:rPr>
                <w:szCs w:val="24"/>
              </w:rPr>
            </w:pPr>
            <w:r w:rsidRPr="00687DE8">
              <w:rPr>
                <w:szCs w:val="24"/>
              </w:rPr>
              <w:t>0J2101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0BAFFE" w14:textId="4F482AB5" w:rsidR="0B3A0C95" w:rsidRPr="00687DE8" w:rsidRDefault="0001177F">
            <w:pPr>
              <w:spacing w:after="0"/>
              <w:jc w:val="center"/>
              <w:rPr>
                <w:color w:val="000000" w:themeColor="text1"/>
                <w:szCs w:val="24"/>
              </w:rPr>
            </w:pPr>
            <w:r>
              <w:rPr>
                <w:color w:val="000000"/>
              </w:rPr>
              <w:t>714,96</w:t>
            </w:r>
          </w:p>
        </w:tc>
      </w:tr>
      <w:tr w:rsidR="008D6774" w:rsidRPr="00687DE8" w14:paraId="249EC150"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903DCD" w14:textId="77777777" w:rsidR="008D6774" w:rsidRPr="00687DE8" w:rsidRDefault="008D6774" w:rsidP="008D6774">
            <w:pPr>
              <w:spacing w:after="0" w:line="240" w:lineRule="auto"/>
              <w:rPr>
                <w:szCs w:val="24"/>
              </w:rPr>
            </w:pPr>
            <w:r w:rsidRPr="00687DE8">
              <w:rPr>
                <w:szCs w:val="24"/>
              </w:rPr>
              <w:t>Laparoskoopiline apendektoomia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9FB984" w14:textId="77777777" w:rsidR="008D6774" w:rsidRPr="00687DE8" w:rsidRDefault="008D6774" w:rsidP="008D6774">
            <w:pPr>
              <w:spacing w:after="0" w:line="240" w:lineRule="auto"/>
              <w:jc w:val="center"/>
              <w:rPr>
                <w:szCs w:val="24"/>
              </w:rPr>
            </w:pPr>
            <w:r w:rsidRPr="00687DE8">
              <w:rPr>
                <w:szCs w:val="24"/>
              </w:rPr>
              <w:t>0J2211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1F6543" w14:textId="1E9B3F0B" w:rsidR="0B3A0C95" w:rsidRPr="00687DE8" w:rsidRDefault="0001177F">
            <w:pPr>
              <w:spacing w:after="0"/>
              <w:jc w:val="center"/>
              <w:rPr>
                <w:color w:val="000000" w:themeColor="text1"/>
                <w:szCs w:val="24"/>
              </w:rPr>
            </w:pPr>
            <w:r>
              <w:rPr>
                <w:color w:val="000000"/>
              </w:rPr>
              <w:t>570,20</w:t>
            </w:r>
          </w:p>
        </w:tc>
      </w:tr>
      <w:tr w:rsidR="008D6774" w:rsidRPr="00687DE8" w14:paraId="17879F8F"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6ADF5E" w14:textId="77777777" w:rsidR="008D6774" w:rsidRPr="00687DE8" w:rsidRDefault="008D6774" w:rsidP="008D6774">
            <w:pPr>
              <w:spacing w:after="0" w:line="240" w:lineRule="auto"/>
              <w:rPr>
                <w:szCs w:val="24"/>
              </w:rPr>
            </w:pPr>
            <w:r w:rsidRPr="00687DE8">
              <w:rPr>
                <w:szCs w:val="24"/>
              </w:rPr>
              <w:t>Peensoole resektsioon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081A07" w14:textId="77777777" w:rsidR="008D6774" w:rsidRPr="00687DE8" w:rsidRDefault="008D6774" w:rsidP="008D6774">
            <w:pPr>
              <w:spacing w:after="0" w:line="240" w:lineRule="auto"/>
              <w:jc w:val="center"/>
              <w:rPr>
                <w:szCs w:val="24"/>
              </w:rPr>
            </w:pPr>
            <w:r w:rsidRPr="00687DE8">
              <w:rPr>
                <w:szCs w:val="24"/>
              </w:rPr>
              <w:t>0J2118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B45602" w14:textId="44CE41F1" w:rsidR="0B3A0C95" w:rsidRPr="00687DE8" w:rsidRDefault="0001177F">
            <w:pPr>
              <w:spacing w:after="0"/>
              <w:jc w:val="center"/>
              <w:rPr>
                <w:color w:val="000000" w:themeColor="text1"/>
                <w:szCs w:val="24"/>
              </w:rPr>
            </w:pPr>
            <w:r>
              <w:rPr>
                <w:color w:val="000000"/>
              </w:rPr>
              <w:t>910,71</w:t>
            </w:r>
          </w:p>
        </w:tc>
      </w:tr>
      <w:tr w:rsidR="008D6774" w:rsidRPr="00687DE8" w14:paraId="6CB3636C"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00DC2F" w14:textId="77777777" w:rsidR="008D6774" w:rsidRPr="00687DE8" w:rsidRDefault="008D6774" w:rsidP="008D6774">
            <w:pPr>
              <w:spacing w:after="0" w:line="240" w:lineRule="auto"/>
              <w:rPr>
                <w:szCs w:val="24"/>
              </w:rPr>
            </w:pPr>
            <w:r w:rsidRPr="00687DE8">
              <w:rPr>
                <w:szCs w:val="24"/>
              </w:rPr>
              <w:t>Soolesulguse operatsioon ilma resektsioonita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0BC97F" w14:textId="77777777" w:rsidR="008D6774" w:rsidRPr="00687DE8" w:rsidRDefault="008D6774" w:rsidP="008D6774">
            <w:pPr>
              <w:spacing w:after="0" w:line="240" w:lineRule="auto"/>
              <w:jc w:val="center"/>
              <w:rPr>
                <w:szCs w:val="24"/>
              </w:rPr>
            </w:pPr>
            <w:r w:rsidRPr="00687DE8">
              <w:rPr>
                <w:szCs w:val="24"/>
              </w:rPr>
              <w:t>0J2117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72D2A3" w14:textId="37C49630" w:rsidR="0B3A0C95" w:rsidRPr="00687DE8" w:rsidRDefault="0001177F">
            <w:pPr>
              <w:spacing w:after="0"/>
              <w:jc w:val="center"/>
              <w:rPr>
                <w:color w:val="000000" w:themeColor="text1"/>
                <w:szCs w:val="24"/>
              </w:rPr>
            </w:pPr>
            <w:r>
              <w:rPr>
                <w:color w:val="000000"/>
              </w:rPr>
              <w:t>1 027,57</w:t>
            </w:r>
          </w:p>
        </w:tc>
      </w:tr>
      <w:tr w:rsidR="008D6774" w:rsidRPr="00687DE8" w14:paraId="7D234A40"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FA1C3F" w14:textId="77777777" w:rsidR="008D6774" w:rsidRPr="00687DE8" w:rsidRDefault="008D6774" w:rsidP="008D6774">
            <w:pPr>
              <w:spacing w:after="0" w:line="240" w:lineRule="auto"/>
              <w:rPr>
                <w:szCs w:val="24"/>
              </w:rPr>
            </w:pPr>
            <w:r w:rsidRPr="00687DE8">
              <w:rPr>
                <w:szCs w:val="24"/>
              </w:rPr>
              <w:t>Laparoskoopiline soolesulguse operatsioon ilma resektsioonita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1A7A05" w14:textId="77777777" w:rsidR="008D6774" w:rsidRPr="00687DE8" w:rsidRDefault="008D6774" w:rsidP="008D6774">
            <w:pPr>
              <w:spacing w:after="0" w:line="240" w:lineRule="auto"/>
              <w:jc w:val="center"/>
              <w:rPr>
                <w:szCs w:val="24"/>
              </w:rPr>
            </w:pPr>
            <w:r w:rsidRPr="00687DE8">
              <w:rPr>
                <w:szCs w:val="24"/>
              </w:rPr>
              <w:t>0J2212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6276A8" w14:textId="0BC28EE6" w:rsidR="0B3A0C95" w:rsidRPr="00687DE8" w:rsidRDefault="0001177F">
            <w:pPr>
              <w:spacing w:after="0"/>
              <w:jc w:val="center"/>
              <w:rPr>
                <w:color w:val="000000" w:themeColor="text1"/>
                <w:szCs w:val="24"/>
              </w:rPr>
            </w:pPr>
            <w:r>
              <w:rPr>
                <w:color w:val="000000"/>
              </w:rPr>
              <w:t>1 120,37</w:t>
            </w:r>
          </w:p>
        </w:tc>
      </w:tr>
      <w:tr w:rsidR="008D6774" w:rsidRPr="00687DE8" w14:paraId="31D62F80" w14:textId="77777777" w:rsidTr="00EB7A71">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E465E5" w14:textId="77777777" w:rsidR="008D6774" w:rsidRPr="00687DE8" w:rsidRDefault="008D6774" w:rsidP="008D6774">
            <w:pPr>
              <w:spacing w:after="0" w:line="240" w:lineRule="auto"/>
              <w:rPr>
                <w:szCs w:val="24"/>
              </w:rPr>
            </w:pPr>
            <w:r w:rsidRPr="00687DE8">
              <w:rPr>
                <w:szCs w:val="24"/>
              </w:rPr>
              <w:t>Seedetrakti stoomi ja/või anastomoosi rajamine või likvideerimine, kaasa arvatud püloromüotoomia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25EAB7" w14:textId="77777777" w:rsidR="008D6774" w:rsidRPr="00687DE8" w:rsidRDefault="008D6774" w:rsidP="008D6774">
            <w:pPr>
              <w:spacing w:after="0" w:line="240" w:lineRule="auto"/>
              <w:jc w:val="center"/>
              <w:rPr>
                <w:szCs w:val="24"/>
              </w:rPr>
            </w:pPr>
          </w:p>
          <w:p w14:paraId="1FAA573C" w14:textId="77777777" w:rsidR="008D6774" w:rsidRPr="00687DE8" w:rsidRDefault="008D6774" w:rsidP="008D6774">
            <w:pPr>
              <w:spacing w:after="0" w:line="240" w:lineRule="auto"/>
              <w:jc w:val="center"/>
              <w:rPr>
                <w:szCs w:val="24"/>
              </w:rPr>
            </w:pPr>
            <w:r w:rsidRPr="00687DE8">
              <w:rPr>
                <w:szCs w:val="24"/>
              </w:rPr>
              <w:t>0J2105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5FBE81" w14:textId="41F0D0C4" w:rsidR="0B3A0C95" w:rsidRPr="00687DE8" w:rsidRDefault="0001177F">
            <w:pPr>
              <w:spacing w:after="0"/>
              <w:jc w:val="center"/>
              <w:rPr>
                <w:color w:val="000000" w:themeColor="text1"/>
                <w:szCs w:val="24"/>
              </w:rPr>
            </w:pPr>
            <w:r>
              <w:rPr>
                <w:color w:val="000000"/>
              </w:rPr>
              <w:t>752,58</w:t>
            </w:r>
          </w:p>
        </w:tc>
      </w:tr>
      <w:tr w:rsidR="008D6774" w:rsidRPr="00687DE8" w14:paraId="25221205"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E90D8E" w14:textId="77777777" w:rsidR="008D6774" w:rsidRPr="00687DE8" w:rsidRDefault="008D6774" w:rsidP="008D6774">
            <w:pPr>
              <w:spacing w:after="0" w:line="240" w:lineRule="auto"/>
              <w:rPr>
                <w:szCs w:val="24"/>
              </w:rPr>
            </w:pPr>
            <w:r w:rsidRPr="00687DE8">
              <w:rPr>
                <w:szCs w:val="24"/>
              </w:rPr>
              <w:t>Laparoskoopiline seedetrakti stoomi ja/või anastomoosi rajamine või likvideerimine, kaasa arvatud püloromüotoomia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B9C214" w14:textId="77777777" w:rsidR="008D6774" w:rsidRPr="00687DE8" w:rsidRDefault="008D6774" w:rsidP="008D6774">
            <w:pPr>
              <w:spacing w:after="0" w:line="240" w:lineRule="auto"/>
              <w:jc w:val="center"/>
              <w:rPr>
                <w:szCs w:val="24"/>
              </w:rPr>
            </w:pPr>
          </w:p>
          <w:p w14:paraId="7C57234C" w14:textId="77777777" w:rsidR="008D6774" w:rsidRPr="00687DE8" w:rsidRDefault="008D6774" w:rsidP="008D6774">
            <w:pPr>
              <w:spacing w:after="0" w:line="240" w:lineRule="auto"/>
              <w:jc w:val="center"/>
              <w:rPr>
                <w:szCs w:val="24"/>
              </w:rPr>
            </w:pPr>
            <w:r w:rsidRPr="00687DE8">
              <w:rPr>
                <w:szCs w:val="24"/>
              </w:rPr>
              <w:t>0J2213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DDC291" w14:textId="4E85C66B" w:rsidR="5C683982" w:rsidRPr="00687DE8" w:rsidRDefault="0001177F">
            <w:pPr>
              <w:spacing w:after="0"/>
              <w:jc w:val="center"/>
              <w:rPr>
                <w:color w:val="000000" w:themeColor="text1"/>
                <w:szCs w:val="24"/>
              </w:rPr>
            </w:pPr>
            <w:r>
              <w:rPr>
                <w:color w:val="000000"/>
              </w:rPr>
              <w:t>1 477,43</w:t>
            </w:r>
          </w:p>
        </w:tc>
      </w:tr>
      <w:tr w:rsidR="008D6774" w:rsidRPr="00687DE8" w14:paraId="23D1BD2A"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19FFEB" w14:textId="77777777" w:rsidR="008D6774" w:rsidRPr="00687DE8" w:rsidRDefault="008D6774" w:rsidP="008D6774">
            <w:pPr>
              <w:spacing w:after="0" w:line="240" w:lineRule="auto"/>
              <w:rPr>
                <w:szCs w:val="24"/>
              </w:rPr>
            </w:pPr>
            <w:r w:rsidRPr="00687DE8">
              <w:rPr>
                <w:szCs w:val="24"/>
              </w:rPr>
              <w:t>Jäme- ja/või pärasoole resektsioon anastomoosiga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7B9365" w14:textId="77777777" w:rsidR="008D6774" w:rsidRPr="00687DE8" w:rsidRDefault="008D6774" w:rsidP="008D6774">
            <w:pPr>
              <w:spacing w:after="0" w:line="240" w:lineRule="auto"/>
              <w:jc w:val="center"/>
              <w:rPr>
                <w:szCs w:val="24"/>
              </w:rPr>
            </w:pPr>
            <w:r w:rsidRPr="00687DE8">
              <w:rPr>
                <w:szCs w:val="24"/>
              </w:rPr>
              <w:t>0J2119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EDC4D0" w14:textId="7D19E131" w:rsidR="5C683982" w:rsidRPr="00687DE8" w:rsidRDefault="0001177F">
            <w:pPr>
              <w:spacing w:after="0"/>
              <w:jc w:val="center"/>
              <w:rPr>
                <w:color w:val="000000" w:themeColor="text1"/>
                <w:szCs w:val="24"/>
              </w:rPr>
            </w:pPr>
            <w:r>
              <w:rPr>
                <w:color w:val="000000"/>
              </w:rPr>
              <w:t>1 387,12</w:t>
            </w:r>
          </w:p>
        </w:tc>
      </w:tr>
      <w:tr w:rsidR="008D6774" w:rsidRPr="00687DE8" w14:paraId="7FE0BDDD"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52B7D8" w14:textId="77777777" w:rsidR="008D6774" w:rsidRPr="00687DE8" w:rsidRDefault="008D6774" w:rsidP="008D6774">
            <w:pPr>
              <w:spacing w:after="0" w:line="240" w:lineRule="auto"/>
              <w:rPr>
                <w:szCs w:val="24"/>
              </w:rPr>
            </w:pPr>
            <w:r w:rsidRPr="00687DE8">
              <w:rPr>
                <w:szCs w:val="24"/>
              </w:rPr>
              <w:t>Laparoskoopiline jäme- ja/või pärasoole resektsioon anastomoosiga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63AD2A" w14:textId="77777777" w:rsidR="008D6774" w:rsidRPr="00687DE8" w:rsidRDefault="008D6774" w:rsidP="008D6774">
            <w:pPr>
              <w:spacing w:after="0" w:line="240" w:lineRule="auto"/>
              <w:jc w:val="center"/>
              <w:rPr>
                <w:szCs w:val="24"/>
              </w:rPr>
            </w:pPr>
            <w:r w:rsidRPr="00687DE8">
              <w:rPr>
                <w:szCs w:val="24"/>
              </w:rPr>
              <w:t>0J2214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D308E2" w14:textId="64E10B56" w:rsidR="5C683982" w:rsidRPr="00687DE8" w:rsidRDefault="0001177F">
            <w:pPr>
              <w:spacing w:after="0"/>
              <w:jc w:val="center"/>
              <w:rPr>
                <w:color w:val="000000" w:themeColor="text1"/>
                <w:szCs w:val="24"/>
              </w:rPr>
            </w:pPr>
            <w:r>
              <w:rPr>
                <w:color w:val="000000"/>
              </w:rPr>
              <w:t>1 900,90</w:t>
            </w:r>
          </w:p>
        </w:tc>
      </w:tr>
      <w:tr w:rsidR="008D6774" w:rsidRPr="00687DE8" w14:paraId="0334E1F3"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E0C384" w14:textId="77777777" w:rsidR="008D6774" w:rsidRPr="00687DE8" w:rsidRDefault="008D6774" w:rsidP="008D6774">
            <w:pPr>
              <w:spacing w:after="0" w:line="240" w:lineRule="auto"/>
              <w:rPr>
                <w:szCs w:val="24"/>
              </w:rPr>
            </w:pPr>
            <w:r w:rsidRPr="00687DE8">
              <w:rPr>
                <w:szCs w:val="24"/>
              </w:rPr>
              <w:t>Jäme- ja/või pärasoole resektsioon ilma anastomoosita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B97F16" w14:textId="77777777" w:rsidR="008D6774" w:rsidRPr="00687DE8" w:rsidRDefault="008D6774" w:rsidP="008D6774">
            <w:pPr>
              <w:spacing w:after="0" w:line="240" w:lineRule="auto"/>
              <w:jc w:val="center"/>
              <w:rPr>
                <w:szCs w:val="24"/>
              </w:rPr>
            </w:pPr>
            <w:r w:rsidRPr="00687DE8">
              <w:rPr>
                <w:szCs w:val="24"/>
              </w:rPr>
              <w:t>0J2120</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AFB827" w14:textId="287CC9DF" w:rsidR="5C683982" w:rsidRPr="00687DE8" w:rsidRDefault="0001177F">
            <w:pPr>
              <w:spacing w:after="0"/>
              <w:jc w:val="center"/>
              <w:rPr>
                <w:color w:val="000000" w:themeColor="text1"/>
                <w:szCs w:val="24"/>
              </w:rPr>
            </w:pPr>
            <w:r>
              <w:rPr>
                <w:color w:val="000000"/>
              </w:rPr>
              <w:t>1 111,57</w:t>
            </w:r>
          </w:p>
        </w:tc>
      </w:tr>
      <w:tr w:rsidR="008D6774" w:rsidRPr="00687DE8" w14:paraId="3DD9E3ED"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CCEAA4" w14:textId="77777777" w:rsidR="008D6774" w:rsidRPr="00687DE8" w:rsidRDefault="008D6774" w:rsidP="008D6774">
            <w:pPr>
              <w:spacing w:after="0" w:line="240" w:lineRule="auto"/>
              <w:rPr>
                <w:szCs w:val="24"/>
              </w:rPr>
            </w:pPr>
            <w:r w:rsidRPr="00687DE8">
              <w:rPr>
                <w:szCs w:val="24"/>
              </w:rPr>
              <w:t>Laparoskoopiline jäme- ja/või pärasoole resektsioon ilma anastomoosita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652545F" w14:textId="77777777" w:rsidR="008D6774" w:rsidRPr="00687DE8" w:rsidRDefault="008D6774" w:rsidP="008D6774">
            <w:pPr>
              <w:spacing w:after="0" w:line="240" w:lineRule="auto"/>
              <w:jc w:val="center"/>
              <w:rPr>
                <w:szCs w:val="24"/>
              </w:rPr>
            </w:pPr>
          </w:p>
          <w:p w14:paraId="0F7B933C" w14:textId="77777777" w:rsidR="008D6774" w:rsidRPr="00687DE8" w:rsidRDefault="008D6774" w:rsidP="008D6774">
            <w:pPr>
              <w:spacing w:after="0" w:line="240" w:lineRule="auto"/>
              <w:jc w:val="center"/>
              <w:rPr>
                <w:szCs w:val="24"/>
              </w:rPr>
            </w:pPr>
            <w:r w:rsidRPr="00687DE8">
              <w:rPr>
                <w:szCs w:val="24"/>
              </w:rPr>
              <w:t>0J2215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E4288F" w14:textId="56592B81" w:rsidR="5C683982" w:rsidRPr="00687DE8" w:rsidRDefault="0001177F">
            <w:pPr>
              <w:spacing w:after="0"/>
              <w:jc w:val="center"/>
              <w:rPr>
                <w:color w:val="000000" w:themeColor="text1"/>
                <w:szCs w:val="24"/>
              </w:rPr>
            </w:pPr>
            <w:r>
              <w:rPr>
                <w:color w:val="000000"/>
              </w:rPr>
              <w:t>1 798,39</w:t>
            </w:r>
          </w:p>
        </w:tc>
      </w:tr>
      <w:tr w:rsidR="008D6774" w:rsidRPr="00687DE8" w14:paraId="585CEC6F"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09CC18" w14:textId="77777777" w:rsidR="008D6774" w:rsidRPr="00687DE8" w:rsidRDefault="008D6774" w:rsidP="008D6774">
            <w:pPr>
              <w:spacing w:after="0" w:line="240" w:lineRule="auto"/>
              <w:rPr>
                <w:szCs w:val="24"/>
              </w:rPr>
            </w:pPr>
            <w:r w:rsidRPr="00687DE8">
              <w:rPr>
                <w:szCs w:val="24"/>
              </w:rPr>
              <w:t>Anuseoperatsioon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E79C1E" w14:textId="77777777" w:rsidR="008D6774" w:rsidRPr="00687DE8" w:rsidRDefault="008D6774" w:rsidP="008D6774">
            <w:pPr>
              <w:spacing w:after="0" w:line="240" w:lineRule="auto"/>
              <w:jc w:val="center"/>
              <w:rPr>
                <w:szCs w:val="24"/>
              </w:rPr>
            </w:pPr>
            <w:r w:rsidRPr="00687DE8">
              <w:rPr>
                <w:szCs w:val="24"/>
              </w:rPr>
              <w:t>0J2121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96268A" w14:textId="35E6D63F" w:rsidR="5C683982" w:rsidRPr="00687DE8" w:rsidRDefault="0001177F">
            <w:pPr>
              <w:spacing w:after="0"/>
              <w:jc w:val="center"/>
              <w:rPr>
                <w:color w:val="000000" w:themeColor="text1"/>
                <w:szCs w:val="24"/>
              </w:rPr>
            </w:pPr>
            <w:r>
              <w:rPr>
                <w:color w:val="000000"/>
              </w:rPr>
              <w:t>485,16</w:t>
            </w:r>
          </w:p>
        </w:tc>
      </w:tr>
      <w:tr w:rsidR="008D6774" w:rsidRPr="00687DE8" w14:paraId="7FDEB767"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E750F6" w14:textId="77777777" w:rsidR="008D6774" w:rsidRPr="00687DE8" w:rsidRDefault="008D6774" w:rsidP="008D6774">
            <w:pPr>
              <w:spacing w:after="0" w:line="240" w:lineRule="auto"/>
              <w:rPr>
                <w:szCs w:val="24"/>
              </w:rPr>
            </w:pPr>
            <w:r w:rsidRPr="00687DE8">
              <w:rPr>
                <w:szCs w:val="24"/>
              </w:rPr>
              <w:t>Rektopeksia või anaalsfinktri plastika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19EA1F" w14:textId="77777777" w:rsidR="008D6774" w:rsidRPr="00687DE8" w:rsidRDefault="008D6774" w:rsidP="008D6774">
            <w:pPr>
              <w:spacing w:after="0" w:line="240" w:lineRule="auto"/>
              <w:jc w:val="center"/>
              <w:rPr>
                <w:szCs w:val="24"/>
              </w:rPr>
            </w:pPr>
            <w:r w:rsidRPr="00687DE8">
              <w:rPr>
                <w:szCs w:val="24"/>
              </w:rPr>
              <w:t>0J2122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1F522A" w14:textId="73B5F551" w:rsidR="5C683982" w:rsidRPr="00687DE8" w:rsidRDefault="0001177F">
            <w:pPr>
              <w:spacing w:after="0"/>
              <w:jc w:val="center"/>
              <w:rPr>
                <w:color w:val="000000" w:themeColor="text1"/>
                <w:szCs w:val="24"/>
              </w:rPr>
            </w:pPr>
            <w:r>
              <w:rPr>
                <w:color w:val="000000"/>
              </w:rPr>
              <w:t>900,48</w:t>
            </w:r>
          </w:p>
        </w:tc>
      </w:tr>
      <w:tr w:rsidR="008D6774" w:rsidRPr="00687DE8" w14:paraId="452E0132"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2EF004" w14:textId="77777777" w:rsidR="008D6774" w:rsidRPr="00687DE8" w:rsidRDefault="008D6774" w:rsidP="008D6774">
            <w:pPr>
              <w:spacing w:after="0" w:line="240" w:lineRule="auto"/>
              <w:rPr>
                <w:szCs w:val="24"/>
              </w:rPr>
            </w:pPr>
            <w:r w:rsidRPr="00687DE8">
              <w:rPr>
                <w:szCs w:val="24"/>
              </w:rPr>
              <w:t>Laparoskoopiline rektopeksia või anaalsfinktri plastika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BA9E33" w14:textId="77777777" w:rsidR="008D6774" w:rsidRPr="00687DE8" w:rsidRDefault="008D6774" w:rsidP="008D6774">
            <w:pPr>
              <w:spacing w:after="0" w:line="240" w:lineRule="auto"/>
              <w:jc w:val="center"/>
              <w:rPr>
                <w:szCs w:val="24"/>
              </w:rPr>
            </w:pPr>
            <w:r w:rsidRPr="00687DE8">
              <w:rPr>
                <w:szCs w:val="24"/>
              </w:rPr>
              <w:t>0J2216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23FCD9" w14:textId="26911ABD" w:rsidR="5C683982" w:rsidRPr="00687DE8" w:rsidRDefault="0001177F">
            <w:pPr>
              <w:spacing w:after="0"/>
              <w:jc w:val="center"/>
              <w:rPr>
                <w:color w:val="000000" w:themeColor="text1"/>
                <w:szCs w:val="24"/>
              </w:rPr>
            </w:pPr>
            <w:r>
              <w:rPr>
                <w:color w:val="000000"/>
              </w:rPr>
              <w:t>1 494,24</w:t>
            </w:r>
          </w:p>
        </w:tc>
      </w:tr>
      <w:tr w:rsidR="008D6774" w:rsidRPr="00687DE8" w14:paraId="2C2DE038"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F0B648" w14:textId="77777777" w:rsidR="008D6774" w:rsidRPr="00687DE8" w:rsidRDefault="008D6774" w:rsidP="008D6774">
            <w:pPr>
              <w:spacing w:after="0" w:line="240" w:lineRule="auto"/>
              <w:rPr>
                <w:szCs w:val="24"/>
              </w:rPr>
            </w:pPr>
            <w:r w:rsidRPr="00687DE8">
              <w:rPr>
                <w:szCs w:val="24"/>
              </w:rPr>
              <w:t>Naba-, kubeme- või reiesonga 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8D96D5" w14:textId="77777777" w:rsidR="008D6774" w:rsidRPr="00687DE8" w:rsidRDefault="008D6774" w:rsidP="008D6774">
            <w:pPr>
              <w:spacing w:after="0" w:line="240" w:lineRule="auto"/>
              <w:jc w:val="center"/>
              <w:rPr>
                <w:szCs w:val="24"/>
              </w:rPr>
            </w:pPr>
            <w:r w:rsidRPr="00687DE8">
              <w:rPr>
                <w:szCs w:val="24"/>
              </w:rPr>
              <w:t>0J2115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861851" w14:textId="27BB974F" w:rsidR="5C683982" w:rsidRPr="00687DE8" w:rsidRDefault="0001177F">
            <w:pPr>
              <w:spacing w:after="0"/>
              <w:jc w:val="center"/>
              <w:rPr>
                <w:color w:val="000000" w:themeColor="text1"/>
                <w:szCs w:val="24"/>
              </w:rPr>
            </w:pPr>
            <w:r>
              <w:rPr>
                <w:color w:val="000000"/>
              </w:rPr>
              <w:t>574,17</w:t>
            </w:r>
          </w:p>
        </w:tc>
      </w:tr>
      <w:tr w:rsidR="008D6774" w:rsidRPr="00687DE8" w14:paraId="38595FCA"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FF8887" w14:textId="77777777" w:rsidR="008D6774" w:rsidRPr="00687DE8" w:rsidRDefault="008D6774" w:rsidP="008D6774">
            <w:pPr>
              <w:spacing w:after="0" w:line="240" w:lineRule="auto"/>
              <w:rPr>
                <w:szCs w:val="24"/>
              </w:rPr>
            </w:pPr>
            <w:r w:rsidRPr="00687DE8">
              <w:rPr>
                <w:szCs w:val="24"/>
              </w:rPr>
              <w:t>Laparoskoopiline naba-, kubeme- või reiesonga 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25881F" w14:textId="77777777" w:rsidR="008D6774" w:rsidRPr="00687DE8" w:rsidRDefault="008D6774" w:rsidP="008D6774">
            <w:pPr>
              <w:spacing w:after="0" w:line="240" w:lineRule="auto"/>
              <w:jc w:val="center"/>
              <w:rPr>
                <w:szCs w:val="24"/>
              </w:rPr>
            </w:pPr>
            <w:r w:rsidRPr="00687DE8">
              <w:rPr>
                <w:szCs w:val="24"/>
              </w:rPr>
              <w:t>0J2217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F6A14F" w14:textId="62A87296" w:rsidR="5C683982" w:rsidRPr="00687DE8" w:rsidRDefault="0001177F">
            <w:pPr>
              <w:spacing w:after="0"/>
              <w:jc w:val="center"/>
              <w:rPr>
                <w:color w:val="000000" w:themeColor="text1"/>
                <w:szCs w:val="24"/>
              </w:rPr>
            </w:pPr>
            <w:r>
              <w:rPr>
                <w:color w:val="000000"/>
              </w:rPr>
              <w:t>706,02</w:t>
            </w:r>
          </w:p>
        </w:tc>
      </w:tr>
      <w:tr w:rsidR="008D6774" w:rsidRPr="00687DE8" w14:paraId="28ECB478"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BCA452" w14:textId="77777777" w:rsidR="008D6774" w:rsidRPr="00687DE8" w:rsidRDefault="008D6774" w:rsidP="008D6774">
            <w:pPr>
              <w:spacing w:after="0" w:line="240" w:lineRule="auto"/>
              <w:rPr>
                <w:szCs w:val="24"/>
              </w:rPr>
            </w:pPr>
            <w:r w:rsidRPr="00687DE8">
              <w:rPr>
                <w:szCs w:val="24"/>
              </w:rPr>
              <w:t>Muu kõhuseina songa 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F8B2C1" w14:textId="77777777" w:rsidR="008D6774" w:rsidRPr="00687DE8" w:rsidRDefault="008D6774" w:rsidP="008D6774">
            <w:pPr>
              <w:spacing w:after="0" w:line="240" w:lineRule="auto"/>
              <w:jc w:val="center"/>
              <w:rPr>
                <w:szCs w:val="24"/>
              </w:rPr>
            </w:pPr>
            <w:r w:rsidRPr="00687DE8">
              <w:rPr>
                <w:szCs w:val="24"/>
              </w:rPr>
              <w:t>0J2116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D59477" w14:textId="7340C9DE" w:rsidR="5C683982" w:rsidRPr="00687DE8" w:rsidRDefault="0001177F">
            <w:pPr>
              <w:spacing w:after="0"/>
              <w:jc w:val="center"/>
              <w:rPr>
                <w:color w:val="000000" w:themeColor="text1"/>
                <w:szCs w:val="24"/>
              </w:rPr>
            </w:pPr>
            <w:r>
              <w:rPr>
                <w:color w:val="000000"/>
              </w:rPr>
              <w:t>917,56</w:t>
            </w:r>
          </w:p>
        </w:tc>
      </w:tr>
      <w:tr w:rsidR="008D6774" w:rsidRPr="00687DE8" w14:paraId="3C50D44C"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D41C70" w14:textId="77777777" w:rsidR="008D6774" w:rsidRPr="00687DE8" w:rsidRDefault="008D6774" w:rsidP="008D6774">
            <w:pPr>
              <w:spacing w:after="0" w:line="240" w:lineRule="auto"/>
              <w:rPr>
                <w:szCs w:val="24"/>
              </w:rPr>
            </w:pPr>
            <w:r w:rsidRPr="00687DE8">
              <w:rPr>
                <w:szCs w:val="24"/>
              </w:rPr>
              <w:t>Muu kõhuseina songa laparoskoopiline 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53BB0C" w14:textId="77777777" w:rsidR="008D6774" w:rsidRPr="00687DE8" w:rsidRDefault="008D6774" w:rsidP="008D6774">
            <w:pPr>
              <w:spacing w:after="0" w:line="240" w:lineRule="auto"/>
              <w:jc w:val="center"/>
              <w:rPr>
                <w:szCs w:val="24"/>
              </w:rPr>
            </w:pPr>
            <w:r w:rsidRPr="00687DE8">
              <w:rPr>
                <w:szCs w:val="24"/>
              </w:rPr>
              <w:t>0J2218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A8D3B0" w14:textId="178D40A3" w:rsidR="5C683982" w:rsidRPr="00687DE8" w:rsidRDefault="0001177F">
            <w:pPr>
              <w:spacing w:after="0"/>
              <w:jc w:val="center"/>
              <w:rPr>
                <w:color w:val="000000" w:themeColor="text1"/>
                <w:szCs w:val="24"/>
              </w:rPr>
            </w:pPr>
            <w:r>
              <w:rPr>
                <w:color w:val="000000"/>
              </w:rPr>
              <w:t>1 213,29</w:t>
            </w:r>
          </w:p>
        </w:tc>
      </w:tr>
      <w:tr w:rsidR="008D6774" w:rsidRPr="00687DE8" w14:paraId="1320277A"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ED4786" w14:textId="77777777" w:rsidR="008D6774" w:rsidRPr="00687DE8" w:rsidRDefault="008D6774" w:rsidP="008D6774">
            <w:pPr>
              <w:spacing w:after="0" w:line="240" w:lineRule="auto"/>
              <w:rPr>
                <w:szCs w:val="24"/>
              </w:rPr>
            </w:pPr>
            <w:r w:rsidRPr="00687DE8">
              <w:rPr>
                <w:szCs w:val="24"/>
              </w:rPr>
              <w:t>Operatsioon seedetrakti või kõhuseinte väärarengute puhul vastsündinul</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DD7FF9" w14:textId="77777777" w:rsidR="008D6774" w:rsidRPr="00687DE8" w:rsidRDefault="008D6774" w:rsidP="008D6774">
            <w:pPr>
              <w:spacing w:after="0" w:line="240" w:lineRule="auto"/>
              <w:jc w:val="center"/>
              <w:rPr>
                <w:szCs w:val="24"/>
              </w:rPr>
            </w:pPr>
          </w:p>
          <w:p w14:paraId="0C835850" w14:textId="77777777" w:rsidR="008D6774" w:rsidRPr="00687DE8" w:rsidRDefault="008D6774" w:rsidP="008D6774">
            <w:pPr>
              <w:spacing w:after="0" w:line="240" w:lineRule="auto"/>
              <w:jc w:val="center"/>
              <w:rPr>
                <w:szCs w:val="24"/>
              </w:rPr>
            </w:pPr>
            <w:r w:rsidRPr="00687DE8">
              <w:rPr>
                <w:szCs w:val="24"/>
              </w:rPr>
              <w:t>0J2103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E9173D" w14:textId="20F571C7" w:rsidR="5C683982" w:rsidRPr="00687DE8" w:rsidRDefault="0001177F">
            <w:pPr>
              <w:spacing w:after="0"/>
              <w:jc w:val="center"/>
              <w:rPr>
                <w:color w:val="000000" w:themeColor="text1"/>
                <w:szCs w:val="24"/>
              </w:rPr>
            </w:pPr>
            <w:r>
              <w:rPr>
                <w:color w:val="000000"/>
              </w:rPr>
              <w:t>789,99</w:t>
            </w:r>
          </w:p>
        </w:tc>
      </w:tr>
      <w:tr w:rsidR="008D6774" w:rsidRPr="00687DE8" w14:paraId="78D9AB5F"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972BE4" w14:textId="77777777" w:rsidR="008D6774" w:rsidRPr="00687DE8" w:rsidRDefault="008D6774" w:rsidP="008D6774">
            <w:pPr>
              <w:spacing w:after="0" w:line="240" w:lineRule="auto"/>
              <w:rPr>
                <w:szCs w:val="24"/>
              </w:rPr>
            </w:pPr>
            <w:r w:rsidRPr="00687DE8">
              <w:rPr>
                <w:szCs w:val="24"/>
              </w:rPr>
              <w:t xml:space="preserve">Rippuva kõhunahavoldi plastiline operatsioon </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7BA8FC" w14:textId="77777777" w:rsidR="008D6774" w:rsidRPr="00687DE8" w:rsidRDefault="008D6774" w:rsidP="008D6774">
            <w:pPr>
              <w:spacing w:after="0" w:line="240" w:lineRule="auto"/>
              <w:jc w:val="center"/>
              <w:rPr>
                <w:szCs w:val="24"/>
              </w:rPr>
            </w:pPr>
            <w:r w:rsidRPr="00687DE8">
              <w:rPr>
                <w:szCs w:val="24"/>
              </w:rPr>
              <w:t xml:space="preserve">1J2133 </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68A4CD" w14:textId="031A9A7E" w:rsidR="5C683982" w:rsidRPr="00687DE8" w:rsidRDefault="0001177F">
            <w:pPr>
              <w:spacing w:after="0"/>
              <w:jc w:val="center"/>
              <w:rPr>
                <w:color w:val="000000" w:themeColor="text1"/>
                <w:szCs w:val="24"/>
              </w:rPr>
            </w:pPr>
            <w:r>
              <w:rPr>
                <w:color w:val="000000"/>
              </w:rPr>
              <w:t>1 362,44</w:t>
            </w:r>
          </w:p>
        </w:tc>
      </w:tr>
      <w:tr w:rsidR="008D6774" w:rsidRPr="00687DE8" w14:paraId="4ABFA8CD"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904456" w14:textId="77777777" w:rsidR="008D6774" w:rsidRPr="00687DE8" w:rsidRDefault="008D6774" w:rsidP="008D6774">
            <w:pPr>
              <w:spacing w:after="0" w:line="240" w:lineRule="auto"/>
              <w:rPr>
                <w:szCs w:val="24"/>
              </w:rPr>
            </w:pPr>
            <w:r w:rsidRPr="00687DE8">
              <w:rPr>
                <w:szCs w:val="24"/>
              </w:rPr>
              <w:t>Operatsioon kõhukoopa elundite mitmikvigastuse puhul</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9A7594" w14:textId="77777777" w:rsidR="008D6774" w:rsidRPr="00687DE8" w:rsidRDefault="008D6774" w:rsidP="008D6774">
            <w:pPr>
              <w:spacing w:after="0" w:line="240" w:lineRule="auto"/>
              <w:jc w:val="center"/>
              <w:rPr>
                <w:szCs w:val="24"/>
              </w:rPr>
            </w:pPr>
            <w:r w:rsidRPr="00687DE8">
              <w:rPr>
                <w:szCs w:val="24"/>
              </w:rPr>
              <w:t>0J2132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52B76B" w14:textId="2EA573EB" w:rsidR="5C683982" w:rsidRPr="00687DE8" w:rsidRDefault="0001177F">
            <w:pPr>
              <w:spacing w:after="0"/>
              <w:jc w:val="center"/>
              <w:rPr>
                <w:color w:val="000000" w:themeColor="text1"/>
                <w:szCs w:val="24"/>
              </w:rPr>
            </w:pPr>
            <w:r>
              <w:rPr>
                <w:color w:val="000000"/>
              </w:rPr>
              <w:t>1 408,15</w:t>
            </w:r>
          </w:p>
        </w:tc>
      </w:tr>
      <w:tr w:rsidR="008D6774" w:rsidRPr="00687DE8" w14:paraId="2CB33642"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BBA52D" w14:textId="77777777" w:rsidR="008D6774" w:rsidRPr="00687DE8" w:rsidRDefault="008D6774" w:rsidP="008D6774">
            <w:pPr>
              <w:spacing w:after="0" w:line="240" w:lineRule="auto"/>
              <w:rPr>
                <w:szCs w:val="24"/>
              </w:rPr>
            </w:pPr>
            <w:r w:rsidRPr="00687DE8">
              <w:rPr>
                <w:szCs w:val="24"/>
              </w:rPr>
              <w:t>Laparoskoopiline operatsioon kõhukoopa elundite mitmikvigastuse puhul</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BC8DFB" w14:textId="77777777" w:rsidR="008D6774" w:rsidRPr="00687DE8" w:rsidRDefault="008D6774" w:rsidP="008D6774">
            <w:pPr>
              <w:spacing w:after="0" w:line="240" w:lineRule="auto"/>
              <w:jc w:val="center"/>
              <w:rPr>
                <w:szCs w:val="24"/>
              </w:rPr>
            </w:pPr>
          </w:p>
          <w:p w14:paraId="2E9FBFD5" w14:textId="77777777" w:rsidR="008D6774" w:rsidRPr="00687DE8" w:rsidRDefault="008D6774" w:rsidP="008D6774">
            <w:pPr>
              <w:spacing w:after="0" w:line="240" w:lineRule="auto"/>
              <w:jc w:val="center"/>
              <w:rPr>
                <w:szCs w:val="24"/>
              </w:rPr>
            </w:pPr>
            <w:r w:rsidRPr="00687DE8">
              <w:rPr>
                <w:szCs w:val="24"/>
              </w:rPr>
              <w:t>0J2219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C17564" w14:textId="1C5CD54B" w:rsidR="5C683982" w:rsidRPr="00687DE8" w:rsidRDefault="0001177F">
            <w:pPr>
              <w:spacing w:after="0"/>
              <w:jc w:val="center"/>
              <w:rPr>
                <w:color w:val="000000" w:themeColor="text1"/>
                <w:szCs w:val="24"/>
              </w:rPr>
            </w:pPr>
            <w:r>
              <w:rPr>
                <w:color w:val="000000"/>
              </w:rPr>
              <w:t>1 436,20</w:t>
            </w:r>
          </w:p>
        </w:tc>
      </w:tr>
      <w:tr w:rsidR="008D6774" w:rsidRPr="00687DE8" w14:paraId="3674FF3D"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354A48" w14:textId="77777777" w:rsidR="008D6774" w:rsidRPr="00687DE8" w:rsidRDefault="008D6774" w:rsidP="008D6774">
            <w:pPr>
              <w:spacing w:after="0" w:line="240" w:lineRule="auto"/>
              <w:rPr>
                <w:szCs w:val="24"/>
              </w:rPr>
            </w:pPr>
            <w:r w:rsidRPr="00687DE8">
              <w:rPr>
                <w:szCs w:val="24"/>
              </w:rPr>
              <w:lastRenderedPageBreak/>
              <w:t>Laparotoomia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6F90DD" w14:textId="77777777" w:rsidR="008D6774" w:rsidRPr="00687DE8" w:rsidRDefault="008D6774" w:rsidP="008D6774">
            <w:pPr>
              <w:spacing w:after="0" w:line="240" w:lineRule="auto"/>
              <w:jc w:val="center"/>
              <w:rPr>
                <w:szCs w:val="24"/>
              </w:rPr>
            </w:pPr>
            <w:r w:rsidRPr="00687DE8">
              <w:rPr>
                <w:szCs w:val="24"/>
              </w:rPr>
              <w:t>0J2102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49DDC2" w14:textId="306F5D56" w:rsidR="5C683982" w:rsidRPr="00687DE8" w:rsidRDefault="0001177F">
            <w:pPr>
              <w:spacing w:after="0"/>
              <w:jc w:val="center"/>
              <w:rPr>
                <w:color w:val="000000" w:themeColor="text1"/>
                <w:szCs w:val="24"/>
              </w:rPr>
            </w:pPr>
            <w:r>
              <w:rPr>
                <w:color w:val="000000"/>
              </w:rPr>
              <w:t>633,49</w:t>
            </w:r>
          </w:p>
        </w:tc>
      </w:tr>
      <w:tr w:rsidR="008D6774" w:rsidRPr="00687DE8" w14:paraId="6637709D"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708A7C" w14:textId="77777777" w:rsidR="008D6774" w:rsidRPr="00687DE8" w:rsidRDefault="008D6774" w:rsidP="008D6774">
            <w:pPr>
              <w:spacing w:after="0" w:line="240" w:lineRule="auto"/>
              <w:rPr>
                <w:szCs w:val="24"/>
              </w:rPr>
            </w:pPr>
            <w:r w:rsidRPr="00687DE8">
              <w:rPr>
                <w:szCs w:val="24"/>
              </w:rPr>
              <w:t>Laparoskoopia (diagnostiline)</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7D8593" w14:textId="77777777" w:rsidR="008D6774" w:rsidRPr="00687DE8" w:rsidRDefault="008D6774" w:rsidP="008D6774">
            <w:pPr>
              <w:spacing w:after="0" w:line="240" w:lineRule="auto"/>
              <w:jc w:val="center"/>
              <w:rPr>
                <w:szCs w:val="24"/>
              </w:rPr>
            </w:pPr>
            <w:r w:rsidRPr="00687DE8">
              <w:rPr>
                <w:szCs w:val="24"/>
              </w:rPr>
              <w:t>0J2220</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FB35E6" w14:textId="3B5C83D5" w:rsidR="5C683982" w:rsidRPr="00687DE8" w:rsidRDefault="0001177F">
            <w:pPr>
              <w:spacing w:after="0"/>
              <w:jc w:val="center"/>
              <w:rPr>
                <w:color w:val="000000" w:themeColor="text1"/>
                <w:szCs w:val="24"/>
              </w:rPr>
            </w:pPr>
            <w:r>
              <w:rPr>
                <w:color w:val="000000"/>
              </w:rPr>
              <w:t>449,74</w:t>
            </w:r>
          </w:p>
        </w:tc>
      </w:tr>
      <w:tr w:rsidR="008D6774" w:rsidRPr="00687DE8" w14:paraId="5B804717"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E8196A" w14:textId="77777777" w:rsidR="008D6774" w:rsidRPr="00687DE8" w:rsidRDefault="008D6774" w:rsidP="008D6774">
            <w:pPr>
              <w:spacing w:after="0" w:line="240" w:lineRule="auto"/>
              <w:rPr>
                <w:szCs w:val="24"/>
              </w:rPr>
            </w:pPr>
            <w:r w:rsidRPr="00687DE8">
              <w:rPr>
                <w:szCs w:val="24"/>
              </w:rPr>
              <w:t>Varikotseele-, hüdrotseeleoperatsioon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23E44E" w14:textId="77777777" w:rsidR="008D6774" w:rsidRPr="00687DE8" w:rsidRDefault="008D6774" w:rsidP="008D6774">
            <w:pPr>
              <w:spacing w:after="0" w:line="240" w:lineRule="auto"/>
              <w:jc w:val="center"/>
              <w:rPr>
                <w:szCs w:val="24"/>
              </w:rPr>
            </w:pPr>
            <w:r w:rsidRPr="00687DE8">
              <w:rPr>
                <w:szCs w:val="24"/>
              </w:rPr>
              <w:t>0K2101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0BCEEF" w14:textId="673A692E" w:rsidR="5C683982" w:rsidRPr="00687DE8" w:rsidRDefault="0001177F">
            <w:pPr>
              <w:spacing w:after="0"/>
              <w:jc w:val="center"/>
              <w:rPr>
                <w:color w:val="000000" w:themeColor="text1"/>
                <w:szCs w:val="24"/>
              </w:rPr>
            </w:pPr>
            <w:r>
              <w:rPr>
                <w:color w:val="000000"/>
              </w:rPr>
              <w:t>451,73</w:t>
            </w:r>
          </w:p>
        </w:tc>
      </w:tr>
      <w:tr w:rsidR="008D6774" w:rsidRPr="00687DE8" w14:paraId="0A29B105"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341DA3" w14:textId="77777777" w:rsidR="008D6774" w:rsidRPr="00687DE8" w:rsidRDefault="008D6774" w:rsidP="008D6774">
            <w:pPr>
              <w:spacing w:after="0" w:line="240" w:lineRule="auto"/>
              <w:rPr>
                <w:szCs w:val="24"/>
              </w:rPr>
            </w:pPr>
            <w:r w:rsidRPr="00687DE8">
              <w:rPr>
                <w:szCs w:val="24"/>
              </w:rPr>
              <w:t>Retroperitoneaaltuumori eemaldamine</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61DFB6" w14:textId="77777777" w:rsidR="008D6774" w:rsidRPr="00687DE8" w:rsidRDefault="008D6774" w:rsidP="008D6774">
            <w:pPr>
              <w:spacing w:after="0" w:line="240" w:lineRule="auto"/>
              <w:jc w:val="center"/>
              <w:rPr>
                <w:szCs w:val="24"/>
              </w:rPr>
            </w:pPr>
            <w:r w:rsidRPr="00687DE8">
              <w:rPr>
                <w:szCs w:val="24"/>
              </w:rPr>
              <w:t>0K2103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E4F0FE" w14:textId="46E1EBA4" w:rsidR="5C683982" w:rsidRPr="00687DE8" w:rsidRDefault="0001177F">
            <w:pPr>
              <w:spacing w:after="0"/>
              <w:jc w:val="center"/>
              <w:rPr>
                <w:color w:val="000000" w:themeColor="text1"/>
                <w:szCs w:val="24"/>
              </w:rPr>
            </w:pPr>
            <w:r>
              <w:rPr>
                <w:color w:val="000000"/>
              </w:rPr>
              <w:t>1 524,00</w:t>
            </w:r>
          </w:p>
        </w:tc>
      </w:tr>
      <w:tr w:rsidR="008D6774" w:rsidRPr="00687DE8" w14:paraId="134C9504"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78B640" w14:textId="77777777" w:rsidR="008D6774" w:rsidRPr="00687DE8" w:rsidRDefault="008D6774" w:rsidP="008D6774">
            <w:pPr>
              <w:spacing w:after="0" w:line="240" w:lineRule="auto"/>
              <w:rPr>
                <w:szCs w:val="24"/>
              </w:rPr>
            </w:pPr>
            <w:r w:rsidRPr="00687DE8">
              <w:rPr>
                <w:szCs w:val="24"/>
              </w:rPr>
              <w:t>Laparoskoopiline retroperitoneaaltuumori eemaldamine</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F4B73E" w14:textId="77777777" w:rsidR="008D6774" w:rsidRPr="00687DE8" w:rsidRDefault="008D6774" w:rsidP="008D6774">
            <w:pPr>
              <w:spacing w:after="0" w:line="240" w:lineRule="auto"/>
              <w:jc w:val="center"/>
              <w:rPr>
                <w:szCs w:val="24"/>
              </w:rPr>
            </w:pPr>
            <w:r w:rsidRPr="00687DE8">
              <w:rPr>
                <w:szCs w:val="24"/>
              </w:rPr>
              <w:t>0K2201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2A1F08" w14:textId="6419DBED" w:rsidR="5C683982" w:rsidRPr="00687DE8" w:rsidRDefault="0001177F">
            <w:pPr>
              <w:spacing w:after="0"/>
              <w:jc w:val="center"/>
              <w:rPr>
                <w:color w:val="000000" w:themeColor="text1"/>
                <w:szCs w:val="24"/>
              </w:rPr>
            </w:pPr>
            <w:r>
              <w:rPr>
                <w:color w:val="000000"/>
              </w:rPr>
              <w:t>2 414,69</w:t>
            </w:r>
          </w:p>
        </w:tc>
      </w:tr>
      <w:tr w:rsidR="008D6774" w:rsidRPr="00687DE8" w14:paraId="4FD8B639"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FD6409" w14:textId="77777777" w:rsidR="008D6774" w:rsidRPr="00687DE8" w:rsidRDefault="008D6774" w:rsidP="008D6774">
            <w:pPr>
              <w:spacing w:after="0" w:line="240" w:lineRule="auto"/>
              <w:rPr>
                <w:szCs w:val="24"/>
              </w:rPr>
            </w:pPr>
            <w:r w:rsidRPr="00687DE8">
              <w:rPr>
                <w:szCs w:val="24"/>
              </w:rPr>
              <w:t>Vaagnapõhjalihaste taastamine</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3A634" w14:textId="77777777" w:rsidR="008D6774" w:rsidRPr="00687DE8" w:rsidRDefault="008D6774" w:rsidP="008D6774">
            <w:pPr>
              <w:spacing w:after="0" w:line="240" w:lineRule="auto"/>
              <w:jc w:val="center"/>
              <w:rPr>
                <w:szCs w:val="24"/>
              </w:rPr>
            </w:pPr>
            <w:r w:rsidRPr="00687DE8">
              <w:rPr>
                <w:szCs w:val="24"/>
              </w:rPr>
              <w:t>0L2101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720EAF" w14:textId="4F16FBC6" w:rsidR="5C683982" w:rsidRPr="00687DE8" w:rsidRDefault="0001177F">
            <w:pPr>
              <w:spacing w:after="0"/>
              <w:jc w:val="center"/>
              <w:rPr>
                <w:color w:val="000000" w:themeColor="text1"/>
                <w:szCs w:val="24"/>
              </w:rPr>
            </w:pPr>
            <w:r>
              <w:rPr>
                <w:color w:val="000000"/>
              </w:rPr>
              <w:t>494,26</w:t>
            </w:r>
          </w:p>
        </w:tc>
      </w:tr>
      <w:tr w:rsidR="008D6774" w:rsidRPr="00687DE8" w14:paraId="2C5DFFE5"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D39714" w14:textId="77777777" w:rsidR="008D6774" w:rsidRPr="00687DE8" w:rsidRDefault="008D6774" w:rsidP="008D6774">
            <w:pPr>
              <w:spacing w:after="0" w:line="240" w:lineRule="auto"/>
              <w:rPr>
                <w:szCs w:val="24"/>
              </w:rPr>
            </w:pPr>
            <w:r w:rsidRPr="00687DE8">
              <w:rPr>
                <w:szCs w:val="24"/>
              </w:rPr>
              <w:t>Sõrme või varba amputatsioon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57A319" w14:textId="77777777" w:rsidR="008D6774" w:rsidRPr="00687DE8" w:rsidRDefault="008D6774" w:rsidP="008D6774">
            <w:pPr>
              <w:spacing w:after="0" w:line="240" w:lineRule="auto"/>
              <w:jc w:val="center"/>
              <w:rPr>
                <w:szCs w:val="24"/>
              </w:rPr>
            </w:pPr>
            <w:r w:rsidRPr="00687DE8">
              <w:rPr>
                <w:szCs w:val="24"/>
              </w:rPr>
              <w:t>0N2101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E3198F" w14:textId="3FC5AB41" w:rsidR="5C683982" w:rsidRPr="00687DE8" w:rsidRDefault="0001177F">
            <w:pPr>
              <w:spacing w:after="0"/>
              <w:jc w:val="center"/>
              <w:rPr>
                <w:color w:val="000000" w:themeColor="text1"/>
                <w:szCs w:val="24"/>
              </w:rPr>
            </w:pPr>
            <w:r>
              <w:rPr>
                <w:color w:val="000000"/>
              </w:rPr>
              <w:t>274,01</w:t>
            </w:r>
          </w:p>
        </w:tc>
      </w:tr>
      <w:tr w:rsidR="008D6774" w:rsidRPr="00687DE8" w14:paraId="0C5A2BE6"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2EBA1A" w14:textId="77777777" w:rsidR="008D6774" w:rsidRPr="00687DE8" w:rsidRDefault="008D6774" w:rsidP="008D6774">
            <w:pPr>
              <w:spacing w:after="0" w:line="240" w:lineRule="auto"/>
              <w:rPr>
                <w:szCs w:val="24"/>
              </w:rPr>
            </w:pPr>
            <w:r w:rsidRPr="00687DE8">
              <w:rPr>
                <w:szCs w:val="24"/>
              </w:rPr>
              <w:t>Reie, sääre või pöia amputatsioon</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A63CFA" w14:textId="77777777" w:rsidR="008D6774" w:rsidRPr="00687DE8" w:rsidRDefault="008D6774" w:rsidP="008D6774">
            <w:pPr>
              <w:spacing w:after="0" w:line="240" w:lineRule="auto"/>
              <w:jc w:val="center"/>
              <w:rPr>
                <w:szCs w:val="24"/>
              </w:rPr>
            </w:pPr>
            <w:r w:rsidRPr="00687DE8">
              <w:rPr>
                <w:szCs w:val="24"/>
              </w:rPr>
              <w:t>0N2102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9E665E" w14:textId="1D47ABAA" w:rsidR="5C683982" w:rsidRPr="00687DE8" w:rsidRDefault="0001177F">
            <w:pPr>
              <w:spacing w:after="0"/>
              <w:jc w:val="center"/>
              <w:rPr>
                <w:color w:val="000000" w:themeColor="text1"/>
                <w:szCs w:val="24"/>
              </w:rPr>
            </w:pPr>
            <w:r>
              <w:rPr>
                <w:color w:val="000000"/>
              </w:rPr>
              <w:t>602,58</w:t>
            </w:r>
          </w:p>
        </w:tc>
      </w:tr>
      <w:tr w:rsidR="008D6774" w:rsidRPr="00687DE8" w14:paraId="54B595C1"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52D2F2" w14:textId="77777777" w:rsidR="008D6774" w:rsidRPr="00687DE8" w:rsidRDefault="008D6774" w:rsidP="008D6774">
            <w:pPr>
              <w:spacing w:after="0" w:line="240" w:lineRule="auto"/>
              <w:rPr>
                <w:szCs w:val="24"/>
              </w:rPr>
            </w:pPr>
            <w:r w:rsidRPr="00687DE8">
              <w:rPr>
                <w:szCs w:val="24"/>
              </w:rPr>
              <w:t>Võõrkeha eemaldamine pehmetest kudedest</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737730" w14:textId="77777777" w:rsidR="008D6774" w:rsidRPr="00687DE8" w:rsidRDefault="008D6774" w:rsidP="008D6774">
            <w:pPr>
              <w:spacing w:after="0" w:line="240" w:lineRule="auto"/>
              <w:jc w:val="center"/>
              <w:rPr>
                <w:szCs w:val="24"/>
              </w:rPr>
            </w:pPr>
            <w:r w:rsidRPr="00687DE8">
              <w:rPr>
                <w:szCs w:val="24"/>
              </w:rPr>
              <w:t>0N2103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21C606" w14:textId="6191646F" w:rsidR="5C683982" w:rsidRPr="00687DE8" w:rsidRDefault="0001177F">
            <w:pPr>
              <w:spacing w:after="0"/>
              <w:jc w:val="center"/>
              <w:rPr>
                <w:color w:val="000000" w:themeColor="text1"/>
                <w:szCs w:val="24"/>
              </w:rPr>
            </w:pPr>
            <w:r>
              <w:rPr>
                <w:color w:val="000000"/>
              </w:rPr>
              <w:t>321,67</w:t>
            </w:r>
          </w:p>
        </w:tc>
      </w:tr>
      <w:tr w:rsidR="008D6774" w:rsidRPr="00687DE8" w14:paraId="67C2DCE4"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3EFE07" w14:textId="77777777" w:rsidR="008D6774" w:rsidRPr="00687DE8" w:rsidRDefault="008D6774" w:rsidP="008D6774">
            <w:pPr>
              <w:spacing w:after="0" w:line="240" w:lineRule="auto"/>
              <w:rPr>
                <w:szCs w:val="24"/>
              </w:rPr>
            </w:pPr>
            <w:r w:rsidRPr="00687DE8">
              <w:rPr>
                <w:szCs w:val="24"/>
              </w:rPr>
              <w:t>Lümfadenektoomia kaelal, aksillaarpiirkonnas või kubemes</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A4487A" w14:textId="77777777" w:rsidR="008D6774" w:rsidRPr="00687DE8" w:rsidRDefault="008D6774" w:rsidP="008D6774">
            <w:pPr>
              <w:spacing w:after="0" w:line="240" w:lineRule="auto"/>
              <w:jc w:val="center"/>
              <w:rPr>
                <w:szCs w:val="24"/>
              </w:rPr>
            </w:pPr>
            <w:r w:rsidRPr="00687DE8">
              <w:rPr>
                <w:szCs w:val="24"/>
              </w:rPr>
              <w:t>0P2101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D7BA59" w14:textId="21C6E1B3" w:rsidR="5C683982" w:rsidRPr="00687DE8" w:rsidRDefault="0001177F">
            <w:pPr>
              <w:spacing w:after="0"/>
              <w:jc w:val="center"/>
              <w:rPr>
                <w:color w:val="000000" w:themeColor="text1"/>
                <w:szCs w:val="24"/>
              </w:rPr>
            </w:pPr>
            <w:r>
              <w:rPr>
                <w:color w:val="000000"/>
              </w:rPr>
              <w:t>626,74</w:t>
            </w:r>
          </w:p>
        </w:tc>
      </w:tr>
      <w:tr w:rsidR="008D6774" w:rsidRPr="00687DE8" w14:paraId="28279F63"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A1057F" w14:textId="77777777" w:rsidR="008D6774" w:rsidRPr="00687DE8" w:rsidRDefault="008D6774" w:rsidP="008D6774">
            <w:pPr>
              <w:spacing w:after="0" w:line="240" w:lineRule="auto"/>
              <w:rPr>
                <w:szCs w:val="24"/>
              </w:rPr>
            </w:pPr>
            <w:r w:rsidRPr="00687DE8">
              <w:rPr>
                <w:szCs w:val="24"/>
              </w:rPr>
              <w:t>Endoskoopline operatsioon kaelal ja aksillaarpiirkonnas</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5CBDD6" w14:textId="77777777" w:rsidR="008D6774" w:rsidRPr="00687DE8" w:rsidRDefault="008D6774" w:rsidP="008D6774">
            <w:pPr>
              <w:spacing w:after="0" w:line="240" w:lineRule="auto"/>
              <w:jc w:val="center"/>
              <w:rPr>
                <w:szCs w:val="24"/>
              </w:rPr>
            </w:pPr>
            <w:r w:rsidRPr="00687DE8">
              <w:rPr>
                <w:szCs w:val="24"/>
              </w:rPr>
              <w:t>0P2201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8EF504" w14:textId="65CD4EAA" w:rsidR="5C683982" w:rsidRPr="00687DE8" w:rsidRDefault="0001177F">
            <w:pPr>
              <w:spacing w:after="0"/>
              <w:jc w:val="center"/>
              <w:rPr>
                <w:color w:val="000000" w:themeColor="text1"/>
                <w:szCs w:val="24"/>
              </w:rPr>
            </w:pPr>
            <w:r>
              <w:rPr>
                <w:color w:val="000000"/>
              </w:rPr>
              <w:t>1 337,90</w:t>
            </w:r>
          </w:p>
        </w:tc>
      </w:tr>
      <w:tr w:rsidR="008D6774" w:rsidRPr="00687DE8" w14:paraId="008F506E"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1A57C2" w14:textId="77777777" w:rsidR="008D6774" w:rsidRPr="00687DE8" w:rsidRDefault="008D6774" w:rsidP="008D6774">
            <w:pPr>
              <w:spacing w:after="0" w:line="240" w:lineRule="auto"/>
              <w:rPr>
                <w:szCs w:val="24"/>
              </w:rPr>
            </w:pPr>
            <w:r w:rsidRPr="00687DE8">
              <w:rPr>
                <w:szCs w:val="24"/>
              </w:rPr>
              <w:t>Amputatsioon või eksartikulatsioon õlast või puusast</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A56931" w14:textId="77777777" w:rsidR="008D6774" w:rsidRPr="00687DE8" w:rsidRDefault="008D6774" w:rsidP="008D6774">
            <w:pPr>
              <w:spacing w:after="0" w:line="240" w:lineRule="auto"/>
              <w:jc w:val="center"/>
              <w:rPr>
                <w:szCs w:val="24"/>
              </w:rPr>
            </w:pPr>
            <w:r w:rsidRPr="00687DE8">
              <w:rPr>
                <w:szCs w:val="24"/>
              </w:rPr>
              <w:t>0P2102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05CD56" w14:textId="104FCA45" w:rsidR="5C683982" w:rsidRPr="00687DE8" w:rsidRDefault="0001177F">
            <w:pPr>
              <w:spacing w:after="0"/>
              <w:jc w:val="center"/>
              <w:rPr>
                <w:color w:val="000000" w:themeColor="text1"/>
                <w:szCs w:val="24"/>
              </w:rPr>
            </w:pPr>
            <w:r>
              <w:rPr>
                <w:color w:val="000000"/>
              </w:rPr>
              <w:t>751,04</w:t>
            </w:r>
          </w:p>
        </w:tc>
      </w:tr>
      <w:tr w:rsidR="008D6774" w:rsidRPr="00687DE8" w14:paraId="22278D2D"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0D36AC" w14:textId="77777777" w:rsidR="008D6774" w:rsidRPr="00687DE8" w:rsidRDefault="008D6774" w:rsidP="008D6774">
            <w:pPr>
              <w:spacing w:after="0" w:line="240" w:lineRule="auto"/>
              <w:rPr>
                <w:szCs w:val="24"/>
              </w:rPr>
            </w:pPr>
            <w:r w:rsidRPr="00687DE8">
              <w:rPr>
                <w:szCs w:val="24"/>
              </w:rPr>
              <w:t>Varikektoomia safenektoomiata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F72C7E" w14:textId="77777777" w:rsidR="008D6774" w:rsidRPr="00687DE8" w:rsidRDefault="008D6774" w:rsidP="008D6774">
            <w:pPr>
              <w:spacing w:after="0" w:line="240" w:lineRule="auto"/>
              <w:jc w:val="center"/>
              <w:rPr>
                <w:szCs w:val="24"/>
              </w:rPr>
            </w:pPr>
            <w:r w:rsidRPr="00687DE8">
              <w:rPr>
                <w:szCs w:val="24"/>
              </w:rPr>
              <w:t>0P2103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63B111" w14:textId="600F6BDE" w:rsidR="5C683982" w:rsidRPr="00687DE8" w:rsidRDefault="0001177F">
            <w:pPr>
              <w:spacing w:after="0"/>
              <w:jc w:val="center"/>
              <w:rPr>
                <w:color w:val="000000" w:themeColor="text1"/>
                <w:szCs w:val="24"/>
              </w:rPr>
            </w:pPr>
            <w:r>
              <w:rPr>
                <w:color w:val="000000"/>
              </w:rPr>
              <w:t>444,44</w:t>
            </w:r>
          </w:p>
        </w:tc>
      </w:tr>
      <w:tr w:rsidR="008D6774" w:rsidRPr="00687DE8" w14:paraId="6A709C0B"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5FC93E" w14:textId="77777777" w:rsidR="008D6774" w:rsidRPr="00687DE8" w:rsidRDefault="008D6774" w:rsidP="008D6774">
            <w:pPr>
              <w:spacing w:after="0" w:line="240" w:lineRule="auto"/>
              <w:rPr>
                <w:szCs w:val="24"/>
              </w:rPr>
            </w:pPr>
            <w:r w:rsidRPr="00687DE8">
              <w:rPr>
                <w:szCs w:val="24"/>
              </w:rPr>
              <w:t>Varikektoomia safenektoomiaga</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B83DD2" w14:textId="77777777" w:rsidR="008D6774" w:rsidRPr="00687DE8" w:rsidRDefault="008D6774" w:rsidP="008D6774">
            <w:pPr>
              <w:spacing w:after="0" w:line="240" w:lineRule="auto"/>
              <w:jc w:val="center"/>
              <w:rPr>
                <w:szCs w:val="24"/>
              </w:rPr>
            </w:pPr>
            <w:r w:rsidRPr="00687DE8">
              <w:rPr>
                <w:szCs w:val="24"/>
              </w:rPr>
              <w:t>0P2104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4CE083" w14:textId="4AAA0355" w:rsidR="5C683982" w:rsidRPr="00687DE8" w:rsidRDefault="0001177F">
            <w:pPr>
              <w:spacing w:after="0"/>
              <w:jc w:val="center"/>
              <w:rPr>
                <w:color w:val="000000" w:themeColor="text1"/>
                <w:szCs w:val="24"/>
              </w:rPr>
            </w:pPr>
            <w:r>
              <w:rPr>
                <w:color w:val="000000"/>
              </w:rPr>
              <w:t>579,21</w:t>
            </w:r>
          </w:p>
        </w:tc>
      </w:tr>
      <w:tr w:rsidR="008D6774" w:rsidRPr="00687DE8" w14:paraId="30DC8C7F"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1F39C5" w14:textId="77777777" w:rsidR="008D6774" w:rsidRPr="00687DE8" w:rsidRDefault="008D6774" w:rsidP="008D6774">
            <w:pPr>
              <w:spacing w:after="0" w:line="240" w:lineRule="auto"/>
              <w:rPr>
                <w:szCs w:val="24"/>
              </w:rPr>
            </w:pPr>
            <w:r w:rsidRPr="00687DE8">
              <w:rPr>
                <w:szCs w:val="24"/>
              </w:rPr>
              <w:t>Naha ja nahaaluskoe kasvaja eemaldamine</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F82A5C" w14:textId="77777777" w:rsidR="008D6774" w:rsidRPr="00687DE8" w:rsidRDefault="008D6774" w:rsidP="008D6774">
            <w:pPr>
              <w:spacing w:after="0" w:line="240" w:lineRule="auto"/>
              <w:jc w:val="center"/>
              <w:rPr>
                <w:szCs w:val="24"/>
              </w:rPr>
            </w:pPr>
            <w:r w:rsidRPr="00687DE8">
              <w:rPr>
                <w:szCs w:val="24"/>
              </w:rPr>
              <w:t>0Q2101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03CE23" w14:textId="774EABFE" w:rsidR="5C683982" w:rsidRPr="00687DE8" w:rsidRDefault="0001177F">
            <w:pPr>
              <w:spacing w:after="0"/>
              <w:jc w:val="center"/>
              <w:rPr>
                <w:color w:val="000000" w:themeColor="text1"/>
                <w:szCs w:val="24"/>
              </w:rPr>
            </w:pPr>
            <w:r>
              <w:rPr>
                <w:color w:val="000000"/>
              </w:rPr>
              <w:t>279,88</w:t>
            </w:r>
          </w:p>
        </w:tc>
      </w:tr>
      <w:tr w:rsidR="008D6774" w:rsidRPr="00687DE8" w14:paraId="766973A8"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06AD0B" w14:textId="77777777" w:rsidR="008D6774" w:rsidRPr="00687DE8" w:rsidRDefault="008D6774" w:rsidP="008D6774">
            <w:pPr>
              <w:spacing w:after="0" w:line="240" w:lineRule="auto"/>
              <w:rPr>
                <w:szCs w:val="24"/>
              </w:rPr>
            </w:pPr>
            <w:r w:rsidRPr="00687DE8">
              <w:rPr>
                <w:szCs w:val="24"/>
              </w:rPr>
              <w:t>Pahaloomulise nahakasvaja radikaalne eemaldamine</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294EB8" w14:textId="77777777" w:rsidR="008D6774" w:rsidRPr="00687DE8" w:rsidRDefault="008D6774" w:rsidP="008D6774">
            <w:pPr>
              <w:spacing w:after="0" w:line="240" w:lineRule="auto"/>
              <w:jc w:val="center"/>
              <w:rPr>
                <w:szCs w:val="24"/>
              </w:rPr>
            </w:pPr>
            <w:r w:rsidRPr="00687DE8">
              <w:rPr>
                <w:szCs w:val="24"/>
              </w:rPr>
              <w:t>0Q2103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CBB240" w14:textId="2029207E" w:rsidR="5C683982" w:rsidRPr="00687DE8" w:rsidRDefault="0001177F">
            <w:pPr>
              <w:spacing w:after="0"/>
              <w:jc w:val="center"/>
              <w:rPr>
                <w:color w:val="000000" w:themeColor="text1"/>
                <w:szCs w:val="24"/>
              </w:rPr>
            </w:pPr>
            <w:r>
              <w:rPr>
                <w:color w:val="000000"/>
              </w:rPr>
              <w:t>490,93</w:t>
            </w:r>
          </w:p>
        </w:tc>
      </w:tr>
      <w:tr w:rsidR="008D6774" w:rsidRPr="00687DE8" w14:paraId="1F264A97" w14:textId="77777777" w:rsidTr="00EB7A71">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86DC8E" w14:textId="77777777" w:rsidR="008D6774" w:rsidRPr="00687DE8" w:rsidRDefault="008D6774" w:rsidP="008D6774">
            <w:pPr>
              <w:spacing w:after="0" w:line="240" w:lineRule="auto"/>
              <w:rPr>
                <w:szCs w:val="24"/>
              </w:rPr>
            </w:pPr>
            <w:r w:rsidRPr="00687DE8">
              <w:rPr>
                <w:szCs w:val="24"/>
              </w:rPr>
              <w:t>Nahatransplantatsioon alla 4%</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C81C69" w14:textId="77777777" w:rsidR="008D6774" w:rsidRPr="00687DE8" w:rsidRDefault="008D6774" w:rsidP="008D6774">
            <w:pPr>
              <w:spacing w:after="0" w:line="240" w:lineRule="auto"/>
              <w:jc w:val="center"/>
              <w:rPr>
                <w:szCs w:val="24"/>
              </w:rPr>
            </w:pPr>
            <w:r w:rsidRPr="00687DE8">
              <w:rPr>
                <w:szCs w:val="24"/>
              </w:rPr>
              <w:t>0Q2104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F790F" w14:textId="64D046EE" w:rsidR="5C683982" w:rsidRPr="00687DE8" w:rsidRDefault="0001177F">
            <w:pPr>
              <w:spacing w:after="0"/>
              <w:jc w:val="center"/>
              <w:rPr>
                <w:color w:val="000000" w:themeColor="text1"/>
                <w:szCs w:val="24"/>
              </w:rPr>
            </w:pPr>
            <w:r>
              <w:rPr>
                <w:color w:val="000000"/>
              </w:rPr>
              <w:t>527,09</w:t>
            </w:r>
          </w:p>
        </w:tc>
      </w:tr>
      <w:tr w:rsidR="008D6774" w:rsidRPr="00687DE8" w14:paraId="561C06C8"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084F49" w14:textId="77777777" w:rsidR="008D6774" w:rsidRPr="00687DE8" w:rsidRDefault="008D6774" w:rsidP="008D6774">
            <w:pPr>
              <w:spacing w:after="0" w:line="240" w:lineRule="auto"/>
              <w:rPr>
                <w:szCs w:val="24"/>
              </w:rPr>
            </w:pPr>
            <w:r w:rsidRPr="00687DE8">
              <w:rPr>
                <w:szCs w:val="24"/>
              </w:rPr>
              <w:t>Nahatransplantatsioon 4–6%</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D6617D" w14:textId="77777777" w:rsidR="008D6774" w:rsidRPr="00687DE8" w:rsidRDefault="008D6774" w:rsidP="008D6774">
            <w:pPr>
              <w:spacing w:after="0" w:line="240" w:lineRule="auto"/>
              <w:jc w:val="center"/>
              <w:rPr>
                <w:szCs w:val="24"/>
              </w:rPr>
            </w:pPr>
            <w:r w:rsidRPr="00687DE8">
              <w:rPr>
                <w:szCs w:val="24"/>
              </w:rPr>
              <w:t>0Q2105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478FE8" w14:textId="253E0B67" w:rsidR="5C683982" w:rsidRPr="00687DE8" w:rsidRDefault="0001177F">
            <w:pPr>
              <w:spacing w:after="0"/>
              <w:jc w:val="center"/>
              <w:rPr>
                <w:color w:val="000000" w:themeColor="text1"/>
                <w:szCs w:val="24"/>
              </w:rPr>
            </w:pPr>
            <w:r>
              <w:rPr>
                <w:color w:val="000000"/>
              </w:rPr>
              <w:t>711,87</w:t>
            </w:r>
          </w:p>
        </w:tc>
      </w:tr>
      <w:tr w:rsidR="008D6774" w:rsidRPr="00687DE8" w14:paraId="0544CCC7"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3D02F9" w14:textId="77777777" w:rsidR="008D6774" w:rsidRPr="00687DE8" w:rsidRDefault="008D6774" w:rsidP="008D6774">
            <w:pPr>
              <w:spacing w:after="0" w:line="240" w:lineRule="auto"/>
              <w:rPr>
                <w:szCs w:val="24"/>
              </w:rPr>
            </w:pPr>
            <w:r w:rsidRPr="00687DE8">
              <w:rPr>
                <w:szCs w:val="24"/>
              </w:rPr>
              <w:t>Nahatransplantatsioon 7–9%</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A7B58B" w14:textId="77777777" w:rsidR="008D6774" w:rsidRPr="00687DE8" w:rsidRDefault="008D6774" w:rsidP="008D6774">
            <w:pPr>
              <w:spacing w:after="0" w:line="240" w:lineRule="auto"/>
              <w:jc w:val="center"/>
              <w:rPr>
                <w:szCs w:val="24"/>
              </w:rPr>
            </w:pPr>
            <w:r w:rsidRPr="00687DE8">
              <w:rPr>
                <w:szCs w:val="24"/>
              </w:rPr>
              <w:t>0Q2106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53D590" w14:textId="58483A52" w:rsidR="5C683982" w:rsidRPr="00687DE8" w:rsidRDefault="0001177F">
            <w:pPr>
              <w:spacing w:after="0"/>
              <w:jc w:val="center"/>
              <w:rPr>
                <w:color w:val="000000" w:themeColor="text1"/>
                <w:szCs w:val="24"/>
              </w:rPr>
            </w:pPr>
            <w:r>
              <w:rPr>
                <w:color w:val="000000"/>
              </w:rPr>
              <w:t>1 005,86</w:t>
            </w:r>
          </w:p>
        </w:tc>
      </w:tr>
      <w:tr w:rsidR="008D6774" w:rsidRPr="00687DE8" w14:paraId="719DB349"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70928F" w14:textId="77777777" w:rsidR="008D6774" w:rsidRPr="00687DE8" w:rsidRDefault="008D6774" w:rsidP="008D6774">
            <w:pPr>
              <w:spacing w:after="0" w:line="240" w:lineRule="auto"/>
              <w:rPr>
                <w:szCs w:val="24"/>
              </w:rPr>
            </w:pPr>
            <w:r w:rsidRPr="00687DE8">
              <w:rPr>
                <w:szCs w:val="24"/>
              </w:rPr>
              <w:t>Nahatransplantatsioon 10–14%</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B34E7D" w14:textId="77777777" w:rsidR="008D6774" w:rsidRPr="00687DE8" w:rsidRDefault="008D6774" w:rsidP="008D6774">
            <w:pPr>
              <w:spacing w:after="0" w:line="240" w:lineRule="auto"/>
              <w:jc w:val="center"/>
              <w:rPr>
                <w:szCs w:val="24"/>
              </w:rPr>
            </w:pPr>
            <w:r w:rsidRPr="00687DE8">
              <w:rPr>
                <w:szCs w:val="24"/>
              </w:rPr>
              <w:t>0Q2107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0A3EEE" w14:textId="65F235B3" w:rsidR="5C683982" w:rsidRPr="00687DE8" w:rsidRDefault="0001177F">
            <w:pPr>
              <w:spacing w:after="0"/>
              <w:jc w:val="center"/>
              <w:rPr>
                <w:color w:val="000000" w:themeColor="text1"/>
                <w:szCs w:val="24"/>
              </w:rPr>
            </w:pPr>
            <w:r>
              <w:rPr>
                <w:color w:val="000000"/>
              </w:rPr>
              <w:t>1 198,50</w:t>
            </w:r>
          </w:p>
        </w:tc>
      </w:tr>
      <w:tr w:rsidR="008D6774" w:rsidRPr="00687DE8" w14:paraId="662B1E2D"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F3DBA0" w14:textId="77777777" w:rsidR="008D6774" w:rsidRPr="00687DE8" w:rsidRDefault="008D6774" w:rsidP="008D6774">
            <w:pPr>
              <w:spacing w:after="0" w:line="240" w:lineRule="auto"/>
              <w:rPr>
                <w:szCs w:val="24"/>
              </w:rPr>
            </w:pPr>
            <w:r w:rsidRPr="00687DE8">
              <w:rPr>
                <w:szCs w:val="24"/>
              </w:rPr>
              <w:t>Nahatransplantatsioon 15% ja enam</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3D5661" w14:textId="77777777" w:rsidR="008D6774" w:rsidRPr="00687DE8" w:rsidRDefault="008D6774" w:rsidP="008D6774">
            <w:pPr>
              <w:spacing w:after="0" w:line="240" w:lineRule="auto"/>
              <w:jc w:val="center"/>
              <w:rPr>
                <w:szCs w:val="24"/>
              </w:rPr>
            </w:pPr>
            <w:r w:rsidRPr="00687DE8">
              <w:rPr>
                <w:szCs w:val="24"/>
              </w:rPr>
              <w:t>0Q2108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4AB04B" w14:textId="18031309" w:rsidR="5C683982" w:rsidRPr="00687DE8" w:rsidRDefault="0001177F">
            <w:pPr>
              <w:spacing w:after="0"/>
              <w:jc w:val="center"/>
              <w:rPr>
                <w:color w:val="000000" w:themeColor="text1"/>
                <w:szCs w:val="24"/>
              </w:rPr>
            </w:pPr>
            <w:r>
              <w:rPr>
                <w:color w:val="000000"/>
              </w:rPr>
              <w:t>1 401,26</w:t>
            </w:r>
          </w:p>
        </w:tc>
      </w:tr>
      <w:tr w:rsidR="008D6774" w:rsidRPr="00687DE8" w14:paraId="413B989F"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318070" w14:textId="77777777" w:rsidR="008D6774" w:rsidRPr="00687DE8" w:rsidRDefault="008D6774" w:rsidP="008D6774">
            <w:pPr>
              <w:spacing w:after="0" w:line="240" w:lineRule="auto"/>
              <w:rPr>
                <w:szCs w:val="24"/>
              </w:rPr>
            </w:pPr>
            <w:r w:rsidRPr="00687DE8">
              <w:rPr>
                <w:szCs w:val="24"/>
              </w:rPr>
              <w:t>Tüsilike haavade ekstsisioon, kirurgiline korrastus operatsioonitoas</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19053B" w14:textId="77777777" w:rsidR="008D6774" w:rsidRPr="00687DE8" w:rsidRDefault="008D6774" w:rsidP="008D6774">
            <w:pPr>
              <w:spacing w:after="0" w:line="240" w:lineRule="auto"/>
              <w:jc w:val="center"/>
              <w:rPr>
                <w:szCs w:val="24"/>
              </w:rPr>
            </w:pPr>
            <w:r w:rsidRPr="00687DE8">
              <w:rPr>
                <w:szCs w:val="24"/>
              </w:rPr>
              <w:t>0Q2109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B81481" w14:textId="48FDEF2D" w:rsidR="5C683982" w:rsidRPr="00687DE8" w:rsidRDefault="0001177F">
            <w:pPr>
              <w:spacing w:after="0"/>
              <w:jc w:val="center"/>
              <w:rPr>
                <w:color w:val="000000" w:themeColor="text1"/>
                <w:szCs w:val="24"/>
              </w:rPr>
            </w:pPr>
            <w:r>
              <w:rPr>
                <w:color w:val="000000"/>
              </w:rPr>
              <w:t>582,67</w:t>
            </w:r>
          </w:p>
        </w:tc>
      </w:tr>
      <w:tr w:rsidR="008D6774" w:rsidRPr="00687DE8" w14:paraId="42C69B09"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5AE0F5" w14:textId="77777777" w:rsidR="008D6774" w:rsidRPr="00687DE8" w:rsidRDefault="008D6774" w:rsidP="008D6774">
            <w:pPr>
              <w:spacing w:after="0" w:line="240" w:lineRule="auto"/>
              <w:rPr>
                <w:szCs w:val="24"/>
              </w:rPr>
            </w:pPr>
            <w:r w:rsidRPr="00687DE8">
              <w:rPr>
                <w:szCs w:val="24"/>
              </w:rPr>
              <w:t>Mädakolde avamine ja dreenimine</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74DEA4" w14:textId="77777777" w:rsidR="008D6774" w:rsidRPr="00687DE8" w:rsidRDefault="008D6774" w:rsidP="008D6774">
            <w:pPr>
              <w:spacing w:after="0" w:line="240" w:lineRule="auto"/>
              <w:jc w:val="center"/>
              <w:rPr>
                <w:szCs w:val="24"/>
              </w:rPr>
            </w:pPr>
            <w:r w:rsidRPr="00687DE8">
              <w:rPr>
                <w:szCs w:val="24"/>
              </w:rPr>
              <w:t>0Q2110</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41C20C" w14:textId="50CD5FF2" w:rsidR="5C683982" w:rsidRPr="00687DE8" w:rsidRDefault="0001177F">
            <w:pPr>
              <w:spacing w:after="0"/>
              <w:jc w:val="center"/>
              <w:rPr>
                <w:color w:val="000000" w:themeColor="text1"/>
                <w:szCs w:val="24"/>
              </w:rPr>
            </w:pPr>
            <w:r>
              <w:rPr>
                <w:color w:val="000000"/>
              </w:rPr>
              <w:t>380,49</w:t>
            </w:r>
          </w:p>
        </w:tc>
      </w:tr>
      <w:tr w:rsidR="008D6774" w:rsidRPr="00687DE8" w14:paraId="5573A7CE"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368E8C" w14:textId="77777777" w:rsidR="008D6774" w:rsidRPr="00687DE8" w:rsidRDefault="008D6774" w:rsidP="008D6774">
            <w:pPr>
              <w:spacing w:after="0" w:line="240" w:lineRule="auto"/>
              <w:rPr>
                <w:szCs w:val="24"/>
              </w:rPr>
            </w:pPr>
            <w:r w:rsidRPr="00687DE8">
              <w:rPr>
                <w:szCs w:val="24"/>
              </w:rPr>
              <w:t>Surnud doonori maksa käitlus siirdamiseks, sh maksa eemaldamine</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076860" w14:textId="77777777" w:rsidR="008D6774" w:rsidRPr="00687DE8" w:rsidRDefault="008D6774" w:rsidP="008D6774">
            <w:pPr>
              <w:spacing w:after="0" w:line="240" w:lineRule="auto"/>
              <w:jc w:val="center"/>
              <w:rPr>
                <w:szCs w:val="24"/>
              </w:rPr>
            </w:pPr>
            <w:r w:rsidRPr="00687DE8">
              <w:rPr>
                <w:szCs w:val="24"/>
              </w:rPr>
              <w:t>0Y2101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D7D4CD" w14:textId="71E6B581" w:rsidR="5C683982" w:rsidRPr="00687DE8" w:rsidRDefault="0001177F">
            <w:pPr>
              <w:spacing w:after="0"/>
              <w:jc w:val="center"/>
              <w:rPr>
                <w:color w:val="000000" w:themeColor="text1"/>
                <w:szCs w:val="24"/>
              </w:rPr>
            </w:pPr>
            <w:r>
              <w:rPr>
                <w:color w:val="000000"/>
              </w:rPr>
              <w:t>4 305,45</w:t>
            </w:r>
          </w:p>
        </w:tc>
      </w:tr>
      <w:tr w:rsidR="008D6774" w:rsidRPr="00687DE8" w14:paraId="25523F58"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F972F6" w14:textId="77777777" w:rsidR="008D6774" w:rsidRPr="00687DE8" w:rsidRDefault="008D6774" w:rsidP="008D6774">
            <w:pPr>
              <w:spacing w:after="0" w:line="240" w:lineRule="auto"/>
              <w:rPr>
                <w:szCs w:val="24"/>
              </w:rPr>
            </w:pPr>
            <w:r w:rsidRPr="00687DE8">
              <w:rPr>
                <w:szCs w:val="24"/>
              </w:rPr>
              <w:t xml:space="preserve">Haava korrektsioon või revisioon </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BC1B24" w14:textId="77777777" w:rsidR="008D6774" w:rsidRPr="00687DE8" w:rsidRDefault="008D6774" w:rsidP="008D6774">
            <w:pPr>
              <w:spacing w:after="0" w:line="240" w:lineRule="auto"/>
              <w:jc w:val="center"/>
              <w:rPr>
                <w:szCs w:val="24"/>
              </w:rPr>
            </w:pPr>
            <w:r w:rsidRPr="00687DE8">
              <w:rPr>
                <w:szCs w:val="24"/>
              </w:rPr>
              <w:t>1Q2126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699FCE" w14:textId="3ACE19F6" w:rsidR="5C683982" w:rsidRPr="00687DE8" w:rsidRDefault="0001177F">
            <w:pPr>
              <w:spacing w:after="0"/>
              <w:jc w:val="center"/>
              <w:rPr>
                <w:color w:val="000000" w:themeColor="text1"/>
                <w:szCs w:val="24"/>
              </w:rPr>
            </w:pPr>
            <w:r>
              <w:rPr>
                <w:color w:val="000000"/>
              </w:rPr>
              <w:t>285,21</w:t>
            </w:r>
          </w:p>
        </w:tc>
      </w:tr>
      <w:tr w:rsidR="008D6774" w:rsidRPr="00687DE8" w14:paraId="502589E9"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54E936" w14:textId="77777777" w:rsidR="008D6774" w:rsidRPr="00687DE8" w:rsidRDefault="008D6774" w:rsidP="008D6774">
            <w:pPr>
              <w:spacing w:after="0" w:line="240" w:lineRule="auto"/>
              <w:rPr>
                <w:szCs w:val="24"/>
              </w:rPr>
            </w:pPr>
            <w:r w:rsidRPr="00687DE8">
              <w:rPr>
                <w:szCs w:val="24"/>
              </w:rPr>
              <w:t>Operatsioon biopsia võtmiseks (välja arvatud nahk)</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839914" w14:textId="77777777" w:rsidR="008D6774" w:rsidRPr="00687DE8" w:rsidRDefault="008D6774" w:rsidP="008D6774">
            <w:pPr>
              <w:spacing w:after="0" w:line="240" w:lineRule="auto"/>
              <w:jc w:val="center"/>
              <w:rPr>
                <w:szCs w:val="24"/>
              </w:rPr>
            </w:pPr>
            <w:r w:rsidRPr="00687DE8">
              <w:rPr>
                <w:szCs w:val="24"/>
              </w:rPr>
              <w:t>1Q2127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15EFBD" w14:textId="0FC6D533" w:rsidR="5C683982" w:rsidRPr="00687DE8" w:rsidRDefault="0001177F">
            <w:pPr>
              <w:spacing w:after="0"/>
              <w:jc w:val="center"/>
              <w:rPr>
                <w:color w:val="000000" w:themeColor="text1"/>
                <w:szCs w:val="24"/>
              </w:rPr>
            </w:pPr>
            <w:r>
              <w:rPr>
                <w:color w:val="000000"/>
              </w:rPr>
              <w:t>377,32</w:t>
            </w:r>
          </w:p>
        </w:tc>
      </w:tr>
      <w:tr w:rsidR="008D6774" w:rsidRPr="00687DE8" w14:paraId="5C8B0F27"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288AFB" w14:textId="77777777" w:rsidR="008D6774" w:rsidRPr="00687DE8" w:rsidRDefault="008D6774" w:rsidP="008D6774">
            <w:pPr>
              <w:spacing w:after="0" w:line="240" w:lineRule="auto"/>
              <w:rPr>
                <w:szCs w:val="24"/>
              </w:rPr>
            </w:pPr>
            <w:r w:rsidRPr="00687DE8">
              <w:rPr>
                <w:szCs w:val="24"/>
              </w:rPr>
              <w:t xml:space="preserve">Pankrease siirdamine </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68A921" w14:textId="77777777" w:rsidR="008D6774" w:rsidRPr="00687DE8" w:rsidRDefault="008D6774" w:rsidP="008D6774">
            <w:pPr>
              <w:spacing w:after="0" w:line="240" w:lineRule="auto"/>
              <w:jc w:val="center"/>
              <w:rPr>
                <w:szCs w:val="24"/>
              </w:rPr>
            </w:pPr>
            <w:r w:rsidRPr="00687DE8">
              <w:rPr>
                <w:szCs w:val="24"/>
              </w:rPr>
              <w:t>1J2134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94C87C" w14:textId="59EDCF68" w:rsidR="5C683982" w:rsidRPr="00687DE8" w:rsidRDefault="0001177F">
            <w:pPr>
              <w:spacing w:after="0"/>
              <w:jc w:val="center"/>
              <w:rPr>
                <w:color w:val="000000" w:themeColor="text1"/>
                <w:szCs w:val="24"/>
              </w:rPr>
            </w:pPr>
            <w:r>
              <w:rPr>
                <w:color w:val="000000"/>
              </w:rPr>
              <w:t>6 311,14</w:t>
            </w:r>
          </w:p>
        </w:tc>
      </w:tr>
      <w:tr w:rsidR="008D6774" w:rsidRPr="00687DE8" w14:paraId="048B126A"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D1242E" w14:textId="77777777" w:rsidR="008D6774" w:rsidRPr="00687DE8" w:rsidRDefault="008D6774" w:rsidP="008D6774">
            <w:pPr>
              <w:spacing w:after="0" w:line="240" w:lineRule="auto"/>
              <w:rPr>
                <w:szCs w:val="24"/>
              </w:rPr>
            </w:pPr>
            <w:r w:rsidRPr="00687DE8">
              <w:rPr>
                <w:szCs w:val="24"/>
              </w:rPr>
              <w:t xml:space="preserve">Surnud doonori pankrease käitlus siirdamiseks (sh eemaldamine) </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65F0D2" w14:textId="77777777" w:rsidR="008D6774" w:rsidRPr="00687DE8" w:rsidRDefault="008D6774" w:rsidP="008D6774">
            <w:pPr>
              <w:spacing w:after="0" w:line="240" w:lineRule="auto"/>
              <w:jc w:val="center"/>
              <w:rPr>
                <w:szCs w:val="24"/>
              </w:rPr>
            </w:pPr>
            <w:r w:rsidRPr="00687DE8">
              <w:rPr>
                <w:szCs w:val="24"/>
              </w:rPr>
              <w:t>1Y2102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32E9D0" w14:textId="133AA65F" w:rsidR="5C683982" w:rsidRPr="00687DE8" w:rsidRDefault="0001177F">
            <w:pPr>
              <w:spacing w:after="0"/>
              <w:jc w:val="center"/>
              <w:rPr>
                <w:color w:val="000000" w:themeColor="text1"/>
                <w:szCs w:val="24"/>
              </w:rPr>
            </w:pPr>
            <w:r>
              <w:rPr>
                <w:color w:val="000000"/>
              </w:rPr>
              <w:t>3 430,84</w:t>
            </w:r>
          </w:p>
        </w:tc>
      </w:tr>
      <w:tr w:rsidR="006936D9" w:rsidRPr="00687DE8" w14:paraId="2FD7666B"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4E1245" w14:textId="77777777" w:rsidR="006936D9" w:rsidRPr="00687DE8" w:rsidRDefault="00841D27" w:rsidP="005A3921">
            <w:pPr>
              <w:spacing w:after="0" w:line="240" w:lineRule="auto"/>
              <w:rPr>
                <w:szCs w:val="24"/>
              </w:rPr>
            </w:pPr>
            <w:r w:rsidRPr="00687DE8">
              <w:rPr>
                <w:szCs w:val="24"/>
              </w:rPr>
              <w:t xml:space="preserve">Lumbo-sakraalnärvide elektrilise modulatsiooni </w:t>
            </w:r>
            <w:r w:rsidR="000A54D1" w:rsidRPr="00687DE8">
              <w:rPr>
                <w:szCs w:val="24"/>
              </w:rPr>
              <w:t xml:space="preserve">testseadme </w:t>
            </w:r>
            <w:r w:rsidRPr="00687DE8">
              <w:rPr>
                <w:szCs w:val="24"/>
              </w:rPr>
              <w:t>komplekt</w:t>
            </w:r>
            <w:r w:rsidR="0084579C" w:rsidRPr="00687DE8">
              <w:rPr>
                <w:szCs w:val="24"/>
              </w:rPr>
              <w:t xml:space="preserve">i </w:t>
            </w:r>
            <w:r w:rsidR="008D25AF" w:rsidRPr="00687DE8">
              <w:rPr>
                <w:szCs w:val="24"/>
              </w:rPr>
              <w:t>paigaldamine</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AFCA62" w14:textId="77777777" w:rsidR="00302517" w:rsidRDefault="00302517" w:rsidP="005A3921">
            <w:pPr>
              <w:spacing w:after="0" w:line="240" w:lineRule="auto"/>
              <w:jc w:val="center"/>
              <w:rPr>
                <w:szCs w:val="24"/>
              </w:rPr>
            </w:pPr>
          </w:p>
          <w:p w14:paraId="5C1FCFE2" w14:textId="4581E80B" w:rsidR="006936D9" w:rsidRPr="00687DE8" w:rsidRDefault="0069656C" w:rsidP="005A3921">
            <w:pPr>
              <w:spacing w:after="0" w:line="240" w:lineRule="auto"/>
              <w:jc w:val="center"/>
              <w:rPr>
                <w:szCs w:val="24"/>
              </w:rPr>
            </w:pPr>
            <w:r w:rsidRPr="00687DE8">
              <w:rPr>
                <w:szCs w:val="24"/>
              </w:rPr>
              <w:t>1A</w:t>
            </w:r>
            <w:r w:rsidR="00D6701E" w:rsidRPr="00687DE8">
              <w:rPr>
                <w:szCs w:val="24"/>
              </w:rPr>
              <w:t>2</w:t>
            </w:r>
            <w:r w:rsidR="00F13FD2" w:rsidRPr="00687DE8">
              <w:rPr>
                <w:szCs w:val="24"/>
              </w:rPr>
              <w:t>1</w:t>
            </w:r>
            <w:r w:rsidR="005546EB" w:rsidRPr="00687DE8">
              <w:rPr>
                <w:szCs w:val="24"/>
              </w:rPr>
              <w:t>3</w:t>
            </w:r>
            <w:r w:rsidR="003A046B" w:rsidRPr="00687DE8">
              <w:rPr>
                <w:szCs w:val="24"/>
              </w:rPr>
              <w:t>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EF80D85" w14:textId="4C0D38F8" w:rsidR="5C683982" w:rsidRPr="00687DE8" w:rsidRDefault="0001177F">
            <w:pPr>
              <w:spacing w:after="0"/>
              <w:jc w:val="center"/>
              <w:rPr>
                <w:color w:val="000000" w:themeColor="text1"/>
                <w:szCs w:val="24"/>
              </w:rPr>
            </w:pPr>
            <w:r>
              <w:rPr>
                <w:color w:val="000000"/>
              </w:rPr>
              <w:t>463,62</w:t>
            </w:r>
          </w:p>
        </w:tc>
      </w:tr>
      <w:tr w:rsidR="006936D9" w:rsidRPr="00687DE8" w14:paraId="0C05D419"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80DAE7" w14:textId="77777777" w:rsidR="006936D9" w:rsidRPr="00687DE8" w:rsidRDefault="0084579C" w:rsidP="005A3921">
            <w:pPr>
              <w:spacing w:after="0" w:line="240" w:lineRule="auto"/>
              <w:rPr>
                <w:szCs w:val="24"/>
              </w:rPr>
            </w:pPr>
            <w:r w:rsidRPr="00687DE8">
              <w:rPr>
                <w:szCs w:val="24"/>
              </w:rPr>
              <w:t>Lumbo-sakraalnärvide elektrilise modulatsiooni püsi</w:t>
            </w:r>
            <w:r w:rsidR="000A54D1" w:rsidRPr="00687DE8">
              <w:rPr>
                <w:szCs w:val="24"/>
              </w:rPr>
              <w:t xml:space="preserve">seadme </w:t>
            </w:r>
            <w:r w:rsidRPr="00687DE8">
              <w:rPr>
                <w:szCs w:val="24"/>
              </w:rPr>
              <w:t xml:space="preserve">komplekti </w:t>
            </w:r>
            <w:r w:rsidR="008D25AF" w:rsidRPr="00687DE8">
              <w:rPr>
                <w:szCs w:val="24"/>
              </w:rPr>
              <w:t>paigaldamine</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5ACD6C" w14:textId="77777777" w:rsidR="006936D9" w:rsidRPr="00687DE8" w:rsidRDefault="003A046B" w:rsidP="005A3921">
            <w:pPr>
              <w:spacing w:after="0" w:line="240" w:lineRule="auto"/>
              <w:jc w:val="center"/>
              <w:rPr>
                <w:szCs w:val="24"/>
              </w:rPr>
            </w:pPr>
            <w:r w:rsidRPr="00687DE8">
              <w:rPr>
                <w:szCs w:val="24"/>
              </w:rPr>
              <w:t>1A2139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5C32C82" w14:textId="324F4D3F" w:rsidR="5C683982" w:rsidRPr="00687DE8" w:rsidRDefault="0001177F">
            <w:pPr>
              <w:spacing w:after="0"/>
              <w:jc w:val="center"/>
              <w:rPr>
                <w:color w:val="000000" w:themeColor="text1"/>
                <w:szCs w:val="24"/>
              </w:rPr>
            </w:pPr>
            <w:r>
              <w:rPr>
                <w:color w:val="000000"/>
              </w:rPr>
              <w:t>257,72</w:t>
            </w:r>
          </w:p>
        </w:tc>
      </w:tr>
      <w:tr w:rsidR="09C7E9BE" w:rsidRPr="00687DE8" w14:paraId="45019FFD" w14:textId="77777777" w:rsidTr="001B10F9">
        <w:trPr>
          <w:divId w:val="1316184749"/>
          <w:trHeight w:val="386"/>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A686AB" w14:textId="77777777" w:rsidR="163EBFD2" w:rsidRPr="00687DE8" w:rsidRDefault="163EBFD2" w:rsidP="000C5499">
            <w:pPr>
              <w:spacing w:after="0" w:line="240" w:lineRule="auto"/>
              <w:rPr>
                <w:szCs w:val="24"/>
              </w:rPr>
            </w:pPr>
            <w:r w:rsidRPr="00687DE8">
              <w:rPr>
                <w:szCs w:val="24"/>
              </w:rPr>
              <w:t>Laserravi operatsioon ühe laseriga ja/või kuni viies lokalisatsioonis</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8921D1" w14:textId="77777777" w:rsidR="163EBFD2" w:rsidRPr="00687DE8" w:rsidRDefault="163EBFD2" w:rsidP="000C5499">
            <w:pPr>
              <w:spacing w:after="0" w:line="240" w:lineRule="auto"/>
              <w:jc w:val="center"/>
              <w:rPr>
                <w:szCs w:val="24"/>
              </w:rPr>
            </w:pPr>
            <w:r w:rsidRPr="00687DE8">
              <w:rPr>
                <w:szCs w:val="24"/>
              </w:rPr>
              <w:t>1Q2201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DFDA02B" w14:textId="27534AD9" w:rsidR="5C683982" w:rsidRPr="00687DE8" w:rsidRDefault="0001177F" w:rsidP="000C5499">
            <w:pPr>
              <w:spacing w:after="0" w:line="240" w:lineRule="auto"/>
              <w:jc w:val="center"/>
              <w:rPr>
                <w:color w:val="000000" w:themeColor="text1"/>
                <w:szCs w:val="24"/>
              </w:rPr>
            </w:pPr>
            <w:r>
              <w:rPr>
                <w:color w:val="000000"/>
              </w:rPr>
              <w:t>156,46</w:t>
            </w:r>
          </w:p>
        </w:tc>
      </w:tr>
      <w:tr w:rsidR="09C7E9BE" w:rsidRPr="00687DE8" w14:paraId="0CD8429B" w14:textId="77777777" w:rsidTr="001B10F9">
        <w:trPr>
          <w:divId w:val="1316184749"/>
          <w:trHeight w:val="300"/>
        </w:trPr>
        <w:tc>
          <w:tcPr>
            <w:tcW w:w="6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6382C7" w14:textId="77777777" w:rsidR="163EBFD2" w:rsidRPr="00687DE8" w:rsidRDefault="163EBFD2" w:rsidP="000C5499">
            <w:pPr>
              <w:spacing w:after="0" w:line="240" w:lineRule="auto"/>
              <w:rPr>
                <w:szCs w:val="24"/>
              </w:rPr>
            </w:pPr>
            <w:r w:rsidRPr="00687DE8">
              <w:rPr>
                <w:szCs w:val="24"/>
              </w:rPr>
              <w:t>Laserravi operatsioon kombineeritud meetodil ja/või enam kui viies lokalisatsioonis</w:t>
            </w:r>
          </w:p>
        </w:tc>
        <w:tc>
          <w:tcPr>
            <w:tcW w:w="10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9CEC48" w14:textId="77777777" w:rsidR="163EBFD2" w:rsidRPr="00687DE8" w:rsidRDefault="163EBFD2" w:rsidP="000C5499">
            <w:pPr>
              <w:spacing w:after="0" w:line="240" w:lineRule="auto"/>
              <w:jc w:val="center"/>
              <w:rPr>
                <w:szCs w:val="24"/>
              </w:rPr>
            </w:pPr>
            <w:r w:rsidRPr="00687DE8">
              <w:rPr>
                <w:szCs w:val="24"/>
              </w:rPr>
              <w:t>1Q2202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6A3540E" w14:textId="416B1BF5" w:rsidR="5C683982" w:rsidRPr="00687DE8" w:rsidRDefault="0001177F" w:rsidP="000C5499">
            <w:pPr>
              <w:spacing w:after="0" w:line="240" w:lineRule="auto"/>
              <w:jc w:val="center"/>
              <w:rPr>
                <w:color w:val="000000" w:themeColor="text1"/>
                <w:szCs w:val="24"/>
              </w:rPr>
            </w:pPr>
            <w:r>
              <w:rPr>
                <w:color w:val="000000"/>
              </w:rPr>
              <w:t>233,43</w:t>
            </w:r>
          </w:p>
        </w:tc>
      </w:tr>
    </w:tbl>
    <w:p w14:paraId="5F7FFAE4" w14:textId="77777777" w:rsidR="00976487" w:rsidRPr="00687DE8" w:rsidRDefault="00976487" w:rsidP="00976487">
      <w:pPr>
        <w:spacing w:after="0" w:line="240" w:lineRule="auto"/>
        <w:jc w:val="both"/>
        <w:divId w:val="1316184749"/>
        <w:rPr>
          <w:szCs w:val="24"/>
        </w:rPr>
      </w:pPr>
    </w:p>
    <w:p w14:paraId="4BC8DAB6" w14:textId="27A30283" w:rsidR="00976487" w:rsidRPr="00687DE8" w:rsidRDefault="00976487" w:rsidP="00976487">
      <w:pPr>
        <w:spacing w:after="0" w:line="240" w:lineRule="auto"/>
        <w:jc w:val="both"/>
        <w:divId w:val="1316184749"/>
        <w:rPr>
          <w:szCs w:val="24"/>
        </w:rPr>
      </w:pPr>
      <w:r w:rsidRPr="00687DE8">
        <w:rPr>
          <w:szCs w:val="24"/>
        </w:rPr>
        <w:lastRenderedPageBreak/>
        <w:t xml:space="preserve">(2) </w:t>
      </w:r>
      <w:r w:rsidR="005023FD" w:rsidRPr="00687DE8">
        <w:rPr>
          <w:szCs w:val="24"/>
        </w:rPr>
        <w:t>Tervisekassa</w:t>
      </w:r>
      <w:r w:rsidRPr="00687DE8">
        <w:rPr>
          <w:szCs w:val="24"/>
        </w:rPr>
        <w:t xml:space="preserve"> võtab koodidega 0J2124, 0Y2101, 1J2134 ja 1Y2102 tähistatud tervishoiuteenuste eest tasu maksmise kohustuse üle tervishoiuteenuse osutajaga sõlmitud ravi rahastamise lepingus kokku</w:t>
      </w:r>
      <w:r w:rsidR="00675E94" w:rsidRPr="00687DE8">
        <w:rPr>
          <w:szCs w:val="24"/>
        </w:rPr>
        <w:t xml:space="preserve"> </w:t>
      </w:r>
      <w:r w:rsidRPr="00687DE8">
        <w:rPr>
          <w:szCs w:val="24"/>
        </w:rPr>
        <w:t>lepitud tingimustel ja korras.</w:t>
      </w:r>
    </w:p>
    <w:p w14:paraId="737B68CE" w14:textId="77777777" w:rsidR="00976487" w:rsidRPr="00687DE8" w:rsidRDefault="00976487" w:rsidP="00976487">
      <w:pPr>
        <w:spacing w:after="0" w:line="240" w:lineRule="auto"/>
        <w:jc w:val="both"/>
        <w:divId w:val="1316184749"/>
        <w:rPr>
          <w:szCs w:val="24"/>
        </w:rPr>
      </w:pPr>
    </w:p>
    <w:p w14:paraId="6070AE3B" w14:textId="743EC9AE" w:rsidR="00976487" w:rsidRPr="00687DE8" w:rsidRDefault="00976487" w:rsidP="00B16F83">
      <w:pPr>
        <w:pStyle w:val="TableContents"/>
        <w:widowControl/>
        <w:suppressLineNumbers w:val="0"/>
        <w:suppressAutoHyphens w:val="0"/>
        <w:spacing w:line="240" w:lineRule="auto"/>
        <w:divId w:val="1316184749"/>
      </w:pPr>
      <w:r w:rsidRPr="00687DE8">
        <w:rPr>
          <w:rFonts w:eastAsia="Times New Roman"/>
          <w:kern w:val="0"/>
          <w:lang w:eastAsia="en-US" w:bidi="ar-SA"/>
        </w:rPr>
        <w:t xml:space="preserve">(3) </w:t>
      </w:r>
      <w:r w:rsidR="005023FD" w:rsidRPr="00687DE8">
        <w:rPr>
          <w:rFonts w:eastAsia="Times New Roman"/>
          <w:kern w:val="0"/>
          <w:lang w:eastAsia="en-US" w:bidi="ar-SA"/>
        </w:rPr>
        <w:t>Tervisekassa</w:t>
      </w:r>
      <w:r w:rsidRPr="00687DE8">
        <w:rPr>
          <w:rFonts w:eastAsia="Times New Roman"/>
          <w:kern w:val="0"/>
          <w:lang w:eastAsia="en-US" w:bidi="ar-SA"/>
        </w:rPr>
        <w:t xml:space="preserve"> võtab koodiga 0J2204 tähistatud tervishoiuteenuse eest tasu maksmise kohustuse üle järgmise kehamassiindeksi (KMI) korral:</w:t>
      </w:r>
    </w:p>
    <w:p w14:paraId="5DD8EFF6" w14:textId="77777777" w:rsidR="00976487" w:rsidRPr="00687DE8" w:rsidRDefault="00976487" w:rsidP="00976487">
      <w:pPr>
        <w:spacing w:after="0" w:line="240" w:lineRule="auto"/>
        <w:jc w:val="both"/>
        <w:divId w:val="1316184749"/>
        <w:rPr>
          <w:szCs w:val="24"/>
        </w:rPr>
      </w:pPr>
      <w:r w:rsidRPr="00687DE8">
        <w:rPr>
          <w:szCs w:val="24"/>
        </w:rPr>
        <w:t>1) rohkem kui 39,99;</w:t>
      </w:r>
    </w:p>
    <w:p w14:paraId="667AAB19" w14:textId="77777777" w:rsidR="00976487" w:rsidRPr="00687DE8" w:rsidRDefault="00976487" w:rsidP="00976487">
      <w:pPr>
        <w:spacing w:after="0" w:line="240" w:lineRule="auto"/>
        <w:jc w:val="both"/>
        <w:divId w:val="1316184749"/>
        <w:rPr>
          <w:szCs w:val="24"/>
        </w:rPr>
      </w:pPr>
      <w:r w:rsidRPr="00687DE8">
        <w:rPr>
          <w:szCs w:val="24"/>
        </w:rPr>
        <w:t>2) 35–39,99 juhul, kui esineb vähemalt üks järgmistest seisunditest: kardiomüopaatia, südame isheemiatõbi, hüpertensioon, infarkti- või insuldijärgne seisund, obstruktiivne uneapnoe, osteoartriit, pulmonaalhüpertensioon, II tüübi diabeet või polütsüstiliste munasarjade sündroom.</w:t>
      </w:r>
    </w:p>
    <w:p w14:paraId="0B02CC28" w14:textId="77777777" w:rsidR="00976487" w:rsidRPr="00687DE8" w:rsidRDefault="00976487" w:rsidP="00976487">
      <w:pPr>
        <w:spacing w:after="0" w:line="240" w:lineRule="auto"/>
        <w:jc w:val="both"/>
        <w:divId w:val="1316184749"/>
        <w:rPr>
          <w:szCs w:val="24"/>
        </w:rPr>
      </w:pPr>
    </w:p>
    <w:p w14:paraId="055EC77E" w14:textId="5A55FD53" w:rsidR="00976487" w:rsidRPr="00687DE8" w:rsidRDefault="00976487" w:rsidP="00976487">
      <w:pPr>
        <w:spacing w:after="0" w:line="240" w:lineRule="auto"/>
        <w:jc w:val="both"/>
        <w:divId w:val="1316184749"/>
        <w:rPr>
          <w:bCs/>
          <w:color w:val="000000"/>
          <w:szCs w:val="24"/>
        </w:rPr>
      </w:pPr>
      <w:r w:rsidRPr="00687DE8">
        <w:rPr>
          <w:szCs w:val="24"/>
        </w:rPr>
        <w:t xml:space="preserve">(4) </w:t>
      </w:r>
      <w:r w:rsidR="005023FD" w:rsidRPr="00687DE8">
        <w:rPr>
          <w:szCs w:val="24"/>
        </w:rPr>
        <w:t>Tervisekassa</w:t>
      </w:r>
      <w:r w:rsidRPr="00687DE8">
        <w:rPr>
          <w:szCs w:val="24"/>
        </w:rPr>
        <w:t xml:space="preserve"> võtab koodiga 1J2133 tähistatud tervishoiuteenuse eest tasu maksmise kohustuse üle vähemalt 18-aastaselt patsiendilt, kelle KMI on alla 30 kg/m</w:t>
      </w:r>
      <w:r w:rsidRPr="00687DE8">
        <w:rPr>
          <w:szCs w:val="24"/>
          <w:vertAlign w:val="superscript"/>
        </w:rPr>
        <w:t>2</w:t>
      </w:r>
      <w:r w:rsidRPr="00687DE8">
        <w:rPr>
          <w:szCs w:val="24"/>
        </w:rPr>
        <w:t xml:space="preserve"> ja kehakaal on olnud stabiilne vähemalt viimase 12 kuu jooksul ning kellel on dokumenteeritud vabalt rippuv kõhunahavolt pikkusega üle 8 cm, millel esinevad </w:t>
      </w:r>
      <w:r w:rsidRPr="00687DE8">
        <w:rPr>
          <w:bCs/>
          <w:color w:val="000000"/>
          <w:szCs w:val="24"/>
        </w:rPr>
        <w:t>dermatiit, haavandid ja/või troofikahäired, ning juhul, kui konservatiivse dermatoloogilise raviga ei ole saavutatud nahanähtude paranemist.</w:t>
      </w:r>
    </w:p>
    <w:p w14:paraId="2017DFA7" w14:textId="77777777" w:rsidR="00976487" w:rsidRPr="00687DE8" w:rsidRDefault="00976487" w:rsidP="00976487">
      <w:pPr>
        <w:spacing w:after="0" w:line="240" w:lineRule="auto"/>
        <w:jc w:val="both"/>
        <w:divId w:val="1316184749"/>
        <w:rPr>
          <w:bCs/>
          <w:color w:val="000000"/>
          <w:szCs w:val="24"/>
        </w:rPr>
      </w:pPr>
    </w:p>
    <w:p w14:paraId="4EEBC9F5" w14:textId="628794CB" w:rsidR="00976487" w:rsidRPr="00687DE8" w:rsidRDefault="00976487" w:rsidP="00976487">
      <w:pPr>
        <w:spacing w:after="0" w:line="240" w:lineRule="auto"/>
        <w:jc w:val="both"/>
        <w:divId w:val="1316184749"/>
        <w:rPr>
          <w:szCs w:val="24"/>
        </w:rPr>
      </w:pPr>
      <w:r w:rsidRPr="00687DE8">
        <w:rPr>
          <w:bCs/>
          <w:color w:val="000000"/>
          <w:szCs w:val="24"/>
        </w:rPr>
        <w:t>(5)</w:t>
      </w:r>
      <w:r w:rsidRPr="00687DE8">
        <w:rPr>
          <w:szCs w:val="24"/>
        </w:rPr>
        <w:t xml:space="preserve"> </w:t>
      </w:r>
      <w:r w:rsidR="005023FD" w:rsidRPr="00687DE8">
        <w:rPr>
          <w:szCs w:val="24"/>
        </w:rPr>
        <w:t>Tervisekassa</w:t>
      </w:r>
      <w:r w:rsidRPr="00687DE8">
        <w:rPr>
          <w:szCs w:val="24"/>
        </w:rPr>
        <w:t xml:space="preserve"> võtab koodiga </w:t>
      </w:r>
      <w:r w:rsidRPr="00687DE8">
        <w:rPr>
          <w:bCs/>
          <w:color w:val="000000"/>
          <w:szCs w:val="24"/>
        </w:rPr>
        <w:t xml:space="preserve">1J2133 </w:t>
      </w:r>
      <w:r w:rsidRPr="00687DE8">
        <w:rPr>
          <w:szCs w:val="24"/>
        </w:rPr>
        <w:t>tähistatud tervishoiuteenuse eest tasu maksmise kohustuse üle juhul, kui seda osutab plastika- ja rekonstruktiivkirurgia tegevusluba omav tervishoiuteenuse osutaja.</w:t>
      </w:r>
    </w:p>
    <w:p w14:paraId="46AF9000" w14:textId="77777777" w:rsidR="00976487" w:rsidRPr="00687DE8" w:rsidRDefault="00976487" w:rsidP="00976487">
      <w:pPr>
        <w:spacing w:after="0" w:line="240" w:lineRule="auto"/>
        <w:jc w:val="both"/>
        <w:divId w:val="1316184749"/>
        <w:rPr>
          <w:szCs w:val="24"/>
        </w:rPr>
      </w:pPr>
    </w:p>
    <w:p w14:paraId="58341B3A" w14:textId="4B2EBEDB" w:rsidR="00976487" w:rsidRPr="00687DE8" w:rsidRDefault="00976487" w:rsidP="00976487">
      <w:pPr>
        <w:spacing w:after="0" w:line="240" w:lineRule="auto"/>
        <w:jc w:val="both"/>
        <w:divId w:val="1316184749"/>
        <w:rPr>
          <w:szCs w:val="24"/>
        </w:rPr>
      </w:pPr>
      <w:r w:rsidRPr="00687DE8">
        <w:rPr>
          <w:szCs w:val="24"/>
        </w:rPr>
        <w:t xml:space="preserve">(6) </w:t>
      </w:r>
      <w:r w:rsidR="005023FD" w:rsidRPr="00687DE8">
        <w:rPr>
          <w:szCs w:val="24"/>
        </w:rPr>
        <w:t>Tervisekassa</w:t>
      </w:r>
      <w:r w:rsidRPr="00687DE8">
        <w:rPr>
          <w:szCs w:val="24"/>
        </w:rPr>
        <w:t xml:space="preserve"> võtab koodidega 0P2103 ja 0P2104 tähistatud tervishoiuteenuste eest tasu maksmise kohustuse üle juhul, kui tegemist on CEAP (Clinical-Etiological-Anatomical-Pathophysiological) klassifikatsiooni järgi C3 ja kõrgemas staadiumis oleva varikoosi seisundiga.</w:t>
      </w:r>
    </w:p>
    <w:p w14:paraId="620567FE" w14:textId="77777777" w:rsidR="739153FD" w:rsidRPr="00687DE8" w:rsidRDefault="739153FD" w:rsidP="739153FD">
      <w:pPr>
        <w:spacing w:after="0" w:line="240" w:lineRule="auto"/>
        <w:jc w:val="both"/>
        <w:rPr>
          <w:szCs w:val="24"/>
        </w:rPr>
      </w:pPr>
    </w:p>
    <w:p w14:paraId="04737902" w14:textId="442043FF" w:rsidR="0073225C" w:rsidRPr="00687DE8" w:rsidRDefault="0073225C" w:rsidP="739153FD">
      <w:pPr>
        <w:spacing w:after="0" w:line="240" w:lineRule="auto"/>
        <w:jc w:val="both"/>
        <w:rPr>
          <w:szCs w:val="24"/>
        </w:rPr>
      </w:pPr>
      <w:r w:rsidRPr="00687DE8">
        <w:rPr>
          <w:szCs w:val="24"/>
        </w:rPr>
        <w:t xml:space="preserve">(7) </w:t>
      </w:r>
      <w:r w:rsidR="00D70D13" w:rsidRPr="00687DE8">
        <w:rPr>
          <w:szCs w:val="24"/>
        </w:rPr>
        <w:t>K</w:t>
      </w:r>
      <w:r w:rsidR="006B38C9" w:rsidRPr="00687DE8">
        <w:rPr>
          <w:szCs w:val="24"/>
        </w:rPr>
        <w:t xml:space="preserve">oodiga </w:t>
      </w:r>
      <w:r w:rsidR="00FC1AF3" w:rsidRPr="00687DE8">
        <w:rPr>
          <w:szCs w:val="24"/>
        </w:rPr>
        <w:t>1A2138</w:t>
      </w:r>
      <w:r w:rsidR="001D12AA" w:rsidRPr="00687DE8">
        <w:rPr>
          <w:szCs w:val="24"/>
        </w:rPr>
        <w:t xml:space="preserve"> </w:t>
      </w:r>
      <w:r w:rsidR="00E87073" w:rsidRPr="00687DE8">
        <w:rPr>
          <w:szCs w:val="24"/>
        </w:rPr>
        <w:t>või</w:t>
      </w:r>
      <w:r w:rsidR="00FC1AF3" w:rsidRPr="00687DE8">
        <w:rPr>
          <w:szCs w:val="24"/>
        </w:rPr>
        <w:t xml:space="preserve"> 1</w:t>
      </w:r>
      <w:r w:rsidR="003375FF" w:rsidRPr="00687DE8">
        <w:rPr>
          <w:szCs w:val="24"/>
        </w:rPr>
        <w:t>A</w:t>
      </w:r>
      <w:r w:rsidR="00FC1AF3" w:rsidRPr="00687DE8">
        <w:rPr>
          <w:szCs w:val="24"/>
        </w:rPr>
        <w:t>2139</w:t>
      </w:r>
      <w:r w:rsidR="001D12AA" w:rsidRPr="00687DE8">
        <w:rPr>
          <w:szCs w:val="24"/>
        </w:rPr>
        <w:t xml:space="preserve"> </w:t>
      </w:r>
      <w:r w:rsidR="006B38C9" w:rsidRPr="00687DE8">
        <w:rPr>
          <w:szCs w:val="24"/>
        </w:rPr>
        <w:t>tähistatud tervishoiuteenus</w:t>
      </w:r>
      <w:r w:rsidR="003712C7" w:rsidRPr="00687DE8">
        <w:rPr>
          <w:szCs w:val="24"/>
        </w:rPr>
        <w:t>t</w:t>
      </w:r>
      <w:r w:rsidR="00D70D13" w:rsidRPr="00687DE8">
        <w:rPr>
          <w:szCs w:val="24"/>
        </w:rPr>
        <w:t xml:space="preserve"> rakendatakse </w:t>
      </w:r>
      <w:r w:rsidR="0030239D" w:rsidRPr="00687DE8">
        <w:rPr>
          <w:szCs w:val="24"/>
        </w:rPr>
        <w:t>koos koodiga 29</w:t>
      </w:r>
      <w:r w:rsidR="009B4507" w:rsidRPr="00687DE8">
        <w:rPr>
          <w:szCs w:val="24"/>
        </w:rPr>
        <w:t>90</w:t>
      </w:r>
      <w:r w:rsidR="0030239D" w:rsidRPr="00687DE8">
        <w:rPr>
          <w:szCs w:val="24"/>
        </w:rPr>
        <w:t>L või 299</w:t>
      </w:r>
      <w:r w:rsidR="009B4507" w:rsidRPr="00687DE8">
        <w:rPr>
          <w:szCs w:val="24"/>
        </w:rPr>
        <w:t>1</w:t>
      </w:r>
      <w:r w:rsidR="0030239D" w:rsidRPr="00687DE8">
        <w:rPr>
          <w:szCs w:val="24"/>
        </w:rPr>
        <w:t>L</w:t>
      </w:r>
      <w:r w:rsidR="006119DF" w:rsidRPr="00687DE8">
        <w:rPr>
          <w:szCs w:val="24"/>
        </w:rPr>
        <w:t xml:space="preserve"> tähistatud tervishoiuteenusega</w:t>
      </w:r>
      <w:r w:rsidR="006B38C9" w:rsidRPr="00687DE8">
        <w:rPr>
          <w:szCs w:val="24"/>
        </w:rPr>
        <w:t>.</w:t>
      </w:r>
    </w:p>
    <w:p w14:paraId="5CF5ED42" w14:textId="77777777" w:rsidR="00057BA7" w:rsidRPr="00687DE8" w:rsidRDefault="00057BA7" w:rsidP="739153FD">
      <w:pPr>
        <w:spacing w:after="0" w:line="240" w:lineRule="auto"/>
        <w:jc w:val="both"/>
        <w:rPr>
          <w:szCs w:val="24"/>
        </w:rPr>
      </w:pPr>
    </w:p>
    <w:p w14:paraId="619BEB45" w14:textId="78040108" w:rsidR="00057BA7" w:rsidRPr="00687DE8" w:rsidRDefault="00057BA7" w:rsidP="739153FD">
      <w:pPr>
        <w:spacing w:after="0" w:line="240" w:lineRule="auto"/>
        <w:jc w:val="both"/>
        <w:rPr>
          <w:szCs w:val="24"/>
        </w:rPr>
      </w:pPr>
      <w:r w:rsidRPr="00687DE8">
        <w:rPr>
          <w:szCs w:val="24"/>
        </w:rPr>
        <w:t xml:space="preserve">(8) </w:t>
      </w:r>
      <w:r w:rsidR="008862DA" w:rsidRPr="00687DE8">
        <w:rPr>
          <w:szCs w:val="24"/>
        </w:rPr>
        <w:t xml:space="preserve">Koodidega 1Q2201 </w:t>
      </w:r>
      <w:r w:rsidR="006E1C8A" w:rsidRPr="00687DE8">
        <w:rPr>
          <w:szCs w:val="24"/>
        </w:rPr>
        <w:t>ja</w:t>
      </w:r>
      <w:r w:rsidR="008862DA" w:rsidRPr="00687DE8">
        <w:rPr>
          <w:szCs w:val="24"/>
        </w:rPr>
        <w:t xml:space="preserve"> 1Q2202 tähistatud tervishoiuteenuseid rakendatakse kuni 19</w:t>
      </w:r>
      <w:r w:rsidR="002E2E86" w:rsidRPr="00687DE8">
        <w:rPr>
          <w:szCs w:val="24"/>
        </w:rPr>
        <w:t>-</w:t>
      </w:r>
      <w:r w:rsidR="008862DA" w:rsidRPr="00687DE8">
        <w:rPr>
          <w:szCs w:val="24"/>
        </w:rPr>
        <w:t>aastasel patsiendil infantiilse hemangioomi (RHK</w:t>
      </w:r>
      <w:r w:rsidR="006F38AB" w:rsidRPr="00687DE8">
        <w:rPr>
          <w:szCs w:val="24"/>
        </w:rPr>
        <w:t xml:space="preserve"> </w:t>
      </w:r>
      <w:r w:rsidR="008862DA" w:rsidRPr="00687DE8">
        <w:rPr>
          <w:szCs w:val="24"/>
        </w:rPr>
        <w:t>10 kood D18.0)</w:t>
      </w:r>
      <w:r w:rsidR="00675E94" w:rsidRPr="00687DE8">
        <w:rPr>
          <w:szCs w:val="24"/>
        </w:rPr>
        <w:t>,</w:t>
      </w:r>
      <w:r w:rsidR="008862DA" w:rsidRPr="00687DE8">
        <w:rPr>
          <w:szCs w:val="24"/>
        </w:rPr>
        <w:t xml:space="preserve"> </w:t>
      </w:r>
      <w:r w:rsidR="000D6F66" w:rsidRPr="00687DE8">
        <w:rPr>
          <w:szCs w:val="24"/>
        </w:rPr>
        <w:t>kaasasündinud mittekasvajalise neevuse (RHK 10 kood Q82.5) või perifeerse soonesüsteemi kaasasündinud väärarendi (RHK 10 kood Q27.8 või Q 27.9)</w:t>
      </w:r>
      <w:r w:rsidR="00976D52" w:rsidRPr="00687DE8">
        <w:rPr>
          <w:szCs w:val="24"/>
        </w:rPr>
        <w:t xml:space="preserve"> </w:t>
      </w:r>
      <w:r w:rsidR="008862DA" w:rsidRPr="00687DE8">
        <w:rPr>
          <w:szCs w:val="24"/>
        </w:rPr>
        <w:t>ravis.</w:t>
      </w:r>
    </w:p>
    <w:p w14:paraId="359D9E4B" w14:textId="77777777" w:rsidR="00976487" w:rsidRPr="00687DE8" w:rsidRDefault="00976487" w:rsidP="00976487">
      <w:pPr>
        <w:spacing w:after="0" w:line="240" w:lineRule="auto"/>
        <w:jc w:val="both"/>
        <w:divId w:val="1316184749"/>
        <w:rPr>
          <w:szCs w:val="24"/>
        </w:rPr>
      </w:pPr>
    </w:p>
    <w:p w14:paraId="7ACE701F" w14:textId="77777777" w:rsidR="00976487" w:rsidRDefault="00976487" w:rsidP="00976487">
      <w:pPr>
        <w:spacing w:after="0" w:line="240" w:lineRule="auto"/>
        <w:jc w:val="both"/>
        <w:outlineLvl w:val="2"/>
        <w:divId w:val="1316184749"/>
        <w:rPr>
          <w:b/>
          <w:szCs w:val="24"/>
        </w:rPr>
      </w:pPr>
      <w:r w:rsidRPr="00687DE8">
        <w:rPr>
          <w:b/>
          <w:szCs w:val="24"/>
        </w:rPr>
        <w:t xml:space="preserve">§ </w:t>
      </w:r>
      <w:r w:rsidR="00171E5E" w:rsidRPr="00687DE8">
        <w:rPr>
          <w:b/>
          <w:szCs w:val="24"/>
        </w:rPr>
        <w:t>49</w:t>
      </w:r>
      <w:r w:rsidRPr="00687DE8">
        <w:rPr>
          <w:b/>
          <w:szCs w:val="24"/>
        </w:rPr>
        <w:t>. Ortopeedia operatsioonide piirhinnad</w:t>
      </w:r>
    </w:p>
    <w:p w14:paraId="79229193" w14:textId="77777777" w:rsidR="005332E6" w:rsidRDefault="005332E6" w:rsidP="00976487">
      <w:pPr>
        <w:spacing w:after="0" w:line="240" w:lineRule="auto"/>
        <w:jc w:val="both"/>
        <w:divId w:val="1316184749"/>
        <w:rPr>
          <w:szCs w:val="24"/>
        </w:rPr>
      </w:pPr>
    </w:p>
    <w:p w14:paraId="5CB03D09" w14:textId="647BB6D9" w:rsidR="00976487" w:rsidRPr="00687DE8" w:rsidRDefault="00976487" w:rsidP="00976487">
      <w:pPr>
        <w:spacing w:after="0" w:line="240" w:lineRule="auto"/>
        <w:jc w:val="both"/>
        <w:divId w:val="1316184749"/>
        <w:rPr>
          <w:szCs w:val="24"/>
        </w:rPr>
      </w:pPr>
      <w:r w:rsidRPr="00687DE8">
        <w:rPr>
          <w:szCs w:val="24"/>
        </w:rPr>
        <w:t>(1) Ortopeedia operatsioonide piirhinnad on järgmised:</w:t>
      </w:r>
    </w:p>
    <w:p w14:paraId="70227223"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gridCol w:w="2577"/>
        <w:gridCol w:w="1485"/>
      </w:tblGrid>
      <w:tr w:rsidR="00976487" w:rsidRPr="00687DE8" w14:paraId="4DAAFBE9" w14:textId="77777777" w:rsidTr="00911FCE">
        <w:trPr>
          <w:divId w:val="1316184749"/>
          <w:tblHeader/>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8189D2" w14:textId="77777777" w:rsidR="00976487" w:rsidRPr="00687DE8" w:rsidRDefault="00976487">
            <w:pPr>
              <w:spacing w:after="0" w:line="240" w:lineRule="auto"/>
              <w:jc w:val="center"/>
              <w:rPr>
                <w:szCs w:val="24"/>
              </w:rPr>
            </w:pPr>
            <w:r w:rsidRPr="00687DE8">
              <w:rPr>
                <w:b/>
                <w:bCs/>
                <w:szCs w:val="24"/>
              </w:rPr>
              <w:t>Tervishoiuteenuse nimetus</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9126B7" w14:textId="77777777" w:rsidR="00976487" w:rsidRPr="00687DE8" w:rsidRDefault="00976487">
            <w:pPr>
              <w:spacing w:after="0" w:line="240" w:lineRule="auto"/>
              <w:jc w:val="center"/>
              <w:rPr>
                <w:szCs w:val="24"/>
              </w:rPr>
            </w:pPr>
            <w:r w:rsidRPr="00687DE8">
              <w:rPr>
                <w:b/>
                <w:bCs/>
                <w:szCs w:val="24"/>
              </w:rPr>
              <w:t>Kood</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8703D5"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5C08E1" w:rsidRPr="00687DE8" w14:paraId="1E307D81"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8F0B50" w14:textId="77777777" w:rsidR="005C08E1" w:rsidRPr="00687DE8" w:rsidRDefault="005C08E1" w:rsidP="005C08E1">
            <w:pPr>
              <w:spacing w:after="0" w:line="240" w:lineRule="auto"/>
              <w:rPr>
                <w:szCs w:val="24"/>
              </w:rPr>
            </w:pPr>
            <w:r w:rsidRPr="00687DE8">
              <w:rPr>
                <w:szCs w:val="24"/>
              </w:rPr>
              <w:t>Dupuytreni kontraktuuri operatsioon</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B1C499" w14:textId="77777777" w:rsidR="005C08E1" w:rsidRPr="00687DE8" w:rsidRDefault="005C08E1" w:rsidP="005C08E1">
            <w:pPr>
              <w:spacing w:after="0" w:line="240" w:lineRule="auto"/>
              <w:jc w:val="center"/>
              <w:rPr>
                <w:szCs w:val="24"/>
              </w:rPr>
            </w:pPr>
            <w:r w:rsidRPr="00687DE8">
              <w:rPr>
                <w:szCs w:val="24"/>
              </w:rPr>
              <w:t>0N2105</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4AD2AF" w14:textId="451C5787" w:rsidR="396992BA" w:rsidRPr="00687DE8" w:rsidRDefault="0001177F">
            <w:pPr>
              <w:spacing w:after="0"/>
              <w:jc w:val="center"/>
              <w:rPr>
                <w:color w:val="000000" w:themeColor="text1"/>
                <w:szCs w:val="24"/>
              </w:rPr>
            </w:pPr>
            <w:r>
              <w:rPr>
                <w:color w:val="000000"/>
              </w:rPr>
              <w:t>394,41</w:t>
            </w:r>
          </w:p>
        </w:tc>
      </w:tr>
      <w:tr w:rsidR="005C08E1" w:rsidRPr="00687DE8" w14:paraId="0FDED89C"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4B826C" w14:textId="77777777" w:rsidR="005C08E1" w:rsidRPr="00687DE8" w:rsidRDefault="005C08E1" w:rsidP="005C08E1">
            <w:pPr>
              <w:spacing w:after="0" w:line="240" w:lineRule="auto"/>
              <w:rPr>
                <w:szCs w:val="24"/>
              </w:rPr>
            </w:pPr>
            <w:r w:rsidRPr="00687DE8">
              <w:rPr>
                <w:szCs w:val="24"/>
              </w:rPr>
              <w:t>Karpaalkanali sündroomi kirurgiline ravi koos tenosünoviidi raviga</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D74ACA" w14:textId="77777777" w:rsidR="005C08E1" w:rsidRPr="00687DE8" w:rsidRDefault="005C08E1" w:rsidP="005C08E1">
            <w:pPr>
              <w:spacing w:after="0" w:line="240" w:lineRule="auto"/>
              <w:jc w:val="center"/>
              <w:rPr>
                <w:szCs w:val="24"/>
              </w:rPr>
            </w:pPr>
            <w:r w:rsidRPr="00687DE8">
              <w:rPr>
                <w:szCs w:val="24"/>
              </w:rPr>
              <w:t>0N2116</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9F6EEF" w14:textId="6B56A17E" w:rsidR="396992BA" w:rsidRPr="00687DE8" w:rsidRDefault="0001177F">
            <w:pPr>
              <w:spacing w:after="0"/>
              <w:jc w:val="center"/>
              <w:rPr>
                <w:color w:val="000000" w:themeColor="text1"/>
                <w:szCs w:val="24"/>
              </w:rPr>
            </w:pPr>
            <w:r>
              <w:rPr>
                <w:color w:val="000000"/>
              </w:rPr>
              <w:t>353,60</w:t>
            </w:r>
          </w:p>
        </w:tc>
      </w:tr>
      <w:tr w:rsidR="005C08E1" w:rsidRPr="00687DE8" w14:paraId="4C340C53"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2887B9" w14:textId="77777777" w:rsidR="005C08E1" w:rsidRPr="00687DE8" w:rsidRDefault="005C08E1" w:rsidP="005C08E1">
            <w:pPr>
              <w:spacing w:after="0" w:line="240" w:lineRule="auto"/>
              <w:rPr>
                <w:szCs w:val="24"/>
              </w:rPr>
            </w:pPr>
            <w:r w:rsidRPr="00687DE8">
              <w:rPr>
                <w:szCs w:val="24"/>
              </w:rPr>
              <w:t>Tenosünoviidi kirurgiline ravi</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EBC71B" w14:textId="77777777" w:rsidR="005C08E1" w:rsidRPr="00687DE8" w:rsidRDefault="005C08E1" w:rsidP="005C08E1">
            <w:pPr>
              <w:spacing w:after="0" w:line="240" w:lineRule="auto"/>
              <w:jc w:val="center"/>
              <w:rPr>
                <w:szCs w:val="24"/>
              </w:rPr>
            </w:pPr>
            <w:r w:rsidRPr="00687DE8">
              <w:rPr>
                <w:szCs w:val="24"/>
              </w:rPr>
              <w:t>0N2107</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CFE192" w14:textId="757E5B9A" w:rsidR="396992BA" w:rsidRPr="00687DE8" w:rsidRDefault="0001177F">
            <w:pPr>
              <w:spacing w:after="0"/>
              <w:jc w:val="center"/>
              <w:rPr>
                <w:color w:val="000000" w:themeColor="text1"/>
                <w:szCs w:val="24"/>
              </w:rPr>
            </w:pPr>
            <w:r>
              <w:rPr>
                <w:color w:val="000000"/>
              </w:rPr>
              <w:t>249,31</w:t>
            </w:r>
          </w:p>
        </w:tc>
      </w:tr>
      <w:tr w:rsidR="005C08E1" w:rsidRPr="00687DE8" w14:paraId="7AEDA655"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C9AAB7" w14:textId="77777777" w:rsidR="005C08E1" w:rsidRPr="00687DE8" w:rsidRDefault="005C08E1" w:rsidP="005C08E1">
            <w:pPr>
              <w:spacing w:after="0" w:line="240" w:lineRule="auto"/>
              <w:rPr>
                <w:szCs w:val="24"/>
              </w:rPr>
            </w:pPr>
            <w:r w:rsidRPr="00687DE8">
              <w:rPr>
                <w:szCs w:val="24"/>
              </w:rPr>
              <w:t>Luuplastika</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A6EACC" w14:textId="77777777" w:rsidR="005C08E1" w:rsidRPr="00687DE8" w:rsidRDefault="005C08E1" w:rsidP="005C08E1">
            <w:pPr>
              <w:spacing w:after="0" w:line="240" w:lineRule="auto"/>
              <w:jc w:val="center"/>
              <w:rPr>
                <w:szCs w:val="24"/>
              </w:rPr>
            </w:pPr>
            <w:r w:rsidRPr="00687DE8">
              <w:rPr>
                <w:szCs w:val="24"/>
              </w:rPr>
              <w:t>0N2108</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DC5A53" w14:textId="0B8D1477" w:rsidR="396992BA" w:rsidRPr="00687DE8" w:rsidRDefault="0001177F">
            <w:pPr>
              <w:spacing w:after="0"/>
              <w:jc w:val="center"/>
              <w:rPr>
                <w:color w:val="000000" w:themeColor="text1"/>
                <w:szCs w:val="24"/>
              </w:rPr>
            </w:pPr>
            <w:r>
              <w:rPr>
                <w:color w:val="000000"/>
              </w:rPr>
              <w:t>613,40</w:t>
            </w:r>
          </w:p>
        </w:tc>
      </w:tr>
      <w:tr w:rsidR="005C08E1" w:rsidRPr="00687DE8" w14:paraId="661C8F2D"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130551" w14:textId="77777777" w:rsidR="005C08E1" w:rsidRPr="00687DE8" w:rsidRDefault="005C08E1" w:rsidP="005C08E1">
            <w:pPr>
              <w:spacing w:after="0" w:line="240" w:lineRule="auto"/>
              <w:rPr>
                <w:szCs w:val="24"/>
              </w:rPr>
            </w:pPr>
            <w:r w:rsidRPr="00687DE8">
              <w:rPr>
                <w:i/>
                <w:iCs/>
                <w:szCs w:val="24"/>
              </w:rPr>
              <w:t>Hallux valgus</w:t>
            </w:r>
            <w:r w:rsidRPr="00687DE8">
              <w:rPr>
                <w:szCs w:val="24"/>
              </w:rPr>
              <w:t>’e operatsioon</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BFA069" w14:textId="77777777" w:rsidR="005C08E1" w:rsidRPr="00687DE8" w:rsidRDefault="005C08E1" w:rsidP="005C08E1">
            <w:pPr>
              <w:spacing w:after="0" w:line="240" w:lineRule="auto"/>
              <w:jc w:val="center"/>
              <w:rPr>
                <w:szCs w:val="24"/>
              </w:rPr>
            </w:pPr>
            <w:r w:rsidRPr="00687DE8">
              <w:rPr>
                <w:szCs w:val="24"/>
              </w:rPr>
              <w:t>0N2109</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D0C064" w14:textId="3E56D3E6" w:rsidR="396992BA" w:rsidRPr="00687DE8" w:rsidRDefault="0001177F">
            <w:pPr>
              <w:spacing w:after="0"/>
              <w:jc w:val="center"/>
              <w:rPr>
                <w:color w:val="000000" w:themeColor="text1"/>
                <w:szCs w:val="24"/>
              </w:rPr>
            </w:pPr>
            <w:r>
              <w:rPr>
                <w:color w:val="000000"/>
              </w:rPr>
              <w:t>353,79</w:t>
            </w:r>
          </w:p>
        </w:tc>
      </w:tr>
      <w:tr w:rsidR="005C08E1" w:rsidRPr="00687DE8" w14:paraId="57E0EE3A"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ADA6D5" w14:textId="77777777" w:rsidR="005C08E1" w:rsidRPr="00687DE8" w:rsidRDefault="005C08E1" w:rsidP="005C08E1">
            <w:pPr>
              <w:spacing w:after="0" w:line="240" w:lineRule="auto"/>
              <w:rPr>
                <w:szCs w:val="24"/>
              </w:rPr>
            </w:pPr>
            <w:r w:rsidRPr="00687DE8">
              <w:rPr>
                <w:szCs w:val="24"/>
              </w:rPr>
              <w:t>Labakäe või -jala deformatsioonide kirurgiline ravi</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E63263" w14:textId="77777777" w:rsidR="005C08E1" w:rsidRPr="00687DE8" w:rsidRDefault="005C08E1" w:rsidP="005C08E1">
            <w:pPr>
              <w:spacing w:after="0" w:line="240" w:lineRule="auto"/>
              <w:jc w:val="center"/>
              <w:rPr>
                <w:szCs w:val="24"/>
              </w:rPr>
            </w:pPr>
            <w:r w:rsidRPr="00687DE8">
              <w:rPr>
                <w:szCs w:val="24"/>
              </w:rPr>
              <w:t>0N2110</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0BF9C9" w14:textId="240C0103" w:rsidR="396992BA" w:rsidRPr="00687DE8" w:rsidRDefault="0001177F">
            <w:pPr>
              <w:spacing w:after="0"/>
              <w:jc w:val="center"/>
              <w:rPr>
                <w:color w:val="000000" w:themeColor="text1"/>
                <w:szCs w:val="24"/>
              </w:rPr>
            </w:pPr>
            <w:r>
              <w:rPr>
                <w:color w:val="000000"/>
              </w:rPr>
              <w:t>628,66</w:t>
            </w:r>
          </w:p>
        </w:tc>
      </w:tr>
      <w:tr w:rsidR="005C08E1" w:rsidRPr="00687DE8" w14:paraId="681EEBDF"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2019EF" w14:textId="77777777" w:rsidR="005C08E1" w:rsidRPr="00687DE8" w:rsidRDefault="005C08E1" w:rsidP="005C08E1">
            <w:pPr>
              <w:spacing w:after="0" w:line="240" w:lineRule="auto"/>
              <w:rPr>
                <w:szCs w:val="24"/>
              </w:rPr>
            </w:pPr>
            <w:r w:rsidRPr="00687DE8">
              <w:rPr>
                <w:szCs w:val="24"/>
              </w:rPr>
              <w:lastRenderedPageBreak/>
              <w:t>Labakäe või -jala luude osteotoomia osteosünteesiga</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8FD11F" w14:textId="77777777" w:rsidR="005C08E1" w:rsidRPr="00687DE8" w:rsidRDefault="005C08E1" w:rsidP="005C08E1">
            <w:pPr>
              <w:spacing w:after="0" w:line="240" w:lineRule="auto"/>
              <w:jc w:val="center"/>
              <w:rPr>
                <w:szCs w:val="24"/>
              </w:rPr>
            </w:pPr>
            <w:r w:rsidRPr="00687DE8">
              <w:rPr>
                <w:szCs w:val="24"/>
              </w:rPr>
              <w:t>0N2111</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799877" w14:textId="7B8F9D7D" w:rsidR="396992BA" w:rsidRPr="00687DE8" w:rsidRDefault="0001177F">
            <w:pPr>
              <w:spacing w:after="0"/>
              <w:jc w:val="center"/>
              <w:rPr>
                <w:color w:val="000000" w:themeColor="text1"/>
                <w:szCs w:val="24"/>
              </w:rPr>
            </w:pPr>
            <w:r>
              <w:rPr>
                <w:color w:val="000000"/>
              </w:rPr>
              <w:t>565,78</w:t>
            </w:r>
          </w:p>
        </w:tc>
      </w:tr>
      <w:tr w:rsidR="005C08E1" w:rsidRPr="00687DE8" w14:paraId="37CBC3D6"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4BC92B" w14:textId="77777777" w:rsidR="005C08E1" w:rsidRPr="00687DE8" w:rsidRDefault="005C08E1" w:rsidP="005C08E1">
            <w:pPr>
              <w:spacing w:after="0" w:line="240" w:lineRule="auto"/>
              <w:rPr>
                <w:szCs w:val="24"/>
              </w:rPr>
            </w:pPr>
            <w:r w:rsidRPr="00687DE8">
              <w:rPr>
                <w:szCs w:val="24"/>
              </w:rPr>
              <w:t>Labakäe või -jala painutajakõõluste õmblus</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713376" w14:textId="77777777" w:rsidR="005C08E1" w:rsidRPr="00687DE8" w:rsidRDefault="005C08E1" w:rsidP="005C08E1">
            <w:pPr>
              <w:spacing w:after="0" w:line="240" w:lineRule="auto"/>
              <w:jc w:val="center"/>
              <w:rPr>
                <w:szCs w:val="24"/>
              </w:rPr>
            </w:pPr>
            <w:r w:rsidRPr="00687DE8">
              <w:rPr>
                <w:szCs w:val="24"/>
              </w:rPr>
              <w:t>0N2112</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62B972" w14:textId="4F99B69A" w:rsidR="396992BA" w:rsidRPr="00687DE8" w:rsidRDefault="0001177F">
            <w:pPr>
              <w:spacing w:after="0"/>
              <w:jc w:val="center"/>
              <w:rPr>
                <w:color w:val="000000" w:themeColor="text1"/>
                <w:szCs w:val="24"/>
              </w:rPr>
            </w:pPr>
            <w:r>
              <w:rPr>
                <w:color w:val="000000"/>
              </w:rPr>
              <w:t>624,58</w:t>
            </w:r>
          </w:p>
        </w:tc>
      </w:tr>
      <w:tr w:rsidR="005C08E1" w:rsidRPr="00687DE8" w14:paraId="7C3347FE"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24BF70" w14:textId="77777777" w:rsidR="005C08E1" w:rsidRPr="00687DE8" w:rsidRDefault="005C08E1" w:rsidP="005C08E1">
            <w:pPr>
              <w:spacing w:after="0" w:line="240" w:lineRule="auto"/>
              <w:rPr>
                <w:szCs w:val="24"/>
              </w:rPr>
            </w:pPr>
            <w:r w:rsidRPr="00687DE8">
              <w:rPr>
                <w:szCs w:val="24"/>
              </w:rPr>
              <w:t>Labakäe või -jala sirutajakõõluste ja/või -lihaste õmblus</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D0E53B" w14:textId="77777777" w:rsidR="005C08E1" w:rsidRPr="00687DE8" w:rsidRDefault="005C08E1" w:rsidP="005C08E1">
            <w:pPr>
              <w:spacing w:after="0" w:line="240" w:lineRule="auto"/>
              <w:jc w:val="center"/>
              <w:rPr>
                <w:szCs w:val="24"/>
              </w:rPr>
            </w:pPr>
            <w:r w:rsidRPr="00687DE8">
              <w:rPr>
                <w:szCs w:val="24"/>
              </w:rPr>
              <w:t>0N2113</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30585D" w14:textId="56FF04E4" w:rsidR="396992BA" w:rsidRPr="00687DE8" w:rsidRDefault="0001177F">
            <w:pPr>
              <w:spacing w:after="0"/>
              <w:jc w:val="center"/>
              <w:rPr>
                <w:color w:val="000000" w:themeColor="text1"/>
                <w:szCs w:val="24"/>
              </w:rPr>
            </w:pPr>
            <w:r>
              <w:rPr>
                <w:color w:val="000000"/>
              </w:rPr>
              <w:t>447,31</w:t>
            </w:r>
          </w:p>
        </w:tc>
      </w:tr>
      <w:tr w:rsidR="005C08E1" w:rsidRPr="00687DE8" w14:paraId="0BCCCA28"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5DC7FE" w14:textId="77777777" w:rsidR="005C08E1" w:rsidRPr="00687DE8" w:rsidRDefault="005C08E1" w:rsidP="005C08E1">
            <w:pPr>
              <w:spacing w:after="0" w:line="240" w:lineRule="auto"/>
              <w:rPr>
                <w:szCs w:val="24"/>
              </w:rPr>
            </w:pPr>
            <w:r w:rsidRPr="00687DE8">
              <w:rPr>
                <w:szCs w:val="24"/>
              </w:rPr>
              <w:t>Väikese luu osteosüntees</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CE4AB1" w14:textId="77777777" w:rsidR="005C08E1" w:rsidRPr="00687DE8" w:rsidRDefault="005C08E1" w:rsidP="005C08E1">
            <w:pPr>
              <w:spacing w:after="0" w:line="240" w:lineRule="auto"/>
              <w:jc w:val="center"/>
              <w:rPr>
                <w:szCs w:val="24"/>
              </w:rPr>
            </w:pPr>
            <w:r w:rsidRPr="00687DE8">
              <w:rPr>
                <w:szCs w:val="24"/>
              </w:rPr>
              <w:t>0N2114</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890AE" w14:textId="106B7B98" w:rsidR="396992BA" w:rsidRPr="00687DE8" w:rsidRDefault="0001177F">
            <w:pPr>
              <w:spacing w:after="0"/>
              <w:jc w:val="center"/>
              <w:rPr>
                <w:color w:val="000000" w:themeColor="text1"/>
                <w:szCs w:val="24"/>
              </w:rPr>
            </w:pPr>
            <w:r>
              <w:rPr>
                <w:color w:val="000000"/>
              </w:rPr>
              <w:t>650,02</w:t>
            </w:r>
          </w:p>
        </w:tc>
      </w:tr>
      <w:tr w:rsidR="005C08E1" w:rsidRPr="00687DE8" w14:paraId="6C86F48F"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742790" w14:textId="77777777" w:rsidR="005C08E1" w:rsidRPr="00687DE8" w:rsidRDefault="005C08E1" w:rsidP="005C08E1">
            <w:pPr>
              <w:spacing w:after="0" w:line="240" w:lineRule="auto"/>
              <w:rPr>
                <w:szCs w:val="24"/>
              </w:rPr>
            </w:pPr>
            <w:r w:rsidRPr="00687DE8">
              <w:rPr>
                <w:szCs w:val="24"/>
              </w:rPr>
              <w:t>Väikeste luude ja/või liigeste lahtine repositsioon ja fiksatsioon</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1EA0A4" w14:textId="77777777" w:rsidR="005C08E1" w:rsidRPr="00687DE8" w:rsidRDefault="005C08E1" w:rsidP="005C08E1">
            <w:pPr>
              <w:spacing w:after="0" w:line="240" w:lineRule="auto"/>
              <w:jc w:val="center"/>
              <w:rPr>
                <w:szCs w:val="24"/>
              </w:rPr>
            </w:pPr>
            <w:r w:rsidRPr="00687DE8">
              <w:rPr>
                <w:szCs w:val="24"/>
              </w:rPr>
              <w:t>0N2115</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3C59E8" w14:textId="067124C1" w:rsidR="396992BA" w:rsidRPr="00687DE8" w:rsidRDefault="0001177F">
            <w:pPr>
              <w:spacing w:after="0"/>
              <w:jc w:val="center"/>
              <w:rPr>
                <w:color w:val="000000" w:themeColor="text1"/>
                <w:szCs w:val="24"/>
              </w:rPr>
            </w:pPr>
            <w:r>
              <w:rPr>
                <w:color w:val="000000"/>
              </w:rPr>
              <w:t>505,83</w:t>
            </w:r>
          </w:p>
        </w:tc>
      </w:tr>
      <w:tr w:rsidR="005C08E1" w:rsidRPr="00687DE8" w14:paraId="219DBCA7"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6105A4" w14:textId="77777777" w:rsidR="005C08E1" w:rsidRPr="00687DE8" w:rsidRDefault="005C08E1" w:rsidP="005C08E1">
            <w:pPr>
              <w:spacing w:after="0" w:line="240" w:lineRule="auto"/>
              <w:rPr>
                <w:szCs w:val="24"/>
              </w:rPr>
            </w:pPr>
            <w:r w:rsidRPr="00687DE8">
              <w:rPr>
                <w:szCs w:val="24"/>
              </w:rPr>
              <w:t>Muu operatsioon väikesel luul või liigesel</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22296F" w14:textId="77777777" w:rsidR="005C08E1" w:rsidRPr="00687DE8" w:rsidRDefault="005C08E1" w:rsidP="005C08E1">
            <w:pPr>
              <w:spacing w:after="0" w:line="240" w:lineRule="auto"/>
              <w:jc w:val="center"/>
              <w:rPr>
                <w:szCs w:val="24"/>
              </w:rPr>
            </w:pPr>
            <w:r w:rsidRPr="00687DE8">
              <w:rPr>
                <w:szCs w:val="24"/>
              </w:rPr>
              <w:t>0N2117</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8968F7" w14:textId="3D9BABDF" w:rsidR="396992BA" w:rsidRPr="00687DE8" w:rsidRDefault="0001177F">
            <w:pPr>
              <w:spacing w:after="0"/>
              <w:jc w:val="center"/>
              <w:rPr>
                <w:color w:val="000000" w:themeColor="text1"/>
                <w:szCs w:val="24"/>
              </w:rPr>
            </w:pPr>
            <w:r>
              <w:rPr>
                <w:color w:val="000000"/>
              </w:rPr>
              <w:t>461,08</w:t>
            </w:r>
          </w:p>
        </w:tc>
      </w:tr>
      <w:tr w:rsidR="005C08E1" w:rsidRPr="00687DE8" w14:paraId="0F089430"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5B12A8" w14:textId="77777777" w:rsidR="005C08E1" w:rsidRPr="00687DE8" w:rsidRDefault="005C08E1" w:rsidP="005C08E1">
            <w:pPr>
              <w:spacing w:after="0" w:line="240" w:lineRule="auto"/>
              <w:rPr>
                <w:szCs w:val="24"/>
              </w:rPr>
            </w:pPr>
            <w:r w:rsidRPr="00687DE8">
              <w:rPr>
                <w:szCs w:val="24"/>
              </w:rPr>
              <w:t>Luu trepanatsioon ja/või sekvestrektoomia</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E79584" w14:textId="77777777" w:rsidR="005C08E1" w:rsidRPr="00687DE8" w:rsidRDefault="005C08E1" w:rsidP="005C08E1">
            <w:pPr>
              <w:spacing w:after="0" w:line="240" w:lineRule="auto"/>
              <w:jc w:val="center"/>
              <w:rPr>
                <w:szCs w:val="24"/>
              </w:rPr>
            </w:pPr>
            <w:r w:rsidRPr="00687DE8">
              <w:rPr>
                <w:szCs w:val="24"/>
              </w:rPr>
              <w:t>0N2118</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048620" w14:textId="181D66DA" w:rsidR="396992BA" w:rsidRPr="00687DE8" w:rsidRDefault="0001177F">
            <w:pPr>
              <w:spacing w:after="0"/>
              <w:jc w:val="center"/>
              <w:rPr>
                <w:color w:val="000000" w:themeColor="text1"/>
                <w:szCs w:val="24"/>
              </w:rPr>
            </w:pPr>
            <w:r>
              <w:rPr>
                <w:color w:val="000000"/>
              </w:rPr>
              <w:t>453,96</w:t>
            </w:r>
          </w:p>
        </w:tc>
      </w:tr>
      <w:tr w:rsidR="005C08E1" w:rsidRPr="00687DE8" w14:paraId="4606E799"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29B487" w14:textId="77777777" w:rsidR="005C08E1" w:rsidRPr="00687DE8" w:rsidRDefault="005C08E1" w:rsidP="005C08E1">
            <w:pPr>
              <w:spacing w:after="0" w:line="240" w:lineRule="auto"/>
              <w:rPr>
                <w:szCs w:val="24"/>
              </w:rPr>
            </w:pPr>
            <w:r w:rsidRPr="00687DE8">
              <w:rPr>
                <w:szCs w:val="24"/>
              </w:rPr>
              <w:t>Suurte liigeste ja/või luude lahtine repositsioon ja fiksatsioon</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FF76A2" w14:textId="77777777" w:rsidR="005C08E1" w:rsidRPr="00687DE8" w:rsidRDefault="005C08E1" w:rsidP="005C08E1">
            <w:pPr>
              <w:spacing w:after="0" w:line="240" w:lineRule="auto"/>
              <w:jc w:val="center"/>
              <w:rPr>
                <w:szCs w:val="24"/>
              </w:rPr>
            </w:pPr>
            <w:r w:rsidRPr="00687DE8">
              <w:rPr>
                <w:szCs w:val="24"/>
              </w:rPr>
              <w:t>0N2119</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959D0B" w14:textId="3AFF6EB2" w:rsidR="396992BA" w:rsidRPr="00687DE8" w:rsidRDefault="0001177F">
            <w:pPr>
              <w:spacing w:after="0"/>
              <w:jc w:val="center"/>
              <w:rPr>
                <w:color w:val="000000" w:themeColor="text1"/>
                <w:szCs w:val="24"/>
              </w:rPr>
            </w:pPr>
            <w:r>
              <w:rPr>
                <w:color w:val="000000"/>
              </w:rPr>
              <w:t>689,94</w:t>
            </w:r>
          </w:p>
        </w:tc>
      </w:tr>
      <w:tr w:rsidR="005C08E1" w:rsidRPr="00687DE8" w14:paraId="3CF8F1AF"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EFC1EF" w14:textId="77777777" w:rsidR="005C08E1" w:rsidRPr="00687DE8" w:rsidRDefault="005C08E1" w:rsidP="005C08E1">
            <w:pPr>
              <w:spacing w:after="0" w:line="240" w:lineRule="auto"/>
              <w:rPr>
                <w:szCs w:val="24"/>
              </w:rPr>
            </w:pPr>
            <w:r w:rsidRPr="00687DE8">
              <w:rPr>
                <w:szCs w:val="24"/>
              </w:rPr>
              <w:t>Reamputatsioon</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EFB023" w14:textId="77777777" w:rsidR="005C08E1" w:rsidRPr="00687DE8" w:rsidRDefault="005C08E1" w:rsidP="005C08E1">
            <w:pPr>
              <w:spacing w:after="0" w:line="240" w:lineRule="auto"/>
              <w:jc w:val="center"/>
              <w:rPr>
                <w:szCs w:val="24"/>
              </w:rPr>
            </w:pPr>
            <w:r w:rsidRPr="00687DE8">
              <w:rPr>
                <w:szCs w:val="24"/>
              </w:rPr>
              <w:t>0N2120</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D6F57D" w14:textId="744670A9" w:rsidR="396992BA" w:rsidRPr="00687DE8" w:rsidRDefault="0001177F">
            <w:pPr>
              <w:spacing w:after="0"/>
              <w:jc w:val="center"/>
              <w:rPr>
                <w:color w:val="000000" w:themeColor="text1"/>
                <w:szCs w:val="24"/>
              </w:rPr>
            </w:pPr>
            <w:r>
              <w:rPr>
                <w:color w:val="000000"/>
              </w:rPr>
              <w:t>601,03</w:t>
            </w:r>
          </w:p>
        </w:tc>
      </w:tr>
      <w:tr w:rsidR="005C08E1" w:rsidRPr="00687DE8" w14:paraId="7E55F758"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5C9241" w14:textId="77777777" w:rsidR="005C08E1" w:rsidRPr="00687DE8" w:rsidRDefault="005C08E1" w:rsidP="005C08E1">
            <w:pPr>
              <w:spacing w:after="0" w:line="240" w:lineRule="auto"/>
              <w:rPr>
                <w:szCs w:val="24"/>
              </w:rPr>
            </w:pPr>
            <w:r w:rsidRPr="00687DE8">
              <w:rPr>
                <w:szCs w:val="24"/>
              </w:rPr>
              <w:t>Liigesekapsli ja -sidemete õmblus</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638C9F" w14:textId="77777777" w:rsidR="005C08E1" w:rsidRPr="00687DE8" w:rsidRDefault="005C08E1" w:rsidP="005C08E1">
            <w:pPr>
              <w:spacing w:after="0" w:line="240" w:lineRule="auto"/>
              <w:jc w:val="center"/>
              <w:rPr>
                <w:szCs w:val="24"/>
              </w:rPr>
            </w:pPr>
            <w:r w:rsidRPr="00687DE8">
              <w:rPr>
                <w:szCs w:val="24"/>
              </w:rPr>
              <w:t>0N2121</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5C5587" w14:textId="4D5D06F8" w:rsidR="396992BA" w:rsidRPr="00687DE8" w:rsidRDefault="0001177F">
            <w:pPr>
              <w:spacing w:after="0"/>
              <w:jc w:val="center"/>
              <w:rPr>
                <w:color w:val="000000" w:themeColor="text1"/>
                <w:szCs w:val="24"/>
              </w:rPr>
            </w:pPr>
            <w:r>
              <w:rPr>
                <w:color w:val="000000"/>
              </w:rPr>
              <w:t>480,39</w:t>
            </w:r>
          </w:p>
        </w:tc>
      </w:tr>
      <w:tr w:rsidR="005C08E1" w:rsidRPr="00687DE8" w14:paraId="060A1BBB"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EEA92" w14:textId="77777777" w:rsidR="005C08E1" w:rsidRPr="00687DE8" w:rsidRDefault="005C08E1" w:rsidP="005C08E1">
            <w:pPr>
              <w:spacing w:after="0" w:line="240" w:lineRule="auto"/>
              <w:rPr>
                <w:szCs w:val="24"/>
              </w:rPr>
            </w:pPr>
            <w:r w:rsidRPr="00687DE8">
              <w:rPr>
                <w:szCs w:val="24"/>
              </w:rPr>
              <w:t>Võõrkeha eemaldamine liigesest või luust</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79C9C4" w14:textId="77777777" w:rsidR="005C08E1" w:rsidRPr="00687DE8" w:rsidRDefault="005C08E1" w:rsidP="005C08E1">
            <w:pPr>
              <w:spacing w:after="0" w:line="240" w:lineRule="auto"/>
              <w:jc w:val="center"/>
              <w:rPr>
                <w:szCs w:val="24"/>
              </w:rPr>
            </w:pPr>
            <w:r w:rsidRPr="00687DE8">
              <w:rPr>
                <w:szCs w:val="24"/>
              </w:rPr>
              <w:t>0N2122</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6A17AF" w14:textId="04E13070" w:rsidR="396992BA" w:rsidRPr="00687DE8" w:rsidRDefault="0001177F">
            <w:pPr>
              <w:spacing w:after="0"/>
              <w:jc w:val="center"/>
              <w:rPr>
                <w:color w:val="000000" w:themeColor="text1"/>
                <w:szCs w:val="24"/>
              </w:rPr>
            </w:pPr>
            <w:r>
              <w:rPr>
                <w:color w:val="000000"/>
              </w:rPr>
              <w:t>425,25</w:t>
            </w:r>
          </w:p>
        </w:tc>
      </w:tr>
      <w:tr w:rsidR="005C08E1" w:rsidRPr="00687DE8" w14:paraId="78AA8007"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D696DF" w14:textId="77777777" w:rsidR="005C08E1" w:rsidRPr="00687DE8" w:rsidRDefault="005C08E1" w:rsidP="005C08E1">
            <w:pPr>
              <w:spacing w:after="0" w:line="240" w:lineRule="auto"/>
              <w:rPr>
                <w:szCs w:val="24"/>
              </w:rPr>
            </w:pPr>
            <w:r w:rsidRPr="00687DE8">
              <w:rPr>
                <w:szCs w:val="24"/>
              </w:rPr>
              <w:t>Suure ortopeedilise implantaadi eemaldamine liigesest või luust</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66D3D9" w14:textId="77777777" w:rsidR="005C08E1" w:rsidRPr="00687DE8" w:rsidRDefault="005C08E1" w:rsidP="005C08E1">
            <w:pPr>
              <w:spacing w:after="0" w:line="240" w:lineRule="auto"/>
              <w:jc w:val="center"/>
              <w:rPr>
                <w:szCs w:val="24"/>
              </w:rPr>
            </w:pPr>
            <w:r w:rsidRPr="00687DE8">
              <w:rPr>
                <w:szCs w:val="24"/>
              </w:rPr>
              <w:t>0N2123</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DE5C35" w14:textId="4E0BF215" w:rsidR="396992BA" w:rsidRPr="00687DE8" w:rsidRDefault="0001177F">
            <w:pPr>
              <w:spacing w:after="0"/>
              <w:jc w:val="center"/>
              <w:rPr>
                <w:color w:val="000000" w:themeColor="text1"/>
                <w:szCs w:val="24"/>
              </w:rPr>
            </w:pPr>
            <w:r>
              <w:rPr>
                <w:color w:val="000000"/>
              </w:rPr>
              <w:t>403,97</w:t>
            </w:r>
          </w:p>
        </w:tc>
      </w:tr>
      <w:tr w:rsidR="005C08E1" w:rsidRPr="00687DE8" w14:paraId="35930B61"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FE8627" w14:textId="77777777" w:rsidR="005C08E1" w:rsidRPr="00687DE8" w:rsidRDefault="005C08E1" w:rsidP="005C08E1">
            <w:pPr>
              <w:spacing w:after="0" w:line="240" w:lineRule="auto"/>
              <w:rPr>
                <w:szCs w:val="24"/>
              </w:rPr>
            </w:pPr>
            <w:r w:rsidRPr="00687DE8">
              <w:rPr>
                <w:szCs w:val="24"/>
              </w:rPr>
              <w:t>Suure tüsistunud ortopeedilise implantaadi eemaldamine liigesest või luust</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26D5884" w14:textId="77777777" w:rsidR="005C08E1" w:rsidRPr="00687DE8" w:rsidRDefault="005C08E1" w:rsidP="005C08E1">
            <w:pPr>
              <w:spacing w:after="0" w:line="240" w:lineRule="auto"/>
              <w:jc w:val="center"/>
              <w:rPr>
                <w:szCs w:val="24"/>
              </w:rPr>
            </w:pPr>
            <w:r w:rsidRPr="00687DE8">
              <w:rPr>
                <w:szCs w:val="24"/>
              </w:rPr>
              <w:t>0N2124</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D6C589" w14:textId="3B52EEB7" w:rsidR="396992BA" w:rsidRPr="00687DE8" w:rsidRDefault="0001177F">
            <w:pPr>
              <w:spacing w:after="0"/>
              <w:jc w:val="center"/>
              <w:rPr>
                <w:color w:val="000000" w:themeColor="text1"/>
                <w:szCs w:val="24"/>
              </w:rPr>
            </w:pPr>
            <w:r>
              <w:rPr>
                <w:color w:val="000000"/>
              </w:rPr>
              <w:t>643,80</w:t>
            </w:r>
          </w:p>
        </w:tc>
      </w:tr>
      <w:tr w:rsidR="005C08E1" w:rsidRPr="00687DE8" w14:paraId="4B71F8FF"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28575C" w14:textId="77777777" w:rsidR="005C08E1" w:rsidRPr="00687DE8" w:rsidRDefault="005C08E1" w:rsidP="005C08E1">
            <w:pPr>
              <w:spacing w:after="0" w:line="240" w:lineRule="auto"/>
              <w:rPr>
                <w:szCs w:val="24"/>
              </w:rPr>
            </w:pPr>
            <w:r w:rsidRPr="00687DE8">
              <w:rPr>
                <w:szCs w:val="24"/>
              </w:rPr>
              <w:t>Endoproteesi eemaldamine suurest liigesest</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AC5D6E" w14:textId="77777777" w:rsidR="005C08E1" w:rsidRPr="00687DE8" w:rsidRDefault="005C08E1" w:rsidP="005C08E1">
            <w:pPr>
              <w:spacing w:after="0" w:line="240" w:lineRule="auto"/>
              <w:jc w:val="center"/>
              <w:rPr>
                <w:szCs w:val="24"/>
              </w:rPr>
            </w:pPr>
            <w:r w:rsidRPr="00687DE8">
              <w:rPr>
                <w:szCs w:val="24"/>
              </w:rPr>
              <w:t>0N2125</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FA3208" w14:textId="779CA936" w:rsidR="396992BA" w:rsidRPr="00687DE8" w:rsidRDefault="0001177F">
            <w:pPr>
              <w:spacing w:after="0"/>
              <w:jc w:val="center"/>
              <w:rPr>
                <w:color w:val="000000" w:themeColor="text1"/>
                <w:szCs w:val="24"/>
              </w:rPr>
            </w:pPr>
            <w:r>
              <w:rPr>
                <w:color w:val="000000"/>
              </w:rPr>
              <w:t>1 381,81</w:t>
            </w:r>
          </w:p>
        </w:tc>
      </w:tr>
      <w:tr w:rsidR="005C08E1" w:rsidRPr="00687DE8" w14:paraId="6CC5ACFC" w14:textId="77777777" w:rsidTr="00EB7A71">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6A1F42" w14:textId="77777777" w:rsidR="005C08E1" w:rsidRPr="00687DE8" w:rsidRDefault="005C08E1" w:rsidP="005C08E1">
            <w:pPr>
              <w:spacing w:after="0" w:line="240" w:lineRule="auto"/>
              <w:rPr>
                <w:szCs w:val="24"/>
              </w:rPr>
            </w:pPr>
            <w:r w:rsidRPr="00687DE8">
              <w:rPr>
                <w:szCs w:val="24"/>
              </w:rPr>
              <w:t>Plastiline operatsioon kõõlusel või lihasel</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3E11E5" w14:textId="77777777" w:rsidR="005C08E1" w:rsidRPr="00687DE8" w:rsidRDefault="005C08E1" w:rsidP="005C08E1">
            <w:pPr>
              <w:spacing w:after="0" w:line="240" w:lineRule="auto"/>
              <w:jc w:val="center"/>
              <w:rPr>
                <w:szCs w:val="24"/>
              </w:rPr>
            </w:pPr>
            <w:r w:rsidRPr="00687DE8">
              <w:rPr>
                <w:szCs w:val="24"/>
              </w:rPr>
              <w:t>0N2126</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662EDA" w14:textId="50146870" w:rsidR="396992BA" w:rsidRPr="00687DE8" w:rsidRDefault="0001177F">
            <w:pPr>
              <w:spacing w:after="0"/>
              <w:jc w:val="center"/>
              <w:rPr>
                <w:color w:val="000000" w:themeColor="text1"/>
                <w:szCs w:val="24"/>
              </w:rPr>
            </w:pPr>
            <w:r>
              <w:rPr>
                <w:color w:val="000000"/>
              </w:rPr>
              <w:t>683,99</w:t>
            </w:r>
          </w:p>
        </w:tc>
      </w:tr>
      <w:tr w:rsidR="005C08E1" w:rsidRPr="00687DE8" w14:paraId="65747506"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8A3FAC" w14:textId="77777777" w:rsidR="005C08E1" w:rsidRPr="00687DE8" w:rsidRDefault="005C08E1" w:rsidP="005C08E1">
            <w:pPr>
              <w:spacing w:after="0" w:line="240" w:lineRule="auto"/>
              <w:rPr>
                <w:szCs w:val="24"/>
              </w:rPr>
            </w:pPr>
            <w:r w:rsidRPr="00687DE8">
              <w:rPr>
                <w:szCs w:val="24"/>
              </w:rPr>
              <w:t>Suure toruluu osteosüntees plaadiga</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B9A8F0" w14:textId="77777777" w:rsidR="005C08E1" w:rsidRPr="00687DE8" w:rsidRDefault="005C08E1" w:rsidP="005C08E1">
            <w:pPr>
              <w:spacing w:after="0" w:line="240" w:lineRule="auto"/>
              <w:jc w:val="center"/>
              <w:rPr>
                <w:szCs w:val="24"/>
              </w:rPr>
            </w:pPr>
            <w:r w:rsidRPr="00687DE8">
              <w:rPr>
                <w:szCs w:val="24"/>
              </w:rPr>
              <w:t>0N2127</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83208D" w14:textId="39F77937" w:rsidR="396992BA" w:rsidRPr="00687DE8" w:rsidRDefault="0001177F">
            <w:pPr>
              <w:spacing w:after="0"/>
              <w:jc w:val="center"/>
              <w:rPr>
                <w:color w:val="000000" w:themeColor="text1"/>
                <w:szCs w:val="24"/>
              </w:rPr>
            </w:pPr>
            <w:r>
              <w:rPr>
                <w:color w:val="000000"/>
              </w:rPr>
              <w:t>887,65</w:t>
            </w:r>
          </w:p>
        </w:tc>
      </w:tr>
      <w:tr w:rsidR="005C08E1" w:rsidRPr="00687DE8" w14:paraId="29DA5BCC"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BA53E7" w14:textId="77777777" w:rsidR="005C08E1" w:rsidRPr="00687DE8" w:rsidRDefault="005C08E1" w:rsidP="005C08E1">
            <w:pPr>
              <w:spacing w:after="0" w:line="240" w:lineRule="auto"/>
              <w:rPr>
                <w:szCs w:val="24"/>
              </w:rPr>
            </w:pPr>
            <w:r w:rsidRPr="00687DE8">
              <w:rPr>
                <w:szCs w:val="24"/>
              </w:rPr>
              <w:t>Suure toruluu osteosüntees naelaga</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318DE5" w14:textId="77777777" w:rsidR="005C08E1" w:rsidRPr="00687DE8" w:rsidRDefault="005C08E1" w:rsidP="005C08E1">
            <w:pPr>
              <w:spacing w:after="0" w:line="240" w:lineRule="auto"/>
              <w:jc w:val="center"/>
              <w:rPr>
                <w:szCs w:val="24"/>
              </w:rPr>
            </w:pPr>
            <w:r w:rsidRPr="00687DE8">
              <w:rPr>
                <w:szCs w:val="24"/>
              </w:rPr>
              <w:t>0N2154</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0ADEC1" w14:textId="65F1F55D" w:rsidR="396992BA" w:rsidRPr="00687DE8" w:rsidRDefault="0001177F">
            <w:pPr>
              <w:spacing w:after="0"/>
              <w:jc w:val="center"/>
              <w:rPr>
                <w:color w:val="000000" w:themeColor="text1"/>
                <w:szCs w:val="24"/>
              </w:rPr>
            </w:pPr>
            <w:r>
              <w:rPr>
                <w:color w:val="000000"/>
              </w:rPr>
              <w:t>909,27</w:t>
            </w:r>
          </w:p>
        </w:tc>
      </w:tr>
      <w:tr w:rsidR="005C08E1" w:rsidRPr="00687DE8" w14:paraId="41364670"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0067C4" w14:textId="77777777" w:rsidR="005C08E1" w:rsidRPr="00687DE8" w:rsidRDefault="005C08E1" w:rsidP="005C08E1">
            <w:pPr>
              <w:spacing w:after="0" w:line="240" w:lineRule="auto"/>
              <w:rPr>
                <w:szCs w:val="24"/>
              </w:rPr>
            </w:pPr>
            <w:r w:rsidRPr="00687DE8">
              <w:rPr>
                <w:szCs w:val="24"/>
              </w:rPr>
              <w:t>Suure toruluu tüsistunud, lahtiste, killustunud murdude osteosüntees</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869329" w14:textId="77777777" w:rsidR="00302517" w:rsidRDefault="00302517" w:rsidP="005C08E1">
            <w:pPr>
              <w:spacing w:after="0" w:line="240" w:lineRule="auto"/>
              <w:jc w:val="center"/>
              <w:rPr>
                <w:szCs w:val="24"/>
              </w:rPr>
            </w:pPr>
          </w:p>
          <w:p w14:paraId="5F99AF0E" w14:textId="779093E4" w:rsidR="005C08E1" w:rsidRPr="00687DE8" w:rsidRDefault="005C08E1" w:rsidP="005C08E1">
            <w:pPr>
              <w:spacing w:after="0" w:line="240" w:lineRule="auto"/>
              <w:jc w:val="center"/>
              <w:rPr>
                <w:szCs w:val="24"/>
              </w:rPr>
            </w:pPr>
            <w:r w:rsidRPr="00687DE8">
              <w:rPr>
                <w:szCs w:val="24"/>
              </w:rPr>
              <w:t>0N2128</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FE19C5" w14:textId="0E5EEE71" w:rsidR="396992BA" w:rsidRPr="00687DE8" w:rsidRDefault="0001177F">
            <w:pPr>
              <w:spacing w:after="0"/>
              <w:jc w:val="center"/>
              <w:rPr>
                <w:color w:val="000000" w:themeColor="text1"/>
                <w:szCs w:val="24"/>
              </w:rPr>
            </w:pPr>
            <w:r>
              <w:rPr>
                <w:color w:val="000000"/>
              </w:rPr>
              <w:t>986,32</w:t>
            </w:r>
          </w:p>
        </w:tc>
      </w:tr>
      <w:tr w:rsidR="005C08E1" w:rsidRPr="00687DE8" w14:paraId="01BE5407"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39159F" w14:textId="77777777" w:rsidR="005C08E1" w:rsidRPr="00687DE8" w:rsidRDefault="005C08E1" w:rsidP="005C08E1">
            <w:pPr>
              <w:spacing w:after="0" w:line="240" w:lineRule="auto"/>
              <w:rPr>
                <w:szCs w:val="24"/>
              </w:rPr>
            </w:pPr>
            <w:r w:rsidRPr="00687DE8">
              <w:rPr>
                <w:szCs w:val="24"/>
              </w:rPr>
              <w:t>Suure toruluu osteotoomia osteosünteesiga</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FF53EB" w14:textId="77777777" w:rsidR="005C08E1" w:rsidRPr="00687DE8" w:rsidRDefault="005C08E1" w:rsidP="005C08E1">
            <w:pPr>
              <w:spacing w:after="0" w:line="240" w:lineRule="auto"/>
              <w:jc w:val="center"/>
              <w:rPr>
                <w:szCs w:val="24"/>
              </w:rPr>
            </w:pPr>
            <w:r w:rsidRPr="00687DE8">
              <w:rPr>
                <w:szCs w:val="24"/>
              </w:rPr>
              <w:t>0N2129</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19921B" w14:textId="6AEE2FFA" w:rsidR="396992BA" w:rsidRPr="00687DE8" w:rsidRDefault="0001177F">
            <w:pPr>
              <w:spacing w:after="0"/>
              <w:jc w:val="center"/>
              <w:rPr>
                <w:color w:val="000000" w:themeColor="text1"/>
                <w:szCs w:val="24"/>
              </w:rPr>
            </w:pPr>
            <w:r>
              <w:rPr>
                <w:color w:val="000000"/>
              </w:rPr>
              <w:t>1 149,67</w:t>
            </w:r>
          </w:p>
        </w:tc>
      </w:tr>
      <w:tr w:rsidR="005C08E1" w:rsidRPr="00687DE8" w14:paraId="32D7786B"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AA5300" w14:textId="5BD34A32" w:rsidR="005C08E1" w:rsidRPr="00687DE8" w:rsidRDefault="00B61310" w:rsidP="005C08E1">
            <w:pPr>
              <w:spacing w:after="0" w:line="240" w:lineRule="auto"/>
              <w:rPr>
                <w:szCs w:val="24"/>
              </w:rPr>
            </w:pPr>
            <w:r>
              <w:rPr>
                <w:szCs w:val="24"/>
              </w:rPr>
              <w:t>Reieluu proksimaalse osa</w:t>
            </w:r>
            <w:r w:rsidR="005C08E1" w:rsidRPr="00687DE8" w:rsidDel="0081494E">
              <w:rPr>
                <w:szCs w:val="24"/>
              </w:rPr>
              <w:t xml:space="preserve"> </w:t>
            </w:r>
            <w:r w:rsidR="005C08E1" w:rsidRPr="00687DE8">
              <w:rPr>
                <w:szCs w:val="24"/>
              </w:rPr>
              <w:t>osteosüntees</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3F2BA1" w14:textId="77777777" w:rsidR="005C08E1" w:rsidRPr="00687DE8" w:rsidRDefault="005C08E1" w:rsidP="005C08E1">
            <w:pPr>
              <w:spacing w:after="0" w:line="240" w:lineRule="auto"/>
              <w:jc w:val="center"/>
              <w:rPr>
                <w:szCs w:val="24"/>
              </w:rPr>
            </w:pPr>
            <w:r w:rsidRPr="00687DE8">
              <w:rPr>
                <w:szCs w:val="24"/>
              </w:rPr>
              <w:t>0N2130</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8A445F" w14:textId="4EB37C3C" w:rsidR="396992BA" w:rsidRPr="00687DE8" w:rsidRDefault="0001177F">
            <w:pPr>
              <w:spacing w:after="0"/>
              <w:jc w:val="center"/>
              <w:rPr>
                <w:color w:val="000000" w:themeColor="text1"/>
                <w:szCs w:val="24"/>
              </w:rPr>
            </w:pPr>
            <w:r>
              <w:rPr>
                <w:color w:val="000000"/>
              </w:rPr>
              <w:t>892,24</w:t>
            </w:r>
          </w:p>
        </w:tc>
      </w:tr>
      <w:tr w:rsidR="005C08E1" w:rsidRPr="00687DE8" w14:paraId="42ACE49F"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3381E8" w14:textId="2936AD19" w:rsidR="005C08E1" w:rsidRPr="00687DE8" w:rsidRDefault="163F6B82" w:rsidP="005C08E1">
            <w:pPr>
              <w:spacing w:after="0" w:line="240" w:lineRule="auto"/>
            </w:pPr>
            <w:r>
              <w:t>Suur</w:t>
            </w:r>
            <w:r w:rsidR="003029A2">
              <w:t xml:space="preserve">e </w:t>
            </w:r>
            <w:r>
              <w:t>l</w:t>
            </w:r>
            <w:r w:rsidR="005C08E1">
              <w:t>iigese</w:t>
            </w:r>
            <w:r w:rsidR="00ED1A97">
              <w:t xml:space="preserve"> </w:t>
            </w:r>
            <w:r w:rsidR="005C08E1">
              <w:t>sisese murru osteosüntees</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0B5D60" w14:textId="77777777" w:rsidR="005C08E1" w:rsidRPr="00687DE8" w:rsidRDefault="005C08E1" w:rsidP="005C08E1">
            <w:pPr>
              <w:spacing w:after="0" w:line="240" w:lineRule="auto"/>
              <w:jc w:val="center"/>
              <w:rPr>
                <w:szCs w:val="24"/>
              </w:rPr>
            </w:pPr>
            <w:r w:rsidRPr="00687DE8">
              <w:rPr>
                <w:szCs w:val="24"/>
              </w:rPr>
              <w:t>0N2131</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3066B8" w14:textId="56B1F1B9" w:rsidR="396992BA" w:rsidRPr="00687DE8" w:rsidRDefault="0001177F">
            <w:pPr>
              <w:spacing w:after="0"/>
              <w:jc w:val="center"/>
              <w:rPr>
                <w:color w:val="000000" w:themeColor="text1"/>
                <w:szCs w:val="24"/>
              </w:rPr>
            </w:pPr>
            <w:r>
              <w:rPr>
                <w:color w:val="000000"/>
              </w:rPr>
              <w:t>966,23</w:t>
            </w:r>
          </w:p>
        </w:tc>
      </w:tr>
      <w:tr w:rsidR="005C08E1" w:rsidRPr="00687DE8" w14:paraId="22EE00B3"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CB7AB4" w14:textId="77777777" w:rsidR="005C08E1" w:rsidRPr="00687DE8" w:rsidRDefault="005C08E1" w:rsidP="005C08E1">
            <w:pPr>
              <w:spacing w:after="0" w:line="240" w:lineRule="auto"/>
              <w:rPr>
                <w:szCs w:val="24"/>
              </w:rPr>
            </w:pPr>
            <w:r w:rsidRPr="00687DE8">
              <w:rPr>
                <w:szCs w:val="24"/>
              </w:rPr>
              <w:t>Välisfiksatsioon luudel ja/või liigestel</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2F4E85" w14:textId="77777777" w:rsidR="005C08E1" w:rsidRPr="00687DE8" w:rsidRDefault="005C08E1" w:rsidP="005C08E1">
            <w:pPr>
              <w:spacing w:after="0" w:line="240" w:lineRule="auto"/>
              <w:jc w:val="center"/>
              <w:rPr>
                <w:szCs w:val="24"/>
              </w:rPr>
            </w:pPr>
            <w:r w:rsidRPr="00687DE8">
              <w:rPr>
                <w:szCs w:val="24"/>
              </w:rPr>
              <w:t>0N2132</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455E04" w14:textId="03931D94" w:rsidR="396992BA" w:rsidRPr="00687DE8" w:rsidRDefault="0001177F">
            <w:pPr>
              <w:spacing w:after="0"/>
              <w:jc w:val="center"/>
              <w:rPr>
                <w:color w:val="000000" w:themeColor="text1"/>
                <w:szCs w:val="24"/>
              </w:rPr>
            </w:pPr>
            <w:r>
              <w:rPr>
                <w:color w:val="000000"/>
              </w:rPr>
              <w:t>1 007,55</w:t>
            </w:r>
          </w:p>
        </w:tc>
      </w:tr>
      <w:tr w:rsidR="005C08E1" w:rsidRPr="00687DE8" w14:paraId="7E9B3473"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9D9857" w14:textId="77777777" w:rsidR="005C08E1" w:rsidRPr="00687DE8" w:rsidRDefault="005C08E1" w:rsidP="005C08E1">
            <w:pPr>
              <w:spacing w:after="0" w:line="240" w:lineRule="auto"/>
              <w:rPr>
                <w:szCs w:val="24"/>
              </w:rPr>
            </w:pPr>
            <w:r w:rsidRPr="00687DE8">
              <w:rPr>
                <w:szCs w:val="24"/>
              </w:rPr>
              <w:t>Suure liigese artrodees või artroplastika</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E9F5C1" w14:textId="77777777" w:rsidR="005C08E1" w:rsidRPr="00687DE8" w:rsidRDefault="005C08E1" w:rsidP="005C08E1">
            <w:pPr>
              <w:spacing w:after="0" w:line="240" w:lineRule="auto"/>
              <w:jc w:val="center"/>
              <w:rPr>
                <w:szCs w:val="24"/>
              </w:rPr>
            </w:pPr>
            <w:r w:rsidRPr="00687DE8">
              <w:rPr>
                <w:szCs w:val="24"/>
              </w:rPr>
              <w:t>0N2133</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895E4A" w14:textId="3DE2624D" w:rsidR="396992BA" w:rsidRPr="00687DE8" w:rsidRDefault="0001177F">
            <w:pPr>
              <w:spacing w:after="0"/>
              <w:jc w:val="center"/>
              <w:rPr>
                <w:color w:val="000000" w:themeColor="text1"/>
                <w:szCs w:val="24"/>
              </w:rPr>
            </w:pPr>
            <w:r>
              <w:rPr>
                <w:color w:val="000000"/>
              </w:rPr>
              <w:t>989,96</w:t>
            </w:r>
          </w:p>
        </w:tc>
      </w:tr>
      <w:tr w:rsidR="005C08E1" w:rsidRPr="00687DE8" w14:paraId="239E73D7"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381EB5" w14:textId="77777777" w:rsidR="005C08E1" w:rsidRPr="00687DE8" w:rsidRDefault="005C08E1" w:rsidP="005C08E1">
            <w:pPr>
              <w:spacing w:after="0" w:line="240" w:lineRule="auto"/>
              <w:rPr>
                <w:szCs w:val="24"/>
              </w:rPr>
            </w:pPr>
            <w:r w:rsidRPr="00687DE8">
              <w:rPr>
                <w:szCs w:val="24"/>
              </w:rPr>
              <w:t>Suure liigese sünovektoomia</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FED434" w14:textId="77777777" w:rsidR="005C08E1" w:rsidRPr="00687DE8" w:rsidRDefault="005C08E1" w:rsidP="005C08E1">
            <w:pPr>
              <w:spacing w:after="0" w:line="240" w:lineRule="auto"/>
              <w:jc w:val="center"/>
              <w:rPr>
                <w:szCs w:val="24"/>
              </w:rPr>
            </w:pPr>
            <w:r w:rsidRPr="00687DE8">
              <w:rPr>
                <w:szCs w:val="24"/>
              </w:rPr>
              <w:t>0N2134</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724942" w14:textId="30E1EBE8" w:rsidR="396992BA" w:rsidRPr="00687DE8" w:rsidRDefault="0001177F">
            <w:pPr>
              <w:spacing w:after="0"/>
              <w:jc w:val="center"/>
              <w:rPr>
                <w:color w:val="000000" w:themeColor="text1"/>
                <w:szCs w:val="24"/>
              </w:rPr>
            </w:pPr>
            <w:r>
              <w:rPr>
                <w:color w:val="000000"/>
              </w:rPr>
              <w:t>651,24</w:t>
            </w:r>
          </w:p>
        </w:tc>
      </w:tr>
      <w:tr w:rsidR="005C08E1" w:rsidRPr="00687DE8" w14:paraId="3A08469D"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CEBAC0" w14:textId="3E76FC28" w:rsidR="005C08E1" w:rsidRPr="00687DE8" w:rsidRDefault="005C08E1" w:rsidP="005C08E1">
            <w:pPr>
              <w:spacing w:after="0" w:line="240" w:lineRule="auto"/>
            </w:pPr>
            <w:r>
              <w:t>Osteoplastiline osteosüntees</w:t>
            </w:r>
            <w:r w:rsidR="49F59826">
              <w:t xml:space="preserve"> suurel luul </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DF21B4" w14:textId="77777777" w:rsidR="005C08E1" w:rsidRPr="00687DE8" w:rsidRDefault="005C08E1" w:rsidP="005C08E1">
            <w:pPr>
              <w:spacing w:after="0" w:line="240" w:lineRule="auto"/>
              <w:jc w:val="center"/>
              <w:rPr>
                <w:szCs w:val="24"/>
              </w:rPr>
            </w:pPr>
            <w:r w:rsidRPr="00687DE8">
              <w:rPr>
                <w:szCs w:val="24"/>
              </w:rPr>
              <w:t>0N2135</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D886AB" w14:textId="6623E524" w:rsidR="396992BA" w:rsidRPr="00687DE8" w:rsidRDefault="0001177F">
            <w:pPr>
              <w:spacing w:after="0"/>
              <w:jc w:val="center"/>
              <w:rPr>
                <w:color w:val="000000" w:themeColor="text1"/>
                <w:szCs w:val="24"/>
              </w:rPr>
            </w:pPr>
            <w:r>
              <w:rPr>
                <w:color w:val="000000"/>
              </w:rPr>
              <w:t>1 293,64</w:t>
            </w:r>
          </w:p>
        </w:tc>
      </w:tr>
      <w:tr w:rsidR="005C08E1" w:rsidRPr="00687DE8" w14:paraId="212D6F40"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89C090" w14:textId="77777777" w:rsidR="005C08E1" w:rsidRPr="00687DE8" w:rsidRDefault="005C08E1" w:rsidP="005C08E1">
            <w:pPr>
              <w:spacing w:after="0" w:line="240" w:lineRule="auto"/>
              <w:rPr>
                <w:szCs w:val="24"/>
              </w:rPr>
            </w:pPr>
            <w:r w:rsidRPr="00687DE8">
              <w:rPr>
                <w:szCs w:val="24"/>
              </w:rPr>
              <w:t>Vaagnaluude osteosüntees</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AD31C0" w14:textId="77777777" w:rsidR="005C08E1" w:rsidRPr="00687DE8" w:rsidRDefault="005C08E1" w:rsidP="005C08E1">
            <w:pPr>
              <w:spacing w:after="0" w:line="240" w:lineRule="auto"/>
              <w:jc w:val="center"/>
              <w:rPr>
                <w:szCs w:val="24"/>
              </w:rPr>
            </w:pPr>
            <w:r w:rsidRPr="00687DE8">
              <w:rPr>
                <w:szCs w:val="24"/>
              </w:rPr>
              <w:t>0N2136</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8752F1" w14:textId="0A1A8952" w:rsidR="396992BA" w:rsidRPr="00687DE8" w:rsidRDefault="0001177F">
            <w:pPr>
              <w:spacing w:after="0"/>
              <w:jc w:val="center"/>
              <w:rPr>
                <w:color w:val="000000" w:themeColor="text1"/>
                <w:szCs w:val="24"/>
              </w:rPr>
            </w:pPr>
            <w:r>
              <w:rPr>
                <w:color w:val="000000"/>
              </w:rPr>
              <w:t>1 237,15</w:t>
            </w:r>
          </w:p>
        </w:tc>
      </w:tr>
      <w:tr w:rsidR="005C08E1" w:rsidRPr="00687DE8" w14:paraId="6D634177"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11A418" w14:textId="77777777" w:rsidR="005C08E1" w:rsidRPr="00687DE8" w:rsidRDefault="005C08E1" w:rsidP="005C08E1">
            <w:pPr>
              <w:spacing w:after="0" w:line="240" w:lineRule="auto"/>
              <w:rPr>
                <w:szCs w:val="24"/>
              </w:rPr>
            </w:pPr>
            <w:r w:rsidRPr="00687DE8">
              <w:rPr>
                <w:szCs w:val="24"/>
              </w:rPr>
              <w:t>Puusaliigest korrigeeriv operatsioon ja/või tüsiliku puusanapamurru osteosüntees</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AD10F40" w14:textId="77777777" w:rsidR="005C08E1" w:rsidRPr="00687DE8" w:rsidRDefault="005C08E1" w:rsidP="005C08E1">
            <w:pPr>
              <w:spacing w:after="0" w:line="240" w:lineRule="auto"/>
              <w:jc w:val="center"/>
              <w:rPr>
                <w:szCs w:val="24"/>
              </w:rPr>
            </w:pPr>
            <w:r w:rsidRPr="00687DE8">
              <w:rPr>
                <w:szCs w:val="24"/>
              </w:rPr>
              <w:t>0N2137</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0D56F4" w14:textId="3712D034" w:rsidR="396992BA" w:rsidRPr="00687DE8" w:rsidRDefault="0001177F">
            <w:pPr>
              <w:spacing w:after="0"/>
              <w:jc w:val="center"/>
              <w:rPr>
                <w:color w:val="000000" w:themeColor="text1"/>
                <w:szCs w:val="24"/>
              </w:rPr>
            </w:pPr>
            <w:r>
              <w:rPr>
                <w:color w:val="000000"/>
              </w:rPr>
              <w:t>1 999,16</w:t>
            </w:r>
          </w:p>
        </w:tc>
      </w:tr>
      <w:tr w:rsidR="005C08E1" w:rsidRPr="00687DE8" w14:paraId="5142EE20"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D36BEB" w14:textId="77777777" w:rsidR="005C08E1" w:rsidRPr="00687DE8" w:rsidRDefault="005C08E1" w:rsidP="005C08E1">
            <w:pPr>
              <w:spacing w:after="0" w:line="240" w:lineRule="auto"/>
              <w:rPr>
                <w:szCs w:val="24"/>
              </w:rPr>
            </w:pPr>
            <w:r w:rsidRPr="00687DE8">
              <w:rPr>
                <w:szCs w:val="24"/>
              </w:rPr>
              <w:t>Väikese liigese endoproteesimine</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DFC940" w14:textId="77777777" w:rsidR="005C08E1" w:rsidRPr="00687DE8" w:rsidRDefault="005C08E1" w:rsidP="005C08E1">
            <w:pPr>
              <w:spacing w:after="0" w:line="240" w:lineRule="auto"/>
              <w:jc w:val="center"/>
              <w:rPr>
                <w:szCs w:val="24"/>
              </w:rPr>
            </w:pPr>
            <w:r w:rsidRPr="00687DE8">
              <w:rPr>
                <w:szCs w:val="24"/>
              </w:rPr>
              <w:t>0N2138</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D01A89" w14:textId="67CA2451" w:rsidR="396992BA" w:rsidRPr="00687DE8" w:rsidRDefault="0001177F">
            <w:pPr>
              <w:spacing w:after="0"/>
              <w:jc w:val="center"/>
              <w:rPr>
                <w:color w:val="000000" w:themeColor="text1"/>
                <w:szCs w:val="24"/>
              </w:rPr>
            </w:pPr>
            <w:r>
              <w:rPr>
                <w:color w:val="000000"/>
              </w:rPr>
              <w:t>967,48</w:t>
            </w:r>
          </w:p>
        </w:tc>
      </w:tr>
      <w:tr w:rsidR="005C08E1" w:rsidRPr="00687DE8" w14:paraId="36C50D34"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B63338" w14:textId="77777777" w:rsidR="005C08E1" w:rsidRPr="00687DE8" w:rsidRDefault="005C08E1" w:rsidP="005C08E1">
            <w:pPr>
              <w:spacing w:after="0" w:line="240" w:lineRule="auto"/>
              <w:rPr>
                <w:szCs w:val="24"/>
              </w:rPr>
            </w:pPr>
            <w:r w:rsidRPr="00687DE8">
              <w:rPr>
                <w:szCs w:val="24"/>
              </w:rPr>
              <w:t>Puusaliigese tsementeeritava endoproteesi paigaldamine</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D7ACE8" w14:textId="77777777" w:rsidR="005C08E1" w:rsidRPr="00687DE8" w:rsidRDefault="005C08E1" w:rsidP="005C08E1">
            <w:pPr>
              <w:spacing w:after="0" w:line="240" w:lineRule="auto"/>
              <w:jc w:val="center"/>
              <w:rPr>
                <w:szCs w:val="24"/>
              </w:rPr>
            </w:pPr>
            <w:r w:rsidRPr="00687DE8">
              <w:rPr>
                <w:szCs w:val="24"/>
              </w:rPr>
              <w:t>0N2139</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E9A5BB" w14:textId="50E037ED" w:rsidR="396992BA" w:rsidRPr="00687DE8" w:rsidRDefault="0001177F">
            <w:pPr>
              <w:spacing w:after="0"/>
              <w:jc w:val="center"/>
              <w:rPr>
                <w:color w:val="000000" w:themeColor="text1"/>
                <w:szCs w:val="24"/>
              </w:rPr>
            </w:pPr>
            <w:r>
              <w:rPr>
                <w:color w:val="000000"/>
              </w:rPr>
              <w:t>1 095,90</w:t>
            </w:r>
          </w:p>
        </w:tc>
      </w:tr>
      <w:tr w:rsidR="005C08E1" w:rsidRPr="00687DE8" w14:paraId="168F97FF"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984BE6" w14:textId="77777777" w:rsidR="005C08E1" w:rsidRPr="00687DE8" w:rsidRDefault="005C08E1" w:rsidP="005C08E1">
            <w:pPr>
              <w:spacing w:after="0" w:line="240" w:lineRule="auto"/>
              <w:rPr>
                <w:szCs w:val="24"/>
              </w:rPr>
            </w:pPr>
            <w:r w:rsidRPr="00687DE8">
              <w:rPr>
                <w:szCs w:val="24"/>
              </w:rPr>
              <w:t>Puusaliigese ilma tsemendita proteesi paigaldamine</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A47F63" w14:textId="77777777" w:rsidR="005C08E1" w:rsidRPr="00687DE8" w:rsidRDefault="005C08E1" w:rsidP="005C08E1">
            <w:pPr>
              <w:spacing w:after="0" w:line="240" w:lineRule="auto"/>
              <w:jc w:val="center"/>
              <w:rPr>
                <w:szCs w:val="24"/>
              </w:rPr>
            </w:pPr>
            <w:r w:rsidRPr="00687DE8">
              <w:rPr>
                <w:szCs w:val="24"/>
              </w:rPr>
              <w:t>0N2140</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507A5C" w14:textId="44CE6CA5" w:rsidR="396992BA" w:rsidRPr="00687DE8" w:rsidRDefault="0001177F">
            <w:pPr>
              <w:spacing w:after="0"/>
              <w:jc w:val="center"/>
              <w:rPr>
                <w:color w:val="000000" w:themeColor="text1"/>
                <w:szCs w:val="24"/>
              </w:rPr>
            </w:pPr>
            <w:r>
              <w:rPr>
                <w:color w:val="000000"/>
              </w:rPr>
              <w:t>1 245,59</w:t>
            </w:r>
          </w:p>
        </w:tc>
      </w:tr>
      <w:tr w:rsidR="005C08E1" w:rsidRPr="00687DE8" w14:paraId="3349CF20"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C6D78C" w14:textId="77777777" w:rsidR="005C08E1" w:rsidRPr="00687DE8" w:rsidRDefault="005C08E1" w:rsidP="005C08E1">
            <w:pPr>
              <w:spacing w:after="0" w:line="240" w:lineRule="auto"/>
              <w:rPr>
                <w:szCs w:val="24"/>
              </w:rPr>
            </w:pPr>
            <w:r w:rsidRPr="00687DE8">
              <w:rPr>
                <w:szCs w:val="24"/>
              </w:rPr>
              <w:t>Põlveliigese endoproteesi paigaldamine</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47DB64" w14:textId="77777777" w:rsidR="005C08E1" w:rsidRPr="00687DE8" w:rsidRDefault="005C08E1" w:rsidP="005C08E1">
            <w:pPr>
              <w:spacing w:after="0" w:line="240" w:lineRule="auto"/>
              <w:jc w:val="center"/>
              <w:rPr>
                <w:szCs w:val="24"/>
              </w:rPr>
            </w:pPr>
            <w:r w:rsidRPr="00687DE8">
              <w:rPr>
                <w:szCs w:val="24"/>
              </w:rPr>
              <w:t>0N2141</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276E9F" w14:textId="3E2ABED9" w:rsidR="396992BA" w:rsidRPr="00687DE8" w:rsidRDefault="0001177F">
            <w:pPr>
              <w:spacing w:after="0"/>
              <w:jc w:val="center"/>
              <w:rPr>
                <w:color w:val="000000" w:themeColor="text1"/>
                <w:szCs w:val="24"/>
              </w:rPr>
            </w:pPr>
            <w:r>
              <w:rPr>
                <w:color w:val="000000"/>
              </w:rPr>
              <w:t>1 236,14</w:t>
            </w:r>
          </w:p>
        </w:tc>
      </w:tr>
      <w:tr w:rsidR="005C08E1" w:rsidRPr="00687DE8" w14:paraId="7D434E3C"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9BBB05" w14:textId="77777777" w:rsidR="005C08E1" w:rsidRPr="00687DE8" w:rsidRDefault="005C08E1" w:rsidP="005C08E1">
            <w:pPr>
              <w:spacing w:after="0" w:line="240" w:lineRule="auto"/>
              <w:rPr>
                <w:szCs w:val="24"/>
              </w:rPr>
            </w:pPr>
            <w:r w:rsidRPr="00687DE8">
              <w:rPr>
                <w:szCs w:val="24"/>
              </w:rPr>
              <w:lastRenderedPageBreak/>
              <w:t>Muu suure liigese tsementeeritava endoproteesi paigaldamine</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6271BA" w14:textId="2C24D632" w:rsidR="005C08E1" w:rsidRPr="00687DE8" w:rsidRDefault="005C08E1" w:rsidP="005C08E1">
            <w:pPr>
              <w:spacing w:after="0" w:line="240" w:lineRule="auto"/>
              <w:jc w:val="center"/>
            </w:pPr>
            <w:r>
              <w:t>0N2142</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C2D904" w14:textId="08E85A8F" w:rsidR="396992BA" w:rsidRPr="00687DE8" w:rsidRDefault="0001177F">
            <w:pPr>
              <w:spacing w:after="0"/>
              <w:jc w:val="center"/>
              <w:rPr>
                <w:color w:val="000000" w:themeColor="text1"/>
                <w:szCs w:val="24"/>
              </w:rPr>
            </w:pPr>
            <w:r>
              <w:rPr>
                <w:color w:val="000000"/>
              </w:rPr>
              <w:t>1 176,67</w:t>
            </w:r>
          </w:p>
        </w:tc>
      </w:tr>
      <w:tr w:rsidR="005C08E1" w:rsidRPr="00687DE8" w14:paraId="6F820551"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1D48D6" w14:textId="77777777" w:rsidR="005C08E1" w:rsidRPr="00687DE8" w:rsidRDefault="005C08E1" w:rsidP="005C08E1">
            <w:pPr>
              <w:spacing w:after="0" w:line="240" w:lineRule="auto"/>
              <w:rPr>
                <w:szCs w:val="24"/>
              </w:rPr>
            </w:pPr>
            <w:r w:rsidRPr="00687DE8">
              <w:rPr>
                <w:szCs w:val="24"/>
              </w:rPr>
              <w:t>Unikondülaarse proteesi paigaldamine põlveliigesele</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800917" w14:textId="77777777" w:rsidR="005C08E1" w:rsidRPr="00687DE8" w:rsidRDefault="005C08E1" w:rsidP="005C08E1">
            <w:pPr>
              <w:spacing w:after="0" w:line="240" w:lineRule="auto"/>
              <w:jc w:val="center"/>
              <w:rPr>
                <w:szCs w:val="24"/>
              </w:rPr>
            </w:pPr>
            <w:r w:rsidRPr="00687DE8">
              <w:rPr>
                <w:szCs w:val="24"/>
              </w:rPr>
              <w:t>0N2143</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001D34" w14:textId="54E6DD9D" w:rsidR="396992BA" w:rsidRPr="00687DE8" w:rsidRDefault="0001177F">
            <w:pPr>
              <w:spacing w:after="0"/>
              <w:jc w:val="center"/>
              <w:rPr>
                <w:color w:val="000000" w:themeColor="text1"/>
                <w:szCs w:val="24"/>
              </w:rPr>
            </w:pPr>
            <w:r>
              <w:rPr>
                <w:color w:val="000000"/>
              </w:rPr>
              <w:t>1 155,98</w:t>
            </w:r>
          </w:p>
        </w:tc>
      </w:tr>
      <w:tr w:rsidR="005C08E1" w:rsidRPr="00687DE8" w14:paraId="50225527"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12E8F0" w14:textId="72481719" w:rsidR="005C08E1" w:rsidRPr="00687DE8" w:rsidRDefault="005C08E1" w:rsidP="005C08E1">
            <w:pPr>
              <w:spacing w:after="0" w:line="240" w:lineRule="auto"/>
              <w:rPr>
                <w:szCs w:val="24"/>
              </w:rPr>
            </w:pPr>
            <w:r w:rsidRPr="00687DE8">
              <w:rPr>
                <w:szCs w:val="24"/>
              </w:rPr>
              <w:t>Poolproteesi</w:t>
            </w:r>
            <w:r w:rsidR="00650D99">
              <w:rPr>
                <w:szCs w:val="24"/>
              </w:rPr>
              <w:t xml:space="preserve"> </w:t>
            </w:r>
            <w:r w:rsidRPr="00687DE8">
              <w:rPr>
                <w:szCs w:val="24"/>
              </w:rPr>
              <w:t>paigaldamine suurele liigesele</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7F2A68" w14:textId="77777777" w:rsidR="005C08E1" w:rsidRPr="00687DE8" w:rsidRDefault="005C08E1" w:rsidP="005C08E1">
            <w:pPr>
              <w:spacing w:after="0" w:line="240" w:lineRule="auto"/>
              <w:jc w:val="center"/>
              <w:rPr>
                <w:szCs w:val="24"/>
              </w:rPr>
            </w:pPr>
            <w:r w:rsidRPr="00687DE8">
              <w:rPr>
                <w:szCs w:val="24"/>
              </w:rPr>
              <w:t>0N2144</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6795C1" w14:textId="37D0BCAF" w:rsidR="396992BA" w:rsidRPr="00687DE8" w:rsidRDefault="0001177F">
            <w:pPr>
              <w:spacing w:after="0"/>
              <w:jc w:val="center"/>
              <w:rPr>
                <w:color w:val="000000" w:themeColor="text1"/>
                <w:szCs w:val="24"/>
              </w:rPr>
            </w:pPr>
            <w:r>
              <w:rPr>
                <w:color w:val="000000"/>
              </w:rPr>
              <w:t>1 197,79</w:t>
            </w:r>
          </w:p>
        </w:tc>
      </w:tr>
      <w:tr w:rsidR="005C08E1" w:rsidRPr="00687DE8" w14:paraId="4B44FC80"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299F85" w14:textId="53D24C0F" w:rsidR="005C08E1" w:rsidRPr="00687DE8" w:rsidRDefault="005C08E1" w:rsidP="005C08E1">
            <w:pPr>
              <w:spacing w:after="0" w:line="240" w:lineRule="auto"/>
              <w:rPr>
                <w:szCs w:val="24"/>
              </w:rPr>
            </w:pPr>
            <w:r w:rsidRPr="00687DE8">
              <w:rPr>
                <w:szCs w:val="24"/>
              </w:rPr>
              <w:t>Suure liigese</w:t>
            </w:r>
            <w:r w:rsidR="000C7449">
              <w:rPr>
                <w:szCs w:val="24"/>
              </w:rPr>
              <w:t xml:space="preserve"> primaarne tüsilik</w:t>
            </w:r>
            <w:r w:rsidR="00414FC7">
              <w:rPr>
                <w:szCs w:val="24"/>
              </w:rPr>
              <w:t xml:space="preserve"> või</w:t>
            </w:r>
            <w:r w:rsidRPr="00687DE8">
              <w:rPr>
                <w:szCs w:val="24"/>
              </w:rPr>
              <w:t xml:space="preserve"> revis</w:t>
            </w:r>
            <w:r w:rsidR="002A0F7E">
              <w:rPr>
                <w:szCs w:val="24"/>
              </w:rPr>
              <w:t>j</w:t>
            </w:r>
            <w:r w:rsidRPr="00687DE8">
              <w:rPr>
                <w:szCs w:val="24"/>
              </w:rPr>
              <w:t>onproteesimine</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D98FCD" w14:textId="77777777" w:rsidR="005C08E1" w:rsidRPr="00687DE8" w:rsidRDefault="005C08E1" w:rsidP="005C08E1">
            <w:pPr>
              <w:spacing w:after="0" w:line="240" w:lineRule="auto"/>
              <w:jc w:val="center"/>
              <w:rPr>
                <w:szCs w:val="24"/>
              </w:rPr>
            </w:pPr>
            <w:r w:rsidRPr="00687DE8">
              <w:rPr>
                <w:szCs w:val="24"/>
              </w:rPr>
              <w:t>0N2145</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AD027F" w14:textId="5DE34796" w:rsidR="48476244" w:rsidRPr="00687DE8" w:rsidRDefault="0001177F">
            <w:pPr>
              <w:spacing w:after="0"/>
              <w:jc w:val="center"/>
              <w:rPr>
                <w:color w:val="000000" w:themeColor="text1"/>
                <w:szCs w:val="24"/>
              </w:rPr>
            </w:pPr>
            <w:r>
              <w:rPr>
                <w:color w:val="000000"/>
              </w:rPr>
              <w:t>1 582,80</w:t>
            </w:r>
          </w:p>
        </w:tc>
      </w:tr>
      <w:tr w:rsidR="005C08E1" w:rsidRPr="00687DE8" w14:paraId="0BF0A8BB"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979FF4" w14:textId="77777777" w:rsidR="005C08E1" w:rsidRPr="00687DE8" w:rsidRDefault="005C08E1" w:rsidP="005C08E1">
            <w:pPr>
              <w:spacing w:after="0" w:line="240" w:lineRule="auto"/>
              <w:rPr>
                <w:szCs w:val="24"/>
              </w:rPr>
            </w:pPr>
            <w:r w:rsidRPr="00687DE8">
              <w:rPr>
                <w:szCs w:val="24"/>
              </w:rPr>
              <w:t>Kordusoperatsioon proteesitud liigesel</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E02B3B" w14:textId="77777777" w:rsidR="005C08E1" w:rsidRPr="00687DE8" w:rsidRDefault="005C08E1" w:rsidP="005C08E1">
            <w:pPr>
              <w:spacing w:after="0" w:line="240" w:lineRule="auto"/>
              <w:jc w:val="center"/>
              <w:rPr>
                <w:szCs w:val="24"/>
              </w:rPr>
            </w:pPr>
            <w:r w:rsidRPr="00687DE8">
              <w:rPr>
                <w:szCs w:val="24"/>
              </w:rPr>
              <w:t>0N2146</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D3F2C9" w14:textId="733E204D" w:rsidR="48476244" w:rsidRPr="00687DE8" w:rsidRDefault="0001177F">
            <w:pPr>
              <w:spacing w:after="0"/>
              <w:jc w:val="center"/>
              <w:rPr>
                <w:color w:val="000000" w:themeColor="text1"/>
                <w:szCs w:val="24"/>
              </w:rPr>
            </w:pPr>
            <w:r>
              <w:rPr>
                <w:color w:val="000000"/>
              </w:rPr>
              <w:t>1 240,90</w:t>
            </w:r>
          </w:p>
        </w:tc>
      </w:tr>
      <w:tr w:rsidR="005C08E1" w:rsidRPr="00687DE8" w14:paraId="2A23E4A0"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85D0EC" w14:textId="77777777" w:rsidR="005C08E1" w:rsidRPr="00687DE8" w:rsidRDefault="005C08E1" w:rsidP="005C08E1">
            <w:pPr>
              <w:spacing w:after="0" w:line="240" w:lineRule="auto"/>
              <w:rPr>
                <w:szCs w:val="24"/>
              </w:rPr>
            </w:pPr>
            <w:r w:rsidRPr="00687DE8">
              <w:rPr>
                <w:szCs w:val="24"/>
              </w:rPr>
              <w:t>Lülisamba I ja II astme deformatsioonide korrektsioon</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ACB00B" w14:textId="77777777" w:rsidR="005C08E1" w:rsidRPr="00687DE8" w:rsidRDefault="005C08E1" w:rsidP="005C08E1">
            <w:pPr>
              <w:spacing w:after="0" w:line="240" w:lineRule="auto"/>
              <w:jc w:val="center"/>
              <w:rPr>
                <w:szCs w:val="24"/>
              </w:rPr>
            </w:pPr>
            <w:r w:rsidRPr="00687DE8">
              <w:rPr>
                <w:szCs w:val="24"/>
              </w:rPr>
              <w:t>0N2147</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C8E3C7" w14:textId="316A2FDF" w:rsidR="48476244" w:rsidRPr="00687DE8" w:rsidRDefault="0001177F">
            <w:pPr>
              <w:spacing w:after="0"/>
              <w:jc w:val="center"/>
              <w:rPr>
                <w:color w:val="000000" w:themeColor="text1"/>
                <w:szCs w:val="24"/>
              </w:rPr>
            </w:pPr>
            <w:r>
              <w:rPr>
                <w:color w:val="000000"/>
              </w:rPr>
              <w:t>1 837,63</w:t>
            </w:r>
          </w:p>
        </w:tc>
      </w:tr>
      <w:tr w:rsidR="005C08E1" w:rsidRPr="00687DE8" w14:paraId="5811954E"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0699E1" w14:textId="77777777" w:rsidR="005C08E1" w:rsidRPr="00687DE8" w:rsidRDefault="005C08E1" w:rsidP="005C08E1">
            <w:pPr>
              <w:spacing w:after="0" w:line="240" w:lineRule="auto"/>
              <w:rPr>
                <w:szCs w:val="24"/>
              </w:rPr>
            </w:pPr>
            <w:r w:rsidRPr="00687DE8">
              <w:rPr>
                <w:szCs w:val="24"/>
              </w:rPr>
              <w:t>Lülisamba III ja IV astme deformatsioonide korrektsioon</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4A18B8" w14:textId="77777777" w:rsidR="005C08E1" w:rsidRPr="00687DE8" w:rsidRDefault="005C08E1" w:rsidP="005C08E1">
            <w:pPr>
              <w:spacing w:after="0" w:line="240" w:lineRule="auto"/>
              <w:jc w:val="center"/>
              <w:rPr>
                <w:szCs w:val="24"/>
              </w:rPr>
            </w:pPr>
            <w:r w:rsidRPr="00687DE8">
              <w:rPr>
                <w:szCs w:val="24"/>
              </w:rPr>
              <w:t>0N2148</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92DAA1" w14:textId="51BB4844" w:rsidR="48476244" w:rsidRPr="00687DE8" w:rsidRDefault="0001177F">
            <w:pPr>
              <w:spacing w:after="0"/>
              <w:jc w:val="center"/>
              <w:rPr>
                <w:color w:val="000000" w:themeColor="text1"/>
                <w:szCs w:val="24"/>
              </w:rPr>
            </w:pPr>
            <w:r>
              <w:rPr>
                <w:color w:val="000000"/>
              </w:rPr>
              <w:t>2 526,42</w:t>
            </w:r>
          </w:p>
        </w:tc>
      </w:tr>
      <w:tr w:rsidR="005C08E1" w:rsidRPr="00687DE8" w14:paraId="77990CC5"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99A6FB" w14:textId="77777777" w:rsidR="005C08E1" w:rsidRPr="00687DE8" w:rsidRDefault="005C08E1" w:rsidP="005C08E1">
            <w:pPr>
              <w:spacing w:after="0" w:line="240" w:lineRule="auto"/>
              <w:rPr>
                <w:szCs w:val="24"/>
              </w:rPr>
            </w:pPr>
            <w:r w:rsidRPr="00687DE8">
              <w:rPr>
                <w:szCs w:val="24"/>
              </w:rPr>
              <w:t>Labakäe või labajala hulgivigastuse kirurgiline ravi (mitme koe struktuuri kahjustusega vigastus)</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A7B643" w14:textId="77777777" w:rsidR="005C08E1" w:rsidRPr="00687DE8" w:rsidRDefault="005C08E1" w:rsidP="005C08E1">
            <w:pPr>
              <w:spacing w:after="0" w:line="240" w:lineRule="auto"/>
              <w:jc w:val="center"/>
              <w:rPr>
                <w:szCs w:val="24"/>
              </w:rPr>
            </w:pPr>
          </w:p>
          <w:p w14:paraId="57080254" w14:textId="77777777" w:rsidR="005C08E1" w:rsidRPr="00687DE8" w:rsidRDefault="005C08E1" w:rsidP="005C08E1">
            <w:pPr>
              <w:spacing w:after="0" w:line="240" w:lineRule="auto"/>
              <w:jc w:val="center"/>
              <w:rPr>
                <w:szCs w:val="24"/>
              </w:rPr>
            </w:pPr>
            <w:r w:rsidRPr="00687DE8">
              <w:rPr>
                <w:szCs w:val="24"/>
              </w:rPr>
              <w:t>0N2149</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8476F9" w14:textId="18D032C5" w:rsidR="48476244" w:rsidRPr="00687DE8" w:rsidRDefault="0001177F">
            <w:pPr>
              <w:spacing w:after="0"/>
              <w:jc w:val="center"/>
              <w:rPr>
                <w:color w:val="000000" w:themeColor="text1"/>
                <w:szCs w:val="24"/>
              </w:rPr>
            </w:pPr>
            <w:r>
              <w:rPr>
                <w:color w:val="000000"/>
              </w:rPr>
              <w:t>1 238,94</w:t>
            </w:r>
          </w:p>
        </w:tc>
      </w:tr>
      <w:tr w:rsidR="005C08E1" w:rsidRPr="00687DE8" w14:paraId="07FC876F"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8BD6E7" w14:textId="77777777" w:rsidR="005C08E1" w:rsidRPr="00687DE8" w:rsidRDefault="005C08E1" w:rsidP="005C08E1">
            <w:pPr>
              <w:spacing w:after="0" w:line="240" w:lineRule="auto"/>
              <w:rPr>
                <w:szCs w:val="24"/>
              </w:rPr>
            </w:pPr>
            <w:r w:rsidRPr="00687DE8">
              <w:rPr>
                <w:szCs w:val="24"/>
              </w:rPr>
              <w:t>Suure kõõluse õmblus (kõik muud, välja arvatud labajala ja labakäe kõõlused ja õlg)</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C04725" w14:textId="77777777" w:rsidR="005C08E1" w:rsidRPr="00687DE8" w:rsidRDefault="005C08E1" w:rsidP="005C08E1">
            <w:pPr>
              <w:spacing w:after="0" w:line="240" w:lineRule="auto"/>
              <w:jc w:val="center"/>
              <w:rPr>
                <w:szCs w:val="24"/>
              </w:rPr>
            </w:pPr>
          </w:p>
          <w:p w14:paraId="0B760726" w14:textId="77777777" w:rsidR="005C08E1" w:rsidRPr="00687DE8" w:rsidRDefault="005C08E1" w:rsidP="005C08E1">
            <w:pPr>
              <w:spacing w:after="0" w:line="240" w:lineRule="auto"/>
              <w:jc w:val="center"/>
              <w:rPr>
                <w:szCs w:val="24"/>
              </w:rPr>
            </w:pPr>
            <w:r w:rsidRPr="00687DE8">
              <w:rPr>
                <w:szCs w:val="24"/>
              </w:rPr>
              <w:t>0N2150</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F660C8" w14:textId="06386FC9" w:rsidR="48476244" w:rsidRPr="00687DE8" w:rsidRDefault="0001177F">
            <w:pPr>
              <w:spacing w:after="0"/>
              <w:jc w:val="center"/>
              <w:rPr>
                <w:color w:val="000000" w:themeColor="text1"/>
                <w:szCs w:val="24"/>
              </w:rPr>
            </w:pPr>
            <w:r>
              <w:rPr>
                <w:color w:val="000000"/>
              </w:rPr>
              <w:t>594,44</w:t>
            </w:r>
          </w:p>
        </w:tc>
      </w:tr>
      <w:tr w:rsidR="005C08E1" w:rsidRPr="00687DE8" w14:paraId="5385EA38"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E46DAF" w14:textId="77777777" w:rsidR="005C08E1" w:rsidRPr="00687DE8" w:rsidRDefault="005C08E1" w:rsidP="005C08E1">
            <w:pPr>
              <w:spacing w:after="0" w:line="240" w:lineRule="auto"/>
              <w:rPr>
                <w:szCs w:val="24"/>
              </w:rPr>
            </w:pPr>
            <w:r w:rsidRPr="00687DE8">
              <w:rPr>
                <w:szCs w:val="24"/>
              </w:rPr>
              <w:t>Õlaliigese pöörajalihase kõõluskätise rebendi taastamine</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50D3E7" w14:textId="77777777" w:rsidR="005C08E1" w:rsidRPr="00687DE8" w:rsidRDefault="005C08E1" w:rsidP="005C08E1">
            <w:pPr>
              <w:spacing w:after="0" w:line="240" w:lineRule="auto"/>
              <w:jc w:val="center"/>
              <w:rPr>
                <w:szCs w:val="24"/>
              </w:rPr>
            </w:pPr>
            <w:r w:rsidRPr="00687DE8">
              <w:rPr>
                <w:szCs w:val="24"/>
              </w:rPr>
              <w:t>0N2151</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A18BE7" w14:textId="3E2518AF" w:rsidR="48476244" w:rsidRPr="00687DE8" w:rsidRDefault="0001177F">
            <w:pPr>
              <w:spacing w:after="0"/>
              <w:jc w:val="center"/>
              <w:rPr>
                <w:color w:val="000000" w:themeColor="text1"/>
                <w:szCs w:val="24"/>
              </w:rPr>
            </w:pPr>
            <w:r>
              <w:rPr>
                <w:color w:val="000000"/>
              </w:rPr>
              <w:t>622,06</w:t>
            </w:r>
          </w:p>
        </w:tc>
      </w:tr>
      <w:tr w:rsidR="005C08E1" w:rsidRPr="00687DE8" w14:paraId="626015CF"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77584F" w14:textId="77777777" w:rsidR="005C08E1" w:rsidRPr="00687DE8" w:rsidRDefault="005C08E1" w:rsidP="005C08E1">
            <w:pPr>
              <w:spacing w:after="0" w:line="240" w:lineRule="auto"/>
              <w:rPr>
                <w:szCs w:val="24"/>
              </w:rPr>
            </w:pPr>
            <w:r w:rsidRPr="00687DE8">
              <w:rPr>
                <w:szCs w:val="24"/>
              </w:rPr>
              <w:t>Repositsioonid suurtel luudel ja liigestel</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83B31B" w14:textId="77777777" w:rsidR="005C08E1" w:rsidRPr="00687DE8" w:rsidRDefault="005C08E1" w:rsidP="005C08E1">
            <w:pPr>
              <w:spacing w:after="0" w:line="240" w:lineRule="auto"/>
              <w:jc w:val="center"/>
              <w:rPr>
                <w:szCs w:val="24"/>
              </w:rPr>
            </w:pPr>
            <w:r w:rsidRPr="00687DE8">
              <w:rPr>
                <w:szCs w:val="24"/>
              </w:rPr>
              <w:t>0N2152</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D3B3F4" w14:textId="3030C0ED" w:rsidR="48476244" w:rsidRPr="00687DE8" w:rsidRDefault="0001177F">
            <w:pPr>
              <w:spacing w:after="0"/>
              <w:jc w:val="center"/>
              <w:rPr>
                <w:color w:val="000000" w:themeColor="text1"/>
                <w:szCs w:val="24"/>
              </w:rPr>
            </w:pPr>
            <w:r>
              <w:rPr>
                <w:color w:val="000000"/>
              </w:rPr>
              <w:t>154,65</w:t>
            </w:r>
          </w:p>
        </w:tc>
      </w:tr>
      <w:tr w:rsidR="005C08E1" w:rsidRPr="00687DE8" w14:paraId="0E5713E9" w14:textId="77777777" w:rsidTr="00EB7A71">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31830A" w14:textId="77777777" w:rsidR="005C08E1" w:rsidRPr="00687DE8" w:rsidRDefault="005C08E1" w:rsidP="005C08E1">
            <w:pPr>
              <w:spacing w:after="0" w:line="240" w:lineRule="auto"/>
              <w:rPr>
                <w:szCs w:val="24"/>
              </w:rPr>
            </w:pPr>
            <w:r w:rsidRPr="00687DE8">
              <w:rPr>
                <w:szCs w:val="24"/>
              </w:rPr>
              <w:t>Artroskoopia</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7CCC21" w14:textId="77777777" w:rsidR="005C08E1" w:rsidRPr="00687DE8" w:rsidRDefault="005C08E1" w:rsidP="005C08E1">
            <w:pPr>
              <w:spacing w:after="0" w:line="240" w:lineRule="auto"/>
              <w:jc w:val="center"/>
              <w:rPr>
                <w:szCs w:val="24"/>
              </w:rPr>
            </w:pPr>
            <w:r w:rsidRPr="00687DE8">
              <w:rPr>
                <w:szCs w:val="24"/>
              </w:rPr>
              <w:t>0N2201</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C2B9E6" w14:textId="59660549" w:rsidR="48476244" w:rsidRPr="00687DE8" w:rsidRDefault="0001177F">
            <w:pPr>
              <w:spacing w:after="0"/>
              <w:jc w:val="center"/>
              <w:rPr>
                <w:color w:val="000000" w:themeColor="text1"/>
                <w:szCs w:val="24"/>
              </w:rPr>
            </w:pPr>
            <w:r>
              <w:rPr>
                <w:color w:val="000000"/>
              </w:rPr>
              <w:t>246,83</w:t>
            </w:r>
          </w:p>
        </w:tc>
      </w:tr>
      <w:tr w:rsidR="005C08E1" w:rsidRPr="00687DE8" w14:paraId="34F5C927"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A3839F" w14:textId="42B41026" w:rsidR="005C08E1" w:rsidRPr="00687DE8" w:rsidRDefault="005C08E1" w:rsidP="005C08E1">
            <w:pPr>
              <w:spacing w:after="0" w:line="240" w:lineRule="auto"/>
              <w:rPr>
                <w:szCs w:val="24"/>
              </w:rPr>
            </w:pPr>
            <w:r w:rsidRPr="00687DE8">
              <w:rPr>
                <w:szCs w:val="24"/>
              </w:rPr>
              <w:t>Artroskoopiline meniski resektsioon või vabakeha eemald</w:t>
            </w:r>
            <w:r w:rsidR="00EF4459" w:rsidRPr="00687DE8">
              <w:rPr>
                <w:szCs w:val="24"/>
              </w:rPr>
              <w:t>a</w:t>
            </w:r>
            <w:r w:rsidRPr="00687DE8">
              <w:rPr>
                <w:szCs w:val="24"/>
              </w:rPr>
              <w:t>mine</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FD4A85" w14:textId="77777777" w:rsidR="005C08E1" w:rsidRPr="00687DE8" w:rsidRDefault="005C08E1" w:rsidP="005C08E1">
            <w:pPr>
              <w:spacing w:after="0" w:line="240" w:lineRule="auto"/>
              <w:jc w:val="center"/>
              <w:rPr>
                <w:szCs w:val="24"/>
              </w:rPr>
            </w:pPr>
            <w:r w:rsidRPr="00687DE8">
              <w:rPr>
                <w:szCs w:val="24"/>
              </w:rPr>
              <w:t>0N2202</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209455" w14:textId="39E59C69" w:rsidR="48476244" w:rsidRPr="00687DE8" w:rsidRDefault="0001177F">
            <w:pPr>
              <w:spacing w:after="0"/>
              <w:jc w:val="center"/>
              <w:rPr>
                <w:color w:val="000000" w:themeColor="text1"/>
                <w:szCs w:val="24"/>
              </w:rPr>
            </w:pPr>
            <w:r>
              <w:rPr>
                <w:color w:val="000000"/>
              </w:rPr>
              <w:t>534,87</w:t>
            </w:r>
          </w:p>
        </w:tc>
      </w:tr>
      <w:tr w:rsidR="005C08E1" w:rsidRPr="00687DE8" w14:paraId="07B5277E"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32A2A0" w14:textId="77777777" w:rsidR="005C08E1" w:rsidRPr="00687DE8" w:rsidRDefault="005C08E1" w:rsidP="005C08E1">
            <w:pPr>
              <w:spacing w:after="0" w:line="240" w:lineRule="auto"/>
              <w:rPr>
                <w:szCs w:val="24"/>
              </w:rPr>
            </w:pPr>
            <w:r w:rsidRPr="00687DE8">
              <w:rPr>
                <w:szCs w:val="24"/>
              </w:rPr>
              <w:t>Artroskoopiline operatsioon (välja arvatud menisk, resektsioon, vabakeha, puusaliiges)</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595BC93" w14:textId="77777777" w:rsidR="005C08E1" w:rsidRPr="00687DE8" w:rsidRDefault="005C08E1" w:rsidP="005C08E1">
            <w:pPr>
              <w:spacing w:after="0" w:line="240" w:lineRule="auto"/>
              <w:jc w:val="center"/>
              <w:rPr>
                <w:szCs w:val="24"/>
              </w:rPr>
            </w:pPr>
            <w:r w:rsidRPr="00687DE8">
              <w:rPr>
                <w:szCs w:val="24"/>
              </w:rPr>
              <w:t>0N2203</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36757B" w14:textId="38AE2849" w:rsidR="48476244" w:rsidRPr="00687DE8" w:rsidRDefault="0001177F">
            <w:pPr>
              <w:spacing w:after="0"/>
              <w:jc w:val="center"/>
              <w:rPr>
                <w:color w:val="000000" w:themeColor="text1"/>
                <w:szCs w:val="24"/>
              </w:rPr>
            </w:pPr>
            <w:r>
              <w:rPr>
                <w:color w:val="000000"/>
              </w:rPr>
              <w:t>829,50</w:t>
            </w:r>
          </w:p>
        </w:tc>
      </w:tr>
      <w:tr w:rsidR="005C08E1" w:rsidRPr="00687DE8" w14:paraId="7AEB137C"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B8B0F7" w14:textId="77777777" w:rsidR="005C08E1" w:rsidRPr="00687DE8" w:rsidRDefault="005C08E1" w:rsidP="005C08E1">
            <w:pPr>
              <w:spacing w:after="0" w:line="240" w:lineRule="auto"/>
              <w:rPr>
                <w:szCs w:val="24"/>
              </w:rPr>
            </w:pPr>
            <w:r w:rsidRPr="00687DE8">
              <w:rPr>
                <w:szCs w:val="24"/>
              </w:rPr>
              <w:t>Liigesstruktuuride terviklikkuse taastamine artroskoopilisel või miniartrotoomia meetodil</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769C34F" w14:textId="77777777" w:rsidR="005C08E1" w:rsidRPr="00687DE8" w:rsidRDefault="005C08E1" w:rsidP="005C08E1">
            <w:pPr>
              <w:spacing w:after="0" w:line="240" w:lineRule="auto"/>
              <w:jc w:val="center"/>
              <w:rPr>
                <w:szCs w:val="24"/>
              </w:rPr>
            </w:pPr>
            <w:r w:rsidRPr="00687DE8">
              <w:rPr>
                <w:szCs w:val="24"/>
              </w:rPr>
              <w:t>0N2204</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ED1E42" w14:textId="0C4C3E95" w:rsidR="48476244" w:rsidRPr="00687DE8" w:rsidRDefault="0001177F">
            <w:pPr>
              <w:spacing w:after="0"/>
              <w:jc w:val="center"/>
              <w:rPr>
                <w:color w:val="000000" w:themeColor="text1"/>
                <w:szCs w:val="24"/>
              </w:rPr>
            </w:pPr>
            <w:r>
              <w:rPr>
                <w:color w:val="000000"/>
              </w:rPr>
              <w:t>1 090,83</w:t>
            </w:r>
          </w:p>
        </w:tc>
      </w:tr>
      <w:tr w:rsidR="005C08E1" w:rsidRPr="00687DE8" w14:paraId="1134503D"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5763AD" w14:textId="77777777" w:rsidR="005C08E1" w:rsidRPr="00687DE8" w:rsidRDefault="005C08E1" w:rsidP="005C08E1">
            <w:pPr>
              <w:spacing w:after="0" w:line="240" w:lineRule="auto"/>
              <w:rPr>
                <w:szCs w:val="24"/>
              </w:rPr>
            </w:pPr>
            <w:r w:rsidRPr="00687DE8">
              <w:rPr>
                <w:szCs w:val="24"/>
              </w:rPr>
              <w:t>Artroskoopiline puusaliigese operatsioon</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E979F6A" w14:textId="77777777" w:rsidR="005C08E1" w:rsidRPr="00687DE8" w:rsidRDefault="005C08E1" w:rsidP="005C08E1">
            <w:pPr>
              <w:spacing w:after="0" w:line="240" w:lineRule="auto"/>
              <w:jc w:val="center"/>
              <w:rPr>
                <w:szCs w:val="24"/>
              </w:rPr>
            </w:pPr>
            <w:r w:rsidRPr="00687DE8">
              <w:rPr>
                <w:szCs w:val="24"/>
              </w:rPr>
              <w:t>0N2205</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676159" w14:textId="6409873C" w:rsidR="48476244" w:rsidRPr="00687DE8" w:rsidRDefault="0001177F">
            <w:pPr>
              <w:spacing w:after="0"/>
              <w:jc w:val="center"/>
              <w:rPr>
                <w:color w:val="000000" w:themeColor="text1"/>
                <w:szCs w:val="24"/>
              </w:rPr>
            </w:pPr>
            <w:r>
              <w:rPr>
                <w:color w:val="000000"/>
              </w:rPr>
              <w:t>1 313,71</w:t>
            </w:r>
          </w:p>
        </w:tc>
      </w:tr>
      <w:tr w:rsidR="005C08E1" w:rsidRPr="00687DE8" w14:paraId="45C0A04F"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F6DE33" w14:textId="77777777" w:rsidR="005C08E1" w:rsidRPr="00687DE8" w:rsidRDefault="005C08E1" w:rsidP="005C08E1">
            <w:pPr>
              <w:spacing w:after="0" w:line="240" w:lineRule="auto"/>
              <w:rPr>
                <w:szCs w:val="24"/>
              </w:rPr>
            </w:pPr>
            <w:r w:rsidRPr="00687DE8">
              <w:rPr>
                <w:szCs w:val="24"/>
              </w:rPr>
              <w:t>Revisioonoperatsioon liigesstruktuuride terviklikkuse taastamiseks artroskoopilisel või miniartrotoomia meetodil</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FB6FA2E" w14:textId="77777777" w:rsidR="005C08E1" w:rsidRPr="00687DE8" w:rsidRDefault="005C08E1" w:rsidP="005C08E1">
            <w:pPr>
              <w:spacing w:after="0" w:line="240" w:lineRule="auto"/>
              <w:jc w:val="center"/>
              <w:rPr>
                <w:szCs w:val="24"/>
              </w:rPr>
            </w:pPr>
            <w:r w:rsidRPr="00687DE8">
              <w:rPr>
                <w:szCs w:val="24"/>
              </w:rPr>
              <w:t>0N2206</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E08CD8" w14:textId="5C95EFF9" w:rsidR="48476244" w:rsidRPr="00687DE8" w:rsidRDefault="0001177F">
            <w:pPr>
              <w:spacing w:after="0"/>
              <w:jc w:val="center"/>
              <w:rPr>
                <w:color w:val="000000" w:themeColor="text1"/>
                <w:szCs w:val="24"/>
              </w:rPr>
            </w:pPr>
            <w:r>
              <w:rPr>
                <w:color w:val="000000"/>
              </w:rPr>
              <w:t>1 722,88</w:t>
            </w:r>
          </w:p>
        </w:tc>
      </w:tr>
      <w:tr w:rsidR="005C08E1" w:rsidRPr="00687DE8" w14:paraId="171635D6"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D2DF27" w14:textId="77777777" w:rsidR="005C08E1" w:rsidRPr="00687DE8" w:rsidRDefault="005C08E1" w:rsidP="005C08E1">
            <w:pPr>
              <w:spacing w:after="0" w:line="240" w:lineRule="auto"/>
              <w:rPr>
                <w:szCs w:val="24"/>
              </w:rPr>
            </w:pPr>
            <w:r w:rsidRPr="00687DE8">
              <w:rPr>
                <w:szCs w:val="24"/>
              </w:rPr>
              <w:t>Nahaplastika „toitval jalal“</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C79695" w14:textId="77777777" w:rsidR="005C08E1" w:rsidRPr="00687DE8" w:rsidRDefault="005C08E1" w:rsidP="005C08E1">
            <w:pPr>
              <w:spacing w:after="0" w:line="240" w:lineRule="auto"/>
              <w:jc w:val="center"/>
              <w:rPr>
                <w:szCs w:val="24"/>
              </w:rPr>
            </w:pPr>
            <w:r w:rsidRPr="00687DE8">
              <w:rPr>
                <w:szCs w:val="24"/>
              </w:rPr>
              <w:t>0Q2111</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B20D16" w14:textId="7F2401DD" w:rsidR="48476244" w:rsidRPr="00687DE8" w:rsidRDefault="0001177F">
            <w:pPr>
              <w:spacing w:after="0"/>
              <w:jc w:val="center"/>
              <w:rPr>
                <w:color w:val="000000" w:themeColor="text1"/>
                <w:szCs w:val="24"/>
              </w:rPr>
            </w:pPr>
            <w:r>
              <w:rPr>
                <w:color w:val="000000"/>
              </w:rPr>
              <w:t>719,63</w:t>
            </w:r>
          </w:p>
        </w:tc>
      </w:tr>
      <w:tr w:rsidR="005C08E1" w:rsidRPr="00687DE8" w14:paraId="45D2E6EF"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1C2264" w14:textId="77777777" w:rsidR="005C08E1" w:rsidRPr="00687DE8" w:rsidRDefault="005C08E1" w:rsidP="005C08E1">
            <w:pPr>
              <w:spacing w:after="0" w:line="240" w:lineRule="auto"/>
              <w:rPr>
                <w:szCs w:val="24"/>
              </w:rPr>
            </w:pPr>
            <w:r w:rsidRPr="00687DE8">
              <w:rPr>
                <w:szCs w:val="24"/>
              </w:rPr>
              <w:t>Põletushaava ekstsisioon alla 4%</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603364" w14:textId="77777777" w:rsidR="005C08E1" w:rsidRPr="00687DE8" w:rsidRDefault="005C08E1" w:rsidP="005C08E1">
            <w:pPr>
              <w:spacing w:after="0" w:line="240" w:lineRule="auto"/>
              <w:jc w:val="center"/>
              <w:rPr>
                <w:szCs w:val="24"/>
              </w:rPr>
            </w:pPr>
            <w:r w:rsidRPr="00687DE8">
              <w:rPr>
                <w:szCs w:val="24"/>
              </w:rPr>
              <w:t>0Q2112</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AA4593" w14:textId="23687665" w:rsidR="48476244" w:rsidRPr="00687DE8" w:rsidRDefault="0001177F">
            <w:pPr>
              <w:spacing w:after="0"/>
              <w:jc w:val="center"/>
              <w:rPr>
                <w:color w:val="000000" w:themeColor="text1"/>
                <w:szCs w:val="24"/>
              </w:rPr>
            </w:pPr>
            <w:r>
              <w:rPr>
                <w:color w:val="000000"/>
              </w:rPr>
              <w:t>496,73</w:t>
            </w:r>
          </w:p>
        </w:tc>
      </w:tr>
      <w:tr w:rsidR="005C08E1" w:rsidRPr="00687DE8" w14:paraId="672DF316"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F23D29" w14:textId="77777777" w:rsidR="005C08E1" w:rsidRPr="00687DE8" w:rsidRDefault="005C08E1" w:rsidP="005C08E1">
            <w:pPr>
              <w:spacing w:after="0" w:line="240" w:lineRule="auto"/>
              <w:rPr>
                <w:szCs w:val="24"/>
              </w:rPr>
            </w:pPr>
            <w:r w:rsidRPr="00687DE8">
              <w:rPr>
                <w:szCs w:val="24"/>
              </w:rPr>
              <w:t>Põletushaava ekstsisioon 4–9%</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211BAB" w14:textId="77777777" w:rsidR="005C08E1" w:rsidRPr="00687DE8" w:rsidRDefault="005C08E1" w:rsidP="005C08E1">
            <w:pPr>
              <w:spacing w:after="0" w:line="240" w:lineRule="auto"/>
              <w:jc w:val="center"/>
              <w:rPr>
                <w:szCs w:val="24"/>
              </w:rPr>
            </w:pPr>
            <w:r w:rsidRPr="00687DE8">
              <w:rPr>
                <w:szCs w:val="24"/>
              </w:rPr>
              <w:t>0Q2113</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2FE5C8" w14:textId="7992C4F3" w:rsidR="48476244" w:rsidRPr="00687DE8" w:rsidRDefault="0001177F">
            <w:pPr>
              <w:spacing w:after="0"/>
              <w:jc w:val="center"/>
              <w:rPr>
                <w:color w:val="000000" w:themeColor="text1"/>
                <w:szCs w:val="24"/>
              </w:rPr>
            </w:pPr>
            <w:r>
              <w:rPr>
                <w:color w:val="000000"/>
              </w:rPr>
              <w:t>924,04</w:t>
            </w:r>
          </w:p>
        </w:tc>
      </w:tr>
      <w:tr w:rsidR="005C08E1" w:rsidRPr="00687DE8" w14:paraId="11F7D0BE"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D371A0" w14:textId="77777777" w:rsidR="005C08E1" w:rsidRPr="00687DE8" w:rsidRDefault="005C08E1" w:rsidP="005C08E1">
            <w:pPr>
              <w:spacing w:after="0" w:line="240" w:lineRule="auto"/>
              <w:rPr>
                <w:szCs w:val="24"/>
              </w:rPr>
            </w:pPr>
            <w:r w:rsidRPr="00687DE8">
              <w:rPr>
                <w:szCs w:val="24"/>
              </w:rPr>
              <w:t>Põletushaava ekstsisioon 10% ja enam</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BAF0C7" w14:textId="77777777" w:rsidR="005C08E1" w:rsidRPr="00687DE8" w:rsidRDefault="005C08E1" w:rsidP="005C08E1">
            <w:pPr>
              <w:spacing w:after="0" w:line="240" w:lineRule="auto"/>
              <w:jc w:val="center"/>
              <w:rPr>
                <w:szCs w:val="24"/>
              </w:rPr>
            </w:pPr>
            <w:r w:rsidRPr="00687DE8">
              <w:rPr>
                <w:szCs w:val="24"/>
              </w:rPr>
              <w:t>0Q2114</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D3D2E3" w14:textId="0E9A8A54" w:rsidR="48476244" w:rsidRPr="00687DE8" w:rsidRDefault="0001177F">
            <w:pPr>
              <w:spacing w:after="0"/>
              <w:jc w:val="center"/>
              <w:rPr>
                <w:color w:val="000000" w:themeColor="text1"/>
                <w:szCs w:val="24"/>
              </w:rPr>
            </w:pPr>
            <w:r>
              <w:rPr>
                <w:color w:val="000000"/>
              </w:rPr>
              <w:t>1 410,03</w:t>
            </w:r>
          </w:p>
        </w:tc>
      </w:tr>
      <w:tr w:rsidR="005C08E1" w:rsidRPr="00687DE8" w14:paraId="53A93539"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0FB335" w14:textId="77777777" w:rsidR="005C08E1" w:rsidRPr="00687DE8" w:rsidRDefault="005C08E1" w:rsidP="005C08E1">
            <w:pPr>
              <w:spacing w:after="0" w:line="240" w:lineRule="auto"/>
              <w:rPr>
                <w:szCs w:val="24"/>
              </w:rPr>
            </w:pPr>
            <w:r w:rsidRPr="00687DE8">
              <w:rPr>
                <w:szCs w:val="24"/>
              </w:rPr>
              <w:t>Põletusdeformatsioonide kirurgiline ravi (välja arvatud nägu, kael ja labakäsi)</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5ADC35" w14:textId="77777777" w:rsidR="005C08E1" w:rsidRPr="00687DE8" w:rsidRDefault="005C08E1" w:rsidP="005C08E1">
            <w:pPr>
              <w:spacing w:after="0" w:line="240" w:lineRule="auto"/>
              <w:jc w:val="center"/>
              <w:rPr>
                <w:szCs w:val="24"/>
              </w:rPr>
            </w:pPr>
          </w:p>
          <w:p w14:paraId="3CBEC315" w14:textId="77777777" w:rsidR="005C08E1" w:rsidRPr="00687DE8" w:rsidRDefault="005C08E1" w:rsidP="005C08E1">
            <w:pPr>
              <w:spacing w:after="0" w:line="240" w:lineRule="auto"/>
              <w:jc w:val="center"/>
              <w:rPr>
                <w:szCs w:val="24"/>
              </w:rPr>
            </w:pPr>
            <w:r w:rsidRPr="00687DE8">
              <w:rPr>
                <w:szCs w:val="24"/>
              </w:rPr>
              <w:t>0Q2115</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42F5CD" w14:textId="59B9694B" w:rsidR="48476244" w:rsidRPr="00687DE8" w:rsidRDefault="0001177F">
            <w:pPr>
              <w:spacing w:after="0"/>
              <w:jc w:val="center"/>
              <w:rPr>
                <w:color w:val="000000" w:themeColor="text1"/>
                <w:szCs w:val="24"/>
              </w:rPr>
            </w:pPr>
            <w:r>
              <w:rPr>
                <w:color w:val="000000"/>
              </w:rPr>
              <w:t>719,87</w:t>
            </w:r>
          </w:p>
        </w:tc>
      </w:tr>
      <w:tr w:rsidR="005C08E1" w:rsidRPr="00687DE8" w14:paraId="3EF2D281"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6BAF97" w14:textId="77777777" w:rsidR="005C08E1" w:rsidRPr="00687DE8" w:rsidRDefault="005C08E1" w:rsidP="005C08E1">
            <w:pPr>
              <w:spacing w:after="0" w:line="240" w:lineRule="auto"/>
              <w:rPr>
                <w:szCs w:val="24"/>
              </w:rPr>
            </w:pPr>
            <w:r w:rsidRPr="00687DE8">
              <w:rPr>
                <w:szCs w:val="24"/>
              </w:rPr>
              <w:t>Labakäe põletusdeformatsiooni kirurgiline ravi</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3BEC34" w14:textId="77777777" w:rsidR="005C08E1" w:rsidRPr="00687DE8" w:rsidRDefault="005C08E1" w:rsidP="005C08E1">
            <w:pPr>
              <w:spacing w:after="0" w:line="240" w:lineRule="auto"/>
              <w:jc w:val="center"/>
              <w:rPr>
                <w:szCs w:val="24"/>
              </w:rPr>
            </w:pPr>
            <w:r w:rsidRPr="00687DE8">
              <w:rPr>
                <w:szCs w:val="24"/>
              </w:rPr>
              <w:t>0Q2116</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86C159" w14:textId="3909459A" w:rsidR="48476244" w:rsidRPr="00687DE8" w:rsidRDefault="0001177F">
            <w:pPr>
              <w:spacing w:after="0"/>
              <w:jc w:val="center"/>
              <w:rPr>
                <w:color w:val="000000" w:themeColor="text1"/>
                <w:szCs w:val="24"/>
              </w:rPr>
            </w:pPr>
            <w:r>
              <w:rPr>
                <w:color w:val="000000"/>
              </w:rPr>
              <w:t>962,60</w:t>
            </w:r>
          </w:p>
        </w:tc>
      </w:tr>
      <w:tr w:rsidR="005C08E1" w:rsidRPr="00687DE8" w14:paraId="780F7995"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828572" w14:textId="77777777" w:rsidR="005C08E1" w:rsidRPr="00687DE8" w:rsidRDefault="005C08E1" w:rsidP="005C08E1">
            <w:pPr>
              <w:spacing w:after="0" w:line="240" w:lineRule="auto"/>
              <w:rPr>
                <w:szCs w:val="24"/>
              </w:rPr>
            </w:pPr>
            <w:r w:rsidRPr="00687DE8">
              <w:rPr>
                <w:szCs w:val="24"/>
              </w:rPr>
              <w:t>Näo ja kaela põletusdeformatsiooni kirurgiline ravi</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460D14" w14:textId="77777777" w:rsidR="005C08E1" w:rsidRPr="00687DE8" w:rsidRDefault="005C08E1" w:rsidP="005C08E1">
            <w:pPr>
              <w:spacing w:after="0" w:line="240" w:lineRule="auto"/>
              <w:jc w:val="center"/>
              <w:rPr>
                <w:szCs w:val="24"/>
              </w:rPr>
            </w:pPr>
            <w:r w:rsidRPr="00687DE8">
              <w:rPr>
                <w:szCs w:val="24"/>
              </w:rPr>
              <w:t>0Q2117</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5C75ED" w14:textId="33BFF93E" w:rsidR="48476244" w:rsidRPr="00687DE8" w:rsidRDefault="0001177F">
            <w:pPr>
              <w:spacing w:after="0"/>
              <w:jc w:val="center"/>
              <w:rPr>
                <w:color w:val="000000" w:themeColor="text1"/>
                <w:szCs w:val="24"/>
              </w:rPr>
            </w:pPr>
            <w:r>
              <w:rPr>
                <w:color w:val="000000"/>
              </w:rPr>
              <w:t>968,67</w:t>
            </w:r>
          </w:p>
        </w:tc>
      </w:tr>
      <w:tr w:rsidR="005C08E1" w:rsidRPr="00687DE8" w14:paraId="46EE9227"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B84A63" w14:textId="77777777" w:rsidR="005C08E1" w:rsidRPr="00687DE8" w:rsidRDefault="005C08E1" w:rsidP="005C08E1">
            <w:pPr>
              <w:spacing w:after="0" w:line="240" w:lineRule="auto"/>
              <w:rPr>
                <w:szCs w:val="24"/>
              </w:rPr>
            </w:pPr>
            <w:r w:rsidRPr="00687DE8">
              <w:rPr>
                <w:szCs w:val="24"/>
              </w:rPr>
              <w:t>Esharotoomia</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0A5D5B" w14:textId="77777777" w:rsidR="005C08E1" w:rsidRPr="00687DE8" w:rsidRDefault="005C08E1" w:rsidP="005C08E1">
            <w:pPr>
              <w:spacing w:after="0" w:line="240" w:lineRule="auto"/>
              <w:jc w:val="center"/>
              <w:rPr>
                <w:szCs w:val="24"/>
              </w:rPr>
            </w:pPr>
            <w:r w:rsidRPr="00687DE8">
              <w:rPr>
                <w:szCs w:val="24"/>
              </w:rPr>
              <w:t>0Q2118</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51B82C" w14:textId="66C98042" w:rsidR="48476244" w:rsidRPr="00687DE8" w:rsidRDefault="0001177F">
            <w:pPr>
              <w:spacing w:after="0"/>
              <w:jc w:val="center"/>
              <w:rPr>
                <w:color w:val="000000" w:themeColor="text1"/>
                <w:szCs w:val="24"/>
              </w:rPr>
            </w:pPr>
            <w:r>
              <w:rPr>
                <w:color w:val="000000"/>
              </w:rPr>
              <w:t>340,35</w:t>
            </w:r>
          </w:p>
        </w:tc>
      </w:tr>
      <w:tr w:rsidR="005C08E1" w:rsidRPr="00687DE8" w14:paraId="420C35C0"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69B6B0" w14:textId="77777777" w:rsidR="005C08E1" w:rsidRPr="00687DE8" w:rsidRDefault="005C08E1" w:rsidP="005C08E1">
            <w:pPr>
              <w:spacing w:after="0" w:line="240" w:lineRule="auto"/>
              <w:rPr>
                <w:szCs w:val="24"/>
              </w:rPr>
            </w:pPr>
            <w:r w:rsidRPr="00687DE8">
              <w:rPr>
                <w:szCs w:val="24"/>
              </w:rPr>
              <w:t>Nahatransplantatsioon koos haava ekstsisiooniga alla 4%</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926A95" w14:textId="77777777" w:rsidR="005C08E1" w:rsidRPr="00687DE8" w:rsidRDefault="005C08E1" w:rsidP="005C08E1">
            <w:pPr>
              <w:spacing w:after="0" w:line="240" w:lineRule="auto"/>
              <w:jc w:val="center"/>
              <w:rPr>
                <w:szCs w:val="24"/>
              </w:rPr>
            </w:pPr>
            <w:r w:rsidRPr="00687DE8">
              <w:rPr>
                <w:szCs w:val="24"/>
              </w:rPr>
              <w:t>1Q2123</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AFF972" w14:textId="5B4A61C8" w:rsidR="48476244" w:rsidRPr="00687DE8" w:rsidRDefault="0001177F">
            <w:pPr>
              <w:spacing w:after="0"/>
              <w:jc w:val="center"/>
              <w:rPr>
                <w:color w:val="000000" w:themeColor="text1"/>
                <w:szCs w:val="24"/>
              </w:rPr>
            </w:pPr>
            <w:r>
              <w:rPr>
                <w:color w:val="000000"/>
              </w:rPr>
              <w:t>642,44</w:t>
            </w:r>
          </w:p>
        </w:tc>
      </w:tr>
      <w:tr w:rsidR="005C08E1" w:rsidRPr="00687DE8" w14:paraId="22CB88D2"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76ED40" w14:textId="77777777" w:rsidR="005C08E1" w:rsidRPr="00687DE8" w:rsidRDefault="005C08E1" w:rsidP="005C08E1">
            <w:pPr>
              <w:spacing w:after="0" w:line="240" w:lineRule="auto"/>
              <w:rPr>
                <w:szCs w:val="24"/>
              </w:rPr>
            </w:pPr>
            <w:r w:rsidRPr="00687DE8">
              <w:rPr>
                <w:szCs w:val="24"/>
              </w:rPr>
              <w:lastRenderedPageBreak/>
              <w:t>Nahatransplantatsioon koos haava ekstsisiooniga 4–9%</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789CAD" w14:textId="77777777" w:rsidR="005C08E1" w:rsidRPr="00687DE8" w:rsidRDefault="005C08E1" w:rsidP="005C08E1">
            <w:pPr>
              <w:spacing w:after="0" w:line="240" w:lineRule="auto"/>
              <w:jc w:val="center"/>
              <w:rPr>
                <w:szCs w:val="24"/>
              </w:rPr>
            </w:pPr>
            <w:r w:rsidRPr="00687DE8">
              <w:rPr>
                <w:szCs w:val="24"/>
              </w:rPr>
              <w:t>1Q2124</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4FEF2F" w14:textId="4F960E85" w:rsidR="48476244" w:rsidRPr="00687DE8" w:rsidRDefault="0001177F">
            <w:pPr>
              <w:spacing w:after="0"/>
              <w:jc w:val="center"/>
              <w:rPr>
                <w:color w:val="000000" w:themeColor="text1"/>
                <w:szCs w:val="24"/>
              </w:rPr>
            </w:pPr>
            <w:r>
              <w:rPr>
                <w:color w:val="000000"/>
              </w:rPr>
              <w:t>1 329,89</w:t>
            </w:r>
          </w:p>
        </w:tc>
      </w:tr>
      <w:tr w:rsidR="005C08E1" w:rsidRPr="00687DE8" w14:paraId="37DB3AAB"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4C9855" w14:textId="77777777" w:rsidR="005C08E1" w:rsidRPr="00687DE8" w:rsidRDefault="005C08E1" w:rsidP="005C08E1">
            <w:pPr>
              <w:spacing w:after="0" w:line="240" w:lineRule="auto"/>
              <w:rPr>
                <w:szCs w:val="24"/>
              </w:rPr>
            </w:pPr>
            <w:r w:rsidRPr="00687DE8">
              <w:rPr>
                <w:szCs w:val="24"/>
              </w:rPr>
              <w:t>Nahatransplantatsioon koos haava ekstsisiooniga 10% ja enam</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7CEFFD" w14:textId="77777777" w:rsidR="005C08E1" w:rsidRPr="00687DE8" w:rsidRDefault="005C08E1" w:rsidP="005C08E1">
            <w:pPr>
              <w:spacing w:after="0" w:line="240" w:lineRule="auto"/>
              <w:jc w:val="center"/>
              <w:rPr>
                <w:szCs w:val="24"/>
              </w:rPr>
            </w:pPr>
            <w:r w:rsidRPr="00687DE8">
              <w:rPr>
                <w:szCs w:val="24"/>
              </w:rPr>
              <w:t>1Q2125</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1629E9" w14:textId="4AB7EE7D" w:rsidR="48476244" w:rsidRPr="00687DE8" w:rsidRDefault="0001177F">
            <w:pPr>
              <w:spacing w:after="0"/>
              <w:jc w:val="center"/>
              <w:rPr>
                <w:color w:val="000000" w:themeColor="text1"/>
                <w:szCs w:val="24"/>
              </w:rPr>
            </w:pPr>
            <w:r>
              <w:rPr>
                <w:color w:val="000000"/>
              </w:rPr>
              <w:t>1 977,18</w:t>
            </w:r>
          </w:p>
        </w:tc>
      </w:tr>
      <w:tr w:rsidR="005C08E1" w:rsidRPr="00687DE8" w14:paraId="0BF43FB4"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66891C" w14:textId="77777777" w:rsidR="005C08E1" w:rsidRPr="00687DE8" w:rsidRDefault="005C08E1" w:rsidP="005C08E1">
            <w:pPr>
              <w:spacing w:after="0" w:line="240" w:lineRule="auto"/>
              <w:rPr>
                <w:szCs w:val="24"/>
              </w:rPr>
            </w:pPr>
            <w:r w:rsidRPr="00687DE8">
              <w:rPr>
                <w:szCs w:val="24"/>
              </w:rPr>
              <w:t>Suuremahulised resektsioonid ja revisioonoperatsioonid lülisambal</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A6F2F5" w14:textId="77777777" w:rsidR="005C08E1" w:rsidRPr="00687DE8" w:rsidRDefault="005C08E1" w:rsidP="005C08E1">
            <w:pPr>
              <w:spacing w:after="0" w:line="240" w:lineRule="auto"/>
              <w:jc w:val="center"/>
              <w:rPr>
                <w:szCs w:val="24"/>
              </w:rPr>
            </w:pPr>
            <w:r w:rsidRPr="00687DE8">
              <w:rPr>
                <w:szCs w:val="24"/>
              </w:rPr>
              <w:t>1N2158</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0B3374" w14:textId="0D451A03" w:rsidR="48476244" w:rsidRPr="00687DE8" w:rsidRDefault="0001177F">
            <w:pPr>
              <w:spacing w:after="0"/>
              <w:jc w:val="center"/>
              <w:rPr>
                <w:color w:val="000000" w:themeColor="text1"/>
                <w:szCs w:val="24"/>
              </w:rPr>
            </w:pPr>
            <w:r>
              <w:rPr>
                <w:color w:val="000000"/>
              </w:rPr>
              <w:t>3 548,54</w:t>
            </w:r>
          </w:p>
        </w:tc>
      </w:tr>
      <w:tr w:rsidR="005C08E1" w:rsidRPr="00687DE8" w14:paraId="7436E781"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3C9483" w14:textId="77777777" w:rsidR="005C08E1" w:rsidRPr="00687DE8" w:rsidRDefault="005C08E1" w:rsidP="005C08E1">
            <w:pPr>
              <w:spacing w:after="0" w:line="240" w:lineRule="auto"/>
              <w:rPr>
                <w:szCs w:val="24"/>
              </w:rPr>
            </w:pPr>
            <w:r w:rsidRPr="00687DE8">
              <w:rPr>
                <w:szCs w:val="24"/>
              </w:rPr>
              <w:t>Surnud doonori naha käitlus siirdamiseks, sealhulgas allogeensete nahatransplantaatide (allonaha) eemaldamine</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31A414E" w14:textId="77777777" w:rsidR="005C08E1" w:rsidRPr="00687DE8" w:rsidRDefault="005C08E1" w:rsidP="005C08E1">
            <w:pPr>
              <w:spacing w:after="0" w:line="240" w:lineRule="auto"/>
              <w:jc w:val="center"/>
              <w:rPr>
                <w:szCs w:val="24"/>
              </w:rPr>
            </w:pPr>
            <w:r w:rsidRPr="00687DE8">
              <w:rPr>
                <w:szCs w:val="24"/>
              </w:rPr>
              <w:t>1Q2122</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C333FB" w14:textId="2F03AE72" w:rsidR="48476244" w:rsidRPr="00687DE8" w:rsidRDefault="0001177F">
            <w:pPr>
              <w:spacing w:after="0"/>
              <w:jc w:val="center"/>
              <w:rPr>
                <w:color w:val="000000" w:themeColor="text1"/>
                <w:szCs w:val="24"/>
              </w:rPr>
            </w:pPr>
            <w:r>
              <w:rPr>
                <w:color w:val="000000"/>
              </w:rPr>
              <w:t>1 155,55</w:t>
            </w:r>
          </w:p>
        </w:tc>
      </w:tr>
      <w:tr w:rsidR="005C08E1" w:rsidRPr="00687DE8" w14:paraId="2D069F57" w14:textId="77777777" w:rsidTr="00EB7A71">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5C3DF7" w14:textId="77777777" w:rsidR="005C08E1" w:rsidRPr="00687DE8" w:rsidRDefault="005C08E1" w:rsidP="005C08E1">
            <w:pPr>
              <w:spacing w:after="0" w:line="240" w:lineRule="auto"/>
              <w:rPr>
                <w:szCs w:val="24"/>
              </w:rPr>
            </w:pPr>
            <w:r w:rsidRPr="00687DE8">
              <w:rPr>
                <w:szCs w:val="24"/>
              </w:rPr>
              <w:t>Surnud doonori luukoe käitlus siirdamiseks, sealhulgas luukoe eemaldamine</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C2218B" w14:textId="77777777" w:rsidR="005C08E1" w:rsidRPr="00687DE8" w:rsidRDefault="005C08E1" w:rsidP="005C08E1">
            <w:pPr>
              <w:spacing w:after="0" w:line="240" w:lineRule="auto"/>
              <w:jc w:val="center"/>
              <w:rPr>
                <w:szCs w:val="24"/>
              </w:rPr>
            </w:pPr>
          </w:p>
          <w:p w14:paraId="4C8DB23A" w14:textId="77777777" w:rsidR="005C08E1" w:rsidRPr="00687DE8" w:rsidRDefault="005C08E1" w:rsidP="005C08E1">
            <w:pPr>
              <w:spacing w:after="0" w:line="240" w:lineRule="auto"/>
              <w:jc w:val="center"/>
              <w:rPr>
                <w:szCs w:val="24"/>
              </w:rPr>
            </w:pPr>
            <w:r w:rsidRPr="00687DE8">
              <w:rPr>
                <w:szCs w:val="24"/>
              </w:rPr>
              <w:t>1N2159</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204D4A" w14:textId="3B481E96" w:rsidR="48476244" w:rsidRPr="00687DE8" w:rsidRDefault="0001177F">
            <w:pPr>
              <w:spacing w:after="0"/>
              <w:jc w:val="center"/>
              <w:rPr>
                <w:color w:val="000000" w:themeColor="text1"/>
                <w:szCs w:val="24"/>
              </w:rPr>
            </w:pPr>
            <w:r>
              <w:rPr>
                <w:color w:val="000000"/>
              </w:rPr>
              <w:t>2 032,00</w:t>
            </w:r>
          </w:p>
        </w:tc>
      </w:tr>
      <w:tr w:rsidR="005C08E1" w:rsidRPr="00687DE8" w14:paraId="0B4E020F"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1B9702" w14:textId="77777777" w:rsidR="005C08E1" w:rsidRPr="00687DE8" w:rsidRDefault="005C08E1" w:rsidP="005C08E1">
            <w:pPr>
              <w:spacing w:after="0" w:line="240" w:lineRule="auto"/>
              <w:rPr>
                <w:szCs w:val="24"/>
              </w:rPr>
            </w:pPr>
            <w:r w:rsidRPr="00687DE8">
              <w:rPr>
                <w:szCs w:val="24"/>
              </w:rPr>
              <w:t>Elusdoonori luukoe eemaldamine siirdamiseks</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7D0FBB" w14:textId="77777777" w:rsidR="005C08E1" w:rsidRPr="00687DE8" w:rsidRDefault="005C08E1" w:rsidP="005C08E1">
            <w:pPr>
              <w:spacing w:after="0" w:line="240" w:lineRule="auto"/>
              <w:jc w:val="center"/>
              <w:rPr>
                <w:szCs w:val="24"/>
              </w:rPr>
            </w:pPr>
            <w:r w:rsidRPr="00687DE8">
              <w:rPr>
                <w:szCs w:val="24"/>
              </w:rPr>
              <w:t>1N2160</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F94A0A" w14:textId="58CA2BCB" w:rsidR="48476244" w:rsidRPr="00687DE8" w:rsidRDefault="0001177F">
            <w:pPr>
              <w:spacing w:after="0"/>
              <w:jc w:val="center"/>
              <w:rPr>
                <w:color w:val="000000" w:themeColor="text1"/>
                <w:szCs w:val="24"/>
              </w:rPr>
            </w:pPr>
            <w:r>
              <w:rPr>
                <w:color w:val="000000"/>
              </w:rPr>
              <w:t>648,54</w:t>
            </w:r>
          </w:p>
        </w:tc>
      </w:tr>
      <w:tr w:rsidR="005C08E1" w:rsidRPr="00687DE8" w14:paraId="52F4DC99" w14:textId="77777777" w:rsidTr="00911FCE">
        <w:trPr>
          <w:divId w:val="1316184749"/>
          <w:trHeight w:val="300"/>
        </w:trPr>
        <w:tc>
          <w:tcPr>
            <w:tcW w:w="5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B1C1C1" w14:textId="77777777" w:rsidR="005C08E1" w:rsidRPr="00687DE8" w:rsidRDefault="005C08E1" w:rsidP="005C08E1">
            <w:pPr>
              <w:spacing w:after="0" w:line="240" w:lineRule="auto"/>
              <w:rPr>
                <w:szCs w:val="24"/>
              </w:rPr>
            </w:pPr>
            <w:r w:rsidRPr="00687DE8">
              <w:rPr>
                <w:szCs w:val="24"/>
              </w:rPr>
              <w:t>Elusdoonori luukoe käitlus siirdamiseks</w:t>
            </w:r>
          </w:p>
        </w:tc>
        <w:tc>
          <w:tcPr>
            <w:tcW w:w="25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62EDD2" w14:textId="77777777" w:rsidR="005C08E1" w:rsidRPr="00687DE8" w:rsidRDefault="005C08E1" w:rsidP="005C08E1">
            <w:pPr>
              <w:spacing w:after="0" w:line="240" w:lineRule="auto"/>
              <w:jc w:val="center"/>
              <w:rPr>
                <w:szCs w:val="24"/>
              </w:rPr>
            </w:pPr>
            <w:r w:rsidRPr="00687DE8">
              <w:rPr>
                <w:szCs w:val="24"/>
              </w:rPr>
              <w:t>1N2161</w:t>
            </w:r>
          </w:p>
        </w:tc>
        <w:tc>
          <w:tcPr>
            <w:tcW w:w="14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4D8E46" w14:textId="5EFEF9A3" w:rsidR="48476244" w:rsidRPr="00687DE8" w:rsidRDefault="0001177F">
            <w:pPr>
              <w:spacing w:after="0"/>
              <w:jc w:val="center"/>
              <w:rPr>
                <w:color w:val="000000" w:themeColor="text1"/>
                <w:szCs w:val="24"/>
              </w:rPr>
            </w:pPr>
            <w:r>
              <w:rPr>
                <w:color w:val="000000"/>
              </w:rPr>
              <w:t>1 137,98</w:t>
            </w:r>
          </w:p>
        </w:tc>
      </w:tr>
    </w:tbl>
    <w:p w14:paraId="16BFB7C5" w14:textId="77777777" w:rsidR="00976487" w:rsidRPr="00687DE8" w:rsidRDefault="00976487" w:rsidP="00976487">
      <w:pPr>
        <w:spacing w:after="0" w:line="240" w:lineRule="auto"/>
        <w:jc w:val="both"/>
        <w:divId w:val="1316184749"/>
        <w:rPr>
          <w:szCs w:val="24"/>
        </w:rPr>
      </w:pPr>
    </w:p>
    <w:p w14:paraId="0196E1D5" w14:textId="2697D935" w:rsidR="1FBCF290" w:rsidRDefault="00976487" w:rsidP="2BD8EECB">
      <w:pPr>
        <w:spacing w:after="0" w:line="240" w:lineRule="auto"/>
        <w:jc w:val="both"/>
        <w:divId w:val="1316184749"/>
      </w:pPr>
      <w:r>
        <w:t>(2) Suur liiges käesoleva määruse tähenduses on puusa-, põlve-, õla-, hüppe-, randme-, küünar- ja alalõualuu liiges.</w:t>
      </w:r>
    </w:p>
    <w:p w14:paraId="596DEDEE" w14:textId="77777777" w:rsidR="00551F10" w:rsidRDefault="00551F10" w:rsidP="3A33E6EF">
      <w:pPr>
        <w:spacing w:after="0" w:line="240" w:lineRule="auto"/>
        <w:jc w:val="both"/>
      </w:pPr>
    </w:p>
    <w:p w14:paraId="2F572655" w14:textId="2F8A4041" w:rsidR="00976487" w:rsidRPr="00687DE8" w:rsidRDefault="398C4041" w:rsidP="00976487">
      <w:pPr>
        <w:spacing w:after="0" w:line="240" w:lineRule="auto"/>
        <w:jc w:val="both"/>
        <w:divId w:val="1316184749"/>
        <w:rPr>
          <w:szCs w:val="24"/>
        </w:rPr>
      </w:pPr>
      <w:r>
        <w:t>(3) Väike liiges käesoleva määruse tähenduses on sõrme-, kämblasõrme-, varba-, pöiavarba-, rangluuabaluu-, rangluurinnakuluu</w:t>
      </w:r>
      <w:r w:rsidR="1D6F00C6">
        <w:t>-</w:t>
      </w:r>
      <w:r>
        <w:t xml:space="preserve"> ja lülisamba fassettliiges.</w:t>
      </w:r>
    </w:p>
    <w:p w14:paraId="2411EA5B" w14:textId="77777777" w:rsidR="00551F10" w:rsidRDefault="00551F10" w:rsidP="00976487">
      <w:pPr>
        <w:spacing w:after="0" w:line="240" w:lineRule="auto"/>
        <w:jc w:val="both"/>
        <w:divId w:val="1316184749"/>
      </w:pPr>
    </w:p>
    <w:p w14:paraId="3D664878" w14:textId="45A043B3" w:rsidR="00976487" w:rsidRPr="00687DE8" w:rsidRDefault="00976487" w:rsidP="00976487">
      <w:pPr>
        <w:spacing w:after="0" w:line="240" w:lineRule="auto"/>
        <w:jc w:val="both"/>
        <w:divId w:val="1316184749"/>
      </w:pPr>
      <w:r>
        <w:t>(</w:t>
      </w:r>
      <w:r w:rsidR="65E362C4">
        <w:t>4</w:t>
      </w:r>
      <w:r>
        <w:t>) Väike luu käesoleva määruse tä</w:t>
      </w:r>
      <w:r w:rsidR="00A34AF9">
        <w:t>h</w:t>
      </w:r>
      <w:r>
        <w:t>enduses on labakäe-, labajala-, randme-, lülisamba- ja rangluu.</w:t>
      </w:r>
    </w:p>
    <w:p w14:paraId="17F70946" w14:textId="3D1B8375" w:rsidR="00976487" w:rsidRPr="00687DE8" w:rsidRDefault="00976487" w:rsidP="00976487">
      <w:pPr>
        <w:spacing w:after="0" w:line="240" w:lineRule="auto"/>
        <w:jc w:val="both"/>
        <w:divId w:val="1316184749"/>
        <w:rPr>
          <w:szCs w:val="24"/>
        </w:rPr>
      </w:pPr>
    </w:p>
    <w:p w14:paraId="7B2B888F" w14:textId="0D78888D" w:rsidR="00976487" w:rsidRPr="00687DE8" w:rsidRDefault="00976487" w:rsidP="00976487">
      <w:pPr>
        <w:spacing w:after="0" w:line="240" w:lineRule="auto"/>
        <w:jc w:val="both"/>
        <w:divId w:val="1316184749"/>
      </w:pPr>
      <w:r>
        <w:t>(</w:t>
      </w:r>
      <w:r w:rsidR="6AB673F1">
        <w:t>5</w:t>
      </w:r>
      <w:r>
        <w:t>) Suur luu käesoleva määruse tähenduses on abaluu ja vaagnaluu ning</w:t>
      </w:r>
      <w:r w:rsidR="00F452D5">
        <w:t xml:space="preserve"> </w:t>
      </w:r>
      <w:r>
        <w:t>suur toruluu on</w:t>
      </w:r>
      <w:r w:rsidR="007B5180">
        <w:t xml:space="preserve"> </w:t>
      </w:r>
      <w:r>
        <w:t>õlavarre</w:t>
      </w:r>
      <w:r w:rsidR="001655DE">
        <w:noBreakHyphen/>
      </w:r>
      <w:r>
        <w:t>, käsivarre-, reie- ja sääreluu.</w:t>
      </w:r>
    </w:p>
    <w:p w14:paraId="5022D6C0" w14:textId="77777777" w:rsidR="00976487" w:rsidRPr="00687DE8" w:rsidRDefault="00976487" w:rsidP="00976487">
      <w:pPr>
        <w:spacing w:after="0" w:line="240" w:lineRule="auto"/>
        <w:jc w:val="both"/>
        <w:divId w:val="1316184749"/>
        <w:rPr>
          <w:szCs w:val="24"/>
        </w:rPr>
      </w:pPr>
    </w:p>
    <w:p w14:paraId="639566E1" w14:textId="54F272C0" w:rsidR="00976487" w:rsidRPr="00687DE8" w:rsidRDefault="00976487" w:rsidP="00976487">
      <w:pPr>
        <w:spacing w:after="0" w:line="240" w:lineRule="auto"/>
        <w:jc w:val="both"/>
        <w:divId w:val="1316184749"/>
      </w:pPr>
      <w:r>
        <w:t>(</w:t>
      </w:r>
      <w:r w:rsidR="090556B6">
        <w:t>6</w:t>
      </w:r>
      <w:r>
        <w:t>) Käesolevas paragrahvis loetletud tervishoiuteenused sisaldavad arkoskoopia maksumust.</w:t>
      </w:r>
    </w:p>
    <w:p w14:paraId="20CB7133" w14:textId="77777777" w:rsidR="00B81ED5" w:rsidRDefault="00B81ED5" w:rsidP="00976487">
      <w:pPr>
        <w:spacing w:after="0" w:line="240" w:lineRule="auto"/>
        <w:jc w:val="both"/>
        <w:divId w:val="1316184749"/>
        <w:rPr>
          <w:szCs w:val="24"/>
        </w:rPr>
      </w:pPr>
    </w:p>
    <w:p w14:paraId="77F2B1A7" w14:textId="64F1F993" w:rsidR="00B80316" w:rsidRPr="00687DE8" w:rsidRDefault="00B80316" w:rsidP="00976487">
      <w:pPr>
        <w:spacing w:after="0" w:line="240" w:lineRule="auto"/>
        <w:jc w:val="both"/>
        <w:divId w:val="1316184749"/>
      </w:pPr>
      <w:r>
        <w:t>(</w:t>
      </w:r>
      <w:r w:rsidR="1C1568DE">
        <w:t>7</w:t>
      </w:r>
      <w:r>
        <w:t xml:space="preserve">) </w:t>
      </w:r>
      <w:r w:rsidR="003737F6">
        <w:t>Ühel</w:t>
      </w:r>
      <w:r>
        <w:t xml:space="preserve"> luul, liigesel või kõõlusel</w:t>
      </w:r>
      <w:r w:rsidR="00AD10A6">
        <w:t xml:space="preserve"> </w:t>
      </w:r>
      <w:r w:rsidR="00D92FB5">
        <w:t xml:space="preserve">rakendatakse </w:t>
      </w:r>
      <w:r>
        <w:t>sama</w:t>
      </w:r>
      <w:r w:rsidR="00E6094C">
        <w:t>l ajal</w:t>
      </w:r>
      <w:r w:rsidR="007E5E27">
        <w:t xml:space="preserve"> </w:t>
      </w:r>
      <w:r>
        <w:t xml:space="preserve">üht lõikes 1 nimetatud </w:t>
      </w:r>
      <w:r w:rsidR="005B5623">
        <w:t>tervishoiuteenust</w:t>
      </w:r>
      <w:r w:rsidR="007F68FB">
        <w:t>.</w:t>
      </w:r>
    </w:p>
    <w:p w14:paraId="2E2D7F21" w14:textId="77777777" w:rsidR="00976487" w:rsidRPr="00687DE8" w:rsidRDefault="00976487" w:rsidP="00976487">
      <w:pPr>
        <w:spacing w:after="0" w:line="240" w:lineRule="auto"/>
        <w:jc w:val="both"/>
        <w:divId w:val="1316184749"/>
        <w:rPr>
          <w:szCs w:val="24"/>
        </w:rPr>
      </w:pPr>
    </w:p>
    <w:p w14:paraId="2272E3AA" w14:textId="32005C63" w:rsidR="00976487" w:rsidRPr="00687DE8" w:rsidRDefault="00976487" w:rsidP="00976487">
      <w:pPr>
        <w:spacing w:after="0" w:line="240" w:lineRule="auto"/>
        <w:jc w:val="both"/>
        <w:divId w:val="1316184749"/>
      </w:pPr>
      <w:r>
        <w:t>(</w:t>
      </w:r>
      <w:r w:rsidR="3243B27A">
        <w:t>8</w:t>
      </w:r>
      <w:r>
        <w:t>) Koodiga 0N2147 tähistatud tervishoiuteenus sisaldab vähemalt ühte järgmistest lülisamba operatsioonidest:</w:t>
      </w:r>
    </w:p>
    <w:p w14:paraId="2C94BFF5" w14:textId="77777777" w:rsidR="00976487" w:rsidRPr="00687DE8" w:rsidRDefault="00976487" w:rsidP="00976487">
      <w:pPr>
        <w:spacing w:after="0" w:line="240" w:lineRule="auto"/>
        <w:jc w:val="both"/>
        <w:divId w:val="1316184749"/>
        <w:rPr>
          <w:szCs w:val="24"/>
        </w:rPr>
      </w:pPr>
      <w:r w:rsidRPr="00687DE8">
        <w:rPr>
          <w:szCs w:val="24"/>
        </w:rPr>
        <w:t>1) spondülodees kuni 50% nihkunud spondülolisteesi korral;</w:t>
      </w:r>
    </w:p>
    <w:p w14:paraId="6194F39E" w14:textId="77777777" w:rsidR="00976487" w:rsidRPr="00687DE8" w:rsidRDefault="00976487" w:rsidP="00976487">
      <w:pPr>
        <w:spacing w:after="0" w:line="240" w:lineRule="auto"/>
        <w:jc w:val="both"/>
        <w:divId w:val="1316184749"/>
        <w:rPr>
          <w:szCs w:val="24"/>
        </w:rPr>
      </w:pPr>
      <w:r w:rsidRPr="00687DE8">
        <w:rPr>
          <w:szCs w:val="24"/>
        </w:rPr>
        <w:t>2) skolioosi või küfoosi korrigeerimine ilma osteotoomita;</w:t>
      </w:r>
    </w:p>
    <w:p w14:paraId="2A52D788" w14:textId="77777777" w:rsidR="00976487" w:rsidRPr="00687DE8" w:rsidRDefault="00976487" w:rsidP="00976487">
      <w:pPr>
        <w:spacing w:after="0" w:line="240" w:lineRule="auto"/>
        <w:jc w:val="both"/>
        <w:divId w:val="1316184749"/>
        <w:rPr>
          <w:szCs w:val="24"/>
        </w:rPr>
      </w:pPr>
      <w:r w:rsidRPr="00687DE8">
        <w:rPr>
          <w:szCs w:val="24"/>
        </w:rPr>
        <w:t>3) kasvajate ja põletike korral teostatav seljaaju dekompressioon ja tagumine spondülodees;</w:t>
      </w:r>
    </w:p>
    <w:p w14:paraId="47233BCC" w14:textId="77777777" w:rsidR="00976487" w:rsidRPr="00687DE8" w:rsidRDefault="00976487" w:rsidP="00976487">
      <w:pPr>
        <w:spacing w:after="0" w:line="240" w:lineRule="auto"/>
        <w:jc w:val="both"/>
        <w:divId w:val="1316184749"/>
        <w:rPr>
          <w:szCs w:val="24"/>
        </w:rPr>
      </w:pPr>
      <w:r w:rsidRPr="00687DE8">
        <w:rPr>
          <w:szCs w:val="24"/>
        </w:rPr>
        <w:t>4) tagumine või eesmine spondülodees trauma, põletiku või kasvajate korral;</w:t>
      </w:r>
    </w:p>
    <w:p w14:paraId="2DB9CE36" w14:textId="77777777" w:rsidR="00976487" w:rsidRPr="00687DE8" w:rsidRDefault="00976487" w:rsidP="00976487">
      <w:pPr>
        <w:spacing w:after="0" w:line="240" w:lineRule="auto"/>
        <w:jc w:val="both"/>
        <w:divId w:val="1316184749"/>
        <w:rPr>
          <w:szCs w:val="24"/>
        </w:rPr>
      </w:pPr>
      <w:r w:rsidRPr="00687DE8">
        <w:rPr>
          <w:szCs w:val="24"/>
        </w:rPr>
        <w:t>5) lülikeha asendamine eesmise või tagumise juurdepääsu kaudu trauma, põletiku või kasvajate korral;</w:t>
      </w:r>
    </w:p>
    <w:p w14:paraId="4C28C3EF" w14:textId="77777777" w:rsidR="00976487" w:rsidRPr="00687DE8" w:rsidRDefault="00976487" w:rsidP="00976487">
      <w:pPr>
        <w:spacing w:after="0" w:line="240" w:lineRule="auto"/>
        <w:jc w:val="both"/>
        <w:divId w:val="1316184749"/>
        <w:rPr>
          <w:szCs w:val="24"/>
        </w:rPr>
      </w:pPr>
      <w:r w:rsidRPr="00687DE8">
        <w:rPr>
          <w:szCs w:val="24"/>
        </w:rPr>
        <w:t>6) lülikehadevaheline (tagumine, lateraalne, eesmine, transforaminaalne) fusioon.</w:t>
      </w:r>
    </w:p>
    <w:p w14:paraId="52F18B41" w14:textId="77777777" w:rsidR="00976487" w:rsidRPr="00687DE8" w:rsidRDefault="00976487" w:rsidP="00976487">
      <w:pPr>
        <w:spacing w:after="0" w:line="240" w:lineRule="auto"/>
        <w:jc w:val="both"/>
        <w:divId w:val="1316184749"/>
        <w:rPr>
          <w:szCs w:val="24"/>
        </w:rPr>
      </w:pPr>
    </w:p>
    <w:p w14:paraId="177817E1" w14:textId="52E50F97" w:rsidR="00976487" w:rsidRPr="00687DE8" w:rsidRDefault="00976487" w:rsidP="00976487">
      <w:pPr>
        <w:spacing w:after="0" w:line="240" w:lineRule="auto"/>
        <w:jc w:val="both"/>
        <w:divId w:val="1316184749"/>
      </w:pPr>
      <w:r>
        <w:t>(</w:t>
      </w:r>
      <w:r w:rsidR="6D4AABA1">
        <w:t>9</w:t>
      </w:r>
      <w:r>
        <w:t>) Koodiga 0N2148 tähistatud tervishoiuteenus sisaldab üht järgmistest lülisamba operatsioonidest:</w:t>
      </w:r>
    </w:p>
    <w:p w14:paraId="7538CF5A" w14:textId="77777777" w:rsidR="00976487" w:rsidRPr="00687DE8" w:rsidRDefault="00976487" w:rsidP="00976487">
      <w:pPr>
        <w:spacing w:after="0" w:line="240" w:lineRule="auto"/>
        <w:jc w:val="both"/>
        <w:divId w:val="1316184749"/>
        <w:rPr>
          <w:szCs w:val="24"/>
        </w:rPr>
      </w:pPr>
      <w:r w:rsidRPr="00687DE8">
        <w:rPr>
          <w:szCs w:val="24"/>
        </w:rPr>
        <w:t>1) spondülodees üle 50% nihkunud spondülolisteesi korral;</w:t>
      </w:r>
    </w:p>
    <w:p w14:paraId="1F77ADE0" w14:textId="77777777" w:rsidR="00976487" w:rsidRPr="00687DE8" w:rsidRDefault="00976487" w:rsidP="00976487">
      <w:pPr>
        <w:spacing w:after="0" w:line="240" w:lineRule="auto"/>
        <w:jc w:val="both"/>
        <w:divId w:val="1316184749"/>
        <w:rPr>
          <w:szCs w:val="24"/>
        </w:rPr>
      </w:pPr>
      <w:r w:rsidRPr="00687DE8">
        <w:rPr>
          <w:szCs w:val="24"/>
        </w:rPr>
        <w:t>2) Smith-Peterseni osteotoomia skolioosi ja küfoosi korrigeerimiseks;</w:t>
      </w:r>
    </w:p>
    <w:p w14:paraId="4D563FB8" w14:textId="77777777" w:rsidR="00976487" w:rsidRPr="00687DE8" w:rsidRDefault="00976487" w:rsidP="00976487">
      <w:pPr>
        <w:spacing w:after="0" w:line="240" w:lineRule="auto"/>
        <w:jc w:val="both"/>
        <w:divId w:val="1316184749"/>
        <w:rPr>
          <w:szCs w:val="24"/>
        </w:rPr>
      </w:pPr>
      <w:r w:rsidRPr="00687DE8">
        <w:rPr>
          <w:szCs w:val="24"/>
        </w:rPr>
        <w:lastRenderedPageBreak/>
        <w:t>3) kostotransversektoomia kasvajate ja põletike korral koos tagumise spondülodeesiga;</w:t>
      </w:r>
    </w:p>
    <w:p w14:paraId="00D74B6B" w14:textId="77777777" w:rsidR="00976487" w:rsidRPr="00687DE8" w:rsidRDefault="00976487" w:rsidP="00976487">
      <w:pPr>
        <w:spacing w:after="0" w:line="240" w:lineRule="auto"/>
        <w:jc w:val="both"/>
        <w:divId w:val="1316184749"/>
        <w:rPr>
          <w:szCs w:val="24"/>
        </w:rPr>
      </w:pPr>
      <w:r w:rsidRPr="00687DE8">
        <w:rPr>
          <w:szCs w:val="24"/>
        </w:rPr>
        <w:t>4) miniinvasiivne eesmine või tagumine spondülodees;</w:t>
      </w:r>
    </w:p>
    <w:p w14:paraId="5E74E59E" w14:textId="77777777" w:rsidR="00976487" w:rsidRPr="00687DE8" w:rsidRDefault="00976487" w:rsidP="00976487">
      <w:pPr>
        <w:spacing w:after="0" w:line="240" w:lineRule="auto"/>
        <w:jc w:val="both"/>
        <w:divId w:val="1316184749"/>
        <w:rPr>
          <w:szCs w:val="24"/>
        </w:rPr>
      </w:pPr>
      <w:r w:rsidRPr="00687DE8">
        <w:rPr>
          <w:szCs w:val="24"/>
        </w:rPr>
        <w:t>5) miniinvasiivne lülikeha asendamine;</w:t>
      </w:r>
    </w:p>
    <w:p w14:paraId="4599BC82" w14:textId="77777777" w:rsidR="00976487" w:rsidRPr="00687DE8" w:rsidRDefault="00976487" w:rsidP="00976487">
      <w:pPr>
        <w:spacing w:after="0" w:line="240" w:lineRule="auto"/>
        <w:jc w:val="both"/>
        <w:divId w:val="1316184749"/>
        <w:rPr>
          <w:szCs w:val="24"/>
        </w:rPr>
      </w:pPr>
      <w:r w:rsidRPr="00687DE8">
        <w:rPr>
          <w:szCs w:val="24"/>
        </w:rPr>
        <w:t>6) miniinvasiivne lülikehadevaheline fusioon.</w:t>
      </w:r>
    </w:p>
    <w:p w14:paraId="35E1B1ED" w14:textId="77777777" w:rsidR="00976487" w:rsidRPr="00687DE8" w:rsidRDefault="00976487" w:rsidP="00976487">
      <w:pPr>
        <w:spacing w:after="0" w:line="240" w:lineRule="auto"/>
        <w:jc w:val="both"/>
        <w:divId w:val="1316184749"/>
        <w:rPr>
          <w:szCs w:val="24"/>
        </w:rPr>
      </w:pPr>
    </w:p>
    <w:p w14:paraId="2E739DC0" w14:textId="3893F497" w:rsidR="00976487" w:rsidRPr="00687DE8" w:rsidRDefault="00976487" w:rsidP="00976487">
      <w:pPr>
        <w:spacing w:after="0" w:line="240" w:lineRule="auto"/>
        <w:jc w:val="both"/>
        <w:divId w:val="1316184749"/>
      </w:pPr>
      <w:r>
        <w:t>(</w:t>
      </w:r>
      <w:r w:rsidR="37DEE2B8">
        <w:t>10</w:t>
      </w:r>
      <w:r>
        <w:t>) Koodiga 0N2135 tähistatud tervishoiuteenus sisaldab luuplastika ja osteosünteesi maksumust.</w:t>
      </w:r>
    </w:p>
    <w:p w14:paraId="2477A19F" w14:textId="77777777" w:rsidR="00976487" w:rsidRPr="00687DE8" w:rsidRDefault="00976487" w:rsidP="00976487">
      <w:pPr>
        <w:spacing w:after="0" w:line="240" w:lineRule="auto"/>
        <w:jc w:val="both"/>
        <w:divId w:val="1316184749"/>
        <w:rPr>
          <w:szCs w:val="24"/>
        </w:rPr>
      </w:pPr>
    </w:p>
    <w:p w14:paraId="1C80268F" w14:textId="1F1B0B71" w:rsidR="00976487" w:rsidRPr="00687DE8" w:rsidRDefault="00976487" w:rsidP="00976487">
      <w:pPr>
        <w:spacing w:after="0" w:line="240" w:lineRule="auto"/>
        <w:jc w:val="both"/>
        <w:divId w:val="1316184749"/>
      </w:pPr>
      <w:r>
        <w:t>(</w:t>
      </w:r>
      <w:r w:rsidR="00B80316">
        <w:t>1</w:t>
      </w:r>
      <w:r w:rsidR="218D48E4">
        <w:t>1</w:t>
      </w:r>
      <w:r>
        <w:t>) Koodiga 1N2158 tähistatud tervishoiuteenus sisaldab kõiki lülisamba piirkonnas tehtavate operatsioonide kulusid.</w:t>
      </w:r>
    </w:p>
    <w:p w14:paraId="7B53EE99" w14:textId="77777777" w:rsidR="00976487" w:rsidRPr="00687DE8" w:rsidRDefault="00976487" w:rsidP="00976487">
      <w:pPr>
        <w:spacing w:after="0" w:line="240" w:lineRule="auto"/>
        <w:jc w:val="both"/>
        <w:divId w:val="1316184749"/>
        <w:rPr>
          <w:szCs w:val="24"/>
        </w:rPr>
      </w:pPr>
    </w:p>
    <w:p w14:paraId="5DF55BB1" w14:textId="6B92A592" w:rsidR="00976487" w:rsidRPr="00687DE8" w:rsidRDefault="00976487" w:rsidP="00976487">
      <w:pPr>
        <w:spacing w:after="0" w:line="240" w:lineRule="auto"/>
        <w:jc w:val="both"/>
        <w:divId w:val="1316184749"/>
      </w:pPr>
      <w:r>
        <w:t>(</w:t>
      </w:r>
      <w:r w:rsidR="00B80316">
        <w:t>1</w:t>
      </w:r>
      <w:r w:rsidR="43C5B0BF">
        <w:t>2</w:t>
      </w:r>
      <w:r>
        <w:t>) Koodiga 1Q2122 tähistatud tervishoiuteenuse piirhind sisaldab ühelt doonorilt allonaha eemaldamise ja käitlusega seotud kulusid.</w:t>
      </w:r>
    </w:p>
    <w:p w14:paraId="28CB75BC" w14:textId="77777777" w:rsidR="00976487" w:rsidRPr="00687DE8" w:rsidRDefault="00976487" w:rsidP="00976487">
      <w:pPr>
        <w:spacing w:after="0" w:line="240" w:lineRule="auto"/>
        <w:jc w:val="both"/>
        <w:divId w:val="1316184749"/>
        <w:rPr>
          <w:szCs w:val="24"/>
        </w:rPr>
      </w:pPr>
    </w:p>
    <w:p w14:paraId="20707E5F" w14:textId="2699C643" w:rsidR="00976487" w:rsidRPr="00687DE8" w:rsidRDefault="00976487" w:rsidP="00976487">
      <w:pPr>
        <w:spacing w:after="0" w:line="240" w:lineRule="auto"/>
        <w:jc w:val="both"/>
        <w:divId w:val="1316184749"/>
      </w:pPr>
      <w:r>
        <w:t>(</w:t>
      </w:r>
      <w:r w:rsidR="002D15F4">
        <w:t>1</w:t>
      </w:r>
      <w:r w:rsidR="4469F239">
        <w:t>3</w:t>
      </w:r>
      <w:r>
        <w:t>) Koodi</w:t>
      </w:r>
      <w:r w:rsidR="00055757">
        <w:t>de</w:t>
      </w:r>
      <w:r>
        <w:t>ga 1Q2122</w:t>
      </w:r>
      <w:r w:rsidR="00FC6243">
        <w:t xml:space="preserve">, </w:t>
      </w:r>
      <w:r w:rsidR="002D15F4">
        <w:t>1N2159,</w:t>
      </w:r>
      <w:r w:rsidR="00345E8E">
        <w:t xml:space="preserve"> </w:t>
      </w:r>
      <w:r w:rsidR="00FC6243">
        <w:t>1N2160</w:t>
      </w:r>
      <w:r w:rsidR="002D15F4">
        <w:t xml:space="preserve"> ja 1N2161</w:t>
      </w:r>
      <w:r>
        <w:t xml:space="preserve"> tähistatud tervishoiuteenus</w:t>
      </w:r>
      <w:r w:rsidR="00CA57EE">
        <w:t>t</w:t>
      </w:r>
      <w:r>
        <w:t>e piirhin</w:t>
      </w:r>
      <w:r w:rsidR="00CA57EE">
        <w:t>nad</w:t>
      </w:r>
      <w:r>
        <w:t xml:space="preserve"> sisalda</w:t>
      </w:r>
      <w:r w:rsidR="00C2230D">
        <w:t>vad</w:t>
      </w:r>
      <w:r>
        <w:t xml:space="preserve"> koodidega 66510 ja 66512 tähistatud analüüside maksumust.</w:t>
      </w:r>
    </w:p>
    <w:p w14:paraId="16ACCA85" w14:textId="77777777" w:rsidR="00976487" w:rsidRPr="00687DE8" w:rsidRDefault="00976487" w:rsidP="00976487">
      <w:pPr>
        <w:spacing w:after="0" w:line="240" w:lineRule="auto"/>
        <w:jc w:val="both"/>
        <w:divId w:val="1316184749"/>
        <w:rPr>
          <w:szCs w:val="24"/>
        </w:rPr>
      </w:pPr>
    </w:p>
    <w:p w14:paraId="7DE21925" w14:textId="3778C104" w:rsidR="00976487" w:rsidRPr="00687DE8" w:rsidRDefault="00976487" w:rsidP="00976487">
      <w:pPr>
        <w:spacing w:after="0" w:line="240" w:lineRule="auto"/>
        <w:jc w:val="both"/>
        <w:divId w:val="1316184749"/>
        <w:rPr>
          <w:szCs w:val="24"/>
        </w:rPr>
      </w:pPr>
      <w:r w:rsidRPr="00687DE8">
        <w:rPr>
          <w:szCs w:val="24"/>
        </w:rPr>
        <w:t>(</w:t>
      </w:r>
      <w:r w:rsidR="002D15F4">
        <w:rPr>
          <w:szCs w:val="24"/>
        </w:rPr>
        <w:t>1</w:t>
      </w:r>
      <w:r w:rsidR="001F7211">
        <w:rPr>
          <w:szCs w:val="24"/>
        </w:rPr>
        <w:t>4</w:t>
      </w:r>
      <w:r w:rsidRPr="00687DE8">
        <w:rPr>
          <w:szCs w:val="24"/>
        </w:rPr>
        <w:t xml:space="preserve">) </w:t>
      </w:r>
      <w:r w:rsidR="005023FD" w:rsidRPr="00687DE8">
        <w:rPr>
          <w:szCs w:val="24"/>
        </w:rPr>
        <w:t>Tervisekassa</w:t>
      </w:r>
      <w:r w:rsidRPr="00687DE8">
        <w:rPr>
          <w:szCs w:val="24"/>
        </w:rPr>
        <w:t xml:space="preserve"> võtab koodidega 1N2159, 1N2160</w:t>
      </w:r>
      <w:r w:rsidR="00ED1341">
        <w:rPr>
          <w:szCs w:val="24"/>
        </w:rPr>
        <w:t>,</w:t>
      </w:r>
      <w:r w:rsidRPr="00687DE8">
        <w:rPr>
          <w:szCs w:val="24"/>
        </w:rPr>
        <w:t xml:space="preserve"> 1N2161</w:t>
      </w:r>
      <w:r w:rsidR="00ED1341">
        <w:rPr>
          <w:szCs w:val="24"/>
        </w:rPr>
        <w:t xml:space="preserve"> ja</w:t>
      </w:r>
      <w:r w:rsidR="00ED1341">
        <w:t xml:space="preserve"> 1Q2122</w:t>
      </w:r>
      <w:r w:rsidRPr="00687DE8">
        <w:rPr>
          <w:szCs w:val="24"/>
        </w:rPr>
        <w:t xml:space="preserve"> tähistatud tervishoiuteenuste eest tasu maksmise kohustuse üle, kui transplantaat on käideldud eriarstiabi osutaja juures, kellel</w:t>
      </w:r>
      <w:r w:rsidR="00186DBA" w:rsidRPr="00687DE8">
        <w:rPr>
          <w:szCs w:val="24"/>
        </w:rPr>
        <w:t>e</w:t>
      </w:r>
      <w:r w:rsidRPr="00687DE8">
        <w:rPr>
          <w:szCs w:val="24"/>
        </w:rPr>
        <w:t xml:space="preserve"> on rakkude, kudede ja elundite hankimise, käitlemise ja siirdamise seaduse alusel välja antud sellekohane tegevusluba.</w:t>
      </w:r>
    </w:p>
    <w:p w14:paraId="65EB8F8F" w14:textId="77777777" w:rsidR="00976487" w:rsidRPr="00687DE8" w:rsidRDefault="00976487" w:rsidP="00976487">
      <w:pPr>
        <w:spacing w:after="0" w:line="240" w:lineRule="auto"/>
        <w:jc w:val="both"/>
        <w:divId w:val="1316184749"/>
        <w:rPr>
          <w:szCs w:val="24"/>
        </w:rPr>
      </w:pPr>
    </w:p>
    <w:p w14:paraId="18EF492D" w14:textId="2E9177A4" w:rsidR="00976487" w:rsidRPr="00687DE8" w:rsidRDefault="00976487" w:rsidP="00976487">
      <w:pPr>
        <w:spacing w:after="0" w:line="240" w:lineRule="auto"/>
        <w:jc w:val="both"/>
        <w:divId w:val="1316184749"/>
        <w:rPr>
          <w:szCs w:val="24"/>
        </w:rPr>
      </w:pPr>
      <w:r w:rsidRPr="00687DE8">
        <w:rPr>
          <w:szCs w:val="24"/>
        </w:rPr>
        <w:t>(</w:t>
      </w:r>
      <w:r w:rsidR="002D15F4">
        <w:rPr>
          <w:szCs w:val="24"/>
        </w:rPr>
        <w:t>1</w:t>
      </w:r>
      <w:r w:rsidR="008852CA">
        <w:rPr>
          <w:szCs w:val="24"/>
        </w:rPr>
        <w:t>5</w:t>
      </w:r>
      <w:r w:rsidRPr="00687DE8">
        <w:rPr>
          <w:szCs w:val="24"/>
        </w:rPr>
        <w:t>) Koodiga 1N2159 tähistatud tervishoiuteenuse piirhind sisaldab ühe transplantaadi eemaldamise ja käitlusega seotud kulusid.</w:t>
      </w:r>
    </w:p>
    <w:p w14:paraId="2ED7103A" w14:textId="77777777" w:rsidR="00976487" w:rsidRPr="00687DE8" w:rsidRDefault="00976487" w:rsidP="00976487">
      <w:pPr>
        <w:spacing w:after="0" w:line="240" w:lineRule="auto"/>
        <w:jc w:val="both"/>
        <w:divId w:val="1316184749"/>
        <w:rPr>
          <w:szCs w:val="24"/>
        </w:rPr>
      </w:pPr>
    </w:p>
    <w:p w14:paraId="0B96427C" w14:textId="1DA7A978" w:rsidR="00976487" w:rsidRPr="00687DE8" w:rsidRDefault="00976487" w:rsidP="00976487">
      <w:pPr>
        <w:spacing w:after="0" w:line="240" w:lineRule="auto"/>
        <w:jc w:val="both"/>
        <w:divId w:val="1316184749"/>
        <w:rPr>
          <w:szCs w:val="24"/>
        </w:rPr>
      </w:pPr>
      <w:r w:rsidRPr="00687DE8">
        <w:rPr>
          <w:szCs w:val="24"/>
        </w:rPr>
        <w:t>(</w:t>
      </w:r>
      <w:r w:rsidR="00ED1341">
        <w:rPr>
          <w:szCs w:val="24"/>
        </w:rPr>
        <w:t>1</w:t>
      </w:r>
      <w:r w:rsidR="008852CA">
        <w:rPr>
          <w:szCs w:val="24"/>
        </w:rPr>
        <w:t>6</w:t>
      </w:r>
      <w:r w:rsidRPr="00687DE8">
        <w:rPr>
          <w:szCs w:val="24"/>
        </w:rPr>
        <w:t>) Koodidega 1N2160 ja 1N2161 tähistatud tervishoiuteenuseid rakendatakse üks kord lisaks põhioperatsioonile.</w:t>
      </w:r>
    </w:p>
    <w:p w14:paraId="1E81587B" w14:textId="77777777" w:rsidR="00976487" w:rsidRPr="00687DE8" w:rsidRDefault="00976487" w:rsidP="00976487">
      <w:pPr>
        <w:spacing w:after="0" w:line="240" w:lineRule="auto"/>
        <w:jc w:val="both"/>
        <w:divId w:val="1316184749"/>
        <w:rPr>
          <w:szCs w:val="24"/>
        </w:rPr>
      </w:pPr>
    </w:p>
    <w:p w14:paraId="632C1A75" w14:textId="441D20BC" w:rsidR="00976487" w:rsidRPr="00687DE8" w:rsidRDefault="00976487" w:rsidP="00976487">
      <w:pPr>
        <w:spacing w:after="0" w:line="240" w:lineRule="auto"/>
        <w:jc w:val="both"/>
        <w:divId w:val="1316184749"/>
        <w:rPr>
          <w:szCs w:val="24"/>
        </w:rPr>
      </w:pPr>
      <w:r w:rsidRPr="00687DE8">
        <w:rPr>
          <w:szCs w:val="24"/>
        </w:rPr>
        <w:t>(</w:t>
      </w:r>
      <w:r w:rsidR="00DB51BB">
        <w:rPr>
          <w:szCs w:val="24"/>
        </w:rPr>
        <w:t>1</w:t>
      </w:r>
      <w:r w:rsidR="008852CA">
        <w:rPr>
          <w:szCs w:val="24"/>
        </w:rPr>
        <w:t>7</w:t>
      </w:r>
      <w:r w:rsidRPr="00687DE8">
        <w:rPr>
          <w:szCs w:val="24"/>
        </w:rPr>
        <w:t>) Koodiga 1N2161 tähistatud tervishoiuteenust rakendatakse karantiinperioodijärgsel luukoe ümbertöötamisel ja pikaajalisel säilitamisel, kui säilitamise ruum vastab rakkude, kudede ja elundite hankimise, käitlemise ja siirdamise seaduse § 22 lõike 3 alusel kehtestatud määruses ladustamise ruumile kehtestatud tingimustele.</w:t>
      </w:r>
    </w:p>
    <w:p w14:paraId="62DD5496" w14:textId="77777777" w:rsidR="00976487" w:rsidRPr="00687DE8" w:rsidRDefault="00976487" w:rsidP="00976487">
      <w:pPr>
        <w:spacing w:after="0" w:line="240" w:lineRule="auto"/>
        <w:jc w:val="both"/>
        <w:divId w:val="1316184749"/>
        <w:rPr>
          <w:szCs w:val="24"/>
        </w:rPr>
      </w:pPr>
    </w:p>
    <w:p w14:paraId="6002E6DE" w14:textId="1F0F3B2C" w:rsidR="00976487" w:rsidRPr="00687DE8" w:rsidRDefault="00976487" w:rsidP="00976487">
      <w:pPr>
        <w:spacing w:after="0" w:line="240" w:lineRule="auto"/>
        <w:jc w:val="both"/>
        <w:divId w:val="1316184749"/>
        <w:rPr>
          <w:szCs w:val="24"/>
        </w:rPr>
      </w:pPr>
      <w:r w:rsidRPr="00687DE8">
        <w:rPr>
          <w:szCs w:val="24"/>
        </w:rPr>
        <w:t>(</w:t>
      </w:r>
      <w:r w:rsidR="006239E7">
        <w:rPr>
          <w:szCs w:val="24"/>
        </w:rPr>
        <w:t>1</w:t>
      </w:r>
      <w:r w:rsidR="00D3236B">
        <w:rPr>
          <w:szCs w:val="24"/>
        </w:rPr>
        <w:t>8</w:t>
      </w:r>
      <w:r w:rsidRPr="00687DE8">
        <w:rPr>
          <w:szCs w:val="24"/>
        </w:rPr>
        <w:t xml:space="preserve">) </w:t>
      </w:r>
      <w:r w:rsidR="005023FD" w:rsidRPr="00687DE8">
        <w:rPr>
          <w:szCs w:val="24"/>
        </w:rPr>
        <w:t>Tervisekassa</w:t>
      </w:r>
      <w:r w:rsidRPr="00687DE8">
        <w:rPr>
          <w:szCs w:val="24"/>
        </w:rPr>
        <w:t xml:space="preserve"> võtab koodidega 1Q2123, 1Q2124 ja 1Q2125 tähistatud tervishoiuteenuste eest tasu maksmise kohustuse üle juhul, kui neid osutab plastika- ja rekonstruktiivkirurgia tegevusluba omav tervishoiuteenuse osutaja.</w:t>
      </w:r>
    </w:p>
    <w:p w14:paraId="6A5FAD76" w14:textId="77777777" w:rsidR="00976487" w:rsidRPr="00687DE8" w:rsidRDefault="00976487" w:rsidP="00976487">
      <w:pPr>
        <w:spacing w:after="0" w:line="240" w:lineRule="auto"/>
        <w:jc w:val="both"/>
        <w:divId w:val="1316184749"/>
        <w:rPr>
          <w:szCs w:val="24"/>
        </w:rPr>
      </w:pPr>
    </w:p>
    <w:p w14:paraId="738E6766" w14:textId="265DC746" w:rsidR="00976487" w:rsidRDefault="00976487" w:rsidP="00976487">
      <w:pPr>
        <w:spacing w:after="0" w:line="240" w:lineRule="auto"/>
        <w:jc w:val="both"/>
        <w:divId w:val="1316184749"/>
        <w:rPr>
          <w:szCs w:val="24"/>
        </w:rPr>
      </w:pPr>
      <w:r w:rsidRPr="00687DE8">
        <w:rPr>
          <w:szCs w:val="24"/>
        </w:rPr>
        <w:t>(</w:t>
      </w:r>
      <w:r w:rsidR="006239E7">
        <w:rPr>
          <w:szCs w:val="24"/>
        </w:rPr>
        <w:t>1</w:t>
      </w:r>
      <w:r w:rsidR="00D3236B">
        <w:rPr>
          <w:szCs w:val="24"/>
        </w:rPr>
        <w:t>9</w:t>
      </w:r>
      <w:r w:rsidRPr="00687DE8">
        <w:rPr>
          <w:szCs w:val="24"/>
        </w:rPr>
        <w:t>) Koodidega 1Q2123, 1Q2124 ja 1Q2125 tähistatud tervishoiuteenuseid ei rakendata samal ajal koos koodidega 0Q2104, 0Q2105, 0Q2106, 0Q2107, 0Q2108 ja 0Q2109 tähistatud tervishoiuteenustega.</w:t>
      </w:r>
    </w:p>
    <w:p w14:paraId="6D72C50F" w14:textId="77777777" w:rsidR="005B5623" w:rsidRDefault="005B5623" w:rsidP="00976487">
      <w:pPr>
        <w:spacing w:after="0" w:line="240" w:lineRule="auto"/>
        <w:jc w:val="both"/>
        <w:divId w:val="1316184749"/>
        <w:rPr>
          <w:szCs w:val="24"/>
        </w:rPr>
      </w:pPr>
    </w:p>
    <w:p w14:paraId="6C82710E" w14:textId="0FE681CD" w:rsidR="006239E7" w:rsidRDefault="006239E7" w:rsidP="00976487">
      <w:pPr>
        <w:spacing w:after="0" w:line="240" w:lineRule="auto"/>
        <w:jc w:val="both"/>
        <w:divId w:val="1316184749"/>
      </w:pPr>
      <w:r>
        <w:t>(</w:t>
      </w:r>
      <w:r w:rsidR="33D3DC46">
        <w:t>20</w:t>
      </w:r>
      <w:r>
        <w:t>)</w:t>
      </w:r>
      <w:r w:rsidR="008319B2">
        <w:t xml:space="preserve"> Koodidega </w:t>
      </w:r>
      <w:r w:rsidR="00E3391B" w:rsidRPr="00A45E78">
        <w:t>0N2101</w:t>
      </w:r>
      <w:r w:rsidR="00E3391B" w:rsidRPr="00472F75">
        <w:t>,</w:t>
      </w:r>
      <w:r w:rsidR="00C0730C" w:rsidRPr="00A45E78">
        <w:t xml:space="preserve"> 0N2102</w:t>
      </w:r>
      <w:r w:rsidR="00C0730C" w:rsidRPr="00472F75">
        <w:t>,</w:t>
      </w:r>
      <w:r w:rsidR="00AE30B1" w:rsidRPr="00A45E78">
        <w:t xml:space="preserve"> 0N2103</w:t>
      </w:r>
      <w:r w:rsidR="00AE30B1" w:rsidRPr="00472F75">
        <w:t>,</w:t>
      </w:r>
      <w:r w:rsidR="00320D95">
        <w:t xml:space="preserve"> </w:t>
      </w:r>
      <w:r w:rsidR="054A6E74">
        <w:t>0N2105,</w:t>
      </w:r>
      <w:r w:rsidR="00320D95">
        <w:t xml:space="preserve"> </w:t>
      </w:r>
      <w:r w:rsidR="054A6E74">
        <w:t>0N2116,</w:t>
      </w:r>
      <w:r w:rsidR="00320D95">
        <w:t xml:space="preserve"> </w:t>
      </w:r>
      <w:r w:rsidR="054A6E74">
        <w:t>0N2107,</w:t>
      </w:r>
      <w:r w:rsidR="00320D95">
        <w:t xml:space="preserve"> </w:t>
      </w:r>
      <w:r w:rsidR="054A6E74">
        <w:t>0N2108,</w:t>
      </w:r>
      <w:r w:rsidR="00320D95">
        <w:t xml:space="preserve"> </w:t>
      </w:r>
      <w:r w:rsidR="054A6E74">
        <w:t>0N2112,</w:t>
      </w:r>
      <w:r w:rsidR="008C1003">
        <w:t xml:space="preserve"> </w:t>
      </w:r>
      <w:r w:rsidR="054A6E74">
        <w:t>0N2113</w:t>
      </w:r>
      <w:r w:rsidR="3D78A367">
        <w:t>,</w:t>
      </w:r>
      <w:r w:rsidR="007A5393" w:rsidRPr="00A45E78">
        <w:t xml:space="preserve"> 0N2118</w:t>
      </w:r>
      <w:r w:rsidR="59A350CB">
        <w:t>,</w:t>
      </w:r>
      <w:r w:rsidR="008C1003">
        <w:t xml:space="preserve"> </w:t>
      </w:r>
      <w:r w:rsidR="009F0375" w:rsidRPr="00A45E78">
        <w:t>0N2120</w:t>
      </w:r>
      <w:r w:rsidR="47FC65F3">
        <w:t>,</w:t>
      </w:r>
      <w:r w:rsidR="008C1003">
        <w:t xml:space="preserve"> </w:t>
      </w:r>
      <w:r w:rsidR="47FC65F3">
        <w:t>0N2122</w:t>
      </w:r>
      <w:r w:rsidR="00A7488B">
        <w:t xml:space="preserve"> ja</w:t>
      </w:r>
      <w:r w:rsidR="00320D95">
        <w:t xml:space="preserve"> </w:t>
      </w:r>
      <w:r w:rsidR="47FC65F3">
        <w:t>0N2134</w:t>
      </w:r>
      <w:r w:rsidR="0028519C" w:rsidRPr="00D25845">
        <w:t xml:space="preserve"> tähistatud tervishoiuteenu</w:t>
      </w:r>
      <w:r w:rsidR="00D51C5E" w:rsidRPr="00D25845">
        <w:t>s</w:t>
      </w:r>
      <w:r w:rsidR="009261FA" w:rsidRPr="00D25845">
        <w:t xml:space="preserve">eid ei rakendata koos </w:t>
      </w:r>
      <w:r w:rsidR="00BF6F15">
        <w:t xml:space="preserve">koodidega </w:t>
      </w:r>
      <w:r w:rsidR="008233D5">
        <w:t>26</w:t>
      </w:r>
      <w:r w:rsidR="3326B99A">
        <w:t>18</w:t>
      </w:r>
      <w:r w:rsidR="008233D5">
        <w:t>L</w:t>
      </w:r>
      <w:r w:rsidR="00A32233">
        <w:t>–</w:t>
      </w:r>
      <w:r w:rsidR="00835AC3">
        <w:t>2675L</w:t>
      </w:r>
      <w:r w:rsidR="0031192E">
        <w:t xml:space="preserve"> </w:t>
      </w:r>
      <w:r w:rsidR="0EDDCC0B">
        <w:t xml:space="preserve">ja </w:t>
      </w:r>
      <w:r w:rsidR="7CD7E830">
        <w:t>2775L</w:t>
      </w:r>
      <w:r w:rsidR="008C1003">
        <w:t>–</w:t>
      </w:r>
      <w:r w:rsidR="7CD7E830">
        <w:t>2794L</w:t>
      </w:r>
      <w:r w:rsidR="0031192E">
        <w:t xml:space="preserve"> </w:t>
      </w:r>
      <w:r w:rsidR="0031192E" w:rsidRPr="00D25845">
        <w:t>tähistatud tervishoiuteenus</w:t>
      </w:r>
      <w:r w:rsidR="0031192E">
        <w:t>tega</w:t>
      </w:r>
      <w:r w:rsidR="00251DE2">
        <w:t>.</w:t>
      </w:r>
    </w:p>
    <w:p w14:paraId="7724C151" w14:textId="77777777" w:rsidR="00E42B77" w:rsidRDefault="00E42B77" w:rsidP="00976487">
      <w:pPr>
        <w:spacing w:after="0" w:line="240" w:lineRule="auto"/>
        <w:jc w:val="both"/>
        <w:divId w:val="1316184749"/>
        <w:rPr>
          <w:szCs w:val="24"/>
        </w:rPr>
      </w:pPr>
    </w:p>
    <w:p w14:paraId="229944C8" w14:textId="190E450E" w:rsidR="00C0432F" w:rsidRDefault="004D76A6" w:rsidP="003505CB">
      <w:pPr>
        <w:spacing w:after="0" w:line="240" w:lineRule="auto"/>
        <w:jc w:val="both"/>
        <w:divId w:val="1316184749"/>
      </w:pPr>
      <w:r>
        <w:t xml:space="preserve">(21) Koodiga </w:t>
      </w:r>
      <w:r w:rsidR="003741E5" w:rsidRPr="0046178C">
        <w:t>0N2139</w:t>
      </w:r>
      <w:r w:rsidR="00747937">
        <w:t xml:space="preserve"> tähistatud tervishoiuteenust</w:t>
      </w:r>
      <w:r w:rsidR="00E532F1">
        <w:t xml:space="preserve"> ei rakendata</w:t>
      </w:r>
      <w:r w:rsidR="00283052">
        <w:t xml:space="preserve"> koos</w:t>
      </w:r>
      <w:r w:rsidR="00747937">
        <w:t xml:space="preserve"> koodidega</w:t>
      </w:r>
      <w:r w:rsidR="00EC5B68">
        <w:t xml:space="preserve"> </w:t>
      </w:r>
      <w:r w:rsidR="00964CFB">
        <w:t>2</w:t>
      </w:r>
      <w:r w:rsidR="26AD28BE">
        <w:t>618</w:t>
      </w:r>
      <w:r w:rsidR="00EC5B68">
        <w:t>L</w:t>
      </w:r>
      <w:r w:rsidR="00493CBC">
        <w:t>–</w:t>
      </w:r>
      <w:r w:rsidR="00E56020">
        <w:t>2644L</w:t>
      </w:r>
      <w:r w:rsidR="00EB7180">
        <w:t xml:space="preserve">, </w:t>
      </w:r>
      <w:r w:rsidR="5779A174">
        <w:t>2755L</w:t>
      </w:r>
      <w:r w:rsidR="00B50AC8">
        <w:t>–</w:t>
      </w:r>
      <w:r w:rsidR="5779A174">
        <w:t xml:space="preserve">2794L, </w:t>
      </w:r>
      <w:r w:rsidR="00EB7180">
        <w:t>2651L</w:t>
      </w:r>
      <w:r w:rsidR="00364013">
        <w:t>,</w:t>
      </w:r>
      <w:r w:rsidR="00B74524">
        <w:t xml:space="preserve"> </w:t>
      </w:r>
      <w:r w:rsidR="007F1A6D">
        <w:t>2660L,</w:t>
      </w:r>
      <w:r w:rsidR="00B74524">
        <w:t xml:space="preserve"> </w:t>
      </w:r>
      <w:r w:rsidR="009759CE">
        <w:t>2672L</w:t>
      </w:r>
      <w:r w:rsidR="008A7517">
        <w:t xml:space="preserve"> ja </w:t>
      </w:r>
      <w:r w:rsidR="00AE0994">
        <w:t>2673L</w:t>
      </w:r>
      <w:r w:rsidR="0031192E">
        <w:t xml:space="preserve"> </w:t>
      </w:r>
      <w:r w:rsidR="0031192E" w:rsidRPr="00D25845">
        <w:t>tähistatud tervishoiuteenus</w:t>
      </w:r>
      <w:r w:rsidR="0031192E">
        <w:t>tega</w:t>
      </w:r>
      <w:r w:rsidR="007F68FB">
        <w:t>.</w:t>
      </w:r>
    </w:p>
    <w:p w14:paraId="49BD685D" w14:textId="77777777" w:rsidR="00E6094C" w:rsidRDefault="00E6094C" w:rsidP="00E6094C">
      <w:pPr>
        <w:spacing w:after="0" w:line="240" w:lineRule="auto"/>
        <w:jc w:val="both"/>
        <w:divId w:val="1316184749"/>
      </w:pPr>
    </w:p>
    <w:p w14:paraId="3455710B" w14:textId="537BEAAC" w:rsidR="00650DE1" w:rsidRDefault="00650DE1" w:rsidP="003505CB">
      <w:pPr>
        <w:spacing w:after="0" w:line="240" w:lineRule="auto"/>
        <w:jc w:val="both"/>
        <w:divId w:val="1316184749"/>
      </w:pPr>
      <w:r>
        <w:lastRenderedPageBreak/>
        <w:t>(22)</w:t>
      </w:r>
      <w:r w:rsidR="005A1F6B">
        <w:t xml:space="preserve"> Koodiga </w:t>
      </w:r>
      <w:r w:rsidR="005A1F6B" w:rsidRPr="0046178C">
        <w:t>0N2140</w:t>
      </w:r>
      <w:r w:rsidR="009E370C">
        <w:t xml:space="preserve"> tähistatud tervishoiuteenust</w:t>
      </w:r>
      <w:r w:rsidR="000939B6">
        <w:t xml:space="preserve"> ei rakendata</w:t>
      </w:r>
      <w:r w:rsidR="00283052">
        <w:t xml:space="preserve"> koos</w:t>
      </w:r>
      <w:r w:rsidR="009E370C">
        <w:t xml:space="preserve"> </w:t>
      </w:r>
      <w:r w:rsidR="000939B6">
        <w:t>koodidega 2</w:t>
      </w:r>
      <w:r w:rsidR="65E849DA">
        <w:t>618</w:t>
      </w:r>
      <w:r w:rsidR="000939B6">
        <w:t>L</w:t>
      </w:r>
      <w:r w:rsidR="00493CBC">
        <w:t>–</w:t>
      </w:r>
      <w:r w:rsidR="00241279">
        <w:t>2644L,</w:t>
      </w:r>
      <w:r w:rsidR="00B74524">
        <w:t xml:space="preserve"> </w:t>
      </w:r>
      <w:r w:rsidR="0F0856AC">
        <w:t>2775L</w:t>
      </w:r>
      <w:r w:rsidR="00B50AC8">
        <w:t>–</w:t>
      </w:r>
      <w:r w:rsidR="0F0856AC">
        <w:t>2794L,</w:t>
      </w:r>
      <w:r w:rsidR="00B74524">
        <w:t xml:space="preserve"> </w:t>
      </w:r>
      <w:r w:rsidR="00241279">
        <w:t>2650L,</w:t>
      </w:r>
      <w:r w:rsidR="00B74524">
        <w:t xml:space="preserve"> </w:t>
      </w:r>
      <w:r w:rsidR="00241279">
        <w:t>2652L,</w:t>
      </w:r>
      <w:r w:rsidR="00B74524">
        <w:t xml:space="preserve"> </w:t>
      </w:r>
      <w:r w:rsidR="00241279">
        <w:t>2660L,</w:t>
      </w:r>
      <w:r w:rsidR="00B74524">
        <w:t xml:space="preserve"> </w:t>
      </w:r>
      <w:r w:rsidR="00323692">
        <w:t>26</w:t>
      </w:r>
      <w:r w:rsidR="0060104C">
        <w:t>72L,</w:t>
      </w:r>
      <w:r w:rsidR="00B74524">
        <w:t xml:space="preserve"> </w:t>
      </w:r>
      <w:r w:rsidR="00A61479">
        <w:t>2673L</w:t>
      </w:r>
      <w:r w:rsidR="008A7517">
        <w:t xml:space="preserve"> ja 2678L</w:t>
      </w:r>
      <w:r w:rsidR="0031192E">
        <w:t xml:space="preserve"> </w:t>
      </w:r>
      <w:r w:rsidR="0031192E" w:rsidRPr="00D25845">
        <w:t>tähistatud tervishoiuteenus</w:t>
      </w:r>
      <w:r w:rsidR="0031192E">
        <w:t>tega</w:t>
      </w:r>
      <w:r w:rsidR="007F68FB">
        <w:t>.</w:t>
      </w:r>
    </w:p>
    <w:p w14:paraId="3EF55A03" w14:textId="3AE9A294" w:rsidR="00E6094C" w:rsidRDefault="00E6094C" w:rsidP="00E6094C">
      <w:pPr>
        <w:spacing w:after="0" w:line="240" w:lineRule="auto"/>
        <w:jc w:val="both"/>
        <w:divId w:val="1316184749"/>
      </w:pPr>
    </w:p>
    <w:p w14:paraId="38E123EF" w14:textId="53E6B85A" w:rsidR="00874DEA" w:rsidRDefault="00874DEA" w:rsidP="003505CB">
      <w:pPr>
        <w:spacing w:after="0" w:line="240" w:lineRule="auto"/>
        <w:jc w:val="both"/>
        <w:divId w:val="1316184749"/>
      </w:pPr>
      <w:r>
        <w:t xml:space="preserve">(23) Koodiga </w:t>
      </w:r>
      <w:r w:rsidRPr="0046178C">
        <w:t>0N2141</w:t>
      </w:r>
      <w:r>
        <w:t xml:space="preserve"> tähistatud tervishoiuteenust </w:t>
      </w:r>
      <w:r w:rsidR="008A7517">
        <w:t>ei rakendata</w:t>
      </w:r>
      <w:r w:rsidR="00283052">
        <w:t xml:space="preserve"> koos</w:t>
      </w:r>
      <w:r w:rsidR="008A7517">
        <w:t xml:space="preserve"> </w:t>
      </w:r>
      <w:r>
        <w:t>koodidega</w:t>
      </w:r>
      <w:r w:rsidR="008A7517">
        <w:t xml:space="preserve"> 2</w:t>
      </w:r>
      <w:r w:rsidR="6E22D71F">
        <w:t>618</w:t>
      </w:r>
      <w:r w:rsidR="008A7517">
        <w:t>L</w:t>
      </w:r>
      <w:r w:rsidR="00493CBC">
        <w:t>–</w:t>
      </w:r>
      <w:r w:rsidR="008A7517">
        <w:t xml:space="preserve">2644L, </w:t>
      </w:r>
      <w:r w:rsidR="5742DB58">
        <w:t>2775L</w:t>
      </w:r>
      <w:r w:rsidR="00B50AC8">
        <w:t>–</w:t>
      </w:r>
      <w:r w:rsidR="5742DB58">
        <w:t>2794L,</w:t>
      </w:r>
      <w:r w:rsidR="008A7517">
        <w:t xml:space="preserve"> </w:t>
      </w:r>
      <w:r w:rsidR="004A6377">
        <w:t>265</w:t>
      </w:r>
      <w:r w:rsidR="00810770">
        <w:t>0L, 2651L,</w:t>
      </w:r>
      <w:r w:rsidR="00B74524">
        <w:t xml:space="preserve"> </w:t>
      </w:r>
      <w:r w:rsidR="00180155">
        <w:t>2652L ja 2672L</w:t>
      </w:r>
      <w:r w:rsidR="0031192E">
        <w:t xml:space="preserve"> </w:t>
      </w:r>
      <w:r w:rsidR="0031192E" w:rsidRPr="00D25845">
        <w:t>tähistatud tervishoiuteenus</w:t>
      </w:r>
      <w:r w:rsidR="0031192E">
        <w:t>tega</w:t>
      </w:r>
      <w:r w:rsidR="007F68FB">
        <w:t>.</w:t>
      </w:r>
    </w:p>
    <w:p w14:paraId="546F027C" w14:textId="300EDF22" w:rsidR="00E6094C" w:rsidRDefault="00E6094C" w:rsidP="00E6094C">
      <w:pPr>
        <w:spacing w:after="0" w:line="240" w:lineRule="auto"/>
        <w:jc w:val="both"/>
        <w:divId w:val="1316184749"/>
      </w:pPr>
    </w:p>
    <w:p w14:paraId="42FC1645" w14:textId="553B35CD" w:rsidR="00033169" w:rsidRPr="00A45E78" w:rsidRDefault="00033169" w:rsidP="003505CB">
      <w:pPr>
        <w:spacing w:after="0" w:line="240" w:lineRule="auto"/>
        <w:jc w:val="both"/>
        <w:divId w:val="1316184749"/>
        <w:rPr>
          <w:smallCaps/>
        </w:rPr>
      </w:pPr>
      <w:r>
        <w:t>(24)</w:t>
      </w:r>
      <w:r w:rsidR="006A077A">
        <w:t xml:space="preserve"> Koodiga </w:t>
      </w:r>
      <w:r w:rsidR="006A077A" w:rsidRPr="0046178C">
        <w:t>0N2142</w:t>
      </w:r>
      <w:r w:rsidR="006A077A">
        <w:t xml:space="preserve"> tähistatud tervishoiuteenust </w:t>
      </w:r>
      <w:r w:rsidR="00283052">
        <w:t>ei rakendata</w:t>
      </w:r>
      <w:r w:rsidR="006A077A">
        <w:t xml:space="preserve"> koos koodidega</w:t>
      </w:r>
      <w:r w:rsidR="00283052">
        <w:t xml:space="preserve"> 26</w:t>
      </w:r>
      <w:r w:rsidR="25CD9D87">
        <w:t>18</w:t>
      </w:r>
      <w:r w:rsidR="00283052">
        <w:t>L</w:t>
      </w:r>
      <w:r w:rsidR="00493CBC">
        <w:t>–</w:t>
      </w:r>
      <w:r w:rsidR="00283052">
        <w:t xml:space="preserve">2644L, </w:t>
      </w:r>
      <w:r w:rsidR="638BD8CA">
        <w:t>2775L</w:t>
      </w:r>
      <w:r w:rsidR="00B50AC8">
        <w:t>–</w:t>
      </w:r>
      <w:r w:rsidR="638BD8CA">
        <w:t xml:space="preserve">2794L, </w:t>
      </w:r>
      <w:r w:rsidR="00283052">
        <w:t xml:space="preserve">2650L, </w:t>
      </w:r>
      <w:r w:rsidR="000C7520">
        <w:t>2651L,</w:t>
      </w:r>
      <w:r w:rsidR="00B74524">
        <w:t xml:space="preserve"> </w:t>
      </w:r>
      <w:r w:rsidR="000C7520">
        <w:t>2652L,</w:t>
      </w:r>
      <w:r w:rsidR="00B74524">
        <w:t xml:space="preserve"> </w:t>
      </w:r>
      <w:r w:rsidR="007067DD">
        <w:t>2660L ja 2672L</w:t>
      </w:r>
      <w:r w:rsidR="0031192E">
        <w:t xml:space="preserve"> </w:t>
      </w:r>
      <w:r w:rsidR="0031192E" w:rsidRPr="00D25845">
        <w:t>tähistatud tervishoiuteenus</w:t>
      </w:r>
      <w:r w:rsidR="0031192E">
        <w:t>tega</w:t>
      </w:r>
      <w:r w:rsidR="007F68FB">
        <w:t>.</w:t>
      </w:r>
    </w:p>
    <w:p w14:paraId="1FF1A09F" w14:textId="4592ED40" w:rsidR="00E6094C" w:rsidRDefault="00E6094C" w:rsidP="00E6094C">
      <w:pPr>
        <w:spacing w:after="0" w:line="240" w:lineRule="auto"/>
        <w:jc w:val="both"/>
        <w:divId w:val="1316184749"/>
      </w:pPr>
    </w:p>
    <w:p w14:paraId="004D7280" w14:textId="5B8BE2E5" w:rsidR="00B73BC3" w:rsidRDefault="00CA6666" w:rsidP="003505CB">
      <w:pPr>
        <w:spacing w:after="0" w:line="240" w:lineRule="auto"/>
        <w:jc w:val="both"/>
        <w:divId w:val="1316184749"/>
      </w:pPr>
      <w:r>
        <w:t xml:space="preserve">(25) Koodiga </w:t>
      </w:r>
      <w:r w:rsidRPr="0046178C">
        <w:t>0N2143</w:t>
      </w:r>
      <w:r>
        <w:t xml:space="preserve"> tähistatud tervishoiuteenust </w:t>
      </w:r>
      <w:r w:rsidR="00283052">
        <w:t xml:space="preserve">ei rakendata </w:t>
      </w:r>
      <w:r>
        <w:t>koos koodidega</w:t>
      </w:r>
      <w:r w:rsidR="00A40204">
        <w:t xml:space="preserve"> 26</w:t>
      </w:r>
      <w:r w:rsidR="3542844E">
        <w:t>18</w:t>
      </w:r>
      <w:r w:rsidR="00DE690E">
        <w:t>L</w:t>
      </w:r>
      <w:r w:rsidR="009A45F4">
        <w:t>–</w:t>
      </w:r>
      <w:r w:rsidR="00DE690E">
        <w:t>2644L</w:t>
      </w:r>
      <w:r w:rsidR="00884D77">
        <w:t>,</w:t>
      </w:r>
      <w:r w:rsidR="00B74524">
        <w:t xml:space="preserve"> </w:t>
      </w:r>
      <w:r w:rsidR="7EE66ACF">
        <w:t>2775L</w:t>
      </w:r>
      <w:r w:rsidR="00B50AC8">
        <w:t>–</w:t>
      </w:r>
      <w:r w:rsidR="7EE66ACF">
        <w:t>2794L,</w:t>
      </w:r>
      <w:r w:rsidR="00B74524">
        <w:t xml:space="preserve"> </w:t>
      </w:r>
      <w:r w:rsidR="00EC01EB">
        <w:t>2650L,</w:t>
      </w:r>
      <w:r w:rsidR="00B74524">
        <w:t xml:space="preserve"> </w:t>
      </w:r>
      <w:r w:rsidR="00EC01EB">
        <w:t>2651L,</w:t>
      </w:r>
      <w:r w:rsidR="00B74524">
        <w:t xml:space="preserve"> </w:t>
      </w:r>
      <w:r w:rsidR="00EC01EB">
        <w:t>2652L,</w:t>
      </w:r>
      <w:r w:rsidR="004C1A61">
        <w:t xml:space="preserve"> 2660L ja 2673L</w:t>
      </w:r>
      <w:r w:rsidR="0031192E">
        <w:t xml:space="preserve"> </w:t>
      </w:r>
      <w:r w:rsidR="0031192E" w:rsidRPr="00D25845">
        <w:t>tähistatud tervishoiuteenus</w:t>
      </w:r>
      <w:r w:rsidR="0031192E">
        <w:t>tega</w:t>
      </w:r>
      <w:r w:rsidR="007F68FB">
        <w:t>.</w:t>
      </w:r>
    </w:p>
    <w:p w14:paraId="75EF34BB" w14:textId="30A4782F" w:rsidR="00E6094C" w:rsidRDefault="00E6094C" w:rsidP="00E6094C">
      <w:pPr>
        <w:spacing w:after="0" w:line="240" w:lineRule="auto"/>
        <w:jc w:val="both"/>
        <w:divId w:val="1316184749"/>
      </w:pPr>
    </w:p>
    <w:p w14:paraId="55EEB619" w14:textId="208C5AD6" w:rsidR="004D76A6" w:rsidRDefault="00AF430A" w:rsidP="003505CB">
      <w:pPr>
        <w:spacing w:after="0" w:line="240" w:lineRule="auto"/>
        <w:jc w:val="both"/>
        <w:divId w:val="1316184749"/>
      </w:pPr>
      <w:r>
        <w:t xml:space="preserve">(26) Koodiga </w:t>
      </w:r>
      <w:r w:rsidRPr="0046178C">
        <w:t>0N2144</w:t>
      </w:r>
      <w:r>
        <w:t xml:space="preserve"> tähistatud tervishoiuteenust </w:t>
      </w:r>
      <w:r w:rsidR="00283052">
        <w:t xml:space="preserve">ei rakendata </w:t>
      </w:r>
      <w:r>
        <w:t>koos koodidega</w:t>
      </w:r>
      <w:r w:rsidR="002D3293">
        <w:t xml:space="preserve"> 26</w:t>
      </w:r>
      <w:r w:rsidR="4D79833A">
        <w:t>18</w:t>
      </w:r>
      <w:r w:rsidR="00B74524">
        <w:t>L</w:t>
      </w:r>
      <w:r w:rsidR="009A45F4">
        <w:t>–</w:t>
      </w:r>
      <w:r w:rsidR="005C50CD">
        <w:t>2644</w:t>
      </w:r>
      <w:r w:rsidR="00B74524">
        <w:t>L</w:t>
      </w:r>
      <w:r w:rsidR="005C50CD">
        <w:t xml:space="preserve">, </w:t>
      </w:r>
      <w:r w:rsidR="0FDB9626">
        <w:t>2775L</w:t>
      </w:r>
      <w:r w:rsidR="00B50AC8">
        <w:t>–</w:t>
      </w:r>
      <w:r w:rsidR="0FDB9626">
        <w:t>279</w:t>
      </w:r>
      <w:r w:rsidR="62688F74">
        <w:t>0</w:t>
      </w:r>
      <w:r w:rsidR="0FDB9626">
        <w:t>L,</w:t>
      </w:r>
      <w:r w:rsidR="005C50CD">
        <w:t xml:space="preserve"> 2650</w:t>
      </w:r>
      <w:r w:rsidR="00831A9E">
        <w:t>L</w:t>
      </w:r>
      <w:r w:rsidR="005C50CD">
        <w:t>,</w:t>
      </w:r>
      <w:r w:rsidR="00B74524">
        <w:t xml:space="preserve"> </w:t>
      </w:r>
      <w:r w:rsidR="005C50CD">
        <w:t>2651</w:t>
      </w:r>
      <w:r w:rsidR="00831A9E">
        <w:t>L</w:t>
      </w:r>
      <w:r w:rsidR="006F1D9B">
        <w:t>,</w:t>
      </w:r>
      <w:r w:rsidR="00BA37F8">
        <w:t xml:space="preserve"> </w:t>
      </w:r>
      <w:r w:rsidR="2B620887">
        <w:t>2652L,</w:t>
      </w:r>
      <w:r w:rsidR="00BA37F8">
        <w:t xml:space="preserve"> 2660L,</w:t>
      </w:r>
      <w:r w:rsidR="00B74524">
        <w:t xml:space="preserve"> </w:t>
      </w:r>
      <w:r w:rsidR="00304F30">
        <w:t>2672L</w:t>
      </w:r>
      <w:r w:rsidR="00E12453">
        <w:t>,</w:t>
      </w:r>
      <w:r w:rsidR="000910B7">
        <w:t xml:space="preserve"> </w:t>
      </w:r>
      <w:r w:rsidR="00CB6F40">
        <w:t>2673L</w:t>
      </w:r>
      <w:r w:rsidR="7133B499">
        <w:t>, 2792L,</w:t>
      </w:r>
      <w:r w:rsidR="00C17D9A">
        <w:t xml:space="preserve"> </w:t>
      </w:r>
      <w:r w:rsidR="7133B499">
        <w:t>2793L</w:t>
      </w:r>
      <w:r w:rsidR="00E12453">
        <w:t xml:space="preserve"> ja</w:t>
      </w:r>
      <w:r w:rsidR="00C17D9A">
        <w:t xml:space="preserve"> </w:t>
      </w:r>
      <w:r w:rsidR="7133B499">
        <w:t>2794L</w:t>
      </w:r>
      <w:r w:rsidR="0031192E">
        <w:t xml:space="preserve"> </w:t>
      </w:r>
      <w:r w:rsidR="0031192E" w:rsidRPr="00D25845">
        <w:t>tähistatud tervishoiuteenus</w:t>
      </w:r>
      <w:r w:rsidR="0031192E">
        <w:t>tega</w:t>
      </w:r>
      <w:r w:rsidR="007F68FB">
        <w:t>.</w:t>
      </w:r>
    </w:p>
    <w:p w14:paraId="3921A499" w14:textId="77777777" w:rsidR="00976487" w:rsidRPr="00687DE8" w:rsidRDefault="00976487" w:rsidP="00E6094C">
      <w:pPr>
        <w:spacing w:after="0" w:line="240" w:lineRule="auto"/>
        <w:jc w:val="both"/>
        <w:outlineLvl w:val="2"/>
        <w:divId w:val="1316184749"/>
        <w:rPr>
          <w:b/>
          <w:bCs/>
          <w:szCs w:val="24"/>
        </w:rPr>
      </w:pPr>
    </w:p>
    <w:p w14:paraId="5AB454D3" w14:textId="77777777" w:rsidR="00976487" w:rsidRDefault="00976487" w:rsidP="00976487">
      <w:pPr>
        <w:spacing w:after="0" w:line="240" w:lineRule="auto"/>
        <w:jc w:val="both"/>
        <w:outlineLvl w:val="2"/>
        <w:divId w:val="1316184749"/>
        <w:rPr>
          <w:b/>
          <w:szCs w:val="24"/>
        </w:rPr>
      </w:pPr>
      <w:r w:rsidRPr="00687DE8">
        <w:rPr>
          <w:b/>
          <w:szCs w:val="24"/>
        </w:rPr>
        <w:t xml:space="preserve">§ </w:t>
      </w:r>
      <w:r w:rsidR="00000D45" w:rsidRPr="00687DE8">
        <w:rPr>
          <w:b/>
          <w:szCs w:val="24"/>
        </w:rPr>
        <w:t>5</w:t>
      </w:r>
      <w:r w:rsidR="000245EE" w:rsidRPr="00687DE8">
        <w:rPr>
          <w:b/>
          <w:szCs w:val="24"/>
        </w:rPr>
        <w:t>0</w:t>
      </w:r>
      <w:r w:rsidRPr="00687DE8">
        <w:rPr>
          <w:b/>
          <w:szCs w:val="24"/>
        </w:rPr>
        <w:t>. Uroloogia operatsioonide piirhinnad</w:t>
      </w:r>
    </w:p>
    <w:p w14:paraId="7704D37D" w14:textId="77777777" w:rsidR="005332E6" w:rsidRDefault="005332E6" w:rsidP="00976487">
      <w:pPr>
        <w:spacing w:after="0" w:line="240" w:lineRule="auto"/>
        <w:jc w:val="both"/>
        <w:divId w:val="1316184749"/>
        <w:rPr>
          <w:szCs w:val="24"/>
        </w:rPr>
      </w:pPr>
    </w:p>
    <w:p w14:paraId="53271B49" w14:textId="3E37A013" w:rsidR="00976487" w:rsidRPr="00687DE8" w:rsidRDefault="00976487" w:rsidP="00976487">
      <w:pPr>
        <w:spacing w:after="0" w:line="240" w:lineRule="auto"/>
        <w:jc w:val="both"/>
        <w:divId w:val="1316184749"/>
        <w:rPr>
          <w:szCs w:val="24"/>
        </w:rPr>
      </w:pPr>
      <w:r w:rsidRPr="00687DE8">
        <w:rPr>
          <w:szCs w:val="24"/>
        </w:rPr>
        <w:t>(1) Uroloogia operatsioonide korral rakendatakse järgmisi piirhindu:</w:t>
      </w:r>
    </w:p>
    <w:p w14:paraId="1E4EAA4B" w14:textId="77777777" w:rsidR="00FD0FEC" w:rsidRPr="00687DE8" w:rsidRDefault="00FD0FEC" w:rsidP="00976487">
      <w:pPr>
        <w:spacing w:after="0" w:line="240" w:lineRule="auto"/>
        <w:jc w:val="both"/>
        <w:divId w:val="1316184749"/>
        <w:rPr>
          <w:szCs w:val="24"/>
        </w:rPr>
      </w:pPr>
    </w:p>
    <w:tbl>
      <w:tblPr>
        <w:tblW w:w="9351" w:type="dxa"/>
        <w:tblCellMar>
          <w:left w:w="70" w:type="dxa"/>
          <w:right w:w="70" w:type="dxa"/>
        </w:tblCellMar>
        <w:tblLook w:val="0480" w:firstRow="0" w:lastRow="0" w:firstColumn="1" w:lastColumn="0" w:noHBand="0" w:noVBand="1"/>
      </w:tblPr>
      <w:tblGrid>
        <w:gridCol w:w="6517"/>
        <w:gridCol w:w="1134"/>
        <w:gridCol w:w="1700"/>
      </w:tblGrid>
      <w:tr w:rsidR="00642D57" w:rsidRPr="00687DE8" w14:paraId="51B1A833" w14:textId="77777777" w:rsidTr="00B60519">
        <w:trPr>
          <w:divId w:val="1316184749"/>
          <w:trHeight w:val="630"/>
          <w:tblHeader/>
        </w:trPr>
        <w:tc>
          <w:tcPr>
            <w:tcW w:w="6517" w:type="dxa"/>
            <w:tcBorders>
              <w:top w:val="single" w:sz="4" w:space="0" w:color="auto"/>
              <w:left w:val="single" w:sz="4" w:space="0" w:color="auto"/>
              <w:bottom w:val="single" w:sz="4" w:space="0" w:color="auto"/>
              <w:right w:val="single" w:sz="4" w:space="0" w:color="auto"/>
            </w:tcBorders>
            <w:vAlign w:val="center"/>
            <w:hideMark/>
          </w:tcPr>
          <w:p w14:paraId="4AE7D2DE" w14:textId="77777777" w:rsidR="00A73A69" w:rsidRPr="00687DE8" w:rsidRDefault="00A73A69" w:rsidP="00A73A69">
            <w:pPr>
              <w:spacing w:after="0" w:line="240" w:lineRule="auto"/>
              <w:jc w:val="center"/>
              <w:rPr>
                <w:b/>
                <w:bCs/>
                <w:color w:val="000000"/>
                <w:szCs w:val="24"/>
                <w:lang w:eastAsia="et-EE"/>
              </w:rPr>
            </w:pPr>
            <w:r w:rsidRPr="00687DE8">
              <w:rPr>
                <w:b/>
                <w:bCs/>
                <w:color w:val="000000"/>
                <w:szCs w:val="24"/>
                <w:lang w:eastAsia="et-EE"/>
              </w:rPr>
              <w:t>Tervishoiuteenuse nimetus</w:t>
            </w:r>
          </w:p>
        </w:tc>
        <w:tc>
          <w:tcPr>
            <w:tcW w:w="1134" w:type="dxa"/>
            <w:tcBorders>
              <w:top w:val="single" w:sz="4" w:space="0" w:color="auto"/>
              <w:left w:val="nil"/>
              <w:bottom w:val="single" w:sz="4" w:space="0" w:color="auto"/>
              <w:right w:val="single" w:sz="4" w:space="0" w:color="auto"/>
            </w:tcBorders>
            <w:vAlign w:val="center"/>
            <w:hideMark/>
          </w:tcPr>
          <w:p w14:paraId="3A915D66" w14:textId="77777777" w:rsidR="00A73A69" w:rsidRPr="00687DE8" w:rsidRDefault="00A73A69" w:rsidP="00A73A69">
            <w:pPr>
              <w:spacing w:after="0" w:line="240" w:lineRule="auto"/>
              <w:jc w:val="center"/>
              <w:rPr>
                <w:b/>
                <w:bCs/>
                <w:color w:val="000000"/>
                <w:szCs w:val="24"/>
                <w:lang w:eastAsia="et-EE"/>
              </w:rPr>
            </w:pPr>
            <w:r w:rsidRPr="00687DE8">
              <w:rPr>
                <w:b/>
                <w:bCs/>
                <w:color w:val="000000"/>
                <w:szCs w:val="24"/>
                <w:lang w:eastAsia="et-EE"/>
              </w:rPr>
              <w:t>Kood</w:t>
            </w:r>
          </w:p>
        </w:tc>
        <w:tc>
          <w:tcPr>
            <w:tcW w:w="1700" w:type="dxa"/>
            <w:tcBorders>
              <w:top w:val="single" w:sz="4" w:space="0" w:color="auto"/>
              <w:left w:val="nil"/>
              <w:bottom w:val="single" w:sz="4" w:space="0" w:color="auto"/>
              <w:right w:val="single" w:sz="4" w:space="0" w:color="auto"/>
            </w:tcBorders>
            <w:vAlign w:val="center"/>
            <w:hideMark/>
          </w:tcPr>
          <w:p w14:paraId="75B8E838" w14:textId="77777777" w:rsidR="00A73A69" w:rsidRPr="00687DE8" w:rsidRDefault="00A73A69" w:rsidP="00A73A69">
            <w:pPr>
              <w:spacing w:after="0" w:line="240" w:lineRule="auto"/>
              <w:jc w:val="center"/>
              <w:rPr>
                <w:b/>
                <w:bCs/>
                <w:color w:val="000000"/>
                <w:szCs w:val="24"/>
                <w:lang w:eastAsia="et-EE"/>
              </w:rPr>
            </w:pPr>
            <w:r w:rsidRPr="00687DE8">
              <w:rPr>
                <w:b/>
                <w:bCs/>
                <w:color w:val="000000"/>
                <w:szCs w:val="24"/>
                <w:lang w:eastAsia="et-EE"/>
              </w:rPr>
              <w:t>Piirhind eurodes</w:t>
            </w:r>
          </w:p>
        </w:tc>
      </w:tr>
      <w:tr w:rsidR="00B60519" w:rsidRPr="00687DE8" w14:paraId="492A05CC"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278E901C"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 xml:space="preserve">Neerupealise eemaldamine või resektsioon </w:t>
            </w:r>
          </w:p>
        </w:tc>
        <w:tc>
          <w:tcPr>
            <w:tcW w:w="1134" w:type="dxa"/>
            <w:tcBorders>
              <w:top w:val="nil"/>
              <w:left w:val="nil"/>
              <w:bottom w:val="single" w:sz="4" w:space="0" w:color="auto"/>
              <w:right w:val="single" w:sz="4" w:space="0" w:color="auto"/>
            </w:tcBorders>
            <w:noWrap/>
            <w:vAlign w:val="bottom"/>
            <w:hideMark/>
          </w:tcPr>
          <w:p w14:paraId="233B4503"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1B2104</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7245AD38" w14:textId="76BBDBD2" w:rsidR="48476244" w:rsidRPr="00687DE8" w:rsidRDefault="00BC43C3">
            <w:pPr>
              <w:spacing w:after="0"/>
              <w:jc w:val="center"/>
              <w:rPr>
                <w:color w:val="000000" w:themeColor="text1"/>
                <w:szCs w:val="24"/>
              </w:rPr>
            </w:pPr>
            <w:r>
              <w:rPr>
                <w:color w:val="000000"/>
              </w:rPr>
              <w:t>1 262,63</w:t>
            </w:r>
          </w:p>
        </w:tc>
      </w:tr>
      <w:tr w:rsidR="00B60519" w:rsidRPr="00687DE8" w14:paraId="6F0E051E" w14:textId="77777777" w:rsidTr="001B10F9">
        <w:trPr>
          <w:divId w:val="1316184749"/>
          <w:trHeight w:val="343"/>
        </w:trPr>
        <w:tc>
          <w:tcPr>
            <w:tcW w:w="6517" w:type="dxa"/>
            <w:tcBorders>
              <w:top w:val="nil"/>
              <w:left w:val="single" w:sz="4" w:space="0" w:color="auto"/>
              <w:bottom w:val="single" w:sz="4" w:space="0" w:color="auto"/>
              <w:right w:val="single" w:sz="4" w:space="0" w:color="auto"/>
            </w:tcBorders>
            <w:vAlign w:val="bottom"/>
            <w:hideMark/>
          </w:tcPr>
          <w:p w14:paraId="6C2D3168"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neerupealise eemaldamine või resektsioon</w:t>
            </w:r>
          </w:p>
        </w:tc>
        <w:tc>
          <w:tcPr>
            <w:tcW w:w="1134" w:type="dxa"/>
            <w:tcBorders>
              <w:top w:val="nil"/>
              <w:left w:val="nil"/>
              <w:bottom w:val="single" w:sz="4" w:space="0" w:color="auto"/>
              <w:right w:val="single" w:sz="4" w:space="0" w:color="auto"/>
            </w:tcBorders>
            <w:noWrap/>
            <w:vAlign w:val="bottom"/>
            <w:hideMark/>
          </w:tcPr>
          <w:p w14:paraId="1CCD5BDE"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1B2204</w:t>
            </w:r>
          </w:p>
        </w:tc>
        <w:tc>
          <w:tcPr>
            <w:tcW w:w="1700" w:type="dxa"/>
            <w:tcBorders>
              <w:top w:val="nil"/>
              <w:left w:val="single" w:sz="4" w:space="0" w:color="auto"/>
              <w:bottom w:val="single" w:sz="4" w:space="0" w:color="auto"/>
              <w:right w:val="single" w:sz="4" w:space="0" w:color="auto"/>
            </w:tcBorders>
            <w:noWrap/>
            <w:vAlign w:val="center"/>
            <w:hideMark/>
          </w:tcPr>
          <w:p w14:paraId="2F2F33B7" w14:textId="1FECFFED" w:rsidR="48476244" w:rsidRPr="00687DE8" w:rsidRDefault="00BC43C3">
            <w:pPr>
              <w:spacing w:after="0"/>
              <w:jc w:val="center"/>
              <w:rPr>
                <w:color w:val="000000" w:themeColor="text1"/>
                <w:szCs w:val="24"/>
              </w:rPr>
            </w:pPr>
            <w:r>
              <w:rPr>
                <w:color w:val="000000"/>
              </w:rPr>
              <w:t>2 011,43</w:t>
            </w:r>
          </w:p>
        </w:tc>
      </w:tr>
      <w:tr w:rsidR="00B60519" w:rsidRPr="00687DE8" w14:paraId="5ACD8E12"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07E74743"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Neeru eksploratsioon, sealhulgas drenaažoperatsioon</w:t>
            </w:r>
          </w:p>
        </w:tc>
        <w:tc>
          <w:tcPr>
            <w:tcW w:w="1134" w:type="dxa"/>
            <w:tcBorders>
              <w:top w:val="nil"/>
              <w:left w:val="nil"/>
              <w:bottom w:val="single" w:sz="4" w:space="0" w:color="auto"/>
              <w:right w:val="single" w:sz="4" w:space="0" w:color="auto"/>
            </w:tcBorders>
            <w:noWrap/>
            <w:vAlign w:val="bottom"/>
            <w:hideMark/>
          </w:tcPr>
          <w:p w14:paraId="4EA59674"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1K2106</w:t>
            </w:r>
          </w:p>
        </w:tc>
        <w:tc>
          <w:tcPr>
            <w:tcW w:w="1700" w:type="dxa"/>
            <w:tcBorders>
              <w:top w:val="nil"/>
              <w:left w:val="single" w:sz="4" w:space="0" w:color="auto"/>
              <w:bottom w:val="single" w:sz="4" w:space="0" w:color="auto"/>
              <w:right w:val="single" w:sz="4" w:space="0" w:color="auto"/>
            </w:tcBorders>
            <w:noWrap/>
            <w:vAlign w:val="center"/>
            <w:hideMark/>
          </w:tcPr>
          <w:p w14:paraId="7681347A" w14:textId="6222EBA8" w:rsidR="48476244" w:rsidRPr="00687DE8" w:rsidRDefault="00BC43C3">
            <w:pPr>
              <w:spacing w:after="0"/>
              <w:jc w:val="center"/>
              <w:rPr>
                <w:color w:val="000000" w:themeColor="text1"/>
                <w:szCs w:val="24"/>
              </w:rPr>
            </w:pPr>
            <w:r>
              <w:rPr>
                <w:color w:val="000000"/>
              </w:rPr>
              <w:t>944,90</w:t>
            </w:r>
          </w:p>
        </w:tc>
      </w:tr>
      <w:tr w:rsidR="00B60519" w:rsidRPr="00687DE8" w14:paraId="7A7CD0C3" w14:textId="77777777" w:rsidTr="001B10F9">
        <w:trPr>
          <w:divId w:val="1316184749"/>
          <w:trHeight w:val="630"/>
        </w:trPr>
        <w:tc>
          <w:tcPr>
            <w:tcW w:w="6517" w:type="dxa"/>
            <w:tcBorders>
              <w:top w:val="nil"/>
              <w:left w:val="single" w:sz="4" w:space="0" w:color="auto"/>
              <w:bottom w:val="single" w:sz="4" w:space="0" w:color="auto"/>
              <w:right w:val="single" w:sz="4" w:space="0" w:color="auto"/>
            </w:tcBorders>
            <w:vAlign w:val="bottom"/>
            <w:hideMark/>
          </w:tcPr>
          <w:p w14:paraId="1AD03497"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neeru eksploratsioon, sealhulgas drenaažoperatsioon</w:t>
            </w:r>
          </w:p>
        </w:tc>
        <w:tc>
          <w:tcPr>
            <w:tcW w:w="1134" w:type="dxa"/>
            <w:tcBorders>
              <w:top w:val="nil"/>
              <w:left w:val="nil"/>
              <w:bottom w:val="single" w:sz="4" w:space="0" w:color="auto"/>
              <w:right w:val="single" w:sz="4" w:space="0" w:color="auto"/>
            </w:tcBorders>
            <w:noWrap/>
            <w:vAlign w:val="bottom"/>
            <w:hideMark/>
          </w:tcPr>
          <w:p w14:paraId="407E357C"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1K2206</w:t>
            </w:r>
          </w:p>
        </w:tc>
        <w:tc>
          <w:tcPr>
            <w:tcW w:w="1700" w:type="dxa"/>
            <w:tcBorders>
              <w:top w:val="nil"/>
              <w:left w:val="single" w:sz="4" w:space="0" w:color="auto"/>
              <w:bottom w:val="single" w:sz="4" w:space="0" w:color="auto"/>
              <w:right w:val="single" w:sz="4" w:space="0" w:color="auto"/>
            </w:tcBorders>
            <w:noWrap/>
            <w:vAlign w:val="center"/>
            <w:hideMark/>
          </w:tcPr>
          <w:p w14:paraId="73A733FC" w14:textId="70B76D96" w:rsidR="48476244" w:rsidRPr="00687DE8" w:rsidRDefault="00BC43C3">
            <w:pPr>
              <w:spacing w:after="0"/>
              <w:jc w:val="center"/>
              <w:rPr>
                <w:color w:val="000000" w:themeColor="text1"/>
                <w:szCs w:val="24"/>
              </w:rPr>
            </w:pPr>
            <w:r>
              <w:rPr>
                <w:color w:val="000000"/>
              </w:rPr>
              <w:t>1 825,93</w:t>
            </w:r>
          </w:p>
        </w:tc>
      </w:tr>
      <w:tr w:rsidR="00B60519" w:rsidRPr="00687DE8" w14:paraId="1D8CE676"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2161D58F"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Nefrektoomia</w:t>
            </w:r>
          </w:p>
        </w:tc>
        <w:tc>
          <w:tcPr>
            <w:tcW w:w="1134" w:type="dxa"/>
            <w:tcBorders>
              <w:top w:val="nil"/>
              <w:left w:val="nil"/>
              <w:bottom w:val="single" w:sz="4" w:space="0" w:color="auto"/>
              <w:right w:val="single" w:sz="4" w:space="0" w:color="auto"/>
            </w:tcBorders>
            <w:noWrap/>
            <w:vAlign w:val="bottom"/>
            <w:hideMark/>
          </w:tcPr>
          <w:p w14:paraId="414A8738"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1K2107</w:t>
            </w:r>
          </w:p>
        </w:tc>
        <w:tc>
          <w:tcPr>
            <w:tcW w:w="1700" w:type="dxa"/>
            <w:tcBorders>
              <w:top w:val="nil"/>
              <w:left w:val="single" w:sz="4" w:space="0" w:color="auto"/>
              <w:bottom w:val="single" w:sz="4" w:space="0" w:color="auto"/>
              <w:right w:val="single" w:sz="4" w:space="0" w:color="auto"/>
            </w:tcBorders>
            <w:noWrap/>
            <w:vAlign w:val="center"/>
            <w:hideMark/>
          </w:tcPr>
          <w:p w14:paraId="23C26BF6" w14:textId="47F4005D" w:rsidR="48476244" w:rsidRPr="00687DE8" w:rsidRDefault="00BC43C3">
            <w:pPr>
              <w:spacing w:after="0"/>
              <w:jc w:val="center"/>
              <w:rPr>
                <w:color w:val="000000" w:themeColor="text1"/>
                <w:szCs w:val="24"/>
              </w:rPr>
            </w:pPr>
            <w:r>
              <w:rPr>
                <w:color w:val="000000"/>
              </w:rPr>
              <w:t>1 124,94</w:t>
            </w:r>
          </w:p>
        </w:tc>
      </w:tr>
      <w:tr w:rsidR="00B60519" w:rsidRPr="00687DE8" w14:paraId="79E35EC6"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4171FCB5"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nefrektoomia</w:t>
            </w:r>
          </w:p>
        </w:tc>
        <w:tc>
          <w:tcPr>
            <w:tcW w:w="1134" w:type="dxa"/>
            <w:tcBorders>
              <w:top w:val="nil"/>
              <w:left w:val="nil"/>
              <w:bottom w:val="single" w:sz="4" w:space="0" w:color="auto"/>
              <w:right w:val="single" w:sz="4" w:space="0" w:color="auto"/>
            </w:tcBorders>
            <w:noWrap/>
            <w:vAlign w:val="bottom"/>
            <w:hideMark/>
          </w:tcPr>
          <w:p w14:paraId="4CF87C4D"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1K2207</w:t>
            </w:r>
          </w:p>
        </w:tc>
        <w:tc>
          <w:tcPr>
            <w:tcW w:w="1700" w:type="dxa"/>
            <w:tcBorders>
              <w:top w:val="nil"/>
              <w:left w:val="single" w:sz="4" w:space="0" w:color="auto"/>
              <w:bottom w:val="single" w:sz="4" w:space="0" w:color="auto"/>
              <w:right w:val="single" w:sz="4" w:space="0" w:color="auto"/>
            </w:tcBorders>
            <w:noWrap/>
            <w:vAlign w:val="center"/>
            <w:hideMark/>
          </w:tcPr>
          <w:p w14:paraId="50B445B7" w14:textId="76BEC6C6" w:rsidR="48476244" w:rsidRPr="00687DE8" w:rsidRDefault="00BC43C3">
            <w:pPr>
              <w:spacing w:after="0"/>
              <w:jc w:val="center"/>
              <w:rPr>
                <w:color w:val="000000" w:themeColor="text1"/>
                <w:szCs w:val="24"/>
              </w:rPr>
            </w:pPr>
            <w:r>
              <w:rPr>
                <w:color w:val="000000"/>
              </w:rPr>
              <w:t>2 093,16</w:t>
            </w:r>
          </w:p>
        </w:tc>
      </w:tr>
      <w:tr w:rsidR="00B60519" w:rsidRPr="00687DE8" w14:paraId="78213B07"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22B7BE81"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Nefrektoomia tuumori tõttu</w:t>
            </w:r>
          </w:p>
        </w:tc>
        <w:tc>
          <w:tcPr>
            <w:tcW w:w="1134" w:type="dxa"/>
            <w:tcBorders>
              <w:top w:val="nil"/>
              <w:left w:val="nil"/>
              <w:bottom w:val="single" w:sz="4" w:space="0" w:color="auto"/>
              <w:right w:val="single" w:sz="4" w:space="0" w:color="auto"/>
            </w:tcBorders>
            <w:noWrap/>
            <w:vAlign w:val="bottom"/>
            <w:hideMark/>
          </w:tcPr>
          <w:p w14:paraId="7E1415FA"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1K2108</w:t>
            </w:r>
          </w:p>
        </w:tc>
        <w:tc>
          <w:tcPr>
            <w:tcW w:w="1700" w:type="dxa"/>
            <w:tcBorders>
              <w:top w:val="nil"/>
              <w:left w:val="single" w:sz="4" w:space="0" w:color="auto"/>
              <w:bottom w:val="single" w:sz="4" w:space="0" w:color="auto"/>
              <w:right w:val="single" w:sz="4" w:space="0" w:color="auto"/>
            </w:tcBorders>
            <w:noWrap/>
            <w:vAlign w:val="center"/>
            <w:hideMark/>
          </w:tcPr>
          <w:p w14:paraId="45ACC131" w14:textId="0FDC95B7" w:rsidR="48476244" w:rsidRPr="00687DE8" w:rsidRDefault="00BC43C3">
            <w:pPr>
              <w:spacing w:after="0"/>
              <w:jc w:val="center"/>
              <w:rPr>
                <w:color w:val="000000" w:themeColor="text1"/>
                <w:szCs w:val="24"/>
              </w:rPr>
            </w:pPr>
            <w:r>
              <w:rPr>
                <w:color w:val="000000"/>
              </w:rPr>
              <w:t>1 645,21</w:t>
            </w:r>
          </w:p>
        </w:tc>
      </w:tr>
      <w:tr w:rsidR="00B60519" w:rsidRPr="00687DE8" w14:paraId="75738246" w14:textId="77777777" w:rsidTr="001B10F9">
        <w:trPr>
          <w:divId w:val="1316184749"/>
          <w:trHeight w:val="314"/>
        </w:trPr>
        <w:tc>
          <w:tcPr>
            <w:tcW w:w="6517" w:type="dxa"/>
            <w:tcBorders>
              <w:top w:val="nil"/>
              <w:left w:val="single" w:sz="4" w:space="0" w:color="auto"/>
              <w:bottom w:val="single" w:sz="4" w:space="0" w:color="auto"/>
              <w:right w:val="single" w:sz="4" w:space="0" w:color="auto"/>
            </w:tcBorders>
            <w:vAlign w:val="bottom"/>
            <w:hideMark/>
          </w:tcPr>
          <w:p w14:paraId="2DE26FFC"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nefrektoomia tuumori tõttu</w:t>
            </w:r>
          </w:p>
        </w:tc>
        <w:tc>
          <w:tcPr>
            <w:tcW w:w="1134" w:type="dxa"/>
            <w:tcBorders>
              <w:top w:val="nil"/>
              <w:left w:val="nil"/>
              <w:bottom w:val="single" w:sz="4" w:space="0" w:color="auto"/>
              <w:right w:val="single" w:sz="4" w:space="0" w:color="auto"/>
            </w:tcBorders>
            <w:noWrap/>
            <w:vAlign w:val="bottom"/>
            <w:hideMark/>
          </w:tcPr>
          <w:p w14:paraId="62EED483"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1K2208</w:t>
            </w:r>
          </w:p>
        </w:tc>
        <w:tc>
          <w:tcPr>
            <w:tcW w:w="1700" w:type="dxa"/>
            <w:tcBorders>
              <w:top w:val="nil"/>
              <w:left w:val="single" w:sz="4" w:space="0" w:color="auto"/>
              <w:bottom w:val="single" w:sz="4" w:space="0" w:color="auto"/>
              <w:right w:val="single" w:sz="4" w:space="0" w:color="auto"/>
            </w:tcBorders>
            <w:noWrap/>
            <w:vAlign w:val="center"/>
            <w:hideMark/>
          </w:tcPr>
          <w:p w14:paraId="1A085B9D" w14:textId="1C6843A8" w:rsidR="48476244" w:rsidRPr="00687DE8" w:rsidRDefault="00BC43C3">
            <w:pPr>
              <w:spacing w:after="0"/>
              <w:jc w:val="center"/>
              <w:rPr>
                <w:color w:val="000000" w:themeColor="text1"/>
                <w:szCs w:val="24"/>
              </w:rPr>
            </w:pPr>
            <w:r>
              <w:rPr>
                <w:color w:val="000000"/>
              </w:rPr>
              <w:t>2 042,74</w:t>
            </w:r>
          </w:p>
        </w:tc>
      </w:tr>
      <w:tr w:rsidR="00B60519" w:rsidRPr="00687DE8" w14:paraId="5756527E"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6B59BA2D"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Nefroureeterektoomia</w:t>
            </w:r>
          </w:p>
        </w:tc>
        <w:tc>
          <w:tcPr>
            <w:tcW w:w="1134" w:type="dxa"/>
            <w:tcBorders>
              <w:top w:val="nil"/>
              <w:left w:val="nil"/>
              <w:bottom w:val="single" w:sz="4" w:space="0" w:color="auto"/>
              <w:right w:val="single" w:sz="4" w:space="0" w:color="auto"/>
            </w:tcBorders>
            <w:noWrap/>
            <w:vAlign w:val="bottom"/>
            <w:hideMark/>
          </w:tcPr>
          <w:p w14:paraId="6C484F33"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1K2109</w:t>
            </w:r>
          </w:p>
        </w:tc>
        <w:tc>
          <w:tcPr>
            <w:tcW w:w="1700" w:type="dxa"/>
            <w:tcBorders>
              <w:top w:val="nil"/>
              <w:left w:val="single" w:sz="4" w:space="0" w:color="auto"/>
              <w:bottom w:val="single" w:sz="4" w:space="0" w:color="auto"/>
              <w:right w:val="single" w:sz="4" w:space="0" w:color="auto"/>
            </w:tcBorders>
            <w:noWrap/>
            <w:vAlign w:val="center"/>
            <w:hideMark/>
          </w:tcPr>
          <w:p w14:paraId="264E5E33" w14:textId="66F84405" w:rsidR="48476244" w:rsidRPr="00687DE8" w:rsidRDefault="00BC43C3">
            <w:pPr>
              <w:spacing w:after="0"/>
              <w:jc w:val="center"/>
              <w:rPr>
                <w:color w:val="000000" w:themeColor="text1"/>
                <w:szCs w:val="24"/>
              </w:rPr>
            </w:pPr>
            <w:r>
              <w:rPr>
                <w:color w:val="000000"/>
              </w:rPr>
              <w:t>1 618,93</w:t>
            </w:r>
          </w:p>
        </w:tc>
      </w:tr>
      <w:tr w:rsidR="00B60519" w:rsidRPr="00687DE8" w14:paraId="5D280D82" w14:textId="77777777" w:rsidTr="001B10F9">
        <w:trPr>
          <w:divId w:val="1316184749"/>
          <w:trHeight w:val="314"/>
        </w:trPr>
        <w:tc>
          <w:tcPr>
            <w:tcW w:w="6517" w:type="dxa"/>
            <w:tcBorders>
              <w:top w:val="nil"/>
              <w:left w:val="single" w:sz="4" w:space="0" w:color="auto"/>
              <w:bottom w:val="single" w:sz="4" w:space="0" w:color="auto"/>
              <w:right w:val="single" w:sz="4" w:space="0" w:color="auto"/>
            </w:tcBorders>
            <w:vAlign w:val="bottom"/>
            <w:hideMark/>
          </w:tcPr>
          <w:p w14:paraId="25A79C78"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nefroureeterektoomia</w:t>
            </w:r>
          </w:p>
        </w:tc>
        <w:tc>
          <w:tcPr>
            <w:tcW w:w="1134" w:type="dxa"/>
            <w:tcBorders>
              <w:top w:val="nil"/>
              <w:left w:val="nil"/>
              <w:bottom w:val="single" w:sz="4" w:space="0" w:color="auto"/>
              <w:right w:val="single" w:sz="4" w:space="0" w:color="auto"/>
            </w:tcBorders>
            <w:noWrap/>
            <w:vAlign w:val="bottom"/>
            <w:hideMark/>
          </w:tcPr>
          <w:p w14:paraId="2A2A6244"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1K2209</w:t>
            </w:r>
          </w:p>
        </w:tc>
        <w:tc>
          <w:tcPr>
            <w:tcW w:w="1700" w:type="dxa"/>
            <w:tcBorders>
              <w:top w:val="nil"/>
              <w:left w:val="single" w:sz="4" w:space="0" w:color="auto"/>
              <w:bottom w:val="single" w:sz="4" w:space="0" w:color="auto"/>
              <w:right w:val="single" w:sz="4" w:space="0" w:color="auto"/>
            </w:tcBorders>
            <w:noWrap/>
            <w:vAlign w:val="center"/>
            <w:hideMark/>
          </w:tcPr>
          <w:p w14:paraId="1B8B37A9" w14:textId="5D56524D" w:rsidR="48476244" w:rsidRPr="00687DE8" w:rsidRDefault="00BC43C3">
            <w:pPr>
              <w:spacing w:after="0"/>
              <w:jc w:val="center"/>
              <w:rPr>
                <w:color w:val="000000" w:themeColor="text1"/>
                <w:szCs w:val="24"/>
              </w:rPr>
            </w:pPr>
            <w:r>
              <w:rPr>
                <w:color w:val="000000"/>
              </w:rPr>
              <w:t>2 296,40</w:t>
            </w:r>
          </w:p>
        </w:tc>
      </w:tr>
      <w:tr w:rsidR="00B60519" w:rsidRPr="00687DE8" w14:paraId="04169BD6" w14:textId="77777777" w:rsidTr="001B10F9">
        <w:trPr>
          <w:divId w:val="1316184749"/>
          <w:trHeight w:val="327"/>
        </w:trPr>
        <w:tc>
          <w:tcPr>
            <w:tcW w:w="6517" w:type="dxa"/>
            <w:tcBorders>
              <w:top w:val="nil"/>
              <w:left w:val="single" w:sz="4" w:space="0" w:color="auto"/>
              <w:bottom w:val="single" w:sz="4" w:space="0" w:color="auto"/>
              <w:right w:val="single" w:sz="4" w:space="0" w:color="auto"/>
            </w:tcBorders>
            <w:vAlign w:val="bottom"/>
            <w:hideMark/>
          </w:tcPr>
          <w:p w14:paraId="649B266A"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Neeru resektsioon tuumori tõttu</w:t>
            </w:r>
          </w:p>
        </w:tc>
        <w:tc>
          <w:tcPr>
            <w:tcW w:w="1134" w:type="dxa"/>
            <w:tcBorders>
              <w:top w:val="nil"/>
              <w:left w:val="nil"/>
              <w:bottom w:val="single" w:sz="4" w:space="0" w:color="auto"/>
              <w:right w:val="single" w:sz="4" w:space="0" w:color="auto"/>
            </w:tcBorders>
            <w:noWrap/>
            <w:vAlign w:val="bottom"/>
            <w:hideMark/>
          </w:tcPr>
          <w:p w14:paraId="2F1DA9D1"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1K2110</w:t>
            </w:r>
          </w:p>
        </w:tc>
        <w:tc>
          <w:tcPr>
            <w:tcW w:w="1700" w:type="dxa"/>
            <w:tcBorders>
              <w:top w:val="nil"/>
              <w:left w:val="single" w:sz="4" w:space="0" w:color="auto"/>
              <w:bottom w:val="single" w:sz="4" w:space="0" w:color="auto"/>
              <w:right w:val="single" w:sz="4" w:space="0" w:color="auto"/>
            </w:tcBorders>
            <w:noWrap/>
            <w:vAlign w:val="center"/>
            <w:hideMark/>
          </w:tcPr>
          <w:p w14:paraId="63FD0786" w14:textId="53A02FAF" w:rsidR="5B0AD44B" w:rsidRPr="00687DE8" w:rsidRDefault="00BC43C3">
            <w:pPr>
              <w:spacing w:after="0"/>
              <w:jc w:val="center"/>
              <w:rPr>
                <w:color w:val="000000" w:themeColor="text1"/>
                <w:szCs w:val="24"/>
              </w:rPr>
            </w:pPr>
            <w:r>
              <w:rPr>
                <w:color w:val="000000"/>
              </w:rPr>
              <w:t>1 365,63</w:t>
            </w:r>
          </w:p>
        </w:tc>
      </w:tr>
      <w:tr w:rsidR="00B60519" w:rsidRPr="00687DE8" w14:paraId="0068FBAF" w14:textId="77777777" w:rsidTr="001B10F9">
        <w:trPr>
          <w:divId w:val="1316184749"/>
          <w:trHeight w:val="288"/>
        </w:trPr>
        <w:tc>
          <w:tcPr>
            <w:tcW w:w="6517" w:type="dxa"/>
            <w:tcBorders>
              <w:top w:val="nil"/>
              <w:left w:val="single" w:sz="4" w:space="0" w:color="auto"/>
              <w:bottom w:val="single" w:sz="4" w:space="0" w:color="auto"/>
              <w:right w:val="single" w:sz="4" w:space="0" w:color="auto"/>
            </w:tcBorders>
            <w:vAlign w:val="bottom"/>
            <w:hideMark/>
          </w:tcPr>
          <w:p w14:paraId="72650C7F"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neeru resektsioon tuumori tõttu</w:t>
            </w:r>
          </w:p>
        </w:tc>
        <w:tc>
          <w:tcPr>
            <w:tcW w:w="1134" w:type="dxa"/>
            <w:tcBorders>
              <w:top w:val="nil"/>
              <w:left w:val="nil"/>
              <w:bottom w:val="single" w:sz="4" w:space="0" w:color="auto"/>
              <w:right w:val="single" w:sz="4" w:space="0" w:color="auto"/>
            </w:tcBorders>
            <w:noWrap/>
            <w:vAlign w:val="bottom"/>
            <w:hideMark/>
          </w:tcPr>
          <w:p w14:paraId="299D6756"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1K2210</w:t>
            </w:r>
          </w:p>
        </w:tc>
        <w:tc>
          <w:tcPr>
            <w:tcW w:w="1700" w:type="dxa"/>
            <w:tcBorders>
              <w:top w:val="nil"/>
              <w:left w:val="single" w:sz="4" w:space="0" w:color="auto"/>
              <w:bottom w:val="single" w:sz="4" w:space="0" w:color="auto"/>
              <w:right w:val="single" w:sz="4" w:space="0" w:color="auto"/>
            </w:tcBorders>
            <w:noWrap/>
            <w:vAlign w:val="center"/>
            <w:hideMark/>
          </w:tcPr>
          <w:p w14:paraId="2CC4F7AB" w14:textId="43523300" w:rsidR="5B0AD44B" w:rsidRPr="00687DE8" w:rsidRDefault="00BC43C3">
            <w:pPr>
              <w:spacing w:after="0"/>
              <w:jc w:val="center"/>
              <w:rPr>
                <w:color w:val="000000" w:themeColor="text1"/>
                <w:szCs w:val="24"/>
              </w:rPr>
            </w:pPr>
            <w:r>
              <w:rPr>
                <w:color w:val="000000"/>
              </w:rPr>
              <w:t>2 100,76</w:t>
            </w:r>
          </w:p>
        </w:tc>
      </w:tr>
      <w:tr w:rsidR="00B60519" w:rsidRPr="00687DE8" w14:paraId="18B7B500" w14:textId="77777777" w:rsidTr="001B10F9">
        <w:trPr>
          <w:divId w:val="1316184749"/>
          <w:trHeight w:val="279"/>
        </w:trPr>
        <w:tc>
          <w:tcPr>
            <w:tcW w:w="6517" w:type="dxa"/>
            <w:tcBorders>
              <w:top w:val="nil"/>
              <w:left w:val="single" w:sz="4" w:space="0" w:color="auto"/>
              <w:bottom w:val="single" w:sz="4" w:space="0" w:color="auto"/>
              <w:right w:val="single" w:sz="4" w:space="0" w:color="auto"/>
            </w:tcBorders>
            <w:vAlign w:val="bottom"/>
            <w:hideMark/>
          </w:tcPr>
          <w:p w14:paraId="568C1B4D"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Neeru primaarsete ja sekundaarsete tuumorite krüoablatsioon</w:t>
            </w:r>
          </w:p>
        </w:tc>
        <w:tc>
          <w:tcPr>
            <w:tcW w:w="1134" w:type="dxa"/>
            <w:tcBorders>
              <w:top w:val="nil"/>
              <w:left w:val="nil"/>
              <w:bottom w:val="single" w:sz="4" w:space="0" w:color="auto"/>
              <w:right w:val="single" w:sz="4" w:space="0" w:color="auto"/>
            </w:tcBorders>
            <w:noWrap/>
            <w:vAlign w:val="bottom"/>
            <w:hideMark/>
          </w:tcPr>
          <w:p w14:paraId="580031B0"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1K2202</w:t>
            </w:r>
          </w:p>
        </w:tc>
        <w:tc>
          <w:tcPr>
            <w:tcW w:w="1700" w:type="dxa"/>
            <w:tcBorders>
              <w:top w:val="nil"/>
              <w:left w:val="single" w:sz="4" w:space="0" w:color="auto"/>
              <w:bottom w:val="single" w:sz="4" w:space="0" w:color="auto"/>
              <w:right w:val="single" w:sz="4" w:space="0" w:color="auto"/>
            </w:tcBorders>
            <w:noWrap/>
            <w:vAlign w:val="center"/>
            <w:hideMark/>
          </w:tcPr>
          <w:p w14:paraId="3931E388" w14:textId="437B6C74" w:rsidR="5B0AD44B" w:rsidRPr="00687DE8" w:rsidRDefault="00BC43C3">
            <w:pPr>
              <w:spacing w:after="0"/>
              <w:jc w:val="center"/>
              <w:rPr>
                <w:color w:val="000000" w:themeColor="text1"/>
                <w:szCs w:val="24"/>
              </w:rPr>
            </w:pPr>
            <w:r>
              <w:rPr>
                <w:color w:val="000000"/>
              </w:rPr>
              <w:t>6 464,30</w:t>
            </w:r>
          </w:p>
        </w:tc>
      </w:tr>
      <w:tr w:rsidR="00B60519" w:rsidRPr="00687DE8" w14:paraId="29ABEA48" w14:textId="77777777" w:rsidTr="001B10F9">
        <w:trPr>
          <w:divId w:val="1316184749"/>
          <w:trHeight w:val="268"/>
        </w:trPr>
        <w:tc>
          <w:tcPr>
            <w:tcW w:w="6517" w:type="dxa"/>
            <w:tcBorders>
              <w:top w:val="nil"/>
              <w:left w:val="single" w:sz="4" w:space="0" w:color="auto"/>
              <w:bottom w:val="single" w:sz="4" w:space="0" w:color="auto"/>
              <w:right w:val="single" w:sz="4" w:space="0" w:color="auto"/>
            </w:tcBorders>
            <w:vAlign w:val="bottom"/>
            <w:hideMark/>
          </w:tcPr>
          <w:p w14:paraId="5AA771A1"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Neeru resektsioon või rekonstruktsioon, välja arvatud tuumori tõttu</w:t>
            </w:r>
          </w:p>
        </w:tc>
        <w:tc>
          <w:tcPr>
            <w:tcW w:w="1134" w:type="dxa"/>
            <w:tcBorders>
              <w:top w:val="nil"/>
              <w:left w:val="nil"/>
              <w:bottom w:val="single" w:sz="4" w:space="0" w:color="auto"/>
              <w:right w:val="single" w:sz="4" w:space="0" w:color="auto"/>
            </w:tcBorders>
            <w:noWrap/>
            <w:vAlign w:val="bottom"/>
            <w:hideMark/>
          </w:tcPr>
          <w:p w14:paraId="64BF02E8"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1K2112</w:t>
            </w:r>
          </w:p>
        </w:tc>
        <w:tc>
          <w:tcPr>
            <w:tcW w:w="1700" w:type="dxa"/>
            <w:tcBorders>
              <w:top w:val="nil"/>
              <w:left w:val="single" w:sz="4" w:space="0" w:color="auto"/>
              <w:bottom w:val="single" w:sz="4" w:space="0" w:color="auto"/>
              <w:right w:val="single" w:sz="4" w:space="0" w:color="auto"/>
            </w:tcBorders>
            <w:noWrap/>
            <w:vAlign w:val="center"/>
            <w:hideMark/>
          </w:tcPr>
          <w:p w14:paraId="36FAA8B5" w14:textId="70FC75BB" w:rsidR="5B0AD44B" w:rsidRPr="00687DE8" w:rsidRDefault="00BC43C3">
            <w:pPr>
              <w:spacing w:after="0"/>
              <w:jc w:val="center"/>
              <w:rPr>
                <w:color w:val="000000" w:themeColor="text1"/>
                <w:szCs w:val="24"/>
              </w:rPr>
            </w:pPr>
            <w:r>
              <w:rPr>
                <w:color w:val="000000"/>
              </w:rPr>
              <w:t>1 767,05</w:t>
            </w:r>
          </w:p>
        </w:tc>
      </w:tr>
      <w:tr w:rsidR="00B60519" w:rsidRPr="00687DE8" w14:paraId="194AB657" w14:textId="77777777" w:rsidTr="001B10F9">
        <w:trPr>
          <w:divId w:val="1316184749"/>
          <w:trHeight w:val="552"/>
        </w:trPr>
        <w:tc>
          <w:tcPr>
            <w:tcW w:w="6517" w:type="dxa"/>
            <w:tcBorders>
              <w:top w:val="nil"/>
              <w:left w:val="single" w:sz="4" w:space="0" w:color="auto"/>
              <w:bottom w:val="single" w:sz="4" w:space="0" w:color="auto"/>
              <w:right w:val="single" w:sz="4" w:space="0" w:color="auto"/>
            </w:tcBorders>
            <w:vAlign w:val="bottom"/>
            <w:hideMark/>
          </w:tcPr>
          <w:p w14:paraId="43478447"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neeru resektsioon või rekonstruktsioon, välja arvatud tuumori tõttu</w:t>
            </w:r>
          </w:p>
        </w:tc>
        <w:tc>
          <w:tcPr>
            <w:tcW w:w="1134" w:type="dxa"/>
            <w:tcBorders>
              <w:top w:val="nil"/>
              <w:left w:val="nil"/>
              <w:bottom w:val="single" w:sz="4" w:space="0" w:color="auto"/>
              <w:right w:val="single" w:sz="4" w:space="0" w:color="auto"/>
            </w:tcBorders>
            <w:noWrap/>
            <w:vAlign w:val="bottom"/>
            <w:hideMark/>
          </w:tcPr>
          <w:p w14:paraId="29AA7382"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1K2211</w:t>
            </w:r>
          </w:p>
        </w:tc>
        <w:tc>
          <w:tcPr>
            <w:tcW w:w="1700" w:type="dxa"/>
            <w:tcBorders>
              <w:top w:val="nil"/>
              <w:left w:val="single" w:sz="4" w:space="0" w:color="auto"/>
              <w:bottom w:val="single" w:sz="4" w:space="0" w:color="auto"/>
              <w:right w:val="single" w:sz="4" w:space="0" w:color="auto"/>
            </w:tcBorders>
            <w:noWrap/>
            <w:vAlign w:val="center"/>
            <w:hideMark/>
          </w:tcPr>
          <w:p w14:paraId="4646ECBF" w14:textId="203D6DBD" w:rsidR="5B0AD44B" w:rsidRPr="00687DE8" w:rsidRDefault="00BC43C3">
            <w:pPr>
              <w:spacing w:after="0"/>
              <w:jc w:val="center"/>
              <w:rPr>
                <w:color w:val="000000" w:themeColor="text1"/>
                <w:szCs w:val="24"/>
              </w:rPr>
            </w:pPr>
            <w:r>
              <w:rPr>
                <w:color w:val="000000"/>
              </w:rPr>
              <w:t>1 816,07</w:t>
            </w:r>
          </w:p>
        </w:tc>
      </w:tr>
      <w:tr w:rsidR="00B60519" w:rsidRPr="00687DE8" w14:paraId="5FFC84ED"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6241D8D5"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nefropeksia</w:t>
            </w:r>
          </w:p>
        </w:tc>
        <w:tc>
          <w:tcPr>
            <w:tcW w:w="1134" w:type="dxa"/>
            <w:tcBorders>
              <w:top w:val="nil"/>
              <w:left w:val="nil"/>
              <w:bottom w:val="single" w:sz="4" w:space="0" w:color="auto"/>
              <w:right w:val="single" w:sz="4" w:space="0" w:color="auto"/>
            </w:tcBorders>
            <w:noWrap/>
            <w:vAlign w:val="bottom"/>
            <w:hideMark/>
          </w:tcPr>
          <w:p w14:paraId="13284A2F"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1K2212</w:t>
            </w:r>
          </w:p>
        </w:tc>
        <w:tc>
          <w:tcPr>
            <w:tcW w:w="1700" w:type="dxa"/>
            <w:tcBorders>
              <w:top w:val="nil"/>
              <w:left w:val="single" w:sz="4" w:space="0" w:color="auto"/>
              <w:bottom w:val="single" w:sz="4" w:space="0" w:color="auto"/>
              <w:right w:val="single" w:sz="4" w:space="0" w:color="auto"/>
            </w:tcBorders>
            <w:noWrap/>
            <w:vAlign w:val="center"/>
            <w:hideMark/>
          </w:tcPr>
          <w:p w14:paraId="09B70566" w14:textId="6FA7A73A" w:rsidR="5B0AD44B" w:rsidRPr="00687DE8" w:rsidRDefault="00BC43C3">
            <w:pPr>
              <w:spacing w:after="0"/>
              <w:jc w:val="center"/>
              <w:rPr>
                <w:color w:val="000000" w:themeColor="text1"/>
                <w:szCs w:val="24"/>
              </w:rPr>
            </w:pPr>
            <w:r>
              <w:rPr>
                <w:color w:val="000000"/>
              </w:rPr>
              <w:t>1 629,88</w:t>
            </w:r>
          </w:p>
        </w:tc>
      </w:tr>
      <w:tr w:rsidR="00B60519" w:rsidRPr="00687DE8" w14:paraId="579C5D82" w14:textId="77777777" w:rsidTr="001B10F9">
        <w:trPr>
          <w:divId w:val="1316184749"/>
          <w:trHeight w:val="357"/>
        </w:trPr>
        <w:tc>
          <w:tcPr>
            <w:tcW w:w="6517" w:type="dxa"/>
            <w:tcBorders>
              <w:top w:val="nil"/>
              <w:left w:val="single" w:sz="4" w:space="0" w:color="auto"/>
              <w:bottom w:val="single" w:sz="4" w:space="0" w:color="auto"/>
              <w:right w:val="single" w:sz="4" w:space="0" w:color="auto"/>
            </w:tcBorders>
            <w:vAlign w:val="bottom"/>
            <w:hideMark/>
          </w:tcPr>
          <w:p w14:paraId="758460C5"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Perkutaanse nefroskoopia operatsioon (PCNL)</w:t>
            </w:r>
          </w:p>
        </w:tc>
        <w:tc>
          <w:tcPr>
            <w:tcW w:w="1134" w:type="dxa"/>
            <w:tcBorders>
              <w:top w:val="nil"/>
              <w:left w:val="nil"/>
              <w:bottom w:val="single" w:sz="4" w:space="0" w:color="auto"/>
              <w:right w:val="single" w:sz="4" w:space="0" w:color="auto"/>
            </w:tcBorders>
            <w:noWrap/>
            <w:vAlign w:val="bottom"/>
            <w:hideMark/>
          </w:tcPr>
          <w:p w14:paraId="72815C40"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1K2233</w:t>
            </w:r>
          </w:p>
        </w:tc>
        <w:tc>
          <w:tcPr>
            <w:tcW w:w="1700" w:type="dxa"/>
            <w:tcBorders>
              <w:top w:val="nil"/>
              <w:left w:val="single" w:sz="4" w:space="0" w:color="auto"/>
              <w:bottom w:val="single" w:sz="4" w:space="0" w:color="auto"/>
              <w:right w:val="single" w:sz="4" w:space="0" w:color="auto"/>
            </w:tcBorders>
            <w:noWrap/>
            <w:vAlign w:val="center"/>
            <w:hideMark/>
          </w:tcPr>
          <w:p w14:paraId="0FE8CB5D" w14:textId="0DC7456C" w:rsidR="5B0AD44B" w:rsidRPr="00687DE8" w:rsidRDefault="00BC43C3">
            <w:pPr>
              <w:spacing w:after="0"/>
              <w:jc w:val="center"/>
              <w:rPr>
                <w:color w:val="000000" w:themeColor="text1"/>
                <w:szCs w:val="24"/>
              </w:rPr>
            </w:pPr>
            <w:r>
              <w:rPr>
                <w:color w:val="000000"/>
              </w:rPr>
              <w:t>1 664,42</w:t>
            </w:r>
          </w:p>
        </w:tc>
      </w:tr>
      <w:tr w:rsidR="00B60519" w:rsidRPr="00687DE8" w14:paraId="4FD48C3C"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24BC3692"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Püeloplastika</w:t>
            </w:r>
          </w:p>
        </w:tc>
        <w:tc>
          <w:tcPr>
            <w:tcW w:w="1134" w:type="dxa"/>
            <w:tcBorders>
              <w:top w:val="nil"/>
              <w:left w:val="nil"/>
              <w:bottom w:val="single" w:sz="4" w:space="0" w:color="auto"/>
              <w:right w:val="single" w:sz="4" w:space="0" w:color="auto"/>
            </w:tcBorders>
            <w:noWrap/>
            <w:vAlign w:val="bottom"/>
            <w:hideMark/>
          </w:tcPr>
          <w:p w14:paraId="6386398E"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1K2113</w:t>
            </w:r>
          </w:p>
        </w:tc>
        <w:tc>
          <w:tcPr>
            <w:tcW w:w="1700" w:type="dxa"/>
            <w:tcBorders>
              <w:top w:val="nil"/>
              <w:left w:val="single" w:sz="4" w:space="0" w:color="auto"/>
              <w:bottom w:val="single" w:sz="4" w:space="0" w:color="auto"/>
              <w:right w:val="single" w:sz="4" w:space="0" w:color="auto"/>
            </w:tcBorders>
            <w:noWrap/>
            <w:vAlign w:val="center"/>
            <w:hideMark/>
          </w:tcPr>
          <w:p w14:paraId="20375119" w14:textId="30BF02B2" w:rsidR="5B0AD44B" w:rsidRPr="00687DE8" w:rsidRDefault="00BC43C3">
            <w:pPr>
              <w:spacing w:after="0"/>
              <w:jc w:val="center"/>
              <w:rPr>
                <w:color w:val="000000" w:themeColor="text1"/>
                <w:szCs w:val="24"/>
              </w:rPr>
            </w:pPr>
            <w:r>
              <w:rPr>
                <w:color w:val="000000"/>
              </w:rPr>
              <w:t>1 264,32</w:t>
            </w:r>
          </w:p>
        </w:tc>
      </w:tr>
      <w:tr w:rsidR="00B60519" w:rsidRPr="00687DE8" w14:paraId="0D2BC5A9"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2814CB3D"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püeloplastika</w:t>
            </w:r>
          </w:p>
        </w:tc>
        <w:tc>
          <w:tcPr>
            <w:tcW w:w="1134" w:type="dxa"/>
            <w:tcBorders>
              <w:top w:val="nil"/>
              <w:left w:val="nil"/>
              <w:bottom w:val="single" w:sz="4" w:space="0" w:color="auto"/>
              <w:right w:val="single" w:sz="4" w:space="0" w:color="auto"/>
            </w:tcBorders>
            <w:noWrap/>
            <w:vAlign w:val="bottom"/>
            <w:hideMark/>
          </w:tcPr>
          <w:p w14:paraId="40C5BD26"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1K2213</w:t>
            </w:r>
          </w:p>
        </w:tc>
        <w:tc>
          <w:tcPr>
            <w:tcW w:w="1700" w:type="dxa"/>
            <w:tcBorders>
              <w:top w:val="nil"/>
              <w:left w:val="single" w:sz="4" w:space="0" w:color="auto"/>
              <w:bottom w:val="single" w:sz="4" w:space="0" w:color="auto"/>
              <w:right w:val="single" w:sz="4" w:space="0" w:color="auto"/>
            </w:tcBorders>
            <w:noWrap/>
            <w:vAlign w:val="center"/>
            <w:hideMark/>
          </w:tcPr>
          <w:p w14:paraId="76B8A8A2" w14:textId="2AD744ED" w:rsidR="5B0AD44B" w:rsidRPr="00687DE8" w:rsidRDefault="00BC43C3">
            <w:pPr>
              <w:spacing w:after="0"/>
              <w:jc w:val="center"/>
              <w:rPr>
                <w:color w:val="000000" w:themeColor="text1"/>
                <w:szCs w:val="24"/>
              </w:rPr>
            </w:pPr>
            <w:r>
              <w:rPr>
                <w:color w:val="000000"/>
              </w:rPr>
              <w:t>1 873,33</w:t>
            </w:r>
          </w:p>
        </w:tc>
      </w:tr>
      <w:tr w:rsidR="00B60519" w:rsidRPr="00687DE8" w14:paraId="53284DC2" w14:textId="77777777" w:rsidTr="001B10F9">
        <w:trPr>
          <w:divId w:val="1316184749"/>
          <w:trHeight w:val="325"/>
        </w:trPr>
        <w:tc>
          <w:tcPr>
            <w:tcW w:w="6517" w:type="dxa"/>
            <w:tcBorders>
              <w:top w:val="nil"/>
              <w:left w:val="single" w:sz="4" w:space="0" w:color="auto"/>
              <w:bottom w:val="single" w:sz="4" w:space="0" w:color="auto"/>
              <w:right w:val="single" w:sz="4" w:space="0" w:color="auto"/>
            </w:tcBorders>
            <w:vAlign w:val="bottom"/>
            <w:hideMark/>
          </w:tcPr>
          <w:p w14:paraId="634A8D14"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lastRenderedPageBreak/>
              <w:t>Ureeterorenoskoopiline operatsioon (URSL, RIRS)</w:t>
            </w:r>
          </w:p>
        </w:tc>
        <w:tc>
          <w:tcPr>
            <w:tcW w:w="1134" w:type="dxa"/>
            <w:tcBorders>
              <w:top w:val="nil"/>
              <w:left w:val="nil"/>
              <w:bottom w:val="single" w:sz="4" w:space="0" w:color="auto"/>
              <w:right w:val="single" w:sz="4" w:space="0" w:color="auto"/>
            </w:tcBorders>
            <w:noWrap/>
            <w:vAlign w:val="bottom"/>
            <w:hideMark/>
          </w:tcPr>
          <w:p w14:paraId="3E132A4F"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1K2234</w:t>
            </w:r>
          </w:p>
        </w:tc>
        <w:tc>
          <w:tcPr>
            <w:tcW w:w="1700" w:type="dxa"/>
            <w:tcBorders>
              <w:top w:val="nil"/>
              <w:left w:val="single" w:sz="4" w:space="0" w:color="auto"/>
              <w:bottom w:val="single" w:sz="4" w:space="0" w:color="auto"/>
              <w:right w:val="single" w:sz="4" w:space="0" w:color="auto"/>
            </w:tcBorders>
            <w:noWrap/>
            <w:vAlign w:val="center"/>
            <w:hideMark/>
          </w:tcPr>
          <w:p w14:paraId="7E3DCE5E" w14:textId="1F7BFEE8" w:rsidR="5B0AD44B" w:rsidRPr="00687DE8" w:rsidRDefault="00BC43C3">
            <w:pPr>
              <w:spacing w:after="0"/>
              <w:jc w:val="center"/>
              <w:rPr>
                <w:color w:val="000000" w:themeColor="text1"/>
                <w:szCs w:val="24"/>
              </w:rPr>
            </w:pPr>
            <w:r>
              <w:rPr>
                <w:color w:val="000000"/>
              </w:rPr>
              <w:t>2 276,03</w:t>
            </w:r>
          </w:p>
        </w:tc>
      </w:tr>
      <w:tr w:rsidR="00B60519" w:rsidRPr="00687DE8" w14:paraId="266A99C8"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4C3BDF9F"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Rekonstruktiivne operatsioon ureeteril</w:t>
            </w:r>
          </w:p>
        </w:tc>
        <w:tc>
          <w:tcPr>
            <w:tcW w:w="1134" w:type="dxa"/>
            <w:tcBorders>
              <w:top w:val="nil"/>
              <w:left w:val="nil"/>
              <w:bottom w:val="single" w:sz="4" w:space="0" w:color="auto"/>
              <w:right w:val="single" w:sz="4" w:space="0" w:color="auto"/>
            </w:tcBorders>
            <w:noWrap/>
            <w:vAlign w:val="bottom"/>
            <w:hideMark/>
          </w:tcPr>
          <w:p w14:paraId="2FFEBE50"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1K2114</w:t>
            </w:r>
          </w:p>
        </w:tc>
        <w:tc>
          <w:tcPr>
            <w:tcW w:w="1700" w:type="dxa"/>
            <w:tcBorders>
              <w:top w:val="nil"/>
              <w:left w:val="single" w:sz="4" w:space="0" w:color="auto"/>
              <w:bottom w:val="single" w:sz="4" w:space="0" w:color="auto"/>
              <w:right w:val="single" w:sz="4" w:space="0" w:color="auto"/>
            </w:tcBorders>
            <w:noWrap/>
            <w:vAlign w:val="center"/>
            <w:hideMark/>
          </w:tcPr>
          <w:p w14:paraId="4B93444E" w14:textId="72EED6B5" w:rsidR="5B0AD44B" w:rsidRPr="00687DE8" w:rsidRDefault="00BC43C3">
            <w:pPr>
              <w:spacing w:after="0"/>
              <w:jc w:val="center"/>
              <w:rPr>
                <w:color w:val="000000" w:themeColor="text1"/>
                <w:szCs w:val="24"/>
              </w:rPr>
            </w:pPr>
            <w:r>
              <w:rPr>
                <w:color w:val="000000"/>
              </w:rPr>
              <w:t>1 561,13</w:t>
            </w:r>
          </w:p>
        </w:tc>
      </w:tr>
      <w:tr w:rsidR="00B60519" w:rsidRPr="00687DE8" w14:paraId="3F06C38D" w14:textId="77777777" w:rsidTr="001B10F9">
        <w:trPr>
          <w:divId w:val="1316184749"/>
          <w:trHeight w:val="377"/>
        </w:trPr>
        <w:tc>
          <w:tcPr>
            <w:tcW w:w="6517" w:type="dxa"/>
            <w:tcBorders>
              <w:top w:val="nil"/>
              <w:left w:val="single" w:sz="4" w:space="0" w:color="auto"/>
              <w:bottom w:val="single" w:sz="4" w:space="0" w:color="auto"/>
              <w:right w:val="single" w:sz="4" w:space="0" w:color="auto"/>
            </w:tcBorders>
            <w:vAlign w:val="bottom"/>
            <w:hideMark/>
          </w:tcPr>
          <w:p w14:paraId="629A53B6"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rekonstruktiivne operatsioon ureeteril</w:t>
            </w:r>
          </w:p>
        </w:tc>
        <w:tc>
          <w:tcPr>
            <w:tcW w:w="1134" w:type="dxa"/>
            <w:tcBorders>
              <w:top w:val="nil"/>
              <w:left w:val="nil"/>
              <w:bottom w:val="single" w:sz="4" w:space="0" w:color="auto"/>
              <w:right w:val="single" w:sz="4" w:space="0" w:color="auto"/>
            </w:tcBorders>
            <w:noWrap/>
            <w:vAlign w:val="bottom"/>
            <w:hideMark/>
          </w:tcPr>
          <w:p w14:paraId="558A66F3"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1K2214</w:t>
            </w:r>
          </w:p>
        </w:tc>
        <w:tc>
          <w:tcPr>
            <w:tcW w:w="1700" w:type="dxa"/>
            <w:tcBorders>
              <w:top w:val="nil"/>
              <w:left w:val="single" w:sz="4" w:space="0" w:color="auto"/>
              <w:bottom w:val="single" w:sz="4" w:space="0" w:color="auto"/>
              <w:right w:val="single" w:sz="4" w:space="0" w:color="auto"/>
            </w:tcBorders>
            <w:noWrap/>
            <w:vAlign w:val="center"/>
            <w:hideMark/>
          </w:tcPr>
          <w:p w14:paraId="2D2825D8" w14:textId="4FAFC215" w:rsidR="5B0AD44B" w:rsidRPr="00687DE8" w:rsidRDefault="00BC43C3">
            <w:pPr>
              <w:spacing w:after="0"/>
              <w:jc w:val="center"/>
              <w:rPr>
                <w:color w:val="000000" w:themeColor="text1"/>
                <w:szCs w:val="24"/>
              </w:rPr>
            </w:pPr>
            <w:r>
              <w:rPr>
                <w:color w:val="000000"/>
              </w:rPr>
              <w:t>1 902,17</w:t>
            </w:r>
          </w:p>
        </w:tc>
      </w:tr>
      <w:tr w:rsidR="00B60519" w:rsidRPr="00687DE8" w14:paraId="44E093BD" w14:textId="77777777" w:rsidTr="00EB7A71">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0188CCF8"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Ureeterotsüstostoomia</w:t>
            </w:r>
          </w:p>
        </w:tc>
        <w:tc>
          <w:tcPr>
            <w:tcW w:w="1134" w:type="dxa"/>
            <w:tcBorders>
              <w:top w:val="nil"/>
              <w:left w:val="nil"/>
              <w:bottom w:val="single" w:sz="4" w:space="0" w:color="auto"/>
              <w:right w:val="single" w:sz="4" w:space="0" w:color="auto"/>
            </w:tcBorders>
            <w:noWrap/>
            <w:vAlign w:val="bottom"/>
            <w:hideMark/>
          </w:tcPr>
          <w:p w14:paraId="782C0A47"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1K2115</w:t>
            </w:r>
          </w:p>
        </w:tc>
        <w:tc>
          <w:tcPr>
            <w:tcW w:w="1700" w:type="dxa"/>
            <w:tcBorders>
              <w:top w:val="nil"/>
              <w:left w:val="single" w:sz="4" w:space="0" w:color="auto"/>
              <w:bottom w:val="single" w:sz="4" w:space="0" w:color="auto"/>
              <w:right w:val="single" w:sz="4" w:space="0" w:color="auto"/>
            </w:tcBorders>
            <w:noWrap/>
            <w:vAlign w:val="center"/>
            <w:hideMark/>
          </w:tcPr>
          <w:p w14:paraId="139B6461" w14:textId="24B581DD" w:rsidR="5B0AD44B" w:rsidRPr="00687DE8" w:rsidRDefault="00BC43C3">
            <w:pPr>
              <w:spacing w:after="0"/>
              <w:jc w:val="center"/>
              <w:rPr>
                <w:color w:val="000000" w:themeColor="text1"/>
                <w:szCs w:val="24"/>
              </w:rPr>
            </w:pPr>
            <w:r>
              <w:rPr>
                <w:color w:val="000000"/>
              </w:rPr>
              <w:t>1 474,58</w:t>
            </w:r>
          </w:p>
        </w:tc>
      </w:tr>
      <w:tr w:rsidR="00B60519" w:rsidRPr="00687DE8" w14:paraId="5E37B003" w14:textId="77777777" w:rsidTr="001B10F9">
        <w:trPr>
          <w:divId w:val="1316184749"/>
          <w:trHeight w:val="372"/>
        </w:trPr>
        <w:tc>
          <w:tcPr>
            <w:tcW w:w="6517" w:type="dxa"/>
            <w:tcBorders>
              <w:top w:val="nil"/>
              <w:left w:val="single" w:sz="4" w:space="0" w:color="auto"/>
              <w:bottom w:val="single" w:sz="4" w:space="0" w:color="auto"/>
              <w:right w:val="single" w:sz="4" w:space="0" w:color="auto"/>
            </w:tcBorders>
            <w:vAlign w:val="bottom"/>
            <w:hideMark/>
          </w:tcPr>
          <w:p w14:paraId="7690949F"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ureeterotsüstostoomia</w:t>
            </w:r>
          </w:p>
        </w:tc>
        <w:tc>
          <w:tcPr>
            <w:tcW w:w="1134" w:type="dxa"/>
            <w:tcBorders>
              <w:top w:val="nil"/>
              <w:left w:val="nil"/>
              <w:bottom w:val="single" w:sz="4" w:space="0" w:color="auto"/>
              <w:right w:val="single" w:sz="4" w:space="0" w:color="auto"/>
            </w:tcBorders>
            <w:noWrap/>
            <w:vAlign w:val="bottom"/>
            <w:hideMark/>
          </w:tcPr>
          <w:p w14:paraId="23A2853C"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1K2215</w:t>
            </w:r>
          </w:p>
        </w:tc>
        <w:tc>
          <w:tcPr>
            <w:tcW w:w="1700" w:type="dxa"/>
            <w:tcBorders>
              <w:top w:val="nil"/>
              <w:left w:val="single" w:sz="4" w:space="0" w:color="auto"/>
              <w:bottom w:val="single" w:sz="4" w:space="0" w:color="auto"/>
              <w:right w:val="single" w:sz="4" w:space="0" w:color="auto"/>
            </w:tcBorders>
            <w:noWrap/>
            <w:vAlign w:val="center"/>
            <w:hideMark/>
          </w:tcPr>
          <w:p w14:paraId="73241A0D" w14:textId="6243B3C8" w:rsidR="5B0AD44B" w:rsidRPr="00687DE8" w:rsidRDefault="00BC43C3">
            <w:pPr>
              <w:spacing w:after="0"/>
              <w:jc w:val="center"/>
              <w:rPr>
                <w:color w:val="000000" w:themeColor="text1"/>
                <w:szCs w:val="24"/>
              </w:rPr>
            </w:pPr>
            <w:r>
              <w:rPr>
                <w:color w:val="000000"/>
              </w:rPr>
              <w:t>1 956,43</w:t>
            </w:r>
          </w:p>
        </w:tc>
      </w:tr>
      <w:tr w:rsidR="00B60519" w:rsidRPr="00687DE8" w14:paraId="1FA22BA9" w14:textId="77777777" w:rsidTr="001B10F9">
        <w:trPr>
          <w:divId w:val="1316184749"/>
          <w:trHeight w:val="421"/>
        </w:trPr>
        <w:tc>
          <w:tcPr>
            <w:tcW w:w="6517" w:type="dxa"/>
            <w:tcBorders>
              <w:top w:val="nil"/>
              <w:left w:val="single" w:sz="4" w:space="0" w:color="auto"/>
              <w:bottom w:val="single" w:sz="4" w:space="0" w:color="auto"/>
              <w:right w:val="single" w:sz="4" w:space="0" w:color="auto"/>
            </w:tcBorders>
            <w:vAlign w:val="bottom"/>
            <w:hideMark/>
          </w:tcPr>
          <w:p w14:paraId="196842A0"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Kusepõie eksploratsioon, sealhulgas resektsioon, rekonstruktsioon, tsüstektoomia uriiniderivatsioonita</w:t>
            </w:r>
          </w:p>
        </w:tc>
        <w:tc>
          <w:tcPr>
            <w:tcW w:w="1134" w:type="dxa"/>
            <w:tcBorders>
              <w:top w:val="nil"/>
              <w:left w:val="nil"/>
              <w:bottom w:val="single" w:sz="4" w:space="0" w:color="auto"/>
              <w:right w:val="single" w:sz="4" w:space="0" w:color="auto"/>
            </w:tcBorders>
            <w:noWrap/>
            <w:vAlign w:val="bottom"/>
            <w:hideMark/>
          </w:tcPr>
          <w:p w14:paraId="4FD0BE4E"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1K2116</w:t>
            </w:r>
          </w:p>
        </w:tc>
        <w:tc>
          <w:tcPr>
            <w:tcW w:w="1700" w:type="dxa"/>
            <w:tcBorders>
              <w:top w:val="nil"/>
              <w:left w:val="single" w:sz="4" w:space="0" w:color="auto"/>
              <w:bottom w:val="single" w:sz="4" w:space="0" w:color="auto"/>
              <w:right w:val="single" w:sz="4" w:space="0" w:color="auto"/>
            </w:tcBorders>
            <w:noWrap/>
            <w:vAlign w:val="center"/>
            <w:hideMark/>
          </w:tcPr>
          <w:p w14:paraId="5CFE7310" w14:textId="5A54D7D8" w:rsidR="5B0AD44B" w:rsidRPr="00687DE8" w:rsidRDefault="00BC43C3">
            <w:pPr>
              <w:spacing w:after="0"/>
              <w:jc w:val="center"/>
              <w:rPr>
                <w:color w:val="000000" w:themeColor="text1"/>
                <w:szCs w:val="24"/>
              </w:rPr>
            </w:pPr>
            <w:r>
              <w:rPr>
                <w:color w:val="000000"/>
              </w:rPr>
              <w:t>1 199,69</w:t>
            </w:r>
          </w:p>
        </w:tc>
      </w:tr>
      <w:tr w:rsidR="00B60519" w:rsidRPr="00687DE8" w14:paraId="77F1F515" w14:textId="77777777" w:rsidTr="001B10F9">
        <w:trPr>
          <w:divId w:val="1316184749"/>
          <w:trHeight w:val="555"/>
        </w:trPr>
        <w:tc>
          <w:tcPr>
            <w:tcW w:w="6517" w:type="dxa"/>
            <w:tcBorders>
              <w:top w:val="nil"/>
              <w:left w:val="single" w:sz="4" w:space="0" w:color="auto"/>
              <w:bottom w:val="single" w:sz="4" w:space="0" w:color="auto"/>
              <w:right w:val="single" w:sz="4" w:space="0" w:color="auto"/>
            </w:tcBorders>
            <w:vAlign w:val="bottom"/>
            <w:hideMark/>
          </w:tcPr>
          <w:p w14:paraId="2B71BF0C"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kusepõie eksploratsioon, sealhulgas resektsioon, rekonstruktsioon, tsüstektoomia uriiniderivatsioonita</w:t>
            </w:r>
          </w:p>
        </w:tc>
        <w:tc>
          <w:tcPr>
            <w:tcW w:w="1134" w:type="dxa"/>
            <w:tcBorders>
              <w:top w:val="nil"/>
              <w:left w:val="nil"/>
              <w:bottom w:val="single" w:sz="4" w:space="0" w:color="auto"/>
              <w:right w:val="single" w:sz="4" w:space="0" w:color="auto"/>
            </w:tcBorders>
            <w:noWrap/>
            <w:vAlign w:val="bottom"/>
            <w:hideMark/>
          </w:tcPr>
          <w:p w14:paraId="45BB023B"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1K2216</w:t>
            </w:r>
          </w:p>
        </w:tc>
        <w:tc>
          <w:tcPr>
            <w:tcW w:w="1700" w:type="dxa"/>
            <w:tcBorders>
              <w:top w:val="nil"/>
              <w:left w:val="single" w:sz="4" w:space="0" w:color="auto"/>
              <w:bottom w:val="single" w:sz="4" w:space="0" w:color="auto"/>
              <w:right w:val="single" w:sz="4" w:space="0" w:color="auto"/>
            </w:tcBorders>
            <w:noWrap/>
            <w:vAlign w:val="center"/>
            <w:hideMark/>
          </w:tcPr>
          <w:p w14:paraId="71F68968" w14:textId="03E971A8" w:rsidR="5B0AD44B" w:rsidRPr="00687DE8" w:rsidRDefault="00BC43C3">
            <w:pPr>
              <w:spacing w:after="0"/>
              <w:jc w:val="center"/>
              <w:rPr>
                <w:color w:val="000000" w:themeColor="text1"/>
                <w:szCs w:val="24"/>
              </w:rPr>
            </w:pPr>
            <w:r>
              <w:rPr>
                <w:color w:val="000000"/>
              </w:rPr>
              <w:t>2 104,67</w:t>
            </w:r>
          </w:p>
        </w:tc>
      </w:tr>
      <w:tr w:rsidR="00B60519" w:rsidRPr="00687DE8" w14:paraId="15CBF9E8"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18541EBE"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Põie-tupe või põie-soole fistulite likvideerimine</w:t>
            </w:r>
          </w:p>
        </w:tc>
        <w:tc>
          <w:tcPr>
            <w:tcW w:w="1134" w:type="dxa"/>
            <w:tcBorders>
              <w:top w:val="nil"/>
              <w:left w:val="nil"/>
              <w:bottom w:val="single" w:sz="4" w:space="0" w:color="auto"/>
              <w:right w:val="single" w:sz="4" w:space="0" w:color="auto"/>
            </w:tcBorders>
            <w:noWrap/>
            <w:vAlign w:val="bottom"/>
            <w:hideMark/>
          </w:tcPr>
          <w:p w14:paraId="6E2C1917"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1K2117</w:t>
            </w:r>
          </w:p>
        </w:tc>
        <w:tc>
          <w:tcPr>
            <w:tcW w:w="1700" w:type="dxa"/>
            <w:tcBorders>
              <w:top w:val="nil"/>
              <w:left w:val="single" w:sz="4" w:space="0" w:color="auto"/>
              <w:bottom w:val="single" w:sz="4" w:space="0" w:color="auto"/>
              <w:right w:val="single" w:sz="4" w:space="0" w:color="auto"/>
            </w:tcBorders>
            <w:noWrap/>
            <w:vAlign w:val="center"/>
            <w:hideMark/>
          </w:tcPr>
          <w:p w14:paraId="5B3446E6" w14:textId="2DB9FAFF" w:rsidR="5B0AD44B" w:rsidRPr="00687DE8" w:rsidRDefault="00BC43C3">
            <w:pPr>
              <w:spacing w:after="0"/>
              <w:jc w:val="center"/>
              <w:rPr>
                <w:color w:val="000000" w:themeColor="text1"/>
                <w:szCs w:val="24"/>
              </w:rPr>
            </w:pPr>
            <w:r>
              <w:rPr>
                <w:color w:val="000000"/>
              </w:rPr>
              <w:t>1 881,80</w:t>
            </w:r>
          </w:p>
        </w:tc>
      </w:tr>
      <w:tr w:rsidR="00B60519" w:rsidRPr="00687DE8" w14:paraId="360C9314" w14:textId="77777777" w:rsidTr="001B10F9">
        <w:trPr>
          <w:divId w:val="1316184749"/>
          <w:trHeight w:val="630"/>
        </w:trPr>
        <w:tc>
          <w:tcPr>
            <w:tcW w:w="6517" w:type="dxa"/>
            <w:tcBorders>
              <w:top w:val="nil"/>
              <w:left w:val="single" w:sz="4" w:space="0" w:color="auto"/>
              <w:bottom w:val="single" w:sz="4" w:space="0" w:color="auto"/>
              <w:right w:val="single" w:sz="4" w:space="0" w:color="auto"/>
            </w:tcBorders>
            <w:vAlign w:val="bottom"/>
            <w:hideMark/>
          </w:tcPr>
          <w:p w14:paraId="4D3EE9AF"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põie-tupe või põie-soole fistulite likvideerimine</w:t>
            </w:r>
          </w:p>
        </w:tc>
        <w:tc>
          <w:tcPr>
            <w:tcW w:w="1134" w:type="dxa"/>
            <w:tcBorders>
              <w:top w:val="nil"/>
              <w:left w:val="nil"/>
              <w:bottom w:val="single" w:sz="4" w:space="0" w:color="auto"/>
              <w:right w:val="single" w:sz="4" w:space="0" w:color="auto"/>
            </w:tcBorders>
            <w:noWrap/>
            <w:vAlign w:val="bottom"/>
            <w:hideMark/>
          </w:tcPr>
          <w:p w14:paraId="0197C574"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1K2217</w:t>
            </w:r>
          </w:p>
        </w:tc>
        <w:tc>
          <w:tcPr>
            <w:tcW w:w="1700" w:type="dxa"/>
            <w:tcBorders>
              <w:top w:val="nil"/>
              <w:left w:val="single" w:sz="4" w:space="0" w:color="auto"/>
              <w:bottom w:val="single" w:sz="4" w:space="0" w:color="auto"/>
              <w:right w:val="single" w:sz="4" w:space="0" w:color="auto"/>
            </w:tcBorders>
            <w:noWrap/>
            <w:vAlign w:val="center"/>
            <w:hideMark/>
          </w:tcPr>
          <w:p w14:paraId="33A8F072" w14:textId="52DECE9E" w:rsidR="5B0AD44B" w:rsidRPr="00687DE8" w:rsidRDefault="00BC43C3">
            <w:pPr>
              <w:spacing w:after="0"/>
              <w:jc w:val="center"/>
              <w:rPr>
                <w:color w:val="000000" w:themeColor="text1"/>
                <w:szCs w:val="24"/>
              </w:rPr>
            </w:pPr>
            <w:r>
              <w:rPr>
                <w:color w:val="000000"/>
              </w:rPr>
              <w:t>2 423,30</w:t>
            </w:r>
          </w:p>
        </w:tc>
      </w:tr>
      <w:tr w:rsidR="00B60519" w:rsidRPr="00687DE8" w14:paraId="0142B480" w14:textId="77777777" w:rsidTr="001B10F9">
        <w:trPr>
          <w:divId w:val="1316184749"/>
          <w:trHeight w:val="292"/>
        </w:trPr>
        <w:tc>
          <w:tcPr>
            <w:tcW w:w="6517" w:type="dxa"/>
            <w:tcBorders>
              <w:top w:val="nil"/>
              <w:left w:val="single" w:sz="4" w:space="0" w:color="auto"/>
              <w:bottom w:val="single" w:sz="4" w:space="0" w:color="auto"/>
              <w:right w:val="single" w:sz="4" w:space="0" w:color="auto"/>
            </w:tcBorders>
            <w:vAlign w:val="bottom"/>
            <w:hideMark/>
          </w:tcPr>
          <w:p w14:paraId="1B73346B"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Kusepõie transuretraalne resektsioon (TURB)</w:t>
            </w:r>
          </w:p>
        </w:tc>
        <w:tc>
          <w:tcPr>
            <w:tcW w:w="1134" w:type="dxa"/>
            <w:tcBorders>
              <w:top w:val="nil"/>
              <w:left w:val="nil"/>
              <w:bottom w:val="single" w:sz="4" w:space="0" w:color="auto"/>
              <w:right w:val="single" w:sz="4" w:space="0" w:color="auto"/>
            </w:tcBorders>
            <w:noWrap/>
            <w:vAlign w:val="bottom"/>
            <w:hideMark/>
          </w:tcPr>
          <w:p w14:paraId="2DAEB1A8"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1K2118</w:t>
            </w:r>
          </w:p>
        </w:tc>
        <w:tc>
          <w:tcPr>
            <w:tcW w:w="1700" w:type="dxa"/>
            <w:tcBorders>
              <w:top w:val="nil"/>
              <w:left w:val="single" w:sz="4" w:space="0" w:color="auto"/>
              <w:bottom w:val="single" w:sz="4" w:space="0" w:color="auto"/>
              <w:right w:val="single" w:sz="4" w:space="0" w:color="auto"/>
            </w:tcBorders>
            <w:noWrap/>
            <w:vAlign w:val="center"/>
            <w:hideMark/>
          </w:tcPr>
          <w:p w14:paraId="32A9DE4E" w14:textId="48A97643" w:rsidR="5B0AD44B" w:rsidRPr="00687DE8" w:rsidRDefault="00BC43C3">
            <w:pPr>
              <w:spacing w:after="0"/>
              <w:jc w:val="center"/>
              <w:rPr>
                <w:color w:val="000000" w:themeColor="text1"/>
                <w:szCs w:val="24"/>
              </w:rPr>
            </w:pPr>
            <w:r>
              <w:rPr>
                <w:color w:val="000000"/>
              </w:rPr>
              <w:t>633,39</w:t>
            </w:r>
          </w:p>
        </w:tc>
      </w:tr>
      <w:tr w:rsidR="00B60519" w:rsidRPr="00687DE8" w14:paraId="4FDA10B3"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7713442D"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Transuretraalne tsüstolitotripsia</w:t>
            </w:r>
          </w:p>
        </w:tc>
        <w:tc>
          <w:tcPr>
            <w:tcW w:w="1134" w:type="dxa"/>
            <w:tcBorders>
              <w:top w:val="nil"/>
              <w:left w:val="nil"/>
              <w:bottom w:val="single" w:sz="4" w:space="0" w:color="auto"/>
              <w:right w:val="single" w:sz="4" w:space="0" w:color="auto"/>
            </w:tcBorders>
            <w:noWrap/>
            <w:vAlign w:val="bottom"/>
            <w:hideMark/>
          </w:tcPr>
          <w:p w14:paraId="392B5C99"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1K2119</w:t>
            </w:r>
          </w:p>
        </w:tc>
        <w:tc>
          <w:tcPr>
            <w:tcW w:w="1700" w:type="dxa"/>
            <w:tcBorders>
              <w:top w:val="nil"/>
              <w:left w:val="single" w:sz="4" w:space="0" w:color="auto"/>
              <w:bottom w:val="single" w:sz="4" w:space="0" w:color="auto"/>
              <w:right w:val="single" w:sz="4" w:space="0" w:color="auto"/>
            </w:tcBorders>
            <w:noWrap/>
            <w:vAlign w:val="center"/>
            <w:hideMark/>
          </w:tcPr>
          <w:p w14:paraId="5D7CBF1C" w14:textId="282AD3A4" w:rsidR="5B0AD44B" w:rsidRPr="00687DE8" w:rsidRDefault="00BC43C3">
            <w:pPr>
              <w:spacing w:after="0"/>
              <w:jc w:val="center"/>
              <w:rPr>
                <w:color w:val="000000" w:themeColor="text1"/>
                <w:szCs w:val="24"/>
              </w:rPr>
            </w:pPr>
            <w:r>
              <w:rPr>
                <w:color w:val="000000"/>
              </w:rPr>
              <w:t>677,53</w:t>
            </w:r>
          </w:p>
        </w:tc>
      </w:tr>
      <w:tr w:rsidR="00B60519" w:rsidRPr="00687DE8" w14:paraId="1C291A6E"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7BBF881A"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tsüstolitotripsia</w:t>
            </w:r>
          </w:p>
        </w:tc>
        <w:tc>
          <w:tcPr>
            <w:tcW w:w="1134" w:type="dxa"/>
            <w:tcBorders>
              <w:top w:val="nil"/>
              <w:left w:val="nil"/>
              <w:bottom w:val="single" w:sz="4" w:space="0" w:color="auto"/>
              <w:right w:val="single" w:sz="4" w:space="0" w:color="auto"/>
            </w:tcBorders>
            <w:noWrap/>
            <w:vAlign w:val="bottom"/>
            <w:hideMark/>
          </w:tcPr>
          <w:p w14:paraId="7DD54EEB"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1K2235</w:t>
            </w:r>
          </w:p>
        </w:tc>
        <w:tc>
          <w:tcPr>
            <w:tcW w:w="1700" w:type="dxa"/>
            <w:tcBorders>
              <w:top w:val="nil"/>
              <w:left w:val="single" w:sz="4" w:space="0" w:color="auto"/>
              <w:bottom w:val="single" w:sz="4" w:space="0" w:color="auto"/>
              <w:right w:val="single" w:sz="4" w:space="0" w:color="auto"/>
            </w:tcBorders>
            <w:noWrap/>
            <w:vAlign w:val="center"/>
            <w:hideMark/>
          </w:tcPr>
          <w:p w14:paraId="51FAFEC8" w14:textId="0E05F241" w:rsidR="5B0AD44B" w:rsidRPr="00687DE8" w:rsidRDefault="00BC43C3">
            <w:pPr>
              <w:spacing w:after="0"/>
              <w:jc w:val="center"/>
              <w:rPr>
                <w:color w:val="000000" w:themeColor="text1"/>
                <w:szCs w:val="24"/>
              </w:rPr>
            </w:pPr>
            <w:r>
              <w:rPr>
                <w:color w:val="000000"/>
              </w:rPr>
              <w:t>779,51</w:t>
            </w:r>
          </w:p>
        </w:tc>
      </w:tr>
      <w:tr w:rsidR="00B60519" w:rsidRPr="00687DE8" w14:paraId="1A502766" w14:textId="77777777" w:rsidTr="001B10F9">
        <w:trPr>
          <w:divId w:val="1316184749"/>
          <w:trHeight w:val="335"/>
        </w:trPr>
        <w:tc>
          <w:tcPr>
            <w:tcW w:w="6517" w:type="dxa"/>
            <w:tcBorders>
              <w:top w:val="nil"/>
              <w:left w:val="single" w:sz="4" w:space="0" w:color="auto"/>
              <w:bottom w:val="single" w:sz="4" w:space="0" w:color="auto"/>
              <w:right w:val="single" w:sz="4" w:space="0" w:color="auto"/>
            </w:tcBorders>
            <w:vAlign w:val="bottom"/>
            <w:hideMark/>
          </w:tcPr>
          <w:p w14:paraId="6FE7A33B"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vaagnaelundite evistseratsioon</w:t>
            </w:r>
          </w:p>
        </w:tc>
        <w:tc>
          <w:tcPr>
            <w:tcW w:w="1134" w:type="dxa"/>
            <w:tcBorders>
              <w:top w:val="nil"/>
              <w:left w:val="nil"/>
              <w:bottom w:val="single" w:sz="4" w:space="0" w:color="auto"/>
              <w:right w:val="single" w:sz="4" w:space="0" w:color="auto"/>
            </w:tcBorders>
            <w:noWrap/>
            <w:vAlign w:val="bottom"/>
            <w:hideMark/>
          </w:tcPr>
          <w:p w14:paraId="246E1442"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1K2220</w:t>
            </w:r>
          </w:p>
        </w:tc>
        <w:tc>
          <w:tcPr>
            <w:tcW w:w="1700" w:type="dxa"/>
            <w:tcBorders>
              <w:top w:val="nil"/>
              <w:left w:val="single" w:sz="4" w:space="0" w:color="auto"/>
              <w:bottom w:val="single" w:sz="4" w:space="0" w:color="auto"/>
              <w:right w:val="single" w:sz="4" w:space="0" w:color="auto"/>
            </w:tcBorders>
            <w:noWrap/>
            <w:vAlign w:val="center"/>
            <w:hideMark/>
          </w:tcPr>
          <w:p w14:paraId="3BE08A00" w14:textId="152B5985" w:rsidR="5B0AD44B" w:rsidRPr="00687DE8" w:rsidRDefault="00BC43C3">
            <w:pPr>
              <w:spacing w:after="0"/>
              <w:jc w:val="center"/>
              <w:rPr>
                <w:color w:val="000000" w:themeColor="text1"/>
                <w:szCs w:val="24"/>
              </w:rPr>
            </w:pPr>
            <w:r>
              <w:rPr>
                <w:color w:val="000000"/>
              </w:rPr>
              <w:t>2 367,51</w:t>
            </w:r>
          </w:p>
        </w:tc>
      </w:tr>
      <w:tr w:rsidR="00B60519" w:rsidRPr="00687DE8" w14:paraId="4506B790" w14:textId="77777777" w:rsidTr="001B10F9">
        <w:trPr>
          <w:divId w:val="1316184749"/>
          <w:trHeight w:val="630"/>
        </w:trPr>
        <w:tc>
          <w:tcPr>
            <w:tcW w:w="6517" w:type="dxa"/>
            <w:tcBorders>
              <w:top w:val="nil"/>
              <w:left w:val="single" w:sz="4" w:space="0" w:color="auto"/>
              <w:bottom w:val="single" w:sz="4" w:space="0" w:color="auto"/>
              <w:right w:val="single" w:sz="4" w:space="0" w:color="auto"/>
            </w:tcBorders>
            <w:vAlign w:val="bottom"/>
            <w:hideMark/>
          </w:tcPr>
          <w:p w14:paraId="10042FC7"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vaagnaelundite eesmine või tagumine eksenteratsioon</w:t>
            </w:r>
          </w:p>
        </w:tc>
        <w:tc>
          <w:tcPr>
            <w:tcW w:w="1134" w:type="dxa"/>
            <w:tcBorders>
              <w:top w:val="nil"/>
              <w:left w:val="nil"/>
              <w:bottom w:val="single" w:sz="4" w:space="0" w:color="auto"/>
              <w:right w:val="single" w:sz="4" w:space="0" w:color="auto"/>
            </w:tcBorders>
            <w:noWrap/>
            <w:vAlign w:val="bottom"/>
            <w:hideMark/>
          </w:tcPr>
          <w:p w14:paraId="0BA98FDB"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1K2236</w:t>
            </w:r>
          </w:p>
        </w:tc>
        <w:tc>
          <w:tcPr>
            <w:tcW w:w="1700" w:type="dxa"/>
            <w:tcBorders>
              <w:top w:val="nil"/>
              <w:left w:val="single" w:sz="4" w:space="0" w:color="auto"/>
              <w:bottom w:val="single" w:sz="4" w:space="0" w:color="auto"/>
              <w:right w:val="single" w:sz="4" w:space="0" w:color="auto"/>
            </w:tcBorders>
            <w:noWrap/>
            <w:vAlign w:val="center"/>
            <w:hideMark/>
          </w:tcPr>
          <w:p w14:paraId="73066597" w14:textId="3B15F5BE" w:rsidR="5B0AD44B" w:rsidRPr="00687DE8" w:rsidRDefault="00BC43C3">
            <w:pPr>
              <w:spacing w:after="0"/>
              <w:jc w:val="center"/>
              <w:rPr>
                <w:color w:val="000000" w:themeColor="text1"/>
                <w:szCs w:val="24"/>
              </w:rPr>
            </w:pPr>
            <w:r>
              <w:rPr>
                <w:color w:val="000000"/>
              </w:rPr>
              <w:t>2 049,38</w:t>
            </w:r>
          </w:p>
        </w:tc>
      </w:tr>
      <w:tr w:rsidR="00B60519" w:rsidRPr="00687DE8" w14:paraId="7DA7AD89"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2DBCD753"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Uriiniderivatsioon tsüstektoomiata</w:t>
            </w:r>
          </w:p>
        </w:tc>
        <w:tc>
          <w:tcPr>
            <w:tcW w:w="1134" w:type="dxa"/>
            <w:tcBorders>
              <w:top w:val="nil"/>
              <w:left w:val="nil"/>
              <w:bottom w:val="single" w:sz="4" w:space="0" w:color="auto"/>
              <w:right w:val="single" w:sz="4" w:space="0" w:color="auto"/>
            </w:tcBorders>
            <w:noWrap/>
            <w:vAlign w:val="bottom"/>
            <w:hideMark/>
          </w:tcPr>
          <w:p w14:paraId="409D449F"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1K2121</w:t>
            </w:r>
          </w:p>
        </w:tc>
        <w:tc>
          <w:tcPr>
            <w:tcW w:w="1700" w:type="dxa"/>
            <w:tcBorders>
              <w:top w:val="nil"/>
              <w:left w:val="single" w:sz="4" w:space="0" w:color="auto"/>
              <w:bottom w:val="single" w:sz="4" w:space="0" w:color="auto"/>
              <w:right w:val="single" w:sz="4" w:space="0" w:color="auto"/>
            </w:tcBorders>
            <w:noWrap/>
            <w:vAlign w:val="center"/>
            <w:hideMark/>
          </w:tcPr>
          <w:p w14:paraId="0EE28799" w14:textId="54815D3A" w:rsidR="5B0AD44B" w:rsidRPr="00687DE8" w:rsidRDefault="00BC43C3">
            <w:pPr>
              <w:spacing w:after="0"/>
              <w:jc w:val="center"/>
              <w:rPr>
                <w:color w:val="000000" w:themeColor="text1"/>
                <w:szCs w:val="24"/>
              </w:rPr>
            </w:pPr>
            <w:r>
              <w:rPr>
                <w:color w:val="000000"/>
              </w:rPr>
              <w:t>1 943,96</w:t>
            </w:r>
          </w:p>
        </w:tc>
      </w:tr>
      <w:tr w:rsidR="00B60519" w:rsidRPr="00687DE8" w14:paraId="7BC4BC6A" w14:textId="77777777" w:rsidTr="001B10F9">
        <w:trPr>
          <w:divId w:val="1316184749"/>
          <w:trHeight w:val="296"/>
        </w:trPr>
        <w:tc>
          <w:tcPr>
            <w:tcW w:w="6517" w:type="dxa"/>
            <w:tcBorders>
              <w:top w:val="nil"/>
              <w:left w:val="single" w:sz="4" w:space="0" w:color="auto"/>
              <w:bottom w:val="single" w:sz="4" w:space="0" w:color="auto"/>
              <w:right w:val="single" w:sz="4" w:space="0" w:color="auto"/>
            </w:tcBorders>
            <w:vAlign w:val="bottom"/>
            <w:hideMark/>
          </w:tcPr>
          <w:p w14:paraId="24B94D0B"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uriiniderivatsioon tsüstektoomiata</w:t>
            </w:r>
          </w:p>
        </w:tc>
        <w:tc>
          <w:tcPr>
            <w:tcW w:w="1134" w:type="dxa"/>
            <w:tcBorders>
              <w:top w:val="nil"/>
              <w:left w:val="nil"/>
              <w:bottom w:val="single" w:sz="4" w:space="0" w:color="auto"/>
              <w:right w:val="single" w:sz="4" w:space="0" w:color="auto"/>
            </w:tcBorders>
            <w:noWrap/>
            <w:vAlign w:val="bottom"/>
            <w:hideMark/>
          </w:tcPr>
          <w:p w14:paraId="73CD649A"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1K2221</w:t>
            </w:r>
          </w:p>
        </w:tc>
        <w:tc>
          <w:tcPr>
            <w:tcW w:w="1700" w:type="dxa"/>
            <w:tcBorders>
              <w:top w:val="nil"/>
              <w:left w:val="single" w:sz="4" w:space="0" w:color="auto"/>
              <w:bottom w:val="single" w:sz="4" w:space="0" w:color="auto"/>
              <w:right w:val="single" w:sz="4" w:space="0" w:color="auto"/>
            </w:tcBorders>
            <w:noWrap/>
            <w:vAlign w:val="center"/>
            <w:hideMark/>
          </w:tcPr>
          <w:p w14:paraId="4997997C" w14:textId="01E266CC" w:rsidR="5B0AD44B" w:rsidRPr="00687DE8" w:rsidRDefault="00BC43C3">
            <w:pPr>
              <w:spacing w:after="0"/>
              <w:jc w:val="center"/>
              <w:rPr>
                <w:color w:val="000000" w:themeColor="text1"/>
                <w:szCs w:val="24"/>
              </w:rPr>
            </w:pPr>
            <w:r>
              <w:rPr>
                <w:color w:val="000000"/>
              </w:rPr>
              <w:t>2 253,74</w:t>
            </w:r>
          </w:p>
        </w:tc>
      </w:tr>
      <w:tr w:rsidR="00B60519" w:rsidRPr="00687DE8" w14:paraId="48E9DF5F" w14:textId="77777777" w:rsidTr="001B10F9">
        <w:trPr>
          <w:divId w:val="1316184749"/>
          <w:trHeight w:val="287"/>
        </w:trPr>
        <w:tc>
          <w:tcPr>
            <w:tcW w:w="6517" w:type="dxa"/>
            <w:tcBorders>
              <w:top w:val="nil"/>
              <w:left w:val="single" w:sz="4" w:space="0" w:color="auto"/>
              <w:bottom w:val="single" w:sz="4" w:space="0" w:color="auto"/>
              <w:right w:val="single" w:sz="4" w:space="0" w:color="auto"/>
            </w:tcBorders>
            <w:vAlign w:val="bottom"/>
            <w:hideMark/>
          </w:tcPr>
          <w:p w14:paraId="457D3108"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Tsüstektoomia peensoolejuha urostoomi moodustamisega</w:t>
            </w:r>
          </w:p>
        </w:tc>
        <w:tc>
          <w:tcPr>
            <w:tcW w:w="1134" w:type="dxa"/>
            <w:tcBorders>
              <w:top w:val="nil"/>
              <w:left w:val="nil"/>
              <w:bottom w:val="single" w:sz="4" w:space="0" w:color="auto"/>
              <w:right w:val="single" w:sz="4" w:space="0" w:color="auto"/>
            </w:tcBorders>
            <w:noWrap/>
            <w:vAlign w:val="bottom"/>
            <w:hideMark/>
          </w:tcPr>
          <w:p w14:paraId="6ECEE9ED"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1K2122</w:t>
            </w:r>
          </w:p>
        </w:tc>
        <w:tc>
          <w:tcPr>
            <w:tcW w:w="1700" w:type="dxa"/>
            <w:tcBorders>
              <w:top w:val="nil"/>
              <w:left w:val="single" w:sz="4" w:space="0" w:color="auto"/>
              <w:bottom w:val="single" w:sz="4" w:space="0" w:color="auto"/>
              <w:right w:val="single" w:sz="4" w:space="0" w:color="auto"/>
            </w:tcBorders>
            <w:noWrap/>
            <w:vAlign w:val="center"/>
            <w:hideMark/>
          </w:tcPr>
          <w:p w14:paraId="1EA757CF" w14:textId="658E42B9" w:rsidR="5B0AD44B" w:rsidRPr="00687DE8" w:rsidRDefault="00BC43C3">
            <w:pPr>
              <w:spacing w:after="0"/>
              <w:jc w:val="center"/>
              <w:rPr>
                <w:color w:val="000000" w:themeColor="text1"/>
                <w:szCs w:val="24"/>
              </w:rPr>
            </w:pPr>
            <w:r>
              <w:rPr>
                <w:color w:val="000000"/>
              </w:rPr>
              <w:t>2 570,74</w:t>
            </w:r>
          </w:p>
        </w:tc>
      </w:tr>
      <w:tr w:rsidR="00B60519" w:rsidRPr="00687DE8" w14:paraId="49F04C00" w14:textId="77777777" w:rsidTr="001B10F9">
        <w:trPr>
          <w:divId w:val="1316184749"/>
          <w:trHeight w:val="546"/>
        </w:trPr>
        <w:tc>
          <w:tcPr>
            <w:tcW w:w="6517" w:type="dxa"/>
            <w:tcBorders>
              <w:top w:val="nil"/>
              <w:left w:val="single" w:sz="4" w:space="0" w:color="auto"/>
              <w:bottom w:val="single" w:sz="4" w:space="0" w:color="auto"/>
              <w:right w:val="single" w:sz="4" w:space="0" w:color="auto"/>
            </w:tcBorders>
            <w:vAlign w:val="bottom"/>
            <w:hideMark/>
          </w:tcPr>
          <w:p w14:paraId="4F2B1FDE"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tsüstektoomia peensoolejuha urostoomi moodustamisega</w:t>
            </w:r>
          </w:p>
        </w:tc>
        <w:tc>
          <w:tcPr>
            <w:tcW w:w="1134" w:type="dxa"/>
            <w:tcBorders>
              <w:top w:val="nil"/>
              <w:left w:val="nil"/>
              <w:bottom w:val="single" w:sz="4" w:space="0" w:color="auto"/>
              <w:right w:val="single" w:sz="4" w:space="0" w:color="auto"/>
            </w:tcBorders>
            <w:noWrap/>
            <w:vAlign w:val="bottom"/>
            <w:hideMark/>
          </w:tcPr>
          <w:p w14:paraId="4472781E"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1K2222</w:t>
            </w:r>
          </w:p>
        </w:tc>
        <w:tc>
          <w:tcPr>
            <w:tcW w:w="1700" w:type="dxa"/>
            <w:tcBorders>
              <w:top w:val="nil"/>
              <w:left w:val="single" w:sz="4" w:space="0" w:color="auto"/>
              <w:bottom w:val="single" w:sz="4" w:space="0" w:color="auto"/>
              <w:right w:val="single" w:sz="4" w:space="0" w:color="auto"/>
            </w:tcBorders>
            <w:noWrap/>
            <w:vAlign w:val="center"/>
            <w:hideMark/>
          </w:tcPr>
          <w:p w14:paraId="13552BD6" w14:textId="1DA2B044" w:rsidR="5B0AD44B" w:rsidRPr="00687DE8" w:rsidRDefault="00BC43C3">
            <w:pPr>
              <w:spacing w:after="0"/>
              <w:jc w:val="center"/>
              <w:rPr>
                <w:color w:val="000000" w:themeColor="text1"/>
                <w:szCs w:val="24"/>
              </w:rPr>
            </w:pPr>
            <w:r>
              <w:rPr>
                <w:color w:val="000000"/>
              </w:rPr>
              <w:t>2 916,51</w:t>
            </w:r>
          </w:p>
        </w:tc>
      </w:tr>
      <w:tr w:rsidR="00B60519" w:rsidRPr="00687DE8" w14:paraId="41EC1C60" w14:textId="77777777" w:rsidTr="001B10F9">
        <w:trPr>
          <w:divId w:val="1316184749"/>
          <w:trHeight w:val="696"/>
        </w:trPr>
        <w:tc>
          <w:tcPr>
            <w:tcW w:w="6517" w:type="dxa"/>
            <w:tcBorders>
              <w:top w:val="nil"/>
              <w:left w:val="single" w:sz="4" w:space="0" w:color="auto"/>
              <w:bottom w:val="single" w:sz="4" w:space="0" w:color="auto"/>
              <w:right w:val="single" w:sz="4" w:space="0" w:color="auto"/>
            </w:tcBorders>
            <w:vAlign w:val="bottom"/>
            <w:hideMark/>
          </w:tcPr>
          <w:p w14:paraId="22A0685B"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Tsüstektoomia uriinireservuaari moodustamise või põieasendusoperatsiooniga</w:t>
            </w:r>
          </w:p>
        </w:tc>
        <w:tc>
          <w:tcPr>
            <w:tcW w:w="1134" w:type="dxa"/>
            <w:tcBorders>
              <w:top w:val="nil"/>
              <w:left w:val="nil"/>
              <w:bottom w:val="single" w:sz="4" w:space="0" w:color="auto"/>
              <w:right w:val="single" w:sz="4" w:space="0" w:color="auto"/>
            </w:tcBorders>
            <w:noWrap/>
            <w:vAlign w:val="bottom"/>
            <w:hideMark/>
          </w:tcPr>
          <w:p w14:paraId="7ED0220D"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1K2123</w:t>
            </w:r>
          </w:p>
        </w:tc>
        <w:tc>
          <w:tcPr>
            <w:tcW w:w="1700" w:type="dxa"/>
            <w:tcBorders>
              <w:top w:val="nil"/>
              <w:left w:val="single" w:sz="4" w:space="0" w:color="auto"/>
              <w:bottom w:val="single" w:sz="4" w:space="0" w:color="auto"/>
              <w:right w:val="single" w:sz="4" w:space="0" w:color="auto"/>
            </w:tcBorders>
            <w:noWrap/>
            <w:vAlign w:val="center"/>
            <w:hideMark/>
          </w:tcPr>
          <w:p w14:paraId="59E12BBA" w14:textId="0550F141" w:rsidR="5B0AD44B" w:rsidRPr="00687DE8" w:rsidRDefault="00BC43C3">
            <w:pPr>
              <w:spacing w:after="0"/>
              <w:jc w:val="center"/>
              <w:rPr>
                <w:color w:val="000000" w:themeColor="text1"/>
                <w:szCs w:val="24"/>
              </w:rPr>
            </w:pPr>
            <w:r>
              <w:rPr>
                <w:color w:val="000000"/>
              </w:rPr>
              <w:t>3 721,42</w:t>
            </w:r>
          </w:p>
        </w:tc>
      </w:tr>
      <w:tr w:rsidR="00B60519" w:rsidRPr="00687DE8" w14:paraId="4F927267" w14:textId="77777777" w:rsidTr="00EB7A71">
        <w:trPr>
          <w:divId w:val="1316184749"/>
          <w:trHeight w:val="778"/>
        </w:trPr>
        <w:tc>
          <w:tcPr>
            <w:tcW w:w="6517" w:type="dxa"/>
            <w:tcBorders>
              <w:top w:val="nil"/>
              <w:left w:val="single" w:sz="4" w:space="0" w:color="auto"/>
              <w:bottom w:val="single" w:sz="4" w:space="0" w:color="auto"/>
              <w:right w:val="single" w:sz="4" w:space="0" w:color="auto"/>
            </w:tcBorders>
            <w:vAlign w:val="bottom"/>
            <w:hideMark/>
          </w:tcPr>
          <w:p w14:paraId="1A0975AE"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tsüstektoomia uriinireservuaari moodustamise või põieasendusoperatsiooniga</w:t>
            </w:r>
          </w:p>
        </w:tc>
        <w:tc>
          <w:tcPr>
            <w:tcW w:w="1134" w:type="dxa"/>
            <w:tcBorders>
              <w:top w:val="nil"/>
              <w:left w:val="nil"/>
              <w:bottom w:val="single" w:sz="4" w:space="0" w:color="auto"/>
              <w:right w:val="single" w:sz="4" w:space="0" w:color="auto"/>
            </w:tcBorders>
            <w:noWrap/>
            <w:vAlign w:val="bottom"/>
            <w:hideMark/>
          </w:tcPr>
          <w:p w14:paraId="77F44FC7"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1K2223</w:t>
            </w:r>
          </w:p>
        </w:tc>
        <w:tc>
          <w:tcPr>
            <w:tcW w:w="1700" w:type="dxa"/>
            <w:tcBorders>
              <w:top w:val="nil"/>
              <w:left w:val="single" w:sz="4" w:space="0" w:color="auto"/>
              <w:bottom w:val="single" w:sz="4" w:space="0" w:color="auto"/>
              <w:right w:val="single" w:sz="4" w:space="0" w:color="auto"/>
            </w:tcBorders>
            <w:noWrap/>
            <w:vAlign w:val="center"/>
            <w:hideMark/>
          </w:tcPr>
          <w:p w14:paraId="2AED1BD7" w14:textId="0D440835" w:rsidR="5B0AD44B" w:rsidRPr="00687DE8" w:rsidRDefault="00BC43C3">
            <w:pPr>
              <w:spacing w:after="0"/>
              <w:jc w:val="center"/>
              <w:rPr>
                <w:color w:val="000000" w:themeColor="text1"/>
                <w:szCs w:val="24"/>
              </w:rPr>
            </w:pPr>
            <w:r>
              <w:rPr>
                <w:color w:val="000000"/>
              </w:rPr>
              <w:t>3 579,28</w:t>
            </w:r>
          </w:p>
        </w:tc>
      </w:tr>
      <w:tr w:rsidR="00B60519" w:rsidRPr="00687DE8" w14:paraId="58AC180E" w14:textId="77777777" w:rsidTr="001B10F9">
        <w:trPr>
          <w:divId w:val="1316184749"/>
          <w:trHeight w:val="352"/>
        </w:trPr>
        <w:tc>
          <w:tcPr>
            <w:tcW w:w="6517" w:type="dxa"/>
            <w:tcBorders>
              <w:top w:val="nil"/>
              <w:left w:val="single" w:sz="4" w:space="0" w:color="auto"/>
              <w:bottom w:val="single" w:sz="4" w:space="0" w:color="auto"/>
              <w:right w:val="single" w:sz="4" w:space="0" w:color="auto"/>
            </w:tcBorders>
            <w:vAlign w:val="bottom"/>
            <w:hideMark/>
          </w:tcPr>
          <w:p w14:paraId="403BB7C1"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Uriiniderivatsiooni tüsistuste korrektsioon, kordusplastika</w:t>
            </w:r>
          </w:p>
        </w:tc>
        <w:tc>
          <w:tcPr>
            <w:tcW w:w="1134" w:type="dxa"/>
            <w:tcBorders>
              <w:top w:val="nil"/>
              <w:left w:val="nil"/>
              <w:bottom w:val="single" w:sz="4" w:space="0" w:color="auto"/>
              <w:right w:val="single" w:sz="4" w:space="0" w:color="auto"/>
            </w:tcBorders>
            <w:noWrap/>
            <w:vAlign w:val="bottom"/>
            <w:hideMark/>
          </w:tcPr>
          <w:p w14:paraId="4E0534E3"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1K2124</w:t>
            </w:r>
          </w:p>
        </w:tc>
        <w:tc>
          <w:tcPr>
            <w:tcW w:w="1700" w:type="dxa"/>
            <w:tcBorders>
              <w:top w:val="nil"/>
              <w:left w:val="single" w:sz="4" w:space="0" w:color="auto"/>
              <w:bottom w:val="single" w:sz="4" w:space="0" w:color="auto"/>
              <w:right w:val="single" w:sz="4" w:space="0" w:color="auto"/>
            </w:tcBorders>
            <w:noWrap/>
            <w:vAlign w:val="center"/>
            <w:hideMark/>
          </w:tcPr>
          <w:p w14:paraId="7532490B" w14:textId="05FB9892" w:rsidR="5B0AD44B" w:rsidRPr="00687DE8" w:rsidRDefault="00BC43C3">
            <w:pPr>
              <w:spacing w:after="0"/>
              <w:jc w:val="center"/>
              <w:rPr>
                <w:color w:val="000000" w:themeColor="text1"/>
                <w:szCs w:val="24"/>
              </w:rPr>
            </w:pPr>
            <w:r>
              <w:rPr>
                <w:color w:val="000000"/>
              </w:rPr>
              <w:t>1 993,78</w:t>
            </w:r>
          </w:p>
        </w:tc>
      </w:tr>
      <w:tr w:rsidR="00B60519" w:rsidRPr="00687DE8" w14:paraId="55D3C735" w14:textId="77777777" w:rsidTr="001B10F9">
        <w:trPr>
          <w:divId w:val="1316184749"/>
          <w:trHeight w:val="569"/>
        </w:trPr>
        <w:tc>
          <w:tcPr>
            <w:tcW w:w="6517" w:type="dxa"/>
            <w:tcBorders>
              <w:top w:val="nil"/>
              <w:left w:val="single" w:sz="4" w:space="0" w:color="auto"/>
              <w:bottom w:val="single" w:sz="4" w:space="0" w:color="auto"/>
              <w:right w:val="single" w:sz="4" w:space="0" w:color="auto"/>
            </w:tcBorders>
            <w:vAlign w:val="bottom"/>
            <w:hideMark/>
          </w:tcPr>
          <w:p w14:paraId="5D23AFB8"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Eesnäärme transuretraalne resektsioon (TURP) või enukleatsioon (TUEP) või põiekaela intsisioon (TUIP)</w:t>
            </w:r>
          </w:p>
        </w:tc>
        <w:tc>
          <w:tcPr>
            <w:tcW w:w="1134" w:type="dxa"/>
            <w:tcBorders>
              <w:top w:val="nil"/>
              <w:left w:val="nil"/>
              <w:bottom w:val="single" w:sz="4" w:space="0" w:color="auto"/>
              <w:right w:val="single" w:sz="4" w:space="0" w:color="auto"/>
            </w:tcBorders>
            <w:noWrap/>
            <w:vAlign w:val="bottom"/>
            <w:hideMark/>
          </w:tcPr>
          <w:p w14:paraId="3D190F7E"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1K2125</w:t>
            </w:r>
          </w:p>
        </w:tc>
        <w:tc>
          <w:tcPr>
            <w:tcW w:w="1700" w:type="dxa"/>
            <w:tcBorders>
              <w:top w:val="nil"/>
              <w:left w:val="single" w:sz="4" w:space="0" w:color="auto"/>
              <w:bottom w:val="single" w:sz="4" w:space="0" w:color="auto"/>
              <w:right w:val="single" w:sz="4" w:space="0" w:color="auto"/>
            </w:tcBorders>
            <w:noWrap/>
            <w:vAlign w:val="center"/>
            <w:hideMark/>
          </w:tcPr>
          <w:p w14:paraId="3272965E" w14:textId="2018DF2D" w:rsidR="5B0AD44B" w:rsidRPr="00687DE8" w:rsidRDefault="00BC43C3">
            <w:pPr>
              <w:spacing w:after="0"/>
              <w:jc w:val="center"/>
              <w:rPr>
                <w:color w:val="000000" w:themeColor="text1"/>
                <w:szCs w:val="24"/>
              </w:rPr>
            </w:pPr>
            <w:r>
              <w:rPr>
                <w:color w:val="000000"/>
              </w:rPr>
              <w:t>863,34</w:t>
            </w:r>
          </w:p>
        </w:tc>
      </w:tr>
      <w:tr w:rsidR="00B60519" w:rsidRPr="00687DE8" w14:paraId="2F0790ED"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388E0CCD"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Eesnäärme adenomektoomia</w:t>
            </w:r>
          </w:p>
        </w:tc>
        <w:tc>
          <w:tcPr>
            <w:tcW w:w="1134" w:type="dxa"/>
            <w:tcBorders>
              <w:top w:val="nil"/>
              <w:left w:val="nil"/>
              <w:bottom w:val="single" w:sz="4" w:space="0" w:color="auto"/>
              <w:right w:val="single" w:sz="4" w:space="0" w:color="auto"/>
            </w:tcBorders>
            <w:noWrap/>
            <w:vAlign w:val="bottom"/>
            <w:hideMark/>
          </w:tcPr>
          <w:p w14:paraId="3C8DF86D"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1K2126</w:t>
            </w:r>
          </w:p>
        </w:tc>
        <w:tc>
          <w:tcPr>
            <w:tcW w:w="1700" w:type="dxa"/>
            <w:tcBorders>
              <w:top w:val="nil"/>
              <w:left w:val="single" w:sz="4" w:space="0" w:color="auto"/>
              <w:bottom w:val="single" w:sz="4" w:space="0" w:color="auto"/>
              <w:right w:val="single" w:sz="4" w:space="0" w:color="auto"/>
            </w:tcBorders>
            <w:noWrap/>
            <w:vAlign w:val="center"/>
            <w:hideMark/>
          </w:tcPr>
          <w:p w14:paraId="006184A9" w14:textId="7536756B" w:rsidR="5B0AD44B" w:rsidRPr="00687DE8" w:rsidRDefault="00BC43C3">
            <w:pPr>
              <w:spacing w:after="0"/>
              <w:jc w:val="center"/>
              <w:rPr>
                <w:color w:val="000000" w:themeColor="text1"/>
                <w:szCs w:val="24"/>
              </w:rPr>
            </w:pPr>
            <w:r>
              <w:rPr>
                <w:color w:val="000000"/>
              </w:rPr>
              <w:t>1 041,72</w:t>
            </w:r>
          </w:p>
        </w:tc>
      </w:tr>
      <w:tr w:rsidR="00B60519" w:rsidRPr="00687DE8" w14:paraId="5ED1A2E9" w14:textId="77777777" w:rsidTr="001B10F9">
        <w:trPr>
          <w:divId w:val="1316184749"/>
          <w:trHeight w:val="341"/>
        </w:trPr>
        <w:tc>
          <w:tcPr>
            <w:tcW w:w="6517" w:type="dxa"/>
            <w:tcBorders>
              <w:top w:val="nil"/>
              <w:left w:val="single" w:sz="4" w:space="0" w:color="auto"/>
              <w:bottom w:val="single" w:sz="4" w:space="0" w:color="auto"/>
              <w:right w:val="single" w:sz="4" w:space="0" w:color="auto"/>
            </w:tcBorders>
            <w:vAlign w:val="bottom"/>
            <w:hideMark/>
          </w:tcPr>
          <w:p w14:paraId="504FAE89"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eesnäärme adenomektoomia</w:t>
            </w:r>
          </w:p>
        </w:tc>
        <w:tc>
          <w:tcPr>
            <w:tcW w:w="1134" w:type="dxa"/>
            <w:tcBorders>
              <w:top w:val="nil"/>
              <w:left w:val="nil"/>
              <w:bottom w:val="single" w:sz="4" w:space="0" w:color="auto"/>
              <w:right w:val="single" w:sz="4" w:space="0" w:color="auto"/>
            </w:tcBorders>
            <w:noWrap/>
            <w:vAlign w:val="bottom"/>
            <w:hideMark/>
          </w:tcPr>
          <w:p w14:paraId="1BE7A0D4"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1K2226</w:t>
            </w:r>
          </w:p>
        </w:tc>
        <w:tc>
          <w:tcPr>
            <w:tcW w:w="1700" w:type="dxa"/>
            <w:tcBorders>
              <w:top w:val="nil"/>
              <w:left w:val="single" w:sz="4" w:space="0" w:color="auto"/>
              <w:bottom w:val="single" w:sz="4" w:space="0" w:color="auto"/>
              <w:right w:val="single" w:sz="4" w:space="0" w:color="auto"/>
            </w:tcBorders>
            <w:noWrap/>
            <w:vAlign w:val="center"/>
            <w:hideMark/>
          </w:tcPr>
          <w:p w14:paraId="03BB30F3" w14:textId="4543934A" w:rsidR="5B0AD44B" w:rsidRPr="00687DE8" w:rsidRDefault="00BC43C3">
            <w:pPr>
              <w:spacing w:after="0"/>
              <w:jc w:val="center"/>
              <w:rPr>
                <w:color w:val="000000" w:themeColor="text1"/>
                <w:szCs w:val="24"/>
              </w:rPr>
            </w:pPr>
            <w:r>
              <w:rPr>
                <w:color w:val="000000"/>
              </w:rPr>
              <w:t>1 450,61</w:t>
            </w:r>
          </w:p>
        </w:tc>
      </w:tr>
      <w:tr w:rsidR="00B60519" w:rsidRPr="00687DE8" w14:paraId="47A3E97A"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2B639A97"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Radikaalne prostatektoomia</w:t>
            </w:r>
          </w:p>
        </w:tc>
        <w:tc>
          <w:tcPr>
            <w:tcW w:w="1134" w:type="dxa"/>
            <w:tcBorders>
              <w:top w:val="nil"/>
              <w:left w:val="nil"/>
              <w:bottom w:val="single" w:sz="4" w:space="0" w:color="auto"/>
              <w:right w:val="single" w:sz="4" w:space="0" w:color="auto"/>
            </w:tcBorders>
            <w:noWrap/>
            <w:vAlign w:val="bottom"/>
            <w:hideMark/>
          </w:tcPr>
          <w:p w14:paraId="272E5372"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1K2127</w:t>
            </w:r>
          </w:p>
        </w:tc>
        <w:tc>
          <w:tcPr>
            <w:tcW w:w="1700" w:type="dxa"/>
            <w:tcBorders>
              <w:top w:val="nil"/>
              <w:left w:val="single" w:sz="4" w:space="0" w:color="auto"/>
              <w:bottom w:val="single" w:sz="4" w:space="0" w:color="auto"/>
              <w:right w:val="single" w:sz="4" w:space="0" w:color="auto"/>
            </w:tcBorders>
            <w:noWrap/>
            <w:vAlign w:val="center"/>
            <w:hideMark/>
          </w:tcPr>
          <w:p w14:paraId="47018AB0" w14:textId="4C765CD1" w:rsidR="5CA04BB8" w:rsidRPr="00687DE8" w:rsidRDefault="00BC43C3">
            <w:pPr>
              <w:spacing w:after="0"/>
              <w:jc w:val="center"/>
              <w:rPr>
                <w:color w:val="000000" w:themeColor="text1"/>
                <w:szCs w:val="24"/>
              </w:rPr>
            </w:pPr>
            <w:r>
              <w:rPr>
                <w:color w:val="000000"/>
              </w:rPr>
              <w:t>1 806,92</w:t>
            </w:r>
          </w:p>
        </w:tc>
      </w:tr>
      <w:tr w:rsidR="00B60519" w:rsidRPr="00687DE8" w14:paraId="01DB1152" w14:textId="77777777" w:rsidTr="001B10F9">
        <w:trPr>
          <w:divId w:val="1316184749"/>
          <w:trHeight w:val="379"/>
        </w:trPr>
        <w:tc>
          <w:tcPr>
            <w:tcW w:w="6517" w:type="dxa"/>
            <w:tcBorders>
              <w:top w:val="nil"/>
              <w:left w:val="single" w:sz="4" w:space="0" w:color="auto"/>
              <w:bottom w:val="single" w:sz="4" w:space="0" w:color="auto"/>
              <w:right w:val="single" w:sz="4" w:space="0" w:color="auto"/>
            </w:tcBorders>
            <w:vAlign w:val="bottom"/>
            <w:hideMark/>
          </w:tcPr>
          <w:p w14:paraId="7640D6BE"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radikaalne prostatektoomia</w:t>
            </w:r>
          </w:p>
        </w:tc>
        <w:tc>
          <w:tcPr>
            <w:tcW w:w="1134" w:type="dxa"/>
            <w:tcBorders>
              <w:top w:val="nil"/>
              <w:left w:val="nil"/>
              <w:bottom w:val="single" w:sz="4" w:space="0" w:color="auto"/>
              <w:right w:val="single" w:sz="4" w:space="0" w:color="auto"/>
            </w:tcBorders>
            <w:noWrap/>
            <w:vAlign w:val="bottom"/>
            <w:hideMark/>
          </w:tcPr>
          <w:p w14:paraId="307B26AB"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1K2227</w:t>
            </w:r>
          </w:p>
        </w:tc>
        <w:tc>
          <w:tcPr>
            <w:tcW w:w="1700" w:type="dxa"/>
            <w:tcBorders>
              <w:top w:val="nil"/>
              <w:left w:val="single" w:sz="4" w:space="0" w:color="auto"/>
              <w:bottom w:val="single" w:sz="4" w:space="0" w:color="auto"/>
              <w:right w:val="single" w:sz="4" w:space="0" w:color="auto"/>
            </w:tcBorders>
            <w:noWrap/>
            <w:vAlign w:val="center"/>
            <w:hideMark/>
          </w:tcPr>
          <w:p w14:paraId="5B3FACA5" w14:textId="73D39D15" w:rsidR="5CA04BB8" w:rsidRPr="00687DE8" w:rsidRDefault="00BC43C3">
            <w:pPr>
              <w:spacing w:after="0"/>
              <w:jc w:val="center"/>
              <w:rPr>
                <w:color w:val="000000" w:themeColor="text1"/>
                <w:szCs w:val="24"/>
              </w:rPr>
            </w:pPr>
            <w:r>
              <w:rPr>
                <w:color w:val="000000"/>
              </w:rPr>
              <w:t>3 000,78</w:t>
            </w:r>
          </w:p>
        </w:tc>
      </w:tr>
      <w:tr w:rsidR="00B60519" w:rsidRPr="00687DE8" w14:paraId="47CA494A" w14:textId="77777777" w:rsidTr="001B10F9">
        <w:trPr>
          <w:divId w:val="1316184749"/>
          <w:trHeight w:val="413"/>
        </w:trPr>
        <w:tc>
          <w:tcPr>
            <w:tcW w:w="6517" w:type="dxa"/>
            <w:tcBorders>
              <w:top w:val="nil"/>
              <w:left w:val="single" w:sz="4" w:space="0" w:color="auto"/>
              <w:bottom w:val="single" w:sz="4" w:space="0" w:color="auto"/>
              <w:right w:val="single" w:sz="4" w:space="0" w:color="auto"/>
            </w:tcBorders>
            <w:vAlign w:val="bottom"/>
            <w:hideMark/>
          </w:tcPr>
          <w:p w14:paraId="4C3436DA"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Kusepõie sulgurlihase proteesi või lisamuhvi asetamine</w:t>
            </w:r>
          </w:p>
        </w:tc>
        <w:tc>
          <w:tcPr>
            <w:tcW w:w="1134" w:type="dxa"/>
            <w:tcBorders>
              <w:top w:val="nil"/>
              <w:left w:val="nil"/>
              <w:bottom w:val="single" w:sz="4" w:space="0" w:color="auto"/>
              <w:right w:val="single" w:sz="4" w:space="0" w:color="auto"/>
            </w:tcBorders>
            <w:noWrap/>
            <w:vAlign w:val="bottom"/>
            <w:hideMark/>
          </w:tcPr>
          <w:p w14:paraId="0A292EA7"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1K2128</w:t>
            </w:r>
          </w:p>
        </w:tc>
        <w:tc>
          <w:tcPr>
            <w:tcW w:w="1700" w:type="dxa"/>
            <w:tcBorders>
              <w:top w:val="nil"/>
              <w:left w:val="single" w:sz="4" w:space="0" w:color="auto"/>
              <w:bottom w:val="single" w:sz="4" w:space="0" w:color="auto"/>
              <w:right w:val="single" w:sz="4" w:space="0" w:color="auto"/>
            </w:tcBorders>
            <w:noWrap/>
            <w:vAlign w:val="center"/>
            <w:hideMark/>
          </w:tcPr>
          <w:p w14:paraId="2A5B1440" w14:textId="183E22B2" w:rsidR="5CA04BB8" w:rsidRPr="00687DE8" w:rsidRDefault="00BC43C3">
            <w:pPr>
              <w:spacing w:after="0"/>
              <w:jc w:val="center"/>
              <w:rPr>
                <w:color w:val="000000" w:themeColor="text1"/>
                <w:szCs w:val="24"/>
              </w:rPr>
            </w:pPr>
            <w:r>
              <w:rPr>
                <w:color w:val="000000"/>
              </w:rPr>
              <w:t>756,02</w:t>
            </w:r>
          </w:p>
        </w:tc>
      </w:tr>
      <w:tr w:rsidR="00B60519" w:rsidRPr="00687DE8" w14:paraId="4E2E5858" w14:textId="77777777" w:rsidTr="001B10F9">
        <w:trPr>
          <w:divId w:val="1316184749"/>
          <w:trHeight w:val="290"/>
        </w:trPr>
        <w:tc>
          <w:tcPr>
            <w:tcW w:w="6517" w:type="dxa"/>
            <w:tcBorders>
              <w:top w:val="nil"/>
              <w:left w:val="single" w:sz="4" w:space="0" w:color="auto"/>
              <w:bottom w:val="single" w:sz="4" w:space="0" w:color="auto"/>
              <w:right w:val="single" w:sz="4" w:space="0" w:color="auto"/>
            </w:tcBorders>
            <w:vAlign w:val="bottom"/>
            <w:hideMark/>
          </w:tcPr>
          <w:p w14:paraId="366A7EA4"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Ureetropeksia (stressinkontinentsi operatsioon)</w:t>
            </w:r>
          </w:p>
        </w:tc>
        <w:tc>
          <w:tcPr>
            <w:tcW w:w="1134" w:type="dxa"/>
            <w:tcBorders>
              <w:top w:val="nil"/>
              <w:left w:val="nil"/>
              <w:bottom w:val="single" w:sz="4" w:space="0" w:color="auto"/>
              <w:right w:val="single" w:sz="4" w:space="0" w:color="auto"/>
            </w:tcBorders>
            <w:noWrap/>
            <w:vAlign w:val="bottom"/>
            <w:hideMark/>
          </w:tcPr>
          <w:p w14:paraId="2E891C7E"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1K2104</w:t>
            </w:r>
          </w:p>
        </w:tc>
        <w:tc>
          <w:tcPr>
            <w:tcW w:w="1700" w:type="dxa"/>
            <w:tcBorders>
              <w:top w:val="nil"/>
              <w:left w:val="single" w:sz="4" w:space="0" w:color="auto"/>
              <w:bottom w:val="single" w:sz="4" w:space="0" w:color="auto"/>
              <w:right w:val="single" w:sz="4" w:space="0" w:color="auto"/>
            </w:tcBorders>
            <w:noWrap/>
            <w:vAlign w:val="center"/>
            <w:hideMark/>
          </w:tcPr>
          <w:p w14:paraId="3E354A2C" w14:textId="22C5C814" w:rsidR="5CA04BB8" w:rsidRPr="00687DE8" w:rsidRDefault="00BC43C3">
            <w:pPr>
              <w:spacing w:after="0"/>
              <w:jc w:val="center"/>
              <w:rPr>
                <w:color w:val="000000" w:themeColor="text1"/>
                <w:szCs w:val="24"/>
              </w:rPr>
            </w:pPr>
            <w:r>
              <w:rPr>
                <w:color w:val="000000"/>
              </w:rPr>
              <w:t>763,02</w:t>
            </w:r>
          </w:p>
        </w:tc>
      </w:tr>
      <w:tr w:rsidR="00B60519" w:rsidRPr="00687DE8" w14:paraId="0CC94E6F" w14:textId="77777777" w:rsidTr="001B10F9">
        <w:trPr>
          <w:divId w:val="1316184749"/>
          <w:trHeight w:val="283"/>
        </w:trPr>
        <w:tc>
          <w:tcPr>
            <w:tcW w:w="6517" w:type="dxa"/>
            <w:tcBorders>
              <w:top w:val="nil"/>
              <w:left w:val="single" w:sz="4" w:space="0" w:color="auto"/>
              <w:bottom w:val="single" w:sz="4" w:space="0" w:color="auto"/>
              <w:right w:val="single" w:sz="4" w:space="0" w:color="auto"/>
            </w:tcBorders>
            <w:vAlign w:val="bottom"/>
            <w:hideMark/>
          </w:tcPr>
          <w:p w14:paraId="62FFF6A4"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Ureetra rekonstruktsioon, sealhulgas trauma tõttu</w:t>
            </w:r>
          </w:p>
        </w:tc>
        <w:tc>
          <w:tcPr>
            <w:tcW w:w="1134" w:type="dxa"/>
            <w:tcBorders>
              <w:top w:val="nil"/>
              <w:left w:val="nil"/>
              <w:bottom w:val="single" w:sz="4" w:space="0" w:color="auto"/>
              <w:right w:val="single" w:sz="4" w:space="0" w:color="auto"/>
            </w:tcBorders>
            <w:noWrap/>
            <w:vAlign w:val="bottom"/>
            <w:hideMark/>
          </w:tcPr>
          <w:p w14:paraId="10A5E725"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1K2129</w:t>
            </w:r>
          </w:p>
        </w:tc>
        <w:tc>
          <w:tcPr>
            <w:tcW w:w="1700" w:type="dxa"/>
            <w:tcBorders>
              <w:top w:val="nil"/>
              <w:left w:val="single" w:sz="4" w:space="0" w:color="auto"/>
              <w:bottom w:val="single" w:sz="4" w:space="0" w:color="auto"/>
              <w:right w:val="single" w:sz="4" w:space="0" w:color="auto"/>
            </w:tcBorders>
            <w:noWrap/>
            <w:vAlign w:val="center"/>
            <w:hideMark/>
          </w:tcPr>
          <w:p w14:paraId="58408123" w14:textId="189970B3" w:rsidR="5CA04BB8" w:rsidRPr="00687DE8" w:rsidRDefault="00BC43C3">
            <w:pPr>
              <w:spacing w:after="0"/>
              <w:jc w:val="center"/>
              <w:rPr>
                <w:color w:val="000000" w:themeColor="text1"/>
                <w:szCs w:val="24"/>
              </w:rPr>
            </w:pPr>
            <w:r>
              <w:rPr>
                <w:color w:val="000000"/>
              </w:rPr>
              <w:t>1 314,71</w:t>
            </w:r>
          </w:p>
        </w:tc>
      </w:tr>
      <w:tr w:rsidR="00B60519" w:rsidRPr="00687DE8" w14:paraId="57DF8ED8"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21D2B7B7"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lastRenderedPageBreak/>
              <w:t>Optiline uretrotoomia</w:t>
            </w:r>
          </w:p>
        </w:tc>
        <w:tc>
          <w:tcPr>
            <w:tcW w:w="1134" w:type="dxa"/>
            <w:tcBorders>
              <w:top w:val="nil"/>
              <w:left w:val="nil"/>
              <w:bottom w:val="single" w:sz="4" w:space="0" w:color="auto"/>
              <w:right w:val="single" w:sz="4" w:space="0" w:color="auto"/>
            </w:tcBorders>
            <w:noWrap/>
            <w:vAlign w:val="bottom"/>
            <w:hideMark/>
          </w:tcPr>
          <w:p w14:paraId="2BDEB495"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1K2130</w:t>
            </w:r>
          </w:p>
        </w:tc>
        <w:tc>
          <w:tcPr>
            <w:tcW w:w="1700" w:type="dxa"/>
            <w:tcBorders>
              <w:top w:val="nil"/>
              <w:left w:val="single" w:sz="4" w:space="0" w:color="auto"/>
              <w:bottom w:val="single" w:sz="4" w:space="0" w:color="auto"/>
              <w:right w:val="single" w:sz="4" w:space="0" w:color="auto"/>
            </w:tcBorders>
            <w:noWrap/>
            <w:vAlign w:val="center"/>
            <w:hideMark/>
          </w:tcPr>
          <w:p w14:paraId="491C4FCF" w14:textId="518536CD" w:rsidR="5CA04BB8" w:rsidRPr="00687DE8" w:rsidRDefault="00BC43C3">
            <w:pPr>
              <w:spacing w:after="0"/>
              <w:jc w:val="center"/>
              <w:rPr>
                <w:color w:val="000000" w:themeColor="text1"/>
                <w:szCs w:val="24"/>
              </w:rPr>
            </w:pPr>
            <w:r>
              <w:rPr>
                <w:color w:val="000000"/>
              </w:rPr>
              <w:t>446,81</w:t>
            </w:r>
          </w:p>
        </w:tc>
      </w:tr>
      <w:tr w:rsidR="00B60519" w:rsidRPr="00687DE8" w14:paraId="7D78EEFE"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3677CFBB"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Uretrektoomia</w:t>
            </w:r>
          </w:p>
        </w:tc>
        <w:tc>
          <w:tcPr>
            <w:tcW w:w="1134" w:type="dxa"/>
            <w:tcBorders>
              <w:top w:val="nil"/>
              <w:left w:val="nil"/>
              <w:bottom w:val="single" w:sz="4" w:space="0" w:color="auto"/>
              <w:right w:val="single" w:sz="4" w:space="0" w:color="auto"/>
            </w:tcBorders>
            <w:noWrap/>
            <w:vAlign w:val="bottom"/>
            <w:hideMark/>
          </w:tcPr>
          <w:p w14:paraId="2D691BEA"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1K2131</w:t>
            </w:r>
          </w:p>
        </w:tc>
        <w:tc>
          <w:tcPr>
            <w:tcW w:w="1700" w:type="dxa"/>
            <w:tcBorders>
              <w:top w:val="nil"/>
              <w:left w:val="single" w:sz="4" w:space="0" w:color="auto"/>
              <w:bottom w:val="single" w:sz="4" w:space="0" w:color="auto"/>
              <w:right w:val="single" w:sz="4" w:space="0" w:color="auto"/>
            </w:tcBorders>
            <w:noWrap/>
            <w:vAlign w:val="center"/>
            <w:hideMark/>
          </w:tcPr>
          <w:p w14:paraId="53C06606" w14:textId="7E944404" w:rsidR="5CA04BB8" w:rsidRPr="00687DE8" w:rsidRDefault="00BC43C3">
            <w:pPr>
              <w:spacing w:after="0"/>
              <w:jc w:val="center"/>
              <w:rPr>
                <w:color w:val="000000" w:themeColor="text1"/>
                <w:szCs w:val="24"/>
              </w:rPr>
            </w:pPr>
            <w:r>
              <w:rPr>
                <w:color w:val="000000"/>
              </w:rPr>
              <w:t>1 032,41</w:t>
            </w:r>
          </w:p>
        </w:tc>
      </w:tr>
      <w:tr w:rsidR="00B60519" w:rsidRPr="00687DE8" w14:paraId="07A5245C"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23758235"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Perineaalse uretrostoomi rajamine</w:t>
            </w:r>
          </w:p>
        </w:tc>
        <w:tc>
          <w:tcPr>
            <w:tcW w:w="1134" w:type="dxa"/>
            <w:tcBorders>
              <w:top w:val="nil"/>
              <w:left w:val="nil"/>
              <w:bottom w:val="single" w:sz="4" w:space="0" w:color="auto"/>
              <w:right w:val="single" w:sz="4" w:space="0" w:color="auto"/>
            </w:tcBorders>
            <w:noWrap/>
            <w:vAlign w:val="bottom"/>
            <w:hideMark/>
          </w:tcPr>
          <w:p w14:paraId="6E10EF83"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1K2132</w:t>
            </w:r>
          </w:p>
        </w:tc>
        <w:tc>
          <w:tcPr>
            <w:tcW w:w="1700" w:type="dxa"/>
            <w:tcBorders>
              <w:top w:val="nil"/>
              <w:left w:val="single" w:sz="4" w:space="0" w:color="auto"/>
              <w:bottom w:val="single" w:sz="4" w:space="0" w:color="auto"/>
              <w:right w:val="single" w:sz="4" w:space="0" w:color="auto"/>
            </w:tcBorders>
            <w:noWrap/>
            <w:vAlign w:val="center"/>
            <w:hideMark/>
          </w:tcPr>
          <w:p w14:paraId="2E006822" w14:textId="19023CB9" w:rsidR="5CA04BB8" w:rsidRPr="00687DE8" w:rsidRDefault="00BC43C3">
            <w:pPr>
              <w:spacing w:after="0"/>
              <w:jc w:val="center"/>
              <w:rPr>
                <w:color w:val="000000" w:themeColor="text1"/>
                <w:szCs w:val="24"/>
              </w:rPr>
            </w:pPr>
            <w:r>
              <w:rPr>
                <w:color w:val="000000"/>
              </w:rPr>
              <w:t>1 589,10</w:t>
            </w:r>
          </w:p>
        </w:tc>
      </w:tr>
      <w:tr w:rsidR="00B60519" w:rsidRPr="00687DE8" w14:paraId="1B0189D9"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65709A69"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Peenise amputatsioon</w:t>
            </w:r>
          </w:p>
        </w:tc>
        <w:tc>
          <w:tcPr>
            <w:tcW w:w="1134" w:type="dxa"/>
            <w:tcBorders>
              <w:top w:val="nil"/>
              <w:left w:val="nil"/>
              <w:bottom w:val="single" w:sz="4" w:space="0" w:color="auto"/>
              <w:right w:val="single" w:sz="4" w:space="0" w:color="auto"/>
            </w:tcBorders>
            <w:noWrap/>
            <w:vAlign w:val="bottom"/>
            <w:hideMark/>
          </w:tcPr>
          <w:p w14:paraId="2BE0A8CE"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1K2133</w:t>
            </w:r>
          </w:p>
        </w:tc>
        <w:tc>
          <w:tcPr>
            <w:tcW w:w="1700" w:type="dxa"/>
            <w:tcBorders>
              <w:top w:val="nil"/>
              <w:left w:val="single" w:sz="4" w:space="0" w:color="auto"/>
              <w:bottom w:val="single" w:sz="4" w:space="0" w:color="auto"/>
              <w:right w:val="single" w:sz="4" w:space="0" w:color="auto"/>
            </w:tcBorders>
            <w:noWrap/>
            <w:vAlign w:val="center"/>
            <w:hideMark/>
          </w:tcPr>
          <w:p w14:paraId="063B8A42" w14:textId="05E05502" w:rsidR="5CA04BB8" w:rsidRPr="00687DE8" w:rsidRDefault="00BC43C3">
            <w:pPr>
              <w:spacing w:after="0"/>
              <w:jc w:val="center"/>
              <w:rPr>
                <w:color w:val="000000" w:themeColor="text1"/>
                <w:szCs w:val="24"/>
              </w:rPr>
            </w:pPr>
            <w:r>
              <w:rPr>
                <w:color w:val="000000"/>
              </w:rPr>
              <w:t>942,53</w:t>
            </w:r>
          </w:p>
        </w:tc>
      </w:tr>
      <w:tr w:rsidR="00B60519" w:rsidRPr="00687DE8" w14:paraId="6EA9D381"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2511FC56"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Peenise plastika</w:t>
            </w:r>
          </w:p>
        </w:tc>
        <w:tc>
          <w:tcPr>
            <w:tcW w:w="1134" w:type="dxa"/>
            <w:tcBorders>
              <w:top w:val="nil"/>
              <w:left w:val="nil"/>
              <w:bottom w:val="single" w:sz="4" w:space="0" w:color="auto"/>
              <w:right w:val="single" w:sz="4" w:space="0" w:color="auto"/>
            </w:tcBorders>
            <w:noWrap/>
            <w:vAlign w:val="bottom"/>
            <w:hideMark/>
          </w:tcPr>
          <w:p w14:paraId="3E0A330E"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1K2134</w:t>
            </w:r>
          </w:p>
        </w:tc>
        <w:tc>
          <w:tcPr>
            <w:tcW w:w="1700" w:type="dxa"/>
            <w:tcBorders>
              <w:top w:val="nil"/>
              <w:left w:val="single" w:sz="4" w:space="0" w:color="auto"/>
              <w:bottom w:val="single" w:sz="4" w:space="0" w:color="auto"/>
              <w:right w:val="single" w:sz="4" w:space="0" w:color="auto"/>
            </w:tcBorders>
            <w:noWrap/>
            <w:vAlign w:val="center"/>
            <w:hideMark/>
          </w:tcPr>
          <w:p w14:paraId="5EFD5B31" w14:textId="0A29F25D" w:rsidR="5CA04BB8" w:rsidRPr="00687DE8" w:rsidRDefault="00BC43C3">
            <w:pPr>
              <w:spacing w:after="0"/>
              <w:jc w:val="center"/>
              <w:rPr>
                <w:color w:val="000000" w:themeColor="text1"/>
                <w:szCs w:val="24"/>
              </w:rPr>
            </w:pPr>
            <w:r>
              <w:rPr>
                <w:color w:val="000000"/>
              </w:rPr>
              <w:t>1 007,99</w:t>
            </w:r>
          </w:p>
        </w:tc>
      </w:tr>
      <w:tr w:rsidR="00B60519" w:rsidRPr="00687DE8" w14:paraId="4CD661D1"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0423F567"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Peenise proteesimine</w:t>
            </w:r>
          </w:p>
        </w:tc>
        <w:tc>
          <w:tcPr>
            <w:tcW w:w="1134" w:type="dxa"/>
            <w:tcBorders>
              <w:top w:val="nil"/>
              <w:left w:val="nil"/>
              <w:bottom w:val="single" w:sz="4" w:space="0" w:color="auto"/>
              <w:right w:val="single" w:sz="4" w:space="0" w:color="auto"/>
            </w:tcBorders>
            <w:noWrap/>
            <w:vAlign w:val="bottom"/>
            <w:hideMark/>
          </w:tcPr>
          <w:p w14:paraId="728A1581"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1K2135</w:t>
            </w:r>
          </w:p>
        </w:tc>
        <w:tc>
          <w:tcPr>
            <w:tcW w:w="1700" w:type="dxa"/>
            <w:tcBorders>
              <w:top w:val="nil"/>
              <w:left w:val="single" w:sz="4" w:space="0" w:color="auto"/>
              <w:bottom w:val="single" w:sz="4" w:space="0" w:color="auto"/>
              <w:right w:val="single" w:sz="4" w:space="0" w:color="auto"/>
            </w:tcBorders>
            <w:noWrap/>
            <w:vAlign w:val="center"/>
            <w:hideMark/>
          </w:tcPr>
          <w:p w14:paraId="04473CF0" w14:textId="06439BF3" w:rsidR="5CA04BB8" w:rsidRPr="00687DE8" w:rsidRDefault="00BC43C3">
            <w:pPr>
              <w:spacing w:after="0"/>
              <w:jc w:val="center"/>
              <w:rPr>
                <w:color w:val="000000" w:themeColor="text1"/>
                <w:szCs w:val="24"/>
              </w:rPr>
            </w:pPr>
            <w:r>
              <w:rPr>
                <w:color w:val="000000"/>
              </w:rPr>
              <w:t>997,01</w:t>
            </w:r>
          </w:p>
        </w:tc>
      </w:tr>
      <w:tr w:rsidR="00B60519" w:rsidRPr="00687DE8" w14:paraId="78252AB1" w14:textId="77777777" w:rsidTr="001B10F9">
        <w:trPr>
          <w:divId w:val="1316184749"/>
          <w:trHeight w:val="301"/>
        </w:trPr>
        <w:tc>
          <w:tcPr>
            <w:tcW w:w="6517" w:type="dxa"/>
            <w:tcBorders>
              <w:top w:val="nil"/>
              <w:left w:val="single" w:sz="4" w:space="0" w:color="auto"/>
              <w:bottom w:val="single" w:sz="4" w:space="0" w:color="auto"/>
              <w:right w:val="single" w:sz="4" w:space="0" w:color="auto"/>
            </w:tcBorders>
            <w:vAlign w:val="bottom"/>
            <w:hideMark/>
          </w:tcPr>
          <w:p w14:paraId="57736FE2"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Munandi eemaldamine koos väädiga kasvaja tõttu</w:t>
            </w:r>
          </w:p>
        </w:tc>
        <w:tc>
          <w:tcPr>
            <w:tcW w:w="1134" w:type="dxa"/>
            <w:tcBorders>
              <w:top w:val="nil"/>
              <w:left w:val="nil"/>
              <w:bottom w:val="single" w:sz="4" w:space="0" w:color="auto"/>
              <w:right w:val="single" w:sz="4" w:space="0" w:color="auto"/>
            </w:tcBorders>
            <w:noWrap/>
            <w:vAlign w:val="bottom"/>
            <w:hideMark/>
          </w:tcPr>
          <w:p w14:paraId="02980C98"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1K2136</w:t>
            </w:r>
          </w:p>
        </w:tc>
        <w:tc>
          <w:tcPr>
            <w:tcW w:w="1700" w:type="dxa"/>
            <w:tcBorders>
              <w:top w:val="nil"/>
              <w:left w:val="single" w:sz="4" w:space="0" w:color="auto"/>
              <w:bottom w:val="single" w:sz="4" w:space="0" w:color="auto"/>
              <w:right w:val="single" w:sz="4" w:space="0" w:color="auto"/>
            </w:tcBorders>
            <w:noWrap/>
            <w:vAlign w:val="center"/>
            <w:hideMark/>
          </w:tcPr>
          <w:p w14:paraId="48065586" w14:textId="6AC27BA9" w:rsidR="5CA04BB8" w:rsidRPr="00687DE8" w:rsidRDefault="00BC43C3">
            <w:pPr>
              <w:spacing w:after="0"/>
              <w:jc w:val="center"/>
              <w:rPr>
                <w:color w:val="000000" w:themeColor="text1"/>
                <w:szCs w:val="24"/>
              </w:rPr>
            </w:pPr>
            <w:r>
              <w:rPr>
                <w:color w:val="000000"/>
              </w:rPr>
              <w:t>640,00</w:t>
            </w:r>
          </w:p>
        </w:tc>
      </w:tr>
      <w:tr w:rsidR="00B60519" w:rsidRPr="00687DE8" w14:paraId="27580552" w14:textId="77777777" w:rsidTr="001B10F9">
        <w:trPr>
          <w:divId w:val="1316184749"/>
          <w:trHeight w:val="275"/>
        </w:trPr>
        <w:tc>
          <w:tcPr>
            <w:tcW w:w="6517" w:type="dxa"/>
            <w:tcBorders>
              <w:top w:val="nil"/>
              <w:left w:val="single" w:sz="4" w:space="0" w:color="auto"/>
              <w:bottom w:val="single" w:sz="4" w:space="0" w:color="auto"/>
              <w:right w:val="single" w:sz="4" w:space="0" w:color="auto"/>
            </w:tcBorders>
            <w:vAlign w:val="bottom"/>
            <w:hideMark/>
          </w:tcPr>
          <w:p w14:paraId="44E3B5C5"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Seemnejuha läbitavuse taastamine (vaso-vasostoomia)</w:t>
            </w:r>
          </w:p>
        </w:tc>
        <w:tc>
          <w:tcPr>
            <w:tcW w:w="1134" w:type="dxa"/>
            <w:tcBorders>
              <w:top w:val="nil"/>
              <w:left w:val="nil"/>
              <w:bottom w:val="single" w:sz="4" w:space="0" w:color="auto"/>
              <w:right w:val="single" w:sz="4" w:space="0" w:color="auto"/>
            </w:tcBorders>
            <w:noWrap/>
            <w:vAlign w:val="bottom"/>
            <w:hideMark/>
          </w:tcPr>
          <w:p w14:paraId="6EC12EF0"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1K2137</w:t>
            </w:r>
          </w:p>
        </w:tc>
        <w:tc>
          <w:tcPr>
            <w:tcW w:w="1700" w:type="dxa"/>
            <w:tcBorders>
              <w:top w:val="nil"/>
              <w:left w:val="single" w:sz="4" w:space="0" w:color="auto"/>
              <w:bottom w:val="single" w:sz="4" w:space="0" w:color="auto"/>
              <w:right w:val="single" w:sz="4" w:space="0" w:color="auto"/>
            </w:tcBorders>
            <w:noWrap/>
            <w:vAlign w:val="center"/>
            <w:hideMark/>
          </w:tcPr>
          <w:p w14:paraId="506066E2" w14:textId="420F000D" w:rsidR="5CA04BB8" w:rsidRPr="00687DE8" w:rsidRDefault="00BC43C3">
            <w:pPr>
              <w:spacing w:after="0"/>
              <w:jc w:val="center"/>
              <w:rPr>
                <w:color w:val="000000" w:themeColor="text1"/>
                <w:szCs w:val="24"/>
              </w:rPr>
            </w:pPr>
            <w:r>
              <w:rPr>
                <w:color w:val="000000"/>
              </w:rPr>
              <w:t>1 191,22</w:t>
            </w:r>
          </w:p>
        </w:tc>
      </w:tr>
      <w:tr w:rsidR="00B60519" w:rsidRPr="00687DE8" w14:paraId="62C8303C"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76D0E4F7"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Orhiektoomia (ühe- või kahepoolne)</w:t>
            </w:r>
          </w:p>
        </w:tc>
        <w:tc>
          <w:tcPr>
            <w:tcW w:w="1134" w:type="dxa"/>
            <w:tcBorders>
              <w:top w:val="nil"/>
              <w:left w:val="nil"/>
              <w:bottom w:val="single" w:sz="4" w:space="0" w:color="auto"/>
              <w:right w:val="single" w:sz="4" w:space="0" w:color="auto"/>
            </w:tcBorders>
            <w:noWrap/>
            <w:vAlign w:val="bottom"/>
            <w:hideMark/>
          </w:tcPr>
          <w:p w14:paraId="46ECD130"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1K2138</w:t>
            </w:r>
          </w:p>
        </w:tc>
        <w:tc>
          <w:tcPr>
            <w:tcW w:w="1700" w:type="dxa"/>
            <w:tcBorders>
              <w:top w:val="nil"/>
              <w:left w:val="single" w:sz="4" w:space="0" w:color="auto"/>
              <w:bottom w:val="single" w:sz="4" w:space="0" w:color="auto"/>
              <w:right w:val="single" w:sz="4" w:space="0" w:color="auto"/>
            </w:tcBorders>
            <w:noWrap/>
            <w:vAlign w:val="center"/>
            <w:hideMark/>
          </w:tcPr>
          <w:p w14:paraId="28E4102E" w14:textId="5481BDA6" w:rsidR="5CA04BB8" w:rsidRPr="00687DE8" w:rsidRDefault="00BC43C3">
            <w:pPr>
              <w:spacing w:after="0"/>
              <w:jc w:val="center"/>
              <w:rPr>
                <w:color w:val="000000" w:themeColor="text1"/>
                <w:szCs w:val="24"/>
              </w:rPr>
            </w:pPr>
            <w:r>
              <w:rPr>
                <w:color w:val="000000"/>
              </w:rPr>
              <w:t>440,32</w:t>
            </w:r>
          </w:p>
        </w:tc>
      </w:tr>
      <w:tr w:rsidR="00B60519" w:rsidRPr="00687DE8" w14:paraId="2EAC0398"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34EF62E9"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Pisioperatsioonid välissuguelunditel</w:t>
            </w:r>
          </w:p>
        </w:tc>
        <w:tc>
          <w:tcPr>
            <w:tcW w:w="1134" w:type="dxa"/>
            <w:tcBorders>
              <w:top w:val="nil"/>
              <w:left w:val="nil"/>
              <w:bottom w:val="single" w:sz="4" w:space="0" w:color="auto"/>
              <w:right w:val="single" w:sz="4" w:space="0" w:color="auto"/>
            </w:tcBorders>
            <w:noWrap/>
            <w:vAlign w:val="bottom"/>
            <w:hideMark/>
          </w:tcPr>
          <w:p w14:paraId="5EB25ACF"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1K2139</w:t>
            </w:r>
          </w:p>
        </w:tc>
        <w:tc>
          <w:tcPr>
            <w:tcW w:w="1700" w:type="dxa"/>
            <w:tcBorders>
              <w:top w:val="nil"/>
              <w:left w:val="single" w:sz="4" w:space="0" w:color="auto"/>
              <w:bottom w:val="single" w:sz="4" w:space="0" w:color="auto"/>
              <w:right w:val="single" w:sz="4" w:space="0" w:color="auto"/>
            </w:tcBorders>
            <w:noWrap/>
            <w:vAlign w:val="center"/>
            <w:hideMark/>
          </w:tcPr>
          <w:p w14:paraId="08D72148" w14:textId="10557BB9" w:rsidR="5CA04BB8" w:rsidRPr="00687DE8" w:rsidRDefault="00BC43C3">
            <w:pPr>
              <w:spacing w:after="0"/>
              <w:jc w:val="center"/>
              <w:rPr>
                <w:color w:val="000000" w:themeColor="text1"/>
                <w:szCs w:val="24"/>
              </w:rPr>
            </w:pPr>
            <w:r>
              <w:rPr>
                <w:color w:val="000000"/>
              </w:rPr>
              <w:t>395,66</w:t>
            </w:r>
          </w:p>
        </w:tc>
      </w:tr>
      <w:tr w:rsidR="00B60519" w:rsidRPr="00687DE8" w14:paraId="2F763ACA"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18129A17"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Neerusiirdamine</w:t>
            </w:r>
          </w:p>
        </w:tc>
        <w:tc>
          <w:tcPr>
            <w:tcW w:w="1134" w:type="dxa"/>
            <w:tcBorders>
              <w:top w:val="nil"/>
              <w:left w:val="nil"/>
              <w:bottom w:val="single" w:sz="4" w:space="0" w:color="auto"/>
              <w:right w:val="single" w:sz="4" w:space="0" w:color="auto"/>
            </w:tcBorders>
            <w:noWrap/>
            <w:vAlign w:val="bottom"/>
            <w:hideMark/>
          </w:tcPr>
          <w:p w14:paraId="1CAE1CDB"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1K2140</w:t>
            </w:r>
          </w:p>
        </w:tc>
        <w:tc>
          <w:tcPr>
            <w:tcW w:w="1700" w:type="dxa"/>
            <w:tcBorders>
              <w:top w:val="nil"/>
              <w:left w:val="single" w:sz="4" w:space="0" w:color="auto"/>
              <w:bottom w:val="single" w:sz="4" w:space="0" w:color="auto"/>
              <w:right w:val="single" w:sz="4" w:space="0" w:color="auto"/>
            </w:tcBorders>
            <w:noWrap/>
            <w:vAlign w:val="center"/>
            <w:hideMark/>
          </w:tcPr>
          <w:p w14:paraId="195F6F1D" w14:textId="3A7829B2" w:rsidR="5CA04BB8" w:rsidRPr="00687DE8" w:rsidRDefault="00BC43C3">
            <w:pPr>
              <w:spacing w:after="0"/>
              <w:jc w:val="center"/>
              <w:rPr>
                <w:color w:val="000000" w:themeColor="text1"/>
                <w:szCs w:val="24"/>
              </w:rPr>
            </w:pPr>
            <w:r>
              <w:rPr>
                <w:color w:val="000000"/>
              </w:rPr>
              <w:t>1 944,74</w:t>
            </w:r>
          </w:p>
        </w:tc>
      </w:tr>
      <w:tr w:rsidR="00B60519" w:rsidRPr="00687DE8" w14:paraId="4047B665"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65BA1858"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Neerutransplantaadi eemaldamine</w:t>
            </w:r>
          </w:p>
        </w:tc>
        <w:tc>
          <w:tcPr>
            <w:tcW w:w="1134" w:type="dxa"/>
            <w:tcBorders>
              <w:top w:val="nil"/>
              <w:left w:val="nil"/>
              <w:bottom w:val="single" w:sz="4" w:space="0" w:color="auto"/>
              <w:right w:val="single" w:sz="4" w:space="0" w:color="auto"/>
            </w:tcBorders>
            <w:noWrap/>
            <w:vAlign w:val="bottom"/>
            <w:hideMark/>
          </w:tcPr>
          <w:p w14:paraId="2F44D451"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1K2141</w:t>
            </w:r>
          </w:p>
        </w:tc>
        <w:tc>
          <w:tcPr>
            <w:tcW w:w="1700" w:type="dxa"/>
            <w:tcBorders>
              <w:top w:val="nil"/>
              <w:left w:val="single" w:sz="4" w:space="0" w:color="auto"/>
              <w:bottom w:val="single" w:sz="4" w:space="0" w:color="auto"/>
              <w:right w:val="single" w:sz="4" w:space="0" w:color="auto"/>
            </w:tcBorders>
            <w:noWrap/>
            <w:vAlign w:val="center"/>
            <w:hideMark/>
          </w:tcPr>
          <w:p w14:paraId="5437C428" w14:textId="2EE46210" w:rsidR="5CA04BB8" w:rsidRPr="00687DE8" w:rsidRDefault="00BC43C3">
            <w:pPr>
              <w:spacing w:after="0"/>
              <w:jc w:val="center"/>
              <w:rPr>
                <w:color w:val="000000" w:themeColor="text1"/>
                <w:szCs w:val="24"/>
              </w:rPr>
            </w:pPr>
            <w:r>
              <w:rPr>
                <w:color w:val="000000"/>
              </w:rPr>
              <w:t>1 683,05</w:t>
            </w:r>
          </w:p>
        </w:tc>
      </w:tr>
      <w:tr w:rsidR="00B60519" w:rsidRPr="00687DE8" w14:paraId="0C928B9D"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1A2D1EBB"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Neerutransplantaadi revisioon</w:t>
            </w:r>
          </w:p>
        </w:tc>
        <w:tc>
          <w:tcPr>
            <w:tcW w:w="1134" w:type="dxa"/>
            <w:tcBorders>
              <w:top w:val="nil"/>
              <w:left w:val="nil"/>
              <w:bottom w:val="single" w:sz="4" w:space="0" w:color="auto"/>
              <w:right w:val="single" w:sz="4" w:space="0" w:color="auto"/>
            </w:tcBorders>
            <w:noWrap/>
            <w:vAlign w:val="bottom"/>
            <w:hideMark/>
          </w:tcPr>
          <w:p w14:paraId="50009DD6"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1K2142</w:t>
            </w:r>
          </w:p>
        </w:tc>
        <w:tc>
          <w:tcPr>
            <w:tcW w:w="1700" w:type="dxa"/>
            <w:tcBorders>
              <w:top w:val="nil"/>
              <w:left w:val="single" w:sz="4" w:space="0" w:color="auto"/>
              <w:bottom w:val="single" w:sz="4" w:space="0" w:color="auto"/>
              <w:right w:val="single" w:sz="4" w:space="0" w:color="auto"/>
            </w:tcBorders>
            <w:noWrap/>
            <w:vAlign w:val="center"/>
            <w:hideMark/>
          </w:tcPr>
          <w:p w14:paraId="0117B1DF" w14:textId="0A92D5D5" w:rsidR="5CA04BB8" w:rsidRPr="00687DE8" w:rsidRDefault="00BC43C3">
            <w:pPr>
              <w:spacing w:after="0"/>
              <w:jc w:val="center"/>
              <w:rPr>
                <w:color w:val="000000" w:themeColor="text1"/>
                <w:szCs w:val="24"/>
              </w:rPr>
            </w:pPr>
            <w:r>
              <w:rPr>
                <w:color w:val="000000"/>
              </w:rPr>
              <w:t>1 982,30</w:t>
            </w:r>
          </w:p>
        </w:tc>
      </w:tr>
      <w:tr w:rsidR="00B60519" w:rsidRPr="00687DE8" w14:paraId="6246E5FF"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6D02CC64"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Surnud doonori neerude käitlus siirdamiseks</w:t>
            </w:r>
          </w:p>
        </w:tc>
        <w:tc>
          <w:tcPr>
            <w:tcW w:w="1134" w:type="dxa"/>
            <w:tcBorders>
              <w:top w:val="nil"/>
              <w:left w:val="nil"/>
              <w:bottom w:val="single" w:sz="4" w:space="0" w:color="auto"/>
              <w:right w:val="single" w:sz="4" w:space="0" w:color="auto"/>
            </w:tcBorders>
            <w:noWrap/>
            <w:vAlign w:val="bottom"/>
            <w:hideMark/>
          </w:tcPr>
          <w:p w14:paraId="1F6807AD"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1K2143</w:t>
            </w:r>
          </w:p>
        </w:tc>
        <w:tc>
          <w:tcPr>
            <w:tcW w:w="1700" w:type="dxa"/>
            <w:tcBorders>
              <w:top w:val="nil"/>
              <w:left w:val="single" w:sz="4" w:space="0" w:color="auto"/>
              <w:bottom w:val="single" w:sz="4" w:space="0" w:color="auto"/>
              <w:right w:val="single" w:sz="4" w:space="0" w:color="auto"/>
            </w:tcBorders>
            <w:noWrap/>
            <w:vAlign w:val="center"/>
            <w:hideMark/>
          </w:tcPr>
          <w:p w14:paraId="6CBDAFE6" w14:textId="3E2213F0" w:rsidR="5CA04BB8" w:rsidRPr="00687DE8" w:rsidRDefault="00BC43C3">
            <w:pPr>
              <w:spacing w:after="0"/>
              <w:jc w:val="center"/>
              <w:rPr>
                <w:color w:val="000000" w:themeColor="text1"/>
                <w:szCs w:val="24"/>
              </w:rPr>
            </w:pPr>
            <w:r>
              <w:rPr>
                <w:color w:val="000000"/>
              </w:rPr>
              <w:t>3 342,99</w:t>
            </w:r>
          </w:p>
        </w:tc>
      </w:tr>
      <w:tr w:rsidR="00B60519" w:rsidRPr="00687DE8" w14:paraId="59BC3111" w14:textId="77777777" w:rsidTr="001B10F9">
        <w:trPr>
          <w:divId w:val="1316184749"/>
          <w:trHeight w:val="630"/>
        </w:trPr>
        <w:tc>
          <w:tcPr>
            <w:tcW w:w="6517" w:type="dxa"/>
            <w:tcBorders>
              <w:top w:val="nil"/>
              <w:left w:val="single" w:sz="4" w:space="0" w:color="auto"/>
              <w:bottom w:val="single" w:sz="4" w:space="0" w:color="auto"/>
              <w:right w:val="single" w:sz="4" w:space="0" w:color="auto"/>
            </w:tcBorders>
            <w:vAlign w:val="bottom"/>
            <w:hideMark/>
          </w:tcPr>
          <w:p w14:paraId="54F24C90"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elusdoonori neeru eemaldamine siirdamiseks</w:t>
            </w:r>
          </w:p>
        </w:tc>
        <w:tc>
          <w:tcPr>
            <w:tcW w:w="1134" w:type="dxa"/>
            <w:tcBorders>
              <w:top w:val="nil"/>
              <w:left w:val="nil"/>
              <w:bottom w:val="single" w:sz="4" w:space="0" w:color="auto"/>
              <w:right w:val="single" w:sz="4" w:space="0" w:color="auto"/>
            </w:tcBorders>
            <w:noWrap/>
            <w:vAlign w:val="bottom"/>
            <w:hideMark/>
          </w:tcPr>
          <w:p w14:paraId="6E7023D9"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1K2228</w:t>
            </w:r>
          </w:p>
        </w:tc>
        <w:tc>
          <w:tcPr>
            <w:tcW w:w="1700" w:type="dxa"/>
            <w:tcBorders>
              <w:top w:val="nil"/>
              <w:left w:val="single" w:sz="4" w:space="0" w:color="auto"/>
              <w:bottom w:val="single" w:sz="4" w:space="0" w:color="auto"/>
              <w:right w:val="single" w:sz="4" w:space="0" w:color="auto"/>
            </w:tcBorders>
            <w:noWrap/>
            <w:vAlign w:val="center"/>
            <w:hideMark/>
          </w:tcPr>
          <w:p w14:paraId="03C8B8CA" w14:textId="3C63A392" w:rsidR="5CA04BB8" w:rsidRPr="00687DE8" w:rsidRDefault="00BC43C3">
            <w:pPr>
              <w:spacing w:after="0"/>
              <w:jc w:val="center"/>
              <w:rPr>
                <w:color w:val="000000" w:themeColor="text1"/>
                <w:szCs w:val="24"/>
              </w:rPr>
            </w:pPr>
            <w:r>
              <w:rPr>
                <w:color w:val="000000"/>
              </w:rPr>
              <w:t>3 379,14</w:t>
            </w:r>
          </w:p>
        </w:tc>
      </w:tr>
      <w:tr w:rsidR="00B60519" w:rsidRPr="00687DE8" w14:paraId="46B50267"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23B33BC9"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Peritoneaaldialüüsikateetri paigaldamise operatsioon</w:t>
            </w:r>
          </w:p>
        </w:tc>
        <w:tc>
          <w:tcPr>
            <w:tcW w:w="1134" w:type="dxa"/>
            <w:tcBorders>
              <w:top w:val="nil"/>
              <w:left w:val="nil"/>
              <w:bottom w:val="single" w:sz="4" w:space="0" w:color="auto"/>
              <w:right w:val="single" w:sz="4" w:space="0" w:color="auto"/>
            </w:tcBorders>
            <w:noWrap/>
            <w:vAlign w:val="bottom"/>
            <w:hideMark/>
          </w:tcPr>
          <w:p w14:paraId="2E0942FF"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1J2135</w:t>
            </w:r>
          </w:p>
        </w:tc>
        <w:tc>
          <w:tcPr>
            <w:tcW w:w="1700" w:type="dxa"/>
            <w:tcBorders>
              <w:top w:val="nil"/>
              <w:left w:val="single" w:sz="4" w:space="0" w:color="auto"/>
              <w:bottom w:val="single" w:sz="4" w:space="0" w:color="auto"/>
              <w:right w:val="single" w:sz="4" w:space="0" w:color="auto"/>
            </w:tcBorders>
            <w:noWrap/>
            <w:vAlign w:val="center"/>
            <w:hideMark/>
          </w:tcPr>
          <w:p w14:paraId="54C9DAB7" w14:textId="5586F985" w:rsidR="5CA04BB8" w:rsidRPr="00687DE8" w:rsidRDefault="00BC43C3">
            <w:pPr>
              <w:spacing w:after="0"/>
              <w:jc w:val="center"/>
              <w:rPr>
                <w:color w:val="000000" w:themeColor="text1"/>
                <w:szCs w:val="24"/>
              </w:rPr>
            </w:pPr>
            <w:r>
              <w:rPr>
                <w:color w:val="000000"/>
              </w:rPr>
              <w:t>738,38</w:t>
            </w:r>
          </w:p>
        </w:tc>
      </w:tr>
      <w:tr w:rsidR="00B60519" w:rsidRPr="00687DE8" w14:paraId="088BA0BE" w14:textId="77777777" w:rsidTr="001B10F9">
        <w:trPr>
          <w:divId w:val="1316184749"/>
          <w:trHeight w:val="325"/>
        </w:trPr>
        <w:tc>
          <w:tcPr>
            <w:tcW w:w="6517" w:type="dxa"/>
            <w:tcBorders>
              <w:top w:val="nil"/>
              <w:left w:val="single" w:sz="4" w:space="0" w:color="auto"/>
              <w:bottom w:val="single" w:sz="4" w:space="0" w:color="auto"/>
              <w:right w:val="single" w:sz="4" w:space="0" w:color="auto"/>
            </w:tcBorders>
            <w:vAlign w:val="bottom"/>
            <w:hideMark/>
          </w:tcPr>
          <w:p w14:paraId="2929FF23"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varikotseele operatsioon</w:t>
            </w:r>
          </w:p>
        </w:tc>
        <w:tc>
          <w:tcPr>
            <w:tcW w:w="1134" w:type="dxa"/>
            <w:tcBorders>
              <w:top w:val="nil"/>
              <w:left w:val="nil"/>
              <w:bottom w:val="single" w:sz="4" w:space="0" w:color="auto"/>
              <w:right w:val="single" w:sz="4" w:space="0" w:color="auto"/>
            </w:tcBorders>
            <w:noWrap/>
            <w:vAlign w:val="bottom"/>
            <w:hideMark/>
          </w:tcPr>
          <w:p w14:paraId="4B2DB3C3"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1K2229</w:t>
            </w:r>
          </w:p>
        </w:tc>
        <w:tc>
          <w:tcPr>
            <w:tcW w:w="1700" w:type="dxa"/>
            <w:tcBorders>
              <w:top w:val="nil"/>
              <w:left w:val="single" w:sz="4" w:space="0" w:color="auto"/>
              <w:bottom w:val="single" w:sz="4" w:space="0" w:color="auto"/>
              <w:right w:val="single" w:sz="4" w:space="0" w:color="auto"/>
            </w:tcBorders>
            <w:noWrap/>
            <w:vAlign w:val="center"/>
            <w:hideMark/>
          </w:tcPr>
          <w:p w14:paraId="2307D4FE" w14:textId="361F4938" w:rsidR="5CA04BB8" w:rsidRPr="00687DE8" w:rsidRDefault="00BC43C3">
            <w:pPr>
              <w:spacing w:after="0"/>
              <w:jc w:val="center"/>
              <w:rPr>
                <w:color w:val="000000" w:themeColor="text1"/>
                <w:szCs w:val="24"/>
              </w:rPr>
            </w:pPr>
            <w:r>
              <w:rPr>
                <w:color w:val="000000"/>
              </w:rPr>
              <w:t>1 427,13</w:t>
            </w:r>
          </w:p>
        </w:tc>
      </w:tr>
      <w:tr w:rsidR="00B60519" w:rsidRPr="00687DE8" w14:paraId="440888EC" w14:textId="77777777" w:rsidTr="001B10F9">
        <w:trPr>
          <w:divId w:val="1316184749"/>
          <w:trHeight w:val="315"/>
        </w:trPr>
        <w:tc>
          <w:tcPr>
            <w:tcW w:w="6517" w:type="dxa"/>
            <w:tcBorders>
              <w:top w:val="nil"/>
              <w:left w:val="single" w:sz="4" w:space="0" w:color="auto"/>
              <w:bottom w:val="single" w:sz="4" w:space="0" w:color="auto"/>
              <w:right w:val="single" w:sz="4" w:space="0" w:color="auto"/>
            </w:tcBorders>
            <w:vAlign w:val="bottom"/>
            <w:hideMark/>
          </w:tcPr>
          <w:p w14:paraId="6FA24049"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Parailiakaallümfisõlmede eemaldamine</w:t>
            </w:r>
          </w:p>
        </w:tc>
        <w:tc>
          <w:tcPr>
            <w:tcW w:w="1134" w:type="dxa"/>
            <w:tcBorders>
              <w:top w:val="nil"/>
              <w:left w:val="nil"/>
              <w:bottom w:val="single" w:sz="4" w:space="0" w:color="auto"/>
              <w:right w:val="single" w:sz="4" w:space="0" w:color="auto"/>
            </w:tcBorders>
            <w:noWrap/>
            <w:vAlign w:val="bottom"/>
            <w:hideMark/>
          </w:tcPr>
          <w:p w14:paraId="3E891141"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1P2133</w:t>
            </w:r>
          </w:p>
        </w:tc>
        <w:tc>
          <w:tcPr>
            <w:tcW w:w="1700" w:type="dxa"/>
            <w:tcBorders>
              <w:top w:val="nil"/>
              <w:left w:val="single" w:sz="4" w:space="0" w:color="auto"/>
              <w:bottom w:val="single" w:sz="4" w:space="0" w:color="auto"/>
              <w:right w:val="single" w:sz="4" w:space="0" w:color="auto"/>
            </w:tcBorders>
            <w:noWrap/>
            <w:vAlign w:val="center"/>
            <w:hideMark/>
          </w:tcPr>
          <w:p w14:paraId="2C769475" w14:textId="6948C461" w:rsidR="5CA04BB8" w:rsidRPr="00687DE8" w:rsidRDefault="00BC43C3">
            <w:pPr>
              <w:spacing w:after="0"/>
              <w:jc w:val="center"/>
              <w:rPr>
                <w:color w:val="000000" w:themeColor="text1"/>
                <w:szCs w:val="24"/>
              </w:rPr>
            </w:pPr>
            <w:r>
              <w:rPr>
                <w:color w:val="000000"/>
              </w:rPr>
              <w:t>1 379,98</w:t>
            </w:r>
          </w:p>
        </w:tc>
      </w:tr>
      <w:tr w:rsidR="00B60519" w:rsidRPr="00687DE8" w14:paraId="55471C58" w14:textId="77777777" w:rsidTr="00EB7A71">
        <w:trPr>
          <w:divId w:val="1316184749"/>
          <w:trHeight w:val="377"/>
        </w:trPr>
        <w:tc>
          <w:tcPr>
            <w:tcW w:w="6517" w:type="dxa"/>
            <w:tcBorders>
              <w:top w:val="nil"/>
              <w:left w:val="single" w:sz="4" w:space="0" w:color="auto"/>
              <w:bottom w:val="single" w:sz="4" w:space="0" w:color="auto"/>
              <w:right w:val="single" w:sz="4" w:space="0" w:color="auto"/>
            </w:tcBorders>
            <w:vAlign w:val="bottom"/>
            <w:hideMark/>
          </w:tcPr>
          <w:p w14:paraId="16798BF2"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parailiakaallümfisõlmede eemaldamine</w:t>
            </w:r>
          </w:p>
        </w:tc>
        <w:tc>
          <w:tcPr>
            <w:tcW w:w="1134" w:type="dxa"/>
            <w:tcBorders>
              <w:top w:val="nil"/>
              <w:left w:val="nil"/>
              <w:bottom w:val="single" w:sz="4" w:space="0" w:color="auto"/>
              <w:right w:val="single" w:sz="4" w:space="0" w:color="auto"/>
            </w:tcBorders>
            <w:noWrap/>
            <w:vAlign w:val="bottom"/>
            <w:hideMark/>
          </w:tcPr>
          <w:p w14:paraId="4FFA7DF5" w14:textId="77777777" w:rsidR="00B60519" w:rsidRPr="00687DE8" w:rsidRDefault="00B60519" w:rsidP="00B60519">
            <w:pPr>
              <w:spacing w:after="0" w:line="240" w:lineRule="auto"/>
              <w:jc w:val="center"/>
              <w:rPr>
                <w:strike/>
                <w:color w:val="000000"/>
                <w:szCs w:val="24"/>
                <w:lang w:eastAsia="et-EE"/>
              </w:rPr>
            </w:pPr>
            <w:r w:rsidRPr="00687DE8">
              <w:rPr>
                <w:color w:val="000000"/>
                <w:szCs w:val="24"/>
                <w:lang w:eastAsia="et-EE"/>
              </w:rPr>
              <w:t>1P2202</w:t>
            </w:r>
          </w:p>
        </w:tc>
        <w:tc>
          <w:tcPr>
            <w:tcW w:w="1700" w:type="dxa"/>
            <w:tcBorders>
              <w:top w:val="nil"/>
              <w:left w:val="single" w:sz="4" w:space="0" w:color="auto"/>
              <w:bottom w:val="single" w:sz="4" w:space="0" w:color="auto"/>
              <w:right w:val="single" w:sz="4" w:space="0" w:color="auto"/>
            </w:tcBorders>
            <w:noWrap/>
            <w:vAlign w:val="center"/>
            <w:hideMark/>
          </w:tcPr>
          <w:p w14:paraId="09C2C356" w14:textId="27A2B1AE" w:rsidR="5CA04BB8" w:rsidRPr="00687DE8" w:rsidRDefault="00BC43C3">
            <w:pPr>
              <w:spacing w:after="0"/>
              <w:jc w:val="center"/>
              <w:rPr>
                <w:color w:val="000000" w:themeColor="text1"/>
                <w:szCs w:val="24"/>
              </w:rPr>
            </w:pPr>
            <w:r>
              <w:rPr>
                <w:color w:val="000000"/>
              </w:rPr>
              <w:t>1 953,40</w:t>
            </w:r>
          </w:p>
        </w:tc>
      </w:tr>
      <w:tr w:rsidR="00B60519" w:rsidRPr="00687DE8" w14:paraId="3C9DA79D" w14:textId="77777777" w:rsidTr="001B10F9">
        <w:trPr>
          <w:divId w:val="1316184749"/>
          <w:trHeight w:val="293"/>
        </w:trPr>
        <w:tc>
          <w:tcPr>
            <w:tcW w:w="6517" w:type="dxa"/>
            <w:tcBorders>
              <w:top w:val="nil"/>
              <w:left w:val="single" w:sz="4" w:space="0" w:color="auto"/>
              <w:bottom w:val="single" w:sz="4" w:space="0" w:color="auto"/>
              <w:right w:val="single" w:sz="4" w:space="0" w:color="auto"/>
            </w:tcBorders>
            <w:vAlign w:val="bottom"/>
            <w:hideMark/>
          </w:tcPr>
          <w:p w14:paraId="24175009"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Perkutaanne endoskoopiline peritoneaaldialüüsikateetri paigaldamise operatsioon</w:t>
            </w:r>
          </w:p>
        </w:tc>
        <w:tc>
          <w:tcPr>
            <w:tcW w:w="1134" w:type="dxa"/>
            <w:tcBorders>
              <w:top w:val="nil"/>
              <w:left w:val="nil"/>
              <w:bottom w:val="single" w:sz="4" w:space="0" w:color="auto"/>
              <w:right w:val="single" w:sz="4" w:space="0" w:color="auto"/>
            </w:tcBorders>
            <w:noWrap/>
            <w:vAlign w:val="bottom"/>
            <w:hideMark/>
          </w:tcPr>
          <w:p w14:paraId="2D662A9C" w14:textId="77777777" w:rsidR="00B60519" w:rsidRPr="00687DE8" w:rsidRDefault="00B60519" w:rsidP="00B60519">
            <w:pPr>
              <w:spacing w:after="0" w:line="240" w:lineRule="auto"/>
              <w:jc w:val="center"/>
              <w:rPr>
                <w:strike/>
                <w:color w:val="000000"/>
                <w:szCs w:val="24"/>
                <w:lang w:eastAsia="et-EE"/>
              </w:rPr>
            </w:pPr>
            <w:r w:rsidRPr="00687DE8">
              <w:rPr>
                <w:color w:val="000000" w:themeColor="text1"/>
                <w:szCs w:val="24"/>
                <w:lang w:eastAsia="et-EE"/>
              </w:rPr>
              <w:t>1J2221</w:t>
            </w:r>
          </w:p>
        </w:tc>
        <w:tc>
          <w:tcPr>
            <w:tcW w:w="1700" w:type="dxa"/>
            <w:tcBorders>
              <w:top w:val="nil"/>
              <w:left w:val="single" w:sz="4" w:space="0" w:color="auto"/>
              <w:bottom w:val="single" w:sz="4" w:space="0" w:color="auto"/>
              <w:right w:val="single" w:sz="4" w:space="0" w:color="auto"/>
            </w:tcBorders>
            <w:noWrap/>
            <w:vAlign w:val="center"/>
            <w:hideMark/>
          </w:tcPr>
          <w:p w14:paraId="60686771" w14:textId="27871E07" w:rsidR="5CA04BB8" w:rsidRPr="00687DE8" w:rsidRDefault="00BC43C3">
            <w:pPr>
              <w:spacing w:after="0"/>
              <w:jc w:val="center"/>
              <w:rPr>
                <w:color w:val="000000" w:themeColor="text1"/>
                <w:szCs w:val="24"/>
              </w:rPr>
            </w:pPr>
            <w:r>
              <w:rPr>
                <w:color w:val="000000"/>
              </w:rPr>
              <w:t>1 334,43</w:t>
            </w:r>
          </w:p>
        </w:tc>
      </w:tr>
      <w:tr w:rsidR="00B60519" w:rsidRPr="00687DE8" w14:paraId="2760E38D" w14:textId="77777777" w:rsidTr="001B10F9">
        <w:trPr>
          <w:divId w:val="1316184749"/>
          <w:trHeight w:val="416"/>
        </w:trPr>
        <w:tc>
          <w:tcPr>
            <w:tcW w:w="6517" w:type="dxa"/>
            <w:tcBorders>
              <w:top w:val="nil"/>
              <w:left w:val="single" w:sz="4" w:space="0" w:color="auto"/>
              <w:bottom w:val="single" w:sz="4" w:space="0" w:color="auto"/>
              <w:right w:val="single" w:sz="4" w:space="0" w:color="auto"/>
            </w:tcBorders>
            <w:vAlign w:val="bottom"/>
            <w:hideMark/>
          </w:tcPr>
          <w:p w14:paraId="0733F8D9" w14:textId="77777777" w:rsidR="00B60519" w:rsidRPr="00687DE8" w:rsidRDefault="00B60519" w:rsidP="00B60519">
            <w:pPr>
              <w:spacing w:after="0" w:line="240" w:lineRule="auto"/>
              <w:rPr>
                <w:color w:val="000000"/>
                <w:szCs w:val="24"/>
                <w:lang w:eastAsia="et-EE"/>
              </w:rPr>
            </w:pPr>
            <w:r w:rsidRPr="00687DE8">
              <w:rPr>
                <w:color w:val="000000"/>
                <w:szCs w:val="24"/>
                <w:lang w:eastAsia="et-EE"/>
              </w:rPr>
              <w:t>Neerukivi purustus kehavälise lööklainega (ESWL)</w:t>
            </w:r>
          </w:p>
        </w:tc>
        <w:tc>
          <w:tcPr>
            <w:tcW w:w="1134" w:type="dxa"/>
            <w:tcBorders>
              <w:top w:val="nil"/>
              <w:left w:val="nil"/>
              <w:bottom w:val="single" w:sz="4" w:space="0" w:color="auto"/>
              <w:right w:val="single" w:sz="4" w:space="0" w:color="auto"/>
            </w:tcBorders>
            <w:noWrap/>
            <w:vAlign w:val="bottom"/>
            <w:hideMark/>
          </w:tcPr>
          <w:p w14:paraId="6FDE42E5" w14:textId="77777777" w:rsidR="00B60519" w:rsidRPr="00687DE8" w:rsidRDefault="00B60519" w:rsidP="00B60519">
            <w:pPr>
              <w:spacing w:after="0" w:line="240" w:lineRule="auto"/>
              <w:jc w:val="center"/>
              <w:rPr>
                <w:color w:val="000000"/>
                <w:szCs w:val="24"/>
                <w:lang w:eastAsia="et-EE"/>
              </w:rPr>
            </w:pPr>
            <w:r w:rsidRPr="00687DE8">
              <w:rPr>
                <w:color w:val="000000"/>
                <w:szCs w:val="24"/>
                <w:lang w:eastAsia="et-EE"/>
              </w:rPr>
              <w:t>1K2231</w:t>
            </w:r>
          </w:p>
        </w:tc>
        <w:tc>
          <w:tcPr>
            <w:tcW w:w="1700" w:type="dxa"/>
            <w:tcBorders>
              <w:top w:val="nil"/>
              <w:left w:val="single" w:sz="4" w:space="0" w:color="auto"/>
              <w:bottom w:val="single" w:sz="4" w:space="0" w:color="auto"/>
              <w:right w:val="single" w:sz="4" w:space="0" w:color="auto"/>
            </w:tcBorders>
            <w:noWrap/>
            <w:vAlign w:val="center"/>
            <w:hideMark/>
          </w:tcPr>
          <w:p w14:paraId="396B49C2" w14:textId="0597C6C4" w:rsidR="5CA04BB8" w:rsidRPr="00687DE8" w:rsidRDefault="00BC43C3">
            <w:pPr>
              <w:spacing w:after="0"/>
              <w:jc w:val="center"/>
              <w:rPr>
                <w:color w:val="000000" w:themeColor="text1"/>
                <w:szCs w:val="24"/>
              </w:rPr>
            </w:pPr>
            <w:r>
              <w:rPr>
                <w:color w:val="000000"/>
              </w:rPr>
              <w:t>605,73</w:t>
            </w:r>
          </w:p>
        </w:tc>
      </w:tr>
    </w:tbl>
    <w:p w14:paraId="4B0650B8" w14:textId="77777777" w:rsidR="00F84969" w:rsidRPr="00687DE8" w:rsidRDefault="00F84969" w:rsidP="00976487">
      <w:pPr>
        <w:spacing w:after="0" w:line="240" w:lineRule="auto"/>
        <w:jc w:val="both"/>
        <w:divId w:val="1316184749"/>
        <w:rPr>
          <w:szCs w:val="24"/>
        </w:rPr>
      </w:pPr>
    </w:p>
    <w:p w14:paraId="4C537B09" w14:textId="77777777" w:rsidR="00976487" w:rsidRPr="00687DE8" w:rsidRDefault="00976487" w:rsidP="00976487">
      <w:pPr>
        <w:spacing w:after="0" w:line="240" w:lineRule="auto"/>
        <w:jc w:val="both"/>
        <w:divId w:val="1316184749"/>
        <w:rPr>
          <w:szCs w:val="24"/>
        </w:rPr>
      </w:pPr>
      <w:r w:rsidRPr="00687DE8">
        <w:rPr>
          <w:szCs w:val="24"/>
        </w:rPr>
        <w:t>(</w:t>
      </w:r>
      <w:r w:rsidR="00531B38" w:rsidRPr="00687DE8">
        <w:rPr>
          <w:szCs w:val="24"/>
        </w:rPr>
        <w:t>2</w:t>
      </w:r>
      <w:r w:rsidRPr="00687DE8">
        <w:rPr>
          <w:szCs w:val="24"/>
        </w:rPr>
        <w:t xml:space="preserve">) Koodiga </w:t>
      </w:r>
      <w:r w:rsidR="00096641" w:rsidRPr="00687DE8">
        <w:rPr>
          <w:szCs w:val="24"/>
        </w:rPr>
        <w:t>1K2143</w:t>
      </w:r>
      <w:r w:rsidRPr="00687DE8">
        <w:rPr>
          <w:szCs w:val="24"/>
        </w:rPr>
        <w:t xml:space="preserve"> tähistatud tervishoiuteenuse piirhind sisaldab doonori mõlema neeru eemaldamise ja käitlusega seotud kulusid.</w:t>
      </w:r>
    </w:p>
    <w:p w14:paraId="39A3DA18" w14:textId="77777777" w:rsidR="000D7CA0" w:rsidRPr="00687DE8" w:rsidRDefault="000D7CA0" w:rsidP="00976487">
      <w:pPr>
        <w:spacing w:after="0" w:line="240" w:lineRule="auto"/>
        <w:jc w:val="both"/>
        <w:divId w:val="1316184749"/>
        <w:rPr>
          <w:szCs w:val="24"/>
        </w:rPr>
      </w:pPr>
    </w:p>
    <w:p w14:paraId="5DF28BAE" w14:textId="15CFCBE4" w:rsidR="00976487" w:rsidRPr="00687DE8" w:rsidRDefault="00976487" w:rsidP="00976487">
      <w:pPr>
        <w:spacing w:after="0" w:line="240" w:lineRule="auto"/>
        <w:jc w:val="both"/>
        <w:divId w:val="1316184749"/>
        <w:rPr>
          <w:szCs w:val="24"/>
        </w:rPr>
      </w:pPr>
      <w:r w:rsidRPr="00687DE8">
        <w:rPr>
          <w:szCs w:val="24"/>
        </w:rPr>
        <w:t>(</w:t>
      </w:r>
      <w:r w:rsidR="00531B38" w:rsidRPr="00687DE8">
        <w:rPr>
          <w:szCs w:val="24"/>
        </w:rPr>
        <w:t>3</w:t>
      </w:r>
      <w:r w:rsidRPr="00687DE8">
        <w:rPr>
          <w:szCs w:val="24"/>
        </w:rPr>
        <w:t xml:space="preserve">) </w:t>
      </w:r>
      <w:r w:rsidR="005023FD" w:rsidRPr="00687DE8">
        <w:rPr>
          <w:szCs w:val="24"/>
        </w:rPr>
        <w:t>Tervisekassa</w:t>
      </w:r>
      <w:r w:rsidRPr="00687DE8">
        <w:rPr>
          <w:szCs w:val="24"/>
        </w:rPr>
        <w:t xml:space="preserve"> võtab koodidega </w:t>
      </w:r>
      <w:r w:rsidR="00FF359E" w:rsidRPr="00687DE8">
        <w:rPr>
          <w:szCs w:val="24"/>
        </w:rPr>
        <w:t>1K22</w:t>
      </w:r>
      <w:r w:rsidR="004F3E12" w:rsidRPr="00687DE8">
        <w:rPr>
          <w:szCs w:val="24"/>
        </w:rPr>
        <w:t>28</w:t>
      </w:r>
      <w:r w:rsidRPr="00687DE8">
        <w:rPr>
          <w:szCs w:val="24"/>
        </w:rPr>
        <w:t xml:space="preserve"> ja </w:t>
      </w:r>
      <w:r w:rsidR="00E750BA" w:rsidRPr="00687DE8">
        <w:rPr>
          <w:szCs w:val="24"/>
        </w:rPr>
        <w:t>1K2140</w:t>
      </w:r>
      <w:r w:rsidRPr="00687DE8">
        <w:rPr>
          <w:szCs w:val="24"/>
        </w:rPr>
        <w:t xml:space="preserve"> tähistatud tervishoiuteenuste eest tasu maksmise kohustuse üle tervishoiuteenuse osutajaga sõlmitud ravi rahastamise lepingus kokku</w:t>
      </w:r>
      <w:r w:rsidR="00675E94" w:rsidRPr="00687DE8">
        <w:rPr>
          <w:szCs w:val="24"/>
        </w:rPr>
        <w:t xml:space="preserve"> </w:t>
      </w:r>
      <w:r w:rsidRPr="00687DE8">
        <w:rPr>
          <w:szCs w:val="24"/>
        </w:rPr>
        <w:t>lepitud tingimustel ja korras.</w:t>
      </w:r>
    </w:p>
    <w:p w14:paraId="3CE57E8F" w14:textId="77777777" w:rsidR="000D7CA0" w:rsidRPr="00687DE8" w:rsidRDefault="000D7CA0" w:rsidP="00976487">
      <w:pPr>
        <w:spacing w:after="0" w:line="240" w:lineRule="auto"/>
        <w:jc w:val="both"/>
        <w:divId w:val="1316184749"/>
        <w:rPr>
          <w:szCs w:val="24"/>
        </w:rPr>
      </w:pPr>
    </w:p>
    <w:p w14:paraId="4B350073" w14:textId="2F97C7DB" w:rsidR="00976487" w:rsidRPr="00687DE8" w:rsidRDefault="00976487" w:rsidP="00976487">
      <w:pPr>
        <w:spacing w:after="0" w:line="240" w:lineRule="auto"/>
        <w:jc w:val="both"/>
        <w:divId w:val="1316184749"/>
        <w:rPr>
          <w:szCs w:val="24"/>
        </w:rPr>
      </w:pPr>
      <w:r w:rsidRPr="00687DE8">
        <w:rPr>
          <w:szCs w:val="24"/>
        </w:rPr>
        <w:t>(</w:t>
      </w:r>
      <w:r w:rsidR="00531B38" w:rsidRPr="00687DE8">
        <w:rPr>
          <w:szCs w:val="24"/>
        </w:rPr>
        <w:t>4</w:t>
      </w:r>
      <w:r w:rsidRPr="00687DE8">
        <w:rPr>
          <w:szCs w:val="24"/>
        </w:rPr>
        <w:t xml:space="preserve">) </w:t>
      </w:r>
      <w:r w:rsidR="005023FD" w:rsidRPr="00687DE8">
        <w:rPr>
          <w:szCs w:val="24"/>
        </w:rPr>
        <w:t>Tervisekassa</w:t>
      </w:r>
      <w:r w:rsidRPr="00687DE8">
        <w:rPr>
          <w:szCs w:val="24"/>
        </w:rPr>
        <w:t xml:space="preserve"> võtab koodiga 1K2202 tähistatud tervishoiuteenuse eest tasu maksmise kohustuse üle patsiendilt, kellel esineb üks või mitu neerutuumorit läbimõõduga kuni </w:t>
      </w:r>
      <w:r w:rsidR="00755D7E" w:rsidRPr="00687DE8">
        <w:rPr>
          <w:szCs w:val="24"/>
        </w:rPr>
        <w:t>4 </w:t>
      </w:r>
      <w:r w:rsidRPr="00687DE8">
        <w:rPr>
          <w:szCs w:val="24"/>
        </w:rPr>
        <w:t>cm ja kellel neeru resektsioon ei ole võimalik raskekujuliste kaasuvate haiguste tõttu.</w:t>
      </w:r>
    </w:p>
    <w:p w14:paraId="4B5F2713" w14:textId="77777777" w:rsidR="00311E5C" w:rsidRPr="00687DE8" w:rsidRDefault="00311E5C" w:rsidP="00976487">
      <w:pPr>
        <w:spacing w:after="0" w:line="240" w:lineRule="auto"/>
        <w:jc w:val="both"/>
        <w:divId w:val="1316184749"/>
        <w:rPr>
          <w:szCs w:val="24"/>
        </w:rPr>
      </w:pPr>
    </w:p>
    <w:p w14:paraId="1C6AE1F1" w14:textId="77777777" w:rsidR="00311E5C" w:rsidRPr="00687DE8" w:rsidRDefault="00C702A9" w:rsidP="00976487">
      <w:pPr>
        <w:spacing w:after="0" w:line="240" w:lineRule="auto"/>
        <w:jc w:val="both"/>
        <w:divId w:val="1316184749"/>
        <w:rPr>
          <w:szCs w:val="24"/>
        </w:rPr>
      </w:pPr>
      <w:r w:rsidRPr="00687DE8">
        <w:rPr>
          <w:szCs w:val="24"/>
        </w:rPr>
        <w:t xml:space="preserve">(5) </w:t>
      </w:r>
      <w:r w:rsidR="00D03C50" w:rsidRPr="00687DE8">
        <w:rPr>
          <w:szCs w:val="24"/>
        </w:rPr>
        <w:t>Koodiga 1K</w:t>
      </w:r>
      <w:r w:rsidR="00067D68" w:rsidRPr="00687DE8">
        <w:rPr>
          <w:szCs w:val="24"/>
        </w:rPr>
        <w:t>2234 tähistatud</w:t>
      </w:r>
      <w:r w:rsidR="00D03C50" w:rsidRPr="00687DE8">
        <w:rPr>
          <w:szCs w:val="24"/>
        </w:rPr>
        <w:t xml:space="preserve"> </w:t>
      </w:r>
      <w:r w:rsidR="00067D68" w:rsidRPr="00687DE8">
        <w:rPr>
          <w:szCs w:val="24"/>
        </w:rPr>
        <w:t>tervishoiuteenu</w:t>
      </w:r>
      <w:r w:rsidR="005147DE" w:rsidRPr="00687DE8">
        <w:rPr>
          <w:szCs w:val="24"/>
        </w:rPr>
        <w:t xml:space="preserve">s </w:t>
      </w:r>
      <w:r w:rsidR="00D03C50" w:rsidRPr="00687DE8">
        <w:rPr>
          <w:szCs w:val="24"/>
        </w:rPr>
        <w:t xml:space="preserve">sisaldab ureeterorenoskoopia erivahendite komplekti </w:t>
      </w:r>
      <w:r w:rsidR="005147DE" w:rsidRPr="00687DE8">
        <w:rPr>
          <w:szCs w:val="24"/>
        </w:rPr>
        <w:t>maksumust.</w:t>
      </w:r>
    </w:p>
    <w:p w14:paraId="4B6A8C74" w14:textId="77777777" w:rsidR="00976487" w:rsidRPr="00687DE8" w:rsidRDefault="00976487" w:rsidP="00976487">
      <w:pPr>
        <w:spacing w:after="0" w:line="240" w:lineRule="auto"/>
        <w:jc w:val="both"/>
        <w:outlineLvl w:val="2"/>
        <w:divId w:val="1316184749"/>
        <w:rPr>
          <w:b/>
          <w:bCs/>
          <w:szCs w:val="24"/>
        </w:rPr>
      </w:pPr>
    </w:p>
    <w:p w14:paraId="519B16EE" w14:textId="77777777" w:rsidR="00976487" w:rsidRDefault="00976487" w:rsidP="00976487">
      <w:pPr>
        <w:spacing w:after="0" w:line="240" w:lineRule="auto"/>
        <w:jc w:val="both"/>
        <w:outlineLvl w:val="2"/>
        <w:divId w:val="1316184749"/>
        <w:rPr>
          <w:b/>
          <w:szCs w:val="24"/>
        </w:rPr>
      </w:pPr>
      <w:r w:rsidRPr="00687DE8">
        <w:rPr>
          <w:b/>
          <w:szCs w:val="24"/>
        </w:rPr>
        <w:t>§ 5</w:t>
      </w:r>
      <w:r w:rsidR="000245EE" w:rsidRPr="00687DE8">
        <w:rPr>
          <w:b/>
          <w:szCs w:val="24"/>
        </w:rPr>
        <w:t>1</w:t>
      </w:r>
      <w:r w:rsidRPr="00687DE8">
        <w:rPr>
          <w:b/>
          <w:szCs w:val="24"/>
        </w:rPr>
        <w:t>. Torakaalkirurgia operatsioonide piirhinnad</w:t>
      </w:r>
    </w:p>
    <w:p w14:paraId="18B66CF6" w14:textId="77777777" w:rsidR="005332E6" w:rsidRDefault="005332E6" w:rsidP="00976487">
      <w:pPr>
        <w:spacing w:after="0" w:line="240" w:lineRule="auto"/>
        <w:jc w:val="both"/>
        <w:divId w:val="1316184749"/>
        <w:rPr>
          <w:szCs w:val="24"/>
        </w:rPr>
      </w:pPr>
    </w:p>
    <w:p w14:paraId="45CB8BAA" w14:textId="0F325368" w:rsidR="00976487" w:rsidRPr="00687DE8" w:rsidRDefault="00976487" w:rsidP="00976487">
      <w:pPr>
        <w:spacing w:after="0" w:line="240" w:lineRule="auto"/>
        <w:jc w:val="both"/>
        <w:divId w:val="1316184749"/>
        <w:rPr>
          <w:szCs w:val="24"/>
        </w:rPr>
      </w:pPr>
      <w:r w:rsidRPr="00687DE8">
        <w:rPr>
          <w:szCs w:val="24"/>
        </w:rPr>
        <w:t>(1) Torakaalkirurgia operatsioonide piirhinnad on järgmised:</w:t>
      </w:r>
    </w:p>
    <w:p w14:paraId="2CB9E57B" w14:textId="77777777" w:rsidR="00976487" w:rsidRPr="00687DE8" w:rsidRDefault="00976487" w:rsidP="00B16F83">
      <w:pPr>
        <w:pStyle w:val="TableContents"/>
        <w:widowControl/>
        <w:suppressLineNumbers w:val="0"/>
        <w:suppressAutoHyphens w:val="0"/>
        <w:spacing w:line="240" w:lineRule="auto"/>
        <w:divId w:val="131618474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1"/>
        <w:gridCol w:w="1069"/>
        <w:gridCol w:w="1745"/>
      </w:tblGrid>
      <w:tr w:rsidR="00976487" w:rsidRPr="00687DE8" w14:paraId="65BBAD77" w14:textId="77777777" w:rsidTr="005125BA">
        <w:trPr>
          <w:divId w:val="1316184749"/>
          <w:tblHeader/>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A568A9" w14:textId="77777777" w:rsidR="00976487" w:rsidRPr="00687DE8" w:rsidRDefault="00976487">
            <w:pPr>
              <w:spacing w:after="0" w:line="240" w:lineRule="auto"/>
              <w:jc w:val="center"/>
              <w:rPr>
                <w:szCs w:val="24"/>
              </w:rPr>
            </w:pPr>
            <w:r w:rsidRPr="00687DE8">
              <w:rPr>
                <w:b/>
                <w:bCs/>
                <w:szCs w:val="24"/>
              </w:rPr>
              <w:t>Tervishoiuteenuse nimetus</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AD1873" w14:textId="77777777" w:rsidR="00976487" w:rsidRPr="00687DE8" w:rsidRDefault="00976487">
            <w:pPr>
              <w:spacing w:after="0" w:line="240" w:lineRule="auto"/>
              <w:jc w:val="center"/>
              <w:rPr>
                <w:szCs w:val="24"/>
              </w:rPr>
            </w:pPr>
            <w:r w:rsidRPr="00687DE8">
              <w:rPr>
                <w:b/>
                <w:bCs/>
                <w:szCs w:val="24"/>
              </w:rPr>
              <w:t>Kood</w:t>
            </w:r>
          </w:p>
        </w:tc>
        <w:tc>
          <w:tcPr>
            <w:tcW w:w="17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8FD3C2"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2175B8" w:rsidRPr="00687DE8" w14:paraId="5AA88659"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FA8EF6" w14:textId="77777777" w:rsidR="002175B8" w:rsidRPr="00687DE8" w:rsidRDefault="002175B8" w:rsidP="002175B8">
            <w:pPr>
              <w:spacing w:after="0" w:line="240" w:lineRule="auto"/>
              <w:rPr>
                <w:szCs w:val="24"/>
              </w:rPr>
            </w:pPr>
            <w:r w:rsidRPr="00687DE8">
              <w:rPr>
                <w:szCs w:val="24"/>
              </w:rPr>
              <w:t>Ühe roide resektsioon</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4B6051" w14:textId="77777777" w:rsidR="002175B8" w:rsidRPr="00687DE8" w:rsidRDefault="002175B8" w:rsidP="002175B8">
            <w:pPr>
              <w:spacing w:after="0" w:line="240" w:lineRule="auto"/>
              <w:jc w:val="center"/>
              <w:rPr>
                <w:szCs w:val="24"/>
              </w:rPr>
            </w:pPr>
            <w:r w:rsidRPr="00687DE8">
              <w:rPr>
                <w:szCs w:val="24"/>
              </w:rPr>
              <w:t>20401</w:t>
            </w:r>
          </w:p>
        </w:tc>
        <w:tc>
          <w:tcPr>
            <w:tcW w:w="17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64A0F6" w14:textId="2AB106F9" w:rsidR="279B446C" w:rsidRPr="00687DE8" w:rsidRDefault="00BC43C3">
            <w:pPr>
              <w:spacing w:after="0"/>
              <w:jc w:val="center"/>
              <w:rPr>
                <w:color w:val="000000" w:themeColor="text1"/>
                <w:szCs w:val="24"/>
              </w:rPr>
            </w:pPr>
            <w:r>
              <w:rPr>
                <w:color w:val="000000"/>
              </w:rPr>
              <w:t>499,32</w:t>
            </w:r>
          </w:p>
        </w:tc>
      </w:tr>
      <w:tr w:rsidR="002175B8" w:rsidRPr="00687DE8" w14:paraId="7AE98F9E"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36DD20" w14:textId="77777777" w:rsidR="002175B8" w:rsidRPr="00687DE8" w:rsidRDefault="002175B8" w:rsidP="002175B8">
            <w:pPr>
              <w:spacing w:after="0" w:line="240" w:lineRule="auto"/>
              <w:rPr>
                <w:szCs w:val="24"/>
              </w:rPr>
            </w:pPr>
            <w:r w:rsidRPr="00687DE8">
              <w:rPr>
                <w:szCs w:val="24"/>
              </w:rPr>
              <w:t>Mitme naaberroide resektsioon</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CDD177" w14:textId="77777777" w:rsidR="002175B8" w:rsidRPr="00687DE8" w:rsidRDefault="002175B8" w:rsidP="002175B8">
            <w:pPr>
              <w:spacing w:after="0" w:line="240" w:lineRule="auto"/>
              <w:jc w:val="center"/>
              <w:rPr>
                <w:szCs w:val="24"/>
              </w:rPr>
            </w:pPr>
            <w:r w:rsidRPr="00687DE8">
              <w:rPr>
                <w:szCs w:val="24"/>
              </w:rPr>
              <w:t>30401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E02289" w14:textId="64655A04" w:rsidR="279B446C" w:rsidRPr="00687DE8" w:rsidRDefault="00BC43C3">
            <w:pPr>
              <w:spacing w:after="0"/>
              <w:jc w:val="center"/>
              <w:rPr>
                <w:color w:val="000000" w:themeColor="text1"/>
                <w:szCs w:val="24"/>
              </w:rPr>
            </w:pPr>
            <w:r>
              <w:rPr>
                <w:color w:val="000000"/>
              </w:rPr>
              <w:t>495,28</w:t>
            </w:r>
          </w:p>
        </w:tc>
      </w:tr>
      <w:tr w:rsidR="002175B8" w:rsidRPr="00687DE8" w14:paraId="686DCFDA"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379D74" w14:textId="77777777" w:rsidR="002175B8" w:rsidRPr="00687DE8" w:rsidRDefault="002175B8" w:rsidP="002175B8">
            <w:pPr>
              <w:spacing w:after="0" w:line="240" w:lineRule="auto"/>
              <w:rPr>
                <w:szCs w:val="24"/>
              </w:rPr>
            </w:pPr>
            <w:r w:rsidRPr="00687DE8">
              <w:rPr>
                <w:szCs w:val="24"/>
              </w:rPr>
              <w:t>Diagnostiline torakoskoopia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A04B21" w14:textId="77777777" w:rsidR="002175B8" w:rsidRPr="00687DE8" w:rsidRDefault="002175B8" w:rsidP="002175B8">
            <w:pPr>
              <w:spacing w:after="0" w:line="240" w:lineRule="auto"/>
              <w:jc w:val="center"/>
              <w:rPr>
                <w:szCs w:val="24"/>
              </w:rPr>
            </w:pPr>
            <w:r w:rsidRPr="00687DE8">
              <w:rPr>
                <w:szCs w:val="24"/>
              </w:rPr>
              <w:t>30402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162BD4" w14:textId="1F3B4A4F" w:rsidR="279B446C" w:rsidRPr="00687DE8" w:rsidRDefault="00BC43C3">
            <w:pPr>
              <w:spacing w:after="0"/>
              <w:jc w:val="center"/>
              <w:rPr>
                <w:color w:val="000000" w:themeColor="text1"/>
                <w:szCs w:val="24"/>
              </w:rPr>
            </w:pPr>
            <w:r>
              <w:rPr>
                <w:color w:val="000000"/>
              </w:rPr>
              <w:t>513,49</w:t>
            </w:r>
          </w:p>
        </w:tc>
      </w:tr>
      <w:tr w:rsidR="002175B8" w:rsidRPr="00687DE8" w14:paraId="63F88454" w14:textId="77777777" w:rsidTr="00EB7A71">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CBC705" w14:textId="77777777" w:rsidR="002175B8" w:rsidRPr="00687DE8" w:rsidRDefault="002175B8" w:rsidP="002175B8">
            <w:pPr>
              <w:spacing w:after="0" w:line="240" w:lineRule="auto"/>
              <w:rPr>
                <w:szCs w:val="24"/>
              </w:rPr>
            </w:pPr>
            <w:r w:rsidRPr="00687DE8">
              <w:rPr>
                <w:szCs w:val="24"/>
              </w:rPr>
              <w:t>VATS mediastiinumi või kopsubiopsia võtmiseks</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9EE914" w14:textId="77777777" w:rsidR="002175B8" w:rsidRPr="00687DE8" w:rsidRDefault="002175B8" w:rsidP="002175B8">
            <w:pPr>
              <w:spacing w:after="0" w:line="240" w:lineRule="auto"/>
              <w:jc w:val="center"/>
              <w:rPr>
                <w:szCs w:val="24"/>
              </w:rPr>
            </w:pPr>
            <w:r w:rsidRPr="00687DE8">
              <w:rPr>
                <w:szCs w:val="24"/>
              </w:rPr>
              <w:t>30403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4B1EB1" w14:textId="409E8008" w:rsidR="279B446C" w:rsidRPr="00687DE8" w:rsidRDefault="00BC43C3">
            <w:pPr>
              <w:spacing w:after="0"/>
              <w:jc w:val="center"/>
              <w:rPr>
                <w:color w:val="000000" w:themeColor="text1"/>
                <w:szCs w:val="24"/>
              </w:rPr>
            </w:pPr>
            <w:r>
              <w:rPr>
                <w:color w:val="000000"/>
              </w:rPr>
              <w:t>426,00</w:t>
            </w:r>
          </w:p>
        </w:tc>
      </w:tr>
      <w:tr w:rsidR="002175B8" w:rsidRPr="00687DE8" w14:paraId="053025C5"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F96ED8" w14:textId="77777777" w:rsidR="002175B8" w:rsidRPr="00687DE8" w:rsidRDefault="002175B8" w:rsidP="002175B8">
            <w:pPr>
              <w:spacing w:after="0" w:line="240" w:lineRule="auto"/>
              <w:rPr>
                <w:szCs w:val="24"/>
              </w:rPr>
            </w:pPr>
            <w:r w:rsidRPr="00687DE8">
              <w:rPr>
                <w:szCs w:val="24"/>
              </w:rPr>
              <w:t>Mediastinoskoopia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1E36A0" w14:textId="77777777" w:rsidR="002175B8" w:rsidRPr="00687DE8" w:rsidRDefault="002175B8" w:rsidP="002175B8">
            <w:pPr>
              <w:spacing w:after="0" w:line="240" w:lineRule="auto"/>
              <w:jc w:val="center"/>
              <w:rPr>
                <w:szCs w:val="24"/>
              </w:rPr>
            </w:pPr>
            <w:r w:rsidRPr="00687DE8">
              <w:rPr>
                <w:szCs w:val="24"/>
              </w:rPr>
              <w:t>40401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6909E2" w14:textId="1BA289C0" w:rsidR="279B446C" w:rsidRPr="00687DE8" w:rsidRDefault="00BC43C3">
            <w:pPr>
              <w:spacing w:after="0"/>
              <w:jc w:val="center"/>
              <w:rPr>
                <w:color w:val="000000" w:themeColor="text1"/>
                <w:szCs w:val="24"/>
              </w:rPr>
            </w:pPr>
            <w:r>
              <w:rPr>
                <w:color w:val="000000"/>
              </w:rPr>
              <w:t>697,26</w:t>
            </w:r>
          </w:p>
        </w:tc>
      </w:tr>
      <w:tr w:rsidR="002175B8" w:rsidRPr="00687DE8" w14:paraId="2C700F2E"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25A1A7" w14:textId="77777777" w:rsidR="002175B8" w:rsidRPr="00687DE8" w:rsidRDefault="002175B8" w:rsidP="002175B8">
            <w:pPr>
              <w:spacing w:after="0" w:line="240" w:lineRule="auto"/>
              <w:rPr>
                <w:szCs w:val="24"/>
              </w:rPr>
            </w:pPr>
            <w:r w:rsidRPr="00687DE8">
              <w:rPr>
                <w:szCs w:val="24"/>
              </w:rPr>
              <w:t>Kaelaroide või esimese roide resektsioon</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B74826" w14:textId="77777777" w:rsidR="002175B8" w:rsidRPr="00687DE8" w:rsidRDefault="002175B8" w:rsidP="002175B8">
            <w:pPr>
              <w:spacing w:after="0" w:line="240" w:lineRule="auto"/>
              <w:jc w:val="center"/>
              <w:rPr>
                <w:szCs w:val="24"/>
              </w:rPr>
            </w:pPr>
            <w:r w:rsidRPr="00687DE8">
              <w:rPr>
                <w:szCs w:val="24"/>
              </w:rPr>
              <w:t>40402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D3342B" w14:textId="458B523B" w:rsidR="279B446C" w:rsidRPr="00687DE8" w:rsidRDefault="00BC43C3">
            <w:pPr>
              <w:spacing w:after="0"/>
              <w:jc w:val="center"/>
              <w:rPr>
                <w:color w:val="000000" w:themeColor="text1"/>
                <w:szCs w:val="24"/>
              </w:rPr>
            </w:pPr>
            <w:r>
              <w:rPr>
                <w:color w:val="000000"/>
              </w:rPr>
              <w:t>604,68</w:t>
            </w:r>
          </w:p>
        </w:tc>
      </w:tr>
      <w:tr w:rsidR="002175B8" w:rsidRPr="00687DE8" w14:paraId="53C5B54A"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033538" w14:textId="77777777" w:rsidR="002175B8" w:rsidRPr="00687DE8" w:rsidRDefault="002175B8" w:rsidP="002175B8">
            <w:pPr>
              <w:spacing w:after="0" w:line="240" w:lineRule="auto"/>
              <w:rPr>
                <w:szCs w:val="24"/>
              </w:rPr>
            </w:pPr>
            <w:r w:rsidRPr="00687DE8">
              <w:rPr>
                <w:szCs w:val="24"/>
              </w:rPr>
              <w:t>Rindkere seina osaline resektsioon</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1D998F" w14:textId="77777777" w:rsidR="002175B8" w:rsidRPr="00687DE8" w:rsidRDefault="002175B8" w:rsidP="002175B8">
            <w:pPr>
              <w:spacing w:after="0" w:line="240" w:lineRule="auto"/>
              <w:jc w:val="center"/>
              <w:rPr>
                <w:szCs w:val="24"/>
              </w:rPr>
            </w:pPr>
            <w:r w:rsidRPr="00687DE8">
              <w:rPr>
                <w:szCs w:val="24"/>
              </w:rPr>
              <w:t>40403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06A58E" w14:textId="0CDE8637" w:rsidR="279B446C" w:rsidRPr="00687DE8" w:rsidRDefault="00BC43C3">
            <w:pPr>
              <w:spacing w:after="0"/>
              <w:jc w:val="center"/>
              <w:rPr>
                <w:color w:val="000000" w:themeColor="text1"/>
                <w:szCs w:val="24"/>
              </w:rPr>
            </w:pPr>
            <w:r>
              <w:rPr>
                <w:color w:val="000000"/>
              </w:rPr>
              <w:t>635,93</w:t>
            </w:r>
          </w:p>
        </w:tc>
      </w:tr>
      <w:tr w:rsidR="002175B8" w:rsidRPr="00687DE8" w14:paraId="1D4A2A69"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C8B6F7" w14:textId="77777777" w:rsidR="002175B8" w:rsidRPr="00687DE8" w:rsidRDefault="002175B8" w:rsidP="002175B8">
            <w:pPr>
              <w:spacing w:after="0" w:line="240" w:lineRule="auto"/>
              <w:rPr>
                <w:szCs w:val="24"/>
              </w:rPr>
            </w:pPr>
            <w:r w:rsidRPr="00687DE8">
              <w:rPr>
                <w:szCs w:val="24"/>
              </w:rPr>
              <w:t>Hemotooraksi kirurgiline ravi</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200ED3" w14:textId="77777777" w:rsidR="002175B8" w:rsidRPr="00687DE8" w:rsidRDefault="002175B8" w:rsidP="002175B8">
            <w:pPr>
              <w:spacing w:after="0" w:line="240" w:lineRule="auto"/>
              <w:jc w:val="center"/>
              <w:rPr>
                <w:szCs w:val="24"/>
              </w:rPr>
            </w:pPr>
            <w:r w:rsidRPr="00687DE8">
              <w:rPr>
                <w:szCs w:val="24"/>
              </w:rPr>
              <w:t>40404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5E63FF" w14:textId="4FCFAB38" w:rsidR="279B446C" w:rsidRPr="00687DE8" w:rsidRDefault="00BC43C3">
            <w:pPr>
              <w:spacing w:after="0"/>
              <w:jc w:val="center"/>
              <w:rPr>
                <w:color w:val="000000" w:themeColor="text1"/>
                <w:szCs w:val="24"/>
              </w:rPr>
            </w:pPr>
            <w:r>
              <w:rPr>
                <w:color w:val="000000"/>
              </w:rPr>
              <w:t>712,62</w:t>
            </w:r>
          </w:p>
        </w:tc>
      </w:tr>
      <w:tr w:rsidR="002175B8" w:rsidRPr="00687DE8" w14:paraId="6DA0C19A"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49B9B6" w14:textId="77777777" w:rsidR="002175B8" w:rsidRPr="00687DE8" w:rsidRDefault="002175B8" w:rsidP="002175B8">
            <w:pPr>
              <w:spacing w:after="0" w:line="240" w:lineRule="auto"/>
              <w:rPr>
                <w:szCs w:val="24"/>
              </w:rPr>
            </w:pPr>
            <w:r w:rsidRPr="00687DE8">
              <w:rPr>
                <w:szCs w:val="24"/>
              </w:rPr>
              <w:t>Diafragmaoperatsioon rinnaõõne kaudu</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666477" w14:textId="77777777" w:rsidR="002175B8" w:rsidRPr="00687DE8" w:rsidRDefault="002175B8" w:rsidP="002175B8">
            <w:pPr>
              <w:spacing w:after="0" w:line="240" w:lineRule="auto"/>
              <w:jc w:val="center"/>
              <w:rPr>
                <w:szCs w:val="24"/>
              </w:rPr>
            </w:pPr>
            <w:r w:rsidRPr="00687DE8">
              <w:rPr>
                <w:szCs w:val="24"/>
              </w:rPr>
              <w:t>40405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E557D4" w14:textId="6CE868DF" w:rsidR="279B446C" w:rsidRPr="00687DE8" w:rsidRDefault="00BC43C3">
            <w:pPr>
              <w:spacing w:after="0"/>
              <w:jc w:val="center"/>
              <w:rPr>
                <w:color w:val="000000" w:themeColor="text1"/>
                <w:szCs w:val="24"/>
              </w:rPr>
            </w:pPr>
            <w:r>
              <w:rPr>
                <w:color w:val="000000"/>
              </w:rPr>
              <w:t>661,55</w:t>
            </w:r>
          </w:p>
        </w:tc>
      </w:tr>
      <w:tr w:rsidR="002175B8" w:rsidRPr="00687DE8" w14:paraId="522F2E09"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30265C" w14:textId="77777777" w:rsidR="002175B8" w:rsidRPr="00687DE8" w:rsidRDefault="002175B8" w:rsidP="002175B8">
            <w:pPr>
              <w:spacing w:after="0" w:line="240" w:lineRule="auto"/>
              <w:rPr>
                <w:szCs w:val="24"/>
              </w:rPr>
            </w:pPr>
            <w:r w:rsidRPr="00687DE8">
              <w:rPr>
                <w:szCs w:val="24"/>
              </w:rPr>
              <w:t>Proovitorakotoomia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3C632D" w14:textId="77777777" w:rsidR="002175B8" w:rsidRPr="00687DE8" w:rsidRDefault="002175B8" w:rsidP="002175B8">
            <w:pPr>
              <w:spacing w:after="0" w:line="240" w:lineRule="auto"/>
              <w:jc w:val="center"/>
              <w:rPr>
                <w:szCs w:val="24"/>
              </w:rPr>
            </w:pPr>
            <w:r w:rsidRPr="00687DE8">
              <w:rPr>
                <w:szCs w:val="24"/>
              </w:rPr>
              <w:t>40406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F8B5D9" w14:textId="2B0C1193" w:rsidR="279B446C" w:rsidRPr="00687DE8" w:rsidRDefault="00BC43C3">
            <w:pPr>
              <w:spacing w:after="0"/>
              <w:jc w:val="center"/>
              <w:rPr>
                <w:color w:val="000000" w:themeColor="text1"/>
                <w:szCs w:val="24"/>
              </w:rPr>
            </w:pPr>
            <w:r>
              <w:rPr>
                <w:color w:val="000000"/>
              </w:rPr>
              <w:t>650,98</w:t>
            </w:r>
          </w:p>
        </w:tc>
      </w:tr>
      <w:tr w:rsidR="002175B8" w:rsidRPr="00687DE8" w14:paraId="4F554A9F"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05E3C9" w14:textId="77777777" w:rsidR="002175B8" w:rsidRPr="00687DE8" w:rsidRDefault="002175B8" w:rsidP="002175B8">
            <w:pPr>
              <w:spacing w:after="0" w:line="240" w:lineRule="auto"/>
              <w:rPr>
                <w:szCs w:val="24"/>
              </w:rPr>
            </w:pPr>
            <w:r w:rsidRPr="00687DE8">
              <w:rPr>
                <w:szCs w:val="24"/>
              </w:rPr>
              <w:t>Torakoskoopia liidete vabastamine mehaanilise pleurodeesi, kopsudekortikatsiooni või biopsiaga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8009207" w14:textId="77777777" w:rsidR="002175B8" w:rsidRPr="00687DE8" w:rsidRDefault="002175B8" w:rsidP="002175B8">
            <w:pPr>
              <w:spacing w:after="0" w:line="240" w:lineRule="auto"/>
              <w:jc w:val="center"/>
              <w:rPr>
                <w:szCs w:val="24"/>
              </w:rPr>
            </w:pPr>
            <w:r w:rsidRPr="00687DE8">
              <w:rPr>
                <w:szCs w:val="24"/>
              </w:rPr>
              <w:t>40407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876F57" w14:textId="090AF0E0" w:rsidR="279B446C" w:rsidRPr="00687DE8" w:rsidRDefault="00BC43C3">
            <w:pPr>
              <w:spacing w:after="0"/>
              <w:jc w:val="center"/>
              <w:rPr>
                <w:color w:val="000000" w:themeColor="text1"/>
                <w:szCs w:val="24"/>
              </w:rPr>
            </w:pPr>
            <w:r>
              <w:rPr>
                <w:color w:val="000000"/>
              </w:rPr>
              <w:t>610,66</w:t>
            </w:r>
          </w:p>
        </w:tc>
      </w:tr>
      <w:tr w:rsidR="002175B8" w:rsidRPr="00687DE8" w14:paraId="71693E11"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1C9141" w14:textId="77777777" w:rsidR="002175B8" w:rsidRPr="00687DE8" w:rsidRDefault="002175B8" w:rsidP="002175B8">
            <w:pPr>
              <w:spacing w:after="0" w:line="240" w:lineRule="auto"/>
              <w:rPr>
                <w:szCs w:val="24"/>
              </w:rPr>
            </w:pPr>
            <w:r w:rsidRPr="00687DE8">
              <w:rPr>
                <w:szCs w:val="24"/>
              </w:rPr>
              <w:t>VATS operatsiooniks diafragmal</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FD15C5" w14:textId="77777777" w:rsidR="002175B8" w:rsidRPr="00687DE8" w:rsidRDefault="002175B8" w:rsidP="002175B8">
            <w:pPr>
              <w:spacing w:after="0" w:line="240" w:lineRule="auto"/>
              <w:jc w:val="center"/>
              <w:rPr>
                <w:szCs w:val="24"/>
              </w:rPr>
            </w:pPr>
            <w:r w:rsidRPr="00687DE8">
              <w:rPr>
                <w:szCs w:val="24"/>
              </w:rPr>
              <w:t>40408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4B18A9" w14:textId="03C764E5" w:rsidR="279B446C" w:rsidRPr="00687DE8" w:rsidRDefault="00BC43C3">
            <w:pPr>
              <w:spacing w:after="0"/>
              <w:jc w:val="center"/>
              <w:rPr>
                <w:color w:val="000000" w:themeColor="text1"/>
                <w:szCs w:val="24"/>
              </w:rPr>
            </w:pPr>
            <w:r>
              <w:rPr>
                <w:color w:val="000000"/>
              </w:rPr>
              <w:t>723,18</w:t>
            </w:r>
          </w:p>
        </w:tc>
      </w:tr>
      <w:tr w:rsidR="002175B8" w:rsidRPr="00687DE8" w14:paraId="533AA11B"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7F038A" w14:textId="77777777" w:rsidR="002175B8" w:rsidRPr="00687DE8" w:rsidRDefault="002175B8" w:rsidP="002175B8">
            <w:pPr>
              <w:spacing w:after="0" w:line="240" w:lineRule="auto"/>
              <w:rPr>
                <w:szCs w:val="24"/>
              </w:rPr>
            </w:pPr>
            <w:r w:rsidRPr="00687DE8">
              <w:rPr>
                <w:szCs w:val="24"/>
              </w:rPr>
              <w:t>Rindkere deformatsiooni operatiivne ravi</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B7BE98" w14:textId="77777777" w:rsidR="002175B8" w:rsidRPr="00687DE8" w:rsidRDefault="002175B8" w:rsidP="002175B8">
            <w:pPr>
              <w:spacing w:after="0" w:line="240" w:lineRule="auto"/>
              <w:jc w:val="center"/>
              <w:rPr>
                <w:szCs w:val="24"/>
              </w:rPr>
            </w:pPr>
            <w:r w:rsidRPr="00687DE8">
              <w:rPr>
                <w:szCs w:val="24"/>
              </w:rPr>
              <w:t>50401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FBAF35" w14:textId="13765C6B" w:rsidR="279B446C" w:rsidRPr="00687DE8" w:rsidRDefault="00BC43C3">
            <w:pPr>
              <w:spacing w:after="0"/>
              <w:jc w:val="center"/>
              <w:rPr>
                <w:color w:val="000000" w:themeColor="text1"/>
                <w:szCs w:val="24"/>
              </w:rPr>
            </w:pPr>
            <w:r>
              <w:rPr>
                <w:color w:val="000000"/>
              </w:rPr>
              <w:t>1 019,07</w:t>
            </w:r>
          </w:p>
        </w:tc>
      </w:tr>
      <w:tr w:rsidR="002175B8" w:rsidRPr="00687DE8" w14:paraId="7AE3E2A5"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437DED" w14:textId="77777777" w:rsidR="002175B8" w:rsidRPr="00687DE8" w:rsidRDefault="002175B8" w:rsidP="002175B8">
            <w:pPr>
              <w:spacing w:after="0" w:line="240" w:lineRule="auto"/>
              <w:rPr>
                <w:szCs w:val="24"/>
              </w:rPr>
            </w:pPr>
            <w:r w:rsidRPr="00687DE8">
              <w:rPr>
                <w:szCs w:val="24"/>
              </w:rPr>
              <w:t>Ekstrapleuraalne torakoplastika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429CE7" w14:textId="77777777" w:rsidR="002175B8" w:rsidRPr="00687DE8" w:rsidRDefault="002175B8" w:rsidP="002175B8">
            <w:pPr>
              <w:spacing w:after="0" w:line="240" w:lineRule="auto"/>
              <w:jc w:val="center"/>
              <w:rPr>
                <w:szCs w:val="24"/>
              </w:rPr>
            </w:pPr>
            <w:r w:rsidRPr="00687DE8">
              <w:rPr>
                <w:szCs w:val="24"/>
              </w:rPr>
              <w:t>50403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6B17A0" w14:textId="3EC42354" w:rsidR="279B446C" w:rsidRPr="00687DE8" w:rsidRDefault="00BC43C3">
            <w:pPr>
              <w:spacing w:after="0"/>
              <w:jc w:val="center"/>
              <w:rPr>
                <w:color w:val="000000" w:themeColor="text1"/>
                <w:szCs w:val="24"/>
              </w:rPr>
            </w:pPr>
            <w:r>
              <w:rPr>
                <w:color w:val="000000"/>
              </w:rPr>
              <w:t>1 023,10</w:t>
            </w:r>
          </w:p>
        </w:tc>
      </w:tr>
      <w:tr w:rsidR="002175B8" w:rsidRPr="00687DE8" w14:paraId="2378C913"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7ADC8A" w14:textId="77777777" w:rsidR="002175B8" w:rsidRPr="00687DE8" w:rsidRDefault="002175B8" w:rsidP="002175B8">
            <w:pPr>
              <w:spacing w:after="0" w:line="240" w:lineRule="auto"/>
              <w:rPr>
                <w:szCs w:val="24"/>
              </w:rPr>
            </w:pPr>
            <w:r w:rsidRPr="00687DE8">
              <w:rPr>
                <w:szCs w:val="24"/>
              </w:rPr>
              <w:t>Torakotoomia healoomulise kasvaja eemaldamiseks</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6B52B4" w14:textId="77777777" w:rsidR="002175B8" w:rsidRPr="00687DE8" w:rsidRDefault="002175B8" w:rsidP="002175B8">
            <w:pPr>
              <w:spacing w:after="0" w:line="240" w:lineRule="auto"/>
              <w:jc w:val="center"/>
              <w:rPr>
                <w:szCs w:val="24"/>
              </w:rPr>
            </w:pPr>
            <w:r w:rsidRPr="00687DE8">
              <w:rPr>
                <w:szCs w:val="24"/>
              </w:rPr>
              <w:t>50404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B8226E" w14:textId="058C18AC" w:rsidR="279B446C" w:rsidRPr="00687DE8" w:rsidRDefault="00BC43C3">
            <w:pPr>
              <w:spacing w:after="0"/>
              <w:jc w:val="center"/>
              <w:rPr>
                <w:color w:val="000000" w:themeColor="text1"/>
                <w:szCs w:val="24"/>
              </w:rPr>
            </w:pPr>
            <w:r>
              <w:rPr>
                <w:color w:val="000000"/>
              </w:rPr>
              <w:t>975,11</w:t>
            </w:r>
          </w:p>
        </w:tc>
      </w:tr>
      <w:tr w:rsidR="002175B8" w:rsidRPr="00687DE8" w14:paraId="392FF598"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C6AD2D" w14:textId="77777777" w:rsidR="002175B8" w:rsidRPr="00687DE8" w:rsidRDefault="002175B8" w:rsidP="002175B8">
            <w:pPr>
              <w:spacing w:after="0" w:line="240" w:lineRule="auto"/>
              <w:rPr>
                <w:szCs w:val="24"/>
              </w:rPr>
            </w:pPr>
            <w:r w:rsidRPr="00687DE8">
              <w:rPr>
                <w:szCs w:val="24"/>
              </w:rPr>
              <w:t>Atüüpiline kopsu resektsioon</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EE77EE" w14:textId="77777777" w:rsidR="002175B8" w:rsidRPr="00687DE8" w:rsidRDefault="002175B8" w:rsidP="002175B8">
            <w:pPr>
              <w:spacing w:after="0" w:line="240" w:lineRule="auto"/>
              <w:jc w:val="center"/>
              <w:rPr>
                <w:szCs w:val="24"/>
              </w:rPr>
            </w:pPr>
            <w:r w:rsidRPr="00687DE8">
              <w:rPr>
                <w:szCs w:val="24"/>
              </w:rPr>
              <w:t>50405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7C2D99" w14:textId="6A9B3913" w:rsidR="279B446C" w:rsidRPr="00687DE8" w:rsidRDefault="00BC43C3">
            <w:pPr>
              <w:spacing w:after="0"/>
              <w:jc w:val="center"/>
              <w:rPr>
                <w:color w:val="000000" w:themeColor="text1"/>
                <w:szCs w:val="24"/>
              </w:rPr>
            </w:pPr>
            <w:r>
              <w:rPr>
                <w:color w:val="000000"/>
              </w:rPr>
              <w:t>936,34</w:t>
            </w:r>
          </w:p>
        </w:tc>
      </w:tr>
      <w:tr w:rsidR="002175B8" w:rsidRPr="00687DE8" w14:paraId="41BAA67B"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ED8DAC" w14:textId="77777777" w:rsidR="002175B8" w:rsidRPr="00687DE8" w:rsidRDefault="002175B8" w:rsidP="002175B8">
            <w:pPr>
              <w:spacing w:after="0" w:line="240" w:lineRule="auto"/>
              <w:rPr>
                <w:szCs w:val="24"/>
              </w:rPr>
            </w:pPr>
            <w:r w:rsidRPr="00687DE8">
              <w:rPr>
                <w:szCs w:val="24"/>
              </w:rPr>
              <w:t>Pleura osaline resektsioon ja torakoplastika piirdunud empüeemi korral</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7610E4C" w14:textId="77777777" w:rsidR="002175B8" w:rsidRPr="00687DE8" w:rsidRDefault="002175B8" w:rsidP="002175B8">
            <w:pPr>
              <w:spacing w:after="0" w:line="240" w:lineRule="auto"/>
              <w:jc w:val="center"/>
              <w:rPr>
                <w:szCs w:val="24"/>
              </w:rPr>
            </w:pPr>
            <w:r w:rsidRPr="00687DE8">
              <w:rPr>
                <w:szCs w:val="24"/>
              </w:rPr>
              <w:t>50406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0A9618" w14:textId="5FE98FC0" w:rsidR="279B446C" w:rsidRPr="00687DE8" w:rsidRDefault="00BC43C3">
            <w:pPr>
              <w:spacing w:after="0"/>
              <w:jc w:val="center"/>
              <w:rPr>
                <w:color w:val="000000" w:themeColor="text1"/>
                <w:szCs w:val="24"/>
              </w:rPr>
            </w:pPr>
            <w:r>
              <w:rPr>
                <w:color w:val="000000"/>
              </w:rPr>
              <w:t>980,39</w:t>
            </w:r>
          </w:p>
        </w:tc>
      </w:tr>
      <w:tr w:rsidR="002175B8" w:rsidRPr="00687DE8" w14:paraId="6C15E45D"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91A55C" w14:textId="77777777" w:rsidR="002175B8" w:rsidRPr="00687DE8" w:rsidRDefault="002175B8" w:rsidP="002175B8">
            <w:pPr>
              <w:spacing w:after="0" w:line="240" w:lineRule="auto"/>
              <w:rPr>
                <w:szCs w:val="24"/>
              </w:rPr>
            </w:pPr>
            <w:r w:rsidRPr="00687DE8">
              <w:rPr>
                <w:szCs w:val="24"/>
              </w:rPr>
              <w:t>VATS mediastiinumi tuumori või tsüsti eemaldamiseks või operatsiooniks söögitorul</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E818ABE" w14:textId="77777777" w:rsidR="002175B8" w:rsidRPr="00687DE8" w:rsidRDefault="002175B8" w:rsidP="002175B8">
            <w:pPr>
              <w:spacing w:after="0" w:line="240" w:lineRule="auto"/>
              <w:jc w:val="center"/>
              <w:rPr>
                <w:szCs w:val="24"/>
              </w:rPr>
            </w:pPr>
            <w:r w:rsidRPr="00687DE8">
              <w:rPr>
                <w:szCs w:val="24"/>
              </w:rPr>
              <w:t>1G2103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924E0B" w14:textId="1E3CB0A3" w:rsidR="279B446C" w:rsidRPr="00687DE8" w:rsidRDefault="00BC43C3">
            <w:pPr>
              <w:spacing w:after="0"/>
              <w:jc w:val="center"/>
              <w:rPr>
                <w:color w:val="000000" w:themeColor="text1"/>
                <w:szCs w:val="24"/>
              </w:rPr>
            </w:pPr>
            <w:r>
              <w:rPr>
                <w:color w:val="000000"/>
              </w:rPr>
              <w:t>1 110,68</w:t>
            </w:r>
          </w:p>
        </w:tc>
      </w:tr>
      <w:tr w:rsidR="002175B8" w:rsidRPr="00687DE8" w14:paraId="78BB090F"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E6AF29" w14:textId="77777777" w:rsidR="002175B8" w:rsidRPr="00687DE8" w:rsidRDefault="002175B8" w:rsidP="002175B8">
            <w:pPr>
              <w:spacing w:after="0" w:line="240" w:lineRule="auto"/>
              <w:rPr>
                <w:szCs w:val="24"/>
              </w:rPr>
            </w:pPr>
            <w:r w:rsidRPr="00687DE8">
              <w:rPr>
                <w:szCs w:val="24"/>
              </w:rPr>
              <w:t>Torakotoomia tüüpilise lobektoomia või pulmonektoomiaga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DA769D" w14:textId="77777777" w:rsidR="002175B8" w:rsidRPr="00687DE8" w:rsidRDefault="002175B8" w:rsidP="002175B8">
            <w:pPr>
              <w:spacing w:after="0" w:line="240" w:lineRule="auto"/>
              <w:jc w:val="center"/>
              <w:rPr>
                <w:szCs w:val="24"/>
              </w:rPr>
            </w:pPr>
            <w:r w:rsidRPr="00687DE8">
              <w:rPr>
                <w:szCs w:val="24"/>
              </w:rPr>
              <w:t>60401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1FBEEA" w14:textId="195128AC" w:rsidR="279B446C" w:rsidRPr="00687DE8" w:rsidRDefault="00BC43C3">
            <w:pPr>
              <w:spacing w:after="0"/>
              <w:jc w:val="center"/>
              <w:rPr>
                <w:color w:val="000000" w:themeColor="text1"/>
                <w:szCs w:val="24"/>
              </w:rPr>
            </w:pPr>
            <w:r>
              <w:rPr>
                <w:color w:val="000000"/>
              </w:rPr>
              <w:t>916,96</w:t>
            </w:r>
          </w:p>
        </w:tc>
      </w:tr>
      <w:tr w:rsidR="002175B8" w:rsidRPr="00687DE8" w14:paraId="71751F78"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578ADF" w14:textId="77777777" w:rsidR="002175B8" w:rsidRPr="00687DE8" w:rsidRDefault="002175B8" w:rsidP="002175B8">
            <w:pPr>
              <w:spacing w:after="0" w:line="240" w:lineRule="auto"/>
              <w:rPr>
                <w:szCs w:val="24"/>
              </w:rPr>
            </w:pPr>
            <w:r w:rsidRPr="00687DE8">
              <w:rPr>
                <w:szCs w:val="24"/>
              </w:rPr>
              <w:t>Kopsumetastaaside eemaldamine (üle viie metastaasi)</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7761C1" w14:textId="77777777" w:rsidR="002175B8" w:rsidRPr="00687DE8" w:rsidRDefault="002175B8" w:rsidP="002175B8">
            <w:pPr>
              <w:spacing w:after="0" w:line="240" w:lineRule="auto"/>
              <w:jc w:val="center"/>
              <w:rPr>
                <w:szCs w:val="24"/>
              </w:rPr>
            </w:pPr>
            <w:r w:rsidRPr="00687DE8">
              <w:rPr>
                <w:szCs w:val="24"/>
              </w:rPr>
              <w:t>60402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850D20" w14:textId="5991FE96" w:rsidR="279B446C" w:rsidRPr="00687DE8" w:rsidRDefault="00BC43C3">
            <w:pPr>
              <w:spacing w:after="0"/>
              <w:jc w:val="center"/>
              <w:rPr>
                <w:color w:val="000000" w:themeColor="text1"/>
                <w:szCs w:val="24"/>
              </w:rPr>
            </w:pPr>
            <w:r>
              <w:rPr>
                <w:color w:val="000000"/>
              </w:rPr>
              <w:t>1 091,42</w:t>
            </w:r>
          </w:p>
        </w:tc>
      </w:tr>
      <w:tr w:rsidR="002175B8" w:rsidRPr="00687DE8" w14:paraId="03CC2909"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454012" w14:textId="77777777" w:rsidR="002175B8" w:rsidRPr="00687DE8" w:rsidRDefault="002175B8" w:rsidP="002175B8">
            <w:pPr>
              <w:spacing w:after="0" w:line="240" w:lineRule="auto"/>
              <w:rPr>
                <w:szCs w:val="24"/>
              </w:rPr>
            </w:pPr>
            <w:r w:rsidRPr="00687DE8">
              <w:rPr>
                <w:szCs w:val="24"/>
              </w:rPr>
              <w:t>Kopsu dekortikatsioon</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B7C795" w14:textId="77777777" w:rsidR="002175B8" w:rsidRPr="00687DE8" w:rsidRDefault="002175B8" w:rsidP="002175B8">
            <w:pPr>
              <w:spacing w:after="0" w:line="240" w:lineRule="auto"/>
              <w:jc w:val="center"/>
              <w:rPr>
                <w:szCs w:val="24"/>
              </w:rPr>
            </w:pPr>
            <w:r w:rsidRPr="00687DE8">
              <w:rPr>
                <w:szCs w:val="24"/>
              </w:rPr>
              <w:t>60403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17B1CF" w14:textId="50E0B1DC" w:rsidR="279B446C" w:rsidRPr="00687DE8" w:rsidRDefault="00BC43C3">
            <w:pPr>
              <w:spacing w:after="0"/>
              <w:jc w:val="center"/>
              <w:rPr>
                <w:color w:val="000000" w:themeColor="text1"/>
                <w:szCs w:val="24"/>
              </w:rPr>
            </w:pPr>
            <w:r>
              <w:rPr>
                <w:color w:val="000000"/>
              </w:rPr>
              <w:t>1 130,19</w:t>
            </w:r>
          </w:p>
        </w:tc>
      </w:tr>
      <w:tr w:rsidR="002175B8" w:rsidRPr="00687DE8" w14:paraId="2856140A"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4EF498" w14:textId="77777777" w:rsidR="002175B8" w:rsidRPr="00687DE8" w:rsidRDefault="002175B8" w:rsidP="002175B8">
            <w:pPr>
              <w:spacing w:after="0" w:line="240" w:lineRule="auto"/>
              <w:rPr>
                <w:szCs w:val="24"/>
              </w:rPr>
            </w:pPr>
            <w:r w:rsidRPr="00687DE8">
              <w:rPr>
                <w:szCs w:val="24"/>
              </w:rPr>
              <w:t>Ühepoolne pleurektoomia iseseisva toiminguna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0A3925" w14:textId="77777777" w:rsidR="002175B8" w:rsidRPr="00687DE8" w:rsidRDefault="002175B8" w:rsidP="002175B8">
            <w:pPr>
              <w:spacing w:after="0" w:line="240" w:lineRule="auto"/>
              <w:jc w:val="center"/>
              <w:rPr>
                <w:szCs w:val="24"/>
              </w:rPr>
            </w:pPr>
            <w:r w:rsidRPr="00687DE8">
              <w:rPr>
                <w:szCs w:val="24"/>
              </w:rPr>
              <w:t>60404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755D18" w14:textId="571417F1" w:rsidR="279B446C" w:rsidRPr="00687DE8" w:rsidRDefault="00BC43C3">
            <w:pPr>
              <w:spacing w:after="0"/>
              <w:jc w:val="center"/>
              <w:rPr>
                <w:color w:val="000000" w:themeColor="text1"/>
                <w:szCs w:val="24"/>
              </w:rPr>
            </w:pPr>
            <w:r>
              <w:rPr>
                <w:color w:val="000000"/>
              </w:rPr>
              <w:t>1 091,42</w:t>
            </w:r>
          </w:p>
        </w:tc>
      </w:tr>
      <w:tr w:rsidR="002175B8" w:rsidRPr="00687DE8" w14:paraId="70703E8E"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4B7CCF" w14:textId="77777777" w:rsidR="002175B8" w:rsidRPr="00687DE8" w:rsidRDefault="002175B8" w:rsidP="002175B8">
            <w:pPr>
              <w:spacing w:after="0" w:line="240" w:lineRule="auto"/>
              <w:rPr>
                <w:szCs w:val="24"/>
              </w:rPr>
            </w:pPr>
            <w:r w:rsidRPr="00687DE8">
              <w:rPr>
                <w:szCs w:val="24"/>
              </w:rPr>
              <w:t>Kopsumetastaaside eemaldamine sternotoomiast (kahepoolne)</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FFB504" w14:textId="77777777" w:rsidR="002175B8" w:rsidRPr="00687DE8" w:rsidRDefault="002175B8" w:rsidP="002175B8">
            <w:pPr>
              <w:spacing w:after="0" w:line="240" w:lineRule="auto"/>
              <w:jc w:val="center"/>
              <w:rPr>
                <w:szCs w:val="24"/>
              </w:rPr>
            </w:pPr>
            <w:r w:rsidRPr="00687DE8">
              <w:rPr>
                <w:szCs w:val="24"/>
              </w:rPr>
              <w:t>60405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791817" w14:textId="38E75C48" w:rsidR="279B446C" w:rsidRPr="00687DE8" w:rsidRDefault="00BC43C3">
            <w:pPr>
              <w:spacing w:after="0"/>
              <w:jc w:val="center"/>
              <w:rPr>
                <w:color w:val="000000" w:themeColor="text1"/>
                <w:szCs w:val="24"/>
              </w:rPr>
            </w:pPr>
            <w:r>
              <w:rPr>
                <w:color w:val="000000"/>
              </w:rPr>
              <w:t>1 133,54</w:t>
            </w:r>
          </w:p>
        </w:tc>
      </w:tr>
      <w:tr w:rsidR="002175B8" w:rsidRPr="00687DE8" w14:paraId="27D056E7"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1CC09A" w14:textId="77777777" w:rsidR="002175B8" w:rsidRPr="00687DE8" w:rsidRDefault="002175B8" w:rsidP="002175B8">
            <w:pPr>
              <w:spacing w:after="0" w:line="240" w:lineRule="auto"/>
              <w:rPr>
                <w:szCs w:val="24"/>
              </w:rPr>
            </w:pPr>
            <w:r w:rsidRPr="00687DE8">
              <w:rPr>
                <w:szCs w:val="24"/>
              </w:rPr>
              <w:t>Rindkereseina kirurgiline stabiliseerimine</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15A6E3" w14:textId="77777777" w:rsidR="002175B8" w:rsidRPr="00687DE8" w:rsidRDefault="002175B8" w:rsidP="002175B8">
            <w:pPr>
              <w:spacing w:after="0" w:line="240" w:lineRule="auto"/>
              <w:jc w:val="center"/>
              <w:rPr>
                <w:szCs w:val="24"/>
              </w:rPr>
            </w:pPr>
            <w:r w:rsidRPr="00687DE8">
              <w:rPr>
                <w:szCs w:val="24"/>
              </w:rPr>
              <w:t>70203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C6657" w14:textId="1ECC06EE" w:rsidR="279B446C" w:rsidRPr="00687DE8" w:rsidRDefault="00BC43C3">
            <w:pPr>
              <w:spacing w:after="0"/>
              <w:jc w:val="center"/>
              <w:rPr>
                <w:color w:val="000000" w:themeColor="text1"/>
                <w:szCs w:val="24"/>
              </w:rPr>
            </w:pPr>
            <w:r>
              <w:rPr>
                <w:color w:val="000000"/>
              </w:rPr>
              <w:t>1 612,94</w:t>
            </w:r>
          </w:p>
        </w:tc>
      </w:tr>
      <w:tr w:rsidR="002175B8" w:rsidRPr="00687DE8" w14:paraId="4D60D146"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A2959C" w14:textId="77777777" w:rsidR="002175B8" w:rsidRPr="00687DE8" w:rsidRDefault="002175B8" w:rsidP="002175B8">
            <w:pPr>
              <w:spacing w:after="0" w:line="240" w:lineRule="auto"/>
              <w:rPr>
                <w:szCs w:val="24"/>
              </w:rPr>
            </w:pPr>
            <w:r w:rsidRPr="00687DE8">
              <w:rPr>
                <w:szCs w:val="24"/>
              </w:rPr>
              <w:t>Torakotoomia koos pleura osalise resektsiooniga, torakoplastika ja õõne või fistuli lihasplastikaga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E527CA1" w14:textId="77777777" w:rsidR="002175B8" w:rsidRPr="00687DE8" w:rsidRDefault="002175B8" w:rsidP="002175B8">
            <w:pPr>
              <w:spacing w:after="0" w:line="240" w:lineRule="auto"/>
              <w:jc w:val="center"/>
              <w:rPr>
                <w:szCs w:val="24"/>
              </w:rPr>
            </w:pPr>
            <w:r w:rsidRPr="00687DE8">
              <w:rPr>
                <w:szCs w:val="24"/>
              </w:rPr>
              <w:t>70401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8AB9A1" w14:textId="1432AAF6" w:rsidR="279B446C" w:rsidRPr="00687DE8" w:rsidRDefault="00BC43C3">
            <w:pPr>
              <w:spacing w:after="0"/>
              <w:jc w:val="center"/>
              <w:rPr>
                <w:color w:val="000000" w:themeColor="text1"/>
                <w:szCs w:val="24"/>
              </w:rPr>
            </w:pPr>
            <w:r>
              <w:rPr>
                <w:color w:val="000000"/>
              </w:rPr>
              <w:t>1 101,09</w:t>
            </w:r>
          </w:p>
        </w:tc>
      </w:tr>
      <w:tr w:rsidR="002175B8" w:rsidRPr="00687DE8" w14:paraId="65816F37"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4940AD" w14:textId="77777777" w:rsidR="002175B8" w:rsidRPr="00687DE8" w:rsidRDefault="002175B8" w:rsidP="002175B8">
            <w:pPr>
              <w:spacing w:after="0" w:line="240" w:lineRule="auto"/>
              <w:rPr>
                <w:szCs w:val="24"/>
              </w:rPr>
            </w:pPr>
            <w:r w:rsidRPr="00687DE8">
              <w:rPr>
                <w:szCs w:val="24"/>
              </w:rPr>
              <w:t>Laiendatud lobektoomia, bilobektoomia või pulmonektoomia kopsu pahaloomulise kasvaja korral</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342E2F3" w14:textId="77777777" w:rsidR="002175B8" w:rsidRPr="00687DE8" w:rsidRDefault="002175B8" w:rsidP="002175B8">
            <w:pPr>
              <w:spacing w:after="0" w:line="240" w:lineRule="auto"/>
              <w:jc w:val="center"/>
              <w:rPr>
                <w:szCs w:val="24"/>
              </w:rPr>
            </w:pPr>
            <w:r w:rsidRPr="00687DE8">
              <w:rPr>
                <w:szCs w:val="24"/>
              </w:rPr>
              <w:t>80401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E39F59" w14:textId="76D55251" w:rsidR="279B446C" w:rsidRPr="00687DE8" w:rsidRDefault="00BC43C3">
            <w:pPr>
              <w:spacing w:after="0"/>
              <w:jc w:val="center"/>
              <w:rPr>
                <w:color w:val="000000" w:themeColor="text1"/>
                <w:szCs w:val="24"/>
              </w:rPr>
            </w:pPr>
            <w:r>
              <w:rPr>
                <w:color w:val="000000"/>
              </w:rPr>
              <w:t>1 208,39</w:t>
            </w:r>
          </w:p>
        </w:tc>
      </w:tr>
      <w:tr w:rsidR="002175B8" w:rsidRPr="00687DE8" w14:paraId="6693A5C1"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946C52" w14:textId="77777777" w:rsidR="002175B8" w:rsidRPr="00687DE8" w:rsidRDefault="002175B8" w:rsidP="002175B8">
            <w:pPr>
              <w:spacing w:after="0" w:line="240" w:lineRule="auto"/>
              <w:rPr>
                <w:szCs w:val="24"/>
              </w:rPr>
            </w:pPr>
            <w:r w:rsidRPr="00687DE8">
              <w:rPr>
                <w:szCs w:val="24"/>
              </w:rPr>
              <w:t>Kopsu segmentresektsioon</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60C4960" w14:textId="77777777" w:rsidR="002175B8" w:rsidRPr="00687DE8" w:rsidRDefault="002175B8" w:rsidP="002175B8">
            <w:pPr>
              <w:spacing w:after="0" w:line="240" w:lineRule="auto"/>
              <w:jc w:val="center"/>
              <w:rPr>
                <w:szCs w:val="24"/>
              </w:rPr>
            </w:pPr>
            <w:r w:rsidRPr="00687DE8">
              <w:rPr>
                <w:szCs w:val="24"/>
              </w:rPr>
              <w:t>80402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3C26BA" w14:textId="70C3DB0B" w:rsidR="279B446C" w:rsidRPr="00687DE8" w:rsidRDefault="00BC43C3">
            <w:pPr>
              <w:spacing w:after="0"/>
              <w:jc w:val="center"/>
              <w:rPr>
                <w:color w:val="000000" w:themeColor="text1"/>
                <w:szCs w:val="24"/>
              </w:rPr>
            </w:pPr>
            <w:r>
              <w:rPr>
                <w:color w:val="000000"/>
              </w:rPr>
              <w:t>1 150,24</w:t>
            </w:r>
          </w:p>
        </w:tc>
      </w:tr>
      <w:tr w:rsidR="002175B8" w:rsidRPr="00687DE8" w14:paraId="204D4119"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4AD586" w14:textId="77777777" w:rsidR="002175B8" w:rsidRPr="00687DE8" w:rsidRDefault="002175B8" w:rsidP="002175B8">
            <w:pPr>
              <w:spacing w:after="0" w:line="240" w:lineRule="auto"/>
              <w:rPr>
                <w:szCs w:val="24"/>
              </w:rPr>
            </w:pPr>
            <w:r w:rsidRPr="00687DE8">
              <w:rPr>
                <w:szCs w:val="24"/>
              </w:rPr>
              <w:t>Torakaaloperatsioon keskseinandi tuumori eemaldamiseks</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6EE4B8C" w14:textId="77777777" w:rsidR="002175B8" w:rsidRPr="00687DE8" w:rsidRDefault="002175B8" w:rsidP="002175B8">
            <w:pPr>
              <w:spacing w:after="0" w:line="240" w:lineRule="auto"/>
              <w:jc w:val="center"/>
              <w:rPr>
                <w:szCs w:val="24"/>
              </w:rPr>
            </w:pPr>
            <w:r w:rsidRPr="00687DE8">
              <w:rPr>
                <w:szCs w:val="24"/>
              </w:rPr>
              <w:t>80403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AA6135" w14:textId="24B72B4F" w:rsidR="279B446C" w:rsidRPr="00687DE8" w:rsidRDefault="00BC43C3">
            <w:pPr>
              <w:spacing w:after="0"/>
              <w:jc w:val="center"/>
              <w:rPr>
                <w:color w:val="000000" w:themeColor="text1"/>
                <w:szCs w:val="24"/>
              </w:rPr>
            </w:pPr>
            <w:r>
              <w:rPr>
                <w:color w:val="000000"/>
              </w:rPr>
              <w:t>1 192,36</w:t>
            </w:r>
          </w:p>
        </w:tc>
      </w:tr>
      <w:tr w:rsidR="002175B8" w:rsidRPr="00687DE8" w14:paraId="1A82140D"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C71673" w14:textId="77777777" w:rsidR="002175B8" w:rsidRPr="00687DE8" w:rsidRDefault="002175B8" w:rsidP="002175B8">
            <w:pPr>
              <w:spacing w:after="0" w:line="240" w:lineRule="auto"/>
              <w:rPr>
                <w:szCs w:val="24"/>
              </w:rPr>
            </w:pPr>
            <w:r w:rsidRPr="00687DE8">
              <w:rPr>
                <w:szCs w:val="24"/>
              </w:rPr>
              <w:t>Videotorakoskoopiline kopsuresektsioon</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6B526B9" w14:textId="77777777" w:rsidR="002175B8" w:rsidRPr="00687DE8" w:rsidRDefault="002175B8" w:rsidP="002175B8">
            <w:pPr>
              <w:spacing w:after="0" w:line="240" w:lineRule="auto"/>
              <w:jc w:val="center"/>
              <w:rPr>
                <w:szCs w:val="24"/>
              </w:rPr>
            </w:pPr>
            <w:r w:rsidRPr="00687DE8">
              <w:rPr>
                <w:szCs w:val="24"/>
              </w:rPr>
              <w:t>80404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E6D7E3" w14:textId="22054859" w:rsidR="279B446C" w:rsidRPr="00687DE8" w:rsidRDefault="00BC43C3">
            <w:pPr>
              <w:spacing w:after="0"/>
              <w:jc w:val="center"/>
              <w:rPr>
                <w:color w:val="000000" w:themeColor="text1"/>
                <w:szCs w:val="24"/>
              </w:rPr>
            </w:pPr>
            <w:r>
              <w:rPr>
                <w:color w:val="000000"/>
              </w:rPr>
              <w:t>1 115,80</w:t>
            </w:r>
          </w:p>
        </w:tc>
      </w:tr>
      <w:tr w:rsidR="002175B8" w:rsidRPr="00687DE8" w14:paraId="6633BA0F"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47F165" w14:textId="77777777" w:rsidR="002175B8" w:rsidRPr="00687DE8" w:rsidRDefault="002175B8" w:rsidP="002175B8">
            <w:pPr>
              <w:spacing w:after="0" w:line="240" w:lineRule="auto"/>
              <w:rPr>
                <w:szCs w:val="24"/>
              </w:rPr>
            </w:pPr>
            <w:r w:rsidRPr="00687DE8">
              <w:rPr>
                <w:szCs w:val="24"/>
              </w:rPr>
              <w:t>Pleuropulmonektoomia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2046BC8" w14:textId="77777777" w:rsidR="002175B8" w:rsidRPr="00687DE8" w:rsidRDefault="002175B8" w:rsidP="002175B8">
            <w:pPr>
              <w:spacing w:after="0" w:line="240" w:lineRule="auto"/>
              <w:jc w:val="center"/>
              <w:rPr>
                <w:szCs w:val="24"/>
              </w:rPr>
            </w:pPr>
            <w:r w:rsidRPr="00687DE8">
              <w:rPr>
                <w:szCs w:val="24"/>
              </w:rPr>
              <w:t>90401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582240" w14:textId="3FB53F38" w:rsidR="279B446C" w:rsidRPr="00687DE8" w:rsidRDefault="00BC43C3">
            <w:pPr>
              <w:spacing w:after="0"/>
              <w:jc w:val="center"/>
              <w:rPr>
                <w:color w:val="000000" w:themeColor="text1"/>
                <w:szCs w:val="24"/>
              </w:rPr>
            </w:pPr>
            <w:r>
              <w:rPr>
                <w:color w:val="000000"/>
              </w:rPr>
              <w:t>1 165,95</w:t>
            </w:r>
          </w:p>
        </w:tc>
      </w:tr>
      <w:tr w:rsidR="002175B8" w:rsidRPr="00687DE8" w14:paraId="627CF935"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75CAC2" w14:textId="77777777" w:rsidR="002175B8" w:rsidRPr="00687DE8" w:rsidRDefault="002175B8" w:rsidP="002175B8">
            <w:pPr>
              <w:spacing w:after="0" w:line="240" w:lineRule="auto"/>
              <w:rPr>
                <w:szCs w:val="24"/>
              </w:rPr>
            </w:pPr>
            <w:r w:rsidRPr="00687DE8">
              <w:rPr>
                <w:szCs w:val="24"/>
              </w:rPr>
              <w:t>Torakaaloperatsioon keskseinandi pahaloomulise kasvaja eemaldamiseks</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6F0513C" w14:textId="77777777" w:rsidR="002175B8" w:rsidRPr="00687DE8" w:rsidRDefault="002175B8" w:rsidP="002175B8">
            <w:pPr>
              <w:spacing w:after="0" w:line="240" w:lineRule="auto"/>
              <w:jc w:val="center"/>
              <w:rPr>
                <w:szCs w:val="24"/>
              </w:rPr>
            </w:pPr>
            <w:r w:rsidRPr="00687DE8">
              <w:rPr>
                <w:szCs w:val="24"/>
              </w:rPr>
              <w:t>90402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D9CE7F" w14:textId="27472CB9" w:rsidR="279B446C" w:rsidRPr="00687DE8" w:rsidRDefault="00BC43C3">
            <w:pPr>
              <w:spacing w:after="0"/>
              <w:jc w:val="center"/>
              <w:rPr>
                <w:color w:val="000000" w:themeColor="text1"/>
                <w:szCs w:val="24"/>
              </w:rPr>
            </w:pPr>
            <w:r>
              <w:rPr>
                <w:color w:val="000000"/>
              </w:rPr>
              <w:t>1 324,38</w:t>
            </w:r>
          </w:p>
        </w:tc>
      </w:tr>
      <w:tr w:rsidR="002175B8" w:rsidRPr="00687DE8" w14:paraId="753083EB"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714316" w14:textId="77777777" w:rsidR="002175B8" w:rsidRPr="00687DE8" w:rsidRDefault="002175B8" w:rsidP="002175B8">
            <w:pPr>
              <w:spacing w:after="0" w:line="240" w:lineRule="auto"/>
              <w:rPr>
                <w:szCs w:val="24"/>
              </w:rPr>
            </w:pPr>
            <w:r w:rsidRPr="00687DE8">
              <w:rPr>
                <w:szCs w:val="24"/>
              </w:rPr>
              <w:lastRenderedPageBreak/>
              <w:t>Retorakotoomia bronhiköndi transperikardiaalse reamputatsiooni ja torakoplastika või lihasplastikaga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727A537" w14:textId="77777777" w:rsidR="002175B8" w:rsidRPr="00687DE8" w:rsidRDefault="002175B8" w:rsidP="002175B8">
            <w:pPr>
              <w:spacing w:after="0" w:line="240" w:lineRule="auto"/>
              <w:jc w:val="center"/>
              <w:rPr>
                <w:szCs w:val="24"/>
              </w:rPr>
            </w:pPr>
            <w:r w:rsidRPr="00687DE8">
              <w:rPr>
                <w:szCs w:val="24"/>
              </w:rPr>
              <w:t>90403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9AD691" w14:textId="708B85D4" w:rsidR="279B446C" w:rsidRPr="00687DE8" w:rsidRDefault="00BC43C3">
            <w:pPr>
              <w:spacing w:after="0"/>
              <w:jc w:val="center"/>
              <w:rPr>
                <w:color w:val="000000" w:themeColor="text1"/>
                <w:szCs w:val="24"/>
              </w:rPr>
            </w:pPr>
            <w:r>
              <w:rPr>
                <w:color w:val="000000"/>
              </w:rPr>
              <w:t>1 324,38</w:t>
            </w:r>
          </w:p>
        </w:tc>
      </w:tr>
      <w:tr w:rsidR="002175B8" w:rsidRPr="00687DE8" w14:paraId="15206C69"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41C4FB" w14:textId="77777777" w:rsidR="002175B8" w:rsidRPr="00687DE8" w:rsidRDefault="002175B8" w:rsidP="002175B8">
            <w:pPr>
              <w:spacing w:after="0" w:line="240" w:lineRule="auto"/>
              <w:rPr>
                <w:szCs w:val="24"/>
              </w:rPr>
            </w:pPr>
            <w:r w:rsidRPr="00687DE8">
              <w:rPr>
                <w:szCs w:val="24"/>
              </w:rPr>
              <w:t>Kopsu operatsioon pahaloomulise kasvaja korral koos rindkereseina ja mitme roide resektsiooni ja plastikaga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32EBFB4" w14:textId="77777777" w:rsidR="002175B8" w:rsidRPr="00687DE8" w:rsidRDefault="002175B8" w:rsidP="002175B8">
            <w:pPr>
              <w:spacing w:after="0" w:line="240" w:lineRule="auto"/>
              <w:jc w:val="center"/>
              <w:rPr>
                <w:szCs w:val="24"/>
              </w:rPr>
            </w:pPr>
            <w:r w:rsidRPr="00687DE8">
              <w:rPr>
                <w:szCs w:val="24"/>
              </w:rPr>
              <w:t>90404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8FCB74" w14:textId="339A00F0" w:rsidR="4EC185AB" w:rsidRPr="00687DE8" w:rsidRDefault="00BC43C3">
            <w:pPr>
              <w:spacing w:after="0"/>
              <w:jc w:val="center"/>
              <w:rPr>
                <w:color w:val="000000" w:themeColor="text1"/>
                <w:szCs w:val="24"/>
              </w:rPr>
            </w:pPr>
            <w:r>
              <w:rPr>
                <w:color w:val="000000"/>
              </w:rPr>
              <w:t>1 212,05</w:t>
            </w:r>
          </w:p>
        </w:tc>
      </w:tr>
      <w:tr w:rsidR="002175B8" w:rsidRPr="00687DE8" w14:paraId="6AD3C676"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EBBAAF" w14:textId="77777777" w:rsidR="002175B8" w:rsidRPr="00687DE8" w:rsidRDefault="002175B8" w:rsidP="002175B8">
            <w:pPr>
              <w:spacing w:after="0" w:line="240" w:lineRule="auto"/>
              <w:rPr>
                <w:szCs w:val="24"/>
              </w:rPr>
            </w:pPr>
            <w:r w:rsidRPr="00687DE8">
              <w:rPr>
                <w:szCs w:val="24"/>
              </w:rPr>
              <w:t>Torakoabdominaalne operatsioon pahaloomuliste kasvajate korral</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9658A70" w14:textId="77777777" w:rsidR="002175B8" w:rsidRPr="00687DE8" w:rsidRDefault="002175B8" w:rsidP="002175B8">
            <w:pPr>
              <w:spacing w:after="0" w:line="240" w:lineRule="auto"/>
              <w:jc w:val="center"/>
              <w:rPr>
                <w:szCs w:val="24"/>
              </w:rPr>
            </w:pPr>
            <w:r w:rsidRPr="00687DE8">
              <w:rPr>
                <w:szCs w:val="24"/>
              </w:rPr>
              <w:t>100401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8D4D7E" w14:textId="3622D8D2" w:rsidR="4EC185AB" w:rsidRPr="00687DE8" w:rsidRDefault="00BC43C3">
            <w:pPr>
              <w:spacing w:after="0"/>
              <w:jc w:val="center"/>
              <w:rPr>
                <w:color w:val="000000" w:themeColor="text1"/>
                <w:szCs w:val="24"/>
              </w:rPr>
            </w:pPr>
            <w:r>
              <w:rPr>
                <w:color w:val="000000"/>
              </w:rPr>
              <w:t>1 452,97</w:t>
            </w:r>
          </w:p>
        </w:tc>
      </w:tr>
      <w:tr w:rsidR="002175B8" w:rsidRPr="00687DE8" w14:paraId="400A1825" w14:textId="77777777" w:rsidTr="00EB7A71">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717DAC" w14:textId="77777777" w:rsidR="002175B8" w:rsidRPr="00687DE8" w:rsidRDefault="002175B8" w:rsidP="002175B8">
            <w:pPr>
              <w:spacing w:after="0" w:line="240" w:lineRule="auto"/>
              <w:rPr>
                <w:szCs w:val="24"/>
              </w:rPr>
            </w:pPr>
            <w:r w:rsidRPr="00687DE8">
              <w:rPr>
                <w:szCs w:val="24"/>
              </w:rPr>
              <w:t>Torakaaloperatsioon trahheobronhiaalpuul (resektsioon ja anastomoos või plastika)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1EF2365" w14:textId="77777777" w:rsidR="002175B8" w:rsidRPr="00687DE8" w:rsidRDefault="002175B8" w:rsidP="002175B8">
            <w:pPr>
              <w:spacing w:after="0" w:line="240" w:lineRule="auto"/>
              <w:jc w:val="center"/>
              <w:rPr>
                <w:szCs w:val="24"/>
              </w:rPr>
            </w:pPr>
            <w:r w:rsidRPr="00687DE8">
              <w:rPr>
                <w:szCs w:val="24"/>
              </w:rPr>
              <w:t>100402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5F8A2A" w14:textId="71E4BDC3" w:rsidR="4EC185AB" w:rsidRPr="00687DE8" w:rsidRDefault="00BC43C3">
            <w:pPr>
              <w:spacing w:after="0"/>
              <w:jc w:val="center"/>
              <w:rPr>
                <w:color w:val="000000" w:themeColor="text1"/>
                <w:szCs w:val="24"/>
              </w:rPr>
            </w:pPr>
            <w:r>
              <w:rPr>
                <w:color w:val="000000"/>
              </w:rPr>
              <w:t>1 329,72</w:t>
            </w:r>
          </w:p>
        </w:tc>
      </w:tr>
      <w:tr w:rsidR="002175B8" w:rsidRPr="00687DE8" w14:paraId="60A0960B"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4D0899" w14:textId="77777777" w:rsidR="002175B8" w:rsidRPr="00687DE8" w:rsidRDefault="002175B8" w:rsidP="002175B8">
            <w:pPr>
              <w:spacing w:after="0" w:line="240" w:lineRule="auto"/>
              <w:rPr>
                <w:szCs w:val="24"/>
              </w:rPr>
            </w:pPr>
            <w:r w:rsidRPr="00687DE8">
              <w:rPr>
                <w:szCs w:val="24"/>
              </w:rPr>
              <w:t xml:space="preserve">Kopsu ülasagara tipusegmendi operatsioon invasiivse pahaloomulise kasvaja eemaldamiseks koos ülemiste roiete, lülisamba või rinnaku jt anatoomiliste struktuuride resektsiooniga </w:t>
            </w:r>
            <w:r w:rsidRPr="00687DE8">
              <w:rPr>
                <w:i/>
                <w:iCs/>
                <w:szCs w:val="24"/>
              </w:rPr>
              <w:t>en bloc</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C4FC886" w14:textId="77777777" w:rsidR="002175B8" w:rsidRPr="00687DE8" w:rsidRDefault="002175B8" w:rsidP="002175B8">
            <w:pPr>
              <w:spacing w:after="0" w:line="240" w:lineRule="auto"/>
              <w:jc w:val="center"/>
              <w:rPr>
                <w:szCs w:val="24"/>
              </w:rPr>
            </w:pPr>
            <w:r w:rsidRPr="00687DE8">
              <w:rPr>
                <w:szCs w:val="24"/>
              </w:rPr>
              <w:t>100403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C81CA1" w14:textId="6F50DAFF" w:rsidR="4EC185AB" w:rsidRPr="00687DE8" w:rsidRDefault="00BC43C3">
            <w:pPr>
              <w:spacing w:after="0"/>
              <w:jc w:val="center"/>
              <w:rPr>
                <w:color w:val="000000" w:themeColor="text1"/>
                <w:szCs w:val="24"/>
              </w:rPr>
            </w:pPr>
            <w:r>
              <w:rPr>
                <w:color w:val="000000"/>
              </w:rPr>
              <w:t>1 438,35</w:t>
            </w:r>
          </w:p>
        </w:tc>
      </w:tr>
      <w:tr w:rsidR="002175B8" w:rsidRPr="00687DE8" w14:paraId="21665D9D"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A8FCA4" w14:textId="77777777" w:rsidR="002175B8" w:rsidRPr="00687DE8" w:rsidRDefault="002175B8" w:rsidP="002175B8">
            <w:pPr>
              <w:spacing w:after="0" w:line="240" w:lineRule="auto"/>
              <w:rPr>
                <w:szCs w:val="24"/>
              </w:rPr>
            </w:pPr>
            <w:r w:rsidRPr="00687DE8">
              <w:rPr>
                <w:szCs w:val="24"/>
              </w:rPr>
              <w:t>Torakoabdominaalne gastrektoomia laiendatud lümfadenektoomiaga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CF0CE7B" w14:textId="77777777" w:rsidR="002175B8" w:rsidRPr="00687DE8" w:rsidRDefault="002175B8" w:rsidP="002175B8">
            <w:pPr>
              <w:spacing w:after="0" w:line="240" w:lineRule="auto"/>
              <w:jc w:val="center"/>
              <w:rPr>
                <w:szCs w:val="24"/>
              </w:rPr>
            </w:pPr>
            <w:r w:rsidRPr="00687DE8">
              <w:rPr>
                <w:szCs w:val="24"/>
              </w:rPr>
              <w:t>100406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B044AF" w14:textId="0BEE5DE7" w:rsidR="4EC185AB" w:rsidRPr="00687DE8" w:rsidRDefault="00BC43C3">
            <w:pPr>
              <w:spacing w:after="0"/>
              <w:jc w:val="center"/>
              <w:rPr>
                <w:color w:val="000000" w:themeColor="text1"/>
                <w:szCs w:val="24"/>
              </w:rPr>
            </w:pPr>
            <w:r>
              <w:rPr>
                <w:color w:val="000000"/>
              </w:rPr>
              <w:t>1 424,89</w:t>
            </w:r>
          </w:p>
        </w:tc>
      </w:tr>
      <w:tr w:rsidR="002175B8" w:rsidRPr="00687DE8" w14:paraId="7F1462C2"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220E73" w14:textId="77777777" w:rsidR="002175B8" w:rsidRPr="00687DE8" w:rsidRDefault="002175B8" w:rsidP="002175B8">
            <w:pPr>
              <w:spacing w:after="0" w:line="240" w:lineRule="auto"/>
              <w:rPr>
                <w:szCs w:val="24"/>
              </w:rPr>
            </w:pPr>
            <w:r w:rsidRPr="00687DE8">
              <w:rPr>
                <w:szCs w:val="24"/>
              </w:rPr>
              <w:t>Trahhea resektsioon</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8913762" w14:textId="77777777" w:rsidR="002175B8" w:rsidRPr="00687DE8" w:rsidRDefault="002175B8" w:rsidP="002175B8">
            <w:pPr>
              <w:spacing w:after="0" w:line="240" w:lineRule="auto"/>
              <w:jc w:val="center"/>
              <w:rPr>
                <w:szCs w:val="24"/>
              </w:rPr>
            </w:pPr>
            <w:r w:rsidRPr="00687DE8">
              <w:rPr>
                <w:szCs w:val="24"/>
              </w:rPr>
              <w:t>1G2102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968D6A" w14:textId="529524BC" w:rsidR="4EC185AB" w:rsidRPr="00687DE8" w:rsidRDefault="00BC43C3">
            <w:pPr>
              <w:spacing w:after="0"/>
              <w:jc w:val="center"/>
              <w:rPr>
                <w:color w:val="000000" w:themeColor="text1"/>
                <w:szCs w:val="24"/>
              </w:rPr>
            </w:pPr>
            <w:r>
              <w:rPr>
                <w:color w:val="000000"/>
              </w:rPr>
              <w:t>1 370,48</w:t>
            </w:r>
          </w:p>
        </w:tc>
      </w:tr>
      <w:tr w:rsidR="002175B8" w:rsidRPr="00687DE8" w14:paraId="7086ECD0"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1DB585" w14:textId="77777777" w:rsidR="002175B8" w:rsidRPr="00687DE8" w:rsidRDefault="002175B8" w:rsidP="002175B8">
            <w:pPr>
              <w:spacing w:after="0" w:line="240" w:lineRule="auto"/>
              <w:rPr>
                <w:szCs w:val="24"/>
              </w:rPr>
            </w:pPr>
            <w:r w:rsidRPr="00687DE8">
              <w:rPr>
                <w:szCs w:val="24"/>
              </w:rPr>
              <w:t>Keskseinandi lõige (biopsia)</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AC991B3" w14:textId="77777777" w:rsidR="002175B8" w:rsidRPr="00687DE8" w:rsidRDefault="002175B8" w:rsidP="002175B8">
            <w:pPr>
              <w:spacing w:after="0" w:line="240" w:lineRule="auto"/>
              <w:jc w:val="center"/>
              <w:rPr>
                <w:szCs w:val="24"/>
              </w:rPr>
            </w:pPr>
            <w:r w:rsidRPr="00687DE8">
              <w:rPr>
                <w:szCs w:val="24"/>
              </w:rPr>
              <w:t>40111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344C0A" w14:textId="3EAF1484" w:rsidR="4EC185AB" w:rsidRPr="00687DE8" w:rsidRDefault="00BC43C3">
            <w:pPr>
              <w:spacing w:after="0"/>
              <w:jc w:val="center"/>
              <w:rPr>
                <w:color w:val="000000" w:themeColor="text1"/>
                <w:szCs w:val="24"/>
              </w:rPr>
            </w:pPr>
            <w:r>
              <w:rPr>
                <w:color w:val="000000"/>
              </w:rPr>
              <w:t>611,16</w:t>
            </w:r>
          </w:p>
        </w:tc>
      </w:tr>
      <w:tr w:rsidR="002175B8" w:rsidRPr="00687DE8" w14:paraId="6684698B"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37E080" w14:textId="77777777" w:rsidR="002175B8" w:rsidRPr="00687DE8" w:rsidRDefault="002175B8" w:rsidP="002175B8">
            <w:pPr>
              <w:spacing w:after="0" w:line="240" w:lineRule="auto"/>
              <w:rPr>
                <w:szCs w:val="24"/>
              </w:rPr>
            </w:pPr>
            <w:r w:rsidRPr="00687DE8">
              <w:rPr>
                <w:szCs w:val="24"/>
              </w:rPr>
              <w:t>Surnud doonori kopsude käitlus siirdamiseks, sealhulgas kopsu eemaldamine</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1AC4893" w14:textId="77777777" w:rsidR="002175B8" w:rsidRPr="00687DE8" w:rsidRDefault="002175B8" w:rsidP="002175B8">
            <w:pPr>
              <w:spacing w:after="0" w:line="240" w:lineRule="auto"/>
              <w:jc w:val="center"/>
              <w:rPr>
                <w:szCs w:val="24"/>
              </w:rPr>
            </w:pPr>
            <w:r w:rsidRPr="00687DE8">
              <w:rPr>
                <w:szCs w:val="24"/>
              </w:rPr>
              <w:t>100407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E41A95" w14:textId="5DB2EC16" w:rsidR="4EC185AB" w:rsidRPr="00687DE8" w:rsidRDefault="00BC43C3">
            <w:pPr>
              <w:spacing w:after="0"/>
              <w:jc w:val="center"/>
              <w:rPr>
                <w:color w:val="000000" w:themeColor="text1"/>
                <w:szCs w:val="24"/>
              </w:rPr>
            </w:pPr>
            <w:r>
              <w:rPr>
                <w:color w:val="000000"/>
              </w:rPr>
              <w:t>4 943,50</w:t>
            </w:r>
          </w:p>
        </w:tc>
      </w:tr>
      <w:tr w:rsidR="002175B8" w:rsidRPr="00687DE8" w14:paraId="1C26F90A" w14:textId="77777777" w:rsidTr="001B10F9">
        <w:trPr>
          <w:divId w:val="1316184749"/>
          <w:trHeight w:val="300"/>
        </w:trPr>
        <w:tc>
          <w:tcPr>
            <w:tcW w:w="6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D1DFA1" w14:textId="77777777" w:rsidR="002175B8" w:rsidRPr="00687DE8" w:rsidRDefault="002175B8" w:rsidP="002175B8">
            <w:pPr>
              <w:spacing w:after="0" w:line="240" w:lineRule="auto"/>
              <w:rPr>
                <w:szCs w:val="24"/>
              </w:rPr>
            </w:pPr>
            <w:r w:rsidRPr="00687DE8">
              <w:rPr>
                <w:szCs w:val="24"/>
              </w:rPr>
              <w:t>Kopsu siirdamine</w:t>
            </w:r>
          </w:p>
        </w:tc>
        <w:tc>
          <w:tcPr>
            <w:tcW w:w="1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7CC6B5" w14:textId="77777777" w:rsidR="002175B8" w:rsidRPr="00687DE8" w:rsidRDefault="002175B8" w:rsidP="002175B8">
            <w:pPr>
              <w:spacing w:after="0" w:line="240" w:lineRule="auto"/>
              <w:jc w:val="center"/>
              <w:rPr>
                <w:szCs w:val="24"/>
              </w:rPr>
            </w:pPr>
            <w:r w:rsidRPr="00687DE8">
              <w:rPr>
                <w:szCs w:val="24"/>
              </w:rPr>
              <w:t>100408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7E4341" w14:textId="3417E38E" w:rsidR="4EC185AB" w:rsidRPr="00687DE8" w:rsidRDefault="00BC43C3">
            <w:pPr>
              <w:spacing w:after="0"/>
              <w:jc w:val="center"/>
              <w:rPr>
                <w:color w:val="000000" w:themeColor="text1"/>
                <w:szCs w:val="24"/>
              </w:rPr>
            </w:pPr>
            <w:r>
              <w:rPr>
                <w:color w:val="000000"/>
              </w:rPr>
              <w:t>7 487,78</w:t>
            </w:r>
          </w:p>
        </w:tc>
      </w:tr>
    </w:tbl>
    <w:p w14:paraId="1E2CA68A" w14:textId="77777777" w:rsidR="00976487" w:rsidRPr="00687DE8" w:rsidRDefault="00976487" w:rsidP="00976487">
      <w:pPr>
        <w:spacing w:after="0" w:line="240" w:lineRule="auto"/>
        <w:jc w:val="both"/>
        <w:divId w:val="1316184749"/>
        <w:rPr>
          <w:szCs w:val="24"/>
        </w:rPr>
      </w:pPr>
    </w:p>
    <w:p w14:paraId="31FDAE90" w14:textId="77777777" w:rsidR="00976487" w:rsidRPr="00687DE8" w:rsidRDefault="00976487" w:rsidP="00976487">
      <w:pPr>
        <w:spacing w:after="0" w:line="240" w:lineRule="auto"/>
        <w:jc w:val="both"/>
        <w:divId w:val="1316184749"/>
        <w:rPr>
          <w:szCs w:val="24"/>
        </w:rPr>
      </w:pPr>
      <w:r w:rsidRPr="00687DE8">
        <w:rPr>
          <w:szCs w:val="24"/>
        </w:rPr>
        <w:t>(2) Koodiga 100407 tähistatud teenuse piirhind sisaldab doonori mõlema kopsu eemaldamise ja käitlusega seotud kulusid.</w:t>
      </w:r>
    </w:p>
    <w:p w14:paraId="6C1E8727" w14:textId="77777777" w:rsidR="00976487" w:rsidRPr="00687DE8" w:rsidRDefault="00976487" w:rsidP="00976487">
      <w:pPr>
        <w:spacing w:after="0" w:line="240" w:lineRule="auto"/>
        <w:jc w:val="both"/>
        <w:divId w:val="1316184749"/>
        <w:rPr>
          <w:szCs w:val="24"/>
        </w:rPr>
      </w:pPr>
    </w:p>
    <w:p w14:paraId="6A33CFE3" w14:textId="5FCD97C2"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koodidega 100407 ja 100408 tähistatud tervishoiuteenuste eest tasu maksmise kohustuse üle tervishoiuteenuse osutajaga sõlmitud ravi rahastamise lepingus kokku</w:t>
      </w:r>
      <w:r w:rsidR="00675E94" w:rsidRPr="00687DE8">
        <w:rPr>
          <w:szCs w:val="24"/>
        </w:rPr>
        <w:t xml:space="preserve"> </w:t>
      </w:r>
      <w:r w:rsidRPr="00687DE8">
        <w:rPr>
          <w:szCs w:val="24"/>
        </w:rPr>
        <w:t>lepitud tingimustel ja korras.</w:t>
      </w:r>
    </w:p>
    <w:p w14:paraId="60BB26E2" w14:textId="77777777" w:rsidR="00976487" w:rsidRPr="00687DE8" w:rsidRDefault="00976487" w:rsidP="00976487">
      <w:pPr>
        <w:spacing w:after="0" w:line="240" w:lineRule="auto"/>
        <w:jc w:val="both"/>
        <w:outlineLvl w:val="2"/>
        <w:divId w:val="1316184749"/>
        <w:rPr>
          <w:b/>
          <w:bCs/>
          <w:szCs w:val="24"/>
        </w:rPr>
      </w:pPr>
    </w:p>
    <w:p w14:paraId="06CF89C4" w14:textId="77777777" w:rsidR="00976487" w:rsidRDefault="00976487" w:rsidP="00976487">
      <w:pPr>
        <w:spacing w:after="0" w:line="240" w:lineRule="auto"/>
        <w:jc w:val="both"/>
        <w:outlineLvl w:val="2"/>
        <w:divId w:val="1316184749"/>
        <w:rPr>
          <w:b/>
          <w:szCs w:val="24"/>
        </w:rPr>
      </w:pPr>
      <w:r w:rsidRPr="00687DE8">
        <w:rPr>
          <w:b/>
          <w:szCs w:val="24"/>
        </w:rPr>
        <w:t>§ 5</w:t>
      </w:r>
      <w:r w:rsidR="000245EE" w:rsidRPr="00687DE8">
        <w:rPr>
          <w:b/>
          <w:szCs w:val="24"/>
        </w:rPr>
        <w:t>2</w:t>
      </w:r>
      <w:r w:rsidRPr="00687DE8">
        <w:rPr>
          <w:b/>
          <w:szCs w:val="24"/>
        </w:rPr>
        <w:t>. Südame- ja veresoontekirurgia operatsioonide piirhinnad</w:t>
      </w:r>
    </w:p>
    <w:p w14:paraId="05173782" w14:textId="77777777" w:rsidR="005332E6" w:rsidRDefault="005332E6" w:rsidP="00976487">
      <w:pPr>
        <w:spacing w:after="0" w:line="240" w:lineRule="auto"/>
        <w:jc w:val="both"/>
        <w:divId w:val="1316184749"/>
        <w:rPr>
          <w:szCs w:val="24"/>
        </w:rPr>
      </w:pPr>
    </w:p>
    <w:p w14:paraId="62E4D9A0" w14:textId="297EEB57" w:rsidR="00976487" w:rsidRPr="00687DE8" w:rsidRDefault="00976487" w:rsidP="00976487">
      <w:pPr>
        <w:spacing w:after="0" w:line="240" w:lineRule="auto"/>
        <w:jc w:val="both"/>
        <w:divId w:val="1316184749"/>
        <w:rPr>
          <w:szCs w:val="24"/>
        </w:rPr>
      </w:pPr>
      <w:r w:rsidRPr="00687DE8">
        <w:rPr>
          <w:szCs w:val="24"/>
        </w:rPr>
        <w:t>(1) Veresoontekirurgia operatsioonide korral rakendatakse järgmisi piirhindu:</w:t>
      </w:r>
    </w:p>
    <w:p w14:paraId="007DBC86"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7"/>
        <w:gridCol w:w="1141"/>
        <w:gridCol w:w="1617"/>
      </w:tblGrid>
      <w:tr w:rsidR="00976487" w:rsidRPr="00687DE8" w14:paraId="1BFCE0BF" w14:textId="77777777" w:rsidTr="00F172A5">
        <w:trPr>
          <w:divId w:val="1316184749"/>
          <w:tblHeader/>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B61BA5" w14:textId="77777777" w:rsidR="00976487" w:rsidRPr="00687DE8" w:rsidRDefault="00976487">
            <w:pPr>
              <w:spacing w:after="0" w:line="240" w:lineRule="auto"/>
              <w:jc w:val="center"/>
              <w:rPr>
                <w:szCs w:val="24"/>
              </w:rPr>
            </w:pPr>
            <w:r w:rsidRPr="00687DE8">
              <w:rPr>
                <w:b/>
                <w:bCs/>
                <w:szCs w:val="24"/>
              </w:rPr>
              <w:t>Tervishoiuteenuse nimetus</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4F8745" w14:textId="77777777" w:rsidR="00976487" w:rsidRPr="00687DE8" w:rsidRDefault="00976487">
            <w:pPr>
              <w:spacing w:after="0" w:line="240" w:lineRule="auto"/>
              <w:jc w:val="center"/>
              <w:rPr>
                <w:szCs w:val="24"/>
              </w:rPr>
            </w:pPr>
            <w:r w:rsidRPr="00687DE8">
              <w:rPr>
                <w:b/>
                <w:bCs/>
                <w:szCs w:val="24"/>
              </w:rPr>
              <w:t>Kood</w:t>
            </w:r>
          </w:p>
        </w:tc>
        <w:tc>
          <w:tcPr>
            <w:tcW w:w="1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0550E3"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DF254C" w:rsidRPr="00687DE8" w14:paraId="4EBBF897"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46AF6A" w14:textId="77777777" w:rsidR="00DF254C" w:rsidRPr="00687DE8" w:rsidRDefault="00DF254C" w:rsidP="00DF254C">
            <w:pPr>
              <w:spacing w:after="0" w:line="240" w:lineRule="auto"/>
              <w:rPr>
                <w:szCs w:val="24"/>
              </w:rPr>
            </w:pPr>
            <w:r w:rsidRPr="00687DE8">
              <w:rPr>
                <w:szCs w:val="24"/>
              </w:rPr>
              <w:t xml:space="preserve">Aorto-(bi)femoraalne </w:t>
            </w:r>
            <w:r w:rsidRPr="00687DE8">
              <w:rPr>
                <w:i/>
                <w:iCs/>
                <w:szCs w:val="24"/>
              </w:rPr>
              <w:t>bypass</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C45FE7" w14:textId="77777777" w:rsidR="00DF254C" w:rsidRPr="00687DE8" w:rsidRDefault="00DF254C" w:rsidP="00DF254C">
            <w:pPr>
              <w:spacing w:after="0" w:line="240" w:lineRule="auto"/>
              <w:jc w:val="center"/>
              <w:rPr>
                <w:szCs w:val="24"/>
              </w:rPr>
            </w:pPr>
            <w:r w:rsidRPr="00687DE8">
              <w:rPr>
                <w:szCs w:val="24"/>
              </w:rPr>
              <w:t>1P2105</w:t>
            </w:r>
          </w:p>
        </w:tc>
        <w:tc>
          <w:tcPr>
            <w:tcW w:w="1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3E9F36" w14:textId="13819714" w:rsidR="4EC185AB" w:rsidRPr="00687DE8" w:rsidRDefault="004F798A">
            <w:pPr>
              <w:spacing w:after="0"/>
              <w:jc w:val="center"/>
              <w:rPr>
                <w:color w:val="000000" w:themeColor="text1"/>
                <w:szCs w:val="24"/>
              </w:rPr>
            </w:pPr>
            <w:r>
              <w:rPr>
                <w:color w:val="000000"/>
              </w:rPr>
              <w:t>1 765,71</w:t>
            </w:r>
          </w:p>
        </w:tc>
      </w:tr>
      <w:tr w:rsidR="00DF254C" w:rsidRPr="00687DE8" w14:paraId="029DFA13"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3C8D27" w14:textId="77777777" w:rsidR="00DF254C" w:rsidRPr="00687DE8" w:rsidRDefault="00DF254C" w:rsidP="00DF254C">
            <w:pPr>
              <w:spacing w:after="0" w:line="240" w:lineRule="auto"/>
              <w:rPr>
                <w:szCs w:val="24"/>
              </w:rPr>
            </w:pPr>
            <w:r w:rsidRPr="00687DE8">
              <w:rPr>
                <w:szCs w:val="24"/>
              </w:rPr>
              <w:t>Arteri revisioon</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FFD1E8" w14:textId="77777777" w:rsidR="00DF254C" w:rsidRPr="00687DE8" w:rsidRDefault="00DF254C" w:rsidP="00DF254C">
            <w:pPr>
              <w:spacing w:after="0" w:line="240" w:lineRule="auto"/>
              <w:jc w:val="center"/>
              <w:rPr>
                <w:szCs w:val="24"/>
              </w:rPr>
            </w:pPr>
            <w:r w:rsidRPr="00687DE8">
              <w:rPr>
                <w:szCs w:val="24"/>
              </w:rPr>
              <w:t>1P2106</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9D38EE" w14:textId="6D8DA198" w:rsidR="4EC185AB" w:rsidRPr="00687DE8" w:rsidRDefault="004F798A">
            <w:pPr>
              <w:spacing w:after="0"/>
              <w:jc w:val="center"/>
              <w:rPr>
                <w:color w:val="000000" w:themeColor="text1"/>
                <w:szCs w:val="24"/>
              </w:rPr>
            </w:pPr>
            <w:r>
              <w:rPr>
                <w:color w:val="000000"/>
              </w:rPr>
              <w:t>769,66</w:t>
            </w:r>
          </w:p>
        </w:tc>
      </w:tr>
      <w:tr w:rsidR="00DF254C" w:rsidRPr="00687DE8" w14:paraId="0817669A"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8F6EB7" w14:textId="77777777" w:rsidR="00DF254C" w:rsidRPr="00687DE8" w:rsidRDefault="00DF254C" w:rsidP="00DF254C">
            <w:pPr>
              <w:spacing w:after="0" w:line="240" w:lineRule="auto"/>
              <w:rPr>
                <w:szCs w:val="24"/>
              </w:rPr>
            </w:pPr>
            <w:r w:rsidRPr="00687DE8">
              <w:rPr>
                <w:szCs w:val="24"/>
              </w:rPr>
              <w:t>Arteri õmblus trauma korral</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9724B7" w14:textId="77777777" w:rsidR="00DF254C" w:rsidRPr="00687DE8" w:rsidRDefault="00DF254C" w:rsidP="00DF254C">
            <w:pPr>
              <w:spacing w:after="0" w:line="240" w:lineRule="auto"/>
              <w:jc w:val="center"/>
              <w:rPr>
                <w:szCs w:val="24"/>
              </w:rPr>
            </w:pPr>
            <w:r w:rsidRPr="00687DE8">
              <w:rPr>
                <w:szCs w:val="24"/>
              </w:rPr>
              <w:t>1P2107</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023E6A" w14:textId="6D7D416C" w:rsidR="4EC185AB" w:rsidRPr="00687DE8" w:rsidRDefault="004F798A">
            <w:pPr>
              <w:spacing w:after="0"/>
              <w:jc w:val="center"/>
              <w:rPr>
                <w:color w:val="000000" w:themeColor="text1"/>
                <w:szCs w:val="24"/>
              </w:rPr>
            </w:pPr>
            <w:r>
              <w:rPr>
                <w:color w:val="000000"/>
              </w:rPr>
              <w:t>985,27</w:t>
            </w:r>
          </w:p>
        </w:tc>
      </w:tr>
      <w:tr w:rsidR="00DF254C" w:rsidRPr="00687DE8" w14:paraId="5B09EB3A"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C7E8D5" w14:textId="77777777" w:rsidR="00DF254C" w:rsidRPr="00687DE8" w:rsidRDefault="00DF254C" w:rsidP="00DF254C">
            <w:pPr>
              <w:spacing w:after="0" w:line="240" w:lineRule="auto"/>
              <w:rPr>
                <w:szCs w:val="24"/>
              </w:rPr>
            </w:pPr>
            <w:r w:rsidRPr="00687DE8">
              <w:rPr>
                <w:szCs w:val="24"/>
              </w:rPr>
              <w:t>Arterio-venoosse fistuli rajamine</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3BE06A" w14:textId="77777777" w:rsidR="00DF254C" w:rsidRPr="00687DE8" w:rsidRDefault="00DF254C" w:rsidP="00DF254C">
            <w:pPr>
              <w:spacing w:after="0" w:line="240" w:lineRule="auto"/>
              <w:jc w:val="center"/>
              <w:rPr>
                <w:szCs w:val="24"/>
              </w:rPr>
            </w:pPr>
            <w:r w:rsidRPr="00687DE8">
              <w:rPr>
                <w:szCs w:val="24"/>
              </w:rPr>
              <w:t>1P2108</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A76A70" w14:textId="7943BA27" w:rsidR="4EC185AB" w:rsidRPr="00687DE8" w:rsidRDefault="004F798A">
            <w:pPr>
              <w:spacing w:after="0"/>
              <w:jc w:val="center"/>
              <w:rPr>
                <w:color w:val="000000" w:themeColor="text1"/>
                <w:szCs w:val="24"/>
              </w:rPr>
            </w:pPr>
            <w:r>
              <w:rPr>
                <w:color w:val="000000"/>
              </w:rPr>
              <w:t>612,28</w:t>
            </w:r>
          </w:p>
        </w:tc>
      </w:tr>
      <w:tr w:rsidR="00DF254C" w:rsidRPr="00687DE8" w14:paraId="5C0CF659"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91E471" w14:textId="77777777" w:rsidR="00DF254C" w:rsidRPr="00687DE8" w:rsidRDefault="00DF254C" w:rsidP="00DF254C">
            <w:pPr>
              <w:spacing w:after="0" w:line="240" w:lineRule="auto"/>
              <w:rPr>
                <w:szCs w:val="24"/>
              </w:rPr>
            </w:pPr>
            <w:r w:rsidRPr="00687DE8">
              <w:rPr>
                <w:i/>
                <w:iCs/>
                <w:szCs w:val="24"/>
              </w:rPr>
              <w:t>Bypass</w:t>
            </w:r>
            <w:r w:rsidRPr="00687DE8">
              <w:rPr>
                <w:szCs w:val="24"/>
              </w:rPr>
              <w:t xml:space="preserve"> ekstrakraniaalsetel ajuarteritel</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F58AC2" w14:textId="77777777" w:rsidR="00DF254C" w:rsidRPr="00687DE8" w:rsidRDefault="00DF254C" w:rsidP="00DF254C">
            <w:pPr>
              <w:spacing w:after="0" w:line="240" w:lineRule="auto"/>
              <w:jc w:val="center"/>
              <w:rPr>
                <w:szCs w:val="24"/>
              </w:rPr>
            </w:pPr>
            <w:r w:rsidRPr="00687DE8">
              <w:rPr>
                <w:szCs w:val="24"/>
              </w:rPr>
              <w:t>1P2109</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F2BFD1" w14:textId="364955FE" w:rsidR="4EC185AB" w:rsidRPr="00687DE8" w:rsidRDefault="004F798A">
            <w:pPr>
              <w:spacing w:after="0"/>
              <w:jc w:val="center"/>
              <w:rPr>
                <w:color w:val="000000" w:themeColor="text1"/>
                <w:szCs w:val="24"/>
              </w:rPr>
            </w:pPr>
            <w:r>
              <w:rPr>
                <w:color w:val="000000"/>
              </w:rPr>
              <w:t>1 234,55</w:t>
            </w:r>
          </w:p>
        </w:tc>
      </w:tr>
      <w:tr w:rsidR="00DF254C" w:rsidRPr="00687DE8" w14:paraId="6C710513"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539B0E" w14:textId="77777777" w:rsidR="00DF254C" w:rsidRPr="00687DE8" w:rsidRDefault="00DF254C" w:rsidP="00DF254C">
            <w:pPr>
              <w:spacing w:after="0" w:line="240" w:lineRule="auto"/>
              <w:rPr>
                <w:szCs w:val="24"/>
              </w:rPr>
            </w:pPr>
            <w:r w:rsidRPr="00687DE8">
              <w:rPr>
                <w:i/>
                <w:iCs/>
                <w:szCs w:val="24"/>
              </w:rPr>
              <w:t>Bypass</w:t>
            </w:r>
            <w:r w:rsidRPr="00687DE8">
              <w:rPr>
                <w:szCs w:val="24"/>
              </w:rPr>
              <w:t xml:space="preserve"> infraingvinaalsetel arteritel allapoole põlveliigest</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70696A" w14:textId="77777777" w:rsidR="00DF254C" w:rsidRPr="00687DE8" w:rsidRDefault="00DF254C" w:rsidP="00DF254C">
            <w:pPr>
              <w:spacing w:after="0" w:line="240" w:lineRule="auto"/>
              <w:jc w:val="center"/>
              <w:rPr>
                <w:szCs w:val="24"/>
              </w:rPr>
            </w:pPr>
            <w:r w:rsidRPr="00687DE8">
              <w:rPr>
                <w:szCs w:val="24"/>
              </w:rPr>
              <w:t>1P2110</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D0E30A" w14:textId="3674B370" w:rsidR="4EC185AB" w:rsidRPr="00687DE8" w:rsidRDefault="004F798A">
            <w:pPr>
              <w:spacing w:after="0"/>
              <w:jc w:val="center"/>
              <w:rPr>
                <w:color w:val="000000" w:themeColor="text1"/>
                <w:szCs w:val="24"/>
              </w:rPr>
            </w:pPr>
            <w:r>
              <w:rPr>
                <w:color w:val="000000"/>
              </w:rPr>
              <w:t>1 467,33</w:t>
            </w:r>
          </w:p>
        </w:tc>
      </w:tr>
      <w:tr w:rsidR="00DF254C" w:rsidRPr="00687DE8" w14:paraId="1145897F"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DC9BDE" w14:textId="77777777" w:rsidR="00DF254C" w:rsidRPr="00687DE8" w:rsidRDefault="00DF254C" w:rsidP="00DF254C">
            <w:pPr>
              <w:spacing w:after="0" w:line="240" w:lineRule="auto"/>
              <w:rPr>
                <w:szCs w:val="24"/>
              </w:rPr>
            </w:pPr>
            <w:r w:rsidRPr="00687DE8">
              <w:rPr>
                <w:i/>
                <w:iCs/>
                <w:szCs w:val="24"/>
              </w:rPr>
              <w:t>Bypass</w:t>
            </w:r>
            <w:r w:rsidRPr="00687DE8">
              <w:rPr>
                <w:szCs w:val="24"/>
              </w:rPr>
              <w:t xml:space="preserve"> infraingvinaalsetel arteritel ülespoole põlveliigest</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547821" w14:textId="77777777" w:rsidR="00DF254C" w:rsidRPr="00687DE8" w:rsidRDefault="00DF254C" w:rsidP="00DF254C">
            <w:pPr>
              <w:spacing w:after="0" w:line="240" w:lineRule="auto"/>
              <w:jc w:val="center"/>
              <w:rPr>
                <w:szCs w:val="24"/>
              </w:rPr>
            </w:pPr>
            <w:r w:rsidRPr="00687DE8">
              <w:rPr>
                <w:szCs w:val="24"/>
              </w:rPr>
              <w:t>1P2111</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28629" w14:textId="36149213" w:rsidR="4EC185AB" w:rsidRPr="00687DE8" w:rsidRDefault="004F798A">
            <w:pPr>
              <w:spacing w:after="0"/>
              <w:jc w:val="center"/>
              <w:rPr>
                <w:color w:val="000000" w:themeColor="text1"/>
                <w:szCs w:val="24"/>
              </w:rPr>
            </w:pPr>
            <w:r>
              <w:rPr>
                <w:color w:val="000000"/>
              </w:rPr>
              <w:t>1 339,85</w:t>
            </w:r>
          </w:p>
        </w:tc>
      </w:tr>
      <w:tr w:rsidR="00DF254C" w:rsidRPr="00687DE8" w14:paraId="6BC72F96"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B883E9" w14:textId="77777777" w:rsidR="00DF254C" w:rsidRPr="00687DE8" w:rsidRDefault="00DF254C" w:rsidP="00DF254C">
            <w:pPr>
              <w:spacing w:after="0" w:line="240" w:lineRule="auto"/>
              <w:rPr>
                <w:szCs w:val="24"/>
              </w:rPr>
            </w:pPr>
            <w:r w:rsidRPr="00687DE8">
              <w:rPr>
                <w:szCs w:val="24"/>
              </w:rPr>
              <w:t xml:space="preserve">Ekstra-anatoomiline </w:t>
            </w:r>
            <w:r w:rsidRPr="00687DE8">
              <w:rPr>
                <w:i/>
                <w:iCs/>
                <w:szCs w:val="24"/>
              </w:rPr>
              <w:t>bypass</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A95304" w14:textId="77777777" w:rsidR="00DF254C" w:rsidRPr="00687DE8" w:rsidRDefault="00DF254C" w:rsidP="00DF254C">
            <w:pPr>
              <w:spacing w:after="0" w:line="240" w:lineRule="auto"/>
              <w:jc w:val="center"/>
              <w:rPr>
                <w:szCs w:val="24"/>
              </w:rPr>
            </w:pPr>
            <w:r w:rsidRPr="00687DE8">
              <w:rPr>
                <w:szCs w:val="24"/>
              </w:rPr>
              <w:t>1P2112</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6B3F8B" w14:textId="4E34BA31" w:rsidR="4EC185AB" w:rsidRPr="00687DE8" w:rsidRDefault="004F798A">
            <w:pPr>
              <w:spacing w:after="0"/>
              <w:jc w:val="center"/>
              <w:rPr>
                <w:color w:val="000000" w:themeColor="text1"/>
                <w:szCs w:val="24"/>
              </w:rPr>
            </w:pPr>
            <w:r>
              <w:rPr>
                <w:color w:val="000000"/>
              </w:rPr>
              <w:t>1 225,96</w:t>
            </w:r>
          </w:p>
        </w:tc>
      </w:tr>
      <w:tr w:rsidR="00DF254C" w:rsidRPr="00687DE8" w14:paraId="503B4FF1"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797E1C" w14:textId="77777777" w:rsidR="00DF254C" w:rsidRPr="00687DE8" w:rsidRDefault="00DF254C" w:rsidP="00DF254C">
            <w:pPr>
              <w:spacing w:after="0" w:line="240" w:lineRule="auto"/>
              <w:rPr>
                <w:szCs w:val="24"/>
              </w:rPr>
            </w:pPr>
            <w:r w:rsidRPr="00687DE8">
              <w:rPr>
                <w:szCs w:val="24"/>
              </w:rPr>
              <w:t>Ekstrakraniaalsete ajuarterite endarterektoomia ja plastika</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E7D24F" w14:textId="77777777" w:rsidR="00DF254C" w:rsidRPr="00687DE8" w:rsidRDefault="00DF254C" w:rsidP="00DF254C">
            <w:pPr>
              <w:spacing w:after="0" w:line="240" w:lineRule="auto"/>
              <w:jc w:val="center"/>
              <w:rPr>
                <w:szCs w:val="24"/>
              </w:rPr>
            </w:pPr>
            <w:r w:rsidRPr="00687DE8">
              <w:rPr>
                <w:szCs w:val="24"/>
              </w:rPr>
              <w:t>1P2113</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5A57B8" w14:textId="57D7DB17" w:rsidR="4EC185AB" w:rsidRPr="00687DE8" w:rsidRDefault="004F798A">
            <w:pPr>
              <w:spacing w:after="0"/>
              <w:jc w:val="center"/>
              <w:rPr>
                <w:color w:val="000000" w:themeColor="text1"/>
                <w:szCs w:val="24"/>
              </w:rPr>
            </w:pPr>
            <w:r>
              <w:rPr>
                <w:color w:val="000000"/>
              </w:rPr>
              <w:t>1 163,58</w:t>
            </w:r>
          </w:p>
        </w:tc>
      </w:tr>
      <w:tr w:rsidR="00DF254C" w:rsidRPr="00687DE8" w14:paraId="1C3CA9E6"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76AE37" w14:textId="77777777" w:rsidR="00DF254C" w:rsidRPr="00687DE8" w:rsidRDefault="00DF254C" w:rsidP="00DF254C">
            <w:pPr>
              <w:spacing w:after="0" w:line="240" w:lineRule="auto"/>
              <w:rPr>
                <w:szCs w:val="24"/>
              </w:rPr>
            </w:pPr>
            <w:r w:rsidRPr="00687DE8">
              <w:rPr>
                <w:szCs w:val="24"/>
              </w:rPr>
              <w:t>Ekstrakraniaalsete ajuarterite eversioonendarterektoomia</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062967" w14:textId="77777777" w:rsidR="00DF254C" w:rsidRPr="00687DE8" w:rsidRDefault="00DF254C" w:rsidP="00DF254C">
            <w:pPr>
              <w:spacing w:after="0" w:line="240" w:lineRule="auto"/>
              <w:jc w:val="center"/>
              <w:rPr>
                <w:szCs w:val="24"/>
              </w:rPr>
            </w:pPr>
            <w:r w:rsidRPr="00687DE8">
              <w:rPr>
                <w:szCs w:val="24"/>
              </w:rPr>
              <w:t>1P2114</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9828AD" w14:textId="0EFCF3C6" w:rsidR="4EC185AB" w:rsidRPr="00687DE8" w:rsidRDefault="004F798A">
            <w:pPr>
              <w:spacing w:after="0"/>
              <w:jc w:val="center"/>
              <w:rPr>
                <w:color w:val="000000" w:themeColor="text1"/>
                <w:szCs w:val="24"/>
              </w:rPr>
            </w:pPr>
            <w:r>
              <w:rPr>
                <w:color w:val="000000"/>
              </w:rPr>
              <w:t>970,39</w:t>
            </w:r>
          </w:p>
        </w:tc>
      </w:tr>
      <w:tr w:rsidR="00DF254C" w:rsidRPr="00687DE8" w14:paraId="526076B0"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4E8E28" w14:textId="77777777" w:rsidR="00DF254C" w:rsidRPr="00687DE8" w:rsidRDefault="00DF254C" w:rsidP="00DF254C">
            <w:pPr>
              <w:spacing w:after="0" w:line="240" w:lineRule="auto"/>
              <w:rPr>
                <w:szCs w:val="24"/>
              </w:rPr>
            </w:pPr>
            <w:r w:rsidRPr="00687DE8">
              <w:rPr>
                <w:szCs w:val="24"/>
              </w:rPr>
              <w:lastRenderedPageBreak/>
              <w:t>Elefantiaasi kirurgiline kõrvaldamine</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B077D1" w14:textId="77777777" w:rsidR="00DF254C" w:rsidRPr="00687DE8" w:rsidRDefault="00DF254C" w:rsidP="00DF254C">
            <w:pPr>
              <w:spacing w:after="0" w:line="240" w:lineRule="auto"/>
              <w:jc w:val="center"/>
              <w:rPr>
                <w:szCs w:val="24"/>
              </w:rPr>
            </w:pPr>
            <w:r w:rsidRPr="00687DE8">
              <w:rPr>
                <w:szCs w:val="24"/>
              </w:rPr>
              <w:t>1P2115</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CB4AB8" w14:textId="1920B46B" w:rsidR="4EC185AB" w:rsidRPr="00687DE8" w:rsidRDefault="004F798A">
            <w:pPr>
              <w:spacing w:after="0"/>
              <w:jc w:val="center"/>
              <w:rPr>
                <w:color w:val="000000" w:themeColor="text1"/>
                <w:szCs w:val="24"/>
              </w:rPr>
            </w:pPr>
            <w:r>
              <w:rPr>
                <w:color w:val="000000"/>
              </w:rPr>
              <w:t>1 849,80</w:t>
            </w:r>
          </w:p>
        </w:tc>
      </w:tr>
      <w:tr w:rsidR="00DF254C" w:rsidRPr="00687DE8" w14:paraId="4C4C92FC"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B61501" w14:textId="77777777" w:rsidR="00DF254C" w:rsidRPr="00687DE8" w:rsidRDefault="00DF254C" w:rsidP="00DF254C">
            <w:pPr>
              <w:spacing w:after="0" w:line="240" w:lineRule="auto"/>
              <w:rPr>
                <w:szCs w:val="24"/>
              </w:rPr>
            </w:pPr>
            <w:r w:rsidRPr="00687DE8">
              <w:rPr>
                <w:szCs w:val="24"/>
              </w:rPr>
              <w:t>Elusdoonori vaskulaarkoe käitlus siirdamiseks</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50A3C0" w14:textId="77777777" w:rsidR="00DF254C" w:rsidRPr="00687DE8" w:rsidRDefault="00DF254C" w:rsidP="00DF254C">
            <w:pPr>
              <w:spacing w:after="0" w:line="240" w:lineRule="auto"/>
              <w:jc w:val="center"/>
              <w:rPr>
                <w:szCs w:val="24"/>
              </w:rPr>
            </w:pPr>
            <w:r w:rsidRPr="00687DE8">
              <w:rPr>
                <w:szCs w:val="24"/>
              </w:rPr>
              <w:t>1P2116</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DD4B5F" w14:textId="16B63D46" w:rsidR="4EC185AB" w:rsidRPr="00687DE8" w:rsidRDefault="004F798A">
            <w:pPr>
              <w:spacing w:after="0"/>
              <w:jc w:val="center"/>
              <w:rPr>
                <w:color w:val="000000" w:themeColor="text1"/>
                <w:szCs w:val="24"/>
              </w:rPr>
            </w:pPr>
            <w:r>
              <w:rPr>
                <w:color w:val="000000"/>
              </w:rPr>
              <w:t>427,87</w:t>
            </w:r>
          </w:p>
        </w:tc>
      </w:tr>
      <w:tr w:rsidR="00DF254C" w:rsidRPr="00687DE8" w14:paraId="50728B93"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AFA883" w14:textId="77777777" w:rsidR="00DF254C" w:rsidRPr="00687DE8" w:rsidRDefault="00DF254C" w:rsidP="00DF254C">
            <w:pPr>
              <w:spacing w:after="0" w:line="240" w:lineRule="auto"/>
              <w:rPr>
                <w:szCs w:val="24"/>
              </w:rPr>
            </w:pPr>
            <w:r w:rsidRPr="00687DE8">
              <w:rPr>
                <w:szCs w:val="24"/>
              </w:rPr>
              <w:t>Surnud doonori vaskulaarkoe käitlus siirdamiseks, sealhulgas vaskulaarkoe eemaldamine</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DE070B2" w14:textId="77777777" w:rsidR="00DF254C" w:rsidRPr="00687DE8" w:rsidRDefault="00DF254C" w:rsidP="00DF254C">
            <w:pPr>
              <w:spacing w:after="0" w:line="240" w:lineRule="auto"/>
              <w:jc w:val="center"/>
              <w:rPr>
                <w:szCs w:val="24"/>
              </w:rPr>
            </w:pPr>
            <w:r w:rsidRPr="00687DE8">
              <w:rPr>
                <w:szCs w:val="24"/>
              </w:rPr>
              <w:t>1P2117</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7F55B4" w14:textId="68595615" w:rsidR="4EC185AB" w:rsidRPr="00687DE8" w:rsidRDefault="004F798A">
            <w:pPr>
              <w:spacing w:after="0"/>
              <w:jc w:val="center"/>
              <w:rPr>
                <w:color w:val="000000" w:themeColor="text1"/>
                <w:szCs w:val="24"/>
              </w:rPr>
            </w:pPr>
            <w:r>
              <w:rPr>
                <w:color w:val="000000"/>
              </w:rPr>
              <w:t>710,85</w:t>
            </w:r>
          </w:p>
        </w:tc>
      </w:tr>
      <w:tr w:rsidR="00DF254C" w:rsidRPr="00687DE8" w14:paraId="7F6B975F" w14:textId="77777777" w:rsidTr="00EB7A71">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616A0E" w14:textId="77777777" w:rsidR="00DF254C" w:rsidRPr="00687DE8" w:rsidRDefault="00DF254C" w:rsidP="00DF254C">
            <w:pPr>
              <w:spacing w:after="0" w:line="240" w:lineRule="auto"/>
              <w:rPr>
                <w:szCs w:val="24"/>
              </w:rPr>
            </w:pPr>
            <w:r w:rsidRPr="00687DE8">
              <w:rPr>
                <w:szCs w:val="24"/>
              </w:rPr>
              <w:t>Embol- või trombektoomia</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2E8B42" w14:textId="77777777" w:rsidR="00DF254C" w:rsidRPr="00687DE8" w:rsidRDefault="00DF254C" w:rsidP="00DF254C">
            <w:pPr>
              <w:spacing w:after="0" w:line="240" w:lineRule="auto"/>
              <w:jc w:val="center"/>
              <w:rPr>
                <w:szCs w:val="24"/>
              </w:rPr>
            </w:pPr>
            <w:r w:rsidRPr="00687DE8">
              <w:rPr>
                <w:szCs w:val="24"/>
              </w:rPr>
              <w:t>1P2118</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709122" w14:textId="4648518C" w:rsidR="4EC185AB" w:rsidRPr="00687DE8" w:rsidRDefault="004F798A">
            <w:pPr>
              <w:spacing w:after="0"/>
              <w:jc w:val="center"/>
              <w:rPr>
                <w:color w:val="000000" w:themeColor="text1"/>
                <w:szCs w:val="24"/>
              </w:rPr>
            </w:pPr>
            <w:r>
              <w:rPr>
                <w:color w:val="000000"/>
              </w:rPr>
              <w:t>777,69</w:t>
            </w:r>
          </w:p>
        </w:tc>
      </w:tr>
      <w:tr w:rsidR="00DF254C" w:rsidRPr="00687DE8" w14:paraId="3A328533"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9B08A7" w14:textId="77777777" w:rsidR="00DF254C" w:rsidRPr="00687DE8" w:rsidRDefault="00DF254C" w:rsidP="00DF254C">
            <w:pPr>
              <w:spacing w:after="0" w:line="240" w:lineRule="auto"/>
              <w:rPr>
                <w:szCs w:val="24"/>
              </w:rPr>
            </w:pPr>
            <w:r w:rsidRPr="00687DE8">
              <w:rPr>
                <w:szCs w:val="24"/>
              </w:rPr>
              <w:t>Fastsiotoomia</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A7D34D" w14:textId="77777777" w:rsidR="00DF254C" w:rsidRPr="00687DE8" w:rsidRDefault="00DF254C" w:rsidP="00DF254C">
            <w:pPr>
              <w:spacing w:after="0" w:line="240" w:lineRule="auto"/>
              <w:jc w:val="center"/>
              <w:rPr>
                <w:szCs w:val="24"/>
              </w:rPr>
            </w:pPr>
            <w:r w:rsidRPr="00687DE8">
              <w:rPr>
                <w:szCs w:val="24"/>
              </w:rPr>
              <w:t>1N2162</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F0D9D1" w14:textId="5F6D539B" w:rsidR="4EC185AB" w:rsidRPr="00687DE8" w:rsidRDefault="004F798A">
            <w:pPr>
              <w:spacing w:after="0"/>
              <w:jc w:val="center"/>
              <w:rPr>
                <w:color w:val="000000" w:themeColor="text1"/>
                <w:szCs w:val="24"/>
              </w:rPr>
            </w:pPr>
            <w:r>
              <w:rPr>
                <w:color w:val="000000"/>
              </w:rPr>
              <w:t>465,86</w:t>
            </w:r>
          </w:p>
        </w:tc>
      </w:tr>
      <w:tr w:rsidR="00DF254C" w:rsidRPr="00687DE8" w14:paraId="15555330"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2CD357" w14:textId="77777777" w:rsidR="00DF254C" w:rsidRPr="00687DE8" w:rsidRDefault="00DF254C" w:rsidP="00DF254C">
            <w:pPr>
              <w:spacing w:after="0" w:line="240" w:lineRule="auto"/>
              <w:rPr>
                <w:szCs w:val="24"/>
              </w:rPr>
            </w:pPr>
            <w:r w:rsidRPr="00687DE8">
              <w:rPr>
                <w:szCs w:val="24"/>
              </w:rPr>
              <w:t xml:space="preserve">Ilio-femoraalne </w:t>
            </w:r>
            <w:r w:rsidRPr="00687DE8">
              <w:rPr>
                <w:i/>
                <w:iCs/>
                <w:szCs w:val="24"/>
              </w:rPr>
              <w:t>bypass</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B473F8" w14:textId="77777777" w:rsidR="00DF254C" w:rsidRPr="00687DE8" w:rsidRDefault="00DF254C" w:rsidP="00DF254C">
            <w:pPr>
              <w:spacing w:after="0" w:line="240" w:lineRule="auto"/>
              <w:jc w:val="center"/>
              <w:rPr>
                <w:szCs w:val="24"/>
              </w:rPr>
            </w:pPr>
            <w:r w:rsidRPr="00687DE8">
              <w:rPr>
                <w:szCs w:val="24"/>
              </w:rPr>
              <w:t>1P2119</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270F4F" w14:textId="002D42CB" w:rsidR="4EC185AB" w:rsidRPr="00687DE8" w:rsidRDefault="004F798A">
            <w:pPr>
              <w:spacing w:after="0"/>
              <w:jc w:val="center"/>
              <w:rPr>
                <w:color w:val="000000" w:themeColor="text1"/>
                <w:szCs w:val="24"/>
              </w:rPr>
            </w:pPr>
            <w:r>
              <w:rPr>
                <w:color w:val="000000"/>
              </w:rPr>
              <w:t>1 415,47</w:t>
            </w:r>
          </w:p>
        </w:tc>
      </w:tr>
      <w:tr w:rsidR="00DF254C" w:rsidRPr="00687DE8" w14:paraId="23D9FF0B"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650300" w14:textId="77777777" w:rsidR="00DF254C" w:rsidRPr="00687DE8" w:rsidRDefault="00DF254C" w:rsidP="00DF254C">
            <w:pPr>
              <w:spacing w:after="0" w:line="240" w:lineRule="auto"/>
              <w:rPr>
                <w:szCs w:val="24"/>
              </w:rPr>
            </w:pPr>
            <w:r w:rsidRPr="00687DE8">
              <w:rPr>
                <w:szCs w:val="24"/>
              </w:rPr>
              <w:t>Jäseme arteri endarterektoomia ja/või plastika</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30D113" w14:textId="77777777" w:rsidR="00DF254C" w:rsidRPr="00687DE8" w:rsidRDefault="00DF254C" w:rsidP="00DF254C">
            <w:pPr>
              <w:spacing w:after="0" w:line="240" w:lineRule="auto"/>
              <w:jc w:val="center"/>
              <w:rPr>
                <w:szCs w:val="24"/>
              </w:rPr>
            </w:pPr>
            <w:r w:rsidRPr="00687DE8">
              <w:rPr>
                <w:szCs w:val="24"/>
              </w:rPr>
              <w:t>1P2120</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491A24" w14:textId="63682549" w:rsidR="4EC185AB" w:rsidRPr="00687DE8" w:rsidRDefault="004F798A">
            <w:pPr>
              <w:spacing w:after="0"/>
              <w:jc w:val="center"/>
              <w:rPr>
                <w:color w:val="000000" w:themeColor="text1"/>
                <w:szCs w:val="24"/>
              </w:rPr>
            </w:pPr>
            <w:r>
              <w:rPr>
                <w:color w:val="000000"/>
              </w:rPr>
              <w:t>995,74</w:t>
            </w:r>
          </w:p>
        </w:tc>
      </w:tr>
      <w:tr w:rsidR="00DF254C" w:rsidRPr="00687DE8" w14:paraId="04A0DBB4"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1A11D3" w14:textId="77777777" w:rsidR="00DF254C" w:rsidRPr="00687DE8" w:rsidRDefault="00DF254C" w:rsidP="00DF254C">
            <w:pPr>
              <w:spacing w:after="0" w:line="240" w:lineRule="auto"/>
              <w:rPr>
                <w:szCs w:val="24"/>
              </w:rPr>
            </w:pPr>
            <w:r w:rsidRPr="00687DE8">
              <w:rPr>
                <w:szCs w:val="24"/>
              </w:rPr>
              <w:t>Jäseme replantatsioon</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2ABAC5" w14:textId="77777777" w:rsidR="00DF254C" w:rsidRPr="00687DE8" w:rsidRDefault="00DF254C" w:rsidP="00DF254C">
            <w:pPr>
              <w:spacing w:after="0" w:line="240" w:lineRule="auto"/>
              <w:jc w:val="center"/>
              <w:rPr>
                <w:szCs w:val="24"/>
              </w:rPr>
            </w:pPr>
            <w:r w:rsidRPr="00687DE8">
              <w:rPr>
                <w:szCs w:val="24"/>
              </w:rPr>
              <w:t>1P2121</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444380" w14:textId="2D6B3C8F" w:rsidR="4EC185AB" w:rsidRPr="00687DE8" w:rsidRDefault="004F798A">
            <w:pPr>
              <w:spacing w:after="0"/>
              <w:jc w:val="center"/>
              <w:rPr>
                <w:color w:val="000000" w:themeColor="text1"/>
                <w:szCs w:val="24"/>
              </w:rPr>
            </w:pPr>
            <w:r>
              <w:rPr>
                <w:color w:val="000000"/>
              </w:rPr>
              <w:t>3 662,97</w:t>
            </w:r>
          </w:p>
        </w:tc>
      </w:tr>
      <w:tr w:rsidR="00DF254C" w:rsidRPr="00687DE8" w14:paraId="1EF5D7B2"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192A69" w14:textId="77777777" w:rsidR="00DF254C" w:rsidRPr="00687DE8" w:rsidRDefault="00DF254C" w:rsidP="00DF254C">
            <w:pPr>
              <w:spacing w:after="0" w:line="240" w:lineRule="auto"/>
              <w:rPr>
                <w:szCs w:val="24"/>
              </w:rPr>
            </w:pPr>
            <w:r w:rsidRPr="00687DE8">
              <w:rPr>
                <w:szCs w:val="24"/>
              </w:rPr>
              <w:t>Kõhuaordi aneurüsmi resektsioon</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7CC375" w14:textId="77777777" w:rsidR="00DF254C" w:rsidRPr="00687DE8" w:rsidRDefault="00DF254C" w:rsidP="00DF254C">
            <w:pPr>
              <w:spacing w:after="0" w:line="240" w:lineRule="auto"/>
              <w:jc w:val="center"/>
              <w:rPr>
                <w:szCs w:val="24"/>
              </w:rPr>
            </w:pPr>
            <w:r w:rsidRPr="00687DE8">
              <w:rPr>
                <w:szCs w:val="24"/>
              </w:rPr>
              <w:t>1P2122</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E69440" w14:textId="05FF166A" w:rsidR="4EC185AB" w:rsidRPr="00687DE8" w:rsidRDefault="004F798A">
            <w:pPr>
              <w:spacing w:after="0"/>
              <w:jc w:val="center"/>
              <w:rPr>
                <w:color w:val="000000" w:themeColor="text1"/>
                <w:szCs w:val="24"/>
              </w:rPr>
            </w:pPr>
            <w:r>
              <w:rPr>
                <w:color w:val="000000"/>
              </w:rPr>
              <w:t>1 990,16</w:t>
            </w:r>
          </w:p>
        </w:tc>
      </w:tr>
      <w:tr w:rsidR="00DF254C" w:rsidRPr="00687DE8" w14:paraId="43373589"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607BF6" w14:textId="77777777" w:rsidR="00DF254C" w:rsidRPr="00687DE8" w:rsidRDefault="00DF254C" w:rsidP="00DF254C">
            <w:pPr>
              <w:spacing w:after="0" w:line="240" w:lineRule="auto"/>
              <w:rPr>
                <w:szCs w:val="24"/>
              </w:rPr>
            </w:pPr>
            <w:r w:rsidRPr="00687DE8">
              <w:rPr>
                <w:szCs w:val="24"/>
              </w:rPr>
              <w:t>Käe amputatsioon</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808455" w14:textId="77777777" w:rsidR="00DF254C" w:rsidRPr="00687DE8" w:rsidRDefault="00DF254C" w:rsidP="00DF254C">
            <w:pPr>
              <w:spacing w:after="0" w:line="240" w:lineRule="auto"/>
              <w:jc w:val="center"/>
              <w:rPr>
                <w:szCs w:val="24"/>
              </w:rPr>
            </w:pPr>
            <w:r w:rsidRPr="00687DE8">
              <w:rPr>
                <w:szCs w:val="24"/>
              </w:rPr>
              <w:t>1P2123</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445A35" w14:textId="260B9988" w:rsidR="4EC185AB" w:rsidRPr="00687DE8" w:rsidRDefault="004F798A">
            <w:pPr>
              <w:spacing w:after="0"/>
              <w:jc w:val="center"/>
              <w:rPr>
                <w:color w:val="000000" w:themeColor="text1"/>
                <w:szCs w:val="24"/>
              </w:rPr>
            </w:pPr>
            <w:r>
              <w:rPr>
                <w:color w:val="000000"/>
              </w:rPr>
              <w:t>572,48</w:t>
            </w:r>
          </w:p>
        </w:tc>
      </w:tr>
      <w:tr w:rsidR="00DF254C" w:rsidRPr="00687DE8" w14:paraId="6F86D183"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0D9426" w14:textId="77777777" w:rsidR="00DF254C" w:rsidRPr="00687DE8" w:rsidRDefault="00DF254C" w:rsidP="00DF254C">
            <w:pPr>
              <w:spacing w:after="0" w:line="240" w:lineRule="auto"/>
              <w:rPr>
                <w:szCs w:val="24"/>
              </w:rPr>
            </w:pPr>
            <w:r w:rsidRPr="00687DE8">
              <w:rPr>
                <w:szCs w:val="24"/>
              </w:rPr>
              <w:t>Labakäe replantatsioon</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F9454D" w14:textId="77777777" w:rsidR="00DF254C" w:rsidRPr="00687DE8" w:rsidRDefault="00DF254C" w:rsidP="00DF254C">
            <w:pPr>
              <w:spacing w:after="0" w:line="240" w:lineRule="auto"/>
              <w:jc w:val="center"/>
              <w:rPr>
                <w:szCs w:val="24"/>
              </w:rPr>
            </w:pPr>
            <w:r w:rsidRPr="00687DE8">
              <w:rPr>
                <w:szCs w:val="24"/>
              </w:rPr>
              <w:t>1P2124</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F39014" w14:textId="260DB2A7" w:rsidR="4EC185AB" w:rsidRPr="00687DE8" w:rsidRDefault="004F798A">
            <w:pPr>
              <w:spacing w:after="0"/>
              <w:jc w:val="center"/>
              <w:rPr>
                <w:color w:val="000000" w:themeColor="text1"/>
                <w:szCs w:val="24"/>
              </w:rPr>
            </w:pPr>
            <w:r>
              <w:rPr>
                <w:color w:val="000000"/>
              </w:rPr>
              <w:t>4 245,99</w:t>
            </w:r>
          </w:p>
        </w:tc>
      </w:tr>
      <w:tr w:rsidR="00DF254C" w:rsidRPr="00687DE8" w14:paraId="37F81DD3"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2075D8" w14:textId="77777777" w:rsidR="00DF254C" w:rsidRPr="00687DE8" w:rsidRDefault="00DF254C" w:rsidP="00DF254C">
            <w:pPr>
              <w:spacing w:after="0" w:line="240" w:lineRule="auto"/>
              <w:rPr>
                <w:szCs w:val="24"/>
              </w:rPr>
            </w:pPr>
            <w:r w:rsidRPr="00687DE8">
              <w:rPr>
                <w:szCs w:val="24"/>
              </w:rPr>
              <w:t>Lumbaalsümpatektoomia</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559EA2" w14:textId="77777777" w:rsidR="00DF254C" w:rsidRPr="00687DE8" w:rsidRDefault="00DF254C" w:rsidP="00DF254C">
            <w:pPr>
              <w:spacing w:after="0" w:line="240" w:lineRule="auto"/>
              <w:jc w:val="center"/>
              <w:rPr>
                <w:szCs w:val="24"/>
              </w:rPr>
            </w:pPr>
            <w:r w:rsidRPr="00687DE8">
              <w:rPr>
                <w:szCs w:val="24"/>
              </w:rPr>
              <w:t>1A2136</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B83275" w14:textId="768B65A4" w:rsidR="4EC185AB" w:rsidRPr="00687DE8" w:rsidRDefault="004F798A">
            <w:pPr>
              <w:spacing w:after="0"/>
              <w:jc w:val="center"/>
              <w:rPr>
                <w:color w:val="000000" w:themeColor="text1"/>
                <w:szCs w:val="24"/>
              </w:rPr>
            </w:pPr>
            <w:r>
              <w:rPr>
                <w:color w:val="000000"/>
              </w:rPr>
              <w:t>553,57</w:t>
            </w:r>
          </w:p>
        </w:tc>
      </w:tr>
      <w:tr w:rsidR="00DF254C" w:rsidRPr="00687DE8" w14:paraId="6DF219F9"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9D09F5" w14:textId="77777777" w:rsidR="00DF254C" w:rsidRPr="00687DE8" w:rsidRDefault="00DF254C" w:rsidP="00DF254C">
            <w:pPr>
              <w:spacing w:after="0" w:line="240" w:lineRule="auto"/>
              <w:rPr>
                <w:szCs w:val="24"/>
              </w:rPr>
            </w:pPr>
            <w:r w:rsidRPr="00687DE8">
              <w:rPr>
                <w:szCs w:val="24"/>
              </w:rPr>
              <w:t>Mikroanastomoosi revisioon verevarustuse taastamisega</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93E1D5" w14:textId="77777777" w:rsidR="00DF254C" w:rsidRPr="00687DE8" w:rsidRDefault="00DF254C" w:rsidP="00DF254C">
            <w:pPr>
              <w:spacing w:after="0" w:line="240" w:lineRule="auto"/>
              <w:jc w:val="center"/>
              <w:rPr>
                <w:szCs w:val="24"/>
              </w:rPr>
            </w:pPr>
            <w:r w:rsidRPr="00687DE8">
              <w:rPr>
                <w:szCs w:val="24"/>
              </w:rPr>
              <w:t>1P2125</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7946E0" w14:textId="5CC72E86" w:rsidR="4EC185AB" w:rsidRPr="00687DE8" w:rsidRDefault="004F798A">
            <w:pPr>
              <w:spacing w:after="0"/>
              <w:jc w:val="center"/>
              <w:rPr>
                <w:color w:val="000000" w:themeColor="text1"/>
                <w:szCs w:val="24"/>
              </w:rPr>
            </w:pPr>
            <w:r>
              <w:rPr>
                <w:color w:val="000000"/>
              </w:rPr>
              <w:t>2 204,00</w:t>
            </w:r>
          </w:p>
        </w:tc>
      </w:tr>
      <w:tr w:rsidR="00DF254C" w:rsidRPr="00687DE8" w14:paraId="7D3562EB"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DB4942" w14:textId="77777777" w:rsidR="00DF254C" w:rsidRPr="00687DE8" w:rsidRDefault="00DF254C" w:rsidP="00DF254C">
            <w:pPr>
              <w:spacing w:after="0" w:line="240" w:lineRule="auto"/>
              <w:rPr>
                <w:szCs w:val="24"/>
              </w:rPr>
            </w:pPr>
            <w:r w:rsidRPr="00687DE8">
              <w:rPr>
                <w:szCs w:val="24"/>
              </w:rPr>
              <w:t>Muu veresoone rekonstruktiivoperatsioon</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966715" w14:textId="77777777" w:rsidR="00DF254C" w:rsidRPr="00687DE8" w:rsidRDefault="00DF254C" w:rsidP="00DF254C">
            <w:pPr>
              <w:spacing w:after="0" w:line="240" w:lineRule="auto"/>
              <w:jc w:val="center"/>
              <w:rPr>
                <w:szCs w:val="24"/>
              </w:rPr>
            </w:pPr>
            <w:r w:rsidRPr="00687DE8">
              <w:rPr>
                <w:szCs w:val="24"/>
              </w:rPr>
              <w:t>1P2126</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D844F2" w14:textId="6050C4E3" w:rsidR="4EC185AB" w:rsidRPr="00687DE8" w:rsidRDefault="004F798A">
            <w:pPr>
              <w:spacing w:after="0"/>
              <w:jc w:val="center"/>
              <w:rPr>
                <w:color w:val="000000" w:themeColor="text1"/>
                <w:szCs w:val="24"/>
              </w:rPr>
            </w:pPr>
            <w:r>
              <w:rPr>
                <w:color w:val="000000"/>
              </w:rPr>
              <w:t>1 407,52</w:t>
            </w:r>
          </w:p>
        </w:tc>
      </w:tr>
      <w:tr w:rsidR="00DF254C" w:rsidRPr="00687DE8" w14:paraId="39AD952B"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20DDDE" w14:textId="77777777" w:rsidR="00DF254C" w:rsidRPr="00687DE8" w:rsidRDefault="00DF254C" w:rsidP="00DF254C">
            <w:pPr>
              <w:spacing w:after="0" w:line="240" w:lineRule="auto"/>
              <w:rPr>
                <w:szCs w:val="24"/>
              </w:rPr>
            </w:pPr>
            <w:r w:rsidRPr="00687DE8">
              <w:rPr>
                <w:szCs w:val="24"/>
              </w:rPr>
              <w:t>Operatsioon kõhuaordil aneurüsmi ruptuuri, dissektsiooni või trauma korral</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EC30F0" w14:textId="77777777" w:rsidR="00DF254C" w:rsidRPr="00687DE8" w:rsidRDefault="00DF254C" w:rsidP="00DF254C">
            <w:pPr>
              <w:spacing w:after="0" w:line="240" w:lineRule="auto"/>
              <w:jc w:val="center"/>
              <w:rPr>
                <w:szCs w:val="24"/>
              </w:rPr>
            </w:pPr>
          </w:p>
          <w:p w14:paraId="2F1E563C" w14:textId="77777777" w:rsidR="00DF254C" w:rsidRPr="00687DE8" w:rsidRDefault="00DF254C" w:rsidP="00DF254C">
            <w:pPr>
              <w:spacing w:after="0" w:line="240" w:lineRule="auto"/>
              <w:jc w:val="center"/>
              <w:rPr>
                <w:szCs w:val="24"/>
              </w:rPr>
            </w:pPr>
            <w:r w:rsidRPr="00687DE8">
              <w:rPr>
                <w:szCs w:val="24"/>
              </w:rPr>
              <w:t>1F2109</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9859F2" w14:textId="159E1C1F" w:rsidR="4EC185AB" w:rsidRPr="00687DE8" w:rsidRDefault="004F798A">
            <w:pPr>
              <w:spacing w:after="0"/>
              <w:jc w:val="center"/>
              <w:rPr>
                <w:color w:val="000000" w:themeColor="text1"/>
                <w:szCs w:val="24"/>
              </w:rPr>
            </w:pPr>
            <w:r>
              <w:rPr>
                <w:color w:val="000000"/>
              </w:rPr>
              <w:t>2 220,71</w:t>
            </w:r>
          </w:p>
        </w:tc>
      </w:tr>
      <w:tr w:rsidR="00DF254C" w:rsidRPr="00687DE8" w14:paraId="57FD0387"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4075E6" w14:textId="77777777" w:rsidR="00DF254C" w:rsidRPr="00687DE8" w:rsidRDefault="00DF254C" w:rsidP="00DF254C">
            <w:pPr>
              <w:spacing w:after="0" w:line="240" w:lineRule="auto"/>
              <w:rPr>
                <w:szCs w:val="24"/>
              </w:rPr>
            </w:pPr>
            <w:r w:rsidRPr="00687DE8">
              <w:rPr>
                <w:szCs w:val="24"/>
              </w:rPr>
              <w:t>Operatsioon permanentse kateetri asetamiseks</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F7EC3E" w14:textId="77777777" w:rsidR="00DF254C" w:rsidRPr="00687DE8" w:rsidRDefault="00DF254C" w:rsidP="00DF254C">
            <w:pPr>
              <w:spacing w:after="0" w:line="240" w:lineRule="auto"/>
              <w:jc w:val="center"/>
              <w:rPr>
                <w:szCs w:val="24"/>
              </w:rPr>
            </w:pPr>
            <w:r w:rsidRPr="00687DE8">
              <w:rPr>
                <w:szCs w:val="24"/>
              </w:rPr>
              <w:t>1P2131</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1A6C4C" w14:textId="6DA99B10" w:rsidR="4EC185AB" w:rsidRPr="00687DE8" w:rsidRDefault="004F798A">
            <w:pPr>
              <w:spacing w:after="0"/>
              <w:jc w:val="center"/>
              <w:rPr>
                <w:color w:val="000000" w:themeColor="text1"/>
                <w:szCs w:val="24"/>
              </w:rPr>
            </w:pPr>
            <w:r>
              <w:rPr>
                <w:color w:val="000000"/>
              </w:rPr>
              <w:t>754,48</w:t>
            </w:r>
          </w:p>
        </w:tc>
      </w:tr>
      <w:tr w:rsidR="00DF254C" w:rsidRPr="00687DE8" w14:paraId="290970C4"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7D3566" w14:textId="77777777" w:rsidR="00DF254C" w:rsidRPr="00687DE8" w:rsidRDefault="00DF254C" w:rsidP="00DF254C">
            <w:pPr>
              <w:spacing w:after="0" w:line="240" w:lineRule="auto"/>
              <w:rPr>
                <w:szCs w:val="24"/>
              </w:rPr>
            </w:pPr>
            <w:r w:rsidRPr="00687DE8">
              <w:rPr>
                <w:szCs w:val="24"/>
              </w:rPr>
              <w:t>Rekonstruktiivoperatsioon alaneva aordi torakaalsel ja/või torakoabdominaalsel osal</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E765E58" w14:textId="77777777" w:rsidR="00DF254C" w:rsidRPr="00687DE8" w:rsidRDefault="00DF254C" w:rsidP="00DF254C">
            <w:pPr>
              <w:spacing w:after="0" w:line="240" w:lineRule="auto"/>
              <w:jc w:val="center"/>
              <w:rPr>
                <w:szCs w:val="24"/>
              </w:rPr>
            </w:pPr>
            <w:r w:rsidRPr="00687DE8">
              <w:rPr>
                <w:szCs w:val="24"/>
              </w:rPr>
              <w:t>1F2110</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A40258" w14:textId="1EAEB1CC" w:rsidR="4EC185AB" w:rsidRPr="00687DE8" w:rsidRDefault="004F798A">
            <w:pPr>
              <w:spacing w:after="0"/>
              <w:jc w:val="center"/>
              <w:rPr>
                <w:color w:val="000000" w:themeColor="text1"/>
                <w:szCs w:val="24"/>
              </w:rPr>
            </w:pPr>
            <w:r>
              <w:rPr>
                <w:color w:val="000000"/>
              </w:rPr>
              <w:t>3 606,92</w:t>
            </w:r>
          </w:p>
        </w:tc>
      </w:tr>
      <w:tr w:rsidR="00DF254C" w:rsidRPr="00687DE8" w14:paraId="04864E2F"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37E811" w14:textId="77777777" w:rsidR="00DF254C" w:rsidRPr="00687DE8" w:rsidRDefault="00DF254C" w:rsidP="00DF254C">
            <w:pPr>
              <w:spacing w:after="0" w:line="240" w:lineRule="auto"/>
              <w:rPr>
                <w:szCs w:val="24"/>
              </w:rPr>
            </w:pPr>
            <w:r w:rsidRPr="00687DE8">
              <w:rPr>
                <w:szCs w:val="24"/>
              </w:rPr>
              <w:t xml:space="preserve">Rekonstruktiivoperatsioon aorto-(bi)femoraalsel või ilio-femoraalsel </w:t>
            </w:r>
            <w:r w:rsidRPr="00687DE8">
              <w:rPr>
                <w:i/>
                <w:iCs/>
                <w:szCs w:val="24"/>
              </w:rPr>
              <w:t>bypass</w:t>
            </w:r>
            <w:r w:rsidRPr="00687DE8">
              <w:rPr>
                <w:szCs w:val="24"/>
              </w:rPr>
              <w:t>’il ja nende ühendustel</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DCEBE59" w14:textId="77777777" w:rsidR="00DF254C" w:rsidRPr="00687DE8" w:rsidRDefault="00DF254C" w:rsidP="00DF254C">
            <w:pPr>
              <w:spacing w:after="0" w:line="240" w:lineRule="auto"/>
              <w:jc w:val="center"/>
              <w:rPr>
                <w:szCs w:val="24"/>
              </w:rPr>
            </w:pPr>
            <w:r w:rsidRPr="00687DE8">
              <w:rPr>
                <w:szCs w:val="24"/>
              </w:rPr>
              <w:t>1F2111</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6A1DFD" w14:textId="2EE791B0" w:rsidR="4EC185AB" w:rsidRPr="00687DE8" w:rsidRDefault="004F798A">
            <w:pPr>
              <w:spacing w:after="0"/>
              <w:jc w:val="center"/>
              <w:rPr>
                <w:color w:val="000000" w:themeColor="text1"/>
                <w:szCs w:val="24"/>
              </w:rPr>
            </w:pPr>
            <w:r>
              <w:rPr>
                <w:color w:val="000000"/>
              </w:rPr>
              <w:t>2 161,04</w:t>
            </w:r>
          </w:p>
        </w:tc>
      </w:tr>
      <w:tr w:rsidR="00DF254C" w:rsidRPr="00687DE8" w14:paraId="4D713883"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720DF5" w14:textId="77777777" w:rsidR="00DF254C" w:rsidRPr="00687DE8" w:rsidRDefault="00DF254C" w:rsidP="00DF254C">
            <w:pPr>
              <w:spacing w:after="0" w:line="240" w:lineRule="auto"/>
              <w:rPr>
                <w:szCs w:val="24"/>
              </w:rPr>
            </w:pPr>
            <w:r w:rsidRPr="00687DE8">
              <w:rPr>
                <w:szCs w:val="24"/>
              </w:rPr>
              <w:t>Sõrme replantatsioon</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58E4246" w14:textId="77777777" w:rsidR="00DF254C" w:rsidRPr="00687DE8" w:rsidRDefault="00DF254C" w:rsidP="00DF254C">
            <w:pPr>
              <w:spacing w:after="0" w:line="240" w:lineRule="auto"/>
              <w:jc w:val="center"/>
              <w:rPr>
                <w:szCs w:val="24"/>
              </w:rPr>
            </w:pPr>
            <w:r w:rsidRPr="00687DE8">
              <w:rPr>
                <w:szCs w:val="24"/>
              </w:rPr>
              <w:t>1P2127</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558F87" w14:textId="04CCD7B8" w:rsidR="4EC185AB" w:rsidRPr="00687DE8" w:rsidRDefault="004F798A">
            <w:pPr>
              <w:spacing w:after="0"/>
              <w:jc w:val="center"/>
              <w:rPr>
                <w:color w:val="000000" w:themeColor="text1"/>
                <w:szCs w:val="24"/>
              </w:rPr>
            </w:pPr>
            <w:r>
              <w:rPr>
                <w:color w:val="000000"/>
              </w:rPr>
              <w:t>2 548,49</w:t>
            </w:r>
          </w:p>
        </w:tc>
      </w:tr>
      <w:tr w:rsidR="00DF254C" w:rsidRPr="00687DE8" w14:paraId="00BFEED1"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91C858" w14:textId="77777777" w:rsidR="00DF254C" w:rsidRPr="00687DE8" w:rsidRDefault="00DF254C" w:rsidP="00DF254C">
            <w:pPr>
              <w:spacing w:after="0" w:line="240" w:lineRule="auto"/>
              <w:rPr>
                <w:szCs w:val="24"/>
              </w:rPr>
            </w:pPr>
            <w:r w:rsidRPr="00687DE8">
              <w:rPr>
                <w:szCs w:val="24"/>
              </w:rPr>
              <w:t>Traumajärgne jäseme revaskularisatsioon</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2BF87C5" w14:textId="77777777" w:rsidR="00DF254C" w:rsidRPr="00687DE8" w:rsidRDefault="00DF254C" w:rsidP="00DF254C">
            <w:pPr>
              <w:spacing w:after="0" w:line="240" w:lineRule="auto"/>
              <w:jc w:val="center"/>
              <w:rPr>
                <w:szCs w:val="24"/>
              </w:rPr>
            </w:pPr>
            <w:r w:rsidRPr="00687DE8">
              <w:rPr>
                <w:szCs w:val="24"/>
              </w:rPr>
              <w:t>1P2128</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4F2B27" w14:textId="417C6BF6" w:rsidR="4EC185AB" w:rsidRPr="00687DE8" w:rsidRDefault="004F798A">
            <w:pPr>
              <w:spacing w:after="0"/>
              <w:jc w:val="center"/>
              <w:rPr>
                <w:color w:val="000000" w:themeColor="text1"/>
                <w:szCs w:val="24"/>
              </w:rPr>
            </w:pPr>
            <w:r>
              <w:rPr>
                <w:color w:val="000000"/>
              </w:rPr>
              <w:t>2 903,75</w:t>
            </w:r>
          </w:p>
        </w:tc>
      </w:tr>
      <w:tr w:rsidR="00DF254C" w:rsidRPr="00687DE8" w14:paraId="456E2264"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398AC3" w14:textId="77777777" w:rsidR="00DF254C" w:rsidRPr="00687DE8" w:rsidRDefault="00DF254C" w:rsidP="00DF254C">
            <w:pPr>
              <w:spacing w:after="0" w:line="240" w:lineRule="auto"/>
              <w:rPr>
                <w:szCs w:val="24"/>
              </w:rPr>
            </w:pPr>
            <w:r w:rsidRPr="00687DE8">
              <w:rPr>
                <w:szCs w:val="24"/>
              </w:rPr>
              <w:t>Vaskulariseeritud naha-lihaslapi siirdamine</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8D3594" w14:textId="77777777" w:rsidR="00DF254C" w:rsidRPr="00687DE8" w:rsidRDefault="00DF254C" w:rsidP="00DF254C">
            <w:pPr>
              <w:spacing w:after="0" w:line="240" w:lineRule="auto"/>
              <w:jc w:val="center"/>
              <w:rPr>
                <w:szCs w:val="24"/>
              </w:rPr>
            </w:pPr>
            <w:r w:rsidRPr="00687DE8">
              <w:rPr>
                <w:szCs w:val="24"/>
              </w:rPr>
              <w:t>1P2129</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8E2156" w14:textId="5D468618" w:rsidR="4EC185AB" w:rsidRPr="00687DE8" w:rsidRDefault="004F798A">
            <w:pPr>
              <w:spacing w:after="0"/>
              <w:jc w:val="center"/>
              <w:rPr>
                <w:color w:val="000000" w:themeColor="text1"/>
                <w:szCs w:val="24"/>
              </w:rPr>
            </w:pPr>
            <w:r>
              <w:rPr>
                <w:color w:val="000000"/>
              </w:rPr>
              <w:t>3 752,51</w:t>
            </w:r>
          </w:p>
        </w:tc>
      </w:tr>
      <w:tr w:rsidR="00DF254C" w:rsidRPr="00687DE8" w14:paraId="64E78BC6"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2A3EB4" w14:textId="77777777" w:rsidR="00DF254C" w:rsidRPr="00687DE8" w:rsidRDefault="00DF254C" w:rsidP="00DF254C">
            <w:pPr>
              <w:spacing w:after="0" w:line="240" w:lineRule="auto"/>
              <w:rPr>
                <w:szCs w:val="24"/>
              </w:rPr>
            </w:pPr>
            <w:r w:rsidRPr="00687DE8">
              <w:rPr>
                <w:szCs w:val="24"/>
              </w:rPr>
              <w:t>Ülajäseme veresoonte rekonstruktiivoperatsioon</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B45A34" w14:textId="77777777" w:rsidR="00DF254C" w:rsidRPr="00687DE8" w:rsidRDefault="00DF254C" w:rsidP="00DF254C">
            <w:pPr>
              <w:spacing w:after="0" w:line="240" w:lineRule="auto"/>
              <w:jc w:val="center"/>
              <w:rPr>
                <w:szCs w:val="24"/>
              </w:rPr>
            </w:pPr>
            <w:r w:rsidRPr="00687DE8">
              <w:rPr>
                <w:szCs w:val="24"/>
              </w:rPr>
              <w:t>1P2130</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69C312" w14:textId="75933CBA" w:rsidR="4EC185AB" w:rsidRPr="00687DE8" w:rsidRDefault="004F798A">
            <w:pPr>
              <w:spacing w:after="0"/>
              <w:jc w:val="center"/>
              <w:rPr>
                <w:color w:val="000000" w:themeColor="text1"/>
                <w:szCs w:val="24"/>
              </w:rPr>
            </w:pPr>
            <w:r>
              <w:rPr>
                <w:color w:val="000000"/>
              </w:rPr>
              <w:t>1 049,18</w:t>
            </w:r>
          </w:p>
        </w:tc>
      </w:tr>
      <w:tr w:rsidR="00DF254C" w:rsidRPr="00687DE8" w14:paraId="6DA47103"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EA2464" w14:textId="77777777" w:rsidR="00DF254C" w:rsidRPr="00687DE8" w:rsidRDefault="00DF254C" w:rsidP="00DF254C">
            <w:pPr>
              <w:spacing w:after="0" w:line="240" w:lineRule="auto"/>
              <w:rPr>
                <w:szCs w:val="24"/>
              </w:rPr>
            </w:pPr>
            <w:r w:rsidRPr="00687DE8">
              <w:rPr>
                <w:szCs w:val="24"/>
              </w:rPr>
              <w:t>Vaskulaarsel jalamil naha-lihaslapi siirdamine</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82D4AA" w14:textId="77777777" w:rsidR="00DF254C" w:rsidRPr="00687DE8" w:rsidRDefault="00DF254C" w:rsidP="00DF254C">
            <w:pPr>
              <w:spacing w:after="0" w:line="240" w:lineRule="auto"/>
              <w:jc w:val="center"/>
              <w:rPr>
                <w:szCs w:val="24"/>
              </w:rPr>
            </w:pPr>
            <w:r w:rsidRPr="00687DE8">
              <w:rPr>
                <w:szCs w:val="24"/>
              </w:rPr>
              <w:t>1P2132</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202DD0" w14:textId="2C8DAEFF" w:rsidR="4EC185AB" w:rsidRPr="00687DE8" w:rsidRDefault="004F798A">
            <w:pPr>
              <w:spacing w:after="0"/>
              <w:jc w:val="center"/>
              <w:rPr>
                <w:color w:val="000000" w:themeColor="text1"/>
                <w:szCs w:val="24"/>
              </w:rPr>
            </w:pPr>
            <w:r>
              <w:rPr>
                <w:color w:val="000000"/>
              </w:rPr>
              <w:t>1 919,75</w:t>
            </w:r>
          </w:p>
        </w:tc>
      </w:tr>
      <w:tr w:rsidR="00DF254C" w:rsidRPr="00687DE8" w14:paraId="79D17469"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907C65" w14:textId="77777777" w:rsidR="00DF254C" w:rsidRPr="00687DE8" w:rsidRDefault="00DF254C" w:rsidP="00DF254C">
            <w:pPr>
              <w:spacing w:after="0" w:line="240" w:lineRule="auto"/>
              <w:rPr>
                <w:szCs w:val="24"/>
              </w:rPr>
            </w:pPr>
            <w:r w:rsidRPr="00687DE8">
              <w:rPr>
                <w:szCs w:val="24"/>
              </w:rPr>
              <w:t>Aordi aneurüsmi endovaskulaarne proteesimine</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0115B8" w14:textId="77777777" w:rsidR="00DF254C" w:rsidRPr="00687DE8" w:rsidRDefault="00DF254C" w:rsidP="00DF254C">
            <w:pPr>
              <w:spacing w:after="0" w:line="240" w:lineRule="auto"/>
              <w:jc w:val="center"/>
              <w:rPr>
                <w:szCs w:val="24"/>
              </w:rPr>
            </w:pPr>
            <w:r w:rsidRPr="00687DE8">
              <w:rPr>
                <w:szCs w:val="24"/>
              </w:rPr>
              <w:t>1F2201</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CA4F13" w14:textId="527F3731" w:rsidR="4EC185AB" w:rsidRPr="00687DE8" w:rsidRDefault="004F798A">
            <w:pPr>
              <w:spacing w:after="0"/>
              <w:jc w:val="center"/>
              <w:rPr>
                <w:color w:val="000000" w:themeColor="text1"/>
                <w:szCs w:val="24"/>
              </w:rPr>
            </w:pPr>
            <w:r>
              <w:rPr>
                <w:color w:val="000000"/>
              </w:rPr>
              <w:t>1 566,47</w:t>
            </w:r>
          </w:p>
        </w:tc>
      </w:tr>
      <w:tr w:rsidR="00DF254C" w:rsidRPr="00687DE8" w14:paraId="19CA5896" w14:textId="77777777" w:rsidTr="001B10F9">
        <w:trPr>
          <w:divId w:val="1316184749"/>
          <w:trHeight w:val="300"/>
        </w:trPr>
        <w:tc>
          <w:tcPr>
            <w:tcW w:w="66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6BC9F1" w14:textId="77777777" w:rsidR="00DF254C" w:rsidRPr="00687DE8" w:rsidRDefault="00DF254C" w:rsidP="00DF254C">
            <w:pPr>
              <w:spacing w:after="0" w:line="240" w:lineRule="auto"/>
              <w:rPr>
                <w:szCs w:val="24"/>
              </w:rPr>
            </w:pPr>
            <w:r w:rsidRPr="00687DE8">
              <w:rPr>
                <w:szCs w:val="24"/>
              </w:rPr>
              <w:t>Torakaalsümpatektoomia</w:t>
            </w:r>
          </w:p>
        </w:tc>
        <w:tc>
          <w:tcPr>
            <w:tcW w:w="11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2F0EAD" w14:textId="77777777" w:rsidR="00DF254C" w:rsidRPr="00687DE8" w:rsidRDefault="00DF254C" w:rsidP="00DF254C">
            <w:pPr>
              <w:spacing w:after="0" w:line="240" w:lineRule="auto"/>
              <w:jc w:val="center"/>
              <w:rPr>
                <w:szCs w:val="24"/>
              </w:rPr>
            </w:pPr>
            <w:r w:rsidRPr="00687DE8">
              <w:rPr>
                <w:szCs w:val="24"/>
              </w:rPr>
              <w:t>40602</w:t>
            </w:r>
          </w:p>
        </w:tc>
        <w:tc>
          <w:tcPr>
            <w:tcW w:w="16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514780" w14:textId="7575225F" w:rsidR="4EC185AB" w:rsidRPr="00687DE8" w:rsidRDefault="004F798A">
            <w:pPr>
              <w:spacing w:after="0"/>
              <w:jc w:val="center"/>
              <w:rPr>
                <w:color w:val="000000" w:themeColor="text1"/>
                <w:szCs w:val="24"/>
              </w:rPr>
            </w:pPr>
            <w:r>
              <w:rPr>
                <w:color w:val="000000"/>
              </w:rPr>
              <w:t>724,24</w:t>
            </w:r>
          </w:p>
        </w:tc>
      </w:tr>
    </w:tbl>
    <w:p w14:paraId="02B52513" w14:textId="77777777" w:rsidR="00976487" w:rsidRPr="00687DE8" w:rsidRDefault="00976487" w:rsidP="00976487">
      <w:pPr>
        <w:spacing w:after="0" w:line="240" w:lineRule="auto"/>
        <w:jc w:val="both"/>
        <w:divId w:val="1316184749"/>
        <w:rPr>
          <w:szCs w:val="24"/>
        </w:rPr>
      </w:pPr>
    </w:p>
    <w:p w14:paraId="7A5BEE50" w14:textId="77777777" w:rsidR="00976487" w:rsidRPr="00687DE8" w:rsidRDefault="00976487" w:rsidP="00976487">
      <w:pPr>
        <w:spacing w:after="0" w:line="240" w:lineRule="auto"/>
        <w:jc w:val="both"/>
        <w:divId w:val="1316184749"/>
        <w:rPr>
          <w:szCs w:val="24"/>
        </w:rPr>
      </w:pPr>
      <w:r w:rsidRPr="00687DE8">
        <w:rPr>
          <w:szCs w:val="24"/>
        </w:rPr>
        <w:t>(2) Koodiga 1P2113 tähistatud tervishoiuteenust ei rakendata samal ajal koodiga 1P2114 tähistatud tervishoiuteenusega.</w:t>
      </w:r>
    </w:p>
    <w:p w14:paraId="33D27DE8" w14:textId="77777777" w:rsidR="00976487" w:rsidRPr="00687DE8" w:rsidRDefault="00976487" w:rsidP="00976487">
      <w:pPr>
        <w:spacing w:after="0" w:line="240" w:lineRule="auto"/>
        <w:jc w:val="both"/>
        <w:divId w:val="1316184749"/>
        <w:rPr>
          <w:szCs w:val="24"/>
        </w:rPr>
      </w:pPr>
    </w:p>
    <w:p w14:paraId="2D350E04" w14:textId="77777777" w:rsidR="00976487" w:rsidRPr="00687DE8" w:rsidRDefault="00976487" w:rsidP="00976487">
      <w:pPr>
        <w:spacing w:after="0" w:line="240" w:lineRule="auto"/>
        <w:jc w:val="both"/>
        <w:divId w:val="1316184749"/>
        <w:rPr>
          <w:szCs w:val="24"/>
        </w:rPr>
      </w:pPr>
      <w:r w:rsidRPr="00687DE8">
        <w:rPr>
          <w:szCs w:val="24"/>
        </w:rPr>
        <w:t>(3) Koodidega 1P2121, 1P2124 ja 1P2127 tähistatud tervishoiuteenused sisaldavad kõiki replantatsiooniks vajalike operatsioonide kulusid.</w:t>
      </w:r>
    </w:p>
    <w:p w14:paraId="67677609" w14:textId="77777777" w:rsidR="00976487" w:rsidRPr="00687DE8" w:rsidRDefault="00976487" w:rsidP="00976487">
      <w:pPr>
        <w:spacing w:after="0" w:line="240" w:lineRule="auto"/>
        <w:jc w:val="both"/>
        <w:divId w:val="1316184749"/>
        <w:rPr>
          <w:szCs w:val="24"/>
        </w:rPr>
      </w:pPr>
    </w:p>
    <w:p w14:paraId="07281529" w14:textId="77777777" w:rsidR="00976487" w:rsidRPr="00687DE8" w:rsidRDefault="00976487" w:rsidP="00976487">
      <w:pPr>
        <w:spacing w:after="0" w:line="240" w:lineRule="auto"/>
        <w:jc w:val="both"/>
        <w:divId w:val="1316184749"/>
        <w:rPr>
          <w:szCs w:val="24"/>
        </w:rPr>
      </w:pPr>
      <w:r w:rsidRPr="00687DE8">
        <w:rPr>
          <w:szCs w:val="24"/>
        </w:rPr>
        <w:t>(4) Koodiga 1P2117 tähistatud tervishoiuteenuse piirhind sisaldab ühe veeni või aordi eemaldamise ja käitlusega seotud kulusid.</w:t>
      </w:r>
    </w:p>
    <w:p w14:paraId="27C069DD" w14:textId="77777777" w:rsidR="00976487" w:rsidRPr="00687DE8" w:rsidRDefault="00976487" w:rsidP="00976487">
      <w:pPr>
        <w:spacing w:after="0" w:line="240" w:lineRule="auto"/>
        <w:jc w:val="both"/>
        <w:divId w:val="1316184749"/>
        <w:rPr>
          <w:szCs w:val="24"/>
        </w:rPr>
      </w:pPr>
    </w:p>
    <w:p w14:paraId="1BA9FDF5" w14:textId="77777777" w:rsidR="00976487" w:rsidRPr="00687DE8" w:rsidRDefault="00976487" w:rsidP="00976487">
      <w:pPr>
        <w:spacing w:after="0" w:line="240" w:lineRule="auto"/>
        <w:jc w:val="both"/>
        <w:divId w:val="1316184749"/>
        <w:rPr>
          <w:szCs w:val="24"/>
        </w:rPr>
      </w:pPr>
      <w:r w:rsidRPr="00687DE8">
        <w:rPr>
          <w:szCs w:val="24"/>
        </w:rPr>
        <w:lastRenderedPageBreak/>
        <w:t>(5) Koodiga 1P2116 tähistatud tervishoiuteenuse piirhind sisaldab ühe veeni käitlusega seotud kulusid.</w:t>
      </w:r>
    </w:p>
    <w:p w14:paraId="63805C18" w14:textId="77777777" w:rsidR="00976487" w:rsidRPr="00687DE8" w:rsidRDefault="00976487" w:rsidP="00976487">
      <w:pPr>
        <w:spacing w:after="0" w:line="240" w:lineRule="auto"/>
        <w:jc w:val="both"/>
        <w:divId w:val="1316184749"/>
        <w:rPr>
          <w:szCs w:val="24"/>
        </w:rPr>
      </w:pPr>
    </w:p>
    <w:p w14:paraId="4E59F87B" w14:textId="240900A5" w:rsidR="00976487" w:rsidRPr="00687DE8" w:rsidRDefault="00976487" w:rsidP="00B16F83">
      <w:pPr>
        <w:pStyle w:val="TableContents"/>
        <w:widowControl/>
        <w:suppressLineNumbers w:val="0"/>
        <w:suppressAutoHyphens w:val="0"/>
        <w:spacing w:line="240" w:lineRule="auto"/>
        <w:divId w:val="1316184749"/>
      </w:pPr>
      <w:r w:rsidRPr="00687DE8">
        <w:rPr>
          <w:rFonts w:eastAsia="Times New Roman"/>
          <w:kern w:val="0"/>
          <w:lang w:eastAsia="en-US" w:bidi="ar-SA"/>
        </w:rPr>
        <w:t xml:space="preserve">(6) </w:t>
      </w:r>
      <w:r w:rsidR="005023FD" w:rsidRPr="00687DE8">
        <w:rPr>
          <w:rFonts w:eastAsia="Times New Roman"/>
          <w:kern w:val="0"/>
          <w:lang w:eastAsia="en-US" w:bidi="ar-SA"/>
        </w:rPr>
        <w:t>Tervisekassa</w:t>
      </w:r>
      <w:r w:rsidRPr="00687DE8">
        <w:rPr>
          <w:rFonts w:eastAsia="Times New Roman"/>
          <w:kern w:val="0"/>
          <w:lang w:eastAsia="en-US" w:bidi="ar-SA"/>
        </w:rPr>
        <w:t xml:space="preserve"> võtab koodiga 1P2132 tähistatud tervishoiuteenuse eest tasu maksmise kohustuse üle juhul, kui koedefekti katmisel kasutatakse vaskulaarsel jalamil naha-lihaslappi, mis ei vaja mikroanastomoosi doonorsoontega.</w:t>
      </w:r>
    </w:p>
    <w:p w14:paraId="6C9E78DF" w14:textId="77777777" w:rsidR="00976487" w:rsidRPr="00687DE8" w:rsidRDefault="00976487" w:rsidP="00976487">
      <w:pPr>
        <w:spacing w:after="0" w:line="240" w:lineRule="auto"/>
        <w:jc w:val="both"/>
        <w:divId w:val="1316184749"/>
        <w:rPr>
          <w:szCs w:val="24"/>
        </w:rPr>
      </w:pPr>
    </w:p>
    <w:p w14:paraId="168FFC53" w14:textId="783ED928" w:rsidR="00976487" w:rsidRPr="00687DE8" w:rsidRDefault="00976487" w:rsidP="00976487">
      <w:pPr>
        <w:spacing w:after="0" w:line="240" w:lineRule="auto"/>
        <w:jc w:val="both"/>
        <w:divId w:val="1316184749"/>
        <w:rPr>
          <w:szCs w:val="24"/>
        </w:rPr>
      </w:pPr>
      <w:r w:rsidRPr="00687DE8">
        <w:rPr>
          <w:szCs w:val="24"/>
        </w:rPr>
        <w:t xml:space="preserve">(7) </w:t>
      </w:r>
      <w:r w:rsidR="005023FD" w:rsidRPr="00687DE8">
        <w:rPr>
          <w:szCs w:val="24"/>
        </w:rPr>
        <w:t>Tervisekassa</w:t>
      </w:r>
      <w:r w:rsidRPr="00687DE8">
        <w:rPr>
          <w:szCs w:val="24"/>
        </w:rPr>
        <w:t xml:space="preserve"> võtab koodiga 1F2201 tähistatud tervishoiuteenuse eest tasu maksmise kohustuse üle järgmistel näidustustel:</w:t>
      </w:r>
    </w:p>
    <w:p w14:paraId="2CCFB2A0" w14:textId="77777777" w:rsidR="00976487" w:rsidRPr="00687DE8" w:rsidRDefault="00976487" w:rsidP="00976487">
      <w:pPr>
        <w:spacing w:after="0" w:line="240" w:lineRule="auto"/>
        <w:jc w:val="both"/>
        <w:divId w:val="1316184749"/>
        <w:rPr>
          <w:szCs w:val="24"/>
        </w:rPr>
      </w:pPr>
      <w:r w:rsidRPr="00687DE8">
        <w:rPr>
          <w:szCs w:val="24"/>
        </w:rPr>
        <w:t xml:space="preserve">1) kõhuaordi aneurüsm, mille diameeter meestel on suurem kui 5,5 cm ja naistel suurem kui 5,2 cm, ning </w:t>
      </w:r>
      <w:r w:rsidR="004E0249" w:rsidRPr="00687DE8">
        <w:rPr>
          <w:szCs w:val="24"/>
        </w:rPr>
        <w:t xml:space="preserve">kui </w:t>
      </w:r>
      <w:r w:rsidRPr="00687DE8">
        <w:rPr>
          <w:szCs w:val="24"/>
        </w:rPr>
        <w:t>avatud operatsioon on kaasuvate haiguste tõttu ülikõrge riskiga;</w:t>
      </w:r>
    </w:p>
    <w:p w14:paraId="37047FFD" w14:textId="77777777" w:rsidR="00976487" w:rsidRPr="00687DE8" w:rsidRDefault="00976487" w:rsidP="00976487">
      <w:pPr>
        <w:spacing w:after="0" w:line="240" w:lineRule="auto"/>
        <w:jc w:val="both"/>
        <w:divId w:val="1316184749"/>
        <w:rPr>
          <w:szCs w:val="24"/>
        </w:rPr>
      </w:pPr>
      <w:r w:rsidRPr="00687DE8">
        <w:rPr>
          <w:szCs w:val="24"/>
        </w:rPr>
        <w:t xml:space="preserve">2) </w:t>
      </w:r>
      <w:r w:rsidR="00A36F2B" w:rsidRPr="00687DE8">
        <w:rPr>
          <w:szCs w:val="24"/>
        </w:rPr>
        <w:t>esineb</w:t>
      </w:r>
      <w:r w:rsidRPr="00687DE8">
        <w:rPr>
          <w:szCs w:val="24"/>
        </w:rPr>
        <w:t xml:space="preserve"> alaneva tor</w:t>
      </w:r>
      <w:r w:rsidR="00D14968" w:rsidRPr="00687DE8">
        <w:rPr>
          <w:szCs w:val="24"/>
        </w:rPr>
        <w:t>a</w:t>
      </w:r>
      <w:r w:rsidRPr="00687DE8">
        <w:rPr>
          <w:szCs w:val="24"/>
        </w:rPr>
        <w:t>kaalaordi aneurüsm, komplitseeritud dissektsioon, traumaatiline aordi vigastus, penetreeriv torakaalaordi haavand, aorto-bronhiaalne või aorto-ösofagiaalne fistul, aordikaare aneurüsm või operatsioonijärgne üleneva torakaalaordi dissektsioon.</w:t>
      </w:r>
    </w:p>
    <w:p w14:paraId="42AEDAE9" w14:textId="77777777" w:rsidR="00976487" w:rsidRPr="00687DE8" w:rsidRDefault="00976487" w:rsidP="00976487">
      <w:pPr>
        <w:spacing w:after="0" w:line="240" w:lineRule="auto"/>
        <w:jc w:val="both"/>
        <w:divId w:val="1316184749"/>
        <w:rPr>
          <w:szCs w:val="24"/>
        </w:rPr>
      </w:pPr>
    </w:p>
    <w:p w14:paraId="4910F9DB" w14:textId="77777777" w:rsidR="00976487" w:rsidRPr="00687DE8" w:rsidRDefault="00976487" w:rsidP="00976487">
      <w:pPr>
        <w:spacing w:after="0" w:line="240" w:lineRule="auto"/>
        <w:jc w:val="both"/>
        <w:divId w:val="1316184749"/>
        <w:rPr>
          <w:szCs w:val="24"/>
        </w:rPr>
      </w:pPr>
      <w:r w:rsidRPr="00687DE8">
        <w:rPr>
          <w:szCs w:val="24"/>
        </w:rPr>
        <w:t>(8) Südamekirurgia operatsioonide korral rakendatakse järgmisi piirhindu:</w:t>
      </w:r>
    </w:p>
    <w:p w14:paraId="2B4E1EE7"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1102"/>
        <w:gridCol w:w="1119"/>
      </w:tblGrid>
      <w:tr w:rsidR="00976487" w:rsidRPr="00687DE8" w14:paraId="3557D877" w14:textId="77777777" w:rsidTr="00F172A5">
        <w:trPr>
          <w:divId w:val="1316184749"/>
          <w:tblHeader/>
        </w:trPr>
        <w:tc>
          <w:tcPr>
            <w:tcW w:w="71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043D4F" w14:textId="77777777" w:rsidR="00976487" w:rsidRPr="00687DE8" w:rsidRDefault="00976487">
            <w:pPr>
              <w:spacing w:after="0" w:line="240" w:lineRule="auto"/>
              <w:jc w:val="center"/>
              <w:rPr>
                <w:szCs w:val="24"/>
              </w:rPr>
            </w:pPr>
            <w:r w:rsidRPr="00687DE8">
              <w:rPr>
                <w:b/>
                <w:bCs/>
                <w:szCs w:val="24"/>
              </w:rPr>
              <w:t>Tervishoiuteenuse nimetus</w:t>
            </w:r>
          </w:p>
        </w:tc>
        <w:tc>
          <w:tcPr>
            <w:tcW w:w="11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B10526" w14:textId="77777777" w:rsidR="00976487" w:rsidRPr="00687DE8" w:rsidRDefault="00976487">
            <w:pPr>
              <w:spacing w:after="0" w:line="240" w:lineRule="auto"/>
              <w:jc w:val="center"/>
              <w:rPr>
                <w:szCs w:val="24"/>
              </w:rPr>
            </w:pPr>
            <w:r w:rsidRPr="00687DE8">
              <w:rPr>
                <w:b/>
                <w:bCs/>
                <w:szCs w:val="24"/>
              </w:rPr>
              <w:t>Kood</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1F499C"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1D24C9" w:rsidRPr="00687DE8" w14:paraId="141D8387" w14:textId="77777777" w:rsidTr="00AE3A29">
        <w:trPr>
          <w:divId w:val="1316184749"/>
          <w:trHeight w:val="300"/>
        </w:trPr>
        <w:tc>
          <w:tcPr>
            <w:tcW w:w="71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180B33" w14:textId="77777777" w:rsidR="001D24C9" w:rsidRPr="00687DE8" w:rsidRDefault="001D24C9" w:rsidP="001D24C9">
            <w:pPr>
              <w:spacing w:after="0" w:line="240" w:lineRule="auto"/>
              <w:rPr>
                <w:szCs w:val="24"/>
              </w:rPr>
            </w:pPr>
            <w:r w:rsidRPr="00687DE8">
              <w:rPr>
                <w:szCs w:val="24"/>
              </w:rPr>
              <w:t>Koronaararterite šunteerimine</w:t>
            </w:r>
          </w:p>
        </w:tc>
        <w:tc>
          <w:tcPr>
            <w:tcW w:w="11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725F51" w14:textId="77777777" w:rsidR="001D24C9" w:rsidRPr="00687DE8" w:rsidRDefault="001D24C9" w:rsidP="001D24C9">
            <w:pPr>
              <w:spacing w:after="0" w:line="240" w:lineRule="auto"/>
              <w:jc w:val="center"/>
              <w:rPr>
                <w:szCs w:val="24"/>
              </w:rPr>
            </w:pPr>
            <w:r w:rsidRPr="00687DE8">
              <w:rPr>
                <w:szCs w:val="24"/>
              </w:rPr>
              <w:t>1F2101</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F1EB94" w14:textId="77777777" w:rsidR="00157E81" w:rsidRPr="00157E81" w:rsidRDefault="00157E81" w:rsidP="00157E81">
            <w:pPr>
              <w:spacing w:after="0"/>
              <w:jc w:val="center"/>
              <w:rPr>
                <w:color w:val="000000"/>
              </w:rPr>
            </w:pPr>
            <w:r w:rsidRPr="00157E81">
              <w:rPr>
                <w:color w:val="000000"/>
              </w:rPr>
              <w:t>2 906,75</w:t>
            </w:r>
          </w:p>
          <w:p w14:paraId="206152B0" w14:textId="29B492F8" w:rsidR="4EC185AB" w:rsidRPr="00687DE8" w:rsidRDefault="4EC185AB">
            <w:pPr>
              <w:spacing w:after="0"/>
              <w:jc w:val="center"/>
              <w:rPr>
                <w:color w:val="000000" w:themeColor="text1"/>
                <w:szCs w:val="24"/>
              </w:rPr>
            </w:pPr>
          </w:p>
        </w:tc>
      </w:tr>
      <w:tr w:rsidR="001D24C9" w:rsidRPr="00687DE8" w14:paraId="2632A87D" w14:textId="77777777" w:rsidTr="00EB7A71">
        <w:trPr>
          <w:divId w:val="1316184749"/>
          <w:trHeight w:val="300"/>
        </w:trPr>
        <w:tc>
          <w:tcPr>
            <w:tcW w:w="71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4B7D20" w14:textId="77777777" w:rsidR="001D24C9" w:rsidRPr="00687DE8" w:rsidRDefault="001D24C9" w:rsidP="001D24C9">
            <w:pPr>
              <w:spacing w:after="0" w:line="240" w:lineRule="auto"/>
              <w:rPr>
                <w:szCs w:val="24"/>
              </w:rPr>
            </w:pPr>
            <w:r w:rsidRPr="00687DE8">
              <w:rPr>
                <w:szCs w:val="24"/>
              </w:rPr>
              <w:t>Ühe südameklapi või südamekasvaja või VAD-seadme paigaldamise operatsioon</w:t>
            </w:r>
          </w:p>
        </w:tc>
        <w:tc>
          <w:tcPr>
            <w:tcW w:w="11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A0C1F79" w14:textId="77777777" w:rsidR="001D24C9" w:rsidRPr="00687DE8" w:rsidRDefault="001D24C9" w:rsidP="001D24C9">
            <w:pPr>
              <w:spacing w:after="0" w:line="240" w:lineRule="auto"/>
              <w:jc w:val="center"/>
              <w:rPr>
                <w:szCs w:val="24"/>
              </w:rPr>
            </w:pPr>
            <w:r w:rsidRPr="00687DE8">
              <w:rPr>
                <w:szCs w:val="24"/>
              </w:rPr>
              <w:t>1F2102</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A31C02" w14:textId="0F7702B2" w:rsidR="4EC185AB" w:rsidRPr="00687DE8" w:rsidRDefault="00157E81">
            <w:pPr>
              <w:spacing w:after="0"/>
              <w:jc w:val="center"/>
              <w:rPr>
                <w:color w:val="000000" w:themeColor="text1"/>
                <w:szCs w:val="24"/>
              </w:rPr>
            </w:pPr>
            <w:r>
              <w:rPr>
                <w:color w:val="000000"/>
              </w:rPr>
              <w:t>2 027,15</w:t>
            </w:r>
          </w:p>
        </w:tc>
      </w:tr>
      <w:tr w:rsidR="001D24C9" w:rsidRPr="00687DE8" w14:paraId="0DFA9065" w14:textId="77777777" w:rsidTr="00AE3A29">
        <w:trPr>
          <w:divId w:val="1316184749"/>
          <w:trHeight w:val="300"/>
        </w:trPr>
        <w:tc>
          <w:tcPr>
            <w:tcW w:w="71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7699F5" w14:textId="77777777" w:rsidR="001D24C9" w:rsidRPr="00687DE8" w:rsidRDefault="001D24C9" w:rsidP="001D24C9">
            <w:pPr>
              <w:spacing w:after="0" w:line="240" w:lineRule="auto"/>
              <w:rPr>
                <w:szCs w:val="24"/>
              </w:rPr>
            </w:pPr>
            <w:r w:rsidRPr="00687DE8">
              <w:rPr>
                <w:szCs w:val="24"/>
              </w:rPr>
              <w:t>Südameklappide operatsioon</w:t>
            </w:r>
          </w:p>
        </w:tc>
        <w:tc>
          <w:tcPr>
            <w:tcW w:w="11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FCF79C" w14:textId="77777777" w:rsidR="001D24C9" w:rsidRPr="00687DE8" w:rsidRDefault="001D24C9" w:rsidP="001D24C9">
            <w:pPr>
              <w:spacing w:after="0" w:line="240" w:lineRule="auto"/>
              <w:jc w:val="center"/>
              <w:rPr>
                <w:szCs w:val="24"/>
              </w:rPr>
            </w:pPr>
            <w:r w:rsidRPr="00687DE8">
              <w:rPr>
                <w:szCs w:val="24"/>
              </w:rPr>
              <w:t>1F2103</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F6F28C" w14:textId="63AF2EE5" w:rsidR="4EC185AB" w:rsidRPr="00687DE8" w:rsidRDefault="00157E81">
            <w:pPr>
              <w:spacing w:after="0"/>
              <w:jc w:val="center"/>
              <w:rPr>
                <w:color w:val="000000" w:themeColor="text1"/>
                <w:szCs w:val="24"/>
              </w:rPr>
            </w:pPr>
            <w:r>
              <w:rPr>
                <w:color w:val="000000"/>
              </w:rPr>
              <w:t>2 878,44</w:t>
            </w:r>
          </w:p>
        </w:tc>
      </w:tr>
      <w:tr w:rsidR="001D24C9" w:rsidRPr="00687DE8" w14:paraId="6DA0D2A5" w14:textId="77777777" w:rsidTr="00AE3A29">
        <w:trPr>
          <w:divId w:val="1316184749"/>
          <w:trHeight w:val="300"/>
        </w:trPr>
        <w:tc>
          <w:tcPr>
            <w:tcW w:w="71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8237EC" w14:textId="77777777" w:rsidR="001D24C9" w:rsidRPr="00687DE8" w:rsidRDefault="001D24C9" w:rsidP="001D24C9">
            <w:pPr>
              <w:spacing w:after="0" w:line="240" w:lineRule="auto"/>
              <w:rPr>
                <w:szCs w:val="24"/>
              </w:rPr>
            </w:pPr>
            <w:r w:rsidRPr="00687DE8">
              <w:rPr>
                <w:szCs w:val="24"/>
              </w:rPr>
              <w:t>Kombineeritud südameoperatsioon</w:t>
            </w:r>
          </w:p>
        </w:tc>
        <w:tc>
          <w:tcPr>
            <w:tcW w:w="11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A852A4" w14:textId="77777777" w:rsidR="001D24C9" w:rsidRPr="00687DE8" w:rsidRDefault="001D24C9" w:rsidP="001D24C9">
            <w:pPr>
              <w:spacing w:after="0" w:line="240" w:lineRule="auto"/>
              <w:jc w:val="center"/>
              <w:rPr>
                <w:szCs w:val="24"/>
              </w:rPr>
            </w:pPr>
            <w:r w:rsidRPr="00687DE8">
              <w:rPr>
                <w:szCs w:val="24"/>
              </w:rPr>
              <w:t>1F2104</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A2DE14" w14:textId="52A6E4ED" w:rsidR="4EC185AB" w:rsidRPr="00687DE8" w:rsidRDefault="00157E81">
            <w:pPr>
              <w:spacing w:after="0"/>
              <w:jc w:val="center"/>
              <w:rPr>
                <w:color w:val="000000" w:themeColor="text1"/>
                <w:szCs w:val="24"/>
              </w:rPr>
            </w:pPr>
            <w:r>
              <w:rPr>
                <w:color w:val="000000"/>
              </w:rPr>
              <w:t>4 063,54</w:t>
            </w:r>
          </w:p>
        </w:tc>
      </w:tr>
      <w:tr w:rsidR="001D24C9" w:rsidRPr="00687DE8" w14:paraId="4E362D3A" w14:textId="77777777" w:rsidTr="00AE3A29">
        <w:trPr>
          <w:divId w:val="1316184749"/>
          <w:trHeight w:val="300"/>
        </w:trPr>
        <w:tc>
          <w:tcPr>
            <w:tcW w:w="71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BDE6FF" w14:textId="77777777" w:rsidR="001D24C9" w:rsidRPr="00687DE8" w:rsidRDefault="001D24C9" w:rsidP="001D24C9">
            <w:pPr>
              <w:spacing w:after="0" w:line="240" w:lineRule="auto"/>
              <w:rPr>
                <w:szCs w:val="24"/>
              </w:rPr>
            </w:pPr>
            <w:r w:rsidRPr="00687DE8">
              <w:rPr>
                <w:szCs w:val="24"/>
              </w:rPr>
              <w:t>Operatsioon üleneval aordil või aordikaarel</w:t>
            </w:r>
          </w:p>
        </w:tc>
        <w:tc>
          <w:tcPr>
            <w:tcW w:w="11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53A393" w14:textId="77777777" w:rsidR="001D24C9" w:rsidRPr="00687DE8" w:rsidRDefault="001D24C9" w:rsidP="001D24C9">
            <w:pPr>
              <w:spacing w:after="0" w:line="240" w:lineRule="auto"/>
              <w:jc w:val="center"/>
              <w:rPr>
                <w:szCs w:val="24"/>
              </w:rPr>
            </w:pPr>
            <w:r w:rsidRPr="00687DE8">
              <w:rPr>
                <w:szCs w:val="24"/>
              </w:rPr>
              <w:t>1F2105</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27BF81" w14:textId="67A93ADA" w:rsidR="4EC185AB" w:rsidRPr="00687DE8" w:rsidRDefault="00157E81">
            <w:pPr>
              <w:spacing w:after="0"/>
              <w:jc w:val="center"/>
              <w:rPr>
                <w:color w:val="000000" w:themeColor="text1"/>
                <w:szCs w:val="24"/>
              </w:rPr>
            </w:pPr>
            <w:r>
              <w:rPr>
                <w:color w:val="000000"/>
              </w:rPr>
              <w:t>4 091,61</w:t>
            </w:r>
          </w:p>
        </w:tc>
      </w:tr>
      <w:tr w:rsidR="001D24C9" w:rsidRPr="00687DE8" w14:paraId="44A5ACAA" w14:textId="77777777" w:rsidTr="00AE3A29">
        <w:trPr>
          <w:divId w:val="1316184749"/>
          <w:trHeight w:val="300"/>
        </w:trPr>
        <w:tc>
          <w:tcPr>
            <w:tcW w:w="71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71F1C6" w14:textId="77777777" w:rsidR="001D24C9" w:rsidRPr="00687DE8" w:rsidRDefault="001D24C9" w:rsidP="001D24C9">
            <w:pPr>
              <w:spacing w:after="0" w:line="240" w:lineRule="auto"/>
              <w:rPr>
                <w:szCs w:val="24"/>
              </w:rPr>
            </w:pPr>
            <w:r w:rsidRPr="00687DE8">
              <w:rPr>
                <w:szCs w:val="24"/>
              </w:rPr>
              <w:t>Kaasasündinud südamerikke operatsioon ilma kunstliku vereringeta</w:t>
            </w:r>
          </w:p>
        </w:tc>
        <w:tc>
          <w:tcPr>
            <w:tcW w:w="11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54FB65" w14:textId="77777777" w:rsidR="001D24C9" w:rsidRPr="00687DE8" w:rsidRDefault="001D24C9" w:rsidP="001D24C9">
            <w:pPr>
              <w:spacing w:after="0" w:line="240" w:lineRule="auto"/>
              <w:jc w:val="center"/>
              <w:rPr>
                <w:szCs w:val="24"/>
              </w:rPr>
            </w:pPr>
            <w:r w:rsidRPr="00687DE8">
              <w:rPr>
                <w:szCs w:val="24"/>
              </w:rPr>
              <w:t>1F2106</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DFB5AF" w14:textId="6243A678" w:rsidR="4EC185AB" w:rsidRPr="00687DE8" w:rsidRDefault="00157E81">
            <w:pPr>
              <w:spacing w:after="0"/>
              <w:jc w:val="center"/>
              <w:rPr>
                <w:color w:val="000000" w:themeColor="text1"/>
                <w:szCs w:val="24"/>
              </w:rPr>
            </w:pPr>
            <w:r>
              <w:rPr>
                <w:color w:val="000000"/>
              </w:rPr>
              <w:t>2 043,28</w:t>
            </w:r>
          </w:p>
        </w:tc>
      </w:tr>
      <w:tr w:rsidR="001D24C9" w:rsidRPr="00687DE8" w14:paraId="4770BD4B" w14:textId="77777777" w:rsidTr="00AE3A29">
        <w:trPr>
          <w:divId w:val="1316184749"/>
          <w:trHeight w:val="300"/>
        </w:trPr>
        <w:tc>
          <w:tcPr>
            <w:tcW w:w="71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DDC230" w14:textId="77777777" w:rsidR="001D24C9" w:rsidRPr="00687DE8" w:rsidRDefault="001D24C9" w:rsidP="001D24C9">
            <w:pPr>
              <w:spacing w:after="0" w:line="240" w:lineRule="auto"/>
              <w:rPr>
                <w:szCs w:val="24"/>
              </w:rPr>
            </w:pPr>
            <w:r w:rsidRPr="00687DE8">
              <w:rPr>
                <w:szCs w:val="24"/>
              </w:rPr>
              <w:t>Kaasasündinud südamerikke operatsioon kunstliku vereringega</w:t>
            </w:r>
          </w:p>
        </w:tc>
        <w:tc>
          <w:tcPr>
            <w:tcW w:w="11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6F6968" w14:textId="77777777" w:rsidR="001D24C9" w:rsidRPr="00687DE8" w:rsidRDefault="001D24C9" w:rsidP="001D24C9">
            <w:pPr>
              <w:spacing w:after="0" w:line="240" w:lineRule="auto"/>
              <w:jc w:val="center"/>
              <w:rPr>
                <w:szCs w:val="24"/>
              </w:rPr>
            </w:pPr>
            <w:r w:rsidRPr="00687DE8">
              <w:rPr>
                <w:szCs w:val="24"/>
              </w:rPr>
              <w:t>1F2107</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E2026E" w14:textId="58562B4D" w:rsidR="4EC185AB" w:rsidRPr="00687DE8" w:rsidRDefault="00157E81">
            <w:pPr>
              <w:spacing w:after="0"/>
              <w:jc w:val="center"/>
              <w:rPr>
                <w:color w:val="000000" w:themeColor="text1"/>
                <w:szCs w:val="24"/>
              </w:rPr>
            </w:pPr>
            <w:r>
              <w:rPr>
                <w:color w:val="000000"/>
              </w:rPr>
              <w:t>2 727,19</w:t>
            </w:r>
          </w:p>
        </w:tc>
      </w:tr>
      <w:tr w:rsidR="001D24C9" w:rsidRPr="00687DE8" w14:paraId="2CEFBDD7" w14:textId="77777777" w:rsidTr="00AE3A29">
        <w:trPr>
          <w:divId w:val="1316184749"/>
          <w:trHeight w:val="300"/>
        </w:trPr>
        <w:tc>
          <w:tcPr>
            <w:tcW w:w="71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1AC28F" w14:textId="77777777" w:rsidR="001D24C9" w:rsidRPr="00687DE8" w:rsidRDefault="001D24C9" w:rsidP="001D24C9">
            <w:pPr>
              <w:spacing w:after="0" w:line="240" w:lineRule="auto"/>
              <w:rPr>
                <w:szCs w:val="24"/>
              </w:rPr>
            </w:pPr>
            <w:r w:rsidRPr="00687DE8">
              <w:rPr>
                <w:szCs w:val="24"/>
              </w:rPr>
              <w:t>Surnud doonori südame käitlus siirdamiseks, sealhulgas südame eemaldamine</w:t>
            </w:r>
          </w:p>
        </w:tc>
        <w:tc>
          <w:tcPr>
            <w:tcW w:w="11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A6B965" w14:textId="77777777" w:rsidR="001D24C9" w:rsidRPr="00687DE8" w:rsidRDefault="001D24C9" w:rsidP="001D24C9">
            <w:pPr>
              <w:spacing w:after="0" w:line="240" w:lineRule="auto"/>
              <w:jc w:val="center"/>
              <w:rPr>
                <w:szCs w:val="24"/>
              </w:rPr>
            </w:pPr>
          </w:p>
          <w:p w14:paraId="0323428B" w14:textId="77777777" w:rsidR="001D24C9" w:rsidRPr="00687DE8" w:rsidRDefault="001D24C9" w:rsidP="001D24C9">
            <w:pPr>
              <w:spacing w:after="0" w:line="240" w:lineRule="auto"/>
              <w:jc w:val="center"/>
              <w:rPr>
                <w:szCs w:val="24"/>
              </w:rPr>
            </w:pPr>
            <w:r w:rsidRPr="00687DE8">
              <w:rPr>
                <w:szCs w:val="24"/>
              </w:rPr>
              <w:t>1F2108</w:t>
            </w:r>
          </w:p>
        </w:tc>
        <w:tc>
          <w:tcPr>
            <w:tcW w:w="1119"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FBCE61" w14:textId="7CC7FD6A" w:rsidR="4EC185AB" w:rsidRPr="00687DE8" w:rsidRDefault="00157E81">
            <w:pPr>
              <w:spacing w:after="0"/>
              <w:jc w:val="center"/>
              <w:rPr>
                <w:color w:val="000000" w:themeColor="text1"/>
                <w:szCs w:val="24"/>
              </w:rPr>
            </w:pPr>
            <w:r>
              <w:rPr>
                <w:color w:val="000000"/>
              </w:rPr>
              <w:t>457,67</w:t>
            </w:r>
          </w:p>
        </w:tc>
      </w:tr>
    </w:tbl>
    <w:p w14:paraId="0452A85E" w14:textId="77777777" w:rsidR="00976487" w:rsidRPr="00687DE8" w:rsidRDefault="00976487" w:rsidP="00976487">
      <w:pPr>
        <w:spacing w:after="0" w:line="240" w:lineRule="auto"/>
        <w:jc w:val="both"/>
        <w:divId w:val="1316184749"/>
        <w:rPr>
          <w:szCs w:val="24"/>
        </w:rPr>
      </w:pPr>
    </w:p>
    <w:p w14:paraId="7211C7A8" w14:textId="6D43D493" w:rsidR="00976487" w:rsidRPr="00687DE8" w:rsidRDefault="00976487" w:rsidP="00976487">
      <w:pPr>
        <w:spacing w:after="0" w:line="240" w:lineRule="auto"/>
        <w:jc w:val="both"/>
        <w:divId w:val="1316184749"/>
        <w:rPr>
          <w:szCs w:val="24"/>
        </w:rPr>
      </w:pPr>
      <w:r w:rsidRPr="00687DE8">
        <w:rPr>
          <w:szCs w:val="24"/>
        </w:rPr>
        <w:t xml:space="preserve">(9) </w:t>
      </w:r>
      <w:r w:rsidR="005023FD" w:rsidRPr="00687DE8">
        <w:rPr>
          <w:szCs w:val="24"/>
        </w:rPr>
        <w:t>Tervisekassa</w:t>
      </w:r>
      <w:r w:rsidRPr="00687DE8">
        <w:rPr>
          <w:szCs w:val="24"/>
        </w:rPr>
        <w:t xml:space="preserve"> võtab koodiga 1F2108 tähistatud tervishoiuteenuse eest tasu maksmise kohustuse üle tervishoiuteenuse osutajaga sõlmitud ravi rahastamise lepingus kokku</w:t>
      </w:r>
      <w:r w:rsidR="00675E94" w:rsidRPr="00687DE8">
        <w:rPr>
          <w:szCs w:val="24"/>
        </w:rPr>
        <w:t xml:space="preserve"> </w:t>
      </w:r>
      <w:r w:rsidRPr="00687DE8">
        <w:rPr>
          <w:szCs w:val="24"/>
        </w:rPr>
        <w:t>lepitud tingimustel ja korras.</w:t>
      </w:r>
    </w:p>
    <w:p w14:paraId="2F256A00" w14:textId="77777777" w:rsidR="00976487" w:rsidRPr="00687DE8" w:rsidRDefault="00976487" w:rsidP="00976487">
      <w:pPr>
        <w:spacing w:after="0" w:line="240" w:lineRule="auto"/>
        <w:jc w:val="both"/>
        <w:divId w:val="1316184749"/>
        <w:rPr>
          <w:szCs w:val="24"/>
        </w:rPr>
      </w:pPr>
    </w:p>
    <w:p w14:paraId="4960401E" w14:textId="77777777" w:rsidR="00976487" w:rsidRPr="00687DE8" w:rsidRDefault="00976487" w:rsidP="00976487">
      <w:pPr>
        <w:spacing w:after="0" w:line="240" w:lineRule="auto"/>
        <w:jc w:val="both"/>
        <w:divId w:val="1316184749"/>
        <w:rPr>
          <w:szCs w:val="24"/>
        </w:rPr>
      </w:pPr>
      <w:r w:rsidRPr="00687DE8">
        <w:rPr>
          <w:szCs w:val="24"/>
        </w:rPr>
        <w:t>(10) Koodiga 1F2108 tähistatud tervishoiuteenuse piirhind ei sisalda kardiokirurgide (</w:t>
      </w:r>
      <w:r w:rsidR="00DC4841" w:rsidRPr="00687DE8">
        <w:rPr>
          <w:szCs w:val="24"/>
        </w:rPr>
        <w:t>välja arvatud</w:t>
      </w:r>
      <w:r w:rsidRPr="00687DE8">
        <w:rPr>
          <w:szCs w:val="24"/>
        </w:rPr>
        <w:t xml:space="preserve"> assisteeriva kirurgi) tööjõukulu ja operatsiooniinstrumentide maksumust.</w:t>
      </w:r>
    </w:p>
    <w:p w14:paraId="0C8888A2" w14:textId="77777777" w:rsidR="00976487" w:rsidRPr="00687DE8" w:rsidRDefault="00976487" w:rsidP="00976487">
      <w:pPr>
        <w:spacing w:after="0" w:line="240" w:lineRule="auto"/>
        <w:jc w:val="both"/>
        <w:divId w:val="1316184749"/>
        <w:rPr>
          <w:szCs w:val="24"/>
        </w:rPr>
      </w:pPr>
    </w:p>
    <w:p w14:paraId="6CEE5822" w14:textId="77777777" w:rsidR="00976487" w:rsidRPr="00687DE8" w:rsidRDefault="00976487" w:rsidP="00976487">
      <w:pPr>
        <w:spacing w:after="0" w:line="240" w:lineRule="auto"/>
        <w:jc w:val="both"/>
        <w:divId w:val="1316184749"/>
        <w:rPr>
          <w:szCs w:val="24"/>
        </w:rPr>
      </w:pPr>
      <w:r w:rsidRPr="00687DE8">
        <w:rPr>
          <w:szCs w:val="24"/>
        </w:rPr>
        <w:t>(11) Arütmiate kirurgilise ablatsioonravi läbiviimisel lisaprotseduurina südameoperatsiooni kestel rakendatakse koodiga 1F2104 tähistatud tervishoiuteenust, millele lisandub koodiga 2521L tähistatud tervishoiuteenus.</w:t>
      </w:r>
    </w:p>
    <w:p w14:paraId="0EB813C7" w14:textId="77777777" w:rsidR="00976487" w:rsidRPr="00687DE8" w:rsidRDefault="00976487" w:rsidP="00976487">
      <w:pPr>
        <w:spacing w:after="0" w:line="240" w:lineRule="auto"/>
        <w:jc w:val="both"/>
        <w:divId w:val="1316184749"/>
        <w:rPr>
          <w:szCs w:val="24"/>
        </w:rPr>
      </w:pPr>
    </w:p>
    <w:p w14:paraId="46DB83D9" w14:textId="79BB8FDD" w:rsidR="00976487" w:rsidRPr="00687DE8" w:rsidRDefault="00976487" w:rsidP="00976487">
      <w:pPr>
        <w:spacing w:after="0" w:line="240" w:lineRule="auto"/>
        <w:jc w:val="both"/>
        <w:divId w:val="1316184749"/>
        <w:rPr>
          <w:szCs w:val="24"/>
        </w:rPr>
      </w:pPr>
      <w:r w:rsidRPr="00687DE8">
        <w:rPr>
          <w:szCs w:val="24"/>
        </w:rPr>
        <w:t xml:space="preserve">(12) </w:t>
      </w:r>
      <w:r w:rsidR="005023FD" w:rsidRPr="00687DE8">
        <w:rPr>
          <w:szCs w:val="24"/>
        </w:rPr>
        <w:t>Tervisekassa</w:t>
      </w:r>
      <w:r w:rsidRPr="00687DE8">
        <w:rPr>
          <w:szCs w:val="24"/>
        </w:rPr>
        <w:t xml:space="preserve"> võtab arütmiate kirurgilise ablatsioonravi korral iseseisva operatsioonina teenuse eest tasumise kohustuse üle koodiga 1F2102 tähistatud tervishoiuteenusega, millele lisandub koodiga 2521L tähistatud tervishoiuteenus.</w:t>
      </w:r>
    </w:p>
    <w:p w14:paraId="6E5DEB67" w14:textId="77777777" w:rsidR="00976487" w:rsidRPr="00687DE8" w:rsidRDefault="00976487" w:rsidP="00976487">
      <w:pPr>
        <w:spacing w:after="0" w:line="240" w:lineRule="auto"/>
        <w:jc w:val="both"/>
        <w:outlineLvl w:val="2"/>
        <w:divId w:val="1316184749"/>
        <w:rPr>
          <w:b/>
          <w:bCs/>
          <w:szCs w:val="24"/>
        </w:rPr>
      </w:pPr>
    </w:p>
    <w:p w14:paraId="241CCAE0" w14:textId="77777777" w:rsidR="00976487" w:rsidRDefault="00976487" w:rsidP="00976487">
      <w:pPr>
        <w:spacing w:after="0" w:line="240" w:lineRule="auto"/>
        <w:jc w:val="both"/>
        <w:outlineLvl w:val="2"/>
        <w:divId w:val="1316184749"/>
        <w:rPr>
          <w:b/>
          <w:szCs w:val="24"/>
        </w:rPr>
      </w:pPr>
      <w:r w:rsidRPr="00687DE8">
        <w:rPr>
          <w:b/>
          <w:szCs w:val="24"/>
        </w:rPr>
        <w:lastRenderedPageBreak/>
        <w:t>§ 5</w:t>
      </w:r>
      <w:r w:rsidR="000245EE" w:rsidRPr="00687DE8">
        <w:rPr>
          <w:b/>
          <w:szCs w:val="24"/>
        </w:rPr>
        <w:t>3</w:t>
      </w:r>
      <w:r w:rsidRPr="00687DE8">
        <w:rPr>
          <w:b/>
          <w:szCs w:val="24"/>
        </w:rPr>
        <w:t>. Neurokirurgia operatsioonid</w:t>
      </w:r>
    </w:p>
    <w:p w14:paraId="6A0B7E58" w14:textId="77777777" w:rsidR="005332E6" w:rsidRDefault="005332E6" w:rsidP="00976487">
      <w:pPr>
        <w:spacing w:after="0" w:line="240" w:lineRule="auto"/>
        <w:jc w:val="both"/>
        <w:divId w:val="1316184749"/>
        <w:rPr>
          <w:szCs w:val="24"/>
        </w:rPr>
      </w:pPr>
    </w:p>
    <w:p w14:paraId="7F9FC1F9" w14:textId="66B933F7" w:rsidR="00976487" w:rsidRPr="00687DE8" w:rsidRDefault="00976487" w:rsidP="00976487">
      <w:pPr>
        <w:spacing w:after="0" w:line="240" w:lineRule="auto"/>
        <w:jc w:val="both"/>
        <w:divId w:val="1316184749"/>
        <w:rPr>
          <w:szCs w:val="24"/>
        </w:rPr>
      </w:pPr>
      <w:r w:rsidRPr="00687DE8">
        <w:rPr>
          <w:szCs w:val="24"/>
        </w:rPr>
        <w:t>(1) Neurokirurgia operatsioonide korral rakendatakse järgmisi piirhindu:</w:t>
      </w:r>
    </w:p>
    <w:p w14:paraId="2EE15C0D"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9"/>
        <w:gridCol w:w="1041"/>
        <w:gridCol w:w="1745"/>
      </w:tblGrid>
      <w:tr w:rsidR="00976487" w:rsidRPr="00687DE8" w14:paraId="65782108" w14:textId="77777777" w:rsidTr="0008477E">
        <w:trPr>
          <w:divId w:val="1316184749"/>
          <w:tblHeader/>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953C76" w14:textId="77777777" w:rsidR="00976487" w:rsidRPr="00687DE8" w:rsidRDefault="00976487">
            <w:pPr>
              <w:spacing w:after="0" w:line="240" w:lineRule="auto"/>
              <w:jc w:val="center"/>
              <w:rPr>
                <w:szCs w:val="24"/>
              </w:rPr>
            </w:pPr>
            <w:r w:rsidRPr="00687DE8">
              <w:rPr>
                <w:b/>
                <w:bCs/>
                <w:szCs w:val="24"/>
              </w:rPr>
              <w:t>Tervishoiuteenuse nimetus</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3D3742" w14:textId="77777777" w:rsidR="00976487" w:rsidRPr="00687DE8" w:rsidRDefault="00976487">
            <w:pPr>
              <w:spacing w:after="0" w:line="240" w:lineRule="auto"/>
              <w:jc w:val="center"/>
              <w:rPr>
                <w:szCs w:val="24"/>
              </w:rPr>
            </w:pPr>
            <w:r w:rsidRPr="00687DE8">
              <w:rPr>
                <w:b/>
                <w:bCs/>
                <w:szCs w:val="24"/>
              </w:rPr>
              <w:t>Kood</w:t>
            </w:r>
          </w:p>
        </w:tc>
        <w:tc>
          <w:tcPr>
            <w:tcW w:w="17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7DC841"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D71D3A" w:rsidRPr="00687DE8" w14:paraId="5E7238BD"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980B51" w14:textId="77777777" w:rsidR="00D71D3A" w:rsidRPr="00687DE8" w:rsidRDefault="00D71D3A" w:rsidP="00D71D3A">
            <w:pPr>
              <w:spacing w:after="0" w:line="240" w:lineRule="auto"/>
              <w:rPr>
                <w:szCs w:val="24"/>
              </w:rPr>
            </w:pPr>
            <w:r w:rsidRPr="00687DE8">
              <w:rPr>
                <w:szCs w:val="24"/>
              </w:rPr>
              <w:t>Diagnostilised freesavad</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F71357" w14:textId="77777777" w:rsidR="00D71D3A" w:rsidRPr="00687DE8" w:rsidRDefault="00D71D3A" w:rsidP="00D71D3A">
            <w:pPr>
              <w:spacing w:after="0" w:line="240" w:lineRule="auto"/>
              <w:jc w:val="center"/>
              <w:rPr>
                <w:szCs w:val="24"/>
              </w:rPr>
            </w:pPr>
            <w:r w:rsidRPr="00687DE8">
              <w:rPr>
                <w:szCs w:val="24"/>
              </w:rPr>
              <w:t>1A2104</w:t>
            </w:r>
          </w:p>
        </w:tc>
        <w:tc>
          <w:tcPr>
            <w:tcW w:w="17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349FD6" w14:textId="1F51C08C" w:rsidR="4EC185AB" w:rsidRPr="00687DE8" w:rsidRDefault="00157E81">
            <w:pPr>
              <w:spacing w:after="0"/>
              <w:jc w:val="center"/>
              <w:rPr>
                <w:color w:val="000000" w:themeColor="text1"/>
                <w:szCs w:val="24"/>
              </w:rPr>
            </w:pPr>
            <w:r>
              <w:rPr>
                <w:color w:val="000000"/>
              </w:rPr>
              <w:t>421,18</w:t>
            </w:r>
          </w:p>
        </w:tc>
      </w:tr>
      <w:tr w:rsidR="00D71D3A" w:rsidRPr="00687DE8" w14:paraId="3975C933"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F7871F" w14:textId="77777777" w:rsidR="00D71D3A" w:rsidRPr="00687DE8" w:rsidRDefault="00D71D3A" w:rsidP="00D71D3A">
            <w:pPr>
              <w:spacing w:after="0" w:line="240" w:lineRule="auto"/>
              <w:rPr>
                <w:szCs w:val="24"/>
              </w:rPr>
            </w:pPr>
            <w:r w:rsidRPr="00687DE8">
              <w:rPr>
                <w:szCs w:val="24"/>
              </w:rPr>
              <w:t>Perifeersete tunnelsündroomide dekompressioon (välja arvatud karpaalkanali avamine)</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9078FA5" w14:textId="77777777" w:rsidR="00D71D3A" w:rsidRPr="00687DE8" w:rsidRDefault="00D71D3A" w:rsidP="00D71D3A">
            <w:pPr>
              <w:spacing w:after="0" w:line="240" w:lineRule="auto"/>
              <w:jc w:val="center"/>
              <w:rPr>
                <w:szCs w:val="24"/>
              </w:rPr>
            </w:pPr>
            <w:r w:rsidRPr="00687DE8">
              <w:rPr>
                <w:szCs w:val="24"/>
              </w:rPr>
              <w:t>0A2103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7A2EC0" w14:textId="1E548A36" w:rsidR="4EC185AB" w:rsidRPr="00687DE8" w:rsidRDefault="00157E81">
            <w:pPr>
              <w:spacing w:after="0"/>
              <w:jc w:val="center"/>
              <w:rPr>
                <w:color w:val="000000" w:themeColor="text1"/>
                <w:szCs w:val="24"/>
              </w:rPr>
            </w:pPr>
            <w:r>
              <w:rPr>
                <w:color w:val="000000"/>
              </w:rPr>
              <w:t>548,60</w:t>
            </w:r>
          </w:p>
        </w:tc>
      </w:tr>
      <w:tr w:rsidR="00D71D3A" w:rsidRPr="00687DE8" w14:paraId="09491017"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B46D1C" w14:textId="77777777" w:rsidR="00D71D3A" w:rsidRPr="00687DE8" w:rsidRDefault="00D71D3A" w:rsidP="00D71D3A">
            <w:pPr>
              <w:spacing w:after="0" w:line="240" w:lineRule="auto"/>
              <w:rPr>
                <w:szCs w:val="24"/>
              </w:rPr>
            </w:pPr>
            <w:r w:rsidRPr="00687DE8">
              <w:rPr>
                <w:szCs w:val="24"/>
              </w:rPr>
              <w:t>Karpaalkanali operatsioon neurolüüsiga</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CAC53C" w14:textId="77777777" w:rsidR="00D71D3A" w:rsidRPr="00687DE8" w:rsidRDefault="00D71D3A" w:rsidP="00D71D3A">
            <w:pPr>
              <w:spacing w:after="0" w:line="240" w:lineRule="auto"/>
              <w:jc w:val="center"/>
              <w:rPr>
                <w:szCs w:val="24"/>
              </w:rPr>
            </w:pPr>
            <w:r w:rsidRPr="00687DE8">
              <w:rPr>
                <w:szCs w:val="24"/>
              </w:rPr>
              <w:t>1A2105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E79630" w14:textId="2C46FACE" w:rsidR="4EC185AB" w:rsidRPr="00687DE8" w:rsidRDefault="00157E81">
            <w:pPr>
              <w:spacing w:after="0"/>
              <w:jc w:val="center"/>
              <w:rPr>
                <w:color w:val="000000" w:themeColor="text1"/>
                <w:szCs w:val="24"/>
              </w:rPr>
            </w:pPr>
            <w:r>
              <w:rPr>
                <w:color w:val="000000"/>
              </w:rPr>
              <w:t>292,16</w:t>
            </w:r>
          </w:p>
        </w:tc>
      </w:tr>
      <w:tr w:rsidR="00D71D3A" w:rsidRPr="00687DE8" w14:paraId="3003C91D"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FB04BE" w14:textId="77777777" w:rsidR="00D71D3A" w:rsidRPr="00687DE8" w:rsidRDefault="00D71D3A" w:rsidP="00D71D3A">
            <w:pPr>
              <w:spacing w:after="0" w:line="240" w:lineRule="auto"/>
              <w:rPr>
                <w:szCs w:val="24"/>
              </w:rPr>
            </w:pPr>
            <w:r w:rsidRPr="00687DE8">
              <w:rPr>
                <w:szCs w:val="24"/>
              </w:rPr>
              <w:t>Ajuvatsakese punktsioon ja dreneerimine</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F1C452" w14:textId="77777777" w:rsidR="00D71D3A" w:rsidRPr="00687DE8" w:rsidRDefault="00D71D3A" w:rsidP="00D71D3A">
            <w:pPr>
              <w:spacing w:after="0" w:line="240" w:lineRule="auto"/>
              <w:jc w:val="center"/>
              <w:rPr>
                <w:szCs w:val="24"/>
              </w:rPr>
            </w:pPr>
            <w:r w:rsidRPr="00687DE8">
              <w:rPr>
                <w:szCs w:val="24"/>
              </w:rPr>
              <w:t>1A2106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337863" w14:textId="3A108BBA" w:rsidR="4EC185AB" w:rsidRPr="00687DE8" w:rsidRDefault="00157E81">
            <w:pPr>
              <w:spacing w:after="0"/>
              <w:jc w:val="center"/>
              <w:rPr>
                <w:color w:val="000000" w:themeColor="text1"/>
                <w:szCs w:val="24"/>
              </w:rPr>
            </w:pPr>
            <w:r>
              <w:rPr>
                <w:color w:val="000000"/>
              </w:rPr>
              <w:t>418,19</w:t>
            </w:r>
          </w:p>
        </w:tc>
      </w:tr>
      <w:tr w:rsidR="00D71D3A" w:rsidRPr="00687DE8" w14:paraId="6F96ACE6"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473607" w14:textId="77777777" w:rsidR="00D71D3A" w:rsidRPr="00687DE8" w:rsidRDefault="00D71D3A" w:rsidP="00D71D3A">
            <w:pPr>
              <w:spacing w:after="0" w:line="240" w:lineRule="auto"/>
              <w:rPr>
                <w:szCs w:val="24"/>
              </w:rPr>
            </w:pPr>
            <w:r w:rsidRPr="00687DE8">
              <w:rPr>
                <w:szCs w:val="24"/>
              </w:rPr>
              <w:t>Kolju allo- ja autoplastika</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F071DF" w14:textId="77777777" w:rsidR="00D71D3A" w:rsidRPr="00687DE8" w:rsidRDefault="00D71D3A" w:rsidP="00D71D3A">
            <w:pPr>
              <w:spacing w:after="0" w:line="240" w:lineRule="auto"/>
              <w:jc w:val="center"/>
              <w:rPr>
                <w:szCs w:val="24"/>
              </w:rPr>
            </w:pPr>
            <w:r w:rsidRPr="00687DE8">
              <w:rPr>
                <w:szCs w:val="24"/>
              </w:rPr>
              <w:t>1A2107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EF5B1B" w14:textId="27CD1EB6" w:rsidR="4EC185AB" w:rsidRPr="00687DE8" w:rsidRDefault="00157E81">
            <w:pPr>
              <w:spacing w:after="0"/>
              <w:jc w:val="center"/>
              <w:rPr>
                <w:color w:val="000000" w:themeColor="text1"/>
                <w:szCs w:val="24"/>
              </w:rPr>
            </w:pPr>
            <w:r>
              <w:rPr>
                <w:color w:val="000000"/>
              </w:rPr>
              <w:t>822,78</w:t>
            </w:r>
          </w:p>
        </w:tc>
      </w:tr>
      <w:tr w:rsidR="00D71D3A" w:rsidRPr="00687DE8" w14:paraId="51F1F1D1"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73DF4E" w14:textId="77777777" w:rsidR="00D71D3A" w:rsidRPr="00687DE8" w:rsidRDefault="00D71D3A" w:rsidP="00D71D3A">
            <w:pPr>
              <w:spacing w:after="0" w:line="240" w:lineRule="auto"/>
              <w:rPr>
                <w:szCs w:val="24"/>
              </w:rPr>
            </w:pPr>
            <w:r w:rsidRPr="00687DE8">
              <w:rPr>
                <w:szCs w:val="24"/>
              </w:rPr>
              <w:t>Kolju impressioonmurru korrastamine</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4A6E9B" w14:textId="77777777" w:rsidR="00D71D3A" w:rsidRPr="00687DE8" w:rsidRDefault="00D71D3A" w:rsidP="00D71D3A">
            <w:pPr>
              <w:spacing w:after="0" w:line="240" w:lineRule="auto"/>
              <w:jc w:val="center"/>
              <w:rPr>
                <w:szCs w:val="24"/>
              </w:rPr>
            </w:pPr>
            <w:r w:rsidRPr="00687DE8">
              <w:rPr>
                <w:szCs w:val="24"/>
              </w:rPr>
              <w:t>1A2108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4917A5" w14:textId="031FF22E" w:rsidR="4EC185AB" w:rsidRPr="00687DE8" w:rsidRDefault="00157E81">
            <w:pPr>
              <w:spacing w:after="0"/>
              <w:jc w:val="center"/>
              <w:rPr>
                <w:color w:val="000000" w:themeColor="text1"/>
                <w:szCs w:val="24"/>
              </w:rPr>
            </w:pPr>
            <w:r>
              <w:rPr>
                <w:color w:val="000000"/>
              </w:rPr>
              <w:t>735,01</w:t>
            </w:r>
          </w:p>
        </w:tc>
      </w:tr>
      <w:tr w:rsidR="00D71D3A" w:rsidRPr="00687DE8" w14:paraId="260068E8"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D6CB0C" w14:textId="77777777" w:rsidR="00D71D3A" w:rsidRPr="00687DE8" w:rsidRDefault="00D71D3A" w:rsidP="00D71D3A">
            <w:pPr>
              <w:spacing w:after="0" w:line="240" w:lineRule="auto"/>
              <w:rPr>
                <w:szCs w:val="24"/>
              </w:rPr>
            </w:pPr>
            <w:r w:rsidRPr="00687DE8">
              <w:rPr>
                <w:szCs w:val="24"/>
              </w:rPr>
              <w:t>Eksploratiivne kraniotoomia</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386952" w14:textId="77777777" w:rsidR="00D71D3A" w:rsidRPr="00687DE8" w:rsidRDefault="00D71D3A" w:rsidP="00D71D3A">
            <w:pPr>
              <w:spacing w:after="0" w:line="240" w:lineRule="auto"/>
              <w:jc w:val="center"/>
              <w:rPr>
                <w:szCs w:val="24"/>
              </w:rPr>
            </w:pPr>
            <w:r w:rsidRPr="00687DE8">
              <w:rPr>
                <w:szCs w:val="24"/>
              </w:rPr>
              <w:t>1A2109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433121" w14:textId="7B9A7BD1" w:rsidR="4EC185AB" w:rsidRPr="00687DE8" w:rsidRDefault="00157E81">
            <w:pPr>
              <w:spacing w:after="0"/>
              <w:jc w:val="center"/>
              <w:rPr>
                <w:color w:val="000000" w:themeColor="text1"/>
                <w:szCs w:val="24"/>
              </w:rPr>
            </w:pPr>
            <w:r>
              <w:rPr>
                <w:color w:val="000000"/>
              </w:rPr>
              <w:t>954,21</w:t>
            </w:r>
          </w:p>
        </w:tc>
      </w:tr>
      <w:tr w:rsidR="00D71D3A" w:rsidRPr="00687DE8" w14:paraId="7C886276"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C548BF" w14:textId="77777777" w:rsidR="00D71D3A" w:rsidRPr="00687DE8" w:rsidRDefault="00D71D3A" w:rsidP="00D71D3A">
            <w:pPr>
              <w:spacing w:after="0" w:line="240" w:lineRule="auto"/>
              <w:rPr>
                <w:szCs w:val="24"/>
              </w:rPr>
            </w:pPr>
            <w:r w:rsidRPr="00687DE8">
              <w:rPr>
                <w:szCs w:val="24"/>
              </w:rPr>
              <w:t>Müelotseele ja meningomüelotseele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84B7A1" w14:textId="77777777" w:rsidR="00D71D3A" w:rsidRPr="00687DE8" w:rsidRDefault="00D71D3A" w:rsidP="00D71D3A">
            <w:pPr>
              <w:spacing w:after="0" w:line="240" w:lineRule="auto"/>
              <w:jc w:val="center"/>
              <w:rPr>
                <w:szCs w:val="24"/>
              </w:rPr>
            </w:pPr>
            <w:r w:rsidRPr="00687DE8">
              <w:rPr>
                <w:szCs w:val="24"/>
              </w:rPr>
              <w:t>1A2110</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FB5420" w14:textId="708CE81A" w:rsidR="4EC185AB" w:rsidRPr="00687DE8" w:rsidRDefault="00157E81">
            <w:pPr>
              <w:spacing w:after="0"/>
              <w:jc w:val="center"/>
              <w:rPr>
                <w:color w:val="000000" w:themeColor="text1"/>
                <w:szCs w:val="24"/>
              </w:rPr>
            </w:pPr>
            <w:r>
              <w:rPr>
                <w:color w:val="000000"/>
              </w:rPr>
              <w:t>1 026,80</w:t>
            </w:r>
          </w:p>
        </w:tc>
      </w:tr>
      <w:tr w:rsidR="00D71D3A" w:rsidRPr="00687DE8" w14:paraId="423744CC"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363225" w14:textId="77777777" w:rsidR="00D71D3A" w:rsidRPr="00687DE8" w:rsidRDefault="00D71D3A" w:rsidP="00D71D3A">
            <w:pPr>
              <w:spacing w:after="0" w:line="240" w:lineRule="auto"/>
              <w:rPr>
                <w:szCs w:val="24"/>
              </w:rPr>
            </w:pPr>
            <w:r w:rsidRPr="00687DE8">
              <w:rPr>
                <w:szCs w:val="24"/>
              </w:rPr>
              <w:t>Hüdrotsefaalia ravi šunteerimise teel (drenaaž arvestatakse eraldi)</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2E70DD" w14:textId="77777777" w:rsidR="00D71D3A" w:rsidRPr="00687DE8" w:rsidRDefault="00D71D3A" w:rsidP="00D71D3A">
            <w:pPr>
              <w:spacing w:after="0" w:line="240" w:lineRule="auto"/>
              <w:jc w:val="center"/>
              <w:rPr>
                <w:szCs w:val="24"/>
              </w:rPr>
            </w:pPr>
            <w:r w:rsidRPr="00687DE8">
              <w:rPr>
                <w:szCs w:val="24"/>
              </w:rPr>
              <w:t>1A2111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73EA0D" w14:textId="68B122DB" w:rsidR="4EC185AB" w:rsidRPr="00687DE8" w:rsidRDefault="00157E81">
            <w:pPr>
              <w:spacing w:after="0"/>
              <w:jc w:val="center"/>
              <w:rPr>
                <w:color w:val="000000" w:themeColor="text1"/>
                <w:szCs w:val="24"/>
              </w:rPr>
            </w:pPr>
            <w:r>
              <w:rPr>
                <w:color w:val="000000"/>
              </w:rPr>
              <w:t>809,85</w:t>
            </w:r>
          </w:p>
        </w:tc>
      </w:tr>
      <w:tr w:rsidR="00D71D3A" w:rsidRPr="00687DE8" w14:paraId="2F48C792"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5715AF" w14:textId="77777777" w:rsidR="00D71D3A" w:rsidRPr="00687DE8" w:rsidRDefault="00D71D3A" w:rsidP="00D71D3A">
            <w:pPr>
              <w:spacing w:after="0" w:line="240" w:lineRule="auto"/>
              <w:rPr>
                <w:szCs w:val="24"/>
              </w:rPr>
            </w:pPr>
            <w:r w:rsidRPr="00687DE8">
              <w:rPr>
                <w:szCs w:val="24"/>
              </w:rPr>
              <w:t>Kolju resektsioon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E7B0AA" w14:textId="77777777" w:rsidR="00D71D3A" w:rsidRPr="00687DE8" w:rsidRDefault="00D71D3A" w:rsidP="00D71D3A">
            <w:pPr>
              <w:spacing w:after="0" w:line="240" w:lineRule="auto"/>
              <w:jc w:val="center"/>
              <w:rPr>
                <w:szCs w:val="24"/>
              </w:rPr>
            </w:pPr>
            <w:r w:rsidRPr="00687DE8">
              <w:rPr>
                <w:szCs w:val="24"/>
              </w:rPr>
              <w:t>1A2113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3BDDCF" w14:textId="6E931DAC" w:rsidR="4EC185AB" w:rsidRPr="00687DE8" w:rsidRDefault="00157E81">
            <w:pPr>
              <w:spacing w:after="0"/>
              <w:jc w:val="center"/>
              <w:rPr>
                <w:color w:val="000000" w:themeColor="text1"/>
                <w:szCs w:val="24"/>
              </w:rPr>
            </w:pPr>
            <w:r>
              <w:rPr>
                <w:color w:val="000000"/>
              </w:rPr>
              <w:t>758,71</w:t>
            </w:r>
          </w:p>
        </w:tc>
      </w:tr>
      <w:tr w:rsidR="00D71D3A" w:rsidRPr="00687DE8" w14:paraId="1E0E3EE0"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1CE789" w14:textId="77777777" w:rsidR="00D71D3A" w:rsidRPr="00687DE8" w:rsidRDefault="00D71D3A" w:rsidP="00D71D3A">
            <w:pPr>
              <w:spacing w:after="0" w:line="240" w:lineRule="auto"/>
              <w:rPr>
                <w:szCs w:val="24"/>
              </w:rPr>
            </w:pPr>
            <w:r w:rsidRPr="00687DE8">
              <w:rPr>
                <w:szCs w:val="24"/>
              </w:rPr>
              <w:t>Perifeerse närvi õmblus</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EB2EC9" w14:textId="77777777" w:rsidR="00D71D3A" w:rsidRPr="00687DE8" w:rsidRDefault="00D71D3A" w:rsidP="00D71D3A">
            <w:pPr>
              <w:spacing w:after="0" w:line="240" w:lineRule="auto"/>
              <w:jc w:val="center"/>
              <w:rPr>
                <w:szCs w:val="24"/>
              </w:rPr>
            </w:pPr>
            <w:r w:rsidRPr="00687DE8">
              <w:rPr>
                <w:szCs w:val="24"/>
              </w:rPr>
              <w:t>1A2115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20221C" w14:textId="1CE641D4" w:rsidR="4EC185AB" w:rsidRPr="00687DE8" w:rsidRDefault="00157E81">
            <w:pPr>
              <w:spacing w:after="0"/>
              <w:jc w:val="center"/>
              <w:rPr>
                <w:color w:val="000000" w:themeColor="text1"/>
                <w:szCs w:val="24"/>
              </w:rPr>
            </w:pPr>
            <w:r>
              <w:rPr>
                <w:color w:val="000000"/>
              </w:rPr>
              <w:t>736,61</w:t>
            </w:r>
          </w:p>
        </w:tc>
      </w:tr>
      <w:tr w:rsidR="00D71D3A" w:rsidRPr="00687DE8" w14:paraId="5C21D635" w14:textId="77777777" w:rsidTr="00EB7A71">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8EEA06" w14:textId="77777777" w:rsidR="00D71D3A" w:rsidRPr="00687DE8" w:rsidRDefault="00D71D3A" w:rsidP="00D71D3A">
            <w:pPr>
              <w:spacing w:after="0" w:line="240" w:lineRule="auto"/>
              <w:rPr>
                <w:szCs w:val="24"/>
              </w:rPr>
            </w:pPr>
            <w:r w:rsidRPr="00687DE8">
              <w:rPr>
                <w:szCs w:val="24"/>
              </w:rPr>
              <w:t>Perifeerse närvi plastika</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B4A911" w14:textId="77777777" w:rsidR="00D71D3A" w:rsidRPr="00687DE8" w:rsidRDefault="00D71D3A" w:rsidP="00D71D3A">
            <w:pPr>
              <w:spacing w:after="0" w:line="240" w:lineRule="auto"/>
              <w:jc w:val="center"/>
              <w:rPr>
                <w:szCs w:val="24"/>
              </w:rPr>
            </w:pPr>
            <w:r w:rsidRPr="00687DE8">
              <w:rPr>
                <w:szCs w:val="24"/>
              </w:rPr>
              <w:t>1A2116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520BD9" w14:textId="48781CAF" w:rsidR="4EC185AB" w:rsidRPr="00687DE8" w:rsidRDefault="00157E81">
            <w:pPr>
              <w:spacing w:after="0"/>
              <w:jc w:val="center"/>
              <w:rPr>
                <w:color w:val="000000" w:themeColor="text1"/>
                <w:szCs w:val="24"/>
              </w:rPr>
            </w:pPr>
            <w:r>
              <w:rPr>
                <w:color w:val="000000"/>
              </w:rPr>
              <w:t>1 084,43</w:t>
            </w:r>
          </w:p>
        </w:tc>
      </w:tr>
      <w:tr w:rsidR="00D71D3A" w:rsidRPr="00687DE8" w14:paraId="25B9174D"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39A2E" w14:textId="77777777" w:rsidR="00D71D3A" w:rsidRPr="00687DE8" w:rsidRDefault="00D71D3A" w:rsidP="00D71D3A">
            <w:pPr>
              <w:spacing w:after="0" w:line="240" w:lineRule="auto"/>
              <w:rPr>
                <w:szCs w:val="24"/>
              </w:rPr>
            </w:pPr>
            <w:r w:rsidRPr="00687DE8">
              <w:rPr>
                <w:szCs w:val="24"/>
              </w:rPr>
              <w:t>Ajukasvaja biopsia</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DE91E8" w14:textId="77777777" w:rsidR="00D71D3A" w:rsidRPr="00687DE8" w:rsidRDefault="00D71D3A" w:rsidP="00D71D3A">
            <w:pPr>
              <w:spacing w:after="0" w:line="240" w:lineRule="auto"/>
              <w:jc w:val="center"/>
              <w:rPr>
                <w:szCs w:val="24"/>
              </w:rPr>
            </w:pPr>
            <w:r w:rsidRPr="00687DE8">
              <w:rPr>
                <w:szCs w:val="24"/>
              </w:rPr>
              <w:t>1A2117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C83383" w14:textId="42F14808" w:rsidR="4EC185AB" w:rsidRPr="00687DE8" w:rsidRDefault="00157E81">
            <w:pPr>
              <w:spacing w:after="0"/>
              <w:jc w:val="center"/>
              <w:rPr>
                <w:color w:val="000000" w:themeColor="text1"/>
                <w:szCs w:val="24"/>
              </w:rPr>
            </w:pPr>
            <w:r>
              <w:rPr>
                <w:color w:val="000000"/>
              </w:rPr>
              <w:t>1 625,31</w:t>
            </w:r>
          </w:p>
        </w:tc>
      </w:tr>
      <w:tr w:rsidR="00D71D3A" w:rsidRPr="00687DE8" w14:paraId="1F1ED6EB"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BFB36C" w14:textId="77777777" w:rsidR="00D71D3A" w:rsidRPr="00687DE8" w:rsidRDefault="00D71D3A" w:rsidP="00D71D3A">
            <w:pPr>
              <w:spacing w:after="0" w:line="240" w:lineRule="auto"/>
              <w:rPr>
                <w:szCs w:val="24"/>
              </w:rPr>
            </w:pPr>
            <w:r w:rsidRPr="00687DE8">
              <w:rPr>
                <w:szCs w:val="24"/>
              </w:rPr>
              <w:t xml:space="preserve">Stereotaktiline operatsioon, sealhulgas </w:t>
            </w:r>
            <w:r w:rsidRPr="00687DE8">
              <w:rPr>
                <w:i/>
                <w:iCs/>
                <w:szCs w:val="24"/>
              </w:rPr>
              <w:t>ganglion Gasser</w:t>
            </w:r>
            <w:r w:rsidRPr="00687DE8">
              <w:rPr>
                <w:szCs w:val="24"/>
              </w:rPr>
              <w:t>’i kemo- või termodestrueerimine</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D5316E3" w14:textId="77777777" w:rsidR="00D71D3A" w:rsidRPr="00687DE8" w:rsidRDefault="00D71D3A" w:rsidP="00D71D3A">
            <w:pPr>
              <w:spacing w:after="0" w:line="240" w:lineRule="auto"/>
              <w:jc w:val="center"/>
              <w:rPr>
                <w:szCs w:val="24"/>
              </w:rPr>
            </w:pPr>
            <w:r w:rsidRPr="00687DE8">
              <w:rPr>
                <w:szCs w:val="24"/>
              </w:rPr>
              <w:t>1A2118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1BE134" w14:textId="3D65284F" w:rsidR="4EC185AB" w:rsidRPr="00687DE8" w:rsidRDefault="00157E81">
            <w:pPr>
              <w:spacing w:after="0"/>
              <w:jc w:val="center"/>
              <w:rPr>
                <w:color w:val="000000" w:themeColor="text1"/>
                <w:szCs w:val="24"/>
              </w:rPr>
            </w:pPr>
            <w:r>
              <w:rPr>
                <w:color w:val="000000"/>
              </w:rPr>
              <w:t>3 748,59</w:t>
            </w:r>
          </w:p>
        </w:tc>
      </w:tr>
      <w:tr w:rsidR="00D71D3A" w:rsidRPr="00687DE8" w14:paraId="2E2B7FCE"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27C65D" w14:textId="77777777" w:rsidR="00D71D3A" w:rsidRPr="00687DE8" w:rsidRDefault="00D71D3A" w:rsidP="00D71D3A">
            <w:pPr>
              <w:spacing w:after="0" w:line="240" w:lineRule="auto"/>
              <w:rPr>
                <w:szCs w:val="24"/>
              </w:rPr>
            </w:pPr>
            <w:r w:rsidRPr="00687DE8">
              <w:rPr>
                <w:szCs w:val="24"/>
              </w:rPr>
              <w:t>Intrakraniaalse spontaanse või traumaatilise verevalumi või hügroomi eemaldamine</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9F1EB8C" w14:textId="77777777" w:rsidR="00D71D3A" w:rsidRPr="00687DE8" w:rsidRDefault="00D71D3A" w:rsidP="00D71D3A">
            <w:pPr>
              <w:spacing w:after="0" w:line="240" w:lineRule="auto"/>
              <w:jc w:val="center"/>
              <w:rPr>
                <w:szCs w:val="24"/>
              </w:rPr>
            </w:pPr>
            <w:r w:rsidRPr="00687DE8">
              <w:rPr>
                <w:szCs w:val="24"/>
              </w:rPr>
              <w:t>1A2119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55DEE1" w14:textId="6CC82A86" w:rsidR="4EC185AB" w:rsidRPr="00687DE8" w:rsidRDefault="00157E81">
            <w:pPr>
              <w:spacing w:after="0"/>
              <w:jc w:val="center"/>
              <w:rPr>
                <w:color w:val="000000" w:themeColor="text1"/>
                <w:szCs w:val="24"/>
              </w:rPr>
            </w:pPr>
            <w:r>
              <w:rPr>
                <w:color w:val="000000"/>
              </w:rPr>
              <w:t>1 048,15</w:t>
            </w:r>
          </w:p>
        </w:tc>
      </w:tr>
      <w:tr w:rsidR="00D71D3A" w:rsidRPr="00687DE8" w14:paraId="158CF948"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D2CE1D" w14:textId="77777777" w:rsidR="00D71D3A" w:rsidRPr="00687DE8" w:rsidRDefault="00D71D3A" w:rsidP="00D71D3A">
            <w:pPr>
              <w:spacing w:after="0" w:line="240" w:lineRule="auto"/>
              <w:rPr>
                <w:szCs w:val="24"/>
              </w:rPr>
            </w:pPr>
            <w:r w:rsidRPr="00687DE8">
              <w:rPr>
                <w:szCs w:val="24"/>
              </w:rPr>
              <w:t>Närvipõimiku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3A04EE" w14:textId="77777777" w:rsidR="00D71D3A" w:rsidRPr="00687DE8" w:rsidRDefault="00D71D3A" w:rsidP="00D71D3A">
            <w:pPr>
              <w:spacing w:after="0" w:line="240" w:lineRule="auto"/>
              <w:jc w:val="center"/>
              <w:rPr>
                <w:szCs w:val="24"/>
              </w:rPr>
            </w:pPr>
            <w:r w:rsidRPr="00687DE8">
              <w:rPr>
                <w:szCs w:val="24"/>
              </w:rPr>
              <w:t>1A2120</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4C39E8" w14:textId="56144FFD" w:rsidR="4EC185AB" w:rsidRPr="00687DE8" w:rsidRDefault="00157E81">
            <w:pPr>
              <w:spacing w:after="0"/>
              <w:jc w:val="center"/>
              <w:rPr>
                <w:color w:val="000000" w:themeColor="text1"/>
                <w:szCs w:val="24"/>
              </w:rPr>
            </w:pPr>
            <w:r>
              <w:rPr>
                <w:color w:val="000000"/>
              </w:rPr>
              <w:t>1 835,69</w:t>
            </w:r>
          </w:p>
        </w:tc>
      </w:tr>
      <w:tr w:rsidR="00D71D3A" w:rsidRPr="00687DE8" w14:paraId="6F715283"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43FC25" w14:textId="77777777" w:rsidR="00D71D3A" w:rsidRPr="00687DE8" w:rsidRDefault="00D71D3A" w:rsidP="00D71D3A">
            <w:pPr>
              <w:spacing w:after="0" w:line="240" w:lineRule="auto"/>
              <w:rPr>
                <w:szCs w:val="24"/>
              </w:rPr>
            </w:pPr>
            <w:r w:rsidRPr="00687DE8">
              <w:rPr>
                <w:szCs w:val="24"/>
              </w:rPr>
              <w:t>Nimmepiirkonna diskogeense haiguse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2D121A" w14:textId="77777777" w:rsidR="00D71D3A" w:rsidRPr="00687DE8" w:rsidRDefault="00D71D3A" w:rsidP="00D71D3A">
            <w:pPr>
              <w:spacing w:after="0" w:line="240" w:lineRule="auto"/>
              <w:jc w:val="center"/>
              <w:rPr>
                <w:szCs w:val="24"/>
              </w:rPr>
            </w:pPr>
            <w:r w:rsidRPr="00687DE8">
              <w:rPr>
                <w:szCs w:val="24"/>
              </w:rPr>
              <w:t>1A2121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F37FA5" w14:textId="644D79BF" w:rsidR="4EC185AB" w:rsidRPr="00687DE8" w:rsidRDefault="00157E81">
            <w:pPr>
              <w:spacing w:after="0"/>
              <w:jc w:val="center"/>
              <w:rPr>
                <w:color w:val="000000" w:themeColor="text1"/>
                <w:szCs w:val="24"/>
              </w:rPr>
            </w:pPr>
            <w:r>
              <w:rPr>
                <w:color w:val="000000"/>
              </w:rPr>
              <w:t>646,39</w:t>
            </w:r>
          </w:p>
        </w:tc>
      </w:tr>
      <w:tr w:rsidR="00D71D3A" w:rsidRPr="00687DE8" w14:paraId="3FB6AFB6"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776AD1" w14:textId="77777777" w:rsidR="00D71D3A" w:rsidRPr="00687DE8" w:rsidRDefault="00D71D3A" w:rsidP="00D71D3A">
            <w:pPr>
              <w:spacing w:after="0" w:line="240" w:lineRule="auto"/>
              <w:rPr>
                <w:szCs w:val="24"/>
              </w:rPr>
            </w:pPr>
            <w:r w:rsidRPr="00687DE8">
              <w:rPr>
                <w:szCs w:val="24"/>
              </w:rPr>
              <w:t>Kraniobasaalse liikvori fistuli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49BE40" w14:textId="77777777" w:rsidR="00D71D3A" w:rsidRPr="00687DE8" w:rsidRDefault="00D71D3A" w:rsidP="00D71D3A">
            <w:pPr>
              <w:spacing w:after="0" w:line="240" w:lineRule="auto"/>
              <w:jc w:val="center"/>
              <w:rPr>
                <w:szCs w:val="24"/>
              </w:rPr>
            </w:pPr>
            <w:r w:rsidRPr="00687DE8">
              <w:rPr>
                <w:szCs w:val="24"/>
              </w:rPr>
              <w:t>1A2122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B945BA" w14:textId="0B447041" w:rsidR="4EC185AB" w:rsidRPr="00687DE8" w:rsidRDefault="00157E81">
            <w:pPr>
              <w:spacing w:after="0"/>
              <w:jc w:val="center"/>
              <w:rPr>
                <w:color w:val="000000" w:themeColor="text1"/>
                <w:szCs w:val="24"/>
              </w:rPr>
            </w:pPr>
            <w:r>
              <w:rPr>
                <w:color w:val="000000"/>
              </w:rPr>
              <w:t>1 507,45</w:t>
            </w:r>
          </w:p>
        </w:tc>
      </w:tr>
      <w:tr w:rsidR="00D71D3A" w:rsidRPr="00687DE8" w14:paraId="69DD625D"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7FAD09" w14:textId="77777777" w:rsidR="00D71D3A" w:rsidRPr="00687DE8" w:rsidRDefault="00D71D3A" w:rsidP="00D71D3A">
            <w:pPr>
              <w:spacing w:after="0" w:line="240" w:lineRule="auto"/>
              <w:rPr>
                <w:szCs w:val="24"/>
              </w:rPr>
            </w:pPr>
            <w:r w:rsidRPr="00687DE8">
              <w:rPr>
                <w:szCs w:val="24"/>
              </w:rPr>
              <w:t>Kordotoomia või müelotoomia või radikulotoomia valukirurgias</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1E1CE4" w14:textId="77777777" w:rsidR="00D71D3A" w:rsidRPr="00687DE8" w:rsidRDefault="00D71D3A" w:rsidP="00D71D3A">
            <w:pPr>
              <w:spacing w:after="0" w:line="240" w:lineRule="auto"/>
              <w:jc w:val="center"/>
              <w:rPr>
                <w:szCs w:val="24"/>
              </w:rPr>
            </w:pPr>
            <w:r w:rsidRPr="00687DE8">
              <w:rPr>
                <w:szCs w:val="24"/>
              </w:rPr>
              <w:t>1A2123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552062" w14:textId="5B931540" w:rsidR="4EC185AB" w:rsidRPr="00687DE8" w:rsidRDefault="00157E81">
            <w:pPr>
              <w:spacing w:after="0"/>
              <w:jc w:val="center"/>
              <w:rPr>
                <w:color w:val="000000" w:themeColor="text1"/>
                <w:szCs w:val="24"/>
              </w:rPr>
            </w:pPr>
            <w:r>
              <w:rPr>
                <w:color w:val="000000"/>
              </w:rPr>
              <w:t>1 130,50</w:t>
            </w:r>
          </w:p>
        </w:tc>
      </w:tr>
      <w:tr w:rsidR="00D71D3A" w:rsidRPr="00687DE8" w14:paraId="104FF974"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138590" w14:textId="77777777" w:rsidR="00D71D3A" w:rsidRPr="00687DE8" w:rsidRDefault="00D71D3A" w:rsidP="00D71D3A">
            <w:pPr>
              <w:spacing w:after="0" w:line="240" w:lineRule="auto"/>
              <w:rPr>
                <w:szCs w:val="24"/>
              </w:rPr>
            </w:pPr>
            <w:r w:rsidRPr="00687DE8">
              <w:rPr>
                <w:szCs w:val="24"/>
              </w:rPr>
              <w:t>Lülisamba ja seljaaju kaelaosa vigastuste ja haiguste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F7E837" w14:textId="77777777" w:rsidR="00D71D3A" w:rsidRPr="00687DE8" w:rsidRDefault="00D71D3A" w:rsidP="00D71D3A">
            <w:pPr>
              <w:spacing w:after="0" w:line="240" w:lineRule="auto"/>
              <w:jc w:val="center"/>
              <w:rPr>
                <w:szCs w:val="24"/>
              </w:rPr>
            </w:pPr>
            <w:r w:rsidRPr="00687DE8">
              <w:rPr>
                <w:szCs w:val="24"/>
              </w:rPr>
              <w:t>1A2124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FFCE42" w14:textId="34A31576" w:rsidR="4EC185AB" w:rsidRPr="00687DE8" w:rsidRDefault="00157E81">
            <w:pPr>
              <w:spacing w:after="0"/>
              <w:jc w:val="center"/>
              <w:rPr>
                <w:color w:val="000000" w:themeColor="text1"/>
                <w:szCs w:val="24"/>
              </w:rPr>
            </w:pPr>
            <w:r>
              <w:rPr>
                <w:color w:val="000000"/>
              </w:rPr>
              <w:t>1 484,87</w:t>
            </w:r>
          </w:p>
        </w:tc>
      </w:tr>
      <w:tr w:rsidR="00D71D3A" w:rsidRPr="00687DE8" w14:paraId="5368FA9A"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21885E" w14:textId="77777777" w:rsidR="00D71D3A" w:rsidRPr="00687DE8" w:rsidRDefault="00D71D3A" w:rsidP="00D71D3A">
            <w:pPr>
              <w:spacing w:after="0" w:line="240" w:lineRule="auto"/>
              <w:rPr>
                <w:szCs w:val="24"/>
              </w:rPr>
            </w:pPr>
            <w:r w:rsidRPr="00687DE8">
              <w:rPr>
                <w:szCs w:val="24"/>
              </w:rPr>
              <w:t>Ajusisese kasvajalise, põletikulise jm kolde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7964F4" w14:textId="77777777" w:rsidR="00D71D3A" w:rsidRPr="00687DE8" w:rsidRDefault="00D71D3A" w:rsidP="00D71D3A">
            <w:pPr>
              <w:spacing w:after="0" w:line="240" w:lineRule="auto"/>
              <w:jc w:val="center"/>
              <w:rPr>
                <w:szCs w:val="24"/>
              </w:rPr>
            </w:pPr>
            <w:r w:rsidRPr="00687DE8">
              <w:rPr>
                <w:szCs w:val="24"/>
              </w:rPr>
              <w:t>1A2125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352F21" w14:textId="6F7B2834" w:rsidR="4EC185AB" w:rsidRPr="00687DE8" w:rsidRDefault="00157E81">
            <w:pPr>
              <w:spacing w:after="0"/>
              <w:jc w:val="center"/>
              <w:rPr>
                <w:color w:val="000000" w:themeColor="text1"/>
                <w:szCs w:val="24"/>
              </w:rPr>
            </w:pPr>
            <w:r>
              <w:rPr>
                <w:color w:val="000000"/>
              </w:rPr>
              <w:t>1 940,92</w:t>
            </w:r>
          </w:p>
        </w:tc>
      </w:tr>
      <w:tr w:rsidR="00D71D3A" w:rsidRPr="00687DE8" w14:paraId="7AA10AAC"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62CE9E" w14:textId="77777777" w:rsidR="00D71D3A" w:rsidRPr="00687DE8" w:rsidRDefault="00D71D3A" w:rsidP="00D71D3A">
            <w:pPr>
              <w:spacing w:after="0" w:line="240" w:lineRule="auto"/>
              <w:rPr>
                <w:szCs w:val="24"/>
              </w:rPr>
            </w:pPr>
            <w:r w:rsidRPr="00687DE8">
              <w:rPr>
                <w:szCs w:val="24"/>
              </w:rPr>
              <w:t>Seljaaju primaarse kasvaja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9D7A16" w14:textId="77777777" w:rsidR="00D71D3A" w:rsidRPr="00687DE8" w:rsidRDefault="00D71D3A" w:rsidP="00D71D3A">
            <w:pPr>
              <w:spacing w:after="0" w:line="240" w:lineRule="auto"/>
              <w:jc w:val="center"/>
              <w:rPr>
                <w:szCs w:val="24"/>
              </w:rPr>
            </w:pPr>
            <w:r w:rsidRPr="00687DE8">
              <w:rPr>
                <w:szCs w:val="24"/>
              </w:rPr>
              <w:t>1A2126</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DD378A" w14:textId="62C25903" w:rsidR="4EC185AB" w:rsidRPr="00687DE8" w:rsidRDefault="00157E81">
            <w:pPr>
              <w:spacing w:after="0"/>
              <w:jc w:val="center"/>
              <w:rPr>
                <w:color w:val="000000" w:themeColor="text1"/>
                <w:szCs w:val="24"/>
              </w:rPr>
            </w:pPr>
            <w:r>
              <w:rPr>
                <w:color w:val="000000"/>
              </w:rPr>
              <w:t>1 616,64</w:t>
            </w:r>
          </w:p>
        </w:tc>
      </w:tr>
      <w:tr w:rsidR="00D71D3A" w:rsidRPr="00687DE8" w14:paraId="34B7B8F7"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235403" w14:textId="77777777" w:rsidR="00D71D3A" w:rsidRPr="00687DE8" w:rsidRDefault="00D71D3A" w:rsidP="00D71D3A">
            <w:pPr>
              <w:spacing w:after="0" w:line="240" w:lineRule="auto"/>
              <w:rPr>
                <w:szCs w:val="24"/>
              </w:rPr>
            </w:pPr>
            <w:r w:rsidRPr="00687DE8">
              <w:rPr>
                <w:szCs w:val="24"/>
              </w:rPr>
              <w:t>Kolju, peaaju või seljaaju väärarengu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5A9D61" w14:textId="77777777" w:rsidR="00D71D3A" w:rsidRPr="00687DE8" w:rsidRDefault="00D71D3A" w:rsidP="00D71D3A">
            <w:pPr>
              <w:spacing w:after="0" w:line="240" w:lineRule="auto"/>
              <w:jc w:val="center"/>
              <w:rPr>
                <w:szCs w:val="24"/>
              </w:rPr>
            </w:pPr>
            <w:r w:rsidRPr="00687DE8">
              <w:rPr>
                <w:szCs w:val="24"/>
              </w:rPr>
              <w:t>1A2127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CD3BE8" w14:textId="54DDA753" w:rsidR="4EC185AB" w:rsidRPr="00687DE8" w:rsidRDefault="00157E81">
            <w:pPr>
              <w:spacing w:after="0"/>
              <w:jc w:val="center"/>
              <w:rPr>
                <w:color w:val="000000" w:themeColor="text1"/>
                <w:szCs w:val="24"/>
              </w:rPr>
            </w:pPr>
            <w:r>
              <w:rPr>
                <w:color w:val="000000"/>
              </w:rPr>
              <w:t>1 685,90</w:t>
            </w:r>
          </w:p>
        </w:tc>
      </w:tr>
      <w:tr w:rsidR="00D71D3A" w:rsidRPr="00687DE8" w14:paraId="1B546539"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3FB4C0" w14:textId="77777777" w:rsidR="00D71D3A" w:rsidRPr="00687DE8" w:rsidRDefault="00D71D3A" w:rsidP="00D71D3A">
            <w:pPr>
              <w:spacing w:after="0" w:line="240" w:lineRule="auto"/>
              <w:rPr>
                <w:szCs w:val="24"/>
              </w:rPr>
            </w:pPr>
            <w:r w:rsidRPr="00687DE8">
              <w:rPr>
                <w:szCs w:val="24"/>
              </w:rPr>
              <w:t>Kraniaalnärvi plastika või dekompressiooni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05D522" w14:textId="77777777" w:rsidR="00D71D3A" w:rsidRPr="00687DE8" w:rsidRDefault="00D71D3A" w:rsidP="00D71D3A">
            <w:pPr>
              <w:spacing w:after="0" w:line="240" w:lineRule="auto"/>
              <w:jc w:val="center"/>
              <w:rPr>
                <w:szCs w:val="24"/>
              </w:rPr>
            </w:pPr>
            <w:r w:rsidRPr="00687DE8">
              <w:rPr>
                <w:szCs w:val="24"/>
              </w:rPr>
              <w:t>1A2128</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03C43D" w14:textId="5668EFD2" w:rsidR="4EC185AB" w:rsidRPr="00687DE8" w:rsidRDefault="00157E81">
            <w:pPr>
              <w:spacing w:after="0"/>
              <w:jc w:val="center"/>
              <w:rPr>
                <w:color w:val="000000" w:themeColor="text1"/>
                <w:szCs w:val="24"/>
              </w:rPr>
            </w:pPr>
            <w:r>
              <w:rPr>
                <w:color w:val="000000"/>
              </w:rPr>
              <w:t>1 560,62</w:t>
            </w:r>
          </w:p>
        </w:tc>
      </w:tr>
      <w:tr w:rsidR="00D71D3A" w:rsidRPr="00687DE8" w14:paraId="0C85B23B"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BC07D6" w14:textId="77777777" w:rsidR="00D71D3A" w:rsidRPr="00687DE8" w:rsidRDefault="00D71D3A" w:rsidP="00D71D3A">
            <w:pPr>
              <w:spacing w:after="0" w:line="240" w:lineRule="auto"/>
              <w:rPr>
                <w:szCs w:val="24"/>
              </w:rPr>
            </w:pPr>
            <w:r w:rsidRPr="00687DE8">
              <w:rPr>
                <w:szCs w:val="24"/>
              </w:rPr>
              <w:t>Koljusisese ajuvälise kasvaja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856533" w14:textId="77777777" w:rsidR="00D71D3A" w:rsidRPr="00687DE8" w:rsidRDefault="00D71D3A" w:rsidP="00D71D3A">
            <w:pPr>
              <w:spacing w:after="0" w:line="240" w:lineRule="auto"/>
              <w:jc w:val="center"/>
              <w:rPr>
                <w:szCs w:val="24"/>
              </w:rPr>
            </w:pPr>
            <w:r w:rsidRPr="00687DE8">
              <w:rPr>
                <w:szCs w:val="24"/>
              </w:rPr>
              <w:t>1A2129</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6A975D" w14:textId="12C52EDF" w:rsidR="4EC185AB" w:rsidRPr="00687DE8" w:rsidRDefault="00157E81">
            <w:pPr>
              <w:spacing w:after="0"/>
              <w:jc w:val="center"/>
              <w:rPr>
                <w:color w:val="000000" w:themeColor="text1"/>
                <w:szCs w:val="24"/>
              </w:rPr>
            </w:pPr>
            <w:r>
              <w:rPr>
                <w:color w:val="000000"/>
              </w:rPr>
              <w:t>2 421,18</w:t>
            </w:r>
          </w:p>
        </w:tc>
      </w:tr>
      <w:tr w:rsidR="00D71D3A" w:rsidRPr="00687DE8" w14:paraId="38CF96C0"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134579" w14:textId="77777777" w:rsidR="00D71D3A" w:rsidRPr="00687DE8" w:rsidRDefault="00D71D3A" w:rsidP="00D71D3A">
            <w:pPr>
              <w:spacing w:after="0" w:line="240" w:lineRule="auto"/>
              <w:rPr>
                <w:szCs w:val="24"/>
              </w:rPr>
            </w:pPr>
            <w:r w:rsidRPr="00687DE8">
              <w:rPr>
                <w:szCs w:val="24"/>
              </w:rPr>
              <w:t>Aju vaskulaarse malformatsiooni ja/või aneurüsmi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5CE3BB" w14:textId="77777777" w:rsidR="00D71D3A" w:rsidRPr="00687DE8" w:rsidRDefault="00D71D3A" w:rsidP="00D71D3A">
            <w:pPr>
              <w:spacing w:after="0" w:line="240" w:lineRule="auto"/>
              <w:jc w:val="center"/>
              <w:rPr>
                <w:szCs w:val="24"/>
              </w:rPr>
            </w:pPr>
            <w:r w:rsidRPr="00687DE8">
              <w:rPr>
                <w:szCs w:val="24"/>
              </w:rPr>
              <w:t>1A2130</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70E169" w14:textId="31A3E3D9" w:rsidR="4EC185AB" w:rsidRPr="00687DE8" w:rsidRDefault="00157E81">
            <w:pPr>
              <w:spacing w:after="0"/>
              <w:jc w:val="center"/>
              <w:rPr>
                <w:color w:val="000000" w:themeColor="text1"/>
                <w:szCs w:val="24"/>
              </w:rPr>
            </w:pPr>
            <w:r>
              <w:rPr>
                <w:color w:val="000000"/>
              </w:rPr>
              <w:t>2 625,67</w:t>
            </w:r>
          </w:p>
        </w:tc>
      </w:tr>
      <w:tr w:rsidR="00D71D3A" w:rsidRPr="00687DE8" w14:paraId="1E7A7F93"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D714AD" w14:textId="77777777" w:rsidR="00D71D3A" w:rsidRPr="00687DE8" w:rsidRDefault="00D71D3A" w:rsidP="00D71D3A">
            <w:pPr>
              <w:spacing w:after="0" w:line="240" w:lineRule="auto"/>
              <w:rPr>
                <w:szCs w:val="24"/>
              </w:rPr>
            </w:pPr>
            <w:r w:rsidRPr="00687DE8">
              <w:rPr>
                <w:szCs w:val="24"/>
              </w:rPr>
              <w:t>Peaaju süvastimulatsioon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40EAEA" w14:textId="77777777" w:rsidR="00D71D3A" w:rsidRPr="00687DE8" w:rsidRDefault="00D71D3A" w:rsidP="00D71D3A">
            <w:pPr>
              <w:spacing w:after="0" w:line="240" w:lineRule="auto"/>
              <w:jc w:val="center"/>
              <w:rPr>
                <w:szCs w:val="24"/>
              </w:rPr>
            </w:pPr>
            <w:r w:rsidRPr="00687DE8">
              <w:rPr>
                <w:szCs w:val="24"/>
              </w:rPr>
              <w:t>1A2131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D2FBD1" w14:textId="7768D691" w:rsidR="4EC185AB" w:rsidRPr="00687DE8" w:rsidRDefault="00157E81">
            <w:pPr>
              <w:spacing w:after="0"/>
              <w:jc w:val="center"/>
              <w:rPr>
                <w:color w:val="000000" w:themeColor="text1"/>
                <w:szCs w:val="24"/>
              </w:rPr>
            </w:pPr>
            <w:r>
              <w:rPr>
                <w:color w:val="000000"/>
              </w:rPr>
              <w:t>24 596,53</w:t>
            </w:r>
          </w:p>
        </w:tc>
      </w:tr>
      <w:tr w:rsidR="00D71D3A" w:rsidRPr="00687DE8" w14:paraId="172F80AF"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7CDACE" w14:textId="77777777" w:rsidR="00D71D3A" w:rsidRPr="00687DE8" w:rsidRDefault="00D71D3A" w:rsidP="00D71D3A">
            <w:pPr>
              <w:spacing w:after="0" w:line="240" w:lineRule="auto"/>
              <w:rPr>
                <w:szCs w:val="24"/>
              </w:rPr>
            </w:pPr>
            <w:r w:rsidRPr="00687DE8">
              <w:rPr>
                <w:szCs w:val="24"/>
              </w:rPr>
              <w:t>Peaaju süvastimulaatori vahetus</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E2F7B7" w14:textId="77777777" w:rsidR="00D71D3A" w:rsidRPr="00687DE8" w:rsidRDefault="00D71D3A" w:rsidP="00D71D3A">
            <w:pPr>
              <w:spacing w:after="0" w:line="240" w:lineRule="auto"/>
              <w:jc w:val="center"/>
              <w:rPr>
                <w:szCs w:val="24"/>
              </w:rPr>
            </w:pPr>
            <w:r w:rsidRPr="00687DE8">
              <w:rPr>
                <w:szCs w:val="24"/>
              </w:rPr>
              <w:t>1A2114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2A6F75" w14:textId="0BFC779C" w:rsidR="4EC185AB" w:rsidRPr="00687DE8" w:rsidRDefault="00157E81">
            <w:pPr>
              <w:spacing w:after="0"/>
              <w:jc w:val="center"/>
              <w:rPr>
                <w:color w:val="000000" w:themeColor="text1"/>
                <w:szCs w:val="24"/>
              </w:rPr>
            </w:pPr>
            <w:r>
              <w:rPr>
                <w:color w:val="000000"/>
              </w:rPr>
              <w:t>13 864,89</w:t>
            </w:r>
          </w:p>
        </w:tc>
      </w:tr>
      <w:tr w:rsidR="00D71D3A" w:rsidRPr="00687DE8" w14:paraId="6CA41E03"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687C43" w14:textId="77777777" w:rsidR="00D71D3A" w:rsidRPr="00687DE8" w:rsidRDefault="00D71D3A" w:rsidP="00D71D3A">
            <w:pPr>
              <w:spacing w:after="0" w:line="240" w:lineRule="auto"/>
              <w:rPr>
                <w:szCs w:val="24"/>
              </w:rPr>
            </w:pPr>
            <w:r w:rsidRPr="00687DE8">
              <w:rPr>
                <w:szCs w:val="24"/>
              </w:rPr>
              <w:t>Vertebroplastika</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73E325" w14:textId="77777777" w:rsidR="00D71D3A" w:rsidRPr="00687DE8" w:rsidRDefault="00D71D3A" w:rsidP="00D71D3A">
            <w:pPr>
              <w:spacing w:after="0" w:line="240" w:lineRule="auto"/>
              <w:jc w:val="center"/>
              <w:rPr>
                <w:szCs w:val="24"/>
              </w:rPr>
            </w:pPr>
            <w:r w:rsidRPr="00687DE8">
              <w:rPr>
                <w:szCs w:val="24"/>
              </w:rPr>
              <w:t>1N2153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2A1884" w14:textId="6F8543C2" w:rsidR="4EC185AB" w:rsidRPr="00687DE8" w:rsidRDefault="00157E81">
            <w:pPr>
              <w:spacing w:after="0"/>
              <w:jc w:val="center"/>
              <w:rPr>
                <w:color w:val="000000" w:themeColor="text1"/>
                <w:szCs w:val="24"/>
              </w:rPr>
            </w:pPr>
            <w:r>
              <w:rPr>
                <w:color w:val="000000"/>
              </w:rPr>
              <w:t>988,15</w:t>
            </w:r>
          </w:p>
        </w:tc>
      </w:tr>
      <w:tr w:rsidR="00D71D3A" w:rsidRPr="00687DE8" w14:paraId="3DA5F584"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205937" w14:textId="77777777" w:rsidR="00D71D3A" w:rsidRPr="00687DE8" w:rsidRDefault="00D71D3A" w:rsidP="00D71D3A">
            <w:pPr>
              <w:spacing w:after="0" w:line="240" w:lineRule="auto"/>
              <w:rPr>
                <w:szCs w:val="24"/>
              </w:rPr>
            </w:pPr>
            <w:r w:rsidRPr="00687DE8">
              <w:rPr>
                <w:szCs w:val="24"/>
              </w:rPr>
              <w:t>Lülisamba rinna- ja nimmeosa haiguse, vigastuse ning I ja II astme deformatsiooni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70B8432" w14:textId="77777777" w:rsidR="00D71D3A" w:rsidRPr="00687DE8" w:rsidRDefault="00D71D3A" w:rsidP="00D71D3A">
            <w:pPr>
              <w:spacing w:after="0" w:line="240" w:lineRule="auto"/>
              <w:jc w:val="center"/>
              <w:rPr>
                <w:szCs w:val="24"/>
              </w:rPr>
            </w:pPr>
            <w:r w:rsidRPr="00687DE8">
              <w:rPr>
                <w:szCs w:val="24"/>
              </w:rPr>
              <w:t>1N2157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9D18DC" w14:textId="66854A22" w:rsidR="4EC185AB" w:rsidRPr="00687DE8" w:rsidRDefault="00157E81">
            <w:pPr>
              <w:spacing w:after="0"/>
              <w:jc w:val="center"/>
              <w:rPr>
                <w:color w:val="000000" w:themeColor="text1"/>
                <w:szCs w:val="24"/>
              </w:rPr>
            </w:pPr>
            <w:r>
              <w:rPr>
                <w:color w:val="000000"/>
              </w:rPr>
              <w:t>1 342,54</w:t>
            </w:r>
          </w:p>
        </w:tc>
      </w:tr>
      <w:tr w:rsidR="00D71D3A" w:rsidRPr="00687DE8" w14:paraId="0F25BBDB"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C894DC" w14:textId="77777777" w:rsidR="00D71D3A" w:rsidRPr="00687DE8" w:rsidRDefault="00D71D3A" w:rsidP="00D71D3A">
            <w:pPr>
              <w:pStyle w:val="HTML-aadress"/>
              <w:spacing w:before="0"/>
            </w:pPr>
            <w:r w:rsidRPr="00687DE8">
              <w:lastRenderedPageBreak/>
              <w:t>Intratekaalse baklofeenravipumba paigaldamine või revisioon või eemaldamine</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4036F7A" w14:textId="77777777" w:rsidR="00D71D3A" w:rsidRPr="00687DE8" w:rsidRDefault="00D71D3A" w:rsidP="00D71D3A">
            <w:pPr>
              <w:spacing w:after="0" w:line="240" w:lineRule="auto"/>
              <w:jc w:val="center"/>
              <w:rPr>
                <w:szCs w:val="24"/>
              </w:rPr>
            </w:pPr>
            <w:r w:rsidRPr="00687DE8">
              <w:rPr>
                <w:szCs w:val="24"/>
              </w:rPr>
              <w:t>1A2132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A1935A" w14:textId="2279E07B" w:rsidR="4EC185AB" w:rsidRPr="00687DE8" w:rsidRDefault="00157E81">
            <w:pPr>
              <w:spacing w:after="0"/>
              <w:jc w:val="center"/>
              <w:rPr>
                <w:color w:val="000000" w:themeColor="text1"/>
                <w:szCs w:val="24"/>
              </w:rPr>
            </w:pPr>
            <w:r>
              <w:rPr>
                <w:color w:val="000000"/>
              </w:rPr>
              <w:t>1 079,16</w:t>
            </w:r>
          </w:p>
        </w:tc>
      </w:tr>
      <w:tr w:rsidR="00D71D3A" w:rsidRPr="00687DE8" w14:paraId="7DBE896F"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A468CC" w14:textId="77777777" w:rsidR="00D71D3A" w:rsidRPr="00687DE8" w:rsidRDefault="00D71D3A" w:rsidP="00D71D3A">
            <w:pPr>
              <w:spacing w:after="0" w:line="240" w:lineRule="auto"/>
              <w:rPr>
                <w:szCs w:val="24"/>
              </w:rPr>
            </w:pPr>
            <w:r w:rsidRPr="00687DE8">
              <w:rPr>
                <w:szCs w:val="24"/>
              </w:rPr>
              <w:t>Seljaaju neurostimulaatori paigaldamine testraviks</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552256" w14:textId="77777777" w:rsidR="00D71D3A" w:rsidRPr="00687DE8" w:rsidRDefault="00D71D3A" w:rsidP="00D71D3A">
            <w:pPr>
              <w:spacing w:after="0" w:line="240" w:lineRule="auto"/>
              <w:jc w:val="center"/>
              <w:rPr>
                <w:szCs w:val="24"/>
              </w:rPr>
            </w:pPr>
            <w:r w:rsidRPr="00687DE8">
              <w:rPr>
                <w:szCs w:val="24"/>
              </w:rPr>
              <w:t>1A2133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7206D1" w14:textId="38A59844" w:rsidR="4EC185AB" w:rsidRPr="00687DE8" w:rsidRDefault="00157E81">
            <w:pPr>
              <w:spacing w:after="0"/>
              <w:jc w:val="center"/>
              <w:rPr>
                <w:color w:val="000000" w:themeColor="text1"/>
                <w:szCs w:val="24"/>
              </w:rPr>
            </w:pPr>
            <w:r>
              <w:rPr>
                <w:color w:val="000000"/>
              </w:rPr>
              <w:t>3 221,61</w:t>
            </w:r>
          </w:p>
        </w:tc>
      </w:tr>
      <w:tr w:rsidR="00D71D3A" w:rsidRPr="00687DE8" w14:paraId="43CA19EE"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AB5792" w14:textId="77777777" w:rsidR="00D71D3A" w:rsidRPr="00687DE8" w:rsidRDefault="00D71D3A" w:rsidP="00D71D3A">
            <w:pPr>
              <w:spacing w:after="0" w:line="240" w:lineRule="auto"/>
              <w:rPr>
                <w:szCs w:val="24"/>
              </w:rPr>
            </w:pPr>
            <w:r w:rsidRPr="00687DE8">
              <w:rPr>
                <w:szCs w:val="24"/>
              </w:rPr>
              <w:t>Seljaaju neurostimulaatori paigaldamine püsiraviks</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4B410C" w14:textId="77777777" w:rsidR="00D71D3A" w:rsidRPr="00687DE8" w:rsidRDefault="00D71D3A" w:rsidP="00D71D3A">
            <w:pPr>
              <w:spacing w:after="0" w:line="240" w:lineRule="auto"/>
              <w:jc w:val="center"/>
              <w:rPr>
                <w:szCs w:val="24"/>
              </w:rPr>
            </w:pPr>
            <w:r w:rsidRPr="00687DE8">
              <w:rPr>
                <w:szCs w:val="24"/>
              </w:rPr>
              <w:t>1A2134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228687" w14:textId="43CF2A6A" w:rsidR="4EC185AB" w:rsidRPr="00687DE8" w:rsidRDefault="00157E81">
            <w:pPr>
              <w:spacing w:after="0"/>
              <w:jc w:val="center"/>
              <w:rPr>
                <w:color w:val="000000" w:themeColor="text1"/>
                <w:szCs w:val="24"/>
              </w:rPr>
            </w:pPr>
            <w:r>
              <w:rPr>
                <w:color w:val="000000"/>
              </w:rPr>
              <w:t>8 571,22</w:t>
            </w:r>
          </w:p>
        </w:tc>
      </w:tr>
      <w:tr w:rsidR="00D71D3A" w:rsidRPr="00687DE8" w14:paraId="17519048"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5198A0" w14:textId="77777777" w:rsidR="00D71D3A" w:rsidRPr="00687DE8" w:rsidRDefault="00D71D3A" w:rsidP="00D71D3A">
            <w:pPr>
              <w:spacing w:after="0" w:line="240" w:lineRule="auto"/>
              <w:rPr>
                <w:szCs w:val="24"/>
              </w:rPr>
            </w:pPr>
            <w:r w:rsidRPr="00687DE8">
              <w:rPr>
                <w:szCs w:val="24"/>
              </w:rPr>
              <w:t>Seljaaju neurostimulaatori vahetus</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5911CF" w14:textId="77777777" w:rsidR="00D71D3A" w:rsidRPr="00687DE8" w:rsidRDefault="00D71D3A" w:rsidP="00D71D3A">
            <w:pPr>
              <w:spacing w:after="0" w:line="240" w:lineRule="auto"/>
              <w:jc w:val="center"/>
              <w:rPr>
                <w:szCs w:val="24"/>
              </w:rPr>
            </w:pPr>
            <w:r w:rsidRPr="00687DE8">
              <w:rPr>
                <w:szCs w:val="24"/>
              </w:rPr>
              <w:t>1A2135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E77FFB" w14:textId="7D9B09CF" w:rsidR="4EC185AB" w:rsidRPr="00687DE8" w:rsidRDefault="00157E81">
            <w:pPr>
              <w:spacing w:after="0"/>
              <w:jc w:val="center"/>
              <w:rPr>
                <w:color w:val="000000" w:themeColor="text1"/>
                <w:szCs w:val="24"/>
              </w:rPr>
            </w:pPr>
            <w:r>
              <w:rPr>
                <w:color w:val="000000"/>
              </w:rPr>
              <w:t>4 861,96</w:t>
            </w:r>
          </w:p>
        </w:tc>
      </w:tr>
      <w:tr w:rsidR="00D71D3A" w:rsidRPr="00687DE8" w14:paraId="3DE36F6A"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18DF3E" w14:textId="77777777" w:rsidR="00D71D3A" w:rsidRPr="00687DE8" w:rsidRDefault="00D71D3A" w:rsidP="00D71D3A">
            <w:pPr>
              <w:spacing w:after="0" w:line="240" w:lineRule="auto"/>
              <w:rPr>
                <w:szCs w:val="24"/>
              </w:rPr>
            </w:pPr>
            <w:r w:rsidRPr="00687DE8">
              <w:rPr>
                <w:szCs w:val="24"/>
              </w:rPr>
              <w:t>Uitnärvi stimulatsiooniseadme implanteerimine</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391321" w14:textId="77777777" w:rsidR="00D71D3A" w:rsidRPr="00687DE8" w:rsidRDefault="00D71D3A" w:rsidP="00D71D3A">
            <w:pPr>
              <w:spacing w:after="0" w:line="240" w:lineRule="auto"/>
              <w:jc w:val="center"/>
              <w:rPr>
                <w:szCs w:val="24"/>
              </w:rPr>
            </w:pPr>
            <w:r w:rsidRPr="00687DE8">
              <w:rPr>
                <w:szCs w:val="24"/>
              </w:rPr>
              <w:t>1A2137</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A3ECCD" w14:textId="3FD43A38" w:rsidR="4EC185AB" w:rsidRPr="00687DE8" w:rsidRDefault="00157E81">
            <w:pPr>
              <w:spacing w:after="0"/>
              <w:jc w:val="center"/>
              <w:rPr>
                <w:color w:val="000000" w:themeColor="text1"/>
                <w:szCs w:val="24"/>
              </w:rPr>
            </w:pPr>
            <w:r>
              <w:rPr>
                <w:color w:val="000000"/>
              </w:rPr>
              <w:t>505,02</w:t>
            </w:r>
          </w:p>
        </w:tc>
      </w:tr>
      <w:tr w:rsidR="4F59DA49" w:rsidRPr="00687DE8" w14:paraId="6DE5594B"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B37E0F" w14:textId="66A6522B" w:rsidR="5FC8BF3A" w:rsidRPr="00687DE8" w:rsidRDefault="5FC8BF3A" w:rsidP="00661748">
            <w:pPr>
              <w:spacing w:after="0" w:line="240" w:lineRule="auto"/>
              <w:rPr>
                <w:szCs w:val="24"/>
              </w:rPr>
            </w:pPr>
            <w:r w:rsidRPr="00687DE8">
              <w:rPr>
                <w:szCs w:val="24"/>
              </w:rPr>
              <w:t>Intrakran</w:t>
            </w:r>
            <w:r w:rsidR="004E21BF" w:rsidRPr="00687DE8">
              <w:rPr>
                <w:szCs w:val="24"/>
              </w:rPr>
              <w:t>i</w:t>
            </w:r>
            <w:r w:rsidRPr="00687DE8">
              <w:rPr>
                <w:szCs w:val="24"/>
              </w:rPr>
              <w:t>aalse</w:t>
            </w:r>
            <w:r w:rsidR="2D2C471A" w:rsidRPr="00687DE8">
              <w:rPr>
                <w:szCs w:val="24"/>
              </w:rPr>
              <w:t>te</w:t>
            </w:r>
            <w:r w:rsidRPr="00687DE8">
              <w:rPr>
                <w:szCs w:val="24"/>
              </w:rPr>
              <w:t xml:space="preserve"> </w:t>
            </w:r>
            <w:r w:rsidR="2D2C471A" w:rsidRPr="00687DE8">
              <w:rPr>
                <w:szCs w:val="24"/>
              </w:rPr>
              <w:t>EEG elektroodide paigaldamise</w:t>
            </w:r>
            <w:r w:rsidRPr="00687DE8">
              <w:rPr>
                <w:szCs w:val="24"/>
              </w:rPr>
              <w:t xml:space="preserve"> operatsioon</w:t>
            </w:r>
          </w:p>
          <w:p w14:paraId="708DCC8D" w14:textId="325C0AD3" w:rsidR="5FC8BF3A" w:rsidRPr="00687DE8" w:rsidRDefault="5FC8BF3A" w:rsidP="00661748">
            <w:pPr>
              <w:spacing w:after="0" w:line="240" w:lineRule="auto"/>
              <w:rPr>
                <w:szCs w:val="24"/>
              </w:rPr>
            </w:pP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0009B5" w14:textId="09D6C548" w:rsidR="5FC8BF3A" w:rsidRPr="00687DE8" w:rsidRDefault="5FC8BF3A" w:rsidP="00661748">
            <w:pPr>
              <w:spacing w:after="0" w:line="240" w:lineRule="auto"/>
              <w:jc w:val="center"/>
              <w:rPr>
                <w:szCs w:val="24"/>
              </w:rPr>
            </w:pPr>
            <w:r w:rsidRPr="00687DE8">
              <w:rPr>
                <w:szCs w:val="24"/>
              </w:rPr>
              <w:t>1A2140</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07F616" w14:textId="4BCA3F19" w:rsidR="5FC8BF3A" w:rsidRPr="00687DE8" w:rsidRDefault="00157E81" w:rsidP="00661748">
            <w:pPr>
              <w:spacing w:after="0" w:line="240" w:lineRule="auto"/>
              <w:jc w:val="center"/>
              <w:rPr>
                <w:szCs w:val="24"/>
              </w:rPr>
            </w:pPr>
            <w:r>
              <w:rPr>
                <w:color w:val="000000"/>
              </w:rPr>
              <w:t>15 219,80</w:t>
            </w:r>
          </w:p>
        </w:tc>
      </w:tr>
      <w:tr w:rsidR="00D71D3A" w:rsidRPr="00687DE8" w14:paraId="0C1E16D5"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3611BE" w14:textId="77777777" w:rsidR="00D71D3A" w:rsidRPr="00687DE8" w:rsidRDefault="00D71D3A" w:rsidP="00D71D3A">
            <w:pPr>
              <w:spacing w:after="0" w:line="240" w:lineRule="auto"/>
              <w:rPr>
                <w:szCs w:val="24"/>
              </w:rPr>
            </w:pPr>
            <w:r w:rsidRPr="00687DE8">
              <w:rPr>
                <w:szCs w:val="24"/>
              </w:rPr>
              <w:t>Perifeerse tunnelsündroomi endoskoopiline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5396DE" w14:textId="77777777" w:rsidR="00D71D3A" w:rsidRPr="00687DE8" w:rsidRDefault="00D71D3A" w:rsidP="00D71D3A">
            <w:pPr>
              <w:spacing w:after="0" w:line="240" w:lineRule="auto"/>
              <w:jc w:val="center"/>
              <w:rPr>
                <w:szCs w:val="24"/>
              </w:rPr>
            </w:pPr>
            <w:r w:rsidRPr="00687DE8">
              <w:rPr>
                <w:szCs w:val="24"/>
              </w:rPr>
              <w:t>1A2201</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1DD504" w14:textId="28E38A3C" w:rsidR="4EC185AB" w:rsidRPr="00687DE8" w:rsidRDefault="00157E81">
            <w:pPr>
              <w:spacing w:after="0"/>
              <w:jc w:val="center"/>
              <w:rPr>
                <w:color w:val="000000" w:themeColor="text1"/>
                <w:szCs w:val="24"/>
              </w:rPr>
            </w:pPr>
            <w:r>
              <w:rPr>
                <w:color w:val="000000"/>
              </w:rPr>
              <w:t>467,68</w:t>
            </w:r>
          </w:p>
        </w:tc>
      </w:tr>
      <w:tr w:rsidR="00D71D3A" w:rsidRPr="00687DE8" w14:paraId="299743FD"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5E912A" w14:textId="77777777" w:rsidR="00D71D3A" w:rsidRPr="00687DE8" w:rsidRDefault="00D71D3A" w:rsidP="00D71D3A">
            <w:pPr>
              <w:spacing w:after="0" w:line="240" w:lineRule="auto"/>
              <w:rPr>
                <w:szCs w:val="24"/>
              </w:rPr>
            </w:pPr>
            <w:r w:rsidRPr="00687DE8">
              <w:rPr>
                <w:szCs w:val="24"/>
              </w:rPr>
              <w:t>Hüdrotsefaalia endoskoopiline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F3E368" w14:textId="77777777" w:rsidR="00D71D3A" w:rsidRPr="00687DE8" w:rsidRDefault="00D71D3A" w:rsidP="00D71D3A">
            <w:pPr>
              <w:spacing w:after="0" w:line="240" w:lineRule="auto"/>
              <w:jc w:val="center"/>
              <w:rPr>
                <w:szCs w:val="24"/>
              </w:rPr>
            </w:pPr>
            <w:r w:rsidRPr="00687DE8">
              <w:rPr>
                <w:szCs w:val="24"/>
              </w:rPr>
              <w:t>1A2202</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6BD8B0" w14:textId="3C3AE5B5" w:rsidR="4EC185AB" w:rsidRPr="00687DE8" w:rsidRDefault="00157E81">
            <w:pPr>
              <w:spacing w:after="0"/>
              <w:jc w:val="center"/>
              <w:rPr>
                <w:color w:val="000000" w:themeColor="text1"/>
                <w:szCs w:val="24"/>
              </w:rPr>
            </w:pPr>
            <w:r>
              <w:rPr>
                <w:color w:val="000000"/>
              </w:rPr>
              <w:t>1 287,72</w:t>
            </w:r>
          </w:p>
        </w:tc>
      </w:tr>
      <w:tr w:rsidR="00D71D3A" w:rsidRPr="00687DE8" w14:paraId="54D9C62E"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1810B6" w14:textId="77777777" w:rsidR="00D71D3A" w:rsidRPr="00687DE8" w:rsidRDefault="00D71D3A" w:rsidP="00D71D3A">
            <w:pPr>
              <w:spacing w:after="0" w:line="240" w:lineRule="auto"/>
              <w:rPr>
                <w:szCs w:val="24"/>
              </w:rPr>
            </w:pPr>
            <w:r w:rsidRPr="00687DE8">
              <w:rPr>
                <w:szCs w:val="24"/>
              </w:rPr>
              <w:t>Nimmepiirkonna diskogeense haiguse endoskoopiline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45DAC0" w14:textId="77777777" w:rsidR="00D71D3A" w:rsidRPr="00687DE8" w:rsidRDefault="00D71D3A" w:rsidP="00D71D3A">
            <w:pPr>
              <w:spacing w:after="0" w:line="240" w:lineRule="auto"/>
              <w:jc w:val="center"/>
              <w:rPr>
                <w:szCs w:val="24"/>
              </w:rPr>
            </w:pPr>
            <w:r w:rsidRPr="00687DE8">
              <w:rPr>
                <w:szCs w:val="24"/>
              </w:rPr>
              <w:t>1A2203</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15DA51" w14:textId="3A8B164A" w:rsidR="4EC185AB" w:rsidRPr="00687DE8" w:rsidRDefault="00157E81">
            <w:pPr>
              <w:spacing w:after="0"/>
              <w:jc w:val="center"/>
              <w:rPr>
                <w:color w:val="000000" w:themeColor="text1"/>
                <w:szCs w:val="24"/>
              </w:rPr>
            </w:pPr>
            <w:r>
              <w:rPr>
                <w:color w:val="000000"/>
              </w:rPr>
              <w:t>713,50</w:t>
            </w:r>
          </w:p>
        </w:tc>
      </w:tr>
      <w:tr w:rsidR="00D71D3A" w:rsidRPr="00687DE8" w14:paraId="2F8FBBF1"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94AA27" w14:textId="77777777" w:rsidR="00D71D3A" w:rsidRPr="00687DE8" w:rsidRDefault="00D71D3A" w:rsidP="00D71D3A">
            <w:pPr>
              <w:spacing w:after="0" w:line="240" w:lineRule="auto"/>
              <w:rPr>
                <w:szCs w:val="24"/>
              </w:rPr>
            </w:pPr>
            <w:r w:rsidRPr="00687DE8">
              <w:rPr>
                <w:szCs w:val="24"/>
              </w:rPr>
              <w:t>Koljupõhimiku endoskoopiline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507308" w14:textId="77777777" w:rsidR="00D71D3A" w:rsidRPr="00687DE8" w:rsidRDefault="00D71D3A" w:rsidP="00D71D3A">
            <w:pPr>
              <w:spacing w:after="0" w:line="240" w:lineRule="auto"/>
              <w:jc w:val="center"/>
              <w:rPr>
                <w:szCs w:val="24"/>
              </w:rPr>
            </w:pPr>
            <w:r w:rsidRPr="00687DE8">
              <w:rPr>
                <w:szCs w:val="24"/>
              </w:rPr>
              <w:t>1A2204</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ED6B72" w14:textId="04E2DDF1" w:rsidR="4EC185AB" w:rsidRPr="00687DE8" w:rsidRDefault="00157E81">
            <w:pPr>
              <w:spacing w:after="0"/>
              <w:jc w:val="center"/>
              <w:rPr>
                <w:color w:val="000000" w:themeColor="text1"/>
                <w:szCs w:val="24"/>
              </w:rPr>
            </w:pPr>
            <w:r>
              <w:rPr>
                <w:color w:val="000000"/>
              </w:rPr>
              <w:t>2 940,52</w:t>
            </w:r>
          </w:p>
        </w:tc>
      </w:tr>
      <w:tr w:rsidR="00D71D3A" w:rsidRPr="00687DE8" w14:paraId="1C8D11CE" w14:textId="77777777" w:rsidTr="00AE3A29">
        <w:trPr>
          <w:divId w:val="1316184749"/>
          <w:trHeight w:val="300"/>
        </w:trPr>
        <w:tc>
          <w:tcPr>
            <w:tcW w:w="6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29DCE0" w14:textId="77777777" w:rsidR="00D71D3A" w:rsidRPr="00687DE8" w:rsidRDefault="00D71D3A" w:rsidP="00D71D3A">
            <w:pPr>
              <w:spacing w:after="0" w:line="240" w:lineRule="auto"/>
              <w:rPr>
                <w:szCs w:val="24"/>
              </w:rPr>
            </w:pPr>
            <w:r w:rsidRPr="00687DE8">
              <w:rPr>
                <w:szCs w:val="24"/>
              </w:rPr>
              <w:t>Hüpofüüsi endoskoopiline operatsioon</w:t>
            </w:r>
          </w:p>
        </w:tc>
        <w:tc>
          <w:tcPr>
            <w:tcW w:w="10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0B4C6D" w14:textId="77777777" w:rsidR="00D71D3A" w:rsidRPr="00687DE8" w:rsidRDefault="00D71D3A" w:rsidP="00D71D3A">
            <w:pPr>
              <w:spacing w:after="0" w:line="240" w:lineRule="auto"/>
              <w:jc w:val="center"/>
              <w:rPr>
                <w:szCs w:val="24"/>
              </w:rPr>
            </w:pPr>
            <w:r w:rsidRPr="00687DE8">
              <w:rPr>
                <w:szCs w:val="24"/>
              </w:rPr>
              <w:t>1A2205</w:t>
            </w:r>
          </w:p>
        </w:tc>
        <w:tc>
          <w:tcPr>
            <w:tcW w:w="174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BA0041" w14:textId="0E691DDA" w:rsidR="4EC185AB" w:rsidRPr="00687DE8" w:rsidRDefault="00157E81">
            <w:pPr>
              <w:spacing w:after="0"/>
              <w:jc w:val="center"/>
              <w:rPr>
                <w:color w:val="000000" w:themeColor="text1"/>
                <w:szCs w:val="24"/>
              </w:rPr>
            </w:pPr>
            <w:r>
              <w:rPr>
                <w:color w:val="000000"/>
              </w:rPr>
              <w:t>2 101,87</w:t>
            </w:r>
          </w:p>
        </w:tc>
      </w:tr>
    </w:tbl>
    <w:p w14:paraId="6AF0CA7A" w14:textId="77777777" w:rsidR="00976487" w:rsidRPr="00687DE8" w:rsidRDefault="00976487" w:rsidP="00976487">
      <w:pPr>
        <w:spacing w:after="0" w:line="240" w:lineRule="auto"/>
        <w:jc w:val="both"/>
        <w:divId w:val="1316184749"/>
        <w:rPr>
          <w:szCs w:val="24"/>
        </w:rPr>
      </w:pPr>
    </w:p>
    <w:p w14:paraId="329489F8" w14:textId="77777777" w:rsidR="00976487" w:rsidRPr="00687DE8" w:rsidRDefault="00976487" w:rsidP="00976487">
      <w:pPr>
        <w:spacing w:after="0" w:line="240" w:lineRule="auto"/>
        <w:jc w:val="both"/>
        <w:divId w:val="1316184749"/>
        <w:rPr>
          <w:szCs w:val="24"/>
        </w:rPr>
      </w:pPr>
      <w:r w:rsidRPr="00687DE8">
        <w:rPr>
          <w:szCs w:val="24"/>
        </w:rPr>
        <w:t>(2) Koodiga 1A2131 tähistatud tervishoiuteenust rakendatakse järgmiste terviseseisundite korral:</w:t>
      </w:r>
    </w:p>
    <w:p w14:paraId="077DB0A9" w14:textId="77777777" w:rsidR="00976487" w:rsidRPr="00687DE8" w:rsidRDefault="00976487" w:rsidP="00976487">
      <w:pPr>
        <w:spacing w:after="0" w:line="240" w:lineRule="auto"/>
        <w:jc w:val="both"/>
        <w:divId w:val="1316184749"/>
        <w:rPr>
          <w:szCs w:val="24"/>
        </w:rPr>
      </w:pPr>
      <w:r w:rsidRPr="00687DE8">
        <w:rPr>
          <w:szCs w:val="24"/>
        </w:rPr>
        <w:t xml:space="preserve">1) idiopaatiline Parkinsoni tõbi (RHK 10 kood G20), kui haiguse kestus on vähemalt </w:t>
      </w:r>
      <w:r w:rsidR="000527EF" w:rsidRPr="00687DE8">
        <w:rPr>
          <w:szCs w:val="24"/>
        </w:rPr>
        <w:t>viis</w:t>
      </w:r>
      <w:r w:rsidRPr="00687DE8">
        <w:rPr>
          <w:szCs w:val="24"/>
        </w:rPr>
        <w:t xml:space="preserve"> aastat ja haigusest tingitud motoorikahäired alluvad Levodopa toimele, kuid vaatamata adekvaatsele medikamentoossele ravile esinevad Levodopa-ravist tingitud väljendunud motoorsed fluktuatsioonid või oluline motoorikahäirete süvenemine Levodopa </w:t>
      </w:r>
      <w:r w:rsidRPr="00687DE8">
        <w:rPr>
          <w:i/>
          <w:szCs w:val="24"/>
        </w:rPr>
        <w:t>off</w:t>
      </w:r>
      <w:r w:rsidRPr="00687DE8">
        <w:rPr>
          <w:szCs w:val="24"/>
        </w:rPr>
        <w:t>-perioodis põhjustab sügava haiguspuude olemasolu (UPDRS motoorika hindamise skaala vähemalt &gt; 30/108 Levodopa </w:t>
      </w:r>
      <w:r w:rsidRPr="00687DE8">
        <w:rPr>
          <w:i/>
          <w:szCs w:val="24"/>
        </w:rPr>
        <w:t>off</w:t>
      </w:r>
      <w:r w:rsidRPr="00687DE8">
        <w:rPr>
          <w:szCs w:val="24"/>
        </w:rPr>
        <w:t>-perioodis ja 30/108 Levodopa </w:t>
      </w:r>
      <w:r w:rsidRPr="00687DE8">
        <w:rPr>
          <w:i/>
          <w:szCs w:val="24"/>
        </w:rPr>
        <w:t>on</w:t>
      </w:r>
      <w:r w:rsidRPr="00687DE8">
        <w:rPr>
          <w:szCs w:val="24"/>
        </w:rPr>
        <w:t>-perioodis) või rasked Levodopa </w:t>
      </w:r>
      <w:r w:rsidRPr="00687DE8">
        <w:rPr>
          <w:i/>
          <w:szCs w:val="24"/>
        </w:rPr>
        <w:t>on</w:t>
      </w:r>
      <w:r w:rsidRPr="00687DE8">
        <w:rPr>
          <w:szCs w:val="24"/>
        </w:rPr>
        <w:t>-perioodi düskineesiad ja esineb raske medikamentoossele ravile allumatu treemor;</w:t>
      </w:r>
    </w:p>
    <w:p w14:paraId="7BEEF465" w14:textId="77777777" w:rsidR="00976487" w:rsidRPr="00687DE8" w:rsidRDefault="00976487" w:rsidP="00976487">
      <w:pPr>
        <w:spacing w:after="0" w:line="240" w:lineRule="auto"/>
        <w:jc w:val="both"/>
        <w:divId w:val="1316184749"/>
        <w:rPr>
          <w:szCs w:val="24"/>
        </w:rPr>
      </w:pPr>
      <w:r w:rsidRPr="00687DE8">
        <w:rPr>
          <w:szCs w:val="24"/>
        </w:rPr>
        <w:t>2) raskekujuline medikamentoossele ravile allumatu essentsiaalne treemor (RHK 10 kood G25.0), mis põhjustab sügava haiguspuude;</w:t>
      </w:r>
    </w:p>
    <w:p w14:paraId="1922BEF4" w14:textId="756414FE" w:rsidR="00976487" w:rsidRPr="00687DE8" w:rsidRDefault="00976487" w:rsidP="00976487">
      <w:pPr>
        <w:spacing w:after="0" w:line="240" w:lineRule="auto"/>
        <w:jc w:val="both"/>
        <w:divId w:val="1316184749"/>
        <w:rPr>
          <w:szCs w:val="24"/>
        </w:rPr>
      </w:pPr>
      <w:r w:rsidRPr="00687DE8">
        <w:rPr>
          <w:szCs w:val="24"/>
        </w:rPr>
        <w:t>3) raskekujuline medikamentoossele ravile allumatu primaarne generaliseeritud düstoonia (DYT1 positiivne) (RHK 10 koodid G24.1</w:t>
      </w:r>
      <w:r w:rsidR="008F32A4" w:rsidRPr="00687DE8">
        <w:rPr>
          <w:szCs w:val="24"/>
        </w:rPr>
        <w:t>,</w:t>
      </w:r>
      <w:r w:rsidRPr="00687DE8">
        <w:rPr>
          <w:szCs w:val="24"/>
        </w:rPr>
        <w:t xml:space="preserve"> G24.2) ja idiopaatiline tservikaalne düstoonia (RHK 10 kood G24.3).</w:t>
      </w:r>
    </w:p>
    <w:p w14:paraId="65045EA5" w14:textId="77777777" w:rsidR="00976487" w:rsidRPr="00687DE8" w:rsidRDefault="00976487" w:rsidP="00976487">
      <w:pPr>
        <w:spacing w:after="0" w:line="240" w:lineRule="auto"/>
        <w:jc w:val="both"/>
        <w:divId w:val="1316184749"/>
        <w:rPr>
          <w:szCs w:val="24"/>
        </w:rPr>
      </w:pPr>
    </w:p>
    <w:p w14:paraId="73AFCF22" w14:textId="77777777" w:rsidR="00976487" w:rsidRPr="00687DE8" w:rsidRDefault="00976487" w:rsidP="00976487">
      <w:pPr>
        <w:spacing w:after="0" w:line="240" w:lineRule="auto"/>
        <w:jc w:val="both"/>
        <w:divId w:val="1316184749"/>
        <w:rPr>
          <w:szCs w:val="24"/>
        </w:rPr>
      </w:pPr>
      <w:r w:rsidRPr="00687DE8">
        <w:rPr>
          <w:szCs w:val="24"/>
        </w:rPr>
        <w:t>(3) Koodidega 1A2117, 1A2119, 1A2122, 1A2125, 1A2129, 1A2130, 1A2204 ja 1A2205 tähistatud tervishoiuteenuste piirhinnad sisaldavad neuronavigatsiooni seadme kasutamise maksumust.</w:t>
      </w:r>
    </w:p>
    <w:p w14:paraId="3AAA3A79" w14:textId="77777777" w:rsidR="00976487" w:rsidRPr="00687DE8" w:rsidRDefault="00976487" w:rsidP="00976487">
      <w:pPr>
        <w:spacing w:after="0" w:line="240" w:lineRule="auto"/>
        <w:jc w:val="both"/>
        <w:divId w:val="1316184749"/>
        <w:rPr>
          <w:szCs w:val="24"/>
        </w:rPr>
      </w:pPr>
    </w:p>
    <w:p w14:paraId="2F91F5D2" w14:textId="120DD005" w:rsidR="00976487" w:rsidRPr="00687DE8" w:rsidRDefault="00976487" w:rsidP="00976487">
      <w:pPr>
        <w:spacing w:after="0" w:line="240" w:lineRule="auto"/>
        <w:jc w:val="both"/>
        <w:divId w:val="1316184749"/>
        <w:rPr>
          <w:szCs w:val="24"/>
        </w:rPr>
      </w:pPr>
      <w:r w:rsidRPr="00687DE8">
        <w:rPr>
          <w:szCs w:val="24"/>
        </w:rPr>
        <w:t xml:space="preserve">(4) </w:t>
      </w:r>
      <w:r w:rsidR="005023FD" w:rsidRPr="00687DE8">
        <w:rPr>
          <w:szCs w:val="24"/>
        </w:rPr>
        <w:t>Tervisekassa</w:t>
      </w:r>
      <w:r w:rsidRPr="00687DE8">
        <w:rPr>
          <w:szCs w:val="24"/>
        </w:rPr>
        <w:t xml:space="preserve"> võtab koodiga 1A2132 tähistatud tervishoiuteenuse eest tasu maksmise kohustuse üle intratekaalse baklofeenravipumba paigaldamise, revisiooni või eemaldamise eest raskekujulise spastilise sündroomiga patsiendilt juhul, kui eelnevalt on toimunud tulemuslik ravi testimine ning </w:t>
      </w:r>
      <w:r w:rsidR="00015E23" w:rsidRPr="00687DE8">
        <w:rPr>
          <w:szCs w:val="24"/>
        </w:rPr>
        <w:t>ravi</w:t>
      </w:r>
      <w:r w:rsidRPr="00687DE8">
        <w:rPr>
          <w:szCs w:val="24"/>
        </w:rPr>
        <w:t>otsuse on teinud eksper</w:t>
      </w:r>
      <w:r w:rsidR="009E65D0" w:rsidRPr="00687DE8">
        <w:rPr>
          <w:szCs w:val="24"/>
        </w:rPr>
        <w:t>di</w:t>
      </w:r>
      <w:r w:rsidRPr="00687DE8">
        <w:rPr>
          <w:szCs w:val="24"/>
        </w:rPr>
        <w:t>komisjon, kuhu kuuluvad vähemalt neurokirurg ja neuroloog.</w:t>
      </w:r>
    </w:p>
    <w:p w14:paraId="0D90462B" w14:textId="77777777" w:rsidR="00976487" w:rsidRPr="00687DE8" w:rsidRDefault="00976487" w:rsidP="00976487">
      <w:pPr>
        <w:spacing w:after="0" w:line="240" w:lineRule="auto"/>
        <w:jc w:val="both"/>
        <w:divId w:val="1316184749"/>
        <w:rPr>
          <w:szCs w:val="24"/>
        </w:rPr>
      </w:pPr>
    </w:p>
    <w:p w14:paraId="72E0A108" w14:textId="7CAECED7" w:rsidR="00976487" w:rsidRPr="00687DE8" w:rsidRDefault="00976487" w:rsidP="00976487">
      <w:pPr>
        <w:spacing w:after="0" w:line="240" w:lineRule="auto"/>
        <w:jc w:val="both"/>
        <w:divId w:val="1316184749"/>
        <w:rPr>
          <w:szCs w:val="24"/>
        </w:rPr>
      </w:pPr>
      <w:r w:rsidRPr="00687DE8">
        <w:rPr>
          <w:szCs w:val="24"/>
        </w:rPr>
        <w:t xml:space="preserve">(5) </w:t>
      </w:r>
      <w:r w:rsidR="005023FD" w:rsidRPr="00687DE8">
        <w:rPr>
          <w:szCs w:val="24"/>
        </w:rPr>
        <w:t>Tervisekassa</w:t>
      </w:r>
      <w:r w:rsidRPr="00687DE8">
        <w:rPr>
          <w:szCs w:val="24"/>
        </w:rPr>
        <w:t xml:space="preserve"> võtab koodidega 1A2133 ja 1A2134 tähistatud tervishoiuteenuste eest tasu maksmise kohustuse üle juhul, kui krooniline valu on kestnud üle aasta, teised valuravimeetodid on tulemusteta või vastunäidustatud, alternatiivsete valuravimeetodite mittetoimimine on tõendatud ning raviotsuse on teinud eksper</w:t>
      </w:r>
      <w:r w:rsidR="008F5A61" w:rsidRPr="00687DE8">
        <w:rPr>
          <w:szCs w:val="24"/>
        </w:rPr>
        <w:t>di</w:t>
      </w:r>
      <w:r w:rsidRPr="00687DE8">
        <w:rPr>
          <w:szCs w:val="24"/>
        </w:rPr>
        <w:t>komisjon, kuhu kuuluvad neurokirurg, neuroloog, anestesioloog ja psühhiaater. Tervishoiuteenust koodiga 1A2134 rakendatakse ainult juhul, kui teststimulatsioonil saavutatud raviefekt on adekvaatne: valu väheneb rohkem kui 50% ning puuduvad vastunäidustused püsistimulaatori paigaldamiseks.</w:t>
      </w:r>
    </w:p>
    <w:p w14:paraId="76F546DC" w14:textId="739853D7" w:rsidR="000378AF" w:rsidRPr="00687DE8" w:rsidRDefault="000378AF" w:rsidP="49C7DA8E">
      <w:pPr>
        <w:spacing w:after="0" w:line="240" w:lineRule="auto"/>
        <w:jc w:val="both"/>
        <w:divId w:val="1316184749"/>
        <w:rPr>
          <w:szCs w:val="24"/>
        </w:rPr>
      </w:pPr>
    </w:p>
    <w:p w14:paraId="7C5C35FD" w14:textId="0013993D" w:rsidR="000378AF" w:rsidRPr="00687DE8" w:rsidRDefault="000378AF" w:rsidP="000378AF">
      <w:pPr>
        <w:spacing w:after="0" w:line="240" w:lineRule="auto"/>
        <w:jc w:val="both"/>
        <w:divId w:val="1316184749"/>
        <w:rPr>
          <w:szCs w:val="24"/>
        </w:rPr>
      </w:pPr>
      <w:r w:rsidRPr="00687DE8">
        <w:rPr>
          <w:szCs w:val="24"/>
        </w:rPr>
        <w:t xml:space="preserve">(6) Tervisekassa võtab koodiga 1A2137 </w:t>
      </w:r>
      <w:r w:rsidR="00F073AC" w:rsidRPr="00687DE8">
        <w:rPr>
          <w:szCs w:val="24"/>
        </w:rPr>
        <w:t xml:space="preserve">või </w:t>
      </w:r>
      <w:r w:rsidR="00E561BB" w:rsidRPr="00687DE8">
        <w:rPr>
          <w:szCs w:val="24"/>
        </w:rPr>
        <w:t>1A</w:t>
      </w:r>
      <w:r w:rsidR="4BBEB0FC" w:rsidRPr="00687DE8">
        <w:rPr>
          <w:szCs w:val="24"/>
        </w:rPr>
        <w:t>2140</w:t>
      </w:r>
      <w:r w:rsidRPr="00687DE8">
        <w:rPr>
          <w:szCs w:val="24"/>
        </w:rPr>
        <w:t xml:space="preserve"> tähistatud tervishoiuteenuse eest tasu maksmise kohustuse üle juhul, kui patsiendil esineb ravimrefraktaarne epilepsia, mis ei allu ravile vähemalt kahe epilepsiaravimiga, ja raviotsuse on teinud eksperdikomisjon, kuhu kuuluvad vähemalt neurokirurg ja neuroloog, ning teenust osutatakse haiglate loetelus nimetatud piirkondlikus haiglas.</w:t>
      </w:r>
    </w:p>
    <w:p w14:paraId="5688E8CD" w14:textId="0054EF1B" w:rsidR="00B63271" w:rsidRPr="00687DE8" w:rsidRDefault="00B63271" w:rsidP="00976487">
      <w:pPr>
        <w:spacing w:after="0" w:line="240" w:lineRule="auto"/>
        <w:jc w:val="both"/>
        <w:divId w:val="1316184749"/>
        <w:rPr>
          <w:szCs w:val="24"/>
        </w:rPr>
      </w:pPr>
    </w:p>
    <w:p w14:paraId="5D57EFBD" w14:textId="77777777" w:rsidR="00976487" w:rsidRDefault="00976487" w:rsidP="00976487">
      <w:pPr>
        <w:spacing w:after="0" w:line="240" w:lineRule="auto"/>
        <w:jc w:val="both"/>
        <w:outlineLvl w:val="2"/>
        <w:divId w:val="1316184749"/>
        <w:rPr>
          <w:b/>
          <w:szCs w:val="24"/>
        </w:rPr>
      </w:pPr>
      <w:r w:rsidRPr="00687DE8">
        <w:rPr>
          <w:b/>
          <w:szCs w:val="24"/>
        </w:rPr>
        <w:t>§ 5</w:t>
      </w:r>
      <w:r w:rsidR="000245EE" w:rsidRPr="00687DE8">
        <w:rPr>
          <w:b/>
          <w:szCs w:val="24"/>
        </w:rPr>
        <w:t>4</w:t>
      </w:r>
      <w:r w:rsidRPr="00687DE8">
        <w:rPr>
          <w:b/>
          <w:szCs w:val="24"/>
        </w:rPr>
        <w:t>. Näo- ja lõualuukirurgia operatsioonide piirhinnad</w:t>
      </w:r>
    </w:p>
    <w:p w14:paraId="139297E6" w14:textId="77777777" w:rsidR="005332E6" w:rsidRDefault="005332E6" w:rsidP="00976487">
      <w:pPr>
        <w:spacing w:after="0" w:line="240" w:lineRule="auto"/>
        <w:divId w:val="1316184749"/>
        <w:rPr>
          <w:szCs w:val="24"/>
        </w:rPr>
      </w:pPr>
    </w:p>
    <w:p w14:paraId="11951BC0" w14:textId="55FADA39" w:rsidR="00976487" w:rsidRPr="00687DE8" w:rsidRDefault="00976487" w:rsidP="00976487">
      <w:pPr>
        <w:spacing w:after="0" w:line="240" w:lineRule="auto"/>
        <w:divId w:val="1316184749"/>
        <w:rPr>
          <w:szCs w:val="24"/>
        </w:rPr>
      </w:pPr>
      <w:r w:rsidRPr="00687DE8">
        <w:rPr>
          <w:szCs w:val="24"/>
        </w:rPr>
        <w:t>(1) Näo- ja lõualuukirurgia operatsioonide piirhinnad on järgmised:</w:t>
      </w:r>
    </w:p>
    <w:p w14:paraId="2056526B" w14:textId="77777777" w:rsidR="00976487" w:rsidRPr="00687DE8" w:rsidRDefault="00976487" w:rsidP="00976487">
      <w:pPr>
        <w:spacing w:after="0" w:line="240" w:lineRule="auto"/>
        <w:jc w:val="both"/>
        <w:divId w:val="1316184749"/>
        <w:rPr>
          <w:szCs w:val="24"/>
        </w:rPr>
      </w:pPr>
    </w:p>
    <w:tbl>
      <w:tblPr>
        <w:tblW w:w="9351" w:type="dxa"/>
        <w:tblLook w:val="04A0" w:firstRow="1" w:lastRow="0" w:firstColumn="1" w:lastColumn="0" w:noHBand="0" w:noVBand="1"/>
      </w:tblPr>
      <w:tblGrid>
        <w:gridCol w:w="6433"/>
        <w:gridCol w:w="1107"/>
        <w:gridCol w:w="1811"/>
      </w:tblGrid>
      <w:tr w:rsidR="00976487" w:rsidRPr="00687DE8" w14:paraId="5787063B" w14:textId="77777777" w:rsidTr="00976487">
        <w:trPr>
          <w:divId w:val="1316184749"/>
          <w:trHeight w:val="315"/>
          <w:tblHeader/>
        </w:trPr>
        <w:tc>
          <w:tcPr>
            <w:tcW w:w="6433" w:type="dxa"/>
            <w:tcBorders>
              <w:top w:val="single" w:sz="4" w:space="0" w:color="auto"/>
              <w:left w:val="single" w:sz="4" w:space="0" w:color="auto"/>
              <w:bottom w:val="single" w:sz="4" w:space="0" w:color="auto"/>
              <w:right w:val="single" w:sz="4" w:space="0" w:color="auto"/>
            </w:tcBorders>
            <w:hideMark/>
          </w:tcPr>
          <w:p w14:paraId="2AA49928" w14:textId="77777777" w:rsidR="00976487" w:rsidRPr="00687DE8" w:rsidRDefault="00976487">
            <w:pPr>
              <w:spacing w:after="0" w:line="240" w:lineRule="auto"/>
              <w:rPr>
                <w:szCs w:val="24"/>
              </w:rPr>
            </w:pPr>
            <w:r w:rsidRPr="00687DE8">
              <w:rPr>
                <w:b/>
                <w:bCs/>
                <w:szCs w:val="24"/>
              </w:rPr>
              <w:t>Tervishoiuteenuse nimetus</w:t>
            </w:r>
          </w:p>
        </w:tc>
        <w:tc>
          <w:tcPr>
            <w:tcW w:w="1107" w:type="dxa"/>
            <w:tcBorders>
              <w:top w:val="single" w:sz="4" w:space="0" w:color="auto"/>
              <w:left w:val="nil"/>
              <w:bottom w:val="single" w:sz="4" w:space="0" w:color="auto"/>
              <w:right w:val="single" w:sz="4" w:space="0" w:color="auto"/>
            </w:tcBorders>
            <w:vAlign w:val="center"/>
            <w:hideMark/>
          </w:tcPr>
          <w:p w14:paraId="0794558C" w14:textId="77777777" w:rsidR="00976487" w:rsidRPr="00687DE8" w:rsidRDefault="00976487">
            <w:pPr>
              <w:spacing w:after="0" w:line="240" w:lineRule="auto"/>
              <w:jc w:val="center"/>
              <w:rPr>
                <w:szCs w:val="24"/>
              </w:rPr>
            </w:pPr>
            <w:r w:rsidRPr="00687DE8">
              <w:rPr>
                <w:b/>
                <w:bCs/>
                <w:szCs w:val="24"/>
              </w:rPr>
              <w:t>Kood</w:t>
            </w:r>
          </w:p>
        </w:tc>
        <w:tc>
          <w:tcPr>
            <w:tcW w:w="1811" w:type="dxa"/>
            <w:tcBorders>
              <w:top w:val="single" w:sz="4" w:space="0" w:color="auto"/>
              <w:left w:val="nil"/>
              <w:bottom w:val="single" w:sz="4" w:space="0" w:color="auto"/>
              <w:right w:val="single" w:sz="4" w:space="0" w:color="auto"/>
            </w:tcBorders>
            <w:noWrap/>
            <w:vAlign w:val="center"/>
            <w:hideMark/>
          </w:tcPr>
          <w:p w14:paraId="60A2904F"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ED3DA3" w:rsidRPr="00687DE8" w14:paraId="24C61547"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7206F5F9" w14:textId="77777777" w:rsidR="00ED3DA3" w:rsidRPr="00687DE8" w:rsidRDefault="00ED3DA3" w:rsidP="00ED3DA3">
            <w:pPr>
              <w:spacing w:after="0" w:line="240" w:lineRule="auto"/>
              <w:rPr>
                <w:szCs w:val="24"/>
              </w:rPr>
            </w:pPr>
            <w:r w:rsidRPr="00687DE8">
              <w:rPr>
                <w:szCs w:val="24"/>
              </w:rPr>
              <w:t>Suuõõne lesiooni ekstsisioon</w:t>
            </w:r>
          </w:p>
        </w:tc>
        <w:tc>
          <w:tcPr>
            <w:tcW w:w="1107" w:type="dxa"/>
            <w:tcBorders>
              <w:top w:val="single" w:sz="4" w:space="0" w:color="auto"/>
              <w:left w:val="nil"/>
              <w:bottom w:val="single" w:sz="4" w:space="0" w:color="auto"/>
              <w:right w:val="single" w:sz="4" w:space="0" w:color="auto"/>
            </w:tcBorders>
            <w:vAlign w:val="center"/>
            <w:hideMark/>
          </w:tcPr>
          <w:p w14:paraId="10174AEB" w14:textId="77777777" w:rsidR="00ED3DA3" w:rsidRPr="00687DE8" w:rsidRDefault="00ED3DA3" w:rsidP="00ED3DA3">
            <w:pPr>
              <w:spacing w:after="0" w:line="240" w:lineRule="auto"/>
              <w:jc w:val="center"/>
              <w:rPr>
                <w:szCs w:val="24"/>
              </w:rPr>
            </w:pPr>
            <w:r w:rsidRPr="00687DE8">
              <w:rPr>
                <w:szCs w:val="24"/>
              </w:rPr>
              <w:t>1E2101</w:t>
            </w:r>
          </w:p>
        </w:tc>
        <w:tc>
          <w:tcPr>
            <w:tcW w:w="1811" w:type="dxa"/>
            <w:tcBorders>
              <w:top w:val="single" w:sz="4" w:space="0" w:color="auto"/>
              <w:left w:val="single" w:sz="4" w:space="0" w:color="auto"/>
              <w:bottom w:val="single" w:sz="4" w:space="0" w:color="auto"/>
              <w:right w:val="single" w:sz="4" w:space="0" w:color="auto"/>
            </w:tcBorders>
            <w:noWrap/>
            <w:vAlign w:val="center"/>
            <w:hideMark/>
          </w:tcPr>
          <w:p w14:paraId="6A13141A" w14:textId="71AAE99E" w:rsidR="4EC185AB" w:rsidRPr="00687DE8" w:rsidRDefault="00157E81">
            <w:pPr>
              <w:spacing w:after="0"/>
              <w:jc w:val="center"/>
              <w:rPr>
                <w:color w:val="000000" w:themeColor="text1"/>
                <w:szCs w:val="24"/>
              </w:rPr>
            </w:pPr>
            <w:r>
              <w:rPr>
                <w:color w:val="000000"/>
              </w:rPr>
              <w:t>373,08</w:t>
            </w:r>
          </w:p>
        </w:tc>
      </w:tr>
      <w:tr w:rsidR="00ED3DA3" w:rsidRPr="00687DE8" w14:paraId="4C5B06C1"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5E2B138B" w14:textId="77777777" w:rsidR="00ED3DA3" w:rsidRPr="00687DE8" w:rsidRDefault="00ED3DA3" w:rsidP="00ED3DA3">
            <w:pPr>
              <w:spacing w:after="0" w:line="240" w:lineRule="auto"/>
              <w:rPr>
                <w:szCs w:val="24"/>
              </w:rPr>
            </w:pPr>
            <w:r w:rsidRPr="00687DE8">
              <w:rPr>
                <w:szCs w:val="24"/>
              </w:rPr>
              <w:t>Sialolitotoomia</w:t>
            </w:r>
          </w:p>
        </w:tc>
        <w:tc>
          <w:tcPr>
            <w:tcW w:w="1107" w:type="dxa"/>
            <w:tcBorders>
              <w:top w:val="single" w:sz="4" w:space="0" w:color="auto"/>
              <w:left w:val="nil"/>
              <w:bottom w:val="single" w:sz="4" w:space="0" w:color="auto"/>
              <w:right w:val="single" w:sz="4" w:space="0" w:color="auto"/>
            </w:tcBorders>
            <w:vAlign w:val="center"/>
            <w:hideMark/>
          </w:tcPr>
          <w:p w14:paraId="359991AA" w14:textId="77777777" w:rsidR="00ED3DA3" w:rsidRPr="00687DE8" w:rsidRDefault="00ED3DA3" w:rsidP="00ED3DA3">
            <w:pPr>
              <w:spacing w:after="0" w:line="240" w:lineRule="auto"/>
              <w:jc w:val="center"/>
              <w:rPr>
                <w:szCs w:val="24"/>
              </w:rPr>
            </w:pPr>
            <w:r w:rsidRPr="00687DE8">
              <w:rPr>
                <w:szCs w:val="24"/>
              </w:rPr>
              <w:t>1E2102</w:t>
            </w:r>
          </w:p>
        </w:tc>
        <w:tc>
          <w:tcPr>
            <w:tcW w:w="1811" w:type="dxa"/>
            <w:tcBorders>
              <w:top w:val="nil"/>
              <w:left w:val="single" w:sz="4" w:space="0" w:color="auto"/>
              <w:bottom w:val="single" w:sz="4" w:space="0" w:color="auto"/>
              <w:right w:val="single" w:sz="4" w:space="0" w:color="auto"/>
            </w:tcBorders>
            <w:noWrap/>
            <w:vAlign w:val="center"/>
            <w:hideMark/>
          </w:tcPr>
          <w:p w14:paraId="3EE7E72B" w14:textId="44D13FCB" w:rsidR="4EC185AB" w:rsidRPr="00687DE8" w:rsidRDefault="00157E81">
            <w:pPr>
              <w:spacing w:after="0"/>
              <w:jc w:val="center"/>
              <w:rPr>
                <w:color w:val="000000" w:themeColor="text1"/>
                <w:szCs w:val="24"/>
              </w:rPr>
            </w:pPr>
            <w:r>
              <w:rPr>
                <w:color w:val="000000"/>
              </w:rPr>
              <w:t>347,47</w:t>
            </w:r>
          </w:p>
        </w:tc>
      </w:tr>
      <w:tr w:rsidR="00ED3DA3" w:rsidRPr="00687DE8" w14:paraId="3FDDB613"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5B1EFC58" w14:textId="77777777" w:rsidR="00ED3DA3" w:rsidRPr="00687DE8" w:rsidRDefault="00ED3DA3" w:rsidP="00ED3DA3">
            <w:pPr>
              <w:spacing w:after="0" w:line="240" w:lineRule="auto"/>
              <w:rPr>
                <w:szCs w:val="24"/>
              </w:rPr>
            </w:pPr>
            <w:r w:rsidRPr="00687DE8">
              <w:rPr>
                <w:szCs w:val="24"/>
              </w:rPr>
              <w:t xml:space="preserve">Keele ja/või huule frenuloplastika </w:t>
            </w:r>
          </w:p>
        </w:tc>
        <w:tc>
          <w:tcPr>
            <w:tcW w:w="1107" w:type="dxa"/>
            <w:tcBorders>
              <w:top w:val="single" w:sz="4" w:space="0" w:color="auto"/>
              <w:left w:val="nil"/>
              <w:bottom w:val="single" w:sz="4" w:space="0" w:color="auto"/>
              <w:right w:val="single" w:sz="4" w:space="0" w:color="auto"/>
            </w:tcBorders>
            <w:vAlign w:val="center"/>
            <w:hideMark/>
          </w:tcPr>
          <w:p w14:paraId="4EC39AD4" w14:textId="77777777" w:rsidR="00ED3DA3" w:rsidRPr="00687DE8" w:rsidRDefault="00ED3DA3" w:rsidP="00ED3DA3">
            <w:pPr>
              <w:spacing w:after="0" w:line="240" w:lineRule="auto"/>
              <w:jc w:val="center"/>
              <w:rPr>
                <w:szCs w:val="24"/>
              </w:rPr>
            </w:pPr>
            <w:r w:rsidRPr="00687DE8">
              <w:rPr>
                <w:szCs w:val="24"/>
              </w:rPr>
              <w:t>1E2103</w:t>
            </w:r>
          </w:p>
        </w:tc>
        <w:tc>
          <w:tcPr>
            <w:tcW w:w="1811" w:type="dxa"/>
            <w:tcBorders>
              <w:top w:val="nil"/>
              <w:left w:val="single" w:sz="4" w:space="0" w:color="auto"/>
              <w:bottom w:val="single" w:sz="4" w:space="0" w:color="auto"/>
              <w:right w:val="single" w:sz="4" w:space="0" w:color="auto"/>
            </w:tcBorders>
            <w:noWrap/>
            <w:vAlign w:val="center"/>
            <w:hideMark/>
          </w:tcPr>
          <w:p w14:paraId="35DFC431" w14:textId="2A893014" w:rsidR="4EC185AB" w:rsidRPr="00687DE8" w:rsidRDefault="00157E81">
            <w:pPr>
              <w:spacing w:after="0"/>
              <w:jc w:val="center"/>
              <w:rPr>
                <w:color w:val="000000" w:themeColor="text1"/>
                <w:szCs w:val="24"/>
              </w:rPr>
            </w:pPr>
            <w:r>
              <w:rPr>
                <w:color w:val="000000"/>
              </w:rPr>
              <w:t>286,65</w:t>
            </w:r>
          </w:p>
        </w:tc>
      </w:tr>
      <w:tr w:rsidR="00ED3DA3" w:rsidRPr="00687DE8" w14:paraId="459E23CF"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379EDE3B" w14:textId="77777777" w:rsidR="00ED3DA3" w:rsidRPr="00687DE8" w:rsidRDefault="00ED3DA3" w:rsidP="00ED3DA3">
            <w:pPr>
              <w:spacing w:after="0" w:line="240" w:lineRule="auto"/>
              <w:rPr>
                <w:szCs w:val="24"/>
              </w:rPr>
            </w:pPr>
            <w:r w:rsidRPr="00687DE8">
              <w:rPr>
                <w:szCs w:val="24"/>
              </w:rPr>
              <w:t>Fiksatsioonivahendite kirurgiline eemaldamine lõualuudelt</w:t>
            </w:r>
          </w:p>
        </w:tc>
        <w:tc>
          <w:tcPr>
            <w:tcW w:w="1107" w:type="dxa"/>
            <w:tcBorders>
              <w:top w:val="single" w:sz="4" w:space="0" w:color="auto"/>
              <w:left w:val="nil"/>
              <w:bottom w:val="single" w:sz="4" w:space="0" w:color="auto"/>
              <w:right w:val="single" w:sz="4" w:space="0" w:color="auto"/>
            </w:tcBorders>
            <w:vAlign w:val="center"/>
            <w:hideMark/>
          </w:tcPr>
          <w:p w14:paraId="64C0436A" w14:textId="77777777" w:rsidR="00ED3DA3" w:rsidRPr="00687DE8" w:rsidRDefault="00ED3DA3" w:rsidP="00ED3DA3">
            <w:pPr>
              <w:spacing w:after="0" w:line="240" w:lineRule="auto"/>
              <w:jc w:val="center"/>
              <w:rPr>
                <w:szCs w:val="24"/>
              </w:rPr>
            </w:pPr>
            <w:r w:rsidRPr="00687DE8">
              <w:rPr>
                <w:szCs w:val="24"/>
              </w:rPr>
              <w:t>1E2105</w:t>
            </w:r>
          </w:p>
        </w:tc>
        <w:tc>
          <w:tcPr>
            <w:tcW w:w="1811" w:type="dxa"/>
            <w:tcBorders>
              <w:top w:val="nil"/>
              <w:left w:val="single" w:sz="4" w:space="0" w:color="auto"/>
              <w:bottom w:val="single" w:sz="4" w:space="0" w:color="auto"/>
              <w:right w:val="single" w:sz="4" w:space="0" w:color="auto"/>
            </w:tcBorders>
            <w:noWrap/>
            <w:vAlign w:val="center"/>
            <w:hideMark/>
          </w:tcPr>
          <w:p w14:paraId="43432D79" w14:textId="6C06473B" w:rsidR="4EC185AB" w:rsidRPr="00687DE8" w:rsidRDefault="00157E81">
            <w:pPr>
              <w:spacing w:after="0"/>
              <w:jc w:val="center"/>
              <w:rPr>
                <w:color w:val="000000" w:themeColor="text1"/>
                <w:szCs w:val="24"/>
              </w:rPr>
            </w:pPr>
            <w:r>
              <w:rPr>
                <w:color w:val="000000"/>
              </w:rPr>
              <w:t>553,07</w:t>
            </w:r>
          </w:p>
        </w:tc>
      </w:tr>
      <w:tr w:rsidR="00ED3DA3" w:rsidRPr="00687DE8" w14:paraId="00678528" w14:textId="77777777" w:rsidTr="00EB7A71">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5ED09A3C" w14:textId="77777777" w:rsidR="00ED3DA3" w:rsidRPr="00687DE8" w:rsidRDefault="00ED3DA3" w:rsidP="00ED3DA3">
            <w:pPr>
              <w:spacing w:after="0" w:line="240" w:lineRule="auto"/>
              <w:rPr>
                <w:szCs w:val="24"/>
              </w:rPr>
            </w:pPr>
            <w:r w:rsidRPr="00687DE8">
              <w:rPr>
                <w:szCs w:val="24"/>
              </w:rPr>
              <w:t>Ninaluumurru kinnine paigaldamine ja immobilisatsioon</w:t>
            </w:r>
          </w:p>
        </w:tc>
        <w:tc>
          <w:tcPr>
            <w:tcW w:w="1107" w:type="dxa"/>
            <w:tcBorders>
              <w:top w:val="single" w:sz="4" w:space="0" w:color="auto"/>
              <w:left w:val="nil"/>
              <w:bottom w:val="single" w:sz="4" w:space="0" w:color="auto"/>
              <w:right w:val="single" w:sz="4" w:space="0" w:color="auto"/>
            </w:tcBorders>
            <w:vAlign w:val="center"/>
            <w:hideMark/>
          </w:tcPr>
          <w:p w14:paraId="03B9C811" w14:textId="77777777" w:rsidR="00ED3DA3" w:rsidRPr="00687DE8" w:rsidRDefault="00ED3DA3" w:rsidP="00ED3DA3">
            <w:pPr>
              <w:spacing w:after="0" w:line="240" w:lineRule="auto"/>
              <w:jc w:val="center"/>
              <w:rPr>
                <w:szCs w:val="24"/>
              </w:rPr>
            </w:pPr>
            <w:r w:rsidRPr="00687DE8">
              <w:rPr>
                <w:szCs w:val="24"/>
              </w:rPr>
              <w:t>1E2106</w:t>
            </w:r>
          </w:p>
        </w:tc>
        <w:tc>
          <w:tcPr>
            <w:tcW w:w="1811" w:type="dxa"/>
            <w:tcBorders>
              <w:top w:val="nil"/>
              <w:left w:val="single" w:sz="4" w:space="0" w:color="auto"/>
              <w:bottom w:val="single" w:sz="4" w:space="0" w:color="auto"/>
              <w:right w:val="single" w:sz="4" w:space="0" w:color="auto"/>
            </w:tcBorders>
            <w:noWrap/>
            <w:vAlign w:val="center"/>
            <w:hideMark/>
          </w:tcPr>
          <w:p w14:paraId="25C1B79B" w14:textId="47E785B7" w:rsidR="4EC185AB" w:rsidRPr="00687DE8" w:rsidRDefault="00157E81">
            <w:pPr>
              <w:spacing w:after="0"/>
              <w:jc w:val="center"/>
              <w:rPr>
                <w:color w:val="000000" w:themeColor="text1"/>
                <w:szCs w:val="24"/>
              </w:rPr>
            </w:pPr>
            <w:r>
              <w:rPr>
                <w:color w:val="000000"/>
              </w:rPr>
              <w:t>318,06</w:t>
            </w:r>
          </w:p>
        </w:tc>
      </w:tr>
      <w:tr w:rsidR="00ED3DA3" w:rsidRPr="00687DE8" w14:paraId="766D4065"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1E6BEF87" w14:textId="77777777" w:rsidR="00ED3DA3" w:rsidRPr="00687DE8" w:rsidRDefault="00ED3DA3" w:rsidP="00ED3DA3">
            <w:pPr>
              <w:spacing w:after="0" w:line="240" w:lineRule="auto"/>
              <w:rPr>
                <w:szCs w:val="24"/>
              </w:rPr>
            </w:pPr>
            <w:r w:rsidRPr="00687DE8">
              <w:rPr>
                <w:szCs w:val="24"/>
              </w:rPr>
              <w:t>Retineerunud või impakteerunud hamba eemaldamine või vabastamine osteotoomiaga</w:t>
            </w:r>
          </w:p>
        </w:tc>
        <w:tc>
          <w:tcPr>
            <w:tcW w:w="1107" w:type="dxa"/>
            <w:tcBorders>
              <w:top w:val="single" w:sz="4" w:space="0" w:color="auto"/>
              <w:left w:val="nil"/>
              <w:bottom w:val="single" w:sz="4" w:space="0" w:color="auto"/>
              <w:right w:val="single" w:sz="4" w:space="0" w:color="auto"/>
            </w:tcBorders>
            <w:vAlign w:val="center"/>
            <w:hideMark/>
          </w:tcPr>
          <w:p w14:paraId="2DD0D707" w14:textId="77777777" w:rsidR="00ED3DA3" w:rsidRPr="00687DE8" w:rsidRDefault="00ED3DA3" w:rsidP="00ED3DA3">
            <w:pPr>
              <w:spacing w:after="0" w:line="240" w:lineRule="auto"/>
              <w:jc w:val="center"/>
              <w:rPr>
                <w:szCs w:val="24"/>
              </w:rPr>
            </w:pPr>
          </w:p>
          <w:p w14:paraId="3FD5E642" w14:textId="77777777" w:rsidR="00ED3DA3" w:rsidRPr="00687DE8" w:rsidRDefault="00ED3DA3" w:rsidP="00ED3DA3">
            <w:pPr>
              <w:spacing w:after="0" w:line="240" w:lineRule="auto"/>
              <w:jc w:val="center"/>
              <w:rPr>
                <w:szCs w:val="24"/>
              </w:rPr>
            </w:pPr>
            <w:r w:rsidRPr="00687DE8">
              <w:rPr>
                <w:szCs w:val="24"/>
              </w:rPr>
              <w:t>1E2108</w:t>
            </w:r>
          </w:p>
        </w:tc>
        <w:tc>
          <w:tcPr>
            <w:tcW w:w="1811" w:type="dxa"/>
            <w:tcBorders>
              <w:top w:val="nil"/>
              <w:left w:val="single" w:sz="4" w:space="0" w:color="auto"/>
              <w:bottom w:val="single" w:sz="4" w:space="0" w:color="auto"/>
              <w:right w:val="single" w:sz="4" w:space="0" w:color="auto"/>
            </w:tcBorders>
            <w:noWrap/>
            <w:vAlign w:val="center"/>
            <w:hideMark/>
          </w:tcPr>
          <w:p w14:paraId="0381C9DC" w14:textId="18018AE2" w:rsidR="4EC185AB" w:rsidRPr="00687DE8" w:rsidRDefault="00157E81">
            <w:pPr>
              <w:spacing w:after="0"/>
              <w:jc w:val="center"/>
              <w:rPr>
                <w:color w:val="000000" w:themeColor="text1"/>
                <w:szCs w:val="24"/>
              </w:rPr>
            </w:pPr>
            <w:r>
              <w:rPr>
                <w:color w:val="000000"/>
              </w:rPr>
              <w:t>383,25</w:t>
            </w:r>
          </w:p>
        </w:tc>
      </w:tr>
      <w:tr w:rsidR="00ED3DA3" w:rsidRPr="00687DE8" w14:paraId="69F7E6AE"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584C691D" w14:textId="77777777" w:rsidR="00ED3DA3" w:rsidRPr="00687DE8" w:rsidRDefault="00ED3DA3" w:rsidP="00ED3DA3">
            <w:pPr>
              <w:spacing w:after="0" w:line="240" w:lineRule="auto"/>
              <w:rPr>
                <w:szCs w:val="24"/>
              </w:rPr>
            </w:pPr>
            <w:r w:rsidRPr="00687DE8">
              <w:rPr>
                <w:szCs w:val="24"/>
              </w:rPr>
              <w:t>Tsüstektoomia või tsüstostoomia näo- või lõualuupiirkonnas</w:t>
            </w:r>
          </w:p>
        </w:tc>
        <w:tc>
          <w:tcPr>
            <w:tcW w:w="1107" w:type="dxa"/>
            <w:tcBorders>
              <w:top w:val="single" w:sz="4" w:space="0" w:color="auto"/>
              <w:left w:val="nil"/>
              <w:bottom w:val="single" w:sz="4" w:space="0" w:color="auto"/>
              <w:right w:val="single" w:sz="4" w:space="0" w:color="auto"/>
            </w:tcBorders>
            <w:vAlign w:val="center"/>
            <w:hideMark/>
          </w:tcPr>
          <w:p w14:paraId="06695248" w14:textId="77777777" w:rsidR="00ED3DA3" w:rsidRPr="00687DE8" w:rsidRDefault="00ED3DA3" w:rsidP="00ED3DA3">
            <w:pPr>
              <w:spacing w:after="0" w:line="240" w:lineRule="auto"/>
              <w:jc w:val="center"/>
              <w:rPr>
                <w:szCs w:val="24"/>
              </w:rPr>
            </w:pPr>
            <w:r w:rsidRPr="00687DE8">
              <w:rPr>
                <w:szCs w:val="24"/>
              </w:rPr>
              <w:t>1E2109</w:t>
            </w:r>
          </w:p>
        </w:tc>
        <w:tc>
          <w:tcPr>
            <w:tcW w:w="1811" w:type="dxa"/>
            <w:tcBorders>
              <w:top w:val="nil"/>
              <w:left w:val="single" w:sz="4" w:space="0" w:color="auto"/>
              <w:bottom w:val="single" w:sz="4" w:space="0" w:color="auto"/>
              <w:right w:val="single" w:sz="4" w:space="0" w:color="auto"/>
            </w:tcBorders>
            <w:noWrap/>
            <w:vAlign w:val="center"/>
            <w:hideMark/>
          </w:tcPr>
          <w:p w14:paraId="0BA41779" w14:textId="0E39CBEF" w:rsidR="4EC185AB" w:rsidRPr="00687DE8" w:rsidRDefault="00157E81">
            <w:pPr>
              <w:spacing w:after="0"/>
              <w:jc w:val="center"/>
              <w:rPr>
                <w:color w:val="000000" w:themeColor="text1"/>
                <w:szCs w:val="24"/>
              </w:rPr>
            </w:pPr>
            <w:r>
              <w:rPr>
                <w:color w:val="000000"/>
              </w:rPr>
              <w:t>424,14</w:t>
            </w:r>
          </w:p>
        </w:tc>
      </w:tr>
      <w:tr w:rsidR="00ED3DA3" w:rsidRPr="00687DE8" w14:paraId="1677861F"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6659A2AF" w14:textId="77777777" w:rsidR="00ED3DA3" w:rsidRPr="00687DE8" w:rsidRDefault="00ED3DA3" w:rsidP="00ED3DA3">
            <w:pPr>
              <w:spacing w:after="0" w:line="240" w:lineRule="auto"/>
              <w:rPr>
                <w:szCs w:val="24"/>
              </w:rPr>
            </w:pPr>
            <w:r w:rsidRPr="00687DE8">
              <w:rPr>
                <w:szCs w:val="24"/>
              </w:rPr>
              <w:t>Lõualuumurru kinnine paigaldamine ja immobilisatsioon</w:t>
            </w:r>
          </w:p>
        </w:tc>
        <w:tc>
          <w:tcPr>
            <w:tcW w:w="1107" w:type="dxa"/>
            <w:tcBorders>
              <w:top w:val="single" w:sz="4" w:space="0" w:color="auto"/>
              <w:left w:val="nil"/>
              <w:bottom w:val="single" w:sz="4" w:space="0" w:color="auto"/>
              <w:right w:val="single" w:sz="4" w:space="0" w:color="auto"/>
            </w:tcBorders>
            <w:vAlign w:val="center"/>
            <w:hideMark/>
          </w:tcPr>
          <w:p w14:paraId="17C30EFC" w14:textId="77777777" w:rsidR="00ED3DA3" w:rsidRPr="00687DE8" w:rsidRDefault="00ED3DA3" w:rsidP="00ED3DA3">
            <w:pPr>
              <w:spacing w:after="0" w:line="240" w:lineRule="auto"/>
              <w:jc w:val="center"/>
              <w:rPr>
                <w:szCs w:val="24"/>
              </w:rPr>
            </w:pPr>
            <w:r w:rsidRPr="00687DE8">
              <w:rPr>
                <w:szCs w:val="24"/>
              </w:rPr>
              <w:t>1E2110</w:t>
            </w:r>
          </w:p>
        </w:tc>
        <w:tc>
          <w:tcPr>
            <w:tcW w:w="1811" w:type="dxa"/>
            <w:tcBorders>
              <w:top w:val="nil"/>
              <w:left w:val="single" w:sz="4" w:space="0" w:color="auto"/>
              <w:bottom w:val="single" w:sz="4" w:space="0" w:color="auto"/>
              <w:right w:val="single" w:sz="4" w:space="0" w:color="auto"/>
            </w:tcBorders>
            <w:noWrap/>
            <w:vAlign w:val="center"/>
            <w:hideMark/>
          </w:tcPr>
          <w:p w14:paraId="3CE22E66" w14:textId="5A513C68" w:rsidR="4EC185AB" w:rsidRPr="00687DE8" w:rsidRDefault="00157E81">
            <w:pPr>
              <w:spacing w:after="0"/>
              <w:jc w:val="center"/>
              <w:rPr>
                <w:color w:val="000000" w:themeColor="text1"/>
                <w:szCs w:val="24"/>
              </w:rPr>
            </w:pPr>
            <w:r>
              <w:rPr>
                <w:color w:val="000000"/>
              </w:rPr>
              <w:t>464,95</w:t>
            </w:r>
          </w:p>
        </w:tc>
      </w:tr>
      <w:tr w:rsidR="00ED3DA3" w:rsidRPr="00687DE8" w14:paraId="1324B3CD"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02610984" w14:textId="77777777" w:rsidR="00ED3DA3" w:rsidRPr="00687DE8" w:rsidRDefault="00ED3DA3" w:rsidP="00ED3DA3">
            <w:pPr>
              <w:spacing w:after="0" w:line="240" w:lineRule="auto"/>
              <w:rPr>
                <w:szCs w:val="24"/>
              </w:rPr>
            </w:pPr>
            <w:r w:rsidRPr="00687DE8">
              <w:rPr>
                <w:szCs w:val="24"/>
              </w:rPr>
              <w:t>Sarnaluumurru paigaldamine</w:t>
            </w:r>
          </w:p>
        </w:tc>
        <w:tc>
          <w:tcPr>
            <w:tcW w:w="1107" w:type="dxa"/>
            <w:tcBorders>
              <w:top w:val="single" w:sz="4" w:space="0" w:color="auto"/>
              <w:left w:val="nil"/>
              <w:bottom w:val="single" w:sz="4" w:space="0" w:color="auto"/>
              <w:right w:val="single" w:sz="4" w:space="0" w:color="auto"/>
            </w:tcBorders>
            <w:vAlign w:val="center"/>
            <w:hideMark/>
          </w:tcPr>
          <w:p w14:paraId="5FB6AD8C" w14:textId="77777777" w:rsidR="00ED3DA3" w:rsidRPr="00687DE8" w:rsidRDefault="00ED3DA3" w:rsidP="00ED3DA3">
            <w:pPr>
              <w:spacing w:after="0" w:line="240" w:lineRule="auto"/>
              <w:jc w:val="center"/>
              <w:rPr>
                <w:szCs w:val="24"/>
              </w:rPr>
            </w:pPr>
            <w:r w:rsidRPr="00687DE8">
              <w:rPr>
                <w:szCs w:val="24"/>
              </w:rPr>
              <w:t>1E2111</w:t>
            </w:r>
          </w:p>
        </w:tc>
        <w:tc>
          <w:tcPr>
            <w:tcW w:w="1811" w:type="dxa"/>
            <w:tcBorders>
              <w:top w:val="nil"/>
              <w:left w:val="single" w:sz="4" w:space="0" w:color="auto"/>
              <w:bottom w:val="single" w:sz="4" w:space="0" w:color="auto"/>
              <w:right w:val="single" w:sz="4" w:space="0" w:color="auto"/>
            </w:tcBorders>
            <w:noWrap/>
            <w:vAlign w:val="center"/>
            <w:hideMark/>
          </w:tcPr>
          <w:p w14:paraId="09782E93" w14:textId="79873E8A" w:rsidR="4EC185AB" w:rsidRPr="00687DE8" w:rsidRDefault="00157E81">
            <w:pPr>
              <w:spacing w:after="0"/>
              <w:jc w:val="center"/>
              <w:rPr>
                <w:color w:val="000000" w:themeColor="text1"/>
                <w:szCs w:val="24"/>
              </w:rPr>
            </w:pPr>
            <w:r>
              <w:rPr>
                <w:color w:val="000000"/>
              </w:rPr>
              <w:t>473,01</w:t>
            </w:r>
          </w:p>
        </w:tc>
      </w:tr>
      <w:tr w:rsidR="00ED3DA3" w:rsidRPr="00687DE8" w14:paraId="6CA06959"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021272F4" w14:textId="77777777" w:rsidR="00ED3DA3" w:rsidRPr="00687DE8" w:rsidRDefault="00ED3DA3" w:rsidP="00ED3DA3">
            <w:pPr>
              <w:spacing w:after="0" w:line="240" w:lineRule="auto"/>
              <w:rPr>
                <w:szCs w:val="24"/>
              </w:rPr>
            </w:pPr>
            <w:r w:rsidRPr="00687DE8">
              <w:rPr>
                <w:szCs w:val="24"/>
              </w:rPr>
              <w:t>Hamba kirurgiline eemaldamine osteotoomiaga</w:t>
            </w:r>
          </w:p>
        </w:tc>
        <w:tc>
          <w:tcPr>
            <w:tcW w:w="1107" w:type="dxa"/>
            <w:tcBorders>
              <w:top w:val="single" w:sz="4" w:space="0" w:color="auto"/>
              <w:left w:val="nil"/>
              <w:bottom w:val="single" w:sz="4" w:space="0" w:color="auto"/>
              <w:right w:val="single" w:sz="4" w:space="0" w:color="auto"/>
            </w:tcBorders>
            <w:vAlign w:val="center"/>
            <w:hideMark/>
          </w:tcPr>
          <w:p w14:paraId="18D0A5F4" w14:textId="77777777" w:rsidR="00ED3DA3" w:rsidRPr="00687DE8" w:rsidRDefault="00ED3DA3" w:rsidP="00ED3DA3">
            <w:pPr>
              <w:spacing w:after="0" w:line="240" w:lineRule="auto"/>
              <w:jc w:val="center"/>
              <w:rPr>
                <w:szCs w:val="24"/>
              </w:rPr>
            </w:pPr>
            <w:r w:rsidRPr="00687DE8">
              <w:rPr>
                <w:szCs w:val="24"/>
              </w:rPr>
              <w:t>1E2112</w:t>
            </w:r>
          </w:p>
        </w:tc>
        <w:tc>
          <w:tcPr>
            <w:tcW w:w="1811" w:type="dxa"/>
            <w:tcBorders>
              <w:top w:val="nil"/>
              <w:left w:val="single" w:sz="4" w:space="0" w:color="auto"/>
              <w:bottom w:val="single" w:sz="4" w:space="0" w:color="auto"/>
              <w:right w:val="single" w:sz="4" w:space="0" w:color="auto"/>
            </w:tcBorders>
            <w:noWrap/>
            <w:vAlign w:val="center"/>
            <w:hideMark/>
          </w:tcPr>
          <w:p w14:paraId="3CC0AA63" w14:textId="54772F64" w:rsidR="4EC185AB" w:rsidRPr="00687DE8" w:rsidRDefault="00157E81">
            <w:pPr>
              <w:spacing w:after="0"/>
              <w:jc w:val="center"/>
              <w:rPr>
                <w:color w:val="000000" w:themeColor="text1"/>
                <w:szCs w:val="24"/>
              </w:rPr>
            </w:pPr>
            <w:r>
              <w:rPr>
                <w:color w:val="000000"/>
              </w:rPr>
              <w:t>425,15</w:t>
            </w:r>
          </w:p>
        </w:tc>
      </w:tr>
      <w:tr w:rsidR="00ED3DA3" w:rsidRPr="00687DE8" w14:paraId="6ADBB266"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60F66461" w14:textId="77777777" w:rsidR="00ED3DA3" w:rsidRPr="00687DE8" w:rsidRDefault="00ED3DA3" w:rsidP="00ED3DA3">
            <w:pPr>
              <w:spacing w:after="0" w:line="240" w:lineRule="auto"/>
              <w:rPr>
                <w:szCs w:val="24"/>
              </w:rPr>
            </w:pPr>
            <w:r w:rsidRPr="00687DE8">
              <w:rPr>
                <w:szCs w:val="24"/>
              </w:rPr>
              <w:t>Operatsioonid kolmiknärvi perifeersetel harudel</w:t>
            </w:r>
          </w:p>
        </w:tc>
        <w:tc>
          <w:tcPr>
            <w:tcW w:w="1107" w:type="dxa"/>
            <w:tcBorders>
              <w:top w:val="single" w:sz="4" w:space="0" w:color="auto"/>
              <w:left w:val="nil"/>
              <w:bottom w:val="single" w:sz="4" w:space="0" w:color="auto"/>
              <w:right w:val="single" w:sz="4" w:space="0" w:color="auto"/>
            </w:tcBorders>
            <w:vAlign w:val="center"/>
            <w:hideMark/>
          </w:tcPr>
          <w:p w14:paraId="6775D08D" w14:textId="77777777" w:rsidR="00ED3DA3" w:rsidRPr="00687DE8" w:rsidRDefault="00ED3DA3" w:rsidP="00ED3DA3">
            <w:pPr>
              <w:spacing w:after="0" w:line="240" w:lineRule="auto"/>
              <w:jc w:val="center"/>
              <w:rPr>
                <w:szCs w:val="24"/>
              </w:rPr>
            </w:pPr>
            <w:r w:rsidRPr="00687DE8">
              <w:rPr>
                <w:szCs w:val="24"/>
              </w:rPr>
              <w:t>1E2113</w:t>
            </w:r>
          </w:p>
        </w:tc>
        <w:tc>
          <w:tcPr>
            <w:tcW w:w="1811" w:type="dxa"/>
            <w:tcBorders>
              <w:top w:val="nil"/>
              <w:left w:val="single" w:sz="4" w:space="0" w:color="auto"/>
              <w:bottom w:val="single" w:sz="4" w:space="0" w:color="auto"/>
              <w:right w:val="single" w:sz="4" w:space="0" w:color="auto"/>
            </w:tcBorders>
            <w:noWrap/>
            <w:vAlign w:val="center"/>
            <w:hideMark/>
          </w:tcPr>
          <w:p w14:paraId="16A42FE7" w14:textId="7B61E185" w:rsidR="4EC185AB" w:rsidRPr="00687DE8" w:rsidRDefault="00157E81">
            <w:pPr>
              <w:spacing w:after="0"/>
              <w:jc w:val="center"/>
              <w:rPr>
                <w:color w:val="000000" w:themeColor="text1"/>
                <w:szCs w:val="24"/>
              </w:rPr>
            </w:pPr>
            <w:r>
              <w:rPr>
                <w:color w:val="000000"/>
              </w:rPr>
              <w:t>737,36</w:t>
            </w:r>
          </w:p>
        </w:tc>
      </w:tr>
      <w:tr w:rsidR="00ED3DA3" w:rsidRPr="00687DE8" w14:paraId="70055DB6"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0957F3EF" w14:textId="77777777" w:rsidR="00ED3DA3" w:rsidRPr="00687DE8" w:rsidRDefault="00ED3DA3" w:rsidP="00ED3DA3">
            <w:pPr>
              <w:spacing w:after="0" w:line="240" w:lineRule="auto"/>
              <w:rPr>
                <w:szCs w:val="24"/>
              </w:rPr>
            </w:pPr>
            <w:r w:rsidRPr="00687DE8">
              <w:rPr>
                <w:szCs w:val="24"/>
              </w:rPr>
              <w:t>Kolmiknärvi harude blokaad koljupõhimikul</w:t>
            </w:r>
          </w:p>
        </w:tc>
        <w:tc>
          <w:tcPr>
            <w:tcW w:w="1107" w:type="dxa"/>
            <w:tcBorders>
              <w:top w:val="single" w:sz="4" w:space="0" w:color="auto"/>
              <w:left w:val="nil"/>
              <w:bottom w:val="single" w:sz="4" w:space="0" w:color="auto"/>
              <w:right w:val="single" w:sz="4" w:space="0" w:color="auto"/>
            </w:tcBorders>
            <w:vAlign w:val="center"/>
            <w:hideMark/>
          </w:tcPr>
          <w:p w14:paraId="0E35DB7D" w14:textId="77777777" w:rsidR="00ED3DA3" w:rsidRPr="00687DE8" w:rsidRDefault="00ED3DA3" w:rsidP="00ED3DA3">
            <w:pPr>
              <w:spacing w:after="0" w:line="240" w:lineRule="auto"/>
              <w:jc w:val="center"/>
              <w:rPr>
                <w:szCs w:val="24"/>
              </w:rPr>
            </w:pPr>
            <w:r w:rsidRPr="00687DE8">
              <w:rPr>
                <w:szCs w:val="24"/>
              </w:rPr>
              <w:t>1E2114</w:t>
            </w:r>
          </w:p>
        </w:tc>
        <w:tc>
          <w:tcPr>
            <w:tcW w:w="1811" w:type="dxa"/>
            <w:tcBorders>
              <w:top w:val="nil"/>
              <w:left w:val="single" w:sz="4" w:space="0" w:color="auto"/>
              <w:bottom w:val="single" w:sz="4" w:space="0" w:color="auto"/>
              <w:right w:val="single" w:sz="4" w:space="0" w:color="auto"/>
            </w:tcBorders>
            <w:noWrap/>
            <w:vAlign w:val="center"/>
            <w:hideMark/>
          </w:tcPr>
          <w:p w14:paraId="3958D8B6" w14:textId="7515B57B" w:rsidR="4EC185AB" w:rsidRPr="00687DE8" w:rsidRDefault="00157E81">
            <w:pPr>
              <w:spacing w:after="0"/>
              <w:jc w:val="center"/>
              <w:rPr>
                <w:color w:val="000000" w:themeColor="text1"/>
                <w:szCs w:val="24"/>
              </w:rPr>
            </w:pPr>
            <w:r>
              <w:rPr>
                <w:color w:val="000000"/>
              </w:rPr>
              <w:t>306,62</w:t>
            </w:r>
          </w:p>
        </w:tc>
      </w:tr>
      <w:tr w:rsidR="00ED3DA3" w:rsidRPr="00687DE8" w14:paraId="18C59421"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18E907E8" w14:textId="77777777" w:rsidR="00ED3DA3" w:rsidRPr="00687DE8" w:rsidRDefault="00ED3DA3" w:rsidP="00ED3DA3">
            <w:pPr>
              <w:spacing w:after="0" w:line="240" w:lineRule="auto"/>
              <w:rPr>
                <w:szCs w:val="24"/>
              </w:rPr>
            </w:pPr>
            <w:r w:rsidRPr="00687DE8">
              <w:rPr>
                <w:szCs w:val="24"/>
              </w:rPr>
              <w:t xml:space="preserve">Skleroseeriv ravi näo- ja kaelapiirkonnas </w:t>
            </w:r>
          </w:p>
        </w:tc>
        <w:tc>
          <w:tcPr>
            <w:tcW w:w="1107" w:type="dxa"/>
            <w:tcBorders>
              <w:top w:val="single" w:sz="4" w:space="0" w:color="auto"/>
              <w:left w:val="nil"/>
              <w:bottom w:val="single" w:sz="4" w:space="0" w:color="auto"/>
              <w:right w:val="single" w:sz="4" w:space="0" w:color="auto"/>
            </w:tcBorders>
            <w:vAlign w:val="center"/>
            <w:hideMark/>
          </w:tcPr>
          <w:p w14:paraId="3EE0FB44" w14:textId="77777777" w:rsidR="00ED3DA3" w:rsidRPr="00687DE8" w:rsidRDefault="00ED3DA3" w:rsidP="00ED3DA3">
            <w:pPr>
              <w:spacing w:after="0" w:line="240" w:lineRule="auto"/>
              <w:jc w:val="center"/>
              <w:rPr>
                <w:szCs w:val="24"/>
              </w:rPr>
            </w:pPr>
            <w:r w:rsidRPr="00687DE8">
              <w:rPr>
                <w:szCs w:val="24"/>
              </w:rPr>
              <w:t>1E2117</w:t>
            </w:r>
          </w:p>
        </w:tc>
        <w:tc>
          <w:tcPr>
            <w:tcW w:w="1811" w:type="dxa"/>
            <w:tcBorders>
              <w:top w:val="nil"/>
              <w:left w:val="single" w:sz="4" w:space="0" w:color="auto"/>
              <w:bottom w:val="single" w:sz="4" w:space="0" w:color="auto"/>
              <w:right w:val="single" w:sz="4" w:space="0" w:color="auto"/>
            </w:tcBorders>
            <w:noWrap/>
            <w:vAlign w:val="center"/>
            <w:hideMark/>
          </w:tcPr>
          <w:p w14:paraId="738767E3" w14:textId="5CE02DC9" w:rsidR="4EC185AB" w:rsidRPr="00687DE8" w:rsidRDefault="00157E81">
            <w:pPr>
              <w:spacing w:after="0"/>
              <w:jc w:val="center"/>
              <w:rPr>
                <w:color w:val="000000" w:themeColor="text1"/>
                <w:szCs w:val="24"/>
              </w:rPr>
            </w:pPr>
            <w:r>
              <w:rPr>
                <w:color w:val="000000"/>
              </w:rPr>
              <w:t>249,64</w:t>
            </w:r>
          </w:p>
        </w:tc>
      </w:tr>
      <w:tr w:rsidR="00ED3DA3" w:rsidRPr="00687DE8" w14:paraId="14BBBD9E"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6ED0851C" w14:textId="77777777" w:rsidR="00ED3DA3" w:rsidRPr="00687DE8" w:rsidRDefault="00ED3DA3" w:rsidP="00ED3DA3">
            <w:pPr>
              <w:spacing w:after="0" w:line="240" w:lineRule="auto"/>
              <w:rPr>
                <w:szCs w:val="24"/>
              </w:rPr>
            </w:pPr>
            <w:r w:rsidRPr="00687DE8">
              <w:rPr>
                <w:szCs w:val="24"/>
              </w:rPr>
              <w:t>Lõualuu healoomulise kasvaja ekstsisioon</w:t>
            </w:r>
          </w:p>
        </w:tc>
        <w:tc>
          <w:tcPr>
            <w:tcW w:w="1107" w:type="dxa"/>
            <w:tcBorders>
              <w:top w:val="single" w:sz="4" w:space="0" w:color="auto"/>
              <w:left w:val="nil"/>
              <w:bottom w:val="single" w:sz="4" w:space="0" w:color="auto"/>
              <w:right w:val="single" w:sz="4" w:space="0" w:color="auto"/>
            </w:tcBorders>
            <w:vAlign w:val="center"/>
            <w:hideMark/>
          </w:tcPr>
          <w:p w14:paraId="508F7C2E" w14:textId="77777777" w:rsidR="00ED3DA3" w:rsidRPr="00687DE8" w:rsidRDefault="00ED3DA3" w:rsidP="00ED3DA3">
            <w:pPr>
              <w:spacing w:after="0" w:line="240" w:lineRule="auto"/>
              <w:jc w:val="center"/>
              <w:rPr>
                <w:szCs w:val="24"/>
              </w:rPr>
            </w:pPr>
            <w:r w:rsidRPr="00687DE8">
              <w:rPr>
                <w:szCs w:val="24"/>
              </w:rPr>
              <w:t>1E2118</w:t>
            </w:r>
          </w:p>
        </w:tc>
        <w:tc>
          <w:tcPr>
            <w:tcW w:w="1811" w:type="dxa"/>
            <w:tcBorders>
              <w:top w:val="nil"/>
              <w:left w:val="single" w:sz="4" w:space="0" w:color="auto"/>
              <w:bottom w:val="single" w:sz="4" w:space="0" w:color="auto"/>
              <w:right w:val="single" w:sz="4" w:space="0" w:color="auto"/>
            </w:tcBorders>
            <w:noWrap/>
            <w:vAlign w:val="center"/>
            <w:hideMark/>
          </w:tcPr>
          <w:p w14:paraId="615A5522" w14:textId="1F496CD6" w:rsidR="4EC185AB" w:rsidRPr="00687DE8" w:rsidRDefault="00157E81">
            <w:pPr>
              <w:spacing w:after="0"/>
              <w:jc w:val="center"/>
              <w:rPr>
                <w:color w:val="000000" w:themeColor="text1"/>
                <w:szCs w:val="24"/>
              </w:rPr>
            </w:pPr>
            <w:r>
              <w:rPr>
                <w:color w:val="000000"/>
              </w:rPr>
              <w:t>597,36</w:t>
            </w:r>
          </w:p>
        </w:tc>
      </w:tr>
      <w:tr w:rsidR="00ED3DA3" w:rsidRPr="00687DE8" w14:paraId="262C4808"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016622E8" w14:textId="77777777" w:rsidR="00ED3DA3" w:rsidRPr="00687DE8" w:rsidRDefault="00ED3DA3" w:rsidP="00ED3DA3">
            <w:pPr>
              <w:spacing w:after="0" w:line="240" w:lineRule="auto"/>
              <w:rPr>
                <w:szCs w:val="24"/>
              </w:rPr>
            </w:pPr>
            <w:r w:rsidRPr="00687DE8">
              <w:rPr>
                <w:szCs w:val="24"/>
              </w:rPr>
              <w:t>Ala- või ülalõualuu osaline ekstsisioonresektsioon ilma plastikata</w:t>
            </w:r>
          </w:p>
        </w:tc>
        <w:tc>
          <w:tcPr>
            <w:tcW w:w="1107" w:type="dxa"/>
            <w:tcBorders>
              <w:top w:val="single" w:sz="4" w:space="0" w:color="auto"/>
              <w:left w:val="nil"/>
              <w:bottom w:val="single" w:sz="4" w:space="0" w:color="auto"/>
              <w:right w:val="single" w:sz="4" w:space="0" w:color="auto"/>
            </w:tcBorders>
            <w:vAlign w:val="center"/>
            <w:hideMark/>
          </w:tcPr>
          <w:p w14:paraId="4655BCDA" w14:textId="77777777" w:rsidR="00ED3DA3" w:rsidRPr="00687DE8" w:rsidRDefault="00ED3DA3" w:rsidP="00ED3DA3">
            <w:pPr>
              <w:spacing w:after="0" w:line="240" w:lineRule="auto"/>
              <w:jc w:val="center"/>
              <w:rPr>
                <w:szCs w:val="24"/>
              </w:rPr>
            </w:pPr>
          </w:p>
          <w:p w14:paraId="623AD53B" w14:textId="77777777" w:rsidR="00ED3DA3" w:rsidRPr="00687DE8" w:rsidRDefault="00ED3DA3" w:rsidP="00ED3DA3">
            <w:pPr>
              <w:spacing w:after="0" w:line="240" w:lineRule="auto"/>
              <w:jc w:val="center"/>
              <w:rPr>
                <w:szCs w:val="24"/>
              </w:rPr>
            </w:pPr>
            <w:r w:rsidRPr="00687DE8">
              <w:rPr>
                <w:szCs w:val="24"/>
              </w:rPr>
              <w:t>1E2119</w:t>
            </w:r>
          </w:p>
        </w:tc>
        <w:tc>
          <w:tcPr>
            <w:tcW w:w="1811" w:type="dxa"/>
            <w:tcBorders>
              <w:top w:val="nil"/>
              <w:left w:val="single" w:sz="4" w:space="0" w:color="auto"/>
              <w:bottom w:val="single" w:sz="4" w:space="0" w:color="auto"/>
              <w:right w:val="single" w:sz="4" w:space="0" w:color="auto"/>
            </w:tcBorders>
            <w:noWrap/>
            <w:vAlign w:val="center"/>
            <w:hideMark/>
          </w:tcPr>
          <w:p w14:paraId="1C97B3B3" w14:textId="5EE10809" w:rsidR="4EC185AB" w:rsidRPr="00687DE8" w:rsidRDefault="00157E81">
            <w:pPr>
              <w:spacing w:after="0"/>
              <w:jc w:val="center"/>
              <w:rPr>
                <w:color w:val="000000" w:themeColor="text1"/>
                <w:szCs w:val="24"/>
              </w:rPr>
            </w:pPr>
            <w:r>
              <w:rPr>
                <w:color w:val="000000"/>
              </w:rPr>
              <w:t>790,99</w:t>
            </w:r>
          </w:p>
        </w:tc>
      </w:tr>
      <w:tr w:rsidR="00ED3DA3" w:rsidRPr="00687DE8" w14:paraId="04BDC777"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0BD42D68" w14:textId="77777777" w:rsidR="00ED3DA3" w:rsidRPr="00687DE8" w:rsidRDefault="00ED3DA3" w:rsidP="00ED3DA3">
            <w:pPr>
              <w:spacing w:after="0" w:line="240" w:lineRule="auto"/>
              <w:rPr>
                <w:szCs w:val="24"/>
              </w:rPr>
            </w:pPr>
            <w:r w:rsidRPr="00687DE8">
              <w:rPr>
                <w:szCs w:val="24"/>
              </w:rPr>
              <w:t>Lõualuu segmentaalne osteotoomia (dekortikatsioon)</w:t>
            </w:r>
          </w:p>
        </w:tc>
        <w:tc>
          <w:tcPr>
            <w:tcW w:w="1107" w:type="dxa"/>
            <w:tcBorders>
              <w:top w:val="single" w:sz="4" w:space="0" w:color="auto"/>
              <w:left w:val="nil"/>
              <w:bottom w:val="single" w:sz="4" w:space="0" w:color="auto"/>
              <w:right w:val="single" w:sz="4" w:space="0" w:color="auto"/>
            </w:tcBorders>
            <w:vAlign w:val="center"/>
            <w:hideMark/>
          </w:tcPr>
          <w:p w14:paraId="65DEA1BB" w14:textId="77777777" w:rsidR="00ED3DA3" w:rsidRPr="00687DE8" w:rsidRDefault="00ED3DA3" w:rsidP="00ED3DA3">
            <w:pPr>
              <w:spacing w:after="0" w:line="240" w:lineRule="auto"/>
              <w:jc w:val="center"/>
              <w:rPr>
                <w:szCs w:val="24"/>
              </w:rPr>
            </w:pPr>
            <w:r w:rsidRPr="00687DE8">
              <w:rPr>
                <w:szCs w:val="24"/>
              </w:rPr>
              <w:t>1E2120</w:t>
            </w:r>
          </w:p>
        </w:tc>
        <w:tc>
          <w:tcPr>
            <w:tcW w:w="1811" w:type="dxa"/>
            <w:tcBorders>
              <w:top w:val="nil"/>
              <w:left w:val="single" w:sz="4" w:space="0" w:color="auto"/>
              <w:bottom w:val="single" w:sz="4" w:space="0" w:color="auto"/>
              <w:right w:val="single" w:sz="4" w:space="0" w:color="auto"/>
            </w:tcBorders>
            <w:noWrap/>
            <w:vAlign w:val="center"/>
            <w:hideMark/>
          </w:tcPr>
          <w:p w14:paraId="4F6BB1E6" w14:textId="79FE273E" w:rsidR="4EC185AB" w:rsidRPr="00687DE8" w:rsidRDefault="00157E81">
            <w:pPr>
              <w:spacing w:after="0"/>
              <w:jc w:val="center"/>
              <w:rPr>
                <w:color w:val="000000" w:themeColor="text1"/>
                <w:szCs w:val="24"/>
              </w:rPr>
            </w:pPr>
            <w:r>
              <w:rPr>
                <w:color w:val="000000"/>
              </w:rPr>
              <w:t>679,65</w:t>
            </w:r>
          </w:p>
        </w:tc>
      </w:tr>
      <w:tr w:rsidR="00ED3DA3" w:rsidRPr="00687DE8" w14:paraId="091F3F9D"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7F99C577" w14:textId="77777777" w:rsidR="00ED3DA3" w:rsidRPr="00687DE8" w:rsidRDefault="00ED3DA3" w:rsidP="00ED3DA3">
            <w:pPr>
              <w:spacing w:after="0" w:line="240" w:lineRule="auto"/>
              <w:rPr>
                <w:szCs w:val="24"/>
              </w:rPr>
            </w:pPr>
            <w:r w:rsidRPr="00687DE8">
              <w:rPr>
                <w:szCs w:val="24"/>
              </w:rPr>
              <w:t>Hemiglossektoomia</w:t>
            </w:r>
          </w:p>
        </w:tc>
        <w:tc>
          <w:tcPr>
            <w:tcW w:w="1107" w:type="dxa"/>
            <w:tcBorders>
              <w:top w:val="single" w:sz="4" w:space="0" w:color="auto"/>
              <w:left w:val="nil"/>
              <w:bottom w:val="single" w:sz="4" w:space="0" w:color="auto"/>
              <w:right w:val="single" w:sz="4" w:space="0" w:color="auto"/>
            </w:tcBorders>
            <w:vAlign w:val="center"/>
            <w:hideMark/>
          </w:tcPr>
          <w:p w14:paraId="493970FF" w14:textId="77777777" w:rsidR="00ED3DA3" w:rsidRPr="00687DE8" w:rsidRDefault="00ED3DA3" w:rsidP="00ED3DA3">
            <w:pPr>
              <w:spacing w:after="0" w:line="240" w:lineRule="auto"/>
              <w:jc w:val="center"/>
              <w:rPr>
                <w:szCs w:val="24"/>
              </w:rPr>
            </w:pPr>
            <w:r w:rsidRPr="00687DE8">
              <w:rPr>
                <w:szCs w:val="24"/>
              </w:rPr>
              <w:t>1E2121</w:t>
            </w:r>
          </w:p>
        </w:tc>
        <w:tc>
          <w:tcPr>
            <w:tcW w:w="1811" w:type="dxa"/>
            <w:tcBorders>
              <w:top w:val="nil"/>
              <w:left w:val="single" w:sz="4" w:space="0" w:color="auto"/>
              <w:bottom w:val="single" w:sz="4" w:space="0" w:color="auto"/>
              <w:right w:val="single" w:sz="4" w:space="0" w:color="auto"/>
            </w:tcBorders>
            <w:noWrap/>
            <w:vAlign w:val="center"/>
            <w:hideMark/>
          </w:tcPr>
          <w:p w14:paraId="7A1AAABC" w14:textId="26347DE5" w:rsidR="4EC185AB" w:rsidRPr="00687DE8" w:rsidRDefault="00157E81">
            <w:pPr>
              <w:spacing w:after="0"/>
              <w:jc w:val="center"/>
              <w:rPr>
                <w:color w:val="000000" w:themeColor="text1"/>
                <w:szCs w:val="24"/>
              </w:rPr>
            </w:pPr>
            <w:r>
              <w:rPr>
                <w:color w:val="000000"/>
              </w:rPr>
              <w:t>719,04</w:t>
            </w:r>
          </w:p>
        </w:tc>
      </w:tr>
      <w:tr w:rsidR="00ED3DA3" w:rsidRPr="00687DE8" w14:paraId="6BC10EDD"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0ED8205D" w14:textId="77777777" w:rsidR="00ED3DA3" w:rsidRPr="00687DE8" w:rsidRDefault="00ED3DA3" w:rsidP="00ED3DA3">
            <w:pPr>
              <w:spacing w:after="0" w:line="240" w:lineRule="auto"/>
              <w:rPr>
                <w:szCs w:val="24"/>
              </w:rPr>
            </w:pPr>
            <w:r w:rsidRPr="00687DE8">
              <w:rPr>
                <w:szCs w:val="24"/>
              </w:rPr>
              <w:t>Sinusotoomia</w:t>
            </w:r>
          </w:p>
        </w:tc>
        <w:tc>
          <w:tcPr>
            <w:tcW w:w="1107" w:type="dxa"/>
            <w:tcBorders>
              <w:top w:val="single" w:sz="4" w:space="0" w:color="auto"/>
              <w:left w:val="nil"/>
              <w:bottom w:val="single" w:sz="4" w:space="0" w:color="auto"/>
              <w:right w:val="single" w:sz="4" w:space="0" w:color="auto"/>
            </w:tcBorders>
            <w:vAlign w:val="center"/>
            <w:hideMark/>
          </w:tcPr>
          <w:p w14:paraId="145E375A" w14:textId="77777777" w:rsidR="00ED3DA3" w:rsidRPr="00687DE8" w:rsidRDefault="00ED3DA3" w:rsidP="00ED3DA3">
            <w:pPr>
              <w:spacing w:after="0" w:line="240" w:lineRule="auto"/>
              <w:jc w:val="center"/>
              <w:rPr>
                <w:szCs w:val="24"/>
              </w:rPr>
            </w:pPr>
            <w:r w:rsidRPr="00687DE8">
              <w:rPr>
                <w:szCs w:val="24"/>
              </w:rPr>
              <w:t>1E2122</w:t>
            </w:r>
          </w:p>
        </w:tc>
        <w:tc>
          <w:tcPr>
            <w:tcW w:w="1811" w:type="dxa"/>
            <w:tcBorders>
              <w:top w:val="nil"/>
              <w:left w:val="single" w:sz="4" w:space="0" w:color="auto"/>
              <w:bottom w:val="single" w:sz="4" w:space="0" w:color="auto"/>
              <w:right w:val="single" w:sz="4" w:space="0" w:color="auto"/>
            </w:tcBorders>
            <w:noWrap/>
            <w:vAlign w:val="center"/>
            <w:hideMark/>
          </w:tcPr>
          <w:p w14:paraId="2495DB26" w14:textId="46CE8425" w:rsidR="4EC185AB" w:rsidRPr="00687DE8" w:rsidRDefault="00157E81">
            <w:pPr>
              <w:spacing w:after="0"/>
              <w:jc w:val="center"/>
              <w:rPr>
                <w:color w:val="000000" w:themeColor="text1"/>
                <w:szCs w:val="24"/>
              </w:rPr>
            </w:pPr>
            <w:r>
              <w:rPr>
                <w:color w:val="000000"/>
              </w:rPr>
              <w:t>610,07</w:t>
            </w:r>
          </w:p>
        </w:tc>
      </w:tr>
      <w:tr w:rsidR="00ED3DA3" w:rsidRPr="00687DE8" w14:paraId="1878BB87"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686413D1" w14:textId="77777777" w:rsidR="00ED3DA3" w:rsidRPr="00687DE8" w:rsidRDefault="00ED3DA3" w:rsidP="00ED3DA3">
            <w:pPr>
              <w:spacing w:after="0" w:line="240" w:lineRule="auto"/>
              <w:rPr>
                <w:szCs w:val="24"/>
              </w:rPr>
            </w:pPr>
            <w:r w:rsidRPr="00687DE8">
              <w:rPr>
                <w:szCs w:val="24"/>
              </w:rPr>
              <w:t>Näo-, lõualuu- ja kaelapiirkonna süvamädakolde avamine</w:t>
            </w:r>
          </w:p>
        </w:tc>
        <w:tc>
          <w:tcPr>
            <w:tcW w:w="1107" w:type="dxa"/>
            <w:tcBorders>
              <w:top w:val="single" w:sz="4" w:space="0" w:color="auto"/>
              <w:left w:val="nil"/>
              <w:bottom w:val="single" w:sz="4" w:space="0" w:color="auto"/>
              <w:right w:val="single" w:sz="4" w:space="0" w:color="auto"/>
            </w:tcBorders>
            <w:vAlign w:val="center"/>
            <w:hideMark/>
          </w:tcPr>
          <w:p w14:paraId="6259298B" w14:textId="77777777" w:rsidR="00ED3DA3" w:rsidRPr="00687DE8" w:rsidRDefault="00ED3DA3" w:rsidP="00ED3DA3">
            <w:pPr>
              <w:spacing w:after="0" w:line="240" w:lineRule="auto"/>
              <w:jc w:val="center"/>
              <w:rPr>
                <w:szCs w:val="24"/>
              </w:rPr>
            </w:pPr>
            <w:r w:rsidRPr="00687DE8">
              <w:rPr>
                <w:szCs w:val="24"/>
              </w:rPr>
              <w:t>1E2124</w:t>
            </w:r>
          </w:p>
        </w:tc>
        <w:tc>
          <w:tcPr>
            <w:tcW w:w="1811" w:type="dxa"/>
            <w:tcBorders>
              <w:top w:val="nil"/>
              <w:left w:val="single" w:sz="4" w:space="0" w:color="auto"/>
              <w:bottom w:val="single" w:sz="4" w:space="0" w:color="auto"/>
              <w:right w:val="single" w:sz="4" w:space="0" w:color="auto"/>
            </w:tcBorders>
            <w:noWrap/>
            <w:vAlign w:val="center"/>
            <w:hideMark/>
          </w:tcPr>
          <w:p w14:paraId="242C5CC4" w14:textId="7BB063FE" w:rsidR="4EC185AB" w:rsidRPr="00687DE8" w:rsidRDefault="00157E81">
            <w:pPr>
              <w:spacing w:after="0"/>
              <w:jc w:val="center"/>
              <w:rPr>
                <w:color w:val="000000" w:themeColor="text1"/>
                <w:szCs w:val="24"/>
              </w:rPr>
            </w:pPr>
            <w:r>
              <w:rPr>
                <w:color w:val="000000"/>
              </w:rPr>
              <w:t>536,76</w:t>
            </w:r>
          </w:p>
        </w:tc>
      </w:tr>
      <w:tr w:rsidR="00ED3DA3" w:rsidRPr="00687DE8" w14:paraId="3E3D4C57"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6ABEF711" w14:textId="77777777" w:rsidR="00ED3DA3" w:rsidRPr="00687DE8" w:rsidRDefault="00ED3DA3" w:rsidP="00ED3DA3">
            <w:pPr>
              <w:spacing w:after="0" w:line="240" w:lineRule="auto"/>
              <w:rPr>
                <w:szCs w:val="24"/>
              </w:rPr>
            </w:pPr>
            <w:r w:rsidRPr="00687DE8">
              <w:rPr>
                <w:szCs w:val="24"/>
              </w:rPr>
              <w:t xml:space="preserve">Huule resektsioon </w:t>
            </w:r>
          </w:p>
        </w:tc>
        <w:tc>
          <w:tcPr>
            <w:tcW w:w="1107" w:type="dxa"/>
            <w:tcBorders>
              <w:top w:val="single" w:sz="4" w:space="0" w:color="auto"/>
              <w:left w:val="nil"/>
              <w:bottom w:val="single" w:sz="4" w:space="0" w:color="auto"/>
              <w:right w:val="single" w:sz="4" w:space="0" w:color="auto"/>
            </w:tcBorders>
            <w:vAlign w:val="center"/>
            <w:hideMark/>
          </w:tcPr>
          <w:p w14:paraId="3B193CE4" w14:textId="77777777" w:rsidR="00ED3DA3" w:rsidRPr="00687DE8" w:rsidRDefault="00ED3DA3" w:rsidP="00ED3DA3">
            <w:pPr>
              <w:spacing w:after="0" w:line="240" w:lineRule="auto"/>
              <w:jc w:val="center"/>
              <w:rPr>
                <w:szCs w:val="24"/>
              </w:rPr>
            </w:pPr>
            <w:r w:rsidRPr="00687DE8">
              <w:rPr>
                <w:szCs w:val="24"/>
              </w:rPr>
              <w:t>1E2125</w:t>
            </w:r>
          </w:p>
        </w:tc>
        <w:tc>
          <w:tcPr>
            <w:tcW w:w="1811" w:type="dxa"/>
            <w:tcBorders>
              <w:top w:val="nil"/>
              <w:left w:val="single" w:sz="4" w:space="0" w:color="auto"/>
              <w:bottom w:val="single" w:sz="4" w:space="0" w:color="auto"/>
              <w:right w:val="single" w:sz="4" w:space="0" w:color="auto"/>
            </w:tcBorders>
            <w:noWrap/>
            <w:vAlign w:val="center"/>
            <w:hideMark/>
          </w:tcPr>
          <w:p w14:paraId="5D52348D" w14:textId="38F8FE56" w:rsidR="4EC185AB" w:rsidRPr="00687DE8" w:rsidRDefault="00157E81">
            <w:pPr>
              <w:spacing w:after="0"/>
              <w:jc w:val="center"/>
              <w:rPr>
                <w:color w:val="000000" w:themeColor="text1"/>
                <w:szCs w:val="24"/>
              </w:rPr>
            </w:pPr>
            <w:r>
              <w:rPr>
                <w:color w:val="000000"/>
              </w:rPr>
              <w:t>514,12</w:t>
            </w:r>
          </w:p>
        </w:tc>
      </w:tr>
      <w:tr w:rsidR="00ED3DA3" w:rsidRPr="00687DE8" w14:paraId="0D55BB19"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50A68C1B" w14:textId="77777777" w:rsidR="00ED3DA3" w:rsidRPr="00687DE8" w:rsidRDefault="00ED3DA3" w:rsidP="00ED3DA3">
            <w:pPr>
              <w:spacing w:after="0" w:line="240" w:lineRule="auto"/>
              <w:rPr>
                <w:szCs w:val="24"/>
              </w:rPr>
            </w:pPr>
            <w:r w:rsidRPr="00687DE8">
              <w:rPr>
                <w:szCs w:val="24"/>
              </w:rPr>
              <w:t>Suulae lesiooni ekstsisioon</w:t>
            </w:r>
          </w:p>
        </w:tc>
        <w:tc>
          <w:tcPr>
            <w:tcW w:w="1107" w:type="dxa"/>
            <w:tcBorders>
              <w:top w:val="single" w:sz="4" w:space="0" w:color="auto"/>
              <w:left w:val="nil"/>
              <w:bottom w:val="single" w:sz="4" w:space="0" w:color="auto"/>
              <w:right w:val="single" w:sz="4" w:space="0" w:color="auto"/>
            </w:tcBorders>
            <w:vAlign w:val="center"/>
            <w:hideMark/>
          </w:tcPr>
          <w:p w14:paraId="2059D43B" w14:textId="77777777" w:rsidR="00ED3DA3" w:rsidRPr="00687DE8" w:rsidRDefault="00ED3DA3" w:rsidP="00ED3DA3">
            <w:pPr>
              <w:spacing w:after="0" w:line="240" w:lineRule="auto"/>
              <w:jc w:val="center"/>
              <w:rPr>
                <w:szCs w:val="24"/>
              </w:rPr>
            </w:pPr>
            <w:r w:rsidRPr="00687DE8">
              <w:rPr>
                <w:szCs w:val="24"/>
              </w:rPr>
              <w:t>1E2126</w:t>
            </w:r>
          </w:p>
        </w:tc>
        <w:tc>
          <w:tcPr>
            <w:tcW w:w="1811" w:type="dxa"/>
            <w:tcBorders>
              <w:top w:val="nil"/>
              <w:left w:val="single" w:sz="4" w:space="0" w:color="auto"/>
              <w:bottom w:val="single" w:sz="4" w:space="0" w:color="auto"/>
              <w:right w:val="single" w:sz="4" w:space="0" w:color="auto"/>
            </w:tcBorders>
            <w:noWrap/>
            <w:vAlign w:val="center"/>
            <w:hideMark/>
          </w:tcPr>
          <w:p w14:paraId="62EEB53A" w14:textId="4341F4D8" w:rsidR="4EC185AB" w:rsidRPr="00687DE8" w:rsidRDefault="00157E81">
            <w:pPr>
              <w:spacing w:after="0"/>
              <w:jc w:val="center"/>
              <w:rPr>
                <w:color w:val="000000" w:themeColor="text1"/>
                <w:szCs w:val="24"/>
              </w:rPr>
            </w:pPr>
            <w:r>
              <w:rPr>
                <w:color w:val="000000"/>
              </w:rPr>
              <w:t>714,51</w:t>
            </w:r>
          </w:p>
        </w:tc>
      </w:tr>
      <w:tr w:rsidR="00ED3DA3" w:rsidRPr="00687DE8" w14:paraId="6145F7C3"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2CF76621" w14:textId="77777777" w:rsidR="00ED3DA3" w:rsidRPr="00687DE8" w:rsidRDefault="00ED3DA3" w:rsidP="00ED3DA3">
            <w:pPr>
              <w:spacing w:after="0" w:line="240" w:lineRule="auto"/>
              <w:rPr>
                <w:szCs w:val="24"/>
              </w:rPr>
            </w:pPr>
            <w:r w:rsidRPr="00687DE8">
              <w:rPr>
                <w:szCs w:val="24"/>
              </w:rPr>
              <w:t>Oronasaalse või oroantraalse fistuli plastiline korrektsioon</w:t>
            </w:r>
          </w:p>
        </w:tc>
        <w:tc>
          <w:tcPr>
            <w:tcW w:w="1107" w:type="dxa"/>
            <w:tcBorders>
              <w:top w:val="single" w:sz="4" w:space="0" w:color="auto"/>
              <w:left w:val="nil"/>
              <w:bottom w:val="single" w:sz="4" w:space="0" w:color="auto"/>
              <w:right w:val="single" w:sz="4" w:space="0" w:color="auto"/>
            </w:tcBorders>
            <w:vAlign w:val="center"/>
            <w:hideMark/>
          </w:tcPr>
          <w:p w14:paraId="2A15D4BC" w14:textId="77777777" w:rsidR="00ED3DA3" w:rsidRPr="00687DE8" w:rsidRDefault="00ED3DA3" w:rsidP="00ED3DA3">
            <w:pPr>
              <w:spacing w:after="0" w:line="240" w:lineRule="auto"/>
              <w:jc w:val="center"/>
              <w:rPr>
                <w:szCs w:val="24"/>
              </w:rPr>
            </w:pPr>
            <w:r w:rsidRPr="00687DE8">
              <w:rPr>
                <w:szCs w:val="24"/>
              </w:rPr>
              <w:t>1E2127</w:t>
            </w:r>
          </w:p>
        </w:tc>
        <w:tc>
          <w:tcPr>
            <w:tcW w:w="1811" w:type="dxa"/>
            <w:tcBorders>
              <w:top w:val="nil"/>
              <w:left w:val="single" w:sz="4" w:space="0" w:color="auto"/>
              <w:bottom w:val="single" w:sz="4" w:space="0" w:color="auto"/>
              <w:right w:val="single" w:sz="4" w:space="0" w:color="auto"/>
            </w:tcBorders>
            <w:noWrap/>
            <w:vAlign w:val="center"/>
            <w:hideMark/>
          </w:tcPr>
          <w:p w14:paraId="1858E85F" w14:textId="545AE6DF" w:rsidR="4EC185AB" w:rsidRPr="00687DE8" w:rsidRDefault="00157E81">
            <w:pPr>
              <w:spacing w:after="0"/>
              <w:jc w:val="center"/>
              <w:rPr>
                <w:color w:val="000000" w:themeColor="text1"/>
                <w:szCs w:val="24"/>
              </w:rPr>
            </w:pPr>
            <w:r>
              <w:rPr>
                <w:color w:val="000000"/>
              </w:rPr>
              <w:t>601,26</w:t>
            </w:r>
          </w:p>
        </w:tc>
      </w:tr>
      <w:tr w:rsidR="00ED3DA3" w:rsidRPr="00687DE8" w14:paraId="72928371"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543ECEF4" w14:textId="77777777" w:rsidR="00ED3DA3" w:rsidRPr="00687DE8" w:rsidRDefault="00ED3DA3" w:rsidP="00ED3DA3">
            <w:pPr>
              <w:spacing w:after="0" w:line="240" w:lineRule="auto"/>
              <w:rPr>
                <w:szCs w:val="24"/>
              </w:rPr>
            </w:pPr>
            <w:r w:rsidRPr="00687DE8">
              <w:rPr>
                <w:szCs w:val="24"/>
              </w:rPr>
              <w:t>Lõualuu osteotoomia</w:t>
            </w:r>
          </w:p>
        </w:tc>
        <w:tc>
          <w:tcPr>
            <w:tcW w:w="1107" w:type="dxa"/>
            <w:tcBorders>
              <w:top w:val="single" w:sz="4" w:space="0" w:color="auto"/>
              <w:left w:val="nil"/>
              <w:bottom w:val="single" w:sz="4" w:space="0" w:color="auto"/>
              <w:right w:val="single" w:sz="4" w:space="0" w:color="auto"/>
            </w:tcBorders>
            <w:vAlign w:val="center"/>
            <w:hideMark/>
          </w:tcPr>
          <w:p w14:paraId="08963BB0" w14:textId="77777777" w:rsidR="00ED3DA3" w:rsidRPr="00687DE8" w:rsidRDefault="00ED3DA3" w:rsidP="00ED3DA3">
            <w:pPr>
              <w:spacing w:after="0" w:line="240" w:lineRule="auto"/>
              <w:jc w:val="center"/>
              <w:rPr>
                <w:szCs w:val="24"/>
              </w:rPr>
            </w:pPr>
            <w:r w:rsidRPr="00687DE8">
              <w:rPr>
                <w:szCs w:val="24"/>
              </w:rPr>
              <w:t>1E2128</w:t>
            </w:r>
          </w:p>
        </w:tc>
        <w:tc>
          <w:tcPr>
            <w:tcW w:w="1811" w:type="dxa"/>
            <w:tcBorders>
              <w:top w:val="nil"/>
              <w:left w:val="single" w:sz="4" w:space="0" w:color="auto"/>
              <w:bottom w:val="single" w:sz="4" w:space="0" w:color="auto"/>
              <w:right w:val="single" w:sz="4" w:space="0" w:color="auto"/>
            </w:tcBorders>
            <w:noWrap/>
            <w:vAlign w:val="center"/>
            <w:hideMark/>
          </w:tcPr>
          <w:p w14:paraId="28A01109" w14:textId="3E57E223" w:rsidR="4EC185AB" w:rsidRPr="00687DE8" w:rsidRDefault="00157E81">
            <w:pPr>
              <w:spacing w:after="0"/>
              <w:jc w:val="center"/>
              <w:rPr>
                <w:color w:val="000000" w:themeColor="text1"/>
                <w:szCs w:val="24"/>
              </w:rPr>
            </w:pPr>
            <w:r>
              <w:rPr>
                <w:color w:val="000000"/>
              </w:rPr>
              <w:t>520,05</w:t>
            </w:r>
          </w:p>
        </w:tc>
      </w:tr>
      <w:tr w:rsidR="00ED3DA3" w:rsidRPr="00687DE8" w14:paraId="559D1A3E"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79C98906" w14:textId="77777777" w:rsidR="00ED3DA3" w:rsidRPr="00687DE8" w:rsidRDefault="00ED3DA3" w:rsidP="00ED3DA3">
            <w:pPr>
              <w:spacing w:after="0" w:line="240" w:lineRule="auto"/>
              <w:rPr>
                <w:szCs w:val="24"/>
              </w:rPr>
            </w:pPr>
            <w:r w:rsidRPr="00687DE8">
              <w:rPr>
                <w:szCs w:val="24"/>
              </w:rPr>
              <w:t xml:space="preserve">Keele osaline resektsioon </w:t>
            </w:r>
          </w:p>
        </w:tc>
        <w:tc>
          <w:tcPr>
            <w:tcW w:w="1107" w:type="dxa"/>
            <w:tcBorders>
              <w:top w:val="single" w:sz="4" w:space="0" w:color="auto"/>
              <w:left w:val="nil"/>
              <w:bottom w:val="single" w:sz="4" w:space="0" w:color="auto"/>
              <w:right w:val="single" w:sz="4" w:space="0" w:color="auto"/>
            </w:tcBorders>
            <w:vAlign w:val="center"/>
            <w:hideMark/>
          </w:tcPr>
          <w:p w14:paraId="439A9880" w14:textId="77777777" w:rsidR="00ED3DA3" w:rsidRPr="00687DE8" w:rsidRDefault="00ED3DA3" w:rsidP="00ED3DA3">
            <w:pPr>
              <w:spacing w:after="0" w:line="240" w:lineRule="auto"/>
              <w:jc w:val="center"/>
              <w:rPr>
                <w:szCs w:val="24"/>
              </w:rPr>
            </w:pPr>
            <w:r w:rsidRPr="00687DE8">
              <w:rPr>
                <w:szCs w:val="24"/>
              </w:rPr>
              <w:t>1E2130</w:t>
            </w:r>
          </w:p>
        </w:tc>
        <w:tc>
          <w:tcPr>
            <w:tcW w:w="1811" w:type="dxa"/>
            <w:tcBorders>
              <w:top w:val="nil"/>
              <w:left w:val="single" w:sz="4" w:space="0" w:color="auto"/>
              <w:bottom w:val="single" w:sz="4" w:space="0" w:color="auto"/>
              <w:right w:val="single" w:sz="4" w:space="0" w:color="auto"/>
            </w:tcBorders>
            <w:noWrap/>
            <w:vAlign w:val="center"/>
            <w:hideMark/>
          </w:tcPr>
          <w:p w14:paraId="0DBB9CB9" w14:textId="4C8B2C7C" w:rsidR="4EC185AB" w:rsidRPr="00687DE8" w:rsidRDefault="00157E81">
            <w:pPr>
              <w:spacing w:after="0"/>
              <w:jc w:val="center"/>
              <w:rPr>
                <w:color w:val="000000" w:themeColor="text1"/>
                <w:szCs w:val="24"/>
              </w:rPr>
            </w:pPr>
            <w:r>
              <w:rPr>
                <w:color w:val="000000"/>
              </w:rPr>
              <w:t>338,79</w:t>
            </w:r>
          </w:p>
        </w:tc>
      </w:tr>
      <w:tr w:rsidR="00ED3DA3" w:rsidRPr="00687DE8" w14:paraId="331080CD"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07049B50" w14:textId="77777777" w:rsidR="00ED3DA3" w:rsidRPr="00687DE8" w:rsidRDefault="00ED3DA3" w:rsidP="00ED3DA3">
            <w:pPr>
              <w:spacing w:after="0" w:line="240" w:lineRule="auto"/>
              <w:rPr>
                <w:szCs w:val="24"/>
              </w:rPr>
            </w:pPr>
            <w:r w:rsidRPr="00687DE8">
              <w:rPr>
                <w:szCs w:val="24"/>
              </w:rPr>
              <w:t>Lõualuu osteoplastika luulise transplantaadiga</w:t>
            </w:r>
          </w:p>
        </w:tc>
        <w:tc>
          <w:tcPr>
            <w:tcW w:w="1107" w:type="dxa"/>
            <w:tcBorders>
              <w:top w:val="single" w:sz="4" w:space="0" w:color="auto"/>
              <w:left w:val="nil"/>
              <w:bottom w:val="single" w:sz="4" w:space="0" w:color="auto"/>
              <w:right w:val="single" w:sz="4" w:space="0" w:color="auto"/>
            </w:tcBorders>
            <w:vAlign w:val="center"/>
            <w:hideMark/>
          </w:tcPr>
          <w:p w14:paraId="56C6F6EC" w14:textId="77777777" w:rsidR="00ED3DA3" w:rsidRPr="00687DE8" w:rsidRDefault="00ED3DA3" w:rsidP="00ED3DA3">
            <w:pPr>
              <w:spacing w:after="0" w:line="240" w:lineRule="auto"/>
              <w:jc w:val="center"/>
              <w:rPr>
                <w:szCs w:val="24"/>
              </w:rPr>
            </w:pPr>
            <w:r w:rsidRPr="00687DE8">
              <w:rPr>
                <w:szCs w:val="24"/>
              </w:rPr>
              <w:t>1E2131</w:t>
            </w:r>
          </w:p>
        </w:tc>
        <w:tc>
          <w:tcPr>
            <w:tcW w:w="1811" w:type="dxa"/>
            <w:tcBorders>
              <w:top w:val="nil"/>
              <w:left w:val="single" w:sz="4" w:space="0" w:color="auto"/>
              <w:bottom w:val="single" w:sz="4" w:space="0" w:color="auto"/>
              <w:right w:val="single" w:sz="4" w:space="0" w:color="auto"/>
            </w:tcBorders>
            <w:noWrap/>
            <w:vAlign w:val="center"/>
            <w:hideMark/>
          </w:tcPr>
          <w:p w14:paraId="364D4487" w14:textId="12366DBC" w:rsidR="4EC185AB" w:rsidRPr="00687DE8" w:rsidRDefault="00157E81">
            <w:pPr>
              <w:spacing w:after="0"/>
              <w:jc w:val="center"/>
              <w:rPr>
                <w:color w:val="000000" w:themeColor="text1"/>
                <w:szCs w:val="24"/>
              </w:rPr>
            </w:pPr>
            <w:r>
              <w:rPr>
                <w:color w:val="000000"/>
              </w:rPr>
              <w:t>1 088,01</w:t>
            </w:r>
          </w:p>
        </w:tc>
      </w:tr>
      <w:tr w:rsidR="00ED3DA3" w:rsidRPr="00687DE8" w14:paraId="4541CAF6"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1B2A01FB" w14:textId="77777777" w:rsidR="00ED3DA3" w:rsidRPr="00687DE8" w:rsidRDefault="00ED3DA3" w:rsidP="00ED3DA3">
            <w:pPr>
              <w:spacing w:after="0" w:line="240" w:lineRule="auto"/>
              <w:rPr>
                <w:szCs w:val="24"/>
              </w:rPr>
            </w:pPr>
            <w:r w:rsidRPr="00687DE8">
              <w:rPr>
                <w:szCs w:val="24"/>
              </w:rPr>
              <w:t>Suulaeplastika järgse defekti sulgemine</w:t>
            </w:r>
          </w:p>
        </w:tc>
        <w:tc>
          <w:tcPr>
            <w:tcW w:w="1107" w:type="dxa"/>
            <w:tcBorders>
              <w:top w:val="single" w:sz="4" w:space="0" w:color="auto"/>
              <w:left w:val="nil"/>
              <w:bottom w:val="single" w:sz="4" w:space="0" w:color="auto"/>
              <w:right w:val="single" w:sz="4" w:space="0" w:color="auto"/>
            </w:tcBorders>
            <w:vAlign w:val="center"/>
            <w:hideMark/>
          </w:tcPr>
          <w:p w14:paraId="359AB4EE" w14:textId="77777777" w:rsidR="00ED3DA3" w:rsidRPr="00687DE8" w:rsidRDefault="00ED3DA3" w:rsidP="00ED3DA3">
            <w:pPr>
              <w:spacing w:after="0" w:line="240" w:lineRule="auto"/>
              <w:jc w:val="center"/>
              <w:rPr>
                <w:szCs w:val="24"/>
              </w:rPr>
            </w:pPr>
            <w:r w:rsidRPr="00687DE8">
              <w:rPr>
                <w:szCs w:val="24"/>
              </w:rPr>
              <w:t>1E2132</w:t>
            </w:r>
          </w:p>
        </w:tc>
        <w:tc>
          <w:tcPr>
            <w:tcW w:w="1811" w:type="dxa"/>
            <w:tcBorders>
              <w:top w:val="nil"/>
              <w:left w:val="single" w:sz="4" w:space="0" w:color="auto"/>
              <w:bottom w:val="single" w:sz="4" w:space="0" w:color="auto"/>
              <w:right w:val="single" w:sz="4" w:space="0" w:color="auto"/>
            </w:tcBorders>
            <w:noWrap/>
            <w:vAlign w:val="center"/>
            <w:hideMark/>
          </w:tcPr>
          <w:p w14:paraId="3596C716" w14:textId="4D1C9339" w:rsidR="4EC185AB" w:rsidRPr="00687DE8" w:rsidRDefault="00157E81">
            <w:pPr>
              <w:spacing w:after="0"/>
              <w:jc w:val="center"/>
              <w:rPr>
                <w:color w:val="000000" w:themeColor="text1"/>
                <w:szCs w:val="24"/>
              </w:rPr>
            </w:pPr>
            <w:r>
              <w:rPr>
                <w:color w:val="000000"/>
              </w:rPr>
              <w:t>717,15</w:t>
            </w:r>
          </w:p>
        </w:tc>
      </w:tr>
      <w:tr w:rsidR="00ED3DA3" w:rsidRPr="00687DE8" w14:paraId="1CB11CBC"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08140B93" w14:textId="77777777" w:rsidR="00ED3DA3" w:rsidRPr="00687DE8" w:rsidRDefault="00ED3DA3" w:rsidP="00ED3DA3">
            <w:pPr>
              <w:spacing w:after="0" w:line="240" w:lineRule="auto"/>
              <w:rPr>
                <w:szCs w:val="24"/>
              </w:rPr>
            </w:pPr>
            <w:r w:rsidRPr="00687DE8">
              <w:rPr>
                <w:szCs w:val="24"/>
              </w:rPr>
              <w:t>Makro- ja mikrostoomia plastiline korrektsioon</w:t>
            </w:r>
          </w:p>
        </w:tc>
        <w:tc>
          <w:tcPr>
            <w:tcW w:w="1107" w:type="dxa"/>
            <w:tcBorders>
              <w:top w:val="single" w:sz="4" w:space="0" w:color="auto"/>
              <w:left w:val="nil"/>
              <w:bottom w:val="single" w:sz="4" w:space="0" w:color="auto"/>
              <w:right w:val="single" w:sz="4" w:space="0" w:color="auto"/>
            </w:tcBorders>
            <w:vAlign w:val="center"/>
            <w:hideMark/>
          </w:tcPr>
          <w:p w14:paraId="040CAF78" w14:textId="77777777" w:rsidR="00ED3DA3" w:rsidRPr="00687DE8" w:rsidRDefault="00ED3DA3" w:rsidP="00ED3DA3">
            <w:pPr>
              <w:spacing w:after="0" w:line="240" w:lineRule="auto"/>
              <w:jc w:val="center"/>
              <w:rPr>
                <w:szCs w:val="24"/>
              </w:rPr>
            </w:pPr>
            <w:r w:rsidRPr="00687DE8">
              <w:rPr>
                <w:szCs w:val="24"/>
              </w:rPr>
              <w:t>1E2133</w:t>
            </w:r>
          </w:p>
        </w:tc>
        <w:tc>
          <w:tcPr>
            <w:tcW w:w="1811" w:type="dxa"/>
            <w:tcBorders>
              <w:top w:val="nil"/>
              <w:left w:val="single" w:sz="4" w:space="0" w:color="auto"/>
              <w:bottom w:val="single" w:sz="4" w:space="0" w:color="auto"/>
              <w:right w:val="single" w:sz="4" w:space="0" w:color="auto"/>
            </w:tcBorders>
            <w:noWrap/>
            <w:vAlign w:val="center"/>
            <w:hideMark/>
          </w:tcPr>
          <w:p w14:paraId="41F46D7C" w14:textId="5C48C7F3" w:rsidR="4EC185AB" w:rsidRPr="00687DE8" w:rsidRDefault="00157E81">
            <w:pPr>
              <w:spacing w:after="0"/>
              <w:jc w:val="center"/>
              <w:rPr>
                <w:color w:val="000000" w:themeColor="text1"/>
                <w:szCs w:val="24"/>
              </w:rPr>
            </w:pPr>
            <w:r>
              <w:rPr>
                <w:color w:val="000000"/>
              </w:rPr>
              <w:t>668,98</w:t>
            </w:r>
          </w:p>
        </w:tc>
      </w:tr>
      <w:tr w:rsidR="00ED3DA3" w:rsidRPr="00687DE8" w14:paraId="78514A27"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51A818F6" w14:textId="77777777" w:rsidR="00ED3DA3" w:rsidRPr="00687DE8" w:rsidRDefault="00ED3DA3" w:rsidP="00ED3DA3">
            <w:pPr>
              <w:spacing w:after="0" w:line="240" w:lineRule="auto"/>
              <w:rPr>
                <w:szCs w:val="24"/>
              </w:rPr>
            </w:pPr>
            <w:r w:rsidRPr="00687DE8">
              <w:rPr>
                <w:szCs w:val="24"/>
              </w:rPr>
              <w:t>Submandibulaarse näärme ekstsisioon</w:t>
            </w:r>
          </w:p>
        </w:tc>
        <w:tc>
          <w:tcPr>
            <w:tcW w:w="1107" w:type="dxa"/>
            <w:tcBorders>
              <w:top w:val="single" w:sz="4" w:space="0" w:color="auto"/>
              <w:left w:val="nil"/>
              <w:bottom w:val="single" w:sz="4" w:space="0" w:color="auto"/>
              <w:right w:val="single" w:sz="4" w:space="0" w:color="auto"/>
            </w:tcBorders>
            <w:vAlign w:val="center"/>
            <w:hideMark/>
          </w:tcPr>
          <w:p w14:paraId="38D265D7" w14:textId="77777777" w:rsidR="00ED3DA3" w:rsidRPr="00687DE8" w:rsidRDefault="00ED3DA3" w:rsidP="00ED3DA3">
            <w:pPr>
              <w:spacing w:after="0" w:line="240" w:lineRule="auto"/>
              <w:jc w:val="center"/>
              <w:rPr>
                <w:szCs w:val="24"/>
              </w:rPr>
            </w:pPr>
            <w:r w:rsidRPr="00687DE8">
              <w:rPr>
                <w:szCs w:val="24"/>
              </w:rPr>
              <w:t>1E2134</w:t>
            </w:r>
          </w:p>
        </w:tc>
        <w:tc>
          <w:tcPr>
            <w:tcW w:w="1811" w:type="dxa"/>
            <w:tcBorders>
              <w:top w:val="nil"/>
              <w:left w:val="single" w:sz="4" w:space="0" w:color="auto"/>
              <w:bottom w:val="single" w:sz="4" w:space="0" w:color="auto"/>
              <w:right w:val="single" w:sz="4" w:space="0" w:color="auto"/>
            </w:tcBorders>
            <w:noWrap/>
            <w:vAlign w:val="center"/>
            <w:hideMark/>
          </w:tcPr>
          <w:p w14:paraId="0B11E240" w14:textId="6F2B91BC" w:rsidR="4EC185AB" w:rsidRPr="00687DE8" w:rsidRDefault="00157E81">
            <w:pPr>
              <w:spacing w:after="0"/>
              <w:jc w:val="center"/>
              <w:rPr>
                <w:color w:val="000000" w:themeColor="text1"/>
                <w:szCs w:val="24"/>
              </w:rPr>
            </w:pPr>
            <w:r>
              <w:rPr>
                <w:color w:val="000000"/>
              </w:rPr>
              <w:t>741,12</w:t>
            </w:r>
          </w:p>
        </w:tc>
      </w:tr>
      <w:tr w:rsidR="00ED3DA3" w:rsidRPr="00687DE8" w14:paraId="0A688B29"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6196A64A" w14:textId="77777777" w:rsidR="00ED3DA3" w:rsidRPr="00687DE8" w:rsidRDefault="00ED3DA3" w:rsidP="00ED3DA3">
            <w:pPr>
              <w:spacing w:after="0" w:line="240" w:lineRule="auto"/>
              <w:rPr>
                <w:szCs w:val="24"/>
              </w:rPr>
            </w:pPr>
            <w:r w:rsidRPr="00687DE8">
              <w:rPr>
                <w:szCs w:val="24"/>
              </w:rPr>
              <w:lastRenderedPageBreak/>
              <w:t>Lõualuumurru lahtine paigaldamine ja fiksatsioon</w:t>
            </w:r>
          </w:p>
        </w:tc>
        <w:tc>
          <w:tcPr>
            <w:tcW w:w="1107" w:type="dxa"/>
            <w:tcBorders>
              <w:top w:val="single" w:sz="4" w:space="0" w:color="auto"/>
              <w:left w:val="nil"/>
              <w:bottom w:val="single" w:sz="4" w:space="0" w:color="auto"/>
              <w:right w:val="single" w:sz="4" w:space="0" w:color="auto"/>
            </w:tcBorders>
            <w:vAlign w:val="center"/>
            <w:hideMark/>
          </w:tcPr>
          <w:p w14:paraId="6B7642EA" w14:textId="77777777" w:rsidR="00ED3DA3" w:rsidRPr="00687DE8" w:rsidRDefault="00ED3DA3" w:rsidP="00ED3DA3">
            <w:pPr>
              <w:spacing w:after="0" w:line="240" w:lineRule="auto"/>
              <w:jc w:val="center"/>
              <w:rPr>
                <w:szCs w:val="24"/>
              </w:rPr>
            </w:pPr>
            <w:r w:rsidRPr="00687DE8">
              <w:rPr>
                <w:szCs w:val="24"/>
              </w:rPr>
              <w:t>1E2135</w:t>
            </w:r>
          </w:p>
        </w:tc>
        <w:tc>
          <w:tcPr>
            <w:tcW w:w="1811" w:type="dxa"/>
            <w:tcBorders>
              <w:top w:val="nil"/>
              <w:left w:val="single" w:sz="4" w:space="0" w:color="auto"/>
              <w:bottom w:val="single" w:sz="4" w:space="0" w:color="auto"/>
              <w:right w:val="single" w:sz="4" w:space="0" w:color="auto"/>
            </w:tcBorders>
            <w:noWrap/>
            <w:vAlign w:val="center"/>
            <w:hideMark/>
          </w:tcPr>
          <w:p w14:paraId="22D3B1A8" w14:textId="7582DF0A" w:rsidR="4EC185AB" w:rsidRPr="00687DE8" w:rsidRDefault="00157E81">
            <w:pPr>
              <w:spacing w:after="0"/>
              <w:jc w:val="center"/>
              <w:rPr>
                <w:color w:val="000000" w:themeColor="text1"/>
                <w:szCs w:val="24"/>
              </w:rPr>
            </w:pPr>
            <w:r>
              <w:rPr>
                <w:color w:val="000000"/>
              </w:rPr>
              <w:t>639,08</w:t>
            </w:r>
          </w:p>
        </w:tc>
      </w:tr>
      <w:tr w:rsidR="00ED3DA3" w:rsidRPr="00687DE8" w14:paraId="393E2FB3"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67AF484F" w14:textId="77777777" w:rsidR="00ED3DA3" w:rsidRPr="00687DE8" w:rsidRDefault="00ED3DA3" w:rsidP="00ED3DA3">
            <w:pPr>
              <w:spacing w:after="0" w:line="240" w:lineRule="auto"/>
              <w:rPr>
                <w:szCs w:val="24"/>
              </w:rPr>
            </w:pPr>
            <w:r w:rsidRPr="00687DE8">
              <w:rPr>
                <w:szCs w:val="24"/>
              </w:rPr>
              <w:t>Kondülektoomia</w:t>
            </w:r>
          </w:p>
        </w:tc>
        <w:tc>
          <w:tcPr>
            <w:tcW w:w="1107" w:type="dxa"/>
            <w:tcBorders>
              <w:top w:val="single" w:sz="4" w:space="0" w:color="auto"/>
              <w:left w:val="nil"/>
              <w:bottom w:val="single" w:sz="4" w:space="0" w:color="auto"/>
              <w:right w:val="single" w:sz="4" w:space="0" w:color="auto"/>
            </w:tcBorders>
            <w:vAlign w:val="center"/>
            <w:hideMark/>
          </w:tcPr>
          <w:p w14:paraId="4A75E32E" w14:textId="77777777" w:rsidR="00ED3DA3" w:rsidRPr="00687DE8" w:rsidRDefault="00ED3DA3" w:rsidP="00ED3DA3">
            <w:pPr>
              <w:spacing w:after="0" w:line="240" w:lineRule="auto"/>
              <w:jc w:val="center"/>
              <w:rPr>
                <w:szCs w:val="24"/>
              </w:rPr>
            </w:pPr>
            <w:r w:rsidRPr="00687DE8">
              <w:rPr>
                <w:szCs w:val="24"/>
              </w:rPr>
              <w:t>1E2136</w:t>
            </w:r>
          </w:p>
        </w:tc>
        <w:tc>
          <w:tcPr>
            <w:tcW w:w="1811" w:type="dxa"/>
            <w:tcBorders>
              <w:top w:val="nil"/>
              <w:left w:val="single" w:sz="4" w:space="0" w:color="auto"/>
              <w:bottom w:val="single" w:sz="4" w:space="0" w:color="auto"/>
              <w:right w:val="single" w:sz="4" w:space="0" w:color="auto"/>
            </w:tcBorders>
            <w:noWrap/>
            <w:vAlign w:val="center"/>
            <w:hideMark/>
          </w:tcPr>
          <w:p w14:paraId="7582B72E" w14:textId="38B38BAD" w:rsidR="4EC185AB" w:rsidRPr="00687DE8" w:rsidRDefault="00157E81">
            <w:pPr>
              <w:spacing w:after="0"/>
              <w:jc w:val="center"/>
              <w:rPr>
                <w:color w:val="000000" w:themeColor="text1"/>
                <w:szCs w:val="24"/>
              </w:rPr>
            </w:pPr>
            <w:r>
              <w:rPr>
                <w:color w:val="000000"/>
              </w:rPr>
              <w:t>1 059,83</w:t>
            </w:r>
          </w:p>
        </w:tc>
      </w:tr>
      <w:tr w:rsidR="00ED3DA3" w:rsidRPr="00687DE8" w14:paraId="6E79E3A7"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21B8C317" w14:textId="77777777" w:rsidR="00ED3DA3" w:rsidRPr="00687DE8" w:rsidRDefault="00ED3DA3" w:rsidP="00ED3DA3">
            <w:pPr>
              <w:spacing w:after="0" w:line="240" w:lineRule="auto"/>
              <w:rPr>
                <w:szCs w:val="24"/>
              </w:rPr>
            </w:pPr>
            <w:r w:rsidRPr="00687DE8">
              <w:rPr>
                <w:szCs w:val="24"/>
              </w:rPr>
              <w:t>Huuleplastika järgne korrektsioon</w:t>
            </w:r>
          </w:p>
        </w:tc>
        <w:tc>
          <w:tcPr>
            <w:tcW w:w="1107" w:type="dxa"/>
            <w:tcBorders>
              <w:top w:val="single" w:sz="4" w:space="0" w:color="auto"/>
              <w:left w:val="nil"/>
              <w:bottom w:val="single" w:sz="4" w:space="0" w:color="auto"/>
              <w:right w:val="single" w:sz="4" w:space="0" w:color="auto"/>
            </w:tcBorders>
            <w:vAlign w:val="center"/>
            <w:hideMark/>
          </w:tcPr>
          <w:p w14:paraId="482113C2" w14:textId="77777777" w:rsidR="00ED3DA3" w:rsidRPr="00687DE8" w:rsidRDefault="00ED3DA3" w:rsidP="00ED3DA3">
            <w:pPr>
              <w:spacing w:after="0" w:line="240" w:lineRule="auto"/>
              <w:jc w:val="center"/>
              <w:rPr>
                <w:szCs w:val="24"/>
              </w:rPr>
            </w:pPr>
            <w:r w:rsidRPr="00687DE8">
              <w:rPr>
                <w:szCs w:val="24"/>
              </w:rPr>
              <w:t>1E2137</w:t>
            </w:r>
          </w:p>
        </w:tc>
        <w:tc>
          <w:tcPr>
            <w:tcW w:w="1811" w:type="dxa"/>
            <w:tcBorders>
              <w:top w:val="nil"/>
              <w:left w:val="single" w:sz="4" w:space="0" w:color="auto"/>
              <w:bottom w:val="single" w:sz="4" w:space="0" w:color="auto"/>
              <w:right w:val="single" w:sz="4" w:space="0" w:color="auto"/>
            </w:tcBorders>
            <w:noWrap/>
            <w:vAlign w:val="center"/>
            <w:hideMark/>
          </w:tcPr>
          <w:p w14:paraId="0E6F5286" w14:textId="5B024E3A" w:rsidR="4EC185AB" w:rsidRPr="00687DE8" w:rsidRDefault="00157E81">
            <w:pPr>
              <w:spacing w:after="0"/>
              <w:jc w:val="center"/>
              <w:rPr>
                <w:color w:val="000000" w:themeColor="text1"/>
                <w:szCs w:val="24"/>
              </w:rPr>
            </w:pPr>
            <w:r>
              <w:rPr>
                <w:color w:val="000000"/>
              </w:rPr>
              <w:t>528,51</w:t>
            </w:r>
          </w:p>
        </w:tc>
      </w:tr>
      <w:tr w:rsidR="00ED3DA3" w:rsidRPr="00687DE8" w14:paraId="167C4C18"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551F71CE" w14:textId="77777777" w:rsidR="00ED3DA3" w:rsidRPr="00687DE8" w:rsidRDefault="00ED3DA3" w:rsidP="00ED3DA3">
            <w:pPr>
              <w:spacing w:after="0" w:line="240" w:lineRule="auto"/>
              <w:rPr>
                <w:szCs w:val="24"/>
              </w:rPr>
            </w:pPr>
            <w:r w:rsidRPr="00687DE8">
              <w:rPr>
                <w:szCs w:val="24"/>
              </w:rPr>
              <w:t>Nina deformatsiooni plastiline korrektsioon</w:t>
            </w:r>
          </w:p>
        </w:tc>
        <w:tc>
          <w:tcPr>
            <w:tcW w:w="1107" w:type="dxa"/>
            <w:tcBorders>
              <w:top w:val="single" w:sz="4" w:space="0" w:color="auto"/>
              <w:left w:val="nil"/>
              <w:bottom w:val="single" w:sz="4" w:space="0" w:color="auto"/>
              <w:right w:val="single" w:sz="4" w:space="0" w:color="auto"/>
            </w:tcBorders>
            <w:vAlign w:val="center"/>
            <w:hideMark/>
          </w:tcPr>
          <w:p w14:paraId="325DDAA8" w14:textId="77777777" w:rsidR="00ED3DA3" w:rsidRPr="00687DE8" w:rsidRDefault="00ED3DA3" w:rsidP="00ED3DA3">
            <w:pPr>
              <w:spacing w:after="0" w:line="240" w:lineRule="auto"/>
              <w:jc w:val="center"/>
              <w:rPr>
                <w:szCs w:val="24"/>
              </w:rPr>
            </w:pPr>
            <w:r w:rsidRPr="00687DE8">
              <w:rPr>
                <w:szCs w:val="24"/>
              </w:rPr>
              <w:t>1E2138</w:t>
            </w:r>
          </w:p>
        </w:tc>
        <w:tc>
          <w:tcPr>
            <w:tcW w:w="1811" w:type="dxa"/>
            <w:tcBorders>
              <w:top w:val="nil"/>
              <w:left w:val="single" w:sz="4" w:space="0" w:color="auto"/>
              <w:bottom w:val="single" w:sz="4" w:space="0" w:color="auto"/>
              <w:right w:val="single" w:sz="4" w:space="0" w:color="auto"/>
            </w:tcBorders>
            <w:noWrap/>
            <w:vAlign w:val="center"/>
            <w:hideMark/>
          </w:tcPr>
          <w:p w14:paraId="203B94BD" w14:textId="027FF3DF" w:rsidR="4EC185AB" w:rsidRPr="00687DE8" w:rsidRDefault="00157E81">
            <w:pPr>
              <w:spacing w:after="0"/>
              <w:jc w:val="center"/>
              <w:rPr>
                <w:color w:val="000000" w:themeColor="text1"/>
                <w:szCs w:val="24"/>
              </w:rPr>
            </w:pPr>
            <w:r>
              <w:rPr>
                <w:color w:val="000000"/>
              </w:rPr>
              <w:t>864,53</w:t>
            </w:r>
          </w:p>
        </w:tc>
      </w:tr>
      <w:tr w:rsidR="00ED3DA3" w:rsidRPr="00687DE8" w14:paraId="752B1189"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397FF8C1" w14:textId="77777777" w:rsidR="00ED3DA3" w:rsidRPr="00687DE8" w:rsidRDefault="00ED3DA3" w:rsidP="00ED3DA3">
            <w:pPr>
              <w:spacing w:after="0" w:line="240" w:lineRule="auto"/>
              <w:rPr>
                <w:szCs w:val="24"/>
              </w:rPr>
            </w:pPr>
            <w:r w:rsidRPr="00687DE8">
              <w:rPr>
                <w:szCs w:val="24"/>
              </w:rPr>
              <w:t>Osaline parotidektoomia</w:t>
            </w:r>
          </w:p>
        </w:tc>
        <w:tc>
          <w:tcPr>
            <w:tcW w:w="1107" w:type="dxa"/>
            <w:tcBorders>
              <w:top w:val="single" w:sz="4" w:space="0" w:color="auto"/>
              <w:left w:val="nil"/>
              <w:bottom w:val="single" w:sz="4" w:space="0" w:color="auto"/>
              <w:right w:val="single" w:sz="4" w:space="0" w:color="auto"/>
            </w:tcBorders>
            <w:vAlign w:val="center"/>
            <w:hideMark/>
          </w:tcPr>
          <w:p w14:paraId="7D76DB40" w14:textId="77777777" w:rsidR="00ED3DA3" w:rsidRPr="00687DE8" w:rsidRDefault="00ED3DA3" w:rsidP="00ED3DA3">
            <w:pPr>
              <w:spacing w:after="0" w:line="240" w:lineRule="auto"/>
              <w:jc w:val="center"/>
              <w:rPr>
                <w:szCs w:val="24"/>
              </w:rPr>
            </w:pPr>
            <w:r w:rsidRPr="00687DE8">
              <w:rPr>
                <w:szCs w:val="24"/>
              </w:rPr>
              <w:t>1E2139</w:t>
            </w:r>
          </w:p>
        </w:tc>
        <w:tc>
          <w:tcPr>
            <w:tcW w:w="1811" w:type="dxa"/>
            <w:tcBorders>
              <w:top w:val="nil"/>
              <w:left w:val="single" w:sz="4" w:space="0" w:color="auto"/>
              <w:bottom w:val="single" w:sz="4" w:space="0" w:color="auto"/>
              <w:right w:val="single" w:sz="4" w:space="0" w:color="auto"/>
            </w:tcBorders>
            <w:noWrap/>
            <w:vAlign w:val="center"/>
            <w:hideMark/>
          </w:tcPr>
          <w:p w14:paraId="2A13E25F" w14:textId="01BB5B9A" w:rsidR="4EC185AB" w:rsidRPr="00687DE8" w:rsidRDefault="00157E81">
            <w:pPr>
              <w:spacing w:after="0"/>
              <w:jc w:val="center"/>
              <w:rPr>
                <w:color w:val="000000" w:themeColor="text1"/>
                <w:szCs w:val="24"/>
              </w:rPr>
            </w:pPr>
            <w:r>
              <w:rPr>
                <w:color w:val="000000"/>
              </w:rPr>
              <w:t>628,24</w:t>
            </w:r>
          </w:p>
        </w:tc>
      </w:tr>
      <w:tr w:rsidR="00ED3DA3" w:rsidRPr="00687DE8" w14:paraId="5B6C7208"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104CA9D0" w14:textId="77777777" w:rsidR="00ED3DA3" w:rsidRPr="00687DE8" w:rsidRDefault="00ED3DA3" w:rsidP="00ED3DA3">
            <w:pPr>
              <w:spacing w:after="0" w:line="240" w:lineRule="auto"/>
              <w:rPr>
                <w:szCs w:val="24"/>
              </w:rPr>
            </w:pPr>
            <w:r w:rsidRPr="00687DE8">
              <w:rPr>
                <w:szCs w:val="24"/>
              </w:rPr>
              <w:t>Dislotseerunud lõualuu lahtine paigaldamine</w:t>
            </w:r>
          </w:p>
        </w:tc>
        <w:tc>
          <w:tcPr>
            <w:tcW w:w="1107" w:type="dxa"/>
            <w:tcBorders>
              <w:top w:val="single" w:sz="4" w:space="0" w:color="auto"/>
              <w:left w:val="nil"/>
              <w:bottom w:val="single" w:sz="4" w:space="0" w:color="auto"/>
              <w:right w:val="single" w:sz="4" w:space="0" w:color="auto"/>
            </w:tcBorders>
            <w:vAlign w:val="center"/>
            <w:hideMark/>
          </w:tcPr>
          <w:p w14:paraId="681B398C" w14:textId="77777777" w:rsidR="00ED3DA3" w:rsidRPr="00687DE8" w:rsidRDefault="00ED3DA3" w:rsidP="00ED3DA3">
            <w:pPr>
              <w:spacing w:after="0" w:line="240" w:lineRule="auto"/>
              <w:jc w:val="center"/>
              <w:rPr>
                <w:szCs w:val="24"/>
              </w:rPr>
            </w:pPr>
            <w:r w:rsidRPr="00687DE8">
              <w:rPr>
                <w:szCs w:val="24"/>
              </w:rPr>
              <w:t>1E2140</w:t>
            </w:r>
          </w:p>
        </w:tc>
        <w:tc>
          <w:tcPr>
            <w:tcW w:w="1811" w:type="dxa"/>
            <w:tcBorders>
              <w:top w:val="nil"/>
              <w:left w:val="single" w:sz="4" w:space="0" w:color="auto"/>
              <w:bottom w:val="single" w:sz="4" w:space="0" w:color="auto"/>
              <w:right w:val="single" w:sz="4" w:space="0" w:color="auto"/>
            </w:tcBorders>
            <w:noWrap/>
            <w:vAlign w:val="center"/>
            <w:hideMark/>
          </w:tcPr>
          <w:p w14:paraId="373DA743" w14:textId="0BB5CF29" w:rsidR="4EC185AB" w:rsidRPr="00687DE8" w:rsidRDefault="00157E81">
            <w:pPr>
              <w:spacing w:after="0"/>
              <w:jc w:val="center"/>
              <w:rPr>
                <w:color w:val="000000" w:themeColor="text1"/>
                <w:szCs w:val="24"/>
              </w:rPr>
            </w:pPr>
            <w:r>
              <w:rPr>
                <w:color w:val="000000"/>
              </w:rPr>
              <w:t>873,23</w:t>
            </w:r>
          </w:p>
        </w:tc>
      </w:tr>
      <w:tr w:rsidR="00ED3DA3" w:rsidRPr="00687DE8" w14:paraId="673CFE3B"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6A5F837B" w14:textId="77777777" w:rsidR="00ED3DA3" w:rsidRPr="00687DE8" w:rsidRDefault="00ED3DA3" w:rsidP="00ED3DA3">
            <w:pPr>
              <w:spacing w:after="0" w:line="240" w:lineRule="auto"/>
              <w:rPr>
                <w:szCs w:val="24"/>
              </w:rPr>
            </w:pPr>
            <w:r w:rsidRPr="00687DE8">
              <w:rPr>
                <w:szCs w:val="24"/>
              </w:rPr>
              <w:t>Ülalõualuumurru (Le Fort I–II) lahtine paigaldamine ja immobilisatsioon</w:t>
            </w:r>
          </w:p>
        </w:tc>
        <w:tc>
          <w:tcPr>
            <w:tcW w:w="1107" w:type="dxa"/>
            <w:tcBorders>
              <w:top w:val="single" w:sz="4" w:space="0" w:color="auto"/>
              <w:left w:val="nil"/>
              <w:bottom w:val="single" w:sz="4" w:space="0" w:color="auto"/>
              <w:right w:val="single" w:sz="4" w:space="0" w:color="auto"/>
            </w:tcBorders>
            <w:vAlign w:val="center"/>
          </w:tcPr>
          <w:p w14:paraId="6D43F912" w14:textId="77777777" w:rsidR="00ED3DA3" w:rsidRPr="00687DE8" w:rsidRDefault="00ED3DA3" w:rsidP="00ED3DA3">
            <w:pPr>
              <w:spacing w:after="0" w:line="240" w:lineRule="auto"/>
              <w:jc w:val="center"/>
              <w:rPr>
                <w:szCs w:val="24"/>
              </w:rPr>
            </w:pPr>
          </w:p>
          <w:p w14:paraId="63B71D40" w14:textId="77777777" w:rsidR="00ED3DA3" w:rsidRPr="00687DE8" w:rsidRDefault="00ED3DA3" w:rsidP="00ED3DA3">
            <w:pPr>
              <w:spacing w:after="0" w:line="240" w:lineRule="auto"/>
              <w:jc w:val="center"/>
              <w:rPr>
                <w:szCs w:val="24"/>
              </w:rPr>
            </w:pPr>
            <w:r w:rsidRPr="00687DE8">
              <w:rPr>
                <w:szCs w:val="24"/>
              </w:rPr>
              <w:t>1E2141</w:t>
            </w:r>
          </w:p>
        </w:tc>
        <w:tc>
          <w:tcPr>
            <w:tcW w:w="1811" w:type="dxa"/>
            <w:tcBorders>
              <w:top w:val="nil"/>
              <w:left w:val="single" w:sz="4" w:space="0" w:color="auto"/>
              <w:bottom w:val="single" w:sz="4" w:space="0" w:color="auto"/>
              <w:right w:val="single" w:sz="4" w:space="0" w:color="auto"/>
            </w:tcBorders>
            <w:noWrap/>
            <w:vAlign w:val="center"/>
            <w:hideMark/>
          </w:tcPr>
          <w:p w14:paraId="25F7E90E" w14:textId="58D90273" w:rsidR="4EC185AB" w:rsidRPr="00687DE8" w:rsidRDefault="00157E81">
            <w:pPr>
              <w:spacing w:after="0"/>
              <w:jc w:val="center"/>
              <w:rPr>
                <w:color w:val="000000" w:themeColor="text1"/>
                <w:szCs w:val="24"/>
              </w:rPr>
            </w:pPr>
            <w:r>
              <w:rPr>
                <w:color w:val="000000"/>
              </w:rPr>
              <w:t>885,25</w:t>
            </w:r>
          </w:p>
        </w:tc>
      </w:tr>
      <w:tr w:rsidR="00ED3DA3" w:rsidRPr="00687DE8" w14:paraId="7E347383"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29F1FFD2" w14:textId="77777777" w:rsidR="00ED3DA3" w:rsidRPr="00687DE8" w:rsidRDefault="00ED3DA3" w:rsidP="00ED3DA3">
            <w:pPr>
              <w:spacing w:after="0" w:line="240" w:lineRule="auto"/>
              <w:rPr>
                <w:szCs w:val="24"/>
              </w:rPr>
            </w:pPr>
            <w:r w:rsidRPr="00687DE8">
              <w:rPr>
                <w:szCs w:val="24"/>
              </w:rPr>
              <w:t>Totaalne glossektoomia</w:t>
            </w:r>
          </w:p>
        </w:tc>
        <w:tc>
          <w:tcPr>
            <w:tcW w:w="1107" w:type="dxa"/>
            <w:tcBorders>
              <w:top w:val="single" w:sz="4" w:space="0" w:color="auto"/>
              <w:left w:val="nil"/>
              <w:bottom w:val="single" w:sz="4" w:space="0" w:color="auto"/>
              <w:right w:val="single" w:sz="4" w:space="0" w:color="auto"/>
            </w:tcBorders>
            <w:vAlign w:val="center"/>
            <w:hideMark/>
          </w:tcPr>
          <w:p w14:paraId="43EFD25D" w14:textId="77777777" w:rsidR="00ED3DA3" w:rsidRPr="00687DE8" w:rsidRDefault="00ED3DA3" w:rsidP="00ED3DA3">
            <w:pPr>
              <w:spacing w:after="0" w:line="240" w:lineRule="auto"/>
              <w:jc w:val="center"/>
              <w:rPr>
                <w:szCs w:val="24"/>
              </w:rPr>
            </w:pPr>
            <w:r w:rsidRPr="00687DE8">
              <w:rPr>
                <w:szCs w:val="24"/>
              </w:rPr>
              <w:t>1E2142</w:t>
            </w:r>
          </w:p>
        </w:tc>
        <w:tc>
          <w:tcPr>
            <w:tcW w:w="1811" w:type="dxa"/>
            <w:tcBorders>
              <w:top w:val="nil"/>
              <w:left w:val="single" w:sz="4" w:space="0" w:color="auto"/>
              <w:bottom w:val="single" w:sz="4" w:space="0" w:color="auto"/>
              <w:right w:val="single" w:sz="4" w:space="0" w:color="auto"/>
            </w:tcBorders>
            <w:noWrap/>
            <w:vAlign w:val="center"/>
            <w:hideMark/>
          </w:tcPr>
          <w:p w14:paraId="2CDC1804" w14:textId="183FCE97" w:rsidR="4EC185AB" w:rsidRPr="00687DE8" w:rsidRDefault="00157E81">
            <w:pPr>
              <w:spacing w:after="0"/>
              <w:jc w:val="center"/>
              <w:rPr>
                <w:color w:val="000000" w:themeColor="text1"/>
                <w:szCs w:val="24"/>
              </w:rPr>
            </w:pPr>
            <w:r>
              <w:rPr>
                <w:color w:val="000000"/>
              </w:rPr>
              <w:t>985,41</w:t>
            </w:r>
          </w:p>
        </w:tc>
      </w:tr>
      <w:tr w:rsidR="00ED3DA3" w:rsidRPr="00687DE8" w14:paraId="55F580F3"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3D406F29" w14:textId="77777777" w:rsidR="00ED3DA3" w:rsidRPr="00687DE8" w:rsidRDefault="00ED3DA3" w:rsidP="00ED3DA3">
            <w:pPr>
              <w:spacing w:after="0" w:line="240" w:lineRule="auto"/>
              <w:rPr>
                <w:szCs w:val="24"/>
              </w:rPr>
            </w:pPr>
            <w:r w:rsidRPr="00687DE8">
              <w:rPr>
                <w:szCs w:val="24"/>
              </w:rPr>
              <w:t>Totaalne parotidektoomia</w:t>
            </w:r>
          </w:p>
        </w:tc>
        <w:tc>
          <w:tcPr>
            <w:tcW w:w="1107" w:type="dxa"/>
            <w:tcBorders>
              <w:top w:val="single" w:sz="4" w:space="0" w:color="auto"/>
              <w:left w:val="nil"/>
              <w:bottom w:val="single" w:sz="4" w:space="0" w:color="auto"/>
              <w:right w:val="single" w:sz="4" w:space="0" w:color="auto"/>
            </w:tcBorders>
            <w:vAlign w:val="center"/>
            <w:hideMark/>
          </w:tcPr>
          <w:p w14:paraId="6BF55A6C" w14:textId="77777777" w:rsidR="00ED3DA3" w:rsidRPr="00687DE8" w:rsidRDefault="00ED3DA3" w:rsidP="00ED3DA3">
            <w:pPr>
              <w:spacing w:after="0" w:line="240" w:lineRule="auto"/>
              <w:jc w:val="center"/>
              <w:rPr>
                <w:szCs w:val="24"/>
              </w:rPr>
            </w:pPr>
            <w:r w:rsidRPr="00687DE8">
              <w:rPr>
                <w:szCs w:val="24"/>
              </w:rPr>
              <w:t>1E2143</w:t>
            </w:r>
          </w:p>
        </w:tc>
        <w:tc>
          <w:tcPr>
            <w:tcW w:w="1811" w:type="dxa"/>
            <w:tcBorders>
              <w:top w:val="nil"/>
              <w:left w:val="single" w:sz="4" w:space="0" w:color="auto"/>
              <w:bottom w:val="single" w:sz="4" w:space="0" w:color="auto"/>
              <w:right w:val="single" w:sz="4" w:space="0" w:color="auto"/>
            </w:tcBorders>
            <w:noWrap/>
            <w:vAlign w:val="center"/>
            <w:hideMark/>
          </w:tcPr>
          <w:p w14:paraId="7CC4D954" w14:textId="62E52BD4" w:rsidR="4EC185AB" w:rsidRPr="00687DE8" w:rsidRDefault="00157E81">
            <w:pPr>
              <w:spacing w:after="0"/>
              <w:jc w:val="center"/>
              <w:rPr>
                <w:color w:val="000000" w:themeColor="text1"/>
                <w:szCs w:val="24"/>
              </w:rPr>
            </w:pPr>
            <w:r>
              <w:rPr>
                <w:color w:val="000000"/>
              </w:rPr>
              <w:t>1 211,39</w:t>
            </w:r>
          </w:p>
        </w:tc>
      </w:tr>
      <w:tr w:rsidR="00ED3DA3" w:rsidRPr="00687DE8" w14:paraId="012CB47D" w14:textId="77777777" w:rsidTr="00EB7A71">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7EE76C83" w14:textId="77777777" w:rsidR="00ED3DA3" w:rsidRPr="00687DE8" w:rsidRDefault="00ED3DA3" w:rsidP="00ED3DA3">
            <w:pPr>
              <w:spacing w:after="0" w:line="240" w:lineRule="auto"/>
              <w:rPr>
                <w:szCs w:val="24"/>
              </w:rPr>
            </w:pPr>
            <w:r w:rsidRPr="00687DE8">
              <w:rPr>
                <w:szCs w:val="24"/>
              </w:rPr>
              <w:t>Näo- ja kaelapiirkonna omandatud defektide plastiline korrektsioon</w:t>
            </w:r>
          </w:p>
        </w:tc>
        <w:tc>
          <w:tcPr>
            <w:tcW w:w="1107" w:type="dxa"/>
            <w:tcBorders>
              <w:top w:val="single" w:sz="4" w:space="0" w:color="auto"/>
              <w:left w:val="nil"/>
              <w:bottom w:val="single" w:sz="4" w:space="0" w:color="auto"/>
              <w:right w:val="single" w:sz="4" w:space="0" w:color="auto"/>
            </w:tcBorders>
            <w:vAlign w:val="center"/>
          </w:tcPr>
          <w:p w14:paraId="0F3ADE8B" w14:textId="77777777" w:rsidR="00ED3DA3" w:rsidRPr="00687DE8" w:rsidRDefault="00ED3DA3" w:rsidP="00ED3DA3">
            <w:pPr>
              <w:spacing w:after="0" w:line="240" w:lineRule="auto"/>
              <w:jc w:val="center"/>
              <w:rPr>
                <w:szCs w:val="24"/>
              </w:rPr>
            </w:pPr>
          </w:p>
          <w:p w14:paraId="60784533" w14:textId="77777777" w:rsidR="00ED3DA3" w:rsidRPr="00687DE8" w:rsidRDefault="00ED3DA3" w:rsidP="00ED3DA3">
            <w:pPr>
              <w:spacing w:after="0" w:line="240" w:lineRule="auto"/>
              <w:jc w:val="center"/>
              <w:rPr>
                <w:szCs w:val="24"/>
              </w:rPr>
            </w:pPr>
            <w:r w:rsidRPr="00687DE8">
              <w:rPr>
                <w:szCs w:val="24"/>
              </w:rPr>
              <w:t>1E2145</w:t>
            </w:r>
          </w:p>
        </w:tc>
        <w:tc>
          <w:tcPr>
            <w:tcW w:w="1811" w:type="dxa"/>
            <w:tcBorders>
              <w:top w:val="single" w:sz="4" w:space="0" w:color="auto"/>
              <w:left w:val="single" w:sz="4" w:space="0" w:color="auto"/>
              <w:bottom w:val="single" w:sz="4" w:space="0" w:color="auto"/>
              <w:right w:val="single" w:sz="4" w:space="0" w:color="auto"/>
            </w:tcBorders>
            <w:noWrap/>
            <w:vAlign w:val="center"/>
            <w:hideMark/>
          </w:tcPr>
          <w:p w14:paraId="3D165DFC" w14:textId="0CCF4DF8" w:rsidR="4EC185AB" w:rsidRPr="00687DE8" w:rsidRDefault="00446305">
            <w:pPr>
              <w:spacing w:after="0"/>
              <w:jc w:val="center"/>
              <w:rPr>
                <w:color w:val="000000" w:themeColor="text1"/>
                <w:szCs w:val="24"/>
              </w:rPr>
            </w:pPr>
            <w:r>
              <w:rPr>
                <w:color w:val="000000"/>
              </w:rPr>
              <w:t>1 534,84</w:t>
            </w:r>
          </w:p>
        </w:tc>
      </w:tr>
      <w:tr w:rsidR="00ED3DA3" w:rsidRPr="00687DE8" w14:paraId="322D8B67" w14:textId="77777777" w:rsidTr="00EB7A71">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2B14C853" w14:textId="77777777" w:rsidR="00ED3DA3" w:rsidRPr="00687DE8" w:rsidRDefault="00ED3DA3" w:rsidP="00ED3DA3">
            <w:pPr>
              <w:spacing w:after="0" w:line="240" w:lineRule="auto"/>
              <w:rPr>
                <w:szCs w:val="24"/>
              </w:rPr>
            </w:pPr>
            <w:r w:rsidRPr="00687DE8">
              <w:rPr>
                <w:szCs w:val="24"/>
              </w:rPr>
              <w:t>Alalõualuu liigese põletiku kirurgiline ravi</w:t>
            </w:r>
          </w:p>
        </w:tc>
        <w:tc>
          <w:tcPr>
            <w:tcW w:w="1107" w:type="dxa"/>
            <w:tcBorders>
              <w:top w:val="single" w:sz="4" w:space="0" w:color="auto"/>
              <w:left w:val="nil"/>
              <w:bottom w:val="single" w:sz="4" w:space="0" w:color="auto"/>
              <w:right w:val="single" w:sz="4" w:space="0" w:color="auto"/>
            </w:tcBorders>
            <w:vAlign w:val="center"/>
            <w:hideMark/>
          </w:tcPr>
          <w:p w14:paraId="5755DDDF" w14:textId="77777777" w:rsidR="00ED3DA3" w:rsidRPr="00687DE8" w:rsidRDefault="00ED3DA3" w:rsidP="00ED3DA3">
            <w:pPr>
              <w:spacing w:after="0" w:line="240" w:lineRule="auto"/>
              <w:jc w:val="center"/>
              <w:rPr>
                <w:szCs w:val="24"/>
              </w:rPr>
            </w:pPr>
            <w:r w:rsidRPr="00687DE8">
              <w:rPr>
                <w:szCs w:val="24"/>
              </w:rPr>
              <w:t>1E2146</w:t>
            </w:r>
          </w:p>
        </w:tc>
        <w:tc>
          <w:tcPr>
            <w:tcW w:w="1811" w:type="dxa"/>
            <w:tcBorders>
              <w:top w:val="nil"/>
              <w:left w:val="single" w:sz="4" w:space="0" w:color="auto"/>
              <w:bottom w:val="single" w:sz="4" w:space="0" w:color="auto"/>
              <w:right w:val="single" w:sz="4" w:space="0" w:color="auto"/>
            </w:tcBorders>
            <w:noWrap/>
            <w:vAlign w:val="center"/>
            <w:hideMark/>
          </w:tcPr>
          <w:p w14:paraId="674D0839" w14:textId="07EED06E" w:rsidR="4EC185AB" w:rsidRPr="00687DE8" w:rsidRDefault="00446305">
            <w:pPr>
              <w:spacing w:after="0"/>
              <w:jc w:val="center"/>
              <w:rPr>
                <w:color w:val="000000" w:themeColor="text1"/>
                <w:szCs w:val="24"/>
              </w:rPr>
            </w:pPr>
            <w:r>
              <w:rPr>
                <w:color w:val="000000"/>
              </w:rPr>
              <w:t>831,04</w:t>
            </w:r>
          </w:p>
        </w:tc>
      </w:tr>
      <w:tr w:rsidR="00ED3DA3" w:rsidRPr="00687DE8" w14:paraId="4236AFFC"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1849BA9F" w14:textId="77777777" w:rsidR="00ED3DA3" w:rsidRPr="00687DE8" w:rsidRDefault="00ED3DA3" w:rsidP="00ED3DA3">
            <w:pPr>
              <w:spacing w:after="0" w:line="240" w:lineRule="auto"/>
              <w:rPr>
                <w:szCs w:val="24"/>
              </w:rPr>
            </w:pPr>
            <w:r w:rsidRPr="00687DE8">
              <w:rPr>
                <w:szCs w:val="24"/>
              </w:rPr>
              <w:t>Alveolaarjätke lõhe kirurgiline ravi luuplastikaga</w:t>
            </w:r>
          </w:p>
        </w:tc>
        <w:tc>
          <w:tcPr>
            <w:tcW w:w="1107" w:type="dxa"/>
            <w:tcBorders>
              <w:top w:val="single" w:sz="4" w:space="0" w:color="auto"/>
              <w:left w:val="nil"/>
              <w:bottom w:val="single" w:sz="4" w:space="0" w:color="auto"/>
              <w:right w:val="single" w:sz="4" w:space="0" w:color="auto"/>
            </w:tcBorders>
            <w:vAlign w:val="center"/>
            <w:hideMark/>
          </w:tcPr>
          <w:p w14:paraId="5F89352F" w14:textId="77777777" w:rsidR="00ED3DA3" w:rsidRPr="00687DE8" w:rsidRDefault="00ED3DA3" w:rsidP="00ED3DA3">
            <w:pPr>
              <w:spacing w:after="0" w:line="240" w:lineRule="auto"/>
              <w:jc w:val="center"/>
              <w:rPr>
                <w:szCs w:val="24"/>
              </w:rPr>
            </w:pPr>
            <w:r w:rsidRPr="00687DE8">
              <w:rPr>
                <w:szCs w:val="24"/>
              </w:rPr>
              <w:t>1E2147</w:t>
            </w:r>
          </w:p>
        </w:tc>
        <w:tc>
          <w:tcPr>
            <w:tcW w:w="1811" w:type="dxa"/>
            <w:tcBorders>
              <w:top w:val="nil"/>
              <w:left w:val="single" w:sz="4" w:space="0" w:color="auto"/>
              <w:bottom w:val="single" w:sz="4" w:space="0" w:color="auto"/>
              <w:right w:val="single" w:sz="4" w:space="0" w:color="auto"/>
            </w:tcBorders>
            <w:noWrap/>
            <w:vAlign w:val="center"/>
            <w:hideMark/>
          </w:tcPr>
          <w:p w14:paraId="641D2EC4" w14:textId="6FBEBB50" w:rsidR="4EC185AB" w:rsidRPr="00687DE8" w:rsidRDefault="00446305">
            <w:pPr>
              <w:spacing w:after="0"/>
              <w:jc w:val="center"/>
              <w:rPr>
                <w:color w:val="000000" w:themeColor="text1"/>
                <w:szCs w:val="24"/>
              </w:rPr>
            </w:pPr>
            <w:r>
              <w:rPr>
                <w:color w:val="000000"/>
              </w:rPr>
              <w:t>1 102,57</w:t>
            </w:r>
          </w:p>
        </w:tc>
      </w:tr>
      <w:tr w:rsidR="00ED3DA3" w:rsidRPr="00687DE8" w14:paraId="72A508E3"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470A3D6C" w14:textId="77777777" w:rsidR="00ED3DA3" w:rsidRPr="00687DE8" w:rsidRDefault="00ED3DA3" w:rsidP="00ED3DA3">
            <w:pPr>
              <w:spacing w:after="0" w:line="240" w:lineRule="auto"/>
              <w:rPr>
                <w:szCs w:val="24"/>
              </w:rPr>
            </w:pPr>
            <w:r w:rsidRPr="00687DE8">
              <w:rPr>
                <w:szCs w:val="24"/>
              </w:rPr>
              <w:t xml:space="preserve">Lõualuu defektide alloplastiline operatsioon </w:t>
            </w:r>
          </w:p>
        </w:tc>
        <w:tc>
          <w:tcPr>
            <w:tcW w:w="1107" w:type="dxa"/>
            <w:tcBorders>
              <w:top w:val="single" w:sz="4" w:space="0" w:color="auto"/>
              <w:left w:val="nil"/>
              <w:bottom w:val="single" w:sz="4" w:space="0" w:color="auto"/>
              <w:right w:val="single" w:sz="4" w:space="0" w:color="auto"/>
            </w:tcBorders>
            <w:vAlign w:val="center"/>
            <w:hideMark/>
          </w:tcPr>
          <w:p w14:paraId="6EE34122" w14:textId="77777777" w:rsidR="00ED3DA3" w:rsidRPr="00687DE8" w:rsidRDefault="00ED3DA3" w:rsidP="00ED3DA3">
            <w:pPr>
              <w:spacing w:after="0" w:line="240" w:lineRule="auto"/>
              <w:jc w:val="center"/>
              <w:rPr>
                <w:szCs w:val="24"/>
              </w:rPr>
            </w:pPr>
            <w:r w:rsidRPr="00687DE8">
              <w:rPr>
                <w:szCs w:val="24"/>
              </w:rPr>
              <w:t>1E2148</w:t>
            </w:r>
          </w:p>
        </w:tc>
        <w:tc>
          <w:tcPr>
            <w:tcW w:w="1811" w:type="dxa"/>
            <w:tcBorders>
              <w:top w:val="nil"/>
              <w:left w:val="single" w:sz="4" w:space="0" w:color="auto"/>
              <w:bottom w:val="single" w:sz="4" w:space="0" w:color="auto"/>
              <w:right w:val="single" w:sz="4" w:space="0" w:color="auto"/>
            </w:tcBorders>
            <w:noWrap/>
            <w:vAlign w:val="center"/>
            <w:hideMark/>
          </w:tcPr>
          <w:p w14:paraId="031D539A" w14:textId="0324E47A" w:rsidR="4EC185AB" w:rsidRPr="00687DE8" w:rsidRDefault="00446305">
            <w:pPr>
              <w:spacing w:after="0"/>
              <w:jc w:val="center"/>
              <w:rPr>
                <w:color w:val="000000" w:themeColor="text1"/>
                <w:szCs w:val="24"/>
              </w:rPr>
            </w:pPr>
            <w:r>
              <w:rPr>
                <w:color w:val="000000"/>
              </w:rPr>
              <w:t>1 392,39</w:t>
            </w:r>
          </w:p>
        </w:tc>
      </w:tr>
      <w:tr w:rsidR="00ED3DA3" w:rsidRPr="00687DE8" w14:paraId="4709E64C"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4052E699" w14:textId="77777777" w:rsidR="00ED3DA3" w:rsidRPr="00687DE8" w:rsidRDefault="00ED3DA3" w:rsidP="00ED3DA3">
            <w:pPr>
              <w:spacing w:after="0" w:line="240" w:lineRule="auto"/>
              <w:rPr>
                <w:szCs w:val="24"/>
              </w:rPr>
            </w:pPr>
            <w:r w:rsidRPr="00687DE8">
              <w:rPr>
                <w:szCs w:val="24"/>
              </w:rPr>
              <w:t>Kaasasündinud huulelõhe plastika</w:t>
            </w:r>
          </w:p>
        </w:tc>
        <w:tc>
          <w:tcPr>
            <w:tcW w:w="1107" w:type="dxa"/>
            <w:tcBorders>
              <w:top w:val="single" w:sz="4" w:space="0" w:color="auto"/>
              <w:left w:val="nil"/>
              <w:bottom w:val="single" w:sz="4" w:space="0" w:color="auto"/>
              <w:right w:val="single" w:sz="4" w:space="0" w:color="auto"/>
            </w:tcBorders>
            <w:vAlign w:val="center"/>
            <w:hideMark/>
          </w:tcPr>
          <w:p w14:paraId="4765586B" w14:textId="77777777" w:rsidR="00ED3DA3" w:rsidRPr="00687DE8" w:rsidRDefault="00ED3DA3" w:rsidP="00ED3DA3">
            <w:pPr>
              <w:spacing w:after="0" w:line="240" w:lineRule="auto"/>
              <w:jc w:val="center"/>
              <w:rPr>
                <w:szCs w:val="24"/>
              </w:rPr>
            </w:pPr>
            <w:r w:rsidRPr="00687DE8">
              <w:rPr>
                <w:szCs w:val="24"/>
              </w:rPr>
              <w:t>1E2149</w:t>
            </w:r>
          </w:p>
        </w:tc>
        <w:tc>
          <w:tcPr>
            <w:tcW w:w="1811" w:type="dxa"/>
            <w:tcBorders>
              <w:top w:val="nil"/>
              <w:left w:val="single" w:sz="4" w:space="0" w:color="auto"/>
              <w:bottom w:val="single" w:sz="4" w:space="0" w:color="auto"/>
              <w:right w:val="single" w:sz="4" w:space="0" w:color="auto"/>
            </w:tcBorders>
            <w:noWrap/>
            <w:vAlign w:val="center"/>
            <w:hideMark/>
          </w:tcPr>
          <w:p w14:paraId="6BA10855" w14:textId="395DCBE7" w:rsidR="4EC185AB" w:rsidRPr="00687DE8" w:rsidRDefault="00446305">
            <w:pPr>
              <w:spacing w:after="0"/>
              <w:jc w:val="center"/>
              <w:rPr>
                <w:color w:val="000000" w:themeColor="text1"/>
                <w:szCs w:val="24"/>
              </w:rPr>
            </w:pPr>
            <w:r>
              <w:rPr>
                <w:color w:val="000000"/>
              </w:rPr>
              <w:t>572,23</w:t>
            </w:r>
          </w:p>
        </w:tc>
      </w:tr>
      <w:tr w:rsidR="00ED3DA3" w:rsidRPr="00687DE8" w14:paraId="267A25F9"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61D4CED2" w14:textId="5BF03967" w:rsidR="00ED3DA3" w:rsidRPr="00687DE8" w:rsidRDefault="608623C8" w:rsidP="00ED3DA3">
            <w:pPr>
              <w:spacing w:after="0" w:line="240" w:lineRule="auto"/>
            </w:pPr>
            <w:r>
              <w:t>S</w:t>
            </w:r>
            <w:r w:rsidR="00ED3DA3">
              <w:t>uulae</w:t>
            </w:r>
            <w:r w:rsidR="2C988CB3">
              <w:t xml:space="preserve"> </w:t>
            </w:r>
            <w:r w:rsidR="00ED3DA3">
              <w:t>plastika</w:t>
            </w:r>
          </w:p>
        </w:tc>
        <w:tc>
          <w:tcPr>
            <w:tcW w:w="1107" w:type="dxa"/>
            <w:tcBorders>
              <w:top w:val="single" w:sz="4" w:space="0" w:color="auto"/>
              <w:left w:val="nil"/>
              <w:bottom w:val="single" w:sz="4" w:space="0" w:color="auto"/>
              <w:right w:val="single" w:sz="4" w:space="0" w:color="auto"/>
            </w:tcBorders>
            <w:vAlign w:val="center"/>
            <w:hideMark/>
          </w:tcPr>
          <w:p w14:paraId="3C0F26A1" w14:textId="77777777" w:rsidR="00ED3DA3" w:rsidRPr="00687DE8" w:rsidRDefault="00ED3DA3" w:rsidP="00ED3DA3">
            <w:pPr>
              <w:spacing w:after="0" w:line="240" w:lineRule="auto"/>
              <w:jc w:val="center"/>
              <w:rPr>
                <w:szCs w:val="24"/>
              </w:rPr>
            </w:pPr>
            <w:r w:rsidRPr="00687DE8">
              <w:rPr>
                <w:szCs w:val="24"/>
              </w:rPr>
              <w:t>1E2150</w:t>
            </w:r>
          </w:p>
        </w:tc>
        <w:tc>
          <w:tcPr>
            <w:tcW w:w="1811" w:type="dxa"/>
            <w:tcBorders>
              <w:top w:val="nil"/>
              <w:left w:val="single" w:sz="4" w:space="0" w:color="auto"/>
              <w:bottom w:val="single" w:sz="4" w:space="0" w:color="auto"/>
              <w:right w:val="single" w:sz="4" w:space="0" w:color="auto"/>
            </w:tcBorders>
            <w:noWrap/>
            <w:vAlign w:val="center"/>
            <w:hideMark/>
          </w:tcPr>
          <w:p w14:paraId="57A2B760" w14:textId="5E641D82" w:rsidR="4EC185AB" w:rsidRPr="00687DE8" w:rsidRDefault="00446305">
            <w:pPr>
              <w:spacing w:after="0"/>
              <w:jc w:val="center"/>
              <w:rPr>
                <w:color w:val="000000" w:themeColor="text1"/>
                <w:szCs w:val="24"/>
              </w:rPr>
            </w:pPr>
            <w:r>
              <w:rPr>
                <w:color w:val="000000"/>
              </w:rPr>
              <w:t>726,87</w:t>
            </w:r>
          </w:p>
        </w:tc>
      </w:tr>
      <w:tr w:rsidR="00ED3DA3" w:rsidRPr="00687DE8" w14:paraId="616EC061"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370F8831" w14:textId="77777777" w:rsidR="00ED3DA3" w:rsidRPr="00687DE8" w:rsidRDefault="00ED3DA3" w:rsidP="00ED3DA3">
            <w:pPr>
              <w:spacing w:after="0" w:line="240" w:lineRule="auto"/>
              <w:rPr>
                <w:szCs w:val="24"/>
              </w:rPr>
            </w:pPr>
            <w:r w:rsidRPr="00687DE8">
              <w:rPr>
                <w:szCs w:val="24"/>
              </w:rPr>
              <w:t>Ülalõualuumurru (Le Fort II–III) osteosüntees</w:t>
            </w:r>
          </w:p>
        </w:tc>
        <w:tc>
          <w:tcPr>
            <w:tcW w:w="1107" w:type="dxa"/>
            <w:tcBorders>
              <w:top w:val="single" w:sz="4" w:space="0" w:color="auto"/>
              <w:left w:val="nil"/>
              <w:bottom w:val="single" w:sz="4" w:space="0" w:color="auto"/>
              <w:right w:val="single" w:sz="4" w:space="0" w:color="auto"/>
            </w:tcBorders>
            <w:vAlign w:val="center"/>
            <w:hideMark/>
          </w:tcPr>
          <w:p w14:paraId="69E88542" w14:textId="77777777" w:rsidR="00ED3DA3" w:rsidRPr="00687DE8" w:rsidRDefault="00ED3DA3" w:rsidP="00ED3DA3">
            <w:pPr>
              <w:spacing w:after="0" w:line="240" w:lineRule="auto"/>
              <w:jc w:val="center"/>
              <w:rPr>
                <w:szCs w:val="24"/>
              </w:rPr>
            </w:pPr>
            <w:r w:rsidRPr="00687DE8">
              <w:rPr>
                <w:szCs w:val="24"/>
              </w:rPr>
              <w:t>1E2151</w:t>
            </w:r>
          </w:p>
        </w:tc>
        <w:tc>
          <w:tcPr>
            <w:tcW w:w="1811" w:type="dxa"/>
            <w:tcBorders>
              <w:top w:val="nil"/>
              <w:left w:val="single" w:sz="4" w:space="0" w:color="auto"/>
              <w:bottom w:val="single" w:sz="4" w:space="0" w:color="auto"/>
              <w:right w:val="single" w:sz="4" w:space="0" w:color="auto"/>
            </w:tcBorders>
            <w:noWrap/>
            <w:vAlign w:val="center"/>
            <w:hideMark/>
          </w:tcPr>
          <w:p w14:paraId="1B6F33A2" w14:textId="41CCE4BC" w:rsidR="4EC185AB" w:rsidRPr="00687DE8" w:rsidRDefault="00446305">
            <w:pPr>
              <w:spacing w:after="0"/>
              <w:jc w:val="center"/>
              <w:rPr>
                <w:color w:val="000000" w:themeColor="text1"/>
                <w:szCs w:val="24"/>
              </w:rPr>
            </w:pPr>
            <w:r>
              <w:rPr>
                <w:color w:val="000000"/>
              </w:rPr>
              <w:t>1 902,51</w:t>
            </w:r>
          </w:p>
        </w:tc>
      </w:tr>
      <w:tr w:rsidR="00ED3DA3" w:rsidRPr="00687DE8" w14:paraId="3C89FF1F"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70D724A6" w14:textId="77777777" w:rsidR="00ED3DA3" w:rsidRPr="00687DE8" w:rsidRDefault="00ED3DA3" w:rsidP="00ED3DA3">
            <w:pPr>
              <w:spacing w:after="0" w:line="240" w:lineRule="auto"/>
              <w:rPr>
                <w:szCs w:val="24"/>
              </w:rPr>
            </w:pPr>
            <w:r w:rsidRPr="00687DE8">
              <w:rPr>
                <w:szCs w:val="24"/>
              </w:rPr>
              <w:t xml:space="preserve">Lõualuu defektide autoplastiline operatsioon </w:t>
            </w:r>
          </w:p>
        </w:tc>
        <w:tc>
          <w:tcPr>
            <w:tcW w:w="1107" w:type="dxa"/>
            <w:tcBorders>
              <w:top w:val="single" w:sz="4" w:space="0" w:color="auto"/>
              <w:left w:val="nil"/>
              <w:bottom w:val="single" w:sz="4" w:space="0" w:color="auto"/>
              <w:right w:val="single" w:sz="4" w:space="0" w:color="auto"/>
            </w:tcBorders>
            <w:vAlign w:val="center"/>
            <w:hideMark/>
          </w:tcPr>
          <w:p w14:paraId="08A5E53A" w14:textId="77777777" w:rsidR="00ED3DA3" w:rsidRPr="00687DE8" w:rsidRDefault="00ED3DA3" w:rsidP="00ED3DA3">
            <w:pPr>
              <w:spacing w:after="0" w:line="240" w:lineRule="auto"/>
              <w:jc w:val="center"/>
              <w:rPr>
                <w:szCs w:val="24"/>
              </w:rPr>
            </w:pPr>
            <w:r w:rsidRPr="00687DE8">
              <w:rPr>
                <w:szCs w:val="24"/>
              </w:rPr>
              <w:t>1E2152</w:t>
            </w:r>
          </w:p>
        </w:tc>
        <w:tc>
          <w:tcPr>
            <w:tcW w:w="1811" w:type="dxa"/>
            <w:tcBorders>
              <w:top w:val="nil"/>
              <w:left w:val="single" w:sz="4" w:space="0" w:color="auto"/>
              <w:bottom w:val="single" w:sz="4" w:space="0" w:color="auto"/>
              <w:right w:val="single" w:sz="4" w:space="0" w:color="auto"/>
            </w:tcBorders>
            <w:noWrap/>
            <w:vAlign w:val="center"/>
            <w:hideMark/>
          </w:tcPr>
          <w:p w14:paraId="52BD6440" w14:textId="6C6FD856" w:rsidR="4EC185AB" w:rsidRPr="00687DE8" w:rsidRDefault="00446305">
            <w:pPr>
              <w:spacing w:after="0"/>
              <w:jc w:val="center"/>
              <w:rPr>
                <w:color w:val="000000" w:themeColor="text1"/>
                <w:szCs w:val="24"/>
              </w:rPr>
            </w:pPr>
            <w:r>
              <w:rPr>
                <w:color w:val="000000"/>
              </w:rPr>
              <w:t>1 494,81</w:t>
            </w:r>
          </w:p>
        </w:tc>
      </w:tr>
      <w:tr w:rsidR="00ED3DA3" w:rsidRPr="00687DE8" w14:paraId="2E18AC57"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150D12AB" w14:textId="77777777" w:rsidR="00ED3DA3" w:rsidRPr="00687DE8" w:rsidRDefault="00ED3DA3" w:rsidP="00ED3DA3">
            <w:pPr>
              <w:spacing w:after="0" w:line="240" w:lineRule="auto"/>
              <w:rPr>
                <w:szCs w:val="24"/>
              </w:rPr>
            </w:pPr>
            <w:r w:rsidRPr="00687DE8">
              <w:rPr>
                <w:szCs w:val="24"/>
              </w:rPr>
              <w:t>Alalõualuu liigese anküloosi kirurgiline ravi</w:t>
            </w:r>
          </w:p>
        </w:tc>
        <w:tc>
          <w:tcPr>
            <w:tcW w:w="1107" w:type="dxa"/>
            <w:tcBorders>
              <w:top w:val="single" w:sz="4" w:space="0" w:color="auto"/>
              <w:left w:val="nil"/>
              <w:bottom w:val="single" w:sz="4" w:space="0" w:color="auto"/>
              <w:right w:val="single" w:sz="4" w:space="0" w:color="auto"/>
            </w:tcBorders>
            <w:vAlign w:val="center"/>
            <w:hideMark/>
          </w:tcPr>
          <w:p w14:paraId="3191EBC2" w14:textId="77777777" w:rsidR="00ED3DA3" w:rsidRPr="00687DE8" w:rsidRDefault="00ED3DA3" w:rsidP="00ED3DA3">
            <w:pPr>
              <w:spacing w:after="0" w:line="240" w:lineRule="auto"/>
              <w:jc w:val="center"/>
              <w:rPr>
                <w:szCs w:val="24"/>
              </w:rPr>
            </w:pPr>
            <w:r w:rsidRPr="00687DE8">
              <w:rPr>
                <w:szCs w:val="24"/>
              </w:rPr>
              <w:t>1E2153</w:t>
            </w:r>
          </w:p>
        </w:tc>
        <w:tc>
          <w:tcPr>
            <w:tcW w:w="1811" w:type="dxa"/>
            <w:tcBorders>
              <w:top w:val="nil"/>
              <w:left w:val="single" w:sz="4" w:space="0" w:color="auto"/>
              <w:bottom w:val="single" w:sz="4" w:space="0" w:color="auto"/>
              <w:right w:val="single" w:sz="4" w:space="0" w:color="auto"/>
            </w:tcBorders>
            <w:noWrap/>
            <w:vAlign w:val="center"/>
            <w:hideMark/>
          </w:tcPr>
          <w:p w14:paraId="152CBD5A" w14:textId="19CB457E" w:rsidR="4EC185AB" w:rsidRPr="00687DE8" w:rsidRDefault="00446305">
            <w:pPr>
              <w:spacing w:after="0"/>
              <w:jc w:val="center"/>
              <w:rPr>
                <w:color w:val="000000" w:themeColor="text1"/>
                <w:szCs w:val="24"/>
              </w:rPr>
            </w:pPr>
            <w:r>
              <w:rPr>
                <w:color w:val="000000"/>
              </w:rPr>
              <w:t>1 128,60</w:t>
            </w:r>
          </w:p>
        </w:tc>
      </w:tr>
      <w:tr w:rsidR="00ED3DA3" w:rsidRPr="00687DE8" w14:paraId="71ECD960"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03984DEA" w14:textId="77777777" w:rsidR="00ED3DA3" w:rsidRPr="00687DE8" w:rsidRDefault="00ED3DA3" w:rsidP="00ED3DA3">
            <w:pPr>
              <w:spacing w:after="0" w:line="240" w:lineRule="auto"/>
              <w:rPr>
                <w:szCs w:val="24"/>
              </w:rPr>
            </w:pPr>
            <w:r w:rsidRPr="00687DE8">
              <w:rPr>
                <w:szCs w:val="24"/>
              </w:rPr>
              <w:t>Rekonstruktiivne rino-heiloplastika</w:t>
            </w:r>
          </w:p>
        </w:tc>
        <w:tc>
          <w:tcPr>
            <w:tcW w:w="1107" w:type="dxa"/>
            <w:tcBorders>
              <w:top w:val="single" w:sz="4" w:space="0" w:color="auto"/>
              <w:left w:val="nil"/>
              <w:bottom w:val="single" w:sz="4" w:space="0" w:color="auto"/>
              <w:right w:val="single" w:sz="4" w:space="0" w:color="auto"/>
            </w:tcBorders>
            <w:vAlign w:val="center"/>
            <w:hideMark/>
          </w:tcPr>
          <w:p w14:paraId="04F1C85A" w14:textId="77777777" w:rsidR="00ED3DA3" w:rsidRPr="00687DE8" w:rsidRDefault="00ED3DA3" w:rsidP="00ED3DA3">
            <w:pPr>
              <w:spacing w:after="0" w:line="240" w:lineRule="auto"/>
              <w:jc w:val="center"/>
              <w:rPr>
                <w:szCs w:val="24"/>
              </w:rPr>
            </w:pPr>
            <w:r w:rsidRPr="00687DE8">
              <w:rPr>
                <w:szCs w:val="24"/>
              </w:rPr>
              <w:t>1E2154</w:t>
            </w:r>
          </w:p>
        </w:tc>
        <w:tc>
          <w:tcPr>
            <w:tcW w:w="1811" w:type="dxa"/>
            <w:tcBorders>
              <w:top w:val="nil"/>
              <w:left w:val="single" w:sz="4" w:space="0" w:color="auto"/>
              <w:bottom w:val="single" w:sz="4" w:space="0" w:color="auto"/>
              <w:right w:val="single" w:sz="4" w:space="0" w:color="auto"/>
            </w:tcBorders>
            <w:noWrap/>
            <w:vAlign w:val="center"/>
            <w:hideMark/>
          </w:tcPr>
          <w:p w14:paraId="079C53B5" w14:textId="2635BC21" w:rsidR="4EC185AB" w:rsidRPr="00687DE8" w:rsidRDefault="00446305">
            <w:pPr>
              <w:spacing w:after="0"/>
              <w:jc w:val="center"/>
              <w:rPr>
                <w:color w:val="000000" w:themeColor="text1"/>
                <w:szCs w:val="24"/>
              </w:rPr>
            </w:pPr>
            <w:r>
              <w:rPr>
                <w:color w:val="000000"/>
              </w:rPr>
              <w:t>1 075,22</w:t>
            </w:r>
          </w:p>
        </w:tc>
      </w:tr>
      <w:tr w:rsidR="00ED3DA3" w:rsidRPr="00687DE8" w14:paraId="77D689A4"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265C3C6D" w14:textId="77777777" w:rsidR="00ED3DA3" w:rsidRPr="00687DE8" w:rsidRDefault="00ED3DA3" w:rsidP="00ED3DA3">
            <w:pPr>
              <w:spacing w:after="0" w:line="240" w:lineRule="auto"/>
              <w:rPr>
                <w:szCs w:val="24"/>
              </w:rPr>
            </w:pPr>
            <w:r w:rsidRPr="00687DE8">
              <w:rPr>
                <w:szCs w:val="24"/>
              </w:rPr>
              <w:t>Lõualuude resektsioon</w:t>
            </w:r>
          </w:p>
        </w:tc>
        <w:tc>
          <w:tcPr>
            <w:tcW w:w="1107" w:type="dxa"/>
            <w:tcBorders>
              <w:top w:val="single" w:sz="4" w:space="0" w:color="auto"/>
              <w:left w:val="nil"/>
              <w:bottom w:val="single" w:sz="4" w:space="0" w:color="auto"/>
              <w:right w:val="single" w:sz="4" w:space="0" w:color="auto"/>
            </w:tcBorders>
            <w:vAlign w:val="center"/>
            <w:hideMark/>
          </w:tcPr>
          <w:p w14:paraId="3B86E183" w14:textId="77777777" w:rsidR="00ED3DA3" w:rsidRPr="00687DE8" w:rsidRDefault="00ED3DA3" w:rsidP="00ED3DA3">
            <w:pPr>
              <w:spacing w:after="0" w:line="240" w:lineRule="auto"/>
              <w:jc w:val="center"/>
              <w:rPr>
                <w:szCs w:val="24"/>
              </w:rPr>
            </w:pPr>
            <w:r w:rsidRPr="00687DE8">
              <w:rPr>
                <w:szCs w:val="24"/>
              </w:rPr>
              <w:t>1E2155</w:t>
            </w:r>
          </w:p>
        </w:tc>
        <w:tc>
          <w:tcPr>
            <w:tcW w:w="1811" w:type="dxa"/>
            <w:tcBorders>
              <w:top w:val="nil"/>
              <w:left w:val="single" w:sz="4" w:space="0" w:color="auto"/>
              <w:bottom w:val="single" w:sz="4" w:space="0" w:color="auto"/>
              <w:right w:val="single" w:sz="4" w:space="0" w:color="auto"/>
            </w:tcBorders>
            <w:noWrap/>
            <w:vAlign w:val="center"/>
            <w:hideMark/>
          </w:tcPr>
          <w:p w14:paraId="01F1B2B2" w14:textId="767F1128" w:rsidR="4EC185AB" w:rsidRPr="00687DE8" w:rsidRDefault="00446305">
            <w:pPr>
              <w:spacing w:after="0"/>
              <w:jc w:val="center"/>
              <w:rPr>
                <w:color w:val="000000" w:themeColor="text1"/>
                <w:szCs w:val="24"/>
              </w:rPr>
            </w:pPr>
            <w:r>
              <w:rPr>
                <w:color w:val="000000"/>
              </w:rPr>
              <w:t>1 985,35</w:t>
            </w:r>
          </w:p>
        </w:tc>
      </w:tr>
      <w:tr w:rsidR="00ED3DA3" w:rsidRPr="00687DE8" w14:paraId="0C009465"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7C6B3EA1" w14:textId="77777777" w:rsidR="00ED3DA3" w:rsidRPr="00687DE8" w:rsidRDefault="00ED3DA3" w:rsidP="00ED3DA3">
            <w:pPr>
              <w:spacing w:after="0" w:line="240" w:lineRule="auto"/>
              <w:rPr>
                <w:szCs w:val="24"/>
              </w:rPr>
            </w:pPr>
            <w:r w:rsidRPr="00687DE8">
              <w:rPr>
                <w:szCs w:val="24"/>
              </w:rPr>
              <w:t>Mikrogeenia ja progeenia ning lahihambumuse kirurgiline ravi</w:t>
            </w:r>
          </w:p>
        </w:tc>
        <w:tc>
          <w:tcPr>
            <w:tcW w:w="1107" w:type="dxa"/>
            <w:tcBorders>
              <w:top w:val="single" w:sz="4" w:space="0" w:color="auto"/>
              <w:left w:val="nil"/>
              <w:bottom w:val="single" w:sz="4" w:space="0" w:color="auto"/>
              <w:right w:val="single" w:sz="4" w:space="0" w:color="auto"/>
            </w:tcBorders>
            <w:vAlign w:val="center"/>
            <w:hideMark/>
          </w:tcPr>
          <w:p w14:paraId="394E8F9D" w14:textId="77777777" w:rsidR="00ED3DA3" w:rsidRPr="00687DE8" w:rsidRDefault="00ED3DA3" w:rsidP="00ED3DA3">
            <w:pPr>
              <w:spacing w:after="0" w:line="240" w:lineRule="auto"/>
              <w:jc w:val="center"/>
              <w:rPr>
                <w:szCs w:val="24"/>
              </w:rPr>
            </w:pPr>
            <w:r w:rsidRPr="00687DE8">
              <w:rPr>
                <w:szCs w:val="24"/>
              </w:rPr>
              <w:t>1E2156</w:t>
            </w:r>
          </w:p>
        </w:tc>
        <w:tc>
          <w:tcPr>
            <w:tcW w:w="1811" w:type="dxa"/>
            <w:tcBorders>
              <w:top w:val="nil"/>
              <w:left w:val="single" w:sz="4" w:space="0" w:color="auto"/>
              <w:bottom w:val="single" w:sz="4" w:space="0" w:color="auto"/>
              <w:right w:val="single" w:sz="4" w:space="0" w:color="auto"/>
            </w:tcBorders>
            <w:noWrap/>
            <w:vAlign w:val="center"/>
            <w:hideMark/>
          </w:tcPr>
          <w:p w14:paraId="361A6697" w14:textId="03C21D34" w:rsidR="4EC185AB" w:rsidRPr="00687DE8" w:rsidRDefault="00446305">
            <w:pPr>
              <w:spacing w:after="0"/>
              <w:jc w:val="center"/>
              <w:rPr>
                <w:color w:val="000000" w:themeColor="text1"/>
                <w:szCs w:val="24"/>
              </w:rPr>
            </w:pPr>
            <w:r>
              <w:rPr>
                <w:color w:val="000000"/>
              </w:rPr>
              <w:t>1 386,54</w:t>
            </w:r>
          </w:p>
        </w:tc>
      </w:tr>
      <w:tr w:rsidR="00ED3DA3" w:rsidRPr="00687DE8" w14:paraId="055532DE"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0D49B080" w14:textId="77777777" w:rsidR="00ED3DA3" w:rsidRPr="00687DE8" w:rsidRDefault="00ED3DA3" w:rsidP="00ED3DA3">
            <w:pPr>
              <w:spacing w:after="0" w:line="240" w:lineRule="auto"/>
              <w:rPr>
                <w:szCs w:val="24"/>
              </w:rPr>
            </w:pPr>
            <w:r w:rsidRPr="00687DE8">
              <w:rPr>
                <w:szCs w:val="24"/>
              </w:rPr>
              <w:t>Mikrognaatia ja prognaatia kirurgiline ravi</w:t>
            </w:r>
          </w:p>
        </w:tc>
        <w:tc>
          <w:tcPr>
            <w:tcW w:w="1107" w:type="dxa"/>
            <w:tcBorders>
              <w:top w:val="single" w:sz="4" w:space="0" w:color="auto"/>
              <w:left w:val="nil"/>
              <w:bottom w:val="single" w:sz="4" w:space="0" w:color="auto"/>
              <w:right w:val="single" w:sz="4" w:space="0" w:color="auto"/>
            </w:tcBorders>
            <w:vAlign w:val="center"/>
            <w:hideMark/>
          </w:tcPr>
          <w:p w14:paraId="5F04CEC1" w14:textId="77777777" w:rsidR="00ED3DA3" w:rsidRPr="00687DE8" w:rsidRDefault="00ED3DA3" w:rsidP="00ED3DA3">
            <w:pPr>
              <w:spacing w:after="0" w:line="240" w:lineRule="auto"/>
              <w:jc w:val="center"/>
              <w:rPr>
                <w:szCs w:val="24"/>
              </w:rPr>
            </w:pPr>
            <w:r w:rsidRPr="00687DE8">
              <w:rPr>
                <w:szCs w:val="24"/>
              </w:rPr>
              <w:t>1E2157</w:t>
            </w:r>
          </w:p>
        </w:tc>
        <w:tc>
          <w:tcPr>
            <w:tcW w:w="1811" w:type="dxa"/>
            <w:tcBorders>
              <w:top w:val="nil"/>
              <w:left w:val="single" w:sz="4" w:space="0" w:color="auto"/>
              <w:bottom w:val="single" w:sz="4" w:space="0" w:color="auto"/>
              <w:right w:val="single" w:sz="4" w:space="0" w:color="auto"/>
            </w:tcBorders>
            <w:noWrap/>
            <w:vAlign w:val="center"/>
            <w:hideMark/>
          </w:tcPr>
          <w:p w14:paraId="471B7C39" w14:textId="48E6F622" w:rsidR="4EC185AB" w:rsidRPr="00687DE8" w:rsidRDefault="00446305">
            <w:pPr>
              <w:spacing w:after="0"/>
              <w:jc w:val="center"/>
              <w:rPr>
                <w:color w:val="000000" w:themeColor="text1"/>
                <w:szCs w:val="24"/>
              </w:rPr>
            </w:pPr>
            <w:r>
              <w:rPr>
                <w:color w:val="000000"/>
              </w:rPr>
              <w:t>1 386,54</w:t>
            </w:r>
          </w:p>
        </w:tc>
      </w:tr>
      <w:tr w:rsidR="00ED3DA3" w:rsidRPr="00687DE8" w14:paraId="0D7F8139"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308D2CC4" w14:textId="77777777" w:rsidR="00ED3DA3" w:rsidRPr="00687DE8" w:rsidRDefault="00ED3DA3" w:rsidP="00ED3DA3">
            <w:pPr>
              <w:spacing w:after="0" w:line="240" w:lineRule="auto"/>
              <w:rPr>
                <w:szCs w:val="24"/>
              </w:rPr>
            </w:pPr>
            <w:r w:rsidRPr="00687DE8">
              <w:rPr>
                <w:szCs w:val="24"/>
              </w:rPr>
              <w:t>Näo- ja lõualuupiirkonna kaasasündinud ja omandatud defektide ravi müokutaanse vaskulariseeritud transplantaadiga</w:t>
            </w:r>
          </w:p>
        </w:tc>
        <w:tc>
          <w:tcPr>
            <w:tcW w:w="1107" w:type="dxa"/>
            <w:tcBorders>
              <w:top w:val="single" w:sz="4" w:space="0" w:color="auto"/>
              <w:left w:val="nil"/>
              <w:bottom w:val="single" w:sz="4" w:space="0" w:color="auto"/>
              <w:right w:val="single" w:sz="4" w:space="0" w:color="auto"/>
            </w:tcBorders>
            <w:vAlign w:val="center"/>
          </w:tcPr>
          <w:p w14:paraId="32FB24EF" w14:textId="77777777" w:rsidR="00ED3DA3" w:rsidRPr="00687DE8" w:rsidRDefault="00ED3DA3" w:rsidP="00ED3DA3">
            <w:pPr>
              <w:spacing w:after="0" w:line="240" w:lineRule="auto"/>
              <w:jc w:val="center"/>
              <w:rPr>
                <w:szCs w:val="24"/>
              </w:rPr>
            </w:pPr>
          </w:p>
          <w:p w14:paraId="67C4B479" w14:textId="77777777" w:rsidR="00ED3DA3" w:rsidRPr="00687DE8" w:rsidRDefault="00ED3DA3" w:rsidP="00ED3DA3">
            <w:pPr>
              <w:spacing w:after="0" w:line="240" w:lineRule="auto"/>
              <w:jc w:val="center"/>
              <w:rPr>
                <w:szCs w:val="24"/>
              </w:rPr>
            </w:pPr>
            <w:r w:rsidRPr="00687DE8">
              <w:rPr>
                <w:szCs w:val="24"/>
              </w:rPr>
              <w:t>1E2158</w:t>
            </w:r>
          </w:p>
        </w:tc>
        <w:tc>
          <w:tcPr>
            <w:tcW w:w="1811" w:type="dxa"/>
            <w:tcBorders>
              <w:top w:val="nil"/>
              <w:left w:val="single" w:sz="4" w:space="0" w:color="auto"/>
              <w:bottom w:val="single" w:sz="4" w:space="0" w:color="auto"/>
              <w:right w:val="single" w:sz="4" w:space="0" w:color="auto"/>
            </w:tcBorders>
            <w:noWrap/>
            <w:vAlign w:val="center"/>
            <w:hideMark/>
          </w:tcPr>
          <w:p w14:paraId="1C20D58C" w14:textId="5F7D5090" w:rsidR="4EC185AB" w:rsidRPr="00687DE8" w:rsidRDefault="00446305">
            <w:pPr>
              <w:spacing w:after="0"/>
              <w:jc w:val="center"/>
              <w:rPr>
                <w:color w:val="000000" w:themeColor="text1"/>
                <w:szCs w:val="24"/>
              </w:rPr>
            </w:pPr>
            <w:r>
              <w:rPr>
                <w:color w:val="000000"/>
              </w:rPr>
              <w:t>2 684,93</w:t>
            </w:r>
          </w:p>
        </w:tc>
      </w:tr>
      <w:tr w:rsidR="00ED3DA3" w:rsidRPr="00687DE8" w14:paraId="657E3A57"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6F8D2958" w14:textId="77777777" w:rsidR="00ED3DA3" w:rsidRPr="00687DE8" w:rsidRDefault="00ED3DA3" w:rsidP="00ED3DA3">
            <w:pPr>
              <w:spacing w:after="0" w:line="240" w:lineRule="auto"/>
              <w:rPr>
                <w:szCs w:val="24"/>
              </w:rPr>
            </w:pPr>
            <w:r w:rsidRPr="00687DE8">
              <w:rPr>
                <w:szCs w:val="24"/>
              </w:rPr>
              <w:t>Näonärvi anastomooside moodustamine mikrokirurgilisel teel</w:t>
            </w:r>
          </w:p>
        </w:tc>
        <w:tc>
          <w:tcPr>
            <w:tcW w:w="1107" w:type="dxa"/>
            <w:tcBorders>
              <w:top w:val="single" w:sz="4" w:space="0" w:color="auto"/>
              <w:left w:val="nil"/>
              <w:bottom w:val="single" w:sz="4" w:space="0" w:color="auto"/>
              <w:right w:val="single" w:sz="4" w:space="0" w:color="auto"/>
            </w:tcBorders>
            <w:vAlign w:val="center"/>
            <w:hideMark/>
          </w:tcPr>
          <w:p w14:paraId="157801AD" w14:textId="77777777" w:rsidR="00ED3DA3" w:rsidRPr="00687DE8" w:rsidRDefault="00ED3DA3" w:rsidP="00ED3DA3">
            <w:pPr>
              <w:spacing w:after="0" w:line="240" w:lineRule="auto"/>
              <w:jc w:val="center"/>
              <w:rPr>
                <w:szCs w:val="24"/>
              </w:rPr>
            </w:pPr>
            <w:r w:rsidRPr="00687DE8">
              <w:rPr>
                <w:szCs w:val="24"/>
              </w:rPr>
              <w:t>1E2159</w:t>
            </w:r>
          </w:p>
        </w:tc>
        <w:tc>
          <w:tcPr>
            <w:tcW w:w="1811" w:type="dxa"/>
            <w:tcBorders>
              <w:top w:val="nil"/>
              <w:left w:val="single" w:sz="4" w:space="0" w:color="auto"/>
              <w:bottom w:val="single" w:sz="4" w:space="0" w:color="auto"/>
              <w:right w:val="single" w:sz="4" w:space="0" w:color="auto"/>
            </w:tcBorders>
            <w:noWrap/>
            <w:vAlign w:val="center"/>
            <w:hideMark/>
          </w:tcPr>
          <w:p w14:paraId="2237B43D" w14:textId="658898D3" w:rsidR="4EC185AB" w:rsidRPr="00687DE8" w:rsidRDefault="00446305">
            <w:pPr>
              <w:spacing w:after="0"/>
              <w:jc w:val="center"/>
              <w:rPr>
                <w:color w:val="000000" w:themeColor="text1"/>
                <w:szCs w:val="24"/>
              </w:rPr>
            </w:pPr>
            <w:r>
              <w:rPr>
                <w:color w:val="000000"/>
              </w:rPr>
              <w:t>2 734,26</w:t>
            </w:r>
          </w:p>
        </w:tc>
      </w:tr>
      <w:tr w:rsidR="00ED3DA3" w:rsidRPr="00687DE8" w14:paraId="17DE1226"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3691172A" w14:textId="77777777" w:rsidR="00ED3DA3" w:rsidRPr="00687DE8" w:rsidRDefault="00ED3DA3" w:rsidP="00ED3DA3">
            <w:pPr>
              <w:spacing w:after="0" w:line="240" w:lineRule="auto"/>
              <w:rPr>
                <w:szCs w:val="24"/>
              </w:rPr>
            </w:pPr>
            <w:r w:rsidRPr="00687DE8">
              <w:rPr>
                <w:szCs w:val="24"/>
              </w:rPr>
              <w:t>Orbitaalhüpertelorismi ravi</w:t>
            </w:r>
          </w:p>
        </w:tc>
        <w:tc>
          <w:tcPr>
            <w:tcW w:w="1107" w:type="dxa"/>
            <w:tcBorders>
              <w:top w:val="single" w:sz="4" w:space="0" w:color="auto"/>
              <w:left w:val="nil"/>
              <w:bottom w:val="single" w:sz="4" w:space="0" w:color="auto"/>
              <w:right w:val="single" w:sz="4" w:space="0" w:color="auto"/>
            </w:tcBorders>
            <w:vAlign w:val="center"/>
            <w:hideMark/>
          </w:tcPr>
          <w:p w14:paraId="77326DE3" w14:textId="77777777" w:rsidR="00ED3DA3" w:rsidRPr="00687DE8" w:rsidRDefault="00ED3DA3" w:rsidP="00ED3DA3">
            <w:pPr>
              <w:spacing w:after="0" w:line="240" w:lineRule="auto"/>
              <w:jc w:val="center"/>
              <w:rPr>
                <w:szCs w:val="24"/>
              </w:rPr>
            </w:pPr>
            <w:r w:rsidRPr="00687DE8">
              <w:rPr>
                <w:szCs w:val="24"/>
              </w:rPr>
              <w:t>1E2160</w:t>
            </w:r>
          </w:p>
        </w:tc>
        <w:tc>
          <w:tcPr>
            <w:tcW w:w="1811" w:type="dxa"/>
            <w:tcBorders>
              <w:top w:val="nil"/>
              <w:left w:val="single" w:sz="4" w:space="0" w:color="auto"/>
              <w:bottom w:val="single" w:sz="4" w:space="0" w:color="auto"/>
              <w:right w:val="single" w:sz="4" w:space="0" w:color="auto"/>
            </w:tcBorders>
            <w:noWrap/>
            <w:vAlign w:val="center"/>
            <w:hideMark/>
          </w:tcPr>
          <w:p w14:paraId="1CC71E9C" w14:textId="445BC1CD" w:rsidR="4EC185AB" w:rsidRPr="00687DE8" w:rsidRDefault="00446305">
            <w:pPr>
              <w:spacing w:after="0"/>
              <w:jc w:val="center"/>
              <w:rPr>
                <w:color w:val="000000" w:themeColor="text1"/>
                <w:szCs w:val="24"/>
              </w:rPr>
            </w:pPr>
            <w:r>
              <w:rPr>
                <w:color w:val="000000"/>
              </w:rPr>
              <w:t>2 301,69</w:t>
            </w:r>
          </w:p>
        </w:tc>
      </w:tr>
      <w:tr w:rsidR="00ED3DA3" w:rsidRPr="00687DE8" w14:paraId="02C14C87"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3D6B02B0" w14:textId="77777777" w:rsidR="00ED3DA3" w:rsidRPr="00687DE8" w:rsidRDefault="00ED3DA3" w:rsidP="00ED3DA3">
            <w:pPr>
              <w:spacing w:after="0" w:line="240" w:lineRule="auto"/>
              <w:rPr>
                <w:szCs w:val="24"/>
              </w:rPr>
            </w:pPr>
            <w:r w:rsidRPr="00687DE8">
              <w:rPr>
                <w:szCs w:val="24"/>
              </w:rPr>
              <w:t>Näokolju kirurgiline ravi koronaarse lõikega</w:t>
            </w:r>
          </w:p>
        </w:tc>
        <w:tc>
          <w:tcPr>
            <w:tcW w:w="1107" w:type="dxa"/>
            <w:tcBorders>
              <w:top w:val="single" w:sz="4" w:space="0" w:color="auto"/>
              <w:left w:val="nil"/>
              <w:bottom w:val="single" w:sz="4" w:space="0" w:color="auto"/>
              <w:right w:val="single" w:sz="4" w:space="0" w:color="auto"/>
            </w:tcBorders>
            <w:vAlign w:val="center"/>
            <w:hideMark/>
          </w:tcPr>
          <w:p w14:paraId="4D52ED55" w14:textId="77777777" w:rsidR="00ED3DA3" w:rsidRPr="00687DE8" w:rsidRDefault="00ED3DA3" w:rsidP="00ED3DA3">
            <w:pPr>
              <w:spacing w:after="0" w:line="240" w:lineRule="auto"/>
              <w:jc w:val="center"/>
              <w:rPr>
                <w:szCs w:val="24"/>
              </w:rPr>
            </w:pPr>
            <w:r w:rsidRPr="00687DE8">
              <w:rPr>
                <w:szCs w:val="24"/>
              </w:rPr>
              <w:t>1E2161</w:t>
            </w:r>
          </w:p>
        </w:tc>
        <w:tc>
          <w:tcPr>
            <w:tcW w:w="1811" w:type="dxa"/>
            <w:tcBorders>
              <w:top w:val="nil"/>
              <w:left w:val="single" w:sz="4" w:space="0" w:color="auto"/>
              <w:bottom w:val="single" w:sz="4" w:space="0" w:color="auto"/>
              <w:right w:val="single" w:sz="4" w:space="0" w:color="auto"/>
            </w:tcBorders>
            <w:noWrap/>
            <w:vAlign w:val="center"/>
            <w:hideMark/>
          </w:tcPr>
          <w:p w14:paraId="3862765D" w14:textId="0F26A593" w:rsidR="4EC185AB" w:rsidRPr="00687DE8" w:rsidRDefault="00446305">
            <w:pPr>
              <w:spacing w:after="0"/>
              <w:jc w:val="center"/>
              <w:rPr>
                <w:color w:val="000000" w:themeColor="text1"/>
                <w:szCs w:val="24"/>
              </w:rPr>
            </w:pPr>
            <w:r>
              <w:rPr>
                <w:color w:val="000000"/>
              </w:rPr>
              <w:t>3 044,97</w:t>
            </w:r>
          </w:p>
        </w:tc>
      </w:tr>
      <w:tr w:rsidR="00ED3DA3" w:rsidRPr="00687DE8" w14:paraId="1C306F54"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4CA1850D" w14:textId="77777777" w:rsidR="00ED3DA3" w:rsidRPr="00687DE8" w:rsidRDefault="00ED3DA3" w:rsidP="00ED3DA3">
            <w:pPr>
              <w:spacing w:after="0" w:line="240" w:lineRule="auto"/>
              <w:rPr>
                <w:szCs w:val="24"/>
              </w:rPr>
            </w:pPr>
            <w:r w:rsidRPr="00687DE8">
              <w:rPr>
                <w:szCs w:val="24"/>
              </w:rPr>
              <w:t>Kraniofatsiaalne resektsioon</w:t>
            </w:r>
          </w:p>
        </w:tc>
        <w:tc>
          <w:tcPr>
            <w:tcW w:w="1107" w:type="dxa"/>
            <w:tcBorders>
              <w:top w:val="single" w:sz="4" w:space="0" w:color="auto"/>
              <w:left w:val="nil"/>
              <w:bottom w:val="single" w:sz="4" w:space="0" w:color="auto"/>
              <w:right w:val="single" w:sz="4" w:space="0" w:color="auto"/>
            </w:tcBorders>
            <w:vAlign w:val="center"/>
            <w:hideMark/>
          </w:tcPr>
          <w:p w14:paraId="6B7A16ED" w14:textId="77777777" w:rsidR="00ED3DA3" w:rsidRPr="00687DE8" w:rsidRDefault="00ED3DA3" w:rsidP="00ED3DA3">
            <w:pPr>
              <w:spacing w:after="0" w:line="240" w:lineRule="auto"/>
              <w:jc w:val="center"/>
              <w:rPr>
                <w:szCs w:val="24"/>
              </w:rPr>
            </w:pPr>
            <w:r w:rsidRPr="00687DE8">
              <w:rPr>
                <w:szCs w:val="24"/>
              </w:rPr>
              <w:t>1E2162</w:t>
            </w:r>
          </w:p>
        </w:tc>
        <w:tc>
          <w:tcPr>
            <w:tcW w:w="1811" w:type="dxa"/>
            <w:tcBorders>
              <w:top w:val="nil"/>
              <w:left w:val="single" w:sz="4" w:space="0" w:color="auto"/>
              <w:bottom w:val="single" w:sz="4" w:space="0" w:color="auto"/>
              <w:right w:val="single" w:sz="4" w:space="0" w:color="auto"/>
            </w:tcBorders>
            <w:noWrap/>
            <w:vAlign w:val="center"/>
            <w:hideMark/>
          </w:tcPr>
          <w:p w14:paraId="55A0BD08" w14:textId="58AAB28C" w:rsidR="4EC185AB" w:rsidRPr="00687DE8" w:rsidRDefault="00446305">
            <w:pPr>
              <w:spacing w:after="0"/>
              <w:jc w:val="center"/>
              <w:rPr>
                <w:color w:val="000000" w:themeColor="text1"/>
                <w:szCs w:val="24"/>
              </w:rPr>
            </w:pPr>
            <w:r>
              <w:rPr>
                <w:color w:val="000000"/>
              </w:rPr>
              <w:t>4 035,76</w:t>
            </w:r>
          </w:p>
        </w:tc>
      </w:tr>
      <w:tr w:rsidR="00ED3DA3" w:rsidRPr="00687DE8" w14:paraId="6B3CB5D4"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092BADDB" w14:textId="77777777" w:rsidR="00ED3DA3" w:rsidRPr="00687DE8" w:rsidRDefault="00ED3DA3" w:rsidP="00ED3DA3">
            <w:pPr>
              <w:spacing w:after="0" w:line="240" w:lineRule="auto"/>
              <w:rPr>
                <w:szCs w:val="24"/>
              </w:rPr>
            </w:pPr>
            <w:r w:rsidRPr="00687DE8">
              <w:rPr>
                <w:szCs w:val="24"/>
              </w:rPr>
              <w:t>Metallosteosünteesimaterjali eemaldamine näo- ja lõualuupiirkonnas</w:t>
            </w:r>
          </w:p>
        </w:tc>
        <w:tc>
          <w:tcPr>
            <w:tcW w:w="1107" w:type="dxa"/>
            <w:tcBorders>
              <w:top w:val="single" w:sz="4" w:space="0" w:color="auto"/>
              <w:left w:val="nil"/>
              <w:bottom w:val="single" w:sz="4" w:space="0" w:color="auto"/>
              <w:right w:val="single" w:sz="4" w:space="0" w:color="auto"/>
            </w:tcBorders>
            <w:vAlign w:val="center"/>
          </w:tcPr>
          <w:p w14:paraId="6BB950D8" w14:textId="77777777" w:rsidR="00ED3DA3" w:rsidRPr="00687DE8" w:rsidRDefault="00ED3DA3" w:rsidP="00ED3DA3">
            <w:pPr>
              <w:spacing w:after="0" w:line="240" w:lineRule="auto"/>
              <w:jc w:val="center"/>
              <w:rPr>
                <w:szCs w:val="24"/>
              </w:rPr>
            </w:pPr>
          </w:p>
          <w:p w14:paraId="3F5F67B4" w14:textId="77777777" w:rsidR="00ED3DA3" w:rsidRPr="00687DE8" w:rsidRDefault="00ED3DA3" w:rsidP="00ED3DA3">
            <w:pPr>
              <w:spacing w:after="0" w:line="240" w:lineRule="auto"/>
              <w:jc w:val="center"/>
              <w:rPr>
                <w:szCs w:val="24"/>
              </w:rPr>
            </w:pPr>
            <w:r w:rsidRPr="00687DE8">
              <w:rPr>
                <w:szCs w:val="24"/>
              </w:rPr>
              <w:t>1E2164</w:t>
            </w:r>
          </w:p>
        </w:tc>
        <w:tc>
          <w:tcPr>
            <w:tcW w:w="1811" w:type="dxa"/>
            <w:tcBorders>
              <w:top w:val="nil"/>
              <w:left w:val="single" w:sz="4" w:space="0" w:color="auto"/>
              <w:bottom w:val="single" w:sz="4" w:space="0" w:color="auto"/>
              <w:right w:val="single" w:sz="4" w:space="0" w:color="auto"/>
            </w:tcBorders>
            <w:noWrap/>
            <w:vAlign w:val="center"/>
            <w:hideMark/>
          </w:tcPr>
          <w:p w14:paraId="6B87C3B4" w14:textId="27907CE7" w:rsidR="4EC185AB" w:rsidRPr="00687DE8" w:rsidRDefault="00446305">
            <w:pPr>
              <w:spacing w:after="0"/>
              <w:jc w:val="center"/>
              <w:rPr>
                <w:color w:val="000000" w:themeColor="text1"/>
                <w:szCs w:val="24"/>
              </w:rPr>
            </w:pPr>
            <w:r>
              <w:rPr>
                <w:color w:val="000000"/>
              </w:rPr>
              <w:t>671,32</w:t>
            </w:r>
          </w:p>
        </w:tc>
      </w:tr>
      <w:tr w:rsidR="00ED3DA3" w:rsidRPr="00687DE8" w14:paraId="3DF5B862"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131875E3" w14:textId="77777777" w:rsidR="00ED3DA3" w:rsidRPr="00687DE8" w:rsidRDefault="00ED3DA3" w:rsidP="00ED3DA3">
            <w:pPr>
              <w:spacing w:after="0" w:line="240" w:lineRule="auto"/>
              <w:rPr>
                <w:szCs w:val="24"/>
              </w:rPr>
            </w:pPr>
            <w:r w:rsidRPr="00687DE8">
              <w:rPr>
                <w:szCs w:val="24"/>
              </w:rPr>
              <w:t>Elementide või breketite kleepimine lõualuumurru fikseerimisel</w:t>
            </w:r>
          </w:p>
        </w:tc>
        <w:tc>
          <w:tcPr>
            <w:tcW w:w="1107" w:type="dxa"/>
            <w:tcBorders>
              <w:top w:val="single" w:sz="4" w:space="0" w:color="auto"/>
              <w:left w:val="nil"/>
              <w:bottom w:val="single" w:sz="4" w:space="0" w:color="auto"/>
              <w:right w:val="single" w:sz="4" w:space="0" w:color="auto"/>
            </w:tcBorders>
            <w:vAlign w:val="center"/>
            <w:hideMark/>
          </w:tcPr>
          <w:p w14:paraId="2C6F4049" w14:textId="77777777" w:rsidR="00ED3DA3" w:rsidRPr="00687DE8" w:rsidRDefault="00ED3DA3" w:rsidP="00ED3DA3">
            <w:pPr>
              <w:spacing w:after="0" w:line="240" w:lineRule="auto"/>
              <w:jc w:val="center"/>
              <w:rPr>
                <w:szCs w:val="24"/>
              </w:rPr>
            </w:pPr>
            <w:r w:rsidRPr="00687DE8">
              <w:rPr>
                <w:szCs w:val="24"/>
              </w:rPr>
              <w:t>1E2166</w:t>
            </w:r>
          </w:p>
        </w:tc>
        <w:tc>
          <w:tcPr>
            <w:tcW w:w="1811" w:type="dxa"/>
            <w:tcBorders>
              <w:top w:val="nil"/>
              <w:left w:val="single" w:sz="4" w:space="0" w:color="auto"/>
              <w:bottom w:val="single" w:sz="4" w:space="0" w:color="auto"/>
              <w:right w:val="single" w:sz="4" w:space="0" w:color="auto"/>
            </w:tcBorders>
            <w:noWrap/>
            <w:vAlign w:val="center"/>
            <w:hideMark/>
          </w:tcPr>
          <w:p w14:paraId="6D5A4A10" w14:textId="6D146DCD" w:rsidR="4EC185AB" w:rsidRPr="00687DE8" w:rsidRDefault="00446305">
            <w:pPr>
              <w:spacing w:after="0"/>
              <w:jc w:val="center"/>
              <w:rPr>
                <w:color w:val="000000" w:themeColor="text1"/>
                <w:szCs w:val="24"/>
              </w:rPr>
            </w:pPr>
            <w:r>
              <w:rPr>
                <w:color w:val="000000"/>
              </w:rPr>
              <w:t>519,73</w:t>
            </w:r>
          </w:p>
        </w:tc>
      </w:tr>
      <w:tr w:rsidR="00ED3DA3" w:rsidRPr="00687DE8" w14:paraId="2019F6EB"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16AF542E" w14:textId="77777777" w:rsidR="00ED3DA3" w:rsidRPr="00687DE8" w:rsidRDefault="00ED3DA3" w:rsidP="00ED3DA3">
            <w:pPr>
              <w:spacing w:after="0" w:line="240" w:lineRule="auto"/>
              <w:rPr>
                <w:szCs w:val="24"/>
              </w:rPr>
            </w:pPr>
            <w:r w:rsidRPr="00687DE8">
              <w:rPr>
                <w:szCs w:val="24"/>
              </w:rPr>
              <w:t>Alalõualuu liigese artrotsentees</w:t>
            </w:r>
          </w:p>
        </w:tc>
        <w:tc>
          <w:tcPr>
            <w:tcW w:w="1107" w:type="dxa"/>
            <w:tcBorders>
              <w:top w:val="single" w:sz="4" w:space="0" w:color="auto"/>
              <w:left w:val="nil"/>
              <w:bottom w:val="single" w:sz="4" w:space="0" w:color="auto"/>
              <w:right w:val="single" w:sz="4" w:space="0" w:color="auto"/>
            </w:tcBorders>
            <w:vAlign w:val="center"/>
            <w:hideMark/>
          </w:tcPr>
          <w:p w14:paraId="5F3D349D" w14:textId="77777777" w:rsidR="00ED3DA3" w:rsidRPr="00687DE8" w:rsidRDefault="00ED3DA3" w:rsidP="00ED3DA3">
            <w:pPr>
              <w:spacing w:after="0" w:line="240" w:lineRule="auto"/>
              <w:jc w:val="center"/>
              <w:rPr>
                <w:szCs w:val="24"/>
              </w:rPr>
            </w:pPr>
            <w:r w:rsidRPr="00687DE8">
              <w:rPr>
                <w:szCs w:val="24"/>
              </w:rPr>
              <w:t>1E2167</w:t>
            </w:r>
          </w:p>
        </w:tc>
        <w:tc>
          <w:tcPr>
            <w:tcW w:w="1811" w:type="dxa"/>
            <w:tcBorders>
              <w:top w:val="nil"/>
              <w:left w:val="single" w:sz="4" w:space="0" w:color="auto"/>
              <w:bottom w:val="single" w:sz="4" w:space="0" w:color="auto"/>
              <w:right w:val="single" w:sz="4" w:space="0" w:color="auto"/>
            </w:tcBorders>
            <w:noWrap/>
            <w:vAlign w:val="center"/>
            <w:hideMark/>
          </w:tcPr>
          <w:p w14:paraId="5D811F42" w14:textId="43C5410A" w:rsidR="4EC185AB" w:rsidRPr="00687DE8" w:rsidRDefault="00446305">
            <w:pPr>
              <w:spacing w:after="0"/>
              <w:jc w:val="center"/>
              <w:rPr>
                <w:color w:val="000000" w:themeColor="text1"/>
                <w:szCs w:val="24"/>
              </w:rPr>
            </w:pPr>
            <w:r>
              <w:rPr>
                <w:color w:val="000000"/>
              </w:rPr>
              <w:t>522,16</w:t>
            </w:r>
          </w:p>
        </w:tc>
      </w:tr>
      <w:tr w:rsidR="00ED3DA3" w:rsidRPr="00687DE8" w14:paraId="410E7B49"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1F226AA4" w14:textId="77777777" w:rsidR="00ED3DA3" w:rsidRPr="00687DE8" w:rsidRDefault="00ED3DA3" w:rsidP="00ED3DA3">
            <w:pPr>
              <w:spacing w:after="0" w:line="240" w:lineRule="auto"/>
              <w:rPr>
                <w:szCs w:val="24"/>
              </w:rPr>
            </w:pPr>
            <w:r w:rsidRPr="00687DE8">
              <w:rPr>
                <w:szCs w:val="24"/>
              </w:rPr>
              <w:t>Alalõualuu liigese artroskoopiline operatsioon</w:t>
            </w:r>
          </w:p>
        </w:tc>
        <w:tc>
          <w:tcPr>
            <w:tcW w:w="1107" w:type="dxa"/>
            <w:tcBorders>
              <w:top w:val="single" w:sz="4" w:space="0" w:color="auto"/>
              <w:left w:val="nil"/>
              <w:bottom w:val="single" w:sz="4" w:space="0" w:color="auto"/>
              <w:right w:val="single" w:sz="4" w:space="0" w:color="auto"/>
            </w:tcBorders>
            <w:vAlign w:val="center"/>
            <w:hideMark/>
          </w:tcPr>
          <w:p w14:paraId="0661E42F" w14:textId="77777777" w:rsidR="00ED3DA3" w:rsidRPr="00687DE8" w:rsidRDefault="00ED3DA3" w:rsidP="00ED3DA3">
            <w:pPr>
              <w:spacing w:after="0" w:line="240" w:lineRule="auto"/>
              <w:jc w:val="center"/>
              <w:rPr>
                <w:szCs w:val="24"/>
              </w:rPr>
            </w:pPr>
            <w:r w:rsidRPr="00687DE8">
              <w:rPr>
                <w:szCs w:val="24"/>
              </w:rPr>
              <w:t>1E2168</w:t>
            </w:r>
          </w:p>
        </w:tc>
        <w:tc>
          <w:tcPr>
            <w:tcW w:w="1811" w:type="dxa"/>
            <w:tcBorders>
              <w:top w:val="nil"/>
              <w:left w:val="single" w:sz="4" w:space="0" w:color="auto"/>
              <w:bottom w:val="single" w:sz="4" w:space="0" w:color="auto"/>
              <w:right w:val="single" w:sz="4" w:space="0" w:color="auto"/>
            </w:tcBorders>
            <w:noWrap/>
            <w:vAlign w:val="center"/>
            <w:hideMark/>
          </w:tcPr>
          <w:p w14:paraId="5389481E" w14:textId="015D084F" w:rsidR="4EC185AB" w:rsidRPr="00687DE8" w:rsidRDefault="00446305">
            <w:pPr>
              <w:spacing w:after="0"/>
              <w:jc w:val="center"/>
              <w:rPr>
                <w:color w:val="000000" w:themeColor="text1"/>
                <w:szCs w:val="24"/>
              </w:rPr>
            </w:pPr>
            <w:r>
              <w:rPr>
                <w:color w:val="000000"/>
              </w:rPr>
              <w:t>941,28</w:t>
            </w:r>
          </w:p>
        </w:tc>
      </w:tr>
      <w:tr w:rsidR="00ED3DA3" w:rsidRPr="00687DE8" w14:paraId="69A512BA"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639C8259" w14:textId="77777777" w:rsidR="00ED3DA3" w:rsidRPr="00687DE8" w:rsidRDefault="00ED3DA3" w:rsidP="00ED3DA3">
            <w:pPr>
              <w:spacing w:after="0" w:line="240" w:lineRule="auto"/>
              <w:rPr>
                <w:szCs w:val="24"/>
              </w:rPr>
            </w:pPr>
            <w:r w:rsidRPr="00687DE8">
              <w:rPr>
                <w:szCs w:val="24"/>
              </w:rPr>
              <w:t>Alalõualuu liigese artrotoomia-artroplastika</w:t>
            </w:r>
          </w:p>
        </w:tc>
        <w:tc>
          <w:tcPr>
            <w:tcW w:w="1107" w:type="dxa"/>
            <w:tcBorders>
              <w:top w:val="single" w:sz="4" w:space="0" w:color="auto"/>
              <w:left w:val="nil"/>
              <w:bottom w:val="single" w:sz="4" w:space="0" w:color="auto"/>
              <w:right w:val="single" w:sz="4" w:space="0" w:color="auto"/>
            </w:tcBorders>
            <w:vAlign w:val="center"/>
            <w:hideMark/>
          </w:tcPr>
          <w:p w14:paraId="06418094" w14:textId="77777777" w:rsidR="00ED3DA3" w:rsidRPr="00687DE8" w:rsidRDefault="00ED3DA3" w:rsidP="00ED3DA3">
            <w:pPr>
              <w:spacing w:after="0" w:line="240" w:lineRule="auto"/>
              <w:jc w:val="center"/>
              <w:rPr>
                <w:szCs w:val="24"/>
              </w:rPr>
            </w:pPr>
            <w:r w:rsidRPr="00687DE8">
              <w:rPr>
                <w:szCs w:val="24"/>
              </w:rPr>
              <w:t>1E2169</w:t>
            </w:r>
          </w:p>
        </w:tc>
        <w:tc>
          <w:tcPr>
            <w:tcW w:w="1811" w:type="dxa"/>
            <w:tcBorders>
              <w:top w:val="nil"/>
              <w:left w:val="single" w:sz="4" w:space="0" w:color="auto"/>
              <w:bottom w:val="single" w:sz="4" w:space="0" w:color="auto"/>
              <w:right w:val="single" w:sz="4" w:space="0" w:color="auto"/>
            </w:tcBorders>
            <w:noWrap/>
            <w:vAlign w:val="center"/>
            <w:hideMark/>
          </w:tcPr>
          <w:p w14:paraId="782C9F7D" w14:textId="691472D9" w:rsidR="4EC185AB" w:rsidRPr="00687DE8" w:rsidRDefault="00446305">
            <w:pPr>
              <w:spacing w:after="0"/>
              <w:jc w:val="center"/>
              <w:rPr>
                <w:color w:val="000000" w:themeColor="text1"/>
                <w:szCs w:val="24"/>
              </w:rPr>
            </w:pPr>
            <w:r>
              <w:rPr>
                <w:color w:val="000000"/>
              </w:rPr>
              <w:t>882,36</w:t>
            </w:r>
          </w:p>
        </w:tc>
      </w:tr>
      <w:tr w:rsidR="00ED3DA3" w:rsidRPr="00687DE8" w14:paraId="68985477"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7CCC5B15" w14:textId="77777777" w:rsidR="00ED3DA3" w:rsidRPr="00687DE8" w:rsidRDefault="00ED3DA3" w:rsidP="00ED3DA3">
            <w:pPr>
              <w:spacing w:after="0" w:line="240" w:lineRule="auto"/>
              <w:rPr>
                <w:szCs w:val="24"/>
              </w:rPr>
            </w:pPr>
            <w:r w:rsidRPr="00687DE8">
              <w:rPr>
                <w:szCs w:val="24"/>
              </w:rPr>
              <w:t>Koljupõhimiku ja parafarüngeaalsete kasvajate eemaldamine</w:t>
            </w:r>
          </w:p>
        </w:tc>
        <w:tc>
          <w:tcPr>
            <w:tcW w:w="1107" w:type="dxa"/>
            <w:tcBorders>
              <w:top w:val="single" w:sz="4" w:space="0" w:color="auto"/>
              <w:left w:val="nil"/>
              <w:bottom w:val="single" w:sz="4" w:space="0" w:color="auto"/>
              <w:right w:val="single" w:sz="4" w:space="0" w:color="auto"/>
            </w:tcBorders>
            <w:vAlign w:val="center"/>
            <w:hideMark/>
          </w:tcPr>
          <w:p w14:paraId="46CF3BF3" w14:textId="77777777" w:rsidR="00ED3DA3" w:rsidRPr="00687DE8" w:rsidRDefault="00ED3DA3" w:rsidP="00ED3DA3">
            <w:pPr>
              <w:spacing w:after="0" w:line="240" w:lineRule="auto"/>
              <w:jc w:val="center"/>
              <w:rPr>
                <w:szCs w:val="24"/>
              </w:rPr>
            </w:pPr>
            <w:r w:rsidRPr="00687DE8">
              <w:rPr>
                <w:szCs w:val="24"/>
              </w:rPr>
              <w:t>1E2172</w:t>
            </w:r>
          </w:p>
        </w:tc>
        <w:tc>
          <w:tcPr>
            <w:tcW w:w="1811" w:type="dxa"/>
            <w:tcBorders>
              <w:top w:val="nil"/>
              <w:left w:val="single" w:sz="4" w:space="0" w:color="auto"/>
              <w:bottom w:val="single" w:sz="4" w:space="0" w:color="auto"/>
              <w:right w:val="single" w:sz="4" w:space="0" w:color="auto"/>
            </w:tcBorders>
            <w:noWrap/>
            <w:vAlign w:val="center"/>
            <w:hideMark/>
          </w:tcPr>
          <w:p w14:paraId="1113ADDD" w14:textId="5086D8DB" w:rsidR="4EC185AB" w:rsidRPr="00687DE8" w:rsidRDefault="00446305" w:rsidP="007C39AF">
            <w:pPr>
              <w:spacing w:after="0"/>
              <w:jc w:val="center"/>
              <w:rPr>
                <w:color w:val="000000" w:themeColor="text1"/>
                <w:szCs w:val="24"/>
              </w:rPr>
            </w:pPr>
            <w:r>
              <w:rPr>
                <w:color w:val="000000"/>
              </w:rPr>
              <w:t>2 973,67</w:t>
            </w:r>
          </w:p>
        </w:tc>
      </w:tr>
      <w:tr w:rsidR="00ED3DA3" w:rsidRPr="00687DE8" w14:paraId="5D251588"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36ED42CE" w14:textId="77777777" w:rsidR="00ED3DA3" w:rsidRPr="00687DE8" w:rsidRDefault="00ED3DA3" w:rsidP="00ED3DA3">
            <w:pPr>
              <w:spacing w:after="0" w:line="240" w:lineRule="auto"/>
              <w:rPr>
                <w:szCs w:val="24"/>
              </w:rPr>
            </w:pPr>
            <w:r w:rsidRPr="00687DE8">
              <w:rPr>
                <w:i/>
                <w:szCs w:val="24"/>
              </w:rPr>
              <w:t>Vestibulum</w:t>
            </w:r>
            <w:r w:rsidRPr="00687DE8">
              <w:rPr>
                <w:szCs w:val="24"/>
              </w:rPr>
              <w:t>’i või suupõhja plastika</w:t>
            </w:r>
          </w:p>
        </w:tc>
        <w:tc>
          <w:tcPr>
            <w:tcW w:w="1107" w:type="dxa"/>
            <w:tcBorders>
              <w:top w:val="single" w:sz="4" w:space="0" w:color="auto"/>
              <w:left w:val="nil"/>
              <w:bottom w:val="single" w:sz="4" w:space="0" w:color="auto"/>
              <w:right w:val="single" w:sz="4" w:space="0" w:color="auto"/>
            </w:tcBorders>
            <w:vAlign w:val="center"/>
            <w:hideMark/>
          </w:tcPr>
          <w:p w14:paraId="4728B00D" w14:textId="77777777" w:rsidR="00ED3DA3" w:rsidRPr="00687DE8" w:rsidRDefault="00ED3DA3" w:rsidP="00ED3DA3">
            <w:pPr>
              <w:spacing w:after="0" w:line="240" w:lineRule="auto"/>
              <w:jc w:val="center"/>
              <w:rPr>
                <w:szCs w:val="24"/>
              </w:rPr>
            </w:pPr>
            <w:r w:rsidRPr="00687DE8">
              <w:rPr>
                <w:szCs w:val="24"/>
              </w:rPr>
              <w:t>1E2178</w:t>
            </w:r>
          </w:p>
        </w:tc>
        <w:tc>
          <w:tcPr>
            <w:tcW w:w="1811" w:type="dxa"/>
            <w:tcBorders>
              <w:top w:val="nil"/>
              <w:left w:val="single" w:sz="4" w:space="0" w:color="auto"/>
              <w:bottom w:val="single" w:sz="4" w:space="0" w:color="auto"/>
              <w:right w:val="single" w:sz="4" w:space="0" w:color="auto"/>
            </w:tcBorders>
            <w:noWrap/>
            <w:vAlign w:val="center"/>
            <w:hideMark/>
          </w:tcPr>
          <w:p w14:paraId="2E5C23E2" w14:textId="603A2FAF" w:rsidR="4EC185AB" w:rsidRPr="00687DE8" w:rsidRDefault="00446305" w:rsidP="007C39AF">
            <w:pPr>
              <w:spacing w:after="0"/>
              <w:jc w:val="center"/>
              <w:rPr>
                <w:color w:val="000000" w:themeColor="text1"/>
                <w:szCs w:val="24"/>
              </w:rPr>
            </w:pPr>
            <w:r>
              <w:rPr>
                <w:color w:val="000000"/>
              </w:rPr>
              <w:t>365,80</w:t>
            </w:r>
          </w:p>
        </w:tc>
      </w:tr>
      <w:tr w:rsidR="00ED3DA3" w:rsidRPr="00687DE8" w14:paraId="12A225E2" w14:textId="77777777" w:rsidTr="00AE3A29">
        <w:trPr>
          <w:divId w:val="1316184749"/>
          <w:trHeight w:val="315"/>
        </w:trPr>
        <w:tc>
          <w:tcPr>
            <w:tcW w:w="6433" w:type="dxa"/>
            <w:tcBorders>
              <w:top w:val="single" w:sz="4" w:space="0" w:color="auto"/>
              <w:left w:val="single" w:sz="4" w:space="0" w:color="auto"/>
              <w:bottom w:val="single" w:sz="4" w:space="0" w:color="auto"/>
              <w:right w:val="single" w:sz="4" w:space="0" w:color="auto"/>
            </w:tcBorders>
            <w:hideMark/>
          </w:tcPr>
          <w:p w14:paraId="72B7EA08" w14:textId="77777777" w:rsidR="00ED3DA3" w:rsidRPr="00687DE8" w:rsidRDefault="00ED3DA3" w:rsidP="00ED3DA3">
            <w:pPr>
              <w:spacing w:after="0" w:line="240" w:lineRule="auto"/>
              <w:rPr>
                <w:szCs w:val="24"/>
              </w:rPr>
            </w:pPr>
            <w:r w:rsidRPr="00687DE8">
              <w:rPr>
                <w:i/>
                <w:szCs w:val="24"/>
              </w:rPr>
              <w:t>Orbita</w:t>
            </w:r>
            <w:r w:rsidRPr="00687DE8">
              <w:rPr>
                <w:szCs w:val="24"/>
              </w:rPr>
              <w:t xml:space="preserve"> rekonstruktsioon</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49A16C4" w14:textId="77777777" w:rsidR="00ED3DA3" w:rsidRPr="00687DE8" w:rsidRDefault="00ED3DA3" w:rsidP="00ED3DA3">
            <w:pPr>
              <w:spacing w:after="0" w:line="240" w:lineRule="auto"/>
              <w:jc w:val="center"/>
              <w:rPr>
                <w:szCs w:val="24"/>
              </w:rPr>
            </w:pPr>
            <w:r w:rsidRPr="00687DE8">
              <w:rPr>
                <w:szCs w:val="24"/>
              </w:rPr>
              <w:t>1E2179</w:t>
            </w:r>
          </w:p>
        </w:tc>
        <w:tc>
          <w:tcPr>
            <w:tcW w:w="1811" w:type="dxa"/>
            <w:tcBorders>
              <w:top w:val="nil"/>
              <w:left w:val="single" w:sz="4" w:space="0" w:color="auto"/>
              <w:bottom w:val="single" w:sz="4" w:space="0" w:color="auto"/>
              <w:right w:val="single" w:sz="4" w:space="0" w:color="auto"/>
            </w:tcBorders>
            <w:noWrap/>
            <w:vAlign w:val="center"/>
            <w:hideMark/>
          </w:tcPr>
          <w:p w14:paraId="3F375D56" w14:textId="33443C85" w:rsidR="4EC185AB" w:rsidRPr="00687DE8" w:rsidRDefault="00446305" w:rsidP="007C39AF">
            <w:pPr>
              <w:spacing w:after="0"/>
              <w:jc w:val="center"/>
              <w:rPr>
                <w:color w:val="000000" w:themeColor="text1"/>
                <w:szCs w:val="24"/>
              </w:rPr>
            </w:pPr>
            <w:r>
              <w:rPr>
                <w:color w:val="000000"/>
              </w:rPr>
              <w:t>1 117,65</w:t>
            </w:r>
          </w:p>
        </w:tc>
      </w:tr>
    </w:tbl>
    <w:p w14:paraId="719416F5" w14:textId="77777777" w:rsidR="00976487" w:rsidRPr="00687DE8" w:rsidRDefault="00976487" w:rsidP="007A551D">
      <w:pPr>
        <w:spacing w:after="0" w:line="240" w:lineRule="auto"/>
        <w:jc w:val="both"/>
        <w:outlineLvl w:val="2"/>
        <w:divId w:val="1316184749"/>
        <w:rPr>
          <w:bCs/>
          <w:szCs w:val="24"/>
        </w:rPr>
      </w:pPr>
    </w:p>
    <w:p w14:paraId="59419642" w14:textId="77777777" w:rsidR="00976487" w:rsidRPr="00687DE8" w:rsidRDefault="007A551D" w:rsidP="008D2674">
      <w:pPr>
        <w:spacing w:after="0" w:line="240" w:lineRule="auto"/>
        <w:jc w:val="both"/>
        <w:outlineLvl w:val="2"/>
        <w:divId w:val="1316184749"/>
        <w:rPr>
          <w:szCs w:val="24"/>
        </w:rPr>
      </w:pPr>
      <w:r w:rsidRPr="00687DE8">
        <w:rPr>
          <w:szCs w:val="24"/>
        </w:rPr>
        <w:t>(</w:t>
      </w:r>
      <w:r w:rsidR="00FD4F86" w:rsidRPr="00687DE8">
        <w:rPr>
          <w:szCs w:val="24"/>
        </w:rPr>
        <w:t>2</w:t>
      </w:r>
      <w:r w:rsidRPr="00687DE8">
        <w:rPr>
          <w:szCs w:val="24"/>
        </w:rPr>
        <w:t>)</w:t>
      </w:r>
      <w:r w:rsidR="00FD4F86" w:rsidRPr="00687DE8">
        <w:rPr>
          <w:szCs w:val="24"/>
        </w:rPr>
        <w:t xml:space="preserve"> </w:t>
      </w:r>
      <w:r w:rsidR="00976487" w:rsidRPr="00687DE8">
        <w:rPr>
          <w:szCs w:val="24"/>
        </w:rPr>
        <w:t>Koodiga 52414 tähistatud tervishoiuteenust ei rakendata samal ajal lõikes 1 sätestatud tervishoiuteenustega.</w:t>
      </w:r>
    </w:p>
    <w:p w14:paraId="442E597D" w14:textId="77777777" w:rsidR="00976487" w:rsidRPr="00687DE8" w:rsidRDefault="00976487" w:rsidP="00976487">
      <w:pPr>
        <w:spacing w:after="0" w:line="240" w:lineRule="auto"/>
        <w:jc w:val="both"/>
        <w:outlineLvl w:val="2"/>
        <w:divId w:val="1316184749"/>
        <w:rPr>
          <w:b/>
          <w:bCs/>
          <w:szCs w:val="24"/>
        </w:rPr>
      </w:pPr>
    </w:p>
    <w:p w14:paraId="412BDF63" w14:textId="77777777" w:rsidR="00976487" w:rsidRDefault="00976487" w:rsidP="00976487">
      <w:pPr>
        <w:spacing w:after="0" w:line="240" w:lineRule="auto"/>
        <w:jc w:val="both"/>
        <w:outlineLvl w:val="2"/>
        <w:divId w:val="1316184749"/>
        <w:rPr>
          <w:b/>
          <w:szCs w:val="24"/>
        </w:rPr>
      </w:pPr>
      <w:r w:rsidRPr="00687DE8">
        <w:rPr>
          <w:b/>
          <w:szCs w:val="24"/>
        </w:rPr>
        <w:t>§ 5</w:t>
      </w:r>
      <w:r w:rsidR="000245EE" w:rsidRPr="00687DE8">
        <w:rPr>
          <w:b/>
          <w:szCs w:val="24"/>
        </w:rPr>
        <w:t>5</w:t>
      </w:r>
      <w:r w:rsidRPr="00687DE8">
        <w:rPr>
          <w:b/>
          <w:szCs w:val="24"/>
        </w:rPr>
        <w:t>. Oftalmoloogia operatsioonide piirhinnad</w:t>
      </w:r>
    </w:p>
    <w:p w14:paraId="0C75DD4C" w14:textId="77777777" w:rsidR="002635DB" w:rsidRDefault="002635DB" w:rsidP="00976487">
      <w:pPr>
        <w:spacing w:after="0" w:line="240" w:lineRule="auto"/>
        <w:jc w:val="both"/>
        <w:divId w:val="1316184749"/>
        <w:rPr>
          <w:szCs w:val="24"/>
        </w:rPr>
      </w:pPr>
    </w:p>
    <w:p w14:paraId="4B259DAC" w14:textId="53A217BF" w:rsidR="00976487" w:rsidRPr="00687DE8" w:rsidRDefault="00976487" w:rsidP="00976487">
      <w:pPr>
        <w:spacing w:after="0" w:line="240" w:lineRule="auto"/>
        <w:jc w:val="both"/>
        <w:divId w:val="1316184749"/>
        <w:rPr>
          <w:szCs w:val="24"/>
        </w:rPr>
      </w:pPr>
      <w:r w:rsidRPr="00687DE8">
        <w:rPr>
          <w:szCs w:val="24"/>
        </w:rPr>
        <w:t>(1) Oftalmoloogia operatsioonide piirhinnad on järgmised:</w:t>
      </w:r>
    </w:p>
    <w:p w14:paraId="7D1EBEF9"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5"/>
        <w:gridCol w:w="1090"/>
        <w:gridCol w:w="1350"/>
      </w:tblGrid>
      <w:tr w:rsidR="00976487" w:rsidRPr="00687DE8" w14:paraId="22367BFE" w14:textId="77777777" w:rsidTr="00D350D0">
        <w:trPr>
          <w:divId w:val="1316184749"/>
          <w:tblHeader/>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916174" w14:textId="77777777" w:rsidR="00976487" w:rsidRPr="00687DE8" w:rsidRDefault="00976487">
            <w:pPr>
              <w:spacing w:after="0" w:line="240" w:lineRule="auto"/>
              <w:jc w:val="center"/>
              <w:rPr>
                <w:szCs w:val="24"/>
              </w:rPr>
            </w:pPr>
            <w:r w:rsidRPr="00687DE8">
              <w:rPr>
                <w:b/>
                <w:bCs/>
                <w:szCs w:val="24"/>
              </w:rPr>
              <w:t>Tervishoiuteenuse nimetus</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545085" w14:textId="77777777" w:rsidR="00976487" w:rsidRPr="00687DE8" w:rsidRDefault="00976487">
            <w:pPr>
              <w:spacing w:after="0" w:line="240" w:lineRule="auto"/>
              <w:jc w:val="center"/>
              <w:rPr>
                <w:szCs w:val="24"/>
              </w:rPr>
            </w:pPr>
            <w:r w:rsidRPr="00687DE8">
              <w:rPr>
                <w:b/>
                <w:bCs/>
                <w:szCs w:val="24"/>
              </w:rPr>
              <w:t>Kood</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1CCB0"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342375" w:rsidRPr="00687DE8" w14:paraId="64007559"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3F8303" w14:textId="77777777" w:rsidR="00342375" w:rsidRPr="00687DE8" w:rsidRDefault="00342375" w:rsidP="00342375">
            <w:pPr>
              <w:spacing w:after="0" w:line="240" w:lineRule="auto"/>
              <w:rPr>
                <w:szCs w:val="24"/>
              </w:rPr>
            </w:pPr>
            <w:r w:rsidRPr="00687DE8">
              <w:rPr>
                <w:szCs w:val="24"/>
              </w:rPr>
              <w:t>Pteruugiumioperatsioon</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91C55B" w14:textId="77777777" w:rsidR="00342375" w:rsidRPr="00687DE8" w:rsidRDefault="00342375" w:rsidP="00342375">
            <w:pPr>
              <w:spacing w:after="0" w:line="240" w:lineRule="auto"/>
              <w:jc w:val="center"/>
              <w:rPr>
                <w:szCs w:val="24"/>
              </w:rPr>
            </w:pPr>
            <w:r w:rsidRPr="00687DE8">
              <w:rPr>
                <w:szCs w:val="24"/>
              </w:rPr>
              <w:t>10901</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23A267" w14:textId="5BD27C07" w:rsidR="4EC185AB" w:rsidRPr="00687DE8" w:rsidRDefault="00446305">
            <w:pPr>
              <w:spacing w:after="0"/>
              <w:jc w:val="center"/>
              <w:rPr>
                <w:color w:val="000000" w:themeColor="text1"/>
                <w:szCs w:val="24"/>
              </w:rPr>
            </w:pPr>
            <w:r>
              <w:rPr>
                <w:color w:val="000000"/>
              </w:rPr>
              <w:t>233,76</w:t>
            </w:r>
          </w:p>
        </w:tc>
      </w:tr>
      <w:tr w:rsidR="00342375" w:rsidRPr="00687DE8" w14:paraId="3ED776F8"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A2CC86" w14:textId="77777777" w:rsidR="00342375" w:rsidRPr="00687DE8" w:rsidRDefault="00342375" w:rsidP="00342375">
            <w:pPr>
              <w:spacing w:after="0" w:line="240" w:lineRule="auto"/>
              <w:rPr>
                <w:szCs w:val="24"/>
              </w:rPr>
            </w:pPr>
            <w:r w:rsidRPr="00687DE8">
              <w:rPr>
                <w:szCs w:val="24"/>
              </w:rPr>
              <w:t>Tsilikaarkeha diatermia ja krüoteraapia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8CE775" w14:textId="77777777" w:rsidR="00342375" w:rsidRPr="00687DE8" w:rsidRDefault="00342375" w:rsidP="00342375">
            <w:pPr>
              <w:spacing w:after="0" w:line="240" w:lineRule="auto"/>
              <w:jc w:val="center"/>
              <w:rPr>
                <w:szCs w:val="24"/>
              </w:rPr>
            </w:pPr>
            <w:r w:rsidRPr="00687DE8">
              <w:rPr>
                <w:szCs w:val="24"/>
              </w:rPr>
              <w:t>20901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5F08E4" w14:textId="34ECFDD9" w:rsidR="4EC185AB" w:rsidRPr="00687DE8" w:rsidRDefault="00446305">
            <w:pPr>
              <w:spacing w:after="0"/>
              <w:jc w:val="center"/>
              <w:rPr>
                <w:color w:val="000000" w:themeColor="text1"/>
                <w:szCs w:val="24"/>
              </w:rPr>
            </w:pPr>
            <w:r>
              <w:rPr>
                <w:color w:val="000000"/>
              </w:rPr>
              <w:t>256,40</w:t>
            </w:r>
          </w:p>
        </w:tc>
      </w:tr>
      <w:tr w:rsidR="00342375" w:rsidRPr="00687DE8" w14:paraId="09E1F3F2"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FBDE7C" w14:textId="77777777" w:rsidR="00342375" w:rsidRPr="00687DE8" w:rsidRDefault="00342375" w:rsidP="00342375">
            <w:pPr>
              <w:spacing w:after="0" w:line="240" w:lineRule="auto"/>
              <w:rPr>
                <w:szCs w:val="24"/>
              </w:rPr>
            </w:pPr>
            <w:r w:rsidRPr="00687DE8">
              <w:rPr>
                <w:szCs w:val="24"/>
              </w:rPr>
              <w:t>Entroopiumi ja ekstroopiumi operatsioon</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932572" w14:textId="77777777" w:rsidR="00342375" w:rsidRPr="00687DE8" w:rsidRDefault="00342375" w:rsidP="00342375">
            <w:pPr>
              <w:spacing w:after="0" w:line="240" w:lineRule="auto"/>
              <w:jc w:val="center"/>
              <w:rPr>
                <w:szCs w:val="24"/>
              </w:rPr>
            </w:pPr>
            <w:r w:rsidRPr="00687DE8">
              <w:rPr>
                <w:szCs w:val="24"/>
              </w:rPr>
              <w:t>20902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52A0F8" w14:textId="02D3377E" w:rsidR="4EC185AB" w:rsidRPr="00687DE8" w:rsidRDefault="00446305">
            <w:pPr>
              <w:spacing w:after="0"/>
              <w:jc w:val="center"/>
              <w:rPr>
                <w:color w:val="000000" w:themeColor="text1"/>
                <w:szCs w:val="24"/>
              </w:rPr>
            </w:pPr>
            <w:r>
              <w:rPr>
                <w:color w:val="000000"/>
              </w:rPr>
              <w:t>360,56</w:t>
            </w:r>
          </w:p>
        </w:tc>
      </w:tr>
      <w:tr w:rsidR="00342375" w:rsidRPr="00687DE8" w14:paraId="1D01648D"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5838D8" w14:textId="77777777" w:rsidR="00342375" w:rsidRPr="00687DE8" w:rsidRDefault="00342375" w:rsidP="00342375">
            <w:pPr>
              <w:spacing w:after="0" w:line="240" w:lineRule="auto"/>
              <w:rPr>
                <w:szCs w:val="24"/>
              </w:rPr>
            </w:pPr>
            <w:r w:rsidRPr="00687DE8">
              <w:rPr>
                <w:szCs w:val="24"/>
              </w:rPr>
              <w:t>Vigastatud laugude õmblus</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899D93" w14:textId="77777777" w:rsidR="00342375" w:rsidRPr="00687DE8" w:rsidRDefault="00342375" w:rsidP="00342375">
            <w:pPr>
              <w:spacing w:after="0" w:line="240" w:lineRule="auto"/>
              <w:jc w:val="center"/>
              <w:rPr>
                <w:szCs w:val="24"/>
              </w:rPr>
            </w:pPr>
            <w:r w:rsidRPr="00687DE8">
              <w:rPr>
                <w:szCs w:val="24"/>
              </w:rPr>
              <w:t>20903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0456D5" w14:textId="7C047F16" w:rsidR="4EC185AB" w:rsidRPr="00687DE8" w:rsidRDefault="00446305">
            <w:pPr>
              <w:spacing w:after="0"/>
              <w:jc w:val="center"/>
              <w:rPr>
                <w:color w:val="000000" w:themeColor="text1"/>
                <w:szCs w:val="24"/>
              </w:rPr>
            </w:pPr>
            <w:r>
              <w:rPr>
                <w:color w:val="000000"/>
              </w:rPr>
              <w:t>356,41</w:t>
            </w:r>
          </w:p>
        </w:tc>
      </w:tr>
      <w:tr w:rsidR="00342375" w:rsidRPr="00687DE8" w14:paraId="127ECBB5"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7B392E" w14:textId="77777777" w:rsidR="00342375" w:rsidRPr="00687DE8" w:rsidRDefault="00342375" w:rsidP="00342375">
            <w:pPr>
              <w:spacing w:after="0" w:line="240" w:lineRule="auto"/>
              <w:rPr>
                <w:szCs w:val="24"/>
              </w:rPr>
            </w:pPr>
            <w:r w:rsidRPr="00687DE8">
              <w:rPr>
                <w:szCs w:val="24"/>
              </w:rPr>
              <w:t>Silikoonimplantaadi või sarvkesta eemaldamine</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4D903F" w14:textId="77777777" w:rsidR="00342375" w:rsidRPr="00687DE8" w:rsidRDefault="00342375" w:rsidP="00342375">
            <w:pPr>
              <w:spacing w:after="0" w:line="240" w:lineRule="auto"/>
              <w:jc w:val="center"/>
              <w:rPr>
                <w:szCs w:val="24"/>
              </w:rPr>
            </w:pPr>
            <w:r w:rsidRPr="00687DE8">
              <w:rPr>
                <w:szCs w:val="24"/>
              </w:rPr>
              <w:t>20904</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C47D0B" w14:textId="538C768A" w:rsidR="4EC185AB" w:rsidRPr="00687DE8" w:rsidRDefault="00446305">
            <w:pPr>
              <w:spacing w:after="0"/>
              <w:jc w:val="center"/>
              <w:rPr>
                <w:color w:val="000000" w:themeColor="text1"/>
                <w:szCs w:val="24"/>
              </w:rPr>
            </w:pPr>
            <w:r>
              <w:rPr>
                <w:color w:val="000000"/>
              </w:rPr>
              <w:t>347,74</w:t>
            </w:r>
          </w:p>
        </w:tc>
      </w:tr>
      <w:tr w:rsidR="00342375" w:rsidRPr="00687DE8" w14:paraId="38925C3F"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59A304" w14:textId="77777777" w:rsidR="00342375" w:rsidRPr="00687DE8" w:rsidRDefault="00342375" w:rsidP="00342375">
            <w:pPr>
              <w:spacing w:after="0" w:line="240" w:lineRule="auto"/>
              <w:rPr>
                <w:szCs w:val="24"/>
              </w:rPr>
            </w:pPr>
            <w:r w:rsidRPr="00687DE8">
              <w:rPr>
                <w:szCs w:val="24"/>
              </w:rPr>
              <w:t>Eeskambri paratsentees</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CF9622" w14:textId="77777777" w:rsidR="00342375" w:rsidRPr="00687DE8" w:rsidRDefault="00342375" w:rsidP="00342375">
            <w:pPr>
              <w:spacing w:after="0" w:line="240" w:lineRule="auto"/>
              <w:jc w:val="center"/>
              <w:rPr>
                <w:szCs w:val="24"/>
              </w:rPr>
            </w:pPr>
            <w:r w:rsidRPr="00687DE8">
              <w:rPr>
                <w:szCs w:val="24"/>
              </w:rPr>
              <w:t>20905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2922E2" w14:textId="4EAC6D2A" w:rsidR="4EC185AB" w:rsidRPr="00687DE8" w:rsidRDefault="00446305">
            <w:pPr>
              <w:spacing w:after="0"/>
              <w:jc w:val="center"/>
              <w:rPr>
                <w:color w:val="000000" w:themeColor="text1"/>
                <w:szCs w:val="24"/>
              </w:rPr>
            </w:pPr>
            <w:r>
              <w:rPr>
                <w:color w:val="000000"/>
              </w:rPr>
              <w:t>233,45</w:t>
            </w:r>
          </w:p>
        </w:tc>
      </w:tr>
      <w:tr w:rsidR="00342375" w:rsidRPr="00687DE8" w14:paraId="53418764"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E9C064" w14:textId="77777777" w:rsidR="00342375" w:rsidRPr="00687DE8" w:rsidRDefault="00342375" w:rsidP="00342375">
            <w:pPr>
              <w:spacing w:after="0" w:line="240" w:lineRule="auto"/>
              <w:rPr>
                <w:szCs w:val="24"/>
              </w:rPr>
            </w:pPr>
            <w:r w:rsidRPr="00687DE8">
              <w:rPr>
                <w:szCs w:val="24"/>
              </w:rPr>
              <w:t>Tagumine skleerektoomia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869E8F" w14:textId="77777777" w:rsidR="00342375" w:rsidRPr="00687DE8" w:rsidRDefault="00342375" w:rsidP="00342375">
            <w:pPr>
              <w:spacing w:after="0" w:line="240" w:lineRule="auto"/>
              <w:jc w:val="center"/>
              <w:rPr>
                <w:szCs w:val="24"/>
              </w:rPr>
            </w:pPr>
            <w:r w:rsidRPr="00687DE8">
              <w:rPr>
                <w:szCs w:val="24"/>
              </w:rPr>
              <w:t>20906</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648C9C" w14:textId="47E4C6B7" w:rsidR="4EC185AB" w:rsidRPr="00687DE8" w:rsidRDefault="00446305">
            <w:pPr>
              <w:spacing w:after="0"/>
              <w:jc w:val="center"/>
              <w:rPr>
                <w:color w:val="000000" w:themeColor="text1"/>
                <w:szCs w:val="24"/>
              </w:rPr>
            </w:pPr>
            <w:r>
              <w:rPr>
                <w:color w:val="000000"/>
              </w:rPr>
              <w:t>266,94</w:t>
            </w:r>
          </w:p>
        </w:tc>
      </w:tr>
      <w:tr w:rsidR="00342375" w:rsidRPr="00687DE8" w14:paraId="7B65B3BE"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F3D927" w14:textId="77777777" w:rsidR="00342375" w:rsidRPr="00687DE8" w:rsidRDefault="00342375" w:rsidP="00342375">
            <w:pPr>
              <w:spacing w:after="0" w:line="240" w:lineRule="auto"/>
              <w:rPr>
                <w:szCs w:val="24"/>
              </w:rPr>
            </w:pPr>
            <w:r w:rsidRPr="00687DE8">
              <w:rPr>
                <w:szCs w:val="24"/>
              </w:rPr>
              <w:t>Evistseratsioon</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DE6E22" w14:textId="77777777" w:rsidR="00342375" w:rsidRPr="00687DE8" w:rsidRDefault="00342375" w:rsidP="00342375">
            <w:pPr>
              <w:spacing w:after="0" w:line="240" w:lineRule="auto"/>
              <w:jc w:val="center"/>
              <w:rPr>
                <w:szCs w:val="24"/>
              </w:rPr>
            </w:pPr>
            <w:r w:rsidRPr="00687DE8">
              <w:rPr>
                <w:szCs w:val="24"/>
              </w:rPr>
              <w:t>20908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1A69B1" w14:textId="2EA827E2" w:rsidR="4EC185AB" w:rsidRPr="00687DE8" w:rsidRDefault="00446305">
            <w:pPr>
              <w:spacing w:after="0"/>
              <w:jc w:val="center"/>
              <w:rPr>
                <w:color w:val="000000" w:themeColor="text1"/>
                <w:szCs w:val="24"/>
              </w:rPr>
            </w:pPr>
            <w:r>
              <w:rPr>
                <w:color w:val="000000"/>
              </w:rPr>
              <w:t>264,53</w:t>
            </w:r>
          </w:p>
        </w:tc>
      </w:tr>
      <w:tr w:rsidR="00342375" w:rsidRPr="00687DE8" w14:paraId="5860A429"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AD6B53" w14:textId="77777777" w:rsidR="00342375" w:rsidRPr="00687DE8" w:rsidRDefault="00342375" w:rsidP="00342375">
            <w:pPr>
              <w:spacing w:after="0" w:line="240" w:lineRule="auto"/>
              <w:rPr>
                <w:szCs w:val="24"/>
              </w:rPr>
            </w:pPr>
            <w:r w:rsidRPr="00687DE8">
              <w:rPr>
                <w:szCs w:val="24"/>
              </w:rPr>
              <w:t>Enukleatsioon implantaadita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FB06D3" w14:textId="77777777" w:rsidR="00342375" w:rsidRPr="00687DE8" w:rsidRDefault="00342375" w:rsidP="00342375">
            <w:pPr>
              <w:spacing w:after="0" w:line="240" w:lineRule="auto"/>
              <w:jc w:val="center"/>
              <w:rPr>
                <w:szCs w:val="24"/>
              </w:rPr>
            </w:pPr>
            <w:r w:rsidRPr="00687DE8">
              <w:rPr>
                <w:szCs w:val="24"/>
              </w:rPr>
              <w:t>20909</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123533" w14:textId="040ED4EF" w:rsidR="4EC185AB" w:rsidRPr="00687DE8" w:rsidRDefault="00446305">
            <w:pPr>
              <w:spacing w:after="0"/>
              <w:jc w:val="center"/>
              <w:rPr>
                <w:color w:val="000000" w:themeColor="text1"/>
                <w:szCs w:val="24"/>
              </w:rPr>
            </w:pPr>
            <w:r>
              <w:rPr>
                <w:color w:val="000000"/>
              </w:rPr>
              <w:t>315,22</w:t>
            </w:r>
          </w:p>
        </w:tc>
      </w:tr>
      <w:tr w:rsidR="00342375" w:rsidRPr="00687DE8" w14:paraId="1EA8229F"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869C1A" w14:textId="77777777" w:rsidR="00342375" w:rsidRPr="00687DE8" w:rsidRDefault="00342375" w:rsidP="00342375">
            <w:pPr>
              <w:spacing w:after="0" w:line="240" w:lineRule="auto"/>
              <w:rPr>
                <w:szCs w:val="24"/>
              </w:rPr>
            </w:pPr>
            <w:r w:rsidRPr="00687DE8">
              <w:rPr>
                <w:szCs w:val="24"/>
              </w:rPr>
              <w:t>Tsirkulaarne keratotoomia valutava bulloosse keratopaatia korral</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1F57CD" w14:textId="77777777" w:rsidR="00342375" w:rsidRPr="00687DE8" w:rsidRDefault="00342375" w:rsidP="00342375">
            <w:pPr>
              <w:spacing w:after="0" w:line="240" w:lineRule="auto"/>
              <w:jc w:val="center"/>
              <w:rPr>
                <w:szCs w:val="24"/>
              </w:rPr>
            </w:pPr>
            <w:r w:rsidRPr="00687DE8">
              <w:rPr>
                <w:szCs w:val="24"/>
              </w:rPr>
              <w:t>20910</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5B058B" w14:textId="480B8168" w:rsidR="4EC185AB" w:rsidRPr="00687DE8" w:rsidRDefault="00446305">
            <w:pPr>
              <w:spacing w:after="0"/>
              <w:jc w:val="center"/>
              <w:rPr>
                <w:color w:val="000000" w:themeColor="text1"/>
                <w:szCs w:val="24"/>
              </w:rPr>
            </w:pPr>
            <w:r>
              <w:rPr>
                <w:color w:val="000000"/>
              </w:rPr>
              <w:t>262,29</w:t>
            </w:r>
          </w:p>
        </w:tc>
      </w:tr>
      <w:tr w:rsidR="00342375" w:rsidRPr="00687DE8" w14:paraId="32E9AA5E"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44E74F" w14:textId="77777777" w:rsidR="00342375" w:rsidRPr="00687DE8" w:rsidRDefault="00342375" w:rsidP="00342375">
            <w:pPr>
              <w:spacing w:after="0" w:line="240" w:lineRule="auto"/>
              <w:rPr>
                <w:szCs w:val="24"/>
              </w:rPr>
            </w:pPr>
            <w:r w:rsidRPr="00687DE8">
              <w:rPr>
                <w:szCs w:val="24"/>
              </w:rPr>
              <w:t>Pisarakoti eemaldamine</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6A885B" w14:textId="77777777" w:rsidR="00342375" w:rsidRPr="00687DE8" w:rsidRDefault="00342375" w:rsidP="00342375">
            <w:pPr>
              <w:spacing w:after="0" w:line="240" w:lineRule="auto"/>
              <w:jc w:val="center"/>
              <w:rPr>
                <w:szCs w:val="24"/>
              </w:rPr>
            </w:pPr>
            <w:r w:rsidRPr="00687DE8">
              <w:rPr>
                <w:szCs w:val="24"/>
              </w:rPr>
              <w:t>30901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8035E0" w14:textId="7C704F8A" w:rsidR="4EC185AB" w:rsidRPr="00687DE8" w:rsidRDefault="00446305">
            <w:pPr>
              <w:spacing w:after="0"/>
              <w:jc w:val="center"/>
              <w:rPr>
                <w:color w:val="000000" w:themeColor="text1"/>
                <w:szCs w:val="24"/>
              </w:rPr>
            </w:pPr>
            <w:r>
              <w:rPr>
                <w:color w:val="000000"/>
              </w:rPr>
              <w:t>360,73</w:t>
            </w:r>
          </w:p>
        </w:tc>
      </w:tr>
      <w:tr w:rsidR="00342375" w:rsidRPr="00687DE8" w14:paraId="00CFDFEC"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39A121" w14:textId="77777777" w:rsidR="00342375" w:rsidRPr="00687DE8" w:rsidRDefault="00342375" w:rsidP="00342375">
            <w:pPr>
              <w:spacing w:after="0" w:line="240" w:lineRule="auto"/>
              <w:rPr>
                <w:szCs w:val="24"/>
              </w:rPr>
            </w:pPr>
            <w:r w:rsidRPr="00687DE8">
              <w:rPr>
                <w:szCs w:val="24"/>
              </w:rPr>
              <w:t>Strabismioperatsioon ühel sirglihasel</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E745AE" w14:textId="77777777" w:rsidR="00342375" w:rsidRPr="00687DE8" w:rsidRDefault="00342375" w:rsidP="00342375">
            <w:pPr>
              <w:spacing w:after="0" w:line="240" w:lineRule="auto"/>
              <w:jc w:val="center"/>
              <w:rPr>
                <w:szCs w:val="24"/>
              </w:rPr>
            </w:pPr>
            <w:r w:rsidRPr="00687DE8">
              <w:rPr>
                <w:szCs w:val="24"/>
              </w:rPr>
              <w:t>30902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997203" w14:textId="7BA85C63" w:rsidR="4EC185AB" w:rsidRPr="00687DE8" w:rsidRDefault="00446305">
            <w:pPr>
              <w:spacing w:after="0"/>
              <w:jc w:val="center"/>
              <w:rPr>
                <w:color w:val="000000" w:themeColor="text1"/>
                <w:szCs w:val="24"/>
              </w:rPr>
            </w:pPr>
            <w:r>
              <w:rPr>
                <w:color w:val="000000"/>
              </w:rPr>
              <w:t>301,98</w:t>
            </w:r>
          </w:p>
        </w:tc>
      </w:tr>
      <w:tr w:rsidR="00342375" w:rsidRPr="00687DE8" w14:paraId="3609AAAD"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CE1F3A" w14:textId="77777777" w:rsidR="00342375" w:rsidRPr="00687DE8" w:rsidRDefault="00342375" w:rsidP="00342375">
            <w:pPr>
              <w:spacing w:after="0" w:line="240" w:lineRule="auto"/>
              <w:rPr>
                <w:szCs w:val="24"/>
              </w:rPr>
            </w:pPr>
            <w:r w:rsidRPr="00687DE8">
              <w:rPr>
                <w:szCs w:val="24"/>
              </w:rPr>
              <w:t>Enukleatsioon implantaadiga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90BA48" w14:textId="77777777" w:rsidR="00342375" w:rsidRPr="00687DE8" w:rsidRDefault="00342375" w:rsidP="00342375">
            <w:pPr>
              <w:spacing w:after="0" w:line="240" w:lineRule="auto"/>
              <w:jc w:val="center"/>
              <w:rPr>
                <w:szCs w:val="24"/>
              </w:rPr>
            </w:pPr>
            <w:r w:rsidRPr="00687DE8">
              <w:rPr>
                <w:szCs w:val="24"/>
              </w:rPr>
              <w:t>30903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A94819" w14:textId="04ED3A87" w:rsidR="4EC185AB" w:rsidRPr="00687DE8" w:rsidRDefault="00446305">
            <w:pPr>
              <w:spacing w:after="0"/>
              <w:jc w:val="center"/>
              <w:rPr>
                <w:color w:val="000000" w:themeColor="text1"/>
                <w:szCs w:val="24"/>
              </w:rPr>
            </w:pPr>
            <w:r>
              <w:rPr>
                <w:color w:val="000000"/>
              </w:rPr>
              <w:t>475,02</w:t>
            </w:r>
          </w:p>
        </w:tc>
      </w:tr>
      <w:tr w:rsidR="00342375" w:rsidRPr="00687DE8" w14:paraId="7832C837"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E57D4D" w14:textId="77777777" w:rsidR="00342375" w:rsidRPr="00687DE8" w:rsidRDefault="00342375" w:rsidP="00342375">
            <w:pPr>
              <w:spacing w:after="0" w:line="240" w:lineRule="auto"/>
              <w:rPr>
                <w:szCs w:val="24"/>
              </w:rPr>
            </w:pPr>
            <w:r w:rsidRPr="00687DE8">
              <w:rPr>
                <w:szCs w:val="24"/>
              </w:rPr>
              <w:t>Jääkmembraani lõhestamine</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04AD45" w14:textId="77777777" w:rsidR="00342375" w:rsidRPr="00687DE8" w:rsidRDefault="00342375" w:rsidP="00342375">
            <w:pPr>
              <w:spacing w:after="0" w:line="240" w:lineRule="auto"/>
              <w:jc w:val="center"/>
              <w:rPr>
                <w:szCs w:val="24"/>
              </w:rPr>
            </w:pPr>
            <w:r w:rsidRPr="00687DE8">
              <w:rPr>
                <w:szCs w:val="24"/>
              </w:rPr>
              <w:t>30905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6BC8BF" w14:textId="1BEB0A90" w:rsidR="4EC185AB" w:rsidRPr="00687DE8" w:rsidRDefault="00446305">
            <w:pPr>
              <w:spacing w:after="0"/>
              <w:jc w:val="center"/>
              <w:rPr>
                <w:color w:val="000000" w:themeColor="text1"/>
                <w:szCs w:val="24"/>
              </w:rPr>
            </w:pPr>
            <w:r>
              <w:rPr>
                <w:color w:val="000000"/>
              </w:rPr>
              <w:t>265,47</w:t>
            </w:r>
          </w:p>
        </w:tc>
      </w:tr>
      <w:tr w:rsidR="00342375" w:rsidRPr="00687DE8" w14:paraId="2DEA716C"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37D64C" w14:textId="77777777" w:rsidR="00342375" w:rsidRPr="00687DE8" w:rsidRDefault="00342375" w:rsidP="00342375">
            <w:pPr>
              <w:spacing w:after="0" w:line="240" w:lineRule="auto"/>
              <w:rPr>
                <w:szCs w:val="24"/>
              </w:rPr>
            </w:pPr>
            <w:r w:rsidRPr="00687DE8">
              <w:rPr>
                <w:szCs w:val="24"/>
              </w:rPr>
              <w:t>Eesmine vitrektoomia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25063D" w14:textId="77777777" w:rsidR="00342375" w:rsidRPr="00687DE8" w:rsidRDefault="00342375" w:rsidP="00342375">
            <w:pPr>
              <w:spacing w:after="0" w:line="240" w:lineRule="auto"/>
              <w:jc w:val="center"/>
              <w:rPr>
                <w:szCs w:val="24"/>
              </w:rPr>
            </w:pPr>
            <w:r w:rsidRPr="00687DE8">
              <w:rPr>
                <w:szCs w:val="24"/>
              </w:rPr>
              <w:t>30906</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1D3EEA" w14:textId="2300EEA9" w:rsidR="4EC185AB" w:rsidRPr="00687DE8" w:rsidRDefault="00446305">
            <w:pPr>
              <w:spacing w:after="0"/>
              <w:jc w:val="center"/>
              <w:rPr>
                <w:color w:val="000000" w:themeColor="text1"/>
                <w:szCs w:val="24"/>
              </w:rPr>
            </w:pPr>
            <w:r>
              <w:rPr>
                <w:color w:val="000000"/>
              </w:rPr>
              <w:t>277,54</w:t>
            </w:r>
          </w:p>
        </w:tc>
      </w:tr>
      <w:tr w:rsidR="00342375" w:rsidRPr="00687DE8" w14:paraId="0A281CB9"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0E1A0C" w14:textId="77777777" w:rsidR="00342375" w:rsidRPr="00687DE8" w:rsidRDefault="00342375" w:rsidP="00342375">
            <w:pPr>
              <w:spacing w:after="0" w:line="240" w:lineRule="auto"/>
              <w:rPr>
                <w:szCs w:val="24"/>
              </w:rPr>
            </w:pPr>
            <w:r w:rsidRPr="00687DE8">
              <w:rPr>
                <w:szCs w:val="24"/>
              </w:rPr>
              <w:t>Ptoosioperatsioon</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0A01B9" w14:textId="77777777" w:rsidR="00342375" w:rsidRPr="00687DE8" w:rsidRDefault="00342375" w:rsidP="00342375">
            <w:pPr>
              <w:spacing w:after="0" w:line="240" w:lineRule="auto"/>
              <w:jc w:val="center"/>
              <w:rPr>
                <w:szCs w:val="24"/>
              </w:rPr>
            </w:pPr>
            <w:r w:rsidRPr="00687DE8">
              <w:rPr>
                <w:szCs w:val="24"/>
              </w:rPr>
              <w:t>30907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B08C80" w14:textId="75D093A5" w:rsidR="4EC185AB" w:rsidRPr="00687DE8" w:rsidRDefault="00446305">
            <w:pPr>
              <w:spacing w:after="0"/>
              <w:jc w:val="center"/>
              <w:rPr>
                <w:color w:val="000000" w:themeColor="text1"/>
                <w:szCs w:val="24"/>
              </w:rPr>
            </w:pPr>
            <w:r>
              <w:rPr>
                <w:color w:val="000000"/>
              </w:rPr>
              <w:t>388,50</w:t>
            </w:r>
          </w:p>
        </w:tc>
      </w:tr>
      <w:tr w:rsidR="00342375" w:rsidRPr="00687DE8" w14:paraId="20A6A70A"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E28FC4" w14:textId="77777777" w:rsidR="00342375" w:rsidRPr="00687DE8" w:rsidRDefault="00342375" w:rsidP="00342375">
            <w:pPr>
              <w:spacing w:after="0" w:line="240" w:lineRule="auto"/>
              <w:rPr>
                <w:szCs w:val="24"/>
              </w:rPr>
            </w:pPr>
            <w:r w:rsidRPr="00687DE8">
              <w:rPr>
                <w:szCs w:val="24"/>
              </w:rPr>
              <w:t>Strabismioperatsioon kahel sirglihasel</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B232A2" w14:textId="77777777" w:rsidR="00342375" w:rsidRPr="00687DE8" w:rsidRDefault="00342375" w:rsidP="00342375">
            <w:pPr>
              <w:spacing w:after="0" w:line="240" w:lineRule="auto"/>
              <w:jc w:val="center"/>
              <w:rPr>
                <w:szCs w:val="24"/>
              </w:rPr>
            </w:pPr>
            <w:r w:rsidRPr="00687DE8">
              <w:rPr>
                <w:szCs w:val="24"/>
              </w:rPr>
              <w:t>30908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184034" w14:textId="5DBD215E" w:rsidR="4EC185AB" w:rsidRPr="00687DE8" w:rsidRDefault="00446305">
            <w:pPr>
              <w:spacing w:after="0"/>
              <w:jc w:val="center"/>
              <w:rPr>
                <w:color w:val="000000" w:themeColor="text1"/>
                <w:szCs w:val="24"/>
              </w:rPr>
            </w:pPr>
            <w:r>
              <w:rPr>
                <w:color w:val="000000"/>
              </w:rPr>
              <w:t>388,50</w:t>
            </w:r>
          </w:p>
        </w:tc>
      </w:tr>
      <w:tr w:rsidR="00342375" w:rsidRPr="00687DE8" w14:paraId="0C1D01A7"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630167" w14:textId="77777777" w:rsidR="00342375" w:rsidRPr="00687DE8" w:rsidRDefault="00342375" w:rsidP="00342375">
            <w:pPr>
              <w:spacing w:after="0" w:line="240" w:lineRule="auto"/>
              <w:rPr>
                <w:szCs w:val="24"/>
              </w:rPr>
            </w:pPr>
            <w:r w:rsidRPr="00687DE8">
              <w:rPr>
                <w:szCs w:val="24"/>
              </w:rPr>
              <w:t>IOLi eemaldamine</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398CEE" w14:textId="77777777" w:rsidR="00342375" w:rsidRPr="00687DE8" w:rsidRDefault="00342375" w:rsidP="00342375">
            <w:pPr>
              <w:spacing w:after="0" w:line="240" w:lineRule="auto"/>
              <w:jc w:val="center"/>
              <w:rPr>
                <w:szCs w:val="24"/>
              </w:rPr>
            </w:pPr>
            <w:r w:rsidRPr="00687DE8">
              <w:rPr>
                <w:szCs w:val="24"/>
              </w:rPr>
              <w:t>40901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7F3150" w14:textId="3BB5F9E0" w:rsidR="4EC185AB" w:rsidRPr="00687DE8" w:rsidRDefault="00446305">
            <w:pPr>
              <w:spacing w:after="0"/>
              <w:jc w:val="center"/>
              <w:rPr>
                <w:color w:val="000000" w:themeColor="text1"/>
                <w:szCs w:val="24"/>
              </w:rPr>
            </w:pPr>
            <w:r>
              <w:rPr>
                <w:color w:val="000000"/>
              </w:rPr>
              <w:t>312,62</w:t>
            </w:r>
          </w:p>
        </w:tc>
      </w:tr>
      <w:tr w:rsidR="00342375" w:rsidRPr="00687DE8" w14:paraId="4C6E307C"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D5265A" w14:textId="77777777" w:rsidR="00342375" w:rsidRPr="00687DE8" w:rsidRDefault="00342375" w:rsidP="00342375">
            <w:pPr>
              <w:spacing w:after="0" w:line="240" w:lineRule="auto"/>
              <w:rPr>
                <w:szCs w:val="24"/>
              </w:rPr>
            </w:pPr>
            <w:r w:rsidRPr="00687DE8">
              <w:rPr>
                <w:szCs w:val="24"/>
              </w:rPr>
              <w:t>Strabismioperatsioon sirg- ja põikilihasel</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2D3DDC" w14:textId="77777777" w:rsidR="00342375" w:rsidRPr="00687DE8" w:rsidRDefault="00342375" w:rsidP="00342375">
            <w:pPr>
              <w:spacing w:after="0" w:line="240" w:lineRule="auto"/>
              <w:jc w:val="center"/>
              <w:rPr>
                <w:szCs w:val="24"/>
              </w:rPr>
            </w:pPr>
            <w:r w:rsidRPr="00687DE8">
              <w:rPr>
                <w:szCs w:val="24"/>
              </w:rPr>
              <w:t>40902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891E54" w14:textId="4F3FE156" w:rsidR="4EC185AB" w:rsidRPr="00687DE8" w:rsidRDefault="00446305">
            <w:pPr>
              <w:spacing w:after="0"/>
              <w:jc w:val="center"/>
              <w:rPr>
                <w:color w:val="000000" w:themeColor="text1"/>
                <w:szCs w:val="24"/>
              </w:rPr>
            </w:pPr>
            <w:r>
              <w:rPr>
                <w:color w:val="000000"/>
              </w:rPr>
              <w:t>484,90</w:t>
            </w:r>
          </w:p>
        </w:tc>
      </w:tr>
      <w:tr w:rsidR="00342375" w:rsidRPr="00687DE8" w14:paraId="2D7D9DD5"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46DED0" w14:textId="77777777" w:rsidR="00342375" w:rsidRPr="00687DE8" w:rsidRDefault="00342375" w:rsidP="00342375">
            <w:pPr>
              <w:spacing w:after="0" w:line="240" w:lineRule="auto"/>
              <w:rPr>
                <w:szCs w:val="24"/>
              </w:rPr>
            </w:pPr>
            <w:r w:rsidRPr="00687DE8">
              <w:rPr>
                <w:szCs w:val="24"/>
              </w:rPr>
              <w:t>Laugude plastiline operatsioon</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DE9C44" w14:textId="77777777" w:rsidR="00342375" w:rsidRPr="00687DE8" w:rsidRDefault="00342375" w:rsidP="00342375">
            <w:pPr>
              <w:spacing w:after="0" w:line="240" w:lineRule="auto"/>
              <w:jc w:val="center"/>
              <w:rPr>
                <w:szCs w:val="24"/>
              </w:rPr>
            </w:pPr>
            <w:r w:rsidRPr="00687DE8">
              <w:rPr>
                <w:szCs w:val="24"/>
              </w:rPr>
              <w:t>40903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522146" w14:textId="60B48DB6" w:rsidR="4EC185AB" w:rsidRPr="00687DE8" w:rsidRDefault="00446305">
            <w:pPr>
              <w:spacing w:after="0"/>
              <w:jc w:val="center"/>
              <w:rPr>
                <w:color w:val="000000" w:themeColor="text1"/>
                <w:szCs w:val="24"/>
              </w:rPr>
            </w:pPr>
            <w:r>
              <w:rPr>
                <w:color w:val="000000"/>
              </w:rPr>
              <w:t>484,90</w:t>
            </w:r>
          </w:p>
        </w:tc>
      </w:tr>
      <w:tr w:rsidR="00342375" w:rsidRPr="00687DE8" w14:paraId="01F8D61C"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1CC3A7" w14:textId="77777777" w:rsidR="00342375" w:rsidRPr="00687DE8" w:rsidRDefault="00342375" w:rsidP="00342375">
            <w:pPr>
              <w:spacing w:after="0" w:line="240" w:lineRule="auto"/>
              <w:rPr>
                <w:szCs w:val="24"/>
              </w:rPr>
            </w:pPr>
            <w:r w:rsidRPr="00687DE8">
              <w:rPr>
                <w:szCs w:val="24"/>
              </w:rPr>
              <w:t>Sarvkesta- ja valgekestaõmblus läbistava vigastuse puhul</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8ABE40" w14:textId="77777777" w:rsidR="00342375" w:rsidRPr="00687DE8" w:rsidRDefault="00342375" w:rsidP="00342375">
            <w:pPr>
              <w:spacing w:after="0" w:line="240" w:lineRule="auto"/>
              <w:jc w:val="center"/>
              <w:rPr>
                <w:szCs w:val="24"/>
              </w:rPr>
            </w:pPr>
            <w:r w:rsidRPr="00687DE8">
              <w:rPr>
                <w:szCs w:val="24"/>
              </w:rPr>
              <w:t>40904</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F16D1D" w14:textId="09AD676C" w:rsidR="4EC185AB" w:rsidRPr="00687DE8" w:rsidRDefault="00446305">
            <w:pPr>
              <w:spacing w:after="0"/>
              <w:jc w:val="center"/>
              <w:rPr>
                <w:color w:val="000000" w:themeColor="text1"/>
                <w:szCs w:val="24"/>
              </w:rPr>
            </w:pPr>
            <w:r>
              <w:rPr>
                <w:color w:val="000000"/>
              </w:rPr>
              <w:t>484,90</w:t>
            </w:r>
          </w:p>
        </w:tc>
      </w:tr>
      <w:tr w:rsidR="00342375" w:rsidRPr="00687DE8" w14:paraId="52C09A23"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3A9363" w14:textId="77777777" w:rsidR="00342375" w:rsidRPr="00687DE8" w:rsidRDefault="00342375" w:rsidP="00342375">
            <w:pPr>
              <w:spacing w:after="0" w:line="240" w:lineRule="auto"/>
              <w:rPr>
                <w:szCs w:val="24"/>
              </w:rPr>
            </w:pPr>
            <w:r w:rsidRPr="00687DE8">
              <w:rPr>
                <w:szCs w:val="24"/>
              </w:rPr>
              <w:t>Konjunktiivi plastika limaskesta siirdamisega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35250B" w14:textId="77777777" w:rsidR="00342375" w:rsidRPr="00687DE8" w:rsidRDefault="00342375" w:rsidP="00342375">
            <w:pPr>
              <w:spacing w:after="0" w:line="240" w:lineRule="auto"/>
              <w:jc w:val="center"/>
              <w:rPr>
                <w:szCs w:val="24"/>
              </w:rPr>
            </w:pPr>
            <w:r w:rsidRPr="00687DE8">
              <w:rPr>
                <w:szCs w:val="24"/>
              </w:rPr>
              <w:t>40905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60D1D3" w14:textId="5C6547B7" w:rsidR="4EC185AB" w:rsidRPr="00687DE8" w:rsidRDefault="00446305">
            <w:pPr>
              <w:spacing w:after="0"/>
              <w:jc w:val="center"/>
              <w:rPr>
                <w:color w:val="000000" w:themeColor="text1"/>
                <w:szCs w:val="24"/>
              </w:rPr>
            </w:pPr>
            <w:r>
              <w:rPr>
                <w:color w:val="000000"/>
              </w:rPr>
              <w:t>700,84</w:t>
            </w:r>
          </w:p>
        </w:tc>
      </w:tr>
      <w:tr w:rsidR="00342375" w:rsidRPr="00687DE8" w14:paraId="03311C65"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E620BC" w14:textId="77777777" w:rsidR="00342375" w:rsidRPr="00687DE8" w:rsidRDefault="00342375" w:rsidP="00342375">
            <w:pPr>
              <w:spacing w:after="0" w:line="240" w:lineRule="auto"/>
              <w:rPr>
                <w:szCs w:val="24"/>
              </w:rPr>
            </w:pPr>
            <w:r w:rsidRPr="00687DE8">
              <w:rPr>
                <w:szCs w:val="24"/>
              </w:rPr>
              <w:t>Jääkmembraani ekstirpatsioon</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8294FA" w14:textId="77777777" w:rsidR="00342375" w:rsidRPr="00687DE8" w:rsidRDefault="00342375" w:rsidP="00342375">
            <w:pPr>
              <w:spacing w:after="0" w:line="240" w:lineRule="auto"/>
              <w:jc w:val="center"/>
              <w:rPr>
                <w:szCs w:val="24"/>
              </w:rPr>
            </w:pPr>
            <w:r w:rsidRPr="00687DE8">
              <w:rPr>
                <w:szCs w:val="24"/>
              </w:rPr>
              <w:t>40906</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457660" w14:textId="347D1B23" w:rsidR="4EC185AB" w:rsidRPr="00687DE8" w:rsidRDefault="00446305">
            <w:pPr>
              <w:spacing w:after="0"/>
              <w:jc w:val="center"/>
              <w:rPr>
                <w:color w:val="000000" w:themeColor="text1"/>
                <w:szCs w:val="24"/>
              </w:rPr>
            </w:pPr>
            <w:r>
              <w:rPr>
                <w:color w:val="000000"/>
              </w:rPr>
              <w:t>356,26</w:t>
            </w:r>
          </w:p>
        </w:tc>
      </w:tr>
      <w:tr w:rsidR="00342375" w:rsidRPr="00687DE8" w14:paraId="11A34698"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1B13DB" w14:textId="77777777" w:rsidR="00342375" w:rsidRPr="00687DE8" w:rsidRDefault="00342375" w:rsidP="00342375">
            <w:pPr>
              <w:spacing w:after="0" w:line="240" w:lineRule="auto"/>
              <w:rPr>
                <w:szCs w:val="24"/>
              </w:rPr>
            </w:pPr>
            <w:r w:rsidRPr="00687DE8">
              <w:rPr>
                <w:szCs w:val="24"/>
              </w:rPr>
              <w:t>Tsüklodialüüs</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D55EC6" w14:textId="77777777" w:rsidR="00342375" w:rsidRPr="00687DE8" w:rsidRDefault="00342375" w:rsidP="00342375">
            <w:pPr>
              <w:spacing w:after="0" w:line="240" w:lineRule="auto"/>
              <w:jc w:val="center"/>
              <w:rPr>
                <w:szCs w:val="24"/>
              </w:rPr>
            </w:pPr>
            <w:r w:rsidRPr="00687DE8">
              <w:rPr>
                <w:szCs w:val="24"/>
              </w:rPr>
              <w:t>40907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EE0F70" w14:textId="3E86D785" w:rsidR="4EC185AB" w:rsidRPr="00687DE8" w:rsidRDefault="00446305">
            <w:pPr>
              <w:spacing w:after="0"/>
              <w:jc w:val="center"/>
              <w:rPr>
                <w:color w:val="000000" w:themeColor="text1"/>
                <w:szCs w:val="24"/>
              </w:rPr>
            </w:pPr>
            <w:r>
              <w:rPr>
                <w:color w:val="000000"/>
              </w:rPr>
              <w:t>298,58</w:t>
            </w:r>
          </w:p>
        </w:tc>
      </w:tr>
      <w:tr w:rsidR="00342375" w:rsidRPr="00687DE8" w14:paraId="58B49644"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D7E865" w14:textId="77777777" w:rsidR="00342375" w:rsidRPr="00687DE8" w:rsidRDefault="00342375" w:rsidP="00342375">
            <w:pPr>
              <w:spacing w:after="0" w:line="240" w:lineRule="auto"/>
              <w:rPr>
                <w:szCs w:val="24"/>
              </w:rPr>
            </w:pPr>
            <w:r w:rsidRPr="00687DE8">
              <w:rPr>
                <w:szCs w:val="24"/>
              </w:rPr>
              <w:t>Silmasisese magnet-võõrkeha eemaldamine</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FB46DA" w14:textId="77777777" w:rsidR="00342375" w:rsidRPr="00687DE8" w:rsidRDefault="00342375" w:rsidP="00342375">
            <w:pPr>
              <w:spacing w:after="0" w:line="240" w:lineRule="auto"/>
              <w:jc w:val="center"/>
              <w:rPr>
                <w:szCs w:val="24"/>
              </w:rPr>
            </w:pPr>
            <w:r w:rsidRPr="00687DE8">
              <w:rPr>
                <w:szCs w:val="24"/>
              </w:rPr>
              <w:t>40909</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9C43B0" w14:textId="5606DFEF" w:rsidR="4EC185AB" w:rsidRPr="00687DE8" w:rsidRDefault="00446305">
            <w:pPr>
              <w:spacing w:after="0"/>
              <w:jc w:val="center"/>
              <w:rPr>
                <w:color w:val="000000" w:themeColor="text1"/>
                <w:szCs w:val="24"/>
              </w:rPr>
            </w:pPr>
            <w:r>
              <w:rPr>
                <w:color w:val="000000"/>
              </w:rPr>
              <w:t>485,66</w:t>
            </w:r>
          </w:p>
        </w:tc>
      </w:tr>
      <w:tr w:rsidR="00342375" w:rsidRPr="00687DE8" w14:paraId="66367E50" w14:textId="77777777" w:rsidTr="00EB7A71">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F5888B" w14:textId="77777777" w:rsidR="00342375" w:rsidRPr="00687DE8" w:rsidRDefault="00342375" w:rsidP="00342375">
            <w:pPr>
              <w:spacing w:after="0" w:line="240" w:lineRule="auto"/>
              <w:rPr>
                <w:szCs w:val="24"/>
              </w:rPr>
            </w:pPr>
            <w:r w:rsidRPr="00687DE8">
              <w:rPr>
                <w:szCs w:val="24"/>
              </w:rPr>
              <w:t>Dakrüotsüstorinostoomia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840E2B" w14:textId="77777777" w:rsidR="00342375" w:rsidRPr="00687DE8" w:rsidRDefault="00342375" w:rsidP="00342375">
            <w:pPr>
              <w:spacing w:after="0" w:line="240" w:lineRule="auto"/>
              <w:jc w:val="center"/>
              <w:rPr>
                <w:szCs w:val="24"/>
              </w:rPr>
            </w:pPr>
            <w:r w:rsidRPr="00687DE8">
              <w:rPr>
                <w:szCs w:val="24"/>
              </w:rPr>
              <w:t>40910</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003BE7" w14:textId="60C9ACC3" w:rsidR="4EC185AB" w:rsidRPr="00687DE8" w:rsidRDefault="00446305">
            <w:pPr>
              <w:spacing w:after="0"/>
              <w:jc w:val="center"/>
              <w:rPr>
                <w:color w:val="000000" w:themeColor="text1"/>
                <w:szCs w:val="24"/>
              </w:rPr>
            </w:pPr>
            <w:r>
              <w:rPr>
                <w:color w:val="000000"/>
              </w:rPr>
              <w:t>534,50</w:t>
            </w:r>
          </w:p>
        </w:tc>
      </w:tr>
      <w:tr w:rsidR="00342375" w:rsidRPr="00687DE8" w14:paraId="05B745D0"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98B52D" w14:textId="77777777" w:rsidR="00342375" w:rsidRPr="00687DE8" w:rsidRDefault="00342375" w:rsidP="00342375">
            <w:pPr>
              <w:spacing w:after="0" w:line="240" w:lineRule="auto"/>
              <w:rPr>
                <w:szCs w:val="24"/>
              </w:rPr>
            </w:pPr>
            <w:r w:rsidRPr="00687DE8">
              <w:rPr>
                <w:szCs w:val="24"/>
              </w:rPr>
              <w:t>Aplikaatori fikseerimine silmale</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6B71B1" w14:textId="77777777" w:rsidR="00342375" w:rsidRPr="00687DE8" w:rsidRDefault="00342375" w:rsidP="00342375">
            <w:pPr>
              <w:spacing w:after="0" w:line="240" w:lineRule="auto"/>
              <w:jc w:val="center"/>
              <w:rPr>
                <w:szCs w:val="24"/>
              </w:rPr>
            </w:pPr>
            <w:r w:rsidRPr="00687DE8">
              <w:rPr>
                <w:szCs w:val="24"/>
              </w:rPr>
              <w:t>40911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CAFE20" w14:textId="33F5A5FC" w:rsidR="4EC185AB" w:rsidRPr="00687DE8" w:rsidRDefault="00446305">
            <w:pPr>
              <w:spacing w:after="0"/>
              <w:jc w:val="center"/>
              <w:rPr>
                <w:color w:val="000000" w:themeColor="text1"/>
                <w:szCs w:val="24"/>
              </w:rPr>
            </w:pPr>
            <w:r>
              <w:rPr>
                <w:color w:val="000000"/>
              </w:rPr>
              <w:t>470,86</w:t>
            </w:r>
          </w:p>
        </w:tc>
      </w:tr>
      <w:tr w:rsidR="00342375" w:rsidRPr="00687DE8" w14:paraId="40373071"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FDEBD7" w14:textId="77777777" w:rsidR="00342375" w:rsidRPr="00687DE8" w:rsidRDefault="00342375" w:rsidP="00342375">
            <w:pPr>
              <w:spacing w:after="0" w:line="240" w:lineRule="auto"/>
              <w:rPr>
                <w:szCs w:val="24"/>
              </w:rPr>
            </w:pPr>
            <w:r w:rsidRPr="00687DE8">
              <w:rPr>
                <w:szCs w:val="24"/>
              </w:rPr>
              <w:t xml:space="preserve">Võõrkeha eemaldamine </w:t>
            </w:r>
            <w:r w:rsidRPr="00687DE8">
              <w:rPr>
                <w:i/>
                <w:iCs/>
                <w:szCs w:val="24"/>
              </w:rPr>
              <w:t>orbita</w:t>
            </w:r>
            <w:r w:rsidRPr="00687DE8">
              <w:rPr>
                <w:szCs w:val="24"/>
              </w:rPr>
              <w:t>’st</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4D888C" w14:textId="77777777" w:rsidR="00342375" w:rsidRPr="00687DE8" w:rsidRDefault="00342375" w:rsidP="00342375">
            <w:pPr>
              <w:spacing w:after="0" w:line="240" w:lineRule="auto"/>
              <w:jc w:val="center"/>
              <w:rPr>
                <w:szCs w:val="24"/>
              </w:rPr>
            </w:pPr>
            <w:r w:rsidRPr="00687DE8">
              <w:rPr>
                <w:szCs w:val="24"/>
              </w:rPr>
              <w:t>40913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593326" w14:textId="71ED72A9" w:rsidR="4EC185AB" w:rsidRPr="00687DE8" w:rsidRDefault="00446305">
            <w:pPr>
              <w:spacing w:after="0"/>
              <w:jc w:val="center"/>
              <w:rPr>
                <w:color w:val="000000" w:themeColor="text1"/>
                <w:szCs w:val="24"/>
              </w:rPr>
            </w:pPr>
            <w:r>
              <w:rPr>
                <w:color w:val="000000"/>
              </w:rPr>
              <w:t>700,84</w:t>
            </w:r>
          </w:p>
        </w:tc>
      </w:tr>
      <w:tr w:rsidR="00342375" w:rsidRPr="00687DE8" w14:paraId="096A2089"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4A3033" w14:textId="77777777" w:rsidR="00342375" w:rsidRPr="00687DE8" w:rsidRDefault="00342375" w:rsidP="00342375">
            <w:pPr>
              <w:spacing w:after="0" w:line="240" w:lineRule="auto"/>
              <w:rPr>
                <w:szCs w:val="24"/>
              </w:rPr>
            </w:pPr>
            <w:r w:rsidRPr="00687DE8">
              <w:rPr>
                <w:szCs w:val="24"/>
              </w:rPr>
              <w:t>Amnioni membraani siirdamine sarvkestale</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27E380" w14:textId="77777777" w:rsidR="00342375" w:rsidRPr="00687DE8" w:rsidRDefault="00342375" w:rsidP="00342375">
            <w:pPr>
              <w:spacing w:after="0" w:line="240" w:lineRule="auto"/>
              <w:jc w:val="center"/>
              <w:rPr>
                <w:szCs w:val="24"/>
              </w:rPr>
            </w:pPr>
            <w:r w:rsidRPr="00687DE8">
              <w:rPr>
                <w:szCs w:val="24"/>
              </w:rPr>
              <w:t>40915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BBAA26" w14:textId="3D54AD7D" w:rsidR="4EC185AB" w:rsidRPr="00687DE8" w:rsidRDefault="00446305">
            <w:pPr>
              <w:spacing w:after="0"/>
              <w:jc w:val="center"/>
              <w:rPr>
                <w:color w:val="000000" w:themeColor="text1"/>
                <w:szCs w:val="24"/>
              </w:rPr>
            </w:pPr>
            <w:r>
              <w:rPr>
                <w:color w:val="000000"/>
              </w:rPr>
              <w:t>469,59</w:t>
            </w:r>
          </w:p>
        </w:tc>
      </w:tr>
      <w:tr w:rsidR="00342375" w:rsidRPr="00687DE8" w14:paraId="5A7AD907"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6EE609" w14:textId="77777777" w:rsidR="00342375" w:rsidRPr="00687DE8" w:rsidRDefault="00342375" w:rsidP="00342375">
            <w:pPr>
              <w:spacing w:after="0" w:line="240" w:lineRule="auto"/>
              <w:rPr>
                <w:szCs w:val="24"/>
              </w:rPr>
            </w:pPr>
            <w:r w:rsidRPr="00687DE8">
              <w:rPr>
                <w:szCs w:val="24"/>
              </w:rPr>
              <w:t>Amnioni membraani käitlemine ja säilitamine</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7BBEF1" w14:textId="77777777" w:rsidR="00342375" w:rsidRPr="00687DE8" w:rsidRDefault="00342375" w:rsidP="00342375">
            <w:pPr>
              <w:spacing w:after="0" w:line="240" w:lineRule="auto"/>
              <w:jc w:val="center"/>
              <w:rPr>
                <w:szCs w:val="24"/>
              </w:rPr>
            </w:pPr>
            <w:r w:rsidRPr="00687DE8">
              <w:rPr>
                <w:szCs w:val="24"/>
              </w:rPr>
              <w:t>1L2102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77AD7E" w14:textId="7490640E" w:rsidR="4EC185AB" w:rsidRPr="00687DE8" w:rsidRDefault="00446305">
            <w:pPr>
              <w:spacing w:after="0"/>
              <w:jc w:val="center"/>
              <w:rPr>
                <w:color w:val="000000" w:themeColor="text1"/>
                <w:szCs w:val="24"/>
              </w:rPr>
            </w:pPr>
            <w:r>
              <w:rPr>
                <w:color w:val="000000"/>
              </w:rPr>
              <w:t>1 376,98</w:t>
            </w:r>
          </w:p>
        </w:tc>
      </w:tr>
      <w:tr w:rsidR="00342375" w:rsidRPr="00687DE8" w14:paraId="5B01DF80"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E4CB45" w14:textId="77777777" w:rsidR="00342375" w:rsidRPr="00687DE8" w:rsidRDefault="00342375" w:rsidP="00342375">
            <w:pPr>
              <w:spacing w:after="0" w:line="240" w:lineRule="auto"/>
              <w:rPr>
                <w:szCs w:val="24"/>
              </w:rPr>
            </w:pPr>
            <w:r w:rsidRPr="00687DE8">
              <w:rPr>
                <w:szCs w:val="24"/>
              </w:rPr>
              <w:t>IOLi implantatsioon ilma kataraktioperatsioonita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56D4DC" w14:textId="77777777" w:rsidR="00342375" w:rsidRPr="00687DE8" w:rsidRDefault="00342375" w:rsidP="00342375">
            <w:pPr>
              <w:spacing w:after="0" w:line="240" w:lineRule="auto"/>
              <w:jc w:val="center"/>
              <w:rPr>
                <w:szCs w:val="24"/>
              </w:rPr>
            </w:pPr>
            <w:r w:rsidRPr="00687DE8">
              <w:rPr>
                <w:szCs w:val="24"/>
              </w:rPr>
              <w:t>50901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8166CC" w14:textId="625B7082" w:rsidR="4EC185AB" w:rsidRPr="00687DE8" w:rsidRDefault="00446305">
            <w:pPr>
              <w:spacing w:after="0"/>
              <w:jc w:val="center"/>
              <w:rPr>
                <w:color w:val="000000" w:themeColor="text1"/>
                <w:szCs w:val="24"/>
              </w:rPr>
            </w:pPr>
            <w:r>
              <w:rPr>
                <w:color w:val="000000"/>
              </w:rPr>
              <w:t>398,13</w:t>
            </w:r>
          </w:p>
        </w:tc>
      </w:tr>
      <w:tr w:rsidR="00342375" w:rsidRPr="00687DE8" w14:paraId="6787BDF5"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E811EE" w14:textId="77777777" w:rsidR="00342375" w:rsidRPr="00687DE8" w:rsidRDefault="00342375" w:rsidP="00342375">
            <w:pPr>
              <w:spacing w:after="0" w:line="240" w:lineRule="auto"/>
              <w:rPr>
                <w:szCs w:val="24"/>
              </w:rPr>
            </w:pPr>
            <w:r w:rsidRPr="00687DE8">
              <w:rPr>
                <w:szCs w:val="24"/>
              </w:rPr>
              <w:lastRenderedPageBreak/>
              <w:t>Pisarakanalikeste taastamine</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04CEE5" w14:textId="77777777" w:rsidR="00342375" w:rsidRPr="00687DE8" w:rsidRDefault="00342375" w:rsidP="00342375">
            <w:pPr>
              <w:spacing w:after="0" w:line="240" w:lineRule="auto"/>
              <w:jc w:val="center"/>
              <w:rPr>
                <w:szCs w:val="24"/>
              </w:rPr>
            </w:pPr>
            <w:r w:rsidRPr="00687DE8">
              <w:rPr>
                <w:szCs w:val="24"/>
              </w:rPr>
              <w:t>50905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4C90D8" w14:textId="68F81C24" w:rsidR="4EC185AB" w:rsidRPr="00687DE8" w:rsidRDefault="00446305">
            <w:pPr>
              <w:spacing w:after="0"/>
              <w:jc w:val="center"/>
              <w:rPr>
                <w:color w:val="000000" w:themeColor="text1"/>
                <w:szCs w:val="24"/>
              </w:rPr>
            </w:pPr>
            <w:r>
              <w:rPr>
                <w:color w:val="000000"/>
              </w:rPr>
              <w:t>571,17</w:t>
            </w:r>
          </w:p>
        </w:tc>
      </w:tr>
      <w:tr w:rsidR="00342375" w:rsidRPr="00687DE8" w14:paraId="4CC9C2F5"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8F4DD9" w14:textId="77777777" w:rsidR="00342375" w:rsidRPr="00687DE8" w:rsidRDefault="00342375" w:rsidP="00342375">
            <w:pPr>
              <w:spacing w:after="0" w:line="240" w:lineRule="auto"/>
              <w:rPr>
                <w:szCs w:val="24"/>
              </w:rPr>
            </w:pPr>
            <w:r w:rsidRPr="00687DE8">
              <w:rPr>
                <w:szCs w:val="24"/>
              </w:rPr>
              <w:t>Glaukoomi fistuliseeriv operatsioon</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AA629C" w14:textId="77777777" w:rsidR="00342375" w:rsidRPr="00687DE8" w:rsidRDefault="00342375" w:rsidP="00342375">
            <w:pPr>
              <w:spacing w:after="0" w:line="240" w:lineRule="auto"/>
              <w:jc w:val="center"/>
              <w:rPr>
                <w:szCs w:val="24"/>
              </w:rPr>
            </w:pPr>
            <w:r w:rsidRPr="00687DE8">
              <w:rPr>
                <w:szCs w:val="24"/>
              </w:rPr>
              <w:t>50908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57FAFA" w14:textId="115C8705" w:rsidR="4EC185AB" w:rsidRPr="00687DE8" w:rsidRDefault="00446305">
            <w:pPr>
              <w:spacing w:after="0"/>
              <w:jc w:val="center"/>
              <w:rPr>
                <w:color w:val="000000" w:themeColor="text1"/>
                <w:szCs w:val="24"/>
              </w:rPr>
            </w:pPr>
            <w:r>
              <w:rPr>
                <w:color w:val="000000"/>
              </w:rPr>
              <w:t>411,42</w:t>
            </w:r>
          </w:p>
        </w:tc>
      </w:tr>
      <w:tr w:rsidR="00342375" w:rsidRPr="00687DE8" w14:paraId="0A34FE8A"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490FA3" w14:textId="77777777" w:rsidR="00342375" w:rsidRPr="00687DE8" w:rsidRDefault="00342375" w:rsidP="00342375">
            <w:pPr>
              <w:spacing w:after="0" w:line="240" w:lineRule="auto"/>
              <w:rPr>
                <w:szCs w:val="24"/>
              </w:rPr>
            </w:pPr>
            <w:r w:rsidRPr="00687DE8">
              <w:rPr>
                <w:szCs w:val="24"/>
              </w:rPr>
              <w:t>Konjunktiivikoopa plastika proteesi paigaldamiseks</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E9C9DD" w14:textId="77777777" w:rsidR="00342375" w:rsidRPr="00687DE8" w:rsidRDefault="00342375" w:rsidP="00342375">
            <w:pPr>
              <w:spacing w:after="0" w:line="240" w:lineRule="auto"/>
              <w:jc w:val="center"/>
              <w:rPr>
                <w:szCs w:val="24"/>
              </w:rPr>
            </w:pPr>
            <w:r w:rsidRPr="00687DE8">
              <w:rPr>
                <w:szCs w:val="24"/>
              </w:rPr>
              <w:t>50910</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FA6BF" w14:textId="25B47A8C" w:rsidR="4EC185AB" w:rsidRPr="00687DE8" w:rsidRDefault="00446305">
            <w:pPr>
              <w:spacing w:after="0"/>
              <w:jc w:val="center"/>
              <w:rPr>
                <w:color w:val="000000" w:themeColor="text1"/>
                <w:szCs w:val="24"/>
              </w:rPr>
            </w:pPr>
            <w:r>
              <w:rPr>
                <w:color w:val="000000"/>
              </w:rPr>
              <w:t>727,92</w:t>
            </w:r>
          </w:p>
        </w:tc>
      </w:tr>
      <w:tr w:rsidR="00342375" w:rsidRPr="00687DE8" w14:paraId="31FE7A04"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15BC71" w14:textId="77777777" w:rsidR="00342375" w:rsidRPr="00687DE8" w:rsidRDefault="00342375" w:rsidP="00342375">
            <w:pPr>
              <w:spacing w:after="0" w:line="240" w:lineRule="auto"/>
              <w:rPr>
                <w:szCs w:val="24"/>
              </w:rPr>
            </w:pPr>
            <w:r w:rsidRPr="00687DE8">
              <w:rPr>
                <w:szCs w:val="24"/>
              </w:rPr>
              <w:t>Lau komplitseeritud plastiline operatsioon</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EAF965" w14:textId="77777777" w:rsidR="00342375" w:rsidRPr="00687DE8" w:rsidRDefault="00342375" w:rsidP="00342375">
            <w:pPr>
              <w:spacing w:after="0" w:line="240" w:lineRule="auto"/>
              <w:jc w:val="center"/>
              <w:rPr>
                <w:szCs w:val="24"/>
              </w:rPr>
            </w:pPr>
            <w:r w:rsidRPr="00687DE8">
              <w:rPr>
                <w:szCs w:val="24"/>
              </w:rPr>
              <w:t>50911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2174D4" w14:textId="17CE1B63" w:rsidR="4EC185AB" w:rsidRPr="00687DE8" w:rsidRDefault="00446305">
            <w:pPr>
              <w:spacing w:after="0"/>
              <w:jc w:val="center"/>
              <w:rPr>
                <w:color w:val="000000" w:themeColor="text1"/>
                <w:szCs w:val="24"/>
              </w:rPr>
            </w:pPr>
            <w:r>
              <w:rPr>
                <w:color w:val="000000"/>
              </w:rPr>
              <w:t>727,92</w:t>
            </w:r>
          </w:p>
        </w:tc>
      </w:tr>
      <w:tr w:rsidR="00342375" w:rsidRPr="00687DE8" w14:paraId="1D75D9D4"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9BC9A4" w14:textId="77777777" w:rsidR="00342375" w:rsidRPr="00687DE8" w:rsidRDefault="00342375" w:rsidP="00342375">
            <w:pPr>
              <w:spacing w:after="0" w:line="240" w:lineRule="auto"/>
              <w:rPr>
                <w:szCs w:val="24"/>
              </w:rPr>
            </w:pPr>
            <w:r w:rsidRPr="00687DE8">
              <w:rPr>
                <w:i/>
                <w:iCs/>
                <w:szCs w:val="24"/>
              </w:rPr>
              <w:t>Orbita</w:t>
            </w:r>
            <w:r w:rsidRPr="00687DE8">
              <w:rPr>
                <w:szCs w:val="24"/>
              </w:rPr>
              <w:t xml:space="preserve"> eksentseratsioon</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93586C" w14:textId="77777777" w:rsidR="00342375" w:rsidRPr="00687DE8" w:rsidRDefault="00342375" w:rsidP="00342375">
            <w:pPr>
              <w:spacing w:after="0" w:line="240" w:lineRule="auto"/>
              <w:jc w:val="center"/>
              <w:rPr>
                <w:szCs w:val="24"/>
              </w:rPr>
            </w:pPr>
            <w:r w:rsidRPr="00687DE8">
              <w:rPr>
                <w:szCs w:val="24"/>
              </w:rPr>
              <w:t>50912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A76FB3" w14:textId="58FD663A" w:rsidR="4EC185AB" w:rsidRPr="00687DE8" w:rsidRDefault="00446305">
            <w:pPr>
              <w:spacing w:after="0"/>
              <w:jc w:val="center"/>
              <w:rPr>
                <w:color w:val="000000" w:themeColor="text1"/>
                <w:szCs w:val="24"/>
              </w:rPr>
            </w:pPr>
            <w:r>
              <w:rPr>
                <w:color w:val="000000"/>
              </w:rPr>
              <w:t>715,53</w:t>
            </w:r>
          </w:p>
        </w:tc>
      </w:tr>
      <w:tr w:rsidR="00342375" w:rsidRPr="00687DE8" w14:paraId="74A6AF18"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325954" w14:textId="77777777" w:rsidR="00342375" w:rsidRPr="00687DE8" w:rsidRDefault="00342375" w:rsidP="00342375">
            <w:pPr>
              <w:spacing w:after="0" w:line="240" w:lineRule="auto"/>
              <w:rPr>
                <w:szCs w:val="24"/>
              </w:rPr>
            </w:pPr>
            <w:r w:rsidRPr="00687DE8">
              <w:rPr>
                <w:szCs w:val="24"/>
              </w:rPr>
              <w:t>Kihiline keratoplastika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F99D804" w14:textId="77777777" w:rsidR="00342375" w:rsidRPr="00687DE8" w:rsidRDefault="00342375" w:rsidP="00342375">
            <w:pPr>
              <w:spacing w:after="0" w:line="240" w:lineRule="auto"/>
              <w:jc w:val="center"/>
              <w:rPr>
                <w:szCs w:val="24"/>
              </w:rPr>
            </w:pPr>
            <w:r w:rsidRPr="00687DE8">
              <w:rPr>
                <w:szCs w:val="24"/>
              </w:rPr>
              <w:t>50913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1BBB30" w14:textId="0C47A0EE" w:rsidR="4EC185AB" w:rsidRPr="00687DE8" w:rsidRDefault="00446305">
            <w:pPr>
              <w:spacing w:after="0"/>
              <w:jc w:val="center"/>
              <w:rPr>
                <w:color w:val="000000" w:themeColor="text1"/>
                <w:szCs w:val="24"/>
              </w:rPr>
            </w:pPr>
            <w:r>
              <w:rPr>
                <w:color w:val="000000"/>
              </w:rPr>
              <w:t>497,94</w:t>
            </w:r>
          </w:p>
        </w:tc>
      </w:tr>
      <w:tr w:rsidR="00342375" w:rsidRPr="00687DE8" w14:paraId="6A862EE3"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983104" w14:textId="77777777" w:rsidR="00342375" w:rsidRPr="00687DE8" w:rsidRDefault="00342375" w:rsidP="00342375">
            <w:pPr>
              <w:spacing w:after="0" w:line="240" w:lineRule="auto"/>
              <w:rPr>
                <w:szCs w:val="24"/>
              </w:rPr>
            </w:pPr>
            <w:r w:rsidRPr="00687DE8">
              <w:rPr>
                <w:szCs w:val="24"/>
              </w:rPr>
              <w:t>Surnud doonori silmade sarvkestade käitlus siirdamiseks, sealhulgas sarvkesta eemaldamine</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E9D45B0" w14:textId="77777777" w:rsidR="00342375" w:rsidRPr="00687DE8" w:rsidRDefault="00342375" w:rsidP="00342375">
            <w:pPr>
              <w:spacing w:after="0" w:line="240" w:lineRule="auto"/>
              <w:jc w:val="center"/>
              <w:rPr>
                <w:szCs w:val="24"/>
              </w:rPr>
            </w:pPr>
            <w:r w:rsidRPr="00687DE8">
              <w:rPr>
                <w:szCs w:val="24"/>
              </w:rPr>
              <w:t>50914</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EB1006" w14:textId="32F5867B" w:rsidR="4EC185AB" w:rsidRPr="00687DE8" w:rsidRDefault="00446305">
            <w:pPr>
              <w:spacing w:after="0"/>
              <w:jc w:val="center"/>
              <w:rPr>
                <w:color w:val="000000" w:themeColor="text1"/>
                <w:szCs w:val="24"/>
              </w:rPr>
            </w:pPr>
            <w:r>
              <w:rPr>
                <w:color w:val="000000"/>
              </w:rPr>
              <w:t>519,84</w:t>
            </w:r>
          </w:p>
        </w:tc>
      </w:tr>
      <w:tr w:rsidR="00342375" w:rsidRPr="00687DE8" w14:paraId="36384AD7"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C1A3AA" w14:textId="77777777" w:rsidR="00342375" w:rsidRPr="00687DE8" w:rsidRDefault="00342375" w:rsidP="00342375">
            <w:pPr>
              <w:spacing w:after="0" w:line="240" w:lineRule="auto"/>
              <w:rPr>
                <w:szCs w:val="24"/>
              </w:rPr>
            </w:pPr>
            <w:r w:rsidRPr="00687DE8">
              <w:rPr>
                <w:szCs w:val="24"/>
              </w:rPr>
              <w:t>Amagneetse silmasisese võõrkeha eemaldamine</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7B08B7E" w14:textId="77777777" w:rsidR="00342375" w:rsidRPr="00687DE8" w:rsidRDefault="00342375" w:rsidP="00342375">
            <w:pPr>
              <w:spacing w:after="0" w:line="240" w:lineRule="auto"/>
              <w:jc w:val="center"/>
              <w:rPr>
                <w:szCs w:val="24"/>
              </w:rPr>
            </w:pPr>
            <w:r w:rsidRPr="00687DE8">
              <w:rPr>
                <w:szCs w:val="24"/>
              </w:rPr>
              <w:t>60901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90C53F" w14:textId="1034E31F" w:rsidR="4EC185AB" w:rsidRPr="00687DE8" w:rsidRDefault="00446305">
            <w:pPr>
              <w:spacing w:after="0"/>
              <w:jc w:val="center"/>
              <w:rPr>
                <w:color w:val="000000" w:themeColor="text1"/>
                <w:szCs w:val="24"/>
              </w:rPr>
            </w:pPr>
            <w:r>
              <w:rPr>
                <w:color w:val="000000"/>
              </w:rPr>
              <w:t>746,77</w:t>
            </w:r>
          </w:p>
        </w:tc>
      </w:tr>
      <w:tr w:rsidR="00342375" w:rsidRPr="00687DE8" w14:paraId="0C6491C9"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9BFAC4" w14:textId="77777777" w:rsidR="00342375" w:rsidRPr="00687DE8" w:rsidRDefault="00342375" w:rsidP="00342375">
            <w:pPr>
              <w:spacing w:after="0" w:line="240" w:lineRule="auto"/>
              <w:rPr>
                <w:szCs w:val="24"/>
              </w:rPr>
            </w:pPr>
            <w:r w:rsidRPr="00687DE8">
              <w:rPr>
                <w:szCs w:val="24"/>
              </w:rPr>
              <w:t>Lukseerunud läätse eemaldamine</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2EFF0D2" w14:textId="77777777" w:rsidR="00342375" w:rsidRPr="00687DE8" w:rsidRDefault="00342375" w:rsidP="00342375">
            <w:pPr>
              <w:spacing w:after="0" w:line="240" w:lineRule="auto"/>
              <w:jc w:val="center"/>
              <w:rPr>
                <w:szCs w:val="24"/>
              </w:rPr>
            </w:pPr>
            <w:r w:rsidRPr="00687DE8">
              <w:rPr>
                <w:szCs w:val="24"/>
              </w:rPr>
              <w:t>60902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DAC865" w14:textId="57F9C5D9" w:rsidR="4EC185AB" w:rsidRPr="00687DE8" w:rsidRDefault="00446305">
            <w:pPr>
              <w:spacing w:after="0"/>
              <w:jc w:val="center"/>
              <w:rPr>
                <w:color w:val="000000" w:themeColor="text1"/>
                <w:szCs w:val="24"/>
              </w:rPr>
            </w:pPr>
            <w:r>
              <w:rPr>
                <w:color w:val="000000"/>
              </w:rPr>
              <w:t>503,51</w:t>
            </w:r>
          </w:p>
        </w:tc>
      </w:tr>
      <w:tr w:rsidR="00342375" w:rsidRPr="00687DE8" w14:paraId="2D198496"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397ADA" w14:textId="77777777" w:rsidR="00342375" w:rsidRPr="00687DE8" w:rsidRDefault="00342375" w:rsidP="00342375">
            <w:pPr>
              <w:spacing w:after="0" w:line="240" w:lineRule="auto"/>
              <w:rPr>
                <w:szCs w:val="24"/>
              </w:rPr>
            </w:pPr>
            <w:r w:rsidRPr="00687DE8">
              <w:rPr>
                <w:szCs w:val="24"/>
              </w:rPr>
              <w:t>Võrkkesta irdumise operatsioon plombeerimisega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2AC4D3" w14:textId="77777777" w:rsidR="00342375" w:rsidRPr="00687DE8" w:rsidRDefault="00342375" w:rsidP="00342375">
            <w:pPr>
              <w:spacing w:after="0" w:line="240" w:lineRule="auto"/>
              <w:jc w:val="center"/>
              <w:rPr>
                <w:szCs w:val="24"/>
              </w:rPr>
            </w:pPr>
            <w:r w:rsidRPr="00687DE8">
              <w:rPr>
                <w:szCs w:val="24"/>
              </w:rPr>
              <w:t>60903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12FED8" w14:textId="2427E868" w:rsidR="4EC185AB" w:rsidRPr="00687DE8" w:rsidRDefault="00446305">
            <w:pPr>
              <w:spacing w:after="0"/>
              <w:jc w:val="center"/>
              <w:rPr>
                <w:color w:val="000000" w:themeColor="text1"/>
                <w:szCs w:val="24"/>
              </w:rPr>
            </w:pPr>
            <w:r>
              <w:rPr>
                <w:color w:val="000000"/>
              </w:rPr>
              <w:t>651,05</w:t>
            </w:r>
          </w:p>
        </w:tc>
      </w:tr>
      <w:tr w:rsidR="00342375" w:rsidRPr="00687DE8" w14:paraId="4CA11A3D"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003573" w14:textId="77777777" w:rsidR="00342375" w:rsidRPr="00687DE8" w:rsidRDefault="00342375" w:rsidP="00342375">
            <w:pPr>
              <w:spacing w:after="0" w:line="240" w:lineRule="auto"/>
              <w:rPr>
                <w:szCs w:val="24"/>
              </w:rPr>
            </w:pPr>
            <w:r w:rsidRPr="00687DE8">
              <w:rPr>
                <w:szCs w:val="24"/>
              </w:rPr>
              <w:t>Kataraktioperatsioon IOLita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0F5723" w14:textId="77777777" w:rsidR="00342375" w:rsidRPr="00687DE8" w:rsidRDefault="00342375" w:rsidP="00342375">
            <w:pPr>
              <w:spacing w:after="0" w:line="240" w:lineRule="auto"/>
              <w:jc w:val="center"/>
              <w:rPr>
                <w:szCs w:val="24"/>
              </w:rPr>
            </w:pPr>
            <w:r w:rsidRPr="00687DE8">
              <w:rPr>
                <w:szCs w:val="24"/>
              </w:rPr>
              <w:t>60905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740595" w14:textId="2A0B97B4" w:rsidR="4EC185AB" w:rsidRPr="00687DE8" w:rsidRDefault="00446305">
            <w:pPr>
              <w:spacing w:after="0"/>
              <w:jc w:val="center"/>
              <w:rPr>
                <w:color w:val="000000" w:themeColor="text1"/>
                <w:szCs w:val="24"/>
              </w:rPr>
            </w:pPr>
            <w:r>
              <w:rPr>
                <w:color w:val="000000"/>
              </w:rPr>
              <w:t>416,99</w:t>
            </w:r>
          </w:p>
        </w:tc>
      </w:tr>
      <w:tr w:rsidR="00342375" w:rsidRPr="00687DE8" w14:paraId="2DFAF620"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786DFA" w14:textId="77777777" w:rsidR="00342375" w:rsidRPr="00687DE8" w:rsidRDefault="00342375" w:rsidP="00342375">
            <w:pPr>
              <w:spacing w:after="0" w:line="240" w:lineRule="auto"/>
              <w:rPr>
                <w:szCs w:val="24"/>
              </w:rPr>
            </w:pPr>
            <w:r w:rsidRPr="00687DE8">
              <w:rPr>
                <w:szCs w:val="24"/>
              </w:rPr>
              <w:t>Vikerkesta kasvaja eemaldamine</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1FE52A" w14:textId="77777777" w:rsidR="00342375" w:rsidRPr="00687DE8" w:rsidRDefault="00342375" w:rsidP="00342375">
            <w:pPr>
              <w:spacing w:after="0" w:line="240" w:lineRule="auto"/>
              <w:jc w:val="center"/>
              <w:rPr>
                <w:szCs w:val="24"/>
              </w:rPr>
            </w:pPr>
            <w:r w:rsidRPr="00687DE8">
              <w:rPr>
                <w:szCs w:val="24"/>
              </w:rPr>
              <w:t>60906</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B39BB6" w14:textId="19C79787" w:rsidR="4EC185AB" w:rsidRPr="00687DE8" w:rsidRDefault="00446305">
            <w:pPr>
              <w:spacing w:after="0"/>
              <w:jc w:val="center"/>
              <w:rPr>
                <w:color w:val="000000" w:themeColor="text1"/>
                <w:szCs w:val="24"/>
              </w:rPr>
            </w:pPr>
            <w:r>
              <w:rPr>
                <w:color w:val="000000"/>
              </w:rPr>
              <w:t>774,86</w:t>
            </w:r>
          </w:p>
        </w:tc>
      </w:tr>
      <w:tr w:rsidR="00342375" w:rsidRPr="00687DE8" w14:paraId="39F29EBD"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C107BD" w14:textId="77777777" w:rsidR="00342375" w:rsidRPr="00687DE8" w:rsidRDefault="00342375" w:rsidP="00342375">
            <w:pPr>
              <w:spacing w:after="0" w:line="240" w:lineRule="auto"/>
              <w:rPr>
                <w:szCs w:val="24"/>
              </w:rPr>
            </w:pPr>
            <w:r w:rsidRPr="00687DE8">
              <w:rPr>
                <w:szCs w:val="24"/>
              </w:rPr>
              <w:t>Keratoproteesimine</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52A207" w14:textId="77777777" w:rsidR="00342375" w:rsidRPr="00687DE8" w:rsidRDefault="00342375" w:rsidP="00342375">
            <w:pPr>
              <w:spacing w:after="0" w:line="240" w:lineRule="auto"/>
              <w:jc w:val="center"/>
              <w:rPr>
                <w:szCs w:val="24"/>
              </w:rPr>
            </w:pPr>
            <w:r w:rsidRPr="00687DE8">
              <w:rPr>
                <w:szCs w:val="24"/>
              </w:rPr>
              <w:t>70901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2C730" w14:textId="190CE64B" w:rsidR="4EC185AB" w:rsidRPr="00687DE8" w:rsidRDefault="00446305">
            <w:pPr>
              <w:spacing w:after="0"/>
              <w:jc w:val="center"/>
              <w:rPr>
                <w:color w:val="000000" w:themeColor="text1"/>
                <w:szCs w:val="24"/>
              </w:rPr>
            </w:pPr>
            <w:r>
              <w:rPr>
                <w:color w:val="000000"/>
              </w:rPr>
              <w:t>804,97</w:t>
            </w:r>
          </w:p>
        </w:tc>
      </w:tr>
      <w:tr w:rsidR="00342375" w:rsidRPr="00687DE8" w14:paraId="0616532F"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C07EF2" w14:textId="77777777" w:rsidR="00342375" w:rsidRPr="00687DE8" w:rsidRDefault="00342375" w:rsidP="00342375">
            <w:pPr>
              <w:spacing w:after="0" w:line="240" w:lineRule="auto"/>
              <w:rPr>
                <w:szCs w:val="24"/>
              </w:rPr>
            </w:pPr>
            <w:r w:rsidRPr="00687DE8">
              <w:rPr>
                <w:szCs w:val="24"/>
              </w:rPr>
              <w:t>Katarakti- ja glaukoomioperatsioon</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D2CBEE" w14:textId="77777777" w:rsidR="00342375" w:rsidRPr="00687DE8" w:rsidRDefault="00342375" w:rsidP="00342375">
            <w:pPr>
              <w:spacing w:after="0" w:line="240" w:lineRule="auto"/>
              <w:jc w:val="center"/>
              <w:rPr>
                <w:szCs w:val="24"/>
              </w:rPr>
            </w:pPr>
            <w:r w:rsidRPr="00687DE8">
              <w:rPr>
                <w:szCs w:val="24"/>
              </w:rPr>
              <w:t>70902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81760A" w14:textId="1EEB9354" w:rsidR="4EC185AB" w:rsidRPr="00687DE8" w:rsidRDefault="00446305">
            <w:pPr>
              <w:spacing w:after="0"/>
              <w:jc w:val="center"/>
              <w:rPr>
                <w:color w:val="000000" w:themeColor="text1"/>
                <w:szCs w:val="24"/>
              </w:rPr>
            </w:pPr>
            <w:r>
              <w:rPr>
                <w:color w:val="000000"/>
              </w:rPr>
              <w:t>620,16</w:t>
            </w:r>
          </w:p>
        </w:tc>
      </w:tr>
      <w:tr w:rsidR="00342375" w:rsidRPr="00687DE8" w14:paraId="16F664FB"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81D5E4" w14:textId="77777777" w:rsidR="00342375" w:rsidRPr="00687DE8" w:rsidRDefault="00342375" w:rsidP="00342375">
            <w:pPr>
              <w:spacing w:after="0" w:line="240" w:lineRule="auto"/>
              <w:rPr>
                <w:szCs w:val="24"/>
              </w:rPr>
            </w:pPr>
            <w:r w:rsidRPr="00687DE8">
              <w:rPr>
                <w:szCs w:val="24"/>
              </w:rPr>
              <w:t>Võrkkesta irdumise operatsioon vitrektoomiaga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F75EED" w14:textId="77777777" w:rsidR="00342375" w:rsidRPr="00687DE8" w:rsidRDefault="00342375" w:rsidP="00342375">
            <w:pPr>
              <w:spacing w:after="0" w:line="240" w:lineRule="auto"/>
              <w:jc w:val="center"/>
              <w:rPr>
                <w:szCs w:val="24"/>
              </w:rPr>
            </w:pPr>
            <w:r w:rsidRPr="00687DE8">
              <w:rPr>
                <w:szCs w:val="24"/>
              </w:rPr>
              <w:t>70903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5E832C" w14:textId="4E7FCD50" w:rsidR="4EC185AB" w:rsidRPr="00687DE8" w:rsidRDefault="00446305">
            <w:pPr>
              <w:spacing w:after="0"/>
              <w:jc w:val="center"/>
              <w:rPr>
                <w:color w:val="000000" w:themeColor="text1"/>
                <w:szCs w:val="24"/>
              </w:rPr>
            </w:pPr>
            <w:r>
              <w:rPr>
                <w:color w:val="000000"/>
              </w:rPr>
              <w:t>852,96</w:t>
            </w:r>
          </w:p>
        </w:tc>
      </w:tr>
      <w:tr w:rsidR="00342375" w:rsidRPr="00687DE8" w14:paraId="4322580B"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8C9DB2" w14:textId="77777777" w:rsidR="00342375" w:rsidRPr="00687DE8" w:rsidRDefault="00342375" w:rsidP="00342375">
            <w:pPr>
              <w:spacing w:after="0" w:line="240" w:lineRule="auto"/>
              <w:rPr>
                <w:szCs w:val="24"/>
              </w:rPr>
            </w:pPr>
            <w:r w:rsidRPr="00687DE8">
              <w:rPr>
                <w:szCs w:val="24"/>
              </w:rPr>
              <w:t>Katarakti fakoemulsifikatsioon</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8A6517" w14:textId="77777777" w:rsidR="00342375" w:rsidRPr="00687DE8" w:rsidRDefault="00342375" w:rsidP="00342375">
            <w:pPr>
              <w:spacing w:after="0" w:line="240" w:lineRule="auto"/>
              <w:jc w:val="center"/>
              <w:rPr>
                <w:szCs w:val="24"/>
              </w:rPr>
            </w:pPr>
            <w:r w:rsidRPr="00687DE8">
              <w:rPr>
                <w:szCs w:val="24"/>
              </w:rPr>
              <w:t>70904</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7BA553" w14:textId="17F46110" w:rsidR="4EC185AB" w:rsidRPr="00687DE8" w:rsidRDefault="00446305">
            <w:pPr>
              <w:spacing w:after="0"/>
              <w:jc w:val="center"/>
              <w:rPr>
                <w:color w:val="000000" w:themeColor="text1"/>
                <w:szCs w:val="24"/>
              </w:rPr>
            </w:pPr>
            <w:r>
              <w:rPr>
                <w:color w:val="000000"/>
              </w:rPr>
              <w:t>597,44</w:t>
            </w:r>
          </w:p>
        </w:tc>
      </w:tr>
      <w:tr w:rsidR="00342375" w:rsidRPr="00687DE8" w14:paraId="5618046B"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987E5B" w14:textId="77777777" w:rsidR="00342375" w:rsidRPr="00687DE8" w:rsidRDefault="00342375" w:rsidP="00342375">
            <w:pPr>
              <w:spacing w:after="0" w:line="240" w:lineRule="auto"/>
              <w:rPr>
                <w:szCs w:val="24"/>
              </w:rPr>
            </w:pPr>
            <w:r w:rsidRPr="00687DE8">
              <w:rPr>
                <w:szCs w:val="24"/>
              </w:rPr>
              <w:t>Silma eesmise osa rekonstruktsioon läbistava vigastuse puhul</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343329" w14:textId="77777777" w:rsidR="00342375" w:rsidRPr="00687DE8" w:rsidRDefault="00342375" w:rsidP="00342375">
            <w:pPr>
              <w:spacing w:after="0" w:line="240" w:lineRule="auto"/>
              <w:jc w:val="center"/>
              <w:rPr>
                <w:szCs w:val="24"/>
              </w:rPr>
            </w:pPr>
            <w:r w:rsidRPr="00687DE8">
              <w:rPr>
                <w:szCs w:val="24"/>
              </w:rPr>
              <w:t>70905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B73949" w14:textId="153C64FA" w:rsidR="4EC185AB" w:rsidRPr="00687DE8" w:rsidRDefault="00446305">
            <w:pPr>
              <w:spacing w:after="0"/>
              <w:jc w:val="center"/>
              <w:rPr>
                <w:color w:val="000000" w:themeColor="text1"/>
                <w:szCs w:val="24"/>
              </w:rPr>
            </w:pPr>
            <w:r>
              <w:rPr>
                <w:color w:val="000000"/>
              </w:rPr>
              <w:t>785,31</w:t>
            </w:r>
          </w:p>
        </w:tc>
      </w:tr>
      <w:tr w:rsidR="00342375" w:rsidRPr="00687DE8" w14:paraId="0D12E038"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6E6F95" w14:textId="77777777" w:rsidR="00342375" w:rsidRPr="00687DE8" w:rsidRDefault="00342375" w:rsidP="00342375">
            <w:pPr>
              <w:spacing w:after="0" w:line="240" w:lineRule="auto"/>
              <w:rPr>
                <w:szCs w:val="24"/>
              </w:rPr>
            </w:pPr>
            <w:r w:rsidRPr="00687DE8">
              <w:rPr>
                <w:szCs w:val="24"/>
              </w:rPr>
              <w:t>Glaukoomioperatsioon (valgekesta plastika)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BBAADB" w14:textId="77777777" w:rsidR="00342375" w:rsidRPr="00687DE8" w:rsidRDefault="00342375" w:rsidP="00342375">
            <w:pPr>
              <w:spacing w:after="0" w:line="240" w:lineRule="auto"/>
              <w:jc w:val="center"/>
              <w:rPr>
                <w:szCs w:val="24"/>
              </w:rPr>
            </w:pPr>
            <w:r w:rsidRPr="00687DE8">
              <w:rPr>
                <w:szCs w:val="24"/>
              </w:rPr>
              <w:t>70906</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218AFA" w14:textId="48FA8D35" w:rsidR="4EC185AB" w:rsidRPr="00687DE8" w:rsidRDefault="00446305">
            <w:pPr>
              <w:spacing w:after="0"/>
              <w:jc w:val="center"/>
              <w:rPr>
                <w:color w:val="000000" w:themeColor="text1"/>
                <w:szCs w:val="24"/>
              </w:rPr>
            </w:pPr>
            <w:r>
              <w:rPr>
                <w:color w:val="000000"/>
              </w:rPr>
              <w:t>555,33</w:t>
            </w:r>
          </w:p>
        </w:tc>
      </w:tr>
      <w:tr w:rsidR="00342375" w:rsidRPr="00687DE8" w14:paraId="33E03C9F"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307593" w14:textId="77777777" w:rsidR="00342375" w:rsidRPr="00687DE8" w:rsidRDefault="00342375" w:rsidP="00342375">
            <w:pPr>
              <w:spacing w:after="0" w:line="240" w:lineRule="auto"/>
              <w:rPr>
                <w:szCs w:val="24"/>
              </w:rPr>
            </w:pPr>
            <w:r w:rsidRPr="00687DE8">
              <w:rPr>
                <w:szCs w:val="24"/>
              </w:rPr>
              <w:t>Tagumine vitrektoomia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1B48D7" w14:textId="77777777" w:rsidR="00342375" w:rsidRPr="00687DE8" w:rsidRDefault="00342375" w:rsidP="00342375">
            <w:pPr>
              <w:spacing w:after="0" w:line="240" w:lineRule="auto"/>
              <w:jc w:val="center"/>
              <w:rPr>
                <w:szCs w:val="24"/>
              </w:rPr>
            </w:pPr>
            <w:r w:rsidRPr="00687DE8">
              <w:rPr>
                <w:szCs w:val="24"/>
              </w:rPr>
              <w:t>70907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311936" w14:textId="4F08018B" w:rsidR="4EC185AB" w:rsidRPr="00687DE8" w:rsidRDefault="00446305">
            <w:pPr>
              <w:spacing w:after="0"/>
              <w:jc w:val="center"/>
              <w:rPr>
                <w:color w:val="000000" w:themeColor="text1"/>
                <w:szCs w:val="24"/>
              </w:rPr>
            </w:pPr>
            <w:r>
              <w:rPr>
                <w:color w:val="000000"/>
              </w:rPr>
              <w:t>623,09</w:t>
            </w:r>
          </w:p>
        </w:tc>
      </w:tr>
      <w:tr w:rsidR="00342375" w:rsidRPr="00687DE8" w14:paraId="5A0D8C03"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826213" w14:textId="77777777" w:rsidR="00342375" w:rsidRPr="00687DE8" w:rsidRDefault="00342375" w:rsidP="00342375">
            <w:pPr>
              <w:spacing w:after="0" w:line="240" w:lineRule="auto"/>
              <w:rPr>
                <w:szCs w:val="24"/>
              </w:rPr>
            </w:pPr>
            <w:r w:rsidRPr="00687DE8">
              <w:rPr>
                <w:szCs w:val="24"/>
              </w:rPr>
              <w:t>Läbistav keratoplastika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F94339" w14:textId="77777777" w:rsidR="00342375" w:rsidRPr="00687DE8" w:rsidRDefault="00342375" w:rsidP="00342375">
            <w:pPr>
              <w:spacing w:after="0" w:line="240" w:lineRule="auto"/>
              <w:jc w:val="center"/>
              <w:rPr>
                <w:szCs w:val="24"/>
              </w:rPr>
            </w:pPr>
            <w:r w:rsidRPr="00687DE8">
              <w:rPr>
                <w:szCs w:val="24"/>
              </w:rPr>
              <w:t>70908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B2DF0D" w14:textId="013022CB" w:rsidR="4EC185AB" w:rsidRPr="00687DE8" w:rsidRDefault="00446305">
            <w:pPr>
              <w:spacing w:after="0"/>
              <w:jc w:val="center"/>
              <w:rPr>
                <w:color w:val="000000" w:themeColor="text1"/>
                <w:szCs w:val="24"/>
              </w:rPr>
            </w:pPr>
            <w:r>
              <w:rPr>
                <w:color w:val="000000"/>
              </w:rPr>
              <w:t>689,59</w:t>
            </w:r>
          </w:p>
        </w:tc>
      </w:tr>
      <w:tr w:rsidR="00342375" w:rsidRPr="00687DE8" w14:paraId="00916A8F"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C1416E" w14:textId="77777777" w:rsidR="00342375" w:rsidRPr="00687DE8" w:rsidRDefault="00342375" w:rsidP="00342375">
            <w:pPr>
              <w:spacing w:after="0" w:line="240" w:lineRule="auto"/>
              <w:rPr>
                <w:szCs w:val="24"/>
              </w:rPr>
            </w:pPr>
            <w:r w:rsidRPr="00687DE8">
              <w:rPr>
                <w:szCs w:val="24"/>
              </w:rPr>
              <w:t>Kataraktioperatsioon IOLiga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F7F9D9" w14:textId="77777777" w:rsidR="00342375" w:rsidRPr="00687DE8" w:rsidRDefault="00342375" w:rsidP="00342375">
            <w:pPr>
              <w:spacing w:after="0" w:line="240" w:lineRule="auto"/>
              <w:jc w:val="center"/>
              <w:rPr>
                <w:szCs w:val="24"/>
              </w:rPr>
            </w:pPr>
            <w:r w:rsidRPr="00687DE8">
              <w:rPr>
                <w:szCs w:val="24"/>
              </w:rPr>
              <w:t>70909</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032686" w14:textId="2EB36B70" w:rsidR="4EC185AB" w:rsidRPr="00687DE8" w:rsidRDefault="00446305">
            <w:pPr>
              <w:spacing w:after="0"/>
              <w:jc w:val="center"/>
              <w:rPr>
                <w:color w:val="000000" w:themeColor="text1"/>
                <w:szCs w:val="24"/>
              </w:rPr>
            </w:pPr>
            <w:r>
              <w:rPr>
                <w:color w:val="000000"/>
              </w:rPr>
              <w:t>527,92</w:t>
            </w:r>
          </w:p>
        </w:tc>
      </w:tr>
      <w:tr w:rsidR="00342375" w:rsidRPr="00687DE8" w14:paraId="6127A8FF"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194AA" w14:textId="77777777" w:rsidR="00342375" w:rsidRPr="00687DE8" w:rsidRDefault="00342375" w:rsidP="00342375">
            <w:pPr>
              <w:spacing w:after="0" w:line="240" w:lineRule="auto"/>
              <w:rPr>
                <w:szCs w:val="24"/>
              </w:rPr>
            </w:pPr>
            <w:r w:rsidRPr="00687DE8">
              <w:rPr>
                <w:szCs w:val="24"/>
              </w:rPr>
              <w:t>Vikerkesta ja ripskeha operatsioon</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117BF" w14:textId="77777777" w:rsidR="00342375" w:rsidRPr="00687DE8" w:rsidRDefault="00342375" w:rsidP="00342375">
            <w:pPr>
              <w:spacing w:after="0" w:line="240" w:lineRule="auto"/>
              <w:jc w:val="center"/>
              <w:rPr>
                <w:szCs w:val="24"/>
              </w:rPr>
            </w:pPr>
            <w:r w:rsidRPr="00687DE8">
              <w:rPr>
                <w:szCs w:val="24"/>
              </w:rPr>
              <w:t>70910</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A6E087" w14:textId="342D692D" w:rsidR="4EC185AB" w:rsidRPr="00687DE8" w:rsidRDefault="00446305">
            <w:pPr>
              <w:spacing w:after="0"/>
              <w:jc w:val="center"/>
              <w:rPr>
                <w:color w:val="000000" w:themeColor="text1"/>
                <w:szCs w:val="24"/>
              </w:rPr>
            </w:pPr>
            <w:r>
              <w:rPr>
                <w:color w:val="000000"/>
              </w:rPr>
              <w:t>661,76</w:t>
            </w:r>
          </w:p>
        </w:tc>
      </w:tr>
      <w:tr w:rsidR="00342375" w:rsidRPr="00687DE8" w14:paraId="307F2342"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8B2344" w14:textId="77777777" w:rsidR="00342375" w:rsidRPr="00687DE8" w:rsidRDefault="00342375" w:rsidP="00342375">
            <w:pPr>
              <w:spacing w:after="0" w:line="240" w:lineRule="auto"/>
              <w:rPr>
                <w:szCs w:val="24"/>
              </w:rPr>
            </w:pPr>
            <w:r w:rsidRPr="00687DE8">
              <w:rPr>
                <w:szCs w:val="24"/>
              </w:rPr>
              <w:t>Silma sarvkesta siirdamine</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D4BF5E" w14:textId="77777777" w:rsidR="00342375" w:rsidRPr="00687DE8" w:rsidRDefault="00342375" w:rsidP="00342375">
            <w:pPr>
              <w:spacing w:after="0" w:line="240" w:lineRule="auto"/>
              <w:jc w:val="center"/>
              <w:rPr>
                <w:szCs w:val="24"/>
              </w:rPr>
            </w:pPr>
            <w:r w:rsidRPr="00687DE8">
              <w:rPr>
                <w:szCs w:val="24"/>
              </w:rPr>
              <w:t>70911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CC0513" w14:textId="4D28BF3F" w:rsidR="4EC185AB" w:rsidRPr="00687DE8" w:rsidRDefault="00446305">
            <w:pPr>
              <w:spacing w:after="0"/>
              <w:jc w:val="center"/>
              <w:rPr>
                <w:color w:val="000000" w:themeColor="text1"/>
                <w:szCs w:val="24"/>
              </w:rPr>
            </w:pPr>
            <w:r>
              <w:rPr>
                <w:color w:val="000000"/>
              </w:rPr>
              <w:t>904,36</w:t>
            </w:r>
          </w:p>
        </w:tc>
      </w:tr>
      <w:tr w:rsidR="00342375" w:rsidRPr="00687DE8" w14:paraId="58A541E9"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786562" w14:textId="77777777" w:rsidR="00342375" w:rsidRPr="00687DE8" w:rsidRDefault="00342375" w:rsidP="00342375">
            <w:pPr>
              <w:spacing w:after="0" w:line="240" w:lineRule="auto"/>
              <w:rPr>
                <w:szCs w:val="24"/>
              </w:rPr>
            </w:pPr>
            <w:r w:rsidRPr="00687DE8">
              <w:rPr>
                <w:szCs w:val="24"/>
              </w:rPr>
              <w:t>Vitreoretinaalne kirurgia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D6223D" w14:textId="77777777" w:rsidR="00342375" w:rsidRPr="00687DE8" w:rsidRDefault="00342375" w:rsidP="00342375">
            <w:pPr>
              <w:spacing w:after="0" w:line="240" w:lineRule="auto"/>
              <w:jc w:val="center"/>
              <w:rPr>
                <w:szCs w:val="24"/>
              </w:rPr>
            </w:pPr>
            <w:r w:rsidRPr="00687DE8">
              <w:rPr>
                <w:szCs w:val="24"/>
              </w:rPr>
              <w:t>80901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655116" w14:textId="2F3DB88E" w:rsidR="4EC185AB" w:rsidRPr="00687DE8" w:rsidRDefault="00446305">
            <w:pPr>
              <w:spacing w:after="0"/>
              <w:jc w:val="center"/>
              <w:rPr>
                <w:color w:val="000000" w:themeColor="text1"/>
                <w:szCs w:val="24"/>
              </w:rPr>
            </w:pPr>
            <w:r>
              <w:rPr>
                <w:color w:val="000000"/>
              </w:rPr>
              <w:t>2 045,65</w:t>
            </w:r>
          </w:p>
        </w:tc>
      </w:tr>
      <w:tr w:rsidR="00342375" w:rsidRPr="00687DE8" w14:paraId="0959BBCD" w14:textId="77777777" w:rsidTr="00D350D0">
        <w:trPr>
          <w:divId w:val="1316184749"/>
          <w:trHeight w:val="300"/>
        </w:trPr>
        <w:tc>
          <w:tcPr>
            <w:tcW w:w="69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DE7676" w14:textId="77777777" w:rsidR="00342375" w:rsidRPr="00687DE8" w:rsidRDefault="00342375" w:rsidP="00342375">
            <w:pPr>
              <w:spacing w:after="0" w:line="240" w:lineRule="auto"/>
              <w:rPr>
                <w:szCs w:val="24"/>
              </w:rPr>
            </w:pPr>
            <w:r w:rsidRPr="00687DE8">
              <w:rPr>
                <w:szCs w:val="24"/>
              </w:rPr>
              <w:t>Sarvkesta sildamine riboflaviiniga</w:t>
            </w:r>
          </w:p>
        </w:tc>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737F82" w14:textId="77777777" w:rsidR="00342375" w:rsidRPr="00687DE8" w:rsidRDefault="00342375" w:rsidP="00342375">
            <w:pPr>
              <w:spacing w:after="0" w:line="240" w:lineRule="auto"/>
              <w:jc w:val="center"/>
              <w:rPr>
                <w:szCs w:val="24"/>
              </w:rPr>
            </w:pPr>
            <w:r w:rsidRPr="00687DE8">
              <w:rPr>
                <w:szCs w:val="24"/>
              </w:rPr>
              <w:t>1C2101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1DE55" w14:textId="6DDDE784" w:rsidR="4EC185AB" w:rsidRPr="00687DE8" w:rsidRDefault="00446305">
            <w:pPr>
              <w:spacing w:after="0"/>
              <w:jc w:val="center"/>
              <w:rPr>
                <w:color w:val="000000" w:themeColor="text1"/>
                <w:szCs w:val="24"/>
              </w:rPr>
            </w:pPr>
            <w:r>
              <w:rPr>
                <w:color w:val="000000"/>
              </w:rPr>
              <w:t>603,45</w:t>
            </w:r>
          </w:p>
        </w:tc>
      </w:tr>
    </w:tbl>
    <w:p w14:paraId="52865840" w14:textId="77777777" w:rsidR="00976487" w:rsidRPr="00687DE8" w:rsidRDefault="00976487" w:rsidP="00976487">
      <w:pPr>
        <w:spacing w:after="0" w:line="240" w:lineRule="auto"/>
        <w:jc w:val="both"/>
        <w:divId w:val="1316184749"/>
        <w:rPr>
          <w:szCs w:val="24"/>
        </w:rPr>
      </w:pPr>
    </w:p>
    <w:p w14:paraId="06F4729C" w14:textId="77777777" w:rsidR="00976487" w:rsidRPr="00687DE8" w:rsidRDefault="00976487" w:rsidP="00976487">
      <w:pPr>
        <w:spacing w:after="0" w:line="240" w:lineRule="auto"/>
        <w:jc w:val="both"/>
        <w:divId w:val="1316184749"/>
        <w:rPr>
          <w:szCs w:val="24"/>
        </w:rPr>
      </w:pPr>
      <w:r w:rsidRPr="00687DE8">
        <w:rPr>
          <w:szCs w:val="24"/>
        </w:rPr>
        <w:t>(2) Koodiga 1C2101 tähistatud tervishoiuteenus sisaldab järgmisi oftalmoloogilisi operatsioone:</w:t>
      </w:r>
    </w:p>
    <w:p w14:paraId="6ADD789A" w14:textId="77777777" w:rsidR="00976487" w:rsidRPr="00687DE8" w:rsidRDefault="00976487" w:rsidP="00976487">
      <w:pPr>
        <w:spacing w:after="0" w:line="240" w:lineRule="auto"/>
        <w:jc w:val="both"/>
        <w:divId w:val="1316184749"/>
        <w:rPr>
          <w:szCs w:val="24"/>
        </w:rPr>
      </w:pPr>
      <w:r w:rsidRPr="00687DE8">
        <w:rPr>
          <w:szCs w:val="24"/>
        </w:rPr>
        <w:t>1) fototerapeutiline keratektoomia;</w:t>
      </w:r>
    </w:p>
    <w:p w14:paraId="4D68930C" w14:textId="77777777" w:rsidR="00976487" w:rsidRPr="00687DE8" w:rsidRDefault="00976487" w:rsidP="00976487">
      <w:pPr>
        <w:spacing w:after="0" w:line="240" w:lineRule="auto"/>
        <w:jc w:val="both"/>
        <w:divId w:val="1316184749"/>
        <w:rPr>
          <w:szCs w:val="24"/>
        </w:rPr>
      </w:pPr>
      <w:r w:rsidRPr="00687DE8">
        <w:rPr>
          <w:szCs w:val="24"/>
        </w:rPr>
        <w:t>2) topograafiline fotorefraktiivne keratektoomia;</w:t>
      </w:r>
    </w:p>
    <w:p w14:paraId="3FDE0ACD" w14:textId="77777777" w:rsidR="00976487" w:rsidRPr="00687DE8" w:rsidRDefault="00976487" w:rsidP="00976487">
      <w:pPr>
        <w:spacing w:after="0" w:line="240" w:lineRule="auto"/>
        <w:jc w:val="both"/>
        <w:divId w:val="1316184749"/>
        <w:rPr>
          <w:szCs w:val="24"/>
        </w:rPr>
      </w:pPr>
      <w:r w:rsidRPr="00687DE8">
        <w:rPr>
          <w:szCs w:val="24"/>
        </w:rPr>
        <w:t>3) sarvkesta kollageeni vitamiinne sildamine riboflaviini abil.</w:t>
      </w:r>
    </w:p>
    <w:p w14:paraId="44513356" w14:textId="77777777" w:rsidR="00976487" w:rsidRPr="00687DE8" w:rsidRDefault="00976487" w:rsidP="00976487">
      <w:pPr>
        <w:spacing w:after="0" w:line="240" w:lineRule="auto"/>
        <w:jc w:val="both"/>
        <w:divId w:val="1316184749"/>
        <w:rPr>
          <w:szCs w:val="24"/>
        </w:rPr>
      </w:pPr>
    </w:p>
    <w:p w14:paraId="7A2B546A" w14:textId="3A3E0CE5" w:rsidR="00976487" w:rsidRPr="00687DE8" w:rsidRDefault="00976487" w:rsidP="00976487">
      <w:pPr>
        <w:spacing w:after="0" w:line="240" w:lineRule="auto"/>
        <w:jc w:val="both"/>
        <w:divId w:val="1316184749"/>
        <w:rPr>
          <w:szCs w:val="24"/>
        </w:rPr>
      </w:pPr>
      <w:r w:rsidRPr="00687DE8">
        <w:rPr>
          <w:szCs w:val="24"/>
        </w:rPr>
        <w:t xml:space="preserve">(3) </w:t>
      </w:r>
      <w:r w:rsidR="005023FD" w:rsidRPr="00687DE8">
        <w:rPr>
          <w:szCs w:val="24"/>
        </w:rPr>
        <w:t>Tervisekassa</w:t>
      </w:r>
      <w:r w:rsidRPr="00687DE8">
        <w:rPr>
          <w:szCs w:val="24"/>
        </w:rPr>
        <w:t xml:space="preserve"> võtab tasu maksmise kohustuse üle koodiga 1C2101 tähistatud tervishoiuteenuse eest ühe korra ravijuhu kohta.</w:t>
      </w:r>
    </w:p>
    <w:p w14:paraId="6B524F1B" w14:textId="77777777" w:rsidR="00976487" w:rsidRPr="00687DE8" w:rsidRDefault="00976487" w:rsidP="00976487">
      <w:pPr>
        <w:spacing w:after="0" w:line="240" w:lineRule="auto"/>
        <w:jc w:val="both"/>
        <w:divId w:val="1316184749"/>
        <w:rPr>
          <w:szCs w:val="24"/>
        </w:rPr>
      </w:pPr>
    </w:p>
    <w:p w14:paraId="4FB1AE87" w14:textId="77777777" w:rsidR="00976487" w:rsidRPr="00687DE8" w:rsidRDefault="00976487" w:rsidP="00976487">
      <w:pPr>
        <w:spacing w:after="0" w:line="240" w:lineRule="auto"/>
        <w:jc w:val="both"/>
        <w:divId w:val="1316184749"/>
        <w:rPr>
          <w:szCs w:val="24"/>
        </w:rPr>
      </w:pPr>
      <w:r w:rsidRPr="00687DE8">
        <w:rPr>
          <w:szCs w:val="24"/>
        </w:rPr>
        <w:t>(4) Koodiga 1L2102 tähistatud tervishoiuteenus sisaldab ühest amnioni membraanist tehtud transplantaatide käitlemisega ja säilitamisega seotud kulude maksumust.</w:t>
      </w:r>
    </w:p>
    <w:p w14:paraId="6E814449" w14:textId="77777777" w:rsidR="00976487" w:rsidRPr="00687DE8" w:rsidRDefault="00976487" w:rsidP="00976487">
      <w:pPr>
        <w:spacing w:after="0" w:line="240" w:lineRule="auto"/>
        <w:jc w:val="both"/>
        <w:outlineLvl w:val="2"/>
        <w:divId w:val="1316184749"/>
        <w:rPr>
          <w:b/>
          <w:bCs/>
          <w:szCs w:val="24"/>
        </w:rPr>
      </w:pPr>
    </w:p>
    <w:p w14:paraId="70259D27" w14:textId="77777777" w:rsidR="00976487" w:rsidRDefault="00976487" w:rsidP="00976487">
      <w:pPr>
        <w:spacing w:after="0" w:line="240" w:lineRule="auto"/>
        <w:jc w:val="both"/>
        <w:outlineLvl w:val="2"/>
        <w:divId w:val="1316184749"/>
        <w:rPr>
          <w:b/>
          <w:szCs w:val="24"/>
        </w:rPr>
      </w:pPr>
      <w:r w:rsidRPr="00687DE8">
        <w:rPr>
          <w:b/>
          <w:szCs w:val="24"/>
        </w:rPr>
        <w:t>§ 5</w:t>
      </w:r>
      <w:r w:rsidR="000245EE" w:rsidRPr="00687DE8">
        <w:rPr>
          <w:b/>
          <w:szCs w:val="24"/>
        </w:rPr>
        <w:t>6</w:t>
      </w:r>
      <w:r w:rsidRPr="00687DE8">
        <w:rPr>
          <w:b/>
          <w:szCs w:val="24"/>
        </w:rPr>
        <w:t>. Otorinolarüngoloogia operatsioonide piirhinnad</w:t>
      </w:r>
    </w:p>
    <w:p w14:paraId="34950D2F" w14:textId="77777777" w:rsidR="002635DB" w:rsidRDefault="002635DB" w:rsidP="00976487">
      <w:pPr>
        <w:spacing w:after="0" w:line="240" w:lineRule="auto"/>
        <w:jc w:val="both"/>
        <w:divId w:val="1316184749"/>
        <w:rPr>
          <w:szCs w:val="24"/>
        </w:rPr>
      </w:pPr>
    </w:p>
    <w:p w14:paraId="6E0ACC17" w14:textId="20B75719" w:rsidR="00976487" w:rsidRPr="00687DE8" w:rsidRDefault="00976487" w:rsidP="00976487">
      <w:pPr>
        <w:spacing w:after="0" w:line="240" w:lineRule="auto"/>
        <w:jc w:val="both"/>
        <w:divId w:val="1316184749"/>
        <w:rPr>
          <w:szCs w:val="24"/>
        </w:rPr>
      </w:pPr>
      <w:r w:rsidRPr="00687DE8">
        <w:rPr>
          <w:szCs w:val="24"/>
        </w:rPr>
        <w:t>(1) Otorinolarüngoloogia operatsioonide piirhinnad on järgmised:</w:t>
      </w:r>
    </w:p>
    <w:p w14:paraId="2F446FFD"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8"/>
        <w:gridCol w:w="1037"/>
        <w:gridCol w:w="1470"/>
      </w:tblGrid>
      <w:tr w:rsidR="00976487" w:rsidRPr="00687DE8" w14:paraId="41030BEA" w14:textId="77777777" w:rsidTr="2D47276F">
        <w:trPr>
          <w:divId w:val="1316184749"/>
          <w:trHeight w:val="300"/>
          <w:tblHeader/>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890A75" w14:textId="77777777" w:rsidR="00976487" w:rsidRPr="00687DE8" w:rsidRDefault="00976487">
            <w:pPr>
              <w:spacing w:after="0" w:line="240" w:lineRule="auto"/>
              <w:jc w:val="center"/>
              <w:rPr>
                <w:szCs w:val="24"/>
              </w:rPr>
            </w:pPr>
            <w:r w:rsidRPr="00687DE8">
              <w:rPr>
                <w:b/>
                <w:bCs/>
                <w:szCs w:val="24"/>
              </w:rPr>
              <w:t>Tervishoiuteenuse nimetus</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632AA1" w14:textId="77777777" w:rsidR="00976487" w:rsidRPr="00687DE8" w:rsidRDefault="00976487">
            <w:pPr>
              <w:spacing w:after="0" w:line="240" w:lineRule="auto"/>
              <w:jc w:val="center"/>
              <w:rPr>
                <w:szCs w:val="24"/>
              </w:rPr>
            </w:pPr>
            <w:r w:rsidRPr="00687DE8">
              <w:rPr>
                <w:b/>
                <w:bCs/>
                <w:szCs w:val="24"/>
              </w:rPr>
              <w:t>Kood</w:t>
            </w: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6753B5"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25D32872" w14:paraId="6A0D4A70"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AA302B" w14:textId="6DFE4040" w:rsidR="345607EA" w:rsidRDefault="345607EA" w:rsidP="25D32872">
            <w:pPr>
              <w:spacing w:line="240" w:lineRule="auto"/>
            </w:pPr>
            <w:r>
              <w:t>Tonsillotoomia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F56826" w14:textId="541EF60E" w:rsidR="345607EA" w:rsidRDefault="345607EA" w:rsidP="25D32872">
            <w:pPr>
              <w:spacing w:line="240" w:lineRule="auto"/>
              <w:jc w:val="center"/>
            </w:pPr>
            <w:r>
              <w:t>1E2180</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94AD15" w14:textId="3FD900AA" w:rsidR="001646FA" w:rsidRDefault="001646FA" w:rsidP="25D32872">
            <w:pPr>
              <w:jc w:val="center"/>
              <w:rPr>
                <w:color w:val="000000" w:themeColor="text1"/>
              </w:rPr>
            </w:pPr>
          </w:p>
          <w:p w14:paraId="74998CFD" w14:textId="26B55A75" w:rsidR="25D32872" w:rsidRDefault="001646FA" w:rsidP="25D32872">
            <w:pPr>
              <w:jc w:val="center"/>
              <w:rPr>
                <w:color w:val="000000" w:themeColor="text1"/>
              </w:rPr>
            </w:pPr>
            <w:r w:rsidRPr="001646FA">
              <w:rPr>
                <w:color w:val="000000" w:themeColor="text1"/>
              </w:rPr>
              <w:t>259,38</w:t>
            </w:r>
          </w:p>
        </w:tc>
      </w:tr>
      <w:tr w:rsidR="25D32872" w14:paraId="7C8F2D39"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DADF01" w14:textId="55274FB8" w:rsidR="345607EA" w:rsidRDefault="345607EA" w:rsidP="25D32872">
            <w:pPr>
              <w:spacing w:line="240" w:lineRule="auto"/>
            </w:pPr>
            <w:r>
              <w:t>Tonsillektoomia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0423A2" w14:textId="6D8B6E99" w:rsidR="345607EA" w:rsidRDefault="345607EA" w:rsidP="25D32872">
            <w:pPr>
              <w:spacing w:line="240" w:lineRule="auto"/>
              <w:jc w:val="center"/>
            </w:pPr>
            <w:r>
              <w:t>1E2181</w:t>
            </w: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BCAFE9" w14:textId="02FB4238" w:rsidR="25D32872" w:rsidRDefault="001646FA" w:rsidP="25D32872">
            <w:pPr>
              <w:jc w:val="center"/>
              <w:rPr>
                <w:color w:val="000000" w:themeColor="text1"/>
              </w:rPr>
            </w:pPr>
            <w:r>
              <w:rPr>
                <w:color w:val="000000"/>
              </w:rPr>
              <w:t>410,48</w:t>
            </w:r>
          </w:p>
        </w:tc>
      </w:tr>
      <w:tr w:rsidR="25D32872" w14:paraId="668D1854"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BF44A3" w14:textId="7F50C4C8" w:rsidR="345607EA" w:rsidRDefault="345607EA" w:rsidP="25D32872">
            <w:pPr>
              <w:spacing w:line="240" w:lineRule="auto"/>
            </w:pPr>
            <w:r>
              <w:t>Adenoidektoomia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ED24AE" w14:textId="3AFDC155" w:rsidR="345607EA" w:rsidRDefault="345607EA" w:rsidP="25D32872">
            <w:pPr>
              <w:spacing w:line="240" w:lineRule="auto"/>
              <w:jc w:val="center"/>
            </w:pPr>
            <w:r>
              <w:t>1E2182</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0E36EB" w14:textId="7C280441" w:rsidR="25D32872" w:rsidRDefault="001646FA" w:rsidP="25D32872">
            <w:pPr>
              <w:jc w:val="center"/>
              <w:rPr>
                <w:color w:val="000000" w:themeColor="text1"/>
              </w:rPr>
            </w:pPr>
            <w:r>
              <w:rPr>
                <w:color w:val="000000"/>
              </w:rPr>
              <w:t>320,34</w:t>
            </w:r>
          </w:p>
        </w:tc>
      </w:tr>
      <w:tr w:rsidR="55CECF79" w14:paraId="06E748B6"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602B18" w14:textId="3F9B53CC" w:rsidR="279BB0EA" w:rsidRDefault="279BB0EA" w:rsidP="55CECF79">
            <w:pPr>
              <w:spacing w:line="240" w:lineRule="auto"/>
            </w:pPr>
            <w:r>
              <w:t>Adenotonsillektoomia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96B225" w14:textId="1A43BFF9" w:rsidR="279BB0EA" w:rsidRDefault="279BB0EA" w:rsidP="55CECF79">
            <w:pPr>
              <w:spacing w:line="240" w:lineRule="auto"/>
              <w:jc w:val="center"/>
            </w:pPr>
            <w:r>
              <w:t>1E2183</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8B01E9" w14:textId="26382E60" w:rsidR="00842012" w:rsidRDefault="00842012" w:rsidP="001646FA">
            <w:pPr>
              <w:jc w:val="center"/>
              <w:rPr>
                <w:color w:val="000000" w:themeColor="text1"/>
              </w:rPr>
            </w:pPr>
          </w:p>
          <w:p w14:paraId="3BA7012B" w14:textId="7E3B61FC" w:rsidR="177771C0" w:rsidRDefault="177771C0" w:rsidP="55CECF79">
            <w:pPr>
              <w:jc w:val="center"/>
              <w:rPr>
                <w:color w:val="000000" w:themeColor="text1"/>
              </w:rPr>
            </w:pPr>
            <w:r w:rsidRPr="55CECF79">
              <w:rPr>
                <w:color w:val="000000" w:themeColor="text1"/>
              </w:rPr>
              <w:t>445,82</w:t>
            </w:r>
          </w:p>
        </w:tc>
      </w:tr>
      <w:tr w:rsidR="55CECF79" w14:paraId="5E04CE7D"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F40100" w14:textId="7B997A1E" w:rsidR="279BB0EA" w:rsidRDefault="279BB0EA" w:rsidP="55CECF79">
            <w:pPr>
              <w:spacing w:line="240" w:lineRule="auto"/>
            </w:pPr>
            <w:r>
              <w:t>Suulae pehmete kudede plastika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815009" w14:textId="015D7B3F" w:rsidR="279BB0EA" w:rsidRDefault="279BB0EA" w:rsidP="55CECF79">
            <w:pPr>
              <w:spacing w:line="240" w:lineRule="auto"/>
              <w:jc w:val="center"/>
            </w:pPr>
            <w:r>
              <w:t>1E2184</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DDFC2A" w14:textId="4775684C" w:rsidR="005171F9" w:rsidRDefault="005171F9" w:rsidP="001646FA">
            <w:pPr>
              <w:jc w:val="center"/>
              <w:rPr>
                <w:color w:val="000000" w:themeColor="text1"/>
              </w:rPr>
            </w:pPr>
          </w:p>
          <w:p w14:paraId="089FD051" w14:textId="7F529891" w:rsidR="3626662B" w:rsidRDefault="005171F9" w:rsidP="55CECF79">
            <w:pPr>
              <w:jc w:val="center"/>
              <w:rPr>
                <w:color w:val="000000" w:themeColor="text1"/>
              </w:rPr>
            </w:pPr>
            <w:r w:rsidRPr="005171F9">
              <w:rPr>
                <w:color w:val="000000" w:themeColor="text1"/>
              </w:rPr>
              <w:t>429,00</w:t>
            </w:r>
          </w:p>
        </w:tc>
      </w:tr>
      <w:tr w:rsidR="55CECF79" w14:paraId="107AA630"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10DD4B" w14:textId="02186923" w:rsidR="01561AA2" w:rsidRDefault="01561AA2" w:rsidP="55CECF79">
            <w:pPr>
              <w:spacing w:line="240" w:lineRule="auto"/>
            </w:pPr>
            <w:r>
              <w:t>Türeglossaalsete ja branhiogeensete fistulite-tsüstide kirurgiline ravi</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251F2A" w14:textId="053D5862" w:rsidR="01561AA2" w:rsidRDefault="01561AA2" w:rsidP="55CECF79">
            <w:pPr>
              <w:spacing w:line="240" w:lineRule="auto"/>
              <w:jc w:val="center"/>
            </w:pPr>
            <w:r>
              <w:t>1E2185</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CDD456" w14:textId="6E7D8C9A" w:rsidR="005171F9" w:rsidRDefault="005171F9" w:rsidP="001646FA">
            <w:pPr>
              <w:jc w:val="center"/>
              <w:rPr>
                <w:color w:val="000000" w:themeColor="text1"/>
              </w:rPr>
            </w:pPr>
          </w:p>
          <w:p w14:paraId="676CB918" w14:textId="3B60AB7D" w:rsidR="2227F2D1" w:rsidRDefault="005171F9" w:rsidP="55CECF79">
            <w:pPr>
              <w:jc w:val="center"/>
              <w:rPr>
                <w:color w:val="000000" w:themeColor="text1"/>
              </w:rPr>
            </w:pPr>
            <w:r w:rsidRPr="005171F9">
              <w:rPr>
                <w:color w:val="000000" w:themeColor="text1"/>
              </w:rPr>
              <w:t>709,07</w:t>
            </w:r>
          </w:p>
        </w:tc>
      </w:tr>
      <w:tr w:rsidR="25D32872" w14:paraId="4EC2CF4A"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7D8D09" w14:textId="18BF6D1F" w:rsidR="345607EA" w:rsidRDefault="345607EA" w:rsidP="25D32872">
            <w:pPr>
              <w:spacing w:line="240" w:lineRule="auto"/>
            </w:pPr>
            <w:r>
              <w:t>Trummiõõn</w:t>
            </w:r>
            <w:r w:rsidR="7D5F3494">
              <w:t>(t)</w:t>
            </w:r>
            <w:r>
              <w:t>e dreenimine</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32FEE4" w14:textId="5DF48C49" w:rsidR="345607EA" w:rsidRDefault="345607EA" w:rsidP="25D32872">
            <w:pPr>
              <w:spacing w:line="240" w:lineRule="auto"/>
              <w:jc w:val="center"/>
            </w:pPr>
            <w:r>
              <w:t>1D2101</w:t>
            </w: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84FD67" w14:textId="6187D014" w:rsidR="25D32872" w:rsidRDefault="008A1280" w:rsidP="25D32872">
            <w:pPr>
              <w:jc w:val="center"/>
              <w:rPr>
                <w:color w:val="000000" w:themeColor="text1"/>
              </w:rPr>
            </w:pPr>
            <w:r>
              <w:rPr>
                <w:color w:val="000000"/>
              </w:rPr>
              <w:t>377,32</w:t>
            </w:r>
          </w:p>
        </w:tc>
      </w:tr>
      <w:tr w:rsidR="25D32872" w14:paraId="3A9F295F"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C797DC" w14:textId="584B9909" w:rsidR="345607EA" w:rsidRDefault="345607EA" w:rsidP="25D32872">
            <w:pPr>
              <w:spacing w:line="240" w:lineRule="auto"/>
            </w:pPr>
            <w:r>
              <w:t>Pea- ja kaelapiirkonna süvamädakollete avamine ja/või dreenimine</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F96C25" w14:textId="4AF1D5E5" w:rsidR="345607EA" w:rsidRDefault="345607EA" w:rsidP="25D32872">
            <w:pPr>
              <w:spacing w:line="240" w:lineRule="auto"/>
              <w:jc w:val="center"/>
            </w:pPr>
            <w:r>
              <w:t>1D2102</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69218C" w14:textId="32466AE7" w:rsidR="25D32872" w:rsidRDefault="008A1280" w:rsidP="25D32872">
            <w:pPr>
              <w:jc w:val="center"/>
              <w:rPr>
                <w:color w:val="000000" w:themeColor="text1"/>
              </w:rPr>
            </w:pPr>
            <w:r>
              <w:rPr>
                <w:color w:val="000000"/>
              </w:rPr>
              <w:t>465,70</w:t>
            </w:r>
          </w:p>
        </w:tc>
      </w:tr>
      <w:tr w:rsidR="25D32872" w14:paraId="71EE5F2D"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91B4D8" w14:textId="7DF029F3" w:rsidR="345607EA" w:rsidRDefault="345607EA" w:rsidP="25D32872">
            <w:pPr>
              <w:spacing w:line="240" w:lineRule="auto"/>
            </w:pPr>
            <w:r>
              <w:t>Ninavaheseina ja/või ninaesiku kasvaja ekstirpatsioon</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076976" w14:textId="3D3AA098" w:rsidR="25D32872" w:rsidRDefault="345607EA" w:rsidP="25D32872">
            <w:pPr>
              <w:spacing w:line="240" w:lineRule="auto"/>
              <w:jc w:val="center"/>
            </w:pPr>
            <w:r>
              <w:t>1D2103</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19A138" w14:textId="527FFF60" w:rsidR="25D32872" w:rsidRDefault="008A1280" w:rsidP="25D32872">
            <w:pPr>
              <w:jc w:val="center"/>
              <w:rPr>
                <w:color w:val="000000" w:themeColor="text1"/>
              </w:rPr>
            </w:pPr>
            <w:r>
              <w:rPr>
                <w:color w:val="000000"/>
              </w:rPr>
              <w:t>375,47</w:t>
            </w:r>
          </w:p>
        </w:tc>
      </w:tr>
      <w:tr w:rsidR="385F38A5" w14:paraId="225C18C3"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32E2F8" w14:textId="71EB9DA6" w:rsidR="345607EA" w:rsidRDefault="345607EA" w:rsidP="385F38A5">
            <w:pPr>
              <w:spacing w:line="240" w:lineRule="auto"/>
            </w:pPr>
            <w:r>
              <w:t>Kõrvalesta resektsioon ja/või kõrvalesta ekstirpatsioon</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35C428" w14:textId="6A704C40" w:rsidR="345607EA" w:rsidRDefault="345607EA" w:rsidP="385F38A5">
            <w:pPr>
              <w:spacing w:line="240" w:lineRule="auto"/>
              <w:jc w:val="center"/>
            </w:pPr>
            <w:r>
              <w:t>1D2104</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41559D" w14:textId="1374EF74" w:rsidR="00F26CA1" w:rsidRDefault="00F26CA1" w:rsidP="008A1280">
            <w:pPr>
              <w:jc w:val="center"/>
              <w:rPr>
                <w:color w:val="000000" w:themeColor="text1"/>
              </w:rPr>
            </w:pPr>
          </w:p>
          <w:p w14:paraId="758F1BC3" w14:textId="6E01007F" w:rsidR="385F38A5" w:rsidRDefault="00F26CA1" w:rsidP="385F38A5">
            <w:pPr>
              <w:jc w:val="center"/>
              <w:rPr>
                <w:color w:val="000000" w:themeColor="text1"/>
              </w:rPr>
            </w:pPr>
            <w:r w:rsidRPr="00F26CA1">
              <w:rPr>
                <w:color w:val="000000" w:themeColor="text1"/>
              </w:rPr>
              <w:t>411,29</w:t>
            </w:r>
          </w:p>
        </w:tc>
      </w:tr>
      <w:tr w:rsidR="385F38A5" w14:paraId="1ECDAD81"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A000F8" w14:textId="4030E3C3" w:rsidR="345607EA" w:rsidRDefault="345607EA" w:rsidP="385F38A5">
            <w:pPr>
              <w:spacing w:line="240" w:lineRule="auto"/>
            </w:pPr>
            <w:r>
              <w:t>Võõrkeha operatiivne eemaldamine väliskuulmekäigust</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7BEA72" w14:textId="0059CFAE" w:rsidR="345607EA" w:rsidRDefault="345607EA" w:rsidP="385F38A5">
            <w:pPr>
              <w:spacing w:line="240" w:lineRule="auto"/>
              <w:jc w:val="center"/>
            </w:pPr>
            <w:r>
              <w:t>1D2107</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16CAEC" w14:textId="580E2B98" w:rsidR="00F26CA1" w:rsidRDefault="00F26CA1" w:rsidP="008A1280">
            <w:pPr>
              <w:jc w:val="center"/>
              <w:rPr>
                <w:color w:val="000000" w:themeColor="text1"/>
              </w:rPr>
            </w:pPr>
          </w:p>
          <w:p w14:paraId="7399532D" w14:textId="708269AF" w:rsidR="385F38A5" w:rsidRDefault="00F26CA1" w:rsidP="385F38A5">
            <w:pPr>
              <w:jc w:val="center"/>
              <w:rPr>
                <w:color w:val="000000" w:themeColor="text1"/>
              </w:rPr>
            </w:pPr>
            <w:r w:rsidRPr="00F26CA1">
              <w:rPr>
                <w:color w:val="000000" w:themeColor="text1"/>
              </w:rPr>
              <w:t>255,81</w:t>
            </w:r>
          </w:p>
        </w:tc>
      </w:tr>
      <w:tr w:rsidR="55CECF79" w14:paraId="501A7FF1"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02763E" w14:textId="252DBC87" w:rsidR="345607EA" w:rsidRDefault="345607EA" w:rsidP="55CECF79">
            <w:pPr>
              <w:spacing w:line="240" w:lineRule="auto"/>
            </w:pPr>
            <w:r>
              <w:t>Ninatiiva plastika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B43DFC" w14:textId="46D63426" w:rsidR="345607EA" w:rsidRDefault="345607EA" w:rsidP="55CECF79">
            <w:pPr>
              <w:spacing w:line="240" w:lineRule="auto"/>
              <w:jc w:val="center"/>
            </w:pPr>
            <w:r>
              <w:t>1D2108</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3591A6" w14:textId="73123F96" w:rsidR="00C02CC4" w:rsidRDefault="00C02CC4" w:rsidP="008A1280">
            <w:pPr>
              <w:jc w:val="center"/>
              <w:rPr>
                <w:color w:val="000000" w:themeColor="text1"/>
              </w:rPr>
            </w:pPr>
          </w:p>
          <w:p w14:paraId="031FA8C9" w14:textId="4A9BB5B3" w:rsidR="2B7AD161" w:rsidRDefault="00C02CC4" w:rsidP="55CECF79">
            <w:pPr>
              <w:jc w:val="center"/>
              <w:rPr>
                <w:color w:val="000000" w:themeColor="text1"/>
              </w:rPr>
            </w:pPr>
            <w:r w:rsidRPr="00C02CC4">
              <w:rPr>
                <w:color w:val="000000" w:themeColor="text1"/>
              </w:rPr>
              <w:t>343,76</w:t>
            </w:r>
          </w:p>
        </w:tc>
      </w:tr>
      <w:tr w:rsidR="55CECF79" w14:paraId="0BCA4EF8"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138DEC" w14:textId="05A84557" w:rsidR="345607EA" w:rsidRDefault="345607EA" w:rsidP="55CECF79">
            <w:pPr>
              <w:spacing w:line="240" w:lineRule="auto"/>
            </w:pPr>
            <w:r>
              <w:t>Kõrvalestaplastika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03E4F8" w14:textId="5C1B6EBC" w:rsidR="345607EA" w:rsidRDefault="345607EA" w:rsidP="55CECF79">
            <w:pPr>
              <w:spacing w:line="240" w:lineRule="auto"/>
              <w:jc w:val="center"/>
            </w:pPr>
            <w:r>
              <w:t>1D2109</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70590A" w14:textId="0D1A318E" w:rsidR="00C02CC4" w:rsidRDefault="00C02CC4" w:rsidP="008A1280">
            <w:pPr>
              <w:jc w:val="center"/>
              <w:rPr>
                <w:color w:val="000000" w:themeColor="text1"/>
              </w:rPr>
            </w:pPr>
          </w:p>
          <w:p w14:paraId="0EF2A1A1" w14:textId="33ADE759" w:rsidR="40C4DFA3" w:rsidRDefault="00C02CC4" w:rsidP="55CECF79">
            <w:pPr>
              <w:jc w:val="center"/>
              <w:rPr>
                <w:color w:val="000000" w:themeColor="text1"/>
              </w:rPr>
            </w:pPr>
            <w:r w:rsidRPr="00C02CC4">
              <w:rPr>
                <w:color w:val="000000" w:themeColor="text1"/>
              </w:rPr>
              <w:t>709,84</w:t>
            </w:r>
          </w:p>
        </w:tc>
      </w:tr>
      <w:tr w:rsidR="55CECF79" w14:paraId="781EF004"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7CA760" w14:textId="7B48EEEB" w:rsidR="345607EA" w:rsidRDefault="345607EA" w:rsidP="55CECF79">
            <w:pPr>
              <w:spacing w:line="240" w:lineRule="auto"/>
            </w:pPr>
            <w:r>
              <w:t>Müringoplastika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D07DBD" w14:textId="4BC2C787" w:rsidR="345607EA" w:rsidRDefault="345607EA" w:rsidP="55CECF79">
            <w:pPr>
              <w:spacing w:line="240" w:lineRule="auto"/>
              <w:jc w:val="center"/>
            </w:pPr>
            <w:r>
              <w:t>1D2110</w:t>
            </w: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89988C" w14:textId="40EBDA45" w:rsidR="5F64DC1C" w:rsidRDefault="000D2616" w:rsidP="55CECF79">
            <w:pPr>
              <w:jc w:val="center"/>
              <w:rPr>
                <w:color w:val="000000" w:themeColor="text1"/>
              </w:rPr>
            </w:pPr>
            <w:r>
              <w:rPr>
                <w:color w:val="000000"/>
              </w:rPr>
              <w:t>754,88</w:t>
            </w:r>
          </w:p>
        </w:tc>
      </w:tr>
      <w:tr w:rsidR="55CECF79" w14:paraId="68109ED7"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137CD4" w14:textId="00276B88" w:rsidR="345607EA" w:rsidRDefault="345607EA" w:rsidP="55CECF79">
            <w:pPr>
              <w:spacing w:line="240" w:lineRule="auto"/>
            </w:pPr>
            <w:r>
              <w:t>Tümpanotoomia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5F24EC" w14:textId="2CF747A6" w:rsidR="345607EA" w:rsidRDefault="345607EA" w:rsidP="55CECF79">
            <w:pPr>
              <w:spacing w:line="240" w:lineRule="auto"/>
              <w:jc w:val="center"/>
            </w:pPr>
            <w:r>
              <w:t>1D2111</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5CA0B2" w14:textId="3321600F" w:rsidR="68EBAEC9" w:rsidRDefault="000D2616" w:rsidP="55CECF79">
            <w:pPr>
              <w:jc w:val="center"/>
              <w:rPr>
                <w:color w:val="000000" w:themeColor="text1"/>
              </w:rPr>
            </w:pPr>
            <w:r>
              <w:rPr>
                <w:color w:val="000000"/>
              </w:rPr>
              <w:t>459,04</w:t>
            </w:r>
          </w:p>
        </w:tc>
      </w:tr>
      <w:tr w:rsidR="55CECF79" w14:paraId="5D4D344D"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E291F5" w14:textId="41EC6235" w:rsidR="345607EA" w:rsidRDefault="345607EA" w:rsidP="55CECF79">
            <w:pPr>
              <w:spacing w:line="240" w:lineRule="auto"/>
            </w:pPr>
            <w:r>
              <w:t>Kuulmekäigu plastika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5760A2" w14:textId="5CA3E126" w:rsidR="345607EA" w:rsidRDefault="345607EA" w:rsidP="55CECF79">
            <w:pPr>
              <w:spacing w:line="240" w:lineRule="auto"/>
              <w:jc w:val="center"/>
            </w:pPr>
            <w:r>
              <w:t>1D2112</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AD505E" w14:textId="226EF4DF" w:rsidR="63B73AE1" w:rsidRDefault="000D2616" w:rsidP="55CECF79">
            <w:pPr>
              <w:jc w:val="center"/>
              <w:rPr>
                <w:color w:val="000000" w:themeColor="text1"/>
              </w:rPr>
            </w:pPr>
            <w:r>
              <w:rPr>
                <w:color w:val="000000"/>
              </w:rPr>
              <w:t>819,40</w:t>
            </w:r>
          </w:p>
        </w:tc>
      </w:tr>
      <w:tr w:rsidR="55CECF79" w14:paraId="213C0ED8"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4BF4A3" w14:textId="777363CC" w:rsidR="345607EA" w:rsidRDefault="345607EA" w:rsidP="55CECF79">
            <w:pPr>
              <w:spacing w:line="240" w:lineRule="auto"/>
            </w:pPr>
            <w:r>
              <w:lastRenderedPageBreak/>
              <w:t>Trahheostoomia kilpnäärme istmuse resektsiooniga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4D7190" w14:textId="343BDABB" w:rsidR="345607EA" w:rsidRDefault="345607EA" w:rsidP="55CECF79">
            <w:pPr>
              <w:spacing w:line="240" w:lineRule="auto"/>
              <w:jc w:val="center"/>
            </w:pPr>
            <w:r>
              <w:t>1D2113</w:t>
            </w: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EC871A" w14:textId="15B4C530" w:rsidR="52E4AE23" w:rsidRDefault="009B2914" w:rsidP="55CECF79">
            <w:pPr>
              <w:jc w:val="center"/>
              <w:rPr>
                <w:color w:val="000000" w:themeColor="text1"/>
              </w:rPr>
            </w:pPr>
            <w:r>
              <w:rPr>
                <w:color w:val="000000"/>
              </w:rPr>
              <w:t>482,87</w:t>
            </w:r>
          </w:p>
        </w:tc>
      </w:tr>
      <w:tr w:rsidR="55CECF79" w14:paraId="5F4B0CE8"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ED815F" w14:textId="5CD20A49" w:rsidR="345607EA" w:rsidRDefault="345607EA" w:rsidP="55CECF79">
            <w:pPr>
              <w:spacing w:line="240" w:lineRule="auto"/>
            </w:pPr>
            <w:r>
              <w:t>Pea- ja kaelapiirkonna kasvaja eemaldamine laseriga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530BE5" w14:textId="16A52A46" w:rsidR="345607EA" w:rsidRDefault="345607EA" w:rsidP="55CECF79">
            <w:pPr>
              <w:spacing w:line="240" w:lineRule="auto"/>
              <w:jc w:val="center"/>
            </w:pPr>
            <w:r>
              <w:t>1D2114</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E30BC0" w14:textId="52FD826D" w:rsidR="5B220899" w:rsidRDefault="009B2914" w:rsidP="55CECF79">
            <w:pPr>
              <w:jc w:val="center"/>
              <w:rPr>
                <w:color w:val="000000" w:themeColor="text1"/>
              </w:rPr>
            </w:pPr>
            <w:r>
              <w:rPr>
                <w:color w:val="000000"/>
              </w:rPr>
              <w:t>631,29</w:t>
            </w:r>
          </w:p>
        </w:tc>
      </w:tr>
      <w:tr w:rsidR="55CECF79" w14:paraId="76E5CFC9"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D702F7" w14:textId="00ED532C" w:rsidR="345607EA" w:rsidRDefault="345607EA" w:rsidP="55CECF79">
            <w:pPr>
              <w:spacing w:line="240" w:lineRule="auto"/>
            </w:pPr>
            <w:r>
              <w:t>Septoplastika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370019" w14:textId="52BCA5A2" w:rsidR="345607EA" w:rsidRDefault="345607EA" w:rsidP="55CECF79">
            <w:pPr>
              <w:spacing w:line="240" w:lineRule="auto"/>
              <w:jc w:val="center"/>
            </w:pPr>
            <w:r>
              <w:t>1D2115</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8EF61B" w14:textId="62816E15" w:rsidR="0D8BA9F7" w:rsidRDefault="009B2914" w:rsidP="55CECF79">
            <w:pPr>
              <w:jc w:val="center"/>
              <w:rPr>
                <w:color w:val="000000" w:themeColor="text1"/>
              </w:rPr>
            </w:pPr>
            <w:r>
              <w:rPr>
                <w:color w:val="000000"/>
              </w:rPr>
              <w:t>691,79</w:t>
            </w:r>
          </w:p>
        </w:tc>
      </w:tr>
      <w:tr w:rsidR="55CECF79" w14:paraId="398C884B"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52C864" w14:textId="300B9845" w:rsidR="345607EA" w:rsidRDefault="345607EA" w:rsidP="55CECF79">
            <w:pPr>
              <w:spacing w:line="240" w:lineRule="auto"/>
            </w:pPr>
            <w:r>
              <w:t>Väline frontotoomia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540F31" w14:textId="7595A5D9" w:rsidR="345607EA" w:rsidRDefault="345607EA" w:rsidP="55CECF79">
            <w:pPr>
              <w:spacing w:line="240" w:lineRule="auto"/>
              <w:jc w:val="center"/>
            </w:pPr>
            <w:r>
              <w:t>1D2116</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BD5459" w14:textId="1A68F758" w:rsidR="6D80B328" w:rsidRDefault="009B2914" w:rsidP="55CECF79">
            <w:pPr>
              <w:jc w:val="center"/>
              <w:rPr>
                <w:color w:val="000000" w:themeColor="text1"/>
              </w:rPr>
            </w:pPr>
            <w:r>
              <w:rPr>
                <w:color w:val="000000"/>
              </w:rPr>
              <w:t>601,71</w:t>
            </w:r>
          </w:p>
        </w:tc>
      </w:tr>
      <w:tr w:rsidR="55CECF79" w14:paraId="20E4BA23"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3F2C68" w14:textId="649A8B7F" w:rsidR="345607EA" w:rsidRDefault="345607EA" w:rsidP="55CECF79">
            <w:pPr>
              <w:spacing w:line="240" w:lineRule="auto"/>
            </w:pPr>
            <w:r>
              <w:t>Preaurikulaarse fistuli ekstirpatsioon kõhre resektsiooniga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57EC72" w14:textId="18870071" w:rsidR="345607EA" w:rsidRDefault="345607EA" w:rsidP="55CECF79">
            <w:pPr>
              <w:spacing w:line="240" w:lineRule="auto"/>
              <w:jc w:val="center"/>
            </w:pPr>
            <w:r>
              <w:t>1D2117</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C00ABB" w14:textId="47E5AB08" w:rsidR="03718BC6" w:rsidRDefault="009B2914" w:rsidP="55CECF79">
            <w:pPr>
              <w:jc w:val="center"/>
              <w:rPr>
                <w:color w:val="000000" w:themeColor="text1"/>
              </w:rPr>
            </w:pPr>
            <w:r>
              <w:rPr>
                <w:color w:val="000000"/>
              </w:rPr>
              <w:t>781,72</w:t>
            </w:r>
          </w:p>
        </w:tc>
      </w:tr>
      <w:tr w:rsidR="55CECF79" w14:paraId="71AA93E7"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6765AA" w14:textId="2C0B162D" w:rsidR="345607EA" w:rsidRDefault="345607EA" w:rsidP="55CECF79">
            <w:pPr>
              <w:spacing w:line="240" w:lineRule="auto"/>
            </w:pPr>
            <w:r>
              <w:t>Attikoantromastoidektoomia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D52C57" w14:textId="0116B7AD" w:rsidR="345607EA" w:rsidRDefault="345607EA" w:rsidP="55CECF79">
            <w:pPr>
              <w:spacing w:line="240" w:lineRule="auto"/>
              <w:jc w:val="center"/>
            </w:pPr>
            <w:r>
              <w:t>1D2118</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4BBDE" w14:textId="50DF375C" w:rsidR="42E49CF3" w:rsidRDefault="009B2914" w:rsidP="55CECF79">
            <w:pPr>
              <w:jc w:val="center"/>
              <w:rPr>
                <w:color w:val="000000" w:themeColor="text1"/>
              </w:rPr>
            </w:pPr>
            <w:r>
              <w:rPr>
                <w:color w:val="000000"/>
              </w:rPr>
              <w:t>1 030,59</w:t>
            </w:r>
          </w:p>
        </w:tc>
      </w:tr>
      <w:tr w:rsidR="55CECF79" w14:paraId="7C58E7CE"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65DA49" w14:textId="074E1A0D" w:rsidR="345607EA" w:rsidRDefault="345607EA" w:rsidP="55CECF79">
            <w:pPr>
              <w:spacing w:line="240" w:lineRule="auto"/>
            </w:pPr>
            <w:r>
              <w:t>Endolarüngeaalne mikrokirurgia ja/või laserresektsioon</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331380" w14:textId="51657DD1" w:rsidR="345607EA" w:rsidRDefault="345607EA" w:rsidP="55CECF79">
            <w:pPr>
              <w:spacing w:line="240" w:lineRule="auto"/>
              <w:jc w:val="center"/>
            </w:pPr>
            <w:r>
              <w:t>1D2119</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3E8BEF" w14:textId="3B7D05E4" w:rsidR="00670512" w:rsidRDefault="00670512" w:rsidP="009B2914">
            <w:pPr>
              <w:jc w:val="center"/>
              <w:rPr>
                <w:color w:val="000000" w:themeColor="text1"/>
              </w:rPr>
            </w:pPr>
          </w:p>
          <w:p w14:paraId="148F058A" w14:textId="22B70271" w:rsidR="0C1C6F17" w:rsidRDefault="00670512" w:rsidP="55CECF79">
            <w:pPr>
              <w:jc w:val="center"/>
              <w:rPr>
                <w:color w:val="000000" w:themeColor="text1"/>
              </w:rPr>
            </w:pPr>
            <w:r w:rsidRPr="00670512">
              <w:rPr>
                <w:color w:val="000000" w:themeColor="text1"/>
              </w:rPr>
              <w:t>1 034,44</w:t>
            </w:r>
          </w:p>
        </w:tc>
      </w:tr>
      <w:tr w:rsidR="55CECF79" w14:paraId="44A58C8C"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750C60" w14:textId="07B2A655" w:rsidR="345607EA" w:rsidRDefault="345607EA" w:rsidP="55CECF79">
            <w:pPr>
              <w:spacing w:line="240" w:lineRule="auto"/>
            </w:pPr>
            <w:r>
              <w:t>Rinoplastika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DF78F6" w14:textId="5480CFDD" w:rsidR="345607EA" w:rsidRDefault="345607EA" w:rsidP="55CECF79">
            <w:pPr>
              <w:spacing w:line="240" w:lineRule="auto"/>
              <w:jc w:val="center"/>
            </w:pPr>
            <w:r>
              <w:t>1D2120</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BFAA84" w14:textId="33E344D4" w:rsidR="001311F0" w:rsidRDefault="001311F0" w:rsidP="009B2914">
            <w:pPr>
              <w:jc w:val="center"/>
              <w:rPr>
                <w:color w:val="000000" w:themeColor="text1"/>
              </w:rPr>
            </w:pPr>
          </w:p>
          <w:p w14:paraId="26FDDD62" w14:textId="7B16BA24" w:rsidR="0A7FB28B" w:rsidRDefault="001311F0" w:rsidP="55CECF79">
            <w:pPr>
              <w:jc w:val="center"/>
              <w:rPr>
                <w:color w:val="000000" w:themeColor="text1"/>
              </w:rPr>
            </w:pPr>
            <w:r w:rsidRPr="001311F0">
              <w:rPr>
                <w:color w:val="000000" w:themeColor="text1"/>
              </w:rPr>
              <w:t>1 077,27</w:t>
            </w:r>
          </w:p>
        </w:tc>
      </w:tr>
      <w:tr w:rsidR="55CECF79" w14:paraId="78FFC15C"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11C27E" w14:textId="70331D3E" w:rsidR="70A73AD9" w:rsidRDefault="70A73AD9" w:rsidP="55CECF79">
            <w:pPr>
              <w:spacing w:line="240" w:lineRule="auto"/>
            </w:pPr>
            <w:r>
              <w:t>Rinoseptoplastika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AD2E02" w14:textId="40F5B3ED" w:rsidR="70A73AD9" w:rsidRDefault="70A73AD9" w:rsidP="55CECF79">
            <w:pPr>
              <w:spacing w:line="240" w:lineRule="auto"/>
              <w:jc w:val="center"/>
            </w:pPr>
            <w:r>
              <w:t>1D2121</w:t>
            </w: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1DFD35" w14:textId="30D43B54" w:rsidR="5DD3E86E" w:rsidRDefault="009C7447" w:rsidP="55CECF79">
            <w:pPr>
              <w:jc w:val="center"/>
              <w:rPr>
                <w:color w:val="000000" w:themeColor="text1"/>
              </w:rPr>
            </w:pPr>
            <w:r>
              <w:rPr>
                <w:color w:val="000000"/>
              </w:rPr>
              <w:t>1 152,58</w:t>
            </w:r>
          </w:p>
        </w:tc>
      </w:tr>
      <w:tr w:rsidR="55CECF79" w14:paraId="7E897846"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17E5A9" w14:textId="58B935C8" w:rsidR="70A73AD9" w:rsidRDefault="70A73AD9" w:rsidP="55CECF79">
            <w:pPr>
              <w:spacing w:line="240" w:lineRule="auto"/>
            </w:pPr>
            <w:r>
              <w:t>Kõrvalesta rekonstruktiivne plastika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15B3BC" w14:textId="31DBB83D" w:rsidR="70A73AD9" w:rsidRDefault="70A73AD9" w:rsidP="55CECF79">
            <w:pPr>
              <w:spacing w:line="240" w:lineRule="auto"/>
              <w:jc w:val="center"/>
            </w:pPr>
            <w:r>
              <w:t>1D2122</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6FF40E" w14:textId="58F4D5D6" w:rsidR="2884C012" w:rsidRDefault="009C7447" w:rsidP="55CECF79">
            <w:pPr>
              <w:jc w:val="center"/>
              <w:rPr>
                <w:color w:val="000000" w:themeColor="text1"/>
              </w:rPr>
            </w:pPr>
            <w:r>
              <w:rPr>
                <w:color w:val="000000"/>
              </w:rPr>
              <w:t>1 048,38</w:t>
            </w:r>
          </w:p>
        </w:tc>
      </w:tr>
      <w:tr w:rsidR="55CECF79" w14:paraId="0C4274C3"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7F33A8" w14:textId="3DF2A8E2" w:rsidR="70A73AD9" w:rsidRDefault="70A73AD9" w:rsidP="55CECF79">
            <w:pPr>
              <w:spacing w:line="240" w:lineRule="auto"/>
            </w:pPr>
            <w:r>
              <w:t>Stapedotoomia ja/või stapedoplastika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A02093" w14:textId="555ADEEC" w:rsidR="70A73AD9" w:rsidRDefault="70A73AD9" w:rsidP="55CECF79">
            <w:pPr>
              <w:spacing w:line="240" w:lineRule="auto"/>
              <w:jc w:val="center"/>
            </w:pPr>
            <w:r>
              <w:t>1D2123</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74E193" w14:textId="43BC6828" w:rsidR="1F0FED5F" w:rsidRDefault="009C7447" w:rsidP="55CECF79">
            <w:pPr>
              <w:jc w:val="center"/>
              <w:rPr>
                <w:color w:val="000000" w:themeColor="text1"/>
              </w:rPr>
            </w:pPr>
            <w:r>
              <w:rPr>
                <w:color w:val="000000"/>
              </w:rPr>
              <w:t>1 208,02</w:t>
            </w:r>
          </w:p>
        </w:tc>
      </w:tr>
      <w:tr w:rsidR="55CECF79" w14:paraId="3BC6B161"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AB3867" w14:textId="1493BC0C" w:rsidR="70A73AD9" w:rsidRDefault="70A73AD9" w:rsidP="55CECF79">
            <w:pPr>
              <w:spacing w:line="240" w:lineRule="auto"/>
            </w:pPr>
            <w:r>
              <w:t>Tümpanoplastika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555168" w14:textId="68D6388D" w:rsidR="70A73AD9" w:rsidRDefault="70A73AD9" w:rsidP="55CECF79">
            <w:pPr>
              <w:spacing w:line="240" w:lineRule="auto"/>
              <w:jc w:val="center"/>
            </w:pPr>
            <w:r>
              <w:t>1D2124</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CDE199" w14:textId="44E14D8D" w:rsidR="4A54A603" w:rsidRDefault="62334AB8" w:rsidP="55CECF79">
            <w:pPr>
              <w:jc w:val="center"/>
              <w:rPr>
                <w:color w:val="000000" w:themeColor="text1"/>
              </w:rPr>
            </w:pPr>
            <w:r w:rsidRPr="2D47276F">
              <w:rPr>
                <w:color w:val="000000" w:themeColor="text1"/>
              </w:rPr>
              <w:t>1099,35</w:t>
            </w:r>
          </w:p>
        </w:tc>
      </w:tr>
      <w:tr w:rsidR="55CECF79" w14:paraId="0AAD1A04"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1F1591" w14:textId="38F73F12" w:rsidR="2961B4E8" w:rsidRDefault="2961B4E8" w:rsidP="55CECF79">
            <w:pPr>
              <w:spacing w:line="240" w:lineRule="auto"/>
            </w:pPr>
            <w:r>
              <w:t>Kõri resektsioon või eemaldamine</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AB7326" w14:textId="6A2D3B8E" w:rsidR="2961B4E8" w:rsidRDefault="2961B4E8" w:rsidP="55CECF79">
            <w:pPr>
              <w:spacing w:line="240" w:lineRule="auto"/>
              <w:jc w:val="center"/>
            </w:pPr>
            <w:r>
              <w:t>1D2125</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262309" w14:textId="1A99E6A1" w:rsidR="00E25E1A" w:rsidRDefault="00E25E1A" w:rsidP="009C7447">
            <w:pPr>
              <w:jc w:val="center"/>
              <w:rPr>
                <w:color w:val="000000" w:themeColor="text1"/>
              </w:rPr>
            </w:pPr>
          </w:p>
          <w:p w14:paraId="0F0B9689" w14:textId="33497B99" w:rsidR="64F80D64" w:rsidRDefault="00E25E1A" w:rsidP="55CECF79">
            <w:pPr>
              <w:jc w:val="center"/>
              <w:rPr>
                <w:color w:val="000000" w:themeColor="text1"/>
              </w:rPr>
            </w:pPr>
            <w:r w:rsidRPr="00E25E1A">
              <w:rPr>
                <w:color w:val="000000" w:themeColor="text1"/>
              </w:rPr>
              <w:t>2 358,88</w:t>
            </w:r>
          </w:p>
        </w:tc>
      </w:tr>
      <w:tr w:rsidR="55CECF79" w14:paraId="5CCD0953"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7C2216" w14:textId="699DFE7B" w:rsidR="25333056" w:rsidRDefault="25333056" w:rsidP="55CECF79">
            <w:pPr>
              <w:spacing w:line="240" w:lineRule="auto"/>
            </w:pPr>
            <w:r>
              <w:t>Akustikusneurinoomi translabürintaarne resektsioon</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81CE2D" w14:textId="5B19BCEE" w:rsidR="25333056" w:rsidRDefault="25333056" w:rsidP="55CECF79">
            <w:pPr>
              <w:spacing w:line="240" w:lineRule="auto"/>
              <w:jc w:val="center"/>
            </w:pPr>
            <w:r>
              <w:t>1D2126</w:t>
            </w: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D08359" w14:textId="1D316D21" w:rsidR="569150E7" w:rsidRDefault="00000797" w:rsidP="55CECF79">
            <w:pPr>
              <w:jc w:val="center"/>
              <w:rPr>
                <w:color w:val="000000" w:themeColor="text1"/>
              </w:rPr>
            </w:pPr>
            <w:r>
              <w:rPr>
                <w:color w:val="000000"/>
              </w:rPr>
              <w:t>2 723,77</w:t>
            </w:r>
          </w:p>
        </w:tc>
      </w:tr>
      <w:tr w:rsidR="55CECF79" w14:paraId="376527B3"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7B3768" w14:textId="567185AE" w:rsidR="25333056" w:rsidRDefault="25333056" w:rsidP="55CECF79">
            <w:pPr>
              <w:spacing w:line="240" w:lineRule="auto"/>
            </w:pPr>
            <w:r>
              <w:t>Labürintektoomia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9B9063" w14:textId="2BDB1B6B" w:rsidR="25333056" w:rsidRDefault="25333056" w:rsidP="55CECF79">
            <w:pPr>
              <w:spacing w:line="240" w:lineRule="auto"/>
              <w:jc w:val="center"/>
            </w:pPr>
            <w:r>
              <w:t>1D2127</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DC0E59" w14:textId="0C345F23" w:rsidR="331B73E0" w:rsidRDefault="00000797" w:rsidP="55CECF79">
            <w:pPr>
              <w:jc w:val="center"/>
              <w:rPr>
                <w:color w:val="000000" w:themeColor="text1"/>
              </w:rPr>
            </w:pPr>
            <w:r>
              <w:rPr>
                <w:color w:val="000000"/>
              </w:rPr>
              <w:t>2 092,76</w:t>
            </w:r>
          </w:p>
        </w:tc>
      </w:tr>
      <w:tr w:rsidR="55CECF79" w14:paraId="4D9B01BC" w14:textId="77777777" w:rsidTr="00EB7A71">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08EF0B" w14:textId="1738DA98" w:rsidR="25333056" w:rsidRDefault="25333056" w:rsidP="55CECF79">
            <w:pPr>
              <w:spacing w:line="240" w:lineRule="auto"/>
            </w:pPr>
            <w:r>
              <w:t>Petrosektoomia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5B8EE3" w14:textId="3EED49DB" w:rsidR="25333056" w:rsidRDefault="25333056" w:rsidP="55CECF79">
            <w:pPr>
              <w:spacing w:line="240" w:lineRule="auto"/>
              <w:jc w:val="center"/>
            </w:pPr>
            <w:r>
              <w:t>1D2128</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E5CAA9" w14:textId="50327484" w:rsidR="76950B02" w:rsidRDefault="00000797" w:rsidP="55CECF79">
            <w:pPr>
              <w:jc w:val="center"/>
              <w:rPr>
                <w:color w:val="000000" w:themeColor="text1"/>
              </w:rPr>
            </w:pPr>
            <w:r>
              <w:rPr>
                <w:color w:val="000000"/>
              </w:rPr>
              <w:t>2 092,76</w:t>
            </w:r>
          </w:p>
        </w:tc>
      </w:tr>
      <w:tr w:rsidR="55CECF79" w14:paraId="474EBE28"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4E7183" w14:textId="7C7A7164" w:rsidR="25333056" w:rsidRDefault="25333056" w:rsidP="55CECF79">
            <w:pPr>
              <w:spacing w:line="240" w:lineRule="auto"/>
            </w:pPr>
            <w:r>
              <w:t>Kõrva atreesia rekonstruktsioon</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2046E9" w14:textId="5AF3ABBA" w:rsidR="25333056" w:rsidRDefault="25333056" w:rsidP="55CECF79">
            <w:pPr>
              <w:spacing w:line="240" w:lineRule="auto"/>
              <w:jc w:val="center"/>
            </w:pPr>
            <w:r>
              <w:t>1D2129</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50B6EB" w14:textId="3AACCBA3" w:rsidR="3FE50744" w:rsidRDefault="00000797" w:rsidP="55CECF79">
            <w:pPr>
              <w:jc w:val="center"/>
              <w:rPr>
                <w:color w:val="000000" w:themeColor="text1"/>
              </w:rPr>
            </w:pPr>
            <w:r>
              <w:rPr>
                <w:color w:val="000000"/>
              </w:rPr>
              <w:t>2 412,89</w:t>
            </w:r>
          </w:p>
        </w:tc>
      </w:tr>
      <w:tr w:rsidR="385F38A5" w14:paraId="29A7F770"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08F035" w14:textId="724068C2" w:rsidR="345607EA" w:rsidRDefault="345607EA" w:rsidP="385F38A5">
            <w:pPr>
              <w:spacing w:line="240" w:lineRule="auto"/>
            </w:pPr>
            <w:r>
              <w:t>Arteri(te) ligeerimine paranasaalses piirkonnas</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518AC5" w14:textId="2A038F4F" w:rsidR="345607EA" w:rsidRDefault="345607EA" w:rsidP="385F38A5">
            <w:pPr>
              <w:spacing w:line="240" w:lineRule="auto"/>
              <w:jc w:val="center"/>
            </w:pPr>
            <w:r>
              <w:t>1D2201</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BCF31E" w14:textId="120D0455" w:rsidR="00000797" w:rsidRDefault="00000797" w:rsidP="00000797">
            <w:pPr>
              <w:jc w:val="center"/>
              <w:rPr>
                <w:color w:val="000000" w:themeColor="text1"/>
              </w:rPr>
            </w:pPr>
          </w:p>
          <w:p w14:paraId="6122ABBF" w14:textId="6002D3F8" w:rsidR="385F38A5" w:rsidRDefault="00000797" w:rsidP="385F38A5">
            <w:pPr>
              <w:jc w:val="center"/>
              <w:rPr>
                <w:color w:val="000000" w:themeColor="text1"/>
              </w:rPr>
            </w:pPr>
            <w:r w:rsidRPr="00000797">
              <w:rPr>
                <w:color w:val="000000" w:themeColor="text1"/>
              </w:rPr>
              <w:t>588,13</w:t>
            </w:r>
          </w:p>
        </w:tc>
      </w:tr>
      <w:tr w:rsidR="385F38A5" w14:paraId="131A1EE5"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F35D42" w14:textId="6EB6E34A" w:rsidR="345607EA" w:rsidRDefault="345607EA" w:rsidP="385F38A5">
            <w:pPr>
              <w:spacing w:line="240" w:lineRule="auto"/>
            </w:pPr>
            <w:r>
              <w:t>Trahheabronhoskoopia võõrkeha eemaldamisega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93B254" w14:textId="099298AA" w:rsidR="345607EA" w:rsidRDefault="345607EA" w:rsidP="385F38A5">
            <w:pPr>
              <w:spacing w:line="240" w:lineRule="auto"/>
              <w:jc w:val="center"/>
            </w:pPr>
            <w:r>
              <w:t>1D2202</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C5D8CD" w14:textId="01A52063" w:rsidR="00DB04C2" w:rsidRDefault="00DB04C2" w:rsidP="00000797">
            <w:pPr>
              <w:jc w:val="center"/>
              <w:rPr>
                <w:color w:val="000000" w:themeColor="text1"/>
              </w:rPr>
            </w:pPr>
          </w:p>
          <w:p w14:paraId="3A580111" w14:textId="3CA33C82" w:rsidR="385F38A5" w:rsidRDefault="00DB04C2" w:rsidP="385F38A5">
            <w:pPr>
              <w:jc w:val="center"/>
              <w:rPr>
                <w:color w:val="000000" w:themeColor="text1"/>
              </w:rPr>
            </w:pPr>
            <w:r w:rsidRPr="00DB04C2">
              <w:rPr>
                <w:color w:val="000000" w:themeColor="text1"/>
              </w:rPr>
              <w:t>548,34</w:t>
            </w:r>
          </w:p>
        </w:tc>
      </w:tr>
      <w:tr w:rsidR="55CECF79" w14:paraId="00186272"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87DC8A" w14:textId="1E48E64D" w:rsidR="345607EA" w:rsidRDefault="345607EA" w:rsidP="55CECF79">
            <w:pPr>
              <w:spacing w:line="240" w:lineRule="auto"/>
            </w:pPr>
            <w:r>
              <w:t>Koaani atreesia endoskoopiline plastika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D84977" w14:textId="42D3624E" w:rsidR="345607EA" w:rsidRDefault="345607EA" w:rsidP="55CECF79">
            <w:pPr>
              <w:spacing w:line="240" w:lineRule="auto"/>
              <w:jc w:val="center"/>
            </w:pPr>
            <w:r>
              <w:t>1D2203</w:t>
            </w: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F85FBB" w14:textId="36D81536" w:rsidR="0E12E4E6" w:rsidRDefault="00DB04C2" w:rsidP="55CECF79">
            <w:pPr>
              <w:jc w:val="center"/>
              <w:rPr>
                <w:color w:val="000000" w:themeColor="text1"/>
              </w:rPr>
            </w:pPr>
            <w:r>
              <w:rPr>
                <w:color w:val="000000"/>
              </w:rPr>
              <w:t>1 182,62</w:t>
            </w:r>
          </w:p>
        </w:tc>
      </w:tr>
      <w:tr w:rsidR="55CECF79" w14:paraId="59837B26"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FA3F25" w14:textId="22103206" w:rsidR="345607EA" w:rsidRDefault="345607EA" w:rsidP="55CECF79">
            <w:pPr>
              <w:spacing w:line="240" w:lineRule="auto"/>
            </w:pPr>
            <w:r>
              <w:lastRenderedPageBreak/>
              <w:t>Endonasaalne laser-dakrüotsüstorinostoomia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D20EE7" w14:textId="2313FE47" w:rsidR="345607EA" w:rsidRDefault="345607EA" w:rsidP="55CECF79">
            <w:pPr>
              <w:spacing w:line="240" w:lineRule="auto"/>
              <w:jc w:val="center"/>
            </w:pPr>
            <w:r>
              <w:t>1D2204</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CC13C2" w14:textId="1AB288A5" w:rsidR="66B27D90" w:rsidRDefault="00DB04C2" w:rsidP="55CECF79">
            <w:pPr>
              <w:jc w:val="center"/>
              <w:rPr>
                <w:color w:val="000000" w:themeColor="text1"/>
              </w:rPr>
            </w:pPr>
            <w:r>
              <w:rPr>
                <w:color w:val="000000"/>
              </w:rPr>
              <w:t>631,44</w:t>
            </w:r>
          </w:p>
        </w:tc>
      </w:tr>
      <w:tr w:rsidR="55CECF79" w14:paraId="1C51F70C"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5CC5E4" w14:textId="48238EE6" w:rsidR="49B29605" w:rsidRDefault="49B29605" w:rsidP="55CECF79">
            <w:pPr>
              <w:spacing w:line="240" w:lineRule="auto"/>
            </w:pPr>
            <w:r>
              <w:t>Endolarüngeaalne hordektoomia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5C7EC5" w14:textId="5808C2BA" w:rsidR="49B29605" w:rsidRDefault="49B29605" w:rsidP="55CECF79">
            <w:pPr>
              <w:spacing w:line="240" w:lineRule="auto"/>
              <w:jc w:val="center"/>
            </w:pPr>
            <w:r>
              <w:t>1D2205</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0BF76A" w14:textId="44248846" w:rsidR="00E70B81" w:rsidRDefault="00E70B81" w:rsidP="00DB04C2">
            <w:pPr>
              <w:jc w:val="center"/>
              <w:rPr>
                <w:color w:val="000000" w:themeColor="text1"/>
              </w:rPr>
            </w:pPr>
          </w:p>
          <w:p w14:paraId="1CE0B347" w14:textId="0FA03B9C" w:rsidR="1F6EBF98" w:rsidRDefault="00E70B81" w:rsidP="55CECF79">
            <w:pPr>
              <w:jc w:val="center"/>
              <w:rPr>
                <w:color w:val="000000" w:themeColor="text1"/>
              </w:rPr>
            </w:pPr>
            <w:r w:rsidRPr="00E70B81">
              <w:rPr>
                <w:color w:val="000000" w:themeColor="text1"/>
              </w:rPr>
              <w:t>1 431,70</w:t>
            </w:r>
          </w:p>
        </w:tc>
      </w:tr>
      <w:tr w:rsidR="55CECF79" w14:paraId="07C3431E"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B3C23F" w14:textId="62A5D174" w:rsidR="409DD766" w:rsidRDefault="409DD766" w:rsidP="55CECF79">
            <w:pPr>
              <w:spacing w:line="240" w:lineRule="auto"/>
            </w:pPr>
            <w:r>
              <w:t>Ninavaheseina perforatsioonide endoskoopiline plastika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6246AC" w14:textId="099BEB14" w:rsidR="409DD766" w:rsidRDefault="409DD766" w:rsidP="55CECF79">
            <w:pPr>
              <w:spacing w:line="240" w:lineRule="auto"/>
              <w:jc w:val="center"/>
            </w:pPr>
            <w:r>
              <w:t>1D2206</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23FB88" w14:textId="5A78ACE7" w:rsidR="00E70B81" w:rsidRDefault="00E70B81" w:rsidP="00DB04C2">
            <w:pPr>
              <w:jc w:val="center"/>
              <w:rPr>
                <w:color w:val="000000" w:themeColor="text1"/>
              </w:rPr>
            </w:pPr>
          </w:p>
          <w:p w14:paraId="7D07BFE0" w14:textId="6D207FC3" w:rsidR="4F6A38DD" w:rsidRDefault="00E70B81" w:rsidP="55CECF79">
            <w:pPr>
              <w:jc w:val="center"/>
              <w:rPr>
                <w:color w:val="000000" w:themeColor="text1"/>
              </w:rPr>
            </w:pPr>
            <w:r w:rsidRPr="00E70B81">
              <w:rPr>
                <w:color w:val="000000" w:themeColor="text1"/>
              </w:rPr>
              <w:t>764,52</w:t>
            </w:r>
          </w:p>
        </w:tc>
      </w:tr>
      <w:tr w:rsidR="55CECF79" w14:paraId="2A93830E"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32211C" w14:textId="0F56EC76" w:rsidR="409DD766" w:rsidRDefault="409DD766" w:rsidP="55CECF79">
            <w:pPr>
              <w:spacing w:line="240" w:lineRule="auto"/>
            </w:pPr>
            <w:r>
              <w:t>Limiteeritud endoskoopiline siinuskirurgia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24997F" w14:textId="70296B95" w:rsidR="409DD766" w:rsidRDefault="409DD766" w:rsidP="55CECF79">
            <w:pPr>
              <w:spacing w:line="240" w:lineRule="auto"/>
              <w:jc w:val="center"/>
            </w:pPr>
            <w:r>
              <w:t>1D2207</w:t>
            </w: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6D1CAF" w14:textId="628DF208" w:rsidR="15BC108B" w:rsidRDefault="00554F73" w:rsidP="55CECF79">
            <w:pPr>
              <w:jc w:val="center"/>
              <w:rPr>
                <w:color w:val="000000" w:themeColor="text1"/>
              </w:rPr>
            </w:pPr>
            <w:r>
              <w:rPr>
                <w:color w:val="000000"/>
              </w:rPr>
              <w:t>816,15</w:t>
            </w:r>
          </w:p>
        </w:tc>
      </w:tr>
      <w:tr w:rsidR="55CECF79" w14:paraId="6FB2B727"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FA083F" w14:textId="4A4C24BD" w:rsidR="409DD766" w:rsidRDefault="409DD766" w:rsidP="55CECF79">
            <w:pPr>
              <w:spacing w:line="240" w:lineRule="auto"/>
            </w:pPr>
            <w:r>
              <w:t>Laiendatud endoskoopiline siinuskirurgia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BE32B8" w14:textId="492E4AB4" w:rsidR="409DD766" w:rsidRDefault="409DD766" w:rsidP="55CECF79">
            <w:pPr>
              <w:spacing w:line="240" w:lineRule="auto"/>
              <w:jc w:val="center"/>
            </w:pPr>
            <w:r>
              <w:t>1D2208</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C4BA38" w14:textId="7A8B0E1F" w:rsidR="15C196F7" w:rsidRDefault="00554F73" w:rsidP="55CECF79">
            <w:pPr>
              <w:jc w:val="center"/>
              <w:rPr>
                <w:color w:val="000000" w:themeColor="text1"/>
              </w:rPr>
            </w:pPr>
            <w:r>
              <w:rPr>
                <w:color w:val="000000"/>
              </w:rPr>
              <w:t>1 203,55</w:t>
            </w:r>
          </w:p>
        </w:tc>
      </w:tr>
      <w:tr w:rsidR="55CECF79" w14:paraId="653AE0AE"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464746" w14:textId="3823F8B7" w:rsidR="409DD766" w:rsidRDefault="409DD766" w:rsidP="55CECF79">
            <w:pPr>
              <w:spacing w:line="240" w:lineRule="auto"/>
            </w:pPr>
            <w:r w:rsidRPr="55CECF79">
              <w:rPr>
                <w:szCs w:val="24"/>
              </w:rPr>
              <w:t>Transseptaalne sfenoidektoomia või DRAF IIB-III või mediaalne maksillektoomia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EE1C7D" w14:textId="0D8919C7" w:rsidR="409DD766" w:rsidRDefault="409DD766" w:rsidP="55CECF79">
            <w:pPr>
              <w:spacing w:line="240" w:lineRule="auto"/>
              <w:jc w:val="center"/>
            </w:pPr>
            <w:r>
              <w:t>1D2209</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3BD1E2" w14:textId="43A9A6B6" w:rsidR="00554F73" w:rsidRDefault="00554F73" w:rsidP="00554F73">
            <w:pPr>
              <w:jc w:val="center"/>
              <w:rPr>
                <w:color w:val="000000" w:themeColor="text1"/>
              </w:rPr>
            </w:pPr>
          </w:p>
          <w:p w14:paraId="430681EF" w14:textId="3E8DF31C" w:rsidR="0AB3B8EC" w:rsidRPr="00EB7A71" w:rsidRDefault="00554F73" w:rsidP="55CECF79">
            <w:pPr>
              <w:jc w:val="center"/>
              <w:rPr>
                <w:color w:val="000000"/>
              </w:rPr>
            </w:pPr>
            <w:r w:rsidRPr="00554F73">
              <w:rPr>
                <w:color w:val="000000"/>
              </w:rPr>
              <w:t>1 413,82</w:t>
            </w:r>
          </w:p>
        </w:tc>
      </w:tr>
      <w:tr w:rsidR="55CECF79" w14:paraId="750E325A"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D6FE06" w14:textId="6D07FAA0" w:rsidR="409DD766" w:rsidRDefault="409DD766" w:rsidP="55CECF79">
            <w:pPr>
              <w:spacing w:line="240" w:lineRule="auto"/>
            </w:pPr>
            <w:r>
              <w:t>Tümpanomastoidektoomia kuulmekäigu seina eemaldamisega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488128" w14:textId="1383BF7A" w:rsidR="409DD766" w:rsidRDefault="409DD766" w:rsidP="55CECF79">
            <w:pPr>
              <w:spacing w:line="240" w:lineRule="auto"/>
              <w:jc w:val="center"/>
            </w:pPr>
            <w:r>
              <w:t>1D2130</w:t>
            </w: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553A5B" w14:textId="5E6D59E0" w:rsidR="7354C785" w:rsidRDefault="00F82432" w:rsidP="55CECF79">
            <w:pPr>
              <w:jc w:val="center"/>
              <w:rPr>
                <w:color w:val="000000" w:themeColor="text1"/>
              </w:rPr>
            </w:pPr>
            <w:r>
              <w:rPr>
                <w:color w:val="000000"/>
              </w:rPr>
              <w:t>1 682,30</w:t>
            </w:r>
          </w:p>
        </w:tc>
      </w:tr>
      <w:tr w:rsidR="55CECF79" w14:paraId="46F1EC41"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41B020" w14:textId="7A7170CF" w:rsidR="409DD766" w:rsidRDefault="409DD766" w:rsidP="55CECF79">
            <w:pPr>
              <w:spacing w:line="240" w:lineRule="auto"/>
            </w:pPr>
            <w:r>
              <w:t>Tümpanomastoidektoomia kuulmekäigu seina säilitamisega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E41219" w14:textId="6E1F411F" w:rsidR="409DD766" w:rsidRDefault="409DD766" w:rsidP="55CECF79">
            <w:pPr>
              <w:spacing w:line="240" w:lineRule="auto"/>
              <w:jc w:val="center"/>
            </w:pPr>
            <w:r>
              <w:t>1D2131</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C1263B" w14:textId="241DC456" w:rsidR="269F9714" w:rsidRDefault="00F82432" w:rsidP="55CECF79">
            <w:pPr>
              <w:jc w:val="center"/>
              <w:rPr>
                <w:color w:val="000000" w:themeColor="text1"/>
              </w:rPr>
            </w:pPr>
            <w:r>
              <w:rPr>
                <w:color w:val="000000"/>
              </w:rPr>
              <w:t>1 207,44</w:t>
            </w:r>
          </w:p>
        </w:tc>
      </w:tr>
      <w:tr w:rsidR="55CECF79" w14:paraId="16F28094"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518879" w14:textId="4D841953" w:rsidR="345607EA" w:rsidRDefault="345607EA" w:rsidP="55CECF79">
            <w:pPr>
              <w:spacing w:line="240" w:lineRule="auto"/>
            </w:pPr>
            <w:r>
              <w:t>Transmaksillaarne või transpalatinaalne kirurgia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BBD1E3" w14:textId="39827060" w:rsidR="345607EA" w:rsidRDefault="345607EA" w:rsidP="55CECF79">
            <w:pPr>
              <w:spacing w:line="240" w:lineRule="auto"/>
              <w:jc w:val="center"/>
            </w:pPr>
            <w:r>
              <w:t>1E2201</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5F6F2C" w14:textId="5542D30B" w:rsidR="00A05DDF" w:rsidRDefault="00A05DDF" w:rsidP="00F82432">
            <w:pPr>
              <w:jc w:val="center"/>
              <w:rPr>
                <w:color w:val="000000" w:themeColor="text1"/>
              </w:rPr>
            </w:pPr>
          </w:p>
          <w:p w14:paraId="3C75B636" w14:textId="644902C6" w:rsidR="21C5AB0A" w:rsidRDefault="00A05DDF" w:rsidP="55CECF79">
            <w:pPr>
              <w:jc w:val="center"/>
              <w:rPr>
                <w:color w:val="000000" w:themeColor="text1"/>
              </w:rPr>
            </w:pPr>
            <w:r w:rsidRPr="00A05DDF">
              <w:rPr>
                <w:color w:val="000000" w:themeColor="text1"/>
              </w:rPr>
              <w:t>2 599,80</w:t>
            </w:r>
          </w:p>
        </w:tc>
      </w:tr>
      <w:tr w:rsidR="55CECF79" w14:paraId="194DDF0C"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A66F63" w14:textId="3F2E6B55" w:rsidR="0C2D1F0E" w:rsidRDefault="0C2D1F0E" w:rsidP="55CECF79">
            <w:pPr>
              <w:spacing w:line="240" w:lineRule="auto"/>
            </w:pPr>
            <w:r>
              <w:t>Kaela selektiivne lümfadenektoomia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752CDE" w14:textId="0AC59226" w:rsidR="0C2D1F0E" w:rsidRDefault="0C2D1F0E" w:rsidP="55CECF79">
            <w:pPr>
              <w:spacing w:line="240" w:lineRule="auto"/>
              <w:jc w:val="center"/>
            </w:pPr>
            <w:r>
              <w:t>1P2135</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FB008C" w14:textId="4BE2A1E5" w:rsidR="00A05DDF" w:rsidRDefault="00A05DDF" w:rsidP="00F82432">
            <w:pPr>
              <w:jc w:val="center"/>
              <w:rPr>
                <w:color w:val="000000" w:themeColor="text1"/>
              </w:rPr>
            </w:pPr>
          </w:p>
          <w:p w14:paraId="68EE2A0B" w14:textId="76E67E48" w:rsidR="4B01429A" w:rsidRDefault="00A05DDF" w:rsidP="55CECF79">
            <w:pPr>
              <w:jc w:val="center"/>
              <w:rPr>
                <w:color w:val="000000" w:themeColor="text1"/>
              </w:rPr>
            </w:pPr>
            <w:r w:rsidRPr="00A05DDF">
              <w:rPr>
                <w:color w:val="000000" w:themeColor="text1"/>
              </w:rPr>
              <w:t>1 461,26</w:t>
            </w:r>
          </w:p>
        </w:tc>
      </w:tr>
      <w:tr w:rsidR="55CECF79" w14:paraId="46D7BA0E"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298EE1" w14:textId="28F5F998" w:rsidR="60F6E72B" w:rsidRDefault="60F6E72B" w:rsidP="55CECF79">
            <w:pPr>
              <w:spacing w:line="240" w:lineRule="auto"/>
            </w:pPr>
            <w:r>
              <w:t>Kaela radikaalne lümfadenektoomia Crile järgi</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0E9E5E" w14:textId="3D1E7AEC" w:rsidR="60F6E72B" w:rsidRDefault="60F6E72B" w:rsidP="55CECF79">
            <w:pPr>
              <w:spacing w:line="240" w:lineRule="auto"/>
              <w:jc w:val="center"/>
            </w:pPr>
            <w:r>
              <w:t>1P2136</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2B3BBD" w14:textId="77777777" w:rsidR="004B1B43" w:rsidRDefault="004B1B43" w:rsidP="004B1B43">
            <w:pPr>
              <w:jc w:val="center"/>
              <w:rPr>
                <w:color w:val="000000"/>
              </w:rPr>
            </w:pPr>
            <w:r>
              <w:rPr>
                <w:color w:val="000000"/>
              </w:rPr>
              <w:t>1 915,70</w:t>
            </w:r>
          </w:p>
          <w:p w14:paraId="1B176DF9" w14:textId="00F585DB" w:rsidR="55CECF79" w:rsidRDefault="55CECF79" w:rsidP="55CECF79">
            <w:pPr>
              <w:jc w:val="center"/>
              <w:rPr>
                <w:color w:val="000000" w:themeColor="text1"/>
              </w:rPr>
            </w:pPr>
          </w:p>
        </w:tc>
      </w:tr>
      <w:tr w:rsidR="55CECF79" w14:paraId="5BA81EC9"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B1289D" w14:textId="65858C49" w:rsidR="1DC7AF5F" w:rsidRDefault="1DC7AF5F" w:rsidP="55CECF79">
            <w:pPr>
              <w:spacing w:line="240" w:lineRule="auto"/>
            </w:pPr>
            <w:r>
              <w:t>Närvi-lihase-nahalapi transplantatsioon näopiirkonnas</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DCFCEE" w14:textId="67439BC5" w:rsidR="1DC7AF5F" w:rsidRDefault="1DC7AF5F" w:rsidP="55CECF79">
            <w:pPr>
              <w:spacing w:line="240" w:lineRule="auto"/>
              <w:jc w:val="center"/>
            </w:pPr>
            <w:r>
              <w:t>1P2137</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EDF4D3" w14:textId="7D9C0E4C" w:rsidR="004B1B43" w:rsidRDefault="004B1B43" w:rsidP="00F82432">
            <w:pPr>
              <w:jc w:val="center"/>
              <w:rPr>
                <w:color w:val="000000" w:themeColor="text1"/>
              </w:rPr>
            </w:pPr>
          </w:p>
          <w:p w14:paraId="6012988F" w14:textId="34630A9E" w:rsidR="55CECF79" w:rsidRDefault="004B1B43" w:rsidP="55CECF79">
            <w:pPr>
              <w:jc w:val="center"/>
              <w:rPr>
                <w:color w:val="000000" w:themeColor="text1"/>
              </w:rPr>
            </w:pPr>
            <w:r w:rsidRPr="004B1B43">
              <w:rPr>
                <w:color w:val="000000" w:themeColor="text1"/>
              </w:rPr>
              <w:t>2 948,25</w:t>
            </w:r>
          </w:p>
        </w:tc>
      </w:tr>
      <w:tr w:rsidR="55CECF79" w14:paraId="7D6F22FF"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DAC19A" w14:textId="19DC5517" w:rsidR="1DC7AF5F" w:rsidRDefault="1DC7AF5F" w:rsidP="55CECF79">
            <w:pPr>
              <w:spacing w:line="240" w:lineRule="auto"/>
            </w:pPr>
            <w:r>
              <w:t>Näonärvi dekompressioon ja plastika oimuluu labürintaarses piirkonnas</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10A629" w14:textId="44A66359" w:rsidR="1DC7AF5F" w:rsidRDefault="1DC7AF5F" w:rsidP="55CECF79">
            <w:pPr>
              <w:spacing w:line="240" w:lineRule="auto"/>
              <w:jc w:val="center"/>
            </w:pPr>
            <w:r>
              <w:t>1A2142</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3AA5EC" w14:textId="5A7FC7C2" w:rsidR="00B200E3" w:rsidRDefault="00B200E3" w:rsidP="00F82432">
            <w:pPr>
              <w:jc w:val="center"/>
              <w:rPr>
                <w:color w:val="000000" w:themeColor="text1"/>
              </w:rPr>
            </w:pPr>
          </w:p>
          <w:p w14:paraId="262C6C18" w14:textId="67352454" w:rsidR="55CECF79" w:rsidRDefault="00B200E3" w:rsidP="55CECF79">
            <w:pPr>
              <w:jc w:val="center"/>
              <w:rPr>
                <w:color w:val="000000" w:themeColor="text1"/>
              </w:rPr>
            </w:pPr>
            <w:r w:rsidRPr="00B200E3">
              <w:rPr>
                <w:color w:val="000000" w:themeColor="text1"/>
              </w:rPr>
              <w:t>2 092,76</w:t>
            </w:r>
          </w:p>
        </w:tc>
      </w:tr>
      <w:tr w:rsidR="55CECF79" w14:paraId="4AA63231" w14:textId="77777777" w:rsidTr="2D47276F">
        <w:trPr>
          <w:divId w:val="1316184749"/>
          <w:trHeight w:val="300"/>
        </w:trPr>
        <w:tc>
          <w:tcPr>
            <w:tcW w:w="6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06FEEA" w14:textId="39D0CBC4" w:rsidR="29D7C561" w:rsidRDefault="29D7C561" w:rsidP="55CECF79">
            <w:pPr>
              <w:spacing w:line="240" w:lineRule="auto"/>
            </w:pPr>
            <w:r>
              <w:t>Näonärvi plastika lihasrekonstruktsiooniga</w:t>
            </w:r>
          </w:p>
        </w:tc>
        <w:tc>
          <w:tcPr>
            <w:tcW w:w="1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94F32C" w14:textId="3AF9C267" w:rsidR="550B2974" w:rsidRDefault="550B2974" w:rsidP="55CECF79">
            <w:pPr>
              <w:spacing w:line="240" w:lineRule="auto"/>
              <w:jc w:val="center"/>
            </w:pPr>
            <w:r>
              <w:t>1A2143</w:t>
            </w:r>
          </w:p>
        </w:tc>
        <w:tc>
          <w:tcPr>
            <w:tcW w:w="147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7C8E16" w14:textId="11407D17" w:rsidR="00B200E3" w:rsidRDefault="00B200E3" w:rsidP="00F82432">
            <w:pPr>
              <w:jc w:val="center"/>
              <w:rPr>
                <w:color w:val="000000" w:themeColor="text1"/>
              </w:rPr>
            </w:pPr>
          </w:p>
          <w:p w14:paraId="67AC20EB" w14:textId="4556E80E" w:rsidR="55CECF79" w:rsidRDefault="00B200E3" w:rsidP="55CECF79">
            <w:pPr>
              <w:jc w:val="center"/>
              <w:rPr>
                <w:color w:val="000000" w:themeColor="text1"/>
              </w:rPr>
            </w:pPr>
            <w:r w:rsidRPr="00B200E3">
              <w:rPr>
                <w:color w:val="000000" w:themeColor="text1"/>
              </w:rPr>
              <w:t>3 273,91</w:t>
            </w:r>
          </w:p>
        </w:tc>
      </w:tr>
    </w:tbl>
    <w:p w14:paraId="4B2D623D" w14:textId="1F5DF9EA" w:rsidR="55CECF79" w:rsidRDefault="55CECF79" w:rsidP="007C054E">
      <w:pPr>
        <w:spacing w:after="0"/>
      </w:pPr>
    </w:p>
    <w:p w14:paraId="1BEBC948" w14:textId="77777777" w:rsidR="00CB0B25" w:rsidRDefault="03C54AAD" w:rsidP="007C054E">
      <w:pPr>
        <w:spacing w:after="0"/>
        <w:jc w:val="both"/>
      </w:pPr>
      <w:r>
        <w:t xml:space="preserve">(2) Koodidega 1E2180, 1E2181, 1E2182 ja 1E2183 tähistatud tervishoiuteenuseid ei rakendata </w:t>
      </w:r>
      <w:r w:rsidR="00CB0B25">
        <w:t>samal ajal</w:t>
      </w:r>
      <w:r>
        <w:t>.</w:t>
      </w:r>
    </w:p>
    <w:p w14:paraId="2918F4B7" w14:textId="77777777" w:rsidR="00E27CC9" w:rsidRDefault="00E27CC9" w:rsidP="007C054E">
      <w:pPr>
        <w:spacing w:after="0"/>
        <w:jc w:val="both"/>
      </w:pPr>
    </w:p>
    <w:p w14:paraId="204B697B" w14:textId="3E4A103E" w:rsidR="03C54AAD" w:rsidRDefault="03C54AAD" w:rsidP="007C054E">
      <w:pPr>
        <w:spacing w:after="0"/>
        <w:jc w:val="both"/>
        <w:rPr>
          <w:b/>
        </w:rPr>
      </w:pPr>
      <w:r>
        <w:t>(3) Koodidega 1D2101</w:t>
      </w:r>
      <w:r w:rsidR="6500C54F" w:rsidRPr="007C054E">
        <w:t>,</w:t>
      </w:r>
      <w:r>
        <w:t xml:space="preserve"> 1D2111 </w:t>
      </w:r>
      <w:r w:rsidR="61426902" w:rsidRPr="007C054E">
        <w:t xml:space="preserve">ja </w:t>
      </w:r>
      <w:r w:rsidR="6500C54F">
        <w:t xml:space="preserve"> </w:t>
      </w:r>
      <w:r>
        <w:t>7325</w:t>
      </w:r>
      <w:r w:rsidR="75CA63B1">
        <w:t xml:space="preserve"> </w:t>
      </w:r>
      <w:r>
        <w:t xml:space="preserve">tähistatud tervishoiuteenuseid ei rakendata </w:t>
      </w:r>
      <w:r w:rsidR="005246B4">
        <w:t>samal ajal</w:t>
      </w:r>
      <w:r w:rsidRPr="007C054E">
        <w:rPr>
          <w:b/>
        </w:rPr>
        <w:t>.</w:t>
      </w:r>
    </w:p>
    <w:p w14:paraId="40E4ABEC" w14:textId="77777777" w:rsidR="005246B4" w:rsidRDefault="005246B4" w:rsidP="007C054E">
      <w:pPr>
        <w:spacing w:after="0"/>
        <w:jc w:val="both"/>
      </w:pPr>
    </w:p>
    <w:p w14:paraId="478C46AA" w14:textId="760869C7" w:rsidR="03C54AAD" w:rsidRDefault="03C54AAD" w:rsidP="007C054E">
      <w:pPr>
        <w:spacing w:after="0"/>
        <w:jc w:val="both"/>
      </w:pPr>
      <w:r>
        <w:lastRenderedPageBreak/>
        <w:t>(4)</w:t>
      </w:r>
      <w:r w:rsidR="00B71FEE">
        <w:t xml:space="preserve"> </w:t>
      </w:r>
      <w:r>
        <w:t xml:space="preserve">Koodidega 1D2102 ja 7333 tähistatud tervishoiuteenuseid ei rakendata </w:t>
      </w:r>
      <w:r w:rsidR="005246B4">
        <w:t>samal ajal</w:t>
      </w:r>
      <w:r>
        <w:t>.</w:t>
      </w:r>
    </w:p>
    <w:p w14:paraId="0E35F219" w14:textId="77777777" w:rsidR="005246B4" w:rsidRDefault="005246B4" w:rsidP="007C054E">
      <w:pPr>
        <w:spacing w:after="0"/>
        <w:jc w:val="both"/>
      </w:pPr>
    </w:p>
    <w:p w14:paraId="5165FADA" w14:textId="1699288E" w:rsidR="03C54AAD" w:rsidRDefault="03C54AAD" w:rsidP="007C054E">
      <w:pPr>
        <w:spacing w:after="0"/>
        <w:jc w:val="both"/>
        <w:rPr>
          <w:b/>
        </w:rPr>
      </w:pPr>
      <w:r>
        <w:t xml:space="preserve">(5) Koodidega 1D2201 ja 7324 tähistatud tervishoiuteenuseid ei rakendata </w:t>
      </w:r>
      <w:r w:rsidR="005246B4">
        <w:t>samal ajal</w:t>
      </w:r>
      <w:r>
        <w:t>.</w:t>
      </w:r>
      <w:r w:rsidRPr="007C054E">
        <w:rPr>
          <w:b/>
        </w:rPr>
        <w:t xml:space="preserve"> </w:t>
      </w:r>
    </w:p>
    <w:p w14:paraId="098F3525" w14:textId="77777777" w:rsidR="00971807" w:rsidRDefault="00971807" w:rsidP="007C054E">
      <w:pPr>
        <w:spacing w:after="0"/>
        <w:jc w:val="both"/>
        <w:rPr>
          <w:b/>
        </w:rPr>
      </w:pPr>
    </w:p>
    <w:p w14:paraId="6C4E24AF" w14:textId="0CB57C52" w:rsidR="03C54AAD" w:rsidRDefault="03C54AAD" w:rsidP="007C054E">
      <w:pPr>
        <w:spacing w:after="0"/>
        <w:jc w:val="both"/>
      </w:pPr>
      <w:r>
        <w:t xml:space="preserve">(6) Koodidega 1D2108, 1D2120 ja 1D2121 tähistatud tervishoiuteenuseid ei rakendata </w:t>
      </w:r>
      <w:r w:rsidR="005246B4">
        <w:t>samal ajal</w:t>
      </w:r>
      <w:r>
        <w:t xml:space="preserve">. </w:t>
      </w:r>
    </w:p>
    <w:p w14:paraId="6B45DB2C" w14:textId="77777777" w:rsidR="00971807" w:rsidRPr="007C054E" w:rsidRDefault="00971807" w:rsidP="007C054E">
      <w:pPr>
        <w:spacing w:after="0"/>
        <w:jc w:val="both"/>
        <w:rPr>
          <w:b/>
        </w:rPr>
      </w:pPr>
    </w:p>
    <w:p w14:paraId="77EC8C2B" w14:textId="296F1A20" w:rsidR="03C54AAD" w:rsidRDefault="03C54AAD" w:rsidP="007C054E">
      <w:pPr>
        <w:spacing w:after="0"/>
        <w:jc w:val="both"/>
      </w:pPr>
      <w:r>
        <w:t xml:space="preserve">(7) Koodidega 1D2202, 7327 ja 7336 tähistatud tervishoiuteenuseid ei rakendata </w:t>
      </w:r>
      <w:r w:rsidR="005246B4">
        <w:t>samal ajal</w:t>
      </w:r>
      <w:r>
        <w:t>.</w:t>
      </w:r>
    </w:p>
    <w:p w14:paraId="08BDAB78" w14:textId="77777777" w:rsidR="00971807" w:rsidRDefault="00971807" w:rsidP="007C054E">
      <w:pPr>
        <w:spacing w:after="0"/>
        <w:jc w:val="both"/>
      </w:pPr>
    </w:p>
    <w:p w14:paraId="010FF7E8" w14:textId="6F67DC74" w:rsidR="03C54AAD" w:rsidRDefault="03C54AAD" w:rsidP="007C054E">
      <w:pPr>
        <w:spacing w:after="0"/>
        <w:jc w:val="both"/>
      </w:pPr>
      <w:r>
        <w:t xml:space="preserve">(8) Koodidega 1D2109, 1D2122 ja 1D2129 tähistatud tervishoiuteenuseid ei rakendata </w:t>
      </w:r>
      <w:r w:rsidR="005246B4">
        <w:t>samal ajal</w:t>
      </w:r>
      <w:r>
        <w:t>.</w:t>
      </w:r>
    </w:p>
    <w:p w14:paraId="3FB60E2A" w14:textId="77777777" w:rsidR="00971807" w:rsidRDefault="00971807" w:rsidP="007C054E">
      <w:pPr>
        <w:spacing w:after="0"/>
        <w:jc w:val="both"/>
      </w:pPr>
    </w:p>
    <w:p w14:paraId="286E03E5" w14:textId="77777777" w:rsidR="00971807" w:rsidRDefault="03C54AAD" w:rsidP="007C054E">
      <w:pPr>
        <w:spacing w:after="0"/>
        <w:jc w:val="both"/>
      </w:pPr>
      <w:r>
        <w:t>(9)</w:t>
      </w:r>
      <w:r w:rsidR="360D40F1">
        <w:t xml:space="preserve"> </w:t>
      </w:r>
      <w:r>
        <w:t xml:space="preserve">Koodidega 1D2110 ja 1D2124 tähistatud tervishoiuteenuseid ei rakendata </w:t>
      </w:r>
      <w:r w:rsidR="005246B4">
        <w:t>samal ajal</w:t>
      </w:r>
      <w:r>
        <w:t>.</w:t>
      </w:r>
    </w:p>
    <w:p w14:paraId="5251B03F" w14:textId="464A38B3" w:rsidR="03C54AAD" w:rsidRDefault="03C54AAD" w:rsidP="007C054E">
      <w:pPr>
        <w:spacing w:after="0"/>
        <w:jc w:val="both"/>
      </w:pPr>
      <w:r>
        <w:t xml:space="preserve"> </w:t>
      </w:r>
    </w:p>
    <w:p w14:paraId="11350536" w14:textId="77777777" w:rsidR="007C054E" w:rsidRDefault="03C54AAD" w:rsidP="007C054E">
      <w:pPr>
        <w:spacing w:after="0"/>
        <w:jc w:val="both"/>
      </w:pPr>
      <w:r>
        <w:t>(10)</w:t>
      </w:r>
      <w:r w:rsidR="52378A7C">
        <w:t xml:space="preserve"> </w:t>
      </w:r>
      <w:r>
        <w:t>Koodi</w:t>
      </w:r>
      <w:r w:rsidR="10FC5A28">
        <w:t>ga</w:t>
      </w:r>
      <w:r>
        <w:t xml:space="preserve"> 1D2111</w:t>
      </w:r>
      <w:r w:rsidR="62854BC0">
        <w:t xml:space="preserve"> tähistatud tervishoiuteenus</w:t>
      </w:r>
      <w:r w:rsidR="6431E5A7">
        <w:t>t</w:t>
      </w:r>
      <w:r w:rsidR="62854BC0">
        <w:t xml:space="preserve"> e</w:t>
      </w:r>
      <w:r w:rsidR="6A3ED998">
        <w:t>i</w:t>
      </w:r>
      <w:r w:rsidR="62854BC0">
        <w:t xml:space="preserve"> rakendata koos</w:t>
      </w:r>
      <w:r>
        <w:t xml:space="preserve"> </w:t>
      </w:r>
      <w:r w:rsidR="00C246F5">
        <w:t xml:space="preserve">koodidega </w:t>
      </w:r>
      <w:r>
        <w:t>7325, 1D2101 ja 1D2124 tähistatud tervishoiuteenus</w:t>
      </w:r>
      <w:r w:rsidR="1481A0B8">
        <w:t>tega</w:t>
      </w:r>
      <w:r>
        <w:t>.</w:t>
      </w:r>
    </w:p>
    <w:p w14:paraId="5FEC3609" w14:textId="59BE92AA" w:rsidR="03C54AAD" w:rsidRDefault="03C54AAD" w:rsidP="007C054E">
      <w:pPr>
        <w:spacing w:after="0"/>
        <w:jc w:val="both"/>
      </w:pPr>
      <w:r>
        <w:t xml:space="preserve"> </w:t>
      </w:r>
    </w:p>
    <w:p w14:paraId="48C984D7" w14:textId="77777777" w:rsidR="007C054E" w:rsidRDefault="03C54AAD" w:rsidP="007C054E">
      <w:pPr>
        <w:spacing w:after="0"/>
        <w:jc w:val="both"/>
      </w:pPr>
      <w:r w:rsidRPr="007C054E">
        <w:rPr>
          <w:b/>
        </w:rPr>
        <w:t>(</w:t>
      </w:r>
      <w:r>
        <w:t>11)</w:t>
      </w:r>
      <w:r w:rsidR="00C246F5">
        <w:t xml:space="preserve"> </w:t>
      </w:r>
      <w:r>
        <w:t>Koodi</w:t>
      </w:r>
      <w:r w:rsidR="76440C13">
        <w:t>ga</w:t>
      </w:r>
      <w:r>
        <w:t xml:space="preserve"> 1D2114</w:t>
      </w:r>
      <w:r w:rsidR="41A42724" w:rsidRPr="007C054E">
        <w:t xml:space="preserve"> tähistatud</w:t>
      </w:r>
      <w:r w:rsidR="5C634629">
        <w:t xml:space="preserve"> tervishoiuteenust ei rakendata koos</w:t>
      </w:r>
      <w:r>
        <w:t xml:space="preserve"> </w:t>
      </w:r>
      <w:r w:rsidR="00C246F5">
        <w:t xml:space="preserve">koodidega </w:t>
      </w:r>
      <w:r>
        <w:t>1E2201, 1D2119, 1D2203 ja 1D2205 tähistatud tervishoiuteenus</w:t>
      </w:r>
      <w:r w:rsidR="78E5A001" w:rsidRPr="007C054E">
        <w:t>tega</w:t>
      </w:r>
      <w:r>
        <w:t>.</w:t>
      </w:r>
    </w:p>
    <w:p w14:paraId="2B0105DF" w14:textId="4FAFC3C9" w:rsidR="03C54AAD" w:rsidRDefault="03C54AAD" w:rsidP="007C054E">
      <w:pPr>
        <w:spacing w:after="0"/>
        <w:jc w:val="both"/>
      </w:pPr>
    </w:p>
    <w:p w14:paraId="538E9550" w14:textId="77777777" w:rsidR="007C054E" w:rsidRDefault="03C54AAD" w:rsidP="007C054E">
      <w:pPr>
        <w:spacing w:after="0"/>
        <w:jc w:val="both"/>
      </w:pPr>
      <w:r>
        <w:t>(12)</w:t>
      </w:r>
      <w:r w:rsidR="75D17C73">
        <w:t xml:space="preserve"> </w:t>
      </w:r>
      <w:r>
        <w:t>Koodi</w:t>
      </w:r>
      <w:r w:rsidR="39F18A2E">
        <w:t>ga</w:t>
      </w:r>
      <w:r>
        <w:t xml:space="preserve"> 1D2115</w:t>
      </w:r>
      <w:r w:rsidR="30ABC197">
        <w:t xml:space="preserve"> tähistatud tervishoiuteenust ei rakendata koos</w:t>
      </w:r>
      <w:r>
        <w:t xml:space="preserve"> </w:t>
      </w:r>
      <w:r w:rsidR="00C246F5">
        <w:t>koodidega</w:t>
      </w:r>
      <w:r>
        <w:t xml:space="preserve"> 1D2120, 1D2121, 1E2201 ja 1D2203 tähistatud tervishoiuteenus</w:t>
      </w:r>
      <w:r w:rsidR="361AB80B">
        <w:t>tega</w:t>
      </w:r>
      <w:r>
        <w:t>.</w:t>
      </w:r>
    </w:p>
    <w:p w14:paraId="377B7516" w14:textId="4F5741EB" w:rsidR="03C54AAD" w:rsidRDefault="03C54AAD" w:rsidP="007C054E">
      <w:pPr>
        <w:spacing w:after="0"/>
        <w:jc w:val="both"/>
      </w:pPr>
    </w:p>
    <w:p w14:paraId="48E93528" w14:textId="05FF1402" w:rsidR="03C54AAD" w:rsidRDefault="03C54AAD" w:rsidP="007C054E">
      <w:pPr>
        <w:spacing w:after="0"/>
        <w:jc w:val="both"/>
      </w:pPr>
      <w:r>
        <w:t>(13)</w:t>
      </w:r>
      <w:r w:rsidR="3D6562DA">
        <w:t xml:space="preserve"> </w:t>
      </w:r>
      <w:r>
        <w:t>Koodi</w:t>
      </w:r>
      <w:r w:rsidR="18C37324">
        <w:t>ga</w:t>
      </w:r>
      <w:r>
        <w:t xml:space="preserve"> 1D2118</w:t>
      </w:r>
      <w:r w:rsidR="57C6B258">
        <w:t xml:space="preserve"> tähistatud tervishoiuteenust ei rakendata koos</w:t>
      </w:r>
      <w:r>
        <w:t xml:space="preserve"> </w:t>
      </w:r>
      <w:r w:rsidR="00286CD1">
        <w:t xml:space="preserve">koodidega </w:t>
      </w:r>
      <w:r>
        <w:t>1D2124, 1D2128, 1D2130 ja 1D2131 tähistatud tervishoiute</w:t>
      </w:r>
      <w:r w:rsidR="61EB1F85">
        <w:t xml:space="preserve">enustega. </w:t>
      </w:r>
    </w:p>
    <w:p w14:paraId="0A9B0608" w14:textId="77777777" w:rsidR="00DC36F7" w:rsidRDefault="00DC36F7" w:rsidP="007C054E">
      <w:pPr>
        <w:spacing w:after="0"/>
        <w:jc w:val="both"/>
      </w:pPr>
    </w:p>
    <w:p w14:paraId="5F45B8C5" w14:textId="6A33243A" w:rsidR="03C54AAD" w:rsidRDefault="77FF5F53" w:rsidP="007C054E">
      <w:pPr>
        <w:spacing w:after="0"/>
        <w:jc w:val="both"/>
      </w:pPr>
      <w:r>
        <w:t>(14)</w:t>
      </w:r>
      <w:r w:rsidR="40585810">
        <w:t xml:space="preserve"> </w:t>
      </w:r>
      <w:r>
        <w:t>Koodiga 1D2119 tähistatud tervishoiuteenust ei rakendata koos</w:t>
      </w:r>
      <w:r w:rsidR="486E3866">
        <w:t xml:space="preserve"> </w:t>
      </w:r>
      <w:r w:rsidR="00286CD1">
        <w:t xml:space="preserve">koodidega </w:t>
      </w:r>
      <w:r>
        <w:t>1D2114 ja 1E2205 tähistatud tervishoiuteenustega.</w:t>
      </w:r>
    </w:p>
    <w:p w14:paraId="3AB3B04D" w14:textId="77777777" w:rsidR="00DC36F7" w:rsidRDefault="00DC36F7" w:rsidP="007C054E">
      <w:pPr>
        <w:spacing w:after="0"/>
        <w:jc w:val="both"/>
      </w:pPr>
    </w:p>
    <w:p w14:paraId="27E30E5F" w14:textId="522FA9A5" w:rsidR="03C54AAD" w:rsidRDefault="03C54AAD" w:rsidP="007C054E">
      <w:pPr>
        <w:spacing w:after="0"/>
        <w:jc w:val="both"/>
      </w:pPr>
      <w:r>
        <w:t xml:space="preserve">(15) Koodidega </w:t>
      </w:r>
      <w:r w:rsidR="0FC7F705">
        <w:t xml:space="preserve">1D2123 </w:t>
      </w:r>
      <w:r>
        <w:t xml:space="preserve">ja </w:t>
      </w:r>
      <w:r w:rsidR="0FC7F705">
        <w:t>1D2124</w:t>
      </w:r>
      <w:r>
        <w:t xml:space="preserve"> tähistatud tervishoiuteenuseid ei rakendata </w:t>
      </w:r>
      <w:r w:rsidR="00971807">
        <w:t>samal ajal</w:t>
      </w:r>
      <w:r>
        <w:t>.</w:t>
      </w:r>
    </w:p>
    <w:p w14:paraId="65EA6957" w14:textId="77777777" w:rsidR="00971807" w:rsidRDefault="00971807" w:rsidP="007C054E">
      <w:pPr>
        <w:spacing w:after="0"/>
        <w:jc w:val="both"/>
      </w:pPr>
    </w:p>
    <w:p w14:paraId="3A316ED3" w14:textId="33D87947" w:rsidR="007C054E" w:rsidRDefault="03C54AAD" w:rsidP="007C054E">
      <w:pPr>
        <w:spacing w:after="0"/>
        <w:jc w:val="both"/>
      </w:pPr>
      <w:r>
        <w:t xml:space="preserve">(16) Koodidega </w:t>
      </w:r>
      <w:r w:rsidR="4A447F27">
        <w:t>1D2204</w:t>
      </w:r>
      <w:r>
        <w:t>, 1D2207, 1D2208</w:t>
      </w:r>
      <w:r w:rsidR="72D8E4DB">
        <w:t xml:space="preserve">, </w:t>
      </w:r>
      <w:r>
        <w:t>1D2209</w:t>
      </w:r>
      <w:r w:rsidR="091AC8ED">
        <w:t>,</w:t>
      </w:r>
      <w:r>
        <w:t xml:space="preserve"> </w:t>
      </w:r>
      <w:r w:rsidR="48477877" w:rsidRPr="007C054E">
        <w:t>7320</w:t>
      </w:r>
      <w:r w:rsidR="7A5EECD1" w:rsidRPr="007C054E">
        <w:t xml:space="preserve"> ja </w:t>
      </w:r>
      <w:r w:rsidR="48477877">
        <w:t>7321</w:t>
      </w:r>
      <w:r>
        <w:t xml:space="preserve"> tähistatud tervishoiuteenuseid ei rakendata </w:t>
      </w:r>
      <w:r w:rsidR="00971807">
        <w:t>samal ajal</w:t>
      </w:r>
      <w:r>
        <w:t>.</w:t>
      </w:r>
    </w:p>
    <w:p w14:paraId="433AF5D0" w14:textId="4D500ACD" w:rsidR="03C54AAD" w:rsidRDefault="03C54AAD" w:rsidP="007C054E">
      <w:pPr>
        <w:spacing w:after="0"/>
        <w:jc w:val="both"/>
      </w:pPr>
    </w:p>
    <w:p w14:paraId="10F5CB07" w14:textId="018745F4" w:rsidR="007C054E" w:rsidRDefault="03C54AAD" w:rsidP="007C054E">
      <w:pPr>
        <w:spacing w:after="0"/>
        <w:jc w:val="both"/>
      </w:pPr>
      <w:r>
        <w:t>(1</w:t>
      </w:r>
      <w:r w:rsidR="162ED9C3">
        <w:t>7</w:t>
      </w:r>
      <w:r>
        <w:t>)</w:t>
      </w:r>
      <w:r w:rsidR="7217ECAA">
        <w:t xml:space="preserve"> </w:t>
      </w:r>
      <w:r>
        <w:t>Koodi</w:t>
      </w:r>
      <w:r w:rsidR="00870FAF">
        <w:t>ga</w:t>
      </w:r>
      <w:r>
        <w:t xml:space="preserve"> </w:t>
      </w:r>
      <w:r w:rsidR="3637238A" w:rsidRPr="007C054E">
        <w:t>1D2206</w:t>
      </w:r>
      <w:r w:rsidR="4FFDECC5">
        <w:t xml:space="preserve"> tähistatud tervishoiuteenust ei rakendata koos </w:t>
      </w:r>
      <w:r w:rsidR="002744E1">
        <w:t xml:space="preserve">koodidega </w:t>
      </w:r>
      <w:r>
        <w:t>1D2115,</w:t>
      </w:r>
      <w:r w:rsidR="58176E71">
        <w:t xml:space="preserve"> </w:t>
      </w:r>
      <w:r>
        <w:t>1D2207, 1D2208</w:t>
      </w:r>
      <w:r w:rsidR="46E18031" w:rsidRPr="007C054E">
        <w:t>,</w:t>
      </w:r>
      <w:r w:rsidR="41C13D24">
        <w:t xml:space="preserve"> </w:t>
      </w:r>
      <w:r>
        <w:t>1D2209</w:t>
      </w:r>
      <w:r w:rsidR="116EA9B4">
        <w:t xml:space="preserve"> ja 7334 </w:t>
      </w:r>
      <w:r>
        <w:t>tähistatud tervishoiuteenus</w:t>
      </w:r>
      <w:r w:rsidR="49006BEC" w:rsidRPr="007C054E">
        <w:t>tega.</w:t>
      </w:r>
    </w:p>
    <w:p w14:paraId="4786D8B1" w14:textId="4120D313" w:rsidR="03C54AAD" w:rsidRDefault="03C54AAD" w:rsidP="007C054E">
      <w:pPr>
        <w:spacing w:after="0"/>
        <w:jc w:val="both"/>
      </w:pPr>
    </w:p>
    <w:p w14:paraId="1AFC8552" w14:textId="6ABFFE84" w:rsidR="00976487" w:rsidRDefault="34E7500C" w:rsidP="00976487">
      <w:pPr>
        <w:spacing w:after="0" w:line="240" w:lineRule="auto"/>
        <w:jc w:val="both"/>
        <w:outlineLvl w:val="2"/>
        <w:divId w:val="1316184749"/>
      </w:pPr>
      <w:r w:rsidRPr="00DC36F7">
        <w:t>(</w:t>
      </w:r>
      <w:r>
        <w:t>18</w:t>
      </w:r>
      <w:r w:rsidR="5A18AFD2">
        <w:t xml:space="preserve">) </w:t>
      </w:r>
      <w:r w:rsidR="03C54AAD">
        <w:t xml:space="preserve">Koodidega </w:t>
      </w:r>
      <w:r w:rsidR="6A931A4A">
        <w:t>1D2209</w:t>
      </w:r>
      <w:r w:rsidR="03C54AAD">
        <w:t xml:space="preserve">, 1E2201, 1D2203, 1D2204, 1D2206, 1D2207, 1D2208 ja </w:t>
      </w:r>
      <w:r w:rsidR="1CDC2235">
        <w:t>7332</w:t>
      </w:r>
      <w:r w:rsidR="03C54AAD">
        <w:t xml:space="preserve"> tähistatud tervishoiuteenuseid ei </w:t>
      </w:r>
      <w:r w:rsidR="1ECCECB9">
        <w:t>rak</w:t>
      </w:r>
      <w:r w:rsidR="4480985D">
        <w:t>e</w:t>
      </w:r>
      <w:r w:rsidR="1ECCECB9">
        <w:t>ndata</w:t>
      </w:r>
      <w:r w:rsidR="03C54AAD">
        <w:t xml:space="preserve"> </w:t>
      </w:r>
      <w:r w:rsidR="00EB0B5D">
        <w:t>samal ajal</w:t>
      </w:r>
      <w:r w:rsidR="03C54AAD">
        <w:t xml:space="preserve">. </w:t>
      </w:r>
    </w:p>
    <w:p w14:paraId="68B92910" w14:textId="77777777" w:rsidR="00B04CFB" w:rsidRPr="00687DE8" w:rsidRDefault="00B04CFB" w:rsidP="00976487">
      <w:pPr>
        <w:spacing w:after="0" w:line="240" w:lineRule="auto"/>
        <w:jc w:val="both"/>
        <w:outlineLvl w:val="2"/>
        <w:divId w:val="1316184749"/>
        <w:rPr>
          <w:b/>
          <w:bCs/>
          <w:szCs w:val="24"/>
        </w:rPr>
      </w:pPr>
    </w:p>
    <w:p w14:paraId="6493662A" w14:textId="789FD9BE" w:rsidR="00976487" w:rsidRDefault="00976487" w:rsidP="00976487">
      <w:pPr>
        <w:spacing w:after="0" w:line="240" w:lineRule="auto"/>
        <w:jc w:val="both"/>
        <w:outlineLvl w:val="2"/>
        <w:divId w:val="1316184749"/>
        <w:rPr>
          <w:b/>
        </w:rPr>
      </w:pPr>
      <w:r w:rsidRPr="7DCDB6F6">
        <w:rPr>
          <w:b/>
        </w:rPr>
        <w:t>§ 5</w:t>
      </w:r>
      <w:r w:rsidR="000245EE" w:rsidRPr="7DCDB6F6">
        <w:rPr>
          <w:b/>
        </w:rPr>
        <w:t>7</w:t>
      </w:r>
      <w:r w:rsidRPr="7DCDB6F6">
        <w:rPr>
          <w:b/>
        </w:rPr>
        <w:t>. Günekoloogia ja sünnitusabi operatsioonide piirhinnad</w:t>
      </w:r>
    </w:p>
    <w:p w14:paraId="6B2FB3B2" w14:textId="77777777" w:rsidR="002635DB" w:rsidRDefault="002635DB" w:rsidP="006F3B7D">
      <w:pPr>
        <w:spacing w:after="0" w:line="240" w:lineRule="auto"/>
        <w:jc w:val="both"/>
        <w:divId w:val="1316184749"/>
        <w:rPr>
          <w:szCs w:val="24"/>
        </w:rPr>
      </w:pPr>
    </w:p>
    <w:p w14:paraId="33C2F47B" w14:textId="55279944" w:rsidR="00C67360" w:rsidRPr="00C67360" w:rsidRDefault="00976487" w:rsidP="006F3B7D">
      <w:pPr>
        <w:spacing w:after="0" w:line="240" w:lineRule="auto"/>
        <w:jc w:val="both"/>
        <w:divId w:val="1316184749"/>
        <w:rPr>
          <w:szCs w:val="24"/>
        </w:rPr>
      </w:pPr>
      <w:r w:rsidRPr="00687DE8">
        <w:rPr>
          <w:szCs w:val="24"/>
        </w:rPr>
        <w:t>(1) Günekoloogia ja sünnitusabi operatsioonide piirhinnad, ülevõetava tasu maksmise kohustuse piirmäär ning kindlustatud isiku omaosaluse määr on järgmised:</w:t>
      </w:r>
    </w:p>
    <w:p w14:paraId="30BF2763" w14:textId="77777777" w:rsidR="00976487" w:rsidRPr="00687DE8" w:rsidRDefault="00976487" w:rsidP="00976487">
      <w:pPr>
        <w:spacing w:after="0" w:line="240" w:lineRule="auto"/>
        <w:jc w:val="both"/>
        <w:divId w:val="131618474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1298"/>
        <w:gridCol w:w="2007"/>
        <w:gridCol w:w="1408"/>
        <w:gridCol w:w="1712"/>
      </w:tblGrid>
      <w:tr w:rsidR="00976487" w:rsidRPr="00687DE8" w14:paraId="461EB6B2" w14:textId="77777777" w:rsidTr="00A11310">
        <w:trPr>
          <w:divId w:val="1316184749"/>
          <w:tblHeader/>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56D39D" w14:textId="77777777" w:rsidR="00976487" w:rsidRPr="00687DE8" w:rsidRDefault="00976487">
            <w:pPr>
              <w:spacing w:after="0" w:line="240" w:lineRule="auto"/>
              <w:jc w:val="center"/>
              <w:rPr>
                <w:b/>
                <w:iCs/>
                <w:szCs w:val="24"/>
              </w:rPr>
            </w:pPr>
            <w:r w:rsidRPr="00687DE8">
              <w:rPr>
                <w:b/>
                <w:iCs/>
                <w:szCs w:val="24"/>
              </w:rPr>
              <w:lastRenderedPageBreak/>
              <w:t>Tervishoiuteenuse nimetus</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00EEED" w14:textId="77777777" w:rsidR="00976487" w:rsidRPr="00687DE8" w:rsidRDefault="00976487">
            <w:pPr>
              <w:spacing w:after="0" w:line="240" w:lineRule="auto"/>
              <w:jc w:val="center"/>
              <w:rPr>
                <w:b/>
                <w:szCs w:val="24"/>
              </w:rPr>
            </w:pPr>
            <w:r w:rsidRPr="00687DE8">
              <w:rPr>
                <w:b/>
                <w:szCs w:val="24"/>
              </w:rPr>
              <w:t>Kood</w:t>
            </w:r>
          </w:p>
        </w:tc>
        <w:tc>
          <w:tcPr>
            <w:tcW w:w="2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DAB91D" w14:textId="77777777" w:rsidR="00976487" w:rsidRPr="00687DE8" w:rsidRDefault="00976487">
            <w:pPr>
              <w:tabs>
                <w:tab w:val="decimal" w:pos="635"/>
              </w:tabs>
              <w:spacing w:after="0" w:line="240" w:lineRule="auto"/>
              <w:jc w:val="center"/>
              <w:rPr>
                <w:b/>
                <w:szCs w:val="24"/>
              </w:rPr>
            </w:pPr>
            <w:r w:rsidRPr="00687DE8">
              <w:rPr>
                <w:b/>
                <w:szCs w:val="24"/>
              </w:rPr>
              <w:t>Piirhind</w:t>
            </w:r>
            <w:r w:rsidRPr="00687DE8">
              <w:rPr>
                <w:b/>
                <w:szCs w:val="24"/>
              </w:rPr>
              <w:br/>
              <w:t xml:space="preserve">eurodes </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FC5E28" w14:textId="77777777" w:rsidR="00976487" w:rsidRPr="00687DE8" w:rsidRDefault="00976487">
            <w:pPr>
              <w:tabs>
                <w:tab w:val="decimal" w:pos="635"/>
              </w:tabs>
              <w:spacing w:after="0" w:line="240" w:lineRule="auto"/>
              <w:jc w:val="center"/>
              <w:rPr>
                <w:b/>
                <w:bCs/>
                <w:szCs w:val="24"/>
              </w:rPr>
            </w:pPr>
            <w:r w:rsidRPr="00687DE8">
              <w:rPr>
                <w:b/>
                <w:bCs/>
                <w:szCs w:val="24"/>
              </w:rPr>
              <w:t>Ülevõetava</w:t>
            </w:r>
            <w:r w:rsidRPr="00687DE8">
              <w:rPr>
                <w:b/>
                <w:bCs/>
                <w:szCs w:val="24"/>
              </w:rPr>
              <w:br/>
              <w:t>tasu maksmise</w:t>
            </w:r>
            <w:r w:rsidRPr="00687DE8">
              <w:rPr>
                <w:b/>
                <w:bCs/>
                <w:szCs w:val="24"/>
              </w:rPr>
              <w:br/>
              <w:t>kohustuse</w:t>
            </w:r>
            <w:r w:rsidRPr="00687DE8">
              <w:rPr>
                <w:b/>
                <w:bCs/>
                <w:szCs w:val="24"/>
              </w:rPr>
              <w:br/>
              <w:t>piirmäär</w:t>
            </w:r>
            <w:r w:rsidRPr="00687DE8">
              <w:rPr>
                <w:b/>
                <w:bCs/>
                <w:szCs w:val="24"/>
              </w:rPr>
              <w:br/>
              <w:t>(%)</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B50F75" w14:textId="77777777" w:rsidR="00976487" w:rsidRPr="00687DE8" w:rsidRDefault="00976487">
            <w:pPr>
              <w:tabs>
                <w:tab w:val="decimal" w:pos="635"/>
              </w:tabs>
              <w:spacing w:after="0" w:line="240" w:lineRule="auto"/>
              <w:jc w:val="center"/>
              <w:rPr>
                <w:b/>
                <w:bCs/>
                <w:szCs w:val="24"/>
              </w:rPr>
            </w:pPr>
            <w:r w:rsidRPr="00687DE8">
              <w:rPr>
                <w:b/>
                <w:bCs/>
                <w:szCs w:val="24"/>
              </w:rPr>
              <w:t>Kindlustatud</w:t>
            </w:r>
            <w:r w:rsidRPr="00687DE8">
              <w:rPr>
                <w:b/>
                <w:bCs/>
                <w:szCs w:val="24"/>
              </w:rPr>
              <w:br/>
              <w:t>isiku</w:t>
            </w:r>
            <w:r w:rsidRPr="00687DE8">
              <w:rPr>
                <w:b/>
                <w:bCs/>
                <w:szCs w:val="24"/>
              </w:rPr>
              <w:br/>
              <w:t>omaosaluse</w:t>
            </w:r>
            <w:r w:rsidRPr="00687DE8">
              <w:rPr>
                <w:b/>
                <w:bCs/>
                <w:szCs w:val="24"/>
              </w:rPr>
              <w:br/>
              <w:t>määr</w:t>
            </w:r>
            <w:r w:rsidRPr="00687DE8">
              <w:rPr>
                <w:b/>
                <w:bCs/>
                <w:szCs w:val="24"/>
              </w:rPr>
              <w:br/>
              <w:t>(%)</w:t>
            </w:r>
          </w:p>
        </w:tc>
      </w:tr>
      <w:tr w:rsidR="00977138" w:rsidRPr="00687DE8" w14:paraId="64C41E68"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53B789" w14:textId="77777777" w:rsidR="00977138" w:rsidRPr="00687DE8" w:rsidRDefault="00977138" w:rsidP="00977138">
            <w:pPr>
              <w:spacing w:after="0" w:line="240" w:lineRule="auto"/>
              <w:rPr>
                <w:iCs/>
                <w:szCs w:val="24"/>
              </w:rPr>
            </w:pPr>
            <w:r w:rsidRPr="00687DE8">
              <w:rPr>
                <w:iCs/>
                <w:szCs w:val="24"/>
              </w:rPr>
              <w:t>Hümenektoomia</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B4D9AF" w14:textId="77777777" w:rsidR="00977138" w:rsidRPr="00687DE8" w:rsidRDefault="00977138" w:rsidP="00977138">
            <w:pPr>
              <w:spacing w:after="0" w:line="240" w:lineRule="auto"/>
              <w:jc w:val="center"/>
              <w:rPr>
                <w:szCs w:val="24"/>
              </w:rPr>
            </w:pPr>
            <w:r w:rsidRPr="00687DE8">
              <w:rPr>
                <w:szCs w:val="24"/>
              </w:rPr>
              <w:t>1L2103</w:t>
            </w:r>
          </w:p>
        </w:tc>
        <w:tc>
          <w:tcPr>
            <w:tcW w:w="2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079FA2" w14:textId="720B9679" w:rsidR="19A64B5A" w:rsidRPr="00687DE8" w:rsidRDefault="00066207">
            <w:pPr>
              <w:spacing w:after="0"/>
              <w:jc w:val="center"/>
              <w:rPr>
                <w:color w:val="000000" w:themeColor="text1"/>
                <w:szCs w:val="24"/>
              </w:rPr>
            </w:pPr>
            <w:r>
              <w:rPr>
                <w:color w:val="000000"/>
              </w:rPr>
              <w:t>233,26</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5ECD9F"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0332E4"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6934D65F"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CF63DB" w14:textId="77777777" w:rsidR="00977138" w:rsidRPr="00687DE8" w:rsidRDefault="00977138" w:rsidP="00977138">
            <w:pPr>
              <w:spacing w:after="0" w:line="240" w:lineRule="auto"/>
              <w:rPr>
                <w:iCs/>
                <w:szCs w:val="24"/>
              </w:rPr>
            </w:pPr>
            <w:r w:rsidRPr="00687DE8">
              <w:rPr>
                <w:iCs/>
                <w:szCs w:val="24"/>
              </w:rPr>
              <w:t>Healoomulise kasvaja eemaldamine välistelt suguelunditelt, tupest, sealhulgas Bartholini näärmete operatsioonid</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936ADDC" w14:textId="77777777" w:rsidR="00977138" w:rsidRPr="00687DE8" w:rsidRDefault="00977138" w:rsidP="00977138">
            <w:pPr>
              <w:spacing w:after="0" w:line="240" w:lineRule="auto"/>
              <w:jc w:val="center"/>
              <w:rPr>
                <w:szCs w:val="24"/>
              </w:rPr>
            </w:pPr>
            <w:r w:rsidRPr="00687DE8">
              <w:rPr>
                <w:szCs w:val="24"/>
              </w:rPr>
              <w:t>1L2104</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390524" w14:textId="419885DC" w:rsidR="19A64B5A" w:rsidRPr="00687DE8" w:rsidRDefault="00066207">
            <w:pPr>
              <w:spacing w:after="0"/>
              <w:jc w:val="center"/>
              <w:rPr>
                <w:color w:val="000000" w:themeColor="text1"/>
                <w:szCs w:val="24"/>
              </w:rPr>
            </w:pPr>
            <w:r>
              <w:rPr>
                <w:color w:val="000000"/>
              </w:rPr>
              <w:t>305,01</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CEA64E" w14:textId="77777777" w:rsidR="00977138" w:rsidRPr="00687DE8" w:rsidRDefault="00977138" w:rsidP="00977138">
            <w:pPr>
              <w:tabs>
                <w:tab w:val="decimal" w:pos="635"/>
              </w:tabs>
              <w:spacing w:after="0" w:line="240" w:lineRule="auto"/>
              <w:jc w:val="center"/>
              <w:rPr>
                <w:color w:val="000000"/>
                <w:szCs w:val="24"/>
              </w:rPr>
            </w:pPr>
          </w:p>
          <w:p w14:paraId="7DCEE67C" w14:textId="77777777" w:rsidR="00977138" w:rsidRPr="00687DE8" w:rsidRDefault="00977138" w:rsidP="00977138">
            <w:pPr>
              <w:tabs>
                <w:tab w:val="decimal" w:pos="635"/>
              </w:tabs>
              <w:spacing w:after="0" w:line="240" w:lineRule="auto"/>
              <w:jc w:val="center"/>
              <w:rPr>
                <w:color w:val="000000"/>
                <w:szCs w:val="24"/>
              </w:rPr>
            </w:pPr>
          </w:p>
          <w:p w14:paraId="056D0F52" w14:textId="77777777" w:rsidR="00977138" w:rsidRPr="00687DE8" w:rsidRDefault="00977138" w:rsidP="00977138">
            <w:pPr>
              <w:tabs>
                <w:tab w:val="decimal" w:pos="635"/>
              </w:tabs>
              <w:spacing w:after="0" w:line="240" w:lineRule="auto"/>
              <w:jc w:val="center"/>
              <w:rPr>
                <w:color w:val="000000"/>
                <w:szCs w:val="24"/>
              </w:rPr>
            </w:pPr>
          </w:p>
          <w:p w14:paraId="43F18266" w14:textId="77777777" w:rsidR="00977138" w:rsidRPr="00687DE8" w:rsidRDefault="00977138" w:rsidP="00977138">
            <w:pPr>
              <w:tabs>
                <w:tab w:val="decimal" w:pos="635"/>
              </w:tabs>
              <w:spacing w:after="0" w:line="240" w:lineRule="auto"/>
              <w:jc w:val="center"/>
              <w:rPr>
                <w:color w:val="000000"/>
                <w:szCs w:val="24"/>
              </w:rPr>
            </w:pPr>
          </w:p>
          <w:p w14:paraId="23245315"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93FFCE" w14:textId="77777777" w:rsidR="00977138" w:rsidRPr="00687DE8" w:rsidRDefault="00977138" w:rsidP="00977138">
            <w:pPr>
              <w:tabs>
                <w:tab w:val="decimal" w:pos="635"/>
              </w:tabs>
              <w:spacing w:after="0" w:line="240" w:lineRule="auto"/>
              <w:jc w:val="center"/>
              <w:rPr>
                <w:color w:val="000000"/>
                <w:szCs w:val="24"/>
              </w:rPr>
            </w:pPr>
          </w:p>
          <w:p w14:paraId="1FC95E00" w14:textId="77777777" w:rsidR="00977138" w:rsidRPr="00687DE8" w:rsidRDefault="00977138" w:rsidP="00977138">
            <w:pPr>
              <w:tabs>
                <w:tab w:val="decimal" w:pos="635"/>
              </w:tabs>
              <w:spacing w:after="0" w:line="240" w:lineRule="auto"/>
              <w:jc w:val="center"/>
              <w:rPr>
                <w:color w:val="000000"/>
                <w:szCs w:val="24"/>
              </w:rPr>
            </w:pPr>
          </w:p>
          <w:p w14:paraId="0B27E984" w14:textId="77777777" w:rsidR="00977138" w:rsidRPr="00687DE8" w:rsidRDefault="00977138" w:rsidP="00977138">
            <w:pPr>
              <w:tabs>
                <w:tab w:val="decimal" w:pos="635"/>
              </w:tabs>
              <w:spacing w:after="0" w:line="240" w:lineRule="auto"/>
              <w:jc w:val="center"/>
              <w:rPr>
                <w:color w:val="000000"/>
                <w:szCs w:val="24"/>
              </w:rPr>
            </w:pPr>
          </w:p>
          <w:p w14:paraId="15361352" w14:textId="77777777" w:rsidR="00977138" w:rsidRPr="00687DE8" w:rsidRDefault="00977138" w:rsidP="00977138">
            <w:pPr>
              <w:tabs>
                <w:tab w:val="decimal" w:pos="635"/>
              </w:tabs>
              <w:spacing w:after="0" w:line="240" w:lineRule="auto"/>
              <w:jc w:val="center"/>
              <w:rPr>
                <w:color w:val="000000"/>
                <w:szCs w:val="24"/>
              </w:rPr>
            </w:pPr>
          </w:p>
          <w:p w14:paraId="568FE444"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612EE2FB"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10FA44" w14:textId="77777777" w:rsidR="00977138" w:rsidRPr="00687DE8" w:rsidRDefault="00977138" w:rsidP="00977138">
            <w:pPr>
              <w:spacing w:after="0" w:line="240" w:lineRule="auto"/>
              <w:rPr>
                <w:iCs/>
                <w:szCs w:val="24"/>
              </w:rPr>
            </w:pPr>
            <w:r w:rsidRPr="00687DE8">
              <w:rPr>
                <w:iCs/>
                <w:szCs w:val="24"/>
              </w:rPr>
              <w:t>Emakaõõne abrasioon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5DD0EE" w14:textId="77777777" w:rsidR="00977138" w:rsidRPr="00687DE8" w:rsidRDefault="00977138" w:rsidP="00977138">
            <w:pPr>
              <w:spacing w:after="0" w:line="240" w:lineRule="auto"/>
              <w:jc w:val="center"/>
              <w:rPr>
                <w:szCs w:val="24"/>
              </w:rPr>
            </w:pPr>
            <w:r w:rsidRPr="00687DE8">
              <w:rPr>
                <w:szCs w:val="24"/>
              </w:rPr>
              <w:t>1L2105</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03A808" w14:textId="135423F6" w:rsidR="19A64B5A" w:rsidRPr="00687DE8" w:rsidRDefault="00066207">
            <w:pPr>
              <w:spacing w:after="0"/>
              <w:jc w:val="center"/>
              <w:rPr>
                <w:color w:val="000000" w:themeColor="text1"/>
                <w:szCs w:val="24"/>
              </w:rPr>
            </w:pPr>
            <w:r>
              <w:rPr>
                <w:color w:val="000000"/>
              </w:rPr>
              <w:t>205,56</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6C37F6"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AB92E3"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05F36606"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C6B330" w14:textId="77777777" w:rsidR="00977138" w:rsidRPr="00687DE8" w:rsidRDefault="00977138" w:rsidP="00977138">
            <w:pPr>
              <w:spacing w:after="0" w:line="240" w:lineRule="auto"/>
              <w:rPr>
                <w:iCs/>
                <w:szCs w:val="24"/>
              </w:rPr>
            </w:pPr>
            <w:r w:rsidRPr="00687DE8">
              <w:rPr>
                <w:iCs/>
                <w:szCs w:val="24"/>
              </w:rPr>
              <w:t>Emakakaela tugiõmblus raseduse ajal</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D529E2" w14:textId="77777777" w:rsidR="00977138" w:rsidRPr="00687DE8" w:rsidRDefault="00977138" w:rsidP="00977138">
            <w:pPr>
              <w:spacing w:after="0" w:line="240" w:lineRule="auto"/>
              <w:jc w:val="center"/>
              <w:rPr>
                <w:szCs w:val="24"/>
              </w:rPr>
            </w:pPr>
          </w:p>
          <w:p w14:paraId="17B476BB" w14:textId="77777777" w:rsidR="00977138" w:rsidRPr="00687DE8" w:rsidRDefault="00977138" w:rsidP="00977138">
            <w:pPr>
              <w:spacing w:after="0" w:line="240" w:lineRule="auto"/>
              <w:jc w:val="center"/>
              <w:rPr>
                <w:szCs w:val="24"/>
              </w:rPr>
            </w:pPr>
            <w:r w:rsidRPr="00687DE8">
              <w:rPr>
                <w:szCs w:val="24"/>
              </w:rPr>
              <w:t>1M2201</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D0F9021" w14:textId="1DF46272" w:rsidR="19A64B5A" w:rsidRPr="00687DE8" w:rsidRDefault="00066207">
            <w:pPr>
              <w:spacing w:after="0"/>
              <w:jc w:val="center"/>
              <w:rPr>
                <w:color w:val="000000" w:themeColor="text1"/>
                <w:szCs w:val="24"/>
              </w:rPr>
            </w:pPr>
            <w:r>
              <w:rPr>
                <w:color w:val="000000"/>
              </w:rPr>
              <w:t>362,99</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09BEDB"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 xml:space="preserve"> </w:t>
            </w:r>
          </w:p>
          <w:p w14:paraId="7BEBCCE5"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2063BB" w14:textId="77777777" w:rsidR="00977138" w:rsidRPr="00687DE8" w:rsidRDefault="00977138" w:rsidP="00977138">
            <w:pPr>
              <w:tabs>
                <w:tab w:val="decimal" w:pos="635"/>
              </w:tabs>
              <w:spacing w:after="0" w:line="240" w:lineRule="auto"/>
              <w:jc w:val="center"/>
              <w:rPr>
                <w:color w:val="000000"/>
                <w:szCs w:val="24"/>
              </w:rPr>
            </w:pPr>
          </w:p>
          <w:p w14:paraId="159EBE33"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7F72A0A1"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9DB032" w14:textId="77777777" w:rsidR="00977138" w:rsidRPr="00687DE8" w:rsidRDefault="00977138" w:rsidP="00977138">
            <w:pPr>
              <w:spacing w:after="0" w:line="240" w:lineRule="auto"/>
              <w:rPr>
                <w:iCs/>
                <w:szCs w:val="24"/>
              </w:rPr>
            </w:pPr>
            <w:r w:rsidRPr="00687DE8">
              <w:rPr>
                <w:iCs/>
                <w:szCs w:val="24"/>
              </w:rPr>
              <w:t>Emakakaela konisatsioon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7D5AF5" w14:textId="77777777" w:rsidR="00977138" w:rsidRPr="00687DE8" w:rsidRDefault="00977138" w:rsidP="00977138">
            <w:pPr>
              <w:spacing w:after="0" w:line="240" w:lineRule="auto"/>
              <w:jc w:val="center"/>
              <w:rPr>
                <w:szCs w:val="24"/>
              </w:rPr>
            </w:pPr>
            <w:r w:rsidRPr="00687DE8">
              <w:rPr>
                <w:szCs w:val="24"/>
              </w:rPr>
              <w:t>1L2106</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0C0CFD" w14:textId="43716D3B" w:rsidR="19A64B5A" w:rsidRPr="00687DE8" w:rsidRDefault="00066207">
            <w:pPr>
              <w:spacing w:after="0"/>
              <w:jc w:val="center"/>
              <w:rPr>
                <w:color w:val="000000" w:themeColor="text1"/>
                <w:szCs w:val="24"/>
              </w:rPr>
            </w:pPr>
            <w:r>
              <w:rPr>
                <w:color w:val="000000"/>
              </w:rPr>
              <w:t>392,64</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B07913"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218EDF"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7508E5E3"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89335A" w14:textId="77777777" w:rsidR="00977138" w:rsidRPr="00687DE8" w:rsidRDefault="00977138" w:rsidP="00977138">
            <w:pPr>
              <w:spacing w:after="0" w:line="240" w:lineRule="auto"/>
              <w:rPr>
                <w:iCs/>
                <w:szCs w:val="24"/>
              </w:rPr>
            </w:pPr>
            <w:r w:rsidRPr="00687DE8">
              <w:rPr>
                <w:iCs/>
                <w:szCs w:val="24"/>
              </w:rPr>
              <w:t>Tupe, perineumi ja emakakaela rebendite taastav operatsioon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83FA9C" w14:textId="77777777" w:rsidR="00977138" w:rsidRPr="00687DE8" w:rsidRDefault="00977138" w:rsidP="00977138">
            <w:pPr>
              <w:spacing w:after="0" w:line="240" w:lineRule="auto"/>
              <w:jc w:val="center"/>
              <w:rPr>
                <w:szCs w:val="24"/>
              </w:rPr>
            </w:pPr>
          </w:p>
          <w:p w14:paraId="2731F057" w14:textId="77777777" w:rsidR="00977138" w:rsidRPr="00687DE8" w:rsidRDefault="00977138" w:rsidP="00977138">
            <w:pPr>
              <w:spacing w:after="0" w:line="240" w:lineRule="auto"/>
              <w:jc w:val="center"/>
              <w:rPr>
                <w:szCs w:val="24"/>
              </w:rPr>
            </w:pPr>
          </w:p>
          <w:p w14:paraId="41DDFFE3" w14:textId="77777777" w:rsidR="00977138" w:rsidRPr="00687DE8" w:rsidRDefault="00977138" w:rsidP="00977138">
            <w:pPr>
              <w:spacing w:after="0" w:line="240" w:lineRule="auto"/>
              <w:jc w:val="center"/>
              <w:rPr>
                <w:szCs w:val="24"/>
              </w:rPr>
            </w:pPr>
            <w:r w:rsidRPr="00687DE8">
              <w:rPr>
                <w:szCs w:val="24"/>
              </w:rPr>
              <w:t>1M2101</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8C786BB" w14:textId="717844A6" w:rsidR="19A64B5A" w:rsidRPr="00687DE8" w:rsidRDefault="00066207">
            <w:pPr>
              <w:spacing w:after="0"/>
              <w:jc w:val="center"/>
              <w:rPr>
                <w:color w:val="000000" w:themeColor="text1"/>
                <w:szCs w:val="24"/>
              </w:rPr>
            </w:pPr>
            <w:r>
              <w:rPr>
                <w:color w:val="000000"/>
              </w:rPr>
              <w:t>449,07</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D105EB" w14:textId="77777777" w:rsidR="00977138" w:rsidRPr="00687DE8" w:rsidRDefault="00977138" w:rsidP="00977138">
            <w:pPr>
              <w:tabs>
                <w:tab w:val="decimal" w:pos="635"/>
              </w:tabs>
              <w:spacing w:after="0" w:line="240" w:lineRule="auto"/>
              <w:jc w:val="center"/>
              <w:rPr>
                <w:color w:val="000000"/>
                <w:szCs w:val="24"/>
              </w:rPr>
            </w:pPr>
          </w:p>
          <w:p w14:paraId="20DCE7E8" w14:textId="77777777" w:rsidR="00977138" w:rsidRPr="00687DE8" w:rsidRDefault="00977138" w:rsidP="00977138">
            <w:pPr>
              <w:tabs>
                <w:tab w:val="decimal" w:pos="635"/>
              </w:tabs>
              <w:spacing w:after="0" w:line="240" w:lineRule="auto"/>
              <w:jc w:val="center"/>
              <w:rPr>
                <w:color w:val="000000"/>
                <w:szCs w:val="24"/>
              </w:rPr>
            </w:pPr>
          </w:p>
          <w:p w14:paraId="55B97976"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7576F6" w14:textId="77777777" w:rsidR="00977138" w:rsidRPr="00687DE8" w:rsidRDefault="00977138" w:rsidP="00977138">
            <w:pPr>
              <w:tabs>
                <w:tab w:val="decimal" w:pos="635"/>
              </w:tabs>
              <w:spacing w:after="0" w:line="240" w:lineRule="auto"/>
              <w:jc w:val="center"/>
              <w:rPr>
                <w:color w:val="000000"/>
                <w:szCs w:val="24"/>
              </w:rPr>
            </w:pPr>
          </w:p>
          <w:p w14:paraId="0061A612" w14:textId="77777777" w:rsidR="00977138" w:rsidRPr="00687DE8" w:rsidRDefault="00977138" w:rsidP="00977138">
            <w:pPr>
              <w:tabs>
                <w:tab w:val="decimal" w:pos="635"/>
              </w:tabs>
              <w:spacing w:after="0" w:line="240" w:lineRule="auto"/>
              <w:jc w:val="center"/>
              <w:rPr>
                <w:color w:val="000000"/>
                <w:szCs w:val="24"/>
              </w:rPr>
            </w:pPr>
          </w:p>
          <w:p w14:paraId="3D2CA6D4"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16495571"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6819A4" w14:textId="4285DDAD" w:rsidR="00977138" w:rsidRPr="00687DE8" w:rsidRDefault="00977138" w:rsidP="00977138">
            <w:pPr>
              <w:spacing w:after="0" w:line="240" w:lineRule="auto"/>
              <w:rPr>
                <w:iCs/>
                <w:szCs w:val="24"/>
              </w:rPr>
            </w:pPr>
            <w:r w:rsidRPr="00687DE8">
              <w:rPr>
                <w:iCs/>
                <w:szCs w:val="24"/>
              </w:rPr>
              <w:t>Emakaõõne manuaalne revisioon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ACA33C" w14:textId="77777777" w:rsidR="00977138" w:rsidRPr="00687DE8" w:rsidRDefault="00977138" w:rsidP="00977138">
            <w:pPr>
              <w:spacing w:after="0" w:line="240" w:lineRule="auto"/>
              <w:jc w:val="center"/>
              <w:rPr>
                <w:szCs w:val="24"/>
              </w:rPr>
            </w:pPr>
          </w:p>
          <w:p w14:paraId="16FF1BFA" w14:textId="77777777" w:rsidR="00977138" w:rsidRPr="00687DE8" w:rsidRDefault="00977138" w:rsidP="00977138">
            <w:pPr>
              <w:spacing w:after="0" w:line="240" w:lineRule="auto"/>
              <w:jc w:val="center"/>
              <w:rPr>
                <w:szCs w:val="24"/>
              </w:rPr>
            </w:pPr>
            <w:r w:rsidRPr="00687DE8">
              <w:rPr>
                <w:szCs w:val="24"/>
              </w:rPr>
              <w:t>1M2103</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14855DF" w14:textId="2DEE9ACD" w:rsidR="19A64B5A" w:rsidRPr="00687DE8" w:rsidRDefault="00066207">
            <w:pPr>
              <w:spacing w:after="0"/>
              <w:jc w:val="center"/>
              <w:rPr>
                <w:color w:val="000000" w:themeColor="text1"/>
                <w:szCs w:val="24"/>
              </w:rPr>
            </w:pPr>
            <w:r>
              <w:rPr>
                <w:color w:val="000000"/>
              </w:rPr>
              <w:t>292,22</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780264" w14:textId="77777777" w:rsidR="00977138" w:rsidRPr="00687DE8" w:rsidRDefault="00977138" w:rsidP="00977138">
            <w:pPr>
              <w:tabs>
                <w:tab w:val="decimal" w:pos="635"/>
              </w:tabs>
              <w:spacing w:after="0" w:line="240" w:lineRule="auto"/>
              <w:jc w:val="center"/>
              <w:rPr>
                <w:color w:val="000000"/>
                <w:szCs w:val="24"/>
              </w:rPr>
            </w:pPr>
          </w:p>
          <w:p w14:paraId="0C00A0E1"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28969B" w14:textId="77777777" w:rsidR="00977138" w:rsidRPr="00687DE8" w:rsidRDefault="00977138" w:rsidP="00977138">
            <w:pPr>
              <w:tabs>
                <w:tab w:val="decimal" w:pos="635"/>
              </w:tabs>
              <w:spacing w:after="0" w:line="240" w:lineRule="auto"/>
              <w:jc w:val="center"/>
              <w:rPr>
                <w:color w:val="000000"/>
                <w:szCs w:val="24"/>
              </w:rPr>
            </w:pPr>
          </w:p>
          <w:p w14:paraId="23267AFF"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03C4DF87"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5F8A7F" w14:textId="77777777" w:rsidR="00977138" w:rsidRPr="00687DE8" w:rsidRDefault="00977138" w:rsidP="00977138">
            <w:pPr>
              <w:spacing w:after="0" w:line="240" w:lineRule="auto"/>
              <w:rPr>
                <w:iCs/>
                <w:szCs w:val="24"/>
              </w:rPr>
            </w:pPr>
            <w:r w:rsidRPr="00687DE8">
              <w:rPr>
                <w:iCs/>
                <w:szCs w:val="24"/>
              </w:rPr>
              <w:t>Vulva ja paravaginaalsete hematoomide operatsioonid</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50F7AF" w14:textId="77777777" w:rsidR="00977138" w:rsidRPr="00687DE8" w:rsidRDefault="00977138" w:rsidP="00977138">
            <w:pPr>
              <w:spacing w:after="0" w:line="240" w:lineRule="auto"/>
              <w:jc w:val="center"/>
              <w:rPr>
                <w:szCs w:val="24"/>
              </w:rPr>
            </w:pPr>
          </w:p>
          <w:p w14:paraId="3F3AF4B4" w14:textId="77777777" w:rsidR="00977138" w:rsidRPr="00687DE8" w:rsidRDefault="00977138" w:rsidP="00977138">
            <w:pPr>
              <w:spacing w:after="0" w:line="240" w:lineRule="auto"/>
              <w:jc w:val="center"/>
              <w:rPr>
                <w:szCs w:val="24"/>
              </w:rPr>
            </w:pPr>
            <w:r w:rsidRPr="00687DE8">
              <w:rPr>
                <w:szCs w:val="24"/>
              </w:rPr>
              <w:t>1L2107</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C3CFE09" w14:textId="35B5861C" w:rsidR="19A64B5A" w:rsidRPr="00687DE8" w:rsidRDefault="00066207">
            <w:pPr>
              <w:spacing w:after="0"/>
              <w:jc w:val="center"/>
              <w:rPr>
                <w:color w:val="000000" w:themeColor="text1"/>
                <w:szCs w:val="24"/>
              </w:rPr>
            </w:pPr>
            <w:r>
              <w:rPr>
                <w:color w:val="000000"/>
              </w:rPr>
              <w:t>524,85</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083E3B" w14:textId="77777777" w:rsidR="00977138" w:rsidRPr="00687DE8" w:rsidRDefault="00977138" w:rsidP="00977138">
            <w:pPr>
              <w:tabs>
                <w:tab w:val="decimal" w:pos="635"/>
              </w:tabs>
              <w:spacing w:after="0" w:line="240" w:lineRule="auto"/>
              <w:jc w:val="center"/>
              <w:rPr>
                <w:color w:val="000000"/>
                <w:szCs w:val="24"/>
              </w:rPr>
            </w:pPr>
          </w:p>
          <w:p w14:paraId="32482B49"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B15ECC" w14:textId="77777777" w:rsidR="00977138" w:rsidRPr="00687DE8" w:rsidRDefault="00977138" w:rsidP="00977138">
            <w:pPr>
              <w:tabs>
                <w:tab w:val="decimal" w:pos="635"/>
              </w:tabs>
              <w:spacing w:after="0" w:line="240" w:lineRule="auto"/>
              <w:jc w:val="center"/>
              <w:rPr>
                <w:color w:val="000000"/>
                <w:szCs w:val="24"/>
              </w:rPr>
            </w:pPr>
          </w:p>
          <w:p w14:paraId="508E7254"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56D6EBB1"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BFFDCF" w14:textId="77777777" w:rsidR="00977138" w:rsidRPr="00687DE8" w:rsidRDefault="00977138" w:rsidP="00977138">
            <w:pPr>
              <w:spacing w:after="0" w:line="240" w:lineRule="auto"/>
              <w:rPr>
                <w:iCs/>
                <w:szCs w:val="24"/>
              </w:rPr>
            </w:pPr>
            <w:r w:rsidRPr="00687DE8">
              <w:rPr>
                <w:iCs/>
                <w:szCs w:val="24"/>
              </w:rPr>
              <w:t>Tupe rekonstruktsioon oma kudedega</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78B7C8" w14:textId="77777777" w:rsidR="00977138" w:rsidRPr="00687DE8" w:rsidRDefault="00977138" w:rsidP="00977138">
            <w:pPr>
              <w:spacing w:after="0" w:line="240" w:lineRule="auto"/>
              <w:jc w:val="center"/>
              <w:rPr>
                <w:szCs w:val="24"/>
              </w:rPr>
            </w:pPr>
          </w:p>
          <w:p w14:paraId="542F355E" w14:textId="77777777" w:rsidR="00977138" w:rsidRPr="00687DE8" w:rsidRDefault="00977138" w:rsidP="00977138">
            <w:pPr>
              <w:spacing w:after="0" w:line="240" w:lineRule="auto"/>
              <w:jc w:val="center"/>
              <w:rPr>
                <w:szCs w:val="24"/>
              </w:rPr>
            </w:pPr>
            <w:r w:rsidRPr="00687DE8">
              <w:rPr>
                <w:szCs w:val="24"/>
              </w:rPr>
              <w:t>1L2108</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3B6B7C6" w14:textId="0FE6BFA2" w:rsidR="19A64B5A" w:rsidRPr="00687DE8" w:rsidRDefault="00066207">
            <w:pPr>
              <w:spacing w:after="0"/>
              <w:jc w:val="center"/>
              <w:rPr>
                <w:color w:val="000000" w:themeColor="text1"/>
                <w:szCs w:val="24"/>
              </w:rPr>
            </w:pPr>
            <w:r>
              <w:rPr>
                <w:color w:val="000000"/>
              </w:rPr>
              <w:t>631,89</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5EF7CB" w14:textId="77777777" w:rsidR="00977138" w:rsidRPr="00687DE8" w:rsidRDefault="00977138" w:rsidP="00977138">
            <w:pPr>
              <w:tabs>
                <w:tab w:val="decimal" w:pos="635"/>
              </w:tabs>
              <w:spacing w:after="0" w:line="240" w:lineRule="auto"/>
              <w:jc w:val="center"/>
              <w:rPr>
                <w:color w:val="000000"/>
                <w:szCs w:val="24"/>
              </w:rPr>
            </w:pPr>
          </w:p>
          <w:p w14:paraId="1D5515CB"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31C7B6" w14:textId="77777777" w:rsidR="00977138" w:rsidRPr="00687DE8" w:rsidRDefault="00977138" w:rsidP="00977138">
            <w:pPr>
              <w:tabs>
                <w:tab w:val="decimal" w:pos="635"/>
              </w:tabs>
              <w:spacing w:after="0" w:line="240" w:lineRule="auto"/>
              <w:jc w:val="center"/>
              <w:rPr>
                <w:color w:val="000000"/>
                <w:szCs w:val="24"/>
              </w:rPr>
            </w:pPr>
          </w:p>
          <w:p w14:paraId="64C78F72"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22617435"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1CD8FE" w14:textId="77777777" w:rsidR="00977138" w:rsidRPr="00687DE8" w:rsidRDefault="00977138" w:rsidP="00977138">
            <w:pPr>
              <w:spacing w:after="0" w:line="240" w:lineRule="auto"/>
              <w:rPr>
                <w:iCs/>
                <w:szCs w:val="24"/>
              </w:rPr>
            </w:pPr>
            <w:r w:rsidRPr="00687DE8">
              <w:rPr>
                <w:iCs/>
                <w:szCs w:val="24"/>
              </w:rPr>
              <w:t>Vulva resektsioon või hemivulvektoomia</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BD4D23" w14:textId="77777777" w:rsidR="00977138" w:rsidRPr="00687DE8" w:rsidRDefault="00977138" w:rsidP="00977138">
            <w:pPr>
              <w:spacing w:after="0" w:line="240" w:lineRule="auto"/>
              <w:jc w:val="center"/>
              <w:rPr>
                <w:szCs w:val="24"/>
              </w:rPr>
            </w:pPr>
          </w:p>
          <w:p w14:paraId="1044E86C" w14:textId="77777777" w:rsidR="00977138" w:rsidRPr="00687DE8" w:rsidRDefault="00977138" w:rsidP="00977138">
            <w:pPr>
              <w:spacing w:after="0" w:line="240" w:lineRule="auto"/>
              <w:jc w:val="center"/>
              <w:rPr>
                <w:szCs w:val="24"/>
              </w:rPr>
            </w:pPr>
            <w:r w:rsidRPr="00687DE8">
              <w:rPr>
                <w:szCs w:val="24"/>
              </w:rPr>
              <w:t>1L2109</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D519A95" w14:textId="22526D10" w:rsidR="19A64B5A" w:rsidRPr="00687DE8" w:rsidRDefault="00066207">
            <w:pPr>
              <w:spacing w:after="0"/>
              <w:jc w:val="center"/>
              <w:rPr>
                <w:color w:val="000000" w:themeColor="text1"/>
                <w:szCs w:val="24"/>
              </w:rPr>
            </w:pPr>
            <w:r>
              <w:rPr>
                <w:color w:val="000000"/>
              </w:rPr>
              <w:t>552,74</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F61563" w14:textId="77777777" w:rsidR="00977138" w:rsidRPr="00687DE8" w:rsidRDefault="00977138" w:rsidP="00977138">
            <w:pPr>
              <w:tabs>
                <w:tab w:val="decimal" w:pos="635"/>
              </w:tabs>
              <w:spacing w:after="0" w:line="240" w:lineRule="auto"/>
              <w:jc w:val="center"/>
              <w:rPr>
                <w:color w:val="000000"/>
                <w:szCs w:val="24"/>
              </w:rPr>
            </w:pPr>
          </w:p>
          <w:p w14:paraId="2A9F840E"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99E820" w14:textId="77777777" w:rsidR="00977138" w:rsidRPr="00687DE8" w:rsidRDefault="00977138" w:rsidP="00977138">
            <w:pPr>
              <w:tabs>
                <w:tab w:val="decimal" w:pos="635"/>
              </w:tabs>
              <w:spacing w:after="0" w:line="240" w:lineRule="auto"/>
              <w:jc w:val="center"/>
              <w:rPr>
                <w:color w:val="000000"/>
                <w:szCs w:val="24"/>
              </w:rPr>
            </w:pPr>
          </w:p>
          <w:p w14:paraId="5F6AE1B3"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0416CF6D"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B3E97A" w14:textId="77777777" w:rsidR="00977138" w:rsidRPr="00687DE8" w:rsidRDefault="00977138" w:rsidP="00977138">
            <w:pPr>
              <w:spacing w:after="0" w:line="240" w:lineRule="auto"/>
              <w:rPr>
                <w:iCs/>
                <w:szCs w:val="24"/>
              </w:rPr>
            </w:pPr>
            <w:r w:rsidRPr="00687DE8">
              <w:rPr>
                <w:iCs/>
                <w:szCs w:val="24"/>
              </w:rPr>
              <w:t>Tehisabort meditsiinilistel näidustustel</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10A718" w14:textId="77777777" w:rsidR="00977138" w:rsidRPr="00687DE8" w:rsidRDefault="00977138" w:rsidP="00977138">
            <w:pPr>
              <w:spacing w:after="0" w:line="240" w:lineRule="auto"/>
              <w:jc w:val="center"/>
              <w:rPr>
                <w:szCs w:val="24"/>
              </w:rPr>
            </w:pPr>
          </w:p>
          <w:p w14:paraId="0DE6F8EC" w14:textId="77777777" w:rsidR="00977138" w:rsidRPr="00687DE8" w:rsidRDefault="00977138" w:rsidP="00977138">
            <w:pPr>
              <w:spacing w:after="0" w:line="240" w:lineRule="auto"/>
              <w:jc w:val="center"/>
              <w:rPr>
                <w:szCs w:val="24"/>
              </w:rPr>
            </w:pPr>
            <w:r w:rsidRPr="00687DE8">
              <w:rPr>
                <w:szCs w:val="24"/>
              </w:rPr>
              <w:t>1M2104</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36DF0F2" w14:textId="4F2ED607" w:rsidR="19A64B5A" w:rsidRPr="00687DE8" w:rsidRDefault="00066207">
            <w:pPr>
              <w:spacing w:after="0"/>
              <w:jc w:val="center"/>
              <w:rPr>
                <w:color w:val="000000" w:themeColor="text1"/>
                <w:szCs w:val="24"/>
              </w:rPr>
            </w:pPr>
            <w:r>
              <w:rPr>
                <w:color w:val="000000"/>
              </w:rPr>
              <w:t>205,66</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4E109F" w14:textId="77777777" w:rsidR="00977138" w:rsidRPr="00687DE8" w:rsidRDefault="00977138" w:rsidP="00977138">
            <w:pPr>
              <w:tabs>
                <w:tab w:val="decimal" w:pos="635"/>
              </w:tabs>
              <w:spacing w:after="0" w:line="240" w:lineRule="auto"/>
              <w:jc w:val="center"/>
              <w:rPr>
                <w:color w:val="000000"/>
                <w:szCs w:val="24"/>
              </w:rPr>
            </w:pPr>
          </w:p>
          <w:p w14:paraId="6EE0543D"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0C9602" w14:textId="77777777" w:rsidR="00977138" w:rsidRPr="00687DE8" w:rsidRDefault="00977138" w:rsidP="00977138">
            <w:pPr>
              <w:tabs>
                <w:tab w:val="decimal" w:pos="635"/>
              </w:tabs>
              <w:spacing w:after="0" w:line="240" w:lineRule="auto"/>
              <w:jc w:val="center"/>
              <w:rPr>
                <w:color w:val="000000"/>
                <w:szCs w:val="24"/>
              </w:rPr>
            </w:pPr>
          </w:p>
          <w:p w14:paraId="10E3894B"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439B8C4A"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203F84" w14:textId="77777777" w:rsidR="00977138" w:rsidRPr="00687DE8" w:rsidRDefault="00977138" w:rsidP="00977138">
            <w:pPr>
              <w:spacing w:after="0" w:line="240" w:lineRule="auto"/>
              <w:rPr>
                <w:iCs/>
                <w:szCs w:val="24"/>
              </w:rPr>
            </w:pPr>
            <w:r w:rsidRPr="00687DE8">
              <w:rPr>
                <w:iCs/>
                <w:szCs w:val="24"/>
              </w:rPr>
              <w:t>Tehisabort omal soovil</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31B0A0" w14:textId="77777777" w:rsidR="00977138" w:rsidRPr="00687DE8" w:rsidRDefault="00977138" w:rsidP="00977138">
            <w:pPr>
              <w:spacing w:after="0" w:line="240" w:lineRule="auto"/>
              <w:jc w:val="center"/>
              <w:rPr>
                <w:szCs w:val="24"/>
              </w:rPr>
            </w:pPr>
            <w:r w:rsidRPr="00687DE8">
              <w:rPr>
                <w:szCs w:val="24"/>
              </w:rPr>
              <w:t>1M2110</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C45D26" w14:textId="52D5B4DE" w:rsidR="19A64B5A" w:rsidRPr="00687DE8" w:rsidRDefault="00066207">
            <w:pPr>
              <w:spacing w:after="0"/>
              <w:jc w:val="center"/>
              <w:rPr>
                <w:color w:val="000000" w:themeColor="text1"/>
                <w:szCs w:val="24"/>
              </w:rPr>
            </w:pPr>
            <w:r>
              <w:rPr>
                <w:color w:val="000000"/>
              </w:rPr>
              <w:t>205,66</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1CA94C"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70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97B22F"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30</w:t>
            </w:r>
          </w:p>
        </w:tc>
      </w:tr>
      <w:tr w:rsidR="00977138" w:rsidRPr="00687DE8" w14:paraId="146F184C"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61DD35" w14:textId="77777777" w:rsidR="00977138" w:rsidRPr="00687DE8" w:rsidRDefault="00977138" w:rsidP="00977138">
            <w:pPr>
              <w:spacing w:after="0" w:line="240" w:lineRule="auto"/>
              <w:rPr>
                <w:iCs/>
                <w:szCs w:val="24"/>
              </w:rPr>
            </w:pPr>
            <w:r w:rsidRPr="00687DE8">
              <w:rPr>
                <w:iCs/>
                <w:szCs w:val="24"/>
              </w:rPr>
              <w:t>Operatsioon emakakaelal, sealhulgas amputatsioon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700A6D" w14:textId="77777777" w:rsidR="00977138" w:rsidRPr="00687DE8" w:rsidRDefault="00977138" w:rsidP="00977138">
            <w:pPr>
              <w:spacing w:after="0" w:line="240" w:lineRule="auto"/>
              <w:jc w:val="center"/>
              <w:rPr>
                <w:szCs w:val="24"/>
              </w:rPr>
            </w:pPr>
          </w:p>
          <w:p w14:paraId="7F4CDF12" w14:textId="77777777" w:rsidR="00977138" w:rsidRPr="00687DE8" w:rsidRDefault="00977138" w:rsidP="00977138">
            <w:pPr>
              <w:spacing w:after="0" w:line="240" w:lineRule="auto"/>
              <w:jc w:val="center"/>
              <w:rPr>
                <w:szCs w:val="24"/>
              </w:rPr>
            </w:pPr>
            <w:r w:rsidRPr="00687DE8">
              <w:rPr>
                <w:szCs w:val="24"/>
              </w:rPr>
              <w:t>1L2110</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246B23A" w14:textId="6B8878D2" w:rsidR="19A64B5A" w:rsidRPr="00687DE8" w:rsidRDefault="00066207">
            <w:pPr>
              <w:spacing w:after="0"/>
              <w:jc w:val="center"/>
              <w:rPr>
                <w:color w:val="000000" w:themeColor="text1"/>
                <w:szCs w:val="24"/>
              </w:rPr>
            </w:pPr>
            <w:r>
              <w:rPr>
                <w:color w:val="000000"/>
              </w:rPr>
              <w:t>532,82</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63F5E9" w14:textId="77777777" w:rsidR="00977138" w:rsidRPr="00687DE8" w:rsidRDefault="00977138" w:rsidP="00977138">
            <w:pPr>
              <w:tabs>
                <w:tab w:val="decimal" w:pos="635"/>
              </w:tabs>
              <w:spacing w:after="0" w:line="240" w:lineRule="auto"/>
              <w:jc w:val="center"/>
              <w:rPr>
                <w:color w:val="000000"/>
                <w:szCs w:val="24"/>
              </w:rPr>
            </w:pPr>
          </w:p>
          <w:p w14:paraId="0DDDD7B2"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A8784C" w14:textId="77777777" w:rsidR="00977138" w:rsidRPr="00687DE8" w:rsidRDefault="00977138" w:rsidP="00977138">
            <w:pPr>
              <w:tabs>
                <w:tab w:val="decimal" w:pos="635"/>
              </w:tabs>
              <w:spacing w:after="0" w:line="240" w:lineRule="auto"/>
              <w:jc w:val="center"/>
              <w:rPr>
                <w:color w:val="000000"/>
                <w:szCs w:val="24"/>
              </w:rPr>
            </w:pPr>
          </w:p>
          <w:p w14:paraId="641BAAAA"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61AE8214"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03DB9A" w14:textId="77777777" w:rsidR="00977138" w:rsidRPr="00687DE8" w:rsidRDefault="00977138" w:rsidP="00977138">
            <w:pPr>
              <w:spacing w:after="0" w:line="240" w:lineRule="auto"/>
              <w:rPr>
                <w:iCs/>
                <w:szCs w:val="24"/>
              </w:rPr>
            </w:pPr>
            <w:r w:rsidRPr="00687DE8">
              <w:rPr>
                <w:iCs/>
                <w:szCs w:val="24"/>
              </w:rPr>
              <w:t>Loodet purustav operatsioon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0C5B12" w14:textId="77777777" w:rsidR="00977138" w:rsidRPr="00687DE8" w:rsidRDefault="00977138" w:rsidP="00977138">
            <w:pPr>
              <w:spacing w:after="0" w:line="240" w:lineRule="auto"/>
              <w:jc w:val="center"/>
              <w:rPr>
                <w:szCs w:val="24"/>
              </w:rPr>
            </w:pPr>
            <w:r w:rsidRPr="00687DE8">
              <w:rPr>
                <w:szCs w:val="24"/>
              </w:rPr>
              <w:t>1M2107</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7F3C4F" w14:textId="6D8FF7C3" w:rsidR="19A64B5A" w:rsidRPr="00687DE8" w:rsidRDefault="00066207">
            <w:pPr>
              <w:spacing w:after="0"/>
              <w:jc w:val="center"/>
              <w:rPr>
                <w:color w:val="000000" w:themeColor="text1"/>
                <w:szCs w:val="24"/>
              </w:rPr>
            </w:pPr>
            <w:r>
              <w:rPr>
                <w:color w:val="000000"/>
              </w:rPr>
              <w:t>518,27</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F3C8E5"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6EC5FF"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0B6B725D" w14:textId="77777777" w:rsidTr="00EB7A71">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C12D2D" w14:textId="77777777" w:rsidR="00977138" w:rsidRPr="00687DE8" w:rsidRDefault="00977138" w:rsidP="00977138">
            <w:pPr>
              <w:spacing w:after="0" w:line="240" w:lineRule="auto"/>
              <w:rPr>
                <w:iCs/>
                <w:szCs w:val="24"/>
              </w:rPr>
            </w:pPr>
            <w:r w:rsidRPr="00687DE8">
              <w:rPr>
                <w:iCs/>
                <w:szCs w:val="24"/>
              </w:rPr>
              <w:t>Lahkliha IV järgu rebendi õmblemine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EF1779" w14:textId="77777777" w:rsidR="00977138" w:rsidRPr="00687DE8" w:rsidRDefault="00977138" w:rsidP="00977138">
            <w:pPr>
              <w:spacing w:after="0" w:line="240" w:lineRule="auto"/>
              <w:jc w:val="center"/>
              <w:rPr>
                <w:szCs w:val="24"/>
              </w:rPr>
            </w:pPr>
          </w:p>
          <w:p w14:paraId="16646E2D" w14:textId="77777777" w:rsidR="00977138" w:rsidRPr="00687DE8" w:rsidRDefault="00977138" w:rsidP="00977138">
            <w:pPr>
              <w:spacing w:after="0" w:line="240" w:lineRule="auto"/>
              <w:jc w:val="center"/>
              <w:rPr>
                <w:szCs w:val="24"/>
              </w:rPr>
            </w:pPr>
            <w:r w:rsidRPr="00687DE8">
              <w:rPr>
                <w:szCs w:val="24"/>
              </w:rPr>
              <w:t>1M2105</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44AA5D3" w14:textId="4720EE33" w:rsidR="19A64B5A" w:rsidRPr="00687DE8" w:rsidRDefault="00066207">
            <w:pPr>
              <w:spacing w:after="0"/>
              <w:jc w:val="center"/>
              <w:rPr>
                <w:color w:val="000000" w:themeColor="text1"/>
                <w:szCs w:val="24"/>
              </w:rPr>
            </w:pPr>
            <w:r>
              <w:rPr>
                <w:color w:val="000000"/>
              </w:rPr>
              <w:t>473,04</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B65CEF" w14:textId="77777777" w:rsidR="00977138" w:rsidRPr="00687DE8" w:rsidRDefault="00977138" w:rsidP="00977138">
            <w:pPr>
              <w:tabs>
                <w:tab w:val="decimal" w:pos="635"/>
              </w:tabs>
              <w:spacing w:after="0" w:line="240" w:lineRule="auto"/>
              <w:jc w:val="center"/>
              <w:rPr>
                <w:color w:val="000000"/>
                <w:szCs w:val="24"/>
              </w:rPr>
            </w:pPr>
          </w:p>
          <w:p w14:paraId="49180CD9"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B1BA5F" w14:textId="77777777" w:rsidR="00977138" w:rsidRPr="00687DE8" w:rsidRDefault="00977138" w:rsidP="00977138">
            <w:pPr>
              <w:tabs>
                <w:tab w:val="decimal" w:pos="635"/>
              </w:tabs>
              <w:spacing w:after="0" w:line="240" w:lineRule="auto"/>
              <w:jc w:val="center"/>
              <w:rPr>
                <w:color w:val="000000"/>
                <w:szCs w:val="24"/>
              </w:rPr>
            </w:pPr>
          </w:p>
          <w:p w14:paraId="4F47AAAC"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79147C50"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0F0026" w14:textId="77777777" w:rsidR="00977138" w:rsidRPr="00687DE8" w:rsidRDefault="00977138" w:rsidP="00977138">
            <w:pPr>
              <w:spacing w:after="0" w:line="240" w:lineRule="auto"/>
              <w:rPr>
                <w:iCs/>
                <w:szCs w:val="24"/>
              </w:rPr>
            </w:pPr>
            <w:r w:rsidRPr="00687DE8">
              <w:rPr>
                <w:iCs/>
                <w:szCs w:val="24"/>
              </w:rPr>
              <w:t>Rektovaginaalsete, uretrovaginaalsete fistulite operatsioon tupe kaudu</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858BA5" w14:textId="77777777" w:rsidR="00977138" w:rsidRPr="00687DE8" w:rsidRDefault="00977138" w:rsidP="00977138">
            <w:pPr>
              <w:spacing w:after="0" w:line="240" w:lineRule="auto"/>
              <w:jc w:val="center"/>
              <w:rPr>
                <w:szCs w:val="24"/>
              </w:rPr>
            </w:pPr>
          </w:p>
          <w:p w14:paraId="244B0A9E" w14:textId="77777777" w:rsidR="00977138" w:rsidRPr="00687DE8" w:rsidRDefault="00977138" w:rsidP="00977138">
            <w:pPr>
              <w:spacing w:after="0" w:line="240" w:lineRule="auto"/>
              <w:jc w:val="center"/>
              <w:rPr>
                <w:szCs w:val="24"/>
              </w:rPr>
            </w:pPr>
          </w:p>
          <w:p w14:paraId="6DE3026C" w14:textId="77777777" w:rsidR="00977138" w:rsidRPr="00687DE8" w:rsidRDefault="00977138" w:rsidP="00977138">
            <w:pPr>
              <w:spacing w:after="0" w:line="240" w:lineRule="auto"/>
              <w:jc w:val="center"/>
              <w:rPr>
                <w:szCs w:val="24"/>
              </w:rPr>
            </w:pPr>
            <w:r w:rsidRPr="00687DE8">
              <w:rPr>
                <w:szCs w:val="24"/>
              </w:rPr>
              <w:t>1L2111</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806E99B" w14:textId="555EE5D4" w:rsidR="19A64B5A" w:rsidRPr="00687DE8" w:rsidRDefault="00066207">
            <w:pPr>
              <w:spacing w:after="0"/>
              <w:jc w:val="center"/>
              <w:rPr>
                <w:color w:val="000000" w:themeColor="text1"/>
                <w:szCs w:val="24"/>
              </w:rPr>
            </w:pPr>
            <w:r>
              <w:rPr>
                <w:color w:val="000000"/>
              </w:rPr>
              <w:t>843,41</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AAB368" w14:textId="77777777" w:rsidR="00977138" w:rsidRPr="00687DE8" w:rsidRDefault="00977138" w:rsidP="00977138">
            <w:pPr>
              <w:tabs>
                <w:tab w:val="decimal" w:pos="635"/>
              </w:tabs>
              <w:spacing w:after="0" w:line="240" w:lineRule="auto"/>
              <w:jc w:val="center"/>
              <w:rPr>
                <w:color w:val="000000"/>
                <w:szCs w:val="24"/>
              </w:rPr>
            </w:pPr>
          </w:p>
          <w:p w14:paraId="20B168C3" w14:textId="77777777" w:rsidR="00977138" w:rsidRPr="00687DE8" w:rsidRDefault="00977138" w:rsidP="00977138">
            <w:pPr>
              <w:tabs>
                <w:tab w:val="decimal" w:pos="635"/>
              </w:tabs>
              <w:spacing w:after="0" w:line="240" w:lineRule="auto"/>
              <w:jc w:val="center"/>
              <w:rPr>
                <w:color w:val="000000"/>
                <w:szCs w:val="24"/>
              </w:rPr>
            </w:pPr>
          </w:p>
          <w:p w14:paraId="510CBB5C"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7C8CF0" w14:textId="77777777" w:rsidR="00977138" w:rsidRPr="00687DE8" w:rsidRDefault="00977138" w:rsidP="00977138">
            <w:pPr>
              <w:tabs>
                <w:tab w:val="decimal" w:pos="635"/>
              </w:tabs>
              <w:spacing w:after="0" w:line="240" w:lineRule="auto"/>
              <w:jc w:val="center"/>
              <w:rPr>
                <w:color w:val="000000"/>
                <w:szCs w:val="24"/>
              </w:rPr>
            </w:pPr>
          </w:p>
          <w:p w14:paraId="7537CF31"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619DD1B4"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F21076" w14:textId="77777777" w:rsidR="00977138" w:rsidRPr="00687DE8" w:rsidRDefault="00977138" w:rsidP="00977138">
            <w:pPr>
              <w:spacing w:after="0" w:line="240" w:lineRule="auto"/>
              <w:rPr>
                <w:iCs/>
                <w:szCs w:val="24"/>
              </w:rPr>
            </w:pPr>
            <w:r w:rsidRPr="00687DE8">
              <w:rPr>
                <w:iCs/>
                <w:szCs w:val="24"/>
              </w:rPr>
              <w:t>Tupeplastika koos emaka ventrofiksatsiooniga</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6E3B08" w14:textId="77777777" w:rsidR="00977138" w:rsidRPr="00687DE8" w:rsidRDefault="00977138" w:rsidP="00977138">
            <w:pPr>
              <w:spacing w:after="0" w:line="240" w:lineRule="auto"/>
              <w:jc w:val="center"/>
              <w:rPr>
                <w:szCs w:val="24"/>
              </w:rPr>
            </w:pPr>
          </w:p>
          <w:p w14:paraId="45DB9CA4" w14:textId="77777777" w:rsidR="00977138" w:rsidRPr="00687DE8" w:rsidRDefault="00977138" w:rsidP="00977138">
            <w:pPr>
              <w:spacing w:after="0" w:line="240" w:lineRule="auto"/>
              <w:jc w:val="center"/>
              <w:rPr>
                <w:szCs w:val="24"/>
              </w:rPr>
            </w:pPr>
            <w:r w:rsidRPr="00687DE8">
              <w:rPr>
                <w:szCs w:val="24"/>
              </w:rPr>
              <w:t>1M2108</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7F2907" w14:textId="34A3E4E9" w:rsidR="41FBF82F" w:rsidRPr="00687DE8" w:rsidRDefault="00066207">
            <w:pPr>
              <w:spacing w:after="0"/>
              <w:jc w:val="center"/>
              <w:rPr>
                <w:color w:val="000000" w:themeColor="text1"/>
                <w:szCs w:val="24"/>
              </w:rPr>
            </w:pPr>
            <w:r>
              <w:rPr>
                <w:color w:val="000000"/>
              </w:rPr>
              <w:t>696,40</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C54ED7" w14:textId="77777777" w:rsidR="00977138" w:rsidRPr="00687DE8" w:rsidRDefault="00977138" w:rsidP="00977138">
            <w:pPr>
              <w:tabs>
                <w:tab w:val="decimal" w:pos="635"/>
              </w:tabs>
              <w:spacing w:after="0" w:line="240" w:lineRule="auto"/>
              <w:jc w:val="center"/>
              <w:rPr>
                <w:color w:val="000000"/>
                <w:szCs w:val="24"/>
              </w:rPr>
            </w:pPr>
          </w:p>
          <w:p w14:paraId="466E6758"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7F81A0" w14:textId="77777777" w:rsidR="00977138" w:rsidRPr="00687DE8" w:rsidRDefault="00977138" w:rsidP="00977138">
            <w:pPr>
              <w:tabs>
                <w:tab w:val="decimal" w:pos="635"/>
              </w:tabs>
              <w:spacing w:after="0" w:line="240" w:lineRule="auto"/>
              <w:jc w:val="center"/>
              <w:rPr>
                <w:color w:val="000000"/>
                <w:szCs w:val="24"/>
              </w:rPr>
            </w:pPr>
          </w:p>
          <w:p w14:paraId="7A9C84C1"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5B0960A0"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82CE50" w14:textId="77777777" w:rsidR="00977138" w:rsidRPr="00687DE8" w:rsidRDefault="00977138" w:rsidP="00977138">
            <w:pPr>
              <w:spacing w:after="0" w:line="240" w:lineRule="auto"/>
              <w:rPr>
                <w:iCs/>
                <w:szCs w:val="24"/>
              </w:rPr>
            </w:pPr>
            <w:r w:rsidRPr="00687DE8">
              <w:rPr>
                <w:iCs/>
                <w:szCs w:val="24"/>
              </w:rPr>
              <w:t>Operatsioon emakamanustel või -ligamentidel</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31D0CA" w14:textId="77777777" w:rsidR="00977138" w:rsidRPr="00687DE8" w:rsidRDefault="00977138" w:rsidP="00977138">
            <w:pPr>
              <w:spacing w:after="0" w:line="240" w:lineRule="auto"/>
              <w:jc w:val="center"/>
              <w:rPr>
                <w:szCs w:val="24"/>
              </w:rPr>
            </w:pPr>
          </w:p>
          <w:p w14:paraId="232D846C" w14:textId="77777777" w:rsidR="00977138" w:rsidRPr="00687DE8" w:rsidRDefault="00977138" w:rsidP="00977138">
            <w:pPr>
              <w:spacing w:after="0" w:line="240" w:lineRule="auto"/>
              <w:jc w:val="center"/>
              <w:rPr>
                <w:szCs w:val="24"/>
              </w:rPr>
            </w:pPr>
            <w:r w:rsidRPr="00687DE8">
              <w:rPr>
                <w:szCs w:val="24"/>
              </w:rPr>
              <w:t>1L2112</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B3AA92" w14:textId="0E9191E5" w:rsidR="41FBF82F" w:rsidRPr="00687DE8" w:rsidRDefault="00066207">
            <w:pPr>
              <w:spacing w:after="0"/>
              <w:jc w:val="center"/>
              <w:rPr>
                <w:color w:val="000000" w:themeColor="text1"/>
                <w:szCs w:val="24"/>
              </w:rPr>
            </w:pPr>
            <w:r>
              <w:rPr>
                <w:color w:val="000000"/>
              </w:rPr>
              <w:t>785,28</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F8D8E3" w14:textId="77777777" w:rsidR="00977138" w:rsidRPr="00687DE8" w:rsidRDefault="00977138" w:rsidP="00977138">
            <w:pPr>
              <w:tabs>
                <w:tab w:val="decimal" w:pos="635"/>
              </w:tabs>
              <w:spacing w:after="0" w:line="240" w:lineRule="auto"/>
              <w:jc w:val="center"/>
              <w:rPr>
                <w:color w:val="000000"/>
                <w:szCs w:val="24"/>
              </w:rPr>
            </w:pPr>
          </w:p>
          <w:p w14:paraId="44A56C55"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39DA10" w14:textId="77777777" w:rsidR="00977138" w:rsidRPr="00687DE8" w:rsidRDefault="00977138" w:rsidP="00977138">
            <w:pPr>
              <w:tabs>
                <w:tab w:val="decimal" w:pos="635"/>
              </w:tabs>
              <w:spacing w:after="0" w:line="240" w:lineRule="auto"/>
              <w:jc w:val="center"/>
              <w:rPr>
                <w:color w:val="000000"/>
                <w:szCs w:val="24"/>
              </w:rPr>
            </w:pPr>
          </w:p>
          <w:p w14:paraId="5B6F61D7"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72BB8254"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CCCD11" w14:textId="77777777" w:rsidR="00977138" w:rsidRPr="00687DE8" w:rsidRDefault="00977138" w:rsidP="00977138">
            <w:pPr>
              <w:spacing w:after="0" w:line="240" w:lineRule="auto"/>
              <w:rPr>
                <w:iCs/>
                <w:szCs w:val="24"/>
              </w:rPr>
            </w:pPr>
            <w:r w:rsidRPr="00687DE8">
              <w:rPr>
                <w:iCs/>
                <w:szCs w:val="24"/>
              </w:rPr>
              <w:t xml:space="preserve">Vulvektoomia </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E3D113" w14:textId="77777777" w:rsidR="00977138" w:rsidRPr="00687DE8" w:rsidRDefault="00977138" w:rsidP="00977138">
            <w:pPr>
              <w:spacing w:after="0" w:line="240" w:lineRule="auto"/>
              <w:jc w:val="center"/>
              <w:rPr>
                <w:szCs w:val="24"/>
              </w:rPr>
            </w:pPr>
            <w:r w:rsidRPr="00687DE8">
              <w:rPr>
                <w:szCs w:val="24"/>
              </w:rPr>
              <w:t>1L2113</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ADD807" w14:textId="0196AA1B" w:rsidR="41FBF82F" w:rsidRPr="00687DE8" w:rsidRDefault="00066207">
            <w:pPr>
              <w:spacing w:after="0"/>
              <w:jc w:val="center"/>
              <w:rPr>
                <w:color w:val="000000" w:themeColor="text1"/>
                <w:szCs w:val="24"/>
              </w:rPr>
            </w:pPr>
            <w:r>
              <w:rPr>
                <w:color w:val="000000"/>
              </w:rPr>
              <w:t>750,85</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37AB5A"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B570F6"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09DBE457"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83BF1D" w14:textId="77777777" w:rsidR="00977138" w:rsidRPr="00687DE8" w:rsidRDefault="00977138" w:rsidP="00977138">
            <w:pPr>
              <w:spacing w:after="0" w:line="240" w:lineRule="auto"/>
              <w:rPr>
                <w:iCs/>
                <w:szCs w:val="24"/>
              </w:rPr>
            </w:pPr>
            <w:r w:rsidRPr="00687DE8">
              <w:rPr>
                <w:iCs/>
                <w:szCs w:val="24"/>
              </w:rPr>
              <w:lastRenderedPageBreak/>
              <w:t>Tupe resektsioon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4772E8" w14:textId="77777777" w:rsidR="00977138" w:rsidRPr="00687DE8" w:rsidRDefault="00977138" w:rsidP="00977138">
            <w:pPr>
              <w:spacing w:after="0" w:line="240" w:lineRule="auto"/>
              <w:jc w:val="center"/>
              <w:rPr>
                <w:szCs w:val="24"/>
              </w:rPr>
            </w:pPr>
            <w:r w:rsidRPr="00687DE8">
              <w:rPr>
                <w:szCs w:val="24"/>
              </w:rPr>
              <w:t>1L2114</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6033BE" w14:textId="0C086BDC" w:rsidR="41FBF82F" w:rsidRPr="00687DE8" w:rsidRDefault="00066207">
            <w:pPr>
              <w:spacing w:after="0"/>
              <w:jc w:val="center"/>
              <w:rPr>
                <w:color w:val="000000" w:themeColor="text1"/>
                <w:szCs w:val="24"/>
              </w:rPr>
            </w:pPr>
            <w:r>
              <w:rPr>
                <w:color w:val="000000"/>
              </w:rPr>
              <w:t>834,04</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6A6F8C"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460934"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2485C063"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D385EA" w14:textId="77777777" w:rsidR="00977138" w:rsidRPr="00687DE8" w:rsidRDefault="00977138" w:rsidP="00977138">
            <w:pPr>
              <w:spacing w:after="0" w:line="240" w:lineRule="auto"/>
              <w:rPr>
                <w:iCs/>
                <w:szCs w:val="24"/>
              </w:rPr>
            </w:pPr>
            <w:r w:rsidRPr="00687DE8">
              <w:rPr>
                <w:iCs/>
                <w:szCs w:val="24"/>
              </w:rPr>
              <w:t>Suurrasviku eemaldamine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C55791" w14:textId="77777777" w:rsidR="00977138" w:rsidRPr="00687DE8" w:rsidRDefault="00977138" w:rsidP="00977138">
            <w:pPr>
              <w:spacing w:after="0" w:line="240" w:lineRule="auto"/>
              <w:jc w:val="center"/>
              <w:rPr>
                <w:szCs w:val="24"/>
              </w:rPr>
            </w:pPr>
            <w:r w:rsidRPr="00687DE8">
              <w:rPr>
                <w:szCs w:val="24"/>
              </w:rPr>
              <w:t>1L2115</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E9EF66" w14:textId="3A1E842E" w:rsidR="41FBF82F" w:rsidRPr="00687DE8" w:rsidRDefault="00066207">
            <w:pPr>
              <w:spacing w:after="0"/>
              <w:jc w:val="center"/>
              <w:rPr>
                <w:color w:val="000000" w:themeColor="text1"/>
                <w:szCs w:val="24"/>
              </w:rPr>
            </w:pPr>
            <w:r>
              <w:rPr>
                <w:color w:val="000000"/>
              </w:rPr>
              <w:t>758,88</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8BCACC"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EFD9DC"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06059A6F" w14:textId="77777777" w:rsidTr="00D30B8D">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326C5C" w14:textId="77777777" w:rsidR="00977138" w:rsidRPr="00687DE8" w:rsidRDefault="00977138" w:rsidP="00977138">
            <w:pPr>
              <w:spacing w:after="0" w:line="240" w:lineRule="auto"/>
              <w:rPr>
                <w:iCs/>
                <w:szCs w:val="24"/>
              </w:rPr>
            </w:pPr>
            <w:r w:rsidRPr="00687DE8">
              <w:rPr>
                <w:iCs/>
                <w:szCs w:val="24"/>
              </w:rPr>
              <w:t>Emakavälise raseduse operatsioon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73C975" w14:textId="77777777" w:rsidR="00977138" w:rsidRPr="00687DE8" w:rsidRDefault="00977138" w:rsidP="00977138">
            <w:pPr>
              <w:spacing w:after="0" w:line="240" w:lineRule="auto"/>
              <w:jc w:val="center"/>
              <w:rPr>
                <w:szCs w:val="24"/>
              </w:rPr>
            </w:pPr>
          </w:p>
          <w:p w14:paraId="640464A5" w14:textId="77777777" w:rsidR="00977138" w:rsidRPr="00687DE8" w:rsidRDefault="00977138" w:rsidP="00977138">
            <w:pPr>
              <w:spacing w:after="0" w:line="240" w:lineRule="auto"/>
              <w:jc w:val="center"/>
              <w:rPr>
                <w:szCs w:val="24"/>
              </w:rPr>
            </w:pPr>
            <w:r w:rsidRPr="00687DE8">
              <w:rPr>
                <w:szCs w:val="24"/>
              </w:rPr>
              <w:t>1M2109</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16A3E5" w14:textId="3FC1B2F6" w:rsidR="41FBF82F" w:rsidRPr="00687DE8" w:rsidRDefault="00066207">
            <w:pPr>
              <w:spacing w:after="0"/>
              <w:jc w:val="center"/>
              <w:rPr>
                <w:color w:val="000000" w:themeColor="text1"/>
                <w:szCs w:val="24"/>
              </w:rPr>
            </w:pPr>
            <w:r>
              <w:rPr>
                <w:color w:val="000000"/>
              </w:rPr>
              <w:t>568,17</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56C4E7" w14:textId="77777777" w:rsidR="00977138" w:rsidRPr="00687DE8" w:rsidRDefault="00977138" w:rsidP="00977138">
            <w:pPr>
              <w:tabs>
                <w:tab w:val="decimal" w:pos="635"/>
              </w:tabs>
              <w:spacing w:after="0" w:line="240" w:lineRule="auto"/>
              <w:jc w:val="center"/>
              <w:rPr>
                <w:color w:val="000000"/>
                <w:szCs w:val="24"/>
              </w:rPr>
            </w:pPr>
          </w:p>
          <w:p w14:paraId="11CCB906"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E2CC41" w14:textId="77777777" w:rsidR="00977138" w:rsidRPr="00687DE8" w:rsidRDefault="00977138" w:rsidP="00977138">
            <w:pPr>
              <w:tabs>
                <w:tab w:val="decimal" w:pos="635"/>
              </w:tabs>
              <w:spacing w:after="0" w:line="240" w:lineRule="auto"/>
              <w:jc w:val="center"/>
              <w:rPr>
                <w:color w:val="000000"/>
                <w:szCs w:val="24"/>
              </w:rPr>
            </w:pPr>
          </w:p>
          <w:p w14:paraId="18C2D8D8"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6CCA8252"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023E23" w14:textId="77777777" w:rsidR="00977138" w:rsidRPr="00687DE8" w:rsidRDefault="00977138" w:rsidP="00977138">
            <w:pPr>
              <w:spacing w:after="0" w:line="240" w:lineRule="auto"/>
              <w:rPr>
                <w:iCs/>
                <w:szCs w:val="24"/>
              </w:rPr>
            </w:pPr>
            <w:r w:rsidRPr="00687DE8">
              <w:rPr>
                <w:iCs/>
                <w:szCs w:val="24"/>
              </w:rPr>
              <w:t>Emaka ja parameetriumi muud operatsioonid</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1685D5" w14:textId="77777777" w:rsidR="00977138" w:rsidRPr="00687DE8" w:rsidRDefault="00977138" w:rsidP="00977138">
            <w:pPr>
              <w:spacing w:after="0" w:line="240" w:lineRule="auto"/>
              <w:jc w:val="center"/>
              <w:rPr>
                <w:szCs w:val="24"/>
              </w:rPr>
            </w:pPr>
          </w:p>
          <w:p w14:paraId="2818E9F0" w14:textId="77777777" w:rsidR="00977138" w:rsidRPr="00687DE8" w:rsidRDefault="00977138" w:rsidP="00977138">
            <w:pPr>
              <w:spacing w:after="0" w:line="240" w:lineRule="auto"/>
              <w:jc w:val="center"/>
              <w:rPr>
                <w:szCs w:val="24"/>
              </w:rPr>
            </w:pPr>
            <w:r w:rsidRPr="00687DE8">
              <w:rPr>
                <w:szCs w:val="24"/>
              </w:rPr>
              <w:t>1L2116</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FEE336" w14:textId="04FB6C39" w:rsidR="41FBF82F" w:rsidRPr="00687DE8" w:rsidRDefault="00066207">
            <w:pPr>
              <w:spacing w:after="0"/>
              <w:jc w:val="center"/>
              <w:rPr>
                <w:color w:val="000000" w:themeColor="text1"/>
                <w:szCs w:val="24"/>
              </w:rPr>
            </w:pPr>
            <w:r>
              <w:rPr>
                <w:color w:val="000000"/>
              </w:rPr>
              <w:t>684,24</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27E175" w14:textId="77777777" w:rsidR="00977138" w:rsidRPr="00687DE8" w:rsidRDefault="00977138" w:rsidP="00977138">
            <w:pPr>
              <w:tabs>
                <w:tab w:val="decimal" w:pos="635"/>
              </w:tabs>
              <w:spacing w:after="0" w:line="240" w:lineRule="auto"/>
              <w:jc w:val="center"/>
              <w:rPr>
                <w:color w:val="000000"/>
                <w:szCs w:val="24"/>
              </w:rPr>
            </w:pPr>
          </w:p>
          <w:p w14:paraId="0B0142DD"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6EC76A" w14:textId="77777777" w:rsidR="00977138" w:rsidRPr="00687DE8" w:rsidRDefault="00977138" w:rsidP="00977138">
            <w:pPr>
              <w:tabs>
                <w:tab w:val="decimal" w:pos="635"/>
              </w:tabs>
              <w:spacing w:after="0" w:line="240" w:lineRule="auto"/>
              <w:jc w:val="center"/>
              <w:rPr>
                <w:color w:val="000000"/>
                <w:szCs w:val="24"/>
              </w:rPr>
            </w:pPr>
          </w:p>
          <w:p w14:paraId="16E51104"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7963FCFA"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F662A6" w14:textId="77777777" w:rsidR="00977138" w:rsidRPr="00687DE8" w:rsidRDefault="00977138" w:rsidP="00977138">
            <w:pPr>
              <w:spacing w:after="0" w:line="240" w:lineRule="auto"/>
              <w:rPr>
                <w:iCs/>
                <w:szCs w:val="24"/>
              </w:rPr>
            </w:pPr>
            <w:r w:rsidRPr="00687DE8">
              <w:rPr>
                <w:iCs/>
                <w:szCs w:val="24"/>
              </w:rPr>
              <w:t>Emaka subtotaalne amputatsioon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3352A6" w14:textId="77777777" w:rsidR="00977138" w:rsidRPr="00687DE8" w:rsidRDefault="00977138" w:rsidP="00977138">
            <w:pPr>
              <w:spacing w:after="0" w:line="240" w:lineRule="auto"/>
              <w:jc w:val="center"/>
              <w:rPr>
                <w:szCs w:val="24"/>
              </w:rPr>
            </w:pPr>
          </w:p>
          <w:p w14:paraId="3DF663B3" w14:textId="77777777" w:rsidR="00977138" w:rsidRPr="00687DE8" w:rsidRDefault="00977138" w:rsidP="00977138">
            <w:pPr>
              <w:spacing w:after="0" w:line="240" w:lineRule="auto"/>
              <w:jc w:val="center"/>
              <w:rPr>
                <w:szCs w:val="24"/>
              </w:rPr>
            </w:pPr>
            <w:r w:rsidRPr="00687DE8">
              <w:rPr>
                <w:szCs w:val="24"/>
              </w:rPr>
              <w:t>1L2117</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712A11" w14:textId="3C738CEA" w:rsidR="41FBF82F" w:rsidRPr="00687DE8" w:rsidRDefault="00066207">
            <w:pPr>
              <w:spacing w:after="0"/>
              <w:jc w:val="center"/>
              <w:rPr>
                <w:color w:val="000000" w:themeColor="text1"/>
                <w:szCs w:val="24"/>
              </w:rPr>
            </w:pPr>
            <w:r>
              <w:rPr>
                <w:color w:val="000000"/>
              </w:rPr>
              <w:t>744,79</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738444" w14:textId="77777777" w:rsidR="00977138" w:rsidRPr="00687DE8" w:rsidRDefault="00977138" w:rsidP="00977138">
            <w:pPr>
              <w:tabs>
                <w:tab w:val="decimal" w:pos="635"/>
              </w:tabs>
              <w:spacing w:after="0" w:line="240" w:lineRule="auto"/>
              <w:jc w:val="center"/>
              <w:rPr>
                <w:color w:val="000000"/>
                <w:szCs w:val="24"/>
              </w:rPr>
            </w:pPr>
          </w:p>
          <w:p w14:paraId="35A61087"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D4CD21" w14:textId="77777777" w:rsidR="00977138" w:rsidRPr="00687DE8" w:rsidRDefault="00977138" w:rsidP="00977138">
            <w:pPr>
              <w:tabs>
                <w:tab w:val="decimal" w:pos="635"/>
              </w:tabs>
              <w:spacing w:after="0" w:line="240" w:lineRule="auto"/>
              <w:jc w:val="center"/>
              <w:rPr>
                <w:color w:val="000000"/>
                <w:szCs w:val="24"/>
              </w:rPr>
            </w:pPr>
          </w:p>
          <w:p w14:paraId="04CE4CC6"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27E131C8"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ECF3BE" w14:textId="77777777" w:rsidR="00977138" w:rsidRPr="00687DE8" w:rsidRDefault="00977138" w:rsidP="00977138">
            <w:pPr>
              <w:spacing w:after="0" w:line="240" w:lineRule="auto"/>
              <w:rPr>
                <w:iCs/>
                <w:szCs w:val="24"/>
              </w:rPr>
            </w:pPr>
            <w:r w:rsidRPr="00687DE8">
              <w:rPr>
                <w:iCs/>
                <w:szCs w:val="24"/>
              </w:rPr>
              <w:t>Laparoskoopiline väikese vaagna elundite kontroll ja liidete vabastamine, steriliseerimine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C4F6950" w14:textId="77777777" w:rsidR="00977138" w:rsidRPr="00687DE8" w:rsidRDefault="00977138" w:rsidP="00977138">
            <w:pPr>
              <w:spacing w:after="0" w:line="240" w:lineRule="auto"/>
              <w:jc w:val="center"/>
              <w:rPr>
                <w:szCs w:val="24"/>
              </w:rPr>
            </w:pPr>
            <w:r w:rsidRPr="00687DE8">
              <w:rPr>
                <w:szCs w:val="24"/>
              </w:rPr>
              <w:t>1L2201</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59F7CA" w14:textId="37F1CE6A" w:rsidR="41FBF82F" w:rsidRPr="00687DE8" w:rsidRDefault="00066207">
            <w:pPr>
              <w:spacing w:after="0"/>
              <w:jc w:val="center"/>
              <w:rPr>
                <w:color w:val="000000" w:themeColor="text1"/>
                <w:szCs w:val="24"/>
              </w:rPr>
            </w:pPr>
            <w:r>
              <w:rPr>
                <w:color w:val="000000"/>
              </w:rPr>
              <w:t>754,50</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937B3E" w14:textId="77777777" w:rsidR="00977138" w:rsidRPr="00687DE8" w:rsidRDefault="00977138" w:rsidP="00977138">
            <w:pPr>
              <w:tabs>
                <w:tab w:val="decimal" w:pos="635"/>
              </w:tabs>
              <w:spacing w:after="0" w:line="240" w:lineRule="auto"/>
              <w:jc w:val="center"/>
              <w:rPr>
                <w:color w:val="000000"/>
                <w:szCs w:val="24"/>
              </w:rPr>
            </w:pPr>
          </w:p>
          <w:p w14:paraId="67EBE186" w14:textId="77777777" w:rsidR="00977138" w:rsidRPr="00687DE8" w:rsidRDefault="00977138" w:rsidP="00977138">
            <w:pPr>
              <w:tabs>
                <w:tab w:val="decimal" w:pos="635"/>
              </w:tabs>
              <w:spacing w:after="0" w:line="240" w:lineRule="auto"/>
              <w:jc w:val="center"/>
              <w:rPr>
                <w:color w:val="000000"/>
                <w:szCs w:val="24"/>
              </w:rPr>
            </w:pPr>
          </w:p>
          <w:p w14:paraId="5F37B003" w14:textId="77777777" w:rsidR="00977138" w:rsidRPr="00687DE8" w:rsidRDefault="00977138" w:rsidP="00977138">
            <w:pPr>
              <w:tabs>
                <w:tab w:val="decimal" w:pos="635"/>
              </w:tabs>
              <w:spacing w:after="0" w:line="240" w:lineRule="auto"/>
              <w:jc w:val="center"/>
              <w:rPr>
                <w:color w:val="000000"/>
                <w:szCs w:val="24"/>
              </w:rPr>
            </w:pPr>
          </w:p>
          <w:p w14:paraId="7668573A"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E73ABE" w14:textId="77777777" w:rsidR="00977138" w:rsidRPr="00687DE8" w:rsidRDefault="00977138" w:rsidP="00977138">
            <w:pPr>
              <w:tabs>
                <w:tab w:val="decimal" w:pos="635"/>
              </w:tabs>
              <w:spacing w:after="0" w:line="240" w:lineRule="auto"/>
              <w:jc w:val="center"/>
              <w:rPr>
                <w:color w:val="000000"/>
                <w:szCs w:val="24"/>
              </w:rPr>
            </w:pPr>
          </w:p>
          <w:p w14:paraId="10C54971" w14:textId="77777777" w:rsidR="00977138" w:rsidRPr="00687DE8" w:rsidRDefault="00977138" w:rsidP="00977138">
            <w:pPr>
              <w:tabs>
                <w:tab w:val="decimal" w:pos="635"/>
              </w:tabs>
              <w:spacing w:after="0" w:line="240" w:lineRule="auto"/>
              <w:jc w:val="center"/>
              <w:rPr>
                <w:color w:val="000000"/>
                <w:szCs w:val="24"/>
              </w:rPr>
            </w:pPr>
          </w:p>
          <w:p w14:paraId="7B9F3349" w14:textId="77777777" w:rsidR="00977138" w:rsidRPr="00687DE8" w:rsidRDefault="00977138" w:rsidP="00977138">
            <w:pPr>
              <w:tabs>
                <w:tab w:val="decimal" w:pos="635"/>
              </w:tabs>
              <w:spacing w:after="0" w:line="240" w:lineRule="auto"/>
              <w:jc w:val="center"/>
              <w:rPr>
                <w:color w:val="000000"/>
                <w:szCs w:val="24"/>
              </w:rPr>
            </w:pPr>
          </w:p>
          <w:p w14:paraId="257F836A"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1C283297"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3F88F2" w14:textId="77777777" w:rsidR="00977138" w:rsidRPr="00687DE8" w:rsidRDefault="00977138" w:rsidP="00977138">
            <w:pPr>
              <w:spacing w:after="0" w:line="240" w:lineRule="auto"/>
              <w:rPr>
                <w:iCs/>
                <w:szCs w:val="24"/>
              </w:rPr>
            </w:pPr>
            <w:r w:rsidRPr="00687DE8">
              <w:rPr>
                <w:iCs/>
                <w:szCs w:val="24"/>
              </w:rPr>
              <w:t>Diagnostiline või operatiivne hüsteroskoopia (statsionaaris või päevastatsionaaris)</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17563BC" w14:textId="77777777" w:rsidR="00977138" w:rsidRPr="00687DE8" w:rsidRDefault="00977138" w:rsidP="00977138">
            <w:pPr>
              <w:spacing w:after="0" w:line="240" w:lineRule="auto"/>
              <w:jc w:val="center"/>
              <w:rPr>
                <w:szCs w:val="24"/>
              </w:rPr>
            </w:pPr>
            <w:r w:rsidRPr="00687DE8">
              <w:rPr>
                <w:szCs w:val="24"/>
              </w:rPr>
              <w:t>1L2202</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BC8225" w14:textId="52889771" w:rsidR="41FBF82F" w:rsidRPr="00687DE8" w:rsidRDefault="00066207">
            <w:pPr>
              <w:spacing w:after="0"/>
              <w:jc w:val="center"/>
              <w:rPr>
                <w:color w:val="000000" w:themeColor="text1"/>
                <w:szCs w:val="24"/>
              </w:rPr>
            </w:pPr>
            <w:r>
              <w:rPr>
                <w:color w:val="000000"/>
              </w:rPr>
              <w:t>541,74</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F9440D" w14:textId="77777777" w:rsidR="00977138" w:rsidRPr="00687DE8" w:rsidRDefault="00977138" w:rsidP="00977138">
            <w:pPr>
              <w:tabs>
                <w:tab w:val="decimal" w:pos="635"/>
              </w:tabs>
              <w:spacing w:after="0" w:line="240" w:lineRule="auto"/>
              <w:jc w:val="center"/>
              <w:rPr>
                <w:color w:val="000000"/>
                <w:szCs w:val="24"/>
              </w:rPr>
            </w:pPr>
          </w:p>
          <w:p w14:paraId="4EB46450" w14:textId="77777777" w:rsidR="00977138" w:rsidRPr="00687DE8" w:rsidRDefault="00977138" w:rsidP="00977138">
            <w:pPr>
              <w:tabs>
                <w:tab w:val="decimal" w:pos="635"/>
              </w:tabs>
              <w:spacing w:after="0" w:line="240" w:lineRule="auto"/>
              <w:jc w:val="center"/>
              <w:rPr>
                <w:color w:val="000000"/>
                <w:szCs w:val="24"/>
              </w:rPr>
            </w:pPr>
          </w:p>
          <w:p w14:paraId="797936BD"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35DD28" w14:textId="77777777" w:rsidR="00977138" w:rsidRPr="00687DE8" w:rsidRDefault="00977138" w:rsidP="00977138">
            <w:pPr>
              <w:tabs>
                <w:tab w:val="decimal" w:pos="635"/>
              </w:tabs>
              <w:spacing w:after="0" w:line="240" w:lineRule="auto"/>
              <w:jc w:val="center"/>
              <w:rPr>
                <w:color w:val="000000"/>
                <w:szCs w:val="24"/>
              </w:rPr>
            </w:pPr>
          </w:p>
          <w:p w14:paraId="3F7221F8" w14:textId="77777777" w:rsidR="00977138" w:rsidRPr="00687DE8" w:rsidRDefault="00977138" w:rsidP="00977138">
            <w:pPr>
              <w:tabs>
                <w:tab w:val="decimal" w:pos="635"/>
              </w:tabs>
              <w:spacing w:after="0" w:line="240" w:lineRule="auto"/>
              <w:jc w:val="center"/>
              <w:rPr>
                <w:color w:val="000000"/>
                <w:szCs w:val="24"/>
              </w:rPr>
            </w:pPr>
          </w:p>
          <w:p w14:paraId="188E0A27"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7EEAF77F"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299C14" w14:textId="77777777" w:rsidR="00977138" w:rsidRPr="00687DE8" w:rsidRDefault="00977138" w:rsidP="00977138">
            <w:pPr>
              <w:spacing w:after="0" w:line="240" w:lineRule="auto"/>
              <w:rPr>
                <w:iCs/>
                <w:szCs w:val="24"/>
              </w:rPr>
            </w:pPr>
            <w:r w:rsidRPr="00687DE8">
              <w:rPr>
                <w:iCs/>
                <w:szCs w:val="24"/>
              </w:rPr>
              <w:t>Keisrilõige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558135" w14:textId="77777777" w:rsidR="00977138" w:rsidRPr="00687DE8" w:rsidRDefault="00977138" w:rsidP="00977138">
            <w:pPr>
              <w:spacing w:after="0" w:line="240" w:lineRule="auto"/>
              <w:jc w:val="center"/>
              <w:rPr>
                <w:szCs w:val="24"/>
              </w:rPr>
            </w:pPr>
            <w:r w:rsidRPr="00687DE8">
              <w:rPr>
                <w:szCs w:val="24"/>
              </w:rPr>
              <w:t>1M2106</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D3EC20" w14:textId="5D26A935" w:rsidR="41FBF82F" w:rsidRPr="00687DE8" w:rsidRDefault="00066207">
            <w:pPr>
              <w:spacing w:after="0"/>
              <w:jc w:val="center"/>
              <w:rPr>
                <w:color w:val="000000" w:themeColor="text1"/>
                <w:szCs w:val="24"/>
              </w:rPr>
            </w:pPr>
            <w:r>
              <w:rPr>
                <w:color w:val="000000"/>
              </w:rPr>
              <w:t>668,41</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167BC1"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96A2AA"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21CDEB0B"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25B5A1" w14:textId="77777777" w:rsidR="00977138" w:rsidRPr="00687DE8" w:rsidRDefault="00977138" w:rsidP="00977138">
            <w:pPr>
              <w:spacing w:after="0" w:line="240" w:lineRule="auto"/>
              <w:rPr>
                <w:iCs/>
                <w:szCs w:val="24"/>
              </w:rPr>
            </w:pPr>
            <w:r w:rsidRPr="00687DE8">
              <w:rPr>
                <w:iCs/>
                <w:szCs w:val="24"/>
              </w:rPr>
              <w:t>Hüsterektoomia</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B5A9F2" w14:textId="77777777" w:rsidR="00977138" w:rsidRPr="00687DE8" w:rsidRDefault="00977138" w:rsidP="00977138">
            <w:pPr>
              <w:spacing w:after="0" w:line="240" w:lineRule="auto"/>
              <w:jc w:val="center"/>
              <w:rPr>
                <w:szCs w:val="24"/>
              </w:rPr>
            </w:pPr>
            <w:r w:rsidRPr="00687DE8">
              <w:rPr>
                <w:szCs w:val="24"/>
              </w:rPr>
              <w:t>1L2118</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4C5041" w14:textId="2F364A52" w:rsidR="41FBF82F" w:rsidRPr="00687DE8" w:rsidRDefault="00066207">
            <w:pPr>
              <w:spacing w:after="0"/>
              <w:jc w:val="center"/>
              <w:rPr>
                <w:color w:val="000000" w:themeColor="text1"/>
                <w:szCs w:val="24"/>
              </w:rPr>
            </w:pPr>
            <w:r>
              <w:rPr>
                <w:color w:val="000000"/>
              </w:rPr>
              <w:t>1 053,98</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ADAF32"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26D533"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4CDCA3DF"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BECCB3" w14:textId="77777777" w:rsidR="00977138" w:rsidRPr="00687DE8" w:rsidRDefault="00977138" w:rsidP="00977138">
            <w:pPr>
              <w:spacing w:after="0" w:line="240" w:lineRule="auto"/>
              <w:rPr>
                <w:iCs/>
                <w:szCs w:val="24"/>
              </w:rPr>
            </w:pPr>
            <w:r w:rsidRPr="00687DE8">
              <w:rPr>
                <w:iCs/>
                <w:szCs w:val="24"/>
              </w:rPr>
              <w:t>Emaka ja emakamanuste mädaprotsesside operatiivne ravi</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BFE8B5" w14:textId="77777777" w:rsidR="00977138" w:rsidRPr="00687DE8" w:rsidRDefault="00977138" w:rsidP="00977138">
            <w:pPr>
              <w:spacing w:after="0" w:line="240" w:lineRule="auto"/>
              <w:jc w:val="center"/>
              <w:rPr>
                <w:szCs w:val="24"/>
              </w:rPr>
            </w:pPr>
          </w:p>
          <w:p w14:paraId="524F675B" w14:textId="77777777" w:rsidR="00977138" w:rsidRPr="00687DE8" w:rsidRDefault="00977138" w:rsidP="00977138">
            <w:pPr>
              <w:spacing w:after="0" w:line="240" w:lineRule="auto"/>
              <w:jc w:val="center"/>
              <w:rPr>
                <w:szCs w:val="24"/>
              </w:rPr>
            </w:pPr>
          </w:p>
          <w:p w14:paraId="4B3CF4C9" w14:textId="77777777" w:rsidR="00977138" w:rsidRPr="00687DE8" w:rsidRDefault="00977138" w:rsidP="00977138">
            <w:pPr>
              <w:spacing w:after="0" w:line="240" w:lineRule="auto"/>
              <w:jc w:val="center"/>
              <w:rPr>
                <w:szCs w:val="24"/>
              </w:rPr>
            </w:pPr>
            <w:r w:rsidRPr="00687DE8">
              <w:rPr>
                <w:szCs w:val="24"/>
              </w:rPr>
              <w:t>1L2119</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3849EF" w14:textId="50CDED20" w:rsidR="41FBF82F" w:rsidRPr="00687DE8" w:rsidRDefault="00066207">
            <w:pPr>
              <w:spacing w:after="0"/>
              <w:jc w:val="center"/>
              <w:rPr>
                <w:color w:val="000000" w:themeColor="text1"/>
                <w:szCs w:val="24"/>
              </w:rPr>
            </w:pPr>
            <w:r>
              <w:rPr>
                <w:color w:val="000000"/>
              </w:rPr>
              <w:t>822,51</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C493A7" w14:textId="77777777" w:rsidR="00977138" w:rsidRPr="00687DE8" w:rsidRDefault="00977138" w:rsidP="00977138">
            <w:pPr>
              <w:tabs>
                <w:tab w:val="decimal" w:pos="635"/>
              </w:tabs>
              <w:spacing w:after="0" w:line="240" w:lineRule="auto"/>
              <w:jc w:val="center"/>
              <w:rPr>
                <w:color w:val="000000"/>
                <w:szCs w:val="24"/>
              </w:rPr>
            </w:pPr>
          </w:p>
          <w:p w14:paraId="0561560C" w14:textId="77777777" w:rsidR="00977138" w:rsidRPr="00687DE8" w:rsidRDefault="00977138" w:rsidP="00977138">
            <w:pPr>
              <w:tabs>
                <w:tab w:val="decimal" w:pos="635"/>
              </w:tabs>
              <w:spacing w:after="0" w:line="240" w:lineRule="auto"/>
              <w:jc w:val="center"/>
              <w:rPr>
                <w:color w:val="000000"/>
                <w:szCs w:val="24"/>
              </w:rPr>
            </w:pPr>
          </w:p>
          <w:p w14:paraId="022EBEE3"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5DCA9A" w14:textId="77777777" w:rsidR="00977138" w:rsidRPr="00687DE8" w:rsidRDefault="00977138" w:rsidP="00977138">
            <w:pPr>
              <w:tabs>
                <w:tab w:val="decimal" w:pos="635"/>
              </w:tabs>
              <w:spacing w:after="0" w:line="240" w:lineRule="auto"/>
              <w:jc w:val="center"/>
              <w:rPr>
                <w:color w:val="000000"/>
                <w:szCs w:val="24"/>
              </w:rPr>
            </w:pPr>
          </w:p>
          <w:p w14:paraId="6732625E" w14:textId="77777777" w:rsidR="00977138" w:rsidRPr="00687DE8" w:rsidRDefault="00977138" w:rsidP="00977138">
            <w:pPr>
              <w:tabs>
                <w:tab w:val="decimal" w:pos="635"/>
              </w:tabs>
              <w:spacing w:after="0" w:line="240" w:lineRule="auto"/>
              <w:jc w:val="center"/>
              <w:rPr>
                <w:color w:val="000000"/>
                <w:szCs w:val="24"/>
              </w:rPr>
            </w:pPr>
          </w:p>
          <w:p w14:paraId="12F49AA0"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09AD19EB"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87813F" w14:textId="77777777" w:rsidR="00977138" w:rsidRPr="00687DE8" w:rsidRDefault="00977138" w:rsidP="00977138">
            <w:pPr>
              <w:spacing w:after="0" w:line="240" w:lineRule="auto"/>
              <w:rPr>
                <w:iCs/>
                <w:szCs w:val="24"/>
              </w:rPr>
            </w:pPr>
            <w:r w:rsidRPr="00687DE8">
              <w:rPr>
                <w:iCs/>
                <w:szCs w:val="24"/>
              </w:rPr>
              <w:t>Emaka anomaaliate plastilised operatsioonid</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76228F" w14:textId="77777777" w:rsidR="00977138" w:rsidRPr="00687DE8" w:rsidRDefault="00977138" w:rsidP="00977138">
            <w:pPr>
              <w:spacing w:after="0" w:line="240" w:lineRule="auto"/>
              <w:jc w:val="center"/>
              <w:rPr>
                <w:szCs w:val="24"/>
              </w:rPr>
            </w:pPr>
          </w:p>
          <w:p w14:paraId="3318852B" w14:textId="77777777" w:rsidR="00977138" w:rsidRPr="00687DE8" w:rsidRDefault="00977138" w:rsidP="00977138">
            <w:pPr>
              <w:spacing w:after="0" w:line="240" w:lineRule="auto"/>
              <w:jc w:val="center"/>
              <w:rPr>
                <w:szCs w:val="24"/>
              </w:rPr>
            </w:pPr>
            <w:r w:rsidRPr="00687DE8">
              <w:rPr>
                <w:szCs w:val="24"/>
              </w:rPr>
              <w:t>1L2120</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CA9EB9" w14:textId="070ECD74" w:rsidR="41FBF82F" w:rsidRPr="00687DE8" w:rsidRDefault="00066207">
            <w:pPr>
              <w:spacing w:after="0"/>
              <w:jc w:val="center"/>
              <w:rPr>
                <w:color w:val="000000" w:themeColor="text1"/>
                <w:szCs w:val="24"/>
              </w:rPr>
            </w:pPr>
            <w:r>
              <w:rPr>
                <w:color w:val="000000"/>
              </w:rPr>
              <w:t>718,81</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41B43E" w14:textId="77777777" w:rsidR="00977138" w:rsidRPr="00687DE8" w:rsidRDefault="00977138" w:rsidP="00977138">
            <w:pPr>
              <w:tabs>
                <w:tab w:val="decimal" w:pos="635"/>
              </w:tabs>
              <w:spacing w:after="0" w:line="240" w:lineRule="auto"/>
              <w:jc w:val="center"/>
              <w:rPr>
                <w:color w:val="000000"/>
                <w:szCs w:val="24"/>
              </w:rPr>
            </w:pPr>
          </w:p>
          <w:p w14:paraId="79AC8716"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C74BA7" w14:textId="77777777" w:rsidR="00977138" w:rsidRPr="00687DE8" w:rsidRDefault="00977138" w:rsidP="00977138">
            <w:pPr>
              <w:tabs>
                <w:tab w:val="decimal" w:pos="635"/>
              </w:tabs>
              <w:spacing w:after="0" w:line="240" w:lineRule="auto"/>
              <w:jc w:val="center"/>
              <w:rPr>
                <w:color w:val="000000"/>
                <w:szCs w:val="24"/>
              </w:rPr>
            </w:pPr>
          </w:p>
          <w:p w14:paraId="7AAE3ED3"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67C4A2F0"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C80A30" w14:textId="77777777" w:rsidR="00977138" w:rsidRPr="00687DE8" w:rsidRDefault="00977138" w:rsidP="00977138">
            <w:pPr>
              <w:spacing w:after="0" w:line="240" w:lineRule="auto"/>
              <w:rPr>
                <w:iCs/>
                <w:szCs w:val="24"/>
              </w:rPr>
            </w:pPr>
            <w:r w:rsidRPr="00687DE8">
              <w:rPr>
                <w:iCs/>
                <w:szCs w:val="24"/>
              </w:rPr>
              <w:t>Munasarjavähi staadiumi määrav operatsioon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3BA7A9" w14:textId="77777777" w:rsidR="00977138" w:rsidRPr="00687DE8" w:rsidRDefault="00977138" w:rsidP="00977138">
            <w:pPr>
              <w:spacing w:after="0" w:line="240" w:lineRule="auto"/>
              <w:jc w:val="center"/>
              <w:rPr>
                <w:szCs w:val="24"/>
              </w:rPr>
            </w:pPr>
          </w:p>
          <w:p w14:paraId="7C9BB829" w14:textId="77777777" w:rsidR="00977138" w:rsidRPr="00687DE8" w:rsidRDefault="00977138" w:rsidP="00977138">
            <w:pPr>
              <w:spacing w:after="0" w:line="240" w:lineRule="auto"/>
              <w:jc w:val="center"/>
              <w:rPr>
                <w:szCs w:val="24"/>
              </w:rPr>
            </w:pPr>
            <w:r w:rsidRPr="00687DE8">
              <w:rPr>
                <w:szCs w:val="24"/>
              </w:rPr>
              <w:t>1L2121</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F0DE15" w14:textId="5DEC9309" w:rsidR="41FBF82F" w:rsidRPr="00687DE8" w:rsidRDefault="00066207">
            <w:pPr>
              <w:spacing w:after="0"/>
              <w:jc w:val="center"/>
              <w:rPr>
                <w:color w:val="000000" w:themeColor="text1"/>
                <w:szCs w:val="24"/>
              </w:rPr>
            </w:pPr>
            <w:r>
              <w:rPr>
                <w:color w:val="000000"/>
              </w:rPr>
              <w:t>1 179,77</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E096EE" w14:textId="77777777" w:rsidR="00977138" w:rsidRPr="00687DE8" w:rsidRDefault="00977138" w:rsidP="00977138">
            <w:pPr>
              <w:tabs>
                <w:tab w:val="decimal" w:pos="635"/>
              </w:tabs>
              <w:spacing w:after="0" w:line="240" w:lineRule="auto"/>
              <w:jc w:val="center"/>
              <w:rPr>
                <w:color w:val="000000"/>
                <w:szCs w:val="24"/>
              </w:rPr>
            </w:pPr>
          </w:p>
          <w:p w14:paraId="0C0AFDCF"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B79D68" w14:textId="77777777" w:rsidR="00977138" w:rsidRPr="00687DE8" w:rsidRDefault="00977138" w:rsidP="00977138">
            <w:pPr>
              <w:tabs>
                <w:tab w:val="decimal" w:pos="635"/>
              </w:tabs>
              <w:spacing w:after="0" w:line="240" w:lineRule="auto"/>
              <w:jc w:val="center"/>
              <w:rPr>
                <w:color w:val="000000"/>
                <w:szCs w:val="24"/>
              </w:rPr>
            </w:pPr>
          </w:p>
          <w:p w14:paraId="4B1E62E4"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62C7610E"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ABB06B" w14:textId="77777777" w:rsidR="00977138" w:rsidRPr="00687DE8" w:rsidRDefault="00977138" w:rsidP="00977138">
            <w:pPr>
              <w:spacing w:after="0" w:line="240" w:lineRule="auto"/>
              <w:rPr>
                <w:iCs/>
                <w:szCs w:val="24"/>
              </w:rPr>
            </w:pPr>
            <w:r w:rsidRPr="00687DE8">
              <w:rPr>
                <w:iCs/>
                <w:szCs w:val="24"/>
              </w:rPr>
              <w:t>Laparoskoopiline munajuhade ja munasarjavähi staadiumi määrav operatsioon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E9BF3E7" w14:textId="77777777" w:rsidR="00977138" w:rsidRPr="00687DE8" w:rsidRDefault="00977138" w:rsidP="00977138">
            <w:pPr>
              <w:spacing w:after="0" w:line="240" w:lineRule="auto"/>
              <w:jc w:val="center"/>
              <w:rPr>
                <w:szCs w:val="24"/>
              </w:rPr>
            </w:pPr>
            <w:r w:rsidRPr="00687DE8">
              <w:rPr>
                <w:szCs w:val="24"/>
              </w:rPr>
              <w:t>1L2203</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7A3A54" w14:textId="57D1AD70" w:rsidR="41FBF82F" w:rsidRPr="00687DE8" w:rsidRDefault="00066207">
            <w:pPr>
              <w:spacing w:after="0"/>
              <w:jc w:val="center"/>
              <w:rPr>
                <w:color w:val="000000" w:themeColor="text1"/>
                <w:szCs w:val="24"/>
              </w:rPr>
            </w:pPr>
            <w:r>
              <w:rPr>
                <w:color w:val="000000"/>
              </w:rPr>
              <w:t>1 490,53</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665914" w14:textId="77777777" w:rsidR="00977138" w:rsidRPr="00687DE8" w:rsidRDefault="00977138" w:rsidP="00977138">
            <w:pPr>
              <w:tabs>
                <w:tab w:val="decimal" w:pos="635"/>
              </w:tabs>
              <w:spacing w:after="0" w:line="240" w:lineRule="auto"/>
              <w:jc w:val="center"/>
              <w:rPr>
                <w:color w:val="000000"/>
                <w:szCs w:val="24"/>
              </w:rPr>
            </w:pPr>
          </w:p>
          <w:p w14:paraId="117426EA" w14:textId="77777777" w:rsidR="00977138" w:rsidRPr="00687DE8" w:rsidRDefault="00977138" w:rsidP="00977138">
            <w:pPr>
              <w:tabs>
                <w:tab w:val="decimal" w:pos="635"/>
              </w:tabs>
              <w:spacing w:after="0" w:line="240" w:lineRule="auto"/>
              <w:jc w:val="center"/>
              <w:rPr>
                <w:color w:val="000000"/>
                <w:szCs w:val="24"/>
              </w:rPr>
            </w:pPr>
          </w:p>
          <w:p w14:paraId="30059FE6"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D3F991" w14:textId="77777777" w:rsidR="00977138" w:rsidRPr="00687DE8" w:rsidRDefault="00977138" w:rsidP="00977138">
            <w:pPr>
              <w:tabs>
                <w:tab w:val="decimal" w:pos="635"/>
              </w:tabs>
              <w:spacing w:after="0" w:line="240" w:lineRule="auto"/>
              <w:jc w:val="center"/>
              <w:rPr>
                <w:color w:val="000000"/>
                <w:szCs w:val="24"/>
              </w:rPr>
            </w:pPr>
          </w:p>
          <w:p w14:paraId="791A26A9" w14:textId="77777777" w:rsidR="00977138" w:rsidRPr="00687DE8" w:rsidRDefault="00977138" w:rsidP="00977138">
            <w:pPr>
              <w:tabs>
                <w:tab w:val="decimal" w:pos="635"/>
              </w:tabs>
              <w:spacing w:after="0" w:line="240" w:lineRule="auto"/>
              <w:jc w:val="center"/>
              <w:rPr>
                <w:color w:val="000000"/>
                <w:szCs w:val="24"/>
              </w:rPr>
            </w:pPr>
          </w:p>
          <w:p w14:paraId="7B4A0C50"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50DC1203" w14:textId="77777777" w:rsidTr="00EB7A71">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E34A01" w14:textId="77777777" w:rsidR="00977138" w:rsidRPr="00687DE8" w:rsidRDefault="00977138" w:rsidP="00977138">
            <w:pPr>
              <w:spacing w:after="0" w:line="240" w:lineRule="auto"/>
              <w:rPr>
                <w:iCs/>
                <w:szCs w:val="24"/>
              </w:rPr>
            </w:pPr>
            <w:r w:rsidRPr="00687DE8">
              <w:rPr>
                <w:iCs/>
                <w:szCs w:val="24"/>
              </w:rPr>
              <w:t>Munajuhade ja munasarjade laparoskoopilised operatsioonid</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9ABBC4" w14:textId="77777777" w:rsidR="00977138" w:rsidRPr="00687DE8" w:rsidRDefault="00977138" w:rsidP="00977138">
            <w:pPr>
              <w:spacing w:after="0" w:line="240" w:lineRule="auto"/>
              <w:jc w:val="center"/>
              <w:rPr>
                <w:szCs w:val="24"/>
              </w:rPr>
            </w:pPr>
          </w:p>
          <w:p w14:paraId="0A2218E9" w14:textId="77777777" w:rsidR="00977138" w:rsidRPr="00687DE8" w:rsidRDefault="00977138" w:rsidP="00977138">
            <w:pPr>
              <w:spacing w:after="0" w:line="240" w:lineRule="auto"/>
              <w:jc w:val="center"/>
              <w:rPr>
                <w:szCs w:val="24"/>
              </w:rPr>
            </w:pPr>
          </w:p>
          <w:p w14:paraId="592259CA" w14:textId="77777777" w:rsidR="00977138" w:rsidRPr="00687DE8" w:rsidRDefault="00977138" w:rsidP="00977138">
            <w:pPr>
              <w:spacing w:after="0" w:line="240" w:lineRule="auto"/>
              <w:jc w:val="center"/>
              <w:rPr>
                <w:szCs w:val="24"/>
              </w:rPr>
            </w:pPr>
            <w:r w:rsidRPr="00687DE8">
              <w:rPr>
                <w:szCs w:val="24"/>
              </w:rPr>
              <w:t>1L2204</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FB8960" w14:textId="21F7947B" w:rsidR="41FBF82F" w:rsidRPr="00687DE8" w:rsidRDefault="00066207">
            <w:pPr>
              <w:spacing w:after="0"/>
              <w:jc w:val="center"/>
              <w:rPr>
                <w:color w:val="000000" w:themeColor="text1"/>
                <w:szCs w:val="24"/>
              </w:rPr>
            </w:pPr>
            <w:r>
              <w:rPr>
                <w:color w:val="000000"/>
              </w:rPr>
              <w:t>966,68</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FA52DC" w14:textId="77777777" w:rsidR="00977138" w:rsidRPr="00687DE8" w:rsidRDefault="00977138" w:rsidP="00977138">
            <w:pPr>
              <w:tabs>
                <w:tab w:val="decimal" w:pos="635"/>
              </w:tabs>
              <w:spacing w:after="0" w:line="240" w:lineRule="auto"/>
              <w:jc w:val="center"/>
              <w:rPr>
                <w:color w:val="000000"/>
                <w:szCs w:val="24"/>
              </w:rPr>
            </w:pPr>
          </w:p>
          <w:p w14:paraId="78497C23" w14:textId="77777777" w:rsidR="00977138" w:rsidRPr="00687DE8" w:rsidRDefault="00977138" w:rsidP="00977138">
            <w:pPr>
              <w:tabs>
                <w:tab w:val="decimal" w:pos="635"/>
              </w:tabs>
              <w:spacing w:after="0" w:line="240" w:lineRule="auto"/>
              <w:jc w:val="center"/>
              <w:rPr>
                <w:color w:val="000000"/>
                <w:szCs w:val="24"/>
              </w:rPr>
            </w:pPr>
          </w:p>
          <w:p w14:paraId="362C5017"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09421E" w14:textId="77777777" w:rsidR="00977138" w:rsidRPr="00687DE8" w:rsidRDefault="00977138" w:rsidP="00977138">
            <w:pPr>
              <w:tabs>
                <w:tab w:val="decimal" w:pos="635"/>
              </w:tabs>
              <w:spacing w:after="0" w:line="240" w:lineRule="auto"/>
              <w:jc w:val="center"/>
              <w:rPr>
                <w:color w:val="000000"/>
                <w:szCs w:val="24"/>
              </w:rPr>
            </w:pPr>
          </w:p>
          <w:p w14:paraId="473A68D7" w14:textId="77777777" w:rsidR="00977138" w:rsidRPr="00687DE8" w:rsidRDefault="00977138" w:rsidP="00977138">
            <w:pPr>
              <w:tabs>
                <w:tab w:val="decimal" w:pos="635"/>
              </w:tabs>
              <w:spacing w:after="0" w:line="240" w:lineRule="auto"/>
              <w:jc w:val="center"/>
              <w:rPr>
                <w:color w:val="000000"/>
                <w:szCs w:val="24"/>
              </w:rPr>
            </w:pPr>
          </w:p>
          <w:p w14:paraId="26D4E82F"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159673D1"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ABED1C" w14:textId="77777777" w:rsidR="00977138" w:rsidRPr="00687DE8" w:rsidRDefault="00977138" w:rsidP="00977138">
            <w:pPr>
              <w:spacing w:after="0" w:line="240" w:lineRule="auto"/>
              <w:rPr>
                <w:iCs/>
                <w:szCs w:val="24"/>
              </w:rPr>
            </w:pPr>
            <w:r w:rsidRPr="00687DE8">
              <w:rPr>
                <w:iCs/>
                <w:szCs w:val="24"/>
              </w:rPr>
              <w:t>Vaagnapõhja rekonstruktsioon transplantaadiga</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B413DA" w14:textId="77777777" w:rsidR="00977138" w:rsidRPr="00687DE8" w:rsidRDefault="00977138" w:rsidP="00977138">
            <w:pPr>
              <w:spacing w:after="0" w:line="240" w:lineRule="auto"/>
              <w:jc w:val="center"/>
              <w:rPr>
                <w:szCs w:val="24"/>
              </w:rPr>
            </w:pPr>
          </w:p>
          <w:p w14:paraId="4A6A7361" w14:textId="77777777" w:rsidR="00977138" w:rsidRPr="00687DE8" w:rsidRDefault="00977138" w:rsidP="00977138">
            <w:pPr>
              <w:spacing w:after="0" w:line="240" w:lineRule="auto"/>
              <w:jc w:val="center"/>
              <w:rPr>
                <w:szCs w:val="24"/>
              </w:rPr>
            </w:pPr>
          </w:p>
          <w:p w14:paraId="70D91A44" w14:textId="77777777" w:rsidR="00977138" w:rsidRPr="00687DE8" w:rsidRDefault="00977138" w:rsidP="00977138">
            <w:pPr>
              <w:spacing w:after="0" w:line="240" w:lineRule="auto"/>
              <w:jc w:val="center"/>
              <w:rPr>
                <w:szCs w:val="24"/>
              </w:rPr>
            </w:pPr>
            <w:r w:rsidRPr="00687DE8">
              <w:rPr>
                <w:szCs w:val="24"/>
              </w:rPr>
              <w:t>1L2122</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9A4B81" w14:textId="3207F0A7" w:rsidR="41FBF82F" w:rsidRPr="00687DE8" w:rsidRDefault="00066207">
            <w:pPr>
              <w:spacing w:after="0"/>
              <w:jc w:val="center"/>
              <w:rPr>
                <w:color w:val="000000" w:themeColor="text1"/>
                <w:szCs w:val="24"/>
              </w:rPr>
            </w:pPr>
            <w:r>
              <w:rPr>
                <w:color w:val="000000"/>
              </w:rPr>
              <w:t>931,02</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4A13B9" w14:textId="77777777" w:rsidR="00977138" w:rsidRPr="00687DE8" w:rsidRDefault="00977138" w:rsidP="00977138">
            <w:pPr>
              <w:tabs>
                <w:tab w:val="decimal" w:pos="635"/>
              </w:tabs>
              <w:spacing w:after="0" w:line="240" w:lineRule="auto"/>
              <w:jc w:val="center"/>
              <w:rPr>
                <w:color w:val="000000"/>
                <w:szCs w:val="24"/>
              </w:rPr>
            </w:pPr>
          </w:p>
          <w:p w14:paraId="19E37315" w14:textId="77777777" w:rsidR="00977138" w:rsidRPr="00687DE8" w:rsidRDefault="00977138" w:rsidP="00977138">
            <w:pPr>
              <w:tabs>
                <w:tab w:val="decimal" w:pos="635"/>
              </w:tabs>
              <w:spacing w:after="0" w:line="240" w:lineRule="auto"/>
              <w:jc w:val="center"/>
              <w:rPr>
                <w:color w:val="000000"/>
                <w:szCs w:val="24"/>
              </w:rPr>
            </w:pPr>
          </w:p>
          <w:p w14:paraId="45C29C0F"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E9C477" w14:textId="77777777" w:rsidR="00977138" w:rsidRPr="00687DE8" w:rsidRDefault="00977138" w:rsidP="00977138">
            <w:pPr>
              <w:tabs>
                <w:tab w:val="decimal" w:pos="635"/>
              </w:tabs>
              <w:spacing w:after="0" w:line="240" w:lineRule="auto"/>
              <w:jc w:val="center"/>
              <w:rPr>
                <w:color w:val="000000"/>
                <w:szCs w:val="24"/>
              </w:rPr>
            </w:pPr>
          </w:p>
          <w:p w14:paraId="0422DAFB" w14:textId="77777777" w:rsidR="00977138" w:rsidRPr="00687DE8" w:rsidRDefault="00977138" w:rsidP="00977138">
            <w:pPr>
              <w:tabs>
                <w:tab w:val="decimal" w:pos="635"/>
              </w:tabs>
              <w:spacing w:after="0" w:line="240" w:lineRule="auto"/>
              <w:jc w:val="center"/>
              <w:rPr>
                <w:color w:val="000000"/>
                <w:szCs w:val="24"/>
              </w:rPr>
            </w:pPr>
          </w:p>
          <w:p w14:paraId="4837892E"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62398CAF"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E5E50E" w14:textId="77777777" w:rsidR="00977138" w:rsidRPr="00687DE8" w:rsidRDefault="00977138" w:rsidP="00977138">
            <w:pPr>
              <w:spacing w:after="0" w:line="240" w:lineRule="auto"/>
              <w:rPr>
                <w:iCs/>
                <w:szCs w:val="24"/>
              </w:rPr>
            </w:pPr>
            <w:r w:rsidRPr="00687DE8">
              <w:rPr>
                <w:iCs/>
                <w:szCs w:val="24"/>
              </w:rPr>
              <w:t>Laparoskoopiliselt assisteeritud kolpopoees</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991128A" w14:textId="77777777" w:rsidR="00977138" w:rsidRPr="00687DE8" w:rsidRDefault="00977138" w:rsidP="00977138">
            <w:pPr>
              <w:spacing w:after="0" w:line="240" w:lineRule="auto"/>
              <w:jc w:val="center"/>
              <w:rPr>
                <w:szCs w:val="24"/>
              </w:rPr>
            </w:pPr>
          </w:p>
          <w:p w14:paraId="2D812AC6" w14:textId="77777777" w:rsidR="00977138" w:rsidRPr="00687DE8" w:rsidRDefault="00977138" w:rsidP="00977138">
            <w:pPr>
              <w:spacing w:after="0" w:line="240" w:lineRule="auto"/>
              <w:jc w:val="center"/>
              <w:rPr>
                <w:szCs w:val="24"/>
              </w:rPr>
            </w:pPr>
            <w:r w:rsidRPr="00687DE8">
              <w:rPr>
                <w:szCs w:val="24"/>
              </w:rPr>
              <w:t>1L2205</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92E225" w14:textId="75A7F275" w:rsidR="41FBF82F" w:rsidRPr="00687DE8" w:rsidRDefault="00066207">
            <w:pPr>
              <w:spacing w:after="0"/>
              <w:jc w:val="center"/>
              <w:rPr>
                <w:color w:val="000000" w:themeColor="text1"/>
                <w:szCs w:val="24"/>
              </w:rPr>
            </w:pPr>
            <w:r>
              <w:rPr>
                <w:color w:val="000000"/>
              </w:rPr>
              <w:t>1 462,56</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426830" w14:textId="77777777" w:rsidR="00977138" w:rsidRPr="00687DE8" w:rsidRDefault="00977138" w:rsidP="00977138">
            <w:pPr>
              <w:tabs>
                <w:tab w:val="decimal" w:pos="635"/>
              </w:tabs>
              <w:spacing w:after="0" w:line="240" w:lineRule="auto"/>
              <w:jc w:val="center"/>
              <w:rPr>
                <w:color w:val="000000"/>
                <w:szCs w:val="24"/>
              </w:rPr>
            </w:pPr>
          </w:p>
          <w:p w14:paraId="4FA3D094"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85A11F" w14:textId="77777777" w:rsidR="00977138" w:rsidRPr="00687DE8" w:rsidRDefault="00977138" w:rsidP="00977138">
            <w:pPr>
              <w:tabs>
                <w:tab w:val="decimal" w:pos="635"/>
              </w:tabs>
              <w:spacing w:after="0" w:line="240" w:lineRule="auto"/>
              <w:jc w:val="center"/>
              <w:rPr>
                <w:color w:val="000000"/>
                <w:szCs w:val="24"/>
              </w:rPr>
            </w:pPr>
          </w:p>
          <w:p w14:paraId="5382F68E"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6341A50B"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D71361" w14:textId="77777777" w:rsidR="00977138" w:rsidRPr="00687DE8" w:rsidRDefault="00977138" w:rsidP="00977138">
            <w:pPr>
              <w:spacing w:after="0" w:line="240" w:lineRule="auto"/>
              <w:rPr>
                <w:iCs/>
                <w:szCs w:val="24"/>
              </w:rPr>
            </w:pPr>
            <w:r w:rsidRPr="00687DE8">
              <w:rPr>
                <w:iCs/>
                <w:szCs w:val="24"/>
              </w:rPr>
              <w:t>Radikaalne hüsterektoomia tüüp B</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0F491A" w14:textId="77777777" w:rsidR="00977138" w:rsidRPr="00687DE8" w:rsidRDefault="00977138" w:rsidP="00977138">
            <w:pPr>
              <w:spacing w:after="0" w:line="240" w:lineRule="auto"/>
              <w:jc w:val="center"/>
              <w:rPr>
                <w:szCs w:val="24"/>
              </w:rPr>
            </w:pPr>
          </w:p>
          <w:p w14:paraId="1774549F" w14:textId="77777777" w:rsidR="00977138" w:rsidRPr="00687DE8" w:rsidRDefault="00977138" w:rsidP="00977138">
            <w:pPr>
              <w:spacing w:after="0" w:line="240" w:lineRule="auto"/>
              <w:jc w:val="center"/>
              <w:rPr>
                <w:szCs w:val="24"/>
              </w:rPr>
            </w:pPr>
            <w:r w:rsidRPr="00687DE8">
              <w:rPr>
                <w:szCs w:val="24"/>
              </w:rPr>
              <w:t>1L2123</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0B9653" w14:textId="470D70C2" w:rsidR="41FBF82F" w:rsidRPr="00687DE8" w:rsidRDefault="00066207">
            <w:pPr>
              <w:spacing w:after="0"/>
              <w:jc w:val="center"/>
              <w:rPr>
                <w:color w:val="000000" w:themeColor="text1"/>
                <w:szCs w:val="24"/>
              </w:rPr>
            </w:pPr>
            <w:r>
              <w:rPr>
                <w:color w:val="000000"/>
              </w:rPr>
              <w:t>1 556,15</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F53B5A" w14:textId="77777777" w:rsidR="00977138" w:rsidRPr="00687DE8" w:rsidRDefault="00977138" w:rsidP="00977138">
            <w:pPr>
              <w:tabs>
                <w:tab w:val="decimal" w:pos="635"/>
              </w:tabs>
              <w:spacing w:after="0" w:line="240" w:lineRule="auto"/>
              <w:jc w:val="center"/>
              <w:rPr>
                <w:color w:val="000000"/>
                <w:szCs w:val="24"/>
              </w:rPr>
            </w:pPr>
          </w:p>
          <w:p w14:paraId="23F2E53B"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50D3BD" w14:textId="77777777" w:rsidR="00977138" w:rsidRPr="00687DE8" w:rsidRDefault="00977138" w:rsidP="00977138">
            <w:pPr>
              <w:tabs>
                <w:tab w:val="decimal" w:pos="635"/>
              </w:tabs>
              <w:spacing w:after="0" w:line="240" w:lineRule="auto"/>
              <w:jc w:val="center"/>
              <w:rPr>
                <w:color w:val="000000"/>
                <w:szCs w:val="24"/>
              </w:rPr>
            </w:pPr>
          </w:p>
          <w:p w14:paraId="0FD7C232"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752EDA52"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658FA1" w14:textId="77777777" w:rsidR="00977138" w:rsidRPr="00687DE8" w:rsidRDefault="00977138" w:rsidP="00977138">
            <w:pPr>
              <w:spacing w:after="0" w:line="240" w:lineRule="auto"/>
              <w:rPr>
                <w:iCs/>
                <w:szCs w:val="24"/>
              </w:rPr>
            </w:pPr>
            <w:r w:rsidRPr="00687DE8">
              <w:rPr>
                <w:iCs/>
                <w:szCs w:val="24"/>
              </w:rPr>
              <w:lastRenderedPageBreak/>
              <w:t>Radikaalne laparoskoopiline hüsterektoomia tüüp B</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43FE43" w14:textId="77777777" w:rsidR="00977138" w:rsidRPr="00687DE8" w:rsidRDefault="00977138" w:rsidP="00977138">
            <w:pPr>
              <w:spacing w:after="0" w:line="240" w:lineRule="auto"/>
              <w:jc w:val="center"/>
              <w:rPr>
                <w:szCs w:val="24"/>
              </w:rPr>
            </w:pPr>
          </w:p>
          <w:p w14:paraId="1A7E23F6" w14:textId="77777777" w:rsidR="00977138" w:rsidRPr="00687DE8" w:rsidRDefault="00977138" w:rsidP="00977138">
            <w:pPr>
              <w:spacing w:after="0" w:line="240" w:lineRule="auto"/>
              <w:jc w:val="center"/>
              <w:rPr>
                <w:szCs w:val="24"/>
              </w:rPr>
            </w:pPr>
            <w:r w:rsidRPr="00687DE8">
              <w:rPr>
                <w:szCs w:val="24"/>
              </w:rPr>
              <w:t>1L2214</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95FF42" w14:textId="69AB9EDC" w:rsidR="41FBF82F" w:rsidRPr="00687DE8" w:rsidRDefault="00066207">
            <w:pPr>
              <w:spacing w:after="0"/>
              <w:jc w:val="center"/>
              <w:rPr>
                <w:color w:val="000000" w:themeColor="text1"/>
                <w:szCs w:val="24"/>
              </w:rPr>
            </w:pPr>
            <w:r>
              <w:rPr>
                <w:color w:val="000000"/>
              </w:rPr>
              <w:t>1 865,05</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854C10" w14:textId="77777777" w:rsidR="00977138" w:rsidRPr="00687DE8" w:rsidRDefault="00977138" w:rsidP="00977138">
            <w:pPr>
              <w:tabs>
                <w:tab w:val="decimal" w:pos="635"/>
              </w:tabs>
              <w:spacing w:after="0" w:line="240" w:lineRule="auto"/>
              <w:jc w:val="center"/>
              <w:rPr>
                <w:color w:val="000000"/>
                <w:szCs w:val="24"/>
              </w:rPr>
            </w:pPr>
          </w:p>
          <w:p w14:paraId="45C3FDD2"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ED2C5F" w14:textId="77777777" w:rsidR="00977138" w:rsidRPr="00687DE8" w:rsidRDefault="00977138" w:rsidP="00977138">
            <w:pPr>
              <w:tabs>
                <w:tab w:val="decimal" w:pos="635"/>
              </w:tabs>
              <w:spacing w:after="0" w:line="240" w:lineRule="auto"/>
              <w:jc w:val="center"/>
              <w:rPr>
                <w:color w:val="000000"/>
                <w:szCs w:val="24"/>
              </w:rPr>
            </w:pPr>
          </w:p>
          <w:p w14:paraId="47CBEC23"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284AA128"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7A734D" w14:textId="77777777" w:rsidR="00977138" w:rsidRPr="00687DE8" w:rsidRDefault="00977138" w:rsidP="00977138">
            <w:pPr>
              <w:spacing w:after="0" w:line="240" w:lineRule="auto"/>
              <w:rPr>
                <w:iCs/>
                <w:szCs w:val="24"/>
              </w:rPr>
            </w:pPr>
            <w:r w:rsidRPr="00687DE8">
              <w:rPr>
                <w:iCs/>
                <w:szCs w:val="24"/>
              </w:rPr>
              <w:t>Vaginaalne hüsterektoomia</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A62005" w14:textId="77777777" w:rsidR="00977138" w:rsidRPr="00687DE8" w:rsidRDefault="00977138" w:rsidP="00977138">
            <w:pPr>
              <w:spacing w:after="0" w:line="240" w:lineRule="auto"/>
              <w:jc w:val="center"/>
              <w:rPr>
                <w:szCs w:val="24"/>
              </w:rPr>
            </w:pPr>
            <w:r w:rsidRPr="00687DE8">
              <w:rPr>
                <w:szCs w:val="24"/>
              </w:rPr>
              <w:t>1L2124</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E1EDBE" w14:textId="77FA5CB3" w:rsidR="41FBF82F" w:rsidRPr="00687DE8" w:rsidRDefault="00066207">
            <w:pPr>
              <w:spacing w:after="0"/>
              <w:jc w:val="center"/>
              <w:rPr>
                <w:color w:val="000000" w:themeColor="text1"/>
                <w:szCs w:val="24"/>
              </w:rPr>
            </w:pPr>
            <w:r>
              <w:rPr>
                <w:color w:val="000000"/>
              </w:rPr>
              <w:t>1 021,30</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7C2A15"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673435"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5856DB22"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155572" w14:textId="77777777" w:rsidR="00977138" w:rsidRPr="00687DE8" w:rsidRDefault="00977138" w:rsidP="00977138">
            <w:pPr>
              <w:spacing w:after="0" w:line="240" w:lineRule="auto"/>
              <w:rPr>
                <w:iCs/>
                <w:szCs w:val="24"/>
              </w:rPr>
            </w:pPr>
            <w:r w:rsidRPr="00687DE8">
              <w:rPr>
                <w:iCs/>
                <w:szCs w:val="24"/>
              </w:rPr>
              <w:t>Laparoskoopiline munajuhade taastav operatsioon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7BCF0F" w14:textId="77777777" w:rsidR="00977138" w:rsidRPr="00687DE8" w:rsidRDefault="00977138" w:rsidP="00977138">
            <w:pPr>
              <w:spacing w:after="0" w:line="240" w:lineRule="auto"/>
              <w:jc w:val="center"/>
              <w:rPr>
                <w:szCs w:val="24"/>
              </w:rPr>
            </w:pPr>
          </w:p>
          <w:p w14:paraId="03C3215C" w14:textId="77777777" w:rsidR="00977138" w:rsidRPr="00687DE8" w:rsidRDefault="00977138" w:rsidP="00977138">
            <w:pPr>
              <w:spacing w:after="0" w:line="240" w:lineRule="auto"/>
              <w:jc w:val="center"/>
              <w:rPr>
                <w:szCs w:val="24"/>
              </w:rPr>
            </w:pPr>
            <w:r w:rsidRPr="00687DE8">
              <w:rPr>
                <w:szCs w:val="24"/>
              </w:rPr>
              <w:t>1L2206</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4417FD" w14:textId="5AC325C1" w:rsidR="41FBF82F" w:rsidRPr="00687DE8" w:rsidRDefault="00066207">
            <w:pPr>
              <w:spacing w:after="0"/>
              <w:jc w:val="center"/>
              <w:rPr>
                <w:color w:val="000000" w:themeColor="text1"/>
                <w:szCs w:val="24"/>
              </w:rPr>
            </w:pPr>
            <w:r>
              <w:rPr>
                <w:color w:val="000000"/>
              </w:rPr>
              <w:t>1 061,74</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1911A1" w14:textId="77777777" w:rsidR="00977138" w:rsidRPr="00687DE8" w:rsidRDefault="00977138" w:rsidP="00977138">
            <w:pPr>
              <w:tabs>
                <w:tab w:val="decimal" w:pos="635"/>
              </w:tabs>
              <w:spacing w:after="0" w:line="240" w:lineRule="auto"/>
              <w:jc w:val="center"/>
              <w:rPr>
                <w:color w:val="000000"/>
                <w:szCs w:val="24"/>
              </w:rPr>
            </w:pPr>
          </w:p>
          <w:p w14:paraId="73C604DC"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B54EAF" w14:textId="77777777" w:rsidR="00977138" w:rsidRPr="00687DE8" w:rsidRDefault="00977138" w:rsidP="00977138">
            <w:pPr>
              <w:tabs>
                <w:tab w:val="decimal" w:pos="635"/>
              </w:tabs>
              <w:spacing w:after="0" w:line="240" w:lineRule="auto"/>
              <w:jc w:val="center"/>
              <w:rPr>
                <w:color w:val="000000"/>
                <w:szCs w:val="24"/>
              </w:rPr>
            </w:pPr>
          </w:p>
          <w:p w14:paraId="5C984333"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10411717"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219EDD" w14:textId="77777777" w:rsidR="00977138" w:rsidRPr="00687DE8" w:rsidRDefault="00977138" w:rsidP="00977138">
            <w:pPr>
              <w:spacing w:after="0" w:line="240" w:lineRule="auto"/>
              <w:rPr>
                <w:iCs/>
                <w:szCs w:val="24"/>
              </w:rPr>
            </w:pPr>
            <w:r w:rsidRPr="00687DE8">
              <w:rPr>
                <w:iCs/>
                <w:szCs w:val="24"/>
              </w:rPr>
              <w:t>Emaka laparoskoopilised operatsioonid</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D85342" w14:textId="77777777" w:rsidR="00977138" w:rsidRPr="00687DE8" w:rsidRDefault="00977138" w:rsidP="00977138">
            <w:pPr>
              <w:spacing w:after="0" w:line="240" w:lineRule="auto"/>
              <w:jc w:val="center"/>
              <w:rPr>
                <w:szCs w:val="24"/>
              </w:rPr>
            </w:pPr>
          </w:p>
          <w:p w14:paraId="28FEF60D" w14:textId="77777777" w:rsidR="00977138" w:rsidRPr="00687DE8" w:rsidRDefault="00977138" w:rsidP="00977138">
            <w:pPr>
              <w:spacing w:after="0" w:line="240" w:lineRule="auto"/>
              <w:jc w:val="center"/>
              <w:rPr>
                <w:szCs w:val="24"/>
              </w:rPr>
            </w:pPr>
            <w:r w:rsidRPr="00687DE8">
              <w:rPr>
                <w:szCs w:val="24"/>
              </w:rPr>
              <w:t>1L2207</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5D318E4" w14:textId="0B8C3828" w:rsidR="015352CC" w:rsidRPr="00687DE8" w:rsidRDefault="00066207">
            <w:pPr>
              <w:spacing w:after="0"/>
              <w:jc w:val="center"/>
              <w:rPr>
                <w:color w:val="000000" w:themeColor="text1"/>
                <w:szCs w:val="24"/>
              </w:rPr>
            </w:pPr>
            <w:r>
              <w:rPr>
                <w:color w:val="000000"/>
              </w:rPr>
              <w:t>1 334,50</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1984B3" w14:textId="77777777" w:rsidR="00977138" w:rsidRPr="00687DE8" w:rsidRDefault="00977138" w:rsidP="00977138">
            <w:pPr>
              <w:tabs>
                <w:tab w:val="decimal" w:pos="635"/>
              </w:tabs>
              <w:spacing w:after="0" w:line="240" w:lineRule="auto"/>
              <w:jc w:val="center"/>
              <w:rPr>
                <w:color w:val="000000"/>
                <w:szCs w:val="24"/>
              </w:rPr>
            </w:pPr>
          </w:p>
          <w:p w14:paraId="0F047436"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EB0366" w14:textId="77777777" w:rsidR="00977138" w:rsidRPr="00687DE8" w:rsidRDefault="00977138" w:rsidP="00977138">
            <w:pPr>
              <w:tabs>
                <w:tab w:val="decimal" w:pos="635"/>
              </w:tabs>
              <w:spacing w:after="0" w:line="240" w:lineRule="auto"/>
              <w:jc w:val="center"/>
              <w:rPr>
                <w:color w:val="000000"/>
                <w:szCs w:val="24"/>
              </w:rPr>
            </w:pPr>
          </w:p>
          <w:p w14:paraId="2AEE3A58"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17797ECD"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1F8E05" w14:textId="77777777" w:rsidR="00977138" w:rsidRPr="00687DE8" w:rsidRDefault="00977138" w:rsidP="00977138">
            <w:pPr>
              <w:spacing w:after="0" w:line="240" w:lineRule="auto"/>
              <w:rPr>
                <w:iCs/>
                <w:szCs w:val="24"/>
              </w:rPr>
            </w:pPr>
            <w:r w:rsidRPr="00687DE8">
              <w:rPr>
                <w:iCs/>
                <w:szCs w:val="24"/>
              </w:rPr>
              <w:t>Laparoskoopiline hüsterektoomia</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98264A" w14:textId="77777777" w:rsidR="00977138" w:rsidRPr="00687DE8" w:rsidRDefault="00977138" w:rsidP="00977138">
            <w:pPr>
              <w:spacing w:after="0" w:line="240" w:lineRule="auto"/>
              <w:jc w:val="center"/>
              <w:rPr>
                <w:szCs w:val="24"/>
              </w:rPr>
            </w:pPr>
          </w:p>
          <w:p w14:paraId="5501C1DE" w14:textId="77777777" w:rsidR="00977138" w:rsidRPr="00687DE8" w:rsidRDefault="00977138" w:rsidP="00977138">
            <w:pPr>
              <w:spacing w:after="0" w:line="240" w:lineRule="auto"/>
              <w:jc w:val="center"/>
              <w:rPr>
                <w:szCs w:val="24"/>
              </w:rPr>
            </w:pPr>
            <w:r w:rsidRPr="00687DE8">
              <w:rPr>
                <w:szCs w:val="24"/>
              </w:rPr>
              <w:t>1L2208</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59B8074" w14:textId="1D52FE3F" w:rsidR="015352CC" w:rsidRPr="00687DE8" w:rsidRDefault="00066207">
            <w:pPr>
              <w:spacing w:after="0"/>
              <w:jc w:val="center"/>
              <w:rPr>
                <w:color w:val="000000" w:themeColor="text1"/>
                <w:szCs w:val="24"/>
              </w:rPr>
            </w:pPr>
            <w:r>
              <w:rPr>
                <w:color w:val="000000"/>
              </w:rPr>
              <w:t>1 300,95</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964089" w14:textId="77777777" w:rsidR="00977138" w:rsidRPr="00687DE8" w:rsidRDefault="00977138" w:rsidP="00977138">
            <w:pPr>
              <w:tabs>
                <w:tab w:val="decimal" w:pos="635"/>
              </w:tabs>
              <w:spacing w:after="0" w:line="240" w:lineRule="auto"/>
              <w:jc w:val="center"/>
              <w:rPr>
                <w:color w:val="000000"/>
                <w:szCs w:val="24"/>
              </w:rPr>
            </w:pPr>
          </w:p>
          <w:p w14:paraId="4536A5BB"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80C83B" w14:textId="77777777" w:rsidR="00977138" w:rsidRPr="00687DE8" w:rsidRDefault="00977138" w:rsidP="00977138">
            <w:pPr>
              <w:tabs>
                <w:tab w:val="decimal" w:pos="635"/>
              </w:tabs>
              <w:spacing w:after="0" w:line="240" w:lineRule="auto"/>
              <w:jc w:val="center"/>
              <w:rPr>
                <w:color w:val="000000"/>
                <w:szCs w:val="24"/>
              </w:rPr>
            </w:pPr>
          </w:p>
          <w:p w14:paraId="538E5C58"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5288A5D1"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02485B" w14:textId="77777777" w:rsidR="00977138" w:rsidRPr="00687DE8" w:rsidRDefault="00977138" w:rsidP="00977138">
            <w:pPr>
              <w:spacing w:after="0" w:line="240" w:lineRule="auto"/>
              <w:rPr>
                <w:iCs/>
                <w:szCs w:val="24"/>
              </w:rPr>
            </w:pPr>
            <w:r w:rsidRPr="00687DE8">
              <w:rPr>
                <w:iCs/>
                <w:szCs w:val="24"/>
              </w:rPr>
              <w:t>Laparoskoopiline assisteeritud vaginaalne hüsterektoomia (LAVH)</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9E8249" w14:textId="77777777" w:rsidR="00977138" w:rsidRPr="00687DE8" w:rsidRDefault="00977138" w:rsidP="00977138">
            <w:pPr>
              <w:spacing w:after="0" w:line="240" w:lineRule="auto"/>
              <w:jc w:val="center"/>
              <w:rPr>
                <w:szCs w:val="24"/>
              </w:rPr>
            </w:pPr>
          </w:p>
          <w:p w14:paraId="08F8D8FB" w14:textId="77777777" w:rsidR="00977138" w:rsidRPr="00687DE8" w:rsidRDefault="00977138" w:rsidP="00977138">
            <w:pPr>
              <w:spacing w:after="0" w:line="240" w:lineRule="auto"/>
              <w:jc w:val="center"/>
              <w:rPr>
                <w:szCs w:val="24"/>
              </w:rPr>
            </w:pPr>
          </w:p>
          <w:p w14:paraId="4DA8B9F9" w14:textId="77777777" w:rsidR="00977138" w:rsidRPr="00687DE8" w:rsidRDefault="00977138" w:rsidP="00977138">
            <w:pPr>
              <w:spacing w:after="0" w:line="240" w:lineRule="auto"/>
              <w:jc w:val="center"/>
              <w:rPr>
                <w:szCs w:val="24"/>
              </w:rPr>
            </w:pPr>
            <w:r w:rsidRPr="00687DE8">
              <w:rPr>
                <w:szCs w:val="24"/>
              </w:rPr>
              <w:t>1L2209</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44BAC0D" w14:textId="13F074B5" w:rsidR="015352CC" w:rsidRPr="00687DE8" w:rsidRDefault="00066207">
            <w:pPr>
              <w:spacing w:after="0"/>
              <w:jc w:val="center"/>
              <w:rPr>
                <w:color w:val="000000" w:themeColor="text1"/>
                <w:szCs w:val="24"/>
              </w:rPr>
            </w:pPr>
            <w:r>
              <w:rPr>
                <w:color w:val="000000"/>
              </w:rPr>
              <w:t>1 602,52</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ACCC00" w14:textId="77777777" w:rsidR="00977138" w:rsidRPr="00687DE8" w:rsidRDefault="00977138" w:rsidP="00977138">
            <w:pPr>
              <w:tabs>
                <w:tab w:val="decimal" w:pos="635"/>
              </w:tabs>
              <w:spacing w:after="0" w:line="240" w:lineRule="auto"/>
              <w:jc w:val="center"/>
              <w:rPr>
                <w:color w:val="000000"/>
                <w:szCs w:val="24"/>
              </w:rPr>
            </w:pPr>
          </w:p>
          <w:p w14:paraId="001AC72A" w14:textId="77777777" w:rsidR="00977138" w:rsidRPr="00687DE8" w:rsidRDefault="00977138" w:rsidP="00977138">
            <w:pPr>
              <w:tabs>
                <w:tab w:val="decimal" w:pos="635"/>
              </w:tabs>
              <w:spacing w:after="0" w:line="240" w:lineRule="auto"/>
              <w:jc w:val="center"/>
              <w:rPr>
                <w:color w:val="000000"/>
                <w:szCs w:val="24"/>
              </w:rPr>
            </w:pPr>
          </w:p>
          <w:p w14:paraId="1E573B5A"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8CA74D" w14:textId="77777777" w:rsidR="00977138" w:rsidRPr="00687DE8" w:rsidRDefault="00977138" w:rsidP="00977138">
            <w:pPr>
              <w:tabs>
                <w:tab w:val="decimal" w:pos="635"/>
              </w:tabs>
              <w:spacing w:after="0" w:line="240" w:lineRule="auto"/>
              <w:jc w:val="center"/>
              <w:rPr>
                <w:color w:val="000000"/>
                <w:szCs w:val="24"/>
              </w:rPr>
            </w:pPr>
          </w:p>
          <w:p w14:paraId="15FAFA82" w14:textId="77777777" w:rsidR="00977138" w:rsidRPr="00687DE8" w:rsidRDefault="00977138" w:rsidP="00977138">
            <w:pPr>
              <w:tabs>
                <w:tab w:val="decimal" w:pos="635"/>
              </w:tabs>
              <w:spacing w:after="0" w:line="240" w:lineRule="auto"/>
              <w:jc w:val="center"/>
              <w:rPr>
                <w:color w:val="000000"/>
                <w:szCs w:val="24"/>
              </w:rPr>
            </w:pPr>
          </w:p>
          <w:p w14:paraId="58691648"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7F4FE2A2"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4E1EB6" w14:textId="77777777" w:rsidR="00977138" w:rsidRPr="00687DE8" w:rsidRDefault="00977138" w:rsidP="00977138">
            <w:pPr>
              <w:spacing w:after="0" w:line="240" w:lineRule="auto"/>
              <w:rPr>
                <w:iCs/>
                <w:szCs w:val="24"/>
              </w:rPr>
            </w:pPr>
            <w:r w:rsidRPr="00687DE8">
              <w:rPr>
                <w:iCs/>
                <w:szCs w:val="24"/>
              </w:rPr>
              <w:t>Laparoskoopiline radikaalne hüsterektoomia tüüp C</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2FD1983" w14:textId="77777777" w:rsidR="00977138" w:rsidRPr="00687DE8" w:rsidRDefault="00977138" w:rsidP="00977138">
            <w:pPr>
              <w:spacing w:after="0" w:line="240" w:lineRule="auto"/>
              <w:jc w:val="center"/>
              <w:rPr>
                <w:szCs w:val="24"/>
              </w:rPr>
            </w:pPr>
          </w:p>
          <w:p w14:paraId="52C897EC" w14:textId="77777777" w:rsidR="00977138" w:rsidRPr="00687DE8" w:rsidRDefault="00977138" w:rsidP="00977138">
            <w:pPr>
              <w:spacing w:after="0" w:line="240" w:lineRule="auto"/>
              <w:jc w:val="center"/>
              <w:rPr>
                <w:szCs w:val="24"/>
              </w:rPr>
            </w:pPr>
            <w:r w:rsidRPr="00687DE8">
              <w:rPr>
                <w:szCs w:val="24"/>
              </w:rPr>
              <w:t>1L2210</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AB273D7" w14:textId="0AB9F19D" w:rsidR="015352CC" w:rsidRPr="00687DE8" w:rsidRDefault="00066207">
            <w:pPr>
              <w:spacing w:after="0"/>
              <w:jc w:val="center"/>
              <w:rPr>
                <w:color w:val="000000" w:themeColor="text1"/>
                <w:szCs w:val="24"/>
              </w:rPr>
            </w:pPr>
            <w:r>
              <w:rPr>
                <w:color w:val="000000"/>
              </w:rPr>
              <w:t>2 288,90</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82864E" w14:textId="77777777" w:rsidR="00977138" w:rsidRPr="00687DE8" w:rsidRDefault="00977138" w:rsidP="00977138">
            <w:pPr>
              <w:tabs>
                <w:tab w:val="decimal" w:pos="635"/>
              </w:tabs>
              <w:spacing w:after="0" w:line="240" w:lineRule="auto"/>
              <w:jc w:val="center"/>
              <w:rPr>
                <w:color w:val="000000"/>
                <w:szCs w:val="24"/>
              </w:rPr>
            </w:pPr>
          </w:p>
          <w:p w14:paraId="2167521A"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C57B47" w14:textId="77777777" w:rsidR="00977138" w:rsidRPr="00687DE8" w:rsidRDefault="00977138" w:rsidP="00977138">
            <w:pPr>
              <w:tabs>
                <w:tab w:val="decimal" w:pos="635"/>
              </w:tabs>
              <w:spacing w:after="0" w:line="240" w:lineRule="auto"/>
              <w:jc w:val="center"/>
              <w:rPr>
                <w:color w:val="000000"/>
                <w:szCs w:val="24"/>
              </w:rPr>
            </w:pPr>
          </w:p>
          <w:p w14:paraId="1A16FF61"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19E27664"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B65C1C" w14:textId="77777777" w:rsidR="00977138" w:rsidRPr="00687DE8" w:rsidRDefault="00977138" w:rsidP="00977138">
            <w:pPr>
              <w:spacing w:after="0" w:line="240" w:lineRule="auto"/>
              <w:rPr>
                <w:iCs/>
                <w:szCs w:val="24"/>
              </w:rPr>
            </w:pPr>
            <w:r w:rsidRPr="00687DE8">
              <w:rPr>
                <w:iCs/>
                <w:szCs w:val="24"/>
              </w:rPr>
              <w:t>Radikaalne hüsterektoomia tüüp C</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F8705F" w14:textId="77777777" w:rsidR="00977138" w:rsidRPr="00687DE8" w:rsidRDefault="00977138" w:rsidP="00977138">
            <w:pPr>
              <w:spacing w:after="0" w:line="240" w:lineRule="auto"/>
              <w:jc w:val="center"/>
              <w:rPr>
                <w:szCs w:val="24"/>
              </w:rPr>
            </w:pPr>
          </w:p>
          <w:p w14:paraId="31FBA9F4" w14:textId="77777777" w:rsidR="00977138" w:rsidRPr="00687DE8" w:rsidRDefault="00977138" w:rsidP="00977138">
            <w:pPr>
              <w:spacing w:after="0" w:line="240" w:lineRule="auto"/>
              <w:jc w:val="center"/>
              <w:rPr>
                <w:szCs w:val="24"/>
              </w:rPr>
            </w:pPr>
            <w:r w:rsidRPr="00687DE8">
              <w:rPr>
                <w:szCs w:val="24"/>
              </w:rPr>
              <w:t>1L2125</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A76A865" w14:textId="1A76CDCF" w:rsidR="015352CC" w:rsidRPr="00687DE8" w:rsidRDefault="00066207">
            <w:pPr>
              <w:spacing w:after="0"/>
              <w:jc w:val="center"/>
              <w:rPr>
                <w:color w:val="000000" w:themeColor="text1"/>
                <w:szCs w:val="24"/>
              </w:rPr>
            </w:pPr>
            <w:r>
              <w:rPr>
                <w:color w:val="000000"/>
              </w:rPr>
              <w:t>1 967,08</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DAF6F9" w14:textId="77777777" w:rsidR="00977138" w:rsidRPr="00687DE8" w:rsidRDefault="00977138" w:rsidP="00977138">
            <w:pPr>
              <w:tabs>
                <w:tab w:val="decimal" w:pos="635"/>
              </w:tabs>
              <w:spacing w:after="0" w:line="240" w:lineRule="auto"/>
              <w:jc w:val="center"/>
              <w:rPr>
                <w:color w:val="000000"/>
                <w:szCs w:val="24"/>
              </w:rPr>
            </w:pPr>
          </w:p>
          <w:p w14:paraId="5541AE82"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D09B66" w14:textId="77777777" w:rsidR="00977138" w:rsidRPr="00687DE8" w:rsidRDefault="00977138" w:rsidP="00977138">
            <w:pPr>
              <w:tabs>
                <w:tab w:val="decimal" w:pos="635"/>
              </w:tabs>
              <w:spacing w:after="0" w:line="240" w:lineRule="auto"/>
              <w:jc w:val="center"/>
              <w:rPr>
                <w:color w:val="000000"/>
                <w:szCs w:val="24"/>
              </w:rPr>
            </w:pPr>
          </w:p>
          <w:p w14:paraId="04E680A9"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1ABFDEFA"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E48723" w14:textId="77777777" w:rsidR="00977138" w:rsidRPr="00687DE8" w:rsidRDefault="00977138" w:rsidP="00977138">
            <w:pPr>
              <w:spacing w:after="0" w:line="240" w:lineRule="auto"/>
              <w:rPr>
                <w:iCs/>
                <w:szCs w:val="24"/>
              </w:rPr>
            </w:pPr>
            <w:r w:rsidRPr="00687DE8">
              <w:rPr>
                <w:iCs/>
                <w:szCs w:val="24"/>
              </w:rPr>
              <w:t>Radikaalne laparoskoopiline trahhelektoomia</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211505" w14:textId="77777777" w:rsidR="00977138" w:rsidRPr="00687DE8" w:rsidRDefault="00977138" w:rsidP="00977138">
            <w:pPr>
              <w:spacing w:after="0" w:line="240" w:lineRule="auto"/>
              <w:jc w:val="center"/>
              <w:rPr>
                <w:szCs w:val="24"/>
              </w:rPr>
            </w:pPr>
          </w:p>
          <w:p w14:paraId="1930295A" w14:textId="77777777" w:rsidR="00977138" w:rsidRPr="00687DE8" w:rsidRDefault="00977138" w:rsidP="00977138">
            <w:pPr>
              <w:spacing w:after="0" w:line="240" w:lineRule="auto"/>
              <w:jc w:val="center"/>
              <w:rPr>
                <w:szCs w:val="24"/>
              </w:rPr>
            </w:pPr>
            <w:r w:rsidRPr="00687DE8">
              <w:rPr>
                <w:szCs w:val="24"/>
              </w:rPr>
              <w:t>1L2211</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A3A2677" w14:textId="5AC23366" w:rsidR="015352CC" w:rsidRPr="00687DE8" w:rsidRDefault="00066207">
            <w:pPr>
              <w:spacing w:after="0"/>
              <w:jc w:val="center"/>
              <w:rPr>
                <w:color w:val="000000" w:themeColor="text1"/>
                <w:szCs w:val="24"/>
              </w:rPr>
            </w:pPr>
            <w:r>
              <w:rPr>
                <w:color w:val="000000"/>
              </w:rPr>
              <w:t>2 075,43</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CF1609" w14:textId="77777777" w:rsidR="00977138" w:rsidRPr="00687DE8" w:rsidRDefault="00977138" w:rsidP="00977138">
            <w:pPr>
              <w:tabs>
                <w:tab w:val="decimal" w:pos="635"/>
              </w:tabs>
              <w:spacing w:after="0" w:line="240" w:lineRule="auto"/>
              <w:jc w:val="center"/>
              <w:rPr>
                <w:color w:val="000000"/>
                <w:szCs w:val="24"/>
              </w:rPr>
            </w:pPr>
          </w:p>
          <w:p w14:paraId="408D420B"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2B739F" w14:textId="77777777" w:rsidR="00977138" w:rsidRPr="00687DE8" w:rsidRDefault="00977138" w:rsidP="00977138">
            <w:pPr>
              <w:tabs>
                <w:tab w:val="decimal" w:pos="635"/>
              </w:tabs>
              <w:spacing w:after="0" w:line="240" w:lineRule="auto"/>
              <w:jc w:val="center"/>
              <w:rPr>
                <w:color w:val="000000"/>
                <w:szCs w:val="24"/>
              </w:rPr>
            </w:pPr>
          </w:p>
          <w:p w14:paraId="4BFF4326"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5D7672CA"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D9CBF3" w14:textId="77777777" w:rsidR="00977138" w:rsidRPr="00687DE8" w:rsidRDefault="00977138" w:rsidP="00977138">
            <w:pPr>
              <w:spacing w:after="0" w:line="240" w:lineRule="auto"/>
              <w:rPr>
                <w:iCs/>
                <w:szCs w:val="24"/>
              </w:rPr>
            </w:pPr>
            <w:r w:rsidRPr="00687DE8">
              <w:rPr>
                <w:iCs/>
                <w:szCs w:val="24"/>
              </w:rPr>
              <w:t>Radikaalne trahhelektoomia</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720CC8" w14:textId="77777777" w:rsidR="00977138" w:rsidRPr="00687DE8" w:rsidRDefault="00977138" w:rsidP="00977138">
            <w:pPr>
              <w:spacing w:after="0" w:line="240" w:lineRule="auto"/>
              <w:jc w:val="center"/>
              <w:rPr>
                <w:szCs w:val="24"/>
              </w:rPr>
            </w:pPr>
            <w:r w:rsidRPr="00687DE8">
              <w:rPr>
                <w:szCs w:val="24"/>
              </w:rPr>
              <w:t>1L2126</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15DD7E" w14:textId="673AA88B" w:rsidR="015352CC" w:rsidRPr="00687DE8" w:rsidRDefault="00066207">
            <w:pPr>
              <w:spacing w:after="0"/>
              <w:jc w:val="center"/>
              <w:rPr>
                <w:color w:val="000000" w:themeColor="text1"/>
                <w:szCs w:val="24"/>
              </w:rPr>
            </w:pPr>
            <w:r>
              <w:rPr>
                <w:color w:val="000000"/>
              </w:rPr>
              <w:t>1 618,35</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838154"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052558"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600BE602"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1E96B6" w14:textId="77777777" w:rsidR="00977138" w:rsidRPr="00687DE8" w:rsidRDefault="00977138" w:rsidP="00977138">
            <w:pPr>
              <w:spacing w:after="0" w:line="240" w:lineRule="auto"/>
              <w:rPr>
                <w:iCs/>
                <w:szCs w:val="24"/>
              </w:rPr>
            </w:pPr>
            <w:r w:rsidRPr="00687DE8">
              <w:rPr>
                <w:iCs/>
                <w:szCs w:val="24"/>
              </w:rPr>
              <w:t>Emakakaela ekstirpatsioon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888A1A" w14:textId="77777777" w:rsidR="00977138" w:rsidRPr="00687DE8" w:rsidRDefault="00977138" w:rsidP="00977138">
            <w:pPr>
              <w:spacing w:after="0" w:line="240" w:lineRule="auto"/>
              <w:jc w:val="center"/>
              <w:rPr>
                <w:szCs w:val="24"/>
              </w:rPr>
            </w:pPr>
            <w:r w:rsidRPr="00687DE8">
              <w:rPr>
                <w:szCs w:val="24"/>
              </w:rPr>
              <w:t>1L2127</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4586D2" w14:textId="5060CA31" w:rsidR="015352CC" w:rsidRPr="00687DE8" w:rsidRDefault="00066207">
            <w:pPr>
              <w:spacing w:after="0"/>
              <w:jc w:val="center"/>
              <w:rPr>
                <w:color w:val="000000" w:themeColor="text1"/>
                <w:szCs w:val="24"/>
              </w:rPr>
            </w:pPr>
            <w:r>
              <w:rPr>
                <w:color w:val="000000"/>
              </w:rPr>
              <w:t>1 368,36</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9DD635"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2FB3A7"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5E4D95A5"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83BA7C" w14:textId="77777777" w:rsidR="00977138" w:rsidRPr="00687DE8" w:rsidRDefault="00977138" w:rsidP="00977138">
            <w:pPr>
              <w:spacing w:after="0" w:line="240" w:lineRule="auto"/>
              <w:rPr>
                <w:iCs/>
                <w:szCs w:val="24"/>
              </w:rPr>
            </w:pPr>
            <w:r w:rsidRPr="00687DE8">
              <w:rPr>
                <w:iCs/>
                <w:szCs w:val="24"/>
              </w:rPr>
              <w:t>Emakakaela laparoskoopiline ekstirpatsioon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960622" w14:textId="77777777" w:rsidR="00977138" w:rsidRPr="00687DE8" w:rsidRDefault="00977138" w:rsidP="00977138">
            <w:pPr>
              <w:spacing w:after="0" w:line="240" w:lineRule="auto"/>
              <w:jc w:val="center"/>
              <w:rPr>
                <w:szCs w:val="24"/>
              </w:rPr>
            </w:pPr>
          </w:p>
          <w:p w14:paraId="29760D16" w14:textId="77777777" w:rsidR="00977138" w:rsidRPr="00687DE8" w:rsidRDefault="00977138" w:rsidP="00977138">
            <w:pPr>
              <w:spacing w:after="0" w:line="240" w:lineRule="auto"/>
              <w:jc w:val="center"/>
              <w:rPr>
                <w:szCs w:val="24"/>
              </w:rPr>
            </w:pPr>
            <w:r w:rsidRPr="00687DE8">
              <w:rPr>
                <w:szCs w:val="24"/>
              </w:rPr>
              <w:t>1L2212</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3F90811" w14:textId="2C3990A5" w:rsidR="015352CC" w:rsidRPr="00687DE8" w:rsidRDefault="00066207">
            <w:pPr>
              <w:spacing w:after="0"/>
              <w:jc w:val="center"/>
              <w:rPr>
                <w:color w:val="000000" w:themeColor="text1"/>
                <w:szCs w:val="24"/>
              </w:rPr>
            </w:pPr>
            <w:r>
              <w:rPr>
                <w:color w:val="000000"/>
              </w:rPr>
              <w:t>1 608,61</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C3863A" w14:textId="77777777" w:rsidR="00977138" w:rsidRPr="00687DE8" w:rsidRDefault="00977138" w:rsidP="00977138">
            <w:pPr>
              <w:tabs>
                <w:tab w:val="decimal" w:pos="635"/>
              </w:tabs>
              <w:spacing w:after="0" w:line="240" w:lineRule="auto"/>
              <w:jc w:val="center"/>
              <w:rPr>
                <w:color w:val="000000"/>
                <w:szCs w:val="24"/>
              </w:rPr>
            </w:pPr>
          </w:p>
          <w:p w14:paraId="7A0140D9"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21C69C" w14:textId="77777777" w:rsidR="00977138" w:rsidRPr="00687DE8" w:rsidRDefault="00977138" w:rsidP="00977138">
            <w:pPr>
              <w:tabs>
                <w:tab w:val="decimal" w:pos="635"/>
              </w:tabs>
              <w:spacing w:after="0" w:line="240" w:lineRule="auto"/>
              <w:jc w:val="center"/>
              <w:rPr>
                <w:color w:val="000000"/>
                <w:szCs w:val="24"/>
              </w:rPr>
            </w:pPr>
          </w:p>
          <w:p w14:paraId="33CD193A"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40216A90"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72B108" w14:textId="77777777" w:rsidR="00977138" w:rsidRPr="00687DE8" w:rsidRDefault="00977138" w:rsidP="00977138">
            <w:pPr>
              <w:spacing w:after="0" w:line="240" w:lineRule="auto"/>
              <w:rPr>
                <w:iCs/>
                <w:szCs w:val="24"/>
              </w:rPr>
            </w:pPr>
            <w:r w:rsidRPr="00687DE8">
              <w:rPr>
                <w:iCs/>
                <w:szCs w:val="24"/>
              </w:rPr>
              <w:t>Radikaalne vulvektoomia koos regionaalsete lümfisõlmede eemaldamisega</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7FE74CC" w14:textId="77777777" w:rsidR="00977138" w:rsidRPr="00687DE8" w:rsidRDefault="00977138" w:rsidP="00977138">
            <w:pPr>
              <w:spacing w:after="0" w:line="240" w:lineRule="auto"/>
              <w:jc w:val="center"/>
              <w:rPr>
                <w:szCs w:val="24"/>
              </w:rPr>
            </w:pPr>
            <w:r w:rsidRPr="00687DE8">
              <w:rPr>
                <w:szCs w:val="24"/>
              </w:rPr>
              <w:t>1L2241</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7F1F56" w14:textId="376ED16D" w:rsidR="015352CC" w:rsidRPr="00687DE8" w:rsidRDefault="00066207">
            <w:pPr>
              <w:spacing w:after="0"/>
              <w:jc w:val="center"/>
              <w:rPr>
                <w:color w:val="000000" w:themeColor="text1"/>
                <w:szCs w:val="24"/>
              </w:rPr>
            </w:pPr>
            <w:r>
              <w:rPr>
                <w:color w:val="000000"/>
              </w:rPr>
              <w:t>2 001,01</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97595F" w14:textId="77777777" w:rsidR="00977138" w:rsidRPr="00687DE8" w:rsidRDefault="00977138" w:rsidP="00977138">
            <w:pPr>
              <w:tabs>
                <w:tab w:val="decimal" w:pos="635"/>
              </w:tabs>
              <w:spacing w:after="0" w:line="240" w:lineRule="auto"/>
              <w:jc w:val="center"/>
              <w:rPr>
                <w:color w:val="000000"/>
                <w:szCs w:val="24"/>
              </w:rPr>
            </w:pPr>
          </w:p>
          <w:p w14:paraId="474C4D87" w14:textId="77777777" w:rsidR="00977138" w:rsidRPr="00687DE8" w:rsidRDefault="00977138" w:rsidP="00977138">
            <w:pPr>
              <w:tabs>
                <w:tab w:val="decimal" w:pos="635"/>
              </w:tabs>
              <w:spacing w:after="0" w:line="240" w:lineRule="auto"/>
              <w:jc w:val="center"/>
              <w:rPr>
                <w:color w:val="000000"/>
                <w:szCs w:val="24"/>
              </w:rPr>
            </w:pPr>
          </w:p>
          <w:p w14:paraId="554720D6"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C3A80E" w14:textId="77777777" w:rsidR="00977138" w:rsidRPr="00687DE8" w:rsidRDefault="00977138" w:rsidP="00977138">
            <w:pPr>
              <w:tabs>
                <w:tab w:val="decimal" w:pos="635"/>
              </w:tabs>
              <w:spacing w:after="0" w:line="240" w:lineRule="auto"/>
              <w:jc w:val="center"/>
              <w:rPr>
                <w:color w:val="000000"/>
                <w:szCs w:val="24"/>
              </w:rPr>
            </w:pPr>
          </w:p>
          <w:p w14:paraId="0112F3A9" w14:textId="77777777" w:rsidR="00977138" w:rsidRPr="00687DE8" w:rsidRDefault="00977138" w:rsidP="00977138">
            <w:pPr>
              <w:tabs>
                <w:tab w:val="decimal" w:pos="635"/>
              </w:tabs>
              <w:spacing w:after="0" w:line="240" w:lineRule="auto"/>
              <w:jc w:val="center"/>
              <w:rPr>
                <w:color w:val="000000"/>
                <w:szCs w:val="24"/>
              </w:rPr>
            </w:pPr>
          </w:p>
          <w:p w14:paraId="4F1A5450"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5863DBD7"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01F206" w14:textId="77777777" w:rsidR="00977138" w:rsidRPr="00687DE8" w:rsidRDefault="00977138" w:rsidP="00977138">
            <w:pPr>
              <w:spacing w:after="0" w:line="240" w:lineRule="auto"/>
              <w:rPr>
                <w:iCs/>
                <w:szCs w:val="24"/>
              </w:rPr>
            </w:pPr>
            <w:r w:rsidRPr="00687DE8">
              <w:rPr>
                <w:iCs/>
                <w:szCs w:val="24"/>
              </w:rPr>
              <w:t>Vaagnaelundite evistseratsioon, eesmine või tagumine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AEB69C" w14:textId="77777777" w:rsidR="00977138" w:rsidRPr="00687DE8" w:rsidRDefault="00977138" w:rsidP="00977138">
            <w:pPr>
              <w:spacing w:after="0" w:line="240" w:lineRule="auto"/>
              <w:jc w:val="center"/>
              <w:rPr>
                <w:szCs w:val="24"/>
              </w:rPr>
            </w:pPr>
          </w:p>
          <w:p w14:paraId="7FA03DC2" w14:textId="77777777" w:rsidR="00977138" w:rsidRPr="00687DE8" w:rsidRDefault="00977138" w:rsidP="00977138">
            <w:pPr>
              <w:spacing w:after="0" w:line="240" w:lineRule="auto"/>
              <w:jc w:val="center"/>
              <w:rPr>
                <w:szCs w:val="24"/>
              </w:rPr>
            </w:pPr>
          </w:p>
          <w:p w14:paraId="416E396E" w14:textId="77777777" w:rsidR="00977138" w:rsidRPr="00687DE8" w:rsidRDefault="00977138" w:rsidP="00977138">
            <w:pPr>
              <w:spacing w:after="0" w:line="240" w:lineRule="auto"/>
              <w:jc w:val="center"/>
              <w:rPr>
                <w:szCs w:val="24"/>
              </w:rPr>
            </w:pPr>
            <w:r w:rsidRPr="00687DE8">
              <w:rPr>
                <w:szCs w:val="24"/>
              </w:rPr>
              <w:t>1L2129</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AD4B6BE" w14:textId="31650104" w:rsidR="015352CC" w:rsidRPr="00687DE8" w:rsidRDefault="00066207">
            <w:pPr>
              <w:spacing w:after="0"/>
              <w:jc w:val="center"/>
              <w:rPr>
                <w:color w:val="000000" w:themeColor="text1"/>
                <w:szCs w:val="24"/>
              </w:rPr>
            </w:pPr>
            <w:r>
              <w:rPr>
                <w:color w:val="000000"/>
              </w:rPr>
              <w:t>2 279,57</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0555A5" w14:textId="77777777" w:rsidR="00977138" w:rsidRPr="00687DE8" w:rsidRDefault="00977138" w:rsidP="00977138">
            <w:pPr>
              <w:tabs>
                <w:tab w:val="decimal" w:pos="635"/>
              </w:tabs>
              <w:spacing w:after="0" w:line="240" w:lineRule="auto"/>
              <w:jc w:val="center"/>
              <w:rPr>
                <w:color w:val="000000"/>
                <w:szCs w:val="24"/>
              </w:rPr>
            </w:pPr>
          </w:p>
          <w:p w14:paraId="1FB359CF" w14:textId="77777777" w:rsidR="00977138" w:rsidRPr="00687DE8" w:rsidRDefault="00977138" w:rsidP="00977138">
            <w:pPr>
              <w:tabs>
                <w:tab w:val="decimal" w:pos="635"/>
              </w:tabs>
              <w:spacing w:after="0" w:line="240" w:lineRule="auto"/>
              <w:jc w:val="center"/>
              <w:rPr>
                <w:color w:val="000000"/>
                <w:szCs w:val="24"/>
              </w:rPr>
            </w:pPr>
          </w:p>
          <w:p w14:paraId="3E891CE3"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25FD45" w14:textId="77777777" w:rsidR="00977138" w:rsidRPr="00687DE8" w:rsidRDefault="00977138" w:rsidP="00977138">
            <w:pPr>
              <w:tabs>
                <w:tab w:val="decimal" w:pos="635"/>
              </w:tabs>
              <w:spacing w:after="0" w:line="240" w:lineRule="auto"/>
              <w:jc w:val="center"/>
              <w:rPr>
                <w:color w:val="000000"/>
                <w:szCs w:val="24"/>
              </w:rPr>
            </w:pPr>
          </w:p>
          <w:p w14:paraId="2571FA83" w14:textId="77777777" w:rsidR="00977138" w:rsidRPr="00687DE8" w:rsidRDefault="00977138" w:rsidP="00977138">
            <w:pPr>
              <w:tabs>
                <w:tab w:val="decimal" w:pos="635"/>
              </w:tabs>
              <w:spacing w:after="0" w:line="240" w:lineRule="auto"/>
              <w:jc w:val="center"/>
              <w:rPr>
                <w:color w:val="000000"/>
                <w:szCs w:val="24"/>
              </w:rPr>
            </w:pPr>
          </w:p>
          <w:p w14:paraId="20A44125"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373DC226" w14:textId="77777777" w:rsidTr="00EB7A71">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F5B82D" w14:textId="77777777" w:rsidR="00977138" w:rsidRPr="00687DE8" w:rsidRDefault="00977138" w:rsidP="00977138">
            <w:pPr>
              <w:spacing w:after="0" w:line="240" w:lineRule="auto"/>
              <w:rPr>
                <w:iCs/>
                <w:szCs w:val="24"/>
              </w:rPr>
            </w:pPr>
            <w:r w:rsidRPr="00687DE8">
              <w:rPr>
                <w:iCs/>
                <w:szCs w:val="24"/>
              </w:rPr>
              <w:t>Vaagnaelundite evistseratsioon, totaalne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A74D7F" w14:textId="77777777" w:rsidR="00977138" w:rsidRPr="00687DE8" w:rsidRDefault="00977138" w:rsidP="00977138">
            <w:pPr>
              <w:spacing w:after="0" w:line="240" w:lineRule="auto"/>
              <w:jc w:val="center"/>
              <w:rPr>
                <w:szCs w:val="24"/>
              </w:rPr>
            </w:pPr>
          </w:p>
          <w:p w14:paraId="5754CEFC" w14:textId="77777777" w:rsidR="00977138" w:rsidRPr="00687DE8" w:rsidRDefault="00977138" w:rsidP="00977138">
            <w:pPr>
              <w:spacing w:after="0" w:line="240" w:lineRule="auto"/>
              <w:jc w:val="center"/>
              <w:rPr>
                <w:szCs w:val="24"/>
              </w:rPr>
            </w:pPr>
            <w:r w:rsidRPr="00687DE8">
              <w:rPr>
                <w:szCs w:val="24"/>
              </w:rPr>
              <w:t>1L2131</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5EDDCB4" w14:textId="0AE4B5B2" w:rsidR="015352CC" w:rsidRPr="00687DE8" w:rsidRDefault="00066207">
            <w:pPr>
              <w:spacing w:after="0"/>
              <w:jc w:val="center"/>
              <w:rPr>
                <w:color w:val="000000" w:themeColor="text1"/>
                <w:szCs w:val="24"/>
              </w:rPr>
            </w:pPr>
            <w:r>
              <w:rPr>
                <w:color w:val="000000"/>
              </w:rPr>
              <w:t>2 866,15</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A2DEA8" w14:textId="77777777" w:rsidR="00977138" w:rsidRPr="00687DE8" w:rsidRDefault="00977138" w:rsidP="00977138">
            <w:pPr>
              <w:tabs>
                <w:tab w:val="decimal" w:pos="635"/>
              </w:tabs>
              <w:spacing w:after="0" w:line="240" w:lineRule="auto"/>
              <w:jc w:val="center"/>
              <w:rPr>
                <w:color w:val="000000"/>
                <w:szCs w:val="24"/>
              </w:rPr>
            </w:pPr>
          </w:p>
          <w:p w14:paraId="7A44B21D"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71EFA2" w14:textId="77777777" w:rsidR="00977138" w:rsidRPr="00687DE8" w:rsidRDefault="00977138" w:rsidP="00977138">
            <w:pPr>
              <w:tabs>
                <w:tab w:val="decimal" w:pos="635"/>
              </w:tabs>
              <w:spacing w:after="0" w:line="240" w:lineRule="auto"/>
              <w:jc w:val="center"/>
              <w:rPr>
                <w:color w:val="000000"/>
                <w:szCs w:val="24"/>
              </w:rPr>
            </w:pPr>
          </w:p>
          <w:p w14:paraId="0602DF50"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32B3AFEA"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4E0D96" w14:textId="77777777" w:rsidR="00977138" w:rsidRPr="00687DE8" w:rsidRDefault="00977138" w:rsidP="00977138">
            <w:pPr>
              <w:spacing w:after="0" w:line="240" w:lineRule="auto"/>
              <w:rPr>
                <w:iCs/>
                <w:szCs w:val="24"/>
              </w:rPr>
            </w:pPr>
            <w:r w:rsidRPr="00687DE8">
              <w:rPr>
                <w:iCs/>
                <w:szCs w:val="24"/>
              </w:rPr>
              <w:t>Paraaortaalne lümfisõlmede eemaldamine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6C0EE7" w14:textId="77777777" w:rsidR="00977138" w:rsidRPr="00687DE8" w:rsidRDefault="00977138" w:rsidP="00977138">
            <w:pPr>
              <w:spacing w:after="0" w:line="240" w:lineRule="auto"/>
              <w:jc w:val="center"/>
              <w:rPr>
                <w:szCs w:val="24"/>
              </w:rPr>
            </w:pPr>
          </w:p>
          <w:p w14:paraId="1484A4D6" w14:textId="77777777" w:rsidR="00977138" w:rsidRPr="00687DE8" w:rsidRDefault="00977138" w:rsidP="00977138">
            <w:pPr>
              <w:spacing w:after="0" w:line="240" w:lineRule="auto"/>
              <w:jc w:val="center"/>
              <w:rPr>
                <w:szCs w:val="24"/>
              </w:rPr>
            </w:pPr>
            <w:r w:rsidRPr="00687DE8">
              <w:rPr>
                <w:szCs w:val="24"/>
              </w:rPr>
              <w:t>1L2132</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6A97BE8" w14:textId="031B2CD5" w:rsidR="015352CC" w:rsidRPr="00687DE8" w:rsidRDefault="00066207">
            <w:pPr>
              <w:spacing w:after="0"/>
              <w:jc w:val="center"/>
              <w:rPr>
                <w:color w:val="000000" w:themeColor="text1"/>
                <w:szCs w:val="24"/>
              </w:rPr>
            </w:pPr>
            <w:r>
              <w:rPr>
                <w:color w:val="000000"/>
              </w:rPr>
              <w:t>1 175,46</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057A86" w14:textId="77777777" w:rsidR="00977138" w:rsidRPr="00687DE8" w:rsidRDefault="00977138" w:rsidP="00977138">
            <w:pPr>
              <w:tabs>
                <w:tab w:val="decimal" w:pos="635"/>
              </w:tabs>
              <w:spacing w:after="0" w:line="240" w:lineRule="auto"/>
              <w:jc w:val="center"/>
              <w:rPr>
                <w:color w:val="000000"/>
                <w:szCs w:val="24"/>
              </w:rPr>
            </w:pPr>
          </w:p>
          <w:p w14:paraId="323A0ED8"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5835BA" w14:textId="77777777" w:rsidR="00977138" w:rsidRPr="00687DE8" w:rsidRDefault="00977138" w:rsidP="00977138">
            <w:pPr>
              <w:tabs>
                <w:tab w:val="decimal" w:pos="635"/>
              </w:tabs>
              <w:spacing w:after="0" w:line="240" w:lineRule="auto"/>
              <w:jc w:val="center"/>
              <w:rPr>
                <w:color w:val="000000"/>
                <w:szCs w:val="24"/>
              </w:rPr>
            </w:pPr>
          </w:p>
          <w:p w14:paraId="6B1228CA"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7A68873D"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707874" w14:textId="77777777" w:rsidR="00977138" w:rsidRPr="00687DE8" w:rsidRDefault="00977138" w:rsidP="00977138">
            <w:pPr>
              <w:spacing w:after="0" w:line="240" w:lineRule="auto"/>
              <w:rPr>
                <w:iCs/>
                <w:szCs w:val="24"/>
              </w:rPr>
            </w:pPr>
            <w:r w:rsidRPr="00687DE8">
              <w:rPr>
                <w:iCs/>
                <w:szCs w:val="24"/>
              </w:rPr>
              <w:t>Laparoskoopiline paraaortaalne lümfisõlmede eemaldamine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C9C8D1" w14:textId="77777777" w:rsidR="00977138" w:rsidRPr="00687DE8" w:rsidRDefault="00977138" w:rsidP="00977138">
            <w:pPr>
              <w:spacing w:after="0" w:line="240" w:lineRule="auto"/>
              <w:jc w:val="center"/>
              <w:rPr>
                <w:szCs w:val="24"/>
              </w:rPr>
            </w:pPr>
          </w:p>
          <w:p w14:paraId="1B29C921" w14:textId="77777777" w:rsidR="00977138" w:rsidRPr="00687DE8" w:rsidRDefault="00977138" w:rsidP="00977138">
            <w:pPr>
              <w:spacing w:after="0" w:line="240" w:lineRule="auto"/>
              <w:jc w:val="center"/>
              <w:rPr>
                <w:szCs w:val="24"/>
              </w:rPr>
            </w:pPr>
          </w:p>
          <w:p w14:paraId="2D15AA3E" w14:textId="77777777" w:rsidR="00977138" w:rsidRPr="00687DE8" w:rsidRDefault="00977138" w:rsidP="00977138">
            <w:pPr>
              <w:spacing w:after="0" w:line="240" w:lineRule="auto"/>
              <w:jc w:val="center"/>
              <w:rPr>
                <w:szCs w:val="24"/>
              </w:rPr>
            </w:pPr>
            <w:r w:rsidRPr="00687DE8">
              <w:rPr>
                <w:szCs w:val="24"/>
              </w:rPr>
              <w:t>1L2133</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BA8E3DC" w14:textId="44939F93" w:rsidR="015352CC" w:rsidRPr="00687DE8" w:rsidRDefault="00066207">
            <w:pPr>
              <w:spacing w:after="0"/>
              <w:jc w:val="center"/>
              <w:rPr>
                <w:color w:val="000000" w:themeColor="text1"/>
                <w:szCs w:val="24"/>
              </w:rPr>
            </w:pPr>
            <w:r>
              <w:rPr>
                <w:color w:val="000000"/>
              </w:rPr>
              <w:t>1 618,23</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A701A2" w14:textId="77777777" w:rsidR="00977138" w:rsidRPr="00687DE8" w:rsidRDefault="00977138" w:rsidP="00977138">
            <w:pPr>
              <w:tabs>
                <w:tab w:val="decimal" w:pos="635"/>
              </w:tabs>
              <w:spacing w:after="0" w:line="240" w:lineRule="auto"/>
              <w:jc w:val="center"/>
              <w:rPr>
                <w:color w:val="000000"/>
                <w:szCs w:val="24"/>
              </w:rPr>
            </w:pPr>
          </w:p>
          <w:p w14:paraId="2EF69751" w14:textId="77777777" w:rsidR="00977138" w:rsidRPr="00687DE8" w:rsidRDefault="00977138" w:rsidP="00977138">
            <w:pPr>
              <w:tabs>
                <w:tab w:val="decimal" w:pos="635"/>
              </w:tabs>
              <w:spacing w:after="0" w:line="240" w:lineRule="auto"/>
              <w:jc w:val="center"/>
              <w:rPr>
                <w:color w:val="000000"/>
                <w:szCs w:val="24"/>
              </w:rPr>
            </w:pPr>
          </w:p>
          <w:p w14:paraId="4517D4D1"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4C4053" w14:textId="77777777" w:rsidR="00977138" w:rsidRPr="00687DE8" w:rsidRDefault="00977138" w:rsidP="00977138">
            <w:pPr>
              <w:tabs>
                <w:tab w:val="decimal" w:pos="635"/>
              </w:tabs>
              <w:spacing w:after="0" w:line="240" w:lineRule="auto"/>
              <w:jc w:val="center"/>
              <w:rPr>
                <w:color w:val="000000"/>
                <w:szCs w:val="24"/>
              </w:rPr>
            </w:pPr>
          </w:p>
          <w:p w14:paraId="0E4C874C" w14:textId="77777777" w:rsidR="00977138" w:rsidRPr="00687DE8" w:rsidRDefault="00977138" w:rsidP="00977138">
            <w:pPr>
              <w:tabs>
                <w:tab w:val="decimal" w:pos="635"/>
              </w:tabs>
              <w:spacing w:after="0" w:line="240" w:lineRule="auto"/>
              <w:jc w:val="center"/>
              <w:rPr>
                <w:color w:val="000000"/>
                <w:szCs w:val="24"/>
              </w:rPr>
            </w:pPr>
          </w:p>
          <w:p w14:paraId="28EF2B9A"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4ED98C72"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191644" w14:textId="77777777" w:rsidR="00977138" w:rsidRPr="00687DE8" w:rsidRDefault="00977138" w:rsidP="00977138">
            <w:pPr>
              <w:spacing w:after="0" w:line="240" w:lineRule="auto"/>
              <w:rPr>
                <w:iCs/>
                <w:szCs w:val="24"/>
              </w:rPr>
            </w:pPr>
            <w:r w:rsidRPr="00687DE8">
              <w:rPr>
                <w:iCs/>
                <w:szCs w:val="24"/>
              </w:rPr>
              <w:t>Diafragma resektsioon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77DFC8" w14:textId="77777777" w:rsidR="00977138" w:rsidRPr="00687DE8" w:rsidRDefault="00977138" w:rsidP="00977138">
            <w:pPr>
              <w:spacing w:after="0" w:line="240" w:lineRule="auto"/>
              <w:jc w:val="center"/>
              <w:rPr>
                <w:szCs w:val="24"/>
              </w:rPr>
            </w:pPr>
            <w:r w:rsidRPr="00687DE8">
              <w:rPr>
                <w:szCs w:val="24"/>
              </w:rPr>
              <w:t>1L2134</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B149A5" w14:textId="6E5DAD15" w:rsidR="015352CC" w:rsidRPr="00687DE8" w:rsidRDefault="00066207">
            <w:pPr>
              <w:spacing w:after="0"/>
              <w:jc w:val="center"/>
              <w:rPr>
                <w:color w:val="000000" w:themeColor="text1"/>
                <w:szCs w:val="24"/>
              </w:rPr>
            </w:pPr>
            <w:r>
              <w:rPr>
                <w:color w:val="000000"/>
              </w:rPr>
              <w:t>1 150,88</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75DC7E"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989003"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r w:rsidR="00977138" w:rsidRPr="00687DE8" w14:paraId="4D657CF9" w14:textId="77777777" w:rsidTr="00AE3A29">
        <w:trPr>
          <w:divId w:val="1316184749"/>
          <w:trHeight w:val="300"/>
        </w:trPr>
        <w:tc>
          <w:tcPr>
            <w:tcW w:w="29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EDC497" w14:textId="77777777" w:rsidR="00977138" w:rsidRPr="00687DE8" w:rsidRDefault="00977138" w:rsidP="00977138">
            <w:pPr>
              <w:spacing w:after="0" w:line="240" w:lineRule="auto"/>
              <w:rPr>
                <w:iCs/>
                <w:szCs w:val="24"/>
              </w:rPr>
            </w:pPr>
            <w:r w:rsidRPr="00687DE8">
              <w:rPr>
                <w:iCs/>
                <w:szCs w:val="24"/>
              </w:rPr>
              <w:lastRenderedPageBreak/>
              <w:t>Laparoskoopiline sakrokolpopeksia või lateraalne suspensioon</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9B79CB" w14:textId="77777777" w:rsidR="00977138" w:rsidRPr="00687DE8" w:rsidRDefault="00977138" w:rsidP="00977138">
            <w:pPr>
              <w:spacing w:after="0" w:line="240" w:lineRule="auto"/>
              <w:jc w:val="center"/>
              <w:rPr>
                <w:szCs w:val="24"/>
              </w:rPr>
            </w:pPr>
          </w:p>
          <w:p w14:paraId="0D9C4FA5" w14:textId="77777777" w:rsidR="00977138" w:rsidRPr="00687DE8" w:rsidRDefault="00977138" w:rsidP="00977138">
            <w:pPr>
              <w:spacing w:after="0" w:line="240" w:lineRule="auto"/>
              <w:jc w:val="center"/>
              <w:rPr>
                <w:szCs w:val="24"/>
              </w:rPr>
            </w:pPr>
          </w:p>
          <w:p w14:paraId="40A819D3" w14:textId="77777777" w:rsidR="00977138" w:rsidRPr="00687DE8" w:rsidRDefault="00977138" w:rsidP="00977138">
            <w:pPr>
              <w:spacing w:after="0" w:line="240" w:lineRule="auto"/>
              <w:jc w:val="center"/>
              <w:rPr>
                <w:szCs w:val="24"/>
              </w:rPr>
            </w:pPr>
            <w:r w:rsidRPr="00687DE8">
              <w:rPr>
                <w:szCs w:val="24"/>
              </w:rPr>
              <w:t>1L2215</w:t>
            </w:r>
          </w:p>
        </w:tc>
        <w:tc>
          <w:tcPr>
            <w:tcW w:w="200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3B04EB0" w14:textId="1AC5F7F1" w:rsidR="015352CC" w:rsidRPr="00687DE8" w:rsidRDefault="00066207">
            <w:pPr>
              <w:spacing w:after="0"/>
              <w:jc w:val="center"/>
              <w:rPr>
                <w:color w:val="000000" w:themeColor="text1"/>
                <w:szCs w:val="24"/>
              </w:rPr>
            </w:pPr>
            <w:r>
              <w:rPr>
                <w:color w:val="000000"/>
              </w:rPr>
              <w:t>1 132,98</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659983" w14:textId="77777777" w:rsidR="00977138" w:rsidRPr="00687DE8" w:rsidRDefault="00977138" w:rsidP="00977138">
            <w:pPr>
              <w:tabs>
                <w:tab w:val="decimal" w:pos="635"/>
              </w:tabs>
              <w:spacing w:after="0" w:line="240" w:lineRule="auto"/>
              <w:jc w:val="center"/>
              <w:rPr>
                <w:color w:val="000000"/>
                <w:szCs w:val="24"/>
              </w:rPr>
            </w:pPr>
          </w:p>
          <w:p w14:paraId="0CBEE3DA" w14:textId="77777777" w:rsidR="00977138" w:rsidRPr="00687DE8" w:rsidRDefault="00977138" w:rsidP="00977138">
            <w:pPr>
              <w:tabs>
                <w:tab w:val="decimal" w:pos="635"/>
              </w:tabs>
              <w:spacing w:after="0" w:line="240" w:lineRule="auto"/>
              <w:jc w:val="center"/>
              <w:rPr>
                <w:color w:val="000000"/>
                <w:szCs w:val="24"/>
              </w:rPr>
            </w:pPr>
          </w:p>
          <w:p w14:paraId="1237CA96"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100</w:t>
            </w:r>
          </w:p>
        </w:tc>
        <w:tc>
          <w:tcPr>
            <w:tcW w:w="17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638C4D" w14:textId="77777777" w:rsidR="00977138" w:rsidRPr="00687DE8" w:rsidRDefault="00977138" w:rsidP="00977138">
            <w:pPr>
              <w:tabs>
                <w:tab w:val="decimal" w:pos="635"/>
              </w:tabs>
              <w:spacing w:after="0" w:line="240" w:lineRule="auto"/>
              <w:jc w:val="center"/>
              <w:rPr>
                <w:color w:val="000000"/>
                <w:szCs w:val="24"/>
              </w:rPr>
            </w:pPr>
          </w:p>
          <w:p w14:paraId="630A151A" w14:textId="77777777" w:rsidR="00977138" w:rsidRPr="00687DE8" w:rsidRDefault="00977138" w:rsidP="00977138">
            <w:pPr>
              <w:tabs>
                <w:tab w:val="decimal" w:pos="635"/>
              </w:tabs>
              <w:spacing w:after="0" w:line="240" w:lineRule="auto"/>
              <w:jc w:val="center"/>
              <w:rPr>
                <w:color w:val="000000"/>
                <w:szCs w:val="24"/>
              </w:rPr>
            </w:pPr>
          </w:p>
          <w:p w14:paraId="14D869F4" w14:textId="77777777" w:rsidR="00977138" w:rsidRPr="00687DE8" w:rsidRDefault="00977138" w:rsidP="00977138">
            <w:pPr>
              <w:tabs>
                <w:tab w:val="decimal" w:pos="635"/>
              </w:tabs>
              <w:spacing w:after="0" w:line="240" w:lineRule="auto"/>
              <w:jc w:val="center"/>
              <w:rPr>
                <w:color w:val="000000"/>
                <w:szCs w:val="24"/>
              </w:rPr>
            </w:pPr>
            <w:r w:rsidRPr="00687DE8">
              <w:rPr>
                <w:color w:val="000000"/>
                <w:szCs w:val="24"/>
              </w:rPr>
              <w:t>0</w:t>
            </w:r>
          </w:p>
        </w:tc>
      </w:tr>
    </w:tbl>
    <w:p w14:paraId="4978334C" w14:textId="77777777" w:rsidR="00976487" w:rsidRPr="00687DE8" w:rsidRDefault="00976487" w:rsidP="00976487">
      <w:pPr>
        <w:spacing w:after="0" w:line="240" w:lineRule="auto"/>
        <w:divId w:val="1316184749"/>
        <w:rPr>
          <w:szCs w:val="24"/>
        </w:rPr>
      </w:pPr>
    </w:p>
    <w:p w14:paraId="2354D875" w14:textId="77777777" w:rsidR="00976487" w:rsidRPr="00687DE8" w:rsidRDefault="00976487" w:rsidP="00976487">
      <w:pPr>
        <w:spacing w:after="0" w:line="240" w:lineRule="auto"/>
        <w:jc w:val="both"/>
        <w:divId w:val="1316184749"/>
        <w:rPr>
          <w:szCs w:val="24"/>
        </w:rPr>
      </w:pPr>
      <w:r w:rsidRPr="00687DE8">
        <w:rPr>
          <w:szCs w:val="24"/>
        </w:rPr>
        <w:t xml:space="preserve">(2) Koodiga 1L2118 tähistatud tervishoiuteenuse piirhind sisaldab kõiki emakal, emakamanustel ja -ligamentidel tehtavate operatsioonide kulusid. </w:t>
      </w:r>
    </w:p>
    <w:p w14:paraId="0900BEEC" w14:textId="77777777" w:rsidR="00976487" w:rsidRPr="00687DE8" w:rsidRDefault="00976487" w:rsidP="00976487">
      <w:pPr>
        <w:spacing w:after="0" w:line="240" w:lineRule="auto"/>
        <w:jc w:val="both"/>
        <w:divId w:val="1316184749"/>
        <w:rPr>
          <w:szCs w:val="24"/>
        </w:rPr>
      </w:pPr>
    </w:p>
    <w:p w14:paraId="7CA922F8" w14:textId="77777777" w:rsidR="00976487" w:rsidRPr="00687DE8" w:rsidRDefault="00976487" w:rsidP="00976487">
      <w:pPr>
        <w:spacing w:after="0" w:line="240" w:lineRule="auto"/>
        <w:jc w:val="both"/>
        <w:divId w:val="1316184749"/>
        <w:rPr>
          <w:szCs w:val="24"/>
        </w:rPr>
      </w:pPr>
      <w:r w:rsidRPr="00687DE8">
        <w:rPr>
          <w:szCs w:val="24"/>
        </w:rPr>
        <w:t>(3) Koodiga 1L2207 tähistatud tervishoiuteenuse piirhind sisaldab kõiki emakal, emakamanustel ja -ligamentidel tehtavate laparoskoopiliste operatsioonide kulusid.</w:t>
      </w:r>
    </w:p>
    <w:p w14:paraId="7FAF8FFB" w14:textId="77777777" w:rsidR="00976487" w:rsidRPr="00687DE8" w:rsidRDefault="00976487" w:rsidP="00976487">
      <w:pPr>
        <w:spacing w:after="0" w:line="240" w:lineRule="auto"/>
        <w:jc w:val="both"/>
        <w:divId w:val="1316184749"/>
        <w:rPr>
          <w:szCs w:val="24"/>
        </w:rPr>
      </w:pPr>
    </w:p>
    <w:p w14:paraId="0D33952F" w14:textId="77777777" w:rsidR="00976487" w:rsidRPr="00687DE8" w:rsidRDefault="00976487" w:rsidP="00976487">
      <w:pPr>
        <w:spacing w:after="0" w:line="240" w:lineRule="auto"/>
        <w:jc w:val="both"/>
        <w:divId w:val="1316184749"/>
        <w:rPr>
          <w:szCs w:val="24"/>
        </w:rPr>
      </w:pPr>
      <w:r w:rsidRPr="00687DE8">
        <w:rPr>
          <w:szCs w:val="24"/>
        </w:rPr>
        <w:t>(4) Koodiga 1L2204 tähistatud tervishoiuteenuse piirhind sisaldab kõikide munasarjadel ja munajuhadel tehtavate operatsioonide kulusid.</w:t>
      </w:r>
    </w:p>
    <w:p w14:paraId="0EEEEF70" w14:textId="77777777" w:rsidR="00976487" w:rsidRPr="00687DE8" w:rsidRDefault="00976487" w:rsidP="00976487">
      <w:pPr>
        <w:spacing w:after="0" w:line="240" w:lineRule="auto"/>
        <w:jc w:val="both"/>
        <w:divId w:val="1316184749"/>
        <w:rPr>
          <w:szCs w:val="24"/>
        </w:rPr>
      </w:pPr>
    </w:p>
    <w:p w14:paraId="7F645A79" w14:textId="77777777" w:rsidR="00976487" w:rsidRPr="00687DE8" w:rsidRDefault="00976487" w:rsidP="00976487">
      <w:pPr>
        <w:spacing w:after="0" w:line="240" w:lineRule="auto"/>
        <w:jc w:val="both"/>
        <w:divId w:val="1316184749"/>
        <w:rPr>
          <w:szCs w:val="24"/>
        </w:rPr>
      </w:pPr>
      <w:r w:rsidRPr="00687DE8">
        <w:rPr>
          <w:szCs w:val="24"/>
        </w:rPr>
        <w:t>(5) Koodiga 1L2120 tähistatud tervishoiuteenuse piirhind sisaldab kõikide emakal, emakamanustel ja -ligamentidel tehtavate operatsioonide kulusid.</w:t>
      </w:r>
    </w:p>
    <w:p w14:paraId="47EFDC67" w14:textId="77777777" w:rsidR="00976487" w:rsidRPr="00687DE8" w:rsidRDefault="00976487" w:rsidP="00976487">
      <w:pPr>
        <w:tabs>
          <w:tab w:val="left" w:pos="4212"/>
        </w:tabs>
        <w:spacing w:after="0" w:line="240" w:lineRule="auto"/>
        <w:jc w:val="both"/>
        <w:divId w:val="1316184749"/>
        <w:rPr>
          <w:szCs w:val="24"/>
        </w:rPr>
      </w:pPr>
      <w:r w:rsidRPr="00687DE8">
        <w:rPr>
          <w:szCs w:val="24"/>
        </w:rPr>
        <w:tab/>
      </w:r>
    </w:p>
    <w:p w14:paraId="57E72C6A" w14:textId="77777777" w:rsidR="00976487" w:rsidRPr="00687DE8" w:rsidRDefault="00976487" w:rsidP="00976487">
      <w:pPr>
        <w:spacing w:after="0" w:line="240" w:lineRule="auto"/>
        <w:jc w:val="both"/>
        <w:divId w:val="1316184749"/>
        <w:rPr>
          <w:szCs w:val="24"/>
        </w:rPr>
      </w:pPr>
      <w:r w:rsidRPr="00687DE8">
        <w:rPr>
          <w:szCs w:val="24"/>
        </w:rPr>
        <w:t>(6) Koodiga 1L2118 tähistatud tervishoiuteenuse piirhind sisaldab koodidega 1L2112, 1L2123 ja 1L2125 tähistatud tervishoiuteenuste kulusid.</w:t>
      </w:r>
    </w:p>
    <w:p w14:paraId="5A9FC5E8" w14:textId="77777777" w:rsidR="00976487" w:rsidRPr="00687DE8" w:rsidRDefault="00976487" w:rsidP="00976487">
      <w:pPr>
        <w:spacing w:after="0" w:line="240" w:lineRule="auto"/>
        <w:jc w:val="both"/>
        <w:divId w:val="1316184749"/>
        <w:rPr>
          <w:szCs w:val="24"/>
        </w:rPr>
      </w:pPr>
    </w:p>
    <w:p w14:paraId="3E784899" w14:textId="77777777" w:rsidR="00976487" w:rsidRPr="00687DE8" w:rsidRDefault="00976487" w:rsidP="00976487">
      <w:pPr>
        <w:spacing w:after="0" w:line="240" w:lineRule="auto"/>
        <w:jc w:val="both"/>
        <w:divId w:val="1316184749"/>
        <w:rPr>
          <w:szCs w:val="24"/>
        </w:rPr>
      </w:pPr>
      <w:r w:rsidRPr="00687DE8">
        <w:rPr>
          <w:szCs w:val="24"/>
        </w:rPr>
        <w:t xml:space="preserve">(7) Koodiga 1M2101 tähistatud tervishoiuteenuse piirhind sisaldab kõiki tupe, perineumi ja emakakaela piirkonnas tehtavate operatsioonide kulusid. </w:t>
      </w:r>
    </w:p>
    <w:p w14:paraId="2785DDF7" w14:textId="77777777" w:rsidR="00976487" w:rsidRPr="00687DE8" w:rsidRDefault="00976487" w:rsidP="00976487">
      <w:pPr>
        <w:spacing w:after="0" w:line="240" w:lineRule="auto"/>
        <w:jc w:val="both"/>
        <w:divId w:val="1316184749"/>
        <w:rPr>
          <w:szCs w:val="24"/>
        </w:rPr>
      </w:pPr>
    </w:p>
    <w:p w14:paraId="55A1120A" w14:textId="77777777" w:rsidR="00976487" w:rsidRPr="00687DE8" w:rsidRDefault="00976487" w:rsidP="00976487">
      <w:pPr>
        <w:spacing w:after="0" w:line="240" w:lineRule="auto"/>
        <w:jc w:val="both"/>
        <w:divId w:val="1316184749"/>
        <w:rPr>
          <w:szCs w:val="24"/>
        </w:rPr>
      </w:pPr>
      <w:r w:rsidRPr="00687DE8">
        <w:rPr>
          <w:szCs w:val="24"/>
        </w:rPr>
        <w:t>(8) Koodiga 1M2109 tähistatud tervishoiuteenuse piirhind sisaldab koodiga 1L2112 tähistatud tervishoiuteenuse kulusid.</w:t>
      </w:r>
    </w:p>
    <w:p w14:paraId="1F3DE426" w14:textId="77777777" w:rsidR="00976487" w:rsidRPr="00687DE8" w:rsidRDefault="00976487" w:rsidP="00976487">
      <w:pPr>
        <w:spacing w:after="0" w:line="240" w:lineRule="auto"/>
        <w:jc w:val="both"/>
        <w:divId w:val="1316184749"/>
        <w:rPr>
          <w:szCs w:val="24"/>
        </w:rPr>
      </w:pPr>
    </w:p>
    <w:p w14:paraId="24664978" w14:textId="77777777" w:rsidR="00976487" w:rsidRPr="00687DE8" w:rsidRDefault="00976487" w:rsidP="00976487">
      <w:pPr>
        <w:spacing w:after="0" w:line="240" w:lineRule="auto"/>
        <w:jc w:val="both"/>
        <w:divId w:val="1316184749"/>
        <w:rPr>
          <w:szCs w:val="24"/>
        </w:rPr>
      </w:pPr>
      <w:r w:rsidRPr="00687DE8">
        <w:rPr>
          <w:szCs w:val="24"/>
        </w:rPr>
        <w:t>(9) Koodiga 1L2209 tähistatud tervishoiuteenuse piirhind sisaldab koodidega 1L2214 ja 1L2210 tähistatud tervishoiuteenuste kulusid.</w:t>
      </w:r>
    </w:p>
    <w:p w14:paraId="031D34E6" w14:textId="77777777" w:rsidR="00976487" w:rsidRPr="00687DE8" w:rsidRDefault="00976487" w:rsidP="00976487">
      <w:pPr>
        <w:spacing w:after="0" w:line="240" w:lineRule="auto"/>
        <w:jc w:val="both"/>
        <w:divId w:val="1316184749"/>
        <w:rPr>
          <w:szCs w:val="24"/>
        </w:rPr>
      </w:pPr>
    </w:p>
    <w:p w14:paraId="128306CB" w14:textId="77777777" w:rsidR="00976487" w:rsidRPr="00687DE8" w:rsidRDefault="00976487" w:rsidP="00976487">
      <w:pPr>
        <w:spacing w:after="0" w:line="240" w:lineRule="auto"/>
        <w:jc w:val="both"/>
        <w:divId w:val="1316184749"/>
        <w:rPr>
          <w:szCs w:val="24"/>
        </w:rPr>
      </w:pPr>
      <w:r w:rsidRPr="00687DE8">
        <w:rPr>
          <w:szCs w:val="24"/>
        </w:rPr>
        <w:t>(10) Koodiga 1L2215 tähistatud tervishoiuteenuse piirhind sisaldab koodiga 1L2205 tähistatud tervishoiuteenuse kulusid.</w:t>
      </w:r>
    </w:p>
    <w:p w14:paraId="47A845CE" w14:textId="77777777" w:rsidR="00976487" w:rsidRPr="00687DE8" w:rsidRDefault="00976487" w:rsidP="00976487">
      <w:pPr>
        <w:spacing w:after="0" w:line="240" w:lineRule="auto"/>
        <w:jc w:val="both"/>
        <w:outlineLvl w:val="2"/>
        <w:divId w:val="1316184749"/>
        <w:rPr>
          <w:b/>
          <w:bCs/>
          <w:szCs w:val="24"/>
        </w:rPr>
      </w:pPr>
    </w:p>
    <w:p w14:paraId="1D8AD930" w14:textId="77777777" w:rsidR="00976487" w:rsidRDefault="00976487" w:rsidP="00976487">
      <w:pPr>
        <w:spacing w:after="0" w:line="240" w:lineRule="auto"/>
        <w:jc w:val="both"/>
        <w:outlineLvl w:val="2"/>
        <w:divId w:val="1316184749"/>
        <w:rPr>
          <w:b/>
          <w:szCs w:val="24"/>
        </w:rPr>
      </w:pPr>
      <w:r w:rsidRPr="00687DE8">
        <w:rPr>
          <w:b/>
          <w:szCs w:val="24"/>
        </w:rPr>
        <w:t>§ 5</w:t>
      </w:r>
      <w:r w:rsidR="000245EE" w:rsidRPr="00687DE8">
        <w:rPr>
          <w:b/>
          <w:szCs w:val="24"/>
        </w:rPr>
        <w:t>8</w:t>
      </w:r>
      <w:r w:rsidRPr="00687DE8">
        <w:rPr>
          <w:b/>
          <w:szCs w:val="24"/>
        </w:rPr>
        <w:t>. Muude operatsioonide piirhinnad</w:t>
      </w:r>
    </w:p>
    <w:p w14:paraId="46B4B4AC" w14:textId="77777777" w:rsidR="002635DB" w:rsidRDefault="002635DB" w:rsidP="00976487">
      <w:pPr>
        <w:spacing w:after="0" w:line="240" w:lineRule="auto"/>
        <w:jc w:val="both"/>
        <w:divId w:val="1316184749"/>
        <w:rPr>
          <w:szCs w:val="24"/>
        </w:rPr>
      </w:pPr>
    </w:p>
    <w:p w14:paraId="72BAC8BF" w14:textId="200DA662" w:rsidR="00976487" w:rsidRPr="00687DE8" w:rsidRDefault="00976487" w:rsidP="00976487">
      <w:pPr>
        <w:spacing w:after="0" w:line="240" w:lineRule="auto"/>
        <w:jc w:val="both"/>
        <w:divId w:val="1316184749"/>
        <w:rPr>
          <w:szCs w:val="24"/>
        </w:rPr>
      </w:pPr>
      <w:r w:rsidRPr="00687DE8">
        <w:rPr>
          <w:szCs w:val="24"/>
        </w:rPr>
        <w:t>(1) Muude operatsioonide piirhinnad on järgmised:</w:t>
      </w:r>
    </w:p>
    <w:p w14:paraId="50E26D3C" w14:textId="77777777" w:rsidR="002C376F" w:rsidRPr="00687DE8" w:rsidRDefault="002C376F" w:rsidP="00976487">
      <w:pPr>
        <w:spacing w:after="0" w:line="240" w:lineRule="auto"/>
        <w:jc w:val="both"/>
        <w:divId w:val="1316184749"/>
        <w:rPr>
          <w:szCs w:val="24"/>
        </w:rPr>
      </w:pP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0"/>
        <w:gridCol w:w="1122"/>
        <w:gridCol w:w="1128"/>
      </w:tblGrid>
      <w:tr w:rsidR="00976487" w:rsidRPr="00687DE8" w14:paraId="7E582268" w14:textId="77777777" w:rsidTr="00A11310">
        <w:trPr>
          <w:divId w:val="1316184749"/>
          <w:tblHeader/>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BE2DF3" w14:textId="77777777" w:rsidR="00976487" w:rsidRPr="00687DE8" w:rsidRDefault="00976487">
            <w:pPr>
              <w:spacing w:after="0" w:line="240" w:lineRule="auto"/>
              <w:jc w:val="center"/>
              <w:rPr>
                <w:szCs w:val="24"/>
              </w:rPr>
            </w:pPr>
            <w:r w:rsidRPr="00687DE8">
              <w:rPr>
                <w:b/>
                <w:bCs/>
                <w:szCs w:val="24"/>
              </w:rPr>
              <w:t>Tervishoiuteenuse nimetus</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F5B552" w14:textId="77777777" w:rsidR="00976487" w:rsidRPr="00687DE8" w:rsidRDefault="00976487">
            <w:pPr>
              <w:spacing w:after="0" w:line="240" w:lineRule="auto"/>
              <w:jc w:val="center"/>
              <w:rPr>
                <w:szCs w:val="24"/>
              </w:rPr>
            </w:pPr>
            <w:r w:rsidRPr="00687DE8">
              <w:rPr>
                <w:b/>
                <w:bCs/>
                <w:szCs w:val="24"/>
              </w:rPr>
              <w:t>Kood</w:t>
            </w: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39E6CD"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977138" w:rsidRPr="00687DE8" w14:paraId="036B4221" w14:textId="77777777" w:rsidTr="00AE3A29">
        <w:trPr>
          <w:divId w:val="1316184749"/>
          <w:trHeight w:val="300"/>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2CEB1E" w14:textId="77777777" w:rsidR="00977138" w:rsidRPr="00687DE8" w:rsidRDefault="00977138" w:rsidP="00977138">
            <w:pPr>
              <w:spacing w:after="0" w:line="240" w:lineRule="auto"/>
              <w:rPr>
                <w:szCs w:val="24"/>
              </w:rPr>
            </w:pPr>
            <w:r w:rsidRPr="00687DE8">
              <w:rPr>
                <w:szCs w:val="24"/>
              </w:rPr>
              <w:t>Onkoplastiline rinnanäärme operatsioon</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4490C6" w14:textId="77777777" w:rsidR="00977138" w:rsidRPr="00687DE8" w:rsidRDefault="00977138" w:rsidP="00977138">
            <w:pPr>
              <w:spacing w:after="0" w:line="240" w:lineRule="auto"/>
              <w:jc w:val="center"/>
              <w:rPr>
                <w:szCs w:val="24"/>
              </w:rPr>
            </w:pPr>
            <w:r w:rsidRPr="00687DE8">
              <w:rPr>
                <w:szCs w:val="24"/>
              </w:rPr>
              <w:t>1H2101</w:t>
            </w: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25C742" w14:textId="37C58F06" w:rsidR="00AC7403" w:rsidRPr="00687DE8" w:rsidRDefault="00554E4F">
            <w:pPr>
              <w:spacing w:after="0"/>
              <w:jc w:val="center"/>
              <w:rPr>
                <w:szCs w:val="24"/>
              </w:rPr>
            </w:pPr>
            <w:r>
              <w:rPr>
                <w:color w:val="000000"/>
              </w:rPr>
              <w:t>1 306,95</w:t>
            </w:r>
          </w:p>
        </w:tc>
      </w:tr>
      <w:tr w:rsidR="00977138" w:rsidRPr="00687DE8" w14:paraId="4ADD3962" w14:textId="77777777" w:rsidTr="00AE3A29">
        <w:trPr>
          <w:divId w:val="1316184749"/>
          <w:trHeight w:val="300"/>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D490DA" w14:textId="77777777" w:rsidR="00977138" w:rsidRPr="00687DE8" w:rsidRDefault="00977138" w:rsidP="00977138">
            <w:pPr>
              <w:spacing w:after="0" w:line="240" w:lineRule="auto"/>
              <w:rPr>
                <w:szCs w:val="24"/>
              </w:rPr>
            </w:pPr>
            <w:r w:rsidRPr="00687DE8">
              <w:rPr>
                <w:szCs w:val="24"/>
              </w:rPr>
              <w:t>Rinnanäärme sektorresektsioon</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C5E31F" w14:textId="77777777" w:rsidR="00977138" w:rsidRPr="00687DE8" w:rsidRDefault="00977138" w:rsidP="00977138">
            <w:pPr>
              <w:spacing w:after="0" w:line="240" w:lineRule="auto"/>
              <w:jc w:val="center"/>
              <w:rPr>
                <w:szCs w:val="24"/>
              </w:rPr>
            </w:pPr>
            <w:r w:rsidRPr="00687DE8">
              <w:rPr>
                <w:szCs w:val="24"/>
              </w:rPr>
              <w:t>1H2102</w:t>
            </w:r>
          </w:p>
        </w:tc>
        <w:tc>
          <w:tcPr>
            <w:tcW w:w="112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FABC97" w14:textId="310CB50B" w:rsidR="00AC7403" w:rsidRPr="00687DE8" w:rsidRDefault="00554E4F">
            <w:pPr>
              <w:spacing w:after="0"/>
              <w:jc w:val="center"/>
              <w:rPr>
                <w:szCs w:val="24"/>
              </w:rPr>
            </w:pPr>
            <w:r>
              <w:rPr>
                <w:color w:val="000000"/>
              </w:rPr>
              <w:t>575,12</w:t>
            </w:r>
          </w:p>
        </w:tc>
      </w:tr>
      <w:tr w:rsidR="00977138" w:rsidRPr="00687DE8" w14:paraId="3A26432A" w14:textId="77777777" w:rsidTr="00AE3A29">
        <w:trPr>
          <w:divId w:val="1316184749"/>
          <w:trHeight w:val="300"/>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EF52E6" w14:textId="77777777" w:rsidR="00977138" w:rsidRPr="00687DE8" w:rsidRDefault="00977138" w:rsidP="00977138">
            <w:pPr>
              <w:spacing w:after="0" w:line="240" w:lineRule="auto"/>
              <w:rPr>
                <w:szCs w:val="24"/>
              </w:rPr>
            </w:pPr>
            <w:r w:rsidRPr="00687DE8">
              <w:rPr>
                <w:szCs w:val="24"/>
              </w:rPr>
              <w:t>Rinnanäärme eemaldamine</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4C036B" w14:textId="77777777" w:rsidR="00977138" w:rsidRPr="00687DE8" w:rsidRDefault="00977138" w:rsidP="00977138">
            <w:pPr>
              <w:spacing w:after="0" w:line="240" w:lineRule="auto"/>
              <w:jc w:val="center"/>
              <w:rPr>
                <w:szCs w:val="24"/>
              </w:rPr>
            </w:pPr>
            <w:r w:rsidRPr="00687DE8">
              <w:rPr>
                <w:szCs w:val="24"/>
              </w:rPr>
              <w:t>1H2105</w:t>
            </w:r>
          </w:p>
        </w:tc>
        <w:tc>
          <w:tcPr>
            <w:tcW w:w="112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A842FA" w14:textId="4F8A34FF" w:rsidR="00AC7403" w:rsidRPr="00687DE8" w:rsidRDefault="00554E4F">
            <w:pPr>
              <w:spacing w:after="0"/>
              <w:jc w:val="center"/>
              <w:rPr>
                <w:szCs w:val="24"/>
              </w:rPr>
            </w:pPr>
            <w:r>
              <w:rPr>
                <w:color w:val="000000"/>
              </w:rPr>
              <w:t>694,77</w:t>
            </w:r>
          </w:p>
        </w:tc>
      </w:tr>
      <w:tr w:rsidR="00977138" w:rsidRPr="00687DE8" w14:paraId="7E0C93AE" w14:textId="77777777" w:rsidTr="00AE3A29">
        <w:trPr>
          <w:divId w:val="1316184749"/>
          <w:trHeight w:val="300"/>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EB6BAF" w14:textId="77777777" w:rsidR="00977138" w:rsidRPr="00687DE8" w:rsidRDefault="00977138" w:rsidP="00977138">
            <w:pPr>
              <w:spacing w:after="0" w:line="240" w:lineRule="auto"/>
              <w:rPr>
                <w:szCs w:val="24"/>
              </w:rPr>
            </w:pPr>
            <w:r w:rsidRPr="00687DE8">
              <w:rPr>
                <w:szCs w:val="24"/>
              </w:rPr>
              <w:t>Rinnanäärme sektorresektsioon lümfisõlmede eemaldamisega</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8F1914" w14:textId="77777777" w:rsidR="00977138" w:rsidRPr="00687DE8" w:rsidRDefault="00977138" w:rsidP="00977138">
            <w:pPr>
              <w:spacing w:after="0" w:line="240" w:lineRule="auto"/>
              <w:jc w:val="center"/>
              <w:rPr>
                <w:szCs w:val="24"/>
              </w:rPr>
            </w:pPr>
            <w:r w:rsidRPr="00687DE8">
              <w:rPr>
                <w:szCs w:val="24"/>
              </w:rPr>
              <w:t>1H2106</w:t>
            </w:r>
          </w:p>
        </w:tc>
        <w:tc>
          <w:tcPr>
            <w:tcW w:w="112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9F14D9" w14:textId="041FF7DA" w:rsidR="00AC7403" w:rsidRPr="00687DE8" w:rsidRDefault="00554E4F">
            <w:pPr>
              <w:spacing w:after="0"/>
              <w:jc w:val="center"/>
              <w:rPr>
                <w:szCs w:val="24"/>
              </w:rPr>
            </w:pPr>
            <w:r>
              <w:rPr>
                <w:color w:val="000000"/>
              </w:rPr>
              <w:t>797,22</w:t>
            </w:r>
          </w:p>
        </w:tc>
      </w:tr>
      <w:tr w:rsidR="00977138" w:rsidRPr="00687DE8" w14:paraId="77A4244B" w14:textId="77777777" w:rsidTr="00AE3A29">
        <w:trPr>
          <w:divId w:val="1316184749"/>
          <w:trHeight w:val="300"/>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8A704C" w14:textId="77777777" w:rsidR="00977138" w:rsidRPr="00687DE8" w:rsidRDefault="00977138" w:rsidP="00977138">
            <w:pPr>
              <w:spacing w:after="0" w:line="240" w:lineRule="auto"/>
              <w:rPr>
                <w:szCs w:val="24"/>
              </w:rPr>
            </w:pPr>
            <w:r w:rsidRPr="00687DE8">
              <w:rPr>
                <w:szCs w:val="24"/>
              </w:rPr>
              <w:lastRenderedPageBreak/>
              <w:t>Rinnanäärme sektorresektsioon näärmekoe osalise nihutamisega</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02F7A4" w14:textId="77777777" w:rsidR="00977138" w:rsidRPr="00687DE8" w:rsidRDefault="00977138" w:rsidP="00977138">
            <w:pPr>
              <w:spacing w:after="0" w:line="240" w:lineRule="auto"/>
              <w:jc w:val="center"/>
              <w:rPr>
                <w:szCs w:val="24"/>
              </w:rPr>
            </w:pPr>
            <w:r w:rsidRPr="00687DE8">
              <w:rPr>
                <w:szCs w:val="24"/>
              </w:rPr>
              <w:t>1H2103</w:t>
            </w:r>
          </w:p>
        </w:tc>
        <w:tc>
          <w:tcPr>
            <w:tcW w:w="112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7BB9C2" w14:textId="5974182C" w:rsidR="01C47CF4" w:rsidRPr="00687DE8" w:rsidRDefault="00554E4F">
            <w:pPr>
              <w:spacing w:after="0"/>
              <w:jc w:val="center"/>
              <w:rPr>
                <w:color w:val="000000" w:themeColor="text1"/>
                <w:szCs w:val="24"/>
              </w:rPr>
            </w:pPr>
            <w:r>
              <w:rPr>
                <w:color w:val="000000"/>
              </w:rPr>
              <w:t>647,58</w:t>
            </w:r>
          </w:p>
        </w:tc>
      </w:tr>
      <w:tr w:rsidR="00977138" w:rsidRPr="00687DE8" w14:paraId="39D19D5B" w14:textId="77777777" w:rsidTr="00AE3A29">
        <w:trPr>
          <w:divId w:val="1316184749"/>
          <w:trHeight w:val="300"/>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11526B" w14:textId="77777777" w:rsidR="00977138" w:rsidRPr="00687DE8" w:rsidRDefault="00977138" w:rsidP="00977138">
            <w:pPr>
              <w:spacing w:after="0" w:line="240" w:lineRule="auto"/>
              <w:rPr>
                <w:szCs w:val="24"/>
              </w:rPr>
            </w:pPr>
            <w:r w:rsidRPr="00687DE8">
              <w:rPr>
                <w:szCs w:val="24"/>
              </w:rPr>
              <w:t>Rinnanäärme korduv sektorresektsioon (kasvaja lõikepiiril)</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93D8C6" w14:textId="77777777" w:rsidR="00977138" w:rsidRPr="00687DE8" w:rsidRDefault="00977138" w:rsidP="00977138">
            <w:pPr>
              <w:spacing w:after="0" w:line="240" w:lineRule="auto"/>
              <w:jc w:val="center"/>
              <w:rPr>
                <w:szCs w:val="24"/>
              </w:rPr>
            </w:pPr>
            <w:r w:rsidRPr="00687DE8">
              <w:rPr>
                <w:szCs w:val="24"/>
              </w:rPr>
              <w:t>1H2104</w:t>
            </w:r>
          </w:p>
        </w:tc>
        <w:tc>
          <w:tcPr>
            <w:tcW w:w="112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18785F" w14:textId="55D02FBE" w:rsidR="01C47CF4" w:rsidRPr="00687DE8" w:rsidRDefault="00554E4F">
            <w:pPr>
              <w:spacing w:after="0"/>
              <w:jc w:val="center"/>
              <w:rPr>
                <w:color w:val="000000" w:themeColor="text1"/>
                <w:szCs w:val="24"/>
              </w:rPr>
            </w:pPr>
            <w:r>
              <w:rPr>
                <w:color w:val="000000"/>
              </w:rPr>
              <w:t>761,50</w:t>
            </w:r>
          </w:p>
        </w:tc>
      </w:tr>
      <w:tr w:rsidR="00977138" w:rsidRPr="00687DE8" w14:paraId="11C90428" w14:textId="77777777" w:rsidTr="00AE3A29">
        <w:trPr>
          <w:divId w:val="1316184749"/>
          <w:trHeight w:val="300"/>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8E6C6C" w14:textId="77777777" w:rsidR="00977138" w:rsidRPr="00687DE8" w:rsidRDefault="00977138" w:rsidP="00977138">
            <w:pPr>
              <w:spacing w:after="0" w:line="240" w:lineRule="auto"/>
              <w:rPr>
                <w:szCs w:val="24"/>
              </w:rPr>
            </w:pPr>
            <w:r w:rsidRPr="00687DE8">
              <w:rPr>
                <w:szCs w:val="24"/>
              </w:rPr>
              <w:t>Rinnanäärme reduktsioonplastika</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E24633" w14:textId="77777777" w:rsidR="00977138" w:rsidRPr="00687DE8" w:rsidRDefault="00977138" w:rsidP="00977138">
            <w:pPr>
              <w:spacing w:after="0" w:line="240" w:lineRule="auto"/>
              <w:jc w:val="center"/>
              <w:rPr>
                <w:szCs w:val="24"/>
              </w:rPr>
            </w:pPr>
            <w:r w:rsidRPr="00687DE8">
              <w:rPr>
                <w:szCs w:val="24"/>
              </w:rPr>
              <w:t>1H2114</w:t>
            </w:r>
          </w:p>
        </w:tc>
        <w:tc>
          <w:tcPr>
            <w:tcW w:w="112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E32936" w14:textId="2EC46B1C" w:rsidR="00AC7403" w:rsidRPr="00687DE8" w:rsidRDefault="00554E4F">
            <w:pPr>
              <w:spacing w:after="0"/>
              <w:jc w:val="center"/>
              <w:rPr>
                <w:szCs w:val="24"/>
              </w:rPr>
            </w:pPr>
            <w:r>
              <w:rPr>
                <w:color w:val="000000"/>
              </w:rPr>
              <w:t>1 158,93</w:t>
            </w:r>
          </w:p>
        </w:tc>
      </w:tr>
      <w:tr w:rsidR="00977138" w:rsidRPr="00687DE8" w14:paraId="2621796B" w14:textId="77777777" w:rsidTr="00AE3A29">
        <w:trPr>
          <w:divId w:val="1316184749"/>
          <w:trHeight w:val="300"/>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B12003" w14:textId="77777777" w:rsidR="00977138" w:rsidRPr="00687DE8" w:rsidRDefault="00977138" w:rsidP="00977138">
            <w:pPr>
              <w:spacing w:after="0" w:line="240" w:lineRule="auto"/>
              <w:rPr>
                <w:szCs w:val="24"/>
              </w:rPr>
            </w:pPr>
            <w:r w:rsidRPr="00687DE8">
              <w:rPr>
                <w:szCs w:val="24"/>
              </w:rPr>
              <w:t>Rinnanäärme täielik eemaldamine koos lümfisõlmedega</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25F6BF" w14:textId="77777777" w:rsidR="00977138" w:rsidRPr="00687DE8" w:rsidRDefault="00977138" w:rsidP="00977138">
            <w:pPr>
              <w:spacing w:after="0" w:line="240" w:lineRule="auto"/>
              <w:jc w:val="center"/>
              <w:rPr>
                <w:szCs w:val="24"/>
              </w:rPr>
            </w:pPr>
            <w:r w:rsidRPr="00687DE8">
              <w:rPr>
                <w:szCs w:val="24"/>
              </w:rPr>
              <w:t>1H2107</w:t>
            </w:r>
          </w:p>
        </w:tc>
        <w:tc>
          <w:tcPr>
            <w:tcW w:w="112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8F8F23" w14:textId="404DD7E8" w:rsidR="00AC7403" w:rsidRPr="00687DE8" w:rsidRDefault="00554E4F">
            <w:pPr>
              <w:spacing w:after="0"/>
              <w:jc w:val="center"/>
              <w:rPr>
                <w:szCs w:val="24"/>
              </w:rPr>
            </w:pPr>
            <w:r>
              <w:rPr>
                <w:color w:val="000000"/>
              </w:rPr>
              <w:t>809,21</w:t>
            </w:r>
          </w:p>
        </w:tc>
      </w:tr>
      <w:tr w:rsidR="00977138" w:rsidRPr="00687DE8" w14:paraId="64529F76" w14:textId="77777777" w:rsidTr="00AE3A29">
        <w:trPr>
          <w:divId w:val="1316184749"/>
          <w:trHeight w:val="300"/>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3BD6CF" w14:textId="77777777" w:rsidR="00977138" w:rsidRPr="00687DE8" w:rsidRDefault="00977138" w:rsidP="00977138">
            <w:pPr>
              <w:spacing w:after="0" w:line="240" w:lineRule="auto"/>
              <w:outlineLvl w:val="2"/>
              <w:rPr>
                <w:szCs w:val="24"/>
              </w:rPr>
            </w:pPr>
            <w:r w:rsidRPr="00687DE8">
              <w:rPr>
                <w:szCs w:val="24"/>
              </w:rPr>
              <w:t>Subkutaanne rinnanäärme eemaldamine</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ACB458" w14:textId="77777777" w:rsidR="00977138" w:rsidRPr="00687DE8" w:rsidRDefault="00977138" w:rsidP="00977138">
            <w:pPr>
              <w:spacing w:after="0" w:line="240" w:lineRule="auto"/>
              <w:jc w:val="center"/>
              <w:rPr>
                <w:szCs w:val="24"/>
              </w:rPr>
            </w:pPr>
            <w:r w:rsidRPr="00687DE8">
              <w:rPr>
                <w:szCs w:val="24"/>
              </w:rPr>
              <w:t>1H2108</w:t>
            </w:r>
          </w:p>
        </w:tc>
        <w:tc>
          <w:tcPr>
            <w:tcW w:w="112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B65D1D" w14:textId="0560A4BE" w:rsidR="01C47CF4" w:rsidRPr="00687DE8" w:rsidRDefault="00554E4F">
            <w:pPr>
              <w:spacing w:after="0"/>
              <w:jc w:val="center"/>
              <w:rPr>
                <w:color w:val="000000" w:themeColor="text1"/>
                <w:szCs w:val="24"/>
              </w:rPr>
            </w:pPr>
            <w:r>
              <w:rPr>
                <w:color w:val="000000"/>
              </w:rPr>
              <w:t>970,21</w:t>
            </w:r>
          </w:p>
        </w:tc>
      </w:tr>
      <w:tr w:rsidR="00977138" w:rsidRPr="00687DE8" w14:paraId="78C3B89E" w14:textId="77777777" w:rsidTr="00AE3A29">
        <w:trPr>
          <w:divId w:val="1316184749"/>
          <w:trHeight w:val="300"/>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BC5FA3" w14:textId="77777777" w:rsidR="00977138" w:rsidRPr="00687DE8" w:rsidRDefault="00977138" w:rsidP="00977138">
            <w:pPr>
              <w:spacing w:after="0" w:line="240" w:lineRule="auto"/>
              <w:rPr>
                <w:szCs w:val="24"/>
              </w:rPr>
            </w:pPr>
            <w:r w:rsidRPr="00687DE8">
              <w:rPr>
                <w:szCs w:val="24"/>
              </w:rPr>
              <w:t>Rinnanäärme eemaldamine, plastika ja/või rekonstruktsioon proteesiga</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ADCE06" w14:textId="77777777" w:rsidR="00977138" w:rsidRPr="00687DE8" w:rsidRDefault="00977138" w:rsidP="00977138">
            <w:pPr>
              <w:spacing w:after="0" w:line="240" w:lineRule="auto"/>
              <w:jc w:val="center"/>
              <w:rPr>
                <w:szCs w:val="24"/>
              </w:rPr>
            </w:pPr>
          </w:p>
          <w:p w14:paraId="57C5A5E7" w14:textId="77777777" w:rsidR="00977138" w:rsidRPr="00687DE8" w:rsidRDefault="00977138" w:rsidP="00977138">
            <w:pPr>
              <w:spacing w:after="0" w:line="240" w:lineRule="auto"/>
              <w:jc w:val="center"/>
              <w:rPr>
                <w:szCs w:val="24"/>
              </w:rPr>
            </w:pPr>
            <w:r w:rsidRPr="00687DE8">
              <w:rPr>
                <w:szCs w:val="24"/>
              </w:rPr>
              <w:t>1H2111</w:t>
            </w:r>
          </w:p>
        </w:tc>
        <w:tc>
          <w:tcPr>
            <w:tcW w:w="112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6A4061" w14:textId="679CCF1C" w:rsidR="00AC7403" w:rsidRPr="00687DE8" w:rsidRDefault="00554E4F">
            <w:pPr>
              <w:spacing w:after="0"/>
              <w:jc w:val="center"/>
              <w:rPr>
                <w:szCs w:val="24"/>
              </w:rPr>
            </w:pPr>
            <w:r>
              <w:rPr>
                <w:color w:val="000000"/>
              </w:rPr>
              <w:t>1 107,45</w:t>
            </w:r>
          </w:p>
        </w:tc>
      </w:tr>
      <w:tr w:rsidR="00977138" w:rsidRPr="00687DE8" w14:paraId="21CADF7B" w14:textId="77777777" w:rsidTr="00AE3A29">
        <w:trPr>
          <w:divId w:val="1316184749"/>
          <w:trHeight w:val="300"/>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8E7CB0" w14:textId="77777777" w:rsidR="00977138" w:rsidRPr="00687DE8" w:rsidRDefault="00977138" w:rsidP="00977138">
            <w:pPr>
              <w:spacing w:after="0" w:line="240" w:lineRule="auto"/>
              <w:rPr>
                <w:szCs w:val="24"/>
              </w:rPr>
            </w:pPr>
            <w:r w:rsidRPr="00687DE8">
              <w:rPr>
                <w:szCs w:val="24"/>
              </w:rPr>
              <w:t>Rinnaimplantaadi eemaldamine</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522603" w14:textId="77777777" w:rsidR="00977138" w:rsidRPr="00687DE8" w:rsidRDefault="00977138" w:rsidP="00977138">
            <w:pPr>
              <w:spacing w:after="0" w:line="240" w:lineRule="auto"/>
              <w:jc w:val="center"/>
              <w:rPr>
                <w:szCs w:val="24"/>
              </w:rPr>
            </w:pPr>
            <w:r w:rsidRPr="00687DE8">
              <w:rPr>
                <w:szCs w:val="24"/>
              </w:rPr>
              <w:t>1H2112</w:t>
            </w:r>
          </w:p>
        </w:tc>
        <w:tc>
          <w:tcPr>
            <w:tcW w:w="112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279A36" w14:textId="05C246F5" w:rsidR="01C47CF4" w:rsidRPr="00687DE8" w:rsidRDefault="00554E4F">
            <w:pPr>
              <w:spacing w:after="0"/>
              <w:jc w:val="center"/>
              <w:rPr>
                <w:color w:val="000000" w:themeColor="text1"/>
                <w:szCs w:val="24"/>
              </w:rPr>
            </w:pPr>
            <w:r>
              <w:rPr>
                <w:color w:val="000000"/>
              </w:rPr>
              <w:t>847,21</w:t>
            </w:r>
          </w:p>
        </w:tc>
      </w:tr>
      <w:tr w:rsidR="00977138" w:rsidRPr="00687DE8" w14:paraId="7FD14DFD" w14:textId="77777777" w:rsidTr="00AE3A29">
        <w:trPr>
          <w:divId w:val="1316184749"/>
          <w:trHeight w:val="300"/>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EC48E6" w14:textId="77777777" w:rsidR="00977138" w:rsidRPr="00687DE8" w:rsidRDefault="00977138" w:rsidP="00977138">
            <w:pPr>
              <w:spacing w:after="0" w:line="240" w:lineRule="auto"/>
              <w:rPr>
                <w:szCs w:val="24"/>
              </w:rPr>
            </w:pPr>
            <w:r w:rsidRPr="00687DE8">
              <w:rPr>
                <w:szCs w:val="24"/>
              </w:rPr>
              <w:t>Rinna korrigeerimine rinnavähi ravi järel</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B589E1" w14:textId="77777777" w:rsidR="00977138" w:rsidRPr="00687DE8" w:rsidRDefault="00977138" w:rsidP="00977138">
            <w:pPr>
              <w:spacing w:after="0" w:line="240" w:lineRule="auto"/>
              <w:jc w:val="center"/>
              <w:rPr>
                <w:szCs w:val="24"/>
              </w:rPr>
            </w:pPr>
            <w:r w:rsidRPr="00687DE8">
              <w:rPr>
                <w:szCs w:val="24"/>
              </w:rPr>
              <w:t>1H2113</w:t>
            </w:r>
          </w:p>
        </w:tc>
        <w:tc>
          <w:tcPr>
            <w:tcW w:w="112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99AC37" w14:textId="0928DA0F" w:rsidR="00AC7403" w:rsidRPr="00687DE8" w:rsidRDefault="00554E4F">
            <w:pPr>
              <w:spacing w:after="0"/>
              <w:jc w:val="center"/>
              <w:rPr>
                <w:szCs w:val="24"/>
              </w:rPr>
            </w:pPr>
            <w:r>
              <w:rPr>
                <w:color w:val="000000"/>
              </w:rPr>
              <w:t>1 394,21</w:t>
            </w:r>
          </w:p>
        </w:tc>
      </w:tr>
      <w:tr w:rsidR="00977138" w:rsidRPr="00687DE8" w14:paraId="5B28C1E3" w14:textId="77777777" w:rsidTr="00AE3A29">
        <w:trPr>
          <w:divId w:val="1316184749"/>
          <w:trHeight w:val="300"/>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A9D913" w14:textId="77777777" w:rsidR="00977138" w:rsidRPr="00687DE8" w:rsidRDefault="00977138" w:rsidP="00977138">
            <w:pPr>
              <w:spacing w:after="0" w:line="240" w:lineRule="auto"/>
              <w:rPr>
                <w:szCs w:val="24"/>
              </w:rPr>
            </w:pPr>
            <w:r w:rsidRPr="00687DE8">
              <w:rPr>
                <w:szCs w:val="24"/>
              </w:rPr>
              <w:t>Rinnanibu rekonstruktsioon</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F9729C" w14:textId="77777777" w:rsidR="00977138" w:rsidRPr="00687DE8" w:rsidRDefault="00977138" w:rsidP="00977138">
            <w:pPr>
              <w:spacing w:after="0" w:line="240" w:lineRule="auto"/>
              <w:jc w:val="center"/>
              <w:rPr>
                <w:szCs w:val="24"/>
              </w:rPr>
            </w:pPr>
            <w:r w:rsidRPr="00687DE8">
              <w:rPr>
                <w:szCs w:val="24"/>
              </w:rPr>
              <w:t>1H2115</w:t>
            </w:r>
          </w:p>
        </w:tc>
        <w:tc>
          <w:tcPr>
            <w:tcW w:w="112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D8AFB3" w14:textId="7F4215A3" w:rsidR="00AC7403" w:rsidRPr="00687DE8" w:rsidRDefault="00554E4F">
            <w:pPr>
              <w:spacing w:after="0"/>
              <w:jc w:val="center"/>
              <w:rPr>
                <w:szCs w:val="24"/>
              </w:rPr>
            </w:pPr>
            <w:r>
              <w:rPr>
                <w:color w:val="000000"/>
              </w:rPr>
              <w:t>437,77</w:t>
            </w:r>
          </w:p>
        </w:tc>
      </w:tr>
      <w:tr w:rsidR="00977138" w:rsidRPr="00687DE8" w14:paraId="7055FE3E" w14:textId="77777777" w:rsidTr="00AE3A29">
        <w:trPr>
          <w:divId w:val="1316184749"/>
          <w:trHeight w:val="300"/>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A2F922" w14:textId="77777777" w:rsidR="00977138" w:rsidRPr="00687DE8" w:rsidRDefault="00977138" w:rsidP="00977138">
            <w:pPr>
              <w:spacing w:after="0" w:line="240" w:lineRule="auto"/>
              <w:rPr>
                <w:szCs w:val="24"/>
              </w:rPr>
            </w:pPr>
            <w:r w:rsidRPr="00687DE8">
              <w:rPr>
                <w:szCs w:val="24"/>
              </w:rPr>
              <w:t>Koeekspandri asetamine või eemaldamine</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3C54C3" w14:textId="77777777" w:rsidR="00977138" w:rsidRPr="00687DE8" w:rsidRDefault="00977138" w:rsidP="00977138">
            <w:pPr>
              <w:spacing w:after="0" w:line="240" w:lineRule="auto"/>
              <w:jc w:val="center"/>
              <w:rPr>
                <w:szCs w:val="24"/>
              </w:rPr>
            </w:pPr>
            <w:r w:rsidRPr="00687DE8">
              <w:rPr>
                <w:szCs w:val="24"/>
              </w:rPr>
              <w:t>1H2110</w:t>
            </w:r>
          </w:p>
        </w:tc>
        <w:tc>
          <w:tcPr>
            <w:tcW w:w="112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7BD4D5" w14:textId="25450427" w:rsidR="00AC7403" w:rsidRPr="00687DE8" w:rsidRDefault="00554E4F">
            <w:pPr>
              <w:spacing w:after="0"/>
              <w:jc w:val="center"/>
              <w:rPr>
                <w:szCs w:val="24"/>
              </w:rPr>
            </w:pPr>
            <w:r>
              <w:rPr>
                <w:color w:val="000000"/>
              </w:rPr>
              <w:t>1 107,45</w:t>
            </w:r>
          </w:p>
        </w:tc>
      </w:tr>
      <w:tr w:rsidR="00977138" w:rsidRPr="00687DE8" w14:paraId="5CA219F7" w14:textId="77777777" w:rsidTr="00AE3A29">
        <w:trPr>
          <w:divId w:val="1316184749"/>
          <w:trHeight w:val="300"/>
        </w:trPr>
        <w:tc>
          <w:tcPr>
            <w:tcW w:w="6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0775AE" w14:textId="77777777" w:rsidR="00977138" w:rsidRPr="00687DE8" w:rsidRDefault="00977138" w:rsidP="00977138">
            <w:pPr>
              <w:spacing w:after="0" w:line="240" w:lineRule="auto"/>
              <w:rPr>
                <w:szCs w:val="24"/>
              </w:rPr>
            </w:pPr>
            <w:r w:rsidRPr="00687DE8">
              <w:rPr>
                <w:szCs w:val="24"/>
              </w:rPr>
              <w:t>Valvurlümfisõlme biopsia ja operatsioon</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3A5013" w14:textId="77777777" w:rsidR="00977138" w:rsidRPr="00687DE8" w:rsidRDefault="00977138" w:rsidP="00977138">
            <w:pPr>
              <w:spacing w:after="0" w:line="240" w:lineRule="auto"/>
              <w:jc w:val="center"/>
              <w:rPr>
                <w:szCs w:val="24"/>
              </w:rPr>
            </w:pPr>
            <w:r w:rsidRPr="00687DE8">
              <w:rPr>
                <w:szCs w:val="24"/>
              </w:rPr>
              <w:t>1P2134</w:t>
            </w:r>
          </w:p>
        </w:tc>
        <w:tc>
          <w:tcPr>
            <w:tcW w:w="112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0E73724" w14:textId="63BD2269" w:rsidR="00AC7403" w:rsidRPr="00687DE8" w:rsidRDefault="00554E4F">
            <w:pPr>
              <w:spacing w:after="0"/>
              <w:jc w:val="center"/>
              <w:rPr>
                <w:szCs w:val="24"/>
              </w:rPr>
            </w:pPr>
            <w:r>
              <w:rPr>
                <w:color w:val="000000"/>
              </w:rPr>
              <w:t>602,31</w:t>
            </w:r>
          </w:p>
        </w:tc>
      </w:tr>
    </w:tbl>
    <w:p w14:paraId="51CAF87D" w14:textId="77777777" w:rsidR="00976487" w:rsidRPr="00687DE8" w:rsidRDefault="00976487" w:rsidP="00976487">
      <w:pPr>
        <w:spacing w:after="0" w:line="240" w:lineRule="auto"/>
        <w:jc w:val="both"/>
        <w:outlineLvl w:val="2"/>
        <w:divId w:val="1316184749"/>
        <w:rPr>
          <w:szCs w:val="24"/>
        </w:rPr>
      </w:pPr>
    </w:p>
    <w:p w14:paraId="72ABB27E" w14:textId="77777777" w:rsidR="00976487" w:rsidRPr="00687DE8" w:rsidRDefault="00976487" w:rsidP="00976487">
      <w:pPr>
        <w:spacing w:after="0" w:line="240" w:lineRule="auto"/>
        <w:jc w:val="both"/>
        <w:outlineLvl w:val="2"/>
        <w:divId w:val="1316184749"/>
        <w:rPr>
          <w:szCs w:val="24"/>
        </w:rPr>
      </w:pPr>
      <w:r w:rsidRPr="00687DE8">
        <w:rPr>
          <w:szCs w:val="24"/>
        </w:rPr>
        <w:t>(2) Koodiga 1H2115 tähistatud tervishoiuteenust ei rakendata koos teiste lõikes 1 loetletud teenustega.</w:t>
      </w:r>
    </w:p>
    <w:p w14:paraId="3FEB78DF" w14:textId="77777777" w:rsidR="00976487" w:rsidRPr="00687DE8" w:rsidRDefault="00976487" w:rsidP="00976487">
      <w:pPr>
        <w:spacing w:after="0" w:line="240" w:lineRule="auto"/>
        <w:jc w:val="both"/>
        <w:outlineLvl w:val="2"/>
        <w:divId w:val="1316184749"/>
        <w:rPr>
          <w:szCs w:val="24"/>
        </w:rPr>
      </w:pPr>
    </w:p>
    <w:p w14:paraId="4788C878" w14:textId="77777777" w:rsidR="00976487" w:rsidRPr="00687DE8" w:rsidRDefault="00976487" w:rsidP="00976487">
      <w:pPr>
        <w:spacing w:after="0" w:line="240" w:lineRule="auto"/>
        <w:jc w:val="both"/>
        <w:outlineLvl w:val="2"/>
        <w:divId w:val="1316184749"/>
        <w:rPr>
          <w:szCs w:val="24"/>
        </w:rPr>
      </w:pPr>
      <w:r w:rsidRPr="00687DE8">
        <w:rPr>
          <w:szCs w:val="24"/>
        </w:rPr>
        <w:t>(3) Koodidega 1H2111 ja 1H2113 tähistatud tervishoiuteenuseid rakendatakse juhul, kui otsuse teenuse vajalikkuse kohta on teinud pahaloomulise kasvaja paikmepõhine multidistsiplinaarne eksper</w:t>
      </w:r>
      <w:r w:rsidR="00FB0E00" w:rsidRPr="00687DE8">
        <w:rPr>
          <w:szCs w:val="24"/>
        </w:rPr>
        <w:t>di</w:t>
      </w:r>
      <w:r w:rsidRPr="00687DE8">
        <w:rPr>
          <w:szCs w:val="24"/>
        </w:rPr>
        <w:t xml:space="preserve">komisjon, millesse kuulub vähemalt üks plastika- ja rekonstruktiivkirurgia eriala arst, ning teenust osutatakse plastika- ja rekonstruktiivkirurgia eriala tegevusluba omavas haiglas. </w:t>
      </w:r>
    </w:p>
    <w:p w14:paraId="657F8C0B" w14:textId="77777777" w:rsidR="00976487" w:rsidRPr="00687DE8" w:rsidRDefault="00976487" w:rsidP="00976487">
      <w:pPr>
        <w:spacing w:after="0" w:line="240" w:lineRule="auto"/>
        <w:jc w:val="both"/>
        <w:outlineLvl w:val="2"/>
        <w:divId w:val="1316184749"/>
        <w:rPr>
          <w:szCs w:val="24"/>
        </w:rPr>
      </w:pPr>
    </w:p>
    <w:p w14:paraId="692C63C6" w14:textId="7568F98A" w:rsidR="00976487" w:rsidRPr="00687DE8" w:rsidRDefault="00976487" w:rsidP="00976487">
      <w:pPr>
        <w:spacing w:after="0" w:line="240" w:lineRule="auto"/>
        <w:jc w:val="both"/>
        <w:outlineLvl w:val="2"/>
        <w:divId w:val="1316184749"/>
        <w:rPr>
          <w:szCs w:val="24"/>
        </w:rPr>
      </w:pPr>
      <w:r w:rsidRPr="00687DE8">
        <w:rPr>
          <w:szCs w:val="24"/>
        </w:rPr>
        <w:t xml:space="preserve">(4) </w:t>
      </w:r>
      <w:r w:rsidR="005023FD" w:rsidRPr="00687DE8">
        <w:rPr>
          <w:szCs w:val="24"/>
        </w:rPr>
        <w:t>Tervisekassa</w:t>
      </w:r>
      <w:r w:rsidRPr="00687DE8">
        <w:rPr>
          <w:szCs w:val="24"/>
        </w:rPr>
        <w:t xml:space="preserve"> võtab koodiga 1H2111 tähistatud tervishoiuteenuse eest tasu maksmise kohustuse üle Polandi sündroomi (</w:t>
      </w:r>
      <w:r w:rsidR="00A92B26" w:rsidRPr="00687DE8">
        <w:rPr>
          <w:szCs w:val="24"/>
        </w:rPr>
        <w:t xml:space="preserve">RHK 10 kood </w:t>
      </w:r>
      <w:r w:rsidRPr="00687DE8">
        <w:rPr>
          <w:szCs w:val="24"/>
        </w:rPr>
        <w:t>Q79.8) korral juhul, kui otsuse teenuse rakendamise vajalikkuse kohta on teinud multidistsiplinaarne eksper</w:t>
      </w:r>
      <w:r w:rsidR="00FB0E00" w:rsidRPr="00687DE8">
        <w:rPr>
          <w:szCs w:val="24"/>
        </w:rPr>
        <w:t>di</w:t>
      </w:r>
      <w:r w:rsidRPr="00687DE8">
        <w:rPr>
          <w:szCs w:val="24"/>
        </w:rPr>
        <w:t>komisjon, millesse kuuluvad patsiendi raviarst, meditsiinigeneetik ja plastika- ja rekonstruktiivkirurgia eriala arst, ning teenust osutatakse plastika- ja rekonstruktiivkirurgia eriala tegevusluba omavas haiglas.</w:t>
      </w:r>
    </w:p>
    <w:p w14:paraId="66FCA4B4" w14:textId="77777777" w:rsidR="00976487" w:rsidRPr="00687DE8" w:rsidRDefault="00976487" w:rsidP="00976487">
      <w:pPr>
        <w:spacing w:after="0" w:line="240" w:lineRule="auto"/>
        <w:jc w:val="both"/>
        <w:divId w:val="1316184749"/>
        <w:rPr>
          <w:szCs w:val="24"/>
        </w:rPr>
      </w:pPr>
    </w:p>
    <w:p w14:paraId="05477E50" w14:textId="77777777" w:rsidR="00230DE7" w:rsidRDefault="00976487" w:rsidP="00976487">
      <w:pPr>
        <w:pStyle w:val="Loendilik"/>
        <w:spacing w:after="0" w:line="240" w:lineRule="auto"/>
        <w:ind w:left="0"/>
        <w:jc w:val="both"/>
        <w:outlineLvl w:val="2"/>
        <w:divId w:val="1316184749"/>
        <w:rPr>
          <w:b/>
          <w:szCs w:val="24"/>
        </w:rPr>
      </w:pPr>
      <w:r w:rsidRPr="00687DE8">
        <w:rPr>
          <w:b/>
          <w:szCs w:val="24"/>
        </w:rPr>
        <w:t xml:space="preserve">§ </w:t>
      </w:r>
      <w:r w:rsidR="00FD5122" w:rsidRPr="00687DE8">
        <w:rPr>
          <w:b/>
          <w:szCs w:val="24"/>
        </w:rPr>
        <w:t>59</w:t>
      </w:r>
      <w:r w:rsidRPr="00687DE8">
        <w:rPr>
          <w:b/>
          <w:szCs w:val="24"/>
        </w:rPr>
        <w:t>. </w:t>
      </w:r>
      <w:r w:rsidRPr="00FE630B">
        <w:rPr>
          <w:b/>
          <w:szCs w:val="24"/>
        </w:rPr>
        <w:t>Simultaanoperatsiooni</w:t>
      </w:r>
      <w:r w:rsidRPr="00687DE8">
        <w:rPr>
          <w:b/>
          <w:szCs w:val="24"/>
        </w:rPr>
        <w:t xml:space="preserve"> eest tasu maksmise kohustuse ülevõtmine</w:t>
      </w:r>
    </w:p>
    <w:p w14:paraId="6F8F3454" w14:textId="77777777" w:rsidR="002635DB" w:rsidRDefault="002635DB" w:rsidP="00976487">
      <w:pPr>
        <w:spacing w:after="0" w:line="240" w:lineRule="auto"/>
        <w:jc w:val="both"/>
        <w:divId w:val="1316184749"/>
      </w:pPr>
    </w:p>
    <w:p w14:paraId="22C56C46" w14:textId="1D8417BB" w:rsidR="00976487" w:rsidRPr="00687DE8" w:rsidRDefault="00976487" w:rsidP="00976487">
      <w:pPr>
        <w:spacing w:after="0" w:line="240" w:lineRule="auto"/>
        <w:jc w:val="both"/>
        <w:divId w:val="1316184749"/>
      </w:pPr>
      <w:r>
        <w:t xml:space="preserve">(1) Käesolevas peatükis nimetatud tervishoiuteenuse eest </w:t>
      </w:r>
      <w:r w:rsidR="005023FD">
        <w:t>Tervisekassa</w:t>
      </w:r>
      <w:r>
        <w:t xml:space="preserve"> poolt tasu maksmise kohustuse ülevõtmisel loetakse simultaanoperatsiooniks juhtu, kui patsiendile osutatakse samas anatoomilises piirkonnas mitut käesolevas peatükis nimetatud tervishoiuteenust ühel ajal või ühe anesteesia vältel. </w:t>
      </w:r>
      <w:r w:rsidR="00EA7793">
        <w:t>Simultaanoperatsiooni</w:t>
      </w:r>
      <w:r w:rsidR="009F1082">
        <w:t xml:space="preserve"> tegemisel statsionaarsel ravil viibivale patsiendile </w:t>
      </w:r>
      <w:r>
        <w:t xml:space="preserve">tasutakse esimese operatsiooni eest 100% piirhinnast, teise operatsiooni eest 40% piirhinnast ja </w:t>
      </w:r>
      <w:r w:rsidRPr="00375A78">
        <w:t>järgnevate operatsioonide</w:t>
      </w:r>
      <w:r>
        <w:t xml:space="preserve"> eest 0% piirhinnast. </w:t>
      </w:r>
      <w:r w:rsidR="00E97458">
        <w:t xml:space="preserve">Simultaanoperatsiooni tegemisel päevakirurgias või </w:t>
      </w:r>
      <w:r w:rsidR="00B74A59">
        <w:t xml:space="preserve">ambulatoorsel ravil viibivale patsiendile </w:t>
      </w:r>
      <w:r w:rsidR="001854DE">
        <w:t>tasutakse esimese operatsiooni eest</w:t>
      </w:r>
      <w:r w:rsidR="006D05F4">
        <w:t xml:space="preserve"> 100% piirhinnast</w:t>
      </w:r>
      <w:r w:rsidR="0049100F">
        <w:t xml:space="preserve"> ja järgnevate operatsioonide eest 0% piirhinnast</w:t>
      </w:r>
      <w:r w:rsidR="001854DE">
        <w:t xml:space="preserve">. </w:t>
      </w:r>
    </w:p>
    <w:p w14:paraId="0AD78F87" w14:textId="77777777" w:rsidR="00976487" w:rsidRPr="00687DE8" w:rsidRDefault="00976487" w:rsidP="00976487">
      <w:pPr>
        <w:spacing w:after="0" w:line="240" w:lineRule="auto"/>
        <w:jc w:val="both"/>
        <w:divId w:val="1316184749"/>
        <w:rPr>
          <w:szCs w:val="24"/>
        </w:rPr>
      </w:pPr>
    </w:p>
    <w:p w14:paraId="0AA9D635" w14:textId="73109FE0" w:rsidR="00976487" w:rsidRPr="00687DE8" w:rsidRDefault="00976487" w:rsidP="00976487">
      <w:pPr>
        <w:spacing w:after="0" w:line="240" w:lineRule="auto"/>
        <w:jc w:val="both"/>
        <w:divId w:val="1316184749"/>
        <w:rPr>
          <w:szCs w:val="24"/>
        </w:rPr>
      </w:pPr>
      <w:r w:rsidRPr="00687DE8">
        <w:rPr>
          <w:szCs w:val="24"/>
        </w:rPr>
        <w:t xml:space="preserve">(2) Anatoomiline piirkond käesoleva paragrahvi </w:t>
      </w:r>
      <w:r w:rsidR="00F14349">
        <w:rPr>
          <w:szCs w:val="24"/>
        </w:rPr>
        <w:t>tähenduses</w:t>
      </w:r>
      <w:r w:rsidRPr="00687DE8">
        <w:rPr>
          <w:szCs w:val="24"/>
        </w:rPr>
        <w:t xml:space="preserve"> on ülajäse, alajäse, vaagen, rindkere, rinnanääre, kõht, pea (</w:t>
      </w:r>
      <w:r w:rsidR="00DC4841" w:rsidRPr="00687DE8">
        <w:rPr>
          <w:szCs w:val="24"/>
        </w:rPr>
        <w:t>välja arvatud</w:t>
      </w:r>
      <w:r w:rsidRPr="00687DE8">
        <w:rPr>
          <w:szCs w:val="24"/>
        </w:rPr>
        <w:t> ajukolju), ajukolju, kael, lülisammas. Anatoomiline piirkond hõlmab kõiki vastava piirkonna kudesid ja elundeid.</w:t>
      </w:r>
    </w:p>
    <w:p w14:paraId="308B7085" w14:textId="77777777" w:rsidR="00976487" w:rsidRPr="00687DE8" w:rsidRDefault="00976487" w:rsidP="00976487">
      <w:pPr>
        <w:spacing w:after="0" w:line="240" w:lineRule="auto"/>
        <w:jc w:val="both"/>
        <w:divId w:val="1316184749"/>
        <w:rPr>
          <w:szCs w:val="24"/>
        </w:rPr>
      </w:pPr>
    </w:p>
    <w:p w14:paraId="706859CF" w14:textId="77777777" w:rsidR="00976487" w:rsidRPr="00687DE8" w:rsidRDefault="00976487" w:rsidP="00976487">
      <w:pPr>
        <w:spacing w:after="0" w:line="240" w:lineRule="auto"/>
        <w:jc w:val="both"/>
        <w:divId w:val="1316184749"/>
        <w:rPr>
          <w:szCs w:val="24"/>
        </w:rPr>
      </w:pPr>
      <w:r w:rsidRPr="00687DE8">
        <w:rPr>
          <w:szCs w:val="24"/>
        </w:rPr>
        <w:t xml:space="preserve">(3) Kahe neeru siirdamise puhul rakendatakse koodiga </w:t>
      </w:r>
      <w:r w:rsidR="00F81027" w:rsidRPr="00687DE8">
        <w:rPr>
          <w:szCs w:val="24"/>
        </w:rPr>
        <w:t>1K2140</w:t>
      </w:r>
      <w:r w:rsidRPr="00687DE8">
        <w:rPr>
          <w:szCs w:val="24"/>
        </w:rPr>
        <w:t xml:space="preserve"> tähistatud tervishoiuteenust kaks korda ning ei rakendata lõikes 1 nimetatud piiranguid.</w:t>
      </w:r>
    </w:p>
    <w:p w14:paraId="6E4A3C94" w14:textId="77777777" w:rsidR="00976487" w:rsidRPr="00687DE8" w:rsidRDefault="00976487" w:rsidP="00976487">
      <w:pPr>
        <w:spacing w:after="0" w:line="240" w:lineRule="auto"/>
        <w:jc w:val="both"/>
        <w:divId w:val="1316184749"/>
        <w:rPr>
          <w:szCs w:val="24"/>
        </w:rPr>
      </w:pPr>
    </w:p>
    <w:p w14:paraId="3102E6A3" w14:textId="77777777" w:rsidR="00976487" w:rsidRPr="00687DE8" w:rsidRDefault="00976487" w:rsidP="00976487">
      <w:pPr>
        <w:spacing w:after="0" w:line="240" w:lineRule="auto"/>
        <w:jc w:val="both"/>
        <w:divId w:val="1316184749"/>
        <w:rPr>
          <w:szCs w:val="24"/>
        </w:rPr>
      </w:pPr>
      <w:r w:rsidRPr="00687DE8">
        <w:rPr>
          <w:szCs w:val="24"/>
        </w:rPr>
        <w:t>(4) Kahe kopsu siirdamise puhul rakendatakse koodiga 100408 tähistatud tervishoiuteenust kaks korda ning ei rakendata lõikes 1 nimetatud piiranguid.</w:t>
      </w:r>
    </w:p>
    <w:p w14:paraId="5756D235" w14:textId="77777777" w:rsidR="00976487" w:rsidRPr="00687DE8" w:rsidRDefault="00976487" w:rsidP="00976487">
      <w:pPr>
        <w:spacing w:after="0" w:line="240" w:lineRule="auto"/>
        <w:jc w:val="both"/>
        <w:divId w:val="1316184749"/>
        <w:rPr>
          <w:szCs w:val="24"/>
        </w:rPr>
      </w:pPr>
    </w:p>
    <w:p w14:paraId="38CB10AC" w14:textId="77777777" w:rsidR="00976487" w:rsidRPr="00687DE8" w:rsidRDefault="00976487" w:rsidP="00976487">
      <w:pPr>
        <w:spacing w:after="0" w:line="240" w:lineRule="auto"/>
        <w:jc w:val="both"/>
        <w:divId w:val="1316184749"/>
        <w:rPr>
          <w:szCs w:val="24"/>
        </w:rPr>
      </w:pPr>
      <w:r w:rsidRPr="00687DE8">
        <w:rPr>
          <w:szCs w:val="24"/>
        </w:rPr>
        <w:t>(5) Kahe silma sarvkesta siirdamise puhul rakendatakse koodiga 70911 tähistatud tervishoiuteenust kaks korda ning ei rakendata lõikes 1 nimetatud piiranguid.</w:t>
      </w:r>
    </w:p>
    <w:p w14:paraId="614B7305" w14:textId="77777777" w:rsidR="00976487" w:rsidRPr="00687DE8" w:rsidRDefault="00976487" w:rsidP="00976487">
      <w:pPr>
        <w:spacing w:after="0" w:line="240" w:lineRule="auto"/>
        <w:jc w:val="both"/>
        <w:divId w:val="1316184749"/>
        <w:rPr>
          <w:szCs w:val="24"/>
        </w:rPr>
      </w:pPr>
    </w:p>
    <w:p w14:paraId="26886D2C" w14:textId="04A3F92C" w:rsidR="00976487" w:rsidRPr="00687DE8" w:rsidRDefault="00976487" w:rsidP="00976487">
      <w:pPr>
        <w:spacing w:after="0" w:line="240" w:lineRule="auto"/>
        <w:jc w:val="both"/>
        <w:divId w:val="1316184749"/>
      </w:pPr>
      <w:r>
        <w:t>(6) Väikese liigese endoproteesimise puhul rakendatakse koodiga 0N2138 tähistatud tervishoiuteenust vastavalt proteesitud väikeste liigeste arvule ning ei rakendata lõikes 1 nimetatud piiranguid.</w:t>
      </w:r>
    </w:p>
    <w:p w14:paraId="5AD0E91B" w14:textId="77777777" w:rsidR="00976487" w:rsidRPr="00687DE8" w:rsidRDefault="00976487" w:rsidP="00976487">
      <w:pPr>
        <w:spacing w:after="0" w:line="240" w:lineRule="auto"/>
        <w:jc w:val="both"/>
        <w:divId w:val="1316184749"/>
        <w:rPr>
          <w:szCs w:val="24"/>
        </w:rPr>
      </w:pPr>
    </w:p>
    <w:p w14:paraId="1B8B8C86" w14:textId="219AC8E4" w:rsidR="00976487" w:rsidRPr="00687DE8" w:rsidRDefault="00976487" w:rsidP="00976487">
      <w:pPr>
        <w:spacing w:after="0" w:line="240" w:lineRule="auto"/>
        <w:jc w:val="both"/>
        <w:divId w:val="1316184749"/>
        <w:rPr>
          <w:szCs w:val="24"/>
        </w:rPr>
      </w:pPr>
      <w:r w:rsidRPr="00687DE8">
        <w:rPr>
          <w:szCs w:val="24"/>
        </w:rPr>
        <w:t>(7) Elusdoonori luukoe eemaldamise ja käitluse puhul rakendatakse koodidega 1N2160 ja 1N2161 tähistatud tervishoiuteenuseid üks kord ning ei rakendata lõikes 1 nimetatud piiranguid.</w:t>
      </w:r>
    </w:p>
    <w:p w14:paraId="539AB0BE" w14:textId="77777777" w:rsidR="00976487" w:rsidRPr="00687DE8" w:rsidRDefault="00976487" w:rsidP="00976487">
      <w:pPr>
        <w:spacing w:after="0" w:line="240" w:lineRule="auto"/>
        <w:jc w:val="both"/>
        <w:divId w:val="1316184749"/>
        <w:rPr>
          <w:szCs w:val="24"/>
        </w:rPr>
      </w:pPr>
    </w:p>
    <w:p w14:paraId="707B4E79" w14:textId="77777777" w:rsidR="00976487" w:rsidRPr="00687DE8" w:rsidRDefault="00976487" w:rsidP="00976487">
      <w:pPr>
        <w:spacing w:after="0" w:line="240" w:lineRule="auto"/>
        <w:jc w:val="both"/>
        <w:divId w:val="1316184749"/>
      </w:pPr>
      <w:r>
        <w:t>(8) Elusdoonori vaskulaarkoe eemaldamise ja käitluse puhul rakendatakse koodidega 0P2104 ja 1P2116 tähistatud tervishoiuteenuseid üks kord ning ei rakendata lõikes 1 nimetatud piiranguid.</w:t>
      </w:r>
    </w:p>
    <w:p w14:paraId="27FDE1EE" w14:textId="5F10A03F" w:rsidR="33AC7023" w:rsidRDefault="33AC7023" w:rsidP="33AC7023">
      <w:pPr>
        <w:spacing w:after="0" w:line="240" w:lineRule="auto"/>
        <w:jc w:val="both"/>
      </w:pPr>
    </w:p>
    <w:p w14:paraId="66A7ECB8" w14:textId="5FD2424B" w:rsidR="00490F71" w:rsidRDefault="467EFE12" w:rsidP="33AC7023">
      <w:pPr>
        <w:spacing w:after="0" w:line="240" w:lineRule="auto"/>
        <w:jc w:val="both"/>
      </w:pPr>
      <w:r>
        <w:t xml:space="preserve">(9) </w:t>
      </w:r>
      <w:r w:rsidR="00EF310A">
        <w:t xml:space="preserve">Lõikes 1 nimetatud </w:t>
      </w:r>
      <w:r w:rsidR="00DB5484">
        <w:t xml:space="preserve">tasumise piirangut </w:t>
      </w:r>
      <w:r w:rsidR="00E8194B">
        <w:t xml:space="preserve">ambulatoorsel ravil </w:t>
      </w:r>
      <w:r w:rsidR="00CB12CE">
        <w:t>või</w:t>
      </w:r>
      <w:r w:rsidR="00E8194B">
        <w:t xml:space="preserve"> päevakirurgias viibivale patsiendile </w:t>
      </w:r>
      <w:r w:rsidR="00C826F5">
        <w:t>s</w:t>
      </w:r>
      <w:r>
        <w:t xml:space="preserve">imultaanoperatsiooni </w:t>
      </w:r>
      <w:r w:rsidR="00FD3C67">
        <w:t xml:space="preserve">tegemise </w:t>
      </w:r>
      <w:r w:rsidR="0068628C">
        <w:t>eest tasumisel</w:t>
      </w:r>
      <w:r w:rsidR="00EA014C">
        <w:t xml:space="preserve"> ei rakendata </w:t>
      </w:r>
      <w:r w:rsidR="00F14349">
        <w:t>ning</w:t>
      </w:r>
      <w:r w:rsidR="00EA014C">
        <w:t xml:space="preserve"> </w:t>
      </w:r>
      <w:r>
        <w:t xml:space="preserve">esimese operatsiooni eest </w:t>
      </w:r>
      <w:r w:rsidR="00EA014C">
        <w:t xml:space="preserve">tasutakse </w:t>
      </w:r>
      <w:r>
        <w:t>100% piirhinnast, teise operatsiooni eest 40% piirhinnast ja järgnevate operatsioonide eest 0% piirhinnast</w:t>
      </w:r>
      <w:r w:rsidR="4040830D">
        <w:t xml:space="preserve"> </w:t>
      </w:r>
      <w:r w:rsidR="00EB2C96">
        <w:t xml:space="preserve">ainult </w:t>
      </w:r>
      <w:r w:rsidR="4040830D">
        <w:t>järgmiste</w:t>
      </w:r>
      <w:r w:rsidR="009F6352">
        <w:t>l juhtudel</w:t>
      </w:r>
      <w:r w:rsidR="003D55FC">
        <w:t>:</w:t>
      </w:r>
      <w:r w:rsidR="4040830D">
        <w:t xml:space="preserve"> </w:t>
      </w:r>
    </w:p>
    <w:p w14:paraId="6822CF3F" w14:textId="2A833BC1" w:rsidR="467EFE12" w:rsidRDefault="29EEDD96" w:rsidP="33AC7023">
      <w:pPr>
        <w:spacing w:after="0" w:line="240" w:lineRule="auto"/>
        <w:jc w:val="both"/>
      </w:pPr>
      <w:r>
        <w:t xml:space="preserve">1) </w:t>
      </w:r>
      <w:r w:rsidR="27F967D9">
        <w:t>koodi</w:t>
      </w:r>
      <w:r w:rsidR="00DF4E86">
        <w:t>dega</w:t>
      </w:r>
      <w:r w:rsidR="1C678EBE">
        <w:t xml:space="preserve"> 1E2182</w:t>
      </w:r>
      <w:r w:rsidR="6147F4FD">
        <w:t xml:space="preserve"> </w:t>
      </w:r>
      <w:r w:rsidR="17060F10">
        <w:t>ja 1E2183</w:t>
      </w:r>
      <w:r w:rsidR="6147F4FD">
        <w:t xml:space="preserve"> </w:t>
      </w:r>
      <w:r w:rsidR="27F967D9">
        <w:t>tähistatud teenuse</w:t>
      </w:r>
      <w:r w:rsidR="30D384A8">
        <w:t xml:space="preserve"> </w:t>
      </w:r>
      <w:r w:rsidR="42C63C72">
        <w:t>osutamisel</w:t>
      </w:r>
      <w:r w:rsidR="30D384A8">
        <w:t xml:space="preserve"> </w:t>
      </w:r>
      <w:r w:rsidR="6147F4FD">
        <w:t xml:space="preserve">koos </w:t>
      </w:r>
      <w:r w:rsidR="27F967D9">
        <w:t xml:space="preserve">koodiga </w:t>
      </w:r>
      <w:r w:rsidR="230D0B57">
        <w:t xml:space="preserve">1D2101 </w:t>
      </w:r>
      <w:r w:rsidR="27F967D9">
        <w:t>tähistatud teenusega</w:t>
      </w:r>
      <w:r w:rsidR="0349831B">
        <w:t>;</w:t>
      </w:r>
    </w:p>
    <w:p w14:paraId="0435F2B1" w14:textId="4E7217E8" w:rsidR="002D0D6D" w:rsidRDefault="324E0173" w:rsidP="00976487">
      <w:pPr>
        <w:spacing w:after="0" w:line="240" w:lineRule="auto"/>
        <w:jc w:val="both"/>
        <w:divId w:val="1316184749"/>
      </w:pPr>
      <w:r>
        <w:t>2</w:t>
      </w:r>
      <w:r w:rsidR="350B99A5">
        <w:t xml:space="preserve">) </w:t>
      </w:r>
      <w:r w:rsidR="407AFBFD">
        <w:t>koodiga</w:t>
      </w:r>
      <w:r w:rsidR="350B99A5">
        <w:t xml:space="preserve"> 1L2202</w:t>
      </w:r>
      <w:r w:rsidR="5288C94B">
        <w:t xml:space="preserve"> </w:t>
      </w:r>
      <w:r w:rsidR="0FF25159">
        <w:t xml:space="preserve">tähistatud teenuse </w:t>
      </w:r>
      <w:r w:rsidR="5432C4F8">
        <w:t>osutamisel</w:t>
      </w:r>
      <w:r w:rsidR="5288C94B">
        <w:t xml:space="preserve"> koos </w:t>
      </w:r>
      <w:r w:rsidR="3413DA13">
        <w:t>koodiga</w:t>
      </w:r>
      <w:r w:rsidR="5288C94B">
        <w:t xml:space="preserve"> </w:t>
      </w:r>
      <w:r w:rsidR="350B99A5">
        <w:t>1L2201</w:t>
      </w:r>
      <w:r w:rsidR="3413DA13">
        <w:t xml:space="preserve"> tähistatud teenusega</w:t>
      </w:r>
      <w:r w:rsidR="3EEDFD7F">
        <w:t>;</w:t>
      </w:r>
    </w:p>
    <w:p w14:paraId="78B478E2" w14:textId="0A0C03C4" w:rsidR="00FF5B48" w:rsidRDefault="1C637FEE" w:rsidP="00976487">
      <w:pPr>
        <w:spacing w:after="0" w:line="240" w:lineRule="auto"/>
        <w:jc w:val="both"/>
        <w:divId w:val="1316184749"/>
        <w:rPr>
          <w:sz w:val="22"/>
          <w:lang w:val="sv-SE"/>
        </w:rPr>
      </w:pPr>
      <w:r>
        <w:t>3</w:t>
      </w:r>
      <w:r w:rsidR="00FF5B48">
        <w:t>)</w:t>
      </w:r>
      <w:r w:rsidR="000B21C3">
        <w:t xml:space="preserve"> </w:t>
      </w:r>
      <w:r w:rsidR="7937BF5F">
        <w:t>käesoleva määruse</w:t>
      </w:r>
      <w:r w:rsidR="000B21C3">
        <w:t xml:space="preserve"> </w:t>
      </w:r>
      <w:r w:rsidR="007536D6">
        <w:t>§ 55 lõikes 1 nimetatud</w:t>
      </w:r>
      <w:r w:rsidR="007536D6" w:rsidRPr="3862E899">
        <w:rPr>
          <w:b/>
        </w:rPr>
        <w:t xml:space="preserve"> </w:t>
      </w:r>
      <w:r w:rsidR="000B21C3">
        <w:t>teen</w:t>
      </w:r>
      <w:r w:rsidR="00DA7FE3">
        <w:t xml:space="preserve">uste </w:t>
      </w:r>
      <w:r w:rsidR="00D75AD4" w:rsidRPr="1ADA21B1">
        <w:rPr>
          <w:lang w:val="sv-SE"/>
        </w:rPr>
        <w:t>osutamisel</w:t>
      </w:r>
      <w:r w:rsidR="00753FB0" w:rsidRPr="1ADA21B1">
        <w:rPr>
          <w:lang w:val="sv-SE"/>
        </w:rPr>
        <w:t xml:space="preserve"> mõlemal silmal</w:t>
      </w:r>
      <w:r w:rsidR="00AD5DEB" w:rsidRPr="1ADA21B1">
        <w:rPr>
          <w:lang w:val="sv-SE"/>
        </w:rPr>
        <w:t>;</w:t>
      </w:r>
    </w:p>
    <w:p w14:paraId="4458C109" w14:textId="09F91993" w:rsidR="00782E4D" w:rsidRPr="00687DE8" w:rsidRDefault="274D19C3" w:rsidP="00782E4D">
      <w:pPr>
        <w:spacing w:after="0" w:line="240" w:lineRule="auto"/>
        <w:jc w:val="both"/>
        <w:divId w:val="1316184749"/>
      </w:pPr>
      <w:r w:rsidRPr="1ADA21B1">
        <w:rPr>
          <w:lang w:val="sv-SE"/>
        </w:rPr>
        <w:t>4</w:t>
      </w:r>
      <w:r w:rsidR="00782E4D" w:rsidRPr="1ADA21B1">
        <w:rPr>
          <w:lang w:val="sv-SE"/>
        </w:rPr>
        <w:t xml:space="preserve">) </w:t>
      </w:r>
      <w:r w:rsidR="00AD5DEB" w:rsidRPr="1ADA21B1">
        <w:rPr>
          <w:lang w:val="sv-SE"/>
        </w:rPr>
        <w:t>koodiga</w:t>
      </w:r>
      <w:r w:rsidR="00782E4D">
        <w:rPr>
          <w:sz w:val="22"/>
          <w:lang w:val="sv-SE"/>
        </w:rPr>
        <w:t xml:space="preserve"> </w:t>
      </w:r>
      <w:r w:rsidR="00782E4D">
        <w:t>0J2115 või 0J2217</w:t>
      </w:r>
      <w:r w:rsidR="00C96A06">
        <w:t xml:space="preserve"> </w:t>
      </w:r>
      <w:r w:rsidR="00AD5DEB">
        <w:t xml:space="preserve">tähistatud teenuse </w:t>
      </w:r>
      <w:r w:rsidR="00D75AD4">
        <w:t>osutamisel</w:t>
      </w:r>
      <w:r w:rsidR="00C96A06">
        <w:t xml:space="preserve"> mõlemapoolse kubemesonga </w:t>
      </w:r>
      <w:r w:rsidR="00E62D84">
        <w:t>korral</w:t>
      </w:r>
      <w:r w:rsidR="00AD5DEB">
        <w:t>.</w:t>
      </w:r>
    </w:p>
    <w:p w14:paraId="2E745AFB" w14:textId="77777777" w:rsidR="00490F71" w:rsidRPr="00687DE8" w:rsidRDefault="00490F71" w:rsidP="00976487">
      <w:pPr>
        <w:spacing w:after="0" w:line="240" w:lineRule="auto"/>
        <w:jc w:val="both"/>
        <w:divId w:val="1316184749"/>
        <w:rPr>
          <w:szCs w:val="24"/>
        </w:rPr>
      </w:pPr>
    </w:p>
    <w:p w14:paraId="1F7E5286" w14:textId="77777777" w:rsidR="00976487" w:rsidRDefault="00976487" w:rsidP="00976487">
      <w:pPr>
        <w:spacing w:after="0" w:line="240" w:lineRule="auto"/>
        <w:jc w:val="both"/>
        <w:outlineLvl w:val="2"/>
        <w:divId w:val="1316184749"/>
        <w:rPr>
          <w:b/>
          <w:szCs w:val="24"/>
        </w:rPr>
      </w:pPr>
      <w:r w:rsidRPr="00687DE8">
        <w:rPr>
          <w:b/>
          <w:szCs w:val="24"/>
        </w:rPr>
        <w:t xml:space="preserve">§ </w:t>
      </w:r>
      <w:r w:rsidR="00000D45" w:rsidRPr="00687DE8">
        <w:rPr>
          <w:b/>
          <w:szCs w:val="24"/>
        </w:rPr>
        <w:t>6</w:t>
      </w:r>
      <w:r w:rsidR="00FD5122" w:rsidRPr="00687DE8">
        <w:rPr>
          <w:b/>
          <w:szCs w:val="24"/>
        </w:rPr>
        <w:t>0</w:t>
      </w:r>
      <w:r w:rsidR="00A439AD" w:rsidRPr="00687DE8">
        <w:rPr>
          <w:b/>
          <w:szCs w:val="24"/>
        </w:rPr>
        <w:t>.</w:t>
      </w:r>
      <w:r w:rsidRPr="00687DE8">
        <w:rPr>
          <w:b/>
          <w:szCs w:val="24"/>
        </w:rPr>
        <w:t> Laparoskoopia eest tasu maksmise kohustuse ülevõtmine</w:t>
      </w:r>
    </w:p>
    <w:p w14:paraId="57C04DBD" w14:textId="77777777" w:rsidR="002635DB" w:rsidRDefault="002635DB" w:rsidP="0067751E">
      <w:pPr>
        <w:pStyle w:val="Loendilik"/>
        <w:spacing w:after="0" w:line="240" w:lineRule="auto"/>
        <w:ind w:left="0"/>
        <w:jc w:val="both"/>
        <w:divId w:val="1316184749"/>
        <w:rPr>
          <w:szCs w:val="24"/>
        </w:rPr>
      </w:pPr>
    </w:p>
    <w:p w14:paraId="4C30A137" w14:textId="66A09A9C" w:rsidR="00214160" w:rsidRPr="00687DE8" w:rsidRDefault="00976487" w:rsidP="0067751E">
      <w:pPr>
        <w:pStyle w:val="Loendilik"/>
        <w:spacing w:after="0" w:line="240" w:lineRule="auto"/>
        <w:ind w:left="0"/>
        <w:jc w:val="both"/>
        <w:divId w:val="1316184749"/>
        <w:rPr>
          <w:szCs w:val="24"/>
        </w:rPr>
      </w:pPr>
      <w:r w:rsidRPr="00687DE8">
        <w:rPr>
          <w:szCs w:val="24"/>
        </w:rPr>
        <w:t>Koodiga 0J2220 tähistatud tervishoiuteenust ei rakendata koos käesolevas peatükis loetletud laparoskoopiliste operatsioonidega.</w:t>
      </w:r>
    </w:p>
    <w:p w14:paraId="00A5A036" w14:textId="77777777" w:rsidR="00976487" w:rsidRPr="00687DE8" w:rsidRDefault="00976487" w:rsidP="00976487">
      <w:pPr>
        <w:spacing w:after="0" w:line="240" w:lineRule="auto"/>
        <w:jc w:val="center"/>
        <w:outlineLvl w:val="1"/>
        <w:divId w:val="1316184749"/>
        <w:rPr>
          <w:b/>
          <w:bCs/>
          <w:szCs w:val="24"/>
        </w:rPr>
      </w:pPr>
    </w:p>
    <w:p w14:paraId="6CFFFA4D" w14:textId="627C352F" w:rsidR="00976487" w:rsidRPr="00687DE8" w:rsidRDefault="00976487" w:rsidP="00976487">
      <w:pPr>
        <w:spacing w:after="0" w:line="240" w:lineRule="auto"/>
        <w:jc w:val="center"/>
        <w:outlineLvl w:val="1"/>
        <w:divId w:val="1316184749"/>
        <w:rPr>
          <w:b/>
        </w:rPr>
      </w:pPr>
      <w:r w:rsidRPr="6B8F5314">
        <w:rPr>
          <w:b/>
        </w:rPr>
        <w:t>7. peatükk</w:t>
      </w:r>
      <w:r w:rsidR="29A174E5" w:rsidRPr="6B8F5314">
        <w:rPr>
          <w:b/>
          <w:bCs/>
        </w:rPr>
        <w:t xml:space="preserve"> </w:t>
      </w:r>
      <w:r>
        <w:br/>
      </w:r>
      <w:r w:rsidRPr="6B8F5314">
        <w:rPr>
          <w:b/>
        </w:rPr>
        <w:t>Meditsiiniseadmed ja ravimid</w:t>
      </w:r>
    </w:p>
    <w:p w14:paraId="33324F24" w14:textId="77777777" w:rsidR="00976487" w:rsidRPr="00687DE8" w:rsidRDefault="00976487" w:rsidP="00976487">
      <w:pPr>
        <w:spacing w:after="0" w:line="240" w:lineRule="auto"/>
        <w:jc w:val="both"/>
        <w:outlineLvl w:val="2"/>
        <w:divId w:val="1316184749"/>
        <w:rPr>
          <w:b/>
          <w:bCs/>
          <w:szCs w:val="24"/>
        </w:rPr>
      </w:pPr>
    </w:p>
    <w:p w14:paraId="2C12DE23" w14:textId="77777777" w:rsidR="00976487" w:rsidRDefault="00976487" w:rsidP="00976487">
      <w:pPr>
        <w:spacing w:after="0" w:line="240" w:lineRule="auto"/>
        <w:jc w:val="both"/>
        <w:outlineLvl w:val="2"/>
        <w:divId w:val="1316184749"/>
        <w:rPr>
          <w:b/>
          <w:szCs w:val="24"/>
        </w:rPr>
      </w:pPr>
      <w:r w:rsidRPr="00687DE8">
        <w:rPr>
          <w:b/>
          <w:szCs w:val="24"/>
        </w:rPr>
        <w:t>§ 6</w:t>
      </w:r>
      <w:r w:rsidR="00FD5122" w:rsidRPr="00687DE8">
        <w:rPr>
          <w:b/>
          <w:szCs w:val="24"/>
        </w:rPr>
        <w:t>1</w:t>
      </w:r>
      <w:r w:rsidRPr="00687DE8">
        <w:rPr>
          <w:b/>
          <w:szCs w:val="24"/>
        </w:rPr>
        <w:t>. Tervishoiuteenuste osutamisel kasutatavad meditsiiniseadmed</w:t>
      </w:r>
    </w:p>
    <w:p w14:paraId="04614EB2" w14:textId="77777777" w:rsidR="001B326D" w:rsidRDefault="001B326D" w:rsidP="00976487">
      <w:pPr>
        <w:spacing w:after="0" w:line="240" w:lineRule="auto"/>
        <w:jc w:val="both"/>
        <w:divId w:val="1316184749"/>
        <w:rPr>
          <w:szCs w:val="24"/>
        </w:rPr>
      </w:pPr>
    </w:p>
    <w:p w14:paraId="6AE0B82F" w14:textId="4DD1CAE3" w:rsidR="00976487" w:rsidRPr="00687DE8" w:rsidRDefault="00976487" w:rsidP="00976487">
      <w:pPr>
        <w:spacing w:after="0" w:line="240" w:lineRule="auto"/>
        <w:jc w:val="both"/>
        <w:divId w:val="1316184749"/>
        <w:rPr>
          <w:szCs w:val="24"/>
        </w:rPr>
      </w:pPr>
      <w:r w:rsidRPr="00687DE8">
        <w:rPr>
          <w:szCs w:val="24"/>
        </w:rPr>
        <w:t>(1) Tervishoiuteenuste osutamisel kasutatavate meditsiiniseadmete piirhinnad on järgmised:</w:t>
      </w:r>
    </w:p>
    <w:p w14:paraId="4A06CA40" w14:textId="77777777" w:rsidR="00976487" w:rsidRPr="00687DE8" w:rsidRDefault="00976487" w:rsidP="00976487">
      <w:pPr>
        <w:spacing w:after="0" w:line="240" w:lineRule="auto"/>
        <w:jc w:val="both"/>
        <w:divId w:val="1316184749"/>
        <w:rPr>
          <w:szCs w:val="24"/>
        </w:rPr>
      </w:pPr>
    </w:p>
    <w:tbl>
      <w:tblP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256"/>
        <w:gridCol w:w="1573"/>
      </w:tblGrid>
      <w:tr w:rsidR="00976487" w:rsidRPr="00687DE8" w14:paraId="6738CB1F" w14:textId="77777777" w:rsidTr="00E606DB">
        <w:trPr>
          <w:divId w:val="1316184749"/>
          <w:tblHeader/>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89D7BD" w14:textId="77777777" w:rsidR="00976487" w:rsidRPr="00687DE8" w:rsidRDefault="00976487">
            <w:pPr>
              <w:spacing w:after="0" w:line="240" w:lineRule="auto"/>
              <w:jc w:val="center"/>
              <w:rPr>
                <w:szCs w:val="24"/>
              </w:rPr>
            </w:pPr>
            <w:r w:rsidRPr="00687DE8">
              <w:rPr>
                <w:b/>
                <w:bCs/>
                <w:szCs w:val="24"/>
              </w:rPr>
              <w:t>Meditsiiniseadme nimetus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262303" w14:textId="77777777" w:rsidR="00976487" w:rsidRPr="00687DE8" w:rsidRDefault="00976487">
            <w:pPr>
              <w:spacing w:after="0" w:line="240" w:lineRule="auto"/>
              <w:jc w:val="center"/>
              <w:rPr>
                <w:szCs w:val="24"/>
              </w:rPr>
            </w:pPr>
            <w:r w:rsidRPr="00687DE8">
              <w:rPr>
                <w:b/>
                <w:bCs/>
                <w:szCs w:val="24"/>
              </w:rPr>
              <w:t>Kood</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19EA27" w14:textId="77777777" w:rsidR="00976487" w:rsidRPr="00687DE8" w:rsidRDefault="00976487">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976487" w:rsidRPr="00687DE8" w14:paraId="25C5C3D8"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D54A8B" w14:textId="77777777" w:rsidR="00976487" w:rsidRPr="00687DE8" w:rsidRDefault="00976487">
            <w:pPr>
              <w:spacing w:after="0" w:line="240" w:lineRule="auto"/>
              <w:rPr>
                <w:szCs w:val="24"/>
              </w:rPr>
            </w:pPr>
            <w:r w:rsidRPr="00687DE8">
              <w:rPr>
                <w:szCs w:val="24"/>
              </w:rPr>
              <w:t>Alumise õõnesveeni filter</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9967A5" w14:textId="77777777" w:rsidR="00976487" w:rsidRPr="00687DE8" w:rsidRDefault="00976487">
            <w:pPr>
              <w:spacing w:after="0" w:line="240" w:lineRule="auto"/>
              <w:jc w:val="center"/>
              <w:rPr>
                <w:szCs w:val="24"/>
              </w:rPr>
            </w:pPr>
            <w:r w:rsidRPr="00687DE8">
              <w:rPr>
                <w:szCs w:val="24"/>
              </w:rPr>
              <w:t>2502L</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2CC0D3" w14:textId="69DDF29B" w:rsidR="01C47CF4" w:rsidRPr="00687DE8" w:rsidRDefault="00B12B6C" w:rsidP="000C0728">
            <w:pPr>
              <w:spacing w:after="0"/>
              <w:jc w:val="center"/>
              <w:rPr>
                <w:color w:val="000000" w:themeColor="text1"/>
                <w:szCs w:val="24"/>
              </w:rPr>
            </w:pPr>
            <w:r>
              <w:rPr>
                <w:color w:val="000000"/>
              </w:rPr>
              <w:t>1 276,64</w:t>
            </w:r>
          </w:p>
        </w:tc>
      </w:tr>
      <w:tr w:rsidR="00976487" w:rsidRPr="00687DE8" w14:paraId="4B634424"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F6FF0D" w14:textId="77777777" w:rsidR="00976487" w:rsidRPr="00687DE8" w:rsidRDefault="00976487">
            <w:pPr>
              <w:spacing w:after="0" w:line="240" w:lineRule="auto"/>
              <w:rPr>
                <w:szCs w:val="24"/>
              </w:rPr>
            </w:pPr>
            <w:r w:rsidRPr="00687DE8">
              <w:rPr>
                <w:szCs w:val="24"/>
              </w:rPr>
              <w:t>Epikutaanne tsentraalne veenikateeter (G 24, G 27)</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A3576F" w14:textId="77777777" w:rsidR="00976487" w:rsidRPr="00687DE8" w:rsidRDefault="00976487">
            <w:pPr>
              <w:spacing w:after="0" w:line="240" w:lineRule="auto"/>
              <w:jc w:val="center"/>
              <w:rPr>
                <w:szCs w:val="24"/>
              </w:rPr>
            </w:pPr>
            <w:r w:rsidRPr="00687DE8">
              <w:rPr>
                <w:szCs w:val="24"/>
              </w:rPr>
              <w:t>2508L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B2FA70" w14:textId="02B103B2" w:rsidR="01C47CF4" w:rsidRPr="00687DE8" w:rsidRDefault="00B12B6C" w:rsidP="000C0728">
            <w:pPr>
              <w:spacing w:after="0"/>
              <w:jc w:val="center"/>
              <w:rPr>
                <w:color w:val="000000" w:themeColor="text1"/>
                <w:szCs w:val="24"/>
              </w:rPr>
            </w:pPr>
            <w:r>
              <w:rPr>
                <w:color w:val="000000"/>
              </w:rPr>
              <w:t>59,95</w:t>
            </w:r>
          </w:p>
        </w:tc>
      </w:tr>
      <w:tr w:rsidR="00976487" w:rsidRPr="00687DE8" w14:paraId="20243B93"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3A081F" w14:textId="77777777" w:rsidR="00976487" w:rsidRPr="00687DE8" w:rsidRDefault="00976487">
            <w:pPr>
              <w:spacing w:after="0" w:line="240" w:lineRule="auto"/>
              <w:rPr>
                <w:szCs w:val="24"/>
              </w:rPr>
            </w:pPr>
            <w:r w:rsidRPr="00687DE8">
              <w:rPr>
                <w:szCs w:val="24"/>
              </w:rPr>
              <w:t>Südame püsistimulatsiooni elektrood</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566E71" w14:textId="77777777" w:rsidR="00976487" w:rsidRPr="00687DE8" w:rsidRDefault="00976487">
            <w:pPr>
              <w:spacing w:after="0" w:line="240" w:lineRule="auto"/>
              <w:jc w:val="center"/>
              <w:rPr>
                <w:szCs w:val="24"/>
              </w:rPr>
            </w:pPr>
            <w:r w:rsidRPr="00687DE8">
              <w:rPr>
                <w:szCs w:val="24"/>
              </w:rPr>
              <w:t>2509L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261548" w14:textId="5BE77FE8" w:rsidR="00F7144D" w:rsidRPr="00687DE8" w:rsidRDefault="00B12B6C" w:rsidP="000C0728">
            <w:pPr>
              <w:spacing w:after="0"/>
              <w:jc w:val="center"/>
              <w:rPr>
                <w:szCs w:val="24"/>
              </w:rPr>
            </w:pPr>
            <w:r>
              <w:rPr>
                <w:color w:val="000000"/>
              </w:rPr>
              <w:t>285,00</w:t>
            </w:r>
          </w:p>
        </w:tc>
      </w:tr>
      <w:tr w:rsidR="00976487" w:rsidRPr="00687DE8" w14:paraId="157BC8ED"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0E42FB" w14:textId="77777777" w:rsidR="00976487" w:rsidRPr="00687DE8" w:rsidRDefault="00976487">
            <w:pPr>
              <w:spacing w:after="0" w:line="240" w:lineRule="auto"/>
              <w:rPr>
                <w:szCs w:val="24"/>
              </w:rPr>
            </w:pPr>
            <w:r w:rsidRPr="00687DE8">
              <w:rPr>
                <w:szCs w:val="24"/>
              </w:rPr>
              <w:t>Vahend avatud arteriaalse juha endovaskulaarseks sulgemiseks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2C6317" w14:textId="77777777" w:rsidR="00976487" w:rsidRPr="00687DE8" w:rsidRDefault="00976487">
            <w:pPr>
              <w:spacing w:after="0" w:line="240" w:lineRule="auto"/>
              <w:jc w:val="center"/>
              <w:rPr>
                <w:szCs w:val="24"/>
              </w:rPr>
            </w:pPr>
            <w:r w:rsidRPr="00687DE8">
              <w:rPr>
                <w:szCs w:val="24"/>
              </w:rPr>
              <w:t>2510L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259BEB" w14:textId="5B22C29F" w:rsidR="00D71C29" w:rsidRPr="00687DE8" w:rsidRDefault="00B12B6C" w:rsidP="009C289B">
            <w:pPr>
              <w:spacing w:after="0"/>
              <w:jc w:val="center"/>
              <w:rPr>
                <w:szCs w:val="24"/>
              </w:rPr>
            </w:pPr>
            <w:r>
              <w:rPr>
                <w:color w:val="000000"/>
              </w:rPr>
              <w:t>1 876,80</w:t>
            </w:r>
          </w:p>
        </w:tc>
      </w:tr>
      <w:tr w:rsidR="00976487" w:rsidRPr="00687DE8" w14:paraId="4D55A54E"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D7DB14" w14:textId="77777777" w:rsidR="00976487" w:rsidRPr="00687DE8" w:rsidRDefault="00976487">
            <w:pPr>
              <w:spacing w:after="0" w:line="240" w:lineRule="auto"/>
              <w:rPr>
                <w:szCs w:val="24"/>
              </w:rPr>
            </w:pPr>
            <w:r w:rsidRPr="00687DE8">
              <w:rPr>
                <w:szCs w:val="24"/>
              </w:rPr>
              <w:lastRenderedPageBreak/>
              <w:t>Südame vatsakest/vatsakesi toetav seade (VAD)</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FC63D6" w14:textId="77777777" w:rsidR="00976487" w:rsidRPr="00687DE8" w:rsidRDefault="00976487">
            <w:pPr>
              <w:spacing w:after="0" w:line="240" w:lineRule="auto"/>
              <w:jc w:val="center"/>
              <w:rPr>
                <w:szCs w:val="24"/>
              </w:rPr>
            </w:pPr>
            <w:r w:rsidRPr="00687DE8">
              <w:rPr>
                <w:szCs w:val="24"/>
              </w:rPr>
              <w:t>2511L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0EB2A8" w14:textId="5F912859" w:rsidR="41918BA2" w:rsidRPr="00687DE8" w:rsidRDefault="00B12B6C" w:rsidP="00F52D75">
            <w:pPr>
              <w:spacing w:after="0"/>
              <w:jc w:val="center"/>
              <w:rPr>
                <w:color w:val="000000" w:themeColor="text1"/>
                <w:szCs w:val="24"/>
              </w:rPr>
            </w:pPr>
            <w:r>
              <w:rPr>
                <w:color w:val="000000"/>
              </w:rPr>
              <w:t>107 400,00</w:t>
            </w:r>
          </w:p>
        </w:tc>
      </w:tr>
      <w:tr w:rsidR="00976487" w:rsidRPr="00687DE8" w14:paraId="2E775A14"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B38091" w14:textId="77777777" w:rsidR="00976487" w:rsidRPr="00687DE8" w:rsidRDefault="00976487">
            <w:pPr>
              <w:spacing w:after="0" w:line="240" w:lineRule="auto"/>
              <w:rPr>
                <w:szCs w:val="24"/>
              </w:rPr>
            </w:pPr>
            <w:r w:rsidRPr="00687DE8">
              <w:rPr>
                <w:szCs w:val="24"/>
              </w:rPr>
              <w:t>Südamestabilisaatori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5835B6" w14:textId="77777777" w:rsidR="00976487" w:rsidRPr="00687DE8" w:rsidRDefault="00976487">
            <w:pPr>
              <w:spacing w:after="0" w:line="240" w:lineRule="auto"/>
              <w:jc w:val="center"/>
              <w:rPr>
                <w:szCs w:val="24"/>
              </w:rPr>
            </w:pPr>
            <w:r w:rsidRPr="00687DE8">
              <w:rPr>
                <w:szCs w:val="24"/>
              </w:rPr>
              <w:t>2512L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0E5C77" w14:textId="5EC5CF53" w:rsidR="41918BA2" w:rsidRPr="00687DE8" w:rsidRDefault="00B12B6C">
            <w:pPr>
              <w:spacing w:after="0"/>
              <w:jc w:val="center"/>
              <w:rPr>
                <w:color w:val="000000" w:themeColor="text1"/>
                <w:szCs w:val="24"/>
              </w:rPr>
            </w:pPr>
            <w:r>
              <w:rPr>
                <w:color w:val="000000"/>
              </w:rPr>
              <w:t>570,00</w:t>
            </w:r>
          </w:p>
        </w:tc>
      </w:tr>
      <w:tr w:rsidR="00976487" w:rsidRPr="00687DE8" w14:paraId="5094CD8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C78C01" w14:textId="77777777" w:rsidR="00976487" w:rsidRPr="00687DE8" w:rsidRDefault="00976487">
            <w:pPr>
              <w:spacing w:after="0" w:line="240" w:lineRule="auto"/>
              <w:rPr>
                <w:szCs w:val="24"/>
              </w:rPr>
            </w:pPr>
            <w:r w:rsidRPr="00687DE8">
              <w:rPr>
                <w:szCs w:val="24"/>
              </w:rPr>
              <w:t>Mehhaaniline südameklapiprotees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52DAEF" w14:textId="77777777" w:rsidR="00976487" w:rsidRPr="00687DE8" w:rsidRDefault="00976487">
            <w:pPr>
              <w:spacing w:after="0" w:line="240" w:lineRule="auto"/>
              <w:jc w:val="center"/>
              <w:rPr>
                <w:szCs w:val="24"/>
              </w:rPr>
            </w:pPr>
            <w:r w:rsidRPr="00687DE8">
              <w:rPr>
                <w:szCs w:val="24"/>
              </w:rPr>
              <w:t>2513L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CE88BD" w14:textId="65AF79B1" w:rsidR="41918BA2" w:rsidRPr="00687DE8" w:rsidRDefault="00B12B6C">
            <w:pPr>
              <w:spacing w:after="0"/>
              <w:jc w:val="center"/>
              <w:rPr>
                <w:color w:val="000000" w:themeColor="text1"/>
                <w:szCs w:val="24"/>
              </w:rPr>
            </w:pPr>
            <w:r>
              <w:rPr>
                <w:color w:val="000000"/>
              </w:rPr>
              <w:t>2 000,00</w:t>
            </w:r>
          </w:p>
        </w:tc>
      </w:tr>
      <w:tr w:rsidR="00976487" w:rsidRPr="00687DE8" w14:paraId="127DC671"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9ED52A" w14:textId="77777777" w:rsidR="00976487" w:rsidRPr="00687DE8" w:rsidRDefault="00976487">
            <w:pPr>
              <w:spacing w:after="0" w:line="240" w:lineRule="auto"/>
              <w:rPr>
                <w:szCs w:val="24"/>
              </w:rPr>
            </w:pPr>
            <w:r w:rsidRPr="00687DE8">
              <w:rPr>
                <w:szCs w:val="24"/>
              </w:rPr>
              <w:t>Bioloogiline südameklapiprotees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64B3E1" w14:textId="77777777" w:rsidR="00976487" w:rsidRPr="00687DE8" w:rsidRDefault="00976487">
            <w:pPr>
              <w:spacing w:after="0" w:line="240" w:lineRule="auto"/>
              <w:jc w:val="center"/>
              <w:rPr>
                <w:szCs w:val="24"/>
              </w:rPr>
            </w:pPr>
            <w:r w:rsidRPr="00687DE8">
              <w:rPr>
                <w:szCs w:val="24"/>
              </w:rPr>
              <w:t>2515L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1AE97D" w14:textId="17DC73A3" w:rsidR="41918BA2" w:rsidRPr="00687DE8" w:rsidRDefault="00B12B6C">
            <w:pPr>
              <w:spacing w:after="0"/>
              <w:jc w:val="center"/>
              <w:rPr>
                <w:color w:val="000000" w:themeColor="text1"/>
                <w:szCs w:val="24"/>
              </w:rPr>
            </w:pPr>
            <w:r>
              <w:rPr>
                <w:color w:val="000000"/>
              </w:rPr>
              <w:t>1 171,14</w:t>
            </w:r>
          </w:p>
        </w:tc>
      </w:tr>
      <w:tr w:rsidR="00976487" w:rsidRPr="00687DE8" w14:paraId="37E894F3"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32A1C2" w14:textId="77777777" w:rsidR="00976487" w:rsidRPr="00687DE8" w:rsidRDefault="00976487">
            <w:pPr>
              <w:spacing w:after="0" w:line="240" w:lineRule="auto"/>
              <w:rPr>
                <w:szCs w:val="24"/>
              </w:rPr>
            </w:pPr>
            <w:r w:rsidRPr="00687DE8">
              <w:rPr>
                <w:szCs w:val="24"/>
              </w:rPr>
              <w:t>Bioloogiline perikardist südameklapiprotees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747EF8" w14:textId="77777777" w:rsidR="00976487" w:rsidRPr="00687DE8" w:rsidRDefault="00976487">
            <w:pPr>
              <w:spacing w:after="0" w:line="240" w:lineRule="auto"/>
              <w:jc w:val="center"/>
              <w:rPr>
                <w:szCs w:val="24"/>
              </w:rPr>
            </w:pPr>
            <w:r w:rsidRPr="00687DE8">
              <w:rPr>
                <w:szCs w:val="24"/>
              </w:rPr>
              <w:t>2516L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0C5232" w14:textId="7F4D031C" w:rsidR="41918BA2" w:rsidRPr="00687DE8" w:rsidRDefault="00B12B6C">
            <w:pPr>
              <w:spacing w:after="0"/>
              <w:jc w:val="center"/>
              <w:rPr>
                <w:color w:val="000000" w:themeColor="text1"/>
                <w:szCs w:val="24"/>
              </w:rPr>
            </w:pPr>
            <w:r>
              <w:rPr>
                <w:color w:val="000000"/>
              </w:rPr>
              <w:t>2 189,78</w:t>
            </w:r>
          </w:p>
        </w:tc>
      </w:tr>
      <w:tr w:rsidR="00976487" w:rsidRPr="00687DE8" w14:paraId="27E8C509"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A6FCA6" w14:textId="77777777" w:rsidR="00976487" w:rsidRPr="00687DE8" w:rsidRDefault="00976487">
            <w:pPr>
              <w:spacing w:after="0" w:line="240" w:lineRule="auto"/>
              <w:rPr>
                <w:szCs w:val="24"/>
              </w:rPr>
            </w:pPr>
            <w:r w:rsidRPr="00687DE8">
              <w:rPr>
                <w:szCs w:val="24"/>
              </w:rPr>
              <w:t>Mehhaanilise südameklapiga liitprotees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376C5B" w14:textId="77777777" w:rsidR="00976487" w:rsidRPr="00687DE8" w:rsidRDefault="00976487">
            <w:pPr>
              <w:spacing w:after="0" w:line="240" w:lineRule="auto"/>
              <w:jc w:val="center"/>
              <w:rPr>
                <w:szCs w:val="24"/>
              </w:rPr>
            </w:pPr>
            <w:r w:rsidRPr="00687DE8">
              <w:rPr>
                <w:szCs w:val="24"/>
              </w:rPr>
              <w:t>2517L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16BECE" w14:textId="487D53A4" w:rsidR="41918BA2" w:rsidRPr="00687DE8" w:rsidRDefault="00B12B6C">
            <w:pPr>
              <w:spacing w:after="0"/>
              <w:jc w:val="center"/>
              <w:rPr>
                <w:color w:val="000000" w:themeColor="text1"/>
                <w:szCs w:val="24"/>
              </w:rPr>
            </w:pPr>
            <w:r>
              <w:rPr>
                <w:color w:val="000000"/>
              </w:rPr>
              <w:t>1 820,00</w:t>
            </w:r>
          </w:p>
        </w:tc>
      </w:tr>
      <w:tr w:rsidR="00976487" w:rsidRPr="00687DE8" w14:paraId="6C2D0389"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DBB3A0" w14:textId="77777777" w:rsidR="00976487" w:rsidRPr="00687DE8" w:rsidRDefault="00976487">
            <w:pPr>
              <w:spacing w:after="0" w:line="240" w:lineRule="auto"/>
              <w:rPr>
                <w:szCs w:val="24"/>
              </w:rPr>
            </w:pPr>
            <w:r w:rsidRPr="00687DE8">
              <w:rPr>
                <w:szCs w:val="24"/>
              </w:rPr>
              <w:t>Südameklapi tugirõngas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86D44C" w14:textId="77777777" w:rsidR="00976487" w:rsidRPr="00687DE8" w:rsidRDefault="00976487">
            <w:pPr>
              <w:spacing w:after="0" w:line="240" w:lineRule="auto"/>
              <w:jc w:val="center"/>
              <w:rPr>
                <w:szCs w:val="24"/>
              </w:rPr>
            </w:pPr>
            <w:r w:rsidRPr="00687DE8">
              <w:rPr>
                <w:szCs w:val="24"/>
              </w:rPr>
              <w:t>2518L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8FF9F5" w14:textId="0AFE87D5" w:rsidR="41918BA2" w:rsidRPr="00687DE8" w:rsidRDefault="00B12B6C">
            <w:pPr>
              <w:spacing w:after="0"/>
              <w:jc w:val="center"/>
              <w:rPr>
                <w:color w:val="000000" w:themeColor="text1"/>
                <w:szCs w:val="24"/>
              </w:rPr>
            </w:pPr>
            <w:r>
              <w:rPr>
                <w:color w:val="000000"/>
              </w:rPr>
              <w:t>780,00</w:t>
            </w:r>
          </w:p>
        </w:tc>
      </w:tr>
      <w:tr w:rsidR="00976487" w:rsidRPr="00687DE8" w14:paraId="6749B682"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ED9862" w14:textId="77777777" w:rsidR="00976487" w:rsidRPr="00687DE8" w:rsidRDefault="00976487">
            <w:pPr>
              <w:spacing w:after="0" w:line="240" w:lineRule="auto"/>
              <w:rPr>
                <w:szCs w:val="24"/>
              </w:rPr>
            </w:pPr>
            <w:r w:rsidRPr="00687DE8">
              <w:rPr>
                <w:szCs w:val="24"/>
              </w:rPr>
              <w:t>Üleneva aordi Valsalva 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FB9395" w14:textId="77777777" w:rsidR="00976487" w:rsidRPr="00687DE8" w:rsidRDefault="00976487">
            <w:pPr>
              <w:spacing w:after="0" w:line="240" w:lineRule="auto"/>
              <w:jc w:val="center"/>
              <w:rPr>
                <w:szCs w:val="24"/>
              </w:rPr>
            </w:pPr>
            <w:r w:rsidRPr="00687DE8">
              <w:rPr>
                <w:szCs w:val="24"/>
              </w:rPr>
              <w:t>2519L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18EAF9" w14:textId="61ADB445" w:rsidR="41918BA2" w:rsidRPr="00687DE8" w:rsidRDefault="00B12B6C">
            <w:pPr>
              <w:spacing w:after="0"/>
              <w:jc w:val="center"/>
              <w:rPr>
                <w:color w:val="000000" w:themeColor="text1"/>
                <w:szCs w:val="24"/>
              </w:rPr>
            </w:pPr>
            <w:r>
              <w:rPr>
                <w:color w:val="000000"/>
              </w:rPr>
              <w:t>770,00</w:t>
            </w:r>
          </w:p>
        </w:tc>
      </w:tr>
      <w:tr w:rsidR="00976487" w:rsidRPr="00687DE8" w14:paraId="05AE5DC2" w14:textId="77777777" w:rsidTr="00EB7A71">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EB8EB8" w14:textId="77777777" w:rsidR="00976487" w:rsidRPr="00687DE8" w:rsidRDefault="005F7B29">
            <w:pPr>
              <w:spacing w:after="0" w:line="240" w:lineRule="auto"/>
              <w:rPr>
                <w:szCs w:val="24"/>
              </w:rPr>
            </w:pPr>
            <w:r w:rsidRPr="00687DE8">
              <w:rPr>
                <w:szCs w:val="24"/>
              </w:rPr>
              <w:t>Südameklapi endovaskulaarne 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CED521" w14:textId="77777777" w:rsidR="00976487" w:rsidRPr="00687DE8" w:rsidRDefault="00976487">
            <w:pPr>
              <w:spacing w:after="0" w:line="240" w:lineRule="auto"/>
              <w:jc w:val="center"/>
              <w:rPr>
                <w:szCs w:val="24"/>
              </w:rPr>
            </w:pPr>
            <w:r w:rsidRPr="00687DE8">
              <w:rPr>
                <w:szCs w:val="24"/>
              </w:rPr>
              <w:t>2520L</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5C54A7" w14:textId="5FE99641" w:rsidR="41918BA2" w:rsidRPr="00687DE8" w:rsidRDefault="00910C17">
            <w:pPr>
              <w:spacing w:after="0"/>
              <w:jc w:val="center"/>
              <w:rPr>
                <w:color w:val="000000" w:themeColor="text1"/>
                <w:szCs w:val="24"/>
              </w:rPr>
            </w:pPr>
            <w:r>
              <w:rPr>
                <w:color w:val="000000"/>
              </w:rPr>
              <w:t>16 440,00</w:t>
            </w:r>
          </w:p>
        </w:tc>
      </w:tr>
      <w:tr w:rsidR="00976487" w:rsidRPr="00687DE8" w14:paraId="6DDB1D6C"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4F85BD" w14:textId="77777777" w:rsidR="00976487" w:rsidRPr="00687DE8" w:rsidRDefault="00976487">
            <w:pPr>
              <w:spacing w:after="0" w:line="240" w:lineRule="auto"/>
              <w:rPr>
                <w:szCs w:val="24"/>
              </w:rPr>
            </w:pPr>
            <w:r w:rsidRPr="00687DE8">
              <w:rPr>
                <w:szCs w:val="24"/>
              </w:rPr>
              <w:t>Arütmiate kirurgilise ablatsioonravi seade</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CA6838" w14:textId="77777777" w:rsidR="00976487" w:rsidRPr="00687DE8" w:rsidRDefault="00976487">
            <w:pPr>
              <w:spacing w:after="0" w:line="240" w:lineRule="auto"/>
              <w:jc w:val="center"/>
              <w:rPr>
                <w:szCs w:val="24"/>
              </w:rPr>
            </w:pPr>
            <w:r w:rsidRPr="00687DE8">
              <w:rPr>
                <w:szCs w:val="24"/>
              </w:rPr>
              <w:t>2521L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9B0FC8" w14:textId="1F3617A1" w:rsidR="41918BA2" w:rsidRPr="00687DE8" w:rsidRDefault="00910C17">
            <w:pPr>
              <w:spacing w:after="0"/>
              <w:jc w:val="center"/>
              <w:rPr>
                <w:color w:val="000000" w:themeColor="text1"/>
                <w:szCs w:val="24"/>
              </w:rPr>
            </w:pPr>
            <w:r>
              <w:rPr>
                <w:color w:val="000000"/>
              </w:rPr>
              <w:t>3 240,00</w:t>
            </w:r>
          </w:p>
        </w:tc>
      </w:tr>
      <w:tr w:rsidR="00976487" w:rsidRPr="00687DE8" w14:paraId="6D9ED7F9"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04B598" w14:textId="77777777" w:rsidR="00976487" w:rsidRPr="00687DE8" w:rsidRDefault="00275504">
            <w:pPr>
              <w:spacing w:after="0" w:line="240" w:lineRule="auto"/>
              <w:rPr>
                <w:szCs w:val="24"/>
              </w:rPr>
            </w:pPr>
            <w:r w:rsidRPr="00687DE8">
              <w:rPr>
                <w:szCs w:val="24"/>
              </w:rPr>
              <w:t>Ühekambriline südamestimulaator</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B73759" w14:textId="77777777" w:rsidR="00976487" w:rsidRPr="00687DE8" w:rsidRDefault="00976487">
            <w:pPr>
              <w:spacing w:after="0" w:line="240" w:lineRule="auto"/>
              <w:jc w:val="center"/>
              <w:rPr>
                <w:szCs w:val="24"/>
              </w:rPr>
            </w:pPr>
            <w:r w:rsidRPr="00687DE8">
              <w:rPr>
                <w:szCs w:val="24"/>
              </w:rPr>
              <w:t>2524L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0700A1" w14:textId="7935310F" w:rsidR="41918BA2" w:rsidRPr="00687DE8" w:rsidRDefault="00910C17">
            <w:pPr>
              <w:spacing w:after="0"/>
              <w:jc w:val="center"/>
              <w:rPr>
                <w:color w:val="000000" w:themeColor="text1"/>
                <w:szCs w:val="24"/>
              </w:rPr>
            </w:pPr>
            <w:r>
              <w:rPr>
                <w:color w:val="000000"/>
              </w:rPr>
              <w:t>1 189,00</w:t>
            </w:r>
          </w:p>
        </w:tc>
      </w:tr>
      <w:tr w:rsidR="00976487" w:rsidRPr="00687DE8" w14:paraId="7C8BDE73"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D04A52" w14:textId="77777777" w:rsidR="00976487" w:rsidRPr="00687DE8" w:rsidRDefault="00275504">
            <w:pPr>
              <w:spacing w:after="0" w:line="240" w:lineRule="auto"/>
              <w:rPr>
                <w:szCs w:val="24"/>
              </w:rPr>
            </w:pPr>
            <w:r w:rsidRPr="00687DE8">
              <w:rPr>
                <w:szCs w:val="24"/>
              </w:rPr>
              <w:t>Kahekambriline südamestimulaator</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BFDDC5" w14:textId="77777777" w:rsidR="00976487" w:rsidRPr="00687DE8" w:rsidRDefault="00976487">
            <w:pPr>
              <w:spacing w:after="0" w:line="240" w:lineRule="auto"/>
              <w:jc w:val="center"/>
              <w:rPr>
                <w:szCs w:val="24"/>
              </w:rPr>
            </w:pPr>
            <w:r w:rsidRPr="00687DE8">
              <w:rPr>
                <w:szCs w:val="24"/>
              </w:rPr>
              <w:t>2525L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18000B" w14:textId="08A807C9" w:rsidR="41918BA2" w:rsidRPr="00687DE8" w:rsidRDefault="00910C17">
            <w:pPr>
              <w:spacing w:after="0"/>
              <w:jc w:val="center"/>
              <w:rPr>
                <w:color w:val="000000" w:themeColor="text1"/>
                <w:szCs w:val="24"/>
              </w:rPr>
            </w:pPr>
            <w:r>
              <w:rPr>
                <w:color w:val="000000"/>
              </w:rPr>
              <w:t>2 241,00</w:t>
            </w:r>
          </w:p>
        </w:tc>
      </w:tr>
      <w:tr w:rsidR="00976487" w:rsidRPr="00687DE8" w14:paraId="13D4C2F9" w14:textId="77777777" w:rsidTr="00E606DB">
        <w:trPr>
          <w:divId w:val="1316184749"/>
          <w:trHeight w:val="182"/>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E1EC2C" w14:textId="77777777" w:rsidR="00976487" w:rsidRPr="00687DE8" w:rsidRDefault="00275504">
            <w:pPr>
              <w:spacing w:after="0" w:line="240" w:lineRule="auto"/>
              <w:rPr>
                <w:szCs w:val="24"/>
              </w:rPr>
            </w:pPr>
            <w:r w:rsidRPr="00687DE8">
              <w:rPr>
                <w:szCs w:val="24"/>
              </w:rPr>
              <w:t xml:space="preserve">Resünkroniseeriv kardioverter-defibrillaator (CRT-D) </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2E1A58" w14:textId="77777777" w:rsidR="00976487" w:rsidRPr="00687DE8" w:rsidRDefault="00976487">
            <w:pPr>
              <w:spacing w:after="0" w:line="240" w:lineRule="auto"/>
              <w:jc w:val="center"/>
              <w:rPr>
                <w:szCs w:val="24"/>
              </w:rPr>
            </w:pPr>
            <w:r w:rsidRPr="00687DE8">
              <w:rPr>
                <w:szCs w:val="24"/>
              </w:rPr>
              <w:t>2526L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0D6216F" w14:textId="313F5CE6" w:rsidR="41918BA2" w:rsidRPr="00687DE8" w:rsidRDefault="00910C17">
            <w:pPr>
              <w:spacing w:after="0"/>
              <w:jc w:val="center"/>
              <w:rPr>
                <w:color w:val="000000" w:themeColor="text1"/>
                <w:szCs w:val="24"/>
              </w:rPr>
            </w:pPr>
            <w:r>
              <w:rPr>
                <w:color w:val="000000"/>
              </w:rPr>
              <w:t>8 214,90</w:t>
            </w:r>
          </w:p>
        </w:tc>
      </w:tr>
      <w:tr w:rsidR="00976487" w:rsidRPr="00687DE8" w14:paraId="791CC9B0"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488400" w14:textId="77777777" w:rsidR="00976487" w:rsidRPr="00687DE8" w:rsidRDefault="00275504">
            <w:pPr>
              <w:spacing w:after="0" w:line="240" w:lineRule="auto"/>
              <w:rPr>
                <w:szCs w:val="24"/>
              </w:rPr>
            </w:pPr>
            <w:r w:rsidRPr="00687DE8">
              <w:rPr>
                <w:szCs w:val="24"/>
              </w:rPr>
              <w:t>Kahekambriline kardioverter-defibrillaator (DR ICD)</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FCE105" w14:textId="77777777" w:rsidR="00976487" w:rsidRPr="00687DE8" w:rsidRDefault="00976487">
            <w:pPr>
              <w:spacing w:after="0" w:line="240" w:lineRule="auto"/>
              <w:jc w:val="center"/>
              <w:rPr>
                <w:szCs w:val="24"/>
              </w:rPr>
            </w:pPr>
            <w:r w:rsidRPr="00687DE8">
              <w:rPr>
                <w:szCs w:val="24"/>
              </w:rPr>
              <w:t>2527L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6BB845" w14:textId="66DBA3D7" w:rsidR="41918BA2" w:rsidRPr="00687DE8" w:rsidRDefault="00910C17">
            <w:pPr>
              <w:spacing w:after="0"/>
              <w:jc w:val="center"/>
              <w:rPr>
                <w:color w:val="000000" w:themeColor="text1"/>
                <w:szCs w:val="24"/>
              </w:rPr>
            </w:pPr>
            <w:r>
              <w:rPr>
                <w:color w:val="000000"/>
              </w:rPr>
              <w:t>5 186,60</w:t>
            </w:r>
          </w:p>
        </w:tc>
      </w:tr>
      <w:tr w:rsidR="00976487" w:rsidRPr="00687DE8" w14:paraId="7134F9C8"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726CB5" w14:textId="77777777" w:rsidR="00976487" w:rsidRPr="00687DE8" w:rsidRDefault="00275504">
            <w:pPr>
              <w:spacing w:after="0" w:line="240" w:lineRule="auto"/>
              <w:rPr>
                <w:szCs w:val="24"/>
              </w:rPr>
            </w:pPr>
            <w:r w:rsidRPr="00687DE8">
              <w:rPr>
                <w:szCs w:val="24"/>
              </w:rPr>
              <w:t xml:space="preserve">Ühekambriline kardioverter-defibrillaator (VR ICD) </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C13AB1" w14:textId="77777777" w:rsidR="00976487" w:rsidRPr="00687DE8" w:rsidRDefault="00976487">
            <w:pPr>
              <w:spacing w:after="0" w:line="240" w:lineRule="auto"/>
              <w:jc w:val="center"/>
              <w:rPr>
                <w:szCs w:val="24"/>
              </w:rPr>
            </w:pPr>
            <w:r w:rsidRPr="00687DE8">
              <w:rPr>
                <w:szCs w:val="24"/>
              </w:rPr>
              <w:t>2528L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EE70CE" w14:textId="13296977" w:rsidR="41918BA2" w:rsidRPr="00687DE8" w:rsidRDefault="00910C17">
            <w:pPr>
              <w:spacing w:after="0"/>
              <w:jc w:val="center"/>
              <w:rPr>
                <w:color w:val="000000" w:themeColor="text1"/>
                <w:szCs w:val="24"/>
              </w:rPr>
            </w:pPr>
            <w:r>
              <w:rPr>
                <w:color w:val="000000"/>
              </w:rPr>
              <w:t>4 951,40</w:t>
            </w:r>
          </w:p>
        </w:tc>
      </w:tr>
      <w:tr w:rsidR="00976487" w:rsidRPr="00687DE8" w14:paraId="03B7CE99"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5F555C" w14:textId="77777777" w:rsidR="00976487" w:rsidRPr="00687DE8" w:rsidRDefault="00275504">
            <w:pPr>
              <w:spacing w:after="0" w:line="240" w:lineRule="auto"/>
              <w:rPr>
                <w:szCs w:val="24"/>
              </w:rPr>
            </w:pPr>
            <w:r w:rsidRPr="00687DE8">
              <w:rPr>
                <w:szCs w:val="24"/>
              </w:rPr>
              <w:t xml:space="preserve">Resünkroniseeriv kardiostimulaator (CRT-P) </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5A6CE3" w14:textId="77777777" w:rsidR="00976487" w:rsidRPr="00687DE8" w:rsidRDefault="00976487">
            <w:pPr>
              <w:spacing w:after="0" w:line="240" w:lineRule="auto"/>
              <w:jc w:val="center"/>
              <w:rPr>
                <w:szCs w:val="24"/>
              </w:rPr>
            </w:pPr>
            <w:r w:rsidRPr="00687DE8">
              <w:rPr>
                <w:szCs w:val="24"/>
              </w:rPr>
              <w:t>2529L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A02FB8" w14:textId="36BFC576" w:rsidR="41918BA2" w:rsidRPr="00687DE8" w:rsidRDefault="00910C17">
            <w:pPr>
              <w:spacing w:after="0"/>
              <w:jc w:val="center"/>
              <w:rPr>
                <w:color w:val="000000" w:themeColor="text1"/>
                <w:szCs w:val="24"/>
              </w:rPr>
            </w:pPr>
            <w:r>
              <w:rPr>
                <w:color w:val="000000"/>
              </w:rPr>
              <w:t>2 563,70</w:t>
            </w:r>
          </w:p>
        </w:tc>
      </w:tr>
      <w:tr w:rsidR="00567758" w:rsidRPr="00687DE8" w14:paraId="15A5329A" w14:textId="77777777" w:rsidTr="00EB7A71">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7D69A5" w14:textId="77777777" w:rsidR="00567758" w:rsidRPr="00687DE8" w:rsidRDefault="00567758" w:rsidP="00567758">
            <w:pPr>
              <w:spacing w:after="0" w:line="240" w:lineRule="auto"/>
              <w:rPr>
                <w:szCs w:val="24"/>
              </w:rPr>
            </w:pPr>
            <w:r w:rsidRPr="00687DE8">
              <w:rPr>
                <w:szCs w:val="24"/>
              </w:rPr>
              <w:t>Resünkroniseeriva kardiostimulaatori (CRT) elektrood</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4AC346" w14:textId="77777777" w:rsidR="00567758" w:rsidRPr="00687DE8" w:rsidRDefault="00567758" w:rsidP="00567758">
            <w:pPr>
              <w:spacing w:after="0" w:line="240" w:lineRule="auto"/>
              <w:jc w:val="center"/>
              <w:rPr>
                <w:szCs w:val="24"/>
              </w:rPr>
            </w:pPr>
            <w:r w:rsidRPr="00687DE8">
              <w:rPr>
                <w:szCs w:val="24"/>
              </w:rPr>
              <w:t>2530L</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AA1296" w14:textId="7607016D" w:rsidR="41918BA2" w:rsidRPr="00687DE8" w:rsidRDefault="00C8375B">
            <w:pPr>
              <w:spacing w:after="0"/>
              <w:jc w:val="center"/>
              <w:rPr>
                <w:color w:val="000000" w:themeColor="text1"/>
                <w:szCs w:val="24"/>
              </w:rPr>
            </w:pPr>
            <w:r>
              <w:rPr>
                <w:color w:val="000000"/>
              </w:rPr>
              <w:t>1 500,00</w:t>
            </w:r>
          </w:p>
        </w:tc>
      </w:tr>
      <w:tr w:rsidR="00567758" w:rsidRPr="00687DE8" w14:paraId="0F858946"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92F3E4" w14:textId="77777777" w:rsidR="00567758" w:rsidRPr="00687DE8" w:rsidRDefault="00567758" w:rsidP="00567758">
            <w:pPr>
              <w:spacing w:after="0" w:line="240" w:lineRule="auto"/>
              <w:rPr>
                <w:szCs w:val="24"/>
              </w:rPr>
            </w:pPr>
            <w:r w:rsidRPr="00687DE8">
              <w:rPr>
                <w:szCs w:val="24"/>
              </w:rPr>
              <w:t>Kardioverter-defibrillaatori (ICD) elektrood</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A369A4" w14:textId="77777777" w:rsidR="00567758" w:rsidRPr="00687DE8" w:rsidRDefault="00567758" w:rsidP="00567758">
            <w:pPr>
              <w:spacing w:after="0" w:line="240" w:lineRule="auto"/>
              <w:jc w:val="center"/>
              <w:rPr>
                <w:szCs w:val="24"/>
              </w:rPr>
            </w:pPr>
            <w:r w:rsidRPr="00687DE8">
              <w:rPr>
                <w:szCs w:val="24"/>
              </w:rPr>
              <w:t>2531L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260C918" w14:textId="05CEB055" w:rsidR="41918BA2" w:rsidRPr="00687DE8" w:rsidRDefault="00C8375B">
            <w:pPr>
              <w:spacing w:after="0"/>
              <w:jc w:val="center"/>
              <w:rPr>
                <w:color w:val="000000" w:themeColor="text1"/>
                <w:szCs w:val="24"/>
              </w:rPr>
            </w:pPr>
            <w:r>
              <w:rPr>
                <w:color w:val="000000"/>
              </w:rPr>
              <w:t>1 500,00</w:t>
            </w:r>
          </w:p>
        </w:tc>
      </w:tr>
      <w:tr w:rsidR="00A624DC" w:rsidRPr="00687DE8" w14:paraId="76E9DCA2"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F008F1" w14:textId="77777777" w:rsidR="00A624DC" w:rsidRPr="00687DE8" w:rsidRDefault="00275504">
            <w:pPr>
              <w:spacing w:after="0" w:line="240" w:lineRule="auto"/>
              <w:rPr>
                <w:szCs w:val="24"/>
              </w:rPr>
            </w:pPr>
            <w:r w:rsidRPr="00687DE8">
              <w:rPr>
                <w:szCs w:val="24"/>
              </w:rPr>
              <w:t>Südamestimulaatori elektroodi eemaldamise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93B61A" w14:textId="77777777" w:rsidR="00A624DC" w:rsidRPr="00687DE8" w:rsidRDefault="00EF0DAB">
            <w:pPr>
              <w:spacing w:after="0" w:line="240" w:lineRule="auto"/>
              <w:jc w:val="center"/>
              <w:rPr>
                <w:szCs w:val="24"/>
              </w:rPr>
            </w:pPr>
            <w:r w:rsidRPr="00687DE8">
              <w:rPr>
                <w:szCs w:val="24"/>
              </w:rPr>
              <w:t>2532L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D7844BA" w14:textId="654F588F" w:rsidR="41918BA2" w:rsidRPr="00687DE8" w:rsidRDefault="00C8375B">
            <w:pPr>
              <w:spacing w:after="0"/>
              <w:jc w:val="center"/>
              <w:rPr>
                <w:color w:val="000000" w:themeColor="text1"/>
                <w:szCs w:val="24"/>
              </w:rPr>
            </w:pPr>
            <w:r>
              <w:rPr>
                <w:color w:val="000000"/>
              </w:rPr>
              <w:t>2 990,00</w:t>
            </w:r>
          </w:p>
        </w:tc>
      </w:tr>
      <w:tr w:rsidR="00A83215" w:rsidRPr="00687DE8" w14:paraId="4E55EDCC"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C218D5" w14:textId="77777777" w:rsidR="00A83215" w:rsidRPr="00687DE8" w:rsidRDefault="00A83215" w:rsidP="00A83215">
            <w:pPr>
              <w:spacing w:after="0" w:line="240" w:lineRule="auto"/>
              <w:rPr>
                <w:szCs w:val="24"/>
              </w:rPr>
            </w:pPr>
            <w:r w:rsidRPr="00687DE8">
              <w:rPr>
                <w:szCs w:val="24"/>
              </w:rPr>
              <w:t>Mitraalklapi perkutaanse plastika vahend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3F5F19" w14:textId="77777777" w:rsidR="00A83215" w:rsidRPr="00687DE8" w:rsidRDefault="00A83215" w:rsidP="00A83215">
            <w:pPr>
              <w:spacing w:after="0" w:line="240" w:lineRule="auto"/>
              <w:jc w:val="center"/>
              <w:rPr>
                <w:szCs w:val="24"/>
              </w:rPr>
            </w:pPr>
            <w:r w:rsidRPr="00687DE8">
              <w:rPr>
                <w:szCs w:val="24"/>
              </w:rPr>
              <w:t>2533L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70351E6" w14:textId="3005622E" w:rsidR="41918BA2" w:rsidRPr="00687DE8" w:rsidRDefault="00C8375B">
            <w:pPr>
              <w:spacing w:after="0"/>
              <w:jc w:val="center"/>
              <w:rPr>
                <w:color w:val="000000" w:themeColor="text1"/>
                <w:szCs w:val="24"/>
              </w:rPr>
            </w:pPr>
            <w:r>
              <w:rPr>
                <w:color w:val="000000"/>
              </w:rPr>
              <w:t>28 000,00</w:t>
            </w:r>
          </w:p>
        </w:tc>
      </w:tr>
      <w:tr w:rsidR="00A83215" w:rsidRPr="00687DE8" w14:paraId="4C46049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907C2E" w14:textId="0707FCAA" w:rsidR="00A83215" w:rsidRPr="00687DE8" w:rsidRDefault="0074407B" w:rsidP="00A83215">
            <w:pPr>
              <w:spacing w:after="0" w:line="240" w:lineRule="auto"/>
              <w:rPr>
                <w:szCs w:val="24"/>
              </w:rPr>
            </w:pPr>
            <w:r>
              <w:rPr>
                <w:szCs w:val="24"/>
              </w:rPr>
              <w:t>Südame v</w:t>
            </w:r>
            <w:r w:rsidR="00A83215" w:rsidRPr="00687DE8">
              <w:rPr>
                <w:szCs w:val="24"/>
              </w:rPr>
              <w:t>asaku koja kõrvakese sulgur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F8DF15" w14:textId="77777777" w:rsidR="00A83215" w:rsidRPr="00687DE8" w:rsidRDefault="00A83215" w:rsidP="00A83215">
            <w:pPr>
              <w:spacing w:after="0" w:line="240" w:lineRule="auto"/>
              <w:jc w:val="center"/>
              <w:rPr>
                <w:szCs w:val="24"/>
              </w:rPr>
            </w:pPr>
            <w:r w:rsidRPr="00687DE8">
              <w:rPr>
                <w:szCs w:val="24"/>
              </w:rPr>
              <w:t>2534L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41726BF" w14:textId="59945EB1" w:rsidR="41918BA2" w:rsidRPr="00687DE8" w:rsidRDefault="00C8375B">
            <w:pPr>
              <w:spacing w:after="0"/>
              <w:jc w:val="center"/>
              <w:rPr>
                <w:color w:val="000000" w:themeColor="text1"/>
                <w:szCs w:val="24"/>
              </w:rPr>
            </w:pPr>
            <w:r>
              <w:rPr>
                <w:color w:val="000000"/>
              </w:rPr>
              <w:t>7 000,00</w:t>
            </w:r>
          </w:p>
        </w:tc>
      </w:tr>
      <w:tr w:rsidR="0074407B" w:rsidRPr="00687DE8" w14:paraId="0404AF75"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511599" w14:textId="70493C2C" w:rsidR="0074407B" w:rsidRPr="00687DE8" w:rsidRDefault="0074407B" w:rsidP="00A83215">
            <w:pPr>
              <w:spacing w:after="0" w:line="240" w:lineRule="auto"/>
              <w:rPr>
                <w:szCs w:val="24"/>
              </w:rPr>
            </w:pPr>
            <w:r>
              <w:rPr>
                <w:szCs w:val="24"/>
              </w:rPr>
              <w:t xml:space="preserve">Südame vasaku koja kõrvakese </w:t>
            </w:r>
            <w:r w:rsidR="004E560F">
              <w:rPr>
                <w:szCs w:val="24"/>
              </w:rPr>
              <w:t>epikardiaalne</w:t>
            </w:r>
            <w:r w:rsidR="00981369">
              <w:rPr>
                <w:szCs w:val="24"/>
              </w:rPr>
              <w:t xml:space="preserve"> sulgur</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B68977" w14:textId="6026CCEE" w:rsidR="0074407B" w:rsidRPr="00687DE8" w:rsidRDefault="00F33D7E" w:rsidP="00A83215">
            <w:pPr>
              <w:spacing w:after="0" w:line="240" w:lineRule="auto"/>
              <w:jc w:val="center"/>
              <w:rPr>
                <w:szCs w:val="24"/>
              </w:rPr>
            </w:pPr>
            <w:r>
              <w:rPr>
                <w:szCs w:val="24"/>
              </w:rPr>
              <w:t>2540L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55B6E46" w14:textId="2C01A04B" w:rsidR="006B2D91" w:rsidRDefault="006B2D91" w:rsidP="00C8375B">
            <w:pPr>
              <w:spacing w:after="0"/>
              <w:jc w:val="center"/>
              <w:rPr>
                <w:color w:val="000000"/>
              </w:rPr>
            </w:pPr>
          </w:p>
          <w:p w14:paraId="4DC46FDF" w14:textId="5A1A5072" w:rsidR="0074407B" w:rsidRDefault="00BB4207">
            <w:pPr>
              <w:spacing w:after="0"/>
              <w:jc w:val="center"/>
              <w:rPr>
                <w:color w:val="000000"/>
              </w:rPr>
            </w:pPr>
            <w:r>
              <w:rPr>
                <w:color w:val="000000"/>
              </w:rPr>
              <w:t>981,00</w:t>
            </w:r>
          </w:p>
        </w:tc>
      </w:tr>
      <w:tr w:rsidR="00950CAD" w:rsidRPr="00687DE8" w14:paraId="3A280A56"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2C2FEA" w14:textId="77777777" w:rsidR="00950CAD" w:rsidRPr="00687DE8" w:rsidRDefault="00950CAD">
            <w:pPr>
              <w:spacing w:after="0" w:line="240" w:lineRule="auto"/>
              <w:rPr>
                <w:szCs w:val="24"/>
              </w:rPr>
            </w:pPr>
            <w:r w:rsidRPr="00687DE8">
              <w:rPr>
                <w:szCs w:val="24"/>
              </w:rPr>
              <w:t>Pärgarteri stent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36E9EA" w14:textId="77777777" w:rsidR="00950CAD" w:rsidRPr="00687DE8" w:rsidRDefault="00A83215">
            <w:pPr>
              <w:spacing w:after="0" w:line="240" w:lineRule="auto"/>
              <w:jc w:val="center"/>
              <w:rPr>
                <w:szCs w:val="24"/>
              </w:rPr>
            </w:pPr>
            <w:r w:rsidRPr="00687DE8">
              <w:rPr>
                <w:szCs w:val="24"/>
              </w:rPr>
              <w:t>2535L</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DD04A4" w14:textId="556F179D" w:rsidR="41918BA2" w:rsidRPr="00687DE8" w:rsidRDefault="003E22A6">
            <w:pPr>
              <w:spacing w:after="0"/>
              <w:jc w:val="center"/>
              <w:rPr>
                <w:color w:val="000000" w:themeColor="text1"/>
                <w:szCs w:val="24"/>
              </w:rPr>
            </w:pPr>
            <w:r>
              <w:rPr>
                <w:color w:val="000000"/>
              </w:rPr>
              <w:t>392,06</w:t>
            </w:r>
          </w:p>
        </w:tc>
      </w:tr>
      <w:tr w:rsidR="00456764" w:rsidRPr="00687DE8" w14:paraId="4C9F795A"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2162E7" w14:textId="77777777" w:rsidR="00456764" w:rsidRPr="00687DE8" w:rsidRDefault="00456764">
            <w:pPr>
              <w:spacing w:after="0" w:line="240" w:lineRule="auto"/>
              <w:rPr>
                <w:szCs w:val="24"/>
              </w:rPr>
            </w:pPr>
            <w:r w:rsidRPr="00687DE8">
              <w:rPr>
                <w:szCs w:val="24"/>
              </w:rPr>
              <w:t>Adenosiin (</w:t>
            </w:r>
            <w:r w:rsidR="00D6001A" w:rsidRPr="00687DE8">
              <w:rPr>
                <w:szCs w:val="24"/>
              </w:rPr>
              <w:t>üks</w:t>
            </w:r>
            <w:r w:rsidRPr="00687DE8">
              <w:rPr>
                <w:szCs w:val="24"/>
              </w:rPr>
              <w:t xml:space="preserve"> viaal)</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DC13B4" w14:textId="77777777" w:rsidR="00456764" w:rsidRPr="00687DE8" w:rsidRDefault="00456764">
            <w:pPr>
              <w:spacing w:after="0" w:line="240" w:lineRule="auto"/>
              <w:jc w:val="center"/>
              <w:rPr>
                <w:szCs w:val="24"/>
              </w:rPr>
            </w:pPr>
            <w:r w:rsidRPr="00687DE8">
              <w:rPr>
                <w:szCs w:val="24"/>
              </w:rPr>
              <w:t>2536L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4F8D17B" w14:textId="21E9CEFC" w:rsidR="41918BA2" w:rsidRPr="00687DE8" w:rsidRDefault="003E22A6">
            <w:pPr>
              <w:spacing w:after="0"/>
              <w:jc w:val="center"/>
              <w:rPr>
                <w:color w:val="000000" w:themeColor="text1"/>
                <w:szCs w:val="24"/>
              </w:rPr>
            </w:pPr>
            <w:r>
              <w:rPr>
                <w:color w:val="000000"/>
              </w:rPr>
              <w:t>47,64</w:t>
            </w:r>
          </w:p>
        </w:tc>
      </w:tr>
      <w:tr w:rsidR="00C558B7" w:rsidRPr="00687DE8" w14:paraId="35A3E835"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FF49AA" w14:textId="77777777" w:rsidR="00C558B7" w:rsidRPr="00687DE8" w:rsidRDefault="00164E5E">
            <w:pPr>
              <w:spacing w:after="0" w:line="240" w:lineRule="auto"/>
              <w:rPr>
                <w:szCs w:val="24"/>
              </w:rPr>
            </w:pPr>
            <w:r w:rsidRPr="00687DE8">
              <w:rPr>
                <w:szCs w:val="24"/>
              </w:rPr>
              <w:t>Peaajuarterite embolisatsiooni vältimise seade</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B9BBAE" w14:textId="77777777" w:rsidR="00C558B7" w:rsidRPr="00687DE8" w:rsidRDefault="00C558B7">
            <w:pPr>
              <w:spacing w:after="0" w:line="240" w:lineRule="auto"/>
              <w:jc w:val="center"/>
              <w:rPr>
                <w:szCs w:val="24"/>
              </w:rPr>
            </w:pPr>
            <w:r w:rsidRPr="00687DE8">
              <w:rPr>
                <w:szCs w:val="24"/>
              </w:rPr>
              <w:t>2537L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F167FCB" w14:textId="21B65112" w:rsidR="41918BA2" w:rsidRPr="00687DE8" w:rsidRDefault="003E22A6">
            <w:pPr>
              <w:spacing w:after="0"/>
              <w:jc w:val="center"/>
              <w:rPr>
                <w:color w:val="000000" w:themeColor="text1"/>
                <w:szCs w:val="24"/>
              </w:rPr>
            </w:pPr>
            <w:r>
              <w:rPr>
                <w:color w:val="000000"/>
              </w:rPr>
              <w:t>2 400,00</w:t>
            </w:r>
          </w:p>
        </w:tc>
      </w:tr>
      <w:tr w:rsidR="00F12FFB" w:rsidRPr="00687DE8" w14:paraId="0DD9057B"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64A2BE" w14:textId="6D2B83BD" w:rsidR="00F12FFB" w:rsidRPr="00687DE8" w:rsidRDefault="00F70733">
            <w:pPr>
              <w:spacing w:after="0" w:line="240" w:lineRule="auto"/>
              <w:rPr>
                <w:szCs w:val="24"/>
              </w:rPr>
            </w:pPr>
            <w:r w:rsidRPr="00F70733">
              <w:rPr>
                <w:szCs w:val="24"/>
              </w:rPr>
              <w:t>Kopsuarteri trombi</w:t>
            </w:r>
            <w:r w:rsidR="006B2C3F">
              <w:rPr>
                <w:szCs w:val="24"/>
              </w:rPr>
              <w:t xml:space="preserve"> </w:t>
            </w:r>
            <w:r w:rsidRPr="00F70733">
              <w:rPr>
                <w:szCs w:val="24"/>
              </w:rPr>
              <w:t>aspiratsiooniseadme</w:t>
            </w:r>
            <w:r w:rsidR="00D27632">
              <w:rPr>
                <w:szCs w:val="24"/>
              </w:rPr>
              <w:t xml:space="preserve">te </w:t>
            </w:r>
            <w:r w:rsidRPr="00F70733">
              <w:rPr>
                <w:szCs w:val="24"/>
              </w:rPr>
              <w:t>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C43508" w14:textId="08097180" w:rsidR="00F12FFB" w:rsidRPr="00687DE8" w:rsidRDefault="002E14F6">
            <w:pPr>
              <w:spacing w:after="0" w:line="240" w:lineRule="auto"/>
              <w:jc w:val="center"/>
              <w:rPr>
                <w:szCs w:val="24"/>
              </w:rPr>
            </w:pPr>
            <w:r>
              <w:rPr>
                <w:szCs w:val="24"/>
              </w:rPr>
              <w:t>2538L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9333DDD" w14:textId="6A50E9DE" w:rsidR="00F12FFB" w:rsidRPr="00687DE8" w:rsidRDefault="003E22A6">
            <w:pPr>
              <w:spacing w:after="0"/>
              <w:jc w:val="center"/>
              <w:rPr>
                <w:color w:val="000000" w:themeColor="text1"/>
                <w:szCs w:val="24"/>
              </w:rPr>
            </w:pPr>
            <w:r>
              <w:rPr>
                <w:color w:val="000000"/>
              </w:rPr>
              <w:t>9 711,20</w:t>
            </w:r>
          </w:p>
        </w:tc>
      </w:tr>
      <w:tr w:rsidR="00032A7D" w:rsidRPr="00687DE8" w14:paraId="2B6A254C"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8E71D1" w14:textId="3F8F6B5F" w:rsidR="00032A7D" w:rsidRPr="00F70733" w:rsidRDefault="00B50C98">
            <w:pPr>
              <w:spacing w:after="0" w:line="240" w:lineRule="auto"/>
              <w:rPr>
                <w:szCs w:val="24"/>
              </w:rPr>
            </w:pPr>
            <w:r w:rsidRPr="00B50C98">
              <w:rPr>
                <w:szCs w:val="24"/>
              </w:rPr>
              <w:lastRenderedPageBreak/>
              <w:t>Neeruarterite denervatsiooni seadmete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B153D1" w14:textId="71D97040" w:rsidR="00032A7D" w:rsidRDefault="0049357B">
            <w:pPr>
              <w:spacing w:after="0" w:line="240" w:lineRule="auto"/>
              <w:jc w:val="center"/>
              <w:rPr>
                <w:szCs w:val="24"/>
              </w:rPr>
            </w:pPr>
            <w:r>
              <w:rPr>
                <w:szCs w:val="24"/>
              </w:rPr>
              <w:t>2539L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1E93A30" w14:textId="3D28CAAE" w:rsidR="00032A7D" w:rsidRDefault="003E22A6">
            <w:pPr>
              <w:spacing w:after="0"/>
              <w:jc w:val="center"/>
              <w:rPr>
                <w:color w:val="000000" w:themeColor="text1"/>
                <w:szCs w:val="24"/>
              </w:rPr>
            </w:pPr>
            <w:r>
              <w:rPr>
                <w:color w:val="000000"/>
              </w:rPr>
              <w:t>7 427,36</w:t>
            </w:r>
          </w:p>
        </w:tc>
      </w:tr>
      <w:tr w:rsidR="00976487" w:rsidRPr="00687DE8" w14:paraId="642BA36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101051" w14:textId="77777777" w:rsidR="00976487" w:rsidRPr="00687DE8" w:rsidRDefault="00976487">
            <w:pPr>
              <w:spacing w:after="0" w:line="240" w:lineRule="auto"/>
              <w:rPr>
                <w:szCs w:val="24"/>
              </w:rPr>
            </w:pPr>
            <w:r w:rsidRPr="00687DE8">
              <w:rPr>
                <w:szCs w:val="24"/>
              </w:rPr>
              <w:t>Lülisamba distraktor</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4EF62D" w14:textId="77777777" w:rsidR="00976487" w:rsidRPr="00687DE8" w:rsidRDefault="00976487">
            <w:pPr>
              <w:spacing w:after="0" w:line="240" w:lineRule="auto"/>
              <w:jc w:val="center"/>
              <w:rPr>
                <w:szCs w:val="24"/>
              </w:rPr>
            </w:pPr>
            <w:r w:rsidRPr="00687DE8">
              <w:rPr>
                <w:szCs w:val="24"/>
              </w:rPr>
              <w:t>2601L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D693F8" w14:textId="60F457AA" w:rsidR="41918BA2" w:rsidRPr="00687DE8" w:rsidRDefault="003E22A6">
            <w:pPr>
              <w:spacing w:after="0"/>
              <w:jc w:val="center"/>
              <w:rPr>
                <w:color w:val="000000" w:themeColor="text1"/>
                <w:szCs w:val="24"/>
              </w:rPr>
            </w:pPr>
            <w:r>
              <w:rPr>
                <w:color w:val="000000"/>
              </w:rPr>
              <w:t>601,15</w:t>
            </w:r>
          </w:p>
        </w:tc>
      </w:tr>
      <w:tr w:rsidR="00976487" w:rsidRPr="00687DE8" w14:paraId="1C39A723"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29D687" w14:textId="77777777" w:rsidR="00976487" w:rsidRPr="00687DE8" w:rsidRDefault="00976487">
            <w:pPr>
              <w:spacing w:after="0" w:line="240" w:lineRule="auto"/>
              <w:rPr>
                <w:szCs w:val="24"/>
              </w:rPr>
            </w:pPr>
            <w:r w:rsidRPr="00687DE8">
              <w:rPr>
                <w:szCs w:val="24"/>
              </w:rPr>
              <w:t>Implantaatide komplekt keeruka lülisambadeformatsiooni ja kasvaja raviks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17E6E3" w14:textId="77777777" w:rsidR="00976487" w:rsidRPr="00687DE8" w:rsidRDefault="00976487">
            <w:pPr>
              <w:spacing w:after="0" w:line="240" w:lineRule="auto"/>
              <w:jc w:val="center"/>
              <w:rPr>
                <w:szCs w:val="24"/>
              </w:rPr>
            </w:pPr>
          </w:p>
          <w:p w14:paraId="11017765" w14:textId="77777777" w:rsidR="00976487" w:rsidRPr="00687DE8" w:rsidRDefault="00976487">
            <w:pPr>
              <w:spacing w:after="0" w:line="240" w:lineRule="auto"/>
              <w:jc w:val="center"/>
              <w:rPr>
                <w:szCs w:val="24"/>
              </w:rPr>
            </w:pPr>
            <w:r w:rsidRPr="00687DE8">
              <w:rPr>
                <w:szCs w:val="24"/>
              </w:rPr>
              <w:t>2604L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8F6E1BE" w14:textId="18D40886" w:rsidR="41918BA2" w:rsidRPr="00687DE8" w:rsidRDefault="003E22A6">
            <w:pPr>
              <w:spacing w:after="0"/>
              <w:jc w:val="center"/>
              <w:rPr>
                <w:color w:val="000000" w:themeColor="text1"/>
                <w:szCs w:val="24"/>
              </w:rPr>
            </w:pPr>
            <w:r>
              <w:rPr>
                <w:color w:val="000000"/>
              </w:rPr>
              <w:t>9 878,70</w:t>
            </w:r>
          </w:p>
        </w:tc>
      </w:tr>
      <w:tr w:rsidR="00976487" w:rsidRPr="00687DE8" w14:paraId="6E7775F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CDAD5F" w14:textId="77777777" w:rsidR="00976487" w:rsidRPr="00687DE8" w:rsidRDefault="00976487">
            <w:pPr>
              <w:spacing w:after="0" w:line="240" w:lineRule="auto"/>
              <w:rPr>
                <w:szCs w:val="24"/>
              </w:rPr>
            </w:pPr>
            <w:r w:rsidRPr="00687DE8">
              <w:rPr>
                <w:szCs w:val="24"/>
              </w:rPr>
              <w:t>Transpedikulaarsete ja sakraalsete kruvidega ning vastava konstruktsiooniga komplekt komplitseeritud deformiteetide, murdude ja kasvajate raviks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811689" w14:textId="77777777" w:rsidR="00976487" w:rsidRPr="00687DE8" w:rsidRDefault="00976487">
            <w:pPr>
              <w:spacing w:after="0" w:line="240" w:lineRule="auto"/>
              <w:jc w:val="center"/>
              <w:rPr>
                <w:szCs w:val="24"/>
              </w:rPr>
            </w:pPr>
          </w:p>
          <w:p w14:paraId="464A7DE1" w14:textId="77777777" w:rsidR="00976487" w:rsidRPr="00687DE8" w:rsidRDefault="00976487">
            <w:pPr>
              <w:spacing w:after="0" w:line="240" w:lineRule="auto"/>
              <w:jc w:val="center"/>
              <w:rPr>
                <w:szCs w:val="24"/>
              </w:rPr>
            </w:pPr>
          </w:p>
          <w:p w14:paraId="32CC012C" w14:textId="77777777" w:rsidR="00976487" w:rsidRPr="00687DE8" w:rsidRDefault="00976487">
            <w:pPr>
              <w:spacing w:after="0" w:line="240" w:lineRule="auto"/>
              <w:jc w:val="center"/>
              <w:rPr>
                <w:szCs w:val="24"/>
              </w:rPr>
            </w:pPr>
            <w:r w:rsidRPr="00687DE8">
              <w:rPr>
                <w:szCs w:val="24"/>
              </w:rPr>
              <w:t>2605L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2697188" w14:textId="1957C883" w:rsidR="41918BA2" w:rsidRPr="00687DE8" w:rsidRDefault="003E22A6">
            <w:pPr>
              <w:spacing w:after="0"/>
              <w:jc w:val="center"/>
              <w:rPr>
                <w:color w:val="000000" w:themeColor="text1"/>
                <w:szCs w:val="24"/>
              </w:rPr>
            </w:pPr>
            <w:r>
              <w:rPr>
                <w:color w:val="000000"/>
              </w:rPr>
              <w:t>4 175,29</w:t>
            </w:r>
          </w:p>
        </w:tc>
      </w:tr>
      <w:tr w:rsidR="00976487" w:rsidRPr="00687DE8" w14:paraId="4E508A04"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F69FC9" w14:textId="28910F93" w:rsidR="00976487" w:rsidRPr="00687DE8" w:rsidRDefault="00976487">
            <w:pPr>
              <w:spacing w:after="0" w:line="240" w:lineRule="auto"/>
              <w:rPr>
                <w:szCs w:val="24"/>
              </w:rPr>
            </w:pPr>
            <w:r w:rsidRPr="00687DE8">
              <w:rPr>
                <w:szCs w:val="24"/>
              </w:rPr>
              <w:t xml:space="preserve">Transpedikulaarsete kruvide ja vastava konstruktsiooniga komplekt lülisambamurdude, -kasvajate ja </w:t>
            </w:r>
            <w:r w:rsidR="00E134B6">
              <w:rPr>
                <w:szCs w:val="24"/>
              </w:rPr>
              <w:noBreakHyphen/>
            </w:r>
            <w:r w:rsidRPr="00687DE8">
              <w:rPr>
                <w:szCs w:val="24"/>
              </w:rPr>
              <w:t>deformatsioonide raviks, lülikeha asendusimplantaat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5CCE71" w14:textId="77777777" w:rsidR="00976487" w:rsidRPr="00687DE8" w:rsidRDefault="00976487">
            <w:pPr>
              <w:spacing w:after="0" w:line="240" w:lineRule="auto"/>
              <w:jc w:val="center"/>
              <w:rPr>
                <w:szCs w:val="24"/>
              </w:rPr>
            </w:pPr>
          </w:p>
          <w:p w14:paraId="42689899" w14:textId="77777777" w:rsidR="00976487" w:rsidRPr="00687DE8" w:rsidRDefault="00976487">
            <w:pPr>
              <w:spacing w:after="0" w:line="240" w:lineRule="auto"/>
              <w:jc w:val="center"/>
              <w:rPr>
                <w:szCs w:val="24"/>
              </w:rPr>
            </w:pPr>
          </w:p>
          <w:p w14:paraId="41B2ED5D" w14:textId="77777777" w:rsidR="00976487" w:rsidRPr="00687DE8" w:rsidRDefault="00976487">
            <w:pPr>
              <w:spacing w:after="0" w:line="240" w:lineRule="auto"/>
              <w:jc w:val="center"/>
            </w:pPr>
            <w:r>
              <w:t>2606L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250E331" w14:textId="57B3F62C" w:rsidR="41918BA2" w:rsidRPr="00687DE8" w:rsidRDefault="003E22A6">
            <w:pPr>
              <w:spacing w:after="0"/>
              <w:jc w:val="center"/>
              <w:rPr>
                <w:color w:val="000000" w:themeColor="text1"/>
                <w:szCs w:val="24"/>
              </w:rPr>
            </w:pPr>
            <w:r>
              <w:rPr>
                <w:color w:val="000000"/>
              </w:rPr>
              <w:t>3 010,96</w:t>
            </w:r>
          </w:p>
        </w:tc>
      </w:tr>
      <w:tr w:rsidR="00976487" w:rsidRPr="00687DE8" w14:paraId="7691B265"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8CACEF" w14:textId="77777777" w:rsidR="00976487" w:rsidRPr="00687DE8" w:rsidRDefault="00976487">
            <w:pPr>
              <w:spacing w:after="0" w:line="240" w:lineRule="auto"/>
              <w:rPr>
                <w:szCs w:val="24"/>
              </w:rPr>
            </w:pPr>
            <w:r w:rsidRPr="00687DE8">
              <w:rPr>
                <w:szCs w:val="24"/>
              </w:rPr>
              <w:t>Reieluukaela mediaalse murru implantaat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D344C9" w14:textId="77777777" w:rsidR="00976487" w:rsidRPr="00687DE8" w:rsidRDefault="00976487">
            <w:pPr>
              <w:spacing w:after="0" w:line="240" w:lineRule="auto"/>
              <w:jc w:val="center"/>
              <w:rPr>
                <w:szCs w:val="24"/>
              </w:rPr>
            </w:pPr>
            <w:r w:rsidRPr="00687DE8">
              <w:rPr>
                <w:szCs w:val="24"/>
              </w:rPr>
              <w:t>2618L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0BEAA5" w14:textId="2DF7D2BF" w:rsidR="41918BA2" w:rsidRPr="00687DE8" w:rsidRDefault="003E22A6">
            <w:pPr>
              <w:spacing w:after="0"/>
              <w:jc w:val="center"/>
              <w:rPr>
                <w:color w:val="000000" w:themeColor="text1"/>
                <w:szCs w:val="24"/>
              </w:rPr>
            </w:pPr>
            <w:r>
              <w:rPr>
                <w:color w:val="000000"/>
              </w:rPr>
              <w:t>367,04</w:t>
            </w:r>
          </w:p>
        </w:tc>
      </w:tr>
      <w:tr w:rsidR="00976487" w:rsidRPr="00687DE8" w14:paraId="78566707"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75BE82" w14:textId="77777777" w:rsidR="00976487" w:rsidRPr="00687DE8" w:rsidRDefault="00976487" w:rsidP="00C73583">
            <w:pPr>
              <w:spacing w:after="0" w:line="240" w:lineRule="auto"/>
              <w:rPr>
                <w:szCs w:val="24"/>
              </w:rPr>
            </w:pPr>
            <w:r w:rsidRPr="00687DE8">
              <w:rPr>
                <w:szCs w:val="24"/>
              </w:rPr>
              <w:t xml:space="preserve">Intramedullaarne nael (alates </w:t>
            </w:r>
            <w:r w:rsidR="0089628D" w:rsidRPr="00687DE8">
              <w:rPr>
                <w:szCs w:val="24"/>
              </w:rPr>
              <w:t xml:space="preserve">5 </w:t>
            </w:r>
            <w:r w:rsidRPr="00687DE8">
              <w:rPr>
                <w:szCs w:val="24"/>
              </w:rPr>
              <w:t>mm</w:t>
            </w:r>
            <w:r w:rsidR="001A5CFD" w:rsidRPr="00687DE8">
              <w:rPr>
                <w:szCs w:val="24"/>
              </w:rPr>
              <w:t>-st</w:t>
            </w:r>
            <w:r w:rsidRPr="00687DE8">
              <w:rPr>
                <w:szCs w:val="24"/>
              </w:rPr>
              <w: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1A57C6" w14:textId="77777777" w:rsidR="00976487" w:rsidRPr="00687DE8" w:rsidRDefault="00976487">
            <w:pPr>
              <w:spacing w:after="0" w:line="240" w:lineRule="auto"/>
              <w:jc w:val="center"/>
              <w:rPr>
                <w:szCs w:val="24"/>
              </w:rPr>
            </w:pPr>
            <w:r w:rsidRPr="00687DE8">
              <w:rPr>
                <w:szCs w:val="24"/>
              </w:rPr>
              <w:t>2619L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F7B11A" w14:textId="175CBE49" w:rsidR="7494B5BB" w:rsidRPr="00687DE8" w:rsidRDefault="003E22A6">
            <w:pPr>
              <w:spacing w:after="0"/>
              <w:jc w:val="center"/>
              <w:rPr>
                <w:color w:val="000000" w:themeColor="text1"/>
                <w:szCs w:val="24"/>
              </w:rPr>
            </w:pPr>
            <w:r>
              <w:rPr>
                <w:color w:val="000000"/>
              </w:rPr>
              <w:t>284,41</w:t>
            </w:r>
          </w:p>
        </w:tc>
      </w:tr>
      <w:tr w:rsidR="00976487" w:rsidRPr="00687DE8" w14:paraId="72A7B61B"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BB8203" w14:textId="77777777" w:rsidR="00976487" w:rsidRPr="00687DE8" w:rsidRDefault="00976487">
            <w:pPr>
              <w:spacing w:after="0" w:line="240" w:lineRule="auto"/>
              <w:rPr>
                <w:szCs w:val="24"/>
              </w:rPr>
            </w:pPr>
            <w:r w:rsidRPr="00687DE8">
              <w:rPr>
                <w:szCs w:val="24"/>
              </w:rPr>
              <w:t xml:space="preserve">Intramedullaarne väike nael (kuni </w:t>
            </w:r>
            <w:r w:rsidR="0089628D" w:rsidRPr="00687DE8">
              <w:rPr>
                <w:szCs w:val="24"/>
              </w:rPr>
              <w:t xml:space="preserve">5 </w:t>
            </w:r>
            <w:r w:rsidRPr="00687DE8">
              <w:rPr>
                <w:szCs w:val="24"/>
              </w:rPr>
              <w:t>mm)</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777A58" w14:textId="77777777" w:rsidR="00976487" w:rsidRPr="00687DE8" w:rsidRDefault="00976487">
            <w:pPr>
              <w:spacing w:after="0" w:line="240" w:lineRule="auto"/>
              <w:jc w:val="center"/>
              <w:rPr>
                <w:szCs w:val="24"/>
              </w:rPr>
            </w:pPr>
            <w:r w:rsidRPr="00687DE8">
              <w:rPr>
                <w:szCs w:val="24"/>
              </w:rPr>
              <w:t>2621L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A29A5F" w14:textId="5BFCA247" w:rsidR="7494B5BB" w:rsidRPr="00687DE8" w:rsidRDefault="003E22A6">
            <w:pPr>
              <w:spacing w:after="0"/>
              <w:jc w:val="center"/>
              <w:rPr>
                <w:color w:val="000000" w:themeColor="text1"/>
                <w:szCs w:val="24"/>
              </w:rPr>
            </w:pPr>
            <w:r>
              <w:rPr>
                <w:color w:val="000000"/>
              </w:rPr>
              <w:t>77,16</w:t>
            </w:r>
          </w:p>
        </w:tc>
      </w:tr>
      <w:tr w:rsidR="00976487" w:rsidRPr="00687DE8" w14:paraId="64D0240B"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5724F0" w14:textId="77777777" w:rsidR="00976487" w:rsidRPr="00687DE8" w:rsidRDefault="00976487">
            <w:pPr>
              <w:spacing w:after="0" w:line="240" w:lineRule="auto"/>
              <w:rPr>
                <w:szCs w:val="24"/>
              </w:rPr>
            </w:pPr>
            <w:r w:rsidRPr="00687DE8">
              <w:rPr>
                <w:szCs w:val="24"/>
              </w:rPr>
              <w:t>Rinnakuvarb (Lorenzi süsteem)</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30CDF3" w14:textId="77777777" w:rsidR="00976487" w:rsidRPr="00687DE8" w:rsidRDefault="00976487">
            <w:pPr>
              <w:spacing w:after="0" w:line="240" w:lineRule="auto"/>
              <w:jc w:val="center"/>
              <w:rPr>
                <w:szCs w:val="24"/>
              </w:rPr>
            </w:pPr>
            <w:r w:rsidRPr="00687DE8">
              <w:rPr>
                <w:szCs w:val="24"/>
              </w:rPr>
              <w:t>2637L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808536" w14:textId="05EA5AA2" w:rsidR="7494B5BB" w:rsidRPr="00687DE8" w:rsidRDefault="003E22A6">
            <w:pPr>
              <w:spacing w:after="0"/>
              <w:jc w:val="center"/>
              <w:rPr>
                <w:color w:val="000000" w:themeColor="text1"/>
                <w:szCs w:val="24"/>
              </w:rPr>
            </w:pPr>
            <w:r>
              <w:rPr>
                <w:color w:val="000000"/>
              </w:rPr>
              <w:t>2 264,96</w:t>
            </w:r>
          </w:p>
        </w:tc>
      </w:tr>
      <w:tr w:rsidR="00976487" w:rsidRPr="00687DE8" w14:paraId="47B33C18"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03AE49" w14:textId="77777777" w:rsidR="00976487" w:rsidRPr="00687DE8" w:rsidRDefault="00976487">
            <w:pPr>
              <w:spacing w:after="0" w:line="240" w:lineRule="auto"/>
              <w:rPr>
                <w:szCs w:val="24"/>
              </w:rPr>
            </w:pPr>
            <w:r w:rsidRPr="00687DE8">
              <w:rPr>
                <w:szCs w:val="24"/>
              </w:rPr>
              <w:t>Transpedikulaarsete kruvide ja vastava konstruktsiooniga süsteem lülisamba fikseerimiseks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41FCC3" w14:textId="77777777" w:rsidR="00976487" w:rsidRPr="00687DE8" w:rsidRDefault="00976487">
            <w:pPr>
              <w:spacing w:after="0" w:line="240" w:lineRule="auto"/>
              <w:jc w:val="center"/>
              <w:rPr>
                <w:szCs w:val="24"/>
              </w:rPr>
            </w:pPr>
          </w:p>
          <w:p w14:paraId="268AA14E" w14:textId="77777777" w:rsidR="00976487" w:rsidRPr="00687DE8" w:rsidRDefault="00976487">
            <w:pPr>
              <w:spacing w:after="0" w:line="240" w:lineRule="auto"/>
              <w:jc w:val="center"/>
              <w:rPr>
                <w:szCs w:val="24"/>
              </w:rPr>
            </w:pPr>
            <w:r w:rsidRPr="00687DE8">
              <w:rPr>
                <w:szCs w:val="24"/>
              </w:rPr>
              <w:t>2638L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B6E4517" w14:textId="0AA3AE5B" w:rsidR="7494B5BB" w:rsidRPr="00687DE8" w:rsidRDefault="003E22A6">
            <w:pPr>
              <w:spacing w:after="0"/>
              <w:jc w:val="center"/>
              <w:rPr>
                <w:color w:val="000000" w:themeColor="text1"/>
                <w:szCs w:val="24"/>
              </w:rPr>
            </w:pPr>
            <w:r>
              <w:rPr>
                <w:color w:val="000000"/>
              </w:rPr>
              <w:t>1 973,35</w:t>
            </w:r>
          </w:p>
        </w:tc>
      </w:tr>
      <w:tr w:rsidR="00976487" w:rsidRPr="00687DE8" w14:paraId="0D8E0651"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3929A2" w14:textId="77777777" w:rsidR="00976487" w:rsidRPr="00687DE8" w:rsidRDefault="00976487">
            <w:pPr>
              <w:spacing w:after="0" w:line="240" w:lineRule="auto"/>
              <w:rPr>
                <w:szCs w:val="24"/>
              </w:rPr>
            </w:pPr>
            <w:r w:rsidRPr="00687DE8">
              <w:rPr>
                <w:szCs w:val="24"/>
              </w:rPr>
              <w:t>Kraniofatsiaalse osteosünteesi resorbeeruvate implantaatide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FEFF9F" w14:textId="77777777" w:rsidR="0059035D" w:rsidRPr="00687DE8" w:rsidRDefault="0059035D">
            <w:pPr>
              <w:spacing w:after="0" w:line="240" w:lineRule="auto"/>
              <w:jc w:val="center"/>
              <w:rPr>
                <w:szCs w:val="24"/>
              </w:rPr>
            </w:pPr>
          </w:p>
          <w:p w14:paraId="35A15373" w14:textId="77777777" w:rsidR="00976487" w:rsidRPr="00687DE8" w:rsidRDefault="00976487">
            <w:pPr>
              <w:spacing w:after="0" w:line="240" w:lineRule="auto"/>
              <w:jc w:val="center"/>
              <w:rPr>
                <w:szCs w:val="24"/>
              </w:rPr>
            </w:pPr>
            <w:r w:rsidRPr="00687DE8">
              <w:rPr>
                <w:szCs w:val="24"/>
              </w:rPr>
              <w:t>2644L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0C9EF" w14:textId="446480B2" w:rsidR="7494B5BB" w:rsidRPr="00687DE8" w:rsidRDefault="003E22A6">
            <w:pPr>
              <w:spacing w:after="0"/>
              <w:jc w:val="center"/>
              <w:rPr>
                <w:color w:val="000000" w:themeColor="text1"/>
                <w:szCs w:val="24"/>
              </w:rPr>
            </w:pPr>
            <w:r>
              <w:rPr>
                <w:color w:val="000000"/>
              </w:rPr>
              <w:t>4 039,49</w:t>
            </w:r>
          </w:p>
        </w:tc>
      </w:tr>
      <w:tr w:rsidR="00976487" w:rsidRPr="00687DE8" w14:paraId="235EFB1E" w14:textId="77777777" w:rsidTr="00EB7A71">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950A73" w14:textId="77777777" w:rsidR="00976487" w:rsidRPr="00687DE8" w:rsidRDefault="00976487">
            <w:pPr>
              <w:spacing w:after="0" w:line="240" w:lineRule="auto"/>
              <w:rPr>
                <w:szCs w:val="24"/>
              </w:rPr>
            </w:pPr>
            <w:r w:rsidRPr="00687DE8">
              <w:rPr>
                <w:szCs w:val="24"/>
              </w:rPr>
              <w:t>Standardne tsementeeritav puusaliigese endoprotees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BE9A06" w14:textId="77777777" w:rsidR="00976487" w:rsidRPr="00687DE8" w:rsidRDefault="00976487">
            <w:pPr>
              <w:spacing w:after="0" w:line="240" w:lineRule="auto"/>
              <w:jc w:val="center"/>
              <w:rPr>
                <w:szCs w:val="24"/>
              </w:rPr>
            </w:pPr>
            <w:r w:rsidRPr="00687DE8">
              <w:rPr>
                <w:szCs w:val="24"/>
              </w:rPr>
              <w:t>2650L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011BA3" w14:textId="5EAA09E0" w:rsidR="7494B5BB" w:rsidRPr="00687DE8" w:rsidRDefault="003E22A6">
            <w:pPr>
              <w:spacing w:after="0"/>
              <w:jc w:val="center"/>
              <w:rPr>
                <w:color w:val="000000" w:themeColor="text1"/>
                <w:szCs w:val="24"/>
              </w:rPr>
            </w:pPr>
            <w:r>
              <w:rPr>
                <w:color w:val="000000"/>
              </w:rPr>
              <w:t>1 276,64</w:t>
            </w:r>
          </w:p>
        </w:tc>
      </w:tr>
      <w:tr w:rsidR="00976487" w:rsidRPr="00687DE8" w14:paraId="53B4D9AA"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D48199" w14:textId="77777777" w:rsidR="00976487" w:rsidRPr="00687DE8" w:rsidRDefault="00976487">
            <w:pPr>
              <w:spacing w:after="0" w:line="240" w:lineRule="auto"/>
              <w:rPr>
                <w:szCs w:val="24"/>
              </w:rPr>
            </w:pPr>
            <w:r w:rsidRPr="00687DE8">
              <w:rPr>
                <w:szCs w:val="24"/>
              </w:rPr>
              <w:t>Standardne tsemendivaba puusaliigese endoprotees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7C79F0" w14:textId="77777777" w:rsidR="00976487" w:rsidRPr="00687DE8" w:rsidRDefault="00976487">
            <w:pPr>
              <w:spacing w:after="0" w:line="240" w:lineRule="auto"/>
              <w:jc w:val="center"/>
              <w:rPr>
                <w:szCs w:val="24"/>
              </w:rPr>
            </w:pPr>
            <w:r w:rsidRPr="00687DE8">
              <w:rPr>
                <w:szCs w:val="24"/>
              </w:rPr>
              <w:t>2651L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73FAD2" w14:textId="3C49AEB7" w:rsidR="7494B5BB" w:rsidRPr="00687DE8" w:rsidRDefault="003E22A6">
            <w:pPr>
              <w:spacing w:after="0"/>
              <w:jc w:val="center"/>
              <w:rPr>
                <w:color w:val="000000" w:themeColor="text1"/>
                <w:szCs w:val="24"/>
              </w:rPr>
            </w:pPr>
            <w:r>
              <w:rPr>
                <w:color w:val="000000"/>
              </w:rPr>
              <w:t>2 241,70</w:t>
            </w:r>
          </w:p>
        </w:tc>
      </w:tr>
      <w:tr w:rsidR="00976487" w:rsidRPr="00687DE8" w14:paraId="2ABD3F38"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0F2EBD" w14:textId="77777777" w:rsidR="00976487" w:rsidRPr="00687DE8" w:rsidRDefault="00976487">
            <w:pPr>
              <w:spacing w:after="0" w:line="240" w:lineRule="auto"/>
              <w:rPr>
                <w:szCs w:val="24"/>
              </w:rPr>
            </w:pPr>
            <w:r w:rsidRPr="00687DE8">
              <w:rPr>
                <w:szCs w:val="24"/>
              </w:rPr>
              <w:t>Puusaliigese hübriidprotees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80FCA6" w14:textId="77777777" w:rsidR="00976487" w:rsidRPr="00687DE8" w:rsidRDefault="00976487">
            <w:pPr>
              <w:spacing w:after="0" w:line="240" w:lineRule="auto"/>
              <w:jc w:val="center"/>
              <w:rPr>
                <w:szCs w:val="24"/>
              </w:rPr>
            </w:pPr>
            <w:r w:rsidRPr="00687DE8">
              <w:rPr>
                <w:szCs w:val="24"/>
              </w:rPr>
              <w:t>2652L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8D0550" w14:textId="71C0823C" w:rsidR="7494B5BB" w:rsidRPr="00687DE8" w:rsidRDefault="003E22A6">
            <w:pPr>
              <w:spacing w:after="0"/>
              <w:jc w:val="center"/>
              <w:rPr>
                <w:color w:val="000000" w:themeColor="text1"/>
                <w:szCs w:val="24"/>
              </w:rPr>
            </w:pPr>
            <w:r>
              <w:rPr>
                <w:color w:val="000000"/>
              </w:rPr>
              <w:t>1 975,76</w:t>
            </w:r>
          </w:p>
        </w:tc>
      </w:tr>
      <w:tr w:rsidR="00976487" w:rsidRPr="00687DE8" w14:paraId="6D3B1CA6"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2EFEDE" w14:textId="77777777" w:rsidR="00976487" w:rsidRPr="00687DE8" w:rsidRDefault="00976487">
            <w:pPr>
              <w:spacing w:after="0" w:line="240" w:lineRule="auto"/>
              <w:rPr>
                <w:szCs w:val="24"/>
              </w:rPr>
            </w:pPr>
            <w:r w:rsidRPr="00687DE8">
              <w:rPr>
                <w:szCs w:val="24"/>
              </w:rPr>
              <w:t>Tsementeeritav puusa revisioonprotees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F454FA" w14:textId="77777777" w:rsidR="00976487" w:rsidRPr="00687DE8" w:rsidRDefault="00976487">
            <w:pPr>
              <w:spacing w:after="0" w:line="240" w:lineRule="auto"/>
              <w:jc w:val="center"/>
              <w:rPr>
                <w:szCs w:val="24"/>
              </w:rPr>
            </w:pPr>
            <w:r w:rsidRPr="00687DE8">
              <w:rPr>
                <w:szCs w:val="24"/>
              </w:rPr>
              <w:t>2653L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C56ABD" w14:textId="01513D40" w:rsidR="7494B5BB" w:rsidRPr="00687DE8" w:rsidRDefault="003E22A6">
            <w:pPr>
              <w:spacing w:after="0"/>
              <w:jc w:val="center"/>
              <w:rPr>
                <w:color w:val="000000" w:themeColor="text1"/>
                <w:szCs w:val="24"/>
              </w:rPr>
            </w:pPr>
            <w:r>
              <w:rPr>
                <w:color w:val="000000"/>
              </w:rPr>
              <w:t>1 823,78</w:t>
            </w:r>
          </w:p>
        </w:tc>
      </w:tr>
      <w:tr w:rsidR="00976487" w:rsidRPr="00687DE8" w14:paraId="58C6725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C70012" w14:textId="77777777" w:rsidR="00976487" w:rsidRPr="00687DE8" w:rsidRDefault="00976487">
            <w:pPr>
              <w:spacing w:after="0" w:line="240" w:lineRule="auto"/>
              <w:rPr>
                <w:szCs w:val="24"/>
              </w:rPr>
            </w:pPr>
            <w:r w:rsidRPr="00687DE8">
              <w:rPr>
                <w:szCs w:val="24"/>
              </w:rPr>
              <w:t>Tsemendivaba puusa revisioonprotees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5A7E71" w14:textId="77777777" w:rsidR="00976487" w:rsidRPr="00687DE8" w:rsidRDefault="00976487">
            <w:pPr>
              <w:spacing w:after="0" w:line="240" w:lineRule="auto"/>
              <w:jc w:val="center"/>
              <w:rPr>
                <w:szCs w:val="24"/>
              </w:rPr>
            </w:pPr>
            <w:r w:rsidRPr="00687DE8">
              <w:rPr>
                <w:szCs w:val="24"/>
              </w:rPr>
              <w:t>2654L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24D90" w14:textId="24A760B2" w:rsidR="7494B5BB" w:rsidRPr="00687DE8" w:rsidRDefault="003E22A6">
            <w:pPr>
              <w:spacing w:after="0"/>
              <w:jc w:val="center"/>
              <w:rPr>
                <w:color w:val="000000" w:themeColor="text1"/>
                <w:szCs w:val="24"/>
              </w:rPr>
            </w:pPr>
            <w:r>
              <w:rPr>
                <w:color w:val="000000"/>
              </w:rPr>
              <w:t>2 887,59</w:t>
            </w:r>
          </w:p>
        </w:tc>
      </w:tr>
      <w:tr w:rsidR="00976487" w:rsidRPr="00687DE8" w14:paraId="46A8FA92"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1E7BC8" w14:textId="77777777" w:rsidR="00976487" w:rsidRPr="00687DE8" w:rsidRDefault="00976487">
            <w:pPr>
              <w:spacing w:after="0" w:line="240" w:lineRule="auto"/>
              <w:rPr>
                <w:szCs w:val="24"/>
              </w:rPr>
            </w:pPr>
            <w:r w:rsidRPr="00687DE8">
              <w:rPr>
                <w:szCs w:val="24"/>
              </w:rPr>
              <w:t>Segmenti asendav puusaliigese ja põlveliigese protees luukoe suure kaoga seotud protsesside (kasvajad, luunekroos) korral</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7F7642" w14:textId="77777777" w:rsidR="00976487" w:rsidRPr="00687DE8" w:rsidRDefault="00976487">
            <w:pPr>
              <w:spacing w:after="0" w:line="240" w:lineRule="auto"/>
              <w:jc w:val="center"/>
              <w:rPr>
                <w:szCs w:val="24"/>
              </w:rPr>
            </w:pPr>
          </w:p>
          <w:p w14:paraId="00E88A36" w14:textId="77777777" w:rsidR="00976487" w:rsidRPr="00687DE8" w:rsidRDefault="00976487">
            <w:pPr>
              <w:spacing w:after="0" w:line="240" w:lineRule="auto"/>
              <w:jc w:val="center"/>
              <w:rPr>
                <w:szCs w:val="24"/>
              </w:rPr>
            </w:pPr>
            <w:r w:rsidRPr="00687DE8">
              <w:rPr>
                <w:szCs w:val="24"/>
              </w:rPr>
              <w:t>2656L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67261B3" w14:textId="44355918" w:rsidR="7494B5BB" w:rsidRPr="00687DE8" w:rsidRDefault="003E22A6">
            <w:pPr>
              <w:spacing w:after="0"/>
              <w:jc w:val="center"/>
              <w:rPr>
                <w:color w:val="000000" w:themeColor="text1"/>
                <w:szCs w:val="24"/>
              </w:rPr>
            </w:pPr>
            <w:r>
              <w:rPr>
                <w:color w:val="000000"/>
              </w:rPr>
              <w:t>9 118,85</w:t>
            </w:r>
          </w:p>
        </w:tc>
      </w:tr>
      <w:tr w:rsidR="00976487" w:rsidRPr="00687DE8" w14:paraId="2BF84673"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A193B2" w14:textId="77777777" w:rsidR="00976487" w:rsidRPr="00687DE8" w:rsidRDefault="00976487">
            <w:pPr>
              <w:spacing w:after="0" w:line="240" w:lineRule="auto"/>
              <w:rPr>
                <w:szCs w:val="24"/>
              </w:rPr>
            </w:pPr>
            <w:r w:rsidRPr="00687DE8">
              <w:rPr>
                <w:szCs w:val="24"/>
              </w:rPr>
              <w:t>Standardne tsementeeritav põlveliigese endoprotees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ABF9A4" w14:textId="77777777" w:rsidR="00976487" w:rsidRPr="00687DE8" w:rsidRDefault="00976487">
            <w:pPr>
              <w:spacing w:after="0" w:line="240" w:lineRule="auto"/>
              <w:jc w:val="center"/>
              <w:rPr>
                <w:szCs w:val="24"/>
              </w:rPr>
            </w:pPr>
            <w:r w:rsidRPr="00687DE8">
              <w:rPr>
                <w:szCs w:val="24"/>
              </w:rPr>
              <w:t>2660L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4AD9F4" w14:textId="4DA7B72F" w:rsidR="7494B5BB" w:rsidRPr="00687DE8" w:rsidRDefault="003E22A6">
            <w:pPr>
              <w:spacing w:after="0"/>
              <w:jc w:val="center"/>
              <w:rPr>
                <w:color w:val="000000" w:themeColor="text1"/>
                <w:szCs w:val="24"/>
              </w:rPr>
            </w:pPr>
            <w:r>
              <w:rPr>
                <w:color w:val="000000"/>
              </w:rPr>
              <w:t>2 196,07</w:t>
            </w:r>
          </w:p>
        </w:tc>
      </w:tr>
      <w:tr w:rsidR="00976487" w:rsidRPr="00687DE8" w14:paraId="0EB69505"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0A2F4B" w14:textId="77777777" w:rsidR="00976487" w:rsidRPr="00687DE8" w:rsidRDefault="00976487">
            <w:pPr>
              <w:spacing w:after="0" w:line="240" w:lineRule="auto"/>
              <w:rPr>
                <w:szCs w:val="24"/>
              </w:rPr>
            </w:pPr>
            <w:r w:rsidRPr="00687DE8">
              <w:rPr>
                <w:szCs w:val="24"/>
              </w:rPr>
              <w:t>Sõrmeliigese silikoonprotees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C51FE5" w14:textId="77777777" w:rsidR="00976487" w:rsidRPr="00687DE8" w:rsidRDefault="00976487">
            <w:pPr>
              <w:spacing w:after="0" w:line="240" w:lineRule="auto"/>
              <w:jc w:val="center"/>
              <w:rPr>
                <w:szCs w:val="24"/>
              </w:rPr>
            </w:pPr>
            <w:r w:rsidRPr="00687DE8">
              <w:rPr>
                <w:szCs w:val="24"/>
              </w:rPr>
              <w:t>2670L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D7D61A" w14:textId="362B76EB" w:rsidR="7494B5BB" w:rsidRPr="00687DE8" w:rsidRDefault="003E22A6">
            <w:pPr>
              <w:spacing w:after="0"/>
              <w:jc w:val="center"/>
              <w:rPr>
                <w:color w:val="000000" w:themeColor="text1"/>
                <w:szCs w:val="24"/>
              </w:rPr>
            </w:pPr>
            <w:r>
              <w:rPr>
                <w:color w:val="000000"/>
              </w:rPr>
              <w:t>266,00</w:t>
            </w:r>
          </w:p>
        </w:tc>
      </w:tr>
      <w:tr w:rsidR="00976487" w:rsidRPr="00687DE8" w14:paraId="72ADEF89"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7FA275" w14:textId="77777777" w:rsidR="00976487" w:rsidRPr="00687DE8" w:rsidRDefault="00976487">
            <w:pPr>
              <w:spacing w:after="0" w:line="240" w:lineRule="auto"/>
              <w:rPr>
                <w:szCs w:val="24"/>
              </w:rPr>
            </w:pPr>
            <w:r w:rsidRPr="00687DE8">
              <w:rPr>
                <w:szCs w:val="24"/>
              </w:rPr>
              <w:t>Sõrmeliigese totaalprotees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881A79" w14:textId="77777777" w:rsidR="00976487" w:rsidRPr="00687DE8" w:rsidRDefault="00976487">
            <w:pPr>
              <w:spacing w:after="0" w:line="240" w:lineRule="auto"/>
              <w:jc w:val="center"/>
              <w:rPr>
                <w:szCs w:val="24"/>
              </w:rPr>
            </w:pPr>
            <w:r w:rsidRPr="00687DE8">
              <w:rPr>
                <w:szCs w:val="24"/>
              </w:rPr>
              <w:t>2671L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13B62E" w14:textId="3C7DDDFA" w:rsidR="7494B5BB" w:rsidRPr="00687DE8" w:rsidRDefault="003E22A6">
            <w:pPr>
              <w:spacing w:after="0"/>
              <w:jc w:val="center"/>
              <w:rPr>
                <w:color w:val="000000" w:themeColor="text1"/>
                <w:szCs w:val="24"/>
              </w:rPr>
            </w:pPr>
            <w:r>
              <w:rPr>
                <w:color w:val="000000"/>
              </w:rPr>
              <w:t>715,24</w:t>
            </w:r>
          </w:p>
        </w:tc>
      </w:tr>
      <w:tr w:rsidR="00976487" w:rsidRPr="00687DE8" w14:paraId="510BA98B"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CB4D6A" w14:textId="77777777" w:rsidR="00976487" w:rsidRPr="00687DE8" w:rsidRDefault="00976487">
            <w:pPr>
              <w:spacing w:after="0" w:line="240" w:lineRule="auto"/>
              <w:rPr>
                <w:szCs w:val="24"/>
              </w:rPr>
            </w:pPr>
            <w:r w:rsidRPr="00687DE8">
              <w:rPr>
                <w:szCs w:val="24"/>
              </w:rPr>
              <w:t>Unikondülaarne põlveliigese 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658BB0" w14:textId="77777777" w:rsidR="00976487" w:rsidRPr="00687DE8" w:rsidRDefault="00976487">
            <w:pPr>
              <w:spacing w:after="0" w:line="240" w:lineRule="auto"/>
              <w:jc w:val="center"/>
              <w:rPr>
                <w:szCs w:val="24"/>
              </w:rPr>
            </w:pPr>
            <w:r w:rsidRPr="00687DE8">
              <w:rPr>
                <w:szCs w:val="24"/>
              </w:rPr>
              <w:t>2672L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D67E37" w14:textId="43B99A09" w:rsidR="7494B5BB" w:rsidRPr="00687DE8" w:rsidRDefault="003E22A6">
            <w:pPr>
              <w:spacing w:after="0"/>
              <w:jc w:val="center"/>
              <w:rPr>
                <w:color w:val="000000" w:themeColor="text1"/>
                <w:szCs w:val="24"/>
              </w:rPr>
            </w:pPr>
            <w:r>
              <w:rPr>
                <w:color w:val="000000"/>
              </w:rPr>
              <w:t>1 374,10</w:t>
            </w:r>
          </w:p>
        </w:tc>
      </w:tr>
      <w:tr w:rsidR="00976487" w:rsidRPr="00687DE8" w14:paraId="7B32D1CD"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741D9A" w14:textId="77777777" w:rsidR="00976487" w:rsidRPr="00687DE8" w:rsidRDefault="00976487">
            <w:pPr>
              <w:spacing w:after="0" w:line="240" w:lineRule="auto"/>
              <w:rPr>
                <w:szCs w:val="24"/>
              </w:rPr>
            </w:pPr>
            <w:r w:rsidRPr="00687DE8">
              <w:rPr>
                <w:szCs w:val="24"/>
              </w:rPr>
              <w:t>Erikonstruktsiooniga protees (põlv, õlg, ranne, küünarliiges, hüppeliiges)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A06A32" w14:textId="77777777" w:rsidR="00976487" w:rsidRPr="00687DE8" w:rsidRDefault="00976487">
            <w:pPr>
              <w:spacing w:after="0" w:line="240" w:lineRule="auto"/>
              <w:jc w:val="center"/>
              <w:rPr>
                <w:szCs w:val="24"/>
              </w:rPr>
            </w:pPr>
          </w:p>
          <w:p w14:paraId="4116E46B" w14:textId="77777777" w:rsidR="00976487" w:rsidRPr="00687DE8" w:rsidRDefault="00976487">
            <w:pPr>
              <w:spacing w:after="0" w:line="240" w:lineRule="auto"/>
              <w:jc w:val="center"/>
              <w:rPr>
                <w:szCs w:val="24"/>
              </w:rPr>
            </w:pPr>
            <w:r w:rsidRPr="00687DE8">
              <w:rPr>
                <w:szCs w:val="24"/>
              </w:rPr>
              <w:t>2673L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4B384E1" w14:textId="4257196C" w:rsidR="7494B5BB" w:rsidRPr="00687DE8" w:rsidRDefault="003E22A6">
            <w:pPr>
              <w:spacing w:after="0"/>
              <w:jc w:val="center"/>
              <w:rPr>
                <w:color w:val="000000" w:themeColor="text1"/>
                <w:szCs w:val="24"/>
              </w:rPr>
            </w:pPr>
            <w:r>
              <w:rPr>
                <w:color w:val="000000"/>
              </w:rPr>
              <w:t>2 794,08</w:t>
            </w:r>
          </w:p>
        </w:tc>
      </w:tr>
      <w:tr w:rsidR="00976487" w:rsidRPr="00687DE8" w14:paraId="05A61696" w14:textId="77777777" w:rsidTr="00EB7A71">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A7A0CD" w14:textId="77777777" w:rsidR="00976487" w:rsidRPr="00687DE8" w:rsidRDefault="00976487">
            <w:pPr>
              <w:spacing w:after="0" w:line="240" w:lineRule="auto"/>
              <w:rPr>
                <w:szCs w:val="24"/>
              </w:rPr>
            </w:pPr>
            <w:r w:rsidRPr="00687DE8">
              <w:rPr>
                <w:szCs w:val="24"/>
              </w:rPr>
              <w:lastRenderedPageBreak/>
              <w:t>Eripinnakonstruktsiooniga puusa- või põlveliigese 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D0D814" w14:textId="77777777" w:rsidR="00976487" w:rsidRPr="00687DE8" w:rsidRDefault="00976487">
            <w:pPr>
              <w:spacing w:after="0" w:line="240" w:lineRule="auto"/>
              <w:jc w:val="center"/>
              <w:rPr>
                <w:szCs w:val="24"/>
              </w:rPr>
            </w:pPr>
            <w:r w:rsidRPr="00687DE8">
              <w:rPr>
                <w:szCs w:val="24"/>
              </w:rPr>
              <w:t>2674L</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7B8E25" w14:textId="22770905" w:rsidR="7494B5BB" w:rsidRPr="00687DE8" w:rsidRDefault="009A31A5">
            <w:pPr>
              <w:spacing w:after="0"/>
              <w:jc w:val="center"/>
              <w:rPr>
                <w:color w:val="000000" w:themeColor="text1"/>
                <w:szCs w:val="24"/>
              </w:rPr>
            </w:pPr>
            <w:r>
              <w:rPr>
                <w:color w:val="000000"/>
              </w:rPr>
              <w:t>5 560,31</w:t>
            </w:r>
          </w:p>
        </w:tc>
      </w:tr>
      <w:tr w:rsidR="00976487" w:rsidRPr="00687DE8" w14:paraId="0CCC101C"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BD1D6E" w14:textId="77777777" w:rsidR="00976487" w:rsidRPr="00687DE8" w:rsidRDefault="00976487">
            <w:pPr>
              <w:spacing w:after="0" w:line="240" w:lineRule="auto"/>
              <w:rPr>
                <w:szCs w:val="24"/>
              </w:rPr>
            </w:pPr>
            <w:r w:rsidRPr="00687DE8">
              <w:rPr>
                <w:szCs w:val="24"/>
              </w:rPr>
              <w:t>Vaagnaluu defekti asetatav tugiimplantaat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1EF3DB" w14:textId="77777777" w:rsidR="00976487" w:rsidRPr="00687DE8" w:rsidRDefault="00976487">
            <w:pPr>
              <w:spacing w:after="0" w:line="240" w:lineRule="auto"/>
              <w:jc w:val="center"/>
              <w:rPr>
                <w:szCs w:val="24"/>
              </w:rPr>
            </w:pPr>
            <w:r w:rsidRPr="00687DE8">
              <w:rPr>
                <w:szCs w:val="24"/>
              </w:rPr>
              <w:t>2675L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31548C" w14:textId="4BA1D4EA" w:rsidR="7494B5BB" w:rsidRPr="00687DE8" w:rsidRDefault="009A31A5">
            <w:pPr>
              <w:spacing w:after="0"/>
              <w:jc w:val="center"/>
              <w:rPr>
                <w:color w:val="000000" w:themeColor="text1"/>
                <w:szCs w:val="24"/>
              </w:rPr>
            </w:pPr>
            <w:r>
              <w:rPr>
                <w:color w:val="000000"/>
              </w:rPr>
              <w:t>1 476,36</w:t>
            </w:r>
          </w:p>
        </w:tc>
      </w:tr>
      <w:tr w:rsidR="00976487" w:rsidRPr="00687DE8" w14:paraId="0BEE869E"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92C696" w14:textId="77777777" w:rsidR="00976487" w:rsidRPr="00687DE8" w:rsidRDefault="00976487">
            <w:pPr>
              <w:spacing w:after="0" w:line="240" w:lineRule="auto"/>
              <w:rPr>
                <w:szCs w:val="24"/>
              </w:rPr>
            </w:pPr>
            <w:r w:rsidRPr="00687DE8">
              <w:rPr>
                <w:szCs w:val="24"/>
              </w:rPr>
              <w:t>Negatiivse rõhuga kinnine süsteem (vaakumteraapia-VAC süsteem)</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D915C0" w14:textId="77777777" w:rsidR="0059035D" w:rsidRPr="00687DE8" w:rsidRDefault="0059035D">
            <w:pPr>
              <w:spacing w:after="0" w:line="240" w:lineRule="auto"/>
              <w:jc w:val="center"/>
              <w:rPr>
                <w:szCs w:val="24"/>
              </w:rPr>
            </w:pPr>
          </w:p>
          <w:p w14:paraId="5B243580" w14:textId="77777777" w:rsidR="00976487" w:rsidRPr="00687DE8" w:rsidRDefault="00976487">
            <w:pPr>
              <w:spacing w:after="0" w:line="240" w:lineRule="auto"/>
              <w:jc w:val="center"/>
              <w:rPr>
                <w:szCs w:val="24"/>
              </w:rPr>
            </w:pPr>
            <w:r w:rsidRPr="00687DE8">
              <w:rPr>
                <w:szCs w:val="24"/>
              </w:rPr>
              <w:t>2676L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648C48" w14:textId="1A71F585" w:rsidR="7494B5BB" w:rsidRPr="00687DE8" w:rsidRDefault="009A31A5">
            <w:pPr>
              <w:spacing w:after="0"/>
              <w:jc w:val="center"/>
              <w:rPr>
                <w:color w:val="000000" w:themeColor="text1"/>
                <w:szCs w:val="24"/>
              </w:rPr>
            </w:pPr>
            <w:r>
              <w:rPr>
                <w:color w:val="000000"/>
              </w:rPr>
              <w:t>197,43</w:t>
            </w:r>
          </w:p>
        </w:tc>
      </w:tr>
      <w:tr w:rsidR="65BF7C67" w:rsidRPr="00687DE8" w14:paraId="414BF022" w14:textId="77777777" w:rsidTr="00E606DB">
        <w:trPr>
          <w:divId w:val="1316184749"/>
          <w:trHeight w:val="659"/>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AF188A" w14:textId="77777777" w:rsidR="412CE2C1" w:rsidRPr="00687DE8" w:rsidRDefault="2F126E7C" w:rsidP="7E0E6F49">
            <w:pPr>
              <w:spacing w:line="240" w:lineRule="auto"/>
              <w:rPr>
                <w:szCs w:val="24"/>
              </w:rPr>
            </w:pPr>
            <w:r w:rsidRPr="00687DE8">
              <w:rPr>
                <w:szCs w:val="24"/>
              </w:rPr>
              <w:t>Kodus kasutatav negatiivse rõhuga kinnine süsteem (vaakumteraapia-VAC süsteem)</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EC1221" w14:textId="77777777" w:rsidR="0078134F" w:rsidRDefault="0078134F" w:rsidP="65BF7C67">
            <w:pPr>
              <w:spacing w:line="240" w:lineRule="auto"/>
              <w:jc w:val="center"/>
              <w:rPr>
                <w:szCs w:val="24"/>
              </w:rPr>
            </w:pPr>
          </w:p>
          <w:p w14:paraId="504D485D" w14:textId="44620F27" w:rsidR="65BF7C67" w:rsidRPr="00687DE8" w:rsidRDefault="412CE2C1" w:rsidP="65BF7C67">
            <w:pPr>
              <w:spacing w:line="240" w:lineRule="auto"/>
              <w:jc w:val="center"/>
              <w:rPr>
                <w:szCs w:val="24"/>
              </w:rPr>
            </w:pPr>
            <w:r w:rsidRPr="00687DE8">
              <w:rPr>
                <w:szCs w:val="24"/>
              </w:rPr>
              <w:t>2682L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68D51C" w14:textId="20E4A0FF" w:rsidR="7494B5BB" w:rsidRPr="00687DE8" w:rsidRDefault="009A31A5">
            <w:pPr>
              <w:spacing w:after="0"/>
              <w:jc w:val="center"/>
              <w:rPr>
                <w:color w:val="000000" w:themeColor="text1"/>
                <w:szCs w:val="24"/>
              </w:rPr>
            </w:pPr>
            <w:r>
              <w:rPr>
                <w:color w:val="000000"/>
              </w:rPr>
              <w:t>283,90</w:t>
            </w:r>
          </w:p>
        </w:tc>
      </w:tr>
      <w:tr w:rsidR="00976487" w:rsidRPr="00687DE8" w14:paraId="065C752A"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481A2D" w14:textId="77777777" w:rsidR="00976487" w:rsidRPr="00687DE8" w:rsidRDefault="00976487">
            <w:pPr>
              <w:spacing w:after="0" w:line="240" w:lineRule="auto"/>
              <w:rPr>
                <w:szCs w:val="24"/>
              </w:rPr>
            </w:pPr>
            <w:r w:rsidRPr="00687DE8">
              <w:rPr>
                <w:szCs w:val="24"/>
              </w:rPr>
              <w:t xml:space="preserve">Infitseeritud luukolde või luu defekti täitmiseks vajalik bioimplantaat (50 tk = </w:t>
            </w:r>
            <w:r w:rsidR="000411F8" w:rsidRPr="00687DE8">
              <w:rPr>
                <w:szCs w:val="24"/>
              </w:rPr>
              <w:t>üks</w:t>
            </w:r>
            <w:r w:rsidRPr="00687DE8">
              <w:rPr>
                <w:szCs w:val="24"/>
              </w:rPr>
              <w:t xml:space="preserve"> viaal)</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20F14F" w14:textId="77777777" w:rsidR="00976487" w:rsidRPr="00687DE8" w:rsidRDefault="00976487">
            <w:pPr>
              <w:spacing w:after="0" w:line="240" w:lineRule="auto"/>
              <w:jc w:val="center"/>
              <w:rPr>
                <w:szCs w:val="24"/>
              </w:rPr>
            </w:pPr>
          </w:p>
          <w:p w14:paraId="50D6500B" w14:textId="77777777" w:rsidR="00976487" w:rsidRPr="00687DE8" w:rsidRDefault="00976487">
            <w:pPr>
              <w:spacing w:after="0" w:line="240" w:lineRule="auto"/>
              <w:jc w:val="center"/>
              <w:rPr>
                <w:szCs w:val="24"/>
              </w:rPr>
            </w:pPr>
            <w:r w:rsidRPr="00687DE8">
              <w:rPr>
                <w:szCs w:val="24"/>
              </w:rPr>
              <w:t>2677L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9406F57" w14:textId="7E011A85" w:rsidR="7494B5BB" w:rsidRPr="00687DE8" w:rsidRDefault="009A31A5">
            <w:pPr>
              <w:spacing w:after="0"/>
              <w:jc w:val="center"/>
              <w:rPr>
                <w:color w:val="000000" w:themeColor="text1"/>
                <w:szCs w:val="24"/>
              </w:rPr>
            </w:pPr>
            <w:r>
              <w:rPr>
                <w:color w:val="000000"/>
              </w:rPr>
              <w:t>149,23</w:t>
            </w:r>
          </w:p>
        </w:tc>
      </w:tr>
      <w:tr w:rsidR="00976487" w:rsidRPr="00687DE8" w14:paraId="73E4A8FC"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077EFC" w14:textId="77777777" w:rsidR="00976487" w:rsidRPr="00687DE8" w:rsidRDefault="00976487">
            <w:pPr>
              <w:spacing w:after="0" w:line="240" w:lineRule="auto"/>
              <w:rPr>
                <w:szCs w:val="24"/>
              </w:rPr>
            </w:pPr>
            <w:r w:rsidRPr="00687DE8">
              <w:rPr>
                <w:szCs w:val="24"/>
              </w:rPr>
              <w:t>Endoproteesimisel kasutatav tavaline tsement 40 g või põletikuvastast vahendit sisaldav tsement 20 g</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9F6243" w14:textId="77777777" w:rsidR="00976487" w:rsidRPr="00687DE8" w:rsidRDefault="00976487">
            <w:pPr>
              <w:spacing w:after="0" w:line="240" w:lineRule="auto"/>
              <w:jc w:val="center"/>
              <w:rPr>
                <w:szCs w:val="24"/>
              </w:rPr>
            </w:pPr>
          </w:p>
          <w:p w14:paraId="53898093" w14:textId="77777777" w:rsidR="00976487" w:rsidRPr="00687DE8" w:rsidRDefault="00976487">
            <w:pPr>
              <w:spacing w:after="0" w:line="240" w:lineRule="auto"/>
              <w:jc w:val="center"/>
              <w:rPr>
                <w:szCs w:val="24"/>
              </w:rPr>
            </w:pPr>
            <w:r w:rsidRPr="00687DE8">
              <w:rPr>
                <w:szCs w:val="24"/>
              </w:rPr>
              <w:t>2678L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9FCD2AB" w14:textId="0B634FE3" w:rsidR="7494B5BB" w:rsidRPr="00687DE8" w:rsidRDefault="009A31A5">
            <w:pPr>
              <w:spacing w:after="0"/>
              <w:jc w:val="center"/>
              <w:rPr>
                <w:color w:val="000000" w:themeColor="text1"/>
                <w:szCs w:val="24"/>
              </w:rPr>
            </w:pPr>
            <w:r>
              <w:rPr>
                <w:color w:val="000000"/>
              </w:rPr>
              <w:t>137,12</w:t>
            </w:r>
          </w:p>
        </w:tc>
      </w:tr>
      <w:tr w:rsidR="00976487" w:rsidRPr="00687DE8" w14:paraId="6763C09B"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33C010" w14:textId="77777777" w:rsidR="00976487" w:rsidRPr="00687DE8" w:rsidRDefault="00976487">
            <w:pPr>
              <w:spacing w:after="0" w:line="240" w:lineRule="auto"/>
              <w:rPr>
                <w:szCs w:val="24"/>
              </w:rPr>
            </w:pPr>
            <w:r w:rsidRPr="00687DE8">
              <w:rPr>
                <w:szCs w:val="24"/>
              </w:rPr>
              <w:t>Intermaksillaarse fiksatsiooni kruvide (IMF) komplekt (</w:t>
            </w:r>
            <w:r w:rsidR="000411F8" w:rsidRPr="00687DE8">
              <w:rPr>
                <w:szCs w:val="24"/>
              </w:rPr>
              <w:t>neli</w:t>
            </w:r>
            <w:r w:rsidRPr="00687DE8">
              <w:rPr>
                <w:szCs w:val="24"/>
              </w:rPr>
              <w:t xml:space="preserve"> tk)</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8B21B3" w14:textId="77777777" w:rsidR="0078134F" w:rsidRDefault="0078134F">
            <w:pPr>
              <w:spacing w:after="0" w:line="240" w:lineRule="auto"/>
              <w:jc w:val="center"/>
              <w:rPr>
                <w:szCs w:val="24"/>
              </w:rPr>
            </w:pPr>
          </w:p>
          <w:p w14:paraId="2A5BEAAC" w14:textId="594C55F9" w:rsidR="00976487" w:rsidRPr="00687DE8" w:rsidRDefault="00976487">
            <w:pPr>
              <w:spacing w:after="0" w:line="240" w:lineRule="auto"/>
              <w:jc w:val="center"/>
              <w:rPr>
                <w:szCs w:val="24"/>
              </w:rPr>
            </w:pPr>
            <w:r w:rsidRPr="00687DE8">
              <w:rPr>
                <w:szCs w:val="24"/>
              </w:rPr>
              <w:t>2679L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610E03" w14:textId="7BFC7CC5" w:rsidR="7494B5BB" w:rsidRPr="00687DE8" w:rsidRDefault="009A31A5">
            <w:pPr>
              <w:spacing w:after="0"/>
              <w:jc w:val="center"/>
              <w:rPr>
                <w:color w:val="000000" w:themeColor="text1"/>
                <w:szCs w:val="24"/>
              </w:rPr>
            </w:pPr>
            <w:r>
              <w:rPr>
                <w:color w:val="000000"/>
              </w:rPr>
              <w:t>114,77</w:t>
            </w:r>
          </w:p>
        </w:tc>
      </w:tr>
      <w:tr w:rsidR="00976487" w:rsidRPr="00687DE8" w14:paraId="559A642D"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E0F916" w14:textId="77777777" w:rsidR="00976487" w:rsidRPr="00687DE8" w:rsidRDefault="00976487">
            <w:pPr>
              <w:spacing w:after="0" w:line="240" w:lineRule="auto"/>
              <w:rPr>
                <w:szCs w:val="24"/>
              </w:rPr>
            </w:pPr>
            <w:r w:rsidRPr="00687DE8">
              <w:rPr>
                <w:szCs w:val="24"/>
              </w:rPr>
              <w:t>Alalõualiigese unilateraalne endoprotees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C0A7B7" w14:textId="77777777" w:rsidR="00976487" w:rsidRPr="00687DE8" w:rsidRDefault="00976487">
            <w:pPr>
              <w:spacing w:after="0" w:line="240" w:lineRule="auto"/>
              <w:jc w:val="center"/>
              <w:rPr>
                <w:szCs w:val="24"/>
              </w:rPr>
            </w:pPr>
            <w:r w:rsidRPr="00687DE8">
              <w:rPr>
                <w:szCs w:val="24"/>
              </w:rPr>
              <w:t>2680L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90F4C2" w14:textId="204B9272" w:rsidR="7494B5BB" w:rsidRPr="00687DE8" w:rsidRDefault="009A31A5">
            <w:pPr>
              <w:spacing w:after="0"/>
              <w:jc w:val="center"/>
              <w:rPr>
                <w:color w:val="000000" w:themeColor="text1"/>
                <w:szCs w:val="24"/>
              </w:rPr>
            </w:pPr>
            <w:r>
              <w:rPr>
                <w:color w:val="000000"/>
              </w:rPr>
              <w:t>15 260,00</w:t>
            </w:r>
          </w:p>
        </w:tc>
      </w:tr>
      <w:tr w:rsidR="00976487" w:rsidRPr="00687DE8" w14:paraId="246F9485"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01F687" w14:textId="77777777" w:rsidR="00976487" w:rsidRPr="00687DE8" w:rsidRDefault="00976487">
            <w:pPr>
              <w:spacing w:after="0" w:line="240" w:lineRule="auto"/>
              <w:rPr>
                <w:szCs w:val="24"/>
              </w:rPr>
            </w:pPr>
            <w:r w:rsidRPr="00687DE8">
              <w:rPr>
                <w:szCs w:val="24"/>
              </w:rPr>
              <w:t>Alalõualiigese bilateraalne endoprotees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5B6D44" w14:textId="77777777" w:rsidR="00976487" w:rsidRPr="00687DE8" w:rsidRDefault="00976487">
            <w:pPr>
              <w:spacing w:after="0" w:line="240" w:lineRule="auto"/>
              <w:jc w:val="center"/>
              <w:rPr>
                <w:szCs w:val="24"/>
              </w:rPr>
            </w:pPr>
            <w:r w:rsidRPr="00687DE8">
              <w:rPr>
                <w:szCs w:val="24"/>
              </w:rPr>
              <w:t>2681L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6778B4" w14:textId="0E3DE314" w:rsidR="7494B5BB" w:rsidRPr="00687DE8" w:rsidRDefault="009A31A5">
            <w:pPr>
              <w:spacing w:after="0"/>
              <w:jc w:val="center"/>
              <w:rPr>
                <w:color w:val="000000" w:themeColor="text1"/>
                <w:szCs w:val="24"/>
              </w:rPr>
            </w:pPr>
            <w:r>
              <w:rPr>
                <w:color w:val="000000"/>
              </w:rPr>
              <w:t>28 340,00</w:t>
            </w:r>
          </w:p>
        </w:tc>
      </w:tr>
      <w:tr w:rsidR="00976487" w:rsidRPr="00687DE8" w14:paraId="3B6E94BB"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A18ACE" w14:textId="77777777" w:rsidR="00976487" w:rsidRPr="00687DE8" w:rsidRDefault="00976487">
            <w:pPr>
              <w:spacing w:after="0" w:line="240" w:lineRule="auto"/>
              <w:rPr>
                <w:szCs w:val="24"/>
              </w:rPr>
            </w:pPr>
            <w:r w:rsidRPr="00687DE8">
              <w:rPr>
                <w:szCs w:val="24"/>
              </w:rPr>
              <w:t>Klips ajuveresoonte haiguste operatsioonil</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56EE88" w14:textId="77777777" w:rsidR="00976487" w:rsidRPr="00687DE8" w:rsidRDefault="00976487">
            <w:pPr>
              <w:spacing w:after="0" w:line="240" w:lineRule="auto"/>
              <w:jc w:val="center"/>
              <w:rPr>
                <w:szCs w:val="24"/>
              </w:rPr>
            </w:pPr>
            <w:r w:rsidRPr="00687DE8">
              <w:rPr>
                <w:szCs w:val="24"/>
              </w:rPr>
              <w:t>2701L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F51FE" w14:textId="773D2A90" w:rsidR="7494B5BB" w:rsidRPr="00687DE8" w:rsidRDefault="009A31A5">
            <w:pPr>
              <w:spacing w:after="0"/>
              <w:jc w:val="center"/>
              <w:rPr>
                <w:color w:val="000000" w:themeColor="text1"/>
                <w:szCs w:val="24"/>
              </w:rPr>
            </w:pPr>
            <w:r>
              <w:rPr>
                <w:color w:val="000000"/>
              </w:rPr>
              <w:t>216,00</w:t>
            </w:r>
          </w:p>
        </w:tc>
      </w:tr>
      <w:tr w:rsidR="00976487" w:rsidRPr="00687DE8" w14:paraId="6956DC12" w14:textId="77777777" w:rsidTr="00EB7A71">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4CAEB7" w14:textId="77777777" w:rsidR="00976487" w:rsidRPr="00687DE8" w:rsidRDefault="00976487">
            <w:pPr>
              <w:spacing w:after="0" w:line="240" w:lineRule="auto"/>
              <w:rPr>
                <w:szCs w:val="24"/>
              </w:rPr>
            </w:pPr>
            <w:r w:rsidRPr="00687DE8">
              <w:rPr>
                <w:szCs w:val="24"/>
              </w:rPr>
              <w:t>Ajuvatsakeste šunteerimise komplekt (reguleeritava klapiga)</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D761B8" w14:textId="77777777" w:rsidR="00976487" w:rsidRPr="00687DE8" w:rsidRDefault="00976487">
            <w:pPr>
              <w:spacing w:after="0" w:line="240" w:lineRule="auto"/>
              <w:jc w:val="center"/>
              <w:rPr>
                <w:szCs w:val="24"/>
              </w:rPr>
            </w:pPr>
            <w:r w:rsidRPr="00687DE8">
              <w:rPr>
                <w:szCs w:val="24"/>
              </w:rPr>
              <w:t>2702L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B391A3" w14:textId="0096CE47" w:rsidR="1C8C1074" w:rsidRPr="00687DE8" w:rsidRDefault="009A31A5">
            <w:pPr>
              <w:spacing w:after="0"/>
              <w:jc w:val="center"/>
              <w:rPr>
                <w:color w:val="000000" w:themeColor="text1"/>
                <w:szCs w:val="24"/>
              </w:rPr>
            </w:pPr>
            <w:r>
              <w:rPr>
                <w:color w:val="000000"/>
              </w:rPr>
              <w:t>2 253,03</w:t>
            </w:r>
          </w:p>
        </w:tc>
      </w:tr>
      <w:tr w:rsidR="00976487" w:rsidRPr="00687DE8" w14:paraId="3AB4556C"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458138" w14:textId="77777777" w:rsidR="00976487" w:rsidRPr="00687DE8" w:rsidRDefault="00976487">
            <w:pPr>
              <w:spacing w:after="0" w:line="240" w:lineRule="auto"/>
              <w:rPr>
                <w:szCs w:val="24"/>
              </w:rPr>
            </w:pPr>
            <w:r w:rsidRPr="00687DE8">
              <w:rPr>
                <w:szCs w:val="24"/>
              </w:rPr>
              <w:t>Ajuvatsakese välise drenaaži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7B23A7" w14:textId="77777777" w:rsidR="00976487" w:rsidRPr="00687DE8" w:rsidRDefault="00976487">
            <w:pPr>
              <w:spacing w:after="0" w:line="240" w:lineRule="auto"/>
              <w:jc w:val="center"/>
              <w:rPr>
                <w:szCs w:val="24"/>
              </w:rPr>
            </w:pPr>
            <w:r w:rsidRPr="00687DE8">
              <w:rPr>
                <w:szCs w:val="24"/>
              </w:rPr>
              <w:t>2703L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15F23E" w14:textId="347425ED" w:rsidR="1C8C1074" w:rsidRPr="00687DE8" w:rsidRDefault="009A31A5">
            <w:pPr>
              <w:spacing w:after="0"/>
              <w:jc w:val="center"/>
              <w:rPr>
                <w:color w:val="000000" w:themeColor="text1"/>
                <w:szCs w:val="24"/>
              </w:rPr>
            </w:pPr>
            <w:r>
              <w:rPr>
                <w:color w:val="000000"/>
              </w:rPr>
              <w:t>318,48</w:t>
            </w:r>
          </w:p>
        </w:tc>
      </w:tr>
      <w:tr w:rsidR="00976487" w:rsidRPr="00687DE8" w14:paraId="3682B14A"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3DE26F" w14:textId="77777777" w:rsidR="00976487" w:rsidRPr="00687DE8" w:rsidRDefault="00976487">
            <w:pPr>
              <w:spacing w:after="0" w:line="240" w:lineRule="auto"/>
              <w:rPr>
                <w:szCs w:val="24"/>
              </w:rPr>
            </w:pPr>
            <w:r w:rsidRPr="00687DE8">
              <w:rPr>
                <w:szCs w:val="24"/>
              </w:rPr>
              <w:t>Koljul paiknev reservuaarklapp šunteerival operatsioonil</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2479C3" w14:textId="77777777" w:rsidR="00976487" w:rsidRPr="00687DE8" w:rsidRDefault="00976487">
            <w:pPr>
              <w:spacing w:after="0" w:line="240" w:lineRule="auto"/>
              <w:jc w:val="center"/>
              <w:rPr>
                <w:szCs w:val="24"/>
              </w:rPr>
            </w:pPr>
            <w:r w:rsidRPr="00687DE8">
              <w:rPr>
                <w:szCs w:val="24"/>
              </w:rPr>
              <w:t>2707L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23BF57" w14:textId="66DFCE69" w:rsidR="1C8C1074" w:rsidRPr="00687DE8" w:rsidRDefault="009A31A5">
            <w:pPr>
              <w:spacing w:after="0"/>
              <w:jc w:val="center"/>
              <w:rPr>
                <w:color w:val="000000" w:themeColor="text1"/>
                <w:szCs w:val="24"/>
              </w:rPr>
            </w:pPr>
            <w:r>
              <w:rPr>
                <w:color w:val="000000"/>
              </w:rPr>
              <w:t>397,09</w:t>
            </w:r>
          </w:p>
        </w:tc>
      </w:tr>
      <w:tr w:rsidR="00976487" w:rsidRPr="00687DE8" w14:paraId="558157C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D83D92" w14:textId="77777777" w:rsidR="00976487" w:rsidRPr="00687DE8" w:rsidRDefault="00976487">
            <w:pPr>
              <w:spacing w:after="0" w:line="240" w:lineRule="auto"/>
              <w:rPr>
                <w:szCs w:val="24"/>
              </w:rPr>
            </w:pPr>
            <w:r w:rsidRPr="00687DE8">
              <w:rPr>
                <w:szCs w:val="24"/>
              </w:rPr>
              <w:t>Ühendav vahelüli šunteerival operatsioonil</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BEF423" w14:textId="77777777" w:rsidR="00976487" w:rsidRPr="00687DE8" w:rsidRDefault="00976487">
            <w:pPr>
              <w:spacing w:after="0" w:line="240" w:lineRule="auto"/>
              <w:jc w:val="center"/>
              <w:rPr>
                <w:szCs w:val="24"/>
              </w:rPr>
            </w:pPr>
            <w:r w:rsidRPr="00687DE8">
              <w:rPr>
                <w:szCs w:val="24"/>
              </w:rPr>
              <w:t>2708L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8947CE" w14:textId="32FE8B44" w:rsidR="1C8C1074" w:rsidRPr="00687DE8" w:rsidRDefault="009A31A5">
            <w:pPr>
              <w:spacing w:after="0"/>
              <w:jc w:val="center"/>
              <w:rPr>
                <w:color w:val="000000" w:themeColor="text1"/>
                <w:szCs w:val="24"/>
              </w:rPr>
            </w:pPr>
            <w:r>
              <w:rPr>
                <w:color w:val="000000"/>
              </w:rPr>
              <w:t>90,00</w:t>
            </w:r>
          </w:p>
        </w:tc>
      </w:tr>
      <w:tr w:rsidR="00976487" w:rsidRPr="00687DE8" w14:paraId="6D55B721"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1272FE" w14:textId="77777777" w:rsidR="00976487" w:rsidRPr="00687DE8" w:rsidRDefault="00976487">
            <w:pPr>
              <w:spacing w:after="0" w:line="240" w:lineRule="auto"/>
              <w:rPr>
                <w:szCs w:val="24"/>
              </w:rPr>
            </w:pPr>
            <w:r w:rsidRPr="00687DE8">
              <w:rPr>
                <w:szCs w:val="24"/>
              </w:rPr>
              <w:t>Abdominaalne (atriaalne) kateeter vastsündinutele šunteerival operatsioonil</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D26F77" w14:textId="77777777" w:rsidR="00976487" w:rsidRPr="00687DE8" w:rsidRDefault="00976487">
            <w:pPr>
              <w:spacing w:after="0" w:line="240" w:lineRule="auto"/>
              <w:jc w:val="center"/>
              <w:rPr>
                <w:szCs w:val="24"/>
              </w:rPr>
            </w:pPr>
          </w:p>
          <w:p w14:paraId="180ADF01" w14:textId="77777777" w:rsidR="00976487" w:rsidRPr="00687DE8" w:rsidRDefault="00976487">
            <w:pPr>
              <w:spacing w:after="0" w:line="240" w:lineRule="auto"/>
              <w:jc w:val="center"/>
              <w:rPr>
                <w:szCs w:val="24"/>
              </w:rPr>
            </w:pPr>
            <w:r w:rsidRPr="00687DE8">
              <w:rPr>
                <w:szCs w:val="24"/>
              </w:rPr>
              <w:t>2709L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C99ED83" w14:textId="6A318E43" w:rsidR="1C8C1074" w:rsidRPr="00687DE8" w:rsidRDefault="009A31A5">
            <w:pPr>
              <w:spacing w:after="0"/>
              <w:jc w:val="center"/>
              <w:rPr>
                <w:color w:val="000000" w:themeColor="text1"/>
                <w:szCs w:val="24"/>
              </w:rPr>
            </w:pPr>
            <w:r>
              <w:rPr>
                <w:color w:val="000000"/>
              </w:rPr>
              <w:t>139,32</w:t>
            </w:r>
          </w:p>
        </w:tc>
      </w:tr>
      <w:tr w:rsidR="00976487" w:rsidRPr="00687DE8" w14:paraId="71739E3D"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5F6494" w14:textId="77777777" w:rsidR="00976487" w:rsidRPr="00687DE8" w:rsidRDefault="00976487">
            <w:pPr>
              <w:spacing w:after="0" w:line="240" w:lineRule="auto"/>
              <w:rPr>
                <w:szCs w:val="24"/>
              </w:rPr>
            </w:pPr>
            <w:r w:rsidRPr="00687DE8">
              <w:rPr>
                <w:szCs w:val="24"/>
              </w:rPr>
              <w:t>Aju kõvakelme asendaja</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A23158" w14:textId="77777777" w:rsidR="00976487" w:rsidRPr="00687DE8" w:rsidRDefault="00976487">
            <w:pPr>
              <w:spacing w:after="0" w:line="240" w:lineRule="auto"/>
              <w:jc w:val="center"/>
              <w:rPr>
                <w:szCs w:val="24"/>
              </w:rPr>
            </w:pPr>
            <w:r w:rsidRPr="00687DE8">
              <w:rPr>
                <w:szCs w:val="24"/>
              </w:rPr>
              <w:t>2714L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81427C" w14:textId="0A2B8306" w:rsidR="1C8C1074" w:rsidRPr="00687DE8" w:rsidRDefault="009A31A5">
            <w:pPr>
              <w:spacing w:after="0"/>
              <w:jc w:val="center"/>
              <w:rPr>
                <w:color w:val="000000" w:themeColor="text1"/>
                <w:szCs w:val="24"/>
              </w:rPr>
            </w:pPr>
            <w:r>
              <w:rPr>
                <w:color w:val="000000"/>
              </w:rPr>
              <w:t>322,64</w:t>
            </w:r>
          </w:p>
        </w:tc>
      </w:tr>
      <w:tr w:rsidR="00976487" w:rsidRPr="00687DE8" w14:paraId="09EE7325"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8A6B44" w14:textId="77777777" w:rsidR="00976487" w:rsidRPr="00687DE8" w:rsidRDefault="00976487">
            <w:pPr>
              <w:spacing w:after="0" w:line="240" w:lineRule="auto"/>
              <w:rPr>
                <w:szCs w:val="24"/>
              </w:rPr>
            </w:pPr>
            <w:r w:rsidRPr="00687DE8">
              <w:rPr>
                <w:szCs w:val="24"/>
              </w:rPr>
              <w:t>Ajuvatsakese sisene rõhu andur</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41F922" w14:textId="77777777" w:rsidR="00976487" w:rsidRPr="00687DE8" w:rsidRDefault="00976487">
            <w:pPr>
              <w:spacing w:after="0" w:line="240" w:lineRule="auto"/>
              <w:jc w:val="center"/>
              <w:rPr>
                <w:szCs w:val="24"/>
              </w:rPr>
            </w:pPr>
            <w:r w:rsidRPr="00687DE8">
              <w:rPr>
                <w:szCs w:val="24"/>
              </w:rPr>
              <w:t>2715L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1228A7" w14:textId="424E391F" w:rsidR="1C8C1074" w:rsidRPr="00687DE8" w:rsidRDefault="009A31A5">
            <w:pPr>
              <w:spacing w:after="0"/>
              <w:jc w:val="center"/>
              <w:rPr>
                <w:color w:val="000000" w:themeColor="text1"/>
                <w:szCs w:val="24"/>
              </w:rPr>
            </w:pPr>
            <w:r>
              <w:rPr>
                <w:color w:val="000000"/>
              </w:rPr>
              <w:t>723,60</w:t>
            </w:r>
          </w:p>
        </w:tc>
      </w:tr>
      <w:tr w:rsidR="00976487" w:rsidRPr="00687DE8" w14:paraId="6A7D29DA"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C3F762" w14:textId="77777777" w:rsidR="00976487" w:rsidRPr="00687DE8" w:rsidRDefault="00976487">
            <w:pPr>
              <w:spacing w:after="0" w:line="240" w:lineRule="auto"/>
              <w:rPr>
                <w:szCs w:val="24"/>
              </w:rPr>
            </w:pPr>
            <w:r w:rsidRPr="00687DE8">
              <w:rPr>
                <w:szCs w:val="24"/>
              </w:rPr>
              <w:t>Ajukoe sisene rõhu andur</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F63322" w14:textId="77777777" w:rsidR="00976487" w:rsidRPr="00687DE8" w:rsidRDefault="00976487">
            <w:pPr>
              <w:spacing w:after="0" w:line="240" w:lineRule="auto"/>
              <w:jc w:val="center"/>
              <w:rPr>
                <w:szCs w:val="24"/>
              </w:rPr>
            </w:pPr>
            <w:r w:rsidRPr="00687DE8">
              <w:rPr>
                <w:szCs w:val="24"/>
              </w:rPr>
              <w:t>2716L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4D02FD" w14:textId="4DF24017" w:rsidR="1C8C1074" w:rsidRPr="00687DE8" w:rsidRDefault="009A31A5">
            <w:pPr>
              <w:spacing w:after="0"/>
              <w:jc w:val="center"/>
              <w:rPr>
                <w:color w:val="000000" w:themeColor="text1"/>
                <w:szCs w:val="24"/>
              </w:rPr>
            </w:pPr>
            <w:r>
              <w:rPr>
                <w:color w:val="000000"/>
              </w:rPr>
              <w:t>809,47</w:t>
            </w:r>
          </w:p>
        </w:tc>
      </w:tr>
      <w:tr w:rsidR="00976487" w:rsidRPr="00687DE8" w14:paraId="5577239A"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BB7AF7" w14:textId="77777777" w:rsidR="00976487" w:rsidRPr="00687DE8" w:rsidRDefault="00976487">
            <w:pPr>
              <w:spacing w:after="0" w:line="240" w:lineRule="auto"/>
              <w:rPr>
                <w:szCs w:val="24"/>
              </w:rPr>
            </w:pPr>
            <w:r w:rsidRPr="00687DE8">
              <w:rPr>
                <w:szCs w:val="24"/>
              </w:rPr>
              <w:t>Liikvori kontrollklapp šunteerival operatsioonil</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694FB6" w14:textId="77777777" w:rsidR="00976487" w:rsidRPr="00687DE8" w:rsidRDefault="00976487">
            <w:pPr>
              <w:spacing w:after="0" w:line="240" w:lineRule="auto"/>
              <w:jc w:val="center"/>
              <w:rPr>
                <w:szCs w:val="24"/>
              </w:rPr>
            </w:pPr>
            <w:r w:rsidRPr="00687DE8">
              <w:rPr>
                <w:szCs w:val="24"/>
              </w:rPr>
              <w:t>2720L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2F9355" w14:textId="6191866C" w:rsidR="1C8C1074" w:rsidRPr="00687DE8" w:rsidRDefault="009A31A5">
            <w:pPr>
              <w:spacing w:after="0"/>
              <w:jc w:val="center"/>
              <w:rPr>
                <w:color w:val="000000" w:themeColor="text1"/>
                <w:szCs w:val="24"/>
              </w:rPr>
            </w:pPr>
            <w:r>
              <w:rPr>
                <w:color w:val="000000"/>
              </w:rPr>
              <w:t>480,68</w:t>
            </w:r>
          </w:p>
        </w:tc>
      </w:tr>
      <w:tr w:rsidR="00976487" w:rsidRPr="00687DE8" w14:paraId="2E5F4FD8"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9DA070" w14:textId="77777777" w:rsidR="00976487" w:rsidRPr="00687DE8" w:rsidRDefault="00976487">
            <w:pPr>
              <w:spacing w:after="0" w:line="240" w:lineRule="auto"/>
              <w:rPr>
                <w:szCs w:val="24"/>
              </w:rPr>
            </w:pPr>
            <w:r w:rsidRPr="00687DE8">
              <w:rPr>
                <w:szCs w:val="24"/>
              </w:rPr>
              <w:t>Kaela eesmise spondülodeesi vahendid</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20CC30" w14:textId="77777777" w:rsidR="00976487" w:rsidRPr="00687DE8" w:rsidRDefault="00976487">
            <w:pPr>
              <w:spacing w:after="0" w:line="240" w:lineRule="auto"/>
              <w:jc w:val="center"/>
              <w:rPr>
                <w:szCs w:val="24"/>
              </w:rPr>
            </w:pPr>
            <w:r w:rsidRPr="00687DE8">
              <w:rPr>
                <w:szCs w:val="24"/>
              </w:rPr>
              <w:t>2721L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B2985B" w14:textId="26DED5CC" w:rsidR="1C8C1074" w:rsidRPr="00687DE8" w:rsidRDefault="009A31A5">
            <w:pPr>
              <w:spacing w:after="0"/>
              <w:jc w:val="center"/>
              <w:rPr>
                <w:color w:val="000000" w:themeColor="text1"/>
                <w:szCs w:val="24"/>
              </w:rPr>
            </w:pPr>
            <w:r>
              <w:rPr>
                <w:color w:val="000000"/>
              </w:rPr>
              <w:t>600,30</w:t>
            </w:r>
          </w:p>
        </w:tc>
      </w:tr>
      <w:tr w:rsidR="00976487" w:rsidRPr="00687DE8" w14:paraId="5A9A8F66"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86CA44" w14:textId="0CE46DB5" w:rsidR="00976487" w:rsidRPr="00687DE8" w:rsidRDefault="00976487" w:rsidP="00C73583">
            <w:pPr>
              <w:spacing w:after="0" w:line="240" w:lineRule="auto"/>
              <w:rPr>
                <w:szCs w:val="24"/>
              </w:rPr>
            </w:pPr>
            <w:r w:rsidRPr="00687DE8">
              <w:rPr>
                <w:szCs w:val="24"/>
              </w:rPr>
              <w:t>Närviplastikas kasutatav resorbeeruv tehisimplantaat pikkusega 20</w:t>
            </w:r>
            <w:r w:rsidR="00293A5B" w:rsidRPr="00687DE8">
              <w:rPr>
                <w:szCs w:val="24"/>
              </w:rPr>
              <w:t>–3</w:t>
            </w:r>
            <w:r w:rsidRPr="00687DE8">
              <w:rPr>
                <w:szCs w:val="24"/>
              </w:rPr>
              <w:t>0</w:t>
            </w:r>
            <w:r w:rsidR="001A5CFD" w:rsidRPr="00687DE8">
              <w:rPr>
                <w:szCs w:val="24"/>
              </w:rPr>
              <w:t> </w:t>
            </w:r>
            <w:r w:rsidRPr="00687DE8">
              <w:rPr>
                <w:szCs w:val="24"/>
              </w:rPr>
              <w:t>mm</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0A6067" w14:textId="77777777" w:rsidR="00976487" w:rsidRPr="00687DE8" w:rsidRDefault="00976487">
            <w:pPr>
              <w:spacing w:after="0" w:line="240" w:lineRule="auto"/>
              <w:jc w:val="center"/>
              <w:rPr>
                <w:szCs w:val="24"/>
              </w:rPr>
            </w:pPr>
          </w:p>
          <w:p w14:paraId="2021371F" w14:textId="77777777" w:rsidR="00976487" w:rsidRPr="00687DE8" w:rsidRDefault="00976487">
            <w:pPr>
              <w:spacing w:after="0" w:line="240" w:lineRule="auto"/>
              <w:jc w:val="center"/>
              <w:rPr>
                <w:szCs w:val="24"/>
              </w:rPr>
            </w:pPr>
            <w:r w:rsidRPr="00687DE8">
              <w:rPr>
                <w:szCs w:val="24"/>
              </w:rPr>
              <w:t>2722L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11EBBD6" w14:textId="4DBCB08D" w:rsidR="00537576" w:rsidRPr="00687DE8" w:rsidRDefault="00537576" w:rsidP="009A31A5">
            <w:pPr>
              <w:spacing w:after="0"/>
              <w:jc w:val="center"/>
              <w:rPr>
                <w:color w:val="000000" w:themeColor="text1"/>
                <w:szCs w:val="24"/>
              </w:rPr>
            </w:pPr>
          </w:p>
          <w:p w14:paraId="00CF93FC" w14:textId="4660C605" w:rsidR="1C8C1074" w:rsidRPr="00EB7A71" w:rsidRDefault="00A921DD">
            <w:pPr>
              <w:spacing w:after="0"/>
              <w:jc w:val="center"/>
              <w:rPr>
                <w:color w:val="000000"/>
              </w:rPr>
            </w:pPr>
            <w:r>
              <w:rPr>
                <w:color w:val="000000"/>
              </w:rPr>
              <w:t>846,00</w:t>
            </w:r>
          </w:p>
        </w:tc>
      </w:tr>
      <w:tr w:rsidR="00976487" w:rsidRPr="00687DE8" w14:paraId="29BAC477"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7C2ED8" w14:textId="77777777" w:rsidR="00976487" w:rsidRPr="00687DE8" w:rsidRDefault="00976487">
            <w:pPr>
              <w:spacing w:after="0" w:line="240" w:lineRule="auto"/>
              <w:rPr>
                <w:szCs w:val="24"/>
              </w:rPr>
            </w:pPr>
            <w:r w:rsidRPr="00687DE8">
              <w:rPr>
                <w:szCs w:val="24"/>
              </w:rPr>
              <w:t>Kirurgiline navigatsioonisüsteem</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1DF8CD" w14:textId="09997A79" w:rsidR="00976487" w:rsidRPr="00687DE8" w:rsidRDefault="6FED28C9">
            <w:pPr>
              <w:spacing w:after="0" w:line="240" w:lineRule="auto"/>
              <w:jc w:val="center"/>
            </w:pPr>
            <w:r>
              <w:t>2858</w:t>
            </w:r>
            <w:r w:rsidR="00976487">
              <w:t>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9896A6" w14:textId="5ACDE8F6" w:rsidR="00015F29" w:rsidRPr="00687DE8" w:rsidRDefault="00015F29" w:rsidP="009A31A5">
            <w:pPr>
              <w:spacing w:after="0"/>
              <w:jc w:val="center"/>
              <w:rPr>
                <w:color w:val="000000" w:themeColor="text1"/>
              </w:rPr>
            </w:pPr>
          </w:p>
          <w:p w14:paraId="28603E95" w14:textId="5FFC2076" w:rsidR="1C8C1074" w:rsidRPr="00687DE8" w:rsidRDefault="3D201936">
            <w:pPr>
              <w:spacing w:after="0"/>
              <w:jc w:val="center"/>
              <w:rPr>
                <w:color w:val="000000" w:themeColor="text1"/>
              </w:rPr>
            </w:pPr>
            <w:r w:rsidRPr="34D39836">
              <w:rPr>
                <w:color w:val="000000" w:themeColor="text1"/>
              </w:rPr>
              <w:t>279,87</w:t>
            </w:r>
          </w:p>
        </w:tc>
      </w:tr>
      <w:tr w:rsidR="00976487" w:rsidRPr="00687DE8" w14:paraId="6829D67D"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0FE16B" w14:textId="77777777" w:rsidR="00976487" w:rsidRPr="00687DE8" w:rsidRDefault="00976487">
            <w:pPr>
              <w:spacing w:after="0" w:line="240" w:lineRule="auto"/>
              <w:rPr>
                <w:szCs w:val="24"/>
              </w:rPr>
            </w:pPr>
            <w:r w:rsidRPr="00687DE8">
              <w:rPr>
                <w:szCs w:val="24"/>
              </w:rPr>
              <w:t>Miniklips ajuveresoonte haiguste operatsioonil</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47BE0E" w14:textId="77777777" w:rsidR="00976487" w:rsidRPr="00687DE8" w:rsidRDefault="00976487">
            <w:pPr>
              <w:spacing w:after="0" w:line="240" w:lineRule="auto"/>
              <w:jc w:val="center"/>
              <w:rPr>
                <w:szCs w:val="24"/>
              </w:rPr>
            </w:pPr>
            <w:r w:rsidRPr="00687DE8">
              <w:rPr>
                <w:szCs w:val="24"/>
              </w:rPr>
              <w:t>2724L</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C23AB9" w14:textId="286F1A1B" w:rsidR="1C8C1074" w:rsidRPr="00687DE8" w:rsidRDefault="00330FB7">
            <w:pPr>
              <w:spacing w:after="0"/>
              <w:jc w:val="center"/>
              <w:rPr>
                <w:color w:val="000000" w:themeColor="text1"/>
                <w:szCs w:val="24"/>
              </w:rPr>
            </w:pPr>
            <w:r>
              <w:rPr>
                <w:color w:val="000000"/>
              </w:rPr>
              <w:t>246,00</w:t>
            </w:r>
          </w:p>
        </w:tc>
      </w:tr>
      <w:tr w:rsidR="00976487" w:rsidRPr="00687DE8" w14:paraId="7AF77FA5"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166C47" w14:textId="77777777" w:rsidR="00976487" w:rsidRPr="00687DE8" w:rsidRDefault="00976487">
            <w:pPr>
              <w:spacing w:after="0" w:line="240" w:lineRule="auto"/>
              <w:rPr>
                <w:szCs w:val="24"/>
              </w:rPr>
            </w:pPr>
            <w:r w:rsidRPr="00687DE8">
              <w:rPr>
                <w:szCs w:val="24"/>
              </w:rPr>
              <w:lastRenderedPageBreak/>
              <w:t>Püsiva rõhuga klapiga ajuvatsakese šunteerimise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44A4B9" w14:textId="77777777" w:rsidR="00976487" w:rsidRPr="00687DE8" w:rsidRDefault="00976487">
            <w:pPr>
              <w:spacing w:after="0" w:line="240" w:lineRule="auto"/>
              <w:jc w:val="center"/>
              <w:rPr>
                <w:szCs w:val="24"/>
              </w:rPr>
            </w:pPr>
            <w:r w:rsidRPr="00687DE8">
              <w:rPr>
                <w:szCs w:val="24"/>
              </w:rPr>
              <w:t>2725L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657968" w14:textId="4949577F" w:rsidR="1C8C1074" w:rsidRPr="00687DE8" w:rsidRDefault="00330FB7">
            <w:pPr>
              <w:spacing w:after="0"/>
              <w:jc w:val="center"/>
              <w:rPr>
                <w:color w:val="000000" w:themeColor="text1"/>
                <w:szCs w:val="24"/>
              </w:rPr>
            </w:pPr>
            <w:r>
              <w:rPr>
                <w:color w:val="000000"/>
              </w:rPr>
              <w:t>741,92</w:t>
            </w:r>
          </w:p>
        </w:tc>
      </w:tr>
      <w:tr w:rsidR="00976487" w:rsidRPr="00687DE8" w14:paraId="39170920"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E8E311" w14:textId="77777777" w:rsidR="00976487" w:rsidRPr="00687DE8" w:rsidRDefault="00976487">
            <w:pPr>
              <w:spacing w:after="0" w:line="240" w:lineRule="auto"/>
              <w:rPr>
                <w:szCs w:val="24"/>
              </w:rPr>
            </w:pPr>
            <w:r w:rsidRPr="00687DE8">
              <w:rPr>
                <w:szCs w:val="24"/>
              </w:rPr>
              <w:t>Antisifoon-klapp</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5BBC0D" w14:textId="77777777" w:rsidR="00976487" w:rsidRPr="00687DE8" w:rsidRDefault="00976487">
            <w:pPr>
              <w:spacing w:after="0" w:line="240" w:lineRule="auto"/>
              <w:jc w:val="center"/>
              <w:rPr>
                <w:szCs w:val="24"/>
              </w:rPr>
            </w:pPr>
            <w:r w:rsidRPr="00687DE8">
              <w:rPr>
                <w:szCs w:val="24"/>
              </w:rPr>
              <w:t>2726L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2F031C" w14:textId="1DAE8D3D" w:rsidR="1C8C1074" w:rsidRPr="00687DE8" w:rsidRDefault="00330FB7">
            <w:pPr>
              <w:spacing w:after="0"/>
              <w:jc w:val="center"/>
              <w:rPr>
                <w:color w:val="000000" w:themeColor="text1"/>
                <w:szCs w:val="24"/>
              </w:rPr>
            </w:pPr>
            <w:r>
              <w:rPr>
                <w:color w:val="000000"/>
              </w:rPr>
              <w:t>942,00</w:t>
            </w:r>
          </w:p>
        </w:tc>
      </w:tr>
      <w:tr w:rsidR="00976487" w:rsidRPr="00687DE8" w14:paraId="27C899AD"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C5D376" w14:textId="77777777" w:rsidR="00976487" w:rsidRPr="00687DE8" w:rsidRDefault="00976487">
            <w:pPr>
              <w:spacing w:after="0" w:line="240" w:lineRule="auto"/>
              <w:rPr>
                <w:szCs w:val="24"/>
              </w:rPr>
            </w:pPr>
            <w:r w:rsidRPr="00687DE8">
              <w:rPr>
                <w:szCs w:val="24"/>
              </w:rPr>
              <w:t>Kaela tagumise spondülodeesi vahendid</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4E309C" w14:textId="77777777" w:rsidR="00976487" w:rsidRPr="00687DE8" w:rsidRDefault="00976487">
            <w:pPr>
              <w:spacing w:after="0" w:line="240" w:lineRule="auto"/>
              <w:jc w:val="center"/>
              <w:rPr>
                <w:szCs w:val="24"/>
              </w:rPr>
            </w:pPr>
            <w:r w:rsidRPr="00687DE8">
              <w:rPr>
                <w:szCs w:val="24"/>
              </w:rPr>
              <w:t>2727L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D35EAB" w14:textId="4C6D186E" w:rsidR="1C8C1074" w:rsidRPr="00687DE8" w:rsidRDefault="00330FB7">
            <w:pPr>
              <w:spacing w:after="0"/>
              <w:jc w:val="center"/>
              <w:rPr>
                <w:color w:val="000000" w:themeColor="text1"/>
                <w:szCs w:val="24"/>
              </w:rPr>
            </w:pPr>
            <w:r>
              <w:rPr>
                <w:color w:val="000000"/>
              </w:rPr>
              <w:t>3 570,77</w:t>
            </w:r>
          </w:p>
        </w:tc>
      </w:tr>
      <w:tr w:rsidR="00976487" w:rsidRPr="00687DE8" w14:paraId="433AC2C6"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BC5491" w14:textId="77777777" w:rsidR="00976487" w:rsidRPr="00687DE8" w:rsidRDefault="00976487">
            <w:pPr>
              <w:spacing w:after="0" w:line="240" w:lineRule="auto"/>
              <w:rPr>
                <w:szCs w:val="24"/>
              </w:rPr>
            </w:pPr>
            <w:r w:rsidRPr="00687DE8">
              <w:rPr>
                <w:szCs w:val="24"/>
              </w:rPr>
              <w:t>Jäik kaeladiski protees täidisega</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052CE5" w14:textId="77777777" w:rsidR="00976487" w:rsidRPr="00687DE8" w:rsidRDefault="00976487">
            <w:pPr>
              <w:spacing w:after="0" w:line="240" w:lineRule="auto"/>
              <w:jc w:val="center"/>
              <w:rPr>
                <w:szCs w:val="24"/>
              </w:rPr>
            </w:pPr>
            <w:r w:rsidRPr="00687DE8">
              <w:rPr>
                <w:szCs w:val="24"/>
              </w:rPr>
              <w:t>2728L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647FC2" w14:textId="104F0171" w:rsidR="1C8C1074" w:rsidRPr="00687DE8" w:rsidRDefault="00330FB7">
            <w:pPr>
              <w:spacing w:after="0"/>
              <w:jc w:val="center"/>
              <w:rPr>
                <w:color w:val="000000" w:themeColor="text1"/>
                <w:szCs w:val="24"/>
              </w:rPr>
            </w:pPr>
            <w:r>
              <w:rPr>
                <w:color w:val="000000"/>
              </w:rPr>
              <w:t>1 352,95</w:t>
            </w:r>
          </w:p>
        </w:tc>
      </w:tr>
      <w:tr w:rsidR="00976487" w:rsidRPr="00687DE8" w14:paraId="2FDDD726"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4F0D55" w14:textId="77777777" w:rsidR="00976487" w:rsidRPr="00687DE8" w:rsidRDefault="00976487">
            <w:pPr>
              <w:spacing w:after="0" w:line="240" w:lineRule="auto"/>
              <w:rPr>
                <w:szCs w:val="24"/>
              </w:rPr>
            </w:pPr>
            <w:r w:rsidRPr="00687DE8">
              <w:rPr>
                <w:szCs w:val="24"/>
              </w:rPr>
              <w:t>Vertebroplastika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BF42D5" w14:textId="77777777" w:rsidR="00976487" w:rsidRPr="00687DE8" w:rsidRDefault="00976487">
            <w:pPr>
              <w:spacing w:after="0" w:line="240" w:lineRule="auto"/>
              <w:jc w:val="center"/>
              <w:rPr>
                <w:szCs w:val="24"/>
              </w:rPr>
            </w:pPr>
            <w:r w:rsidRPr="00687DE8">
              <w:rPr>
                <w:szCs w:val="24"/>
              </w:rPr>
              <w:t>2729L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04E6D6" w14:textId="41F6F87C" w:rsidR="1C8C1074" w:rsidRPr="00687DE8" w:rsidRDefault="00330FB7">
            <w:pPr>
              <w:spacing w:after="0"/>
              <w:jc w:val="center"/>
              <w:rPr>
                <w:color w:val="000000" w:themeColor="text1"/>
                <w:szCs w:val="24"/>
              </w:rPr>
            </w:pPr>
            <w:r>
              <w:rPr>
                <w:color w:val="000000"/>
              </w:rPr>
              <w:t>1 014,93</w:t>
            </w:r>
          </w:p>
        </w:tc>
      </w:tr>
      <w:tr w:rsidR="00976487" w:rsidRPr="00687DE8" w14:paraId="02F11699"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93A751" w14:textId="77777777" w:rsidR="00976487" w:rsidRPr="00687DE8" w:rsidRDefault="00976487">
            <w:pPr>
              <w:spacing w:after="0" w:line="240" w:lineRule="auto"/>
              <w:rPr>
                <w:szCs w:val="24"/>
              </w:rPr>
            </w:pPr>
            <w:r w:rsidRPr="00687DE8">
              <w:rPr>
                <w:szCs w:val="24"/>
              </w:rPr>
              <w:t>Intratekaalse baklofeenravipumba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86B872" w14:textId="77777777" w:rsidR="00976487" w:rsidRPr="00687DE8" w:rsidRDefault="00976487">
            <w:pPr>
              <w:spacing w:after="0" w:line="240" w:lineRule="auto"/>
              <w:jc w:val="center"/>
              <w:rPr>
                <w:szCs w:val="24"/>
              </w:rPr>
            </w:pPr>
            <w:r w:rsidRPr="00687DE8">
              <w:rPr>
                <w:szCs w:val="24"/>
              </w:rPr>
              <w:t>2730L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42F90C" w14:textId="3AA77BDF" w:rsidR="1C8C1074" w:rsidRPr="00687DE8" w:rsidRDefault="00330FB7">
            <w:pPr>
              <w:spacing w:after="0"/>
              <w:jc w:val="center"/>
              <w:rPr>
                <w:color w:val="000000" w:themeColor="text1"/>
                <w:szCs w:val="24"/>
              </w:rPr>
            </w:pPr>
            <w:r>
              <w:rPr>
                <w:color w:val="000000"/>
              </w:rPr>
              <w:t>14 474,11</w:t>
            </w:r>
          </w:p>
        </w:tc>
      </w:tr>
      <w:tr w:rsidR="00976487" w:rsidRPr="00687DE8" w14:paraId="08006AE6"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FC9A7C" w14:textId="77777777" w:rsidR="00976487" w:rsidRPr="00687DE8" w:rsidRDefault="00976487">
            <w:pPr>
              <w:spacing w:after="0" w:line="240" w:lineRule="auto"/>
              <w:rPr>
                <w:szCs w:val="24"/>
              </w:rPr>
            </w:pPr>
            <w:r w:rsidRPr="00687DE8">
              <w:rPr>
                <w:szCs w:val="24"/>
              </w:rPr>
              <w:t>Intratekaalse baklofeenravipumba revisiooni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BF7C02" w14:textId="77777777" w:rsidR="00976487" w:rsidRPr="00687DE8" w:rsidRDefault="00976487">
            <w:pPr>
              <w:spacing w:after="0" w:line="240" w:lineRule="auto"/>
              <w:jc w:val="center"/>
              <w:rPr>
                <w:szCs w:val="24"/>
              </w:rPr>
            </w:pPr>
            <w:r w:rsidRPr="00687DE8">
              <w:rPr>
                <w:szCs w:val="24"/>
              </w:rPr>
              <w:t>2731L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1D4706" w14:textId="4647F726" w:rsidR="1C8C1074" w:rsidRPr="00687DE8" w:rsidRDefault="00330FB7">
            <w:pPr>
              <w:spacing w:after="0"/>
              <w:jc w:val="center"/>
              <w:rPr>
                <w:color w:val="000000" w:themeColor="text1"/>
                <w:szCs w:val="24"/>
              </w:rPr>
            </w:pPr>
            <w:r>
              <w:rPr>
                <w:color w:val="000000"/>
              </w:rPr>
              <w:t>259,97</w:t>
            </w:r>
          </w:p>
        </w:tc>
      </w:tr>
      <w:tr w:rsidR="00976487" w:rsidRPr="00687DE8" w14:paraId="61C5B9F9"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11BDBE" w14:textId="76EC0555" w:rsidR="00976487" w:rsidRPr="00687DE8" w:rsidRDefault="00976487">
            <w:pPr>
              <w:spacing w:after="0" w:line="240" w:lineRule="auto"/>
              <w:rPr>
                <w:szCs w:val="24"/>
              </w:rPr>
            </w:pPr>
            <w:r w:rsidRPr="00687DE8">
              <w:rPr>
                <w:szCs w:val="24"/>
              </w:rPr>
              <w:t>Uitnärvi stimulaatori komplekt mahuga 8</w:t>
            </w:r>
            <w:r w:rsidR="00E606DB">
              <w:rPr>
                <w:szCs w:val="24"/>
              </w:rPr>
              <w:t> </w:t>
            </w:r>
            <w:r w:rsidRPr="00687DE8">
              <w:rPr>
                <w:szCs w:val="24"/>
              </w:rPr>
              <w:t>cm</w:t>
            </w:r>
            <w:r w:rsidRPr="00687DE8">
              <w:rPr>
                <w:szCs w:val="24"/>
                <w:vertAlign w:val="superscript"/>
              </w:rPr>
              <w:t>3</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A8E0BD" w14:textId="77777777" w:rsidR="00976487" w:rsidRPr="00687DE8" w:rsidRDefault="00976487">
            <w:pPr>
              <w:spacing w:after="0" w:line="240" w:lineRule="auto"/>
              <w:jc w:val="center"/>
              <w:rPr>
                <w:szCs w:val="24"/>
              </w:rPr>
            </w:pPr>
            <w:r w:rsidRPr="00687DE8">
              <w:rPr>
                <w:szCs w:val="24"/>
              </w:rPr>
              <w:t>2732L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5557FE" w14:textId="51E13E2D" w:rsidR="1C8C1074" w:rsidRPr="00687DE8" w:rsidRDefault="00330FB7">
            <w:pPr>
              <w:spacing w:after="0"/>
              <w:jc w:val="center"/>
              <w:rPr>
                <w:color w:val="000000" w:themeColor="text1"/>
                <w:szCs w:val="24"/>
              </w:rPr>
            </w:pPr>
            <w:r>
              <w:rPr>
                <w:color w:val="000000"/>
              </w:rPr>
              <w:t>22 690,00</w:t>
            </w:r>
          </w:p>
        </w:tc>
      </w:tr>
      <w:tr w:rsidR="00976487" w:rsidRPr="00687DE8" w14:paraId="0D7358CA" w14:textId="77777777" w:rsidTr="00EB7A71">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7C6583" w14:textId="1B98DA12" w:rsidR="00976487" w:rsidRPr="00687DE8" w:rsidRDefault="00976487">
            <w:pPr>
              <w:spacing w:after="0" w:line="240" w:lineRule="auto"/>
              <w:rPr>
                <w:szCs w:val="24"/>
              </w:rPr>
            </w:pPr>
            <w:r w:rsidRPr="00687DE8">
              <w:rPr>
                <w:szCs w:val="24"/>
              </w:rPr>
              <w:t>Uitnärvi stimulaatori komplekt mahuga 14</w:t>
            </w:r>
            <w:r w:rsidR="00E606DB">
              <w:rPr>
                <w:szCs w:val="24"/>
              </w:rPr>
              <w:t> </w:t>
            </w:r>
            <w:r w:rsidRPr="00687DE8">
              <w:rPr>
                <w:szCs w:val="24"/>
              </w:rPr>
              <w:t>cm</w:t>
            </w:r>
            <w:r w:rsidRPr="00687DE8">
              <w:rPr>
                <w:szCs w:val="24"/>
                <w:vertAlign w:val="superscript"/>
              </w:rPr>
              <w:t>3</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4F4D8C" w14:textId="77777777" w:rsidR="00976487" w:rsidRPr="00687DE8" w:rsidRDefault="00976487">
            <w:pPr>
              <w:spacing w:after="0" w:line="240" w:lineRule="auto"/>
              <w:jc w:val="center"/>
              <w:rPr>
                <w:szCs w:val="24"/>
              </w:rPr>
            </w:pPr>
            <w:r w:rsidRPr="00687DE8">
              <w:rPr>
                <w:szCs w:val="24"/>
              </w:rPr>
              <w:t>2733L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2B31C4" w14:textId="491B283A" w:rsidR="1C8C1074" w:rsidRPr="00687DE8" w:rsidRDefault="00330FB7">
            <w:pPr>
              <w:spacing w:after="0"/>
              <w:jc w:val="center"/>
              <w:rPr>
                <w:color w:val="000000" w:themeColor="text1"/>
                <w:szCs w:val="24"/>
              </w:rPr>
            </w:pPr>
            <w:r>
              <w:rPr>
                <w:color w:val="000000"/>
              </w:rPr>
              <w:t>28 440,00</w:t>
            </w:r>
          </w:p>
        </w:tc>
      </w:tr>
      <w:tr w:rsidR="00976487" w:rsidRPr="00687DE8" w14:paraId="2307C62B"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21ED44" w14:textId="77777777" w:rsidR="00976487" w:rsidRPr="00687DE8" w:rsidRDefault="00976487">
            <w:pPr>
              <w:spacing w:after="0" w:line="240" w:lineRule="auto"/>
              <w:rPr>
                <w:szCs w:val="24"/>
              </w:rPr>
            </w:pPr>
            <w:r w:rsidRPr="00687DE8">
              <w:rPr>
                <w:szCs w:val="24"/>
              </w:rPr>
              <w:t>Soolte vastu asetatav proteesmaterjal (15 × 20 cm)</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97FFCD" w14:textId="77777777" w:rsidR="00976487" w:rsidRPr="00687DE8" w:rsidRDefault="00976487">
            <w:pPr>
              <w:spacing w:after="0" w:line="240" w:lineRule="auto"/>
              <w:jc w:val="center"/>
              <w:rPr>
                <w:szCs w:val="24"/>
              </w:rPr>
            </w:pPr>
            <w:r w:rsidRPr="00687DE8">
              <w:rPr>
                <w:szCs w:val="24"/>
              </w:rPr>
              <w:t>2752L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CE1D32" w14:textId="31E317C8" w:rsidR="1C8C1074" w:rsidRPr="00687DE8" w:rsidRDefault="00330FB7">
            <w:pPr>
              <w:spacing w:after="0"/>
              <w:jc w:val="center"/>
              <w:rPr>
                <w:color w:val="000000" w:themeColor="text1"/>
                <w:szCs w:val="24"/>
              </w:rPr>
            </w:pPr>
            <w:r>
              <w:rPr>
                <w:color w:val="000000"/>
              </w:rPr>
              <w:t>699,13</w:t>
            </w:r>
          </w:p>
        </w:tc>
      </w:tr>
      <w:tr w:rsidR="00976487" w:rsidRPr="00687DE8" w14:paraId="4E2226E2" w14:textId="77777777" w:rsidTr="00EB7A71">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4A1498" w14:textId="77777777" w:rsidR="00976487" w:rsidRPr="00687DE8" w:rsidRDefault="00976487">
            <w:pPr>
              <w:spacing w:after="0" w:line="240" w:lineRule="auto"/>
              <w:rPr>
                <w:szCs w:val="24"/>
              </w:rPr>
            </w:pPr>
            <w:r w:rsidRPr="00687DE8">
              <w:rPr>
                <w:szCs w:val="24"/>
              </w:rPr>
              <w:t>Soolte vastu asetatav proteesmaterjal (kuni 15 × 15 cm)</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04F52B" w14:textId="77777777" w:rsidR="00976487" w:rsidRPr="00687DE8" w:rsidRDefault="00976487">
            <w:pPr>
              <w:spacing w:after="0" w:line="240" w:lineRule="auto"/>
              <w:jc w:val="center"/>
              <w:rPr>
                <w:szCs w:val="24"/>
              </w:rPr>
            </w:pPr>
            <w:r w:rsidRPr="00687DE8">
              <w:rPr>
                <w:szCs w:val="24"/>
              </w:rPr>
              <w:t>2753L</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BB0ABE" w14:textId="70141DE8" w:rsidR="1C8C1074" w:rsidRPr="00687DE8" w:rsidRDefault="00330FB7">
            <w:pPr>
              <w:spacing w:after="0"/>
              <w:jc w:val="center"/>
              <w:rPr>
                <w:color w:val="000000" w:themeColor="text1"/>
                <w:szCs w:val="24"/>
              </w:rPr>
            </w:pPr>
            <w:r>
              <w:rPr>
                <w:color w:val="000000"/>
              </w:rPr>
              <w:t>414,08</w:t>
            </w:r>
          </w:p>
        </w:tc>
      </w:tr>
      <w:tr w:rsidR="00976487" w:rsidRPr="00687DE8" w14:paraId="6A071E23"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3A9C6C" w14:textId="77777777" w:rsidR="00976487" w:rsidRPr="00687DE8" w:rsidRDefault="00976487">
            <w:pPr>
              <w:spacing w:after="0" w:line="240" w:lineRule="auto"/>
              <w:rPr>
                <w:szCs w:val="24"/>
              </w:rPr>
            </w:pPr>
            <w:r w:rsidRPr="00687DE8">
              <w:rPr>
                <w:szCs w:val="24"/>
              </w:rPr>
              <w:t>Kolmeosaline songa proteesvõrk</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8F996C" w14:textId="77777777" w:rsidR="00976487" w:rsidRPr="00687DE8" w:rsidRDefault="00976487">
            <w:pPr>
              <w:spacing w:after="0" w:line="240" w:lineRule="auto"/>
              <w:jc w:val="center"/>
              <w:rPr>
                <w:szCs w:val="24"/>
              </w:rPr>
            </w:pPr>
            <w:r w:rsidRPr="00687DE8">
              <w:rPr>
                <w:szCs w:val="24"/>
              </w:rPr>
              <w:t>2755L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E165FC" w14:textId="4ECC4DB5" w:rsidR="1C8C1074" w:rsidRPr="00687DE8" w:rsidRDefault="00330FB7">
            <w:pPr>
              <w:spacing w:after="0"/>
              <w:jc w:val="center"/>
              <w:rPr>
                <w:color w:val="000000" w:themeColor="text1"/>
                <w:szCs w:val="24"/>
              </w:rPr>
            </w:pPr>
            <w:r>
              <w:rPr>
                <w:color w:val="000000"/>
              </w:rPr>
              <w:t>158,63</w:t>
            </w:r>
          </w:p>
        </w:tc>
      </w:tr>
      <w:tr w:rsidR="00976487" w:rsidRPr="00687DE8" w14:paraId="30F12E1C"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1C0227" w14:textId="77777777" w:rsidR="00976487" w:rsidRPr="00687DE8" w:rsidRDefault="00976487">
            <w:pPr>
              <w:spacing w:after="0" w:line="240" w:lineRule="auto"/>
              <w:rPr>
                <w:szCs w:val="24"/>
              </w:rPr>
            </w:pPr>
            <w:r w:rsidRPr="00687DE8">
              <w:rPr>
                <w:szCs w:val="24"/>
              </w:rPr>
              <w:t>Tsirkulaarstapler</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8B590E" w14:textId="77777777" w:rsidR="00976487" w:rsidRPr="00687DE8" w:rsidRDefault="00976487">
            <w:pPr>
              <w:spacing w:after="0" w:line="240" w:lineRule="auto"/>
              <w:jc w:val="center"/>
              <w:rPr>
                <w:szCs w:val="24"/>
              </w:rPr>
            </w:pPr>
            <w:r w:rsidRPr="00687DE8">
              <w:rPr>
                <w:szCs w:val="24"/>
              </w:rPr>
              <w:t>2758L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C50A98" w14:textId="0ECDFF7C" w:rsidR="1C8C1074" w:rsidRPr="00687DE8" w:rsidRDefault="00330FB7">
            <w:pPr>
              <w:spacing w:after="0"/>
              <w:jc w:val="center"/>
              <w:rPr>
                <w:color w:val="000000" w:themeColor="text1"/>
                <w:szCs w:val="24"/>
              </w:rPr>
            </w:pPr>
            <w:r>
              <w:rPr>
                <w:color w:val="000000"/>
              </w:rPr>
              <w:t>512,99</w:t>
            </w:r>
          </w:p>
        </w:tc>
      </w:tr>
      <w:tr w:rsidR="00976487" w:rsidRPr="00687DE8" w14:paraId="4F36C206"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82A457" w14:textId="77777777" w:rsidR="00976487" w:rsidRPr="00687DE8" w:rsidRDefault="00976487">
            <w:pPr>
              <w:spacing w:after="0" w:line="240" w:lineRule="auto"/>
              <w:rPr>
                <w:szCs w:val="24"/>
              </w:rPr>
            </w:pPr>
            <w:r w:rsidRPr="00687DE8">
              <w:rPr>
                <w:szCs w:val="24"/>
              </w:rPr>
              <w:t>Lineaarstapler-lõikur laparoskoopilistel või torakoskoopilistel operatsioonidel</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E771FA" w14:textId="77777777" w:rsidR="00976487" w:rsidRPr="00687DE8" w:rsidRDefault="00976487">
            <w:pPr>
              <w:spacing w:after="0" w:line="240" w:lineRule="auto"/>
              <w:jc w:val="center"/>
              <w:rPr>
                <w:szCs w:val="24"/>
              </w:rPr>
            </w:pPr>
          </w:p>
          <w:p w14:paraId="670C4B86" w14:textId="77777777" w:rsidR="00976487" w:rsidRPr="00687DE8" w:rsidRDefault="00976487">
            <w:pPr>
              <w:spacing w:after="0" w:line="240" w:lineRule="auto"/>
              <w:jc w:val="center"/>
              <w:rPr>
                <w:szCs w:val="24"/>
              </w:rPr>
            </w:pPr>
            <w:r w:rsidRPr="00687DE8">
              <w:rPr>
                <w:szCs w:val="24"/>
              </w:rPr>
              <w:t>2763L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547A688" w14:textId="0FCEECA6" w:rsidR="1C8C1074" w:rsidRPr="00687DE8" w:rsidRDefault="00330FB7">
            <w:pPr>
              <w:spacing w:after="0"/>
              <w:jc w:val="center"/>
              <w:rPr>
                <w:color w:val="000000" w:themeColor="text1"/>
                <w:szCs w:val="24"/>
              </w:rPr>
            </w:pPr>
            <w:r>
              <w:rPr>
                <w:color w:val="000000"/>
              </w:rPr>
              <w:t>383,61</w:t>
            </w:r>
          </w:p>
        </w:tc>
      </w:tr>
      <w:tr w:rsidR="00976487" w:rsidRPr="00687DE8" w14:paraId="12FC0454"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BE46D6" w14:textId="77777777" w:rsidR="00976487" w:rsidRPr="00687DE8" w:rsidRDefault="00976487">
            <w:pPr>
              <w:spacing w:after="0" w:line="240" w:lineRule="auto"/>
              <w:rPr>
                <w:szCs w:val="24"/>
              </w:rPr>
            </w:pPr>
            <w:r w:rsidRPr="00687DE8">
              <w:rPr>
                <w:szCs w:val="24"/>
              </w:rPr>
              <w:t>Lineaarstapler-lõikuri õmbluskassett laparoskoopilistel või torakoskoopilistel operatsioonidel</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B02D5F" w14:textId="77777777" w:rsidR="00976487" w:rsidRPr="00687DE8" w:rsidRDefault="00976487">
            <w:pPr>
              <w:spacing w:after="0" w:line="240" w:lineRule="auto"/>
              <w:jc w:val="center"/>
              <w:rPr>
                <w:szCs w:val="24"/>
              </w:rPr>
            </w:pPr>
          </w:p>
          <w:p w14:paraId="79C9871A" w14:textId="77777777" w:rsidR="00976487" w:rsidRPr="00687DE8" w:rsidRDefault="00976487">
            <w:pPr>
              <w:spacing w:after="0" w:line="240" w:lineRule="auto"/>
              <w:jc w:val="center"/>
              <w:rPr>
                <w:szCs w:val="24"/>
              </w:rPr>
            </w:pPr>
            <w:r w:rsidRPr="00687DE8">
              <w:rPr>
                <w:szCs w:val="24"/>
              </w:rPr>
              <w:t>2764L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6F5EB71" w14:textId="1059636A" w:rsidR="1C8C1074" w:rsidRPr="00687DE8" w:rsidRDefault="00330FB7">
            <w:pPr>
              <w:spacing w:after="0"/>
              <w:jc w:val="center"/>
              <w:rPr>
                <w:color w:val="000000" w:themeColor="text1"/>
                <w:szCs w:val="24"/>
              </w:rPr>
            </w:pPr>
            <w:r>
              <w:rPr>
                <w:color w:val="000000"/>
              </w:rPr>
              <w:t>184,07</w:t>
            </w:r>
          </w:p>
        </w:tc>
      </w:tr>
      <w:tr w:rsidR="00976487" w:rsidRPr="00687DE8" w14:paraId="154FE404"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3EC4CF" w14:textId="77777777" w:rsidR="00976487" w:rsidRPr="00687DE8" w:rsidRDefault="00976487">
            <w:pPr>
              <w:spacing w:after="0" w:line="240" w:lineRule="auto"/>
              <w:rPr>
                <w:szCs w:val="24"/>
              </w:rPr>
            </w:pPr>
            <w:r w:rsidRPr="00687DE8">
              <w:rPr>
                <w:szCs w:val="24"/>
              </w:rPr>
              <w:t>Mitteresorbeeruv proteesvõrk (kuni 15 × 15 cm)</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111F2E" w14:textId="77777777" w:rsidR="00976487" w:rsidRPr="00687DE8" w:rsidRDefault="00976487">
            <w:pPr>
              <w:spacing w:after="0" w:line="240" w:lineRule="auto"/>
              <w:jc w:val="center"/>
              <w:rPr>
                <w:szCs w:val="24"/>
              </w:rPr>
            </w:pPr>
            <w:r w:rsidRPr="00687DE8">
              <w:rPr>
                <w:szCs w:val="24"/>
              </w:rPr>
              <w:t>2765L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876917" w14:textId="50479B72" w:rsidR="1C8C1074" w:rsidRPr="00687DE8" w:rsidRDefault="00330FB7">
            <w:pPr>
              <w:spacing w:after="0"/>
              <w:jc w:val="center"/>
              <w:rPr>
                <w:color w:val="000000" w:themeColor="text1"/>
                <w:szCs w:val="24"/>
              </w:rPr>
            </w:pPr>
            <w:r>
              <w:rPr>
                <w:color w:val="000000"/>
              </w:rPr>
              <w:t>48,76</w:t>
            </w:r>
          </w:p>
        </w:tc>
      </w:tr>
      <w:tr w:rsidR="00976487" w:rsidRPr="00687DE8" w14:paraId="34499D3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EB2BA5" w14:textId="77777777" w:rsidR="00976487" w:rsidRPr="00687DE8" w:rsidRDefault="00976487">
            <w:pPr>
              <w:spacing w:after="0" w:line="240" w:lineRule="auto"/>
              <w:rPr>
                <w:szCs w:val="24"/>
              </w:rPr>
            </w:pPr>
            <w:r w:rsidRPr="00687DE8">
              <w:rPr>
                <w:szCs w:val="24"/>
              </w:rPr>
              <w:t>Lineaarstapler või lineaarstapler-lõikur</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629A4" w14:textId="77777777" w:rsidR="00976487" w:rsidRPr="00687DE8" w:rsidRDefault="00976487">
            <w:pPr>
              <w:spacing w:after="0" w:line="240" w:lineRule="auto"/>
              <w:jc w:val="center"/>
              <w:rPr>
                <w:szCs w:val="24"/>
              </w:rPr>
            </w:pPr>
            <w:r w:rsidRPr="00687DE8">
              <w:rPr>
                <w:szCs w:val="24"/>
              </w:rPr>
              <w:t>2766L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0E6D70" w14:textId="66233842" w:rsidR="1C8C1074" w:rsidRPr="00687DE8" w:rsidRDefault="00330FB7">
            <w:pPr>
              <w:spacing w:after="0"/>
              <w:jc w:val="center"/>
              <w:rPr>
                <w:color w:val="000000" w:themeColor="text1"/>
                <w:szCs w:val="24"/>
              </w:rPr>
            </w:pPr>
            <w:r>
              <w:rPr>
                <w:color w:val="000000"/>
              </w:rPr>
              <w:t>203,68</w:t>
            </w:r>
          </w:p>
        </w:tc>
      </w:tr>
      <w:tr w:rsidR="00976487" w:rsidRPr="00687DE8" w14:paraId="4324EAE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2240C6" w14:textId="77777777" w:rsidR="00976487" w:rsidRPr="00687DE8" w:rsidRDefault="00976487">
            <w:pPr>
              <w:spacing w:after="0" w:line="240" w:lineRule="auto"/>
              <w:rPr>
                <w:szCs w:val="24"/>
              </w:rPr>
            </w:pPr>
            <w:r w:rsidRPr="00687DE8">
              <w:rPr>
                <w:szCs w:val="24"/>
              </w:rPr>
              <w:t>Lineaarstapleri või lineaarstapler-lõikuri täitekassett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1B98F6" w14:textId="77777777" w:rsidR="00976487" w:rsidRPr="00687DE8" w:rsidRDefault="00976487">
            <w:pPr>
              <w:spacing w:after="0" w:line="240" w:lineRule="auto"/>
              <w:jc w:val="center"/>
              <w:rPr>
                <w:szCs w:val="24"/>
              </w:rPr>
            </w:pPr>
            <w:r w:rsidRPr="00687DE8">
              <w:rPr>
                <w:szCs w:val="24"/>
              </w:rPr>
              <w:t>2767L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A6EA3D" w14:textId="70321FA1" w:rsidR="1C8C1074" w:rsidRPr="00687DE8" w:rsidRDefault="00330FB7">
            <w:pPr>
              <w:spacing w:after="0"/>
              <w:jc w:val="center"/>
              <w:rPr>
                <w:color w:val="000000" w:themeColor="text1"/>
                <w:szCs w:val="24"/>
              </w:rPr>
            </w:pPr>
            <w:r>
              <w:rPr>
                <w:color w:val="000000"/>
              </w:rPr>
              <w:t>107,52</w:t>
            </w:r>
          </w:p>
        </w:tc>
      </w:tr>
      <w:tr w:rsidR="00976487" w:rsidRPr="00687DE8" w14:paraId="001C6BFE"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55A731" w14:textId="77777777" w:rsidR="00976487" w:rsidRPr="00687DE8" w:rsidRDefault="00976487">
            <w:pPr>
              <w:spacing w:after="0" w:line="240" w:lineRule="auto"/>
              <w:rPr>
                <w:szCs w:val="24"/>
              </w:rPr>
            </w:pPr>
            <w:r w:rsidRPr="00687DE8">
              <w:rPr>
                <w:szCs w:val="24"/>
              </w:rPr>
              <w:t>Soolte vastu asetatav proteesmaterjal (30 × 30 cm)</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BF0DF" w14:textId="77777777" w:rsidR="00976487" w:rsidRPr="00687DE8" w:rsidRDefault="00976487">
            <w:pPr>
              <w:spacing w:after="0" w:line="240" w:lineRule="auto"/>
              <w:jc w:val="center"/>
              <w:rPr>
                <w:szCs w:val="24"/>
              </w:rPr>
            </w:pPr>
            <w:r w:rsidRPr="00687DE8">
              <w:rPr>
                <w:szCs w:val="24"/>
              </w:rPr>
              <w:t>2768L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C7D0D1" w14:textId="4DF453A8" w:rsidR="1C8C1074" w:rsidRPr="00687DE8" w:rsidRDefault="00330FB7">
            <w:pPr>
              <w:spacing w:after="0"/>
              <w:jc w:val="center"/>
              <w:rPr>
                <w:color w:val="000000" w:themeColor="text1"/>
                <w:szCs w:val="24"/>
              </w:rPr>
            </w:pPr>
            <w:r>
              <w:rPr>
                <w:color w:val="000000"/>
              </w:rPr>
              <w:t>1 179,49</w:t>
            </w:r>
          </w:p>
        </w:tc>
      </w:tr>
      <w:tr w:rsidR="00976487" w:rsidRPr="00687DE8" w14:paraId="4555A81E"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67AB70" w14:textId="77777777" w:rsidR="00976487" w:rsidRPr="00687DE8" w:rsidRDefault="00976487">
            <w:pPr>
              <w:spacing w:after="0" w:line="240" w:lineRule="auto"/>
              <w:rPr>
                <w:szCs w:val="24"/>
              </w:rPr>
            </w:pPr>
            <w:r w:rsidRPr="00687DE8">
              <w:rPr>
                <w:szCs w:val="24"/>
              </w:rPr>
              <w:t>Mitteresorbeeruv proteesvõrk (30 × 30 cm)</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28E26B" w14:textId="77777777" w:rsidR="00976487" w:rsidRPr="00687DE8" w:rsidRDefault="00976487">
            <w:pPr>
              <w:spacing w:after="0" w:line="240" w:lineRule="auto"/>
              <w:jc w:val="center"/>
              <w:rPr>
                <w:szCs w:val="24"/>
              </w:rPr>
            </w:pPr>
            <w:r w:rsidRPr="00687DE8">
              <w:rPr>
                <w:szCs w:val="24"/>
              </w:rPr>
              <w:t>2769L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067C7A" w14:textId="313A2AB9" w:rsidR="1C8C1074" w:rsidRPr="00687DE8" w:rsidRDefault="00330FB7">
            <w:pPr>
              <w:spacing w:after="0"/>
              <w:jc w:val="center"/>
              <w:rPr>
                <w:color w:val="000000" w:themeColor="text1"/>
                <w:szCs w:val="24"/>
              </w:rPr>
            </w:pPr>
            <w:r>
              <w:rPr>
                <w:color w:val="000000"/>
              </w:rPr>
              <w:t>241,71</w:t>
            </w:r>
          </w:p>
        </w:tc>
      </w:tr>
      <w:tr w:rsidR="00976487" w:rsidRPr="00687DE8" w14:paraId="75173EA2"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1F4F22" w14:textId="77777777" w:rsidR="00976487" w:rsidRPr="00687DE8" w:rsidRDefault="00976487">
            <w:pPr>
              <w:spacing w:after="0" w:line="240" w:lineRule="auto"/>
              <w:rPr>
                <w:szCs w:val="24"/>
              </w:rPr>
            </w:pPr>
            <w:r w:rsidRPr="00687DE8">
              <w:rPr>
                <w:szCs w:val="24"/>
              </w:rPr>
              <w:t>Endoskoopiline songavõrgu kinnitusvahend</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2B82BA" w14:textId="77777777" w:rsidR="00976487" w:rsidRPr="00687DE8" w:rsidRDefault="00976487">
            <w:pPr>
              <w:spacing w:after="0" w:line="240" w:lineRule="auto"/>
              <w:jc w:val="center"/>
              <w:rPr>
                <w:szCs w:val="24"/>
              </w:rPr>
            </w:pPr>
            <w:r w:rsidRPr="00687DE8">
              <w:rPr>
                <w:szCs w:val="24"/>
              </w:rPr>
              <w:t>2770L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E6CFCC" w14:textId="1F85DB1E" w:rsidR="1C8C1074" w:rsidRPr="00687DE8" w:rsidRDefault="00330FB7">
            <w:pPr>
              <w:spacing w:after="0"/>
              <w:jc w:val="center"/>
              <w:rPr>
                <w:color w:val="000000" w:themeColor="text1"/>
                <w:szCs w:val="24"/>
              </w:rPr>
            </w:pPr>
            <w:r>
              <w:rPr>
                <w:color w:val="000000"/>
              </w:rPr>
              <w:t>188,73</w:t>
            </w:r>
          </w:p>
        </w:tc>
      </w:tr>
      <w:tr w:rsidR="00C82192" w:rsidRPr="00687DE8" w14:paraId="0091AA29"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CABC93" w14:textId="77777777" w:rsidR="00C82192" w:rsidRPr="00687DE8" w:rsidRDefault="00855870">
            <w:pPr>
              <w:spacing w:after="0" w:line="240" w:lineRule="auto"/>
              <w:rPr>
                <w:szCs w:val="24"/>
              </w:rPr>
            </w:pPr>
            <w:r w:rsidRPr="00687DE8">
              <w:rPr>
                <w:szCs w:val="24"/>
              </w:rPr>
              <w:t>Intraduktaalse litotripsia lisavahendite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B10049" w14:textId="77777777" w:rsidR="00C82192" w:rsidRPr="00687DE8" w:rsidRDefault="00C82192">
            <w:pPr>
              <w:spacing w:after="0" w:line="240" w:lineRule="auto"/>
              <w:jc w:val="center"/>
              <w:rPr>
                <w:szCs w:val="24"/>
              </w:rPr>
            </w:pPr>
            <w:r w:rsidRPr="00687DE8">
              <w:rPr>
                <w:szCs w:val="24"/>
              </w:rPr>
              <w:t>2771L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AF0F5A3" w14:textId="6D33D48E" w:rsidR="1C8C1074" w:rsidRPr="00687DE8" w:rsidRDefault="00330FB7">
            <w:pPr>
              <w:spacing w:after="0"/>
              <w:jc w:val="center"/>
              <w:rPr>
                <w:color w:val="000000" w:themeColor="text1"/>
                <w:szCs w:val="24"/>
              </w:rPr>
            </w:pPr>
            <w:r>
              <w:rPr>
                <w:color w:val="000000"/>
              </w:rPr>
              <w:t>1 762,00</w:t>
            </w:r>
          </w:p>
        </w:tc>
      </w:tr>
      <w:tr w:rsidR="00C82192" w:rsidRPr="00687DE8" w14:paraId="23340295"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399426" w14:textId="77777777" w:rsidR="00C82192" w:rsidRPr="00687DE8" w:rsidRDefault="00800AF1">
            <w:pPr>
              <w:spacing w:after="0" w:line="240" w:lineRule="auto"/>
              <w:rPr>
                <w:szCs w:val="24"/>
              </w:rPr>
            </w:pPr>
            <w:r w:rsidRPr="00687DE8">
              <w:rPr>
                <w:szCs w:val="24"/>
              </w:rPr>
              <w:t>Endoskoopilise kolangiskoopia biopsiatangid</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F56AEC" w14:textId="77777777" w:rsidR="00C82192" w:rsidRPr="00687DE8" w:rsidRDefault="00C82192">
            <w:pPr>
              <w:spacing w:after="0" w:line="240" w:lineRule="auto"/>
              <w:jc w:val="center"/>
              <w:rPr>
                <w:szCs w:val="24"/>
              </w:rPr>
            </w:pPr>
            <w:r w:rsidRPr="00687DE8">
              <w:rPr>
                <w:szCs w:val="24"/>
              </w:rPr>
              <w:t>2772L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B5A2F96" w14:textId="786E3070" w:rsidR="1C8C1074" w:rsidRPr="00687DE8" w:rsidRDefault="00330FB7">
            <w:pPr>
              <w:spacing w:after="0"/>
              <w:jc w:val="center"/>
              <w:rPr>
                <w:color w:val="000000" w:themeColor="text1"/>
                <w:szCs w:val="24"/>
              </w:rPr>
            </w:pPr>
            <w:r>
              <w:rPr>
                <w:color w:val="000000"/>
              </w:rPr>
              <w:t>536,00</w:t>
            </w:r>
          </w:p>
        </w:tc>
      </w:tr>
      <w:tr w:rsidR="00F56E5D" w:rsidRPr="00687DE8" w14:paraId="26A29A15"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53D8AF" w14:textId="77777777" w:rsidR="00F56E5D" w:rsidRPr="00687DE8" w:rsidRDefault="00B408F6">
            <w:pPr>
              <w:spacing w:after="0" w:line="240" w:lineRule="auto"/>
              <w:rPr>
                <w:szCs w:val="24"/>
              </w:rPr>
            </w:pPr>
            <w:r w:rsidRPr="00687DE8">
              <w:rPr>
                <w:szCs w:val="24"/>
              </w:rPr>
              <w:t>Endoskoopilise submukoosse dissektsiooni nuga</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AC8126" w14:textId="77777777" w:rsidR="00F56E5D" w:rsidRPr="00687DE8" w:rsidRDefault="007C4945">
            <w:pPr>
              <w:spacing w:after="0" w:line="240" w:lineRule="auto"/>
              <w:jc w:val="center"/>
              <w:rPr>
                <w:szCs w:val="24"/>
              </w:rPr>
            </w:pPr>
            <w:r w:rsidRPr="00687DE8">
              <w:rPr>
                <w:szCs w:val="24"/>
              </w:rPr>
              <w:t>2773L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28B6D9A" w14:textId="36452569" w:rsidR="1C8C1074" w:rsidRPr="00687DE8" w:rsidRDefault="00330FB7">
            <w:pPr>
              <w:spacing w:after="0"/>
              <w:jc w:val="center"/>
              <w:rPr>
                <w:color w:val="000000" w:themeColor="text1"/>
                <w:szCs w:val="24"/>
              </w:rPr>
            </w:pPr>
            <w:r>
              <w:rPr>
                <w:color w:val="000000"/>
              </w:rPr>
              <w:t>441,83</w:t>
            </w:r>
          </w:p>
        </w:tc>
      </w:tr>
      <w:tr w:rsidR="00F56E5D" w:rsidRPr="00687DE8" w14:paraId="6852E7C9"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FDD8E4" w14:textId="77777777" w:rsidR="00F56E5D" w:rsidRPr="00687DE8" w:rsidRDefault="00B408F6">
            <w:pPr>
              <w:spacing w:after="0" w:line="240" w:lineRule="auto"/>
              <w:rPr>
                <w:szCs w:val="24"/>
              </w:rPr>
            </w:pPr>
            <w:r w:rsidRPr="00687DE8">
              <w:rPr>
                <w:szCs w:val="24"/>
              </w:rPr>
              <w:lastRenderedPageBreak/>
              <w:t>Endoskoopilise submukoosse dissektsiooni hemostaatili</w:t>
            </w:r>
            <w:r w:rsidR="007C4945" w:rsidRPr="00687DE8">
              <w:rPr>
                <w:szCs w:val="24"/>
              </w:rPr>
              <w:t>s</w:t>
            </w:r>
            <w:r w:rsidRPr="00687DE8">
              <w:rPr>
                <w:szCs w:val="24"/>
              </w:rPr>
              <w:t>e</w:t>
            </w:r>
            <w:r w:rsidR="007C4945" w:rsidRPr="00687DE8">
              <w:rPr>
                <w:szCs w:val="24"/>
              </w:rPr>
              <w:t>d</w:t>
            </w:r>
            <w:r w:rsidRPr="00687DE8">
              <w:rPr>
                <w:szCs w:val="24"/>
              </w:rPr>
              <w:t xml:space="preserve"> </w:t>
            </w:r>
            <w:r w:rsidR="007C4945" w:rsidRPr="00687DE8">
              <w:rPr>
                <w:szCs w:val="24"/>
              </w:rPr>
              <w:t>tangid</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7684B0" w14:textId="77777777" w:rsidR="00B62C13" w:rsidRPr="00687DE8" w:rsidRDefault="00B62C13">
            <w:pPr>
              <w:spacing w:after="0" w:line="240" w:lineRule="auto"/>
              <w:jc w:val="center"/>
              <w:rPr>
                <w:szCs w:val="24"/>
              </w:rPr>
            </w:pPr>
          </w:p>
          <w:p w14:paraId="44CD0FF5" w14:textId="77777777" w:rsidR="00F56E5D" w:rsidRPr="00687DE8" w:rsidRDefault="007C4945">
            <w:pPr>
              <w:spacing w:after="0" w:line="240" w:lineRule="auto"/>
              <w:jc w:val="center"/>
              <w:rPr>
                <w:szCs w:val="24"/>
              </w:rPr>
            </w:pPr>
            <w:r w:rsidRPr="00687DE8">
              <w:rPr>
                <w:szCs w:val="24"/>
              </w:rPr>
              <w:t>2774L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42F0E7E" w14:textId="15B8F634" w:rsidR="1C8C1074" w:rsidRPr="00687DE8" w:rsidRDefault="00330FB7">
            <w:pPr>
              <w:spacing w:after="0"/>
              <w:jc w:val="center"/>
              <w:rPr>
                <w:color w:val="000000" w:themeColor="text1"/>
                <w:szCs w:val="24"/>
              </w:rPr>
            </w:pPr>
            <w:r>
              <w:rPr>
                <w:color w:val="000000"/>
              </w:rPr>
              <w:t>218,50</w:t>
            </w:r>
          </w:p>
        </w:tc>
      </w:tr>
      <w:tr w:rsidR="07368C64" w14:paraId="490D1CC0"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F76EE7" w14:textId="651D27D6" w:rsidR="07368C64" w:rsidRDefault="499AA249" w:rsidP="07368C64">
            <w:pPr>
              <w:spacing w:line="240" w:lineRule="auto"/>
            </w:pPr>
            <w:r>
              <w:t>Anatoomiline lukustatav keskmine (3,5</w:t>
            </w:r>
            <w:r w:rsidR="00E606DB">
              <w:t> </w:t>
            </w:r>
            <w:r w:rsidR="00464366">
              <w:t>mm</w:t>
            </w:r>
            <w:r>
              <w:t xml:space="preserve"> kruvidega) osteosünteesi plaat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209169" w14:textId="795B7A6C" w:rsidR="7E967BC4" w:rsidRDefault="7E967BC4" w:rsidP="07368C64">
            <w:pPr>
              <w:spacing w:line="240" w:lineRule="auto"/>
              <w:jc w:val="center"/>
            </w:pPr>
            <w:r>
              <w:t>2775L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2B5DA02" w14:textId="73C9E02F" w:rsidR="07368C64" w:rsidRDefault="00330FB7" w:rsidP="07368C64">
            <w:pPr>
              <w:jc w:val="center"/>
              <w:rPr>
                <w:color w:val="000000" w:themeColor="text1"/>
              </w:rPr>
            </w:pPr>
            <w:r>
              <w:rPr>
                <w:color w:val="000000"/>
              </w:rPr>
              <w:t>388,83</w:t>
            </w:r>
          </w:p>
        </w:tc>
      </w:tr>
      <w:tr w:rsidR="07368C64" w14:paraId="691F0B31"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1B8CA1" w14:textId="019E4B17" w:rsidR="07368C64" w:rsidRDefault="08105F8E" w:rsidP="07368C64">
            <w:pPr>
              <w:spacing w:line="240" w:lineRule="auto"/>
            </w:pPr>
            <w:r>
              <w:t>Anatoomiline lukustatav suur (4,0</w:t>
            </w:r>
            <w:r w:rsidR="56DF2D44" w:rsidRPr="3862E899">
              <w:rPr>
                <w:szCs w:val="24"/>
              </w:rPr>
              <w:t>–</w:t>
            </w:r>
            <w:r>
              <w:t xml:space="preserve">6,5 </w:t>
            </w:r>
            <w:r w:rsidR="00464366">
              <w:t>mm</w:t>
            </w:r>
            <w:r>
              <w:t xml:space="preserve"> kruvidega) osteosünteesi plaat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FF0247" w14:textId="47307551" w:rsidR="7E967BC4" w:rsidRDefault="7E967BC4" w:rsidP="07368C64">
            <w:pPr>
              <w:spacing w:line="240" w:lineRule="auto"/>
              <w:jc w:val="center"/>
            </w:pPr>
            <w:r>
              <w:t>2776L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122433D" w14:textId="22AA6D3A" w:rsidR="07368C64" w:rsidRDefault="00330FB7" w:rsidP="07368C64">
            <w:pPr>
              <w:jc w:val="center"/>
              <w:rPr>
                <w:color w:val="000000" w:themeColor="text1"/>
              </w:rPr>
            </w:pPr>
            <w:r>
              <w:rPr>
                <w:color w:val="000000"/>
              </w:rPr>
              <w:t>523,85</w:t>
            </w:r>
          </w:p>
        </w:tc>
      </w:tr>
      <w:tr w:rsidR="07368C64" w14:paraId="7AABA38C"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707527" w14:textId="7D36CE02" w:rsidR="07368C64" w:rsidRDefault="3177947A" w:rsidP="07368C64">
            <w:pPr>
              <w:spacing w:line="240" w:lineRule="auto"/>
            </w:pPr>
            <w:r>
              <w:t xml:space="preserve">Anatoomiline väike (kuni 2,7 </w:t>
            </w:r>
            <w:r w:rsidR="00464366">
              <w:t>mm</w:t>
            </w:r>
            <w:r>
              <w:t xml:space="preserve"> kruvidega) osteosünteesi plaat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C66773" w14:textId="13D02800" w:rsidR="7E967BC4" w:rsidRDefault="7E967BC4" w:rsidP="07368C64">
            <w:pPr>
              <w:spacing w:line="240" w:lineRule="auto"/>
              <w:jc w:val="center"/>
            </w:pPr>
            <w:r>
              <w:t>2777L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0374E51" w14:textId="7F2D112C" w:rsidR="07368C64" w:rsidRDefault="00330FB7" w:rsidP="07368C64">
            <w:pPr>
              <w:jc w:val="center"/>
              <w:rPr>
                <w:color w:val="000000" w:themeColor="text1"/>
              </w:rPr>
            </w:pPr>
            <w:r>
              <w:rPr>
                <w:color w:val="000000"/>
              </w:rPr>
              <w:t>237,46</w:t>
            </w:r>
          </w:p>
        </w:tc>
      </w:tr>
      <w:tr w:rsidR="07368C64" w14:paraId="6B10F052" w14:textId="77777777" w:rsidTr="00EB7A71">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160407" w14:textId="4A3BDCF6" w:rsidR="55976E9F" w:rsidRDefault="55976E9F" w:rsidP="07368C64">
            <w:pPr>
              <w:spacing w:line="240" w:lineRule="auto"/>
            </w:pPr>
            <w:r>
              <w:t>Erivajadustega osteosünteesi plaat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F95A4F" w14:textId="16FF8238" w:rsidR="7E967BC4" w:rsidRDefault="7E967BC4" w:rsidP="07368C64">
            <w:pPr>
              <w:spacing w:line="240" w:lineRule="auto"/>
              <w:jc w:val="center"/>
            </w:pPr>
            <w:r>
              <w:t>2778L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0023A08" w14:textId="7EF8D3A5" w:rsidR="07368C64" w:rsidRDefault="00330FB7" w:rsidP="07368C64">
            <w:pPr>
              <w:jc w:val="center"/>
              <w:rPr>
                <w:color w:val="000000" w:themeColor="text1"/>
              </w:rPr>
            </w:pPr>
            <w:r>
              <w:rPr>
                <w:color w:val="000000"/>
              </w:rPr>
              <w:t>762,96</w:t>
            </w:r>
          </w:p>
        </w:tc>
      </w:tr>
      <w:tr w:rsidR="07368C64" w14:paraId="453BD8C2"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73F3EE" w14:textId="003B9ED1" w:rsidR="1760CF63" w:rsidRDefault="1760CF63" w:rsidP="07368C64">
            <w:pPr>
              <w:spacing w:line="240" w:lineRule="auto"/>
            </w:pPr>
            <w:r>
              <w:t>Universaalne keskmine (kuni 3,</w:t>
            </w:r>
            <w:r w:rsidR="121C1A8C">
              <w:t>5</w:t>
            </w:r>
            <w:r w:rsidR="612FE66F">
              <w:t xml:space="preserve"> </w:t>
            </w:r>
            <w:r w:rsidR="121C1A8C">
              <w:t>mm</w:t>
            </w:r>
            <w:r>
              <w:t>) osteosünteesi plaat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ADF89E" w14:textId="1E9981C3" w:rsidR="4214E652" w:rsidRDefault="4214E652" w:rsidP="07368C64">
            <w:pPr>
              <w:spacing w:line="240" w:lineRule="auto"/>
              <w:jc w:val="center"/>
            </w:pPr>
            <w:r>
              <w:t>2779L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D72576F" w14:textId="2ADC5B27" w:rsidR="07368C64" w:rsidRDefault="00330FB7" w:rsidP="07368C64">
            <w:pPr>
              <w:jc w:val="center"/>
              <w:rPr>
                <w:color w:val="000000" w:themeColor="text1"/>
              </w:rPr>
            </w:pPr>
            <w:r>
              <w:rPr>
                <w:color w:val="000000"/>
              </w:rPr>
              <w:t>198,81</w:t>
            </w:r>
          </w:p>
        </w:tc>
      </w:tr>
      <w:tr w:rsidR="07368C64" w14:paraId="3C2D9FF2"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5FFB02" w14:textId="79774B08" w:rsidR="0063180D" w:rsidRDefault="0063180D" w:rsidP="07368C64">
            <w:pPr>
              <w:spacing w:line="240" w:lineRule="auto"/>
            </w:pPr>
            <w:r>
              <w:t>Universaalne suur (4,0</w:t>
            </w:r>
            <w:r w:rsidR="7702ECBF" w:rsidRPr="3862E899">
              <w:rPr>
                <w:szCs w:val="24"/>
              </w:rPr>
              <w:t>–</w:t>
            </w:r>
            <w:r>
              <w:t>6,5 mm) osteosünteesi plaat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A9E852" w14:textId="2C7AEE01" w:rsidR="4214E652" w:rsidRDefault="4214E652" w:rsidP="07368C64">
            <w:pPr>
              <w:spacing w:line="240" w:lineRule="auto"/>
              <w:jc w:val="center"/>
            </w:pPr>
            <w:r>
              <w:t>2780L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1A7ACEF" w14:textId="62A1A488" w:rsidR="07368C64" w:rsidRDefault="00330FB7" w:rsidP="07368C64">
            <w:pPr>
              <w:jc w:val="center"/>
              <w:rPr>
                <w:color w:val="000000" w:themeColor="text1"/>
              </w:rPr>
            </w:pPr>
            <w:r>
              <w:rPr>
                <w:color w:val="000000"/>
              </w:rPr>
              <w:t>303,90</w:t>
            </w:r>
          </w:p>
        </w:tc>
      </w:tr>
      <w:tr w:rsidR="07368C64" w14:paraId="5D8305AD"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677610" w14:textId="1A114FCF" w:rsidR="07368C64" w:rsidRDefault="0D6AB130" w:rsidP="07368C64">
            <w:pPr>
              <w:spacing w:line="240" w:lineRule="auto"/>
            </w:pPr>
            <w:r>
              <w:t>Toruluu ettepuurimata nael</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FC8627" w14:textId="2495CF1A" w:rsidR="7E967BC4" w:rsidRDefault="7E967BC4" w:rsidP="07368C64">
            <w:pPr>
              <w:spacing w:line="240" w:lineRule="auto"/>
              <w:jc w:val="center"/>
            </w:pPr>
            <w:r>
              <w:t>2781L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11EC3B5" w14:textId="6E31EC8A" w:rsidR="07368C64" w:rsidRDefault="00330FB7" w:rsidP="07368C64">
            <w:pPr>
              <w:jc w:val="center"/>
              <w:rPr>
                <w:color w:val="000000" w:themeColor="text1"/>
              </w:rPr>
            </w:pPr>
            <w:r>
              <w:rPr>
                <w:color w:val="000000"/>
              </w:rPr>
              <w:t>565,36</w:t>
            </w:r>
          </w:p>
        </w:tc>
      </w:tr>
      <w:tr w:rsidR="07368C64" w14:paraId="160CFD55"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F98F9A" w14:textId="3F0D3E2C" w:rsidR="07368C64" w:rsidRDefault="722FBD7C" w:rsidP="07368C64">
            <w:pPr>
              <w:spacing w:line="240" w:lineRule="auto"/>
            </w:pPr>
            <w:r>
              <w:t>Reieluu ettepuurimiseta proksimaalne nael</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F45674" w14:textId="686CE0CA" w:rsidR="68BBB9AF" w:rsidRDefault="68BBB9AF" w:rsidP="07368C64">
            <w:pPr>
              <w:spacing w:line="240" w:lineRule="auto"/>
              <w:jc w:val="center"/>
            </w:pPr>
            <w:r>
              <w:t>2782L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B90B1DC" w14:textId="0C4C62FF" w:rsidR="07368C64" w:rsidRDefault="00330FB7" w:rsidP="07368C64">
            <w:pPr>
              <w:jc w:val="center"/>
              <w:rPr>
                <w:color w:val="000000" w:themeColor="text1"/>
              </w:rPr>
            </w:pPr>
            <w:r>
              <w:rPr>
                <w:color w:val="000000"/>
              </w:rPr>
              <w:t>1 141,12</w:t>
            </w:r>
          </w:p>
        </w:tc>
      </w:tr>
      <w:tr w:rsidR="07368C64" w14:paraId="2EC141E8"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47C685" w14:textId="206D9AB3" w:rsidR="07368C64" w:rsidRDefault="550AF632" w:rsidP="07368C64">
            <w:pPr>
              <w:spacing w:line="240" w:lineRule="auto"/>
            </w:pPr>
            <w:r>
              <w:t>Liigese sidemete metallist kinnitusvahend</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14CEAB" w14:textId="73BAD411" w:rsidR="7E967BC4" w:rsidRDefault="7E967BC4" w:rsidP="07368C64">
            <w:pPr>
              <w:spacing w:line="240" w:lineRule="auto"/>
              <w:jc w:val="center"/>
            </w:pPr>
            <w:r>
              <w:t>2783L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7C216A5" w14:textId="697E83A9" w:rsidR="07368C64" w:rsidRDefault="00330FB7" w:rsidP="07368C64">
            <w:pPr>
              <w:jc w:val="center"/>
              <w:rPr>
                <w:color w:val="000000" w:themeColor="text1"/>
              </w:rPr>
            </w:pPr>
            <w:r>
              <w:rPr>
                <w:color w:val="000000"/>
              </w:rPr>
              <w:t>140,58</w:t>
            </w:r>
          </w:p>
        </w:tc>
      </w:tr>
      <w:tr w:rsidR="07368C64" w14:paraId="4F5200F9"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184D16" w14:textId="5B6DB0F0" w:rsidR="07368C64" w:rsidRDefault="31E1B701" w:rsidP="07368C64">
            <w:pPr>
              <w:spacing w:line="240" w:lineRule="auto"/>
            </w:pPr>
            <w:r>
              <w:t>Mittelukustuv luukruvi</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AF9613" w14:textId="2FADDC14" w:rsidR="7E967BC4" w:rsidRDefault="7E967BC4" w:rsidP="07368C64">
            <w:pPr>
              <w:spacing w:line="240" w:lineRule="auto"/>
              <w:jc w:val="center"/>
            </w:pPr>
            <w:r>
              <w:t>2784L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4823971" w14:textId="358DDEFC" w:rsidR="07368C64" w:rsidRDefault="00330FB7" w:rsidP="07368C64">
            <w:pPr>
              <w:jc w:val="center"/>
              <w:rPr>
                <w:color w:val="000000" w:themeColor="text1"/>
              </w:rPr>
            </w:pPr>
            <w:r>
              <w:rPr>
                <w:color w:val="000000"/>
              </w:rPr>
              <w:t>20,94</w:t>
            </w:r>
          </w:p>
        </w:tc>
      </w:tr>
      <w:tr w:rsidR="07368C64" w14:paraId="3B94DD90"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5052B2" w14:textId="2906DA5E" w:rsidR="07368C64" w:rsidRDefault="78523BE8" w:rsidP="07368C64">
            <w:pPr>
              <w:spacing w:line="240" w:lineRule="auto"/>
            </w:pPr>
            <w:r>
              <w:t>Kanüleeritud luukruvi</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51E131" w14:textId="3209BE69" w:rsidR="7E967BC4" w:rsidRDefault="7E967BC4" w:rsidP="07368C64">
            <w:pPr>
              <w:spacing w:line="240" w:lineRule="auto"/>
              <w:jc w:val="center"/>
            </w:pPr>
            <w:r>
              <w:t>2785L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BE2DB4A" w14:textId="1EB0354D" w:rsidR="07368C64" w:rsidRDefault="00330FB7" w:rsidP="07368C64">
            <w:pPr>
              <w:jc w:val="center"/>
              <w:rPr>
                <w:color w:val="000000" w:themeColor="text1"/>
              </w:rPr>
            </w:pPr>
            <w:r>
              <w:rPr>
                <w:color w:val="000000"/>
              </w:rPr>
              <w:t>96,36</w:t>
            </w:r>
          </w:p>
        </w:tc>
      </w:tr>
      <w:tr w:rsidR="07368C64" w14:paraId="61A84753"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925DD3" w14:textId="537ECE0C" w:rsidR="07368C64" w:rsidRDefault="24D024FD" w:rsidP="07368C64">
            <w:pPr>
              <w:spacing w:line="240" w:lineRule="auto"/>
            </w:pPr>
            <w:r>
              <w:t>Lukustatav kruvi</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58AD14" w14:textId="6AE54B2C" w:rsidR="7E967BC4" w:rsidRDefault="7E967BC4" w:rsidP="07368C64">
            <w:pPr>
              <w:spacing w:line="240" w:lineRule="auto"/>
              <w:jc w:val="center"/>
            </w:pPr>
            <w:r>
              <w:t>2786L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B337598" w14:textId="68F996F3" w:rsidR="07368C64" w:rsidRDefault="00330FB7" w:rsidP="07368C64">
            <w:pPr>
              <w:jc w:val="center"/>
              <w:rPr>
                <w:color w:val="000000" w:themeColor="text1"/>
              </w:rPr>
            </w:pPr>
            <w:r>
              <w:rPr>
                <w:color w:val="000000"/>
              </w:rPr>
              <w:t>32,69</w:t>
            </w:r>
          </w:p>
        </w:tc>
      </w:tr>
      <w:tr w:rsidR="07368C64" w14:paraId="294FEE92"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2A5390" w14:textId="514638A9" w:rsidR="07368C64" w:rsidRDefault="0EAE62F6" w:rsidP="07368C64">
            <w:pPr>
              <w:spacing w:line="240" w:lineRule="auto"/>
            </w:pPr>
            <w:r>
              <w:t>Jäseme pikendamisel kasutatav varraste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A68C57" w14:textId="3791F03F" w:rsidR="7E967BC4" w:rsidRDefault="7E967BC4" w:rsidP="07368C64">
            <w:pPr>
              <w:spacing w:line="240" w:lineRule="auto"/>
              <w:jc w:val="center"/>
            </w:pPr>
            <w:r>
              <w:t>2787L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740BB42" w14:textId="4A20C929" w:rsidR="07368C64" w:rsidRDefault="00330FB7" w:rsidP="07368C64">
            <w:pPr>
              <w:jc w:val="center"/>
              <w:rPr>
                <w:color w:val="000000" w:themeColor="text1"/>
              </w:rPr>
            </w:pPr>
            <w:r>
              <w:rPr>
                <w:color w:val="000000"/>
              </w:rPr>
              <w:t>488,21</w:t>
            </w:r>
          </w:p>
        </w:tc>
      </w:tr>
      <w:tr w:rsidR="07368C64" w14:paraId="540358C4"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196F3E" w14:textId="5AE0B777" w:rsidR="07368C64" w:rsidRDefault="6EF2977E" w:rsidP="07368C64">
            <w:pPr>
              <w:spacing w:line="240" w:lineRule="auto"/>
            </w:pPr>
            <w:r>
              <w:t>Elastsete varraste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B83D1D" w14:textId="363C791A" w:rsidR="7E967BC4" w:rsidRDefault="7E967BC4" w:rsidP="07368C64">
            <w:pPr>
              <w:spacing w:line="240" w:lineRule="auto"/>
              <w:jc w:val="center"/>
            </w:pPr>
            <w:r>
              <w:t>2788L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4F10E5E" w14:textId="66D1FE69" w:rsidR="07368C64" w:rsidRDefault="00330FB7" w:rsidP="07368C64">
            <w:pPr>
              <w:jc w:val="center"/>
              <w:rPr>
                <w:color w:val="000000" w:themeColor="text1"/>
              </w:rPr>
            </w:pPr>
            <w:r>
              <w:rPr>
                <w:color w:val="000000"/>
              </w:rPr>
              <w:t>196,06</w:t>
            </w:r>
          </w:p>
        </w:tc>
      </w:tr>
      <w:tr w:rsidR="07368C64" w14:paraId="3F986C06" w14:textId="77777777" w:rsidTr="00EB7A71">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78361A" w14:textId="2AE07376" w:rsidR="07368C64" w:rsidRDefault="0FB67481" w:rsidP="07368C64">
            <w:pPr>
              <w:spacing w:line="240" w:lineRule="auto"/>
            </w:pPr>
            <w:r>
              <w:t>Välisfiksatsiooni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A91F1A" w14:textId="1A6C8AA4" w:rsidR="7E967BC4" w:rsidRDefault="7E967BC4" w:rsidP="07368C64">
            <w:pPr>
              <w:spacing w:line="240" w:lineRule="auto"/>
              <w:jc w:val="center"/>
            </w:pPr>
            <w:r>
              <w:t>2789L</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E2850" w14:textId="2119FE27" w:rsidR="07368C64" w:rsidRDefault="00CE7E8A" w:rsidP="07368C64">
            <w:pPr>
              <w:jc w:val="center"/>
              <w:rPr>
                <w:color w:val="000000" w:themeColor="text1"/>
              </w:rPr>
            </w:pPr>
            <w:r>
              <w:rPr>
                <w:color w:val="000000"/>
              </w:rPr>
              <w:t>399,54</w:t>
            </w:r>
          </w:p>
        </w:tc>
      </w:tr>
      <w:tr w:rsidR="07368C64" w14:paraId="36A74290"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3BEFAF" w14:textId="600F5CEE" w:rsidR="07368C64" w:rsidRDefault="40C1AC6B" w:rsidP="07368C64">
            <w:pPr>
              <w:spacing w:line="240" w:lineRule="auto"/>
            </w:pPr>
            <w:r>
              <w:t>Kirschneri varras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AF108E" w14:textId="5C4BD68D" w:rsidR="7E967BC4" w:rsidRDefault="7E967BC4" w:rsidP="07368C64">
            <w:pPr>
              <w:spacing w:line="240" w:lineRule="auto"/>
              <w:jc w:val="center"/>
            </w:pPr>
            <w:r>
              <w:t>2790L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F4A230B" w14:textId="7D37E93E" w:rsidR="07368C64" w:rsidRDefault="00CE7E8A" w:rsidP="07368C64">
            <w:pPr>
              <w:jc w:val="center"/>
              <w:rPr>
                <w:color w:val="000000" w:themeColor="text1"/>
              </w:rPr>
            </w:pPr>
            <w:r>
              <w:rPr>
                <w:color w:val="000000"/>
              </w:rPr>
              <w:t>10,99</w:t>
            </w:r>
          </w:p>
        </w:tc>
      </w:tr>
      <w:tr w:rsidR="6D77DD5C" w14:paraId="591F0CF8"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C35C9A" w14:textId="6E8EB269" w:rsidR="6D77DD5C" w:rsidRPr="009E2E88" w:rsidRDefault="6D77DD5C" w:rsidP="008F1DBE">
            <w:pPr>
              <w:spacing w:after="0"/>
              <w:rPr>
                <w:szCs w:val="24"/>
              </w:rPr>
            </w:pPr>
            <w:r w:rsidRPr="009E2E88">
              <w:rPr>
                <w:szCs w:val="24"/>
              </w:rPr>
              <w:t xml:space="preserve">Suure liigese </w:t>
            </w:r>
            <w:r w:rsidRPr="002F681D">
              <w:rPr>
                <w:szCs w:val="24"/>
              </w:rPr>
              <w:t>ajutine</w:t>
            </w:r>
            <w:r w:rsidRPr="008F1DBE">
              <w:rPr>
                <w:szCs w:val="24"/>
              </w:rPr>
              <w:t xml:space="preserve"> </w:t>
            </w:r>
            <w:r w:rsidRPr="009E2E88">
              <w:rPr>
                <w:szCs w:val="24"/>
              </w:rPr>
              <w:t>või</w:t>
            </w:r>
            <w:r w:rsidR="008F1DBE">
              <w:rPr>
                <w:szCs w:val="24"/>
              </w:rPr>
              <w:t xml:space="preserve"> pool</w:t>
            </w:r>
            <w:r w:rsidRPr="009E2E88">
              <w:rPr>
                <w:szCs w:val="24"/>
              </w:rPr>
              <w:t>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411ACC" w14:textId="5A815DF1" w:rsidR="56D0F78D" w:rsidRDefault="56D0F78D" w:rsidP="6D77DD5C">
            <w:pPr>
              <w:spacing w:line="240" w:lineRule="auto"/>
              <w:jc w:val="center"/>
            </w:pPr>
            <w:r>
              <w:t>2791L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77390C2" w14:textId="64FBEFE0" w:rsidR="56D0F78D" w:rsidRDefault="00CE7E8A" w:rsidP="6D77DD5C">
            <w:pPr>
              <w:jc w:val="center"/>
              <w:rPr>
                <w:color w:val="000000" w:themeColor="text1"/>
              </w:rPr>
            </w:pPr>
            <w:r>
              <w:rPr>
                <w:color w:val="000000"/>
              </w:rPr>
              <w:t>1 253,64</w:t>
            </w:r>
          </w:p>
        </w:tc>
      </w:tr>
      <w:tr w:rsidR="07368C64" w14:paraId="55A4B9F8"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6C9B28" w14:textId="1F2357CB" w:rsidR="07368C64" w:rsidRDefault="3B4C765C" w:rsidP="07368C64">
            <w:r>
              <w:t>Ortopeedilises kirurgias kasutatavad mittemetalsed implantaadid</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2ABC63" w14:textId="08C75548" w:rsidR="2BF9DB00" w:rsidRDefault="2BF9DB00" w:rsidP="07368C64">
            <w:pPr>
              <w:spacing w:line="240" w:lineRule="auto"/>
              <w:jc w:val="center"/>
            </w:pPr>
            <w:r>
              <w:t>2792L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2EA04D9" w14:textId="302E440F" w:rsidR="07368C64" w:rsidRDefault="00CE7E8A" w:rsidP="07368C64">
            <w:pPr>
              <w:jc w:val="center"/>
              <w:rPr>
                <w:color w:val="000000" w:themeColor="text1"/>
              </w:rPr>
            </w:pPr>
            <w:r>
              <w:rPr>
                <w:color w:val="000000"/>
              </w:rPr>
              <w:t>275,29</w:t>
            </w:r>
          </w:p>
        </w:tc>
      </w:tr>
      <w:tr w:rsidR="07368C64" w14:paraId="12887762"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40403C" w14:textId="32424ED8" w:rsidR="07368C64" w:rsidRDefault="62BB478F" w:rsidP="07368C64">
            <w:r>
              <w:t>Reieluu murru DHS/DCS või monoblokk implantaat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54DAF2" w14:textId="7BDFDC28" w:rsidR="2BF9DB00" w:rsidRDefault="2BF9DB00" w:rsidP="07368C64">
            <w:pPr>
              <w:spacing w:line="240" w:lineRule="auto"/>
              <w:jc w:val="center"/>
            </w:pPr>
            <w:r>
              <w:t>2793L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64E7213" w14:textId="79F5CB90" w:rsidR="07368C64" w:rsidRDefault="00CE7E8A" w:rsidP="07368C64">
            <w:pPr>
              <w:jc w:val="center"/>
              <w:rPr>
                <w:color w:val="000000" w:themeColor="text1"/>
              </w:rPr>
            </w:pPr>
            <w:r>
              <w:rPr>
                <w:color w:val="000000"/>
              </w:rPr>
              <w:t>315,14</w:t>
            </w:r>
          </w:p>
        </w:tc>
      </w:tr>
      <w:tr w:rsidR="07368C64" w14:paraId="37BFAED7"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072D42" w14:textId="58AB34F6" w:rsidR="07368C64" w:rsidRDefault="4CEFA261" w:rsidP="07368C64">
            <w:r>
              <w:lastRenderedPageBreak/>
              <w:t>Liigese sideaparaadi või kõõluse asendusimplantaat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4CB47D" w14:textId="7DCC72D6" w:rsidR="2BF9DB00" w:rsidRDefault="2BF9DB00" w:rsidP="07368C64">
            <w:pPr>
              <w:spacing w:line="240" w:lineRule="auto"/>
              <w:jc w:val="center"/>
            </w:pPr>
            <w:r>
              <w:t>2794L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2380650" w14:textId="658F4487" w:rsidR="07368C64" w:rsidRDefault="00CE7E8A" w:rsidP="07368C64">
            <w:pPr>
              <w:jc w:val="center"/>
              <w:rPr>
                <w:color w:val="000000" w:themeColor="text1"/>
              </w:rPr>
            </w:pPr>
            <w:r>
              <w:rPr>
                <w:color w:val="000000"/>
              </w:rPr>
              <w:t>308,63</w:t>
            </w:r>
          </w:p>
        </w:tc>
      </w:tr>
      <w:tr w:rsidR="00976487" w:rsidRPr="00687DE8" w14:paraId="669F20BD"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92EA74" w14:textId="77777777" w:rsidR="00976487" w:rsidRPr="00687DE8" w:rsidRDefault="00976487">
            <w:pPr>
              <w:spacing w:after="0" w:line="240" w:lineRule="auto"/>
              <w:rPr>
                <w:szCs w:val="24"/>
              </w:rPr>
            </w:pPr>
            <w:r w:rsidRPr="00687DE8">
              <w:rPr>
                <w:szCs w:val="24"/>
              </w:rPr>
              <w:t>Ajutine šunt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393536" w14:textId="77777777" w:rsidR="00976487" w:rsidRPr="00687DE8" w:rsidRDefault="00976487">
            <w:pPr>
              <w:spacing w:after="0" w:line="240" w:lineRule="auto"/>
              <w:jc w:val="center"/>
              <w:rPr>
                <w:szCs w:val="24"/>
              </w:rPr>
            </w:pPr>
            <w:r w:rsidRPr="00687DE8">
              <w:rPr>
                <w:szCs w:val="24"/>
              </w:rPr>
              <w:t>2801L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A78359" w14:textId="4444DA91" w:rsidR="2D12F9BF" w:rsidRPr="00687DE8" w:rsidRDefault="00CE7E8A">
            <w:pPr>
              <w:spacing w:after="0"/>
              <w:jc w:val="center"/>
              <w:rPr>
                <w:color w:val="000000" w:themeColor="text1"/>
                <w:szCs w:val="24"/>
              </w:rPr>
            </w:pPr>
            <w:r>
              <w:rPr>
                <w:color w:val="000000"/>
              </w:rPr>
              <w:t>201,43</w:t>
            </w:r>
          </w:p>
        </w:tc>
      </w:tr>
      <w:tr w:rsidR="00976487" w:rsidRPr="00687DE8" w14:paraId="2CB14AAE"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B7E1C8" w14:textId="77777777" w:rsidR="00976487" w:rsidRPr="00687DE8" w:rsidRDefault="00976487" w:rsidP="00C73583">
            <w:pPr>
              <w:spacing w:after="0" w:line="240" w:lineRule="auto"/>
              <w:rPr>
                <w:szCs w:val="24"/>
              </w:rPr>
            </w:pPr>
            <w:r w:rsidRPr="00687DE8">
              <w:rPr>
                <w:szCs w:val="24"/>
              </w:rPr>
              <w:t>Plastikalapp (9 × 2 cm)</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5D7772" w14:textId="77777777" w:rsidR="00976487" w:rsidRPr="00687DE8" w:rsidRDefault="00976487">
            <w:pPr>
              <w:spacing w:after="0" w:line="240" w:lineRule="auto"/>
              <w:jc w:val="center"/>
              <w:rPr>
                <w:szCs w:val="24"/>
              </w:rPr>
            </w:pPr>
            <w:r w:rsidRPr="00687DE8">
              <w:rPr>
                <w:szCs w:val="24"/>
              </w:rPr>
              <w:t>2802L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C6C62B" w14:textId="2081B941" w:rsidR="2D12F9BF" w:rsidRPr="00687DE8" w:rsidRDefault="00CE7E8A">
            <w:pPr>
              <w:spacing w:after="0"/>
              <w:jc w:val="center"/>
              <w:rPr>
                <w:color w:val="000000" w:themeColor="text1"/>
                <w:szCs w:val="24"/>
              </w:rPr>
            </w:pPr>
            <w:r>
              <w:rPr>
                <w:color w:val="000000"/>
              </w:rPr>
              <w:t>197,58</w:t>
            </w:r>
          </w:p>
        </w:tc>
      </w:tr>
      <w:tr w:rsidR="00976487" w:rsidRPr="00687DE8" w14:paraId="5C54D75A"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8ACC48" w14:textId="77777777" w:rsidR="00976487" w:rsidRPr="00687DE8" w:rsidRDefault="00976487">
            <w:pPr>
              <w:spacing w:after="0" w:line="240" w:lineRule="auto"/>
              <w:rPr>
                <w:szCs w:val="24"/>
              </w:rPr>
            </w:pPr>
            <w:r w:rsidRPr="00687DE8">
              <w:rPr>
                <w:szCs w:val="24"/>
              </w:rPr>
              <w:t>Y-kujuline immutatud dakroonprotees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CB9C2D" w14:textId="77777777" w:rsidR="00976487" w:rsidRPr="00687DE8" w:rsidRDefault="00976487">
            <w:pPr>
              <w:spacing w:after="0" w:line="240" w:lineRule="auto"/>
              <w:jc w:val="center"/>
              <w:rPr>
                <w:szCs w:val="24"/>
              </w:rPr>
            </w:pPr>
            <w:r w:rsidRPr="00687DE8">
              <w:rPr>
                <w:szCs w:val="24"/>
              </w:rPr>
              <w:t>2804L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B0AFAB" w14:textId="2BACBE84" w:rsidR="2D12F9BF" w:rsidRPr="00687DE8" w:rsidRDefault="00CE7E8A">
            <w:pPr>
              <w:spacing w:after="0"/>
              <w:jc w:val="center"/>
              <w:rPr>
                <w:color w:val="000000" w:themeColor="text1"/>
                <w:szCs w:val="24"/>
              </w:rPr>
            </w:pPr>
            <w:r>
              <w:rPr>
                <w:color w:val="000000"/>
              </w:rPr>
              <w:t>764,21</w:t>
            </w:r>
          </w:p>
        </w:tc>
      </w:tr>
      <w:tr w:rsidR="00976487" w:rsidRPr="00687DE8" w14:paraId="12C5DB58" w14:textId="77777777" w:rsidTr="00EB7A71">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D672BC" w14:textId="77777777" w:rsidR="00976487" w:rsidRPr="00687DE8" w:rsidRDefault="00976487">
            <w:pPr>
              <w:spacing w:after="0" w:line="240" w:lineRule="auto"/>
              <w:rPr>
                <w:szCs w:val="24"/>
              </w:rPr>
            </w:pPr>
            <w:r w:rsidRPr="00687DE8">
              <w:rPr>
                <w:szCs w:val="24"/>
              </w:rPr>
              <w:t>Embol/trombektoomia/sapiteede konkrementide eemaldamise balloonkateeter</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FC645F" w14:textId="77777777" w:rsidR="00976487" w:rsidRPr="00687DE8" w:rsidRDefault="00976487">
            <w:pPr>
              <w:spacing w:after="0" w:line="240" w:lineRule="auto"/>
              <w:jc w:val="center"/>
              <w:rPr>
                <w:szCs w:val="24"/>
              </w:rPr>
            </w:pPr>
          </w:p>
          <w:p w14:paraId="7BA374B0" w14:textId="77777777" w:rsidR="00976487" w:rsidRPr="00687DE8" w:rsidRDefault="00976487">
            <w:pPr>
              <w:spacing w:after="0" w:line="240" w:lineRule="auto"/>
              <w:jc w:val="center"/>
              <w:rPr>
                <w:szCs w:val="24"/>
              </w:rPr>
            </w:pPr>
            <w:r w:rsidRPr="00687DE8">
              <w:rPr>
                <w:szCs w:val="24"/>
              </w:rPr>
              <w:t>2809L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EF9CA6C" w14:textId="1D15A7DF" w:rsidR="2D12F9BF" w:rsidRPr="00687DE8" w:rsidRDefault="00CE7E8A">
            <w:pPr>
              <w:spacing w:after="0"/>
              <w:jc w:val="center"/>
              <w:rPr>
                <w:color w:val="000000" w:themeColor="text1"/>
                <w:szCs w:val="24"/>
              </w:rPr>
            </w:pPr>
            <w:r>
              <w:rPr>
                <w:color w:val="000000"/>
              </w:rPr>
              <w:t>45,12</w:t>
            </w:r>
          </w:p>
        </w:tc>
      </w:tr>
      <w:tr w:rsidR="00976487" w:rsidRPr="00687DE8" w14:paraId="799CE42D"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7C7118" w14:textId="77777777" w:rsidR="00976487" w:rsidRPr="00687DE8" w:rsidRDefault="00976487">
            <w:pPr>
              <w:spacing w:after="0" w:line="240" w:lineRule="auto"/>
              <w:rPr>
                <w:szCs w:val="24"/>
              </w:rPr>
            </w:pPr>
            <w:r w:rsidRPr="00687DE8">
              <w:rPr>
                <w:szCs w:val="24"/>
              </w:rPr>
              <w:t>Embol/trombektoomia spiraal ja korvkateeter</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0B936B" w14:textId="77777777" w:rsidR="00976487" w:rsidRPr="00687DE8" w:rsidRDefault="00976487">
            <w:pPr>
              <w:spacing w:after="0" w:line="240" w:lineRule="auto"/>
              <w:jc w:val="center"/>
              <w:rPr>
                <w:szCs w:val="24"/>
              </w:rPr>
            </w:pPr>
            <w:r w:rsidRPr="00687DE8">
              <w:rPr>
                <w:szCs w:val="24"/>
              </w:rPr>
              <w:t>2810L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43E5C4" w14:textId="62D5C849" w:rsidR="2D12F9BF" w:rsidRPr="00687DE8" w:rsidRDefault="00CE7E8A">
            <w:pPr>
              <w:spacing w:after="0"/>
              <w:jc w:val="center"/>
              <w:rPr>
                <w:color w:val="000000" w:themeColor="text1"/>
                <w:szCs w:val="24"/>
              </w:rPr>
            </w:pPr>
            <w:r>
              <w:rPr>
                <w:color w:val="000000"/>
              </w:rPr>
              <w:t>123,96</w:t>
            </w:r>
          </w:p>
        </w:tc>
      </w:tr>
      <w:tr w:rsidR="00976487" w:rsidRPr="00687DE8" w14:paraId="6CE404E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EA84C4" w14:textId="77777777" w:rsidR="00976487" w:rsidRPr="00687DE8" w:rsidRDefault="00976487">
            <w:pPr>
              <w:spacing w:after="0" w:line="240" w:lineRule="auto"/>
              <w:rPr>
                <w:szCs w:val="24"/>
              </w:rPr>
            </w:pPr>
            <w:r w:rsidRPr="00687DE8">
              <w:rPr>
                <w:szCs w:val="24"/>
              </w:rPr>
              <w:t>Hemodialüüsi arterio-venoosne PTFE-šunt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F414C4" w14:textId="77777777" w:rsidR="00976487" w:rsidRPr="00687DE8" w:rsidRDefault="00976487">
            <w:pPr>
              <w:spacing w:after="0" w:line="240" w:lineRule="auto"/>
              <w:jc w:val="center"/>
              <w:rPr>
                <w:szCs w:val="24"/>
              </w:rPr>
            </w:pPr>
            <w:r w:rsidRPr="00687DE8">
              <w:rPr>
                <w:szCs w:val="24"/>
              </w:rPr>
              <w:t>2811L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7288FA" w14:textId="3E719427" w:rsidR="2D12F9BF" w:rsidRPr="00687DE8" w:rsidRDefault="00CE7E8A">
            <w:pPr>
              <w:spacing w:after="0"/>
              <w:jc w:val="center"/>
              <w:rPr>
                <w:color w:val="000000" w:themeColor="text1"/>
                <w:szCs w:val="24"/>
              </w:rPr>
            </w:pPr>
            <w:r>
              <w:rPr>
                <w:color w:val="000000"/>
              </w:rPr>
              <w:t>964,20</w:t>
            </w:r>
          </w:p>
        </w:tc>
      </w:tr>
      <w:tr w:rsidR="00976487" w:rsidRPr="00687DE8" w14:paraId="2DB84345"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9E331F" w14:textId="77777777" w:rsidR="00976487" w:rsidRPr="00687DE8" w:rsidRDefault="00976487">
            <w:pPr>
              <w:spacing w:after="0" w:line="240" w:lineRule="auto"/>
              <w:rPr>
                <w:szCs w:val="24"/>
              </w:rPr>
            </w:pPr>
            <w:r w:rsidRPr="00687DE8">
              <w:rPr>
                <w:szCs w:val="24"/>
              </w:rPr>
              <w:t xml:space="preserve">Okluseeriv spiraal </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1BEE21" w14:textId="77777777" w:rsidR="00976487" w:rsidRPr="00687DE8" w:rsidRDefault="00976487">
            <w:pPr>
              <w:spacing w:after="0" w:line="240" w:lineRule="auto"/>
              <w:jc w:val="center"/>
              <w:rPr>
                <w:szCs w:val="24"/>
              </w:rPr>
            </w:pPr>
            <w:r w:rsidRPr="00687DE8">
              <w:rPr>
                <w:szCs w:val="24"/>
              </w:rPr>
              <w:t>2812L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016E62" w14:textId="264D6AC5" w:rsidR="2D12F9BF" w:rsidRPr="00687DE8" w:rsidRDefault="00CE7E8A">
            <w:pPr>
              <w:spacing w:after="0"/>
              <w:jc w:val="center"/>
              <w:rPr>
                <w:color w:val="000000" w:themeColor="text1"/>
                <w:szCs w:val="24"/>
              </w:rPr>
            </w:pPr>
            <w:r>
              <w:rPr>
                <w:color w:val="000000"/>
              </w:rPr>
              <w:t>588,78</w:t>
            </w:r>
          </w:p>
        </w:tc>
      </w:tr>
      <w:tr w:rsidR="00976487" w:rsidRPr="00687DE8" w14:paraId="1E80BD0D"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F985A9" w14:textId="77777777" w:rsidR="00976487" w:rsidRPr="00687DE8" w:rsidRDefault="00567758">
            <w:pPr>
              <w:spacing w:after="0" w:line="240" w:lineRule="auto"/>
              <w:rPr>
                <w:szCs w:val="24"/>
              </w:rPr>
            </w:pPr>
            <w:r w:rsidRPr="00687DE8">
              <w:rPr>
                <w:szCs w:val="24"/>
              </w:rPr>
              <w:t>Südame vaheseina defekti sulgur</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8964D5" w14:textId="77777777" w:rsidR="00976487" w:rsidRPr="00687DE8" w:rsidRDefault="00976487">
            <w:pPr>
              <w:spacing w:after="0" w:line="240" w:lineRule="auto"/>
              <w:jc w:val="center"/>
              <w:rPr>
                <w:szCs w:val="24"/>
              </w:rPr>
            </w:pPr>
            <w:r w:rsidRPr="00687DE8">
              <w:rPr>
                <w:szCs w:val="24"/>
              </w:rPr>
              <w:t>2813L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899088" w14:textId="0305CFCD" w:rsidR="2D12F9BF" w:rsidRPr="00687DE8" w:rsidRDefault="00CE7E8A">
            <w:pPr>
              <w:spacing w:after="0"/>
              <w:jc w:val="center"/>
              <w:rPr>
                <w:color w:val="000000" w:themeColor="text1"/>
                <w:szCs w:val="24"/>
              </w:rPr>
            </w:pPr>
            <w:r>
              <w:rPr>
                <w:color w:val="000000"/>
              </w:rPr>
              <w:t>4 500,00</w:t>
            </w:r>
          </w:p>
        </w:tc>
      </w:tr>
      <w:tr w:rsidR="00976487" w:rsidRPr="00687DE8" w14:paraId="0F82A7B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E15E09" w14:textId="77777777" w:rsidR="00976487" w:rsidRPr="00687DE8" w:rsidRDefault="00976487">
            <w:pPr>
              <w:spacing w:after="0" w:line="240" w:lineRule="auto"/>
              <w:rPr>
                <w:szCs w:val="24"/>
              </w:rPr>
            </w:pPr>
            <w:r w:rsidRPr="00687DE8">
              <w:rPr>
                <w:szCs w:val="24"/>
              </w:rPr>
              <w:t>Lineaarne immutatud dakroonprotees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E14F98" w14:textId="77777777" w:rsidR="00976487" w:rsidRPr="00687DE8" w:rsidRDefault="00976487">
            <w:pPr>
              <w:spacing w:after="0" w:line="240" w:lineRule="auto"/>
              <w:jc w:val="center"/>
              <w:rPr>
                <w:szCs w:val="24"/>
              </w:rPr>
            </w:pPr>
            <w:r w:rsidRPr="00687DE8">
              <w:rPr>
                <w:szCs w:val="24"/>
              </w:rPr>
              <w:t>2814L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C91E24" w14:textId="1101A2D9" w:rsidR="2D12F9BF" w:rsidRPr="00687DE8" w:rsidRDefault="00CE7E8A">
            <w:pPr>
              <w:spacing w:after="0"/>
              <w:jc w:val="center"/>
              <w:rPr>
                <w:color w:val="000000" w:themeColor="text1"/>
                <w:szCs w:val="24"/>
              </w:rPr>
            </w:pPr>
            <w:r>
              <w:rPr>
                <w:color w:val="000000"/>
              </w:rPr>
              <w:t>534,06</w:t>
            </w:r>
          </w:p>
        </w:tc>
      </w:tr>
      <w:tr w:rsidR="00976487" w:rsidRPr="00687DE8" w14:paraId="6D7C285D"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6A0F66" w14:textId="77777777" w:rsidR="00976487" w:rsidRPr="00687DE8" w:rsidRDefault="00976487">
            <w:pPr>
              <w:spacing w:after="0" w:line="240" w:lineRule="auto"/>
              <w:rPr>
                <w:szCs w:val="24"/>
              </w:rPr>
            </w:pPr>
            <w:r w:rsidRPr="00687DE8">
              <w:rPr>
                <w:szCs w:val="24"/>
              </w:rPr>
              <w:t>Lineaarne PTFE-protees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DD7AB2" w14:textId="77777777" w:rsidR="00976487" w:rsidRPr="00687DE8" w:rsidRDefault="00976487">
            <w:pPr>
              <w:spacing w:after="0" w:line="240" w:lineRule="auto"/>
              <w:jc w:val="center"/>
              <w:rPr>
                <w:szCs w:val="24"/>
              </w:rPr>
            </w:pPr>
            <w:r w:rsidRPr="00687DE8">
              <w:rPr>
                <w:szCs w:val="24"/>
              </w:rPr>
              <w:t>2815L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9150DB" w14:textId="06D11B3B" w:rsidR="2D12F9BF" w:rsidRPr="00687DE8" w:rsidRDefault="00CE7E8A">
            <w:pPr>
              <w:spacing w:after="0"/>
              <w:jc w:val="center"/>
              <w:rPr>
                <w:color w:val="000000" w:themeColor="text1"/>
                <w:szCs w:val="24"/>
              </w:rPr>
            </w:pPr>
            <w:r>
              <w:rPr>
                <w:color w:val="000000"/>
              </w:rPr>
              <w:t>1 224,32</w:t>
            </w:r>
          </w:p>
        </w:tc>
      </w:tr>
      <w:tr w:rsidR="00976487" w:rsidRPr="00687DE8" w14:paraId="4013AD6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255778" w14:textId="77777777" w:rsidR="00976487" w:rsidRPr="00687DE8" w:rsidRDefault="00976487">
            <w:pPr>
              <w:spacing w:after="0" w:line="240" w:lineRule="auto"/>
              <w:rPr>
                <w:szCs w:val="24"/>
              </w:rPr>
            </w:pPr>
            <w:r w:rsidRPr="00687DE8">
              <w:rPr>
                <w:szCs w:val="24"/>
              </w:rPr>
              <w:t>Kõhuaordi endovaskulaarne stentprotees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996EC8" w14:textId="77777777" w:rsidR="00976487" w:rsidRPr="00687DE8" w:rsidRDefault="00976487">
            <w:pPr>
              <w:spacing w:after="0" w:line="240" w:lineRule="auto"/>
              <w:jc w:val="center"/>
              <w:rPr>
                <w:szCs w:val="24"/>
              </w:rPr>
            </w:pPr>
            <w:r w:rsidRPr="00687DE8">
              <w:rPr>
                <w:szCs w:val="24"/>
              </w:rPr>
              <w:t>2818L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57E316" w14:textId="1F0E59FD" w:rsidR="2D12F9BF" w:rsidRPr="00687DE8" w:rsidRDefault="00CE7E8A">
            <w:pPr>
              <w:spacing w:after="0"/>
              <w:jc w:val="center"/>
              <w:rPr>
                <w:color w:val="000000" w:themeColor="text1"/>
                <w:szCs w:val="24"/>
              </w:rPr>
            </w:pPr>
            <w:r>
              <w:rPr>
                <w:color w:val="000000"/>
              </w:rPr>
              <w:t>17 710,39</w:t>
            </w:r>
          </w:p>
        </w:tc>
      </w:tr>
      <w:tr w:rsidR="00976487" w:rsidRPr="00687DE8" w14:paraId="260BAFB0"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F1414F" w14:textId="77777777" w:rsidR="00976487" w:rsidRPr="00687DE8" w:rsidRDefault="00976487">
            <w:pPr>
              <w:spacing w:after="0" w:line="240" w:lineRule="auto"/>
              <w:rPr>
                <w:szCs w:val="24"/>
              </w:rPr>
            </w:pPr>
            <w:r w:rsidRPr="00687DE8">
              <w:rPr>
                <w:szCs w:val="24"/>
              </w:rPr>
              <w:t>Torakaalaordi endovaskulaarne stentprotees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634034" w14:textId="77777777" w:rsidR="00976487" w:rsidRPr="00687DE8" w:rsidRDefault="00976487">
            <w:pPr>
              <w:spacing w:after="0" w:line="240" w:lineRule="auto"/>
              <w:jc w:val="center"/>
              <w:rPr>
                <w:szCs w:val="24"/>
              </w:rPr>
            </w:pPr>
            <w:r w:rsidRPr="00687DE8">
              <w:rPr>
                <w:szCs w:val="24"/>
              </w:rPr>
              <w:t>2819L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C9CDAD" w14:textId="049EF131" w:rsidR="2D12F9BF" w:rsidRPr="00687DE8" w:rsidRDefault="00CE7E8A">
            <w:pPr>
              <w:spacing w:after="0"/>
              <w:jc w:val="center"/>
              <w:rPr>
                <w:color w:val="000000" w:themeColor="text1"/>
                <w:szCs w:val="24"/>
              </w:rPr>
            </w:pPr>
            <w:r>
              <w:rPr>
                <w:color w:val="000000"/>
              </w:rPr>
              <w:t>17 924,66</w:t>
            </w:r>
          </w:p>
        </w:tc>
      </w:tr>
      <w:tr w:rsidR="00976487" w:rsidRPr="00687DE8" w14:paraId="53CA1F3A"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5FCB34" w14:textId="77777777" w:rsidR="00976487" w:rsidRPr="00687DE8" w:rsidRDefault="00976487">
            <w:pPr>
              <w:spacing w:after="0" w:line="240" w:lineRule="auto"/>
              <w:rPr>
                <w:szCs w:val="24"/>
              </w:rPr>
            </w:pPr>
            <w:r w:rsidRPr="00687DE8">
              <w:rPr>
                <w:szCs w:val="24"/>
              </w:rPr>
              <w:t>Kõhuaordi endovaskulaarse stentproteesi proksimaalne pikendus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0362AE" w14:textId="1343A03C" w:rsidR="00976487" w:rsidRPr="00687DE8" w:rsidRDefault="00976487" w:rsidP="0078134F">
            <w:pPr>
              <w:spacing w:after="0" w:line="240" w:lineRule="auto"/>
              <w:jc w:val="center"/>
              <w:rPr>
                <w:szCs w:val="24"/>
              </w:rPr>
            </w:pPr>
            <w:r w:rsidRPr="00687DE8">
              <w:rPr>
                <w:szCs w:val="24"/>
              </w:rPr>
              <w:t>2820L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28C597" w14:textId="609793B4" w:rsidR="2D12F9BF" w:rsidRPr="00687DE8" w:rsidRDefault="00CE7E8A">
            <w:pPr>
              <w:spacing w:after="0"/>
              <w:jc w:val="center"/>
              <w:rPr>
                <w:color w:val="000000" w:themeColor="text1"/>
                <w:szCs w:val="24"/>
              </w:rPr>
            </w:pPr>
            <w:r>
              <w:rPr>
                <w:color w:val="000000"/>
              </w:rPr>
              <w:t>2 631,89</w:t>
            </w:r>
          </w:p>
        </w:tc>
      </w:tr>
      <w:tr w:rsidR="00976487" w:rsidRPr="00687DE8" w14:paraId="69343358"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1CE36B" w14:textId="77777777" w:rsidR="00976487" w:rsidRPr="00687DE8" w:rsidRDefault="00976487">
            <w:pPr>
              <w:spacing w:after="0" w:line="240" w:lineRule="auto"/>
              <w:rPr>
                <w:szCs w:val="24"/>
              </w:rPr>
            </w:pPr>
            <w:r w:rsidRPr="00687DE8">
              <w:rPr>
                <w:szCs w:val="24"/>
              </w:rPr>
              <w:t>Kõhuaordi endovaskulaarse stentproteesi distaalne pikendus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4D3033" w14:textId="77777777" w:rsidR="00976487" w:rsidRPr="00687DE8" w:rsidRDefault="00976487">
            <w:pPr>
              <w:spacing w:after="0" w:line="240" w:lineRule="auto"/>
              <w:jc w:val="center"/>
              <w:rPr>
                <w:szCs w:val="24"/>
              </w:rPr>
            </w:pPr>
            <w:r w:rsidRPr="00687DE8">
              <w:rPr>
                <w:szCs w:val="24"/>
              </w:rPr>
              <w:t>2821L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7E12E2" w14:textId="320A555B" w:rsidR="2D12F9BF" w:rsidRPr="00687DE8" w:rsidRDefault="00CE7E8A">
            <w:pPr>
              <w:spacing w:after="0"/>
              <w:jc w:val="center"/>
              <w:rPr>
                <w:color w:val="000000" w:themeColor="text1"/>
                <w:szCs w:val="24"/>
              </w:rPr>
            </w:pPr>
            <w:r>
              <w:rPr>
                <w:color w:val="000000"/>
              </w:rPr>
              <w:t>2 457,04</w:t>
            </w:r>
          </w:p>
        </w:tc>
      </w:tr>
      <w:tr w:rsidR="00976487" w:rsidRPr="00687DE8" w14:paraId="2B3725A8"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A29BE6" w14:textId="77777777" w:rsidR="00976487" w:rsidRPr="00687DE8" w:rsidRDefault="00976487">
            <w:pPr>
              <w:spacing w:after="0" w:line="240" w:lineRule="auto"/>
              <w:rPr>
                <w:szCs w:val="24"/>
              </w:rPr>
            </w:pPr>
            <w:r w:rsidRPr="00687DE8">
              <w:rPr>
                <w:szCs w:val="24"/>
              </w:rPr>
              <w:t xml:space="preserve">Embolprotektsiooniseade </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4393BC" w14:textId="77777777" w:rsidR="00976487" w:rsidRPr="00687DE8" w:rsidRDefault="00976487">
            <w:pPr>
              <w:spacing w:after="0" w:line="240" w:lineRule="auto"/>
              <w:jc w:val="center"/>
              <w:rPr>
                <w:szCs w:val="24"/>
              </w:rPr>
            </w:pPr>
            <w:r w:rsidRPr="00687DE8">
              <w:rPr>
                <w:szCs w:val="24"/>
              </w:rPr>
              <w:t>2822L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2037C0" w14:textId="51794C4A" w:rsidR="2D12F9BF" w:rsidRPr="00687DE8" w:rsidRDefault="00CE7E8A">
            <w:pPr>
              <w:spacing w:after="0"/>
              <w:jc w:val="center"/>
              <w:rPr>
                <w:color w:val="000000" w:themeColor="text1"/>
                <w:szCs w:val="24"/>
              </w:rPr>
            </w:pPr>
            <w:r>
              <w:rPr>
                <w:color w:val="000000"/>
              </w:rPr>
              <w:t>1 008,00</w:t>
            </w:r>
          </w:p>
        </w:tc>
      </w:tr>
      <w:tr w:rsidR="00976487" w:rsidRPr="00687DE8" w14:paraId="740CF61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AC6A4E" w14:textId="77777777" w:rsidR="00976487" w:rsidRPr="00687DE8" w:rsidRDefault="00976487">
            <w:pPr>
              <w:spacing w:after="0" w:line="240" w:lineRule="auto"/>
              <w:rPr>
                <w:szCs w:val="24"/>
              </w:rPr>
            </w:pPr>
            <w:r w:rsidRPr="00687DE8">
              <w:rPr>
                <w:szCs w:val="24"/>
              </w:rPr>
              <w:t>Ravimkaetud perifeerne stent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772F17" w14:textId="77777777" w:rsidR="00976487" w:rsidRPr="00687DE8" w:rsidRDefault="00976487">
            <w:pPr>
              <w:spacing w:after="0" w:line="240" w:lineRule="auto"/>
              <w:jc w:val="center"/>
              <w:rPr>
                <w:szCs w:val="24"/>
              </w:rPr>
            </w:pPr>
            <w:r w:rsidRPr="00687DE8">
              <w:rPr>
                <w:szCs w:val="24"/>
              </w:rPr>
              <w:t>2823L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C78E8C" w14:textId="3570909E" w:rsidR="2D12F9BF" w:rsidRPr="00687DE8" w:rsidRDefault="00CE7E8A">
            <w:pPr>
              <w:spacing w:after="0"/>
              <w:jc w:val="center"/>
              <w:rPr>
                <w:color w:val="000000" w:themeColor="text1"/>
                <w:szCs w:val="24"/>
              </w:rPr>
            </w:pPr>
            <w:r>
              <w:rPr>
                <w:color w:val="000000"/>
              </w:rPr>
              <w:t>1 790,09</w:t>
            </w:r>
          </w:p>
        </w:tc>
      </w:tr>
      <w:tr w:rsidR="00976487" w:rsidRPr="00687DE8" w14:paraId="2D2B3D6A"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4B08DC" w14:textId="77777777" w:rsidR="00976487" w:rsidRPr="00687DE8" w:rsidRDefault="00976487">
            <w:pPr>
              <w:spacing w:after="0" w:line="240" w:lineRule="auto"/>
              <w:rPr>
                <w:szCs w:val="24"/>
              </w:rPr>
            </w:pPr>
            <w:r w:rsidRPr="00687DE8">
              <w:rPr>
                <w:szCs w:val="24"/>
              </w:rPr>
              <w:t>Ravimkaetud perifeerne balloon</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9FB4AA" w14:textId="77777777" w:rsidR="00976487" w:rsidRPr="00687DE8" w:rsidRDefault="00976487">
            <w:pPr>
              <w:spacing w:after="0" w:line="240" w:lineRule="auto"/>
              <w:jc w:val="center"/>
              <w:rPr>
                <w:szCs w:val="24"/>
              </w:rPr>
            </w:pPr>
            <w:r w:rsidRPr="00687DE8">
              <w:rPr>
                <w:szCs w:val="24"/>
              </w:rPr>
              <w:t>2824L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9DFDA0" w14:textId="3A68E028" w:rsidR="2D12F9BF" w:rsidRPr="00687DE8" w:rsidRDefault="00CE7E8A">
            <w:pPr>
              <w:spacing w:after="0"/>
              <w:jc w:val="center"/>
              <w:rPr>
                <w:color w:val="000000" w:themeColor="text1"/>
                <w:szCs w:val="24"/>
              </w:rPr>
            </w:pPr>
            <w:r>
              <w:rPr>
                <w:color w:val="000000"/>
              </w:rPr>
              <w:t>510,00</w:t>
            </w:r>
          </w:p>
        </w:tc>
      </w:tr>
      <w:tr w:rsidR="00976487" w:rsidRPr="00687DE8" w14:paraId="582971A8"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DFE69E" w14:textId="77777777" w:rsidR="00976487" w:rsidRPr="00687DE8" w:rsidRDefault="00976487">
            <w:pPr>
              <w:spacing w:after="0" w:line="240" w:lineRule="auto"/>
              <w:rPr>
                <w:szCs w:val="24"/>
              </w:rPr>
            </w:pPr>
            <w:r w:rsidRPr="00687DE8">
              <w:rPr>
                <w:szCs w:val="24"/>
              </w:rPr>
              <w:t>Perifeerne stentprotees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9F36CF" w14:textId="77777777" w:rsidR="00976487" w:rsidRPr="00687DE8" w:rsidRDefault="00976487">
            <w:pPr>
              <w:spacing w:after="0" w:line="240" w:lineRule="auto"/>
              <w:jc w:val="center"/>
              <w:rPr>
                <w:szCs w:val="24"/>
              </w:rPr>
            </w:pPr>
            <w:r w:rsidRPr="00687DE8">
              <w:rPr>
                <w:szCs w:val="24"/>
              </w:rPr>
              <w:t>2825L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AD8765" w14:textId="646C2171" w:rsidR="2D12F9BF" w:rsidRPr="00687DE8" w:rsidRDefault="00CE7E8A">
            <w:pPr>
              <w:spacing w:after="0"/>
              <w:jc w:val="center"/>
              <w:rPr>
                <w:color w:val="000000" w:themeColor="text1"/>
                <w:szCs w:val="24"/>
              </w:rPr>
            </w:pPr>
            <w:r>
              <w:rPr>
                <w:color w:val="000000"/>
              </w:rPr>
              <w:t>1 470,41</w:t>
            </w:r>
          </w:p>
        </w:tc>
      </w:tr>
      <w:tr w:rsidR="00976487" w:rsidRPr="00687DE8" w14:paraId="3C05334E"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FA1285" w14:textId="77777777" w:rsidR="00976487" w:rsidRPr="00687DE8" w:rsidRDefault="00976487">
            <w:pPr>
              <w:spacing w:after="0" w:line="240" w:lineRule="auto"/>
              <w:rPr>
                <w:szCs w:val="24"/>
              </w:rPr>
            </w:pPr>
            <w:r w:rsidRPr="00687DE8">
              <w:rPr>
                <w:szCs w:val="24"/>
              </w:rPr>
              <w:t>Endarterektoomia või trombektoomia seade</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A56603" w14:textId="77777777" w:rsidR="00976487" w:rsidRPr="00687DE8" w:rsidRDefault="00976487">
            <w:pPr>
              <w:spacing w:after="0" w:line="240" w:lineRule="auto"/>
              <w:jc w:val="center"/>
              <w:rPr>
                <w:szCs w:val="24"/>
              </w:rPr>
            </w:pPr>
            <w:r w:rsidRPr="00687DE8">
              <w:rPr>
                <w:szCs w:val="24"/>
              </w:rPr>
              <w:t>2826L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582F82" w14:textId="234BCDC2" w:rsidR="2D12F9BF" w:rsidRPr="00687DE8" w:rsidRDefault="00CE7E8A">
            <w:pPr>
              <w:spacing w:after="0"/>
              <w:jc w:val="center"/>
              <w:rPr>
                <w:color w:val="000000" w:themeColor="text1"/>
                <w:szCs w:val="24"/>
              </w:rPr>
            </w:pPr>
            <w:r>
              <w:rPr>
                <w:color w:val="000000"/>
              </w:rPr>
              <w:t>2 868,23</w:t>
            </w:r>
          </w:p>
        </w:tc>
      </w:tr>
      <w:tr w:rsidR="00976487" w:rsidRPr="00687DE8" w14:paraId="61FB7715" w14:textId="77777777" w:rsidTr="00EB7A71">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8E1C1E" w14:textId="77777777" w:rsidR="00976487" w:rsidRPr="00687DE8" w:rsidRDefault="00976487">
            <w:pPr>
              <w:spacing w:after="0" w:line="240" w:lineRule="auto"/>
              <w:rPr>
                <w:szCs w:val="24"/>
              </w:rPr>
            </w:pPr>
            <w:r w:rsidRPr="00687DE8">
              <w:rPr>
                <w:szCs w:val="24"/>
              </w:rPr>
              <w:t>Häälemoodustamise trahheo-ösofagiaalne endoprotees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D96A24" w14:textId="173A54CE" w:rsidR="00976487" w:rsidRPr="00687DE8" w:rsidRDefault="00976487">
            <w:pPr>
              <w:spacing w:after="0" w:line="240" w:lineRule="auto"/>
              <w:jc w:val="center"/>
            </w:pPr>
            <w:r>
              <w:t>285</w:t>
            </w:r>
            <w:r w:rsidR="38ED5FEF">
              <w:t>5</w:t>
            </w:r>
            <w:r>
              <w:t>L</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AB5C3B" w14:textId="5169AF69" w:rsidR="2D12F9BF" w:rsidRPr="00687DE8" w:rsidRDefault="00367A90">
            <w:pPr>
              <w:spacing w:after="0"/>
              <w:jc w:val="center"/>
              <w:rPr>
                <w:color w:val="000000" w:themeColor="text1"/>
              </w:rPr>
            </w:pPr>
            <w:r>
              <w:rPr>
                <w:color w:val="000000"/>
              </w:rPr>
              <w:t>292,62</w:t>
            </w:r>
          </w:p>
        </w:tc>
      </w:tr>
      <w:tr w:rsidR="00976487" w:rsidRPr="00687DE8" w14:paraId="1D5517D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144350" w14:textId="77777777" w:rsidR="00976487" w:rsidRPr="00687DE8" w:rsidRDefault="00976487">
            <w:pPr>
              <w:spacing w:after="0" w:line="240" w:lineRule="auto"/>
              <w:rPr>
                <w:szCs w:val="24"/>
              </w:rPr>
            </w:pPr>
            <w:r w:rsidRPr="00687DE8">
              <w:rPr>
                <w:szCs w:val="24"/>
              </w:rPr>
              <w:t>Trahheostoomia kanüüli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671002" w14:textId="6A7CEBD4" w:rsidR="00976487" w:rsidRPr="00687DE8" w:rsidRDefault="00976487">
            <w:pPr>
              <w:spacing w:after="0" w:line="240" w:lineRule="auto"/>
              <w:jc w:val="center"/>
            </w:pPr>
            <w:r>
              <w:t>285</w:t>
            </w:r>
            <w:r w:rsidR="18F96D6A">
              <w:t>6</w:t>
            </w:r>
            <w:r>
              <w:t>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C41F9D" w14:textId="5E7B1E58" w:rsidR="2D12F9BF" w:rsidRPr="00687DE8" w:rsidRDefault="00367A90">
            <w:pPr>
              <w:spacing w:after="0"/>
              <w:jc w:val="center"/>
              <w:rPr>
                <w:color w:val="000000" w:themeColor="text1"/>
              </w:rPr>
            </w:pPr>
            <w:r>
              <w:rPr>
                <w:color w:val="000000"/>
              </w:rPr>
              <w:t>114,62</w:t>
            </w:r>
          </w:p>
        </w:tc>
      </w:tr>
      <w:tr w:rsidR="00976487" w:rsidRPr="00687DE8" w14:paraId="39DDB62D"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819835" w14:textId="306B0239" w:rsidR="00976487" w:rsidRPr="00687DE8" w:rsidRDefault="00976487">
            <w:pPr>
              <w:spacing w:after="0" w:line="240" w:lineRule="auto"/>
            </w:pPr>
            <w:r>
              <w:t>Kõrva kuulmisluukese endoprotees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B90D0F" w14:textId="45C65C95" w:rsidR="00976487" w:rsidRPr="00687DE8" w:rsidRDefault="00976487">
            <w:pPr>
              <w:spacing w:after="0" w:line="240" w:lineRule="auto"/>
              <w:jc w:val="center"/>
            </w:pPr>
            <w:r>
              <w:t>285</w:t>
            </w:r>
            <w:r w:rsidR="1FA7F21A">
              <w:t>7</w:t>
            </w:r>
            <w:r>
              <w:t>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4E4511" w14:textId="46BF0A42" w:rsidR="2D12F9BF" w:rsidRPr="00687DE8" w:rsidRDefault="00367A90">
            <w:pPr>
              <w:spacing w:after="0"/>
              <w:jc w:val="center"/>
              <w:rPr>
                <w:color w:val="000000" w:themeColor="text1"/>
              </w:rPr>
            </w:pPr>
            <w:r>
              <w:rPr>
                <w:color w:val="000000"/>
              </w:rPr>
              <w:t>107,88</w:t>
            </w:r>
          </w:p>
        </w:tc>
      </w:tr>
      <w:tr w:rsidR="00976487" w:rsidRPr="00687DE8" w14:paraId="07A7AA23"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A2B60A" w14:textId="77777777" w:rsidR="00976487" w:rsidRPr="00687DE8" w:rsidRDefault="00976487">
            <w:pPr>
              <w:spacing w:after="0" w:line="240" w:lineRule="auto"/>
              <w:rPr>
                <w:szCs w:val="24"/>
              </w:rPr>
            </w:pPr>
            <w:r w:rsidRPr="00687DE8">
              <w:rPr>
                <w:szCs w:val="24"/>
              </w:rPr>
              <w:t>Alalõualuu rekonstruktsiooni plaat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2E615E" w14:textId="77777777" w:rsidR="00976487" w:rsidRPr="00687DE8" w:rsidRDefault="00976487">
            <w:pPr>
              <w:spacing w:after="0" w:line="240" w:lineRule="auto"/>
              <w:jc w:val="center"/>
              <w:rPr>
                <w:szCs w:val="24"/>
              </w:rPr>
            </w:pPr>
            <w:r w:rsidRPr="00687DE8">
              <w:rPr>
                <w:szCs w:val="24"/>
              </w:rPr>
              <w:t>2854L</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5B89CB" w14:textId="29F96BBB" w:rsidR="2D12F9BF" w:rsidRPr="00687DE8" w:rsidRDefault="004A7A1C">
            <w:pPr>
              <w:spacing w:after="0"/>
              <w:jc w:val="center"/>
              <w:rPr>
                <w:color w:val="000000" w:themeColor="text1"/>
                <w:szCs w:val="24"/>
              </w:rPr>
            </w:pPr>
            <w:r>
              <w:rPr>
                <w:color w:val="000000"/>
              </w:rPr>
              <w:t>710,12</w:t>
            </w:r>
          </w:p>
        </w:tc>
      </w:tr>
      <w:tr w:rsidR="00976487" w:rsidRPr="00687DE8" w14:paraId="0C629580"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36AD26" w14:textId="77777777" w:rsidR="00976487" w:rsidRPr="00687DE8" w:rsidRDefault="00976487">
            <w:pPr>
              <w:spacing w:after="0" w:line="240" w:lineRule="auto"/>
              <w:rPr>
                <w:szCs w:val="24"/>
              </w:rPr>
            </w:pPr>
            <w:r w:rsidRPr="00687DE8">
              <w:rPr>
                <w:i/>
                <w:iCs/>
                <w:szCs w:val="24"/>
              </w:rPr>
              <w:t>Orbita</w:t>
            </w:r>
            <w:r w:rsidRPr="00687DE8">
              <w:rPr>
                <w:szCs w:val="24"/>
              </w:rPr>
              <w:t xml:space="preserve"> hüdroksüapatiit implantaat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9D59A1" w14:textId="77777777" w:rsidR="00976487" w:rsidRPr="00687DE8" w:rsidRDefault="00976487">
            <w:pPr>
              <w:spacing w:after="0" w:line="240" w:lineRule="auto"/>
              <w:jc w:val="center"/>
              <w:rPr>
                <w:szCs w:val="24"/>
              </w:rPr>
            </w:pPr>
            <w:r w:rsidRPr="00687DE8">
              <w:rPr>
                <w:szCs w:val="24"/>
              </w:rPr>
              <w:t>2870L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BBB08F" w14:textId="60A6B208" w:rsidR="2D12F9BF" w:rsidRPr="00687DE8" w:rsidRDefault="004A7A1C">
            <w:pPr>
              <w:spacing w:after="0"/>
              <w:jc w:val="center"/>
              <w:rPr>
                <w:color w:val="000000" w:themeColor="text1"/>
                <w:szCs w:val="24"/>
              </w:rPr>
            </w:pPr>
            <w:r>
              <w:rPr>
                <w:color w:val="000000"/>
              </w:rPr>
              <w:t>319,17</w:t>
            </w:r>
          </w:p>
        </w:tc>
      </w:tr>
      <w:tr w:rsidR="00976487" w:rsidRPr="00687DE8" w14:paraId="5FC695A7"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0E0D04" w14:textId="77777777" w:rsidR="00976487" w:rsidRPr="00687DE8" w:rsidRDefault="00976487">
            <w:pPr>
              <w:spacing w:after="0" w:line="240" w:lineRule="auto"/>
              <w:rPr>
                <w:szCs w:val="24"/>
              </w:rPr>
            </w:pPr>
            <w:r w:rsidRPr="00687DE8">
              <w:rPr>
                <w:szCs w:val="24"/>
              </w:rPr>
              <w:t>Sarvkesta 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163129" w14:textId="77777777" w:rsidR="00976487" w:rsidRPr="00687DE8" w:rsidRDefault="00976487">
            <w:pPr>
              <w:spacing w:after="0" w:line="240" w:lineRule="auto"/>
              <w:jc w:val="center"/>
              <w:rPr>
                <w:szCs w:val="24"/>
              </w:rPr>
            </w:pPr>
            <w:r w:rsidRPr="00687DE8">
              <w:rPr>
                <w:szCs w:val="24"/>
              </w:rPr>
              <w:t>2871L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AEB444" w14:textId="7608D995" w:rsidR="2D12F9BF" w:rsidRPr="00687DE8" w:rsidRDefault="004A7A1C">
            <w:pPr>
              <w:spacing w:after="0"/>
              <w:jc w:val="center"/>
              <w:rPr>
                <w:color w:val="000000" w:themeColor="text1"/>
                <w:szCs w:val="24"/>
              </w:rPr>
            </w:pPr>
            <w:r>
              <w:rPr>
                <w:color w:val="000000"/>
              </w:rPr>
              <w:t>337,07</w:t>
            </w:r>
          </w:p>
        </w:tc>
      </w:tr>
      <w:tr w:rsidR="00976487" w:rsidRPr="00687DE8" w14:paraId="06CEB605"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680E65" w14:textId="77777777" w:rsidR="00976487" w:rsidRPr="00687DE8" w:rsidRDefault="00976487">
            <w:pPr>
              <w:spacing w:after="0" w:line="240" w:lineRule="auto"/>
              <w:rPr>
                <w:szCs w:val="24"/>
              </w:rPr>
            </w:pPr>
            <w:r w:rsidRPr="00687DE8">
              <w:rPr>
                <w:szCs w:val="24"/>
              </w:rPr>
              <w:t>Iiris-lääts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FD13A8" w14:textId="77777777" w:rsidR="00976487" w:rsidRPr="00687DE8" w:rsidRDefault="00976487">
            <w:pPr>
              <w:spacing w:after="0" w:line="240" w:lineRule="auto"/>
              <w:jc w:val="center"/>
              <w:rPr>
                <w:szCs w:val="24"/>
              </w:rPr>
            </w:pPr>
            <w:r w:rsidRPr="00687DE8">
              <w:rPr>
                <w:szCs w:val="24"/>
              </w:rPr>
              <w:t>2872L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8B6615" w14:textId="4C9032EC" w:rsidR="2D12F9BF" w:rsidRPr="00687DE8" w:rsidRDefault="004A7A1C">
            <w:pPr>
              <w:spacing w:after="0"/>
              <w:jc w:val="center"/>
              <w:rPr>
                <w:color w:val="000000" w:themeColor="text1"/>
                <w:szCs w:val="24"/>
              </w:rPr>
            </w:pPr>
            <w:r>
              <w:rPr>
                <w:color w:val="000000"/>
              </w:rPr>
              <w:t>473,65</w:t>
            </w:r>
          </w:p>
        </w:tc>
      </w:tr>
      <w:tr w:rsidR="00976487" w:rsidRPr="00687DE8" w14:paraId="5C7799D8"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298B4C" w14:textId="77777777" w:rsidR="00976487" w:rsidRPr="00687DE8" w:rsidRDefault="00976487">
            <w:pPr>
              <w:spacing w:after="0" w:line="240" w:lineRule="auto"/>
              <w:rPr>
                <w:szCs w:val="24"/>
              </w:rPr>
            </w:pPr>
            <w:r w:rsidRPr="00687DE8">
              <w:rPr>
                <w:szCs w:val="24"/>
              </w:rPr>
              <w:t>Iirise retraktorite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D1C644" w14:textId="77777777" w:rsidR="00976487" w:rsidRPr="00687DE8" w:rsidRDefault="00976487">
            <w:pPr>
              <w:spacing w:after="0" w:line="240" w:lineRule="auto"/>
              <w:jc w:val="center"/>
              <w:rPr>
                <w:szCs w:val="24"/>
              </w:rPr>
            </w:pPr>
            <w:r w:rsidRPr="00687DE8">
              <w:rPr>
                <w:szCs w:val="24"/>
              </w:rPr>
              <w:t>2873L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B05913" w14:textId="52FE6312" w:rsidR="2D12F9BF" w:rsidRPr="00687DE8" w:rsidRDefault="004A7A1C">
            <w:pPr>
              <w:spacing w:after="0"/>
              <w:jc w:val="center"/>
              <w:rPr>
                <w:color w:val="000000" w:themeColor="text1"/>
                <w:szCs w:val="24"/>
              </w:rPr>
            </w:pPr>
            <w:r>
              <w:rPr>
                <w:color w:val="000000"/>
              </w:rPr>
              <w:t>66,00</w:t>
            </w:r>
          </w:p>
        </w:tc>
      </w:tr>
      <w:tr w:rsidR="00976487" w:rsidRPr="00687DE8" w14:paraId="63CEF373" w14:textId="77777777" w:rsidTr="00EB7A71">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55CC68" w14:textId="77777777" w:rsidR="00976487" w:rsidRPr="00687DE8" w:rsidRDefault="00976487">
            <w:pPr>
              <w:spacing w:after="0" w:line="240" w:lineRule="auto"/>
              <w:rPr>
                <w:szCs w:val="24"/>
              </w:rPr>
            </w:pPr>
            <w:r w:rsidRPr="00687DE8">
              <w:rPr>
                <w:szCs w:val="24"/>
              </w:rPr>
              <w:t>Kapsliring</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8FA2EC" w14:textId="77777777" w:rsidR="00976487" w:rsidRPr="00687DE8" w:rsidRDefault="00976487">
            <w:pPr>
              <w:spacing w:after="0" w:line="240" w:lineRule="auto"/>
              <w:jc w:val="center"/>
              <w:rPr>
                <w:szCs w:val="24"/>
              </w:rPr>
            </w:pPr>
            <w:r w:rsidRPr="00687DE8">
              <w:rPr>
                <w:szCs w:val="24"/>
              </w:rPr>
              <w:t>2874L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FA73B5" w14:textId="042B937E" w:rsidR="2D12F9BF" w:rsidRPr="00687DE8" w:rsidRDefault="004A7A1C">
            <w:pPr>
              <w:spacing w:after="0"/>
              <w:jc w:val="center"/>
              <w:rPr>
                <w:color w:val="000000" w:themeColor="text1"/>
                <w:szCs w:val="24"/>
              </w:rPr>
            </w:pPr>
            <w:r>
              <w:rPr>
                <w:color w:val="000000"/>
              </w:rPr>
              <w:t>54,50</w:t>
            </w:r>
          </w:p>
        </w:tc>
      </w:tr>
      <w:tr w:rsidR="00976487" w:rsidRPr="00687DE8" w14:paraId="24E5D0A0"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5E708D" w14:textId="77777777" w:rsidR="00976487" w:rsidRPr="00687DE8" w:rsidRDefault="00976487">
            <w:pPr>
              <w:spacing w:after="0" w:line="240" w:lineRule="auto"/>
              <w:rPr>
                <w:szCs w:val="24"/>
              </w:rPr>
            </w:pPr>
            <w:r w:rsidRPr="00687DE8">
              <w:rPr>
                <w:szCs w:val="24"/>
              </w:rPr>
              <w:t>Kollageenimplantaat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1088AB" w14:textId="77777777" w:rsidR="00976487" w:rsidRPr="00687DE8" w:rsidRDefault="00976487">
            <w:pPr>
              <w:spacing w:after="0" w:line="240" w:lineRule="auto"/>
              <w:jc w:val="center"/>
              <w:rPr>
                <w:szCs w:val="24"/>
              </w:rPr>
            </w:pPr>
            <w:r w:rsidRPr="00687DE8">
              <w:rPr>
                <w:szCs w:val="24"/>
              </w:rPr>
              <w:t>2875L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A3D4CC" w14:textId="16C5F61C" w:rsidR="2D12F9BF" w:rsidRPr="00687DE8" w:rsidRDefault="004A7A1C">
            <w:pPr>
              <w:spacing w:after="0"/>
              <w:jc w:val="center"/>
              <w:rPr>
                <w:color w:val="000000" w:themeColor="text1"/>
                <w:szCs w:val="24"/>
              </w:rPr>
            </w:pPr>
            <w:r>
              <w:rPr>
                <w:color w:val="000000"/>
              </w:rPr>
              <w:t>195,60</w:t>
            </w:r>
          </w:p>
        </w:tc>
      </w:tr>
      <w:tr w:rsidR="00976487" w:rsidRPr="00687DE8" w14:paraId="548C35E9"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8145D8" w14:textId="77777777" w:rsidR="00976487" w:rsidRPr="00687DE8" w:rsidRDefault="00976487">
            <w:pPr>
              <w:spacing w:after="0" w:line="240" w:lineRule="auto"/>
              <w:rPr>
                <w:szCs w:val="24"/>
              </w:rPr>
            </w:pPr>
            <w:r w:rsidRPr="00687DE8">
              <w:rPr>
                <w:szCs w:val="24"/>
              </w:rPr>
              <w:lastRenderedPageBreak/>
              <w:t>Silma vesivedelikku dreneeriv seade</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614064" w14:textId="77777777" w:rsidR="00976487" w:rsidRPr="00687DE8" w:rsidRDefault="00976487">
            <w:pPr>
              <w:spacing w:after="0" w:line="240" w:lineRule="auto"/>
              <w:jc w:val="center"/>
              <w:rPr>
                <w:szCs w:val="24"/>
              </w:rPr>
            </w:pPr>
            <w:r w:rsidRPr="00687DE8">
              <w:rPr>
                <w:szCs w:val="24"/>
              </w:rPr>
              <w:t>2876L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3E3852" w14:textId="437F3F87" w:rsidR="2D12F9BF" w:rsidRPr="00687DE8" w:rsidRDefault="004A7A1C">
            <w:pPr>
              <w:spacing w:after="0"/>
              <w:jc w:val="center"/>
              <w:rPr>
                <w:color w:val="000000" w:themeColor="text1"/>
                <w:szCs w:val="24"/>
              </w:rPr>
            </w:pPr>
            <w:r>
              <w:rPr>
                <w:color w:val="000000"/>
              </w:rPr>
              <w:t>522,11</w:t>
            </w:r>
          </w:p>
        </w:tc>
      </w:tr>
      <w:tr w:rsidR="00976487" w:rsidRPr="00687DE8" w14:paraId="09490E95"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FD1A04" w14:textId="77777777" w:rsidR="00976487" w:rsidRPr="00687DE8" w:rsidRDefault="00976487">
            <w:pPr>
              <w:spacing w:after="0" w:line="240" w:lineRule="auto"/>
              <w:rPr>
                <w:szCs w:val="24"/>
              </w:rPr>
            </w:pPr>
            <w:r w:rsidRPr="00687DE8">
              <w:rPr>
                <w:szCs w:val="24"/>
              </w:rPr>
              <w:t>Perkutaanse nefrostoomi või gastrostoomi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DBD44A" w14:textId="77777777" w:rsidR="00976487" w:rsidRPr="00687DE8" w:rsidRDefault="00976487">
            <w:pPr>
              <w:spacing w:after="0" w:line="240" w:lineRule="auto"/>
              <w:jc w:val="center"/>
              <w:rPr>
                <w:szCs w:val="24"/>
              </w:rPr>
            </w:pPr>
            <w:r w:rsidRPr="00687DE8">
              <w:rPr>
                <w:szCs w:val="24"/>
              </w:rPr>
              <w:t>2906L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566259" w14:textId="03B4F018" w:rsidR="2D12F9BF" w:rsidRPr="00687DE8" w:rsidRDefault="004A7A1C">
            <w:pPr>
              <w:spacing w:after="0"/>
              <w:jc w:val="center"/>
              <w:rPr>
                <w:color w:val="000000" w:themeColor="text1"/>
                <w:szCs w:val="24"/>
              </w:rPr>
            </w:pPr>
            <w:r>
              <w:rPr>
                <w:color w:val="000000"/>
              </w:rPr>
              <w:t>103,73</w:t>
            </w:r>
          </w:p>
        </w:tc>
      </w:tr>
      <w:tr w:rsidR="00976487" w:rsidRPr="00687DE8" w14:paraId="2929F982"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C13009" w14:textId="77777777" w:rsidR="00976487" w:rsidRPr="00687DE8" w:rsidRDefault="00976487">
            <w:pPr>
              <w:spacing w:after="0" w:line="240" w:lineRule="auto"/>
              <w:rPr>
                <w:szCs w:val="24"/>
              </w:rPr>
            </w:pPr>
            <w:r w:rsidRPr="00687DE8">
              <w:rPr>
                <w:szCs w:val="24"/>
              </w:rPr>
              <w:t>Kusepõiesfinkteri 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5CB52A" w14:textId="77777777" w:rsidR="00976487" w:rsidRPr="00687DE8" w:rsidRDefault="00976487">
            <w:pPr>
              <w:spacing w:after="0" w:line="240" w:lineRule="auto"/>
              <w:jc w:val="center"/>
              <w:rPr>
                <w:szCs w:val="24"/>
              </w:rPr>
            </w:pPr>
            <w:r w:rsidRPr="00687DE8">
              <w:rPr>
                <w:szCs w:val="24"/>
              </w:rPr>
              <w:t>2909L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45520F" w14:textId="4F6B7839" w:rsidR="2D12F9BF" w:rsidRPr="00687DE8" w:rsidRDefault="004A7A1C">
            <w:pPr>
              <w:spacing w:after="0"/>
              <w:jc w:val="center"/>
              <w:rPr>
                <w:color w:val="000000" w:themeColor="text1"/>
                <w:szCs w:val="24"/>
              </w:rPr>
            </w:pPr>
            <w:r>
              <w:rPr>
                <w:color w:val="000000"/>
              </w:rPr>
              <w:t>6 005,90</w:t>
            </w:r>
          </w:p>
        </w:tc>
      </w:tr>
      <w:tr w:rsidR="00976487" w:rsidRPr="00687DE8" w14:paraId="04133B9D" w14:textId="77777777" w:rsidTr="00E606DB">
        <w:trPr>
          <w:divId w:val="1316184749"/>
          <w:trHeight w:val="26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55CC2A" w14:textId="77777777" w:rsidR="00976487" w:rsidRPr="00687DE8" w:rsidRDefault="00976487">
            <w:pPr>
              <w:spacing w:after="0" w:line="240" w:lineRule="auto"/>
              <w:rPr>
                <w:szCs w:val="24"/>
              </w:rPr>
            </w:pPr>
            <w:bookmarkStart w:id="29" w:name="_Hlk55572716"/>
            <w:r w:rsidRPr="00687DE8">
              <w:rPr>
                <w:szCs w:val="24"/>
              </w:rPr>
              <w:t xml:space="preserve">Nefroskoopilise operatsiooni (PCN) erivahendite komplekt </w:t>
            </w:r>
            <w:bookmarkEnd w:id="29"/>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863C3A" w14:textId="77777777" w:rsidR="00976487" w:rsidRPr="00687DE8" w:rsidRDefault="00976487">
            <w:pPr>
              <w:spacing w:after="0" w:line="240" w:lineRule="auto"/>
              <w:jc w:val="center"/>
              <w:rPr>
                <w:szCs w:val="24"/>
              </w:rPr>
            </w:pPr>
            <w:r w:rsidRPr="00687DE8">
              <w:rPr>
                <w:szCs w:val="24"/>
              </w:rPr>
              <w:t>2911L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442804B" w14:textId="68F002B0" w:rsidR="2D12F9BF" w:rsidRPr="00687DE8" w:rsidRDefault="004A7A1C">
            <w:pPr>
              <w:spacing w:after="0"/>
              <w:jc w:val="center"/>
              <w:rPr>
                <w:color w:val="000000" w:themeColor="text1"/>
                <w:szCs w:val="24"/>
              </w:rPr>
            </w:pPr>
            <w:r>
              <w:rPr>
                <w:color w:val="000000"/>
              </w:rPr>
              <w:t>459,17</w:t>
            </w:r>
          </w:p>
        </w:tc>
      </w:tr>
      <w:tr w:rsidR="00976487" w:rsidRPr="00687DE8" w14:paraId="6391A963"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E2ABE8" w14:textId="77777777" w:rsidR="00976487" w:rsidRPr="00687DE8" w:rsidRDefault="00976487">
            <w:pPr>
              <w:spacing w:after="0" w:line="240" w:lineRule="auto"/>
              <w:rPr>
                <w:szCs w:val="24"/>
              </w:rPr>
            </w:pPr>
            <w:r w:rsidRPr="00687DE8">
              <w:rPr>
                <w:szCs w:val="24"/>
              </w:rPr>
              <w:t>Kusepõiesfinkteri proteesi lisamuhv</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E9D420" w14:textId="77777777" w:rsidR="00976487" w:rsidRPr="00687DE8" w:rsidRDefault="00976487">
            <w:pPr>
              <w:spacing w:after="0" w:line="240" w:lineRule="auto"/>
              <w:jc w:val="center"/>
              <w:rPr>
                <w:szCs w:val="24"/>
              </w:rPr>
            </w:pPr>
            <w:r w:rsidRPr="00687DE8">
              <w:rPr>
                <w:szCs w:val="24"/>
              </w:rPr>
              <w:t>2912L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7E4E28" w14:textId="5AA40DED" w:rsidR="2D12F9BF" w:rsidRPr="00687DE8" w:rsidRDefault="004A7A1C">
            <w:pPr>
              <w:spacing w:after="0"/>
              <w:jc w:val="center"/>
              <w:rPr>
                <w:color w:val="000000" w:themeColor="text1"/>
                <w:szCs w:val="24"/>
              </w:rPr>
            </w:pPr>
            <w:r>
              <w:rPr>
                <w:color w:val="000000"/>
              </w:rPr>
              <w:t>1 191,37</w:t>
            </w:r>
          </w:p>
        </w:tc>
      </w:tr>
      <w:tr w:rsidR="009D25BB" w:rsidRPr="00687DE8" w14:paraId="3E19A581"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1C273C" w14:textId="77777777" w:rsidR="009D25BB" w:rsidRPr="00687DE8" w:rsidRDefault="009D25BB">
            <w:pPr>
              <w:spacing w:after="0" w:line="240" w:lineRule="auto"/>
              <w:rPr>
                <w:szCs w:val="24"/>
              </w:rPr>
            </w:pPr>
            <w:r w:rsidRPr="00687DE8">
              <w:rPr>
                <w:szCs w:val="24"/>
              </w:rPr>
              <w:t>Kondroitiinsulfaat lokaalseks kusepõiesiseseks raviks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1A14B1" w14:textId="77777777" w:rsidR="009D25BB" w:rsidRPr="00687DE8" w:rsidRDefault="00C104EA">
            <w:pPr>
              <w:spacing w:after="0" w:line="240" w:lineRule="auto"/>
              <w:jc w:val="center"/>
              <w:rPr>
                <w:szCs w:val="24"/>
              </w:rPr>
            </w:pPr>
            <w:r w:rsidRPr="00687DE8">
              <w:rPr>
                <w:szCs w:val="24"/>
              </w:rPr>
              <w:t>2913L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9F80C5F" w14:textId="62B71DD4" w:rsidR="2D12F9BF" w:rsidRPr="00687DE8" w:rsidRDefault="004A7A1C">
            <w:pPr>
              <w:spacing w:after="0"/>
              <w:jc w:val="center"/>
              <w:rPr>
                <w:color w:val="000000" w:themeColor="text1"/>
                <w:szCs w:val="24"/>
              </w:rPr>
            </w:pPr>
            <w:r>
              <w:rPr>
                <w:color w:val="000000"/>
              </w:rPr>
              <w:t>94,80</w:t>
            </w:r>
          </w:p>
        </w:tc>
      </w:tr>
      <w:tr w:rsidR="00F91C11" w:rsidRPr="00687DE8" w14:paraId="6AB99F63"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EF21A6" w14:textId="10AF4BA6" w:rsidR="00F91C11" w:rsidRPr="00687DE8" w:rsidRDefault="001E4957">
            <w:pPr>
              <w:spacing w:after="0" w:line="240" w:lineRule="auto"/>
              <w:rPr>
                <w:szCs w:val="24"/>
              </w:rPr>
            </w:pPr>
            <w:r w:rsidRPr="00687DE8">
              <w:rPr>
                <w:szCs w:val="24"/>
              </w:rPr>
              <w:t>P</w:t>
            </w:r>
            <w:r w:rsidR="00BC19C4" w:rsidRPr="00687DE8">
              <w:rPr>
                <w:szCs w:val="24"/>
              </w:rPr>
              <w:t>olüakrüülamiid hüdrogeel</w:t>
            </w:r>
            <w:r w:rsidRPr="00687DE8">
              <w:rPr>
                <w:szCs w:val="24"/>
              </w:rPr>
              <w:t xml:space="preserve"> </w:t>
            </w:r>
            <w:r w:rsidR="00065584" w:rsidRPr="00687DE8">
              <w:rPr>
                <w:szCs w:val="24"/>
              </w:rPr>
              <w:t>(2</w:t>
            </w:r>
            <w:r w:rsidR="00385C3D" w:rsidRPr="00687DE8">
              <w:rPr>
                <w:szCs w:val="24"/>
              </w:rPr>
              <w:t xml:space="preserve"> </w:t>
            </w:r>
            <w:r w:rsidR="00065584" w:rsidRPr="00687DE8">
              <w:rPr>
                <w:szCs w:val="24"/>
              </w:rPr>
              <w:t>m</w:t>
            </w:r>
            <w:r w:rsidR="004A1456" w:rsidRPr="00687DE8">
              <w:rPr>
                <w:szCs w:val="24"/>
              </w:rPr>
              <w:t>l</w:t>
            </w:r>
            <w:r w:rsidR="00065584" w:rsidRPr="00687DE8">
              <w:rPr>
                <w:szCs w:val="24"/>
              </w:rPr>
              <w:t>)</w:t>
            </w:r>
            <w:r w:rsidRPr="00687DE8">
              <w:rPr>
                <w:szCs w:val="24"/>
              </w:rPr>
              <w:t xml:space="preserve"> </w:t>
            </w:r>
            <w:r w:rsidR="00010439" w:rsidRPr="00687DE8">
              <w:rPr>
                <w:szCs w:val="24"/>
              </w:rPr>
              <w:t xml:space="preserve">kroonilise </w:t>
            </w:r>
            <w:r w:rsidRPr="00687DE8">
              <w:rPr>
                <w:szCs w:val="24"/>
              </w:rPr>
              <w:t>stress</w:t>
            </w:r>
            <w:r w:rsidR="0085796B">
              <w:rPr>
                <w:szCs w:val="24"/>
              </w:rPr>
              <w:t xml:space="preserve">- või segatüüpi </w:t>
            </w:r>
            <w:r w:rsidRPr="00687DE8">
              <w:rPr>
                <w:szCs w:val="24"/>
              </w:rPr>
              <w:t>inkontinentsi raviks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800F6E" w14:textId="77777777" w:rsidR="0078134F" w:rsidRDefault="0078134F">
            <w:pPr>
              <w:spacing w:after="0" w:line="240" w:lineRule="auto"/>
              <w:jc w:val="center"/>
              <w:rPr>
                <w:szCs w:val="24"/>
              </w:rPr>
            </w:pPr>
          </w:p>
          <w:p w14:paraId="08EACAB4" w14:textId="3AF4FC4E" w:rsidR="00F91C11" w:rsidRPr="00687DE8" w:rsidRDefault="00BC19C4">
            <w:pPr>
              <w:spacing w:after="0" w:line="240" w:lineRule="auto"/>
              <w:jc w:val="center"/>
              <w:rPr>
                <w:szCs w:val="24"/>
              </w:rPr>
            </w:pPr>
            <w:r w:rsidRPr="00687DE8">
              <w:rPr>
                <w:szCs w:val="24"/>
              </w:rPr>
              <w:t>2914L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C0E695A" w14:textId="26003AF7" w:rsidR="2D12F9BF" w:rsidRPr="00687DE8" w:rsidRDefault="004A7A1C">
            <w:pPr>
              <w:spacing w:after="0"/>
              <w:jc w:val="center"/>
              <w:rPr>
                <w:color w:val="000000" w:themeColor="text1"/>
                <w:szCs w:val="24"/>
              </w:rPr>
            </w:pPr>
            <w:r>
              <w:rPr>
                <w:color w:val="000000"/>
              </w:rPr>
              <w:t>943,20</w:t>
            </w:r>
          </w:p>
        </w:tc>
      </w:tr>
      <w:tr w:rsidR="00976487" w:rsidRPr="00687DE8" w14:paraId="5DEDE32C"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247C3E" w14:textId="77777777" w:rsidR="00976487" w:rsidRPr="00687DE8" w:rsidRDefault="00976487">
            <w:pPr>
              <w:spacing w:after="0" w:line="240" w:lineRule="auto"/>
              <w:rPr>
                <w:szCs w:val="24"/>
              </w:rPr>
            </w:pPr>
            <w:r w:rsidRPr="00687DE8">
              <w:rPr>
                <w:szCs w:val="24"/>
              </w:rPr>
              <w:t>Emakasisene rasestumisvastane vahend</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BF4A37" w14:textId="77777777" w:rsidR="00976487" w:rsidRPr="00687DE8" w:rsidRDefault="00976487">
            <w:pPr>
              <w:spacing w:after="0" w:line="240" w:lineRule="auto"/>
              <w:jc w:val="center"/>
              <w:rPr>
                <w:szCs w:val="24"/>
              </w:rPr>
            </w:pPr>
            <w:r w:rsidRPr="00687DE8">
              <w:rPr>
                <w:szCs w:val="24"/>
              </w:rPr>
              <w:t>2930L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0A4D4F" w14:textId="71E2CD40" w:rsidR="2D12F9BF" w:rsidRPr="00687DE8" w:rsidRDefault="004A7A1C">
            <w:pPr>
              <w:spacing w:after="0"/>
              <w:jc w:val="center"/>
              <w:rPr>
                <w:color w:val="000000" w:themeColor="text1"/>
                <w:szCs w:val="24"/>
              </w:rPr>
            </w:pPr>
            <w:r>
              <w:rPr>
                <w:color w:val="000000"/>
              </w:rPr>
              <w:t>24,61</w:t>
            </w:r>
          </w:p>
        </w:tc>
      </w:tr>
      <w:tr w:rsidR="00976487" w:rsidRPr="00687DE8" w14:paraId="27A316FB"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30EB60" w14:textId="77777777" w:rsidR="00976487" w:rsidRPr="00687DE8" w:rsidRDefault="00976487">
            <w:pPr>
              <w:spacing w:after="0" w:line="240" w:lineRule="auto"/>
              <w:rPr>
                <w:szCs w:val="24"/>
              </w:rPr>
            </w:pPr>
            <w:r w:rsidRPr="00687DE8">
              <w:rPr>
                <w:szCs w:val="24"/>
              </w:rPr>
              <w:t>Kõrgsagedusliku kopsude kunstliku ventilatsiooni korral kasutatav hingamiskontuur</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C273EE" w14:textId="77777777" w:rsidR="00976487" w:rsidRPr="00687DE8" w:rsidRDefault="00976487">
            <w:pPr>
              <w:spacing w:after="0" w:line="240" w:lineRule="auto"/>
              <w:jc w:val="center"/>
              <w:rPr>
                <w:szCs w:val="24"/>
              </w:rPr>
            </w:pPr>
          </w:p>
          <w:p w14:paraId="6BE631D2" w14:textId="77777777" w:rsidR="00976487" w:rsidRPr="00687DE8" w:rsidRDefault="00976487">
            <w:pPr>
              <w:spacing w:after="0" w:line="240" w:lineRule="auto"/>
              <w:jc w:val="center"/>
              <w:rPr>
                <w:szCs w:val="24"/>
              </w:rPr>
            </w:pPr>
            <w:r w:rsidRPr="00687DE8">
              <w:rPr>
                <w:szCs w:val="24"/>
              </w:rPr>
              <w:t>2950L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3EF4C02" w14:textId="24E900F2" w:rsidR="2D12F9BF" w:rsidRPr="00687DE8" w:rsidRDefault="004A7A1C">
            <w:pPr>
              <w:spacing w:after="0"/>
              <w:jc w:val="center"/>
              <w:rPr>
                <w:color w:val="000000" w:themeColor="text1"/>
                <w:szCs w:val="24"/>
              </w:rPr>
            </w:pPr>
            <w:r>
              <w:rPr>
                <w:color w:val="000000"/>
              </w:rPr>
              <w:t>572,02</w:t>
            </w:r>
          </w:p>
        </w:tc>
      </w:tr>
      <w:tr w:rsidR="00976487" w:rsidRPr="00687DE8" w14:paraId="669E59A2"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B56DC1" w14:textId="77777777" w:rsidR="00976487" w:rsidRPr="00687DE8" w:rsidRDefault="00976487">
            <w:pPr>
              <w:spacing w:after="0" w:line="240" w:lineRule="auto"/>
              <w:rPr>
                <w:szCs w:val="24"/>
              </w:rPr>
            </w:pPr>
            <w:r w:rsidRPr="00687DE8">
              <w:rPr>
                <w:szCs w:val="24"/>
              </w:rPr>
              <w:t>Ekstrakorporaal</w:t>
            </w:r>
            <w:r w:rsidR="00571582" w:rsidRPr="00687DE8">
              <w:rPr>
                <w:szCs w:val="24"/>
              </w:rPr>
              <w:t>s</w:t>
            </w:r>
            <w:r w:rsidRPr="00687DE8">
              <w:rPr>
                <w:szCs w:val="24"/>
              </w:rPr>
              <w:t>e membraanoksügenatsiooni (ECMO) aparaa</w:t>
            </w:r>
            <w:r w:rsidR="00445888" w:rsidRPr="00687DE8">
              <w:rPr>
                <w:szCs w:val="24"/>
              </w:rPr>
              <w:t>di pa</w:t>
            </w:r>
            <w:r w:rsidR="0040795D" w:rsidRPr="00687DE8">
              <w:rPr>
                <w:szCs w:val="24"/>
              </w:rPr>
              <w:t>i</w:t>
            </w:r>
            <w:r w:rsidR="00445888" w:rsidRPr="00687DE8">
              <w:rPr>
                <w:szCs w:val="24"/>
              </w:rPr>
              <w:t>galdamise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406565" w14:textId="77777777" w:rsidR="00B62C13" w:rsidRPr="00687DE8" w:rsidRDefault="00B62C13">
            <w:pPr>
              <w:spacing w:after="0" w:line="240" w:lineRule="auto"/>
              <w:jc w:val="center"/>
              <w:rPr>
                <w:szCs w:val="24"/>
              </w:rPr>
            </w:pPr>
          </w:p>
          <w:p w14:paraId="667EBD30" w14:textId="77777777" w:rsidR="00976487" w:rsidRPr="00687DE8" w:rsidRDefault="00976487">
            <w:pPr>
              <w:spacing w:after="0" w:line="240" w:lineRule="auto"/>
              <w:jc w:val="center"/>
              <w:rPr>
                <w:szCs w:val="24"/>
              </w:rPr>
            </w:pPr>
            <w:r w:rsidRPr="00687DE8">
              <w:rPr>
                <w:szCs w:val="24"/>
              </w:rPr>
              <w:t>2961L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41B264" w14:textId="19D5FE96" w:rsidR="2D12F9BF" w:rsidRPr="00687DE8" w:rsidRDefault="004A7A1C">
            <w:pPr>
              <w:spacing w:after="0"/>
              <w:jc w:val="center"/>
              <w:rPr>
                <w:color w:val="000000" w:themeColor="text1"/>
                <w:szCs w:val="24"/>
              </w:rPr>
            </w:pPr>
            <w:r>
              <w:rPr>
                <w:color w:val="000000"/>
              </w:rPr>
              <w:t>3 263,72</w:t>
            </w:r>
          </w:p>
        </w:tc>
      </w:tr>
      <w:tr w:rsidR="00AE0916" w:rsidRPr="00687DE8" w14:paraId="62B20259"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E186EC" w14:textId="77777777" w:rsidR="00AE0916" w:rsidRPr="00687DE8" w:rsidRDefault="00445888">
            <w:pPr>
              <w:spacing w:after="0" w:line="240" w:lineRule="auto"/>
              <w:rPr>
                <w:szCs w:val="24"/>
              </w:rPr>
            </w:pPr>
            <w:r w:rsidRPr="00687DE8">
              <w:rPr>
                <w:szCs w:val="24"/>
              </w:rPr>
              <w:t>Ekstrakorporaal</w:t>
            </w:r>
            <w:r w:rsidR="00571582" w:rsidRPr="00687DE8">
              <w:rPr>
                <w:szCs w:val="24"/>
              </w:rPr>
              <w:t>s</w:t>
            </w:r>
            <w:r w:rsidRPr="00687DE8">
              <w:rPr>
                <w:szCs w:val="24"/>
              </w:rPr>
              <w:t>e membraanoksügenatsiooni (ECMO) aparaadi vahetamise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01FB3A" w14:textId="77777777" w:rsidR="00B62C13" w:rsidRPr="00687DE8" w:rsidRDefault="00B62C13">
            <w:pPr>
              <w:spacing w:after="0" w:line="240" w:lineRule="auto"/>
              <w:jc w:val="center"/>
              <w:rPr>
                <w:szCs w:val="24"/>
              </w:rPr>
            </w:pPr>
          </w:p>
          <w:p w14:paraId="0D0FC4B4" w14:textId="77777777" w:rsidR="00AE0916" w:rsidRPr="00687DE8" w:rsidRDefault="00C43F06">
            <w:pPr>
              <w:spacing w:after="0" w:line="240" w:lineRule="auto"/>
              <w:jc w:val="center"/>
              <w:rPr>
                <w:szCs w:val="24"/>
              </w:rPr>
            </w:pPr>
            <w:r w:rsidRPr="00687DE8">
              <w:rPr>
                <w:szCs w:val="24"/>
              </w:rPr>
              <w:t>2959L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9FBCB5B" w14:textId="41947C96" w:rsidR="594EE089" w:rsidRPr="00687DE8" w:rsidRDefault="004A7A1C">
            <w:pPr>
              <w:spacing w:after="0"/>
              <w:jc w:val="center"/>
              <w:rPr>
                <w:color w:val="000000" w:themeColor="text1"/>
                <w:szCs w:val="24"/>
              </w:rPr>
            </w:pPr>
            <w:r>
              <w:rPr>
                <w:color w:val="000000"/>
              </w:rPr>
              <w:t>2 425,26</w:t>
            </w:r>
          </w:p>
        </w:tc>
      </w:tr>
      <w:tr w:rsidR="00976487" w:rsidRPr="00687DE8" w14:paraId="5D9477E7"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10FA0E" w14:textId="77777777" w:rsidR="00976487" w:rsidRPr="00687DE8" w:rsidRDefault="00976487">
            <w:pPr>
              <w:spacing w:after="0" w:line="240" w:lineRule="auto"/>
              <w:rPr>
                <w:szCs w:val="24"/>
              </w:rPr>
            </w:pPr>
            <w:r w:rsidRPr="00687DE8">
              <w:rPr>
                <w:szCs w:val="24"/>
              </w:rPr>
              <w:t>Vereloome tüvirakkude ja terapeutiliste rakkude käitlemise vahendite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55D03D" w14:textId="77777777" w:rsidR="00976487" w:rsidRPr="00687DE8" w:rsidRDefault="00976487">
            <w:pPr>
              <w:spacing w:after="0" w:line="240" w:lineRule="auto"/>
              <w:jc w:val="center"/>
              <w:rPr>
                <w:szCs w:val="24"/>
              </w:rPr>
            </w:pPr>
          </w:p>
          <w:p w14:paraId="3722963E" w14:textId="77777777" w:rsidR="00976487" w:rsidRPr="00687DE8" w:rsidRDefault="00976487">
            <w:pPr>
              <w:spacing w:after="0" w:line="240" w:lineRule="auto"/>
              <w:jc w:val="center"/>
              <w:rPr>
                <w:szCs w:val="24"/>
              </w:rPr>
            </w:pPr>
            <w:r w:rsidRPr="00687DE8">
              <w:rPr>
                <w:szCs w:val="24"/>
              </w:rPr>
              <w:t>2962L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F739A7A" w14:textId="787C53E4" w:rsidR="594EE089" w:rsidRPr="00687DE8" w:rsidRDefault="004A7A1C">
            <w:pPr>
              <w:spacing w:after="0"/>
              <w:jc w:val="center"/>
              <w:rPr>
                <w:color w:val="000000" w:themeColor="text1"/>
                <w:szCs w:val="24"/>
              </w:rPr>
            </w:pPr>
            <w:r>
              <w:rPr>
                <w:color w:val="000000"/>
              </w:rPr>
              <w:t>122,66</w:t>
            </w:r>
          </w:p>
        </w:tc>
      </w:tr>
      <w:tr w:rsidR="00976487" w:rsidRPr="00687DE8" w14:paraId="50ECC15A"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C8C770" w14:textId="77777777" w:rsidR="00976487" w:rsidRPr="00687DE8" w:rsidRDefault="00976487">
            <w:pPr>
              <w:spacing w:after="0" w:line="240" w:lineRule="auto"/>
              <w:rPr>
                <w:szCs w:val="24"/>
              </w:rPr>
            </w:pPr>
            <w:r w:rsidRPr="00687DE8">
              <w:rPr>
                <w:szCs w:val="24"/>
              </w:rPr>
              <w:t>Hemostaatiline ravimkäsn</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97EA74" w14:textId="77777777" w:rsidR="00976487" w:rsidRPr="00687DE8" w:rsidRDefault="00976487">
            <w:pPr>
              <w:spacing w:after="0" w:line="240" w:lineRule="auto"/>
              <w:jc w:val="center"/>
              <w:rPr>
                <w:szCs w:val="24"/>
              </w:rPr>
            </w:pPr>
            <w:r w:rsidRPr="00687DE8">
              <w:rPr>
                <w:szCs w:val="24"/>
              </w:rPr>
              <w:t>2963L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92273A" w14:textId="54AB4405" w:rsidR="594EE089" w:rsidRPr="00687DE8" w:rsidRDefault="004A7A1C">
            <w:pPr>
              <w:spacing w:after="0"/>
              <w:jc w:val="center"/>
              <w:rPr>
                <w:color w:val="000000" w:themeColor="text1"/>
                <w:szCs w:val="24"/>
              </w:rPr>
            </w:pPr>
            <w:r>
              <w:rPr>
                <w:color w:val="000000"/>
              </w:rPr>
              <w:t>249,23</w:t>
            </w:r>
          </w:p>
        </w:tc>
      </w:tr>
      <w:tr w:rsidR="00976487" w:rsidRPr="00687DE8" w14:paraId="18772419"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C27EED" w14:textId="77777777" w:rsidR="00976487" w:rsidRPr="00687DE8" w:rsidRDefault="00976487">
            <w:pPr>
              <w:spacing w:after="0" w:line="240" w:lineRule="auto"/>
              <w:rPr>
                <w:szCs w:val="24"/>
              </w:rPr>
            </w:pPr>
            <w:r w:rsidRPr="00687DE8">
              <w:rPr>
                <w:szCs w:val="24"/>
              </w:rPr>
              <w:t>Transobturatoorne retroluminaalne ling</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8C0CC9" w14:textId="77777777" w:rsidR="00976487" w:rsidRPr="00687DE8" w:rsidRDefault="00976487">
            <w:pPr>
              <w:spacing w:after="0" w:line="240" w:lineRule="auto"/>
              <w:jc w:val="center"/>
              <w:rPr>
                <w:szCs w:val="24"/>
              </w:rPr>
            </w:pPr>
            <w:r w:rsidRPr="00687DE8">
              <w:rPr>
                <w:szCs w:val="24"/>
              </w:rPr>
              <w:t>2964L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4B6F20" w14:textId="495D46C3" w:rsidR="594EE089" w:rsidRPr="00687DE8" w:rsidRDefault="004A7A1C">
            <w:pPr>
              <w:spacing w:after="0"/>
              <w:jc w:val="center"/>
              <w:rPr>
                <w:color w:val="000000" w:themeColor="text1"/>
                <w:szCs w:val="24"/>
              </w:rPr>
            </w:pPr>
            <w:r>
              <w:rPr>
                <w:color w:val="000000"/>
              </w:rPr>
              <w:t>2 239,79</w:t>
            </w:r>
          </w:p>
        </w:tc>
      </w:tr>
      <w:tr w:rsidR="00976487" w:rsidRPr="00687DE8" w14:paraId="3B599B08"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B0A0A2" w14:textId="77777777" w:rsidR="00976487" w:rsidRPr="00687DE8" w:rsidRDefault="00976487">
            <w:pPr>
              <w:spacing w:after="0" w:line="240" w:lineRule="auto"/>
              <w:rPr>
                <w:szCs w:val="24"/>
              </w:rPr>
            </w:pPr>
            <w:r w:rsidRPr="00687DE8">
              <w:rPr>
                <w:szCs w:val="24"/>
              </w:rPr>
              <w:t>Vaginaalne proleenling</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0F409D" w14:textId="77777777" w:rsidR="00976487" w:rsidRPr="00687DE8" w:rsidRDefault="00976487">
            <w:pPr>
              <w:spacing w:after="0" w:line="240" w:lineRule="auto"/>
              <w:jc w:val="center"/>
              <w:rPr>
                <w:szCs w:val="24"/>
              </w:rPr>
            </w:pPr>
            <w:r w:rsidRPr="00687DE8">
              <w:rPr>
                <w:szCs w:val="24"/>
              </w:rPr>
              <w:t>2965L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FC64BF" w14:textId="1A70839B" w:rsidR="594EE089" w:rsidRPr="00687DE8" w:rsidRDefault="004A7A1C">
            <w:pPr>
              <w:spacing w:after="0"/>
              <w:jc w:val="center"/>
              <w:rPr>
                <w:color w:val="000000" w:themeColor="text1"/>
                <w:szCs w:val="24"/>
              </w:rPr>
            </w:pPr>
            <w:r>
              <w:rPr>
                <w:color w:val="000000"/>
              </w:rPr>
              <w:t>372,71</w:t>
            </w:r>
          </w:p>
        </w:tc>
      </w:tr>
      <w:tr w:rsidR="00976487" w:rsidRPr="00687DE8" w14:paraId="5164209D"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9D56B9" w14:textId="77777777" w:rsidR="00976487" w:rsidRPr="00687DE8" w:rsidRDefault="00976487">
            <w:pPr>
              <w:spacing w:after="0" w:line="240" w:lineRule="auto"/>
              <w:rPr>
                <w:szCs w:val="24"/>
              </w:rPr>
            </w:pPr>
            <w:r w:rsidRPr="00687DE8">
              <w:rPr>
                <w:szCs w:val="24"/>
              </w:rPr>
              <w:t>Diafragma elektrilise aktiivsuse registreerimise nasogastraalsond</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283D4C" w14:textId="77777777" w:rsidR="0078134F" w:rsidRDefault="0078134F">
            <w:pPr>
              <w:spacing w:after="0" w:line="240" w:lineRule="auto"/>
              <w:jc w:val="center"/>
              <w:rPr>
                <w:szCs w:val="24"/>
              </w:rPr>
            </w:pPr>
          </w:p>
          <w:p w14:paraId="6A14E8B9" w14:textId="71151089" w:rsidR="00976487" w:rsidRPr="00687DE8" w:rsidRDefault="00976487">
            <w:pPr>
              <w:spacing w:after="0" w:line="240" w:lineRule="auto"/>
              <w:jc w:val="center"/>
              <w:rPr>
                <w:szCs w:val="24"/>
              </w:rPr>
            </w:pPr>
            <w:r w:rsidRPr="00687DE8">
              <w:rPr>
                <w:szCs w:val="24"/>
              </w:rPr>
              <w:t>2966L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00E56" w14:textId="69757FD6" w:rsidR="594EE089" w:rsidRPr="00687DE8" w:rsidRDefault="004A7A1C">
            <w:pPr>
              <w:spacing w:after="0"/>
              <w:jc w:val="center"/>
              <w:rPr>
                <w:color w:val="000000" w:themeColor="text1"/>
                <w:szCs w:val="24"/>
              </w:rPr>
            </w:pPr>
            <w:r>
              <w:rPr>
                <w:color w:val="000000"/>
              </w:rPr>
              <w:t>179,76</w:t>
            </w:r>
          </w:p>
        </w:tc>
      </w:tr>
      <w:tr w:rsidR="00976487" w:rsidRPr="00687DE8" w14:paraId="52F4A622"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441ACE" w14:textId="77777777" w:rsidR="00976487" w:rsidRPr="00687DE8" w:rsidRDefault="00976487">
            <w:pPr>
              <w:spacing w:after="0" w:line="240" w:lineRule="auto"/>
              <w:rPr>
                <w:szCs w:val="24"/>
              </w:rPr>
            </w:pPr>
            <w:r w:rsidRPr="00687DE8">
              <w:rPr>
                <w:szCs w:val="24"/>
              </w:rPr>
              <w:t>Y-kujuline hõbedaga immutatud dakroonprotees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C4F64E" w14:textId="77777777" w:rsidR="00976487" w:rsidRPr="00687DE8" w:rsidRDefault="00976487">
            <w:pPr>
              <w:spacing w:after="0" w:line="240" w:lineRule="auto"/>
              <w:jc w:val="center"/>
              <w:rPr>
                <w:szCs w:val="24"/>
              </w:rPr>
            </w:pPr>
            <w:r w:rsidRPr="00687DE8">
              <w:rPr>
                <w:szCs w:val="24"/>
              </w:rPr>
              <w:t>2967L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4A8557" w14:textId="5BB62D3A" w:rsidR="594EE089" w:rsidRPr="00687DE8" w:rsidRDefault="004A7A1C">
            <w:pPr>
              <w:spacing w:after="0"/>
              <w:jc w:val="center"/>
              <w:rPr>
                <w:color w:val="000000" w:themeColor="text1"/>
                <w:szCs w:val="24"/>
              </w:rPr>
            </w:pPr>
            <w:r>
              <w:rPr>
                <w:color w:val="000000"/>
              </w:rPr>
              <w:t>1 088,25</w:t>
            </w:r>
          </w:p>
        </w:tc>
      </w:tr>
      <w:tr w:rsidR="00976487" w:rsidRPr="00687DE8" w14:paraId="5BF9172C"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963B40" w14:textId="77777777" w:rsidR="00976487" w:rsidRPr="00687DE8" w:rsidRDefault="00976487">
            <w:pPr>
              <w:spacing w:after="0" w:line="240" w:lineRule="auto"/>
              <w:rPr>
                <w:szCs w:val="24"/>
              </w:rPr>
            </w:pPr>
            <w:r w:rsidRPr="00687DE8">
              <w:rPr>
                <w:szCs w:val="24"/>
              </w:rPr>
              <w:t>Lineaarne hõbedaga immutatud dakroonprotees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6BB202" w14:textId="77777777" w:rsidR="00976487" w:rsidRPr="00687DE8" w:rsidRDefault="00976487">
            <w:pPr>
              <w:spacing w:after="0" w:line="240" w:lineRule="auto"/>
              <w:jc w:val="center"/>
              <w:rPr>
                <w:szCs w:val="24"/>
              </w:rPr>
            </w:pPr>
            <w:r w:rsidRPr="00687DE8">
              <w:rPr>
                <w:szCs w:val="24"/>
              </w:rPr>
              <w:t>2968L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3BFBB5" w14:textId="76F1E6E7" w:rsidR="594EE089" w:rsidRPr="00687DE8" w:rsidRDefault="004A7A1C">
            <w:pPr>
              <w:spacing w:after="0"/>
              <w:jc w:val="center"/>
              <w:rPr>
                <w:color w:val="000000" w:themeColor="text1"/>
                <w:szCs w:val="24"/>
              </w:rPr>
            </w:pPr>
            <w:r>
              <w:rPr>
                <w:color w:val="000000"/>
              </w:rPr>
              <w:t>877,79</w:t>
            </w:r>
          </w:p>
        </w:tc>
      </w:tr>
      <w:tr w:rsidR="00976487" w:rsidRPr="00687DE8" w14:paraId="0187FB81"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FAE758" w14:textId="77777777" w:rsidR="00976487" w:rsidRPr="00687DE8" w:rsidRDefault="00976487">
            <w:pPr>
              <w:spacing w:after="0" w:line="240" w:lineRule="auto"/>
              <w:rPr>
                <w:szCs w:val="24"/>
              </w:rPr>
            </w:pPr>
            <w:r w:rsidRPr="00687DE8">
              <w:rPr>
                <w:szCs w:val="24"/>
              </w:rPr>
              <w:t>Perifeerse veresoone iselaienev või balloonlaiendatav stent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8A1E8C" w14:textId="77777777" w:rsidR="00976487" w:rsidRPr="00687DE8" w:rsidRDefault="00976487">
            <w:pPr>
              <w:spacing w:after="0" w:line="240" w:lineRule="auto"/>
              <w:jc w:val="center"/>
              <w:rPr>
                <w:szCs w:val="24"/>
              </w:rPr>
            </w:pPr>
            <w:r w:rsidRPr="00687DE8">
              <w:rPr>
                <w:szCs w:val="24"/>
              </w:rPr>
              <w:t>2973L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70C63B" w14:textId="39342E25" w:rsidR="594EE089" w:rsidRPr="00687DE8" w:rsidRDefault="004A7A1C">
            <w:pPr>
              <w:spacing w:after="0"/>
              <w:jc w:val="center"/>
              <w:rPr>
                <w:color w:val="000000" w:themeColor="text1"/>
                <w:szCs w:val="24"/>
              </w:rPr>
            </w:pPr>
            <w:r>
              <w:rPr>
                <w:color w:val="000000"/>
              </w:rPr>
              <w:t>348,50</w:t>
            </w:r>
          </w:p>
        </w:tc>
      </w:tr>
      <w:tr w:rsidR="00976487" w:rsidRPr="00687DE8" w14:paraId="207DAAD4"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C83C95" w14:textId="77777777" w:rsidR="00976487" w:rsidRPr="00687DE8" w:rsidRDefault="00976487">
            <w:pPr>
              <w:spacing w:after="0" w:line="240" w:lineRule="auto"/>
              <w:rPr>
                <w:szCs w:val="24"/>
              </w:rPr>
            </w:pPr>
            <w:r w:rsidRPr="00687DE8">
              <w:rPr>
                <w:szCs w:val="24"/>
              </w:rPr>
              <w:t>Perifeerse veresoone madala profiiliga iselaienev või balloonlaiendatav stent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C90D3B" w14:textId="77777777" w:rsidR="00976487" w:rsidRPr="00687DE8" w:rsidRDefault="00976487">
            <w:pPr>
              <w:spacing w:after="0" w:line="240" w:lineRule="auto"/>
              <w:jc w:val="center"/>
              <w:rPr>
                <w:szCs w:val="24"/>
              </w:rPr>
            </w:pPr>
          </w:p>
          <w:p w14:paraId="000D3AFF" w14:textId="77777777" w:rsidR="00976487" w:rsidRPr="00687DE8" w:rsidRDefault="00976487">
            <w:pPr>
              <w:spacing w:after="0" w:line="240" w:lineRule="auto"/>
              <w:jc w:val="center"/>
              <w:rPr>
                <w:szCs w:val="24"/>
              </w:rPr>
            </w:pPr>
            <w:r w:rsidRPr="00687DE8">
              <w:rPr>
                <w:szCs w:val="24"/>
              </w:rPr>
              <w:t>2974L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4D6AE3D" w14:textId="21DB0F98" w:rsidR="594EE089" w:rsidRPr="00687DE8" w:rsidRDefault="004A7A1C">
            <w:pPr>
              <w:spacing w:after="0"/>
              <w:jc w:val="center"/>
              <w:rPr>
                <w:color w:val="000000" w:themeColor="text1"/>
                <w:szCs w:val="24"/>
              </w:rPr>
            </w:pPr>
            <w:r>
              <w:rPr>
                <w:color w:val="000000"/>
              </w:rPr>
              <w:t>745,51</w:t>
            </w:r>
          </w:p>
        </w:tc>
      </w:tr>
      <w:tr w:rsidR="00976487" w:rsidRPr="00687DE8" w14:paraId="0F36261B"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0F5CAE" w14:textId="77777777" w:rsidR="00976487" w:rsidRPr="00687DE8" w:rsidRDefault="00976487">
            <w:pPr>
              <w:spacing w:after="0" w:line="240" w:lineRule="auto"/>
              <w:rPr>
                <w:szCs w:val="24"/>
              </w:rPr>
            </w:pPr>
            <w:r w:rsidRPr="00687DE8">
              <w:rPr>
                <w:szCs w:val="24"/>
              </w:rPr>
              <w:t>Endoskoobipealse klipsi ankur või haarats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63426C" w14:textId="77777777" w:rsidR="00976487" w:rsidRPr="00687DE8" w:rsidRDefault="00976487">
            <w:pPr>
              <w:spacing w:after="0" w:line="240" w:lineRule="auto"/>
              <w:jc w:val="center"/>
              <w:rPr>
                <w:szCs w:val="24"/>
              </w:rPr>
            </w:pPr>
            <w:r w:rsidRPr="00687DE8">
              <w:rPr>
                <w:szCs w:val="24"/>
              </w:rPr>
              <w:t>2975L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2B8F8C" w14:textId="6BF1FF00" w:rsidR="594EE089" w:rsidRPr="00687DE8" w:rsidRDefault="004A7A1C">
            <w:pPr>
              <w:spacing w:after="0"/>
              <w:jc w:val="center"/>
              <w:rPr>
                <w:color w:val="000000" w:themeColor="text1"/>
                <w:szCs w:val="24"/>
              </w:rPr>
            </w:pPr>
            <w:r>
              <w:rPr>
                <w:color w:val="000000"/>
              </w:rPr>
              <w:t>556,00</w:t>
            </w:r>
          </w:p>
        </w:tc>
      </w:tr>
      <w:tr w:rsidR="00976487" w:rsidRPr="00687DE8" w14:paraId="53279BDE" w14:textId="77777777" w:rsidTr="00EB7A71">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60839F" w14:textId="77777777" w:rsidR="00976487" w:rsidRPr="00687DE8" w:rsidRDefault="00976487">
            <w:pPr>
              <w:spacing w:after="0" w:line="240" w:lineRule="auto"/>
              <w:rPr>
                <w:szCs w:val="24"/>
              </w:rPr>
            </w:pPr>
            <w:r w:rsidRPr="00687DE8">
              <w:rPr>
                <w:szCs w:val="24"/>
              </w:rPr>
              <w:t>Endoskoobipealne klips seedetrakti verejooksu sulgemiseks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A62BE0" w14:textId="77777777" w:rsidR="00976487" w:rsidRPr="00687DE8" w:rsidRDefault="00976487">
            <w:pPr>
              <w:spacing w:after="0" w:line="240" w:lineRule="auto"/>
              <w:jc w:val="center"/>
              <w:rPr>
                <w:szCs w:val="24"/>
              </w:rPr>
            </w:pPr>
            <w:r w:rsidRPr="00687DE8">
              <w:rPr>
                <w:szCs w:val="24"/>
              </w:rPr>
              <w:t>2976L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8934DE" w14:textId="3DD09976" w:rsidR="594EE089" w:rsidRPr="00687DE8" w:rsidRDefault="004A7A1C">
            <w:pPr>
              <w:spacing w:after="0"/>
              <w:jc w:val="center"/>
              <w:rPr>
                <w:color w:val="000000" w:themeColor="text1"/>
                <w:szCs w:val="24"/>
              </w:rPr>
            </w:pPr>
            <w:r>
              <w:rPr>
                <w:color w:val="000000"/>
              </w:rPr>
              <w:t>384,00</w:t>
            </w:r>
          </w:p>
        </w:tc>
      </w:tr>
      <w:tr w:rsidR="00976487" w:rsidRPr="00687DE8" w14:paraId="3A5B7885"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937FC5" w14:textId="77777777" w:rsidR="00976487" w:rsidRPr="00687DE8" w:rsidRDefault="00976487">
            <w:pPr>
              <w:spacing w:after="0" w:line="240" w:lineRule="auto"/>
              <w:rPr>
                <w:szCs w:val="24"/>
              </w:rPr>
            </w:pPr>
            <w:r w:rsidRPr="00687DE8">
              <w:rPr>
                <w:szCs w:val="24"/>
              </w:rPr>
              <w:lastRenderedPageBreak/>
              <w:t>Endoskoobipealne klips söögitoru perforatsiooni sulgemiseks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998688" w14:textId="77777777" w:rsidR="00976487" w:rsidRPr="00687DE8" w:rsidRDefault="00976487">
            <w:pPr>
              <w:spacing w:after="0" w:line="240" w:lineRule="auto"/>
              <w:jc w:val="center"/>
              <w:rPr>
                <w:szCs w:val="24"/>
              </w:rPr>
            </w:pPr>
            <w:r w:rsidRPr="00687DE8">
              <w:rPr>
                <w:szCs w:val="24"/>
              </w:rPr>
              <w:t>2977L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51176D" w14:textId="069C2474" w:rsidR="594EE089" w:rsidRPr="00687DE8" w:rsidRDefault="004A7A1C">
            <w:pPr>
              <w:spacing w:after="0"/>
              <w:jc w:val="center"/>
              <w:rPr>
                <w:color w:val="000000" w:themeColor="text1"/>
                <w:szCs w:val="24"/>
              </w:rPr>
            </w:pPr>
            <w:r>
              <w:rPr>
                <w:color w:val="000000"/>
              </w:rPr>
              <w:t>522,00</w:t>
            </w:r>
          </w:p>
        </w:tc>
      </w:tr>
      <w:tr w:rsidR="00976487" w:rsidRPr="00687DE8" w14:paraId="135D22FE" w14:textId="77777777" w:rsidTr="00EB7A71">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2B59C9" w14:textId="77777777" w:rsidR="00976487" w:rsidRPr="00687DE8" w:rsidRDefault="00976487">
            <w:pPr>
              <w:spacing w:after="0" w:line="240" w:lineRule="auto"/>
              <w:rPr>
                <w:szCs w:val="24"/>
              </w:rPr>
            </w:pPr>
            <w:r w:rsidRPr="00687DE8">
              <w:rPr>
                <w:szCs w:val="24"/>
              </w:rPr>
              <w:t>Endoskoobipealne klips alumise seedetrakti perforatsiooni sulgemiseks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205B32" w14:textId="77777777" w:rsidR="00976487" w:rsidRPr="00687DE8" w:rsidRDefault="00976487">
            <w:pPr>
              <w:spacing w:after="0" w:line="240" w:lineRule="auto"/>
              <w:jc w:val="center"/>
              <w:rPr>
                <w:szCs w:val="24"/>
              </w:rPr>
            </w:pPr>
          </w:p>
          <w:p w14:paraId="58576B93" w14:textId="77777777" w:rsidR="00976487" w:rsidRPr="00687DE8" w:rsidRDefault="00976487">
            <w:pPr>
              <w:spacing w:after="0" w:line="240" w:lineRule="auto"/>
              <w:jc w:val="center"/>
              <w:rPr>
                <w:szCs w:val="24"/>
              </w:rPr>
            </w:pPr>
            <w:r w:rsidRPr="00687DE8">
              <w:rPr>
                <w:szCs w:val="24"/>
              </w:rPr>
              <w:t>2978L</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73846C" w14:textId="2F2F2ECA" w:rsidR="594EE089" w:rsidRPr="00687DE8" w:rsidRDefault="003F7FC4">
            <w:pPr>
              <w:spacing w:after="0"/>
              <w:jc w:val="center"/>
              <w:rPr>
                <w:color w:val="000000" w:themeColor="text1"/>
                <w:szCs w:val="24"/>
              </w:rPr>
            </w:pPr>
            <w:r>
              <w:rPr>
                <w:color w:val="000000"/>
              </w:rPr>
              <w:t>576,00</w:t>
            </w:r>
          </w:p>
        </w:tc>
      </w:tr>
      <w:tr w:rsidR="00976487" w:rsidRPr="00687DE8" w14:paraId="2B71011C"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141F05" w14:textId="77777777" w:rsidR="00976487" w:rsidRPr="00687DE8" w:rsidRDefault="00976487">
            <w:pPr>
              <w:spacing w:after="0" w:line="240" w:lineRule="auto"/>
              <w:rPr>
                <w:szCs w:val="24"/>
              </w:rPr>
            </w:pPr>
            <w:r w:rsidRPr="00687DE8">
              <w:rPr>
                <w:szCs w:val="24"/>
              </w:rPr>
              <w:t>Endoskoobipealne klips mao või duodeenumi kroonilise lesiooni/fistuli sulgemiseks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9F6FE39" w14:textId="77777777" w:rsidR="00976487" w:rsidRPr="00687DE8" w:rsidRDefault="00976487">
            <w:pPr>
              <w:spacing w:after="0" w:line="240" w:lineRule="auto"/>
              <w:jc w:val="center"/>
              <w:rPr>
                <w:szCs w:val="24"/>
              </w:rPr>
            </w:pPr>
          </w:p>
          <w:p w14:paraId="7383B0D6" w14:textId="77777777" w:rsidR="00976487" w:rsidRPr="00687DE8" w:rsidRDefault="00976487">
            <w:pPr>
              <w:spacing w:after="0" w:line="240" w:lineRule="auto"/>
              <w:jc w:val="center"/>
              <w:rPr>
                <w:szCs w:val="24"/>
              </w:rPr>
            </w:pPr>
            <w:r w:rsidRPr="00687DE8">
              <w:rPr>
                <w:szCs w:val="24"/>
              </w:rPr>
              <w:t>2979L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172A880" w14:textId="4022BB26" w:rsidR="594EE089" w:rsidRPr="00687DE8" w:rsidRDefault="003F7FC4">
            <w:pPr>
              <w:spacing w:after="0"/>
              <w:jc w:val="center"/>
              <w:rPr>
                <w:color w:val="000000" w:themeColor="text1"/>
                <w:szCs w:val="24"/>
              </w:rPr>
            </w:pPr>
            <w:r>
              <w:rPr>
                <w:color w:val="000000"/>
              </w:rPr>
              <w:t>540,00</w:t>
            </w:r>
          </w:p>
        </w:tc>
      </w:tr>
      <w:tr w:rsidR="006F3B32" w:rsidRPr="00687DE8" w14:paraId="594FA23E"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445DC6" w14:textId="77777777" w:rsidR="006F3B32" w:rsidRPr="00687DE8" w:rsidRDefault="006F3B32" w:rsidP="006F3B32">
            <w:pPr>
              <w:spacing w:after="0" w:line="240" w:lineRule="auto"/>
              <w:rPr>
                <w:szCs w:val="24"/>
              </w:rPr>
            </w:pPr>
            <w:r w:rsidRPr="00687DE8">
              <w:rPr>
                <w:szCs w:val="24"/>
              </w:rPr>
              <w:t>Endoskoobipealse klipsi süsteem</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CE3D29" w14:textId="77777777" w:rsidR="006F3B32" w:rsidRPr="00687DE8" w:rsidRDefault="00042D30" w:rsidP="006F3B32">
            <w:pPr>
              <w:spacing w:after="0" w:line="240" w:lineRule="auto"/>
              <w:jc w:val="center"/>
              <w:rPr>
                <w:szCs w:val="24"/>
              </w:rPr>
            </w:pPr>
            <w:r w:rsidRPr="00687DE8">
              <w:rPr>
                <w:szCs w:val="24"/>
              </w:rPr>
              <w:t>2989L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6086DA6" w14:textId="0F726A63" w:rsidR="594EE089" w:rsidRPr="00687DE8" w:rsidRDefault="003F7FC4">
            <w:pPr>
              <w:spacing w:after="0"/>
              <w:jc w:val="center"/>
              <w:rPr>
                <w:color w:val="000000" w:themeColor="text1"/>
                <w:szCs w:val="24"/>
              </w:rPr>
            </w:pPr>
            <w:r>
              <w:rPr>
                <w:color w:val="000000"/>
              </w:rPr>
              <w:t>959,00</w:t>
            </w:r>
          </w:p>
        </w:tc>
      </w:tr>
      <w:tr w:rsidR="00976487" w:rsidRPr="00687DE8" w14:paraId="5A45652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100DCC" w14:textId="77777777" w:rsidR="00976487" w:rsidRPr="00687DE8" w:rsidRDefault="00976487">
            <w:pPr>
              <w:spacing w:after="0" w:line="240" w:lineRule="auto"/>
              <w:rPr>
                <w:szCs w:val="24"/>
              </w:rPr>
            </w:pPr>
            <w:r w:rsidRPr="00687DE8">
              <w:rPr>
                <w:szCs w:val="24"/>
              </w:rPr>
              <w:t>Intrabronhiaalne klapp (EBV/IBV)</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EE2CD2" w14:textId="77777777" w:rsidR="00976487" w:rsidRPr="00687DE8" w:rsidRDefault="00976487">
            <w:pPr>
              <w:spacing w:after="0" w:line="240" w:lineRule="auto"/>
              <w:jc w:val="center"/>
              <w:rPr>
                <w:szCs w:val="24"/>
              </w:rPr>
            </w:pPr>
            <w:r w:rsidRPr="00687DE8">
              <w:rPr>
                <w:szCs w:val="24"/>
              </w:rPr>
              <w:t>2970L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AF55DD" w14:textId="336819AE" w:rsidR="594EE089" w:rsidRPr="00687DE8" w:rsidRDefault="003F7FC4">
            <w:pPr>
              <w:spacing w:after="0"/>
              <w:jc w:val="center"/>
              <w:rPr>
                <w:color w:val="000000" w:themeColor="text1"/>
                <w:szCs w:val="24"/>
              </w:rPr>
            </w:pPr>
            <w:r>
              <w:rPr>
                <w:color w:val="000000"/>
              </w:rPr>
              <w:t>1 589,74</w:t>
            </w:r>
          </w:p>
        </w:tc>
      </w:tr>
      <w:tr w:rsidR="00976487" w:rsidRPr="00687DE8" w14:paraId="0FDBE433"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47B1A3" w14:textId="77777777" w:rsidR="00976487" w:rsidRPr="00687DE8" w:rsidRDefault="00976487">
            <w:pPr>
              <w:spacing w:after="0" w:line="240" w:lineRule="auto"/>
              <w:rPr>
                <w:szCs w:val="24"/>
              </w:rPr>
            </w:pPr>
            <w:r w:rsidRPr="00687DE8">
              <w:rPr>
                <w:szCs w:val="24"/>
              </w:rPr>
              <w:t>Intrabronhiaalse klapi laadimisseade</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7693D4" w14:textId="77777777" w:rsidR="00976487" w:rsidRPr="00687DE8" w:rsidRDefault="00976487">
            <w:pPr>
              <w:spacing w:after="0" w:line="240" w:lineRule="auto"/>
              <w:jc w:val="center"/>
              <w:rPr>
                <w:szCs w:val="24"/>
              </w:rPr>
            </w:pPr>
            <w:r w:rsidRPr="00687DE8">
              <w:rPr>
                <w:szCs w:val="24"/>
              </w:rPr>
              <w:t>2971L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575DE3" w14:textId="3BADE727" w:rsidR="594EE089" w:rsidRPr="00687DE8" w:rsidRDefault="003F7FC4">
            <w:pPr>
              <w:spacing w:after="0"/>
              <w:jc w:val="center"/>
              <w:rPr>
                <w:color w:val="000000" w:themeColor="text1"/>
                <w:szCs w:val="24"/>
              </w:rPr>
            </w:pPr>
            <w:r>
              <w:rPr>
                <w:color w:val="000000"/>
              </w:rPr>
              <w:t>770,40</w:t>
            </w:r>
          </w:p>
        </w:tc>
      </w:tr>
      <w:tr w:rsidR="00976487" w:rsidRPr="00687DE8" w14:paraId="11BAB428"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CE1F45" w14:textId="77777777" w:rsidR="00976487" w:rsidRPr="00687DE8" w:rsidRDefault="00976487">
            <w:pPr>
              <w:spacing w:after="0" w:line="240" w:lineRule="auto"/>
              <w:rPr>
                <w:szCs w:val="24"/>
              </w:rPr>
            </w:pPr>
            <w:r w:rsidRPr="00687DE8">
              <w:rPr>
                <w:szCs w:val="24"/>
              </w:rPr>
              <w:t xml:space="preserve">Bronhide mõõtekomplekt ja mõõteballoon </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924A05" w14:textId="77777777" w:rsidR="00976487" w:rsidRPr="00687DE8" w:rsidRDefault="00976487">
            <w:pPr>
              <w:spacing w:after="0" w:line="240" w:lineRule="auto"/>
              <w:jc w:val="center"/>
              <w:rPr>
                <w:szCs w:val="24"/>
              </w:rPr>
            </w:pPr>
            <w:r w:rsidRPr="00687DE8">
              <w:rPr>
                <w:szCs w:val="24"/>
              </w:rPr>
              <w:t>2972L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95FE58" w14:textId="19898CD3" w:rsidR="594EE089" w:rsidRPr="00687DE8" w:rsidRDefault="003F7FC4">
            <w:pPr>
              <w:spacing w:after="0"/>
              <w:jc w:val="center"/>
              <w:rPr>
                <w:color w:val="000000" w:themeColor="text1"/>
                <w:szCs w:val="24"/>
              </w:rPr>
            </w:pPr>
            <w:r>
              <w:rPr>
                <w:color w:val="000000"/>
              </w:rPr>
              <w:t>460,27</w:t>
            </w:r>
          </w:p>
        </w:tc>
      </w:tr>
      <w:tr w:rsidR="00976487" w:rsidRPr="00687DE8" w14:paraId="636789D7"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9E1615" w14:textId="77777777" w:rsidR="00976487" w:rsidRPr="00687DE8" w:rsidRDefault="00976487">
            <w:pPr>
              <w:spacing w:after="0" w:line="240" w:lineRule="auto"/>
              <w:rPr>
                <w:szCs w:val="24"/>
              </w:rPr>
            </w:pPr>
            <w:r w:rsidRPr="00687DE8">
              <w:rPr>
                <w:szCs w:val="24"/>
              </w:rPr>
              <w:t>Ajuarterite trombektoomia 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C1FC45" w14:textId="77777777" w:rsidR="00976487" w:rsidRPr="00687DE8" w:rsidRDefault="00976487">
            <w:pPr>
              <w:spacing w:after="0" w:line="240" w:lineRule="auto"/>
              <w:jc w:val="center"/>
              <w:rPr>
                <w:szCs w:val="24"/>
              </w:rPr>
            </w:pPr>
            <w:r w:rsidRPr="00687DE8">
              <w:rPr>
                <w:szCs w:val="24"/>
              </w:rPr>
              <w:t>2969L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2C8F4A" w14:textId="4CEC4355" w:rsidR="594EE089" w:rsidRPr="00687DE8" w:rsidRDefault="003F7FC4">
            <w:pPr>
              <w:spacing w:after="0"/>
              <w:jc w:val="center"/>
              <w:rPr>
                <w:color w:val="000000" w:themeColor="text1"/>
                <w:szCs w:val="24"/>
              </w:rPr>
            </w:pPr>
            <w:r>
              <w:rPr>
                <w:color w:val="000000"/>
              </w:rPr>
              <w:t>5 866,07</w:t>
            </w:r>
          </w:p>
        </w:tc>
      </w:tr>
      <w:tr w:rsidR="00976487" w:rsidRPr="00687DE8" w14:paraId="37C2467E"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1FEBB4" w14:textId="77777777" w:rsidR="00976487" w:rsidRPr="00687DE8" w:rsidRDefault="00976487">
            <w:pPr>
              <w:spacing w:after="0" w:line="240" w:lineRule="auto"/>
              <w:rPr>
                <w:szCs w:val="24"/>
              </w:rPr>
            </w:pPr>
            <w:r w:rsidRPr="00687DE8">
              <w:rPr>
                <w:szCs w:val="24"/>
              </w:rPr>
              <w:t>Prolapsi võrk (eesmine)</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A20FC3" w14:textId="77777777" w:rsidR="00976487" w:rsidRPr="00687DE8" w:rsidRDefault="00976487">
            <w:pPr>
              <w:spacing w:after="0" w:line="240" w:lineRule="auto"/>
              <w:jc w:val="center"/>
              <w:rPr>
                <w:szCs w:val="24"/>
              </w:rPr>
            </w:pPr>
            <w:r w:rsidRPr="00687DE8">
              <w:rPr>
                <w:szCs w:val="24"/>
              </w:rPr>
              <w:t>2980L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A1A1A1" w14:textId="1EDFF510" w:rsidR="594EE089" w:rsidRPr="00687DE8" w:rsidRDefault="003F7FC4">
            <w:pPr>
              <w:spacing w:after="0"/>
              <w:jc w:val="center"/>
              <w:rPr>
                <w:color w:val="000000" w:themeColor="text1"/>
                <w:szCs w:val="24"/>
              </w:rPr>
            </w:pPr>
            <w:r>
              <w:rPr>
                <w:color w:val="000000"/>
              </w:rPr>
              <w:t>746,65</w:t>
            </w:r>
          </w:p>
        </w:tc>
      </w:tr>
      <w:tr w:rsidR="00976487" w:rsidRPr="00687DE8" w14:paraId="70D798F4"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17317B" w14:textId="77777777" w:rsidR="00976487" w:rsidRPr="00687DE8" w:rsidRDefault="00976487">
            <w:pPr>
              <w:spacing w:after="0" w:line="240" w:lineRule="auto"/>
              <w:rPr>
                <w:szCs w:val="24"/>
              </w:rPr>
            </w:pPr>
            <w:r w:rsidRPr="00687DE8">
              <w:rPr>
                <w:szCs w:val="24"/>
              </w:rPr>
              <w:t>Prolapsi võrk (tagumine)</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D21021" w14:textId="77777777" w:rsidR="00976487" w:rsidRPr="00687DE8" w:rsidRDefault="00976487">
            <w:pPr>
              <w:spacing w:after="0" w:line="240" w:lineRule="auto"/>
              <w:jc w:val="center"/>
              <w:rPr>
                <w:szCs w:val="24"/>
              </w:rPr>
            </w:pPr>
            <w:r w:rsidRPr="00687DE8">
              <w:rPr>
                <w:szCs w:val="24"/>
              </w:rPr>
              <w:t>2981L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20A4E9" w14:textId="10C930D8" w:rsidR="594EE089" w:rsidRPr="00687DE8" w:rsidRDefault="003F7FC4">
            <w:pPr>
              <w:spacing w:after="0"/>
              <w:jc w:val="center"/>
              <w:rPr>
                <w:color w:val="000000" w:themeColor="text1"/>
                <w:szCs w:val="24"/>
              </w:rPr>
            </w:pPr>
            <w:r>
              <w:rPr>
                <w:color w:val="000000"/>
              </w:rPr>
              <w:t>708,50</w:t>
            </w:r>
          </w:p>
        </w:tc>
      </w:tr>
      <w:tr w:rsidR="00976487" w:rsidRPr="00687DE8" w14:paraId="6D9BF735"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13C89F" w14:textId="77777777" w:rsidR="00976487" w:rsidRPr="00687DE8" w:rsidRDefault="00976487">
            <w:pPr>
              <w:spacing w:after="0" w:line="240" w:lineRule="auto"/>
              <w:rPr>
                <w:szCs w:val="24"/>
              </w:rPr>
            </w:pPr>
            <w:r w:rsidRPr="00687DE8">
              <w:rPr>
                <w:szCs w:val="24"/>
              </w:rPr>
              <w:t>Emaka tamponaadiballoon</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043888" w14:textId="77777777" w:rsidR="00976487" w:rsidRPr="00687DE8" w:rsidRDefault="00976487">
            <w:pPr>
              <w:spacing w:after="0" w:line="240" w:lineRule="auto"/>
              <w:jc w:val="center"/>
              <w:rPr>
                <w:szCs w:val="24"/>
              </w:rPr>
            </w:pPr>
            <w:r w:rsidRPr="00687DE8">
              <w:rPr>
                <w:szCs w:val="24"/>
              </w:rPr>
              <w:t>2983L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47E681" w14:textId="116393A1" w:rsidR="594EE089" w:rsidRPr="00687DE8" w:rsidRDefault="003F7FC4">
            <w:pPr>
              <w:spacing w:after="0"/>
              <w:jc w:val="center"/>
              <w:rPr>
                <w:color w:val="000000" w:themeColor="text1"/>
                <w:szCs w:val="24"/>
              </w:rPr>
            </w:pPr>
            <w:r>
              <w:rPr>
                <w:color w:val="000000"/>
              </w:rPr>
              <w:t>419,82</w:t>
            </w:r>
          </w:p>
        </w:tc>
      </w:tr>
      <w:tr w:rsidR="00976487" w:rsidRPr="00687DE8" w14:paraId="3B5B485B"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67A8F0" w14:textId="77777777" w:rsidR="00976487" w:rsidRPr="00687DE8" w:rsidRDefault="00976487">
            <w:pPr>
              <w:spacing w:after="0" w:line="240" w:lineRule="auto"/>
              <w:rPr>
                <w:szCs w:val="24"/>
              </w:rPr>
            </w:pPr>
            <w:r w:rsidRPr="00687DE8">
              <w:rPr>
                <w:szCs w:val="24"/>
              </w:rPr>
              <w:t>Koeekspander</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C8BC42" w14:textId="77777777" w:rsidR="00976487" w:rsidRPr="00687DE8" w:rsidRDefault="00976487">
            <w:pPr>
              <w:spacing w:after="0" w:line="240" w:lineRule="auto"/>
              <w:jc w:val="center"/>
              <w:rPr>
                <w:szCs w:val="24"/>
              </w:rPr>
            </w:pPr>
            <w:r w:rsidRPr="00687DE8">
              <w:rPr>
                <w:szCs w:val="24"/>
              </w:rPr>
              <w:t>2984L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6E5128" w14:textId="34235411" w:rsidR="594EE089" w:rsidRPr="00687DE8" w:rsidRDefault="003F7FC4">
            <w:pPr>
              <w:spacing w:after="0"/>
              <w:jc w:val="center"/>
              <w:rPr>
                <w:color w:val="000000" w:themeColor="text1"/>
                <w:szCs w:val="24"/>
              </w:rPr>
            </w:pPr>
            <w:r>
              <w:rPr>
                <w:color w:val="000000"/>
              </w:rPr>
              <w:t>690,00</w:t>
            </w:r>
          </w:p>
        </w:tc>
      </w:tr>
      <w:tr w:rsidR="00976487" w:rsidRPr="00687DE8" w14:paraId="1F48AE9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F3A2E0" w14:textId="77777777" w:rsidR="00976487" w:rsidRPr="00687DE8" w:rsidRDefault="00976487">
            <w:pPr>
              <w:spacing w:after="0" w:line="240" w:lineRule="auto"/>
              <w:rPr>
                <w:szCs w:val="24"/>
              </w:rPr>
            </w:pPr>
            <w:r w:rsidRPr="00687DE8">
              <w:rPr>
                <w:szCs w:val="24"/>
              </w:rPr>
              <w:t>Rinnaimplantaat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BC40B9" w14:textId="1C3A0512" w:rsidR="00976487" w:rsidRPr="00687DE8" w:rsidRDefault="00976487">
            <w:pPr>
              <w:spacing w:after="0" w:line="240" w:lineRule="auto"/>
              <w:jc w:val="center"/>
            </w:pPr>
            <w:r>
              <w:t>2985L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5C91D6" w14:textId="4A5CDC14" w:rsidR="594EE089" w:rsidRPr="00687DE8" w:rsidRDefault="003F7FC4">
            <w:pPr>
              <w:spacing w:after="0"/>
              <w:jc w:val="center"/>
              <w:rPr>
                <w:color w:val="000000" w:themeColor="text1"/>
                <w:szCs w:val="24"/>
              </w:rPr>
            </w:pPr>
            <w:r>
              <w:rPr>
                <w:color w:val="000000"/>
              </w:rPr>
              <w:t>650,00</w:t>
            </w:r>
          </w:p>
        </w:tc>
      </w:tr>
      <w:tr w:rsidR="00976487" w:rsidRPr="00687DE8" w14:paraId="7F28717F"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5FC182" w14:textId="77777777" w:rsidR="00976487" w:rsidRPr="00687DE8" w:rsidRDefault="00976487">
            <w:pPr>
              <w:spacing w:after="0" w:line="240" w:lineRule="auto"/>
              <w:rPr>
                <w:szCs w:val="24"/>
              </w:rPr>
            </w:pPr>
            <w:r w:rsidRPr="00687DE8">
              <w:rPr>
                <w:szCs w:val="24"/>
              </w:rPr>
              <w:t>Rinna titaanvõrk</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8F7775" w14:textId="77777777" w:rsidR="00976487" w:rsidRPr="00687DE8" w:rsidRDefault="00976487">
            <w:pPr>
              <w:spacing w:after="0" w:line="240" w:lineRule="auto"/>
              <w:jc w:val="center"/>
              <w:rPr>
                <w:szCs w:val="24"/>
              </w:rPr>
            </w:pPr>
            <w:r w:rsidRPr="00687DE8">
              <w:rPr>
                <w:szCs w:val="24"/>
              </w:rPr>
              <w:t>2986L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31985B" w14:textId="6773C52D" w:rsidR="594EE089" w:rsidRPr="00687DE8" w:rsidRDefault="003F7FC4">
            <w:pPr>
              <w:spacing w:after="0"/>
              <w:jc w:val="center"/>
              <w:rPr>
                <w:color w:val="000000" w:themeColor="text1"/>
                <w:szCs w:val="24"/>
              </w:rPr>
            </w:pPr>
            <w:r>
              <w:rPr>
                <w:color w:val="000000"/>
              </w:rPr>
              <w:t>700,00</w:t>
            </w:r>
          </w:p>
        </w:tc>
      </w:tr>
      <w:tr w:rsidR="00976487" w:rsidRPr="00687DE8" w14:paraId="5AFC898B"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970C46" w14:textId="77777777" w:rsidR="00976487" w:rsidRPr="00687DE8" w:rsidRDefault="00976487">
            <w:pPr>
              <w:spacing w:after="0" w:line="240" w:lineRule="auto"/>
              <w:rPr>
                <w:szCs w:val="24"/>
              </w:rPr>
            </w:pPr>
            <w:r w:rsidRPr="00687DE8">
              <w:rPr>
                <w:szCs w:val="24"/>
              </w:rPr>
              <w:t xml:space="preserve">Laparoskoopilise sakrokolpopeksia võrk </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BEAC14" w14:textId="77777777" w:rsidR="00976487" w:rsidRPr="00687DE8" w:rsidRDefault="00976487">
            <w:pPr>
              <w:spacing w:after="0" w:line="240" w:lineRule="auto"/>
              <w:jc w:val="center"/>
              <w:rPr>
                <w:szCs w:val="24"/>
              </w:rPr>
            </w:pPr>
            <w:r w:rsidRPr="00687DE8">
              <w:rPr>
                <w:szCs w:val="24"/>
              </w:rPr>
              <w:t>2987L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2D6450" w14:textId="5F604E59" w:rsidR="594EE089" w:rsidRPr="00687DE8" w:rsidRDefault="003F7FC4">
            <w:pPr>
              <w:spacing w:after="0"/>
              <w:jc w:val="center"/>
              <w:rPr>
                <w:color w:val="000000" w:themeColor="text1"/>
                <w:szCs w:val="24"/>
              </w:rPr>
            </w:pPr>
            <w:r>
              <w:rPr>
                <w:color w:val="000000"/>
              </w:rPr>
              <w:t>510,00</w:t>
            </w:r>
          </w:p>
        </w:tc>
      </w:tr>
      <w:tr w:rsidR="00976487" w:rsidRPr="00687DE8" w14:paraId="6D2B8B27"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35907C" w14:textId="77777777" w:rsidR="00976487" w:rsidRPr="00687DE8" w:rsidRDefault="00976487">
            <w:pPr>
              <w:spacing w:after="0" w:line="240" w:lineRule="auto"/>
              <w:rPr>
                <w:szCs w:val="24"/>
              </w:rPr>
            </w:pPr>
            <w:r w:rsidRPr="00687DE8">
              <w:rPr>
                <w:szCs w:val="24"/>
              </w:rPr>
              <w:t xml:space="preserve">Laparoskoopilise lateraalse suspensiooni võrk </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F4A99C" w14:textId="77777777" w:rsidR="00976487" w:rsidRPr="00687DE8" w:rsidRDefault="00976487">
            <w:pPr>
              <w:spacing w:after="0" w:line="240" w:lineRule="auto"/>
              <w:jc w:val="center"/>
              <w:rPr>
                <w:szCs w:val="24"/>
              </w:rPr>
            </w:pPr>
            <w:r w:rsidRPr="00687DE8">
              <w:rPr>
                <w:szCs w:val="24"/>
              </w:rPr>
              <w:t>2988L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974242" w14:textId="0CAAA7F8" w:rsidR="594EE089" w:rsidRPr="00687DE8" w:rsidRDefault="003F7FC4">
            <w:pPr>
              <w:spacing w:after="0"/>
              <w:jc w:val="center"/>
              <w:rPr>
                <w:color w:val="000000" w:themeColor="text1"/>
                <w:szCs w:val="24"/>
              </w:rPr>
            </w:pPr>
            <w:r>
              <w:rPr>
                <w:color w:val="000000"/>
              </w:rPr>
              <w:t>669,60</w:t>
            </w:r>
          </w:p>
        </w:tc>
      </w:tr>
      <w:tr w:rsidR="00976487" w:rsidRPr="00687DE8" w14:paraId="65BBF08C"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865473" w14:textId="77777777" w:rsidR="00976487" w:rsidRPr="00687DE8" w:rsidRDefault="00976487">
            <w:pPr>
              <w:spacing w:after="0" w:line="240" w:lineRule="auto"/>
              <w:rPr>
                <w:szCs w:val="24"/>
              </w:rPr>
            </w:pPr>
            <w:r w:rsidRPr="00687DE8">
              <w:rPr>
                <w:szCs w:val="24"/>
              </w:rPr>
              <w:t>Lahastamise komplekt näo- ja lõualuukirurgias</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628E3A" w14:textId="77777777" w:rsidR="00976487" w:rsidRPr="00687DE8" w:rsidRDefault="00976487">
            <w:pPr>
              <w:spacing w:after="0" w:line="240" w:lineRule="auto"/>
              <w:jc w:val="center"/>
              <w:rPr>
                <w:szCs w:val="24"/>
              </w:rPr>
            </w:pPr>
            <w:r w:rsidRPr="00687DE8">
              <w:rPr>
                <w:szCs w:val="24"/>
              </w:rPr>
              <w:t>2929L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9986C6" w14:textId="09FA7D55" w:rsidR="594EE089" w:rsidRPr="00687DE8" w:rsidRDefault="003F7FC4">
            <w:pPr>
              <w:spacing w:after="0"/>
              <w:jc w:val="center"/>
              <w:rPr>
                <w:color w:val="000000" w:themeColor="text1"/>
                <w:szCs w:val="24"/>
              </w:rPr>
            </w:pPr>
            <w:r>
              <w:rPr>
                <w:color w:val="000000"/>
              </w:rPr>
              <w:t>431,52</w:t>
            </w:r>
          </w:p>
        </w:tc>
      </w:tr>
      <w:tr w:rsidR="00C80650" w:rsidRPr="00687DE8" w14:paraId="130B3112"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080CDD" w14:textId="77777777" w:rsidR="00C80650" w:rsidRPr="00687DE8" w:rsidRDefault="00BE7A4F">
            <w:pPr>
              <w:spacing w:after="0" w:line="240" w:lineRule="auto"/>
              <w:rPr>
                <w:szCs w:val="24"/>
              </w:rPr>
            </w:pPr>
            <w:r w:rsidRPr="00687DE8">
              <w:rPr>
                <w:szCs w:val="24"/>
              </w:rPr>
              <w:t xml:space="preserve">Lumbo-sakraalnärvide elektrilise modulatsiooni </w:t>
            </w:r>
            <w:r w:rsidR="00B05C8E" w:rsidRPr="00687DE8">
              <w:rPr>
                <w:szCs w:val="24"/>
              </w:rPr>
              <w:t>test</w:t>
            </w:r>
            <w:r w:rsidR="0056386D" w:rsidRPr="00687DE8">
              <w:rPr>
                <w:szCs w:val="24"/>
              </w:rPr>
              <w:t xml:space="preserve">seadme </w:t>
            </w:r>
            <w:r w:rsidRPr="00687DE8">
              <w:rPr>
                <w:szCs w:val="24"/>
              </w:rPr>
              <w:t>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75DFBB" w14:textId="77777777" w:rsidR="0078134F" w:rsidRDefault="0078134F">
            <w:pPr>
              <w:spacing w:after="0" w:line="240" w:lineRule="auto"/>
              <w:jc w:val="center"/>
              <w:rPr>
                <w:szCs w:val="24"/>
              </w:rPr>
            </w:pPr>
            <w:bookmarkStart w:id="30" w:name="_Hlk115788532"/>
          </w:p>
          <w:p w14:paraId="2DE26A9B" w14:textId="2AC8912B" w:rsidR="00C80650" w:rsidRPr="00687DE8" w:rsidRDefault="000F534A">
            <w:pPr>
              <w:spacing w:after="0" w:line="240" w:lineRule="auto"/>
              <w:jc w:val="center"/>
              <w:rPr>
                <w:szCs w:val="24"/>
              </w:rPr>
            </w:pPr>
            <w:r w:rsidRPr="00687DE8">
              <w:rPr>
                <w:szCs w:val="24"/>
              </w:rPr>
              <w:t>29</w:t>
            </w:r>
            <w:r w:rsidR="006C6B73" w:rsidRPr="00687DE8">
              <w:rPr>
                <w:szCs w:val="24"/>
              </w:rPr>
              <w:t>90</w:t>
            </w:r>
            <w:r w:rsidRPr="00687DE8">
              <w:rPr>
                <w:szCs w:val="24"/>
              </w:rPr>
              <w:t>L</w:t>
            </w:r>
            <w:bookmarkEnd w:id="30"/>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970864B" w14:textId="69A6EE1C" w:rsidR="594EE089" w:rsidRPr="00687DE8" w:rsidRDefault="003F7FC4">
            <w:pPr>
              <w:spacing w:after="0"/>
              <w:jc w:val="center"/>
              <w:rPr>
                <w:color w:val="000000" w:themeColor="text1"/>
                <w:szCs w:val="24"/>
              </w:rPr>
            </w:pPr>
            <w:r>
              <w:rPr>
                <w:color w:val="000000"/>
              </w:rPr>
              <w:t>5 467,60</w:t>
            </w:r>
          </w:p>
        </w:tc>
      </w:tr>
      <w:tr w:rsidR="00C80650" w:rsidRPr="00687DE8" w14:paraId="449EB09E" w14:textId="77777777" w:rsidTr="00E606DB">
        <w:trPr>
          <w:divId w:val="1316184749"/>
          <w:trHeight w:val="300"/>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6646F2" w14:textId="77777777" w:rsidR="00C80650" w:rsidRPr="00687DE8" w:rsidRDefault="00BE7A4F">
            <w:pPr>
              <w:spacing w:after="0" w:line="240" w:lineRule="auto"/>
              <w:rPr>
                <w:szCs w:val="24"/>
              </w:rPr>
            </w:pPr>
            <w:r w:rsidRPr="00687DE8">
              <w:rPr>
                <w:szCs w:val="24"/>
              </w:rPr>
              <w:t>Lumbo-sakraalnärvide elektrilise modulatsiooni püsi</w:t>
            </w:r>
            <w:r w:rsidR="0056386D" w:rsidRPr="00687DE8">
              <w:rPr>
                <w:szCs w:val="24"/>
              </w:rPr>
              <w:t xml:space="preserve">seadme </w:t>
            </w:r>
            <w:r w:rsidRPr="00687DE8">
              <w:rPr>
                <w:szCs w:val="24"/>
              </w:rPr>
              <w:t>komplekt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060144" w14:textId="77777777" w:rsidR="0078134F" w:rsidRDefault="0078134F">
            <w:pPr>
              <w:spacing w:after="0" w:line="240" w:lineRule="auto"/>
              <w:jc w:val="center"/>
              <w:rPr>
                <w:szCs w:val="24"/>
              </w:rPr>
            </w:pPr>
          </w:p>
          <w:p w14:paraId="01BC8FBA" w14:textId="2A79E2FE" w:rsidR="00C80650" w:rsidRPr="00687DE8" w:rsidRDefault="000F534A">
            <w:pPr>
              <w:spacing w:after="0" w:line="240" w:lineRule="auto"/>
              <w:jc w:val="center"/>
              <w:rPr>
                <w:szCs w:val="24"/>
              </w:rPr>
            </w:pPr>
            <w:r w:rsidRPr="00687DE8">
              <w:rPr>
                <w:szCs w:val="24"/>
              </w:rPr>
              <w:t>299</w:t>
            </w:r>
            <w:r w:rsidR="006C6B73" w:rsidRPr="00687DE8">
              <w:rPr>
                <w:szCs w:val="24"/>
              </w:rPr>
              <w:t>1</w:t>
            </w:r>
            <w:r w:rsidRPr="00687DE8">
              <w:rPr>
                <w:szCs w:val="24"/>
              </w:rPr>
              <w:t>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1BA53B9" w14:textId="440985E8" w:rsidR="594EE089" w:rsidRPr="00687DE8" w:rsidRDefault="003F7FC4">
            <w:pPr>
              <w:spacing w:after="0"/>
              <w:jc w:val="center"/>
              <w:rPr>
                <w:color w:val="000000" w:themeColor="text1"/>
                <w:szCs w:val="24"/>
              </w:rPr>
            </w:pPr>
            <w:r>
              <w:rPr>
                <w:color w:val="000000"/>
              </w:rPr>
              <w:t>11 777,55</w:t>
            </w:r>
          </w:p>
        </w:tc>
      </w:tr>
      <w:tr w:rsidR="00315E97" w:rsidRPr="00687DE8" w14:paraId="27DCB1C9" w14:textId="77777777" w:rsidTr="00E606DB">
        <w:trPr>
          <w:divId w:val="1316184749"/>
        </w:trPr>
        <w:tc>
          <w:tcPr>
            <w:tcW w:w="42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F91828" w14:textId="4882B41E" w:rsidR="00315E97" w:rsidRPr="00687DE8" w:rsidRDefault="00023B94">
            <w:pPr>
              <w:spacing w:after="0" w:line="240" w:lineRule="auto"/>
              <w:rPr>
                <w:szCs w:val="24"/>
              </w:rPr>
            </w:pPr>
            <w:r w:rsidRPr="00687DE8">
              <w:rPr>
                <w:szCs w:val="24"/>
              </w:rPr>
              <w:t>Diafragma</w:t>
            </w:r>
            <w:r w:rsidR="002961FB" w:rsidRPr="00687DE8">
              <w:rPr>
                <w:szCs w:val="24"/>
              </w:rPr>
              <w:t xml:space="preserve"> </w:t>
            </w:r>
            <w:r w:rsidR="004E49B4" w:rsidRPr="00687DE8">
              <w:rPr>
                <w:szCs w:val="24"/>
              </w:rPr>
              <w:t>/</w:t>
            </w:r>
            <w:r w:rsidR="002961FB" w:rsidRPr="00687DE8">
              <w:rPr>
                <w:szCs w:val="24"/>
              </w:rPr>
              <w:t xml:space="preserve"> </w:t>
            </w:r>
            <w:r w:rsidR="00F95E43" w:rsidRPr="00687DE8">
              <w:rPr>
                <w:szCs w:val="24"/>
              </w:rPr>
              <w:t>freenilise</w:t>
            </w:r>
            <w:r w:rsidR="00DA66C8" w:rsidRPr="00687DE8">
              <w:rPr>
                <w:szCs w:val="24"/>
              </w:rPr>
              <w:t xml:space="preserve"> närvi</w:t>
            </w:r>
            <w:r w:rsidRPr="00687DE8">
              <w:rPr>
                <w:szCs w:val="24"/>
              </w:rPr>
              <w:t xml:space="preserve"> stimulaatori </w:t>
            </w:r>
            <w:r w:rsidR="00E45C6E" w:rsidRPr="00687DE8">
              <w:rPr>
                <w:szCs w:val="24"/>
              </w:rPr>
              <w:t>transmitter</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206D4F" w14:textId="3F427D17" w:rsidR="00315E97" w:rsidRPr="00687DE8" w:rsidRDefault="00133AEA">
            <w:pPr>
              <w:spacing w:after="0" w:line="240" w:lineRule="auto"/>
              <w:jc w:val="center"/>
              <w:rPr>
                <w:szCs w:val="24"/>
              </w:rPr>
            </w:pPr>
            <w:r w:rsidRPr="00687DE8">
              <w:rPr>
                <w:szCs w:val="24"/>
              </w:rPr>
              <w:t>2992L</w:t>
            </w:r>
          </w:p>
        </w:tc>
        <w:tc>
          <w:tcPr>
            <w:tcW w:w="1573"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60E2636" w14:textId="3C62F80A" w:rsidR="00315E97" w:rsidRPr="00687DE8" w:rsidRDefault="003F7FC4">
            <w:pPr>
              <w:tabs>
                <w:tab w:val="decimal" w:pos="635"/>
              </w:tabs>
              <w:spacing w:after="0" w:line="240" w:lineRule="auto"/>
              <w:jc w:val="center"/>
              <w:rPr>
                <w:szCs w:val="24"/>
              </w:rPr>
            </w:pPr>
            <w:r>
              <w:rPr>
                <w:color w:val="000000"/>
              </w:rPr>
              <w:t>36 651,25</w:t>
            </w:r>
          </w:p>
        </w:tc>
      </w:tr>
    </w:tbl>
    <w:p w14:paraId="16EA701F" w14:textId="77777777" w:rsidR="00976487" w:rsidRPr="00687DE8" w:rsidRDefault="00976487" w:rsidP="00976487">
      <w:pPr>
        <w:spacing w:after="0" w:line="240" w:lineRule="auto"/>
        <w:jc w:val="both"/>
        <w:divId w:val="1316184749"/>
        <w:rPr>
          <w:szCs w:val="24"/>
        </w:rPr>
      </w:pPr>
    </w:p>
    <w:p w14:paraId="3ADC1D1E" w14:textId="77777777" w:rsidR="00976487" w:rsidRPr="00687DE8" w:rsidRDefault="00976487" w:rsidP="00976487">
      <w:pPr>
        <w:spacing w:after="0" w:line="240" w:lineRule="auto"/>
        <w:jc w:val="both"/>
        <w:divId w:val="1316184749"/>
        <w:rPr>
          <w:szCs w:val="24"/>
        </w:rPr>
      </w:pPr>
      <w:r w:rsidRPr="00687DE8">
        <w:rPr>
          <w:szCs w:val="24"/>
        </w:rPr>
        <w:t xml:space="preserve">(2) </w:t>
      </w:r>
      <w:r w:rsidR="00C95605" w:rsidRPr="00687DE8">
        <w:rPr>
          <w:szCs w:val="24"/>
        </w:rPr>
        <w:t>L</w:t>
      </w:r>
      <w:r w:rsidRPr="00687DE8">
        <w:rPr>
          <w:szCs w:val="24"/>
        </w:rPr>
        <w:t>õikes 1 sätestatud meditsiiniseadmete piirhinnad ei sisaldu voodipäeva piirhinnas.</w:t>
      </w:r>
    </w:p>
    <w:p w14:paraId="2955E928" w14:textId="77777777" w:rsidR="00976487" w:rsidRPr="00687DE8" w:rsidRDefault="00976487" w:rsidP="00976487">
      <w:pPr>
        <w:spacing w:after="0" w:line="240" w:lineRule="auto"/>
        <w:jc w:val="both"/>
        <w:divId w:val="1316184749"/>
        <w:rPr>
          <w:szCs w:val="24"/>
        </w:rPr>
      </w:pPr>
    </w:p>
    <w:p w14:paraId="5FDE7487" w14:textId="77777777" w:rsidR="00976487" w:rsidRPr="00687DE8" w:rsidRDefault="00976487" w:rsidP="00976487">
      <w:pPr>
        <w:spacing w:after="0" w:line="240" w:lineRule="auto"/>
        <w:jc w:val="both"/>
        <w:divId w:val="1316184749"/>
        <w:rPr>
          <w:szCs w:val="24"/>
        </w:rPr>
      </w:pPr>
      <w:r w:rsidRPr="00687DE8">
        <w:rPr>
          <w:szCs w:val="24"/>
        </w:rPr>
        <w:t xml:space="preserve">(3) </w:t>
      </w:r>
      <w:r w:rsidR="00C95605" w:rsidRPr="00687DE8">
        <w:rPr>
          <w:szCs w:val="24"/>
        </w:rPr>
        <w:t>L</w:t>
      </w:r>
      <w:r w:rsidRPr="00687DE8">
        <w:rPr>
          <w:szCs w:val="24"/>
        </w:rPr>
        <w:t>õikes 1 sätestatud meditsiiniseadmete piirhinnad sisaldavad ainult meditsiiniseadme maksumust koos käibemaksuga.</w:t>
      </w:r>
    </w:p>
    <w:p w14:paraId="74294671" w14:textId="77777777" w:rsidR="00976487" w:rsidRPr="00687DE8" w:rsidRDefault="00976487" w:rsidP="00976487">
      <w:pPr>
        <w:spacing w:after="0" w:line="240" w:lineRule="auto"/>
        <w:jc w:val="both"/>
        <w:divId w:val="1316184749"/>
        <w:rPr>
          <w:szCs w:val="24"/>
        </w:rPr>
      </w:pPr>
    </w:p>
    <w:p w14:paraId="6E80505D" w14:textId="77777777" w:rsidR="00976487" w:rsidRPr="00687DE8" w:rsidRDefault="00976487" w:rsidP="00976487">
      <w:pPr>
        <w:spacing w:after="0" w:line="240" w:lineRule="auto"/>
        <w:jc w:val="both"/>
        <w:divId w:val="1316184749"/>
        <w:rPr>
          <w:szCs w:val="24"/>
        </w:rPr>
      </w:pPr>
      <w:r w:rsidRPr="00687DE8">
        <w:rPr>
          <w:szCs w:val="24"/>
        </w:rPr>
        <w:t>(4) Koodiga 2930L tähistatud tervishoiuteenuse piirhinda rakendatakse juhul, kui rasestumisvastane emakasisene vahend paigaldatakse naisele ühe aasta jooksul pärast sünnitust, või naisele, kellel on meditsiiniline vastunäidustus sünnitamiseks.</w:t>
      </w:r>
    </w:p>
    <w:p w14:paraId="4B97EE9B" w14:textId="77777777" w:rsidR="00976487" w:rsidRPr="00687DE8" w:rsidRDefault="00976487" w:rsidP="00976487">
      <w:pPr>
        <w:spacing w:after="0" w:line="240" w:lineRule="auto"/>
        <w:jc w:val="both"/>
        <w:divId w:val="1316184749"/>
        <w:rPr>
          <w:szCs w:val="24"/>
        </w:rPr>
      </w:pPr>
    </w:p>
    <w:p w14:paraId="1EA97CAA" w14:textId="77777777" w:rsidR="00976487" w:rsidRPr="00687DE8" w:rsidRDefault="00976487" w:rsidP="00976487">
      <w:pPr>
        <w:spacing w:after="0" w:line="240" w:lineRule="auto"/>
        <w:jc w:val="both"/>
        <w:divId w:val="1316184749"/>
        <w:rPr>
          <w:szCs w:val="24"/>
        </w:rPr>
      </w:pPr>
      <w:r w:rsidRPr="00687DE8">
        <w:rPr>
          <w:szCs w:val="24"/>
        </w:rPr>
        <w:t>(5) Koodiga 2676L tähistatud tervishoiuteenuse piirhinda rakendatakse järgmistel juhtudel:</w:t>
      </w:r>
    </w:p>
    <w:p w14:paraId="67203CC1" w14:textId="6254BDFE" w:rsidR="00976487" w:rsidRPr="00687DE8" w:rsidRDefault="00976487" w:rsidP="00976487">
      <w:pPr>
        <w:spacing w:after="0" w:line="240" w:lineRule="auto"/>
        <w:jc w:val="both"/>
        <w:divId w:val="1316184749"/>
        <w:rPr>
          <w:szCs w:val="24"/>
        </w:rPr>
      </w:pPr>
      <w:r w:rsidRPr="00687DE8">
        <w:rPr>
          <w:szCs w:val="24"/>
        </w:rPr>
        <w:lastRenderedPageBreak/>
        <w:t>1) traumaatilised või infektsioonist tingitud tüsilikud pehmekoe defektid</w:t>
      </w:r>
      <w:r w:rsidR="00A26E57" w:rsidRPr="00687DE8">
        <w:rPr>
          <w:szCs w:val="24"/>
        </w:rPr>
        <w:t>, sealhulgas</w:t>
      </w:r>
      <w:r w:rsidR="00C83AFA" w:rsidRPr="00687DE8">
        <w:rPr>
          <w:szCs w:val="24"/>
        </w:rPr>
        <w:t xml:space="preserve"> lamatishaavand</w:t>
      </w:r>
      <w:r w:rsidR="00A26E57" w:rsidRPr="00687DE8">
        <w:rPr>
          <w:szCs w:val="24"/>
        </w:rPr>
        <w:t>;</w:t>
      </w:r>
    </w:p>
    <w:p w14:paraId="5AC79E64" w14:textId="77777777" w:rsidR="00976487" w:rsidRPr="00687DE8" w:rsidRDefault="00976487" w:rsidP="00976487">
      <w:pPr>
        <w:spacing w:after="0" w:line="240" w:lineRule="auto"/>
        <w:jc w:val="both"/>
        <w:divId w:val="1316184749"/>
        <w:rPr>
          <w:szCs w:val="24"/>
        </w:rPr>
      </w:pPr>
      <w:r w:rsidRPr="00687DE8">
        <w:rPr>
          <w:szCs w:val="24"/>
        </w:rPr>
        <w:t>2) sügavad (IV astme) põletused.</w:t>
      </w:r>
    </w:p>
    <w:p w14:paraId="371439D8" w14:textId="77777777" w:rsidR="00976487" w:rsidRPr="00687DE8" w:rsidRDefault="00976487" w:rsidP="00976487">
      <w:pPr>
        <w:spacing w:after="0" w:line="240" w:lineRule="auto"/>
        <w:jc w:val="both"/>
        <w:divId w:val="1316184749"/>
        <w:rPr>
          <w:szCs w:val="24"/>
        </w:rPr>
      </w:pPr>
    </w:p>
    <w:p w14:paraId="1DFBF34E" w14:textId="5C7FBD64" w:rsidR="00976487" w:rsidRPr="00687DE8" w:rsidRDefault="00976487" w:rsidP="00976487">
      <w:pPr>
        <w:spacing w:after="0" w:line="240" w:lineRule="auto"/>
        <w:jc w:val="both"/>
        <w:divId w:val="1316184749"/>
        <w:rPr>
          <w:szCs w:val="24"/>
        </w:rPr>
      </w:pPr>
      <w:r w:rsidRPr="00687DE8">
        <w:rPr>
          <w:szCs w:val="24"/>
        </w:rPr>
        <w:t xml:space="preserve">(6) </w:t>
      </w:r>
      <w:r w:rsidR="005023FD" w:rsidRPr="00687DE8">
        <w:rPr>
          <w:szCs w:val="24"/>
        </w:rPr>
        <w:t>Tervisekassa</w:t>
      </w:r>
      <w:r w:rsidRPr="00687DE8">
        <w:rPr>
          <w:szCs w:val="24"/>
        </w:rPr>
        <w:t xml:space="preserve"> võtab koodiga 2722L tähistatud tervishoiuteenuse eest tasu maksmise kohustuse üle, kui teenust osutab neurokirurg.</w:t>
      </w:r>
    </w:p>
    <w:p w14:paraId="65B1B706" w14:textId="77777777" w:rsidR="00976487" w:rsidRPr="00687DE8" w:rsidRDefault="00976487" w:rsidP="00976487">
      <w:pPr>
        <w:spacing w:after="0" w:line="240" w:lineRule="auto"/>
        <w:jc w:val="both"/>
        <w:divId w:val="1316184749"/>
        <w:rPr>
          <w:szCs w:val="24"/>
        </w:rPr>
      </w:pPr>
    </w:p>
    <w:p w14:paraId="6DC74A27" w14:textId="77777777" w:rsidR="00976487" w:rsidRPr="00687DE8" w:rsidRDefault="00976487" w:rsidP="00976487">
      <w:pPr>
        <w:spacing w:after="0" w:line="240" w:lineRule="auto"/>
        <w:jc w:val="both"/>
        <w:divId w:val="1316184749"/>
        <w:rPr>
          <w:szCs w:val="24"/>
        </w:rPr>
      </w:pPr>
      <w:r w:rsidRPr="00687DE8">
        <w:rPr>
          <w:szCs w:val="24"/>
        </w:rPr>
        <w:t>(7) Koodiga 2873L tähistatud tervishoiuteenuse piirhinda rakendatakse koodidega 40901, 50901, 60902, 60905, 70902, 70904, 70909 ja 80901 tähistatud tervishoiuteenuste osutamisel.</w:t>
      </w:r>
    </w:p>
    <w:p w14:paraId="1174A65E" w14:textId="77777777" w:rsidR="00976487" w:rsidRPr="00687DE8" w:rsidRDefault="00976487" w:rsidP="00976487">
      <w:pPr>
        <w:spacing w:after="0" w:line="240" w:lineRule="auto"/>
        <w:jc w:val="both"/>
        <w:divId w:val="1316184749"/>
        <w:rPr>
          <w:szCs w:val="24"/>
        </w:rPr>
      </w:pPr>
    </w:p>
    <w:p w14:paraId="431F22B7" w14:textId="77777777" w:rsidR="00976487" w:rsidRPr="00687DE8" w:rsidRDefault="00976487" w:rsidP="00976487">
      <w:pPr>
        <w:spacing w:after="0" w:line="240" w:lineRule="auto"/>
        <w:jc w:val="both"/>
        <w:divId w:val="1316184749"/>
        <w:rPr>
          <w:szCs w:val="24"/>
        </w:rPr>
      </w:pPr>
      <w:r w:rsidRPr="00687DE8">
        <w:rPr>
          <w:szCs w:val="24"/>
        </w:rPr>
        <w:t>(8) Koodiga 2874L tähistatud tervishoiuteenuse piirhinda rakendatakse koodidega 60905, 70902, 70904 ja 70909 tähistatud tervishoiuteenuste osutamisel.</w:t>
      </w:r>
    </w:p>
    <w:p w14:paraId="1C8393A9" w14:textId="77777777" w:rsidR="00976487" w:rsidRPr="00687DE8" w:rsidRDefault="00976487" w:rsidP="00976487">
      <w:pPr>
        <w:spacing w:after="0" w:line="240" w:lineRule="auto"/>
        <w:jc w:val="both"/>
        <w:divId w:val="1316184749"/>
        <w:rPr>
          <w:szCs w:val="24"/>
        </w:rPr>
      </w:pPr>
    </w:p>
    <w:p w14:paraId="7EC47150" w14:textId="77777777" w:rsidR="00976487" w:rsidRPr="00687DE8" w:rsidRDefault="00976487" w:rsidP="00976487">
      <w:pPr>
        <w:spacing w:after="0" w:line="240" w:lineRule="auto"/>
        <w:jc w:val="both"/>
        <w:divId w:val="1316184749"/>
        <w:rPr>
          <w:szCs w:val="24"/>
        </w:rPr>
      </w:pPr>
      <w:r w:rsidRPr="00687DE8">
        <w:rPr>
          <w:szCs w:val="24"/>
        </w:rPr>
        <w:t>(9) Koodiga 2875L tähistatud tervishoiuteenuse piirhinda rakendatakse koodidega 40907, 50908, 70902 ja 70906 tähistatud tervishoiuteenuste osutamisel.</w:t>
      </w:r>
    </w:p>
    <w:p w14:paraId="513C0FBC" w14:textId="77777777" w:rsidR="00976487" w:rsidRPr="00687DE8" w:rsidRDefault="00976487" w:rsidP="00976487">
      <w:pPr>
        <w:spacing w:after="0" w:line="240" w:lineRule="auto"/>
        <w:jc w:val="both"/>
        <w:divId w:val="1316184749"/>
        <w:rPr>
          <w:szCs w:val="24"/>
        </w:rPr>
      </w:pPr>
    </w:p>
    <w:p w14:paraId="08347AF0" w14:textId="2E5BEC23" w:rsidR="00976487" w:rsidRPr="00687DE8" w:rsidRDefault="00976487" w:rsidP="00976487">
      <w:pPr>
        <w:spacing w:after="0" w:line="240" w:lineRule="auto"/>
        <w:jc w:val="both"/>
        <w:divId w:val="1316184749"/>
      </w:pPr>
      <w:r>
        <w:t>(10) Koodiga 2</w:t>
      </w:r>
      <w:r w:rsidR="00971AB1">
        <w:t>858</w:t>
      </w:r>
      <w:r>
        <w:t>L tähistatud tervishoiuteenust rakendatakse haiglate loetelus nimetatud piirkondlikus haiglas funktsionaalses endoskoopilises siinuskirurgias.</w:t>
      </w:r>
    </w:p>
    <w:p w14:paraId="605D0248" w14:textId="77777777" w:rsidR="00976487" w:rsidRPr="00687DE8" w:rsidRDefault="00976487" w:rsidP="00976487">
      <w:pPr>
        <w:spacing w:after="0" w:line="240" w:lineRule="auto"/>
        <w:jc w:val="both"/>
        <w:divId w:val="1316184749"/>
        <w:rPr>
          <w:szCs w:val="24"/>
        </w:rPr>
      </w:pPr>
    </w:p>
    <w:p w14:paraId="6B2D6DBA" w14:textId="77777777" w:rsidR="00976487" w:rsidRPr="00687DE8" w:rsidRDefault="00976487" w:rsidP="00976487">
      <w:pPr>
        <w:spacing w:after="0" w:line="240" w:lineRule="auto"/>
        <w:jc w:val="both"/>
        <w:divId w:val="1316184749"/>
        <w:rPr>
          <w:szCs w:val="24"/>
        </w:rPr>
      </w:pPr>
      <w:r w:rsidRPr="00687DE8">
        <w:rPr>
          <w:szCs w:val="24"/>
        </w:rPr>
        <w:t>(11) Koodi</w:t>
      </w:r>
      <w:r w:rsidR="00C43F06" w:rsidRPr="00687DE8">
        <w:rPr>
          <w:szCs w:val="24"/>
        </w:rPr>
        <w:t>de</w:t>
      </w:r>
      <w:r w:rsidRPr="00687DE8">
        <w:rPr>
          <w:szCs w:val="24"/>
        </w:rPr>
        <w:t xml:space="preserve">ga </w:t>
      </w:r>
      <w:r w:rsidR="00C43F06" w:rsidRPr="00687DE8">
        <w:rPr>
          <w:szCs w:val="24"/>
        </w:rPr>
        <w:t>2959L ja</w:t>
      </w:r>
      <w:r w:rsidRPr="00687DE8">
        <w:rPr>
          <w:szCs w:val="24"/>
        </w:rPr>
        <w:t xml:space="preserve"> 2961L tähistatud tervishoiuteenus</w:t>
      </w:r>
      <w:r w:rsidR="00E0551A" w:rsidRPr="00687DE8">
        <w:rPr>
          <w:szCs w:val="24"/>
        </w:rPr>
        <w:t>eid</w:t>
      </w:r>
      <w:r w:rsidRPr="00687DE8">
        <w:rPr>
          <w:szCs w:val="24"/>
        </w:rPr>
        <w:t xml:space="preserve"> rakendatakse haiglate loetelus nimetatud piirkondlikus haiglas. </w:t>
      </w:r>
    </w:p>
    <w:p w14:paraId="48D77626" w14:textId="77777777" w:rsidR="00976487" w:rsidRPr="00687DE8" w:rsidRDefault="00976487" w:rsidP="00976487">
      <w:pPr>
        <w:spacing w:after="0" w:line="240" w:lineRule="auto"/>
        <w:jc w:val="both"/>
        <w:divId w:val="1316184749"/>
        <w:rPr>
          <w:szCs w:val="24"/>
        </w:rPr>
      </w:pPr>
    </w:p>
    <w:p w14:paraId="0CDC7A22" w14:textId="77777777" w:rsidR="00976487" w:rsidRPr="00687DE8" w:rsidRDefault="00976487" w:rsidP="00976487">
      <w:pPr>
        <w:spacing w:after="0" w:line="240" w:lineRule="auto"/>
        <w:jc w:val="both"/>
        <w:divId w:val="1316184749"/>
        <w:rPr>
          <w:szCs w:val="24"/>
        </w:rPr>
      </w:pPr>
      <w:r w:rsidRPr="00687DE8">
        <w:rPr>
          <w:szCs w:val="24"/>
        </w:rPr>
        <w:t>(12) Koodidega 2730L ja 2731L tähistatud tervishoiuteenuseid rakendatakse ainult koos koodiga 1A2132 tähistatud tervishoiuteenusega.</w:t>
      </w:r>
    </w:p>
    <w:p w14:paraId="0146142A" w14:textId="77777777" w:rsidR="00976487" w:rsidRPr="00687DE8" w:rsidRDefault="00976487" w:rsidP="00976487">
      <w:pPr>
        <w:spacing w:after="0" w:line="240" w:lineRule="auto"/>
        <w:jc w:val="both"/>
        <w:divId w:val="1316184749"/>
        <w:rPr>
          <w:szCs w:val="24"/>
        </w:rPr>
      </w:pPr>
    </w:p>
    <w:p w14:paraId="7880505E" w14:textId="77777777" w:rsidR="00976487" w:rsidRPr="00687DE8" w:rsidRDefault="00976487" w:rsidP="00976487">
      <w:pPr>
        <w:spacing w:after="0" w:line="240" w:lineRule="auto"/>
        <w:jc w:val="both"/>
        <w:divId w:val="1316184749"/>
        <w:rPr>
          <w:szCs w:val="24"/>
        </w:rPr>
      </w:pPr>
      <w:r w:rsidRPr="00687DE8">
        <w:rPr>
          <w:szCs w:val="24"/>
        </w:rPr>
        <w:t>(13) Koodiga 2962L tähistatud teenuse piirhinda rakendatakse ainult koos koodiga 8103 tähistatud tervishoiuteenusega.</w:t>
      </w:r>
    </w:p>
    <w:p w14:paraId="6D98206E" w14:textId="77777777" w:rsidR="00976487" w:rsidRPr="00687DE8" w:rsidRDefault="00976487" w:rsidP="00976487">
      <w:pPr>
        <w:spacing w:after="0" w:line="240" w:lineRule="auto"/>
        <w:jc w:val="both"/>
        <w:divId w:val="1316184749"/>
        <w:rPr>
          <w:szCs w:val="24"/>
        </w:rPr>
      </w:pPr>
    </w:p>
    <w:p w14:paraId="00211221" w14:textId="0F8CE627" w:rsidR="00976487" w:rsidRPr="00687DE8" w:rsidRDefault="00976487" w:rsidP="00976487">
      <w:pPr>
        <w:spacing w:after="0" w:line="240" w:lineRule="auto"/>
        <w:jc w:val="both"/>
        <w:divId w:val="1316184749"/>
        <w:rPr>
          <w:szCs w:val="24"/>
        </w:rPr>
      </w:pPr>
      <w:r w:rsidRPr="00687DE8">
        <w:rPr>
          <w:szCs w:val="24"/>
        </w:rPr>
        <w:t xml:space="preserve">(14) </w:t>
      </w:r>
      <w:r w:rsidR="005023FD" w:rsidRPr="00687DE8">
        <w:rPr>
          <w:szCs w:val="24"/>
        </w:rPr>
        <w:t>Tervisekassa</w:t>
      </w:r>
      <w:r w:rsidRPr="00687DE8">
        <w:rPr>
          <w:szCs w:val="24"/>
        </w:rPr>
        <w:t xml:space="preserve"> võtab koodiga 2511L tähistatud tervishoiuteenuse eest tasu maksmise kohustuse üle kaugele</w:t>
      </w:r>
      <w:r w:rsidR="001560ED" w:rsidRPr="00687DE8">
        <w:rPr>
          <w:szCs w:val="24"/>
        </w:rPr>
        <w:t xml:space="preserve"> </w:t>
      </w:r>
      <w:r w:rsidRPr="00687DE8">
        <w:rPr>
          <w:szCs w:val="24"/>
        </w:rPr>
        <w:t>arenenud südamepuudulikkusega patsiendilt, kellel südame kirurgiline ravi ilma südant toetava seadmeta on perspektiivitu, ning juhul, kui otsuse teenuse vajalikkuse kohta on teinud eksper</w:t>
      </w:r>
      <w:r w:rsidR="00F4280F" w:rsidRPr="00687DE8">
        <w:rPr>
          <w:szCs w:val="24"/>
        </w:rPr>
        <w:t>di</w:t>
      </w:r>
      <w:r w:rsidRPr="00687DE8">
        <w:rPr>
          <w:szCs w:val="24"/>
        </w:rPr>
        <w:t>komisjon, kuhu kuuluvad kardioloog, kardiokirurg ja anestesioloog.</w:t>
      </w:r>
    </w:p>
    <w:p w14:paraId="0FC11A56" w14:textId="77777777" w:rsidR="00976487" w:rsidRPr="00687DE8" w:rsidRDefault="00976487" w:rsidP="00976487">
      <w:pPr>
        <w:spacing w:after="0" w:line="240" w:lineRule="auto"/>
        <w:jc w:val="both"/>
        <w:divId w:val="1316184749"/>
        <w:rPr>
          <w:szCs w:val="24"/>
        </w:rPr>
      </w:pPr>
    </w:p>
    <w:p w14:paraId="7E1C1E5F" w14:textId="3D758F7F" w:rsidR="00976487" w:rsidRPr="00687DE8" w:rsidRDefault="00976487" w:rsidP="00976487">
      <w:pPr>
        <w:spacing w:after="0" w:line="240" w:lineRule="auto"/>
        <w:jc w:val="both"/>
        <w:divId w:val="1316184749"/>
        <w:rPr>
          <w:szCs w:val="24"/>
        </w:rPr>
      </w:pPr>
      <w:r w:rsidRPr="00687DE8">
        <w:rPr>
          <w:szCs w:val="24"/>
        </w:rPr>
        <w:t xml:space="preserve">(15) </w:t>
      </w:r>
      <w:r w:rsidR="005023FD" w:rsidRPr="00687DE8">
        <w:rPr>
          <w:szCs w:val="24"/>
        </w:rPr>
        <w:t>Tervisekassa</w:t>
      </w:r>
      <w:r w:rsidRPr="00687DE8">
        <w:rPr>
          <w:szCs w:val="24"/>
        </w:rPr>
        <w:t xml:space="preserve"> võtab koodiga 2520L tähistatud tervishoiuteenuse eest tasu maksmise kohustuse üle haiglate loetelus nimetatud piirkondlikus haiglas juhul, kui aordiklapi või kopsuarteriklapi operatiivne ravi on vastunäidustatud väga kõrge prognoositava riski tõttu ning protseduuri vajalikkuse otsuse on teinud eksper</w:t>
      </w:r>
      <w:r w:rsidR="00F4280F" w:rsidRPr="00687DE8">
        <w:rPr>
          <w:szCs w:val="24"/>
        </w:rPr>
        <w:t>di</w:t>
      </w:r>
      <w:r w:rsidRPr="00687DE8">
        <w:rPr>
          <w:szCs w:val="24"/>
        </w:rPr>
        <w:t>komisjon, kuhu kuuluvad kardioloog, kardiokirurg ja anestesioloog.</w:t>
      </w:r>
    </w:p>
    <w:p w14:paraId="17C61583" w14:textId="77777777" w:rsidR="00976487" w:rsidRPr="00687DE8" w:rsidRDefault="00976487" w:rsidP="00976487">
      <w:pPr>
        <w:spacing w:after="0" w:line="240" w:lineRule="auto"/>
        <w:jc w:val="both"/>
        <w:divId w:val="1316184749"/>
        <w:rPr>
          <w:szCs w:val="24"/>
        </w:rPr>
      </w:pPr>
    </w:p>
    <w:p w14:paraId="2533F6F7" w14:textId="77777777" w:rsidR="00976487" w:rsidRPr="00687DE8" w:rsidRDefault="00976487" w:rsidP="00976487">
      <w:pPr>
        <w:spacing w:after="0" w:line="240" w:lineRule="auto"/>
        <w:jc w:val="both"/>
        <w:divId w:val="1316184749"/>
        <w:rPr>
          <w:szCs w:val="24"/>
        </w:rPr>
      </w:pPr>
      <w:r w:rsidRPr="00687DE8">
        <w:rPr>
          <w:szCs w:val="24"/>
        </w:rPr>
        <w:t>(16) Koodiga 2963L tähistatud tervishoiuteenust rakendatakse ainult koos §-s 5</w:t>
      </w:r>
      <w:r w:rsidR="00480EAF" w:rsidRPr="00687DE8">
        <w:rPr>
          <w:szCs w:val="24"/>
        </w:rPr>
        <w:t>1</w:t>
      </w:r>
      <w:r w:rsidRPr="00687DE8">
        <w:rPr>
          <w:szCs w:val="24"/>
        </w:rPr>
        <w:t xml:space="preserve"> nimetatud torakaalkirurgia operatsioonidega.</w:t>
      </w:r>
    </w:p>
    <w:p w14:paraId="55963A4B" w14:textId="77777777" w:rsidR="00976487" w:rsidRPr="00687DE8" w:rsidRDefault="00976487" w:rsidP="00976487">
      <w:pPr>
        <w:spacing w:after="0" w:line="240" w:lineRule="auto"/>
        <w:jc w:val="both"/>
        <w:divId w:val="1316184749"/>
        <w:rPr>
          <w:szCs w:val="24"/>
        </w:rPr>
      </w:pPr>
    </w:p>
    <w:p w14:paraId="7F4743E8" w14:textId="77777777" w:rsidR="00976487" w:rsidRPr="00687DE8" w:rsidRDefault="00976487" w:rsidP="00976487">
      <w:pPr>
        <w:spacing w:after="0" w:line="240" w:lineRule="auto"/>
        <w:jc w:val="both"/>
        <w:divId w:val="1316184749"/>
        <w:rPr>
          <w:szCs w:val="24"/>
        </w:rPr>
      </w:pPr>
      <w:r w:rsidRPr="00687DE8">
        <w:rPr>
          <w:szCs w:val="24"/>
        </w:rPr>
        <w:t>(17) Koodiga 2876L tähistatud tervishoiuteenuse piirhinda rakendatakse koodidega 50908 ja 70906 tähistatud tervishoiuteenuste osutamisel järgmistel juhtudel:</w:t>
      </w:r>
    </w:p>
    <w:p w14:paraId="6C05145D" w14:textId="77777777" w:rsidR="00976487" w:rsidRPr="00687DE8" w:rsidRDefault="00976487" w:rsidP="00976487">
      <w:pPr>
        <w:spacing w:after="0" w:line="240" w:lineRule="auto"/>
        <w:jc w:val="both"/>
        <w:divId w:val="1316184749"/>
        <w:rPr>
          <w:szCs w:val="24"/>
        </w:rPr>
      </w:pPr>
      <w:r w:rsidRPr="00687DE8">
        <w:rPr>
          <w:szCs w:val="24"/>
        </w:rPr>
        <w:t>1) medikamentoossele ravile mittealluv kõrge kirurgilise riskiga primaarse avatud nurga glaukoom;</w:t>
      </w:r>
    </w:p>
    <w:p w14:paraId="19EB2202" w14:textId="77777777" w:rsidR="00976487" w:rsidRPr="00687DE8" w:rsidRDefault="00976487" w:rsidP="00976487">
      <w:pPr>
        <w:spacing w:after="0" w:line="240" w:lineRule="auto"/>
        <w:jc w:val="both"/>
        <w:divId w:val="1316184749"/>
        <w:rPr>
          <w:szCs w:val="24"/>
        </w:rPr>
      </w:pPr>
      <w:r w:rsidRPr="00687DE8">
        <w:rPr>
          <w:szCs w:val="24"/>
        </w:rPr>
        <w:t>2) katarakti operatsioonil, kui esineb primaarse avatud nurga glaukoom;</w:t>
      </w:r>
    </w:p>
    <w:p w14:paraId="6C8461B1" w14:textId="77777777" w:rsidR="00976487" w:rsidRPr="00687DE8" w:rsidRDefault="00976487" w:rsidP="00976487">
      <w:pPr>
        <w:spacing w:after="0" w:line="240" w:lineRule="auto"/>
        <w:jc w:val="both"/>
        <w:divId w:val="1316184749"/>
        <w:rPr>
          <w:szCs w:val="24"/>
        </w:rPr>
      </w:pPr>
      <w:r w:rsidRPr="00687DE8">
        <w:rPr>
          <w:szCs w:val="24"/>
        </w:rPr>
        <w:lastRenderedPageBreak/>
        <w:t>3) sekundaarne avatud nurga glaukoom;</w:t>
      </w:r>
    </w:p>
    <w:p w14:paraId="2DA4C1A2" w14:textId="77777777" w:rsidR="00976487" w:rsidRPr="00687DE8" w:rsidRDefault="00976487" w:rsidP="00976487">
      <w:pPr>
        <w:spacing w:after="0" w:line="240" w:lineRule="auto"/>
        <w:jc w:val="both"/>
        <w:divId w:val="1316184749"/>
        <w:rPr>
          <w:szCs w:val="24"/>
        </w:rPr>
      </w:pPr>
      <w:r w:rsidRPr="00687DE8">
        <w:rPr>
          <w:szCs w:val="24"/>
        </w:rPr>
        <w:t>4) sekundaarne suletud nurga glaukoom.</w:t>
      </w:r>
    </w:p>
    <w:p w14:paraId="24A520EC" w14:textId="77777777" w:rsidR="00976487" w:rsidRPr="00687DE8" w:rsidRDefault="00976487" w:rsidP="00976487">
      <w:pPr>
        <w:spacing w:after="0" w:line="240" w:lineRule="auto"/>
        <w:jc w:val="both"/>
        <w:divId w:val="1316184749"/>
        <w:rPr>
          <w:szCs w:val="24"/>
        </w:rPr>
      </w:pPr>
    </w:p>
    <w:p w14:paraId="6DECB2A2" w14:textId="6D5834A3" w:rsidR="00976487" w:rsidRPr="00687DE8" w:rsidRDefault="00976487" w:rsidP="00976487">
      <w:pPr>
        <w:spacing w:after="0" w:line="240" w:lineRule="auto"/>
        <w:jc w:val="both"/>
        <w:divId w:val="1316184749"/>
        <w:rPr>
          <w:szCs w:val="24"/>
        </w:rPr>
      </w:pPr>
      <w:r w:rsidRPr="00687DE8">
        <w:rPr>
          <w:szCs w:val="24"/>
        </w:rPr>
        <w:t xml:space="preserve">(18) </w:t>
      </w:r>
      <w:r w:rsidR="005023FD" w:rsidRPr="00687DE8">
        <w:rPr>
          <w:szCs w:val="24"/>
        </w:rPr>
        <w:t>Tervisekassa</w:t>
      </w:r>
      <w:r w:rsidRPr="00687DE8">
        <w:rPr>
          <w:szCs w:val="24"/>
        </w:rPr>
        <w:t xml:space="preserve"> võtab koodiga 2644L tähistatud tervishoiuteenuse eest tasu maksmise kohustuse üle kuni 19-aastase kindlustatud isiku aju- ja näokolju operatsiooni korral.</w:t>
      </w:r>
    </w:p>
    <w:p w14:paraId="2C8DD3D5" w14:textId="77777777" w:rsidR="00976487" w:rsidRPr="00687DE8" w:rsidRDefault="00976487" w:rsidP="00976487">
      <w:pPr>
        <w:spacing w:after="0" w:line="240" w:lineRule="auto"/>
        <w:jc w:val="both"/>
        <w:divId w:val="1316184749"/>
        <w:rPr>
          <w:szCs w:val="24"/>
        </w:rPr>
      </w:pPr>
    </w:p>
    <w:p w14:paraId="58046A45" w14:textId="4920F7DC" w:rsidR="00976487" w:rsidRPr="00687DE8" w:rsidRDefault="00976487" w:rsidP="00976487">
      <w:pPr>
        <w:spacing w:after="0" w:line="240" w:lineRule="auto"/>
        <w:jc w:val="both"/>
        <w:divId w:val="1316184749"/>
        <w:rPr>
          <w:szCs w:val="24"/>
        </w:rPr>
      </w:pPr>
      <w:r w:rsidRPr="00687DE8">
        <w:rPr>
          <w:szCs w:val="24"/>
        </w:rPr>
        <w:t xml:space="preserve">(19) </w:t>
      </w:r>
      <w:r w:rsidR="005023FD" w:rsidRPr="00687DE8">
        <w:rPr>
          <w:szCs w:val="24"/>
        </w:rPr>
        <w:t>Tervisekassa</w:t>
      </w:r>
      <w:r w:rsidRPr="00687DE8">
        <w:rPr>
          <w:szCs w:val="24"/>
        </w:rPr>
        <w:t xml:space="preserve"> võtab koodiga 2964L tähistatud tervishoiuteenuse eest tasu maksmise kohustuse üle patsiendilt, kellele on eesnäärme kartsinoomi operatsiooni (radikaalne prostatektoomia, eesnäärme transuretraalne resektsioon või eesnäärme adenomektoomia) järel põie sulgurlihase jääkfunktsiooni olemasolul tekkinud kerge või mõõdukas stress-uriinipidamatus, ja juhul, kui operatsioonist on möödunud vähemalt 12 kuud.</w:t>
      </w:r>
    </w:p>
    <w:p w14:paraId="3C6DB561" w14:textId="77777777" w:rsidR="00976487" w:rsidRPr="00687DE8" w:rsidRDefault="00976487" w:rsidP="00976487">
      <w:pPr>
        <w:spacing w:after="0" w:line="240" w:lineRule="auto"/>
        <w:jc w:val="both"/>
        <w:divId w:val="1316184749"/>
        <w:rPr>
          <w:szCs w:val="24"/>
        </w:rPr>
      </w:pPr>
    </w:p>
    <w:p w14:paraId="57D41BAF" w14:textId="77777777" w:rsidR="00976487" w:rsidRPr="00687DE8" w:rsidRDefault="00976487" w:rsidP="00976487">
      <w:pPr>
        <w:spacing w:after="0" w:line="240" w:lineRule="auto"/>
        <w:jc w:val="both"/>
        <w:divId w:val="1316184749"/>
        <w:rPr>
          <w:szCs w:val="24"/>
        </w:rPr>
      </w:pPr>
      <w:r w:rsidRPr="00687DE8">
        <w:rPr>
          <w:szCs w:val="24"/>
        </w:rPr>
        <w:t>(20) Koodidega 2964L ja 2965L tähistatud tervishoiuteenuseid rakendatakse koos koodiga 1K2104 tähistatud tervishoiuteenusega.</w:t>
      </w:r>
    </w:p>
    <w:p w14:paraId="7F36F36B" w14:textId="77777777" w:rsidR="00976487" w:rsidRPr="00687DE8" w:rsidRDefault="00976487" w:rsidP="00976487">
      <w:pPr>
        <w:spacing w:after="0" w:line="240" w:lineRule="auto"/>
        <w:jc w:val="both"/>
        <w:divId w:val="1316184749"/>
        <w:rPr>
          <w:szCs w:val="24"/>
        </w:rPr>
      </w:pPr>
    </w:p>
    <w:p w14:paraId="7A2550D2" w14:textId="77777777" w:rsidR="00976487" w:rsidRPr="00687DE8" w:rsidRDefault="00976487" w:rsidP="00976487">
      <w:pPr>
        <w:spacing w:after="0" w:line="240" w:lineRule="auto"/>
        <w:jc w:val="both"/>
        <w:divId w:val="1316184749"/>
        <w:rPr>
          <w:szCs w:val="24"/>
        </w:rPr>
      </w:pPr>
      <w:r w:rsidRPr="00687DE8">
        <w:rPr>
          <w:szCs w:val="24"/>
        </w:rPr>
        <w:t>(2</w:t>
      </w:r>
      <w:r w:rsidR="00C26375" w:rsidRPr="00687DE8">
        <w:rPr>
          <w:szCs w:val="24"/>
        </w:rPr>
        <w:t>1</w:t>
      </w:r>
      <w:r w:rsidRPr="00687DE8">
        <w:rPr>
          <w:szCs w:val="24"/>
        </w:rPr>
        <w:t>) Koodiga 2524L tähistatud tervishoiuteenust rakendatakse koos koodiga 7673 tähistatud tervishoiuteenusega.</w:t>
      </w:r>
    </w:p>
    <w:p w14:paraId="049A795C" w14:textId="77777777" w:rsidR="00976487" w:rsidRPr="00687DE8" w:rsidRDefault="00976487" w:rsidP="00976487">
      <w:pPr>
        <w:spacing w:after="0" w:line="240" w:lineRule="auto"/>
        <w:jc w:val="both"/>
        <w:divId w:val="1316184749"/>
        <w:rPr>
          <w:szCs w:val="24"/>
        </w:rPr>
      </w:pPr>
    </w:p>
    <w:p w14:paraId="352E75A5" w14:textId="77777777" w:rsidR="00976487" w:rsidRPr="00687DE8" w:rsidRDefault="00976487" w:rsidP="00976487">
      <w:pPr>
        <w:spacing w:after="0" w:line="240" w:lineRule="auto"/>
        <w:jc w:val="both"/>
        <w:divId w:val="1316184749"/>
        <w:rPr>
          <w:szCs w:val="24"/>
        </w:rPr>
      </w:pPr>
      <w:r w:rsidRPr="00687DE8">
        <w:rPr>
          <w:szCs w:val="24"/>
        </w:rPr>
        <w:t>(2</w:t>
      </w:r>
      <w:r w:rsidR="00C26375" w:rsidRPr="00687DE8">
        <w:rPr>
          <w:szCs w:val="24"/>
        </w:rPr>
        <w:t>2</w:t>
      </w:r>
      <w:r w:rsidRPr="00687DE8">
        <w:rPr>
          <w:szCs w:val="24"/>
        </w:rPr>
        <w:t>) Koodiga 2525L tähistatud tervishoiuteenust rakendatakse koos koodiga 7674 tähistatud tervishoiuteenusega.</w:t>
      </w:r>
    </w:p>
    <w:p w14:paraId="52640FC2" w14:textId="77777777" w:rsidR="00976487" w:rsidRPr="00687DE8" w:rsidRDefault="00976487" w:rsidP="00976487">
      <w:pPr>
        <w:spacing w:after="0" w:line="240" w:lineRule="auto"/>
        <w:jc w:val="both"/>
        <w:divId w:val="1316184749"/>
        <w:rPr>
          <w:szCs w:val="24"/>
        </w:rPr>
      </w:pPr>
    </w:p>
    <w:p w14:paraId="63BD76FE" w14:textId="77777777" w:rsidR="00976487" w:rsidRPr="00687DE8" w:rsidRDefault="00976487" w:rsidP="00976487">
      <w:pPr>
        <w:spacing w:after="0" w:line="240" w:lineRule="auto"/>
        <w:jc w:val="both"/>
        <w:divId w:val="1316184749"/>
        <w:rPr>
          <w:szCs w:val="24"/>
        </w:rPr>
      </w:pPr>
      <w:r w:rsidRPr="00687DE8">
        <w:rPr>
          <w:szCs w:val="24"/>
        </w:rPr>
        <w:t>(2</w:t>
      </w:r>
      <w:r w:rsidR="00C26375" w:rsidRPr="00687DE8">
        <w:rPr>
          <w:szCs w:val="24"/>
        </w:rPr>
        <w:t>3</w:t>
      </w:r>
      <w:r w:rsidRPr="00687DE8">
        <w:rPr>
          <w:szCs w:val="24"/>
        </w:rPr>
        <w:t>) Koodiga 2526L tähistatud tervishoiuteenust rakendatakse koos koodiga 7675 tähistatud tervishoiuteenusega.</w:t>
      </w:r>
    </w:p>
    <w:p w14:paraId="768ACF3A" w14:textId="77777777" w:rsidR="00976487" w:rsidRPr="00687DE8" w:rsidRDefault="00976487" w:rsidP="00976487">
      <w:pPr>
        <w:spacing w:after="0" w:line="240" w:lineRule="auto"/>
        <w:jc w:val="both"/>
        <w:divId w:val="1316184749"/>
        <w:rPr>
          <w:szCs w:val="24"/>
        </w:rPr>
      </w:pPr>
    </w:p>
    <w:p w14:paraId="463CE5EC" w14:textId="77777777" w:rsidR="00976487" w:rsidRPr="00687DE8" w:rsidRDefault="00976487" w:rsidP="00976487">
      <w:pPr>
        <w:spacing w:after="0" w:line="240" w:lineRule="auto"/>
        <w:jc w:val="both"/>
        <w:divId w:val="1316184749"/>
        <w:rPr>
          <w:szCs w:val="24"/>
        </w:rPr>
      </w:pPr>
      <w:r w:rsidRPr="00687DE8">
        <w:rPr>
          <w:szCs w:val="24"/>
        </w:rPr>
        <w:t>(2</w:t>
      </w:r>
      <w:r w:rsidR="00C26375" w:rsidRPr="00687DE8">
        <w:rPr>
          <w:szCs w:val="24"/>
        </w:rPr>
        <w:t>4</w:t>
      </w:r>
      <w:r w:rsidRPr="00687DE8">
        <w:rPr>
          <w:szCs w:val="24"/>
        </w:rPr>
        <w:t>) Koodiga 2527L tähistatud tervishoiuteenust rakendatakse koos koodiga 7676 tähistatud tervishoiuteenusega.</w:t>
      </w:r>
    </w:p>
    <w:p w14:paraId="294D6055" w14:textId="77777777" w:rsidR="00976487" w:rsidRPr="00687DE8" w:rsidRDefault="00976487" w:rsidP="00976487">
      <w:pPr>
        <w:spacing w:after="0" w:line="240" w:lineRule="auto"/>
        <w:jc w:val="both"/>
        <w:divId w:val="1316184749"/>
        <w:rPr>
          <w:szCs w:val="24"/>
        </w:rPr>
      </w:pPr>
    </w:p>
    <w:p w14:paraId="18756F4E" w14:textId="77777777" w:rsidR="00976487" w:rsidRPr="00687DE8" w:rsidRDefault="00976487" w:rsidP="00976487">
      <w:pPr>
        <w:spacing w:after="0" w:line="240" w:lineRule="auto"/>
        <w:jc w:val="both"/>
        <w:divId w:val="1316184749"/>
        <w:rPr>
          <w:szCs w:val="24"/>
        </w:rPr>
      </w:pPr>
      <w:r w:rsidRPr="00687DE8">
        <w:rPr>
          <w:szCs w:val="24"/>
        </w:rPr>
        <w:t>(2</w:t>
      </w:r>
      <w:r w:rsidR="00C26375" w:rsidRPr="00687DE8">
        <w:rPr>
          <w:szCs w:val="24"/>
        </w:rPr>
        <w:t>5</w:t>
      </w:r>
      <w:r w:rsidRPr="00687DE8">
        <w:rPr>
          <w:szCs w:val="24"/>
        </w:rPr>
        <w:t>) Koodiga 2528L tähistatud tervishoiuteenust rakendatakse koos koodiga 7677 tähistatud tervishoiuteenusega.</w:t>
      </w:r>
    </w:p>
    <w:p w14:paraId="6C3BAF51" w14:textId="77777777" w:rsidR="00976487" w:rsidRPr="00687DE8" w:rsidRDefault="00976487" w:rsidP="00976487">
      <w:pPr>
        <w:spacing w:after="0" w:line="240" w:lineRule="auto"/>
        <w:jc w:val="both"/>
        <w:divId w:val="1316184749"/>
        <w:rPr>
          <w:szCs w:val="24"/>
        </w:rPr>
      </w:pPr>
    </w:p>
    <w:p w14:paraId="48C1A82B" w14:textId="77777777" w:rsidR="00976487" w:rsidRPr="00687DE8" w:rsidRDefault="00976487" w:rsidP="00976487">
      <w:pPr>
        <w:spacing w:after="0" w:line="240" w:lineRule="auto"/>
        <w:jc w:val="both"/>
        <w:divId w:val="1316184749"/>
        <w:rPr>
          <w:szCs w:val="24"/>
        </w:rPr>
      </w:pPr>
      <w:r w:rsidRPr="00687DE8">
        <w:rPr>
          <w:szCs w:val="24"/>
        </w:rPr>
        <w:t>(2</w:t>
      </w:r>
      <w:r w:rsidR="00C26375" w:rsidRPr="00687DE8">
        <w:rPr>
          <w:szCs w:val="24"/>
        </w:rPr>
        <w:t>6</w:t>
      </w:r>
      <w:r w:rsidRPr="00687DE8">
        <w:rPr>
          <w:szCs w:val="24"/>
        </w:rPr>
        <w:t>) Koodiga 2529L tähistatud tervishoiuteenust rakendatakse koos koodiga 7678 tähistatud tervishoiuteenusega.</w:t>
      </w:r>
    </w:p>
    <w:p w14:paraId="485D4945" w14:textId="77777777" w:rsidR="00976487" w:rsidRPr="00687DE8" w:rsidRDefault="00976487" w:rsidP="00976487">
      <w:pPr>
        <w:spacing w:after="0" w:line="240" w:lineRule="auto"/>
        <w:jc w:val="both"/>
        <w:divId w:val="1316184749"/>
        <w:rPr>
          <w:szCs w:val="24"/>
        </w:rPr>
      </w:pPr>
    </w:p>
    <w:p w14:paraId="3DD0B921" w14:textId="77777777" w:rsidR="00976487" w:rsidRPr="00687DE8" w:rsidRDefault="00976487" w:rsidP="00976487">
      <w:pPr>
        <w:spacing w:after="0" w:line="240" w:lineRule="auto"/>
        <w:jc w:val="both"/>
        <w:divId w:val="1316184749"/>
        <w:rPr>
          <w:szCs w:val="24"/>
        </w:rPr>
      </w:pPr>
      <w:r w:rsidRPr="00687DE8">
        <w:rPr>
          <w:szCs w:val="24"/>
        </w:rPr>
        <w:t>(2</w:t>
      </w:r>
      <w:r w:rsidR="00C26375" w:rsidRPr="00687DE8">
        <w:rPr>
          <w:szCs w:val="24"/>
        </w:rPr>
        <w:t>7</w:t>
      </w:r>
      <w:r w:rsidRPr="00687DE8">
        <w:rPr>
          <w:szCs w:val="24"/>
        </w:rPr>
        <w:t>) Koodiga 2969L tähistatud tervishoiuteenust rakendatakse koos koodiga 7811 tähistatud tervishoiuteenusega.</w:t>
      </w:r>
    </w:p>
    <w:p w14:paraId="0B5AF165" w14:textId="77777777" w:rsidR="00976487" w:rsidRPr="00687DE8" w:rsidRDefault="00976487" w:rsidP="00976487">
      <w:pPr>
        <w:spacing w:after="0" w:line="240" w:lineRule="auto"/>
        <w:jc w:val="both"/>
        <w:divId w:val="1316184749"/>
        <w:rPr>
          <w:szCs w:val="24"/>
        </w:rPr>
      </w:pPr>
    </w:p>
    <w:p w14:paraId="3AEB7154" w14:textId="50CFF4FF" w:rsidR="00976487" w:rsidRPr="00687DE8" w:rsidRDefault="00976487" w:rsidP="00976487">
      <w:pPr>
        <w:spacing w:after="0" w:line="240" w:lineRule="auto"/>
        <w:jc w:val="both"/>
        <w:divId w:val="1316184749"/>
        <w:rPr>
          <w:szCs w:val="24"/>
        </w:rPr>
      </w:pPr>
      <w:r w:rsidRPr="00687DE8">
        <w:rPr>
          <w:szCs w:val="24"/>
        </w:rPr>
        <w:t>(2</w:t>
      </w:r>
      <w:r w:rsidR="00C26375" w:rsidRPr="00687DE8">
        <w:rPr>
          <w:szCs w:val="24"/>
        </w:rPr>
        <w:t>8</w:t>
      </w:r>
      <w:r w:rsidRPr="00687DE8">
        <w:rPr>
          <w:szCs w:val="24"/>
        </w:rPr>
        <w:t xml:space="preserve">) </w:t>
      </w:r>
      <w:r w:rsidR="005023FD" w:rsidRPr="00687DE8">
        <w:rPr>
          <w:szCs w:val="24"/>
        </w:rPr>
        <w:t>Tervisekassa</w:t>
      </w:r>
      <w:r w:rsidRPr="00687DE8">
        <w:rPr>
          <w:szCs w:val="24"/>
        </w:rPr>
        <w:t xml:space="preserve"> võtab koodiga 2980L või 2981L tähistatud tervishoiuteenuse eest tasu maksmise kohustuse üle juhul, kui seda rakendatakse koos koodiga 1L2122 tähistatud tervishoiuteenusega.</w:t>
      </w:r>
    </w:p>
    <w:p w14:paraId="756781D9" w14:textId="77777777" w:rsidR="00976487" w:rsidRPr="00687DE8" w:rsidRDefault="00976487" w:rsidP="00976487">
      <w:pPr>
        <w:spacing w:after="0" w:line="240" w:lineRule="auto"/>
        <w:jc w:val="both"/>
        <w:divId w:val="1316184749"/>
        <w:rPr>
          <w:szCs w:val="24"/>
        </w:rPr>
      </w:pPr>
    </w:p>
    <w:p w14:paraId="1EED55F9" w14:textId="17933CB4" w:rsidR="00976487" w:rsidRPr="00687DE8" w:rsidRDefault="00976487" w:rsidP="00976487">
      <w:pPr>
        <w:spacing w:after="0" w:line="240" w:lineRule="auto"/>
        <w:jc w:val="both"/>
        <w:divId w:val="1316184749"/>
        <w:rPr>
          <w:szCs w:val="24"/>
        </w:rPr>
      </w:pPr>
      <w:r w:rsidRPr="00687DE8">
        <w:rPr>
          <w:szCs w:val="24"/>
        </w:rPr>
        <w:t>(</w:t>
      </w:r>
      <w:r w:rsidR="00C26375" w:rsidRPr="00687DE8">
        <w:rPr>
          <w:szCs w:val="24"/>
        </w:rPr>
        <w:t>29</w:t>
      </w:r>
      <w:r w:rsidRPr="00687DE8">
        <w:rPr>
          <w:szCs w:val="24"/>
        </w:rPr>
        <w:t xml:space="preserve">) </w:t>
      </w:r>
      <w:r w:rsidR="005023FD" w:rsidRPr="00687DE8">
        <w:rPr>
          <w:szCs w:val="24"/>
        </w:rPr>
        <w:t>Tervisekassa</w:t>
      </w:r>
      <w:r w:rsidRPr="00687DE8">
        <w:rPr>
          <w:szCs w:val="24"/>
        </w:rPr>
        <w:t xml:space="preserve"> võtab koodiga 2732L või 2733L tähistatud tervishoiuteenuse eest tasu maksmise kohustuse üle juhul, kui seda rakendatakse koos koodiga 1A2137 tähistatud tervishoiuteenusega.</w:t>
      </w:r>
    </w:p>
    <w:p w14:paraId="1207F9EA" w14:textId="77777777" w:rsidR="00976487" w:rsidRPr="00687DE8" w:rsidRDefault="00976487" w:rsidP="00976487">
      <w:pPr>
        <w:spacing w:after="0" w:line="240" w:lineRule="auto"/>
        <w:jc w:val="both"/>
        <w:divId w:val="1316184749"/>
        <w:rPr>
          <w:szCs w:val="24"/>
        </w:rPr>
      </w:pPr>
    </w:p>
    <w:p w14:paraId="570B5249" w14:textId="55873402" w:rsidR="00976487" w:rsidRPr="00687DE8" w:rsidRDefault="00976487" w:rsidP="00976487">
      <w:pPr>
        <w:spacing w:after="0" w:line="240" w:lineRule="auto"/>
        <w:jc w:val="both"/>
        <w:divId w:val="1316184749"/>
        <w:rPr>
          <w:szCs w:val="24"/>
        </w:rPr>
      </w:pPr>
      <w:r w:rsidRPr="00687DE8">
        <w:rPr>
          <w:szCs w:val="24"/>
        </w:rPr>
        <w:t>(3</w:t>
      </w:r>
      <w:r w:rsidR="00C26375" w:rsidRPr="00687DE8">
        <w:rPr>
          <w:szCs w:val="24"/>
        </w:rPr>
        <w:t>0</w:t>
      </w:r>
      <w:r w:rsidRPr="00687DE8">
        <w:rPr>
          <w:szCs w:val="24"/>
        </w:rPr>
        <w:t xml:space="preserve">) </w:t>
      </w:r>
      <w:r w:rsidR="005023FD" w:rsidRPr="00687DE8">
        <w:rPr>
          <w:szCs w:val="24"/>
        </w:rPr>
        <w:t>Tervisekassa</w:t>
      </w:r>
      <w:r w:rsidRPr="00687DE8">
        <w:rPr>
          <w:szCs w:val="24"/>
        </w:rPr>
        <w:t xml:space="preserve"> võtab koodidega 2680L ja 2681L tähistatud tervishoiuteenus</w:t>
      </w:r>
      <w:r w:rsidR="00E0551A" w:rsidRPr="00687DE8">
        <w:rPr>
          <w:szCs w:val="24"/>
        </w:rPr>
        <w:t>t</w:t>
      </w:r>
      <w:r w:rsidRPr="00687DE8">
        <w:rPr>
          <w:szCs w:val="24"/>
        </w:rPr>
        <w:t>e eest tasu maksmise kohustuse üle alalõualiigese raskekujulise deformatsiooni ja/või funktsioonihäire korral juhul, kui muud ravimeetodid on ammendunud ning kui teenust osutab alalõualuu liigese proteesimise pädevusega näo-lõualuukirurg. Tervishoiuteenust rakendatakse haiglate loetelus nimetatud piirkondlikus haiglas.</w:t>
      </w:r>
    </w:p>
    <w:p w14:paraId="686090E9" w14:textId="77777777" w:rsidR="00976487" w:rsidRPr="00687DE8" w:rsidRDefault="00976487" w:rsidP="00976487">
      <w:pPr>
        <w:spacing w:after="0" w:line="240" w:lineRule="auto"/>
        <w:jc w:val="both"/>
        <w:divId w:val="1316184749"/>
        <w:rPr>
          <w:szCs w:val="24"/>
        </w:rPr>
      </w:pPr>
    </w:p>
    <w:p w14:paraId="5BA4250B" w14:textId="77777777" w:rsidR="00976487" w:rsidRPr="00687DE8" w:rsidRDefault="00976487" w:rsidP="00976487">
      <w:pPr>
        <w:spacing w:after="0" w:line="240" w:lineRule="auto"/>
        <w:jc w:val="both"/>
        <w:divId w:val="1316184749"/>
        <w:rPr>
          <w:szCs w:val="24"/>
        </w:rPr>
      </w:pPr>
      <w:r w:rsidRPr="00687DE8">
        <w:rPr>
          <w:szCs w:val="24"/>
        </w:rPr>
        <w:t>(3</w:t>
      </w:r>
      <w:r w:rsidR="00C26375" w:rsidRPr="00687DE8">
        <w:rPr>
          <w:szCs w:val="24"/>
        </w:rPr>
        <w:t>1</w:t>
      </w:r>
      <w:r w:rsidRPr="00687DE8">
        <w:rPr>
          <w:szCs w:val="24"/>
        </w:rPr>
        <w:t xml:space="preserve">) Koodiga 2973L tähistatud tervishoiuteenust rakendatakse juhul, kui stent sisestatakse perifeersesse veresoonde 0,035ʹʹ juhtetraadil. </w:t>
      </w:r>
    </w:p>
    <w:p w14:paraId="432DEE23" w14:textId="77777777" w:rsidR="00976487" w:rsidRPr="00687DE8" w:rsidRDefault="00976487" w:rsidP="00976487">
      <w:pPr>
        <w:spacing w:after="0" w:line="240" w:lineRule="auto"/>
        <w:jc w:val="both"/>
        <w:divId w:val="1316184749"/>
        <w:rPr>
          <w:szCs w:val="24"/>
        </w:rPr>
      </w:pPr>
    </w:p>
    <w:p w14:paraId="54159812" w14:textId="77777777" w:rsidR="00976487" w:rsidRPr="00687DE8" w:rsidRDefault="00976487" w:rsidP="00976487">
      <w:pPr>
        <w:spacing w:after="0" w:line="240" w:lineRule="auto"/>
        <w:jc w:val="both"/>
        <w:outlineLvl w:val="2"/>
        <w:divId w:val="1316184749"/>
        <w:rPr>
          <w:szCs w:val="24"/>
        </w:rPr>
      </w:pPr>
      <w:r w:rsidRPr="00687DE8">
        <w:rPr>
          <w:szCs w:val="24"/>
        </w:rPr>
        <w:t>(3</w:t>
      </w:r>
      <w:r w:rsidR="00C26375" w:rsidRPr="00687DE8">
        <w:rPr>
          <w:szCs w:val="24"/>
        </w:rPr>
        <w:t>2</w:t>
      </w:r>
      <w:r w:rsidRPr="00687DE8">
        <w:rPr>
          <w:szCs w:val="24"/>
        </w:rPr>
        <w:t>) Koodiga 2974L tähistatud tervishoiuteenust rakendatakse juhul, kui stent sisestatakse perifeersesse veresoonde 0,014ʹʹ juhtetraadil või 0,018ʹʹ juhtetraadil.</w:t>
      </w:r>
    </w:p>
    <w:p w14:paraId="5B77BED5" w14:textId="77777777" w:rsidR="00976487" w:rsidRPr="00687DE8" w:rsidRDefault="00976487" w:rsidP="00976487">
      <w:pPr>
        <w:spacing w:after="0" w:line="240" w:lineRule="auto"/>
        <w:jc w:val="both"/>
        <w:outlineLvl w:val="2"/>
        <w:divId w:val="1316184749"/>
        <w:rPr>
          <w:bCs/>
          <w:szCs w:val="24"/>
        </w:rPr>
      </w:pPr>
    </w:p>
    <w:p w14:paraId="1BE0D87C" w14:textId="2B353F04" w:rsidR="00E0551A" w:rsidRPr="00687DE8" w:rsidRDefault="00E0551A" w:rsidP="00E0551A">
      <w:pPr>
        <w:spacing w:after="0" w:line="240" w:lineRule="auto"/>
        <w:jc w:val="both"/>
        <w:divId w:val="1316184749"/>
        <w:rPr>
          <w:szCs w:val="24"/>
        </w:rPr>
      </w:pPr>
      <w:r w:rsidRPr="00687DE8">
        <w:rPr>
          <w:szCs w:val="24"/>
        </w:rPr>
        <w:t>(3</w:t>
      </w:r>
      <w:r w:rsidR="00C26375" w:rsidRPr="00687DE8">
        <w:rPr>
          <w:szCs w:val="24"/>
        </w:rPr>
        <w:t>3</w:t>
      </w:r>
      <w:r w:rsidRPr="00687DE8">
        <w:rPr>
          <w:szCs w:val="24"/>
        </w:rPr>
        <w:t xml:space="preserve">) </w:t>
      </w:r>
      <w:r w:rsidR="005023FD" w:rsidRPr="00687DE8">
        <w:rPr>
          <w:szCs w:val="24"/>
        </w:rPr>
        <w:t>Tervisekassa</w:t>
      </w:r>
      <w:r w:rsidRPr="00687DE8">
        <w:rPr>
          <w:szCs w:val="24"/>
        </w:rPr>
        <w:t xml:space="preserve"> võtab koodiga 2822L tähistatud tervishoiuteenuse eest tasu maksmise kohustuse üle juhul, kui teenust rakendatakse unearteri endovaskulaarsel protseduuril.</w:t>
      </w:r>
    </w:p>
    <w:p w14:paraId="1BDDBE21" w14:textId="77777777" w:rsidR="00E0551A" w:rsidRPr="00687DE8" w:rsidRDefault="00E0551A" w:rsidP="00E0551A">
      <w:pPr>
        <w:spacing w:after="0" w:line="240" w:lineRule="auto"/>
        <w:jc w:val="both"/>
        <w:divId w:val="1316184749"/>
        <w:rPr>
          <w:bCs/>
          <w:szCs w:val="24"/>
        </w:rPr>
      </w:pPr>
    </w:p>
    <w:p w14:paraId="24D3AA7E" w14:textId="297B62A5" w:rsidR="00E0551A" w:rsidRPr="00687DE8" w:rsidRDefault="00E0551A" w:rsidP="00E0551A">
      <w:pPr>
        <w:spacing w:after="0" w:line="240" w:lineRule="auto"/>
        <w:jc w:val="both"/>
        <w:divId w:val="1316184749"/>
        <w:rPr>
          <w:szCs w:val="24"/>
        </w:rPr>
      </w:pPr>
      <w:r w:rsidRPr="00687DE8">
        <w:rPr>
          <w:szCs w:val="24"/>
        </w:rPr>
        <w:t>(3</w:t>
      </w:r>
      <w:r w:rsidR="00C26375" w:rsidRPr="00687DE8">
        <w:rPr>
          <w:szCs w:val="24"/>
        </w:rPr>
        <w:t>4</w:t>
      </w:r>
      <w:r w:rsidRPr="00687DE8">
        <w:rPr>
          <w:szCs w:val="24"/>
        </w:rPr>
        <w:t xml:space="preserve">) </w:t>
      </w:r>
      <w:r w:rsidR="005023FD" w:rsidRPr="00687DE8">
        <w:rPr>
          <w:szCs w:val="24"/>
        </w:rPr>
        <w:t>Tervisekassa</w:t>
      </w:r>
      <w:r w:rsidRPr="00687DE8">
        <w:rPr>
          <w:szCs w:val="24"/>
        </w:rPr>
        <w:t xml:space="preserve"> võtab koodidega 2824L ja 2826L tähistatud tervishoiuteenuste eest tasu maksmise kohustuse üle maksimaalselt ühel korral ühe endovaskulaarse põhiprotseduuri kohta.</w:t>
      </w:r>
    </w:p>
    <w:p w14:paraId="67406795" w14:textId="77777777" w:rsidR="00E0551A" w:rsidRPr="00687DE8" w:rsidRDefault="00E0551A" w:rsidP="00E0551A">
      <w:pPr>
        <w:spacing w:after="0" w:line="240" w:lineRule="auto"/>
        <w:jc w:val="both"/>
        <w:divId w:val="1316184749"/>
        <w:rPr>
          <w:bCs/>
          <w:szCs w:val="24"/>
        </w:rPr>
      </w:pPr>
    </w:p>
    <w:p w14:paraId="2CD2A7BB" w14:textId="177EC87E" w:rsidR="00E0551A" w:rsidRPr="00687DE8" w:rsidRDefault="00E0551A" w:rsidP="00E0551A">
      <w:pPr>
        <w:spacing w:after="0" w:line="240" w:lineRule="auto"/>
        <w:jc w:val="both"/>
        <w:divId w:val="1316184749"/>
        <w:rPr>
          <w:szCs w:val="24"/>
        </w:rPr>
      </w:pPr>
      <w:r w:rsidRPr="00687DE8">
        <w:rPr>
          <w:szCs w:val="24"/>
        </w:rPr>
        <w:t>(3</w:t>
      </w:r>
      <w:r w:rsidR="00C26375" w:rsidRPr="00687DE8">
        <w:rPr>
          <w:szCs w:val="24"/>
        </w:rPr>
        <w:t>5</w:t>
      </w:r>
      <w:r w:rsidRPr="00687DE8">
        <w:rPr>
          <w:szCs w:val="24"/>
        </w:rPr>
        <w:t xml:space="preserve">) </w:t>
      </w:r>
      <w:r w:rsidR="005023FD" w:rsidRPr="00687DE8">
        <w:rPr>
          <w:szCs w:val="24"/>
        </w:rPr>
        <w:t>Tervisekassa</w:t>
      </w:r>
      <w:r w:rsidRPr="00687DE8">
        <w:rPr>
          <w:szCs w:val="24"/>
        </w:rPr>
        <w:t xml:space="preserve"> võtab koodiga 2987L või 2988L tähistatud tervishoiuteenuse eest tasu maksmise kohustuse üle juhul, kui seda rakendatakse koos koodiga 1L2215 tähistatud tervishoiuteenusega.</w:t>
      </w:r>
    </w:p>
    <w:p w14:paraId="28797A4A" w14:textId="77777777" w:rsidR="00E0551A" w:rsidRPr="00687DE8" w:rsidRDefault="00E0551A" w:rsidP="00E0551A">
      <w:pPr>
        <w:spacing w:after="0" w:line="240" w:lineRule="auto"/>
        <w:jc w:val="both"/>
        <w:divId w:val="1316184749"/>
        <w:rPr>
          <w:bCs/>
          <w:szCs w:val="24"/>
        </w:rPr>
      </w:pPr>
    </w:p>
    <w:p w14:paraId="57553C0D" w14:textId="64BC0427" w:rsidR="00E0551A" w:rsidRPr="00687DE8" w:rsidRDefault="00E0551A" w:rsidP="00E0551A">
      <w:pPr>
        <w:spacing w:after="0" w:line="240" w:lineRule="auto"/>
        <w:jc w:val="both"/>
        <w:divId w:val="1316184749"/>
        <w:rPr>
          <w:szCs w:val="24"/>
        </w:rPr>
      </w:pPr>
      <w:r w:rsidRPr="00687DE8">
        <w:rPr>
          <w:szCs w:val="24"/>
        </w:rPr>
        <w:t>(3</w:t>
      </w:r>
      <w:r w:rsidR="00C26375" w:rsidRPr="00687DE8">
        <w:rPr>
          <w:szCs w:val="24"/>
        </w:rPr>
        <w:t>6</w:t>
      </w:r>
      <w:r w:rsidRPr="00687DE8">
        <w:rPr>
          <w:szCs w:val="24"/>
        </w:rPr>
        <w:t xml:space="preserve">) </w:t>
      </w:r>
      <w:bookmarkStart w:id="31" w:name="_Hlk55572563"/>
      <w:r w:rsidR="005023FD" w:rsidRPr="00687DE8">
        <w:rPr>
          <w:szCs w:val="24"/>
        </w:rPr>
        <w:t>Tervisekassa</w:t>
      </w:r>
      <w:r w:rsidRPr="00687DE8">
        <w:rPr>
          <w:szCs w:val="24"/>
        </w:rPr>
        <w:t xml:space="preserve"> võtab koodiga 2771L või 2772L tähistatud tervishoiuteenuse eest tasu maksmise kohustuse üle juhul, kui seda rakendatakse koos koodiga 7547 tähistatud tervishoiuteenusega.</w:t>
      </w:r>
    </w:p>
    <w:p w14:paraId="7BEDB063" w14:textId="77777777" w:rsidR="00E0551A" w:rsidRPr="00687DE8" w:rsidRDefault="00E0551A" w:rsidP="00E0551A">
      <w:pPr>
        <w:spacing w:after="0" w:line="240" w:lineRule="auto"/>
        <w:jc w:val="both"/>
        <w:divId w:val="1316184749"/>
        <w:rPr>
          <w:bCs/>
          <w:szCs w:val="24"/>
        </w:rPr>
      </w:pPr>
    </w:p>
    <w:bookmarkEnd w:id="31"/>
    <w:p w14:paraId="6894B4DB" w14:textId="3DDC7791" w:rsidR="00E0551A" w:rsidRPr="00687DE8" w:rsidRDefault="00E0551A" w:rsidP="00E0551A">
      <w:pPr>
        <w:spacing w:after="0" w:line="240" w:lineRule="auto"/>
        <w:jc w:val="both"/>
        <w:divId w:val="1316184749"/>
        <w:rPr>
          <w:szCs w:val="24"/>
        </w:rPr>
      </w:pPr>
      <w:r w:rsidRPr="00687DE8">
        <w:rPr>
          <w:szCs w:val="24"/>
        </w:rPr>
        <w:t>(3</w:t>
      </w:r>
      <w:r w:rsidR="00C26375" w:rsidRPr="00687DE8">
        <w:rPr>
          <w:szCs w:val="24"/>
        </w:rPr>
        <w:t>7</w:t>
      </w:r>
      <w:r w:rsidRPr="00687DE8">
        <w:rPr>
          <w:szCs w:val="24"/>
        </w:rPr>
        <w:t xml:space="preserve">) </w:t>
      </w:r>
      <w:r w:rsidR="005023FD" w:rsidRPr="00687DE8">
        <w:rPr>
          <w:szCs w:val="24"/>
        </w:rPr>
        <w:t>Tervisekassa</w:t>
      </w:r>
      <w:r w:rsidRPr="00687DE8">
        <w:rPr>
          <w:szCs w:val="24"/>
        </w:rPr>
        <w:t xml:space="preserve"> võtab koodiga 2773L või 2774L tähistatud tervishoiuteenuse eest tasu maksmise kohustuse üle juhul, kui seda rakendatakse koos koodiga 7548 tähistatud tervishoiuteenusega.</w:t>
      </w:r>
    </w:p>
    <w:p w14:paraId="2BEB2F2B" w14:textId="77777777" w:rsidR="00E0551A" w:rsidRPr="00687DE8" w:rsidRDefault="00E0551A" w:rsidP="00E0551A">
      <w:pPr>
        <w:spacing w:after="0" w:line="240" w:lineRule="auto"/>
        <w:jc w:val="both"/>
        <w:divId w:val="1316184749"/>
        <w:rPr>
          <w:bCs/>
          <w:szCs w:val="24"/>
        </w:rPr>
      </w:pPr>
    </w:p>
    <w:p w14:paraId="787D56E4" w14:textId="37AB2BFB" w:rsidR="00E0551A" w:rsidRPr="00687DE8" w:rsidRDefault="00E0551A" w:rsidP="00E0551A">
      <w:pPr>
        <w:spacing w:after="0" w:line="240" w:lineRule="auto"/>
        <w:jc w:val="both"/>
        <w:divId w:val="1316184749"/>
        <w:rPr>
          <w:szCs w:val="24"/>
        </w:rPr>
      </w:pPr>
      <w:bookmarkStart w:id="32" w:name="_Hlk55572690"/>
      <w:r w:rsidRPr="00687DE8">
        <w:rPr>
          <w:szCs w:val="24"/>
        </w:rPr>
        <w:t>(3</w:t>
      </w:r>
      <w:r w:rsidR="00C26375" w:rsidRPr="00687DE8">
        <w:rPr>
          <w:szCs w:val="24"/>
        </w:rPr>
        <w:t>8</w:t>
      </w:r>
      <w:r w:rsidRPr="00687DE8">
        <w:rPr>
          <w:szCs w:val="24"/>
        </w:rPr>
        <w:t xml:space="preserve">) </w:t>
      </w:r>
      <w:r w:rsidR="005023FD" w:rsidRPr="00687DE8">
        <w:rPr>
          <w:szCs w:val="24"/>
        </w:rPr>
        <w:t>Tervisekassa</w:t>
      </w:r>
      <w:r w:rsidRPr="00687DE8">
        <w:rPr>
          <w:szCs w:val="24"/>
        </w:rPr>
        <w:t xml:space="preserve"> võtab koodiga 2911L tähistatud tervishoiuteenuse eest tasu maksmise kohustuse üle juhul, kui seda rakendatakse koos koodiga 1K2233 tähistatud tervishoiuteenusega.</w:t>
      </w:r>
    </w:p>
    <w:p w14:paraId="7B7B5399" w14:textId="77777777" w:rsidR="0096340F" w:rsidRPr="00687DE8" w:rsidRDefault="0096340F" w:rsidP="00E0551A">
      <w:pPr>
        <w:spacing w:after="0" w:line="240" w:lineRule="auto"/>
        <w:jc w:val="both"/>
        <w:divId w:val="1316184749"/>
        <w:rPr>
          <w:bCs/>
          <w:szCs w:val="24"/>
        </w:rPr>
      </w:pPr>
    </w:p>
    <w:p w14:paraId="45430EA4" w14:textId="77777777" w:rsidR="00E0551A" w:rsidRPr="00687DE8" w:rsidRDefault="04CB1F0A" w:rsidP="00E0551A">
      <w:pPr>
        <w:spacing w:after="0" w:line="240" w:lineRule="auto"/>
        <w:jc w:val="both"/>
        <w:divId w:val="1316184749"/>
        <w:rPr>
          <w:szCs w:val="24"/>
        </w:rPr>
      </w:pPr>
      <w:r w:rsidRPr="00687DE8">
        <w:rPr>
          <w:szCs w:val="24"/>
        </w:rPr>
        <w:t>(</w:t>
      </w:r>
      <w:r w:rsidR="489D84EE" w:rsidRPr="00687DE8">
        <w:rPr>
          <w:szCs w:val="24"/>
        </w:rPr>
        <w:t>39</w:t>
      </w:r>
      <w:r w:rsidRPr="00687DE8">
        <w:rPr>
          <w:szCs w:val="24"/>
        </w:rPr>
        <w:t xml:space="preserve">) </w:t>
      </w:r>
      <w:bookmarkStart w:id="33" w:name="_Hlk55894279"/>
      <w:r w:rsidRPr="00687DE8">
        <w:rPr>
          <w:szCs w:val="24"/>
        </w:rPr>
        <w:t>Koodidega 2510L, 2520L, 2526L, 2527L, 2528L, 2529L, 2530L, 2531L, 2532L ja 2533L tähistatud tervishoiuteenuseid rakendatakse haiglavõrgu arengukavas nimetatud piirkondlikus haiglas</w:t>
      </w:r>
      <w:bookmarkEnd w:id="33"/>
      <w:r w:rsidRPr="00687DE8">
        <w:rPr>
          <w:szCs w:val="24"/>
        </w:rPr>
        <w:t>.</w:t>
      </w:r>
    </w:p>
    <w:bookmarkEnd w:id="32"/>
    <w:p w14:paraId="38957F5F" w14:textId="77777777" w:rsidR="7E0E6F49" w:rsidRPr="00687DE8" w:rsidRDefault="7E0E6F49" w:rsidP="7E0E6F49">
      <w:pPr>
        <w:spacing w:after="0" w:line="240" w:lineRule="auto"/>
        <w:jc w:val="both"/>
        <w:rPr>
          <w:szCs w:val="24"/>
        </w:rPr>
      </w:pPr>
    </w:p>
    <w:p w14:paraId="5A443886" w14:textId="612F58DA" w:rsidR="6C4F632D" w:rsidRPr="00687DE8" w:rsidRDefault="6C4F632D" w:rsidP="7E0E6F49">
      <w:pPr>
        <w:spacing w:after="0" w:line="240" w:lineRule="auto"/>
        <w:jc w:val="both"/>
        <w:rPr>
          <w:szCs w:val="24"/>
        </w:rPr>
      </w:pPr>
      <w:r w:rsidRPr="00687DE8">
        <w:rPr>
          <w:szCs w:val="24"/>
        </w:rPr>
        <w:t xml:space="preserve">(40) </w:t>
      </w:r>
      <w:r w:rsidR="4196BE2D" w:rsidRPr="00687DE8">
        <w:rPr>
          <w:szCs w:val="24"/>
        </w:rPr>
        <w:t>Koodiga 2682L tähistatud tervishoiuteenuse piirhinda rakendatakse</w:t>
      </w:r>
      <w:r w:rsidR="002B1C25">
        <w:rPr>
          <w:szCs w:val="24"/>
        </w:rPr>
        <w:t xml:space="preserve"> dermatoveneroloogi,</w:t>
      </w:r>
      <w:r w:rsidR="00461090">
        <w:rPr>
          <w:szCs w:val="24"/>
        </w:rPr>
        <w:t xml:space="preserve"> </w:t>
      </w:r>
      <w:r w:rsidR="4196BE2D" w:rsidRPr="00687DE8">
        <w:rPr>
          <w:szCs w:val="24"/>
        </w:rPr>
        <w:t>ortopeedi, plastikakirurgi, veresoontekirurgi või üldkirurgi suunamisel üks kord 30 ravipäeva kohta.</w:t>
      </w:r>
    </w:p>
    <w:p w14:paraId="063964CB" w14:textId="77777777" w:rsidR="00131319" w:rsidRPr="00687DE8" w:rsidRDefault="00131319" w:rsidP="7E0E6F49">
      <w:pPr>
        <w:spacing w:after="0" w:line="240" w:lineRule="auto"/>
        <w:jc w:val="both"/>
        <w:rPr>
          <w:szCs w:val="24"/>
        </w:rPr>
      </w:pPr>
    </w:p>
    <w:p w14:paraId="62DC79BD" w14:textId="56204D85" w:rsidR="00B97617" w:rsidRPr="00687DE8" w:rsidRDefault="00694A8C" w:rsidP="7E0E6F49">
      <w:pPr>
        <w:spacing w:after="0" w:line="240" w:lineRule="auto"/>
        <w:jc w:val="both"/>
        <w:rPr>
          <w:szCs w:val="24"/>
        </w:rPr>
      </w:pPr>
      <w:r w:rsidRPr="00687DE8">
        <w:rPr>
          <w:szCs w:val="24"/>
        </w:rPr>
        <w:t>(</w:t>
      </w:r>
      <w:r w:rsidR="00BE7A4F" w:rsidRPr="00687DE8">
        <w:rPr>
          <w:szCs w:val="24"/>
        </w:rPr>
        <w:t>4</w:t>
      </w:r>
      <w:r w:rsidR="002A4C4E" w:rsidRPr="00687DE8">
        <w:rPr>
          <w:szCs w:val="24"/>
        </w:rPr>
        <w:t>1</w:t>
      </w:r>
      <w:r w:rsidR="00BE7A4F" w:rsidRPr="00687DE8">
        <w:rPr>
          <w:szCs w:val="24"/>
        </w:rPr>
        <w:t>)</w:t>
      </w:r>
      <w:r w:rsidR="004633B6" w:rsidRPr="00687DE8">
        <w:rPr>
          <w:szCs w:val="24"/>
        </w:rPr>
        <w:t xml:space="preserve"> Koodi</w:t>
      </w:r>
      <w:r w:rsidR="001E16D2" w:rsidRPr="00687DE8">
        <w:rPr>
          <w:szCs w:val="24"/>
        </w:rPr>
        <w:t>de</w:t>
      </w:r>
      <w:r w:rsidR="004633B6" w:rsidRPr="00687DE8">
        <w:rPr>
          <w:szCs w:val="24"/>
        </w:rPr>
        <w:t>ga 29</w:t>
      </w:r>
      <w:r w:rsidR="006C6B73" w:rsidRPr="00687DE8">
        <w:rPr>
          <w:szCs w:val="24"/>
        </w:rPr>
        <w:t>90</w:t>
      </w:r>
      <w:r w:rsidR="004633B6" w:rsidRPr="00687DE8">
        <w:rPr>
          <w:szCs w:val="24"/>
        </w:rPr>
        <w:t>L ja 299</w:t>
      </w:r>
      <w:r w:rsidR="006C6B73" w:rsidRPr="00687DE8">
        <w:rPr>
          <w:szCs w:val="24"/>
        </w:rPr>
        <w:t>1</w:t>
      </w:r>
      <w:r w:rsidR="004633B6" w:rsidRPr="00687DE8">
        <w:rPr>
          <w:szCs w:val="24"/>
        </w:rPr>
        <w:t>L tähistatud tervishoiuteenus</w:t>
      </w:r>
      <w:r w:rsidR="00EC2CEC" w:rsidRPr="00687DE8">
        <w:rPr>
          <w:szCs w:val="24"/>
        </w:rPr>
        <w:t>te piirhinda rakendatakse koodidega</w:t>
      </w:r>
      <w:r w:rsidR="00121F57" w:rsidRPr="00687DE8">
        <w:rPr>
          <w:szCs w:val="24"/>
        </w:rPr>
        <w:t xml:space="preserve"> </w:t>
      </w:r>
      <w:r w:rsidR="002C5D71" w:rsidRPr="00687DE8">
        <w:rPr>
          <w:szCs w:val="24"/>
        </w:rPr>
        <w:t>1A2138</w:t>
      </w:r>
      <w:r w:rsidR="00EC2CEC" w:rsidRPr="00687DE8">
        <w:rPr>
          <w:szCs w:val="24"/>
        </w:rPr>
        <w:t xml:space="preserve"> ja </w:t>
      </w:r>
      <w:r w:rsidR="002C5D71" w:rsidRPr="00687DE8">
        <w:rPr>
          <w:szCs w:val="24"/>
        </w:rPr>
        <w:t>1A2139 t</w:t>
      </w:r>
      <w:r w:rsidR="003C1BAC" w:rsidRPr="00687DE8">
        <w:rPr>
          <w:szCs w:val="24"/>
        </w:rPr>
        <w:t>ähistatud tervishoiuteenuste osutamisel.</w:t>
      </w:r>
    </w:p>
    <w:p w14:paraId="3F373821" w14:textId="77777777" w:rsidR="00B97617" w:rsidRPr="00687DE8" w:rsidRDefault="00B97617" w:rsidP="7E0E6F49">
      <w:pPr>
        <w:spacing w:after="0" w:line="240" w:lineRule="auto"/>
        <w:jc w:val="both"/>
        <w:rPr>
          <w:szCs w:val="24"/>
        </w:rPr>
      </w:pPr>
    </w:p>
    <w:p w14:paraId="4471161E" w14:textId="46A94CE9" w:rsidR="00511E21" w:rsidRPr="00687DE8" w:rsidRDefault="00B97617" w:rsidP="7E0E6F49">
      <w:pPr>
        <w:spacing w:after="0" w:line="240" w:lineRule="auto"/>
        <w:jc w:val="both"/>
        <w:rPr>
          <w:szCs w:val="24"/>
        </w:rPr>
      </w:pPr>
      <w:r w:rsidRPr="00687DE8">
        <w:rPr>
          <w:szCs w:val="24"/>
        </w:rPr>
        <w:t>(4</w:t>
      </w:r>
      <w:r w:rsidR="002A4C4E" w:rsidRPr="00687DE8">
        <w:rPr>
          <w:szCs w:val="24"/>
        </w:rPr>
        <w:t>2</w:t>
      </w:r>
      <w:r w:rsidRPr="00687DE8">
        <w:rPr>
          <w:szCs w:val="24"/>
        </w:rPr>
        <w:t>)</w:t>
      </w:r>
      <w:r w:rsidR="00761A9B" w:rsidRPr="00687DE8">
        <w:rPr>
          <w:szCs w:val="24"/>
        </w:rPr>
        <w:t xml:space="preserve"> </w:t>
      </w:r>
      <w:r w:rsidR="005023FD" w:rsidRPr="00687DE8">
        <w:rPr>
          <w:szCs w:val="24"/>
        </w:rPr>
        <w:t>Tervisekassa</w:t>
      </w:r>
      <w:r w:rsidR="00761A9B" w:rsidRPr="00687DE8">
        <w:rPr>
          <w:szCs w:val="24"/>
        </w:rPr>
        <w:t xml:space="preserve"> võtab koodidega 29</w:t>
      </w:r>
      <w:r w:rsidR="006C6B73" w:rsidRPr="00687DE8">
        <w:rPr>
          <w:szCs w:val="24"/>
        </w:rPr>
        <w:t>90</w:t>
      </w:r>
      <w:r w:rsidR="00761A9B" w:rsidRPr="00687DE8">
        <w:rPr>
          <w:szCs w:val="24"/>
        </w:rPr>
        <w:t>L ja 299</w:t>
      </w:r>
      <w:r w:rsidR="006C6B73" w:rsidRPr="00687DE8">
        <w:rPr>
          <w:szCs w:val="24"/>
        </w:rPr>
        <w:t>1</w:t>
      </w:r>
      <w:r w:rsidR="00761A9B" w:rsidRPr="00687DE8">
        <w:rPr>
          <w:szCs w:val="24"/>
        </w:rPr>
        <w:t>L tähistatud tervishoiuteenus</w:t>
      </w:r>
      <w:r w:rsidR="003615B4" w:rsidRPr="00687DE8">
        <w:rPr>
          <w:szCs w:val="24"/>
        </w:rPr>
        <w:t>t</w:t>
      </w:r>
      <w:r w:rsidR="00761A9B" w:rsidRPr="00687DE8">
        <w:rPr>
          <w:szCs w:val="24"/>
        </w:rPr>
        <w:t>e eest tasu maksmise kohustuse üle fekaalinkontinentsi korral juhul, kui konservatiivne ravi ei ole andnud soovitud tulemust</w:t>
      </w:r>
      <w:r w:rsidR="000A6718" w:rsidRPr="00687DE8">
        <w:rPr>
          <w:szCs w:val="24"/>
        </w:rPr>
        <w:t>.</w:t>
      </w:r>
    </w:p>
    <w:p w14:paraId="416A455B" w14:textId="77777777" w:rsidR="00304C4D" w:rsidRPr="00687DE8" w:rsidRDefault="00304C4D" w:rsidP="7E0E6F49">
      <w:pPr>
        <w:spacing w:after="0" w:line="240" w:lineRule="auto"/>
        <w:jc w:val="both"/>
        <w:rPr>
          <w:szCs w:val="24"/>
        </w:rPr>
      </w:pPr>
    </w:p>
    <w:p w14:paraId="24F38056" w14:textId="3C1C236E" w:rsidR="00304C4D" w:rsidRPr="00687DE8" w:rsidRDefault="00304C4D" w:rsidP="7E0E6F49">
      <w:pPr>
        <w:spacing w:after="0" w:line="240" w:lineRule="auto"/>
        <w:jc w:val="both"/>
        <w:rPr>
          <w:szCs w:val="24"/>
        </w:rPr>
      </w:pPr>
      <w:r w:rsidRPr="00687DE8">
        <w:rPr>
          <w:szCs w:val="24"/>
        </w:rPr>
        <w:t xml:space="preserve">(43) </w:t>
      </w:r>
      <w:r w:rsidR="005023FD" w:rsidRPr="00687DE8">
        <w:rPr>
          <w:szCs w:val="24"/>
        </w:rPr>
        <w:t>Tervisekassa</w:t>
      </w:r>
      <w:r w:rsidR="00203159" w:rsidRPr="00687DE8">
        <w:rPr>
          <w:szCs w:val="24"/>
        </w:rPr>
        <w:t xml:space="preserve"> võtab koodiga 2537L tähistatud tervishoiuteenuse eest tasu maksmise kohustuse üle juhul, kui seda rakendatakse koos koodiga 2520L tähistatud tervishoiuteenusega.</w:t>
      </w:r>
    </w:p>
    <w:p w14:paraId="51A09B26" w14:textId="77777777" w:rsidR="006E291A" w:rsidRPr="00687DE8" w:rsidRDefault="006E291A" w:rsidP="7E0E6F49">
      <w:pPr>
        <w:spacing w:after="0" w:line="240" w:lineRule="auto"/>
        <w:jc w:val="both"/>
        <w:rPr>
          <w:szCs w:val="24"/>
        </w:rPr>
      </w:pPr>
    </w:p>
    <w:p w14:paraId="59390270" w14:textId="4BE25F73" w:rsidR="006E291A" w:rsidRPr="00687DE8" w:rsidRDefault="00C31097" w:rsidP="7E0E6F49">
      <w:pPr>
        <w:spacing w:after="0" w:line="240" w:lineRule="auto"/>
        <w:jc w:val="both"/>
        <w:rPr>
          <w:szCs w:val="24"/>
        </w:rPr>
      </w:pPr>
      <w:r w:rsidRPr="00687DE8">
        <w:rPr>
          <w:szCs w:val="24"/>
        </w:rPr>
        <w:t xml:space="preserve">(44) </w:t>
      </w:r>
      <w:r w:rsidR="00A6470A" w:rsidRPr="00687DE8">
        <w:rPr>
          <w:szCs w:val="24"/>
        </w:rPr>
        <w:t>Tervisekassa võ</w:t>
      </w:r>
      <w:r w:rsidR="00253735" w:rsidRPr="00687DE8">
        <w:rPr>
          <w:szCs w:val="24"/>
        </w:rPr>
        <w:t xml:space="preserve">tab </w:t>
      </w:r>
      <w:r w:rsidR="001F3683" w:rsidRPr="00687DE8">
        <w:rPr>
          <w:szCs w:val="24"/>
        </w:rPr>
        <w:t xml:space="preserve">koodiga </w:t>
      </w:r>
      <w:r w:rsidR="009F07B9" w:rsidRPr="00687DE8">
        <w:rPr>
          <w:szCs w:val="24"/>
        </w:rPr>
        <w:t>2992L</w:t>
      </w:r>
      <w:r w:rsidR="00B34D42" w:rsidRPr="00687DE8">
        <w:rPr>
          <w:szCs w:val="24"/>
        </w:rPr>
        <w:t xml:space="preserve"> tähistatud tervishoiuteenuse eest </w:t>
      </w:r>
      <w:r w:rsidR="00567A9D" w:rsidRPr="00687DE8">
        <w:rPr>
          <w:szCs w:val="24"/>
        </w:rPr>
        <w:t>tasu maksmise kohustuse üle</w:t>
      </w:r>
      <w:r w:rsidR="00A8779A" w:rsidRPr="00687DE8">
        <w:rPr>
          <w:szCs w:val="24"/>
        </w:rPr>
        <w:t xml:space="preserve"> juhul, kui </w:t>
      </w:r>
      <w:r w:rsidR="00D1532B" w:rsidRPr="00687DE8">
        <w:rPr>
          <w:szCs w:val="24"/>
        </w:rPr>
        <w:t>patsiendile on paigaldatud diafragma</w:t>
      </w:r>
      <w:r w:rsidR="002961FB" w:rsidRPr="00687DE8">
        <w:rPr>
          <w:szCs w:val="24"/>
        </w:rPr>
        <w:t xml:space="preserve"> </w:t>
      </w:r>
      <w:r w:rsidR="001A00AB" w:rsidRPr="00687DE8">
        <w:rPr>
          <w:szCs w:val="24"/>
        </w:rPr>
        <w:t>/</w:t>
      </w:r>
      <w:r w:rsidR="002961FB" w:rsidRPr="00687DE8">
        <w:rPr>
          <w:szCs w:val="24"/>
        </w:rPr>
        <w:t xml:space="preserve"> </w:t>
      </w:r>
      <w:r w:rsidR="001A00AB" w:rsidRPr="00687DE8">
        <w:rPr>
          <w:szCs w:val="24"/>
        </w:rPr>
        <w:t>freenilise närvi</w:t>
      </w:r>
      <w:r w:rsidR="00D1532B" w:rsidRPr="00687DE8">
        <w:rPr>
          <w:szCs w:val="24"/>
        </w:rPr>
        <w:t xml:space="preserve"> stimulaator.</w:t>
      </w:r>
    </w:p>
    <w:p w14:paraId="346C0AB9" w14:textId="6A115036" w:rsidR="00F65EE0" w:rsidRDefault="00F65EE0" w:rsidP="7E0E6F49">
      <w:pPr>
        <w:spacing w:after="0" w:line="240" w:lineRule="auto"/>
        <w:jc w:val="both"/>
      </w:pPr>
    </w:p>
    <w:p w14:paraId="0CA1D8AC" w14:textId="7793EF5D" w:rsidR="00F65EE0" w:rsidRPr="00687DE8" w:rsidRDefault="00F65EE0" w:rsidP="7E0E6F49">
      <w:pPr>
        <w:spacing w:after="0" w:line="240" w:lineRule="auto"/>
        <w:jc w:val="both"/>
        <w:rPr>
          <w:szCs w:val="24"/>
        </w:rPr>
      </w:pPr>
      <w:r>
        <w:rPr>
          <w:szCs w:val="24"/>
        </w:rPr>
        <w:lastRenderedPageBreak/>
        <w:t xml:space="preserve">(45) </w:t>
      </w:r>
      <w:r w:rsidR="00804EE0">
        <w:rPr>
          <w:szCs w:val="24"/>
        </w:rPr>
        <w:t>K</w:t>
      </w:r>
      <w:r w:rsidR="00F06F44" w:rsidRPr="00F06F44">
        <w:rPr>
          <w:szCs w:val="24"/>
        </w:rPr>
        <w:t xml:space="preserve">oodiga </w:t>
      </w:r>
      <w:r w:rsidR="00DC59FB" w:rsidRPr="00DC59FB">
        <w:rPr>
          <w:szCs w:val="24"/>
        </w:rPr>
        <w:t>2538L</w:t>
      </w:r>
      <w:r w:rsidR="00F06F44" w:rsidRPr="00F06F44">
        <w:rPr>
          <w:szCs w:val="24"/>
        </w:rPr>
        <w:t xml:space="preserve"> tähistatud </w:t>
      </w:r>
      <w:r w:rsidR="00FE630B">
        <w:rPr>
          <w:szCs w:val="24"/>
        </w:rPr>
        <w:t>tervishoiu</w:t>
      </w:r>
      <w:r w:rsidR="00F06F44" w:rsidRPr="00F06F44">
        <w:rPr>
          <w:szCs w:val="24"/>
        </w:rPr>
        <w:t xml:space="preserve">teenust rakendatakse haiglate loetelus nimetatud piirkondlikus haiglas </w:t>
      </w:r>
      <w:r w:rsidR="00092396">
        <w:rPr>
          <w:szCs w:val="24"/>
        </w:rPr>
        <w:t xml:space="preserve">ägeda </w:t>
      </w:r>
      <w:r w:rsidR="00F06F44" w:rsidRPr="00F06F44">
        <w:rPr>
          <w:szCs w:val="24"/>
        </w:rPr>
        <w:t xml:space="preserve">kõrge riskiga </w:t>
      </w:r>
      <w:r w:rsidR="00092396">
        <w:rPr>
          <w:szCs w:val="24"/>
        </w:rPr>
        <w:t>ehk massiivse</w:t>
      </w:r>
      <w:r w:rsidR="00F06F44" w:rsidRPr="00F06F44">
        <w:rPr>
          <w:szCs w:val="24"/>
        </w:rPr>
        <w:t xml:space="preserve"> kopsuarteri trombembooliaga patsiendi ravi algfaasis juhul, kui süsteemne intravenoosne trombolüüs on vastunäidustatud või ebaõnnestunud</w:t>
      </w:r>
      <w:r w:rsidR="00804EE0">
        <w:rPr>
          <w:szCs w:val="24"/>
        </w:rPr>
        <w:t>.</w:t>
      </w:r>
    </w:p>
    <w:p w14:paraId="6FB66E2C" w14:textId="77777777" w:rsidR="00804EE0" w:rsidRDefault="00804EE0" w:rsidP="7E0E6F49">
      <w:pPr>
        <w:spacing w:after="0" w:line="240" w:lineRule="auto"/>
        <w:jc w:val="both"/>
        <w:rPr>
          <w:szCs w:val="24"/>
        </w:rPr>
      </w:pPr>
    </w:p>
    <w:p w14:paraId="3A9F9D58" w14:textId="5EE7AC61" w:rsidR="00804EE0" w:rsidRPr="00687DE8" w:rsidRDefault="00804EE0" w:rsidP="7E0E6F49">
      <w:pPr>
        <w:spacing w:after="0" w:line="240" w:lineRule="auto"/>
        <w:jc w:val="both"/>
        <w:rPr>
          <w:szCs w:val="24"/>
        </w:rPr>
      </w:pPr>
      <w:r>
        <w:rPr>
          <w:szCs w:val="24"/>
        </w:rPr>
        <w:t xml:space="preserve">(46) </w:t>
      </w:r>
      <w:r w:rsidR="002C5F53" w:rsidRPr="002C5F53">
        <w:rPr>
          <w:szCs w:val="24"/>
        </w:rPr>
        <w:t xml:space="preserve">Koodiga </w:t>
      </w:r>
      <w:r w:rsidR="002C5F53" w:rsidRPr="00DC59FB">
        <w:rPr>
          <w:szCs w:val="24"/>
        </w:rPr>
        <w:t>2538L</w:t>
      </w:r>
      <w:r w:rsidR="002C5F53" w:rsidRPr="002C5F53">
        <w:rPr>
          <w:szCs w:val="24"/>
        </w:rPr>
        <w:t xml:space="preserve"> tähistatud </w:t>
      </w:r>
      <w:r w:rsidR="00FE630B">
        <w:rPr>
          <w:szCs w:val="24"/>
        </w:rPr>
        <w:t>tervishoiu</w:t>
      </w:r>
      <w:r w:rsidR="002C5F53" w:rsidRPr="002C5F53">
        <w:rPr>
          <w:szCs w:val="24"/>
        </w:rPr>
        <w:t xml:space="preserve">teenust rakendatakse koos koodiga 7652 tähistatud </w:t>
      </w:r>
      <w:r w:rsidR="008F397A">
        <w:rPr>
          <w:szCs w:val="24"/>
        </w:rPr>
        <w:t>tervishoiu</w:t>
      </w:r>
      <w:r w:rsidR="002C5F53" w:rsidRPr="002C5F53">
        <w:rPr>
          <w:szCs w:val="24"/>
        </w:rPr>
        <w:t>teenusega</w:t>
      </w:r>
      <w:r w:rsidR="001B2ED7">
        <w:rPr>
          <w:szCs w:val="24"/>
        </w:rPr>
        <w:t xml:space="preserve"> üks </w:t>
      </w:r>
      <w:r w:rsidR="00F44AD8">
        <w:rPr>
          <w:szCs w:val="24"/>
        </w:rPr>
        <w:t xml:space="preserve">kord </w:t>
      </w:r>
      <w:r w:rsidR="00DF29F2">
        <w:rPr>
          <w:szCs w:val="24"/>
        </w:rPr>
        <w:t>kopsuarteri trombi</w:t>
      </w:r>
      <w:r w:rsidR="00B56CC1">
        <w:rPr>
          <w:szCs w:val="24"/>
        </w:rPr>
        <w:t xml:space="preserve"> aspiratsiooni </w:t>
      </w:r>
      <w:r w:rsidR="00F44AD8">
        <w:rPr>
          <w:szCs w:val="24"/>
        </w:rPr>
        <w:t>protseduuri kohta</w:t>
      </w:r>
      <w:r w:rsidR="002C5F53">
        <w:rPr>
          <w:szCs w:val="24"/>
        </w:rPr>
        <w:t>.</w:t>
      </w:r>
    </w:p>
    <w:p w14:paraId="75A3B00C" w14:textId="77777777" w:rsidR="005A1C91" w:rsidRDefault="005A1C91" w:rsidP="7E0E6F49">
      <w:pPr>
        <w:spacing w:after="0" w:line="240" w:lineRule="auto"/>
        <w:jc w:val="both"/>
        <w:rPr>
          <w:szCs w:val="24"/>
        </w:rPr>
      </w:pPr>
    </w:p>
    <w:p w14:paraId="45DCCB5D" w14:textId="688D0965" w:rsidR="005A1C91" w:rsidRDefault="005A1C91" w:rsidP="7E0E6F49">
      <w:pPr>
        <w:spacing w:after="0" w:line="240" w:lineRule="auto"/>
        <w:jc w:val="both"/>
      </w:pPr>
      <w:r>
        <w:t xml:space="preserve">(47) </w:t>
      </w:r>
      <w:r w:rsidR="00E44DE7">
        <w:t xml:space="preserve">Koodiga 2539L tähistatud </w:t>
      </w:r>
      <w:r w:rsidR="0019626C">
        <w:t>tervishoiu</w:t>
      </w:r>
      <w:r w:rsidR="00E44DE7">
        <w:t>teenust rakendatakse haiglate loetelus nimetatud piirkondlikus haiglas tõelise resistentse hüpertensiooniga patsiendile, kellel on välistatud sekundaarne hüpertensioon ja kelle vererõhu eesmärkväärtusi ei ole saavutatud vähemalt viie vererõhku alandava ravimi (sh AKE-inhibiitor või ARB, kaltsium</w:t>
      </w:r>
      <w:r w:rsidR="00B25E1A">
        <w:t>i</w:t>
      </w:r>
      <w:r w:rsidR="00E44DE7">
        <w:t xml:space="preserve">kanali blokaator, tiasiid või tiasiiditaoline diureetikum, mineralokortikoidretseptori antagonist </w:t>
      </w:r>
      <w:r w:rsidR="00D75AB4">
        <w:t>ja</w:t>
      </w:r>
      <w:r w:rsidR="00E44DE7">
        <w:t xml:space="preserve"> beetablokaator) kombineeritud kasutamisega maksimaalses talutavas doosis,</w:t>
      </w:r>
      <w:r w:rsidR="00E44DE7" w:rsidDel="00430AEA">
        <w:t xml:space="preserve"> </w:t>
      </w:r>
      <w:r w:rsidR="00E44DE7">
        <w:t xml:space="preserve">juhul kui endovaskulaarse sekkumise kaalutletud raviotsuse on koos patsiendiga teinud multidistsiplinaarne eksperdikomisjon, millesse kuuluvad kardioloog ja/või raviarst </w:t>
      </w:r>
      <w:r w:rsidR="00E44DE7" w:rsidRPr="00013064">
        <w:t>ning protseduuri te</w:t>
      </w:r>
      <w:r w:rsidR="00013064">
        <w:t>gemise</w:t>
      </w:r>
      <w:r w:rsidR="00E44DE7" w:rsidRPr="00013064">
        <w:t xml:space="preserve"> pädevusega</w:t>
      </w:r>
      <w:r w:rsidR="00E44DE7">
        <w:t xml:space="preserve"> invasiivkardioloog.</w:t>
      </w:r>
    </w:p>
    <w:p w14:paraId="22F237F7" w14:textId="77777777" w:rsidR="00ED0C6A" w:rsidRDefault="00ED0C6A" w:rsidP="7E0E6F49">
      <w:pPr>
        <w:spacing w:after="0" w:line="240" w:lineRule="auto"/>
        <w:jc w:val="both"/>
        <w:rPr>
          <w:szCs w:val="24"/>
        </w:rPr>
      </w:pPr>
    </w:p>
    <w:p w14:paraId="08201174" w14:textId="04A1F311" w:rsidR="00ED0C6A" w:rsidRPr="00687DE8" w:rsidRDefault="00ED0C6A" w:rsidP="7E0E6F49">
      <w:pPr>
        <w:spacing w:after="0" w:line="240" w:lineRule="auto"/>
        <w:jc w:val="both"/>
        <w:rPr>
          <w:szCs w:val="24"/>
        </w:rPr>
      </w:pPr>
      <w:r>
        <w:rPr>
          <w:szCs w:val="24"/>
        </w:rPr>
        <w:t xml:space="preserve">(48) </w:t>
      </w:r>
      <w:r w:rsidR="00CE67DE" w:rsidRPr="00CE67DE">
        <w:rPr>
          <w:szCs w:val="24"/>
        </w:rPr>
        <w:t xml:space="preserve">Koodiga </w:t>
      </w:r>
      <w:r w:rsidR="00CE67DE">
        <w:rPr>
          <w:szCs w:val="24"/>
        </w:rPr>
        <w:t>2539L</w:t>
      </w:r>
      <w:r w:rsidR="00CE67DE" w:rsidRPr="00CE67DE">
        <w:rPr>
          <w:szCs w:val="24"/>
        </w:rPr>
        <w:t xml:space="preserve"> tähistatud </w:t>
      </w:r>
      <w:r w:rsidR="002C76F7">
        <w:rPr>
          <w:szCs w:val="24"/>
        </w:rPr>
        <w:t>tervishoiu</w:t>
      </w:r>
      <w:r w:rsidR="00CE67DE" w:rsidRPr="00CE67DE">
        <w:rPr>
          <w:szCs w:val="24"/>
        </w:rPr>
        <w:t xml:space="preserve">teenust rakendatakse koos koodidega 7812 ja 7813 tähistatud </w:t>
      </w:r>
      <w:r w:rsidR="005F29B8">
        <w:rPr>
          <w:szCs w:val="24"/>
        </w:rPr>
        <w:t>tervishoiu</w:t>
      </w:r>
      <w:r w:rsidR="00CE67DE" w:rsidRPr="00CE67DE">
        <w:rPr>
          <w:szCs w:val="24"/>
        </w:rPr>
        <w:t>teenustega</w:t>
      </w:r>
      <w:r w:rsidR="00827467">
        <w:rPr>
          <w:szCs w:val="24"/>
        </w:rPr>
        <w:t>.</w:t>
      </w:r>
      <w:r w:rsidR="00CE67DE" w:rsidRPr="00CE67DE">
        <w:rPr>
          <w:szCs w:val="24"/>
        </w:rPr>
        <w:t xml:space="preserve"> </w:t>
      </w:r>
      <w:r w:rsidR="00827467">
        <w:rPr>
          <w:szCs w:val="24"/>
        </w:rPr>
        <w:t>K</w:t>
      </w:r>
      <w:r w:rsidR="00CE67DE" w:rsidRPr="00CE67DE">
        <w:rPr>
          <w:szCs w:val="24"/>
        </w:rPr>
        <w:t>ood</w:t>
      </w:r>
      <w:r w:rsidR="00013064">
        <w:rPr>
          <w:szCs w:val="24"/>
        </w:rPr>
        <w:t>e</w:t>
      </w:r>
      <w:r w:rsidR="00CE67DE" w:rsidRPr="00CE67DE">
        <w:rPr>
          <w:szCs w:val="24"/>
        </w:rPr>
        <w:t xml:space="preserve"> </w:t>
      </w:r>
      <w:r w:rsidR="00CE67DE">
        <w:rPr>
          <w:szCs w:val="24"/>
        </w:rPr>
        <w:t>2539L</w:t>
      </w:r>
      <w:r w:rsidR="00CE67DE" w:rsidRPr="00CE67DE">
        <w:rPr>
          <w:szCs w:val="24"/>
        </w:rPr>
        <w:t xml:space="preserve"> ja 7812 rakendatakse üks kord ja koodi 7813 kaks korda neeruarterite denervatsiooni protseduuri kohta.</w:t>
      </w:r>
    </w:p>
    <w:p w14:paraId="0D55C725" w14:textId="77777777" w:rsidR="001263EA" w:rsidRDefault="001263EA" w:rsidP="7E0E6F49">
      <w:pPr>
        <w:spacing w:after="0" w:line="240" w:lineRule="auto"/>
        <w:jc w:val="both"/>
        <w:rPr>
          <w:szCs w:val="24"/>
        </w:rPr>
      </w:pPr>
    </w:p>
    <w:p w14:paraId="23E7842C" w14:textId="7412A59F" w:rsidR="001263EA" w:rsidRDefault="001263EA" w:rsidP="7E0E6F49">
      <w:pPr>
        <w:spacing w:after="0" w:line="240" w:lineRule="auto"/>
        <w:jc w:val="both"/>
      </w:pPr>
      <w:r>
        <w:rPr>
          <w:szCs w:val="24"/>
        </w:rPr>
        <w:t xml:space="preserve">(49) Koodiga </w:t>
      </w:r>
      <w:r>
        <w:t xml:space="preserve">2985L tähistatud tervishoiuteenust rakendatakse koos </w:t>
      </w:r>
      <w:r w:rsidR="009852B4">
        <w:t xml:space="preserve">koodiga </w:t>
      </w:r>
      <w:r w:rsidR="00F17643" w:rsidRPr="00F17643">
        <w:t>1H2111</w:t>
      </w:r>
      <w:r w:rsidR="0044379F">
        <w:t xml:space="preserve"> või </w:t>
      </w:r>
      <w:r w:rsidR="0044379F" w:rsidRPr="0044379F">
        <w:t>1H211</w:t>
      </w:r>
      <w:r w:rsidR="00053435">
        <w:t>3</w:t>
      </w:r>
      <w:r w:rsidR="00B559BF">
        <w:t xml:space="preserve"> tähistatud </w:t>
      </w:r>
      <w:r w:rsidR="009852B4">
        <w:t>tervishoiuteenusega</w:t>
      </w:r>
      <w:r w:rsidR="00B559BF">
        <w:t xml:space="preserve">. </w:t>
      </w:r>
    </w:p>
    <w:p w14:paraId="3C37F9B9" w14:textId="77777777" w:rsidR="00CA6BFC" w:rsidRDefault="00CA6BFC" w:rsidP="7E0E6F49">
      <w:pPr>
        <w:spacing w:after="0" w:line="240" w:lineRule="auto"/>
        <w:jc w:val="both"/>
      </w:pPr>
    </w:p>
    <w:p w14:paraId="67F4E0CC" w14:textId="7ACA4F43" w:rsidR="00CA6BFC" w:rsidRDefault="00CA6BFC" w:rsidP="7E0E6F49">
      <w:pPr>
        <w:spacing w:after="0" w:line="240" w:lineRule="auto"/>
        <w:jc w:val="both"/>
      </w:pPr>
      <w:r>
        <w:t xml:space="preserve">(50) </w:t>
      </w:r>
      <w:r w:rsidRPr="00CA6BFC">
        <w:t xml:space="preserve">Koodiga 2534L tähistatud tervishoiuteenust rakendatakse südame vasaku koja kõrvakese endovaskulaarsel sulgemisel või </w:t>
      </w:r>
      <w:r w:rsidR="006D6C80">
        <w:t>südame vasaku koja kõrvakese sulgemisel</w:t>
      </w:r>
      <w:r w:rsidRPr="00CA6BFC">
        <w:t xml:space="preserve"> koodiga 30402 või 40406 tähistatud tervishoiuteenuse</w:t>
      </w:r>
      <w:r w:rsidR="00E64D4B">
        <w:t xml:space="preserve"> </w:t>
      </w:r>
      <w:r w:rsidR="00AF2E40">
        <w:t xml:space="preserve">osutamise </w:t>
      </w:r>
      <w:r w:rsidR="00E8088C">
        <w:t>käigus</w:t>
      </w:r>
      <w:r w:rsidR="005978D4">
        <w:t>.</w:t>
      </w:r>
    </w:p>
    <w:p w14:paraId="275D99CE" w14:textId="77777777" w:rsidR="003D0A8E" w:rsidRDefault="003D0A8E" w:rsidP="7E0E6F49">
      <w:pPr>
        <w:spacing w:after="0" w:line="240" w:lineRule="auto"/>
        <w:jc w:val="both"/>
      </w:pPr>
    </w:p>
    <w:p w14:paraId="1C8C715F" w14:textId="246045A0" w:rsidR="0007507E" w:rsidRPr="00687DE8" w:rsidRDefault="003D0A8E" w:rsidP="7E0E6F49">
      <w:pPr>
        <w:spacing w:after="0" w:line="240" w:lineRule="auto"/>
        <w:jc w:val="both"/>
        <w:rPr>
          <w:szCs w:val="24"/>
        </w:rPr>
      </w:pPr>
      <w:r>
        <w:t>(5</w:t>
      </w:r>
      <w:r w:rsidR="00CA6BFC">
        <w:t>1</w:t>
      </w:r>
      <w:r>
        <w:t xml:space="preserve">) </w:t>
      </w:r>
      <w:r w:rsidR="004B00F2" w:rsidRPr="004B00F2">
        <w:t xml:space="preserve">Koodiga </w:t>
      </w:r>
      <w:r w:rsidR="004B00F2">
        <w:t>2540L</w:t>
      </w:r>
      <w:r w:rsidR="004B00F2" w:rsidRPr="004B00F2">
        <w:t xml:space="preserve"> tähistatud tervishoiuteenust rakendatakse haiglate loetelus nimetatud piirkondlikus haiglas kodade virvendusarütmia (RHK 10 kood</w:t>
      </w:r>
      <w:r w:rsidR="004B00F2" w:rsidRPr="0007507E">
        <w:t xml:space="preserve"> </w:t>
      </w:r>
      <w:r w:rsidR="0007507E" w:rsidRPr="0007507E">
        <w:t>I</w:t>
      </w:r>
      <w:r w:rsidR="004B00F2" w:rsidRPr="0007507E">
        <w:t>48</w:t>
      </w:r>
      <w:r w:rsidR="004B00F2" w:rsidRPr="004B00F2">
        <w:t>) korral</w:t>
      </w:r>
      <w:r w:rsidR="00990E6E">
        <w:t xml:space="preserve"> koos </w:t>
      </w:r>
      <w:r w:rsidR="00B45FEB" w:rsidRPr="00B45FEB">
        <w:t>koodi</w:t>
      </w:r>
      <w:r w:rsidR="00634A94">
        <w:t>ga</w:t>
      </w:r>
      <w:r w:rsidR="00310106">
        <w:t xml:space="preserve"> </w:t>
      </w:r>
      <w:r w:rsidR="00310106" w:rsidRPr="00B45FEB">
        <w:t>1F2101, 1F2102, 1F2103, 1F2104</w:t>
      </w:r>
      <w:r w:rsidR="00310106">
        <w:t xml:space="preserve"> või </w:t>
      </w:r>
      <w:r w:rsidR="00310106" w:rsidRPr="00B45FEB">
        <w:t>1F2105</w:t>
      </w:r>
      <w:r w:rsidR="00B45FEB" w:rsidRPr="00B45FEB">
        <w:t xml:space="preserve"> tähistatud tervishoiuteenus</w:t>
      </w:r>
      <w:r w:rsidR="00310106">
        <w:t>ega.</w:t>
      </w:r>
    </w:p>
    <w:p w14:paraId="6276EAD0" w14:textId="77777777" w:rsidR="00807695" w:rsidRDefault="00807695" w:rsidP="7E0E6F49">
      <w:pPr>
        <w:spacing w:after="0" w:line="240" w:lineRule="auto"/>
        <w:jc w:val="both"/>
        <w:rPr>
          <w:szCs w:val="24"/>
        </w:rPr>
      </w:pPr>
    </w:p>
    <w:p w14:paraId="0DA2E641" w14:textId="3E5FFEA3" w:rsidR="00976487" w:rsidRDefault="00976487" w:rsidP="00976487">
      <w:pPr>
        <w:spacing w:after="0" w:line="240" w:lineRule="auto"/>
        <w:jc w:val="both"/>
        <w:outlineLvl w:val="2"/>
        <w:divId w:val="1316184749"/>
        <w:rPr>
          <w:b/>
          <w:szCs w:val="24"/>
        </w:rPr>
      </w:pPr>
      <w:r w:rsidRPr="00687DE8">
        <w:rPr>
          <w:b/>
          <w:szCs w:val="24"/>
        </w:rPr>
        <w:t>§ 6</w:t>
      </w:r>
      <w:r w:rsidR="00FD5122" w:rsidRPr="00687DE8">
        <w:rPr>
          <w:b/>
          <w:szCs w:val="24"/>
        </w:rPr>
        <w:t>2</w:t>
      </w:r>
      <w:r w:rsidRPr="00687DE8">
        <w:rPr>
          <w:b/>
          <w:szCs w:val="24"/>
        </w:rPr>
        <w:t>. Tervishoiuteenuste osutamisel kasutatav bioloogiline ravi</w:t>
      </w:r>
    </w:p>
    <w:p w14:paraId="47AB0B20" w14:textId="77777777" w:rsidR="001B326D" w:rsidRDefault="001B326D" w:rsidP="00976487">
      <w:pPr>
        <w:spacing w:after="0" w:line="240" w:lineRule="auto"/>
        <w:jc w:val="both"/>
        <w:divId w:val="1316184749"/>
      </w:pPr>
    </w:p>
    <w:p w14:paraId="594A6BAF" w14:textId="2414A92E" w:rsidR="00976487" w:rsidRPr="00687DE8" w:rsidRDefault="00976487" w:rsidP="00976487">
      <w:pPr>
        <w:spacing w:after="0" w:line="240" w:lineRule="auto"/>
        <w:jc w:val="both"/>
        <w:divId w:val="1316184749"/>
      </w:pPr>
      <w:r>
        <w:t>(1) Tervishoiuteenuse osutamisel kasutatavate ravimiteenuste piirhinnad on järgmised:</w:t>
      </w:r>
    </w:p>
    <w:p w14:paraId="1711ECDF" w14:textId="77777777" w:rsidR="00976487" w:rsidRPr="00687DE8" w:rsidRDefault="00976487" w:rsidP="00976487">
      <w:pPr>
        <w:spacing w:after="0" w:line="240" w:lineRule="auto"/>
        <w:jc w:val="both"/>
        <w:divId w:val="1316184749"/>
        <w:rPr>
          <w:szCs w:val="24"/>
        </w:rPr>
      </w:pPr>
    </w:p>
    <w:tbl>
      <w:tblPr>
        <w:tblStyle w:val="Kontuurtabel"/>
        <w:tblW w:w="9493" w:type="dxa"/>
        <w:tblInd w:w="5" w:type="dxa"/>
        <w:tblLayout w:type="fixed"/>
        <w:tblLook w:val="04A0" w:firstRow="1" w:lastRow="0" w:firstColumn="1" w:lastColumn="0" w:noHBand="0" w:noVBand="1"/>
      </w:tblPr>
      <w:tblGrid>
        <w:gridCol w:w="7366"/>
        <w:gridCol w:w="993"/>
        <w:gridCol w:w="1134"/>
      </w:tblGrid>
      <w:tr w:rsidR="00976487" w:rsidRPr="00687DE8" w14:paraId="36459BEF" w14:textId="77777777" w:rsidTr="00850BD7">
        <w:trPr>
          <w:divId w:val="1316184749"/>
        </w:trPr>
        <w:tc>
          <w:tcPr>
            <w:tcW w:w="7366" w:type="dxa"/>
            <w:hideMark/>
          </w:tcPr>
          <w:p w14:paraId="25B8E7C0" w14:textId="77777777" w:rsidR="00976487" w:rsidRPr="00687DE8" w:rsidRDefault="00976487">
            <w:pPr>
              <w:jc w:val="center"/>
              <w:rPr>
                <w:szCs w:val="24"/>
              </w:rPr>
            </w:pPr>
            <w:r w:rsidRPr="00687DE8">
              <w:rPr>
                <w:b/>
                <w:bCs/>
                <w:szCs w:val="24"/>
              </w:rPr>
              <w:t>Ravimi nimetus</w:t>
            </w:r>
          </w:p>
        </w:tc>
        <w:tc>
          <w:tcPr>
            <w:tcW w:w="993" w:type="dxa"/>
            <w:hideMark/>
          </w:tcPr>
          <w:p w14:paraId="419F8831" w14:textId="77777777" w:rsidR="00976487" w:rsidRPr="00687DE8" w:rsidRDefault="00976487">
            <w:pPr>
              <w:jc w:val="center"/>
              <w:rPr>
                <w:szCs w:val="24"/>
              </w:rPr>
            </w:pPr>
            <w:r w:rsidRPr="00687DE8">
              <w:rPr>
                <w:b/>
                <w:bCs/>
                <w:szCs w:val="24"/>
              </w:rPr>
              <w:t>Kood</w:t>
            </w:r>
          </w:p>
        </w:tc>
        <w:tc>
          <w:tcPr>
            <w:tcW w:w="1134" w:type="dxa"/>
            <w:hideMark/>
          </w:tcPr>
          <w:p w14:paraId="203898AB" w14:textId="77777777" w:rsidR="00976487" w:rsidRPr="00687DE8" w:rsidRDefault="00976487" w:rsidP="001B58FF">
            <w:pPr>
              <w:tabs>
                <w:tab w:val="decimal" w:pos="635"/>
              </w:tabs>
              <w:jc w:val="center"/>
              <w:rPr>
                <w:szCs w:val="24"/>
              </w:rPr>
            </w:pPr>
            <w:r w:rsidRPr="00687DE8">
              <w:rPr>
                <w:b/>
                <w:bCs/>
                <w:szCs w:val="24"/>
              </w:rPr>
              <w:t>Piirhind</w:t>
            </w:r>
            <w:r w:rsidRPr="00687DE8">
              <w:rPr>
                <w:b/>
                <w:bCs/>
                <w:szCs w:val="24"/>
              </w:rPr>
              <w:br/>
              <w:t>eurodes</w:t>
            </w:r>
          </w:p>
        </w:tc>
      </w:tr>
      <w:tr w:rsidR="00976487" w:rsidRPr="00687DE8" w14:paraId="26DD3C0D" w14:textId="77777777" w:rsidTr="00EB7A71">
        <w:trPr>
          <w:divId w:val="1316184749"/>
          <w:trHeight w:val="366"/>
        </w:trPr>
        <w:tc>
          <w:tcPr>
            <w:tcW w:w="7366" w:type="dxa"/>
            <w:hideMark/>
          </w:tcPr>
          <w:p w14:paraId="277BE210" w14:textId="77777777" w:rsidR="00976487" w:rsidRPr="00687DE8" w:rsidRDefault="00701DB5">
            <w:pPr>
              <w:rPr>
                <w:szCs w:val="24"/>
              </w:rPr>
            </w:pPr>
            <w:r w:rsidRPr="00687DE8">
              <w:rPr>
                <w:szCs w:val="24"/>
              </w:rPr>
              <w:t>Infliksimab</w:t>
            </w:r>
            <w:r w:rsidR="002A699C" w:rsidRPr="00687DE8">
              <w:rPr>
                <w:szCs w:val="24"/>
              </w:rPr>
              <w:t>,</w:t>
            </w:r>
            <w:r w:rsidRPr="00687DE8">
              <w:rPr>
                <w:szCs w:val="24"/>
              </w:rPr>
              <w:t xml:space="preserve"> 100</w:t>
            </w:r>
            <w:r w:rsidR="00DB1391" w:rsidRPr="00687DE8">
              <w:rPr>
                <w:szCs w:val="24"/>
              </w:rPr>
              <w:t> </w:t>
            </w:r>
            <w:r w:rsidRPr="00687DE8">
              <w:rPr>
                <w:szCs w:val="24"/>
              </w:rPr>
              <w:t>mg</w:t>
            </w:r>
          </w:p>
        </w:tc>
        <w:tc>
          <w:tcPr>
            <w:tcW w:w="993" w:type="dxa"/>
            <w:vAlign w:val="center"/>
          </w:tcPr>
          <w:p w14:paraId="569C492B" w14:textId="77777777" w:rsidR="00976487" w:rsidRPr="00687DE8" w:rsidRDefault="00976487" w:rsidP="001B58FF">
            <w:pPr>
              <w:jc w:val="center"/>
              <w:rPr>
                <w:szCs w:val="24"/>
              </w:rPr>
            </w:pPr>
            <w:r w:rsidRPr="00687DE8">
              <w:rPr>
                <w:szCs w:val="24"/>
              </w:rPr>
              <w:t>2</w:t>
            </w:r>
            <w:r w:rsidR="00A80D19" w:rsidRPr="00687DE8">
              <w:rPr>
                <w:szCs w:val="24"/>
              </w:rPr>
              <w:t>9</w:t>
            </w:r>
            <w:r w:rsidR="008505F5" w:rsidRPr="00687DE8">
              <w:rPr>
                <w:szCs w:val="24"/>
              </w:rPr>
              <w:t>9</w:t>
            </w:r>
            <w:r w:rsidRPr="00687DE8">
              <w:rPr>
                <w:szCs w:val="24"/>
              </w:rPr>
              <w:t>R</w:t>
            </w:r>
          </w:p>
        </w:tc>
        <w:tc>
          <w:tcPr>
            <w:tcW w:w="1134" w:type="dxa"/>
            <w:tcBorders>
              <w:top w:val="single" w:sz="4" w:space="0" w:color="auto"/>
              <w:left w:val="single" w:sz="4" w:space="0" w:color="auto"/>
              <w:bottom w:val="single" w:sz="4" w:space="0" w:color="auto"/>
              <w:right w:val="single" w:sz="4" w:space="0" w:color="auto"/>
            </w:tcBorders>
            <w:vAlign w:val="center"/>
          </w:tcPr>
          <w:p w14:paraId="44AFC9CB" w14:textId="3BD25A8B" w:rsidR="00976487" w:rsidRPr="00687DE8" w:rsidRDefault="00D05753" w:rsidP="001B58FF">
            <w:pPr>
              <w:tabs>
                <w:tab w:val="decimal" w:pos="635"/>
              </w:tabs>
              <w:jc w:val="center"/>
            </w:pPr>
            <w:r>
              <w:rPr>
                <w:color w:val="000000"/>
              </w:rPr>
              <w:t>51,45</w:t>
            </w:r>
          </w:p>
        </w:tc>
      </w:tr>
      <w:tr w:rsidR="00976487" w:rsidRPr="00687DE8" w14:paraId="3B31682F" w14:textId="77777777" w:rsidTr="00EB7A71">
        <w:trPr>
          <w:divId w:val="1316184749"/>
        </w:trPr>
        <w:tc>
          <w:tcPr>
            <w:tcW w:w="7366" w:type="dxa"/>
            <w:hideMark/>
          </w:tcPr>
          <w:p w14:paraId="10558742" w14:textId="77777777" w:rsidR="00976487" w:rsidRPr="00687DE8" w:rsidRDefault="00976487">
            <w:pPr>
              <w:rPr>
                <w:szCs w:val="24"/>
              </w:rPr>
            </w:pPr>
            <w:r w:rsidRPr="00687DE8">
              <w:rPr>
                <w:szCs w:val="24"/>
              </w:rPr>
              <w:t xml:space="preserve">2. valiku bioloogiline haigust modifitseeriv ravim reumatoidartriidi, anküloseeriva spondüliidi, psoriaatilise artropaatia ja juveniilse idiopaatilise artriidi korral, </w:t>
            </w:r>
            <w:r w:rsidR="001C772A" w:rsidRPr="00687DE8">
              <w:rPr>
                <w:szCs w:val="24"/>
              </w:rPr>
              <w:t>nelja</w:t>
            </w:r>
            <w:r w:rsidRPr="00687DE8">
              <w:rPr>
                <w:szCs w:val="24"/>
              </w:rPr>
              <w:t>nädalane ravikuur</w:t>
            </w:r>
          </w:p>
        </w:tc>
        <w:tc>
          <w:tcPr>
            <w:tcW w:w="993" w:type="dxa"/>
            <w:vAlign w:val="center"/>
          </w:tcPr>
          <w:p w14:paraId="3C329BDC" w14:textId="77777777" w:rsidR="00976487" w:rsidRPr="00687DE8" w:rsidRDefault="00976487" w:rsidP="001B58FF">
            <w:pPr>
              <w:jc w:val="center"/>
              <w:rPr>
                <w:szCs w:val="24"/>
              </w:rPr>
            </w:pPr>
          </w:p>
          <w:p w14:paraId="7C921931" w14:textId="77777777" w:rsidR="00976487" w:rsidRPr="00687DE8" w:rsidRDefault="00976487" w:rsidP="001B58FF">
            <w:pPr>
              <w:rPr>
                <w:szCs w:val="24"/>
              </w:rPr>
            </w:pPr>
          </w:p>
          <w:p w14:paraId="0BDD5794" w14:textId="77777777" w:rsidR="00976487" w:rsidRPr="00687DE8" w:rsidRDefault="00976487" w:rsidP="001B58FF">
            <w:pPr>
              <w:jc w:val="center"/>
              <w:rPr>
                <w:szCs w:val="24"/>
              </w:rPr>
            </w:pPr>
            <w:r w:rsidRPr="00687DE8">
              <w:rPr>
                <w:szCs w:val="24"/>
              </w:rPr>
              <w:t>224R</w:t>
            </w:r>
          </w:p>
        </w:tc>
        <w:tc>
          <w:tcPr>
            <w:tcW w:w="1134" w:type="dxa"/>
            <w:tcBorders>
              <w:top w:val="nil"/>
              <w:left w:val="single" w:sz="4" w:space="0" w:color="auto"/>
              <w:bottom w:val="single" w:sz="4" w:space="0" w:color="auto"/>
              <w:right w:val="single" w:sz="4" w:space="0" w:color="auto"/>
            </w:tcBorders>
            <w:vAlign w:val="center"/>
          </w:tcPr>
          <w:p w14:paraId="3180F485" w14:textId="0FE86835" w:rsidR="00976487" w:rsidRPr="00687DE8" w:rsidRDefault="00D05753" w:rsidP="001B58FF">
            <w:pPr>
              <w:tabs>
                <w:tab w:val="decimal" w:pos="635"/>
              </w:tabs>
              <w:jc w:val="center"/>
            </w:pPr>
            <w:r>
              <w:rPr>
                <w:color w:val="000000"/>
              </w:rPr>
              <w:t>587,43</w:t>
            </w:r>
          </w:p>
        </w:tc>
      </w:tr>
      <w:tr w:rsidR="00976487" w:rsidRPr="00687DE8" w14:paraId="1F4C99BB" w14:textId="77777777" w:rsidTr="00EB7A71">
        <w:trPr>
          <w:divId w:val="1316184749"/>
          <w:trHeight w:val="574"/>
        </w:trPr>
        <w:tc>
          <w:tcPr>
            <w:tcW w:w="7366" w:type="dxa"/>
            <w:hideMark/>
          </w:tcPr>
          <w:p w14:paraId="7176B30E" w14:textId="77777777" w:rsidR="00976487" w:rsidRPr="00687DE8" w:rsidRDefault="00976487">
            <w:pPr>
              <w:rPr>
                <w:szCs w:val="24"/>
              </w:rPr>
            </w:pPr>
            <w:r w:rsidRPr="00687DE8">
              <w:rPr>
                <w:szCs w:val="24"/>
              </w:rPr>
              <w:t xml:space="preserve">2. valiku bioloogiline haigust modifitseeriv ravim Crohni tõve ja haavandilise koliidi korral, </w:t>
            </w:r>
            <w:r w:rsidR="001C772A" w:rsidRPr="00687DE8">
              <w:rPr>
                <w:szCs w:val="24"/>
              </w:rPr>
              <w:t>nelja</w:t>
            </w:r>
            <w:r w:rsidRPr="00687DE8">
              <w:rPr>
                <w:szCs w:val="24"/>
              </w:rPr>
              <w:t>nädalane ravikuur</w:t>
            </w:r>
          </w:p>
        </w:tc>
        <w:tc>
          <w:tcPr>
            <w:tcW w:w="993" w:type="dxa"/>
            <w:vAlign w:val="center"/>
          </w:tcPr>
          <w:p w14:paraId="71C01412" w14:textId="77777777" w:rsidR="00976487" w:rsidRPr="00687DE8" w:rsidRDefault="00976487" w:rsidP="001B58FF">
            <w:pPr>
              <w:jc w:val="center"/>
              <w:rPr>
                <w:szCs w:val="24"/>
              </w:rPr>
            </w:pPr>
          </w:p>
          <w:p w14:paraId="70CEFDA2" w14:textId="77777777" w:rsidR="00976487" w:rsidRPr="00687DE8" w:rsidRDefault="00976487" w:rsidP="001B58FF">
            <w:pPr>
              <w:jc w:val="center"/>
              <w:rPr>
                <w:szCs w:val="24"/>
              </w:rPr>
            </w:pPr>
            <w:r w:rsidRPr="00687DE8">
              <w:rPr>
                <w:szCs w:val="24"/>
              </w:rPr>
              <w:t>225R</w:t>
            </w:r>
          </w:p>
        </w:tc>
        <w:tc>
          <w:tcPr>
            <w:tcW w:w="1134" w:type="dxa"/>
            <w:tcBorders>
              <w:top w:val="nil"/>
              <w:left w:val="single" w:sz="4" w:space="0" w:color="auto"/>
              <w:bottom w:val="single" w:sz="4" w:space="0" w:color="auto"/>
              <w:right w:val="single" w:sz="4" w:space="0" w:color="auto"/>
            </w:tcBorders>
            <w:vAlign w:val="center"/>
          </w:tcPr>
          <w:p w14:paraId="23917BF1" w14:textId="61F26755" w:rsidR="00976487" w:rsidRPr="00687DE8" w:rsidRDefault="00D05753" w:rsidP="001B58FF">
            <w:pPr>
              <w:tabs>
                <w:tab w:val="decimal" w:pos="635"/>
              </w:tabs>
              <w:jc w:val="center"/>
              <w:rPr>
                <w:szCs w:val="24"/>
              </w:rPr>
            </w:pPr>
            <w:r>
              <w:rPr>
                <w:color w:val="000000"/>
              </w:rPr>
              <w:t>1 205,11</w:t>
            </w:r>
          </w:p>
        </w:tc>
      </w:tr>
      <w:tr w:rsidR="00976487" w:rsidRPr="00687DE8" w14:paraId="032C34FB" w14:textId="77777777" w:rsidTr="00EB7A71">
        <w:trPr>
          <w:divId w:val="1316184749"/>
        </w:trPr>
        <w:tc>
          <w:tcPr>
            <w:tcW w:w="7366" w:type="dxa"/>
            <w:hideMark/>
          </w:tcPr>
          <w:p w14:paraId="58B251DB" w14:textId="77777777" w:rsidR="00976487" w:rsidRPr="00687DE8" w:rsidRDefault="00976487">
            <w:pPr>
              <w:rPr>
                <w:szCs w:val="24"/>
              </w:rPr>
            </w:pPr>
            <w:r w:rsidRPr="00687DE8">
              <w:rPr>
                <w:szCs w:val="24"/>
              </w:rPr>
              <w:t>Bioloogiline ravi omalizumabiga astma korral, 1 mg</w:t>
            </w:r>
          </w:p>
        </w:tc>
        <w:tc>
          <w:tcPr>
            <w:tcW w:w="993" w:type="dxa"/>
            <w:vAlign w:val="center"/>
            <w:hideMark/>
          </w:tcPr>
          <w:p w14:paraId="4BFB1DDE" w14:textId="77777777" w:rsidR="00976487" w:rsidRPr="00687DE8" w:rsidRDefault="00976487" w:rsidP="001B58FF">
            <w:pPr>
              <w:jc w:val="center"/>
              <w:rPr>
                <w:szCs w:val="24"/>
              </w:rPr>
            </w:pPr>
            <w:r w:rsidRPr="00687DE8">
              <w:rPr>
                <w:szCs w:val="24"/>
              </w:rPr>
              <w:t>345R</w:t>
            </w:r>
          </w:p>
        </w:tc>
        <w:tc>
          <w:tcPr>
            <w:tcW w:w="1134" w:type="dxa"/>
            <w:tcBorders>
              <w:top w:val="nil"/>
              <w:left w:val="single" w:sz="4" w:space="0" w:color="auto"/>
              <w:bottom w:val="single" w:sz="4" w:space="0" w:color="auto"/>
              <w:right w:val="single" w:sz="4" w:space="0" w:color="auto"/>
            </w:tcBorders>
            <w:vAlign w:val="center"/>
            <w:hideMark/>
          </w:tcPr>
          <w:p w14:paraId="7BB5A948" w14:textId="2B731CEB" w:rsidR="00976487" w:rsidRPr="00687DE8" w:rsidRDefault="00D05753" w:rsidP="001B58FF">
            <w:pPr>
              <w:tabs>
                <w:tab w:val="decimal" w:pos="635"/>
              </w:tabs>
              <w:jc w:val="center"/>
              <w:rPr>
                <w:szCs w:val="24"/>
              </w:rPr>
            </w:pPr>
            <w:r>
              <w:rPr>
                <w:color w:val="000000"/>
              </w:rPr>
              <w:t>2,73</w:t>
            </w:r>
          </w:p>
        </w:tc>
      </w:tr>
      <w:tr w:rsidR="00976487" w:rsidRPr="00687DE8" w14:paraId="44E61760" w14:textId="77777777" w:rsidTr="00EB7A71">
        <w:trPr>
          <w:divId w:val="1316184749"/>
          <w:trHeight w:val="323"/>
        </w:trPr>
        <w:tc>
          <w:tcPr>
            <w:tcW w:w="7366" w:type="dxa"/>
            <w:hideMark/>
          </w:tcPr>
          <w:p w14:paraId="4E3BA255" w14:textId="64677BE1" w:rsidR="00976487" w:rsidRPr="00687DE8" w:rsidRDefault="00976487">
            <w:pPr>
              <w:rPr>
                <w:szCs w:val="24"/>
              </w:rPr>
            </w:pPr>
            <w:r w:rsidRPr="00687DE8">
              <w:rPr>
                <w:i/>
                <w:iCs/>
                <w:szCs w:val="24"/>
              </w:rPr>
              <w:t>Sclerosis multiplex</w:t>
            </w:r>
            <w:r w:rsidRPr="00687DE8">
              <w:rPr>
                <w:szCs w:val="24"/>
              </w:rPr>
              <w:t xml:space="preserve">’i ravi </w:t>
            </w:r>
            <w:r w:rsidR="00DE4FF6">
              <w:rPr>
                <w:szCs w:val="24"/>
              </w:rPr>
              <w:t>natalizumabiga</w:t>
            </w:r>
            <w:r w:rsidRPr="00687DE8">
              <w:rPr>
                <w:szCs w:val="24"/>
              </w:rPr>
              <w:t xml:space="preserve">, </w:t>
            </w:r>
            <w:r w:rsidR="00BB1766" w:rsidRPr="00687DE8">
              <w:rPr>
                <w:szCs w:val="24"/>
              </w:rPr>
              <w:t>nelja</w:t>
            </w:r>
            <w:r w:rsidRPr="00687DE8">
              <w:rPr>
                <w:szCs w:val="24"/>
              </w:rPr>
              <w:t>nädalane ravikuur</w:t>
            </w:r>
          </w:p>
        </w:tc>
        <w:tc>
          <w:tcPr>
            <w:tcW w:w="993" w:type="dxa"/>
            <w:vAlign w:val="center"/>
          </w:tcPr>
          <w:p w14:paraId="0FD0E3C8" w14:textId="77777777" w:rsidR="00976487" w:rsidRPr="00687DE8" w:rsidRDefault="00976487" w:rsidP="001B58FF">
            <w:pPr>
              <w:jc w:val="center"/>
              <w:rPr>
                <w:szCs w:val="24"/>
              </w:rPr>
            </w:pPr>
            <w:r w:rsidRPr="00687DE8">
              <w:rPr>
                <w:szCs w:val="24"/>
              </w:rPr>
              <w:t>346R</w:t>
            </w:r>
          </w:p>
        </w:tc>
        <w:tc>
          <w:tcPr>
            <w:tcW w:w="1134" w:type="dxa"/>
            <w:tcBorders>
              <w:top w:val="nil"/>
              <w:left w:val="single" w:sz="4" w:space="0" w:color="auto"/>
              <w:bottom w:val="single" w:sz="4" w:space="0" w:color="auto"/>
              <w:right w:val="single" w:sz="4" w:space="0" w:color="auto"/>
            </w:tcBorders>
            <w:vAlign w:val="center"/>
          </w:tcPr>
          <w:p w14:paraId="4CC53744" w14:textId="7A293291" w:rsidR="00976487" w:rsidRPr="00687DE8" w:rsidRDefault="00D05753" w:rsidP="001B58FF">
            <w:pPr>
              <w:tabs>
                <w:tab w:val="decimal" w:pos="635"/>
              </w:tabs>
              <w:jc w:val="center"/>
              <w:rPr>
                <w:szCs w:val="24"/>
              </w:rPr>
            </w:pPr>
            <w:r>
              <w:rPr>
                <w:color w:val="000000"/>
              </w:rPr>
              <w:t>1 249,57</w:t>
            </w:r>
          </w:p>
        </w:tc>
      </w:tr>
      <w:tr w:rsidR="00303D4C" w:rsidRPr="00687DE8" w14:paraId="7EAC3BF1" w14:textId="77777777" w:rsidTr="00EB7A71">
        <w:trPr>
          <w:divId w:val="1316184749"/>
          <w:trHeight w:val="375"/>
        </w:trPr>
        <w:tc>
          <w:tcPr>
            <w:tcW w:w="7366" w:type="dxa"/>
          </w:tcPr>
          <w:p w14:paraId="188537C3" w14:textId="71085495" w:rsidR="00303D4C" w:rsidRPr="00687DE8" w:rsidRDefault="00072749">
            <w:pPr>
              <w:rPr>
                <w:i/>
                <w:lang w:val="en-US"/>
              </w:rPr>
            </w:pPr>
            <w:r w:rsidRPr="7A550F3E">
              <w:rPr>
                <w:i/>
                <w:lang w:val="en-US"/>
              </w:rPr>
              <w:t>Sclerosis multiplex</w:t>
            </w:r>
            <w:r w:rsidR="00FE630B">
              <w:rPr>
                <w:iCs/>
                <w:lang w:val="en-US"/>
              </w:rPr>
              <w:t>’i</w:t>
            </w:r>
            <w:r w:rsidRPr="7A550F3E">
              <w:rPr>
                <w:i/>
                <w:lang w:val="en-US"/>
              </w:rPr>
              <w:t xml:space="preserve"> </w:t>
            </w:r>
            <w:r w:rsidRPr="002636DF">
              <w:rPr>
                <w:lang w:val="en-US"/>
              </w:rPr>
              <w:t xml:space="preserve">ravi okrelizumabiga, </w:t>
            </w:r>
            <w:r w:rsidR="401089FB" w:rsidRPr="7A550F3E">
              <w:rPr>
                <w:lang w:val="en-US"/>
              </w:rPr>
              <w:t>300</w:t>
            </w:r>
            <w:r w:rsidR="009F3BBF">
              <w:rPr>
                <w:lang w:val="en-US"/>
              </w:rPr>
              <w:t xml:space="preserve"> </w:t>
            </w:r>
            <w:r w:rsidR="401089FB" w:rsidRPr="7A550F3E">
              <w:rPr>
                <w:lang w:val="en-US"/>
              </w:rPr>
              <w:t>mg</w:t>
            </w:r>
          </w:p>
        </w:tc>
        <w:tc>
          <w:tcPr>
            <w:tcW w:w="993" w:type="dxa"/>
            <w:vAlign w:val="center"/>
          </w:tcPr>
          <w:p w14:paraId="49B8ED29" w14:textId="320D4C17" w:rsidR="00303D4C" w:rsidRPr="00687DE8" w:rsidRDefault="008D031A" w:rsidP="001B58FF">
            <w:pPr>
              <w:jc w:val="center"/>
              <w:rPr>
                <w:szCs w:val="24"/>
              </w:rPr>
            </w:pPr>
            <w:r>
              <w:rPr>
                <w:szCs w:val="24"/>
              </w:rPr>
              <w:t>4</w:t>
            </w:r>
            <w:r w:rsidR="00FE5B84">
              <w:rPr>
                <w:szCs w:val="24"/>
              </w:rPr>
              <w:t>45</w:t>
            </w:r>
            <w:r>
              <w:rPr>
                <w:szCs w:val="24"/>
              </w:rPr>
              <w:t>R</w:t>
            </w:r>
          </w:p>
        </w:tc>
        <w:tc>
          <w:tcPr>
            <w:tcW w:w="1134" w:type="dxa"/>
            <w:tcBorders>
              <w:top w:val="nil"/>
              <w:left w:val="single" w:sz="4" w:space="0" w:color="auto"/>
              <w:bottom w:val="single" w:sz="4" w:space="0" w:color="auto"/>
              <w:right w:val="single" w:sz="4" w:space="0" w:color="auto"/>
            </w:tcBorders>
            <w:vAlign w:val="center"/>
          </w:tcPr>
          <w:p w14:paraId="566F1602" w14:textId="1985E4A8" w:rsidR="00303D4C" w:rsidRPr="00687DE8" w:rsidRDefault="00D05753" w:rsidP="001B58FF">
            <w:pPr>
              <w:tabs>
                <w:tab w:val="decimal" w:pos="635"/>
              </w:tabs>
              <w:jc w:val="center"/>
              <w:rPr>
                <w:szCs w:val="24"/>
              </w:rPr>
            </w:pPr>
            <w:r>
              <w:rPr>
                <w:color w:val="000000"/>
              </w:rPr>
              <w:t>6 540,00</w:t>
            </w:r>
          </w:p>
        </w:tc>
      </w:tr>
      <w:tr w:rsidR="00976487" w:rsidRPr="00687DE8" w14:paraId="14C1FC01" w14:textId="77777777" w:rsidTr="00EB7A71">
        <w:trPr>
          <w:divId w:val="1316184749"/>
          <w:trHeight w:val="315"/>
        </w:trPr>
        <w:tc>
          <w:tcPr>
            <w:tcW w:w="7366" w:type="dxa"/>
            <w:hideMark/>
          </w:tcPr>
          <w:p w14:paraId="4A1B9863" w14:textId="77777777" w:rsidR="00976487" w:rsidRPr="00687DE8" w:rsidRDefault="00976487">
            <w:pPr>
              <w:rPr>
                <w:szCs w:val="24"/>
              </w:rPr>
            </w:pPr>
            <w:r w:rsidRPr="00687DE8">
              <w:rPr>
                <w:i/>
                <w:iCs/>
                <w:szCs w:val="24"/>
              </w:rPr>
              <w:lastRenderedPageBreak/>
              <w:t>Sclerosis multiplex</w:t>
            </w:r>
            <w:r w:rsidRPr="00687DE8">
              <w:rPr>
                <w:szCs w:val="24"/>
              </w:rPr>
              <w:t>’i ravi alemtuzumabiga, üks viaal (12 mg)</w:t>
            </w:r>
          </w:p>
        </w:tc>
        <w:tc>
          <w:tcPr>
            <w:tcW w:w="993" w:type="dxa"/>
            <w:vAlign w:val="center"/>
            <w:hideMark/>
          </w:tcPr>
          <w:p w14:paraId="1FB1F7FE" w14:textId="77777777" w:rsidR="00976487" w:rsidRPr="00687DE8" w:rsidRDefault="00976487" w:rsidP="001B58FF">
            <w:pPr>
              <w:jc w:val="center"/>
              <w:rPr>
                <w:szCs w:val="24"/>
              </w:rPr>
            </w:pPr>
            <w:r w:rsidRPr="00687DE8">
              <w:rPr>
                <w:szCs w:val="24"/>
              </w:rPr>
              <w:t>349R</w:t>
            </w:r>
          </w:p>
        </w:tc>
        <w:tc>
          <w:tcPr>
            <w:tcW w:w="1134" w:type="dxa"/>
            <w:tcBorders>
              <w:top w:val="nil"/>
              <w:left w:val="single" w:sz="4" w:space="0" w:color="auto"/>
              <w:bottom w:val="single" w:sz="4" w:space="0" w:color="auto"/>
              <w:right w:val="single" w:sz="4" w:space="0" w:color="auto"/>
            </w:tcBorders>
            <w:vAlign w:val="center"/>
            <w:hideMark/>
          </w:tcPr>
          <w:p w14:paraId="09837F94" w14:textId="40A1BDCC" w:rsidR="00976487" w:rsidRPr="00687DE8" w:rsidRDefault="00D05753" w:rsidP="001B58FF">
            <w:pPr>
              <w:tabs>
                <w:tab w:val="decimal" w:pos="635"/>
              </w:tabs>
              <w:jc w:val="center"/>
              <w:rPr>
                <w:szCs w:val="24"/>
              </w:rPr>
            </w:pPr>
            <w:r>
              <w:rPr>
                <w:color w:val="000000"/>
              </w:rPr>
              <w:t>6 279,41</w:t>
            </w:r>
          </w:p>
        </w:tc>
      </w:tr>
      <w:tr w:rsidR="00976487" w:rsidRPr="00687DE8" w14:paraId="127E4CF3" w14:textId="77777777" w:rsidTr="00EB7A71">
        <w:trPr>
          <w:divId w:val="1316184749"/>
          <w:trHeight w:val="408"/>
        </w:trPr>
        <w:tc>
          <w:tcPr>
            <w:tcW w:w="7366" w:type="dxa"/>
            <w:hideMark/>
          </w:tcPr>
          <w:p w14:paraId="02911497" w14:textId="77777777" w:rsidR="00976487" w:rsidRPr="00687DE8" w:rsidRDefault="00976487">
            <w:pPr>
              <w:rPr>
                <w:szCs w:val="24"/>
              </w:rPr>
            </w:pPr>
            <w:r w:rsidRPr="00687DE8">
              <w:rPr>
                <w:szCs w:val="24"/>
              </w:rPr>
              <w:t xml:space="preserve">Süsteemse erütematoosse luupuse bioloogiline ravi </w:t>
            </w:r>
            <w:r w:rsidR="006E60FE" w:rsidRPr="00687DE8">
              <w:rPr>
                <w:szCs w:val="24"/>
              </w:rPr>
              <w:t xml:space="preserve">belimumabiga, </w:t>
            </w:r>
            <w:r w:rsidR="002513D5" w:rsidRPr="00687DE8">
              <w:rPr>
                <w:szCs w:val="24"/>
              </w:rPr>
              <w:t>üks</w:t>
            </w:r>
            <w:r w:rsidR="006E60FE" w:rsidRPr="00687DE8">
              <w:rPr>
                <w:szCs w:val="24"/>
              </w:rPr>
              <w:t xml:space="preserve"> manustamiskord</w:t>
            </w:r>
          </w:p>
        </w:tc>
        <w:tc>
          <w:tcPr>
            <w:tcW w:w="993" w:type="dxa"/>
            <w:vAlign w:val="center"/>
          </w:tcPr>
          <w:p w14:paraId="12CF9184" w14:textId="77777777" w:rsidR="00976487" w:rsidRPr="00687DE8" w:rsidRDefault="00976487" w:rsidP="001B58FF">
            <w:pPr>
              <w:jc w:val="center"/>
              <w:rPr>
                <w:szCs w:val="24"/>
              </w:rPr>
            </w:pPr>
          </w:p>
          <w:p w14:paraId="400E3252" w14:textId="77777777" w:rsidR="00976487" w:rsidRPr="00687DE8" w:rsidRDefault="00976487" w:rsidP="001B58FF">
            <w:pPr>
              <w:jc w:val="center"/>
              <w:rPr>
                <w:szCs w:val="24"/>
              </w:rPr>
            </w:pPr>
            <w:r w:rsidRPr="00687DE8">
              <w:rPr>
                <w:szCs w:val="24"/>
              </w:rPr>
              <w:t>393R</w:t>
            </w:r>
          </w:p>
        </w:tc>
        <w:tc>
          <w:tcPr>
            <w:tcW w:w="1134" w:type="dxa"/>
            <w:tcBorders>
              <w:top w:val="nil"/>
              <w:left w:val="single" w:sz="4" w:space="0" w:color="auto"/>
              <w:bottom w:val="single" w:sz="4" w:space="0" w:color="auto"/>
              <w:right w:val="single" w:sz="4" w:space="0" w:color="auto"/>
            </w:tcBorders>
            <w:vAlign w:val="center"/>
          </w:tcPr>
          <w:p w14:paraId="449E931B" w14:textId="17FB20DD" w:rsidR="00976487" w:rsidRPr="00687DE8" w:rsidRDefault="00D05753" w:rsidP="001B58FF">
            <w:pPr>
              <w:tabs>
                <w:tab w:val="decimal" w:pos="635"/>
              </w:tabs>
              <w:jc w:val="center"/>
              <w:rPr>
                <w:szCs w:val="24"/>
              </w:rPr>
            </w:pPr>
            <w:r>
              <w:rPr>
                <w:color w:val="000000"/>
              </w:rPr>
              <w:t>947,60</w:t>
            </w:r>
          </w:p>
        </w:tc>
      </w:tr>
      <w:tr w:rsidR="3B6EA438" w14:paraId="46132503" w14:textId="77777777" w:rsidTr="001B58FF">
        <w:trPr>
          <w:divId w:val="1316184749"/>
          <w:trHeight w:val="408"/>
        </w:trPr>
        <w:tc>
          <w:tcPr>
            <w:tcW w:w="7366" w:type="dxa"/>
            <w:hideMark/>
          </w:tcPr>
          <w:p w14:paraId="06C37789" w14:textId="5843659C" w:rsidR="35AA7127" w:rsidRPr="00852B81" w:rsidRDefault="35AA7127" w:rsidP="3B6EA438">
            <w:pPr>
              <w:rPr>
                <w:rFonts w:eastAsia="Calibri"/>
                <w:sz w:val="22"/>
              </w:rPr>
            </w:pPr>
            <w:r w:rsidRPr="00852B81">
              <w:rPr>
                <w:rFonts w:eastAsia="Calibri"/>
                <w:sz w:val="22"/>
              </w:rPr>
              <w:t>Sü</w:t>
            </w:r>
            <w:r w:rsidRPr="59DE1CA2">
              <w:rPr>
                <w:rFonts w:eastAsia="Times New Roman"/>
              </w:rPr>
              <w:t>steemse erütematoosse luupuse bioloogiline ravi anifrolumabiga, neljanädalane ravikuur</w:t>
            </w:r>
          </w:p>
        </w:tc>
        <w:tc>
          <w:tcPr>
            <w:tcW w:w="993" w:type="dxa"/>
            <w:vAlign w:val="center"/>
          </w:tcPr>
          <w:p w14:paraId="68CF7ECA" w14:textId="2F372BFB" w:rsidR="35AA7127" w:rsidRDefault="35AA7127" w:rsidP="001B58FF">
            <w:pPr>
              <w:jc w:val="center"/>
            </w:pPr>
            <w:r>
              <w:t>462R</w:t>
            </w:r>
          </w:p>
        </w:tc>
        <w:tc>
          <w:tcPr>
            <w:tcW w:w="1134" w:type="dxa"/>
            <w:vAlign w:val="center"/>
          </w:tcPr>
          <w:p w14:paraId="567F429E" w14:textId="18288B64" w:rsidR="00DA1E6C" w:rsidRDefault="00DA1E6C" w:rsidP="00D05753">
            <w:pPr>
              <w:jc w:val="center"/>
              <w:rPr>
                <w:color w:val="000000" w:themeColor="text1"/>
              </w:rPr>
            </w:pPr>
          </w:p>
          <w:p w14:paraId="32F56CEB" w14:textId="77777777" w:rsidR="00DA1E6C" w:rsidRPr="00DA1E6C" w:rsidRDefault="00DA1E6C" w:rsidP="00DA1E6C">
            <w:pPr>
              <w:jc w:val="center"/>
              <w:rPr>
                <w:color w:val="000000" w:themeColor="text1"/>
              </w:rPr>
            </w:pPr>
            <w:r w:rsidRPr="00DA1E6C">
              <w:rPr>
                <w:color w:val="000000" w:themeColor="text1"/>
              </w:rPr>
              <w:t>878,97</w:t>
            </w:r>
          </w:p>
          <w:p w14:paraId="114CE316" w14:textId="7B71C429" w:rsidR="35AA7127" w:rsidRDefault="35AA7127" w:rsidP="001B58FF">
            <w:pPr>
              <w:jc w:val="center"/>
              <w:rPr>
                <w:color w:val="000000" w:themeColor="text1"/>
              </w:rPr>
            </w:pPr>
          </w:p>
        </w:tc>
      </w:tr>
      <w:tr w:rsidR="00976487" w:rsidRPr="00687DE8" w14:paraId="1F006514" w14:textId="77777777" w:rsidTr="00EB7A71">
        <w:trPr>
          <w:divId w:val="1316184749"/>
        </w:trPr>
        <w:tc>
          <w:tcPr>
            <w:tcW w:w="7366" w:type="dxa"/>
            <w:hideMark/>
          </w:tcPr>
          <w:p w14:paraId="125ACD76" w14:textId="77777777" w:rsidR="00976487" w:rsidRPr="00687DE8" w:rsidRDefault="00976487">
            <w:pPr>
              <w:rPr>
                <w:szCs w:val="24"/>
              </w:rPr>
            </w:pPr>
            <w:r w:rsidRPr="00687DE8">
              <w:rPr>
                <w:szCs w:val="24"/>
              </w:rPr>
              <w:t>Bioloogiline ravi omalizumabiga kroonilise spontaanse urtikaaria korral, 1</w:t>
            </w:r>
            <w:r w:rsidR="0089628D" w:rsidRPr="00687DE8">
              <w:rPr>
                <w:szCs w:val="24"/>
              </w:rPr>
              <w:t> </w:t>
            </w:r>
            <w:r w:rsidRPr="00687DE8">
              <w:rPr>
                <w:szCs w:val="24"/>
              </w:rPr>
              <w:t>mg</w:t>
            </w:r>
          </w:p>
        </w:tc>
        <w:tc>
          <w:tcPr>
            <w:tcW w:w="993" w:type="dxa"/>
            <w:vAlign w:val="center"/>
          </w:tcPr>
          <w:p w14:paraId="4088F0C6" w14:textId="77777777" w:rsidR="00976487" w:rsidRPr="00687DE8" w:rsidRDefault="00976487" w:rsidP="001B58FF">
            <w:pPr>
              <w:jc w:val="center"/>
              <w:rPr>
                <w:szCs w:val="24"/>
              </w:rPr>
            </w:pPr>
          </w:p>
          <w:p w14:paraId="6089ABA7" w14:textId="77777777" w:rsidR="00976487" w:rsidRPr="00687DE8" w:rsidRDefault="00976487" w:rsidP="001B58FF">
            <w:pPr>
              <w:jc w:val="center"/>
              <w:rPr>
                <w:szCs w:val="24"/>
              </w:rPr>
            </w:pPr>
            <w:r w:rsidRPr="00687DE8">
              <w:rPr>
                <w:szCs w:val="24"/>
              </w:rPr>
              <w:t>206R</w:t>
            </w:r>
          </w:p>
        </w:tc>
        <w:tc>
          <w:tcPr>
            <w:tcW w:w="1134" w:type="dxa"/>
            <w:tcBorders>
              <w:top w:val="single" w:sz="4" w:space="0" w:color="auto"/>
              <w:left w:val="single" w:sz="4" w:space="0" w:color="auto"/>
              <w:bottom w:val="single" w:sz="4" w:space="0" w:color="auto"/>
              <w:right w:val="single" w:sz="4" w:space="0" w:color="auto"/>
            </w:tcBorders>
            <w:vAlign w:val="center"/>
          </w:tcPr>
          <w:p w14:paraId="1CFFDE50" w14:textId="66782B48" w:rsidR="00976487" w:rsidRPr="00687DE8" w:rsidRDefault="003D35A1" w:rsidP="001B58FF">
            <w:pPr>
              <w:tabs>
                <w:tab w:val="decimal" w:pos="635"/>
              </w:tabs>
              <w:jc w:val="center"/>
              <w:rPr>
                <w:szCs w:val="24"/>
              </w:rPr>
            </w:pPr>
            <w:r>
              <w:rPr>
                <w:color w:val="000000"/>
              </w:rPr>
              <w:t>2,73</w:t>
            </w:r>
          </w:p>
        </w:tc>
      </w:tr>
      <w:tr w:rsidR="00976487" w:rsidRPr="00687DE8" w14:paraId="1E9290D2" w14:textId="77777777" w:rsidTr="00EB7A71">
        <w:trPr>
          <w:divId w:val="1316184749"/>
        </w:trPr>
        <w:tc>
          <w:tcPr>
            <w:tcW w:w="7366" w:type="dxa"/>
            <w:hideMark/>
          </w:tcPr>
          <w:p w14:paraId="6D3264B7" w14:textId="77777777" w:rsidR="00976487" w:rsidRPr="00687DE8" w:rsidRDefault="00976487">
            <w:pPr>
              <w:rPr>
                <w:szCs w:val="24"/>
              </w:rPr>
            </w:pPr>
            <w:r w:rsidRPr="00687DE8">
              <w:rPr>
                <w:szCs w:val="24"/>
              </w:rPr>
              <w:t xml:space="preserve">Bioloogiline ravi hiidrakulise arteriidi korral, </w:t>
            </w:r>
            <w:r w:rsidR="00BB1766" w:rsidRPr="00687DE8">
              <w:rPr>
                <w:szCs w:val="24"/>
              </w:rPr>
              <w:t>nelja</w:t>
            </w:r>
            <w:r w:rsidRPr="00687DE8">
              <w:rPr>
                <w:szCs w:val="24"/>
              </w:rPr>
              <w:t>nädalane ravikuur</w:t>
            </w:r>
          </w:p>
        </w:tc>
        <w:tc>
          <w:tcPr>
            <w:tcW w:w="993" w:type="dxa"/>
            <w:vAlign w:val="center"/>
            <w:hideMark/>
          </w:tcPr>
          <w:p w14:paraId="414EA004" w14:textId="77777777" w:rsidR="00976487" w:rsidRPr="00687DE8" w:rsidRDefault="00976487" w:rsidP="001B58FF">
            <w:pPr>
              <w:jc w:val="center"/>
              <w:rPr>
                <w:szCs w:val="24"/>
              </w:rPr>
            </w:pPr>
            <w:r w:rsidRPr="00687DE8">
              <w:rPr>
                <w:szCs w:val="24"/>
              </w:rPr>
              <w:t>247R</w:t>
            </w:r>
          </w:p>
        </w:tc>
        <w:tc>
          <w:tcPr>
            <w:tcW w:w="1134" w:type="dxa"/>
            <w:tcBorders>
              <w:top w:val="nil"/>
              <w:left w:val="single" w:sz="4" w:space="0" w:color="auto"/>
              <w:bottom w:val="single" w:sz="4" w:space="0" w:color="auto"/>
              <w:right w:val="single" w:sz="4" w:space="0" w:color="auto"/>
            </w:tcBorders>
            <w:vAlign w:val="center"/>
            <w:hideMark/>
          </w:tcPr>
          <w:p w14:paraId="005D83B6" w14:textId="2B214C96" w:rsidR="00976487" w:rsidRPr="00687DE8" w:rsidRDefault="003D35A1" w:rsidP="001B58FF">
            <w:pPr>
              <w:tabs>
                <w:tab w:val="decimal" w:pos="635"/>
              </w:tabs>
              <w:jc w:val="center"/>
            </w:pPr>
            <w:r>
              <w:rPr>
                <w:color w:val="000000"/>
              </w:rPr>
              <w:t>452,68</w:t>
            </w:r>
          </w:p>
        </w:tc>
      </w:tr>
      <w:tr w:rsidR="38D373DA" w:rsidRPr="00687DE8" w14:paraId="4D746CF4" w14:textId="77777777" w:rsidTr="00EB7A71">
        <w:trPr>
          <w:divId w:val="1316184749"/>
          <w:trHeight w:val="47"/>
        </w:trPr>
        <w:tc>
          <w:tcPr>
            <w:tcW w:w="7366" w:type="dxa"/>
          </w:tcPr>
          <w:p w14:paraId="7EFA615F" w14:textId="77777777" w:rsidR="20A15D7E" w:rsidRPr="00687DE8" w:rsidRDefault="20A15D7E" w:rsidP="00334F99">
            <w:pPr>
              <w:rPr>
                <w:szCs w:val="24"/>
              </w:rPr>
            </w:pPr>
            <w:r w:rsidRPr="00687DE8">
              <w:rPr>
                <w:szCs w:val="24"/>
              </w:rPr>
              <w:t>Bioloogiline profülaktiline ravi lanadelumabiga hereditaarse angioödeemi korral</w:t>
            </w:r>
            <w:r w:rsidR="0004230C" w:rsidRPr="00687DE8">
              <w:rPr>
                <w:szCs w:val="24"/>
              </w:rPr>
              <w:t>,</w:t>
            </w:r>
            <w:r w:rsidRPr="00687DE8">
              <w:rPr>
                <w:szCs w:val="24"/>
              </w:rPr>
              <w:t xml:space="preserve"> </w:t>
            </w:r>
            <w:r w:rsidR="00BB1766" w:rsidRPr="00687DE8">
              <w:rPr>
                <w:szCs w:val="24"/>
              </w:rPr>
              <w:t>üks</w:t>
            </w:r>
            <w:r w:rsidRPr="00687DE8">
              <w:rPr>
                <w:szCs w:val="24"/>
              </w:rPr>
              <w:t xml:space="preserve"> </w:t>
            </w:r>
            <w:r w:rsidR="00F57C26" w:rsidRPr="00687DE8">
              <w:rPr>
                <w:szCs w:val="24"/>
              </w:rPr>
              <w:t>süstel</w:t>
            </w:r>
            <w:r w:rsidRPr="00687DE8">
              <w:rPr>
                <w:szCs w:val="24"/>
              </w:rPr>
              <w:t xml:space="preserve"> (300</w:t>
            </w:r>
            <w:r w:rsidR="008B256B" w:rsidRPr="00687DE8">
              <w:rPr>
                <w:szCs w:val="24"/>
              </w:rPr>
              <w:t xml:space="preserve"> </w:t>
            </w:r>
            <w:r w:rsidRPr="00687DE8">
              <w:rPr>
                <w:szCs w:val="24"/>
              </w:rPr>
              <w:t>mg)</w:t>
            </w:r>
          </w:p>
        </w:tc>
        <w:tc>
          <w:tcPr>
            <w:tcW w:w="993" w:type="dxa"/>
            <w:vAlign w:val="center"/>
          </w:tcPr>
          <w:p w14:paraId="66766E79" w14:textId="77777777" w:rsidR="38D373DA" w:rsidRPr="00687DE8" w:rsidRDefault="38D373DA" w:rsidP="001B58FF">
            <w:pPr>
              <w:jc w:val="center"/>
              <w:rPr>
                <w:szCs w:val="24"/>
              </w:rPr>
            </w:pPr>
          </w:p>
          <w:p w14:paraId="687906A0" w14:textId="77777777" w:rsidR="20A15D7E" w:rsidRPr="00687DE8" w:rsidRDefault="20A15D7E" w:rsidP="001B58FF">
            <w:pPr>
              <w:jc w:val="center"/>
              <w:rPr>
                <w:szCs w:val="24"/>
              </w:rPr>
            </w:pPr>
            <w:r w:rsidRPr="00687DE8">
              <w:rPr>
                <w:szCs w:val="24"/>
              </w:rPr>
              <w:t>270R</w:t>
            </w:r>
          </w:p>
        </w:tc>
        <w:tc>
          <w:tcPr>
            <w:tcW w:w="1134" w:type="dxa"/>
            <w:tcBorders>
              <w:top w:val="nil"/>
              <w:left w:val="single" w:sz="4" w:space="0" w:color="auto"/>
              <w:bottom w:val="single" w:sz="4" w:space="0" w:color="auto"/>
              <w:right w:val="single" w:sz="4" w:space="0" w:color="auto"/>
            </w:tcBorders>
            <w:vAlign w:val="center"/>
          </w:tcPr>
          <w:p w14:paraId="4AF8FFA6" w14:textId="3783F1C1" w:rsidR="67FBBAC6" w:rsidRPr="00687DE8" w:rsidRDefault="003D35A1" w:rsidP="001B58FF">
            <w:pPr>
              <w:jc w:val="center"/>
              <w:rPr>
                <w:szCs w:val="24"/>
              </w:rPr>
            </w:pPr>
            <w:r>
              <w:rPr>
                <w:color w:val="000000"/>
              </w:rPr>
              <w:t>13 819,96</w:t>
            </w:r>
          </w:p>
        </w:tc>
      </w:tr>
      <w:tr w:rsidR="007571F6" w:rsidRPr="00687DE8" w14:paraId="2B9259EC" w14:textId="77777777" w:rsidTr="00EB7A71">
        <w:trPr>
          <w:divId w:val="1316184749"/>
          <w:trHeight w:val="426"/>
        </w:trPr>
        <w:tc>
          <w:tcPr>
            <w:tcW w:w="7366" w:type="dxa"/>
          </w:tcPr>
          <w:p w14:paraId="6AEEC2A1" w14:textId="5600E895" w:rsidR="007571F6" w:rsidRPr="00687DE8" w:rsidRDefault="007571F6" w:rsidP="00334F99">
            <w:pPr>
              <w:rPr>
                <w:szCs w:val="24"/>
              </w:rPr>
            </w:pPr>
            <w:r w:rsidRPr="007571F6">
              <w:rPr>
                <w:szCs w:val="24"/>
              </w:rPr>
              <w:t>Tsütokiinide vabanemise sündroomi ravi totsilizumabiga, 1 mg</w:t>
            </w:r>
          </w:p>
        </w:tc>
        <w:tc>
          <w:tcPr>
            <w:tcW w:w="993" w:type="dxa"/>
            <w:vAlign w:val="center"/>
          </w:tcPr>
          <w:p w14:paraId="64AD9478" w14:textId="6F73EEE3" w:rsidR="007571F6" w:rsidRPr="00687DE8" w:rsidRDefault="007571F6" w:rsidP="001B58FF">
            <w:pPr>
              <w:jc w:val="center"/>
              <w:rPr>
                <w:szCs w:val="24"/>
              </w:rPr>
            </w:pPr>
            <w:r>
              <w:rPr>
                <w:szCs w:val="24"/>
              </w:rPr>
              <w:t>442R</w:t>
            </w:r>
          </w:p>
        </w:tc>
        <w:tc>
          <w:tcPr>
            <w:tcW w:w="1134" w:type="dxa"/>
            <w:tcBorders>
              <w:top w:val="nil"/>
              <w:left w:val="single" w:sz="4" w:space="0" w:color="auto"/>
              <w:bottom w:val="single" w:sz="4" w:space="0" w:color="auto"/>
              <w:right w:val="single" w:sz="4" w:space="0" w:color="auto"/>
            </w:tcBorders>
            <w:vAlign w:val="center"/>
          </w:tcPr>
          <w:p w14:paraId="7225B4B4" w14:textId="5BDE5C18" w:rsidR="007571F6" w:rsidRPr="00687DE8" w:rsidRDefault="003D35A1" w:rsidP="001B58FF">
            <w:pPr>
              <w:jc w:val="center"/>
            </w:pPr>
            <w:r>
              <w:rPr>
                <w:color w:val="000000"/>
              </w:rPr>
              <w:t>0,73</w:t>
            </w:r>
          </w:p>
        </w:tc>
      </w:tr>
      <w:tr w:rsidR="00C55C36" w:rsidRPr="00687DE8" w14:paraId="718F907B" w14:textId="77777777" w:rsidTr="001B58FF">
        <w:trPr>
          <w:divId w:val="1316184749"/>
          <w:trHeight w:val="426"/>
        </w:trPr>
        <w:tc>
          <w:tcPr>
            <w:tcW w:w="7366" w:type="dxa"/>
          </w:tcPr>
          <w:p w14:paraId="391F62D6" w14:textId="05764CAE" w:rsidR="00C55C36" w:rsidRPr="00855255" w:rsidRDefault="00C55C36" w:rsidP="00334F99">
            <w:pPr>
              <w:rPr>
                <w:bCs/>
              </w:rPr>
            </w:pPr>
            <w:r w:rsidRPr="007C054E">
              <w:t>Bioloogiline ravi interleukiin-6 inhib</w:t>
            </w:r>
            <w:r w:rsidR="501E8C47">
              <w:t>i</w:t>
            </w:r>
            <w:r w:rsidRPr="007C054E">
              <w:t>itoriga reumaatilise polümüalgia korral, neljanädalane ravikuur</w:t>
            </w:r>
          </w:p>
        </w:tc>
        <w:tc>
          <w:tcPr>
            <w:tcW w:w="993" w:type="dxa"/>
            <w:vAlign w:val="center"/>
          </w:tcPr>
          <w:p w14:paraId="041F7A32" w14:textId="6D3CBC5C" w:rsidR="00C55C36" w:rsidRDefault="00C55C36" w:rsidP="001B58FF">
            <w:pPr>
              <w:jc w:val="center"/>
              <w:rPr>
                <w:szCs w:val="24"/>
              </w:rPr>
            </w:pPr>
            <w:r>
              <w:rPr>
                <w:szCs w:val="24"/>
              </w:rPr>
              <w:t>463R</w:t>
            </w:r>
          </w:p>
        </w:tc>
        <w:tc>
          <w:tcPr>
            <w:tcW w:w="1134" w:type="dxa"/>
            <w:vAlign w:val="center"/>
          </w:tcPr>
          <w:p w14:paraId="66DC244A" w14:textId="7C7FDC88" w:rsidR="003D35A1" w:rsidRDefault="003D35A1" w:rsidP="003D35A1">
            <w:pPr>
              <w:jc w:val="center"/>
              <w:rPr>
                <w:color w:val="000000"/>
              </w:rPr>
            </w:pPr>
          </w:p>
          <w:p w14:paraId="469F8A75" w14:textId="26DAA2C3" w:rsidR="00C55C36" w:rsidRDefault="00C55C36" w:rsidP="001B58FF">
            <w:pPr>
              <w:jc w:val="center"/>
              <w:rPr>
                <w:color w:val="000000"/>
              </w:rPr>
            </w:pPr>
            <w:r>
              <w:rPr>
                <w:color w:val="000000"/>
              </w:rPr>
              <w:t>452,</w:t>
            </w:r>
            <w:r w:rsidR="00106520">
              <w:rPr>
                <w:color w:val="000000"/>
              </w:rPr>
              <w:t>68</w:t>
            </w:r>
          </w:p>
        </w:tc>
      </w:tr>
    </w:tbl>
    <w:p w14:paraId="0684AAD4" w14:textId="77777777" w:rsidR="00976487" w:rsidRPr="00687DE8" w:rsidRDefault="00976487" w:rsidP="00976487">
      <w:pPr>
        <w:spacing w:after="0" w:line="240" w:lineRule="auto"/>
        <w:jc w:val="both"/>
        <w:divId w:val="1316184749"/>
        <w:rPr>
          <w:szCs w:val="24"/>
        </w:rPr>
      </w:pPr>
    </w:p>
    <w:p w14:paraId="2A9A46DB" w14:textId="77777777" w:rsidR="00976487" w:rsidRPr="00687DE8" w:rsidRDefault="0097744F" w:rsidP="00976487">
      <w:pPr>
        <w:spacing w:after="0" w:line="240" w:lineRule="auto"/>
        <w:jc w:val="both"/>
        <w:divId w:val="1316184749"/>
        <w:rPr>
          <w:szCs w:val="24"/>
        </w:rPr>
      </w:pPr>
      <w:r w:rsidRPr="00687DE8">
        <w:rPr>
          <w:szCs w:val="24"/>
        </w:rPr>
        <w:t>(2) L</w:t>
      </w:r>
      <w:r w:rsidR="00976487" w:rsidRPr="00687DE8">
        <w:rPr>
          <w:szCs w:val="24"/>
        </w:rPr>
        <w:t>õikes 1 sätestatud ravimiteenuste piirhinnad ei sisaldu voodipäeva piirhinnas.</w:t>
      </w:r>
    </w:p>
    <w:p w14:paraId="7B9D101A" w14:textId="77777777" w:rsidR="00976487" w:rsidRPr="00687DE8" w:rsidRDefault="00976487" w:rsidP="00976487">
      <w:pPr>
        <w:spacing w:after="0" w:line="240" w:lineRule="auto"/>
        <w:jc w:val="both"/>
        <w:divId w:val="1316184749"/>
        <w:rPr>
          <w:szCs w:val="24"/>
        </w:rPr>
      </w:pPr>
    </w:p>
    <w:p w14:paraId="537FBFC3" w14:textId="77777777" w:rsidR="00976487" w:rsidRPr="00687DE8" w:rsidRDefault="0097744F" w:rsidP="00976487">
      <w:pPr>
        <w:spacing w:after="0" w:line="240" w:lineRule="auto"/>
        <w:jc w:val="both"/>
        <w:divId w:val="1316184749"/>
        <w:rPr>
          <w:szCs w:val="24"/>
        </w:rPr>
      </w:pPr>
      <w:r w:rsidRPr="00687DE8">
        <w:rPr>
          <w:szCs w:val="24"/>
        </w:rPr>
        <w:t>(3) L</w:t>
      </w:r>
      <w:r w:rsidR="00976487" w:rsidRPr="00687DE8">
        <w:rPr>
          <w:szCs w:val="24"/>
        </w:rPr>
        <w:t>õikes 1 sätestatud ravimiteenuste piirhinnad sisaldavad ainult ravimi maksumust koos käibemaksuga.</w:t>
      </w:r>
    </w:p>
    <w:p w14:paraId="66EC81AA" w14:textId="77777777" w:rsidR="00976487" w:rsidRPr="00687DE8" w:rsidRDefault="00976487" w:rsidP="00976487">
      <w:pPr>
        <w:spacing w:after="0" w:line="240" w:lineRule="auto"/>
        <w:jc w:val="both"/>
        <w:divId w:val="1316184749"/>
        <w:rPr>
          <w:szCs w:val="24"/>
        </w:rPr>
      </w:pPr>
    </w:p>
    <w:p w14:paraId="1A375131" w14:textId="636E7102" w:rsidR="00976487" w:rsidRPr="00687DE8" w:rsidRDefault="00976487" w:rsidP="00976487">
      <w:pPr>
        <w:spacing w:after="0" w:line="240" w:lineRule="auto"/>
        <w:jc w:val="both"/>
        <w:divId w:val="1316184749"/>
        <w:rPr>
          <w:szCs w:val="24"/>
        </w:rPr>
      </w:pPr>
      <w:r w:rsidRPr="00687DE8">
        <w:rPr>
          <w:szCs w:val="24"/>
        </w:rPr>
        <w:t xml:space="preserve">(4) </w:t>
      </w:r>
      <w:r w:rsidR="005023FD" w:rsidRPr="00687DE8">
        <w:rPr>
          <w:szCs w:val="24"/>
        </w:rPr>
        <w:t>Tervisekassa</w:t>
      </w:r>
      <w:r w:rsidRPr="00687DE8">
        <w:rPr>
          <w:szCs w:val="24"/>
        </w:rPr>
        <w:t xml:space="preserve"> võtab lõikes 1 nimetatud ravimiteenuste eest tasu maksmise kohustuse üle käesolevas paragrahvis sätestatud tingimustel.</w:t>
      </w:r>
    </w:p>
    <w:p w14:paraId="573296FF" w14:textId="77777777" w:rsidR="00976487" w:rsidRPr="00687DE8" w:rsidRDefault="00976487" w:rsidP="00976487">
      <w:pPr>
        <w:spacing w:after="0" w:line="240" w:lineRule="auto"/>
        <w:jc w:val="both"/>
        <w:divId w:val="1316184749"/>
        <w:rPr>
          <w:szCs w:val="24"/>
        </w:rPr>
      </w:pPr>
    </w:p>
    <w:p w14:paraId="4AD79871" w14:textId="097E66A7" w:rsidR="00976487" w:rsidRPr="00687DE8" w:rsidRDefault="00976487" w:rsidP="00976487">
      <w:pPr>
        <w:spacing w:after="0" w:line="240" w:lineRule="auto"/>
        <w:jc w:val="both"/>
        <w:divId w:val="1316184749"/>
        <w:rPr>
          <w:szCs w:val="24"/>
        </w:rPr>
      </w:pPr>
      <w:r w:rsidRPr="00687DE8">
        <w:rPr>
          <w:szCs w:val="24"/>
        </w:rPr>
        <w:t xml:space="preserve">(5) Kui on meditsiiniline vajadus kasutada lõikes 1 nimetatud ravimiteenuseid raviskeemi kohaselt, mille järgimisel piirhind ei kata individuaalset ravivajadust, võib </w:t>
      </w:r>
      <w:r w:rsidR="005023FD" w:rsidRPr="00687DE8">
        <w:rPr>
          <w:szCs w:val="24"/>
        </w:rPr>
        <w:t>Tervisekassa</w:t>
      </w:r>
      <w:r w:rsidRPr="00687DE8">
        <w:rPr>
          <w:szCs w:val="24"/>
        </w:rPr>
        <w:t xml:space="preserve"> võtta piirhinda ületava tasu maksmise kohustuse üle tervishoiuteenuse osutaja ja </w:t>
      </w:r>
      <w:r w:rsidR="005023FD" w:rsidRPr="00687DE8">
        <w:rPr>
          <w:szCs w:val="24"/>
        </w:rPr>
        <w:t>Tervisekassa</w:t>
      </w:r>
      <w:r w:rsidRPr="00687DE8">
        <w:rPr>
          <w:szCs w:val="24"/>
        </w:rPr>
        <w:t xml:space="preserve"> vahel ravi rahastamise lepingus kokkulepitud tingimustel ja korras.</w:t>
      </w:r>
    </w:p>
    <w:p w14:paraId="4BFFFECB" w14:textId="77777777" w:rsidR="00BE4C41" w:rsidRPr="00687DE8" w:rsidRDefault="00BE4C41" w:rsidP="00BE4C41">
      <w:pPr>
        <w:spacing w:after="0" w:line="240" w:lineRule="auto"/>
        <w:jc w:val="both"/>
        <w:divId w:val="1316184749"/>
        <w:rPr>
          <w:szCs w:val="24"/>
        </w:rPr>
      </w:pPr>
    </w:p>
    <w:p w14:paraId="36DE801F" w14:textId="77777777" w:rsidR="00BE4C41" w:rsidRPr="00687DE8" w:rsidRDefault="00BE4C41" w:rsidP="00BE4C41">
      <w:pPr>
        <w:spacing w:after="0" w:line="240" w:lineRule="auto"/>
        <w:jc w:val="both"/>
        <w:divId w:val="1316184749"/>
        <w:rPr>
          <w:szCs w:val="24"/>
        </w:rPr>
      </w:pPr>
      <w:r w:rsidRPr="00687DE8">
        <w:rPr>
          <w:szCs w:val="24"/>
        </w:rPr>
        <w:t xml:space="preserve">(6) </w:t>
      </w:r>
      <w:r w:rsidR="000100EF" w:rsidRPr="00687DE8">
        <w:rPr>
          <w:szCs w:val="24"/>
        </w:rPr>
        <w:t>Koodiga 29</w:t>
      </w:r>
      <w:r w:rsidR="003879F7" w:rsidRPr="00687DE8">
        <w:rPr>
          <w:szCs w:val="24"/>
        </w:rPr>
        <w:t>9</w:t>
      </w:r>
      <w:r w:rsidR="000100EF" w:rsidRPr="00687DE8">
        <w:rPr>
          <w:szCs w:val="24"/>
        </w:rPr>
        <w:t>R tähistatud teenust võib raviarvel kodeerida igakordsel infliksimabi manustamisel hulgas, mis vastab individuaalse üksikannuse ettevalmistamiseks kulunud toimeaine kogusele.</w:t>
      </w:r>
    </w:p>
    <w:p w14:paraId="10E5FEF4" w14:textId="77777777" w:rsidR="00BE4C41" w:rsidRPr="00687DE8" w:rsidRDefault="00BE4C41" w:rsidP="00BE4C41">
      <w:pPr>
        <w:spacing w:after="0" w:line="240" w:lineRule="auto"/>
        <w:jc w:val="both"/>
        <w:divId w:val="1316184749"/>
        <w:rPr>
          <w:szCs w:val="24"/>
        </w:rPr>
      </w:pPr>
    </w:p>
    <w:p w14:paraId="62729A60" w14:textId="77777777" w:rsidR="00976487" w:rsidRPr="00687DE8" w:rsidRDefault="00BE4C41" w:rsidP="00BE4C41">
      <w:pPr>
        <w:spacing w:after="0" w:line="240" w:lineRule="auto"/>
        <w:jc w:val="both"/>
        <w:divId w:val="1316184749"/>
        <w:rPr>
          <w:szCs w:val="24"/>
        </w:rPr>
      </w:pPr>
      <w:r w:rsidRPr="00687DE8">
        <w:rPr>
          <w:szCs w:val="24"/>
        </w:rPr>
        <w:t xml:space="preserve">(7) Ravi alustamise koodiga </w:t>
      </w:r>
      <w:r w:rsidR="0078587C" w:rsidRPr="00687DE8">
        <w:rPr>
          <w:szCs w:val="24"/>
        </w:rPr>
        <w:t>29</w:t>
      </w:r>
      <w:r w:rsidR="003879F7" w:rsidRPr="00687DE8">
        <w:rPr>
          <w:szCs w:val="24"/>
        </w:rPr>
        <w:t>9</w:t>
      </w:r>
      <w:r w:rsidRPr="00687DE8">
        <w:rPr>
          <w:szCs w:val="24"/>
        </w:rPr>
        <w:t>R tähistatud ravimiteenusega otsustab kolmest erialaarstist koosnev eksperdikomisjon.</w:t>
      </w:r>
    </w:p>
    <w:p w14:paraId="61993681" w14:textId="77777777" w:rsidR="00BE4C41" w:rsidRPr="00687DE8" w:rsidRDefault="00BE4C41" w:rsidP="00976487">
      <w:pPr>
        <w:spacing w:after="0" w:line="240" w:lineRule="auto"/>
        <w:jc w:val="both"/>
        <w:divId w:val="1316184749"/>
        <w:rPr>
          <w:szCs w:val="24"/>
        </w:rPr>
      </w:pPr>
    </w:p>
    <w:p w14:paraId="4DCCE6B4" w14:textId="78ADE594" w:rsidR="00976487" w:rsidRPr="00687DE8" w:rsidRDefault="00976487" w:rsidP="00976487">
      <w:pPr>
        <w:spacing w:after="0" w:line="240" w:lineRule="auto"/>
        <w:jc w:val="both"/>
        <w:divId w:val="1316184749"/>
        <w:rPr>
          <w:szCs w:val="24"/>
        </w:rPr>
      </w:pPr>
      <w:r w:rsidRPr="00687DE8">
        <w:rPr>
          <w:szCs w:val="24"/>
        </w:rPr>
        <w:t>(</w:t>
      </w:r>
      <w:r w:rsidR="00D65C2E" w:rsidRPr="00687DE8">
        <w:rPr>
          <w:szCs w:val="24"/>
        </w:rPr>
        <w:t>8</w:t>
      </w:r>
      <w:r w:rsidRPr="00687DE8">
        <w:rPr>
          <w:szCs w:val="24"/>
        </w:rPr>
        <w:t xml:space="preserve">) </w:t>
      </w:r>
      <w:r w:rsidR="005023FD" w:rsidRPr="00687DE8">
        <w:rPr>
          <w:szCs w:val="24"/>
        </w:rPr>
        <w:t>Tervisekassa</w:t>
      </w:r>
      <w:r w:rsidRPr="00687DE8">
        <w:rPr>
          <w:szCs w:val="24"/>
        </w:rPr>
        <w:t xml:space="preserve"> võtab koodidega 22</w:t>
      </w:r>
      <w:r w:rsidR="0078587C" w:rsidRPr="00687DE8">
        <w:rPr>
          <w:szCs w:val="24"/>
        </w:rPr>
        <w:t>4</w:t>
      </w:r>
      <w:r w:rsidRPr="00687DE8">
        <w:rPr>
          <w:szCs w:val="24"/>
        </w:rPr>
        <w:t>R</w:t>
      </w:r>
      <w:r w:rsidR="000942DE" w:rsidRPr="00687DE8">
        <w:rPr>
          <w:szCs w:val="24"/>
        </w:rPr>
        <w:t xml:space="preserve"> ja</w:t>
      </w:r>
      <w:r w:rsidR="00F8730E" w:rsidRPr="00687DE8">
        <w:rPr>
          <w:szCs w:val="24"/>
        </w:rPr>
        <w:t xml:space="preserve"> 225R</w:t>
      </w:r>
      <w:r w:rsidRPr="00687DE8">
        <w:rPr>
          <w:szCs w:val="24"/>
        </w:rPr>
        <w:t xml:space="preserve"> tähistatud ravimiteenuste korral tasu maksmise kohustuse üle sõltuvalt kasutatud </w:t>
      </w:r>
      <w:r w:rsidR="00BB1766" w:rsidRPr="00687DE8">
        <w:rPr>
          <w:szCs w:val="24"/>
        </w:rPr>
        <w:t>nelja</w:t>
      </w:r>
      <w:r w:rsidRPr="00687DE8">
        <w:rPr>
          <w:szCs w:val="24"/>
        </w:rPr>
        <w:t>nädalaste ravikuuride hulgast, mille vältel kindlustatud isik on ravi saanud.</w:t>
      </w:r>
    </w:p>
    <w:p w14:paraId="48BB5A30" w14:textId="77777777" w:rsidR="00976487" w:rsidRPr="00687DE8" w:rsidRDefault="00976487" w:rsidP="00976487">
      <w:pPr>
        <w:spacing w:after="0" w:line="240" w:lineRule="auto"/>
        <w:jc w:val="both"/>
        <w:divId w:val="1316184749"/>
        <w:rPr>
          <w:szCs w:val="24"/>
        </w:rPr>
      </w:pPr>
    </w:p>
    <w:p w14:paraId="567FB243" w14:textId="2F4E2D56" w:rsidR="00976487" w:rsidRPr="00687DE8" w:rsidRDefault="00976487" w:rsidP="00976487">
      <w:pPr>
        <w:spacing w:after="0" w:line="240" w:lineRule="auto"/>
        <w:jc w:val="both"/>
        <w:divId w:val="1316184749"/>
        <w:rPr>
          <w:szCs w:val="24"/>
        </w:rPr>
      </w:pPr>
      <w:r w:rsidRPr="00687DE8">
        <w:rPr>
          <w:szCs w:val="24"/>
        </w:rPr>
        <w:t>(</w:t>
      </w:r>
      <w:r w:rsidR="0054212A" w:rsidRPr="00687DE8">
        <w:rPr>
          <w:szCs w:val="24"/>
        </w:rPr>
        <w:t>9</w:t>
      </w:r>
      <w:r w:rsidRPr="00687DE8">
        <w:rPr>
          <w:szCs w:val="24"/>
        </w:rPr>
        <w:t xml:space="preserve">) </w:t>
      </w:r>
      <w:r w:rsidR="005023FD" w:rsidRPr="00687DE8">
        <w:rPr>
          <w:szCs w:val="24"/>
        </w:rPr>
        <w:t>Tervisekassa</w:t>
      </w:r>
      <w:r w:rsidRPr="00687DE8">
        <w:rPr>
          <w:szCs w:val="24"/>
        </w:rPr>
        <w:t xml:space="preserve"> võtab koodiga 224R tähistatud ravimiteenus</w:t>
      </w:r>
      <w:r w:rsidR="00976E9E" w:rsidRPr="00687DE8">
        <w:rPr>
          <w:szCs w:val="24"/>
        </w:rPr>
        <w:t>e</w:t>
      </w:r>
      <w:r w:rsidRPr="00687DE8">
        <w:rPr>
          <w:szCs w:val="24"/>
        </w:rPr>
        <w:t xml:space="preserve"> eest tasu maksmise kohustuse üle järgmiste terviseseisundite korral: reumatoidartriit (RHK 10 koodid M05, M06), anküloseeriv spondüliit (RHK 10 kood M45), psoriaatiline artropaatia (RHK 10 kood M07.0–3), juveniilne idiopaatiline artriit (RHK 10 kood M08) lõigetes </w:t>
      </w:r>
      <w:r w:rsidR="6C5F2B06" w:rsidRPr="00687DE8">
        <w:rPr>
          <w:szCs w:val="24"/>
        </w:rPr>
        <w:t>1</w:t>
      </w:r>
      <w:r w:rsidR="002F11B8" w:rsidRPr="00687DE8">
        <w:rPr>
          <w:szCs w:val="24"/>
        </w:rPr>
        <w:t>0</w:t>
      </w:r>
      <w:r w:rsidR="00781E1A" w:rsidRPr="00687DE8">
        <w:rPr>
          <w:szCs w:val="24"/>
        </w:rPr>
        <w:t>–</w:t>
      </w:r>
      <w:r w:rsidR="002F11B8" w:rsidRPr="00687DE8">
        <w:rPr>
          <w:szCs w:val="24"/>
        </w:rPr>
        <w:t>1</w:t>
      </w:r>
      <w:r w:rsidR="00BF78C4" w:rsidRPr="00687DE8">
        <w:rPr>
          <w:szCs w:val="24"/>
        </w:rPr>
        <w:t>2 ning</w:t>
      </w:r>
      <w:r w:rsidR="00477D01" w:rsidRPr="00687DE8">
        <w:rPr>
          <w:szCs w:val="24"/>
        </w:rPr>
        <w:t xml:space="preserve"> </w:t>
      </w:r>
      <w:r w:rsidR="007E5DDE" w:rsidRPr="00687DE8">
        <w:rPr>
          <w:szCs w:val="24"/>
        </w:rPr>
        <w:t>2</w:t>
      </w:r>
      <w:r w:rsidR="00367CE8" w:rsidRPr="00687DE8">
        <w:rPr>
          <w:szCs w:val="24"/>
        </w:rPr>
        <w:t>0</w:t>
      </w:r>
      <w:r w:rsidR="00BF78C4" w:rsidRPr="00687DE8">
        <w:rPr>
          <w:szCs w:val="24"/>
        </w:rPr>
        <w:t xml:space="preserve"> ja </w:t>
      </w:r>
      <w:r w:rsidR="00435E90" w:rsidRPr="00687DE8">
        <w:rPr>
          <w:szCs w:val="24"/>
        </w:rPr>
        <w:t>2</w:t>
      </w:r>
      <w:r w:rsidR="00367CE8" w:rsidRPr="00687DE8">
        <w:rPr>
          <w:szCs w:val="24"/>
        </w:rPr>
        <w:t>1</w:t>
      </w:r>
      <w:r w:rsidR="007E5DDE" w:rsidRPr="00687DE8">
        <w:rPr>
          <w:szCs w:val="24"/>
        </w:rPr>
        <w:t xml:space="preserve"> </w:t>
      </w:r>
      <w:r w:rsidRPr="00687DE8">
        <w:rPr>
          <w:szCs w:val="24"/>
        </w:rPr>
        <w:t>sätestatud juhtudel.</w:t>
      </w:r>
    </w:p>
    <w:p w14:paraId="7BE69179" w14:textId="77777777" w:rsidR="00976487" w:rsidRPr="00687DE8" w:rsidRDefault="00976487" w:rsidP="00976487">
      <w:pPr>
        <w:spacing w:after="0" w:line="240" w:lineRule="auto"/>
        <w:jc w:val="both"/>
        <w:divId w:val="1316184749"/>
        <w:rPr>
          <w:szCs w:val="24"/>
        </w:rPr>
      </w:pPr>
    </w:p>
    <w:p w14:paraId="5767C6B1" w14:textId="77777777" w:rsidR="00976487" w:rsidRPr="00687DE8" w:rsidRDefault="00976487" w:rsidP="00976487">
      <w:pPr>
        <w:spacing w:after="0" w:line="240" w:lineRule="auto"/>
        <w:jc w:val="both"/>
        <w:divId w:val="1316184749"/>
        <w:rPr>
          <w:szCs w:val="24"/>
        </w:rPr>
      </w:pPr>
      <w:r w:rsidRPr="00687DE8">
        <w:rPr>
          <w:szCs w:val="24"/>
        </w:rPr>
        <w:t>(</w:t>
      </w:r>
      <w:r w:rsidR="00D65C2E" w:rsidRPr="00687DE8">
        <w:rPr>
          <w:szCs w:val="24"/>
        </w:rPr>
        <w:t>1</w:t>
      </w:r>
      <w:r w:rsidR="005801C8" w:rsidRPr="00687DE8">
        <w:rPr>
          <w:szCs w:val="24"/>
        </w:rPr>
        <w:t>0</w:t>
      </w:r>
      <w:r w:rsidRPr="00687DE8">
        <w:rPr>
          <w:szCs w:val="24"/>
        </w:rPr>
        <w:t>) Koodiga 224R tähistatud ravimiteenus</w:t>
      </w:r>
      <w:r w:rsidR="00781E1A" w:rsidRPr="00687DE8">
        <w:rPr>
          <w:szCs w:val="24"/>
        </w:rPr>
        <w:t>ega</w:t>
      </w:r>
      <w:r w:rsidRPr="00687DE8">
        <w:rPr>
          <w:szCs w:val="24"/>
        </w:rPr>
        <w:t xml:space="preserve"> ravi alustamise </w:t>
      </w:r>
      <w:r w:rsidR="00781E1A" w:rsidRPr="00687DE8">
        <w:rPr>
          <w:szCs w:val="24"/>
        </w:rPr>
        <w:t>ja</w:t>
      </w:r>
      <w:r w:rsidRPr="00687DE8">
        <w:rPr>
          <w:szCs w:val="24"/>
        </w:rPr>
        <w:t xml:space="preserve"> katkestamise otsusta</w:t>
      </w:r>
      <w:r w:rsidR="006341B7" w:rsidRPr="00687DE8">
        <w:rPr>
          <w:szCs w:val="24"/>
        </w:rPr>
        <w:t xml:space="preserve">b kolmest erialaarstist koosnev eksperdikomisjon. </w:t>
      </w:r>
    </w:p>
    <w:p w14:paraId="433E5855" w14:textId="77777777" w:rsidR="00976487" w:rsidRPr="00687DE8" w:rsidRDefault="00976487" w:rsidP="00976487">
      <w:pPr>
        <w:spacing w:after="0" w:line="240" w:lineRule="auto"/>
        <w:jc w:val="both"/>
        <w:divId w:val="1316184749"/>
        <w:rPr>
          <w:szCs w:val="24"/>
        </w:rPr>
      </w:pPr>
    </w:p>
    <w:p w14:paraId="53950045" w14:textId="1FD1B87E" w:rsidR="00976487" w:rsidRPr="00687DE8" w:rsidRDefault="00976487" w:rsidP="00976487">
      <w:pPr>
        <w:spacing w:after="0" w:line="240" w:lineRule="auto"/>
        <w:jc w:val="both"/>
        <w:divId w:val="1316184749"/>
        <w:rPr>
          <w:szCs w:val="24"/>
        </w:rPr>
      </w:pPr>
      <w:r w:rsidRPr="00687DE8">
        <w:rPr>
          <w:szCs w:val="24"/>
        </w:rPr>
        <w:t>(1</w:t>
      </w:r>
      <w:r w:rsidR="005801C8" w:rsidRPr="00687DE8">
        <w:rPr>
          <w:szCs w:val="24"/>
        </w:rPr>
        <w:t>1</w:t>
      </w:r>
      <w:r w:rsidRPr="00687DE8">
        <w:rPr>
          <w:szCs w:val="24"/>
        </w:rPr>
        <w:t xml:space="preserve">) Ravi koodiga 224R tähistatud ravimiteenusega alustatakse reumatoidartriidiga patsiendil, </w:t>
      </w:r>
      <w:r w:rsidR="00C56BCE" w:rsidRPr="00687DE8">
        <w:rPr>
          <w:szCs w:val="24"/>
        </w:rPr>
        <w:t xml:space="preserve">kelle vähemalt </w:t>
      </w:r>
      <w:r w:rsidRPr="00687DE8">
        <w:rPr>
          <w:szCs w:val="24"/>
        </w:rPr>
        <w:t>kolm kuud kestnud ravi sünteetilise haigus</w:t>
      </w:r>
      <w:r w:rsidR="009447A6" w:rsidRPr="00687DE8">
        <w:rPr>
          <w:szCs w:val="24"/>
        </w:rPr>
        <w:t>kulgu</w:t>
      </w:r>
      <w:r w:rsidRPr="00687DE8">
        <w:rPr>
          <w:szCs w:val="24"/>
        </w:rPr>
        <w:t xml:space="preserve"> modifitseeriva ravimiga on osutunud ebatõhusaks või talumatuks.</w:t>
      </w:r>
    </w:p>
    <w:p w14:paraId="79750862" w14:textId="77777777" w:rsidR="00976487" w:rsidRPr="00687DE8" w:rsidRDefault="00976487" w:rsidP="00976487">
      <w:pPr>
        <w:spacing w:after="0" w:line="240" w:lineRule="auto"/>
        <w:jc w:val="both"/>
        <w:divId w:val="1316184749"/>
        <w:rPr>
          <w:szCs w:val="24"/>
        </w:rPr>
      </w:pPr>
    </w:p>
    <w:p w14:paraId="19CF9EA0" w14:textId="41E59C91" w:rsidR="00976487" w:rsidRPr="00687DE8" w:rsidRDefault="00976487" w:rsidP="00652E48">
      <w:pPr>
        <w:spacing w:after="0" w:line="240" w:lineRule="auto"/>
        <w:jc w:val="both"/>
        <w:divId w:val="1316184749"/>
        <w:rPr>
          <w:szCs w:val="24"/>
        </w:rPr>
      </w:pPr>
      <w:r w:rsidRPr="00687DE8">
        <w:rPr>
          <w:szCs w:val="24"/>
        </w:rPr>
        <w:t>(</w:t>
      </w:r>
      <w:r w:rsidR="005801C8" w:rsidRPr="00687DE8">
        <w:rPr>
          <w:szCs w:val="24"/>
        </w:rPr>
        <w:t>1</w:t>
      </w:r>
      <w:r w:rsidR="002D166C" w:rsidRPr="00687DE8">
        <w:rPr>
          <w:szCs w:val="24"/>
        </w:rPr>
        <w:t>2</w:t>
      </w:r>
      <w:r w:rsidRPr="00687DE8">
        <w:rPr>
          <w:szCs w:val="24"/>
        </w:rPr>
        <w:t>) Ravi koodiga 224R</w:t>
      </w:r>
      <w:r w:rsidR="002A629B" w:rsidRPr="00687DE8">
        <w:rPr>
          <w:szCs w:val="24"/>
        </w:rPr>
        <w:t xml:space="preserve"> </w:t>
      </w:r>
      <w:r w:rsidRPr="00687DE8">
        <w:rPr>
          <w:szCs w:val="24"/>
        </w:rPr>
        <w:t>tähistatud ravimiteenusega alustatakse juveniilse idiopaatilise artriidiga (JIA) patsiendil</w:t>
      </w:r>
      <w:r w:rsidR="007A4A5C" w:rsidRPr="00687DE8">
        <w:rPr>
          <w:szCs w:val="24"/>
        </w:rPr>
        <w:t>, kelle</w:t>
      </w:r>
      <w:r w:rsidRPr="00687DE8">
        <w:rPr>
          <w:szCs w:val="24"/>
        </w:rPr>
        <w:t xml:space="preserve"> </w:t>
      </w:r>
      <w:r w:rsidR="009352E7" w:rsidRPr="00687DE8">
        <w:rPr>
          <w:szCs w:val="24"/>
        </w:rPr>
        <w:t>vähemalt kolm</w:t>
      </w:r>
      <w:r w:rsidR="00E621CE" w:rsidRPr="00687DE8">
        <w:rPr>
          <w:szCs w:val="24"/>
        </w:rPr>
        <w:t xml:space="preserve"> kuud kestnud ravi</w:t>
      </w:r>
      <w:r w:rsidR="00652E48" w:rsidRPr="00687DE8">
        <w:rPr>
          <w:szCs w:val="24"/>
        </w:rPr>
        <w:t xml:space="preserve"> </w:t>
      </w:r>
      <w:r w:rsidRPr="00687DE8">
        <w:rPr>
          <w:szCs w:val="24"/>
        </w:rPr>
        <w:t>metotreksaa</w:t>
      </w:r>
      <w:r w:rsidR="003B652B" w:rsidRPr="00687DE8">
        <w:rPr>
          <w:szCs w:val="24"/>
        </w:rPr>
        <w:t>diga</w:t>
      </w:r>
      <w:r w:rsidRPr="00687DE8">
        <w:rPr>
          <w:szCs w:val="24"/>
        </w:rPr>
        <w:t xml:space="preserve"> </w:t>
      </w:r>
      <w:r w:rsidR="000D5FEC" w:rsidRPr="00687DE8">
        <w:rPr>
          <w:szCs w:val="24"/>
        </w:rPr>
        <w:t>maksimaalses lubatud annuses</w:t>
      </w:r>
      <w:r w:rsidR="00213C58" w:rsidRPr="00687DE8">
        <w:rPr>
          <w:szCs w:val="24"/>
        </w:rPr>
        <w:t xml:space="preserve"> või ravi süsteemse glükokortikoidiga</w:t>
      </w:r>
      <w:r w:rsidR="00670099" w:rsidRPr="00687DE8">
        <w:rPr>
          <w:szCs w:val="24"/>
        </w:rPr>
        <w:t xml:space="preserve"> (suukaudne ja intravenoosne)</w:t>
      </w:r>
      <w:r w:rsidR="003A6ADC" w:rsidRPr="00687DE8">
        <w:rPr>
          <w:szCs w:val="24"/>
        </w:rPr>
        <w:t xml:space="preserve"> süsteemse</w:t>
      </w:r>
      <w:r w:rsidR="002761C6" w:rsidRPr="00687DE8">
        <w:rPr>
          <w:szCs w:val="24"/>
        </w:rPr>
        <w:t xml:space="preserve"> artriidi korral</w:t>
      </w:r>
      <w:r w:rsidRPr="00687DE8">
        <w:rPr>
          <w:szCs w:val="24"/>
        </w:rPr>
        <w:t xml:space="preserve"> ei ole olnud tõhus või talutav.</w:t>
      </w:r>
    </w:p>
    <w:p w14:paraId="4D051FE3" w14:textId="77777777" w:rsidR="00976487" w:rsidRPr="00687DE8" w:rsidRDefault="00976487" w:rsidP="00976487">
      <w:pPr>
        <w:spacing w:after="0" w:line="240" w:lineRule="auto"/>
        <w:jc w:val="both"/>
        <w:divId w:val="1316184749"/>
        <w:rPr>
          <w:szCs w:val="24"/>
        </w:rPr>
      </w:pPr>
    </w:p>
    <w:p w14:paraId="21C1F53F" w14:textId="051ECC1D" w:rsidR="00976487" w:rsidRPr="00687DE8" w:rsidRDefault="00976487" w:rsidP="00976487">
      <w:pPr>
        <w:spacing w:after="0" w:line="240" w:lineRule="auto"/>
        <w:jc w:val="both"/>
        <w:divId w:val="1316184749"/>
        <w:rPr>
          <w:szCs w:val="24"/>
        </w:rPr>
      </w:pPr>
      <w:r w:rsidRPr="00687DE8">
        <w:rPr>
          <w:szCs w:val="24"/>
        </w:rPr>
        <w:t>(</w:t>
      </w:r>
      <w:r w:rsidR="00C231BC" w:rsidRPr="00687DE8">
        <w:rPr>
          <w:szCs w:val="24"/>
        </w:rPr>
        <w:t>1</w:t>
      </w:r>
      <w:r w:rsidR="002D166C" w:rsidRPr="00687DE8">
        <w:rPr>
          <w:szCs w:val="24"/>
        </w:rPr>
        <w:t>3</w:t>
      </w:r>
      <w:r w:rsidRPr="00687DE8">
        <w:rPr>
          <w:szCs w:val="24"/>
        </w:rPr>
        <w:t>) Ravi alustamise ja katkestamise koodiga 225R tähistatud ravimiteenusega otsustab</w:t>
      </w:r>
      <w:r w:rsidR="006341B7" w:rsidRPr="00687DE8">
        <w:rPr>
          <w:szCs w:val="24"/>
        </w:rPr>
        <w:t xml:space="preserve"> kolmest erialaarstist koosnev eksperdikomisjon.</w:t>
      </w:r>
    </w:p>
    <w:p w14:paraId="28EA36BF" w14:textId="77777777" w:rsidR="00976487" w:rsidRPr="00687DE8" w:rsidRDefault="00976487" w:rsidP="00976487">
      <w:pPr>
        <w:spacing w:after="0" w:line="240" w:lineRule="auto"/>
        <w:jc w:val="both"/>
        <w:divId w:val="1316184749"/>
        <w:rPr>
          <w:szCs w:val="24"/>
        </w:rPr>
      </w:pPr>
    </w:p>
    <w:p w14:paraId="3C431474" w14:textId="491912BF" w:rsidR="00976487" w:rsidRPr="00687DE8" w:rsidRDefault="00976487" w:rsidP="00976487">
      <w:pPr>
        <w:spacing w:after="0" w:line="240" w:lineRule="auto"/>
        <w:jc w:val="both"/>
        <w:divId w:val="1316184749"/>
        <w:rPr>
          <w:szCs w:val="24"/>
        </w:rPr>
      </w:pPr>
      <w:r w:rsidRPr="00687DE8">
        <w:rPr>
          <w:szCs w:val="24"/>
        </w:rPr>
        <w:t>(</w:t>
      </w:r>
      <w:r w:rsidR="00C32ADA" w:rsidRPr="00687DE8">
        <w:rPr>
          <w:szCs w:val="24"/>
        </w:rPr>
        <w:t>1</w:t>
      </w:r>
      <w:r w:rsidR="002D166C" w:rsidRPr="00687DE8">
        <w:rPr>
          <w:szCs w:val="24"/>
        </w:rPr>
        <w:t>4</w:t>
      </w:r>
      <w:r w:rsidRPr="00687DE8">
        <w:rPr>
          <w:szCs w:val="24"/>
        </w:rPr>
        <w:t>) Ravi koodiga 225R tähistatud ravimiteenusega alustatakse Crohni tõve (RHK 10 kood K50) või haavandilise koliidi (RHK 10 kood K51) diagnoosi korral lõigetes</w:t>
      </w:r>
      <w:r w:rsidR="00E0551A" w:rsidRPr="00687DE8">
        <w:rPr>
          <w:szCs w:val="24"/>
        </w:rPr>
        <w:t xml:space="preserve"> </w:t>
      </w:r>
      <w:r w:rsidR="00B11A52" w:rsidRPr="00687DE8">
        <w:rPr>
          <w:szCs w:val="24"/>
        </w:rPr>
        <w:t>1</w:t>
      </w:r>
      <w:r w:rsidR="00A9437B" w:rsidRPr="00687DE8">
        <w:rPr>
          <w:szCs w:val="24"/>
        </w:rPr>
        <w:t>5</w:t>
      </w:r>
      <w:r w:rsidRPr="00687DE8">
        <w:rPr>
          <w:szCs w:val="24"/>
        </w:rPr>
        <w:t>–</w:t>
      </w:r>
      <w:r w:rsidR="00A9437B" w:rsidRPr="00687DE8">
        <w:rPr>
          <w:szCs w:val="24"/>
        </w:rPr>
        <w:t>19</w:t>
      </w:r>
      <w:r w:rsidRPr="00687DE8">
        <w:rPr>
          <w:szCs w:val="24"/>
        </w:rPr>
        <w:t xml:space="preserve"> sätestatud juhtudel.</w:t>
      </w:r>
    </w:p>
    <w:p w14:paraId="74748286" w14:textId="77777777" w:rsidR="00976487" w:rsidRPr="00687DE8" w:rsidRDefault="00976487" w:rsidP="00976487">
      <w:pPr>
        <w:spacing w:after="0" w:line="240" w:lineRule="auto"/>
        <w:contextualSpacing/>
        <w:jc w:val="both"/>
        <w:divId w:val="1316184749"/>
        <w:rPr>
          <w:szCs w:val="24"/>
        </w:rPr>
      </w:pPr>
    </w:p>
    <w:p w14:paraId="34C04D76" w14:textId="77630ABD" w:rsidR="00976487" w:rsidRPr="00687DE8" w:rsidRDefault="00976487" w:rsidP="00976487">
      <w:pPr>
        <w:spacing w:after="0" w:line="240" w:lineRule="auto"/>
        <w:contextualSpacing/>
        <w:jc w:val="both"/>
        <w:divId w:val="1316184749"/>
        <w:rPr>
          <w:szCs w:val="24"/>
        </w:rPr>
      </w:pPr>
      <w:r w:rsidRPr="00687DE8">
        <w:rPr>
          <w:szCs w:val="24"/>
        </w:rPr>
        <w:t>(</w:t>
      </w:r>
      <w:r w:rsidR="00C32ADA" w:rsidRPr="00687DE8">
        <w:rPr>
          <w:szCs w:val="24"/>
        </w:rPr>
        <w:t>1</w:t>
      </w:r>
      <w:r w:rsidR="002D166C" w:rsidRPr="00687DE8">
        <w:rPr>
          <w:szCs w:val="24"/>
        </w:rPr>
        <w:t>5</w:t>
      </w:r>
      <w:r w:rsidRPr="00687DE8">
        <w:rPr>
          <w:szCs w:val="24"/>
        </w:rPr>
        <w:t>) Ravi koodiga 225R tähistatud ravimiteenusega alustatakse Crohni tõvega või haavandilise koliidiga patsiendil järgmiste tingimuste esinemise korral:</w:t>
      </w:r>
    </w:p>
    <w:p w14:paraId="5068683B" w14:textId="77777777" w:rsidR="00976487" w:rsidRPr="00687DE8" w:rsidRDefault="00976487" w:rsidP="00976487">
      <w:pPr>
        <w:spacing w:after="0" w:line="240" w:lineRule="auto"/>
        <w:contextualSpacing/>
        <w:jc w:val="both"/>
        <w:divId w:val="1316184749"/>
        <w:rPr>
          <w:szCs w:val="24"/>
        </w:rPr>
      </w:pPr>
      <w:r w:rsidRPr="00687DE8">
        <w:rPr>
          <w:szCs w:val="24"/>
        </w:rPr>
        <w:t>1) Crohni tõve või haavandilise koliidi mõõdukal ja raskel ägenemisel juhul, kui immuunsupresseeriv ravi (asatiopriin või 6-merkaptopuriin või metotreksaat) ja/või kortikosteroidravi on toimeta, või juhul, kui selleks on vastunäidustused või kui patsient ei talu kortikosteroid- ja/või immuunsupresseerivat ravi; </w:t>
      </w:r>
    </w:p>
    <w:p w14:paraId="50737A65" w14:textId="77777777" w:rsidR="00976487" w:rsidRPr="00687DE8" w:rsidRDefault="00976487" w:rsidP="00976487">
      <w:pPr>
        <w:spacing w:after="0" w:line="240" w:lineRule="auto"/>
        <w:contextualSpacing/>
        <w:jc w:val="both"/>
        <w:divId w:val="1316184749"/>
        <w:rPr>
          <w:szCs w:val="24"/>
        </w:rPr>
      </w:pPr>
      <w:r w:rsidRPr="00687DE8">
        <w:rPr>
          <w:szCs w:val="24"/>
        </w:rPr>
        <w:t>2) Crohni tõve fistulitega vormi raviks juhul, kui antibiootikumid ja/või immuunsupresseeriv ravi (asatiopriin või 6-merkaptopuriin või metotreksaat) on toimeta.</w:t>
      </w:r>
    </w:p>
    <w:p w14:paraId="792B6229" w14:textId="77777777" w:rsidR="00976487" w:rsidRPr="00687DE8" w:rsidRDefault="00976487" w:rsidP="00976487">
      <w:pPr>
        <w:spacing w:after="0" w:line="240" w:lineRule="auto"/>
        <w:jc w:val="both"/>
        <w:divId w:val="1316184749"/>
        <w:rPr>
          <w:szCs w:val="24"/>
        </w:rPr>
      </w:pPr>
    </w:p>
    <w:p w14:paraId="1061A733" w14:textId="79487497" w:rsidR="00976487" w:rsidRPr="00687DE8" w:rsidRDefault="00976487" w:rsidP="00976487">
      <w:pPr>
        <w:spacing w:after="0" w:line="240" w:lineRule="auto"/>
        <w:jc w:val="both"/>
        <w:divId w:val="1316184749"/>
        <w:rPr>
          <w:szCs w:val="24"/>
        </w:rPr>
      </w:pPr>
      <w:r w:rsidRPr="00687DE8">
        <w:rPr>
          <w:szCs w:val="24"/>
        </w:rPr>
        <w:t>(</w:t>
      </w:r>
      <w:r w:rsidR="00C32ADA" w:rsidRPr="00687DE8">
        <w:rPr>
          <w:szCs w:val="24"/>
        </w:rPr>
        <w:t>1</w:t>
      </w:r>
      <w:r w:rsidR="002D166C" w:rsidRPr="00687DE8">
        <w:rPr>
          <w:szCs w:val="24"/>
        </w:rPr>
        <w:t>6</w:t>
      </w:r>
      <w:r w:rsidRPr="00687DE8">
        <w:rPr>
          <w:szCs w:val="24"/>
        </w:rPr>
        <w:t>) Bioloogiline haigust modifitseeriv ravi Crohni tõve või haavandilise koliidi korral lõpetatakse juhul, kui patsiendil püsib ägenemine 12 nädalat pärast ravi alustamist.</w:t>
      </w:r>
    </w:p>
    <w:p w14:paraId="0D57FD03" w14:textId="77777777" w:rsidR="00976487" w:rsidRPr="00687DE8" w:rsidRDefault="00976487" w:rsidP="00976487">
      <w:pPr>
        <w:spacing w:after="0" w:line="240" w:lineRule="auto"/>
        <w:jc w:val="both"/>
        <w:divId w:val="1316184749"/>
        <w:rPr>
          <w:szCs w:val="24"/>
        </w:rPr>
      </w:pPr>
    </w:p>
    <w:p w14:paraId="03921963" w14:textId="6BADB805" w:rsidR="00976487" w:rsidRPr="00687DE8" w:rsidRDefault="00976487" w:rsidP="00976487">
      <w:pPr>
        <w:spacing w:after="0" w:line="240" w:lineRule="auto"/>
        <w:jc w:val="both"/>
        <w:divId w:val="1316184749"/>
        <w:rPr>
          <w:szCs w:val="24"/>
        </w:rPr>
      </w:pPr>
      <w:r w:rsidRPr="00687DE8">
        <w:rPr>
          <w:szCs w:val="24"/>
        </w:rPr>
        <w:t>(</w:t>
      </w:r>
      <w:r w:rsidR="00C32ADA" w:rsidRPr="00687DE8">
        <w:rPr>
          <w:szCs w:val="24"/>
        </w:rPr>
        <w:t>1</w:t>
      </w:r>
      <w:r w:rsidR="002D166C" w:rsidRPr="00687DE8">
        <w:rPr>
          <w:szCs w:val="24"/>
        </w:rPr>
        <w:t>7</w:t>
      </w:r>
      <w:r w:rsidRPr="00687DE8">
        <w:rPr>
          <w:szCs w:val="24"/>
        </w:rPr>
        <w:t>) Bioloogiline haigust modifitseeriv ravi lõpetatakse Crohni tõve või haavandilise koliidi korral ebaefektiivsuse tõttu juhul, kui patsiendil püsib ägenemine pärast kolme toimeaine järjestikust kasutamist.</w:t>
      </w:r>
    </w:p>
    <w:p w14:paraId="16E48E69" w14:textId="77777777" w:rsidR="00976487" w:rsidRPr="00687DE8" w:rsidRDefault="00976487" w:rsidP="00976487">
      <w:pPr>
        <w:spacing w:after="0" w:line="240" w:lineRule="auto"/>
        <w:jc w:val="both"/>
        <w:divId w:val="1316184749"/>
        <w:rPr>
          <w:szCs w:val="24"/>
        </w:rPr>
      </w:pPr>
    </w:p>
    <w:p w14:paraId="59380266" w14:textId="09183FA0" w:rsidR="00976487" w:rsidRPr="00687DE8" w:rsidRDefault="00976487" w:rsidP="00976487">
      <w:pPr>
        <w:spacing w:after="0" w:line="240" w:lineRule="auto"/>
        <w:jc w:val="both"/>
        <w:divId w:val="1316184749"/>
        <w:rPr>
          <w:szCs w:val="24"/>
        </w:rPr>
      </w:pPr>
      <w:r w:rsidRPr="00687DE8">
        <w:rPr>
          <w:szCs w:val="24"/>
        </w:rPr>
        <w:t>(</w:t>
      </w:r>
      <w:r w:rsidR="002D166C" w:rsidRPr="00687DE8">
        <w:rPr>
          <w:szCs w:val="24"/>
        </w:rPr>
        <w:t>18</w:t>
      </w:r>
      <w:r w:rsidRPr="00687DE8">
        <w:rPr>
          <w:szCs w:val="24"/>
        </w:rPr>
        <w:t>) Koodiga 225R tähistatud ravimi annuse suurendamist võib rakendada säilitusravil oleva Crohni tõvega patsiendil, kellel 12 nädalat pärast ravi alustamist saavutati kliiniline paranemine, kuid seejärel kliiniline efekt kadus.</w:t>
      </w:r>
    </w:p>
    <w:p w14:paraId="54C0DBFE" w14:textId="77777777" w:rsidR="00E26169" w:rsidRPr="00687DE8" w:rsidRDefault="00E26169" w:rsidP="00976487">
      <w:pPr>
        <w:spacing w:after="0" w:line="240" w:lineRule="auto"/>
        <w:jc w:val="both"/>
        <w:divId w:val="1316184749"/>
        <w:rPr>
          <w:szCs w:val="24"/>
        </w:rPr>
      </w:pPr>
    </w:p>
    <w:p w14:paraId="05C4906B" w14:textId="751BA7D3" w:rsidR="00976487" w:rsidRPr="00687DE8" w:rsidRDefault="00976487" w:rsidP="00976487">
      <w:pPr>
        <w:spacing w:after="0" w:line="240" w:lineRule="auto"/>
        <w:jc w:val="both"/>
        <w:divId w:val="1316184749"/>
        <w:rPr>
          <w:szCs w:val="24"/>
        </w:rPr>
      </w:pPr>
      <w:r w:rsidRPr="00687DE8">
        <w:rPr>
          <w:szCs w:val="24"/>
        </w:rPr>
        <w:t>(</w:t>
      </w:r>
      <w:r w:rsidR="002D166C" w:rsidRPr="00687DE8">
        <w:rPr>
          <w:szCs w:val="24"/>
        </w:rPr>
        <w:t>19</w:t>
      </w:r>
      <w:r w:rsidRPr="00687DE8">
        <w:rPr>
          <w:szCs w:val="24"/>
        </w:rPr>
        <w:t xml:space="preserve">) Kordusravi bioloogilise haigust modifitseeriva ravimiga võib Crohni tõvega patsiendil alustada sümptomite taastekkel juhul, kui eelneva raviga saavutati kliiniline paranemine või Crohni tõve remissioon. </w:t>
      </w:r>
    </w:p>
    <w:p w14:paraId="60E516FC" w14:textId="77777777" w:rsidR="00976487" w:rsidRPr="00687DE8" w:rsidRDefault="00976487" w:rsidP="00976487">
      <w:pPr>
        <w:spacing w:after="0" w:line="240" w:lineRule="auto"/>
        <w:jc w:val="both"/>
        <w:divId w:val="1316184749"/>
        <w:rPr>
          <w:szCs w:val="24"/>
        </w:rPr>
      </w:pPr>
    </w:p>
    <w:p w14:paraId="223EB03B" w14:textId="425FD304" w:rsidR="00097657" w:rsidRPr="00687DE8" w:rsidRDefault="00976487" w:rsidP="00976487">
      <w:pPr>
        <w:spacing w:after="0" w:line="240" w:lineRule="auto"/>
        <w:jc w:val="both"/>
        <w:divId w:val="1316184749"/>
        <w:rPr>
          <w:szCs w:val="24"/>
        </w:rPr>
      </w:pPr>
      <w:r w:rsidRPr="00687DE8">
        <w:rPr>
          <w:szCs w:val="24"/>
        </w:rPr>
        <w:t>(</w:t>
      </w:r>
      <w:r w:rsidR="00DE7B51" w:rsidRPr="4D41E5DB">
        <w:t>2</w:t>
      </w:r>
      <w:r w:rsidR="002D166C" w:rsidRPr="4D41E5DB">
        <w:t>0</w:t>
      </w:r>
      <w:r w:rsidRPr="4D41E5DB">
        <w:t>) Enne ravi alustamist koodi</w:t>
      </w:r>
      <w:r w:rsidR="00F7180F">
        <w:t>ga</w:t>
      </w:r>
      <w:r w:rsidRPr="4D41E5DB">
        <w:t xml:space="preserve"> 224R</w:t>
      </w:r>
      <w:r w:rsidR="008B0DCF" w:rsidRPr="00687DE8">
        <w:rPr>
          <w:szCs w:val="24"/>
        </w:rPr>
        <w:t xml:space="preserve"> (</w:t>
      </w:r>
      <w:r w:rsidR="008031C6" w:rsidRPr="4D41E5DB">
        <w:t>v.a anküloseeriv</w:t>
      </w:r>
      <w:r w:rsidR="008031C6" w:rsidRPr="00687DE8">
        <w:rPr>
          <w:szCs w:val="24"/>
        </w:rPr>
        <w:t xml:space="preserve"> </w:t>
      </w:r>
      <w:r w:rsidR="008031C6" w:rsidRPr="4D41E5DB">
        <w:t>spondüliit ja psoriaatriline</w:t>
      </w:r>
      <w:r w:rsidR="008031C6" w:rsidRPr="00687DE8">
        <w:rPr>
          <w:szCs w:val="24"/>
        </w:rPr>
        <w:t xml:space="preserve"> </w:t>
      </w:r>
      <w:r w:rsidR="008031C6" w:rsidRPr="4D41E5DB">
        <w:t>artropaatia</w:t>
      </w:r>
      <w:r w:rsidR="008031C6" w:rsidRPr="00687DE8">
        <w:rPr>
          <w:szCs w:val="24"/>
        </w:rPr>
        <w:t>)</w:t>
      </w:r>
      <w:r w:rsidR="000E483A" w:rsidRPr="4D41E5DB">
        <w:t xml:space="preserve"> </w:t>
      </w:r>
      <w:r w:rsidR="2F7C9770" w:rsidRPr="4D41E5DB">
        <w:t>või</w:t>
      </w:r>
      <w:r w:rsidR="008031C6" w:rsidRPr="00687DE8">
        <w:rPr>
          <w:szCs w:val="24"/>
        </w:rPr>
        <w:t xml:space="preserve"> </w:t>
      </w:r>
      <w:r w:rsidRPr="4D41E5DB">
        <w:t>22</w:t>
      </w:r>
      <w:r w:rsidR="002C51F5" w:rsidRPr="4D41E5DB">
        <w:t>5</w:t>
      </w:r>
      <w:r w:rsidRPr="4D41E5DB">
        <w:t>R tähistatud ravimiteenus</w:t>
      </w:r>
      <w:r w:rsidR="00F7180F">
        <w:t>ega</w:t>
      </w:r>
      <w:r w:rsidRPr="4D41E5DB">
        <w:t xml:space="preserve"> peab olema vastava näidustuse olemasolul </w:t>
      </w:r>
      <w:r w:rsidRPr="003505CB">
        <w:rPr>
          <w:shd w:val="clear" w:color="auto" w:fill="FFFFFF"/>
        </w:rPr>
        <w:t xml:space="preserve">kasutatud vähemalt kahte ravimite loetellu kantud või </w:t>
      </w:r>
      <w:r w:rsidRPr="4D41E5DB">
        <w:t xml:space="preserve">koodiga </w:t>
      </w:r>
      <w:r w:rsidR="008A44F0" w:rsidRPr="4D41E5DB">
        <w:t>299</w:t>
      </w:r>
      <w:r w:rsidR="00380883" w:rsidRPr="4D41E5DB">
        <w:t>R</w:t>
      </w:r>
      <w:r w:rsidR="006B5DC2" w:rsidRPr="00687DE8">
        <w:rPr>
          <w:szCs w:val="24"/>
        </w:rPr>
        <w:t xml:space="preserve"> </w:t>
      </w:r>
      <w:r w:rsidRPr="007663A6">
        <w:t>tähistatud bioloogilist haigust modifitseerivat toimeainet, välja arvatud juhul, kui esineb dokumenteeritud meditsiinilisi vastunäidustusi</w:t>
      </w:r>
      <w:r w:rsidRPr="4D41E5DB">
        <w:t xml:space="preserve">. </w:t>
      </w:r>
      <w:r w:rsidR="0932D714">
        <w:t xml:space="preserve">Crohni tõve näidustusel </w:t>
      </w:r>
      <w:r w:rsidR="4733A975">
        <w:t>on toimeaine ustekinumab kasutamisel</w:t>
      </w:r>
      <w:r w:rsidR="0932D714">
        <w:t xml:space="preserve"> </w:t>
      </w:r>
      <w:r w:rsidR="61312EA8">
        <w:t xml:space="preserve">lubatud </w:t>
      </w:r>
      <w:r w:rsidR="00D63F9C">
        <w:t xml:space="preserve">koodiga </w:t>
      </w:r>
      <w:r w:rsidR="0932D714">
        <w:t>225R</w:t>
      </w:r>
      <w:r w:rsidR="00D63F9C">
        <w:t xml:space="preserve"> tähistatud ravimiteenust</w:t>
      </w:r>
      <w:r w:rsidR="0932D714">
        <w:t xml:space="preserve"> kodeerida </w:t>
      </w:r>
      <w:r w:rsidR="4B945F1C">
        <w:t xml:space="preserve">peale ühe bioloogilise haigust modifitseeriva toimeaine </w:t>
      </w:r>
      <w:r w:rsidR="4B945F1C">
        <w:lastRenderedPageBreak/>
        <w:t>kasutamist, mis on osutunud ebaefektiivseks või põhjustanud ravi katkestama sundivaid kõrvaltoimeid</w:t>
      </w:r>
      <w:r w:rsidR="00B7660E">
        <w:t>,</w:t>
      </w:r>
      <w:r w:rsidR="4B945F1C">
        <w:t xml:space="preserve"> ning </w:t>
      </w:r>
      <w:r w:rsidR="0932D714">
        <w:t xml:space="preserve">vaid </w:t>
      </w:r>
      <w:r w:rsidR="3FEBE50E">
        <w:t xml:space="preserve">ravimi esimesel manustamiskorral hulgaga </w:t>
      </w:r>
      <w:r w:rsidR="3206D75A">
        <w:t>seitse</w:t>
      </w:r>
      <w:r w:rsidR="0932D714">
        <w:t>.</w:t>
      </w:r>
    </w:p>
    <w:p w14:paraId="16564444" w14:textId="77777777" w:rsidR="008134C8" w:rsidRDefault="008134C8" w:rsidP="00976487">
      <w:pPr>
        <w:spacing w:after="0" w:line="240" w:lineRule="auto"/>
        <w:jc w:val="both"/>
        <w:divId w:val="1316184749"/>
        <w:rPr>
          <w:szCs w:val="24"/>
        </w:rPr>
      </w:pPr>
    </w:p>
    <w:p w14:paraId="59FB7E21" w14:textId="6C5B2C6C" w:rsidR="00BE4CCE" w:rsidRPr="00687DE8" w:rsidRDefault="00BE4CCE" w:rsidP="00976487">
      <w:pPr>
        <w:spacing w:after="0" w:line="240" w:lineRule="auto"/>
        <w:jc w:val="both"/>
        <w:divId w:val="1316184749"/>
        <w:rPr>
          <w:szCs w:val="24"/>
        </w:rPr>
      </w:pPr>
      <w:r w:rsidRPr="00687DE8">
        <w:rPr>
          <w:szCs w:val="24"/>
        </w:rPr>
        <w:t>(</w:t>
      </w:r>
      <w:r w:rsidR="005801C8" w:rsidRPr="00687DE8">
        <w:rPr>
          <w:szCs w:val="24"/>
        </w:rPr>
        <w:t>2</w:t>
      </w:r>
      <w:r w:rsidR="005108E9" w:rsidRPr="00687DE8">
        <w:rPr>
          <w:szCs w:val="24"/>
        </w:rPr>
        <w:t>1</w:t>
      </w:r>
      <w:r w:rsidR="00133612" w:rsidRPr="00687DE8">
        <w:rPr>
          <w:szCs w:val="24"/>
        </w:rPr>
        <w:t>)</w:t>
      </w:r>
      <w:r w:rsidR="005E4539" w:rsidRPr="00687DE8">
        <w:rPr>
          <w:szCs w:val="24"/>
        </w:rPr>
        <w:t xml:space="preserve"> </w:t>
      </w:r>
      <w:r w:rsidR="00676137" w:rsidRPr="00687DE8">
        <w:rPr>
          <w:szCs w:val="24"/>
        </w:rPr>
        <w:t>Koodiga 224R tähistatud ravimiteenust on lubatud anküloseeriva spond</w:t>
      </w:r>
      <w:r w:rsidR="00B7660E">
        <w:rPr>
          <w:szCs w:val="24"/>
        </w:rPr>
        <w:t>ü</w:t>
      </w:r>
      <w:r w:rsidR="00676137" w:rsidRPr="00687DE8">
        <w:rPr>
          <w:szCs w:val="24"/>
        </w:rPr>
        <w:t>liidi ja psoriaatrilise artropaatia näidustusel kodeerida ainult golimumabi kasutamise korral patsientidel, kelle ravi golimumabiga on alustatud enne 1.</w:t>
      </w:r>
      <w:r w:rsidR="00A976CF" w:rsidRPr="00687DE8">
        <w:rPr>
          <w:szCs w:val="24"/>
        </w:rPr>
        <w:t xml:space="preserve"> jaanuari </w:t>
      </w:r>
      <w:r w:rsidR="00676137" w:rsidRPr="00687DE8">
        <w:rPr>
          <w:szCs w:val="24"/>
        </w:rPr>
        <w:t>2023</w:t>
      </w:r>
      <w:r w:rsidR="00A976CF" w:rsidRPr="00687DE8">
        <w:rPr>
          <w:szCs w:val="24"/>
        </w:rPr>
        <w:t>. a</w:t>
      </w:r>
      <w:r w:rsidR="00676137" w:rsidRPr="00687DE8">
        <w:rPr>
          <w:szCs w:val="24"/>
        </w:rPr>
        <w:t>, tingimusel, et golimumabi raviga on saadud haiguse täisremissioon või golimumab on patsiendil kolmas või kaugem ravivalik või patsiendile pole muud alternatiivid meditsiiniliselt näidustatud.</w:t>
      </w:r>
    </w:p>
    <w:p w14:paraId="2022A8C2" w14:textId="77777777" w:rsidR="00676137" w:rsidRPr="00687DE8" w:rsidRDefault="00676137" w:rsidP="00976487">
      <w:pPr>
        <w:spacing w:after="0" w:line="240" w:lineRule="auto"/>
        <w:jc w:val="both"/>
        <w:divId w:val="1316184749"/>
        <w:rPr>
          <w:szCs w:val="24"/>
        </w:rPr>
      </w:pPr>
    </w:p>
    <w:p w14:paraId="0BBB92DE" w14:textId="23E4CB74" w:rsidR="00976487" w:rsidRPr="00687DE8" w:rsidRDefault="00B33DDA" w:rsidP="00976487">
      <w:pPr>
        <w:spacing w:after="0" w:line="240" w:lineRule="auto"/>
        <w:jc w:val="both"/>
        <w:divId w:val="1316184749"/>
        <w:rPr>
          <w:szCs w:val="24"/>
        </w:rPr>
      </w:pPr>
      <w:r w:rsidRPr="00687DE8">
        <w:rPr>
          <w:szCs w:val="24"/>
        </w:rPr>
        <w:t>(</w:t>
      </w:r>
      <w:r w:rsidR="00F37A04" w:rsidRPr="00687DE8">
        <w:rPr>
          <w:szCs w:val="24"/>
        </w:rPr>
        <w:t>2</w:t>
      </w:r>
      <w:r w:rsidR="005108E9" w:rsidRPr="00687DE8">
        <w:rPr>
          <w:szCs w:val="24"/>
        </w:rPr>
        <w:t>2</w:t>
      </w:r>
      <w:r w:rsidRPr="00687DE8">
        <w:rPr>
          <w:szCs w:val="24"/>
        </w:rPr>
        <w:t xml:space="preserve">) </w:t>
      </w:r>
      <w:r w:rsidR="00976487" w:rsidRPr="00687DE8">
        <w:rPr>
          <w:szCs w:val="24"/>
        </w:rPr>
        <w:t>Bioloogilis</w:t>
      </w:r>
      <w:r w:rsidR="00874BD5" w:rsidRPr="00687DE8">
        <w:rPr>
          <w:szCs w:val="24"/>
        </w:rPr>
        <w:t>t</w:t>
      </w:r>
      <w:r w:rsidR="00976487" w:rsidRPr="00687DE8">
        <w:rPr>
          <w:szCs w:val="24"/>
        </w:rPr>
        <w:t>e haigust modifitseeriva</w:t>
      </w:r>
      <w:r w:rsidR="00874BD5" w:rsidRPr="00687DE8">
        <w:rPr>
          <w:szCs w:val="24"/>
        </w:rPr>
        <w:t>te</w:t>
      </w:r>
      <w:r w:rsidR="00976487" w:rsidRPr="00687DE8">
        <w:rPr>
          <w:szCs w:val="24"/>
        </w:rPr>
        <w:t xml:space="preserve"> toimeaine</w:t>
      </w:r>
      <w:r w:rsidR="00874BD5" w:rsidRPr="00687DE8">
        <w:rPr>
          <w:szCs w:val="24"/>
        </w:rPr>
        <w:t>te</w:t>
      </w:r>
      <w:r w:rsidR="00976487" w:rsidRPr="00687DE8">
        <w:rPr>
          <w:szCs w:val="24"/>
        </w:rPr>
        <w:t xml:space="preserve"> infliksimab</w:t>
      </w:r>
      <w:r w:rsidR="00F755E0" w:rsidRPr="00687DE8">
        <w:rPr>
          <w:szCs w:val="24"/>
        </w:rPr>
        <w:t xml:space="preserve">, adalimumab </w:t>
      </w:r>
      <w:r w:rsidR="00874BD5" w:rsidRPr="00687DE8">
        <w:rPr>
          <w:szCs w:val="24"/>
        </w:rPr>
        <w:t>ja</w:t>
      </w:r>
      <w:r w:rsidR="00F755E0" w:rsidRPr="00687DE8">
        <w:rPr>
          <w:szCs w:val="24"/>
        </w:rPr>
        <w:t xml:space="preserve"> etanertsept</w:t>
      </w:r>
      <w:r w:rsidR="00976487" w:rsidRPr="00687DE8">
        <w:rPr>
          <w:szCs w:val="24"/>
        </w:rPr>
        <w:t xml:space="preserve"> kasutamise korral ei ole lubatud kodeerida teenuseid 224R–22</w:t>
      </w:r>
      <w:r w:rsidR="00F755E0" w:rsidRPr="00687DE8">
        <w:rPr>
          <w:szCs w:val="24"/>
        </w:rPr>
        <w:t>5</w:t>
      </w:r>
      <w:r w:rsidR="00976487" w:rsidRPr="00687DE8">
        <w:rPr>
          <w:szCs w:val="24"/>
        </w:rPr>
        <w:t>R</w:t>
      </w:r>
      <w:r w:rsidR="006B5DC2" w:rsidRPr="00687DE8">
        <w:rPr>
          <w:szCs w:val="24"/>
        </w:rPr>
        <w:t>.</w:t>
      </w:r>
    </w:p>
    <w:p w14:paraId="35FDF78F" w14:textId="77777777" w:rsidR="00976487" w:rsidRPr="00687DE8" w:rsidRDefault="00976487" w:rsidP="00976487">
      <w:pPr>
        <w:spacing w:after="0" w:line="240" w:lineRule="auto"/>
        <w:jc w:val="both"/>
        <w:divId w:val="1316184749"/>
        <w:rPr>
          <w:szCs w:val="24"/>
        </w:rPr>
      </w:pPr>
    </w:p>
    <w:p w14:paraId="6B0F0988" w14:textId="111574FA" w:rsidR="00976487" w:rsidRPr="00687DE8" w:rsidRDefault="00976487" w:rsidP="00976487">
      <w:pPr>
        <w:spacing w:after="0" w:line="240" w:lineRule="auto"/>
        <w:jc w:val="both"/>
        <w:divId w:val="1316184749"/>
      </w:pPr>
      <w:r>
        <w:t>(</w:t>
      </w:r>
      <w:r w:rsidR="000B6EE4">
        <w:t>2</w:t>
      </w:r>
      <w:r w:rsidR="005108E9">
        <w:t>3</w:t>
      </w:r>
      <w:r>
        <w:t>) Ravi koodiga 345R</w:t>
      </w:r>
      <w:r w:rsidR="00CA63C9">
        <w:t xml:space="preserve"> </w:t>
      </w:r>
      <w:r>
        <w:t xml:space="preserve">tähistatud ravimiteenusega alustatakse vähemalt kolmest pulmonoloogist või </w:t>
      </w:r>
      <w:r w:rsidR="001F3F61">
        <w:t>allergoloog-immunoloogist</w:t>
      </w:r>
      <w:r>
        <w:t xml:space="preserve"> koosneva eksper</w:t>
      </w:r>
      <w:r w:rsidR="006263F7">
        <w:t>di</w:t>
      </w:r>
      <w:r>
        <w:t>komisjoni otsusel järgmiste tingimuste koosesinemise korral:</w:t>
      </w:r>
    </w:p>
    <w:p w14:paraId="3AED856A" w14:textId="7F355E1A" w:rsidR="00976487" w:rsidRPr="00687DE8" w:rsidRDefault="00976487" w:rsidP="00976487">
      <w:pPr>
        <w:spacing w:after="0" w:line="240" w:lineRule="auto"/>
        <w:jc w:val="both"/>
        <w:divId w:val="1316184749"/>
      </w:pPr>
      <w:r>
        <w:t xml:space="preserve">1) patsiendil </w:t>
      </w:r>
      <w:r w:rsidR="00BC0B2A">
        <w:t xml:space="preserve">on </w:t>
      </w:r>
      <w:r>
        <w:t>IgE vahendatud astma ning seerumi üld-IgE tase on üle 76 RÜ/ml; pediaatrilistel patsientidel (6–12-aastased) IgE tasemega alla 200 RÜ/ml on püsiv </w:t>
      </w:r>
      <w:r w:rsidRPr="755315A2">
        <w:rPr>
          <w:i/>
        </w:rPr>
        <w:t>in vitro</w:t>
      </w:r>
      <w:r>
        <w:t xml:space="preserve"> reaktiivsus (RAST) aastaringsele allergeenile; </w:t>
      </w:r>
    </w:p>
    <w:p w14:paraId="14F84BCC" w14:textId="466FF285" w:rsidR="00976487" w:rsidRPr="00687DE8" w:rsidRDefault="009D434F" w:rsidP="00976487">
      <w:pPr>
        <w:spacing w:after="0" w:line="240" w:lineRule="auto"/>
        <w:jc w:val="both"/>
        <w:divId w:val="1316184749"/>
        <w:rPr>
          <w:szCs w:val="24"/>
        </w:rPr>
      </w:pPr>
      <w:r w:rsidRPr="00687DE8">
        <w:rPr>
          <w:szCs w:val="24"/>
        </w:rPr>
        <w:t>2</w:t>
      </w:r>
      <w:r w:rsidR="00976487" w:rsidRPr="00687DE8">
        <w:rPr>
          <w:szCs w:val="24"/>
        </w:rPr>
        <w:t>) astma on puudulikult kontrollitud vaatamata pikaajalisele igapäevasele suures annuses (väljendatud budesoniidiekvivalendina vastavalt the Global Initiative for Asthma kehtivale definitsioonile) inhaleeritava glükokortikosteroidi (GKS) ja pikatoimelise β</w:t>
      </w:r>
      <w:r w:rsidR="00976487" w:rsidRPr="00687DE8">
        <w:rPr>
          <w:szCs w:val="24"/>
          <w:vertAlign w:val="subscript"/>
        </w:rPr>
        <w:t>2</w:t>
      </w:r>
      <w:r w:rsidR="00976487" w:rsidRPr="00687DE8">
        <w:rPr>
          <w:szCs w:val="24"/>
        </w:rPr>
        <w:t>-agonisti kooskasutamisele;</w:t>
      </w:r>
    </w:p>
    <w:p w14:paraId="148092D3" w14:textId="4FB7B035" w:rsidR="00976487" w:rsidRPr="00687DE8" w:rsidRDefault="009D434F" w:rsidP="00976487">
      <w:pPr>
        <w:spacing w:after="0" w:line="240" w:lineRule="auto"/>
        <w:jc w:val="both"/>
        <w:divId w:val="1316184749"/>
        <w:rPr>
          <w:szCs w:val="24"/>
        </w:rPr>
      </w:pPr>
      <w:r w:rsidRPr="00687DE8">
        <w:rPr>
          <w:szCs w:val="24"/>
        </w:rPr>
        <w:t>3</w:t>
      </w:r>
      <w:r w:rsidR="00976487" w:rsidRPr="00687DE8">
        <w:rPr>
          <w:szCs w:val="24"/>
        </w:rPr>
        <w:t>) astma kontroll on jäänud puudulikuks vaatamata sellele, et punktis 2 nimetatud ravile on lisatud kolmas astmat kontrolliv ravim, milleks võib olla antileukotrieen, pikatoimeline teofülliinpreparaat või pikatoimeline antikolinergiline aine. Lisaraviga saavutatud efekt, selle puudumine või ravimi talumatus on dokumenteeritud patsiendi haigusloos;</w:t>
      </w:r>
    </w:p>
    <w:p w14:paraId="238D6798" w14:textId="54EFBD91" w:rsidR="00976487" w:rsidRPr="00687DE8" w:rsidRDefault="009D434F" w:rsidP="00976487">
      <w:pPr>
        <w:spacing w:after="0" w:line="240" w:lineRule="auto"/>
        <w:jc w:val="both"/>
        <w:divId w:val="1316184749"/>
        <w:rPr>
          <w:szCs w:val="24"/>
        </w:rPr>
      </w:pPr>
      <w:r w:rsidRPr="00687DE8">
        <w:rPr>
          <w:szCs w:val="24"/>
        </w:rPr>
        <w:t>4</w:t>
      </w:r>
      <w:r w:rsidR="00976487" w:rsidRPr="00687DE8">
        <w:rPr>
          <w:szCs w:val="24"/>
        </w:rPr>
        <w:t xml:space="preserve">) patsient, kes vajab regulaarset süsteemset GKS-ravi või korduvaid pikaajalisi GKS-ravi kuure, samuti patsient, kellele süsteemne GKS-ravi on kaasuvate haiguste tõttu absoluutselt vastunäidustatud (nt raskekujuline osteoporoos, diabeet, paranematud peptilised haavandid) või kellel on sõltuvus süsteemsest GKS-st, või patsient, kellel on olnud kolm või enam raskekujulist astma ägenemist, millest vähemalt ühe puhul haige pöördus tervishoiuteenuse osutaja poole ja ülejäänud kahe puhul oli vajalik ravi muutmine; </w:t>
      </w:r>
    </w:p>
    <w:p w14:paraId="02CBFBE1" w14:textId="0C483520" w:rsidR="00976487" w:rsidRPr="00687DE8" w:rsidRDefault="009D434F" w:rsidP="00976487">
      <w:pPr>
        <w:spacing w:after="0" w:line="240" w:lineRule="auto"/>
        <w:jc w:val="both"/>
        <w:divId w:val="1316184749"/>
        <w:rPr>
          <w:szCs w:val="24"/>
        </w:rPr>
      </w:pPr>
      <w:r w:rsidRPr="00687DE8">
        <w:rPr>
          <w:szCs w:val="24"/>
        </w:rPr>
        <w:t>5</w:t>
      </w:r>
      <w:r w:rsidR="00976487" w:rsidRPr="00687DE8">
        <w:rPr>
          <w:szCs w:val="24"/>
        </w:rPr>
        <w:t>) patsient on haigust vallandavat tegurit (nt allergeen) võimalikult vältinud või selle mõju vähendanud;</w:t>
      </w:r>
    </w:p>
    <w:p w14:paraId="668A890E" w14:textId="492AD11C" w:rsidR="00976487" w:rsidRPr="00687DE8" w:rsidRDefault="009D434F" w:rsidP="00976487">
      <w:pPr>
        <w:spacing w:after="0" w:line="240" w:lineRule="auto"/>
        <w:jc w:val="both"/>
        <w:divId w:val="1316184749"/>
        <w:rPr>
          <w:szCs w:val="24"/>
        </w:rPr>
      </w:pPr>
      <w:r w:rsidRPr="00687DE8">
        <w:rPr>
          <w:szCs w:val="24"/>
        </w:rPr>
        <w:t>6</w:t>
      </w:r>
      <w:r w:rsidR="00976487" w:rsidRPr="00687DE8">
        <w:rPr>
          <w:szCs w:val="24"/>
        </w:rPr>
        <w:t>) patsient ei suitseta;</w:t>
      </w:r>
    </w:p>
    <w:p w14:paraId="6BB8BF45" w14:textId="0AA4F9C4" w:rsidR="00976487" w:rsidRPr="00687DE8" w:rsidRDefault="009D434F" w:rsidP="00976487">
      <w:pPr>
        <w:spacing w:after="0" w:line="240" w:lineRule="auto"/>
        <w:jc w:val="both"/>
        <w:divId w:val="1316184749"/>
        <w:rPr>
          <w:szCs w:val="24"/>
        </w:rPr>
      </w:pPr>
      <w:r w:rsidRPr="00687DE8">
        <w:rPr>
          <w:szCs w:val="24"/>
        </w:rPr>
        <w:t>7</w:t>
      </w:r>
      <w:r w:rsidR="00976487" w:rsidRPr="00687DE8">
        <w:rPr>
          <w:szCs w:val="24"/>
        </w:rPr>
        <w:t>) patsient on ettekirjutatud astma raviskeemi järginud ning ravisoostumus on hinnatud piisavaks.</w:t>
      </w:r>
    </w:p>
    <w:p w14:paraId="298E9B1A" w14:textId="77777777" w:rsidR="00976487" w:rsidRPr="00687DE8" w:rsidRDefault="00976487" w:rsidP="00976487">
      <w:pPr>
        <w:spacing w:after="0" w:line="240" w:lineRule="auto"/>
        <w:jc w:val="both"/>
        <w:divId w:val="1316184749"/>
        <w:rPr>
          <w:szCs w:val="24"/>
        </w:rPr>
      </w:pPr>
    </w:p>
    <w:p w14:paraId="5EE0F09C" w14:textId="3B664EE9" w:rsidR="00976487" w:rsidRPr="00687DE8" w:rsidRDefault="00976487" w:rsidP="00976487">
      <w:pPr>
        <w:spacing w:after="0" w:line="240" w:lineRule="auto"/>
        <w:jc w:val="both"/>
        <w:divId w:val="1316184749"/>
      </w:pPr>
      <w:r>
        <w:t>(</w:t>
      </w:r>
      <w:r w:rsidR="000B6EE4">
        <w:t>2</w:t>
      </w:r>
      <w:r w:rsidR="005108E9">
        <w:t>4</w:t>
      </w:r>
      <w:r>
        <w:t xml:space="preserve">) Kui 16 nädala möödumisel ravi alustamisest omalizumabiga (kood 345R) ei ole vähemalt kolmest pulmonoloogist või </w:t>
      </w:r>
      <w:r w:rsidR="00A74649">
        <w:t>allergoloog-immunoloog</w:t>
      </w:r>
      <w:r w:rsidR="0000267F">
        <w:t>ist</w:t>
      </w:r>
      <w:r w:rsidR="00A74649">
        <w:t xml:space="preserve"> </w:t>
      </w:r>
      <w:r>
        <w:t>koosneva eksper</w:t>
      </w:r>
      <w:r w:rsidR="0085672E">
        <w:t>di</w:t>
      </w:r>
      <w:r>
        <w:t>komisjoni hinnangul astma ravi tulemused kliiniliselt oluliselt paranenud, võttes arvesse spiromeetrilise uuringu tulemusi, päevaste ja öiste sümptomite sagedust ja raskust, hooravimi kasutamist, ägenemiste arvu, erakorralise arstiabi vajadust ning muutust elukvaliteedis võrreldes ravieelse perioodiga, lõpetatakse ravi selle preparaadiga.</w:t>
      </w:r>
    </w:p>
    <w:p w14:paraId="28EB9566" w14:textId="77777777" w:rsidR="00976487" w:rsidRPr="00687DE8" w:rsidRDefault="00976487" w:rsidP="00976487">
      <w:pPr>
        <w:pStyle w:val="Vahedeta"/>
        <w:divId w:val="1316184749"/>
        <w:rPr>
          <w:szCs w:val="24"/>
          <w:lang w:val="et-EE"/>
        </w:rPr>
      </w:pPr>
    </w:p>
    <w:p w14:paraId="70CF3A4D" w14:textId="46FBEBAD" w:rsidR="00976487" w:rsidRPr="00687DE8" w:rsidRDefault="00976487" w:rsidP="00976487">
      <w:pPr>
        <w:spacing w:after="0" w:line="240" w:lineRule="auto"/>
        <w:jc w:val="both"/>
        <w:divId w:val="1316184749"/>
      </w:pPr>
      <w:r>
        <w:t>(</w:t>
      </w:r>
      <w:r w:rsidR="005108E9">
        <w:t>2</w:t>
      </w:r>
      <w:r w:rsidR="1FBE1E14">
        <w:t>5</w:t>
      </w:r>
      <w:r>
        <w:t xml:space="preserve">) </w:t>
      </w:r>
      <w:r w:rsidR="4F351D37" w:rsidRPr="001156B5">
        <w:rPr>
          <w:i/>
          <w:iCs/>
        </w:rPr>
        <w:t>S</w:t>
      </w:r>
      <w:r w:rsidRPr="25DC679F">
        <w:rPr>
          <w:i/>
        </w:rPr>
        <w:t>clerosis multiplex</w:t>
      </w:r>
      <w:r>
        <w:t xml:space="preserve">’i (RHK 10 kood G35) </w:t>
      </w:r>
      <w:r w:rsidR="7C2B9C3A">
        <w:t xml:space="preserve">ravi natalizumabiga </w:t>
      </w:r>
      <w:r>
        <w:t>(kood 346R)</w:t>
      </w:r>
      <w:r w:rsidR="00E20338">
        <w:t xml:space="preserve"> ja</w:t>
      </w:r>
      <w:r>
        <w:t xml:space="preserve"> alemtuzumabiga</w:t>
      </w:r>
      <w:r w:rsidR="4CFA0877">
        <w:t xml:space="preserve"> </w:t>
      </w:r>
      <w:r>
        <w:t>(kood 349R)</w:t>
      </w:r>
      <w:r w:rsidR="00412C09">
        <w:t xml:space="preserve"> </w:t>
      </w:r>
      <w:r>
        <w:t>alustatakse vähemalt kolmest neuroloogist koosneva eksper</w:t>
      </w:r>
      <w:r w:rsidR="004878A2">
        <w:t>di</w:t>
      </w:r>
      <w:r>
        <w:t>komisjoni otsuse alusel patsiendil järgmiste tingimuste koosesinemise korral:</w:t>
      </w:r>
    </w:p>
    <w:p w14:paraId="58FC8A6A" w14:textId="01182B6B" w:rsidR="00976487" w:rsidRPr="00687DE8" w:rsidRDefault="00976487" w:rsidP="00976487">
      <w:pPr>
        <w:spacing w:after="0" w:line="240" w:lineRule="auto"/>
        <w:jc w:val="both"/>
        <w:divId w:val="1316184749"/>
        <w:rPr>
          <w:szCs w:val="24"/>
        </w:rPr>
      </w:pPr>
      <w:r w:rsidRPr="00687DE8">
        <w:rPr>
          <w:szCs w:val="24"/>
        </w:rPr>
        <w:lastRenderedPageBreak/>
        <w:t xml:space="preserve">1) </w:t>
      </w:r>
      <w:r w:rsidR="006B2E93" w:rsidRPr="00687DE8">
        <w:rPr>
          <w:szCs w:val="24"/>
        </w:rPr>
        <w:t>varem on</w:t>
      </w:r>
      <w:r w:rsidRPr="00687DE8">
        <w:rPr>
          <w:szCs w:val="24"/>
        </w:rPr>
        <w:t xml:space="preserve"> ravitud vähemalt kahe esmavaliku ravimiga</w:t>
      </w:r>
      <w:r w:rsidR="00B74144" w:rsidRPr="00687DE8">
        <w:rPr>
          <w:szCs w:val="24"/>
        </w:rPr>
        <w:t>;</w:t>
      </w:r>
    </w:p>
    <w:p w14:paraId="6B56FAD1" w14:textId="77777777" w:rsidR="00976487" w:rsidRDefault="00976487" w:rsidP="00976487">
      <w:pPr>
        <w:spacing w:after="0" w:line="240" w:lineRule="auto"/>
        <w:jc w:val="both"/>
        <w:divId w:val="1316184749"/>
        <w:rPr>
          <w:szCs w:val="24"/>
        </w:rPr>
      </w:pPr>
      <w:r w:rsidRPr="00687DE8">
        <w:rPr>
          <w:szCs w:val="24"/>
        </w:rPr>
        <w:t>2) vaatamata eelnevale ravile on viimase aasta jooksul esinenud vähemalt kaks olulist ägenemist.</w:t>
      </w:r>
    </w:p>
    <w:p w14:paraId="27EA6832" w14:textId="53025D6A" w:rsidR="00F35A24" w:rsidRDefault="00F35A24" w:rsidP="00976487">
      <w:pPr>
        <w:spacing w:after="0" w:line="240" w:lineRule="auto"/>
        <w:jc w:val="both"/>
        <w:divId w:val="1316184749"/>
        <w:rPr>
          <w:szCs w:val="24"/>
        </w:rPr>
      </w:pPr>
    </w:p>
    <w:p w14:paraId="4C7BE9BC" w14:textId="498D20AB" w:rsidR="00FC3BB8" w:rsidRDefault="00F35A24" w:rsidP="00F35A24">
      <w:pPr>
        <w:spacing w:after="0" w:line="240" w:lineRule="auto"/>
        <w:jc w:val="both"/>
        <w:divId w:val="1316184749"/>
      </w:pPr>
      <w:r>
        <w:t>(2</w:t>
      </w:r>
      <w:r w:rsidR="4A150643">
        <w:t>6</w:t>
      </w:r>
      <w:r>
        <w:t xml:space="preserve">) </w:t>
      </w:r>
      <w:r w:rsidRPr="00903A0F">
        <w:t>Tervisekassa</w:t>
      </w:r>
      <w:r>
        <w:t xml:space="preserve"> võtab koodiga 346R tähistatud ravimiteenuse korral tasu maksmise kohustuse üle kuni 13 neljanädalast ravikuuri aastas kindlustatud isiku kohta tulenevalt neljanädalaste ravikuuride hulgast, mille vältel kindlustatud isik on ravi saanud. </w:t>
      </w:r>
    </w:p>
    <w:p w14:paraId="55419D1A" w14:textId="459050E3" w:rsidR="00F35A24" w:rsidRPr="00687DE8" w:rsidRDefault="00F35A24" w:rsidP="00F35A24">
      <w:pPr>
        <w:spacing w:after="0" w:line="240" w:lineRule="auto"/>
        <w:jc w:val="both"/>
        <w:divId w:val="1316184749"/>
      </w:pPr>
      <w:r>
        <w:t xml:space="preserve"> </w:t>
      </w:r>
    </w:p>
    <w:p w14:paraId="0E261D73" w14:textId="462B0B46" w:rsidR="00DF25E8" w:rsidRDefault="00976487" w:rsidP="00CE1793">
      <w:pPr>
        <w:spacing w:after="0" w:line="240" w:lineRule="auto"/>
        <w:jc w:val="both"/>
        <w:divId w:val="1316184749"/>
      </w:pPr>
      <w:r>
        <w:t>(</w:t>
      </w:r>
      <w:r w:rsidR="005108E9">
        <w:t>2</w:t>
      </w:r>
      <w:r w:rsidR="523CBD49">
        <w:t>7</w:t>
      </w:r>
      <w:r>
        <w:t>)</w:t>
      </w:r>
      <w:r w:rsidR="004A270E">
        <w:t xml:space="preserve"> </w:t>
      </w:r>
      <w:r w:rsidR="48459A29">
        <w:t xml:space="preserve">Ravi okrelizumabiga (kood 445R) alustatakse vähemalt kolmest neuroloogist koosneva eksperdikomisjoni otsuse alusel ägenemiste ja remissioonidega kulgeva </w:t>
      </w:r>
      <w:r w:rsidR="48459A29" w:rsidRPr="002636DF">
        <w:rPr>
          <w:i/>
          <w:iCs/>
        </w:rPr>
        <w:t>sclerosis multiplex</w:t>
      </w:r>
      <w:r w:rsidR="48459A29">
        <w:t xml:space="preserve">’i </w:t>
      </w:r>
      <w:r w:rsidR="7FFE4C4B">
        <w:t>(RHK</w:t>
      </w:r>
      <w:r w:rsidR="00334EB1">
        <w:t xml:space="preserve"> </w:t>
      </w:r>
      <w:r w:rsidR="7FFE4C4B">
        <w:t>10 kood G35) raviks.</w:t>
      </w:r>
    </w:p>
    <w:p w14:paraId="786BD652" w14:textId="77777777" w:rsidR="00E95848" w:rsidRDefault="00E95848" w:rsidP="00CE1793">
      <w:pPr>
        <w:spacing w:after="0" w:line="240" w:lineRule="auto"/>
        <w:jc w:val="both"/>
        <w:divId w:val="1316184749"/>
      </w:pPr>
    </w:p>
    <w:p w14:paraId="46B23640" w14:textId="7C5C5D62" w:rsidR="00E16F45" w:rsidRDefault="00DF25E8" w:rsidP="00CE1793">
      <w:pPr>
        <w:spacing w:after="0" w:line="240" w:lineRule="auto"/>
        <w:jc w:val="both"/>
        <w:divId w:val="1316184749"/>
      </w:pPr>
      <w:r>
        <w:t>(</w:t>
      </w:r>
      <w:r w:rsidR="3F909B88">
        <w:t>28</w:t>
      </w:r>
      <w:r>
        <w:t>)</w:t>
      </w:r>
      <w:r w:rsidR="00714A2F">
        <w:t xml:space="preserve"> </w:t>
      </w:r>
      <w:r w:rsidR="7FFE4C4B" w:rsidRPr="00A25956">
        <w:rPr>
          <w:i/>
          <w:iCs/>
        </w:rPr>
        <w:t>Sclerosis multiplex</w:t>
      </w:r>
      <w:r w:rsidR="7FFE4C4B">
        <w:t>’i primaarselt progresseeruva vormi (RHK 10 kood G35) ravi okrelizumabiga (kood 4</w:t>
      </w:r>
      <w:r w:rsidR="4B77FC39">
        <w:t>45</w:t>
      </w:r>
      <w:r w:rsidR="7FFE4C4B">
        <w:t>R) alustatakse vähemalt kolmest neuroloogist koosneva eksperdikomisjoni otsuse alusel 18–55</w:t>
      </w:r>
      <w:r w:rsidR="00903A0F">
        <w:t>-aastasel</w:t>
      </w:r>
      <w:r w:rsidR="7FFE4C4B">
        <w:t xml:space="preserve"> patsiendil, kelle diagnoos on kinnitatud McDonald 2017 kriteeriumide põhjal ja puude skoor (EDSS) jääb vahemikku 3,0–6,5 ning püramidaalfunktsiooni komponent funktsionaalsete süsteemide skaalal on vähemalt 2,0. Ravi </w:t>
      </w:r>
      <w:r w:rsidR="7FFE4C4B" w:rsidRPr="002636DF">
        <w:rPr>
          <w:i/>
          <w:iCs/>
        </w:rPr>
        <w:t>sclerosis multiplex</w:t>
      </w:r>
      <w:r w:rsidR="7FFE4C4B">
        <w:t>’i primaarselt progresseeruva vormi korral lõpetatakse patsiendil, kelle EDSS skoor on 7,0 või kõrgem.</w:t>
      </w:r>
      <w:r w:rsidR="002272FA">
        <w:t xml:space="preserve"> </w:t>
      </w:r>
    </w:p>
    <w:p w14:paraId="254BF115" w14:textId="77777777" w:rsidR="00E16F45" w:rsidRDefault="00E16F45" w:rsidP="00CE1793">
      <w:pPr>
        <w:spacing w:after="0" w:line="240" w:lineRule="auto"/>
        <w:jc w:val="both"/>
        <w:divId w:val="1316184749"/>
      </w:pPr>
    </w:p>
    <w:p w14:paraId="6F2E53F3" w14:textId="7E777A73" w:rsidR="7FFE4C4B" w:rsidRDefault="00E16F45" w:rsidP="00CE1793">
      <w:pPr>
        <w:spacing w:after="0" w:line="240" w:lineRule="auto"/>
        <w:jc w:val="both"/>
        <w:divId w:val="1316184749"/>
      </w:pPr>
      <w:r>
        <w:t>(</w:t>
      </w:r>
      <w:r w:rsidR="73E737C3">
        <w:t>29</w:t>
      </w:r>
      <w:r>
        <w:t xml:space="preserve">) </w:t>
      </w:r>
      <w:r w:rsidR="002272FA">
        <w:t>Ühele kindlustatule võib teenusekoodi 445R kodeerida kuni neli korda 12 kuu jooksul.</w:t>
      </w:r>
    </w:p>
    <w:p w14:paraId="38A23F5D" w14:textId="77777777" w:rsidR="00976487" w:rsidRPr="00687DE8" w:rsidRDefault="00976487" w:rsidP="00976487">
      <w:pPr>
        <w:spacing w:after="0" w:line="240" w:lineRule="auto"/>
        <w:jc w:val="both"/>
        <w:divId w:val="1316184749"/>
        <w:rPr>
          <w:szCs w:val="24"/>
        </w:rPr>
      </w:pPr>
    </w:p>
    <w:p w14:paraId="4365928D" w14:textId="48A185BD" w:rsidR="00E0551A" w:rsidRPr="00687DE8" w:rsidRDefault="00E0551A" w:rsidP="00E0551A">
      <w:pPr>
        <w:spacing w:after="0" w:line="240" w:lineRule="auto"/>
        <w:jc w:val="both"/>
        <w:divId w:val="1316184749"/>
      </w:pPr>
      <w:r>
        <w:t>(</w:t>
      </w:r>
      <w:r w:rsidR="0095420D">
        <w:t>3</w:t>
      </w:r>
      <w:r w:rsidR="358AB819">
        <w:t>0</w:t>
      </w:r>
      <w:r>
        <w:t xml:space="preserve">) </w:t>
      </w:r>
      <w:r w:rsidR="005023FD">
        <w:t>Tervisekassa</w:t>
      </w:r>
      <w:r>
        <w:t xml:space="preserve"> võtab kindlustatud isiku ravi eest alemtuzumabiga (kood 349R) tasu maksmise kohustuse üle esimesel raviaastal kuni viiel järjestikusel päeval saadud ravi eest (viis viaali), teisel aastal kuni kolmel järjestikusel päeval saadud ravi eest (kolm viaali) ning järgnevatel aastatel haiguse aktiivsuse taastumise korral vastavalt vajadusele aastas kuni kolmel järjestikusel päeval saadud ravi eest.</w:t>
      </w:r>
    </w:p>
    <w:p w14:paraId="3B397708" w14:textId="215A2D93" w:rsidR="21E85478" w:rsidRDefault="21E85478" w:rsidP="21E85478">
      <w:pPr>
        <w:spacing w:after="0" w:line="240" w:lineRule="auto"/>
        <w:jc w:val="both"/>
      </w:pPr>
    </w:p>
    <w:p w14:paraId="7B660589" w14:textId="7248446A" w:rsidR="21E85478" w:rsidRDefault="2C4916AF" w:rsidP="21E85478">
      <w:pPr>
        <w:spacing w:after="0" w:line="240" w:lineRule="auto"/>
        <w:jc w:val="both"/>
      </w:pPr>
      <w:r>
        <w:t>(3</w:t>
      </w:r>
      <w:r w:rsidR="10AA42A6">
        <w:t>1</w:t>
      </w:r>
      <w:r>
        <w:t xml:space="preserve">) Tervisekassa võtab </w:t>
      </w:r>
      <w:r w:rsidR="1FB80D34">
        <w:t xml:space="preserve">koodiga 393R </w:t>
      </w:r>
      <w:r w:rsidR="0602F632">
        <w:t>tähistatud ravimiteenuse eest tasu maksmise kohustuse üle süsteemse erütematoosse luupuse ravi</w:t>
      </w:r>
      <w:r w:rsidR="4F518C9E">
        <w:t>k</w:t>
      </w:r>
      <w:r w:rsidR="0602F632">
        <w:t>s patsien</w:t>
      </w:r>
      <w:r w:rsidR="552C52E7">
        <w:t>dilt</w:t>
      </w:r>
      <w:r w:rsidR="0602F632">
        <w:t>, kelle</w:t>
      </w:r>
      <w:r w:rsidR="09D8CC45">
        <w:t xml:space="preserve">l </w:t>
      </w:r>
      <w:r w:rsidR="3929987A">
        <w:t xml:space="preserve">ravi rituksimabiga </w:t>
      </w:r>
      <w:r w:rsidR="09D8CC45">
        <w:t xml:space="preserve">on </w:t>
      </w:r>
      <w:r w:rsidR="4E96ACCD">
        <w:t xml:space="preserve">meditsiiniliselt </w:t>
      </w:r>
      <w:r w:rsidR="09D8CC45">
        <w:t>vastunäidustatud</w:t>
      </w:r>
      <w:r w:rsidR="7B1BABB0">
        <w:t xml:space="preserve"> või esinevad rituksimabi</w:t>
      </w:r>
      <w:r w:rsidR="00903A0F">
        <w:t>vastased</w:t>
      </w:r>
      <w:r w:rsidR="7B1BABB0">
        <w:t xml:space="preserve"> antikehad</w:t>
      </w:r>
      <w:r w:rsidR="6AC2E7C4">
        <w:t xml:space="preserve"> </w:t>
      </w:r>
      <w:r w:rsidR="00C97E2B">
        <w:t>ning</w:t>
      </w:r>
      <w:r w:rsidR="6AC2E7C4">
        <w:t xml:space="preserve"> ravi anifrolumabiga on meditsiiniliselt vastunäidustatud või </w:t>
      </w:r>
      <w:r w:rsidR="245F2EC1">
        <w:t xml:space="preserve">haigus on </w:t>
      </w:r>
      <w:r w:rsidR="7EB06AB4">
        <w:t xml:space="preserve">anifrolumabi </w:t>
      </w:r>
      <w:r w:rsidR="245F2EC1">
        <w:t>foonil progresseerunud.</w:t>
      </w:r>
    </w:p>
    <w:p w14:paraId="645DD76D" w14:textId="2CECC017" w:rsidR="00E0551A" w:rsidRDefault="00E0551A" w:rsidP="00E0551A">
      <w:pPr>
        <w:spacing w:after="0" w:line="240" w:lineRule="auto"/>
        <w:jc w:val="both"/>
        <w:divId w:val="1316184749"/>
      </w:pPr>
    </w:p>
    <w:p w14:paraId="76FF51AF" w14:textId="1585B5D9" w:rsidR="00976487" w:rsidRPr="00687DE8" w:rsidRDefault="00976487" w:rsidP="006D3E55">
      <w:pPr>
        <w:spacing w:after="0" w:line="240" w:lineRule="auto"/>
        <w:jc w:val="both"/>
        <w:divId w:val="1316184749"/>
        <w:rPr>
          <w:color w:val="000000"/>
          <w:szCs w:val="24"/>
          <w:lang w:eastAsia="et-EE"/>
        </w:rPr>
      </w:pPr>
      <w:r w:rsidRPr="00687DE8">
        <w:rPr>
          <w:szCs w:val="24"/>
        </w:rPr>
        <w:t>(</w:t>
      </w:r>
      <w:r w:rsidR="000B6EE4" w:rsidRPr="00687DE8">
        <w:rPr>
          <w:szCs w:val="24"/>
        </w:rPr>
        <w:t>3</w:t>
      </w:r>
      <w:r w:rsidR="6DD39253">
        <w:t>2</w:t>
      </w:r>
      <w:r w:rsidRPr="00687DE8">
        <w:rPr>
          <w:szCs w:val="24"/>
        </w:rPr>
        <w:t xml:space="preserve">) Ravi koodiga 206R tähistatud ravimiteenusega alustatakse </w:t>
      </w:r>
      <w:r w:rsidR="00D50C00" w:rsidRPr="00687DE8">
        <w:rPr>
          <w:szCs w:val="24"/>
        </w:rPr>
        <w:t>vähemalt</w:t>
      </w:r>
      <w:r w:rsidRPr="00687DE8">
        <w:rPr>
          <w:szCs w:val="24"/>
        </w:rPr>
        <w:t xml:space="preserve"> kahest dermatoloogist või </w:t>
      </w:r>
      <w:r w:rsidR="00D60F55" w:rsidRPr="00687DE8">
        <w:rPr>
          <w:szCs w:val="24"/>
        </w:rPr>
        <w:t>allergoloog-immunoloog</w:t>
      </w:r>
      <w:r w:rsidR="00626911" w:rsidRPr="00687DE8">
        <w:rPr>
          <w:szCs w:val="24"/>
        </w:rPr>
        <w:t>ist</w:t>
      </w:r>
      <w:r w:rsidR="00D60F55" w:rsidRPr="00687DE8">
        <w:rPr>
          <w:szCs w:val="24"/>
        </w:rPr>
        <w:t xml:space="preserve"> </w:t>
      </w:r>
      <w:r w:rsidRPr="00687DE8">
        <w:rPr>
          <w:szCs w:val="24"/>
        </w:rPr>
        <w:t>koosneva eksper</w:t>
      </w:r>
      <w:r w:rsidR="004878A2" w:rsidRPr="00687DE8">
        <w:rPr>
          <w:szCs w:val="24"/>
        </w:rPr>
        <w:t>di</w:t>
      </w:r>
      <w:r w:rsidRPr="00687DE8">
        <w:rPr>
          <w:szCs w:val="24"/>
        </w:rPr>
        <w:t xml:space="preserve">komisjoni otsuse alusel patsiendil, kellel </w:t>
      </w:r>
      <w:r w:rsidR="00D50C00" w:rsidRPr="00687DE8">
        <w:rPr>
          <w:color w:val="000000" w:themeColor="text1"/>
          <w:szCs w:val="24"/>
          <w:lang w:eastAsia="et-EE"/>
        </w:rPr>
        <w:t xml:space="preserve">vähemalt </w:t>
      </w:r>
      <w:r w:rsidR="00356FB7" w:rsidRPr="00687DE8">
        <w:rPr>
          <w:color w:val="000000" w:themeColor="text1"/>
          <w:szCs w:val="24"/>
          <w:lang w:eastAsia="et-EE"/>
        </w:rPr>
        <w:t>neli </w:t>
      </w:r>
      <w:r w:rsidR="00D50C00" w:rsidRPr="00687DE8">
        <w:rPr>
          <w:color w:val="000000" w:themeColor="text1"/>
          <w:szCs w:val="24"/>
          <w:lang w:eastAsia="et-EE"/>
        </w:rPr>
        <w:t>nädalat kestnud regulaarne ravi antihistamiinikumiga maksimaalses raviannuses (4-kordne päevaannus) on osutunud ebatõhusaks (UAS7 skoor ≥</w:t>
      </w:r>
      <w:r w:rsidR="00356FB7" w:rsidRPr="00687DE8">
        <w:rPr>
          <w:color w:val="000000" w:themeColor="text1"/>
          <w:szCs w:val="24"/>
          <w:lang w:eastAsia="et-EE"/>
        </w:rPr>
        <w:t> </w:t>
      </w:r>
      <w:r w:rsidR="00D50C00" w:rsidRPr="00687DE8">
        <w:rPr>
          <w:color w:val="000000" w:themeColor="text1"/>
          <w:szCs w:val="24"/>
          <w:lang w:eastAsia="et-EE"/>
        </w:rPr>
        <w:t>16 või AAS7 skoor &gt;</w:t>
      </w:r>
      <w:r w:rsidR="00356FB7" w:rsidRPr="00687DE8">
        <w:rPr>
          <w:color w:val="000000" w:themeColor="text1"/>
          <w:szCs w:val="24"/>
          <w:lang w:eastAsia="et-EE"/>
        </w:rPr>
        <w:t> </w:t>
      </w:r>
      <w:r w:rsidR="00D50C00" w:rsidRPr="00687DE8">
        <w:rPr>
          <w:color w:val="000000" w:themeColor="text1"/>
          <w:szCs w:val="24"/>
          <w:lang w:eastAsia="et-EE"/>
        </w:rPr>
        <w:t>21).</w:t>
      </w:r>
    </w:p>
    <w:p w14:paraId="3BEDAE45" w14:textId="77777777" w:rsidR="00976487" w:rsidRPr="00687DE8" w:rsidRDefault="00976487" w:rsidP="00976487">
      <w:pPr>
        <w:spacing w:after="0" w:line="240" w:lineRule="auto"/>
        <w:jc w:val="both"/>
        <w:divId w:val="1316184749"/>
        <w:rPr>
          <w:szCs w:val="24"/>
        </w:rPr>
      </w:pPr>
    </w:p>
    <w:p w14:paraId="2843651C" w14:textId="657AD209" w:rsidR="00976487" w:rsidRPr="00687DE8" w:rsidRDefault="00976487" w:rsidP="00976487">
      <w:pPr>
        <w:spacing w:after="0" w:line="240" w:lineRule="auto"/>
        <w:jc w:val="both"/>
        <w:divId w:val="1316184749"/>
        <w:rPr>
          <w:szCs w:val="24"/>
        </w:rPr>
      </w:pPr>
      <w:r w:rsidRPr="00687DE8">
        <w:rPr>
          <w:szCs w:val="24"/>
        </w:rPr>
        <w:t>(</w:t>
      </w:r>
      <w:r w:rsidR="000B6EE4" w:rsidRPr="00687DE8">
        <w:rPr>
          <w:szCs w:val="24"/>
        </w:rPr>
        <w:t>3</w:t>
      </w:r>
      <w:r w:rsidR="2E74D0C6">
        <w:t>3</w:t>
      </w:r>
      <w:r w:rsidRPr="00687DE8">
        <w:rPr>
          <w:szCs w:val="24"/>
        </w:rPr>
        <w:t xml:space="preserve">) Ravi koodiga 206R tähistatud ravimiteenusega lõpetatakse ravivastuse saamisel kuuenda doosiga ning alustatakse uuesti vaid haiguse uue ägenemise korral. Ravi uuesti alustamise üle otsustab lõikes </w:t>
      </w:r>
      <w:r w:rsidR="00DC3440">
        <w:rPr>
          <w:szCs w:val="24"/>
        </w:rPr>
        <w:t>32</w:t>
      </w:r>
      <w:r w:rsidR="00CB7B7E" w:rsidRPr="00687DE8">
        <w:rPr>
          <w:szCs w:val="24"/>
        </w:rPr>
        <w:t xml:space="preserve"> </w:t>
      </w:r>
      <w:r w:rsidRPr="00687DE8">
        <w:rPr>
          <w:szCs w:val="24"/>
        </w:rPr>
        <w:t>nimetatud eksper</w:t>
      </w:r>
      <w:r w:rsidR="004878A2" w:rsidRPr="00687DE8">
        <w:rPr>
          <w:szCs w:val="24"/>
        </w:rPr>
        <w:t>di</w:t>
      </w:r>
      <w:r w:rsidRPr="00687DE8">
        <w:rPr>
          <w:szCs w:val="24"/>
        </w:rPr>
        <w:t>komisjon.</w:t>
      </w:r>
      <w:r w:rsidR="003E2709" w:rsidRPr="00687DE8">
        <w:rPr>
          <w:szCs w:val="24"/>
        </w:rPr>
        <w:t xml:space="preserve"> </w:t>
      </w:r>
    </w:p>
    <w:p w14:paraId="3C8AA70F" w14:textId="77777777" w:rsidR="00976487" w:rsidRPr="00687DE8" w:rsidRDefault="00976487" w:rsidP="00976487">
      <w:pPr>
        <w:spacing w:after="0" w:line="240" w:lineRule="auto"/>
        <w:jc w:val="both"/>
        <w:divId w:val="1316184749"/>
        <w:rPr>
          <w:szCs w:val="24"/>
        </w:rPr>
      </w:pPr>
    </w:p>
    <w:p w14:paraId="2E37B3A8" w14:textId="7FD8C670" w:rsidR="00976487" w:rsidRPr="00687DE8" w:rsidRDefault="00976487" w:rsidP="00976487">
      <w:pPr>
        <w:spacing w:after="0" w:line="240" w:lineRule="auto"/>
        <w:jc w:val="both"/>
        <w:divId w:val="1316184749"/>
        <w:rPr>
          <w:szCs w:val="24"/>
        </w:rPr>
      </w:pPr>
      <w:r w:rsidRPr="00687DE8">
        <w:rPr>
          <w:szCs w:val="24"/>
        </w:rPr>
        <w:t>(</w:t>
      </w:r>
      <w:r w:rsidR="000B6EE4" w:rsidRPr="00687DE8">
        <w:rPr>
          <w:szCs w:val="24"/>
        </w:rPr>
        <w:t>3</w:t>
      </w:r>
      <w:r w:rsidR="1BECEE2E">
        <w:t>4</w:t>
      </w:r>
      <w:r w:rsidRPr="00687DE8">
        <w:rPr>
          <w:szCs w:val="24"/>
        </w:rPr>
        <w:t>) Ravi koodiga 206R tähistatud ravimiteenusega lõpetatakse, kui 16 nädala möödumisel ravi alustamisest ei ole lõikes </w:t>
      </w:r>
      <w:r w:rsidR="00DC3440">
        <w:rPr>
          <w:szCs w:val="24"/>
        </w:rPr>
        <w:t>32</w:t>
      </w:r>
      <w:r w:rsidR="00CB7B7E" w:rsidRPr="00687DE8">
        <w:rPr>
          <w:szCs w:val="24"/>
        </w:rPr>
        <w:t xml:space="preserve"> </w:t>
      </w:r>
      <w:r w:rsidRPr="00687DE8">
        <w:rPr>
          <w:szCs w:val="24"/>
        </w:rPr>
        <w:t>nimetatud eksper</w:t>
      </w:r>
      <w:r w:rsidR="004878A2" w:rsidRPr="00687DE8">
        <w:rPr>
          <w:szCs w:val="24"/>
        </w:rPr>
        <w:t>di</w:t>
      </w:r>
      <w:r w:rsidRPr="00687DE8">
        <w:rPr>
          <w:szCs w:val="24"/>
        </w:rPr>
        <w:t xml:space="preserve">komisjoni hinnangul urtikaaria ravi tulemused märkimisväärselt paranenud </w:t>
      </w:r>
      <w:r w:rsidR="00EC6D49" w:rsidRPr="00687DE8">
        <w:rPr>
          <w:szCs w:val="24"/>
        </w:rPr>
        <w:t>(UAS7 muutus vähem kui 11 punkti või AAS7 muutus vähem kui 8 punkti)</w:t>
      </w:r>
      <w:r w:rsidR="00376CD7" w:rsidRPr="00687DE8">
        <w:rPr>
          <w:szCs w:val="24"/>
        </w:rPr>
        <w:t xml:space="preserve"> </w:t>
      </w:r>
      <w:r w:rsidRPr="00687DE8">
        <w:rPr>
          <w:szCs w:val="24"/>
        </w:rPr>
        <w:t>võrreldes ravieelse perioodiga.</w:t>
      </w:r>
      <w:r w:rsidR="00EC6D49" w:rsidRPr="00687DE8">
        <w:rPr>
          <w:szCs w:val="24"/>
        </w:rPr>
        <w:t xml:space="preserve"> </w:t>
      </w:r>
    </w:p>
    <w:p w14:paraId="29F3F944" w14:textId="77777777" w:rsidR="00976487" w:rsidRPr="00687DE8" w:rsidRDefault="00976487" w:rsidP="00976487">
      <w:pPr>
        <w:spacing w:after="0" w:line="240" w:lineRule="auto"/>
        <w:jc w:val="both"/>
        <w:divId w:val="1316184749"/>
        <w:rPr>
          <w:szCs w:val="24"/>
        </w:rPr>
      </w:pPr>
    </w:p>
    <w:p w14:paraId="0FAE7940" w14:textId="3A41B9BD" w:rsidR="00976487" w:rsidRPr="00687DE8" w:rsidRDefault="00976487" w:rsidP="00334F99">
      <w:pPr>
        <w:pStyle w:val="Vahedeta"/>
        <w:jc w:val="both"/>
        <w:divId w:val="1316184749"/>
        <w:rPr>
          <w:szCs w:val="24"/>
          <w:lang w:val="et-EE"/>
        </w:rPr>
      </w:pPr>
      <w:r w:rsidRPr="00687DE8">
        <w:rPr>
          <w:szCs w:val="24"/>
          <w:lang w:val="et-EE"/>
        </w:rPr>
        <w:lastRenderedPageBreak/>
        <w:t>(</w:t>
      </w:r>
      <w:r w:rsidR="000B6EE4" w:rsidRPr="00687DE8">
        <w:rPr>
          <w:szCs w:val="24"/>
          <w:lang w:val="et-EE"/>
        </w:rPr>
        <w:t>3</w:t>
      </w:r>
      <w:r w:rsidR="33B35558" w:rsidRPr="62848EB8">
        <w:rPr>
          <w:lang w:val="et-EE"/>
        </w:rPr>
        <w:t>5</w:t>
      </w:r>
      <w:r w:rsidRPr="00687DE8">
        <w:rPr>
          <w:szCs w:val="24"/>
          <w:lang w:val="et-EE"/>
        </w:rPr>
        <w:t>) Ravi koodiga 247R tähistatud ravimiteenusega alustatakse vähemalt kolmest reumatoloogist koosneva eksper</w:t>
      </w:r>
      <w:r w:rsidR="006263F7" w:rsidRPr="00687DE8">
        <w:rPr>
          <w:szCs w:val="24"/>
          <w:lang w:val="et-EE"/>
        </w:rPr>
        <w:t>di</w:t>
      </w:r>
      <w:r w:rsidRPr="00687DE8">
        <w:rPr>
          <w:szCs w:val="24"/>
          <w:lang w:val="et-EE"/>
        </w:rPr>
        <w:t>komisjoni otsuse alusel, kui hiidrakuline arteriit on tõendatud biopsia ja/või piltdiagnostikaga ning on täidetud üks järgmistest tingimustest:</w:t>
      </w:r>
    </w:p>
    <w:p w14:paraId="336E5408" w14:textId="77777777" w:rsidR="00976487" w:rsidRPr="00687DE8" w:rsidRDefault="00976487" w:rsidP="00A572B5">
      <w:pPr>
        <w:spacing w:after="0" w:line="240" w:lineRule="auto"/>
        <w:jc w:val="both"/>
        <w:divId w:val="1316184749"/>
        <w:rPr>
          <w:szCs w:val="24"/>
        </w:rPr>
      </w:pPr>
      <w:r w:rsidRPr="00687DE8">
        <w:rPr>
          <w:szCs w:val="24"/>
        </w:rPr>
        <w:t>1) patsiendil on ravirefraktaarne hiidrakuline arteriit: vaatamata ü</w:t>
      </w:r>
      <w:r w:rsidR="00286E8A" w:rsidRPr="00687DE8">
        <w:rPr>
          <w:szCs w:val="24"/>
        </w:rPr>
        <w:t>he</w:t>
      </w:r>
      <w:r w:rsidRPr="00687DE8">
        <w:rPr>
          <w:szCs w:val="24"/>
        </w:rPr>
        <w:t xml:space="preserve"> kuu kestnud optimaalsele standardravile glükokortikosteroidide maksimaalsete lubatud annustega ei saavutata remissiooni või on glükokortikosteroidravi suure tüsistuste riski tõttu vastunäidustatud;</w:t>
      </w:r>
    </w:p>
    <w:p w14:paraId="2A9A9132" w14:textId="77777777" w:rsidR="00976487" w:rsidRPr="00687DE8" w:rsidRDefault="00976487" w:rsidP="00334F99">
      <w:pPr>
        <w:spacing w:after="0" w:line="240" w:lineRule="auto"/>
        <w:jc w:val="both"/>
        <w:divId w:val="1316184749"/>
        <w:rPr>
          <w:szCs w:val="24"/>
        </w:rPr>
      </w:pPr>
      <w:r w:rsidRPr="00687DE8">
        <w:rPr>
          <w:szCs w:val="24"/>
        </w:rPr>
        <w:t xml:space="preserve">2) patsiendil on taastekkiv hiidrakuline arteriit: kindel ja tõendatud haigustunnuste või isheemiliste komplikatsioonide taastekkimine koos põletikumarkerite tõusuga </w:t>
      </w:r>
      <w:r w:rsidR="00286E8A" w:rsidRPr="00687DE8">
        <w:rPr>
          <w:szCs w:val="24"/>
        </w:rPr>
        <w:t>varem</w:t>
      </w:r>
      <w:r w:rsidR="00670F48" w:rsidRPr="00687DE8">
        <w:rPr>
          <w:szCs w:val="24"/>
        </w:rPr>
        <w:t xml:space="preserve"> </w:t>
      </w:r>
      <w:r w:rsidRPr="00687DE8">
        <w:rPr>
          <w:szCs w:val="24"/>
        </w:rPr>
        <w:t>hästi toiminud glükokortikosteroidravi foonil.</w:t>
      </w:r>
    </w:p>
    <w:p w14:paraId="417E288C" w14:textId="77777777" w:rsidR="00976487" w:rsidRPr="00687DE8" w:rsidRDefault="00976487" w:rsidP="00334F99">
      <w:pPr>
        <w:spacing w:after="0" w:line="240" w:lineRule="auto"/>
        <w:jc w:val="both"/>
        <w:divId w:val="1316184749"/>
        <w:rPr>
          <w:szCs w:val="24"/>
        </w:rPr>
      </w:pPr>
    </w:p>
    <w:p w14:paraId="1FE65FD9" w14:textId="067F55AA" w:rsidR="00976487" w:rsidRPr="00687DE8" w:rsidRDefault="00976487" w:rsidP="00334F99">
      <w:pPr>
        <w:spacing w:after="0" w:line="240" w:lineRule="auto"/>
        <w:jc w:val="both"/>
        <w:divId w:val="1316184749"/>
        <w:rPr>
          <w:szCs w:val="24"/>
        </w:rPr>
      </w:pPr>
      <w:r w:rsidRPr="00687DE8">
        <w:rPr>
          <w:szCs w:val="24"/>
        </w:rPr>
        <w:t>(</w:t>
      </w:r>
      <w:r w:rsidR="00A2176D" w:rsidRPr="00687DE8">
        <w:rPr>
          <w:szCs w:val="24"/>
        </w:rPr>
        <w:t>3</w:t>
      </w:r>
      <w:r w:rsidR="2F97086F" w:rsidRPr="62848EB8">
        <w:t>6</w:t>
      </w:r>
      <w:r w:rsidRPr="00687DE8">
        <w:rPr>
          <w:szCs w:val="24"/>
        </w:rPr>
        <w:t xml:space="preserve">) </w:t>
      </w:r>
      <w:r w:rsidRPr="00687DE8">
        <w:rPr>
          <w:szCs w:val="24"/>
          <w:shd w:val="clear" w:color="auto" w:fill="FFFFFF"/>
        </w:rPr>
        <w:t xml:space="preserve">Ravi koodiga 247R tähistatud ravimiteenusega lõpetatakse juhul, kui 12 nädala möödumisel bioloogilise ravi alustamisest ei ole </w:t>
      </w:r>
      <w:r w:rsidRPr="00687DE8">
        <w:rPr>
          <w:szCs w:val="24"/>
        </w:rPr>
        <w:t>saavutatud positiivset dünaamikat põletikumarkerites ja/või kliinilist paranemist.</w:t>
      </w:r>
    </w:p>
    <w:p w14:paraId="63F7CB44" w14:textId="77777777" w:rsidR="00976487" w:rsidRPr="00687DE8" w:rsidRDefault="00976487" w:rsidP="00334F99">
      <w:pPr>
        <w:spacing w:after="0" w:line="240" w:lineRule="auto"/>
        <w:jc w:val="both"/>
        <w:divId w:val="1316184749"/>
        <w:rPr>
          <w:szCs w:val="24"/>
        </w:rPr>
      </w:pPr>
    </w:p>
    <w:p w14:paraId="62046A15" w14:textId="5E06119B" w:rsidR="00CA02A1" w:rsidRPr="00687DE8" w:rsidRDefault="00CA02A1" w:rsidP="00CA02A1">
      <w:pPr>
        <w:pStyle w:val="Vahedeta"/>
        <w:jc w:val="both"/>
        <w:rPr>
          <w:szCs w:val="24"/>
          <w:lang w:val="et-EE"/>
        </w:rPr>
      </w:pPr>
      <w:r w:rsidRPr="00687DE8">
        <w:rPr>
          <w:szCs w:val="24"/>
          <w:lang w:val="et-EE"/>
        </w:rPr>
        <w:t>(</w:t>
      </w:r>
      <w:r w:rsidR="00621ED6" w:rsidRPr="00687DE8">
        <w:rPr>
          <w:szCs w:val="24"/>
          <w:lang w:val="et-EE"/>
        </w:rPr>
        <w:t>3</w:t>
      </w:r>
      <w:r w:rsidR="258C5436" w:rsidRPr="62848EB8">
        <w:rPr>
          <w:lang w:val="et-EE"/>
        </w:rPr>
        <w:t>7</w:t>
      </w:r>
      <w:r w:rsidRPr="00687DE8">
        <w:rPr>
          <w:szCs w:val="24"/>
          <w:lang w:val="et-EE"/>
        </w:rPr>
        <w:t xml:space="preserve">) </w:t>
      </w:r>
      <w:r w:rsidR="005023FD" w:rsidRPr="00687DE8">
        <w:rPr>
          <w:szCs w:val="24"/>
          <w:lang w:val="et-EE"/>
        </w:rPr>
        <w:t>Tervisekassa</w:t>
      </w:r>
      <w:r w:rsidRPr="00687DE8">
        <w:rPr>
          <w:szCs w:val="24"/>
          <w:lang w:val="et-EE"/>
        </w:rPr>
        <w:t xml:space="preserve"> võtab koodiga 270R tähistatud ravimiteenuse eest tasu maksmise kohustuse üle 12-aastaselt ja vanemalt patsiendilt päriliku angioödeemi (HAE – </w:t>
      </w:r>
      <w:r w:rsidRPr="00687DE8">
        <w:rPr>
          <w:i/>
          <w:szCs w:val="24"/>
          <w:lang w:val="et-EE"/>
        </w:rPr>
        <w:t>hereditary angioedema</w:t>
      </w:r>
      <w:r w:rsidRPr="00687DE8">
        <w:rPr>
          <w:szCs w:val="24"/>
          <w:lang w:val="et-EE"/>
        </w:rPr>
        <w:t>, tüüp 1 või 2) hoogude rutiinseks ärahoidmiseks juhul, kui patsiendil esineb ≥ </w:t>
      </w:r>
      <w:r w:rsidR="12319836" w:rsidRPr="00687DE8">
        <w:rPr>
          <w:szCs w:val="24"/>
          <w:lang w:val="et-EE"/>
        </w:rPr>
        <w:t>2</w:t>
      </w:r>
      <w:r w:rsidRPr="00687DE8">
        <w:rPr>
          <w:szCs w:val="24"/>
          <w:lang w:val="et-EE"/>
        </w:rPr>
        <w:t xml:space="preserve"> kliiniliselt olulist akuutset ravi vajavat haigushoogu kuus või kui patsient vajab koodiga 285R tähistatud ravimiteenusega ravi C1-inhibiitoriga rohkem kui 1500 toimeühikut päevaannuses. </w:t>
      </w:r>
    </w:p>
    <w:p w14:paraId="5E669CAA" w14:textId="77777777" w:rsidR="38D373DA" w:rsidRPr="00687DE8" w:rsidRDefault="38D373DA" w:rsidP="00CA02A1">
      <w:pPr>
        <w:pStyle w:val="Vahedeta"/>
        <w:jc w:val="both"/>
        <w:rPr>
          <w:color w:val="000000" w:themeColor="text1"/>
          <w:szCs w:val="24"/>
          <w:lang w:val="et-EE"/>
        </w:rPr>
      </w:pPr>
    </w:p>
    <w:p w14:paraId="21951B53" w14:textId="29DE3FA7" w:rsidR="00063D3C" w:rsidRPr="00687DE8" w:rsidRDefault="00063D3C" w:rsidP="00CA02A1">
      <w:pPr>
        <w:spacing w:after="0" w:line="240" w:lineRule="auto"/>
        <w:jc w:val="both"/>
        <w:divId w:val="1316184749"/>
        <w:rPr>
          <w:color w:val="000000" w:themeColor="text1"/>
          <w:szCs w:val="24"/>
        </w:rPr>
      </w:pPr>
      <w:r w:rsidRPr="00687DE8">
        <w:rPr>
          <w:color w:val="000000" w:themeColor="text1"/>
          <w:szCs w:val="24"/>
        </w:rPr>
        <w:t>(</w:t>
      </w:r>
      <w:r w:rsidR="4DD2D2DD" w:rsidRPr="62848EB8">
        <w:rPr>
          <w:color w:val="000000" w:themeColor="text1"/>
        </w:rPr>
        <w:t>38</w:t>
      </w:r>
      <w:r w:rsidRPr="00687DE8">
        <w:rPr>
          <w:color w:val="000000" w:themeColor="text1"/>
          <w:szCs w:val="24"/>
        </w:rPr>
        <w:t>) Profülaktilist ravi koodiga 270R tähistatud ravimiteenusega alustatakse juhul, kui raviotsuse on teinud eksperdikomisjon, millesse kuulub kolm HAE-ravi kogemusega spetsialisti, kellest kaks on allergoloog-immunoloogid, ning ravivastust hinnatakse kolm kuud pärast ravi alustamist, seejärel iga kuue kuu tagant.</w:t>
      </w:r>
    </w:p>
    <w:p w14:paraId="7045F267" w14:textId="77777777" w:rsidR="00063D3C" w:rsidRPr="00687DE8" w:rsidRDefault="00063D3C" w:rsidP="00063D3C">
      <w:pPr>
        <w:spacing w:after="0" w:line="240" w:lineRule="auto"/>
        <w:jc w:val="both"/>
        <w:divId w:val="1316184749"/>
        <w:rPr>
          <w:color w:val="000000" w:themeColor="text1"/>
          <w:szCs w:val="24"/>
        </w:rPr>
      </w:pPr>
    </w:p>
    <w:p w14:paraId="46713C8C" w14:textId="4E3CA310" w:rsidR="00063D3C" w:rsidRPr="00687DE8" w:rsidRDefault="00063D3C" w:rsidP="00063D3C">
      <w:pPr>
        <w:spacing w:after="0" w:line="240" w:lineRule="auto"/>
        <w:jc w:val="both"/>
        <w:divId w:val="1316184749"/>
        <w:rPr>
          <w:color w:val="000000" w:themeColor="text1"/>
          <w:szCs w:val="24"/>
        </w:rPr>
      </w:pPr>
      <w:r w:rsidRPr="00687DE8">
        <w:rPr>
          <w:color w:val="000000" w:themeColor="text1"/>
          <w:szCs w:val="24"/>
        </w:rPr>
        <w:t>(</w:t>
      </w:r>
      <w:r w:rsidR="1A43501C" w:rsidRPr="62848EB8">
        <w:rPr>
          <w:color w:val="000000" w:themeColor="text1"/>
        </w:rPr>
        <w:t>39</w:t>
      </w:r>
      <w:r w:rsidRPr="00687DE8">
        <w:rPr>
          <w:color w:val="000000" w:themeColor="text1"/>
          <w:szCs w:val="24"/>
        </w:rPr>
        <w:t>) Ravi koodiga 270R tähistatud ravimiteenusega lõpetatakse, kui ravi on ebaefektiivne (akuutsete atakkide arv ei vähene või suureneb võrreldes patsiendi ravieelsete atakkide arvuga).</w:t>
      </w:r>
    </w:p>
    <w:p w14:paraId="012CACB1" w14:textId="77777777" w:rsidR="00063D3C" w:rsidRPr="00687DE8" w:rsidRDefault="00063D3C" w:rsidP="00063D3C">
      <w:pPr>
        <w:spacing w:after="0" w:line="240" w:lineRule="auto"/>
        <w:jc w:val="both"/>
        <w:divId w:val="1316184749"/>
        <w:rPr>
          <w:color w:val="000000" w:themeColor="text1"/>
          <w:szCs w:val="24"/>
        </w:rPr>
      </w:pPr>
    </w:p>
    <w:p w14:paraId="29E9B002" w14:textId="07487BE6" w:rsidR="00063D3C" w:rsidRPr="00687DE8" w:rsidRDefault="00063D3C" w:rsidP="00063D3C">
      <w:pPr>
        <w:spacing w:after="0" w:line="240" w:lineRule="auto"/>
        <w:jc w:val="both"/>
        <w:divId w:val="1316184749"/>
        <w:rPr>
          <w:color w:val="000000" w:themeColor="text1"/>
        </w:rPr>
      </w:pPr>
      <w:r w:rsidRPr="7BB6FF69">
        <w:rPr>
          <w:color w:val="000000" w:themeColor="text1"/>
        </w:rPr>
        <w:t>(</w:t>
      </w:r>
      <w:r w:rsidR="0030565F" w:rsidRPr="62848EB8">
        <w:rPr>
          <w:color w:val="000000" w:themeColor="text1"/>
        </w:rPr>
        <w:t>4</w:t>
      </w:r>
      <w:r w:rsidR="4FAAC730" w:rsidRPr="62848EB8">
        <w:rPr>
          <w:color w:val="000000" w:themeColor="text1"/>
        </w:rPr>
        <w:t>0</w:t>
      </w:r>
      <w:r w:rsidRPr="7BB6FF69">
        <w:rPr>
          <w:color w:val="000000" w:themeColor="text1"/>
        </w:rPr>
        <w:t xml:space="preserve">) </w:t>
      </w:r>
      <w:r w:rsidR="005023FD" w:rsidRPr="7BB6FF69">
        <w:rPr>
          <w:color w:val="000000" w:themeColor="text1"/>
        </w:rPr>
        <w:t>Tervisekassa</w:t>
      </w:r>
      <w:r w:rsidRPr="7BB6FF69">
        <w:rPr>
          <w:color w:val="000000" w:themeColor="text1"/>
        </w:rPr>
        <w:t xml:space="preserve"> võtab koodiga 270R tähistatud ravimiteenuse eest tasu maksmise kohustuse üle maksimaalselt 13 korra eest patsiendi kohta kalendriaastas.</w:t>
      </w:r>
    </w:p>
    <w:p w14:paraId="4D0264BC" w14:textId="6445720E" w:rsidR="7BB6FF69" w:rsidRDefault="7BB6FF69" w:rsidP="7BB6FF69">
      <w:pPr>
        <w:spacing w:after="0" w:line="240" w:lineRule="auto"/>
        <w:jc w:val="both"/>
        <w:rPr>
          <w:color w:val="000000" w:themeColor="text1"/>
        </w:rPr>
      </w:pPr>
    </w:p>
    <w:p w14:paraId="1355ECBE" w14:textId="39A6BB2A" w:rsidR="67F7B669" w:rsidRDefault="67F7B669" w:rsidP="115EA6A5">
      <w:pPr>
        <w:spacing w:line="257" w:lineRule="auto"/>
        <w:jc w:val="both"/>
        <w:rPr>
          <w:rFonts w:eastAsia="Calibri"/>
        </w:rPr>
      </w:pPr>
      <w:r w:rsidRPr="115EA6A5">
        <w:rPr>
          <w:color w:val="000000" w:themeColor="text1"/>
        </w:rPr>
        <w:t>(4</w:t>
      </w:r>
      <w:r w:rsidR="28C8E036" w:rsidRPr="62848EB8">
        <w:rPr>
          <w:color w:val="000000" w:themeColor="text1"/>
        </w:rPr>
        <w:t>1</w:t>
      </w:r>
      <w:r w:rsidRPr="115EA6A5">
        <w:rPr>
          <w:color w:val="000000" w:themeColor="text1"/>
        </w:rPr>
        <w:t xml:space="preserve">) </w:t>
      </w:r>
      <w:r w:rsidRPr="007C054E">
        <w:rPr>
          <w:rFonts w:eastAsia="Calibri"/>
        </w:rPr>
        <w:t xml:space="preserve">Tervisekassa võtab koodiga </w:t>
      </w:r>
      <w:r>
        <w:t>462</w:t>
      </w:r>
      <w:r w:rsidRPr="007C054E">
        <w:rPr>
          <w:rFonts w:eastAsia="Calibri"/>
        </w:rPr>
        <w:t xml:space="preserve">R tähistatud ravimiteenuse eest tasu maksmise kohustuse üle süsteemse erütematoosse luupuse raviks patsiendilt, kellel ravi rituksimabiga on meditsiiniliselt vastunäidustatud või esinevad </w:t>
      </w:r>
      <w:r w:rsidR="3E053A93" w:rsidRPr="007C054E">
        <w:rPr>
          <w:rFonts w:eastAsia="Calibri"/>
        </w:rPr>
        <w:t>rituksimabivastased</w:t>
      </w:r>
      <w:r w:rsidRPr="007C054E">
        <w:rPr>
          <w:rFonts w:eastAsia="Calibri"/>
        </w:rPr>
        <w:t xml:space="preserve"> antikehad.</w:t>
      </w:r>
    </w:p>
    <w:p w14:paraId="40DE84A6" w14:textId="0A4AD0B8" w:rsidR="00A55E66" w:rsidRPr="007C054E" w:rsidRDefault="00A55E66" w:rsidP="115EA6A5">
      <w:pPr>
        <w:spacing w:line="257" w:lineRule="auto"/>
        <w:jc w:val="both"/>
        <w:rPr>
          <w:rFonts w:eastAsia="Calibri"/>
          <w:i/>
        </w:rPr>
      </w:pPr>
      <w:r>
        <w:rPr>
          <w:rFonts w:eastAsia="Calibri"/>
        </w:rPr>
        <w:t xml:space="preserve">(42) Tervisekassa võtab koodiga 463R tähistatud ravimiteenuse eest tasu maksmise kohustuse üle </w:t>
      </w:r>
      <w:r w:rsidR="001D714A" w:rsidRPr="001D714A">
        <w:rPr>
          <w:rFonts w:eastAsia="Calibri"/>
        </w:rPr>
        <w:t>reumaatilise polümüalgia</w:t>
      </w:r>
      <w:r w:rsidR="00EC22EE">
        <w:rPr>
          <w:rFonts w:eastAsia="Calibri"/>
        </w:rPr>
        <w:t xml:space="preserve"> (</w:t>
      </w:r>
      <w:r w:rsidR="004A27B4" w:rsidRPr="004A27B4">
        <w:rPr>
          <w:rFonts w:eastAsia="Calibri"/>
        </w:rPr>
        <w:t xml:space="preserve">RHK 10 kood </w:t>
      </w:r>
      <w:r w:rsidR="004A27B4">
        <w:rPr>
          <w:rFonts w:eastAsia="Calibri"/>
        </w:rPr>
        <w:t>M35.3</w:t>
      </w:r>
      <w:r w:rsidR="00EC22EE">
        <w:rPr>
          <w:rFonts w:eastAsia="Calibri"/>
        </w:rPr>
        <w:t>)</w:t>
      </w:r>
      <w:r w:rsidR="001D714A" w:rsidRPr="001D714A">
        <w:rPr>
          <w:rFonts w:eastAsia="Calibri"/>
        </w:rPr>
        <w:t xml:space="preserve"> raviks </w:t>
      </w:r>
      <w:r w:rsidR="00BB0D5D" w:rsidRPr="0E9F8525">
        <w:rPr>
          <w:rFonts w:eastAsia="Calibri"/>
        </w:rPr>
        <w:t>patsien</w:t>
      </w:r>
      <w:r w:rsidR="19197BAE" w:rsidRPr="0E9F8525">
        <w:rPr>
          <w:rFonts w:eastAsia="Calibri"/>
        </w:rPr>
        <w:t>dilt</w:t>
      </w:r>
      <w:r w:rsidR="00BB0D5D">
        <w:rPr>
          <w:rFonts w:eastAsia="Calibri"/>
        </w:rPr>
        <w:t>, kelle</w:t>
      </w:r>
      <w:r w:rsidR="001D714A" w:rsidRPr="001D714A">
        <w:rPr>
          <w:rFonts w:eastAsia="Calibri"/>
        </w:rPr>
        <w:t xml:space="preserve"> haigus ei allu </w:t>
      </w:r>
      <w:r w:rsidR="242A5E3E" w:rsidRPr="7DCE4520">
        <w:rPr>
          <w:rFonts w:eastAsia="Calibri"/>
        </w:rPr>
        <w:t>või ägeneb</w:t>
      </w:r>
      <w:r w:rsidR="001D714A" w:rsidRPr="22152E4A">
        <w:rPr>
          <w:rFonts w:eastAsia="Calibri"/>
        </w:rPr>
        <w:t xml:space="preserve"> </w:t>
      </w:r>
      <w:r w:rsidR="42FB6B3B" w:rsidRPr="73F1179D">
        <w:rPr>
          <w:rFonts w:eastAsia="Calibri"/>
        </w:rPr>
        <w:t>minimaalselt neljanädalase</w:t>
      </w:r>
      <w:r w:rsidR="001D714A" w:rsidRPr="73F1179D">
        <w:rPr>
          <w:rFonts w:eastAsia="Calibri"/>
        </w:rPr>
        <w:t xml:space="preserve"> </w:t>
      </w:r>
      <w:r w:rsidR="00365861" w:rsidRPr="00365861">
        <w:rPr>
          <w:rFonts w:eastAsia="Calibri"/>
        </w:rPr>
        <w:t>glükokortikosteroidravi</w:t>
      </w:r>
      <w:r w:rsidR="001D714A" w:rsidRPr="001D714A">
        <w:rPr>
          <w:rFonts w:eastAsia="Calibri"/>
        </w:rPr>
        <w:t xml:space="preserve"> foonil või </w:t>
      </w:r>
      <w:r w:rsidR="00D653AC" w:rsidRPr="00D653AC">
        <w:rPr>
          <w:rFonts w:eastAsia="Calibri"/>
        </w:rPr>
        <w:t>glükokortikosteroidravi on vastunäidustatud</w:t>
      </w:r>
      <w:r w:rsidR="003B7462">
        <w:rPr>
          <w:rFonts w:eastAsia="Calibri"/>
        </w:rPr>
        <w:t xml:space="preserve">. </w:t>
      </w:r>
    </w:p>
    <w:p w14:paraId="05120EEE" w14:textId="1B7CFA26" w:rsidR="00063D3C" w:rsidRDefault="00F954ED" w:rsidP="00063D3C">
      <w:pPr>
        <w:spacing w:after="0" w:line="240" w:lineRule="auto"/>
        <w:jc w:val="both"/>
        <w:divId w:val="1316184749"/>
        <w:rPr>
          <w:color w:val="000000" w:themeColor="text1"/>
          <w:szCs w:val="24"/>
        </w:rPr>
      </w:pPr>
      <w:r>
        <w:rPr>
          <w:color w:val="000000" w:themeColor="text1"/>
        </w:rPr>
        <w:t xml:space="preserve">(43) </w:t>
      </w:r>
      <w:r w:rsidRPr="003B7462">
        <w:rPr>
          <w:rFonts w:eastAsia="Calibri"/>
        </w:rPr>
        <w:t xml:space="preserve">Ravi koodiga </w:t>
      </w:r>
      <w:r>
        <w:rPr>
          <w:rFonts w:eastAsia="Calibri"/>
        </w:rPr>
        <w:t>463</w:t>
      </w:r>
      <w:r w:rsidRPr="003B7462">
        <w:rPr>
          <w:rFonts w:eastAsia="Calibri"/>
        </w:rPr>
        <w:t>R tähistatud ravimiteenusega alustatakse vähemalt kolmest reumatoloogist koosneva eksperdikomisjoni otsuse alusel</w:t>
      </w:r>
      <w:r>
        <w:rPr>
          <w:rFonts w:eastAsia="Calibri"/>
        </w:rPr>
        <w:t xml:space="preserve">. </w:t>
      </w:r>
      <w:r w:rsidR="005E7EDB">
        <w:rPr>
          <w:rFonts w:eastAsia="Calibri"/>
        </w:rPr>
        <w:t>Ravi k</w:t>
      </w:r>
      <w:r>
        <w:rPr>
          <w:rFonts w:eastAsia="Calibri"/>
        </w:rPr>
        <w:t>oodiga 463R</w:t>
      </w:r>
      <w:r w:rsidR="005E7EDB">
        <w:rPr>
          <w:rFonts w:eastAsia="Calibri"/>
        </w:rPr>
        <w:t xml:space="preserve"> </w:t>
      </w:r>
      <w:r w:rsidR="005B3B9B">
        <w:rPr>
          <w:rFonts w:eastAsia="Calibri"/>
        </w:rPr>
        <w:t xml:space="preserve">tähistatud ravimiteenusega </w:t>
      </w:r>
      <w:r>
        <w:rPr>
          <w:rFonts w:eastAsia="Calibri"/>
        </w:rPr>
        <w:t xml:space="preserve">lõpetatakse, kui </w:t>
      </w:r>
      <w:r w:rsidRPr="00FE1ECF">
        <w:rPr>
          <w:rFonts w:eastAsia="Calibri"/>
        </w:rPr>
        <w:t>12 nädala möödumisel bioloogilise ravi alustamisest ei ole saavutatud positiivset dünaamikat põletikumarkerites ja/või kliinilist paranemist</w:t>
      </w:r>
      <w:r>
        <w:rPr>
          <w:rFonts w:eastAsia="Calibri"/>
        </w:rPr>
        <w:t>.</w:t>
      </w:r>
      <w:r w:rsidR="674CD335" w:rsidRPr="227AB250">
        <w:rPr>
          <w:rFonts w:eastAsia="Calibri"/>
        </w:rPr>
        <w:t xml:space="preserve"> </w:t>
      </w:r>
      <w:r w:rsidR="674CD335" w:rsidRPr="4E1D4A02">
        <w:rPr>
          <w:rFonts w:eastAsia="Calibri"/>
        </w:rPr>
        <w:t>Ühe patsiendi ravi</w:t>
      </w:r>
      <w:r w:rsidR="674CD335" w:rsidRPr="227AB250">
        <w:rPr>
          <w:rFonts w:eastAsia="Calibri"/>
        </w:rPr>
        <w:t xml:space="preserve"> koodiga 463R </w:t>
      </w:r>
      <w:r w:rsidR="674CD335" w:rsidRPr="4E1D4A02">
        <w:rPr>
          <w:rFonts w:eastAsia="Calibri"/>
        </w:rPr>
        <w:t>või</w:t>
      </w:r>
      <w:r w:rsidR="21383FAB" w:rsidRPr="4E1D4A02">
        <w:rPr>
          <w:rFonts w:eastAsia="Calibri"/>
        </w:rPr>
        <w:t xml:space="preserve">b </w:t>
      </w:r>
      <w:r w:rsidR="674CD335" w:rsidRPr="4E1D4A02">
        <w:rPr>
          <w:rFonts w:eastAsia="Calibri"/>
        </w:rPr>
        <w:t>kesta</w:t>
      </w:r>
      <w:r w:rsidR="674CD335" w:rsidRPr="227AB250">
        <w:rPr>
          <w:rFonts w:eastAsia="Calibri"/>
        </w:rPr>
        <w:t xml:space="preserve"> maksimaalselt kaks aastat.</w:t>
      </w:r>
    </w:p>
    <w:p w14:paraId="0F8AC431" w14:textId="77777777" w:rsidR="004B2EC4" w:rsidRPr="00687DE8" w:rsidRDefault="004B2EC4" w:rsidP="00063D3C">
      <w:pPr>
        <w:spacing w:after="0" w:line="240" w:lineRule="auto"/>
        <w:jc w:val="both"/>
        <w:divId w:val="1316184749"/>
        <w:rPr>
          <w:color w:val="000000" w:themeColor="text1"/>
          <w:szCs w:val="24"/>
        </w:rPr>
      </w:pPr>
    </w:p>
    <w:p w14:paraId="20D3630B" w14:textId="77777777" w:rsidR="00976487" w:rsidRDefault="00976487" w:rsidP="00976487">
      <w:pPr>
        <w:spacing w:after="0" w:line="240" w:lineRule="auto"/>
        <w:jc w:val="both"/>
        <w:outlineLvl w:val="2"/>
        <w:divId w:val="1316184749"/>
        <w:rPr>
          <w:b/>
          <w:szCs w:val="24"/>
        </w:rPr>
      </w:pPr>
      <w:r w:rsidRPr="00687DE8">
        <w:rPr>
          <w:b/>
          <w:szCs w:val="24"/>
        </w:rPr>
        <w:t>§ 6</w:t>
      </w:r>
      <w:r w:rsidR="00FD5122" w:rsidRPr="00687DE8">
        <w:rPr>
          <w:b/>
          <w:szCs w:val="24"/>
        </w:rPr>
        <w:t>3</w:t>
      </w:r>
      <w:r w:rsidRPr="00687DE8">
        <w:rPr>
          <w:b/>
          <w:szCs w:val="24"/>
        </w:rPr>
        <w:t>. Tervishoiuteenuste osutamisel kasutatavad kemoteraapiakuurid</w:t>
      </w:r>
    </w:p>
    <w:p w14:paraId="4DFAB739" w14:textId="77777777" w:rsidR="001B326D" w:rsidRDefault="001B326D" w:rsidP="00976487">
      <w:pPr>
        <w:spacing w:after="0" w:line="240" w:lineRule="auto"/>
        <w:jc w:val="both"/>
        <w:divId w:val="1316184749"/>
        <w:rPr>
          <w:szCs w:val="24"/>
        </w:rPr>
      </w:pPr>
    </w:p>
    <w:p w14:paraId="688B5D05" w14:textId="07D6940F" w:rsidR="00976487" w:rsidRPr="00687DE8" w:rsidRDefault="00976487" w:rsidP="00976487">
      <w:pPr>
        <w:spacing w:after="0" w:line="240" w:lineRule="auto"/>
        <w:jc w:val="both"/>
        <w:divId w:val="1316184749"/>
        <w:rPr>
          <w:szCs w:val="24"/>
        </w:rPr>
      </w:pPr>
      <w:r w:rsidRPr="00687DE8">
        <w:rPr>
          <w:szCs w:val="24"/>
        </w:rPr>
        <w:t>(1) Tervishoiuteenuse osutamisel kasutatavate kemoteraapiakuuride piirhinnad on järgmised:</w:t>
      </w:r>
    </w:p>
    <w:p w14:paraId="457C7DF7" w14:textId="77777777" w:rsidR="00976487" w:rsidRPr="00687DE8" w:rsidRDefault="00976487" w:rsidP="00976487">
      <w:pPr>
        <w:spacing w:after="0" w:line="240" w:lineRule="auto"/>
        <w:jc w:val="both"/>
        <w:divId w:val="1316184749"/>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276"/>
        <w:gridCol w:w="1985"/>
      </w:tblGrid>
      <w:tr w:rsidR="00976487" w:rsidRPr="00687DE8" w14:paraId="7DEEEFC0" w14:textId="77777777" w:rsidTr="4536FD26">
        <w:trPr>
          <w:divId w:val="1316184749"/>
          <w:tblHeader/>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F95987" w14:textId="77777777" w:rsidR="00976487" w:rsidRPr="00687DE8" w:rsidRDefault="00976487">
            <w:pPr>
              <w:spacing w:after="0" w:line="240" w:lineRule="auto"/>
              <w:jc w:val="center"/>
              <w:rPr>
                <w:szCs w:val="24"/>
              </w:rPr>
            </w:pPr>
            <w:r w:rsidRPr="00687DE8">
              <w:rPr>
                <w:b/>
                <w:bCs/>
                <w:szCs w:val="24"/>
              </w:rPr>
              <w:t>Ravimi nimetus</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EC5FFE" w14:textId="77777777" w:rsidR="00976487" w:rsidRPr="00687DE8" w:rsidRDefault="00976487">
            <w:pPr>
              <w:spacing w:after="0" w:line="240" w:lineRule="auto"/>
              <w:jc w:val="center"/>
              <w:rPr>
                <w:szCs w:val="24"/>
              </w:rPr>
            </w:pPr>
            <w:r w:rsidRPr="00687DE8">
              <w:rPr>
                <w:b/>
                <w:bCs/>
                <w:szCs w:val="24"/>
              </w:rPr>
              <w:t>Kood</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2B65D8" w14:textId="77777777" w:rsidR="00976487" w:rsidRPr="00687DE8" w:rsidRDefault="00976487" w:rsidP="001B58FF">
            <w:pPr>
              <w:tabs>
                <w:tab w:val="decimal" w:pos="635"/>
              </w:tabs>
              <w:spacing w:after="0" w:line="240" w:lineRule="auto"/>
              <w:jc w:val="center"/>
              <w:rPr>
                <w:szCs w:val="24"/>
              </w:rPr>
            </w:pPr>
            <w:r w:rsidRPr="00687DE8">
              <w:rPr>
                <w:b/>
                <w:bCs/>
                <w:szCs w:val="24"/>
              </w:rPr>
              <w:t>Piirhind</w:t>
            </w:r>
            <w:r w:rsidRPr="00687DE8">
              <w:rPr>
                <w:b/>
                <w:bCs/>
                <w:szCs w:val="24"/>
              </w:rPr>
              <w:br/>
              <w:t>eurodes</w:t>
            </w:r>
          </w:p>
        </w:tc>
      </w:tr>
      <w:tr w:rsidR="00976487" w:rsidRPr="00687DE8" w14:paraId="03A7EAEE" w14:textId="77777777" w:rsidTr="4536FD26">
        <w:trPr>
          <w:divId w:val="1316184749"/>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708240" w14:textId="77777777" w:rsidR="00976487" w:rsidRPr="00687DE8" w:rsidRDefault="00976487">
            <w:pPr>
              <w:spacing w:after="0" w:line="240" w:lineRule="auto"/>
              <w:rPr>
                <w:szCs w:val="24"/>
              </w:rPr>
            </w:pPr>
            <w:r w:rsidRPr="00687DE8">
              <w:rPr>
                <w:szCs w:val="24"/>
              </w:rPr>
              <w:t>Ägeda müeloidleukeemia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41A180" w14:textId="77777777" w:rsidR="00976487" w:rsidRPr="00687DE8" w:rsidRDefault="00976487">
            <w:pPr>
              <w:spacing w:after="0" w:line="240" w:lineRule="auto"/>
              <w:jc w:val="center"/>
              <w:rPr>
                <w:szCs w:val="24"/>
              </w:rPr>
            </w:pPr>
            <w:r w:rsidRPr="00687DE8">
              <w:rPr>
                <w:szCs w:val="24"/>
              </w:rPr>
              <w:t>305R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DD7396" w14:textId="755FB6C9" w:rsidR="00976487" w:rsidRPr="00687DE8" w:rsidRDefault="0044700D" w:rsidP="001B58FF">
            <w:pPr>
              <w:tabs>
                <w:tab w:val="decimal" w:pos="635"/>
              </w:tabs>
              <w:spacing w:after="0" w:line="240" w:lineRule="auto"/>
              <w:jc w:val="center"/>
            </w:pPr>
            <w:r>
              <w:rPr>
                <w:color w:val="000000"/>
              </w:rPr>
              <w:t>1 242,39</w:t>
            </w:r>
          </w:p>
        </w:tc>
      </w:tr>
      <w:tr w:rsidR="15B16700" w14:paraId="2AA6EC13"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C98E7A" w14:textId="30CC56B4" w:rsidR="15B16700" w:rsidRDefault="1C2A0E54" w:rsidP="15B16700">
            <w:pPr>
              <w:spacing w:line="240" w:lineRule="auto"/>
            </w:pPr>
            <w:r>
              <w:t>Ägeda müeloidleukeemia kemoteraapiakuur liposomaalse daunorubitsiini ja tsütarabiini fikseeritud kombinatsiooniga, üks viaal</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59AE82" w14:textId="77777777" w:rsidR="00390B88" w:rsidRDefault="00390B88" w:rsidP="00390B88">
            <w:pPr>
              <w:spacing w:line="240" w:lineRule="auto"/>
              <w:jc w:val="center"/>
            </w:pPr>
          </w:p>
          <w:p w14:paraId="10A74A46" w14:textId="0C88BAC3" w:rsidR="15B16700" w:rsidRDefault="3E707AD5" w:rsidP="00390B88">
            <w:pPr>
              <w:spacing w:line="240" w:lineRule="auto"/>
              <w:jc w:val="center"/>
            </w:pPr>
            <w:r>
              <w:t>437</w:t>
            </w:r>
            <w:r w:rsidR="1C2A0E54">
              <w:t>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BEEBCE" w14:textId="73F43D5E" w:rsidR="15B16700" w:rsidRDefault="0044700D" w:rsidP="001B58FF">
            <w:pPr>
              <w:spacing w:line="240" w:lineRule="auto"/>
              <w:jc w:val="center"/>
            </w:pPr>
            <w:r>
              <w:rPr>
                <w:color w:val="000000"/>
              </w:rPr>
              <w:t>4 372,42</w:t>
            </w:r>
          </w:p>
        </w:tc>
      </w:tr>
      <w:tr w:rsidR="00976487" w:rsidRPr="00687DE8" w14:paraId="12D259B9" w14:textId="77777777" w:rsidTr="4536FD26">
        <w:trPr>
          <w:divId w:val="1316184749"/>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EC7118" w14:textId="77777777" w:rsidR="00976487" w:rsidRPr="00687DE8" w:rsidRDefault="00976487">
            <w:pPr>
              <w:spacing w:after="0" w:line="240" w:lineRule="auto"/>
              <w:rPr>
                <w:szCs w:val="24"/>
              </w:rPr>
            </w:pPr>
            <w:r w:rsidRPr="00687DE8">
              <w:rPr>
                <w:szCs w:val="24"/>
              </w:rPr>
              <w:t>Ägeda lümfoidse leukeemia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BB8E3F" w14:textId="77777777" w:rsidR="00976487" w:rsidRPr="00687DE8" w:rsidRDefault="00976487">
            <w:pPr>
              <w:spacing w:after="0" w:line="240" w:lineRule="auto"/>
              <w:jc w:val="center"/>
              <w:rPr>
                <w:szCs w:val="24"/>
              </w:rPr>
            </w:pPr>
            <w:r w:rsidRPr="00687DE8">
              <w:rPr>
                <w:szCs w:val="24"/>
              </w:rPr>
              <w:t>306R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4CC945" w14:textId="7BE34531" w:rsidR="00976487" w:rsidRPr="00687DE8" w:rsidRDefault="0044700D" w:rsidP="001B58FF">
            <w:pPr>
              <w:tabs>
                <w:tab w:val="decimal" w:pos="635"/>
              </w:tabs>
              <w:spacing w:after="0" w:line="240" w:lineRule="auto"/>
              <w:jc w:val="center"/>
            </w:pPr>
            <w:r>
              <w:rPr>
                <w:color w:val="000000"/>
              </w:rPr>
              <w:t>3 567,11</w:t>
            </w:r>
          </w:p>
        </w:tc>
      </w:tr>
      <w:tr w:rsidR="00976487" w:rsidRPr="00687DE8" w14:paraId="66411BC2" w14:textId="77777777" w:rsidTr="4536FD26">
        <w:trPr>
          <w:divId w:val="1316184749"/>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C8D936" w14:textId="77777777" w:rsidR="00976487" w:rsidRPr="00687DE8" w:rsidRDefault="00976487">
            <w:pPr>
              <w:spacing w:after="0" w:line="240" w:lineRule="auto"/>
              <w:rPr>
                <w:szCs w:val="24"/>
              </w:rPr>
            </w:pPr>
            <w:r w:rsidRPr="00687DE8">
              <w:rPr>
                <w:szCs w:val="24"/>
              </w:rPr>
              <w:t>Hodgkini lümfoomi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41BFA2" w14:textId="77777777" w:rsidR="00976487" w:rsidRPr="00687DE8" w:rsidRDefault="00976487">
            <w:pPr>
              <w:spacing w:after="0" w:line="240" w:lineRule="auto"/>
              <w:jc w:val="center"/>
              <w:rPr>
                <w:szCs w:val="24"/>
              </w:rPr>
            </w:pPr>
            <w:r w:rsidRPr="00687DE8">
              <w:rPr>
                <w:szCs w:val="24"/>
              </w:rPr>
              <w:t>307R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61B3F2" w14:textId="58E2675A" w:rsidR="00976487" w:rsidRPr="00687DE8" w:rsidRDefault="0044700D" w:rsidP="001B58FF">
            <w:pPr>
              <w:tabs>
                <w:tab w:val="decimal" w:pos="635"/>
              </w:tabs>
              <w:spacing w:after="0" w:line="240" w:lineRule="auto"/>
              <w:jc w:val="center"/>
            </w:pPr>
            <w:r>
              <w:rPr>
                <w:color w:val="000000"/>
              </w:rPr>
              <w:t>676,41</w:t>
            </w:r>
          </w:p>
        </w:tc>
      </w:tr>
      <w:tr w:rsidR="00976487" w:rsidRPr="00687DE8" w14:paraId="468AE2DB" w14:textId="77777777" w:rsidTr="4536FD26">
        <w:trPr>
          <w:divId w:val="1316184749"/>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2E14D" w14:textId="77777777" w:rsidR="00976487" w:rsidRPr="00687DE8" w:rsidRDefault="00976487">
            <w:pPr>
              <w:spacing w:after="0" w:line="240" w:lineRule="auto"/>
              <w:rPr>
                <w:szCs w:val="24"/>
              </w:rPr>
            </w:pPr>
            <w:r w:rsidRPr="00687DE8">
              <w:rPr>
                <w:szCs w:val="24"/>
              </w:rPr>
              <w:t>Mitte-Hodgkini lümfoomi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1A4288" w14:textId="77777777" w:rsidR="00976487" w:rsidRPr="00687DE8" w:rsidRDefault="00976487">
            <w:pPr>
              <w:spacing w:after="0" w:line="240" w:lineRule="auto"/>
              <w:jc w:val="center"/>
              <w:rPr>
                <w:szCs w:val="24"/>
              </w:rPr>
            </w:pPr>
            <w:r w:rsidRPr="00687DE8">
              <w:rPr>
                <w:szCs w:val="24"/>
              </w:rPr>
              <w:t>308R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77231E" w14:textId="00A3DFF6" w:rsidR="00976487" w:rsidRPr="00687DE8" w:rsidRDefault="0044700D" w:rsidP="001B58FF">
            <w:pPr>
              <w:tabs>
                <w:tab w:val="decimal" w:pos="635"/>
              </w:tabs>
              <w:spacing w:after="0" w:line="240" w:lineRule="auto"/>
              <w:jc w:val="center"/>
            </w:pPr>
            <w:r>
              <w:rPr>
                <w:color w:val="000000"/>
              </w:rPr>
              <w:t>280,26</w:t>
            </w:r>
          </w:p>
        </w:tc>
      </w:tr>
      <w:tr w:rsidR="00976487" w:rsidRPr="00687DE8" w14:paraId="36F944F9" w14:textId="77777777" w:rsidTr="4536FD26">
        <w:trPr>
          <w:divId w:val="1316184749"/>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2DC4CC" w14:textId="77777777" w:rsidR="00976487" w:rsidRPr="00687DE8" w:rsidRDefault="00976487">
            <w:pPr>
              <w:spacing w:after="0" w:line="240" w:lineRule="auto"/>
              <w:rPr>
                <w:szCs w:val="24"/>
              </w:rPr>
            </w:pPr>
            <w:r w:rsidRPr="00687DE8">
              <w:rPr>
                <w:szCs w:val="24"/>
              </w:rPr>
              <w:t>Kopsukasvajate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E3ACC3" w14:textId="77777777" w:rsidR="00976487" w:rsidRPr="00687DE8" w:rsidRDefault="00976487">
            <w:pPr>
              <w:spacing w:after="0" w:line="240" w:lineRule="auto"/>
              <w:jc w:val="center"/>
              <w:rPr>
                <w:szCs w:val="24"/>
              </w:rPr>
            </w:pPr>
            <w:r w:rsidRPr="00687DE8">
              <w:rPr>
                <w:szCs w:val="24"/>
              </w:rPr>
              <w:t>265R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6788D5" w14:textId="29D381F0" w:rsidR="00976487" w:rsidRPr="00687DE8" w:rsidRDefault="0044700D" w:rsidP="001B58FF">
            <w:pPr>
              <w:tabs>
                <w:tab w:val="decimal" w:pos="635"/>
              </w:tabs>
              <w:spacing w:after="0" w:line="240" w:lineRule="auto"/>
              <w:jc w:val="center"/>
            </w:pPr>
            <w:r>
              <w:rPr>
                <w:color w:val="000000"/>
              </w:rPr>
              <w:t>674,26</w:t>
            </w:r>
          </w:p>
        </w:tc>
      </w:tr>
      <w:tr w:rsidR="00976487" w:rsidRPr="00687DE8" w14:paraId="7B1E7163" w14:textId="77777777" w:rsidTr="4536FD26">
        <w:trPr>
          <w:divId w:val="1316184749"/>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D7C606" w14:textId="77777777" w:rsidR="00976487" w:rsidRPr="00687DE8" w:rsidRDefault="00976487">
            <w:pPr>
              <w:spacing w:after="0" w:line="240" w:lineRule="auto"/>
              <w:rPr>
                <w:szCs w:val="24"/>
              </w:rPr>
            </w:pPr>
            <w:r w:rsidRPr="00687DE8">
              <w:rPr>
                <w:szCs w:val="24"/>
              </w:rPr>
              <w:t>Naha, luude ja pehmete kudede kasvajate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D4852F" w14:textId="77777777" w:rsidR="00976487" w:rsidRPr="00687DE8" w:rsidRDefault="00976487">
            <w:pPr>
              <w:spacing w:after="0" w:line="240" w:lineRule="auto"/>
              <w:jc w:val="center"/>
              <w:rPr>
                <w:szCs w:val="24"/>
              </w:rPr>
            </w:pPr>
            <w:r w:rsidRPr="00687DE8">
              <w:rPr>
                <w:szCs w:val="24"/>
              </w:rPr>
              <w:t>313R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062DF9" w14:textId="322C960D" w:rsidR="00976487" w:rsidRPr="00687DE8" w:rsidRDefault="0044700D" w:rsidP="001B58FF">
            <w:pPr>
              <w:tabs>
                <w:tab w:val="decimal" w:pos="635"/>
              </w:tabs>
              <w:spacing w:after="0" w:line="240" w:lineRule="auto"/>
              <w:jc w:val="center"/>
              <w:rPr>
                <w:szCs w:val="24"/>
              </w:rPr>
            </w:pPr>
            <w:r>
              <w:rPr>
                <w:color w:val="000000"/>
              </w:rPr>
              <w:t>1 261,14</w:t>
            </w:r>
          </w:p>
        </w:tc>
      </w:tr>
      <w:tr w:rsidR="00976487" w:rsidRPr="00687DE8" w14:paraId="30C9ADB2" w14:textId="77777777" w:rsidTr="4536FD26">
        <w:trPr>
          <w:divId w:val="1316184749"/>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F0CB30" w14:textId="77777777" w:rsidR="00976487" w:rsidRPr="00687DE8" w:rsidRDefault="00976487">
            <w:pPr>
              <w:spacing w:after="0" w:line="240" w:lineRule="auto"/>
              <w:rPr>
                <w:szCs w:val="24"/>
              </w:rPr>
            </w:pPr>
            <w:r w:rsidRPr="00687DE8">
              <w:rPr>
                <w:szCs w:val="24"/>
              </w:rPr>
              <w:t xml:space="preserve">Rinnakasvaja HER2-blokaadi mittesisaldav kemoteraapia, </w:t>
            </w:r>
            <w:r w:rsidR="006C40D3" w:rsidRPr="00687DE8">
              <w:rPr>
                <w:szCs w:val="24"/>
              </w:rPr>
              <w:t>kolme</w:t>
            </w:r>
            <w:r w:rsidRPr="00687DE8">
              <w:rPr>
                <w:szCs w:val="24"/>
              </w:rPr>
              <w:t>nädalane ravikuur (gosereliin</w:t>
            </w:r>
            <w:r w:rsidR="008934D6" w:rsidRPr="00687DE8">
              <w:rPr>
                <w:szCs w:val="24"/>
              </w:rPr>
              <w:t>i</w:t>
            </w:r>
            <w:r w:rsidRPr="00687DE8">
              <w:rPr>
                <w:szCs w:val="24"/>
              </w:rPr>
              <w:t xml:space="preserve"> ja fulvestran</w:t>
            </w:r>
            <w:r w:rsidR="008934D6" w:rsidRPr="00687DE8">
              <w:rPr>
                <w:szCs w:val="24"/>
              </w:rPr>
              <w:t>di</w:t>
            </w:r>
            <w:r w:rsidRPr="00687DE8">
              <w:rPr>
                <w:szCs w:val="24"/>
              </w:rPr>
              <w:t xml:space="preserve"> </w:t>
            </w:r>
            <w:r w:rsidR="006C40D3" w:rsidRPr="00687DE8">
              <w:rPr>
                <w:szCs w:val="24"/>
              </w:rPr>
              <w:t>nelja</w:t>
            </w:r>
            <w:r w:rsidRPr="00687DE8">
              <w:rPr>
                <w:szCs w:val="24"/>
              </w:rPr>
              <w:t xml:space="preserve">nädalane ravikuur)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AFE3C2" w14:textId="77777777" w:rsidR="00976487" w:rsidRPr="00687DE8" w:rsidRDefault="00976487">
            <w:pPr>
              <w:spacing w:after="0" w:line="240" w:lineRule="auto"/>
              <w:jc w:val="center"/>
              <w:rPr>
                <w:szCs w:val="24"/>
              </w:rPr>
            </w:pPr>
          </w:p>
          <w:p w14:paraId="47C12B7E" w14:textId="77777777" w:rsidR="00F66E66" w:rsidRPr="00687DE8" w:rsidRDefault="00F66E66">
            <w:pPr>
              <w:spacing w:after="0" w:line="240" w:lineRule="auto"/>
              <w:jc w:val="center"/>
              <w:rPr>
                <w:szCs w:val="24"/>
              </w:rPr>
            </w:pPr>
          </w:p>
          <w:p w14:paraId="58AE6C72" w14:textId="77777777" w:rsidR="00976487" w:rsidRPr="00687DE8" w:rsidRDefault="00976487">
            <w:pPr>
              <w:spacing w:after="0" w:line="240" w:lineRule="auto"/>
              <w:jc w:val="center"/>
              <w:rPr>
                <w:szCs w:val="24"/>
              </w:rPr>
            </w:pPr>
            <w:r w:rsidRPr="00687DE8">
              <w:rPr>
                <w:szCs w:val="24"/>
              </w:rPr>
              <w:t>228R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4B938EC" w14:textId="73854919" w:rsidR="00976487" w:rsidRPr="00687DE8" w:rsidRDefault="0044700D" w:rsidP="001B58FF">
            <w:pPr>
              <w:tabs>
                <w:tab w:val="decimal" w:pos="635"/>
              </w:tabs>
              <w:spacing w:after="0" w:line="240" w:lineRule="auto"/>
              <w:jc w:val="center"/>
            </w:pPr>
            <w:r>
              <w:rPr>
                <w:color w:val="000000"/>
              </w:rPr>
              <w:t>209,80</w:t>
            </w:r>
          </w:p>
        </w:tc>
      </w:tr>
      <w:tr w:rsidR="00976487" w:rsidRPr="00687DE8" w14:paraId="361E3BB2" w14:textId="77777777" w:rsidTr="4536FD26">
        <w:trPr>
          <w:divId w:val="1316184749"/>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95816" w14:textId="77777777" w:rsidR="00976487" w:rsidRPr="00687DE8" w:rsidRDefault="00976487">
            <w:pPr>
              <w:spacing w:after="0" w:line="240" w:lineRule="auto"/>
              <w:rPr>
                <w:szCs w:val="24"/>
              </w:rPr>
            </w:pPr>
            <w:r w:rsidRPr="00687DE8">
              <w:rPr>
                <w:szCs w:val="24"/>
              </w:rPr>
              <w:t xml:space="preserve">Rinnakasvaja HER2-blokaadi sisaldav kemoteraapia, </w:t>
            </w:r>
            <w:r w:rsidR="006C40D3" w:rsidRPr="00687DE8">
              <w:rPr>
                <w:szCs w:val="24"/>
              </w:rPr>
              <w:t>kolme</w:t>
            </w:r>
            <w:r w:rsidRPr="00687DE8">
              <w:rPr>
                <w:szCs w:val="24"/>
              </w:rPr>
              <w:t xml:space="preserve">nädalane ravikuur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551657" w14:textId="77777777" w:rsidR="00976487" w:rsidRPr="00687DE8" w:rsidRDefault="00976487">
            <w:pPr>
              <w:spacing w:after="0" w:line="240" w:lineRule="auto"/>
              <w:jc w:val="center"/>
              <w:rPr>
                <w:szCs w:val="24"/>
              </w:rPr>
            </w:pPr>
          </w:p>
          <w:p w14:paraId="2A46D2FC" w14:textId="77777777" w:rsidR="00976487" w:rsidRPr="00687DE8" w:rsidRDefault="00976487">
            <w:pPr>
              <w:spacing w:after="0" w:line="240" w:lineRule="auto"/>
              <w:jc w:val="center"/>
              <w:rPr>
                <w:szCs w:val="24"/>
              </w:rPr>
            </w:pPr>
            <w:r w:rsidRPr="00687DE8">
              <w:rPr>
                <w:szCs w:val="24"/>
              </w:rPr>
              <w:t>229R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6E4E47C" w14:textId="5B523A81" w:rsidR="00976487" w:rsidRPr="00687DE8" w:rsidRDefault="0044700D" w:rsidP="001B58FF">
            <w:pPr>
              <w:tabs>
                <w:tab w:val="decimal" w:pos="635"/>
              </w:tabs>
              <w:spacing w:after="0" w:line="240" w:lineRule="auto"/>
              <w:jc w:val="center"/>
            </w:pPr>
            <w:r>
              <w:rPr>
                <w:color w:val="000000"/>
              </w:rPr>
              <w:t>132,61</w:t>
            </w:r>
          </w:p>
        </w:tc>
      </w:tr>
      <w:tr w:rsidR="00CC6520" w:rsidRPr="00687DE8" w14:paraId="15817B9A" w14:textId="77777777" w:rsidTr="00EB7A71">
        <w:trPr>
          <w:divId w:val="1316184749"/>
          <w:trHeight w:val="465"/>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E4DC8D" w14:textId="77777777" w:rsidR="00CC6520" w:rsidRPr="00687DE8" w:rsidRDefault="00CC6520">
            <w:pPr>
              <w:spacing w:after="0" w:line="240" w:lineRule="auto"/>
              <w:rPr>
                <w:szCs w:val="24"/>
              </w:rPr>
            </w:pPr>
            <w:r w:rsidRPr="00687DE8">
              <w:rPr>
                <w:szCs w:val="24"/>
              </w:rPr>
              <w:t>Rinnakasvaja ravi pertuzumabiga, 420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EDF29A" w14:textId="77777777" w:rsidR="00CC6520" w:rsidRPr="00687DE8" w:rsidRDefault="00CC6520">
            <w:pPr>
              <w:spacing w:after="0" w:line="240" w:lineRule="auto"/>
              <w:jc w:val="center"/>
              <w:rPr>
                <w:szCs w:val="24"/>
              </w:rPr>
            </w:pPr>
            <w:r w:rsidRPr="00687DE8">
              <w:rPr>
                <w:szCs w:val="24"/>
              </w:rPr>
              <w:t>328R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180CE92" w14:textId="7C9B572D" w:rsidR="00CC6520" w:rsidRPr="00687DE8" w:rsidRDefault="0044700D" w:rsidP="001B58FF">
            <w:pPr>
              <w:tabs>
                <w:tab w:val="decimal" w:pos="635"/>
              </w:tabs>
              <w:spacing w:after="0" w:line="240" w:lineRule="auto"/>
              <w:jc w:val="center"/>
              <w:rPr>
                <w:szCs w:val="24"/>
              </w:rPr>
            </w:pPr>
            <w:r>
              <w:rPr>
                <w:color w:val="000000"/>
              </w:rPr>
              <w:t>3 010,58</w:t>
            </w:r>
          </w:p>
        </w:tc>
      </w:tr>
      <w:tr w:rsidR="00CC6520" w:rsidRPr="00687DE8" w14:paraId="1A973099" w14:textId="77777777" w:rsidTr="4536FD26">
        <w:trPr>
          <w:divId w:val="1316184749"/>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6F7E24" w14:textId="0D71A534" w:rsidR="00CC6520" w:rsidRPr="00687DE8" w:rsidRDefault="00CC6520" w:rsidP="4536FD26">
            <w:pPr>
              <w:spacing w:after="0" w:line="240" w:lineRule="auto"/>
            </w:pPr>
            <w:r>
              <w:t xml:space="preserve">Rinnakasvaja ravi trastuzumabemtansiiniga, </w:t>
            </w:r>
            <w:r w:rsidR="00350F33">
              <w:t>260</w:t>
            </w:r>
            <w:r>
              <w:t xml:space="preserve">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46F197" w14:textId="77777777" w:rsidR="00CC6520" w:rsidRPr="00687DE8" w:rsidRDefault="00CC6520">
            <w:pPr>
              <w:spacing w:after="0" w:line="240" w:lineRule="auto"/>
              <w:jc w:val="center"/>
              <w:rPr>
                <w:szCs w:val="24"/>
              </w:rPr>
            </w:pPr>
            <w:r w:rsidRPr="00687DE8">
              <w:rPr>
                <w:szCs w:val="24"/>
              </w:rPr>
              <w:t>394R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7AEDE69" w14:textId="292AD8CD" w:rsidR="00CC6520" w:rsidRPr="00687DE8" w:rsidRDefault="00350F33" w:rsidP="001B58FF">
            <w:pPr>
              <w:tabs>
                <w:tab w:val="decimal" w:pos="635"/>
              </w:tabs>
              <w:spacing w:after="0" w:line="240" w:lineRule="auto"/>
              <w:jc w:val="center"/>
            </w:pPr>
            <w:r w:rsidRPr="00CE78F0">
              <w:rPr>
                <w:color w:val="000000" w:themeColor="text1"/>
              </w:rPr>
              <w:t>5 037,53</w:t>
            </w:r>
          </w:p>
        </w:tc>
      </w:tr>
      <w:tr w:rsidR="00106F35" w:rsidRPr="00687DE8" w14:paraId="57A655AC" w14:textId="77777777" w:rsidTr="4536FD26">
        <w:trPr>
          <w:divId w:val="1316184749"/>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6D8EBD" w14:textId="0686DB88" w:rsidR="00106F35" w:rsidRPr="00687DE8" w:rsidRDefault="00106F35">
            <w:pPr>
              <w:spacing w:after="0" w:line="240" w:lineRule="auto"/>
              <w:rPr>
                <w:szCs w:val="24"/>
              </w:rPr>
            </w:pPr>
            <w:r>
              <w:rPr>
                <w:szCs w:val="24"/>
              </w:rPr>
              <w:t>Rinnakasvaja ravi t</w:t>
            </w:r>
            <w:r w:rsidRPr="002E14B4">
              <w:rPr>
                <w:szCs w:val="24"/>
              </w:rPr>
              <w:t>rastuzumabderukstekaan</w:t>
            </w:r>
            <w:r>
              <w:rPr>
                <w:szCs w:val="24"/>
              </w:rPr>
              <w:t>iga</w:t>
            </w:r>
            <w:r w:rsidRPr="002E14B4">
              <w:rPr>
                <w:szCs w:val="24"/>
              </w:rPr>
              <w:t>, 100</w:t>
            </w:r>
            <w:r w:rsidR="00D45B29">
              <w:rPr>
                <w:szCs w:val="24"/>
              </w:rPr>
              <w:t> </w:t>
            </w:r>
            <w:r w:rsidRPr="002E14B4">
              <w:rPr>
                <w:szCs w:val="24"/>
              </w:rPr>
              <w:t>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09D54E" w14:textId="5C8A7E83" w:rsidR="00106F35" w:rsidRPr="00687DE8" w:rsidRDefault="00106F35">
            <w:pPr>
              <w:spacing w:after="0" w:line="240" w:lineRule="auto"/>
              <w:jc w:val="center"/>
              <w:rPr>
                <w:szCs w:val="24"/>
              </w:rPr>
            </w:pPr>
            <w:r>
              <w:rPr>
                <w:szCs w:val="24"/>
              </w:rPr>
              <w:t>436R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148F9DD" w14:textId="3191DBC3" w:rsidR="00106F35" w:rsidRPr="00687DE8" w:rsidRDefault="0044700D" w:rsidP="001B58FF">
            <w:pPr>
              <w:tabs>
                <w:tab w:val="decimal" w:pos="635"/>
              </w:tabs>
              <w:spacing w:after="0" w:line="240" w:lineRule="auto"/>
              <w:jc w:val="center"/>
              <w:rPr>
                <w:szCs w:val="24"/>
              </w:rPr>
            </w:pPr>
            <w:r>
              <w:rPr>
                <w:color w:val="000000"/>
              </w:rPr>
              <w:t>1 273,55</w:t>
            </w:r>
          </w:p>
        </w:tc>
      </w:tr>
      <w:tr w:rsidR="00E83DDB" w:rsidRPr="00687DE8" w14:paraId="6FE37D77" w14:textId="77777777" w:rsidTr="4536FD26">
        <w:trPr>
          <w:divId w:val="1316184749"/>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520E2B" w14:textId="430D1537" w:rsidR="00E83DDB" w:rsidRPr="00687DE8" w:rsidRDefault="00F84102">
            <w:pPr>
              <w:spacing w:after="0" w:line="240" w:lineRule="auto"/>
              <w:rPr>
                <w:szCs w:val="24"/>
              </w:rPr>
            </w:pPr>
            <w:r w:rsidRPr="00687DE8">
              <w:rPr>
                <w:szCs w:val="24"/>
              </w:rPr>
              <w:t>Rinnakasvaja ravi pembrolizumabiga, kolmenädalane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F634F3" w14:textId="2D47F602" w:rsidR="00E83DDB" w:rsidRPr="00687DE8" w:rsidRDefault="00EF46E0">
            <w:pPr>
              <w:spacing w:after="0" w:line="240" w:lineRule="auto"/>
              <w:jc w:val="center"/>
              <w:rPr>
                <w:szCs w:val="24"/>
              </w:rPr>
            </w:pPr>
            <w:r w:rsidRPr="00687DE8">
              <w:rPr>
                <w:szCs w:val="24"/>
              </w:rPr>
              <w:t>420R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15A4A5C" w14:textId="43A8A400" w:rsidR="00E83DDB" w:rsidRPr="00687DE8" w:rsidRDefault="0044700D" w:rsidP="001B58FF">
            <w:pPr>
              <w:tabs>
                <w:tab w:val="decimal" w:pos="635"/>
              </w:tabs>
              <w:spacing w:after="0" w:line="240" w:lineRule="auto"/>
              <w:jc w:val="center"/>
              <w:rPr>
                <w:szCs w:val="24"/>
              </w:rPr>
            </w:pPr>
            <w:r>
              <w:rPr>
                <w:color w:val="000000"/>
              </w:rPr>
              <w:t>3 916,14</w:t>
            </w:r>
          </w:p>
        </w:tc>
      </w:tr>
      <w:tr w:rsidR="00CC6520" w:rsidRPr="00687DE8" w14:paraId="5CEECB58" w14:textId="77777777" w:rsidTr="4536FD26">
        <w:trPr>
          <w:divId w:val="1316184749"/>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3017E1" w14:textId="77777777" w:rsidR="00CC6520" w:rsidRPr="00687DE8" w:rsidRDefault="00CC6520">
            <w:pPr>
              <w:spacing w:after="0" w:line="240" w:lineRule="auto"/>
              <w:rPr>
                <w:szCs w:val="24"/>
              </w:rPr>
            </w:pPr>
            <w:r w:rsidRPr="00687DE8">
              <w:rPr>
                <w:szCs w:val="24"/>
              </w:rPr>
              <w:t>Kolmiknegatiivse rinnakasvaja ravi atesolizumabiga, 1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10D25B" w14:textId="77777777" w:rsidR="00CC6520" w:rsidRPr="00687DE8" w:rsidRDefault="00CC6520">
            <w:pPr>
              <w:spacing w:after="0" w:line="240" w:lineRule="auto"/>
              <w:jc w:val="center"/>
              <w:rPr>
                <w:szCs w:val="24"/>
              </w:rPr>
            </w:pPr>
            <w:r w:rsidRPr="00687DE8">
              <w:rPr>
                <w:szCs w:val="24"/>
              </w:rPr>
              <w:t>407R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D62A8B3" w14:textId="37A87DE0" w:rsidR="00CC6520" w:rsidRPr="00687DE8" w:rsidRDefault="0044700D" w:rsidP="001B58FF">
            <w:pPr>
              <w:tabs>
                <w:tab w:val="decimal" w:pos="635"/>
              </w:tabs>
              <w:spacing w:after="0" w:line="240" w:lineRule="auto"/>
              <w:jc w:val="center"/>
              <w:rPr>
                <w:szCs w:val="24"/>
              </w:rPr>
            </w:pPr>
            <w:r>
              <w:rPr>
                <w:color w:val="000000"/>
              </w:rPr>
              <w:t>4,21</w:t>
            </w:r>
          </w:p>
        </w:tc>
      </w:tr>
      <w:tr w:rsidR="00CC6520" w:rsidRPr="00687DE8" w14:paraId="2937ACA4"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FBD386" w14:textId="77777777" w:rsidR="00CC6520" w:rsidRPr="00687DE8" w:rsidRDefault="00CC6520">
            <w:pPr>
              <w:spacing w:after="0" w:line="240" w:lineRule="auto"/>
              <w:rPr>
                <w:szCs w:val="24"/>
              </w:rPr>
            </w:pPr>
            <w:r w:rsidRPr="00687DE8">
              <w:rPr>
                <w:szCs w:val="24"/>
              </w:rPr>
              <w:t>Kolmiknegatiivse rinnakasvaja ravi nab-paklitakseeliga, 1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EE8C62" w14:textId="77777777" w:rsidR="00CC6520" w:rsidRPr="00687DE8" w:rsidRDefault="00CC6520">
            <w:pPr>
              <w:spacing w:after="0" w:line="240" w:lineRule="auto"/>
              <w:jc w:val="center"/>
              <w:rPr>
                <w:szCs w:val="24"/>
              </w:rPr>
            </w:pPr>
            <w:r w:rsidRPr="00687DE8">
              <w:rPr>
                <w:szCs w:val="24"/>
              </w:rPr>
              <w:t>408R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F43853F" w14:textId="55F1C71A" w:rsidR="1693D0CD" w:rsidRPr="00687DE8" w:rsidRDefault="0044700D" w:rsidP="001B58FF">
            <w:pPr>
              <w:spacing w:after="0"/>
              <w:jc w:val="center"/>
              <w:rPr>
                <w:color w:val="000000" w:themeColor="text1"/>
              </w:rPr>
            </w:pPr>
            <w:r>
              <w:rPr>
                <w:color w:val="000000"/>
              </w:rPr>
              <w:t>0,92</w:t>
            </w:r>
          </w:p>
        </w:tc>
      </w:tr>
      <w:tr w:rsidR="00976487" w:rsidRPr="00687DE8" w14:paraId="304EEB11" w14:textId="77777777" w:rsidTr="4536FD26">
        <w:trPr>
          <w:divId w:val="1316184749"/>
          <w:trHeight w:val="282"/>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E6D689" w14:textId="77777777" w:rsidR="00976487" w:rsidRPr="00687DE8" w:rsidRDefault="00976487">
            <w:pPr>
              <w:spacing w:after="0" w:line="240" w:lineRule="auto"/>
              <w:rPr>
                <w:szCs w:val="24"/>
              </w:rPr>
            </w:pPr>
            <w:r w:rsidRPr="00687DE8">
              <w:rPr>
                <w:szCs w:val="24"/>
              </w:rPr>
              <w:t>Pea- ja kaelapiirkonna kasvajate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C12022" w14:textId="77777777" w:rsidR="00976487" w:rsidRPr="00687DE8" w:rsidRDefault="00976487">
            <w:pPr>
              <w:spacing w:after="0" w:line="240" w:lineRule="auto"/>
              <w:jc w:val="center"/>
              <w:rPr>
                <w:szCs w:val="24"/>
              </w:rPr>
            </w:pPr>
            <w:r w:rsidRPr="00687DE8">
              <w:rPr>
                <w:szCs w:val="24"/>
              </w:rPr>
              <w:t>315R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773DF0" w14:textId="37700A49" w:rsidR="1693D0CD" w:rsidRPr="00687DE8" w:rsidRDefault="0044700D" w:rsidP="001B58FF">
            <w:pPr>
              <w:spacing w:after="0"/>
              <w:jc w:val="center"/>
              <w:rPr>
                <w:color w:val="000000" w:themeColor="text1"/>
                <w:szCs w:val="24"/>
              </w:rPr>
            </w:pPr>
            <w:r>
              <w:rPr>
                <w:color w:val="000000"/>
              </w:rPr>
              <w:t>167,24</w:t>
            </w:r>
          </w:p>
        </w:tc>
      </w:tr>
      <w:tr w:rsidR="00976487" w:rsidRPr="00687DE8" w14:paraId="2AF6A3AB"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9CC4A3" w14:textId="77777777" w:rsidR="00976487" w:rsidRPr="00687DE8" w:rsidRDefault="00976487">
            <w:pPr>
              <w:spacing w:after="0" w:line="240" w:lineRule="auto"/>
              <w:rPr>
                <w:szCs w:val="24"/>
              </w:rPr>
            </w:pPr>
            <w:r w:rsidRPr="00687DE8">
              <w:rPr>
                <w:szCs w:val="24"/>
              </w:rPr>
              <w:t>Ajukasvajate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309CC6" w14:textId="77777777" w:rsidR="00976487" w:rsidRPr="00687DE8" w:rsidRDefault="00976487">
            <w:pPr>
              <w:spacing w:after="0" w:line="240" w:lineRule="auto"/>
              <w:jc w:val="center"/>
              <w:rPr>
                <w:szCs w:val="24"/>
              </w:rPr>
            </w:pPr>
            <w:r w:rsidRPr="00687DE8">
              <w:rPr>
                <w:szCs w:val="24"/>
              </w:rPr>
              <w:t>316R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69DF9B" w14:textId="60476431" w:rsidR="1693D0CD" w:rsidRPr="00687DE8" w:rsidRDefault="0044700D" w:rsidP="001B58FF">
            <w:pPr>
              <w:spacing w:after="0"/>
              <w:jc w:val="center"/>
              <w:rPr>
                <w:color w:val="000000" w:themeColor="text1"/>
              </w:rPr>
            </w:pPr>
            <w:r>
              <w:rPr>
                <w:color w:val="000000"/>
              </w:rPr>
              <w:t>279,68</w:t>
            </w:r>
          </w:p>
        </w:tc>
      </w:tr>
      <w:tr w:rsidR="00976487" w:rsidRPr="00687DE8" w14:paraId="2C4A321F"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F18E1E" w14:textId="77777777" w:rsidR="00976487" w:rsidRPr="00687DE8" w:rsidRDefault="00976487">
            <w:pPr>
              <w:spacing w:after="0" w:line="240" w:lineRule="auto"/>
              <w:rPr>
                <w:szCs w:val="24"/>
              </w:rPr>
            </w:pPr>
            <w:r w:rsidRPr="00687DE8">
              <w:rPr>
                <w:szCs w:val="24"/>
              </w:rPr>
              <w:t>Müeloomi ja plasmotsüstoomi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E5FB2E" w14:textId="77777777" w:rsidR="00976487" w:rsidRPr="00687DE8" w:rsidRDefault="00976487">
            <w:pPr>
              <w:spacing w:after="0" w:line="240" w:lineRule="auto"/>
              <w:jc w:val="center"/>
              <w:rPr>
                <w:szCs w:val="24"/>
              </w:rPr>
            </w:pPr>
            <w:r w:rsidRPr="00687DE8">
              <w:rPr>
                <w:szCs w:val="24"/>
              </w:rPr>
              <w:t>317R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54F7B5" w14:textId="2DDB8531" w:rsidR="1693D0CD" w:rsidRPr="00687DE8" w:rsidRDefault="0044700D" w:rsidP="001B58FF">
            <w:pPr>
              <w:spacing w:after="0"/>
              <w:jc w:val="center"/>
              <w:rPr>
                <w:color w:val="000000" w:themeColor="text1"/>
              </w:rPr>
            </w:pPr>
            <w:r>
              <w:rPr>
                <w:color w:val="000000"/>
              </w:rPr>
              <w:t>125,86</w:t>
            </w:r>
          </w:p>
        </w:tc>
      </w:tr>
      <w:tr w:rsidR="00976487" w:rsidRPr="00687DE8" w14:paraId="6E6DA6A2" w14:textId="77777777" w:rsidTr="00EB7A71">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718F07" w14:textId="77777777" w:rsidR="00976487" w:rsidRPr="00687DE8" w:rsidRDefault="00976487">
            <w:pPr>
              <w:spacing w:after="0" w:line="240" w:lineRule="auto"/>
              <w:rPr>
                <w:szCs w:val="24"/>
              </w:rPr>
            </w:pPr>
            <w:r w:rsidRPr="00687DE8">
              <w:rPr>
                <w:szCs w:val="24"/>
              </w:rPr>
              <w:t>Pindmiste kusepõiekasvajate intravesikaalne kemoteraapia- või immuunteraapia 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88C91F" w14:textId="77777777" w:rsidR="00976487" w:rsidRPr="00687DE8" w:rsidRDefault="00976487">
            <w:pPr>
              <w:spacing w:after="0" w:line="240" w:lineRule="auto"/>
              <w:jc w:val="center"/>
              <w:rPr>
                <w:szCs w:val="24"/>
              </w:rPr>
            </w:pPr>
          </w:p>
          <w:p w14:paraId="7A989255" w14:textId="77777777" w:rsidR="00976487" w:rsidRPr="00687DE8" w:rsidRDefault="00976487">
            <w:pPr>
              <w:spacing w:after="0" w:line="240" w:lineRule="auto"/>
              <w:jc w:val="center"/>
              <w:rPr>
                <w:szCs w:val="24"/>
              </w:rPr>
            </w:pPr>
            <w:r w:rsidRPr="00687DE8">
              <w:rPr>
                <w:szCs w:val="24"/>
              </w:rPr>
              <w:t>318R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C47F30" w14:textId="59917706" w:rsidR="1693D0CD" w:rsidRPr="00687DE8" w:rsidRDefault="000F1270" w:rsidP="001B58FF">
            <w:pPr>
              <w:spacing w:after="0"/>
              <w:jc w:val="center"/>
              <w:rPr>
                <w:color w:val="000000" w:themeColor="text1"/>
                <w:szCs w:val="24"/>
              </w:rPr>
            </w:pPr>
            <w:r>
              <w:rPr>
                <w:color w:val="000000"/>
              </w:rPr>
              <w:t>223,07</w:t>
            </w:r>
          </w:p>
        </w:tc>
      </w:tr>
      <w:tr w:rsidR="00976487" w:rsidRPr="00687DE8" w14:paraId="5422AAC3"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9E7608" w14:textId="77777777" w:rsidR="00976487" w:rsidRPr="00687DE8" w:rsidRDefault="00976487">
            <w:pPr>
              <w:spacing w:after="0" w:line="240" w:lineRule="auto"/>
              <w:rPr>
                <w:szCs w:val="24"/>
              </w:rPr>
            </w:pPr>
            <w:r w:rsidRPr="00687DE8">
              <w:rPr>
                <w:szCs w:val="24"/>
              </w:rPr>
              <w:t>Ägeda promüelotsütaarse leukeemia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23015F" w14:textId="77777777" w:rsidR="00976487" w:rsidRPr="00687DE8" w:rsidRDefault="00976487">
            <w:pPr>
              <w:spacing w:after="0" w:line="240" w:lineRule="auto"/>
              <w:jc w:val="center"/>
              <w:rPr>
                <w:szCs w:val="24"/>
              </w:rPr>
            </w:pPr>
            <w:r w:rsidRPr="00687DE8">
              <w:rPr>
                <w:szCs w:val="24"/>
              </w:rPr>
              <w:t>320R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D5DDAB" w14:textId="3C90134C" w:rsidR="1693D0CD" w:rsidRPr="00687DE8" w:rsidRDefault="000F1270" w:rsidP="001B58FF">
            <w:pPr>
              <w:spacing w:after="0"/>
              <w:jc w:val="center"/>
              <w:rPr>
                <w:color w:val="000000" w:themeColor="text1"/>
                <w:szCs w:val="24"/>
              </w:rPr>
            </w:pPr>
            <w:r>
              <w:rPr>
                <w:color w:val="000000"/>
              </w:rPr>
              <w:t>6 555,29</w:t>
            </w:r>
          </w:p>
        </w:tc>
      </w:tr>
      <w:tr w:rsidR="00976487" w:rsidRPr="00687DE8" w14:paraId="6DB3EDD1"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FDF054" w14:textId="77777777" w:rsidR="00976487" w:rsidRPr="00687DE8" w:rsidRDefault="00976487">
            <w:pPr>
              <w:spacing w:after="0" w:line="240" w:lineRule="auto"/>
              <w:rPr>
                <w:szCs w:val="24"/>
              </w:rPr>
            </w:pPr>
            <w:r w:rsidRPr="00687DE8">
              <w:rPr>
                <w:szCs w:val="24"/>
              </w:rPr>
              <w:t>Kroonilise lümfoidse leukeemia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F9992A" w14:textId="77777777" w:rsidR="00976487" w:rsidRPr="00687DE8" w:rsidRDefault="00976487">
            <w:pPr>
              <w:spacing w:after="0" w:line="240" w:lineRule="auto"/>
              <w:jc w:val="center"/>
              <w:rPr>
                <w:szCs w:val="24"/>
              </w:rPr>
            </w:pPr>
            <w:r w:rsidRPr="00687DE8">
              <w:rPr>
                <w:szCs w:val="24"/>
              </w:rPr>
              <w:t>321R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25977F" w14:textId="7E411695" w:rsidR="1693D0CD" w:rsidRPr="00687DE8" w:rsidRDefault="000F1270" w:rsidP="001B58FF">
            <w:pPr>
              <w:spacing w:after="0"/>
              <w:jc w:val="center"/>
              <w:rPr>
                <w:color w:val="000000" w:themeColor="text1"/>
              </w:rPr>
            </w:pPr>
            <w:r>
              <w:rPr>
                <w:color w:val="000000"/>
              </w:rPr>
              <w:t>320,09</w:t>
            </w:r>
          </w:p>
        </w:tc>
      </w:tr>
      <w:tr w:rsidR="00976487" w:rsidRPr="00687DE8" w14:paraId="39FC924E"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B761EA" w14:textId="77777777" w:rsidR="00976487" w:rsidRPr="00687DE8" w:rsidRDefault="00976487">
            <w:pPr>
              <w:spacing w:after="0" w:line="240" w:lineRule="auto"/>
              <w:rPr>
                <w:szCs w:val="24"/>
              </w:rPr>
            </w:pPr>
            <w:r w:rsidRPr="00687DE8">
              <w:rPr>
                <w:szCs w:val="24"/>
              </w:rPr>
              <w:t>Metastaatilise kolorektaalkasvaja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341291" w14:textId="77777777" w:rsidR="00976487" w:rsidRPr="00687DE8" w:rsidRDefault="00976487">
            <w:pPr>
              <w:spacing w:after="0" w:line="240" w:lineRule="auto"/>
              <w:jc w:val="center"/>
              <w:rPr>
                <w:szCs w:val="24"/>
              </w:rPr>
            </w:pPr>
            <w:r w:rsidRPr="00687DE8">
              <w:rPr>
                <w:szCs w:val="24"/>
              </w:rPr>
              <w:t>218R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0B1F4F" w14:textId="220C5960" w:rsidR="1693D0CD" w:rsidRPr="00687DE8" w:rsidRDefault="000F1270" w:rsidP="001B58FF">
            <w:pPr>
              <w:spacing w:after="0"/>
              <w:jc w:val="center"/>
              <w:rPr>
                <w:color w:val="000000" w:themeColor="text1"/>
              </w:rPr>
            </w:pPr>
            <w:r>
              <w:rPr>
                <w:color w:val="000000"/>
              </w:rPr>
              <w:t>257,13</w:t>
            </w:r>
          </w:p>
        </w:tc>
      </w:tr>
      <w:tr w:rsidR="00976487" w:rsidRPr="00687DE8" w14:paraId="3E031092"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859141" w14:textId="77777777" w:rsidR="00976487" w:rsidRPr="00687DE8" w:rsidRDefault="00976487">
            <w:pPr>
              <w:spacing w:after="0" w:line="240" w:lineRule="auto"/>
              <w:rPr>
                <w:szCs w:val="24"/>
              </w:rPr>
            </w:pPr>
            <w:r w:rsidRPr="00687DE8">
              <w:rPr>
                <w:szCs w:val="24"/>
              </w:rPr>
              <w:t>Varajase staadiumi kolorektaalkasvaja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223911" w14:textId="77777777" w:rsidR="00976487" w:rsidRPr="00687DE8" w:rsidRDefault="00976487">
            <w:pPr>
              <w:spacing w:after="0" w:line="240" w:lineRule="auto"/>
              <w:jc w:val="center"/>
              <w:rPr>
                <w:szCs w:val="24"/>
              </w:rPr>
            </w:pPr>
            <w:r w:rsidRPr="00687DE8">
              <w:rPr>
                <w:szCs w:val="24"/>
              </w:rPr>
              <w:t>209R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9D67EC" w14:textId="4ECD8C78" w:rsidR="1693D0CD" w:rsidRPr="00687DE8" w:rsidRDefault="000F1270" w:rsidP="001B58FF">
            <w:pPr>
              <w:spacing w:after="0"/>
              <w:jc w:val="center"/>
              <w:rPr>
                <w:color w:val="000000" w:themeColor="text1"/>
              </w:rPr>
            </w:pPr>
            <w:r>
              <w:rPr>
                <w:color w:val="000000"/>
              </w:rPr>
              <w:t>239,19</w:t>
            </w:r>
          </w:p>
        </w:tc>
      </w:tr>
      <w:tr w:rsidR="436A6CEF" w14:paraId="7B78A4F7"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0F592C" w14:textId="62BF078B" w:rsidR="5279EA4C" w:rsidRPr="00D30B8D" w:rsidRDefault="5279EA4C" w:rsidP="436A6CEF">
            <w:pPr>
              <w:spacing w:line="240" w:lineRule="auto"/>
              <w:rPr>
                <w:lang w:val="sv-SE"/>
              </w:rPr>
            </w:pPr>
            <w:r w:rsidRPr="00D30B8D">
              <w:rPr>
                <w:lang w:val="sv-SE"/>
              </w:rPr>
              <w:t>Metastaatilise kolorektaal</w:t>
            </w:r>
            <w:r w:rsidR="5E5DFFC8" w:rsidRPr="00D30B8D">
              <w:rPr>
                <w:lang w:val="sv-SE"/>
              </w:rPr>
              <w:t>kasvaja</w:t>
            </w:r>
            <w:r w:rsidRPr="00D30B8D">
              <w:rPr>
                <w:lang w:val="sv-SE"/>
              </w:rPr>
              <w:t xml:space="preserve"> ravi tsetuksimabiga, 1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B499BB" w14:textId="79CC3D1A" w:rsidR="436A6CEF" w:rsidRDefault="5279EA4C" w:rsidP="436A6CEF">
            <w:pPr>
              <w:spacing w:line="240" w:lineRule="auto"/>
              <w:jc w:val="center"/>
            </w:pPr>
            <w:r>
              <w:t>448R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9C9920" w14:textId="3E92B435" w:rsidR="0091218F" w:rsidRDefault="0091218F" w:rsidP="000F1270">
            <w:pPr>
              <w:jc w:val="center"/>
              <w:rPr>
                <w:color w:val="000000" w:themeColor="text1"/>
              </w:rPr>
            </w:pPr>
          </w:p>
          <w:p w14:paraId="17A88891" w14:textId="48465863" w:rsidR="436A6CEF" w:rsidRDefault="5279EA4C" w:rsidP="001B58FF">
            <w:pPr>
              <w:jc w:val="center"/>
              <w:rPr>
                <w:color w:val="000000" w:themeColor="text1"/>
              </w:rPr>
            </w:pPr>
            <w:r w:rsidRPr="6143D495">
              <w:rPr>
                <w:color w:val="000000" w:themeColor="text1"/>
              </w:rPr>
              <w:t>1,</w:t>
            </w:r>
            <w:r w:rsidR="31ED2A52" w:rsidRPr="6143D495">
              <w:rPr>
                <w:color w:val="000000" w:themeColor="text1"/>
              </w:rPr>
              <w:t>20</w:t>
            </w:r>
          </w:p>
        </w:tc>
      </w:tr>
      <w:tr w:rsidR="00976487" w:rsidRPr="00687DE8" w14:paraId="56BBE019" w14:textId="77777777" w:rsidTr="00EB7A71">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9F930C" w14:textId="77777777" w:rsidR="00976487" w:rsidRPr="00687DE8" w:rsidRDefault="00976487">
            <w:pPr>
              <w:spacing w:after="0" w:line="240" w:lineRule="auto"/>
              <w:rPr>
                <w:szCs w:val="24"/>
              </w:rPr>
            </w:pPr>
            <w:r w:rsidRPr="00687DE8">
              <w:rPr>
                <w:szCs w:val="24"/>
              </w:rPr>
              <w:t>Mao- ja söögitorukasvajate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D8FD51" w14:textId="77777777" w:rsidR="00976487" w:rsidRPr="00687DE8" w:rsidRDefault="00976487">
            <w:pPr>
              <w:spacing w:after="0" w:line="240" w:lineRule="auto"/>
              <w:jc w:val="center"/>
              <w:rPr>
                <w:szCs w:val="24"/>
              </w:rPr>
            </w:pPr>
            <w:r w:rsidRPr="00687DE8">
              <w:rPr>
                <w:szCs w:val="24"/>
              </w:rPr>
              <w:t>323R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B35922" w14:textId="1D181C37" w:rsidR="1693D0CD" w:rsidRPr="00687DE8" w:rsidRDefault="00F3664E" w:rsidP="001B58FF">
            <w:pPr>
              <w:spacing w:after="0"/>
              <w:jc w:val="center"/>
              <w:rPr>
                <w:color w:val="000000" w:themeColor="text1"/>
              </w:rPr>
            </w:pPr>
            <w:r>
              <w:rPr>
                <w:color w:val="000000"/>
              </w:rPr>
              <w:t>258,96</w:t>
            </w:r>
          </w:p>
        </w:tc>
      </w:tr>
      <w:tr w:rsidR="00D0353A" w:rsidRPr="00687DE8" w14:paraId="5A1FA3EB"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B9FBF8" w14:textId="5DC6CAF1" w:rsidR="00D0353A" w:rsidRPr="00687DE8" w:rsidRDefault="00315A6F">
            <w:pPr>
              <w:spacing w:after="0" w:line="240" w:lineRule="auto"/>
              <w:rPr>
                <w:szCs w:val="24"/>
              </w:rPr>
            </w:pPr>
            <w:r w:rsidRPr="00527ED5">
              <w:rPr>
                <w:szCs w:val="24"/>
              </w:rPr>
              <w:t>Söögitoruvähi või mao</w:t>
            </w:r>
            <w:r w:rsidR="00B25B98">
              <w:rPr>
                <w:szCs w:val="24"/>
              </w:rPr>
              <w:t>-</w:t>
            </w:r>
            <w:r w:rsidR="00903A0F">
              <w:rPr>
                <w:szCs w:val="24"/>
              </w:rPr>
              <w:t xml:space="preserve"> ja</w:t>
            </w:r>
            <w:r w:rsidRPr="00527ED5">
              <w:rPr>
                <w:szCs w:val="24"/>
              </w:rPr>
              <w:t xml:space="preserve"> söögitoru ühenduskoha vähi adjuvantravi nivolumabiga, </w:t>
            </w:r>
            <w:r>
              <w:rPr>
                <w:szCs w:val="24"/>
              </w:rPr>
              <w:t>kahe</w:t>
            </w:r>
            <w:r w:rsidRPr="00527ED5">
              <w:rPr>
                <w:szCs w:val="24"/>
              </w:rPr>
              <w:t>nädalane ravi</w:t>
            </w:r>
            <w:r>
              <w:rPr>
                <w:szCs w:val="24"/>
              </w:rPr>
              <w:t>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043567" w14:textId="0B2164CD" w:rsidR="00D0353A" w:rsidRPr="00687DE8" w:rsidRDefault="0063610E">
            <w:pPr>
              <w:spacing w:after="0" w:line="240" w:lineRule="auto"/>
              <w:jc w:val="center"/>
              <w:rPr>
                <w:szCs w:val="24"/>
              </w:rPr>
            </w:pPr>
            <w:r>
              <w:rPr>
                <w:szCs w:val="24"/>
              </w:rPr>
              <w:t>435R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581A83B" w14:textId="40FF1DFB" w:rsidR="00D0353A" w:rsidRDefault="00F3664E" w:rsidP="001B58FF">
            <w:pPr>
              <w:spacing w:after="0"/>
              <w:jc w:val="center"/>
              <w:rPr>
                <w:color w:val="000000" w:themeColor="text1"/>
                <w:szCs w:val="24"/>
              </w:rPr>
            </w:pPr>
            <w:r>
              <w:rPr>
                <w:color w:val="000000"/>
              </w:rPr>
              <w:t>2 596,81</w:t>
            </w:r>
          </w:p>
        </w:tc>
      </w:tr>
      <w:tr w:rsidR="009E38CD" w:rsidRPr="00687DE8" w14:paraId="5492DB32"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91019E" w14:textId="77777777" w:rsidR="009E38CD" w:rsidRPr="00687DE8" w:rsidRDefault="009E38CD">
            <w:pPr>
              <w:spacing w:after="0" w:line="240" w:lineRule="auto"/>
              <w:rPr>
                <w:szCs w:val="24"/>
              </w:rPr>
            </w:pPr>
            <w:r w:rsidRPr="00687DE8">
              <w:rPr>
                <w:szCs w:val="24"/>
              </w:rPr>
              <w:t>Söögitoruvähi ravi nivolumabiga kombinatsioonis plaatinat ja fluoropürimidiini sisaldava kemoteraapiaga, kahenädalane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F7B867" w14:textId="77777777" w:rsidR="009E38CD" w:rsidRPr="00687DE8" w:rsidRDefault="009E38CD">
            <w:pPr>
              <w:spacing w:after="0" w:line="240" w:lineRule="auto"/>
              <w:jc w:val="center"/>
              <w:rPr>
                <w:szCs w:val="24"/>
              </w:rPr>
            </w:pPr>
            <w:r w:rsidRPr="00687DE8">
              <w:rPr>
                <w:szCs w:val="24"/>
              </w:rPr>
              <w:t>411R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4D9EB91" w14:textId="162E0246" w:rsidR="1693D0CD" w:rsidRPr="00687DE8" w:rsidRDefault="00F3664E" w:rsidP="001B58FF">
            <w:pPr>
              <w:spacing w:after="0"/>
              <w:jc w:val="center"/>
              <w:rPr>
                <w:color w:val="000000" w:themeColor="text1"/>
              </w:rPr>
            </w:pPr>
            <w:r>
              <w:rPr>
                <w:color w:val="000000"/>
              </w:rPr>
              <w:t>2 713,75</w:t>
            </w:r>
          </w:p>
        </w:tc>
      </w:tr>
      <w:tr w:rsidR="00976487" w:rsidRPr="00687DE8" w14:paraId="5DE07F4D"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EFDE63" w14:textId="77777777" w:rsidR="00976487" w:rsidRPr="00687DE8" w:rsidRDefault="00976487">
            <w:pPr>
              <w:spacing w:after="0" w:line="240" w:lineRule="auto"/>
              <w:rPr>
                <w:szCs w:val="24"/>
              </w:rPr>
            </w:pPr>
            <w:r w:rsidRPr="00687DE8">
              <w:rPr>
                <w:szCs w:val="24"/>
              </w:rPr>
              <w:lastRenderedPageBreak/>
              <w:t>Biliopankreaatilise süsteemi kartsinoomi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3351E9" w14:textId="77777777" w:rsidR="00976487" w:rsidRPr="00687DE8" w:rsidRDefault="00976487">
            <w:pPr>
              <w:spacing w:after="0" w:line="240" w:lineRule="auto"/>
              <w:jc w:val="center"/>
              <w:rPr>
                <w:szCs w:val="24"/>
              </w:rPr>
            </w:pPr>
            <w:r w:rsidRPr="00687DE8">
              <w:rPr>
                <w:szCs w:val="24"/>
              </w:rPr>
              <w:t>266R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F6D204" w14:textId="7E19F3F8" w:rsidR="1693D0CD" w:rsidRPr="00687DE8" w:rsidRDefault="00F3664E" w:rsidP="001B58FF">
            <w:pPr>
              <w:spacing w:after="0"/>
              <w:jc w:val="center"/>
              <w:rPr>
                <w:color w:val="000000" w:themeColor="text1"/>
              </w:rPr>
            </w:pPr>
            <w:r>
              <w:rPr>
                <w:color w:val="000000"/>
              </w:rPr>
              <w:t>280,19</w:t>
            </w:r>
          </w:p>
        </w:tc>
      </w:tr>
      <w:tr w:rsidR="111E33CE" w:rsidRPr="00687DE8" w14:paraId="075CC156"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808E15" w14:textId="77777777" w:rsidR="5A17B7B8" w:rsidRPr="00687DE8" w:rsidRDefault="5A17B7B8" w:rsidP="00C258A8">
            <w:pPr>
              <w:spacing w:after="0" w:line="240" w:lineRule="auto"/>
              <w:rPr>
                <w:szCs w:val="24"/>
              </w:rPr>
            </w:pPr>
            <w:r w:rsidRPr="00687DE8">
              <w:rPr>
                <w:szCs w:val="24"/>
              </w:rPr>
              <w:t>Mittere</w:t>
            </w:r>
            <w:r w:rsidR="00E0178F" w:rsidRPr="00687DE8">
              <w:rPr>
                <w:szCs w:val="24"/>
              </w:rPr>
              <w:t>set</w:t>
            </w:r>
            <w:r w:rsidRPr="00687DE8">
              <w:rPr>
                <w:szCs w:val="24"/>
              </w:rPr>
              <w:t xml:space="preserve">seeritava hepatotsellulaarse kartsinoomi ravi atesolizumabi ja bevatsizumabiga, </w:t>
            </w:r>
            <w:r w:rsidR="00C258A8" w:rsidRPr="00687DE8">
              <w:rPr>
                <w:szCs w:val="24"/>
              </w:rPr>
              <w:t>kolme</w:t>
            </w:r>
            <w:r w:rsidR="026F9FA0" w:rsidRPr="00687DE8">
              <w:rPr>
                <w:szCs w:val="24"/>
              </w:rPr>
              <w:t>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D77EB1" w14:textId="77777777" w:rsidR="111E33CE" w:rsidRPr="00687DE8" w:rsidRDefault="026F9FA0" w:rsidP="000651A8">
            <w:pPr>
              <w:spacing w:after="0" w:line="240" w:lineRule="auto"/>
              <w:jc w:val="center"/>
              <w:rPr>
                <w:szCs w:val="24"/>
              </w:rPr>
            </w:pPr>
            <w:r w:rsidRPr="00687DE8">
              <w:rPr>
                <w:szCs w:val="24"/>
              </w:rPr>
              <w:t>287R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F1E02C" w14:textId="44B1684E" w:rsidR="1693D0CD" w:rsidRPr="00687DE8" w:rsidRDefault="00F3664E" w:rsidP="001B58FF">
            <w:pPr>
              <w:spacing w:after="0"/>
              <w:jc w:val="center"/>
              <w:rPr>
                <w:color w:val="000000" w:themeColor="text1"/>
              </w:rPr>
            </w:pPr>
            <w:r>
              <w:rPr>
                <w:color w:val="000000"/>
              </w:rPr>
              <w:t>5 237,78</w:t>
            </w:r>
          </w:p>
        </w:tc>
      </w:tr>
      <w:tr w:rsidR="00976487" w:rsidRPr="00687DE8" w14:paraId="5F05F228"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71A94E" w14:textId="77777777" w:rsidR="00976487" w:rsidRPr="00687DE8" w:rsidRDefault="00976487">
            <w:pPr>
              <w:spacing w:after="0" w:line="240" w:lineRule="auto"/>
              <w:rPr>
                <w:szCs w:val="24"/>
              </w:rPr>
            </w:pPr>
            <w:r w:rsidRPr="00687DE8">
              <w:rPr>
                <w:szCs w:val="24"/>
              </w:rPr>
              <w:t>Munasarjakasvajate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78DD7D" w14:textId="77777777" w:rsidR="00976487" w:rsidRPr="00687DE8" w:rsidRDefault="00976487">
            <w:pPr>
              <w:spacing w:after="0" w:line="240" w:lineRule="auto"/>
              <w:jc w:val="center"/>
              <w:rPr>
                <w:szCs w:val="24"/>
              </w:rPr>
            </w:pPr>
            <w:r w:rsidRPr="00687DE8">
              <w:rPr>
                <w:szCs w:val="24"/>
              </w:rPr>
              <w:t>325R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ADD8D3" w14:textId="64FB51E0" w:rsidR="1693D0CD" w:rsidRPr="00687DE8" w:rsidRDefault="00F3664E" w:rsidP="001B58FF">
            <w:pPr>
              <w:spacing w:after="0"/>
              <w:jc w:val="center"/>
              <w:rPr>
                <w:color w:val="000000" w:themeColor="text1"/>
              </w:rPr>
            </w:pPr>
            <w:r>
              <w:rPr>
                <w:color w:val="000000"/>
              </w:rPr>
              <w:t>168,91</w:t>
            </w:r>
          </w:p>
        </w:tc>
      </w:tr>
      <w:tr w:rsidR="00976487" w:rsidRPr="00687DE8" w14:paraId="157894EF"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27DF5F" w14:textId="77777777" w:rsidR="00976487" w:rsidRPr="00687DE8" w:rsidRDefault="00976487">
            <w:pPr>
              <w:spacing w:after="0" w:line="240" w:lineRule="auto"/>
              <w:rPr>
                <w:szCs w:val="24"/>
              </w:rPr>
            </w:pPr>
            <w:bookmarkStart w:id="34" w:name="_Hlk151739139"/>
            <w:r w:rsidRPr="00687DE8">
              <w:rPr>
                <w:szCs w:val="24"/>
              </w:rPr>
              <w:t>Emakakaelakasvajate kemoteraapiakuur</w:t>
            </w:r>
            <w:bookmarkEnd w:id="34"/>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B0F622" w14:textId="77777777" w:rsidR="00976487" w:rsidRPr="00687DE8" w:rsidRDefault="00976487">
            <w:pPr>
              <w:spacing w:after="0" w:line="240" w:lineRule="auto"/>
              <w:jc w:val="center"/>
              <w:rPr>
                <w:szCs w:val="24"/>
              </w:rPr>
            </w:pPr>
            <w:r w:rsidRPr="00687DE8">
              <w:rPr>
                <w:szCs w:val="24"/>
              </w:rPr>
              <w:t>326R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4FD251" w14:textId="1880DA8A" w:rsidR="1693D0CD" w:rsidRPr="00687DE8" w:rsidRDefault="00F3664E" w:rsidP="001B58FF">
            <w:pPr>
              <w:spacing w:after="0"/>
              <w:jc w:val="center"/>
              <w:rPr>
                <w:color w:val="000000" w:themeColor="text1"/>
              </w:rPr>
            </w:pPr>
            <w:r>
              <w:rPr>
                <w:color w:val="000000"/>
              </w:rPr>
              <w:t>430,75</w:t>
            </w:r>
          </w:p>
        </w:tc>
      </w:tr>
      <w:tr w:rsidR="003A25ED" w:rsidRPr="00687DE8" w14:paraId="25604A93" w14:textId="77777777" w:rsidTr="4536FD26">
        <w:trPr>
          <w:divId w:val="1316184749"/>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CC077A" w14:textId="1918D051" w:rsidR="003A25ED" w:rsidRPr="00687DE8" w:rsidRDefault="003A25ED">
            <w:pPr>
              <w:spacing w:after="0" w:line="240" w:lineRule="auto"/>
              <w:rPr>
                <w:szCs w:val="24"/>
              </w:rPr>
            </w:pPr>
            <w:r w:rsidRPr="00687DE8">
              <w:rPr>
                <w:szCs w:val="24"/>
              </w:rPr>
              <w:t>Emakakaelakasvaja ravi pembrolizumabiga, kolmenädalane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47BF5D" w14:textId="3B50943B" w:rsidR="003A25ED" w:rsidRPr="00687DE8" w:rsidRDefault="002543F7">
            <w:pPr>
              <w:spacing w:after="0" w:line="240" w:lineRule="auto"/>
              <w:jc w:val="center"/>
              <w:rPr>
                <w:szCs w:val="24"/>
              </w:rPr>
            </w:pPr>
            <w:r w:rsidRPr="00687DE8">
              <w:rPr>
                <w:szCs w:val="24"/>
              </w:rPr>
              <w:t>419R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0855024" w14:textId="7DE7AAF5" w:rsidR="003A25ED" w:rsidRPr="00687DE8" w:rsidRDefault="009D5D1E" w:rsidP="001B58FF">
            <w:pPr>
              <w:tabs>
                <w:tab w:val="decimal" w:pos="635"/>
              </w:tabs>
              <w:spacing w:after="0" w:line="240" w:lineRule="auto"/>
              <w:jc w:val="center"/>
              <w:rPr>
                <w:szCs w:val="24"/>
              </w:rPr>
            </w:pPr>
            <w:r>
              <w:rPr>
                <w:color w:val="000000"/>
              </w:rPr>
              <w:t>3 916,14</w:t>
            </w:r>
          </w:p>
        </w:tc>
      </w:tr>
      <w:tr w:rsidR="49F6DB98" w14:paraId="42EC8DD3"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8DE5DD" w14:textId="6AA26AD5" w:rsidR="2245750B" w:rsidRDefault="2245750B" w:rsidP="49F6DB98">
            <w:pPr>
              <w:spacing w:line="240" w:lineRule="auto"/>
            </w:pPr>
            <w:r>
              <w:t>Emakakaelakasvaja ravi tsemiplimabiga, kolmenädalane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64A7A0" w14:textId="188DA4E5" w:rsidR="2245750B" w:rsidRDefault="2245750B" w:rsidP="49F6DB98">
            <w:pPr>
              <w:spacing w:line="240" w:lineRule="auto"/>
              <w:jc w:val="center"/>
            </w:pPr>
            <w:r>
              <w:t>464R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C73BDF3" w14:textId="224CA3A5" w:rsidR="00600A5F" w:rsidRDefault="00600A5F" w:rsidP="00F3664E">
            <w:pPr>
              <w:spacing w:line="240" w:lineRule="auto"/>
              <w:jc w:val="center"/>
              <w:rPr>
                <w:color w:val="000000" w:themeColor="text1"/>
              </w:rPr>
            </w:pPr>
          </w:p>
          <w:p w14:paraId="1CA3E1E0" w14:textId="4B6D162E" w:rsidR="49F6DB98" w:rsidRDefault="00600A5F" w:rsidP="001B58FF">
            <w:pPr>
              <w:spacing w:line="240" w:lineRule="auto"/>
              <w:jc w:val="center"/>
              <w:rPr>
                <w:color w:val="000000" w:themeColor="text1"/>
              </w:rPr>
            </w:pPr>
            <w:r w:rsidRPr="00600A5F">
              <w:rPr>
                <w:color w:val="000000" w:themeColor="text1"/>
              </w:rPr>
              <w:t>3 916,14</w:t>
            </w:r>
          </w:p>
        </w:tc>
      </w:tr>
      <w:tr w:rsidR="00976487" w:rsidRPr="00687DE8" w14:paraId="24DBC034" w14:textId="77777777" w:rsidTr="00EB7A71">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F64381" w14:textId="77777777" w:rsidR="00976487" w:rsidRPr="00687DE8" w:rsidRDefault="00976487">
            <w:pPr>
              <w:spacing w:after="0" w:line="240" w:lineRule="auto"/>
              <w:rPr>
                <w:szCs w:val="24"/>
              </w:rPr>
            </w:pPr>
            <w:r w:rsidRPr="00687DE8">
              <w:rPr>
                <w:szCs w:val="24"/>
              </w:rPr>
              <w:t>Endomeetriumikasvajate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888BEB" w14:textId="77777777" w:rsidR="00976487" w:rsidRPr="00687DE8" w:rsidRDefault="00976487">
            <w:pPr>
              <w:spacing w:after="0" w:line="240" w:lineRule="auto"/>
              <w:jc w:val="center"/>
              <w:rPr>
                <w:szCs w:val="24"/>
              </w:rPr>
            </w:pPr>
            <w:r w:rsidRPr="00687DE8">
              <w:rPr>
                <w:szCs w:val="24"/>
              </w:rPr>
              <w:t>327R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0416D4" w14:textId="712EBDAA" w:rsidR="64FE4AA2" w:rsidRPr="00687DE8" w:rsidRDefault="000E1B71" w:rsidP="001B58FF">
            <w:pPr>
              <w:spacing w:after="0"/>
              <w:jc w:val="center"/>
              <w:rPr>
                <w:color w:val="000000" w:themeColor="text1"/>
                <w:szCs w:val="24"/>
              </w:rPr>
            </w:pPr>
            <w:r>
              <w:rPr>
                <w:color w:val="000000"/>
              </w:rPr>
              <w:t>269,12</w:t>
            </w:r>
          </w:p>
        </w:tc>
      </w:tr>
      <w:tr w:rsidR="0073588F" w:rsidRPr="00687DE8" w14:paraId="4BCD45D4"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8A3201" w14:textId="4683D5CA" w:rsidR="0073588F" w:rsidRPr="00687DE8" w:rsidRDefault="00C17F97">
            <w:pPr>
              <w:spacing w:after="0" w:line="240" w:lineRule="auto"/>
            </w:pPr>
            <w:r>
              <w:t>Endomeet</w:t>
            </w:r>
            <w:r w:rsidR="3950E3D1">
              <w:t>ri</w:t>
            </w:r>
            <w:r>
              <w:t>umikasvaja ravi dostarlimabiga, kolmenädalane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AD0EB4" w14:textId="6BB86FBA" w:rsidR="0073588F" w:rsidRPr="00687DE8" w:rsidRDefault="00C17F97">
            <w:pPr>
              <w:spacing w:after="0" w:line="240" w:lineRule="auto"/>
              <w:jc w:val="center"/>
              <w:rPr>
                <w:szCs w:val="24"/>
              </w:rPr>
            </w:pPr>
            <w:r>
              <w:rPr>
                <w:szCs w:val="24"/>
              </w:rPr>
              <w:t>434R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619EE07" w14:textId="292F22F6" w:rsidR="0073588F" w:rsidRPr="00687DE8" w:rsidRDefault="000E1B71" w:rsidP="001B58FF">
            <w:pPr>
              <w:spacing w:after="0"/>
              <w:jc w:val="center"/>
              <w:rPr>
                <w:color w:val="000000" w:themeColor="text1"/>
                <w:szCs w:val="24"/>
              </w:rPr>
            </w:pPr>
            <w:r>
              <w:rPr>
                <w:color w:val="000000"/>
              </w:rPr>
              <w:t>3 320,57</w:t>
            </w:r>
          </w:p>
        </w:tc>
      </w:tr>
      <w:tr w:rsidR="676A52DA" w14:paraId="49344434" w14:textId="77777777" w:rsidTr="00EB7A71">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70D97A" w14:textId="4A6690E0" w:rsidR="1AC787F2" w:rsidRDefault="1AC787F2" w:rsidP="676A52DA">
            <w:pPr>
              <w:spacing w:after="0" w:line="240" w:lineRule="auto"/>
            </w:pPr>
            <w:r>
              <w:t>Endomeetriumikasvaja ravi pembrolizumabiga, kolmenädalane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455D80" w14:textId="7AC371D7" w:rsidR="676A52DA" w:rsidRDefault="1AC787F2" w:rsidP="676A52DA">
            <w:pPr>
              <w:spacing w:line="240" w:lineRule="auto"/>
              <w:jc w:val="center"/>
            </w:pPr>
            <w:r>
              <w:t>449R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E19928" w14:textId="105D091E" w:rsidR="676A52DA" w:rsidRDefault="00926265" w:rsidP="001B58FF">
            <w:pPr>
              <w:jc w:val="center"/>
              <w:rPr>
                <w:color w:val="000000" w:themeColor="text1"/>
              </w:rPr>
            </w:pPr>
            <w:r>
              <w:rPr>
                <w:color w:val="000000"/>
              </w:rPr>
              <w:t>3 916,14</w:t>
            </w:r>
          </w:p>
        </w:tc>
      </w:tr>
      <w:tr w:rsidR="5AA76B7D" w14:paraId="666BC869"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70A504" w14:textId="171BF9E4" w:rsidR="122B3D7A" w:rsidRDefault="122B3D7A" w:rsidP="5AA76B7D">
            <w:pPr>
              <w:spacing w:line="240" w:lineRule="auto"/>
            </w:pPr>
            <w:r>
              <w:t xml:space="preserve">Endomeetriumikasvaja ravi durvalumabiga, </w:t>
            </w:r>
            <w:r w:rsidR="1C4744E4">
              <w:t>1500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CBFB2A" w14:textId="13B0207A" w:rsidR="122B3D7A" w:rsidRDefault="122B3D7A" w:rsidP="5AA76B7D">
            <w:pPr>
              <w:spacing w:line="240" w:lineRule="auto"/>
              <w:jc w:val="center"/>
            </w:pPr>
            <w:r>
              <w:t>460R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1001580" w14:textId="7809952C" w:rsidR="5AA76B7D" w:rsidRDefault="00926265" w:rsidP="001B58FF">
            <w:pPr>
              <w:jc w:val="center"/>
              <w:rPr>
                <w:color w:val="000000" w:themeColor="text1"/>
              </w:rPr>
            </w:pPr>
            <w:r>
              <w:rPr>
                <w:color w:val="000000"/>
              </w:rPr>
              <w:t>5 220,20</w:t>
            </w:r>
          </w:p>
        </w:tc>
      </w:tr>
      <w:tr w:rsidR="00976487" w:rsidRPr="00687DE8" w14:paraId="7DA97B29" w14:textId="77777777" w:rsidTr="00EB7A71">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6958D2" w14:textId="3D7DAB60" w:rsidR="00976487" w:rsidRPr="00687DE8" w:rsidRDefault="00976487">
            <w:pPr>
              <w:spacing w:after="0" w:line="240" w:lineRule="auto"/>
              <w:rPr>
                <w:szCs w:val="24"/>
              </w:rPr>
            </w:pPr>
            <w:r w:rsidRPr="00687DE8">
              <w:rPr>
                <w:szCs w:val="24"/>
              </w:rPr>
              <w:t>Eesnäärmekasvajate kemoteraapiakuur</w:t>
            </w:r>
            <w:r w:rsidR="005C6FE6" w:rsidRPr="00687DE8">
              <w:rPr>
                <w:szCs w:val="24"/>
              </w:rPr>
              <w:t xml:space="preserve"> kabasitakseeli</w:t>
            </w:r>
            <w:r w:rsidR="004D386E" w:rsidRPr="00687DE8">
              <w:rPr>
                <w:szCs w:val="24"/>
              </w:rPr>
              <w:t>ga</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81202A" w14:textId="0EB22BE7" w:rsidR="00976487" w:rsidRPr="00687DE8" w:rsidRDefault="00AA48B3">
            <w:pPr>
              <w:spacing w:after="0" w:line="240" w:lineRule="auto"/>
              <w:jc w:val="center"/>
              <w:rPr>
                <w:szCs w:val="24"/>
              </w:rPr>
            </w:pPr>
            <w:r w:rsidRPr="00687DE8">
              <w:rPr>
                <w:szCs w:val="24"/>
              </w:rPr>
              <w:t>425R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601996" w14:textId="22ACB5BE" w:rsidR="64FE4AA2" w:rsidRPr="00687DE8" w:rsidRDefault="00926265" w:rsidP="001B58FF">
            <w:pPr>
              <w:spacing w:after="0"/>
              <w:jc w:val="center"/>
              <w:rPr>
                <w:color w:val="000000" w:themeColor="text1"/>
                <w:szCs w:val="24"/>
              </w:rPr>
            </w:pPr>
            <w:r>
              <w:rPr>
                <w:color w:val="000000"/>
              </w:rPr>
              <w:t>998,57</w:t>
            </w:r>
          </w:p>
        </w:tc>
      </w:tr>
      <w:tr w:rsidR="00AA48B3" w:rsidRPr="00687DE8" w14:paraId="372AD280"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B1376B" w14:textId="17B3BB5F" w:rsidR="00AA48B3" w:rsidRPr="00687DE8" w:rsidRDefault="00AA48B3" w:rsidP="00AA48B3">
            <w:pPr>
              <w:spacing w:after="0" w:line="240" w:lineRule="auto"/>
              <w:rPr>
                <w:szCs w:val="24"/>
              </w:rPr>
            </w:pPr>
            <w:r w:rsidRPr="00687DE8">
              <w:rPr>
                <w:szCs w:val="24"/>
              </w:rPr>
              <w:t>Eesnäärmekasvajate kemoteraapiakuur dotsetakseeliga</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A7EE58" w14:textId="42D17C22" w:rsidR="00AA48B3" w:rsidRPr="00687DE8" w:rsidRDefault="00AA48B3" w:rsidP="00AA48B3">
            <w:pPr>
              <w:spacing w:after="0" w:line="240" w:lineRule="auto"/>
              <w:jc w:val="center"/>
              <w:rPr>
                <w:szCs w:val="24"/>
              </w:rPr>
            </w:pPr>
            <w:r w:rsidRPr="00687DE8">
              <w:rPr>
                <w:szCs w:val="24"/>
              </w:rPr>
              <w:t>426R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E6F8415" w14:textId="56C4FE22" w:rsidR="00AA48B3" w:rsidRPr="00687DE8" w:rsidDel="0028231A" w:rsidRDefault="00926265" w:rsidP="001B58FF">
            <w:pPr>
              <w:spacing w:after="0"/>
              <w:jc w:val="center"/>
              <w:rPr>
                <w:color w:val="000000" w:themeColor="text1"/>
              </w:rPr>
            </w:pPr>
            <w:r>
              <w:rPr>
                <w:color w:val="000000"/>
              </w:rPr>
              <w:t>38,98</w:t>
            </w:r>
          </w:p>
        </w:tc>
      </w:tr>
      <w:tr w:rsidR="00976487" w:rsidRPr="00687DE8" w14:paraId="653D417D"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E6C46F" w14:textId="77777777" w:rsidR="00976487" w:rsidRPr="00687DE8" w:rsidRDefault="00976487">
            <w:pPr>
              <w:spacing w:after="0" w:line="240" w:lineRule="auto"/>
              <w:rPr>
                <w:szCs w:val="24"/>
              </w:rPr>
            </w:pPr>
            <w:r w:rsidRPr="00687DE8">
              <w:rPr>
                <w:szCs w:val="24"/>
              </w:rPr>
              <w:t>Kusepõie- ja kuseteede kasvajate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0ACFEF" w14:textId="77777777" w:rsidR="00976487" w:rsidRPr="00687DE8" w:rsidRDefault="00976487">
            <w:pPr>
              <w:spacing w:after="0" w:line="240" w:lineRule="auto"/>
              <w:jc w:val="center"/>
              <w:rPr>
                <w:szCs w:val="24"/>
              </w:rPr>
            </w:pPr>
            <w:r w:rsidRPr="00687DE8">
              <w:rPr>
                <w:szCs w:val="24"/>
              </w:rPr>
              <w:t>351R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FB22B1" w14:textId="5E563C76" w:rsidR="64FE4AA2" w:rsidRPr="00687DE8" w:rsidRDefault="00926265" w:rsidP="001B58FF">
            <w:pPr>
              <w:spacing w:after="0"/>
              <w:jc w:val="center"/>
              <w:rPr>
                <w:color w:val="000000" w:themeColor="text1"/>
              </w:rPr>
            </w:pPr>
            <w:r>
              <w:rPr>
                <w:color w:val="000000"/>
              </w:rPr>
              <w:t>267,41</w:t>
            </w:r>
          </w:p>
        </w:tc>
      </w:tr>
      <w:tr w:rsidR="0043050D" w:rsidRPr="00687DE8" w:rsidDel="00822561" w14:paraId="026BA949"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D7C37E" w14:textId="3FF9F2AA" w:rsidR="0043050D" w:rsidRPr="00687DE8" w:rsidDel="00822561" w:rsidRDefault="0043050D">
            <w:pPr>
              <w:spacing w:after="0" w:line="240" w:lineRule="auto"/>
              <w:rPr>
                <w:szCs w:val="24"/>
              </w:rPr>
            </w:pPr>
            <w:r w:rsidRPr="00687DE8">
              <w:rPr>
                <w:szCs w:val="24"/>
              </w:rPr>
              <w:t>Neerukasvaja ravi temsiroliimusega, 1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738A4D" w14:textId="129A3D19" w:rsidR="0043050D" w:rsidRPr="00687DE8" w:rsidDel="00822561" w:rsidRDefault="0043050D">
            <w:pPr>
              <w:spacing w:after="0" w:line="240" w:lineRule="auto"/>
              <w:jc w:val="center"/>
              <w:rPr>
                <w:szCs w:val="24"/>
              </w:rPr>
            </w:pPr>
            <w:r w:rsidRPr="00687DE8">
              <w:rPr>
                <w:szCs w:val="24"/>
              </w:rPr>
              <w:t>414R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983C815" w14:textId="7E3F6C1C" w:rsidR="64FE4AA2" w:rsidRPr="00687DE8" w:rsidRDefault="00926265" w:rsidP="001B58FF">
            <w:pPr>
              <w:spacing w:after="0"/>
              <w:jc w:val="center"/>
              <w:rPr>
                <w:color w:val="000000" w:themeColor="text1"/>
                <w:szCs w:val="24"/>
              </w:rPr>
            </w:pPr>
            <w:r>
              <w:rPr>
                <w:color w:val="000000"/>
              </w:rPr>
              <w:t>38,19</w:t>
            </w:r>
          </w:p>
        </w:tc>
      </w:tr>
      <w:tr w:rsidR="00976487" w:rsidRPr="00687DE8" w14:paraId="395853B9"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6A6824" w14:textId="77777777" w:rsidR="00976487" w:rsidRPr="00687DE8" w:rsidRDefault="00976487">
            <w:pPr>
              <w:spacing w:after="0" w:line="240" w:lineRule="auto"/>
              <w:rPr>
                <w:szCs w:val="24"/>
              </w:rPr>
            </w:pPr>
            <w:r w:rsidRPr="00687DE8">
              <w:rPr>
                <w:szCs w:val="24"/>
              </w:rPr>
              <w:t>Munandikasvajate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29E953" w14:textId="77777777" w:rsidR="00976487" w:rsidRPr="00687DE8" w:rsidRDefault="00976487">
            <w:pPr>
              <w:spacing w:after="0" w:line="240" w:lineRule="auto"/>
              <w:jc w:val="center"/>
              <w:rPr>
                <w:szCs w:val="24"/>
              </w:rPr>
            </w:pPr>
            <w:r w:rsidRPr="00687DE8">
              <w:rPr>
                <w:szCs w:val="24"/>
              </w:rPr>
              <w:t>353R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949B33" w14:textId="6223781D" w:rsidR="64FE4AA2" w:rsidRPr="00687DE8" w:rsidRDefault="00926265" w:rsidP="001B58FF">
            <w:pPr>
              <w:spacing w:after="0"/>
              <w:jc w:val="center"/>
              <w:rPr>
                <w:color w:val="000000" w:themeColor="text1"/>
                <w:szCs w:val="24"/>
              </w:rPr>
            </w:pPr>
            <w:r>
              <w:rPr>
                <w:color w:val="000000"/>
              </w:rPr>
              <w:t>739,54</w:t>
            </w:r>
          </w:p>
        </w:tc>
      </w:tr>
      <w:tr w:rsidR="00976487" w:rsidRPr="00687DE8" w14:paraId="593E0DCF"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90B452" w14:textId="77777777" w:rsidR="00976487" w:rsidRPr="00687DE8" w:rsidRDefault="00976487">
            <w:pPr>
              <w:spacing w:after="0" w:line="240" w:lineRule="auto"/>
              <w:rPr>
                <w:szCs w:val="24"/>
              </w:rPr>
            </w:pPr>
            <w:r w:rsidRPr="00687DE8">
              <w:rPr>
                <w:szCs w:val="24"/>
              </w:rPr>
              <w:t xml:space="preserve">Ravi brentuksimabvedotiiniga, </w:t>
            </w:r>
            <w:r w:rsidR="00303516" w:rsidRPr="00687DE8">
              <w:rPr>
                <w:szCs w:val="24"/>
              </w:rPr>
              <w:t>50</w:t>
            </w:r>
            <w:r w:rsidR="00CD44D1" w:rsidRPr="00687DE8">
              <w:rPr>
                <w:szCs w:val="24"/>
              </w:rPr>
              <w:t xml:space="preserve"> </w:t>
            </w:r>
            <w:r w:rsidR="00303516" w:rsidRPr="00687DE8">
              <w:rPr>
                <w:szCs w:val="24"/>
              </w:rPr>
              <w:t xml:space="preserve">mg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6260E4" w14:textId="77777777" w:rsidR="00976487" w:rsidRPr="00687DE8" w:rsidRDefault="00976487">
            <w:pPr>
              <w:spacing w:after="0" w:line="240" w:lineRule="auto"/>
              <w:jc w:val="center"/>
              <w:rPr>
                <w:szCs w:val="24"/>
              </w:rPr>
            </w:pPr>
            <w:r w:rsidRPr="00687DE8">
              <w:rPr>
                <w:szCs w:val="24"/>
              </w:rPr>
              <w:t>370R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006A77" w14:textId="05C3D9D0" w:rsidR="64FE4AA2" w:rsidRPr="00687DE8" w:rsidRDefault="00926265" w:rsidP="001B58FF">
            <w:pPr>
              <w:spacing w:after="0"/>
              <w:jc w:val="center"/>
              <w:rPr>
                <w:color w:val="000000" w:themeColor="text1"/>
                <w:szCs w:val="24"/>
              </w:rPr>
            </w:pPr>
            <w:r>
              <w:rPr>
                <w:color w:val="000000"/>
              </w:rPr>
              <w:t>2 979,92</w:t>
            </w:r>
          </w:p>
        </w:tc>
      </w:tr>
      <w:tr w:rsidR="00976487" w:rsidRPr="00687DE8" w14:paraId="2B62071E" w14:textId="77777777" w:rsidTr="00EB7A71">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A4B0EA" w14:textId="77777777" w:rsidR="00976487" w:rsidRPr="00687DE8" w:rsidRDefault="00976487">
            <w:pPr>
              <w:spacing w:after="0" w:line="240" w:lineRule="auto"/>
              <w:rPr>
                <w:szCs w:val="24"/>
              </w:rPr>
            </w:pPr>
            <w:r w:rsidRPr="00687DE8">
              <w:rPr>
                <w:szCs w:val="24"/>
              </w:rPr>
              <w:t xml:space="preserve">Osteosarkoomi ravi mifamurtiidiga, </w:t>
            </w:r>
            <w:r w:rsidR="001C6079" w:rsidRPr="00687DE8">
              <w:rPr>
                <w:szCs w:val="24"/>
              </w:rPr>
              <w:t>üks</w:t>
            </w:r>
            <w:r w:rsidRPr="00687DE8">
              <w:rPr>
                <w:szCs w:val="24"/>
              </w:rPr>
              <w:t xml:space="preserve"> viaal</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23DE5F" w14:textId="77777777" w:rsidR="00976487" w:rsidRPr="00687DE8" w:rsidRDefault="00976487">
            <w:pPr>
              <w:spacing w:after="0" w:line="240" w:lineRule="auto"/>
              <w:jc w:val="center"/>
              <w:rPr>
                <w:szCs w:val="24"/>
              </w:rPr>
            </w:pPr>
            <w:r w:rsidRPr="00687DE8">
              <w:rPr>
                <w:szCs w:val="24"/>
              </w:rPr>
              <w:t>371R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7AAD76" w14:textId="4587BBE8" w:rsidR="64FE4AA2" w:rsidRPr="00687DE8" w:rsidRDefault="0087240D" w:rsidP="001B58FF">
            <w:pPr>
              <w:spacing w:after="0"/>
              <w:jc w:val="center"/>
              <w:rPr>
                <w:color w:val="000000" w:themeColor="text1"/>
                <w:szCs w:val="24"/>
              </w:rPr>
            </w:pPr>
            <w:r>
              <w:rPr>
                <w:color w:val="000000"/>
              </w:rPr>
              <w:t>3 069,87</w:t>
            </w:r>
          </w:p>
        </w:tc>
      </w:tr>
      <w:tr w:rsidR="00976487" w:rsidRPr="00687DE8" w14:paraId="15AFFEB3"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B7C35E" w14:textId="77777777" w:rsidR="00976487" w:rsidRPr="00687DE8" w:rsidRDefault="00976487">
            <w:pPr>
              <w:spacing w:after="0" w:line="240" w:lineRule="auto"/>
              <w:rPr>
                <w:szCs w:val="24"/>
              </w:rPr>
            </w:pPr>
            <w:r w:rsidRPr="00687DE8">
              <w:rPr>
                <w:szCs w:val="24"/>
              </w:rPr>
              <w:t>Vereloome tüvirakkude mobiliseerimisskeem IVE</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CED334" w14:textId="77777777" w:rsidR="00976487" w:rsidRPr="00687DE8" w:rsidRDefault="00976487">
            <w:pPr>
              <w:spacing w:after="0" w:line="240" w:lineRule="auto"/>
              <w:jc w:val="center"/>
              <w:rPr>
                <w:szCs w:val="24"/>
              </w:rPr>
            </w:pPr>
            <w:r w:rsidRPr="00687DE8">
              <w:rPr>
                <w:szCs w:val="24"/>
              </w:rPr>
              <w:t>372R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0AAA16" w14:textId="034087BB" w:rsidR="64FE4AA2" w:rsidRPr="00687DE8" w:rsidRDefault="0087240D" w:rsidP="001B58FF">
            <w:pPr>
              <w:spacing w:after="0"/>
              <w:jc w:val="center"/>
              <w:rPr>
                <w:color w:val="000000" w:themeColor="text1"/>
              </w:rPr>
            </w:pPr>
            <w:r>
              <w:rPr>
                <w:color w:val="000000"/>
              </w:rPr>
              <w:t>996,17</w:t>
            </w:r>
          </w:p>
        </w:tc>
      </w:tr>
      <w:tr w:rsidR="00976487" w:rsidRPr="00687DE8" w14:paraId="53596021"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CAD798" w14:textId="77777777" w:rsidR="00976487" w:rsidRPr="00687DE8" w:rsidRDefault="00976487">
            <w:pPr>
              <w:spacing w:after="0" w:line="240" w:lineRule="auto"/>
              <w:rPr>
                <w:szCs w:val="24"/>
              </w:rPr>
            </w:pPr>
            <w:r w:rsidRPr="00687DE8">
              <w:rPr>
                <w:szCs w:val="24"/>
              </w:rPr>
              <w:t>Vereloome tüvirakkude mobiliseerimisskeem R-IVE</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BDAF65" w14:textId="77777777" w:rsidR="00976487" w:rsidRPr="00687DE8" w:rsidRDefault="00976487">
            <w:pPr>
              <w:spacing w:after="0" w:line="240" w:lineRule="auto"/>
              <w:jc w:val="center"/>
              <w:rPr>
                <w:szCs w:val="24"/>
              </w:rPr>
            </w:pPr>
            <w:r w:rsidRPr="00687DE8">
              <w:rPr>
                <w:szCs w:val="24"/>
              </w:rPr>
              <w:t>373R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61EEC5" w14:textId="5DA3B93E" w:rsidR="64FE4AA2" w:rsidRPr="00687DE8" w:rsidRDefault="0087240D" w:rsidP="001B58FF">
            <w:pPr>
              <w:spacing w:after="0"/>
              <w:jc w:val="center"/>
              <w:rPr>
                <w:color w:val="000000" w:themeColor="text1"/>
              </w:rPr>
            </w:pPr>
            <w:r>
              <w:rPr>
                <w:color w:val="000000"/>
              </w:rPr>
              <w:t>1 176,39</w:t>
            </w:r>
          </w:p>
        </w:tc>
      </w:tr>
      <w:tr w:rsidR="00976487" w:rsidRPr="00687DE8" w14:paraId="053EBB9C"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C9ADA1" w14:textId="77777777" w:rsidR="00976487" w:rsidRPr="00687DE8" w:rsidRDefault="00976487">
            <w:pPr>
              <w:spacing w:after="0" w:line="240" w:lineRule="auto"/>
              <w:rPr>
                <w:szCs w:val="24"/>
              </w:rPr>
            </w:pPr>
            <w:r w:rsidRPr="00687DE8">
              <w:rPr>
                <w:szCs w:val="24"/>
              </w:rPr>
              <w:t>Vereloome tüvirakkude mobiliseerimisskeem IED</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16B296" w14:textId="77777777" w:rsidR="00976487" w:rsidRPr="00687DE8" w:rsidRDefault="00976487">
            <w:pPr>
              <w:spacing w:after="0" w:line="240" w:lineRule="auto"/>
              <w:jc w:val="center"/>
              <w:rPr>
                <w:szCs w:val="24"/>
              </w:rPr>
            </w:pPr>
            <w:r w:rsidRPr="00687DE8">
              <w:rPr>
                <w:szCs w:val="24"/>
              </w:rPr>
              <w:t>374R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55810F" w14:textId="6D067516" w:rsidR="64FE4AA2" w:rsidRPr="00687DE8" w:rsidRDefault="0087240D" w:rsidP="001B58FF">
            <w:pPr>
              <w:spacing w:after="0"/>
              <w:jc w:val="center"/>
              <w:rPr>
                <w:color w:val="000000" w:themeColor="text1"/>
                <w:szCs w:val="24"/>
              </w:rPr>
            </w:pPr>
            <w:r>
              <w:rPr>
                <w:color w:val="000000"/>
              </w:rPr>
              <w:t>707,51</w:t>
            </w:r>
          </w:p>
        </w:tc>
      </w:tr>
      <w:tr w:rsidR="00976487" w:rsidRPr="00687DE8" w14:paraId="2BF9E7F4"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B013A2" w14:textId="77777777" w:rsidR="00976487" w:rsidRPr="00687DE8" w:rsidRDefault="00976487">
            <w:pPr>
              <w:spacing w:after="0" w:line="240" w:lineRule="auto"/>
              <w:rPr>
                <w:szCs w:val="24"/>
              </w:rPr>
            </w:pPr>
            <w:r w:rsidRPr="00687DE8">
              <w:rPr>
                <w:szCs w:val="24"/>
              </w:rPr>
              <w:t>Vereloome tüvirakkude mobiliseerimisskeem Cyclo</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EDFE06" w14:textId="77777777" w:rsidR="00976487" w:rsidRPr="00687DE8" w:rsidRDefault="00976487">
            <w:pPr>
              <w:spacing w:after="0" w:line="240" w:lineRule="auto"/>
              <w:jc w:val="center"/>
              <w:rPr>
                <w:szCs w:val="24"/>
              </w:rPr>
            </w:pPr>
            <w:r w:rsidRPr="00687DE8">
              <w:rPr>
                <w:szCs w:val="24"/>
              </w:rPr>
              <w:t>375R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B7E9E7" w14:textId="2BC6BD9C" w:rsidR="64FE4AA2" w:rsidRPr="00687DE8" w:rsidRDefault="0087240D" w:rsidP="001B58FF">
            <w:pPr>
              <w:spacing w:after="0"/>
              <w:jc w:val="center"/>
              <w:rPr>
                <w:color w:val="000000" w:themeColor="text1"/>
                <w:szCs w:val="24"/>
              </w:rPr>
            </w:pPr>
            <w:r>
              <w:rPr>
                <w:color w:val="000000"/>
              </w:rPr>
              <w:t>103,56</w:t>
            </w:r>
          </w:p>
        </w:tc>
      </w:tr>
      <w:tr w:rsidR="00976487" w:rsidRPr="00687DE8" w14:paraId="1DD1C49C"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443FE7" w14:textId="77777777" w:rsidR="00976487" w:rsidRPr="00687DE8" w:rsidRDefault="00976487">
            <w:pPr>
              <w:spacing w:after="0" w:line="240" w:lineRule="auto"/>
              <w:rPr>
                <w:szCs w:val="24"/>
              </w:rPr>
            </w:pPr>
            <w:r w:rsidRPr="00687DE8">
              <w:rPr>
                <w:szCs w:val="24"/>
              </w:rPr>
              <w:t>Vereloome tüvirakkude mobiliseerimisskeem pleriksafooriga</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54469A" w14:textId="77777777" w:rsidR="00976487" w:rsidRPr="00687DE8" w:rsidRDefault="00976487">
            <w:pPr>
              <w:spacing w:after="0" w:line="240" w:lineRule="auto"/>
              <w:jc w:val="center"/>
              <w:rPr>
                <w:szCs w:val="24"/>
              </w:rPr>
            </w:pPr>
            <w:r w:rsidRPr="00687DE8">
              <w:rPr>
                <w:szCs w:val="24"/>
              </w:rPr>
              <w:t>376R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75C522" w14:textId="0264E3D1" w:rsidR="64FE4AA2" w:rsidRPr="00687DE8" w:rsidRDefault="0087240D" w:rsidP="001B58FF">
            <w:pPr>
              <w:spacing w:after="0"/>
              <w:jc w:val="center"/>
              <w:rPr>
                <w:color w:val="000000" w:themeColor="text1"/>
              </w:rPr>
            </w:pPr>
            <w:r>
              <w:rPr>
                <w:color w:val="000000"/>
              </w:rPr>
              <w:t>5 424,93</w:t>
            </w:r>
          </w:p>
        </w:tc>
      </w:tr>
      <w:tr w:rsidR="00976487" w:rsidRPr="00687DE8" w14:paraId="25C99BA5"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704AD9" w14:textId="77777777" w:rsidR="00976487" w:rsidRPr="00687DE8" w:rsidRDefault="00976487">
            <w:pPr>
              <w:spacing w:after="0" w:line="240" w:lineRule="auto"/>
              <w:rPr>
                <w:szCs w:val="24"/>
              </w:rPr>
            </w:pPr>
            <w:r w:rsidRPr="00687DE8">
              <w:rPr>
                <w:szCs w:val="24"/>
              </w:rPr>
              <w:t>Vereloome tüvirakkude mobiliseerimisskeem R-DHAP</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F426D2" w14:textId="77777777" w:rsidR="00976487" w:rsidRPr="00687DE8" w:rsidRDefault="00976487">
            <w:pPr>
              <w:spacing w:after="0" w:line="240" w:lineRule="auto"/>
              <w:jc w:val="center"/>
              <w:rPr>
                <w:szCs w:val="24"/>
              </w:rPr>
            </w:pPr>
            <w:r w:rsidRPr="00687DE8">
              <w:rPr>
                <w:szCs w:val="24"/>
              </w:rPr>
              <w:t>400R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13EDDD" w14:textId="738469BE" w:rsidR="64FE4AA2" w:rsidRPr="00687DE8" w:rsidRDefault="0087240D" w:rsidP="001B58FF">
            <w:pPr>
              <w:spacing w:after="0"/>
              <w:jc w:val="center"/>
              <w:rPr>
                <w:color w:val="000000" w:themeColor="text1"/>
              </w:rPr>
            </w:pPr>
            <w:r>
              <w:rPr>
                <w:color w:val="000000"/>
              </w:rPr>
              <w:t>414,80</w:t>
            </w:r>
          </w:p>
        </w:tc>
      </w:tr>
      <w:tr w:rsidR="00976487" w:rsidRPr="00687DE8" w14:paraId="4F9E23C1"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64C901" w14:textId="77777777" w:rsidR="00976487" w:rsidRPr="00687DE8" w:rsidRDefault="00976487">
            <w:pPr>
              <w:spacing w:after="0" w:line="240" w:lineRule="auto"/>
              <w:rPr>
                <w:szCs w:val="24"/>
              </w:rPr>
            </w:pPr>
            <w:r w:rsidRPr="00687DE8">
              <w:rPr>
                <w:szCs w:val="24"/>
              </w:rPr>
              <w:t>Vereloome tüvirakkude mobiliseerimisskeem DHAP</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8010D1" w14:textId="77777777" w:rsidR="00976487" w:rsidRPr="00687DE8" w:rsidRDefault="00976487">
            <w:pPr>
              <w:spacing w:after="0" w:line="240" w:lineRule="auto"/>
              <w:jc w:val="center"/>
              <w:rPr>
                <w:szCs w:val="24"/>
              </w:rPr>
            </w:pPr>
            <w:r w:rsidRPr="00687DE8">
              <w:rPr>
                <w:szCs w:val="24"/>
              </w:rPr>
              <w:t>401R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3E74B5" w14:textId="39D98D4C" w:rsidR="64FE4AA2" w:rsidRPr="00687DE8" w:rsidRDefault="0087240D" w:rsidP="001B58FF">
            <w:pPr>
              <w:spacing w:after="0"/>
              <w:jc w:val="center"/>
              <w:rPr>
                <w:color w:val="000000" w:themeColor="text1"/>
              </w:rPr>
            </w:pPr>
            <w:r>
              <w:rPr>
                <w:color w:val="000000"/>
              </w:rPr>
              <w:t>250,03</w:t>
            </w:r>
          </w:p>
        </w:tc>
      </w:tr>
      <w:tr w:rsidR="00976487" w:rsidRPr="00687DE8" w14:paraId="7D222DC3"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CE850C" w14:textId="77777777" w:rsidR="00976487" w:rsidRPr="00687DE8" w:rsidRDefault="00976487">
            <w:pPr>
              <w:spacing w:after="0" w:line="240" w:lineRule="auto"/>
              <w:rPr>
                <w:szCs w:val="24"/>
              </w:rPr>
            </w:pPr>
            <w:r w:rsidRPr="00687DE8">
              <w:rPr>
                <w:szCs w:val="24"/>
              </w:rPr>
              <w:t>Vereloome tüvirakkude mobiliseerimisskeem R-AraC</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D2E059" w14:textId="77777777" w:rsidR="00976487" w:rsidRPr="00687DE8" w:rsidRDefault="00976487">
            <w:pPr>
              <w:spacing w:after="0" w:line="240" w:lineRule="auto"/>
              <w:jc w:val="center"/>
              <w:rPr>
                <w:szCs w:val="24"/>
              </w:rPr>
            </w:pPr>
            <w:r w:rsidRPr="00687DE8">
              <w:rPr>
                <w:szCs w:val="24"/>
              </w:rPr>
              <w:t>402R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E76456" w14:textId="6A0E5CF8" w:rsidR="64FE4AA2" w:rsidRPr="00687DE8" w:rsidRDefault="0087240D" w:rsidP="001B58FF">
            <w:pPr>
              <w:spacing w:after="0"/>
              <w:jc w:val="center"/>
              <w:rPr>
                <w:color w:val="000000" w:themeColor="text1"/>
              </w:rPr>
            </w:pPr>
            <w:r>
              <w:rPr>
                <w:color w:val="000000"/>
              </w:rPr>
              <w:t>656,70</w:t>
            </w:r>
          </w:p>
        </w:tc>
      </w:tr>
      <w:tr w:rsidR="00976487" w:rsidRPr="00687DE8" w14:paraId="056A6241"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4295F1" w14:textId="77777777" w:rsidR="00976487" w:rsidRPr="00687DE8" w:rsidRDefault="00976487">
            <w:pPr>
              <w:spacing w:after="0" w:line="240" w:lineRule="auto"/>
              <w:rPr>
                <w:szCs w:val="24"/>
              </w:rPr>
            </w:pPr>
            <w:r w:rsidRPr="00687DE8">
              <w:rPr>
                <w:szCs w:val="24"/>
              </w:rPr>
              <w:t>Vereloome tüvirakkude mobiliseerimisskeem TaxiP</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7EFB04" w14:textId="77777777" w:rsidR="00976487" w:rsidRPr="00687DE8" w:rsidRDefault="00976487">
            <w:pPr>
              <w:spacing w:after="0" w:line="240" w:lineRule="auto"/>
              <w:jc w:val="center"/>
              <w:rPr>
                <w:szCs w:val="24"/>
              </w:rPr>
            </w:pPr>
            <w:r w:rsidRPr="00687DE8">
              <w:rPr>
                <w:szCs w:val="24"/>
              </w:rPr>
              <w:t>403R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BBDF44" w14:textId="4411976C" w:rsidR="64FE4AA2" w:rsidRPr="00687DE8" w:rsidRDefault="0087240D" w:rsidP="001B58FF">
            <w:pPr>
              <w:spacing w:after="0"/>
              <w:jc w:val="center"/>
              <w:rPr>
                <w:color w:val="000000" w:themeColor="text1"/>
              </w:rPr>
            </w:pPr>
            <w:r>
              <w:rPr>
                <w:color w:val="000000"/>
              </w:rPr>
              <w:t>677,96</w:t>
            </w:r>
          </w:p>
        </w:tc>
      </w:tr>
      <w:tr w:rsidR="00976487" w:rsidRPr="00687DE8" w14:paraId="4C3B6D77" w14:textId="77777777" w:rsidTr="00EB7A71">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480611" w14:textId="77777777" w:rsidR="00976487" w:rsidRPr="00687DE8" w:rsidRDefault="00976487">
            <w:pPr>
              <w:spacing w:after="0" w:line="240" w:lineRule="auto"/>
              <w:rPr>
                <w:szCs w:val="24"/>
              </w:rPr>
            </w:pPr>
            <w:r w:rsidRPr="00687DE8">
              <w:rPr>
                <w:szCs w:val="24"/>
              </w:rPr>
              <w:t>Vereloome tüvirakkude siirdamiseelne konditsioneerimisskeem BuCy</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4D2AEB" w14:textId="77777777" w:rsidR="00123104" w:rsidRDefault="00123104">
            <w:pPr>
              <w:spacing w:after="0" w:line="240" w:lineRule="auto"/>
              <w:jc w:val="center"/>
              <w:rPr>
                <w:szCs w:val="24"/>
              </w:rPr>
            </w:pPr>
          </w:p>
          <w:p w14:paraId="2F1DABB2" w14:textId="0472E879" w:rsidR="00976487" w:rsidRPr="00687DE8" w:rsidRDefault="00976487">
            <w:pPr>
              <w:spacing w:after="0" w:line="240" w:lineRule="auto"/>
              <w:jc w:val="center"/>
              <w:rPr>
                <w:szCs w:val="24"/>
              </w:rPr>
            </w:pPr>
            <w:r w:rsidRPr="00687DE8">
              <w:rPr>
                <w:szCs w:val="24"/>
              </w:rPr>
              <w:t>377R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DEE174" w14:textId="71EAD157" w:rsidR="64FE4AA2" w:rsidRPr="00687DE8" w:rsidRDefault="00701DF5" w:rsidP="001B58FF">
            <w:pPr>
              <w:spacing w:after="0"/>
              <w:jc w:val="center"/>
              <w:rPr>
                <w:color w:val="000000" w:themeColor="text1"/>
                <w:szCs w:val="24"/>
              </w:rPr>
            </w:pPr>
            <w:r>
              <w:rPr>
                <w:color w:val="000000"/>
              </w:rPr>
              <w:t>4 708,50</w:t>
            </w:r>
          </w:p>
        </w:tc>
      </w:tr>
      <w:tr w:rsidR="00976487" w:rsidRPr="00687DE8" w14:paraId="51AAED72"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E33FC1" w14:textId="77777777" w:rsidR="00976487" w:rsidRPr="00687DE8" w:rsidRDefault="00976487">
            <w:pPr>
              <w:spacing w:after="0" w:line="240" w:lineRule="auto"/>
              <w:rPr>
                <w:szCs w:val="24"/>
              </w:rPr>
            </w:pPr>
            <w:r w:rsidRPr="00687DE8">
              <w:rPr>
                <w:szCs w:val="24"/>
              </w:rPr>
              <w:t>Vereloome tüvirakkude siirdamiseelne konditsioneerimisskeem TreoFlu</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CC7885" w14:textId="77777777" w:rsidR="00123104" w:rsidRDefault="00123104">
            <w:pPr>
              <w:spacing w:after="0" w:line="240" w:lineRule="auto"/>
              <w:jc w:val="center"/>
              <w:rPr>
                <w:szCs w:val="24"/>
              </w:rPr>
            </w:pPr>
          </w:p>
          <w:p w14:paraId="0F119A92" w14:textId="2CA6104F" w:rsidR="00976487" w:rsidRPr="00687DE8" w:rsidRDefault="00976487">
            <w:pPr>
              <w:spacing w:after="0" w:line="240" w:lineRule="auto"/>
              <w:jc w:val="center"/>
              <w:rPr>
                <w:szCs w:val="24"/>
              </w:rPr>
            </w:pPr>
            <w:r w:rsidRPr="00687DE8">
              <w:rPr>
                <w:szCs w:val="24"/>
              </w:rPr>
              <w:t>378R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6130CF" w14:textId="0A0D3E21" w:rsidR="64FE4AA2" w:rsidRPr="00687DE8" w:rsidRDefault="00701DF5" w:rsidP="001B58FF">
            <w:pPr>
              <w:spacing w:after="0"/>
              <w:jc w:val="center"/>
              <w:rPr>
                <w:color w:val="000000" w:themeColor="text1"/>
                <w:szCs w:val="24"/>
              </w:rPr>
            </w:pPr>
            <w:r>
              <w:rPr>
                <w:color w:val="000000"/>
              </w:rPr>
              <w:t>10 953,00</w:t>
            </w:r>
          </w:p>
        </w:tc>
      </w:tr>
      <w:tr w:rsidR="00976487" w:rsidRPr="00687DE8" w14:paraId="6506AA6A"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640170" w14:textId="77777777" w:rsidR="00976487" w:rsidRPr="00687DE8" w:rsidRDefault="00976487">
            <w:pPr>
              <w:spacing w:after="0" w:line="240" w:lineRule="auto"/>
              <w:rPr>
                <w:szCs w:val="24"/>
              </w:rPr>
            </w:pPr>
            <w:r w:rsidRPr="00687DE8">
              <w:rPr>
                <w:szCs w:val="24"/>
              </w:rPr>
              <w:t>Vereloome tüvirakkude siirdamiseelne konditsioneerimisskeem FB4</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EA5094" w14:textId="77777777" w:rsidR="00123104" w:rsidRDefault="00123104">
            <w:pPr>
              <w:spacing w:after="0" w:line="240" w:lineRule="auto"/>
              <w:jc w:val="center"/>
              <w:rPr>
                <w:szCs w:val="24"/>
              </w:rPr>
            </w:pPr>
          </w:p>
          <w:p w14:paraId="0897E30F" w14:textId="29E3EC3B" w:rsidR="00976487" w:rsidRPr="00687DE8" w:rsidRDefault="00976487">
            <w:pPr>
              <w:spacing w:after="0" w:line="240" w:lineRule="auto"/>
              <w:jc w:val="center"/>
              <w:rPr>
                <w:szCs w:val="24"/>
              </w:rPr>
            </w:pPr>
            <w:r w:rsidRPr="00687DE8">
              <w:rPr>
                <w:szCs w:val="24"/>
              </w:rPr>
              <w:t>379R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4EA970" w14:textId="39153548" w:rsidR="64FE4AA2" w:rsidRPr="00687DE8" w:rsidRDefault="00701DF5" w:rsidP="001B58FF">
            <w:pPr>
              <w:spacing w:after="0"/>
              <w:jc w:val="center"/>
              <w:rPr>
                <w:color w:val="000000" w:themeColor="text1"/>
                <w:szCs w:val="24"/>
              </w:rPr>
            </w:pPr>
            <w:r>
              <w:rPr>
                <w:color w:val="000000"/>
              </w:rPr>
              <w:t>5 088,87</w:t>
            </w:r>
          </w:p>
        </w:tc>
      </w:tr>
      <w:tr w:rsidR="00976487" w:rsidRPr="00687DE8" w14:paraId="1A492506"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C4A42F" w14:textId="77777777" w:rsidR="00976487" w:rsidRPr="00687DE8" w:rsidRDefault="00976487">
            <w:pPr>
              <w:spacing w:after="0" w:line="240" w:lineRule="auto"/>
              <w:rPr>
                <w:szCs w:val="24"/>
              </w:rPr>
            </w:pPr>
            <w:r w:rsidRPr="00687DE8">
              <w:rPr>
                <w:szCs w:val="24"/>
              </w:rPr>
              <w:lastRenderedPageBreak/>
              <w:t>Vereloome tüvirakkude siirdamiseelne konditsioneerimisskeem Cy+ATG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DB8CB2" w14:textId="77777777" w:rsidR="00976487" w:rsidRPr="00687DE8" w:rsidRDefault="00976487">
            <w:pPr>
              <w:spacing w:after="0" w:line="240" w:lineRule="auto"/>
              <w:jc w:val="center"/>
              <w:rPr>
                <w:szCs w:val="24"/>
              </w:rPr>
            </w:pPr>
          </w:p>
          <w:p w14:paraId="6EB15889" w14:textId="77777777" w:rsidR="00976487" w:rsidRPr="00687DE8" w:rsidRDefault="00976487">
            <w:pPr>
              <w:spacing w:after="0" w:line="240" w:lineRule="auto"/>
              <w:jc w:val="center"/>
              <w:rPr>
                <w:szCs w:val="24"/>
              </w:rPr>
            </w:pPr>
            <w:r w:rsidRPr="00687DE8">
              <w:rPr>
                <w:szCs w:val="24"/>
              </w:rPr>
              <w:t>380R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87ECE10" w14:textId="7DA9D4F5" w:rsidR="64FE4AA2" w:rsidRPr="00687DE8" w:rsidRDefault="00701DF5" w:rsidP="001B58FF">
            <w:pPr>
              <w:spacing w:after="0"/>
              <w:jc w:val="center"/>
              <w:rPr>
                <w:color w:val="000000" w:themeColor="text1"/>
              </w:rPr>
            </w:pPr>
            <w:r>
              <w:rPr>
                <w:color w:val="000000"/>
              </w:rPr>
              <w:t>425,98</w:t>
            </w:r>
          </w:p>
        </w:tc>
      </w:tr>
      <w:tr w:rsidR="00976487" w:rsidRPr="00687DE8" w14:paraId="6AD364E4"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1E26D5" w14:textId="77777777" w:rsidR="00976487" w:rsidRPr="00687DE8" w:rsidRDefault="00976487">
            <w:pPr>
              <w:spacing w:after="0" w:line="240" w:lineRule="auto"/>
              <w:rPr>
                <w:szCs w:val="24"/>
              </w:rPr>
            </w:pPr>
            <w:r w:rsidRPr="00687DE8">
              <w:rPr>
                <w:szCs w:val="24"/>
              </w:rPr>
              <w:t>Vereloome tüvirakkude siirdamiseelne konditsioneerimisskeem FB2</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D38418" w14:textId="77777777" w:rsidR="00123104" w:rsidRDefault="00123104">
            <w:pPr>
              <w:spacing w:after="0" w:line="240" w:lineRule="auto"/>
              <w:jc w:val="center"/>
              <w:rPr>
                <w:szCs w:val="24"/>
              </w:rPr>
            </w:pPr>
          </w:p>
          <w:p w14:paraId="36C47014" w14:textId="07FD2DD2" w:rsidR="00976487" w:rsidRPr="00687DE8" w:rsidRDefault="00976487">
            <w:pPr>
              <w:spacing w:after="0" w:line="240" w:lineRule="auto"/>
              <w:jc w:val="center"/>
              <w:rPr>
                <w:szCs w:val="24"/>
              </w:rPr>
            </w:pPr>
            <w:r w:rsidRPr="00687DE8">
              <w:rPr>
                <w:szCs w:val="24"/>
              </w:rPr>
              <w:t>381R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A59D77" w14:textId="775BB7FB" w:rsidR="64FE4AA2" w:rsidRPr="00687DE8" w:rsidRDefault="00701DF5" w:rsidP="001B58FF">
            <w:pPr>
              <w:spacing w:after="0"/>
              <w:jc w:val="center"/>
              <w:rPr>
                <w:color w:val="000000" w:themeColor="text1"/>
              </w:rPr>
            </w:pPr>
            <w:r>
              <w:rPr>
                <w:color w:val="000000"/>
              </w:rPr>
              <w:t>2 879,83</w:t>
            </w:r>
          </w:p>
        </w:tc>
      </w:tr>
      <w:tr w:rsidR="00976487" w:rsidRPr="00687DE8" w14:paraId="31AB12D1"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D273CA" w14:textId="77777777" w:rsidR="00976487" w:rsidRPr="00687DE8" w:rsidRDefault="00976487">
            <w:pPr>
              <w:spacing w:after="0" w:line="240" w:lineRule="auto"/>
              <w:rPr>
                <w:szCs w:val="24"/>
              </w:rPr>
            </w:pPr>
            <w:r w:rsidRPr="00687DE8">
              <w:rPr>
                <w:szCs w:val="24"/>
              </w:rPr>
              <w:t>Vereloome tüvirakkude siirdamiseelne konditsioneerimisskeem BEAM</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B0FB0E" w14:textId="77777777" w:rsidR="00A706AB" w:rsidRPr="00687DE8" w:rsidRDefault="00A706AB">
            <w:pPr>
              <w:spacing w:after="0" w:line="240" w:lineRule="auto"/>
              <w:jc w:val="center"/>
              <w:rPr>
                <w:szCs w:val="24"/>
              </w:rPr>
            </w:pPr>
          </w:p>
          <w:p w14:paraId="4E9C066D" w14:textId="77777777" w:rsidR="00976487" w:rsidRPr="00687DE8" w:rsidRDefault="00976487">
            <w:pPr>
              <w:spacing w:after="0" w:line="240" w:lineRule="auto"/>
              <w:jc w:val="center"/>
              <w:rPr>
                <w:szCs w:val="24"/>
              </w:rPr>
            </w:pPr>
            <w:r w:rsidRPr="00687DE8">
              <w:rPr>
                <w:szCs w:val="24"/>
              </w:rPr>
              <w:t>382R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4EE077" w14:textId="14AE177D" w:rsidR="3A14DD8F" w:rsidRPr="00687DE8" w:rsidRDefault="00701DF5" w:rsidP="001B58FF">
            <w:pPr>
              <w:spacing w:after="0"/>
              <w:jc w:val="center"/>
              <w:rPr>
                <w:color w:val="000000" w:themeColor="text1"/>
                <w:szCs w:val="24"/>
              </w:rPr>
            </w:pPr>
            <w:r>
              <w:rPr>
                <w:color w:val="000000"/>
              </w:rPr>
              <w:t>8 068,28</w:t>
            </w:r>
          </w:p>
        </w:tc>
      </w:tr>
      <w:tr w:rsidR="00976487" w:rsidRPr="00687DE8" w14:paraId="08547AED"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FD9BC5" w14:textId="77777777" w:rsidR="00976487" w:rsidRPr="00687DE8" w:rsidRDefault="00976487">
            <w:pPr>
              <w:spacing w:after="0" w:line="240" w:lineRule="auto"/>
              <w:rPr>
                <w:szCs w:val="24"/>
              </w:rPr>
            </w:pPr>
            <w:r w:rsidRPr="00687DE8">
              <w:rPr>
                <w:szCs w:val="24"/>
              </w:rPr>
              <w:t>Vereloome tüvirakkude siirdamiseelne konditsioneerimisskeem FluMel</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4D7EC0" w14:textId="77777777" w:rsidR="00A706AB" w:rsidRPr="00687DE8" w:rsidRDefault="00A706AB">
            <w:pPr>
              <w:spacing w:after="0" w:line="240" w:lineRule="auto"/>
              <w:jc w:val="center"/>
              <w:rPr>
                <w:szCs w:val="24"/>
              </w:rPr>
            </w:pPr>
          </w:p>
          <w:p w14:paraId="3E046FB4" w14:textId="77777777" w:rsidR="00976487" w:rsidRPr="00687DE8" w:rsidRDefault="00976487">
            <w:pPr>
              <w:spacing w:after="0" w:line="240" w:lineRule="auto"/>
              <w:jc w:val="center"/>
              <w:rPr>
                <w:szCs w:val="24"/>
              </w:rPr>
            </w:pPr>
            <w:r w:rsidRPr="00687DE8">
              <w:rPr>
                <w:szCs w:val="24"/>
              </w:rPr>
              <w:t>383R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1505A9" w14:textId="75C7E143" w:rsidR="3A14DD8F" w:rsidRPr="00687DE8" w:rsidRDefault="00701DF5" w:rsidP="001B58FF">
            <w:pPr>
              <w:spacing w:after="0"/>
              <w:jc w:val="center"/>
              <w:rPr>
                <w:color w:val="000000" w:themeColor="text1"/>
                <w:szCs w:val="24"/>
              </w:rPr>
            </w:pPr>
            <w:r>
              <w:rPr>
                <w:color w:val="000000"/>
              </w:rPr>
              <w:t>685,31</w:t>
            </w:r>
          </w:p>
        </w:tc>
      </w:tr>
      <w:tr w:rsidR="00976487" w:rsidRPr="00687DE8" w14:paraId="293B6B97"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FC92CB" w14:textId="77777777" w:rsidR="00976487" w:rsidRPr="00687DE8" w:rsidRDefault="00976487">
            <w:pPr>
              <w:spacing w:after="0" w:line="240" w:lineRule="auto"/>
              <w:rPr>
                <w:szCs w:val="24"/>
              </w:rPr>
            </w:pPr>
            <w:r w:rsidRPr="00687DE8">
              <w:rPr>
                <w:szCs w:val="24"/>
              </w:rPr>
              <w:t>Vereloome tüvirakkude siirdamiseelne konditsioneerimisskeem HD-Mel</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982E2C" w14:textId="77777777" w:rsidR="00976487" w:rsidRPr="00687DE8" w:rsidRDefault="00976487">
            <w:pPr>
              <w:spacing w:after="0" w:line="240" w:lineRule="auto"/>
              <w:jc w:val="center"/>
              <w:rPr>
                <w:szCs w:val="24"/>
              </w:rPr>
            </w:pPr>
          </w:p>
          <w:p w14:paraId="502FF8D8" w14:textId="77777777" w:rsidR="00976487" w:rsidRPr="00687DE8" w:rsidRDefault="00976487">
            <w:pPr>
              <w:spacing w:after="0" w:line="240" w:lineRule="auto"/>
              <w:jc w:val="center"/>
              <w:rPr>
                <w:szCs w:val="24"/>
              </w:rPr>
            </w:pPr>
            <w:r w:rsidRPr="00687DE8">
              <w:rPr>
                <w:szCs w:val="24"/>
              </w:rPr>
              <w:t>384R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50CF003" w14:textId="1019B2CA" w:rsidR="3A14DD8F" w:rsidRPr="00687DE8" w:rsidRDefault="00701DF5" w:rsidP="001B58FF">
            <w:pPr>
              <w:spacing w:after="0"/>
              <w:jc w:val="center"/>
              <w:rPr>
                <w:color w:val="000000" w:themeColor="text1"/>
                <w:szCs w:val="24"/>
              </w:rPr>
            </w:pPr>
            <w:r>
              <w:rPr>
                <w:color w:val="000000"/>
              </w:rPr>
              <w:t>184,72</w:t>
            </w:r>
          </w:p>
        </w:tc>
      </w:tr>
      <w:tr w:rsidR="00976487" w:rsidRPr="00687DE8" w14:paraId="294257A0"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9B3A99" w14:textId="77777777" w:rsidR="00976487" w:rsidRPr="00687DE8" w:rsidRDefault="00976487">
            <w:pPr>
              <w:spacing w:after="0" w:line="240" w:lineRule="auto"/>
              <w:rPr>
                <w:szCs w:val="24"/>
              </w:rPr>
            </w:pPr>
            <w:r w:rsidRPr="00687DE8">
              <w:rPr>
                <w:szCs w:val="24"/>
              </w:rPr>
              <w:t>Vereloome tüvirakkude siirdamiseelne konditsioneerimisskeem etoposiid-karboplatiin-tsüklofosfamiid</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23E902" w14:textId="77777777" w:rsidR="00976487" w:rsidRPr="00687DE8" w:rsidRDefault="00976487">
            <w:pPr>
              <w:spacing w:after="0" w:line="240" w:lineRule="auto"/>
              <w:jc w:val="center"/>
              <w:rPr>
                <w:szCs w:val="24"/>
              </w:rPr>
            </w:pPr>
          </w:p>
          <w:p w14:paraId="01AEBB03" w14:textId="77777777" w:rsidR="00976487" w:rsidRPr="00687DE8" w:rsidRDefault="00976487">
            <w:pPr>
              <w:spacing w:after="0" w:line="240" w:lineRule="auto"/>
              <w:jc w:val="center"/>
              <w:rPr>
                <w:szCs w:val="24"/>
              </w:rPr>
            </w:pPr>
            <w:r w:rsidRPr="00687DE8">
              <w:rPr>
                <w:szCs w:val="24"/>
              </w:rPr>
              <w:t>387R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3ABAC08" w14:textId="44ECB524" w:rsidR="3A14DD8F" w:rsidRPr="00687DE8" w:rsidRDefault="00701DF5" w:rsidP="001B58FF">
            <w:pPr>
              <w:spacing w:after="0"/>
              <w:jc w:val="center"/>
              <w:rPr>
                <w:color w:val="000000" w:themeColor="text1"/>
                <w:szCs w:val="24"/>
              </w:rPr>
            </w:pPr>
            <w:r>
              <w:rPr>
                <w:color w:val="000000"/>
              </w:rPr>
              <w:t>1 008,32</w:t>
            </w:r>
          </w:p>
        </w:tc>
      </w:tr>
      <w:tr w:rsidR="00976487" w:rsidRPr="00687DE8" w14:paraId="15F29D94" w14:textId="77777777" w:rsidTr="00EB7A71">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2862D3" w14:textId="390E8A82" w:rsidR="00976487" w:rsidRPr="00687DE8" w:rsidRDefault="00976487">
            <w:pPr>
              <w:spacing w:after="0" w:line="240" w:lineRule="auto"/>
              <w:rPr>
                <w:szCs w:val="24"/>
              </w:rPr>
            </w:pPr>
            <w:r w:rsidRPr="00687DE8">
              <w:rPr>
                <w:szCs w:val="24"/>
              </w:rPr>
              <w:t xml:space="preserve">Müelodüsplastilise sündroomi </w:t>
            </w:r>
            <w:r w:rsidR="003464AC" w:rsidRPr="00687DE8">
              <w:rPr>
                <w:szCs w:val="24"/>
              </w:rPr>
              <w:t xml:space="preserve">või ägeda müeloidleukeemia </w:t>
            </w:r>
            <w:r w:rsidRPr="00687DE8">
              <w:rPr>
                <w:szCs w:val="24"/>
              </w:rPr>
              <w:t>ravikuur asatsitidiiniga, 1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243AA9" w14:textId="77777777" w:rsidR="00123104" w:rsidRDefault="00123104">
            <w:pPr>
              <w:spacing w:after="0" w:line="240" w:lineRule="auto"/>
              <w:jc w:val="center"/>
              <w:rPr>
                <w:szCs w:val="24"/>
              </w:rPr>
            </w:pPr>
          </w:p>
          <w:p w14:paraId="3564205B" w14:textId="2507891F" w:rsidR="00976487" w:rsidRPr="00687DE8" w:rsidRDefault="00976487">
            <w:pPr>
              <w:spacing w:after="0" w:line="240" w:lineRule="auto"/>
              <w:jc w:val="center"/>
              <w:rPr>
                <w:szCs w:val="24"/>
              </w:rPr>
            </w:pPr>
            <w:r w:rsidRPr="00687DE8">
              <w:rPr>
                <w:szCs w:val="24"/>
              </w:rPr>
              <w:t>361R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EA21B9" w14:textId="111DC4EF" w:rsidR="3A14DD8F" w:rsidRPr="00687DE8" w:rsidRDefault="00B16E15" w:rsidP="001B58FF">
            <w:pPr>
              <w:spacing w:after="0"/>
              <w:jc w:val="center"/>
              <w:rPr>
                <w:color w:val="000000" w:themeColor="text1"/>
                <w:szCs w:val="24"/>
              </w:rPr>
            </w:pPr>
            <w:r>
              <w:rPr>
                <w:color w:val="000000"/>
              </w:rPr>
              <w:t>0,21</w:t>
            </w:r>
          </w:p>
        </w:tc>
      </w:tr>
      <w:tr w:rsidR="00976487" w:rsidRPr="00687DE8" w14:paraId="27141320" w14:textId="77777777" w:rsidTr="4536FD26">
        <w:trPr>
          <w:divId w:val="1316184749"/>
          <w:trHeight w:val="31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93FD93" w14:textId="77777777" w:rsidR="00976487" w:rsidRPr="00687DE8" w:rsidRDefault="00976487">
            <w:pPr>
              <w:spacing w:after="0" w:line="240" w:lineRule="auto"/>
              <w:rPr>
                <w:szCs w:val="24"/>
              </w:rPr>
            </w:pPr>
            <w:r w:rsidRPr="00687DE8">
              <w:rPr>
                <w:szCs w:val="24"/>
              </w:rPr>
              <w:t>Luumetastaaside ravi 223-raadiumiga</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73BCD5" w14:textId="77777777" w:rsidR="00976487" w:rsidRPr="00687DE8" w:rsidRDefault="00976487">
            <w:pPr>
              <w:spacing w:after="0" w:line="240" w:lineRule="auto"/>
              <w:jc w:val="center"/>
              <w:rPr>
                <w:szCs w:val="24"/>
              </w:rPr>
            </w:pPr>
            <w:r w:rsidRPr="00687DE8">
              <w:rPr>
                <w:szCs w:val="24"/>
              </w:rPr>
              <w:t>244R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0C3A2A" w14:textId="3E18BB5F" w:rsidR="3A14DD8F" w:rsidRPr="00687DE8" w:rsidRDefault="00B16E15" w:rsidP="001B58FF">
            <w:pPr>
              <w:spacing w:after="0"/>
              <w:jc w:val="center"/>
              <w:rPr>
                <w:color w:val="000000" w:themeColor="text1"/>
                <w:szCs w:val="24"/>
              </w:rPr>
            </w:pPr>
            <w:r>
              <w:rPr>
                <w:color w:val="000000"/>
              </w:rPr>
              <w:t>4 796,00</w:t>
            </w:r>
          </w:p>
        </w:tc>
      </w:tr>
      <w:tr w:rsidR="587BAAA2" w14:paraId="4D1C17A3"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05BA02" w14:textId="2FC7F2AC" w:rsidR="70D84F3F" w:rsidRDefault="70D84F3F" w:rsidP="587BAAA2">
            <w:pPr>
              <w:spacing w:line="240" w:lineRule="auto"/>
              <w:rPr>
                <w:rFonts w:eastAsia="Calibri"/>
              </w:rPr>
            </w:pPr>
            <w:r w:rsidRPr="587BAAA2">
              <w:rPr>
                <w:rFonts w:eastAsia="Calibri"/>
              </w:rPr>
              <w:t xml:space="preserve">Ägeda lümfoblastleukeemia konsolideeriv ravikuur blinatumomabiga (täiskasvanud), üks ravipäev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5048DE" w14:textId="4C6E11F4" w:rsidR="70D84F3F" w:rsidRDefault="70D84F3F" w:rsidP="587BAAA2">
            <w:pPr>
              <w:spacing w:line="240" w:lineRule="auto"/>
              <w:jc w:val="center"/>
            </w:pPr>
            <w:r>
              <w:t>450R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648DE2E" w14:textId="21EA6DBE" w:rsidR="70D84F3F" w:rsidRDefault="70D84F3F" w:rsidP="001B58FF">
            <w:pPr>
              <w:jc w:val="center"/>
              <w:rPr>
                <w:color w:val="000000" w:themeColor="text1"/>
              </w:rPr>
            </w:pPr>
            <w:r w:rsidRPr="587BAAA2">
              <w:rPr>
                <w:color w:val="000000" w:themeColor="text1"/>
              </w:rPr>
              <w:t>1046,47</w:t>
            </w:r>
          </w:p>
        </w:tc>
      </w:tr>
      <w:tr w:rsidR="00976487" w:rsidRPr="00687DE8" w14:paraId="351A979B" w14:textId="77777777" w:rsidTr="00EB7A71">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2E8A84" w14:textId="77777777" w:rsidR="00976487" w:rsidRPr="00687DE8" w:rsidRDefault="00976487">
            <w:pPr>
              <w:spacing w:after="0" w:line="240" w:lineRule="auto"/>
              <w:rPr>
                <w:szCs w:val="24"/>
              </w:rPr>
            </w:pPr>
            <w:r w:rsidRPr="00687DE8">
              <w:rPr>
                <w:szCs w:val="24"/>
              </w:rPr>
              <w:t>Retsidiveerunud või refraktaarse ägeda lümfoblastleukeemia ravikuur blinatumomabiga</w:t>
            </w:r>
            <w:r w:rsidR="32016E15" w:rsidRPr="00687DE8">
              <w:rPr>
                <w:szCs w:val="24"/>
              </w:rPr>
              <w:t xml:space="preserve"> (täiskasvanud)</w:t>
            </w:r>
            <w:r w:rsidRPr="00687DE8">
              <w:rPr>
                <w:szCs w:val="24"/>
              </w:rPr>
              <w:t>, üks ravipäev</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84C644" w14:textId="77777777" w:rsidR="00976487" w:rsidRPr="00687DE8" w:rsidRDefault="00976487">
            <w:pPr>
              <w:spacing w:after="0" w:line="240" w:lineRule="auto"/>
              <w:jc w:val="center"/>
              <w:rPr>
                <w:szCs w:val="24"/>
              </w:rPr>
            </w:pPr>
          </w:p>
          <w:p w14:paraId="4CB6F026" w14:textId="77777777" w:rsidR="00976487" w:rsidRPr="00687DE8" w:rsidRDefault="00976487">
            <w:pPr>
              <w:spacing w:after="0" w:line="240" w:lineRule="auto"/>
              <w:jc w:val="center"/>
              <w:rPr>
                <w:szCs w:val="24"/>
              </w:rPr>
            </w:pPr>
            <w:r w:rsidRPr="00687DE8">
              <w:rPr>
                <w:szCs w:val="24"/>
              </w:rPr>
              <w:t>395R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9DD586" w14:textId="55D90E57" w:rsidR="3A14DD8F" w:rsidRPr="00687DE8" w:rsidRDefault="009E6AA7" w:rsidP="001B58FF">
            <w:pPr>
              <w:spacing w:after="0"/>
              <w:jc w:val="center"/>
              <w:rPr>
                <w:color w:val="000000" w:themeColor="text1"/>
                <w:szCs w:val="24"/>
              </w:rPr>
            </w:pPr>
            <w:r>
              <w:rPr>
                <w:color w:val="000000"/>
              </w:rPr>
              <w:t>957,70</w:t>
            </w:r>
          </w:p>
        </w:tc>
      </w:tr>
      <w:tr w:rsidR="4CB2D916" w:rsidRPr="00687DE8" w14:paraId="2017C34E"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36EBDA" w14:textId="77777777" w:rsidR="25191A23" w:rsidRPr="00687DE8" w:rsidRDefault="25191A23" w:rsidP="000651A8">
            <w:pPr>
              <w:spacing w:after="0" w:line="240" w:lineRule="auto"/>
              <w:rPr>
                <w:szCs w:val="24"/>
              </w:rPr>
            </w:pPr>
            <w:r w:rsidRPr="00687DE8">
              <w:rPr>
                <w:szCs w:val="24"/>
              </w:rPr>
              <w:t xml:space="preserve">Retsidiveerunud või refraktaarse ägeda lümfoblastleukeemia ravikuur blinatumomabiga (lapsed), 1 </w:t>
            </w:r>
            <w:r w:rsidR="6555FD84" w:rsidRPr="00687DE8">
              <w:rPr>
                <w:szCs w:val="24"/>
              </w:rPr>
              <w:t>μg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02DC2B" w14:textId="77777777" w:rsidR="007E00F7" w:rsidRPr="00687DE8" w:rsidRDefault="007E00F7" w:rsidP="007E00F7">
            <w:pPr>
              <w:spacing w:after="0" w:line="240" w:lineRule="auto"/>
              <w:rPr>
                <w:szCs w:val="24"/>
              </w:rPr>
            </w:pPr>
          </w:p>
          <w:p w14:paraId="5EC52C85" w14:textId="77777777" w:rsidR="530C424B" w:rsidRPr="00687DE8" w:rsidRDefault="530C424B" w:rsidP="000651A8">
            <w:pPr>
              <w:spacing w:after="0" w:line="240" w:lineRule="auto"/>
              <w:jc w:val="center"/>
              <w:rPr>
                <w:szCs w:val="24"/>
              </w:rPr>
            </w:pPr>
            <w:r w:rsidRPr="00687DE8">
              <w:rPr>
                <w:szCs w:val="24"/>
              </w:rPr>
              <w:t>286R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6535C27" w14:textId="03080FDA" w:rsidR="3A14DD8F" w:rsidRPr="00687DE8" w:rsidRDefault="009E6AA7" w:rsidP="001B58FF">
            <w:pPr>
              <w:spacing w:after="0"/>
              <w:jc w:val="center"/>
              <w:rPr>
                <w:color w:val="000000" w:themeColor="text1"/>
                <w:szCs w:val="24"/>
              </w:rPr>
            </w:pPr>
            <w:r>
              <w:rPr>
                <w:color w:val="000000"/>
              </w:rPr>
              <w:t>37,37</w:t>
            </w:r>
          </w:p>
        </w:tc>
      </w:tr>
      <w:tr w:rsidR="19D40EE4" w:rsidRPr="00687DE8" w14:paraId="4E4A8550"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AC3C29" w14:textId="77777777" w:rsidR="447AA1CC" w:rsidRPr="00687DE8" w:rsidRDefault="447AA1CC" w:rsidP="000B1514">
            <w:pPr>
              <w:spacing w:after="0" w:line="240" w:lineRule="auto"/>
              <w:rPr>
                <w:szCs w:val="24"/>
              </w:rPr>
            </w:pPr>
            <w:r w:rsidRPr="00687DE8">
              <w:rPr>
                <w:rFonts w:eastAsia="Calibri"/>
                <w:szCs w:val="24"/>
              </w:rPr>
              <w:t xml:space="preserve">Retsidiveerunud või refraktaarse ägeda lümfoblastleukeemia ravi inotuzumabosogamitsiiniga, </w:t>
            </w:r>
            <w:r w:rsidR="006C40D3" w:rsidRPr="00687DE8">
              <w:rPr>
                <w:rFonts w:eastAsia="Calibri"/>
                <w:szCs w:val="24"/>
              </w:rPr>
              <w:t>üks</w:t>
            </w:r>
            <w:r w:rsidRPr="00687DE8">
              <w:rPr>
                <w:rFonts w:eastAsia="Calibri"/>
                <w:szCs w:val="24"/>
              </w:rPr>
              <w:t xml:space="preserve"> viaal</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8CCCE8" w14:textId="77777777" w:rsidR="447AA1CC" w:rsidRPr="00687DE8" w:rsidRDefault="447AA1CC" w:rsidP="4CB2D916">
            <w:pPr>
              <w:spacing w:line="240" w:lineRule="auto"/>
              <w:jc w:val="center"/>
              <w:rPr>
                <w:szCs w:val="24"/>
              </w:rPr>
            </w:pPr>
            <w:r w:rsidRPr="00687DE8">
              <w:rPr>
                <w:szCs w:val="24"/>
              </w:rPr>
              <w:t>280R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7E9CE9D" w14:textId="6754D56A" w:rsidR="3A14DD8F" w:rsidRPr="00687DE8" w:rsidRDefault="009E6AA7" w:rsidP="001B58FF">
            <w:pPr>
              <w:spacing w:after="0"/>
              <w:jc w:val="center"/>
              <w:rPr>
                <w:color w:val="000000" w:themeColor="text1"/>
                <w:szCs w:val="24"/>
              </w:rPr>
            </w:pPr>
            <w:r>
              <w:rPr>
                <w:color w:val="000000"/>
              </w:rPr>
              <w:t>6 834,73</w:t>
            </w:r>
          </w:p>
        </w:tc>
      </w:tr>
      <w:tr w:rsidR="00976487" w:rsidRPr="00687DE8" w14:paraId="1F515916" w14:textId="77777777" w:rsidTr="00EB7A71">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E92728" w14:textId="77777777" w:rsidR="00976487" w:rsidRPr="00687DE8" w:rsidRDefault="00976487">
            <w:pPr>
              <w:spacing w:after="0" w:line="240" w:lineRule="auto"/>
              <w:rPr>
                <w:szCs w:val="24"/>
              </w:rPr>
            </w:pPr>
            <w:r w:rsidRPr="00687DE8">
              <w:rPr>
                <w:szCs w:val="24"/>
              </w:rPr>
              <w:t xml:space="preserve">Hulgimüeloomi ravikuur daratumumabiga, </w:t>
            </w:r>
            <w:r w:rsidR="006C40D3" w:rsidRPr="00687DE8">
              <w:rPr>
                <w:szCs w:val="24"/>
              </w:rPr>
              <w:t>üks</w:t>
            </w:r>
            <w:r w:rsidRPr="00687DE8">
              <w:rPr>
                <w:szCs w:val="24"/>
              </w:rPr>
              <w:t xml:space="preserve"> manustamiskord</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8FDBE2" w14:textId="77777777" w:rsidR="00976487" w:rsidRPr="00687DE8" w:rsidRDefault="00976487">
            <w:pPr>
              <w:spacing w:after="0" w:line="240" w:lineRule="auto"/>
              <w:jc w:val="center"/>
              <w:rPr>
                <w:szCs w:val="24"/>
              </w:rPr>
            </w:pPr>
            <w:r w:rsidRPr="00687DE8">
              <w:rPr>
                <w:szCs w:val="24"/>
              </w:rPr>
              <w:t>238R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9CCF93" w14:textId="3C8C3EB1" w:rsidR="3A14DD8F" w:rsidRPr="00687DE8" w:rsidRDefault="008B74C1" w:rsidP="001B58FF">
            <w:pPr>
              <w:spacing w:after="0"/>
              <w:jc w:val="center"/>
              <w:rPr>
                <w:color w:val="000000" w:themeColor="text1"/>
              </w:rPr>
            </w:pPr>
            <w:r>
              <w:rPr>
                <w:color w:val="000000"/>
              </w:rPr>
              <w:t>6 533,89</w:t>
            </w:r>
          </w:p>
        </w:tc>
      </w:tr>
      <w:tr w:rsidR="00215065" w:rsidRPr="00687DE8" w14:paraId="1B43FB20"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D3699A" w14:textId="77777777" w:rsidR="00215065" w:rsidRPr="00687DE8" w:rsidRDefault="00215065" w:rsidP="007817ED">
            <w:pPr>
              <w:spacing w:after="0" w:line="240" w:lineRule="auto"/>
              <w:rPr>
                <w:szCs w:val="24"/>
              </w:rPr>
            </w:pPr>
            <w:r w:rsidRPr="00687DE8">
              <w:rPr>
                <w:szCs w:val="24"/>
              </w:rPr>
              <w:t>Hulgimüeloomi ravikuur karfilsomii</w:t>
            </w:r>
            <w:r w:rsidR="00F61B37" w:rsidRPr="00687DE8">
              <w:rPr>
                <w:szCs w:val="24"/>
              </w:rPr>
              <w:t>b</w:t>
            </w:r>
            <w:r w:rsidRPr="00687DE8">
              <w:rPr>
                <w:szCs w:val="24"/>
              </w:rPr>
              <w:t>iga, 10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86ECCB" w14:textId="77777777" w:rsidR="00215065" w:rsidRPr="00687DE8" w:rsidRDefault="00121816" w:rsidP="007817ED">
            <w:pPr>
              <w:spacing w:after="0" w:line="240" w:lineRule="auto"/>
              <w:jc w:val="center"/>
              <w:rPr>
                <w:szCs w:val="24"/>
              </w:rPr>
            </w:pPr>
            <w:r w:rsidRPr="00687DE8">
              <w:rPr>
                <w:szCs w:val="24"/>
              </w:rPr>
              <w:t>293R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66936A6" w14:textId="6B4DEE74" w:rsidR="3A14DD8F" w:rsidRPr="00687DE8" w:rsidRDefault="008B74C1" w:rsidP="001B58FF">
            <w:pPr>
              <w:spacing w:after="0"/>
              <w:jc w:val="center"/>
              <w:rPr>
                <w:color w:val="000000" w:themeColor="text1"/>
                <w:szCs w:val="24"/>
              </w:rPr>
            </w:pPr>
            <w:r>
              <w:rPr>
                <w:color w:val="000000"/>
              </w:rPr>
              <w:t>113,70</w:t>
            </w:r>
          </w:p>
        </w:tc>
      </w:tr>
      <w:tr w:rsidR="0D1002C1" w14:paraId="71C88629"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12AECA" w14:textId="56F811DF" w:rsidR="525B4E4A" w:rsidRDefault="525B4E4A" w:rsidP="0D1002C1">
            <w:pPr>
              <w:spacing w:line="240" w:lineRule="auto"/>
              <w:rPr>
                <w:color w:val="202020"/>
              </w:rPr>
            </w:pPr>
            <w:r w:rsidRPr="0D1002C1">
              <w:rPr>
                <w:color w:val="202020"/>
              </w:rPr>
              <w:t>Hulgimüeloomi ravikuur iksasomiibiga, neljanädalane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997B82" w14:textId="188FADE6" w:rsidR="525B4E4A" w:rsidRDefault="525B4E4A" w:rsidP="0D1002C1">
            <w:pPr>
              <w:spacing w:line="240" w:lineRule="auto"/>
              <w:jc w:val="center"/>
            </w:pPr>
            <w:r>
              <w:t>296R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D6AA964" w14:textId="27C1D666" w:rsidR="00F6180C" w:rsidRDefault="00F6180C" w:rsidP="008B74C1">
            <w:pPr>
              <w:jc w:val="center"/>
              <w:rPr>
                <w:color w:val="000000" w:themeColor="text1"/>
              </w:rPr>
            </w:pPr>
          </w:p>
          <w:p w14:paraId="6A8FA14D" w14:textId="4EBD8C04" w:rsidR="525B4E4A" w:rsidRDefault="00F6180C" w:rsidP="001B58FF">
            <w:pPr>
              <w:jc w:val="center"/>
              <w:rPr>
                <w:color w:val="000000" w:themeColor="text1"/>
              </w:rPr>
            </w:pPr>
            <w:r w:rsidRPr="00F6180C">
              <w:rPr>
                <w:color w:val="000000" w:themeColor="text1"/>
              </w:rPr>
              <w:t>4 587,97</w:t>
            </w:r>
          </w:p>
        </w:tc>
      </w:tr>
      <w:tr w:rsidR="5D57B279" w14:paraId="440CEA5B"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70AA58" w14:textId="2BB9AED4" w:rsidR="0AE3F058" w:rsidRDefault="03403290" w:rsidP="5D57B279">
            <w:pPr>
              <w:spacing w:line="240" w:lineRule="auto"/>
              <w:rPr>
                <w:color w:val="202020"/>
              </w:rPr>
            </w:pPr>
            <w:r w:rsidRPr="2D8CFA27">
              <w:rPr>
                <w:color w:val="202020"/>
              </w:rPr>
              <w:t>Hulgimüeloomi ravikuur teklistamabiga, 1</w:t>
            </w:r>
            <w:r w:rsidR="000C12BA">
              <w:rPr>
                <w:color w:val="202020"/>
              </w:rPr>
              <w:t xml:space="preserve"> </w:t>
            </w:r>
            <w:r w:rsidRPr="2D8CFA27">
              <w:rPr>
                <w:color w:val="202020"/>
              </w:rPr>
              <w:t>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DC09B9" w14:textId="6571DBBE" w:rsidR="5D57B279" w:rsidRDefault="07147912" w:rsidP="5D57B279">
            <w:pPr>
              <w:spacing w:line="240" w:lineRule="auto"/>
              <w:jc w:val="center"/>
            </w:pPr>
            <w:r>
              <w:t>461R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907CBB7" w14:textId="77777777" w:rsidR="007F5AB9" w:rsidRDefault="007F5AB9" w:rsidP="007F5AB9">
            <w:pPr>
              <w:jc w:val="center"/>
              <w:rPr>
                <w:color w:val="000000"/>
              </w:rPr>
            </w:pPr>
            <w:r>
              <w:rPr>
                <w:color w:val="000000"/>
              </w:rPr>
              <w:t>30,16</w:t>
            </w:r>
          </w:p>
          <w:p w14:paraId="63047436" w14:textId="524ABD14" w:rsidR="5D57B279" w:rsidRDefault="5D57B279" w:rsidP="001B58FF">
            <w:pPr>
              <w:jc w:val="center"/>
              <w:rPr>
                <w:color w:val="000000" w:themeColor="text1"/>
              </w:rPr>
            </w:pPr>
          </w:p>
        </w:tc>
      </w:tr>
      <w:tr w:rsidR="007817ED" w:rsidRPr="00687DE8" w14:paraId="253353DF" w14:textId="77777777" w:rsidTr="00EB7A71">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4826C0" w14:textId="02F543EC" w:rsidR="007817ED" w:rsidRPr="00687DE8" w:rsidRDefault="005441BF" w:rsidP="007817ED">
            <w:pPr>
              <w:spacing w:after="0" w:line="240" w:lineRule="auto"/>
              <w:rPr>
                <w:szCs w:val="24"/>
              </w:rPr>
            </w:pPr>
            <w:r w:rsidRPr="00687DE8">
              <w:rPr>
                <w:color w:val="202020"/>
                <w:szCs w:val="24"/>
              </w:rPr>
              <w:t>Pembrolizumabi monoravi, kolmenädalane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A0F3BC" w14:textId="77777777" w:rsidR="007817ED" w:rsidRPr="00687DE8" w:rsidRDefault="007817ED" w:rsidP="007817ED">
            <w:pPr>
              <w:spacing w:after="0" w:line="240" w:lineRule="auto"/>
              <w:jc w:val="center"/>
              <w:rPr>
                <w:szCs w:val="24"/>
              </w:rPr>
            </w:pPr>
            <w:r w:rsidRPr="00687DE8">
              <w:rPr>
                <w:szCs w:val="24"/>
              </w:rPr>
              <w:t>254R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D1152B" w14:textId="184480AF" w:rsidR="3A14DD8F" w:rsidRPr="00687DE8" w:rsidRDefault="00232CE8" w:rsidP="001B58FF">
            <w:pPr>
              <w:spacing w:after="0"/>
              <w:jc w:val="center"/>
              <w:rPr>
                <w:color w:val="000000" w:themeColor="text1"/>
                <w:szCs w:val="24"/>
              </w:rPr>
            </w:pPr>
            <w:r>
              <w:rPr>
                <w:color w:val="000000"/>
              </w:rPr>
              <w:t>3 916,14</w:t>
            </w:r>
          </w:p>
        </w:tc>
      </w:tr>
      <w:tr w:rsidR="00044B34" w:rsidRPr="00687DE8" w14:paraId="4297A2CF"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AFBC13" w14:textId="6D064BE8" w:rsidR="00044B34" w:rsidRPr="00687DE8" w:rsidRDefault="003F49CD" w:rsidP="007817ED">
            <w:pPr>
              <w:spacing w:after="0" w:line="240" w:lineRule="auto"/>
              <w:rPr>
                <w:color w:val="202020"/>
                <w:szCs w:val="24"/>
              </w:rPr>
            </w:pPr>
            <w:r w:rsidRPr="003F49CD">
              <w:rPr>
                <w:color w:val="202020"/>
                <w:szCs w:val="24"/>
              </w:rPr>
              <w:t>Kõrge riskiga varase mitteväikerakk-kopsuvähi perioperatiivne ravi pembrolizumabiga, kolmenädalane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2CF0BEE" w14:textId="70BC4B7A" w:rsidR="00044B34" w:rsidRPr="00687DE8" w:rsidRDefault="004A29AC" w:rsidP="007817ED">
            <w:pPr>
              <w:spacing w:after="0" w:line="240" w:lineRule="auto"/>
              <w:jc w:val="center"/>
              <w:rPr>
                <w:szCs w:val="24"/>
              </w:rPr>
            </w:pPr>
            <w:r>
              <w:rPr>
                <w:szCs w:val="24"/>
              </w:rPr>
              <w:t>432R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C0979EE" w14:textId="170979F1" w:rsidR="00044B34" w:rsidRPr="00687DE8" w:rsidRDefault="00232CE8" w:rsidP="001B58FF">
            <w:pPr>
              <w:spacing w:after="0"/>
              <w:jc w:val="center"/>
              <w:rPr>
                <w:color w:val="000000" w:themeColor="text1"/>
                <w:szCs w:val="24"/>
              </w:rPr>
            </w:pPr>
            <w:r>
              <w:rPr>
                <w:color w:val="000000"/>
              </w:rPr>
              <w:t>3 916,14</w:t>
            </w:r>
          </w:p>
        </w:tc>
      </w:tr>
      <w:tr w:rsidR="150D8322" w14:paraId="7712BD0F" w14:textId="77777777" w:rsidTr="00EB7A71">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542057" w14:textId="48A5D230" w:rsidR="3C028FA0" w:rsidRDefault="3C028FA0" w:rsidP="150D8322">
            <w:pPr>
              <w:spacing w:line="240" w:lineRule="auto"/>
              <w:rPr>
                <w:color w:val="202020"/>
              </w:rPr>
            </w:pPr>
            <w:r w:rsidRPr="150D8322">
              <w:rPr>
                <w:color w:val="202020"/>
              </w:rPr>
              <w:t xml:space="preserve">Kõrge riskiga </w:t>
            </w:r>
            <w:r w:rsidR="70DAC833" w:rsidRPr="150D8322">
              <w:rPr>
                <w:color w:val="202020"/>
              </w:rPr>
              <w:t xml:space="preserve">varase </w:t>
            </w:r>
            <w:r w:rsidRPr="150D8322">
              <w:rPr>
                <w:color w:val="202020"/>
              </w:rPr>
              <w:t>mitteväikerakk-kopsuvähi perioperatiivne ravi durvalumabiga, 1500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2625DE" w14:textId="76514654" w:rsidR="3C028FA0" w:rsidRDefault="3C028FA0" w:rsidP="150D8322">
            <w:pPr>
              <w:spacing w:line="240" w:lineRule="auto"/>
              <w:jc w:val="center"/>
            </w:pPr>
            <w:r>
              <w:t>451R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33C0B8" w14:textId="6197C726" w:rsidR="3C028FA0" w:rsidRDefault="00232CE8" w:rsidP="001B58FF">
            <w:pPr>
              <w:jc w:val="center"/>
              <w:rPr>
                <w:color w:val="000000" w:themeColor="text1"/>
              </w:rPr>
            </w:pPr>
            <w:r>
              <w:rPr>
                <w:color w:val="000000"/>
              </w:rPr>
              <w:t>5 220,20</w:t>
            </w:r>
          </w:p>
        </w:tc>
      </w:tr>
      <w:tr w:rsidR="00010678" w:rsidRPr="00687DE8" w14:paraId="3573B7C9"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CCF6F3" w14:textId="5FD17CA8" w:rsidR="00010678" w:rsidRPr="00D30B8D" w:rsidRDefault="00010678" w:rsidP="00010678">
            <w:pPr>
              <w:spacing w:after="0" w:line="240" w:lineRule="auto"/>
              <w:rPr>
                <w:color w:val="202020"/>
                <w:lang w:val="sv-SE"/>
              </w:rPr>
            </w:pPr>
            <w:r w:rsidRPr="00D30B8D">
              <w:rPr>
                <w:color w:val="202020"/>
                <w:lang w:val="sv-SE"/>
              </w:rPr>
              <w:t xml:space="preserve">Kõrge riskiga varase mitteväikerakk-kopsuvähi perioperatiivne ravi nivolumabiga, </w:t>
            </w:r>
            <w:r w:rsidR="611A2815" w:rsidRPr="00D30B8D">
              <w:rPr>
                <w:color w:val="202020"/>
                <w:lang w:val="sv-SE"/>
              </w:rPr>
              <w:t>1</w:t>
            </w:r>
            <w:r w:rsidR="000C12BA">
              <w:rPr>
                <w:color w:val="202020"/>
                <w:lang w:val="sv-SE"/>
              </w:rPr>
              <w:t xml:space="preserve"> </w:t>
            </w:r>
            <w:r w:rsidR="611A2815" w:rsidRPr="00D30B8D">
              <w:rPr>
                <w:color w:val="202020"/>
                <w:lang w:val="sv-SE"/>
              </w:rPr>
              <w:t>mg</w:t>
            </w:r>
          </w:p>
          <w:p w14:paraId="7383EAE4" w14:textId="77777777" w:rsidR="00010678" w:rsidRPr="003F49CD" w:rsidRDefault="00010678" w:rsidP="007817ED">
            <w:pPr>
              <w:spacing w:after="0" w:line="240" w:lineRule="auto"/>
              <w:rPr>
                <w:color w:val="202020"/>
                <w:szCs w:val="24"/>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D718BA" w14:textId="21959DA1" w:rsidR="00010678" w:rsidRDefault="00010678" w:rsidP="007817ED">
            <w:pPr>
              <w:spacing w:after="0" w:line="240" w:lineRule="auto"/>
              <w:jc w:val="center"/>
              <w:rPr>
                <w:szCs w:val="24"/>
              </w:rPr>
            </w:pPr>
            <w:r>
              <w:rPr>
                <w:szCs w:val="24"/>
              </w:rPr>
              <w:t>459R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4DC60A1" w14:textId="16BFEA47" w:rsidR="00010678" w:rsidRDefault="00232CE8" w:rsidP="001B58FF">
            <w:pPr>
              <w:spacing w:after="0"/>
              <w:jc w:val="center"/>
              <w:rPr>
                <w:color w:val="000000"/>
              </w:rPr>
            </w:pPr>
            <w:r>
              <w:rPr>
                <w:color w:val="000000"/>
              </w:rPr>
              <w:t>10,82</w:t>
            </w:r>
          </w:p>
        </w:tc>
      </w:tr>
      <w:tr w:rsidR="00554B29" w:rsidRPr="00687DE8" w14:paraId="243A9365" w14:textId="77777777" w:rsidTr="00EB7A71">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2564A8" w14:textId="318E6496" w:rsidR="00554B29" w:rsidRPr="00687DE8" w:rsidRDefault="00554B29" w:rsidP="00554B29">
            <w:pPr>
              <w:spacing w:after="0" w:line="240" w:lineRule="auto"/>
              <w:rPr>
                <w:szCs w:val="24"/>
              </w:rPr>
            </w:pPr>
            <w:r w:rsidRPr="00687DE8">
              <w:rPr>
                <w:szCs w:val="24"/>
              </w:rPr>
              <w:lastRenderedPageBreak/>
              <w:t>Kaugele</w:t>
            </w:r>
            <w:r w:rsidR="001560ED" w:rsidRPr="00687DE8">
              <w:rPr>
                <w:szCs w:val="24"/>
              </w:rPr>
              <w:t xml:space="preserve"> </w:t>
            </w:r>
            <w:r w:rsidRPr="00687DE8">
              <w:rPr>
                <w:szCs w:val="24"/>
              </w:rPr>
              <w:t xml:space="preserve">arenenud kopsukasvaja ravi </w:t>
            </w:r>
            <w:r w:rsidR="00507263" w:rsidRPr="00687DE8">
              <w:rPr>
                <w:szCs w:val="24"/>
              </w:rPr>
              <w:t>atesolizumabiga</w:t>
            </w:r>
            <w:r w:rsidR="00E81C2B" w:rsidRPr="00687DE8">
              <w:rPr>
                <w:szCs w:val="24"/>
              </w:rPr>
              <w:t xml:space="preserve"> 1. reas</w:t>
            </w:r>
            <w:r w:rsidR="001C726A" w:rsidRPr="00687DE8">
              <w:rPr>
                <w:szCs w:val="24"/>
              </w:rPr>
              <w:t xml:space="preserve"> või adjuvantravis</w:t>
            </w:r>
            <w:r w:rsidRPr="00687DE8">
              <w:rPr>
                <w:szCs w:val="24"/>
              </w:rPr>
              <w:t>, kolmenädalane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936848" w14:textId="77777777" w:rsidR="00554B29" w:rsidRPr="00687DE8" w:rsidRDefault="00D74949" w:rsidP="007817ED">
            <w:pPr>
              <w:spacing w:after="0" w:line="240" w:lineRule="auto"/>
              <w:jc w:val="center"/>
              <w:rPr>
                <w:szCs w:val="24"/>
              </w:rPr>
            </w:pPr>
            <w:r w:rsidRPr="00687DE8">
              <w:rPr>
                <w:szCs w:val="24"/>
              </w:rPr>
              <w:t>294</w:t>
            </w:r>
            <w:r w:rsidR="00141E2C" w:rsidRPr="00687DE8">
              <w:rPr>
                <w:szCs w:val="24"/>
              </w:rPr>
              <w:t>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6438B5" w14:textId="5B8B67BA" w:rsidR="3A14DD8F" w:rsidRPr="00687DE8" w:rsidRDefault="007540F3" w:rsidP="001B58FF">
            <w:pPr>
              <w:spacing w:after="0"/>
              <w:jc w:val="center"/>
              <w:rPr>
                <w:color w:val="000000" w:themeColor="text1"/>
                <w:szCs w:val="24"/>
              </w:rPr>
            </w:pPr>
            <w:r>
              <w:rPr>
                <w:color w:val="000000"/>
              </w:rPr>
              <w:t>5 047,79</w:t>
            </w:r>
          </w:p>
        </w:tc>
      </w:tr>
      <w:tr w:rsidR="0020027C" w:rsidRPr="00687DE8" w14:paraId="1B6F337D"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354E3F" w14:textId="44D72A59" w:rsidR="0020027C" w:rsidRPr="00687DE8" w:rsidRDefault="00AE5A74" w:rsidP="00554B29">
            <w:pPr>
              <w:spacing w:after="0" w:line="240" w:lineRule="auto"/>
              <w:rPr>
                <w:szCs w:val="24"/>
              </w:rPr>
            </w:pPr>
            <w:r w:rsidRPr="00687DE8">
              <w:rPr>
                <w:szCs w:val="24"/>
              </w:rPr>
              <w:t>Kaugele</w:t>
            </w:r>
            <w:r w:rsidR="001560ED" w:rsidRPr="00687DE8">
              <w:rPr>
                <w:szCs w:val="24"/>
              </w:rPr>
              <w:t xml:space="preserve"> </w:t>
            </w:r>
            <w:r w:rsidRPr="00687DE8">
              <w:rPr>
                <w:szCs w:val="24"/>
              </w:rPr>
              <w:t>arenenud kopsukasvaja ravi atesolizumabiga 2. reas, kolmenädalane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07CECE" w14:textId="77777777" w:rsidR="0020027C" w:rsidRPr="00687DE8" w:rsidRDefault="00D74949" w:rsidP="007817ED">
            <w:pPr>
              <w:spacing w:after="0" w:line="240" w:lineRule="auto"/>
              <w:jc w:val="center"/>
              <w:rPr>
                <w:szCs w:val="24"/>
              </w:rPr>
            </w:pPr>
            <w:r w:rsidRPr="00687DE8">
              <w:rPr>
                <w:szCs w:val="24"/>
              </w:rPr>
              <w:t>295</w:t>
            </w:r>
            <w:r w:rsidR="00381968" w:rsidRPr="00687DE8">
              <w:rPr>
                <w:szCs w:val="24"/>
              </w:rPr>
              <w:t>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5088E99" w14:textId="0E1744C8" w:rsidR="3A14DD8F" w:rsidRPr="00687DE8" w:rsidRDefault="007540F3" w:rsidP="001B58FF">
            <w:pPr>
              <w:spacing w:after="0"/>
              <w:jc w:val="center"/>
              <w:rPr>
                <w:color w:val="000000" w:themeColor="text1"/>
                <w:szCs w:val="24"/>
              </w:rPr>
            </w:pPr>
            <w:r>
              <w:rPr>
                <w:color w:val="000000"/>
              </w:rPr>
              <w:t>5 047,79</w:t>
            </w:r>
          </w:p>
        </w:tc>
      </w:tr>
      <w:tr w:rsidR="0C95E397" w14:paraId="1D452514"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28C96C" w14:textId="6A53DCAA" w:rsidR="732BA5AA" w:rsidRDefault="732BA5AA" w:rsidP="0C95E397">
            <w:pPr>
              <w:spacing w:line="240" w:lineRule="auto"/>
            </w:pPr>
            <w:r w:rsidRPr="0C95E397">
              <w:rPr>
                <w:color w:val="000000" w:themeColor="text1"/>
                <w:szCs w:val="24"/>
              </w:rPr>
              <w:t>Väikerakk-kopsuvähi ravi atesolizumabiga, kolmenädalane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AA72F6" w14:textId="32492A2F" w:rsidR="0C95E397" w:rsidRDefault="732BA5AA" w:rsidP="0C95E397">
            <w:pPr>
              <w:spacing w:line="240" w:lineRule="auto"/>
              <w:jc w:val="center"/>
            </w:pPr>
            <w:r>
              <w:t>456R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F97E78F" w14:textId="77777777" w:rsidR="00F72725" w:rsidRDefault="00F72725" w:rsidP="00F72725">
            <w:pPr>
              <w:jc w:val="center"/>
              <w:rPr>
                <w:color w:val="000000"/>
              </w:rPr>
            </w:pPr>
            <w:r>
              <w:rPr>
                <w:color w:val="000000"/>
              </w:rPr>
              <w:t>5 047,79</w:t>
            </w:r>
          </w:p>
          <w:p w14:paraId="6E68BF6D" w14:textId="2DB669F3" w:rsidR="0C95E397" w:rsidRDefault="0C95E397" w:rsidP="001B58FF">
            <w:pPr>
              <w:jc w:val="center"/>
              <w:rPr>
                <w:color w:val="000000" w:themeColor="text1"/>
              </w:rPr>
            </w:pPr>
          </w:p>
        </w:tc>
      </w:tr>
      <w:tr w:rsidR="007817ED" w:rsidRPr="00687DE8" w14:paraId="177DF112"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170F97" w14:textId="4B00C149" w:rsidR="007817ED" w:rsidRPr="00687DE8" w:rsidRDefault="007817ED" w:rsidP="007817ED">
            <w:pPr>
              <w:spacing w:after="0" w:line="240" w:lineRule="auto"/>
            </w:pPr>
            <w:r>
              <w:t>Metastaatilise mitteväikerakk</w:t>
            </w:r>
            <w:r w:rsidR="005446BA">
              <w:t>-kopsukasvaja</w:t>
            </w:r>
            <w:r>
              <w:t xml:space="preserve"> ravi pembrolizumabi</w:t>
            </w:r>
            <w:r w:rsidR="00600966">
              <w:t>,</w:t>
            </w:r>
            <w:r>
              <w:t xml:space="preserve"> plaatina ja pemetrekseedi </w:t>
            </w:r>
            <w:r w:rsidR="00137163">
              <w:t xml:space="preserve">või pembrolizumabi, karboplatiini ja paklitakseeli </w:t>
            </w:r>
            <w:r>
              <w:t>kombinatsiooniga</w:t>
            </w:r>
            <w:r w:rsidR="40103893">
              <w:t>, kolmenädalane ravi</w:t>
            </w:r>
            <w:r w:rsidR="7A620E9D">
              <w:t>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BDCAC7" w14:textId="77777777" w:rsidR="007817ED" w:rsidRPr="00687DE8" w:rsidRDefault="007817ED" w:rsidP="007817ED">
            <w:pPr>
              <w:spacing w:after="0" w:line="240" w:lineRule="auto"/>
              <w:jc w:val="center"/>
              <w:rPr>
                <w:szCs w:val="24"/>
              </w:rPr>
            </w:pPr>
          </w:p>
          <w:p w14:paraId="3319139A" w14:textId="77777777" w:rsidR="007817ED" w:rsidRPr="00687DE8" w:rsidRDefault="007817ED" w:rsidP="007817ED">
            <w:pPr>
              <w:spacing w:after="0" w:line="240" w:lineRule="auto"/>
              <w:jc w:val="center"/>
              <w:rPr>
                <w:szCs w:val="24"/>
              </w:rPr>
            </w:pPr>
            <w:r w:rsidRPr="00687DE8">
              <w:rPr>
                <w:szCs w:val="24"/>
              </w:rPr>
              <w:t>268R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3AF2158" w14:textId="77777777" w:rsidR="00F72725" w:rsidRDefault="00F72725" w:rsidP="00F72725">
            <w:pPr>
              <w:jc w:val="center"/>
              <w:rPr>
                <w:color w:val="000000"/>
              </w:rPr>
            </w:pPr>
            <w:r>
              <w:rPr>
                <w:color w:val="000000"/>
              </w:rPr>
              <w:t>4 032,43</w:t>
            </w:r>
          </w:p>
          <w:p w14:paraId="214970B2" w14:textId="4A0B5915" w:rsidR="3A14DD8F" w:rsidRPr="00687DE8" w:rsidRDefault="3A14DD8F" w:rsidP="001B58FF">
            <w:pPr>
              <w:spacing w:after="0"/>
              <w:jc w:val="center"/>
              <w:rPr>
                <w:color w:val="000000" w:themeColor="text1"/>
              </w:rPr>
            </w:pPr>
          </w:p>
        </w:tc>
      </w:tr>
      <w:tr w:rsidR="3512EBEA" w14:paraId="7E8DED9A" w14:textId="77777777" w:rsidTr="00EB7A71">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893457" w14:textId="4D9DCD9B" w:rsidR="3512EBEA" w:rsidRDefault="6878AEBB" w:rsidP="3512EBEA">
            <w:pPr>
              <w:spacing w:line="240" w:lineRule="auto"/>
              <w:rPr>
                <w:color w:val="000000" w:themeColor="text1"/>
              </w:rPr>
            </w:pPr>
            <w:r w:rsidRPr="00DB4068">
              <w:rPr>
                <w:color w:val="000000" w:themeColor="text1"/>
              </w:rPr>
              <w:t>Mitteväikerakk-kopsukasvaja ravi sugemalimabi kombinatsioonraviga, PD-L1 kasvaja proportsiooni skooriga (TPS) ≥ 50</w:t>
            </w:r>
            <w:r w:rsidR="5D9E26E2" w:rsidRPr="52BAF61C">
              <w:rPr>
                <w:color w:val="000000" w:themeColor="text1"/>
              </w:rPr>
              <w:t>%</w:t>
            </w:r>
            <w:r w:rsidR="08B365D1" w:rsidRPr="52BAF61C">
              <w:rPr>
                <w:color w:val="000000" w:themeColor="text1"/>
              </w:rPr>
              <w:t xml:space="preserve">, </w:t>
            </w:r>
            <w:r w:rsidR="4CAB2C80" w:rsidRPr="52BAF61C">
              <w:rPr>
                <w:color w:val="000000" w:themeColor="text1"/>
              </w:rPr>
              <w:t xml:space="preserve">kolmenädalane </w:t>
            </w:r>
            <w:r w:rsidR="4CAB2C80" w:rsidRPr="0DC474CD">
              <w:rPr>
                <w:color w:val="000000" w:themeColor="text1"/>
              </w:rPr>
              <w:t>ravi</w:t>
            </w:r>
            <w:r w:rsidR="363819DA" w:rsidRPr="0DC474CD">
              <w:rPr>
                <w:color w:val="000000" w:themeColor="text1"/>
              </w:rPr>
              <w:t>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A6F27F" w14:textId="6049F7DE" w:rsidR="3512EBEA" w:rsidRDefault="6878AEBB" w:rsidP="3512EBEA">
            <w:pPr>
              <w:spacing w:line="240" w:lineRule="auto"/>
              <w:jc w:val="center"/>
            </w:pPr>
            <w:r>
              <w:t>452R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6BE652" w14:textId="3065513F" w:rsidR="3512EBEA" w:rsidRDefault="008C12E8" w:rsidP="001B58FF">
            <w:pPr>
              <w:jc w:val="center"/>
              <w:rPr>
                <w:color w:val="000000" w:themeColor="text1"/>
              </w:rPr>
            </w:pPr>
            <w:r>
              <w:rPr>
                <w:color w:val="000000"/>
              </w:rPr>
              <w:t>3 908,63</w:t>
            </w:r>
          </w:p>
        </w:tc>
      </w:tr>
      <w:tr w:rsidR="4A87B2D2" w14:paraId="0260D94C"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4CB51B" w14:textId="27FE3951" w:rsidR="1C20ACCC" w:rsidRPr="007C054E" w:rsidRDefault="1C20ACCC" w:rsidP="4A87B2D2">
            <w:pPr>
              <w:spacing w:line="240" w:lineRule="auto"/>
              <w:rPr>
                <w:color w:val="000000" w:themeColor="text1"/>
              </w:rPr>
            </w:pPr>
            <w:r w:rsidRPr="00DB4068">
              <w:rPr>
                <w:color w:val="000000" w:themeColor="text1"/>
              </w:rPr>
              <w:t>Mitteväikerakk-kopsukasvaja ravi sugemalimabi kombinatsioonraviga, PD-L1 kasvaja proportsiooni skooriga (TPS) 1–49</w:t>
            </w:r>
            <w:r w:rsidR="58837A5B" w:rsidRPr="52BAF61C">
              <w:rPr>
                <w:color w:val="000000" w:themeColor="text1"/>
              </w:rPr>
              <w:t>%</w:t>
            </w:r>
            <w:r w:rsidR="52BE17F1" w:rsidRPr="52BAF61C">
              <w:rPr>
                <w:color w:val="000000" w:themeColor="text1"/>
              </w:rPr>
              <w:t xml:space="preserve">, </w:t>
            </w:r>
            <w:r w:rsidR="78F4601C" w:rsidRPr="52BAF61C">
              <w:rPr>
                <w:color w:val="000000" w:themeColor="text1"/>
              </w:rPr>
              <w:t xml:space="preserve">kolmenädalane </w:t>
            </w:r>
            <w:r w:rsidR="78F4601C" w:rsidRPr="0DC474CD">
              <w:rPr>
                <w:color w:val="000000" w:themeColor="text1"/>
              </w:rPr>
              <w:t>ravi</w:t>
            </w:r>
            <w:r w:rsidR="05328D29" w:rsidRPr="0DC474CD">
              <w:rPr>
                <w:color w:val="000000" w:themeColor="text1"/>
              </w:rPr>
              <w:t>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A490EC" w14:textId="6E397194" w:rsidR="1C20ACCC" w:rsidRDefault="1C20ACCC" w:rsidP="4A87B2D2">
            <w:pPr>
              <w:spacing w:line="240" w:lineRule="auto"/>
              <w:jc w:val="center"/>
            </w:pPr>
            <w:r>
              <w:t>453R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9BC0511" w14:textId="7C74ADCA" w:rsidR="1C20ACCC" w:rsidRDefault="008C12E8" w:rsidP="001B58FF">
            <w:pPr>
              <w:jc w:val="center"/>
              <w:rPr>
                <w:color w:val="000000" w:themeColor="text1"/>
              </w:rPr>
            </w:pPr>
            <w:r>
              <w:rPr>
                <w:color w:val="000000"/>
              </w:rPr>
              <w:t>3 908,63</w:t>
            </w:r>
          </w:p>
        </w:tc>
      </w:tr>
      <w:tr w:rsidR="4E831E41" w14:paraId="4D703C7D"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C7A458" w14:textId="4AD806E1" w:rsidR="3051B3B0" w:rsidRDefault="2A332348" w:rsidP="4536FD26">
            <w:pPr>
              <w:spacing w:line="240" w:lineRule="auto"/>
              <w:rPr>
                <w:color w:val="000000" w:themeColor="text1"/>
              </w:rPr>
            </w:pPr>
            <w:r w:rsidRPr="4536FD26">
              <w:rPr>
                <w:color w:val="000000" w:themeColor="text1"/>
              </w:rPr>
              <w:t>Mitteväikerakk-kopsu</w:t>
            </w:r>
            <w:r w:rsidR="679E3342" w:rsidRPr="4536FD26">
              <w:rPr>
                <w:color w:val="000000" w:themeColor="text1"/>
              </w:rPr>
              <w:t>kasvaja</w:t>
            </w:r>
            <w:r w:rsidRPr="4536FD26">
              <w:rPr>
                <w:color w:val="000000" w:themeColor="text1"/>
              </w:rPr>
              <w:t xml:space="preserve"> ravi tsemiplimabiga, </w:t>
            </w:r>
            <w:r w:rsidR="58D4FF3F" w:rsidRPr="24ECAF88">
              <w:rPr>
                <w:color w:val="000000" w:themeColor="text1"/>
              </w:rPr>
              <w:t xml:space="preserve">PD-L1 kasvaja proportsiooni skooriga (TPS) ≥ 50%, </w:t>
            </w:r>
            <w:r w:rsidRPr="4536FD26">
              <w:rPr>
                <w:color w:val="000000" w:themeColor="text1"/>
              </w:rPr>
              <w:t>kolmenädalane ravikuur</w:t>
            </w:r>
            <w:r w:rsidR="58D4FF3F" w:rsidRPr="24ECAF88">
              <w:rPr>
                <w:color w:val="000000" w:themeColor="text1"/>
              </w:rPr>
              <w:t xml:space="preserve">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127955" w14:textId="4F6E1064" w:rsidR="3051B3B0" w:rsidRDefault="3051B3B0" w:rsidP="4E831E41">
            <w:pPr>
              <w:spacing w:line="240" w:lineRule="auto"/>
              <w:jc w:val="center"/>
            </w:pPr>
            <w:r>
              <w:t>454R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DA207E5" w14:textId="24C2C0ED" w:rsidR="08E16250" w:rsidRDefault="08E16250" w:rsidP="4E831E41">
            <w:pPr>
              <w:jc w:val="center"/>
              <w:rPr>
                <w:color w:val="000000" w:themeColor="text1"/>
              </w:rPr>
            </w:pPr>
            <w:r w:rsidRPr="4E831E41">
              <w:rPr>
                <w:color w:val="000000" w:themeColor="text1"/>
              </w:rPr>
              <w:t>3916,14</w:t>
            </w:r>
          </w:p>
        </w:tc>
      </w:tr>
      <w:tr w:rsidR="4E831E41" w14:paraId="1FB896B5"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B579E8" w14:textId="3F5CBC13" w:rsidR="3051B3B0" w:rsidRDefault="2A332348" w:rsidP="4536FD26">
            <w:pPr>
              <w:spacing w:line="240" w:lineRule="auto"/>
              <w:rPr>
                <w:color w:val="202020"/>
              </w:rPr>
            </w:pPr>
            <w:r w:rsidRPr="00EB7A71">
              <w:rPr>
                <w:color w:val="000000" w:themeColor="text1"/>
              </w:rPr>
              <w:t>M</w:t>
            </w:r>
            <w:r w:rsidRPr="4536FD26">
              <w:rPr>
                <w:color w:val="202020"/>
              </w:rPr>
              <w:t xml:space="preserve">itteväikerakk-kopsukasvaja ravi </w:t>
            </w:r>
            <w:r w:rsidR="79A310F7" w:rsidRPr="24ECAF88">
              <w:rPr>
                <w:color w:val="202020"/>
              </w:rPr>
              <w:t>tsemiplimabi</w:t>
            </w:r>
            <w:r w:rsidR="09F1C2DF" w:rsidRPr="24ECAF88">
              <w:rPr>
                <w:color w:val="202020"/>
              </w:rPr>
              <w:t xml:space="preserve">ga, PD-L1 kasvaja proportsiooni skooriga (TPS) 1–49%, kolmenädalane ravikuur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C0ABA7" w14:textId="0D17C448" w:rsidR="3051B3B0" w:rsidRDefault="3051B3B0" w:rsidP="4E831E41">
            <w:pPr>
              <w:spacing w:line="240" w:lineRule="auto"/>
              <w:jc w:val="center"/>
            </w:pPr>
            <w:r>
              <w:t>455R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546F2F3" w14:textId="04B81DE0" w:rsidR="105A5507" w:rsidRDefault="105A5507" w:rsidP="4E831E41">
            <w:pPr>
              <w:jc w:val="center"/>
              <w:rPr>
                <w:color w:val="000000" w:themeColor="text1"/>
              </w:rPr>
            </w:pPr>
            <w:r w:rsidRPr="4E831E41">
              <w:rPr>
                <w:color w:val="000000" w:themeColor="text1"/>
              </w:rPr>
              <w:t>3916,14</w:t>
            </w:r>
          </w:p>
        </w:tc>
      </w:tr>
      <w:tr w:rsidR="007817ED" w:rsidRPr="00687DE8" w14:paraId="5EEE8DC3" w14:textId="77777777" w:rsidTr="00EB7A71">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95F064" w14:textId="77777777" w:rsidR="007817ED" w:rsidRPr="00687DE8" w:rsidRDefault="007817ED" w:rsidP="00A572B5">
            <w:pPr>
              <w:spacing w:after="0" w:line="240" w:lineRule="auto"/>
              <w:rPr>
                <w:szCs w:val="24"/>
              </w:rPr>
            </w:pPr>
            <w:r w:rsidRPr="00687DE8">
              <w:rPr>
                <w:szCs w:val="24"/>
              </w:rPr>
              <w:t>III</w:t>
            </w:r>
            <w:r w:rsidR="00A572B5" w:rsidRPr="00687DE8">
              <w:rPr>
                <w:szCs w:val="24"/>
              </w:rPr>
              <w:t> staadiumi</w:t>
            </w:r>
            <w:r w:rsidRPr="00687DE8">
              <w:rPr>
                <w:szCs w:val="24"/>
              </w:rPr>
              <w:t xml:space="preserve"> melanoomi resektsioonijärgne adjuvantravi nivolumabiga, kahenädalane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3416A6" w14:textId="77777777" w:rsidR="007817ED" w:rsidRPr="00687DE8" w:rsidRDefault="007817ED" w:rsidP="007817ED">
            <w:pPr>
              <w:spacing w:after="0" w:line="240" w:lineRule="auto"/>
              <w:jc w:val="center"/>
              <w:rPr>
                <w:szCs w:val="24"/>
              </w:rPr>
            </w:pPr>
          </w:p>
          <w:p w14:paraId="0D55D4D8" w14:textId="77777777" w:rsidR="007817ED" w:rsidRPr="00687DE8" w:rsidRDefault="007817ED" w:rsidP="007817ED">
            <w:pPr>
              <w:spacing w:after="0" w:line="240" w:lineRule="auto"/>
              <w:jc w:val="center"/>
              <w:rPr>
                <w:szCs w:val="24"/>
              </w:rPr>
            </w:pPr>
            <w:r w:rsidRPr="00687DE8">
              <w:rPr>
                <w:szCs w:val="24"/>
              </w:rPr>
              <w:t>289R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8A8219" w14:textId="233C293A" w:rsidR="3A14DD8F" w:rsidRPr="00687DE8" w:rsidRDefault="00A14DA4" w:rsidP="001B58FF">
            <w:pPr>
              <w:spacing w:after="0"/>
              <w:jc w:val="center"/>
              <w:rPr>
                <w:color w:val="000000" w:themeColor="text1"/>
                <w:szCs w:val="24"/>
              </w:rPr>
            </w:pPr>
            <w:r>
              <w:rPr>
                <w:color w:val="000000"/>
              </w:rPr>
              <w:t>2 596,81</w:t>
            </w:r>
          </w:p>
        </w:tc>
      </w:tr>
      <w:tr w:rsidR="007817ED" w:rsidRPr="00687DE8" w14:paraId="4E73BA71"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C15EA4" w14:textId="0D8079AB" w:rsidR="007817ED" w:rsidRPr="00687DE8" w:rsidRDefault="007817ED" w:rsidP="007817ED">
            <w:pPr>
              <w:tabs>
                <w:tab w:val="left" w:pos="1590"/>
              </w:tabs>
              <w:spacing w:after="0" w:line="240" w:lineRule="auto"/>
              <w:rPr>
                <w:szCs w:val="24"/>
              </w:rPr>
            </w:pPr>
            <w:r w:rsidRPr="00687DE8">
              <w:rPr>
                <w:szCs w:val="24"/>
              </w:rPr>
              <w:t>Kaugele</w:t>
            </w:r>
            <w:r w:rsidR="001560ED" w:rsidRPr="00687DE8">
              <w:rPr>
                <w:szCs w:val="24"/>
              </w:rPr>
              <w:t xml:space="preserve"> </w:t>
            </w:r>
            <w:r w:rsidRPr="00687DE8">
              <w:rPr>
                <w:szCs w:val="24"/>
              </w:rPr>
              <w:t>arenenud melanoomi ja klassikalise Hodgkini lümfoomi ravi nivolumabiga, kahenädalane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58632B" w14:textId="77777777" w:rsidR="007817ED" w:rsidRPr="00687DE8" w:rsidRDefault="007817ED" w:rsidP="007817ED">
            <w:pPr>
              <w:spacing w:after="0" w:line="240" w:lineRule="auto"/>
              <w:jc w:val="center"/>
              <w:rPr>
                <w:szCs w:val="24"/>
              </w:rPr>
            </w:pPr>
          </w:p>
          <w:p w14:paraId="7AE114D4" w14:textId="77777777" w:rsidR="007817ED" w:rsidRPr="00687DE8" w:rsidRDefault="007817ED" w:rsidP="007817ED">
            <w:pPr>
              <w:spacing w:after="0" w:line="240" w:lineRule="auto"/>
              <w:jc w:val="center"/>
              <w:rPr>
                <w:szCs w:val="24"/>
              </w:rPr>
            </w:pPr>
            <w:r w:rsidRPr="00687DE8">
              <w:rPr>
                <w:szCs w:val="24"/>
              </w:rPr>
              <w:t>255R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AC681B4" w14:textId="56065FE0" w:rsidR="3A14DD8F" w:rsidRPr="00687DE8" w:rsidRDefault="00A14DA4" w:rsidP="001B58FF">
            <w:pPr>
              <w:spacing w:after="0"/>
              <w:jc w:val="center"/>
              <w:rPr>
                <w:color w:val="000000" w:themeColor="text1"/>
                <w:szCs w:val="24"/>
              </w:rPr>
            </w:pPr>
            <w:r>
              <w:rPr>
                <w:color w:val="000000"/>
              </w:rPr>
              <w:t>2 596,81</w:t>
            </w:r>
          </w:p>
        </w:tc>
      </w:tr>
      <w:tr w:rsidR="007817ED" w:rsidRPr="00687DE8" w14:paraId="3C2D48FC"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C46947" w14:textId="77777777" w:rsidR="007817ED" w:rsidRPr="00687DE8" w:rsidRDefault="007817ED" w:rsidP="007817ED">
            <w:pPr>
              <w:spacing w:after="0" w:line="240" w:lineRule="auto"/>
              <w:rPr>
                <w:szCs w:val="24"/>
              </w:rPr>
            </w:pPr>
            <w:r w:rsidRPr="00687DE8">
              <w:rPr>
                <w:szCs w:val="24"/>
              </w:rPr>
              <w:t>Follikulaarse lümfoomi ravi obinutuzumabiga, üks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0795AC" w14:textId="77777777" w:rsidR="007817ED" w:rsidRPr="00687DE8" w:rsidRDefault="007817ED" w:rsidP="007817ED">
            <w:pPr>
              <w:spacing w:after="0" w:line="240" w:lineRule="auto"/>
              <w:jc w:val="center"/>
              <w:rPr>
                <w:szCs w:val="24"/>
              </w:rPr>
            </w:pPr>
            <w:r w:rsidRPr="00687DE8">
              <w:rPr>
                <w:szCs w:val="24"/>
              </w:rPr>
              <w:t>256R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A9ADE8" w14:textId="4D98EAFE" w:rsidR="3A14DD8F" w:rsidRPr="00687DE8" w:rsidRDefault="00A14DA4" w:rsidP="001B58FF">
            <w:pPr>
              <w:spacing w:after="0"/>
              <w:jc w:val="center"/>
              <w:rPr>
                <w:color w:val="000000" w:themeColor="text1"/>
              </w:rPr>
            </w:pPr>
            <w:r>
              <w:rPr>
                <w:color w:val="000000"/>
              </w:rPr>
              <w:t>3 751,73</w:t>
            </w:r>
          </w:p>
        </w:tc>
      </w:tr>
      <w:tr w:rsidR="007817ED" w:rsidRPr="00687DE8" w14:paraId="079B7149"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55C5B0" w14:textId="27CC7D4C" w:rsidR="007817ED" w:rsidRPr="00687DE8" w:rsidRDefault="007817ED" w:rsidP="007817ED">
            <w:pPr>
              <w:spacing w:after="0" w:line="240" w:lineRule="auto"/>
              <w:rPr>
                <w:szCs w:val="24"/>
              </w:rPr>
            </w:pPr>
            <w:r w:rsidRPr="00687DE8">
              <w:rPr>
                <w:szCs w:val="24"/>
              </w:rPr>
              <w:t>Kroonilise lümfoidse leukeemia ravi obinutuzumabiga, üks</w:t>
            </w:r>
            <w:r w:rsidR="00F73E10" w:rsidRPr="00687DE8">
              <w:rPr>
                <w:szCs w:val="24"/>
              </w:rPr>
              <w:t xml:space="preserve"> </w:t>
            </w:r>
            <w:r w:rsidRPr="00687DE8">
              <w:rPr>
                <w:szCs w:val="24"/>
              </w:rPr>
              <w:t>manustamiskord</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8DB81E" w14:textId="77777777" w:rsidR="007817ED" w:rsidRPr="00687DE8" w:rsidRDefault="007817ED" w:rsidP="007817ED">
            <w:pPr>
              <w:spacing w:after="0" w:line="240" w:lineRule="auto"/>
              <w:jc w:val="center"/>
              <w:rPr>
                <w:szCs w:val="24"/>
              </w:rPr>
            </w:pPr>
          </w:p>
          <w:p w14:paraId="08DD462C" w14:textId="77777777" w:rsidR="007817ED" w:rsidRPr="00687DE8" w:rsidRDefault="007817ED" w:rsidP="007817ED">
            <w:pPr>
              <w:spacing w:after="0" w:line="240" w:lineRule="auto"/>
              <w:jc w:val="center"/>
              <w:rPr>
                <w:szCs w:val="24"/>
              </w:rPr>
            </w:pPr>
            <w:r w:rsidRPr="00687DE8">
              <w:rPr>
                <w:szCs w:val="24"/>
              </w:rPr>
              <w:t>257R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74EA3EE" w14:textId="7E7BEB36" w:rsidR="3A14DD8F" w:rsidRPr="00687DE8" w:rsidRDefault="00A14DA4" w:rsidP="001B58FF">
            <w:pPr>
              <w:spacing w:after="0"/>
              <w:jc w:val="center"/>
              <w:rPr>
                <w:color w:val="000000" w:themeColor="text1"/>
              </w:rPr>
            </w:pPr>
            <w:r>
              <w:rPr>
                <w:color w:val="000000"/>
              </w:rPr>
              <w:t>3 707,09</w:t>
            </w:r>
          </w:p>
        </w:tc>
      </w:tr>
      <w:tr w:rsidR="007817ED" w:rsidRPr="00687DE8" w14:paraId="5522AFEB"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55BF87" w14:textId="77777777" w:rsidR="007817ED" w:rsidRPr="00687DE8" w:rsidRDefault="007817ED" w:rsidP="007817ED">
            <w:pPr>
              <w:spacing w:after="0" w:line="240" w:lineRule="auto"/>
              <w:rPr>
                <w:szCs w:val="24"/>
              </w:rPr>
            </w:pPr>
            <w:r w:rsidRPr="00687DE8">
              <w:rPr>
                <w:szCs w:val="24"/>
              </w:rPr>
              <w:t>Kesknärvisüsteemi lümfoomi kemoteraapiakuur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A19F39" w14:textId="77777777" w:rsidR="007817ED" w:rsidRPr="00687DE8" w:rsidRDefault="007817ED" w:rsidP="007817ED">
            <w:pPr>
              <w:spacing w:after="0" w:line="240" w:lineRule="auto"/>
              <w:jc w:val="center"/>
              <w:rPr>
                <w:szCs w:val="24"/>
              </w:rPr>
            </w:pPr>
            <w:r w:rsidRPr="00687DE8">
              <w:rPr>
                <w:szCs w:val="24"/>
              </w:rPr>
              <w:t>267R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612D0C" w14:textId="72FB67C2" w:rsidR="3A14DD8F" w:rsidRPr="00687DE8" w:rsidRDefault="00A14DA4" w:rsidP="001B58FF">
            <w:pPr>
              <w:spacing w:after="0"/>
              <w:jc w:val="center"/>
              <w:rPr>
                <w:color w:val="000000" w:themeColor="text1"/>
              </w:rPr>
            </w:pPr>
            <w:r>
              <w:rPr>
                <w:color w:val="000000"/>
              </w:rPr>
              <w:t>1 952,46</w:t>
            </w:r>
          </w:p>
        </w:tc>
      </w:tr>
      <w:tr w:rsidR="007817ED" w:rsidRPr="00687DE8" w14:paraId="2074A73E"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C3A8F8" w14:textId="77777777" w:rsidR="007817ED" w:rsidRPr="00687DE8" w:rsidRDefault="007817ED" w:rsidP="007817ED">
            <w:pPr>
              <w:spacing w:after="0" w:line="240" w:lineRule="auto"/>
              <w:rPr>
                <w:szCs w:val="24"/>
              </w:rPr>
            </w:pPr>
            <w:r w:rsidRPr="00687DE8">
              <w:rPr>
                <w:color w:val="000000"/>
                <w:szCs w:val="24"/>
              </w:rPr>
              <w:t>Pea- ja kaelapiirkonna vähi ravi nivolumabiga, kahenädalane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36051E" w14:textId="77777777" w:rsidR="007817ED" w:rsidRPr="00687DE8" w:rsidRDefault="007817ED" w:rsidP="007817ED">
            <w:pPr>
              <w:spacing w:after="0" w:line="240" w:lineRule="auto"/>
              <w:jc w:val="center"/>
              <w:rPr>
                <w:szCs w:val="24"/>
              </w:rPr>
            </w:pPr>
          </w:p>
          <w:p w14:paraId="6A6F0D43" w14:textId="77777777" w:rsidR="007817ED" w:rsidRPr="00687DE8" w:rsidRDefault="007817ED" w:rsidP="007817ED">
            <w:pPr>
              <w:spacing w:after="0" w:line="240" w:lineRule="auto"/>
              <w:jc w:val="center"/>
              <w:rPr>
                <w:szCs w:val="24"/>
              </w:rPr>
            </w:pPr>
            <w:r w:rsidRPr="00687DE8">
              <w:rPr>
                <w:szCs w:val="24"/>
              </w:rPr>
              <w:t>263R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0A4070" w14:textId="31C8621B" w:rsidR="3A14DD8F" w:rsidRPr="00687DE8" w:rsidRDefault="00A14DA4" w:rsidP="001B58FF">
            <w:pPr>
              <w:spacing w:after="0"/>
              <w:jc w:val="center"/>
              <w:rPr>
                <w:color w:val="000000" w:themeColor="text1"/>
                <w:szCs w:val="24"/>
              </w:rPr>
            </w:pPr>
            <w:r>
              <w:rPr>
                <w:color w:val="000000"/>
              </w:rPr>
              <w:t>2 596,81</w:t>
            </w:r>
          </w:p>
        </w:tc>
      </w:tr>
      <w:tr w:rsidR="007817ED" w:rsidRPr="00687DE8" w14:paraId="1B2B3E35"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640BCC8" w14:textId="77777777" w:rsidR="007817ED" w:rsidRPr="00687DE8" w:rsidRDefault="007817ED" w:rsidP="007817ED">
            <w:pPr>
              <w:spacing w:after="0" w:line="240" w:lineRule="auto"/>
              <w:rPr>
                <w:color w:val="000000"/>
                <w:szCs w:val="24"/>
              </w:rPr>
            </w:pPr>
            <w:r w:rsidRPr="00687DE8">
              <w:rPr>
                <w:color w:val="000000"/>
                <w:szCs w:val="24"/>
              </w:rPr>
              <w:t>Pea- ja kaelapiirkonna vähi ravi pembrolizumabi monoteraapia või kombinatsioonraviga plaatinat ja 5-fluorouratsiili sisaldava kemoteraapiaga, kolmenädalane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6018F0" w14:textId="77777777" w:rsidR="00123104" w:rsidRDefault="00123104" w:rsidP="007817ED">
            <w:pPr>
              <w:spacing w:after="0" w:line="240" w:lineRule="auto"/>
              <w:jc w:val="center"/>
              <w:rPr>
                <w:szCs w:val="24"/>
              </w:rPr>
            </w:pPr>
          </w:p>
          <w:p w14:paraId="6C971487" w14:textId="25E66291" w:rsidR="007817ED" w:rsidRPr="00687DE8" w:rsidRDefault="007817ED" w:rsidP="007817ED">
            <w:pPr>
              <w:spacing w:after="0" w:line="240" w:lineRule="auto"/>
              <w:jc w:val="center"/>
              <w:rPr>
                <w:szCs w:val="24"/>
              </w:rPr>
            </w:pPr>
            <w:r w:rsidRPr="00687DE8">
              <w:rPr>
                <w:szCs w:val="24"/>
              </w:rPr>
              <w:t>292R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CA3B711" w14:textId="6F687D8C" w:rsidR="3A14DD8F" w:rsidRPr="00687DE8" w:rsidRDefault="00A14DA4" w:rsidP="001B58FF">
            <w:pPr>
              <w:spacing w:after="0"/>
              <w:jc w:val="center"/>
              <w:rPr>
                <w:color w:val="000000" w:themeColor="text1"/>
              </w:rPr>
            </w:pPr>
            <w:r>
              <w:rPr>
                <w:color w:val="000000"/>
              </w:rPr>
              <w:t>4 006,59</w:t>
            </w:r>
          </w:p>
        </w:tc>
      </w:tr>
      <w:tr w:rsidR="00832C5C" w:rsidRPr="00687DE8" w14:paraId="337C85AE"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FE410E" w14:textId="77777777" w:rsidR="00832C5C" w:rsidRPr="00687DE8" w:rsidRDefault="00832C5C" w:rsidP="007817ED">
            <w:pPr>
              <w:spacing w:after="0" w:line="240" w:lineRule="auto"/>
              <w:rPr>
                <w:color w:val="000000"/>
                <w:szCs w:val="24"/>
                <w:lang w:val="sv-SE"/>
              </w:rPr>
            </w:pPr>
            <w:r w:rsidRPr="00687DE8">
              <w:rPr>
                <w:color w:val="000000"/>
                <w:szCs w:val="24"/>
                <w:lang w:val="sv-SE"/>
              </w:rPr>
              <w:t>Bevatsizumab</w:t>
            </w:r>
            <w:r w:rsidR="00D50BC4" w:rsidRPr="00687DE8">
              <w:rPr>
                <w:color w:val="000000"/>
                <w:szCs w:val="24"/>
                <w:lang w:val="sv-SE"/>
              </w:rPr>
              <w:t>, 1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12B312" w14:textId="77777777" w:rsidR="00832C5C" w:rsidRPr="00687DE8" w:rsidRDefault="00EB4194" w:rsidP="007817ED">
            <w:pPr>
              <w:spacing w:after="0" w:line="240" w:lineRule="auto"/>
              <w:jc w:val="center"/>
              <w:rPr>
                <w:szCs w:val="24"/>
              </w:rPr>
            </w:pPr>
            <w:r w:rsidRPr="00687DE8">
              <w:rPr>
                <w:szCs w:val="24"/>
              </w:rPr>
              <w:t>29</w:t>
            </w:r>
            <w:r w:rsidR="008F0927" w:rsidRPr="00687DE8">
              <w:rPr>
                <w:szCs w:val="24"/>
              </w:rPr>
              <w:t>7</w:t>
            </w:r>
            <w:r w:rsidRPr="00687DE8">
              <w:rPr>
                <w:szCs w:val="24"/>
              </w:rPr>
              <w:t>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1415FA6" w14:textId="6044BF6B" w:rsidR="3A14DD8F" w:rsidRPr="00687DE8" w:rsidRDefault="00A14DA4" w:rsidP="001B58FF">
            <w:pPr>
              <w:spacing w:after="0"/>
              <w:jc w:val="center"/>
              <w:rPr>
                <w:color w:val="000000" w:themeColor="text1"/>
              </w:rPr>
            </w:pPr>
            <w:r>
              <w:rPr>
                <w:color w:val="000000"/>
              </w:rPr>
              <w:t>0,18</w:t>
            </w:r>
          </w:p>
        </w:tc>
      </w:tr>
      <w:tr w:rsidR="20129E84" w:rsidRPr="00687DE8" w14:paraId="4217EBC8" w14:textId="77777777" w:rsidTr="4536FD26">
        <w:trPr>
          <w:divId w:val="1316184749"/>
          <w:trHeight w:val="300"/>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212253" w14:textId="452C9A4B" w:rsidR="17D16505" w:rsidRPr="00687DE8" w:rsidRDefault="17D16505" w:rsidP="00FB785B">
            <w:pPr>
              <w:spacing w:after="0" w:line="240" w:lineRule="auto"/>
              <w:rPr>
                <w:color w:val="000000"/>
                <w:szCs w:val="24"/>
                <w:lang w:val="sv-SE"/>
              </w:rPr>
            </w:pPr>
            <w:r w:rsidRPr="00687DE8">
              <w:rPr>
                <w:color w:val="000000"/>
                <w:szCs w:val="24"/>
                <w:lang w:val="sv-SE"/>
              </w:rPr>
              <w:t>Varasemalt ravimata mitteresetseeritava III ja IV staadiumi melanoomi ravi ipilimumabiga, 50</w:t>
            </w:r>
            <w:r w:rsidR="00BE28D1" w:rsidRPr="00687DE8">
              <w:rPr>
                <w:color w:val="000000"/>
                <w:szCs w:val="24"/>
                <w:lang w:val="sv-SE"/>
              </w:rPr>
              <w:t xml:space="preserve"> </w:t>
            </w:r>
            <w:r w:rsidRPr="00687DE8">
              <w:rPr>
                <w:color w:val="000000"/>
                <w:szCs w:val="24"/>
                <w:lang w:val="sv-SE"/>
              </w:rPr>
              <w:t>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2EBA3F" w14:textId="77777777" w:rsidR="17D16505" w:rsidRPr="00687DE8" w:rsidRDefault="17D16505" w:rsidP="00FB785B">
            <w:pPr>
              <w:spacing w:after="0" w:line="240" w:lineRule="auto"/>
              <w:jc w:val="center"/>
              <w:rPr>
                <w:color w:val="000000"/>
                <w:szCs w:val="24"/>
                <w:lang w:val="sv-SE"/>
              </w:rPr>
            </w:pPr>
            <w:r w:rsidRPr="00687DE8">
              <w:rPr>
                <w:color w:val="000000"/>
                <w:szCs w:val="24"/>
                <w:lang w:val="sv-SE"/>
              </w:rPr>
              <w:t>405R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FBFC1E4" w14:textId="487063E8" w:rsidR="3A14DD8F" w:rsidRPr="00687DE8" w:rsidRDefault="00A14DA4" w:rsidP="001B58FF">
            <w:pPr>
              <w:spacing w:after="0"/>
              <w:jc w:val="center"/>
              <w:rPr>
                <w:color w:val="000000" w:themeColor="text1"/>
                <w:szCs w:val="24"/>
              </w:rPr>
            </w:pPr>
            <w:r>
              <w:rPr>
                <w:color w:val="000000"/>
              </w:rPr>
              <w:t>3 135,27</w:t>
            </w:r>
          </w:p>
        </w:tc>
      </w:tr>
      <w:tr w:rsidR="20129E84" w:rsidRPr="00687DE8" w14:paraId="5FD2D11F" w14:textId="77777777" w:rsidTr="4536FD26">
        <w:trPr>
          <w:divId w:val="1316184749"/>
          <w:trHeight w:val="575"/>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BD3FA9" w14:textId="564B8499" w:rsidR="17D16505" w:rsidRPr="00687DE8" w:rsidRDefault="17D16505" w:rsidP="00392B32">
            <w:pPr>
              <w:spacing w:after="0" w:line="240" w:lineRule="auto"/>
              <w:rPr>
                <w:color w:val="000000"/>
                <w:szCs w:val="24"/>
                <w:lang w:val="sv-SE"/>
              </w:rPr>
            </w:pPr>
            <w:r w:rsidRPr="00687DE8">
              <w:rPr>
                <w:color w:val="000000"/>
                <w:szCs w:val="24"/>
                <w:lang w:val="sv-SE"/>
              </w:rPr>
              <w:lastRenderedPageBreak/>
              <w:t>Varasemalt ravimata mitteresetseeritava III ja IV staadiumi melanoomi ravi nivolumabiga, 1</w:t>
            </w:r>
            <w:r w:rsidR="00BE28D1" w:rsidRPr="00687DE8">
              <w:rPr>
                <w:color w:val="000000"/>
                <w:szCs w:val="24"/>
                <w:lang w:val="sv-SE"/>
              </w:rPr>
              <w:t xml:space="preserve"> </w:t>
            </w:r>
            <w:r w:rsidRPr="00687DE8">
              <w:rPr>
                <w:color w:val="000000"/>
                <w:szCs w:val="24"/>
                <w:lang w:val="sv-SE"/>
              </w:rPr>
              <w:t>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F56600" w14:textId="77777777" w:rsidR="00123104" w:rsidRDefault="00123104" w:rsidP="00392B32">
            <w:pPr>
              <w:spacing w:after="0" w:line="240" w:lineRule="auto"/>
              <w:jc w:val="center"/>
              <w:rPr>
                <w:color w:val="000000"/>
                <w:szCs w:val="24"/>
                <w:lang w:val="sv-SE"/>
              </w:rPr>
            </w:pPr>
          </w:p>
          <w:p w14:paraId="393FEE5E" w14:textId="0BA974E0" w:rsidR="17D16505" w:rsidRPr="00687DE8" w:rsidRDefault="17D16505" w:rsidP="00392B32">
            <w:pPr>
              <w:spacing w:after="0" w:line="240" w:lineRule="auto"/>
              <w:jc w:val="center"/>
              <w:rPr>
                <w:color w:val="000000"/>
                <w:szCs w:val="24"/>
                <w:lang w:val="sv-SE"/>
              </w:rPr>
            </w:pPr>
            <w:r w:rsidRPr="00687DE8">
              <w:rPr>
                <w:color w:val="000000"/>
                <w:szCs w:val="24"/>
                <w:lang w:val="sv-SE"/>
              </w:rPr>
              <w:t>406R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9EF75F6" w14:textId="1AB594AC" w:rsidR="3A14DD8F" w:rsidRPr="00687DE8" w:rsidRDefault="00A14DA4" w:rsidP="001B58FF">
            <w:pPr>
              <w:spacing w:after="0"/>
              <w:jc w:val="center"/>
              <w:rPr>
                <w:color w:val="000000" w:themeColor="text1"/>
                <w:szCs w:val="24"/>
              </w:rPr>
            </w:pPr>
            <w:r>
              <w:rPr>
                <w:color w:val="000000"/>
              </w:rPr>
              <w:t>10,82</w:t>
            </w:r>
          </w:p>
        </w:tc>
      </w:tr>
      <w:tr w:rsidR="007C61F4" w:rsidRPr="00687DE8" w14:paraId="7F0E016C" w14:textId="77777777" w:rsidTr="4536FD26">
        <w:trPr>
          <w:divId w:val="1316184749"/>
          <w:trHeight w:val="575"/>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35E6A2" w14:textId="21369012" w:rsidR="007C61F4" w:rsidRPr="00687DE8" w:rsidRDefault="00C232F9" w:rsidP="00392B32">
            <w:pPr>
              <w:spacing w:after="0" w:line="240" w:lineRule="auto"/>
              <w:rPr>
                <w:color w:val="000000"/>
                <w:szCs w:val="24"/>
                <w:lang w:val="sv-SE"/>
              </w:rPr>
            </w:pPr>
            <w:r w:rsidRPr="00687DE8">
              <w:rPr>
                <w:color w:val="000000"/>
                <w:szCs w:val="24"/>
                <w:lang w:val="sv-SE"/>
              </w:rPr>
              <w:t>Neerukasvaja ravi nivolumabiga, 1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28DFAA" w14:textId="77777777" w:rsidR="00123104" w:rsidRDefault="00123104" w:rsidP="00123104">
            <w:pPr>
              <w:tabs>
                <w:tab w:val="left" w:pos="353"/>
                <w:tab w:val="center" w:pos="623"/>
              </w:tabs>
              <w:spacing w:after="0" w:line="240" w:lineRule="auto"/>
              <w:rPr>
                <w:color w:val="000000"/>
                <w:szCs w:val="24"/>
                <w:lang w:val="sv-SE"/>
              </w:rPr>
            </w:pPr>
            <w:r>
              <w:rPr>
                <w:color w:val="000000"/>
                <w:szCs w:val="24"/>
                <w:lang w:val="sv-SE"/>
              </w:rPr>
              <w:tab/>
            </w:r>
          </w:p>
          <w:p w14:paraId="5EDDD5F4" w14:textId="7E8C3060" w:rsidR="007C61F4" w:rsidRPr="00687DE8" w:rsidRDefault="00123104" w:rsidP="00123104">
            <w:pPr>
              <w:tabs>
                <w:tab w:val="left" w:pos="353"/>
                <w:tab w:val="center" w:pos="623"/>
              </w:tabs>
              <w:spacing w:after="0" w:line="240" w:lineRule="auto"/>
              <w:rPr>
                <w:color w:val="000000"/>
                <w:szCs w:val="24"/>
                <w:lang w:val="sv-SE"/>
              </w:rPr>
            </w:pPr>
            <w:r>
              <w:rPr>
                <w:color w:val="000000"/>
                <w:szCs w:val="24"/>
                <w:lang w:val="sv-SE"/>
              </w:rPr>
              <w:tab/>
            </w:r>
            <w:r w:rsidR="00C232F9" w:rsidRPr="00687DE8">
              <w:rPr>
                <w:color w:val="000000"/>
                <w:szCs w:val="24"/>
                <w:lang w:val="sv-SE"/>
              </w:rPr>
              <w:t>409R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9BC0CA0" w14:textId="431558B6" w:rsidR="0E0EAB1B" w:rsidRPr="00687DE8" w:rsidRDefault="00A14DA4" w:rsidP="001B58FF">
            <w:pPr>
              <w:spacing w:after="0"/>
              <w:jc w:val="center"/>
              <w:rPr>
                <w:color w:val="000000" w:themeColor="text1"/>
                <w:szCs w:val="24"/>
              </w:rPr>
            </w:pPr>
            <w:r>
              <w:rPr>
                <w:color w:val="000000"/>
              </w:rPr>
              <w:t>10,82</w:t>
            </w:r>
          </w:p>
        </w:tc>
      </w:tr>
      <w:tr w:rsidR="000B5E8E" w:rsidRPr="00687DE8" w14:paraId="058DCD1D" w14:textId="77777777" w:rsidTr="4536FD26">
        <w:trPr>
          <w:divId w:val="1316184749"/>
          <w:trHeight w:val="575"/>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C177A0" w14:textId="6767F2FF" w:rsidR="000B5E8E" w:rsidRPr="00687DE8" w:rsidRDefault="00D54DE3" w:rsidP="00392B32">
            <w:pPr>
              <w:spacing w:after="0" w:line="240" w:lineRule="auto"/>
              <w:rPr>
                <w:color w:val="000000"/>
                <w:szCs w:val="24"/>
                <w:lang w:val="sv-SE"/>
              </w:rPr>
            </w:pPr>
            <w:r w:rsidRPr="00687DE8">
              <w:rPr>
                <w:color w:val="000000"/>
                <w:szCs w:val="24"/>
                <w:lang w:val="sv-SE"/>
              </w:rPr>
              <w:t>Neerukasvaja ravi ipilimumabiga, 1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2B7B27" w14:textId="77777777" w:rsidR="00123104" w:rsidRDefault="00123104" w:rsidP="00392B32">
            <w:pPr>
              <w:spacing w:after="0" w:line="240" w:lineRule="auto"/>
              <w:jc w:val="center"/>
              <w:rPr>
                <w:color w:val="000000"/>
                <w:szCs w:val="24"/>
                <w:lang w:val="sv-SE"/>
              </w:rPr>
            </w:pPr>
          </w:p>
          <w:p w14:paraId="2C16FAE3" w14:textId="618771F4" w:rsidR="000B5E8E" w:rsidRPr="00687DE8" w:rsidRDefault="00D54DE3" w:rsidP="00392B32">
            <w:pPr>
              <w:spacing w:after="0" w:line="240" w:lineRule="auto"/>
              <w:jc w:val="center"/>
              <w:rPr>
                <w:color w:val="000000"/>
                <w:szCs w:val="24"/>
                <w:lang w:val="sv-SE"/>
              </w:rPr>
            </w:pPr>
            <w:r w:rsidRPr="00687DE8">
              <w:rPr>
                <w:color w:val="000000"/>
                <w:szCs w:val="24"/>
                <w:lang w:val="sv-SE"/>
              </w:rPr>
              <w:t>410R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B402CB4" w14:textId="24F909DF" w:rsidR="0E0EAB1B" w:rsidRPr="00687DE8" w:rsidRDefault="00A14DA4" w:rsidP="001B58FF">
            <w:pPr>
              <w:spacing w:after="0"/>
              <w:jc w:val="center"/>
              <w:rPr>
                <w:color w:val="000000" w:themeColor="text1"/>
                <w:szCs w:val="24"/>
              </w:rPr>
            </w:pPr>
            <w:r>
              <w:rPr>
                <w:color w:val="000000"/>
              </w:rPr>
              <w:t>62,71</w:t>
            </w:r>
          </w:p>
        </w:tc>
      </w:tr>
      <w:tr w:rsidR="00071516" w:rsidRPr="00687DE8" w14:paraId="1E83AEE5" w14:textId="77777777" w:rsidTr="4536FD26">
        <w:trPr>
          <w:divId w:val="1316184749"/>
          <w:trHeight w:val="575"/>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C9E4E8" w14:textId="38012E59" w:rsidR="00071516" w:rsidRPr="00687DE8" w:rsidRDefault="00223E86" w:rsidP="00392B32">
            <w:pPr>
              <w:spacing w:after="0" w:line="240" w:lineRule="auto"/>
              <w:rPr>
                <w:color w:val="000000"/>
                <w:szCs w:val="24"/>
              </w:rPr>
            </w:pPr>
            <w:r w:rsidRPr="00687DE8">
              <w:rPr>
                <w:color w:val="000000"/>
                <w:szCs w:val="24"/>
              </w:rPr>
              <w:t>Retsidiveerunud või refraktaarse difuusse B-suurrakklümfoomi ravi polatuzumabvedotiiniga, 10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8C9046" w14:textId="77777777" w:rsidR="00123104" w:rsidRPr="00185817" w:rsidRDefault="00123104" w:rsidP="00392B32">
            <w:pPr>
              <w:spacing w:after="0" w:line="240" w:lineRule="auto"/>
              <w:jc w:val="center"/>
              <w:rPr>
                <w:color w:val="000000"/>
                <w:szCs w:val="24"/>
              </w:rPr>
            </w:pPr>
          </w:p>
          <w:p w14:paraId="605F6994" w14:textId="605B02F0" w:rsidR="00071516" w:rsidRPr="00687DE8" w:rsidRDefault="0022085C" w:rsidP="00392B32">
            <w:pPr>
              <w:spacing w:after="0" w:line="240" w:lineRule="auto"/>
              <w:jc w:val="center"/>
              <w:rPr>
                <w:color w:val="000000"/>
                <w:szCs w:val="24"/>
                <w:lang w:val="sv-SE"/>
              </w:rPr>
            </w:pPr>
            <w:r w:rsidRPr="00687DE8">
              <w:rPr>
                <w:color w:val="000000"/>
                <w:szCs w:val="24"/>
                <w:lang w:val="sv-SE"/>
              </w:rPr>
              <w:t>418R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7623B24" w14:textId="00FC7BFE" w:rsidR="00071516" w:rsidRPr="00687DE8" w:rsidRDefault="00A14DA4" w:rsidP="001B58FF">
            <w:pPr>
              <w:spacing w:after="0" w:line="240" w:lineRule="auto"/>
              <w:jc w:val="center"/>
              <w:rPr>
                <w:color w:val="000000"/>
                <w:lang w:val="sv-SE"/>
              </w:rPr>
            </w:pPr>
            <w:r>
              <w:rPr>
                <w:color w:val="000000"/>
              </w:rPr>
              <w:t>763,00</w:t>
            </w:r>
          </w:p>
        </w:tc>
      </w:tr>
      <w:tr w:rsidR="00351A0D" w:rsidRPr="00687DE8" w14:paraId="3534BA69" w14:textId="77777777" w:rsidTr="4536FD26">
        <w:trPr>
          <w:divId w:val="1316184749"/>
          <w:trHeight w:val="575"/>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ABD424" w14:textId="7AE3E565" w:rsidR="00351A0D" w:rsidRPr="00687DE8" w:rsidRDefault="003658D4" w:rsidP="00392B32">
            <w:pPr>
              <w:spacing w:after="0" w:line="240" w:lineRule="auto"/>
              <w:rPr>
                <w:color w:val="000000"/>
                <w:szCs w:val="24"/>
              </w:rPr>
            </w:pPr>
            <w:r>
              <w:rPr>
                <w:color w:val="000000"/>
                <w:szCs w:val="24"/>
              </w:rPr>
              <w:t>Retsidiveerunud või refraktaarse difuusse B-suurrakklümfoomi ravi glofitamabiga, 2,5</w:t>
            </w:r>
            <w:r w:rsidR="00C46B95">
              <w:rPr>
                <w:color w:val="000000"/>
                <w:szCs w:val="24"/>
              </w:rPr>
              <w:t xml:space="preserve"> </w:t>
            </w:r>
            <w:r>
              <w:rPr>
                <w:color w:val="000000"/>
                <w:szCs w:val="24"/>
              </w:rPr>
              <w:t>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D1D6BE" w14:textId="2FBE2A90" w:rsidR="00123104" w:rsidRPr="00185817" w:rsidRDefault="00123104" w:rsidP="00EF6E8C">
            <w:pPr>
              <w:tabs>
                <w:tab w:val="left" w:pos="294"/>
                <w:tab w:val="center" w:pos="623"/>
              </w:tabs>
              <w:spacing w:after="0" w:line="240" w:lineRule="auto"/>
              <w:jc w:val="center"/>
              <w:rPr>
                <w:color w:val="000000"/>
                <w:szCs w:val="24"/>
              </w:rPr>
            </w:pPr>
          </w:p>
          <w:p w14:paraId="0DF651FB" w14:textId="2D73AD61" w:rsidR="00351A0D" w:rsidRPr="00687DE8" w:rsidRDefault="004F25CE" w:rsidP="00EF6E8C">
            <w:pPr>
              <w:tabs>
                <w:tab w:val="left" w:pos="294"/>
                <w:tab w:val="center" w:pos="623"/>
              </w:tabs>
              <w:spacing w:after="0" w:line="240" w:lineRule="auto"/>
              <w:jc w:val="center"/>
              <w:rPr>
                <w:color w:val="000000"/>
                <w:szCs w:val="24"/>
                <w:lang w:val="sv-SE"/>
              </w:rPr>
            </w:pPr>
            <w:r>
              <w:rPr>
                <w:color w:val="000000"/>
                <w:szCs w:val="24"/>
                <w:lang w:val="sv-SE"/>
              </w:rPr>
              <w:t>443R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DB3C90D" w14:textId="712D79CA" w:rsidR="00351A0D" w:rsidRPr="00687DE8" w:rsidRDefault="00A14DA4" w:rsidP="001B58FF">
            <w:pPr>
              <w:spacing w:after="0" w:line="240" w:lineRule="auto"/>
              <w:jc w:val="center"/>
              <w:rPr>
                <w:color w:val="000000" w:themeColor="text1"/>
                <w:szCs w:val="24"/>
                <w:lang w:val="sv-SE"/>
              </w:rPr>
            </w:pPr>
            <w:r>
              <w:rPr>
                <w:color w:val="000000"/>
              </w:rPr>
              <w:t>843,66</w:t>
            </w:r>
          </w:p>
        </w:tc>
      </w:tr>
      <w:tr w:rsidR="00FE5B84" w:rsidRPr="00687DE8" w14:paraId="6F67EB47" w14:textId="77777777" w:rsidTr="4536FD26">
        <w:trPr>
          <w:divId w:val="1316184749"/>
          <w:trHeight w:val="575"/>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EF1569" w14:textId="4492D806" w:rsidR="00FE5B84" w:rsidRPr="00687DE8" w:rsidRDefault="002A223C" w:rsidP="00392B32">
            <w:pPr>
              <w:spacing w:after="0" w:line="240" w:lineRule="auto"/>
              <w:rPr>
                <w:szCs w:val="24"/>
              </w:rPr>
            </w:pPr>
            <w:r w:rsidRPr="002A223C">
              <w:rPr>
                <w:szCs w:val="24"/>
              </w:rPr>
              <w:t>Retsidiveerunud või refraktaarse difuusse B-suurrakklümfoomi ravi obinutuzumabiga, 1000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1520BA" w14:textId="2BE23F1B" w:rsidR="00FE5B84" w:rsidRPr="00687DE8" w:rsidRDefault="002A223C" w:rsidP="00EF6E8C">
            <w:pPr>
              <w:spacing w:after="0" w:line="240" w:lineRule="auto"/>
              <w:jc w:val="center"/>
              <w:rPr>
                <w:color w:val="000000"/>
                <w:szCs w:val="24"/>
                <w:lang w:val="sv-SE"/>
              </w:rPr>
            </w:pPr>
            <w:r>
              <w:rPr>
                <w:color w:val="000000"/>
                <w:szCs w:val="24"/>
                <w:lang w:val="sv-SE"/>
              </w:rPr>
              <w:t>444R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69579A1" w14:textId="78A63543" w:rsidR="00FE5B84" w:rsidRPr="00687DE8" w:rsidRDefault="00A14DA4" w:rsidP="001B58FF">
            <w:pPr>
              <w:spacing w:after="0" w:line="240" w:lineRule="auto"/>
              <w:jc w:val="center"/>
              <w:rPr>
                <w:szCs w:val="24"/>
              </w:rPr>
            </w:pPr>
            <w:r>
              <w:rPr>
                <w:color w:val="000000"/>
              </w:rPr>
              <w:t>3 707,09</w:t>
            </w:r>
          </w:p>
        </w:tc>
      </w:tr>
      <w:tr w:rsidR="007E0E6D" w:rsidRPr="00687DE8" w14:paraId="04A9AC09" w14:textId="77777777" w:rsidTr="00EB7A71">
        <w:trPr>
          <w:divId w:val="1316184749"/>
          <w:trHeight w:val="575"/>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227707" w14:textId="44B76C03" w:rsidR="007E0E6D" w:rsidRPr="00687DE8" w:rsidRDefault="000B292C" w:rsidP="00392B32">
            <w:pPr>
              <w:spacing w:after="0" w:line="240" w:lineRule="auto"/>
              <w:rPr>
                <w:color w:val="000000"/>
                <w:szCs w:val="24"/>
              </w:rPr>
            </w:pPr>
            <w:r w:rsidRPr="00687DE8">
              <w:rPr>
                <w:szCs w:val="24"/>
              </w:rPr>
              <w:t>Uroteliaalse kartsinoomi ravi avelumabiga, kahenädalane ravikuur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3D1DDB" w14:textId="71E98770" w:rsidR="007E0E6D" w:rsidRPr="00687DE8" w:rsidRDefault="00120704" w:rsidP="00392B32">
            <w:pPr>
              <w:spacing w:after="0" w:line="240" w:lineRule="auto"/>
              <w:jc w:val="center"/>
              <w:rPr>
                <w:color w:val="000000"/>
                <w:szCs w:val="24"/>
                <w:lang w:val="sv-SE"/>
              </w:rPr>
            </w:pPr>
            <w:r w:rsidRPr="00687DE8">
              <w:rPr>
                <w:color w:val="000000"/>
                <w:szCs w:val="24"/>
                <w:lang w:val="sv-SE"/>
              </w:rPr>
              <w:t>423</w:t>
            </w:r>
            <w:r w:rsidR="004C2E02" w:rsidRPr="00687DE8">
              <w:rPr>
                <w:color w:val="000000"/>
                <w:szCs w:val="24"/>
                <w:lang w:val="sv-SE"/>
              </w:rPr>
              <w:t>R</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AF645B" w14:textId="1B5652E3" w:rsidR="007E0E6D" w:rsidRPr="00687DE8" w:rsidRDefault="00EF1B21" w:rsidP="001B58FF">
            <w:pPr>
              <w:spacing w:after="0" w:line="240" w:lineRule="auto"/>
              <w:jc w:val="center"/>
              <w:rPr>
                <w:color w:val="000000" w:themeColor="text1"/>
                <w:szCs w:val="24"/>
                <w:lang w:val="sv-SE"/>
              </w:rPr>
            </w:pPr>
            <w:r>
              <w:rPr>
                <w:color w:val="000000"/>
              </w:rPr>
              <w:t>3 457,68</w:t>
            </w:r>
          </w:p>
        </w:tc>
      </w:tr>
      <w:tr w:rsidR="00424107" w:rsidRPr="00687DE8" w14:paraId="128CF4BB" w14:textId="77777777" w:rsidTr="4536FD26">
        <w:trPr>
          <w:divId w:val="1316184749"/>
          <w:trHeight w:val="575"/>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DF90C8" w14:textId="0846C8C1" w:rsidR="00424107" w:rsidRPr="00687DE8" w:rsidRDefault="00FB477B" w:rsidP="00392B32">
            <w:pPr>
              <w:spacing w:after="0" w:line="240" w:lineRule="auto"/>
              <w:rPr>
                <w:szCs w:val="24"/>
              </w:rPr>
            </w:pPr>
            <w:r w:rsidRPr="00687DE8">
              <w:rPr>
                <w:szCs w:val="24"/>
              </w:rPr>
              <w:t>Sézary sündroomi või seenja mükoosi ravi mogamulizumabiga, 20 mg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C21EFA" w14:textId="73E43CFB" w:rsidR="00424107" w:rsidRPr="00687DE8" w:rsidRDefault="00FB477B" w:rsidP="00392B32">
            <w:pPr>
              <w:spacing w:after="0" w:line="240" w:lineRule="auto"/>
              <w:jc w:val="center"/>
              <w:rPr>
                <w:color w:val="000000"/>
                <w:szCs w:val="24"/>
                <w:lang w:val="sv-SE"/>
              </w:rPr>
            </w:pPr>
            <w:r w:rsidRPr="00687DE8">
              <w:rPr>
                <w:color w:val="000000"/>
                <w:szCs w:val="24"/>
                <w:lang w:val="sv-SE"/>
              </w:rPr>
              <w:t>424R</w:t>
            </w:r>
          </w:p>
        </w:tc>
        <w:tc>
          <w:tcPr>
            <w:tcW w:w="198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A2B19E2" w14:textId="59B69891" w:rsidR="00424107" w:rsidRPr="00687DE8" w:rsidRDefault="00EF1B21" w:rsidP="001B58FF">
            <w:pPr>
              <w:spacing w:after="0" w:line="240" w:lineRule="auto"/>
              <w:jc w:val="center"/>
              <w:rPr>
                <w:szCs w:val="24"/>
              </w:rPr>
            </w:pPr>
            <w:r>
              <w:rPr>
                <w:color w:val="000000"/>
              </w:rPr>
              <w:t>1 602,73</w:t>
            </w:r>
          </w:p>
        </w:tc>
      </w:tr>
    </w:tbl>
    <w:p w14:paraId="35AD70E6" w14:textId="77777777" w:rsidR="00976487" w:rsidRPr="00687DE8" w:rsidRDefault="00976487" w:rsidP="00334F99">
      <w:pPr>
        <w:pStyle w:val="Vahedeta"/>
        <w:jc w:val="both"/>
        <w:divId w:val="1316184749"/>
        <w:rPr>
          <w:szCs w:val="24"/>
          <w:lang w:val="et-EE"/>
        </w:rPr>
      </w:pPr>
    </w:p>
    <w:p w14:paraId="59D0EAD7" w14:textId="77777777" w:rsidR="00976487" w:rsidRPr="00687DE8" w:rsidRDefault="00976487" w:rsidP="00976487">
      <w:pPr>
        <w:spacing w:after="0" w:line="240" w:lineRule="auto"/>
        <w:jc w:val="both"/>
        <w:divId w:val="1316184749"/>
        <w:rPr>
          <w:szCs w:val="24"/>
        </w:rPr>
      </w:pPr>
      <w:r w:rsidRPr="00687DE8">
        <w:rPr>
          <w:szCs w:val="24"/>
        </w:rPr>
        <w:t xml:space="preserve">(2) </w:t>
      </w:r>
      <w:r w:rsidR="007C48A2" w:rsidRPr="00687DE8">
        <w:rPr>
          <w:szCs w:val="24"/>
        </w:rPr>
        <w:t>L</w:t>
      </w:r>
      <w:r w:rsidRPr="00687DE8">
        <w:rPr>
          <w:szCs w:val="24"/>
        </w:rPr>
        <w:t>õikes 1 sätestatud ravimiteenuste piirhinnad ei sisaldu voodipäeva piirhinnas.</w:t>
      </w:r>
    </w:p>
    <w:p w14:paraId="3ECE184A" w14:textId="77777777" w:rsidR="00976487" w:rsidRPr="00687DE8" w:rsidRDefault="00976487" w:rsidP="000651A8">
      <w:pPr>
        <w:spacing w:after="0" w:line="240" w:lineRule="auto"/>
        <w:jc w:val="center"/>
        <w:divId w:val="1316184749"/>
        <w:rPr>
          <w:szCs w:val="24"/>
        </w:rPr>
      </w:pPr>
    </w:p>
    <w:p w14:paraId="0386B517" w14:textId="77777777" w:rsidR="00976487" w:rsidRPr="00687DE8" w:rsidRDefault="00976487" w:rsidP="00976487">
      <w:pPr>
        <w:spacing w:after="0" w:line="240" w:lineRule="auto"/>
        <w:jc w:val="both"/>
        <w:divId w:val="1316184749"/>
        <w:rPr>
          <w:szCs w:val="24"/>
        </w:rPr>
      </w:pPr>
      <w:r w:rsidRPr="00687DE8">
        <w:rPr>
          <w:szCs w:val="24"/>
        </w:rPr>
        <w:t xml:space="preserve">(3) </w:t>
      </w:r>
      <w:r w:rsidR="007C48A2" w:rsidRPr="00687DE8">
        <w:rPr>
          <w:szCs w:val="24"/>
        </w:rPr>
        <w:t>L</w:t>
      </w:r>
      <w:r w:rsidRPr="00687DE8">
        <w:rPr>
          <w:szCs w:val="24"/>
        </w:rPr>
        <w:t>õikes 1 sätestatud ravimiteenuste piirhinnad sisaldavad ainult ravimi maksumust koos käibemaksuga.</w:t>
      </w:r>
    </w:p>
    <w:p w14:paraId="61DDDD8A" w14:textId="77777777" w:rsidR="00976487" w:rsidRPr="00687DE8" w:rsidRDefault="00976487" w:rsidP="00976487">
      <w:pPr>
        <w:spacing w:after="0" w:line="240" w:lineRule="auto"/>
        <w:jc w:val="both"/>
        <w:divId w:val="1316184749"/>
        <w:rPr>
          <w:szCs w:val="24"/>
        </w:rPr>
      </w:pPr>
    </w:p>
    <w:p w14:paraId="1788DB17" w14:textId="77777777" w:rsidR="00976487" w:rsidRPr="00687DE8" w:rsidRDefault="00976487" w:rsidP="001A5ECB">
      <w:pPr>
        <w:spacing w:after="0" w:line="240" w:lineRule="auto"/>
        <w:jc w:val="both"/>
        <w:divId w:val="1316184749"/>
        <w:rPr>
          <w:szCs w:val="24"/>
        </w:rPr>
      </w:pPr>
      <w:r w:rsidRPr="00687DE8">
        <w:rPr>
          <w:szCs w:val="24"/>
        </w:rPr>
        <w:t>(4) Mitte-Hodgkini lümfoomi kemoteraapiakuuri (kood 308R) teenus sisaldab järgmisi raviskeeme:</w:t>
      </w:r>
    </w:p>
    <w:p w14:paraId="7849C0AB" w14:textId="77777777" w:rsidR="00976487" w:rsidRPr="00687DE8" w:rsidRDefault="00976487" w:rsidP="001A5ECB">
      <w:pPr>
        <w:spacing w:after="0" w:line="240" w:lineRule="auto"/>
        <w:jc w:val="both"/>
        <w:divId w:val="1316184749"/>
        <w:rPr>
          <w:szCs w:val="24"/>
        </w:rPr>
      </w:pPr>
      <w:r w:rsidRPr="00687DE8">
        <w:rPr>
          <w:szCs w:val="24"/>
        </w:rPr>
        <w:t>1) kõikide mitte-Hodgkini tüüpi lümfoomide esimese valiku ravi: CHOP või CHOP analoogi kombinatsioon;</w:t>
      </w:r>
    </w:p>
    <w:p w14:paraId="40714C9E" w14:textId="77777777" w:rsidR="00976487" w:rsidRPr="00687DE8" w:rsidRDefault="00976487" w:rsidP="00976487">
      <w:pPr>
        <w:spacing w:after="0" w:line="240" w:lineRule="auto"/>
        <w:jc w:val="both"/>
        <w:divId w:val="1316184749"/>
        <w:rPr>
          <w:szCs w:val="24"/>
        </w:rPr>
      </w:pPr>
      <w:r w:rsidRPr="00687DE8">
        <w:rPr>
          <w:szCs w:val="24"/>
        </w:rPr>
        <w:t>2) CD20-positiivse difuusse B-suurrakklümfoomi esimese valiku ravi: tsütostaatilise ravi kombinatsioon rituksimabiga;</w:t>
      </w:r>
    </w:p>
    <w:p w14:paraId="559523D6" w14:textId="77777777" w:rsidR="00976487" w:rsidRPr="00687DE8" w:rsidRDefault="00976487" w:rsidP="00976487">
      <w:pPr>
        <w:spacing w:after="0" w:line="240" w:lineRule="auto"/>
        <w:jc w:val="both"/>
        <w:divId w:val="1316184749"/>
        <w:rPr>
          <w:szCs w:val="24"/>
        </w:rPr>
      </w:pPr>
      <w:r w:rsidRPr="00687DE8">
        <w:rPr>
          <w:szCs w:val="24"/>
        </w:rPr>
        <w:t>3) difuusse B-suurrakklümfoomi esimese valiku ravi: R-EPOCH skeem;</w:t>
      </w:r>
    </w:p>
    <w:p w14:paraId="558CABCC" w14:textId="77777777" w:rsidR="00976487" w:rsidRPr="00687DE8" w:rsidRDefault="00976487" w:rsidP="00976487">
      <w:pPr>
        <w:spacing w:after="0" w:line="240" w:lineRule="auto"/>
        <w:jc w:val="both"/>
        <w:divId w:val="1316184749"/>
        <w:rPr>
          <w:szCs w:val="24"/>
        </w:rPr>
      </w:pPr>
      <w:r w:rsidRPr="00687DE8">
        <w:rPr>
          <w:szCs w:val="24"/>
        </w:rPr>
        <w:t>4) difuusse B-suurrakklümfoomi teise valiku ravi: rituksimab kombinatsioonis keemiaraviga (DHAP; ICE; GDP) ja rituksimab kombinatsioonis bendamustiiniga;</w:t>
      </w:r>
    </w:p>
    <w:p w14:paraId="10A78FE6" w14:textId="1DE69D82" w:rsidR="00976487" w:rsidRPr="00687DE8" w:rsidRDefault="00976487" w:rsidP="00976487">
      <w:pPr>
        <w:spacing w:after="0" w:line="240" w:lineRule="auto"/>
        <w:jc w:val="both"/>
        <w:divId w:val="1316184749"/>
        <w:rPr>
          <w:szCs w:val="24"/>
        </w:rPr>
      </w:pPr>
      <w:r w:rsidRPr="00687DE8">
        <w:rPr>
          <w:szCs w:val="24"/>
        </w:rPr>
        <w:t xml:space="preserve">5) difuusse B-suurrakklümfoomi kolmanda valiku ravi: </w:t>
      </w:r>
      <w:r w:rsidR="00765A01" w:rsidRPr="00687DE8">
        <w:rPr>
          <w:szCs w:val="24"/>
        </w:rPr>
        <w:t>rituksimab kombinatsioonis bendamustiinig</w:t>
      </w:r>
      <w:r w:rsidR="00DA56EF" w:rsidRPr="00687DE8">
        <w:rPr>
          <w:szCs w:val="24"/>
        </w:rPr>
        <w:t>a</w:t>
      </w:r>
      <w:r w:rsidRPr="00687DE8">
        <w:rPr>
          <w:szCs w:val="24"/>
        </w:rPr>
        <w:t>;</w:t>
      </w:r>
    </w:p>
    <w:p w14:paraId="0748156B" w14:textId="77777777" w:rsidR="00976487" w:rsidRPr="00687DE8" w:rsidRDefault="00976487" w:rsidP="00976487">
      <w:pPr>
        <w:spacing w:after="0" w:line="240" w:lineRule="auto"/>
        <w:jc w:val="both"/>
        <w:divId w:val="1316184749"/>
        <w:rPr>
          <w:szCs w:val="24"/>
        </w:rPr>
      </w:pPr>
      <w:r w:rsidRPr="00687DE8">
        <w:rPr>
          <w:szCs w:val="24"/>
        </w:rPr>
        <w:t>6) mantelrakklümfoomi esimese valiku ravi: noorematel patsientidel R-CHOP vaheldumisi R-tsütarabiiniga või R-CHOP vaheldumisi R-DHAP-ga, vanemaealistel patsientidel R-CHOP ja säilitusravi rituksimabiga;</w:t>
      </w:r>
    </w:p>
    <w:p w14:paraId="736A5973" w14:textId="77777777" w:rsidR="00976487" w:rsidRPr="00687DE8" w:rsidRDefault="00976487" w:rsidP="00976487">
      <w:pPr>
        <w:spacing w:after="0" w:line="240" w:lineRule="auto"/>
        <w:jc w:val="both"/>
        <w:divId w:val="1316184749"/>
        <w:rPr>
          <w:szCs w:val="24"/>
        </w:rPr>
      </w:pPr>
      <w:r w:rsidRPr="00687DE8">
        <w:rPr>
          <w:szCs w:val="24"/>
        </w:rPr>
        <w:t>7) mantelrakklümfoomi teise valiku ravi: rituksimab kombinatsioonis bendamustiiniga;</w:t>
      </w:r>
    </w:p>
    <w:p w14:paraId="51F677BA" w14:textId="77777777" w:rsidR="00976487" w:rsidRPr="00687DE8" w:rsidRDefault="00976487" w:rsidP="00976487">
      <w:pPr>
        <w:spacing w:after="0" w:line="240" w:lineRule="auto"/>
        <w:jc w:val="both"/>
        <w:divId w:val="1316184749"/>
        <w:rPr>
          <w:szCs w:val="24"/>
        </w:rPr>
      </w:pPr>
      <w:r w:rsidRPr="00687DE8">
        <w:rPr>
          <w:szCs w:val="24"/>
        </w:rPr>
        <w:t xml:space="preserve">8) indolentse B-rakulise lümfoomi (follikulaarne lümfoom, marginaaltsooni lümfoom, MALT-lümfoom, lümfoplasmotsüütlümfoom) esimese valiku ravi: rituksimab kombinatsioonis CHOP või CVP-ga, säilitusravi rituksimabiga ja rituksimab kombinatsioonis bendamustiiniga; </w:t>
      </w:r>
    </w:p>
    <w:p w14:paraId="775C0A96" w14:textId="77777777" w:rsidR="00976487" w:rsidRPr="00687DE8" w:rsidRDefault="00976487" w:rsidP="00976487">
      <w:pPr>
        <w:spacing w:after="0" w:line="240" w:lineRule="auto"/>
        <w:jc w:val="both"/>
        <w:divId w:val="1316184749"/>
        <w:rPr>
          <w:szCs w:val="24"/>
        </w:rPr>
      </w:pPr>
      <w:r w:rsidRPr="00687DE8">
        <w:rPr>
          <w:szCs w:val="24"/>
        </w:rPr>
        <w:t>9) indolentse B-rakulise lümfoomi (follikulaarne lümfoom, marginaaltsooni lümfoom, MALT-lümfoom, lümfoplasmotsüütlümfoom) teise valiku ravi: rituksimab kombinatsioonis bendamustiiniga ja R-DHAP skeem;</w:t>
      </w:r>
    </w:p>
    <w:p w14:paraId="210F0B8A" w14:textId="77777777" w:rsidR="00976487" w:rsidRPr="00687DE8" w:rsidRDefault="00976487" w:rsidP="00976487">
      <w:pPr>
        <w:spacing w:after="0" w:line="240" w:lineRule="auto"/>
        <w:jc w:val="both"/>
        <w:divId w:val="1316184749"/>
        <w:rPr>
          <w:szCs w:val="24"/>
        </w:rPr>
      </w:pPr>
      <w:r w:rsidRPr="00687DE8">
        <w:rPr>
          <w:szCs w:val="24"/>
        </w:rPr>
        <w:lastRenderedPageBreak/>
        <w:t>10) III–IV staadiumi teiste kemoterapeutikumide suhtes resistentse või retsidiveerunud follikulaarse (indolentne B-rakuline) lümfoomi monoravi rituksimabiga;</w:t>
      </w:r>
    </w:p>
    <w:p w14:paraId="593A681A" w14:textId="77777777" w:rsidR="00976487" w:rsidRPr="00687DE8" w:rsidRDefault="00976487" w:rsidP="00334F99">
      <w:pPr>
        <w:spacing w:after="0" w:line="240" w:lineRule="auto"/>
        <w:jc w:val="both"/>
        <w:divId w:val="1316184749"/>
        <w:rPr>
          <w:szCs w:val="24"/>
        </w:rPr>
      </w:pPr>
      <w:r w:rsidRPr="00687DE8">
        <w:rPr>
          <w:szCs w:val="24"/>
        </w:rPr>
        <w:t>11) T-rakk lümfoomi teise valiku ravi: DHAP skeem ja bendamustiini monoteraapia.</w:t>
      </w:r>
    </w:p>
    <w:p w14:paraId="30B8856A" w14:textId="77777777" w:rsidR="00976487" w:rsidRPr="00687DE8" w:rsidRDefault="00976487" w:rsidP="00334F99">
      <w:pPr>
        <w:spacing w:after="0" w:line="240" w:lineRule="auto"/>
        <w:jc w:val="both"/>
        <w:divId w:val="1316184749"/>
        <w:rPr>
          <w:szCs w:val="24"/>
        </w:rPr>
      </w:pPr>
    </w:p>
    <w:p w14:paraId="31E2F06D" w14:textId="77777777" w:rsidR="00976487" w:rsidRPr="00687DE8" w:rsidRDefault="00976487" w:rsidP="00334F99">
      <w:pPr>
        <w:spacing w:after="0" w:line="240" w:lineRule="auto"/>
        <w:jc w:val="both"/>
        <w:divId w:val="1316184749"/>
        <w:rPr>
          <w:szCs w:val="24"/>
        </w:rPr>
      </w:pPr>
      <w:r w:rsidRPr="00687DE8">
        <w:rPr>
          <w:szCs w:val="24"/>
        </w:rPr>
        <w:t xml:space="preserve">(5) Rinnakasvaja HER2-blokaadi mittesisaldav kemoteraapia, </w:t>
      </w:r>
      <w:r w:rsidR="001C6079" w:rsidRPr="00687DE8">
        <w:rPr>
          <w:szCs w:val="24"/>
        </w:rPr>
        <w:t>kolme</w:t>
      </w:r>
      <w:r w:rsidRPr="00687DE8">
        <w:rPr>
          <w:szCs w:val="24"/>
        </w:rPr>
        <w:t>nädalane ravikuur (gosereliin</w:t>
      </w:r>
      <w:r w:rsidR="001C6079" w:rsidRPr="00687DE8">
        <w:rPr>
          <w:szCs w:val="24"/>
        </w:rPr>
        <w:t>i</w:t>
      </w:r>
      <w:r w:rsidRPr="00687DE8">
        <w:rPr>
          <w:szCs w:val="24"/>
        </w:rPr>
        <w:t xml:space="preserve"> ja fulvestran</w:t>
      </w:r>
      <w:r w:rsidR="001C6079" w:rsidRPr="00687DE8">
        <w:rPr>
          <w:szCs w:val="24"/>
        </w:rPr>
        <w:t>di</w:t>
      </w:r>
      <w:r w:rsidRPr="00687DE8">
        <w:rPr>
          <w:szCs w:val="24"/>
        </w:rPr>
        <w:t xml:space="preserve"> </w:t>
      </w:r>
      <w:r w:rsidR="001C6079" w:rsidRPr="00687DE8">
        <w:rPr>
          <w:szCs w:val="24"/>
        </w:rPr>
        <w:t>nelja</w:t>
      </w:r>
      <w:r w:rsidRPr="00687DE8">
        <w:rPr>
          <w:szCs w:val="24"/>
        </w:rPr>
        <w:t>nädalane ravikuur) (kood 228R) sisaldab järgmisi raviskeeme:</w:t>
      </w:r>
    </w:p>
    <w:p w14:paraId="79302247" w14:textId="1243AAEC" w:rsidR="00165EED" w:rsidRPr="00687DE8" w:rsidRDefault="00165EED" w:rsidP="00334F99">
      <w:pPr>
        <w:spacing w:after="0" w:line="240" w:lineRule="auto"/>
        <w:jc w:val="both"/>
        <w:divId w:val="1316184749"/>
        <w:rPr>
          <w:szCs w:val="24"/>
        </w:rPr>
      </w:pPr>
      <w:r w:rsidRPr="00687DE8">
        <w:rPr>
          <w:szCs w:val="24"/>
        </w:rPr>
        <w:t xml:space="preserve">1) </w:t>
      </w:r>
      <w:r w:rsidR="003F0712" w:rsidRPr="00687DE8">
        <w:rPr>
          <w:szCs w:val="24"/>
        </w:rPr>
        <w:t>taksaani ja plaatina kombinatsioonravi kolmiknegatiivse rinnakasvajaga patsiendi neoadjuvantravis;</w:t>
      </w:r>
    </w:p>
    <w:p w14:paraId="564D52A0" w14:textId="46808773" w:rsidR="003F0712" w:rsidRPr="00687DE8" w:rsidRDefault="003F0712" w:rsidP="00334F99">
      <w:pPr>
        <w:spacing w:after="0" w:line="240" w:lineRule="auto"/>
        <w:jc w:val="both"/>
        <w:divId w:val="1316184749"/>
        <w:rPr>
          <w:szCs w:val="24"/>
        </w:rPr>
      </w:pPr>
      <w:r w:rsidRPr="00687DE8">
        <w:rPr>
          <w:szCs w:val="24"/>
        </w:rPr>
        <w:t xml:space="preserve">2) </w:t>
      </w:r>
      <w:r w:rsidR="006B0E51" w:rsidRPr="00687DE8">
        <w:rPr>
          <w:szCs w:val="24"/>
        </w:rPr>
        <w:t>tsüklofosfamiidi ja antratsükliini kombinatsioonravi kolmiknegatiivse rinnakasvajaga patsiendi neoadjuvantravis;</w:t>
      </w:r>
    </w:p>
    <w:p w14:paraId="6A2E52EC" w14:textId="3F9926EA" w:rsidR="00976487" w:rsidRPr="00687DE8" w:rsidRDefault="006B0E51" w:rsidP="00334F99">
      <w:pPr>
        <w:spacing w:after="0" w:line="240" w:lineRule="auto"/>
        <w:jc w:val="both"/>
        <w:divId w:val="1316184749"/>
        <w:rPr>
          <w:szCs w:val="24"/>
        </w:rPr>
      </w:pPr>
      <w:r w:rsidRPr="00687DE8">
        <w:rPr>
          <w:szCs w:val="24"/>
        </w:rPr>
        <w:t>3</w:t>
      </w:r>
      <w:r w:rsidR="00976487" w:rsidRPr="00687DE8">
        <w:rPr>
          <w:szCs w:val="24"/>
        </w:rPr>
        <w:t>) antratsükliinravi adjuvantkeemiaravina ja kaugele</w:t>
      </w:r>
      <w:r w:rsidR="001560ED" w:rsidRPr="00687DE8">
        <w:rPr>
          <w:szCs w:val="24"/>
        </w:rPr>
        <w:t xml:space="preserve"> </w:t>
      </w:r>
      <w:r w:rsidR="00976487" w:rsidRPr="00687DE8">
        <w:rPr>
          <w:szCs w:val="24"/>
        </w:rPr>
        <w:t>arenenud rinnavähi keemiaravina, kui patsient pole saanud adjuvantravis antratsükliine või adjuvantravist on möödas üle ühe aasta;</w:t>
      </w:r>
    </w:p>
    <w:p w14:paraId="0E3012F6" w14:textId="7176AECE" w:rsidR="00976487" w:rsidRPr="00687DE8" w:rsidRDefault="006B0E51" w:rsidP="00334F99">
      <w:pPr>
        <w:spacing w:after="0" w:line="240" w:lineRule="auto"/>
        <w:jc w:val="both"/>
        <w:divId w:val="1316184749"/>
        <w:rPr>
          <w:szCs w:val="24"/>
        </w:rPr>
      </w:pPr>
      <w:r w:rsidRPr="00687DE8">
        <w:rPr>
          <w:szCs w:val="24"/>
        </w:rPr>
        <w:t>4</w:t>
      </w:r>
      <w:r w:rsidR="00976487" w:rsidRPr="00687DE8">
        <w:rPr>
          <w:szCs w:val="24"/>
        </w:rPr>
        <w:t>) CMF kombinatsioonravi adjuvantkeemiaravina ja kaugele</w:t>
      </w:r>
      <w:r w:rsidR="001560ED" w:rsidRPr="00687DE8">
        <w:rPr>
          <w:szCs w:val="24"/>
        </w:rPr>
        <w:t xml:space="preserve"> </w:t>
      </w:r>
      <w:r w:rsidR="00976487" w:rsidRPr="00687DE8">
        <w:rPr>
          <w:szCs w:val="24"/>
        </w:rPr>
        <w:t>arenenud rinnavähi keemiaravina, kui patsiendil on ravi antratsükliinidega vastunäidustatud ning haigus on hea kuluga;</w:t>
      </w:r>
    </w:p>
    <w:p w14:paraId="65541812" w14:textId="711CFFD5" w:rsidR="00976487" w:rsidRPr="00687DE8" w:rsidRDefault="006B0E51" w:rsidP="00334F99">
      <w:pPr>
        <w:spacing w:after="0" w:line="240" w:lineRule="auto"/>
        <w:jc w:val="both"/>
        <w:divId w:val="1316184749"/>
        <w:rPr>
          <w:szCs w:val="24"/>
        </w:rPr>
      </w:pPr>
      <w:r w:rsidRPr="00687DE8">
        <w:rPr>
          <w:szCs w:val="24"/>
        </w:rPr>
        <w:t>5</w:t>
      </w:r>
      <w:r w:rsidR="00976487" w:rsidRPr="00687DE8">
        <w:rPr>
          <w:szCs w:val="24"/>
        </w:rPr>
        <w:t>) taksaani ja antratsükliini kombinatsioonravi regionaalsete metastaasidega kõrge riskiga haige adjuvantravis; </w:t>
      </w:r>
    </w:p>
    <w:p w14:paraId="662C46EC" w14:textId="008F76E8" w:rsidR="00976487" w:rsidRPr="00687DE8" w:rsidRDefault="006B0E51" w:rsidP="00334F99">
      <w:pPr>
        <w:spacing w:after="0" w:line="240" w:lineRule="auto"/>
        <w:jc w:val="both"/>
        <w:divId w:val="1316184749"/>
        <w:rPr>
          <w:szCs w:val="24"/>
        </w:rPr>
      </w:pPr>
      <w:r w:rsidRPr="00687DE8">
        <w:rPr>
          <w:szCs w:val="24"/>
        </w:rPr>
        <w:t>6</w:t>
      </w:r>
      <w:r w:rsidR="00976487" w:rsidRPr="00687DE8">
        <w:rPr>
          <w:szCs w:val="24"/>
        </w:rPr>
        <w:t>) monoravi taksaaniga kaugele</w:t>
      </w:r>
      <w:r w:rsidR="001560ED" w:rsidRPr="00687DE8">
        <w:rPr>
          <w:szCs w:val="24"/>
        </w:rPr>
        <w:t xml:space="preserve"> </w:t>
      </w:r>
      <w:r w:rsidR="00976487" w:rsidRPr="00687DE8">
        <w:rPr>
          <w:szCs w:val="24"/>
        </w:rPr>
        <w:t>arenenud rinnavähiga patsiendil;</w:t>
      </w:r>
    </w:p>
    <w:p w14:paraId="4BA9CA83" w14:textId="1AD164BF" w:rsidR="00976487" w:rsidRPr="00687DE8" w:rsidRDefault="006B0E51" w:rsidP="00334F99">
      <w:pPr>
        <w:spacing w:after="0" w:line="240" w:lineRule="auto"/>
        <w:jc w:val="both"/>
        <w:divId w:val="1316184749"/>
        <w:rPr>
          <w:szCs w:val="24"/>
        </w:rPr>
      </w:pPr>
      <w:r w:rsidRPr="00687DE8">
        <w:rPr>
          <w:szCs w:val="24"/>
        </w:rPr>
        <w:t>7</w:t>
      </w:r>
      <w:r w:rsidR="00976487" w:rsidRPr="00687DE8">
        <w:rPr>
          <w:szCs w:val="24"/>
        </w:rPr>
        <w:t>) alternatiivina kemoteraapiale ravi gosereliiniga (kuni 24 süstet ühel patsiendil) pre- ja perimenopausis I ja II staadiumi hormoonsõltuva rinnavähiga patsiendil, kes kuulub keskmise riski gruppi (puuduvad regionaalsed metastaasid, kasvajakolde suurim läbimõõt on kuni kaks cm, diferentseerumisaste G1-G2, östrogeen- ja/või progesteroonretseptor positiivsed);</w:t>
      </w:r>
    </w:p>
    <w:p w14:paraId="4BCAEA51" w14:textId="6E12AB48" w:rsidR="00976487" w:rsidRPr="00687DE8" w:rsidRDefault="006B0E51" w:rsidP="00334F99">
      <w:pPr>
        <w:spacing w:after="0" w:line="240" w:lineRule="auto"/>
        <w:jc w:val="both"/>
        <w:divId w:val="1316184749"/>
        <w:rPr>
          <w:szCs w:val="24"/>
        </w:rPr>
      </w:pPr>
      <w:r w:rsidRPr="00687DE8">
        <w:rPr>
          <w:szCs w:val="24"/>
        </w:rPr>
        <w:t>8</w:t>
      </w:r>
      <w:r w:rsidR="00976487" w:rsidRPr="00687DE8">
        <w:rPr>
          <w:szCs w:val="24"/>
        </w:rPr>
        <w:t>) dotsetakseeli ja kapetsitabiini kombinatsioonravi metastaatilise rinnavähi 2. rea ravina pärast antratsükliine;</w:t>
      </w:r>
    </w:p>
    <w:p w14:paraId="428C0064" w14:textId="5D41E1D4" w:rsidR="000916EA" w:rsidRPr="00687DE8" w:rsidRDefault="006B0E51" w:rsidP="00334F99">
      <w:pPr>
        <w:spacing w:after="0" w:line="240" w:lineRule="auto"/>
        <w:jc w:val="both"/>
        <w:divId w:val="1316184749"/>
        <w:rPr>
          <w:szCs w:val="24"/>
        </w:rPr>
      </w:pPr>
      <w:r w:rsidRPr="00687DE8">
        <w:rPr>
          <w:szCs w:val="24"/>
        </w:rPr>
        <w:t>9</w:t>
      </w:r>
      <w:r w:rsidR="000916EA" w:rsidRPr="00687DE8">
        <w:rPr>
          <w:szCs w:val="24"/>
        </w:rPr>
        <w:t>) eribuliini monoravi 3. rea keemiaravina paikselt kaugele</w:t>
      </w:r>
      <w:r w:rsidR="001560ED" w:rsidRPr="00687DE8">
        <w:rPr>
          <w:szCs w:val="24"/>
        </w:rPr>
        <w:t xml:space="preserve"> </w:t>
      </w:r>
      <w:r w:rsidR="000916EA" w:rsidRPr="00687DE8">
        <w:rPr>
          <w:szCs w:val="24"/>
        </w:rPr>
        <w:t>arenenud või metastaatilise rinnavähiga patsiendil, kelle haigus on progresseerunud pärast vähemalt kaht kaugele</w:t>
      </w:r>
      <w:r w:rsidR="001560ED" w:rsidRPr="00687DE8">
        <w:rPr>
          <w:szCs w:val="24"/>
        </w:rPr>
        <w:t xml:space="preserve"> </w:t>
      </w:r>
      <w:r w:rsidR="000916EA" w:rsidRPr="00687DE8">
        <w:rPr>
          <w:szCs w:val="24"/>
        </w:rPr>
        <w:t>arenenud haiguse keemiaraviskeemi kuni järgneva progresseerumiseni. Varasem ravi peab olema sisaldanud mõnda antratsükliini ja taksaani, välja arvatud juhud, kui need on vastunäidustatud;</w:t>
      </w:r>
    </w:p>
    <w:p w14:paraId="0FF7C370" w14:textId="43815D34" w:rsidR="000916EA" w:rsidRPr="00687DE8" w:rsidRDefault="006B0E51" w:rsidP="00334F99">
      <w:pPr>
        <w:spacing w:after="0" w:line="240" w:lineRule="auto"/>
        <w:contextualSpacing/>
        <w:jc w:val="both"/>
        <w:divId w:val="1316184749"/>
        <w:rPr>
          <w:szCs w:val="24"/>
        </w:rPr>
      </w:pPr>
      <w:r w:rsidRPr="00687DE8">
        <w:rPr>
          <w:szCs w:val="24"/>
        </w:rPr>
        <w:t>10</w:t>
      </w:r>
      <w:r w:rsidR="000916EA" w:rsidRPr="00687DE8">
        <w:rPr>
          <w:szCs w:val="24"/>
        </w:rPr>
        <w:t>) fulvestrandi mono- või kombinatsioonravi östrogeenretseptorpositiivse lokaalselt levinud või metastaatilise rinnavähiga patsiendil 2. rea ravina pärast tamoksifeeni või aromataasi inhibiitorit</w:t>
      </w:r>
      <w:r w:rsidR="00EB5899" w:rsidRPr="00687DE8">
        <w:rPr>
          <w:szCs w:val="24"/>
        </w:rPr>
        <w:t>;</w:t>
      </w:r>
    </w:p>
    <w:p w14:paraId="2F1161A0" w14:textId="54E16FE7" w:rsidR="00CD1A52" w:rsidRPr="00687DE8" w:rsidRDefault="006B0E51" w:rsidP="00334F99">
      <w:pPr>
        <w:spacing w:after="0" w:line="240" w:lineRule="auto"/>
        <w:contextualSpacing/>
        <w:jc w:val="both"/>
        <w:divId w:val="1316184749"/>
        <w:rPr>
          <w:szCs w:val="24"/>
        </w:rPr>
      </w:pPr>
      <w:r w:rsidRPr="00687DE8">
        <w:rPr>
          <w:szCs w:val="24"/>
        </w:rPr>
        <w:t>11</w:t>
      </w:r>
      <w:r w:rsidR="00CD1A52" w:rsidRPr="00687DE8">
        <w:rPr>
          <w:szCs w:val="24"/>
        </w:rPr>
        <w:t>) fulvestrandi mono- või kombinatsioonravi 1. rea ravina östrogeenretseptorpositiivse lokaalselt levinud või metastaatilise rinnavähiga patsiendil, kelle haigus on adjuvantse või neoadjuvantse aromataasi inhibiitori foonil või 12 kuud pärast selle lõpetamist progresseerunud</w:t>
      </w:r>
      <w:r w:rsidR="007C2B67" w:rsidRPr="00687DE8">
        <w:rPr>
          <w:szCs w:val="24"/>
        </w:rPr>
        <w:t>.</w:t>
      </w:r>
    </w:p>
    <w:p w14:paraId="48DB0AF8" w14:textId="77777777" w:rsidR="00976487" w:rsidRPr="00687DE8" w:rsidRDefault="00976487" w:rsidP="00334F99">
      <w:pPr>
        <w:spacing w:after="0" w:line="240" w:lineRule="auto"/>
        <w:contextualSpacing/>
        <w:jc w:val="both"/>
        <w:divId w:val="1316184749"/>
        <w:rPr>
          <w:szCs w:val="24"/>
        </w:rPr>
      </w:pPr>
    </w:p>
    <w:p w14:paraId="1640AFC0" w14:textId="1FAF8E61" w:rsidR="00976487" w:rsidRPr="00687DE8" w:rsidRDefault="1300F1B4" w:rsidP="270EEE55">
      <w:pPr>
        <w:pStyle w:val="Normaallaadveeb"/>
        <w:spacing w:before="0" w:after="0" w:afterAutospacing="0"/>
        <w:jc w:val="both"/>
        <w:divId w:val="1316184749"/>
      </w:pPr>
      <w:r>
        <w:t>(</w:t>
      </w:r>
      <w:r w:rsidR="6B6A9203">
        <w:t>6</w:t>
      </w:r>
      <w:r>
        <w:t xml:space="preserve">) </w:t>
      </w:r>
      <w:r w:rsidR="77EBD276">
        <w:t>Tervisekassa</w:t>
      </w:r>
      <w:r>
        <w:t xml:space="preserve"> tasub koodidega 209R, 218R, 228R–229R, 238R, 254R–257R, 263R, 265R, 266R–268R, </w:t>
      </w:r>
      <w:r w:rsidR="7B57DACF">
        <w:t>280R,</w:t>
      </w:r>
      <w:r w:rsidR="112DD606">
        <w:t xml:space="preserve"> 286R,</w:t>
      </w:r>
      <w:r w:rsidR="40098082">
        <w:t xml:space="preserve"> 289R,</w:t>
      </w:r>
      <w:r>
        <w:t xml:space="preserve"> </w:t>
      </w:r>
      <w:r w:rsidR="60CDB6A8">
        <w:t>292R</w:t>
      </w:r>
      <w:r w:rsidR="308CC716">
        <w:t>–</w:t>
      </w:r>
      <w:r w:rsidR="27308482">
        <w:t>29</w:t>
      </w:r>
      <w:r w:rsidR="7DE961FD">
        <w:t>7</w:t>
      </w:r>
      <w:r w:rsidR="27308482">
        <w:t>R</w:t>
      </w:r>
      <w:r w:rsidR="06355795">
        <w:t>,</w:t>
      </w:r>
      <w:r w:rsidR="64FF82CA">
        <w:t xml:space="preserve"> </w:t>
      </w:r>
      <w:r>
        <w:t>305R–308R, 313R, 315R–317R, 320R–321R, 323R, 325R–32</w:t>
      </w:r>
      <w:r w:rsidR="35C93958">
        <w:t>8</w:t>
      </w:r>
      <w:r>
        <w:t xml:space="preserve">R, </w:t>
      </w:r>
      <w:r w:rsidR="7A308974">
        <w:t>351R,</w:t>
      </w:r>
      <w:r w:rsidR="47E9B9D2">
        <w:t xml:space="preserve"> </w:t>
      </w:r>
      <w:r>
        <w:t xml:space="preserve">353R, </w:t>
      </w:r>
      <w:r w:rsidR="7C9BA5AF">
        <w:t xml:space="preserve">361R, </w:t>
      </w:r>
      <w:r>
        <w:t xml:space="preserve">370R–371R, </w:t>
      </w:r>
      <w:r w:rsidR="293BEA33">
        <w:t>394</w:t>
      </w:r>
      <w:r w:rsidR="14FDF7A0">
        <w:t>–</w:t>
      </w:r>
      <w:r w:rsidR="78A2E22C">
        <w:t>395R</w:t>
      </w:r>
      <w:r w:rsidR="50FDDC40">
        <w:t>,</w:t>
      </w:r>
      <w:r w:rsidR="47E9B9D2">
        <w:t xml:space="preserve"> </w:t>
      </w:r>
      <w:r w:rsidR="17187EA8">
        <w:t>405R</w:t>
      </w:r>
      <w:r w:rsidR="14FDF7A0">
        <w:t>–</w:t>
      </w:r>
      <w:r w:rsidR="17187EA8">
        <w:t>4</w:t>
      </w:r>
      <w:r w:rsidR="50FDDC40">
        <w:t>10</w:t>
      </w:r>
      <w:r w:rsidR="17187EA8">
        <w:t>R</w:t>
      </w:r>
      <w:r w:rsidR="62CFD382">
        <w:t xml:space="preserve">, </w:t>
      </w:r>
      <w:r w:rsidR="50FDDC40">
        <w:t>414R</w:t>
      </w:r>
      <w:r w:rsidR="24513DAF">
        <w:t>,</w:t>
      </w:r>
      <w:r w:rsidR="62CFD382">
        <w:t xml:space="preserve"> 418R</w:t>
      </w:r>
      <w:r w:rsidR="07259B70">
        <w:t>, 420</w:t>
      </w:r>
      <w:r w:rsidR="7337BA0E">
        <w:t>R</w:t>
      </w:r>
      <w:r w:rsidR="45587F9C">
        <w:t>,</w:t>
      </w:r>
      <w:r w:rsidR="072E86C6">
        <w:t xml:space="preserve"> </w:t>
      </w:r>
      <w:r w:rsidR="24513DAF">
        <w:t>42</w:t>
      </w:r>
      <w:r w:rsidR="7337BA0E">
        <w:t>3</w:t>
      </w:r>
      <w:r w:rsidR="7C9BA5AF">
        <w:t>R–424R</w:t>
      </w:r>
      <w:r w:rsidR="45587F9C">
        <w:t>, 425R</w:t>
      </w:r>
      <w:r w:rsidR="0151F19B">
        <w:t>,</w:t>
      </w:r>
      <w:r w:rsidR="45587F9C">
        <w:t xml:space="preserve"> </w:t>
      </w:r>
      <w:r w:rsidR="23A4BBD3">
        <w:t>426R</w:t>
      </w:r>
      <w:r w:rsidR="1F5F4188">
        <w:t xml:space="preserve">, </w:t>
      </w:r>
      <w:r w:rsidR="5EC74A28">
        <w:t>43</w:t>
      </w:r>
      <w:r w:rsidR="04377254">
        <w:t xml:space="preserve">2R, </w:t>
      </w:r>
      <w:r w:rsidR="1F5F4188">
        <w:t>434R</w:t>
      </w:r>
      <w:r w:rsidR="3B16C193">
        <w:t>–</w:t>
      </w:r>
      <w:r w:rsidR="1F562514">
        <w:t>437R</w:t>
      </w:r>
      <w:r w:rsidR="455E48AF">
        <w:t>, 443R</w:t>
      </w:r>
      <w:r w:rsidR="1CF54CA6">
        <w:t xml:space="preserve">, </w:t>
      </w:r>
      <w:r w:rsidR="455E48AF">
        <w:t>444R</w:t>
      </w:r>
      <w:r w:rsidR="09194DC0">
        <w:t>,</w:t>
      </w:r>
      <w:r w:rsidR="4925611F">
        <w:t xml:space="preserve"> </w:t>
      </w:r>
      <w:r w:rsidR="2D32DF65">
        <w:t>4</w:t>
      </w:r>
      <w:r w:rsidR="719C58A2">
        <w:t>48R, 449R,</w:t>
      </w:r>
      <w:r w:rsidR="457972A7">
        <w:t xml:space="preserve"> 450R,</w:t>
      </w:r>
      <w:r w:rsidR="719C58A2">
        <w:t xml:space="preserve"> </w:t>
      </w:r>
      <w:r w:rsidR="2D32DF65">
        <w:t>452R</w:t>
      </w:r>
      <w:r w:rsidR="7B7FA1C4">
        <w:t xml:space="preserve">, </w:t>
      </w:r>
      <w:r w:rsidR="2D32DF65">
        <w:t>453R</w:t>
      </w:r>
      <w:r w:rsidR="475B0765">
        <w:t xml:space="preserve">, </w:t>
      </w:r>
      <w:r w:rsidR="23724C81">
        <w:t>454R, 455R,</w:t>
      </w:r>
      <w:r w:rsidR="29482CCA">
        <w:t xml:space="preserve"> </w:t>
      </w:r>
      <w:r w:rsidR="475B0765">
        <w:t>456R</w:t>
      </w:r>
      <w:r w:rsidR="7F5F858E">
        <w:t>,</w:t>
      </w:r>
      <w:r>
        <w:t xml:space="preserve"> </w:t>
      </w:r>
      <w:r w:rsidR="5E5FC9C4">
        <w:t xml:space="preserve">451R, </w:t>
      </w:r>
      <w:r w:rsidR="676DD14B">
        <w:t>459R</w:t>
      </w:r>
      <w:r w:rsidR="30CDA846">
        <w:t xml:space="preserve">, </w:t>
      </w:r>
      <w:r w:rsidR="27954003">
        <w:t>460R</w:t>
      </w:r>
      <w:r w:rsidR="6D41DC34">
        <w:t>,</w:t>
      </w:r>
      <w:r w:rsidR="25E28DDA">
        <w:t xml:space="preserve"> </w:t>
      </w:r>
      <w:r w:rsidR="15181FDD">
        <w:t>461R</w:t>
      </w:r>
      <w:r w:rsidR="193E82AF">
        <w:t xml:space="preserve"> ja</w:t>
      </w:r>
      <w:r w:rsidR="65242A1C">
        <w:t xml:space="preserve"> </w:t>
      </w:r>
      <w:r w:rsidR="25E28DDA">
        <w:t>464R</w:t>
      </w:r>
      <w:r>
        <w:t xml:space="preserve"> tähistatud teenuste piirhindade alusel juhul, kui kemoteraapiakuuri on läbi viinud sellekohast tegevusluba omavas haiglas töötav onkoloog või hematoloog tingimusel, et ravikuuri ettevalmistamise ja läbiviimise ajal on tagatud tsütostaatiliste ravimite käsitsemisjuhendite tingimuste täitmine ning koodi 308R korral lisaks ka radioaktiivsete ainete käsitsemisjuhendite tingimuste täitmine.</w:t>
      </w:r>
    </w:p>
    <w:p w14:paraId="4AA3228E" w14:textId="77777777" w:rsidR="00976487" w:rsidRPr="00687DE8" w:rsidRDefault="00976487" w:rsidP="00334F99">
      <w:pPr>
        <w:pStyle w:val="Normaallaadveeb"/>
        <w:spacing w:before="0" w:after="0" w:afterAutospacing="0"/>
        <w:jc w:val="both"/>
        <w:divId w:val="1316184749"/>
      </w:pPr>
    </w:p>
    <w:p w14:paraId="6F717833" w14:textId="77777777" w:rsidR="00976487" w:rsidRPr="00687DE8" w:rsidRDefault="00976487" w:rsidP="00334F99">
      <w:pPr>
        <w:pStyle w:val="Normaallaadveeb"/>
        <w:spacing w:before="0" w:after="0" w:afterAutospacing="0"/>
        <w:jc w:val="both"/>
        <w:divId w:val="1316184749"/>
      </w:pPr>
      <w:r w:rsidRPr="00687DE8">
        <w:t>(</w:t>
      </w:r>
      <w:r w:rsidR="00FA146E" w:rsidRPr="00687DE8">
        <w:t>7</w:t>
      </w:r>
      <w:r w:rsidRPr="00687DE8">
        <w:t>) Metastaatilise kolorektaalkasvaja kemoteraapiakuuri (kood 218R) teenus sisaldab järgmisi raviskeeme:</w:t>
      </w:r>
    </w:p>
    <w:p w14:paraId="6F1D3BD4" w14:textId="77777777" w:rsidR="00976487" w:rsidRPr="00687DE8" w:rsidRDefault="00976487" w:rsidP="00334F99">
      <w:pPr>
        <w:pStyle w:val="Normaallaadveeb"/>
        <w:spacing w:before="0" w:after="0" w:afterAutospacing="0"/>
        <w:jc w:val="both"/>
        <w:divId w:val="1316184749"/>
      </w:pPr>
      <w:r w:rsidRPr="00687DE8">
        <w:t>1)</w:t>
      </w:r>
      <w:r w:rsidRPr="00687DE8">
        <w:rPr>
          <w:rStyle w:val="tyhik"/>
        </w:rPr>
        <w:t xml:space="preserve"> </w:t>
      </w:r>
      <w:r w:rsidRPr="00687DE8">
        <w:t>5 FU/FA: metastaatilise kolorektaalvähi adjuvantne või palliatiivne ravi, kui patsient ei talu agressiivsemat keemiaravi;</w:t>
      </w:r>
    </w:p>
    <w:p w14:paraId="4F8D253B" w14:textId="77777777" w:rsidR="000916EA" w:rsidRPr="00687DE8" w:rsidRDefault="000916EA" w:rsidP="00334F99">
      <w:pPr>
        <w:pStyle w:val="Normaallaadveeb"/>
        <w:spacing w:before="0" w:after="0" w:afterAutospacing="0"/>
        <w:jc w:val="both"/>
        <w:divId w:val="1316184749"/>
      </w:pPr>
      <w:r w:rsidRPr="00687DE8">
        <w:lastRenderedPageBreak/>
        <w:t>2)</w:t>
      </w:r>
      <w:r w:rsidRPr="00687DE8">
        <w:rPr>
          <w:rStyle w:val="tyhik"/>
        </w:rPr>
        <w:t xml:space="preserve"> </w:t>
      </w:r>
      <w:r w:rsidRPr="00687DE8">
        <w:t>FOLFIRI või CAPIRI: metastaatilise kolorektaalvähi adjuvantne ravi või palliatiivne 1. või 2. rea ravi sõltuvalt varasemast ravist, kui patsient talub agressiivsemat keemiaravi;</w:t>
      </w:r>
    </w:p>
    <w:p w14:paraId="74DA33F4" w14:textId="77777777" w:rsidR="000916EA" w:rsidRPr="00687DE8" w:rsidRDefault="000916EA" w:rsidP="00334F99">
      <w:pPr>
        <w:pStyle w:val="Normaallaadveeb"/>
        <w:spacing w:before="0" w:after="0" w:afterAutospacing="0"/>
        <w:jc w:val="both"/>
        <w:divId w:val="1316184749"/>
      </w:pPr>
      <w:r w:rsidRPr="00687DE8">
        <w:t>3)</w:t>
      </w:r>
      <w:r w:rsidRPr="00687DE8">
        <w:rPr>
          <w:rStyle w:val="tyhik"/>
        </w:rPr>
        <w:t xml:space="preserve"> </w:t>
      </w:r>
      <w:r w:rsidRPr="00687DE8">
        <w:t>FOLFOX4 või CAPEOX4: metastaatilise kolorektaalvähi adjuvantne ravi või palliatiivne 1. või 2. rea ravi sõltuvalt varasemast ravist, kui patsient talub agressiivsemat keemiaravi;</w:t>
      </w:r>
    </w:p>
    <w:p w14:paraId="72080A94" w14:textId="77777777" w:rsidR="00976487" w:rsidRPr="00687DE8" w:rsidRDefault="00976487" w:rsidP="00334F99">
      <w:pPr>
        <w:pStyle w:val="Normaallaadveeb"/>
        <w:spacing w:before="0" w:after="0" w:afterAutospacing="0"/>
        <w:jc w:val="both"/>
        <w:divId w:val="1316184749"/>
      </w:pPr>
      <w:r w:rsidRPr="00687DE8">
        <w:t>4)</w:t>
      </w:r>
      <w:r w:rsidRPr="00687DE8">
        <w:rPr>
          <w:rStyle w:val="tyhik"/>
        </w:rPr>
        <w:t xml:space="preserve"> </w:t>
      </w:r>
      <w:r w:rsidRPr="00687DE8">
        <w:t>5 FU/FA kombinatsioon bevacizumabiga: metastaatilise kolorektaalvähi neoadjuvantne ravi heas üldseisundis patsiendil, kes on potentsiaalselt opereeritav ning ei talu irinotekaani ja oksaliplatiini või kellel on neile vastunäidustused, ning 1. rea palliatiivne ravi patsientidel, kes on heas üldseisundis (ECOG 0</w:t>
      </w:r>
      <w:r w:rsidR="000C4043" w:rsidRPr="00687DE8">
        <w:t>–</w:t>
      </w:r>
      <w:r w:rsidRPr="00687DE8">
        <w:t>1), ilma oluliste kaasuvate haigusteta ning trombembooliliste tüsistusteta anamneesis ja kes ei talu irinotekaani ja oksaliplatiini või kellel on neile vastunäidustused;</w:t>
      </w:r>
    </w:p>
    <w:p w14:paraId="398AC22F" w14:textId="77777777" w:rsidR="00976487" w:rsidRPr="00687DE8" w:rsidRDefault="00976487" w:rsidP="00334F99">
      <w:pPr>
        <w:pStyle w:val="Normaallaadveeb"/>
        <w:spacing w:before="0" w:after="0" w:afterAutospacing="0"/>
        <w:jc w:val="both"/>
        <w:divId w:val="1316184749"/>
      </w:pPr>
      <w:r w:rsidRPr="00687DE8">
        <w:t>5)</w:t>
      </w:r>
      <w:r w:rsidRPr="00687DE8">
        <w:rPr>
          <w:rStyle w:val="tyhik"/>
        </w:rPr>
        <w:t xml:space="preserve"> </w:t>
      </w:r>
      <w:r w:rsidRPr="00687DE8">
        <w:t>FOLFIRI või CAPIRI kombinatsioon bevacizumabiga: metastaatilise kolorektaalvähi neoadjuvantne ravi heas üldseisundis patsiendil, kes on potentsiaalselt opereeritav, ning 1. rea palliatiivne ravi patsiendil, kes on heas üldseisundis (ECOG 0</w:t>
      </w:r>
      <w:r w:rsidR="000C4043" w:rsidRPr="00687DE8">
        <w:t>–</w:t>
      </w:r>
      <w:r w:rsidRPr="00687DE8">
        <w:t>1), ilma oluliste kaasuvate haigusteta ja trombembooliliste tüsistusteta anamneesis;</w:t>
      </w:r>
    </w:p>
    <w:p w14:paraId="1B4846A4" w14:textId="77777777" w:rsidR="00976487" w:rsidRPr="00687DE8" w:rsidRDefault="00976487" w:rsidP="00334F99">
      <w:pPr>
        <w:pStyle w:val="Normaallaadveeb"/>
        <w:spacing w:before="0" w:after="0" w:afterAutospacing="0"/>
        <w:jc w:val="both"/>
        <w:divId w:val="1316184749"/>
      </w:pPr>
      <w:r w:rsidRPr="00687DE8">
        <w:t>6)</w:t>
      </w:r>
      <w:r w:rsidRPr="00687DE8">
        <w:rPr>
          <w:rStyle w:val="tyhik"/>
        </w:rPr>
        <w:t xml:space="preserve"> </w:t>
      </w:r>
      <w:r w:rsidRPr="00687DE8">
        <w:t>FOLFOX4 või CAPEOX4 kombinatsioon bevacizumabiga: metastaatilise kolorektaalvähi neoadjuvantne ravi heas üldseisundis patsiendil, kes on potentsiaalselt opereeritav, ning 1. rea palliatiivne ravi patsiendil, kes on heas üldseisundis (ECOG 0</w:t>
      </w:r>
      <w:r w:rsidR="000C4043" w:rsidRPr="00687DE8">
        <w:t>–</w:t>
      </w:r>
      <w:r w:rsidRPr="00687DE8">
        <w:t>1), ilma oluliste kaasuvate haigusteta ja trombembooliliste tüsistusteta anamneesis;</w:t>
      </w:r>
    </w:p>
    <w:p w14:paraId="3ECAB295" w14:textId="77777777" w:rsidR="00976487" w:rsidRPr="00687DE8" w:rsidRDefault="00976487" w:rsidP="00334F99">
      <w:pPr>
        <w:pStyle w:val="Normaallaadveeb"/>
        <w:spacing w:before="0" w:after="0" w:afterAutospacing="0"/>
        <w:jc w:val="both"/>
        <w:divId w:val="1316184749"/>
      </w:pPr>
      <w:r w:rsidRPr="00687DE8">
        <w:t>7)</w:t>
      </w:r>
      <w:r w:rsidRPr="00687DE8">
        <w:rPr>
          <w:rStyle w:val="tyhik"/>
        </w:rPr>
        <w:t xml:space="preserve"> </w:t>
      </w:r>
      <w:r w:rsidRPr="00687DE8">
        <w:t xml:space="preserve">irinotekaani monoteraapia: metastaatilise kolorektaalvähi 2. või </w:t>
      </w:r>
      <w:r w:rsidR="000916EA" w:rsidRPr="00687DE8">
        <w:t>3. rea</w:t>
      </w:r>
      <w:r w:rsidR="000916EA" w:rsidRPr="00687DE8" w:rsidDel="000916EA">
        <w:t xml:space="preserve"> </w:t>
      </w:r>
      <w:r w:rsidRPr="00687DE8">
        <w:t>palliatiivne ravi oksaliplatiini sisaldava raviskeemi järel.</w:t>
      </w:r>
    </w:p>
    <w:p w14:paraId="0131D008" w14:textId="77777777" w:rsidR="00976487" w:rsidRPr="00687DE8" w:rsidRDefault="00976487" w:rsidP="00334F99">
      <w:pPr>
        <w:pStyle w:val="Normaallaadveeb"/>
        <w:spacing w:before="0" w:after="0" w:afterAutospacing="0"/>
        <w:jc w:val="both"/>
        <w:divId w:val="1316184749"/>
      </w:pPr>
    </w:p>
    <w:p w14:paraId="6F066479" w14:textId="4821A84E" w:rsidR="00976487" w:rsidRPr="00687DE8" w:rsidRDefault="00976487" w:rsidP="00334F99">
      <w:pPr>
        <w:pStyle w:val="Normaallaadveeb"/>
        <w:spacing w:before="0" w:after="0" w:afterAutospacing="0"/>
        <w:jc w:val="both"/>
        <w:divId w:val="1316184749"/>
      </w:pPr>
      <w:r w:rsidRPr="00687DE8">
        <w:t>(</w:t>
      </w:r>
      <w:r w:rsidR="00FA146E" w:rsidRPr="00687DE8">
        <w:t>8</w:t>
      </w:r>
      <w:r w:rsidRPr="00687DE8">
        <w:t xml:space="preserve">) </w:t>
      </w:r>
      <w:r w:rsidR="005023FD" w:rsidRPr="00687DE8">
        <w:t>Tervisekassa</w:t>
      </w:r>
      <w:r w:rsidRPr="00687DE8">
        <w:t xml:space="preserve"> võtab kindlustatud isikult koodiga 218R tähistatud teenuse eest tasu maksmise kohustuse üle, kui isikul on tuvastatud kaugmetastaaside olemasolu.</w:t>
      </w:r>
    </w:p>
    <w:p w14:paraId="63495E2E" w14:textId="77777777" w:rsidR="00976487" w:rsidRPr="00687DE8" w:rsidRDefault="00976487" w:rsidP="00334F99">
      <w:pPr>
        <w:pStyle w:val="Normaallaadveeb"/>
        <w:spacing w:before="0" w:after="0" w:afterAutospacing="0"/>
        <w:jc w:val="both"/>
        <w:divId w:val="1316184749"/>
      </w:pPr>
    </w:p>
    <w:p w14:paraId="10AF0991" w14:textId="77777777" w:rsidR="00976487" w:rsidRPr="00687DE8" w:rsidRDefault="00976487" w:rsidP="00334F99">
      <w:pPr>
        <w:pStyle w:val="Normaallaadveeb"/>
        <w:spacing w:before="0" w:after="0" w:afterAutospacing="0"/>
        <w:jc w:val="both"/>
        <w:divId w:val="1316184749"/>
      </w:pPr>
      <w:r w:rsidRPr="00687DE8">
        <w:t>(</w:t>
      </w:r>
      <w:r w:rsidR="00FA146E" w:rsidRPr="00687DE8">
        <w:t>9</w:t>
      </w:r>
      <w:r w:rsidRPr="00687DE8">
        <w:t>) Varajase staadiumi kolorektaalkasvaja kemoteraapiakuuri (kood 209R) teenus sisaldab järgmisi raviskeeme:</w:t>
      </w:r>
    </w:p>
    <w:p w14:paraId="260EC702" w14:textId="77777777" w:rsidR="00976487" w:rsidRPr="00687DE8" w:rsidRDefault="00976487" w:rsidP="00334F99">
      <w:pPr>
        <w:pStyle w:val="Normaallaadveeb"/>
        <w:spacing w:before="0" w:after="0" w:afterAutospacing="0"/>
        <w:jc w:val="both"/>
        <w:divId w:val="1316184749"/>
      </w:pPr>
      <w:r w:rsidRPr="00687DE8">
        <w:t>1)</w:t>
      </w:r>
      <w:r w:rsidRPr="00687DE8">
        <w:rPr>
          <w:rStyle w:val="tyhik"/>
        </w:rPr>
        <w:t xml:space="preserve"> </w:t>
      </w:r>
      <w:r w:rsidRPr="00687DE8">
        <w:t>5 FU/FA: kolorektaalvähi adjuvantne ravi, kui patsient ei talu agressiivsemat keemiaravi;</w:t>
      </w:r>
    </w:p>
    <w:p w14:paraId="1FF56E92" w14:textId="77777777" w:rsidR="00976487" w:rsidRPr="00687DE8" w:rsidRDefault="00976487" w:rsidP="00334F99">
      <w:pPr>
        <w:pStyle w:val="Normaallaadveeb"/>
        <w:spacing w:before="0" w:after="0" w:afterAutospacing="0"/>
        <w:jc w:val="both"/>
        <w:divId w:val="1316184749"/>
      </w:pPr>
      <w:r w:rsidRPr="00687DE8">
        <w:t>2)</w:t>
      </w:r>
      <w:r w:rsidRPr="00687DE8">
        <w:rPr>
          <w:rStyle w:val="tyhik"/>
        </w:rPr>
        <w:t xml:space="preserve"> </w:t>
      </w:r>
      <w:r w:rsidRPr="00687DE8">
        <w:t>FOLFIRI või CAPIRI: kolorektaalvähi adjuvantne ravi, kui patsient talub agressiivsemat keemiaravi;</w:t>
      </w:r>
    </w:p>
    <w:p w14:paraId="259F9E86" w14:textId="77777777" w:rsidR="00976487" w:rsidRPr="00687DE8" w:rsidRDefault="00976487" w:rsidP="00334F99">
      <w:pPr>
        <w:pStyle w:val="Normaallaadveeb"/>
        <w:spacing w:before="0" w:after="0" w:afterAutospacing="0"/>
        <w:jc w:val="both"/>
        <w:divId w:val="1316184749"/>
      </w:pPr>
      <w:r w:rsidRPr="00687DE8">
        <w:t>3)</w:t>
      </w:r>
      <w:r w:rsidRPr="00687DE8">
        <w:rPr>
          <w:rStyle w:val="tyhik"/>
        </w:rPr>
        <w:t xml:space="preserve"> </w:t>
      </w:r>
      <w:r w:rsidRPr="00687DE8">
        <w:t>FOLFOX4 või CAPEOX4: kolorektaalvähi adjuvantne ravi, kui patsient talub agressiivsemat keemiaravi.</w:t>
      </w:r>
    </w:p>
    <w:p w14:paraId="77913918" w14:textId="77777777" w:rsidR="00976487" w:rsidRPr="00687DE8" w:rsidRDefault="00976487" w:rsidP="00334F99">
      <w:pPr>
        <w:pStyle w:val="Normaallaadveeb"/>
        <w:spacing w:before="0" w:after="0" w:afterAutospacing="0"/>
        <w:jc w:val="both"/>
        <w:divId w:val="1316184749"/>
      </w:pPr>
    </w:p>
    <w:p w14:paraId="19483353" w14:textId="77777777" w:rsidR="00976487" w:rsidRPr="00687DE8" w:rsidRDefault="00976487" w:rsidP="00334F99">
      <w:pPr>
        <w:pStyle w:val="Normaallaadveeb"/>
        <w:spacing w:before="0" w:after="0" w:afterAutospacing="0"/>
        <w:jc w:val="both"/>
        <w:divId w:val="1316184749"/>
      </w:pPr>
      <w:r w:rsidRPr="00687DE8">
        <w:t>(1</w:t>
      </w:r>
      <w:r w:rsidR="00831DB7" w:rsidRPr="00687DE8">
        <w:t>0</w:t>
      </w:r>
      <w:r w:rsidRPr="00687DE8">
        <w:t>) Mao- ja söögitorukasvajate kemoteraapiakuuri (kood 323R) teenus sisaldab järgmisi raviskeeme:</w:t>
      </w:r>
    </w:p>
    <w:p w14:paraId="01E5B652" w14:textId="77777777" w:rsidR="00976487" w:rsidRPr="00687DE8" w:rsidRDefault="00976487" w:rsidP="00334F99">
      <w:pPr>
        <w:pStyle w:val="Normaallaadveeb"/>
        <w:spacing w:before="0" w:after="0" w:afterAutospacing="0"/>
        <w:jc w:val="both"/>
        <w:divId w:val="1316184749"/>
      </w:pPr>
      <w:r w:rsidRPr="00687DE8">
        <w:t>1)</w:t>
      </w:r>
      <w:r w:rsidRPr="00687DE8">
        <w:rPr>
          <w:rStyle w:val="tyhik"/>
        </w:rPr>
        <w:t xml:space="preserve"> </w:t>
      </w:r>
      <w:r w:rsidRPr="00687DE8">
        <w:t xml:space="preserve">5 FU kombinatsioon tsisplatiiniga: mao- ja söögitoruvähi palliatiivne ravi </w:t>
      </w:r>
      <w:r w:rsidRPr="00687DE8">
        <w:rPr>
          <w:color w:val="202020"/>
          <w:shd w:val="clear" w:color="auto" w:fill="FFFFFF"/>
        </w:rPr>
        <w:t>heas üldseisundis haigel, kellel on vastunäidustus oksaliplatiinile ja suukaudsele ravile;</w:t>
      </w:r>
    </w:p>
    <w:p w14:paraId="64901FFC" w14:textId="77777777" w:rsidR="00976487" w:rsidRPr="00687DE8" w:rsidRDefault="00976487" w:rsidP="00334F99">
      <w:pPr>
        <w:pStyle w:val="Normaallaadveeb"/>
        <w:spacing w:before="0" w:after="0" w:afterAutospacing="0"/>
        <w:jc w:val="both"/>
        <w:divId w:val="1316184749"/>
        <w:rPr>
          <w:color w:val="202020"/>
          <w:shd w:val="clear" w:color="auto" w:fill="FFFFFF"/>
        </w:rPr>
      </w:pPr>
      <w:r w:rsidRPr="00687DE8">
        <w:t>2)</w:t>
      </w:r>
      <w:r w:rsidRPr="00687DE8">
        <w:rPr>
          <w:rStyle w:val="tyhik"/>
        </w:rPr>
        <w:t xml:space="preserve"> </w:t>
      </w:r>
      <w:r w:rsidRPr="00687DE8">
        <w:t xml:space="preserve">dotsetakseeli kombinatsioon tsisplatiiniga: mao- ja söögitoruvähi palliatiivne </w:t>
      </w:r>
      <w:r w:rsidRPr="00687DE8">
        <w:rPr>
          <w:color w:val="202020"/>
          <w:shd w:val="clear" w:color="auto" w:fill="FFFFFF"/>
        </w:rPr>
        <w:t>ravi heas üldseisundis haigel, kes talub agressiivset keemiaravi, kuid esineb vastunäidustus oksaliplatiinile;</w:t>
      </w:r>
    </w:p>
    <w:p w14:paraId="0827E93C" w14:textId="4F18FDFD" w:rsidR="00976487" w:rsidRPr="00687DE8" w:rsidRDefault="00976487" w:rsidP="00334F99">
      <w:pPr>
        <w:pStyle w:val="Normaallaadveeb"/>
        <w:spacing w:before="0" w:after="0" w:afterAutospacing="0"/>
        <w:jc w:val="both"/>
        <w:divId w:val="1316184749"/>
      </w:pPr>
      <w:r w:rsidRPr="00687DE8">
        <w:t>3)</w:t>
      </w:r>
      <w:r w:rsidRPr="00687DE8">
        <w:rPr>
          <w:rStyle w:val="tyhik"/>
        </w:rPr>
        <w:t xml:space="preserve"> </w:t>
      </w:r>
      <w:r w:rsidRPr="00687DE8">
        <w:t>trastuzumabravi: HER2 retseptor positiivselt kaugele</w:t>
      </w:r>
      <w:r w:rsidR="001560ED" w:rsidRPr="00687DE8">
        <w:t xml:space="preserve"> </w:t>
      </w:r>
      <w:r w:rsidRPr="00687DE8">
        <w:t>arenenud kasvajaga haigel;</w:t>
      </w:r>
    </w:p>
    <w:p w14:paraId="7E2B4F60" w14:textId="77777777" w:rsidR="00976487" w:rsidRPr="00687DE8" w:rsidRDefault="00976487" w:rsidP="00334F99">
      <w:pPr>
        <w:pStyle w:val="Normaallaadveeb"/>
        <w:spacing w:before="0" w:after="0" w:afterAutospacing="0"/>
        <w:jc w:val="both"/>
        <w:divId w:val="1316184749"/>
      </w:pPr>
      <w:r w:rsidRPr="00687DE8">
        <w:t>4)</w:t>
      </w:r>
      <w:r w:rsidRPr="00687DE8">
        <w:rPr>
          <w:rStyle w:val="tyhik"/>
        </w:rPr>
        <w:t xml:space="preserve"> </w:t>
      </w:r>
      <w:r w:rsidRPr="00687DE8">
        <w:t>karboplatiin kombinatsioonis paklitakseeliga preoperatiivseks samaaegseks kiiritus- ja keemiaraviks patsiendil, kellel esineb lokaalselt ja/või regionaalselt levinud söögitoru</w:t>
      </w:r>
      <w:r w:rsidR="00615E88" w:rsidRPr="00687DE8">
        <w:t>vähk</w:t>
      </w:r>
      <w:r w:rsidRPr="00687DE8">
        <w:t xml:space="preserve"> või mao ja söögitoru ühenduskoha vähk;</w:t>
      </w:r>
    </w:p>
    <w:p w14:paraId="5E9118FF" w14:textId="77777777" w:rsidR="00976487" w:rsidRPr="00687DE8" w:rsidRDefault="00976487" w:rsidP="00334F99">
      <w:pPr>
        <w:pStyle w:val="Normaallaadveeb"/>
        <w:spacing w:before="0" w:after="0" w:afterAutospacing="0"/>
        <w:jc w:val="both"/>
        <w:divId w:val="1316184749"/>
      </w:pPr>
      <w:r w:rsidRPr="00687DE8">
        <w:t xml:space="preserve">5) </w:t>
      </w:r>
      <w:r w:rsidRPr="00687DE8">
        <w:rPr>
          <w:color w:val="202020"/>
          <w:shd w:val="clear" w:color="auto" w:fill="FFFFFF"/>
        </w:rPr>
        <w:t xml:space="preserve">dotsetakseeli, oksaliplatiini, fluorouratsiili ja foliinhappe kombinatsioonravi: </w:t>
      </w:r>
      <w:r w:rsidRPr="00687DE8">
        <w:t>maovähi</w:t>
      </w:r>
      <w:r w:rsidR="00615E88" w:rsidRPr="00687DE8">
        <w:t>,</w:t>
      </w:r>
      <w:r w:rsidR="00F56FC9" w:rsidRPr="00687DE8">
        <w:t xml:space="preserve"> </w:t>
      </w:r>
      <w:r w:rsidR="00F56FC9" w:rsidRPr="00687DE8">
        <w:rPr>
          <w:bdr w:val="none" w:sz="0" w:space="0" w:color="auto" w:frame="1"/>
          <w:shd w:val="clear" w:color="auto" w:fill="FFFFFF"/>
        </w:rPr>
        <w:t>söögitoru adenokartsinoomi või mao</w:t>
      </w:r>
      <w:r w:rsidR="00615E88" w:rsidRPr="00687DE8">
        <w:rPr>
          <w:bdr w:val="none" w:sz="0" w:space="0" w:color="auto" w:frame="1"/>
          <w:shd w:val="clear" w:color="auto" w:fill="FFFFFF"/>
        </w:rPr>
        <w:t xml:space="preserve"> ja</w:t>
      </w:r>
      <w:r w:rsidR="00F56FC9" w:rsidRPr="00687DE8">
        <w:rPr>
          <w:bdr w:val="none" w:sz="0" w:space="0" w:color="auto" w:frame="1"/>
          <w:shd w:val="clear" w:color="auto" w:fill="FFFFFF"/>
        </w:rPr>
        <w:t xml:space="preserve"> söögitoru ühenduskoha adenokartsinoomi</w:t>
      </w:r>
      <w:r w:rsidRPr="00687DE8">
        <w:t xml:space="preserve"> perioperatiivne ravi agressiivset keemiaravi taluval haigel</w:t>
      </w:r>
      <w:r w:rsidR="00E6457A" w:rsidRPr="00687DE8">
        <w:t xml:space="preserve">, </w:t>
      </w:r>
      <w:r w:rsidR="00E6457A" w:rsidRPr="00687DE8">
        <w:rPr>
          <w:bdr w:val="none" w:sz="0" w:space="0" w:color="auto" w:frame="1"/>
          <w:shd w:val="clear" w:color="auto" w:fill="FFFFFF"/>
        </w:rPr>
        <w:t>maovähi või söögitoru adenokartsinoomi palliatiivne ravi</w:t>
      </w:r>
      <w:r w:rsidRPr="00687DE8">
        <w:t>;</w:t>
      </w:r>
    </w:p>
    <w:p w14:paraId="7F78EA0A" w14:textId="77777777" w:rsidR="00976487" w:rsidRPr="00687DE8" w:rsidRDefault="00976487" w:rsidP="00334F99">
      <w:pPr>
        <w:spacing w:after="0" w:line="240" w:lineRule="auto"/>
        <w:jc w:val="both"/>
        <w:divId w:val="1316184749"/>
        <w:rPr>
          <w:szCs w:val="24"/>
        </w:rPr>
      </w:pPr>
      <w:r w:rsidRPr="00687DE8">
        <w:rPr>
          <w:szCs w:val="24"/>
          <w:shd w:val="clear" w:color="auto" w:fill="FFFFFF"/>
        </w:rPr>
        <w:lastRenderedPageBreak/>
        <w:t xml:space="preserve">6) oksaliplatiini, fluorouratsiili ja foliinhappe kombinatsioonravi: </w:t>
      </w:r>
      <w:r w:rsidRPr="00687DE8">
        <w:rPr>
          <w:szCs w:val="24"/>
        </w:rPr>
        <w:t>maovähi</w:t>
      </w:r>
      <w:r w:rsidR="00E6457A" w:rsidRPr="00687DE8">
        <w:rPr>
          <w:szCs w:val="24"/>
        </w:rPr>
        <w:t xml:space="preserve">, </w:t>
      </w:r>
      <w:r w:rsidR="00E6457A" w:rsidRPr="00687DE8">
        <w:rPr>
          <w:szCs w:val="24"/>
          <w:bdr w:val="none" w:sz="0" w:space="0" w:color="auto" w:frame="1"/>
          <w:shd w:val="clear" w:color="auto" w:fill="FFFFFF"/>
        </w:rPr>
        <w:t>söögitoru adenokartsinoomi või mao</w:t>
      </w:r>
      <w:r w:rsidR="00615E88" w:rsidRPr="00687DE8">
        <w:rPr>
          <w:szCs w:val="24"/>
          <w:bdr w:val="none" w:sz="0" w:space="0" w:color="auto" w:frame="1"/>
          <w:shd w:val="clear" w:color="auto" w:fill="FFFFFF"/>
        </w:rPr>
        <w:t xml:space="preserve"> ja</w:t>
      </w:r>
      <w:r w:rsidR="00E6457A" w:rsidRPr="00687DE8">
        <w:rPr>
          <w:szCs w:val="24"/>
          <w:bdr w:val="none" w:sz="0" w:space="0" w:color="auto" w:frame="1"/>
          <w:shd w:val="clear" w:color="auto" w:fill="FFFFFF"/>
        </w:rPr>
        <w:t xml:space="preserve"> söögitoru ühenduskoha adenokartsinoomi</w:t>
      </w:r>
      <w:r w:rsidRPr="00687DE8">
        <w:rPr>
          <w:szCs w:val="24"/>
        </w:rPr>
        <w:t xml:space="preserve"> palliatiivne ja perioperatiivne ravi heas üldseisundis haigel, kellel on vastunäidustus suukaudsele ravile;</w:t>
      </w:r>
    </w:p>
    <w:p w14:paraId="5CB7880E" w14:textId="77777777" w:rsidR="00976487" w:rsidRPr="00687DE8" w:rsidRDefault="00976487" w:rsidP="00334F99">
      <w:pPr>
        <w:spacing w:after="0" w:line="240" w:lineRule="auto"/>
        <w:jc w:val="both"/>
        <w:divId w:val="1316184749"/>
        <w:rPr>
          <w:szCs w:val="24"/>
        </w:rPr>
      </w:pPr>
      <w:r w:rsidRPr="00687DE8">
        <w:rPr>
          <w:szCs w:val="24"/>
        </w:rPr>
        <w:t>7) oksaliplatiini kombinatsioon kapetsitabiiniga: maovähi</w:t>
      </w:r>
      <w:r w:rsidR="007D4134" w:rsidRPr="00687DE8">
        <w:rPr>
          <w:szCs w:val="24"/>
          <w:bdr w:val="none" w:sz="0" w:space="0" w:color="auto" w:frame="1"/>
          <w:shd w:val="clear" w:color="auto" w:fill="FFFFFF"/>
        </w:rPr>
        <w:t>, söögitoru adenokartsinoomi või mao</w:t>
      </w:r>
      <w:r w:rsidR="00615E88" w:rsidRPr="00687DE8">
        <w:rPr>
          <w:szCs w:val="24"/>
          <w:bdr w:val="none" w:sz="0" w:space="0" w:color="auto" w:frame="1"/>
          <w:shd w:val="clear" w:color="auto" w:fill="FFFFFF"/>
        </w:rPr>
        <w:t xml:space="preserve"> ja</w:t>
      </w:r>
      <w:r w:rsidR="007D4134" w:rsidRPr="00687DE8">
        <w:rPr>
          <w:szCs w:val="24"/>
          <w:bdr w:val="none" w:sz="0" w:space="0" w:color="auto" w:frame="1"/>
          <w:shd w:val="clear" w:color="auto" w:fill="FFFFFF"/>
        </w:rPr>
        <w:t xml:space="preserve"> söögitoru ühenduskoha adenokartsinoomi</w:t>
      </w:r>
      <w:r w:rsidRPr="00687DE8">
        <w:rPr>
          <w:szCs w:val="24"/>
        </w:rPr>
        <w:t xml:space="preserve"> palliatiivne ja perioperatiivne ravi heas üldseisundis haigel, kellel on vastunäidustus dotsetakseelile;</w:t>
      </w:r>
    </w:p>
    <w:p w14:paraId="07EB55D5" w14:textId="77777777" w:rsidR="000916EA" w:rsidRPr="00687DE8" w:rsidRDefault="000916EA" w:rsidP="00334F99">
      <w:pPr>
        <w:spacing w:after="0" w:line="240" w:lineRule="auto"/>
        <w:jc w:val="both"/>
        <w:divId w:val="1316184749"/>
        <w:rPr>
          <w:szCs w:val="24"/>
        </w:rPr>
      </w:pPr>
      <w:r w:rsidRPr="00687DE8">
        <w:rPr>
          <w:szCs w:val="24"/>
        </w:rPr>
        <w:t>8) irinotekaani monoteraapia: mao</w:t>
      </w:r>
      <w:r w:rsidR="002F3214" w:rsidRPr="00687DE8">
        <w:rPr>
          <w:szCs w:val="24"/>
          <w:bdr w:val="none" w:sz="0" w:space="0" w:color="auto" w:frame="1"/>
          <w:shd w:val="clear" w:color="auto" w:fill="FFFFFF"/>
        </w:rPr>
        <w:t>- või söögitoruvähi või mao</w:t>
      </w:r>
      <w:r w:rsidR="00615E88" w:rsidRPr="00687DE8">
        <w:rPr>
          <w:szCs w:val="24"/>
          <w:bdr w:val="none" w:sz="0" w:space="0" w:color="auto" w:frame="1"/>
          <w:shd w:val="clear" w:color="auto" w:fill="FFFFFF"/>
        </w:rPr>
        <w:t xml:space="preserve"> ja</w:t>
      </w:r>
      <w:r w:rsidR="002F3214" w:rsidRPr="00687DE8">
        <w:rPr>
          <w:szCs w:val="24"/>
          <w:bdr w:val="none" w:sz="0" w:space="0" w:color="auto" w:frame="1"/>
          <w:shd w:val="clear" w:color="auto" w:fill="FFFFFF"/>
        </w:rPr>
        <w:t xml:space="preserve"> söögitoru ühenduskoha adenokartsinoomi</w:t>
      </w:r>
      <w:r w:rsidRPr="00687DE8">
        <w:rPr>
          <w:szCs w:val="24"/>
        </w:rPr>
        <w:t xml:space="preserve"> 2. rea palliatiivne ravi heas üldseisundis haigel plaatinapreparaati ja fluorouratsiili sisaldanud 1. rea ravi järel;</w:t>
      </w:r>
    </w:p>
    <w:p w14:paraId="6A489090" w14:textId="77777777" w:rsidR="000916EA" w:rsidRPr="00687DE8" w:rsidRDefault="000916EA" w:rsidP="00334F99">
      <w:pPr>
        <w:spacing w:after="0" w:line="240" w:lineRule="auto"/>
        <w:jc w:val="both"/>
        <w:divId w:val="1316184749"/>
        <w:rPr>
          <w:szCs w:val="24"/>
        </w:rPr>
      </w:pPr>
      <w:r w:rsidRPr="00687DE8">
        <w:rPr>
          <w:szCs w:val="24"/>
        </w:rPr>
        <w:t>9) dotsetakseeli monoteraapia: mao</w:t>
      </w:r>
      <w:r w:rsidR="002F3214" w:rsidRPr="00687DE8">
        <w:rPr>
          <w:szCs w:val="24"/>
          <w:bdr w:val="none" w:sz="0" w:space="0" w:color="auto" w:frame="1"/>
          <w:shd w:val="clear" w:color="auto" w:fill="FFFFFF"/>
        </w:rPr>
        <w:t>- või söögitoruvähi või mao</w:t>
      </w:r>
      <w:r w:rsidR="00615E88" w:rsidRPr="00687DE8">
        <w:rPr>
          <w:szCs w:val="24"/>
          <w:bdr w:val="none" w:sz="0" w:space="0" w:color="auto" w:frame="1"/>
          <w:shd w:val="clear" w:color="auto" w:fill="FFFFFF"/>
        </w:rPr>
        <w:t xml:space="preserve"> ja</w:t>
      </w:r>
      <w:r w:rsidR="002F3214" w:rsidRPr="00687DE8">
        <w:rPr>
          <w:szCs w:val="24"/>
          <w:bdr w:val="none" w:sz="0" w:space="0" w:color="auto" w:frame="1"/>
          <w:shd w:val="clear" w:color="auto" w:fill="FFFFFF"/>
        </w:rPr>
        <w:t xml:space="preserve"> söögitoru ühenduskoha adenokartsinoomi</w:t>
      </w:r>
      <w:r w:rsidRPr="00687DE8">
        <w:rPr>
          <w:color w:val="000000"/>
          <w:szCs w:val="24"/>
        </w:rPr>
        <w:t xml:space="preserve"> 2. rea palliatiivne ravi heas üldseisundis haigel plaatinapreparaati ja fluorouratsiili sisaldanud 1. rea ravi järel.</w:t>
      </w:r>
    </w:p>
    <w:p w14:paraId="7CDEC963" w14:textId="77777777" w:rsidR="00976487" w:rsidRPr="00687DE8" w:rsidRDefault="00976487" w:rsidP="00334F99">
      <w:pPr>
        <w:pStyle w:val="Normaallaadveeb"/>
        <w:spacing w:before="0" w:after="0" w:afterAutospacing="0"/>
        <w:jc w:val="both"/>
        <w:divId w:val="1316184749"/>
      </w:pPr>
    </w:p>
    <w:p w14:paraId="09E0DC72" w14:textId="77777777" w:rsidR="00976487" w:rsidRPr="00687DE8" w:rsidRDefault="00976487" w:rsidP="00334F99">
      <w:pPr>
        <w:pStyle w:val="Normaallaadveeb"/>
        <w:spacing w:before="0" w:after="0" w:afterAutospacing="0"/>
        <w:jc w:val="both"/>
        <w:divId w:val="1316184749"/>
      </w:pPr>
      <w:r w:rsidRPr="00687DE8">
        <w:t>(1</w:t>
      </w:r>
      <w:r w:rsidR="00831DB7" w:rsidRPr="00687DE8">
        <w:t>1</w:t>
      </w:r>
      <w:r w:rsidRPr="00687DE8">
        <w:t>) Biliopankreaatilise süsteemi kartsinoomi kemoteraapiakuuri (kood 266R) teenus sisaldab järgmisi raviskeeme:</w:t>
      </w:r>
    </w:p>
    <w:p w14:paraId="1275B019" w14:textId="77777777" w:rsidR="000916EA" w:rsidRPr="00687DE8" w:rsidRDefault="000916EA" w:rsidP="00334F99">
      <w:pPr>
        <w:pStyle w:val="Normaallaadveeb"/>
        <w:spacing w:before="0" w:after="0" w:afterAutospacing="0"/>
        <w:jc w:val="both"/>
        <w:divId w:val="1316184749"/>
      </w:pPr>
      <w:r w:rsidRPr="00687DE8">
        <w:t>1)</w:t>
      </w:r>
      <w:r w:rsidRPr="00687DE8">
        <w:rPr>
          <w:rStyle w:val="tyhik"/>
        </w:rPr>
        <w:t xml:space="preserve"> </w:t>
      </w:r>
      <w:r w:rsidRPr="00687DE8">
        <w:t>gemtsitabiin: pankrease kartsinoomi adjuvantne ravi ning 1. rea palliatiivne ravi, kui patsient talub gemtsitabiini;</w:t>
      </w:r>
    </w:p>
    <w:p w14:paraId="47F168C7" w14:textId="77777777" w:rsidR="000916EA" w:rsidRPr="00687DE8" w:rsidRDefault="000916EA" w:rsidP="00334F99">
      <w:pPr>
        <w:pStyle w:val="Normaallaadveeb"/>
        <w:spacing w:before="0" w:after="0" w:afterAutospacing="0"/>
        <w:jc w:val="both"/>
        <w:divId w:val="1316184749"/>
      </w:pPr>
      <w:r w:rsidRPr="00687DE8">
        <w:t>2)</w:t>
      </w:r>
      <w:r w:rsidRPr="00687DE8">
        <w:rPr>
          <w:rStyle w:val="tyhik"/>
        </w:rPr>
        <w:t xml:space="preserve"> </w:t>
      </w:r>
      <w:r w:rsidRPr="00687DE8">
        <w:t>FOLFIRINOX-i raviskeem: kaugelearenenud pankrease kartsinoomi palliatiivne 1. rea ravi heas üldseisundis haigel (ECOG 0</w:t>
      </w:r>
      <w:r w:rsidR="000C4043" w:rsidRPr="00687DE8">
        <w:t>–</w:t>
      </w:r>
      <w:r w:rsidRPr="00687DE8">
        <w:t>1);</w:t>
      </w:r>
    </w:p>
    <w:p w14:paraId="134D6EE4" w14:textId="77777777" w:rsidR="00976487" w:rsidRPr="00687DE8" w:rsidRDefault="00976487" w:rsidP="00334F99">
      <w:pPr>
        <w:pStyle w:val="Normaallaadveeb"/>
        <w:spacing w:before="0" w:after="0" w:afterAutospacing="0"/>
        <w:jc w:val="both"/>
        <w:divId w:val="1316184749"/>
      </w:pPr>
      <w:r w:rsidRPr="00687DE8">
        <w:t>3) nab-paklitakseel</w:t>
      </w:r>
      <w:r w:rsidR="00A412B6" w:rsidRPr="00687DE8">
        <w:t>:</w:t>
      </w:r>
      <w:r w:rsidRPr="00687DE8">
        <w:t xml:space="preserve"> pankrease metastaatilise adenokartsinoomi palliatiiv</w:t>
      </w:r>
      <w:r w:rsidR="00A412B6" w:rsidRPr="00687DE8">
        <w:t>ne</w:t>
      </w:r>
      <w:r w:rsidRPr="00687DE8">
        <w:t xml:space="preserve"> ravi eelnevalt ravimata patsiendil, kellel on suurest tuumorikoormusest tulenev toimetulekustaatus ECOG 1</w:t>
      </w:r>
      <w:r w:rsidR="000C4043" w:rsidRPr="00687DE8">
        <w:t>–</w:t>
      </w:r>
      <w:r w:rsidRPr="00687DE8">
        <w:t>2 ja kes ei ole sobilik saama ravi FOLFIRINOX</w:t>
      </w:r>
      <w:r w:rsidR="003F2512" w:rsidRPr="00687DE8">
        <w:t>-i</w:t>
      </w:r>
      <w:r w:rsidRPr="00687DE8">
        <w:t xml:space="preserve"> skeemiga;</w:t>
      </w:r>
    </w:p>
    <w:p w14:paraId="1CA3D714" w14:textId="77777777" w:rsidR="00976487" w:rsidRPr="00687DE8" w:rsidRDefault="00976487" w:rsidP="00334F99">
      <w:pPr>
        <w:pStyle w:val="Normaallaadveeb"/>
        <w:spacing w:before="0" w:after="0" w:afterAutospacing="0"/>
        <w:jc w:val="both"/>
        <w:divId w:val="1316184749"/>
      </w:pPr>
      <w:r w:rsidRPr="00687DE8">
        <w:t>4)</w:t>
      </w:r>
      <w:r w:rsidRPr="00687DE8">
        <w:rPr>
          <w:rStyle w:val="tyhik"/>
        </w:rPr>
        <w:t xml:space="preserve"> </w:t>
      </w:r>
      <w:r w:rsidRPr="00687DE8">
        <w:t xml:space="preserve">gemtsitabiini kombinatsioon tsisplatiiniga: pankrease kartsinoomi palliatiivne ravi haigel, kellel on </w:t>
      </w:r>
      <w:r w:rsidR="001A0D6C" w:rsidRPr="00687DE8">
        <w:t>tõestatud haigusseoseline mutatsioon BRCA1/2 geenis ja kelle seisund võimaldab kombineeritud ravi.</w:t>
      </w:r>
      <w:r w:rsidRPr="00687DE8">
        <w:t xml:space="preserve"> Kolangiokartsinoomi ja </w:t>
      </w:r>
      <w:r w:rsidRPr="00687DE8">
        <w:rPr>
          <w:i/>
          <w:iCs/>
        </w:rPr>
        <w:t>papilla Vater</w:t>
      </w:r>
      <w:r w:rsidRPr="00687DE8">
        <w:t>’i vähi palliatiivne ravi</w:t>
      </w:r>
      <w:r w:rsidR="00A54E3A" w:rsidRPr="00687DE8">
        <w:t xml:space="preserve"> haigel, kellele on näidustatud kombineeritud ravi</w:t>
      </w:r>
      <w:r w:rsidRPr="00687DE8">
        <w:t>;</w:t>
      </w:r>
    </w:p>
    <w:p w14:paraId="547EE139" w14:textId="77777777" w:rsidR="00976487" w:rsidRPr="00687DE8" w:rsidRDefault="00976487" w:rsidP="00334F99">
      <w:pPr>
        <w:pStyle w:val="Normaallaadveeb"/>
        <w:spacing w:before="0" w:after="0" w:afterAutospacing="0"/>
        <w:jc w:val="both"/>
        <w:divId w:val="1316184749"/>
      </w:pPr>
      <w:r w:rsidRPr="00687DE8">
        <w:t>5)</w:t>
      </w:r>
      <w:r w:rsidRPr="00687DE8">
        <w:rPr>
          <w:rStyle w:val="tyhik"/>
        </w:rPr>
        <w:t xml:space="preserve"> </w:t>
      </w:r>
      <w:r w:rsidRPr="00687DE8">
        <w:t>gemtsitabiini kombinatsioon oksaliplatiiniga: pankrease kartsinoomi palliatiivne ravi heas üldseisundis haigel, kellel</w:t>
      </w:r>
      <w:r w:rsidR="008A6362" w:rsidRPr="00687DE8">
        <w:t>e</w:t>
      </w:r>
      <w:r w:rsidRPr="00687DE8">
        <w:t xml:space="preserve"> on näidustatud kombineeritud ravi, kuid tsisplatiin on vastunäidustatud;</w:t>
      </w:r>
    </w:p>
    <w:p w14:paraId="22932213" w14:textId="77777777" w:rsidR="000916EA" w:rsidRPr="00687DE8" w:rsidRDefault="000916EA" w:rsidP="00334F99">
      <w:pPr>
        <w:pStyle w:val="Normaallaadveeb"/>
        <w:spacing w:before="0" w:after="0" w:afterAutospacing="0"/>
        <w:jc w:val="both"/>
        <w:divId w:val="1316184749"/>
      </w:pPr>
      <w:r w:rsidRPr="00687DE8">
        <w:t>6)</w:t>
      </w:r>
      <w:r w:rsidRPr="00687DE8">
        <w:rPr>
          <w:rStyle w:val="tyhik"/>
        </w:rPr>
        <w:t xml:space="preserve"> </w:t>
      </w:r>
      <w:r w:rsidRPr="00687DE8">
        <w:rPr>
          <w:bCs/>
        </w:rPr>
        <w:t xml:space="preserve">FOLFOX-i, CAPOX-i ja FOLFIRI raviskeemid: </w:t>
      </w:r>
      <w:r w:rsidRPr="00687DE8">
        <w:t xml:space="preserve">pankrease kartsinoomi ja kolangiokartsinoomi 2. rea palliatiivne ravi patsientidel, kelle üldseisund lubab kombineeritud ravi. </w:t>
      </w:r>
    </w:p>
    <w:p w14:paraId="018EE8A1" w14:textId="77777777" w:rsidR="00976487" w:rsidRPr="00687DE8" w:rsidRDefault="00976487" w:rsidP="00334F99">
      <w:pPr>
        <w:pStyle w:val="Normaallaadveeb"/>
        <w:spacing w:before="0" w:after="0" w:afterAutospacing="0"/>
        <w:jc w:val="both"/>
        <w:divId w:val="1316184749"/>
      </w:pPr>
    </w:p>
    <w:p w14:paraId="627F2507" w14:textId="77777777" w:rsidR="00976487" w:rsidRPr="00687DE8" w:rsidRDefault="00976487" w:rsidP="00334F99">
      <w:pPr>
        <w:pStyle w:val="Normaallaadveeb"/>
        <w:spacing w:before="0" w:after="0" w:afterAutospacing="0"/>
        <w:jc w:val="both"/>
        <w:divId w:val="1316184749"/>
      </w:pPr>
      <w:r w:rsidRPr="00687DE8">
        <w:t>(1</w:t>
      </w:r>
      <w:r w:rsidR="00831DB7" w:rsidRPr="00687DE8">
        <w:t>2</w:t>
      </w:r>
      <w:r w:rsidRPr="00687DE8">
        <w:t>) Munasarjakasvajate kemoteraapiakuuri (kood 325R) teenus sisaldab järgmisi raviskeeme:</w:t>
      </w:r>
    </w:p>
    <w:p w14:paraId="42BC74C1" w14:textId="77777777" w:rsidR="000916EA" w:rsidRPr="00687DE8" w:rsidRDefault="000916EA" w:rsidP="00334F99">
      <w:pPr>
        <w:pStyle w:val="Normaallaadveeb"/>
        <w:spacing w:before="0" w:after="0" w:afterAutospacing="0"/>
        <w:jc w:val="both"/>
        <w:divId w:val="1316184749"/>
      </w:pPr>
      <w:r w:rsidRPr="00687DE8">
        <w:t>1)</w:t>
      </w:r>
      <w:r w:rsidRPr="00687DE8">
        <w:rPr>
          <w:rStyle w:val="tyhik"/>
        </w:rPr>
        <w:t xml:space="preserve"> </w:t>
      </w:r>
      <w:r w:rsidRPr="00687DE8">
        <w:t>paklitakseeli monoteraapia: metastaatilise munasarjakartsinoomi 2. rea ravi pärast ravi ebaõnnestumist plaatinapreparaatidega;</w:t>
      </w:r>
    </w:p>
    <w:p w14:paraId="52D7F50A" w14:textId="77777777" w:rsidR="000916EA" w:rsidRPr="00687DE8" w:rsidRDefault="000916EA" w:rsidP="00334F99">
      <w:pPr>
        <w:pStyle w:val="Normaallaadveeb"/>
        <w:spacing w:before="0" w:after="0" w:afterAutospacing="0"/>
        <w:jc w:val="both"/>
        <w:divId w:val="1316184749"/>
      </w:pPr>
      <w:r w:rsidRPr="00687DE8">
        <w:t>2)</w:t>
      </w:r>
      <w:r w:rsidRPr="00687DE8">
        <w:rPr>
          <w:rStyle w:val="tyhik"/>
        </w:rPr>
        <w:t xml:space="preserve"> </w:t>
      </w:r>
      <w:r w:rsidRPr="00687DE8">
        <w:t>dotsetakseeli monoteraapia: metastaatilise munasarjakartsinoomi 2. rea ravi pärast ravi ebaõnnestumist plaatinapreparaatidega, kui paklitakseel on vastunäidustatud;</w:t>
      </w:r>
    </w:p>
    <w:p w14:paraId="41E0742C" w14:textId="77777777" w:rsidR="00976487" w:rsidRPr="00687DE8" w:rsidRDefault="00976487" w:rsidP="00334F99">
      <w:pPr>
        <w:pStyle w:val="Normaallaadveeb"/>
        <w:spacing w:before="0" w:after="0" w:afterAutospacing="0"/>
        <w:jc w:val="both"/>
        <w:divId w:val="1316184749"/>
      </w:pPr>
      <w:r w:rsidRPr="00687DE8">
        <w:t>3)</w:t>
      </w:r>
      <w:r w:rsidRPr="00687DE8">
        <w:rPr>
          <w:rStyle w:val="tyhik"/>
        </w:rPr>
        <w:t xml:space="preserve"> </w:t>
      </w:r>
      <w:r w:rsidRPr="00687DE8">
        <w:t>karboplatiini monoteraapia: munasarjakartsinoomi retsidiivi korral enam kui ühe aasta möödumisel taksaani ja plaatinapreparaadi kombinatsioonravist või 1. rea ravi, kui taksaan on vastunäidustatud;</w:t>
      </w:r>
    </w:p>
    <w:p w14:paraId="5AD59945" w14:textId="77777777" w:rsidR="00976487" w:rsidRPr="00687DE8" w:rsidRDefault="00976487" w:rsidP="00334F99">
      <w:pPr>
        <w:pStyle w:val="Normaallaadveeb"/>
        <w:spacing w:before="0" w:after="0" w:afterAutospacing="0"/>
        <w:jc w:val="both"/>
        <w:divId w:val="1316184749"/>
      </w:pPr>
      <w:r w:rsidRPr="00687DE8">
        <w:t>4)</w:t>
      </w:r>
      <w:r w:rsidRPr="00687DE8">
        <w:rPr>
          <w:rStyle w:val="tyhik"/>
        </w:rPr>
        <w:t xml:space="preserve"> </w:t>
      </w:r>
      <w:r w:rsidRPr="00687DE8">
        <w:t>topotekaani monoteraapia: munasarjakartsinoomi retsidiivi korral vähem kui ühe aasta möödumisel taksaani ja plaatinapreparaadi kombinatsioonravist;</w:t>
      </w:r>
    </w:p>
    <w:p w14:paraId="4F65CB60" w14:textId="77777777" w:rsidR="00976487" w:rsidRPr="00687DE8" w:rsidRDefault="00976487" w:rsidP="00334F99">
      <w:pPr>
        <w:pStyle w:val="Normaallaadveeb"/>
        <w:spacing w:before="0" w:after="0" w:afterAutospacing="0"/>
        <w:jc w:val="both"/>
        <w:divId w:val="1316184749"/>
      </w:pPr>
      <w:r w:rsidRPr="00687DE8">
        <w:t>5)</w:t>
      </w:r>
      <w:r w:rsidRPr="00687DE8">
        <w:rPr>
          <w:rStyle w:val="tyhik"/>
        </w:rPr>
        <w:t xml:space="preserve"> </w:t>
      </w:r>
      <w:r w:rsidRPr="00687DE8">
        <w:t>gemtsitabiini kombinatsioon karboplatiiniga: munasarjakartsinoomi retsidiivi korral vähem kui ühe aasta möödumisel taksaani ja plaatinapreparaadi kombinatsioonravist;</w:t>
      </w:r>
    </w:p>
    <w:p w14:paraId="0F37FD84" w14:textId="77777777" w:rsidR="00976487" w:rsidRPr="00687DE8" w:rsidRDefault="00976487" w:rsidP="00334F99">
      <w:pPr>
        <w:pStyle w:val="Normaallaadveeb"/>
        <w:spacing w:before="0" w:after="0" w:afterAutospacing="0"/>
        <w:jc w:val="both"/>
        <w:divId w:val="1316184749"/>
      </w:pPr>
      <w:r w:rsidRPr="00687DE8">
        <w:t>6)</w:t>
      </w:r>
      <w:r w:rsidRPr="00687DE8">
        <w:rPr>
          <w:rStyle w:val="tyhik"/>
        </w:rPr>
        <w:t xml:space="preserve"> </w:t>
      </w:r>
      <w:r w:rsidRPr="00687DE8">
        <w:t>tsisplatiini monoteraapia: metastaatilise munasarjakartsinoomi ravi, kui esineb vastunäidustus karboplatiinile ja taksaanidele;</w:t>
      </w:r>
    </w:p>
    <w:p w14:paraId="72056A0C" w14:textId="77777777" w:rsidR="00976487" w:rsidRPr="00687DE8" w:rsidRDefault="00976487" w:rsidP="00334F99">
      <w:pPr>
        <w:pStyle w:val="Normaallaadveeb"/>
        <w:spacing w:before="0" w:after="0" w:afterAutospacing="0"/>
        <w:jc w:val="both"/>
        <w:divId w:val="1316184749"/>
      </w:pPr>
      <w:r w:rsidRPr="00687DE8">
        <w:t>7)</w:t>
      </w:r>
      <w:r w:rsidRPr="00687DE8">
        <w:rPr>
          <w:rStyle w:val="tyhik"/>
        </w:rPr>
        <w:t xml:space="preserve"> </w:t>
      </w:r>
      <w:r w:rsidRPr="00687DE8">
        <w:t>paklitakseeli kombinatsioon plaatinapreparaatidega: kaugelearenenud munasarjakartsinoomi 1. rea ravi;</w:t>
      </w:r>
    </w:p>
    <w:p w14:paraId="54C237EF" w14:textId="77777777" w:rsidR="00976487" w:rsidRPr="00687DE8" w:rsidRDefault="00976487" w:rsidP="00334F99">
      <w:pPr>
        <w:pStyle w:val="Normaallaadveeb"/>
        <w:spacing w:before="0" w:after="0" w:afterAutospacing="0"/>
        <w:jc w:val="both"/>
        <w:divId w:val="1316184749"/>
      </w:pPr>
      <w:r w:rsidRPr="00687DE8">
        <w:lastRenderedPageBreak/>
        <w:t>8)</w:t>
      </w:r>
      <w:r w:rsidRPr="00687DE8">
        <w:rPr>
          <w:rStyle w:val="tyhik"/>
        </w:rPr>
        <w:t xml:space="preserve"> </w:t>
      </w:r>
      <w:r w:rsidRPr="00687DE8">
        <w:t>dotsetakseeli kombinatsioon plaatinapreparaatidega: kaugelearenenud munasarjakartsinoomi 1. rea ravi, kui paklitakseel on vastunäidustatud;</w:t>
      </w:r>
    </w:p>
    <w:p w14:paraId="39E8A31E" w14:textId="5C5D930B" w:rsidR="00976487" w:rsidRPr="00687DE8" w:rsidRDefault="00976487" w:rsidP="3D4D49F1">
      <w:pPr>
        <w:pStyle w:val="Normaallaadveeb"/>
        <w:spacing w:before="0" w:after="0" w:afterAutospacing="0"/>
        <w:jc w:val="both"/>
        <w:divId w:val="1316184749"/>
      </w:pPr>
      <w:r>
        <w:t>9)</w:t>
      </w:r>
      <w:r w:rsidRPr="3D4D49F1">
        <w:rPr>
          <w:rStyle w:val="tyhik"/>
        </w:rPr>
        <w:t xml:space="preserve"> </w:t>
      </w:r>
      <w:r>
        <w:t xml:space="preserve">bevatsizumabi kombinatsioon paklitakseeli ja karboplatiiniga ning bevatsizumabi säilitusravi </w:t>
      </w:r>
      <w:r w:rsidR="2A9C0E05">
        <w:t>kuni haiguse progresseerumise või vastuvõetamatu toksilisuse tekkeni maksimaalselt 15 kuu vältel ja kombinatsioonis olapariibiga levinud (III–IV staadiumi) munasarja-, munajuha- või primaarse peritoneaalvähiga heas üldseisundis (ECOG 0–1) patsien</w:t>
      </w:r>
      <w:r w:rsidR="304E2B28">
        <w:t>di</w:t>
      </w:r>
      <w:r w:rsidR="2A9C0E05">
        <w:t>le, olenemata tsütoreduktiivse operatsiooni tulemustest</w:t>
      </w:r>
      <w:r w:rsidR="00134278">
        <w:t>;</w:t>
      </w:r>
    </w:p>
    <w:p w14:paraId="2CC680D4" w14:textId="77777777" w:rsidR="0023330C" w:rsidRPr="00687DE8" w:rsidRDefault="0023330C" w:rsidP="00334F99">
      <w:pPr>
        <w:pStyle w:val="Normaallaadveeb"/>
        <w:spacing w:before="0" w:after="0" w:afterAutospacing="0"/>
        <w:jc w:val="both"/>
        <w:divId w:val="1316184749"/>
      </w:pPr>
      <w:r w:rsidRPr="00687DE8">
        <w:t xml:space="preserve">10) </w:t>
      </w:r>
      <w:r w:rsidR="00A66458" w:rsidRPr="00687DE8">
        <w:t>bevatsizumab</w:t>
      </w:r>
      <w:r w:rsidR="00571F56" w:rsidRPr="00687DE8">
        <w:t>i</w:t>
      </w:r>
      <w:r w:rsidR="00A66458" w:rsidRPr="00687DE8">
        <w:t xml:space="preserve"> kombinatsioon paklitakseeliga </w:t>
      </w:r>
      <w:r w:rsidR="00571F56" w:rsidRPr="00687DE8">
        <w:t xml:space="preserve">patsientidele, </w:t>
      </w:r>
      <w:r w:rsidRPr="00687DE8">
        <w:t xml:space="preserve">kellel on </w:t>
      </w:r>
      <w:r w:rsidRPr="00687DE8">
        <w:rPr>
          <w:color w:val="000000" w:themeColor="text1"/>
        </w:rPr>
        <w:t>plaatinapreparaadi suhtes resistentne epiteliaalse munasarja-, munajuha- või primaarse kõhukelmevähi retsidiiv ja kes ei ole eelnevalt saanud üle kahe keemiaravi skeemi ning kes ei ole saanud eelnevat ravi bevatsizumabi või teiste VEGF-inhibiitorite või VEGF-retseptorile suunatud ravimitega</w:t>
      </w:r>
      <w:r w:rsidRPr="00687DE8">
        <w:t>.</w:t>
      </w:r>
    </w:p>
    <w:p w14:paraId="56491111" w14:textId="77777777" w:rsidR="00976487" w:rsidRPr="00687DE8" w:rsidRDefault="00976487" w:rsidP="00334F99">
      <w:pPr>
        <w:pStyle w:val="Normaallaadveeb"/>
        <w:spacing w:before="0" w:after="0" w:afterAutospacing="0"/>
        <w:jc w:val="both"/>
        <w:divId w:val="1316184749"/>
      </w:pPr>
    </w:p>
    <w:p w14:paraId="4C20A107" w14:textId="2DD8FEC9" w:rsidR="00976487" w:rsidRPr="00687DE8" w:rsidRDefault="00976487" w:rsidP="00334F99">
      <w:pPr>
        <w:pStyle w:val="Normaallaadveeb"/>
        <w:spacing w:before="0" w:after="0" w:afterAutospacing="0"/>
        <w:jc w:val="both"/>
        <w:divId w:val="1316184749"/>
      </w:pPr>
      <w:r w:rsidRPr="00687DE8">
        <w:t>(1</w:t>
      </w:r>
      <w:r w:rsidR="00831DB7" w:rsidRPr="00687DE8">
        <w:t>3</w:t>
      </w:r>
      <w:r w:rsidRPr="00687DE8">
        <w:t>) Emakakaelakasvajate kemoteraapiakuuri (kood 326R) teenus sisaldab järgmisi raviskeeme:</w:t>
      </w:r>
    </w:p>
    <w:p w14:paraId="1ACE59F2" w14:textId="77777777" w:rsidR="00976487" w:rsidRPr="00687DE8" w:rsidRDefault="00976487" w:rsidP="00334F99">
      <w:pPr>
        <w:pStyle w:val="Normaallaadveeb"/>
        <w:spacing w:before="0" w:after="0" w:afterAutospacing="0"/>
        <w:jc w:val="both"/>
        <w:divId w:val="1316184749"/>
      </w:pPr>
      <w:r w:rsidRPr="00687DE8">
        <w:t>1)</w:t>
      </w:r>
      <w:r w:rsidRPr="00687DE8">
        <w:rPr>
          <w:rStyle w:val="tyhik"/>
        </w:rPr>
        <w:t xml:space="preserve"> </w:t>
      </w:r>
      <w:r w:rsidRPr="00687DE8">
        <w:t>tsisplatiini monoteraapia: levinud emakakaelakartsinoomi ravi kombinatsioonis kiiritusraviga;</w:t>
      </w:r>
    </w:p>
    <w:p w14:paraId="795D4891" w14:textId="77777777" w:rsidR="00976487" w:rsidRPr="00687DE8" w:rsidRDefault="00976487" w:rsidP="00334F99">
      <w:pPr>
        <w:pStyle w:val="Normaallaadveeb"/>
        <w:spacing w:before="0" w:after="0" w:afterAutospacing="0"/>
        <w:jc w:val="both"/>
        <w:divId w:val="1316184749"/>
      </w:pPr>
      <w:r w:rsidRPr="00687DE8">
        <w:t>2)</w:t>
      </w:r>
      <w:r w:rsidRPr="00687DE8">
        <w:rPr>
          <w:rStyle w:val="tyhik"/>
        </w:rPr>
        <w:t xml:space="preserve"> </w:t>
      </w:r>
      <w:r w:rsidRPr="00687DE8">
        <w:t>paklitakseeli kombinatsioon plaatinapreparaatidega: levinud emakakaelakartsinoomi ravi;</w:t>
      </w:r>
    </w:p>
    <w:p w14:paraId="0AB5D099" w14:textId="77777777" w:rsidR="00976487" w:rsidRPr="00687DE8" w:rsidRDefault="00976487" w:rsidP="00334F99">
      <w:pPr>
        <w:pStyle w:val="Normaallaadveeb"/>
        <w:spacing w:before="0" w:after="0" w:afterAutospacing="0"/>
        <w:jc w:val="both"/>
        <w:divId w:val="1316184749"/>
      </w:pPr>
      <w:r w:rsidRPr="00687DE8">
        <w:t>3)</w:t>
      </w:r>
      <w:r w:rsidRPr="00687DE8">
        <w:rPr>
          <w:rStyle w:val="tyhik"/>
        </w:rPr>
        <w:t xml:space="preserve"> </w:t>
      </w:r>
      <w:r w:rsidRPr="00687DE8">
        <w:t>tsisplatiini kombinatsioon ifosfamiidiga: levinud emakakaelakartsinoomi ravi</w:t>
      </w:r>
      <w:r w:rsidR="00134278" w:rsidRPr="00687DE8">
        <w:t>;</w:t>
      </w:r>
    </w:p>
    <w:p w14:paraId="7C10430A" w14:textId="7C96DDB0" w:rsidR="001621D0" w:rsidRPr="00687DE8" w:rsidRDefault="001621D0" w:rsidP="00334F99">
      <w:pPr>
        <w:pStyle w:val="Normaallaadveeb"/>
        <w:spacing w:before="0" w:after="0" w:afterAutospacing="0"/>
        <w:jc w:val="both"/>
        <w:divId w:val="1316184749"/>
      </w:pPr>
      <w:r w:rsidRPr="00687DE8">
        <w:t xml:space="preserve">4) </w:t>
      </w:r>
      <w:r w:rsidR="00A5627C" w:rsidRPr="00687DE8">
        <w:t>b</w:t>
      </w:r>
      <w:r w:rsidR="00CD36CD" w:rsidRPr="00687DE8">
        <w:t>evatsizumab kombinatsioonis paklitakseeli ja tsisplatiiniga või bevatsizumab kombinatsioonis paklitakseeli ja topotekaaniga patsientidel</w:t>
      </w:r>
      <w:r w:rsidR="00F97C73" w:rsidRPr="00687DE8">
        <w:t>e</w:t>
      </w:r>
      <w:r w:rsidR="00CD36CD" w:rsidRPr="00687DE8">
        <w:t>, kellele ei saa manustada plaatinapreparaati sisaldavat ravi</w:t>
      </w:r>
      <w:r w:rsidR="00E309C9" w:rsidRPr="00687DE8">
        <w:t>mit</w:t>
      </w:r>
      <w:r w:rsidR="00CD36CD" w:rsidRPr="00687DE8">
        <w:t xml:space="preserve"> püsiva, retsidiveerunud või metastaatilise emakakaelakartsinoomi raviks.</w:t>
      </w:r>
    </w:p>
    <w:p w14:paraId="131ED6F2" w14:textId="6283B51F" w:rsidR="00727560" w:rsidRPr="00687DE8" w:rsidRDefault="00727560" w:rsidP="00334F99">
      <w:pPr>
        <w:pStyle w:val="Normaallaadveeb"/>
        <w:spacing w:before="0" w:after="0" w:afterAutospacing="0"/>
        <w:jc w:val="both"/>
        <w:divId w:val="1316184749"/>
      </w:pPr>
    </w:p>
    <w:p w14:paraId="79F76A8F" w14:textId="77777777" w:rsidR="00976487" w:rsidRPr="00687DE8" w:rsidRDefault="00976487" w:rsidP="00334F99">
      <w:pPr>
        <w:pStyle w:val="Normaallaadveeb"/>
        <w:spacing w:before="0" w:after="0" w:afterAutospacing="0"/>
        <w:jc w:val="both"/>
        <w:divId w:val="1316184749"/>
      </w:pPr>
      <w:r w:rsidRPr="00687DE8">
        <w:t>(1</w:t>
      </w:r>
      <w:r w:rsidR="00831DB7" w:rsidRPr="00687DE8">
        <w:t>4</w:t>
      </w:r>
      <w:r w:rsidRPr="00687DE8">
        <w:t>) Endomeetriumikasvajate kemoteraapiakuuri (kood 327R) teenus sisaldab järgmisi raviskeeme:</w:t>
      </w:r>
    </w:p>
    <w:p w14:paraId="23BFD94D" w14:textId="77777777" w:rsidR="00976487" w:rsidRPr="00687DE8" w:rsidRDefault="00976487" w:rsidP="00334F99">
      <w:pPr>
        <w:pStyle w:val="Normaallaadveeb"/>
        <w:spacing w:before="0" w:after="0" w:afterAutospacing="0"/>
        <w:jc w:val="both"/>
        <w:divId w:val="1316184749"/>
      </w:pPr>
      <w:r w:rsidRPr="00687DE8">
        <w:t>1)</w:t>
      </w:r>
      <w:r w:rsidRPr="00687DE8">
        <w:rPr>
          <w:rStyle w:val="tyhik"/>
        </w:rPr>
        <w:t xml:space="preserve"> </w:t>
      </w:r>
      <w:r w:rsidRPr="00687DE8">
        <w:t>tsisplatiini kombinatsioon doksorubitsiiniga: metastaatilise endomeetriumikartsinoomi ravi;</w:t>
      </w:r>
    </w:p>
    <w:p w14:paraId="12002170" w14:textId="760EF3CB" w:rsidR="00976487" w:rsidRPr="00687DE8" w:rsidRDefault="00976487" w:rsidP="00334F99">
      <w:pPr>
        <w:pStyle w:val="Normaallaadveeb"/>
        <w:spacing w:before="0" w:after="0" w:afterAutospacing="0"/>
        <w:jc w:val="both"/>
        <w:divId w:val="1316184749"/>
      </w:pPr>
      <w:r w:rsidRPr="00687DE8">
        <w:t>2)</w:t>
      </w:r>
      <w:r w:rsidRPr="00687DE8">
        <w:rPr>
          <w:rStyle w:val="tyhik"/>
        </w:rPr>
        <w:t xml:space="preserve"> </w:t>
      </w:r>
      <w:r w:rsidRPr="00687DE8">
        <w:t>paklitakseeli kombinatsioon plaatinapreparaatidega: metastaatilise endomeetriumikartsinoomi ravi;</w:t>
      </w:r>
    </w:p>
    <w:p w14:paraId="2A0F7D96" w14:textId="77777777" w:rsidR="00976487" w:rsidRPr="00687DE8" w:rsidRDefault="00976487" w:rsidP="00334F99">
      <w:pPr>
        <w:pStyle w:val="Normaallaadveeb"/>
        <w:spacing w:before="0" w:after="0" w:afterAutospacing="0"/>
        <w:jc w:val="both"/>
        <w:divId w:val="1316184749"/>
      </w:pPr>
      <w:r w:rsidRPr="00687DE8">
        <w:t>3)</w:t>
      </w:r>
      <w:r w:rsidRPr="00687DE8">
        <w:rPr>
          <w:rStyle w:val="tyhik"/>
        </w:rPr>
        <w:t xml:space="preserve"> </w:t>
      </w:r>
      <w:r w:rsidRPr="00687DE8">
        <w:t>tsisplatiini kombinatsioon ifosfamiidiga: levinud endomeetriumisarkoomi ravi.</w:t>
      </w:r>
    </w:p>
    <w:p w14:paraId="2F51AA4D" w14:textId="77777777" w:rsidR="00976487" w:rsidRPr="00687DE8" w:rsidRDefault="00976487" w:rsidP="00334F99">
      <w:pPr>
        <w:pStyle w:val="Normaallaadveeb"/>
        <w:spacing w:before="0" w:after="0" w:afterAutospacing="0"/>
        <w:contextualSpacing/>
        <w:jc w:val="both"/>
        <w:divId w:val="1316184749"/>
      </w:pPr>
    </w:p>
    <w:p w14:paraId="6AFF1866" w14:textId="77777777" w:rsidR="00976487" w:rsidRPr="00687DE8" w:rsidRDefault="00976487" w:rsidP="00334F99">
      <w:pPr>
        <w:pStyle w:val="Normaallaadveeb"/>
        <w:spacing w:before="0" w:after="0" w:afterAutospacing="0"/>
        <w:contextualSpacing/>
        <w:jc w:val="both"/>
        <w:divId w:val="1316184749"/>
      </w:pPr>
      <w:r w:rsidRPr="00687DE8">
        <w:t>(1</w:t>
      </w:r>
      <w:r w:rsidR="00831DB7" w:rsidRPr="00687DE8">
        <w:t>5</w:t>
      </w:r>
      <w:r w:rsidRPr="00687DE8">
        <w:t>) Kroonilise lümfoidse leukeemia kemoteraapiakuuri (kood 321R) teenus sisaldab järgmisi raviskeeme:</w:t>
      </w:r>
    </w:p>
    <w:p w14:paraId="5757E562" w14:textId="77777777" w:rsidR="000916EA" w:rsidRPr="00687DE8" w:rsidRDefault="000916EA" w:rsidP="00334F99">
      <w:pPr>
        <w:pStyle w:val="Normaallaadveeb"/>
        <w:spacing w:before="0" w:after="0" w:afterAutospacing="0"/>
        <w:contextualSpacing/>
        <w:jc w:val="both"/>
        <w:divId w:val="1316184749"/>
      </w:pPr>
      <w:r w:rsidRPr="00687DE8">
        <w:t>1)</w:t>
      </w:r>
      <w:r w:rsidRPr="00687DE8">
        <w:rPr>
          <w:rStyle w:val="tyhik"/>
        </w:rPr>
        <w:t xml:space="preserve"> </w:t>
      </w:r>
      <w:r w:rsidRPr="00687DE8">
        <w:t>rituksimabi kombinatsioonravi fludarabiini ja tsüklofosfamiidiga 1. rea ravina heas üldseisundis füüsiliselt aktiivsel patsiendil ning 2. rea keemiaravina haiguse progresseerumise korral fludarabiini mittesisaldanud 1. rea ravi järel või kui haigus on resistentne 1. rea ravile;</w:t>
      </w:r>
    </w:p>
    <w:p w14:paraId="6207C2D5" w14:textId="77777777" w:rsidR="000916EA" w:rsidRPr="00687DE8" w:rsidRDefault="000916EA" w:rsidP="00334F99">
      <w:pPr>
        <w:pStyle w:val="Normaallaadveeb"/>
        <w:spacing w:before="0" w:after="0" w:afterAutospacing="0"/>
        <w:contextualSpacing/>
        <w:jc w:val="both"/>
        <w:divId w:val="1316184749"/>
      </w:pPr>
      <w:r w:rsidRPr="00687DE8">
        <w:t>2) rituksimabi kombinatsiooni bendamustiiniga 1. rea ravina heas üldseisundis (ECOG 0</w:t>
      </w:r>
      <w:r w:rsidR="000C4043" w:rsidRPr="00687DE8">
        <w:t>–</w:t>
      </w:r>
      <w:r w:rsidRPr="00687DE8">
        <w:t>1) patsiendile, kes on vanem kui 65 eluaastat või kellel on suurenenud risk infektsioonide tekkeks;</w:t>
      </w:r>
    </w:p>
    <w:p w14:paraId="5ECA443D" w14:textId="77777777" w:rsidR="000916EA" w:rsidRPr="00687DE8" w:rsidRDefault="000916EA" w:rsidP="00334F99">
      <w:pPr>
        <w:pStyle w:val="Normaallaadveeb"/>
        <w:spacing w:before="0" w:after="0" w:afterAutospacing="0"/>
        <w:contextualSpacing/>
        <w:jc w:val="both"/>
        <w:divId w:val="1316184749"/>
      </w:pPr>
      <w:r w:rsidRPr="00687DE8">
        <w:t>3) rituksimabi kombinatsiooni kloorambutsiiliga 1. rea ravina patsientidele, kellele ravi fludarabiinil baseeruvate skeemidega on vastunäidustatud;</w:t>
      </w:r>
    </w:p>
    <w:p w14:paraId="10A8B05B" w14:textId="77777777" w:rsidR="00976487" w:rsidRPr="00687DE8" w:rsidRDefault="00976487" w:rsidP="00334F99">
      <w:pPr>
        <w:pStyle w:val="Normaallaadveeb"/>
        <w:spacing w:before="0" w:after="0" w:afterAutospacing="0"/>
        <w:contextualSpacing/>
        <w:jc w:val="both"/>
        <w:divId w:val="1316184749"/>
      </w:pPr>
      <w:r w:rsidRPr="00687DE8">
        <w:t>4) rituksimabi ja bendamustiini kombinatsiooni või rituksimabi monoteraapiat 2. ja enama rea ravina;</w:t>
      </w:r>
    </w:p>
    <w:p w14:paraId="32823E85" w14:textId="77777777" w:rsidR="00976487" w:rsidRPr="00687DE8" w:rsidRDefault="00976487" w:rsidP="00334F99">
      <w:pPr>
        <w:pStyle w:val="Normaallaadveeb"/>
        <w:spacing w:before="0" w:after="0" w:afterAutospacing="0"/>
        <w:contextualSpacing/>
        <w:jc w:val="both"/>
        <w:divId w:val="1316184749"/>
      </w:pPr>
      <w:r w:rsidRPr="00687DE8">
        <w:t>5) bendamustiini monoteraapiana kolmandas raviliinis eeldusel, et kahes esimeses raviliinis on kasutatud kahte erinevat monoklonaalset antikeha;</w:t>
      </w:r>
    </w:p>
    <w:p w14:paraId="49A53547" w14:textId="77777777" w:rsidR="00976487" w:rsidRPr="00687DE8" w:rsidRDefault="00976487" w:rsidP="00334F99">
      <w:pPr>
        <w:pStyle w:val="Normaallaadveeb"/>
        <w:spacing w:before="0" w:after="0" w:afterAutospacing="0"/>
        <w:contextualSpacing/>
        <w:jc w:val="both"/>
        <w:divId w:val="1316184749"/>
      </w:pPr>
      <w:r w:rsidRPr="00687DE8">
        <w:t>6) R-CHOP raviskeemi Richteri transformatsiooni korral.</w:t>
      </w:r>
    </w:p>
    <w:p w14:paraId="61F9D123" w14:textId="77777777" w:rsidR="00976487" w:rsidRPr="00687DE8" w:rsidRDefault="00976487" w:rsidP="00334F99">
      <w:pPr>
        <w:pStyle w:val="Normaallaadveeb"/>
        <w:spacing w:before="0" w:after="0" w:afterAutospacing="0"/>
        <w:jc w:val="both"/>
        <w:divId w:val="1316184749"/>
      </w:pPr>
    </w:p>
    <w:p w14:paraId="47D91E94" w14:textId="77777777" w:rsidR="00976487" w:rsidRPr="00687DE8" w:rsidRDefault="00976487" w:rsidP="00334F99">
      <w:pPr>
        <w:pStyle w:val="Normaallaadveeb"/>
        <w:spacing w:before="0" w:after="0" w:afterAutospacing="0"/>
        <w:jc w:val="both"/>
        <w:divId w:val="1316184749"/>
      </w:pPr>
      <w:r w:rsidRPr="00687DE8">
        <w:t>(1</w:t>
      </w:r>
      <w:r w:rsidR="00831DB7" w:rsidRPr="00687DE8">
        <w:t>6</w:t>
      </w:r>
      <w:r w:rsidRPr="00687DE8">
        <w:t>) Müeloomi ja plasmotsütoomi tsütostaatilise ravikuuri (kood 317R) teenus sisaldab järgmisi raviskeeme:</w:t>
      </w:r>
    </w:p>
    <w:p w14:paraId="6F76FF0F" w14:textId="77777777" w:rsidR="00976487" w:rsidRPr="00687DE8" w:rsidRDefault="00976487" w:rsidP="0018108D">
      <w:pPr>
        <w:pStyle w:val="Normaallaadveeb"/>
        <w:spacing w:before="0" w:after="0" w:afterAutospacing="0"/>
        <w:jc w:val="both"/>
        <w:divId w:val="1316184749"/>
      </w:pPr>
      <w:r w:rsidRPr="00687DE8">
        <w:t>1)</w:t>
      </w:r>
      <w:r w:rsidRPr="00687DE8">
        <w:rPr>
          <w:rStyle w:val="tyhik"/>
        </w:rPr>
        <w:t xml:space="preserve"> </w:t>
      </w:r>
      <w:r w:rsidRPr="00687DE8">
        <w:t>bortesomiibi ja glükokortikoidhormooni sisaldavad raviskeemid;</w:t>
      </w:r>
    </w:p>
    <w:p w14:paraId="4323E6D9" w14:textId="77777777" w:rsidR="00976487" w:rsidRPr="00687DE8" w:rsidRDefault="00976487" w:rsidP="0018108D">
      <w:pPr>
        <w:pStyle w:val="Normaallaadveeb"/>
        <w:spacing w:before="0" w:after="0" w:afterAutospacing="0"/>
        <w:jc w:val="both"/>
        <w:divId w:val="1316184749"/>
      </w:pPr>
      <w:r w:rsidRPr="00687DE8">
        <w:t>2)</w:t>
      </w:r>
      <w:r w:rsidRPr="00687DE8">
        <w:rPr>
          <w:rStyle w:val="tyhik"/>
        </w:rPr>
        <w:t xml:space="preserve"> </w:t>
      </w:r>
      <w:r w:rsidRPr="00687DE8">
        <w:t>melfalaan või tsüklofosfamiid koos deksametasooniga retsidiivi raviks sõltumata vereloome tüvirakkude siirdamise näidustusest.</w:t>
      </w:r>
    </w:p>
    <w:p w14:paraId="535BEB2C" w14:textId="77777777" w:rsidR="00976487" w:rsidRPr="00687DE8" w:rsidRDefault="00976487" w:rsidP="006559D4">
      <w:pPr>
        <w:pStyle w:val="Normaallaadveeb"/>
        <w:spacing w:before="0" w:after="0" w:afterAutospacing="0"/>
        <w:jc w:val="both"/>
        <w:divId w:val="1316184749"/>
      </w:pPr>
    </w:p>
    <w:p w14:paraId="0859D6BF" w14:textId="77777777" w:rsidR="00976487" w:rsidRPr="00687DE8" w:rsidRDefault="00976487" w:rsidP="006559D4">
      <w:pPr>
        <w:pStyle w:val="Normaallaadveeb"/>
        <w:spacing w:before="0" w:after="0" w:afterAutospacing="0"/>
        <w:jc w:val="both"/>
        <w:divId w:val="1316184749"/>
      </w:pPr>
      <w:r w:rsidRPr="00687DE8">
        <w:t>(1</w:t>
      </w:r>
      <w:r w:rsidR="00831DB7" w:rsidRPr="00687DE8">
        <w:t>7</w:t>
      </w:r>
      <w:r w:rsidRPr="00687DE8">
        <w:t>) Kopsukasvajate kemoteraapiakuuri (kood 265R) teenus sisaldab järgmisi raviskeeme:</w:t>
      </w:r>
    </w:p>
    <w:p w14:paraId="7990161B" w14:textId="77777777" w:rsidR="000916EA" w:rsidRPr="00687DE8" w:rsidRDefault="000916EA" w:rsidP="006A4866">
      <w:pPr>
        <w:pStyle w:val="Normaallaadveeb"/>
        <w:spacing w:before="0" w:after="0" w:afterAutospacing="0"/>
        <w:jc w:val="both"/>
        <w:divId w:val="1316184749"/>
      </w:pPr>
      <w:r w:rsidRPr="00687DE8">
        <w:t>1) plaatinapõhine (tsisplatiin või karboplatiin) kombinatsioonravi (gemtsitabiin, vinorelbiin, etoposiid, paklitakseel või dotsetakseel) kopsuvähi korral perioperatiivselt või koos samaaegse või järjestikuse kiiritusraviga või kaugelearenenud EGFR-mutatsioonita mitteväikerakk-kopsuvähi 1. rea ravis;</w:t>
      </w:r>
    </w:p>
    <w:p w14:paraId="27ACF6E8" w14:textId="77777777" w:rsidR="000916EA" w:rsidRPr="00687DE8" w:rsidRDefault="000916EA" w:rsidP="006A4866">
      <w:pPr>
        <w:pStyle w:val="Normaallaadveeb"/>
        <w:spacing w:before="0" w:after="0" w:afterAutospacing="0"/>
        <w:jc w:val="both"/>
        <w:divId w:val="1316184749"/>
      </w:pPr>
      <w:r w:rsidRPr="00687DE8">
        <w:t>2) plaatinapõhine (tsisplatiin või karboplatiin) kombinatsioonravi pemetrekseediga kaugelearenenud EGFR-mutatsioonita mittelamerakk-kopsuvähi korral 1. rea ravis;</w:t>
      </w:r>
    </w:p>
    <w:p w14:paraId="3188E7BE" w14:textId="77777777" w:rsidR="000916EA" w:rsidRPr="00687DE8" w:rsidRDefault="000916EA">
      <w:pPr>
        <w:pStyle w:val="Normaallaadveeb"/>
        <w:spacing w:before="0" w:after="0" w:afterAutospacing="0"/>
        <w:jc w:val="both"/>
        <w:divId w:val="1316184749"/>
      </w:pPr>
      <w:r w:rsidRPr="00687DE8">
        <w:t>3) pemetrekseedi monoravi kaugelearenenud EGFR-mutatsioonita mittelamerakk-kopsuvähi korral säilitusraviks patsiendil, kelle haigus ei ole progresseerunud vahetult pärast plaatinapõhist kombinatsioonravi, ning EGFR-mutatsioonita mittelamerakk-kopsuvähi 2. rea raviks, kui pemetrekseedi pole 1. rea</w:t>
      </w:r>
      <w:r w:rsidR="00F67B0B" w:rsidRPr="00687DE8">
        <w:t>s</w:t>
      </w:r>
      <w:r w:rsidRPr="00687DE8">
        <w:t xml:space="preserve"> kasutatud;</w:t>
      </w:r>
    </w:p>
    <w:p w14:paraId="6C2F261C" w14:textId="77777777" w:rsidR="000916EA" w:rsidRPr="00687DE8" w:rsidRDefault="000916EA">
      <w:pPr>
        <w:pStyle w:val="Normaallaadveeb"/>
        <w:spacing w:before="0" w:after="0" w:afterAutospacing="0"/>
        <w:jc w:val="both"/>
        <w:divId w:val="1316184749"/>
      </w:pPr>
      <w:r w:rsidRPr="00687DE8">
        <w:t>4) TKI (erlotiniib, gefitiniib, afatiniib) kaugelearenenud EGFR-mutatsiooniga mitteväikerakk-kopsuvähi ravis;</w:t>
      </w:r>
    </w:p>
    <w:p w14:paraId="67D5E1F4" w14:textId="77777777" w:rsidR="000916EA" w:rsidRPr="00687DE8" w:rsidRDefault="00E70D13">
      <w:pPr>
        <w:pStyle w:val="Normaallaadveeb"/>
        <w:spacing w:before="0" w:after="0" w:afterAutospacing="0"/>
        <w:jc w:val="both"/>
        <w:divId w:val="1316184749"/>
      </w:pPr>
      <w:r w:rsidRPr="00687DE8">
        <w:t>5</w:t>
      </w:r>
      <w:r w:rsidR="000916EA" w:rsidRPr="00687DE8">
        <w:t>) durvalumabi monoravi lokaalselt levinud mitteresetseeritava mitteväikerakk-kopsuvähi raviks täiskasvanud patsiendil, kelle tuumoril ekspresseerub PD-L1 ≥ 1% tuumorirakkudest ja kelle haigus ei ole pärast kombineeritud plaatinapõhist keemia- ja kiiritusravi progresseerunud;</w:t>
      </w:r>
    </w:p>
    <w:p w14:paraId="134A2922" w14:textId="77777777" w:rsidR="000916EA" w:rsidRPr="00687DE8" w:rsidRDefault="00E70D13">
      <w:pPr>
        <w:pStyle w:val="Normaallaadveeb"/>
        <w:spacing w:before="0" w:after="0" w:afterAutospacing="0"/>
        <w:jc w:val="both"/>
        <w:divId w:val="1316184749"/>
        <w:rPr>
          <w:lang w:val="sv-SE"/>
        </w:rPr>
      </w:pPr>
      <w:r w:rsidRPr="00687DE8">
        <w:rPr>
          <w:lang w:val="sv-SE"/>
        </w:rPr>
        <w:t>6</w:t>
      </w:r>
      <w:r w:rsidR="000916EA" w:rsidRPr="00687DE8">
        <w:rPr>
          <w:lang w:val="sv-SE"/>
        </w:rPr>
        <w:t>) dotsetakseeli monoravi mitteväikerakk-kopsuvähi korral 2. rea ravis;</w:t>
      </w:r>
    </w:p>
    <w:p w14:paraId="1F18A883" w14:textId="77777777" w:rsidR="000916EA" w:rsidRPr="00687DE8" w:rsidRDefault="00E70D13">
      <w:pPr>
        <w:pStyle w:val="Normaallaadveeb"/>
        <w:spacing w:before="0" w:after="0" w:afterAutospacing="0"/>
        <w:jc w:val="both"/>
        <w:divId w:val="1316184749"/>
        <w:rPr>
          <w:lang w:val="sv-SE"/>
        </w:rPr>
      </w:pPr>
      <w:r w:rsidRPr="00687DE8">
        <w:rPr>
          <w:lang w:val="sv-SE"/>
        </w:rPr>
        <w:t>7</w:t>
      </w:r>
      <w:r w:rsidR="000916EA" w:rsidRPr="00687DE8">
        <w:rPr>
          <w:lang w:val="sv-SE"/>
        </w:rPr>
        <w:t>) plaatinapõhine (tsisplatiin või karboplatiin) kombinatsioonravi etoposiidiga kaugelearenenud väikerakk-kopsuvähi 1. rea ravis;</w:t>
      </w:r>
    </w:p>
    <w:p w14:paraId="1005750C" w14:textId="77777777" w:rsidR="000916EA" w:rsidRPr="00687DE8" w:rsidRDefault="00E70D13">
      <w:pPr>
        <w:pStyle w:val="Normaallaadveeb"/>
        <w:spacing w:before="0" w:after="0" w:afterAutospacing="0"/>
        <w:jc w:val="both"/>
        <w:divId w:val="1316184749"/>
        <w:rPr>
          <w:lang w:val="sv-SE"/>
        </w:rPr>
      </w:pPr>
      <w:r w:rsidRPr="00687DE8">
        <w:rPr>
          <w:lang w:val="sv-SE"/>
        </w:rPr>
        <w:t>8</w:t>
      </w:r>
      <w:r w:rsidR="000916EA" w:rsidRPr="00687DE8">
        <w:rPr>
          <w:lang w:val="sv-SE"/>
        </w:rPr>
        <w:t>) tsüklofosfamiidi, doksorubitsiini ja vinkristiini kombinatsioonravi või topotekaani monoravi kaugelearenenud väikerakk-kopsuvähi 2. rea ravis</w:t>
      </w:r>
      <w:r w:rsidR="00EB5899" w:rsidRPr="00687DE8">
        <w:rPr>
          <w:lang w:val="sv-SE"/>
        </w:rPr>
        <w:t>.</w:t>
      </w:r>
    </w:p>
    <w:p w14:paraId="3C67FD77" w14:textId="77777777" w:rsidR="00976487" w:rsidRPr="00687DE8" w:rsidRDefault="00976487">
      <w:pPr>
        <w:pStyle w:val="Normaallaadveeb"/>
        <w:spacing w:before="0" w:after="0" w:afterAutospacing="0"/>
        <w:jc w:val="both"/>
        <w:divId w:val="1316184749"/>
      </w:pPr>
    </w:p>
    <w:p w14:paraId="68D456A7" w14:textId="46723A0B" w:rsidR="00976487" w:rsidRPr="00687DE8" w:rsidRDefault="00976487">
      <w:pPr>
        <w:pStyle w:val="Normaallaadveeb"/>
        <w:spacing w:before="0" w:after="0" w:afterAutospacing="0"/>
        <w:jc w:val="both"/>
        <w:divId w:val="1316184749"/>
      </w:pPr>
      <w:r w:rsidRPr="00687DE8">
        <w:t>(1</w:t>
      </w:r>
      <w:r w:rsidR="00831DB7" w:rsidRPr="00687DE8">
        <w:t>8</w:t>
      </w:r>
      <w:r w:rsidRPr="00687DE8">
        <w:t xml:space="preserve">) </w:t>
      </w:r>
      <w:r w:rsidR="00C0798D" w:rsidRPr="00687DE8">
        <w:t>Tervisekassa võtab kindlustatud isikult koodiga 425R tähistatud teenuse eest tasu maksmise kohustuse üle</w:t>
      </w:r>
      <w:r w:rsidR="00E33E80" w:rsidRPr="00687DE8">
        <w:t xml:space="preserve"> </w:t>
      </w:r>
      <w:r w:rsidRPr="00687DE8">
        <w:t>kastratsioonrefraktaarse eesnäärme vähi korral heas üldseisundis patsiendil</w:t>
      </w:r>
      <w:r w:rsidR="00757398" w:rsidRPr="00687DE8">
        <w:t>t</w:t>
      </w:r>
      <w:r w:rsidRPr="00687DE8">
        <w:t xml:space="preserve"> (ECOG 0</w:t>
      </w:r>
      <w:r w:rsidR="000C4043" w:rsidRPr="00687DE8">
        <w:t>–</w:t>
      </w:r>
      <w:r w:rsidRPr="00687DE8">
        <w:t>1), kui dotsetakseelraviga on 1. raviliinis saavutatud ravivastus, kuid haigus on progresseerunud kolme kuu jooksul alates dotsetakseelravi lõppemisest. Nimetatud kuuri võib kasutada ainult vahetult pärast dotsetakseelravi ja sellele ei või eelneda ravi abiraterooniga ega 223-raadiumiga.</w:t>
      </w:r>
    </w:p>
    <w:p w14:paraId="350D3BE1" w14:textId="77777777" w:rsidR="00976487" w:rsidRPr="00687DE8" w:rsidRDefault="00976487">
      <w:pPr>
        <w:pStyle w:val="Normaallaadveeb"/>
        <w:spacing w:before="0" w:after="0" w:afterAutospacing="0"/>
        <w:jc w:val="both"/>
        <w:divId w:val="1316184749"/>
      </w:pPr>
    </w:p>
    <w:p w14:paraId="57BF0034" w14:textId="77777777" w:rsidR="00976487" w:rsidRPr="00687DE8" w:rsidRDefault="00976487">
      <w:pPr>
        <w:pStyle w:val="Normaallaadveeb"/>
        <w:spacing w:before="0" w:after="0" w:afterAutospacing="0"/>
        <w:jc w:val="both"/>
        <w:divId w:val="1316184749"/>
      </w:pPr>
      <w:r w:rsidRPr="00687DE8">
        <w:t>(</w:t>
      </w:r>
      <w:r w:rsidR="00831DB7" w:rsidRPr="00687DE8">
        <w:t>19</w:t>
      </w:r>
      <w:r w:rsidRPr="00687DE8">
        <w:t>) Kusepõie- ja kuseteede kasvajate kemoteraapiakuuri (kood 351R) teenus sisaldab järgmisi raviskeeme:</w:t>
      </w:r>
    </w:p>
    <w:p w14:paraId="5577A015" w14:textId="77777777" w:rsidR="00976487" w:rsidRPr="00687DE8" w:rsidRDefault="00976487">
      <w:pPr>
        <w:pStyle w:val="Normaallaadveeb"/>
        <w:spacing w:before="0" w:after="0" w:afterAutospacing="0"/>
        <w:jc w:val="both"/>
        <w:divId w:val="1316184749"/>
      </w:pPr>
      <w:r w:rsidRPr="00687DE8">
        <w:t>1)</w:t>
      </w:r>
      <w:r w:rsidRPr="00687DE8">
        <w:rPr>
          <w:rStyle w:val="tyhik"/>
        </w:rPr>
        <w:t xml:space="preserve"> </w:t>
      </w:r>
      <w:r w:rsidRPr="00687DE8">
        <w:t>gemtsitabiini ja tsisplatiini kombinatsioonravi: kusepõievähi neoadjuvantne, adjuvantne või palliatiivne ravi, kui patsiendile ei ole näidustatud ravi M-VAC skeemi järgi;</w:t>
      </w:r>
    </w:p>
    <w:p w14:paraId="6945339F" w14:textId="77777777" w:rsidR="00976487" w:rsidRPr="00687DE8" w:rsidRDefault="00976487">
      <w:pPr>
        <w:pStyle w:val="Normaallaadveeb"/>
        <w:spacing w:before="0" w:after="0" w:afterAutospacing="0"/>
        <w:jc w:val="both"/>
        <w:divId w:val="1316184749"/>
      </w:pPr>
      <w:r w:rsidRPr="00687DE8">
        <w:t>2)</w:t>
      </w:r>
      <w:r w:rsidRPr="00687DE8">
        <w:rPr>
          <w:rStyle w:val="tyhik"/>
        </w:rPr>
        <w:t xml:space="preserve"> </w:t>
      </w:r>
      <w:r w:rsidRPr="00687DE8">
        <w:t>kombinatsioonravi M-VAC skeemi järgi: kusepõievähi neoadjuvantne, adjuvantne või palliatiivne ravi, kui patsiendi seisund võimaldab läbi viia toksilisemat keemiaravi.</w:t>
      </w:r>
    </w:p>
    <w:p w14:paraId="1EDA4D7B" w14:textId="77777777" w:rsidR="00976487" w:rsidRPr="00687DE8" w:rsidRDefault="00976487">
      <w:pPr>
        <w:pStyle w:val="Normaallaadveeb"/>
        <w:spacing w:before="0" w:after="0" w:afterAutospacing="0"/>
        <w:jc w:val="both"/>
        <w:divId w:val="1316184749"/>
      </w:pPr>
    </w:p>
    <w:p w14:paraId="5B077C66" w14:textId="3749F2DB" w:rsidR="00220865" w:rsidRPr="00687DE8" w:rsidRDefault="00606E64">
      <w:pPr>
        <w:pStyle w:val="Normaallaadveeb"/>
        <w:spacing w:before="0" w:after="0" w:afterAutospacing="0"/>
        <w:jc w:val="both"/>
        <w:divId w:val="1316184749"/>
      </w:pPr>
      <w:r>
        <w:t>(</w:t>
      </w:r>
      <w:r w:rsidR="00220865" w:rsidRPr="00687DE8">
        <w:t xml:space="preserve">20) </w:t>
      </w:r>
      <w:r w:rsidR="008A46BF" w:rsidRPr="00687DE8">
        <w:t xml:space="preserve">Koodiga 414R tähistatud ravimiteenust rakendatakse </w:t>
      </w:r>
      <w:r w:rsidR="0029646E" w:rsidRPr="00687DE8">
        <w:t xml:space="preserve">kaugelearenenud heledarakulise neeruvähi 1. rea </w:t>
      </w:r>
      <w:r w:rsidR="009B3703" w:rsidRPr="00687DE8">
        <w:t>mono</w:t>
      </w:r>
      <w:r w:rsidR="0029646E" w:rsidRPr="00687DE8">
        <w:t>ravi</w:t>
      </w:r>
      <w:r w:rsidR="009A3610" w:rsidRPr="00687DE8">
        <w:t>na</w:t>
      </w:r>
      <w:r w:rsidR="0029646E" w:rsidRPr="00687DE8">
        <w:t xml:space="preserve"> kõrge riskiga patsiendil</w:t>
      </w:r>
      <w:r w:rsidR="002C308B" w:rsidRPr="00687DE8">
        <w:t>.</w:t>
      </w:r>
    </w:p>
    <w:p w14:paraId="047A84EF" w14:textId="77777777" w:rsidR="00976487" w:rsidRPr="00687DE8" w:rsidRDefault="00976487">
      <w:pPr>
        <w:pStyle w:val="Normaallaadveeb"/>
        <w:spacing w:before="0" w:after="0" w:afterAutospacing="0"/>
        <w:jc w:val="both"/>
        <w:divId w:val="1316184749"/>
      </w:pPr>
    </w:p>
    <w:p w14:paraId="6B4A8483" w14:textId="77777777" w:rsidR="00976487" w:rsidRPr="00687DE8" w:rsidRDefault="00976487">
      <w:pPr>
        <w:pStyle w:val="Normaallaadveeb"/>
        <w:spacing w:before="0" w:after="0" w:afterAutospacing="0"/>
        <w:jc w:val="both"/>
        <w:divId w:val="1316184749"/>
      </w:pPr>
      <w:r w:rsidRPr="00687DE8">
        <w:t>(2</w:t>
      </w:r>
      <w:r w:rsidR="00831DB7" w:rsidRPr="00687DE8">
        <w:t>1</w:t>
      </w:r>
      <w:r w:rsidRPr="00687DE8">
        <w:t>) Munandikasvajate kemoteraapiakuuri (kood 353R) teenus sisaldab järgmisi raviskeeme:</w:t>
      </w:r>
    </w:p>
    <w:p w14:paraId="24CA7E91" w14:textId="77777777" w:rsidR="00E80B30" w:rsidRPr="00687DE8" w:rsidRDefault="00E80B30">
      <w:pPr>
        <w:pStyle w:val="Normaallaadveeb"/>
        <w:spacing w:before="0" w:after="0" w:afterAutospacing="0"/>
        <w:jc w:val="both"/>
        <w:divId w:val="1316184749"/>
      </w:pPr>
      <w:r w:rsidRPr="00687DE8">
        <w:t>1)</w:t>
      </w:r>
      <w:r w:rsidRPr="00687DE8">
        <w:rPr>
          <w:rStyle w:val="tyhik"/>
        </w:rPr>
        <w:t xml:space="preserve"> </w:t>
      </w:r>
      <w:r w:rsidRPr="00687DE8">
        <w:t>kombinatsioonravi PEB-skeemi järgi: munandikasvajate 1. rea ravi;</w:t>
      </w:r>
    </w:p>
    <w:p w14:paraId="07664696" w14:textId="77777777" w:rsidR="00E80B30" w:rsidRPr="00687DE8" w:rsidRDefault="00E80B30">
      <w:pPr>
        <w:pStyle w:val="Normaallaadveeb"/>
        <w:spacing w:before="0" w:after="0" w:afterAutospacing="0"/>
        <w:jc w:val="both"/>
        <w:divId w:val="1316184749"/>
      </w:pPr>
      <w:r w:rsidRPr="00687DE8">
        <w:t>2)</w:t>
      </w:r>
      <w:r w:rsidRPr="00687DE8">
        <w:rPr>
          <w:rStyle w:val="tyhik"/>
        </w:rPr>
        <w:t xml:space="preserve"> </w:t>
      </w:r>
      <w:r w:rsidRPr="00687DE8">
        <w:t>kombinatsioonravi VEiP-skeemi järgi: munandikasvajate 2. rea ravi või retsidiivi ravi;</w:t>
      </w:r>
    </w:p>
    <w:p w14:paraId="79AEAE06" w14:textId="77777777" w:rsidR="00E80B30" w:rsidRPr="00687DE8" w:rsidRDefault="00E80B30">
      <w:pPr>
        <w:pStyle w:val="Normaallaadveeb"/>
        <w:spacing w:before="0" w:after="0" w:afterAutospacing="0"/>
        <w:jc w:val="both"/>
        <w:divId w:val="1316184749"/>
      </w:pPr>
      <w:r w:rsidRPr="00687DE8">
        <w:t>3)</w:t>
      </w:r>
      <w:r w:rsidRPr="00687DE8">
        <w:rPr>
          <w:rStyle w:val="tyhik"/>
        </w:rPr>
        <w:t xml:space="preserve"> </w:t>
      </w:r>
      <w:r w:rsidRPr="00687DE8">
        <w:t>kombinatsioonravi TIP-skeemi järgi: munandivähi 2. rea ravi, kui patsiendi üldseisund võimaldab intensiivsemat ravi;</w:t>
      </w:r>
    </w:p>
    <w:p w14:paraId="3D570B99" w14:textId="77777777" w:rsidR="00976487" w:rsidRPr="00687DE8" w:rsidRDefault="00976487">
      <w:pPr>
        <w:pStyle w:val="Normaallaadveeb"/>
        <w:spacing w:before="0" w:after="0" w:afterAutospacing="0"/>
        <w:jc w:val="both"/>
        <w:divId w:val="1316184749"/>
      </w:pPr>
      <w:r w:rsidRPr="00687DE8">
        <w:t>4)</w:t>
      </w:r>
      <w:r w:rsidRPr="00687DE8">
        <w:rPr>
          <w:rStyle w:val="tyhik"/>
        </w:rPr>
        <w:t xml:space="preserve"> </w:t>
      </w:r>
      <w:r w:rsidRPr="00687DE8">
        <w:t>kombinatsioonravi GEMOX</w:t>
      </w:r>
      <w:r w:rsidR="00706B5A" w:rsidRPr="00687DE8">
        <w:t>-</w:t>
      </w:r>
      <w:r w:rsidRPr="00687DE8">
        <w:t>skeemi järgi: tsisplatiin refraktaarse munandikasvaja ravi;</w:t>
      </w:r>
    </w:p>
    <w:p w14:paraId="4F64CA51" w14:textId="77777777" w:rsidR="00976487" w:rsidRPr="00687DE8" w:rsidRDefault="00976487">
      <w:pPr>
        <w:pStyle w:val="Normaallaadveeb"/>
        <w:spacing w:before="0" w:after="0" w:afterAutospacing="0"/>
        <w:jc w:val="both"/>
        <w:divId w:val="1316184749"/>
      </w:pPr>
      <w:r w:rsidRPr="00687DE8">
        <w:t>5)</w:t>
      </w:r>
      <w:r w:rsidRPr="00687DE8">
        <w:rPr>
          <w:rStyle w:val="tyhik"/>
        </w:rPr>
        <w:t xml:space="preserve"> </w:t>
      </w:r>
      <w:r w:rsidRPr="00687DE8">
        <w:t>kombinatsioonravi AUC7</w:t>
      </w:r>
      <w:r w:rsidR="00706B5A" w:rsidRPr="00687DE8">
        <w:t>-</w:t>
      </w:r>
      <w:r w:rsidRPr="00687DE8">
        <w:t>skeemi järgi: munandivähi alavormi, seminoomi, adjuvantravi.</w:t>
      </w:r>
    </w:p>
    <w:p w14:paraId="68B2682E" w14:textId="77777777" w:rsidR="00976487" w:rsidRPr="00687DE8" w:rsidRDefault="00976487">
      <w:pPr>
        <w:pStyle w:val="Normaallaadveeb"/>
        <w:spacing w:before="0" w:after="0" w:afterAutospacing="0"/>
        <w:jc w:val="both"/>
        <w:divId w:val="1316184749"/>
      </w:pPr>
    </w:p>
    <w:p w14:paraId="1F5395FD" w14:textId="77777777" w:rsidR="00976487" w:rsidRPr="00687DE8" w:rsidRDefault="00976487">
      <w:pPr>
        <w:pStyle w:val="Normaallaadveeb"/>
        <w:spacing w:before="0" w:after="0" w:afterAutospacing="0"/>
        <w:jc w:val="both"/>
        <w:divId w:val="1316184749"/>
      </w:pPr>
      <w:r w:rsidRPr="00687DE8">
        <w:t>(2</w:t>
      </w:r>
      <w:r w:rsidR="00831DB7" w:rsidRPr="00687DE8">
        <w:t>2</w:t>
      </w:r>
      <w:r w:rsidRPr="00687DE8">
        <w:t>) Naha, luude ja pehmete kudede kasvajate kemoteraapiakuuri (kood 313R) teenus sisaldab järgmisi raviskeeme:</w:t>
      </w:r>
    </w:p>
    <w:p w14:paraId="64ADC640" w14:textId="77777777" w:rsidR="00976487" w:rsidRPr="00687DE8" w:rsidRDefault="00976487">
      <w:pPr>
        <w:pStyle w:val="Normaallaadveeb"/>
        <w:spacing w:before="0" w:after="0" w:afterAutospacing="0"/>
        <w:jc w:val="both"/>
        <w:divId w:val="1316184749"/>
      </w:pPr>
      <w:r w:rsidRPr="00687DE8">
        <w:t>1)</w:t>
      </w:r>
      <w:r w:rsidRPr="00687DE8">
        <w:rPr>
          <w:rStyle w:val="tyhik"/>
        </w:rPr>
        <w:t xml:space="preserve"> </w:t>
      </w:r>
      <w:r w:rsidRPr="00687DE8">
        <w:t>doksorubitsiini, tsisplatiini, kõrgdoosis metotreksaati ja ifosfamiidi sisaldavad skeemid erinevates kombinatsioonides osteosarkoomi ja Ewingi sarkoomi preoperatiivses ja postoperatiivses ravis ISG-SSG ja Euroboss I raviprotokollide järgi;</w:t>
      </w:r>
    </w:p>
    <w:p w14:paraId="799B800E" w14:textId="77777777" w:rsidR="00976487" w:rsidRPr="00687DE8" w:rsidRDefault="00976487">
      <w:pPr>
        <w:pStyle w:val="Normaallaadveeb"/>
        <w:spacing w:before="0" w:after="0" w:afterAutospacing="0"/>
        <w:jc w:val="both"/>
        <w:divId w:val="1316184749"/>
      </w:pPr>
      <w:r w:rsidRPr="00687DE8">
        <w:t>2)</w:t>
      </w:r>
      <w:r w:rsidRPr="00687DE8">
        <w:rPr>
          <w:rStyle w:val="tyhik"/>
        </w:rPr>
        <w:t xml:space="preserve"> </w:t>
      </w:r>
      <w:r w:rsidRPr="00687DE8">
        <w:t>dakarbasiini sisaldavad skeemid naha pahaloomulise melanoomi raviks;</w:t>
      </w:r>
    </w:p>
    <w:p w14:paraId="5D8C8E1F" w14:textId="77777777" w:rsidR="00976487" w:rsidRPr="00687DE8" w:rsidRDefault="00976487">
      <w:pPr>
        <w:pStyle w:val="Normaallaadveeb"/>
        <w:spacing w:before="0" w:after="0" w:afterAutospacing="0"/>
        <w:jc w:val="both"/>
        <w:divId w:val="1316184749"/>
      </w:pPr>
      <w:r w:rsidRPr="00687DE8">
        <w:t>3)</w:t>
      </w:r>
      <w:r w:rsidRPr="00687DE8">
        <w:rPr>
          <w:rStyle w:val="tyhik"/>
        </w:rPr>
        <w:t xml:space="preserve"> </w:t>
      </w:r>
      <w:r w:rsidRPr="00687DE8">
        <w:t>gemtsitabiini ja tsisplatiini sisaldav kombinatsioonravi mesotelioomi raviks;</w:t>
      </w:r>
    </w:p>
    <w:p w14:paraId="743530F9" w14:textId="77777777" w:rsidR="00976487" w:rsidRPr="00687DE8" w:rsidRDefault="00976487">
      <w:pPr>
        <w:pStyle w:val="Normaallaadveeb"/>
        <w:spacing w:before="0" w:after="0" w:afterAutospacing="0"/>
        <w:jc w:val="both"/>
        <w:divId w:val="1316184749"/>
      </w:pPr>
      <w:r w:rsidRPr="00687DE8">
        <w:t>4)</w:t>
      </w:r>
      <w:r w:rsidRPr="00687DE8">
        <w:rPr>
          <w:rStyle w:val="tyhik"/>
        </w:rPr>
        <w:t xml:space="preserve"> </w:t>
      </w:r>
      <w:r w:rsidRPr="00687DE8">
        <w:t>liposomaalset doksorubitsiini ja paklitakseeli sisaldavad skeemid Kaposi sarkoomi raviks;</w:t>
      </w:r>
    </w:p>
    <w:p w14:paraId="37A4A802" w14:textId="77777777" w:rsidR="00976487" w:rsidRPr="00687DE8" w:rsidRDefault="00976487">
      <w:pPr>
        <w:pStyle w:val="Normaallaadveeb"/>
        <w:spacing w:before="0" w:after="0" w:afterAutospacing="0"/>
        <w:jc w:val="both"/>
        <w:divId w:val="1316184749"/>
      </w:pPr>
      <w:r w:rsidRPr="00687DE8">
        <w:t>5)</w:t>
      </w:r>
      <w:r w:rsidRPr="00687DE8">
        <w:rPr>
          <w:rStyle w:val="tyhik"/>
        </w:rPr>
        <w:t xml:space="preserve"> </w:t>
      </w:r>
      <w:r w:rsidRPr="00687DE8">
        <w:t>doksorubitsiini ja ifosfamiidi sisaldavad skeemid pehmete kudede sarkoomide raviks</w:t>
      </w:r>
      <w:r w:rsidR="00CD4271" w:rsidRPr="00687DE8">
        <w:t>;</w:t>
      </w:r>
    </w:p>
    <w:p w14:paraId="42CE2FC4" w14:textId="77777777" w:rsidR="00033CEF" w:rsidRPr="00687DE8" w:rsidRDefault="00E47880">
      <w:pPr>
        <w:pStyle w:val="Normaallaadveeb"/>
        <w:spacing w:before="0" w:after="0" w:afterAutospacing="0"/>
        <w:jc w:val="both"/>
        <w:divId w:val="1316184749"/>
      </w:pPr>
      <w:r w:rsidRPr="00687DE8">
        <w:t xml:space="preserve">6) </w:t>
      </w:r>
      <w:r w:rsidR="00D713C0" w:rsidRPr="00687DE8">
        <w:t>eribulii</w:t>
      </w:r>
      <w:r w:rsidR="001C14B8" w:rsidRPr="00687DE8">
        <w:t>ni mitteopereeritava liposarkoomi</w:t>
      </w:r>
      <w:r w:rsidR="00DF47C8" w:rsidRPr="00687DE8">
        <w:t xml:space="preserve"> raviks pärast</w:t>
      </w:r>
      <w:r w:rsidR="00F517E0" w:rsidRPr="00687DE8">
        <w:t xml:space="preserve"> </w:t>
      </w:r>
      <w:r w:rsidR="00CD4271" w:rsidRPr="00687DE8">
        <w:t>antratsükliini sisaldavat ravi.</w:t>
      </w:r>
    </w:p>
    <w:p w14:paraId="7B0B4046" w14:textId="77777777" w:rsidR="00976487" w:rsidRPr="00687DE8" w:rsidRDefault="00976487">
      <w:pPr>
        <w:pStyle w:val="Normaallaadveeb"/>
        <w:spacing w:before="0" w:after="0" w:afterAutospacing="0"/>
        <w:jc w:val="both"/>
        <w:divId w:val="1316184749"/>
      </w:pPr>
    </w:p>
    <w:p w14:paraId="79ADC7F8" w14:textId="77777777" w:rsidR="00976487" w:rsidRPr="00687DE8" w:rsidRDefault="00976487">
      <w:pPr>
        <w:pStyle w:val="Normaallaadveeb"/>
        <w:spacing w:before="0" w:after="0" w:afterAutospacing="0"/>
        <w:jc w:val="both"/>
        <w:divId w:val="1316184749"/>
      </w:pPr>
      <w:r w:rsidRPr="00687DE8">
        <w:t>(2</w:t>
      </w:r>
      <w:r w:rsidR="00831DB7" w:rsidRPr="00687DE8">
        <w:t>3</w:t>
      </w:r>
      <w:r w:rsidRPr="00687DE8">
        <w:t>) Pea- ja kaelapiirkonna kasvajate kemoteraapiakuuri (kood 315R) teenus sisaldab järgmisi raviskeeme:</w:t>
      </w:r>
    </w:p>
    <w:p w14:paraId="1ADD6FC1" w14:textId="77777777" w:rsidR="00976487" w:rsidRPr="00687DE8" w:rsidRDefault="00976487">
      <w:pPr>
        <w:pStyle w:val="Normaallaadveeb"/>
        <w:spacing w:before="0" w:after="0" w:afterAutospacing="0"/>
        <w:jc w:val="both"/>
        <w:divId w:val="1316184749"/>
      </w:pPr>
      <w:r w:rsidRPr="00687DE8">
        <w:t>1)</w:t>
      </w:r>
      <w:r w:rsidRPr="00687DE8">
        <w:rPr>
          <w:rStyle w:val="tyhik"/>
        </w:rPr>
        <w:t xml:space="preserve"> </w:t>
      </w:r>
      <w:r w:rsidRPr="00687DE8">
        <w:t>tsisplatiinravi rakendatuna koos radioteraapiaga lokaalselt kaugelearenenud, retsidiveerunud ja/või metastaatilise lamerakulise pea- ja kaelapiirkonna vähi ravis;</w:t>
      </w:r>
    </w:p>
    <w:p w14:paraId="3C14FFED" w14:textId="77777777" w:rsidR="00976487" w:rsidRPr="00687DE8" w:rsidRDefault="00976487">
      <w:pPr>
        <w:pStyle w:val="Normaallaadveeb"/>
        <w:spacing w:before="0" w:after="0" w:afterAutospacing="0"/>
        <w:jc w:val="both"/>
        <w:divId w:val="1316184749"/>
      </w:pPr>
      <w:r w:rsidRPr="00687DE8">
        <w:t>2)</w:t>
      </w:r>
      <w:r w:rsidRPr="00687DE8">
        <w:rPr>
          <w:rStyle w:val="tyhik"/>
        </w:rPr>
        <w:t xml:space="preserve"> </w:t>
      </w:r>
      <w:r w:rsidRPr="00687DE8">
        <w:t>tsetuksimabravi rakendatuna koos radioteraapiaga heas üldseisundis (ECOG 0</w:t>
      </w:r>
      <w:r w:rsidR="000C4043" w:rsidRPr="00687DE8">
        <w:t>–</w:t>
      </w:r>
      <w:r w:rsidRPr="00687DE8">
        <w:t>1) lokaalselt kaugelearenenud, retsidiveerunud ja/või metastaatilise lamerakulise pea- ja kaelapiirkonna vähi haigel, kellel on vastunäidustus tsisplatiinravi rakendamiseks;</w:t>
      </w:r>
    </w:p>
    <w:p w14:paraId="0CAB0583" w14:textId="77777777" w:rsidR="00976487" w:rsidRPr="00687DE8" w:rsidRDefault="00976487">
      <w:pPr>
        <w:pStyle w:val="Normaallaadveeb"/>
        <w:spacing w:before="0" w:after="0" w:afterAutospacing="0"/>
        <w:jc w:val="both"/>
        <w:divId w:val="1316184749"/>
      </w:pPr>
      <w:r w:rsidRPr="00687DE8">
        <w:t>3)</w:t>
      </w:r>
      <w:r w:rsidRPr="00687DE8">
        <w:rPr>
          <w:rStyle w:val="tyhik"/>
        </w:rPr>
        <w:t xml:space="preserve"> </w:t>
      </w:r>
      <w:r w:rsidRPr="00687DE8">
        <w:t>dotsetakseeli, tsisplatiini ja fluorouratsiili kombinatsioonravi heas üldseisundis (ECOG 0</w:t>
      </w:r>
      <w:r w:rsidR="000C4043" w:rsidRPr="00687DE8">
        <w:t>–</w:t>
      </w:r>
      <w:r w:rsidRPr="00687DE8">
        <w:t>1) alaneelu või kõri vähiga patsientidel induktsioonravina enne radio- või radiokemoteraapiat, kellel alternatiivina tuleks arvesse vaid totaalne larüngektoomia;</w:t>
      </w:r>
    </w:p>
    <w:p w14:paraId="17FF20F9" w14:textId="77777777" w:rsidR="00976487" w:rsidRPr="00687DE8" w:rsidRDefault="00976487">
      <w:pPr>
        <w:pStyle w:val="Normaallaadveeb"/>
        <w:spacing w:before="0" w:after="0" w:afterAutospacing="0"/>
        <w:jc w:val="both"/>
        <w:divId w:val="1316184749"/>
      </w:pPr>
      <w:r w:rsidRPr="00687DE8">
        <w:t>4)</w:t>
      </w:r>
      <w:r w:rsidRPr="00687DE8">
        <w:rPr>
          <w:rStyle w:val="tyhik"/>
        </w:rPr>
        <w:t xml:space="preserve"> </w:t>
      </w:r>
      <w:r w:rsidRPr="00687DE8">
        <w:t>tsisplatiini ja fluorouratsiili kombinatsioonravi ninaneelu vähi adjuvantravis pärast samaaegset radiokemoteraapiat ja retsidiveeruva või metastaatilise pea- ja kaelapiirkonna vähi palliatiivses keemiaravis;</w:t>
      </w:r>
    </w:p>
    <w:p w14:paraId="31A0B4A5" w14:textId="77777777" w:rsidR="00976487" w:rsidRPr="00687DE8" w:rsidRDefault="00976487">
      <w:pPr>
        <w:pStyle w:val="Normaallaadveeb"/>
        <w:spacing w:before="0" w:after="0" w:afterAutospacing="0"/>
        <w:jc w:val="both"/>
        <w:divId w:val="1316184749"/>
      </w:pPr>
      <w:r w:rsidRPr="00687DE8">
        <w:t>5)</w:t>
      </w:r>
      <w:r w:rsidRPr="00687DE8">
        <w:rPr>
          <w:rStyle w:val="tyhik"/>
        </w:rPr>
        <w:t xml:space="preserve"> </w:t>
      </w:r>
      <w:r w:rsidRPr="00687DE8">
        <w:t>paklitakseel monoravi pea- ja kaelapiirkonna kasvajaga patsiendil, kes ei talu ravi plaatinapreparaatidega, ja patsiendil, kelle haigus on retsidiveerunud või metastaseerunud plaatinapreparaatidega ravi järel.</w:t>
      </w:r>
    </w:p>
    <w:p w14:paraId="7D3EDCA7" w14:textId="77777777" w:rsidR="00976487" w:rsidRPr="00687DE8" w:rsidRDefault="00976487">
      <w:pPr>
        <w:pStyle w:val="Normaallaadveeb"/>
        <w:spacing w:before="0" w:after="0" w:afterAutospacing="0"/>
        <w:jc w:val="both"/>
        <w:divId w:val="1316184749"/>
      </w:pPr>
    </w:p>
    <w:p w14:paraId="6FA3F424" w14:textId="77777777" w:rsidR="00976487" w:rsidRPr="00687DE8" w:rsidRDefault="00976487">
      <w:pPr>
        <w:pStyle w:val="Normaallaadveeb"/>
        <w:spacing w:before="0" w:after="0" w:afterAutospacing="0"/>
        <w:jc w:val="both"/>
        <w:divId w:val="1316184749"/>
      </w:pPr>
      <w:r w:rsidRPr="00687DE8">
        <w:t>(2</w:t>
      </w:r>
      <w:r w:rsidR="00831DB7" w:rsidRPr="00687DE8">
        <w:t>4</w:t>
      </w:r>
      <w:r w:rsidRPr="00687DE8">
        <w:t>) Ajukasvajate kemoteraapiakuuri (kood 316R) teenus sisaldab järgmisi raviskeeme:</w:t>
      </w:r>
    </w:p>
    <w:p w14:paraId="7FDA047B" w14:textId="77777777" w:rsidR="00976487" w:rsidRPr="00687DE8" w:rsidRDefault="00976487">
      <w:pPr>
        <w:pStyle w:val="Normaallaadveeb"/>
        <w:spacing w:before="0" w:after="0" w:afterAutospacing="0"/>
        <w:jc w:val="both"/>
        <w:divId w:val="1316184749"/>
      </w:pPr>
      <w:r w:rsidRPr="00687DE8">
        <w:t>1)</w:t>
      </w:r>
      <w:r w:rsidRPr="00687DE8">
        <w:rPr>
          <w:rStyle w:val="tyhik"/>
        </w:rPr>
        <w:t xml:space="preserve"> </w:t>
      </w:r>
      <w:r w:rsidRPr="00687DE8">
        <w:t>CCNU</w:t>
      </w:r>
      <w:r w:rsidR="00F437FF" w:rsidRPr="00687DE8">
        <w:t>-</w:t>
      </w:r>
      <w:r w:rsidRPr="00687DE8">
        <w:t>skeem täiskasvanutel: madalmaliigse astrotsütoomi ja oligodendroglioomi, glioblastoomi ning retsidiveerunud ependümoomi, anaplastse glioomi ja glioblastoomi ravi;</w:t>
      </w:r>
    </w:p>
    <w:p w14:paraId="69EAE92D" w14:textId="77777777" w:rsidR="00976487" w:rsidRPr="00687DE8" w:rsidRDefault="00976487">
      <w:pPr>
        <w:pStyle w:val="Normaallaadveeb"/>
        <w:spacing w:before="0" w:after="0" w:afterAutospacing="0"/>
        <w:jc w:val="both"/>
        <w:divId w:val="1316184749"/>
      </w:pPr>
      <w:r w:rsidRPr="00687DE8">
        <w:t>2)</w:t>
      </w:r>
      <w:r w:rsidRPr="00687DE8">
        <w:rPr>
          <w:rStyle w:val="tyhik"/>
        </w:rPr>
        <w:t xml:space="preserve"> </w:t>
      </w:r>
      <w:r w:rsidRPr="00687DE8">
        <w:t>CCNU+prokarbasiini skeem täiskasvanutel: anaplastse glioomi adjuvantne ravi, retsidiveerunud madalmaliigse astrotsütoomi ja oligodendroglioomi ning retsidiveerunud anaplastse glioomi ja glioblastoomi ravi;</w:t>
      </w:r>
    </w:p>
    <w:p w14:paraId="74006558" w14:textId="77777777" w:rsidR="00976487" w:rsidRPr="00687DE8" w:rsidRDefault="00976487">
      <w:pPr>
        <w:pStyle w:val="Normaallaadveeb"/>
        <w:spacing w:before="0" w:after="0" w:afterAutospacing="0"/>
        <w:jc w:val="both"/>
        <w:divId w:val="1316184749"/>
      </w:pPr>
      <w:r w:rsidRPr="00687DE8">
        <w:t>3)</w:t>
      </w:r>
      <w:r w:rsidRPr="00687DE8">
        <w:rPr>
          <w:rStyle w:val="tyhik"/>
        </w:rPr>
        <w:t xml:space="preserve"> </w:t>
      </w:r>
      <w:r w:rsidRPr="00687DE8">
        <w:t>BCNU</w:t>
      </w:r>
      <w:r w:rsidR="00F437FF" w:rsidRPr="00687DE8">
        <w:t>-</w:t>
      </w:r>
      <w:r w:rsidRPr="00687DE8">
        <w:t>skeem täiskasvanutel: retsidiveerunud madalmaliigse astrotsütoomi ja oligodendroglioomi ning retsidiveerunud ependümoomi, anaplastse glioomi ja glioblastoomi ravi;</w:t>
      </w:r>
    </w:p>
    <w:p w14:paraId="4E3CE6CA" w14:textId="77777777" w:rsidR="00976487" w:rsidRPr="00687DE8" w:rsidRDefault="00976487">
      <w:pPr>
        <w:pStyle w:val="Normaallaadveeb"/>
        <w:spacing w:before="0" w:after="0" w:afterAutospacing="0"/>
        <w:jc w:val="both"/>
        <w:divId w:val="1316184749"/>
      </w:pPr>
      <w:r w:rsidRPr="00687DE8">
        <w:t>4)</w:t>
      </w:r>
      <w:r w:rsidRPr="00687DE8">
        <w:rPr>
          <w:rStyle w:val="tyhik"/>
        </w:rPr>
        <w:t xml:space="preserve"> </w:t>
      </w:r>
      <w:r w:rsidRPr="00687DE8">
        <w:t>lomustiini, vinkristiini ja tsisplatiini sisaldavad skeemid lastel: metastaasideta medulloblastoomi ravi 0–21-aastastel, medulloblastoom+PNET metastaasidega 0–21-aastastel ning PNET 4–21-aastastel;</w:t>
      </w:r>
    </w:p>
    <w:p w14:paraId="116EBD1C" w14:textId="77777777" w:rsidR="00976487" w:rsidRPr="00687DE8" w:rsidRDefault="00976487">
      <w:pPr>
        <w:pStyle w:val="Normaallaadveeb"/>
        <w:spacing w:before="0" w:after="0" w:afterAutospacing="0"/>
        <w:jc w:val="both"/>
        <w:divId w:val="1316184749"/>
      </w:pPr>
      <w:r w:rsidRPr="00687DE8">
        <w:t>5)</w:t>
      </w:r>
      <w:r w:rsidRPr="00687DE8">
        <w:rPr>
          <w:rStyle w:val="tyhik"/>
        </w:rPr>
        <w:t xml:space="preserve"> </w:t>
      </w:r>
      <w:r w:rsidRPr="00687DE8">
        <w:t>vinkristiini ja tsüklofosfamiidi sisaldavad skeemid lastel: metastaasideta medulloblastoom 0–4-aastastel, metastaasidega medulloblastoom+PNET 4–21-aastastel, PNET 0–4-aastastel, metastaasideta ependümoom (G3-4) 0–21-aastastel;</w:t>
      </w:r>
    </w:p>
    <w:p w14:paraId="605999F6" w14:textId="77777777" w:rsidR="00976487" w:rsidRPr="00687DE8" w:rsidRDefault="00976487">
      <w:pPr>
        <w:pStyle w:val="Normaallaadveeb"/>
        <w:spacing w:before="0" w:after="0" w:afterAutospacing="0"/>
        <w:jc w:val="both"/>
        <w:divId w:val="1316184749"/>
      </w:pPr>
      <w:r w:rsidRPr="00687DE8">
        <w:t>6)</w:t>
      </w:r>
      <w:r w:rsidRPr="00687DE8">
        <w:rPr>
          <w:rStyle w:val="tyhik"/>
        </w:rPr>
        <w:t xml:space="preserve"> </w:t>
      </w:r>
      <w:r w:rsidRPr="00687DE8">
        <w:t>metotreksaati ja vinkristiini sisaldavad skeemid lastel: metastaasideta medulloblastoom 0–4-aastastel, metastaasidega medulloblastoom+PNET 4–21-aastastel; PNET 0–4-aastastel; ependümoom (G3-4) metastaasideta 0–4-aastastel;</w:t>
      </w:r>
    </w:p>
    <w:p w14:paraId="68745472" w14:textId="77777777" w:rsidR="00976487" w:rsidRPr="00687DE8" w:rsidRDefault="00976487">
      <w:pPr>
        <w:pStyle w:val="Normaallaadveeb"/>
        <w:spacing w:before="0" w:after="0" w:afterAutospacing="0"/>
        <w:jc w:val="both"/>
        <w:divId w:val="1316184749"/>
      </w:pPr>
      <w:r w:rsidRPr="00687DE8">
        <w:lastRenderedPageBreak/>
        <w:t>7)</w:t>
      </w:r>
      <w:r w:rsidRPr="00687DE8">
        <w:rPr>
          <w:rStyle w:val="tyhik"/>
        </w:rPr>
        <w:t xml:space="preserve"> </w:t>
      </w:r>
      <w:r w:rsidRPr="00687DE8">
        <w:t>karboplatiini ja etoposiidi sisaldavad skeemid lastel: metastaasideta medulloblastoom 0–4-aastastel, metastaasidega medulloblastoom+PNET 4–21-aastastel; PNET 0–4-aastastel, ependümoom (G3-4) metastaasideta 0–21-aastastel, metastaasidega medulloblastoom+PNET 0–4-aastastel;</w:t>
      </w:r>
    </w:p>
    <w:p w14:paraId="51D890B3" w14:textId="77777777" w:rsidR="00976487" w:rsidRPr="00687DE8" w:rsidRDefault="00976487">
      <w:pPr>
        <w:pStyle w:val="Normaallaadveeb"/>
        <w:spacing w:before="0" w:after="0" w:afterAutospacing="0"/>
        <w:jc w:val="both"/>
        <w:divId w:val="1316184749"/>
      </w:pPr>
      <w:r w:rsidRPr="00687DE8">
        <w:t>8)</w:t>
      </w:r>
      <w:r w:rsidRPr="00687DE8">
        <w:rPr>
          <w:rStyle w:val="tyhik"/>
        </w:rPr>
        <w:t xml:space="preserve"> </w:t>
      </w:r>
      <w:r w:rsidRPr="00687DE8">
        <w:t>lomustiini, prokarbasiini ja vinkristiini sisaldavad skeemid lastel: glioomid (G1-2) postoperatiivse jääktuumori korral.</w:t>
      </w:r>
    </w:p>
    <w:p w14:paraId="7C340375" w14:textId="77777777" w:rsidR="00976487" w:rsidRPr="00687DE8" w:rsidRDefault="00976487">
      <w:pPr>
        <w:pStyle w:val="Normaallaadveeb"/>
        <w:spacing w:before="0" w:after="0" w:afterAutospacing="0"/>
        <w:jc w:val="both"/>
        <w:divId w:val="1316184749"/>
      </w:pPr>
    </w:p>
    <w:p w14:paraId="727596F0" w14:textId="77777777" w:rsidR="00976487" w:rsidRPr="00687DE8" w:rsidRDefault="00976487">
      <w:pPr>
        <w:pStyle w:val="Normaallaadveeb"/>
        <w:spacing w:before="0" w:after="0" w:afterAutospacing="0"/>
        <w:jc w:val="both"/>
        <w:divId w:val="1316184749"/>
      </w:pPr>
      <w:r w:rsidRPr="00687DE8">
        <w:t>(2</w:t>
      </w:r>
      <w:r w:rsidR="00831DB7" w:rsidRPr="00687DE8">
        <w:t>5</w:t>
      </w:r>
      <w:r w:rsidRPr="00687DE8">
        <w:t>) Pindmiste kusepõiekasvajate intravesikaalse kemoteraapia- või immuunteraapia kuuri (kood 318R) teenus sisaldab järgmisi raviskeeme:</w:t>
      </w:r>
    </w:p>
    <w:p w14:paraId="242C63B5" w14:textId="77777777" w:rsidR="00976487" w:rsidRPr="00687DE8" w:rsidRDefault="00976487">
      <w:pPr>
        <w:pStyle w:val="Normaallaadveeb"/>
        <w:spacing w:before="0" w:after="0" w:afterAutospacing="0"/>
        <w:jc w:val="both"/>
        <w:divId w:val="1316184749"/>
      </w:pPr>
      <w:r w:rsidRPr="00687DE8">
        <w:t>1)</w:t>
      </w:r>
      <w:r w:rsidRPr="00687DE8">
        <w:rPr>
          <w:rStyle w:val="tyhik"/>
        </w:rPr>
        <w:t xml:space="preserve"> </w:t>
      </w:r>
      <w:r w:rsidRPr="00687DE8">
        <w:t>ühekordne põiesisene instillatsioon tsütostaatikumiga pärast TUR</w:t>
      </w:r>
      <w:r w:rsidR="000C4043" w:rsidRPr="00687DE8">
        <w:t>-</w:t>
      </w:r>
      <w:r w:rsidRPr="00687DE8">
        <w:t>i või retsidiveerunud juhul haigel, kes ei kuulu kõrge riski gruppi;</w:t>
      </w:r>
    </w:p>
    <w:p w14:paraId="55F9ED98" w14:textId="77777777" w:rsidR="00976487" w:rsidRPr="00687DE8" w:rsidRDefault="00976487">
      <w:pPr>
        <w:pStyle w:val="Normaallaadveeb"/>
        <w:spacing w:before="0" w:after="0" w:afterAutospacing="0"/>
        <w:jc w:val="both"/>
        <w:divId w:val="1316184749"/>
      </w:pPr>
      <w:r w:rsidRPr="00687DE8">
        <w:t>2)</w:t>
      </w:r>
      <w:r w:rsidRPr="00687DE8">
        <w:rPr>
          <w:rStyle w:val="tyhik"/>
        </w:rPr>
        <w:t xml:space="preserve"> </w:t>
      </w:r>
      <w:r w:rsidRPr="00687DE8">
        <w:t>BCG ravi kõrge riski grupi haigel kuni kuus manustamiskorda induktsioonravis ning induktsioonravi järel kuni 21 manustamiskorda patsiendi kohta.</w:t>
      </w:r>
    </w:p>
    <w:p w14:paraId="701CCE10" w14:textId="77777777" w:rsidR="00976487" w:rsidRPr="00687DE8" w:rsidRDefault="00976487">
      <w:pPr>
        <w:pStyle w:val="Normaallaadveeb"/>
        <w:spacing w:before="0" w:after="0" w:afterAutospacing="0"/>
        <w:jc w:val="both"/>
        <w:divId w:val="1316184749"/>
      </w:pPr>
    </w:p>
    <w:p w14:paraId="1C1A2098" w14:textId="77777777" w:rsidR="00976487" w:rsidRPr="00687DE8" w:rsidRDefault="00976487">
      <w:pPr>
        <w:pStyle w:val="Normaallaadveeb"/>
        <w:spacing w:before="0" w:after="0" w:afterAutospacing="0"/>
        <w:jc w:val="both"/>
        <w:divId w:val="1316184749"/>
      </w:pPr>
      <w:r w:rsidRPr="00687DE8">
        <w:t>(2</w:t>
      </w:r>
      <w:r w:rsidR="00831DB7" w:rsidRPr="00687DE8">
        <w:t>6</w:t>
      </w:r>
      <w:r w:rsidRPr="00687DE8">
        <w:t>) Ägeda müeloidleukeemia kemoteraapiakuuri (kood 305R) teenus sisaldab järgmisi raviskeeme:</w:t>
      </w:r>
    </w:p>
    <w:p w14:paraId="31612689" w14:textId="77777777" w:rsidR="00976487" w:rsidRPr="00687DE8" w:rsidRDefault="00976487">
      <w:pPr>
        <w:pStyle w:val="Normaallaadveeb"/>
        <w:spacing w:before="0" w:after="0" w:afterAutospacing="0"/>
        <w:jc w:val="both"/>
        <w:divId w:val="1316184749"/>
      </w:pPr>
      <w:r w:rsidRPr="00687DE8">
        <w:t>1)</w:t>
      </w:r>
      <w:r w:rsidRPr="00687DE8">
        <w:rPr>
          <w:rStyle w:val="tyhik"/>
        </w:rPr>
        <w:t xml:space="preserve"> </w:t>
      </w:r>
      <w:r w:rsidRPr="00687DE8">
        <w:t>raviskeemide 7+3 ja DA kasutamine täiskasvanud patsiendil ravivastuse indutseerimiseks;</w:t>
      </w:r>
    </w:p>
    <w:p w14:paraId="77101BE6" w14:textId="77777777" w:rsidR="00674249" w:rsidRPr="00687DE8" w:rsidRDefault="00A33EA4">
      <w:pPr>
        <w:pStyle w:val="Normaallaadveeb"/>
        <w:spacing w:before="0" w:after="0" w:afterAutospacing="0"/>
        <w:jc w:val="both"/>
        <w:divId w:val="1316184749"/>
      </w:pPr>
      <w:r w:rsidRPr="00687DE8">
        <w:t>2) raviskeemide 7+3+GO ja DA+GO kasutamine</w:t>
      </w:r>
      <w:r w:rsidR="006278CD" w:rsidRPr="00687DE8">
        <w:t xml:space="preserve"> madala riskiga</w:t>
      </w:r>
      <w:r w:rsidRPr="00687DE8">
        <w:t xml:space="preserve"> täiskasvanud patsiendil</w:t>
      </w:r>
      <w:r w:rsidR="00BD2EDB" w:rsidRPr="00687DE8">
        <w:t xml:space="preserve"> induktsiooni</w:t>
      </w:r>
      <w:r w:rsidR="0018108D" w:rsidRPr="00687DE8">
        <w:t>-</w:t>
      </w:r>
      <w:r w:rsidR="00BD2EDB" w:rsidRPr="00687DE8">
        <w:t xml:space="preserve"> ja konsolidatsioonifaasis</w:t>
      </w:r>
      <w:r w:rsidR="00BF173A" w:rsidRPr="00687DE8">
        <w:t>;</w:t>
      </w:r>
    </w:p>
    <w:p w14:paraId="400B475B" w14:textId="77777777" w:rsidR="00976487" w:rsidRPr="00687DE8" w:rsidRDefault="005B2559">
      <w:pPr>
        <w:pStyle w:val="Normaallaadveeb"/>
        <w:spacing w:before="0" w:after="0" w:afterAutospacing="0"/>
        <w:jc w:val="both"/>
        <w:divId w:val="1316184749"/>
      </w:pPr>
      <w:r w:rsidRPr="00687DE8">
        <w:t>3</w:t>
      </w:r>
      <w:r w:rsidR="00976487" w:rsidRPr="00687DE8">
        <w:t>)</w:t>
      </w:r>
      <w:r w:rsidR="00976487" w:rsidRPr="00687DE8">
        <w:rPr>
          <w:rStyle w:val="tyhik"/>
        </w:rPr>
        <w:t xml:space="preserve"> </w:t>
      </w:r>
      <w:r w:rsidR="00976487" w:rsidRPr="00687DE8">
        <w:t>tsütarabiini monoravi ning MEA raviskeemi kasutamine üle 60-aastasel patsiendil ravivastuse indutseerimiseks;</w:t>
      </w:r>
    </w:p>
    <w:p w14:paraId="0BBD5131" w14:textId="77777777" w:rsidR="00976487" w:rsidRPr="00687DE8" w:rsidRDefault="00E97EC8">
      <w:pPr>
        <w:pStyle w:val="Normaallaadveeb"/>
        <w:spacing w:before="0" w:after="0" w:afterAutospacing="0"/>
        <w:jc w:val="both"/>
        <w:divId w:val="1316184749"/>
      </w:pPr>
      <w:r w:rsidRPr="00687DE8">
        <w:t>4</w:t>
      </w:r>
      <w:r w:rsidR="00976487" w:rsidRPr="00687DE8">
        <w:t>)</w:t>
      </w:r>
      <w:r w:rsidR="00976487" w:rsidRPr="00687DE8">
        <w:rPr>
          <w:rStyle w:val="tyhik"/>
        </w:rPr>
        <w:t xml:space="preserve"> </w:t>
      </w:r>
      <w:r w:rsidR="00976487" w:rsidRPr="00687DE8">
        <w:t xml:space="preserve">raviskeemide HAM, modifitseeritud DA, HiDAC ning 5+2 kasutamine täiskasvanud patsiendil </w:t>
      </w:r>
      <w:r w:rsidR="00976487" w:rsidRPr="00687DE8" w:rsidDel="005B2559">
        <w:t>r</w:t>
      </w:r>
      <w:r w:rsidR="00976487" w:rsidRPr="00687DE8">
        <w:t>avivastuse konsolideerimiseks;</w:t>
      </w:r>
    </w:p>
    <w:p w14:paraId="78E08430" w14:textId="77777777" w:rsidR="00976487" w:rsidRPr="00687DE8" w:rsidRDefault="005B2559">
      <w:pPr>
        <w:pStyle w:val="Normaallaadveeb"/>
        <w:spacing w:before="0" w:after="0" w:afterAutospacing="0"/>
        <w:jc w:val="both"/>
        <w:divId w:val="1316184749"/>
      </w:pPr>
      <w:r w:rsidRPr="00687DE8">
        <w:t>5</w:t>
      </w:r>
      <w:r w:rsidR="00976487" w:rsidRPr="00687DE8">
        <w:t>)</w:t>
      </w:r>
      <w:r w:rsidR="00976487" w:rsidRPr="00687DE8">
        <w:rPr>
          <w:rStyle w:val="tyhik"/>
        </w:rPr>
        <w:t xml:space="preserve"> </w:t>
      </w:r>
      <w:r w:rsidR="00976487" w:rsidRPr="00687DE8">
        <w:t>raviskeemide FLAG ja FA-Ida kasutamine täiskasvanud patsiendil retsidiivse või refraktaarse haiguse raviks;</w:t>
      </w:r>
    </w:p>
    <w:p w14:paraId="583C18E7" w14:textId="77777777" w:rsidR="00976487" w:rsidRPr="00687DE8" w:rsidRDefault="005B2559">
      <w:pPr>
        <w:pStyle w:val="Normaallaadveeb"/>
        <w:spacing w:before="0" w:after="0" w:afterAutospacing="0"/>
        <w:jc w:val="both"/>
        <w:divId w:val="1316184749"/>
      </w:pPr>
      <w:r w:rsidRPr="00687DE8">
        <w:t>6</w:t>
      </w:r>
      <w:r w:rsidR="00976487" w:rsidRPr="00687DE8">
        <w:t>)</w:t>
      </w:r>
      <w:r w:rsidR="00976487" w:rsidRPr="00687DE8">
        <w:rPr>
          <w:rStyle w:val="tyhik"/>
        </w:rPr>
        <w:t xml:space="preserve"> </w:t>
      </w:r>
      <w:r w:rsidR="00976487" w:rsidRPr="00687DE8">
        <w:t>raviskeemide AIET ja AM kasutamine lapsel ravivastuse indutseerimiseks;</w:t>
      </w:r>
    </w:p>
    <w:p w14:paraId="1374BD1A" w14:textId="02ADA8FB" w:rsidR="00976487" w:rsidRDefault="005B2559">
      <w:pPr>
        <w:pStyle w:val="Normaallaadveeb"/>
        <w:spacing w:before="0" w:after="0" w:afterAutospacing="0"/>
        <w:jc w:val="both"/>
        <w:divId w:val="1316184749"/>
      </w:pPr>
      <w:r w:rsidRPr="00687DE8">
        <w:t>7</w:t>
      </w:r>
      <w:r w:rsidR="00976487" w:rsidRPr="00687DE8">
        <w:t>)</w:t>
      </w:r>
      <w:r w:rsidR="00976487" w:rsidRPr="00687DE8">
        <w:rPr>
          <w:rStyle w:val="tyhik"/>
        </w:rPr>
        <w:t xml:space="preserve"> </w:t>
      </w:r>
      <w:r w:rsidR="00976487" w:rsidRPr="00687DE8">
        <w:t>raviskeemide HA1M, HA2E ja HA3 kasutamine lapsel ravivastuse konsolideerimiseks.</w:t>
      </w:r>
    </w:p>
    <w:p w14:paraId="13F6FD34" w14:textId="77777777" w:rsidR="003907FB" w:rsidRPr="00687DE8" w:rsidRDefault="003907FB">
      <w:pPr>
        <w:pStyle w:val="Normaallaadveeb"/>
        <w:spacing w:before="0" w:after="0" w:afterAutospacing="0"/>
        <w:jc w:val="both"/>
        <w:divId w:val="1316184749"/>
      </w:pPr>
    </w:p>
    <w:p w14:paraId="00873F3A" w14:textId="77777777" w:rsidR="00976487" w:rsidRPr="00687DE8" w:rsidRDefault="00976487">
      <w:pPr>
        <w:pStyle w:val="Normaallaadveeb"/>
        <w:spacing w:before="0" w:after="0" w:afterAutospacing="0"/>
        <w:jc w:val="both"/>
        <w:divId w:val="1316184749"/>
      </w:pPr>
      <w:r w:rsidRPr="00687DE8">
        <w:t>(2</w:t>
      </w:r>
      <w:r w:rsidR="00831DB7" w:rsidRPr="00687DE8">
        <w:t>7</w:t>
      </w:r>
      <w:r w:rsidRPr="00687DE8">
        <w:t>) Ägeda promüelotsütaarse leukeemia kemoteraapiakuuri (kood 320R) teenus sisaldab järgmisi raviskeeme:</w:t>
      </w:r>
    </w:p>
    <w:p w14:paraId="5F91510F" w14:textId="77777777" w:rsidR="00976487" w:rsidRPr="00687DE8" w:rsidRDefault="00976487">
      <w:pPr>
        <w:pStyle w:val="Normaallaadveeb"/>
        <w:spacing w:before="0" w:after="0" w:afterAutospacing="0"/>
        <w:jc w:val="both"/>
        <w:divId w:val="1316184749"/>
      </w:pPr>
      <w:r w:rsidRPr="00687DE8">
        <w:t>1)</w:t>
      </w:r>
      <w:r w:rsidRPr="00687DE8">
        <w:rPr>
          <w:rStyle w:val="tyhik"/>
        </w:rPr>
        <w:t xml:space="preserve"> </w:t>
      </w:r>
      <w:r w:rsidRPr="00687DE8">
        <w:t>raviskeemide AIDA, ATRA+daunorubitsiin+tsütarabiin kasutamine ägeda promüelotsütaarse leukeemia korral ravivastuse indutseerimiseks;</w:t>
      </w:r>
    </w:p>
    <w:p w14:paraId="64DFA71B" w14:textId="4731652F" w:rsidR="00976487" w:rsidRPr="00687DE8" w:rsidRDefault="00976487">
      <w:pPr>
        <w:pStyle w:val="Normaallaadveeb"/>
        <w:spacing w:before="0" w:after="0" w:afterAutospacing="0"/>
        <w:jc w:val="both"/>
        <w:divId w:val="1316184749"/>
      </w:pPr>
      <w:r w:rsidRPr="00687DE8">
        <w:t>2)</w:t>
      </w:r>
      <w:r w:rsidRPr="00687DE8">
        <w:rPr>
          <w:rStyle w:val="tyhik"/>
        </w:rPr>
        <w:t xml:space="preserve"> </w:t>
      </w:r>
      <w:r w:rsidRPr="00687DE8">
        <w:t>raviskeemi PETHEMA kasutamine ägeda promüelotsütaarse leukeemia korral ravivastuse konsolideerimiseks ja säilitusraviks;</w:t>
      </w:r>
    </w:p>
    <w:p w14:paraId="731AA95F" w14:textId="77777777" w:rsidR="00976487" w:rsidRPr="00687DE8" w:rsidRDefault="00976487">
      <w:pPr>
        <w:pStyle w:val="Normaallaadveeb"/>
        <w:spacing w:before="0" w:after="0" w:afterAutospacing="0"/>
        <w:jc w:val="both"/>
        <w:divId w:val="1316184749"/>
      </w:pPr>
      <w:r w:rsidRPr="00687DE8">
        <w:t>3)</w:t>
      </w:r>
      <w:r w:rsidRPr="00687DE8">
        <w:rPr>
          <w:rStyle w:val="tyhik"/>
        </w:rPr>
        <w:t xml:space="preserve"> </w:t>
      </w:r>
      <w:r w:rsidRPr="00687DE8">
        <w:t>raviskeemi arseentrioksiid kasutamine esmaliini ja refraktaarse/retsidiveeruva haiguse indutseerimiseks ja konsolideerimiseks.</w:t>
      </w:r>
    </w:p>
    <w:p w14:paraId="60E0974C" w14:textId="77777777" w:rsidR="00976487" w:rsidRPr="00687DE8" w:rsidRDefault="00976487">
      <w:pPr>
        <w:pStyle w:val="Normaallaadveeb"/>
        <w:spacing w:before="0" w:after="0" w:afterAutospacing="0"/>
        <w:jc w:val="both"/>
        <w:divId w:val="1316184749"/>
      </w:pPr>
    </w:p>
    <w:p w14:paraId="23192D21" w14:textId="77777777" w:rsidR="00976487" w:rsidRPr="00687DE8" w:rsidRDefault="00976487">
      <w:pPr>
        <w:pStyle w:val="Normaallaadveeb"/>
        <w:spacing w:before="0" w:after="0" w:afterAutospacing="0"/>
        <w:jc w:val="both"/>
        <w:divId w:val="1316184749"/>
      </w:pPr>
      <w:r w:rsidRPr="00687DE8">
        <w:t>(2</w:t>
      </w:r>
      <w:r w:rsidR="00831DB7" w:rsidRPr="00687DE8">
        <w:t>8</w:t>
      </w:r>
      <w:r w:rsidRPr="00687DE8">
        <w:t>) Ägeda lümfoidse leukeemia kemoteraapiakuuri (kood 306R) teenus sisaldab NOPHO-ALL 2008 raviprotokolli järgseid raviskeeme nii standardriski, keskriski kui ka kõrgriski patsientide raviks.</w:t>
      </w:r>
    </w:p>
    <w:p w14:paraId="17E521C2" w14:textId="77777777" w:rsidR="00976487" w:rsidRPr="00687DE8" w:rsidRDefault="00976487">
      <w:pPr>
        <w:pStyle w:val="Normaallaadveeb"/>
        <w:spacing w:before="0" w:after="0" w:afterAutospacing="0"/>
        <w:jc w:val="both"/>
        <w:divId w:val="1316184749"/>
      </w:pPr>
    </w:p>
    <w:p w14:paraId="4C4CCFFD" w14:textId="77777777" w:rsidR="00976487" w:rsidRPr="00687DE8" w:rsidRDefault="00976487">
      <w:pPr>
        <w:pStyle w:val="Normaallaadveeb"/>
        <w:spacing w:before="0" w:after="0" w:afterAutospacing="0"/>
        <w:jc w:val="both"/>
        <w:divId w:val="1316184749"/>
      </w:pPr>
      <w:r w:rsidRPr="00687DE8">
        <w:t>(</w:t>
      </w:r>
      <w:r w:rsidR="00831DB7" w:rsidRPr="00687DE8">
        <w:t>29</w:t>
      </w:r>
      <w:r w:rsidRPr="00687DE8">
        <w:t>) Koodiga 306R tähistatud ravimiteenuse osutamisel rakendatakse tasumisel koefitsienti 1,2 juhul, kui teenust osutatakse vähemalt 18-aastasele patsiendile.</w:t>
      </w:r>
    </w:p>
    <w:p w14:paraId="39D405CF" w14:textId="77777777" w:rsidR="00976487" w:rsidRPr="00687DE8" w:rsidRDefault="00976487">
      <w:pPr>
        <w:pStyle w:val="Normaallaadveeb"/>
        <w:spacing w:before="0" w:after="0" w:afterAutospacing="0"/>
        <w:jc w:val="both"/>
        <w:divId w:val="1316184749"/>
      </w:pPr>
    </w:p>
    <w:p w14:paraId="15EFBB6E" w14:textId="77777777" w:rsidR="00976487" w:rsidRPr="00687DE8" w:rsidRDefault="00976487">
      <w:pPr>
        <w:pStyle w:val="Normaallaadveeb"/>
        <w:spacing w:before="0" w:after="0" w:afterAutospacing="0"/>
        <w:jc w:val="both"/>
        <w:divId w:val="1316184749"/>
      </w:pPr>
      <w:r w:rsidRPr="00687DE8">
        <w:t>(3</w:t>
      </w:r>
      <w:r w:rsidR="00831DB7" w:rsidRPr="00687DE8">
        <w:t>0</w:t>
      </w:r>
      <w:r w:rsidRPr="00687DE8">
        <w:t>) Hodgkini lümfoomi kemoteraapiakuuri (kood 307R) teenus sisaldab järgmisi raviskeeme:</w:t>
      </w:r>
    </w:p>
    <w:p w14:paraId="28F62DA6" w14:textId="77777777" w:rsidR="00E80B30" w:rsidRPr="00687DE8" w:rsidRDefault="00E80B30">
      <w:pPr>
        <w:pStyle w:val="Normaallaadveeb"/>
        <w:spacing w:before="0" w:after="0" w:afterAutospacing="0"/>
        <w:jc w:val="both"/>
        <w:divId w:val="1316184749"/>
      </w:pPr>
      <w:r w:rsidRPr="00687DE8">
        <w:t>1)</w:t>
      </w:r>
      <w:r w:rsidRPr="00687DE8">
        <w:rPr>
          <w:rStyle w:val="tyhik"/>
        </w:rPr>
        <w:t xml:space="preserve"> </w:t>
      </w:r>
      <w:r w:rsidRPr="00687DE8">
        <w:t>ABVD: 1. rea raviks;</w:t>
      </w:r>
    </w:p>
    <w:p w14:paraId="0742061C" w14:textId="77777777" w:rsidR="00E80B30" w:rsidRPr="00687DE8" w:rsidRDefault="00E80B30">
      <w:pPr>
        <w:pStyle w:val="Normaallaadveeb"/>
        <w:spacing w:before="0" w:after="0" w:afterAutospacing="0"/>
        <w:jc w:val="both"/>
        <w:divId w:val="1316184749"/>
      </w:pPr>
      <w:r w:rsidRPr="00687DE8">
        <w:t>2)</w:t>
      </w:r>
      <w:r w:rsidRPr="00687DE8">
        <w:rPr>
          <w:rStyle w:val="tyhik"/>
        </w:rPr>
        <w:t xml:space="preserve"> </w:t>
      </w:r>
      <w:r w:rsidRPr="00687DE8">
        <w:t>BEACOPP: 1. rea raviks ja 2. rea raviks ravimresistentsetel juhtudel ja retsidiivide puhul;</w:t>
      </w:r>
    </w:p>
    <w:p w14:paraId="0AF11A9F" w14:textId="77777777" w:rsidR="00E80B30" w:rsidRPr="00687DE8" w:rsidRDefault="00E80B30">
      <w:pPr>
        <w:pStyle w:val="Normaallaadveeb"/>
        <w:spacing w:before="0" w:after="0" w:afterAutospacing="0"/>
        <w:jc w:val="both"/>
        <w:divId w:val="1316184749"/>
      </w:pPr>
      <w:r w:rsidRPr="00687DE8">
        <w:lastRenderedPageBreak/>
        <w:t>3)</w:t>
      </w:r>
      <w:r w:rsidRPr="00687DE8">
        <w:rPr>
          <w:rStyle w:val="tyhik"/>
        </w:rPr>
        <w:t xml:space="preserve"> </w:t>
      </w:r>
      <w:r w:rsidRPr="00687DE8">
        <w:t>IVE: vereloome tüvirakkude mobiliseerimiseks, 2. rea ravina ravimresistentsetel juhtudel ja retsidiivide puhul;</w:t>
      </w:r>
    </w:p>
    <w:p w14:paraId="5E96ECF3" w14:textId="77777777" w:rsidR="00E80B30" w:rsidRPr="00687DE8" w:rsidRDefault="00E80B30">
      <w:pPr>
        <w:pStyle w:val="Normaallaadveeb"/>
        <w:spacing w:before="0" w:after="0" w:afterAutospacing="0"/>
        <w:jc w:val="both"/>
        <w:divId w:val="1316184749"/>
      </w:pPr>
      <w:r w:rsidRPr="00687DE8">
        <w:t>4)</w:t>
      </w:r>
      <w:r w:rsidRPr="00687DE8">
        <w:rPr>
          <w:rStyle w:val="tyhik"/>
        </w:rPr>
        <w:t xml:space="preserve"> </w:t>
      </w:r>
      <w:r w:rsidRPr="00687DE8">
        <w:t>mini-BEAM: 2. rea raviks ravimresistentsetel juhtudel ja retsidiivide puhul.</w:t>
      </w:r>
    </w:p>
    <w:p w14:paraId="5F0D000A" w14:textId="77777777" w:rsidR="00E80B30" w:rsidRPr="00687DE8" w:rsidRDefault="00E80B30">
      <w:pPr>
        <w:pStyle w:val="Normaallaadveeb"/>
        <w:spacing w:before="0" w:after="0" w:afterAutospacing="0"/>
        <w:contextualSpacing/>
        <w:jc w:val="both"/>
        <w:divId w:val="1316184749"/>
      </w:pPr>
    </w:p>
    <w:p w14:paraId="10C770B4" w14:textId="77777777" w:rsidR="00711182" w:rsidRPr="00687DE8" w:rsidRDefault="00976487">
      <w:pPr>
        <w:pStyle w:val="Normaallaadveeb"/>
        <w:spacing w:before="0" w:after="0" w:afterAutospacing="0"/>
        <w:contextualSpacing/>
        <w:jc w:val="both"/>
        <w:divId w:val="1316184749"/>
      </w:pPr>
      <w:r w:rsidRPr="00687DE8">
        <w:t>(3</w:t>
      </w:r>
      <w:r w:rsidR="00831DB7" w:rsidRPr="00687DE8">
        <w:t>1</w:t>
      </w:r>
      <w:r w:rsidRPr="00687DE8">
        <w:t>) Koodiga 370R tähistatud ravimiteenust rakendatakse järgmistel tingimustel:</w:t>
      </w:r>
    </w:p>
    <w:p w14:paraId="4E3B608A" w14:textId="77777777" w:rsidR="00314B6C" w:rsidRPr="00687DE8" w:rsidRDefault="00314B6C">
      <w:pPr>
        <w:pStyle w:val="Normaallaadveeb"/>
        <w:spacing w:before="0" w:after="0" w:afterAutospacing="0"/>
        <w:contextualSpacing/>
        <w:jc w:val="both"/>
        <w:divId w:val="1316184749"/>
      </w:pPr>
      <w:r w:rsidRPr="00687DE8">
        <w:t xml:space="preserve">1) </w:t>
      </w:r>
      <w:r w:rsidR="00CA572B" w:rsidRPr="00687DE8">
        <w:t>teenust osutatakse heas või rahuldavas üldseisundis (ECOG 0</w:t>
      </w:r>
      <w:r w:rsidR="00063D3C" w:rsidRPr="00687DE8">
        <w:t>–</w:t>
      </w:r>
      <w:r w:rsidR="00CA572B" w:rsidRPr="00687DE8">
        <w:t>2) eelnevalt ravimata perifeerse nodaalse CD30-positiivse T-rakklümfoomiga patsientidele kombinatsioonis keemiaraviga. Teenuse osutamisel ALK-positiivsele anaplastilise suurrakklümfoomiga patsiendile peab lisaks tema rahvusvaheline prognoosiindeksi (IPI) skoor olema ≥ 2;</w:t>
      </w:r>
    </w:p>
    <w:p w14:paraId="56F35BFB" w14:textId="77777777" w:rsidR="00976487" w:rsidRPr="00687DE8" w:rsidRDefault="00CA572B">
      <w:pPr>
        <w:pStyle w:val="Normaallaadveeb"/>
        <w:spacing w:before="0" w:after="0" w:afterAutospacing="0"/>
        <w:contextualSpacing/>
        <w:jc w:val="both"/>
        <w:divId w:val="1316184749"/>
      </w:pPr>
      <w:r w:rsidRPr="00687DE8">
        <w:t>2</w:t>
      </w:r>
      <w:r w:rsidR="00976487" w:rsidRPr="00687DE8">
        <w:t>)</w:t>
      </w:r>
      <w:r w:rsidR="00976487" w:rsidRPr="00687DE8">
        <w:rPr>
          <w:rStyle w:val="tyhik"/>
        </w:rPr>
        <w:t xml:space="preserve"> </w:t>
      </w:r>
      <w:r w:rsidR="00976487" w:rsidRPr="00687DE8">
        <w:t>teenust osutatakse heas üldseisundis retsidiveerunud või refraktaarse CD30-positiivse Hodgkini lümfoomi diagnoosiga patsiendile, kellel on haigus retsidiveerunud pärast autoloogset vereloome tüvirakkude siirdamist (ASCT) või pärast vähemalt kaht varasemat ravikuuri, kui ASCT või keemiaravi mitme ravimiga ei ole võimalik;</w:t>
      </w:r>
    </w:p>
    <w:p w14:paraId="511CA1D2" w14:textId="77777777" w:rsidR="00976487" w:rsidRPr="00687DE8" w:rsidRDefault="00CA572B">
      <w:pPr>
        <w:pStyle w:val="Normaallaadveeb"/>
        <w:spacing w:before="0" w:after="0" w:afterAutospacing="0"/>
        <w:contextualSpacing/>
        <w:jc w:val="both"/>
        <w:divId w:val="1316184749"/>
      </w:pPr>
      <w:r w:rsidRPr="00687DE8">
        <w:t>3</w:t>
      </w:r>
      <w:r w:rsidR="00976487" w:rsidRPr="00687DE8">
        <w:t>)</w:t>
      </w:r>
      <w:r w:rsidR="00976487" w:rsidRPr="00687DE8">
        <w:rPr>
          <w:rStyle w:val="tyhik"/>
        </w:rPr>
        <w:t xml:space="preserve"> teenust osutatakse </w:t>
      </w:r>
      <w:r w:rsidR="00976487" w:rsidRPr="00687DE8">
        <w:t xml:space="preserve">heas üldseisundis CD30-positiivse mitte-Hodgkini lümfoomi diagnoosiga patsiendile haiguse refraktaarse kulu või retsidiivi korral; </w:t>
      </w:r>
    </w:p>
    <w:p w14:paraId="5278D5DF" w14:textId="77777777" w:rsidR="00976487" w:rsidRPr="00687DE8" w:rsidRDefault="00CA572B">
      <w:pPr>
        <w:pStyle w:val="Normaallaadveeb"/>
        <w:spacing w:before="0" w:after="0" w:afterAutospacing="0"/>
        <w:contextualSpacing/>
        <w:jc w:val="both"/>
        <w:divId w:val="1316184749"/>
      </w:pPr>
      <w:r w:rsidRPr="00687DE8">
        <w:t>4</w:t>
      </w:r>
      <w:r w:rsidR="00976487" w:rsidRPr="00687DE8">
        <w:t xml:space="preserve">) teenust osutatakse heas üldseisundis CD30-positiivse Hodgkini lümfoomi diagnoosiga patsiendile, kellel ASCT järel on suurenenud retsidiveerumise või progresseerumise risk (≥ 2 riskifaktorit). Riskifaktoriteks loetakse järgmisi asjaolusid: primaarne refraktaarne haigus, retsidiivi teke &lt; 12 kuud </w:t>
      </w:r>
      <w:r w:rsidR="00CC44F2" w:rsidRPr="00687DE8">
        <w:t xml:space="preserve">pärast </w:t>
      </w:r>
      <w:r w:rsidR="00976487" w:rsidRPr="00687DE8">
        <w:t>esmavaliku ravi lõppu, ekstranodaalne haaratus siirdamiseelse nn päästva keemiaravi alustamisel, osaline ravivastus või stabiilne haigus kõige viimasele siirdamiseelsele nn päästvale keemiaravikuurile, B-sümptomid siirdamiseelse retsidiivi ajal, kahe või enama nn päästva raviskeemi kasutamine enne siirdamist.</w:t>
      </w:r>
    </w:p>
    <w:p w14:paraId="00B1AB06" w14:textId="77777777" w:rsidR="00976487" w:rsidRPr="00687DE8" w:rsidRDefault="00976487">
      <w:pPr>
        <w:pStyle w:val="Normaallaadveeb"/>
        <w:spacing w:before="0" w:after="0" w:afterAutospacing="0"/>
        <w:jc w:val="both"/>
        <w:divId w:val="1316184749"/>
      </w:pPr>
    </w:p>
    <w:p w14:paraId="3AFAC4F2" w14:textId="77777777" w:rsidR="00976487" w:rsidRPr="00687DE8" w:rsidRDefault="00976487">
      <w:pPr>
        <w:pStyle w:val="Normaallaadveeb"/>
        <w:spacing w:before="0" w:after="0" w:afterAutospacing="0"/>
        <w:jc w:val="both"/>
        <w:divId w:val="1316184749"/>
      </w:pPr>
      <w:r w:rsidRPr="00687DE8">
        <w:t>(3</w:t>
      </w:r>
      <w:r w:rsidR="00831DB7" w:rsidRPr="00687DE8">
        <w:t>2</w:t>
      </w:r>
      <w:r w:rsidRPr="00687DE8">
        <w:t xml:space="preserve">) Koodiga 370R tähistatud ravimiteenuse osutamisel </w:t>
      </w:r>
      <w:r w:rsidR="008F2652" w:rsidRPr="00687DE8">
        <w:t>(v</w:t>
      </w:r>
      <w:r w:rsidR="00F72AD0" w:rsidRPr="00687DE8">
        <w:t>älja arvatud</w:t>
      </w:r>
      <w:r w:rsidR="008F2652" w:rsidRPr="00687DE8">
        <w:t xml:space="preserve"> konsolideeriv ravi)</w:t>
      </w:r>
      <w:r w:rsidRPr="00687DE8">
        <w:t xml:space="preserve"> hinnatakse ravivastust Ameerika Kliinilise Onkoloogia Ühingu 2007. a objektiivsete ravivastuse kriteeriumide alusel (Cheson, B. D. </w:t>
      </w:r>
      <w:r w:rsidRPr="00687DE8">
        <w:rPr>
          <w:i/>
          <w:iCs/>
        </w:rPr>
        <w:t>et al</w:t>
      </w:r>
      <w:r w:rsidRPr="00687DE8">
        <w:t xml:space="preserve">. Revised response criteria for malignant lymphoma. J Clin Oncol 2007; 25:579–86) pärast nelja ravikuuri. </w:t>
      </w:r>
      <w:r w:rsidR="00071792" w:rsidRPr="00687DE8">
        <w:t>Ravi teenusega 370R lõpetatakse pärast nelja ravikuuri (v</w:t>
      </w:r>
      <w:r w:rsidR="00F72AD0" w:rsidRPr="00687DE8">
        <w:t>älja arvatud</w:t>
      </w:r>
      <w:r w:rsidR="00071792" w:rsidRPr="00687DE8">
        <w:t xml:space="preserve"> konsolideeriv ravi), kui patsiendil ei saavutata täielikku või osalist ravivastust.</w:t>
      </w:r>
      <w:r w:rsidRPr="00687DE8">
        <w:t xml:space="preserve"> </w:t>
      </w:r>
    </w:p>
    <w:p w14:paraId="4162417F" w14:textId="77777777" w:rsidR="00976487" w:rsidRPr="00687DE8" w:rsidRDefault="00976487">
      <w:pPr>
        <w:pStyle w:val="Normaallaadveeb"/>
        <w:spacing w:before="0" w:after="0" w:afterAutospacing="0"/>
        <w:jc w:val="both"/>
        <w:divId w:val="1316184749"/>
      </w:pPr>
    </w:p>
    <w:p w14:paraId="7177724F" w14:textId="77777777" w:rsidR="00711182" w:rsidRPr="00687DE8" w:rsidRDefault="00976487">
      <w:pPr>
        <w:pStyle w:val="Normaallaadveeb"/>
        <w:spacing w:before="0" w:after="0" w:afterAutospacing="0"/>
        <w:jc w:val="both"/>
        <w:divId w:val="1316184749"/>
      </w:pPr>
      <w:r w:rsidRPr="00687DE8">
        <w:t>(3</w:t>
      </w:r>
      <w:r w:rsidR="00831DB7" w:rsidRPr="00687DE8">
        <w:t>3</w:t>
      </w:r>
      <w:r w:rsidRPr="00687DE8">
        <w:t>) Koodiga 370R tähistatud ravimiteenust rakendatakse kuni 16 ravikuuri ühe patsiendi kohta</w:t>
      </w:r>
      <w:r w:rsidR="003A71C1" w:rsidRPr="00687DE8">
        <w:rPr>
          <w:lang w:eastAsia="et-EE"/>
        </w:rPr>
        <w:t>, v</w:t>
      </w:r>
      <w:r w:rsidR="00C004D2" w:rsidRPr="00687DE8">
        <w:rPr>
          <w:lang w:eastAsia="et-EE"/>
        </w:rPr>
        <w:t>älja arvatud</w:t>
      </w:r>
      <w:r w:rsidR="003A71C1" w:rsidRPr="00687DE8">
        <w:rPr>
          <w:lang w:eastAsia="et-EE"/>
        </w:rPr>
        <w:t xml:space="preserve"> eelnevalt ravimata perifeerse nodaalse CD30-positiivse T-rakklümfoomi korral, mida on lubatud kasutada kuni </w:t>
      </w:r>
      <w:r w:rsidR="00562717" w:rsidRPr="00687DE8">
        <w:rPr>
          <w:lang w:eastAsia="et-EE"/>
        </w:rPr>
        <w:t>kaheksa</w:t>
      </w:r>
      <w:r w:rsidR="003A71C1" w:rsidRPr="00687DE8">
        <w:rPr>
          <w:lang w:eastAsia="et-EE"/>
        </w:rPr>
        <w:t xml:space="preserve"> ravikuuri ühe patsiendi kohta.</w:t>
      </w:r>
    </w:p>
    <w:p w14:paraId="0E69445A" w14:textId="77777777" w:rsidR="00EB7D1E" w:rsidRPr="00687DE8" w:rsidRDefault="00EB7D1E">
      <w:pPr>
        <w:pStyle w:val="Normaallaadveeb"/>
        <w:spacing w:before="0" w:after="0" w:afterAutospacing="0"/>
        <w:jc w:val="both"/>
        <w:divId w:val="1316184749"/>
      </w:pPr>
    </w:p>
    <w:p w14:paraId="776FE9B6" w14:textId="77777777" w:rsidR="00613CEC" w:rsidRPr="00687DE8" w:rsidRDefault="00613CEC" w:rsidP="00334F99">
      <w:pPr>
        <w:spacing w:after="0" w:line="240" w:lineRule="auto"/>
        <w:jc w:val="both"/>
        <w:divId w:val="1316184749"/>
        <w:rPr>
          <w:szCs w:val="24"/>
          <w:lang w:eastAsia="et-EE"/>
        </w:rPr>
      </w:pPr>
      <w:r w:rsidRPr="00687DE8">
        <w:rPr>
          <w:szCs w:val="24"/>
          <w:lang w:eastAsia="et-EE"/>
        </w:rPr>
        <w:t>(3</w:t>
      </w:r>
      <w:r w:rsidR="00831DB7" w:rsidRPr="00687DE8">
        <w:rPr>
          <w:szCs w:val="24"/>
          <w:lang w:eastAsia="et-EE"/>
        </w:rPr>
        <w:t>4</w:t>
      </w:r>
      <w:r w:rsidRPr="00687DE8">
        <w:rPr>
          <w:szCs w:val="24"/>
          <w:lang w:eastAsia="et-EE"/>
        </w:rPr>
        <w:t>) Koodiga 370R tähistatud ravimiteenuse kasutamisel ei ole lubatud sama</w:t>
      </w:r>
      <w:r w:rsidR="00063D3C" w:rsidRPr="00687DE8">
        <w:rPr>
          <w:szCs w:val="24"/>
          <w:lang w:eastAsia="et-EE"/>
        </w:rPr>
        <w:t xml:space="preserve">l ajal </w:t>
      </w:r>
      <w:r w:rsidRPr="00687DE8">
        <w:rPr>
          <w:szCs w:val="24"/>
          <w:lang w:eastAsia="et-EE"/>
        </w:rPr>
        <w:t>kodeerida ravimiteenust 308R.</w:t>
      </w:r>
    </w:p>
    <w:p w14:paraId="1B65F417" w14:textId="77777777" w:rsidR="00613CEC" w:rsidRPr="00687DE8" w:rsidRDefault="00613CEC" w:rsidP="0018108D">
      <w:pPr>
        <w:pStyle w:val="Normaallaadveeb"/>
        <w:spacing w:before="0" w:after="0" w:afterAutospacing="0"/>
        <w:jc w:val="both"/>
        <w:divId w:val="1316184749"/>
      </w:pPr>
    </w:p>
    <w:p w14:paraId="3151CB55" w14:textId="6B02B91D" w:rsidR="00976487" w:rsidRPr="00687DE8" w:rsidRDefault="00976487" w:rsidP="0018108D">
      <w:pPr>
        <w:pStyle w:val="Normaallaadveeb"/>
        <w:spacing w:before="0" w:after="0" w:afterAutospacing="0"/>
        <w:jc w:val="both"/>
        <w:divId w:val="1316184749"/>
      </w:pPr>
      <w:r w:rsidRPr="00687DE8">
        <w:t>(3</w:t>
      </w:r>
      <w:r w:rsidR="00831DB7" w:rsidRPr="00687DE8">
        <w:t>5</w:t>
      </w:r>
      <w:r w:rsidRPr="00687DE8">
        <w:t xml:space="preserve">) </w:t>
      </w:r>
      <w:r w:rsidR="005023FD" w:rsidRPr="00687DE8">
        <w:t>Tervisekassa</w:t>
      </w:r>
      <w:r w:rsidRPr="00687DE8">
        <w:t xml:space="preserve"> võtab koodiga 371R tähistatud ravimiteenuse eest tasu maksmise kohustuse üle 2–30-aastasel patsiendil kõrgmaliigse mittemetastaatilise osteosarkoomi raviks pärast tuumori makroskoopiliselt täielikku eemaldamist kombinatsioonis keemiaraviga.</w:t>
      </w:r>
    </w:p>
    <w:p w14:paraId="29F23F77" w14:textId="77777777" w:rsidR="00976487" w:rsidRPr="00687DE8" w:rsidRDefault="00976487" w:rsidP="006559D4">
      <w:pPr>
        <w:pStyle w:val="Normaallaadveeb"/>
        <w:spacing w:before="0" w:after="0" w:afterAutospacing="0"/>
        <w:jc w:val="both"/>
        <w:divId w:val="1316184749"/>
      </w:pPr>
    </w:p>
    <w:p w14:paraId="4D798BED" w14:textId="0DDA6FE7" w:rsidR="00976487" w:rsidRPr="00687DE8" w:rsidRDefault="00976487" w:rsidP="006559D4">
      <w:pPr>
        <w:pStyle w:val="Normaallaadveeb"/>
        <w:spacing w:before="0" w:after="0" w:afterAutospacing="0"/>
        <w:jc w:val="both"/>
        <w:divId w:val="1316184749"/>
      </w:pPr>
      <w:r w:rsidRPr="00687DE8">
        <w:t>(3</w:t>
      </w:r>
      <w:r w:rsidR="00831DB7" w:rsidRPr="00687DE8">
        <w:t>6</w:t>
      </w:r>
      <w:r w:rsidRPr="00687DE8">
        <w:t xml:space="preserve">) Koodiga 371R tähistatud ravimiteenuse osutamisel hinnatakse patsiendi ravi taluvust pärast kuue ravikuuri tegemist. Ravi taluvuse korral võtab </w:t>
      </w:r>
      <w:r w:rsidR="005023FD" w:rsidRPr="00687DE8">
        <w:t>Tervisekassa</w:t>
      </w:r>
      <w:r w:rsidRPr="00687DE8">
        <w:t xml:space="preserve"> tasu maksmise kohustuse üle alates seitsmendast ravikuurist.</w:t>
      </w:r>
    </w:p>
    <w:p w14:paraId="4AF9D8D1" w14:textId="77777777" w:rsidR="00976487" w:rsidRPr="00687DE8" w:rsidRDefault="00976487" w:rsidP="006A4866">
      <w:pPr>
        <w:pStyle w:val="Normaallaadveeb"/>
        <w:spacing w:before="0" w:after="0" w:afterAutospacing="0"/>
        <w:jc w:val="both"/>
        <w:divId w:val="1316184749"/>
      </w:pPr>
    </w:p>
    <w:p w14:paraId="6DFF9BF8" w14:textId="77777777" w:rsidR="00976487" w:rsidRPr="00687DE8" w:rsidRDefault="00976487" w:rsidP="006A4866">
      <w:pPr>
        <w:pStyle w:val="Normaallaadveeb"/>
        <w:spacing w:before="0" w:after="0" w:afterAutospacing="0"/>
        <w:jc w:val="both"/>
        <w:divId w:val="1316184749"/>
      </w:pPr>
      <w:r w:rsidRPr="00687DE8">
        <w:t>(3</w:t>
      </w:r>
      <w:r w:rsidR="00831DB7" w:rsidRPr="00687DE8">
        <w:t>7</w:t>
      </w:r>
      <w:r w:rsidRPr="00687DE8">
        <w:t>) Koodiga 371R tähistatud ravimiteenust rakendatakse kuni 48 ravikuuri ühe patsiendi kohta.</w:t>
      </w:r>
    </w:p>
    <w:p w14:paraId="020F7554" w14:textId="77777777" w:rsidR="00976487" w:rsidRPr="00687DE8" w:rsidRDefault="00976487">
      <w:pPr>
        <w:pStyle w:val="Normaallaadveeb"/>
        <w:spacing w:before="0" w:after="0" w:afterAutospacing="0"/>
        <w:jc w:val="both"/>
        <w:divId w:val="1316184749"/>
      </w:pPr>
    </w:p>
    <w:p w14:paraId="2614D14A" w14:textId="77777777" w:rsidR="00976487" w:rsidRPr="00687DE8" w:rsidRDefault="00976487">
      <w:pPr>
        <w:pStyle w:val="Normaallaadveeb"/>
        <w:spacing w:before="0" w:after="0" w:afterAutospacing="0"/>
        <w:jc w:val="both"/>
        <w:divId w:val="1316184749"/>
      </w:pPr>
      <w:r w:rsidRPr="00687DE8">
        <w:lastRenderedPageBreak/>
        <w:t>(</w:t>
      </w:r>
      <w:r w:rsidR="00831DB7" w:rsidRPr="00687DE8">
        <w:t>3</w:t>
      </w:r>
      <w:r w:rsidR="00C45F6B" w:rsidRPr="00687DE8">
        <w:t>8</w:t>
      </w:r>
      <w:r w:rsidRPr="00687DE8">
        <w:t>) Koodiga 375R tähistatud tervishoiuteenust on lubatud kodeerida ühele raviarvele koefitsiendiga 2.</w:t>
      </w:r>
    </w:p>
    <w:p w14:paraId="07ADB917" w14:textId="77777777" w:rsidR="00976487" w:rsidRPr="00687DE8" w:rsidRDefault="00976487">
      <w:pPr>
        <w:pStyle w:val="Normaallaadveeb"/>
        <w:spacing w:before="0" w:after="0" w:afterAutospacing="0"/>
        <w:jc w:val="both"/>
        <w:divId w:val="1316184749"/>
      </w:pPr>
    </w:p>
    <w:p w14:paraId="2EA24A20" w14:textId="77777777" w:rsidR="00976487" w:rsidRPr="00687DE8" w:rsidRDefault="00976487" w:rsidP="00976487">
      <w:pPr>
        <w:pStyle w:val="Normaallaadveeb"/>
        <w:spacing w:before="0" w:after="0" w:afterAutospacing="0"/>
        <w:jc w:val="both"/>
        <w:divId w:val="1316184749"/>
      </w:pPr>
      <w:r w:rsidRPr="00687DE8">
        <w:t>(</w:t>
      </w:r>
      <w:r w:rsidR="00C45F6B" w:rsidRPr="00687DE8">
        <w:t>39</w:t>
      </w:r>
      <w:r w:rsidRPr="00687DE8">
        <w:t>) Koodiga 376R tähistatud tervishoiuteenust rakendatakse kuni kaks korda ühe patsiendi kohta aastas.</w:t>
      </w:r>
    </w:p>
    <w:p w14:paraId="23026BE4" w14:textId="77777777" w:rsidR="00976487" w:rsidRPr="00687DE8" w:rsidRDefault="00976487" w:rsidP="00976487">
      <w:pPr>
        <w:pStyle w:val="Normaallaadveeb"/>
        <w:spacing w:before="0" w:after="0" w:afterAutospacing="0"/>
        <w:jc w:val="both"/>
        <w:divId w:val="1316184749"/>
      </w:pPr>
    </w:p>
    <w:p w14:paraId="2EF1E17F" w14:textId="77777777" w:rsidR="00976487" w:rsidRPr="00687DE8" w:rsidRDefault="00976487" w:rsidP="00976487">
      <w:pPr>
        <w:pStyle w:val="Normaallaadveeb"/>
        <w:spacing w:before="0" w:after="0" w:afterAutospacing="0"/>
        <w:jc w:val="both"/>
        <w:divId w:val="1316184749"/>
      </w:pPr>
      <w:r w:rsidRPr="00687DE8">
        <w:t>(</w:t>
      </w:r>
      <w:r w:rsidR="00C45F6B" w:rsidRPr="00687DE8">
        <w:t>40</w:t>
      </w:r>
      <w:r w:rsidRPr="00687DE8">
        <w:t>) Koodidega 377R–384R ja 387R tähistatud tervishoiuteenuseid rakendatakse üks kord patsiendi kohta.</w:t>
      </w:r>
    </w:p>
    <w:p w14:paraId="10648C8C" w14:textId="77777777" w:rsidR="00976487" w:rsidRPr="00687DE8" w:rsidRDefault="00976487" w:rsidP="00976487">
      <w:pPr>
        <w:pStyle w:val="Normaallaadveeb"/>
        <w:spacing w:before="0" w:after="0" w:afterAutospacing="0"/>
        <w:jc w:val="both"/>
        <w:divId w:val="1316184749"/>
      </w:pPr>
    </w:p>
    <w:p w14:paraId="7C708E4E" w14:textId="76B82902" w:rsidR="00976487" w:rsidRPr="00687DE8" w:rsidRDefault="00976487" w:rsidP="00976487">
      <w:pPr>
        <w:pStyle w:val="Normaallaadveeb"/>
        <w:spacing w:before="0" w:after="0" w:afterAutospacing="0"/>
        <w:jc w:val="both"/>
        <w:divId w:val="1316184749"/>
      </w:pPr>
      <w:r w:rsidRPr="00687DE8">
        <w:t>(</w:t>
      </w:r>
      <w:r w:rsidR="00C45F6B" w:rsidRPr="00687DE8">
        <w:t>41</w:t>
      </w:r>
      <w:r w:rsidRPr="00687DE8">
        <w:t xml:space="preserve">) </w:t>
      </w:r>
      <w:r w:rsidR="005023FD" w:rsidRPr="00687DE8">
        <w:t>Tervisekassa</w:t>
      </w:r>
      <w:r w:rsidR="0052397F" w:rsidRPr="00687DE8">
        <w:t xml:space="preserve"> võtab koodiga</w:t>
      </w:r>
      <w:r w:rsidRPr="00687DE8">
        <w:t xml:space="preserve"> 361R tähistatud ravimiteenuse </w:t>
      </w:r>
      <w:r w:rsidR="003104D2" w:rsidRPr="00687DE8">
        <w:t>eest</w:t>
      </w:r>
      <w:r w:rsidRPr="00687DE8">
        <w:t xml:space="preserve"> tasu maksmise kohustuse üle täiskasvanud patsiendilt, kellele ei ole võimalik siirata vereloome tüvirakke ning kelle seisund vastab rahvusvahelise prognostilise skoori süsteemi IPSS kohaselt teise kesktaseme või kõrge riskiga müelodüsplastilisele sündroomile. Ravi alustamise ja jätkamise otsustab eksper</w:t>
      </w:r>
      <w:r w:rsidR="004E597D" w:rsidRPr="00687DE8">
        <w:t>di</w:t>
      </w:r>
      <w:r w:rsidRPr="00687DE8">
        <w:t>komisjon.</w:t>
      </w:r>
    </w:p>
    <w:p w14:paraId="05103010" w14:textId="77777777" w:rsidR="006D1A73" w:rsidRPr="00687DE8" w:rsidRDefault="006D1A73" w:rsidP="00976487">
      <w:pPr>
        <w:pStyle w:val="Normaallaadveeb"/>
        <w:spacing w:before="0" w:after="0" w:afterAutospacing="0"/>
        <w:jc w:val="both"/>
        <w:divId w:val="1316184749"/>
      </w:pPr>
    </w:p>
    <w:p w14:paraId="591094AD" w14:textId="296FC890" w:rsidR="006D1A73" w:rsidRPr="00687DE8" w:rsidRDefault="006D1A73" w:rsidP="00976487">
      <w:pPr>
        <w:pStyle w:val="Normaallaadveeb"/>
        <w:spacing w:before="0" w:after="0" w:afterAutospacing="0"/>
        <w:jc w:val="both"/>
        <w:divId w:val="1316184749"/>
      </w:pPr>
      <w:r w:rsidRPr="00687DE8">
        <w:t>(</w:t>
      </w:r>
      <w:r w:rsidR="00C45F6B" w:rsidRPr="00687DE8">
        <w:t>42</w:t>
      </w:r>
      <w:r w:rsidRPr="00687DE8">
        <w:t xml:space="preserve">) </w:t>
      </w:r>
      <w:r w:rsidR="005023FD" w:rsidRPr="00687DE8">
        <w:t>Tervisekassa</w:t>
      </w:r>
      <w:r w:rsidR="009A3205" w:rsidRPr="00687DE8">
        <w:t xml:space="preserve"> võtab koodiga</w:t>
      </w:r>
      <w:r w:rsidRPr="00687DE8">
        <w:t xml:space="preserve"> </w:t>
      </w:r>
      <w:r w:rsidR="00587168" w:rsidRPr="00687DE8">
        <w:t xml:space="preserve">361R tähistatud ravimiteenuse </w:t>
      </w:r>
      <w:r w:rsidR="009A3205" w:rsidRPr="00687DE8">
        <w:t>eest</w:t>
      </w:r>
      <w:r w:rsidR="00587168" w:rsidRPr="00687DE8">
        <w:t xml:space="preserve"> tasu maksmise kohustuse üle ägeda müeloidleukeemiaga patsiendilt, kellel intensiivne keemiaravi ja vereloome tüvirakkude siirdamine pole vanuse (&gt;</w:t>
      </w:r>
      <w:r w:rsidR="00430625" w:rsidRPr="00687DE8">
        <w:t xml:space="preserve"> </w:t>
      </w:r>
      <w:r w:rsidR="00587168" w:rsidRPr="00687DE8">
        <w:t>65 eluaasta</w:t>
      </w:r>
      <w:r w:rsidR="00D33924" w:rsidRPr="00687DE8">
        <w:t>t</w:t>
      </w:r>
      <w:r w:rsidR="00587168" w:rsidRPr="00687DE8">
        <w:t>) või kaasuvate haiguste tõttu rakendatav. Ravi alustamise ja jätkamise otsustab eksperdikomisjon</w:t>
      </w:r>
      <w:r w:rsidR="00BF173A" w:rsidRPr="00687DE8">
        <w:t>.</w:t>
      </w:r>
    </w:p>
    <w:p w14:paraId="6C2499E5" w14:textId="77777777" w:rsidR="00976487" w:rsidRPr="00687DE8" w:rsidRDefault="00976487" w:rsidP="00976487">
      <w:pPr>
        <w:pStyle w:val="Normaallaadveeb"/>
        <w:spacing w:before="0" w:after="0" w:afterAutospacing="0"/>
        <w:jc w:val="both"/>
        <w:divId w:val="1316184749"/>
      </w:pPr>
    </w:p>
    <w:p w14:paraId="5330D95B" w14:textId="551C03FA" w:rsidR="00976487" w:rsidRPr="00687DE8" w:rsidRDefault="00976487" w:rsidP="00976487">
      <w:pPr>
        <w:pStyle w:val="Normaallaadveeb"/>
        <w:spacing w:before="0" w:after="0" w:afterAutospacing="0"/>
        <w:jc w:val="both"/>
        <w:divId w:val="1316184749"/>
      </w:pPr>
      <w:r w:rsidRPr="00687DE8">
        <w:t>(</w:t>
      </w:r>
      <w:r w:rsidR="00C45F6B" w:rsidRPr="00687DE8">
        <w:t>43</w:t>
      </w:r>
      <w:r w:rsidRPr="00687DE8">
        <w:t xml:space="preserve">) </w:t>
      </w:r>
      <w:r w:rsidR="005023FD" w:rsidRPr="00687DE8">
        <w:t>Tervisekassa</w:t>
      </w:r>
      <w:r w:rsidR="00522C3F" w:rsidRPr="00687DE8">
        <w:t xml:space="preserve"> võtab koodiga</w:t>
      </w:r>
      <w:r w:rsidRPr="00687DE8">
        <w:t xml:space="preserve"> 361R tähistatud ravimiteenuse </w:t>
      </w:r>
      <w:r w:rsidR="00522C3F" w:rsidRPr="00687DE8">
        <w:t>eest</w:t>
      </w:r>
      <w:r w:rsidRPr="00687DE8">
        <w:t xml:space="preserve"> tasu maksmise kohustuse üle toimeaine koguse eest kuni 75 mg/m² kehapindala kohta ühel ravipäeval. Üks ravitsükkel koosneb kuni seitsmest ravipäevast ja 21-päevasest pausist. Tasu maksmise ülevõtmine lõpetatakse </w:t>
      </w:r>
      <w:r w:rsidR="006815EA" w:rsidRPr="00687DE8">
        <w:t xml:space="preserve">müelodüsplastilise sündroomiga </w:t>
      </w:r>
      <w:r w:rsidRPr="00687DE8">
        <w:t>patsien</w:t>
      </w:r>
      <w:r w:rsidR="00070C1E" w:rsidRPr="00687DE8">
        <w:t>di</w:t>
      </w:r>
      <w:r w:rsidRPr="00687DE8">
        <w:t xml:space="preserve"> eest, kellel pärast kuut ravitsüklit ei ole saavutatud ravivastust</w:t>
      </w:r>
      <w:r w:rsidR="00971462" w:rsidRPr="00687DE8">
        <w:t>,</w:t>
      </w:r>
      <w:r w:rsidR="0026223E" w:rsidRPr="00687DE8">
        <w:t xml:space="preserve"> ning ägeda müeloidleukeemiaga patsien</w:t>
      </w:r>
      <w:r w:rsidR="00070C1E" w:rsidRPr="00687DE8">
        <w:t>di</w:t>
      </w:r>
      <w:r w:rsidR="0026223E" w:rsidRPr="00687DE8">
        <w:t xml:space="preserve"> eest, kellel pärast nelja ravitsüklit ei ole saavutatud ravivastust</w:t>
      </w:r>
      <w:r w:rsidRPr="00687DE8">
        <w:t>.</w:t>
      </w:r>
      <w:r w:rsidR="00011E3E" w:rsidRPr="00687DE8">
        <w:t xml:space="preserve"> Piirang ei rakendu</w:t>
      </w:r>
      <w:r w:rsidR="00AA14C6" w:rsidRPr="00687DE8">
        <w:t xml:space="preserve"> asatsitidiini kasutamisel kombinatsioonis venetoklaksiga</w:t>
      </w:r>
      <w:r w:rsidR="000333CB" w:rsidRPr="00687DE8">
        <w:t xml:space="preserve"> ägeda müeloidleukeemia</w:t>
      </w:r>
      <w:r w:rsidR="0096623F" w:rsidRPr="00687DE8">
        <w:t xml:space="preserve"> ravis.</w:t>
      </w:r>
    </w:p>
    <w:p w14:paraId="140F58F2" w14:textId="77777777" w:rsidR="00976487" w:rsidRPr="00687DE8" w:rsidRDefault="00976487" w:rsidP="00976487">
      <w:pPr>
        <w:pStyle w:val="Normaallaadveeb"/>
        <w:spacing w:before="0" w:after="0" w:afterAutospacing="0"/>
        <w:jc w:val="both"/>
        <w:divId w:val="1316184749"/>
      </w:pPr>
    </w:p>
    <w:p w14:paraId="2BD3EA12" w14:textId="32297414" w:rsidR="00976487" w:rsidRPr="00687DE8" w:rsidRDefault="00976487" w:rsidP="00976487">
      <w:pPr>
        <w:pStyle w:val="Normaallaadveeb"/>
        <w:spacing w:before="0" w:after="0" w:afterAutospacing="0"/>
        <w:jc w:val="both"/>
        <w:divId w:val="1316184749"/>
      </w:pPr>
      <w:r w:rsidRPr="00687DE8">
        <w:t>(</w:t>
      </w:r>
      <w:r w:rsidR="00C45F6B" w:rsidRPr="00687DE8">
        <w:t>44</w:t>
      </w:r>
      <w:r w:rsidRPr="00687DE8">
        <w:t xml:space="preserve">) </w:t>
      </w:r>
      <w:r w:rsidR="005023FD" w:rsidRPr="00687DE8">
        <w:t>Tervisekassa</w:t>
      </w:r>
      <w:r w:rsidRPr="00687DE8">
        <w:t xml:space="preserve"> võtab koodiga 244R tähistatud ravimiteenuse ja koodiga 79469 tähistatud tervishoiuteenuse eest tasu maksmise kohustuse üle </w:t>
      </w:r>
      <w:r w:rsidR="00B67C57" w:rsidRPr="00687DE8">
        <w:t xml:space="preserve">metastaatilise </w:t>
      </w:r>
      <w:r w:rsidRPr="00687DE8">
        <w:t xml:space="preserve">kastreerimise suhtes resistentse eesnäärmevähiga </w:t>
      </w:r>
      <w:r w:rsidR="00514A9D" w:rsidRPr="00687DE8">
        <w:t xml:space="preserve">(mCRPC) </w:t>
      </w:r>
      <w:r w:rsidRPr="00687DE8">
        <w:t xml:space="preserve">täiskasvanud patsiendilt, kellel </w:t>
      </w:r>
      <w:r w:rsidR="008D11DD" w:rsidRPr="00687DE8">
        <w:t xml:space="preserve">on </w:t>
      </w:r>
      <w:r w:rsidRPr="00687DE8">
        <w:t xml:space="preserve">sümptomitega </w:t>
      </w:r>
      <w:r w:rsidR="008C49D6" w:rsidRPr="00687DE8">
        <w:t>luumetastaasid</w:t>
      </w:r>
      <w:r w:rsidRPr="00687DE8">
        <w:t xml:space="preserve"> ning puuduvad teadaolevad vistseraalsed metastaasid, tingimusel, et </w:t>
      </w:r>
      <w:r w:rsidR="00A255E7" w:rsidRPr="00687DE8">
        <w:t xml:space="preserve">patsiendi </w:t>
      </w:r>
      <w:r w:rsidRPr="00687DE8">
        <w:t xml:space="preserve">haigus on progresseerunud </w:t>
      </w:r>
      <w:r w:rsidR="00C874F2" w:rsidRPr="00687DE8">
        <w:t>pärast</w:t>
      </w:r>
      <w:r w:rsidR="00A3766C" w:rsidRPr="00687DE8">
        <w:t xml:space="preserve"> vähemalt kahte eelnevat</w:t>
      </w:r>
      <w:r w:rsidR="006C530B" w:rsidRPr="00687DE8">
        <w:t xml:space="preserve"> </w:t>
      </w:r>
      <w:r w:rsidR="00B73830" w:rsidRPr="00687DE8">
        <w:t>mCRPC</w:t>
      </w:r>
      <w:r w:rsidR="00875219" w:rsidRPr="00687DE8">
        <w:t xml:space="preserve"> süsteemset ravikuuri</w:t>
      </w:r>
      <w:r w:rsidR="00833FB8" w:rsidRPr="00687DE8">
        <w:t xml:space="preserve"> </w:t>
      </w:r>
      <w:r w:rsidR="00E410CA" w:rsidRPr="00687DE8">
        <w:t>(</w:t>
      </w:r>
      <w:r w:rsidR="00833FB8" w:rsidRPr="00687DE8">
        <w:t>v.a ravi LHRH</w:t>
      </w:r>
      <w:r w:rsidR="00E410CA" w:rsidRPr="00687DE8">
        <w:t xml:space="preserve"> analoogidega) </w:t>
      </w:r>
      <w:r w:rsidRPr="00687DE8">
        <w:t xml:space="preserve">või </w:t>
      </w:r>
      <w:r w:rsidR="00F20AC5" w:rsidRPr="00687DE8">
        <w:t>kellele ei sobi ükski olemasolev mCRPC süsteemne ravimeetod</w:t>
      </w:r>
      <w:r w:rsidR="00514A9D" w:rsidRPr="00687DE8">
        <w:t xml:space="preserve">. </w:t>
      </w:r>
    </w:p>
    <w:p w14:paraId="7BC78A2E" w14:textId="77777777" w:rsidR="00976487" w:rsidRPr="00687DE8" w:rsidRDefault="00976487" w:rsidP="00976487">
      <w:pPr>
        <w:pStyle w:val="Normaallaadveeb"/>
        <w:spacing w:before="0" w:after="0" w:afterAutospacing="0"/>
        <w:jc w:val="both"/>
        <w:divId w:val="1316184749"/>
      </w:pPr>
    </w:p>
    <w:p w14:paraId="310CF827" w14:textId="4F4D939D" w:rsidR="00976487" w:rsidRPr="00687DE8" w:rsidRDefault="00976487" w:rsidP="00A16D6A">
      <w:pPr>
        <w:pStyle w:val="Vahedeta"/>
        <w:jc w:val="both"/>
        <w:divId w:val="1316184749"/>
        <w:rPr>
          <w:szCs w:val="24"/>
          <w:lang w:val="et-EE"/>
        </w:rPr>
      </w:pPr>
      <w:r w:rsidRPr="00687DE8">
        <w:rPr>
          <w:szCs w:val="24"/>
          <w:lang w:val="et-EE"/>
        </w:rPr>
        <w:t>(</w:t>
      </w:r>
      <w:r w:rsidR="00C45F6B" w:rsidRPr="00687DE8">
        <w:rPr>
          <w:szCs w:val="24"/>
          <w:lang w:val="et-EE"/>
        </w:rPr>
        <w:t>45</w:t>
      </w:r>
      <w:r w:rsidRPr="00687DE8">
        <w:rPr>
          <w:szCs w:val="24"/>
          <w:lang w:val="et-EE"/>
        </w:rPr>
        <w:t xml:space="preserve">) </w:t>
      </w:r>
      <w:r w:rsidR="005023FD" w:rsidRPr="00687DE8">
        <w:rPr>
          <w:szCs w:val="24"/>
          <w:lang w:val="et-EE"/>
        </w:rPr>
        <w:t>Tervisekassa</w:t>
      </w:r>
      <w:r w:rsidRPr="00687DE8">
        <w:rPr>
          <w:szCs w:val="24"/>
          <w:lang w:val="et-EE"/>
        </w:rPr>
        <w:t xml:space="preserve"> võtab koodiga 244R tähistatud ravimiteenuse eest tasu maksmise kohustuse üle 1., 2., 3. ja 6. teenuse osutamise korra eest. </w:t>
      </w:r>
    </w:p>
    <w:p w14:paraId="5998CA4E" w14:textId="77777777" w:rsidR="00A16D6A" w:rsidRPr="00687DE8" w:rsidRDefault="00A16D6A" w:rsidP="00A16D6A">
      <w:pPr>
        <w:pStyle w:val="Vahedeta"/>
        <w:jc w:val="both"/>
        <w:divId w:val="1316184749"/>
        <w:rPr>
          <w:szCs w:val="24"/>
          <w:lang w:val="et-EE"/>
        </w:rPr>
      </w:pPr>
    </w:p>
    <w:p w14:paraId="5595FFE1" w14:textId="16D7CE3C" w:rsidR="00976487" w:rsidRPr="00687DE8" w:rsidRDefault="00976487" w:rsidP="00A16D6A">
      <w:pPr>
        <w:pStyle w:val="Vahedeta"/>
        <w:jc w:val="both"/>
        <w:divId w:val="1316184749"/>
        <w:rPr>
          <w:szCs w:val="24"/>
          <w:lang w:val="et-EE"/>
        </w:rPr>
      </w:pPr>
      <w:r w:rsidRPr="00687DE8">
        <w:rPr>
          <w:szCs w:val="24"/>
          <w:lang w:val="et-EE"/>
        </w:rPr>
        <w:t>(</w:t>
      </w:r>
      <w:r w:rsidR="00C45F6B" w:rsidRPr="00687DE8">
        <w:rPr>
          <w:szCs w:val="24"/>
          <w:lang w:val="et-EE"/>
        </w:rPr>
        <w:t>46</w:t>
      </w:r>
      <w:r w:rsidRPr="00687DE8">
        <w:rPr>
          <w:szCs w:val="24"/>
          <w:lang w:val="et-EE"/>
        </w:rPr>
        <w:t xml:space="preserve">) Koodiga 395R tähistatud ravimiteenuse korral võtab </w:t>
      </w:r>
      <w:r w:rsidR="005023FD" w:rsidRPr="00687DE8">
        <w:rPr>
          <w:szCs w:val="24"/>
          <w:lang w:val="et-EE"/>
        </w:rPr>
        <w:t>Tervisekassa</w:t>
      </w:r>
      <w:r w:rsidRPr="00687DE8">
        <w:rPr>
          <w:szCs w:val="24"/>
          <w:lang w:val="et-EE"/>
        </w:rPr>
        <w:t xml:space="preserve"> tasu maksmise kohustuse üle tingimusel, et teenust osutatakse täiskasvanud Philadelphia kromosoom-negatiivsele B-eellasrakulise lümfoblastleukeemiaga patsiendile, kelle haigus on retsidiveerunud &lt; 12 kuu jooksul pärast esmast remissiooni või &lt; 12 kuu jooksul pärast allogeenset vereloome tüvirak</w:t>
      </w:r>
      <w:r w:rsidR="005B1E6F" w:rsidRPr="00687DE8">
        <w:rPr>
          <w:szCs w:val="24"/>
          <w:lang w:val="et-EE"/>
        </w:rPr>
        <w:t>kude</w:t>
      </w:r>
      <w:r w:rsidRPr="00687DE8">
        <w:rPr>
          <w:szCs w:val="24"/>
          <w:lang w:val="et-EE"/>
        </w:rPr>
        <w:t xml:space="preserve"> siirdamist või haigus ei ole allunud tsütotoksilisele keemiaravile.</w:t>
      </w:r>
    </w:p>
    <w:p w14:paraId="76864A01" w14:textId="77777777" w:rsidR="00A16D6A" w:rsidRPr="00687DE8" w:rsidRDefault="00A16D6A" w:rsidP="00976487">
      <w:pPr>
        <w:pStyle w:val="Normaallaadveeb"/>
        <w:spacing w:before="0" w:after="0" w:afterAutospacing="0"/>
        <w:jc w:val="both"/>
        <w:divId w:val="1316184749"/>
      </w:pPr>
    </w:p>
    <w:p w14:paraId="18D1FE74" w14:textId="70971B3B" w:rsidR="00063D3C" w:rsidRPr="00687DE8" w:rsidRDefault="00063D3C" w:rsidP="36F27A2C">
      <w:pPr>
        <w:pStyle w:val="Normaallaadveeb"/>
        <w:spacing w:before="0" w:after="0" w:afterAutospacing="0"/>
        <w:jc w:val="both"/>
        <w:divId w:val="1316184749"/>
      </w:pPr>
      <w:r>
        <w:t>(</w:t>
      </w:r>
      <w:r w:rsidR="00C45F6B">
        <w:t>47</w:t>
      </w:r>
      <w:r>
        <w:t xml:space="preserve">) </w:t>
      </w:r>
      <w:bookmarkStart w:id="35" w:name="_Hlk107400325"/>
      <w:r>
        <w:t xml:space="preserve">Koodiga 395R tähistatud ravimiteenust rakendatakse kuni kaks </w:t>
      </w:r>
      <w:r w:rsidR="15A6DBBE">
        <w:t>28</w:t>
      </w:r>
      <w:r w:rsidR="00117B0A">
        <w:t>-</w:t>
      </w:r>
      <w:r w:rsidR="15A6DBBE">
        <w:t>päevast</w:t>
      </w:r>
      <w:r>
        <w:t xml:space="preserve"> ravikuuri</w:t>
      </w:r>
      <w:r w:rsidR="40E53A26">
        <w:t xml:space="preserve"> (s.o kuni 56 korda)</w:t>
      </w:r>
      <w:r>
        <w:t xml:space="preserve"> ühe patsiendi kohta ning </w:t>
      </w:r>
      <w:r w:rsidRPr="36F27A2C">
        <w:rPr>
          <w:color w:val="000000" w:themeColor="text1"/>
        </w:rPr>
        <w:t xml:space="preserve">üksnes patsiendile, </w:t>
      </w:r>
      <w:r>
        <w:t>kellele on plaanis siirata vereloome tüvirakke ja kes ei ole saanud varem ravi koodiga 280R</w:t>
      </w:r>
      <w:r w:rsidR="28B9F9B8">
        <w:t xml:space="preserve">, 286R </w:t>
      </w:r>
      <w:r w:rsidR="36BF5213">
        <w:t>või</w:t>
      </w:r>
      <w:r w:rsidR="28B9F9B8">
        <w:t xml:space="preserve"> 450R</w:t>
      </w:r>
      <w:r>
        <w:t xml:space="preserve"> tähistatud </w:t>
      </w:r>
      <w:bookmarkEnd w:id="35"/>
      <w:r>
        <w:t>ravimiteenusega.</w:t>
      </w:r>
    </w:p>
    <w:p w14:paraId="4B1B65CE" w14:textId="77777777" w:rsidR="00976487" w:rsidRPr="00687DE8" w:rsidRDefault="00976487" w:rsidP="00976487">
      <w:pPr>
        <w:pStyle w:val="Normaallaadveeb"/>
        <w:spacing w:before="0" w:after="0" w:afterAutospacing="0"/>
        <w:jc w:val="both"/>
        <w:divId w:val="1316184749"/>
      </w:pPr>
    </w:p>
    <w:p w14:paraId="751D7C7B" w14:textId="67AA94B7" w:rsidR="00976487" w:rsidRPr="00687DE8" w:rsidRDefault="00976487" w:rsidP="00976487">
      <w:pPr>
        <w:pStyle w:val="Normaallaadveeb"/>
        <w:spacing w:before="0" w:after="0" w:afterAutospacing="0"/>
        <w:jc w:val="both"/>
        <w:divId w:val="1316184749"/>
      </w:pPr>
      <w:r w:rsidRPr="00687DE8">
        <w:t>(</w:t>
      </w:r>
      <w:r w:rsidR="00C45F6B" w:rsidRPr="00687DE8">
        <w:t>48</w:t>
      </w:r>
      <w:r w:rsidRPr="00687DE8">
        <w:t>) Koodiga 238R tähistatud teenus sisaldab daratumumabi</w:t>
      </w:r>
      <w:r w:rsidR="5A0F2C88">
        <w:t>, mida kasutatakse kombinatsioonis lenalidomiidi või bortesomiibiga</w:t>
      </w:r>
      <w:r w:rsidR="004D4263">
        <w:t xml:space="preserve"> </w:t>
      </w:r>
      <w:r w:rsidR="0052660E">
        <w:t>hulgimüeloomi</w:t>
      </w:r>
      <w:r w:rsidR="5A0F2C88">
        <w:t xml:space="preserve"> esimese</w:t>
      </w:r>
      <w:r w:rsidR="00A5223B">
        <w:t>,</w:t>
      </w:r>
      <w:r w:rsidR="5A0F2C88">
        <w:t xml:space="preserve"> teise</w:t>
      </w:r>
      <w:r w:rsidR="001B0AC6">
        <w:t xml:space="preserve"> või kolmanda rea ravivaliku</w:t>
      </w:r>
      <w:r w:rsidR="00741A9B">
        <w:t>s</w:t>
      </w:r>
      <w:r w:rsidR="00491B55">
        <w:t>.</w:t>
      </w:r>
    </w:p>
    <w:p w14:paraId="073D6310" w14:textId="77777777" w:rsidR="00976487" w:rsidRPr="00687DE8" w:rsidRDefault="00976487" w:rsidP="00976487">
      <w:pPr>
        <w:pStyle w:val="Normaallaadveeb"/>
        <w:spacing w:before="0" w:after="0" w:afterAutospacing="0"/>
        <w:jc w:val="both"/>
        <w:divId w:val="1316184749"/>
      </w:pPr>
    </w:p>
    <w:p w14:paraId="590E1156" w14:textId="77777777" w:rsidR="00976487" w:rsidRPr="00687DE8" w:rsidRDefault="00976487" w:rsidP="00976487">
      <w:pPr>
        <w:pStyle w:val="Normaallaadveeb"/>
        <w:spacing w:before="0" w:after="0" w:afterAutospacing="0"/>
        <w:jc w:val="both"/>
        <w:divId w:val="1316184749"/>
      </w:pPr>
      <w:r w:rsidRPr="00687DE8">
        <w:t>(</w:t>
      </w:r>
      <w:r w:rsidR="00C45F6B" w:rsidRPr="00687DE8">
        <w:t>49</w:t>
      </w:r>
      <w:r w:rsidRPr="00687DE8">
        <w:t>) Koodiga 238R tähistatud teenust võib raviarvel kodeerida üks kord iga daratumumabi manustamiskorra kohta.</w:t>
      </w:r>
    </w:p>
    <w:p w14:paraId="0BBBF6BF" w14:textId="77777777" w:rsidR="0085367A" w:rsidRPr="00687DE8" w:rsidRDefault="0085367A" w:rsidP="00976487">
      <w:pPr>
        <w:pStyle w:val="Normaallaadveeb"/>
        <w:spacing w:before="0" w:after="0" w:afterAutospacing="0"/>
        <w:jc w:val="both"/>
        <w:divId w:val="1316184749"/>
      </w:pPr>
    </w:p>
    <w:p w14:paraId="44F5C372" w14:textId="77777777" w:rsidR="007133C9" w:rsidRPr="00687DE8" w:rsidRDefault="00A72602" w:rsidP="00976487">
      <w:pPr>
        <w:pStyle w:val="Normaallaadveeb"/>
        <w:spacing w:before="0" w:after="0" w:afterAutospacing="0"/>
        <w:jc w:val="both"/>
        <w:divId w:val="1316184749"/>
      </w:pPr>
      <w:r w:rsidRPr="00687DE8">
        <w:t>(</w:t>
      </w:r>
      <w:r w:rsidR="00C45F6B" w:rsidRPr="00687DE8">
        <w:t>50</w:t>
      </w:r>
      <w:r w:rsidRPr="00687DE8">
        <w:t>) Koodiga</w:t>
      </w:r>
      <w:r w:rsidR="00AE5AB0" w:rsidRPr="00687DE8">
        <w:t xml:space="preserve"> </w:t>
      </w:r>
      <w:r w:rsidR="00407AD2" w:rsidRPr="00687DE8">
        <w:t>293R tähistatud teenust võib raviarvel</w:t>
      </w:r>
      <w:r w:rsidR="00945352" w:rsidRPr="00687DE8">
        <w:t xml:space="preserve"> kodeerida</w:t>
      </w:r>
      <w:r w:rsidR="00444349" w:rsidRPr="00687DE8">
        <w:t xml:space="preserve"> igakordsel karfilsomiibi manustamisel</w:t>
      </w:r>
      <w:r w:rsidR="00C4081A" w:rsidRPr="00687DE8">
        <w:t xml:space="preserve"> </w:t>
      </w:r>
      <w:r w:rsidR="00B9702F" w:rsidRPr="00687DE8">
        <w:t>hulgas</w:t>
      </w:r>
      <w:r w:rsidR="00C4081A" w:rsidRPr="00687DE8">
        <w:t>, mis vastab</w:t>
      </w:r>
      <w:r w:rsidR="00324113" w:rsidRPr="00687DE8">
        <w:t xml:space="preserve"> individuaalse</w:t>
      </w:r>
      <w:r w:rsidR="00C4081A" w:rsidRPr="00687DE8">
        <w:t xml:space="preserve"> üksikannuse ettevalmistamiseks kulunud toimeaine kogusele</w:t>
      </w:r>
      <w:r w:rsidR="001F7419" w:rsidRPr="00687DE8">
        <w:t xml:space="preserve"> täiskasvanud</w:t>
      </w:r>
      <w:r w:rsidR="005F1500" w:rsidRPr="00687DE8">
        <w:t xml:space="preserve"> patsientidel, kes on </w:t>
      </w:r>
      <w:r w:rsidR="00EF02F0" w:rsidRPr="00687DE8">
        <w:t>varem</w:t>
      </w:r>
      <w:r w:rsidR="005F1500" w:rsidRPr="00687DE8">
        <w:t xml:space="preserve"> saanud </w:t>
      </w:r>
      <w:r w:rsidR="00B82DED" w:rsidRPr="00687DE8">
        <w:t>bortesomiibi sisaldavat ravi.</w:t>
      </w:r>
    </w:p>
    <w:p w14:paraId="78692846" w14:textId="51BEAD49" w:rsidR="00324113" w:rsidRDefault="00324113" w:rsidP="00976487">
      <w:pPr>
        <w:pStyle w:val="Normaallaadveeb"/>
        <w:spacing w:before="0" w:after="0" w:afterAutospacing="0"/>
        <w:jc w:val="both"/>
        <w:divId w:val="1316184749"/>
      </w:pPr>
    </w:p>
    <w:p w14:paraId="750341A2" w14:textId="5E6D307B" w:rsidR="00976487" w:rsidRPr="00687DE8" w:rsidRDefault="00D32193" w:rsidP="00976487">
      <w:pPr>
        <w:pStyle w:val="Normaallaadveeb"/>
        <w:spacing w:before="0" w:after="0" w:afterAutospacing="0"/>
        <w:jc w:val="both"/>
        <w:divId w:val="1316184749"/>
      </w:pPr>
      <w:r w:rsidRPr="00687DE8">
        <w:t>(</w:t>
      </w:r>
      <w:r w:rsidR="00B725F7">
        <w:t>51</w:t>
      </w:r>
      <w:r w:rsidRPr="00687DE8">
        <w:t>) Koodi</w:t>
      </w:r>
      <w:r w:rsidR="00E06E6D" w:rsidRPr="00687DE8">
        <w:t>de</w:t>
      </w:r>
      <w:r w:rsidRPr="00687DE8">
        <w:t xml:space="preserve">ga </w:t>
      </w:r>
      <w:r w:rsidR="004557DD" w:rsidRPr="00687DE8">
        <w:t>293R ja</w:t>
      </w:r>
      <w:r w:rsidR="00835509" w:rsidRPr="00687DE8">
        <w:t xml:space="preserve"> 296R</w:t>
      </w:r>
      <w:r w:rsidR="004557DD">
        <w:t xml:space="preserve"> </w:t>
      </w:r>
      <w:r w:rsidRPr="00687DE8">
        <w:t>tähistatud teenus</w:t>
      </w:r>
      <w:r w:rsidR="00134278" w:rsidRPr="00687DE8">
        <w:t>t</w:t>
      </w:r>
      <w:r w:rsidRPr="00687DE8">
        <w:t>e osutamise korral pole lubatud samal ajal osutada koodiga 317R tähistatud teenust.</w:t>
      </w:r>
    </w:p>
    <w:p w14:paraId="18F9CE7A" w14:textId="77777777" w:rsidR="000651A8" w:rsidRPr="00687DE8" w:rsidRDefault="000651A8" w:rsidP="00976487">
      <w:pPr>
        <w:pStyle w:val="Normaallaadveeb"/>
        <w:spacing w:before="0" w:after="0" w:afterAutospacing="0"/>
        <w:jc w:val="both"/>
        <w:divId w:val="1316184749"/>
      </w:pPr>
    </w:p>
    <w:p w14:paraId="4272E414" w14:textId="1DE9C44B" w:rsidR="009B30F0" w:rsidRPr="00687DE8" w:rsidRDefault="00976487" w:rsidP="00976487">
      <w:pPr>
        <w:pStyle w:val="Normaallaadveeb"/>
        <w:spacing w:before="0" w:after="0" w:afterAutospacing="0"/>
        <w:jc w:val="both"/>
        <w:divId w:val="1316184749"/>
      </w:pPr>
      <w:r w:rsidRPr="00687DE8">
        <w:t>(</w:t>
      </w:r>
      <w:r w:rsidR="00B725F7">
        <w:t>52</w:t>
      </w:r>
      <w:r w:rsidRPr="00687DE8">
        <w:t xml:space="preserve">) </w:t>
      </w:r>
      <w:r w:rsidR="005023FD" w:rsidRPr="00687DE8">
        <w:t>Tervisekassa</w:t>
      </w:r>
      <w:r w:rsidR="00B07FFB" w:rsidRPr="00687DE8">
        <w:t xml:space="preserve"> võtab koodidega 254R ja 255R tähistatud ravimiteenuste eest tasu maksmise kohustuse üle kuni haiguse progresseerumiseni mitteresetseeritava lokoregionaalselt levinud (IIIc/d staadium) või kaugelearenenud (IV staadium) melanoomiga haigelt, kelle sooritusvõime ECOG skaalal on 0–1. Kui eelnimetatud patsient on varasemas ravireas saanud resektsioonijärgset adjuvantravi PD-1 inhibiitoriga (kood 289R), võtab </w:t>
      </w:r>
      <w:r w:rsidR="005023FD" w:rsidRPr="00687DE8">
        <w:t>Tervisekassa</w:t>
      </w:r>
      <w:r w:rsidR="00B07FFB" w:rsidRPr="00687DE8">
        <w:t xml:space="preserve"> tasu maksmise kohustuse üle üksnes juhul, kui patsiendi haigus on taastekkinud eelnimetatud staadiumitesse ≥ 6-kuulise haigusvaba perioodi järel. Koodidega 254R ja 255R tähistatud ravimiteenuseid ei ole lubatud kodeerida patsiendil, kes katkestas adjuvantravi (kood 289R) haiguse progressiooni tõttu ravi ajal või kui haigus progresseerus vahetult pärast ravi lõppu (≤ 6 kuu jooksul).</w:t>
      </w:r>
    </w:p>
    <w:p w14:paraId="4CA4B13A" w14:textId="77777777" w:rsidR="00B07FFB" w:rsidRPr="00687DE8" w:rsidRDefault="00B07FFB" w:rsidP="00976487">
      <w:pPr>
        <w:pStyle w:val="Normaallaadveeb"/>
        <w:spacing w:before="0" w:after="0" w:afterAutospacing="0"/>
        <w:jc w:val="both"/>
        <w:divId w:val="1316184749"/>
      </w:pPr>
    </w:p>
    <w:p w14:paraId="652FCF5E" w14:textId="2C1C210D" w:rsidR="00976487" w:rsidRPr="00687DE8" w:rsidRDefault="00976487" w:rsidP="00976487">
      <w:pPr>
        <w:pStyle w:val="Normaallaadveeb"/>
        <w:spacing w:before="0" w:after="0" w:afterAutospacing="0"/>
        <w:jc w:val="both"/>
        <w:divId w:val="1316184749"/>
      </w:pPr>
      <w:r w:rsidRPr="00687DE8">
        <w:t>(</w:t>
      </w:r>
      <w:r w:rsidR="00B725F7">
        <w:t>53</w:t>
      </w:r>
      <w:r w:rsidRPr="00687DE8">
        <w:t>) Koodiga 254R tähistatud teenus sisaldab pembrolizumabi monoravina eelnevalt mitteravitud metastaatilise mitteväikerakk-kopsukasvajaga patsiendil, kelle kasvaja ekspresseerib PD-L1 kasvaja proportsiooni skooriga (TPS) ≥ 50% ja kellel ei esine EGFR- ega ALK-positiivseid kasvaja mutatsioone.</w:t>
      </w:r>
    </w:p>
    <w:p w14:paraId="7633260E" w14:textId="77777777" w:rsidR="7307E917" w:rsidRPr="00687DE8" w:rsidRDefault="7307E917" w:rsidP="7307E917">
      <w:pPr>
        <w:pStyle w:val="Normaallaadveeb"/>
        <w:spacing w:before="0" w:after="0" w:afterAutospacing="0"/>
        <w:jc w:val="both"/>
      </w:pPr>
    </w:p>
    <w:p w14:paraId="6EB7F07A" w14:textId="4E2CC537" w:rsidR="00336719" w:rsidRPr="00687DE8" w:rsidRDefault="33B3A916" w:rsidP="7307E917">
      <w:pPr>
        <w:pStyle w:val="Normaallaadveeb"/>
        <w:spacing w:before="0" w:after="0" w:afterAutospacing="0"/>
        <w:jc w:val="both"/>
      </w:pPr>
      <w:r w:rsidRPr="00687DE8">
        <w:t>(</w:t>
      </w:r>
      <w:r w:rsidR="00B725F7">
        <w:t>54</w:t>
      </w:r>
      <w:r w:rsidRPr="00687DE8">
        <w:t xml:space="preserve">) </w:t>
      </w:r>
      <w:r w:rsidR="005023FD" w:rsidRPr="00687DE8">
        <w:t>Tervisekassa</w:t>
      </w:r>
      <w:r w:rsidRPr="00687DE8">
        <w:t xml:space="preserve"> võtab koodiga 254R tähistatud ravimiteenuse eest tasu maksmise kohustuse üle mikrosatelliitide kõrge ebastabiilsusega (</w:t>
      </w:r>
      <w:r w:rsidRPr="00687DE8">
        <w:rPr>
          <w:i/>
          <w:iCs/>
        </w:rPr>
        <w:t>microsatellite instability-high</w:t>
      </w:r>
      <w:r w:rsidRPr="00687DE8">
        <w:t>, MSI-H) või valepaardumisreparatsiooni geeni defekt</w:t>
      </w:r>
      <w:r w:rsidR="0B263545" w:rsidRPr="00687DE8">
        <w:t>iga</w:t>
      </w:r>
      <w:r w:rsidRPr="00687DE8">
        <w:t xml:space="preserve"> (</w:t>
      </w:r>
      <w:r w:rsidRPr="00687DE8">
        <w:rPr>
          <w:i/>
          <w:iCs/>
        </w:rPr>
        <w:t>mismatch repair deficient</w:t>
      </w:r>
      <w:r w:rsidRPr="00687DE8">
        <w:t xml:space="preserve">, dMMR) </w:t>
      </w:r>
      <w:r w:rsidR="00053AA0" w:rsidRPr="00687DE8">
        <w:t>patsientidel</w:t>
      </w:r>
      <w:r w:rsidR="00336719" w:rsidRPr="00687DE8">
        <w:t>:</w:t>
      </w:r>
    </w:p>
    <w:p w14:paraId="613E8E1B" w14:textId="0E92C482" w:rsidR="00AF7F02" w:rsidRPr="00687DE8" w:rsidRDefault="00336719" w:rsidP="00AF7F02">
      <w:pPr>
        <w:pStyle w:val="Normaallaadveeb"/>
        <w:spacing w:before="0" w:after="0" w:afterAutospacing="0"/>
        <w:jc w:val="both"/>
      </w:pPr>
      <w:r w:rsidRPr="00687DE8">
        <w:t>1)</w:t>
      </w:r>
      <w:r w:rsidR="33B3A916" w:rsidRPr="00687DE8">
        <w:t xml:space="preserve"> metastaatilise kolorektaalvähi esimese rea raviks täiskasvanutele</w:t>
      </w:r>
      <w:r w:rsidRPr="00687DE8">
        <w:t>;</w:t>
      </w:r>
    </w:p>
    <w:p w14:paraId="05C90197" w14:textId="756421B6" w:rsidR="00AF7F02" w:rsidRPr="00687DE8" w:rsidRDefault="003A4686" w:rsidP="00AF7F02">
      <w:pPr>
        <w:pStyle w:val="Normaallaadveeb"/>
        <w:spacing w:before="0" w:after="0" w:afterAutospacing="0"/>
        <w:jc w:val="both"/>
      </w:pPr>
      <w:r w:rsidRPr="00687DE8">
        <w:t>2)</w:t>
      </w:r>
      <w:r w:rsidR="00E46FDB" w:rsidRPr="00687DE8">
        <w:t xml:space="preserve"> mitteresetseeritav</w:t>
      </w:r>
      <w:r w:rsidR="322386B6" w:rsidRPr="00687DE8">
        <w:t>a</w:t>
      </w:r>
      <w:r w:rsidR="00E46FDB" w:rsidRPr="00687DE8">
        <w:t xml:space="preserve"> või metastaatili</w:t>
      </w:r>
      <w:r w:rsidR="0FED4A86" w:rsidRPr="00687DE8">
        <w:t>se</w:t>
      </w:r>
      <w:r w:rsidR="00E46FDB" w:rsidRPr="00687DE8">
        <w:t xml:space="preserve"> kolorektaalväh</w:t>
      </w:r>
      <w:r w:rsidR="37C75CD9" w:rsidRPr="00687DE8">
        <w:t>i raviks</w:t>
      </w:r>
      <w:r w:rsidR="00E46FDB" w:rsidRPr="00687DE8">
        <w:t xml:space="preserve"> pärast varasemat fluoropürimidiinipõhist kombinatsioonravi</w:t>
      </w:r>
      <w:r w:rsidR="00AF7F02" w:rsidRPr="00687DE8">
        <w:t>;</w:t>
      </w:r>
    </w:p>
    <w:p w14:paraId="78A48B36" w14:textId="1CDB97F1" w:rsidR="00E46FDB" w:rsidRPr="00687DE8" w:rsidRDefault="00AF7F02" w:rsidP="00F00D8A">
      <w:pPr>
        <w:pStyle w:val="Normaallaadveeb"/>
        <w:spacing w:before="0" w:after="0" w:afterAutospacing="0"/>
        <w:jc w:val="both"/>
      </w:pPr>
      <w:r w:rsidRPr="00687DE8">
        <w:t>3</w:t>
      </w:r>
      <w:r w:rsidR="00E46FDB" w:rsidRPr="00687DE8">
        <w:t>) kaugelearenenud või retsidiveerunud endomeetriumi</w:t>
      </w:r>
      <w:r w:rsidR="7BE654AA" w:rsidRPr="00687DE8">
        <w:t>vähi raviks</w:t>
      </w:r>
      <w:r w:rsidR="00E46FDB" w:rsidRPr="00687DE8">
        <w:t xml:space="preserve">, </w:t>
      </w:r>
      <w:r w:rsidR="55981F67" w:rsidRPr="00687DE8">
        <w:t>kui</w:t>
      </w:r>
      <w:r w:rsidR="00E46FDB" w:rsidRPr="00687DE8">
        <w:t xml:space="preserve"> haigus on </w:t>
      </w:r>
      <w:r w:rsidR="1EE8F66B" w:rsidRPr="00687DE8">
        <w:t>progresseerunud</w:t>
      </w:r>
      <w:r w:rsidR="00E46FDB" w:rsidRPr="00687DE8">
        <w:t xml:space="preserve"> eelneva plaatina</w:t>
      </w:r>
      <w:r w:rsidR="005F21C4" w:rsidRPr="00687DE8">
        <w:t>t</w:t>
      </w:r>
      <w:r w:rsidR="00E46FDB" w:rsidRPr="00687DE8">
        <w:t xml:space="preserve"> sisaldava ravi ajal või järel ning kes ei sobi kuratiivseks kirurgiliseks ega kiiritusraviks</w:t>
      </w:r>
      <w:r w:rsidRPr="00687DE8">
        <w:t>;</w:t>
      </w:r>
    </w:p>
    <w:p w14:paraId="2347F048" w14:textId="31E25964" w:rsidR="33B3A916" w:rsidRPr="00687DE8" w:rsidRDefault="00AF7F02" w:rsidP="7307E917">
      <w:pPr>
        <w:pStyle w:val="Normaallaadveeb"/>
        <w:spacing w:before="0" w:after="0" w:afterAutospacing="0"/>
        <w:jc w:val="both"/>
      </w:pPr>
      <w:r w:rsidRPr="00687DE8">
        <w:t>4</w:t>
      </w:r>
      <w:r w:rsidR="00E46FDB" w:rsidRPr="00687DE8">
        <w:t>) mitteresetseeritav</w:t>
      </w:r>
      <w:r w:rsidR="4E232A00" w:rsidRPr="00687DE8">
        <w:t>a</w:t>
      </w:r>
      <w:r w:rsidR="00E46FDB" w:rsidRPr="00687DE8">
        <w:t xml:space="preserve"> või metastaatili</w:t>
      </w:r>
      <w:r w:rsidR="54BE902A" w:rsidRPr="00687DE8">
        <w:t>s</w:t>
      </w:r>
      <w:r w:rsidR="00E46FDB" w:rsidRPr="00687DE8">
        <w:t>e mao, peensoole või sapiteede vä</w:t>
      </w:r>
      <w:r w:rsidR="1E09C853" w:rsidRPr="00687DE8">
        <w:t>hi raviks</w:t>
      </w:r>
      <w:r w:rsidR="00E46FDB" w:rsidRPr="00687DE8">
        <w:t xml:space="preserve">, </w:t>
      </w:r>
      <w:r w:rsidR="0AE433AE" w:rsidRPr="00687DE8">
        <w:t>kui</w:t>
      </w:r>
      <w:r w:rsidR="00E46FDB" w:rsidRPr="00687DE8">
        <w:t xml:space="preserve"> haigus on </w:t>
      </w:r>
      <w:r w:rsidR="53A49CDE" w:rsidRPr="00687DE8">
        <w:t>progresseerunud</w:t>
      </w:r>
      <w:r w:rsidR="00E46FDB" w:rsidRPr="00687DE8">
        <w:t xml:space="preserve"> vähemalt ühe eelneva ravi ajal või järel</w:t>
      </w:r>
      <w:r w:rsidR="33B3A916" w:rsidRPr="00687DE8">
        <w:t>.</w:t>
      </w:r>
    </w:p>
    <w:p w14:paraId="19D9C41D" w14:textId="77777777" w:rsidR="00976487" w:rsidRPr="00687DE8" w:rsidRDefault="00976487" w:rsidP="00976487">
      <w:pPr>
        <w:pStyle w:val="Normaallaadveeb"/>
        <w:spacing w:before="0" w:after="0" w:afterAutospacing="0"/>
        <w:jc w:val="both"/>
        <w:divId w:val="1316184749"/>
      </w:pPr>
    </w:p>
    <w:p w14:paraId="622894FC" w14:textId="7E4A2146" w:rsidR="006657B6" w:rsidRPr="00687DE8" w:rsidRDefault="00847BA9" w:rsidP="00976487">
      <w:pPr>
        <w:pStyle w:val="Normaallaadveeb"/>
        <w:spacing w:before="0" w:after="0" w:afterAutospacing="0"/>
        <w:jc w:val="both"/>
        <w:divId w:val="1316184749"/>
      </w:pPr>
      <w:r w:rsidRPr="00687DE8">
        <w:t>(</w:t>
      </w:r>
      <w:r w:rsidR="00B725F7">
        <w:t>55</w:t>
      </w:r>
      <w:r w:rsidRPr="00687DE8">
        <w:t xml:space="preserve">) Koodiga </w:t>
      </w:r>
      <w:r w:rsidR="008C0DD3" w:rsidRPr="00687DE8">
        <w:t>294</w:t>
      </w:r>
      <w:r w:rsidRPr="00687DE8">
        <w:t xml:space="preserve">R tähistatud teenus sisaldab </w:t>
      </w:r>
      <w:r w:rsidR="00C11332" w:rsidRPr="00687DE8">
        <w:t>atesolizumabi</w:t>
      </w:r>
      <w:r w:rsidRPr="00687DE8">
        <w:t xml:space="preserve"> monoravina</w:t>
      </w:r>
      <w:r w:rsidR="006657B6" w:rsidRPr="00687DE8">
        <w:t>:</w:t>
      </w:r>
    </w:p>
    <w:p w14:paraId="365783DD" w14:textId="2F50DA21" w:rsidR="00050D0C" w:rsidRPr="00687DE8" w:rsidRDefault="00A95311" w:rsidP="005E6237">
      <w:pPr>
        <w:pStyle w:val="Normaallaadveeb"/>
        <w:spacing w:before="0" w:after="0" w:afterAutospacing="0"/>
        <w:jc w:val="both"/>
        <w:divId w:val="1316184749"/>
      </w:pPr>
      <w:r w:rsidRPr="00687DE8">
        <w:t>1)</w:t>
      </w:r>
      <w:r w:rsidR="00847BA9" w:rsidRPr="00687DE8">
        <w:t xml:space="preserve"> </w:t>
      </w:r>
      <w:r w:rsidR="0592D871" w:rsidRPr="00687DE8">
        <w:t>levinud mitteväikerakk-kopsukasvaja esimese rea raviks täiskasvanul</w:t>
      </w:r>
      <w:r w:rsidR="00A57A91" w:rsidRPr="00687DE8">
        <w:t>,</w:t>
      </w:r>
      <w:r w:rsidR="0592D871" w:rsidRPr="00687DE8">
        <w:t xml:space="preserve"> kui kasvaja ekspresseerib PD-L1 kasvaja proportsiooni skooriga (TPS) </w:t>
      </w:r>
      <w:r w:rsidR="0592D871" w:rsidRPr="00687DE8">
        <w:rPr>
          <w:iCs/>
          <w:color w:val="000000" w:themeColor="text1"/>
        </w:rPr>
        <w:t>≥ 50%</w:t>
      </w:r>
      <w:r w:rsidR="0592D871" w:rsidRPr="00687DE8">
        <w:t xml:space="preserve"> ja ei esine </w:t>
      </w:r>
      <w:bookmarkStart w:id="36" w:name="_Hlk152077791"/>
      <w:r w:rsidR="0592D871" w:rsidRPr="00687DE8">
        <w:t>EGFR- ega ALK-</w:t>
      </w:r>
      <w:r w:rsidR="00BB6E8B" w:rsidRPr="00687DE8">
        <w:t xml:space="preserve">positiivseid kasvaja </w:t>
      </w:r>
      <w:r w:rsidR="004A384B" w:rsidRPr="00687DE8">
        <w:t>mutatsioone;</w:t>
      </w:r>
      <w:bookmarkEnd w:id="36"/>
    </w:p>
    <w:p w14:paraId="5534BBB6" w14:textId="77777777" w:rsidR="004F1BF3" w:rsidRDefault="00A95311" w:rsidP="00976487">
      <w:pPr>
        <w:pStyle w:val="Normaallaadveeb"/>
        <w:spacing w:before="0" w:after="0" w:afterAutospacing="0"/>
        <w:jc w:val="both"/>
        <w:divId w:val="1316184749"/>
      </w:pPr>
      <w:r w:rsidRPr="00687DE8">
        <w:t>2) mitteväikerakk</w:t>
      </w:r>
      <w:r w:rsidR="002A600D" w:rsidRPr="00687DE8">
        <w:t>-</w:t>
      </w:r>
      <w:r w:rsidRPr="00687DE8">
        <w:t xml:space="preserve">kopsuvähi </w:t>
      </w:r>
      <w:r w:rsidR="006810C9" w:rsidRPr="00687DE8">
        <w:t>adjuvant</w:t>
      </w:r>
      <w:r w:rsidR="1D5FEC3F" w:rsidRPr="00687DE8">
        <w:t>raviks</w:t>
      </w:r>
      <w:r w:rsidRPr="00687DE8">
        <w:t xml:space="preserve"> pärast kasvaja täielikku resektsiooni ja plaatinapõhist </w:t>
      </w:r>
    </w:p>
    <w:p w14:paraId="47509245" w14:textId="232ECB29" w:rsidR="00891FA4" w:rsidRPr="00687DE8" w:rsidRDefault="73CDF015" w:rsidP="00976487">
      <w:pPr>
        <w:pStyle w:val="Normaallaadveeb"/>
        <w:spacing w:before="0" w:after="0" w:afterAutospacing="0"/>
        <w:jc w:val="both"/>
        <w:divId w:val="1316184749"/>
      </w:pPr>
      <w:r w:rsidRPr="00687DE8">
        <w:lastRenderedPageBreak/>
        <w:t>keemiaravi</w:t>
      </w:r>
      <w:r w:rsidR="00A95311" w:rsidRPr="00687DE8">
        <w:t xml:space="preserve"> täiskasvanu</w:t>
      </w:r>
      <w:r w:rsidR="0071355C" w:rsidRPr="00687DE8">
        <w:t>l,</w:t>
      </w:r>
      <w:r w:rsidR="00A95311" w:rsidRPr="00687DE8">
        <w:t xml:space="preserve"> kellel on suur retsidiivi risk ning kelle kasvaja </w:t>
      </w:r>
      <w:r w:rsidR="6C5C734E" w:rsidRPr="00687DE8">
        <w:t xml:space="preserve">ekspresseerib </w:t>
      </w:r>
      <w:r w:rsidR="00A95311" w:rsidRPr="00687DE8">
        <w:t xml:space="preserve">PD-L1 </w:t>
      </w:r>
      <w:r w:rsidR="6C5C734E" w:rsidRPr="00687DE8">
        <w:t>kasvaja proportsiooni skooriga (TPS)</w:t>
      </w:r>
      <w:r w:rsidR="00A95311" w:rsidRPr="00687DE8">
        <w:t xml:space="preserve"> </w:t>
      </w:r>
      <w:r w:rsidR="00A95311" w:rsidRPr="00687DE8">
        <w:rPr>
          <w:iCs/>
        </w:rPr>
        <w:t>≥ 50%</w:t>
      </w:r>
      <w:r w:rsidR="6C5C734E" w:rsidRPr="00687DE8">
        <w:rPr>
          <w:iCs/>
        </w:rPr>
        <w:t xml:space="preserve"> </w:t>
      </w:r>
      <w:r w:rsidR="00A95311" w:rsidRPr="00687DE8">
        <w:rPr>
          <w:iCs/>
        </w:rPr>
        <w:t>ja</w:t>
      </w:r>
      <w:r w:rsidR="00A95311" w:rsidRPr="00687DE8">
        <w:t xml:space="preserve"> ei </w:t>
      </w:r>
      <w:r w:rsidR="6C5C734E" w:rsidRPr="00687DE8">
        <w:t>esine</w:t>
      </w:r>
      <w:r w:rsidR="00A95311" w:rsidRPr="00687DE8">
        <w:t xml:space="preserve"> </w:t>
      </w:r>
      <w:r w:rsidR="00BB6E8B" w:rsidRPr="00687DE8">
        <w:t>EGFR- ega ALK-positiivseid kasvaja mutatsioone.</w:t>
      </w:r>
    </w:p>
    <w:p w14:paraId="707D060F" w14:textId="77777777" w:rsidR="00BB6E8B" w:rsidRPr="00687DE8" w:rsidRDefault="00BB6E8B" w:rsidP="00976487">
      <w:pPr>
        <w:pStyle w:val="Normaallaadveeb"/>
        <w:spacing w:before="0" w:after="0" w:afterAutospacing="0"/>
        <w:jc w:val="both"/>
        <w:divId w:val="1316184749"/>
      </w:pPr>
    </w:p>
    <w:p w14:paraId="79082C97" w14:textId="718D0201" w:rsidR="00B357AF" w:rsidRPr="00687DE8" w:rsidRDefault="00B357AF" w:rsidP="00976487">
      <w:pPr>
        <w:pStyle w:val="Normaallaadveeb"/>
        <w:spacing w:before="0" w:after="0" w:afterAutospacing="0"/>
        <w:jc w:val="both"/>
        <w:divId w:val="1316184749"/>
      </w:pPr>
      <w:r w:rsidRPr="00687DE8">
        <w:t>(</w:t>
      </w:r>
      <w:r w:rsidR="00B725F7">
        <w:t>56</w:t>
      </w:r>
      <w:r w:rsidRPr="00687DE8">
        <w:t>)</w:t>
      </w:r>
      <w:r w:rsidR="00827382" w:rsidRPr="00687DE8">
        <w:t xml:space="preserve"> Koodiga </w:t>
      </w:r>
      <w:r w:rsidR="008C0DD3" w:rsidRPr="00687DE8">
        <w:t>295</w:t>
      </w:r>
      <w:r w:rsidR="00827382" w:rsidRPr="00687DE8">
        <w:t>R tähistatud teenus sisaldab atesolizumabi monoravina</w:t>
      </w:r>
      <w:r w:rsidR="00444BE8" w:rsidRPr="00687DE8">
        <w:t xml:space="preserve"> lokaalselt levinud või metastaatilise </w:t>
      </w:r>
      <w:r w:rsidR="00E2424E" w:rsidRPr="00687DE8">
        <w:t xml:space="preserve">mitteväikerakk-kopsuvähi </w:t>
      </w:r>
      <w:r w:rsidR="000709BF" w:rsidRPr="00687DE8">
        <w:t>ravis pärast eelnevat</w:t>
      </w:r>
      <w:r w:rsidR="00DA30D4" w:rsidRPr="00687DE8">
        <w:t xml:space="preserve"> keemiaravi</w:t>
      </w:r>
      <w:r w:rsidR="00E1390E" w:rsidRPr="00687DE8">
        <w:t>.</w:t>
      </w:r>
    </w:p>
    <w:p w14:paraId="49A3A0A7" w14:textId="77777777" w:rsidR="00050D0C" w:rsidRPr="00687DE8" w:rsidRDefault="00050D0C" w:rsidP="00976487">
      <w:pPr>
        <w:pStyle w:val="Normaallaadveeb"/>
        <w:spacing w:before="0" w:after="0" w:afterAutospacing="0"/>
        <w:jc w:val="both"/>
        <w:divId w:val="1316184749"/>
      </w:pPr>
    </w:p>
    <w:p w14:paraId="34EF144C" w14:textId="23A3E214" w:rsidR="00976487" w:rsidRPr="00687DE8" w:rsidRDefault="00976487" w:rsidP="005E6237">
      <w:pPr>
        <w:pStyle w:val="Normaallaadveeb"/>
        <w:spacing w:before="0" w:after="0" w:afterAutospacing="0"/>
        <w:jc w:val="both"/>
      </w:pPr>
      <w:r w:rsidRPr="00687DE8">
        <w:t>(</w:t>
      </w:r>
      <w:r w:rsidR="00B725F7">
        <w:t>57</w:t>
      </w:r>
      <w:r w:rsidRPr="00687DE8">
        <w:t xml:space="preserve">) </w:t>
      </w:r>
      <w:r w:rsidR="2D1D0415" w:rsidRPr="00687DE8">
        <w:t xml:space="preserve">Koodiga 268R tähistatud </w:t>
      </w:r>
      <w:r w:rsidR="002D1C59" w:rsidRPr="00687DE8">
        <w:t>ravimi</w:t>
      </w:r>
      <w:r w:rsidR="2D1D0415" w:rsidRPr="00687DE8">
        <w:t>teenus sisaldab pembrolizumabi kombinatsioonravi koos plaatinapõhise keemiaraviga levinud mitteväikerakk-kopsukasvaja esimese rea raviks täiskasvanul</w:t>
      </w:r>
      <w:r w:rsidR="006810C9" w:rsidRPr="00687DE8">
        <w:t>,</w:t>
      </w:r>
      <w:r w:rsidR="2D1D0415" w:rsidRPr="00687DE8">
        <w:t xml:space="preserve"> kui kasvaja ekspresseerib PD-L1 kasvaja proportsiooni skooriga (TPS) </w:t>
      </w:r>
      <w:r w:rsidR="006810C9" w:rsidRPr="00687DE8">
        <w:t>1–</w:t>
      </w:r>
      <w:r w:rsidR="2D1D0415" w:rsidRPr="00687DE8">
        <w:t xml:space="preserve">49% ja ei esine </w:t>
      </w:r>
      <w:r w:rsidR="00BB6E8B" w:rsidRPr="00687DE8">
        <w:t>EGFR- ega ALK-positiivseid kasvaja mutatsioone.</w:t>
      </w:r>
    </w:p>
    <w:p w14:paraId="18A6AB47" w14:textId="77777777" w:rsidR="009B30F0" w:rsidRPr="00687DE8" w:rsidRDefault="009B30F0" w:rsidP="00976487">
      <w:pPr>
        <w:pStyle w:val="Normaallaadveeb"/>
        <w:spacing w:before="0" w:after="0" w:afterAutospacing="0"/>
        <w:jc w:val="both"/>
        <w:divId w:val="1316184749"/>
      </w:pPr>
    </w:p>
    <w:p w14:paraId="4D057884" w14:textId="6124E2D8" w:rsidR="00976487" w:rsidRPr="00687DE8" w:rsidRDefault="00976487" w:rsidP="00976487">
      <w:pPr>
        <w:pStyle w:val="Normaallaadveeb"/>
        <w:spacing w:before="0" w:after="0" w:afterAutospacing="0"/>
        <w:jc w:val="both"/>
        <w:divId w:val="1316184749"/>
      </w:pPr>
      <w:r w:rsidRPr="00687DE8">
        <w:t>(</w:t>
      </w:r>
      <w:r w:rsidR="00B725F7">
        <w:t>58</w:t>
      </w:r>
      <w:r w:rsidRPr="00687DE8">
        <w:t xml:space="preserve">) </w:t>
      </w:r>
      <w:r w:rsidR="005023FD" w:rsidRPr="00687DE8">
        <w:t>Tervisekassa</w:t>
      </w:r>
      <w:r w:rsidRPr="00687DE8">
        <w:t xml:space="preserve"> võtab koodiga 254R või 255R tähistatud ravimiteenuse eest tasu maksmise kohustuse üle retsidiveerunud või refraktaarse klassikalise Hodgkini lümfoomi diagnoosiga patsiendilt, kellel on ebaõnnestunud autoloogne vereloome tüvirakkude siirdamine ja ravi brentuksimabvedotiiniga või kes ei sobi siirdamiseks ja kellel on ebaõnnestunud ravi brentuksimabvedotiiniga. Ravi pärast nelja ravikuud jätkatakse tingimusel, et mitte enam kui nelja ravikuu möödumisel on saavutatud täielik või osaline ravivastus (hinnatuna vastavalt Lugano klassifikatsioonile, Cheson, B. D. </w:t>
      </w:r>
      <w:r w:rsidRPr="00687DE8">
        <w:rPr>
          <w:i/>
        </w:rPr>
        <w:t>et al</w:t>
      </w:r>
      <w:r w:rsidRPr="00687DE8">
        <w:t xml:space="preserve">. </w:t>
      </w:r>
      <w:r w:rsidRPr="00687DE8">
        <w:rPr>
          <w:iCs/>
        </w:rPr>
        <w:t>Recommendations for initial evaluation, staging, and response assessment of Hodgkin and non-Hodgkin lymphoma: the Lugano classification</w:t>
      </w:r>
      <w:r w:rsidRPr="00687DE8">
        <w:t xml:space="preserve">. J Clin Oncol 2014; 32: 3059–3068) ning edasistel </w:t>
      </w:r>
      <w:r w:rsidRPr="00687DE8">
        <w:rPr>
          <w:iCs/>
        </w:rPr>
        <w:t>ravivastuse</w:t>
      </w:r>
      <w:r w:rsidRPr="00687DE8">
        <w:t xml:space="preserve"> hindamistel vähemalt iga kolme kuu järel ei ole haigus progresseerunud (hinnatuna vastavalt Lugano klassifikatsioonile). </w:t>
      </w:r>
    </w:p>
    <w:p w14:paraId="65ED42DB" w14:textId="77777777" w:rsidR="00976487" w:rsidRPr="00687DE8" w:rsidRDefault="00976487" w:rsidP="00976487">
      <w:pPr>
        <w:pStyle w:val="Normaallaadveeb"/>
        <w:spacing w:before="0" w:after="0" w:afterAutospacing="0"/>
        <w:jc w:val="both"/>
        <w:divId w:val="1316184749"/>
      </w:pPr>
    </w:p>
    <w:p w14:paraId="5A2AC2C5" w14:textId="51C799CC" w:rsidR="00976487" w:rsidRPr="00687DE8" w:rsidRDefault="00976487" w:rsidP="00976487">
      <w:pPr>
        <w:pStyle w:val="Normaallaadveeb"/>
        <w:spacing w:before="0" w:after="0" w:afterAutospacing="0"/>
        <w:jc w:val="both"/>
        <w:divId w:val="1316184749"/>
      </w:pPr>
      <w:r w:rsidRPr="00687DE8">
        <w:t>(</w:t>
      </w:r>
      <w:r w:rsidR="00B725F7">
        <w:t>59</w:t>
      </w:r>
      <w:r w:rsidRPr="00687DE8">
        <w:t>) Ühe patsiendi ravi koodiga 254R või 255R tähistatud ravimiteenusega võib klassikalise Hodgkini lümfoomi näidustusel kesta maksimaalselt kaks aastat.</w:t>
      </w:r>
    </w:p>
    <w:p w14:paraId="357ED908" w14:textId="77777777" w:rsidR="00976487" w:rsidRPr="00687DE8" w:rsidRDefault="00976487" w:rsidP="00976487">
      <w:pPr>
        <w:pStyle w:val="Normaallaadveeb"/>
        <w:spacing w:before="0" w:after="0" w:afterAutospacing="0"/>
        <w:jc w:val="both"/>
        <w:divId w:val="1316184749"/>
      </w:pPr>
    </w:p>
    <w:p w14:paraId="5E58DD19" w14:textId="27D815AC" w:rsidR="00976487" w:rsidRPr="00687DE8" w:rsidRDefault="00976487" w:rsidP="00976487">
      <w:pPr>
        <w:pStyle w:val="Normaallaadveeb"/>
        <w:spacing w:before="0" w:after="0" w:afterAutospacing="0"/>
        <w:jc w:val="both"/>
        <w:divId w:val="1316184749"/>
        <w:rPr>
          <w:lang w:val="sv-SE"/>
        </w:rPr>
      </w:pPr>
      <w:r w:rsidRPr="00687DE8">
        <w:t>(</w:t>
      </w:r>
      <w:r w:rsidR="00B725F7">
        <w:t>60</w:t>
      </w:r>
      <w:r w:rsidRPr="00687DE8">
        <w:t xml:space="preserve">) </w:t>
      </w:r>
      <w:r w:rsidR="005023FD" w:rsidRPr="00687DE8">
        <w:t>Tervisekassa</w:t>
      </w:r>
      <w:r w:rsidRPr="00687DE8">
        <w:t xml:space="preserve"> võtab koodiga 256R tähistatud ravimiteenuse eest tasu maksmise kohustuse üle follikulaarse mitte-Hodgkini lümfoomi diagnoosiga patsiendilt, kes ei saavutanud ravivastust või kelle haigus progresseerus rituksimabi või rituksimabi sisaldava raviskeemi kasutamise ajal või kuni kuue kuu jooksul pärast ravi lõppu. </w:t>
      </w:r>
      <w:r w:rsidRPr="00687DE8">
        <w:rPr>
          <w:lang w:val="sv-SE"/>
        </w:rPr>
        <w:t>Ravimiteenust rakendatakse kuni kuus korda induktsioonravil oleva ning kuni 12 korda säilitusravil oleva patsiendi kohta.</w:t>
      </w:r>
    </w:p>
    <w:p w14:paraId="1226F614" w14:textId="77777777" w:rsidR="00976487" w:rsidRPr="00687DE8" w:rsidRDefault="00976487" w:rsidP="00976487">
      <w:pPr>
        <w:pStyle w:val="Vahedeta"/>
        <w:jc w:val="both"/>
        <w:divId w:val="1316184749"/>
        <w:rPr>
          <w:szCs w:val="24"/>
          <w:lang w:val="sv-SE"/>
        </w:rPr>
      </w:pPr>
    </w:p>
    <w:p w14:paraId="7BBB299D" w14:textId="2A6A941C" w:rsidR="00976487" w:rsidRPr="00687DE8" w:rsidRDefault="00976487" w:rsidP="00976487">
      <w:pPr>
        <w:pStyle w:val="Vahedeta"/>
        <w:jc w:val="both"/>
        <w:divId w:val="1316184749"/>
        <w:rPr>
          <w:szCs w:val="24"/>
          <w:lang w:val="sv-SE"/>
        </w:rPr>
      </w:pPr>
      <w:r w:rsidRPr="00687DE8">
        <w:rPr>
          <w:szCs w:val="24"/>
          <w:lang w:val="sv-SE"/>
        </w:rPr>
        <w:t>(</w:t>
      </w:r>
      <w:r w:rsidR="00B725F7">
        <w:rPr>
          <w:szCs w:val="24"/>
          <w:lang w:val="sv-SE"/>
        </w:rPr>
        <w:t>61</w:t>
      </w:r>
      <w:r w:rsidRPr="00687DE8">
        <w:rPr>
          <w:szCs w:val="24"/>
          <w:lang w:val="sv-SE"/>
        </w:rPr>
        <w:t xml:space="preserve">) </w:t>
      </w:r>
      <w:r w:rsidR="005023FD" w:rsidRPr="00687DE8">
        <w:rPr>
          <w:szCs w:val="24"/>
          <w:lang w:val="sv-SE"/>
        </w:rPr>
        <w:t>Tervisekassa</w:t>
      </w:r>
      <w:r w:rsidRPr="00687DE8">
        <w:rPr>
          <w:szCs w:val="24"/>
          <w:lang w:val="sv-SE"/>
        </w:rPr>
        <w:t xml:space="preserve"> võtab koodiga 257R tähistatud ravimiteenuse eest tasu maksmise kohustuse üle ravinaiivselt kroonilise lümfoidse leukeemia diagnoosiga patsiendilt, kellele ravi fludarabiinil baseeruvate skeemidega on vastunäidustatud. Ravimiteenust rakendatakse kuni kaheksa korda ühe patsiendi kohta.</w:t>
      </w:r>
    </w:p>
    <w:p w14:paraId="56386FC2" w14:textId="77777777" w:rsidR="00976487" w:rsidRPr="00687DE8" w:rsidRDefault="00976487" w:rsidP="00976487">
      <w:pPr>
        <w:pStyle w:val="Vahedeta"/>
        <w:jc w:val="both"/>
        <w:divId w:val="1316184749"/>
        <w:rPr>
          <w:szCs w:val="24"/>
          <w:lang w:val="sv-SE"/>
        </w:rPr>
      </w:pPr>
    </w:p>
    <w:p w14:paraId="4E244BE7" w14:textId="5CA346AE" w:rsidR="00976487" w:rsidRPr="00687DE8" w:rsidRDefault="00976487" w:rsidP="00976487">
      <w:pPr>
        <w:pStyle w:val="Vahedeta"/>
        <w:jc w:val="both"/>
        <w:divId w:val="1316184749"/>
        <w:rPr>
          <w:szCs w:val="24"/>
          <w:lang w:val="sv-SE"/>
        </w:rPr>
      </w:pPr>
      <w:r w:rsidRPr="00687DE8">
        <w:rPr>
          <w:szCs w:val="24"/>
          <w:lang w:val="sv-SE"/>
        </w:rPr>
        <w:t>(</w:t>
      </w:r>
      <w:r w:rsidR="00B725F7">
        <w:rPr>
          <w:szCs w:val="24"/>
          <w:lang w:val="sv-SE"/>
        </w:rPr>
        <w:t>62</w:t>
      </w:r>
      <w:r w:rsidRPr="00687DE8">
        <w:rPr>
          <w:szCs w:val="24"/>
          <w:lang w:val="sv-SE"/>
        </w:rPr>
        <w:t xml:space="preserve">) </w:t>
      </w:r>
      <w:r w:rsidR="005023FD" w:rsidRPr="00687DE8">
        <w:rPr>
          <w:szCs w:val="24"/>
          <w:lang w:val="sv-SE"/>
        </w:rPr>
        <w:t>Tervisekassa</w:t>
      </w:r>
      <w:r w:rsidRPr="00687DE8">
        <w:rPr>
          <w:szCs w:val="24"/>
          <w:lang w:val="sv-SE"/>
        </w:rPr>
        <w:t xml:space="preserve"> võtab koodiga 267R tähistatud ravimiteenuse eest tasu maksmise kohustuse üle ravinaiivselt kesknärvisüsteemi lümfoomiga patsiendilt maksimaalselt nelja ravikuuri eest.</w:t>
      </w:r>
    </w:p>
    <w:p w14:paraId="6180C25F" w14:textId="77777777" w:rsidR="00976487" w:rsidRPr="00687DE8" w:rsidRDefault="00976487" w:rsidP="00976487">
      <w:pPr>
        <w:pStyle w:val="Normaallaadveeb"/>
        <w:spacing w:before="0" w:after="0" w:afterAutospacing="0"/>
        <w:jc w:val="both"/>
        <w:divId w:val="1316184749"/>
      </w:pPr>
    </w:p>
    <w:p w14:paraId="23AD8E1B" w14:textId="42DBB564" w:rsidR="00976487" w:rsidRPr="00687DE8" w:rsidRDefault="00976487" w:rsidP="00976487">
      <w:pPr>
        <w:pStyle w:val="Vahedeta"/>
        <w:jc w:val="both"/>
        <w:divId w:val="1316184749"/>
        <w:rPr>
          <w:rFonts w:eastAsia="Symbol"/>
          <w:szCs w:val="24"/>
          <w:lang w:val="et-EE"/>
        </w:rPr>
      </w:pPr>
      <w:r w:rsidRPr="00687DE8">
        <w:rPr>
          <w:szCs w:val="24"/>
          <w:lang w:val="et-EE"/>
        </w:rPr>
        <w:t>(</w:t>
      </w:r>
      <w:r w:rsidR="00B725F7">
        <w:rPr>
          <w:szCs w:val="24"/>
          <w:lang w:val="et-EE"/>
        </w:rPr>
        <w:t>63</w:t>
      </w:r>
      <w:r w:rsidRPr="00687DE8">
        <w:rPr>
          <w:szCs w:val="24"/>
          <w:lang w:val="et-EE"/>
        </w:rPr>
        <w:t xml:space="preserve">) </w:t>
      </w:r>
      <w:r w:rsidR="005023FD" w:rsidRPr="00687DE8">
        <w:rPr>
          <w:rFonts w:eastAsia="Symbol"/>
          <w:szCs w:val="24"/>
          <w:lang w:val="et-EE"/>
        </w:rPr>
        <w:t>Tervisekassa</w:t>
      </w:r>
      <w:r w:rsidRPr="00687DE8">
        <w:rPr>
          <w:rFonts w:eastAsia="Symbol"/>
          <w:szCs w:val="24"/>
          <w:lang w:val="et-EE"/>
        </w:rPr>
        <w:t xml:space="preserve"> võtab koodiga 263R tähistatud ravimiteenuse eest tasu maksmise kohustuse üle lokaalselt retsidiveerunud või metastaatilise lamerakulise pea- ja kaelapiirkonna vähiga heas üldseisundis (</w:t>
      </w:r>
      <w:r w:rsidRPr="00687DE8">
        <w:rPr>
          <w:szCs w:val="24"/>
          <w:lang w:val="et-EE"/>
        </w:rPr>
        <w:t>ECOG 0</w:t>
      </w:r>
      <w:r w:rsidR="000C4043" w:rsidRPr="00687DE8">
        <w:rPr>
          <w:szCs w:val="24"/>
          <w:lang w:val="et-EE"/>
        </w:rPr>
        <w:t>–</w:t>
      </w:r>
      <w:r w:rsidRPr="00687DE8">
        <w:rPr>
          <w:szCs w:val="24"/>
          <w:lang w:val="et-EE"/>
        </w:rPr>
        <w:t xml:space="preserve">1) täiskasvanud patsiendilt </w:t>
      </w:r>
      <w:r w:rsidRPr="00687DE8">
        <w:rPr>
          <w:rFonts w:eastAsia="Symbol"/>
          <w:szCs w:val="24"/>
          <w:lang w:val="et-EE"/>
        </w:rPr>
        <w:t xml:space="preserve">haiguse progresseerumise korral plaatinapõhise tsütostaatilise ravi ajal või kuue kuu jooksul </w:t>
      </w:r>
      <w:r w:rsidR="00CC44F2" w:rsidRPr="00687DE8">
        <w:rPr>
          <w:rFonts w:eastAsia="Symbol"/>
          <w:szCs w:val="24"/>
          <w:lang w:val="et-EE"/>
        </w:rPr>
        <w:t xml:space="preserve">pärast </w:t>
      </w:r>
      <w:r w:rsidRPr="00687DE8">
        <w:rPr>
          <w:rFonts w:eastAsia="Symbol"/>
          <w:szCs w:val="24"/>
          <w:lang w:val="et-EE"/>
        </w:rPr>
        <w:t>plaatinapõhise keemiaravi lõppemist. Lisatingimus</w:t>
      </w:r>
      <w:r w:rsidR="009378D9" w:rsidRPr="00687DE8">
        <w:rPr>
          <w:rFonts w:eastAsia="Symbol"/>
          <w:szCs w:val="24"/>
          <w:lang w:val="et-EE"/>
        </w:rPr>
        <w:t>ed</w:t>
      </w:r>
      <w:r w:rsidRPr="00687DE8">
        <w:rPr>
          <w:rFonts w:eastAsia="Symbol"/>
          <w:szCs w:val="24"/>
          <w:lang w:val="et-EE"/>
        </w:rPr>
        <w:t xml:space="preserve"> on aktiivsete kesknärvisüsteemi metastaaside või leptomeningeaalse leviku ning aktiivset immuunsupressiivset ravi vajava autoimmuunse haiguse puudumine.</w:t>
      </w:r>
    </w:p>
    <w:p w14:paraId="5431623F" w14:textId="77777777" w:rsidR="00976487" w:rsidRPr="00687DE8" w:rsidRDefault="00976487" w:rsidP="00976487">
      <w:pPr>
        <w:pStyle w:val="Vahedeta"/>
        <w:jc w:val="both"/>
        <w:divId w:val="1316184749"/>
        <w:rPr>
          <w:rFonts w:eastAsia="Symbol"/>
          <w:szCs w:val="24"/>
          <w:lang w:val="et-EE"/>
        </w:rPr>
      </w:pPr>
    </w:p>
    <w:p w14:paraId="0592ECD2" w14:textId="547D99A3" w:rsidR="00976487" w:rsidRPr="00687DE8" w:rsidRDefault="00976487" w:rsidP="00976487">
      <w:pPr>
        <w:pStyle w:val="Vahedeta"/>
        <w:jc w:val="both"/>
        <w:divId w:val="1316184749"/>
        <w:rPr>
          <w:szCs w:val="24"/>
          <w:lang w:val="et-EE"/>
        </w:rPr>
      </w:pPr>
      <w:r w:rsidRPr="00687DE8">
        <w:rPr>
          <w:rFonts w:eastAsia="Symbol"/>
          <w:szCs w:val="24"/>
          <w:lang w:val="et-EE"/>
        </w:rPr>
        <w:lastRenderedPageBreak/>
        <w:t>(</w:t>
      </w:r>
      <w:r w:rsidR="00B725F7">
        <w:rPr>
          <w:rFonts w:eastAsia="Symbol"/>
          <w:szCs w:val="24"/>
          <w:lang w:val="et-EE"/>
        </w:rPr>
        <w:t>64</w:t>
      </w:r>
      <w:r w:rsidRPr="00687DE8">
        <w:rPr>
          <w:rFonts w:eastAsia="Symbol"/>
          <w:szCs w:val="24"/>
          <w:lang w:val="et-EE"/>
        </w:rPr>
        <w:t>) Ühe patsiendi ravi koodiga 263R tähistatud ravimiteenusega võib kesta kuni haiguse progresseerumiseni, selle puudumise korral maksimaalselt kaks aastat.</w:t>
      </w:r>
    </w:p>
    <w:p w14:paraId="7093F746" w14:textId="77777777" w:rsidR="19D40EE4" w:rsidRPr="00687DE8" w:rsidRDefault="19D40EE4" w:rsidP="19D40EE4">
      <w:pPr>
        <w:pStyle w:val="Vahedeta"/>
        <w:jc w:val="both"/>
        <w:rPr>
          <w:rFonts w:eastAsia="Symbol"/>
          <w:szCs w:val="24"/>
          <w:lang w:val="et-EE"/>
        </w:rPr>
      </w:pPr>
    </w:p>
    <w:p w14:paraId="7782211A" w14:textId="386825BE" w:rsidR="005C3F2F" w:rsidRPr="00687DE8" w:rsidRDefault="005C3F2F" w:rsidP="00A900B1">
      <w:pPr>
        <w:pStyle w:val="Normaallaadveeb"/>
        <w:spacing w:before="0" w:after="0" w:afterAutospacing="0"/>
        <w:jc w:val="both"/>
        <w:divId w:val="1316184749"/>
        <w:rPr>
          <w:rFonts w:eastAsia="Symbol"/>
        </w:rPr>
      </w:pPr>
      <w:r w:rsidRPr="00687DE8">
        <w:rPr>
          <w:rFonts w:eastAsia="Symbol"/>
        </w:rPr>
        <w:t>(</w:t>
      </w:r>
      <w:r w:rsidR="00B725F7">
        <w:rPr>
          <w:rFonts w:eastAsia="Symbol"/>
        </w:rPr>
        <w:t>65</w:t>
      </w:r>
      <w:r w:rsidRPr="00687DE8">
        <w:rPr>
          <w:rFonts w:eastAsia="Symbol"/>
        </w:rPr>
        <w:t xml:space="preserve">) </w:t>
      </w:r>
      <w:r w:rsidR="005023FD" w:rsidRPr="00687DE8">
        <w:rPr>
          <w:rFonts w:eastAsia="Symbol"/>
        </w:rPr>
        <w:t>Tervisekassa</w:t>
      </w:r>
      <w:r w:rsidRPr="00687DE8">
        <w:rPr>
          <w:rFonts w:eastAsia="Symbol"/>
        </w:rPr>
        <w:t xml:space="preserve"> võtab koodiga 280R tähistatud ravimiteenuse eest tasu maksmise kohustuse üle CD22</w:t>
      </w:r>
      <w:r w:rsidRPr="00687DE8">
        <w:rPr>
          <w:rFonts w:eastAsia="Symbol"/>
          <w:vertAlign w:val="subscript"/>
        </w:rPr>
        <w:t>pos</w:t>
      </w:r>
      <w:r w:rsidRPr="00687DE8">
        <w:rPr>
          <w:rFonts w:eastAsia="Symbol"/>
        </w:rPr>
        <w:t xml:space="preserve"> B-eellasrakulise lümfoblastleukeemiaga patsiendilt (ECOG 0–2, luuüdis lümfoblaste ≥ 5%), kelle haigus on retsidiveerunud &lt; 12 kuu jooksul pärast esmast remissiooni või &lt; 12 kuu jooksul pärast allogeenset vereloome tüvirakkude siirdamist või haigus ei ole allunud tsütotoksilisele keemiaravile. Philadelphia kromosoom-positiivse patsiendi korral peab ravi standardse kemoteraapia ja türosiini kinaasi inhibiitoriga olema ebaõnnestunud.</w:t>
      </w:r>
    </w:p>
    <w:p w14:paraId="563CD935" w14:textId="77777777" w:rsidR="00400209" w:rsidRPr="00687DE8" w:rsidRDefault="00400209" w:rsidP="00A900B1">
      <w:pPr>
        <w:pStyle w:val="Normaallaadveeb"/>
        <w:spacing w:before="0" w:after="0" w:afterAutospacing="0"/>
        <w:jc w:val="both"/>
        <w:divId w:val="1316184749"/>
        <w:rPr>
          <w:rFonts w:eastAsia="Symbol"/>
        </w:rPr>
      </w:pPr>
    </w:p>
    <w:p w14:paraId="77659C58" w14:textId="727B5924" w:rsidR="005C3F2F" w:rsidRPr="00687DE8" w:rsidRDefault="005C3F2F" w:rsidP="36F27A2C">
      <w:pPr>
        <w:pStyle w:val="Normaallaadveeb"/>
        <w:spacing w:before="0" w:after="0" w:afterAutospacing="0"/>
        <w:jc w:val="both"/>
        <w:divId w:val="1316184749"/>
        <w:rPr>
          <w:rFonts w:eastAsia="Symbol"/>
        </w:rPr>
      </w:pPr>
      <w:r w:rsidRPr="36F27A2C">
        <w:rPr>
          <w:rFonts w:eastAsia="Symbol"/>
        </w:rPr>
        <w:t>(</w:t>
      </w:r>
      <w:r w:rsidR="00B725F7">
        <w:rPr>
          <w:rFonts w:eastAsia="Symbol"/>
        </w:rPr>
        <w:t>66</w:t>
      </w:r>
      <w:r w:rsidRPr="36F27A2C">
        <w:rPr>
          <w:rFonts w:eastAsia="Symbol"/>
        </w:rPr>
        <w:t>) Koodiga 280R tähistatud ravimiteenust rakendatakse kuni kaks ravitsüklit (s.o kuni 8 korda) ühe patsiendi kohta ning üksnes patsiendile, kellele on plaanitud siirata vereloome tüvirakke ja kes ei ole saanud varem ravi koodiga 395R</w:t>
      </w:r>
      <w:r w:rsidR="69CDC7E3" w:rsidRPr="36F27A2C">
        <w:rPr>
          <w:rFonts w:eastAsia="Symbol"/>
        </w:rPr>
        <w:t xml:space="preserve">, 450R </w:t>
      </w:r>
      <w:r w:rsidR="67DBFDB3" w:rsidRPr="587BAAA2">
        <w:rPr>
          <w:rFonts w:eastAsia="Symbol"/>
        </w:rPr>
        <w:t>või</w:t>
      </w:r>
      <w:r w:rsidRPr="36F27A2C">
        <w:rPr>
          <w:rFonts w:eastAsia="Symbol"/>
        </w:rPr>
        <w:t xml:space="preserve"> 286R tähistatud ravimiteenusega.</w:t>
      </w:r>
    </w:p>
    <w:p w14:paraId="7AF0C1D0" w14:textId="4F8A6581" w:rsidR="00400209" w:rsidRPr="00687DE8" w:rsidRDefault="00400209" w:rsidP="00400209">
      <w:pPr>
        <w:pStyle w:val="Normaallaadveeb"/>
        <w:spacing w:before="0" w:after="0" w:afterAutospacing="0"/>
        <w:jc w:val="both"/>
        <w:divId w:val="1316184749"/>
        <w:rPr>
          <w:rFonts w:eastAsia="Symbol"/>
        </w:rPr>
      </w:pPr>
    </w:p>
    <w:p w14:paraId="1DD2660A" w14:textId="2FEC7589" w:rsidR="005C3F2F" w:rsidRPr="00687DE8" w:rsidRDefault="423BEC48" w:rsidP="37DCEFE8">
      <w:pPr>
        <w:pStyle w:val="Normaallaadveeb"/>
        <w:spacing w:before="0" w:after="0" w:afterAutospacing="0"/>
        <w:jc w:val="both"/>
        <w:divId w:val="1316184749"/>
        <w:rPr>
          <w:rFonts w:eastAsia="Symbol"/>
        </w:rPr>
      </w:pPr>
      <w:r w:rsidRPr="37DCEFE8">
        <w:rPr>
          <w:rFonts w:eastAsia="Symbol"/>
        </w:rPr>
        <w:t xml:space="preserve">(67) Tervisekassa võtab koodiga 286R tähistatud ravimiteenuse eest tasu maksmise kohustuse üle pediaatriliselt patsiendilt (vanuses 1–17), kellel on Philadelphia kromosoom-negatiivne CD19pos B-eellasrakuline äge lümfoblastleukeemia (ECOG 0–2, luuüdis lümfoblaste ≥ 5%), mis on suure taasretsidiveerumise riskiga ehk väga varajase (&lt;18 kuud pärast esmadiagnoosi) või varajase isoleeritud luuüdi retsidiiviga (≥18 kuud pärast esmadiagnoosi ja &lt;6 kuud pärast esmase ravi lõpetamist), esimese retsidiivi raviks peale kemoteraapia induktsioonravi ja kahte konsolideerivat ravitsüklit. </w:t>
      </w:r>
    </w:p>
    <w:p w14:paraId="771328EA" w14:textId="245BE941" w:rsidR="005C3F2F" w:rsidRPr="00687DE8" w:rsidRDefault="005C3F2F" w:rsidP="37DCEFE8">
      <w:pPr>
        <w:pStyle w:val="Normaallaadveeb"/>
        <w:spacing w:before="0" w:after="0" w:afterAutospacing="0"/>
        <w:jc w:val="both"/>
        <w:divId w:val="1316184749"/>
        <w:rPr>
          <w:rFonts w:eastAsia="Symbol"/>
        </w:rPr>
      </w:pPr>
    </w:p>
    <w:p w14:paraId="347929CE" w14:textId="67893AF7" w:rsidR="005C3F2F" w:rsidRPr="00687DE8" w:rsidRDefault="00094278" w:rsidP="2E8C2200">
      <w:pPr>
        <w:pStyle w:val="Normaallaadveeb"/>
        <w:spacing w:before="0" w:after="0" w:afterAutospacing="0"/>
        <w:jc w:val="both"/>
        <w:divId w:val="1316184749"/>
        <w:rPr>
          <w:rFonts w:eastAsia="Symbol"/>
        </w:rPr>
      </w:pPr>
      <w:r w:rsidRPr="37DCEFE8">
        <w:rPr>
          <w:rFonts w:eastAsia="Symbol"/>
        </w:rPr>
        <w:t>(6</w:t>
      </w:r>
      <w:r w:rsidR="021B7001" w:rsidRPr="37DCEFE8">
        <w:rPr>
          <w:rFonts w:eastAsia="Symbol"/>
        </w:rPr>
        <w:t>8</w:t>
      </w:r>
      <w:r>
        <w:rPr>
          <w:rFonts w:eastAsia="Symbol"/>
        </w:rPr>
        <w:t>)</w:t>
      </w:r>
      <w:r w:rsidR="005C3F2F" w:rsidRPr="36F27A2C">
        <w:rPr>
          <w:rFonts w:eastAsia="Symbol"/>
        </w:rPr>
        <w:t xml:space="preserve"> </w:t>
      </w:r>
      <w:r w:rsidR="005023FD" w:rsidRPr="36F27A2C">
        <w:rPr>
          <w:rFonts w:eastAsia="Symbol"/>
        </w:rPr>
        <w:t>Tervisekassa</w:t>
      </w:r>
      <w:r w:rsidR="005C3F2F" w:rsidRPr="36F27A2C">
        <w:rPr>
          <w:rFonts w:eastAsia="Symbol"/>
        </w:rPr>
        <w:t xml:space="preserve"> võtab koodiga 286R tähistatud ravimiteenuse eest tasu maksmise kohustuse üle pediaatriliselt patsiendilt (vanuses 1–17), kellel on Philadelphia kromosoom-negatiivne CD19pos B-eellasrakuline äge lümfoblastleukeemia (ECOG 0–2, luuüdis lümfoblaste ≥ 5%), mis on retsidiveerunud pärast vähemalt kahte eelmist ravi (&lt; 12 kuu jooksul viimasest) või retsidiveerunud &lt; 12 kuu jooksul pärast allogeenset vereloome tüvirakkude siirdamist või haigus ei ole allunud tsütotoksilisele keemiaravile</w:t>
      </w:r>
      <w:r w:rsidR="005C3F2F" w:rsidRPr="36F27A2C" w:rsidDel="005C3F2F">
        <w:rPr>
          <w:rFonts w:eastAsia="Symbol"/>
        </w:rPr>
        <w:t>.</w:t>
      </w:r>
    </w:p>
    <w:p w14:paraId="7F1C71ED" w14:textId="4E5D129D" w:rsidR="00400209" w:rsidRPr="00687DE8" w:rsidRDefault="00400209" w:rsidP="00400209">
      <w:pPr>
        <w:pStyle w:val="Normaallaadveeb"/>
        <w:spacing w:before="0" w:after="0" w:afterAutospacing="0"/>
        <w:jc w:val="both"/>
        <w:divId w:val="1316184749"/>
        <w:rPr>
          <w:rFonts w:eastAsia="Symbol"/>
        </w:rPr>
      </w:pPr>
    </w:p>
    <w:p w14:paraId="4C5F79B8" w14:textId="1EBEB581" w:rsidR="00400209" w:rsidRPr="006B0F00" w:rsidRDefault="56F051F5" w:rsidP="00400209">
      <w:pPr>
        <w:pStyle w:val="Normaallaadveeb"/>
        <w:spacing w:before="0" w:after="0" w:afterAutospacing="0"/>
        <w:jc w:val="both"/>
        <w:rPr>
          <w:rFonts w:eastAsia="Symbol"/>
        </w:rPr>
      </w:pPr>
      <w:r w:rsidRPr="36F27A2C">
        <w:rPr>
          <w:rFonts w:eastAsia="Symbol"/>
        </w:rPr>
        <w:t>(</w:t>
      </w:r>
      <w:r w:rsidR="00C45F6B" w:rsidRPr="36F27A2C">
        <w:rPr>
          <w:rFonts w:eastAsia="Symbol"/>
        </w:rPr>
        <w:t>69</w:t>
      </w:r>
      <w:r w:rsidRPr="36F27A2C">
        <w:rPr>
          <w:rFonts w:eastAsia="Symbol"/>
        </w:rPr>
        <w:t xml:space="preserve">) </w:t>
      </w:r>
      <w:bookmarkStart w:id="37" w:name="_Hlk107400573"/>
      <w:r w:rsidR="005023FD" w:rsidRPr="36F27A2C">
        <w:rPr>
          <w:rFonts w:eastAsia="Symbol"/>
        </w:rPr>
        <w:t>Tervisekassa</w:t>
      </w:r>
      <w:r w:rsidRPr="36F27A2C">
        <w:rPr>
          <w:rFonts w:eastAsia="Symbol"/>
        </w:rPr>
        <w:t xml:space="preserve"> võtab koodiga 286R tähistatud ravimiteenuse eest tasu maksmise kohustuse üle maksimaalselt </w:t>
      </w:r>
      <w:r w:rsidR="215EB3E2" w:rsidRPr="23124F2A">
        <w:rPr>
          <w:rFonts w:eastAsia="Symbol"/>
        </w:rPr>
        <w:t>üheks 28-päevaseks ravi</w:t>
      </w:r>
      <w:r w:rsidR="625124BF" w:rsidRPr="23124F2A">
        <w:rPr>
          <w:rFonts w:eastAsia="Symbol"/>
        </w:rPr>
        <w:t>kuuriks</w:t>
      </w:r>
      <w:r w:rsidR="215EB3E2" w:rsidRPr="23124F2A">
        <w:rPr>
          <w:rFonts w:eastAsia="Symbol"/>
        </w:rPr>
        <w:t xml:space="preserve"> suure taasretsidiveerumise riskiga esimese retsidiivi puhul</w:t>
      </w:r>
      <w:r w:rsidR="203CA065" w:rsidRPr="23124F2A">
        <w:rPr>
          <w:rFonts w:eastAsia="Symbol"/>
        </w:rPr>
        <w:t xml:space="preserve"> </w:t>
      </w:r>
      <w:r w:rsidR="003515DA">
        <w:rPr>
          <w:rFonts w:eastAsia="Symbol"/>
        </w:rPr>
        <w:t>ning</w:t>
      </w:r>
      <w:r w:rsidR="23124F2A" w:rsidRPr="23124F2A">
        <w:rPr>
          <w:rFonts w:eastAsia="Symbol"/>
        </w:rPr>
        <w:t xml:space="preserve"> </w:t>
      </w:r>
      <w:r w:rsidRPr="36F27A2C">
        <w:rPr>
          <w:rFonts w:eastAsia="Symbol"/>
        </w:rPr>
        <w:t>kaheks 28-päevaseks ravi</w:t>
      </w:r>
      <w:r w:rsidR="1D4FB690" w:rsidRPr="14302AFA">
        <w:rPr>
          <w:rFonts w:eastAsia="Symbol"/>
        </w:rPr>
        <w:t>kuuriks</w:t>
      </w:r>
      <w:r w:rsidRPr="36F27A2C">
        <w:rPr>
          <w:rFonts w:eastAsia="Symbol"/>
        </w:rPr>
        <w:t xml:space="preserve"> vajamineva toimeainekoguse eest </w:t>
      </w:r>
      <w:r w:rsidR="39AF2640" w:rsidRPr="23124F2A">
        <w:rPr>
          <w:rFonts w:eastAsia="Symbol"/>
        </w:rPr>
        <w:t>teise ja järgneva retsidiivi puhul</w:t>
      </w:r>
      <w:r w:rsidR="23124F2A" w:rsidRPr="23124F2A">
        <w:rPr>
          <w:rFonts w:eastAsia="Symbol"/>
        </w:rPr>
        <w:t xml:space="preserve"> </w:t>
      </w:r>
      <w:r w:rsidRPr="36F27A2C">
        <w:rPr>
          <w:rFonts w:eastAsia="Symbol"/>
        </w:rPr>
        <w:t xml:space="preserve">patsiendilt, kes ei ole saanud varem ravi koodiga 280R tähistatud </w:t>
      </w:r>
      <w:r w:rsidRPr="006B0F00">
        <w:rPr>
          <w:rFonts w:eastAsia="Symbol"/>
        </w:rPr>
        <w:t xml:space="preserve">ravimiteenusega. </w:t>
      </w:r>
      <w:bookmarkEnd w:id="37"/>
    </w:p>
    <w:p w14:paraId="0D7363DA" w14:textId="77777777" w:rsidR="001B58FF" w:rsidRPr="006B0F00" w:rsidRDefault="001B58FF" w:rsidP="00400209">
      <w:pPr>
        <w:pStyle w:val="Normaallaadveeb"/>
        <w:spacing w:before="0" w:after="0" w:afterAutospacing="0"/>
        <w:jc w:val="both"/>
      </w:pPr>
    </w:p>
    <w:p w14:paraId="05CD5686" w14:textId="71BAA634" w:rsidR="005C3F2F" w:rsidRPr="00687DE8" w:rsidRDefault="005C3F2F" w:rsidP="56F051F5">
      <w:pPr>
        <w:pStyle w:val="Normaallaadveeb"/>
        <w:spacing w:before="0" w:after="0" w:afterAutospacing="0"/>
        <w:jc w:val="both"/>
        <w:divId w:val="1316184749"/>
        <w:rPr>
          <w:rFonts w:eastAsia="Symbol"/>
        </w:rPr>
      </w:pPr>
      <w:r w:rsidRPr="006B0F00">
        <w:rPr>
          <w:rFonts w:eastAsia="Symbol"/>
        </w:rPr>
        <w:t>(7</w:t>
      </w:r>
      <w:r w:rsidR="00C45F6B" w:rsidRPr="006B0F00">
        <w:rPr>
          <w:rFonts w:eastAsia="Symbol"/>
        </w:rPr>
        <w:t>0</w:t>
      </w:r>
      <w:r w:rsidRPr="006B0F00">
        <w:rPr>
          <w:rFonts w:eastAsia="Symbol"/>
        </w:rPr>
        <w:t xml:space="preserve">) </w:t>
      </w:r>
      <w:r w:rsidR="005023FD" w:rsidRPr="006B0F00">
        <w:rPr>
          <w:rFonts w:eastAsia="Symbol"/>
        </w:rPr>
        <w:t>Tervisekassa</w:t>
      </w:r>
      <w:r w:rsidRPr="006B0F00">
        <w:rPr>
          <w:rFonts w:eastAsia="Symbol"/>
        </w:rPr>
        <w:t xml:space="preserve"> </w:t>
      </w:r>
      <w:r w:rsidRPr="00687DE8">
        <w:rPr>
          <w:rFonts w:eastAsia="Symbol"/>
        </w:rPr>
        <w:t xml:space="preserve">võtab koodiga 289R tähistatud ravimiteenuse eest tasu maksmise kohustuse üle naha pahaloomulise melanoomi adjuvantraviks kõrge retsidiivi riskiga lümfisõlmede haaratusega IIIa (kasvajakoormus SLN &gt; 1 mm) ja IIIb-d (klassifikatsioon: </w:t>
      </w:r>
      <w:r w:rsidRPr="00687DE8">
        <w:rPr>
          <w:rFonts w:eastAsia="Symbol"/>
          <w:i/>
          <w:iCs/>
        </w:rPr>
        <w:t>AJCC 8</w:t>
      </w:r>
      <w:r w:rsidRPr="00687DE8">
        <w:rPr>
          <w:rFonts w:eastAsia="Symbol"/>
          <w:i/>
          <w:iCs/>
          <w:vertAlign w:val="superscript"/>
        </w:rPr>
        <w:t>th</w:t>
      </w:r>
      <w:r w:rsidRPr="00687DE8">
        <w:rPr>
          <w:rFonts w:eastAsia="Symbol"/>
          <w:i/>
          <w:iCs/>
        </w:rPr>
        <w:t xml:space="preserve"> edition</w:t>
      </w:r>
      <w:r w:rsidRPr="00687DE8">
        <w:rPr>
          <w:rFonts w:eastAsia="Symbol"/>
        </w:rPr>
        <w:t>) staadiumiga patsiendilt alljärgnevate tegurite koosesinemise korral:</w:t>
      </w:r>
    </w:p>
    <w:p w14:paraId="317D06FB" w14:textId="77777777" w:rsidR="005C3F2F" w:rsidRPr="00687DE8" w:rsidRDefault="005C3F2F" w:rsidP="005C3F2F">
      <w:pPr>
        <w:pStyle w:val="Normaallaadveeb"/>
        <w:spacing w:before="0" w:after="0" w:afterAutospacing="0"/>
        <w:jc w:val="both"/>
        <w:divId w:val="1316184749"/>
        <w:rPr>
          <w:rFonts w:eastAsia="Symbol"/>
        </w:rPr>
      </w:pPr>
      <w:r w:rsidRPr="00687DE8">
        <w:rPr>
          <w:rFonts w:eastAsia="Symbol"/>
        </w:rPr>
        <w:t>1) patsiendi haigus on täielikult resetseeritud ja sellest ei ole möödunud rohkem kui 12 nädalat (ECOG 0–1);</w:t>
      </w:r>
    </w:p>
    <w:p w14:paraId="24819CC8" w14:textId="77777777" w:rsidR="005C3F2F" w:rsidRPr="00687DE8" w:rsidRDefault="005C3F2F" w:rsidP="005C3F2F">
      <w:pPr>
        <w:pStyle w:val="Normaallaadveeb"/>
        <w:spacing w:before="0" w:after="0" w:afterAutospacing="0"/>
        <w:jc w:val="both"/>
        <w:divId w:val="1316184749"/>
        <w:rPr>
          <w:rFonts w:eastAsia="Symbol"/>
        </w:rPr>
      </w:pPr>
      <w:r w:rsidRPr="00687DE8">
        <w:rPr>
          <w:rFonts w:eastAsia="Symbol"/>
        </w:rPr>
        <w:t>2) patsient ei ole varem saanud süsteemset melanoomravi;</w:t>
      </w:r>
    </w:p>
    <w:p w14:paraId="1B687714" w14:textId="77777777" w:rsidR="005C3F2F" w:rsidRPr="00687DE8" w:rsidRDefault="005C3F2F" w:rsidP="005C3F2F">
      <w:pPr>
        <w:pStyle w:val="Normaallaadveeb"/>
        <w:spacing w:before="0" w:after="0" w:afterAutospacing="0"/>
        <w:jc w:val="both"/>
        <w:divId w:val="1316184749"/>
        <w:rPr>
          <w:rFonts w:eastAsia="Symbol"/>
        </w:rPr>
      </w:pPr>
      <w:r w:rsidRPr="00687DE8">
        <w:rPr>
          <w:rFonts w:eastAsia="Symbol"/>
        </w:rPr>
        <w:t>3) teenuse osutamise otsustab multimodaalne paikmepõhine onkoloogiline konsiilium;</w:t>
      </w:r>
    </w:p>
    <w:p w14:paraId="11AD0C9D" w14:textId="77777777" w:rsidR="005C3F2F" w:rsidRPr="00687DE8" w:rsidRDefault="005C3F2F" w:rsidP="005C3F2F">
      <w:pPr>
        <w:pStyle w:val="Normaallaadveeb"/>
        <w:spacing w:before="0" w:after="0" w:afterAutospacing="0"/>
        <w:jc w:val="both"/>
        <w:divId w:val="1316184749"/>
        <w:rPr>
          <w:rFonts w:eastAsia="Symbol"/>
        </w:rPr>
      </w:pPr>
      <w:r w:rsidRPr="00687DE8">
        <w:rPr>
          <w:rFonts w:eastAsia="Symbol"/>
        </w:rPr>
        <w:t>4) ravimiteenust rakendatakse monoteraapiana kuni haiguse taastekkimiseni, kuid mitte üle 12 kuu (st kuni 26 tsüklit ühe patsiendi kohta).</w:t>
      </w:r>
    </w:p>
    <w:p w14:paraId="36C9AE6A" w14:textId="77777777" w:rsidR="00A900B1" w:rsidRPr="00687DE8" w:rsidRDefault="00A900B1" w:rsidP="005C3F2F">
      <w:pPr>
        <w:pStyle w:val="Normaallaadveeb"/>
        <w:spacing w:before="0" w:after="0" w:afterAutospacing="0"/>
        <w:jc w:val="both"/>
        <w:divId w:val="1316184749"/>
        <w:rPr>
          <w:rFonts w:eastAsia="Symbol"/>
        </w:rPr>
      </w:pPr>
    </w:p>
    <w:p w14:paraId="7234E801" w14:textId="77777777" w:rsidR="005C3F2F" w:rsidRPr="00687DE8" w:rsidRDefault="005C3F2F" w:rsidP="56F051F5">
      <w:pPr>
        <w:pStyle w:val="Normaallaadveeb"/>
        <w:spacing w:before="0" w:after="0" w:afterAutospacing="0"/>
        <w:jc w:val="both"/>
        <w:divId w:val="1316184749"/>
        <w:rPr>
          <w:rFonts w:eastAsia="Symbol"/>
        </w:rPr>
      </w:pPr>
      <w:r w:rsidRPr="00687DE8">
        <w:rPr>
          <w:rFonts w:eastAsia="Symbol"/>
        </w:rPr>
        <w:lastRenderedPageBreak/>
        <w:t>(7</w:t>
      </w:r>
      <w:r w:rsidR="00C45F6B" w:rsidRPr="00687DE8">
        <w:rPr>
          <w:rFonts w:eastAsia="Symbol"/>
        </w:rPr>
        <w:t>1</w:t>
      </w:r>
      <w:r w:rsidRPr="00687DE8">
        <w:rPr>
          <w:rFonts w:eastAsia="Symbol"/>
        </w:rPr>
        <w:t>) Koodidega 254R, 255R</w:t>
      </w:r>
      <w:r w:rsidR="5D0EFE62" w:rsidRPr="00687DE8">
        <w:rPr>
          <w:rFonts w:eastAsia="Symbol"/>
        </w:rPr>
        <w:t>,</w:t>
      </w:r>
      <w:r w:rsidRPr="00687DE8">
        <w:rPr>
          <w:rFonts w:eastAsia="Symbol"/>
        </w:rPr>
        <w:t xml:space="preserve"> 289R </w:t>
      </w:r>
      <w:r w:rsidR="41A739D4" w:rsidRPr="00687DE8">
        <w:rPr>
          <w:rFonts w:eastAsia="Symbol"/>
        </w:rPr>
        <w:t>ja 406R</w:t>
      </w:r>
      <w:r w:rsidRPr="00687DE8">
        <w:rPr>
          <w:rFonts w:eastAsia="Symbol"/>
        </w:rPr>
        <w:t xml:space="preserve"> tähistatud ravimiteenuste samaaegne rakendamine patsiendi ravis ei ole lubatud.</w:t>
      </w:r>
    </w:p>
    <w:p w14:paraId="72B563D9" w14:textId="77777777" w:rsidR="0086364F" w:rsidRPr="00687DE8" w:rsidRDefault="0086364F" w:rsidP="56F051F5">
      <w:pPr>
        <w:pStyle w:val="Normaallaadveeb"/>
        <w:spacing w:before="0" w:after="0" w:afterAutospacing="0"/>
        <w:jc w:val="both"/>
        <w:divId w:val="1316184749"/>
        <w:rPr>
          <w:rFonts w:eastAsia="Symbol"/>
        </w:rPr>
      </w:pPr>
    </w:p>
    <w:p w14:paraId="33C474D8" w14:textId="66C23BCB" w:rsidR="005C3F2F" w:rsidRPr="00687DE8" w:rsidRDefault="005C3F2F" w:rsidP="0086364F">
      <w:pPr>
        <w:pStyle w:val="Normaallaadveeb"/>
        <w:spacing w:before="0" w:after="0" w:afterAutospacing="0"/>
        <w:jc w:val="both"/>
        <w:divId w:val="1316184749"/>
        <w:rPr>
          <w:rFonts w:eastAsia="Symbol"/>
        </w:rPr>
      </w:pPr>
      <w:r w:rsidRPr="00687DE8">
        <w:rPr>
          <w:rFonts w:eastAsia="Symbol"/>
        </w:rPr>
        <w:t>(7</w:t>
      </w:r>
      <w:r w:rsidR="00C45F6B" w:rsidRPr="00687DE8">
        <w:rPr>
          <w:rFonts w:eastAsia="Symbol"/>
        </w:rPr>
        <w:t>2</w:t>
      </w:r>
      <w:r w:rsidRPr="00687DE8">
        <w:rPr>
          <w:rFonts w:eastAsia="Symbol"/>
        </w:rPr>
        <w:t xml:space="preserve">) </w:t>
      </w:r>
      <w:r w:rsidR="005023FD" w:rsidRPr="00687DE8">
        <w:rPr>
          <w:rFonts w:eastAsia="Symbol"/>
        </w:rPr>
        <w:t>Tervisekassa</w:t>
      </w:r>
      <w:r w:rsidRPr="00687DE8">
        <w:rPr>
          <w:rFonts w:eastAsia="Symbol"/>
        </w:rPr>
        <w:t xml:space="preserve"> võtab koodiga 292R tähistatud ravimiteenuse eest tasu maksmise kohustuse üle metastaatilise või mitteresetseeritava korduva pea- ja kaelapiirkonna lamerakk-kartsinoomi esimese rea raviks heas üldseisundis (ECOG 0–1) täiskasvanud patsiendilt, kelle kasvaja ekspresseerib PD-L1 CPS-ga ≥ 20, kuni haiguse progresseerumiseni või progressiooni puudumise korral maksimaalselt kaks aastat.</w:t>
      </w:r>
    </w:p>
    <w:p w14:paraId="12C3436F" w14:textId="77777777" w:rsidR="56F051F5" w:rsidRPr="00687DE8" w:rsidRDefault="56F051F5" w:rsidP="0086364F">
      <w:pPr>
        <w:pStyle w:val="Normaallaadveeb"/>
        <w:spacing w:before="0" w:after="0" w:afterAutospacing="0"/>
        <w:jc w:val="both"/>
        <w:divId w:val="1316184749"/>
        <w:rPr>
          <w:rFonts w:eastAsia="Symbol"/>
        </w:rPr>
      </w:pPr>
    </w:p>
    <w:p w14:paraId="67FEBF4E" w14:textId="7F622D93" w:rsidR="00976487" w:rsidRPr="00687DE8" w:rsidRDefault="005C3F2F" w:rsidP="56F051F5">
      <w:pPr>
        <w:pStyle w:val="Normaallaadveeb"/>
        <w:spacing w:before="0" w:after="0" w:afterAutospacing="0"/>
        <w:jc w:val="both"/>
        <w:divId w:val="1316184749"/>
        <w:rPr>
          <w:rFonts w:eastAsia="Symbol"/>
        </w:rPr>
      </w:pPr>
      <w:r w:rsidRPr="00687DE8">
        <w:rPr>
          <w:rFonts w:eastAsia="Symbol"/>
        </w:rPr>
        <w:t>(7</w:t>
      </w:r>
      <w:r w:rsidR="00C45F6B" w:rsidRPr="00687DE8">
        <w:rPr>
          <w:rFonts w:eastAsia="Symbol"/>
        </w:rPr>
        <w:t>3</w:t>
      </w:r>
      <w:r w:rsidRPr="00687DE8">
        <w:rPr>
          <w:rFonts w:eastAsia="Symbol"/>
        </w:rPr>
        <w:t xml:space="preserve">) </w:t>
      </w:r>
      <w:r w:rsidR="005023FD" w:rsidRPr="00687DE8">
        <w:rPr>
          <w:rFonts w:eastAsia="Symbol"/>
        </w:rPr>
        <w:t>Tervisekassa</w:t>
      </w:r>
      <w:r w:rsidRPr="00687DE8">
        <w:rPr>
          <w:rFonts w:eastAsia="Symbol"/>
        </w:rPr>
        <w:t xml:space="preserve"> võtab koodiga 287R tähistatud ravimiteenuse eest tasu maksmise kohustuse üle mitteresetseeritava hepatotsellulaarse kartsinoomi raviks kuni haiguse progresseerumiseni, kui konsiilium (vähemalt kolm onkoloogi) on ravi alustamise atesolizumabi ja bevatsizumabiga hinnanud vastavaks järgmistele kriteeriumidele: diagnoositud kaugelearenenud või opereerimatu hepatotsellulaarne kartsinoom, patsiendi üldseisund on hea ning maksa funktsioon pole oluliselt häiritud (ECOG 0–1, BCLC B–C, Child-Pugh A).</w:t>
      </w:r>
    </w:p>
    <w:p w14:paraId="32FE0634" w14:textId="77777777" w:rsidR="00A37C62" w:rsidRPr="00687DE8" w:rsidRDefault="00A37C62" w:rsidP="005C3F2F">
      <w:pPr>
        <w:pStyle w:val="Normaallaadveeb"/>
        <w:spacing w:before="0" w:after="0" w:afterAutospacing="0"/>
        <w:jc w:val="both"/>
        <w:divId w:val="1316184749"/>
        <w:rPr>
          <w:rFonts w:eastAsia="Symbol"/>
        </w:rPr>
      </w:pPr>
    </w:p>
    <w:p w14:paraId="5640BDD3" w14:textId="77777777" w:rsidR="00A37C62" w:rsidRPr="00687DE8" w:rsidRDefault="00162305" w:rsidP="56F051F5">
      <w:pPr>
        <w:pStyle w:val="Normaallaadveeb"/>
        <w:spacing w:before="0" w:after="0" w:afterAutospacing="0"/>
        <w:jc w:val="both"/>
        <w:divId w:val="1316184749"/>
        <w:rPr>
          <w:rFonts w:eastAsia="Symbol"/>
        </w:rPr>
      </w:pPr>
      <w:r w:rsidRPr="00687DE8">
        <w:rPr>
          <w:rFonts w:eastAsia="Symbol"/>
        </w:rPr>
        <w:t>(7</w:t>
      </w:r>
      <w:r w:rsidR="00C45F6B" w:rsidRPr="00687DE8">
        <w:rPr>
          <w:rFonts w:eastAsia="Symbol"/>
        </w:rPr>
        <w:t>4</w:t>
      </w:r>
      <w:r w:rsidRPr="00687DE8">
        <w:rPr>
          <w:rFonts w:eastAsia="Symbol"/>
        </w:rPr>
        <w:t xml:space="preserve">) </w:t>
      </w:r>
      <w:r w:rsidR="00EF02F0" w:rsidRPr="00687DE8">
        <w:rPr>
          <w:rFonts w:eastAsia="Symbol"/>
        </w:rPr>
        <w:t>K</w:t>
      </w:r>
      <w:r w:rsidR="002B5B5C" w:rsidRPr="00687DE8">
        <w:rPr>
          <w:rFonts w:eastAsia="Symbol"/>
        </w:rPr>
        <w:t>oodiga 297R</w:t>
      </w:r>
      <w:r w:rsidR="0020790E" w:rsidRPr="00687DE8">
        <w:rPr>
          <w:rFonts w:eastAsia="Symbol"/>
        </w:rPr>
        <w:t xml:space="preserve"> </w:t>
      </w:r>
      <w:r w:rsidR="00EF02F0" w:rsidRPr="00687DE8">
        <w:rPr>
          <w:rFonts w:eastAsia="Symbol"/>
        </w:rPr>
        <w:t xml:space="preserve">tähistatud teenust </w:t>
      </w:r>
      <w:r w:rsidR="0020790E" w:rsidRPr="00687DE8">
        <w:rPr>
          <w:rFonts w:eastAsia="Symbol"/>
        </w:rPr>
        <w:t xml:space="preserve">ei ole lubatud kodeerida koodidega 218R, 287R, 325R ja 326R tähistatud </w:t>
      </w:r>
      <w:r w:rsidR="00366C89" w:rsidRPr="00687DE8">
        <w:rPr>
          <w:rFonts w:eastAsia="Symbol"/>
        </w:rPr>
        <w:t>ravimi</w:t>
      </w:r>
      <w:r w:rsidR="0020790E" w:rsidRPr="00687DE8">
        <w:rPr>
          <w:rFonts w:eastAsia="Symbol"/>
        </w:rPr>
        <w:t>teenustes sisalduva bevatsizumabi komponendi asemel.</w:t>
      </w:r>
    </w:p>
    <w:p w14:paraId="0CBF25B1" w14:textId="77777777" w:rsidR="20129E84" w:rsidRPr="00687DE8" w:rsidRDefault="20129E84" w:rsidP="20129E84">
      <w:pPr>
        <w:pStyle w:val="Normaallaadveeb"/>
        <w:spacing w:before="0" w:after="0" w:afterAutospacing="0"/>
        <w:jc w:val="both"/>
        <w:rPr>
          <w:rFonts w:eastAsia="Symbol"/>
        </w:rPr>
      </w:pPr>
    </w:p>
    <w:p w14:paraId="1C15A935" w14:textId="5386D03F" w:rsidR="5184C1E6" w:rsidRPr="00687DE8" w:rsidRDefault="5184C1E6" w:rsidP="5F45D472">
      <w:pPr>
        <w:pStyle w:val="Normaallaadveeb"/>
        <w:spacing w:before="0" w:after="0" w:afterAutospacing="0"/>
        <w:jc w:val="both"/>
        <w:rPr>
          <w:i/>
          <w:iCs/>
        </w:rPr>
      </w:pPr>
      <w:r w:rsidRPr="00687DE8">
        <w:rPr>
          <w:rFonts w:eastAsia="Symbol"/>
        </w:rPr>
        <w:t>(7</w:t>
      </w:r>
      <w:r w:rsidR="00C45F6B" w:rsidRPr="00687DE8">
        <w:rPr>
          <w:rFonts w:eastAsia="Symbol"/>
        </w:rPr>
        <w:t>5</w:t>
      </w:r>
      <w:r w:rsidRPr="00687DE8">
        <w:rPr>
          <w:rFonts w:eastAsia="Symbol"/>
        </w:rPr>
        <w:t xml:space="preserve">) </w:t>
      </w:r>
      <w:r w:rsidR="005023FD" w:rsidRPr="00687DE8">
        <w:rPr>
          <w:color w:val="000000" w:themeColor="text1"/>
        </w:rPr>
        <w:t>Tervisekassa</w:t>
      </w:r>
      <w:r w:rsidRPr="00687DE8">
        <w:rPr>
          <w:color w:val="000000" w:themeColor="text1"/>
        </w:rPr>
        <w:t xml:space="preserve"> võtab koodiga 405R tähistatud ravimiteenuse eest tasu maksmise kohustuse üle varasemalt ravimata lokaalselt levinud mitteresetseeritava (staadium IIIC ja IIID) või kaugelearenenud (staadium IV) naha melanoomiga patsiendi induktsioonraviks, kui patsiendi sooritusvõime on 0</w:t>
      </w:r>
      <w:r w:rsidR="006F0440" w:rsidRPr="00687DE8">
        <w:rPr>
          <w:color w:val="000000" w:themeColor="text1"/>
        </w:rPr>
        <w:t>–</w:t>
      </w:r>
      <w:r w:rsidRPr="00687DE8">
        <w:rPr>
          <w:color w:val="000000" w:themeColor="text1"/>
        </w:rPr>
        <w:t>1 (ECOG skaalal), patsiendil puuduvad</w:t>
      </w:r>
      <w:r w:rsidR="1DA34787" w:rsidRPr="00687DE8">
        <w:rPr>
          <w:color w:val="000000" w:themeColor="text1"/>
        </w:rPr>
        <w:t xml:space="preserve"> </w:t>
      </w:r>
      <w:r w:rsidRPr="00687DE8">
        <w:rPr>
          <w:color w:val="000000" w:themeColor="text1"/>
        </w:rPr>
        <w:t>kesknärvisüsteemi</w:t>
      </w:r>
      <w:r w:rsidR="2732730F" w:rsidRPr="00687DE8">
        <w:rPr>
          <w:color w:val="000000" w:themeColor="text1"/>
        </w:rPr>
        <w:t xml:space="preserve"> metastaasid</w:t>
      </w:r>
      <w:r w:rsidR="06323EA2" w:rsidRPr="00687DE8">
        <w:rPr>
          <w:color w:val="000000" w:themeColor="text1"/>
        </w:rPr>
        <w:t>,</w:t>
      </w:r>
      <w:r w:rsidR="2732730F" w:rsidRPr="00687DE8">
        <w:rPr>
          <w:color w:val="000000" w:themeColor="text1"/>
        </w:rPr>
        <w:t xml:space="preserve"> mis vajavad sümptomite kontrolliks glükokortikoidhormooni</w:t>
      </w:r>
      <w:r w:rsidR="006F0440" w:rsidRPr="00687DE8">
        <w:rPr>
          <w:color w:val="000000" w:themeColor="text1"/>
        </w:rPr>
        <w:t>,</w:t>
      </w:r>
      <w:r w:rsidRPr="00687DE8">
        <w:rPr>
          <w:color w:val="000000" w:themeColor="text1"/>
        </w:rPr>
        <w:t xml:space="preserve"> ja autoimmuunhaigused ning patsient ei saa süsteemset immunosupressiivset ravi transplantaadi säilitamiseks.</w:t>
      </w:r>
    </w:p>
    <w:p w14:paraId="060908AF" w14:textId="77777777" w:rsidR="20129E84" w:rsidRPr="00687DE8" w:rsidRDefault="20129E84" w:rsidP="20129E84">
      <w:pPr>
        <w:pStyle w:val="Normaallaadveeb"/>
        <w:spacing w:before="0" w:after="0" w:afterAutospacing="0"/>
        <w:jc w:val="both"/>
        <w:rPr>
          <w:color w:val="000000" w:themeColor="text1"/>
        </w:rPr>
      </w:pPr>
    </w:p>
    <w:p w14:paraId="239EDE6B" w14:textId="77777777" w:rsidR="5184C1E6" w:rsidRPr="00687DE8" w:rsidRDefault="5184C1E6" w:rsidP="20129E84">
      <w:pPr>
        <w:pStyle w:val="Normaallaadveeb"/>
        <w:spacing w:before="0" w:after="0" w:afterAutospacing="0"/>
        <w:jc w:val="both"/>
        <w:rPr>
          <w:i/>
          <w:iCs/>
          <w:color w:val="000000" w:themeColor="text1"/>
        </w:rPr>
      </w:pPr>
      <w:r w:rsidRPr="00687DE8">
        <w:rPr>
          <w:color w:val="000000" w:themeColor="text1"/>
        </w:rPr>
        <w:t>(7</w:t>
      </w:r>
      <w:r w:rsidR="00C45F6B" w:rsidRPr="00687DE8">
        <w:rPr>
          <w:color w:val="000000" w:themeColor="text1"/>
        </w:rPr>
        <w:t>6</w:t>
      </w:r>
      <w:r w:rsidRPr="00687DE8">
        <w:rPr>
          <w:color w:val="000000" w:themeColor="text1"/>
        </w:rPr>
        <w:t xml:space="preserve">) </w:t>
      </w:r>
      <w:r w:rsidRPr="00687DE8">
        <w:t xml:space="preserve">Ravi teenuskoodiga 405R alustatakse </w:t>
      </w:r>
      <w:r w:rsidRPr="00687DE8">
        <w:rPr>
          <w:color w:val="000000" w:themeColor="text1"/>
        </w:rPr>
        <w:t>multimodaalse paikmepõhise onkoloogilise konsiiliumi otsusel. Ravi teenuskoodiga 405R on lubatud teostada maksimaalselt 4 ravitsüklit ühe patsiendi kohta ning üksnes kombinatsioonis teenusega 406R.</w:t>
      </w:r>
    </w:p>
    <w:p w14:paraId="20C7753B" w14:textId="77777777" w:rsidR="20129E84" w:rsidRPr="00687DE8" w:rsidRDefault="20129E84" w:rsidP="20129E84">
      <w:pPr>
        <w:pStyle w:val="Normaallaadveeb"/>
        <w:spacing w:before="0" w:after="0" w:afterAutospacing="0"/>
        <w:jc w:val="both"/>
        <w:rPr>
          <w:color w:val="000000" w:themeColor="text1"/>
        </w:rPr>
      </w:pPr>
    </w:p>
    <w:p w14:paraId="1EE9216B" w14:textId="43A7CFC3" w:rsidR="5C8CEB1A" w:rsidRPr="00687DE8" w:rsidRDefault="5C8CEB1A" w:rsidP="20129E84">
      <w:pPr>
        <w:pStyle w:val="Normaallaadveeb"/>
        <w:spacing w:before="0" w:after="0" w:afterAutospacing="0"/>
        <w:jc w:val="both"/>
        <w:rPr>
          <w:i/>
          <w:iCs/>
          <w:color w:val="000000" w:themeColor="text1"/>
        </w:rPr>
      </w:pPr>
      <w:r w:rsidRPr="00687DE8">
        <w:rPr>
          <w:color w:val="000000" w:themeColor="text1"/>
        </w:rPr>
        <w:t>(7</w:t>
      </w:r>
      <w:r w:rsidR="00C45F6B" w:rsidRPr="00687DE8">
        <w:rPr>
          <w:color w:val="000000" w:themeColor="text1"/>
        </w:rPr>
        <w:t>7</w:t>
      </w:r>
      <w:r w:rsidRPr="00687DE8">
        <w:rPr>
          <w:color w:val="000000" w:themeColor="text1"/>
        </w:rPr>
        <w:t xml:space="preserve">) </w:t>
      </w:r>
      <w:r w:rsidR="005023FD" w:rsidRPr="00687DE8">
        <w:rPr>
          <w:color w:val="000000" w:themeColor="text1"/>
        </w:rPr>
        <w:t>Tervisekassa</w:t>
      </w:r>
      <w:r w:rsidRPr="00687DE8">
        <w:rPr>
          <w:color w:val="000000" w:themeColor="text1"/>
        </w:rPr>
        <w:t xml:space="preserve"> võtab koodiga 406R tähistatud ravimiteenuse eest tasu maksmise kohustuse üle kombinatsioonis teenusega 405R ravi saava patsiendi induksiooniks ning selle järel (mitte hiljem kui 6</w:t>
      </w:r>
      <w:r w:rsidR="0096711E" w:rsidRPr="00687DE8">
        <w:rPr>
          <w:color w:val="000000" w:themeColor="text1"/>
        </w:rPr>
        <w:t xml:space="preserve"> </w:t>
      </w:r>
      <w:r w:rsidRPr="00687DE8">
        <w:rPr>
          <w:color w:val="000000" w:themeColor="text1"/>
        </w:rPr>
        <w:t>nädalat) monoteraapiana vastava patsiendi säilitusraviks (kuni patsiendi haiguse progressioonini).</w:t>
      </w:r>
    </w:p>
    <w:p w14:paraId="70B3B632" w14:textId="77777777" w:rsidR="17D172A7" w:rsidRPr="00687DE8" w:rsidRDefault="17D172A7" w:rsidP="17D172A7">
      <w:pPr>
        <w:pStyle w:val="Normaallaadveeb"/>
        <w:spacing w:before="0" w:after="0" w:afterAutospacing="0"/>
        <w:jc w:val="both"/>
        <w:rPr>
          <w:color w:val="000000" w:themeColor="text1"/>
        </w:rPr>
      </w:pPr>
    </w:p>
    <w:p w14:paraId="3C8DF420" w14:textId="4E58D896" w:rsidR="0084190F" w:rsidRDefault="0F0F14CB" w:rsidP="30565748">
      <w:pPr>
        <w:pStyle w:val="Normaallaadveeb"/>
        <w:spacing w:before="0" w:after="0" w:afterAutospacing="0"/>
        <w:jc w:val="both"/>
        <w:rPr>
          <w:color w:val="000000" w:themeColor="text1"/>
        </w:rPr>
      </w:pPr>
      <w:r w:rsidRPr="00687DE8">
        <w:rPr>
          <w:color w:val="000000" w:themeColor="text1"/>
        </w:rPr>
        <w:t>(7</w:t>
      </w:r>
      <w:r w:rsidR="00C45F6B" w:rsidRPr="00687DE8">
        <w:rPr>
          <w:color w:val="000000" w:themeColor="text1"/>
        </w:rPr>
        <w:t>8</w:t>
      </w:r>
      <w:r w:rsidRPr="00687DE8">
        <w:rPr>
          <w:color w:val="000000" w:themeColor="text1"/>
        </w:rPr>
        <w:t>) Koodidega 254R ja 255R tähistatud ravimiteenuseid ei ole lubatud kodeerida patsiendil, kes on saanud CTLA4+PD1 kombinatsioonravi teenustega 405R ja 406R.</w:t>
      </w:r>
    </w:p>
    <w:p w14:paraId="34A5B5F1" w14:textId="3A597B60" w:rsidR="00D96647" w:rsidRDefault="00830D75" w:rsidP="00C255AF">
      <w:pPr>
        <w:pStyle w:val="Normaallaadveeb"/>
        <w:spacing w:after="0"/>
        <w:jc w:val="both"/>
        <w:rPr>
          <w:color w:val="000000" w:themeColor="text1"/>
        </w:rPr>
      </w:pPr>
      <w:r w:rsidRPr="00687DE8">
        <w:rPr>
          <w:color w:val="000000" w:themeColor="text1"/>
        </w:rPr>
        <w:t>(</w:t>
      </w:r>
      <w:r w:rsidR="00C45F6B" w:rsidRPr="00687DE8">
        <w:rPr>
          <w:color w:val="000000" w:themeColor="text1"/>
        </w:rPr>
        <w:t>79</w:t>
      </w:r>
      <w:r w:rsidRPr="00687DE8">
        <w:rPr>
          <w:color w:val="000000" w:themeColor="text1"/>
        </w:rPr>
        <w:t>)</w:t>
      </w:r>
      <w:r w:rsidRPr="00687DE8">
        <w:t xml:space="preserve"> </w:t>
      </w:r>
      <w:r w:rsidR="005023FD" w:rsidRPr="00687DE8">
        <w:rPr>
          <w:color w:val="000000" w:themeColor="text1"/>
        </w:rPr>
        <w:t>Tervisekassa</w:t>
      </w:r>
      <w:r w:rsidRPr="00687DE8">
        <w:rPr>
          <w:color w:val="000000" w:themeColor="text1"/>
        </w:rPr>
        <w:t xml:space="preserve"> võtab koodiga </w:t>
      </w:r>
      <w:r w:rsidR="00CF58AA" w:rsidRPr="00687DE8">
        <w:rPr>
          <w:color w:val="000000" w:themeColor="text1"/>
        </w:rPr>
        <w:t>411</w:t>
      </w:r>
      <w:r w:rsidRPr="00687DE8">
        <w:rPr>
          <w:color w:val="000000" w:themeColor="text1"/>
        </w:rPr>
        <w:t>R tähistatud ravimiteenuse eest tasu maksmise kohustuse üle mitteresetseeritava kaugelearenenud, retsidiveerunud või metastaatilise lamerakulise söögitoru kartsinoomi esimese rea raviks heas üldseisundis (ECOG 0–1) täiskasvanud patsiendilt, kelle kasvaja ekspresseerib PD-L1 ≥ 1%, kuni haiguse progresseerumiseni või progressiooni puudumise korral maksimaalselt kaks aastat.</w:t>
      </w:r>
      <w:r w:rsidR="00FB7D83">
        <w:rPr>
          <w:color w:val="000000" w:themeColor="text1"/>
        </w:rPr>
        <w:t xml:space="preserve"> </w:t>
      </w:r>
      <w:r w:rsidR="00254CC2" w:rsidRPr="00A669B0">
        <w:rPr>
          <w:color w:val="000000" w:themeColor="text1"/>
        </w:rPr>
        <w:t>Kui eelnimetatud patsient on varasemas ravireas saanud resektsioonijärgset adjuvantravi PD-1 inhibiitoriga (kood </w:t>
      </w:r>
      <w:r w:rsidR="00A02875">
        <w:rPr>
          <w:color w:val="000000" w:themeColor="text1"/>
        </w:rPr>
        <w:t>435</w:t>
      </w:r>
      <w:r w:rsidR="00254CC2" w:rsidRPr="00A669B0">
        <w:rPr>
          <w:color w:val="000000" w:themeColor="text1"/>
        </w:rPr>
        <w:t>R), võtab Tervisekassa tasu maksmise kohustuse üle üksnes juhul, kui patsiendi haigus on taastekkinud eelnimetatud staadiumitesse ≥ 6-kuulise haigusvaba perioodi järel</w:t>
      </w:r>
      <w:r w:rsidR="00C255AF">
        <w:rPr>
          <w:color w:val="000000" w:themeColor="text1"/>
        </w:rPr>
        <w:t>. Koodiga 4</w:t>
      </w:r>
      <w:r w:rsidR="00570890">
        <w:rPr>
          <w:color w:val="000000" w:themeColor="text1"/>
        </w:rPr>
        <w:t>11R</w:t>
      </w:r>
      <w:r w:rsidR="00C255AF" w:rsidRPr="00A669B0">
        <w:rPr>
          <w:color w:val="000000" w:themeColor="text1"/>
        </w:rPr>
        <w:t xml:space="preserve"> tähistatud </w:t>
      </w:r>
      <w:r w:rsidR="00983A24">
        <w:rPr>
          <w:color w:val="000000" w:themeColor="text1"/>
        </w:rPr>
        <w:t>ravim</w:t>
      </w:r>
      <w:r w:rsidR="00A967E0">
        <w:rPr>
          <w:color w:val="000000" w:themeColor="text1"/>
        </w:rPr>
        <w:t>i</w:t>
      </w:r>
      <w:r w:rsidR="00DD64F7">
        <w:rPr>
          <w:color w:val="000000" w:themeColor="text1"/>
        </w:rPr>
        <w:t>teenust</w:t>
      </w:r>
      <w:r w:rsidR="00C255AF" w:rsidRPr="00A669B0">
        <w:rPr>
          <w:color w:val="000000" w:themeColor="text1"/>
        </w:rPr>
        <w:t xml:space="preserve"> ei ole </w:t>
      </w:r>
      <w:r w:rsidR="00C255AF" w:rsidRPr="00A669B0">
        <w:rPr>
          <w:color w:val="000000" w:themeColor="text1"/>
        </w:rPr>
        <w:lastRenderedPageBreak/>
        <w:t xml:space="preserve">lubatud </w:t>
      </w:r>
      <w:r w:rsidR="00402742">
        <w:rPr>
          <w:color w:val="000000" w:themeColor="text1"/>
        </w:rPr>
        <w:t>kasutada</w:t>
      </w:r>
      <w:r w:rsidR="00C255AF" w:rsidRPr="00A669B0">
        <w:rPr>
          <w:color w:val="000000" w:themeColor="text1"/>
        </w:rPr>
        <w:t xml:space="preserve"> patsiendil, kes katkestas adjuvantravi (kood </w:t>
      </w:r>
      <w:r w:rsidR="00DD64F7">
        <w:rPr>
          <w:color w:val="000000" w:themeColor="text1"/>
        </w:rPr>
        <w:t>435</w:t>
      </w:r>
      <w:r w:rsidR="00C255AF" w:rsidRPr="00A669B0">
        <w:rPr>
          <w:color w:val="000000" w:themeColor="text1"/>
        </w:rPr>
        <w:t>R) haiguse progressiooni tõttu ravi ajal</w:t>
      </w:r>
      <w:r w:rsidR="00A967E0">
        <w:rPr>
          <w:color w:val="000000" w:themeColor="text1"/>
        </w:rPr>
        <w:t>,</w:t>
      </w:r>
      <w:r w:rsidR="00C255AF" w:rsidRPr="00A669B0">
        <w:rPr>
          <w:color w:val="000000" w:themeColor="text1"/>
        </w:rPr>
        <w:t xml:space="preserve"> või kui haigus progresseerus vahetult pärast ravi lõppu (≤ 6 kuu jooksul).</w:t>
      </w:r>
    </w:p>
    <w:p w14:paraId="6298AE11" w14:textId="53D48E7C" w:rsidR="00DF63A5" w:rsidRPr="00687DE8" w:rsidRDefault="00CF2047" w:rsidP="30565748">
      <w:pPr>
        <w:pStyle w:val="Normaallaadveeb"/>
        <w:spacing w:before="0" w:after="0" w:afterAutospacing="0"/>
        <w:jc w:val="both"/>
        <w:rPr>
          <w:color w:val="000000" w:themeColor="text1"/>
        </w:rPr>
      </w:pPr>
      <w:r w:rsidRPr="00687DE8">
        <w:rPr>
          <w:color w:val="000000" w:themeColor="text1"/>
        </w:rPr>
        <w:t>(80)</w:t>
      </w:r>
      <w:r w:rsidR="002B72CB" w:rsidRPr="00687DE8">
        <w:t xml:space="preserve"> </w:t>
      </w:r>
      <w:r w:rsidR="005023FD" w:rsidRPr="00687DE8">
        <w:rPr>
          <w:color w:val="000000" w:themeColor="text1"/>
        </w:rPr>
        <w:t>Tervisekassa</w:t>
      </w:r>
      <w:r w:rsidR="002B72CB" w:rsidRPr="00687DE8">
        <w:rPr>
          <w:color w:val="000000" w:themeColor="text1"/>
        </w:rPr>
        <w:t xml:space="preserve"> võtab kindlustatud isikult koodiga 328R tähistatud ravimiteenuse eest tasu maksmise kohustuse üle järgmistel tingimustel:</w:t>
      </w:r>
    </w:p>
    <w:p w14:paraId="165ABF3C" w14:textId="54A69C19" w:rsidR="00B4427A" w:rsidRPr="00687DE8" w:rsidRDefault="001408BC" w:rsidP="00B4427A">
      <w:pPr>
        <w:pStyle w:val="Normaallaadveeb"/>
        <w:spacing w:before="0" w:after="0" w:afterAutospacing="0"/>
        <w:jc w:val="both"/>
        <w:rPr>
          <w:color w:val="000000" w:themeColor="text1"/>
        </w:rPr>
      </w:pPr>
      <w:r w:rsidRPr="00687DE8">
        <w:rPr>
          <w:color w:val="000000" w:themeColor="text1"/>
        </w:rPr>
        <w:t>1</w:t>
      </w:r>
      <w:r w:rsidR="00B4427A" w:rsidRPr="00687DE8">
        <w:rPr>
          <w:color w:val="000000" w:themeColor="text1"/>
        </w:rPr>
        <w:t xml:space="preserve">) pertuzumab varajase rinnavähi neoadjuvantraviks, kui kasvajal esineb HER2 üleekspressioon (3+ immunohistokeemilisel uuringul või FISH-positiivsed) ning primaartuumor on ≥ 2 cm (≥ T2) või haaratud on lümfisõlmed (≥ N1) või tegu on põletikulise rinnavähiga. </w:t>
      </w:r>
      <w:r w:rsidR="005023FD" w:rsidRPr="00687DE8">
        <w:rPr>
          <w:color w:val="000000" w:themeColor="text1"/>
        </w:rPr>
        <w:t>Tervisekassa</w:t>
      </w:r>
      <w:r w:rsidR="00B4427A" w:rsidRPr="00687DE8">
        <w:rPr>
          <w:color w:val="000000" w:themeColor="text1"/>
        </w:rPr>
        <w:t xml:space="preserve"> võtab tasu maksmise kohustuse üle maksimaalselt nelja ravikuuri eest</w:t>
      </w:r>
      <w:r w:rsidR="009F51CE" w:rsidRPr="00687DE8">
        <w:rPr>
          <w:color w:val="000000" w:themeColor="text1"/>
        </w:rPr>
        <w:t>;</w:t>
      </w:r>
      <w:r w:rsidR="00B4427A" w:rsidRPr="00687DE8">
        <w:rPr>
          <w:color w:val="000000" w:themeColor="text1"/>
        </w:rPr>
        <w:t xml:space="preserve"> </w:t>
      </w:r>
    </w:p>
    <w:p w14:paraId="32671A58" w14:textId="77777777" w:rsidR="001408BC" w:rsidRPr="00687DE8" w:rsidRDefault="00B4427A" w:rsidP="00B4427A">
      <w:pPr>
        <w:pStyle w:val="Normaallaadveeb"/>
        <w:spacing w:before="0" w:after="0" w:afterAutospacing="0"/>
        <w:jc w:val="both"/>
        <w:rPr>
          <w:rFonts w:eastAsia="Symbol"/>
          <w:color w:val="000000" w:themeColor="text1"/>
        </w:rPr>
      </w:pPr>
      <w:r w:rsidRPr="00687DE8">
        <w:rPr>
          <w:rFonts w:eastAsia="Symbol"/>
          <w:color w:val="000000" w:themeColor="text1"/>
        </w:rPr>
        <w:t>2) pertuzumab metastaatilise rinnavähi raviks kuni haiguse progresseerumiseni, kui kasvajal esineb HER2 üleekspressioon (3+ immunohistokeemilisel uuringul või FISH-positiivsed) heas üldseisundis (ECOG 0–1) vistseraalsete metastaasidega patsiendil, kes ei ole varem saanud HER2-vastast ravi või kemoteraapiat metastaatilise haiguse tõttu;</w:t>
      </w:r>
    </w:p>
    <w:p w14:paraId="386A68A0" w14:textId="2D62FE42" w:rsidR="00B4427A" w:rsidRPr="00687DE8" w:rsidRDefault="00B4427A" w:rsidP="00B4427A">
      <w:pPr>
        <w:pStyle w:val="Normaallaadveeb"/>
        <w:spacing w:before="0" w:after="0" w:afterAutospacing="0"/>
        <w:jc w:val="both"/>
        <w:rPr>
          <w:rFonts w:eastAsia="Symbol"/>
          <w:color w:val="000000" w:themeColor="text1"/>
        </w:rPr>
      </w:pPr>
      <w:r w:rsidRPr="00687DE8">
        <w:rPr>
          <w:rFonts w:eastAsia="Symbol"/>
          <w:color w:val="000000" w:themeColor="text1"/>
        </w:rPr>
        <w:t xml:space="preserve">3) </w:t>
      </w:r>
      <w:r w:rsidR="009F51CE" w:rsidRPr="00687DE8">
        <w:rPr>
          <w:rFonts w:eastAsia="Symbol"/>
          <w:color w:val="000000" w:themeColor="text1"/>
        </w:rPr>
        <w:t>k</w:t>
      </w:r>
      <w:r w:rsidRPr="00687DE8">
        <w:rPr>
          <w:rFonts w:eastAsia="Symbol"/>
          <w:color w:val="000000" w:themeColor="text1"/>
        </w:rPr>
        <w:t>oodiga 328R tähistatud ravimiteenust on lubatud kodeerida ühele raviarvele koos teenusega 229R</w:t>
      </w:r>
      <w:r w:rsidR="006F0440" w:rsidRPr="00687DE8">
        <w:rPr>
          <w:rFonts w:eastAsia="Symbol"/>
          <w:color w:val="000000" w:themeColor="text1"/>
        </w:rPr>
        <w:t>,</w:t>
      </w:r>
      <w:r w:rsidRPr="00687DE8">
        <w:rPr>
          <w:rFonts w:eastAsia="Symbol"/>
          <w:color w:val="000000" w:themeColor="text1"/>
        </w:rPr>
        <w:t xml:space="preserve"> kui ravi tehakse samaaegselt kombinatsioonis trastuzumabi ja keemiaraviga, sh ka pertuzumabi ja trastuzumabi sisaldava kombinatsioonravimi kasutamise korral</w:t>
      </w:r>
      <w:r w:rsidR="009F51CE" w:rsidRPr="00687DE8">
        <w:rPr>
          <w:rFonts w:eastAsia="Symbol"/>
          <w:color w:val="000000" w:themeColor="text1"/>
        </w:rPr>
        <w:t>;</w:t>
      </w:r>
    </w:p>
    <w:p w14:paraId="653CA6FA" w14:textId="6253850D" w:rsidR="00B4427A" w:rsidRPr="00687DE8" w:rsidRDefault="00B4427A" w:rsidP="0096711E">
      <w:pPr>
        <w:spacing w:after="0" w:line="240" w:lineRule="auto"/>
        <w:jc w:val="both"/>
        <w:rPr>
          <w:rFonts w:eastAsia="Symbol"/>
          <w:color w:val="000000" w:themeColor="text1"/>
          <w:szCs w:val="24"/>
        </w:rPr>
      </w:pPr>
      <w:r w:rsidRPr="00687DE8">
        <w:rPr>
          <w:rFonts w:eastAsia="Symbol"/>
          <w:color w:val="000000" w:themeColor="text1"/>
          <w:szCs w:val="24"/>
        </w:rPr>
        <w:t xml:space="preserve">4) </w:t>
      </w:r>
      <w:r w:rsidR="009F51CE" w:rsidRPr="00687DE8">
        <w:rPr>
          <w:rFonts w:eastAsia="Symbol"/>
          <w:color w:val="000000" w:themeColor="text1"/>
          <w:szCs w:val="24"/>
        </w:rPr>
        <w:t>r</w:t>
      </w:r>
      <w:r w:rsidRPr="00687DE8">
        <w:rPr>
          <w:rFonts w:eastAsia="Symbol"/>
          <w:color w:val="000000" w:themeColor="text1"/>
          <w:szCs w:val="24"/>
        </w:rPr>
        <w:t>avi alustamisel küllastusannuse kasutamisel on ravimiteenust lubatud kodeerida ühele raviarvele koefitsiendiga 2.</w:t>
      </w:r>
    </w:p>
    <w:p w14:paraId="62DEB164" w14:textId="77777777" w:rsidR="00197FBD" w:rsidRPr="00687DE8" w:rsidRDefault="00197FBD" w:rsidP="0096711E">
      <w:pPr>
        <w:pStyle w:val="Normaallaadveeb"/>
        <w:spacing w:before="0" w:after="0" w:afterAutospacing="0"/>
        <w:jc w:val="both"/>
        <w:rPr>
          <w:rFonts w:eastAsia="Symbol"/>
          <w:color w:val="000000" w:themeColor="text1"/>
        </w:rPr>
      </w:pPr>
    </w:p>
    <w:p w14:paraId="14482ABD" w14:textId="414E3438" w:rsidR="00AE0360" w:rsidRPr="00687DE8" w:rsidRDefault="00197FBD" w:rsidP="0096711E">
      <w:pPr>
        <w:pStyle w:val="Normaallaadveeb"/>
        <w:spacing w:before="0" w:after="0" w:afterAutospacing="0"/>
        <w:jc w:val="both"/>
        <w:rPr>
          <w:rFonts w:eastAsia="Symbol"/>
          <w:color w:val="000000" w:themeColor="text1"/>
        </w:rPr>
      </w:pPr>
      <w:r w:rsidRPr="00687DE8">
        <w:rPr>
          <w:rFonts w:eastAsia="Symbol"/>
          <w:color w:val="000000" w:themeColor="text1"/>
        </w:rPr>
        <w:t xml:space="preserve">(81) </w:t>
      </w:r>
      <w:r w:rsidR="005023FD" w:rsidRPr="00687DE8">
        <w:rPr>
          <w:rFonts w:eastAsia="Symbol"/>
          <w:color w:val="000000" w:themeColor="text1"/>
        </w:rPr>
        <w:t>Tervisekassa</w:t>
      </w:r>
      <w:r w:rsidR="00504E95" w:rsidRPr="00687DE8">
        <w:rPr>
          <w:rFonts w:eastAsia="Symbol"/>
          <w:color w:val="000000" w:themeColor="text1"/>
        </w:rPr>
        <w:t xml:space="preserve"> võtab kindlustatud isikult koodiga 394R tähistatud ravimiteenuse eest tasu maksmise kohustuse üle järgmistel tingimustel:</w:t>
      </w:r>
    </w:p>
    <w:p w14:paraId="2F9C4D3B" w14:textId="678539D9" w:rsidR="00B90032" w:rsidRPr="00687DE8" w:rsidRDefault="00B90032" w:rsidP="00B90032">
      <w:pPr>
        <w:pStyle w:val="Normaallaadveeb"/>
        <w:spacing w:before="0" w:after="0" w:afterAutospacing="0"/>
        <w:jc w:val="both"/>
        <w:rPr>
          <w:rFonts w:eastAsia="Symbol"/>
          <w:color w:val="000000" w:themeColor="text1"/>
        </w:rPr>
      </w:pPr>
      <w:r w:rsidRPr="00687DE8">
        <w:rPr>
          <w:rFonts w:eastAsia="Symbol"/>
          <w:color w:val="000000" w:themeColor="text1"/>
        </w:rPr>
        <w:t xml:space="preserve">1) trastuzumabemtansiin monoteraapiana II–III staadiumi rinnavähi adjuvantraviks, kui kasvajal esineb HER2 üleekspressioon (3+ immunohistokeemilisel uuringul või FISH-positiivsed) ning patsiendil on jääktuumor rinnanäärmes ja/või lümfisõlmedes pärast neoadjuvantravi taksaani ja HER2-sihtmärkraviga. </w:t>
      </w:r>
      <w:r w:rsidR="005023FD" w:rsidRPr="00687DE8">
        <w:rPr>
          <w:rFonts w:eastAsia="Symbol"/>
          <w:color w:val="000000" w:themeColor="text1"/>
        </w:rPr>
        <w:t>Tervisekassa</w:t>
      </w:r>
      <w:r w:rsidRPr="00687DE8">
        <w:rPr>
          <w:rFonts w:eastAsia="Symbol"/>
          <w:color w:val="000000" w:themeColor="text1"/>
        </w:rPr>
        <w:t xml:space="preserve"> võtab tasu maksmise kohustuse üle maksimaalselt 14 ravikuuri eest;</w:t>
      </w:r>
    </w:p>
    <w:p w14:paraId="1A4BAF98" w14:textId="5CBDCE0B" w:rsidR="00B90032" w:rsidRPr="00687DE8" w:rsidRDefault="00B90032" w:rsidP="00B801EB">
      <w:pPr>
        <w:pStyle w:val="Normaallaadveeb"/>
        <w:spacing w:before="0" w:after="0" w:afterAutospacing="0"/>
        <w:jc w:val="both"/>
        <w:rPr>
          <w:rFonts w:eastAsia="Symbol"/>
          <w:color w:val="000000" w:themeColor="text1"/>
        </w:rPr>
      </w:pPr>
      <w:r w:rsidRPr="00687DE8">
        <w:rPr>
          <w:rFonts w:eastAsia="Symbol"/>
          <w:color w:val="000000" w:themeColor="text1"/>
        </w:rPr>
        <w:t xml:space="preserve">2) trastuzumabemtansiin monoteraapiana mitteresetseeritava lokaalselt kaugelearenenud või metastaatilise rinnanäärmevähi </w:t>
      </w:r>
      <w:r w:rsidR="00310360">
        <w:rPr>
          <w:rFonts w:eastAsia="Symbol"/>
          <w:color w:val="000000" w:themeColor="text1"/>
        </w:rPr>
        <w:t>teise</w:t>
      </w:r>
      <w:r w:rsidR="00A4697B">
        <w:rPr>
          <w:rFonts w:eastAsia="Symbol"/>
          <w:color w:val="000000" w:themeColor="text1"/>
        </w:rPr>
        <w:t xml:space="preserve"> rea </w:t>
      </w:r>
      <w:r w:rsidRPr="00687DE8">
        <w:rPr>
          <w:rFonts w:eastAsia="Symbol"/>
          <w:color w:val="000000" w:themeColor="text1"/>
        </w:rPr>
        <w:t>raviks kuni haiguse progresseerumiseni, kui kasvajal esineb HER2 üleekspressioon (3+ immunohistokeemilisel uuringul või FISH-positiivsed), täiskasvanud patsiendil, kes on eelnevalt saanud trastuzumabi ja taksaani kas eraldi või kombineeritult. Patsient peab olema saanud eelnevat ravi lokaalselt kaugelearenenud või metastaatilise haiguse tõttu või patsiendil peab olema tekkinud haiguse retsidiiv trastuzumab-adjuvantravi ajal või kuue kuu jooksul pärast selle lõppu, seejuures ei tohi patsient olla saanud eelnevat ravi pertuzumabiga</w:t>
      </w:r>
      <w:r w:rsidR="00A4697B">
        <w:rPr>
          <w:rFonts w:eastAsia="Symbol"/>
          <w:color w:val="000000" w:themeColor="text1"/>
        </w:rPr>
        <w:t xml:space="preserve"> ega </w:t>
      </w:r>
      <w:r w:rsidR="00A4697B" w:rsidRPr="00A64E10">
        <w:rPr>
          <w:rFonts w:eastAsia="Symbol"/>
          <w:color w:val="000000" w:themeColor="text1"/>
        </w:rPr>
        <w:t>trastuzumabderukstekaani</w:t>
      </w:r>
      <w:r w:rsidR="00A4697B">
        <w:rPr>
          <w:rFonts w:eastAsia="Symbol"/>
          <w:color w:val="000000" w:themeColor="text1"/>
        </w:rPr>
        <w:t>ga</w:t>
      </w:r>
      <w:r w:rsidR="00000E19" w:rsidRPr="00687DE8">
        <w:rPr>
          <w:rFonts w:eastAsia="Symbol"/>
          <w:color w:val="000000" w:themeColor="text1"/>
        </w:rPr>
        <w:t>.</w:t>
      </w:r>
    </w:p>
    <w:p w14:paraId="1FAA3E5B" w14:textId="77777777" w:rsidR="00B801EB" w:rsidRPr="00687DE8" w:rsidRDefault="00B801EB" w:rsidP="00B801EB">
      <w:pPr>
        <w:pStyle w:val="Normaallaadveeb"/>
        <w:spacing w:before="0" w:after="0" w:afterAutospacing="0"/>
        <w:jc w:val="both"/>
        <w:rPr>
          <w:rFonts w:eastAsia="Symbol"/>
          <w:color w:val="000000" w:themeColor="text1"/>
        </w:rPr>
      </w:pPr>
    </w:p>
    <w:p w14:paraId="649C27EB" w14:textId="638BD964" w:rsidR="006C1226" w:rsidRPr="00687DE8" w:rsidRDefault="006C1226" w:rsidP="00B801EB">
      <w:pPr>
        <w:pStyle w:val="Normaallaadveeb"/>
        <w:spacing w:before="0" w:after="0" w:afterAutospacing="0"/>
        <w:jc w:val="both"/>
        <w:rPr>
          <w:rFonts w:eastAsia="Symbol"/>
          <w:color w:val="000000" w:themeColor="text1"/>
        </w:rPr>
      </w:pPr>
      <w:r w:rsidRPr="00687DE8">
        <w:rPr>
          <w:rFonts w:eastAsia="Symbol"/>
          <w:color w:val="000000" w:themeColor="text1"/>
        </w:rPr>
        <w:t>(</w:t>
      </w:r>
      <w:r w:rsidR="003237D9" w:rsidRPr="00687DE8">
        <w:rPr>
          <w:rFonts w:eastAsia="Symbol"/>
          <w:color w:val="000000" w:themeColor="text1"/>
        </w:rPr>
        <w:t>82</w:t>
      </w:r>
      <w:r w:rsidRPr="00687DE8">
        <w:rPr>
          <w:rFonts w:eastAsia="Symbol"/>
          <w:color w:val="000000" w:themeColor="text1"/>
        </w:rPr>
        <w:t xml:space="preserve">) </w:t>
      </w:r>
      <w:r w:rsidR="005023FD" w:rsidRPr="00687DE8">
        <w:rPr>
          <w:rFonts w:eastAsia="Symbol"/>
          <w:color w:val="000000" w:themeColor="text1"/>
        </w:rPr>
        <w:t>Tervisekassa</w:t>
      </w:r>
      <w:r w:rsidRPr="00687DE8">
        <w:rPr>
          <w:rFonts w:eastAsia="Symbol"/>
          <w:color w:val="000000" w:themeColor="text1"/>
        </w:rPr>
        <w:t xml:space="preserve"> võtab koodiga 407R tähistatud ravimiteenuse eest tasu maksmise kohustuse üle mitteresetseeritava lokaalselt levinud või metastaatilise kolmiknegatiivse rinnavähiga patsiendilt, kelle kasvaja PD-L1 ekspressioon on ≥ 1% ning kes ei ole saanud eelnevat kemoteraapiat metastaatilise haiguse raviks, kuni haiguse progresseerumiseni</w:t>
      </w:r>
      <w:r w:rsidR="00B801EB" w:rsidRPr="00687DE8">
        <w:rPr>
          <w:rFonts w:eastAsia="Symbol"/>
          <w:color w:val="000000" w:themeColor="text1"/>
        </w:rPr>
        <w:t>.</w:t>
      </w:r>
    </w:p>
    <w:p w14:paraId="229B8C9D" w14:textId="77777777" w:rsidR="00B801EB" w:rsidRPr="00687DE8" w:rsidRDefault="00B801EB" w:rsidP="00B801EB">
      <w:pPr>
        <w:pStyle w:val="Normaallaadveeb"/>
        <w:spacing w:before="0" w:after="0" w:afterAutospacing="0"/>
        <w:jc w:val="both"/>
        <w:rPr>
          <w:rFonts w:eastAsia="Symbol"/>
          <w:color w:val="000000" w:themeColor="text1"/>
        </w:rPr>
      </w:pPr>
    </w:p>
    <w:p w14:paraId="55B44A12" w14:textId="688E38E8" w:rsidR="00FD1FAF" w:rsidRPr="00687DE8" w:rsidRDefault="00FD1FAF" w:rsidP="00B801EB">
      <w:pPr>
        <w:pStyle w:val="Normaallaadveeb"/>
        <w:spacing w:before="0" w:after="0" w:afterAutospacing="0"/>
        <w:jc w:val="both"/>
        <w:rPr>
          <w:rFonts w:eastAsia="Symbol"/>
          <w:color w:val="000000" w:themeColor="text1"/>
        </w:rPr>
      </w:pPr>
      <w:r w:rsidRPr="00687DE8">
        <w:rPr>
          <w:rFonts w:eastAsia="Symbol"/>
          <w:color w:val="000000" w:themeColor="text1"/>
        </w:rPr>
        <w:t>(</w:t>
      </w:r>
      <w:r w:rsidR="003237D9" w:rsidRPr="00687DE8">
        <w:rPr>
          <w:rFonts w:eastAsia="Symbol"/>
          <w:color w:val="000000" w:themeColor="text1"/>
        </w:rPr>
        <w:t>83</w:t>
      </w:r>
      <w:r w:rsidRPr="00687DE8">
        <w:rPr>
          <w:rFonts w:eastAsia="Symbol"/>
          <w:color w:val="000000" w:themeColor="text1"/>
        </w:rPr>
        <w:t xml:space="preserve">) </w:t>
      </w:r>
      <w:r w:rsidR="005023FD" w:rsidRPr="00687DE8">
        <w:rPr>
          <w:rFonts w:eastAsia="Symbol"/>
          <w:color w:val="000000" w:themeColor="text1"/>
        </w:rPr>
        <w:t>Tervisekassa</w:t>
      </w:r>
      <w:r w:rsidRPr="00687DE8">
        <w:rPr>
          <w:rFonts w:eastAsia="Symbol"/>
          <w:color w:val="000000" w:themeColor="text1"/>
        </w:rPr>
        <w:t xml:space="preserve"> võtab koodiga 408R tähistatud ravimiteenuse eest tasu maksmise kohustuse üle mitteresetseeritava lokaalselt levinud või metastaatilise kolmiknegatiivse rinnavähiga patsiendilt, kelle kasvaja PD-L1 ekspressioon on ≥ 1% ning kes ei ole saanud eelnevat kemoteraapiat metastaatilise haiguse raviks, kombinatsioonis </w:t>
      </w:r>
      <w:r w:rsidR="00D8697A" w:rsidRPr="00687DE8">
        <w:rPr>
          <w:rFonts w:eastAsia="Symbol"/>
          <w:color w:val="000000" w:themeColor="text1"/>
        </w:rPr>
        <w:t>immuunravi</w:t>
      </w:r>
      <w:r w:rsidR="009B0530" w:rsidRPr="00687DE8">
        <w:rPr>
          <w:rFonts w:eastAsia="Symbol"/>
          <w:color w:val="000000" w:themeColor="text1"/>
        </w:rPr>
        <w:t>ga</w:t>
      </w:r>
      <w:r w:rsidR="00D8697A" w:rsidRPr="00687DE8">
        <w:rPr>
          <w:rFonts w:eastAsia="Symbol"/>
          <w:color w:val="000000" w:themeColor="text1"/>
        </w:rPr>
        <w:t xml:space="preserve"> </w:t>
      </w:r>
      <w:r w:rsidRPr="00687DE8">
        <w:rPr>
          <w:rFonts w:eastAsia="Symbol"/>
          <w:color w:val="000000" w:themeColor="text1"/>
        </w:rPr>
        <w:t>kuni haiguse progresseerumiseni</w:t>
      </w:r>
      <w:r w:rsidR="00B801EB" w:rsidRPr="00687DE8">
        <w:rPr>
          <w:rFonts w:eastAsia="Symbol"/>
          <w:color w:val="000000" w:themeColor="text1"/>
        </w:rPr>
        <w:t>.</w:t>
      </w:r>
    </w:p>
    <w:p w14:paraId="4FA7CC43" w14:textId="77777777" w:rsidR="00A237C2" w:rsidRPr="00687DE8" w:rsidRDefault="00A237C2" w:rsidP="00B801EB">
      <w:pPr>
        <w:pStyle w:val="Normaallaadveeb"/>
        <w:spacing w:before="0" w:after="0" w:afterAutospacing="0"/>
        <w:jc w:val="both"/>
        <w:rPr>
          <w:rFonts w:eastAsia="Symbol"/>
          <w:color w:val="000000" w:themeColor="text1"/>
        </w:rPr>
      </w:pPr>
    </w:p>
    <w:p w14:paraId="69A2E02E" w14:textId="6F5A6C53" w:rsidR="00357BAE" w:rsidRPr="00687DE8" w:rsidRDefault="00916068" w:rsidP="004E5D58">
      <w:pPr>
        <w:pStyle w:val="Normaallaadveeb"/>
        <w:spacing w:before="0" w:after="0" w:afterAutospacing="0"/>
        <w:jc w:val="both"/>
        <w:rPr>
          <w:rFonts w:eastAsia="Symbol"/>
          <w:color w:val="000000" w:themeColor="text1"/>
        </w:rPr>
      </w:pPr>
      <w:r w:rsidRPr="00687DE8">
        <w:rPr>
          <w:rFonts w:eastAsia="Symbol"/>
          <w:color w:val="000000" w:themeColor="text1"/>
        </w:rPr>
        <w:t xml:space="preserve">(84) </w:t>
      </w:r>
      <w:r w:rsidR="005023FD" w:rsidRPr="00687DE8">
        <w:rPr>
          <w:rFonts w:eastAsia="Symbol"/>
          <w:color w:val="000000" w:themeColor="text1"/>
        </w:rPr>
        <w:t>Tervisekassa</w:t>
      </w:r>
      <w:r w:rsidR="00314BFF" w:rsidRPr="00687DE8">
        <w:rPr>
          <w:rFonts w:eastAsia="Symbol"/>
          <w:color w:val="000000" w:themeColor="text1"/>
        </w:rPr>
        <w:t xml:space="preserve"> võtab koodiga 409R tähistatud ravimiteenuse eest tasu maksmise kohustuse üle</w:t>
      </w:r>
      <w:r w:rsidR="00357BAE" w:rsidRPr="00687DE8">
        <w:rPr>
          <w:rFonts w:eastAsia="Symbol"/>
          <w:color w:val="000000" w:themeColor="text1"/>
        </w:rPr>
        <w:t xml:space="preserve"> järgmistel tingimustel:</w:t>
      </w:r>
    </w:p>
    <w:p w14:paraId="32169EAA" w14:textId="7CB383FE" w:rsidR="004E5D58" w:rsidRPr="00687DE8" w:rsidRDefault="00EF0190" w:rsidP="00314BFF">
      <w:pPr>
        <w:pStyle w:val="Normaallaadveeb"/>
        <w:spacing w:before="0" w:after="0" w:afterAutospacing="0"/>
        <w:jc w:val="both"/>
        <w:rPr>
          <w:rFonts w:eastAsia="Symbol"/>
          <w:color w:val="000000" w:themeColor="text1"/>
        </w:rPr>
      </w:pPr>
      <w:r w:rsidRPr="00687DE8">
        <w:rPr>
          <w:rFonts w:eastAsia="Symbol"/>
          <w:color w:val="000000" w:themeColor="text1"/>
        </w:rPr>
        <w:lastRenderedPageBreak/>
        <w:t xml:space="preserve">1) </w:t>
      </w:r>
      <w:r w:rsidR="00314BFF" w:rsidRPr="00687DE8">
        <w:rPr>
          <w:rFonts w:eastAsia="Symbol"/>
          <w:color w:val="000000" w:themeColor="text1"/>
        </w:rPr>
        <w:t xml:space="preserve">kaugelearenenud neerurakk-kartsinoomi 1. rea raviks keskmise </w:t>
      </w:r>
      <w:r w:rsidR="00B20C75" w:rsidRPr="00687DE8">
        <w:rPr>
          <w:rFonts w:eastAsia="Symbol"/>
          <w:color w:val="000000" w:themeColor="text1"/>
        </w:rPr>
        <w:t>või</w:t>
      </w:r>
      <w:r w:rsidR="00314BFF" w:rsidRPr="00687DE8">
        <w:rPr>
          <w:rFonts w:eastAsia="Symbol"/>
          <w:color w:val="000000" w:themeColor="text1"/>
        </w:rPr>
        <w:t xml:space="preserve"> halva riskitasemega patsiendilt kuni haiguse progressioonini</w:t>
      </w:r>
      <w:r w:rsidR="00730573" w:rsidRPr="00687DE8">
        <w:rPr>
          <w:rFonts w:eastAsia="Symbol"/>
          <w:color w:val="000000" w:themeColor="text1"/>
        </w:rPr>
        <w:t>;</w:t>
      </w:r>
    </w:p>
    <w:p w14:paraId="28D1B3AE" w14:textId="6F0EABC2" w:rsidR="004E5D58" w:rsidRPr="00687DE8" w:rsidRDefault="004E5D58" w:rsidP="004E5D58">
      <w:pPr>
        <w:pStyle w:val="Normaallaadveeb"/>
        <w:spacing w:before="0" w:after="0" w:afterAutospacing="0"/>
        <w:jc w:val="both"/>
      </w:pPr>
      <w:r w:rsidRPr="00687DE8">
        <w:t>2) kaugelearenenud heledarakulise neeruvähiga heas üldseisundis (ECOG 0–1) patsiendil</w:t>
      </w:r>
      <w:r w:rsidR="00730573" w:rsidRPr="00687DE8">
        <w:t>t</w:t>
      </w:r>
      <w:r w:rsidRPr="00687DE8">
        <w:t xml:space="preserve"> 2. rea raviks kuni haiguse progressioonini</w:t>
      </w:r>
      <w:r w:rsidR="0065226D" w:rsidRPr="00687DE8">
        <w:t>.</w:t>
      </w:r>
    </w:p>
    <w:p w14:paraId="3D354BEE" w14:textId="0FE6E9FA" w:rsidR="00A237C2" w:rsidRPr="00687DE8" w:rsidRDefault="00A237C2" w:rsidP="00B801EB">
      <w:pPr>
        <w:pStyle w:val="Normaallaadveeb"/>
        <w:spacing w:before="0" w:after="0" w:afterAutospacing="0"/>
        <w:jc w:val="both"/>
        <w:rPr>
          <w:rFonts w:eastAsia="Symbol"/>
          <w:color w:val="000000" w:themeColor="text1"/>
        </w:rPr>
      </w:pPr>
    </w:p>
    <w:p w14:paraId="5A9CE0B4" w14:textId="796EA1F2" w:rsidR="00CB24D4" w:rsidRPr="00687DE8" w:rsidRDefault="00CB24D4" w:rsidP="002421C7">
      <w:pPr>
        <w:spacing w:after="0" w:line="240" w:lineRule="auto"/>
        <w:jc w:val="both"/>
        <w:divId w:val="1316184749"/>
        <w:rPr>
          <w:szCs w:val="24"/>
        </w:rPr>
      </w:pPr>
      <w:r w:rsidRPr="00687DE8">
        <w:rPr>
          <w:szCs w:val="24"/>
        </w:rPr>
        <w:t xml:space="preserve">(85) </w:t>
      </w:r>
      <w:r w:rsidR="005023FD" w:rsidRPr="00687DE8">
        <w:rPr>
          <w:szCs w:val="24"/>
        </w:rPr>
        <w:t>Tervisekassa</w:t>
      </w:r>
      <w:r w:rsidRPr="00687DE8">
        <w:rPr>
          <w:szCs w:val="24"/>
        </w:rPr>
        <w:t xml:space="preserve"> võtab koodiga 410R tähistatud ravimiteenuse eest tasu maksmise kohustuse üle kaugelearenenud neerurakk-kartsinoomi 1. rea kombinatsioonraviks </w:t>
      </w:r>
      <w:r w:rsidR="003623E9" w:rsidRPr="00687DE8">
        <w:rPr>
          <w:szCs w:val="24"/>
        </w:rPr>
        <w:t xml:space="preserve">koos </w:t>
      </w:r>
      <w:r w:rsidRPr="00687DE8">
        <w:rPr>
          <w:szCs w:val="24"/>
        </w:rPr>
        <w:t xml:space="preserve">nivolumabiga keskmise </w:t>
      </w:r>
      <w:r w:rsidR="00B20C75" w:rsidRPr="00687DE8">
        <w:rPr>
          <w:szCs w:val="24"/>
        </w:rPr>
        <w:t>või</w:t>
      </w:r>
      <w:r w:rsidRPr="00687DE8">
        <w:rPr>
          <w:szCs w:val="24"/>
        </w:rPr>
        <w:t xml:space="preserve"> halva riskitasemega patsiendilt</w:t>
      </w:r>
      <w:r w:rsidR="004E3145" w:rsidRPr="00687DE8">
        <w:rPr>
          <w:szCs w:val="24"/>
        </w:rPr>
        <w:t xml:space="preserve"> </w:t>
      </w:r>
      <w:r w:rsidR="00AB6AC9" w:rsidRPr="00687DE8">
        <w:rPr>
          <w:szCs w:val="24"/>
        </w:rPr>
        <w:t xml:space="preserve">maksimaalselt </w:t>
      </w:r>
      <w:r w:rsidR="004E3145" w:rsidRPr="00687DE8">
        <w:rPr>
          <w:szCs w:val="24"/>
        </w:rPr>
        <w:t xml:space="preserve">kuni </w:t>
      </w:r>
      <w:r w:rsidR="00AB6AC9" w:rsidRPr="00687DE8">
        <w:rPr>
          <w:szCs w:val="24"/>
        </w:rPr>
        <w:t>neli ravitsükl</w:t>
      </w:r>
      <w:r w:rsidR="004E3145" w:rsidRPr="00687DE8">
        <w:rPr>
          <w:szCs w:val="24"/>
        </w:rPr>
        <w:t>it</w:t>
      </w:r>
      <w:r w:rsidRPr="00687DE8">
        <w:rPr>
          <w:szCs w:val="24"/>
        </w:rPr>
        <w:t>.</w:t>
      </w:r>
    </w:p>
    <w:p w14:paraId="72808443" w14:textId="77777777" w:rsidR="000A113B" w:rsidRPr="00687DE8" w:rsidRDefault="000A113B" w:rsidP="002421C7">
      <w:pPr>
        <w:spacing w:after="0" w:line="240" w:lineRule="auto"/>
        <w:jc w:val="both"/>
        <w:divId w:val="1316184749"/>
        <w:rPr>
          <w:szCs w:val="24"/>
        </w:rPr>
      </w:pPr>
    </w:p>
    <w:p w14:paraId="57517560" w14:textId="755492E9" w:rsidR="000A113B" w:rsidRPr="00687DE8" w:rsidRDefault="000A113B" w:rsidP="000A113B">
      <w:pPr>
        <w:spacing w:after="0" w:line="240" w:lineRule="auto"/>
        <w:jc w:val="both"/>
        <w:divId w:val="1316184749"/>
        <w:rPr>
          <w:szCs w:val="24"/>
        </w:rPr>
      </w:pPr>
      <w:r w:rsidRPr="00687DE8">
        <w:rPr>
          <w:szCs w:val="24"/>
        </w:rPr>
        <w:t>(86) Tervisekassa võtab koodiga 420R tähistatud ravimiteenuse eest tasu maksmise kohustuse üle kõrge riskiga II ja III staadiumi kolmiknegatiivse rinnakasvajaga patsiendi</w:t>
      </w:r>
      <w:r w:rsidR="00901F34" w:rsidRPr="00687DE8">
        <w:rPr>
          <w:szCs w:val="24"/>
        </w:rPr>
        <w:t xml:space="preserve"> ravis</w:t>
      </w:r>
      <w:r w:rsidRPr="00687DE8">
        <w:rPr>
          <w:szCs w:val="24"/>
        </w:rPr>
        <w:t xml:space="preserve"> koos kemoteraapiaga (kood 228R) neoadjuvantraviks ning operatsiooni</w:t>
      </w:r>
      <w:r w:rsidR="002B038A" w:rsidRPr="00687DE8">
        <w:rPr>
          <w:szCs w:val="24"/>
        </w:rPr>
        <w:t xml:space="preserve"> </w:t>
      </w:r>
      <w:r w:rsidRPr="00687DE8">
        <w:rPr>
          <w:szCs w:val="24"/>
        </w:rPr>
        <w:t>jär</w:t>
      </w:r>
      <w:r w:rsidR="002B038A" w:rsidRPr="00687DE8">
        <w:rPr>
          <w:szCs w:val="24"/>
        </w:rPr>
        <w:t>el</w:t>
      </w:r>
      <w:r w:rsidRPr="00687DE8">
        <w:rPr>
          <w:szCs w:val="24"/>
        </w:rPr>
        <w:t xml:space="preserve"> patoloogilist ravivastust mittesaanud patsiendi adjuvantraviks.</w:t>
      </w:r>
    </w:p>
    <w:p w14:paraId="6B10BEFC" w14:textId="77777777" w:rsidR="000A113B" w:rsidRPr="00687DE8" w:rsidRDefault="000A113B" w:rsidP="000A113B">
      <w:pPr>
        <w:spacing w:after="0" w:line="240" w:lineRule="auto"/>
        <w:jc w:val="both"/>
        <w:divId w:val="1316184749"/>
        <w:rPr>
          <w:szCs w:val="24"/>
        </w:rPr>
      </w:pPr>
    </w:p>
    <w:p w14:paraId="7F61C24B" w14:textId="3A05CA8F" w:rsidR="000A0991" w:rsidRPr="00687DE8" w:rsidRDefault="000A113B" w:rsidP="002421C7">
      <w:pPr>
        <w:spacing w:after="0" w:line="240" w:lineRule="auto"/>
        <w:jc w:val="both"/>
        <w:divId w:val="1316184749"/>
        <w:rPr>
          <w:szCs w:val="24"/>
        </w:rPr>
      </w:pPr>
      <w:r w:rsidRPr="00687DE8">
        <w:rPr>
          <w:szCs w:val="24"/>
        </w:rPr>
        <w:t xml:space="preserve">(87) Tervisekassa ei võta koodiga 420R </w:t>
      </w:r>
      <w:r w:rsidR="005E3A60" w:rsidRPr="00687DE8">
        <w:rPr>
          <w:szCs w:val="24"/>
        </w:rPr>
        <w:t>tähistatud ravimiteenuse eest</w:t>
      </w:r>
      <w:r w:rsidRPr="00687DE8">
        <w:rPr>
          <w:szCs w:val="24"/>
        </w:rPr>
        <w:t xml:space="preserve"> tasu maksmise kohustust üle </w:t>
      </w:r>
      <w:r w:rsidR="00796FDE" w:rsidRPr="00687DE8">
        <w:rPr>
          <w:szCs w:val="24"/>
        </w:rPr>
        <w:t>juhul</w:t>
      </w:r>
      <w:r w:rsidR="00D45DFA" w:rsidRPr="00687DE8">
        <w:rPr>
          <w:szCs w:val="24"/>
        </w:rPr>
        <w:t>,</w:t>
      </w:r>
      <w:r w:rsidR="00796FDE" w:rsidRPr="00687DE8">
        <w:rPr>
          <w:szCs w:val="24"/>
        </w:rPr>
        <w:t xml:space="preserve"> kui</w:t>
      </w:r>
      <w:r w:rsidRPr="00687DE8">
        <w:rPr>
          <w:szCs w:val="24"/>
        </w:rPr>
        <w:t xml:space="preserve"> ravi pembrolizumabiga on ravimitootja vastutusel alustatud ja tagatud enne </w:t>
      </w:r>
      <w:r w:rsidR="006F14BB" w:rsidRPr="00687DE8">
        <w:rPr>
          <w:szCs w:val="24"/>
        </w:rPr>
        <w:t>1. </w:t>
      </w:r>
      <w:r w:rsidR="006A44B9" w:rsidRPr="00687DE8">
        <w:rPr>
          <w:szCs w:val="24"/>
        </w:rPr>
        <w:t xml:space="preserve">jaanuari </w:t>
      </w:r>
      <w:r w:rsidRPr="00687DE8">
        <w:rPr>
          <w:szCs w:val="24"/>
        </w:rPr>
        <w:t>2024.</w:t>
      </w:r>
      <w:r w:rsidR="006A44B9" w:rsidRPr="00687DE8">
        <w:rPr>
          <w:szCs w:val="24"/>
        </w:rPr>
        <w:t xml:space="preserve"> a.</w:t>
      </w:r>
    </w:p>
    <w:p w14:paraId="0065A349" w14:textId="77777777" w:rsidR="006F14BB" w:rsidRPr="00687DE8" w:rsidRDefault="006F14BB" w:rsidP="00BA14C6">
      <w:pPr>
        <w:spacing w:after="0" w:line="240" w:lineRule="auto"/>
        <w:jc w:val="both"/>
        <w:divId w:val="1316184749"/>
        <w:rPr>
          <w:szCs w:val="24"/>
        </w:rPr>
      </w:pPr>
    </w:p>
    <w:p w14:paraId="4DC7466A" w14:textId="6F51A1E2" w:rsidR="000A0991" w:rsidRPr="00687DE8" w:rsidRDefault="000A0991" w:rsidP="00BA14C6">
      <w:pPr>
        <w:spacing w:after="0" w:line="240" w:lineRule="auto"/>
        <w:jc w:val="both"/>
        <w:divId w:val="1316184749"/>
        <w:rPr>
          <w:szCs w:val="24"/>
        </w:rPr>
      </w:pPr>
      <w:r w:rsidRPr="00687DE8">
        <w:rPr>
          <w:szCs w:val="24"/>
        </w:rPr>
        <w:t>(8</w:t>
      </w:r>
      <w:r w:rsidR="000A113B" w:rsidRPr="00687DE8">
        <w:rPr>
          <w:szCs w:val="24"/>
        </w:rPr>
        <w:t>8</w:t>
      </w:r>
      <w:r w:rsidRPr="00687DE8">
        <w:rPr>
          <w:szCs w:val="24"/>
        </w:rPr>
        <w:t>)</w:t>
      </w:r>
      <w:r w:rsidR="005A680B" w:rsidRPr="00687DE8">
        <w:rPr>
          <w:szCs w:val="24"/>
        </w:rPr>
        <w:t xml:space="preserve"> </w:t>
      </w:r>
      <w:r w:rsidR="008D6690" w:rsidRPr="00687DE8">
        <w:rPr>
          <w:szCs w:val="24"/>
        </w:rPr>
        <w:t xml:space="preserve">Tervisekassa võtab koodiga 418R tähistatud ravimiteenuse eest tasu maksmise kohustuse üle retsidiveerunud või refraktaarse difuusse B-suurrakklümfoomiga heas või rahuldavas üldseisundis (ECOG </w:t>
      </w:r>
      <w:r w:rsidR="006F14BB" w:rsidRPr="00687DE8">
        <w:rPr>
          <w:szCs w:val="24"/>
        </w:rPr>
        <w:t>0–</w:t>
      </w:r>
      <w:r w:rsidR="008D6690" w:rsidRPr="00687DE8">
        <w:rPr>
          <w:szCs w:val="24"/>
        </w:rPr>
        <w:t xml:space="preserve">2) täiskasvanud patsiendilt, kes </w:t>
      </w:r>
      <w:r w:rsidR="006F14BB" w:rsidRPr="00687DE8">
        <w:rPr>
          <w:szCs w:val="24"/>
        </w:rPr>
        <w:t>ei ole</w:t>
      </w:r>
      <w:r w:rsidR="008D6690" w:rsidRPr="00687DE8">
        <w:rPr>
          <w:szCs w:val="24"/>
        </w:rPr>
        <w:t xml:space="preserve"> vereloome tüvirakkude siirdamiseks sobilik või kellel on tüvirakkude siirdamine</w:t>
      </w:r>
      <w:r w:rsidR="006F14BB" w:rsidRPr="00687DE8">
        <w:rPr>
          <w:szCs w:val="24"/>
        </w:rPr>
        <w:t xml:space="preserve"> ebaõnnestunud</w:t>
      </w:r>
      <w:r w:rsidR="008D6690" w:rsidRPr="00687DE8">
        <w:rPr>
          <w:szCs w:val="24"/>
        </w:rPr>
        <w:t>. Polatuzumabvedotiini kasutamise eest võtab Tervisekassa patsiendilt tasu maksmise kohustuse üle teise või kolmanda valiku kombinatsioonraviks koos rituksimabi ja bendamustiiniga (ravimiteenus 308R, ravikuur</w:t>
      </w:r>
      <w:r w:rsidR="006F14BB" w:rsidRPr="00687DE8">
        <w:rPr>
          <w:szCs w:val="24"/>
        </w:rPr>
        <w:t>i</w:t>
      </w:r>
      <w:r w:rsidR="008D6690" w:rsidRPr="00687DE8">
        <w:rPr>
          <w:szCs w:val="24"/>
        </w:rPr>
        <w:t xml:space="preserve"> nimetus RB) maksimaalselt kuni kuus ravitsüklit.</w:t>
      </w:r>
    </w:p>
    <w:p w14:paraId="4D7A013F" w14:textId="77777777" w:rsidR="00E51B4B" w:rsidRDefault="00E51B4B" w:rsidP="00BA14C6">
      <w:pPr>
        <w:spacing w:after="0" w:line="240" w:lineRule="auto"/>
        <w:jc w:val="both"/>
        <w:divId w:val="1316184749"/>
        <w:rPr>
          <w:szCs w:val="24"/>
        </w:rPr>
      </w:pPr>
    </w:p>
    <w:p w14:paraId="3B31AC14" w14:textId="0AA5DB11" w:rsidR="00E51B4B" w:rsidRPr="00687DE8" w:rsidRDefault="00E51B4B" w:rsidP="00BA14C6">
      <w:pPr>
        <w:spacing w:after="0" w:line="240" w:lineRule="auto"/>
        <w:jc w:val="both"/>
        <w:divId w:val="1316184749"/>
        <w:rPr>
          <w:szCs w:val="24"/>
        </w:rPr>
      </w:pPr>
      <w:r>
        <w:rPr>
          <w:szCs w:val="24"/>
        </w:rPr>
        <w:t xml:space="preserve">(89) Tervisekassa võtab koodiga </w:t>
      </w:r>
      <w:r w:rsidR="0093016C">
        <w:rPr>
          <w:szCs w:val="24"/>
        </w:rPr>
        <w:t xml:space="preserve">443R </w:t>
      </w:r>
      <w:r w:rsidR="0093016C" w:rsidRPr="0093016C">
        <w:rPr>
          <w:szCs w:val="24"/>
        </w:rPr>
        <w:t xml:space="preserve">tähistatud ravimiteenuse eest tasu maksmise kohustuse üle glofitamabi monoteraapia korral retsidiveerunud või refraktaarse difuusse B-suurrakklümfoomi raviks heas </w:t>
      </w:r>
      <w:r w:rsidR="00055538">
        <w:rPr>
          <w:szCs w:val="24"/>
        </w:rPr>
        <w:t xml:space="preserve">või rahuldavas </w:t>
      </w:r>
      <w:r w:rsidR="0093016C" w:rsidRPr="0093016C">
        <w:rPr>
          <w:szCs w:val="24"/>
        </w:rPr>
        <w:t xml:space="preserve">üldseisundis (ECOG </w:t>
      </w:r>
      <w:r w:rsidR="00491B55">
        <w:rPr>
          <w:szCs w:val="24"/>
        </w:rPr>
        <w:t>0–</w:t>
      </w:r>
      <w:r w:rsidR="00055538">
        <w:rPr>
          <w:szCs w:val="24"/>
        </w:rPr>
        <w:t>2</w:t>
      </w:r>
      <w:r w:rsidR="0093016C" w:rsidRPr="0093016C">
        <w:rPr>
          <w:szCs w:val="24"/>
        </w:rPr>
        <w:t>) patsien</w:t>
      </w:r>
      <w:r w:rsidR="00310360">
        <w:rPr>
          <w:szCs w:val="24"/>
        </w:rPr>
        <w:t>dilt</w:t>
      </w:r>
      <w:r w:rsidR="0093016C" w:rsidRPr="0093016C">
        <w:rPr>
          <w:szCs w:val="24"/>
        </w:rPr>
        <w:t xml:space="preserve"> pärast</w:t>
      </w:r>
      <w:r w:rsidR="00310360">
        <w:rPr>
          <w:szCs w:val="24"/>
        </w:rPr>
        <w:t xml:space="preserve"> vähemalt</w:t>
      </w:r>
      <w:r w:rsidR="0093016C" w:rsidRPr="0093016C">
        <w:rPr>
          <w:szCs w:val="24"/>
        </w:rPr>
        <w:t xml:space="preserve"> kahe süsteemse</w:t>
      </w:r>
      <w:r w:rsidR="0020773D">
        <w:rPr>
          <w:szCs w:val="24"/>
        </w:rPr>
        <w:t xml:space="preserve"> ravirea kasutamist</w:t>
      </w:r>
      <w:r w:rsidR="0093016C" w:rsidRPr="0093016C">
        <w:rPr>
          <w:szCs w:val="24"/>
        </w:rPr>
        <w:t xml:space="preserve">. </w:t>
      </w:r>
      <w:r w:rsidR="00AF3467">
        <w:rPr>
          <w:szCs w:val="24"/>
        </w:rPr>
        <w:t>K</w:t>
      </w:r>
      <w:r w:rsidR="0093016C" w:rsidRPr="0093016C">
        <w:rPr>
          <w:szCs w:val="24"/>
        </w:rPr>
        <w:t xml:space="preserve">oodiga </w:t>
      </w:r>
      <w:r w:rsidR="00F920E9">
        <w:rPr>
          <w:szCs w:val="24"/>
        </w:rPr>
        <w:t>4</w:t>
      </w:r>
      <w:r w:rsidR="002E1C0A">
        <w:rPr>
          <w:szCs w:val="24"/>
        </w:rPr>
        <w:t>4</w:t>
      </w:r>
      <w:r w:rsidR="00F920E9">
        <w:rPr>
          <w:szCs w:val="24"/>
        </w:rPr>
        <w:t>3</w:t>
      </w:r>
      <w:r w:rsidR="0093016C" w:rsidRPr="0093016C">
        <w:rPr>
          <w:szCs w:val="24"/>
        </w:rPr>
        <w:t xml:space="preserve">R </w:t>
      </w:r>
      <w:r w:rsidR="00491B55">
        <w:rPr>
          <w:szCs w:val="24"/>
        </w:rPr>
        <w:t xml:space="preserve">tähistatud ravimiteenust </w:t>
      </w:r>
      <w:r w:rsidR="0093016C" w:rsidRPr="0093016C">
        <w:rPr>
          <w:szCs w:val="24"/>
        </w:rPr>
        <w:t xml:space="preserve">on lubatud </w:t>
      </w:r>
      <w:r w:rsidR="00AF3467">
        <w:rPr>
          <w:szCs w:val="24"/>
        </w:rPr>
        <w:t>kasutada</w:t>
      </w:r>
      <w:r w:rsidR="0093016C" w:rsidRPr="0093016C">
        <w:rPr>
          <w:szCs w:val="24"/>
        </w:rPr>
        <w:t xml:space="preserve"> maksimaalselt 12 ravitsüklit ühe patsiendi kohta.</w:t>
      </w:r>
    </w:p>
    <w:p w14:paraId="7598B18B" w14:textId="77777777" w:rsidR="00F920E9" w:rsidRDefault="00F920E9" w:rsidP="00BA14C6">
      <w:pPr>
        <w:spacing w:after="0" w:line="240" w:lineRule="auto"/>
        <w:jc w:val="both"/>
        <w:divId w:val="1316184749"/>
        <w:rPr>
          <w:szCs w:val="24"/>
        </w:rPr>
      </w:pPr>
    </w:p>
    <w:p w14:paraId="67C4B5CB" w14:textId="6945CC2C" w:rsidR="00F920E9" w:rsidRPr="00687DE8" w:rsidRDefault="00F920E9" w:rsidP="00BA14C6">
      <w:pPr>
        <w:spacing w:after="0" w:line="240" w:lineRule="auto"/>
        <w:jc w:val="both"/>
        <w:divId w:val="1316184749"/>
      </w:pPr>
      <w:r>
        <w:t xml:space="preserve">(90) Tervisekassa võtab koodiga 444R </w:t>
      </w:r>
      <w:r w:rsidR="003F6B33">
        <w:t xml:space="preserve">tähistatud ravimiteenuse eest tasu maksmise kohustuse üle retsidiveerunud või refraktaarse difuusse B-suurrakklümfoomi raviks heas või rahuldavas üldseisundis (ECOG </w:t>
      </w:r>
      <w:r w:rsidR="00AF3467">
        <w:rPr>
          <w:szCs w:val="24"/>
        </w:rPr>
        <w:t>0–</w:t>
      </w:r>
      <w:r w:rsidR="003F6B33">
        <w:t>2) patsien</w:t>
      </w:r>
      <w:r w:rsidR="00FC025C">
        <w:t xml:space="preserve">dilt </w:t>
      </w:r>
      <w:r w:rsidR="003F6B33">
        <w:t>pärast</w:t>
      </w:r>
      <w:r w:rsidR="00FC025C">
        <w:t xml:space="preserve"> väh</w:t>
      </w:r>
      <w:r w:rsidR="00CE0C96">
        <w:t>emalt</w:t>
      </w:r>
      <w:r w:rsidR="003F6B33">
        <w:t xml:space="preserve"> kahe süsteemse </w:t>
      </w:r>
      <w:r w:rsidR="00EB675D">
        <w:t>ravirea kasutamist</w:t>
      </w:r>
      <w:r w:rsidR="003F6B33">
        <w:t xml:space="preserve">. </w:t>
      </w:r>
      <w:r w:rsidR="00AF3467">
        <w:t xml:space="preserve">Koodiga </w:t>
      </w:r>
      <w:r w:rsidR="003F6B33">
        <w:t xml:space="preserve">444R </w:t>
      </w:r>
      <w:r w:rsidR="00AF3467">
        <w:rPr>
          <w:szCs w:val="24"/>
        </w:rPr>
        <w:t>tähistatud ravimiteenust</w:t>
      </w:r>
      <w:r w:rsidR="00AF3467">
        <w:t xml:space="preserve"> </w:t>
      </w:r>
      <w:r w:rsidR="003F6B33">
        <w:t xml:space="preserve">on lubatud </w:t>
      </w:r>
      <w:r w:rsidR="624B5104">
        <w:t>kasutada</w:t>
      </w:r>
      <w:r w:rsidR="003F6B33">
        <w:t xml:space="preserve"> maksimaalselt </w:t>
      </w:r>
      <w:r w:rsidR="00AF3467">
        <w:t>üks kord</w:t>
      </w:r>
      <w:r w:rsidR="003F6B33">
        <w:t xml:space="preserve"> ühe patsiendi kohta ja see on mõeldud </w:t>
      </w:r>
      <w:r w:rsidR="00AF3467">
        <w:t>eelravina enne koodiga</w:t>
      </w:r>
      <w:r w:rsidR="003F6B33">
        <w:t xml:space="preserve"> 4</w:t>
      </w:r>
      <w:r w:rsidR="002E1C0A">
        <w:t>4</w:t>
      </w:r>
      <w:r w:rsidR="003F6B33">
        <w:t xml:space="preserve">3R </w:t>
      </w:r>
      <w:r w:rsidR="00AF3467">
        <w:rPr>
          <w:szCs w:val="24"/>
        </w:rPr>
        <w:t>tähistatud ravimiteenuse</w:t>
      </w:r>
      <w:r w:rsidR="00AF3467">
        <w:t xml:space="preserve"> kasutamist.</w:t>
      </w:r>
    </w:p>
    <w:p w14:paraId="745C968F" w14:textId="1B076578" w:rsidR="2D4E729C" w:rsidRPr="00687DE8" w:rsidRDefault="2D4E729C" w:rsidP="2D4E729C">
      <w:pPr>
        <w:spacing w:after="0" w:line="240" w:lineRule="auto"/>
        <w:jc w:val="both"/>
        <w:rPr>
          <w:szCs w:val="24"/>
        </w:rPr>
      </w:pPr>
    </w:p>
    <w:p w14:paraId="2D750316" w14:textId="30A93E0F" w:rsidR="00552405" w:rsidRDefault="00C04450" w:rsidP="2D4E729C">
      <w:pPr>
        <w:pStyle w:val="Normaallaadveeb"/>
        <w:spacing w:before="0" w:after="0" w:afterAutospacing="0"/>
        <w:jc w:val="both"/>
      </w:pPr>
      <w:r>
        <w:t>(9</w:t>
      </w:r>
      <w:r w:rsidR="00526087">
        <w:t>1</w:t>
      </w:r>
      <w:r>
        <w:t xml:space="preserve">) </w:t>
      </w:r>
      <w:r w:rsidR="00C523F2">
        <w:t>Koodiga</w:t>
      </w:r>
      <w:r w:rsidRPr="004F6482">
        <w:t xml:space="preserve"> 419R</w:t>
      </w:r>
      <w:r w:rsidR="00C523F2">
        <w:t xml:space="preserve"> tähistatud </w:t>
      </w:r>
      <w:r w:rsidR="0019798E">
        <w:t>ravimiteenust</w:t>
      </w:r>
      <w:r w:rsidRPr="004F6482">
        <w:t xml:space="preserve"> on lubatud kasutada esimesed kuus </w:t>
      </w:r>
      <w:r w:rsidR="00887D3C">
        <w:t>ravikuuri</w:t>
      </w:r>
      <w:r w:rsidRPr="004F6482">
        <w:t xml:space="preserve"> koos koodiga 326R</w:t>
      </w:r>
      <w:r w:rsidR="0019798E">
        <w:t xml:space="preserve"> tähistatud ravimiteenusega</w:t>
      </w:r>
      <w:r w:rsidRPr="004F6482">
        <w:t xml:space="preserve">. Edasi jätkub ravi pembrolizumabiga koos bevatsizumabiga </w:t>
      </w:r>
      <w:r w:rsidR="0063672A">
        <w:t>(</w:t>
      </w:r>
      <w:r w:rsidR="00AF3371">
        <w:t xml:space="preserve">kood </w:t>
      </w:r>
      <w:r w:rsidR="0063672A" w:rsidRPr="0063672A">
        <w:t>297R</w:t>
      </w:r>
      <w:r w:rsidR="00AF3371">
        <w:t>)</w:t>
      </w:r>
      <w:r w:rsidR="0063672A" w:rsidRPr="0063672A">
        <w:t xml:space="preserve"> </w:t>
      </w:r>
      <w:r w:rsidRPr="004F6482">
        <w:t>või ilma</w:t>
      </w:r>
      <w:r w:rsidR="00AF3467">
        <w:t xml:space="preserve"> selleta</w:t>
      </w:r>
      <w:r w:rsidRPr="004F6482">
        <w:t>.</w:t>
      </w:r>
    </w:p>
    <w:p w14:paraId="3DC27684" w14:textId="77777777" w:rsidR="00AF3467" w:rsidRPr="00687DE8" w:rsidRDefault="00AF3467" w:rsidP="2D4E729C">
      <w:pPr>
        <w:pStyle w:val="Normaallaadveeb"/>
        <w:spacing w:before="0" w:after="0" w:afterAutospacing="0"/>
        <w:jc w:val="both"/>
      </w:pPr>
    </w:p>
    <w:p w14:paraId="399B0690" w14:textId="77777777" w:rsidR="00DE2A2B" w:rsidRDefault="00552405" w:rsidP="00253FF0">
      <w:pPr>
        <w:pStyle w:val="Normaallaadveeb"/>
        <w:spacing w:before="0" w:after="0" w:afterAutospacing="0"/>
        <w:jc w:val="both"/>
      </w:pPr>
      <w:r w:rsidRPr="00687DE8">
        <w:t>(9</w:t>
      </w:r>
      <w:r w:rsidR="00526087">
        <w:t>2</w:t>
      </w:r>
      <w:r w:rsidRPr="00687DE8">
        <w:t xml:space="preserve">) </w:t>
      </w:r>
      <w:r w:rsidR="009317C9" w:rsidRPr="00687DE8">
        <w:t xml:space="preserve">Tervisekassa võtab koodiga </w:t>
      </w:r>
      <w:r w:rsidR="00F66903" w:rsidRPr="00687DE8">
        <w:t>423</w:t>
      </w:r>
      <w:r w:rsidR="009317C9" w:rsidRPr="00687DE8">
        <w:t>R tähistatud ravimiteenuse eest tasu maksmise kohustuse üle paikselt levinud või metastaatilise uroteliaalse kartsinoomiga patsiendilt, kes on progressioonivaba pärast plaatinapõhist keemiaravi, esmavaliku säilitusraviks monoravina kuni haiguse progressioonini.</w:t>
      </w:r>
    </w:p>
    <w:p w14:paraId="15996D40" w14:textId="0248B02B" w:rsidR="00253FF0" w:rsidRPr="00687DE8" w:rsidRDefault="00CB1977" w:rsidP="00253FF0">
      <w:pPr>
        <w:pStyle w:val="Normaallaadveeb"/>
        <w:spacing w:before="0" w:after="0" w:afterAutospacing="0"/>
        <w:jc w:val="both"/>
      </w:pPr>
      <w:r>
        <w:t xml:space="preserve"> </w:t>
      </w:r>
    </w:p>
    <w:p w14:paraId="1091FE40" w14:textId="201EDACA" w:rsidR="00221E7B" w:rsidRPr="00687DE8" w:rsidRDefault="00BF41FB" w:rsidP="00253FF0">
      <w:pPr>
        <w:pStyle w:val="Normaallaadveeb"/>
        <w:spacing w:before="0" w:after="0" w:afterAutospacing="0"/>
        <w:jc w:val="both"/>
      </w:pPr>
      <w:r w:rsidRPr="00687DE8">
        <w:lastRenderedPageBreak/>
        <w:t>(9</w:t>
      </w:r>
      <w:r w:rsidR="006A2A15">
        <w:t>3</w:t>
      </w:r>
      <w:r w:rsidRPr="00687DE8">
        <w:t xml:space="preserve">) </w:t>
      </w:r>
      <w:r w:rsidR="00221E7B" w:rsidRPr="00687DE8">
        <w:t>Tervisekassa võtab koodiga 424R tähistatud ravimiteenuse eest tasu maksmise kohustuse üle Sézary sündroomi (RHK 10 kood C84.1) või kaugele arenenud (≥</w:t>
      </w:r>
      <w:r w:rsidR="008F4F76" w:rsidRPr="00687DE8">
        <w:t> </w:t>
      </w:r>
      <w:r w:rsidR="00221E7B" w:rsidRPr="00687DE8">
        <w:t>IIB staadium) seenja mükoosi (RHK 10 kood C84.0) diagnoosi korral patsiendilt, kes on eelnevalt vähemalt ühel korral saanud süsteemset ravi.</w:t>
      </w:r>
    </w:p>
    <w:p w14:paraId="069F1F05" w14:textId="77777777" w:rsidR="00253FF0" w:rsidRPr="00687DE8" w:rsidRDefault="00253FF0" w:rsidP="00253FF0">
      <w:pPr>
        <w:pStyle w:val="Normaallaadveeb"/>
        <w:spacing w:before="0" w:after="0" w:afterAutospacing="0"/>
        <w:jc w:val="both"/>
      </w:pPr>
    </w:p>
    <w:p w14:paraId="3FA9A992" w14:textId="5ABC477B" w:rsidR="00253FF0" w:rsidRPr="00687DE8" w:rsidRDefault="00BF41FB" w:rsidP="00253FF0">
      <w:pPr>
        <w:pStyle w:val="Normaallaadveeb"/>
        <w:spacing w:before="0" w:after="0" w:afterAutospacing="0"/>
        <w:jc w:val="both"/>
      </w:pPr>
      <w:r w:rsidRPr="00687DE8">
        <w:t>(9</w:t>
      </w:r>
      <w:r w:rsidR="006A2A15">
        <w:t>4</w:t>
      </w:r>
      <w:r w:rsidRPr="00687DE8">
        <w:t xml:space="preserve">) </w:t>
      </w:r>
      <w:r w:rsidR="00221E7B" w:rsidRPr="00687DE8">
        <w:t>Ravi alustamise koodiga 424R tähistatud ravimiteenusega otsustab hematoloogidest koosnev eksperdikomisjon ning ravimiteenust rakendatakse haiglate loetelus nimetatud piirkondlikus haiglas.</w:t>
      </w:r>
    </w:p>
    <w:p w14:paraId="4BD3A807" w14:textId="0E136EBA" w:rsidR="00221E7B" w:rsidRPr="00687DE8" w:rsidRDefault="00221E7B" w:rsidP="00253FF0">
      <w:pPr>
        <w:pStyle w:val="Normaallaadveeb"/>
        <w:spacing w:before="0" w:after="0" w:afterAutospacing="0"/>
        <w:jc w:val="both"/>
      </w:pPr>
    </w:p>
    <w:p w14:paraId="29CBB27E" w14:textId="040F1A32" w:rsidR="00221E7B" w:rsidRPr="00687DE8" w:rsidRDefault="004400D0" w:rsidP="00221E7B">
      <w:pPr>
        <w:pStyle w:val="Normaallaadveeb"/>
        <w:spacing w:before="0" w:after="0" w:afterAutospacing="0"/>
        <w:jc w:val="both"/>
      </w:pPr>
      <w:r w:rsidRPr="00687DE8">
        <w:t>(9</w:t>
      </w:r>
      <w:r w:rsidR="006A2A15">
        <w:t>5</w:t>
      </w:r>
      <w:r w:rsidRPr="00687DE8">
        <w:t xml:space="preserve">) </w:t>
      </w:r>
      <w:r w:rsidR="00221E7B" w:rsidRPr="00687DE8">
        <w:t>Ravi lõpetamist koodiga 424R tähistatud ravimiteenusega kaalutakse, kui pärast kolmekuulist ravi ei ole kehapiirkonna tasandil ravivastust ega üldist ravivastust saavutatud.</w:t>
      </w:r>
    </w:p>
    <w:p w14:paraId="1FA43AD7" w14:textId="77777777" w:rsidR="00BF65D6" w:rsidRDefault="00BF65D6" w:rsidP="00221E7B">
      <w:pPr>
        <w:pStyle w:val="Normaallaadveeb"/>
        <w:spacing w:before="0" w:after="0" w:afterAutospacing="0"/>
        <w:jc w:val="both"/>
      </w:pPr>
    </w:p>
    <w:p w14:paraId="0D848838" w14:textId="6156C134" w:rsidR="614DA6FE" w:rsidRDefault="3591DC60" w:rsidP="003CA89B">
      <w:pPr>
        <w:pStyle w:val="Normaallaadveeb"/>
        <w:spacing w:before="0" w:after="0" w:afterAutospacing="0"/>
        <w:jc w:val="both"/>
      </w:pPr>
      <w:r>
        <w:t>(9</w:t>
      </w:r>
      <w:r w:rsidR="00CF16B1">
        <w:t>6</w:t>
      </w:r>
      <w:r>
        <w:t xml:space="preserve">) </w:t>
      </w:r>
      <w:r w:rsidR="00973D4C">
        <w:t>Tervisekassa võtab k</w:t>
      </w:r>
      <w:r>
        <w:t>oodiga 437R tähistatud ravimiteenus</w:t>
      </w:r>
      <w:r w:rsidR="00973D4C">
        <w:t xml:space="preserve">e eest tasu maksmise kohustuse üle </w:t>
      </w:r>
      <w:r>
        <w:t>patsiendil</w:t>
      </w:r>
      <w:r w:rsidR="00906D76">
        <w:t>t</w:t>
      </w:r>
      <w:r>
        <w:t xml:space="preserve"> sekundaarse ägeda müeloidse leukeemia induktsiooni- ja konsolidatsioonifaasis maksimaalselt 18 korda.</w:t>
      </w:r>
    </w:p>
    <w:p w14:paraId="65BB4183" w14:textId="77777777" w:rsidR="009C77B2" w:rsidRDefault="009C77B2" w:rsidP="00425A9C">
      <w:pPr>
        <w:pStyle w:val="Normaallaadveeb"/>
        <w:spacing w:before="0" w:after="0" w:afterAutospacing="0"/>
        <w:jc w:val="both"/>
      </w:pPr>
    </w:p>
    <w:p w14:paraId="6732FD30" w14:textId="642EB539" w:rsidR="009C77B2" w:rsidRDefault="009C77B2" w:rsidP="00B31A9C">
      <w:pPr>
        <w:spacing w:after="0" w:line="240" w:lineRule="auto"/>
        <w:jc w:val="both"/>
      </w:pPr>
      <w:r>
        <w:t xml:space="preserve">(97) Tervisekassa võtab koodiga 435R </w:t>
      </w:r>
      <w:r w:rsidR="69EDC318">
        <w:t>tähistatud ravimiteenuse</w:t>
      </w:r>
      <w:r w:rsidR="00806027">
        <w:t xml:space="preserve"> eest</w:t>
      </w:r>
      <w:r w:rsidR="69EDC318">
        <w:t xml:space="preserve"> </w:t>
      </w:r>
      <w:r>
        <w:t>tasu maksmise kohustuse üle söögitoruvähi või mao</w:t>
      </w:r>
      <w:r w:rsidDel="00425A9C">
        <w:t>- ja</w:t>
      </w:r>
      <w:r>
        <w:t xml:space="preserve"> söögitoru ühenduskoha vähi korral heas üldseisundis (ECOG 0–1)</w:t>
      </w:r>
      <w:r w:rsidR="00D45B29">
        <w:t xml:space="preserve"> patsiendilt</w:t>
      </w:r>
      <w:r>
        <w:t>, kellel esineb jääkhaigus vähemalt ypN1 või ypT1 pärast radio</w:t>
      </w:r>
      <w:r w:rsidR="37D0260C">
        <w:t>kemo</w:t>
      </w:r>
      <w:r>
        <w:t>teraapiat ja täielikku kirurgilist resektsiooni.</w:t>
      </w:r>
    </w:p>
    <w:p w14:paraId="3DDB886B" w14:textId="77777777" w:rsidR="00425A9C" w:rsidRDefault="00425A9C" w:rsidP="00425A9C">
      <w:pPr>
        <w:spacing w:after="0" w:line="240" w:lineRule="auto"/>
        <w:jc w:val="both"/>
      </w:pPr>
    </w:p>
    <w:p w14:paraId="59E12655" w14:textId="42B47EA3" w:rsidR="00425A9C" w:rsidRDefault="009C77B2" w:rsidP="00425A9C">
      <w:pPr>
        <w:pStyle w:val="Normaallaadveeb"/>
        <w:spacing w:before="0" w:after="0" w:afterAutospacing="0"/>
        <w:jc w:val="both"/>
      </w:pPr>
      <w:r>
        <w:t>(98) Koodiga 435R tähistatud ravim</w:t>
      </w:r>
      <w:r w:rsidR="7DF8F9D0">
        <w:t>i</w:t>
      </w:r>
      <w:r>
        <w:t xml:space="preserve">teenust võib </w:t>
      </w:r>
      <w:r w:rsidR="2F743232">
        <w:t>kasutada</w:t>
      </w:r>
      <w:r>
        <w:t xml:space="preserve"> kuni </w:t>
      </w:r>
      <w:r w:rsidRPr="004F6482">
        <w:t xml:space="preserve">haiguse progresseerumiseni </w:t>
      </w:r>
      <w:r>
        <w:t>ja/või vastuvõetamatute kõrvaltoimete tekkimiseni</w:t>
      </w:r>
      <w:r w:rsidR="002E15E5">
        <w:t>, kuid</w:t>
      </w:r>
      <w:r>
        <w:t xml:space="preserve"> maksimaalselt üks aasta.</w:t>
      </w:r>
    </w:p>
    <w:p w14:paraId="4B026CFA" w14:textId="77777777" w:rsidR="00185805" w:rsidRDefault="00185805" w:rsidP="00425A9C">
      <w:pPr>
        <w:pStyle w:val="Normaallaadveeb"/>
        <w:spacing w:before="0" w:after="0" w:afterAutospacing="0"/>
        <w:jc w:val="both"/>
      </w:pPr>
    </w:p>
    <w:p w14:paraId="7DC113BE" w14:textId="6967A38B" w:rsidR="00BF65D6" w:rsidRPr="00687DE8" w:rsidRDefault="03C1B0DA" w:rsidP="00425A9C">
      <w:pPr>
        <w:pStyle w:val="Normaallaadveeb"/>
        <w:spacing w:before="0" w:after="0" w:afterAutospacing="0"/>
        <w:jc w:val="both"/>
      </w:pPr>
      <w:r>
        <w:t>(</w:t>
      </w:r>
      <w:r w:rsidR="009C77B2">
        <w:t>99</w:t>
      </w:r>
      <w:r w:rsidR="00BF65D6">
        <w:t xml:space="preserve">) </w:t>
      </w:r>
      <w:r w:rsidR="00B57D37" w:rsidRPr="004F6482">
        <w:t xml:space="preserve">Tervisekassa võtab koodiga 434R </w:t>
      </w:r>
      <w:r w:rsidR="3F8ED843">
        <w:t>või</w:t>
      </w:r>
      <w:r w:rsidR="1145F9ED">
        <w:t xml:space="preserve"> 460R</w:t>
      </w:r>
      <w:r w:rsidR="00B57D37" w:rsidRPr="004F6482">
        <w:t xml:space="preserve"> tähistatud ravimiteenuse eest tasu maksmise kohustuse üle patsien</w:t>
      </w:r>
      <w:r w:rsidR="00461755">
        <w:t>di</w:t>
      </w:r>
      <w:r w:rsidR="00B57D37" w:rsidRPr="004F6482">
        <w:t>lt, kellel on valepaardumisreparatsiooni geenide defektiga (</w:t>
      </w:r>
      <w:r w:rsidR="00B57D37" w:rsidRPr="00EB175B">
        <w:rPr>
          <w:i/>
        </w:rPr>
        <w:t>mismatch repair deficient</w:t>
      </w:r>
      <w:r w:rsidR="00B57D37" w:rsidRPr="004F6482">
        <w:t>, dMMR) või mikrosatelliitide kõrge ebastabiilsusega (</w:t>
      </w:r>
      <w:r w:rsidR="00B57D37" w:rsidRPr="00EB175B">
        <w:rPr>
          <w:i/>
        </w:rPr>
        <w:t>microsatellite instability-high</w:t>
      </w:r>
      <w:r w:rsidR="00B57D37" w:rsidRPr="004F6482">
        <w:t>, MSI-H) retsidiveerunud või kaugelearenenud endomeetriumikasvaja ja kes on süsteemse ravi</w:t>
      </w:r>
      <w:r w:rsidR="00425A9C">
        <w:t xml:space="preserve"> </w:t>
      </w:r>
      <w:r w:rsidR="00425A9C" w:rsidRPr="004F6482">
        <w:t>kandidaa</w:t>
      </w:r>
      <w:r w:rsidR="00A7629E">
        <w:t>t</w:t>
      </w:r>
      <w:r w:rsidR="00425A9C">
        <w:t>.</w:t>
      </w:r>
    </w:p>
    <w:p w14:paraId="230E5B85" w14:textId="77777777" w:rsidR="004C110B" w:rsidRDefault="004C110B" w:rsidP="00425A9C">
      <w:pPr>
        <w:pStyle w:val="Normaallaadveeb"/>
        <w:spacing w:before="0" w:after="0" w:afterAutospacing="0"/>
        <w:jc w:val="both"/>
      </w:pPr>
    </w:p>
    <w:p w14:paraId="5251161D" w14:textId="742296CE" w:rsidR="004C110B" w:rsidRDefault="004C110B" w:rsidP="00221E7B">
      <w:pPr>
        <w:pStyle w:val="Normaallaadveeb"/>
        <w:spacing w:before="0" w:after="0" w:afterAutospacing="0"/>
        <w:jc w:val="both"/>
      </w:pPr>
      <w:r>
        <w:t>(</w:t>
      </w:r>
      <w:r w:rsidR="009C77B2">
        <w:t>100</w:t>
      </w:r>
      <w:r>
        <w:t xml:space="preserve">) </w:t>
      </w:r>
      <w:r w:rsidR="009054AA">
        <w:t>K</w:t>
      </w:r>
      <w:r w:rsidR="009054AA" w:rsidRPr="004F6482">
        <w:t>oodiga 434R</w:t>
      </w:r>
      <w:r w:rsidR="009054AA">
        <w:t xml:space="preserve"> või 460R tähistatud ravimiteenust</w:t>
      </w:r>
      <w:r w:rsidR="009054AA" w:rsidRPr="004F6482">
        <w:t xml:space="preserve"> on lubatud kasutada esimesed kuus </w:t>
      </w:r>
      <w:r w:rsidR="009054AA">
        <w:t>ravikuuri</w:t>
      </w:r>
      <w:r w:rsidR="009054AA" w:rsidRPr="004F6482">
        <w:t xml:space="preserve"> koos</w:t>
      </w:r>
      <w:r w:rsidR="009054AA">
        <w:t xml:space="preserve"> koodiga</w:t>
      </w:r>
      <w:r w:rsidR="009054AA" w:rsidRPr="004F6482">
        <w:t xml:space="preserve"> 327R</w:t>
      </w:r>
      <w:r w:rsidR="009054AA">
        <w:t xml:space="preserve"> tähistatud ravimiteenusega</w:t>
      </w:r>
      <w:r w:rsidR="009054AA" w:rsidRPr="004F6482">
        <w:t xml:space="preserve">. Edasi jätkub ravi </w:t>
      </w:r>
      <w:r w:rsidR="009054AA">
        <w:t>koodiga</w:t>
      </w:r>
      <w:r w:rsidR="009054AA" w:rsidRPr="004F6482">
        <w:t xml:space="preserve"> 434R</w:t>
      </w:r>
      <w:r w:rsidR="009054AA">
        <w:t xml:space="preserve"> või 460R tähistatud ravimiteenusega monoteraapiana, mille raames võib kuuenädalase ravikuuri rakendamisel kodeerida koodiga 434R tähistatud ravimiteenust kaks korda</w:t>
      </w:r>
      <w:r w:rsidR="009054AA" w:rsidRPr="004F6482">
        <w:t>.</w:t>
      </w:r>
    </w:p>
    <w:p w14:paraId="5D6E6CFE" w14:textId="4B9A2E5C" w:rsidR="00AE63E1" w:rsidRDefault="00AE63E1" w:rsidP="3119E80A">
      <w:pPr>
        <w:spacing w:after="0" w:line="240" w:lineRule="auto"/>
        <w:jc w:val="both"/>
        <w:rPr>
          <w:color w:val="000000" w:themeColor="text1"/>
        </w:rPr>
      </w:pPr>
    </w:p>
    <w:p w14:paraId="73AF50C7" w14:textId="76F0348A" w:rsidR="00BB382A" w:rsidRDefault="00BB382A" w:rsidP="00221E7B">
      <w:pPr>
        <w:pStyle w:val="Normaallaadveeb"/>
        <w:spacing w:before="0" w:after="0" w:afterAutospacing="0"/>
        <w:jc w:val="both"/>
      </w:pPr>
      <w:r>
        <w:t>(</w:t>
      </w:r>
      <w:r w:rsidR="009C77B2">
        <w:t>101</w:t>
      </w:r>
      <w:r>
        <w:t xml:space="preserve">) </w:t>
      </w:r>
      <w:r w:rsidR="00344AA1" w:rsidRPr="004F6482">
        <w:t xml:space="preserve">Ühe patsiendi ravi koodiga 434R </w:t>
      </w:r>
      <w:r w:rsidR="6E0DBF74">
        <w:t>või 460R</w:t>
      </w:r>
      <w:r w:rsidR="00344AA1">
        <w:t xml:space="preserve"> </w:t>
      </w:r>
      <w:r w:rsidR="00344AA1" w:rsidRPr="004F6482">
        <w:t>tähistatud ravim</w:t>
      </w:r>
      <w:r w:rsidR="002215DF">
        <w:t>i</w:t>
      </w:r>
      <w:r w:rsidR="00344AA1" w:rsidRPr="004F6482">
        <w:t xml:space="preserve">teenusega võib endomeetriumikasvaja näidustusel kesta kuni haiguse progresseerumiseni </w:t>
      </w:r>
      <w:r w:rsidR="00513608">
        <w:t>ja/</w:t>
      </w:r>
      <w:r w:rsidR="00344AA1" w:rsidRPr="004F6482">
        <w:t>või vastuvõetamatu toksilisuse tekkimiseni</w:t>
      </w:r>
      <w:r w:rsidR="006C3EBE">
        <w:t xml:space="preserve">, kuid </w:t>
      </w:r>
      <w:r w:rsidR="00C237DE">
        <w:t>maksimaalselt kolm aastat</w:t>
      </w:r>
      <w:r w:rsidR="00995BEB">
        <w:t>.</w:t>
      </w:r>
    </w:p>
    <w:p w14:paraId="1C05FACF" w14:textId="77777777" w:rsidR="0088079E" w:rsidRDefault="0088079E" w:rsidP="00425A9C">
      <w:pPr>
        <w:pStyle w:val="Normaallaadveeb"/>
        <w:spacing w:before="0" w:after="0" w:afterAutospacing="0"/>
        <w:jc w:val="both"/>
      </w:pPr>
    </w:p>
    <w:p w14:paraId="7D8E6FD0" w14:textId="50EF4BE0" w:rsidR="00B6656C" w:rsidRPr="00A07674" w:rsidRDefault="6DE25EE4" w:rsidP="00B31A9C">
      <w:pPr>
        <w:spacing w:after="0" w:line="240" w:lineRule="auto"/>
        <w:jc w:val="both"/>
        <w:rPr>
          <w:rFonts w:eastAsia="Calibri"/>
        </w:rPr>
      </w:pPr>
      <w:r w:rsidRPr="150D8322">
        <w:rPr>
          <w:rFonts w:eastAsia="Calibri"/>
        </w:rPr>
        <w:t xml:space="preserve">(102) </w:t>
      </w:r>
      <w:r w:rsidR="000E66AF" w:rsidRPr="150D8322">
        <w:rPr>
          <w:rFonts w:eastAsia="Calibri"/>
        </w:rPr>
        <w:t xml:space="preserve">Tervisekassa võtab </w:t>
      </w:r>
      <w:r w:rsidR="000E66AF" w:rsidRPr="184C5A47">
        <w:rPr>
          <w:rFonts w:eastAsia="Calibri"/>
        </w:rPr>
        <w:t>koodiga</w:t>
      </w:r>
      <w:r w:rsidR="000E66AF" w:rsidRPr="150D8322">
        <w:rPr>
          <w:rFonts w:eastAsia="Calibri"/>
        </w:rPr>
        <w:t xml:space="preserve"> 432R, 451R või 459R tähistatud </w:t>
      </w:r>
      <w:r w:rsidR="000E66AF" w:rsidRPr="184C5A47">
        <w:rPr>
          <w:rFonts w:eastAsia="Calibri"/>
        </w:rPr>
        <w:t>ravimiteenuse</w:t>
      </w:r>
      <w:r w:rsidR="000E66AF" w:rsidRPr="150D8322">
        <w:rPr>
          <w:rFonts w:eastAsia="Calibri"/>
        </w:rPr>
        <w:t xml:space="preserve"> eest tasu maksmise kohustuse üle kõrge riskiga varase mitteväikerakk-kopsuvähiga patsiendi neoadjuvantraviks koos kopsukasvajate kemoteraapiaga (kood 265R) maksimaalselt nelja ravikuuri eest ning adjuvantraviks maksimaalselt 12 ravikuuri eest koodi 451R </w:t>
      </w:r>
      <w:r w:rsidR="000E66AF">
        <w:rPr>
          <w:rFonts w:eastAsia="Calibri"/>
        </w:rPr>
        <w:t xml:space="preserve">rakendamise </w:t>
      </w:r>
      <w:r w:rsidR="000E66AF" w:rsidRPr="150D8322">
        <w:rPr>
          <w:rFonts w:eastAsia="Calibri"/>
        </w:rPr>
        <w:t xml:space="preserve">korral </w:t>
      </w:r>
      <w:r w:rsidR="000E66AF">
        <w:rPr>
          <w:rFonts w:eastAsia="Calibri"/>
        </w:rPr>
        <w:t>ja</w:t>
      </w:r>
      <w:r w:rsidR="000E66AF" w:rsidRPr="150D8322">
        <w:rPr>
          <w:rFonts w:eastAsia="Calibri"/>
        </w:rPr>
        <w:t xml:space="preserve"> 13 ravikuuri eest koodi 432R või 459R </w:t>
      </w:r>
      <w:r w:rsidR="000E66AF">
        <w:rPr>
          <w:rFonts w:eastAsia="Calibri"/>
        </w:rPr>
        <w:t xml:space="preserve">rakendamise </w:t>
      </w:r>
      <w:r w:rsidR="000E66AF" w:rsidRPr="150D8322">
        <w:rPr>
          <w:rFonts w:eastAsia="Calibri"/>
        </w:rPr>
        <w:t xml:space="preserve">korral. Ravi </w:t>
      </w:r>
      <w:r w:rsidR="000E66AF" w:rsidRPr="184C5A47">
        <w:rPr>
          <w:rFonts w:eastAsia="Calibri"/>
        </w:rPr>
        <w:t>koodiga</w:t>
      </w:r>
      <w:r w:rsidR="000E66AF" w:rsidRPr="150D8322">
        <w:rPr>
          <w:rFonts w:eastAsia="Calibri"/>
        </w:rPr>
        <w:t xml:space="preserve"> 432R, 451R või 459R tähistatud </w:t>
      </w:r>
      <w:r w:rsidR="000E66AF" w:rsidRPr="184C5A47">
        <w:rPr>
          <w:rFonts w:eastAsia="Calibri"/>
        </w:rPr>
        <w:t>ravimiteenusega</w:t>
      </w:r>
      <w:r w:rsidR="000E66AF" w:rsidRPr="150D8322">
        <w:rPr>
          <w:rFonts w:eastAsia="Calibri"/>
        </w:rPr>
        <w:t xml:space="preserve"> kestab </w:t>
      </w:r>
      <w:r w:rsidR="000E66AF" w:rsidRPr="150D8322">
        <w:rPr>
          <w:color w:val="000000" w:themeColor="text1"/>
        </w:rPr>
        <w:t xml:space="preserve">kuni haiguse progresseerumiseni või progressiooni puudumise korral kokku </w:t>
      </w:r>
      <w:r w:rsidR="000E66AF" w:rsidRPr="150D8322">
        <w:rPr>
          <w:rFonts w:eastAsia="Calibri"/>
        </w:rPr>
        <w:t xml:space="preserve">maksimaalselt 16 ravikuuri koodi 451R </w:t>
      </w:r>
      <w:r w:rsidR="000E66AF">
        <w:rPr>
          <w:rFonts w:eastAsia="Calibri"/>
        </w:rPr>
        <w:t xml:space="preserve">rakendamise </w:t>
      </w:r>
      <w:r w:rsidR="000E66AF" w:rsidRPr="150D8322">
        <w:rPr>
          <w:rFonts w:eastAsia="Calibri"/>
        </w:rPr>
        <w:t xml:space="preserve">korral </w:t>
      </w:r>
      <w:r w:rsidR="000E66AF">
        <w:rPr>
          <w:rFonts w:eastAsia="Calibri"/>
        </w:rPr>
        <w:t>ja</w:t>
      </w:r>
      <w:r w:rsidR="000E66AF" w:rsidRPr="150D8322">
        <w:rPr>
          <w:rFonts w:eastAsia="Calibri"/>
        </w:rPr>
        <w:t xml:space="preserve"> 17 ravikuuri koodi 432R või 459R </w:t>
      </w:r>
      <w:r w:rsidR="000E66AF">
        <w:rPr>
          <w:rFonts w:eastAsia="Calibri"/>
        </w:rPr>
        <w:t xml:space="preserve">rakendamise </w:t>
      </w:r>
      <w:r w:rsidR="000E66AF" w:rsidRPr="150D8322">
        <w:rPr>
          <w:rFonts w:eastAsia="Calibri"/>
        </w:rPr>
        <w:t xml:space="preserve">korral. Tervisekassa võtab koodiga </w:t>
      </w:r>
      <w:r w:rsidR="000E66AF" w:rsidRPr="184C5A47">
        <w:rPr>
          <w:rFonts w:eastAsia="Calibri"/>
        </w:rPr>
        <w:t>432R või 451R</w:t>
      </w:r>
      <w:r w:rsidR="000E66AF" w:rsidRPr="150D8322">
        <w:rPr>
          <w:rFonts w:eastAsia="Calibri"/>
        </w:rPr>
        <w:t xml:space="preserve"> tähistatud </w:t>
      </w:r>
      <w:r w:rsidR="000E66AF" w:rsidRPr="150D8322">
        <w:rPr>
          <w:rFonts w:eastAsia="Calibri"/>
        </w:rPr>
        <w:lastRenderedPageBreak/>
        <w:t xml:space="preserve">ravimiteenuse eest tasu maksmise kohustuse üle patsiendilt, </w:t>
      </w:r>
      <w:r w:rsidR="000E66AF" w:rsidRPr="184C5A47">
        <w:rPr>
          <w:rFonts w:eastAsia="Calibri"/>
        </w:rPr>
        <w:t xml:space="preserve">sõltumata </w:t>
      </w:r>
      <w:r w:rsidR="00BB55C7">
        <w:rPr>
          <w:rFonts w:eastAsia="Calibri"/>
        </w:rPr>
        <w:t>kasvaja</w:t>
      </w:r>
      <w:r w:rsidR="000E66AF">
        <w:rPr>
          <w:rFonts w:eastAsia="Calibri"/>
        </w:rPr>
        <w:t xml:space="preserve"> </w:t>
      </w:r>
      <w:r w:rsidR="000E66AF" w:rsidRPr="184C5A47">
        <w:rPr>
          <w:rFonts w:eastAsia="Calibri"/>
        </w:rPr>
        <w:t>PD-L1 ekspressioonist</w:t>
      </w:r>
      <w:r w:rsidR="000E66AF">
        <w:rPr>
          <w:rFonts w:eastAsia="Calibri"/>
        </w:rPr>
        <w:t>, ja</w:t>
      </w:r>
      <w:r w:rsidR="000E66AF" w:rsidRPr="184C5A47">
        <w:rPr>
          <w:rFonts w:eastAsia="Calibri"/>
        </w:rPr>
        <w:t xml:space="preserve"> koodiga 459R </w:t>
      </w:r>
      <w:r w:rsidR="000E66AF" w:rsidRPr="150D8322">
        <w:rPr>
          <w:rFonts w:eastAsia="Calibri"/>
        </w:rPr>
        <w:t>tähistatud ravimiteenuse eest</w:t>
      </w:r>
      <w:r w:rsidR="000E66AF" w:rsidRPr="184C5A47">
        <w:rPr>
          <w:rFonts w:eastAsia="Calibri"/>
        </w:rPr>
        <w:t xml:space="preserve"> patsiendilt, </w:t>
      </w:r>
      <w:r w:rsidR="000E66AF" w:rsidRPr="150D8322">
        <w:rPr>
          <w:rFonts w:eastAsia="Calibri"/>
        </w:rPr>
        <w:t>kelle kasvaja PD-L1 ekspressioon on ≥ 1%.</w:t>
      </w:r>
    </w:p>
    <w:p w14:paraId="64D484AB" w14:textId="77777777" w:rsidR="00BD5DF9" w:rsidRDefault="00BD5DF9" w:rsidP="00425A9C">
      <w:pPr>
        <w:spacing w:after="0" w:line="240" w:lineRule="auto"/>
        <w:jc w:val="both"/>
        <w:rPr>
          <w:rFonts w:eastAsia="Calibri"/>
          <w:szCs w:val="24"/>
        </w:rPr>
      </w:pPr>
    </w:p>
    <w:p w14:paraId="1E7EACAE" w14:textId="4AA96676" w:rsidR="001403EE" w:rsidRDefault="6DE25EE4" w:rsidP="150D8322">
      <w:pPr>
        <w:spacing w:after="0" w:line="240" w:lineRule="auto"/>
        <w:jc w:val="both"/>
        <w:rPr>
          <w:rFonts w:eastAsia="Calibri"/>
        </w:rPr>
      </w:pPr>
      <w:r w:rsidRPr="150D8322">
        <w:rPr>
          <w:rFonts w:eastAsia="Calibri"/>
        </w:rPr>
        <w:t xml:space="preserve">(103) </w:t>
      </w:r>
      <w:r w:rsidR="2541EDA0" w:rsidRPr="150D8322">
        <w:rPr>
          <w:rFonts w:eastAsia="Calibri"/>
        </w:rPr>
        <w:t>Koodidega 294R</w:t>
      </w:r>
      <w:r w:rsidR="53F5FDA0" w:rsidRPr="150D8322">
        <w:rPr>
          <w:rFonts w:eastAsia="Calibri"/>
        </w:rPr>
        <w:t>,</w:t>
      </w:r>
      <w:r w:rsidR="2541EDA0" w:rsidRPr="150D8322">
        <w:rPr>
          <w:rFonts w:eastAsia="Calibri"/>
        </w:rPr>
        <w:t xml:space="preserve"> 432R</w:t>
      </w:r>
      <w:r w:rsidR="30367BA6" w:rsidRPr="150D8322">
        <w:rPr>
          <w:rFonts w:eastAsia="Calibri"/>
        </w:rPr>
        <w:t>, 451R</w:t>
      </w:r>
      <w:r w:rsidR="2541EDA0" w:rsidRPr="150D8322">
        <w:rPr>
          <w:rFonts w:eastAsia="Calibri"/>
        </w:rPr>
        <w:t xml:space="preserve"> </w:t>
      </w:r>
      <w:r w:rsidR="53F5FDA0" w:rsidRPr="150D8322">
        <w:rPr>
          <w:rFonts w:eastAsia="Calibri"/>
        </w:rPr>
        <w:t>ja 459R</w:t>
      </w:r>
      <w:r w:rsidR="2541EDA0" w:rsidRPr="150D8322">
        <w:rPr>
          <w:rFonts w:eastAsia="Calibri"/>
        </w:rPr>
        <w:t xml:space="preserve"> tähistatud ravim</w:t>
      </w:r>
      <w:r w:rsidR="2E101BC8" w:rsidRPr="150D8322">
        <w:rPr>
          <w:rFonts w:eastAsia="Calibri"/>
        </w:rPr>
        <w:t>i</w:t>
      </w:r>
      <w:r w:rsidR="2541EDA0" w:rsidRPr="150D8322">
        <w:rPr>
          <w:rFonts w:eastAsia="Calibri"/>
        </w:rPr>
        <w:t xml:space="preserve">teenuste samaaegne rakendamine patsiendil </w:t>
      </w:r>
      <w:r w:rsidR="584116CA" w:rsidRPr="184C5A47">
        <w:rPr>
          <w:rFonts w:eastAsia="Calibri"/>
        </w:rPr>
        <w:t xml:space="preserve">perioperatiivses </w:t>
      </w:r>
      <w:r w:rsidR="00B6656C" w:rsidRPr="184C5A47">
        <w:rPr>
          <w:rFonts w:eastAsia="Calibri"/>
        </w:rPr>
        <w:t>ravis</w:t>
      </w:r>
      <w:r w:rsidR="2541EDA0" w:rsidRPr="150D8322">
        <w:rPr>
          <w:rFonts w:eastAsia="Calibri"/>
        </w:rPr>
        <w:t xml:space="preserve"> ei ole lubatud.</w:t>
      </w:r>
    </w:p>
    <w:p w14:paraId="3AFB41D5" w14:textId="77777777" w:rsidR="00BD5DF9" w:rsidRDefault="00BD5DF9" w:rsidP="00425A9C">
      <w:pPr>
        <w:spacing w:after="0" w:line="240" w:lineRule="auto"/>
        <w:jc w:val="both"/>
        <w:rPr>
          <w:rFonts w:eastAsia="Calibri"/>
          <w:szCs w:val="24"/>
        </w:rPr>
      </w:pPr>
    </w:p>
    <w:p w14:paraId="197C08E6" w14:textId="4160AFB0" w:rsidR="00384446" w:rsidRPr="00D550D9" w:rsidRDefault="00384446" w:rsidP="36F27A2C">
      <w:pPr>
        <w:spacing w:after="0" w:line="240" w:lineRule="auto"/>
        <w:jc w:val="both"/>
        <w:rPr>
          <w:rFonts w:eastAsia="Calibri"/>
        </w:rPr>
      </w:pPr>
      <w:r w:rsidRPr="36F27A2C">
        <w:rPr>
          <w:rFonts w:eastAsia="Calibri"/>
        </w:rPr>
        <w:t xml:space="preserve">(104) </w:t>
      </w:r>
      <w:r w:rsidR="00F85C44" w:rsidRPr="36F27A2C">
        <w:rPr>
          <w:rFonts w:eastAsia="Calibri"/>
        </w:rPr>
        <w:t>Tervisekassa võtab koodiga</w:t>
      </w:r>
      <w:r w:rsidR="00292A3B" w:rsidRPr="36F27A2C">
        <w:rPr>
          <w:rFonts w:eastAsia="Calibri"/>
        </w:rPr>
        <w:t xml:space="preserve"> 436R tähistatud ravim</w:t>
      </w:r>
      <w:r w:rsidR="00BD0F69" w:rsidRPr="36F27A2C">
        <w:rPr>
          <w:rFonts w:eastAsia="Calibri"/>
        </w:rPr>
        <w:t>i</w:t>
      </w:r>
      <w:r w:rsidR="00292A3B" w:rsidRPr="36F27A2C">
        <w:rPr>
          <w:rFonts w:eastAsia="Calibri"/>
        </w:rPr>
        <w:t xml:space="preserve">teenuse </w:t>
      </w:r>
      <w:r w:rsidR="00F85C44" w:rsidRPr="36F27A2C">
        <w:rPr>
          <w:rFonts w:eastAsia="Calibri"/>
        </w:rPr>
        <w:t xml:space="preserve">eest tasu </w:t>
      </w:r>
      <w:r w:rsidR="00C56D04" w:rsidRPr="36F27A2C">
        <w:rPr>
          <w:rFonts w:eastAsia="Calibri"/>
        </w:rPr>
        <w:t xml:space="preserve">maksmise </w:t>
      </w:r>
      <w:r w:rsidR="00292A3B" w:rsidRPr="36F27A2C">
        <w:rPr>
          <w:rFonts w:eastAsia="Calibri"/>
        </w:rPr>
        <w:t>kohustus</w:t>
      </w:r>
      <w:r w:rsidR="00C56D04" w:rsidRPr="36F27A2C">
        <w:rPr>
          <w:rFonts w:eastAsia="Calibri"/>
        </w:rPr>
        <w:t>e</w:t>
      </w:r>
      <w:r w:rsidR="00292A3B" w:rsidRPr="36F27A2C">
        <w:rPr>
          <w:rFonts w:eastAsia="Calibri"/>
        </w:rPr>
        <w:t xml:space="preserve"> </w:t>
      </w:r>
      <w:r w:rsidR="00F85C44" w:rsidRPr="36F27A2C">
        <w:rPr>
          <w:rFonts w:eastAsia="Calibri"/>
        </w:rPr>
        <w:t xml:space="preserve">üle </w:t>
      </w:r>
      <w:r w:rsidR="00C56D04" w:rsidRPr="36F27A2C">
        <w:rPr>
          <w:rFonts w:eastAsia="Calibri"/>
        </w:rPr>
        <w:t xml:space="preserve">mitteresetseeritava või metastaatilise HER2-positiivse </w:t>
      </w:r>
      <w:r w:rsidR="00E20F96" w:rsidRPr="36F27A2C">
        <w:rPr>
          <w:rFonts w:eastAsia="Calibri"/>
        </w:rPr>
        <w:t>rinnavähiga patsiendilt mon</w:t>
      </w:r>
      <w:r w:rsidR="00C52491" w:rsidRPr="36F27A2C">
        <w:rPr>
          <w:rFonts w:eastAsia="Calibri"/>
        </w:rPr>
        <w:t>oteraapiana</w:t>
      </w:r>
      <w:r w:rsidR="00E20F96" w:rsidRPr="36F27A2C">
        <w:rPr>
          <w:rFonts w:eastAsia="Calibri"/>
        </w:rPr>
        <w:t xml:space="preserve"> kaugele arenenud haiguse </w:t>
      </w:r>
      <w:r w:rsidR="009804A2" w:rsidRPr="36F27A2C">
        <w:rPr>
          <w:rFonts w:eastAsia="Calibri"/>
        </w:rPr>
        <w:t>teise</w:t>
      </w:r>
      <w:r w:rsidR="00E20F96" w:rsidRPr="36F27A2C">
        <w:rPr>
          <w:rFonts w:eastAsia="Calibri"/>
        </w:rPr>
        <w:t xml:space="preserve"> rea raviks või </w:t>
      </w:r>
      <w:r w:rsidR="009804A2" w:rsidRPr="36F27A2C">
        <w:rPr>
          <w:rFonts w:eastAsia="Calibri"/>
        </w:rPr>
        <w:t>esimese</w:t>
      </w:r>
      <w:r w:rsidR="00E20F96" w:rsidRPr="36F27A2C">
        <w:rPr>
          <w:rFonts w:eastAsia="Calibri"/>
        </w:rPr>
        <w:t xml:space="preserve"> rea raviks, kui haigus</w:t>
      </w:r>
      <w:r w:rsidR="00292A3B" w:rsidRPr="36F27A2C">
        <w:rPr>
          <w:rFonts w:eastAsia="Calibri"/>
        </w:rPr>
        <w:t xml:space="preserve"> on </w:t>
      </w:r>
      <w:r w:rsidR="00E20F96" w:rsidRPr="36F27A2C">
        <w:rPr>
          <w:rFonts w:eastAsia="Calibri"/>
        </w:rPr>
        <w:t>progresseerunud (neo)adjuvantse ravi ajal</w:t>
      </w:r>
      <w:r w:rsidR="00770B14" w:rsidRPr="36F27A2C">
        <w:rPr>
          <w:rStyle w:val="Kommentaariviide"/>
          <w:rFonts w:eastAsia="Calibri"/>
        </w:rPr>
        <w:t xml:space="preserve"> </w:t>
      </w:r>
      <w:r w:rsidR="00E20F96" w:rsidRPr="36F27A2C">
        <w:rPr>
          <w:rFonts w:eastAsia="Calibri"/>
        </w:rPr>
        <w:t>või kuni kuue kuu jooksul pärast selle lõppu.</w:t>
      </w:r>
    </w:p>
    <w:p w14:paraId="1E30DA58" w14:textId="46C09D74" w:rsidR="36F27A2C" w:rsidRDefault="36F27A2C" w:rsidP="36F27A2C">
      <w:pPr>
        <w:spacing w:after="0" w:line="240" w:lineRule="auto"/>
        <w:jc w:val="both"/>
        <w:rPr>
          <w:rFonts w:eastAsia="Calibri"/>
        </w:rPr>
      </w:pPr>
    </w:p>
    <w:p w14:paraId="123A02AE" w14:textId="4D0F5B9C" w:rsidR="23EF2737" w:rsidRDefault="23EF2737" w:rsidP="586C6C70">
      <w:pPr>
        <w:spacing w:after="0" w:line="240" w:lineRule="auto"/>
        <w:jc w:val="both"/>
        <w:rPr>
          <w:rFonts w:eastAsia="Calibri"/>
        </w:rPr>
      </w:pPr>
      <w:r w:rsidRPr="586C6C70">
        <w:rPr>
          <w:rFonts w:eastAsia="Calibri"/>
        </w:rPr>
        <w:t xml:space="preserve">(105) Tervisekassa võtab koodiga 450R tähistatud ravimiteenuse </w:t>
      </w:r>
      <w:r w:rsidR="72942A1E" w:rsidRPr="586C6C70">
        <w:rPr>
          <w:rFonts w:eastAsia="Calibri"/>
        </w:rPr>
        <w:t>eest</w:t>
      </w:r>
      <w:r w:rsidRPr="586C6C70">
        <w:rPr>
          <w:rFonts w:eastAsia="Calibri"/>
        </w:rPr>
        <w:t xml:space="preserve"> tasu maksmise kohustuse üle täiskasvanud patsiendilt, kellel on esmadiagnoositud Philadelphia-kromosoomnegatiivne CD19-positiivne B-eellasrakuline äge lümfoblastleukeemia</w:t>
      </w:r>
      <w:r w:rsidR="0796D703" w:rsidRPr="586C6C70">
        <w:rPr>
          <w:rFonts w:eastAsia="Calibri"/>
        </w:rPr>
        <w:t xml:space="preserve">, mis on </w:t>
      </w:r>
      <w:r w:rsidR="5C5320EB" w:rsidRPr="586C6C70">
        <w:rPr>
          <w:rFonts w:eastAsia="Calibri"/>
        </w:rPr>
        <w:t>peale induktsiooniravi esimeses remissioonis sõltumata MRD staatusest.</w:t>
      </w:r>
    </w:p>
    <w:p w14:paraId="57DE3DA1" w14:textId="3E7456F4" w:rsidR="36F27A2C" w:rsidRDefault="36F27A2C" w:rsidP="36F27A2C">
      <w:pPr>
        <w:spacing w:after="0" w:line="240" w:lineRule="auto"/>
        <w:jc w:val="both"/>
        <w:rPr>
          <w:rFonts w:eastAsia="Calibri"/>
        </w:rPr>
      </w:pPr>
    </w:p>
    <w:p w14:paraId="2D137431" w14:textId="6BBD8318" w:rsidR="2E20A63F" w:rsidRDefault="2E20A63F" w:rsidP="36F27A2C">
      <w:pPr>
        <w:spacing w:after="0" w:line="240" w:lineRule="auto"/>
        <w:jc w:val="both"/>
        <w:rPr>
          <w:rFonts w:eastAsia="Calibri"/>
        </w:rPr>
      </w:pPr>
      <w:r w:rsidRPr="36F27A2C">
        <w:rPr>
          <w:rFonts w:eastAsia="Calibri"/>
        </w:rPr>
        <w:t xml:space="preserve">(106) </w:t>
      </w:r>
      <w:r w:rsidR="23EF2737" w:rsidRPr="36F27A2C">
        <w:rPr>
          <w:rFonts w:eastAsia="Calibri"/>
        </w:rPr>
        <w:t xml:space="preserve">Koodiga </w:t>
      </w:r>
      <w:r w:rsidR="781F75F5" w:rsidRPr="36F27A2C">
        <w:rPr>
          <w:rFonts w:eastAsia="Calibri"/>
        </w:rPr>
        <w:t>450</w:t>
      </w:r>
      <w:r w:rsidR="23EF2737" w:rsidRPr="36F27A2C">
        <w:rPr>
          <w:rFonts w:eastAsia="Calibri"/>
        </w:rPr>
        <w:t xml:space="preserve">R tähistatud ravimiteenust rakendatakse kuni </w:t>
      </w:r>
      <w:r w:rsidR="001D3122">
        <w:rPr>
          <w:rFonts w:eastAsia="Calibri"/>
        </w:rPr>
        <w:t>neli</w:t>
      </w:r>
      <w:r w:rsidR="23EF2737" w:rsidRPr="36F27A2C">
        <w:rPr>
          <w:rFonts w:eastAsia="Calibri"/>
        </w:rPr>
        <w:t xml:space="preserve"> </w:t>
      </w:r>
      <w:r w:rsidR="42B13A00" w:rsidRPr="587BAAA2">
        <w:rPr>
          <w:rFonts w:eastAsia="Calibri"/>
        </w:rPr>
        <w:t>28</w:t>
      </w:r>
      <w:r w:rsidR="000E66AF">
        <w:rPr>
          <w:rFonts w:eastAsia="Calibri"/>
        </w:rPr>
        <w:t>-</w:t>
      </w:r>
      <w:r w:rsidR="42B13A00" w:rsidRPr="587BAAA2">
        <w:rPr>
          <w:rFonts w:eastAsia="Calibri"/>
        </w:rPr>
        <w:t>päevast</w:t>
      </w:r>
      <w:r w:rsidR="23EF2737" w:rsidRPr="587BAAA2">
        <w:rPr>
          <w:rFonts w:eastAsia="Calibri"/>
        </w:rPr>
        <w:t xml:space="preserve"> </w:t>
      </w:r>
      <w:r w:rsidR="23EF2737" w:rsidRPr="36F27A2C">
        <w:rPr>
          <w:rFonts w:eastAsia="Calibri"/>
        </w:rPr>
        <w:t xml:space="preserve">ravikuuri (s.o kuni 112 korda) ühe patsiendi kohta ning üksnes konsolideeriva ravi alguses </w:t>
      </w:r>
      <w:r w:rsidR="612CE23D" w:rsidRPr="11D40A57">
        <w:rPr>
          <w:rFonts w:eastAsia="Calibri"/>
        </w:rPr>
        <w:t>kombinatsioonis</w:t>
      </w:r>
      <w:r w:rsidR="23EF2737" w:rsidRPr="36F27A2C">
        <w:rPr>
          <w:rFonts w:eastAsia="Calibri"/>
        </w:rPr>
        <w:t xml:space="preserve"> keemiaraviga.</w:t>
      </w:r>
    </w:p>
    <w:p w14:paraId="39A55DFF" w14:textId="4781944D" w:rsidR="547A173A" w:rsidRPr="007C054E" w:rsidRDefault="547A173A" w:rsidP="547A173A">
      <w:pPr>
        <w:spacing w:after="0" w:line="240" w:lineRule="auto"/>
        <w:jc w:val="both"/>
        <w:rPr>
          <w:rFonts w:eastAsia="Calibri"/>
        </w:rPr>
      </w:pPr>
    </w:p>
    <w:p w14:paraId="523C4170" w14:textId="1C7A749E" w:rsidR="144ADFCD" w:rsidRPr="007C054E" w:rsidRDefault="144ADFCD" w:rsidP="1468EA62">
      <w:pPr>
        <w:spacing w:after="0" w:line="240" w:lineRule="auto"/>
        <w:jc w:val="both"/>
        <w:rPr>
          <w:color w:val="000000" w:themeColor="text1"/>
        </w:rPr>
      </w:pPr>
      <w:r w:rsidRPr="007C054E">
        <w:rPr>
          <w:rFonts w:eastAsia="Calibri"/>
        </w:rPr>
        <w:t>(</w:t>
      </w:r>
      <w:r w:rsidRPr="6EAFDDF9">
        <w:rPr>
          <w:rFonts w:eastAsia="Calibri"/>
        </w:rPr>
        <w:t>10</w:t>
      </w:r>
      <w:r w:rsidR="212B2127" w:rsidRPr="6EAFDDF9">
        <w:rPr>
          <w:rFonts w:eastAsia="Calibri"/>
        </w:rPr>
        <w:t>7</w:t>
      </w:r>
      <w:r w:rsidRPr="007C054E">
        <w:rPr>
          <w:rFonts w:eastAsia="Calibri"/>
        </w:rPr>
        <w:t xml:space="preserve">) </w:t>
      </w:r>
      <w:r w:rsidR="51F62922" w:rsidRPr="00DB4068">
        <w:rPr>
          <w:color w:val="000000" w:themeColor="text1"/>
        </w:rPr>
        <w:t xml:space="preserve">Tervisekassa võtab koodiga 452R tähistatud ravimiteenuse eest tasu maksmise kohustuse üle </w:t>
      </w:r>
      <w:r w:rsidR="004E669C">
        <w:rPr>
          <w:color w:val="000000" w:themeColor="text1"/>
        </w:rPr>
        <w:t>kaugelearenenud</w:t>
      </w:r>
      <w:r w:rsidR="51F62922" w:rsidRPr="00DB4068">
        <w:rPr>
          <w:color w:val="000000" w:themeColor="text1"/>
        </w:rPr>
        <w:t xml:space="preserve"> mitteväikerakk-kopsukasvajaga patsiendilt</w:t>
      </w:r>
      <w:r w:rsidR="00183BFA">
        <w:rPr>
          <w:color w:val="000000" w:themeColor="text1"/>
        </w:rPr>
        <w:t xml:space="preserve">, </w:t>
      </w:r>
      <w:r w:rsidR="00183BFA" w:rsidRPr="00DB4068">
        <w:rPr>
          <w:color w:val="000000" w:themeColor="text1"/>
        </w:rPr>
        <w:t>kui kasvaja ekspresseerib PD-L1 proportsiooni skooriga (TPS) ≥ 50% ja ei esine EGFR- ega ALK-positiivseid kasvaja mutatsioone</w:t>
      </w:r>
      <w:r w:rsidR="00183BFA">
        <w:rPr>
          <w:color w:val="000000" w:themeColor="text1"/>
        </w:rPr>
        <w:t>,</w:t>
      </w:r>
      <w:r w:rsidR="51F62922" w:rsidRPr="00DB4068">
        <w:rPr>
          <w:color w:val="000000" w:themeColor="text1"/>
        </w:rPr>
        <w:t xml:space="preserve"> esimese rea </w:t>
      </w:r>
      <w:r w:rsidR="00CD3A8E">
        <w:rPr>
          <w:color w:val="000000" w:themeColor="text1"/>
        </w:rPr>
        <w:t>raviks</w:t>
      </w:r>
      <w:r w:rsidR="51F62922" w:rsidRPr="00DB4068">
        <w:rPr>
          <w:color w:val="000000" w:themeColor="text1"/>
        </w:rPr>
        <w:t xml:space="preserve"> kombinatsioon</w:t>
      </w:r>
      <w:r w:rsidR="00CD3A8E">
        <w:rPr>
          <w:color w:val="000000" w:themeColor="text1"/>
        </w:rPr>
        <w:t>is kemoteraapiaga</w:t>
      </w:r>
      <w:r w:rsidR="00FB13FA">
        <w:rPr>
          <w:color w:val="000000" w:themeColor="text1"/>
        </w:rPr>
        <w:t>,</w:t>
      </w:r>
      <w:r w:rsidR="51F62922" w:rsidRPr="00DB4068">
        <w:rPr>
          <w:color w:val="000000" w:themeColor="text1"/>
        </w:rPr>
        <w:t xml:space="preserve"> kuni haiguse progresseerumiseni.</w:t>
      </w:r>
    </w:p>
    <w:p w14:paraId="612622F4" w14:textId="1F7A696D" w:rsidR="144ADFCD" w:rsidRPr="007C054E" w:rsidRDefault="144ADFCD" w:rsidP="547A173A">
      <w:pPr>
        <w:spacing w:after="0" w:line="240" w:lineRule="auto"/>
        <w:jc w:val="both"/>
        <w:rPr>
          <w:rFonts w:eastAsia="Calibri"/>
        </w:rPr>
      </w:pPr>
    </w:p>
    <w:p w14:paraId="08452359" w14:textId="22AEC746" w:rsidR="51F62922" w:rsidRPr="007C054E" w:rsidRDefault="51F62922" w:rsidP="439F2B93">
      <w:pPr>
        <w:spacing w:after="0" w:line="240" w:lineRule="auto"/>
        <w:jc w:val="both"/>
        <w:rPr>
          <w:color w:val="000000" w:themeColor="text1"/>
        </w:rPr>
      </w:pPr>
      <w:r w:rsidRPr="007C054E">
        <w:rPr>
          <w:rFonts w:eastAsia="Calibri"/>
        </w:rPr>
        <w:t>(</w:t>
      </w:r>
      <w:r w:rsidRPr="6EAFDDF9">
        <w:rPr>
          <w:rFonts w:eastAsia="Calibri"/>
        </w:rPr>
        <w:t>1</w:t>
      </w:r>
      <w:r w:rsidR="35178259" w:rsidRPr="6EAFDDF9">
        <w:rPr>
          <w:rFonts w:eastAsia="Calibri"/>
        </w:rPr>
        <w:t>0</w:t>
      </w:r>
      <w:r w:rsidR="5E06FE27" w:rsidRPr="6EAFDDF9">
        <w:rPr>
          <w:rFonts w:eastAsia="Calibri"/>
        </w:rPr>
        <w:t>8</w:t>
      </w:r>
      <w:r w:rsidRPr="007C054E">
        <w:rPr>
          <w:rFonts w:eastAsia="Calibri"/>
        </w:rPr>
        <w:t xml:space="preserve">) </w:t>
      </w:r>
      <w:r w:rsidRPr="00DB4068">
        <w:rPr>
          <w:color w:val="000000" w:themeColor="text1"/>
        </w:rPr>
        <w:t xml:space="preserve">Tervisekassa võtab koodiga 453R tähistatud ravimiteenuse eest tasu maksmise kohustuse üle </w:t>
      </w:r>
      <w:r w:rsidR="0018509B">
        <w:rPr>
          <w:color w:val="000000" w:themeColor="text1"/>
        </w:rPr>
        <w:t>kaugelearenenud</w:t>
      </w:r>
      <w:r w:rsidRPr="00DB4068">
        <w:rPr>
          <w:color w:val="000000" w:themeColor="text1"/>
        </w:rPr>
        <w:t xml:space="preserve"> mitteväikerakk-kopsukasvajaga patsiendilt</w:t>
      </w:r>
      <w:r w:rsidR="0018509B">
        <w:rPr>
          <w:color w:val="000000" w:themeColor="text1"/>
        </w:rPr>
        <w:t xml:space="preserve">, </w:t>
      </w:r>
      <w:r w:rsidR="0018509B" w:rsidRPr="00DB4068">
        <w:rPr>
          <w:color w:val="000000" w:themeColor="text1"/>
        </w:rPr>
        <w:t>kui kasvaja ekspresseerib PD-L1 proportsiooni skooriga (TPS) 1</w:t>
      </w:r>
      <w:r w:rsidR="007F3F8B">
        <w:rPr>
          <w:color w:val="000000" w:themeColor="text1"/>
        </w:rPr>
        <w:t>–</w:t>
      </w:r>
      <w:r w:rsidR="0018509B" w:rsidRPr="00DB4068">
        <w:rPr>
          <w:color w:val="000000" w:themeColor="text1"/>
        </w:rPr>
        <w:t>49% ja ei esine EGFR- ega ALK-positiivseid kasvaja mutatsioone</w:t>
      </w:r>
      <w:r w:rsidR="0018509B">
        <w:rPr>
          <w:color w:val="000000" w:themeColor="text1"/>
        </w:rPr>
        <w:t>,</w:t>
      </w:r>
      <w:r w:rsidRPr="00DB4068">
        <w:rPr>
          <w:color w:val="000000" w:themeColor="text1"/>
        </w:rPr>
        <w:t xml:space="preserve"> esimese rea raviks </w:t>
      </w:r>
      <w:r w:rsidR="0018509B">
        <w:rPr>
          <w:color w:val="000000" w:themeColor="text1"/>
        </w:rPr>
        <w:t>kombinatsioonis kemoteraapiaga,</w:t>
      </w:r>
      <w:r w:rsidRPr="00DB4068">
        <w:rPr>
          <w:color w:val="000000" w:themeColor="text1"/>
        </w:rPr>
        <w:t xml:space="preserve"> kuni haiguse progresseerumiseni.</w:t>
      </w:r>
    </w:p>
    <w:p w14:paraId="22646D28" w14:textId="5415751F" w:rsidR="439F2B93" w:rsidRPr="007C054E" w:rsidRDefault="439F2B93" w:rsidP="439F2B93">
      <w:pPr>
        <w:spacing w:after="0" w:line="240" w:lineRule="auto"/>
        <w:jc w:val="both"/>
        <w:rPr>
          <w:color w:val="000000" w:themeColor="text1"/>
        </w:rPr>
      </w:pPr>
    </w:p>
    <w:p w14:paraId="71663EE0" w14:textId="1A426437" w:rsidR="07A9EDC2" w:rsidRPr="00DB4068" w:rsidRDefault="07A9EDC2" w:rsidP="4C7A7205">
      <w:pPr>
        <w:spacing w:after="0" w:line="240" w:lineRule="auto"/>
        <w:jc w:val="both"/>
        <w:rPr>
          <w:color w:val="000000" w:themeColor="text1"/>
        </w:rPr>
      </w:pPr>
      <w:r w:rsidRPr="007C054E">
        <w:rPr>
          <w:color w:val="000000" w:themeColor="text1"/>
        </w:rPr>
        <w:t>(</w:t>
      </w:r>
      <w:r w:rsidRPr="491BF862">
        <w:rPr>
          <w:color w:val="000000" w:themeColor="text1"/>
        </w:rPr>
        <w:t>1</w:t>
      </w:r>
      <w:r w:rsidR="057D4171" w:rsidRPr="491BF862">
        <w:rPr>
          <w:color w:val="000000" w:themeColor="text1"/>
        </w:rPr>
        <w:t>09</w:t>
      </w:r>
      <w:r w:rsidRPr="007C054E">
        <w:rPr>
          <w:color w:val="000000" w:themeColor="text1"/>
        </w:rPr>
        <w:t xml:space="preserve">) </w:t>
      </w:r>
      <w:r w:rsidR="70615DC2" w:rsidRPr="007C054E">
        <w:rPr>
          <w:color w:val="000000" w:themeColor="text1"/>
        </w:rPr>
        <w:t xml:space="preserve">Tervisekassa võtab koodiga 448R tähistatud ravimiteenuse eest tasu maksmise kohustuse üle </w:t>
      </w:r>
      <w:r w:rsidR="70615DC2" w:rsidRPr="627E9822">
        <w:rPr>
          <w:color w:val="000000" w:themeColor="text1"/>
        </w:rPr>
        <w:t>metastaatili</w:t>
      </w:r>
      <w:r w:rsidR="5F7281D6" w:rsidRPr="627E9822">
        <w:rPr>
          <w:color w:val="000000" w:themeColor="text1"/>
        </w:rPr>
        <w:t>s</w:t>
      </w:r>
      <w:r w:rsidR="70615DC2" w:rsidRPr="627E9822">
        <w:rPr>
          <w:color w:val="000000" w:themeColor="text1"/>
        </w:rPr>
        <w:t xml:space="preserve">e </w:t>
      </w:r>
      <w:r w:rsidR="70615DC2" w:rsidRPr="74EBDC71">
        <w:rPr>
          <w:color w:val="000000" w:themeColor="text1"/>
        </w:rPr>
        <w:t>kolorektaal</w:t>
      </w:r>
      <w:r w:rsidR="3950B1C6" w:rsidRPr="74EBDC71">
        <w:rPr>
          <w:color w:val="000000" w:themeColor="text1"/>
        </w:rPr>
        <w:t>kasvajaga</w:t>
      </w:r>
      <w:r w:rsidR="2E5EEB39" w:rsidRPr="627E9822">
        <w:rPr>
          <w:color w:val="000000" w:themeColor="text1"/>
        </w:rPr>
        <w:t xml:space="preserve"> patsiendilt, </w:t>
      </w:r>
      <w:r w:rsidR="70615DC2" w:rsidRPr="007C054E">
        <w:rPr>
          <w:color w:val="000000" w:themeColor="text1"/>
        </w:rPr>
        <w:t xml:space="preserve">kellel on kindlaks määratud BRAF-V600E mutatsioon </w:t>
      </w:r>
      <w:r w:rsidR="000E66AF">
        <w:rPr>
          <w:color w:val="000000" w:themeColor="text1"/>
        </w:rPr>
        <w:t>ja</w:t>
      </w:r>
      <w:r w:rsidR="70615DC2" w:rsidRPr="007C054E">
        <w:rPr>
          <w:color w:val="000000" w:themeColor="text1"/>
        </w:rPr>
        <w:t xml:space="preserve"> kes on var</w:t>
      </w:r>
      <w:r w:rsidR="000E66AF">
        <w:rPr>
          <w:color w:val="000000" w:themeColor="text1"/>
        </w:rPr>
        <w:t>em</w:t>
      </w:r>
      <w:r w:rsidR="70615DC2" w:rsidRPr="007C054E">
        <w:rPr>
          <w:color w:val="000000" w:themeColor="text1"/>
        </w:rPr>
        <w:t xml:space="preserve"> saanud ühte süsteemset ravi.</w:t>
      </w:r>
    </w:p>
    <w:p w14:paraId="3FBF97F7" w14:textId="4DD8E112" w:rsidR="07A9EDC2" w:rsidRPr="007C054E" w:rsidRDefault="07A9EDC2" w:rsidP="4C7A7205">
      <w:pPr>
        <w:spacing w:after="0" w:line="240" w:lineRule="auto"/>
        <w:jc w:val="both"/>
        <w:rPr>
          <w:color w:val="000000" w:themeColor="text1"/>
        </w:rPr>
      </w:pPr>
    </w:p>
    <w:p w14:paraId="1F9DD9D0" w14:textId="12B3155E" w:rsidR="70615DC2" w:rsidRPr="00D30B8D" w:rsidRDefault="70615DC2" w:rsidP="0136CA55">
      <w:pPr>
        <w:spacing w:after="0" w:line="240" w:lineRule="auto"/>
        <w:jc w:val="both"/>
        <w:rPr>
          <w:color w:val="000000" w:themeColor="text1"/>
        </w:rPr>
      </w:pPr>
      <w:r w:rsidRPr="00D30B8D">
        <w:rPr>
          <w:color w:val="000000" w:themeColor="text1"/>
        </w:rPr>
        <w:t>(1</w:t>
      </w:r>
      <w:r w:rsidR="00C4135B" w:rsidRPr="00D30B8D">
        <w:rPr>
          <w:color w:val="000000" w:themeColor="text1"/>
        </w:rPr>
        <w:t>10</w:t>
      </w:r>
      <w:r w:rsidRPr="00D30B8D">
        <w:rPr>
          <w:color w:val="000000" w:themeColor="text1"/>
        </w:rPr>
        <w:t>) Koodiga 448R tähistatud ravimiteenust on lubatud kasutada kombinatsioonis soodusravimi enkorafeniibiga. Ravi jätkatakse kuni haiguse progresseerumiseni ja/või vastuvõetamatu toksilisuse tekkimiseni. Ravi lõpetamisel tsetuksimabiga tuleb lõpetada ka ravi enkorafeniibiga.</w:t>
      </w:r>
    </w:p>
    <w:p w14:paraId="38C16D2C" w14:textId="72865BC9" w:rsidR="0B8B52A0" w:rsidRPr="007C054E" w:rsidRDefault="0B8B52A0" w:rsidP="0B8B52A0">
      <w:pPr>
        <w:spacing w:after="0" w:line="240" w:lineRule="auto"/>
        <w:jc w:val="both"/>
        <w:rPr>
          <w:color w:val="000000" w:themeColor="text1"/>
        </w:rPr>
      </w:pPr>
    </w:p>
    <w:p w14:paraId="405D9125" w14:textId="2CC38E50" w:rsidR="0B8B52A0" w:rsidRDefault="70615DC2" w:rsidP="0B8B52A0">
      <w:pPr>
        <w:spacing w:after="0" w:line="240" w:lineRule="auto"/>
        <w:jc w:val="both"/>
        <w:rPr>
          <w:color w:val="000000" w:themeColor="text1"/>
        </w:rPr>
      </w:pPr>
      <w:r w:rsidRPr="00D30B8D">
        <w:rPr>
          <w:color w:val="000000" w:themeColor="text1"/>
        </w:rPr>
        <w:t>(11</w:t>
      </w:r>
      <w:r w:rsidR="37AA4795" w:rsidRPr="00D30B8D">
        <w:rPr>
          <w:color w:val="000000" w:themeColor="text1"/>
        </w:rPr>
        <w:t>1</w:t>
      </w:r>
      <w:r w:rsidRPr="00D30B8D">
        <w:rPr>
          <w:color w:val="000000" w:themeColor="text1"/>
        </w:rPr>
        <w:t xml:space="preserve">) Tervisekassa võtab koodiga 449R tähistatud ravimiteenuse eest tasu maksmise kohustuse üle retsidiveerunud või </w:t>
      </w:r>
      <w:r w:rsidR="007635DB" w:rsidRPr="00D30B8D">
        <w:rPr>
          <w:color w:val="000000" w:themeColor="text1"/>
        </w:rPr>
        <w:t>kaugele arenenud</w:t>
      </w:r>
      <w:r w:rsidRPr="00D30B8D">
        <w:rPr>
          <w:color w:val="000000" w:themeColor="text1"/>
        </w:rPr>
        <w:t xml:space="preserve"> endomeetriumikartsinoom</w:t>
      </w:r>
      <w:r w:rsidR="041E4E5A" w:rsidRPr="00D30B8D">
        <w:rPr>
          <w:color w:val="000000" w:themeColor="text1"/>
        </w:rPr>
        <w:t>iga</w:t>
      </w:r>
      <w:r w:rsidRPr="00D30B8D">
        <w:rPr>
          <w:color w:val="000000" w:themeColor="text1"/>
        </w:rPr>
        <w:t xml:space="preserve"> (välja arvatud kartsinosarkoom) </w:t>
      </w:r>
      <w:r w:rsidR="6B63E666" w:rsidRPr="00D30B8D">
        <w:rPr>
          <w:color w:val="000000" w:themeColor="text1"/>
        </w:rPr>
        <w:t>patsiendilt</w:t>
      </w:r>
      <w:r w:rsidR="051802DD" w:rsidRPr="00D30B8D">
        <w:rPr>
          <w:color w:val="000000" w:themeColor="text1"/>
        </w:rPr>
        <w:t>,</w:t>
      </w:r>
      <w:r w:rsidRPr="00D30B8D">
        <w:rPr>
          <w:color w:val="000000" w:themeColor="text1"/>
        </w:rPr>
        <w:t xml:space="preserve"> kes on süsteemse ravi kandidaat</w:t>
      </w:r>
      <w:r w:rsidR="65B37D96" w:rsidRPr="00D30B8D">
        <w:rPr>
          <w:color w:val="000000" w:themeColor="text1"/>
        </w:rPr>
        <w:t>, esimeses ravireas</w:t>
      </w:r>
      <w:r w:rsidRPr="00D30B8D">
        <w:rPr>
          <w:color w:val="000000" w:themeColor="text1"/>
        </w:rPr>
        <w:t xml:space="preserve">. </w:t>
      </w:r>
    </w:p>
    <w:p w14:paraId="6B4E8F51" w14:textId="77777777" w:rsidR="002B6C60" w:rsidRPr="007C054E" w:rsidRDefault="002B6C60" w:rsidP="0B8B52A0">
      <w:pPr>
        <w:spacing w:after="0" w:line="240" w:lineRule="auto"/>
        <w:jc w:val="both"/>
        <w:rPr>
          <w:color w:val="000000" w:themeColor="text1"/>
        </w:rPr>
      </w:pPr>
    </w:p>
    <w:p w14:paraId="48C006C1" w14:textId="5943BD07" w:rsidR="70615DC2" w:rsidRPr="007635DB" w:rsidRDefault="70615DC2" w:rsidP="0136CA55">
      <w:pPr>
        <w:spacing w:after="0" w:line="240" w:lineRule="auto"/>
        <w:jc w:val="both"/>
        <w:rPr>
          <w:color w:val="000000" w:themeColor="text1"/>
        </w:rPr>
      </w:pPr>
      <w:r w:rsidRPr="007635DB">
        <w:rPr>
          <w:color w:val="000000" w:themeColor="text1"/>
        </w:rPr>
        <w:t>(11</w:t>
      </w:r>
      <w:r w:rsidR="5B4A1DCC" w:rsidRPr="007635DB">
        <w:rPr>
          <w:color w:val="000000" w:themeColor="text1"/>
        </w:rPr>
        <w:t>2</w:t>
      </w:r>
      <w:r w:rsidRPr="007635DB">
        <w:rPr>
          <w:color w:val="000000" w:themeColor="text1"/>
        </w:rPr>
        <w:t xml:space="preserve">) Koodiga 449R tähistatud ravimiteenust on lubatud kasutada esimesed kuus ravikuuri koos koodiga 327R tähistatud ravimiteenusega. Edasi jätkub ravi koodiga 449R tähistatud ravimiteenusega monoteraapiana, mille raames võib kuuenädalase ravikuuri rakendamisel </w:t>
      </w:r>
      <w:r w:rsidRPr="007635DB">
        <w:rPr>
          <w:color w:val="000000" w:themeColor="text1"/>
        </w:rPr>
        <w:lastRenderedPageBreak/>
        <w:t>kodeerida koodiga 449R tähistatud ravimiteenust kaks</w:t>
      </w:r>
      <w:r w:rsidR="00EF4C66">
        <w:rPr>
          <w:color w:val="000000" w:themeColor="text1"/>
        </w:rPr>
        <w:t xml:space="preserve"> korda</w:t>
      </w:r>
      <w:r w:rsidRPr="007635DB">
        <w:rPr>
          <w:color w:val="000000" w:themeColor="text1"/>
        </w:rPr>
        <w:t>. Ravi jätkatakse kuni haiguse progresseerumiseni</w:t>
      </w:r>
      <w:r w:rsidR="047FBA1E" w:rsidRPr="007635DB">
        <w:rPr>
          <w:color w:val="000000" w:themeColor="text1"/>
        </w:rPr>
        <w:t xml:space="preserve"> ja/või</w:t>
      </w:r>
      <w:r w:rsidRPr="007635DB">
        <w:rPr>
          <w:color w:val="000000" w:themeColor="text1"/>
        </w:rPr>
        <w:t xml:space="preserve"> vastuvõetamatu toksilisuse tekkimiseni</w:t>
      </w:r>
      <w:r w:rsidR="6381B807" w:rsidRPr="007635DB">
        <w:rPr>
          <w:color w:val="000000" w:themeColor="text1"/>
        </w:rPr>
        <w:t>,</w:t>
      </w:r>
      <w:r w:rsidR="091144A6" w:rsidRPr="007635DB">
        <w:rPr>
          <w:color w:val="000000" w:themeColor="text1"/>
        </w:rPr>
        <w:t xml:space="preserve"> kuid</w:t>
      </w:r>
      <w:r w:rsidRPr="007635DB">
        <w:rPr>
          <w:color w:val="000000" w:themeColor="text1"/>
        </w:rPr>
        <w:t xml:space="preserve"> maksimaalselt kaks aastat</w:t>
      </w:r>
      <w:r w:rsidR="00834F65" w:rsidRPr="007635DB">
        <w:rPr>
          <w:color w:val="000000" w:themeColor="text1"/>
        </w:rPr>
        <w:t>.</w:t>
      </w:r>
    </w:p>
    <w:p w14:paraId="7213B623" w14:textId="67D27D82" w:rsidR="1B83E35A" w:rsidRPr="007635DB" w:rsidRDefault="1B83E35A" w:rsidP="1B83E35A">
      <w:pPr>
        <w:spacing w:after="0" w:line="240" w:lineRule="auto"/>
        <w:jc w:val="both"/>
        <w:rPr>
          <w:color w:val="000000" w:themeColor="text1"/>
        </w:rPr>
      </w:pPr>
    </w:p>
    <w:p w14:paraId="6798B713" w14:textId="5FCC8E9D" w:rsidR="003E40CB" w:rsidRDefault="7811109D" w:rsidP="36F27A2C">
      <w:pPr>
        <w:spacing w:after="0" w:line="240" w:lineRule="auto"/>
        <w:jc w:val="both"/>
      </w:pPr>
      <w:r w:rsidRPr="007635DB">
        <w:rPr>
          <w:color w:val="000000" w:themeColor="text1"/>
        </w:rPr>
        <w:t>(11</w:t>
      </w:r>
      <w:r w:rsidR="440003AE" w:rsidRPr="007635DB">
        <w:rPr>
          <w:color w:val="000000" w:themeColor="text1"/>
        </w:rPr>
        <w:t>3</w:t>
      </w:r>
      <w:r w:rsidRPr="007635DB">
        <w:rPr>
          <w:color w:val="000000" w:themeColor="text1"/>
        </w:rPr>
        <w:t xml:space="preserve">) </w:t>
      </w:r>
      <w:r w:rsidRPr="007635DB">
        <w:rPr>
          <w:color w:val="202020"/>
        </w:rPr>
        <w:t xml:space="preserve">Tervisekassa võtab koodiga 456R tähistatud ravimiteenuse eest tasu maksmise kohustuse üle </w:t>
      </w:r>
      <w:r w:rsidR="02CDF22A" w:rsidRPr="007635DB">
        <w:rPr>
          <w:color w:val="202020"/>
        </w:rPr>
        <w:t>kaugelearenenud</w:t>
      </w:r>
      <w:r w:rsidRPr="007635DB">
        <w:rPr>
          <w:color w:val="202020"/>
        </w:rPr>
        <w:t xml:space="preserve"> väikerakk-kopsuvähiga patsiendi esimese rea raviks koos kemoteraapiaga (</w:t>
      </w:r>
      <w:r w:rsidR="00C956FB" w:rsidRPr="007635DB">
        <w:rPr>
          <w:color w:val="202020"/>
        </w:rPr>
        <w:t xml:space="preserve">kood </w:t>
      </w:r>
      <w:r w:rsidRPr="007635DB">
        <w:rPr>
          <w:color w:val="202020"/>
        </w:rPr>
        <w:t>265R). Ravi koodidega 456R ja 265R tähistatud ravimiteenustega kestab kuni haiguse</w:t>
      </w:r>
      <w:r w:rsidRPr="6A7D974A">
        <w:rPr>
          <w:color w:val="202020"/>
        </w:rPr>
        <w:t xml:space="preserve"> progresseerumiseni.</w:t>
      </w:r>
    </w:p>
    <w:p w14:paraId="72A37994" w14:textId="128891F8" w:rsidR="3FC8F089" w:rsidRDefault="3FC8F089" w:rsidP="3FC8F089">
      <w:pPr>
        <w:spacing w:after="0" w:line="240" w:lineRule="auto"/>
        <w:jc w:val="both"/>
        <w:rPr>
          <w:color w:val="000000" w:themeColor="text1"/>
        </w:rPr>
      </w:pPr>
    </w:p>
    <w:p w14:paraId="0B21954E" w14:textId="441874D8" w:rsidR="7D7205B0" w:rsidRDefault="763F4A48" w:rsidP="2D106FFE">
      <w:pPr>
        <w:spacing w:after="0" w:line="240" w:lineRule="auto"/>
        <w:jc w:val="both"/>
        <w:rPr>
          <w:color w:val="000000" w:themeColor="text1"/>
        </w:rPr>
      </w:pPr>
      <w:r w:rsidRPr="2D106FFE">
        <w:rPr>
          <w:color w:val="000000" w:themeColor="text1"/>
        </w:rPr>
        <w:t>(</w:t>
      </w:r>
      <w:r w:rsidRPr="482686BF">
        <w:rPr>
          <w:color w:val="000000" w:themeColor="text1"/>
        </w:rPr>
        <w:t>11</w:t>
      </w:r>
      <w:r w:rsidR="4093085A" w:rsidRPr="482686BF">
        <w:rPr>
          <w:color w:val="000000" w:themeColor="text1"/>
        </w:rPr>
        <w:t>4</w:t>
      </w:r>
      <w:r w:rsidRPr="2D106FFE">
        <w:rPr>
          <w:color w:val="000000" w:themeColor="text1"/>
        </w:rPr>
        <w:t xml:space="preserve">) </w:t>
      </w:r>
      <w:r w:rsidR="3D43891A" w:rsidRPr="0F902D7A">
        <w:rPr>
          <w:color w:val="000000" w:themeColor="text1"/>
        </w:rPr>
        <w:t xml:space="preserve">Tervisekassa võtab koodiga 464R tähistatud ravimiteenuse eest tasu maksmise kohustuse üle patsiendilt, kellel esineb retsidiveerunud või metastaatiline emakakaelavähk </w:t>
      </w:r>
      <w:r w:rsidR="00EF4C66">
        <w:rPr>
          <w:color w:val="000000" w:themeColor="text1"/>
        </w:rPr>
        <w:t>ja</w:t>
      </w:r>
      <w:r w:rsidR="3D43891A" w:rsidRPr="0F902D7A">
        <w:rPr>
          <w:color w:val="000000" w:themeColor="text1"/>
        </w:rPr>
        <w:t xml:space="preserve"> kelle haigus on progresseerunud plaatinapõhise keemiaravi ajal või selle jär</w:t>
      </w:r>
      <w:r w:rsidR="00EF4C66">
        <w:rPr>
          <w:color w:val="000000" w:themeColor="text1"/>
        </w:rPr>
        <w:t>el</w:t>
      </w:r>
      <w:r w:rsidR="3D43891A" w:rsidRPr="0F902D7A">
        <w:rPr>
          <w:color w:val="000000" w:themeColor="text1"/>
        </w:rPr>
        <w:t xml:space="preserve"> (sõltumata PD-L1 ekspressiooni tasemest). Ravi jätkatakse kuni haiguse progresseerumiseni või vastuvõetamatu toksilisuse tekkeni.</w:t>
      </w:r>
    </w:p>
    <w:p w14:paraId="1A6FE6D7" w14:textId="595BD434" w:rsidR="7D7205B0" w:rsidRDefault="7D7205B0" w:rsidP="7D7205B0">
      <w:pPr>
        <w:spacing w:after="0" w:line="240" w:lineRule="auto"/>
        <w:jc w:val="both"/>
        <w:rPr>
          <w:color w:val="000000" w:themeColor="text1"/>
        </w:rPr>
      </w:pPr>
    </w:p>
    <w:p w14:paraId="6208AF82" w14:textId="31E2AA29" w:rsidR="763F4A48" w:rsidRDefault="763F4A48" w:rsidP="7D7205B0">
      <w:pPr>
        <w:spacing w:after="0" w:line="240" w:lineRule="auto"/>
        <w:jc w:val="both"/>
        <w:rPr>
          <w:color w:val="000000" w:themeColor="text1"/>
        </w:rPr>
      </w:pPr>
      <w:r w:rsidRPr="7D7205B0">
        <w:rPr>
          <w:color w:val="000000" w:themeColor="text1"/>
        </w:rPr>
        <w:t>(</w:t>
      </w:r>
      <w:r w:rsidRPr="52656020">
        <w:rPr>
          <w:color w:val="000000" w:themeColor="text1"/>
        </w:rPr>
        <w:t>11</w:t>
      </w:r>
      <w:r w:rsidR="3662C2BA" w:rsidRPr="52656020">
        <w:rPr>
          <w:color w:val="000000" w:themeColor="text1"/>
        </w:rPr>
        <w:t>5</w:t>
      </w:r>
      <w:r w:rsidRPr="7D7205B0">
        <w:rPr>
          <w:color w:val="000000" w:themeColor="text1"/>
        </w:rPr>
        <w:t xml:space="preserve">) </w:t>
      </w:r>
      <w:r w:rsidRPr="36CBB3CD">
        <w:rPr>
          <w:color w:val="000000" w:themeColor="text1"/>
        </w:rPr>
        <w:t>Koodiga 464R tähistatud ravim</w:t>
      </w:r>
      <w:r w:rsidR="00290008" w:rsidRPr="36CBB3CD">
        <w:rPr>
          <w:color w:val="000000" w:themeColor="text1"/>
        </w:rPr>
        <w:t>i</w:t>
      </w:r>
      <w:r w:rsidRPr="36CBB3CD">
        <w:rPr>
          <w:color w:val="000000" w:themeColor="text1"/>
        </w:rPr>
        <w:t>teenust ei ole lubatud kasutada patsiendil, kes on var</w:t>
      </w:r>
      <w:r w:rsidR="00EF4C66">
        <w:rPr>
          <w:color w:val="000000" w:themeColor="text1"/>
        </w:rPr>
        <w:t>em</w:t>
      </w:r>
      <w:r w:rsidRPr="36CBB3CD">
        <w:rPr>
          <w:color w:val="000000" w:themeColor="text1"/>
        </w:rPr>
        <w:t xml:space="preserve"> kasutanud </w:t>
      </w:r>
      <w:r w:rsidR="6A7C136B" w:rsidRPr="06999933">
        <w:rPr>
          <w:color w:val="000000" w:themeColor="text1"/>
        </w:rPr>
        <w:t>pembrolizumabi (kood</w:t>
      </w:r>
      <w:r w:rsidRPr="36CBB3CD">
        <w:rPr>
          <w:color w:val="000000" w:themeColor="text1"/>
        </w:rPr>
        <w:t xml:space="preserve"> 419R</w:t>
      </w:r>
      <w:r w:rsidR="09902356" w:rsidRPr="06999933">
        <w:rPr>
          <w:color w:val="000000" w:themeColor="text1"/>
        </w:rPr>
        <w:t>)</w:t>
      </w:r>
      <w:r w:rsidR="37E0D65A" w:rsidRPr="2D106FFE">
        <w:rPr>
          <w:color w:val="000000" w:themeColor="text1"/>
        </w:rPr>
        <w:t xml:space="preserve"> või </w:t>
      </w:r>
      <w:r w:rsidR="09869D60" w:rsidRPr="1D584479">
        <w:rPr>
          <w:color w:val="000000" w:themeColor="text1"/>
        </w:rPr>
        <w:t>mõnda</w:t>
      </w:r>
      <w:r w:rsidR="37E0D65A" w:rsidRPr="1D584479">
        <w:rPr>
          <w:color w:val="000000" w:themeColor="text1"/>
        </w:rPr>
        <w:t xml:space="preserve"> teis</w:t>
      </w:r>
      <w:r w:rsidR="2E39BE2B" w:rsidRPr="1D584479">
        <w:rPr>
          <w:color w:val="000000" w:themeColor="text1"/>
        </w:rPr>
        <w:t>t</w:t>
      </w:r>
      <w:r w:rsidR="37E0D65A" w:rsidRPr="2D106FFE">
        <w:rPr>
          <w:color w:val="000000" w:themeColor="text1"/>
        </w:rPr>
        <w:t xml:space="preserve"> PD-1</w:t>
      </w:r>
      <w:r w:rsidR="1A3680E1" w:rsidRPr="1D584479">
        <w:rPr>
          <w:color w:val="000000" w:themeColor="text1"/>
        </w:rPr>
        <w:t>/</w:t>
      </w:r>
      <w:r w:rsidR="37E0D65A" w:rsidRPr="2D106FFE">
        <w:rPr>
          <w:color w:val="000000" w:themeColor="text1"/>
        </w:rPr>
        <w:t xml:space="preserve">PD-L1 </w:t>
      </w:r>
      <w:r w:rsidR="37E0D65A" w:rsidRPr="1D584479">
        <w:rPr>
          <w:color w:val="000000" w:themeColor="text1"/>
        </w:rPr>
        <w:t>inhibiitori</w:t>
      </w:r>
      <w:r w:rsidR="365C9C9A" w:rsidRPr="1D584479">
        <w:rPr>
          <w:color w:val="000000" w:themeColor="text1"/>
        </w:rPr>
        <w:t>t</w:t>
      </w:r>
      <w:r w:rsidRPr="36CBB3CD">
        <w:rPr>
          <w:color w:val="000000" w:themeColor="text1"/>
        </w:rPr>
        <w:t>.</w:t>
      </w:r>
    </w:p>
    <w:p w14:paraId="5A0BD642" w14:textId="43008EA9" w:rsidR="5AE5E28B" w:rsidRDefault="5AE5E28B" w:rsidP="5AE5E28B">
      <w:pPr>
        <w:spacing w:after="0" w:line="240" w:lineRule="auto"/>
        <w:jc w:val="both"/>
        <w:rPr>
          <w:color w:val="000000" w:themeColor="text1"/>
        </w:rPr>
      </w:pPr>
    </w:p>
    <w:p w14:paraId="11646C15" w14:textId="01533215" w:rsidR="00C6320C" w:rsidRDefault="6B7FA09A" w:rsidP="150D8322">
      <w:pPr>
        <w:spacing w:after="0" w:line="240" w:lineRule="auto"/>
        <w:jc w:val="both"/>
        <w:rPr>
          <w:color w:val="000000" w:themeColor="text1"/>
        </w:rPr>
      </w:pPr>
      <w:r w:rsidRPr="150D8322">
        <w:rPr>
          <w:color w:val="000000" w:themeColor="text1"/>
        </w:rPr>
        <w:t>(</w:t>
      </w:r>
      <w:r w:rsidRPr="6DA17497">
        <w:rPr>
          <w:color w:val="000000" w:themeColor="text1"/>
        </w:rPr>
        <w:t>1</w:t>
      </w:r>
      <w:r w:rsidR="0E29973A" w:rsidRPr="6DA17497">
        <w:rPr>
          <w:color w:val="000000" w:themeColor="text1"/>
        </w:rPr>
        <w:t>1</w:t>
      </w:r>
      <w:r w:rsidR="1B446881" w:rsidRPr="6DA17497">
        <w:rPr>
          <w:color w:val="000000" w:themeColor="text1"/>
        </w:rPr>
        <w:t>6</w:t>
      </w:r>
      <w:r w:rsidRPr="150D8322">
        <w:rPr>
          <w:color w:val="000000" w:themeColor="text1"/>
        </w:rPr>
        <w:t xml:space="preserve">) Tervisekassa võtab koodiga 461R tähistatud ravimiteenuse eest tasu maksmise kohustuse üle retsidiveerunud </w:t>
      </w:r>
      <w:r w:rsidR="361DF88E" w:rsidRPr="150D8322">
        <w:rPr>
          <w:color w:val="000000" w:themeColor="text1"/>
        </w:rPr>
        <w:t>ja/</w:t>
      </w:r>
      <w:r w:rsidRPr="150D8322">
        <w:rPr>
          <w:color w:val="000000" w:themeColor="text1"/>
        </w:rPr>
        <w:t xml:space="preserve">või refraktaarse hulgimüeloomi raviks patsiendilt, kes on eelnevalt saanud vähemalt kolme </w:t>
      </w:r>
      <w:r w:rsidRPr="184C5A47">
        <w:rPr>
          <w:color w:val="000000" w:themeColor="text1"/>
        </w:rPr>
        <w:t>ravi</w:t>
      </w:r>
      <w:r w:rsidR="6EB9AB55" w:rsidRPr="184C5A47">
        <w:rPr>
          <w:color w:val="000000" w:themeColor="text1"/>
        </w:rPr>
        <w:t>rida</w:t>
      </w:r>
      <w:r w:rsidRPr="150D8322">
        <w:rPr>
          <w:color w:val="000000" w:themeColor="text1"/>
        </w:rPr>
        <w:t xml:space="preserve">, sealhulgas </w:t>
      </w:r>
      <w:r w:rsidR="75E0FFFE" w:rsidRPr="184C5A47">
        <w:rPr>
          <w:color w:val="000000" w:themeColor="text1"/>
        </w:rPr>
        <w:t>ravi</w:t>
      </w:r>
      <w:r w:rsidRPr="184C5A47">
        <w:rPr>
          <w:color w:val="000000" w:themeColor="text1"/>
        </w:rPr>
        <w:t xml:space="preserve"> </w:t>
      </w:r>
      <w:r w:rsidRPr="150D8322">
        <w:rPr>
          <w:color w:val="000000" w:themeColor="text1"/>
        </w:rPr>
        <w:t xml:space="preserve">immunomodulaatori, proteasoomi inhibiitori ja CD38-vastase antikehaga ning kelle haigus on pärast viimast ravi progresseerunud. Tervisekassa võtab tasu maksmise kohustuse üle tingimusel, et ravimit manustatakse vastavalt </w:t>
      </w:r>
      <w:r w:rsidR="10D77025" w:rsidRPr="3A68F661">
        <w:rPr>
          <w:color w:val="000000" w:themeColor="text1"/>
        </w:rPr>
        <w:t>29.</w:t>
      </w:r>
      <w:r w:rsidR="00E74E5D">
        <w:rPr>
          <w:color w:val="000000" w:themeColor="text1"/>
        </w:rPr>
        <w:t xml:space="preserve"> oktoobril </w:t>
      </w:r>
      <w:r w:rsidRPr="150D8322">
        <w:rPr>
          <w:color w:val="000000" w:themeColor="text1"/>
        </w:rPr>
        <w:t>2025</w:t>
      </w:r>
      <w:r w:rsidR="00E74E5D">
        <w:rPr>
          <w:color w:val="000000" w:themeColor="text1"/>
        </w:rPr>
        <w:t>. a</w:t>
      </w:r>
      <w:r w:rsidRPr="150D8322">
        <w:rPr>
          <w:color w:val="000000" w:themeColor="text1"/>
        </w:rPr>
        <w:t xml:space="preserve"> kehtestatud </w:t>
      </w:r>
      <w:r w:rsidR="002F5321">
        <w:rPr>
          <w:color w:val="000000" w:themeColor="text1"/>
        </w:rPr>
        <w:t>juhises</w:t>
      </w:r>
      <w:r w:rsidRPr="150D8322">
        <w:rPr>
          <w:color w:val="000000" w:themeColor="text1"/>
        </w:rPr>
        <w:t xml:space="preserve"> </w:t>
      </w:r>
      <w:r w:rsidR="00615B06" w:rsidRPr="00687DE8">
        <w:rPr>
          <w:szCs w:val="24"/>
        </w:rPr>
        <w:t>„</w:t>
      </w:r>
      <w:r w:rsidR="00615B06" w:rsidRPr="3A68F661">
        <w:rPr>
          <w:color w:val="000000" w:themeColor="text1"/>
        </w:rPr>
        <w:t>Eesti Hematoloogide Seltsi ravijuhis anti-BCMA T-raku ümbersuunajate rakendamiseks retsidiveerunud/refraktaarse hulgimüeloomi ravis</w:t>
      </w:r>
      <w:r w:rsidR="00615B06">
        <w:rPr>
          <w:color w:val="000000" w:themeColor="text1"/>
        </w:rPr>
        <w:t>“ esitatud</w:t>
      </w:r>
      <w:r w:rsidR="00615B06" w:rsidRPr="184C5A47">
        <w:rPr>
          <w:color w:val="000000" w:themeColor="text1"/>
        </w:rPr>
        <w:t xml:space="preserve"> raviskeemile</w:t>
      </w:r>
      <w:r w:rsidR="00615B06" w:rsidRPr="150D8322">
        <w:rPr>
          <w:color w:val="000000" w:themeColor="text1"/>
        </w:rPr>
        <w:t xml:space="preserve"> kuni haiguse progresseerumise või vastuvõetamatu toksilisuse tekkeni.</w:t>
      </w:r>
    </w:p>
    <w:p w14:paraId="1CA32B11" w14:textId="5D9262FA" w:rsidR="0D1002C1" w:rsidRDefault="0D1002C1" w:rsidP="0D1002C1">
      <w:pPr>
        <w:spacing w:after="0" w:line="240" w:lineRule="auto"/>
        <w:jc w:val="both"/>
        <w:rPr>
          <w:color w:val="000000" w:themeColor="text1"/>
        </w:rPr>
      </w:pPr>
    </w:p>
    <w:p w14:paraId="590FFE7B" w14:textId="4D003DAC" w:rsidR="5D70ACB3" w:rsidRDefault="5D70ACB3" w:rsidP="0D1002C1">
      <w:pPr>
        <w:spacing w:after="0"/>
        <w:jc w:val="both"/>
      </w:pPr>
      <w:r w:rsidRPr="7CC096B6">
        <w:rPr>
          <w:color w:val="000000" w:themeColor="text1"/>
        </w:rPr>
        <w:t xml:space="preserve">(117) </w:t>
      </w:r>
      <w:r w:rsidR="005A4004">
        <w:t>Koodiga 296R tähistatud ravimiteenust võib raviarvel kodeerida iksasomiibi kasutamisel üks kord iga nelja nädala järel kokku kuni üheksal korral täiskasvanud patsiendile retsidiveerunud ja/või refraktaarse hulgimüeloomi (C90.0) raviks kasutamis</w:t>
      </w:r>
      <w:r w:rsidR="3E1F9192">
        <w:t>e</w:t>
      </w:r>
      <w:r w:rsidR="005A4004">
        <w:t>l kombinatsioonis lenalidomiidi ja deksametasooniga.</w:t>
      </w:r>
    </w:p>
    <w:p w14:paraId="39991BFA" w14:textId="3E5D7C5A" w:rsidR="5D70ACB3" w:rsidRDefault="5D70ACB3" w:rsidP="0D1002C1">
      <w:pPr>
        <w:spacing w:after="0"/>
        <w:jc w:val="both"/>
      </w:pPr>
    </w:p>
    <w:p w14:paraId="6CBAB57A" w14:textId="2A119140" w:rsidR="5D70ACB3" w:rsidRPr="00040412" w:rsidRDefault="5D919FCF" w:rsidP="16F7883E">
      <w:pPr>
        <w:spacing w:after="0"/>
        <w:jc w:val="both"/>
        <w:rPr>
          <w:color w:val="000000" w:themeColor="text1"/>
        </w:rPr>
      </w:pPr>
      <w:r>
        <w:t xml:space="preserve">(118) </w:t>
      </w:r>
      <w:r w:rsidRPr="16F7883E">
        <w:rPr>
          <w:color w:val="202020"/>
        </w:rPr>
        <w:t xml:space="preserve">Tervisekassa võtab koodiga 454R </w:t>
      </w:r>
      <w:r w:rsidRPr="00040412">
        <w:rPr>
          <w:color w:val="000000" w:themeColor="text1"/>
        </w:rPr>
        <w:t xml:space="preserve">tähistatud ravimiteenuse eest tasu maksmise kohustuse üle </w:t>
      </w:r>
      <w:r w:rsidR="7A353D26" w:rsidRPr="2717BCAB">
        <w:rPr>
          <w:color w:val="000000" w:themeColor="text1"/>
        </w:rPr>
        <w:t>kaugelearenenud</w:t>
      </w:r>
      <w:r w:rsidRPr="00040412">
        <w:rPr>
          <w:color w:val="000000" w:themeColor="text1"/>
        </w:rPr>
        <w:t xml:space="preserve"> mitteväikerakk-kopsukasvajaga patsiendilt esimese rea monoraviks</w:t>
      </w:r>
      <w:r w:rsidR="08ED45B0" w:rsidRPr="00040412">
        <w:rPr>
          <w:color w:val="000000" w:themeColor="text1"/>
        </w:rPr>
        <w:t xml:space="preserve"> kuni haiguse progresseerumiseni</w:t>
      </w:r>
      <w:r w:rsidRPr="00040412">
        <w:rPr>
          <w:color w:val="000000" w:themeColor="text1"/>
        </w:rPr>
        <w:t>, kui kasvaja ekspresseerib PD-L1 proportsiooni skooriga (TPS) ≥ 50% ja ei esine EGFR- ega ALK-positiivseid kasvaja mutatsioone</w:t>
      </w:r>
      <w:r w:rsidR="590ADCBF" w:rsidRPr="00040412">
        <w:rPr>
          <w:color w:val="000000" w:themeColor="text1"/>
        </w:rPr>
        <w:t>.</w:t>
      </w:r>
    </w:p>
    <w:p w14:paraId="4B1D8F6B" w14:textId="145FCBEA" w:rsidR="5D70ACB3" w:rsidRDefault="5D70ACB3" w:rsidP="4E831E41">
      <w:pPr>
        <w:spacing w:after="0"/>
        <w:jc w:val="both"/>
      </w:pPr>
    </w:p>
    <w:p w14:paraId="43AF3371" w14:textId="21B9E59D" w:rsidR="06C96B28" w:rsidRDefault="5D919FCF" w:rsidP="726764FF">
      <w:pPr>
        <w:spacing w:after="0"/>
        <w:jc w:val="both"/>
      </w:pPr>
      <w:r>
        <w:t xml:space="preserve">(119) </w:t>
      </w:r>
      <w:r w:rsidRPr="16F7883E">
        <w:rPr>
          <w:color w:val="202020"/>
        </w:rPr>
        <w:t xml:space="preserve">Tervisekassa võtab koodiga 455R tähistatud ravimiteenuse eest tasu maksmise kohustuse üle </w:t>
      </w:r>
      <w:r w:rsidR="7CC114BF">
        <w:t>kaugelearenenud</w:t>
      </w:r>
      <w:r w:rsidRPr="16F7883E">
        <w:rPr>
          <w:color w:val="202020"/>
        </w:rPr>
        <w:t xml:space="preserve"> </w:t>
      </w:r>
      <w:r w:rsidRPr="00040412">
        <w:rPr>
          <w:color w:val="000000" w:themeColor="text1"/>
        </w:rPr>
        <w:t xml:space="preserve">mitteväikerakk-kopsukasvajaga patsiendilt esimese rea kombinatsioonraviks </w:t>
      </w:r>
      <w:r w:rsidRPr="16F7883E">
        <w:rPr>
          <w:color w:val="202020"/>
        </w:rPr>
        <w:t>kopsukasvajate kemoteraapiaga (kood 265R)</w:t>
      </w:r>
      <w:r w:rsidR="0D544463" w:rsidRPr="16F7883E">
        <w:rPr>
          <w:color w:val="202020"/>
        </w:rPr>
        <w:t xml:space="preserve"> kuni haiguse progresseerumiseni</w:t>
      </w:r>
      <w:r w:rsidRPr="16F7883E">
        <w:rPr>
          <w:color w:val="202020"/>
        </w:rPr>
        <w:t>, kui kasvaja ekspresseerib PD-L1 proportsiooni skooriga (TPS) 1–49% ja ei esine EGFR- ega ALK-positiivseid kasvaja mutatsioone</w:t>
      </w:r>
      <w:r w:rsidR="09CE8313" w:rsidRPr="16F7883E">
        <w:rPr>
          <w:color w:val="202020"/>
        </w:rPr>
        <w:t>.</w:t>
      </w:r>
    </w:p>
    <w:p w14:paraId="65943703" w14:textId="799EE1B2" w:rsidR="006E7F34" w:rsidRPr="00687DE8" w:rsidRDefault="006E7F34" w:rsidP="005B1F24">
      <w:pPr>
        <w:pStyle w:val="Normaallaadveeb"/>
        <w:spacing w:before="0" w:after="0" w:afterAutospacing="0"/>
        <w:jc w:val="both"/>
        <w:divId w:val="1316184749"/>
      </w:pPr>
    </w:p>
    <w:p w14:paraId="5BF8370B" w14:textId="77777777" w:rsidR="00976487" w:rsidRDefault="5C52CFD9" w:rsidP="5C52CFD9">
      <w:pPr>
        <w:pStyle w:val="Pealkiri3"/>
        <w:spacing w:before="0" w:after="0" w:afterAutospacing="0"/>
        <w:jc w:val="both"/>
        <w:divId w:val="1316184749"/>
        <w:rPr>
          <w:sz w:val="24"/>
          <w:szCs w:val="24"/>
        </w:rPr>
      </w:pPr>
      <w:r w:rsidRPr="00687DE8">
        <w:rPr>
          <w:rStyle w:val="Tugev"/>
          <w:b/>
          <w:bCs/>
          <w:sz w:val="24"/>
          <w:szCs w:val="24"/>
        </w:rPr>
        <w:t xml:space="preserve">§ 64. </w:t>
      </w:r>
      <w:r w:rsidRPr="00687DE8">
        <w:rPr>
          <w:sz w:val="24"/>
          <w:szCs w:val="24"/>
        </w:rPr>
        <w:t>Tervishoiuteenuste osutamisel kasutatavad harvaesinevate haiguste ravimiteenused</w:t>
      </w:r>
    </w:p>
    <w:p w14:paraId="7DA7CD84" w14:textId="77777777" w:rsidR="001B326D" w:rsidRDefault="001B326D" w:rsidP="00976487">
      <w:pPr>
        <w:pStyle w:val="Normaallaadveeb"/>
        <w:spacing w:before="0" w:after="0" w:afterAutospacing="0"/>
        <w:jc w:val="both"/>
        <w:divId w:val="1316184749"/>
      </w:pPr>
    </w:p>
    <w:p w14:paraId="5C648E2B" w14:textId="2653F341" w:rsidR="00976487" w:rsidRPr="00687DE8" w:rsidRDefault="00976487" w:rsidP="00976487">
      <w:pPr>
        <w:pStyle w:val="Normaallaadveeb"/>
        <w:spacing w:before="0" w:after="0" w:afterAutospacing="0"/>
        <w:jc w:val="both"/>
        <w:divId w:val="1316184749"/>
      </w:pPr>
      <w:r w:rsidRPr="00687DE8">
        <w:t>(1) Tervishoiuteenuse osutamisel kasutatavate harvaesinevate haiguste ravimiteenuste piirhinnad on järgmised:</w:t>
      </w:r>
    </w:p>
    <w:p w14:paraId="18AEDF84" w14:textId="77777777" w:rsidR="00976487" w:rsidRPr="00687DE8" w:rsidRDefault="00976487" w:rsidP="00976487">
      <w:pPr>
        <w:pStyle w:val="Normaallaadveeb"/>
        <w:spacing w:before="0" w:after="0" w:afterAutospacing="0"/>
        <w:jc w:val="both"/>
        <w:divId w:val="13161847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3"/>
        <w:gridCol w:w="1098"/>
        <w:gridCol w:w="1814"/>
      </w:tblGrid>
      <w:tr w:rsidR="00976487" w:rsidRPr="00687DE8" w14:paraId="713AFA70" w14:textId="77777777" w:rsidTr="4536FD26">
        <w:trPr>
          <w:divId w:val="1316184749"/>
          <w:tblHeader/>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C180E8" w14:textId="77777777" w:rsidR="00976487" w:rsidRPr="00687DE8" w:rsidRDefault="00976487">
            <w:pPr>
              <w:pStyle w:val="Normaallaadveeb"/>
              <w:spacing w:before="0" w:after="0" w:afterAutospacing="0" w:line="256" w:lineRule="auto"/>
              <w:jc w:val="center"/>
            </w:pPr>
            <w:r w:rsidRPr="00687DE8">
              <w:rPr>
                <w:b/>
                <w:bCs/>
              </w:rPr>
              <w:lastRenderedPageBreak/>
              <w:t>Ravimi nimetus</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7AEF5E" w14:textId="77777777" w:rsidR="00976487" w:rsidRPr="00687DE8" w:rsidRDefault="00976487">
            <w:pPr>
              <w:pStyle w:val="Normaallaadveeb"/>
              <w:spacing w:before="0" w:after="0" w:afterAutospacing="0" w:line="256" w:lineRule="auto"/>
              <w:jc w:val="center"/>
            </w:pPr>
            <w:r w:rsidRPr="00687DE8">
              <w:rPr>
                <w:b/>
                <w:bCs/>
              </w:rPr>
              <w:t>Kood</w:t>
            </w:r>
          </w:p>
        </w:tc>
        <w:tc>
          <w:tcPr>
            <w:tcW w:w="18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3DADA1" w14:textId="77777777" w:rsidR="00976487" w:rsidRPr="00687DE8" w:rsidRDefault="00976487">
            <w:pPr>
              <w:pStyle w:val="Normaallaadveeb"/>
              <w:tabs>
                <w:tab w:val="decimal" w:pos="635"/>
              </w:tabs>
              <w:spacing w:before="0" w:after="0" w:afterAutospacing="0" w:line="256" w:lineRule="auto"/>
              <w:jc w:val="center"/>
            </w:pPr>
            <w:r w:rsidRPr="00687DE8">
              <w:rPr>
                <w:b/>
                <w:bCs/>
              </w:rPr>
              <w:t>Piirhind</w:t>
            </w:r>
            <w:r w:rsidRPr="00687DE8">
              <w:rPr>
                <w:b/>
                <w:bCs/>
              </w:rPr>
              <w:br/>
              <w:t>eurodes</w:t>
            </w:r>
          </w:p>
        </w:tc>
      </w:tr>
      <w:tr w:rsidR="00976487" w:rsidRPr="00687DE8" w14:paraId="0B8D268F" w14:textId="77777777" w:rsidTr="4536FD26">
        <w:trPr>
          <w:divId w:val="1316184749"/>
          <w:trHeight w:val="300"/>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A68BC0" w14:textId="77777777" w:rsidR="00976487" w:rsidRPr="00687DE8" w:rsidRDefault="00976487" w:rsidP="00DA1B34">
            <w:pPr>
              <w:pStyle w:val="Normaallaadveeb"/>
              <w:spacing w:before="0" w:after="0" w:afterAutospacing="0"/>
            </w:pPr>
            <w:r w:rsidRPr="00687DE8">
              <w:t>Gaucher’ tõve 1. tüübi ensüümasendusravi 1 TÜ või miglustaatravi 4,78</w:t>
            </w:r>
            <w:r w:rsidR="000D733F" w:rsidRPr="00687DE8">
              <w:t> </w:t>
            </w:r>
            <w:r w:rsidRPr="00687DE8">
              <w:t>mg</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4C48B3" w14:textId="77777777" w:rsidR="00976487" w:rsidRPr="00687DE8" w:rsidRDefault="00976487" w:rsidP="00DA1B34">
            <w:pPr>
              <w:pStyle w:val="Normaallaadveeb"/>
              <w:spacing w:before="0" w:after="0" w:afterAutospacing="0"/>
              <w:jc w:val="center"/>
            </w:pPr>
          </w:p>
          <w:p w14:paraId="478DCFEC" w14:textId="77777777" w:rsidR="00976487" w:rsidRPr="00687DE8" w:rsidRDefault="00976487" w:rsidP="00DA1B34">
            <w:pPr>
              <w:pStyle w:val="Normaallaadveeb"/>
              <w:spacing w:before="0" w:after="0" w:afterAutospacing="0"/>
              <w:jc w:val="center"/>
            </w:pPr>
            <w:r w:rsidRPr="00687DE8">
              <w:t>332R</w:t>
            </w:r>
          </w:p>
        </w:tc>
        <w:tc>
          <w:tcPr>
            <w:tcW w:w="18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0AAB77" w14:textId="4D07E52A" w:rsidR="08939131" w:rsidRPr="00687DE8" w:rsidRDefault="00B12654">
            <w:pPr>
              <w:spacing w:after="0"/>
              <w:jc w:val="center"/>
              <w:rPr>
                <w:color w:val="000000" w:themeColor="text1"/>
                <w:szCs w:val="24"/>
              </w:rPr>
            </w:pPr>
            <w:r>
              <w:rPr>
                <w:color w:val="000000"/>
              </w:rPr>
              <w:t>3,97</w:t>
            </w:r>
          </w:p>
        </w:tc>
      </w:tr>
      <w:tr w:rsidR="00976487" w:rsidRPr="00687DE8" w14:paraId="26D13119" w14:textId="77777777" w:rsidTr="4536FD26">
        <w:trPr>
          <w:divId w:val="1316184749"/>
          <w:trHeight w:val="300"/>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0CE3BD" w14:textId="77777777" w:rsidR="00976487" w:rsidRPr="00687DE8" w:rsidRDefault="00976487" w:rsidP="00DA1B34">
            <w:pPr>
              <w:pStyle w:val="Normaallaadveeb"/>
              <w:spacing w:before="0" w:after="0" w:afterAutospacing="0"/>
            </w:pPr>
            <w:r w:rsidRPr="00687DE8">
              <w:rPr>
                <w:color w:val="000000" w:themeColor="text1"/>
                <w:lang w:val="sv-SE"/>
              </w:rPr>
              <w:t>Gaucher’ tõve ravi eliglustaadiga, 84 mg</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898E72" w14:textId="77777777" w:rsidR="00976487" w:rsidRPr="00687DE8" w:rsidRDefault="00976487" w:rsidP="00DA1B34">
            <w:pPr>
              <w:pStyle w:val="Normaallaadveeb"/>
              <w:spacing w:before="0" w:after="0" w:afterAutospacing="0"/>
              <w:jc w:val="center"/>
            </w:pPr>
            <w:r w:rsidRPr="00687DE8">
              <w:t>251R</w:t>
            </w:r>
          </w:p>
        </w:tc>
        <w:tc>
          <w:tcPr>
            <w:tcW w:w="18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3D5445" w14:textId="42EF6B14" w:rsidR="08939131" w:rsidRPr="00687DE8" w:rsidRDefault="00B12654">
            <w:pPr>
              <w:spacing w:after="0"/>
              <w:jc w:val="center"/>
              <w:rPr>
                <w:color w:val="000000" w:themeColor="text1"/>
                <w:szCs w:val="24"/>
              </w:rPr>
            </w:pPr>
            <w:r>
              <w:rPr>
                <w:color w:val="000000"/>
              </w:rPr>
              <w:t>365,53</w:t>
            </w:r>
          </w:p>
        </w:tc>
      </w:tr>
      <w:tr w:rsidR="00976487" w:rsidRPr="00687DE8" w14:paraId="66165ABC" w14:textId="77777777" w:rsidTr="4536FD26">
        <w:trPr>
          <w:divId w:val="1316184749"/>
          <w:trHeight w:val="300"/>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55641F" w14:textId="2520207F" w:rsidR="00976487" w:rsidRPr="00687DE8" w:rsidRDefault="00976487" w:rsidP="00DA1B34">
            <w:pPr>
              <w:pStyle w:val="Normaallaadveeb"/>
              <w:spacing w:before="0" w:after="0" w:afterAutospacing="0"/>
            </w:pPr>
            <w:r w:rsidRPr="00687DE8">
              <w:t>Fabry tõve ensüümasendusravi toimeainetega agalsidase beeta 1 mg või agalsidase alfa 0,2 mg</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EEE382" w14:textId="77777777" w:rsidR="00154985" w:rsidRPr="00687DE8" w:rsidRDefault="00154985" w:rsidP="00DA1B34">
            <w:pPr>
              <w:pStyle w:val="Normaallaadveeb"/>
              <w:spacing w:before="0" w:after="0" w:afterAutospacing="0"/>
              <w:jc w:val="center"/>
            </w:pPr>
          </w:p>
          <w:p w14:paraId="479AE1CB" w14:textId="77777777" w:rsidR="00976487" w:rsidRPr="00687DE8" w:rsidRDefault="00976487" w:rsidP="00DA1B34">
            <w:pPr>
              <w:pStyle w:val="Normaallaadveeb"/>
              <w:spacing w:before="0" w:after="0" w:afterAutospacing="0"/>
              <w:jc w:val="center"/>
            </w:pPr>
            <w:r w:rsidRPr="00687DE8">
              <w:t>335R</w:t>
            </w:r>
          </w:p>
        </w:tc>
        <w:tc>
          <w:tcPr>
            <w:tcW w:w="18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CADC2A" w14:textId="6CFA6CE3" w:rsidR="08939131" w:rsidRPr="00687DE8" w:rsidRDefault="00B12654">
            <w:pPr>
              <w:spacing w:after="0"/>
              <w:jc w:val="center"/>
              <w:rPr>
                <w:color w:val="000000" w:themeColor="text1"/>
                <w:szCs w:val="24"/>
              </w:rPr>
            </w:pPr>
            <w:r>
              <w:rPr>
                <w:color w:val="000000"/>
              </w:rPr>
              <w:t>109,40</w:t>
            </w:r>
          </w:p>
        </w:tc>
      </w:tr>
      <w:tr w:rsidR="0003307B" w:rsidRPr="00687DE8" w14:paraId="7F070ABE" w14:textId="77777777" w:rsidTr="4536FD26">
        <w:trPr>
          <w:divId w:val="1316184749"/>
          <w:trHeight w:val="300"/>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42AE4C" w14:textId="085911C2" w:rsidR="00D5723E" w:rsidRPr="00687DE8" w:rsidRDefault="00820692" w:rsidP="00DA1B34">
            <w:pPr>
              <w:pStyle w:val="Normaallaadveeb"/>
              <w:spacing w:before="0" w:after="0" w:afterAutospacing="0"/>
            </w:pPr>
            <w:r w:rsidRPr="00687DE8">
              <w:t>Fabry tõve ensüümasendusravi toimeaine</w:t>
            </w:r>
            <w:r>
              <w:t>ga</w:t>
            </w:r>
            <w:r w:rsidRPr="00687DE8">
              <w:t xml:space="preserve"> a</w:t>
            </w:r>
            <w:r>
              <w:t>lfapegunigalsidaas</w:t>
            </w:r>
            <w:r w:rsidR="00D735FD">
              <w:t>,</w:t>
            </w:r>
            <w:r w:rsidRPr="00687DE8">
              <w:t xml:space="preserve"> 1 mg</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145428" w14:textId="77777777" w:rsidR="00893BA3" w:rsidRDefault="00893BA3" w:rsidP="00DA1B34">
            <w:pPr>
              <w:pStyle w:val="Normaallaadveeb"/>
              <w:spacing w:before="0" w:after="0" w:afterAutospacing="0"/>
              <w:jc w:val="center"/>
            </w:pPr>
          </w:p>
          <w:p w14:paraId="4E257818" w14:textId="15AC9672" w:rsidR="00820692" w:rsidRPr="00687DE8" w:rsidRDefault="00820692" w:rsidP="00DA1B34">
            <w:pPr>
              <w:pStyle w:val="Normaallaadveeb"/>
              <w:spacing w:before="0" w:after="0" w:afterAutospacing="0"/>
              <w:jc w:val="center"/>
            </w:pPr>
            <w:r>
              <w:t>428R</w:t>
            </w:r>
          </w:p>
        </w:tc>
        <w:tc>
          <w:tcPr>
            <w:tcW w:w="18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E7D0C6F" w14:textId="5E302AF0" w:rsidR="00820692" w:rsidRPr="00687DE8" w:rsidRDefault="00B12654">
            <w:pPr>
              <w:spacing w:after="0"/>
              <w:jc w:val="center"/>
              <w:rPr>
                <w:color w:val="000000" w:themeColor="text1"/>
                <w:szCs w:val="24"/>
              </w:rPr>
            </w:pPr>
            <w:r>
              <w:rPr>
                <w:color w:val="000000"/>
              </w:rPr>
              <w:t>103,35</w:t>
            </w:r>
          </w:p>
        </w:tc>
      </w:tr>
      <w:tr w:rsidR="00976487" w:rsidRPr="00687DE8" w14:paraId="47DE2481" w14:textId="77777777" w:rsidTr="4536FD26">
        <w:trPr>
          <w:divId w:val="1316184749"/>
          <w:trHeight w:val="300"/>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A3B897" w14:textId="77777777" w:rsidR="00976487" w:rsidRPr="00687DE8" w:rsidRDefault="00976487" w:rsidP="00DA1B34">
            <w:pPr>
              <w:pStyle w:val="Normaallaadveeb"/>
              <w:spacing w:before="0" w:after="0" w:afterAutospacing="0"/>
            </w:pPr>
            <w:r w:rsidRPr="00687DE8">
              <w:t>Pompe tõve ensüümasendusravi alglükosidaas alfaga, 50 mg</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ED279C" w14:textId="77777777" w:rsidR="00976487" w:rsidRPr="00687DE8" w:rsidRDefault="00976487" w:rsidP="00DA1B34">
            <w:pPr>
              <w:pStyle w:val="Normaallaadveeb"/>
              <w:spacing w:before="0" w:after="0" w:afterAutospacing="0"/>
              <w:jc w:val="center"/>
            </w:pPr>
            <w:r w:rsidRPr="00687DE8">
              <w:t>239R</w:t>
            </w:r>
          </w:p>
        </w:tc>
        <w:tc>
          <w:tcPr>
            <w:tcW w:w="18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1F6C9B" w14:textId="78EC175F" w:rsidR="08939131" w:rsidRPr="00687DE8" w:rsidRDefault="00B12654">
            <w:pPr>
              <w:spacing w:after="0"/>
              <w:jc w:val="center"/>
              <w:rPr>
                <w:color w:val="000000" w:themeColor="text1"/>
                <w:szCs w:val="24"/>
              </w:rPr>
            </w:pPr>
            <w:r>
              <w:rPr>
                <w:color w:val="000000"/>
              </w:rPr>
              <w:t>468,37</w:t>
            </w:r>
          </w:p>
        </w:tc>
      </w:tr>
      <w:tr w:rsidR="00976487" w:rsidRPr="00687DE8" w14:paraId="7C3DB94C" w14:textId="77777777" w:rsidTr="4536FD26">
        <w:trPr>
          <w:divId w:val="1316184749"/>
          <w:trHeight w:val="300"/>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2B3CDC" w14:textId="0D10D5CD" w:rsidR="00976487" w:rsidRPr="00687DE8" w:rsidRDefault="00976487" w:rsidP="00DA1B34">
            <w:pPr>
              <w:pStyle w:val="Normaallaadveeb"/>
              <w:spacing w:before="0" w:after="0" w:afterAutospacing="0"/>
            </w:pPr>
            <w:r w:rsidRPr="00687DE8">
              <w:t xml:space="preserve">Paroksüsmaalse öise hemoglobinuuria ravi </w:t>
            </w:r>
            <w:r w:rsidR="16451CEE">
              <w:t>ekulizumabiga</w:t>
            </w:r>
            <w:r w:rsidR="009A3A4B" w:rsidRPr="00687DE8">
              <w:t>, 300 mg</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1CD328" w14:textId="77777777" w:rsidR="00893BA3" w:rsidRDefault="00893BA3" w:rsidP="00DA1B34">
            <w:pPr>
              <w:pStyle w:val="Normaallaadveeb"/>
              <w:spacing w:before="0" w:after="0" w:afterAutospacing="0"/>
              <w:jc w:val="center"/>
            </w:pPr>
          </w:p>
          <w:p w14:paraId="05CA8F27" w14:textId="10A431F2" w:rsidR="00976487" w:rsidRPr="00687DE8" w:rsidRDefault="00976487" w:rsidP="00DA1B34">
            <w:pPr>
              <w:pStyle w:val="Normaallaadveeb"/>
              <w:spacing w:before="0" w:after="0" w:afterAutospacing="0"/>
              <w:jc w:val="center"/>
            </w:pPr>
            <w:r w:rsidRPr="00687DE8">
              <w:t>396R</w:t>
            </w:r>
          </w:p>
        </w:tc>
        <w:tc>
          <w:tcPr>
            <w:tcW w:w="18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4CD027" w14:textId="14497DB8" w:rsidR="08939131" w:rsidRPr="00687DE8" w:rsidRDefault="00B12654">
            <w:pPr>
              <w:spacing w:after="0"/>
              <w:jc w:val="center"/>
              <w:rPr>
                <w:color w:val="000000" w:themeColor="text1"/>
              </w:rPr>
            </w:pPr>
            <w:r>
              <w:rPr>
                <w:color w:val="000000"/>
              </w:rPr>
              <w:t>2 426,72</w:t>
            </w:r>
          </w:p>
        </w:tc>
      </w:tr>
      <w:tr w:rsidR="18C4F513" w14:paraId="1365B9D4" w14:textId="77777777" w:rsidTr="4536FD26">
        <w:trPr>
          <w:divId w:val="1316184749"/>
          <w:trHeight w:val="529"/>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577419" w14:textId="28928C4E" w:rsidR="2369AAE3" w:rsidRDefault="2369AAE3" w:rsidP="18C4F513">
            <w:pPr>
              <w:pStyle w:val="Normaallaadveeb"/>
            </w:pPr>
            <w:r>
              <w:t>Paroksüsmaalse öise hemoglobinuuria ravi ravulizumabiga, 300 mg</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5D82FB" w14:textId="0373A3C0" w:rsidR="18C4F513" w:rsidRDefault="19DFB875" w:rsidP="00850BD7">
            <w:pPr>
              <w:pStyle w:val="Normaallaadveeb"/>
              <w:jc w:val="center"/>
            </w:pPr>
            <w:r>
              <w:t>465</w:t>
            </w:r>
            <w:r w:rsidR="702FD9A5">
              <w:t>R</w:t>
            </w:r>
          </w:p>
        </w:tc>
        <w:tc>
          <w:tcPr>
            <w:tcW w:w="18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442AF8" w14:textId="70FF4149" w:rsidR="18C4F513" w:rsidRDefault="6FA2677E" w:rsidP="00850BD7">
            <w:pPr>
              <w:pStyle w:val="Normaallaadveeb"/>
              <w:jc w:val="center"/>
              <w:rPr>
                <w:color w:val="000000" w:themeColor="text1"/>
              </w:rPr>
            </w:pPr>
            <w:r w:rsidRPr="26F7D996">
              <w:rPr>
                <w:color w:val="000000" w:themeColor="text1"/>
              </w:rPr>
              <w:t>3 190,86</w:t>
            </w:r>
          </w:p>
        </w:tc>
      </w:tr>
      <w:tr w:rsidR="3FD97FA3" w14:paraId="3F49136A" w14:textId="77777777" w:rsidTr="4536FD26">
        <w:trPr>
          <w:divId w:val="1316184749"/>
          <w:trHeight w:val="529"/>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668128" w14:textId="14C03E45" w:rsidR="3FD97FA3" w:rsidRDefault="26CD6A9E" w:rsidP="00850BD7">
            <w:pPr>
              <w:pStyle w:val="Normaallaadveeb"/>
            </w:pPr>
            <w:r>
              <w:t xml:space="preserve">Paroksüsmaalse öise hemoglobinuuria kombinatsioonravi ravulizumabiga, 300 mg  </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2290E8" w14:textId="780F74A3" w:rsidR="3FD97FA3" w:rsidRDefault="5806874B" w:rsidP="00850BD7">
            <w:pPr>
              <w:pStyle w:val="Normaallaadveeb"/>
              <w:jc w:val="center"/>
            </w:pPr>
            <w:r>
              <w:t>466</w:t>
            </w:r>
            <w:r w:rsidR="26CD6A9E">
              <w:t>R</w:t>
            </w:r>
          </w:p>
        </w:tc>
        <w:tc>
          <w:tcPr>
            <w:tcW w:w="18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B6BF65" w14:textId="07226280" w:rsidR="3FD97FA3" w:rsidRDefault="26CD6A9E" w:rsidP="00850BD7">
            <w:pPr>
              <w:pStyle w:val="Normaallaadveeb"/>
              <w:jc w:val="center"/>
              <w:rPr>
                <w:color w:val="000000" w:themeColor="text1"/>
              </w:rPr>
            </w:pPr>
            <w:r w:rsidRPr="3A528D23">
              <w:rPr>
                <w:color w:val="000000" w:themeColor="text1"/>
              </w:rPr>
              <w:t>3 190,86</w:t>
            </w:r>
          </w:p>
        </w:tc>
      </w:tr>
      <w:tr w:rsidR="36BD4BF8" w:rsidRPr="00687DE8" w14:paraId="099DD80F" w14:textId="77777777" w:rsidTr="00EB7A71">
        <w:trPr>
          <w:divId w:val="1316184749"/>
          <w:trHeight w:val="529"/>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C9D3CA" w14:textId="634081A0" w:rsidR="36BD4BF8" w:rsidRPr="00687DE8" w:rsidRDefault="3A7C783B" w:rsidP="00DA1B34">
            <w:pPr>
              <w:pStyle w:val="Normaallaadveeb"/>
              <w:spacing w:before="0" w:after="0" w:afterAutospacing="0"/>
            </w:pPr>
            <w:r w:rsidRPr="00687DE8">
              <w:t>Paroksüsmaalse öise hemoglobinuuria ravi pegtsetakoplaaniga, üks viaal (1080 mg)</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3ECDB6" w14:textId="6E3E7339" w:rsidR="36BD4BF8" w:rsidRPr="00687DE8" w:rsidRDefault="3A7C783B" w:rsidP="00DA1B34">
            <w:pPr>
              <w:pStyle w:val="Normaallaadveeb"/>
              <w:jc w:val="center"/>
            </w:pPr>
            <w:r w:rsidRPr="00687DE8">
              <w:t>421R</w:t>
            </w:r>
          </w:p>
        </w:tc>
        <w:tc>
          <w:tcPr>
            <w:tcW w:w="18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4A12E7" w14:textId="6268A607" w:rsidR="36BD4BF8" w:rsidRPr="00687DE8" w:rsidRDefault="009174D5" w:rsidP="00DA1B34">
            <w:pPr>
              <w:pStyle w:val="Normaallaadveeb"/>
              <w:jc w:val="center"/>
            </w:pPr>
            <w:r>
              <w:rPr>
                <w:color w:val="000000"/>
              </w:rPr>
              <w:t>3 260,62</w:t>
            </w:r>
          </w:p>
        </w:tc>
      </w:tr>
      <w:tr w:rsidR="00976487" w:rsidRPr="00687DE8" w14:paraId="6491EC0F" w14:textId="77777777" w:rsidTr="4536FD26">
        <w:trPr>
          <w:divId w:val="1316184749"/>
          <w:trHeight w:val="300"/>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FA90DE" w14:textId="594704E3" w:rsidR="00976487" w:rsidRPr="00687DE8" w:rsidRDefault="00976487" w:rsidP="00DA1B34">
            <w:pPr>
              <w:pStyle w:val="Normaallaadveeb"/>
              <w:spacing w:before="0" w:after="0" w:afterAutospacing="0"/>
            </w:pPr>
            <w:r w:rsidRPr="00687DE8">
              <w:t xml:space="preserve">Kõrgriski neuroblastoomi ravi beetadinutuksimabiga, </w:t>
            </w:r>
            <w:r w:rsidR="009378D9" w:rsidRPr="00687DE8">
              <w:t>üks</w:t>
            </w:r>
            <w:r w:rsidRPr="00687DE8">
              <w:t xml:space="preserve"> viaal (20</w:t>
            </w:r>
            <w:r w:rsidR="004029FB">
              <w:t> </w:t>
            </w:r>
            <w:r w:rsidRPr="00687DE8">
              <w:t>mg)</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1A9C07" w14:textId="77777777" w:rsidR="00893BA3" w:rsidRDefault="00893BA3" w:rsidP="00DA1B34">
            <w:pPr>
              <w:pStyle w:val="Normaallaadveeb"/>
              <w:spacing w:before="0" w:after="0" w:afterAutospacing="0"/>
              <w:jc w:val="center"/>
            </w:pPr>
          </w:p>
          <w:p w14:paraId="35948305" w14:textId="0650E981" w:rsidR="00976487" w:rsidRPr="00687DE8" w:rsidRDefault="00976487" w:rsidP="00DA1B34">
            <w:pPr>
              <w:pStyle w:val="Normaallaadveeb"/>
              <w:spacing w:before="0" w:after="0" w:afterAutospacing="0"/>
              <w:jc w:val="center"/>
            </w:pPr>
            <w:r w:rsidRPr="00687DE8">
              <w:t>398R</w:t>
            </w:r>
          </w:p>
        </w:tc>
        <w:tc>
          <w:tcPr>
            <w:tcW w:w="18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295B56" w14:textId="63B63E7F" w:rsidR="33952A82" w:rsidRPr="00687DE8" w:rsidRDefault="009174D5">
            <w:pPr>
              <w:spacing w:after="0"/>
              <w:jc w:val="center"/>
              <w:rPr>
                <w:color w:val="000000" w:themeColor="text1"/>
                <w:szCs w:val="24"/>
              </w:rPr>
            </w:pPr>
            <w:r>
              <w:rPr>
                <w:color w:val="000000"/>
              </w:rPr>
              <w:t>9 662,19</w:t>
            </w:r>
          </w:p>
        </w:tc>
      </w:tr>
      <w:tr w:rsidR="00976487" w:rsidRPr="00687DE8" w14:paraId="7D80ADA4" w14:textId="77777777" w:rsidTr="4536FD26">
        <w:trPr>
          <w:divId w:val="1316184749"/>
          <w:trHeight w:val="300"/>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19E399" w14:textId="04434F9F" w:rsidR="00976487" w:rsidRPr="00687DE8" w:rsidRDefault="00976487" w:rsidP="00DA1B34">
            <w:pPr>
              <w:pStyle w:val="Normaallaadveeb"/>
              <w:spacing w:before="0" w:after="0" w:afterAutospacing="0"/>
            </w:pPr>
            <w:r w:rsidRPr="00687DE8">
              <w:t xml:space="preserve">Atüüpilise hemolüütilis-ureemilise sündroomi (aHUS) ravi </w:t>
            </w:r>
            <w:r w:rsidR="26DECC9C">
              <w:t>ekulizumabiga</w:t>
            </w:r>
            <w:r w:rsidR="009A3A4B" w:rsidRPr="00687DE8">
              <w:t>, 300 mg</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3D50DA" w14:textId="77777777" w:rsidR="00976487" w:rsidRPr="00687DE8" w:rsidRDefault="00976487" w:rsidP="00DA1B34">
            <w:pPr>
              <w:pStyle w:val="Normaallaadveeb"/>
              <w:spacing w:before="0" w:after="0" w:afterAutospacing="0"/>
              <w:jc w:val="center"/>
            </w:pPr>
          </w:p>
          <w:p w14:paraId="4C53A717" w14:textId="77777777" w:rsidR="00976487" w:rsidRPr="00687DE8" w:rsidRDefault="00976487" w:rsidP="00DA1B34">
            <w:pPr>
              <w:pStyle w:val="Normaallaadveeb"/>
              <w:spacing w:before="0" w:after="0" w:afterAutospacing="0"/>
              <w:jc w:val="center"/>
            </w:pPr>
            <w:r w:rsidRPr="00687DE8">
              <w:t>260R</w:t>
            </w:r>
          </w:p>
        </w:tc>
        <w:tc>
          <w:tcPr>
            <w:tcW w:w="18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E9FD11C" w14:textId="618873D0" w:rsidR="33952A82" w:rsidRPr="00687DE8" w:rsidRDefault="009174D5">
            <w:pPr>
              <w:spacing w:after="0"/>
              <w:jc w:val="center"/>
              <w:rPr>
                <w:color w:val="000000" w:themeColor="text1"/>
              </w:rPr>
            </w:pPr>
            <w:r>
              <w:rPr>
                <w:color w:val="000000"/>
              </w:rPr>
              <w:t>2 426,72</w:t>
            </w:r>
          </w:p>
        </w:tc>
      </w:tr>
      <w:tr w:rsidR="1CAB5DC9" w14:paraId="6B6880DA" w14:textId="77777777" w:rsidTr="4536FD26">
        <w:trPr>
          <w:divId w:val="1316184749"/>
          <w:trHeight w:val="300"/>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ABBCEB" w14:textId="3715BD18" w:rsidR="5E1DAA4C" w:rsidRDefault="5E1DAA4C" w:rsidP="00850BD7">
            <w:pPr>
              <w:pStyle w:val="Normaallaadveeb"/>
            </w:pPr>
            <w:r>
              <w:t xml:space="preserve">Atüüpilise hemolüütilis-ureemilise sündroomi (aHUS) ravi </w:t>
            </w:r>
            <w:r w:rsidR="17991EAC">
              <w:t>ravulizumab</w:t>
            </w:r>
            <w:r>
              <w:t xml:space="preserve">iga, 300 mg  </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2C89AE" w14:textId="47FD2482" w:rsidR="1CAB5DC9" w:rsidRDefault="76B4BBD7" w:rsidP="00850BD7">
            <w:pPr>
              <w:pStyle w:val="Normaallaadveeb"/>
              <w:jc w:val="center"/>
            </w:pPr>
            <w:r>
              <w:t>467</w:t>
            </w:r>
            <w:r w:rsidR="054084A7">
              <w:t>R</w:t>
            </w:r>
          </w:p>
        </w:tc>
        <w:tc>
          <w:tcPr>
            <w:tcW w:w="18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CABAA61" w14:textId="77777777" w:rsidR="003D07C2" w:rsidRDefault="003D07C2" w:rsidP="003D07C2">
            <w:pPr>
              <w:jc w:val="center"/>
              <w:rPr>
                <w:color w:val="000000"/>
              </w:rPr>
            </w:pPr>
            <w:r>
              <w:rPr>
                <w:color w:val="000000"/>
              </w:rPr>
              <w:t>3 190,86</w:t>
            </w:r>
          </w:p>
          <w:p w14:paraId="504639FF" w14:textId="4ACFDF0F" w:rsidR="1CAB5DC9" w:rsidRDefault="1CAB5DC9" w:rsidP="1CAB5DC9">
            <w:pPr>
              <w:jc w:val="center"/>
              <w:rPr>
                <w:color w:val="000000" w:themeColor="text1"/>
              </w:rPr>
            </w:pPr>
          </w:p>
        </w:tc>
      </w:tr>
      <w:tr w:rsidR="00E1367F" w:rsidRPr="00687DE8" w14:paraId="070AF89E" w14:textId="77777777" w:rsidTr="00EB7A71">
        <w:trPr>
          <w:divId w:val="1316184749"/>
          <w:trHeight w:val="300"/>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9259F9" w14:textId="77777777" w:rsidR="00E1367F" w:rsidRPr="00687DE8" w:rsidRDefault="00580DFF" w:rsidP="00DA1B34">
            <w:pPr>
              <w:pStyle w:val="Normaallaadveeb"/>
              <w:spacing w:before="0" w:after="0" w:afterAutospacing="0"/>
            </w:pPr>
            <w:r w:rsidRPr="00687DE8">
              <w:t xml:space="preserve">X-liitelise </w:t>
            </w:r>
            <w:r w:rsidR="00D97734" w:rsidRPr="00687DE8">
              <w:t>hüpofosfateemia ravi burosumabiga</w:t>
            </w:r>
            <w:r w:rsidR="00E2792F" w:rsidRPr="00687DE8">
              <w:t xml:space="preserve">, </w:t>
            </w:r>
            <w:r w:rsidR="003815C6" w:rsidRPr="00687DE8">
              <w:t>10 mg</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9286CA" w14:textId="77777777" w:rsidR="00E1367F" w:rsidRPr="00687DE8" w:rsidRDefault="00E2792F" w:rsidP="00DA1B34">
            <w:pPr>
              <w:pStyle w:val="Normaallaadveeb"/>
              <w:spacing w:before="0" w:after="0" w:afterAutospacing="0"/>
              <w:jc w:val="center"/>
            </w:pPr>
            <w:r w:rsidRPr="00687DE8">
              <w:t>269R</w:t>
            </w:r>
          </w:p>
        </w:tc>
        <w:tc>
          <w:tcPr>
            <w:tcW w:w="18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ADCF89" w14:textId="23AD1CE4" w:rsidR="33952A82" w:rsidRPr="00687DE8" w:rsidRDefault="00877CAF">
            <w:pPr>
              <w:spacing w:after="0"/>
              <w:jc w:val="center"/>
              <w:rPr>
                <w:color w:val="000000" w:themeColor="text1"/>
                <w:szCs w:val="24"/>
              </w:rPr>
            </w:pPr>
            <w:r>
              <w:rPr>
                <w:color w:val="000000"/>
              </w:rPr>
              <w:t>3 699,53</w:t>
            </w:r>
          </w:p>
        </w:tc>
      </w:tr>
      <w:tr w:rsidR="77317C52" w:rsidRPr="00687DE8" w14:paraId="44603444" w14:textId="77777777" w:rsidTr="4536FD26">
        <w:trPr>
          <w:divId w:val="1316184749"/>
          <w:trHeight w:val="334"/>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F06C5D" w14:textId="77777777" w:rsidR="0E2F1E77" w:rsidRPr="00687DE8" w:rsidRDefault="528ED7C5" w:rsidP="00DA1B34">
            <w:pPr>
              <w:pStyle w:val="Normaallaadveeb"/>
              <w:spacing w:before="0" w:after="0" w:afterAutospacing="0"/>
            </w:pPr>
            <w:r w:rsidRPr="00687DE8">
              <w:t>Alfa-mannosidoosi ravi alfavelmanaasiga, 10</w:t>
            </w:r>
            <w:r w:rsidR="00D32193" w:rsidRPr="00687DE8">
              <w:t xml:space="preserve"> </w:t>
            </w:r>
            <w:r w:rsidRPr="00687DE8">
              <w:t>mg</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79FC26" w14:textId="77777777" w:rsidR="77317C52" w:rsidRPr="00687DE8" w:rsidRDefault="528ED7C5" w:rsidP="00DA1B34">
            <w:pPr>
              <w:pStyle w:val="Normaallaadveeb"/>
              <w:jc w:val="center"/>
            </w:pPr>
            <w:r w:rsidRPr="00687DE8">
              <w:t>274R</w:t>
            </w:r>
          </w:p>
        </w:tc>
        <w:tc>
          <w:tcPr>
            <w:tcW w:w="18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CFDEF9E" w14:textId="433A1385" w:rsidR="33952A82" w:rsidRPr="00687DE8" w:rsidRDefault="00877CAF">
            <w:pPr>
              <w:spacing w:after="0"/>
              <w:jc w:val="center"/>
              <w:rPr>
                <w:color w:val="000000" w:themeColor="text1"/>
                <w:szCs w:val="24"/>
              </w:rPr>
            </w:pPr>
            <w:r>
              <w:rPr>
                <w:color w:val="000000"/>
              </w:rPr>
              <w:t>956,57</w:t>
            </w:r>
          </w:p>
        </w:tc>
      </w:tr>
      <w:tr w:rsidR="6212A508" w:rsidRPr="00687DE8" w14:paraId="6120068C" w14:textId="77777777" w:rsidTr="4536FD26">
        <w:trPr>
          <w:divId w:val="1316184749"/>
          <w:trHeight w:val="316"/>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40B53A" w14:textId="6E7E68A1" w:rsidR="6212A508" w:rsidRPr="00687DE8" w:rsidRDefault="339D8E28" w:rsidP="00DA1B34">
            <w:pPr>
              <w:pStyle w:val="Normaallaadveeb"/>
              <w:spacing w:before="0" w:after="0" w:afterAutospacing="0"/>
            </w:pPr>
            <w:r w:rsidRPr="00687DE8">
              <w:t>Mukopolüsahharidoosi VI alavormi pikaajaline ensüümasendusravi toimeainega galsulfaas, üks viaal</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DE0469" w14:textId="4238BE39" w:rsidR="6212A508" w:rsidRPr="00687DE8" w:rsidRDefault="339D8E28" w:rsidP="00DA1B34">
            <w:pPr>
              <w:spacing w:line="240" w:lineRule="auto"/>
              <w:jc w:val="center"/>
              <w:rPr>
                <w:szCs w:val="24"/>
              </w:rPr>
            </w:pPr>
            <w:r w:rsidRPr="00687DE8">
              <w:rPr>
                <w:szCs w:val="24"/>
              </w:rPr>
              <w:t>417R</w:t>
            </w:r>
          </w:p>
        </w:tc>
        <w:tc>
          <w:tcPr>
            <w:tcW w:w="18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D2C823B" w14:textId="260BB41A" w:rsidR="6212A508" w:rsidRPr="00687DE8" w:rsidRDefault="00877CAF" w:rsidP="00DA1B34">
            <w:pPr>
              <w:spacing w:line="240" w:lineRule="auto"/>
              <w:jc w:val="center"/>
              <w:rPr>
                <w:szCs w:val="24"/>
              </w:rPr>
            </w:pPr>
            <w:r>
              <w:rPr>
                <w:color w:val="000000"/>
              </w:rPr>
              <w:t>1 559,81</w:t>
            </w:r>
          </w:p>
        </w:tc>
      </w:tr>
      <w:tr w:rsidR="00E95848" w:rsidRPr="00687DE8" w14:paraId="6F70799A" w14:textId="77777777" w:rsidTr="4536FD26">
        <w:trPr>
          <w:divId w:val="1316184749"/>
          <w:trHeight w:val="316"/>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5B86D6" w14:textId="74D8426C" w:rsidR="00AC5D3B" w:rsidRPr="00687DE8" w:rsidRDefault="795C4703" w:rsidP="00AC5D3B">
            <w:pPr>
              <w:pStyle w:val="Normaallaadveeb"/>
              <w:spacing w:before="0" w:after="0" w:afterAutospacing="0"/>
            </w:pPr>
            <w:r>
              <w:t>H</w:t>
            </w:r>
            <w:r w:rsidR="00AC5D3B">
              <w:t>üpofosfataasia ravi alfaasfotaasiga, 1 mg</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50BA7A" w14:textId="25ABFA8E" w:rsidR="00AC5D3B" w:rsidRPr="00687DE8" w:rsidRDefault="00AC5D3B" w:rsidP="00AC5D3B">
            <w:pPr>
              <w:spacing w:line="240" w:lineRule="auto"/>
              <w:jc w:val="center"/>
              <w:rPr>
                <w:szCs w:val="24"/>
              </w:rPr>
            </w:pPr>
            <w:r w:rsidRPr="00B14DB8">
              <w:rPr>
                <w:szCs w:val="24"/>
              </w:rPr>
              <w:t>429R</w:t>
            </w:r>
          </w:p>
        </w:tc>
        <w:tc>
          <w:tcPr>
            <w:tcW w:w="18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F0EA22C" w14:textId="2A091AAB" w:rsidR="00AC5D3B" w:rsidRPr="00687DE8" w:rsidRDefault="00877CAF" w:rsidP="00AC5D3B">
            <w:pPr>
              <w:spacing w:line="240" w:lineRule="auto"/>
              <w:jc w:val="center"/>
              <w:rPr>
                <w:szCs w:val="24"/>
              </w:rPr>
            </w:pPr>
            <w:r>
              <w:rPr>
                <w:color w:val="000000"/>
              </w:rPr>
              <w:t>33,81</w:t>
            </w:r>
          </w:p>
        </w:tc>
      </w:tr>
      <w:tr w:rsidR="00E95848" w:rsidRPr="00687DE8" w14:paraId="117CF36D" w14:textId="77777777" w:rsidTr="4536FD26">
        <w:trPr>
          <w:divId w:val="1316184749"/>
          <w:trHeight w:val="316"/>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72862D" w14:textId="49CA1ABA" w:rsidR="00074EEC" w:rsidRPr="00687DE8" w:rsidRDefault="0058262F" w:rsidP="26C39F17">
            <w:pPr>
              <w:pStyle w:val="Normaallaadveeb"/>
              <w:spacing w:before="0" w:after="0" w:afterAutospacing="0"/>
            </w:pPr>
            <w:r>
              <w:t>Ägeda maksaporfüüria ravi givosiraaniga, üks annus</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9228D1" w14:textId="17A41887" w:rsidR="00074EEC" w:rsidRPr="00687DE8" w:rsidRDefault="0058262F" w:rsidP="00DA1B34">
            <w:pPr>
              <w:spacing w:line="240" w:lineRule="auto"/>
              <w:jc w:val="center"/>
            </w:pPr>
            <w:r>
              <w:t>430R</w:t>
            </w:r>
          </w:p>
        </w:tc>
        <w:tc>
          <w:tcPr>
            <w:tcW w:w="18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F34A3CE" w14:textId="3A50E811" w:rsidR="00074EEC" w:rsidRPr="00687DE8" w:rsidRDefault="00877CAF" w:rsidP="26C39F17">
            <w:pPr>
              <w:spacing w:line="240" w:lineRule="auto"/>
              <w:jc w:val="center"/>
              <w:rPr>
                <w:color w:val="000000" w:themeColor="text1"/>
              </w:rPr>
            </w:pPr>
            <w:r>
              <w:rPr>
                <w:color w:val="000000"/>
              </w:rPr>
              <w:t>37 906,94</w:t>
            </w:r>
          </w:p>
        </w:tc>
      </w:tr>
      <w:tr w:rsidR="4536FD26" w14:paraId="3AD4B95B" w14:textId="77777777" w:rsidTr="4536FD26">
        <w:trPr>
          <w:divId w:val="1316184749"/>
          <w:trHeight w:val="316"/>
        </w:trPr>
        <w:tc>
          <w:tcPr>
            <w:tcW w:w="6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1F4C0B" w14:textId="6A49F20B" w:rsidR="7FC3EB77" w:rsidRDefault="7FC3EB77" w:rsidP="00EB7A71">
            <w:pPr>
              <w:pStyle w:val="Normaallaadveeb"/>
            </w:pPr>
            <w:r>
              <w:t>Nägemisnärvi neuromüeliidi spektri häire ravi ravulizumabiga</w:t>
            </w:r>
            <w:r w:rsidR="4FB2F70C">
              <w:t xml:space="preserve">, </w:t>
            </w:r>
            <w:r w:rsidR="6BB1C072">
              <w:t>300</w:t>
            </w:r>
            <w:r w:rsidR="409F8D26">
              <w:t xml:space="preserve"> </w:t>
            </w:r>
            <w:r w:rsidR="6BB1C072">
              <w:t>mg</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E35730" w14:textId="666429F0" w:rsidR="35F3ABFF" w:rsidRDefault="35F3ABFF" w:rsidP="4536FD26">
            <w:pPr>
              <w:spacing w:line="240" w:lineRule="auto"/>
              <w:jc w:val="center"/>
            </w:pPr>
            <w:r>
              <w:t>447</w:t>
            </w:r>
            <w:r w:rsidR="4FB2F70C">
              <w:t>R</w:t>
            </w:r>
          </w:p>
        </w:tc>
        <w:tc>
          <w:tcPr>
            <w:tcW w:w="18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11B3FCB" w14:textId="05CF5A65" w:rsidR="4FB2F70C" w:rsidRDefault="4FB2F70C" w:rsidP="4536FD26">
            <w:pPr>
              <w:jc w:val="center"/>
              <w:rPr>
                <w:color w:val="000000" w:themeColor="text1"/>
              </w:rPr>
            </w:pPr>
            <w:r w:rsidRPr="4536FD26">
              <w:rPr>
                <w:color w:val="000000" w:themeColor="text1"/>
              </w:rPr>
              <w:t>3 190,86</w:t>
            </w:r>
          </w:p>
          <w:p w14:paraId="45862782" w14:textId="4E45ADB5" w:rsidR="4536FD26" w:rsidRDefault="4536FD26" w:rsidP="4536FD26">
            <w:pPr>
              <w:spacing w:line="240" w:lineRule="auto"/>
              <w:jc w:val="center"/>
              <w:rPr>
                <w:color w:val="000000" w:themeColor="text1"/>
              </w:rPr>
            </w:pPr>
          </w:p>
        </w:tc>
      </w:tr>
    </w:tbl>
    <w:p w14:paraId="39C1EB05" w14:textId="52491E15" w:rsidR="00976487" w:rsidRPr="00687DE8" w:rsidRDefault="00976487" w:rsidP="552877F3">
      <w:pPr>
        <w:pStyle w:val="Normaallaadveeb"/>
        <w:spacing w:before="0" w:after="0" w:afterAutospacing="0"/>
        <w:jc w:val="both"/>
        <w:divId w:val="1316184749"/>
      </w:pPr>
    </w:p>
    <w:p w14:paraId="5F62023F" w14:textId="77777777" w:rsidR="00976487" w:rsidRPr="00687DE8" w:rsidRDefault="00976487" w:rsidP="00976487">
      <w:pPr>
        <w:pStyle w:val="Normaallaadveeb"/>
        <w:spacing w:before="0" w:after="0" w:afterAutospacing="0"/>
        <w:jc w:val="both"/>
        <w:divId w:val="1316184749"/>
      </w:pPr>
      <w:r w:rsidRPr="00687DE8">
        <w:t xml:space="preserve">(2) </w:t>
      </w:r>
      <w:r w:rsidR="00BB3D26" w:rsidRPr="00687DE8">
        <w:t>L</w:t>
      </w:r>
      <w:r w:rsidRPr="00687DE8">
        <w:t>õikes 1 sätestatud ravimiteenuste piirhinnad ei sisaldu voodipäeva piirhinnas.</w:t>
      </w:r>
    </w:p>
    <w:p w14:paraId="4DFD0626" w14:textId="77777777" w:rsidR="00976487" w:rsidRPr="00687DE8" w:rsidRDefault="00976487" w:rsidP="00976487">
      <w:pPr>
        <w:pStyle w:val="Normaallaadveeb"/>
        <w:spacing w:before="0" w:after="0" w:afterAutospacing="0"/>
        <w:jc w:val="both"/>
        <w:divId w:val="1316184749"/>
      </w:pPr>
    </w:p>
    <w:p w14:paraId="7EE1C2C8" w14:textId="77777777" w:rsidR="00976487" w:rsidRPr="00687DE8" w:rsidRDefault="00976487" w:rsidP="00976487">
      <w:pPr>
        <w:pStyle w:val="Normaallaadveeb"/>
        <w:spacing w:before="0" w:after="0" w:afterAutospacing="0"/>
        <w:jc w:val="both"/>
        <w:divId w:val="1316184749"/>
      </w:pPr>
      <w:r w:rsidRPr="00687DE8">
        <w:t xml:space="preserve">(3) </w:t>
      </w:r>
      <w:r w:rsidR="00BB3D26" w:rsidRPr="00687DE8">
        <w:t>L</w:t>
      </w:r>
      <w:r w:rsidRPr="00687DE8">
        <w:t>õikes 1 sätestatud ravimiteenuste piirhinnad sisaldavad ainult ravimi maksumust koos käibemaksuga.</w:t>
      </w:r>
    </w:p>
    <w:p w14:paraId="35FA70D6" w14:textId="77777777" w:rsidR="00976487" w:rsidRPr="00687DE8" w:rsidRDefault="00976487" w:rsidP="00976487">
      <w:pPr>
        <w:pStyle w:val="Normaallaadveeb"/>
        <w:spacing w:before="0" w:after="0" w:afterAutospacing="0"/>
        <w:jc w:val="both"/>
        <w:divId w:val="1316184749"/>
      </w:pPr>
    </w:p>
    <w:p w14:paraId="63C79715" w14:textId="42A9A085" w:rsidR="00976487" w:rsidRPr="00687DE8" w:rsidRDefault="00976487" w:rsidP="00976487">
      <w:pPr>
        <w:pStyle w:val="Normaallaadveeb"/>
        <w:spacing w:before="0" w:after="0" w:afterAutospacing="0"/>
        <w:jc w:val="both"/>
        <w:divId w:val="1316184749"/>
      </w:pPr>
      <w:r w:rsidRPr="00687DE8">
        <w:lastRenderedPageBreak/>
        <w:t>(4) Koodidega 239R, 332R, 251R, 335R</w:t>
      </w:r>
      <w:r w:rsidR="78447D68" w:rsidRPr="00687DE8">
        <w:t>, 396R</w:t>
      </w:r>
      <w:r w:rsidR="12111851" w:rsidRPr="00687DE8">
        <w:t>, 417R</w:t>
      </w:r>
      <w:r w:rsidR="00A223E8">
        <w:t xml:space="preserve"> ja</w:t>
      </w:r>
      <w:r w:rsidRPr="00687DE8" w:rsidDel="00A223E8">
        <w:t xml:space="preserve"> </w:t>
      </w:r>
      <w:r w:rsidR="49A420F7" w:rsidRPr="00687DE8">
        <w:t>421</w:t>
      </w:r>
      <w:r w:rsidRPr="00687DE8">
        <w:t>R tähistatud ravimiteenuseid rakendatakse juhul, kui diagnoos on kinnitatud piirkondlikus haiglas.</w:t>
      </w:r>
    </w:p>
    <w:p w14:paraId="7AFBFC8F" w14:textId="77777777" w:rsidR="00976487" w:rsidRPr="00687DE8" w:rsidRDefault="00976487" w:rsidP="00976487">
      <w:pPr>
        <w:pStyle w:val="Normaallaadveeb"/>
        <w:spacing w:before="0" w:after="0" w:afterAutospacing="0"/>
        <w:jc w:val="both"/>
        <w:divId w:val="1316184749"/>
      </w:pPr>
    </w:p>
    <w:p w14:paraId="3014E46C" w14:textId="6FBCEE29" w:rsidR="00976487" w:rsidRPr="00687DE8" w:rsidRDefault="00976487" w:rsidP="00976487">
      <w:pPr>
        <w:pStyle w:val="Normaallaadveeb"/>
        <w:spacing w:before="0" w:after="0" w:afterAutospacing="0"/>
        <w:jc w:val="both"/>
        <w:divId w:val="1316184749"/>
      </w:pPr>
      <w:r w:rsidRPr="00687DE8">
        <w:t xml:space="preserve">(5) </w:t>
      </w:r>
      <w:r w:rsidR="005023FD" w:rsidRPr="00687DE8">
        <w:t>Tervisekassa</w:t>
      </w:r>
      <w:r w:rsidRPr="00687DE8">
        <w:t xml:space="preserve"> võtab koodiga 251R tähistatud ravimiteenuse eest tasu maksmise kohustuse üle 1. tüüpi Gaucher’ tõvega patsiendilt, kellel ensüümi CYP2D6 aktiivsus on madal, keskmine või kõrge ning kes on </w:t>
      </w:r>
      <w:r w:rsidR="009378D9" w:rsidRPr="00687DE8">
        <w:t>varem</w:t>
      </w:r>
      <w:r w:rsidRPr="00687DE8">
        <w:t xml:space="preserve"> vähemalt kuuekuulise ensüümasendusraviga stabiliseeritud. </w:t>
      </w:r>
    </w:p>
    <w:p w14:paraId="2C8BE16C" w14:textId="77777777" w:rsidR="00976487" w:rsidRPr="00687DE8" w:rsidRDefault="00976487" w:rsidP="00976487">
      <w:pPr>
        <w:pStyle w:val="Normaallaadveeb"/>
        <w:spacing w:before="0" w:after="0" w:afterAutospacing="0"/>
        <w:jc w:val="both"/>
        <w:divId w:val="1316184749"/>
      </w:pPr>
    </w:p>
    <w:p w14:paraId="0D53AC14" w14:textId="77777777" w:rsidR="00976487" w:rsidRPr="00687DE8" w:rsidRDefault="00976487" w:rsidP="00976487">
      <w:pPr>
        <w:pStyle w:val="Normaallaadveeb"/>
        <w:spacing w:before="0" w:after="0" w:afterAutospacing="0"/>
        <w:jc w:val="both"/>
        <w:divId w:val="1316184749"/>
      </w:pPr>
      <w:r w:rsidRPr="00687DE8">
        <w:t>(6) Ravi jätkamisel koodiga 251R tähistatud ravimiteenusega hinnatakse ravivastust vähemalt iga 12 kuu järel ning ravi jätkamise eeldus on tingimus, et patsiendi seisund püsib stabiilne.</w:t>
      </w:r>
    </w:p>
    <w:p w14:paraId="5DFD2573" w14:textId="77777777" w:rsidR="00976487" w:rsidRPr="00687DE8" w:rsidRDefault="00976487" w:rsidP="00976487">
      <w:pPr>
        <w:pStyle w:val="Normaallaadveeb"/>
        <w:spacing w:before="0" w:after="0" w:afterAutospacing="0"/>
        <w:jc w:val="both"/>
        <w:divId w:val="1316184749"/>
      </w:pPr>
    </w:p>
    <w:p w14:paraId="539290BB" w14:textId="0F429A6B" w:rsidR="00976487" w:rsidRPr="00687DE8" w:rsidRDefault="00976487" w:rsidP="00976487">
      <w:pPr>
        <w:pStyle w:val="Normaallaadveeb"/>
        <w:spacing w:before="0" w:after="0" w:afterAutospacing="0"/>
        <w:jc w:val="both"/>
        <w:divId w:val="1316184749"/>
      </w:pPr>
      <w:r w:rsidRPr="00687DE8">
        <w:t xml:space="preserve">(7) </w:t>
      </w:r>
      <w:r w:rsidR="005023FD" w:rsidRPr="00687DE8">
        <w:t>Tervisekassa</w:t>
      </w:r>
      <w:r w:rsidRPr="00687DE8">
        <w:t xml:space="preserve"> võtab koodiga 239R tähistatud ravimiteenuse eest tasu maksmise kohustuse üle hilise algusega Pompe tõvega patsiendilt, kes neljaliikmelise (neuroloog, füsioterapeut, pulmonoloog, geneetik) eksper</w:t>
      </w:r>
      <w:r w:rsidR="004E597D" w:rsidRPr="00687DE8">
        <w:t>di</w:t>
      </w:r>
      <w:r w:rsidRPr="00687DE8">
        <w:t>komisjoni otsusel on saavutanud ravivastuse eelneva vähemalt kuue kuu jooksul te</w:t>
      </w:r>
      <w:r w:rsidR="009378D9" w:rsidRPr="00687DE8">
        <w:t>htud</w:t>
      </w:r>
      <w:r w:rsidRPr="00687DE8">
        <w:t xml:space="preserve"> alglükosidaas alfa raviga. Pompe tõve infantiilse vormi korral alustatakse ravi nimetatud eksper</w:t>
      </w:r>
      <w:r w:rsidR="008C3E98" w:rsidRPr="00687DE8">
        <w:t>di</w:t>
      </w:r>
      <w:r w:rsidRPr="00687DE8">
        <w:t xml:space="preserve">komisjoni otsusel, kuid eelnev ensüümasendusravi ei ole nõutav. </w:t>
      </w:r>
    </w:p>
    <w:p w14:paraId="38C73B9D" w14:textId="77777777" w:rsidR="00976487" w:rsidRPr="00687DE8" w:rsidRDefault="00976487" w:rsidP="00976487">
      <w:pPr>
        <w:pStyle w:val="Normaallaadveeb"/>
        <w:spacing w:before="0" w:after="0" w:afterAutospacing="0"/>
        <w:jc w:val="both"/>
        <w:divId w:val="1316184749"/>
      </w:pPr>
    </w:p>
    <w:p w14:paraId="4E46BC2B" w14:textId="4794654D" w:rsidR="00976487" w:rsidRPr="00687DE8" w:rsidRDefault="00976487" w:rsidP="00976487">
      <w:pPr>
        <w:pStyle w:val="Normaallaadveeb"/>
        <w:spacing w:before="0" w:after="0" w:afterAutospacing="0"/>
        <w:jc w:val="both"/>
        <w:divId w:val="1316184749"/>
      </w:pPr>
      <w:r w:rsidRPr="00687DE8">
        <w:t xml:space="preserve">(8) </w:t>
      </w:r>
      <w:r w:rsidR="005023FD" w:rsidRPr="00687DE8">
        <w:t>Tervisekassa</w:t>
      </w:r>
      <w:r w:rsidRPr="00687DE8">
        <w:t xml:space="preserve"> võtab koodiga 239R tähistatud ravimiteenuse eest tasu maksmise kohustuse üle Pompe tõve korral ravivastuse püsimisel maksimaalselt 606 korra eest aastas.</w:t>
      </w:r>
    </w:p>
    <w:p w14:paraId="0AAD9810" w14:textId="77777777" w:rsidR="00976487" w:rsidRPr="00687DE8" w:rsidRDefault="00976487" w:rsidP="00976487">
      <w:pPr>
        <w:pStyle w:val="Normaallaadveeb"/>
        <w:spacing w:before="0" w:after="0" w:afterAutospacing="0"/>
        <w:jc w:val="both"/>
        <w:divId w:val="1316184749"/>
      </w:pPr>
    </w:p>
    <w:p w14:paraId="40AF5A81" w14:textId="1ECA5141" w:rsidR="00976487" w:rsidRPr="00687DE8" w:rsidRDefault="00976487" w:rsidP="00976487">
      <w:pPr>
        <w:pStyle w:val="Normaallaadveeb"/>
        <w:spacing w:before="0" w:after="0" w:afterAutospacing="0"/>
        <w:jc w:val="both"/>
        <w:divId w:val="1316184749"/>
      </w:pPr>
      <w:r w:rsidRPr="00687DE8">
        <w:t xml:space="preserve">(9) </w:t>
      </w:r>
      <w:r w:rsidR="005023FD" w:rsidRPr="00687DE8">
        <w:t>Tervisekassa</w:t>
      </w:r>
      <w:r w:rsidRPr="00687DE8">
        <w:t xml:space="preserve"> võtab </w:t>
      </w:r>
      <w:r>
        <w:t>koodi</w:t>
      </w:r>
      <w:r w:rsidR="1375CED4">
        <w:t>de</w:t>
      </w:r>
      <w:r>
        <w:t>ga</w:t>
      </w:r>
      <w:r w:rsidRPr="00687DE8">
        <w:t xml:space="preserve"> 396R</w:t>
      </w:r>
      <w:r w:rsidR="2ADB58E9">
        <w:t>,</w:t>
      </w:r>
      <w:r w:rsidR="001B58FF">
        <w:t xml:space="preserve"> </w:t>
      </w:r>
      <w:r w:rsidR="79DB3865">
        <w:t>465R</w:t>
      </w:r>
      <w:r w:rsidR="3FEE2168">
        <w:t xml:space="preserve"> ja </w:t>
      </w:r>
      <w:r w:rsidR="76A65C73">
        <w:t>466</w:t>
      </w:r>
      <w:r w:rsidR="3FEE2168">
        <w:t>R</w:t>
      </w:r>
      <w:r w:rsidRPr="00687DE8">
        <w:t xml:space="preserve"> tähistatud </w:t>
      </w:r>
      <w:r>
        <w:t>ravimiteenus</w:t>
      </w:r>
      <w:r w:rsidR="06226D18">
        <w:t>t</w:t>
      </w:r>
      <w:r>
        <w:t>e</w:t>
      </w:r>
      <w:r w:rsidRPr="00687DE8">
        <w:t xml:space="preserve"> eest tasu maksmise kohustuse üle paroksüsmaalse öise hemoglobinuuria korral tingimusel, et ravi alustamise üle on otsustanud hematoloogidest koosnev eksper</w:t>
      </w:r>
      <w:r w:rsidR="00DD4231" w:rsidRPr="00687DE8">
        <w:t>di</w:t>
      </w:r>
      <w:r w:rsidRPr="00687DE8">
        <w:t>komisjon.</w:t>
      </w:r>
      <w:r w:rsidR="2726F547">
        <w:t xml:space="preserve"> </w:t>
      </w:r>
      <w:r w:rsidR="3A80E397">
        <w:t xml:space="preserve">Koodiga </w:t>
      </w:r>
      <w:r w:rsidR="160DE072">
        <w:t>466</w:t>
      </w:r>
      <w:r w:rsidR="3A80E397">
        <w:t>R tähistatud ravimiteenust on lubatud kasutada</w:t>
      </w:r>
      <w:r w:rsidR="2726F547">
        <w:t xml:space="preserve"> kombinatsioonis soodusravimi </w:t>
      </w:r>
      <w:r w:rsidR="5F90BEFE">
        <w:t>danikopaaniga.</w:t>
      </w:r>
    </w:p>
    <w:p w14:paraId="6BA62445" w14:textId="3975876F" w:rsidR="7042B9CF" w:rsidRPr="00687DE8" w:rsidRDefault="7042B9CF" w:rsidP="7042B9CF">
      <w:pPr>
        <w:pStyle w:val="Normaallaadveeb"/>
        <w:spacing w:before="0" w:after="0" w:afterAutospacing="0"/>
        <w:jc w:val="both"/>
      </w:pPr>
    </w:p>
    <w:p w14:paraId="4FA13A3D" w14:textId="7272387D" w:rsidR="07ED881D" w:rsidRPr="00687DE8" w:rsidRDefault="07ED881D" w:rsidP="7042B9CF">
      <w:pPr>
        <w:pStyle w:val="Normaallaadveeb"/>
        <w:spacing w:before="0" w:after="0" w:afterAutospacing="0"/>
        <w:jc w:val="both"/>
      </w:pPr>
      <w:r w:rsidRPr="00687DE8">
        <w:t>(10)</w:t>
      </w:r>
      <w:r w:rsidR="7DC71F36" w:rsidRPr="00687DE8">
        <w:t xml:space="preserve"> </w:t>
      </w:r>
      <w:r w:rsidRPr="00687DE8">
        <w:t xml:space="preserve">Tervisekassa võtab koodiga 421R tähistatud ravimiteenuse eest tasu maksmise kohustuse üle paroksüsmaalse öise hemoglobinuuria korral täiskasvanud patsientide ravis, kes on jätkuvalt aneemilised pärast vähemalt </w:t>
      </w:r>
      <w:r w:rsidR="00600087" w:rsidRPr="00687DE8">
        <w:t>kolme</w:t>
      </w:r>
      <w:r w:rsidRPr="00687DE8">
        <w:t>kuulist ravi C5 inhibiitoriga, maksimaalselt 104 korra eest aastas patsiendi kohta tingimusel, et ravi alustamise üle on otsustanud hematoloogidest koosnev eksperdikomisjon.</w:t>
      </w:r>
    </w:p>
    <w:p w14:paraId="222FE5A6" w14:textId="77777777" w:rsidR="00976487" w:rsidRPr="00687DE8" w:rsidRDefault="00976487" w:rsidP="00976487">
      <w:pPr>
        <w:pStyle w:val="Normaallaadveeb"/>
        <w:spacing w:before="0" w:after="0" w:afterAutospacing="0"/>
        <w:jc w:val="both"/>
        <w:divId w:val="1316184749"/>
      </w:pPr>
    </w:p>
    <w:p w14:paraId="2289E287" w14:textId="6C83C7C7" w:rsidR="00976487" w:rsidRPr="00687DE8" w:rsidRDefault="00976487" w:rsidP="00976487">
      <w:pPr>
        <w:pStyle w:val="Vahedeta"/>
        <w:jc w:val="both"/>
        <w:divId w:val="1316184749"/>
        <w:rPr>
          <w:color w:val="000000" w:themeColor="text1"/>
          <w:szCs w:val="24"/>
          <w:lang w:val="et-EE"/>
        </w:rPr>
      </w:pPr>
      <w:r w:rsidRPr="00687DE8">
        <w:rPr>
          <w:szCs w:val="24"/>
          <w:lang w:val="et-EE"/>
        </w:rPr>
        <w:t>(1</w:t>
      </w:r>
      <w:r w:rsidR="55689364" w:rsidRPr="00687DE8">
        <w:rPr>
          <w:szCs w:val="24"/>
          <w:lang w:val="et-EE"/>
        </w:rPr>
        <w:t>1</w:t>
      </w:r>
      <w:r w:rsidRPr="00687DE8">
        <w:rPr>
          <w:szCs w:val="24"/>
          <w:lang w:val="et-EE"/>
        </w:rPr>
        <w:t xml:space="preserve">) </w:t>
      </w:r>
      <w:r w:rsidRPr="00687DE8">
        <w:rPr>
          <w:color w:val="000000" w:themeColor="text1"/>
          <w:szCs w:val="24"/>
          <w:lang w:val="et-EE"/>
        </w:rPr>
        <w:t xml:space="preserve">Koodiga 398R tähistatud ravimiteenust rakendatakse järgmisel tingimusel: teenust osutatakse 12-kuusele või vanemale kõrgriski neuroblastoomiga patsiendile, kes on varem saanud induktsioon-keemiaravi, millega on saavutatud vähemalt osaline ravivastus, ning kes on seejärel saanud müeloablatiivset ravi ja kellele on </w:t>
      </w:r>
      <w:r w:rsidRPr="00687DE8">
        <w:rPr>
          <w:szCs w:val="24"/>
          <w:lang w:val="et-EE"/>
        </w:rPr>
        <w:t>teostatud vereloome tüvirakkude siirdamine</w:t>
      </w:r>
      <w:r w:rsidRPr="00687DE8">
        <w:rPr>
          <w:color w:val="000000" w:themeColor="text1"/>
          <w:szCs w:val="24"/>
          <w:lang w:val="et-EE"/>
        </w:rPr>
        <w:t>.</w:t>
      </w:r>
    </w:p>
    <w:p w14:paraId="1EC42AFD" w14:textId="77777777" w:rsidR="00976487" w:rsidRPr="00687DE8" w:rsidRDefault="00976487" w:rsidP="00976487">
      <w:pPr>
        <w:pStyle w:val="Vahedeta"/>
        <w:jc w:val="both"/>
        <w:divId w:val="1316184749"/>
        <w:rPr>
          <w:szCs w:val="24"/>
          <w:lang w:val="et-EE"/>
        </w:rPr>
      </w:pPr>
    </w:p>
    <w:p w14:paraId="18C69ED5" w14:textId="4CC0A7B2" w:rsidR="00976487" w:rsidRPr="00687DE8" w:rsidRDefault="00976487" w:rsidP="3C41B45A">
      <w:pPr>
        <w:pStyle w:val="Vahedeta"/>
        <w:jc w:val="both"/>
        <w:divId w:val="1316184749"/>
        <w:rPr>
          <w:lang w:val="et-EE"/>
        </w:rPr>
      </w:pPr>
      <w:bookmarkStart w:id="38" w:name="_Hlk53996277"/>
      <w:r w:rsidRPr="3C41B45A">
        <w:rPr>
          <w:lang w:val="et-EE"/>
        </w:rPr>
        <w:t>(1</w:t>
      </w:r>
      <w:r w:rsidR="289B9235" w:rsidRPr="3C41B45A">
        <w:rPr>
          <w:lang w:val="et-EE"/>
        </w:rPr>
        <w:t>2</w:t>
      </w:r>
      <w:r w:rsidRPr="3C41B45A">
        <w:rPr>
          <w:lang w:val="et-EE"/>
        </w:rPr>
        <w:t xml:space="preserve">) </w:t>
      </w:r>
      <w:r w:rsidR="005023FD" w:rsidRPr="3C41B45A">
        <w:rPr>
          <w:lang w:val="et-EE"/>
        </w:rPr>
        <w:t>Tervisekassa</w:t>
      </w:r>
      <w:r w:rsidRPr="3C41B45A">
        <w:rPr>
          <w:lang w:val="et-EE"/>
        </w:rPr>
        <w:t xml:space="preserve"> võtab </w:t>
      </w:r>
      <w:r w:rsidRPr="0B1BB6CC">
        <w:rPr>
          <w:lang w:val="et-EE"/>
        </w:rPr>
        <w:t>koodi</w:t>
      </w:r>
      <w:r w:rsidR="5CA682CE" w:rsidRPr="0B1BB6CC">
        <w:rPr>
          <w:lang w:val="et-EE"/>
        </w:rPr>
        <w:t>de</w:t>
      </w:r>
      <w:r w:rsidRPr="0B1BB6CC">
        <w:rPr>
          <w:lang w:val="et-EE"/>
        </w:rPr>
        <w:t>ga</w:t>
      </w:r>
      <w:r w:rsidRPr="3C41B45A">
        <w:rPr>
          <w:lang w:val="et-EE"/>
        </w:rPr>
        <w:t xml:space="preserve"> 260R </w:t>
      </w:r>
      <w:r w:rsidR="79C5F936" w:rsidRPr="0B1BB6CC">
        <w:rPr>
          <w:lang w:val="et-EE"/>
        </w:rPr>
        <w:t xml:space="preserve">ja </w:t>
      </w:r>
      <w:r w:rsidR="1B94BA2C" w:rsidRPr="074CD0A8">
        <w:rPr>
          <w:lang w:val="et-EE"/>
        </w:rPr>
        <w:t>467</w:t>
      </w:r>
      <w:r w:rsidR="79C5F936" w:rsidRPr="074CD0A8">
        <w:rPr>
          <w:lang w:val="et-EE"/>
        </w:rPr>
        <w:t>R</w:t>
      </w:r>
      <w:r w:rsidRPr="0B1BB6CC">
        <w:rPr>
          <w:lang w:val="et-EE"/>
        </w:rPr>
        <w:t xml:space="preserve"> </w:t>
      </w:r>
      <w:r w:rsidRPr="3C41B45A">
        <w:rPr>
          <w:lang w:val="et-EE"/>
        </w:rPr>
        <w:t xml:space="preserve">tähistatud </w:t>
      </w:r>
      <w:r w:rsidRPr="0B1BB6CC">
        <w:rPr>
          <w:lang w:val="et-EE"/>
        </w:rPr>
        <w:t>ravimiteenus</w:t>
      </w:r>
      <w:r w:rsidR="4B54EBDB" w:rsidRPr="0B1BB6CC">
        <w:rPr>
          <w:lang w:val="et-EE"/>
        </w:rPr>
        <w:t>t</w:t>
      </w:r>
      <w:r w:rsidRPr="0B1BB6CC">
        <w:rPr>
          <w:lang w:val="et-EE"/>
        </w:rPr>
        <w:t>e</w:t>
      </w:r>
      <w:r w:rsidRPr="3C41B45A">
        <w:rPr>
          <w:lang w:val="et-EE"/>
        </w:rPr>
        <w:t xml:space="preserve"> eest tasu maksmise kohustuse üle kinnitatud </w:t>
      </w:r>
      <w:bookmarkEnd w:id="38"/>
      <w:r w:rsidRPr="3C41B45A">
        <w:rPr>
          <w:lang w:val="et-EE"/>
        </w:rPr>
        <w:t xml:space="preserve">atüüpilise hemolüütilis-ureemilise sündroomi (aHUS) diagnoosi korral </w:t>
      </w:r>
      <w:r w:rsidR="7DD01B6B" w:rsidRPr="3C41B45A">
        <w:rPr>
          <w:color w:val="202020"/>
          <w:szCs w:val="24"/>
          <w:lang w:val="et-EE"/>
        </w:rPr>
        <w:t>tingimusel, et ravi alustamise ja katkestamise on otsustanud nefroloogidest koosnev eksperdikomisjon.</w:t>
      </w:r>
      <w:r w:rsidR="7DD01B6B" w:rsidRPr="3C41B45A">
        <w:rPr>
          <w:lang w:val="et-EE"/>
        </w:rPr>
        <w:t xml:space="preserve"> </w:t>
      </w:r>
    </w:p>
    <w:p w14:paraId="121DCCF8" w14:textId="7F5D4D8D" w:rsidR="00976487" w:rsidRPr="00687DE8" w:rsidRDefault="00976487" w:rsidP="008178FF">
      <w:pPr>
        <w:spacing w:after="0" w:line="240" w:lineRule="auto"/>
        <w:jc w:val="both"/>
        <w:divId w:val="1316184749"/>
        <w:rPr>
          <w:color w:val="202020"/>
          <w:szCs w:val="24"/>
        </w:rPr>
      </w:pPr>
    </w:p>
    <w:p w14:paraId="66B1EC7F" w14:textId="0F175E79" w:rsidR="00976487" w:rsidRPr="00687DE8" w:rsidRDefault="006A2F87" w:rsidP="008178FF">
      <w:pPr>
        <w:spacing w:after="0" w:line="240" w:lineRule="auto"/>
        <w:jc w:val="both"/>
        <w:divId w:val="1316184749"/>
      </w:pPr>
      <w:r>
        <w:rPr>
          <w:color w:val="202020"/>
        </w:rPr>
        <w:t xml:space="preserve">(13) </w:t>
      </w:r>
      <w:r w:rsidR="00C2344C" w:rsidRPr="3763AB4E">
        <w:rPr>
          <w:color w:val="202020"/>
        </w:rPr>
        <w:t>T</w:t>
      </w:r>
      <w:r w:rsidR="1A197D5F" w:rsidRPr="3763AB4E">
        <w:rPr>
          <w:color w:val="202020"/>
        </w:rPr>
        <w:t xml:space="preserve">ervisekassa </w:t>
      </w:r>
      <w:r w:rsidR="04726AD3" w:rsidRPr="3609F169">
        <w:rPr>
          <w:color w:val="202020"/>
        </w:rPr>
        <w:t xml:space="preserve">võtab koodiga 260R tähistatud ravimiteenuse eest </w:t>
      </w:r>
      <w:r w:rsidR="1A197D5F" w:rsidRPr="3763AB4E">
        <w:rPr>
          <w:color w:val="202020"/>
        </w:rPr>
        <w:t>tasu</w:t>
      </w:r>
      <w:r w:rsidR="006547EC">
        <w:rPr>
          <w:color w:val="202020"/>
        </w:rPr>
        <w:t xml:space="preserve"> maks</w:t>
      </w:r>
      <w:r w:rsidR="1A197D5F" w:rsidRPr="3763AB4E">
        <w:rPr>
          <w:color w:val="202020"/>
        </w:rPr>
        <w:t>mise</w:t>
      </w:r>
      <w:r w:rsidR="008B3225">
        <w:rPr>
          <w:color w:val="202020"/>
        </w:rPr>
        <w:t xml:space="preserve"> kohustuse</w:t>
      </w:r>
      <w:r w:rsidR="1A197D5F" w:rsidRPr="3763AB4E">
        <w:rPr>
          <w:color w:val="202020"/>
        </w:rPr>
        <w:t xml:space="preserve"> üle </w:t>
      </w:r>
      <w:r w:rsidR="1A197D5F" w:rsidRPr="08E50AFC">
        <w:t xml:space="preserve">esimese kolme kuu ravi eest </w:t>
      </w:r>
      <w:r w:rsidR="00976487" w:rsidRPr="0169D687">
        <w:t xml:space="preserve">ravimiomaduste kokkuvõttes kirjeldatud standarddoosiga (SPC) ning jätkab ravi eest tasumist positiivse ravivastuse korral tingimusel, et järgneva ravi puhul lähtutakse järgmistest kriteeriumidest: </w:t>
      </w:r>
    </w:p>
    <w:p w14:paraId="52CAB401" w14:textId="77777777" w:rsidR="00976487" w:rsidRPr="00687DE8" w:rsidRDefault="00976487" w:rsidP="00976487">
      <w:pPr>
        <w:pStyle w:val="Vahedeta"/>
        <w:jc w:val="both"/>
        <w:divId w:val="1316184749"/>
        <w:rPr>
          <w:szCs w:val="24"/>
          <w:lang w:val="et-EE"/>
        </w:rPr>
      </w:pPr>
      <w:r w:rsidRPr="00687DE8">
        <w:rPr>
          <w:szCs w:val="24"/>
          <w:lang w:val="et-EE"/>
        </w:rPr>
        <w:t>1) täiskasvanud patsiendil, kellel on aHUS neerudes diagnoositud esmakordselt ja kes saavutas adekvaatse ravivastuse kolme esimese ravikuuga (stabiilne neeru funktsioon, vererõhk normi piirides, trombootilist mikroangiopaatiat ei esine), katkestatakse ravi;</w:t>
      </w:r>
    </w:p>
    <w:p w14:paraId="45686B78" w14:textId="77777777" w:rsidR="00976487" w:rsidRPr="00687DE8" w:rsidRDefault="00976487" w:rsidP="00976487">
      <w:pPr>
        <w:pStyle w:val="Vahedeta"/>
        <w:jc w:val="both"/>
        <w:divId w:val="1316184749"/>
        <w:rPr>
          <w:szCs w:val="24"/>
          <w:lang w:val="et-EE"/>
        </w:rPr>
      </w:pPr>
      <w:r w:rsidRPr="00687DE8">
        <w:rPr>
          <w:szCs w:val="24"/>
          <w:lang w:val="et-EE"/>
        </w:rPr>
        <w:lastRenderedPageBreak/>
        <w:t xml:space="preserve">2) täiskasvanud patsiendil, kellel esineb aHUSi retsidiveerumine rohkem kui 12 kuud pärast esmast ravi, üle </w:t>
      </w:r>
      <w:r w:rsidR="00BA2331" w:rsidRPr="00687DE8">
        <w:rPr>
          <w:szCs w:val="24"/>
          <w:lang w:val="et-EE"/>
        </w:rPr>
        <w:t>kuue</w:t>
      </w:r>
      <w:r w:rsidRPr="00687DE8">
        <w:rPr>
          <w:szCs w:val="24"/>
          <w:lang w:val="et-EE"/>
        </w:rPr>
        <w:t xml:space="preserve">aastasel lapsel ja neerusiirdamise järel retsidiveerunud, kuid ilma patogeensete mutatsioonideta patsiendil, kes saavutas adekvaatse ravivastuse kolme esimese ravikuuga (eGFR taastumine, vererõhk normi piirides, trombootilist mikroangiopaatiat ei esine), jätkatakse ekulizumabi manustamist üheksa kuu jooksul iga nelja nädala järel (maksimaalselt 1200 mg korraga), misjärel ravi katkestatakse; </w:t>
      </w:r>
    </w:p>
    <w:p w14:paraId="51EFC404" w14:textId="77777777" w:rsidR="00976487" w:rsidRPr="00687DE8" w:rsidRDefault="00976487" w:rsidP="00976487">
      <w:pPr>
        <w:pStyle w:val="Vahedeta"/>
        <w:jc w:val="both"/>
        <w:divId w:val="1316184749"/>
        <w:rPr>
          <w:szCs w:val="24"/>
          <w:lang w:val="et-EE"/>
        </w:rPr>
      </w:pPr>
      <w:r w:rsidRPr="00687DE8">
        <w:rPr>
          <w:szCs w:val="24"/>
          <w:lang w:val="et-EE"/>
        </w:rPr>
        <w:t xml:space="preserve">3) patsiendil, kellel esineb aHUSi retsidiveerumine 3–12 kuud pärast esmast ravi, ning neerusiirdamise järel retsidiveerunud ja patogeensete mutatsioonidega (teistes geenides kui CFH) patsiendil, kes saavutas adekvaatse ravivastuse kolme esimese ravikuuga (eGFR taastumine, vererõhk normi piirides, trombootilist mikroangiopaatiat ei esine), jätkatakse ekulizumabi manustamist üheksa kuu jooksul iga nelja nädala järel (maksimaalselt 1200 mg korraga) ning seejärel aasta jooksul 6–8-nädalaste (sõltuvalt kehakaalust) intervallidega, misjärel ravi katkestatakse; </w:t>
      </w:r>
    </w:p>
    <w:p w14:paraId="763FBD18" w14:textId="77777777" w:rsidR="00976487" w:rsidRPr="00687DE8" w:rsidRDefault="00976487" w:rsidP="00976487">
      <w:pPr>
        <w:pStyle w:val="Vahedeta"/>
        <w:jc w:val="both"/>
        <w:divId w:val="1316184749"/>
        <w:rPr>
          <w:szCs w:val="24"/>
          <w:lang w:val="et-EE"/>
        </w:rPr>
      </w:pPr>
      <w:r w:rsidRPr="00687DE8">
        <w:rPr>
          <w:szCs w:val="24"/>
          <w:lang w:val="et-EE"/>
        </w:rPr>
        <w:t>4) patsiendil, kellel on esinenud korduvaid aHUSi retsidiveerumisi, ning neerusiirdamise järel retsidiveerunud ja patogeense mutatsiooniga (CFH geenis) patsiendil jätkatakse ekulizumabi manustamist üheksa kuu jooksul iga nelja nädala järel (maksimaalselt 1200 mg korraga) ning seejärel 6–8-nädalaste (sõltuvalt kehakaalust) intervallidega;</w:t>
      </w:r>
    </w:p>
    <w:p w14:paraId="0646344A" w14:textId="77777777" w:rsidR="00976487" w:rsidRPr="00687DE8" w:rsidRDefault="00976487" w:rsidP="00976487">
      <w:pPr>
        <w:pStyle w:val="Vahedeta"/>
        <w:jc w:val="both"/>
        <w:divId w:val="1316184749"/>
        <w:rPr>
          <w:szCs w:val="24"/>
          <w:lang w:val="et-EE"/>
        </w:rPr>
      </w:pPr>
      <w:r w:rsidRPr="00687DE8">
        <w:rPr>
          <w:szCs w:val="24"/>
          <w:lang w:val="et-EE"/>
        </w:rPr>
        <w:t xml:space="preserve">5) patsiendil, kellel esineb haiguse retsidiveerumine ravi ajal või vähem kui kolm kuud pärast ravi lõppu, ja alla </w:t>
      </w:r>
      <w:r w:rsidR="00BA2331" w:rsidRPr="00687DE8">
        <w:rPr>
          <w:szCs w:val="24"/>
          <w:lang w:val="et-EE"/>
        </w:rPr>
        <w:t>kuue</w:t>
      </w:r>
      <w:r w:rsidRPr="00687DE8">
        <w:rPr>
          <w:szCs w:val="24"/>
          <w:lang w:val="et-EE"/>
        </w:rPr>
        <w:t>aastasel lapsel jätkatakse ekulizumabi manustamist iga nelja nädala järel (maksimaalselt annuses 1200 mg korraga);</w:t>
      </w:r>
    </w:p>
    <w:p w14:paraId="4E50A405" w14:textId="77777777" w:rsidR="00F40DF6" w:rsidRPr="00687DE8" w:rsidRDefault="00976487" w:rsidP="00F40DF6">
      <w:pPr>
        <w:pStyle w:val="Vahedeta"/>
        <w:jc w:val="both"/>
        <w:divId w:val="1316184749"/>
        <w:rPr>
          <w:szCs w:val="24"/>
          <w:lang w:val="et-EE"/>
        </w:rPr>
      </w:pPr>
      <w:r w:rsidRPr="00687DE8">
        <w:rPr>
          <w:szCs w:val="24"/>
          <w:lang w:val="et-EE"/>
        </w:rPr>
        <w:t>6) patsiendil, kellel esineb haiguse retsidiveerumine vähendatud annusega ravi ajal või kellel on neerusiirikus aHUSi retsidiveerumisest tingitult lõppstaadiumi neeruhaigus vaatamata varem saadud ekulizumabi ravile, jätkatakse ravi standarddoosiga.</w:t>
      </w:r>
    </w:p>
    <w:p w14:paraId="06B122F2" w14:textId="77777777" w:rsidR="00A85410" w:rsidRPr="00687DE8" w:rsidRDefault="00A85410" w:rsidP="00976487">
      <w:pPr>
        <w:pStyle w:val="Vahedeta"/>
        <w:jc w:val="both"/>
        <w:divId w:val="1316184749"/>
        <w:rPr>
          <w:szCs w:val="24"/>
          <w:lang w:val="et-EE"/>
        </w:rPr>
      </w:pPr>
    </w:p>
    <w:p w14:paraId="54964A32" w14:textId="1DAB0F75" w:rsidR="003D3A8C" w:rsidRPr="00687DE8" w:rsidRDefault="003D3A8C" w:rsidP="003D3A8C">
      <w:pPr>
        <w:pStyle w:val="Vahedeta"/>
        <w:jc w:val="both"/>
        <w:rPr>
          <w:szCs w:val="24"/>
          <w:lang w:val="et-EE"/>
        </w:rPr>
      </w:pPr>
      <w:r w:rsidRPr="00687DE8">
        <w:rPr>
          <w:szCs w:val="24"/>
          <w:lang w:val="et-EE"/>
        </w:rPr>
        <w:t>(1</w:t>
      </w:r>
      <w:r w:rsidR="005822F7">
        <w:rPr>
          <w:szCs w:val="24"/>
          <w:lang w:val="et-EE"/>
        </w:rPr>
        <w:t>4</w:t>
      </w:r>
      <w:r w:rsidRPr="00687DE8">
        <w:rPr>
          <w:szCs w:val="24"/>
          <w:lang w:val="et-EE"/>
        </w:rPr>
        <w:t xml:space="preserve">) </w:t>
      </w:r>
      <w:r w:rsidR="005023FD" w:rsidRPr="00687DE8">
        <w:rPr>
          <w:szCs w:val="24"/>
          <w:lang w:val="et-EE"/>
        </w:rPr>
        <w:t>Tervisekassa</w:t>
      </w:r>
      <w:r w:rsidRPr="00687DE8">
        <w:rPr>
          <w:szCs w:val="24"/>
          <w:lang w:val="et-EE"/>
        </w:rPr>
        <w:t xml:space="preserve"> võtab koodiga 269R tähistatud ravimiteenuse eest tasu maksmise kohustuse üle X-liitelise hüpofosfateemia raviks radiograafiliselt tõendatud luuhaigusega üheaastaselt ja vanemalt lapselt ning kasvava luustikuga noorukilt, kellel kuus kuud kestnud fosfaadi asendusravi ei ole andud piisavat raviefekti (parathormooni või aluselise fosfataasi tase ei ole ealise referentspiiri sees) või ilmnevad fosfaadi asendusravi kõrvalmõjud, mis takistavad ravi jätkamist. Ravi lõpetatakse luu kasvuplaadi sulgumisel.</w:t>
      </w:r>
    </w:p>
    <w:p w14:paraId="24A9476B" w14:textId="77777777" w:rsidR="3FBE18F7" w:rsidRPr="00687DE8" w:rsidRDefault="3FBE18F7" w:rsidP="3FBE18F7">
      <w:pPr>
        <w:pStyle w:val="Vahedeta"/>
        <w:jc w:val="both"/>
        <w:rPr>
          <w:szCs w:val="24"/>
          <w:lang w:val="et-EE"/>
        </w:rPr>
      </w:pPr>
    </w:p>
    <w:p w14:paraId="0D2592E4" w14:textId="467CB2E0" w:rsidR="003D3A8C" w:rsidRPr="00687DE8" w:rsidRDefault="003D3A8C" w:rsidP="003D3A8C">
      <w:pPr>
        <w:spacing w:after="0" w:line="240" w:lineRule="auto"/>
        <w:jc w:val="both"/>
        <w:divId w:val="1316184749"/>
        <w:rPr>
          <w:szCs w:val="24"/>
        </w:rPr>
      </w:pPr>
      <w:r w:rsidRPr="00687DE8">
        <w:rPr>
          <w:szCs w:val="24"/>
        </w:rPr>
        <w:t>(1</w:t>
      </w:r>
      <w:r w:rsidR="005822F7">
        <w:rPr>
          <w:szCs w:val="24"/>
        </w:rPr>
        <w:t>5</w:t>
      </w:r>
      <w:r w:rsidRPr="00687DE8">
        <w:rPr>
          <w:szCs w:val="24"/>
        </w:rPr>
        <w:t xml:space="preserve">) </w:t>
      </w:r>
      <w:r w:rsidR="005023FD" w:rsidRPr="00687DE8">
        <w:rPr>
          <w:szCs w:val="24"/>
        </w:rPr>
        <w:t>Tervisekassa</w:t>
      </w:r>
      <w:r w:rsidRPr="00687DE8">
        <w:rPr>
          <w:szCs w:val="24"/>
        </w:rPr>
        <w:t xml:space="preserve"> võtab koodiga 274R tähistatud ravimiteenuse eest tasu maksmise kohustuse üle molekulaargeneetiliselt kinnitatud kerge kuni keskmise raskusega alfa-mannosidoosiga patsiendilt, kellel ei esine neuroloogilisi sümptomeid ja kellele pole teostatud vereloome tüvirakkude siirdamist või kellel see on ebaõnnestunud.</w:t>
      </w:r>
    </w:p>
    <w:p w14:paraId="7580DF16" w14:textId="77777777" w:rsidR="003D3A8C" w:rsidRPr="00687DE8" w:rsidRDefault="003D3A8C" w:rsidP="003D3A8C">
      <w:pPr>
        <w:spacing w:after="0" w:line="240" w:lineRule="auto"/>
        <w:jc w:val="both"/>
        <w:divId w:val="1316184749"/>
        <w:rPr>
          <w:szCs w:val="24"/>
        </w:rPr>
      </w:pPr>
    </w:p>
    <w:p w14:paraId="6BFB39EA" w14:textId="38E71E22" w:rsidR="003D3A8C" w:rsidRPr="00687DE8" w:rsidRDefault="003D3A8C" w:rsidP="003D3A8C">
      <w:pPr>
        <w:spacing w:after="0" w:line="240" w:lineRule="auto"/>
        <w:jc w:val="both"/>
        <w:divId w:val="1316184749"/>
        <w:rPr>
          <w:szCs w:val="24"/>
        </w:rPr>
      </w:pPr>
      <w:r w:rsidRPr="00687DE8">
        <w:rPr>
          <w:szCs w:val="24"/>
        </w:rPr>
        <w:t>(1</w:t>
      </w:r>
      <w:r w:rsidR="005822F7">
        <w:rPr>
          <w:szCs w:val="24"/>
        </w:rPr>
        <w:t>6</w:t>
      </w:r>
      <w:r w:rsidRPr="00687DE8">
        <w:rPr>
          <w:szCs w:val="24"/>
        </w:rPr>
        <w:t>) Ravi tulemuslikkust hinnatakse esimest korda ühe aasta möödumisel ravi algusest ning hiljem üks kord aastas. Ravi koodiga 274R tähistatud ravim</w:t>
      </w:r>
      <w:r w:rsidR="00B82126" w:rsidRPr="00687DE8">
        <w:rPr>
          <w:szCs w:val="24"/>
        </w:rPr>
        <w:t>i</w:t>
      </w:r>
      <w:r w:rsidRPr="00687DE8">
        <w:rPr>
          <w:szCs w:val="24"/>
        </w:rPr>
        <w:t>teenusega lõpetatakse, kui ravi tulemuslikkuse hindamise käigus tuvastatakse ühe või mitme haigusspetsiifilise näitaja negatiivne dünaamika, patsiendi füüsilise jõudluse vähenemine, kognitiivsete võimete halvenemine, neuroloogiliste sümptomite ilmnemine või liikumispuude süvenemine.</w:t>
      </w:r>
    </w:p>
    <w:p w14:paraId="4F6F2467" w14:textId="5768C12D" w:rsidR="08A5EE21" w:rsidRPr="00687DE8" w:rsidRDefault="08A5EE21" w:rsidP="08A5EE21">
      <w:pPr>
        <w:spacing w:after="0" w:line="240" w:lineRule="auto"/>
        <w:jc w:val="both"/>
        <w:rPr>
          <w:szCs w:val="24"/>
        </w:rPr>
      </w:pPr>
    </w:p>
    <w:p w14:paraId="08841D00" w14:textId="157BC144" w:rsidR="1762ABCE" w:rsidRPr="00687DE8" w:rsidRDefault="1762ABCE" w:rsidP="14821AE0">
      <w:pPr>
        <w:spacing w:after="0" w:line="240" w:lineRule="auto"/>
        <w:jc w:val="both"/>
        <w:rPr>
          <w:szCs w:val="24"/>
        </w:rPr>
      </w:pPr>
      <w:r w:rsidRPr="00687DE8">
        <w:rPr>
          <w:szCs w:val="24"/>
        </w:rPr>
        <w:t>(1</w:t>
      </w:r>
      <w:r w:rsidR="005822F7">
        <w:rPr>
          <w:szCs w:val="24"/>
        </w:rPr>
        <w:t>7</w:t>
      </w:r>
      <w:r w:rsidRPr="00687DE8">
        <w:rPr>
          <w:szCs w:val="24"/>
        </w:rPr>
        <w:t>) Tervisekassa võtab koodiga 417R tähistatud ravimiteenuse eest tasu maksmise kohustuse üle ensümaatiliselt ja/või molekulaargeneetiliselt kinnitatud kuni keskmise raskusega mukopolüsahharidoosi VI alavormiga isikult.</w:t>
      </w:r>
    </w:p>
    <w:p w14:paraId="3A5DC030" w14:textId="6F67260F" w:rsidR="1762ABCE" w:rsidRPr="00687DE8" w:rsidRDefault="1762ABCE" w:rsidP="2A0EF365">
      <w:pPr>
        <w:spacing w:after="0" w:line="240" w:lineRule="auto"/>
        <w:jc w:val="both"/>
        <w:rPr>
          <w:szCs w:val="24"/>
        </w:rPr>
      </w:pPr>
    </w:p>
    <w:p w14:paraId="1090B8B2" w14:textId="47B2090C" w:rsidR="1762ABCE" w:rsidRPr="00687DE8" w:rsidRDefault="1762ABCE" w:rsidP="14821AE0">
      <w:pPr>
        <w:spacing w:after="0" w:line="240" w:lineRule="auto"/>
        <w:jc w:val="both"/>
        <w:rPr>
          <w:szCs w:val="24"/>
        </w:rPr>
      </w:pPr>
      <w:r w:rsidRPr="00687DE8">
        <w:rPr>
          <w:szCs w:val="24"/>
        </w:rPr>
        <w:lastRenderedPageBreak/>
        <w:t>(1</w:t>
      </w:r>
      <w:r w:rsidR="005822F7">
        <w:rPr>
          <w:szCs w:val="24"/>
        </w:rPr>
        <w:t>8</w:t>
      </w:r>
      <w:r w:rsidRPr="00687DE8">
        <w:rPr>
          <w:szCs w:val="24"/>
        </w:rPr>
        <w:t>) Ravi tulemuslikkust hinnatakse esimest korda ühe aasta möödumisel ravi algusest ning hiljem üks kord aastas. Ravi koodiga 417R tähistatud ravim</w:t>
      </w:r>
      <w:r w:rsidR="00B82126" w:rsidRPr="00687DE8">
        <w:rPr>
          <w:szCs w:val="24"/>
        </w:rPr>
        <w:t>i</w:t>
      </w:r>
      <w:r w:rsidRPr="00687DE8">
        <w:rPr>
          <w:szCs w:val="24"/>
        </w:rPr>
        <w:t>teenusega lõpetatakse, kui ravi tulemuslikkuse hindamise käigus tuvastatakse ühe või mitme haigusspetsiifilise näitaja negatiivne dünaamika, patsiendi füüsilise jõudluse vähenemine, kognitiivsete võimete halvenemine, neuroloogiliste sümptomite ilmnemine või liikumispuude süvenemine.</w:t>
      </w:r>
    </w:p>
    <w:p w14:paraId="09BE7810" w14:textId="77777777" w:rsidR="001B6EA6" w:rsidRDefault="001B6EA6" w:rsidP="14821AE0">
      <w:pPr>
        <w:spacing w:after="0" w:line="240" w:lineRule="auto"/>
        <w:jc w:val="both"/>
        <w:rPr>
          <w:szCs w:val="24"/>
        </w:rPr>
      </w:pPr>
    </w:p>
    <w:p w14:paraId="4F09854F" w14:textId="1411E5CE" w:rsidR="005A40CA" w:rsidRDefault="001B6EA6" w:rsidP="005A40CA">
      <w:pPr>
        <w:spacing w:after="0" w:line="240" w:lineRule="auto"/>
        <w:jc w:val="both"/>
      </w:pPr>
      <w:r>
        <w:t>(1</w:t>
      </w:r>
      <w:r w:rsidR="005822F7">
        <w:t>9</w:t>
      </w:r>
      <w:r>
        <w:t>)</w:t>
      </w:r>
      <w:r w:rsidR="005A40CA">
        <w:t xml:space="preserve"> </w:t>
      </w:r>
      <w:r w:rsidR="005A40CA" w:rsidRPr="002621F1">
        <w:t xml:space="preserve">Ravi alustamise koodiga 430R tähistatud ravimiteenusega </w:t>
      </w:r>
      <w:r w:rsidR="00483C32">
        <w:t>otsustab gastroenteroloog</w:t>
      </w:r>
      <w:r w:rsidR="006547EC">
        <w:t>.</w:t>
      </w:r>
    </w:p>
    <w:p w14:paraId="2BC272EB" w14:textId="33D251D3" w:rsidR="00054F6A" w:rsidRDefault="00054F6A" w:rsidP="005A40CA">
      <w:pPr>
        <w:spacing w:after="0" w:line="240" w:lineRule="auto"/>
        <w:jc w:val="both"/>
      </w:pPr>
    </w:p>
    <w:p w14:paraId="3781EB5A" w14:textId="0DA9DE84" w:rsidR="009E5134" w:rsidRPr="001C0FA8" w:rsidRDefault="00054F6A" w:rsidP="009E5134">
      <w:pPr>
        <w:spacing w:after="0" w:line="240" w:lineRule="auto"/>
        <w:jc w:val="both"/>
      </w:pPr>
      <w:r>
        <w:t>(</w:t>
      </w:r>
      <w:r w:rsidR="005822F7">
        <w:t>20</w:t>
      </w:r>
      <w:r w:rsidR="008B4FB1">
        <w:t xml:space="preserve">) </w:t>
      </w:r>
      <w:r w:rsidR="009E5134">
        <w:t xml:space="preserve">Tervisekassa võtab koodiga 430R tähistatud ravimiteenuse eest tasu maksmise kohustuse üle ägeda maksaporfüüriaga patsiendilt, kellel on viimase </w:t>
      </w:r>
      <w:r w:rsidR="009804A2">
        <w:t>kuue</w:t>
      </w:r>
      <w:r w:rsidR="009E5134">
        <w:t xml:space="preserve"> kuu jooksul esinenud vähemalt </w:t>
      </w:r>
      <w:r w:rsidR="009804A2">
        <w:t>kaks</w:t>
      </w:r>
      <w:r w:rsidR="007F68DD" w:rsidRPr="007F68DD">
        <w:t xml:space="preserve"> porfüüria</w:t>
      </w:r>
      <w:r w:rsidR="00D77B0B">
        <w:t>a</w:t>
      </w:r>
      <w:r w:rsidR="007F68DD" w:rsidRPr="007F68DD">
        <w:t>takki</w:t>
      </w:r>
      <w:r w:rsidR="009E5134">
        <w:t>, mis nõudsid hospitaliseerimist või kiireloomulist tervishoiuasutuse külastust ja/või intravenoosse hemiini manustamist.</w:t>
      </w:r>
    </w:p>
    <w:p w14:paraId="36438B62" w14:textId="0E2E9F6F" w:rsidR="00054F6A" w:rsidRPr="001C0FA8" w:rsidRDefault="00054F6A" w:rsidP="005A40CA">
      <w:pPr>
        <w:spacing w:after="0" w:line="240" w:lineRule="auto"/>
        <w:jc w:val="both"/>
        <w:rPr>
          <w:i/>
          <w:szCs w:val="24"/>
        </w:rPr>
      </w:pPr>
    </w:p>
    <w:p w14:paraId="3AFAAC02" w14:textId="381C5DFB" w:rsidR="00D94F72" w:rsidRPr="001C0FA8" w:rsidRDefault="00D94F72" w:rsidP="005A40CA">
      <w:pPr>
        <w:spacing w:after="0" w:line="240" w:lineRule="auto"/>
        <w:jc w:val="both"/>
      </w:pPr>
      <w:r w:rsidRPr="001C0FA8">
        <w:t>(2</w:t>
      </w:r>
      <w:r w:rsidR="005822F7">
        <w:t>1</w:t>
      </w:r>
      <w:r w:rsidRPr="00837AA9">
        <w:t xml:space="preserve">) </w:t>
      </w:r>
      <w:r w:rsidR="00E019CE">
        <w:t>Ravi koodiga 430R tähistatud ravimiteenusega lõpetatakse, kui ravi on ebaefektiivne (atakkide arv ei vähene või suureneb võrreldes patsiendi ravieelsete atakkide arvuga).</w:t>
      </w:r>
    </w:p>
    <w:p w14:paraId="4F40EBB1" w14:textId="73BF78C2" w:rsidR="023FE9EF" w:rsidRDefault="023FE9EF" w:rsidP="023FE9EF">
      <w:pPr>
        <w:spacing w:after="0" w:line="240" w:lineRule="auto"/>
        <w:jc w:val="both"/>
      </w:pPr>
    </w:p>
    <w:p w14:paraId="7D5A475B" w14:textId="07F52B65" w:rsidR="65E897AD" w:rsidRDefault="65E897AD" w:rsidP="023FE9EF">
      <w:pPr>
        <w:spacing w:after="0" w:line="240" w:lineRule="auto"/>
        <w:jc w:val="both"/>
      </w:pPr>
      <w:r>
        <w:t>(2</w:t>
      </w:r>
      <w:r w:rsidR="00837AA9">
        <w:t>2</w:t>
      </w:r>
      <w:r>
        <w:t xml:space="preserve">) Ravi alustamise </w:t>
      </w:r>
      <w:r w:rsidR="67BD1D52">
        <w:t>kriteeriumid koodiga 429R tähistatud ravimiteenusega</w:t>
      </w:r>
      <w:r w:rsidR="000C2B59">
        <w:t xml:space="preserve"> on järgmised</w:t>
      </w:r>
      <w:r w:rsidR="67BD1D52">
        <w:t>:</w:t>
      </w:r>
    </w:p>
    <w:p w14:paraId="4615502B" w14:textId="6855651A" w:rsidR="67BD1D52" w:rsidRPr="001C0FA8" w:rsidRDefault="67BD1D52" w:rsidP="2E3E8F61">
      <w:pPr>
        <w:spacing w:after="0" w:line="240" w:lineRule="auto"/>
        <w:jc w:val="both"/>
        <w:rPr>
          <w:sz w:val="22"/>
        </w:rPr>
      </w:pPr>
      <w:r>
        <w:t xml:space="preserve">1) </w:t>
      </w:r>
      <w:r w:rsidR="09F8D4AB">
        <w:t>imiku</w:t>
      </w:r>
      <w:r w:rsidR="0040231F">
        <w:t>d</w:t>
      </w:r>
      <w:r w:rsidR="09F8D4AB">
        <w:t xml:space="preserve"> (0</w:t>
      </w:r>
      <w:r w:rsidR="006547EC">
        <w:t>–6</w:t>
      </w:r>
      <w:r w:rsidR="09F8D4AB">
        <w:t xml:space="preserve"> kuud)</w:t>
      </w:r>
      <w:r w:rsidR="0040231F">
        <w:t xml:space="preserve"> –</w:t>
      </w:r>
      <w:r w:rsidR="09F8D4AB" w:rsidRPr="00424750">
        <w:rPr>
          <w:szCs w:val="24"/>
        </w:rPr>
        <w:t xml:space="preserve"> </w:t>
      </w:r>
      <w:r w:rsidR="09F8D4AB" w:rsidRPr="001C0FA8">
        <w:rPr>
          <w:szCs w:val="24"/>
        </w:rPr>
        <w:t>sümptomid</w:t>
      </w:r>
      <w:r w:rsidR="09F8D4AB" w:rsidRPr="001C0FA8">
        <w:rPr>
          <w:rFonts w:eastAsia="Calibri"/>
          <w:szCs w:val="24"/>
        </w:rPr>
        <w:t xml:space="preserve"> avalduvad </w:t>
      </w:r>
      <w:r w:rsidR="00BA04D1">
        <w:rPr>
          <w:rFonts w:eastAsia="Calibri"/>
          <w:szCs w:val="24"/>
        </w:rPr>
        <w:t>sünni eel, ajal või järel</w:t>
      </w:r>
      <w:r w:rsidR="09F8D4AB" w:rsidRPr="001C0FA8">
        <w:rPr>
          <w:rFonts w:eastAsia="Calibri"/>
          <w:szCs w:val="24"/>
        </w:rPr>
        <w:t xml:space="preserve"> kuni </w:t>
      </w:r>
      <w:r w:rsidR="00BA04D1">
        <w:rPr>
          <w:rFonts w:eastAsia="Calibri"/>
          <w:szCs w:val="24"/>
        </w:rPr>
        <w:t>kuue </w:t>
      </w:r>
      <w:r w:rsidR="09F8D4AB" w:rsidRPr="001C0FA8">
        <w:rPr>
          <w:rFonts w:eastAsia="Calibri"/>
          <w:szCs w:val="24"/>
        </w:rPr>
        <w:t>kuu vanuses</w:t>
      </w:r>
      <w:r w:rsidR="09F8D4AB" w:rsidRPr="001C0FA8">
        <w:rPr>
          <w:szCs w:val="24"/>
        </w:rPr>
        <w:t>;</w:t>
      </w:r>
    </w:p>
    <w:p w14:paraId="4A39C2FF" w14:textId="5D3A8587" w:rsidR="5B2B30FF" w:rsidRPr="001C0FA8" w:rsidRDefault="7AC1BCB0" w:rsidP="5B2B30FF">
      <w:pPr>
        <w:spacing w:after="0" w:line="240" w:lineRule="auto"/>
        <w:jc w:val="both"/>
        <w:rPr>
          <w:rFonts w:eastAsia="Calibri"/>
        </w:rPr>
      </w:pPr>
      <w:r w:rsidRPr="001C0FA8">
        <w:rPr>
          <w:rFonts w:eastAsia="Calibri"/>
        </w:rPr>
        <w:t xml:space="preserve">2) </w:t>
      </w:r>
      <w:r>
        <w:t>la</w:t>
      </w:r>
      <w:r w:rsidR="0040231F">
        <w:t>psed</w:t>
      </w:r>
      <w:r>
        <w:t xml:space="preserve"> </w:t>
      </w:r>
      <w:r w:rsidR="0040231F">
        <w:t>(</w:t>
      </w:r>
      <w:r w:rsidR="7E652DCB">
        <w:t>7</w:t>
      </w:r>
      <w:r>
        <w:t xml:space="preserve"> kuud –</w:t>
      </w:r>
      <w:r w:rsidR="0040231F">
        <w:t xml:space="preserve"> </w:t>
      </w:r>
      <w:r>
        <w:t>17 aastat)</w:t>
      </w:r>
      <w:r w:rsidR="0040231F">
        <w:t xml:space="preserve"> –</w:t>
      </w:r>
      <w:r w:rsidR="1E180287">
        <w:rPr>
          <w:rFonts w:eastAsia="Calibri"/>
        </w:rPr>
        <w:t xml:space="preserve"> </w:t>
      </w:r>
      <w:r w:rsidR="1E180287" w:rsidRPr="001C0FA8">
        <w:rPr>
          <w:rFonts w:eastAsia="Calibri"/>
        </w:rPr>
        <w:t>sümptomid avalduvad ning esineb</w:t>
      </w:r>
      <w:r w:rsidR="1E180287" w:rsidRPr="5E9AE509">
        <w:rPr>
          <w:rFonts w:eastAsia="Calibri"/>
        </w:rPr>
        <w:t xml:space="preserve"> </w:t>
      </w:r>
      <w:r w:rsidR="4DF1BE6A" w:rsidRPr="10FBD6D1">
        <w:rPr>
          <w:rFonts w:eastAsia="Calibri"/>
        </w:rPr>
        <w:t>vähemalt</w:t>
      </w:r>
      <w:r w:rsidR="2A1F8996" w:rsidRPr="001C0FA8">
        <w:rPr>
          <w:rFonts w:eastAsia="Calibri"/>
        </w:rPr>
        <w:t xml:space="preserve"> </w:t>
      </w:r>
      <w:r w:rsidR="008B420D">
        <w:rPr>
          <w:rFonts w:eastAsia="Calibri"/>
        </w:rPr>
        <w:t>üks</w:t>
      </w:r>
      <w:r w:rsidR="1E180287" w:rsidRPr="001C0FA8">
        <w:rPr>
          <w:rFonts w:eastAsia="Calibri"/>
        </w:rPr>
        <w:t xml:space="preserve"> </w:t>
      </w:r>
      <w:r w:rsidR="2D8DD1A9" w:rsidRPr="277954A1">
        <w:rPr>
          <w:rFonts w:eastAsia="Calibri"/>
        </w:rPr>
        <w:t>järg</w:t>
      </w:r>
      <w:r w:rsidR="0040231F">
        <w:rPr>
          <w:rFonts w:eastAsia="Calibri"/>
        </w:rPr>
        <w:t>mistest</w:t>
      </w:r>
      <w:r w:rsidR="1E180287" w:rsidRPr="001C0FA8">
        <w:rPr>
          <w:rFonts w:eastAsia="Calibri"/>
        </w:rPr>
        <w:t xml:space="preserve"> kriteeriumi</w:t>
      </w:r>
      <w:r w:rsidR="0040231F">
        <w:rPr>
          <w:rFonts w:eastAsia="Calibri"/>
        </w:rPr>
        <w:t>dest</w:t>
      </w:r>
      <w:r w:rsidR="1BB182D0" w:rsidRPr="277954A1">
        <w:rPr>
          <w:rFonts w:eastAsia="Calibri"/>
        </w:rPr>
        <w:t>:</w:t>
      </w:r>
      <w:r w:rsidR="1E180287" w:rsidRPr="277954A1">
        <w:rPr>
          <w:rFonts w:eastAsia="Calibri"/>
        </w:rPr>
        <w:t xml:space="preserve"> </w:t>
      </w:r>
      <w:r w:rsidR="1E180287" w:rsidRPr="001C0FA8">
        <w:rPr>
          <w:rFonts w:eastAsia="Calibri"/>
        </w:rPr>
        <w:t>patsient ei ole saavutanud eakohaseid motoorseid oskusi võ</w:t>
      </w:r>
      <w:r w:rsidR="1E180287" w:rsidRPr="277954A1">
        <w:rPr>
          <w:rFonts w:eastAsia="Calibri"/>
        </w:rPr>
        <w:t>i</w:t>
      </w:r>
      <w:r w:rsidR="1E180287" w:rsidRPr="001C0FA8">
        <w:rPr>
          <w:rFonts w:eastAsia="Calibri"/>
        </w:rPr>
        <w:t xml:space="preserve"> patsiendi liikumisvõime on olulisel määral piiratud (</w:t>
      </w:r>
      <w:r w:rsidR="009804A2">
        <w:rPr>
          <w:rFonts w:eastAsia="Calibri"/>
        </w:rPr>
        <w:t>kuue</w:t>
      </w:r>
      <w:r w:rsidR="71CE5D14" w:rsidRPr="6C732B5E">
        <w:rPr>
          <w:rFonts w:eastAsia="Calibri"/>
        </w:rPr>
        <w:t xml:space="preserve"> minuti kõnnitesti tulemus</w:t>
      </w:r>
      <w:r w:rsidR="0040231F">
        <w:rPr>
          <w:rFonts w:eastAsia="Calibri"/>
        </w:rPr>
        <w:t>e on</w:t>
      </w:r>
      <w:r w:rsidR="71CE5D14" w:rsidRPr="6C732B5E">
        <w:rPr>
          <w:rFonts w:eastAsia="Calibri"/>
        </w:rPr>
        <w:t xml:space="preserve"> fikseeri</w:t>
      </w:r>
      <w:r w:rsidR="0040231F">
        <w:rPr>
          <w:rFonts w:eastAsia="Calibri"/>
        </w:rPr>
        <w:t>nud</w:t>
      </w:r>
      <w:r w:rsidR="1E180287" w:rsidRPr="001C0FA8">
        <w:rPr>
          <w:rFonts w:eastAsia="Calibri"/>
        </w:rPr>
        <w:t xml:space="preserve"> füsioterapeu</w:t>
      </w:r>
      <w:r w:rsidR="0040231F">
        <w:rPr>
          <w:rFonts w:eastAsia="Calibri"/>
        </w:rPr>
        <w:t>t</w:t>
      </w:r>
      <w:r w:rsidR="1E180287" w:rsidRPr="001C0FA8">
        <w:rPr>
          <w:rFonts w:eastAsia="Calibri"/>
        </w:rPr>
        <w:t xml:space="preserve"> või taastus</w:t>
      </w:r>
      <w:r w:rsidR="0040231F">
        <w:rPr>
          <w:rFonts w:eastAsia="Calibri"/>
        </w:rPr>
        <w:t>arst)</w:t>
      </w:r>
      <w:r w:rsidR="1E180287" w:rsidRPr="001C0FA8">
        <w:rPr>
          <w:rFonts w:eastAsia="Calibri"/>
        </w:rPr>
        <w:t xml:space="preserve"> või patsiendil püsib või taastekib pidev luu-lihaskonna valu, mis mõjutab oluliselt tema elukvaliteeti, ja eelnev valuravi on jäänud efektita, st valu on proovitud kontrollida vähemalt kahe erineva klassi valuvaigistiga;</w:t>
      </w:r>
    </w:p>
    <w:p w14:paraId="04619E8F" w14:textId="0AC60C7A" w:rsidR="1E180287" w:rsidRPr="00D548AF" w:rsidRDefault="1E180287" w:rsidP="0A01AA0F">
      <w:pPr>
        <w:spacing w:after="0" w:line="240" w:lineRule="auto"/>
        <w:jc w:val="both"/>
      </w:pPr>
      <w:r w:rsidRPr="001C0FA8">
        <w:t>3) täiskasvanu</w:t>
      </w:r>
      <w:r w:rsidR="0040231F">
        <w:t>d</w:t>
      </w:r>
      <w:r w:rsidRPr="001C0FA8">
        <w:t xml:space="preserve"> (alates 18</w:t>
      </w:r>
      <w:r w:rsidR="007A5D2E">
        <w:t>.</w:t>
      </w:r>
      <w:r w:rsidRPr="001C0FA8">
        <w:t xml:space="preserve"> aasta</w:t>
      </w:r>
      <w:r w:rsidR="0040231F">
        <w:t>s</w:t>
      </w:r>
      <w:r w:rsidRPr="001C0FA8">
        <w:t>t)</w:t>
      </w:r>
      <w:r w:rsidR="0040231F">
        <w:t xml:space="preserve"> –</w:t>
      </w:r>
      <w:r>
        <w:t xml:space="preserve"> </w:t>
      </w:r>
      <w:r w:rsidRPr="001C0FA8">
        <w:t xml:space="preserve">sümptomid avalduvad ning esineb vähemalt </w:t>
      </w:r>
      <w:r w:rsidR="008B420D">
        <w:t>kaks</w:t>
      </w:r>
      <w:r w:rsidRPr="001C0FA8">
        <w:t xml:space="preserve"> </w:t>
      </w:r>
      <w:r w:rsidR="3B01D14A">
        <w:t>järg</w:t>
      </w:r>
      <w:r w:rsidR="0040231F">
        <w:t>mistest</w:t>
      </w:r>
      <w:r w:rsidRPr="001C0FA8">
        <w:t xml:space="preserve"> kriteerium</w:t>
      </w:r>
      <w:r w:rsidR="47125C57">
        <w:t>i</w:t>
      </w:r>
      <w:r w:rsidR="0040231F">
        <w:t>dest</w:t>
      </w:r>
      <w:r w:rsidR="47125C57">
        <w:t>:</w:t>
      </w:r>
      <w:r w:rsidRPr="001C0FA8">
        <w:t xml:space="preserve"> patsiendil esinevad luumurrud, mis on tekkinud ilma traumata</w:t>
      </w:r>
      <w:r w:rsidR="77292F3E">
        <w:t xml:space="preserve"> ja/või</w:t>
      </w:r>
      <w:r w:rsidRPr="001C0FA8">
        <w:t xml:space="preserve"> patsiendi liikumisvõime on olulisel määral piiratud (</w:t>
      </w:r>
      <w:r w:rsidR="009804A2">
        <w:t>kuue</w:t>
      </w:r>
      <w:r w:rsidR="29C5998F">
        <w:t xml:space="preserve"> minuti kõnnitesti tulemus</w:t>
      </w:r>
      <w:r w:rsidR="0040231F">
        <w:t>e on</w:t>
      </w:r>
      <w:r w:rsidR="29C5998F">
        <w:t xml:space="preserve"> fikseeri</w:t>
      </w:r>
      <w:r w:rsidR="0040231F">
        <w:t>nud</w:t>
      </w:r>
      <w:r w:rsidRPr="001C0FA8">
        <w:t xml:space="preserve"> füsioterapeu</w:t>
      </w:r>
      <w:r w:rsidR="0040231F">
        <w:t>t</w:t>
      </w:r>
      <w:r w:rsidRPr="001C0FA8">
        <w:t xml:space="preserve"> või taastus</w:t>
      </w:r>
      <w:r w:rsidR="0040231F">
        <w:t>arst)</w:t>
      </w:r>
      <w:r w:rsidR="5F982F22">
        <w:t xml:space="preserve"> ja/või</w:t>
      </w:r>
      <w:r w:rsidRPr="001C0FA8">
        <w:t xml:space="preserve"> patsiendil püsib või taastekib pidev luu-lihaskonna valu, mis mõjutab oluliselt tema elukvaliteeti</w:t>
      </w:r>
      <w:r w:rsidR="0040231F">
        <w:t>,</w:t>
      </w:r>
      <w:r w:rsidRPr="001C0FA8">
        <w:t xml:space="preserve"> ja eelnev valuravi on jäänud efektita, st valu on proovitud kontrollida vähemalt kahe erineva klassi valuvaigistiga.</w:t>
      </w:r>
    </w:p>
    <w:p w14:paraId="2B081ACD" w14:textId="21CC66BB" w:rsidR="3441A229" w:rsidRPr="00424750" w:rsidRDefault="3441A229" w:rsidP="3441A229">
      <w:pPr>
        <w:spacing w:after="0" w:line="240" w:lineRule="auto"/>
        <w:jc w:val="both"/>
        <w:rPr>
          <w:szCs w:val="24"/>
        </w:rPr>
      </w:pPr>
    </w:p>
    <w:p w14:paraId="1C8FD920" w14:textId="5527A781" w:rsidR="248A14A9" w:rsidRPr="00D548AF" w:rsidRDefault="248A14A9" w:rsidP="3441A229">
      <w:pPr>
        <w:spacing w:after="0" w:line="240" w:lineRule="auto"/>
        <w:jc w:val="both"/>
      </w:pPr>
      <w:r>
        <w:t>(2</w:t>
      </w:r>
      <w:r w:rsidR="00837AA9">
        <w:t>3</w:t>
      </w:r>
      <w:r>
        <w:t xml:space="preserve">) Koodiga 429R </w:t>
      </w:r>
      <w:r w:rsidR="00245D4E">
        <w:t>tähistatud</w:t>
      </w:r>
      <w:r>
        <w:t xml:space="preserve"> ravimiteenuse raviefekti </w:t>
      </w:r>
      <w:r w:rsidR="5D163BBA" w:rsidRPr="00EB09FE">
        <w:rPr>
          <w:rFonts w:eastAsia="Calibri"/>
        </w:rPr>
        <w:t>hin</w:t>
      </w:r>
      <w:r w:rsidR="0040231F">
        <w:rPr>
          <w:rFonts w:eastAsia="Calibri"/>
        </w:rPr>
        <w:t>dab raviarst</w:t>
      </w:r>
      <w:r w:rsidR="5D163BBA" w:rsidRPr="00EB09FE">
        <w:rPr>
          <w:rFonts w:eastAsia="Calibri"/>
        </w:rPr>
        <w:t xml:space="preserve"> pärast ravi alustamist </w:t>
      </w:r>
      <w:r w:rsidR="5D163BBA" w:rsidRPr="00EB09FE">
        <w:t>kuuendal</w:t>
      </w:r>
      <w:r w:rsidR="5D163BBA" w:rsidRPr="00EB09FE">
        <w:rPr>
          <w:rFonts w:eastAsia="Calibri"/>
        </w:rPr>
        <w:t xml:space="preserve"> ja </w:t>
      </w:r>
      <w:r w:rsidR="5D163BBA" w:rsidRPr="00EB09FE">
        <w:t>kaheteistkümnendal</w:t>
      </w:r>
      <w:r w:rsidR="5D163BBA" w:rsidRPr="00EB09FE">
        <w:rPr>
          <w:rFonts w:eastAsia="Calibri"/>
        </w:rPr>
        <w:t xml:space="preserve"> ravikuul ning seejärel 12-kuulise intervalliga</w:t>
      </w:r>
      <w:r w:rsidR="0040231F">
        <w:rPr>
          <w:rFonts w:eastAsia="Calibri"/>
        </w:rPr>
        <w:t>.</w:t>
      </w:r>
    </w:p>
    <w:p w14:paraId="5A9494BF" w14:textId="77777777" w:rsidR="009479AD" w:rsidRPr="00D548AF" w:rsidRDefault="009479AD" w:rsidP="434FB38E">
      <w:pPr>
        <w:spacing w:after="0" w:line="240" w:lineRule="auto"/>
        <w:jc w:val="both"/>
        <w:rPr>
          <w:szCs w:val="24"/>
        </w:rPr>
      </w:pPr>
    </w:p>
    <w:p w14:paraId="226531A9" w14:textId="6D51DEA5" w:rsidR="009479AD" w:rsidRDefault="009479AD" w:rsidP="009479AD">
      <w:pPr>
        <w:spacing w:after="0" w:line="240" w:lineRule="auto"/>
        <w:jc w:val="both"/>
      </w:pPr>
      <w:r>
        <w:t>(2</w:t>
      </w:r>
      <w:r w:rsidR="00C76DFD">
        <w:t>4</w:t>
      </w:r>
      <w:r>
        <w:t>) Ravi alustamise koodiga 429R</w:t>
      </w:r>
      <w:r w:rsidR="00790119">
        <w:t xml:space="preserve"> </w:t>
      </w:r>
      <w:r>
        <w:t xml:space="preserve">tähistatud ravimiteenusega otsustab kolmeliikmeline </w:t>
      </w:r>
      <w:r w:rsidR="009804A2">
        <w:t>eksper</w:t>
      </w:r>
      <w:r w:rsidR="0045335E">
        <w:t>di</w:t>
      </w:r>
      <w:r w:rsidR="009804A2">
        <w:t>komisjon</w:t>
      </w:r>
      <w:r>
        <w:t xml:space="preserve">, </w:t>
      </w:r>
      <w:r w:rsidR="009804A2">
        <w:t xml:space="preserve">kuhu kuulub </w:t>
      </w:r>
      <w:r>
        <w:t>vähemalt üks endokrinoloog ja vähemalt üks meditsiinigeneetik.</w:t>
      </w:r>
    </w:p>
    <w:p w14:paraId="7232D012" w14:textId="77777777" w:rsidR="009479AD" w:rsidRDefault="009479AD" w:rsidP="71C027CD">
      <w:pPr>
        <w:spacing w:after="0" w:line="240" w:lineRule="auto"/>
        <w:jc w:val="both"/>
      </w:pPr>
    </w:p>
    <w:p w14:paraId="3E68DB7B" w14:textId="12C560DE" w:rsidR="5D163BBA" w:rsidRPr="00D548AF" w:rsidRDefault="5D163BBA" w:rsidP="71C027CD">
      <w:pPr>
        <w:spacing w:after="0" w:line="240" w:lineRule="auto"/>
        <w:jc w:val="both"/>
      </w:pPr>
      <w:r>
        <w:t>(2</w:t>
      </w:r>
      <w:r w:rsidR="00C76DFD">
        <w:t>5</w:t>
      </w:r>
      <w:r>
        <w:t xml:space="preserve">) Koodiga 429R </w:t>
      </w:r>
      <w:r w:rsidR="00522DD8">
        <w:t>tähistatud</w:t>
      </w:r>
      <w:r>
        <w:t xml:space="preserve"> ravimiteenus</w:t>
      </w:r>
      <w:r w:rsidR="00E3677C">
        <w:t>e</w:t>
      </w:r>
      <w:r>
        <w:t xml:space="preserve"> osutamine lõpetatakse</w:t>
      </w:r>
      <w:r w:rsidRPr="4536FD26">
        <w:rPr>
          <w:rFonts w:eastAsia="Calibri"/>
        </w:rPr>
        <w:t xml:space="preserve"> </w:t>
      </w:r>
      <w:r w:rsidR="009920FA" w:rsidRPr="4536FD26">
        <w:rPr>
          <w:rFonts w:eastAsia="Calibri"/>
        </w:rPr>
        <w:t>eksperdikomisjoni</w:t>
      </w:r>
      <w:r w:rsidRPr="4536FD26">
        <w:rPr>
          <w:rFonts w:eastAsia="Calibri"/>
        </w:rPr>
        <w:t xml:space="preserve"> otsusega</w:t>
      </w:r>
      <w:r w:rsidR="00522DD8" w:rsidRPr="4536FD26">
        <w:rPr>
          <w:rFonts w:eastAsia="Calibri"/>
        </w:rPr>
        <w:t>,</w:t>
      </w:r>
      <w:r w:rsidRPr="4536FD26">
        <w:rPr>
          <w:rFonts w:eastAsia="Calibri"/>
        </w:rPr>
        <w:t xml:space="preserve"> kui raviefekt hinnatakse puudulikuks</w:t>
      </w:r>
      <w:r w:rsidR="52661663" w:rsidRPr="4536FD26">
        <w:rPr>
          <w:rFonts w:eastAsia="Calibri"/>
        </w:rPr>
        <w:t xml:space="preserve"> (sh halveneb ravi alguses fikseeritud </w:t>
      </w:r>
      <w:r w:rsidR="009804A2" w:rsidRPr="4536FD26">
        <w:rPr>
          <w:rFonts w:eastAsia="Calibri"/>
        </w:rPr>
        <w:t>kuue</w:t>
      </w:r>
      <w:r w:rsidR="52661663" w:rsidRPr="4536FD26">
        <w:rPr>
          <w:rFonts w:eastAsia="Calibri"/>
        </w:rPr>
        <w:t xml:space="preserve"> minuti </w:t>
      </w:r>
      <w:r w:rsidR="59C6DA93" w:rsidRPr="4536FD26">
        <w:rPr>
          <w:rFonts w:eastAsia="Calibri"/>
        </w:rPr>
        <w:t>kõnnitesti tulemus)</w:t>
      </w:r>
      <w:r w:rsidRPr="4536FD26">
        <w:rPr>
          <w:rFonts w:eastAsia="Calibri"/>
        </w:rPr>
        <w:t>, ravisoostumus on puudulik või kui patsiendi elukvaliteet võrreldes ravile eelneva ajaga</w:t>
      </w:r>
      <w:r w:rsidR="0C4DCA98" w:rsidRPr="4536FD26">
        <w:rPr>
          <w:rFonts w:eastAsia="Calibri"/>
        </w:rPr>
        <w:t xml:space="preserve"> ei parane.</w:t>
      </w:r>
    </w:p>
    <w:p w14:paraId="56AAD866" w14:textId="7ABAB825" w:rsidR="4536FD26" w:rsidRDefault="4536FD26" w:rsidP="4536FD26">
      <w:pPr>
        <w:spacing w:after="0" w:line="240" w:lineRule="auto"/>
        <w:jc w:val="both"/>
        <w:rPr>
          <w:rFonts w:eastAsia="Calibri"/>
        </w:rPr>
      </w:pPr>
    </w:p>
    <w:p w14:paraId="70860CFE" w14:textId="5487FF5B" w:rsidR="5869CA1B" w:rsidRPr="00987EEC" w:rsidRDefault="5869CA1B" w:rsidP="00987EEC">
      <w:pPr>
        <w:spacing w:after="0"/>
        <w:jc w:val="both"/>
        <w:rPr>
          <w:rFonts w:eastAsia="Calibri"/>
          <w:color w:val="000000" w:themeColor="text1"/>
        </w:rPr>
      </w:pPr>
      <w:r w:rsidRPr="00987EEC">
        <w:rPr>
          <w:rFonts w:eastAsia="Calibri"/>
          <w:color w:val="000000" w:themeColor="text1"/>
        </w:rPr>
        <w:t xml:space="preserve">(26) Tervisekassa võtab koodiga 447R tähistatud ravimiteenuse eest tasu maksmise kohustuse üle nägemisnärvi neuromüeliidi spektri häire korral patsiendilt, kes on akvaporiin-4 (AQP4) vastaste antikehade suhtes positiivne, kelle füüsilise puude </w:t>
      </w:r>
      <w:r w:rsidRPr="24ECAF88">
        <w:rPr>
          <w:rFonts w:eastAsia="Calibri"/>
          <w:color w:val="000000" w:themeColor="text1"/>
        </w:rPr>
        <w:t>raskus</w:t>
      </w:r>
      <w:r w:rsidR="00B16E94">
        <w:rPr>
          <w:rFonts w:eastAsia="Calibri"/>
          <w:color w:val="000000" w:themeColor="text1"/>
        </w:rPr>
        <w:t>e</w:t>
      </w:r>
      <w:r w:rsidRPr="24ECAF88">
        <w:rPr>
          <w:rFonts w:eastAsia="Calibri"/>
          <w:color w:val="000000" w:themeColor="text1"/>
        </w:rPr>
        <w:t xml:space="preserve"> skaala</w:t>
      </w:r>
      <w:r w:rsidR="37BD6981" w:rsidRPr="24ECAF88">
        <w:rPr>
          <w:rFonts w:eastAsia="Calibri"/>
          <w:color w:val="000000" w:themeColor="text1"/>
        </w:rPr>
        <w:t xml:space="preserve"> (EDSS)</w:t>
      </w:r>
      <w:r w:rsidRPr="24ECAF88">
        <w:rPr>
          <w:rFonts w:eastAsia="Calibri"/>
          <w:color w:val="000000" w:themeColor="text1"/>
        </w:rPr>
        <w:t xml:space="preserve"> </w:t>
      </w:r>
      <w:r w:rsidR="79F7A682" w:rsidRPr="24ECAF88">
        <w:rPr>
          <w:rFonts w:eastAsia="Calibri"/>
          <w:color w:val="000000" w:themeColor="text1"/>
        </w:rPr>
        <w:t>skoor</w:t>
      </w:r>
      <w:r w:rsidRPr="00987EEC">
        <w:rPr>
          <w:rFonts w:eastAsia="Calibri"/>
          <w:color w:val="000000" w:themeColor="text1"/>
        </w:rPr>
        <w:t xml:space="preserve"> on ≤ 7 </w:t>
      </w:r>
      <w:r w:rsidR="3FF0181D" w:rsidRPr="3749B0B3">
        <w:rPr>
          <w:rFonts w:eastAsia="Calibri"/>
          <w:color w:val="000000" w:themeColor="text1"/>
        </w:rPr>
        <w:t>ja</w:t>
      </w:r>
      <w:r w:rsidRPr="00987EEC">
        <w:rPr>
          <w:rFonts w:eastAsia="Calibri"/>
          <w:color w:val="000000" w:themeColor="text1"/>
        </w:rPr>
        <w:t xml:space="preserve"> kellel ravi rituksimabiga on meditsiiniliselt vastunäidustatud või on vähemalt </w:t>
      </w:r>
      <w:r w:rsidR="74DA0EA3" w:rsidRPr="24ECAF88">
        <w:rPr>
          <w:rFonts w:eastAsia="Calibri"/>
          <w:color w:val="000000" w:themeColor="text1"/>
        </w:rPr>
        <w:t>nelja</w:t>
      </w:r>
      <w:r w:rsidRPr="00987EEC">
        <w:rPr>
          <w:rFonts w:eastAsia="Calibri"/>
          <w:color w:val="000000" w:themeColor="text1"/>
        </w:rPr>
        <w:t xml:space="preserve">kuulise rituksimabi ravi foonil </w:t>
      </w:r>
      <w:r w:rsidR="1FB6D822" w:rsidRPr="3749B0B3">
        <w:rPr>
          <w:rFonts w:eastAsia="Calibri"/>
          <w:color w:val="000000" w:themeColor="text1"/>
        </w:rPr>
        <w:t xml:space="preserve">esinenud </w:t>
      </w:r>
      <w:r w:rsidR="36C81B89" w:rsidRPr="3749B0B3">
        <w:rPr>
          <w:rFonts w:eastAsia="Calibri"/>
          <w:color w:val="000000" w:themeColor="text1"/>
        </w:rPr>
        <w:t xml:space="preserve">haiguse </w:t>
      </w:r>
      <w:r w:rsidR="657090E9" w:rsidRPr="3749B0B3">
        <w:rPr>
          <w:rFonts w:eastAsia="Calibri"/>
          <w:color w:val="000000" w:themeColor="text1"/>
        </w:rPr>
        <w:t>ägene</w:t>
      </w:r>
      <w:r w:rsidR="53CFD021" w:rsidRPr="3749B0B3">
        <w:rPr>
          <w:rFonts w:eastAsia="Calibri"/>
          <w:color w:val="000000" w:themeColor="text1"/>
        </w:rPr>
        <w:t>mine.</w:t>
      </w:r>
      <w:r w:rsidRPr="00987EEC">
        <w:rPr>
          <w:rFonts w:eastAsia="Calibri"/>
          <w:color w:val="000000" w:themeColor="text1"/>
        </w:rPr>
        <w:t xml:space="preserve"> Enne ravi alustamist peab patsient olema vaktsineeritud </w:t>
      </w:r>
      <w:r w:rsidRPr="00987EEC">
        <w:rPr>
          <w:rFonts w:eastAsia="Calibri"/>
          <w:color w:val="000000" w:themeColor="text1"/>
        </w:rPr>
        <w:lastRenderedPageBreak/>
        <w:t xml:space="preserve">meningokokkinfektsiooni vastu. Ravi alustamise </w:t>
      </w:r>
      <w:r w:rsidR="189DC2C9" w:rsidRPr="24ECAF88">
        <w:rPr>
          <w:rFonts w:eastAsia="Calibri"/>
          <w:color w:val="000000" w:themeColor="text1"/>
        </w:rPr>
        <w:t>ja lõpetamise</w:t>
      </w:r>
      <w:r w:rsidRPr="24ECAF88">
        <w:rPr>
          <w:rFonts w:eastAsia="Calibri"/>
          <w:color w:val="000000" w:themeColor="text1"/>
        </w:rPr>
        <w:t xml:space="preserve"> </w:t>
      </w:r>
      <w:r w:rsidRPr="00987EEC">
        <w:rPr>
          <w:rFonts w:eastAsia="Calibri"/>
          <w:color w:val="000000" w:themeColor="text1"/>
        </w:rPr>
        <w:t xml:space="preserve">üle otsustab neuroloogidest koosnev eksperdikomisjon.  </w:t>
      </w:r>
    </w:p>
    <w:p w14:paraId="405ECA6F" w14:textId="49415A1A" w:rsidR="5869CA1B" w:rsidRPr="00987EEC" w:rsidRDefault="5869CA1B" w:rsidP="4536FD26">
      <w:pPr>
        <w:spacing w:after="0"/>
        <w:jc w:val="both"/>
        <w:rPr>
          <w:color w:val="000000" w:themeColor="text1"/>
          <w:szCs w:val="24"/>
        </w:rPr>
      </w:pPr>
      <w:r w:rsidRPr="00987EEC">
        <w:rPr>
          <w:color w:val="000000" w:themeColor="text1"/>
          <w:szCs w:val="24"/>
        </w:rPr>
        <w:t xml:space="preserve">  </w:t>
      </w:r>
    </w:p>
    <w:p w14:paraId="415EA3FB" w14:textId="18C96D9E" w:rsidR="5869CA1B" w:rsidRPr="00987EEC" w:rsidRDefault="5869CA1B" w:rsidP="4536FD26">
      <w:pPr>
        <w:spacing w:after="0"/>
        <w:jc w:val="both"/>
        <w:rPr>
          <w:color w:val="000000" w:themeColor="text1"/>
        </w:rPr>
      </w:pPr>
      <w:r w:rsidRPr="00987EEC">
        <w:rPr>
          <w:rFonts w:eastAsia="Calibri"/>
          <w:color w:val="000000" w:themeColor="text1"/>
        </w:rPr>
        <w:t>(27) Koodiga 447R tähistatud ravimiteenuse osutamine lõpetatakse</w:t>
      </w:r>
      <w:r w:rsidR="6318BAD0" w:rsidRPr="24ECAF88">
        <w:rPr>
          <w:rFonts w:eastAsia="Calibri"/>
          <w:color w:val="000000" w:themeColor="text1"/>
        </w:rPr>
        <w:t>,</w:t>
      </w:r>
      <w:r w:rsidRPr="00987EEC">
        <w:rPr>
          <w:rFonts w:eastAsia="Calibri"/>
          <w:color w:val="000000" w:themeColor="text1"/>
        </w:rPr>
        <w:t xml:space="preserve"> kui vaatamata adekvaatses doosis </w:t>
      </w:r>
      <w:r w:rsidR="22076473" w:rsidRPr="3749B0B3">
        <w:rPr>
          <w:rFonts w:eastAsia="Calibri"/>
          <w:color w:val="000000" w:themeColor="text1"/>
        </w:rPr>
        <w:t>ravi</w:t>
      </w:r>
      <w:r w:rsidR="07C7B731" w:rsidRPr="3749B0B3">
        <w:rPr>
          <w:rFonts w:eastAsia="Calibri"/>
          <w:color w:val="000000" w:themeColor="text1"/>
        </w:rPr>
        <w:t>mi</w:t>
      </w:r>
      <w:r w:rsidRPr="00987EEC">
        <w:rPr>
          <w:rFonts w:eastAsia="Calibri"/>
          <w:color w:val="000000" w:themeColor="text1"/>
        </w:rPr>
        <w:t xml:space="preserve"> manustamisele ilmnevad uued haiguse ägenemised </w:t>
      </w:r>
      <w:r w:rsidR="2CF6A514" w:rsidRPr="24ECAF88">
        <w:rPr>
          <w:rFonts w:eastAsia="Calibri"/>
          <w:color w:val="000000" w:themeColor="text1"/>
        </w:rPr>
        <w:t>kuni</w:t>
      </w:r>
      <w:r w:rsidRPr="24ECAF88">
        <w:rPr>
          <w:rFonts w:eastAsia="Calibri"/>
          <w:color w:val="000000" w:themeColor="text1"/>
        </w:rPr>
        <w:t xml:space="preserve"> </w:t>
      </w:r>
      <w:r w:rsidRPr="00987EEC">
        <w:rPr>
          <w:rFonts w:eastAsia="Calibri"/>
          <w:color w:val="000000" w:themeColor="text1"/>
        </w:rPr>
        <w:t>kolmel korral.</w:t>
      </w:r>
    </w:p>
    <w:p w14:paraId="46B4687D" w14:textId="6A87A271" w:rsidR="00B4E0D6" w:rsidRDefault="00B4E0D6" w:rsidP="00B4E0D6">
      <w:pPr>
        <w:spacing w:after="0" w:line="240" w:lineRule="auto"/>
        <w:jc w:val="both"/>
        <w:rPr>
          <w:rFonts w:eastAsia="Calibri"/>
        </w:rPr>
      </w:pPr>
    </w:p>
    <w:p w14:paraId="61D10C21" w14:textId="77777777" w:rsidR="00976487" w:rsidRDefault="5C52CFD9" w:rsidP="5C52CFD9">
      <w:pPr>
        <w:pStyle w:val="Pealkiri3"/>
        <w:spacing w:before="0" w:after="0" w:afterAutospacing="0"/>
        <w:jc w:val="both"/>
        <w:divId w:val="1316184749"/>
        <w:rPr>
          <w:sz w:val="24"/>
          <w:szCs w:val="24"/>
        </w:rPr>
      </w:pPr>
      <w:r w:rsidRPr="00687DE8">
        <w:rPr>
          <w:rStyle w:val="Tugev"/>
          <w:b/>
          <w:bCs/>
          <w:sz w:val="24"/>
          <w:szCs w:val="24"/>
        </w:rPr>
        <w:t>§ 65.</w:t>
      </w:r>
      <w:r w:rsidRPr="00687DE8">
        <w:rPr>
          <w:sz w:val="24"/>
          <w:szCs w:val="24"/>
        </w:rPr>
        <w:t> Tervishoiuteenuste osutamisel kasutatavad §-des 62–64 nimetamata ravimiteenused</w:t>
      </w:r>
    </w:p>
    <w:p w14:paraId="24311C91" w14:textId="77777777" w:rsidR="0084789F" w:rsidRDefault="0084789F" w:rsidP="00976487">
      <w:pPr>
        <w:pStyle w:val="Normaallaadveeb"/>
        <w:spacing w:before="0" w:after="0" w:afterAutospacing="0"/>
        <w:jc w:val="both"/>
        <w:divId w:val="1316184749"/>
      </w:pPr>
    </w:p>
    <w:p w14:paraId="2BCB27C1" w14:textId="471C4FE0" w:rsidR="00976487" w:rsidRPr="00687DE8" w:rsidRDefault="00976487" w:rsidP="00976487">
      <w:pPr>
        <w:pStyle w:val="Normaallaadveeb"/>
        <w:spacing w:before="0" w:after="0" w:afterAutospacing="0"/>
        <w:jc w:val="both"/>
        <w:divId w:val="1316184749"/>
      </w:pPr>
      <w:r w:rsidRPr="00687DE8">
        <w:t>(1) Tervishoiuteenuse osutamisel kasutatavate ravimiteenuste piirhinnad on järgmised:</w:t>
      </w:r>
    </w:p>
    <w:p w14:paraId="2BC0E1D1" w14:textId="77777777" w:rsidR="00976487" w:rsidRPr="00687DE8" w:rsidRDefault="00976487" w:rsidP="00976487">
      <w:pPr>
        <w:pStyle w:val="Normaallaadveeb"/>
        <w:spacing w:before="0" w:after="0" w:afterAutospacing="0"/>
        <w:jc w:val="both"/>
        <w:divId w:val="131618474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867"/>
        <w:gridCol w:w="2165"/>
        <w:gridCol w:w="1163"/>
        <w:gridCol w:w="1600"/>
      </w:tblGrid>
      <w:tr w:rsidR="00976487" w:rsidRPr="00687DE8" w14:paraId="35D530E0" w14:textId="77777777" w:rsidTr="0066592B">
        <w:trPr>
          <w:divId w:val="1316184749"/>
          <w:tblHeader/>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A3EC70" w14:textId="77777777" w:rsidR="00976487" w:rsidRPr="00687DE8" w:rsidRDefault="00976487" w:rsidP="00B628F5">
            <w:pPr>
              <w:pStyle w:val="Normaallaadveeb"/>
              <w:spacing w:before="0" w:after="0" w:afterAutospacing="0"/>
              <w:jc w:val="center"/>
            </w:pPr>
            <w:r w:rsidRPr="00687DE8">
              <w:rPr>
                <w:b/>
                <w:bCs/>
              </w:rPr>
              <w:t>Ravimi nimetus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B2528A" w14:textId="77777777" w:rsidR="00976487" w:rsidRPr="00687DE8" w:rsidRDefault="00976487" w:rsidP="00B628F5">
            <w:pPr>
              <w:pStyle w:val="Normaallaadveeb"/>
              <w:spacing w:before="0" w:after="0" w:afterAutospacing="0"/>
              <w:jc w:val="center"/>
            </w:pPr>
            <w:r w:rsidRPr="00687DE8">
              <w:rPr>
                <w:b/>
                <w:bCs/>
              </w:rPr>
              <w:t>Kood</w:t>
            </w:r>
          </w:p>
        </w:tc>
        <w:tc>
          <w:tcPr>
            <w:tcW w:w="21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154768" w14:textId="77777777" w:rsidR="00976487" w:rsidRPr="00687DE8" w:rsidRDefault="00976487" w:rsidP="00B628F5">
            <w:pPr>
              <w:pStyle w:val="Normaallaadveeb"/>
              <w:tabs>
                <w:tab w:val="decimal" w:pos="635"/>
              </w:tabs>
              <w:spacing w:before="0" w:after="0" w:afterAutospacing="0"/>
              <w:jc w:val="center"/>
            </w:pPr>
            <w:r w:rsidRPr="00687DE8">
              <w:rPr>
                <w:b/>
                <w:bCs/>
              </w:rPr>
              <w:t>Piirhind</w:t>
            </w:r>
            <w:r w:rsidRPr="00687DE8">
              <w:rPr>
                <w:b/>
                <w:bCs/>
              </w:rPr>
              <w:br/>
              <w:t>eurodes</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61415D" w14:textId="77777777" w:rsidR="00976487" w:rsidRPr="00687DE8" w:rsidRDefault="00976487" w:rsidP="00B628F5">
            <w:pPr>
              <w:pStyle w:val="Normaallaadveeb"/>
              <w:tabs>
                <w:tab w:val="decimal" w:pos="635"/>
              </w:tabs>
              <w:spacing w:before="0" w:after="0" w:afterAutospacing="0"/>
              <w:jc w:val="center"/>
              <w:rPr>
                <w:b/>
                <w:bCs/>
              </w:rPr>
            </w:pPr>
            <w:r w:rsidRPr="00687DE8">
              <w:rPr>
                <w:b/>
              </w:rPr>
              <w:t>Ülevõetava</w:t>
            </w:r>
            <w:r w:rsidRPr="00687DE8">
              <w:br/>
            </w:r>
            <w:r w:rsidRPr="00687DE8">
              <w:rPr>
                <w:b/>
              </w:rPr>
              <w:t>tasu maksmise</w:t>
            </w:r>
            <w:r w:rsidRPr="00687DE8">
              <w:br/>
            </w:r>
            <w:r w:rsidRPr="00687DE8">
              <w:rPr>
                <w:b/>
              </w:rPr>
              <w:t>kohustuse</w:t>
            </w:r>
            <w:r w:rsidRPr="00687DE8">
              <w:br/>
            </w:r>
            <w:r w:rsidRPr="00687DE8">
              <w:rPr>
                <w:b/>
              </w:rPr>
              <w:t>piirmäär</w:t>
            </w:r>
            <w:r w:rsidRPr="00687DE8">
              <w:br/>
            </w:r>
            <w:r w:rsidRPr="00687DE8">
              <w:rPr>
                <w:b/>
              </w:rPr>
              <w:t>(%)</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156BCC" w14:textId="77777777" w:rsidR="00976487" w:rsidRPr="00687DE8" w:rsidRDefault="00976487" w:rsidP="00B628F5">
            <w:pPr>
              <w:pStyle w:val="Normaallaadveeb"/>
              <w:tabs>
                <w:tab w:val="decimal" w:pos="635"/>
              </w:tabs>
              <w:spacing w:before="0" w:after="0" w:afterAutospacing="0"/>
              <w:jc w:val="center"/>
              <w:rPr>
                <w:b/>
                <w:bCs/>
              </w:rPr>
            </w:pPr>
            <w:r w:rsidRPr="00687DE8">
              <w:rPr>
                <w:b/>
              </w:rPr>
              <w:t>Kindlustatud</w:t>
            </w:r>
            <w:r w:rsidRPr="00687DE8">
              <w:br/>
            </w:r>
            <w:r w:rsidRPr="00687DE8">
              <w:rPr>
                <w:b/>
              </w:rPr>
              <w:t>isiku</w:t>
            </w:r>
            <w:r w:rsidRPr="00687DE8">
              <w:br/>
            </w:r>
            <w:r w:rsidRPr="00687DE8">
              <w:rPr>
                <w:b/>
              </w:rPr>
              <w:t>omaosaluse</w:t>
            </w:r>
            <w:r w:rsidRPr="00687DE8">
              <w:br/>
            </w:r>
            <w:r w:rsidRPr="00687DE8">
              <w:rPr>
                <w:b/>
              </w:rPr>
              <w:t>määr</w:t>
            </w:r>
            <w:r w:rsidRPr="00687DE8">
              <w:br/>
            </w:r>
            <w:r w:rsidRPr="00687DE8">
              <w:rPr>
                <w:b/>
              </w:rPr>
              <w:t>(%)</w:t>
            </w:r>
          </w:p>
        </w:tc>
      </w:tr>
      <w:tr w:rsidR="00976487" w:rsidRPr="00687DE8" w14:paraId="38ACE257" w14:textId="77777777" w:rsidTr="0066592B">
        <w:trPr>
          <w:divId w:val="1316184749"/>
          <w:trHeight w:val="300"/>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C0CAF4" w14:textId="77777777" w:rsidR="00976487" w:rsidRPr="00687DE8" w:rsidRDefault="00976487" w:rsidP="00B628F5">
            <w:pPr>
              <w:pStyle w:val="Normaallaadveeb"/>
              <w:spacing w:before="0" w:after="0" w:afterAutospacing="0"/>
            </w:pPr>
            <w:r w:rsidRPr="00687DE8">
              <w:t xml:space="preserve">Ravi beetaepoetiiniga doosis 200 TÜ või darbepoetiiniga doosis 1 </w:t>
            </w:r>
            <w:r w:rsidR="00E95D1E" w:rsidRPr="00687DE8">
              <w:t>µg</w:t>
            </w:r>
            <w:r w:rsidRPr="00687DE8">
              <w:t xml:space="preserve"> või metoksüpolüetüleenglükool epoetiin beetaga doosis 0,8 </w:t>
            </w:r>
            <w:r w:rsidR="00E95D1E" w:rsidRPr="00687DE8">
              <w:t>µg</w:t>
            </w:r>
            <w:r w:rsidR="00E95D1E" w:rsidRPr="00687DE8" w:rsidDel="00E95D1E">
              <w:t xml:space="preserve"> </w:t>
            </w:r>
            <w:r w:rsidRPr="00687DE8">
              <w:t>renaalse aneemiaga patsiendil või imikutel sünnikaaluga 750–1500 g ja gestatsioonieaga alla 34 nädala</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36DAB7" w14:textId="77777777" w:rsidR="00976487" w:rsidRPr="00687DE8" w:rsidRDefault="00976487" w:rsidP="00B628F5">
            <w:pPr>
              <w:pStyle w:val="Normaallaadveeb"/>
              <w:spacing w:before="0" w:after="0" w:afterAutospacing="0"/>
              <w:jc w:val="center"/>
            </w:pPr>
          </w:p>
          <w:p w14:paraId="1003D888" w14:textId="77777777" w:rsidR="00976487" w:rsidRPr="00687DE8" w:rsidRDefault="00976487" w:rsidP="00B628F5">
            <w:pPr>
              <w:pStyle w:val="Normaallaadveeb"/>
              <w:spacing w:before="0" w:after="0" w:afterAutospacing="0"/>
            </w:pPr>
          </w:p>
          <w:p w14:paraId="7E969439" w14:textId="77777777" w:rsidR="00976487" w:rsidRPr="00687DE8" w:rsidRDefault="00976487" w:rsidP="00B628F5">
            <w:pPr>
              <w:pStyle w:val="Normaallaadveeb"/>
              <w:spacing w:before="0" w:after="0" w:afterAutospacing="0"/>
              <w:jc w:val="center"/>
            </w:pPr>
          </w:p>
          <w:p w14:paraId="71C1561A" w14:textId="77777777" w:rsidR="00976487" w:rsidRPr="00687DE8" w:rsidRDefault="00976487" w:rsidP="00B628F5">
            <w:pPr>
              <w:pStyle w:val="Normaallaadveeb"/>
              <w:spacing w:before="0" w:after="0" w:afterAutospacing="0"/>
              <w:jc w:val="center"/>
            </w:pPr>
          </w:p>
          <w:p w14:paraId="211105FA" w14:textId="77777777" w:rsidR="00200238" w:rsidRPr="00687DE8" w:rsidRDefault="00200238" w:rsidP="00B628F5">
            <w:pPr>
              <w:pStyle w:val="Normaallaadveeb"/>
              <w:spacing w:before="0" w:after="0" w:afterAutospacing="0"/>
              <w:jc w:val="center"/>
            </w:pPr>
          </w:p>
          <w:p w14:paraId="251F1C44" w14:textId="77777777" w:rsidR="00976487" w:rsidRPr="00687DE8" w:rsidRDefault="00976487" w:rsidP="00B628F5">
            <w:pPr>
              <w:pStyle w:val="Normaallaadveeb"/>
              <w:spacing w:before="0" w:after="0" w:afterAutospacing="0"/>
              <w:jc w:val="center"/>
            </w:pPr>
            <w:r w:rsidRPr="00687DE8">
              <w:t>200R</w:t>
            </w:r>
          </w:p>
        </w:tc>
        <w:tc>
          <w:tcPr>
            <w:tcW w:w="21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CC3083" w14:textId="4CE394C3" w:rsidR="04CC0A9A" w:rsidRPr="00687DE8" w:rsidRDefault="000574A5">
            <w:pPr>
              <w:spacing w:after="0"/>
              <w:jc w:val="center"/>
              <w:rPr>
                <w:color w:val="000000" w:themeColor="text1"/>
              </w:rPr>
            </w:pPr>
            <w:r>
              <w:rPr>
                <w:color w:val="000000"/>
              </w:rPr>
              <w:t>1,72</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183A60" w14:textId="77777777" w:rsidR="00976487" w:rsidRPr="00687DE8" w:rsidRDefault="00976487" w:rsidP="00B628F5">
            <w:pPr>
              <w:pStyle w:val="Normaallaadveeb"/>
              <w:tabs>
                <w:tab w:val="decimal" w:pos="635"/>
              </w:tabs>
              <w:spacing w:before="0" w:after="0" w:afterAutospacing="0"/>
              <w:jc w:val="center"/>
            </w:pPr>
          </w:p>
          <w:p w14:paraId="75842A72" w14:textId="77777777" w:rsidR="00976487" w:rsidRPr="00687DE8" w:rsidRDefault="00976487" w:rsidP="00B628F5">
            <w:pPr>
              <w:pStyle w:val="Normaallaadveeb"/>
              <w:tabs>
                <w:tab w:val="decimal" w:pos="635"/>
              </w:tabs>
              <w:spacing w:before="0" w:after="0" w:afterAutospacing="0"/>
              <w:jc w:val="center"/>
            </w:pPr>
          </w:p>
          <w:p w14:paraId="6A5D52BE" w14:textId="77777777" w:rsidR="00976487" w:rsidRPr="00687DE8" w:rsidRDefault="00976487" w:rsidP="00B628F5">
            <w:pPr>
              <w:pStyle w:val="Normaallaadveeb"/>
              <w:tabs>
                <w:tab w:val="decimal" w:pos="635"/>
              </w:tabs>
              <w:spacing w:before="0" w:after="0" w:afterAutospacing="0"/>
              <w:jc w:val="center"/>
            </w:pPr>
          </w:p>
          <w:p w14:paraId="193C42A1" w14:textId="77777777" w:rsidR="00976487" w:rsidRPr="00687DE8" w:rsidRDefault="00976487" w:rsidP="00B628F5">
            <w:pPr>
              <w:pStyle w:val="Normaallaadveeb"/>
              <w:tabs>
                <w:tab w:val="decimal" w:pos="635"/>
              </w:tabs>
              <w:spacing w:before="0" w:after="0" w:afterAutospacing="0"/>
              <w:jc w:val="center"/>
            </w:pPr>
          </w:p>
          <w:p w14:paraId="37D4DAC7" w14:textId="77777777" w:rsidR="00976487" w:rsidRPr="00687DE8" w:rsidRDefault="00976487" w:rsidP="00B628F5">
            <w:pPr>
              <w:pStyle w:val="Normaallaadveeb"/>
              <w:tabs>
                <w:tab w:val="decimal" w:pos="635"/>
              </w:tabs>
              <w:spacing w:before="0" w:after="0" w:afterAutospacing="0"/>
              <w:jc w:val="center"/>
            </w:pPr>
          </w:p>
          <w:p w14:paraId="38CCCC19"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BEB287" w14:textId="77777777" w:rsidR="00976487" w:rsidRPr="00687DE8" w:rsidRDefault="00976487" w:rsidP="00B628F5">
            <w:pPr>
              <w:pStyle w:val="Normaallaadveeb"/>
              <w:tabs>
                <w:tab w:val="decimal" w:pos="635"/>
              </w:tabs>
              <w:spacing w:before="0" w:after="0" w:afterAutospacing="0"/>
              <w:jc w:val="center"/>
            </w:pPr>
          </w:p>
          <w:p w14:paraId="65D3978B" w14:textId="77777777" w:rsidR="00976487" w:rsidRPr="00687DE8" w:rsidRDefault="00976487" w:rsidP="00B628F5">
            <w:pPr>
              <w:pStyle w:val="Normaallaadveeb"/>
              <w:tabs>
                <w:tab w:val="decimal" w:pos="635"/>
              </w:tabs>
              <w:spacing w:before="0" w:after="0" w:afterAutospacing="0"/>
              <w:jc w:val="center"/>
            </w:pPr>
          </w:p>
          <w:p w14:paraId="016999AC" w14:textId="77777777" w:rsidR="00976487" w:rsidRPr="00687DE8" w:rsidRDefault="00976487" w:rsidP="00B628F5">
            <w:pPr>
              <w:pStyle w:val="Normaallaadveeb"/>
              <w:tabs>
                <w:tab w:val="decimal" w:pos="635"/>
              </w:tabs>
              <w:spacing w:before="0" w:after="0" w:afterAutospacing="0"/>
              <w:jc w:val="center"/>
            </w:pPr>
          </w:p>
          <w:p w14:paraId="4B391DB8" w14:textId="77777777" w:rsidR="00976487" w:rsidRPr="00687DE8" w:rsidRDefault="00976487" w:rsidP="00B628F5">
            <w:pPr>
              <w:pStyle w:val="Normaallaadveeb"/>
              <w:tabs>
                <w:tab w:val="decimal" w:pos="635"/>
              </w:tabs>
              <w:spacing w:before="0" w:after="0" w:afterAutospacing="0"/>
              <w:jc w:val="center"/>
            </w:pPr>
          </w:p>
          <w:p w14:paraId="69360B90" w14:textId="77777777" w:rsidR="00976487" w:rsidRPr="00687DE8" w:rsidRDefault="00976487" w:rsidP="00B628F5">
            <w:pPr>
              <w:pStyle w:val="Normaallaadveeb"/>
              <w:tabs>
                <w:tab w:val="decimal" w:pos="635"/>
              </w:tabs>
              <w:spacing w:before="0" w:after="0" w:afterAutospacing="0"/>
              <w:jc w:val="center"/>
            </w:pPr>
          </w:p>
          <w:p w14:paraId="6A89847F"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44DBD704" w14:textId="77777777" w:rsidTr="0066592B">
        <w:trPr>
          <w:divId w:val="1316184749"/>
          <w:trHeight w:val="300"/>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73F427" w14:textId="77777777" w:rsidR="00976487" w:rsidRPr="00687DE8" w:rsidRDefault="00976487" w:rsidP="00B628F5">
            <w:pPr>
              <w:pStyle w:val="Normaallaadveeb"/>
              <w:spacing w:before="0" w:after="0" w:afterAutospacing="0"/>
            </w:pPr>
            <w:r w:rsidRPr="00687DE8">
              <w:t xml:space="preserve">Induktsioon- ja äratõukereaktsiooni ravi ning transplantaat-peremehe </w:t>
            </w:r>
          </w:p>
          <w:p w14:paraId="0A6A6020" w14:textId="77777777" w:rsidR="00976487" w:rsidRPr="00687DE8" w:rsidRDefault="00976487" w:rsidP="00B628F5">
            <w:pPr>
              <w:pStyle w:val="Normaallaadveeb"/>
              <w:spacing w:before="0" w:after="0" w:afterAutospacing="0"/>
            </w:pPr>
            <w:r w:rsidRPr="00687DE8">
              <w:t>vastase haiguse ravi mono- ja polüklonaalsete antikehadega (v</w:t>
            </w:r>
            <w:r w:rsidR="00EB7215" w:rsidRPr="00687DE8">
              <w:t>älja arvatud</w:t>
            </w:r>
            <w:r w:rsidRPr="00687DE8">
              <w:t> rituksimab), üks raviannus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F66AF1" w14:textId="77777777" w:rsidR="00976487" w:rsidRPr="00687DE8" w:rsidRDefault="00976487" w:rsidP="00B628F5">
            <w:pPr>
              <w:pStyle w:val="Normaallaadveeb"/>
              <w:spacing w:before="0" w:after="0" w:afterAutospacing="0"/>
              <w:jc w:val="center"/>
            </w:pPr>
          </w:p>
          <w:p w14:paraId="617165AF" w14:textId="77777777" w:rsidR="00976487" w:rsidRPr="00687DE8" w:rsidRDefault="00976487" w:rsidP="00B628F5">
            <w:pPr>
              <w:pStyle w:val="Normaallaadveeb"/>
              <w:spacing w:before="0" w:after="0" w:afterAutospacing="0"/>
              <w:jc w:val="center"/>
            </w:pPr>
          </w:p>
          <w:p w14:paraId="5656C503" w14:textId="77777777" w:rsidR="00976487" w:rsidRPr="00687DE8" w:rsidRDefault="00976487" w:rsidP="00B628F5">
            <w:pPr>
              <w:pStyle w:val="Normaallaadveeb"/>
              <w:spacing w:before="0" w:after="0" w:afterAutospacing="0"/>
              <w:jc w:val="center"/>
            </w:pPr>
          </w:p>
          <w:p w14:paraId="59D0E725" w14:textId="77777777" w:rsidR="00976487" w:rsidRPr="00687DE8" w:rsidRDefault="00976487" w:rsidP="00B628F5">
            <w:pPr>
              <w:pStyle w:val="Normaallaadveeb"/>
              <w:spacing w:before="0" w:after="0" w:afterAutospacing="0"/>
              <w:jc w:val="center"/>
            </w:pPr>
          </w:p>
          <w:p w14:paraId="3E40553A" w14:textId="77777777" w:rsidR="00976487" w:rsidRPr="00687DE8" w:rsidRDefault="00976487" w:rsidP="00B628F5">
            <w:pPr>
              <w:pStyle w:val="Normaallaadveeb"/>
              <w:spacing w:before="0" w:after="0" w:afterAutospacing="0"/>
              <w:jc w:val="center"/>
            </w:pPr>
            <w:r w:rsidRPr="00687DE8">
              <w:t>480R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7E420A1" w14:textId="7C692D58" w:rsidR="04CC0A9A" w:rsidRPr="00687DE8" w:rsidRDefault="000574A5">
            <w:pPr>
              <w:spacing w:after="0"/>
              <w:jc w:val="center"/>
              <w:rPr>
                <w:color w:val="000000" w:themeColor="text1"/>
              </w:rPr>
            </w:pPr>
            <w:r>
              <w:rPr>
                <w:color w:val="000000"/>
              </w:rPr>
              <w:t>1 680,04</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A3BD67" w14:textId="77777777" w:rsidR="00976487" w:rsidRPr="00687DE8" w:rsidRDefault="00976487" w:rsidP="00B628F5">
            <w:pPr>
              <w:pStyle w:val="Normaallaadveeb"/>
              <w:tabs>
                <w:tab w:val="decimal" w:pos="635"/>
              </w:tabs>
              <w:spacing w:before="0" w:after="0" w:afterAutospacing="0"/>
              <w:jc w:val="center"/>
            </w:pPr>
          </w:p>
          <w:p w14:paraId="5AA5F062" w14:textId="77777777" w:rsidR="00976487" w:rsidRPr="00687DE8" w:rsidRDefault="00976487" w:rsidP="00B628F5">
            <w:pPr>
              <w:pStyle w:val="Normaallaadveeb"/>
              <w:tabs>
                <w:tab w:val="decimal" w:pos="635"/>
              </w:tabs>
              <w:spacing w:before="0" w:after="0" w:afterAutospacing="0"/>
              <w:jc w:val="center"/>
            </w:pPr>
          </w:p>
          <w:p w14:paraId="2B03C2E2" w14:textId="77777777" w:rsidR="00976487" w:rsidRPr="00687DE8" w:rsidRDefault="00976487" w:rsidP="00B628F5">
            <w:pPr>
              <w:pStyle w:val="Normaallaadveeb"/>
              <w:tabs>
                <w:tab w:val="decimal" w:pos="635"/>
              </w:tabs>
              <w:spacing w:before="0" w:after="0" w:afterAutospacing="0"/>
              <w:jc w:val="center"/>
            </w:pPr>
          </w:p>
          <w:p w14:paraId="4A58256D" w14:textId="77777777" w:rsidR="00976487" w:rsidRPr="00687DE8" w:rsidRDefault="00976487" w:rsidP="00B628F5">
            <w:pPr>
              <w:pStyle w:val="Normaallaadveeb"/>
              <w:tabs>
                <w:tab w:val="decimal" w:pos="635"/>
              </w:tabs>
              <w:spacing w:before="0" w:after="0" w:afterAutospacing="0"/>
              <w:jc w:val="center"/>
            </w:pPr>
          </w:p>
          <w:p w14:paraId="32A0B1D2"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9D29C5B" w14:textId="77777777" w:rsidR="00976487" w:rsidRPr="00687DE8" w:rsidRDefault="00976487" w:rsidP="00B628F5">
            <w:pPr>
              <w:pStyle w:val="Normaallaadveeb"/>
              <w:tabs>
                <w:tab w:val="decimal" w:pos="635"/>
              </w:tabs>
              <w:spacing w:before="0" w:after="0" w:afterAutospacing="0"/>
              <w:jc w:val="center"/>
            </w:pPr>
          </w:p>
          <w:p w14:paraId="7FC52B71" w14:textId="77777777" w:rsidR="00976487" w:rsidRPr="00687DE8" w:rsidRDefault="00976487" w:rsidP="00B628F5">
            <w:pPr>
              <w:pStyle w:val="Normaallaadveeb"/>
              <w:tabs>
                <w:tab w:val="decimal" w:pos="635"/>
              </w:tabs>
              <w:spacing w:before="0" w:after="0" w:afterAutospacing="0"/>
              <w:jc w:val="center"/>
            </w:pPr>
          </w:p>
          <w:p w14:paraId="4A208CD4" w14:textId="77777777" w:rsidR="00976487" w:rsidRPr="00687DE8" w:rsidRDefault="00976487" w:rsidP="00B628F5">
            <w:pPr>
              <w:pStyle w:val="Normaallaadveeb"/>
              <w:tabs>
                <w:tab w:val="decimal" w:pos="635"/>
              </w:tabs>
              <w:spacing w:before="0" w:after="0" w:afterAutospacing="0"/>
              <w:jc w:val="center"/>
            </w:pPr>
          </w:p>
          <w:p w14:paraId="5DC787BE" w14:textId="77777777" w:rsidR="00976487" w:rsidRPr="00687DE8" w:rsidRDefault="00976487" w:rsidP="00B628F5">
            <w:pPr>
              <w:pStyle w:val="Normaallaadveeb"/>
              <w:tabs>
                <w:tab w:val="decimal" w:pos="635"/>
              </w:tabs>
              <w:spacing w:before="0" w:after="0" w:afterAutospacing="0"/>
              <w:jc w:val="center"/>
            </w:pPr>
          </w:p>
          <w:p w14:paraId="4AAF5EFC"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5B0B8C6A" w14:textId="77777777" w:rsidTr="0066592B">
        <w:trPr>
          <w:divId w:val="1316184749"/>
          <w:trHeight w:val="300"/>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D49CC1" w14:textId="77777777" w:rsidR="00976487" w:rsidRPr="00687DE8" w:rsidRDefault="00976487" w:rsidP="00B628F5">
            <w:pPr>
              <w:pStyle w:val="Normaallaadveeb"/>
              <w:spacing w:before="0" w:after="0" w:afterAutospacing="0"/>
            </w:pPr>
            <w:r w:rsidRPr="00687DE8">
              <w:t>Tsütomegaloviirusinfektsiooni profülaktika, ennetav ravi ja ravi toimeainega gantsikloviir, 500 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8E6BF5" w14:textId="77777777" w:rsidR="00976487" w:rsidRPr="00687DE8" w:rsidRDefault="00976487" w:rsidP="00B628F5">
            <w:pPr>
              <w:pStyle w:val="Normaallaadveeb"/>
              <w:spacing w:before="0" w:after="0" w:afterAutospacing="0"/>
              <w:jc w:val="center"/>
            </w:pPr>
          </w:p>
          <w:p w14:paraId="6DD079A8" w14:textId="77777777" w:rsidR="00976487" w:rsidRPr="00687DE8" w:rsidRDefault="00976487" w:rsidP="00B628F5">
            <w:pPr>
              <w:pStyle w:val="Normaallaadveeb"/>
              <w:spacing w:before="0" w:after="0" w:afterAutospacing="0"/>
              <w:jc w:val="center"/>
            </w:pPr>
          </w:p>
          <w:p w14:paraId="71D81232" w14:textId="77777777" w:rsidR="00976487" w:rsidRPr="00687DE8" w:rsidRDefault="00976487" w:rsidP="00B628F5">
            <w:pPr>
              <w:pStyle w:val="Normaallaadveeb"/>
              <w:spacing w:before="0" w:after="0" w:afterAutospacing="0"/>
              <w:jc w:val="center"/>
            </w:pPr>
            <w:r w:rsidRPr="00687DE8">
              <w:t>481R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7DEF54E" w14:textId="3C08EB63" w:rsidR="04CC0A9A" w:rsidRPr="00687DE8" w:rsidRDefault="000574A5">
            <w:pPr>
              <w:spacing w:after="0"/>
              <w:jc w:val="center"/>
              <w:rPr>
                <w:color w:val="000000" w:themeColor="text1"/>
              </w:rPr>
            </w:pPr>
            <w:r>
              <w:rPr>
                <w:color w:val="000000"/>
              </w:rPr>
              <w:t>26,44</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2D16CF" w14:textId="77777777" w:rsidR="00976487" w:rsidRPr="00687DE8" w:rsidRDefault="00976487" w:rsidP="00B628F5">
            <w:pPr>
              <w:pStyle w:val="Normaallaadveeb"/>
              <w:tabs>
                <w:tab w:val="decimal" w:pos="635"/>
              </w:tabs>
              <w:spacing w:before="0" w:after="0" w:afterAutospacing="0"/>
              <w:jc w:val="center"/>
            </w:pPr>
          </w:p>
          <w:p w14:paraId="00D0F026" w14:textId="77777777" w:rsidR="00976487" w:rsidRPr="00687DE8" w:rsidRDefault="00976487" w:rsidP="00B628F5">
            <w:pPr>
              <w:pStyle w:val="Normaallaadveeb"/>
              <w:tabs>
                <w:tab w:val="decimal" w:pos="635"/>
              </w:tabs>
              <w:spacing w:before="0" w:after="0" w:afterAutospacing="0"/>
              <w:jc w:val="center"/>
            </w:pPr>
          </w:p>
          <w:p w14:paraId="6A999979"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A1B597" w14:textId="77777777" w:rsidR="00976487" w:rsidRPr="00687DE8" w:rsidRDefault="00976487" w:rsidP="00B628F5">
            <w:pPr>
              <w:pStyle w:val="Normaallaadveeb"/>
              <w:tabs>
                <w:tab w:val="decimal" w:pos="635"/>
              </w:tabs>
              <w:spacing w:before="0" w:after="0" w:afterAutospacing="0"/>
              <w:jc w:val="center"/>
            </w:pPr>
          </w:p>
          <w:p w14:paraId="53C01FBF" w14:textId="77777777" w:rsidR="00976487" w:rsidRPr="00687DE8" w:rsidRDefault="00976487" w:rsidP="00B628F5">
            <w:pPr>
              <w:pStyle w:val="Normaallaadveeb"/>
              <w:tabs>
                <w:tab w:val="decimal" w:pos="635"/>
              </w:tabs>
              <w:spacing w:before="0" w:after="0" w:afterAutospacing="0"/>
              <w:jc w:val="center"/>
            </w:pPr>
          </w:p>
          <w:p w14:paraId="0C8EBD94"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1114FA2A" w14:textId="77777777" w:rsidTr="0066592B">
        <w:trPr>
          <w:divId w:val="1316184749"/>
          <w:trHeight w:val="300"/>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169A71" w14:textId="77777777" w:rsidR="00976487" w:rsidRPr="00687DE8" w:rsidRDefault="00976487" w:rsidP="00B628F5">
            <w:pPr>
              <w:pStyle w:val="Normaallaadveeb"/>
              <w:spacing w:before="0" w:after="0" w:afterAutospacing="0"/>
            </w:pPr>
            <w:r w:rsidRPr="00687DE8">
              <w:t>Tsütomegaloviirusinfektsiooni profülaktika, ennetav ravi ja ravi toimeainega valgantsikloviir, 450 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2FDC62" w14:textId="77777777" w:rsidR="00976487" w:rsidRPr="00687DE8" w:rsidRDefault="00976487" w:rsidP="00B628F5">
            <w:pPr>
              <w:pStyle w:val="Normaallaadveeb"/>
              <w:spacing w:before="0" w:after="0" w:afterAutospacing="0"/>
              <w:jc w:val="center"/>
            </w:pPr>
          </w:p>
          <w:p w14:paraId="5A2674B1" w14:textId="77777777" w:rsidR="00976487" w:rsidRPr="00687DE8" w:rsidRDefault="00976487" w:rsidP="00B628F5">
            <w:pPr>
              <w:pStyle w:val="Normaallaadveeb"/>
              <w:spacing w:before="0" w:after="0" w:afterAutospacing="0"/>
              <w:jc w:val="center"/>
            </w:pPr>
          </w:p>
          <w:p w14:paraId="10578305" w14:textId="77777777" w:rsidR="00976487" w:rsidRPr="00687DE8" w:rsidRDefault="00976487" w:rsidP="00B628F5">
            <w:pPr>
              <w:pStyle w:val="Normaallaadveeb"/>
              <w:spacing w:before="0" w:after="0" w:afterAutospacing="0"/>
              <w:jc w:val="center"/>
            </w:pPr>
            <w:r w:rsidRPr="00687DE8">
              <w:t>482R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DE2B0CB" w14:textId="1E3AE06F" w:rsidR="04CC0A9A" w:rsidRPr="00687DE8" w:rsidRDefault="000574A5">
            <w:pPr>
              <w:spacing w:after="0"/>
              <w:jc w:val="center"/>
              <w:rPr>
                <w:color w:val="000000" w:themeColor="text1"/>
              </w:rPr>
            </w:pPr>
            <w:r>
              <w:rPr>
                <w:color w:val="000000"/>
              </w:rPr>
              <w:t>3,11</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050D8E" w14:textId="77777777" w:rsidR="00976487" w:rsidRPr="00687DE8" w:rsidRDefault="00976487" w:rsidP="00B628F5">
            <w:pPr>
              <w:pStyle w:val="Normaallaadveeb"/>
              <w:tabs>
                <w:tab w:val="decimal" w:pos="635"/>
              </w:tabs>
              <w:spacing w:before="0" w:after="0" w:afterAutospacing="0"/>
              <w:jc w:val="center"/>
            </w:pPr>
          </w:p>
          <w:p w14:paraId="79E5CEBC" w14:textId="77777777" w:rsidR="00976487" w:rsidRPr="00687DE8" w:rsidRDefault="00976487" w:rsidP="00B628F5">
            <w:pPr>
              <w:pStyle w:val="Normaallaadveeb"/>
              <w:tabs>
                <w:tab w:val="decimal" w:pos="635"/>
              </w:tabs>
              <w:spacing w:before="0" w:after="0" w:afterAutospacing="0"/>
              <w:jc w:val="center"/>
            </w:pPr>
          </w:p>
          <w:p w14:paraId="0038ED73"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F9FEAA" w14:textId="77777777" w:rsidR="00976487" w:rsidRPr="00687DE8" w:rsidRDefault="00976487" w:rsidP="00B628F5">
            <w:pPr>
              <w:pStyle w:val="Normaallaadveeb"/>
              <w:tabs>
                <w:tab w:val="decimal" w:pos="635"/>
              </w:tabs>
              <w:spacing w:before="0" w:after="0" w:afterAutospacing="0"/>
              <w:jc w:val="center"/>
            </w:pPr>
          </w:p>
          <w:p w14:paraId="6BAB87D7" w14:textId="77777777" w:rsidR="00976487" w:rsidRPr="00687DE8" w:rsidRDefault="00976487" w:rsidP="00B628F5">
            <w:pPr>
              <w:pStyle w:val="Normaallaadveeb"/>
              <w:tabs>
                <w:tab w:val="decimal" w:pos="635"/>
              </w:tabs>
              <w:spacing w:before="0" w:after="0" w:afterAutospacing="0"/>
              <w:jc w:val="center"/>
            </w:pPr>
          </w:p>
          <w:p w14:paraId="2E87214B"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5712CABB" w14:textId="77777777" w:rsidTr="0066592B">
        <w:trPr>
          <w:divId w:val="1316184749"/>
          <w:trHeight w:val="300"/>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CDCE69" w14:textId="2ED4EA7B" w:rsidR="00976487" w:rsidRPr="00687DE8" w:rsidRDefault="00976487" w:rsidP="00B628F5">
            <w:pPr>
              <w:pStyle w:val="Normaallaadveeb"/>
              <w:spacing w:before="0" w:after="0" w:afterAutospacing="0"/>
            </w:pPr>
            <w:r w:rsidRPr="00687DE8">
              <w:t>Tsütomegaloviirusinfektsiooni ennetav ravi ja ravi foskarnetiga 6000</w:t>
            </w:r>
            <w:r w:rsidR="00A84C7C">
              <w:t> </w:t>
            </w:r>
            <w:r w:rsidRPr="00687DE8">
              <w:t>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7471FB" w14:textId="77777777" w:rsidR="00976487" w:rsidRPr="00687DE8" w:rsidRDefault="00976487" w:rsidP="00B628F5">
            <w:pPr>
              <w:pStyle w:val="Normaallaadveeb"/>
              <w:spacing w:before="0" w:after="0" w:afterAutospacing="0"/>
              <w:jc w:val="center"/>
            </w:pPr>
          </w:p>
          <w:p w14:paraId="444569F3" w14:textId="77777777" w:rsidR="00976487" w:rsidRPr="00687DE8" w:rsidRDefault="00976487" w:rsidP="00B628F5">
            <w:pPr>
              <w:pStyle w:val="Normaallaadveeb"/>
              <w:spacing w:before="0" w:after="0" w:afterAutospacing="0"/>
              <w:jc w:val="center"/>
            </w:pPr>
            <w:r w:rsidRPr="00687DE8">
              <w:t>483R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39ABC7" w14:textId="53C0B37A" w:rsidR="04CC0A9A" w:rsidRPr="00687DE8" w:rsidRDefault="000574A5">
            <w:pPr>
              <w:spacing w:after="0"/>
              <w:jc w:val="center"/>
              <w:rPr>
                <w:color w:val="000000" w:themeColor="text1"/>
                <w:szCs w:val="24"/>
              </w:rPr>
            </w:pPr>
            <w:r>
              <w:rPr>
                <w:color w:val="000000"/>
              </w:rPr>
              <w:t>643,10</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E27928" w14:textId="77777777" w:rsidR="00976487" w:rsidRPr="00687DE8" w:rsidRDefault="00976487" w:rsidP="00B628F5">
            <w:pPr>
              <w:pStyle w:val="Normaallaadveeb"/>
              <w:tabs>
                <w:tab w:val="decimal" w:pos="635"/>
              </w:tabs>
              <w:spacing w:before="0" w:after="0" w:afterAutospacing="0"/>
              <w:jc w:val="center"/>
            </w:pPr>
          </w:p>
          <w:p w14:paraId="664EBD2F"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BCA31D" w14:textId="77777777" w:rsidR="00976487" w:rsidRPr="00687DE8" w:rsidRDefault="00976487" w:rsidP="00B628F5">
            <w:pPr>
              <w:pStyle w:val="Normaallaadveeb"/>
              <w:tabs>
                <w:tab w:val="decimal" w:pos="635"/>
              </w:tabs>
              <w:spacing w:before="0" w:after="0" w:afterAutospacing="0"/>
              <w:jc w:val="center"/>
            </w:pPr>
          </w:p>
          <w:p w14:paraId="60CA9714" w14:textId="77777777" w:rsidR="00976487" w:rsidRPr="00687DE8" w:rsidRDefault="00976487" w:rsidP="00B628F5">
            <w:pPr>
              <w:pStyle w:val="Normaallaadveeb"/>
              <w:tabs>
                <w:tab w:val="decimal" w:pos="635"/>
              </w:tabs>
              <w:spacing w:before="0" w:after="0" w:afterAutospacing="0"/>
              <w:jc w:val="center"/>
            </w:pPr>
            <w:r w:rsidRPr="00687DE8">
              <w:t>0</w:t>
            </w:r>
          </w:p>
        </w:tc>
      </w:tr>
      <w:tr w:rsidR="6334863C" w:rsidRPr="00687DE8" w14:paraId="1808B774" w14:textId="77777777" w:rsidTr="0066592B">
        <w:trPr>
          <w:divId w:val="1316184749"/>
          <w:trHeight w:val="300"/>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7AF2D5" w14:textId="39344E32" w:rsidR="22E30901" w:rsidRPr="00687DE8" w:rsidRDefault="22E30901" w:rsidP="00B628F5">
            <w:pPr>
              <w:pStyle w:val="Normaallaadveeb"/>
              <w:spacing w:before="0" w:after="0" w:afterAutospacing="0"/>
            </w:pPr>
            <w:r w:rsidRPr="00687DE8">
              <w:t xml:space="preserve">Tsütomegaloviiruse vireemia ravi toimeainega maribaviir, </w:t>
            </w:r>
            <w:r w:rsidR="1F29C353" w:rsidRPr="00687DE8">
              <w:t>11</w:t>
            </w:r>
            <w:r w:rsidR="00A84C7C">
              <w:t> </w:t>
            </w:r>
            <w:r w:rsidR="1F29C353" w:rsidRPr="00687DE8">
              <w:t>200</w:t>
            </w:r>
            <w:r w:rsidR="6743093B" w:rsidRPr="00687DE8">
              <w:t xml:space="preserve"> </w:t>
            </w:r>
            <w:r w:rsidR="1F29C353" w:rsidRPr="00687DE8">
              <w:t>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28EBA1" w14:textId="77777777" w:rsidR="00E114E4" w:rsidRPr="00687DE8" w:rsidRDefault="00E114E4" w:rsidP="00B628F5">
            <w:pPr>
              <w:pStyle w:val="Normaallaadveeb"/>
              <w:spacing w:before="0" w:after="0" w:afterAutospacing="0"/>
              <w:jc w:val="center"/>
            </w:pPr>
          </w:p>
          <w:p w14:paraId="0DC41BA9" w14:textId="5CC6C2B8" w:rsidR="22E30901" w:rsidRPr="00687DE8" w:rsidRDefault="22E30901" w:rsidP="00B628F5">
            <w:pPr>
              <w:pStyle w:val="Normaallaadveeb"/>
              <w:spacing w:before="0" w:after="0" w:afterAutospacing="0"/>
              <w:jc w:val="center"/>
            </w:pPr>
            <w:r w:rsidRPr="00687DE8">
              <w:t>412R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4C95D3" w14:textId="22B22F28" w:rsidR="04CC0A9A" w:rsidRPr="00687DE8" w:rsidRDefault="000574A5">
            <w:pPr>
              <w:spacing w:after="0"/>
              <w:jc w:val="center"/>
              <w:rPr>
                <w:color w:val="000000" w:themeColor="text1"/>
                <w:szCs w:val="24"/>
              </w:rPr>
            </w:pPr>
            <w:r>
              <w:rPr>
                <w:color w:val="000000"/>
              </w:rPr>
              <w:t>11 494,69</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211D12" w14:textId="77777777" w:rsidR="00E114E4" w:rsidRPr="00687DE8" w:rsidRDefault="00E114E4" w:rsidP="00B628F5">
            <w:pPr>
              <w:pStyle w:val="Normaallaadveeb"/>
              <w:spacing w:before="0" w:after="0" w:afterAutospacing="0"/>
              <w:jc w:val="center"/>
            </w:pPr>
          </w:p>
          <w:p w14:paraId="6ACCC7D0" w14:textId="1C58C242" w:rsidR="22E30901" w:rsidRPr="00687DE8" w:rsidRDefault="22E30901" w:rsidP="00B628F5">
            <w:pPr>
              <w:pStyle w:val="Normaallaadveeb"/>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D79120" w14:textId="77777777" w:rsidR="00E114E4" w:rsidRPr="00687DE8" w:rsidRDefault="00E114E4" w:rsidP="00B628F5">
            <w:pPr>
              <w:pStyle w:val="Normaallaadveeb"/>
              <w:spacing w:before="0" w:after="0" w:afterAutospacing="0"/>
              <w:jc w:val="center"/>
            </w:pPr>
          </w:p>
          <w:p w14:paraId="0A658D84" w14:textId="543A946F" w:rsidR="22E30901" w:rsidRPr="00687DE8" w:rsidRDefault="00E41741" w:rsidP="00B628F5">
            <w:pPr>
              <w:pStyle w:val="Normaallaadveeb"/>
              <w:spacing w:before="0" w:after="0" w:afterAutospacing="0"/>
              <w:jc w:val="center"/>
            </w:pPr>
            <w:r w:rsidRPr="00687DE8">
              <w:t xml:space="preserve">        </w:t>
            </w:r>
            <w:r w:rsidR="22E30901" w:rsidRPr="00687DE8">
              <w:t>0</w:t>
            </w:r>
          </w:p>
        </w:tc>
      </w:tr>
      <w:tr w:rsidR="56F5FD32" w:rsidRPr="00687DE8" w14:paraId="5B6C05B1" w14:textId="77777777" w:rsidTr="0066592B">
        <w:trPr>
          <w:divId w:val="1316184749"/>
          <w:trHeight w:val="300"/>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601F63" w14:textId="6EB6D983" w:rsidR="705429EB" w:rsidRPr="00687DE8" w:rsidRDefault="705429EB" w:rsidP="00B628F5">
            <w:pPr>
              <w:pStyle w:val="Normaallaadveeb"/>
              <w:spacing w:before="0" w:after="0" w:afterAutospacing="0"/>
            </w:pPr>
            <w:r w:rsidRPr="00687DE8">
              <w:t>Tsütomegaloviirus- ja adenoviirusinfektsiooni ennetav ravi ja ravi toimeainega tsidofoviir, 375</w:t>
            </w:r>
            <w:r w:rsidR="00F84883" w:rsidRPr="00687DE8">
              <w:t> </w:t>
            </w:r>
            <w:r w:rsidRPr="00687DE8">
              <w:t>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329E21" w14:textId="77777777" w:rsidR="00CB0815" w:rsidRPr="00687DE8" w:rsidRDefault="00CB0815" w:rsidP="00B628F5">
            <w:pPr>
              <w:pStyle w:val="Normaallaadveeb"/>
              <w:spacing w:before="0" w:after="0" w:afterAutospacing="0"/>
              <w:jc w:val="center"/>
            </w:pPr>
          </w:p>
          <w:p w14:paraId="416E8244" w14:textId="77777777" w:rsidR="00CB0815" w:rsidRPr="00687DE8" w:rsidRDefault="00CB0815" w:rsidP="00B628F5">
            <w:pPr>
              <w:pStyle w:val="Normaallaadveeb"/>
              <w:spacing w:before="0" w:after="0" w:afterAutospacing="0"/>
              <w:jc w:val="center"/>
            </w:pPr>
          </w:p>
          <w:p w14:paraId="0DAAB91A" w14:textId="32F6CEF6" w:rsidR="705429EB" w:rsidRPr="00687DE8" w:rsidRDefault="705429EB" w:rsidP="00B628F5">
            <w:pPr>
              <w:pStyle w:val="Normaallaadveeb"/>
              <w:spacing w:before="0" w:after="0" w:afterAutospacing="0"/>
              <w:jc w:val="center"/>
            </w:pPr>
            <w:r w:rsidRPr="00687DE8">
              <w:t>416R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3742AB" w14:textId="147421A0" w:rsidR="705429EB" w:rsidRPr="00687DE8" w:rsidRDefault="000574A5" w:rsidP="00B628F5">
            <w:pPr>
              <w:pStyle w:val="Normaallaadveeb"/>
              <w:spacing w:before="0" w:after="0" w:afterAutospacing="0"/>
              <w:jc w:val="center"/>
              <w:rPr>
                <w:color w:val="000000" w:themeColor="text1"/>
              </w:rPr>
            </w:pPr>
            <w:r>
              <w:rPr>
                <w:color w:val="000000"/>
              </w:rPr>
              <w:t>804,91</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4EC4AE" w14:textId="77777777" w:rsidR="00CB0815" w:rsidRPr="00687DE8" w:rsidRDefault="00CB0815" w:rsidP="00B628F5">
            <w:pPr>
              <w:pStyle w:val="Normaallaadveeb"/>
              <w:spacing w:before="0" w:after="0" w:afterAutospacing="0"/>
              <w:jc w:val="center"/>
            </w:pPr>
          </w:p>
          <w:p w14:paraId="20046E67" w14:textId="77777777" w:rsidR="00CB0815" w:rsidRPr="00687DE8" w:rsidRDefault="00CB0815" w:rsidP="00B628F5">
            <w:pPr>
              <w:pStyle w:val="Normaallaadveeb"/>
              <w:spacing w:before="0" w:after="0" w:afterAutospacing="0"/>
              <w:jc w:val="center"/>
            </w:pPr>
          </w:p>
          <w:p w14:paraId="39899E4C" w14:textId="7CDC06F9" w:rsidR="56F5FD32" w:rsidRPr="00687DE8" w:rsidRDefault="705429EB" w:rsidP="00B628F5">
            <w:pPr>
              <w:pStyle w:val="Normaallaadveeb"/>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7086E3" w14:textId="77777777" w:rsidR="00CB0815" w:rsidRPr="00687DE8" w:rsidRDefault="00CB0815" w:rsidP="00B628F5">
            <w:pPr>
              <w:pStyle w:val="Normaallaadveeb"/>
              <w:spacing w:before="0" w:after="0" w:afterAutospacing="0"/>
              <w:jc w:val="center"/>
            </w:pPr>
          </w:p>
          <w:p w14:paraId="721B77DF" w14:textId="77777777" w:rsidR="00CB0815" w:rsidRPr="00687DE8" w:rsidRDefault="00CB0815" w:rsidP="00B628F5">
            <w:pPr>
              <w:pStyle w:val="Normaallaadveeb"/>
              <w:spacing w:before="0" w:after="0" w:afterAutospacing="0"/>
              <w:jc w:val="center"/>
            </w:pPr>
          </w:p>
          <w:p w14:paraId="6D63FAE7" w14:textId="1048B3B6" w:rsidR="56F5FD32" w:rsidRPr="00687DE8" w:rsidRDefault="00E41741" w:rsidP="00B628F5">
            <w:pPr>
              <w:pStyle w:val="Normaallaadveeb"/>
              <w:spacing w:before="0" w:after="0" w:afterAutospacing="0"/>
              <w:jc w:val="center"/>
            </w:pPr>
            <w:r w:rsidRPr="00687DE8">
              <w:t xml:space="preserve">        </w:t>
            </w:r>
            <w:r w:rsidR="705429EB" w:rsidRPr="00687DE8">
              <w:t>0</w:t>
            </w:r>
          </w:p>
        </w:tc>
      </w:tr>
      <w:tr w:rsidR="00976487" w:rsidRPr="00687DE8" w14:paraId="14FDC774" w14:textId="77777777" w:rsidTr="0066592B">
        <w:trPr>
          <w:divId w:val="1316184749"/>
          <w:trHeight w:val="300"/>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F85A6E" w14:textId="77777777" w:rsidR="00976487" w:rsidRPr="00687DE8" w:rsidRDefault="00976487" w:rsidP="00B628F5">
            <w:pPr>
              <w:pStyle w:val="Normaallaadveeb"/>
              <w:spacing w:before="0" w:after="0" w:afterAutospacing="0"/>
            </w:pPr>
            <w:r w:rsidRPr="00687DE8">
              <w:t>Koe-tüüpi plasminogeeni aktivaator, üks raviannus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B1D00F" w14:textId="77777777" w:rsidR="00976487" w:rsidRPr="00687DE8" w:rsidRDefault="00976487" w:rsidP="00B628F5">
            <w:pPr>
              <w:pStyle w:val="Normaallaadveeb"/>
              <w:spacing w:before="0" w:after="0" w:afterAutospacing="0"/>
              <w:jc w:val="center"/>
            </w:pPr>
          </w:p>
          <w:p w14:paraId="4087755D" w14:textId="77777777" w:rsidR="00976487" w:rsidRPr="00687DE8" w:rsidRDefault="00976487" w:rsidP="00B628F5">
            <w:pPr>
              <w:pStyle w:val="Normaallaadveeb"/>
              <w:spacing w:before="0" w:after="0" w:afterAutospacing="0"/>
              <w:jc w:val="center"/>
            </w:pPr>
            <w:r w:rsidRPr="00687DE8">
              <w:t>212R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59F3B7D" w14:textId="463AB5B1" w:rsidR="56409037" w:rsidRPr="00687DE8" w:rsidRDefault="000574A5">
            <w:pPr>
              <w:spacing w:after="0"/>
              <w:jc w:val="center"/>
              <w:rPr>
                <w:color w:val="000000" w:themeColor="text1"/>
                <w:szCs w:val="24"/>
              </w:rPr>
            </w:pPr>
            <w:r>
              <w:rPr>
                <w:color w:val="000000"/>
              </w:rPr>
              <w:t>826,38</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3609BE" w14:textId="77777777" w:rsidR="00976487" w:rsidRPr="00687DE8" w:rsidRDefault="00976487" w:rsidP="00B628F5">
            <w:pPr>
              <w:pStyle w:val="Normaallaadveeb"/>
              <w:tabs>
                <w:tab w:val="decimal" w:pos="635"/>
              </w:tabs>
              <w:spacing w:before="0" w:after="0" w:afterAutospacing="0"/>
              <w:jc w:val="center"/>
            </w:pPr>
          </w:p>
          <w:p w14:paraId="192090AC"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5AD760" w14:textId="77777777" w:rsidR="00976487" w:rsidRPr="00687DE8" w:rsidRDefault="00976487" w:rsidP="00B628F5">
            <w:pPr>
              <w:pStyle w:val="Normaallaadveeb"/>
              <w:tabs>
                <w:tab w:val="decimal" w:pos="635"/>
              </w:tabs>
              <w:spacing w:before="0" w:after="0" w:afterAutospacing="0"/>
              <w:jc w:val="center"/>
            </w:pPr>
          </w:p>
          <w:p w14:paraId="65053CE3"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55F3D023" w14:textId="77777777" w:rsidTr="00EB7A71">
        <w:trPr>
          <w:divId w:val="1316184749"/>
          <w:trHeight w:val="300"/>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D971B3" w14:textId="77777777" w:rsidR="00976487" w:rsidRPr="00687DE8" w:rsidRDefault="00976487" w:rsidP="00B628F5">
            <w:pPr>
              <w:pStyle w:val="Normaallaadveeb"/>
              <w:spacing w:before="0" w:after="0" w:afterAutospacing="0"/>
            </w:pPr>
            <w:r w:rsidRPr="00687DE8">
              <w:lastRenderedPageBreak/>
              <w:t>Infektsioosse endokardiidi antibakteriaalne ravi, ühe toimeaine päevane raviannus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EBC196" w14:textId="77777777" w:rsidR="00976487" w:rsidRPr="00687DE8" w:rsidRDefault="00976487" w:rsidP="00B628F5">
            <w:pPr>
              <w:pStyle w:val="Normaallaadveeb"/>
              <w:spacing w:before="0" w:after="0" w:afterAutospacing="0"/>
              <w:jc w:val="center"/>
            </w:pPr>
          </w:p>
          <w:p w14:paraId="756E5DFF" w14:textId="77777777" w:rsidR="00976487" w:rsidRPr="00687DE8" w:rsidRDefault="00976487" w:rsidP="00B628F5">
            <w:pPr>
              <w:pStyle w:val="Normaallaadveeb"/>
              <w:spacing w:before="0" w:after="0" w:afterAutospacing="0"/>
              <w:jc w:val="center"/>
            </w:pPr>
          </w:p>
          <w:p w14:paraId="2618FCEB" w14:textId="77777777" w:rsidR="00976487" w:rsidRPr="00687DE8" w:rsidRDefault="00976487" w:rsidP="00B628F5">
            <w:pPr>
              <w:pStyle w:val="Normaallaadveeb"/>
              <w:spacing w:before="0" w:after="0" w:afterAutospacing="0"/>
              <w:jc w:val="center"/>
            </w:pPr>
            <w:r w:rsidRPr="00687DE8">
              <w:t>493R</w:t>
            </w:r>
          </w:p>
        </w:tc>
        <w:tc>
          <w:tcPr>
            <w:tcW w:w="21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2AAF6D" w14:textId="47A73E9E" w:rsidR="56409037" w:rsidRPr="00687DE8" w:rsidRDefault="00F65BFB">
            <w:pPr>
              <w:spacing w:after="0"/>
              <w:jc w:val="center"/>
              <w:rPr>
                <w:color w:val="000000" w:themeColor="text1"/>
              </w:rPr>
            </w:pPr>
            <w:r>
              <w:rPr>
                <w:color w:val="000000"/>
              </w:rPr>
              <w:t>12,67</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8BDEE9" w14:textId="77777777" w:rsidR="00976487" w:rsidRPr="00687DE8" w:rsidRDefault="00976487" w:rsidP="00B628F5">
            <w:pPr>
              <w:pStyle w:val="Normaallaadveeb"/>
              <w:tabs>
                <w:tab w:val="decimal" w:pos="635"/>
              </w:tabs>
              <w:spacing w:before="0" w:after="0" w:afterAutospacing="0"/>
              <w:jc w:val="center"/>
            </w:pPr>
          </w:p>
          <w:p w14:paraId="71F36190" w14:textId="77777777" w:rsidR="00976487" w:rsidRPr="00687DE8" w:rsidRDefault="00976487" w:rsidP="00B628F5">
            <w:pPr>
              <w:pStyle w:val="Normaallaadveeb"/>
              <w:tabs>
                <w:tab w:val="decimal" w:pos="635"/>
              </w:tabs>
              <w:spacing w:before="0" w:after="0" w:afterAutospacing="0"/>
              <w:jc w:val="center"/>
            </w:pPr>
          </w:p>
          <w:p w14:paraId="20F2D81C"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597B52" w14:textId="77777777" w:rsidR="00976487" w:rsidRPr="00687DE8" w:rsidRDefault="00976487" w:rsidP="00B628F5">
            <w:pPr>
              <w:pStyle w:val="Normaallaadveeb"/>
              <w:tabs>
                <w:tab w:val="decimal" w:pos="635"/>
              </w:tabs>
              <w:spacing w:before="0" w:after="0" w:afterAutospacing="0"/>
              <w:jc w:val="center"/>
            </w:pPr>
          </w:p>
          <w:p w14:paraId="46DCC7C3" w14:textId="77777777" w:rsidR="00976487" w:rsidRPr="00687DE8" w:rsidRDefault="00976487" w:rsidP="00B628F5">
            <w:pPr>
              <w:pStyle w:val="Normaallaadveeb"/>
              <w:tabs>
                <w:tab w:val="decimal" w:pos="635"/>
              </w:tabs>
              <w:spacing w:before="0" w:after="0" w:afterAutospacing="0"/>
              <w:jc w:val="center"/>
            </w:pPr>
          </w:p>
          <w:p w14:paraId="1EE86EEA"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0D50F139" w14:textId="77777777" w:rsidTr="0066592B">
        <w:trPr>
          <w:divId w:val="1316184749"/>
          <w:trHeight w:val="300"/>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84B359" w14:textId="77777777" w:rsidR="00976487" w:rsidRPr="00687DE8" w:rsidRDefault="00976487" w:rsidP="00B628F5">
            <w:pPr>
              <w:pStyle w:val="Normaallaadveeb"/>
              <w:spacing w:before="0" w:after="0" w:afterAutospacing="0"/>
            </w:pPr>
            <w:r w:rsidRPr="00687DE8">
              <w:t>Üks annus glükoproteiini IIb/IIIa retseptorite blokaatorit profülaktiliseks kasutamiseks kõrge riskiga haigetel koronaarinterventsioonide teostamise korral</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E10EA2" w14:textId="77777777" w:rsidR="00976487" w:rsidRPr="00687DE8" w:rsidRDefault="00976487" w:rsidP="00B628F5">
            <w:pPr>
              <w:pStyle w:val="Normaallaadveeb"/>
              <w:spacing w:before="0" w:after="0" w:afterAutospacing="0"/>
              <w:jc w:val="center"/>
            </w:pPr>
          </w:p>
          <w:p w14:paraId="2AFB4AA0" w14:textId="77777777" w:rsidR="00976487" w:rsidRPr="00687DE8" w:rsidRDefault="00976487" w:rsidP="00B628F5">
            <w:pPr>
              <w:pStyle w:val="Normaallaadveeb"/>
              <w:spacing w:before="0" w:after="0" w:afterAutospacing="0"/>
              <w:jc w:val="center"/>
            </w:pPr>
          </w:p>
          <w:p w14:paraId="056A9393" w14:textId="77777777" w:rsidR="00976487" w:rsidRPr="00687DE8" w:rsidRDefault="00976487" w:rsidP="00B628F5">
            <w:pPr>
              <w:pStyle w:val="Normaallaadveeb"/>
              <w:spacing w:before="0" w:after="0" w:afterAutospacing="0"/>
              <w:jc w:val="center"/>
            </w:pPr>
          </w:p>
          <w:p w14:paraId="64AC31C3" w14:textId="77777777" w:rsidR="00976487" w:rsidRPr="00687DE8" w:rsidRDefault="00976487" w:rsidP="00B628F5">
            <w:pPr>
              <w:pStyle w:val="Normaallaadveeb"/>
              <w:spacing w:before="0" w:after="0" w:afterAutospacing="0"/>
              <w:jc w:val="center"/>
            </w:pPr>
          </w:p>
          <w:p w14:paraId="3CFDEAFE" w14:textId="77777777" w:rsidR="00976487" w:rsidRPr="00687DE8" w:rsidRDefault="00976487" w:rsidP="00B628F5">
            <w:pPr>
              <w:pStyle w:val="Normaallaadveeb"/>
              <w:spacing w:before="0" w:after="0" w:afterAutospacing="0"/>
              <w:jc w:val="center"/>
            </w:pPr>
            <w:r w:rsidRPr="00687DE8">
              <w:t>214R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DC098BD" w14:textId="761A0F08" w:rsidR="56409037" w:rsidRPr="00687DE8" w:rsidRDefault="00F65BFB">
            <w:pPr>
              <w:spacing w:after="0"/>
              <w:jc w:val="center"/>
              <w:rPr>
                <w:color w:val="000000" w:themeColor="text1"/>
                <w:szCs w:val="24"/>
              </w:rPr>
            </w:pPr>
            <w:r>
              <w:rPr>
                <w:color w:val="000000"/>
              </w:rPr>
              <w:t>174,40</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450173" w14:textId="77777777" w:rsidR="00976487" w:rsidRPr="00687DE8" w:rsidRDefault="00976487" w:rsidP="00B628F5">
            <w:pPr>
              <w:pStyle w:val="Normaallaadveeb"/>
              <w:tabs>
                <w:tab w:val="decimal" w:pos="635"/>
              </w:tabs>
              <w:spacing w:before="0" w:after="0" w:afterAutospacing="0"/>
              <w:jc w:val="center"/>
            </w:pPr>
          </w:p>
          <w:p w14:paraId="31558846" w14:textId="77777777" w:rsidR="00976487" w:rsidRPr="00687DE8" w:rsidRDefault="00976487" w:rsidP="00B628F5">
            <w:pPr>
              <w:pStyle w:val="Normaallaadveeb"/>
              <w:tabs>
                <w:tab w:val="decimal" w:pos="635"/>
              </w:tabs>
              <w:spacing w:before="0" w:after="0" w:afterAutospacing="0"/>
              <w:jc w:val="center"/>
            </w:pPr>
          </w:p>
          <w:p w14:paraId="3959A3B2" w14:textId="77777777" w:rsidR="00976487" w:rsidRPr="00687DE8" w:rsidRDefault="00976487" w:rsidP="00B628F5">
            <w:pPr>
              <w:pStyle w:val="Normaallaadveeb"/>
              <w:tabs>
                <w:tab w:val="decimal" w:pos="635"/>
              </w:tabs>
              <w:spacing w:before="0" w:after="0" w:afterAutospacing="0"/>
              <w:jc w:val="center"/>
            </w:pPr>
          </w:p>
          <w:p w14:paraId="3EE9BB55" w14:textId="77777777" w:rsidR="00976487" w:rsidRPr="00687DE8" w:rsidRDefault="00976487" w:rsidP="00B628F5">
            <w:pPr>
              <w:pStyle w:val="Normaallaadveeb"/>
              <w:tabs>
                <w:tab w:val="decimal" w:pos="635"/>
              </w:tabs>
              <w:spacing w:before="0" w:after="0" w:afterAutospacing="0"/>
              <w:jc w:val="center"/>
            </w:pPr>
          </w:p>
          <w:p w14:paraId="27C4734A"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6879555" w14:textId="77777777" w:rsidR="00976487" w:rsidRPr="00687DE8" w:rsidRDefault="00976487" w:rsidP="00B628F5">
            <w:pPr>
              <w:pStyle w:val="Normaallaadveeb"/>
              <w:tabs>
                <w:tab w:val="decimal" w:pos="635"/>
              </w:tabs>
              <w:spacing w:before="0" w:after="0" w:afterAutospacing="0"/>
              <w:jc w:val="center"/>
            </w:pPr>
          </w:p>
          <w:p w14:paraId="0A78A13E" w14:textId="77777777" w:rsidR="00976487" w:rsidRPr="00687DE8" w:rsidRDefault="00976487" w:rsidP="00B628F5">
            <w:pPr>
              <w:pStyle w:val="Normaallaadveeb"/>
              <w:tabs>
                <w:tab w:val="decimal" w:pos="635"/>
              </w:tabs>
              <w:spacing w:before="0" w:after="0" w:afterAutospacing="0"/>
              <w:jc w:val="center"/>
            </w:pPr>
          </w:p>
          <w:p w14:paraId="50CE8650" w14:textId="77777777" w:rsidR="00976487" w:rsidRPr="00687DE8" w:rsidRDefault="00976487" w:rsidP="00B628F5">
            <w:pPr>
              <w:pStyle w:val="Normaallaadveeb"/>
              <w:tabs>
                <w:tab w:val="decimal" w:pos="635"/>
              </w:tabs>
              <w:spacing w:before="0" w:after="0" w:afterAutospacing="0"/>
              <w:jc w:val="center"/>
            </w:pPr>
          </w:p>
          <w:p w14:paraId="1E038D25" w14:textId="77777777" w:rsidR="00976487" w:rsidRPr="00687DE8" w:rsidRDefault="00976487" w:rsidP="00B628F5">
            <w:pPr>
              <w:pStyle w:val="Normaallaadveeb"/>
              <w:tabs>
                <w:tab w:val="decimal" w:pos="635"/>
              </w:tabs>
              <w:spacing w:before="0" w:after="0" w:afterAutospacing="0"/>
              <w:jc w:val="center"/>
            </w:pPr>
          </w:p>
          <w:p w14:paraId="094A955E"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10CC604C" w14:textId="77777777" w:rsidTr="0066592B">
        <w:trPr>
          <w:divId w:val="1316184749"/>
          <w:trHeight w:val="300"/>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42C26A" w14:textId="77777777" w:rsidR="00976487" w:rsidRPr="00687DE8" w:rsidRDefault="00976487" w:rsidP="00B628F5">
            <w:pPr>
              <w:pStyle w:val="Normaallaadveeb"/>
              <w:spacing w:before="0" w:after="0" w:afterAutospacing="0"/>
            </w:pPr>
            <w:r w:rsidRPr="00687DE8">
              <w:t>Kopsuarteri trombemboolia või ägeda südamelihaseinfarkti trombolüütiline ravi streptokinaasiga, üks ravikuur</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294AE1" w14:textId="77777777" w:rsidR="00976487" w:rsidRPr="00687DE8" w:rsidRDefault="00976487" w:rsidP="00B628F5">
            <w:pPr>
              <w:pStyle w:val="Normaallaadveeb"/>
              <w:spacing w:before="0" w:after="0" w:afterAutospacing="0"/>
              <w:jc w:val="center"/>
            </w:pPr>
          </w:p>
          <w:p w14:paraId="542A62A5" w14:textId="77777777" w:rsidR="00976487" w:rsidRPr="00687DE8" w:rsidRDefault="00976487" w:rsidP="00B628F5">
            <w:pPr>
              <w:pStyle w:val="Normaallaadveeb"/>
              <w:spacing w:before="0" w:after="0" w:afterAutospacing="0"/>
              <w:jc w:val="center"/>
            </w:pPr>
          </w:p>
          <w:p w14:paraId="791723A9" w14:textId="77777777" w:rsidR="00976487" w:rsidRPr="00687DE8" w:rsidRDefault="00976487" w:rsidP="00B628F5">
            <w:pPr>
              <w:pStyle w:val="Normaallaadveeb"/>
              <w:spacing w:before="0" w:after="0" w:afterAutospacing="0"/>
              <w:jc w:val="center"/>
            </w:pPr>
            <w:r w:rsidRPr="00687DE8">
              <w:t>215R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18C8143" w14:textId="60BFABBA" w:rsidR="56409037" w:rsidRPr="00687DE8" w:rsidRDefault="00F65BFB">
            <w:pPr>
              <w:spacing w:after="0"/>
              <w:jc w:val="center"/>
              <w:rPr>
                <w:color w:val="000000" w:themeColor="text1"/>
              </w:rPr>
            </w:pPr>
            <w:r>
              <w:rPr>
                <w:color w:val="000000"/>
              </w:rPr>
              <w:t>30,14</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20FE35" w14:textId="77777777" w:rsidR="00976487" w:rsidRPr="00687DE8" w:rsidRDefault="00976487" w:rsidP="00B628F5">
            <w:pPr>
              <w:pStyle w:val="Normaallaadveeb"/>
              <w:tabs>
                <w:tab w:val="decimal" w:pos="635"/>
              </w:tabs>
              <w:spacing w:before="0" w:after="0" w:afterAutospacing="0"/>
              <w:jc w:val="center"/>
            </w:pPr>
          </w:p>
          <w:p w14:paraId="38C4FEBC" w14:textId="77777777" w:rsidR="00976487" w:rsidRPr="00687DE8" w:rsidRDefault="00976487" w:rsidP="00B628F5">
            <w:pPr>
              <w:pStyle w:val="Normaallaadveeb"/>
              <w:tabs>
                <w:tab w:val="decimal" w:pos="635"/>
              </w:tabs>
              <w:spacing w:before="0" w:after="0" w:afterAutospacing="0"/>
              <w:jc w:val="center"/>
            </w:pPr>
          </w:p>
          <w:p w14:paraId="786D5713"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B25982" w14:textId="77777777" w:rsidR="00976487" w:rsidRPr="00687DE8" w:rsidRDefault="00976487" w:rsidP="00B628F5">
            <w:pPr>
              <w:pStyle w:val="Normaallaadveeb"/>
              <w:tabs>
                <w:tab w:val="decimal" w:pos="635"/>
              </w:tabs>
              <w:spacing w:before="0" w:after="0" w:afterAutospacing="0"/>
              <w:jc w:val="center"/>
            </w:pPr>
          </w:p>
          <w:p w14:paraId="76208F63" w14:textId="77777777" w:rsidR="00976487" w:rsidRPr="00687DE8" w:rsidRDefault="00976487" w:rsidP="00B628F5">
            <w:pPr>
              <w:pStyle w:val="Normaallaadveeb"/>
              <w:tabs>
                <w:tab w:val="decimal" w:pos="635"/>
              </w:tabs>
              <w:spacing w:before="0" w:after="0" w:afterAutospacing="0"/>
              <w:jc w:val="center"/>
            </w:pPr>
          </w:p>
          <w:p w14:paraId="5A29CDE3"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7A367117" w14:textId="77777777" w:rsidTr="0066592B">
        <w:trPr>
          <w:divId w:val="1316184749"/>
          <w:trHeight w:val="300"/>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970D7E" w14:textId="77777777" w:rsidR="00976487" w:rsidRPr="00687DE8" w:rsidRDefault="00976487" w:rsidP="00B628F5">
            <w:pPr>
              <w:pStyle w:val="Normaallaadveeb"/>
              <w:spacing w:before="0" w:after="0" w:afterAutospacing="0"/>
            </w:pPr>
            <w:r w:rsidRPr="00687DE8">
              <w:rPr>
                <w:i/>
                <w:iCs/>
              </w:rPr>
              <w:t>Sclerosis multiplex</w:t>
            </w:r>
            <w:r w:rsidRPr="00687DE8">
              <w:t>’i baasravi tsütostaatikumidega, üks manustamiskord</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ED51FF" w14:textId="77777777" w:rsidR="00976487" w:rsidRPr="00687DE8" w:rsidRDefault="00976487" w:rsidP="00B628F5">
            <w:pPr>
              <w:pStyle w:val="Normaallaadveeb"/>
              <w:spacing w:before="0" w:after="0" w:afterAutospacing="0"/>
              <w:jc w:val="center"/>
            </w:pPr>
          </w:p>
          <w:p w14:paraId="776F7874" w14:textId="77777777" w:rsidR="0012713B" w:rsidRPr="00687DE8" w:rsidRDefault="0012713B" w:rsidP="00B628F5">
            <w:pPr>
              <w:pStyle w:val="Normaallaadveeb"/>
              <w:spacing w:before="0" w:after="0" w:afterAutospacing="0"/>
              <w:jc w:val="center"/>
            </w:pPr>
          </w:p>
          <w:p w14:paraId="0A6CEBA9" w14:textId="77777777" w:rsidR="00976487" w:rsidRPr="00687DE8" w:rsidRDefault="00976487" w:rsidP="00B628F5">
            <w:pPr>
              <w:pStyle w:val="Normaallaadveeb"/>
              <w:spacing w:before="0" w:after="0" w:afterAutospacing="0"/>
              <w:jc w:val="center"/>
            </w:pPr>
            <w:r w:rsidRPr="00687DE8">
              <w:t>234R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23C2E0" w14:textId="342BE84C" w:rsidR="56409037" w:rsidRPr="00687DE8" w:rsidRDefault="00F65BFB">
            <w:pPr>
              <w:spacing w:after="0"/>
              <w:jc w:val="center"/>
              <w:rPr>
                <w:color w:val="000000" w:themeColor="text1"/>
              </w:rPr>
            </w:pPr>
            <w:r>
              <w:rPr>
                <w:color w:val="000000"/>
              </w:rPr>
              <w:t>70,35</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3DF62F" w14:textId="77777777" w:rsidR="00976487" w:rsidRPr="00687DE8" w:rsidRDefault="00976487" w:rsidP="00B628F5">
            <w:pPr>
              <w:pStyle w:val="Normaallaadveeb"/>
              <w:tabs>
                <w:tab w:val="decimal" w:pos="635"/>
              </w:tabs>
              <w:spacing w:before="0" w:after="0" w:afterAutospacing="0"/>
              <w:jc w:val="center"/>
            </w:pPr>
          </w:p>
          <w:p w14:paraId="781A1F78" w14:textId="77777777" w:rsidR="0012713B" w:rsidRPr="00687DE8" w:rsidRDefault="0012713B" w:rsidP="00B628F5">
            <w:pPr>
              <w:pStyle w:val="Normaallaadveeb"/>
              <w:tabs>
                <w:tab w:val="decimal" w:pos="635"/>
              </w:tabs>
              <w:spacing w:before="0" w:after="0" w:afterAutospacing="0"/>
              <w:jc w:val="center"/>
            </w:pPr>
          </w:p>
          <w:p w14:paraId="1D3639DA"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563264" w14:textId="77777777" w:rsidR="00976487" w:rsidRPr="00687DE8" w:rsidRDefault="00976487" w:rsidP="00B628F5">
            <w:pPr>
              <w:pStyle w:val="Normaallaadveeb"/>
              <w:tabs>
                <w:tab w:val="decimal" w:pos="635"/>
              </w:tabs>
              <w:spacing w:before="0" w:after="0" w:afterAutospacing="0"/>
              <w:jc w:val="center"/>
            </w:pPr>
          </w:p>
          <w:p w14:paraId="39D80A22" w14:textId="77777777" w:rsidR="0012713B" w:rsidRPr="00687DE8" w:rsidRDefault="0012713B" w:rsidP="00B628F5">
            <w:pPr>
              <w:pStyle w:val="Normaallaadveeb"/>
              <w:tabs>
                <w:tab w:val="decimal" w:pos="635"/>
              </w:tabs>
              <w:spacing w:before="0" w:after="0" w:afterAutospacing="0"/>
              <w:jc w:val="center"/>
            </w:pPr>
          </w:p>
          <w:p w14:paraId="30099218"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113F4AA6" w14:textId="77777777" w:rsidTr="0066592B">
        <w:trPr>
          <w:divId w:val="1316184749"/>
          <w:trHeight w:val="555"/>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9D7F69" w14:textId="57D40C34" w:rsidR="00976487" w:rsidRPr="00687DE8" w:rsidRDefault="00976487" w:rsidP="00B628F5">
            <w:pPr>
              <w:pStyle w:val="Normaallaadveeb"/>
              <w:spacing w:before="0" w:after="0" w:afterAutospacing="0"/>
            </w:pPr>
            <w:r w:rsidRPr="00687DE8">
              <w:t>A-tüübi botulismitoksiin Botox 1 TÜ</w:t>
            </w:r>
            <w:r w:rsidR="53EE877D">
              <w:t>,</w:t>
            </w:r>
            <w:r w:rsidRPr="00687DE8">
              <w:t xml:space="preserve"> </w:t>
            </w:r>
            <w:r w:rsidR="295503AE">
              <w:t>Xeomin 1</w:t>
            </w:r>
            <w:r w:rsidR="00953840">
              <w:t xml:space="preserve"> </w:t>
            </w:r>
            <w:r w:rsidR="295503AE">
              <w:t>TÜ</w:t>
            </w:r>
            <w:r>
              <w:t xml:space="preserve"> või </w:t>
            </w:r>
            <w:r w:rsidRPr="00687DE8">
              <w:t>Dysport 3 TÜ</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2DA2F4" w14:textId="77777777" w:rsidR="00976487" w:rsidRPr="00687DE8" w:rsidRDefault="00976487" w:rsidP="00B628F5">
            <w:pPr>
              <w:pStyle w:val="Normaallaadveeb"/>
              <w:spacing w:before="0" w:after="0" w:afterAutospacing="0"/>
              <w:jc w:val="center"/>
            </w:pPr>
          </w:p>
          <w:p w14:paraId="2FD1533E" w14:textId="77777777" w:rsidR="00976487" w:rsidRPr="00687DE8" w:rsidRDefault="00976487" w:rsidP="00B628F5">
            <w:pPr>
              <w:pStyle w:val="Normaallaadveeb"/>
              <w:spacing w:before="0" w:after="0" w:afterAutospacing="0"/>
              <w:jc w:val="center"/>
            </w:pPr>
            <w:r w:rsidRPr="00687DE8">
              <w:t>235R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BF9E54" w14:textId="00ADAD24" w:rsidR="56409037" w:rsidRPr="00687DE8" w:rsidRDefault="00F65BFB">
            <w:pPr>
              <w:spacing w:after="0"/>
              <w:jc w:val="center"/>
              <w:rPr>
                <w:color w:val="000000" w:themeColor="text1"/>
              </w:rPr>
            </w:pPr>
            <w:r>
              <w:rPr>
                <w:color w:val="000000"/>
              </w:rPr>
              <w:t>1,55</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DE61F4" w14:textId="77777777" w:rsidR="00976487" w:rsidRPr="00687DE8" w:rsidRDefault="00976487" w:rsidP="00B628F5">
            <w:pPr>
              <w:pStyle w:val="Normaallaadveeb"/>
              <w:tabs>
                <w:tab w:val="decimal" w:pos="635"/>
              </w:tabs>
              <w:spacing w:before="0" w:after="0" w:afterAutospacing="0"/>
              <w:jc w:val="center"/>
            </w:pPr>
          </w:p>
          <w:p w14:paraId="4B606FCF"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AE2B72" w14:textId="77777777" w:rsidR="00976487" w:rsidRPr="00687DE8" w:rsidRDefault="00976487" w:rsidP="00B628F5">
            <w:pPr>
              <w:pStyle w:val="Normaallaadveeb"/>
              <w:tabs>
                <w:tab w:val="decimal" w:pos="635"/>
              </w:tabs>
              <w:spacing w:before="0" w:after="0" w:afterAutospacing="0"/>
              <w:jc w:val="center"/>
            </w:pPr>
          </w:p>
          <w:p w14:paraId="2DC59DB1" w14:textId="77777777" w:rsidR="00976487" w:rsidRPr="00687DE8" w:rsidRDefault="00976487" w:rsidP="00B628F5">
            <w:pPr>
              <w:pStyle w:val="Normaallaadveeb"/>
              <w:tabs>
                <w:tab w:val="decimal" w:pos="635"/>
              </w:tabs>
              <w:spacing w:before="0" w:after="0" w:afterAutospacing="0"/>
              <w:jc w:val="center"/>
            </w:pPr>
            <w:r w:rsidRPr="00687DE8">
              <w:t>0</w:t>
            </w:r>
          </w:p>
        </w:tc>
      </w:tr>
      <w:tr w:rsidR="2FE053F4" w:rsidRPr="00687DE8" w14:paraId="15650EAF" w14:textId="77777777" w:rsidTr="0066592B">
        <w:trPr>
          <w:divId w:val="1316184749"/>
          <w:trHeight w:val="616"/>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A1D17A" w14:textId="52E4E642" w:rsidR="42BE5328" w:rsidRPr="00687DE8" w:rsidRDefault="00C23298" w:rsidP="0061025C">
            <w:pPr>
              <w:pStyle w:val="Normaallaadveeb"/>
              <w:spacing w:before="0" w:after="0" w:afterAutospacing="0"/>
            </w:pPr>
            <w:r w:rsidRPr="00687DE8">
              <w:t>Kroonilise migreeni profülaktika toimeainega eptinezumab</w:t>
            </w:r>
            <w:r w:rsidR="42BE5328" w:rsidRPr="00687DE8">
              <w:t>, üks manustamiskord</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8EAC56" w14:textId="2DB83318" w:rsidR="42BE5328" w:rsidRPr="00687DE8" w:rsidRDefault="42BE5328" w:rsidP="003760C1">
            <w:pPr>
              <w:pStyle w:val="Normaallaadveeb"/>
              <w:jc w:val="center"/>
            </w:pPr>
            <w:r w:rsidRPr="00687DE8">
              <w:t>422R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935FA9" w14:textId="21D7E8A4" w:rsidR="6E2FD86C" w:rsidRPr="00687DE8" w:rsidRDefault="00F65BFB" w:rsidP="003760C1">
            <w:pPr>
              <w:pStyle w:val="Normaallaadveeb"/>
              <w:jc w:val="center"/>
            </w:pPr>
            <w:r>
              <w:rPr>
                <w:color w:val="000000"/>
              </w:rPr>
              <w:t>831,00</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F0586E" w14:textId="424B2E83" w:rsidR="42BE5328" w:rsidRPr="00687DE8" w:rsidRDefault="003C43EE" w:rsidP="003760C1">
            <w:pPr>
              <w:pStyle w:val="Normaallaadveeb"/>
              <w:jc w:val="center"/>
            </w:pPr>
            <w:r>
              <w:t xml:space="preserve">     </w:t>
            </w:r>
            <w:r w:rsidR="42BE5328"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F3CD93" w14:textId="236C2E64" w:rsidR="42BE5328" w:rsidRPr="00687DE8" w:rsidRDefault="42BE5328" w:rsidP="003760C1">
            <w:pPr>
              <w:pStyle w:val="Normaallaadveeb"/>
              <w:jc w:val="center"/>
            </w:pPr>
            <w:r w:rsidRPr="00687DE8">
              <w:t>0</w:t>
            </w:r>
          </w:p>
        </w:tc>
      </w:tr>
      <w:tr w:rsidR="00976487" w:rsidRPr="00687DE8" w14:paraId="1DA01CB6"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F7063" w14:textId="77777777" w:rsidR="00976487" w:rsidRPr="00687DE8" w:rsidRDefault="00976487" w:rsidP="00B628F5">
            <w:pPr>
              <w:pStyle w:val="Normaallaadveeb"/>
              <w:spacing w:before="0" w:after="0" w:afterAutospacing="0"/>
            </w:pPr>
            <w:r w:rsidRPr="00687DE8">
              <w:t>Surfaktantravi idiopaatilise respiratoorse distressi sündroomi korral enneaegsetel vastsündinutel, 120 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2754A5" w14:textId="77777777" w:rsidR="00976487" w:rsidRPr="00687DE8" w:rsidRDefault="00976487" w:rsidP="00B628F5">
            <w:pPr>
              <w:pStyle w:val="Normaallaadveeb"/>
              <w:spacing w:before="0" w:after="0" w:afterAutospacing="0"/>
              <w:jc w:val="center"/>
            </w:pPr>
          </w:p>
          <w:p w14:paraId="50E6E6C7" w14:textId="77777777" w:rsidR="00976487" w:rsidRPr="00687DE8" w:rsidRDefault="00976487" w:rsidP="00B628F5">
            <w:pPr>
              <w:pStyle w:val="Normaallaadveeb"/>
              <w:spacing w:before="0" w:after="0" w:afterAutospacing="0"/>
              <w:jc w:val="center"/>
            </w:pPr>
          </w:p>
          <w:p w14:paraId="37356D71" w14:textId="77777777" w:rsidR="003C43EE" w:rsidRDefault="003C43EE" w:rsidP="00B628F5">
            <w:pPr>
              <w:pStyle w:val="Normaallaadveeb"/>
              <w:spacing w:before="0" w:after="0" w:afterAutospacing="0"/>
              <w:jc w:val="center"/>
            </w:pPr>
          </w:p>
          <w:p w14:paraId="453039E8" w14:textId="26AC3336" w:rsidR="00976487" w:rsidRPr="00687DE8" w:rsidRDefault="00976487" w:rsidP="00B628F5">
            <w:pPr>
              <w:pStyle w:val="Normaallaadveeb"/>
              <w:spacing w:before="0" w:after="0" w:afterAutospacing="0"/>
              <w:jc w:val="center"/>
            </w:pPr>
            <w:r w:rsidRPr="00687DE8">
              <w:t>282R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5A9FDA8" w14:textId="730495A5" w:rsidR="00976487" w:rsidRPr="00687DE8" w:rsidRDefault="00F65BFB" w:rsidP="00B628F5">
            <w:pPr>
              <w:pStyle w:val="Normaallaadveeb"/>
              <w:tabs>
                <w:tab w:val="decimal" w:pos="635"/>
              </w:tabs>
              <w:spacing w:before="0" w:after="0" w:afterAutospacing="0"/>
              <w:jc w:val="center"/>
            </w:pPr>
            <w:r>
              <w:rPr>
                <w:color w:val="000000"/>
              </w:rPr>
              <w:t>367,88</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74EC59" w14:textId="77777777" w:rsidR="00976487" w:rsidRPr="00687DE8" w:rsidRDefault="00976487" w:rsidP="00B628F5">
            <w:pPr>
              <w:pStyle w:val="Normaallaadveeb"/>
              <w:tabs>
                <w:tab w:val="decimal" w:pos="635"/>
              </w:tabs>
              <w:spacing w:before="0" w:after="0" w:afterAutospacing="0"/>
              <w:jc w:val="center"/>
            </w:pPr>
          </w:p>
          <w:p w14:paraId="219C0CC4" w14:textId="77777777" w:rsidR="00976487" w:rsidRPr="00687DE8" w:rsidRDefault="00976487" w:rsidP="00B628F5">
            <w:pPr>
              <w:pStyle w:val="Normaallaadveeb"/>
              <w:tabs>
                <w:tab w:val="decimal" w:pos="635"/>
              </w:tabs>
              <w:spacing w:before="0" w:after="0" w:afterAutospacing="0"/>
              <w:jc w:val="center"/>
            </w:pPr>
          </w:p>
          <w:p w14:paraId="7E9AB3CE" w14:textId="77777777" w:rsidR="003C43EE" w:rsidRDefault="003C43EE" w:rsidP="00B628F5">
            <w:pPr>
              <w:pStyle w:val="Normaallaadveeb"/>
              <w:tabs>
                <w:tab w:val="decimal" w:pos="635"/>
              </w:tabs>
              <w:spacing w:before="0" w:after="0" w:afterAutospacing="0"/>
              <w:jc w:val="center"/>
            </w:pPr>
          </w:p>
          <w:p w14:paraId="7AA28D8C" w14:textId="17B46530"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1D259A" w14:textId="77777777" w:rsidR="00976487" w:rsidRPr="00687DE8" w:rsidRDefault="00976487" w:rsidP="00B628F5">
            <w:pPr>
              <w:pStyle w:val="Normaallaadveeb"/>
              <w:tabs>
                <w:tab w:val="decimal" w:pos="635"/>
              </w:tabs>
              <w:spacing w:before="0" w:after="0" w:afterAutospacing="0"/>
              <w:jc w:val="center"/>
            </w:pPr>
          </w:p>
          <w:p w14:paraId="7E385497" w14:textId="77777777" w:rsidR="00200238" w:rsidRPr="00687DE8" w:rsidRDefault="00200238" w:rsidP="00B628F5">
            <w:pPr>
              <w:pStyle w:val="Normaallaadveeb"/>
              <w:tabs>
                <w:tab w:val="decimal" w:pos="635"/>
              </w:tabs>
              <w:spacing w:before="0" w:after="0" w:afterAutospacing="0"/>
              <w:jc w:val="center"/>
            </w:pPr>
          </w:p>
          <w:p w14:paraId="52122847"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2F2864A4"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7A41B1" w14:textId="77777777" w:rsidR="00976487" w:rsidRPr="00687DE8" w:rsidRDefault="00976487" w:rsidP="00B628F5">
            <w:pPr>
              <w:pStyle w:val="Normaallaadveeb"/>
              <w:spacing w:before="0" w:after="0" w:afterAutospacing="0"/>
            </w:pPr>
            <w:r w:rsidRPr="00687DE8">
              <w:t>Anti-D globuliin, 625 TÜ</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36F965" w14:textId="77777777" w:rsidR="00976487" w:rsidRPr="00687DE8" w:rsidRDefault="00976487" w:rsidP="00B628F5">
            <w:pPr>
              <w:pStyle w:val="Normaallaadveeb"/>
              <w:spacing w:before="0" w:after="0" w:afterAutospacing="0"/>
              <w:jc w:val="center"/>
            </w:pPr>
            <w:r w:rsidRPr="00687DE8">
              <w:t>290R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0A6638" w14:textId="11EDDDE2" w:rsidR="00976487" w:rsidRPr="00687DE8" w:rsidRDefault="00F65BFB" w:rsidP="00B628F5">
            <w:pPr>
              <w:pStyle w:val="Normaallaadveeb"/>
              <w:tabs>
                <w:tab w:val="decimal" w:pos="635"/>
              </w:tabs>
              <w:spacing w:before="0" w:after="0" w:afterAutospacing="0"/>
              <w:jc w:val="center"/>
            </w:pPr>
            <w:r>
              <w:rPr>
                <w:color w:val="000000"/>
              </w:rPr>
              <w:t>27,82</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00339B"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C8A32A"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2996BE31"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A9AE03" w14:textId="77777777" w:rsidR="00976487" w:rsidRPr="00687DE8" w:rsidRDefault="00976487" w:rsidP="00B628F5">
            <w:pPr>
              <w:pStyle w:val="Normaallaadveeb"/>
              <w:spacing w:before="0" w:after="0" w:afterAutospacing="0"/>
            </w:pPr>
            <w:r w:rsidRPr="00687DE8">
              <w:t>Ravi granulotsüütide kolooniaid stimuleeriva faktoriga, ühe päeva raviannus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857909" w14:textId="77777777" w:rsidR="00976487" w:rsidRPr="00687DE8" w:rsidRDefault="00976487" w:rsidP="00B628F5">
            <w:pPr>
              <w:pStyle w:val="Normaallaadveeb"/>
              <w:spacing w:before="0" w:after="0" w:afterAutospacing="0"/>
              <w:jc w:val="center"/>
            </w:pPr>
          </w:p>
          <w:p w14:paraId="56814734" w14:textId="77777777" w:rsidR="00976487" w:rsidRPr="00687DE8" w:rsidRDefault="00976487" w:rsidP="00B628F5">
            <w:pPr>
              <w:pStyle w:val="Normaallaadveeb"/>
              <w:spacing w:before="0" w:after="0" w:afterAutospacing="0"/>
              <w:jc w:val="center"/>
            </w:pPr>
          </w:p>
          <w:p w14:paraId="38957653" w14:textId="77777777" w:rsidR="00976487" w:rsidRPr="00687DE8" w:rsidRDefault="00976487" w:rsidP="00B628F5">
            <w:pPr>
              <w:pStyle w:val="Normaallaadveeb"/>
              <w:spacing w:before="0" w:after="0" w:afterAutospacing="0"/>
              <w:jc w:val="center"/>
            </w:pPr>
            <w:r w:rsidRPr="00687DE8">
              <w:t>304R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DBF1419" w14:textId="6D65D76E" w:rsidR="00976487" w:rsidRPr="00687DE8" w:rsidRDefault="00F65BFB" w:rsidP="00B628F5">
            <w:pPr>
              <w:pStyle w:val="Normaallaadveeb"/>
              <w:tabs>
                <w:tab w:val="decimal" w:pos="635"/>
              </w:tabs>
              <w:spacing w:before="0" w:after="0" w:afterAutospacing="0"/>
              <w:jc w:val="center"/>
            </w:pPr>
            <w:r>
              <w:rPr>
                <w:color w:val="000000"/>
              </w:rPr>
              <w:t>5,76</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72CBD8" w14:textId="77777777" w:rsidR="00976487" w:rsidRPr="00687DE8" w:rsidRDefault="00976487" w:rsidP="00B628F5">
            <w:pPr>
              <w:pStyle w:val="Normaallaadveeb"/>
              <w:tabs>
                <w:tab w:val="decimal" w:pos="635"/>
              </w:tabs>
              <w:spacing w:before="0" w:after="0" w:afterAutospacing="0"/>
              <w:jc w:val="center"/>
            </w:pPr>
          </w:p>
          <w:p w14:paraId="4D02CFE5" w14:textId="77777777" w:rsidR="00976487" w:rsidRPr="00687DE8" w:rsidRDefault="00976487" w:rsidP="00B628F5">
            <w:pPr>
              <w:pStyle w:val="Normaallaadveeb"/>
              <w:tabs>
                <w:tab w:val="decimal" w:pos="635"/>
              </w:tabs>
              <w:spacing w:before="0" w:after="0" w:afterAutospacing="0"/>
              <w:jc w:val="center"/>
            </w:pPr>
          </w:p>
          <w:p w14:paraId="7FEE6765"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017A69" w14:textId="77777777" w:rsidR="00976487" w:rsidRPr="00687DE8" w:rsidRDefault="00976487" w:rsidP="00B628F5">
            <w:pPr>
              <w:pStyle w:val="Normaallaadveeb"/>
              <w:tabs>
                <w:tab w:val="decimal" w:pos="635"/>
              </w:tabs>
              <w:spacing w:before="0" w:after="0" w:afterAutospacing="0"/>
              <w:jc w:val="center"/>
            </w:pPr>
          </w:p>
          <w:p w14:paraId="6BC1FD90" w14:textId="77777777" w:rsidR="00976487" w:rsidRPr="00687DE8" w:rsidRDefault="00976487" w:rsidP="00B628F5">
            <w:pPr>
              <w:pStyle w:val="Normaallaadveeb"/>
              <w:tabs>
                <w:tab w:val="decimal" w:pos="635"/>
              </w:tabs>
              <w:spacing w:before="0" w:after="0" w:afterAutospacing="0"/>
              <w:jc w:val="center"/>
            </w:pPr>
          </w:p>
          <w:p w14:paraId="0C295B0D"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663E2936"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0B27AF" w14:textId="77777777" w:rsidR="00976487" w:rsidRPr="00687DE8" w:rsidRDefault="00976487" w:rsidP="00B628F5">
            <w:pPr>
              <w:pStyle w:val="Normaallaadveeb"/>
              <w:spacing w:before="0" w:after="0" w:afterAutospacing="0"/>
            </w:pPr>
            <w:r w:rsidRPr="00687DE8">
              <w:t>Täiskasvanute idiopaatilise trombotsütopeenilise purpura ravi romiplostiimiga, 1 µg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FE1BCC" w14:textId="77777777" w:rsidR="00976487" w:rsidRPr="00687DE8" w:rsidRDefault="00976487" w:rsidP="00B628F5">
            <w:pPr>
              <w:pStyle w:val="Normaallaadveeb"/>
              <w:spacing w:before="0" w:after="0" w:afterAutospacing="0"/>
              <w:jc w:val="center"/>
            </w:pPr>
          </w:p>
          <w:p w14:paraId="2C7D35EE" w14:textId="77777777" w:rsidR="00976487" w:rsidRPr="00687DE8" w:rsidRDefault="00976487" w:rsidP="00B628F5">
            <w:pPr>
              <w:pStyle w:val="Normaallaadveeb"/>
              <w:spacing w:before="0" w:after="0" w:afterAutospacing="0"/>
              <w:jc w:val="center"/>
            </w:pPr>
          </w:p>
          <w:p w14:paraId="5A8AB69D" w14:textId="77777777" w:rsidR="00976487" w:rsidRPr="00687DE8" w:rsidRDefault="00976487" w:rsidP="00B628F5">
            <w:pPr>
              <w:pStyle w:val="Normaallaadveeb"/>
              <w:spacing w:before="0" w:after="0" w:afterAutospacing="0"/>
              <w:jc w:val="center"/>
            </w:pPr>
            <w:r w:rsidRPr="00687DE8">
              <w:t>319R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910D65D" w14:textId="4E0B0FAB" w:rsidR="00976487" w:rsidRPr="00687DE8" w:rsidRDefault="00F65BFB" w:rsidP="00B628F5">
            <w:pPr>
              <w:pStyle w:val="Normaallaadveeb"/>
              <w:tabs>
                <w:tab w:val="decimal" w:pos="635"/>
              </w:tabs>
              <w:spacing w:before="0" w:after="0" w:afterAutospacing="0"/>
              <w:jc w:val="center"/>
            </w:pPr>
            <w:r>
              <w:rPr>
                <w:color w:val="000000"/>
              </w:rPr>
              <w:t>2,57</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FC793D" w14:textId="77777777" w:rsidR="00976487" w:rsidRPr="00687DE8" w:rsidRDefault="00976487" w:rsidP="00B628F5">
            <w:pPr>
              <w:pStyle w:val="Normaallaadveeb"/>
              <w:tabs>
                <w:tab w:val="decimal" w:pos="635"/>
              </w:tabs>
              <w:spacing w:before="0" w:after="0" w:afterAutospacing="0"/>
              <w:jc w:val="center"/>
            </w:pPr>
          </w:p>
          <w:p w14:paraId="51C3EFA0" w14:textId="77777777" w:rsidR="00976487" w:rsidRPr="00687DE8" w:rsidRDefault="00976487" w:rsidP="00B628F5">
            <w:pPr>
              <w:pStyle w:val="Normaallaadveeb"/>
              <w:tabs>
                <w:tab w:val="decimal" w:pos="635"/>
              </w:tabs>
              <w:spacing w:before="0" w:after="0" w:afterAutospacing="0"/>
              <w:jc w:val="center"/>
            </w:pPr>
          </w:p>
          <w:p w14:paraId="64CCBE7D"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B4BACC" w14:textId="77777777" w:rsidR="00976487" w:rsidRPr="00687DE8" w:rsidRDefault="00976487" w:rsidP="00B628F5">
            <w:pPr>
              <w:pStyle w:val="Normaallaadveeb"/>
              <w:tabs>
                <w:tab w:val="decimal" w:pos="635"/>
              </w:tabs>
              <w:spacing w:before="0" w:after="0" w:afterAutospacing="0"/>
              <w:jc w:val="center"/>
            </w:pPr>
          </w:p>
          <w:p w14:paraId="396EE17A" w14:textId="77777777" w:rsidR="00976487" w:rsidRPr="00687DE8" w:rsidRDefault="00976487" w:rsidP="00B628F5">
            <w:pPr>
              <w:pStyle w:val="Normaallaadveeb"/>
              <w:tabs>
                <w:tab w:val="decimal" w:pos="635"/>
              </w:tabs>
              <w:spacing w:before="0" w:after="0" w:afterAutospacing="0"/>
              <w:jc w:val="center"/>
            </w:pPr>
          </w:p>
          <w:p w14:paraId="6DCCD617"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351C4035"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BFFC5E" w14:textId="77777777" w:rsidR="00976487" w:rsidRPr="00687DE8" w:rsidRDefault="00976487" w:rsidP="00B628F5">
            <w:pPr>
              <w:pStyle w:val="Normaallaadveeb"/>
              <w:spacing w:before="0" w:after="0" w:afterAutospacing="0"/>
            </w:pPr>
            <w:r w:rsidRPr="00687DE8">
              <w:t>Ravi türeotropiiniga diferentseerunud kilpnäärmevähiga patsiendil, üks manustamiskord</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4196BC" w14:textId="77777777" w:rsidR="00976487" w:rsidRPr="00687DE8" w:rsidRDefault="00976487" w:rsidP="00B628F5">
            <w:pPr>
              <w:pStyle w:val="Normaallaadveeb"/>
              <w:spacing w:before="0" w:after="0" w:afterAutospacing="0"/>
              <w:jc w:val="center"/>
            </w:pPr>
          </w:p>
          <w:p w14:paraId="50409C69" w14:textId="77777777" w:rsidR="00976487" w:rsidRPr="00687DE8" w:rsidRDefault="00976487" w:rsidP="00B628F5">
            <w:pPr>
              <w:pStyle w:val="Normaallaadveeb"/>
              <w:spacing w:before="0" w:after="0" w:afterAutospacing="0"/>
              <w:jc w:val="center"/>
            </w:pPr>
          </w:p>
          <w:p w14:paraId="59BD5A7C" w14:textId="77777777" w:rsidR="00976487" w:rsidRPr="00687DE8" w:rsidRDefault="00976487" w:rsidP="00B628F5">
            <w:pPr>
              <w:pStyle w:val="Normaallaadveeb"/>
              <w:spacing w:before="0" w:after="0" w:afterAutospacing="0"/>
              <w:jc w:val="center"/>
            </w:pPr>
            <w:r w:rsidRPr="00687DE8">
              <w:t>329R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B9AD7D3" w14:textId="1964F80D" w:rsidR="00976487" w:rsidRPr="00687DE8" w:rsidRDefault="00F65BFB" w:rsidP="00B628F5">
            <w:pPr>
              <w:pStyle w:val="Normaallaadveeb"/>
              <w:tabs>
                <w:tab w:val="decimal" w:pos="635"/>
              </w:tabs>
              <w:spacing w:before="0" w:after="0" w:afterAutospacing="0"/>
              <w:jc w:val="center"/>
            </w:pPr>
            <w:r>
              <w:rPr>
                <w:color w:val="000000"/>
              </w:rPr>
              <w:t>1 062,85</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56AB18" w14:textId="77777777" w:rsidR="00976487" w:rsidRPr="00687DE8" w:rsidRDefault="00976487" w:rsidP="00B628F5">
            <w:pPr>
              <w:pStyle w:val="Normaallaadveeb"/>
              <w:tabs>
                <w:tab w:val="decimal" w:pos="635"/>
              </w:tabs>
              <w:spacing w:before="0" w:after="0" w:afterAutospacing="0"/>
              <w:jc w:val="center"/>
            </w:pPr>
          </w:p>
          <w:p w14:paraId="3DEE91B5" w14:textId="77777777" w:rsidR="00976487" w:rsidRPr="00687DE8" w:rsidRDefault="00976487" w:rsidP="00B628F5">
            <w:pPr>
              <w:pStyle w:val="Normaallaadveeb"/>
              <w:tabs>
                <w:tab w:val="decimal" w:pos="635"/>
              </w:tabs>
              <w:spacing w:before="0" w:after="0" w:afterAutospacing="0"/>
              <w:jc w:val="center"/>
            </w:pPr>
          </w:p>
          <w:p w14:paraId="0458AC5E"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D93CEE" w14:textId="77777777" w:rsidR="00976487" w:rsidRPr="00687DE8" w:rsidRDefault="00976487" w:rsidP="00B628F5">
            <w:pPr>
              <w:pStyle w:val="Normaallaadveeb"/>
              <w:tabs>
                <w:tab w:val="decimal" w:pos="635"/>
              </w:tabs>
              <w:spacing w:before="0" w:after="0" w:afterAutospacing="0"/>
              <w:jc w:val="center"/>
            </w:pPr>
          </w:p>
          <w:p w14:paraId="21036BCD" w14:textId="77777777" w:rsidR="00976487" w:rsidRPr="00687DE8" w:rsidRDefault="00976487" w:rsidP="00B628F5">
            <w:pPr>
              <w:pStyle w:val="Normaallaadveeb"/>
              <w:tabs>
                <w:tab w:val="decimal" w:pos="635"/>
              </w:tabs>
              <w:spacing w:before="0" w:after="0" w:afterAutospacing="0"/>
              <w:jc w:val="center"/>
            </w:pPr>
          </w:p>
          <w:p w14:paraId="1B4B5C2F"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31441085"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D7EF86" w14:textId="77777777" w:rsidR="00976487" w:rsidRPr="00687DE8" w:rsidRDefault="00976487" w:rsidP="00B628F5">
            <w:pPr>
              <w:pStyle w:val="Normaallaadveeb"/>
              <w:spacing w:before="0" w:after="0" w:afterAutospacing="0"/>
            </w:pPr>
            <w:r w:rsidRPr="00687DE8">
              <w:t>Sepsise antibakteriaalne ravi, ühe toimeaine päevane raviannus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20C98FB" w14:textId="77777777" w:rsidR="00976487" w:rsidRPr="00687DE8" w:rsidRDefault="00976487" w:rsidP="00B628F5">
            <w:pPr>
              <w:pStyle w:val="Normaallaadveeb"/>
              <w:spacing w:before="0" w:after="0" w:afterAutospacing="0"/>
              <w:jc w:val="center"/>
            </w:pPr>
          </w:p>
          <w:p w14:paraId="4855C2F4" w14:textId="77777777" w:rsidR="00976487" w:rsidRPr="00687DE8" w:rsidRDefault="00976487" w:rsidP="00B628F5">
            <w:pPr>
              <w:pStyle w:val="Normaallaadveeb"/>
              <w:spacing w:before="0" w:after="0" w:afterAutospacing="0"/>
              <w:jc w:val="center"/>
            </w:pPr>
            <w:r w:rsidRPr="00687DE8">
              <w:t>484R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F66D81" w14:textId="23436FD8" w:rsidR="00976487" w:rsidRPr="00687DE8" w:rsidRDefault="00F65BFB" w:rsidP="00B628F5">
            <w:pPr>
              <w:pStyle w:val="Normaallaadveeb"/>
              <w:tabs>
                <w:tab w:val="decimal" w:pos="635"/>
              </w:tabs>
              <w:spacing w:before="0" w:after="0" w:afterAutospacing="0"/>
              <w:jc w:val="center"/>
            </w:pPr>
            <w:r>
              <w:rPr>
                <w:color w:val="000000"/>
              </w:rPr>
              <w:t>10,36</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D3ACA8" w14:textId="6EA50169" w:rsidR="00976487" w:rsidRPr="00687DE8" w:rsidRDefault="00976487" w:rsidP="00B628F5">
            <w:pPr>
              <w:pStyle w:val="Normaallaadveeb"/>
              <w:tabs>
                <w:tab w:val="decimal" w:pos="635"/>
              </w:tabs>
              <w:spacing w:before="0" w:after="0" w:afterAutospacing="0"/>
              <w:jc w:val="center"/>
            </w:pPr>
          </w:p>
          <w:p w14:paraId="7E9364BF"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8CEAAB" w14:textId="77777777" w:rsidR="00976487" w:rsidRPr="00687DE8" w:rsidRDefault="00976487" w:rsidP="00B628F5">
            <w:pPr>
              <w:pStyle w:val="Normaallaadveeb"/>
              <w:tabs>
                <w:tab w:val="decimal" w:pos="635"/>
              </w:tabs>
              <w:spacing w:before="0" w:after="0" w:afterAutospacing="0"/>
              <w:jc w:val="center"/>
            </w:pPr>
          </w:p>
          <w:p w14:paraId="7413A8EA" w14:textId="77777777" w:rsidR="00976487" w:rsidRPr="00687DE8" w:rsidRDefault="00976487" w:rsidP="00B628F5">
            <w:pPr>
              <w:pStyle w:val="Normaallaadveeb"/>
              <w:tabs>
                <w:tab w:val="decimal" w:pos="635"/>
              </w:tabs>
              <w:spacing w:before="0" w:after="0" w:afterAutospacing="0"/>
              <w:jc w:val="center"/>
            </w:pPr>
            <w:r w:rsidRPr="00687DE8">
              <w:t>0</w:t>
            </w:r>
          </w:p>
        </w:tc>
      </w:tr>
      <w:tr w:rsidR="00362FEE" w:rsidRPr="00687DE8" w14:paraId="1CDD455C"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945E37" w14:textId="1DB66D68" w:rsidR="00DE4634" w:rsidRPr="00687DE8" w:rsidRDefault="00F6666C" w:rsidP="00B628F5">
            <w:pPr>
              <w:pStyle w:val="Normaallaadveeb"/>
              <w:spacing w:before="0" w:after="0" w:afterAutospacing="0"/>
            </w:pPr>
            <w:r w:rsidRPr="00F6666C">
              <w:lastRenderedPageBreak/>
              <w:t>Ravi imipeneemi 2</w:t>
            </w:r>
            <w:r w:rsidR="00990AA5">
              <w:t> </w:t>
            </w:r>
            <w:r w:rsidRPr="00F6666C">
              <w:t>g, tsilastatiini 2</w:t>
            </w:r>
            <w:r w:rsidR="00990AA5">
              <w:t> </w:t>
            </w:r>
            <w:r w:rsidRPr="00F6666C">
              <w:t>g ja relebaktaami 1</w:t>
            </w:r>
            <w:r w:rsidR="00990AA5">
              <w:t> </w:t>
            </w:r>
            <w:r w:rsidRPr="00F6666C">
              <w:t>g kombinatsiooniga, üks ravipäev</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8EF6E73" w14:textId="6844A48B" w:rsidR="00DE4634" w:rsidRPr="00687DE8" w:rsidRDefault="009C237C" w:rsidP="00B628F5">
            <w:pPr>
              <w:pStyle w:val="Normaallaadveeb"/>
              <w:spacing w:before="0" w:after="0" w:afterAutospacing="0"/>
              <w:jc w:val="center"/>
            </w:pPr>
            <w:r>
              <w:t>438R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46D0A92" w14:textId="6D266A69" w:rsidR="00DE4634" w:rsidRPr="00687DE8" w:rsidRDefault="00F65BFB" w:rsidP="00B628F5">
            <w:pPr>
              <w:pStyle w:val="Normaallaadveeb"/>
              <w:tabs>
                <w:tab w:val="decimal" w:pos="635"/>
              </w:tabs>
              <w:spacing w:before="0" w:after="0" w:afterAutospacing="0"/>
              <w:jc w:val="center"/>
            </w:pPr>
            <w:r>
              <w:rPr>
                <w:color w:val="000000"/>
              </w:rPr>
              <w:t>764,11</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63B3FE1" w14:textId="396E7E76" w:rsidR="00DE4634" w:rsidRPr="00687DE8" w:rsidRDefault="00CA71E4" w:rsidP="00B628F5">
            <w:pPr>
              <w:pStyle w:val="Normaallaadveeb"/>
              <w:tabs>
                <w:tab w:val="decimal" w:pos="635"/>
              </w:tabs>
              <w:spacing w:before="0" w:after="0" w:afterAutospacing="0"/>
              <w:jc w:val="center"/>
            </w:pPr>
            <w:r>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A0E8776" w14:textId="52EFB5DA" w:rsidR="00DE4634" w:rsidRPr="00687DE8" w:rsidRDefault="00CA71E4" w:rsidP="00B628F5">
            <w:pPr>
              <w:pStyle w:val="Normaallaadveeb"/>
              <w:tabs>
                <w:tab w:val="decimal" w:pos="635"/>
              </w:tabs>
              <w:spacing w:before="0" w:after="0" w:afterAutospacing="0"/>
              <w:jc w:val="center"/>
            </w:pPr>
            <w:r>
              <w:t>0</w:t>
            </w:r>
          </w:p>
        </w:tc>
      </w:tr>
      <w:tr w:rsidR="00362FEE" w:rsidRPr="00687DE8" w14:paraId="6AFFF9F1" w14:textId="77777777" w:rsidTr="00EB7A71">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CE8B54" w14:textId="007CC666" w:rsidR="00DE4634" w:rsidRPr="00687DE8" w:rsidRDefault="00F6666C" w:rsidP="00B628F5">
            <w:pPr>
              <w:pStyle w:val="Normaallaadveeb"/>
              <w:spacing w:before="0" w:after="0" w:afterAutospacing="0"/>
            </w:pPr>
            <w:r w:rsidRPr="00F6666C">
              <w:t>Ravi tseftasidiimi 6</w:t>
            </w:r>
            <w:r w:rsidR="00990AA5">
              <w:t> </w:t>
            </w:r>
            <w:r w:rsidRPr="00F6666C">
              <w:t>g ja avibaktaami 1,5</w:t>
            </w:r>
            <w:r w:rsidR="00990AA5">
              <w:t> </w:t>
            </w:r>
            <w:r w:rsidRPr="00F6666C">
              <w:t>g kombinatsiooniga, üks ravipäev</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9C3FC51" w14:textId="2C3BE21A" w:rsidR="00DE4634" w:rsidRPr="00687DE8" w:rsidRDefault="009C237C" w:rsidP="00B628F5">
            <w:pPr>
              <w:pStyle w:val="Normaallaadveeb"/>
              <w:spacing w:before="0" w:after="0" w:afterAutospacing="0"/>
              <w:jc w:val="center"/>
            </w:pPr>
            <w:r>
              <w:t>439R</w:t>
            </w:r>
          </w:p>
        </w:tc>
        <w:tc>
          <w:tcPr>
            <w:tcW w:w="21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B3915B" w14:textId="75CD4024" w:rsidR="00DE4634" w:rsidRPr="00687DE8" w:rsidRDefault="00467FA5" w:rsidP="00B628F5">
            <w:pPr>
              <w:pStyle w:val="Normaallaadveeb"/>
              <w:tabs>
                <w:tab w:val="decimal" w:pos="635"/>
              </w:tabs>
              <w:spacing w:before="0" w:after="0" w:afterAutospacing="0"/>
              <w:jc w:val="center"/>
            </w:pPr>
            <w:r>
              <w:rPr>
                <w:color w:val="000000"/>
              </w:rPr>
              <w:t>329,09</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9DC3968" w14:textId="5FE004CB" w:rsidR="00DE4634" w:rsidRPr="00687DE8" w:rsidRDefault="00CA71E4" w:rsidP="00B628F5">
            <w:pPr>
              <w:pStyle w:val="Normaallaadveeb"/>
              <w:tabs>
                <w:tab w:val="decimal" w:pos="635"/>
              </w:tabs>
              <w:spacing w:before="0" w:after="0" w:afterAutospacing="0"/>
              <w:jc w:val="center"/>
            </w:pPr>
            <w:r>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0933374" w14:textId="7C5686E0" w:rsidR="00DE4634" w:rsidRPr="00687DE8" w:rsidRDefault="00CA71E4" w:rsidP="00B628F5">
            <w:pPr>
              <w:pStyle w:val="Normaallaadveeb"/>
              <w:tabs>
                <w:tab w:val="decimal" w:pos="635"/>
              </w:tabs>
              <w:spacing w:before="0" w:after="0" w:afterAutospacing="0"/>
              <w:jc w:val="center"/>
            </w:pPr>
            <w:r>
              <w:t>0</w:t>
            </w:r>
          </w:p>
        </w:tc>
      </w:tr>
      <w:tr w:rsidR="00362FEE" w:rsidRPr="00687DE8" w14:paraId="58A67BD2"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AB2549" w14:textId="4DD3DFE4" w:rsidR="00DE4634" w:rsidRPr="00687DE8" w:rsidRDefault="00F6666C" w:rsidP="00B628F5">
            <w:pPr>
              <w:pStyle w:val="Normaallaadveeb"/>
              <w:spacing w:before="0" w:after="0" w:afterAutospacing="0"/>
            </w:pPr>
            <w:r w:rsidRPr="00F6666C">
              <w:t>Ravi tsefiderokooliga 3</w:t>
            </w:r>
            <w:r w:rsidR="00990AA5">
              <w:t> </w:t>
            </w:r>
            <w:r w:rsidRPr="00F6666C">
              <w:t>g, üks ravipäev</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7C25030" w14:textId="0902A001" w:rsidR="00DE4634" w:rsidRPr="00687DE8" w:rsidRDefault="009C237C" w:rsidP="00B628F5">
            <w:pPr>
              <w:pStyle w:val="Normaallaadveeb"/>
              <w:spacing w:before="0" w:after="0" w:afterAutospacing="0"/>
              <w:jc w:val="center"/>
            </w:pPr>
            <w:r>
              <w:t>44</w:t>
            </w:r>
            <w:r w:rsidR="009F43F4">
              <w:t>6</w:t>
            </w:r>
            <w:r>
              <w:t>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48B2625" w14:textId="5E22AAF9" w:rsidR="00DE4634" w:rsidRPr="00687DE8" w:rsidRDefault="00467FA5" w:rsidP="00B628F5">
            <w:pPr>
              <w:pStyle w:val="Normaallaadveeb"/>
              <w:tabs>
                <w:tab w:val="decimal" w:pos="635"/>
              </w:tabs>
              <w:spacing w:before="0" w:after="0" w:afterAutospacing="0"/>
              <w:jc w:val="center"/>
            </w:pPr>
            <w:r>
              <w:rPr>
                <w:color w:val="000000"/>
              </w:rPr>
              <w:t>477,73</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94311B7" w14:textId="29B5F73F" w:rsidR="00DE4634" w:rsidRPr="00687DE8" w:rsidRDefault="00CA71E4" w:rsidP="00B628F5">
            <w:pPr>
              <w:pStyle w:val="Normaallaadveeb"/>
              <w:tabs>
                <w:tab w:val="decimal" w:pos="635"/>
              </w:tabs>
              <w:spacing w:before="0" w:after="0" w:afterAutospacing="0"/>
              <w:jc w:val="center"/>
            </w:pPr>
            <w:r>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D0B5CC3" w14:textId="1EF55AD9" w:rsidR="00DE4634" w:rsidRPr="00687DE8" w:rsidRDefault="00CA71E4" w:rsidP="00B628F5">
            <w:pPr>
              <w:pStyle w:val="Normaallaadveeb"/>
              <w:tabs>
                <w:tab w:val="decimal" w:pos="635"/>
              </w:tabs>
              <w:spacing w:before="0" w:after="0" w:afterAutospacing="0"/>
              <w:jc w:val="center"/>
            </w:pPr>
            <w:r>
              <w:t>0</w:t>
            </w:r>
          </w:p>
        </w:tc>
      </w:tr>
      <w:tr w:rsidR="00362FEE" w:rsidRPr="00687DE8" w14:paraId="24F03BB3"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B1CC58" w14:textId="5DC768A5" w:rsidR="00DE4634" w:rsidRPr="00687DE8" w:rsidRDefault="00E1661E" w:rsidP="00B628F5">
            <w:pPr>
              <w:pStyle w:val="Normaallaadveeb"/>
              <w:spacing w:before="0" w:after="0" w:afterAutospacing="0"/>
            </w:pPr>
            <w:r w:rsidRPr="00E1661E">
              <w:t>Ravi astreonaami 6</w:t>
            </w:r>
            <w:r w:rsidR="00990AA5">
              <w:t> </w:t>
            </w:r>
            <w:r w:rsidRPr="00E1661E">
              <w:t>g ja avibaktaami 2</w:t>
            </w:r>
            <w:r w:rsidR="00990AA5">
              <w:t> </w:t>
            </w:r>
            <w:r w:rsidRPr="00E1661E">
              <w:t>g kombinatsiooniga, üks ravipäev</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EF9170C" w14:textId="0AD9E025" w:rsidR="00DE4634" w:rsidRPr="00687DE8" w:rsidRDefault="009C237C" w:rsidP="00B628F5">
            <w:pPr>
              <w:pStyle w:val="Normaallaadveeb"/>
              <w:spacing w:before="0" w:after="0" w:afterAutospacing="0"/>
              <w:jc w:val="center"/>
            </w:pPr>
            <w:r>
              <w:t>441R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4F6015A" w14:textId="73060312" w:rsidR="00DE4634" w:rsidRPr="00687DE8" w:rsidRDefault="00467FA5" w:rsidP="00B628F5">
            <w:pPr>
              <w:pStyle w:val="Normaallaadveeb"/>
              <w:tabs>
                <w:tab w:val="decimal" w:pos="635"/>
              </w:tabs>
              <w:spacing w:before="0" w:after="0" w:afterAutospacing="0"/>
              <w:jc w:val="center"/>
            </w:pPr>
            <w:r>
              <w:rPr>
                <w:color w:val="000000"/>
              </w:rPr>
              <w:t>766,88</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3C9E92F1" w14:textId="2D37C833" w:rsidR="00DE4634" w:rsidRPr="00687DE8" w:rsidRDefault="00CA71E4" w:rsidP="00B628F5">
            <w:pPr>
              <w:pStyle w:val="Normaallaadveeb"/>
              <w:tabs>
                <w:tab w:val="decimal" w:pos="635"/>
              </w:tabs>
              <w:spacing w:before="0" w:after="0" w:afterAutospacing="0"/>
              <w:jc w:val="center"/>
            </w:pPr>
            <w:r>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A77F8B3" w14:textId="4E5E8000" w:rsidR="00DE4634" w:rsidRPr="00687DE8" w:rsidRDefault="00CA71E4" w:rsidP="00B628F5">
            <w:pPr>
              <w:pStyle w:val="Normaallaadveeb"/>
              <w:tabs>
                <w:tab w:val="decimal" w:pos="635"/>
              </w:tabs>
              <w:spacing w:before="0" w:after="0" w:afterAutospacing="0"/>
              <w:jc w:val="center"/>
            </w:pPr>
            <w:r>
              <w:t>0</w:t>
            </w:r>
          </w:p>
        </w:tc>
      </w:tr>
      <w:tr w:rsidR="00976487" w:rsidRPr="00687DE8" w14:paraId="7E76C5F4"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3A8D5E" w14:textId="2F859B63" w:rsidR="00976487" w:rsidRPr="00687DE8" w:rsidRDefault="00976487" w:rsidP="00B628F5">
            <w:pPr>
              <w:pStyle w:val="Normaallaadveeb"/>
              <w:spacing w:before="0" w:after="0" w:afterAutospacing="0"/>
            </w:pPr>
            <w:r w:rsidRPr="00687DE8">
              <w:t xml:space="preserve">Ravi süstitava atüüpilise antipsühhootikumi depoovormiga, </w:t>
            </w:r>
            <w:r w:rsidR="00496D77" w:rsidRPr="00687DE8">
              <w:t>nelja</w:t>
            </w:r>
            <w:r w:rsidRPr="00687DE8">
              <w:t>nädalane ravikuur</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4E1AD4" w14:textId="77777777" w:rsidR="00976487" w:rsidRPr="00687DE8" w:rsidRDefault="00976487" w:rsidP="00B628F5">
            <w:pPr>
              <w:pStyle w:val="Normaallaadveeb"/>
              <w:spacing w:before="0" w:after="0" w:afterAutospacing="0"/>
              <w:jc w:val="center"/>
            </w:pPr>
          </w:p>
          <w:p w14:paraId="3F67FC06" w14:textId="77777777" w:rsidR="00976487" w:rsidRPr="00687DE8" w:rsidRDefault="00976487" w:rsidP="00B628F5">
            <w:pPr>
              <w:pStyle w:val="Normaallaadveeb"/>
              <w:spacing w:before="0" w:after="0" w:afterAutospacing="0"/>
              <w:jc w:val="center"/>
            </w:pPr>
          </w:p>
          <w:p w14:paraId="133C5730" w14:textId="77777777" w:rsidR="00976487" w:rsidRPr="00687DE8" w:rsidRDefault="00976487" w:rsidP="00B628F5">
            <w:pPr>
              <w:pStyle w:val="Normaallaadveeb"/>
              <w:spacing w:before="0" w:after="0" w:afterAutospacing="0"/>
              <w:jc w:val="center"/>
            </w:pPr>
            <w:r w:rsidRPr="00687DE8">
              <w:t>492R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1484DEA" w14:textId="4140EF75" w:rsidR="00976487" w:rsidRPr="00687DE8" w:rsidRDefault="00467FA5" w:rsidP="00B628F5">
            <w:pPr>
              <w:pStyle w:val="Normaallaadveeb"/>
              <w:tabs>
                <w:tab w:val="decimal" w:pos="635"/>
              </w:tabs>
              <w:spacing w:before="0" w:after="0" w:afterAutospacing="0"/>
              <w:jc w:val="center"/>
            </w:pPr>
            <w:r>
              <w:rPr>
                <w:color w:val="000000"/>
              </w:rPr>
              <w:t>244,68</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E1BBD5" w14:textId="77777777" w:rsidR="00976487" w:rsidRPr="00687DE8" w:rsidRDefault="00976487" w:rsidP="00B628F5">
            <w:pPr>
              <w:pStyle w:val="Normaallaadveeb"/>
              <w:tabs>
                <w:tab w:val="decimal" w:pos="635"/>
              </w:tabs>
              <w:spacing w:before="0" w:after="0" w:afterAutospacing="0"/>
              <w:jc w:val="center"/>
            </w:pPr>
          </w:p>
          <w:p w14:paraId="07EFD291" w14:textId="77777777" w:rsidR="00976487" w:rsidRPr="00687DE8" w:rsidRDefault="00976487" w:rsidP="00B628F5">
            <w:pPr>
              <w:pStyle w:val="Normaallaadveeb"/>
              <w:tabs>
                <w:tab w:val="decimal" w:pos="635"/>
              </w:tabs>
              <w:spacing w:before="0" w:after="0" w:afterAutospacing="0"/>
              <w:jc w:val="center"/>
            </w:pPr>
          </w:p>
          <w:p w14:paraId="166DC5A4"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43EA91" w14:textId="77777777" w:rsidR="00976487" w:rsidRPr="00687DE8" w:rsidRDefault="00976487" w:rsidP="00B628F5">
            <w:pPr>
              <w:pStyle w:val="Normaallaadveeb"/>
              <w:tabs>
                <w:tab w:val="decimal" w:pos="635"/>
              </w:tabs>
              <w:spacing w:before="0" w:after="0" w:afterAutospacing="0"/>
              <w:jc w:val="center"/>
            </w:pPr>
          </w:p>
          <w:p w14:paraId="248A62D1" w14:textId="77777777" w:rsidR="00976487" w:rsidRPr="00687DE8" w:rsidRDefault="00976487" w:rsidP="00B628F5">
            <w:pPr>
              <w:pStyle w:val="Normaallaadveeb"/>
              <w:tabs>
                <w:tab w:val="decimal" w:pos="635"/>
              </w:tabs>
              <w:spacing w:before="0" w:after="0" w:afterAutospacing="0"/>
              <w:jc w:val="center"/>
            </w:pPr>
          </w:p>
          <w:p w14:paraId="6BFDB0DC" w14:textId="77777777" w:rsidR="00976487" w:rsidRPr="00687DE8" w:rsidRDefault="00A70B23" w:rsidP="00B628F5">
            <w:pPr>
              <w:pStyle w:val="Normaallaadveeb"/>
              <w:tabs>
                <w:tab w:val="decimal" w:pos="635"/>
              </w:tabs>
              <w:spacing w:before="0" w:after="0" w:afterAutospacing="0"/>
              <w:jc w:val="center"/>
            </w:pPr>
            <w:r w:rsidRPr="00687DE8">
              <w:t xml:space="preserve">   </w:t>
            </w:r>
            <w:r w:rsidR="00976487" w:rsidRPr="00687DE8">
              <w:t>0</w:t>
            </w:r>
          </w:p>
        </w:tc>
      </w:tr>
      <w:tr w:rsidR="00E80B30" w:rsidRPr="00687DE8" w14:paraId="4CBA8737"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952059" w14:textId="77777777" w:rsidR="00E80B30" w:rsidRPr="00687DE8" w:rsidRDefault="00E80B30" w:rsidP="00B628F5">
            <w:pPr>
              <w:pStyle w:val="Normaallaadveeb"/>
              <w:spacing w:before="0" w:after="0" w:afterAutospacing="0"/>
            </w:pPr>
            <w:r w:rsidRPr="00687DE8">
              <w:t>Ravi hobuse anti-T-lümfotsüütse immunoglobuliiniga, 250 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4D06AFCD" w14:textId="77777777" w:rsidR="00E80B30" w:rsidRPr="00687DE8" w:rsidRDefault="00E80B30" w:rsidP="00B628F5">
            <w:pPr>
              <w:pStyle w:val="Normaallaadveeb"/>
              <w:spacing w:before="0" w:after="0" w:afterAutospacing="0"/>
              <w:jc w:val="center"/>
            </w:pPr>
            <w:r w:rsidRPr="00687DE8">
              <w:t>272R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933187" w14:textId="732F3677" w:rsidR="00E80B30" w:rsidRPr="00687DE8" w:rsidRDefault="00467FA5" w:rsidP="00B628F5">
            <w:pPr>
              <w:pStyle w:val="Normaallaadveeb"/>
              <w:spacing w:before="0" w:after="0" w:afterAutospacing="0"/>
              <w:jc w:val="center"/>
            </w:pPr>
            <w:r>
              <w:rPr>
                <w:color w:val="000000"/>
              </w:rPr>
              <w:t>143,28</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DDFCAA7" w14:textId="44EE9C6F" w:rsidR="00E80B30" w:rsidRPr="00687DE8" w:rsidRDefault="00596C68" w:rsidP="00B628F5">
            <w:pPr>
              <w:pStyle w:val="Normaallaadveeb"/>
              <w:spacing w:before="0" w:after="0" w:afterAutospacing="0"/>
              <w:jc w:val="center"/>
            </w:pPr>
            <w:r w:rsidRPr="00687DE8">
              <w:t xml:space="preserve">    </w:t>
            </w:r>
            <w:r w:rsidR="00E80B30"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3D6E54DD" w14:textId="32EE6121" w:rsidR="00E80B30" w:rsidRPr="00687DE8" w:rsidRDefault="00E80B30" w:rsidP="00B628F5">
            <w:pPr>
              <w:pStyle w:val="Normaallaadveeb"/>
              <w:spacing w:before="0" w:after="0" w:afterAutospacing="0"/>
              <w:jc w:val="center"/>
            </w:pPr>
            <w:r w:rsidRPr="00687DE8">
              <w:t xml:space="preserve">        0</w:t>
            </w:r>
          </w:p>
        </w:tc>
      </w:tr>
      <w:tr w:rsidR="00E80B30" w:rsidRPr="00687DE8" w14:paraId="53823E3B"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E21629" w14:textId="77777777" w:rsidR="00E80B30" w:rsidRPr="00687DE8" w:rsidRDefault="00E80B30" w:rsidP="00B628F5">
            <w:pPr>
              <w:pStyle w:val="Normaallaadveeb"/>
              <w:spacing w:before="0" w:after="0" w:afterAutospacing="0"/>
            </w:pPr>
            <w:r w:rsidRPr="00687DE8">
              <w:t>Ravi küüliku anti-T-lümfotsüütse immunoglobuliiniga, 25 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3E78D9D1" w14:textId="77777777" w:rsidR="00E80B30" w:rsidRPr="00687DE8" w:rsidRDefault="00E80B30" w:rsidP="00B628F5">
            <w:pPr>
              <w:pStyle w:val="Normaallaadveeb"/>
              <w:spacing w:before="0" w:after="0" w:afterAutospacing="0"/>
              <w:jc w:val="center"/>
            </w:pPr>
            <w:r w:rsidRPr="00687DE8">
              <w:t>273R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49063C" w14:textId="754960B3" w:rsidR="00E80B30" w:rsidRPr="00687DE8" w:rsidRDefault="00467FA5" w:rsidP="00B628F5">
            <w:pPr>
              <w:pStyle w:val="Normaallaadveeb"/>
              <w:spacing w:before="0" w:after="0" w:afterAutospacing="0"/>
              <w:jc w:val="center"/>
            </w:pPr>
            <w:r>
              <w:rPr>
                <w:color w:val="000000"/>
              </w:rPr>
              <w:t>196,47</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3581076F" w14:textId="4CB89132" w:rsidR="00E80B30" w:rsidRPr="00687DE8" w:rsidRDefault="00596C68" w:rsidP="00B628F5">
            <w:pPr>
              <w:pStyle w:val="Normaallaadveeb"/>
              <w:spacing w:before="0" w:after="0" w:afterAutospacing="0"/>
              <w:jc w:val="center"/>
            </w:pPr>
            <w:r w:rsidRPr="00687DE8">
              <w:t xml:space="preserve">    </w:t>
            </w:r>
            <w:r w:rsidR="00E80B30"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32070CC9" w14:textId="671B784A" w:rsidR="00E80B30" w:rsidRPr="00687DE8" w:rsidRDefault="00E80B30" w:rsidP="00B628F5">
            <w:pPr>
              <w:pStyle w:val="Normaallaadveeb"/>
              <w:spacing w:before="0" w:after="0" w:afterAutospacing="0"/>
              <w:jc w:val="center"/>
            </w:pPr>
            <w:r w:rsidRPr="00687DE8">
              <w:t xml:space="preserve">         0</w:t>
            </w:r>
          </w:p>
        </w:tc>
      </w:tr>
      <w:tr w:rsidR="00976487" w:rsidRPr="00687DE8" w14:paraId="61D811DF"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9A34A6" w14:textId="47A5ACA2" w:rsidR="00976487" w:rsidRPr="00687DE8" w:rsidRDefault="00976487" w:rsidP="00B628F5">
            <w:pPr>
              <w:pStyle w:val="Normaallaadveeb"/>
              <w:spacing w:before="0" w:after="0" w:afterAutospacing="0"/>
            </w:pPr>
            <w:r w:rsidRPr="00687DE8">
              <w:t>Ravi inhaleeritava NO-ga püsiva pulmonaalse hüpertensiooniga patsientidel</w:t>
            </w:r>
            <w:r w:rsidR="62D2C3CC" w:rsidRPr="00687DE8">
              <w:t xml:space="preserve"> või kopsuveresoonte reaktiivsuse uurimine pul</w:t>
            </w:r>
            <w:r w:rsidR="1BE0A671" w:rsidRPr="00687DE8">
              <w:t>m</w:t>
            </w:r>
            <w:r w:rsidR="62D2C3CC" w:rsidRPr="00687DE8">
              <w:t>o</w:t>
            </w:r>
            <w:r w:rsidR="276B3904" w:rsidRPr="00687DE8">
              <w:t>n</w:t>
            </w:r>
            <w:r w:rsidR="62D2C3CC" w:rsidRPr="00687DE8">
              <w:t>aalhüpertensiooni di</w:t>
            </w:r>
            <w:r w:rsidR="6DB457C4" w:rsidRPr="00687DE8">
              <w:t>agnostikas</w:t>
            </w:r>
            <w:r w:rsidRPr="00687DE8">
              <w:t xml:space="preserve">, </w:t>
            </w:r>
            <w:r w:rsidR="00496D77" w:rsidRPr="00687DE8">
              <w:t>üks</w:t>
            </w:r>
            <w:r w:rsidRPr="00687DE8">
              <w:t xml:space="preserve"> tund</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4E2AEA1" w14:textId="77777777" w:rsidR="00976487" w:rsidRPr="00687DE8" w:rsidRDefault="00976487" w:rsidP="00B628F5">
            <w:pPr>
              <w:pStyle w:val="Normaallaadveeb"/>
              <w:spacing w:before="0" w:after="0" w:afterAutospacing="0"/>
              <w:jc w:val="center"/>
            </w:pPr>
          </w:p>
          <w:p w14:paraId="275226AA" w14:textId="77777777" w:rsidR="00976487" w:rsidRPr="00687DE8" w:rsidRDefault="00976487" w:rsidP="00B628F5">
            <w:pPr>
              <w:pStyle w:val="Normaallaadveeb"/>
              <w:spacing w:before="0" w:after="0" w:afterAutospacing="0"/>
              <w:jc w:val="center"/>
            </w:pPr>
          </w:p>
          <w:p w14:paraId="15A208E0" w14:textId="77777777" w:rsidR="00976487" w:rsidRPr="00687DE8" w:rsidRDefault="00976487" w:rsidP="00B628F5">
            <w:pPr>
              <w:pStyle w:val="Normaallaadveeb"/>
              <w:spacing w:before="0" w:after="0" w:afterAutospacing="0"/>
              <w:jc w:val="center"/>
            </w:pPr>
            <w:r w:rsidRPr="00687DE8">
              <w:t>336R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95308AE" w14:textId="1B0F9B68" w:rsidR="00976487" w:rsidRPr="00687DE8" w:rsidRDefault="00467FA5" w:rsidP="00B628F5">
            <w:pPr>
              <w:pStyle w:val="Normaallaadveeb"/>
              <w:tabs>
                <w:tab w:val="decimal" w:pos="635"/>
              </w:tabs>
              <w:spacing w:before="0" w:after="0" w:afterAutospacing="0"/>
              <w:jc w:val="center"/>
            </w:pPr>
            <w:r>
              <w:rPr>
                <w:color w:val="000000"/>
              </w:rPr>
              <w:t>145,27</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180ABFD" w14:textId="77777777" w:rsidR="00976487" w:rsidRPr="00687DE8" w:rsidRDefault="00976487" w:rsidP="00B628F5">
            <w:pPr>
              <w:pStyle w:val="Normaallaadveeb"/>
              <w:tabs>
                <w:tab w:val="decimal" w:pos="635"/>
              </w:tabs>
              <w:spacing w:before="0" w:after="0" w:afterAutospacing="0"/>
              <w:jc w:val="center"/>
            </w:pPr>
          </w:p>
          <w:p w14:paraId="5052EC44" w14:textId="77777777" w:rsidR="00976487" w:rsidRPr="00687DE8" w:rsidRDefault="00976487" w:rsidP="00B628F5">
            <w:pPr>
              <w:pStyle w:val="Normaallaadveeb"/>
              <w:tabs>
                <w:tab w:val="decimal" w:pos="635"/>
              </w:tabs>
              <w:spacing w:before="0" w:after="0" w:afterAutospacing="0"/>
              <w:jc w:val="center"/>
            </w:pPr>
          </w:p>
          <w:p w14:paraId="183EC100"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3A7EDDBD" w14:textId="77777777" w:rsidR="00976487" w:rsidRPr="00687DE8" w:rsidRDefault="00976487" w:rsidP="00B628F5">
            <w:pPr>
              <w:pStyle w:val="Normaallaadveeb"/>
              <w:tabs>
                <w:tab w:val="decimal" w:pos="635"/>
              </w:tabs>
              <w:spacing w:before="0" w:after="0" w:afterAutospacing="0"/>
              <w:jc w:val="center"/>
            </w:pPr>
          </w:p>
          <w:p w14:paraId="300D731A" w14:textId="77777777" w:rsidR="00976487" w:rsidRPr="00687DE8" w:rsidRDefault="00976487" w:rsidP="00B628F5">
            <w:pPr>
              <w:pStyle w:val="Normaallaadveeb"/>
              <w:tabs>
                <w:tab w:val="decimal" w:pos="635"/>
              </w:tabs>
              <w:spacing w:before="0" w:after="0" w:afterAutospacing="0"/>
              <w:jc w:val="center"/>
            </w:pPr>
          </w:p>
          <w:p w14:paraId="0F058550" w14:textId="77777777" w:rsidR="00976487" w:rsidRPr="00687DE8" w:rsidRDefault="00A70B23" w:rsidP="00B628F5">
            <w:pPr>
              <w:pStyle w:val="Normaallaadveeb"/>
              <w:tabs>
                <w:tab w:val="decimal" w:pos="635"/>
              </w:tabs>
              <w:spacing w:before="0" w:after="0" w:afterAutospacing="0"/>
              <w:jc w:val="center"/>
            </w:pPr>
            <w:r w:rsidRPr="00687DE8">
              <w:t xml:space="preserve">  </w:t>
            </w:r>
            <w:r w:rsidR="00976487" w:rsidRPr="00687DE8">
              <w:t>0</w:t>
            </w:r>
          </w:p>
        </w:tc>
      </w:tr>
      <w:tr w:rsidR="00976487" w:rsidRPr="00687DE8" w14:paraId="795BB5C6"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32809D" w14:textId="77777777" w:rsidR="00976487" w:rsidRPr="00687DE8" w:rsidRDefault="00976487" w:rsidP="00B628F5">
            <w:pPr>
              <w:pStyle w:val="Normaallaadveeb"/>
              <w:spacing w:before="0" w:after="0" w:afterAutospacing="0"/>
            </w:pPr>
            <w:r w:rsidRPr="00687DE8">
              <w:t xml:space="preserve">Luukoe mineralisatsiooni mõjustavad ained onkoloogias, </w:t>
            </w:r>
            <w:r w:rsidR="00496D77" w:rsidRPr="00687DE8">
              <w:t>üks</w:t>
            </w:r>
            <w:r w:rsidRPr="00687DE8">
              <w:t xml:space="preserve"> manustamiskord</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17CD063" w14:textId="77777777" w:rsidR="00976487" w:rsidRPr="00687DE8" w:rsidRDefault="00976487" w:rsidP="00B628F5">
            <w:pPr>
              <w:pStyle w:val="Normaallaadveeb"/>
              <w:spacing w:before="0" w:after="0" w:afterAutospacing="0"/>
              <w:jc w:val="center"/>
            </w:pPr>
          </w:p>
          <w:p w14:paraId="0C535F81" w14:textId="77777777" w:rsidR="00976487" w:rsidRPr="00687DE8" w:rsidRDefault="00976487" w:rsidP="00B628F5">
            <w:pPr>
              <w:pStyle w:val="Normaallaadveeb"/>
              <w:spacing w:before="0" w:after="0" w:afterAutospacing="0"/>
              <w:jc w:val="center"/>
            </w:pPr>
            <w:r w:rsidRPr="00687DE8">
              <w:t>486R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057B35E" w14:textId="110B2BD7" w:rsidR="00976487" w:rsidRPr="00687DE8" w:rsidRDefault="00467FA5" w:rsidP="00B628F5">
            <w:pPr>
              <w:pStyle w:val="Normaallaadveeb"/>
              <w:tabs>
                <w:tab w:val="decimal" w:pos="635"/>
              </w:tabs>
              <w:spacing w:before="0" w:after="0" w:afterAutospacing="0"/>
              <w:jc w:val="center"/>
            </w:pPr>
            <w:r>
              <w:rPr>
                <w:color w:val="000000"/>
              </w:rPr>
              <w:t>26,63</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4F88F065" w14:textId="77777777" w:rsidR="00976487" w:rsidRPr="00687DE8" w:rsidRDefault="00976487" w:rsidP="00B628F5">
            <w:pPr>
              <w:pStyle w:val="Normaallaadveeb"/>
              <w:tabs>
                <w:tab w:val="decimal" w:pos="635"/>
              </w:tabs>
              <w:spacing w:before="0" w:after="0" w:afterAutospacing="0"/>
              <w:jc w:val="center"/>
            </w:pPr>
          </w:p>
          <w:p w14:paraId="537B24F6"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3645DC24" w14:textId="77777777" w:rsidR="00976487" w:rsidRPr="00687DE8" w:rsidRDefault="00976487" w:rsidP="00B628F5">
            <w:pPr>
              <w:pStyle w:val="Normaallaadveeb"/>
              <w:tabs>
                <w:tab w:val="decimal" w:pos="635"/>
              </w:tabs>
              <w:spacing w:before="0" w:after="0" w:afterAutospacing="0"/>
              <w:jc w:val="center"/>
            </w:pPr>
          </w:p>
          <w:p w14:paraId="311B24B3"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14098E39"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596976" w14:textId="77777777" w:rsidR="00976487" w:rsidRPr="00687DE8" w:rsidRDefault="00976487" w:rsidP="00B628F5">
            <w:pPr>
              <w:pStyle w:val="Normaallaadveeb"/>
              <w:spacing w:before="0" w:after="0" w:afterAutospacing="0"/>
            </w:pPr>
            <w:r w:rsidRPr="00687DE8">
              <w:t>Invasiivse seeninfektsiooni ravi või eeldatava invasiivse seeninfektsiooni empiiriline ravi ehhinokandiini, liposomaalse amfoteritsiini või triasooli derivaadiga (välja arvatud itrakonasool, flukonasool või suukaudne vorikonasool), ühe päeva raviannus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2FA982" w14:textId="77777777" w:rsidR="00976487" w:rsidRPr="00687DE8" w:rsidRDefault="00976487" w:rsidP="00B628F5">
            <w:pPr>
              <w:pStyle w:val="Normaallaadveeb"/>
              <w:spacing w:before="0" w:after="0" w:afterAutospacing="0"/>
              <w:jc w:val="center"/>
            </w:pPr>
          </w:p>
          <w:p w14:paraId="5A86D1AB" w14:textId="77777777" w:rsidR="00976487" w:rsidRPr="00687DE8" w:rsidRDefault="00976487" w:rsidP="00B628F5">
            <w:pPr>
              <w:pStyle w:val="Normaallaadveeb"/>
              <w:spacing w:before="0" w:after="0" w:afterAutospacing="0"/>
              <w:jc w:val="center"/>
            </w:pPr>
          </w:p>
          <w:p w14:paraId="0126671D" w14:textId="77777777" w:rsidR="00976487" w:rsidRPr="00687DE8" w:rsidRDefault="00976487" w:rsidP="00B628F5">
            <w:pPr>
              <w:pStyle w:val="Normaallaadveeb"/>
              <w:spacing w:before="0" w:after="0" w:afterAutospacing="0"/>
              <w:jc w:val="center"/>
            </w:pPr>
          </w:p>
          <w:p w14:paraId="394E7CC8" w14:textId="77777777" w:rsidR="00976487" w:rsidRPr="00687DE8" w:rsidRDefault="00976487" w:rsidP="00B628F5">
            <w:pPr>
              <w:pStyle w:val="Normaallaadveeb"/>
              <w:spacing w:before="0" w:after="0" w:afterAutospacing="0"/>
              <w:jc w:val="center"/>
            </w:pPr>
          </w:p>
          <w:p w14:paraId="1315D5CF" w14:textId="77777777" w:rsidR="00976487" w:rsidRPr="00687DE8" w:rsidRDefault="00976487" w:rsidP="00B628F5">
            <w:pPr>
              <w:pStyle w:val="Normaallaadveeb"/>
              <w:spacing w:before="0" w:after="0" w:afterAutospacing="0"/>
              <w:jc w:val="center"/>
            </w:pPr>
          </w:p>
          <w:p w14:paraId="47B81A46" w14:textId="77777777" w:rsidR="00976487" w:rsidRPr="00687DE8" w:rsidRDefault="00976487" w:rsidP="00B628F5">
            <w:pPr>
              <w:pStyle w:val="Normaallaadveeb"/>
              <w:spacing w:before="0" w:after="0" w:afterAutospacing="0"/>
              <w:jc w:val="center"/>
            </w:pPr>
          </w:p>
          <w:p w14:paraId="7CD4D27B" w14:textId="77777777" w:rsidR="00976487" w:rsidRPr="00687DE8" w:rsidRDefault="00976487" w:rsidP="00B628F5">
            <w:pPr>
              <w:pStyle w:val="Normaallaadveeb"/>
              <w:spacing w:before="0" w:after="0" w:afterAutospacing="0"/>
              <w:jc w:val="center"/>
            </w:pPr>
            <w:r w:rsidRPr="00687DE8">
              <w:t>338R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9EF5384" w14:textId="34EA1E26" w:rsidR="00976487" w:rsidRPr="00687DE8" w:rsidRDefault="00467FA5" w:rsidP="00B628F5">
            <w:pPr>
              <w:pStyle w:val="Normaallaadveeb"/>
              <w:tabs>
                <w:tab w:val="decimal" w:pos="635"/>
              </w:tabs>
              <w:spacing w:before="0" w:after="0" w:afterAutospacing="0"/>
              <w:jc w:val="center"/>
            </w:pPr>
            <w:r>
              <w:rPr>
                <w:color w:val="000000"/>
              </w:rPr>
              <w:t>128,62</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63BA1A" w14:textId="77777777" w:rsidR="00976487" w:rsidRPr="00687DE8" w:rsidRDefault="00976487" w:rsidP="00B628F5">
            <w:pPr>
              <w:pStyle w:val="Normaallaadveeb"/>
              <w:tabs>
                <w:tab w:val="decimal" w:pos="635"/>
              </w:tabs>
              <w:spacing w:before="0" w:after="0" w:afterAutospacing="0"/>
              <w:jc w:val="center"/>
            </w:pPr>
          </w:p>
          <w:p w14:paraId="75E77EC3" w14:textId="77777777" w:rsidR="00976487" w:rsidRPr="00687DE8" w:rsidRDefault="00976487" w:rsidP="00B628F5">
            <w:pPr>
              <w:pStyle w:val="Normaallaadveeb"/>
              <w:tabs>
                <w:tab w:val="decimal" w:pos="635"/>
              </w:tabs>
              <w:spacing w:before="0" w:after="0" w:afterAutospacing="0"/>
              <w:jc w:val="center"/>
            </w:pPr>
          </w:p>
          <w:p w14:paraId="4CF700D7" w14:textId="77777777" w:rsidR="00976487" w:rsidRPr="00687DE8" w:rsidRDefault="00976487" w:rsidP="00B628F5">
            <w:pPr>
              <w:pStyle w:val="Normaallaadveeb"/>
              <w:tabs>
                <w:tab w:val="decimal" w:pos="635"/>
              </w:tabs>
              <w:spacing w:before="0" w:after="0" w:afterAutospacing="0"/>
              <w:jc w:val="center"/>
            </w:pPr>
          </w:p>
          <w:p w14:paraId="3AE817A4" w14:textId="77777777" w:rsidR="00976487" w:rsidRPr="00687DE8" w:rsidRDefault="00976487" w:rsidP="00B628F5">
            <w:pPr>
              <w:pStyle w:val="Normaallaadveeb"/>
              <w:tabs>
                <w:tab w:val="decimal" w:pos="635"/>
              </w:tabs>
              <w:spacing w:before="0" w:after="0" w:afterAutospacing="0"/>
              <w:jc w:val="center"/>
            </w:pPr>
          </w:p>
          <w:p w14:paraId="74DFB8C1" w14:textId="77777777" w:rsidR="00976487" w:rsidRPr="00687DE8" w:rsidRDefault="00976487" w:rsidP="00B628F5">
            <w:pPr>
              <w:pStyle w:val="Normaallaadveeb"/>
              <w:tabs>
                <w:tab w:val="decimal" w:pos="635"/>
              </w:tabs>
              <w:spacing w:before="0" w:after="0" w:afterAutospacing="0"/>
              <w:jc w:val="center"/>
            </w:pPr>
          </w:p>
          <w:p w14:paraId="45BFBD92" w14:textId="77777777" w:rsidR="00976487" w:rsidRPr="00687DE8" w:rsidRDefault="00976487" w:rsidP="00B628F5">
            <w:pPr>
              <w:pStyle w:val="Normaallaadveeb"/>
              <w:tabs>
                <w:tab w:val="decimal" w:pos="635"/>
              </w:tabs>
              <w:spacing w:before="0" w:after="0" w:afterAutospacing="0"/>
              <w:jc w:val="center"/>
            </w:pPr>
          </w:p>
          <w:p w14:paraId="67D874CF"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06232E" w14:textId="77777777" w:rsidR="00976487" w:rsidRPr="00687DE8" w:rsidRDefault="00976487" w:rsidP="00B628F5">
            <w:pPr>
              <w:pStyle w:val="Normaallaadveeb"/>
              <w:tabs>
                <w:tab w:val="decimal" w:pos="635"/>
              </w:tabs>
              <w:spacing w:before="0" w:after="0" w:afterAutospacing="0"/>
              <w:jc w:val="center"/>
            </w:pPr>
          </w:p>
          <w:p w14:paraId="648090D2" w14:textId="77777777" w:rsidR="00976487" w:rsidRPr="00687DE8" w:rsidRDefault="00976487" w:rsidP="00B628F5">
            <w:pPr>
              <w:pStyle w:val="Normaallaadveeb"/>
              <w:tabs>
                <w:tab w:val="decimal" w:pos="635"/>
              </w:tabs>
              <w:spacing w:before="0" w:after="0" w:afterAutospacing="0"/>
              <w:jc w:val="center"/>
            </w:pPr>
          </w:p>
          <w:p w14:paraId="3340C4E5" w14:textId="77777777" w:rsidR="00976487" w:rsidRPr="00687DE8" w:rsidRDefault="00976487" w:rsidP="00B628F5">
            <w:pPr>
              <w:pStyle w:val="Normaallaadveeb"/>
              <w:tabs>
                <w:tab w:val="decimal" w:pos="635"/>
              </w:tabs>
              <w:spacing w:before="0" w:after="0" w:afterAutospacing="0"/>
              <w:jc w:val="center"/>
            </w:pPr>
          </w:p>
          <w:p w14:paraId="56CE61A7" w14:textId="77777777" w:rsidR="00976487" w:rsidRPr="00687DE8" w:rsidRDefault="00976487" w:rsidP="00B628F5">
            <w:pPr>
              <w:pStyle w:val="Normaallaadveeb"/>
              <w:tabs>
                <w:tab w:val="decimal" w:pos="635"/>
              </w:tabs>
              <w:spacing w:before="0" w:after="0" w:afterAutospacing="0"/>
              <w:jc w:val="center"/>
            </w:pPr>
          </w:p>
          <w:p w14:paraId="4685230D" w14:textId="77777777" w:rsidR="00976487" w:rsidRPr="00687DE8" w:rsidRDefault="00976487" w:rsidP="00B628F5">
            <w:pPr>
              <w:pStyle w:val="Normaallaadveeb"/>
              <w:tabs>
                <w:tab w:val="decimal" w:pos="635"/>
              </w:tabs>
              <w:spacing w:before="0" w:after="0" w:afterAutospacing="0"/>
              <w:jc w:val="center"/>
            </w:pPr>
          </w:p>
          <w:p w14:paraId="7C9E8C53" w14:textId="77777777" w:rsidR="00976487" w:rsidRPr="00687DE8" w:rsidRDefault="00976487" w:rsidP="00B628F5">
            <w:pPr>
              <w:pStyle w:val="Normaallaadveeb"/>
              <w:tabs>
                <w:tab w:val="decimal" w:pos="635"/>
              </w:tabs>
              <w:spacing w:before="0" w:after="0" w:afterAutospacing="0"/>
              <w:jc w:val="center"/>
            </w:pPr>
          </w:p>
          <w:p w14:paraId="697A4DDA"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76F4BB0B"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A1D502" w14:textId="77777777" w:rsidR="00976487" w:rsidRPr="00687DE8" w:rsidRDefault="00976487" w:rsidP="00B628F5">
            <w:pPr>
              <w:pStyle w:val="Normaallaadveeb"/>
              <w:spacing w:before="0" w:after="0" w:afterAutospacing="0"/>
            </w:pPr>
            <w:r w:rsidRPr="00687DE8">
              <w:t xml:space="preserve">Akromegaalia hormoonravi pikatoimelise somatostatiini analoogiga, </w:t>
            </w:r>
            <w:r w:rsidR="00496D77" w:rsidRPr="00687DE8">
              <w:t>nelja</w:t>
            </w:r>
            <w:r w:rsidRPr="00687DE8">
              <w:t>nädalane ravikuur</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757F53" w14:textId="77777777" w:rsidR="00976487" w:rsidRPr="00687DE8" w:rsidRDefault="00976487" w:rsidP="00B628F5">
            <w:pPr>
              <w:pStyle w:val="Normaallaadveeb"/>
              <w:spacing w:before="0" w:after="0" w:afterAutospacing="0"/>
              <w:jc w:val="center"/>
            </w:pPr>
          </w:p>
          <w:p w14:paraId="3AA26593" w14:textId="77777777" w:rsidR="00976487" w:rsidRPr="00687DE8" w:rsidRDefault="00976487" w:rsidP="00B628F5">
            <w:pPr>
              <w:pStyle w:val="Normaallaadveeb"/>
              <w:spacing w:before="0" w:after="0" w:afterAutospacing="0"/>
              <w:jc w:val="center"/>
            </w:pPr>
          </w:p>
          <w:p w14:paraId="031F8AC1" w14:textId="77777777" w:rsidR="00976487" w:rsidRPr="00687DE8" w:rsidRDefault="00976487" w:rsidP="00B628F5">
            <w:pPr>
              <w:pStyle w:val="Normaallaadveeb"/>
              <w:spacing w:before="0" w:after="0" w:afterAutospacing="0"/>
              <w:jc w:val="center"/>
            </w:pPr>
            <w:r w:rsidRPr="00687DE8">
              <w:t>339R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756498A" w14:textId="149375D8" w:rsidR="00976487" w:rsidRPr="00687DE8" w:rsidRDefault="00467FA5" w:rsidP="00B628F5">
            <w:pPr>
              <w:pStyle w:val="Normaallaadveeb"/>
              <w:tabs>
                <w:tab w:val="decimal" w:pos="635"/>
              </w:tabs>
              <w:spacing w:before="0" w:after="0" w:afterAutospacing="0"/>
              <w:jc w:val="center"/>
            </w:pPr>
            <w:r>
              <w:rPr>
                <w:color w:val="000000"/>
              </w:rPr>
              <w:t>972,94</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4FFCB7" w14:textId="77777777" w:rsidR="00976487" w:rsidRPr="00687DE8" w:rsidRDefault="00976487" w:rsidP="00B628F5">
            <w:pPr>
              <w:pStyle w:val="Normaallaadveeb"/>
              <w:tabs>
                <w:tab w:val="decimal" w:pos="635"/>
              </w:tabs>
              <w:spacing w:before="0" w:after="0" w:afterAutospacing="0"/>
              <w:jc w:val="center"/>
            </w:pPr>
          </w:p>
          <w:p w14:paraId="0B9EBA32" w14:textId="77777777" w:rsidR="00976487" w:rsidRPr="00687DE8" w:rsidRDefault="00976487" w:rsidP="00B628F5">
            <w:pPr>
              <w:pStyle w:val="Normaallaadveeb"/>
              <w:tabs>
                <w:tab w:val="decimal" w:pos="635"/>
              </w:tabs>
              <w:spacing w:before="0" w:after="0" w:afterAutospacing="0"/>
              <w:jc w:val="center"/>
            </w:pPr>
          </w:p>
          <w:p w14:paraId="6359CF1A"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6B0878" w14:textId="77777777" w:rsidR="00976487" w:rsidRPr="00687DE8" w:rsidRDefault="00976487" w:rsidP="00B628F5">
            <w:pPr>
              <w:pStyle w:val="Normaallaadveeb"/>
              <w:tabs>
                <w:tab w:val="decimal" w:pos="635"/>
              </w:tabs>
              <w:spacing w:before="0" w:after="0" w:afterAutospacing="0"/>
              <w:jc w:val="center"/>
            </w:pPr>
          </w:p>
          <w:p w14:paraId="303085EA" w14:textId="77777777" w:rsidR="00976487" w:rsidRPr="00687DE8" w:rsidRDefault="00976487" w:rsidP="00B628F5">
            <w:pPr>
              <w:pStyle w:val="Normaallaadveeb"/>
              <w:tabs>
                <w:tab w:val="decimal" w:pos="635"/>
              </w:tabs>
              <w:spacing w:before="0" w:after="0" w:afterAutospacing="0"/>
              <w:jc w:val="center"/>
            </w:pPr>
          </w:p>
          <w:p w14:paraId="508E1CD3"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5AF57FF6"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B88085" w14:textId="77777777" w:rsidR="00976487" w:rsidRPr="00687DE8" w:rsidRDefault="00976487" w:rsidP="00B628F5">
            <w:pPr>
              <w:pStyle w:val="Normaallaadveeb"/>
              <w:spacing w:before="0" w:after="0" w:afterAutospacing="0"/>
            </w:pPr>
            <w:r w:rsidRPr="00687DE8">
              <w:lastRenderedPageBreak/>
              <w:t>Riskirühma imikute respiraator-süntsütiaalse viiruse (RSV) infektsiooni profülaktika rekombinantse monoklonaalse humaanantikehaga, 1 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273AF8" w14:textId="77777777" w:rsidR="00976487" w:rsidRPr="00687DE8" w:rsidRDefault="00976487" w:rsidP="00B628F5">
            <w:pPr>
              <w:pStyle w:val="Normaallaadveeb"/>
              <w:spacing w:before="0" w:after="0" w:afterAutospacing="0"/>
              <w:jc w:val="center"/>
            </w:pPr>
          </w:p>
          <w:p w14:paraId="260E0EF7" w14:textId="77777777" w:rsidR="00976487" w:rsidRPr="00687DE8" w:rsidRDefault="00976487" w:rsidP="00B628F5">
            <w:pPr>
              <w:pStyle w:val="Normaallaadveeb"/>
              <w:spacing w:before="0" w:after="0" w:afterAutospacing="0"/>
              <w:jc w:val="center"/>
            </w:pPr>
          </w:p>
          <w:p w14:paraId="0460EF87" w14:textId="77777777" w:rsidR="00976487" w:rsidRPr="00687DE8" w:rsidRDefault="00976487" w:rsidP="00B628F5">
            <w:pPr>
              <w:pStyle w:val="Normaallaadveeb"/>
              <w:spacing w:before="0" w:after="0" w:afterAutospacing="0"/>
              <w:jc w:val="center"/>
            </w:pPr>
          </w:p>
          <w:p w14:paraId="15D1C0B3" w14:textId="77777777" w:rsidR="00F027A0" w:rsidRPr="00687DE8" w:rsidRDefault="00F027A0" w:rsidP="00B628F5">
            <w:pPr>
              <w:pStyle w:val="Normaallaadveeb"/>
              <w:spacing w:before="0" w:after="0" w:afterAutospacing="0"/>
              <w:jc w:val="center"/>
            </w:pPr>
          </w:p>
          <w:p w14:paraId="2ADA3E6A" w14:textId="77777777" w:rsidR="00976487" w:rsidRPr="00687DE8" w:rsidRDefault="00976487" w:rsidP="00B628F5">
            <w:pPr>
              <w:pStyle w:val="Normaallaadveeb"/>
              <w:spacing w:before="0" w:after="0" w:afterAutospacing="0"/>
              <w:jc w:val="center"/>
            </w:pPr>
            <w:r w:rsidRPr="00687DE8">
              <w:t>341R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6BFBC9B" w14:textId="7B01C24C" w:rsidR="00976487" w:rsidRPr="00687DE8" w:rsidRDefault="00467FA5" w:rsidP="00B628F5">
            <w:pPr>
              <w:pStyle w:val="Normaallaadveeb"/>
              <w:tabs>
                <w:tab w:val="decimal" w:pos="635"/>
              </w:tabs>
              <w:spacing w:before="0" w:after="0" w:afterAutospacing="0"/>
              <w:jc w:val="center"/>
            </w:pPr>
            <w:r>
              <w:rPr>
                <w:color w:val="000000"/>
              </w:rPr>
              <w:t>10,97</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B38A09" w14:textId="77777777" w:rsidR="00976487" w:rsidRPr="00687DE8" w:rsidRDefault="00976487" w:rsidP="00B628F5">
            <w:pPr>
              <w:pStyle w:val="Normaallaadveeb"/>
              <w:tabs>
                <w:tab w:val="decimal" w:pos="635"/>
              </w:tabs>
              <w:spacing w:before="0" w:after="0" w:afterAutospacing="0"/>
              <w:jc w:val="center"/>
            </w:pPr>
          </w:p>
          <w:p w14:paraId="66C33B55" w14:textId="77777777" w:rsidR="00976487" w:rsidRPr="00687DE8" w:rsidRDefault="00976487" w:rsidP="00B628F5">
            <w:pPr>
              <w:pStyle w:val="Normaallaadveeb"/>
              <w:tabs>
                <w:tab w:val="decimal" w:pos="635"/>
              </w:tabs>
              <w:spacing w:before="0" w:after="0" w:afterAutospacing="0"/>
              <w:jc w:val="center"/>
            </w:pPr>
          </w:p>
          <w:p w14:paraId="6AC81154" w14:textId="77777777" w:rsidR="00976487" w:rsidRPr="00687DE8" w:rsidRDefault="00976487" w:rsidP="00B628F5">
            <w:pPr>
              <w:pStyle w:val="Normaallaadveeb"/>
              <w:tabs>
                <w:tab w:val="decimal" w:pos="635"/>
              </w:tabs>
              <w:spacing w:before="0" w:after="0" w:afterAutospacing="0"/>
              <w:jc w:val="center"/>
            </w:pPr>
          </w:p>
          <w:p w14:paraId="184DC179" w14:textId="77777777" w:rsidR="00F027A0" w:rsidRPr="00687DE8" w:rsidRDefault="00F027A0" w:rsidP="00B628F5">
            <w:pPr>
              <w:pStyle w:val="Normaallaadveeb"/>
              <w:tabs>
                <w:tab w:val="decimal" w:pos="635"/>
              </w:tabs>
              <w:spacing w:before="0" w:after="0" w:afterAutospacing="0"/>
              <w:jc w:val="center"/>
            </w:pPr>
          </w:p>
          <w:p w14:paraId="7A03FF78"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6C877F" w14:textId="77777777" w:rsidR="00976487" w:rsidRPr="00687DE8" w:rsidRDefault="00976487" w:rsidP="00B628F5">
            <w:pPr>
              <w:pStyle w:val="Normaallaadveeb"/>
              <w:tabs>
                <w:tab w:val="decimal" w:pos="635"/>
              </w:tabs>
              <w:spacing w:before="0" w:after="0" w:afterAutospacing="0"/>
              <w:jc w:val="center"/>
            </w:pPr>
          </w:p>
          <w:p w14:paraId="0C96D201" w14:textId="77777777" w:rsidR="00976487" w:rsidRPr="00687DE8" w:rsidRDefault="00976487" w:rsidP="00B628F5">
            <w:pPr>
              <w:pStyle w:val="Normaallaadveeb"/>
              <w:tabs>
                <w:tab w:val="decimal" w:pos="635"/>
              </w:tabs>
              <w:spacing w:before="0" w:after="0" w:afterAutospacing="0"/>
              <w:jc w:val="center"/>
            </w:pPr>
          </w:p>
          <w:p w14:paraId="1103330D" w14:textId="77777777" w:rsidR="00976487" w:rsidRPr="00687DE8" w:rsidRDefault="00976487" w:rsidP="00B628F5">
            <w:pPr>
              <w:pStyle w:val="Normaallaadveeb"/>
              <w:tabs>
                <w:tab w:val="decimal" w:pos="635"/>
              </w:tabs>
              <w:spacing w:before="0" w:after="0" w:afterAutospacing="0"/>
              <w:jc w:val="center"/>
            </w:pPr>
          </w:p>
          <w:p w14:paraId="42CA4686" w14:textId="77777777" w:rsidR="00F027A0" w:rsidRPr="00687DE8" w:rsidRDefault="00F027A0" w:rsidP="00B628F5">
            <w:pPr>
              <w:pStyle w:val="Normaallaadveeb"/>
              <w:tabs>
                <w:tab w:val="decimal" w:pos="635"/>
              </w:tabs>
              <w:spacing w:before="0" w:after="0" w:afterAutospacing="0"/>
              <w:jc w:val="center"/>
            </w:pPr>
          </w:p>
          <w:p w14:paraId="6500637C" w14:textId="77777777" w:rsidR="00976487" w:rsidRPr="00687DE8" w:rsidRDefault="00976487" w:rsidP="00B628F5">
            <w:pPr>
              <w:pStyle w:val="Normaallaadveeb"/>
              <w:tabs>
                <w:tab w:val="decimal" w:pos="635"/>
              </w:tabs>
              <w:spacing w:before="0" w:after="0" w:afterAutospacing="0"/>
              <w:jc w:val="center"/>
            </w:pPr>
            <w:r w:rsidRPr="00687DE8">
              <w:t>0</w:t>
            </w:r>
          </w:p>
        </w:tc>
      </w:tr>
      <w:tr w:rsidR="00362FEE" w:rsidRPr="00687DE8" w14:paraId="014AA1F0"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92C09E" w14:textId="0A8D5651" w:rsidR="00167C1E" w:rsidRPr="00687DE8" w:rsidRDefault="0098591F" w:rsidP="00B628F5">
            <w:pPr>
              <w:pStyle w:val="Normaallaadveeb"/>
              <w:spacing w:before="0" w:after="0" w:afterAutospacing="0"/>
            </w:pPr>
            <w:r w:rsidRPr="0098591F">
              <w:t>Kõrgelt sensibiliseerunud neerusiirdamise patsiendi desensibiliseeriv ravi imlifidaasiga, üks viaal</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AF43A94" w14:textId="49171030" w:rsidR="00167C1E" w:rsidRPr="00687DE8" w:rsidRDefault="0020238C" w:rsidP="0020238C">
            <w:pPr>
              <w:pStyle w:val="Normaallaadveeb"/>
              <w:spacing w:before="0" w:after="0" w:afterAutospacing="0"/>
              <w:jc w:val="center"/>
            </w:pPr>
            <w:r>
              <w:t>431R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677F6AF" w14:textId="0D87E742" w:rsidR="00167C1E" w:rsidRPr="00687DE8" w:rsidRDefault="00467FA5" w:rsidP="0020238C">
            <w:pPr>
              <w:pStyle w:val="Normaallaadveeb"/>
              <w:tabs>
                <w:tab w:val="decimal" w:pos="635"/>
              </w:tabs>
              <w:spacing w:before="0" w:after="0" w:afterAutospacing="0"/>
              <w:jc w:val="center"/>
            </w:pPr>
            <w:r>
              <w:rPr>
                <w:color w:val="000000"/>
              </w:rPr>
              <w:t>145 405,59</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33F9D3E" w14:textId="41256112" w:rsidR="00167C1E" w:rsidRPr="00687DE8" w:rsidRDefault="009E1471" w:rsidP="0020238C">
            <w:pPr>
              <w:pStyle w:val="Normaallaadveeb"/>
              <w:tabs>
                <w:tab w:val="decimal" w:pos="635"/>
              </w:tabs>
              <w:spacing w:before="0" w:after="0" w:afterAutospacing="0"/>
              <w:jc w:val="center"/>
            </w:pPr>
            <w:r>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A805586" w14:textId="45B07075" w:rsidR="00167C1E" w:rsidRPr="00687DE8" w:rsidRDefault="009E1471" w:rsidP="0020238C">
            <w:pPr>
              <w:pStyle w:val="Normaallaadveeb"/>
              <w:tabs>
                <w:tab w:val="decimal" w:pos="635"/>
              </w:tabs>
              <w:spacing w:before="0" w:after="0" w:afterAutospacing="0"/>
              <w:jc w:val="center"/>
            </w:pPr>
            <w:r>
              <w:t>0</w:t>
            </w:r>
          </w:p>
        </w:tc>
      </w:tr>
      <w:tr w:rsidR="00976487" w:rsidRPr="00687DE8" w14:paraId="70FBCEFC"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3ADA22" w14:textId="77777777" w:rsidR="00976487" w:rsidRPr="00687DE8" w:rsidRDefault="00976487" w:rsidP="00B628F5">
            <w:pPr>
              <w:pStyle w:val="Normaallaadveeb"/>
              <w:spacing w:before="0" w:after="0" w:afterAutospacing="0"/>
            </w:pPr>
            <w:r w:rsidRPr="00687DE8">
              <w:t>Kopsusiirdamise järgne ravimikomplekt 1.–10. päeval, ühe päeva raviannus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CF150E" w14:textId="77777777" w:rsidR="00976487" w:rsidRPr="00687DE8" w:rsidRDefault="00976487" w:rsidP="00B628F5">
            <w:pPr>
              <w:pStyle w:val="Normaallaadveeb"/>
              <w:spacing w:before="0" w:after="0" w:afterAutospacing="0"/>
              <w:jc w:val="center"/>
            </w:pPr>
          </w:p>
          <w:p w14:paraId="6E679798" w14:textId="77777777" w:rsidR="00976487" w:rsidRPr="00687DE8" w:rsidRDefault="00976487" w:rsidP="00B628F5">
            <w:pPr>
              <w:pStyle w:val="Normaallaadveeb"/>
              <w:spacing w:before="0" w:after="0" w:afterAutospacing="0"/>
              <w:jc w:val="center"/>
            </w:pPr>
            <w:r w:rsidRPr="00687DE8">
              <w:t>354R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AAEFAD" w14:textId="31BF7604" w:rsidR="00976487" w:rsidRPr="00687DE8" w:rsidRDefault="00467FA5" w:rsidP="00B628F5">
            <w:pPr>
              <w:pStyle w:val="Normaallaadveeb"/>
              <w:tabs>
                <w:tab w:val="decimal" w:pos="635"/>
              </w:tabs>
              <w:spacing w:before="0" w:after="0" w:afterAutospacing="0"/>
              <w:jc w:val="center"/>
            </w:pPr>
            <w:r>
              <w:rPr>
                <w:color w:val="000000"/>
              </w:rPr>
              <w:t>704,25</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B9810A" w14:textId="77777777" w:rsidR="00976487" w:rsidRPr="00687DE8" w:rsidRDefault="00976487" w:rsidP="00B628F5">
            <w:pPr>
              <w:pStyle w:val="Normaallaadveeb"/>
              <w:tabs>
                <w:tab w:val="decimal" w:pos="635"/>
              </w:tabs>
              <w:spacing w:before="0" w:after="0" w:afterAutospacing="0"/>
              <w:jc w:val="center"/>
            </w:pPr>
          </w:p>
          <w:p w14:paraId="4E981128"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D71209" w14:textId="77777777" w:rsidR="00976487" w:rsidRPr="00687DE8" w:rsidRDefault="00976487" w:rsidP="00B628F5">
            <w:pPr>
              <w:pStyle w:val="Normaallaadveeb"/>
              <w:tabs>
                <w:tab w:val="decimal" w:pos="635"/>
              </w:tabs>
              <w:spacing w:before="0" w:after="0" w:afterAutospacing="0"/>
              <w:jc w:val="center"/>
            </w:pPr>
          </w:p>
          <w:p w14:paraId="67DBA953"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1217D6A4"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4080BA" w14:textId="77777777" w:rsidR="00976487" w:rsidRPr="00687DE8" w:rsidRDefault="00976487" w:rsidP="00B628F5">
            <w:pPr>
              <w:pStyle w:val="Normaallaadveeb"/>
              <w:spacing w:before="0" w:after="0" w:afterAutospacing="0"/>
            </w:pPr>
            <w:r w:rsidRPr="00687DE8">
              <w:t>Kopsusiirdamise järgne ravimikomplekt 11.–42. päeval, ühe päeva raviannus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9717B1" w14:textId="77777777" w:rsidR="00976487" w:rsidRPr="00687DE8" w:rsidRDefault="00976487" w:rsidP="00B628F5">
            <w:pPr>
              <w:pStyle w:val="Normaallaadveeb"/>
              <w:spacing w:before="0" w:after="0" w:afterAutospacing="0"/>
              <w:jc w:val="center"/>
            </w:pPr>
          </w:p>
          <w:p w14:paraId="4F74BD03" w14:textId="77777777" w:rsidR="00976487" w:rsidRPr="00687DE8" w:rsidRDefault="00976487" w:rsidP="00B628F5">
            <w:pPr>
              <w:pStyle w:val="Normaallaadveeb"/>
              <w:spacing w:before="0" w:after="0" w:afterAutospacing="0"/>
              <w:jc w:val="center"/>
            </w:pPr>
            <w:r w:rsidRPr="00687DE8">
              <w:t>355R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616767" w14:textId="5F64F41A" w:rsidR="00976487" w:rsidRPr="00687DE8" w:rsidRDefault="00467FA5" w:rsidP="00B628F5">
            <w:pPr>
              <w:pStyle w:val="Normaallaadveeb"/>
              <w:tabs>
                <w:tab w:val="decimal" w:pos="635"/>
              </w:tabs>
              <w:spacing w:before="0" w:after="0" w:afterAutospacing="0"/>
              <w:jc w:val="center"/>
            </w:pPr>
            <w:r>
              <w:rPr>
                <w:color w:val="000000"/>
              </w:rPr>
              <w:t>367,36</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C8D85F" w14:textId="77777777" w:rsidR="00976487" w:rsidRPr="00687DE8" w:rsidRDefault="00976487" w:rsidP="00B628F5">
            <w:pPr>
              <w:pStyle w:val="Normaallaadveeb"/>
              <w:tabs>
                <w:tab w:val="decimal" w:pos="635"/>
              </w:tabs>
              <w:spacing w:before="0" w:after="0" w:afterAutospacing="0"/>
              <w:jc w:val="center"/>
            </w:pPr>
          </w:p>
          <w:p w14:paraId="72219B63"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530DDE" w14:textId="77777777" w:rsidR="00976487" w:rsidRPr="00687DE8" w:rsidRDefault="00976487" w:rsidP="00B628F5">
            <w:pPr>
              <w:pStyle w:val="Normaallaadveeb"/>
              <w:tabs>
                <w:tab w:val="decimal" w:pos="635"/>
              </w:tabs>
              <w:spacing w:before="0" w:after="0" w:afterAutospacing="0"/>
              <w:jc w:val="center"/>
            </w:pPr>
          </w:p>
          <w:p w14:paraId="2347BC84"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7A1A258E"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921E61" w14:textId="77777777" w:rsidR="00976487" w:rsidRPr="00687DE8" w:rsidRDefault="00976487" w:rsidP="00B628F5">
            <w:pPr>
              <w:pStyle w:val="Normaallaadveeb"/>
              <w:spacing w:before="0" w:after="0" w:afterAutospacing="0"/>
            </w:pPr>
            <w:r w:rsidRPr="00687DE8">
              <w:t>Kopsusiirdamise järgne ravimikomplekt 43.–90. päeval, ühe päeva raviannus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A4500B" w14:textId="77777777" w:rsidR="00976487" w:rsidRPr="00687DE8" w:rsidRDefault="00976487" w:rsidP="00B628F5">
            <w:pPr>
              <w:pStyle w:val="Normaallaadveeb"/>
              <w:spacing w:before="0" w:after="0" w:afterAutospacing="0"/>
              <w:jc w:val="center"/>
            </w:pPr>
          </w:p>
          <w:p w14:paraId="699FA9E8" w14:textId="77777777" w:rsidR="00976487" w:rsidRPr="00687DE8" w:rsidRDefault="00976487" w:rsidP="00B628F5">
            <w:pPr>
              <w:pStyle w:val="Normaallaadveeb"/>
              <w:spacing w:before="0" w:after="0" w:afterAutospacing="0"/>
              <w:jc w:val="center"/>
            </w:pPr>
            <w:r w:rsidRPr="00687DE8">
              <w:t>356R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B24BB7" w14:textId="3EF56635" w:rsidR="00976487" w:rsidRPr="00687DE8" w:rsidRDefault="00467FA5" w:rsidP="00B628F5">
            <w:pPr>
              <w:pStyle w:val="Normaallaadveeb"/>
              <w:tabs>
                <w:tab w:val="decimal" w:pos="635"/>
              </w:tabs>
              <w:spacing w:before="0" w:after="0" w:afterAutospacing="0"/>
              <w:jc w:val="center"/>
            </w:pPr>
            <w:r>
              <w:rPr>
                <w:color w:val="000000"/>
              </w:rPr>
              <w:t>84,43</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0FAB3D" w14:textId="77777777" w:rsidR="00976487" w:rsidRPr="00687DE8" w:rsidRDefault="00976487" w:rsidP="00B628F5">
            <w:pPr>
              <w:pStyle w:val="Normaallaadveeb"/>
              <w:tabs>
                <w:tab w:val="decimal" w:pos="635"/>
              </w:tabs>
              <w:spacing w:before="0" w:after="0" w:afterAutospacing="0"/>
              <w:jc w:val="center"/>
            </w:pPr>
          </w:p>
          <w:p w14:paraId="0A28EB1A"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CFF0CD" w14:textId="77777777" w:rsidR="00976487" w:rsidRPr="00687DE8" w:rsidRDefault="00976487" w:rsidP="00B628F5">
            <w:pPr>
              <w:pStyle w:val="Normaallaadveeb"/>
              <w:tabs>
                <w:tab w:val="decimal" w:pos="635"/>
              </w:tabs>
              <w:spacing w:before="0" w:after="0" w:afterAutospacing="0"/>
              <w:jc w:val="center"/>
            </w:pPr>
          </w:p>
          <w:p w14:paraId="6A55D6B1"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66F47369"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1FAFF2" w14:textId="77777777" w:rsidR="00976487" w:rsidRPr="00687DE8" w:rsidRDefault="00976487" w:rsidP="00B628F5">
            <w:pPr>
              <w:pStyle w:val="Normaallaadveeb"/>
              <w:spacing w:before="0" w:after="0" w:afterAutospacing="0"/>
            </w:pPr>
            <w:r w:rsidRPr="00687DE8">
              <w:t>Maksasiirdamise järgne ravimikomplekt 1.–7. päeval, ühe päeva raviannus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2ADBE64" w14:textId="77777777" w:rsidR="00976487" w:rsidRPr="00687DE8" w:rsidRDefault="00976487" w:rsidP="00B628F5">
            <w:pPr>
              <w:pStyle w:val="Normaallaadveeb"/>
              <w:spacing w:before="0" w:after="0" w:afterAutospacing="0"/>
              <w:jc w:val="center"/>
            </w:pPr>
          </w:p>
          <w:p w14:paraId="6E6DD63F" w14:textId="77777777" w:rsidR="00976487" w:rsidRPr="00687DE8" w:rsidRDefault="00976487" w:rsidP="00B628F5">
            <w:pPr>
              <w:pStyle w:val="Normaallaadveeb"/>
              <w:spacing w:before="0" w:after="0" w:afterAutospacing="0"/>
              <w:jc w:val="center"/>
            </w:pPr>
            <w:r w:rsidRPr="00687DE8">
              <w:t>357R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FC7C59" w14:textId="29BD8BB0" w:rsidR="00976487" w:rsidRPr="00687DE8" w:rsidRDefault="00467FA5" w:rsidP="00B628F5">
            <w:pPr>
              <w:pStyle w:val="Normaallaadveeb"/>
              <w:tabs>
                <w:tab w:val="decimal" w:pos="635"/>
              </w:tabs>
              <w:spacing w:before="0" w:after="0" w:afterAutospacing="0"/>
              <w:jc w:val="center"/>
            </w:pPr>
            <w:r>
              <w:rPr>
                <w:color w:val="000000"/>
              </w:rPr>
              <w:t>77,27</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3B404B" w14:textId="77777777" w:rsidR="00976487" w:rsidRPr="00687DE8" w:rsidRDefault="00976487" w:rsidP="00B628F5">
            <w:pPr>
              <w:pStyle w:val="Normaallaadveeb"/>
              <w:tabs>
                <w:tab w:val="decimal" w:pos="635"/>
              </w:tabs>
              <w:spacing w:before="0" w:after="0" w:afterAutospacing="0"/>
              <w:jc w:val="center"/>
            </w:pPr>
          </w:p>
          <w:p w14:paraId="011E4E8C"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B80769" w14:textId="77777777" w:rsidR="00976487" w:rsidRPr="00687DE8" w:rsidRDefault="00976487" w:rsidP="00B628F5">
            <w:pPr>
              <w:pStyle w:val="Normaallaadveeb"/>
              <w:tabs>
                <w:tab w:val="decimal" w:pos="635"/>
              </w:tabs>
              <w:spacing w:before="0" w:after="0" w:afterAutospacing="0"/>
              <w:jc w:val="center"/>
            </w:pPr>
          </w:p>
          <w:p w14:paraId="6901039C"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269D7615"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FC7EC7" w14:textId="77777777" w:rsidR="00976487" w:rsidRPr="00687DE8" w:rsidRDefault="00976487" w:rsidP="00B628F5">
            <w:pPr>
              <w:pStyle w:val="Normaallaadveeb"/>
              <w:spacing w:before="0" w:after="0" w:afterAutospacing="0"/>
            </w:pPr>
            <w:r w:rsidRPr="00687DE8">
              <w:t>Maksasiirdamise järgne ravimikomplekt 8.–35. päeval, ühe päeva raviannus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9866E4" w14:textId="77777777" w:rsidR="00976487" w:rsidRPr="00687DE8" w:rsidRDefault="00976487" w:rsidP="00B628F5">
            <w:pPr>
              <w:pStyle w:val="Normaallaadveeb"/>
              <w:spacing w:before="0" w:after="0" w:afterAutospacing="0"/>
              <w:jc w:val="center"/>
            </w:pPr>
          </w:p>
          <w:p w14:paraId="18B0276D" w14:textId="77777777" w:rsidR="00976487" w:rsidRPr="00687DE8" w:rsidRDefault="00976487" w:rsidP="00B628F5">
            <w:pPr>
              <w:pStyle w:val="Normaallaadveeb"/>
              <w:spacing w:before="0" w:after="0" w:afterAutospacing="0"/>
              <w:jc w:val="center"/>
            </w:pPr>
            <w:r w:rsidRPr="00687DE8">
              <w:t>358R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A107D9" w14:textId="23ABCF74" w:rsidR="00976487" w:rsidRPr="00687DE8" w:rsidRDefault="00467FA5" w:rsidP="00B628F5">
            <w:pPr>
              <w:pStyle w:val="Normaallaadveeb"/>
              <w:tabs>
                <w:tab w:val="decimal" w:pos="635"/>
              </w:tabs>
              <w:spacing w:before="0" w:after="0" w:afterAutospacing="0"/>
              <w:jc w:val="center"/>
            </w:pPr>
            <w:r>
              <w:rPr>
                <w:color w:val="000000"/>
              </w:rPr>
              <w:t>25,59</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B6F91B" w14:textId="77777777" w:rsidR="00976487" w:rsidRPr="00687DE8" w:rsidRDefault="00976487" w:rsidP="00B628F5">
            <w:pPr>
              <w:pStyle w:val="Normaallaadveeb"/>
              <w:tabs>
                <w:tab w:val="decimal" w:pos="635"/>
              </w:tabs>
              <w:spacing w:before="0" w:after="0" w:afterAutospacing="0"/>
              <w:jc w:val="center"/>
            </w:pPr>
          </w:p>
          <w:p w14:paraId="7E7F6283"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F33665" w14:textId="77777777" w:rsidR="00976487" w:rsidRPr="00687DE8" w:rsidRDefault="00976487" w:rsidP="00B628F5">
            <w:pPr>
              <w:pStyle w:val="Normaallaadveeb"/>
              <w:tabs>
                <w:tab w:val="decimal" w:pos="635"/>
              </w:tabs>
              <w:spacing w:before="0" w:after="0" w:afterAutospacing="0"/>
              <w:jc w:val="center"/>
            </w:pPr>
          </w:p>
          <w:p w14:paraId="487AB5CE"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52D91222"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C7B9BB" w14:textId="77777777" w:rsidR="00976487" w:rsidRPr="00687DE8" w:rsidRDefault="00976487" w:rsidP="00B628F5">
            <w:pPr>
              <w:pStyle w:val="Normaallaadveeb"/>
              <w:spacing w:before="0" w:after="0" w:afterAutospacing="0"/>
            </w:pPr>
            <w:r w:rsidRPr="00687DE8">
              <w:t>Neeru- või pankreasesiirdamise järgne ravimikomplekt 1.–3. päeval, ühe päeva raviannus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2CF3F4" w14:textId="77777777" w:rsidR="00976487" w:rsidRPr="00687DE8" w:rsidRDefault="00976487" w:rsidP="00B628F5">
            <w:pPr>
              <w:pStyle w:val="Normaallaadveeb"/>
              <w:spacing w:before="0" w:after="0" w:afterAutospacing="0"/>
              <w:jc w:val="center"/>
            </w:pPr>
          </w:p>
          <w:p w14:paraId="6597BA3F" w14:textId="77777777" w:rsidR="00976487" w:rsidRPr="00687DE8" w:rsidRDefault="00976487" w:rsidP="00B628F5">
            <w:pPr>
              <w:pStyle w:val="Normaallaadveeb"/>
              <w:spacing w:before="0" w:after="0" w:afterAutospacing="0"/>
              <w:jc w:val="center"/>
            </w:pPr>
          </w:p>
          <w:p w14:paraId="08D0F53B" w14:textId="77777777" w:rsidR="00976487" w:rsidRPr="00687DE8" w:rsidRDefault="00976487" w:rsidP="00B628F5">
            <w:pPr>
              <w:pStyle w:val="Normaallaadveeb"/>
              <w:spacing w:before="0" w:after="0" w:afterAutospacing="0"/>
              <w:jc w:val="center"/>
            </w:pPr>
            <w:r w:rsidRPr="00687DE8">
              <w:t>261R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A7B4D8B" w14:textId="11424DDE" w:rsidR="00976487" w:rsidRPr="00687DE8" w:rsidRDefault="00467FA5" w:rsidP="00B628F5">
            <w:pPr>
              <w:pStyle w:val="Normaallaadveeb"/>
              <w:tabs>
                <w:tab w:val="decimal" w:pos="635"/>
              </w:tabs>
              <w:spacing w:before="0" w:after="0" w:afterAutospacing="0"/>
              <w:jc w:val="center"/>
            </w:pPr>
            <w:r>
              <w:rPr>
                <w:color w:val="000000"/>
              </w:rPr>
              <w:t>38,91</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5A7236" w14:textId="77777777" w:rsidR="00976487" w:rsidRPr="00687DE8" w:rsidRDefault="00976487" w:rsidP="00B628F5">
            <w:pPr>
              <w:pStyle w:val="Normaallaadveeb"/>
              <w:tabs>
                <w:tab w:val="decimal" w:pos="635"/>
              </w:tabs>
              <w:spacing w:before="0" w:after="0" w:afterAutospacing="0"/>
              <w:jc w:val="center"/>
            </w:pPr>
          </w:p>
          <w:p w14:paraId="23DC5B9C" w14:textId="77777777" w:rsidR="00976487" w:rsidRPr="00687DE8" w:rsidRDefault="00976487" w:rsidP="00B628F5">
            <w:pPr>
              <w:pStyle w:val="Normaallaadveeb"/>
              <w:tabs>
                <w:tab w:val="decimal" w:pos="635"/>
              </w:tabs>
              <w:spacing w:before="0" w:after="0" w:afterAutospacing="0"/>
              <w:jc w:val="center"/>
            </w:pPr>
          </w:p>
          <w:p w14:paraId="57B328EA"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359086" w14:textId="77777777" w:rsidR="00976487" w:rsidRPr="00687DE8" w:rsidRDefault="00976487" w:rsidP="00B628F5">
            <w:pPr>
              <w:pStyle w:val="Normaallaadveeb"/>
              <w:tabs>
                <w:tab w:val="decimal" w:pos="635"/>
              </w:tabs>
              <w:spacing w:before="0" w:after="0" w:afterAutospacing="0"/>
              <w:jc w:val="center"/>
            </w:pPr>
          </w:p>
          <w:p w14:paraId="14F60D4B" w14:textId="77777777" w:rsidR="00976487" w:rsidRPr="00687DE8" w:rsidRDefault="00976487" w:rsidP="00B628F5">
            <w:pPr>
              <w:pStyle w:val="Normaallaadveeb"/>
              <w:tabs>
                <w:tab w:val="decimal" w:pos="635"/>
              </w:tabs>
              <w:spacing w:before="0" w:after="0" w:afterAutospacing="0"/>
              <w:jc w:val="center"/>
            </w:pPr>
          </w:p>
          <w:p w14:paraId="3E68BAF5"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51D1A5AC"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9986FA" w14:textId="77777777" w:rsidR="00976487" w:rsidRPr="00687DE8" w:rsidRDefault="00976487" w:rsidP="00B628F5">
            <w:pPr>
              <w:pStyle w:val="Normaallaadveeb"/>
              <w:spacing w:before="0" w:after="0" w:afterAutospacing="0"/>
            </w:pPr>
            <w:r w:rsidRPr="00687DE8">
              <w:t>Neeru- või pankreasesiirdamise järgne ravimikomplekt 4.–30. päeval, ühe päeva raviannus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DC22D9" w14:textId="77777777" w:rsidR="00976487" w:rsidRPr="00687DE8" w:rsidRDefault="00976487" w:rsidP="00B628F5">
            <w:pPr>
              <w:pStyle w:val="Normaallaadveeb"/>
              <w:spacing w:before="0" w:after="0" w:afterAutospacing="0"/>
              <w:jc w:val="center"/>
            </w:pPr>
          </w:p>
          <w:p w14:paraId="1031CCC1" w14:textId="77777777" w:rsidR="00976487" w:rsidRPr="00687DE8" w:rsidRDefault="00976487" w:rsidP="00B628F5">
            <w:pPr>
              <w:pStyle w:val="Normaallaadveeb"/>
              <w:spacing w:before="0" w:after="0" w:afterAutospacing="0"/>
              <w:jc w:val="center"/>
            </w:pPr>
          </w:p>
          <w:p w14:paraId="6188CD7F" w14:textId="77777777" w:rsidR="00976487" w:rsidRPr="00687DE8" w:rsidRDefault="00976487" w:rsidP="00B628F5">
            <w:pPr>
              <w:pStyle w:val="Normaallaadveeb"/>
              <w:spacing w:before="0" w:after="0" w:afterAutospacing="0"/>
              <w:jc w:val="center"/>
            </w:pPr>
            <w:r w:rsidRPr="00687DE8">
              <w:t>262R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61ABE02" w14:textId="4111A392" w:rsidR="00976487" w:rsidRPr="00687DE8" w:rsidRDefault="00467FA5" w:rsidP="00B628F5">
            <w:pPr>
              <w:pStyle w:val="Normaallaadveeb"/>
              <w:tabs>
                <w:tab w:val="decimal" w:pos="635"/>
              </w:tabs>
              <w:spacing w:before="0" w:after="0" w:afterAutospacing="0"/>
              <w:jc w:val="center"/>
            </w:pPr>
            <w:r>
              <w:rPr>
                <w:color w:val="000000"/>
              </w:rPr>
              <w:t>11,55</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F8472A" w14:textId="77777777" w:rsidR="00976487" w:rsidRPr="00687DE8" w:rsidRDefault="00976487" w:rsidP="00B628F5">
            <w:pPr>
              <w:pStyle w:val="Normaallaadveeb"/>
              <w:tabs>
                <w:tab w:val="decimal" w:pos="635"/>
              </w:tabs>
              <w:spacing w:before="0" w:after="0" w:afterAutospacing="0"/>
              <w:jc w:val="center"/>
            </w:pPr>
          </w:p>
          <w:p w14:paraId="01CEFA71" w14:textId="77777777" w:rsidR="00976487" w:rsidRPr="00687DE8" w:rsidRDefault="00976487" w:rsidP="00B628F5">
            <w:pPr>
              <w:pStyle w:val="Normaallaadveeb"/>
              <w:tabs>
                <w:tab w:val="decimal" w:pos="635"/>
              </w:tabs>
              <w:spacing w:before="0" w:after="0" w:afterAutospacing="0"/>
              <w:jc w:val="center"/>
            </w:pPr>
          </w:p>
          <w:p w14:paraId="7C6A6EE7"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2D9A6B" w14:textId="77777777" w:rsidR="00976487" w:rsidRPr="00687DE8" w:rsidRDefault="00976487" w:rsidP="00B628F5">
            <w:pPr>
              <w:pStyle w:val="Normaallaadveeb"/>
              <w:tabs>
                <w:tab w:val="decimal" w:pos="635"/>
              </w:tabs>
              <w:spacing w:before="0" w:after="0" w:afterAutospacing="0"/>
              <w:jc w:val="center"/>
            </w:pPr>
          </w:p>
          <w:p w14:paraId="6289C712" w14:textId="77777777" w:rsidR="00976487" w:rsidRPr="00687DE8" w:rsidRDefault="00976487" w:rsidP="00B628F5">
            <w:pPr>
              <w:pStyle w:val="Normaallaadveeb"/>
              <w:tabs>
                <w:tab w:val="decimal" w:pos="635"/>
              </w:tabs>
              <w:spacing w:before="0" w:after="0" w:afterAutospacing="0"/>
              <w:jc w:val="center"/>
            </w:pPr>
          </w:p>
          <w:p w14:paraId="5AA6F353"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0F747FB6"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CD8E40" w14:textId="77777777" w:rsidR="00976487" w:rsidRPr="00687DE8" w:rsidRDefault="00976487" w:rsidP="00B628F5">
            <w:pPr>
              <w:pStyle w:val="Normaallaadveeb"/>
              <w:spacing w:before="0" w:after="0" w:afterAutospacing="0"/>
            </w:pPr>
            <w:r w:rsidRPr="00687DE8">
              <w:t xml:space="preserve">Intravenoosne osteoporoosi bisfosfonaatravi, </w:t>
            </w:r>
            <w:r w:rsidR="00496D77" w:rsidRPr="00687DE8">
              <w:t>üks</w:t>
            </w:r>
            <w:r w:rsidRPr="00687DE8">
              <w:t xml:space="preserve"> manustamiskord</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2D71420" w14:textId="77777777" w:rsidR="00976487" w:rsidRPr="00687DE8" w:rsidRDefault="00976487" w:rsidP="00B628F5">
            <w:pPr>
              <w:pStyle w:val="Normaallaadveeb"/>
              <w:spacing w:before="0" w:after="0" w:afterAutospacing="0"/>
              <w:jc w:val="center"/>
            </w:pPr>
          </w:p>
          <w:p w14:paraId="202BF89A" w14:textId="77777777" w:rsidR="00976487" w:rsidRPr="00687DE8" w:rsidRDefault="00976487" w:rsidP="00B628F5">
            <w:pPr>
              <w:pStyle w:val="Normaallaadveeb"/>
              <w:spacing w:before="0" w:after="0" w:afterAutospacing="0"/>
              <w:jc w:val="center"/>
            </w:pPr>
            <w:r w:rsidRPr="00687DE8">
              <w:t>362R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04443A" w14:textId="4420F508" w:rsidR="00976487" w:rsidRPr="00687DE8" w:rsidRDefault="00467FA5" w:rsidP="00B628F5">
            <w:pPr>
              <w:pStyle w:val="Normaallaadveeb"/>
              <w:tabs>
                <w:tab w:val="decimal" w:pos="635"/>
              </w:tabs>
              <w:spacing w:before="0" w:after="0" w:afterAutospacing="0"/>
              <w:jc w:val="center"/>
            </w:pPr>
            <w:r>
              <w:rPr>
                <w:color w:val="000000"/>
              </w:rPr>
              <w:t>64,70</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BA0BE2" w14:textId="77777777" w:rsidR="00976487" w:rsidRPr="00687DE8" w:rsidRDefault="00976487" w:rsidP="00B628F5">
            <w:pPr>
              <w:pStyle w:val="Normaallaadveeb"/>
              <w:tabs>
                <w:tab w:val="decimal" w:pos="635"/>
              </w:tabs>
              <w:spacing w:before="0" w:after="0" w:afterAutospacing="0"/>
              <w:jc w:val="center"/>
            </w:pPr>
          </w:p>
          <w:p w14:paraId="5C66BA63"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094745" w14:textId="77777777" w:rsidR="00976487" w:rsidRPr="00687DE8" w:rsidRDefault="00976487" w:rsidP="00B628F5">
            <w:pPr>
              <w:pStyle w:val="Normaallaadveeb"/>
              <w:tabs>
                <w:tab w:val="decimal" w:pos="635"/>
              </w:tabs>
              <w:spacing w:before="0" w:after="0" w:afterAutospacing="0"/>
              <w:jc w:val="center"/>
            </w:pPr>
          </w:p>
          <w:p w14:paraId="3B002411"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6CD6F269"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54334D" w14:textId="77777777" w:rsidR="00976487" w:rsidRPr="00687DE8" w:rsidRDefault="00976487" w:rsidP="00B628F5">
            <w:pPr>
              <w:pStyle w:val="Normaallaadveeb"/>
              <w:spacing w:before="0" w:after="0" w:afterAutospacing="0"/>
            </w:pPr>
            <w:r w:rsidRPr="00687DE8">
              <w:t xml:space="preserve">Neuroendokriinkasvajate hormoonravi pikatoimelise somatostatiini analoogiga, </w:t>
            </w:r>
            <w:r w:rsidR="00496D77" w:rsidRPr="00687DE8">
              <w:t>nelja</w:t>
            </w:r>
            <w:r w:rsidRPr="00687DE8">
              <w:t>nädalane ravikuur</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40BDB4" w14:textId="77777777" w:rsidR="00976487" w:rsidRPr="00687DE8" w:rsidRDefault="00976487" w:rsidP="00B628F5">
            <w:pPr>
              <w:pStyle w:val="Normaallaadveeb"/>
              <w:spacing w:before="0" w:after="0" w:afterAutospacing="0"/>
              <w:jc w:val="center"/>
            </w:pPr>
          </w:p>
          <w:p w14:paraId="5EBA8D17" w14:textId="77777777" w:rsidR="00976487" w:rsidRPr="00687DE8" w:rsidRDefault="00976487" w:rsidP="00B628F5">
            <w:pPr>
              <w:pStyle w:val="Normaallaadveeb"/>
              <w:spacing w:before="0" w:after="0" w:afterAutospacing="0"/>
              <w:jc w:val="center"/>
            </w:pPr>
          </w:p>
          <w:p w14:paraId="35C38F03" w14:textId="77777777" w:rsidR="00976487" w:rsidRPr="00687DE8" w:rsidRDefault="00976487" w:rsidP="00B628F5">
            <w:pPr>
              <w:pStyle w:val="Normaallaadveeb"/>
              <w:spacing w:before="0" w:after="0" w:afterAutospacing="0"/>
              <w:jc w:val="center"/>
            </w:pPr>
            <w:r w:rsidRPr="00687DE8">
              <w:t>363R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350F023" w14:textId="3F651709" w:rsidR="00976487" w:rsidRPr="00687DE8" w:rsidRDefault="00467FA5" w:rsidP="00B628F5">
            <w:pPr>
              <w:pStyle w:val="Normaallaadveeb"/>
              <w:tabs>
                <w:tab w:val="decimal" w:pos="635"/>
              </w:tabs>
              <w:spacing w:before="0" w:after="0" w:afterAutospacing="0"/>
              <w:jc w:val="center"/>
            </w:pPr>
            <w:r>
              <w:rPr>
                <w:color w:val="000000"/>
              </w:rPr>
              <w:t>972,94</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195FDC" w14:textId="77777777" w:rsidR="00976487" w:rsidRPr="00687DE8" w:rsidRDefault="00976487" w:rsidP="00B628F5">
            <w:pPr>
              <w:pStyle w:val="Normaallaadveeb"/>
              <w:tabs>
                <w:tab w:val="decimal" w:pos="635"/>
              </w:tabs>
              <w:spacing w:before="0" w:after="0" w:afterAutospacing="0"/>
              <w:jc w:val="center"/>
            </w:pPr>
          </w:p>
          <w:p w14:paraId="7F7F392F" w14:textId="77777777" w:rsidR="00976487" w:rsidRPr="00687DE8" w:rsidRDefault="00976487" w:rsidP="00B628F5">
            <w:pPr>
              <w:pStyle w:val="Normaallaadveeb"/>
              <w:tabs>
                <w:tab w:val="decimal" w:pos="635"/>
              </w:tabs>
              <w:spacing w:before="0" w:after="0" w:afterAutospacing="0"/>
              <w:jc w:val="center"/>
            </w:pPr>
          </w:p>
          <w:p w14:paraId="4EC1BE1B"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A6F04A" w14:textId="77777777" w:rsidR="00976487" w:rsidRPr="00687DE8" w:rsidRDefault="00976487" w:rsidP="00B628F5">
            <w:pPr>
              <w:pStyle w:val="Normaallaadveeb"/>
              <w:tabs>
                <w:tab w:val="decimal" w:pos="635"/>
              </w:tabs>
              <w:spacing w:before="0" w:after="0" w:afterAutospacing="0"/>
              <w:jc w:val="center"/>
            </w:pPr>
          </w:p>
          <w:p w14:paraId="145D48F6" w14:textId="77777777" w:rsidR="00976487" w:rsidRPr="00687DE8" w:rsidRDefault="00976487" w:rsidP="00B628F5">
            <w:pPr>
              <w:pStyle w:val="Normaallaadveeb"/>
              <w:tabs>
                <w:tab w:val="decimal" w:pos="635"/>
              </w:tabs>
              <w:spacing w:before="0" w:after="0" w:afterAutospacing="0"/>
              <w:jc w:val="center"/>
            </w:pPr>
          </w:p>
          <w:p w14:paraId="59C4C56E"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41D53B15"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1EA41A" w14:textId="6517DF9B" w:rsidR="00976487" w:rsidRPr="00687DE8" w:rsidRDefault="00976487" w:rsidP="00B628F5">
            <w:pPr>
              <w:pStyle w:val="Normaallaadveeb"/>
              <w:spacing w:before="0" w:after="0" w:afterAutospacing="0"/>
            </w:pPr>
            <w:r w:rsidRPr="00687DE8">
              <w:t xml:space="preserve">Rauavaegusaneemia ravi intravenoosselt manustatava </w:t>
            </w:r>
            <w:r w:rsidRPr="00687DE8">
              <w:lastRenderedPageBreak/>
              <w:t>pikatoimelise rauapreparaadiga, 500</w:t>
            </w:r>
            <w:r w:rsidR="000877D8">
              <w:t> </w:t>
            </w:r>
            <w:r w:rsidRPr="00687DE8">
              <w:t>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8A39F5" w14:textId="77777777" w:rsidR="00976487" w:rsidRPr="00687DE8" w:rsidRDefault="00976487" w:rsidP="00B628F5">
            <w:pPr>
              <w:pStyle w:val="Normaallaadveeb"/>
              <w:spacing w:before="0" w:after="0" w:afterAutospacing="0"/>
              <w:jc w:val="center"/>
            </w:pPr>
          </w:p>
          <w:p w14:paraId="30DE54E8" w14:textId="77777777" w:rsidR="00976487" w:rsidRPr="00687DE8" w:rsidRDefault="00976487" w:rsidP="00B628F5">
            <w:pPr>
              <w:pStyle w:val="Normaallaadveeb"/>
              <w:spacing w:before="0" w:after="0" w:afterAutospacing="0"/>
              <w:jc w:val="center"/>
            </w:pPr>
          </w:p>
          <w:p w14:paraId="5C6C0725" w14:textId="5DA2912D" w:rsidR="00976487" w:rsidRPr="00687DE8" w:rsidRDefault="00976487" w:rsidP="00B628F5">
            <w:pPr>
              <w:pStyle w:val="Normaallaadveeb"/>
              <w:spacing w:before="0" w:after="0" w:afterAutospacing="0"/>
              <w:jc w:val="center"/>
            </w:pPr>
            <w:r w:rsidRPr="00687DE8">
              <w:lastRenderedPageBreak/>
              <w:t>388R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F2E5537" w14:textId="24319A06" w:rsidR="00976487" w:rsidRPr="00687DE8" w:rsidRDefault="00467FA5" w:rsidP="00B628F5">
            <w:pPr>
              <w:pStyle w:val="Normaallaadveeb"/>
              <w:tabs>
                <w:tab w:val="decimal" w:pos="635"/>
              </w:tabs>
              <w:spacing w:before="0" w:after="0" w:afterAutospacing="0"/>
              <w:jc w:val="center"/>
            </w:pPr>
            <w:r>
              <w:rPr>
                <w:color w:val="000000"/>
              </w:rPr>
              <w:lastRenderedPageBreak/>
              <w:t>63,22</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87C62A" w14:textId="77777777" w:rsidR="00976487" w:rsidRPr="00687DE8" w:rsidRDefault="00976487" w:rsidP="00B628F5">
            <w:pPr>
              <w:pStyle w:val="Normaallaadveeb"/>
              <w:tabs>
                <w:tab w:val="decimal" w:pos="635"/>
              </w:tabs>
              <w:spacing w:before="0" w:after="0" w:afterAutospacing="0"/>
              <w:jc w:val="center"/>
            </w:pPr>
          </w:p>
          <w:p w14:paraId="16CA3963" w14:textId="77777777" w:rsidR="00976487" w:rsidRPr="00687DE8" w:rsidRDefault="00976487" w:rsidP="00B628F5">
            <w:pPr>
              <w:pStyle w:val="Normaallaadveeb"/>
              <w:tabs>
                <w:tab w:val="decimal" w:pos="635"/>
              </w:tabs>
              <w:spacing w:before="0" w:after="0" w:afterAutospacing="0"/>
              <w:jc w:val="center"/>
            </w:pPr>
          </w:p>
          <w:p w14:paraId="670855D1" w14:textId="77777777" w:rsidR="00976487" w:rsidRPr="00687DE8" w:rsidRDefault="00976487" w:rsidP="00B628F5">
            <w:pPr>
              <w:pStyle w:val="Normaallaadveeb"/>
              <w:tabs>
                <w:tab w:val="decimal" w:pos="635"/>
              </w:tabs>
              <w:spacing w:before="0" w:after="0" w:afterAutospacing="0"/>
              <w:jc w:val="center"/>
            </w:pPr>
            <w:r w:rsidRPr="00687DE8">
              <w:lastRenderedPageBreak/>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D11E5F" w14:textId="77777777" w:rsidR="00976487" w:rsidRPr="00687DE8" w:rsidRDefault="00976487" w:rsidP="00B628F5">
            <w:pPr>
              <w:pStyle w:val="Normaallaadveeb"/>
              <w:tabs>
                <w:tab w:val="decimal" w:pos="635"/>
              </w:tabs>
              <w:spacing w:before="0" w:after="0" w:afterAutospacing="0"/>
              <w:jc w:val="center"/>
            </w:pPr>
          </w:p>
          <w:p w14:paraId="02870E7D" w14:textId="77777777" w:rsidR="00976487" w:rsidRPr="00687DE8" w:rsidRDefault="00976487" w:rsidP="00B628F5">
            <w:pPr>
              <w:pStyle w:val="Normaallaadveeb"/>
              <w:tabs>
                <w:tab w:val="decimal" w:pos="635"/>
              </w:tabs>
              <w:spacing w:before="0" w:after="0" w:afterAutospacing="0"/>
              <w:jc w:val="center"/>
            </w:pPr>
          </w:p>
          <w:p w14:paraId="12437B13" w14:textId="77777777" w:rsidR="00976487" w:rsidRPr="00687DE8" w:rsidRDefault="00976487" w:rsidP="00B628F5">
            <w:pPr>
              <w:pStyle w:val="Normaallaadveeb"/>
              <w:tabs>
                <w:tab w:val="decimal" w:pos="635"/>
              </w:tabs>
              <w:spacing w:before="0" w:after="0" w:afterAutospacing="0"/>
              <w:jc w:val="center"/>
            </w:pPr>
            <w:r w:rsidRPr="00687DE8">
              <w:lastRenderedPageBreak/>
              <w:t>0</w:t>
            </w:r>
          </w:p>
        </w:tc>
      </w:tr>
      <w:tr w:rsidR="00976487" w:rsidRPr="00687DE8" w14:paraId="444E9F5B" w14:textId="77777777" w:rsidTr="00EB7A71">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48616F" w14:textId="38189E55" w:rsidR="00976487" w:rsidRPr="00687DE8" w:rsidRDefault="00976487" w:rsidP="00B628F5">
            <w:pPr>
              <w:pStyle w:val="Normaallaadveeb"/>
              <w:spacing w:before="0" w:after="0" w:afterAutospacing="0"/>
            </w:pPr>
            <w:r w:rsidRPr="00687DE8">
              <w:lastRenderedPageBreak/>
              <w:t>Rauavaegusaneemia ravi intravenoosselt manustatava lühitoimelise rauapreparaadiga, 500</w:t>
            </w:r>
            <w:r w:rsidR="000877D8">
              <w:t> </w:t>
            </w:r>
            <w:r w:rsidRPr="00687DE8">
              <w:t>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CE99C4" w14:textId="77777777" w:rsidR="00976487" w:rsidRPr="00687DE8" w:rsidRDefault="00976487" w:rsidP="00B628F5">
            <w:pPr>
              <w:pStyle w:val="Normaallaadveeb"/>
              <w:spacing w:before="0" w:after="0" w:afterAutospacing="0"/>
              <w:jc w:val="center"/>
            </w:pPr>
          </w:p>
          <w:p w14:paraId="63EDE81E" w14:textId="77777777" w:rsidR="00976487" w:rsidRPr="00687DE8" w:rsidRDefault="00976487" w:rsidP="00B628F5">
            <w:pPr>
              <w:pStyle w:val="Normaallaadveeb"/>
              <w:spacing w:before="0" w:after="0" w:afterAutospacing="0"/>
              <w:jc w:val="center"/>
            </w:pPr>
          </w:p>
          <w:p w14:paraId="38EEA0BD" w14:textId="77777777" w:rsidR="00976487" w:rsidRPr="00687DE8" w:rsidRDefault="00976487" w:rsidP="00B628F5">
            <w:pPr>
              <w:pStyle w:val="Normaallaadveeb"/>
              <w:spacing w:before="0" w:after="0" w:afterAutospacing="0"/>
              <w:jc w:val="center"/>
            </w:pPr>
            <w:r w:rsidRPr="00687DE8">
              <w:t>389R</w:t>
            </w:r>
          </w:p>
        </w:tc>
        <w:tc>
          <w:tcPr>
            <w:tcW w:w="21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31074B" w14:textId="1DEEA549" w:rsidR="00976487" w:rsidRPr="00687DE8" w:rsidRDefault="0073625E" w:rsidP="00B628F5">
            <w:pPr>
              <w:pStyle w:val="Normaallaadveeb"/>
              <w:tabs>
                <w:tab w:val="decimal" w:pos="635"/>
              </w:tabs>
              <w:spacing w:before="0" w:after="0" w:afterAutospacing="0"/>
              <w:jc w:val="center"/>
            </w:pPr>
            <w:r>
              <w:rPr>
                <w:color w:val="000000"/>
              </w:rPr>
              <w:t>28,34</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F19400" w14:textId="77777777" w:rsidR="00976487" w:rsidRPr="00687DE8" w:rsidRDefault="00976487" w:rsidP="00B628F5">
            <w:pPr>
              <w:pStyle w:val="Normaallaadveeb"/>
              <w:tabs>
                <w:tab w:val="decimal" w:pos="635"/>
              </w:tabs>
              <w:spacing w:before="0" w:after="0" w:afterAutospacing="0"/>
              <w:jc w:val="center"/>
            </w:pPr>
          </w:p>
          <w:p w14:paraId="0DC78FFB" w14:textId="77777777" w:rsidR="00976487" w:rsidRPr="00687DE8" w:rsidRDefault="00976487" w:rsidP="00B628F5">
            <w:pPr>
              <w:pStyle w:val="Normaallaadveeb"/>
              <w:tabs>
                <w:tab w:val="decimal" w:pos="635"/>
              </w:tabs>
              <w:spacing w:before="0" w:after="0" w:afterAutospacing="0"/>
              <w:jc w:val="center"/>
            </w:pPr>
          </w:p>
          <w:p w14:paraId="3BEB4AB4"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9DAFE9" w14:textId="77777777" w:rsidR="00976487" w:rsidRPr="00687DE8" w:rsidRDefault="00976487" w:rsidP="00B628F5">
            <w:pPr>
              <w:pStyle w:val="Normaallaadveeb"/>
              <w:tabs>
                <w:tab w:val="decimal" w:pos="635"/>
              </w:tabs>
              <w:spacing w:before="0" w:after="0" w:afterAutospacing="0"/>
              <w:jc w:val="center"/>
            </w:pPr>
          </w:p>
          <w:p w14:paraId="58725349" w14:textId="77777777" w:rsidR="00976487" w:rsidRPr="00687DE8" w:rsidRDefault="00976487" w:rsidP="00B628F5">
            <w:pPr>
              <w:pStyle w:val="Normaallaadveeb"/>
              <w:tabs>
                <w:tab w:val="decimal" w:pos="635"/>
              </w:tabs>
              <w:spacing w:before="0" w:after="0" w:afterAutospacing="0"/>
              <w:jc w:val="center"/>
            </w:pPr>
          </w:p>
          <w:p w14:paraId="34F208F6"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3AE09896"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4445AB" w14:textId="77777777" w:rsidR="00976487" w:rsidRPr="00687DE8" w:rsidRDefault="00976487" w:rsidP="00B628F5">
            <w:pPr>
              <w:pStyle w:val="Normaallaadveeb"/>
              <w:spacing w:before="0" w:after="0" w:afterAutospacing="0"/>
            </w:pPr>
            <w:r w:rsidRPr="00687DE8">
              <w:t>Anti-VEGF ravim silmasiseseks süsteks, üks manustamiskord</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318245" w14:textId="77777777" w:rsidR="00976487" w:rsidRPr="00687DE8" w:rsidRDefault="00976487" w:rsidP="00B628F5">
            <w:pPr>
              <w:pStyle w:val="Normaallaadveeb"/>
              <w:spacing w:before="0" w:after="0" w:afterAutospacing="0"/>
              <w:jc w:val="center"/>
            </w:pPr>
          </w:p>
          <w:p w14:paraId="535F600A" w14:textId="77777777" w:rsidR="00976487" w:rsidRPr="00687DE8" w:rsidRDefault="00976487" w:rsidP="00B628F5">
            <w:pPr>
              <w:pStyle w:val="Normaallaadveeb"/>
              <w:spacing w:before="0" w:after="0" w:afterAutospacing="0"/>
              <w:jc w:val="center"/>
            </w:pPr>
            <w:r w:rsidRPr="00687DE8">
              <w:t>365R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E2CAE3" w14:textId="67479179" w:rsidR="00976487" w:rsidRPr="00687DE8" w:rsidRDefault="0073625E" w:rsidP="00B628F5">
            <w:pPr>
              <w:pStyle w:val="Normaallaadveeb"/>
              <w:tabs>
                <w:tab w:val="decimal" w:pos="635"/>
              </w:tabs>
              <w:spacing w:before="0" w:after="0" w:afterAutospacing="0"/>
              <w:jc w:val="center"/>
            </w:pPr>
            <w:r>
              <w:rPr>
                <w:color w:val="000000"/>
              </w:rPr>
              <w:t>10,17</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8E24BC" w14:textId="77777777" w:rsidR="00976487" w:rsidRPr="00687DE8" w:rsidRDefault="00976487" w:rsidP="00B628F5">
            <w:pPr>
              <w:pStyle w:val="Normaallaadveeb"/>
              <w:tabs>
                <w:tab w:val="decimal" w:pos="635"/>
              </w:tabs>
              <w:spacing w:before="0" w:after="0" w:afterAutospacing="0"/>
              <w:jc w:val="center"/>
            </w:pPr>
          </w:p>
          <w:p w14:paraId="6523F199"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F8685A" w14:textId="77777777" w:rsidR="00976487" w:rsidRPr="00687DE8" w:rsidRDefault="00976487" w:rsidP="00B628F5">
            <w:pPr>
              <w:pStyle w:val="Normaallaadveeb"/>
              <w:tabs>
                <w:tab w:val="decimal" w:pos="635"/>
              </w:tabs>
              <w:spacing w:before="0" w:after="0" w:afterAutospacing="0"/>
              <w:jc w:val="center"/>
            </w:pPr>
          </w:p>
          <w:p w14:paraId="0AC82282"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71E3EDF7"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4A97A5" w14:textId="5D964249" w:rsidR="00976487" w:rsidRPr="00687DE8" w:rsidRDefault="00976487" w:rsidP="00B628F5">
            <w:pPr>
              <w:pStyle w:val="Normaallaadveeb"/>
              <w:spacing w:before="0" w:after="0" w:afterAutospacing="0"/>
            </w:pPr>
            <w:r w:rsidRPr="00687DE8">
              <w:t>Silmasisene süst hormoonpreparaadiga, üks manustamiskord</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A87706" w14:textId="77777777" w:rsidR="00976487" w:rsidRPr="00687DE8" w:rsidRDefault="00976487" w:rsidP="00B628F5">
            <w:pPr>
              <w:pStyle w:val="Normaallaadveeb"/>
              <w:spacing w:before="0" w:after="0" w:afterAutospacing="0"/>
              <w:jc w:val="center"/>
            </w:pPr>
          </w:p>
          <w:p w14:paraId="3EEAF21A" w14:textId="77777777" w:rsidR="00976487" w:rsidRPr="00687DE8" w:rsidRDefault="00976487" w:rsidP="00B628F5">
            <w:pPr>
              <w:pStyle w:val="Normaallaadveeb"/>
              <w:spacing w:before="0" w:after="0" w:afterAutospacing="0"/>
              <w:jc w:val="center"/>
            </w:pPr>
            <w:r w:rsidRPr="00687DE8">
              <w:t>366R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A61BCF" w14:textId="3FA4B263" w:rsidR="00976487" w:rsidRPr="00687DE8" w:rsidRDefault="0073625E" w:rsidP="00B628F5">
            <w:pPr>
              <w:pStyle w:val="Normaallaadveeb"/>
              <w:tabs>
                <w:tab w:val="decimal" w:pos="635"/>
              </w:tabs>
              <w:spacing w:before="0" w:after="0" w:afterAutospacing="0"/>
              <w:jc w:val="center"/>
            </w:pPr>
            <w:r>
              <w:rPr>
                <w:color w:val="000000"/>
              </w:rPr>
              <w:t>173,78</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85C292" w14:textId="77777777" w:rsidR="00976487" w:rsidRPr="00687DE8" w:rsidRDefault="00976487" w:rsidP="00B628F5">
            <w:pPr>
              <w:pStyle w:val="Normaallaadveeb"/>
              <w:tabs>
                <w:tab w:val="decimal" w:pos="635"/>
              </w:tabs>
              <w:spacing w:before="0" w:after="0" w:afterAutospacing="0"/>
              <w:jc w:val="center"/>
            </w:pPr>
          </w:p>
          <w:p w14:paraId="4F8623DE"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1AEAC4" w14:textId="77777777" w:rsidR="00976487" w:rsidRPr="00687DE8" w:rsidRDefault="00976487" w:rsidP="00B628F5">
            <w:pPr>
              <w:pStyle w:val="Normaallaadveeb"/>
              <w:tabs>
                <w:tab w:val="decimal" w:pos="635"/>
              </w:tabs>
              <w:spacing w:before="0" w:after="0" w:afterAutospacing="0"/>
              <w:jc w:val="center"/>
            </w:pPr>
          </w:p>
          <w:p w14:paraId="41347E44" w14:textId="5E95933C" w:rsidR="00976487" w:rsidRPr="00687DE8" w:rsidRDefault="00976487" w:rsidP="42B13B24">
            <w:pPr>
              <w:pStyle w:val="Normaallaadveeb"/>
              <w:tabs>
                <w:tab w:val="decimal" w:pos="635"/>
              </w:tabs>
              <w:spacing w:before="0" w:after="0" w:afterAutospacing="0"/>
              <w:jc w:val="center"/>
            </w:pPr>
            <w:r w:rsidRPr="00687DE8">
              <w:t>0</w:t>
            </w:r>
          </w:p>
          <w:p w14:paraId="6BAD495A" w14:textId="48A08CAF" w:rsidR="00976487" w:rsidRPr="00687DE8" w:rsidRDefault="00976487" w:rsidP="00B628F5">
            <w:pPr>
              <w:pStyle w:val="Normaallaadveeb"/>
              <w:tabs>
                <w:tab w:val="decimal" w:pos="635"/>
              </w:tabs>
              <w:spacing w:before="0" w:after="0" w:afterAutospacing="0"/>
              <w:jc w:val="center"/>
            </w:pPr>
          </w:p>
        </w:tc>
      </w:tr>
      <w:tr w:rsidR="00423FDA" w:rsidRPr="00687DE8" w14:paraId="57191881"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F3DF68" w14:textId="59B93D26" w:rsidR="00423FDA" w:rsidRPr="00687DE8" w:rsidRDefault="5F7CA264" w:rsidP="00B628F5">
            <w:pPr>
              <w:pStyle w:val="Normaallaadveeb"/>
              <w:spacing w:before="0" w:after="0" w:afterAutospacing="0"/>
              <w:rPr>
                <w:rFonts w:eastAsia="Calibri"/>
              </w:rPr>
            </w:pPr>
            <w:r w:rsidRPr="167CF09F">
              <w:rPr>
                <w:rFonts w:eastAsia="Calibri"/>
              </w:rPr>
              <w:t xml:space="preserve">Silmasisene süst enneaegsete retinopaatia raviks aflibertseptiga, üks viaal   </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0EDEFF" w14:textId="77777777" w:rsidR="00D3223C" w:rsidRDefault="00D3223C" w:rsidP="005F5518">
            <w:pPr>
              <w:pStyle w:val="Normaallaadveeb"/>
              <w:spacing w:before="0" w:after="0" w:afterAutospacing="0"/>
              <w:jc w:val="center"/>
            </w:pPr>
          </w:p>
          <w:p w14:paraId="05CE87E7" w14:textId="091F78B2" w:rsidR="00423FDA" w:rsidRPr="00687DE8" w:rsidRDefault="7CB44FE8" w:rsidP="005F5518">
            <w:pPr>
              <w:pStyle w:val="Normaallaadveeb"/>
              <w:spacing w:before="0" w:after="0" w:afterAutospacing="0"/>
              <w:jc w:val="center"/>
            </w:pPr>
            <w:r>
              <w:t>4</w:t>
            </w:r>
            <w:r w:rsidR="05F4C7B1">
              <w:t>58</w:t>
            </w:r>
            <w:r>
              <w:t>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A1A076D" w14:textId="77777777" w:rsidR="007613F3" w:rsidRDefault="007613F3" w:rsidP="00B628F5">
            <w:pPr>
              <w:pStyle w:val="Normaallaadveeb"/>
              <w:tabs>
                <w:tab w:val="decimal" w:pos="635"/>
              </w:tabs>
              <w:spacing w:before="0" w:after="0" w:afterAutospacing="0"/>
              <w:jc w:val="center"/>
              <w:rPr>
                <w:color w:val="000000"/>
              </w:rPr>
            </w:pPr>
          </w:p>
          <w:p w14:paraId="5F406AC7" w14:textId="3FB5C2EB" w:rsidR="00423FDA" w:rsidRDefault="7270BB3A" w:rsidP="00B628F5">
            <w:pPr>
              <w:pStyle w:val="Normaallaadveeb"/>
              <w:tabs>
                <w:tab w:val="decimal" w:pos="635"/>
              </w:tabs>
              <w:spacing w:before="0" w:after="0" w:afterAutospacing="0"/>
              <w:jc w:val="center"/>
              <w:rPr>
                <w:color w:val="000000"/>
              </w:rPr>
            </w:pPr>
            <w:r w:rsidRPr="167CF09F">
              <w:rPr>
                <w:color w:val="000000" w:themeColor="text1"/>
              </w:rPr>
              <w:t>599,29</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3D0A82" w14:textId="77777777" w:rsidR="007613F3" w:rsidRDefault="007613F3" w:rsidP="00B628F5">
            <w:pPr>
              <w:pStyle w:val="Normaallaadveeb"/>
              <w:tabs>
                <w:tab w:val="decimal" w:pos="635"/>
              </w:tabs>
              <w:spacing w:before="0" w:after="0" w:afterAutospacing="0"/>
              <w:jc w:val="center"/>
            </w:pPr>
          </w:p>
          <w:p w14:paraId="454D4788" w14:textId="383EB89F" w:rsidR="00423FDA" w:rsidRPr="00687DE8" w:rsidRDefault="00D3223C" w:rsidP="00B628F5">
            <w:pPr>
              <w:pStyle w:val="Normaallaadveeb"/>
              <w:tabs>
                <w:tab w:val="decimal" w:pos="635"/>
              </w:tabs>
              <w:spacing w:before="0" w:after="0" w:afterAutospacing="0"/>
              <w:jc w:val="center"/>
            </w:pPr>
            <w:r>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A3C359" w14:textId="77777777" w:rsidR="007613F3" w:rsidRDefault="007613F3" w:rsidP="00B628F5">
            <w:pPr>
              <w:pStyle w:val="Normaallaadveeb"/>
              <w:tabs>
                <w:tab w:val="decimal" w:pos="635"/>
              </w:tabs>
              <w:spacing w:before="0" w:after="0" w:afterAutospacing="0"/>
              <w:jc w:val="center"/>
            </w:pPr>
          </w:p>
          <w:p w14:paraId="40BE142F" w14:textId="160417B2" w:rsidR="00423FDA" w:rsidRPr="00687DE8" w:rsidRDefault="00D3223C" w:rsidP="00B628F5">
            <w:pPr>
              <w:pStyle w:val="Normaallaadveeb"/>
              <w:tabs>
                <w:tab w:val="decimal" w:pos="635"/>
              </w:tabs>
              <w:spacing w:before="0" w:after="0" w:afterAutospacing="0"/>
              <w:jc w:val="center"/>
            </w:pPr>
            <w:r>
              <w:t>0</w:t>
            </w:r>
          </w:p>
        </w:tc>
      </w:tr>
      <w:tr w:rsidR="35449174" w14:paraId="721165EA" w14:textId="77777777" w:rsidTr="167CF09F">
        <w:trPr>
          <w:divId w:val="1316184749"/>
          <w:trHeight w:val="300"/>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A2F86D" w14:textId="4B2D42A8" w:rsidR="35449174" w:rsidRPr="00B608CB" w:rsidRDefault="381F2EFB" w:rsidP="00EB7A71">
            <w:pPr>
              <w:pStyle w:val="Normaallaadveeb"/>
              <w:rPr>
                <w:rFonts w:eastAsia="Calibri"/>
              </w:rPr>
            </w:pPr>
            <w:r w:rsidRPr="00EB7A71">
              <w:rPr>
                <w:rFonts w:eastAsia="Calibri"/>
              </w:rPr>
              <w:t xml:space="preserve">Silmasisene süst </w:t>
            </w:r>
            <w:r w:rsidR="1CF80BD0" w:rsidRPr="167CF09F">
              <w:rPr>
                <w:rFonts w:eastAsia="Calibri"/>
              </w:rPr>
              <w:t>faritsimabiga, üks manustamiskord</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CC2F8F" w14:textId="4796870C" w:rsidR="35449174" w:rsidRDefault="7962ED01" w:rsidP="00EB7A71">
            <w:pPr>
              <w:pStyle w:val="Normaallaadveeb"/>
              <w:jc w:val="center"/>
            </w:pPr>
            <w:r>
              <w:t>4</w:t>
            </w:r>
            <w:r w:rsidR="6A693A4D">
              <w:t>70</w:t>
            </w:r>
            <w:r>
              <w:t>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14:paraId="5FAF4B7E" w14:textId="39C6EC0B" w:rsidR="35449174" w:rsidRDefault="0ABB3EC0" w:rsidP="00EB7A71">
            <w:pPr>
              <w:pStyle w:val="Normaallaadveeb"/>
              <w:jc w:val="center"/>
              <w:rPr>
                <w:color w:val="000000" w:themeColor="text1"/>
              </w:rPr>
            </w:pPr>
            <w:r w:rsidRPr="3749B0B3">
              <w:rPr>
                <w:color w:val="000000" w:themeColor="text1"/>
              </w:rPr>
              <w:t>56</w:t>
            </w:r>
            <w:r w:rsidR="0B29739A" w:rsidRPr="3749B0B3">
              <w:rPr>
                <w:color w:val="000000" w:themeColor="text1"/>
              </w:rPr>
              <w:t>8,</w:t>
            </w:r>
            <w:r w:rsidR="0C22129B" w:rsidRPr="3749B0B3">
              <w:rPr>
                <w:color w:val="000000" w:themeColor="text1"/>
              </w:rPr>
              <w:t>9</w:t>
            </w:r>
            <w:r w:rsidR="0B29739A" w:rsidRPr="3749B0B3">
              <w:rPr>
                <w:color w:val="000000" w:themeColor="text1"/>
              </w:rPr>
              <w:t>8</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83E654" w14:textId="298CA517" w:rsidR="35449174" w:rsidRDefault="381F2EFB" w:rsidP="00EB7A71">
            <w:pPr>
              <w:pStyle w:val="Normaallaadveeb"/>
              <w:jc w:val="center"/>
            </w:pPr>
            <w:r>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5D25B0" w14:textId="66BFDDA2" w:rsidR="35449174" w:rsidRDefault="381F2EFB" w:rsidP="00EB7A71">
            <w:pPr>
              <w:pStyle w:val="Normaallaadveeb"/>
              <w:jc w:val="center"/>
            </w:pPr>
            <w:r>
              <w:t>0</w:t>
            </w:r>
          </w:p>
        </w:tc>
      </w:tr>
      <w:tr w:rsidR="4F589735" w:rsidRPr="00687DE8" w14:paraId="0C639AD1" w14:textId="77777777" w:rsidTr="167CF09F">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2D08B4" w14:textId="77777777" w:rsidR="4F589735" w:rsidRPr="00687DE8" w:rsidRDefault="20F237A3" w:rsidP="00B628F5">
            <w:pPr>
              <w:pStyle w:val="Normaallaadveeb"/>
              <w:spacing w:before="0" w:after="0" w:afterAutospacing="0"/>
            </w:pPr>
            <w:r w:rsidRPr="00687DE8">
              <w:rPr>
                <w:color w:val="202020"/>
              </w:rPr>
              <w:t>Päriliku ja omandatud angioödeemi ägeda ataki ravi, üks manustamiskord</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B3B17D" w14:textId="77777777" w:rsidR="4F589735" w:rsidRPr="00687DE8" w:rsidRDefault="4F589735" w:rsidP="00B628F5">
            <w:pPr>
              <w:pStyle w:val="Normaallaadveeb"/>
              <w:spacing w:before="0" w:after="0" w:afterAutospacing="0"/>
              <w:jc w:val="center"/>
            </w:pPr>
          </w:p>
          <w:p w14:paraId="0AACE8EC" w14:textId="77777777" w:rsidR="4F589735" w:rsidRPr="00687DE8" w:rsidRDefault="20F237A3" w:rsidP="00B628F5">
            <w:pPr>
              <w:pStyle w:val="Normaallaadveeb"/>
              <w:spacing w:before="0" w:after="0" w:afterAutospacing="0"/>
              <w:jc w:val="center"/>
            </w:pPr>
            <w:r w:rsidRPr="00687DE8">
              <w:t>275R</w:t>
            </w:r>
          </w:p>
        </w:tc>
        <w:tc>
          <w:tcPr>
            <w:tcW w:w="21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D64165" w14:textId="2C5C5B3B" w:rsidR="4F589735" w:rsidRPr="00687DE8" w:rsidRDefault="00CA23B6" w:rsidP="00B628F5">
            <w:pPr>
              <w:pStyle w:val="Normaallaadveeb"/>
              <w:spacing w:before="0" w:after="0" w:afterAutospacing="0"/>
              <w:jc w:val="center"/>
            </w:pPr>
            <w:r>
              <w:rPr>
                <w:color w:val="000000"/>
              </w:rPr>
              <w:t>482,79</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9788E6" w14:textId="77777777" w:rsidR="20ECAF7A" w:rsidRPr="00687DE8" w:rsidRDefault="20ECAF7A" w:rsidP="00B628F5">
            <w:pPr>
              <w:pStyle w:val="Normaallaadveeb"/>
              <w:spacing w:before="0" w:after="0" w:afterAutospacing="0"/>
              <w:jc w:val="center"/>
            </w:pPr>
          </w:p>
          <w:p w14:paraId="1C6BA4CA" w14:textId="77777777" w:rsidR="4F589735" w:rsidRPr="00687DE8" w:rsidRDefault="20F237A3" w:rsidP="00B628F5">
            <w:pPr>
              <w:pStyle w:val="Normaallaadveeb"/>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9DACED" w14:textId="77777777" w:rsidR="4F589735" w:rsidRPr="00687DE8" w:rsidRDefault="4F589735" w:rsidP="00B628F5">
            <w:pPr>
              <w:pStyle w:val="Normaallaadveeb"/>
              <w:spacing w:before="0" w:after="0" w:afterAutospacing="0"/>
              <w:jc w:val="center"/>
            </w:pPr>
          </w:p>
          <w:p w14:paraId="03FFEE3F" w14:textId="77777777" w:rsidR="4F589735" w:rsidRPr="00687DE8" w:rsidRDefault="00A70B23" w:rsidP="00B628F5">
            <w:pPr>
              <w:pStyle w:val="Normaallaadveeb"/>
              <w:spacing w:before="0" w:after="0" w:afterAutospacing="0"/>
              <w:jc w:val="center"/>
            </w:pPr>
            <w:r w:rsidRPr="00687DE8">
              <w:t xml:space="preserve">         </w:t>
            </w:r>
            <w:r w:rsidR="20F237A3" w:rsidRPr="00687DE8">
              <w:t>0</w:t>
            </w:r>
          </w:p>
        </w:tc>
      </w:tr>
      <w:tr w:rsidR="14663A16" w:rsidRPr="00687DE8" w14:paraId="1536FBE9"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36F2AE" w14:textId="77777777" w:rsidR="3ACEDAD8" w:rsidRPr="00687DE8" w:rsidRDefault="008FB8A7" w:rsidP="00B628F5">
            <w:pPr>
              <w:pStyle w:val="Normaallaadveeb"/>
              <w:spacing w:before="0" w:after="0" w:afterAutospacing="0"/>
              <w:rPr>
                <w:color w:val="202020"/>
              </w:rPr>
            </w:pPr>
            <w:r w:rsidRPr="00687DE8">
              <w:rPr>
                <w:color w:val="202020"/>
              </w:rPr>
              <w:t xml:space="preserve">Päriliku ja omandatud angioödeemi profülaktiline ravi </w:t>
            </w:r>
            <w:r w:rsidR="1E8D6501" w:rsidRPr="00687DE8">
              <w:rPr>
                <w:color w:val="202020"/>
              </w:rPr>
              <w:t>intraveno</w:t>
            </w:r>
            <w:r w:rsidR="092F82E4" w:rsidRPr="00687DE8">
              <w:rPr>
                <w:color w:val="202020"/>
              </w:rPr>
              <w:t>o</w:t>
            </w:r>
            <w:r w:rsidR="1E8D6501" w:rsidRPr="00687DE8">
              <w:rPr>
                <w:color w:val="202020"/>
              </w:rPr>
              <w:t xml:space="preserve">sse </w:t>
            </w:r>
            <w:r w:rsidRPr="00687DE8">
              <w:rPr>
                <w:color w:val="202020"/>
              </w:rPr>
              <w:t>C1-inhibiitoriga, 500 toimeühikut</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08E43D" w14:textId="77777777" w:rsidR="4DD487EB" w:rsidRPr="00687DE8" w:rsidRDefault="4DD487EB" w:rsidP="00B628F5">
            <w:pPr>
              <w:pStyle w:val="Normaallaadveeb"/>
              <w:spacing w:before="0" w:after="0" w:afterAutospacing="0"/>
              <w:jc w:val="center"/>
            </w:pPr>
          </w:p>
          <w:p w14:paraId="0F28C8A3" w14:textId="77777777" w:rsidR="5EF60ADC" w:rsidRPr="00687DE8" w:rsidRDefault="5EF60ADC" w:rsidP="00B628F5">
            <w:pPr>
              <w:pStyle w:val="Normaallaadveeb"/>
              <w:spacing w:before="0" w:after="0" w:afterAutospacing="0"/>
              <w:jc w:val="center"/>
            </w:pPr>
          </w:p>
          <w:p w14:paraId="2AA5CBD7" w14:textId="77777777" w:rsidR="3ACEDAD8" w:rsidRPr="00687DE8" w:rsidRDefault="3ACEDAD8" w:rsidP="00B628F5">
            <w:pPr>
              <w:pStyle w:val="Normaallaadveeb"/>
              <w:spacing w:before="0" w:after="0" w:afterAutospacing="0"/>
              <w:jc w:val="center"/>
            </w:pPr>
            <w:r w:rsidRPr="00687DE8">
              <w:t>285R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09C9792" w14:textId="6E24A30C" w:rsidR="3ACEDAD8" w:rsidRPr="00687DE8" w:rsidRDefault="00CA23B6" w:rsidP="00B628F5">
            <w:pPr>
              <w:pStyle w:val="Normaallaadveeb"/>
              <w:spacing w:before="0" w:after="0" w:afterAutospacing="0"/>
              <w:jc w:val="center"/>
            </w:pPr>
            <w:r>
              <w:rPr>
                <w:color w:val="000000"/>
              </w:rPr>
              <w:t>506,88</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6FB3D9" w14:textId="77777777" w:rsidR="4DD487EB" w:rsidRPr="00687DE8" w:rsidRDefault="4DD487EB" w:rsidP="00B628F5">
            <w:pPr>
              <w:pStyle w:val="Normaallaadveeb"/>
              <w:spacing w:before="0" w:after="0" w:afterAutospacing="0"/>
              <w:jc w:val="center"/>
            </w:pPr>
          </w:p>
          <w:p w14:paraId="525376C1" w14:textId="77777777" w:rsidR="5EF60ADC" w:rsidRPr="00687DE8" w:rsidRDefault="5EF60ADC" w:rsidP="00B628F5">
            <w:pPr>
              <w:pStyle w:val="Normaallaadveeb"/>
              <w:spacing w:before="0" w:after="0" w:afterAutospacing="0"/>
              <w:jc w:val="center"/>
            </w:pPr>
          </w:p>
          <w:p w14:paraId="66FFABAB" w14:textId="77777777" w:rsidR="3ACEDAD8" w:rsidRPr="00687DE8" w:rsidRDefault="3ACEDAD8" w:rsidP="00B628F5">
            <w:pPr>
              <w:pStyle w:val="Normaallaadveeb"/>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69ABFD" w14:textId="77777777" w:rsidR="4DD487EB" w:rsidRPr="00687DE8" w:rsidRDefault="4DD487EB" w:rsidP="00B628F5">
            <w:pPr>
              <w:pStyle w:val="Normaallaadveeb"/>
              <w:spacing w:before="0" w:after="0" w:afterAutospacing="0"/>
              <w:jc w:val="center"/>
            </w:pPr>
          </w:p>
          <w:p w14:paraId="65F80630" w14:textId="77777777" w:rsidR="4DD487EB" w:rsidRPr="00687DE8" w:rsidRDefault="4DD487EB" w:rsidP="00B628F5">
            <w:pPr>
              <w:pStyle w:val="Normaallaadveeb"/>
              <w:spacing w:before="0" w:after="0" w:afterAutospacing="0"/>
              <w:jc w:val="center"/>
            </w:pPr>
          </w:p>
          <w:p w14:paraId="7712543F" w14:textId="77777777" w:rsidR="3ACEDAD8" w:rsidRPr="00687DE8" w:rsidRDefault="00A70B23" w:rsidP="00B628F5">
            <w:pPr>
              <w:pStyle w:val="Normaallaadveeb"/>
              <w:spacing w:before="0" w:after="0" w:afterAutospacing="0"/>
              <w:jc w:val="center"/>
            </w:pPr>
            <w:r w:rsidRPr="00687DE8">
              <w:t xml:space="preserve">        </w:t>
            </w:r>
            <w:r w:rsidR="3ACEDAD8" w:rsidRPr="00687DE8">
              <w:t>0</w:t>
            </w:r>
          </w:p>
        </w:tc>
      </w:tr>
      <w:tr w:rsidR="00976487" w:rsidRPr="00687DE8" w14:paraId="7E97FC70"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6AD968" w14:textId="77777777" w:rsidR="00976487" w:rsidRPr="00687DE8" w:rsidRDefault="00976487" w:rsidP="00B628F5">
            <w:pPr>
              <w:pStyle w:val="Normaallaadveeb"/>
              <w:spacing w:before="0" w:after="0" w:afterAutospacing="0"/>
            </w:pPr>
            <w:r w:rsidRPr="00687DE8">
              <w:t>Ägeda vahelduva maksaporfüüria spetsiifiline ravi, üks viaal</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235ABA" w14:textId="77777777" w:rsidR="00976487" w:rsidRPr="00687DE8" w:rsidRDefault="00976487" w:rsidP="00B628F5">
            <w:pPr>
              <w:pStyle w:val="Normaallaadveeb"/>
              <w:spacing w:before="0" w:after="0" w:afterAutospacing="0"/>
              <w:jc w:val="center"/>
            </w:pPr>
          </w:p>
          <w:p w14:paraId="4E5C536F" w14:textId="77777777" w:rsidR="00976487" w:rsidRPr="00687DE8" w:rsidRDefault="00976487" w:rsidP="00B628F5">
            <w:pPr>
              <w:pStyle w:val="Normaallaadveeb"/>
              <w:spacing w:before="0" w:after="0" w:afterAutospacing="0"/>
              <w:jc w:val="center"/>
            </w:pPr>
            <w:r w:rsidRPr="00687DE8">
              <w:t>368R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0040A4D" w14:textId="0E90018B" w:rsidR="00976487" w:rsidRPr="00687DE8" w:rsidRDefault="00CA23B6" w:rsidP="00B628F5">
            <w:pPr>
              <w:pStyle w:val="Normaallaadveeb"/>
              <w:tabs>
                <w:tab w:val="decimal" w:pos="635"/>
              </w:tabs>
              <w:spacing w:before="0" w:after="0" w:afterAutospacing="0"/>
              <w:jc w:val="center"/>
            </w:pPr>
            <w:r>
              <w:rPr>
                <w:color w:val="000000"/>
              </w:rPr>
              <w:t>587,62</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0C1BC3" w14:textId="77777777" w:rsidR="00976487" w:rsidRPr="00687DE8" w:rsidRDefault="00976487" w:rsidP="00B628F5">
            <w:pPr>
              <w:pStyle w:val="Normaallaadveeb"/>
              <w:tabs>
                <w:tab w:val="decimal" w:pos="635"/>
              </w:tabs>
              <w:spacing w:before="0" w:after="0" w:afterAutospacing="0"/>
              <w:jc w:val="center"/>
            </w:pPr>
          </w:p>
          <w:p w14:paraId="79920857"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56DF26" w14:textId="77777777" w:rsidR="00976487" w:rsidRPr="00687DE8" w:rsidRDefault="00976487" w:rsidP="00B628F5">
            <w:pPr>
              <w:pStyle w:val="Normaallaadveeb"/>
              <w:tabs>
                <w:tab w:val="decimal" w:pos="635"/>
              </w:tabs>
              <w:spacing w:before="0" w:after="0" w:afterAutospacing="0"/>
              <w:jc w:val="center"/>
            </w:pPr>
          </w:p>
          <w:p w14:paraId="09BBA43A"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24DF2E36"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BC5DCF" w14:textId="25FC54E4" w:rsidR="00976487" w:rsidRPr="00687DE8" w:rsidRDefault="00976487" w:rsidP="00B628F5">
            <w:pPr>
              <w:pStyle w:val="Normaallaadveeb"/>
              <w:spacing w:before="0" w:after="0" w:afterAutospacing="0"/>
            </w:pPr>
            <w:r w:rsidRPr="00687DE8">
              <w:t>Baklofeeni infusioonlahus 10 mg / 20</w:t>
            </w:r>
            <w:r w:rsidR="00CA2452">
              <w:t> </w:t>
            </w:r>
            <w:r w:rsidRPr="00687DE8">
              <w:t>ml</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679144" w14:textId="77777777" w:rsidR="00F00E8A" w:rsidRPr="00687DE8" w:rsidRDefault="00F00E8A" w:rsidP="00B628F5">
            <w:pPr>
              <w:pStyle w:val="Normaallaadveeb"/>
              <w:spacing w:before="0" w:after="0" w:afterAutospacing="0"/>
              <w:jc w:val="center"/>
            </w:pPr>
          </w:p>
          <w:p w14:paraId="203C809F" w14:textId="77777777" w:rsidR="00976487" w:rsidRPr="00687DE8" w:rsidRDefault="00976487" w:rsidP="00B628F5">
            <w:pPr>
              <w:pStyle w:val="Normaallaadveeb"/>
              <w:spacing w:before="0" w:after="0" w:afterAutospacing="0"/>
              <w:jc w:val="center"/>
            </w:pPr>
            <w:r w:rsidRPr="00687DE8">
              <w:t>369R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1A248A" w14:textId="4597E07A" w:rsidR="00976487" w:rsidRPr="00687DE8" w:rsidRDefault="00CA23B6" w:rsidP="00B628F5">
            <w:pPr>
              <w:pStyle w:val="Normaallaadveeb"/>
              <w:tabs>
                <w:tab w:val="decimal" w:pos="635"/>
              </w:tabs>
              <w:spacing w:before="0" w:after="0" w:afterAutospacing="0"/>
              <w:jc w:val="center"/>
            </w:pPr>
            <w:r>
              <w:rPr>
                <w:color w:val="000000"/>
              </w:rPr>
              <w:t>168,41</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8ABDB" w14:textId="77777777" w:rsidR="00F00E8A" w:rsidRPr="00687DE8" w:rsidRDefault="00F00E8A" w:rsidP="00B628F5">
            <w:pPr>
              <w:pStyle w:val="Normaallaadveeb"/>
              <w:tabs>
                <w:tab w:val="decimal" w:pos="635"/>
              </w:tabs>
              <w:spacing w:before="0" w:after="0" w:afterAutospacing="0"/>
              <w:jc w:val="center"/>
            </w:pPr>
          </w:p>
          <w:p w14:paraId="58E5D5B6"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448934" w14:textId="77777777" w:rsidR="00F00E8A" w:rsidRPr="00687DE8" w:rsidRDefault="00F00E8A" w:rsidP="00B628F5">
            <w:pPr>
              <w:pStyle w:val="Normaallaadveeb"/>
              <w:tabs>
                <w:tab w:val="decimal" w:pos="635"/>
              </w:tabs>
              <w:spacing w:before="0" w:after="0" w:afterAutospacing="0"/>
              <w:jc w:val="center"/>
            </w:pPr>
          </w:p>
          <w:p w14:paraId="54503A73"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62065444"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FC9EB1" w14:textId="77777777" w:rsidR="00976487" w:rsidRPr="00687DE8" w:rsidRDefault="00976487" w:rsidP="00B628F5">
            <w:pPr>
              <w:pStyle w:val="Normaallaadveeb"/>
              <w:spacing w:before="0" w:after="0" w:afterAutospacing="0"/>
            </w:pPr>
            <w:r w:rsidRPr="00687DE8">
              <w:t>Ravi metüülprednisolooniga, 125 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60B44F" w14:textId="77777777" w:rsidR="00976487" w:rsidRPr="00687DE8" w:rsidRDefault="00976487" w:rsidP="00B628F5">
            <w:pPr>
              <w:pStyle w:val="Normaallaadveeb"/>
              <w:spacing w:before="0" w:after="0" w:afterAutospacing="0"/>
              <w:jc w:val="center"/>
            </w:pPr>
            <w:r w:rsidRPr="00687DE8">
              <w:t>385R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F20388" w14:textId="6E8B7DE3" w:rsidR="00976487" w:rsidRPr="00687DE8" w:rsidRDefault="00CA23B6" w:rsidP="00B628F5">
            <w:pPr>
              <w:pStyle w:val="Normaallaadveeb"/>
              <w:tabs>
                <w:tab w:val="decimal" w:pos="635"/>
              </w:tabs>
              <w:spacing w:before="0" w:after="0" w:afterAutospacing="0"/>
              <w:jc w:val="center"/>
            </w:pPr>
            <w:r>
              <w:rPr>
                <w:color w:val="000000"/>
              </w:rPr>
              <w:t>10,30</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7E4129"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96AA0B"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4DFB749B"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DBA09A" w14:textId="77777777" w:rsidR="00976487" w:rsidRPr="00687DE8" w:rsidRDefault="00976487" w:rsidP="00B628F5">
            <w:pPr>
              <w:pStyle w:val="Normaallaadveeb"/>
              <w:spacing w:before="0" w:after="0" w:afterAutospacing="0"/>
            </w:pPr>
            <w:r w:rsidRPr="00687DE8">
              <w:t>Vereloome tüvirakkude siirdamisjärgne ravikuur sugulasdoonori ja registridoonori korral, üks ravipäev</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ACFD00" w14:textId="77777777" w:rsidR="00976487" w:rsidRPr="00687DE8" w:rsidRDefault="00976487" w:rsidP="00B628F5">
            <w:pPr>
              <w:pStyle w:val="Normaallaadveeb"/>
              <w:spacing w:before="0" w:after="0" w:afterAutospacing="0"/>
              <w:jc w:val="center"/>
            </w:pPr>
          </w:p>
          <w:p w14:paraId="1A72C6AA" w14:textId="77777777" w:rsidR="00976487" w:rsidRPr="00687DE8" w:rsidRDefault="00976487" w:rsidP="00B628F5">
            <w:pPr>
              <w:pStyle w:val="Normaallaadveeb"/>
              <w:spacing w:before="0" w:after="0" w:afterAutospacing="0"/>
              <w:jc w:val="center"/>
            </w:pPr>
          </w:p>
          <w:p w14:paraId="403C1D2F" w14:textId="77777777" w:rsidR="00976487" w:rsidRPr="00687DE8" w:rsidRDefault="00976487" w:rsidP="00B628F5">
            <w:pPr>
              <w:pStyle w:val="Normaallaadveeb"/>
              <w:spacing w:before="0" w:after="0" w:afterAutospacing="0"/>
              <w:jc w:val="center"/>
            </w:pPr>
            <w:r w:rsidRPr="00687DE8">
              <w:t>386R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4D4C90C" w14:textId="27B166FA" w:rsidR="00976487" w:rsidRPr="00687DE8" w:rsidRDefault="00CA23B6" w:rsidP="00B628F5">
            <w:pPr>
              <w:pStyle w:val="Normaallaadveeb"/>
              <w:tabs>
                <w:tab w:val="decimal" w:pos="635"/>
              </w:tabs>
              <w:spacing w:before="0" w:after="0" w:afterAutospacing="0"/>
              <w:jc w:val="center"/>
            </w:pPr>
            <w:r>
              <w:rPr>
                <w:color w:val="000000"/>
              </w:rPr>
              <w:t>164,78</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318E47" w14:textId="1D4B293D" w:rsidR="00976487" w:rsidRPr="00687DE8" w:rsidRDefault="00976487" w:rsidP="00B628F5">
            <w:pPr>
              <w:pStyle w:val="Normaallaadveeb"/>
              <w:tabs>
                <w:tab w:val="decimal" w:pos="635"/>
              </w:tabs>
              <w:spacing w:before="0" w:after="0" w:afterAutospacing="0"/>
              <w:jc w:val="center"/>
            </w:pPr>
          </w:p>
          <w:p w14:paraId="122C071F" w14:textId="77777777" w:rsidR="00976487" w:rsidRPr="00687DE8" w:rsidRDefault="00976487" w:rsidP="00B628F5">
            <w:pPr>
              <w:pStyle w:val="Normaallaadveeb"/>
              <w:tabs>
                <w:tab w:val="decimal" w:pos="635"/>
              </w:tabs>
              <w:spacing w:before="0" w:after="0" w:afterAutospacing="0"/>
              <w:jc w:val="center"/>
            </w:pPr>
          </w:p>
          <w:p w14:paraId="3E19F51F"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DD7D55" w14:textId="77777777" w:rsidR="00976487" w:rsidRPr="00687DE8" w:rsidRDefault="00976487" w:rsidP="00B628F5">
            <w:pPr>
              <w:pStyle w:val="Normaallaadveeb"/>
              <w:tabs>
                <w:tab w:val="decimal" w:pos="635"/>
              </w:tabs>
              <w:spacing w:before="0" w:after="0" w:afterAutospacing="0"/>
              <w:jc w:val="center"/>
            </w:pPr>
          </w:p>
          <w:p w14:paraId="401DDBE7" w14:textId="77777777" w:rsidR="00976487" w:rsidRPr="00687DE8" w:rsidRDefault="00976487" w:rsidP="00B628F5">
            <w:pPr>
              <w:pStyle w:val="Normaallaadveeb"/>
              <w:tabs>
                <w:tab w:val="decimal" w:pos="635"/>
              </w:tabs>
              <w:spacing w:before="0" w:after="0" w:afterAutospacing="0"/>
              <w:jc w:val="center"/>
            </w:pPr>
          </w:p>
          <w:p w14:paraId="548A0555"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327DD982"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B53946" w14:textId="7AB5E277" w:rsidR="00976487" w:rsidRPr="00687DE8" w:rsidRDefault="00976487" w:rsidP="00B628F5">
            <w:pPr>
              <w:pStyle w:val="Normaallaadveeb"/>
              <w:spacing w:before="0" w:after="0" w:afterAutospacing="0"/>
            </w:pPr>
            <w:r w:rsidRPr="00687DE8">
              <w:t>Ravi levodopa/karbidopa intestinaalgeeli</w:t>
            </w:r>
            <w:r w:rsidR="00B81BB5" w:rsidRPr="00687DE8">
              <w:t xml:space="preserve"> või foslevodopa/foskarbidopa infusioonil</w:t>
            </w:r>
            <w:r w:rsidR="001F3767" w:rsidRPr="00687DE8">
              <w:t>ahuse</w:t>
            </w:r>
            <w:r w:rsidRPr="00687DE8">
              <w:t xml:space="preserve">ga, </w:t>
            </w:r>
            <w:r w:rsidR="00496D77" w:rsidRPr="00687DE8">
              <w:t>ühe</w:t>
            </w:r>
            <w:r w:rsidRPr="00687DE8">
              <w:t>nädalane ravikuur</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62F98A" w14:textId="77777777" w:rsidR="00976487" w:rsidRPr="00687DE8" w:rsidRDefault="00976487" w:rsidP="00B628F5">
            <w:pPr>
              <w:pStyle w:val="Normaallaadveeb"/>
              <w:spacing w:before="0" w:after="0" w:afterAutospacing="0"/>
              <w:jc w:val="center"/>
            </w:pPr>
          </w:p>
          <w:p w14:paraId="190BE513" w14:textId="77777777" w:rsidR="00F027A0" w:rsidRPr="00687DE8" w:rsidRDefault="00F027A0" w:rsidP="00B628F5">
            <w:pPr>
              <w:pStyle w:val="Normaallaadveeb"/>
              <w:spacing w:before="0" w:after="0" w:afterAutospacing="0"/>
              <w:jc w:val="center"/>
            </w:pPr>
          </w:p>
          <w:p w14:paraId="785FB761" w14:textId="1B22A77C" w:rsidR="00976487" w:rsidRPr="00687DE8" w:rsidRDefault="00976487" w:rsidP="00B628F5">
            <w:pPr>
              <w:pStyle w:val="Normaallaadveeb"/>
              <w:spacing w:before="0" w:after="0" w:afterAutospacing="0"/>
              <w:jc w:val="center"/>
            </w:pPr>
            <w:r w:rsidRPr="00687DE8">
              <w:t>487R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1F6604" w14:textId="5BC84555" w:rsidR="00976487" w:rsidRPr="00687DE8" w:rsidRDefault="00CA23B6" w:rsidP="00B628F5">
            <w:pPr>
              <w:pStyle w:val="Normaallaadveeb"/>
              <w:tabs>
                <w:tab w:val="decimal" w:pos="635"/>
              </w:tabs>
              <w:spacing w:before="0" w:after="0" w:afterAutospacing="0"/>
              <w:jc w:val="center"/>
            </w:pPr>
            <w:r>
              <w:rPr>
                <w:color w:val="000000"/>
              </w:rPr>
              <w:t>569,79</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997827" w14:textId="77777777" w:rsidR="00976487" w:rsidRPr="00687DE8" w:rsidRDefault="00976487" w:rsidP="00B628F5">
            <w:pPr>
              <w:pStyle w:val="Normaallaadveeb"/>
              <w:tabs>
                <w:tab w:val="decimal" w:pos="635"/>
              </w:tabs>
              <w:spacing w:before="0" w:after="0" w:afterAutospacing="0"/>
              <w:jc w:val="center"/>
            </w:pPr>
          </w:p>
          <w:p w14:paraId="5CA33BB2" w14:textId="77777777" w:rsidR="00F027A0" w:rsidRPr="00687DE8" w:rsidRDefault="00F027A0" w:rsidP="00B628F5">
            <w:pPr>
              <w:pStyle w:val="Normaallaadveeb"/>
              <w:tabs>
                <w:tab w:val="decimal" w:pos="635"/>
              </w:tabs>
              <w:spacing w:before="0" w:after="0" w:afterAutospacing="0"/>
              <w:jc w:val="center"/>
            </w:pPr>
          </w:p>
          <w:p w14:paraId="7D35F919"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A22155" w14:textId="77777777" w:rsidR="00976487" w:rsidRPr="00687DE8" w:rsidRDefault="00976487" w:rsidP="00B628F5">
            <w:pPr>
              <w:pStyle w:val="Normaallaadveeb"/>
              <w:tabs>
                <w:tab w:val="decimal" w:pos="635"/>
              </w:tabs>
              <w:spacing w:before="0" w:after="0" w:afterAutospacing="0"/>
              <w:jc w:val="center"/>
            </w:pPr>
          </w:p>
          <w:p w14:paraId="58E5670F" w14:textId="77777777" w:rsidR="00F027A0" w:rsidRPr="00687DE8" w:rsidRDefault="00F027A0" w:rsidP="00B628F5">
            <w:pPr>
              <w:pStyle w:val="Normaallaadveeb"/>
              <w:tabs>
                <w:tab w:val="decimal" w:pos="635"/>
              </w:tabs>
              <w:spacing w:before="0" w:after="0" w:afterAutospacing="0"/>
              <w:jc w:val="center"/>
            </w:pPr>
          </w:p>
          <w:p w14:paraId="73AF9897"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30427FE0"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0E256C" w14:textId="77777777" w:rsidR="00976487" w:rsidRPr="00687DE8" w:rsidRDefault="00976487" w:rsidP="00B628F5">
            <w:pPr>
              <w:pStyle w:val="Normaallaadveeb"/>
              <w:spacing w:before="0" w:after="0" w:afterAutospacing="0"/>
            </w:pPr>
            <w:r w:rsidRPr="00687DE8">
              <w:lastRenderedPageBreak/>
              <w:t>Venooklusiivse haiguse ravi defibrotiidiga, 200 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6BE67DE" w14:textId="77777777" w:rsidR="00976487" w:rsidRPr="00687DE8" w:rsidRDefault="00976487" w:rsidP="00B628F5">
            <w:pPr>
              <w:pStyle w:val="Normaallaadveeb"/>
              <w:spacing w:before="0" w:after="0" w:afterAutospacing="0"/>
              <w:jc w:val="center"/>
            </w:pPr>
          </w:p>
          <w:p w14:paraId="41A37C00" w14:textId="77777777" w:rsidR="00976487" w:rsidRPr="00687DE8" w:rsidRDefault="00976487" w:rsidP="00B628F5">
            <w:pPr>
              <w:pStyle w:val="Normaallaadveeb"/>
              <w:spacing w:before="0" w:after="0" w:afterAutospacing="0"/>
              <w:jc w:val="center"/>
            </w:pPr>
            <w:r w:rsidRPr="00687DE8">
              <w:t>488R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7D54B4" w14:textId="2D18B6C8" w:rsidR="00976487" w:rsidRPr="00687DE8" w:rsidRDefault="00CA23B6" w:rsidP="00B628F5">
            <w:pPr>
              <w:pStyle w:val="Normaallaadveeb"/>
              <w:tabs>
                <w:tab w:val="decimal" w:pos="635"/>
              </w:tabs>
              <w:spacing w:before="0" w:after="0" w:afterAutospacing="0"/>
              <w:jc w:val="center"/>
            </w:pPr>
            <w:r>
              <w:rPr>
                <w:color w:val="000000"/>
              </w:rPr>
              <w:t>459,52</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272E8B" w14:textId="77777777" w:rsidR="00976487" w:rsidRPr="00687DE8" w:rsidRDefault="00976487" w:rsidP="00B628F5">
            <w:pPr>
              <w:pStyle w:val="Normaallaadveeb"/>
              <w:tabs>
                <w:tab w:val="decimal" w:pos="635"/>
              </w:tabs>
              <w:spacing w:before="0" w:after="0" w:afterAutospacing="0"/>
              <w:jc w:val="center"/>
            </w:pPr>
          </w:p>
          <w:p w14:paraId="00316A55"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C8FE92" w14:textId="77777777" w:rsidR="00976487" w:rsidRPr="00687DE8" w:rsidRDefault="00976487" w:rsidP="00B628F5">
            <w:pPr>
              <w:pStyle w:val="Normaallaadveeb"/>
              <w:tabs>
                <w:tab w:val="decimal" w:pos="635"/>
              </w:tabs>
              <w:spacing w:before="0" w:after="0" w:afterAutospacing="0"/>
              <w:jc w:val="center"/>
            </w:pPr>
          </w:p>
          <w:p w14:paraId="73DAE9A6"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44FA6EBB" w14:textId="77777777" w:rsidTr="167CF09F">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3094A9" w14:textId="77777777" w:rsidR="00976487" w:rsidRPr="00687DE8" w:rsidRDefault="00976487" w:rsidP="00B628F5">
            <w:pPr>
              <w:pStyle w:val="Normaallaadveeb"/>
              <w:spacing w:before="0" w:after="0" w:afterAutospacing="0"/>
            </w:pPr>
            <w:r w:rsidRPr="00687DE8">
              <w:t>Metotreksaadi toksilise plasmakontsentratsiooni ravi glükarpidaasiga, 1000 TÜ</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C3DA88" w14:textId="77777777" w:rsidR="00976487" w:rsidRPr="00687DE8" w:rsidRDefault="00976487" w:rsidP="00B628F5">
            <w:pPr>
              <w:pStyle w:val="Normaallaadveeb"/>
              <w:spacing w:before="0" w:after="0" w:afterAutospacing="0"/>
              <w:jc w:val="center"/>
            </w:pPr>
          </w:p>
          <w:p w14:paraId="20A363A9" w14:textId="77777777" w:rsidR="00976487" w:rsidRPr="00687DE8" w:rsidRDefault="00976487" w:rsidP="00B628F5">
            <w:pPr>
              <w:pStyle w:val="Normaallaadveeb"/>
              <w:spacing w:before="0" w:after="0" w:afterAutospacing="0"/>
              <w:jc w:val="center"/>
            </w:pPr>
          </w:p>
          <w:p w14:paraId="3733031E" w14:textId="77777777" w:rsidR="00976487" w:rsidRPr="00687DE8" w:rsidRDefault="00976487" w:rsidP="00B628F5">
            <w:pPr>
              <w:pStyle w:val="Normaallaadveeb"/>
              <w:spacing w:before="0" w:after="0" w:afterAutospacing="0"/>
              <w:jc w:val="center"/>
            </w:pPr>
            <w:r w:rsidRPr="00687DE8">
              <w:t>489R</w:t>
            </w:r>
          </w:p>
        </w:tc>
        <w:tc>
          <w:tcPr>
            <w:tcW w:w="21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2D5726" w14:textId="2828D586" w:rsidR="00976487" w:rsidRPr="00687DE8" w:rsidRDefault="0066592B" w:rsidP="00B628F5">
            <w:pPr>
              <w:pStyle w:val="Normaallaadveeb"/>
              <w:tabs>
                <w:tab w:val="decimal" w:pos="635"/>
              </w:tabs>
              <w:spacing w:before="0" w:after="0" w:afterAutospacing="0"/>
              <w:jc w:val="center"/>
            </w:pPr>
            <w:r>
              <w:rPr>
                <w:color w:val="000000"/>
              </w:rPr>
              <w:t>33 130,27</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752E97" w14:textId="77777777" w:rsidR="00976487" w:rsidRPr="00687DE8" w:rsidRDefault="00976487" w:rsidP="00B628F5">
            <w:pPr>
              <w:pStyle w:val="Normaallaadveeb"/>
              <w:tabs>
                <w:tab w:val="decimal" w:pos="635"/>
              </w:tabs>
              <w:spacing w:before="0" w:after="0" w:afterAutospacing="0"/>
              <w:jc w:val="center"/>
            </w:pPr>
          </w:p>
          <w:p w14:paraId="62890BE7" w14:textId="77777777" w:rsidR="00976487" w:rsidRPr="00687DE8" w:rsidRDefault="00976487" w:rsidP="00B628F5">
            <w:pPr>
              <w:pStyle w:val="Normaallaadveeb"/>
              <w:tabs>
                <w:tab w:val="decimal" w:pos="635"/>
              </w:tabs>
              <w:spacing w:before="0" w:after="0" w:afterAutospacing="0"/>
              <w:jc w:val="center"/>
            </w:pPr>
          </w:p>
          <w:p w14:paraId="3E9A8DD6"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401A51" w14:textId="77777777" w:rsidR="00976487" w:rsidRPr="00687DE8" w:rsidRDefault="00976487" w:rsidP="00B628F5">
            <w:pPr>
              <w:pStyle w:val="Normaallaadveeb"/>
              <w:tabs>
                <w:tab w:val="decimal" w:pos="635"/>
              </w:tabs>
              <w:spacing w:before="0" w:after="0" w:afterAutospacing="0"/>
              <w:jc w:val="center"/>
            </w:pPr>
          </w:p>
          <w:p w14:paraId="183E6B85" w14:textId="77777777" w:rsidR="00976487" w:rsidRPr="00687DE8" w:rsidRDefault="00976487" w:rsidP="00B628F5">
            <w:pPr>
              <w:pStyle w:val="Normaallaadveeb"/>
              <w:tabs>
                <w:tab w:val="decimal" w:pos="635"/>
              </w:tabs>
              <w:spacing w:before="0" w:after="0" w:afterAutospacing="0"/>
              <w:jc w:val="center"/>
            </w:pPr>
          </w:p>
          <w:p w14:paraId="2DAF9BD8"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0F3F0D6E"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76DDCA" w14:textId="77777777" w:rsidR="00976487" w:rsidRPr="00687DE8" w:rsidRDefault="00976487" w:rsidP="00B628F5">
            <w:pPr>
              <w:pStyle w:val="Normaallaadveeb"/>
              <w:spacing w:before="0" w:after="0" w:afterAutospacing="0"/>
            </w:pPr>
            <w:r w:rsidRPr="00687DE8">
              <w:t>Hüperurikeemia korrektsioon rasburikaasiga, 1,5 mg, üks viaal</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2770C4" w14:textId="77777777" w:rsidR="00976487" w:rsidRPr="00687DE8" w:rsidRDefault="00976487" w:rsidP="00B628F5">
            <w:pPr>
              <w:pStyle w:val="Normaallaadveeb"/>
              <w:spacing w:before="0" w:after="0" w:afterAutospacing="0"/>
              <w:jc w:val="center"/>
            </w:pPr>
          </w:p>
          <w:p w14:paraId="691DD5A2" w14:textId="77777777" w:rsidR="00976487" w:rsidRPr="00687DE8" w:rsidRDefault="00976487" w:rsidP="00B628F5">
            <w:pPr>
              <w:pStyle w:val="Normaallaadveeb"/>
              <w:spacing w:before="0" w:after="0" w:afterAutospacing="0"/>
              <w:jc w:val="center"/>
            </w:pPr>
            <w:r w:rsidRPr="00687DE8">
              <w:t>490R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5583D3" w14:textId="4194385E" w:rsidR="00976487" w:rsidRPr="00687DE8" w:rsidRDefault="0066592B" w:rsidP="00B628F5">
            <w:pPr>
              <w:pStyle w:val="Normaallaadveeb"/>
              <w:tabs>
                <w:tab w:val="decimal" w:pos="635"/>
              </w:tabs>
              <w:spacing w:before="0" w:after="0" w:afterAutospacing="0"/>
              <w:jc w:val="center"/>
            </w:pPr>
            <w:r>
              <w:rPr>
                <w:color w:val="000000"/>
              </w:rPr>
              <w:t>73,31</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AF3C4D" w14:textId="77777777" w:rsidR="00976487" w:rsidRPr="00687DE8" w:rsidRDefault="00976487" w:rsidP="00B628F5">
            <w:pPr>
              <w:pStyle w:val="Normaallaadveeb"/>
              <w:tabs>
                <w:tab w:val="decimal" w:pos="635"/>
              </w:tabs>
              <w:spacing w:before="0" w:after="0" w:afterAutospacing="0"/>
              <w:jc w:val="center"/>
            </w:pPr>
          </w:p>
          <w:p w14:paraId="74A9192E"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37F74B" w14:textId="77777777" w:rsidR="00976487" w:rsidRPr="00687DE8" w:rsidRDefault="00976487" w:rsidP="00B628F5">
            <w:pPr>
              <w:pStyle w:val="Normaallaadveeb"/>
              <w:tabs>
                <w:tab w:val="decimal" w:pos="635"/>
              </w:tabs>
              <w:spacing w:before="0" w:after="0" w:afterAutospacing="0"/>
              <w:jc w:val="center"/>
            </w:pPr>
          </w:p>
          <w:p w14:paraId="7C16BC34"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31672B73"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F2F63A" w14:textId="77777777" w:rsidR="00976487" w:rsidRPr="00687DE8" w:rsidRDefault="00976487" w:rsidP="00B628F5">
            <w:pPr>
              <w:pStyle w:val="Normaallaadveeb"/>
              <w:spacing w:before="0" w:after="0" w:afterAutospacing="0"/>
            </w:pPr>
            <w:r w:rsidRPr="00687DE8">
              <w:t>Ravi apomorfiini lahusega subkutaanse püsiinfusiooni-pumba abil, 250 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DCCA91" w14:textId="77777777" w:rsidR="00976487" w:rsidRPr="00687DE8" w:rsidRDefault="00976487" w:rsidP="00B628F5">
            <w:pPr>
              <w:pStyle w:val="Normaallaadveeb"/>
              <w:spacing w:before="0" w:after="0" w:afterAutospacing="0"/>
              <w:jc w:val="center"/>
            </w:pPr>
          </w:p>
          <w:p w14:paraId="4853D8B2" w14:textId="77777777" w:rsidR="00976487" w:rsidRPr="00687DE8" w:rsidRDefault="00976487" w:rsidP="00B628F5">
            <w:pPr>
              <w:pStyle w:val="Normaallaadveeb"/>
              <w:spacing w:before="0" w:after="0" w:afterAutospacing="0"/>
              <w:jc w:val="center"/>
            </w:pPr>
            <w:r w:rsidRPr="00687DE8">
              <w:t>216R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D7CFC36" w14:textId="6E433AF3" w:rsidR="00976487" w:rsidRPr="00687DE8" w:rsidRDefault="0066592B" w:rsidP="00B628F5">
            <w:pPr>
              <w:pStyle w:val="Normaallaadveeb"/>
              <w:tabs>
                <w:tab w:val="decimal" w:pos="635"/>
              </w:tabs>
              <w:spacing w:before="0" w:after="0" w:afterAutospacing="0"/>
              <w:jc w:val="center"/>
            </w:pPr>
            <w:r>
              <w:rPr>
                <w:color w:val="000000"/>
              </w:rPr>
              <w:t>163,23</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E47909" w14:textId="77777777" w:rsidR="00976487" w:rsidRPr="00687DE8" w:rsidRDefault="00976487" w:rsidP="00B628F5">
            <w:pPr>
              <w:pStyle w:val="Normaallaadveeb"/>
              <w:tabs>
                <w:tab w:val="decimal" w:pos="635"/>
              </w:tabs>
              <w:spacing w:before="0" w:after="0" w:afterAutospacing="0"/>
              <w:jc w:val="center"/>
            </w:pPr>
          </w:p>
          <w:p w14:paraId="0E042ACF"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EB0730" w14:textId="77777777" w:rsidR="00976487" w:rsidRPr="00687DE8" w:rsidRDefault="00976487" w:rsidP="00B628F5">
            <w:pPr>
              <w:pStyle w:val="Normaallaadveeb"/>
              <w:tabs>
                <w:tab w:val="decimal" w:pos="635"/>
              </w:tabs>
              <w:spacing w:before="0" w:after="0" w:afterAutospacing="0"/>
              <w:jc w:val="center"/>
            </w:pPr>
          </w:p>
          <w:p w14:paraId="637F9AEC"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155E7C37"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FA9AD7" w14:textId="77777777" w:rsidR="00976487" w:rsidRPr="00687DE8" w:rsidRDefault="00976487" w:rsidP="00B628F5">
            <w:pPr>
              <w:pStyle w:val="Normaallaadveeb"/>
              <w:spacing w:before="0" w:after="0" w:afterAutospacing="0"/>
            </w:pPr>
            <w:r w:rsidRPr="00687DE8">
              <w:t>Subkutaanne allergeenspetsiifiline immuunravi putukamürgi allergeeni ekstraktiga, üks manustamiskord</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130F8E" w14:textId="77777777" w:rsidR="00976487" w:rsidRPr="00687DE8" w:rsidRDefault="00976487" w:rsidP="00B628F5">
            <w:pPr>
              <w:pStyle w:val="Normaallaadveeb"/>
              <w:spacing w:before="0" w:after="0" w:afterAutospacing="0"/>
              <w:jc w:val="center"/>
            </w:pPr>
          </w:p>
          <w:p w14:paraId="6048B88A" w14:textId="77777777" w:rsidR="00976487" w:rsidRPr="00687DE8" w:rsidRDefault="00976487" w:rsidP="00B628F5">
            <w:pPr>
              <w:pStyle w:val="Normaallaadveeb"/>
              <w:spacing w:before="0" w:after="0" w:afterAutospacing="0"/>
              <w:jc w:val="center"/>
            </w:pPr>
          </w:p>
          <w:p w14:paraId="60DC6D02" w14:textId="77777777" w:rsidR="00976487" w:rsidRPr="00687DE8" w:rsidRDefault="00976487" w:rsidP="00B628F5">
            <w:pPr>
              <w:pStyle w:val="Normaallaadveeb"/>
              <w:spacing w:before="0" w:after="0" w:afterAutospacing="0"/>
              <w:jc w:val="center"/>
            </w:pPr>
            <w:r w:rsidRPr="00687DE8">
              <w:t>207R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98F26BF" w14:textId="24395D16" w:rsidR="00976487" w:rsidRPr="00687DE8" w:rsidRDefault="0066592B" w:rsidP="00B628F5">
            <w:pPr>
              <w:pStyle w:val="Normaallaadveeb"/>
              <w:tabs>
                <w:tab w:val="decimal" w:pos="635"/>
              </w:tabs>
              <w:spacing w:before="0" w:after="0" w:afterAutospacing="0"/>
              <w:jc w:val="center"/>
            </w:pPr>
            <w:r>
              <w:rPr>
                <w:color w:val="000000"/>
              </w:rPr>
              <w:t>36,70</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CE5130" w14:textId="77777777" w:rsidR="00976487" w:rsidRPr="00687DE8" w:rsidRDefault="00976487" w:rsidP="00B628F5">
            <w:pPr>
              <w:pStyle w:val="Normaallaadveeb"/>
              <w:tabs>
                <w:tab w:val="decimal" w:pos="635"/>
              </w:tabs>
              <w:spacing w:before="0" w:after="0" w:afterAutospacing="0"/>
              <w:jc w:val="center"/>
            </w:pPr>
          </w:p>
          <w:p w14:paraId="0D0D6313" w14:textId="77777777" w:rsidR="00976487" w:rsidRPr="00687DE8" w:rsidRDefault="00976487" w:rsidP="00B628F5">
            <w:pPr>
              <w:pStyle w:val="Normaallaadveeb"/>
              <w:tabs>
                <w:tab w:val="decimal" w:pos="635"/>
              </w:tabs>
              <w:spacing w:before="0" w:after="0" w:afterAutospacing="0"/>
              <w:jc w:val="center"/>
            </w:pPr>
          </w:p>
          <w:p w14:paraId="559E9210"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565890" w14:textId="77777777" w:rsidR="00976487" w:rsidRPr="00687DE8" w:rsidRDefault="00976487" w:rsidP="00B628F5">
            <w:pPr>
              <w:pStyle w:val="Normaallaadveeb"/>
              <w:tabs>
                <w:tab w:val="decimal" w:pos="635"/>
              </w:tabs>
              <w:spacing w:before="0" w:after="0" w:afterAutospacing="0"/>
              <w:jc w:val="center"/>
            </w:pPr>
          </w:p>
          <w:p w14:paraId="6E90639A" w14:textId="77777777" w:rsidR="00976487" w:rsidRPr="00687DE8" w:rsidRDefault="00976487" w:rsidP="00B628F5">
            <w:pPr>
              <w:pStyle w:val="Normaallaadveeb"/>
              <w:tabs>
                <w:tab w:val="decimal" w:pos="635"/>
              </w:tabs>
              <w:spacing w:before="0" w:after="0" w:afterAutospacing="0"/>
              <w:jc w:val="center"/>
            </w:pPr>
          </w:p>
          <w:p w14:paraId="3449FC3D"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0450A452"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D00B77" w14:textId="77777777" w:rsidR="00976487" w:rsidRPr="00687DE8" w:rsidRDefault="00976487" w:rsidP="00B628F5">
            <w:pPr>
              <w:pStyle w:val="Normaallaadveeb"/>
              <w:spacing w:before="0" w:after="0" w:afterAutospacing="0"/>
            </w:pPr>
            <w:r w:rsidRPr="00687DE8">
              <w:t>Subkutaanne allergeenspetsiifiline immuunravi muude allergeenide ekstraktiga, üks manustamiskord</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54CAFF" w14:textId="77777777" w:rsidR="00976487" w:rsidRPr="00687DE8" w:rsidRDefault="00976487" w:rsidP="00B628F5">
            <w:pPr>
              <w:pStyle w:val="Normaallaadveeb"/>
              <w:spacing w:before="0" w:after="0" w:afterAutospacing="0"/>
              <w:jc w:val="center"/>
            </w:pPr>
          </w:p>
          <w:p w14:paraId="7BFC484A" w14:textId="77777777" w:rsidR="00976487" w:rsidRPr="00687DE8" w:rsidRDefault="00976487" w:rsidP="00B628F5">
            <w:pPr>
              <w:pStyle w:val="Normaallaadveeb"/>
              <w:spacing w:before="0" w:after="0" w:afterAutospacing="0"/>
              <w:jc w:val="center"/>
            </w:pPr>
          </w:p>
          <w:p w14:paraId="186E2CCE" w14:textId="77777777" w:rsidR="00976487" w:rsidRPr="00687DE8" w:rsidRDefault="00976487" w:rsidP="00B628F5">
            <w:pPr>
              <w:pStyle w:val="Normaallaadveeb"/>
              <w:spacing w:before="0" w:after="0" w:afterAutospacing="0"/>
              <w:jc w:val="center"/>
            </w:pPr>
            <w:r w:rsidRPr="00687DE8">
              <w:t>208R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2499F72" w14:textId="7539109D" w:rsidR="00976487" w:rsidRPr="00687DE8" w:rsidRDefault="0066592B" w:rsidP="00B628F5">
            <w:pPr>
              <w:pStyle w:val="Normaallaadveeb"/>
              <w:tabs>
                <w:tab w:val="decimal" w:pos="635"/>
              </w:tabs>
              <w:spacing w:before="0" w:after="0" w:afterAutospacing="0"/>
              <w:jc w:val="center"/>
              <w:rPr>
                <w:color w:val="000000" w:themeColor="text1"/>
              </w:rPr>
            </w:pPr>
            <w:r>
              <w:rPr>
                <w:color w:val="000000"/>
              </w:rPr>
              <w:t>27,79</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E62E9C"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971347" w14:textId="77777777" w:rsidR="00976487" w:rsidRPr="00687DE8" w:rsidRDefault="00976487" w:rsidP="00B628F5">
            <w:pPr>
              <w:pStyle w:val="Normaallaadveeb"/>
              <w:tabs>
                <w:tab w:val="decimal" w:pos="635"/>
              </w:tabs>
              <w:spacing w:before="0" w:after="0" w:afterAutospacing="0"/>
              <w:jc w:val="center"/>
            </w:pPr>
          </w:p>
          <w:p w14:paraId="7BCB6740" w14:textId="77777777" w:rsidR="00976487" w:rsidRPr="00687DE8" w:rsidRDefault="00976487" w:rsidP="00B628F5">
            <w:pPr>
              <w:pStyle w:val="Normaallaadveeb"/>
              <w:tabs>
                <w:tab w:val="decimal" w:pos="635"/>
              </w:tabs>
              <w:spacing w:before="0" w:after="0" w:afterAutospacing="0"/>
              <w:jc w:val="center"/>
            </w:pPr>
          </w:p>
          <w:p w14:paraId="454507FF"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338F44C8"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BC99BC" w14:textId="77777777" w:rsidR="00976487" w:rsidRPr="00687DE8" w:rsidRDefault="00976487" w:rsidP="00B628F5">
            <w:pPr>
              <w:pStyle w:val="Normaallaadveeb"/>
              <w:spacing w:before="0" w:after="0" w:afterAutospacing="0"/>
            </w:pPr>
            <w:r w:rsidRPr="00687DE8">
              <w:t>Akromegaalia ravi kasvuhormooni antagonistiga, 1 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6280C2" w14:textId="77777777" w:rsidR="00976487" w:rsidRPr="00687DE8" w:rsidRDefault="00976487" w:rsidP="00B628F5">
            <w:pPr>
              <w:pStyle w:val="Normaallaadveeb"/>
              <w:spacing w:before="0" w:after="0" w:afterAutospacing="0"/>
              <w:jc w:val="center"/>
            </w:pPr>
          </w:p>
          <w:p w14:paraId="47F28CE9" w14:textId="77777777" w:rsidR="00976487" w:rsidRPr="00687DE8" w:rsidRDefault="00976487" w:rsidP="00B628F5">
            <w:pPr>
              <w:pStyle w:val="Normaallaadveeb"/>
              <w:spacing w:before="0" w:after="0" w:afterAutospacing="0"/>
              <w:jc w:val="center"/>
            </w:pPr>
            <w:r w:rsidRPr="00687DE8">
              <w:t>204R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3E13A8" w14:textId="7C4504E0" w:rsidR="00976487" w:rsidRPr="00687DE8" w:rsidRDefault="0066592B" w:rsidP="00B628F5">
            <w:pPr>
              <w:pStyle w:val="Normaallaadveeb"/>
              <w:tabs>
                <w:tab w:val="decimal" w:pos="635"/>
              </w:tabs>
              <w:spacing w:before="0" w:after="0" w:afterAutospacing="0"/>
              <w:jc w:val="center"/>
            </w:pPr>
            <w:r>
              <w:rPr>
                <w:color w:val="000000"/>
              </w:rPr>
              <w:t>5,78</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84BD2B" w14:textId="77777777" w:rsidR="00976487" w:rsidRPr="00687DE8" w:rsidRDefault="00976487" w:rsidP="00B628F5">
            <w:pPr>
              <w:pStyle w:val="Normaallaadveeb"/>
              <w:tabs>
                <w:tab w:val="decimal" w:pos="635"/>
              </w:tabs>
              <w:spacing w:before="0" w:after="0" w:afterAutospacing="0"/>
              <w:jc w:val="center"/>
            </w:pPr>
          </w:p>
          <w:p w14:paraId="7B59E9BE"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691708" w14:textId="77777777" w:rsidR="00976487" w:rsidRPr="00687DE8" w:rsidRDefault="00976487" w:rsidP="00B628F5">
            <w:pPr>
              <w:pStyle w:val="Normaallaadveeb"/>
              <w:tabs>
                <w:tab w:val="decimal" w:pos="635"/>
              </w:tabs>
              <w:spacing w:before="0" w:after="0" w:afterAutospacing="0"/>
              <w:jc w:val="center"/>
            </w:pPr>
          </w:p>
          <w:p w14:paraId="31A5753C"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725021C4"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4E7929" w14:textId="77777777" w:rsidR="00976487" w:rsidRPr="00687DE8" w:rsidRDefault="00976487" w:rsidP="00B628F5">
            <w:pPr>
              <w:pStyle w:val="Normaallaadveeb"/>
              <w:spacing w:before="0" w:after="0" w:afterAutospacing="0"/>
            </w:pPr>
            <w:r w:rsidRPr="00687DE8">
              <w:t xml:space="preserve">Ravi süstitava tüüpilise antipsühhootikumi depoovormiga, </w:t>
            </w:r>
            <w:r w:rsidR="00496D77" w:rsidRPr="00687DE8">
              <w:t>nelja</w:t>
            </w:r>
            <w:r w:rsidRPr="00687DE8">
              <w:t>nädalane ravikuur</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8ADED4" w14:textId="77777777" w:rsidR="00976487" w:rsidRPr="00687DE8" w:rsidRDefault="00976487" w:rsidP="00B628F5">
            <w:pPr>
              <w:pStyle w:val="Normaallaadveeb"/>
              <w:spacing w:before="0" w:after="0" w:afterAutospacing="0"/>
              <w:jc w:val="center"/>
            </w:pPr>
          </w:p>
          <w:p w14:paraId="1D93490E" w14:textId="77777777" w:rsidR="00F00E8A" w:rsidRPr="00687DE8" w:rsidRDefault="00F00E8A" w:rsidP="00B628F5">
            <w:pPr>
              <w:pStyle w:val="Normaallaadveeb"/>
              <w:spacing w:before="0" w:after="0" w:afterAutospacing="0"/>
              <w:jc w:val="center"/>
            </w:pPr>
          </w:p>
          <w:p w14:paraId="36664FFD" w14:textId="77777777" w:rsidR="00976487" w:rsidRPr="00687DE8" w:rsidRDefault="00976487" w:rsidP="00B628F5">
            <w:pPr>
              <w:pStyle w:val="Normaallaadveeb"/>
              <w:spacing w:before="0" w:after="0" w:afterAutospacing="0"/>
              <w:jc w:val="center"/>
            </w:pPr>
            <w:r w:rsidRPr="00687DE8">
              <w:t>219R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52BF28" w14:textId="7ED8F7B6" w:rsidR="00976487" w:rsidRPr="00687DE8" w:rsidRDefault="0066592B" w:rsidP="00B628F5">
            <w:pPr>
              <w:pStyle w:val="Normaallaadveeb"/>
              <w:tabs>
                <w:tab w:val="decimal" w:pos="635"/>
              </w:tabs>
              <w:spacing w:before="0" w:after="0" w:afterAutospacing="0"/>
              <w:jc w:val="center"/>
            </w:pPr>
            <w:r>
              <w:rPr>
                <w:color w:val="000000"/>
              </w:rPr>
              <w:t>24,52</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7C2A83" w14:textId="77777777" w:rsidR="00976487" w:rsidRPr="00687DE8" w:rsidRDefault="00976487" w:rsidP="00B628F5">
            <w:pPr>
              <w:pStyle w:val="Normaallaadveeb"/>
              <w:tabs>
                <w:tab w:val="decimal" w:pos="635"/>
              </w:tabs>
              <w:spacing w:before="0" w:after="0" w:afterAutospacing="0"/>
              <w:jc w:val="center"/>
            </w:pPr>
          </w:p>
          <w:p w14:paraId="6D77BA48" w14:textId="77777777" w:rsidR="00F00E8A" w:rsidRPr="00687DE8" w:rsidRDefault="00F00E8A" w:rsidP="00B628F5">
            <w:pPr>
              <w:pStyle w:val="Normaallaadveeb"/>
              <w:tabs>
                <w:tab w:val="decimal" w:pos="635"/>
              </w:tabs>
              <w:spacing w:before="0" w:after="0" w:afterAutospacing="0"/>
              <w:jc w:val="center"/>
            </w:pPr>
          </w:p>
          <w:p w14:paraId="25323C11"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371ED6" w14:textId="77777777" w:rsidR="00976487" w:rsidRPr="00687DE8" w:rsidRDefault="00976487" w:rsidP="00B628F5">
            <w:pPr>
              <w:pStyle w:val="Normaallaadveeb"/>
              <w:tabs>
                <w:tab w:val="decimal" w:pos="635"/>
              </w:tabs>
              <w:spacing w:before="0" w:after="0" w:afterAutospacing="0"/>
              <w:jc w:val="center"/>
            </w:pPr>
          </w:p>
          <w:p w14:paraId="44A6B63C" w14:textId="77777777" w:rsidR="00F00E8A" w:rsidRPr="00687DE8" w:rsidRDefault="00F00E8A" w:rsidP="00B628F5">
            <w:pPr>
              <w:pStyle w:val="Normaallaadveeb"/>
              <w:tabs>
                <w:tab w:val="decimal" w:pos="635"/>
              </w:tabs>
              <w:spacing w:before="0" w:after="0" w:afterAutospacing="0"/>
              <w:jc w:val="center"/>
            </w:pPr>
          </w:p>
          <w:p w14:paraId="4AA9E201"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0DC75E3E"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2C6181" w14:textId="77777777" w:rsidR="00976487" w:rsidRPr="00687DE8" w:rsidRDefault="00976487" w:rsidP="00B628F5">
            <w:pPr>
              <w:pStyle w:val="Normaallaadveeb"/>
              <w:spacing w:before="0" w:after="0" w:afterAutospacing="0"/>
            </w:pPr>
            <w:r w:rsidRPr="00687DE8">
              <w:t>Ravi levosimendaaniga, 12,5 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A54ABC" w14:textId="77777777" w:rsidR="00976487" w:rsidRPr="00687DE8" w:rsidRDefault="00976487" w:rsidP="00B628F5">
            <w:pPr>
              <w:pStyle w:val="Normaallaadveeb"/>
              <w:spacing w:before="0" w:after="0" w:afterAutospacing="0"/>
              <w:jc w:val="center"/>
            </w:pPr>
            <w:r w:rsidRPr="00687DE8">
              <w:t>220R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30E2F6" w14:textId="64A40883" w:rsidR="00976487" w:rsidRPr="00687DE8" w:rsidRDefault="0066592B" w:rsidP="00B628F5">
            <w:pPr>
              <w:pStyle w:val="Normaallaadveeb"/>
              <w:tabs>
                <w:tab w:val="decimal" w:pos="635"/>
              </w:tabs>
              <w:spacing w:before="0" w:after="0" w:afterAutospacing="0"/>
              <w:jc w:val="center"/>
            </w:pPr>
            <w:r>
              <w:rPr>
                <w:color w:val="000000"/>
              </w:rPr>
              <w:t>160,99</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80014F"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BF1CFA"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70BE5506"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772593" w14:textId="77777777" w:rsidR="00976487" w:rsidRPr="00687DE8" w:rsidRDefault="00976487" w:rsidP="00B628F5">
            <w:pPr>
              <w:pStyle w:val="Normaallaadveeb"/>
              <w:spacing w:before="0" w:after="0" w:afterAutospacing="0"/>
            </w:pPr>
            <w:r w:rsidRPr="00687DE8">
              <w:t xml:space="preserve">Akromegaalia hormoonravi 2. põlvkonna pikatoimelise somatostatiini analoogiga, </w:t>
            </w:r>
            <w:r w:rsidR="00BB15C2" w:rsidRPr="00687DE8">
              <w:t>nelja</w:t>
            </w:r>
            <w:r w:rsidRPr="00687DE8">
              <w:t>nädalane ravikuur</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9E942F4" w14:textId="77777777" w:rsidR="00976487" w:rsidRPr="00687DE8" w:rsidRDefault="00976487" w:rsidP="00B628F5">
            <w:pPr>
              <w:pStyle w:val="Normaallaadveeb"/>
              <w:spacing w:before="0" w:after="0" w:afterAutospacing="0"/>
              <w:jc w:val="center"/>
            </w:pPr>
          </w:p>
          <w:p w14:paraId="64BA8093" w14:textId="77777777" w:rsidR="00976487" w:rsidRPr="00687DE8" w:rsidRDefault="00976487" w:rsidP="00B628F5">
            <w:pPr>
              <w:pStyle w:val="Normaallaadveeb"/>
              <w:spacing w:before="0" w:after="0" w:afterAutospacing="0"/>
              <w:jc w:val="center"/>
            </w:pPr>
          </w:p>
          <w:p w14:paraId="61E383DB" w14:textId="77777777" w:rsidR="00976487" w:rsidRPr="00687DE8" w:rsidRDefault="00976487" w:rsidP="00B628F5">
            <w:pPr>
              <w:pStyle w:val="Normaallaadveeb"/>
              <w:spacing w:before="0" w:after="0" w:afterAutospacing="0"/>
              <w:jc w:val="center"/>
            </w:pPr>
            <w:r w:rsidRPr="00687DE8">
              <w:t>399R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5694F90" w14:textId="03E76C20" w:rsidR="00976487" w:rsidRPr="00687DE8" w:rsidRDefault="0066592B" w:rsidP="00B628F5">
            <w:pPr>
              <w:pStyle w:val="Normaallaadveeb"/>
              <w:tabs>
                <w:tab w:val="decimal" w:pos="635"/>
              </w:tabs>
              <w:spacing w:before="0" w:after="0" w:afterAutospacing="0"/>
              <w:jc w:val="center"/>
            </w:pPr>
            <w:r>
              <w:rPr>
                <w:color w:val="000000"/>
              </w:rPr>
              <w:t>2 745,62</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1E30AA" w14:textId="77777777" w:rsidR="00976487" w:rsidRPr="00687DE8" w:rsidRDefault="00976487" w:rsidP="00B628F5">
            <w:pPr>
              <w:pStyle w:val="Normaallaadveeb"/>
              <w:tabs>
                <w:tab w:val="decimal" w:pos="635"/>
              </w:tabs>
              <w:spacing w:before="0" w:after="0" w:afterAutospacing="0"/>
              <w:jc w:val="center"/>
            </w:pPr>
          </w:p>
          <w:p w14:paraId="653DAC11" w14:textId="77777777" w:rsidR="00976487" w:rsidRPr="00687DE8" w:rsidRDefault="00976487" w:rsidP="00B628F5">
            <w:pPr>
              <w:pStyle w:val="Normaallaadveeb"/>
              <w:tabs>
                <w:tab w:val="decimal" w:pos="635"/>
              </w:tabs>
              <w:spacing w:before="0" w:after="0" w:afterAutospacing="0"/>
              <w:jc w:val="center"/>
            </w:pPr>
          </w:p>
          <w:p w14:paraId="09FEFEDE"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843356" w14:textId="77777777" w:rsidR="00976487" w:rsidRPr="00687DE8" w:rsidRDefault="00976487" w:rsidP="00B628F5">
            <w:pPr>
              <w:pStyle w:val="Normaallaadveeb"/>
              <w:tabs>
                <w:tab w:val="decimal" w:pos="635"/>
              </w:tabs>
              <w:spacing w:before="0" w:after="0" w:afterAutospacing="0"/>
              <w:jc w:val="center"/>
            </w:pPr>
          </w:p>
          <w:p w14:paraId="68B235EB" w14:textId="77777777" w:rsidR="00976487" w:rsidRPr="00687DE8" w:rsidRDefault="00976487" w:rsidP="00B628F5">
            <w:pPr>
              <w:pStyle w:val="Normaallaadveeb"/>
              <w:tabs>
                <w:tab w:val="decimal" w:pos="635"/>
              </w:tabs>
              <w:spacing w:before="0" w:after="0" w:afterAutospacing="0"/>
              <w:jc w:val="center"/>
            </w:pPr>
          </w:p>
          <w:p w14:paraId="17CB63BF"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73B9E1B4"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D0C1B0" w14:textId="2CE94FDA" w:rsidR="00976487" w:rsidRPr="00687DE8" w:rsidRDefault="00976487" w:rsidP="00B628F5">
            <w:pPr>
              <w:pStyle w:val="Normaallaadveeb"/>
              <w:spacing w:before="0" w:after="0" w:afterAutospacing="0"/>
            </w:pPr>
            <w:r w:rsidRPr="00687DE8">
              <w:t xml:space="preserve">Kofeiinravi enneaegsele vastsündinule, </w:t>
            </w:r>
            <w:r w:rsidR="1E4F13BA">
              <w:t>1 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A3562D" w14:textId="77777777" w:rsidR="00976487" w:rsidRPr="00687DE8" w:rsidRDefault="00976487" w:rsidP="00B628F5">
            <w:pPr>
              <w:pStyle w:val="Normaallaadveeb"/>
              <w:spacing w:before="0" w:after="0" w:afterAutospacing="0"/>
              <w:jc w:val="center"/>
            </w:pPr>
          </w:p>
          <w:p w14:paraId="5C2DE2FF" w14:textId="77777777" w:rsidR="00976487" w:rsidRPr="00687DE8" w:rsidRDefault="00976487" w:rsidP="00B628F5">
            <w:pPr>
              <w:pStyle w:val="Normaallaadveeb"/>
              <w:spacing w:before="0" w:after="0" w:afterAutospacing="0"/>
              <w:jc w:val="center"/>
            </w:pPr>
            <w:r w:rsidRPr="00687DE8">
              <w:t>243R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3D1A39A" w14:textId="602BB5A1" w:rsidR="00976487" w:rsidRPr="00687DE8" w:rsidRDefault="0066592B" w:rsidP="00B628F5">
            <w:pPr>
              <w:pStyle w:val="Normaallaadveeb"/>
              <w:tabs>
                <w:tab w:val="decimal" w:pos="635"/>
              </w:tabs>
              <w:spacing w:before="0" w:after="0" w:afterAutospacing="0"/>
              <w:jc w:val="center"/>
            </w:pPr>
            <w:r>
              <w:rPr>
                <w:color w:val="000000"/>
              </w:rPr>
              <w:t>0,99</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7E50FE" w14:textId="77777777" w:rsidR="00976487" w:rsidRPr="00687DE8" w:rsidRDefault="00976487" w:rsidP="00B628F5">
            <w:pPr>
              <w:pStyle w:val="Normaallaadveeb"/>
              <w:tabs>
                <w:tab w:val="decimal" w:pos="635"/>
              </w:tabs>
              <w:spacing w:before="0" w:after="0" w:afterAutospacing="0"/>
              <w:jc w:val="center"/>
            </w:pPr>
          </w:p>
          <w:p w14:paraId="24F5F877"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49BF0E" w14:textId="77777777" w:rsidR="00976487" w:rsidRPr="00687DE8" w:rsidRDefault="00976487" w:rsidP="00B628F5">
            <w:pPr>
              <w:pStyle w:val="Normaallaadveeb"/>
              <w:tabs>
                <w:tab w:val="decimal" w:pos="635"/>
              </w:tabs>
              <w:spacing w:before="0" w:after="0" w:afterAutospacing="0"/>
              <w:jc w:val="center"/>
            </w:pPr>
          </w:p>
          <w:p w14:paraId="27333D0D"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2A6A9D1B"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14A942" w14:textId="77777777" w:rsidR="00976487" w:rsidRPr="00687DE8" w:rsidRDefault="00976487" w:rsidP="00B628F5">
            <w:pPr>
              <w:pStyle w:val="Normaallaadveeb"/>
              <w:spacing w:before="0" w:after="0" w:afterAutospacing="0"/>
            </w:pPr>
            <w:r w:rsidRPr="00687DE8">
              <w:t>Medikamentoosne abort (meditsiinilisel näidustusel)</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AE0DFC" w14:textId="77777777" w:rsidR="00976487" w:rsidRPr="00687DE8" w:rsidRDefault="00976487" w:rsidP="00B628F5">
            <w:pPr>
              <w:pStyle w:val="Normaallaadveeb"/>
              <w:spacing w:before="0" w:after="0" w:afterAutospacing="0"/>
              <w:jc w:val="center"/>
            </w:pPr>
          </w:p>
          <w:p w14:paraId="1C5B618D" w14:textId="77777777" w:rsidR="00976487" w:rsidRPr="00687DE8" w:rsidRDefault="00976487" w:rsidP="00B628F5">
            <w:pPr>
              <w:pStyle w:val="Normaallaadveeb"/>
              <w:spacing w:before="0" w:after="0" w:afterAutospacing="0"/>
              <w:jc w:val="center"/>
            </w:pPr>
            <w:r w:rsidRPr="00687DE8">
              <w:t>245R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A2B1951" w14:textId="07E3CF90" w:rsidR="00976487" w:rsidRPr="00687DE8" w:rsidRDefault="0066592B" w:rsidP="00B628F5">
            <w:pPr>
              <w:pStyle w:val="Normaallaadveeb"/>
              <w:tabs>
                <w:tab w:val="decimal" w:pos="635"/>
              </w:tabs>
              <w:spacing w:before="0" w:after="0" w:afterAutospacing="0"/>
              <w:jc w:val="center"/>
            </w:pPr>
            <w:r>
              <w:rPr>
                <w:color w:val="000000"/>
              </w:rPr>
              <w:t>48,58</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76F1E6" w14:textId="77777777" w:rsidR="00976487" w:rsidRPr="00687DE8" w:rsidRDefault="00976487" w:rsidP="00B628F5">
            <w:pPr>
              <w:pStyle w:val="Normaallaadveeb"/>
              <w:tabs>
                <w:tab w:val="decimal" w:pos="635"/>
              </w:tabs>
              <w:spacing w:before="0" w:after="0" w:afterAutospacing="0"/>
              <w:jc w:val="center"/>
            </w:pPr>
          </w:p>
          <w:p w14:paraId="282AC43F"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B76781" w14:textId="77777777" w:rsidR="00976487" w:rsidRPr="00687DE8" w:rsidRDefault="00976487" w:rsidP="00B628F5">
            <w:pPr>
              <w:pStyle w:val="Normaallaadveeb"/>
              <w:tabs>
                <w:tab w:val="decimal" w:pos="635"/>
              </w:tabs>
              <w:spacing w:before="0" w:after="0" w:afterAutospacing="0"/>
              <w:jc w:val="center"/>
            </w:pPr>
          </w:p>
          <w:p w14:paraId="160A7657"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37568178"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19E2CF" w14:textId="77777777" w:rsidR="00976487" w:rsidRPr="00687DE8" w:rsidRDefault="00976487" w:rsidP="00B628F5">
            <w:pPr>
              <w:pStyle w:val="Normaallaadveeb"/>
              <w:spacing w:before="0" w:after="0" w:afterAutospacing="0"/>
            </w:pPr>
            <w:r w:rsidRPr="00687DE8">
              <w:t>Medikamentoosne abort (omal soovil)</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1EFC6A" w14:textId="77777777" w:rsidR="00976487" w:rsidRPr="00687DE8" w:rsidRDefault="00976487" w:rsidP="00B628F5">
            <w:pPr>
              <w:pStyle w:val="Normaallaadveeb"/>
              <w:spacing w:before="0" w:after="0" w:afterAutospacing="0"/>
              <w:jc w:val="center"/>
            </w:pPr>
            <w:r w:rsidRPr="00687DE8">
              <w:t>246R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C6207D" w14:textId="499E7445" w:rsidR="00976487" w:rsidRPr="00687DE8" w:rsidRDefault="0066592B" w:rsidP="00B628F5">
            <w:pPr>
              <w:pStyle w:val="Normaallaadveeb"/>
              <w:tabs>
                <w:tab w:val="decimal" w:pos="635"/>
              </w:tabs>
              <w:spacing w:before="0" w:after="0" w:afterAutospacing="0"/>
              <w:jc w:val="center"/>
            </w:pPr>
            <w:r>
              <w:rPr>
                <w:color w:val="000000"/>
              </w:rPr>
              <w:t>48,58</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D914CE" w14:textId="77777777" w:rsidR="00976487" w:rsidRPr="00687DE8" w:rsidRDefault="00976487" w:rsidP="00B628F5">
            <w:pPr>
              <w:pStyle w:val="Normaallaadveeb"/>
              <w:tabs>
                <w:tab w:val="decimal" w:pos="635"/>
              </w:tabs>
              <w:spacing w:before="0" w:after="0" w:afterAutospacing="0"/>
              <w:jc w:val="center"/>
            </w:pPr>
            <w:r w:rsidRPr="00687DE8">
              <w:t>50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0001EB" w14:textId="77777777" w:rsidR="00976487" w:rsidRPr="00687DE8" w:rsidRDefault="00976487" w:rsidP="00B628F5">
            <w:pPr>
              <w:pStyle w:val="Normaallaadveeb"/>
              <w:tabs>
                <w:tab w:val="decimal" w:pos="635"/>
              </w:tabs>
              <w:spacing w:before="0" w:after="0" w:afterAutospacing="0"/>
              <w:jc w:val="center"/>
            </w:pPr>
            <w:r w:rsidRPr="00687DE8">
              <w:t>50</w:t>
            </w:r>
          </w:p>
        </w:tc>
      </w:tr>
      <w:tr w:rsidR="00976487" w:rsidRPr="00687DE8" w14:paraId="0C7F2E18"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B19E0E" w14:textId="77777777" w:rsidR="00976487" w:rsidRPr="00687DE8" w:rsidRDefault="00976487" w:rsidP="00B628F5">
            <w:pPr>
              <w:pStyle w:val="Normaallaadveeb"/>
              <w:spacing w:before="0" w:after="0" w:afterAutospacing="0"/>
            </w:pPr>
            <w:r w:rsidRPr="00687DE8">
              <w:t xml:space="preserve">Cushingi haiguse hormoonravi 2. põlvkonna pikatoimelise somatostatiini analoogiga, </w:t>
            </w:r>
            <w:r w:rsidR="00496D77" w:rsidRPr="00687DE8">
              <w:t>nelja</w:t>
            </w:r>
            <w:r w:rsidRPr="00687DE8">
              <w:t>nädalane ravikuur</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09412D" w14:textId="77777777" w:rsidR="00976487" w:rsidRPr="00687DE8" w:rsidRDefault="00976487" w:rsidP="00B628F5">
            <w:pPr>
              <w:pStyle w:val="Normaallaadveeb"/>
              <w:spacing w:before="0" w:after="0" w:afterAutospacing="0"/>
              <w:jc w:val="center"/>
            </w:pPr>
          </w:p>
          <w:p w14:paraId="1F1616C5" w14:textId="77777777" w:rsidR="00976487" w:rsidRPr="00687DE8" w:rsidRDefault="00976487" w:rsidP="00B628F5">
            <w:pPr>
              <w:pStyle w:val="Normaallaadveeb"/>
              <w:spacing w:before="0" w:after="0" w:afterAutospacing="0"/>
              <w:jc w:val="center"/>
            </w:pPr>
          </w:p>
          <w:p w14:paraId="2D74389E" w14:textId="77777777" w:rsidR="00976487" w:rsidRPr="00687DE8" w:rsidRDefault="00976487" w:rsidP="00B628F5">
            <w:pPr>
              <w:pStyle w:val="Normaallaadveeb"/>
              <w:spacing w:before="0" w:after="0" w:afterAutospacing="0"/>
              <w:jc w:val="center"/>
            </w:pPr>
            <w:r w:rsidRPr="00687DE8">
              <w:t>397R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BC67B13" w14:textId="5EDF544E" w:rsidR="00976487" w:rsidRPr="00687DE8" w:rsidRDefault="0066592B" w:rsidP="00B628F5">
            <w:pPr>
              <w:pStyle w:val="Normaallaadveeb"/>
              <w:tabs>
                <w:tab w:val="decimal" w:pos="635"/>
              </w:tabs>
              <w:spacing w:before="0" w:after="0" w:afterAutospacing="0"/>
              <w:jc w:val="center"/>
            </w:pPr>
            <w:r>
              <w:rPr>
                <w:color w:val="000000"/>
              </w:rPr>
              <w:t>2 745,62</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6C566D" w14:textId="77777777" w:rsidR="00976487" w:rsidRPr="00687DE8" w:rsidRDefault="00976487" w:rsidP="00B628F5">
            <w:pPr>
              <w:pStyle w:val="Normaallaadveeb"/>
              <w:tabs>
                <w:tab w:val="decimal" w:pos="635"/>
              </w:tabs>
              <w:spacing w:before="0" w:after="0" w:afterAutospacing="0"/>
              <w:jc w:val="center"/>
            </w:pPr>
          </w:p>
          <w:p w14:paraId="6F3C7B39" w14:textId="77777777" w:rsidR="00976487" w:rsidRPr="00687DE8" w:rsidRDefault="00976487" w:rsidP="00B628F5">
            <w:pPr>
              <w:pStyle w:val="Normaallaadveeb"/>
              <w:tabs>
                <w:tab w:val="decimal" w:pos="635"/>
              </w:tabs>
              <w:spacing w:before="0" w:after="0" w:afterAutospacing="0"/>
              <w:jc w:val="center"/>
            </w:pPr>
          </w:p>
          <w:p w14:paraId="7E501BA3"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4125A3" w14:textId="77777777" w:rsidR="00976487" w:rsidRPr="00687DE8" w:rsidRDefault="00976487" w:rsidP="00B628F5">
            <w:pPr>
              <w:pStyle w:val="Normaallaadveeb"/>
              <w:tabs>
                <w:tab w:val="decimal" w:pos="635"/>
              </w:tabs>
              <w:spacing w:before="0" w:after="0" w:afterAutospacing="0"/>
              <w:jc w:val="center"/>
            </w:pPr>
          </w:p>
          <w:p w14:paraId="784DCDEE" w14:textId="77777777" w:rsidR="00976487" w:rsidRPr="00687DE8" w:rsidRDefault="00976487" w:rsidP="00B628F5">
            <w:pPr>
              <w:pStyle w:val="Normaallaadveeb"/>
              <w:tabs>
                <w:tab w:val="decimal" w:pos="635"/>
              </w:tabs>
              <w:spacing w:before="0" w:after="0" w:afterAutospacing="0"/>
              <w:jc w:val="center"/>
            </w:pPr>
          </w:p>
          <w:p w14:paraId="5BE21CFE" w14:textId="77777777" w:rsidR="00976487" w:rsidRPr="00687DE8" w:rsidRDefault="00976487" w:rsidP="00B628F5">
            <w:pPr>
              <w:pStyle w:val="Normaallaadveeb"/>
              <w:tabs>
                <w:tab w:val="decimal" w:pos="635"/>
              </w:tabs>
              <w:spacing w:before="0" w:after="0" w:afterAutospacing="0"/>
              <w:jc w:val="center"/>
            </w:pPr>
            <w:r w:rsidRPr="00687DE8">
              <w:t>0</w:t>
            </w:r>
          </w:p>
        </w:tc>
      </w:tr>
      <w:tr w:rsidR="00976487" w:rsidRPr="00687DE8" w14:paraId="027E2CC0" w14:textId="77777777" w:rsidTr="0066592B">
        <w:trPr>
          <w:divId w:val="1316184749"/>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588DC5" w14:textId="77777777" w:rsidR="00976487" w:rsidRPr="00687DE8" w:rsidRDefault="00976487" w:rsidP="00B628F5">
            <w:pPr>
              <w:pStyle w:val="Normaallaadveeb"/>
              <w:spacing w:before="0" w:after="0" w:afterAutospacing="0"/>
            </w:pPr>
            <w:r w:rsidRPr="00687DE8">
              <w:t>Dabigatraani toime spetsiifiline blokeerimine idarutsizumabiga, 5 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4382E6" w14:textId="77777777" w:rsidR="00976487" w:rsidRPr="00687DE8" w:rsidRDefault="00976487" w:rsidP="00B628F5">
            <w:pPr>
              <w:pStyle w:val="Normaallaadveeb"/>
              <w:spacing w:before="0" w:after="0" w:afterAutospacing="0"/>
              <w:jc w:val="center"/>
            </w:pPr>
          </w:p>
          <w:p w14:paraId="3A01A492" w14:textId="77777777" w:rsidR="00976487" w:rsidRPr="00687DE8" w:rsidRDefault="00976487" w:rsidP="00B628F5">
            <w:pPr>
              <w:pStyle w:val="Normaallaadveeb"/>
              <w:spacing w:before="0" w:after="0" w:afterAutospacing="0"/>
              <w:jc w:val="center"/>
            </w:pPr>
            <w:r w:rsidRPr="00687DE8">
              <w:t>404R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ABD6B4F" w14:textId="38B21AFD" w:rsidR="00976487" w:rsidRPr="00687DE8" w:rsidRDefault="0066592B" w:rsidP="00B628F5">
            <w:pPr>
              <w:pStyle w:val="Normaallaadveeb"/>
              <w:tabs>
                <w:tab w:val="decimal" w:pos="635"/>
              </w:tabs>
              <w:spacing w:before="0" w:after="0" w:afterAutospacing="0"/>
              <w:jc w:val="center"/>
            </w:pPr>
            <w:r>
              <w:rPr>
                <w:color w:val="000000"/>
              </w:rPr>
              <w:t>2 725,44</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CA8ABF" w14:textId="77777777" w:rsidR="00976487" w:rsidRPr="00687DE8" w:rsidRDefault="00976487" w:rsidP="00B628F5">
            <w:pPr>
              <w:pStyle w:val="Normaallaadveeb"/>
              <w:tabs>
                <w:tab w:val="decimal" w:pos="635"/>
              </w:tabs>
              <w:spacing w:before="0" w:after="0" w:afterAutospacing="0"/>
              <w:jc w:val="center"/>
            </w:pPr>
          </w:p>
          <w:p w14:paraId="68397B14" w14:textId="77777777" w:rsidR="00976487" w:rsidRPr="00687DE8" w:rsidRDefault="0097648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33A93A" w14:textId="77777777" w:rsidR="00976487" w:rsidRPr="00687DE8" w:rsidRDefault="00976487" w:rsidP="00B628F5">
            <w:pPr>
              <w:pStyle w:val="Normaallaadveeb"/>
              <w:tabs>
                <w:tab w:val="decimal" w:pos="635"/>
              </w:tabs>
              <w:spacing w:before="0" w:after="0" w:afterAutospacing="0"/>
              <w:jc w:val="center"/>
            </w:pPr>
          </w:p>
          <w:p w14:paraId="58EFCC51" w14:textId="77777777" w:rsidR="00976487" w:rsidRPr="00687DE8" w:rsidRDefault="00976487" w:rsidP="00B628F5">
            <w:pPr>
              <w:pStyle w:val="Normaallaadveeb"/>
              <w:tabs>
                <w:tab w:val="decimal" w:pos="635"/>
              </w:tabs>
              <w:spacing w:before="0" w:after="0" w:afterAutospacing="0"/>
              <w:jc w:val="center"/>
            </w:pPr>
            <w:r w:rsidRPr="00687DE8">
              <w:t>0</w:t>
            </w:r>
          </w:p>
        </w:tc>
      </w:tr>
      <w:tr w:rsidR="00357C40" w:rsidRPr="00687DE8" w14:paraId="256CFD02" w14:textId="77777777" w:rsidTr="00EB7A71">
        <w:trPr>
          <w:divId w:val="1316184749"/>
          <w:trHeight w:val="383"/>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727338C" w14:textId="77777777" w:rsidR="00357C40" w:rsidRPr="00687DE8" w:rsidRDefault="00441CB8" w:rsidP="00B628F5">
            <w:pPr>
              <w:pStyle w:val="Normaallaadveeb"/>
              <w:spacing w:before="0" w:after="0" w:afterAutospacing="0"/>
            </w:pPr>
            <w:r w:rsidRPr="00687DE8">
              <w:lastRenderedPageBreak/>
              <w:t xml:space="preserve">Rituksimab </w:t>
            </w:r>
            <w:r w:rsidR="00312E04" w:rsidRPr="00687DE8">
              <w:t>i.v. 10 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5F16789" w14:textId="77777777" w:rsidR="00357C40" w:rsidRPr="00687DE8" w:rsidRDefault="00890FA4" w:rsidP="00B628F5">
            <w:pPr>
              <w:pStyle w:val="Normaallaadveeb"/>
              <w:spacing w:before="0" w:after="0" w:afterAutospacing="0"/>
              <w:jc w:val="center"/>
            </w:pPr>
            <w:r w:rsidRPr="00687DE8">
              <w:t>276R</w:t>
            </w:r>
          </w:p>
        </w:tc>
        <w:tc>
          <w:tcPr>
            <w:tcW w:w="21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1DDF43" w14:textId="6BB4A282" w:rsidR="00357C40" w:rsidRPr="00687DE8" w:rsidRDefault="00EF2EEA" w:rsidP="00B628F5">
            <w:pPr>
              <w:pStyle w:val="Normaallaadveeb"/>
              <w:tabs>
                <w:tab w:val="decimal" w:pos="635"/>
              </w:tabs>
              <w:spacing w:before="0" w:after="0" w:afterAutospacing="0"/>
              <w:jc w:val="center"/>
            </w:pPr>
            <w:r>
              <w:rPr>
                <w:color w:val="000000"/>
              </w:rPr>
              <w:t>2,57</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A0B0E25" w14:textId="77777777" w:rsidR="00357C40" w:rsidRPr="00687DE8" w:rsidRDefault="00312E04"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52A5E35" w14:textId="77777777" w:rsidR="00357C40" w:rsidRPr="00687DE8" w:rsidRDefault="00312E04" w:rsidP="00B628F5">
            <w:pPr>
              <w:pStyle w:val="Normaallaadveeb"/>
              <w:tabs>
                <w:tab w:val="decimal" w:pos="635"/>
              </w:tabs>
              <w:spacing w:before="0" w:after="0" w:afterAutospacing="0"/>
              <w:jc w:val="center"/>
            </w:pPr>
            <w:r w:rsidRPr="00687DE8">
              <w:t>0</w:t>
            </w:r>
          </w:p>
        </w:tc>
      </w:tr>
      <w:tr w:rsidR="00186C0E" w:rsidRPr="00687DE8" w14:paraId="18FBD60B" w14:textId="77777777" w:rsidTr="0066592B">
        <w:trPr>
          <w:divId w:val="1316184749"/>
          <w:trHeight w:val="383"/>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13302D3" w14:textId="77777777" w:rsidR="00700F7C" w:rsidRPr="00687DE8" w:rsidRDefault="00E11609" w:rsidP="00B628F5">
            <w:pPr>
              <w:pStyle w:val="Normaallaadveeb"/>
              <w:spacing w:before="0" w:after="0" w:afterAutospacing="0"/>
              <w:rPr>
                <w:color w:val="000000" w:themeColor="text1"/>
              </w:rPr>
            </w:pPr>
            <w:r w:rsidRPr="00687DE8">
              <w:rPr>
                <w:color w:val="000000" w:themeColor="text1"/>
              </w:rPr>
              <w:t xml:space="preserve">Remdesiviir </w:t>
            </w:r>
            <w:r w:rsidR="00D5394F" w:rsidRPr="00687DE8">
              <w:rPr>
                <w:color w:val="000000" w:themeColor="text1"/>
              </w:rPr>
              <w:t>i.v. 100 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D005554" w14:textId="77777777" w:rsidR="007A6FEC" w:rsidRPr="00687DE8" w:rsidRDefault="00E11609" w:rsidP="00B628F5">
            <w:pPr>
              <w:pStyle w:val="Normaallaadveeb"/>
              <w:spacing w:before="0" w:after="0" w:afterAutospacing="0"/>
              <w:jc w:val="center"/>
            </w:pPr>
            <w:r w:rsidRPr="00687DE8">
              <w:t>277R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0D68150" w14:textId="0BCB3D28" w:rsidR="002A1085" w:rsidRPr="00687DE8" w:rsidRDefault="00EF2EEA" w:rsidP="00B628F5">
            <w:pPr>
              <w:pStyle w:val="Normaallaadveeb"/>
              <w:tabs>
                <w:tab w:val="decimal" w:pos="635"/>
              </w:tabs>
              <w:spacing w:before="0" w:after="0" w:afterAutospacing="0"/>
              <w:jc w:val="center"/>
            </w:pPr>
            <w:r>
              <w:rPr>
                <w:color w:val="000000"/>
              </w:rPr>
              <w:t>383,02</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102B8F0A" w14:textId="77777777" w:rsidR="002A1085" w:rsidRPr="00687DE8" w:rsidRDefault="00D5394F"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21B3637" w14:textId="77777777" w:rsidR="002A1085" w:rsidRPr="00687DE8" w:rsidRDefault="00D5394F" w:rsidP="00B628F5">
            <w:pPr>
              <w:pStyle w:val="Normaallaadveeb"/>
              <w:tabs>
                <w:tab w:val="decimal" w:pos="635"/>
              </w:tabs>
              <w:spacing w:before="0" w:after="0" w:afterAutospacing="0"/>
              <w:jc w:val="center"/>
            </w:pPr>
            <w:r w:rsidRPr="00687DE8">
              <w:t>0</w:t>
            </w:r>
          </w:p>
        </w:tc>
      </w:tr>
      <w:tr w:rsidR="00186C0E" w:rsidRPr="00687DE8" w14:paraId="737D6F13" w14:textId="77777777" w:rsidTr="0066592B">
        <w:trPr>
          <w:divId w:val="1316184749"/>
          <w:trHeight w:val="383"/>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104F136E" w14:textId="77777777" w:rsidR="00186C0E" w:rsidRPr="00687DE8" w:rsidRDefault="00700F7C" w:rsidP="00B628F5">
            <w:pPr>
              <w:pStyle w:val="Normaallaadveeb"/>
              <w:spacing w:before="0" w:after="0" w:afterAutospacing="0"/>
              <w:rPr>
                <w:color w:val="000000" w:themeColor="text1"/>
              </w:rPr>
            </w:pPr>
            <w:r w:rsidRPr="00687DE8">
              <w:rPr>
                <w:color w:val="000000" w:themeColor="text1"/>
              </w:rPr>
              <w:t>Pneumokok</w:t>
            </w:r>
            <w:r w:rsidR="00D500C9" w:rsidRPr="00687DE8">
              <w:rPr>
                <w:color w:val="000000" w:themeColor="text1"/>
              </w:rPr>
              <w:t>i</w:t>
            </w:r>
            <w:r w:rsidRPr="00687DE8">
              <w:rPr>
                <w:color w:val="000000" w:themeColor="text1"/>
              </w:rPr>
              <w:t>vastane vaktsineerimine konjugeeritud polüsahhariidvaktsiin</w:t>
            </w:r>
            <w:r w:rsidR="00892760" w:rsidRPr="00687DE8">
              <w:rPr>
                <w:color w:val="000000" w:themeColor="text1"/>
              </w:rPr>
              <w:t>iga</w:t>
            </w:r>
            <w:r w:rsidRPr="00687DE8">
              <w:rPr>
                <w:color w:val="000000" w:themeColor="text1"/>
              </w:rPr>
              <w:t xml:space="preserve">, </w:t>
            </w:r>
            <w:r w:rsidR="001D43F9" w:rsidRPr="00687DE8">
              <w:rPr>
                <w:color w:val="000000" w:themeColor="text1"/>
              </w:rPr>
              <w:t>üks</w:t>
            </w:r>
            <w:r w:rsidRPr="00687DE8">
              <w:rPr>
                <w:color w:val="000000" w:themeColor="text1"/>
              </w:rPr>
              <w:t xml:space="preserve"> doos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44A9159D" w14:textId="77777777" w:rsidR="00186C0E" w:rsidRPr="00687DE8" w:rsidRDefault="007A6FEC" w:rsidP="00B628F5">
            <w:pPr>
              <w:pStyle w:val="Normaallaadveeb"/>
              <w:spacing w:before="0" w:after="0" w:afterAutospacing="0"/>
              <w:jc w:val="center"/>
            </w:pPr>
            <w:r w:rsidRPr="00687DE8">
              <w:t>278R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5AEF9C9" w14:textId="0EF5D89D" w:rsidR="00186C0E" w:rsidRPr="00687DE8" w:rsidRDefault="00EF2EEA" w:rsidP="00B628F5">
            <w:pPr>
              <w:pStyle w:val="Normaallaadveeb"/>
              <w:tabs>
                <w:tab w:val="decimal" w:pos="635"/>
              </w:tabs>
              <w:spacing w:before="0" w:after="0" w:afterAutospacing="0"/>
              <w:jc w:val="center"/>
            </w:pPr>
            <w:r>
              <w:rPr>
                <w:color w:val="000000"/>
              </w:rPr>
              <w:t>61,04</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44B14E04" w14:textId="77777777" w:rsidR="00186C0E" w:rsidRPr="00687DE8" w:rsidRDefault="002A1085"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10AB98E" w14:textId="77777777" w:rsidR="00186C0E" w:rsidRPr="00687DE8" w:rsidRDefault="002A1085" w:rsidP="00B628F5">
            <w:pPr>
              <w:pStyle w:val="Normaallaadveeb"/>
              <w:tabs>
                <w:tab w:val="decimal" w:pos="635"/>
              </w:tabs>
              <w:spacing w:before="0" w:after="0" w:afterAutospacing="0"/>
              <w:jc w:val="center"/>
            </w:pPr>
            <w:r w:rsidRPr="00687DE8">
              <w:t>0</w:t>
            </w:r>
          </w:p>
        </w:tc>
      </w:tr>
      <w:tr w:rsidR="00186C0E" w:rsidRPr="00687DE8" w14:paraId="4035D313" w14:textId="77777777" w:rsidTr="0066592B">
        <w:trPr>
          <w:divId w:val="1316184749"/>
          <w:trHeight w:val="383"/>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E1B1AB9" w14:textId="77777777" w:rsidR="00186C0E" w:rsidRPr="00687DE8" w:rsidRDefault="002A1085" w:rsidP="00B628F5">
            <w:pPr>
              <w:pStyle w:val="Normaallaadveeb"/>
              <w:spacing w:before="0" w:after="0" w:afterAutospacing="0"/>
              <w:rPr>
                <w:color w:val="000000" w:themeColor="text1"/>
              </w:rPr>
            </w:pPr>
            <w:r w:rsidRPr="00687DE8">
              <w:rPr>
                <w:color w:val="000000" w:themeColor="text1"/>
              </w:rPr>
              <w:t>Pneumoko</w:t>
            </w:r>
            <w:r w:rsidR="00025225" w:rsidRPr="00687DE8">
              <w:rPr>
                <w:color w:val="000000" w:themeColor="text1"/>
              </w:rPr>
              <w:t>ki</w:t>
            </w:r>
            <w:r w:rsidRPr="00687DE8">
              <w:rPr>
                <w:color w:val="000000" w:themeColor="text1"/>
              </w:rPr>
              <w:t xml:space="preserve">vastane revaktsineerimine polüsahhariidvaktsiiniga, </w:t>
            </w:r>
            <w:r w:rsidR="001D43F9" w:rsidRPr="00687DE8">
              <w:rPr>
                <w:color w:val="000000" w:themeColor="text1"/>
              </w:rPr>
              <w:t>üks</w:t>
            </w:r>
            <w:r w:rsidRPr="00687DE8">
              <w:rPr>
                <w:color w:val="000000" w:themeColor="text1"/>
              </w:rPr>
              <w:t xml:space="preserve"> doos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0DCF78F" w14:textId="77777777" w:rsidR="00186C0E" w:rsidRPr="00687DE8" w:rsidRDefault="007A6FEC" w:rsidP="00B628F5">
            <w:pPr>
              <w:pStyle w:val="Normaallaadveeb"/>
              <w:spacing w:before="0" w:after="0" w:afterAutospacing="0"/>
              <w:jc w:val="center"/>
            </w:pPr>
            <w:r w:rsidRPr="00687DE8">
              <w:t>279R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8120650" w14:textId="3F3EBEF1" w:rsidR="00186C0E" w:rsidRPr="00687DE8" w:rsidRDefault="00EF2EEA" w:rsidP="00B628F5">
            <w:pPr>
              <w:pStyle w:val="Normaallaadveeb"/>
              <w:tabs>
                <w:tab w:val="decimal" w:pos="635"/>
              </w:tabs>
              <w:spacing w:before="0" w:after="0" w:afterAutospacing="0"/>
              <w:jc w:val="center"/>
            </w:pPr>
            <w:r>
              <w:rPr>
                <w:color w:val="000000"/>
              </w:rPr>
              <w:t>25,22</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688EAFB" w14:textId="77777777" w:rsidR="00186C0E" w:rsidRPr="00687DE8" w:rsidRDefault="00896067"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4DAB5056" w14:textId="77777777" w:rsidR="00186C0E" w:rsidRPr="00687DE8" w:rsidRDefault="00896067" w:rsidP="00B628F5">
            <w:pPr>
              <w:pStyle w:val="Normaallaadveeb"/>
              <w:tabs>
                <w:tab w:val="decimal" w:pos="635"/>
              </w:tabs>
              <w:spacing w:before="0" w:after="0" w:afterAutospacing="0"/>
              <w:jc w:val="center"/>
            </w:pPr>
            <w:r w:rsidRPr="00687DE8">
              <w:t>0</w:t>
            </w:r>
          </w:p>
        </w:tc>
      </w:tr>
      <w:tr w:rsidR="00362FEE" w:rsidRPr="00687DE8" w14:paraId="6DC64A92" w14:textId="77777777" w:rsidTr="0066592B">
        <w:trPr>
          <w:divId w:val="1316184749"/>
          <w:trHeight w:val="383"/>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3E36B0A" w14:textId="27A5B032" w:rsidR="009D7760" w:rsidRPr="00687DE8" w:rsidRDefault="009D7760" w:rsidP="00B628F5">
            <w:pPr>
              <w:pStyle w:val="Normaallaadveeb"/>
              <w:spacing w:before="0" w:after="0" w:afterAutospacing="0"/>
              <w:rPr>
                <w:color w:val="000000" w:themeColor="text1"/>
              </w:rPr>
            </w:pPr>
            <w:r w:rsidRPr="00FB051A">
              <w:t>Pneumokokivastane vaktsineerimine 20-valentse konjugeeritud polüsahhariidvaktsiiniga, üks doos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68E51DF" w14:textId="1E588CD4" w:rsidR="009D7760" w:rsidRPr="00687DE8" w:rsidRDefault="009D7760" w:rsidP="00B628F5">
            <w:pPr>
              <w:pStyle w:val="Normaallaadveeb"/>
              <w:spacing w:before="0" w:after="0" w:afterAutospacing="0"/>
              <w:jc w:val="center"/>
            </w:pPr>
            <w:r>
              <w:t>427R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CE7BFCA" w14:textId="65300C26" w:rsidR="009D7760" w:rsidRPr="00687DE8" w:rsidRDefault="00EF2EEA" w:rsidP="00B628F5">
            <w:pPr>
              <w:pStyle w:val="Normaallaadveeb"/>
              <w:tabs>
                <w:tab w:val="decimal" w:pos="635"/>
              </w:tabs>
              <w:spacing w:before="0" w:after="0" w:afterAutospacing="0"/>
              <w:jc w:val="center"/>
            </w:pPr>
            <w:r>
              <w:rPr>
                <w:color w:val="000000"/>
              </w:rPr>
              <w:t>61,13</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1B571D0" w14:textId="1A89B7E4" w:rsidR="009D7760" w:rsidRPr="00687DE8" w:rsidRDefault="009D7760" w:rsidP="00B628F5">
            <w:pPr>
              <w:pStyle w:val="Normaallaadveeb"/>
              <w:tabs>
                <w:tab w:val="decimal" w:pos="635"/>
              </w:tabs>
              <w:spacing w:before="0" w:after="0" w:afterAutospacing="0"/>
              <w:jc w:val="center"/>
            </w:pPr>
            <w:r>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38DC12B4" w14:textId="140E4D8A" w:rsidR="009D7760" w:rsidRPr="00687DE8" w:rsidRDefault="009D7760" w:rsidP="00B628F5">
            <w:pPr>
              <w:pStyle w:val="Normaallaadveeb"/>
              <w:tabs>
                <w:tab w:val="decimal" w:pos="635"/>
              </w:tabs>
              <w:spacing w:before="0" w:after="0" w:afterAutospacing="0"/>
              <w:jc w:val="center"/>
            </w:pPr>
            <w:r>
              <w:t>0</w:t>
            </w:r>
          </w:p>
        </w:tc>
      </w:tr>
      <w:tr w:rsidR="00186C0E" w:rsidRPr="00687DE8" w14:paraId="69667BDA" w14:textId="77777777" w:rsidTr="0066592B">
        <w:trPr>
          <w:divId w:val="1316184749"/>
          <w:trHeight w:val="383"/>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BEF65F4" w14:textId="77777777" w:rsidR="00186C0E" w:rsidRPr="00687DE8" w:rsidRDefault="00896067" w:rsidP="00B628F5">
            <w:pPr>
              <w:pStyle w:val="Normaallaadveeb"/>
              <w:spacing w:before="0" w:after="0" w:afterAutospacing="0"/>
              <w:rPr>
                <w:color w:val="000000" w:themeColor="text1"/>
              </w:rPr>
            </w:pPr>
            <w:r w:rsidRPr="00687DE8">
              <w:rPr>
                <w:color w:val="000000" w:themeColor="text1"/>
              </w:rPr>
              <w:t xml:space="preserve">Meningokokivastane vaktsineerimine tetravalentse konjugeeritud vaktsiiniga, </w:t>
            </w:r>
            <w:r w:rsidR="001D43F9" w:rsidRPr="00687DE8">
              <w:rPr>
                <w:color w:val="000000" w:themeColor="text1"/>
              </w:rPr>
              <w:t>üks</w:t>
            </w:r>
            <w:r w:rsidRPr="00687DE8">
              <w:rPr>
                <w:color w:val="000000" w:themeColor="text1"/>
              </w:rPr>
              <w:t xml:space="preserve"> doos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A272A9D" w14:textId="77777777" w:rsidR="00186C0E" w:rsidRPr="00687DE8" w:rsidRDefault="007A6FEC" w:rsidP="00B628F5">
            <w:pPr>
              <w:pStyle w:val="Normaallaadveeb"/>
              <w:spacing w:before="0" w:after="0" w:afterAutospacing="0"/>
              <w:jc w:val="center"/>
            </w:pPr>
            <w:r w:rsidRPr="00687DE8">
              <w:t>28</w:t>
            </w:r>
            <w:r w:rsidR="00965B1A" w:rsidRPr="00687DE8">
              <w:t>3</w:t>
            </w:r>
            <w:r w:rsidRPr="00687DE8">
              <w:t>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B9AB54F" w14:textId="7F4EFD85" w:rsidR="00186C0E" w:rsidRPr="00687DE8" w:rsidRDefault="00EF2EEA" w:rsidP="00B628F5">
            <w:pPr>
              <w:pStyle w:val="Normaallaadveeb"/>
              <w:tabs>
                <w:tab w:val="decimal" w:pos="635"/>
              </w:tabs>
              <w:spacing w:before="0" w:after="0" w:afterAutospacing="0"/>
              <w:jc w:val="center"/>
            </w:pPr>
            <w:r>
              <w:rPr>
                <w:color w:val="000000"/>
              </w:rPr>
              <w:t>45,52</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92A5D3B" w14:textId="77777777" w:rsidR="00186C0E" w:rsidRPr="00687DE8" w:rsidRDefault="00014A2B"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19478FDB" w14:textId="77777777" w:rsidR="00186C0E" w:rsidRPr="00687DE8" w:rsidRDefault="00014A2B" w:rsidP="00B628F5">
            <w:pPr>
              <w:pStyle w:val="Normaallaadveeb"/>
              <w:tabs>
                <w:tab w:val="decimal" w:pos="635"/>
              </w:tabs>
              <w:spacing w:before="0" w:after="0" w:afterAutospacing="0"/>
              <w:jc w:val="center"/>
            </w:pPr>
            <w:r w:rsidRPr="00687DE8">
              <w:t>0</w:t>
            </w:r>
          </w:p>
        </w:tc>
      </w:tr>
      <w:tr w:rsidR="00186C0E" w:rsidRPr="00687DE8" w14:paraId="3474A2C4" w14:textId="77777777" w:rsidTr="0066592B">
        <w:trPr>
          <w:divId w:val="1316184749"/>
          <w:trHeight w:val="300"/>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1BAA5C59" w14:textId="77777777" w:rsidR="00186C0E" w:rsidRPr="00687DE8" w:rsidRDefault="00BE732A" w:rsidP="00B628F5">
            <w:pPr>
              <w:pStyle w:val="Normaallaadveeb"/>
              <w:spacing w:before="0" w:after="0" w:afterAutospacing="0"/>
              <w:rPr>
                <w:color w:val="000000" w:themeColor="text1"/>
              </w:rPr>
            </w:pPr>
            <w:r w:rsidRPr="00687DE8">
              <w:rPr>
                <w:color w:val="000000" w:themeColor="text1"/>
              </w:rPr>
              <w:t xml:space="preserve">B-grupi meningokokivastane vaktsineerimine rekombinantse vaktsiiniga, </w:t>
            </w:r>
            <w:r w:rsidR="001D43F9" w:rsidRPr="00687DE8">
              <w:rPr>
                <w:color w:val="000000" w:themeColor="text1"/>
              </w:rPr>
              <w:t>üks</w:t>
            </w:r>
            <w:r w:rsidRPr="00687DE8">
              <w:rPr>
                <w:color w:val="000000" w:themeColor="text1"/>
              </w:rPr>
              <w:t xml:space="preserve"> doos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1A5895D" w14:textId="77777777" w:rsidR="00186C0E" w:rsidRPr="00687DE8" w:rsidRDefault="007A6FEC" w:rsidP="00B628F5">
            <w:pPr>
              <w:pStyle w:val="Normaallaadveeb"/>
              <w:spacing w:before="0" w:after="0" w:afterAutospacing="0"/>
              <w:jc w:val="center"/>
            </w:pPr>
            <w:r w:rsidRPr="00687DE8">
              <w:t>28</w:t>
            </w:r>
            <w:r w:rsidR="00965B1A" w:rsidRPr="00687DE8">
              <w:t>4</w:t>
            </w:r>
            <w:r w:rsidRPr="00687DE8">
              <w:t>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693961D" w14:textId="613906A5" w:rsidR="00186C0E" w:rsidRPr="00687DE8" w:rsidRDefault="00EF2EEA" w:rsidP="00B628F5">
            <w:pPr>
              <w:pStyle w:val="Normaallaadveeb"/>
              <w:tabs>
                <w:tab w:val="decimal" w:pos="635"/>
              </w:tabs>
              <w:spacing w:before="0" w:after="0" w:afterAutospacing="0"/>
              <w:jc w:val="center"/>
            </w:pPr>
            <w:r>
              <w:rPr>
                <w:color w:val="000000"/>
              </w:rPr>
              <w:t>94,83</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16F2D4F1" w14:textId="77777777" w:rsidR="00186C0E" w:rsidRPr="00687DE8" w:rsidRDefault="00884FDB" w:rsidP="00B628F5">
            <w:pPr>
              <w:pStyle w:val="Normaallaadveeb"/>
              <w:tabs>
                <w:tab w:val="decimal" w:pos="635"/>
              </w:tabs>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CDFE582" w14:textId="77777777" w:rsidR="00186C0E" w:rsidRPr="00687DE8" w:rsidRDefault="00884FDB" w:rsidP="00B628F5">
            <w:pPr>
              <w:pStyle w:val="Normaallaadveeb"/>
              <w:tabs>
                <w:tab w:val="decimal" w:pos="635"/>
              </w:tabs>
              <w:spacing w:before="0" w:after="0" w:afterAutospacing="0"/>
              <w:jc w:val="center"/>
            </w:pPr>
            <w:r w:rsidRPr="00687DE8">
              <w:t>0</w:t>
            </w:r>
          </w:p>
        </w:tc>
      </w:tr>
      <w:tr w:rsidR="19423B3F" w:rsidRPr="00687DE8" w14:paraId="666D5105" w14:textId="77777777" w:rsidTr="0066592B">
        <w:trPr>
          <w:divId w:val="1316184749"/>
          <w:trHeight w:val="300"/>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994FA76" w14:textId="77777777" w:rsidR="19423B3F" w:rsidRPr="00687DE8" w:rsidRDefault="24DFE34C" w:rsidP="00B628F5">
            <w:pPr>
              <w:pStyle w:val="Normaallaadveeb"/>
              <w:spacing w:before="0" w:after="0" w:afterAutospacing="0"/>
              <w:rPr>
                <w:color w:val="000000" w:themeColor="text1"/>
              </w:rPr>
            </w:pPr>
            <w:r w:rsidRPr="00687DE8">
              <w:rPr>
                <w:color w:val="000000" w:themeColor="text1"/>
              </w:rPr>
              <w:t xml:space="preserve">Depressiooni ravi ninasiseselt manustatava esketamiiniga, </w:t>
            </w:r>
            <w:r w:rsidR="00DF558C" w:rsidRPr="00687DE8">
              <w:rPr>
                <w:color w:val="000000" w:themeColor="text1"/>
              </w:rPr>
              <w:t>üks</w:t>
            </w:r>
            <w:r w:rsidRPr="00687DE8">
              <w:rPr>
                <w:color w:val="000000" w:themeColor="text1"/>
              </w:rPr>
              <w:t xml:space="preserve"> </w:t>
            </w:r>
            <w:r w:rsidR="22D3C6F0" w:rsidRPr="00687DE8">
              <w:rPr>
                <w:color w:val="000000" w:themeColor="text1"/>
              </w:rPr>
              <w:t>annus</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3598916" w14:textId="77777777" w:rsidR="19423B3F" w:rsidRPr="00687DE8" w:rsidRDefault="24DFE34C" w:rsidP="00B628F5">
            <w:pPr>
              <w:pStyle w:val="Normaallaadveeb"/>
              <w:spacing w:before="0" w:after="0" w:afterAutospacing="0"/>
              <w:jc w:val="center"/>
            </w:pPr>
            <w:r w:rsidRPr="00687DE8">
              <w:t>288R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CECF385" w14:textId="63C0E4C5" w:rsidR="19423B3F" w:rsidRPr="00687DE8" w:rsidRDefault="00EF2EEA" w:rsidP="00B628F5">
            <w:pPr>
              <w:pStyle w:val="Normaallaadveeb"/>
              <w:spacing w:before="0" w:after="0" w:afterAutospacing="0"/>
              <w:jc w:val="center"/>
            </w:pPr>
            <w:r>
              <w:rPr>
                <w:color w:val="000000"/>
              </w:rPr>
              <w:t>207,70</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947300D" w14:textId="77777777" w:rsidR="19423B3F" w:rsidRPr="00687DE8" w:rsidRDefault="24DFE34C" w:rsidP="00B628F5">
            <w:pPr>
              <w:pStyle w:val="Normaallaadveeb"/>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B0B2A95" w14:textId="11954BFC" w:rsidR="19423B3F" w:rsidRPr="00687DE8" w:rsidRDefault="00437CC1" w:rsidP="00B628F5">
            <w:pPr>
              <w:pStyle w:val="Normaallaadveeb"/>
              <w:spacing w:before="0" w:after="0" w:afterAutospacing="0"/>
              <w:jc w:val="center"/>
            </w:pPr>
            <w:r>
              <w:t xml:space="preserve">        </w:t>
            </w:r>
            <w:r w:rsidR="24DFE34C" w:rsidRPr="00687DE8">
              <w:t>0</w:t>
            </w:r>
          </w:p>
        </w:tc>
      </w:tr>
      <w:tr w:rsidR="629C7795" w:rsidRPr="00687DE8" w14:paraId="52E0376A" w14:textId="77777777" w:rsidTr="0066592B">
        <w:trPr>
          <w:divId w:val="1316184749"/>
          <w:trHeight w:val="505"/>
        </w:trPr>
        <w:tc>
          <w:tcPr>
            <w:tcW w:w="3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ACA242E" w14:textId="0BF48885" w:rsidR="629C7795" w:rsidRPr="00687DE8" w:rsidRDefault="3F88E27B" w:rsidP="00B628F5">
            <w:pPr>
              <w:pStyle w:val="Normaallaadveeb"/>
              <w:spacing w:before="0" w:after="0" w:afterAutospacing="0"/>
              <w:rPr>
                <w:color w:val="000000" w:themeColor="text1"/>
              </w:rPr>
            </w:pPr>
            <w:r w:rsidRPr="00687DE8">
              <w:rPr>
                <w:i/>
                <w:color w:val="000000" w:themeColor="text1"/>
              </w:rPr>
              <w:t>C. difficile</w:t>
            </w:r>
            <w:r w:rsidRPr="00687DE8">
              <w:rPr>
                <w:color w:val="000000" w:themeColor="text1"/>
              </w:rPr>
              <w:t xml:space="preserve"> infektsiooni ravi p.o. vankomütsiiniga, 1 kapsel (125</w:t>
            </w:r>
            <w:r w:rsidR="003A1E78" w:rsidRPr="00687DE8">
              <w:rPr>
                <w:color w:val="000000" w:themeColor="text1"/>
              </w:rPr>
              <w:t xml:space="preserve"> </w:t>
            </w:r>
            <w:r w:rsidRPr="00687DE8">
              <w:rPr>
                <w:color w:val="000000" w:themeColor="text1"/>
              </w:rPr>
              <w:t>mg)</w:t>
            </w:r>
          </w:p>
        </w:tc>
        <w:tc>
          <w:tcPr>
            <w:tcW w:w="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7DAB9C1" w14:textId="77777777" w:rsidR="629C7795" w:rsidRPr="00687DE8" w:rsidRDefault="3F88E27B" w:rsidP="00B628F5">
            <w:pPr>
              <w:pStyle w:val="Normaallaadveeb"/>
              <w:spacing w:before="0" w:after="0" w:afterAutospacing="0"/>
              <w:jc w:val="center"/>
            </w:pPr>
            <w:r w:rsidRPr="00687DE8">
              <w:t>298R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D14C7B3" w14:textId="7A154AEE" w:rsidR="629C7795" w:rsidRPr="00687DE8" w:rsidRDefault="00EF2EEA" w:rsidP="00B628F5">
            <w:pPr>
              <w:pStyle w:val="Normaallaadveeb"/>
              <w:spacing w:before="0" w:after="0" w:afterAutospacing="0"/>
              <w:jc w:val="center"/>
            </w:pPr>
            <w:r>
              <w:rPr>
                <w:color w:val="000000"/>
              </w:rPr>
              <w:t>10,01</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13E0CC5" w14:textId="77777777" w:rsidR="629C7795" w:rsidRPr="00687DE8" w:rsidRDefault="3F88E27B" w:rsidP="00B628F5">
            <w:pPr>
              <w:pStyle w:val="Normaallaadveeb"/>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47CCD63" w14:textId="569212E8" w:rsidR="629C7795" w:rsidRPr="00687DE8" w:rsidRDefault="00437CC1" w:rsidP="00B628F5">
            <w:pPr>
              <w:pStyle w:val="Normaallaadveeb"/>
              <w:spacing w:before="0" w:after="0" w:afterAutospacing="0"/>
              <w:jc w:val="center"/>
            </w:pPr>
            <w:r>
              <w:t xml:space="preserve">        </w:t>
            </w:r>
            <w:r w:rsidR="3F88E27B" w:rsidRPr="00687DE8">
              <w:t>0</w:t>
            </w:r>
          </w:p>
        </w:tc>
      </w:tr>
      <w:tr w:rsidR="145C2E39" w:rsidRPr="00687DE8" w14:paraId="6BD248E4" w14:textId="77777777" w:rsidTr="0066592B">
        <w:trPr>
          <w:divId w:val="1316184749"/>
          <w:trHeight w:val="505"/>
        </w:trPr>
        <w:tc>
          <w:tcPr>
            <w:tcW w:w="35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bottom"/>
          </w:tcPr>
          <w:p w14:paraId="13844523" w14:textId="6AEBBF47" w:rsidR="145C2E39" w:rsidRPr="00687DE8" w:rsidRDefault="761F8D8F" w:rsidP="00B628F5">
            <w:pPr>
              <w:pStyle w:val="Normaallaadveeb"/>
              <w:spacing w:before="0" w:after="0" w:afterAutospacing="0"/>
              <w:rPr>
                <w:color w:val="000000" w:themeColor="text1"/>
              </w:rPr>
            </w:pPr>
            <w:r w:rsidRPr="00687DE8">
              <w:rPr>
                <w:color w:val="000000" w:themeColor="text1"/>
              </w:rPr>
              <w:t xml:space="preserve">Maliigse hüpertermia ravi dantroleeniga, </w:t>
            </w:r>
            <w:r w:rsidR="2B96D22A" w:rsidRPr="00687DE8">
              <w:rPr>
                <w:color w:val="000000" w:themeColor="text1"/>
              </w:rPr>
              <w:t>20</w:t>
            </w:r>
            <w:r w:rsidR="00873319" w:rsidRPr="00687DE8">
              <w:rPr>
                <w:color w:val="000000" w:themeColor="text1"/>
              </w:rPr>
              <w:t xml:space="preserve"> </w:t>
            </w:r>
            <w:r w:rsidR="2B96D22A" w:rsidRPr="00687DE8">
              <w:rPr>
                <w:color w:val="000000" w:themeColor="text1"/>
              </w:rPr>
              <w:t>mg</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bottom"/>
          </w:tcPr>
          <w:p w14:paraId="30A3BEBC" w14:textId="1F21F0ED" w:rsidR="145C2E39" w:rsidRPr="00687DE8" w:rsidRDefault="761F8D8F" w:rsidP="00B628F5">
            <w:pPr>
              <w:pStyle w:val="Normaallaadveeb"/>
              <w:spacing w:before="0" w:after="0" w:afterAutospacing="0"/>
              <w:jc w:val="center"/>
            </w:pPr>
            <w:r w:rsidRPr="00687DE8">
              <w:t>413R</w:t>
            </w:r>
          </w:p>
        </w:tc>
        <w:tc>
          <w:tcPr>
            <w:tcW w:w="216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5645D84" w14:textId="1DE885D9" w:rsidR="145C2E39" w:rsidRPr="00687DE8" w:rsidRDefault="00EF2EEA" w:rsidP="00B628F5">
            <w:pPr>
              <w:pStyle w:val="Normaallaadveeb"/>
              <w:spacing w:before="0" w:after="0" w:afterAutospacing="0"/>
              <w:jc w:val="center"/>
            </w:pPr>
            <w:r>
              <w:rPr>
                <w:color w:val="000000"/>
              </w:rPr>
              <w:t>79,57</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bottom"/>
          </w:tcPr>
          <w:p w14:paraId="6C6B76F3" w14:textId="71618AEC" w:rsidR="145C2E39" w:rsidRPr="00687DE8" w:rsidRDefault="5DBEE23B" w:rsidP="00B628F5">
            <w:pPr>
              <w:pStyle w:val="Normaallaadveeb"/>
              <w:spacing w:before="0" w:after="0" w:afterAutospacing="0"/>
              <w:jc w:val="center"/>
            </w:pPr>
            <w:r w:rsidRPr="00687DE8">
              <w:t>100</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bottom"/>
          </w:tcPr>
          <w:p w14:paraId="4541A474" w14:textId="06247C1A" w:rsidR="145C2E39" w:rsidRPr="00687DE8" w:rsidRDefault="00437CC1" w:rsidP="00B628F5">
            <w:pPr>
              <w:pStyle w:val="Normaallaadveeb"/>
              <w:spacing w:before="0" w:after="0" w:afterAutospacing="0"/>
              <w:jc w:val="center"/>
            </w:pPr>
            <w:r>
              <w:t xml:space="preserve">       </w:t>
            </w:r>
            <w:r w:rsidR="00983683">
              <w:t xml:space="preserve"> </w:t>
            </w:r>
            <w:r w:rsidR="5DBEE23B" w:rsidRPr="00687DE8">
              <w:t>0</w:t>
            </w:r>
          </w:p>
        </w:tc>
      </w:tr>
    </w:tbl>
    <w:p w14:paraId="7EBABF49" w14:textId="77777777" w:rsidR="00976487" w:rsidRPr="00687DE8" w:rsidRDefault="00976487" w:rsidP="00976487">
      <w:pPr>
        <w:pStyle w:val="Normaallaadveeb"/>
        <w:spacing w:before="0" w:after="0" w:afterAutospacing="0"/>
        <w:jc w:val="both"/>
        <w:divId w:val="1316184749"/>
      </w:pPr>
    </w:p>
    <w:p w14:paraId="5D49554B" w14:textId="77777777" w:rsidR="00976487" w:rsidRPr="00687DE8" w:rsidRDefault="00976487" w:rsidP="00976487">
      <w:pPr>
        <w:pStyle w:val="Normaallaadveeb"/>
        <w:spacing w:before="0" w:after="0" w:afterAutospacing="0"/>
        <w:jc w:val="both"/>
        <w:divId w:val="1316184749"/>
      </w:pPr>
      <w:r w:rsidRPr="00687DE8">
        <w:t xml:space="preserve">(2) </w:t>
      </w:r>
      <w:r w:rsidR="00702B09" w:rsidRPr="00687DE8">
        <w:t>L</w:t>
      </w:r>
      <w:r w:rsidRPr="00687DE8">
        <w:t>õikes 1 sätestatud ravimiteenuste piirhinnad ei sisaldu voodipäeva piirhinnas.</w:t>
      </w:r>
    </w:p>
    <w:p w14:paraId="615A0F29" w14:textId="77777777" w:rsidR="00976487" w:rsidRPr="00687DE8" w:rsidRDefault="00976487" w:rsidP="00976487">
      <w:pPr>
        <w:pStyle w:val="Normaallaadveeb"/>
        <w:spacing w:before="0" w:after="0" w:afterAutospacing="0"/>
        <w:jc w:val="both"/>
        <w:divId w:val="1316184749"/>
      </w:pPr>
    </w:p>
    <w:p w14:paraId="57048DD5" w14:textId="77777777" w:rsidR="00976487" w:rsidRPr="00687DE8" w:rsidRDefault="00976487" w:rsidP="00976487">
      <w:pPr>
        <w:pStyle w:val="Normaallaadveeb"/>
        <w:spacing w:before="0" w:after="0" w:afterAutospacing="0"/>
        <w:jc w:val="both"/>
        <w:divId w:val="1316184749"/>
      </w:pPr>
      <w:r w:rsidRPr="00687DE8">
        <w:t xml:space="preserve">(3) </w:t>
      </w:r>
      <w:r w:rsidR="00702B09" w:rsidRPr="00687DE8">
        <w:t>L</w:t>
      </w:r>
      <w:r w:rsidRPr="00687DE8">
        <w:t>õikes 1 sätestatud ravimiteenuste piirhinnad sisaldavad ainult ravimi maksumust koos käibemaksuga.</w:t>
      </w:r>
    </w:p>
    <w:p w14:paraId="64C1FA78" w14:textId="77777777" w:rsidR="00976487" w:rsidRPr="00687DE8" w:rsidRDefault="00976487" w:rsidP="00976487">
      <w:pPr>
        <w:pStyle w:val="Normaallaadveeb"/>
        <w:spacing w:before="0" w:after="0" w:afterAutospacing="0"/>
        <w:jc w:val="both"/>
        <w:divId w:val="1316184749"/>
      </w:pPr>
    </w:p>
    <w:p w14:paraId="00B2C27C" w14:textId="77777777" w:rsidR="00976487" w:rsidRPr="00687DE8" w:rsidRDefault="00976487" w:rsidP="00976487">
      <w:pPr>
        <w:pStyle w:val="Normaallaadveeb"/>
        <w:spacing w:before="0" w:after="0" w:afterAutospacing="0"/>
        <w:jc w:val="both"/>
        <w:divId w:val="1316184749"/>
      </w:pPr>
      <w:r w:rsidRPr="00687DE8">
        <w:t>(4) Koodiga 480R tähistatud ravimiteenus ei sisalda ravi toimeainega anti-T-lümfotsüütne immunoglobuliin.</w:t>
      </w:r>
    </w:p>
    <w:p w14:paraId="64DBD04F" w14:textId="77777777" w:rsidR="00976487" w:rsidRPr="00687DE8" w:rsidRDefault="00976487" w:rsidP="00976487">
      <w:pPr>
        <w:pStyle w:val="Normaallaadveeb"/>
        <w:spacing w:before="0" w:after="0" w:afterAutospacing="0"/>
        <w:jc w:val="both"/>
        <w:divId w:val="1316184749"/>
      </w:pPr>
    </w:p>
    <w:p w14:paraId="5FD3488E" w14:textId="23EA731D" w:rsidR="00976487" w:rsidRPr="00687DE8" w:rsidRDefault="00976487" w:rsidP="00976487">
      <w:pPr>
        <w:pStyle w:val="Normaallaadveeb"/>
        <w:spacing w:before="0" w:after="0" w:afterAutospacing="0"/>
        <w:jc w:val="both"/>
        <w:divId w:val="1316184749"/>
      </w:pPr>
      <w:r w:rsidRPr="00687DE8">
        <w:t>(</w:t>
      </w:r>
      <w:r w:rsidR="00E378A0" w:rsidRPr="00687DE8">
        <w:t>5</w:t>
      </w:r>
      <w:r w:rsidRPr="00687DE8">
        <w:t xml:space="preserve">) </w:t>
      </w:r>
      <w:r w:rsidR="005023FD" w:rsidRPr="00687DE8">
        <w:t>Tervisekassa</w:t>
      </w:r>
      <w:r w:rsidRPr="00687DE8">
        <w:t xml:space="preserve"> võtab koodiga 483R tähistatud ravimiteenuse eest tasu maksmise kohustuse üle täiskasvanud patsientide tsütomegaloviirusinfektsiooni ennetava ravi korral ja juhul, kui ravi valgantsikloviiri (teenus koodiga 482R) ja gantsikloviiriga (teenus koodiga 481R) on ebaõnnestunud või vastunäidustatud.</w:t>
      </w:r>
    </w:p>
    <w:p w14:paraId="47935D6E" w14:textId="77777777" w:rsidR="00976487" w:rsidRPr="00687DE8" w:rsidRDefault="00976487" w:rsidP="00976487">
      <w:pPr>
        <w:pStyle w:val="Normaallaadveeb"/>
        <w:spacing w:before="0" w:after="0" w:afterAutospacing="0"/>
        <w:jc w:val="both"/>
        <w:divId w:val="1316184749"/>
      </w:pPr>
    </w:p>
    <w:p w14:paraId="7B7429BC" w14:textId="0F2D09D3" w:rsidR="00976487" w:rsidRPr="00687DE8" w:rsidRDefault="00976487" w:rsidP="00976487">
      <w:pPr>
        <w:pStyle w:val="Normaallaadveeb"/>
        <w:spacing w:before="0" w:after="0" w:afterAutospacing="0"/>
        <w:jc w:val="both"/>
        <w:divId w:val="1316184749"/>
      </w:pPr>
      <w:r w:rsidRPr="00687DE8">
        <w:lastRenderedPageBreak/>
        <w:t>(</w:t>
      </w:r>
      <w:r w:rsidR="00E378A0" w:rsidRPr="00687DE8">
        <w:t>6</w:t>
      </w:r>
      <w:r w:rsidRPr="00687DE8">
        <w:t xml:space="preserve">) </w:t>
      </w:r>
      <w:r w:rsidR="005023FD" w:rsidRPr="00687DE8">
        <w:t>Tervisekassa</w:t>
      </w:r>
      <w:r w:rsidRPr="00687DE8">
        <w:t xml:space="preserve"> võtab koodiga 214R tähistatud ravimiteenuse eest tasu maksmise kohustuse üle kuni kolm korda patsiendi kohta.</w:t>
      </w:r>
    </w:p>
    <w:p w14:paraId="32721D44" w14:textId="77777777" w:rsidR="00976487" w:rsidRPr="00687DE8" w:rsidRDefault="00976487" w:rsidP="00976487">
      <w:pPr>
        <w:pStyle w:val="Normaallaadveeb"/>
        <w:spacing w:before="0" w:after="0" w:afterAutospacing="0"/>
        <w:jc w:val="both"/>
        <w:divId w:val="1316184749"/>
      </w:pPr>
    </w:p>
    <w:p w14:paraId="5ED978DE" w14:textId="77777777" w:rsidR="00976487" w:rsidRPr="00687DE8" w:rsidRDefault="00976487" w:rsidP="00976487">
      <w:pPr>
        <w:pStyle w:val="Normaallaadveeb"/>
        <w:spacing w:before="0" w:after="0" w:afterAutospacing="0"/>
        <w:jc w:val="both"/>
        <w:divId w:val="1316184749"/>
      </w:pPr>
      <w:r w:rsidRPr="00687DE8">
        <w:t>(</w:t>
      </w:r>
      <w:r w:rsidR="00E378A0" w:rsidRPr="00687DE8">
        <w:t>7</w:t>
      </w:r>
      <w:r w:rsidRPr="00687DE8">
        <w:t xml:space="preserve">) </w:t>
      </w:r>
      <w:r w:rsidRPr="00687DE8">
        <w:rPr>
          <w:color w:val="202020"/>
          <w:shd w:val="clear" w:color="auto" w:fill="FFFFFF"/>
        </w:rPr>
        <w:t xml:space="preserve">Koodiga 235R tähistatud ravimiteenust võib kroonilise migreeni profülaktikaks osutada neuroloog, kellel on </w:t>
      </w:r>
      <w:r w:rsidRPr="00687DE8">
        <w:t xml:space="preserve">botulismitoksiiniga ravimise kogemus või kes on läbinud </w:t>
      </w:r>
      <w:r w:rsidR="00454EE5" w:rsidRPr="00687DE8">
        <w:t>selle</w:t>
      </w:r>
      <w:r w:rsidRPr="00687DE8">
        <w:t>sisulise koolituse.</w:t>
      </w:r>
    </w:p>
    <w:p w14:paraId="57FEBB35" w14:textId="77777777" w:rsidR="00976487" w:rsidRPr="00687DE8" w:rsidRDefault="00976487" w:rsidP="00976487">
      <w:pPr>
        <w:pStyle w:val="Normaallaadveeb"/>
        <w:spacing w:before="0" w:after="0" w:afterAutospacing="0"/>
        <w:jc w:val="both"/>
        <w:divId w:val="1316184749"/>
      </w:pPr>
    </w:p>
    <w:p w14:paraId="6260C2EF" w14:textId="76AB431B" w:rsidR="00976487" w:rsidRPr="00687DE8" w:rsidRDefault="00976487" w:rsidP="00976487">
      <w:pPr>
        <w:pStyle w:val="Normaallaadveeb"/>
        <w:spacing w:before="0" w:after="0" w:afterAutospacing="0"/>
        <w:jc w:val="both"/>
        <w:divId w:val="1316184749"/>
      </w:pPr>
      <w:r w:rsidRPr="00687DE8">
        <w:t>(</w:t>
      </w:r>
      <w:r w:rsidR="00E378A0" w:rsidRPr="00687DE8">
        <w:t>8</w:t>
      </w:r>
      <w:r w:rsidRPr="00687DE8">
        <w:t xml:space="preserve">) </w:t>
      </w:r>
      <w:r w:rsidRPr="00687DE8">
        <w:rPr>
          <w:color w:val="202020"/>
          <w:shd w:val="clear" w:color="auto" w:fill="FFFFFF"/>
        </w:rPr>
        <w:t>Ravi alustamiseks botulismitoksiiniga (kood 235R, rakendatakse koos koodiga 6260</w:t>
      </w:r>
      <w:r w:rsidR="00093768">
        <w:rPr>
          <w:color w:val="202020"/>
          <w:shd w:val="clear" w:color="auto" w:fill="FFFFFF"/>
        </w:rPr>
        <w:t xml:space="preserve"> või 6267</w:t>
      </w:r>
      <w:r w:rsidRPr="00687DE8">
        <w:rPr>
          <w:color w:val="202020"/>
          <w:shd w:val="clear" w:color="auto" w:fill="FFFFFF"/>
        </w:rPr>
        <w:t>) kroonilise migreeni profülaktikaks peavad olema täidetud järgmised tingimused:</w:t>
      </w:r>
    </w:p>
    <w:p w14:paraId="35232D22" w14:textId="77777777" w:rsidR="00976487" w:rsidRPr="00687DE8" w:rsidRDefault="00976487" w:rsidP="00976487">
      <w:pPr>
        <w:pStyle w:val="Vahedeta"/>
        <w:jc w:val="both"/>
        <w:divId w:val="1316184749"/>
        <w:rPr>
          <w:szCs w:val="24"/>
          <w:lang w:val="et-EE"/>
        </w:rPr>
      </w:pPr>
      <w:r w:rsidRPr="00687DE8">
        <w:rPr>
          <w:szCs w:val="24"/>
          <w:lang w:val="et-EE"/>
        </w:rPr>
        <w:t>1) patsiendil esinevad peavalud ≥ 15 päeval kuus, millest vähemalt kaheksal päeval on tegemist migreeni kriteeriume täitvate hoogudega;</w:t>
      </w:r>
    </w:p>
    <w:p w14:paraId="218730D1" w14:textId="77777777" w:rsidR="00976487" w:rsidRPr="00687DE8" w:rsidRDefault="00976487" w:rsidP="00976487">
      <w:pPr>
        <w:pStyle w:val="Vahedeta"/>
        <w:jc w:val="both"/>
        <w:divId w:val="1316184749"/>
        <w:rPr>
          <w:szCs w:val="24"/>
          <w:lang w:val="sv-SE"/>
        </w:rPr>
      </w:pPr>
      <w:r w:rsidRPr="00687DE8">
        <w:rPr>
          <w:szCs w:val="24"/>
          <w:lang w:val="sv-SE"/>
        </w:rPr>
        <w:t>2) vähemalt kolm eelnevat profülaktilist ravi on ebaõnnestunud.</w:t>
      </w:r>
    </w:p>
    <w:p w14:paraId="5A6895FE" w14:textId="77777777" w:rsidR="00976487" w:rsidRPr="00687DE8" w:rsidRDefault="00976487" w:rsidP="00976487">
      <w:pPr>
        <w:pStyle w:val="Vahedeta"/>
        <w:jc w:val="both"/>
        <w:divId w:val="1316184749"/>
        <w:rPr>
          <w:szCs w:val="24"/>
          <w:lang w:val="sv-SE"/>
        </w:rPr>
      </w:pPr>
    </w:p>
    <w:p w14:paraId="794F29D4" w14:textId="77777777" w:rsidR="00976487" w:rsidRPr="00687DE8" w:rsidRDefault="00976487" w:rsidP="00976487">
      <w:pPr>
        <w:pStyle w:val="Vahedeta"/>
        <w:jc w:val="both"/>
        <w:divId w:val="1316184749"/>
        <w:rPr>
          <w:szCs w:val="24"/>
          <w:lang w:val="sv-SE"/>
        </w:rPr>
      </w:pPr>
      <w:r w:rsidRPr="00687DE8">
        <w:rPr>
          <w:szCs w:val="24"/>
          <w:lang w:val="sv-SE"/>
        </w:rPr>
        <w:t>(</w:t>
      </w:r>
      <w:r w:rsidR="00E378A0" w:rsidRPr="00687DE8">
        <w:rPr>
          <w:szCs w:val="24"/>
          <w:lang w:val="sv-SE"/>
        </w:rPr>
        <w:t>9</w:t>
      </w:r>
      <w:r w:rsidRPr="00687DE8">
        <w:rPr>
          <w:szCs w:val="24"/>
          <w:lang w:val="sv-SE"/>
        </w:rPr>
        <w:t>) Koodiga 235R tähistatud ravimiteenus lõpetatakse kroonilise migreeniga patsiendil ravi ebapiisava efektiivsuse tõttu, kui pärast kolme ravitsüklit (36 nädalat) ei ole keskmine peavalupäevade arv kuus vähenenud vähemalt 50% võrra.</w:t>
      </w:r>
    </w:p>
    <w:p w14:paraId="6D04B42E" w14:textId="77777777" w:rsidR="00976487" w:rsidRPr="00687DE8" w:rsidRDefault="00976487" w:rsidP="00976487">
      <w:pPr>
        <w:pStyle w:val="Vahedeta"/>
        <w:jc w:val="both"/>
        <w:divId w:val="1316184749"/>
        <w:rPr>
          <w:szCs w:val="24"/>
          <w:lang w:val="sv-SE"/>
        </w:rPr>
      </w:pPr>
    </w:p>
    <w:p w14:paraId="688146D0" w14:textId="77777777" w:rsidR="00976487" w:rsidRPr="00687DE8" w:rsidRDefault="00976487" w:rsidP="00976487">
      <w:pPr>
        <w:pStyle w:val="Vahedeta"/>
        <w:jc w:val="both"/>
        <w:divId w:val="1316184749"/>
        <w:rPr>
          <w:szCs w:val="24"/>
          <w:lang w:val="sv-SE"/>
        </w:rPr>
      </w:pPr>
      <w:r w:rsidRPr="00687DE8">
        <w:rPr>
          <w:szCs w:val="24"/>
          <w:lang w:val="sv-SE"/>
        </w:rPr>
        <w:t>(1</w:t>
      </w:r>
      <w:r w:rsidR="00E378A0" w:rsidRPr="00687DE8">
        <w:rPr>
          <w:szCs w:val="24"/>
          <w:lang w:val="sv-SE"/>
        </w:rPr>
        <w:t>0</w:t>
      </w:r>
      <w:r w:rsidRPr="00687DE8">
        <w:rPr>
          <w:szCs w:val="24"/>
          <w:lang w:val="sv-SE"/>
        </w:rPr>
        <w:t xml:space="preserve">) Koodiga 235R tähistatud ravimiteenus lõpetatakse kroonilise migreeniga patsiendil, kui pärast </w:t>
      </w:r>
      <w:r w:rsidR="16741256" w:rsidRPr="00687DE8">
        <w:rPr>
          <w:szCs w:val="24"/>
          <w:lang w:val="sv-SE"/>
        </w:rPr>
        <w:t>kuut</w:t>
      </w:r>
      <w:r w:rsidRPr="00687DE8">
        <w:rPr>
          <w:szCs w:val="24"/>
          <w:lang w:val="sv-SE"/>
        </w:rPr>
        <w:t xml:space="preserve"> ravitsüklit esineb püsiv kliiniliselt oluline ravivastus, milleks loetakse ≥ 5-punktilist paranemist HIT-6 skooris võrreldes ravi algusega, või peavalu muutumisel episoodiliseks (&lt; 15 peavalupäeva kuus) ja püsimisel sellisena kolme järjestikuse kuu jooksul.</w:t>
      </w:r>
    </w:p>
    <w:p w14:paraId="42868E60" w14:textId="77777777" w:rsidR="00976487" w:rsidRPr="00687DE8" w:rsidRDefault="00976487" w:rsidP="00976487">
      <w:pPr>
        <w:pStyle w:val="Vahedeta"/>
        <w:jc w:val="both"/>
        <w:divId w:val="1316184749"/>
        <w:rPr>
          <w:szCs w:val="24"/>
          <w:lang w:val="et-EE"/>
        </w:rPr>
      </w:pPr>
    </w:p>
    <w:p w14:paraId="3F10D988" w14:textId="71864591" w:rsidR="00976487" w:rsidRPr="00687DE8" w:rsidRDefault="00976487" w:rsidP="00976487">
      <w:pPr>
        <w:pStyle w:val="Vahedeta"/>
        <w:jc w:val="both"/>
        <w:divId w:val="1316184749"/>
        <w:rPr>
          <w:szCs w:val="24"/>
          <w:lang w:val="et-EE"/>
        </w:rPr>
      </w:pPr>
      <w:r w:rsidRPr="00687DE8">
        <w:rPr>
          <w:szCs w:val="24"/>
          <w:lang w:val="et-EE"/>
        </w:rPr>
        <w:t>(1</w:t>
      </w:r>
      <w:r w:rsidR="00E378A0" w:rsidRPr="00687DE8">
        <w:rPr>
          <w:szCs w:val="24"/>
          <w:lang w:val="et-EE"/>
        </w:rPr>
        <w:t>1</w:t>
      </w:r>
      <w:r w:rsidRPr="00687DE8">
        <w:rPr>
          <w:szCs w:val="24"/>
          <w:lang w:val="et-EE"/>
        </w:rPr>
        <w:t xml:space="preserve">) </w:t>
      </w:r>
      <w:r w:rsidR="005023FD" w:rsidRPr="00687DE8">
        <w:rPr>
          <w:szCs w:val="24"/>
          <w:lang w:val="et-EE"/>
        </w:rPr>
        <w:t>Tervisekassa</w:t>
      </w:r>
      <w:r w:rsidRPr="00687DE8">
        <w:rPr>
          <w:szCs w:val="24"/>
          <w:lang w:val="et-EE"/>
        </w:rPr>
        <w:t xml:space="preserve"> võtab koodiga 304R tähistatud ravimiteenuse eest tasu maksmise kohustuse üle kümme korda ühe raviannuse kohta, kui patsiendile on näidustatud ravi pikatoimelise pegfilgrastiimiga.</w:t>
      </w:r>
    </w:p>
    <w:p w14:paraId="04761C63" w14:textId="77777777" w:rsidR="00976487" w:rsidRPr="00687DE8" w:rsidRDefault="00976487" w:rsidP="00976487">
      <w:pPr>
        <w:pStyle w:val="Normaallaadveeb"/>
        <w:spacing w:before="0" w:after="0" w:afterAutospacing="0"/>
        <w:jc w:val="both"/>
        <w:divId w:val="1316184749"/>
      </w:pPr>
    </w:p>
    <w:p w14:paraId="422BBD9C" w14:textId="509D384B" w:rsidR="00976487" w:rsidRPr="00687DE8" w:rsidRDefault="00976487" w:rsidP="00976487">
      <w:pPr>
        <w:pStyle w:val="Normaallaadveeb"/>
        <w:spacing w:before="0" w:after="0" w:afterAutospacing="0"/>
        <w:jc w:val="both"/>
        <w:divId w:val="1316184749"/>
      </w:pPr>
      <w:r w:rsidRPr="00687DE8">
        <w:t>(1</w:t>
      </w:r>
      <w:r w:rsidR="00E378A0" w:rsidRPr="00687DE8">
        <w:t>2</w:t>
      </w:r>
      <w:r w:rsidRPr="00687DE8">
        <w:t xml:space="preserve">) </w:t>
      </w:r>
      <w:r w:rsidR="005023FD" w:rsidRPr="00687DE8">
        <w:t>Tervisekassa</w:t>
      </w:r>
      <w:r w:rsidRPr="00687DE8">
        <w:t xml:space="preserve"> võtab koodiga 319R tähistatud ravimiteenuse eest tasu maksmise kohustuse üle idiopaatilise trombotsütopeenilise purpuraga patsiendilt, kelle suukaudne ravi (kortikosteroidi, immuunsupressandiga) on osutunud ebaefektiivseks või on vastunäidustatud, splenektoomia on osutunud ebaefektiivseks või on vastunäidustatud (splenektoomia ettevalmistamiseks, kui intravenoosne immunoglobuliin ei ole piisavalt tõhus) ning esineb trombotsütopeenia &lt; 20000/μl ja veritsus. </w:t>
      </w:r>
      <w:r w:rsidR="005023FD" w:rsidRPr="00687DE8">
        <w:t>Tervisekassa</w:t>
      </w:r>
      <w:r w:rsidRPr="00687DE8">
        <w:t xml:space="preserve"> võtab koodiga 319R tähistatud ravimiteenuse eest tasu maksmise kohustuse üle kuni 52 ravikuuri eest aastas ühe kindlustatud isiku kohta.</w:t>
      </w:r>
    </w:p>
    <w:p w14:paraId="2315D3A1" w14:textId="77777777" w:rsidR="00976487" w:rsidRPr="00687DE8" w:rsidRDefault="00976487" w:rsidP="00976487">
      <w:pPr>
        <w:pStyle w:val="Normaallaadveeb"/>
        <w:spacing w:before="0" w:after="0" w:afterAutospacing="0"/>
        <w:jc w:val="both"/>
        <w:divId w:val="1316184749"/>
      </w:pPr>
    </w:p>
    <w:p w14:paraId="176485AE" w14:textId="2FD7A491" w:rsidR="00976487" w:rsidRPr="00687DE8" w:rsidRDefault="00976487" w:rsidP="00976487">
      <w:pPr>
        <w:pStyle w:val="Normaallaadveeb"/>
        <w:spacing w:before="0" w:after="0" w:afterAutospacing="0"/>
        <w:jc w:val="both"/>
        <w:divId w:val="1316184749"/>
      </w:pPr>
      <w:r w:rsidRPr="00687DE8">
        <w:t>(1</w:t>
      </w:r>
      <w:r w:rsidR="00E378A0" w:rsidRPr="00687DE8">
        <w:t>3</w:t>
      </w:r>
      <w:r w:rsidRPr="00687DE8">
        <w:t xml:space="preserve">) </w:t>
      </w:r>
      <w:r w:rsidR="005023FD" w:rsidRPr="00687DE8">
        <w:t>Tervisekassa</w:t>
      </w:r>
      <w:r w:rsidRPr="00687DE8">
        <w:t xml:space="preserve"> võtab koodiga 329R tähistatud ravimiteenuse eest tasu maksmise kohustuse üle patsiendi esimese operatsiooni järel kuni kaks korda aastas ning edasi üks kord aastas.</w:t>
      </w:r>
    </w:p>
    <w:p w14:paraId="066934EA" w14:textId="77777777" w:rsidR="00976487" w:rsidRPr="00687DE8" w:rsidRDefault="00976487" w:rsidP="00976487">
      <w:pPr>
        <w:pStyle w:val="Normaallaadveeb"/>
        <w:spacing w:before="0" w:after="0" w:afterAutospacing="0"/>
        <w:jc w:val="both"/>
        <w:divId w:val="1316184749"/>
      </w:pPr>
    </w:p>
    <w:p w14:paraId="0D1F9A2D" w14:textId="355A6C2D" w:rsidR="00976487" w:rsidRPr="00687DE8" w:rsidRDefault="00976487" w:rsidP="00976487">
      <w:pPr>
        <w:pStyle w:val="Normaallaadveeb"/>
        <w:spacing w:before="0" w:after="0" w:afterAutospacing="0"/>
        <w:jc w:val="both"/>
        <w:divId w:val="1316184749"/>
      </w:pPr>
      <w:r w:rsidRPr="00687DE8">
        <w:t>(1</w:t>
      </w:r>
      <w:r w:rsidR="00E378A0" w:rsidRPr="00687DE8">
        <w:t>4</w:t>
      </w:r>
      <w:r w:rsidRPr="00687DE8">
        <w:t xml:space="preserve">) </w:t>
      </w:r>
      <w:r w:rsidR="005023FD" w:rsidRPr="00687DE8">
        <w:t>Tervisekassa</w:t>
      </w:r>
      <w:r w:rsidRPr="00687DE8">
        <w:t xml:space="preserve"> võtab koodiga 484R tähistatud ravimiteenuse eest tasu maksmise kohustuse üle juhul, kui haiglas on nakkushaiguste ennetamise ja tõrje seaduse § 23 lõigete 2 ja 3 alusel kehtestatud määruses sätestatud korras loodud nakkushaiguste kontrolli teenistus ja on tagatud infektsioonhaiguste kvalifikatsiooniga haiglanakkustõrje arsti pidev järelevalve ning ravi vajadus on hinnatud ja toimub vastavuses ravijuhendiga. Alla 10</w:t>
      </w:r>
      <w:r w:rsidR="00E95D1E" w:rsidRPr="00687DE8">
        <w:t xml:space="preserve"> kg</w:t>
      </w:r>
      <w:r w:rsidRPr="00687DE8">
        <w:t xml:space="preserve"> kehakaaluga patsiendi ravi korral rakendatakse tasumisel koefitsienti 0,24.</w:t>
      </w:r>
    </w:p>
    <w:p w14:paraId="7F743DCF" w14:textId="77777777" w:rsidR="00E47417" w:rsidRDefault="00E47417" w:rsidP="00976487">
      <w:pPr>
        <w:pStyle w:val="Normaallaadveeb"/>
        <w:spacing w:before="0" w:after="0" w:afterAutospacing="0"/>
        <w:jc w:val="both"/>
        <w:divId w:val="1316184749"/>
      </w:pPr>
    </w:p>
    <w:p w14:paraId="55BE2B7C" w14:textId="7FCCD18D" w:rsidR="00E47417" w:rsidRPr="00687DE8" w:rsidRDefault="00BF3A32" w:rsidP="00976487">
      <w:pPr>
        <w:pStyle w:val="Normaallaadveeb"/>
        <w:spacing w:before="0" w:after="0" w:afterAutospacing="0"/>
        <w:jc w:val="both"/>
        <w:divId w:val="1316184749"/>
      </w:pPr>
      <w:r>
        <w:t>(</w:t>
      </w:r>
      <w:r w:rsidR="009F7062">
        <w:t xml:space="preserve">15) </w:t>
      </w:r>
      <w:r w:rsidR="009F7062" w:rsidRPr="009C20AD">
        <w:t xml:space="preserve">Tervisekassa võtab koodidega </w:t>
      </w:r>
      <w:r w:rsidR="00BD1D81">
        <w:t>438R, 439R, 44</w:t>
      </w:r>
      <w:r w:rsidR="00B02971">
        <w:t>6</w:t>
      </w:r>
      <w:r w:rsidR="00BD1D81">
        <w:t>R ja 441R</w:t>
      </w:r>
      <w:r w:rsidR="009F7062" w:rsidRPr="009C20AD">
        <w:t xml:space="preserve"> tähistatud ravimiteenuste eest tasu maksmise kohustuse üle juhul, kui </w:t>
      </w:r>
      <w:r w:rsidR="006D2DF7">
        <w:t>raviasutuses</w:t>
      </w:r>
      <w:r w:rsidR="009F7062" w:rsidRPr="009C20AD">
        <w:t xml:space="preserve"> on nakkushaiguste ennetamise ja tõrje seaduse § 23 lõigete 2 ja 3 alusel kehtestatud määruses sätestatud korras loodud nakkushaiguste kontrolli </w:t>
      </w:r>
      <w:r w:rsidR="009F7062" w:rsidRPr="009C20AD">
        <w:lastRenderedPageBreak/>
        <w:t>teenistus ja on tagatud infektsioonhaiguste kvalifikatsiooniga haiglanakkustõrje arsti pidev järelevalve ning ravi vajadus on hinnatud ja toimub vastavuses Eesti või rahvusvaheliste ravijuhendi</w:t>
      </w:r>
      <w:r w:rsidR="00AC1788">
        <w:t>te</w:t>
      </w:r>
      <w:r w:rsidR="009F7062" w:rsidRPr="009C20AD">
        <w:t>ga</w:t>
      </w:r>
      <w:r w:rsidR="009F7062">
        <w:t>.</w:t>
      </w:r>
    </w:p>
    <w:p w14:paraId="75BF93ED" w14:textId="77777777" w:rsidR="00C95534" w:rsidRPr="00687DE8" w:rsidRDefault="00C95534" w:rsidP="00976487">
      <w:pPr>
        <w:pStyle w:val="Normaallaadveeb"/>
        <w:spacing w:before="0" w:after="0" w:afterAutospacing="0"/>
        <w:jc w:val="both"/>
        <w:divId w:val="1316184749"/>
      </w:pPr>
    </w:p>
    <w:p w14:paraId="51DEA513" w14:textId="28E03710" w:rsidR="00FE114F" w:rsidRPr="00687DE8" w:rsidRDefault="00FE114F" w:rsidP="00976487">
      <w:pPr>
        <w:pStyle w:val="Normaallaadveeb"/>
        <w:spacing w:before="0" w:after="0" w:afterAutospacing="0"/>
        <w:jc w:val="both"/>
        <w:divId w:val="1316184749"/>
      </w:pPr>
      <w:r>
        <w:t xml:space="preserve">(16) </w:t>
      </w:r>
      <w:r w:rsidR="00477AF3" w:rsidRPr="009C20AD">
        <w:t>Ravi alustamise koodidega</w:t>
      </w:r>
      <w:r w:rsidR="00477AF3">
        <w:t xml:space="preserve"> 438R, 439R, 44</w:t>
      </w:r>
      <w:r w:rsidR="00B02971">
        <w:t>6</w:t>
      </w:r>
      <w:r w:rsidR="00477AF3">
        <w:t xml:space="preserve">R ja 441R </w:t>
      </w:r>
      <w:r w:rsidR="00477AF3" w:rsidRPr="009C20AD">
        <w:t xml:space="preserve">tähistatud </w:t>
      </w:r>
      <w:r w:rsidR="00FF1409">
        <w:t>ravim</w:t>
      </w:r>
      <w:r w:rsidR="00457CC5">
        <w:t>i</w:t>
      </w:r>
      <w:r w:rsidR="00FF1409">
        <w:t>teenustega</w:t>
      </w:r>
      <w:r w:rsidR="00477AF3" w:rsidRPr="009C20AD">
        <w:t xml:space="preserve"> otsustab</w:t>
      </w:r>
      <w:r w:rsidR="00DD2EDE">
        <w:t xml:space="preserve"> </w:t>
      </w:r>
      <w:r w:rsidR="006D2DF7">
        <w:t>eksper</w:t>
      </w:r>
      <w:r w:rsidR="00990AA5">
        <w:t>di</w:t>
      </w:r>
      <w:r w:rsidR="006D2DF7">
        <w:t>komisjon</w:t>
      </w:r>
      <w:r w:rsidR="00477AF3" w:rsidRPr="009C20AD">
        <w:t xml:space="preserve">, </w:t>
      </w:r>
      <w:r w:rsidR="006D2DF7">
        <w:t>kuhu kuulub</w:t>
      </w:r>
      <w:r w:rsidR="00477AF3" w:rsidRPr="009C20AD">
        <w:t xml:space="preserve"> vähemalt üks </w:t>
      </w:r>
      <w:r w:rsidR="00733A12" w:rsidRPr="00733A12">
        <w:t>infektsioonhaigus</w:t>
      </w:r>
      <w:r w:rsidR="00EC624F">
        <w:t>t</w:t>
      </w:r>
      <w:r w:rsidR="00733A12" w:rsidRPr="00733A12">
        <w:t>e arst</w:t>
      </w:r>
      <w:r w:rsidR="00477AF3" w:rsidRPr="009C20AD">
        <w:t>.</w:t>
      </w:r>
    </w:p>
    <w:p w14:paraId="126E0C49" w14:textId="77777777" w:rsidR="00733A12" w:rsidRDefault="00733A12" w:rsidP="00976487">
      <w:pPr>
        <w:pStyle w:val="Normaallaadveeb"/>
        <w:spacing w:before="0" w:after="0" w:afterAutospacing="0"/>
        <w:jc w:val="both"/>
        <w:divId w:val="1316184749"/>
      </w:pPr>
    </w:p>
    <w:p w14:paraId="4AB52F8F" w14:textId="3CAD2140" w:rsidR="00733A12" w:rsidRPr="00687DE8" w:rsidRDefault="00733A12" w:rsidP="00976487">
      <w:pPr>
        <w:pStyle w:val="Normaallaadveeb"/>
        <w:spacing w:before="0" w:after="0" w:afterAutospacing="0"/>
        <w:jc w:val="both"/>
        <w:divId w:val="1316184749"/>
      </w:pPr>
      <w:r>
        <w:t xml:space="preserve">(17) </w:t>
      </w:r>
      <w:r w:rsidR="00E07CA1" w:rsidRPr="009C20AD">
        <w:t xml:space="preserve">Koodidega </w:t>
      </w:r>
      <w:r w:rsidR="00E07CA1">
        <w:t>438R, 439R, 44</w:t>
      </w:r>
      <w:r w:rsidR="00B02971">
        <w:t>6</w:t>
      </w:r>
      <w:r w:rsidR="00E07CA1">
        <w:t xml:space="preserve">R ja 441R </w:t>
      </w:r>
      <w:r w:rsidR="00E07CA1" w:rsidRPr="009C20AD">
        <w:t>tähistatud ravim</w:t>
      </w:r>
      <w:r w:rsidR="007828DA">
        <w:t>i</w:t>
      </w:r>
      <w:r w:rsidR="00E07CA1" w:rsidRPr="009C20AD">
        <w:t>teenuste samaaegne rakendamine patsiendi ravis ei ole lubatud.</w:t>
      </w:r>
    </w:p>
    <w:p w14:paraId="106A676C" w14:textId="77777777" w:rsidR="00976487" w:rsidRPr="00687DE8" w:rsidRDefault="00976487" w:rsidP="00976487">
      <w:pPr>
        <w:pStyle w:val="Normaallaadveeb"/>
        <w:spacing w:before="0" w:after="0" w:afterAutospacing="0"/>
        <w:jc w:val="both"/>
        <w:divId w:val="1316184749"/>
      </w:pPr>
    </w:p>
    <w:p w14:paraId="5D0E611D" w14:textId="28F8A420" w:rsidR="00976487" w:rsidRPr="00687DE8" w:rsidRDefault="00976487" w:rsidP="00976487">
      <w:pPr>
        <w:pStyle w:val="Normaallaadveeb"/>
        <w:spacing w:before="0" w:after="0" w:afterAutospacing="0"/>
        <w:jc w:val="both"/>
        <w:divId w:val="1316184749"/>
      </w:pPr>
      <w:r w:rsidRPr="00687DE8">
        <w:t>(1</w:t>
      </w:r>
      <w:r w:rsidR="00882B54">
        <w:t>8</w:t>
      </w:r>
      <w:r w:rsidRPr="00687DE8">
        <w:t xml:space="preserve">) Koodiga 492R tähistatud ravimiteenust rakendatakse </w:t>
      </w:r>
      <w:r w:rsidRPr="003D1F0D">
        <w:t xml:space="preserve">lõigetes </w:t>
      </w:r>
      <w:r w:rsidR="0069610C" w:rsidRPr="003D1F0D">
        <w:t>1</w:t>
      </w:r>
      <w:r w:rsidR="00D52007" w:rsidRPr="003D1F0D">
        <w:t>9</w:t>
      </w:r>
      <w:r w:rsidR="000A6C7E" w:rsidRPr="003D1F0D">
        <w:t>–</w:t>
      </w:r>
      <w:r w:rsidR="00F03A4A" w:rsidRPr="003D1F0D">
        <w:t>22</w:t>
      </w:r>
      <w:r w:rsidR="0069610C" w:rsidRPr="00687DE8">
        <w:t xml:space="preserve"> </w:t>
      </w:r>
      <w:r w:rsidRPr="00687DE8">
        <w:t>sätestatud juhtudel.</w:t>
      </w:r>
    </w:p>
    <w:p w14:paraId="0BB08F4C" w14:textId="77777777" w:rsidR="00976487" w:rsidRPr="00687DE8" w:rsidRDefault="00976487" w:rsidP="00976487">
      <w:pPr>
        <w:pStyle w:val="Normaallaadveeb"/>
        <w:spacing w:before="0" w:after="0" w:afterAutospacing="0"/>
        <w:jc w:val="both"/>
        <w:divId w:val="1316184749"/>
      </w:pPr>
    </w:p>
    <w:p w14:paraId="0F761075" w14:textId="65BD2FF2" w:rsidR="00976487" w:rsidRPr="00687DE8" w:rsidRDefault="00976487" w:rsidP="00976487">
      <w:pPr>
        <w:pStyle w:val="Normaallaadveeb"/>
        <w:spacing w:before="0" w:after="0" w:afterAutospacing="0"/>
        <w:jc w:val="both"/>
        <w:divId w:val="1316184749"/>
      </w:pPr>
      <w:r w:rsidRPr="00687DE8">
        <w:t>(1</w:t>
      </w:r>
      <w:r w:rsidR="00882B54">
        <w:t>9</w:t>
      </w:r>
      <w:r w:rsidRPr="00687DE8">
        <w:t>) Ravi alustamise koodiga 492R tähistatud ravimiga otsustab kesk- või piirkondliku haigla või SA Viljandi Haigla eksper</w:t>
      </w:r>
      <w:r w:rsidR="00DD4231" w:rsidRPr="00687DE8">
        <w:t>di</w:t>
      </w:r>
      <w:r w:rsidRPr="00687DE8">
        <w:t>komisjon.</w:t>
      </w:r>
    </w:p>
    <w:p w14:paraId="3F6214AC" w14:textId="77777777" w:rsidR="00976487" w:rsidRPr="00687DE8" w:rsidRDefault="00976487" w:rsidP="00976487">
      <w:pPr>
        <w:pStyle w:val="Normaallaadveeb"/>
        <w:spacing w:before="0" w:after="0" w:afterAutospacing="0"/>
        <w:jc w:val="both"/>
        <w:divId w:val="1316184749"/>
      </w:pPr>
    </w:p>
    <w:p w14:paraId="30BFDEDB" w14:textId="25E54C54" w:rsidR="00976487" w:rsidRPr="00687DE8" w:rsidRDefault="00976487" w:rsidP="00976487">
      <w:pPr>
        <w:pStyle w:val="Normaallaadveeb"/>
        <w:spacing w:before="0" w:after="0" w:afterAutospacing="0"/>
        <w:jc w:val="both"/>
        <w:divId w:val="1316184749"/>
      </w:pPr>
      <w:r w:rsidRPr="00687DE8">
        <w:t>(</w:t>
      </w:r>
      <w:r w:rsidR="00882B54">
        <w:t>20</w:t>
      </w:r>
      <w:r w:rsidRPr="00687DE8">
        <w:t xml:space="preserve">) </w:t>
      </w:r>
      <w:r w:rsidR="005023FD" w:rsidRPr="00687DE8">
        <w:t>Tervisekassa</w:t>
      </w:r>
      <w:r w:rsidRPr="00687DE8">
        <w:t xml:space="preserve"> võtab koodiga 492R tähistatud ravimiteenuse eest tasu maksmise kohustuse üle kuni </w:t>
      </w:r>
      <w:r w:rsidR="00454EE5" w:rsidRPr="00687DE8">
        <w:t>13 nelja</w:t>
      </w:r>
      <w:r w:rsidRPr="00687DE8">
        <w:t xml:space="preserve">nädalase ravikuuri eest aastas kindlustatud isiku kohta </w:t>
      </w:r>
      <w:r w:rsidR="00454EE5" w:rsidRPr="00687DE8">
        <w:t>olenevalt</w:t>
      </w:r>
      <w:r w:rsidRPr="00687DE8">
        <w:t xml:space="preserve"> </w:t>
      </w:r>
      <w:r w:rsidR="00454EE5" w:rsidRPr="00687DE8">
        <w:t>nelja</w:t>
      </w:r>
      <w:r w:rsidRPr="00687DE8">
        <w:t>nädalaste ravikuuride hulgast, mille vältel kindlustatud isik on ravi saanud.</w:t>
      </w:r>
    </w:p>
    <w:p w14:paraId="4BD53F44" w14:textId="77777777" w:rsidR="00976487" w:rsidRPr="00687DE8" w:rsidRDefault="00976487" w:rsidP="00976487">
      <w:pPr>
        <w:pStyle w:val="Normaallaadveeb"/>
        <w:spacing w:before="0" w:after="0" w:afterAutospacing="0"/>
        <w:jc w:val="both"/>
        <w:divId w:val="1316184749"/>
      </w:pPr>
    </w:p>
    <w:p w14:paraId="4EE8E706" w14:textId="68ADFE31" w:rsidR="00976487" w:rsidRPr="00687DE8" w:rsidRDefault="00976487" w:rsidP="00976487">
      <w:pPr>
        <w:pStyle w:val="Normaallaadveeb"/>
        <w:spacing w:before="0" w:after="0" w:afterAutospacing="0"/>
        <w:jc w:val="both"/>
        <w:divId w:val="1316184749"/>
      </w:pPr>
      <w:r w:rsidRPr="00687DE8">
        <w:t>(</w:t>
      </w:r>
      <w:r w:rsidR="00882B54">
        <w:t>21</w:t>
      </w:r>
      <w:r w:rsidRPr="00687DE8">
        <w:t xml:space="preserve">) </w:t>
      </w:r>
      <w:r w:rsidR="005023FD" w:rsidRPr="00687DE8">
        <w:t>Tervisekassa</w:t>
      </w:r>
      <w:r w:rsidRPr="00687DE8">
        <w:t xml:space="preserve"> võtab koodiga 492R tähistatud ravimiteenuse eest tasu maksmise kohustuse üle skisofreeniat (RHK 10 koodid F20–29) põdeva haige eest, kellel on suukaudse antipsühhootilise raviga saavutatud remissioon, kuid kes on lõpetanud toetusravi patsiendi enda või tema lähedaste andmetel või kasutab ravimeid ebaregulaarselt ning seetõttu on haiguse kulg muutunud, on ilmnenud algava haiguse ägenemise tunnused ravijuhises kirjeldatud tunnustel või esineb kõrgenenud risk haiguse ägenemiseks.</w:t>
      </w:r>
    </w:p>
    <w:p w14:paraId="57F3AA6B" w14:textId="77777777" w:rsidR="00976487" w:rsidRPr="00687DE8" w:rsidRDefault="00976487" w:rsidP="00976487">
      <w:pPr>
        <w:pStyle w:val="Normaallaadveeb"/>
        <w:spacing w:before="0" w:after="0" w:afterAutospacing="0"/>
        <w:jc w:val="both"/>
        <w:divId w:val="1316184749"/>
      </w:pPr>
    </w:p>
    <w:p w14:paraId="39DDB186" w14:textId="75FD892C" w:rsidR="00976487" w:rsidRPr="00687DE8" w:rsidRDefault="00976487" w:rsidP="00976487">
      <w:pPr>
        <w:pStyle w:val="Normaallaadveeb"/>
        <w:spacing w:before="0" w:after="0" w:afterAutospacing="0"/>
        <w:jc w:val="both"/>
        <w:divId w:val="1316184749"/>
      </w:pPr>
      <w:r w:rsidRPr="00687DE8">
        <w:t>(</w:t>
      </w:r>
      <w:r w:rsidR="00882B54">
        <w:t>22</w:t>
      </w:r>
      <w:r w:rsidRPr="00687DE8">
        <w:t xml:space="preserve">) </w:t>
      </w:r>
      <w:r w:rsidR="005023FD" w:rsidRPr="00687DE8">
        <w:t>Tervisekassa</w:t>
      </w:r>
      <w:r w:rsidRPr="00687DE8">
        <w:t xml:space="preserve"> võtab koodiga 492R tähistatud ravimiteenuse eest tasu maksmise kohustuse üle juhul, kui patsienti on enne ravimi depoovormile üleminekut adekvaatse annuse ja adekvaatse pikkusega perioodi vältel ravitud sama toimeaine suukaudse ravimivormiga, et teha kindlaks patsiendi toimeaine taluvus ja sümptomite alluvus ravile.</w:t>
      </w:r>
    </w:p>
    <w:p w14:paraId="08F035AE" w14:textId="77777777" w:rsidR="00976487" w:rsidRPr="00687DE8" w:rsidRDefault="00976487" w:rsidP="00976487">
      <w:pPr>
        <w:pStyle w:val="Normaallaadveeb"/>
        <w:spacing w:before="0" w:after="0" w:afterAutospacing="0"/>
        <w:jc w:val="both"/>
        <w:divId w:val="1316184749"/>
      </w:pPr>
    </w:p>
    <w:p w14:paraId="0247F914" w14:textId="1A8441FE" w:rsidR="00976487" w:rsidRPr="00687DE8" w:rsidRDefault="00976487" w:rsidP="00976487">
      <w:pPr>
        <w:pStyle w:val="Normaallaadveeb"/>
        <w:spacing w:before="0" w:after="0" w:afterAutospacing="0"/>
        <w:jc w:val="both"/>
        <w:divId w:val="1316184749"/>
      </w:pPr>
      <w:r w:rsidRPr="00687DE8">
        <w:t>(2</w:t>
      </w:r>
      <w:r w:rsidR="00882B54">
        <w:t>3</w:t>
      </w:r>
      <w:r w:rsidRPr="00687DE8">
        <w:t>) Koodiga 336R tähistatud ravimiteenust rakendatakse piirkondliku</w:t>
      </w:r>
      <w:r w:rsidR="5375F6A3" w:rsidRPr="00687DE8">
        <w:t>s</w:t>
      </w:r>
      <w:r w:rsidRPr="00687DE8">
        <w:t xml:space="preserve"> haigla</w:t>
      </w:r>
      <w:r w:rsidR="3BAC0EB9" w:rsidRPr="00687DE8">
        <w:t>s</w:t>
      </w:r>
      <w:r w:rsidRPr="00687DE8">
        <w:t xml:space="preserve"> kuni </w:t>
      </w:r>
      <w:r w:rsidR="11A04F02" w:rsidRPr="00687DE8">
        <w:t>120</w:t>
      </w:r>
      <w:r w:rsidRPr="00687DE8">
        <w:t> tundi patsiendi kohta.</w:t>
      </w:r>
    </w:p>
    <w:p w14:paraId="1E2B35D5" w14:textId="77777777" w:rsidR="00976487" w:rsidRPr="00687DE8" w:rsidRDefault="00976487" w:rsidP="00976487">
      <w:pPr>
        <w:pStyle w:val="Normaallaadveeb"/>
        <w:spacing w:before="0" w:after="0" w:afterAutospacing="0"/>
        <w:jc w:val="both"/>
        <w:divId w:val="1316184749"/>
      </w:pPr>
    </w:p>
    <w:p w14:paraId="7ABCDD62" w14:textId="5EE45B0E" w:rsidR="00976487" w:rsidRPr="00687DE8" w:rsidRDefault="00976487" w:rsidP="00976487">
      <w:pPr>
        <w:pStyle w:val="Normaallaadveeb"/>
        <w:spacing w:before="0" w:after="0" w:afterAutospacing="0"/>
        <w:jc w:val="both"/>
        <w:divId w:val="1316184749"/>
      </w:pPr>
      <w:r w:rsidRPr="00687DE8">
        <w:t>(2</w:t>
      </w:r>
      <w:r w:rsidR="00882B54">
        <w:t>4</w:t>
      </w:r>
      <w:r w:rsidRPr="00687DE8">
        <w:t xml:space="preserve">) </w:t>
      </w:r>
      <w:r w:rsidR="005023FD" w:rsidRPr="00687DE8">
        <w:t>Tervisekassa</w:t>
      </w:r>
      <w:r w:rsidRPr="00687DE8">
        <w:t xml:space="preserve"> võtab koodiga 486R tähistatud ravimiteenuse eest tasu maksmise kohustuse üle pahaloomulise kasvajaga patsiendilt luustikuga seotud tüsistuste vältimiseks ja tuumorist indutseeritud hüperkaltseemia raviks.</w:t>
      </w:r>
    </w:p>
    <w:p w14:paraId="3A85E180" w14:textId="77777777" w:rsidR="00976487" w:rsidRPr="00687DE8" w:rsidRDefault="00976487" w:rsidP="00976487">
      <w:pPr>
        <w:pStyle w:val="Normaallaadveeb"/>
        <w:spacing w:before="0" w:after="0" w:afterAutospacing="0"/>
        <w:jc w:val="both"/>
        <w:divId w:val="1316184749"/>
      </w:pPr>
    </w:p>
    <w:p w14:paraId="3D28D0BB" w14:textId="7986013F" w:rsidR="00976487" w:rsidRPr="00687DE8" w:rsidRDefault="00976487" w:rsidP="00976487">
      <w:pPr>
        <w:pStyle w:val="Normaallaadveeb"/>
        <w:spacing w:before="0" w:after="0" w:afterAutospacing="0"/>
        <w:jc w:val="both"/>
        <w:divId w:val="1316184749"/>
      </w:pPr>
      <w:r w:rsidRPr="00687DE8">
        <w:t>(2</w:t>
      </w:r>
      <w:r w:rsidR="00882B54">
        <w:t>5</w:t>
      </w:r>
      <w:r w:rsidRPr="00687DE8">
        <w:t xml:space="preserve">) </w:t>
      </w:r>
      <w:r w:rsidR="005023FD" w:rsidRPr="00687DE8">
        <w:t>Tervisekassa</w:t>
      </w:r>
      <w:r w:rsidRPr="00687DE8">
        <w:t xml:space="preserve"> võtab toimeaine denosumab (kood 486R) eest tasu maksmise kohustuse üle patsiendilt, kellel esineb progresseeruv neerupuudulikkus, soodumus neerupuudulikkuse tekkeks tulenevalt nefrotoksilisest keemiaravist või talumatus bisfosfonaatide suhtes.</w:t>
      </w:r>
    </w:p>
    <w:p w14:paraId="61DC589E" w14:textId="77777777" w:rsidR="00976487" w:rsidRPr="00687DE8" w:rsidRDefault="00976487" w:rsidP="00976487">
      <w:pPr>
        <w:pStyle w:val="Normaallaadveeb"/>
        <w:spacing w:before="0" w:after="0" w:afterAutospacing="0"/>
        <w:jc w:val="both"/>
        <w:divId w:val="1316184749"/>
      </w:pPr>
    </w:p>
    <w:p w14:paraId="5D409890" w14:textId="24EAD3EF" w:rsidR="00976487" w:rsidRPr="00687DE8" w:rsidRDefault="00976487" w:rsidP="00976487">
      <w:pPr>
        <w:pStyle w:val="Normaallaadveeb"/>
        <w:spacing w:before="0" w:after="0" w:afterAutospacing="0"/>
        <w:jc w:val="both"/>
        <w:divId w:val="1316184749"/>
      </w:pPr>
      <w:r w:rsidRPr="00687DE8">
        <w:t>(2</w:t>
      </w:r>
      <w:r w:rsidR="00882B54">
        <w:t>6</w:t>
      </w:r>
      <w:r w:rsidRPr="00687DE8">
        <w:t xml:space="preserve">) </w:t>
      </w:r>
      <w:r w:rsidR="005023FD" w:rsidRPr="00687DE8">
        <w:t>Tervisekassa</w:t>
      </w:r>
      <w:r w:rsidRPr="00687DE8">
        <w:t xml:space="preserve"> võtab koodiga 486R tähistatud ravimiteenuse eest tasu maksmise kohustuse üle primaarse hüperparatüreoosiga seotud hüperkaltseemilise kriisi ravi (üldkaltsium &gt; 3,5 mmol/l) või hüperkaltseemilise kriisi riski (üldkaltsium &gt; 3 mmol/l, millega kaasnevad hüperkaltseemia sümptomid) vähendamise korral kirurgilise ravi eelsel perioodil.</w:t>
      </w:r>
    </w:p>
    <w:p w14:paraId="1229AD1F" w14:textId="77777777" w:rsidR="00976487" w:rsidRPr="00687DE8" w:rsidRDefault="00976487" w:rsidP="00976487">
      <w:pPr>
        <w:pStyle w:val="Normaallaadveeb"/>
        <w:spacing w:before="0" w:after="0" w:afterAutospacing="0"/>
        <w:jc w:val="both"/>
        <w:divId w:val="1316184749"/>
      </w:pPr>
    </w:p>
    <w:p w14:paraId="63E34BD0" w14:textId="5FD15003" w:rsidR="00976487" w:rsidRPr="00687DE8" w:rsidRDefault="00976487" w:rsidP="00976487">
      <w:pPr>
        <w:pStyle w:val="Normaallaadveeb"/>
        <w:spacing w:before="0" w:after="0" w:afterAutospacing="0"/>
        <w:jc w:val="both"/>
        <w:divId w:val="1316184749"/>
      </w:pPr>
      <w:r w:rsidRPr="00687DE8">
        <w:lastRenderedPageBreak/>
        <w:t>(2</w:t>
      </w:r>
      <w:r w:rsidR="00882B54">
        <w:t>7</w:t>
      </w:r>
      <w:r w:rsidRPr="00687DE8">
        <w:t xml:space="preserve">) </w:t>
      </w:r>
      <w:r w:rsidR="005023FD" w:rsidRPr="00687DE8">
        <w:t>Tervisekassa</w:t>
      </w:r>
      <w:r w:rsidRPr="00687DE8">
        <w:t xml:space="preserve"> võtab koodiga 338R tähistatud ravimiteenuse eest tasu maksmise kohustuse üle juhul, kui ravimiteenust rakendatakse esimese valiku ravina aspergilloosi (RHK 10 kood B44) korral, esimese või teise valiku ravina mukormükoosi (RHK 10 kood B46) korral ja esimese valiku ravina kandidiaasi (RKH 10 kood B37) korral, kui eelnevalt on rakendatud profülaktikat flukonasooli või posakonasooliga, ning teise valiku ravina kandidiaasi korral, kui on olemas vastav ravijuhis.</w:t>
      </w:r>
    </w:p>
    <w:p w14:paraId="21E04454" w14:textId="77777777" w:rsidR="00976487" w:rsidRPr="00687DE8" w:rsidRDefault="00976487" w:rsidP="00976487">
      <w:pPr>
        <w:pStyle w:val="Normaallaadveeb"/>
        <w:spacing w:before="0" w:after="0" w:afterAutospacing="0"/>
        <w:jc w:val="both"/>
        <w:divId w:val="1316184749"/>
      </w:pPr>
    </w:p>
    <w:p w14:paraId="33AA1538" w14:textId="7BF77B46" w:rsidR="00976487" w:rsidRPr="00687DE8" w:rsidRDefault="00976487" w:rsidP="00976487">
      <w:pPr>
        <w:pStyle w:val="Normaallaadveeb"/>
        <w:spacing w:before="0" w:after="0" w:afterAutospacing="0"/>
        <w:jc w:val="both"/>
        <w:divId w:val="1316184749"/>
      </w:pPr>
      <w:r w:rsidRPr="00687DE8">
        <w:t>(2</w:t>
      </w:r>
      <w:r w:rsidR="00882B54">
        <w:t>8</w:t>
      </w:r>
      <w:r w:rsidRPr="00687DE8">
        <w:t xml:space="preserve">) </w:t>
      </w:r>
      <w:r w:rsidR="005023FD" w:rsidRPr="00687DE8">
        <w:t>Tervisekassa</w:t>
      </w:r>
      <w:r w:rsidRPr="00687DE8">
        <w:t xml:space="preserve"> võtab koodiga 338R tähistatud ravimiteenuse piirhinna alusel tasu maksmise kohustuse üle juhul, kui </w:t>
      </w:r>
      <w:r w:rsidR="5D60FA48" w:rsidRPr="00687DE8">
        <w:t xml:space="preserve">raviasutuses </w:t>
      </w:r>
      <w:r w:rsidRPr="00687DE8">
        <w:t>on nakkushaiguste ennetamise ja tõrje seaduse § 23 lõigete 2 ja 3 alusel kehtestatud määruses sätestatud korras loodud nakkushaiguste kontrolli teenistus ja on tagatud infektsioonhaiguste kvalifikatsiooniga haiglanakkustõrje arsti pidev järelevalve.</w:t>
      </w:r>
    </w:p>
    <w:p w14:paraId="1EFCE2DB" w14:textId="77777777" w:rsidR="00976487" w:rsidRPr="00687DE8" w:rsidRDefault="00976487" w:rsidP="00976487">
      <w:pPr>
        <w:pStyle w:val="Normaallaadveeb"/>
        <w:spacing w:before="0" w:after="0" w:afterAutospacing="0"/>
        <w:jc w:val="both"/>
        <w:divId w:val="1316184749"/>
      </w:pPr>
    </w:p>
    <w:p w14:paraId="6697B968" w14:textId="604113C1" w:rsidR="00976487" w:rsidRPr="00687DE8" w:rsidRDefault="00976487" w:rsidP="00976487">
      <w:pPr>
        <w:pStyle w:val="Normaallaadveeb"/>
        <w:spacing w:before="0" w:after="0" w:afterAutospacing="0"/>
        <w:jc w:val="both"/>
        <w:divId w:val="1316184749"/>
      </w:pPr>
      <w:r w:rsidRPr="00687DE8">
        <w:t>(2</w:t>
      </w:r>
      <w:r w:rsidR="00882B54">
        <w:t>9</w:t>
      </w:r>
      <w:r w:rsidRPr="00687DE8">
        <w:t xml:space="preserve">) </w:t>
      </w:r>
      <w:r w:rsidR="005023FD" w:rsidRPr="00687DE8">
        <w:t>Tervisekassa</w:t>
      </w:r>
      <w:r w:rsidRPr="00687DE8">
        <w:t xml:space="preserve"> võtab koodiga 339R tähistatud ravimiteenuse eest tasu maksmise kohustuse üle maksimaalselt 13 korra eest patsiendi kohta aastas</w:t>
      </w:r>
      <w:r w:rsidR="00C65AAB" w:rsidRPr="00687DE8">
        <w:t>.</w:t>
      </w:r>
      <w:r w:rsidRPr="00687DE8">
        <w:t xml:space="preserve"> </w:t>
      </w:r>
    </w:p>
    <w:p w14:paraId="65B0C06B" w14:textId="77777777" w:rsidR="00976487" w:rsidRPr="00687DE8" w:rsidRDefault="00976487" w:rsidP="00976487">
      <w:pPr>
        <w:pStyle w:val="Normaallaadveeb"/>
        <w:spacing w:before="0" w:after="0" w:afterAutospacing="0"/>
        <w:jc w:val="both"/>
        <w:divId w:val="1316184749"/>
      </w:pPr>
    </w:p>
    <w:p w14:paraId="48D2A974" w14:textId="3B9FBF89" w:rsidR="00976487" w:rsidRPr="00687DE8" w:rsidRDefault="00976487" w:rsidP="00976487">
      <w:pPr>
        <w:pStyle w:val="Normaallaadveeb"/>
        <w:spacing w:before="0" w:after="0" w:afterAutospacing="0"/>
        <w:jc w:val="both"/>
        <w:divId w:val="1316184749"/>
      </w:pPr>
      <w:r w:rsidRPr="00687DE8">
        <w:t>(</w:t>
      </w:r>
      <w:r w:rsidR="00882B54">
        <w:t>30</w:t>
      </w:r>
      <w:r w:rsidRPr="00687DE8">
        <w:t xml:space="preserve">) </w:t>
      </w:r>
      <w:r w:rsidR="005023FD" w:rsidRPr="00687DE8">
        <w:t>Tervisekassa</w:t>
      </w:r>
      <w:r w:rsidRPr="00687DE8">
        <w:t xml:space="preserve"> võtab koodiga 341R tähistatud ravimiteenuse eest tasu maksmise kohustuse üle juhul, kui ravimi vajaduse on ühiselt otsustanud haiglate loetelus nimetatud piirkondlikus haiglas töötavad neonatoloog, pulmonoloog ja kardioloog.</w:t>
      </w:r>
    </w:p>
    <w:p w14:paraId="0C0B3E62" w14:textId="41F140B0" w:rsidR="006B46C2" w:rsidRDefault="006B46C2" w:rsidP="00990AA5">
      <w:pPr>
        <w:pStyle w:val="Normaallaadveeb"/>
        <w:spacing w:before="0" w:after="0" w:afterAutospacing="0"/>
        <w:jc w:val="both"/>
        <w:divId w:val="1316184749"/>
      </w:pPr>
    </w:p>
    <w:p w14:paraId="7B2BCEDC" w14:textId="446F6661" w:rsidR="00FC5C10" w:rsidRDefault="006B46C2" w:rsidP="00990AA5">
      <w:pPr>
        <w:pStyle w:val="Normaallaadveeb"/>
        <w:spacing w:before="0" w:after="0" w:afterAutospacing="0"/>
        <w:jc w:val="both"/>
        <w:divId w:val="1316184749"/>
      </w:pPr>
      <w:r>
        <w:t xml:space="preserve">(31) </w:t>
      </w:r>
      <w:r w:rsidR="0020615D" w:rsidRPr="0020615D">
        <w:t xml:space="preserve">Tervisekassa võtab koodiga 431R tähistatud ravimiteenuse eest tasu maksmise kohustuse üle </w:t>
      </w:r>
      <w:r w:rsidR="0020615D">
        <w:t>patsiendilt</w:t>
      </w:r>
      <w:r w:rsidR="0020615D" w:rsidRPr="0020615D">
        <w:t>, kellel on väike tõenäosus saada siirikut olemasoleva neerujaotussüsteemi, s</w:t>
      </w:r>
      <w:r w:rsidR="00277E99">
        <w:t>ea</w:t>
      </w:r>
      <w:r w:rsidR="00273D5A">
        <w:t>l</w:t>
      </w:r>
      <w:r w:rsidR="0020615D" w:rsidRPr="0020615D">
        <w:t>h</w:t>
      </w:r>
      <w:r w:rsidR="00273D5A">
        <w:t>ulgas</w:t>
      </w:r>
      <w:r w:rsidR="0020615D" w:rsidRPr="0020615D">
        <w:t xml:space="preserve"> </w:t>
      </w:r>
      <w:r w:rsidR="0020615D" w:rsidRPr="008178FF">
        <w:rPr>
          <w:iCs/>
        </w:rPr>
        <w:t>Scandiatransplant</w:t>
      </w:r>
      <w:r w:rsidR="00990AA5">
        <w:rPr>
          <w:iCs/>
        </w:rPr>
        <w:t>i</w:t>
      </w:r>
      <w:r w:rsidR="000B5B31" w:rsidRPr="008178FF" w:rsidDel="00990AA5">
        <w:rPr>
          <w:iCs/>
        </w:rPr>
        <w:t>’</w:t>
      </w:r>
      <w:r w:rsidR="0020615D" w:rsidRPr="008178FF" w:rsidDel="00990AA5">
        <w:rPr>
          <w:iCs/>
        </w:rPr>
        <w:t>i</w:t>
      </w:r>
      <w:r w:rsidR="0020615D" w:rsidRPr="00990AA5">
        <w:rPr>
          <w:iCs/>
        </w:rPr>
        <w:t xml:space="preserve"> </w:t>
      </w:r>
      <w:r w:rsidR="0020615D" w:rsidRPr="0020615D">
        <w:t>kõrgelt sensibiliseerunud patsientide programmi raames</w:t>
      </w:r>
      <w:r w:rsidR="00FC5C10">
        <w:t>.</w:t>
      </w:r>
    </w:p>
    <w:p w14:paraId="13554FE2" w14:textId="77777777" w:rsidR="00990AA5" w:rsidRDefault="00990AA5" w:rsidP="00990AA5">
      <w:pPr>
        <w:pStyle w:val="Normaallaadveeb"/>
        <w:spacing w:before="0" w:after="0" w:afterAutospacing="0"/>
        <w:jc w:val="both"/>
        <w:divId w:val="1316184749"/>
      </w:pPr>
    </w:p>
    <w:p w14:paraId="277A49C0" w14:textId="00B777AD" w:rsidR="00490229" w:rsidRPr="00490229" w:rsidRDefault="00FC5C10" w:rsidP="008178FF">
      <w:pPr>
        <w:pStyle w:val="Normaallaadveeb"/>
        <w:spacing w:before="0" w:after="0" w:afterAutospacing="0"/>
        <w:jc w:val="both"/>
        <w:divId w:val="1316184749"/>
      </w:pPr>
      <w:r>
        <w:t xml:space="preserve">(32) </w:t>
      </w:r>
      <w:r w:rsidR="00490229" w:rsidRPr="00490229">
        <w:t>Ravi alustamise koodiga 431R tähistatud ravimiteenusega otsustab multidistsiplinaarne eksperdikomisjon, kuhu kuuluvad nefroloog, neerusiirdamise pädevusega uroloog ja koesobivuslabori spetsialist</w:t>
      </w:r>
      <w:r w:rsidR="00990AA5">
        <w:t>,</w:t>
      </w:r>
      <w:r w:rsidR="00490229" w:rsidRPr="00490229">
        <w:t xml:space="preserve"> ning ravimiteenust rakendatakse elundisiirdamise kõrvaltingimusega eriarstiabi osutamise tegevusluba omavas haiglas.</w:t>
      </w:r>
    </w:p>
    <w:p w14:paraId="7FB389FE" w14:textId="77777777" w:rsidR="00990AA5" w:rsidRDefault="00990AA5" w:rsidP="00990AA5">
      <w:pPr>
        <w:pStyle w:val="Normaallaadveeb"/>
        <w:spacing w:before="0" w:after="0" w:afterAutospacing="0"/>
        <w:jc w:val="both"/>
        <w:divId w:val="1316184749"/>
      </w:pPr>
    </w:p>
    <w:p w14:paraId="08213C33" w14:textId="13EF7B50" w:rsidR="00FC5C10" w:rsidRPr="00687DE8" w:rsidRDefault="002668C4" w:rsidP="00990AA5">
      <w:pPr>
        <w:pStyle w:val="Normaallaadveeb"/>
        <w:spacing w:before="0" w:after="0" w:afterAutospacing="0"/>
        <w:jc w:val="both"/>
        <w:divId w:val="1316184749"/>
      </w:pPr>
      <w:r>
        <w:t>(33)</w:t>
      </w:r>
      <w:r w:rsidR="008D384B" w:rsidRPr="008D384B">
        <w:t xml:space="preserve"> </w:t>
      </w:r>
      <w:r w:rsidR="00990AA5">
        <w:t>K</w:t>
      </w:r>
      <w:r w:rsidR="008D384B">
        <w:t>oodiga 431R</w:t>
      </w:r>
      <w:r w:rsidR="00C9184F">
        <w:t xml:space="preserve"> tähistatud </w:t>
      </w:r>
      <w:r w:rsidR="00E804E6">
        <w:t>ravimi</w:t>
      </w:r>
      <w:r w:rsidR="00C9184F">
        <w:t>teenus</w:t>
      </w:r>
      <w:r w:rsidR="00990AA5">
        <w:t>t rakendatakse</w:t>
      </w:r>
      <w:r w:rsidR="008D384B" w:rsidRPr="008D384B">
        <w:t xml:space="preserve"> patsiendile </w:t>
      </w:r>
      <w:r w:rsidR="00990AA5">
        <w:t>kõige</w:t>
      </w:r>
      <w:r w:rsidR="008D384B" w:rsidRPr="008D384B">
        <w:t xml:space="preserve"> rohkem üks kord desensibiliseerimise eesmärgi</w:t>
      </w:r>
      <w:r w:rsidR="005776D4">
        <w:t>l.</w:t>
      </w:r>
    </w:p>
    <w:p w14:paraId="1D34DA25" w14:textId="3F90F452" w:rsidR="005776D4" w:rsidRDefault="005776D4" w:rsidP="00990AA5">
      <w:pPr>
        <w:pStyle w:val="Normaallaadveeb"/>
        <w:spacing w:before="0" w:after="0" w:afterAutospacing="0"/>
        <w:jc w:val="both"/>
        <w:divId w:val="1316184749"/>
      </w:pPr>
    </w:p>
    <w:p w14:paraId="1ED91431" w14:textId="5C701D21" w:rsidR="005776D4" w:rsidRPr="00687DE8" w:rsidRDefault="005776D4" w:rsidP="00990AA5">
      <w:pPr>
        <w:pStyle w:val="Normaallaadveeb"/>
        <w:spacing w:before="0" w:after="0" w:afterAutospacing="0"/>
        <w:jc w:val="both"/>
        <w:divId w:val="1316184749"/>
      </w:pPr>
      <w:r>
        <w:t xml:space="preserve">(34) </w:t>
      </w:r>
      <w:r w:rsidRPr="005776D4">
        <w:t xml:space="preserve">Ühe patsiendi kohta tohib </w:t>
      </w:r>
      <w:r w:rsidR="008D1FED">
        <w:t xml:space="preserve">koodiga </w:t>
      </w:r>
      <w:r w:rsidRPr="005776D4">
        <w:t xml:space="preserve">431R </w:t>
      </w:r>
      <w:r w:rsidR="008D1FED">
        <w:t xml:space="preserve">tähistatud ravimiteenust </w:t>
      </w:r>
      <w:r w:rsidR="00F862A3">
        <w:t xml:space="preserve">ühe manustamiskorra </w:t>
      </w:r>
      <w:r w:rsidR="00B62FD5">
        <w:t xml:space="preserve">raames </w:t>
      </w:r>
      <w:r w:rsidR="00B63CBA">
        <w:t>k</w:t>
      </w:r>
      <w:r w:rsidR="00F64AC6">
        <w:t>odeerida</w:t>
      </w:r>
      <w:r w:rsidRPr="005776D4">
        <w:t xml:space="preserve"> </w:t>
      </w:r>
      <w:r w:rsidR="00990AA5">
        <w:t>kõige</w:t>
      </w:r>
      <w:r w:rsidRPr="005776D4">
        <w:t xml:space="preserve"> rohkem </w:t>
      </w:r>
      <w:r w:rsidR="00603089">
        <w:t>kolm</w:t>
      </w:r>
      <w:r w:rsidRPr="005776D4">
        <w:t xml:space="preserve"> korda.</w:t>
      </w:r>
    </w:p>
    <w:p w14:paraId="54BBA626" w14:textId="77777777" w:rsidR="00976487" w:rsidRPr="00687DE8" w:rsidRDefault="00976487" w:rsidP="0002185D">
      <w:pPr>
        <w:pStyle w:val="Normaallaadveeb"/>
        <w:spacing w:before="0" w:after="0" w:afterAutospacing="0"/>
        <w:jc w:val="both"/>
        <w:divId w:val="1316184749"/>
      </w:pPr>
    </w:p>
    <w:p w14:paraId="3DE1E5EF" w14:textId="541A5A39" w:rsidR="00976487" w:rsidRPr="00687DE8" w:rsidRDefault="00976487" w:rsidP="00976487">
      <w:pPr>
        <w:pStyle w:val="Normaallaadveeb"/>
        <w:spacing w:before="0" w:after="0" w:afterAutospacing="0"/>
        <w:jc w:val="both"/>
        <w:divId w:val="1316184749"/>
      </w:pPr>
      <w:r w:rsidRPr="00687DE8">
        <w:t>(</w:t>
      </w:r>
      <w:r w:rsidR="00882B54">
        <w:t>3</w:t>
      </w:r>
      <w:r w:rsidR="00B640CA">
        <w:t>5</w:t>
      </w:r>
      <w:r w:rsidRPr="00687DE8">
        <w:t xml:space="preserve">) </w:t>
      </w:r>
      <w:r w:rsidR="005023FD" w:rsidRPr="00687DE8">
        <w:t>Tervisekassa</w:t>
      </w:r>
      <w:r w:rsidRPr="00687DE8">
        <w:t xml:space="preserve"> võtab koodidega 354R, 355R ja 356R tähistatud ravimiteenuste eest tasu maksmise kohustuse üle tervishoiuteenuse osutajaga sõlmitud ravi rahastamise lepingus kokku</w:t>
      </w:r>
      <w:r w:rsidR="00675E94" w:rsidRPr="00687DE8">
        <w:t xml:space="preserve"> </w:t>
      </w:r>
      <w:r w:rsidRPr="00687DE8">
        <w:t xml:space="preserve">lepitud tingimustel ja korras, kui patsiendile on </w:t>
      </w:r>
      <w:r w:rsidR="00482C95" w:rsidRPr="00687DE8">
        <w:t>varem</w:t>
      </w:r>
      <w:r w:rsidRPr="00687DE8">
        <w:t xml:space="preserve"> osutatud koodiga 100408 tähistatud tervishoiuteenust.</w:t>
      </w:r>
    </w:p>
    <w:p w14:paraId="1E3ECB68" w14:textId="77777777" w:rsidR="00976487" w:rsidRPr="00687DE8" w:rsidRDefault="00976487" w:rsidP="00976487">
      <w:pPr>
        <w:pStyle w:val="Normaallaadveeb"/>
        <w:spacing w:before="0" w:after="0" w:afterAutospacing="0"/>
        <w:jc w:val="both"/>
        <w:divId w:val="1316184749"/>
      </w:pPr>
    </w:p>
    <w:p w14:paraId="6A0E167E" w14:textId="12041161" w:rsidR="00976487" w:rsidRPr="00687DE8" w:rsidRDefault="00976487" w:rsidP="00976487">
      <w:pPr>
        <w:pStyle w:val="Normaallaadveeb"/>
        <w:spacing w:before="0" w:after="0" w:afterAutospacing="0"/>
        <w:jc w:val="both"/>
        <w:divId w:val="1316184749"/>
      </w:pPr>
      <w:r w:rsidRPr="00687DE8">
        <w:t>(</w:t>
      </w:r>
      <w:r w:rsidR="00882B54">
        <w:t>3</w:t>
      </w:r>
      <w:r w:rsidR="00B640CA">
        <w:t>6</w:t>
      </w:r>
      <w:r w:rsidRPr="00687DE8">
        <w:t xml:space="preserve">) </w:t>
      </w:r>
      <w:r w:rsidR="005023FD" w:rsidRPr="00687DE8">
        <w:t>Tervisekassa</w:t>
      </w:r>
      <w:r w:rsidRPr="00687DE8">
        <w:t xml:space="preserve"> võtab koodidega 357R ja 358R tähistatud ravimiteenuste eest tasu maksmise kohustuse üle tervishoiuteenuse osutajaga sõlmitud ravi rahastamise lepingus kokku</w:t>
      </w:r>
      <w:r w:rsidR="00675E94" w:rsidRPr="00687DE8">
        <w:t xml:space="preserve"> </w:t>
      </w:r>
      <w:r w:rsidRPr="00687DE8">
        <w:t xml:space="preserve">lepitud tingimustel ja korras, kui patsiendile on </w:t>
      </w:r>
      <w:r w:rsidR="00E811B3" w:rsidRPr="00687DE8">
        <w:t>varem</w:t>
      </w:r>
      <w:r w:rsidRPr="00687DE8">
        <w:t xml:space="preserve"> osutatud koodiga 0J2124 tähistatud tervishoiuteenust.</w:t>
      </w:r>
    </w:p>
    <w:p w14:paraId="3981C514" w14:textId="77777777" w:rsidR="00976487" w:rsidRPr="00687DE8" w:rsidRDefault="00976487" w:rsidP="00976487">
      <w:pPr>
        <w:pStyle w:val="Normaallaadveeb"/>
        <w:spacing w:before="0" w:after="0" w:afterAutospacing="0"/>
        <w:jc w:val="both"/>
        <w:divId w:val="1316184749"/>
      </w:pPr>
    </w:p>
    <w:p w14:paraId="427259EC" w14:textId="411B7374" w:rsidR="00976487" w:rsidRPr="00687DE8" w:rsidRDefault="00976487" w:rsidP="00976487">
      <w:pPr>
        <w:pStyle w:val="Normaallaadveeb"/>
        <w:spacing w:before="0" w:after="0" w:afterAutospacing="0"/>
        <w:jc w:val="both"/>
        <w:divId w:val="1316184749"/>
      </w:pPr>
      <w:r w:rsidRPr="00687DE8">
        <w:t>(3</w:t>
      </w:r>
      <w:r w:rsidR="00B640CA">
        <w:t>7</w:t>
      </w:r>
      <w:r w:rsidRPr="00687DE8">
        <w:t xml:space="preserve">) </w:t>
      </w:r>
      <w:r w:rsidR="005023FD" w:rsidRPr="00687DE8">
        <w:t>Tervisekassa</w:t>
      </w:r>
      <w:r w:rsidRPr="00687DE8">
        <w:t xml:space="preserve"> võtab koodidega 261R ja 262R tähistatud ravimiteenuste eest tasu maksmise kohustuse üle tervishoiuteenuse osutajaga sõlmitud ravi rahastamise lepingus kokku</w:t>
      </w:r>
      <w:r w:rsidR="00675E94" w:rsidRPr="00687DE8">
        <w:t xml:space="preserve"> </w:t>
      </w:r>
      <w:r w:rsidRPr="00687DE8">
        <w:t xml:space="preserve">lepitud </w:t>
      </w:r>
      <w:r w:rsidRPr="00687DE8">
        <w:lastRenderedPageBreak/>
        <w:t xml:space="preserve">tingimustel ja korras, kui patsiendile on </w:t>
      </w:r>
      <w:r w:rsidR="00E811B3" w:rsidRPr="00687DE8">
        <w:t xml:space="preserve">varem </w:t>
      </w:r>
      <w:r w:rsidRPr="00687DE8">
        <w:t>osutatud koodiga </w:t>
      </w:r>
      <w:r w:rsidR="00F81027" w:rsidRPr="00687DE8">
        <w:t>1K2140</w:t>
      </w:r>
      <w:r w:rsidRPr="00687DE8">
        <w:t xml:space="preserve"> ja/või koodiga 1J2134 tähistatud tervishoiuteenust.</w:t>
      </w:r>
    </w:p>
    <w:p w14:paraId="37F07B6A" w14:textId="77777777" w:rsidR="00976487" w:rsidRPr="00687DE8" w:rsidRDefault="00976487" w:rsidP="00976487">
      <w:pPr>
        <w:pStyle w:val="Normaallaadveeb"/>
        <w:spacing w:before="0" w:after="0" w:afterAutospacing="0"/>
        <w:jc w:val="both"/>
        <w:divId w:val="1316184749"/>
      </w:pPr>
    </w:p>
    <w:p w14:paraId="1FBB72B1" w14:textId="27666CBA" w:rsidR="00976487" w:rsidRPr="00687DE8" w:rsidRDefault="00976487" w:rsidP="00976487">
      <w:pPr>
        <w:pStyle w:val="Normaallaadveeb"/>
        <w:spacing w:before="0" w:after="0" w:afterAutospacing="0"/>
        <w:jc w:val="both"/>
        <w:divId w:val="1316184749"/>
      </w:pPr>
      <w:r w:rsidRPr="00687DE8">
        <w:t>(3</w:t>
      </w:r>
      <w:r w:rsidR="00B640CA">
        <w:t>8</w:t>
      </w:r>
      <w:r w:rsidRPr="00687DE8">
        <w:t xml:space="preserve">) </w:t>
      </w:r>
      <w:r w:rsidR="005023FD" w:rsidRPr="00687DE8">
        <w:t>Tervisekassa</w:t>
      </w:r>
      <w:r w:rsidRPr="00687DE8">
        <w:t xml:space="preserve"> võtab koodiga 362R tähistatud ravimiteenuse eest tasu maksmise kohustuse üle patoloogilise murruga osteoporoosiga (RHK</w:t>
      </w:r>
      <w:r w:rsidR="78363183">
        <w:t xml:space="preserve"> </w:t>
      </w:r>
      <w:r w:rsidRPr="00687DE8">
        <w:t xml:space="preserve">10 </w:t>
      </w:r>
      <w:r>
        <w:t>kood</w:t>
      </w:r>
      <w:r w:rsidR="00E306BB">
        <w:t>id</w:t>
      </w:r>
      <w:r w:rsidRPr="00687DE8">
        <w:t> M80</w:t>
      </w:r>
      <w:r w:rsidR="00CD4595">
        <w:t>,</w:t>
      </w:r>
      <w:r w:rsidR="00A70435">
        <w:t xml:space="preserve"> </w:t>
      </w:r>
      <w:r w:rsidR="100354FA">
        <w:t>M81, M82 ja M85.8</w:t>
      </w:r>
      <w:r w:rsidR="00107544">
        <w:t>)</w:t>
      </w:r>
      <w:r w:rsidR="100354FA">
        <w:t xml:space="preserve"> suure luumurru riskiga patsiendilt, kelle reieluu proksimaalse osa murrurisk ≥ 3% ja/või tõsise osteoporootilise murru risk ≥ 15% (ilma DEXA uuringuta ≥ 20%) vastavalt FRAX luumurru riskikalkulaatorile. </w:t>
      </w:r>
      <w:r w:rsidR="005023FD" w:rsidRPr="00687DE8">
        <w:t>Tervisekassa</w:t>
      </w:r>
      <w:r w:rsidRPr="00687DE8">
        <w:t xml:space="preserve"> võtab koodiga 362R tähistatud tervishoiuteenuse eest tasu maksmise kohustuse üle ühelt patsiendilt üks kord aastas.</w:t>
      </w:r>
    </w:p>
    <w:p w14:paraId="752BBA54" w14:textId="77777777" w:rsidR="00976487" w:rsidRPr="00687DE8" w:rsidRDefault="00976487" w:rsidP="00976487">
      <w:pPr>
        <w:pStyle w:val="Normaallaadveeb"/>
        <w:spacing w:before="0" w:after="0" w:afterAutospacing="0"/>
        <w:jc w:val="both"/>
        <w:divId w:val="1316184749"/>
      </w:pPr>
    </w:p>
    <w:p w14:paraId="2998140A" w14:textId="7B970847" w:rsidR="00976487" w:rsidRPr="00687DE8" w:rsidRDefault="00976487" w:rsidP="00976487">
      <w:pPr>
        <w:pStyle w:val="Normaallaadveeb"/>
        <w:spacing w:before="0" w:after="0" w:afterAutospacing="0"/>
        <w:jc w:val="both"/>
        <w:divId w:val="1316184749"/>
      </w:pPr>
      <w:r w:rsidRPr="00687DE8">
        <w:t>(3</w:t>
      </w:r>
      <w:r w:rsidR="00B640CA">
        <w:t>9</w:t>
      </w:r>
      <w:r w:rsidRPr="00687DE8">
        <w:t xml:space="preserve">) </w:t>
      </w:r>
      <w:r w:rsidR="005023FD" w:rsidRPr="00687DE8">
        <w:t>Tervisekassa</w:t>
      </w:r>
      <w:r w:rsidRPr="00687DE8">
        <w:t xml:space="preserve"> võtab kood</w:t>
      </w:r>
      <w:r w:rsidR="39D2B561" w:rsidRPr="00687DE8">
        <w:t>idega</w:t>
      </w:r>
      <w:r w:rsidRPr="00687DE8">
        <w:t xml:space="preserve"> </w:t>
      </w:r>
      <w:r w:rsidR="6D3DFF64" w:rsidRPr="00687DE8">
        <w:t>272</w:t>
      </w:r>
      <w:r w:rsidRPr="00687DE8">
        <w:t>R</w:t>
      </w:r>
      <w:r w:rsidR="5B07D46E" w:rsidRPr="00687DE8">
        <w:t xml:space="preserve"> ja 273R</w:t>
      </w:r>
      <w:r w:rsidRPr="00687DE8">
        <w:t xml:space="preserve"> tähistatud ravimiteenus</w:t>
      </w:r>
      <w:r w:rsidR="007702ED" w:rsidRPr="00687DE8">
        <w:t>t</w:t>
      </w:r>
      <w:r w:rsidRPr="00687DE8">
        <w:t>e eest tasu maksmise kohustuse üle raskekujulise aplastilise aneemiaga patsiendilt, kellel puudub HLA-identne sugulasdoonor, ja mitte raskekujulise aplastilise aneemiaga transfusioon-sõltuvalt patsiendilt.</w:t>
      </w:r>
    </w:p>
    <w:p w14:paraId="4A459049" w14:textId="77777777" w:rsidR="00976487" w:rsidRPr="00687DE8" w:rsidRDefault="00976487" w:rsidP="00976487">
      <w:pPr>
        <w:pStyle w:val="Normaallaadveeb"/>
        <w:spacing w:before="0" w:after="0" w:afterAutospacing="0"/>
        <w:jc w:val="both"/>
        <w:divId w:val="1316184749"/>
      </w:pPr>
    </w:p>
    <w:p w14:paraId="69BD1363" w14:textId="778F8659" w:rsidR="00976487" w:rsidRPr="00687DE8" w:rsidRDefault="00976487" w:rsidP="00976487">
      <w:pPr>
        <w:pStyle w:val="Normaallaadveeb"/>
        <w:spacing w:before="0" w:after="0" w:afterAutospacing="0"/>
        <w:jc w:val="both"/>
        <w:divId w:val="1316184749"/>
      </w:pPr>
      <w:r w:rsidRPr="00687DE8">
        <w:t>(</w:t>
      </w:r>
      <w:r w:rsidR="00B640CA">
        <w:t>40</w:t>
      </w:r>
      <w:r w:rsidRPr="00687DE8">
        <w:t xml:space="preserve">) </w:t>
      </w:r>
      <w:r w:rsidR="005023FD" w:rsidRPr="00687DE8">
        <w:t>Tervisekassa</w:t>
      </w:r>
      <w:r w:rsidRPr="00687DE8">
        <w:t xml:space="preserve"> võtab koodi</w:t>
      </w:r>
      <w:r w:rsidR="000C0FFA" w:rsidRPr="00687DE8">
        <w:t>de</w:t>
      </w:r>
      <w:r w:rsidRPr="00687DE8">
        <w:t xml:space="preserve">ga </w:t>
      </w:r>
      <w:r w:rsidR="007702ED" w:rsidRPr="00687DE8">
        <w:t>272R ja</w:t>
      </w:r>
      <w:r w:rsidRPr="00687DE8">
        <w:t xml:space="preserve"> </w:t>
      </w:r>
      <w:r w:rsidR="6B56C376" w:rsidRPr="00687DE8">
        <w:t>273</w:t>
      </w:r>
      <w:r w:rsidRPr="00687DE8">
        <w:t>R tähistatud ravimiteenus</w:t>
      </w:r>
      <w:r w:rsidR="004137E4" w:rsidRPr="00687DE8">
        <w:t>t</w:t>
      </w:r>
      <w:r w:rsidRPr="00687DE8">
        <w:t>e eest tasu maksmise kohustuse üle vereloome tüvirakkude konditsioneerimisskeemide kasutamisel.</w:t>
      </w:r>
    </w:p>
    <w:p w14:paraId="159DB920" w14:textId="77777777" w:rsidR="00976487" w:rsidRPr="00687DE8" w:rsidRDefault="00976487" w:rsidP="00976487">
      <w:pPr>
        <w:pStyle w:val="Normaallaadveeb"/>
        <w:spacing w:before="0" w:after="0" w:afterAutospacing="0"/>
        <w:jc w:val="both"/>
        <w:divId w:val="1316184749"/>
      </w:pPr>
    </w:p>
    <w:p w14:paraId="5ED3B346" w14:textId="2820FB0A" w:rsidR="00976487" w:rsidRPr="00687DE8" w:rsidRDefault="00976487" w:rsidP="00976487">
      <w:pPr>
        <w:pStyle w:val="Normaallaadveeb"/>
        <w:spacing w:before="0" w:after="0" w:afterAutospacing="0"/>
        <w:jc w:val="both"/>
        <w:divId w:val="1316184749"/>
      </w:pPr>
      <w:r w:rsidRPr="00687DE8">
        <w:t>(</w:t>
      </w:r>
      <w:r w:rsidR="00B640CA">
        <w:t>41</w:t>
      </w:r>
      <w:r w:rsidRPr="00687DE8">
        <w:t xml:space="preserve">) </w:t>
      </w:r>
      <w:r w:rsidR="005023FD" w:rsidRPr="00687DE8">
        <w:t>Tervisekassa</w:t>
      </w:r>
      <w:r w:rsidRPr="00687DE8">
        <w:t xml:space="preserve"> võtab koodi</w:t>
      </w:r>
      <w:r w:rsidR="004137E4" w:rsidRPr="00687DE8">
        <w:t>de</w:t>
      </w:r>
      <w:r w:rsidRPr="00687DE8">
        <w:t xml:space="preserve">ga </w:t>
      </w:r>
      <w:r w:rsidR="004137E4" w:rsidRPr="00687DE8">
        <w:t xml:space="preserve">272R ja </w:t>
      </w:r>
      <w:r w:rsidR="5236C64E" w:rsidRPr="00687DE8">
        <w:t>273</w:t>
      </w:r>
      <w:r w:rsidRPr="00687DE8">
        <w:t>R tähistatud ravimiteenus</w:t>
      </w:r>
      <w:r w:rsidR="004137E4" w:rsidRPr="00687DE8">
        <w:t>t</w:t>
      </w:r>
      <w:r w:rsidRPr="00687DE8">
        <w:t>e eest tasu maksmise kohustuse üle induktsioon- ja äratõuke</w:t>
      </w:r>
      <w:r w:rsidR="5AD17D08" w:rsidRPr="00687DE8">
        <w:t>-</w:t>
      </w:r>
      <w:r w:rsidRPr="00687DE8">
        <w:t>reaktsiooni ravi ning transplantaat-peremehe vastase haiguse ravi korral.</w:t>
      </w:r>
    </w:p>
    <w:p w14:paraId="7A917C89" w14:textId="77777777" w:rsidR="00976487" w:rsidRPr="00687DE8" w:rsidRDefault="00976487" w:rsidP="00976487">
      <w:pPr>
        <w:pStyle w:val="Normaallaadveeb"/>
        <w:spacing w:before="0" w:after="0" w:afterAutospacing="0"/>
        <w:jc w:val="both"/>
        <w:divId w:val="1316184749"/>
      </w:pPr>
    </w:p>
    <w:p w14:paraId="3A639A7E" w14:textId="30A57CCB" w:rsidR="00976487" w:rsidRPr="00687DE8" w:rsidRDefault="00976487" w:rsidP="00976487">
      <w:pPr>
        <w:pStyle w:val="Normaallaadveeb"/>
        <w:spacing w:before="0" w:after="0" w:afterAutospacing="0"/>
        <w:jc w:val="both"/>
        <w:divId w:val="1316184749"/>
      </w:pPr>
      <w:r w:rsidRPr="00687DE8">
        <w:t>(</w:t>
      </w:r>
      <w:r w:rsidR="00B640CA">
        <w:t>42</w:t>
      </w:r>
      <w:r w:rsidRPr="00687DE8">
        <w:t xml:space="preserve">) </w:t>
      </w:r>
      <w:r w:rsidR="005023FD" w:rsidRPr="00687DE8">
        <w:t>Tervisekassa</w:t>
      </w:r>
      <w:r w:rsidRPr="00687DE8">
        <w:t xml:space="preserve"> võtab koodiga 363R tähistatud ravimiteenuse eest tasu maksmise kohustuse üle maksimaalselt 13 korra eest patsiendi kohta aastas</w:t>
      </w:r>
      <w:r w:rsidR="00707676" w:rsidRPr="00687DE8">
        <w:t>.</w:t>
      </w:r>
      <w:r w:rsidRPr="00687DE8">
        <w:t xml:space="preserve"> </w:t>
      </w:r>
    </w:p>
    <w:p w14:paraId="1A2A9E08" w14:textId="77777777" w:rsidR="00976487" w:rsidRPr="00687DE8" w:rsidRDefault="00976487" w:rsidP="00976487">
      <w:pPr>
        <w:pStyle w:val="Normaallaadveeb"/>
        <w:spacing w:before="0" w:after="0" w:afterAutospacing="0"/>
        <w:jc w:val="both"/>
        <w:divId w:val="1316184749"/>
      </w:pPr>
    </w:p>
    <w:p w14:paraId="6370BCE2" w14:textId="19DF0754" w:rsidR="00976487" w:rsidRPr="00687DE8" w:rsidRDefault="00976487" w:rsidP="00976487">
      <w:pPr>
        <w:pStyle w:val="Normaallaadveeb"/>
        <w:spacing w:before="0" w:after="0" w:afterAutospacing="0"/>
        <w:jc w:val="both"/>
        <w:divId w:val="1316184749"/>
      </w:pPr>
      <w:r w:rsidRPr="00687DE8">
        <w:t>(</w:t>
      </w:r>
      <w:r w:rsidR="00B640CA">
        <w:t>43</w:t>
      </w:r>
      <w:r w:rsidRPr="00687DE8">
        <w:t xml:space="preserve">) </w:t>
      </w:r>
      <w:r w:rsidR="005023FD" w:rsidRPr="00687DE8">
        <w:t>Tervisekassa</w:t>
      </w:r>
      <w:r w:rsidRPr="00687DE8">
        <w:t xml:space="preserve"> võtab koodidega 388R ja 389R tähistatud ravimiteenuste eest tasu maksmise kohustuse üle patsiendilt, kellel on diagnoositud aneemia hemoglobiini tasemega alla 10 g/dl ehk alla 6,2 mmol/l, tingimusel et suukaudne ravi rauapreparaatidega on olnud ebaefektiivne või vastunäidustatud</w:t>
      </w:r>
      <w:r w:rsidR="001A7D3A" w:rsidRPr="00687DE8">
        <w:t>. Samuti võetakse tasu maksmise kohustus</w:t>
      </w:r>
      <w:r w:rsidR="00F10B28" w:rsidRPr="00687DE8">
        <w:t xml:space="preserve"> </w:t>
      </w:r>
      <w:r w:rsidR="00863554" w:rsidRPr="00687DE8">
        <w:t>üle</w:t>
      </w:r>
      <w:r w:rsidR="00F01AB7" w:rsidRPr="00687DE8">
        <w:rPr>
          <w:lang w:eastAsia="et-EE"/>
        </w:rPr>
        <w:t xml:space="preserve"> aneem</w:t>
      </w:r>
      <w:r w:rsidR="00374999" w:rsidRPr="00687DE8">
        <w:rPr>
          <w:lang w:eastAsia="et-EE"/>
        </w:rPr>
        <w:t>iaga patsiendilt</w:t>
      </w:r>
      <w:r w:rsidR="00F10B28" w:rsidRPr="00687DE8">
        <w:rPr>
          <w:lang w:eastAsia="et-EE"/>
        </w:rPr>
        <w:t xml:space="preserve"> </w:t>
      </w:r>
      <w:r w:rsidR="000034A4" w:rsidRPr="006E62E6">
        <w:t>erakorralise meditsiini osakonnas</w:t>
      </w:r>
      <w:r w:rsidR="000034A4">
        <w:t>,</w:t>
      </w:r>
      <w:r w:rsidR="00F10B28" w:rsidRPr="00687DE8">
        <w:rPr>
          <w:lang w:eastAsia="et-EE"/>
        </w:rPr>
        <w:t xml:space="preserve"> kroonili</w:t>
      </w:r>
      <w:r w:rsidR="00BD23EB" w:rsidRPr="00687DE8">
        <w:rPr>
          <w:lang w:eastAsia="et-EE"/>
        </w:rPr>
        <w:t>s</w:t>
      </w:r>
      <w:r w:rsidR="00F10B28" w:rsidRPr="00687DE8">
        <w:rPr>
          <w:lang w:eastAsia="et-EE"/>
        </w:rPr>
        <w:t>e neerupuudulikkus</w:t>
      </w:r>
      <w:r w:rsidR="00BD23EB" w:rsidRPr="00687DE8">
        <w:rPr>
          <w:lang w:eastAsia="et-EE"/>
        </w:rPr>
        <w:t>e korral</w:t>
      </w:r>
      <w:r w:rsidR="00F10B28" w:rsidRPr="00687DE8">
        <w:rPr>
          <w:lang w:eastAsia="et-EE"/>
        </w:rPr>
        <w:t xml:space="preserve"> (välja arvatud hemodialüüsil olev patsient)</w:t>
      </w:r>
      <w:r w:rsidR="003F678C" w:rsidRPr="00687DE8">
        <w:rPr>
          <w:lang w:eastAsia="et-EE"/>
        </w:rPr>
        <w:t>,</w:t>
      </w:r>
      <w:r w:rsidR="00F10B28" w:rsidRPr="00687DE8">
        <w:rPr>
          <w:lang w:eastAsia="et-EE"/>
        </w:rPr>
        <w:t xml:space="preserve"> põletikuli</w:t>
      </w:r>
      <w:r w:rsidR="00BD23EB" w:rsidRPr="00687DE8">
        <w:rPr>
          <w:lang w:eastAsia="et-EE"/>
        </w:rPr>
        <w:t>s</w:t>
      </w:r>
      <w:r w:rsidR="00F10B28" w:rsidRPr="00687DE8">
        <w:rPr>
          <w:lang w:eastAsia="et-EE"/>
        </w:rPr>
        <w:t>e soolehaigus</w:t>
      </w:r>
      <w:r w:rsidR="00BD23EB" w:rsidRPr="00687DE8">
        <w:rPr>
          <w:lang w:eastAsia="et-EE"/>
        </w:rPr>
        <w:t>e korral</w:t>
      </w:r>
      <w:r w:rsidR="00CE6E03" w:rsidRPr="00687DE8">
        <w:rPr>
          <w:lang w:eastAsia="et-EE"/>
        </w:rPr>
        <w:t>,</w:t>
      </w:r>
      <w:r w:rsidR="00F10B28" w:rsidRPr="00687DE8">
        <w:rPr>
          <w:lang w:eastAsia="et-EE"/>
        </w:rPr>
        <w:t xml:space="preserve"> pre</w:t>
      </w:r>
      <w:r w:rsidR="00400209" w:rsidRPr="00687DE8">
        <w:rPr>
          <w:lang w:eastAsia="et-EE"/>
        </w:rPr>
        <w:t>operatiivselt</w:t>
      </w:r>
      <w:r w:rsidR="00F10B28" w:rsidRPr="00687DE8">
        <w:rPr>
          <w:lang w:eastAsia="et-EE"/>
        </w:rPr>
        <w:t xml:space="preserve"> </w:t>
      </w:r>
      <w:r w:rsidR="00F10B28" w:rsidRPr="00687DE8">
        <w:rPr>
          <w:color w:val="000000" w:themeColor="text1"/>
        </w:rPr>
        <w:t>(diagnoositud &lt; 6 nädalat enne operatsiooni)</w:t>
      </w:r>
      <w:r w:rsidR="00F10B28" w:rsidRPr="00687DE8">
        <w:rPr>
          <w:lang w:eastAsia="et-EE"/>
        </w:rPr>
        <w:t xml:space="preserve"> </w:t>
      </w:r>
      <w:r w:rsidR="00400209" w:rsidRPr="00687DE8">
        <w:rPr>
          <w:lang w:eastAsia="et-EE"/>
        </w:rPr>
        <w:t>või</w:t>
      </w:r>
      <w:r w:rsidR="00F10B28" w:rsidRPr="00687DE8">
        <w:rPr>
          <w:lang w:eastAsia="et-EE"/>
        </w:rPr>
        <w:t xml:space="preserve"> postoperatiivselt</w:t>
      </w:r>
      <w:r w:rsidR="003F678C" w:rsidRPr="00687DE8">
        <w:rPr>
          <w:lang w:eastAsia="et-EE"/>
        </w:rPr>
        <w:t>,</w:t>
      </w:r>
      <w:r w:rsidR="00400209" w:rsidRPr="00687DE8">
        <w:rPr>
          <w:lang w:eastAsia="et-EE"/>
        </w:rPr>
        <w:t xml:space="preserve"> </w:t>
      </w:r>
      <w:r w:rsidR="00EE63D6" w:rsidRPr="00687DE8">
        <w:rPr>
          <w:lang w:eastAsia="et-EE"/>
        </w:rPr>
        <w:t>ägeda verekaotuse jär</w:t>
      </w:r>
      <w:r w:rsidR="00400209" w:rsidRPr="00687DE8">
        <w:rPr>
          <w:lang w:eastAsia="et-EE"/>
        </w:rPr>
        <w:t>e</w:t>
      </w:r>
      <w:r w:rsidR="003F678C" w:rsidRPr="00687DE8">
        <w:rPr>
          <w:lang w:eastAsia="et-EE"/>
        </w:rPr>
        <w:t>l ja</w:t>
      </w:r>
      <w:r w:rsidR="002B1238" w:rsidRPr="00687DE8">
        <w:rPr>
          <w:lang w:eastAsia="et-EE"/>
        </w:rPr>
        <w:t xml:space="preserve"> pärast 34.</w:t>
      </w:r>
      <w:r w:rsidR="00E45625" w:rsidRPr="00687DE8">
        <w:rPr>
          <w:lang w:eastAsia="et-EE"/>
        </w:rPr>
        <w:t xml:space="preserve"> </w:t>
      </w:r>
      <w:r w:rsidR="002B1238" w:rsidRPr="00687DE8">
        <w:rPr>
          <w:lang w:eastAsia="et-EE"/>
        </w:rPr>
        <w:t xml:space="preserve">rasedusnädalat (hemoglobiini tase </w:t>
      </w:r>
      <w:r w:rsidR="000D256E" w:rsidRPr="00687DE8">
        <w:rPr>
          <w:lang w:eastAsia="et-EE"/>
        </w:rPr>
        <w:t>rasedal</w:t>
      </w:r>
      <w:r w:rsidR="002B1238" w:rsidRPr="00687DE8">
        <w:rPr>
          <w:lang w:eastAsia="et-EE"/>
        </w:rPr>
        <w:t xml:space="preserve"> alla 10 g/dl ehk alla 6,2 mmol/l)</w:t>
      </w:r>
      <w:r w:rsidRPr="00687DE8">
        <w:t xml:space="preserve">. </w:t>
      </w:r>
      <w:r w:rsidR="000034A4" w:rsidRPr="006E62E6">
        <w:t>V</w:t>
      </w:r>
      <w:r w:rsidR="000034A4" w:rsidRPr="002C1C8D">
        <w:t>asaku vatsakese vähenenud või kergelt vähenenud väljutusfraktsiooniga (</w:t>
      </w:r>
      <w:r w:rsidR="00457C95" w:rsidRPr="00457C95">
        <w:t xml:space="preserve">LVEF &lt; 50%) </w:t>
      </w:r>
      <w:r w:rsidR="000034A4" w:rsidRPr="002C1C8D">
        <w:t xml:space="preserve">NYHA II–IV </w:t>
      </w:r>
      <w:r w:rsidR="00457C95" w:rsidRPr="00457C95">
        <w:t>funktsionaalse klassi</w:t>
      </w:r>
      <w:r w:rsidR="000034A4" w:rsidRPr="002C1C8D">
        <w:t xml:space="preserve"> kroonilise </w:t>
      </w:r>
      <w:r w:rsidR="00457C95" w:rsidRPr="00457C95">
        <w:t>südamepuudulikkusega patsiendilt</w:t>
      </w:r>
      <w:r w:rsidR="000034A4" w:rsidRPr="002C1C8D">
        <w:t xml:space="preserve"> võetakse tasu maksmise kohustus üle rauavaeguse </w:t>
      </w:r>
      <w:r w:rsidR="00457C95" w:rsidRPr="00457C95">
        <w:t>esinemisel</w:t>
      </w:r>
      <w:r w:rsidR="000034A4" w:rsidRPr="002C1C8D">
        <w:t xml:space="preserve"> (ferritiin &lt; </w:t>
      </w:r>
      <w:r w:rsidR="00457C95" w:rsidRPr="00457C95">
        <w:t>100</w:t>
      </w:r>
      <w:r w:rsidR="00AE7317">
        <w:t xml:space="preserve"> </w:t>
      </w:r>
      <w:r w:rsidR="00457C95" w:rsidRPr="00457C95">
        <w:t>µg</w:t>
      </w:r>
      <w:r w:rsidR="000034A4" w:rsidRPr="002C1C8D">
        <w:t xml:space="preserve">/L või </w:t>
      </w:r>
      <w:r w:rsidR="00457C95" w:rsidRPr="00457C95">
        <w:t>transferriini saturatsioon</w:t>
      </w:r>
      <w:r w:rsidR="000034A4" w:rsidRPr="002C1C8D">
        <w:t xml:space="preserve"> &lt; 20%).</w:t>
      </w:r>
    </w:p>
    <w:p w14:paraId="6F72B069" w14:textId="77777777" w:rsidR="00684632" w:rsidRDefault="00684632" w:rsidP="00976487">
      <w:pPr>
        <w:pStyle w:val="Normaallaadveeb"/>
        <w:spacing w:before="0" w:after="0" w:afterAutospacing="0"/>
        <w:jc w:val="both"/>
        <w:divId w:val="1316184749"/>
      </w:pPr>
    </w:p>
    <w:p w14:paraId="770B1D90" w14:textId="274F1FA6" w:rsidR="00976487" w:rsidRPr="00687DE8" w:rsidRDefault="00976487" w:rsidP="00976487">
      <w:pPr>
        <w:pStyle w:val="Normaallaadveeb"/>
        <w:spacing w:before="0" w:after="0" w:afterAutospacing="0"/>
        <w:jc w:val="both"/>
        <w:divId w:val="1316184749"/>
      </w:pPr>
      <w:r w:rsidRPr="00687DE8">
        <w:t>(</w:t>
      </w:r>
      <w:r w:rsidR="00B640CA">
        <w:t>44</w:t>
      </w:r>
      <w:r w:rsidRPr="00687DE8">
        <w:t xml:space="preserve">) </w:t>
      </w:r>
      <w:r w:rsidR="005023FD" w:rsidRPr="00687DE8">
        <w:t>Tervisekassa</w:t>
      </w:r>
      <w:r w:rsidRPr="00687DE8">
        <w:t xml:space="preserve"> võtab koodiga 365R tähistatud ravimiteenuse eest tasu maksmise kohustuse üle patsiendilt, kes vajab neovaskulaarse (märja) maakula ealise degeneratsiooni (RHK 10 kood H35.3), silma võrkkesta haruveeni või tsentraalveeni tromboosi, diabeetilise retinopaatia või korioidaalse neovaskularisatsiooniga müoopia ravi.</w:t>
      </w:r>
    </w:p>
    <w:p w14:paraId="007A19FF" w14:textId="77777777" w:rsidR="00976487" w:rsidRPr="00687DE8" w:rsidRDefault="00976487" w:rsidP="00976487">
      <w:pPr>
        <w:pStyle w:val="Normaallaadveeb"/>
        <w:spacing w:before="0" w:after="0" w:afterAutospacing="0"/>
        <w:jc w:val="both"/>
        <w:divId w:val="1316184749"/>
      </w:pPr>
    </w:p>
    <w:p w14:paraId="674408B4" w14:textId="569356C2" w:rsidR="00976487" w:rsidRPr="00687DE8" w:rsidRDefault="00976487" w:rsidP="00976487">
      <w:pPr>
        <w:pStyle w:val="Normaallaadveeb"/>
        <w:spacing w:before="0" w:after="0" w:afterAutospacing="0"/>
        <w:jc w:val="both"/>
        <w:divId w:val="1316184749"/>
      </w:pPr>
      <w:r w:rsidRPr="00687DE8">
        <w:t>(</w:t>
      </w:r>
      <w:r w:rsidR="00882B54">
        <w:t>4</w:t>
      </w:r>
      <w:r w:rsidR="00B640CA">
        <w:t>5</w:t>
      </w:r>
      <w:r w:rsidRPr="00687DE8">
        <w:t>) Ravi alustamiseks anti-VEGF</w:t>
      </w:r>
      <w:r w:rsidR="003A51EB" w:rsidRPr="00687DE8">
        <w:t>-</w:t>
      </w:r>
      <w:r w:rsidR="00482C95" w:rsidRPr="00687DE8">
        <w:t>i</w:t>
      </w:r>
      <w:r w:rsidRPr="00687DE8">
        <w:t xml:space="preserve"> ravimiga (kood 365R) peavad olema täidetud järgmised tingimused:</w:t>
      </w:r>
    </w:p>
    <w:p w14:paraId="380EBCA8" w14:textId="77777777" w:rsidR="00976487" w:rsidRPr="00687DE8" w:rsidRDefault="00976487" w:rsidP="00976487">
      <w:pPr>
        <w:pStyle w:val="Normaallaadveeb"/>
        <w:spacing w:before="0" w:after="0" w:afterAutospacing="0"/>
        <w:jc w:val="both"/>
        <w:divId w:val="1316184749"/>
      </w:pPr>
      <w:r w:rsidRPr="00687DE8">
        <w:t>1)</w:t>
      </w:r>
      <w:r w:rsidRPr="00687DE8">
        <w:rPr>
          <w:rStyle w:val="tyhik"/>
        </w:rPr>
        <w:t xml:space="preserve"> </w:t>
      </w:r>
      <w:r w:rsidRPr="00687DE8">
        <w:t>diagnoos on pandud optilise koherentstomograafia ja/või fluorestsiinangiograafia meetodil ning kliiniliste tunnuste järgi;</w:t>
      </w:r>
    </w:p>
    <w:p w14:paraId="2868411D" w14:textId="77777777" w:rsidR="00976487" w:rsidRPr="00687DE8" w:rsidRDefault="00976487" w:rsidP="00976487">
      <w:pPr>
        <w:pStyle w:val="Normaallaadveeb"/>
        <w:spacing w:before="0" w:after="0" w:afterAutospacing="0"/>
        <w:jc w:val="both"/>
        <w:divId w:val="1316184749"/>
      </w:pPr>
      <w:r w:rsidRPr="00687DE8">
        <w:t>2)</w:t>
      </w:r>
      <w:r w:rsidRPr="00687DE8">
        <w:rPr>
          <w:rStyle w:val="tyhik"/>
        </w:rPr>
        <w:t xml:space="preserve"> </w:t>
      </w:r>
      <w:r w:rsidRPr="00687DE8">
        <w:rPr>
          <w:i/>
          <w:iCs/>
        </w:rPr>
        <w:t>visus</w:t>
      </w:r>
      <w:r w:rsidRPr="00687DE8">
        <w:t> 0,1 või parem;</w:t>
      </w:r>
    </w:p>
    <w:p w14:paraId="4296C555" w14:textId="77777777" w:rsidR="00976487" w:rsidRPr="00687DE8" w:rsidRDefault="00976487" w:rsidP="00976487">
      <w:pPr>
        <w:pStyle w:val="Normaallaadveeb"/>
        <w:spacing w:before="0" w:after="0" w:afterAutospacing="0"/>
        <w:jc w:val="both"/>
        <w:divId w:val="1316184749"/>
      </w:pPr>
      <w:r w:rsidRPr="00687DE8">
        <w:lastRenderedPageBreak/>
        <w:t>3)</w:t>
      </w:r>
      <w:r w:rsidRPr="00687DE8">
        <w:rPr>
          <w:rStyle w:val="tyhik"/>
        </w:rPr>
        <w:t xml:space="preserve"> </w:t>
      </w:r>
      <w:r w:rsidRPr="00687DE8">
        <w:rPr>
          <w:i/>
          <w:iCs/>
        </w:rPr>
        <w:t>visus</w:t>
      </w:r>
      <w:r w:rsidRPr="00687DE8">
        <w:t> alla 0,1, kui haiguse sümptomid on kestnud vähem kui kolm kuud või kui tegemist on paremini nägeva silmaga.</w:t>
      </w:r>
    </w:p>
    <w:p w14:paraId="2D1D38E1" w14:textId="77777777" w:rsidR="00976487" w:rsidRPr="00687DE8" w:rsidRDefault="00976487" w:rsidP="00976487">
      <w:pPr>
        <w:pStyle w:val="Normaallaadveeb"/>
        <w:spacing w:before="0" w:after="0" w:afterAutospacing="0"/>
        <w:jc w:val="both"/>
        <w:divId w:val="1316184749"/>
      </w:pPr>
    </w:p>
    <w:p w14:paraId="551BD1E6" w14:textId="7BCB885C" w:rsidR="00976487" w:rsidRPr="00687DE8" w:rsidRDefault="00976487" w:rsidP="00976487">
      <w:pPr>
        <w:pStyle w:val="Normaallaadveeb"/>
        <w:spacing w:before="0" w:after="0" w:afterAutospacing="0"/>
        <w:jc w:val="both"/>
        <w:divId w:val="1316184749"/>
      </w:pPr>
      <w:r w:rsidRPr="00687DE8">
        <w:t>(</w:t>
      </w:r>
      <w:r w:rsidR="00882B54">
        <w:t>4</w:t>
      </w:r>
      <w:r w:rsidR="00B640CA">
        <w:t>6</w:t>
      </w:r>
      <w:r w:rsidRPr="00687DE8">
        <w:t>) Tasu maksmise ülevõtmine anti-VEGF</w:t>
      </w:r>
      <w:r w:rsidR="00C40932" w:rsidRPr="00687DE8">
        <w:t>-i</w:t>
      </w:r>
      <w:r w:rsidRPr="00687DE8">
        <w:t xml:space="preserve"> ravimi eest lõpetatakse patsientidel, kellel kolme järjestikuse süstega ravitoime puudub või tekib ravimiga seotud põletik.</w:t>
      </w:r>
    </w:p>
    <w:p w14:paraId="27504D4E" w14:textId="77777777" w:rsidR="00976487" w:rsidRPr="00687DE8" w:rsidRDefault="00976487" w:rsidP="00976487">
      <w:pPr>
        <w:pStyle w:val="Normaallaadveeb"/>
        <w:spacing w:before="0" w:after="0" w:afterAutospacing="0"/>
        <w:jc w:val="both"/>
        <w:divId w:val="1316184749"/>
      </w:pPr>
    </w:p>
    <w:p w14:paraId="4EB280A0" w14:textId="4A3B1B98" w:rsidR="00976487" w:rsidRPr="00687DE8" w:rsidRDefault="00976487" w:rsidP="00976487">
      <w:pPr>
        <w:pStyle w:val="Normaallaadveeb"/>
        <w:spacing w:before="0" w:after="0" w:afterAutospacing="0"/>
        <w:jc w:val="both"/>
        <w:divId w:val="1316184749"/>
      </w:pPr>
      <w:r w:rsidRPr="00687DE8">
        <w:t>(4</w:t>
      </w:r>
      <w:r w:rsidR="00B640CA">
        <w:t>7</w:t>
      </w:r>
      <w:r w:rsidRPr="00687DE8">
        <w:t xml:space="preserve">) </w:t>
      </w:r>
      <w:r w:rsidR="005023FD" w:rsidRPr="00687DE8">
        <w:t>Tervisekassa</w:t>
      </w:r>
      <w:r w:rsidRPr="00687DE8">
        <w:t xml:space="preserve"> võtab koodiga 366R tähistatud ravimiteenuse eest tasu maksmise kohustuse üle silma võrkkesta haruveeni või tsentraalveeni tromboosi ja diabeetilise retinopaatia ravi eest juhul, kui ravi kolme järjestikuse anti-VEGF</w:t>
      </w:r>
      <w:r w:rsidR="00C40932" w:rsidRPr="00687DE8">
        <w:t>-i</w:t>
      </w:r>
      <w:r w:rsidRPr="00687DE8">
        <w:t xml:space="preserve"> ravimi süstiga ei ole olnud efektiivne või kui patsient ei saa kasutada anti-VEGF</w:t>
      </w:r>
      <w:r w:rsidR="00C40932" w:rsidRPr="00687DE8">
        <w:t>-i</w:t>
      </w:r>
      <w:r w:rsidRPr="00687DE8">
        <w:t xml:space="preserve"> ravi kõrvaltoimete või vastunäidustuse tõttu, ning uveiidi raviks.</w:t>
      </w:r>
    </w:p>
    <w:p w14:paraId="30FD6B6B" w14:textId="77777777" w:rsidR="00976487" w:rsidRPr="00687DE8" w:rsidRDefault="00976487" w:rsidP="00976487">
      <w:pPr>
        <w:pStyle w:val="Normaallaadveeb"/>
        <w:spacing w:before="0" w:after="0" w:afterAutospacing="0"/>
        <w:jc w:val="both"/>
        <w:divId w:val="1316184749"/>
      </w:pPr>
    </w:p>
    <w:p w14:paraId="050EB3ED" w14:textId="589E7EE4" w:rsidR="00976487" w:rsidRPr="00687DE8" w:rsidRDefault="00976487" w:rsidP="00976487">
      <w:pPr>
        <w:pStyle w:val="Normaallaadveeb"/>
        <w:spacing w:before="0" w:after="0" w:afterAutospacing="0"/>
        <w:jc w:val="both"/>
        <w:divId w:val="1316184749"/>
      </w:pPr>
      <w:r w:rsidRPr="00687DE8">
        <w:t>(4</w:t>
      </w:r>
      <w:r w:rsidR="00206B8E">
        <w:t>8</w:t>
      </w:r>
      <w:r w:rsidRPr="00687DE8">
        <w:t xml:space="preserve">) </w:t>
      </w:r>
      <w:r w:rsidR="005023FD" w:rsidRPr="00687DE8">
        <w:t>Tervisekassa</w:t>
      </w:r>
      <w:r w:rsidRPr="00687DE8">
        <w:t xml:space="preserve"> võtab koodiga 368R tähistatud ravimiteenuse eest tasu maksmise kohustuse üle raskete porfüüriaepisoodide ravi korral, kui patsiendil esinevad neuroloogilised sümptomid ja vajadus opioidsete valuvaigistite järele.</w:t>
      </w:r>
    </w:p>
    <w:p w14:paraId="20194C96" w14:textId="77777777" w:rsidR="00976487" w:rsidRPr="00687DE8" w:rsidRDefault="00976487" w:rsidP="00976487">
      <w:pPr>
        <w:pStyle w:val="Normaallaadveeb"/>
        <w:spacing w:before="0" w:after="0" w:afterAutospacing="0"/>
        <w:jc w:val="both"/>
        <w:divId w:val="1316184749"/>
      </w:pPr>
    </w:p>
    <w:p w14:paraId="059BE6E5" w14:textId="5376E784" w:rsidR="00976487" w:rsidRPr="00687DE8" w:rsidRDefault="00976487" w:rsidP="00976487">
      <w:pPr>
        <w:pStyle w:val="Normaallaadveeb"/>
        <w:spacing w:before="0" w:after="0" w:afterAutospacing="0"/>
        <w:jc w:val="both"/>
        <w:divId w:val="1316184749"/>
      </w:pPr>
      <w:r w:rsidRPr="00687DE8">
        <w:t>(4</w:t>
      </w:r>
      <w:r w:rsidR="00206B8E">
        <w:t>9</w:t>
      </w:r>
      <w:r w:rsidRPr="00687DE8">
        <w:t xml:space="preserve">) </w:t>
      </w:r>
      <w:r w:rsidR="005023FD" w:rsidRPr="00687DE8">
        <w:t>Tervisekassa</w:t>
      </w:r>
      <w:r w:rsidRPr="00687DE8">
        <w:t xml:space="preserve"> võtab koodiga 386R tähistatud ravimiteenuse eest tasu maksmise kohustuse üle kuni 55 korda patsiendi kohta.</w:t>
      </w:r>
    </w:p>
    <w:p w14:paraId="48F58ED8" w14:textId="77777777" w:rsidR="00976487" w:rsidRPr="00687DE8" w:rsidRDefault="00976487" w:rsidP="00976487">
      <w:pPr>
        <w:pStyle w:val="Normaallaadveeb"/>
        <w:spacing w:before="0" w:after="0" w:afterAutospacing="0"/>
        <w:jc w:val="both"/>
        <w:divId w:val="1316184749"/>
      </w:pPr>
    </w:p>
    <w:p w14:paraId="0F75E264" w14:textId="76342C0A" w:rsidR="00976487" w:rsidRPr="00687DE8" w:rsidRDefault="00976487" w:rsidP="00976487">
      <w:pPr>
        <w:pStyle w:val="Normaallaadveeb"/>
        <w:spacing w:before="0" w:after="0" w:afterAutospacing="0"/>
        <w:jc w:val="both"/>
        <w:divId w:val="1316184749"/>
      </w:pPr>
      <w:r w:rsidRPr="00687DE8">
        <w:t>(</w:t>
      </w:r>
      <w:r w:rsidR="00206B8E">
        <w:t>50</w:t>
      </w:r>
      <w:r w:rsidRPr="00687DE8">
        <w:t xml:space="preserve">) </w:t>
      </w:r>
      <w:r w:rsidR="005023FD" w:rsidRPr="00687DE8">
        <w:t>Tervisekassa</w:t>
      </w:r>
      <w:r w:rsidRPr="00687DE8">
        <w:t xml:space="preserve"> võtab koodiga 369R tähistatud ravimiteenuse eest tasu maksmise kohustuse üle koos koodiga 7137 või 1A2132 tähistatud tervishoiuteenusega.</w:t>
      </w:r>
    </w:p>
    <w:p w14:paraId="387ADBB6" w14:textId="77777777" w:rsidR="00976487" w:rsidRPr="00687DE8" w:rsidRDefault="00976487" w:rsidP="00976487">
      <w:pPr>
        <w:pStyle w:val="Normaallaadveeb"/>
        <w:spacing w:before="0" w:after="0" w:afterAutospacing="0"/>
        <w:jc w:val="both"/>
        <w:divId w:val="1316184749"/>
      </w:pPr>
    </w:p>
    <w:p w14:paraId="5C4BB699" w14:textId="3A9E7671" w:rsidR="00976487" w:rsidRPr="00687DE8" w:rsidRDefault="00976487" w:rsidP="00976487">
      <w:pPr>
        <w:pStyle w:val="Normaallaadveeb"/>
        <w:spacing w:before="0" w:after="0" w:afterAutospacing="0"/>
        <w:jc w:val="both"/>
        <w:divId w:val="1316184749"/>
      </w:pPr>
      <w:bookmarkStart w:id="39" w:name="_Hlk148966809"/>
      <w:r w:rsidRPr="00687DE8">
        <w:t>(</w:t>
      </w:r>
      <w:r w:rsidR="00206B8E">
        <w:t>51</w:t>
      </w:r>
      <w:r w:rsidRPr="00687DE8">
        <w:t xml:space="preserve">) </w:t>
      </w:r>
      <w:r w:rsidR="005023FD" w:rsidRPr="00687DE8">
        <w:t>Tervisekassa</w:t>
      </w:r>
      <w:r w:rsidRPr="00687DE8">
        <w:t xml:space="preserve"> võtab koodiga 487R tähistatud ravimiteenuse eest tasu maksmise kohustuse üle Parkinsoni tõve (RHK 10 kood G20) korral, kui kesk- või piirkondliku haigla eksper</w:t>
      </w:r>
      <w:r w:rsidR="00DD4231" w:rsidRPr="00687DE8">
        <w:t>di</w:t>
      </w:r>
      <w:r w:rsidRPr="00687DE8">
        <w:t xml:space="preserve">komisjon, kuhu kuuluvad vähemalt </w:t>
      </w:r>
      <w:r w:rsidR="00DD4366" w:rsidRPr="00687DE8">
        <w:t xml:space="preserve">kolm </w:t>
      </w:r>
      <w:r w:rsidRPr="00687DE8">
        <w:t>neuroloogi, on hinnanud ravi alustamise vastavaks järgmistele kriteeriumidele:</w:t>
      </w:r>
    </w:p>
    <w:p w14:paraId="6F44FD15" w14:textId="7627CD48" w:rsidR="00976487" w:rsidRPr="00687DE8" w:rsidRDefault="00976487" w:rsidP="00976487">
      <w:pPr>
        <w:pStyle w:val="Normaallaadveeb"/>
        <w:spacing w:before="0" w:after="0" w:afterAutospacing="0"/>
        <w:jc w:val="both"/>
        <w:divId w:val="1316184749"/>
      </w:pPr>
      <w:r w:rsidRPr="00687DE8">
        <w:t>1)</w:t>
      </w:r>
      <w:r w:rsidRPr="00687DE8">
        <w:rPr>
          <w:rStyle w:val="tyhik"/>
        </w:rPr>
        <w:t xml:space="preserve"> </w:t>
      </w:r>
      <w:r w:rsidRPr="00687DE8">
        <w:t>patsiendil esineb vaatamata optimaalsele suukaudsele ravile raskekujuline motoorikahäire kestvate või sagedaste motoorsete fluktuatsioonidega (MDS-UPDRS III </w:t>
      </w:r>
      <w:r w:rsidRPr="00687DE8">
        <w:rPr>
          <w:i/>
          <w:iCs/>
        </w:rPr>
        <w:t>off</w:t>
      </w:r>
      <w:r w:rsidRPr="00687DE8">
        <w:t>-perioodis &gt; 45 punkti, </w:t>
      </w:r>
      <w:r w:rsidRPr="00687DE8">
        <w:rPr>
          <w:i/>
          <w:iCs/>
        </w:rPr>
        <w:t>off</w:t>
      </w:r>
      <w:r w:rsidRPr="00687DE8">
        <w:t>-perioodi kestus &gt; 25% ärkvelolekuajast);</w:t>
      </w:r>
    </w:p>
    <w:p w14:paraId="44AE0311" w14:textId="42BEA92E" w:rsidR="00976487" w:rsidRPr="00687DE8" w:rsidRDefault="000052AD" w:rsidP="00976487">
      <w:pPr>
        <w:pStyle w:val="Normaallaadveeb"/>
        <w:spacing w:before="0" w:after="0" w:afterAutospacing="0"/>
        <w:jc w:val="both"/>
        <w:divId w:val="1316184749"/>
      </w:pPr>
      <w:r w:rsidRPr="00687DE8">
        <w:t>2</w:t>
      </w:r>
      <w:r w:rsidR="00976487" w:rsidRPr="00687DE8">
        <w:t>)</w:t>
      </w:r>
      <w:r w:rsidR="00976487" w:rsidRPr="00687DE8">
        <w:rPr>
          <w:rStyle w:val="tyhik"/>
        </w:rPr>
        <w:t xml:space="preserve"> </w:t>
      </w:r>
      <w:r w:rsidR="00976487" w:rsidRPr="00687DE8">
        <w:t xml:space="preserve">patsient reageerib levodopa/karbidopa </w:t>
      </w:r>
      <w:r w:rsidR="00545B1D" w:rsidRPr="00687DE8">
        <w:t>või foslevodopa/foskarbidopa</w:t>
      </w:r>
      <w:r w:rsidR="00DC3092" w:rsidRPr="00687DE8">
        <w:t xml:space="preserve"> ravile </w:t>
      </w:r>
      <w:r w:rsidR="00976487" w:rsidRPr="00687DE8">
        <w:t>hästi (</w:t>
      </w:r>
      <w:r w:rsidR="00976487" w:rsidRPr="00687DE8">
        <w:rPr>
          <w:i/>
          <w:iCs/>
        </w:rPr>
        <w:t>off</w:t>
      </w:r>
      <w:r w:rsidR="00976487" w:rsidRPr="00687DE8">
        <w:t xml:space="preserve">-perioodi kestus </w:t>
      </w:r>
      <w:r w:rsidR="0066359C" w:rsidRPr="00687DE8">
        <w:t>väheneb</w:t>
      </w:r>
      <w:r w:rsidR="00976487" w:rsidRPr="00687DE8">
        <w:t xml:space="preserve"> &gt; 50%, MDS-UPDRS III </w:t>
      </w:r>
      <w:r w:rsidR="00976487" w:rsidRPr="00687DE8">
        <w:rPr>
          <w:i/>
          <w:iCs/>
        </w:rPr>
        <w:t>on</w:t>
      </w:r>
      <w:r w:rsidR="00976487" w:rsidRPr="00687DE8">
        <w:t>-perioodis ≤ 20 punkti).</w:t>
      </w:r>
    </w:p>
    <w:bookmarkEnd w:id="39"/>
    <w:p w14:paraId="62B88781" w14:textId="77777777" w:rsidR="00976487" w:rsidRPr="00687DE8" w:rsidRDefault="00976487" w:rsidP="00976487">
      <w:pPr>
        <w:pStyle w:val="Normaallaadveeb"/>
        <w:spacing w:before="0" w:after="0" w:afterAutospacing="0"/>
        <w:jc w:val="both"/>
        <w:divId w:val="1316184749"/>
      </w:pPr>
    </w:p>
    <w:p w14:paraId="5C334205" w14:textId="4E27F188" w:rsidR="00976487" w:rsidRPr="00687DE8" w:rsidRDefault="00976487" w:rsidP="00976487">
      <w:pPr>
        <w:pStyle w:val="Normaallaadveeb"/>
        <w:spacing w:before="0" w:after="0" w:afterAutospacing="0"/>
        <w:jc w:val="both"/>
        <w:divId w:val="1316184749"/>
      </w:pPr>
      <w:r w:rsidRPr="00687DE8">
        <w:t>(</w:t>
      </w:r>
      <w:r w:rsidR="00206B8E">
        <w:t>52</w:t>
      </w:r>
      <w:r w:rsidRPr="00687DE8">
        <w:t xml:space="preserve">) </w:t>
      </w:r>
      <w:r w:rsidR="005023FD" w:rsidRPr="00687DE8">
        <w:t>Tervisekassa</w:t>
      </w:r>
      <w:r w:rsidRPr="00687DE8">
        <w:t xml:space="preserve"> võtab koodiga 490R tähistatud ravimiteenuse eest tasu maksmise kohustuse üle tuumorilüüsi sündroomi korral patsiendilt, kellel vaatamata adekvaatsele hüdratatsioonile ja allopurinooli kasutamisele kujuneb välja äge tuumorilüüsi sündroom. Profülaktilisel kasutamisel võtab </w:t>
      </w:r>
      <w:r w:rsidR="005023FD" w:rsidRPr="00687DE8">
        <w:t>Tervisekassa</w:t>
      </w:r>
      <w:r w:rsidRPr="00687DE8">
        <w:t xml:space="preserve"> tasu maksmise kohustuse üle kõrgriskiga patsiendilt vastavalt Cairo </w:t>
      </w:r>
      <w:r w:rsidRPr="00687DE8">
        <w:rPr>
          <w:i/>
          <w:iCs/>
        </w:rPr>
        <w:t>et al</w:t>
      </w:r>
      <w:r w:rsidRPr="00687DE8">
        <w:t xml:space="preserve">. Recommendations for the evaluation of risk and prophylaxis of tumour lysis syndrome (TLS) in adults and children with malignant diseases: an expert TLS panel consensus. 2010, British Journal of Haematology, 149, 578–586 klassifikatsioonile esmavalikuna. </w:t>
      </w:r>
      <w:r w:rsidR="005023FD" w:rsidRPr="00687DE8">
        <w:t>Tervisekassa</w:t>
      </w:r>
      <w:r w:rsidRPr="00687DE8">
        <w:t xml:space="preserve"> võtab koodiga 490R tähistatud ravimiteenuse eest tasu maksmise kohustuse üle kuni seitsme päeva eest.</w:t>
      </w:r>
    </w:p>
    <w:p w14:paraId="357891B5" w14:textId="77777777" w:rsidR="00976487" w:rsidRPr="00687DE8" w:rsidRDefault="00976487" w:rsidP="00976487">
      <w:pPr>
        <w:pStyle w:val="Normaallaadveeb"/>
        <w:spacing w:before="0" w:after="0" w:afterAutospacing="0"/>
        <w:jc w:val="both"/>
        <w:divId w:val="1316184749"/>
      </w:pPr>
    </w:p>
    <w:p w14:paraId="6D7AA910" w14:textId="0E3C8A2D" w:rsidR="00976487" w:rsidRPr="00687DE8" w:rsidRDefault="00976487" w:rsidP="00976487">
      <w:pPr>
        <w:pStyle w:val="Normaallaadveeb"/>
        <w:spacing w:before="0" w:after="0" w:afterAutospacing="0"/>
        <w:jc w:val="both"/>
        <w:divId w:val="1316184749"/>
      </w:pPr>
      <w:r w:rsidRPr="00687DE8">
        <w:t>(</w:t>
      </w:r>
      <w:r w:rsidR="00206B8E">
        <w:t>53</w:t>
      </w:r>
      <w:r w:rsidRPr="00687DE8">
        <w:t xml:space="preserve">) </w:t>
      </w:r>
      <w:r w:rsidR="005023FD" w:rsidRPr="00687DE8">
        <w:t>Tervisekassa</w:t>
      </w:r>
      <w:r w:rsidRPr="00687DE8">
        <w:t xml:space="preserve"> võtab koodiga 216R tähistatud ravimiteenuse eest tasu maksmise kohustuse üle Parkinsoni tõve (RHK 10 kood G20) korral, kui ravi on alustatud vähemalt kolmest neuroloogist koosneva eksper</w:t>
      </w:r>
      <w:r w:rsidR="00DD4231" w:rsidRPr="00687DE8">
        <w:t>di</w:t>
      </w:r>
      <w:r w:rsidRPr="00687DE8">
        <w:t>komisjoni otsuse alusel patsiendil järgmiste tingimuste koosesinemise korral:</w:t>
      </w:r>
    </w:p>
    <w:p w14:paraId="15B4C2A0" w14:textId="77777777" w:rsidR="00976487" w:rsidRPr="00687DE8" w:rsidRDefault="00976487" w:rsidP="00976487">
      <w:pPr>
        <w:pStyle w:val="Normaallaadveeb"/>
        <w:spacing w:before="0" w:after="0" w:afterAutospacing="0"/>
        <w:jc w:val="both"/>
        <w:divId w:val="1316184749"/>
      </w:pPr>
      <w:r w:rsidRPr="00687DE8">
        <w:t>1)</w:t>
      </w:r>
      <w:r w:rsidRPr="00687DE8">
        <w:rPr>
          <w:rStyle w:val="tyhik"/>
        </w:rPr>
        <w:t xml:space="preserve"> </w:t>
      </w:r>
      <w:r w:rsidRPr="00687DE8">
        <w:t>patsiendil esineb vaatamata optimaalsele suukaudsele ravile raskekujuline motoorikahäire kestvate või sagedaste motoorsete fluktuatsioonidega (MDS-UPDRS III </w:t>
      </w:r>
      <w:r w:rsidRPr="00687DE8">
        <w:rPr>
          <w:i/>
          <w:iCs/>
        </w:rPr>
        <w:t>off</w:t>
      </w:r>
      <w:r w:rsidRPr="00687DE8">
        <w:t>-perioodis &gt; 45 punkti, </w:t>
      </w:r>
      <w:r w:rsidRPr="00687DE8">
        <w:rPr>
          <w:i/>
          <w:iCs/>
        </w:rPr>
        <w:t>off</w:t>
      </w:r>
      <w:r w:rsidRPr="00687DE8">
        <w:t>-perioodi kestus &gt; 25% ärkvelolekuajast);</w:t>
      </w:r>
    </w:p>
    <w:p w14:paraId="529B38AF" w14:textId="77777777" w:rsidR="00976487" w:rsidRPr="00687DE8" w:rsidRDefault="00976487" w:rsidP="00976487">
      <w:pPr>
        <w:pStyle w:val="Normaallaadveeb"/>
        <w:spacing w:before="0" w:after="0" w:afterAutospacing="0"/>
        <w:jc w:val="both"/>
        <w:divId w:val="1316184749"/>
      </w:pPr>
      <w:r w:rsidRPr="00687DE8">
        <w:lastRenderedPageBreak/>
        <w:t>2)</w:t>
      </w:r>
      <w:r w:rsidRPr="00687DE8">
        <w:rPr>
          <w:rStyle w:val="tyhik"/>
        </w:rPr>
        <w:t xml:space="preserve"> </w:t>
      </w:r>
      <w:r w:rsidRPr="00687DE8">
        <w:t>patsient on olnud eelnevalt apomorfiini süsteravil, mis on osutunud efektiivseks ja talutavaks, kuid toime kestus ei kata </w:t>
      </w:r>
      <w:r w:rsidRPr="00687DE8">
        <w:rPr>
          <w:i/>
          <w:iCs/>
        </w:rPr>
        <w:t>off</w:t>
      </w:r>
      <w:r w:rsidRPr="00687DE8">
        <w:t>-perioodide pikkust ja süstide vajadus on vähemalt neli korda päevas.</w:t>
      </w:r>
    </w:p>
    <w:p w14:paraId="27DA7322" w14:textId="77777777" w:rsidR="00976487" w:rsidRPr="00687DE8" w:rsidRDefault="00976487" w:rsidP="00976487">
      <w:pPr>
        <w:pStyle w:val="Normaallaadveeb"/>
        <w:spacing w:before="0" w:after="0" w:afterAutospacing="0"/>
        <w:jc w:val="both"/>
        <w:divId w:val="1316184749"/>
      </w:pPr>
    </w:p>
    <w:p w14:paraId="027FA5DD" w14:textId="438D8716" w:rsidR="00976487" w:rsidRPr="00687DE8" w:rsidRDefault="00976487" w:rsidP="00976487">
      <w:pPr>
        <w:pStyle w:val="Normaallaadveeb"/>
        <w:spacing w:before="0" w:after="0" w:afterAutospacing="0"/>
        <w:jc w:val="both"/>
        <w:divId w:val="1316184749"/>
      </w:pPr>
      <w:r w:rsidRPr="00687DE8">
        <w:t>(</w:t>
      </w:r>
      <w:r w:rsidR="00882B54">
        <w:t>5</w:t>
      </w:r>
      <w:r w:rsidR="00206B8E">
        <w:t>4</w:t>
      </w:r>
      <w:r w:rsidRPr="00687DE8">
        <w:t xml:space="preserve">) </w:t>
      </w:r>
      <w:r w:rsidR="005023FD" w:rsidRPr="00687DE8">
        <w:t>Tervisekassa</w:t>
      </w:r>
      <w:r w:rsidRPr="00687DE8">
        <w:t xml:space="preserve"> võtab koodidega 207R ja 208R tähistatud ravimiteenuste eest tasu maksmise kohustuse üle juhul, kui patsiendil on diagnoositud IgE-vahendatud allergiast tingitud anafülaksia, allergiline riniit, rinokonjuktiviit ja/või astma.</w:t>
      </w:r>
    </w:p>
    <w:p w14:paraId="760ABFD6" w14:textId="77777777" w:rsidR="00976487" w:rsidRPr="00687DE8" w:rsidRDefault="00976487" w:rsidP="00976487">
      <w:pPr>
        <w:pStyle w:val="Normaallaadveeb"/>
        <w:spacing w:before="0" w:after="0" w:afterAutospacing="0"/>
        <w:jc w:val="both"/>
        <w:divId w:val="1316184749"/>
      </w:pPr>
    </w:p>
    <w:p w14:paraId="156E6990" w14:textId="27842D50" w:rsidR="00976487" w:rsidRPr="00687DE8" w:rsidRDefault="00976487" w:rsidP="00976487">
      <w:pPr>
        <w:pStyle w:val="Normaallaadveeb"/>
        <w:spacing w:before="0" w:after="0" w:afterAutospacing="0"/>
        <w:jc w:val="both"/>
        <w:divId w:val="1316184749"/>
      </w:pPr>
      <w:r w:rsidRPr="00687DE8">
        <w:t>(</w:t>
      </w:r>
      <w:r w:rsidR="00882B54">
        <w:t>5</w:t>
      </w:r>
      <w:r w:rsidR="00206B8E">
        <w:t>5</w:t>
      </w:r>
      <w:r w:rsidRPr="00687DE8">
        <w:t xml:space="preserve">) </w:t>
      </w:r>
      <w:r w:rsidR="005023FD" w:rsidRPr="00687DE8">
        <w:t>Tervisekassa</w:t>
      </w:r>
      <w:r w:rsidRPr="00687DE8">
        <w:t xml:space="preserve"> võtab koodiga 204R tähistatud ravimiteenuse eest tasu maksmise kohustuse üle patsiendilt, kelle ravitulemus operatsiooni ja/või kiiritusraviga ei ole olnud tervistav ning kellel vähemalt kahest endokrinoloogist koosneva eksper</w:t>
      </w:r>
      <w:r w:rsidR="00DD4231" w:rsidRPr="00687DE8">
        <w:t>di</w:t>
      </w:r>
      <w:r w:rsidRPr="00687DE8">
        <w:t>komisjoni hinnangul pole ravi somatostatiini analoogidega (SSA) andnud tulemuseks IGF-1 (insuliinisarnane kasvufaktor) piisavat vähenemist (IGF-1 sisaldus püsib &gt; 130% eakohasest normist).</w:t>
      </w:r>
    </w:p>
    <w:p w14:paraId="47D4643F" w14:textId="77777777" w:rsidR="00976487" w:rsidRPr="00687DE8" w:rsidRDefault="00976487" w:rsidP="00976487">
      <w:pPr>
        <w:pStyle w:val="Normaallaadveeb"/>
        <w:spacing w:before="0" w:after="0" w:afterAutospacing="0"/>
        <w:jc w:val="both"/>
        <w:divId w:val="1316184749"/>
      </w:pPr>
    </w:p>
    <w:p w14:paraId="3A16A1CC" w14:textId="0274DE3C" w:rsidR="00976487" w:rsidRPr="00687DE8" w:rsidRDefault="00976487" w:rsidP="00976487">
      <w:pPr>
        <w:pStyle w:val="Normaallaadveeb"/>
        <w:spacing w:before="0" w:after="0" w:afterAutospacing="0"/>
        <w:jc w:val="both"/>
        <w:divId w:val="1316184749"/>
      </w:pPr>
      <w:r w:rsidRPr="00687DE8">
        <w:t>(</w:t>
      </w:r>
      <w:r w:rsidR="00882B54">
        <w:t>5</w:t>
      </w:r>
      <w:r w:rsidR="00206B8E">
        <w:t>6</w:t>
      </w:r>
      <w:r w:rsidRPr="00687DE8">
        <w:t>) Koodiga 204R tähistatud ravi lõpetatakse, kui 12. nädala möödumisel ravi alustamisest ei ole lõikes </w:t>
      </w:r>
      <w:r w:rsidR="00D73855">
        <w:t>61</w:t>
      </w:r>
      <w:r w:rsidRPr="00687DE8">
        <w:t xml:space="preserve"> nimetatud eksper</w:t>
      </w:r>
      <w:r w:rsidR="002017EC" w:rsidRPr="00687DE8">
        <w:t>di</w:t>
      </w:r>
      <w:r w:rsidRPr="00687DE8">
        <w:t>komisjoni hinnangul ravi kasvuhormooni antagonistiga andnud tulemuseks IGF-1 (insuliinisarnane kasvufaktor) piisavat vähenemist (IGF-1 sisaldus püsib &gt; 130% eakohasest normist).</w:t>
      </w:r>
    </w:p>
    <w:p w14:paraId="1149F1F1" w14:textId="77777777" w:rsidR="00976487" w:rsidRPr="00687DE8" w:rsidRDefault="00976487" w:rsidP="00976487">
      <w:pPr>
        <w:pStyle w:val="Normaallaadveeb"/>
        <w:spacing w:before="0" w:after="0" w:afterAutospacing="0"/>
        <w:jc w:val="both"/>
        <w:divId w:val="1316184749"/>
      </w:pPr>
    </w:p>
    <w:p w14:paraId="5CD3746E" w14:textId="01994D9A" w:rsidR="00976487" w:rsidRPr="00687DE8" w:rsidRDefault="00976487" w:rsidP="00976487">
      <w:pPr>
        <w:pStyle w:val="Normaallaadveeb"/>
        <w:spacing w:before="0" w:after="0" w:afterAutospacing="0"/>
        <w:jc w:val="both"/>
        <w:divId w:val="1316184749"/>
      </w:pPr>
      <w:r w:rsidRPr="00687DE8">
        <w:t>(</w:t>
      </w:r>
      <w:r w:rsidR="00882B54">
        <w:t>5</w:t>
      </w:r>
      <w:r w:rsidR="00206B8E">
        <w:t>7</w:t>
      </w:r>
      <w:r w:rsidRPr="00687DE8">
        <w:t xml:space="preserve">) </w:t>
      </w:r>
      <w:r w:rsidR="005023FD" w:rsidRPr="00687DE8">
        <w:t>Tervisekassa</w:t>
      </w:r>
      <w:r w:rsidRPr="00687DE8">
        <w:t xml:space="preserve"> võtab koodiga 219R tähistatud ravimiteenuse eest tasu maksmise kohustuse üle kuni </w:t>
      </w:r>
      <w:r w:rsidR="00482C95" w:rsidRPr="00687DE8">
        <w:t>13</w:t>
      </w:r>
      <w:r w:rsidR="00D218FB" w:rsidRPr="00687DE8">
        <w:t xml:space="preserve"> </w:t>
      </w:r>
      <w:r w:rsidR="00482C95" w:rsidRPr="00687DE8">
        <w:t>nelja</w:t>
      </w:r>
      <w:r w:rsidRPr="00687DE8">
        <w:t>nädalase ravikuuri eest aastas kindlustatud isiku kohta.</w:t>
      </w:r>
    </w:p>
    <w:p w14:paraId="37267D8C" w14:textId="77777777" w:rsidR="00976487" w:rsidRPr="00687DE8" w:rsidRDefault="00976487" w:rsidP="00976487">
      <w:pPr>
        <w:pStyle w:val="Normaallaadveeb"/>
        <w:spacing w:before="0" w:after="0" w:afterAutospacing="0"/>
        <w:jc w:val="both"/>
        <w:divId w:val="1316184749"/>
      </w:pPr>
    </w:p>
    <w:p w14:paraId="5AAB38AD" w14:textId="25EBA2CB" w:rsidR="00976487" w:rsidRPr="00687DE8" w:rsidRDefault="00976487" w:rsidP="00976487">
      <w:pPr>
        <w:pStyle w:val="Normaallaadveeb"/>
        <w:spacing w:before="0" w:after="0" w:afterAutospacing="0"/>
        <w:jc w:val="both"/>
        <w:divId w:val="1316184749"/>
      </w:pPr>
      <w:r w:rsidRPr="00687DE8">
        <w:t>(</w:t>
      </w:r>
      <w:r w:rsidR="00882B54">
        <w:t>5</w:t>
      </w:r>
      <w:r w:rsidR="00206B8E">
        <w:t>8</w:t>
      </w:r>
      <w:r w:rsidRPr="00687DE8">
        <w:t xml:space="preserve">) </w:t>
      </w:r>
      <w:r w:rsidR="005023FD" w:rsidRPr="00687DE8">
        <w:t>Tervisekassa</w:t>
      </w:r>
      <w:r w:rsidRPr="00687DE8">
        <w:t xml:space="preserve"> võtab koodiga 219R tähistatud ravimiteenuse eest tasu maksmise kohustuse üle skisofreeniat (RHK 10 koodid F20–29), maniakaalset episoodi ehk maniat (RHK 10 kood F30) või bipolaarset meeleoluhäiret (RHK 10 kood F31) põdeva patsiendi eest, kes ei ole võimeline suukaudse ravi soovitusi järgima.</w:t>
      </w:r>
    </w:p>
    <w:p w14:paraId="75AA365C" w14:textId="77777777" w:rsidR="00976487" w:rsidRPr="00687DE8" w:rsidRDefault="00976487" w:rsidP="00976487">
      <w:pPr>
        <w:pStyle w:val="Normaallaadveeb"/>
        <w:spacing w:before="0" w:after="0" w:afterAutospacing="0"/>
        <w:contextualSpacing/>
        <w:jc w:val="both"/>
        <w:divId w:val="1316184749"/>
      </w:pPr>
    </w:p>
    <w:p w14:paraId="1DF46EBF" w14:textId="5BD109DB" w:rsidR="00976487" w:rsidRPr="00687DE8" w:rsidRDefault="00976487" w:rsidP="00976487">
      <w:pPr>
        <w:pStyle w:val="Normaallaadveeb"/>
        <w:spacing w:before="0" w:after="0" w:afterAutospacing="0"/>
        <w:contextualSpacing/>
        <w:jc w:val="both"/>
        <w:divId w:val="1316184749"/>
      </w:pPr>
      <w:r w:rsidRPr="00687DE8">
        <w:t>(</w:t>
      </w:r>
      <w:r w:rsidR="00EA76E0" w:rsidRPr="00687DE8">
        <w:t>5</w:t>
      </w:r>
      <w:r w:rsidR="00206B8E">
        <w:t>9</w:t>
      </w:r>
      <w:r w:rsidRPr="00687DE8">
        <w:t xml:space="preserve">) </w:t>
      </w:r>
      <w:r w:rsidR="005023FD" w:rsidRPr="00687DE8">
        <w:t>Tervisekassa</w:t>
      </w:r>
      <w:r w:rsidRPr="00687DE8">
        <w:t xml:space="preserve"> võtab koodiga 220R tähistatud ravimiteenuse eest tasu maksmise kohustuse üle kroonilise südamepuudulikkuse ägeda dekompensatsiooni või esmakordselt diagnoositud ägeda südamepuudulikkuse lühiajaliseks raviks patsiendil järgmiste tingimuste koosesinemise korral:</w:t>
      </w:r>
    </w:p>
    <w:p w14:paraId="45494AA9" w14:textId="77777777" w:rsidR="00976487" w:rsidRPr="00687DE8" w:rsidRDefault="00976487" w:rsidP="00976487">
      <w:pPr>
        <w:pStyle w:val="Normaallaadveeb"/>
        <w:spacing w:before="0" w:after="0" w:afterAutospacing="0"/>
        <w:contextualSpacing/>
        <w:jc w:val="both"/>
        <w:divId w:val="1316184749"/>
      </w:pPr>
      <w:r w:rsidRPr="00687DE8">
        <w:t>1) konventsionaalne ravi on osutunud ebapiisavaks ning vajalik on inotroopne toetus;</w:t>
      </w:r>
    </w:p>
    <w:p w14:paraId="27C214DB" w14:textId="77777777" w:rsidR="00976487" w:rsidRPr="00687DE8" w:rsidRDefault="00976487" w:rsidP="00976487">
      <w:pPr>
        <w:pStyle w:val="Normaallaadveeb"/>
        <w:spacing w:before="0" w:after="0" w:afterAutospacing="0"/>
        <w:contextualSpacing/>
        <w:jc w:val="both"/>
        <w:divId w:val="1316184749"/>
      </w:pPr>
      <w:r w:rsidRPr="00687DE8">
        <w:t>2) dobutamiini või milrinooni kasutamisel saadud efekt on osutunud ebapiisavaks, preparaatide kasutamisel on ilmnenud talumatud kõrvaltoimed või esinevad vastunäidustused kasutamiseks;</w:t>
      </w:r>
    </w:p>
    <w:p w14:paraId="5BA6D8C5" w14:textId="77777777" w:rsidR="00976487" w:rsidRPr="00687DE8" w:rsidRDefault="00976487" w:rsidP="00976487">
      <w:pPr>
        <w:pStyle w:val="Normaallaadveeb"/>
        <w:spacing w:before="0" w:after="0" w:afterAutospacing="0"/>
        <w:contextualSpacing/>
        <w:jc w:val="both"/>
        <w:divId w:val="1316184749"/>
      </w:pPr>
      <w:r w:rsidRPr="00687DE8">
        <w:t>3) teenust osutatakse otsuse alusel, mille on teinud vähemalt kaheliikmeline eksper</w:t>
      </w:r>
      <w:r w:rsidR="002017EC" w:rsidRPr="00687DE8">
        <w:t>di</w:t>
      </w:r>
      <w:r w:rsidRPr="00687DE8">
        <w:t>komisjon, kuhu kuuluvad kardioloogid ja/või anestesioloogid.</w:t>
      </w:r>
    </w:p>
    <w:p w14:paraId="2AD6D4C9" w14:textId="77777777" w:rsidR="00976487" w:rsidRPr="00687DE8" w:rsidRDefault="00976487" w:rsidP="00976487">
      <w:pPr>
        <w:pStyle w:val="Normaallaadveeb"/>
        <w:spacing w:before="0" w:after="0" w:afterAutospacing="0"/>
        <w:contextualSpacing/>
        <w:jc w:val="both"/>
        <w:divId w:val="1316184749"/>
      </w:pPr>
    </w:p>
    <w:p w14:paraId="0EADE6FC" w14:textId="647E235A" w:rsidR="00976487" w:rsidRPr="00687DE8" w:rsidRDefault="00976487" w:rsidP="00976487">
      <w:pPr>
        <w:pStyle w:val="Normaallaadveeb"/>
        <w:spacing w:before="0" w:after="0" w:afterAutospacing="0"/>
        <w:jc w:val="both"/>
        <w:divId w:val="1316184749"/>
      </w:pPr>
      <w:r w:rsidRPr="00687DE8">
        <w:t>(</w:t>
      </w:r>
      <w:r w:rsidR="00206B8E">
        <w:t>60</w:t>
      </w:r>
      <w:r w:rsidRPr="00687DE8">
        <w:t xml:space="preserve">) </w:t>
      </w:r>
      <w:r w:rsidR="005023FD" w:rsidRPr="00687DE8">
        <w:t>Tervisekassa</w:t>
      </w:r>
      <w:r w:rsidRPr="00687DE8">
        <w:t xml:space="preserve"> võtab koodi</w:t>
      </w:r>
      <w:r w:rsidR="40BA1464" w:rsidRPr="00687DE8">
        <w:t>de</w:t>
      </w:r>
      <w:r w:rsidRPr="00687DE8">
        <w:t xml:space="preserve">ga </w:t>
      </w:r>
      <w:r w:rsidR="3B03DC8D" w:rsidRPr="00687DE8">
        <w:t>413R</w:t>
      </w:r>
      <w:r w:rsidR="24DCF3BB" w:rsidRPr="00687DE8">
        <w:t xml:space="preserve"> ja</w:t>
      </w:r>
      <w:r w:rsidRPr="00687DE8">
        <w:t xml:space="preserve"> 489R tähistatud ravimiteenus</w:t>
      </w:r>
      <w:r w:rsidR="73AD7612" w:rsidRPr="00687DE8">
        <w:t>t</w:t>
      </w:r>
      <w:r w:rsidRPr="00687DE8">
        <w:t xml:space="preserve">e eest tasu maksmise </w:t>
      </w:r>
      <w:r w:rsidR="000A6C7E" w:rsidRPr="00687DE8">
        <w:t xml:space="preserve">kohustuse </w:t>
      </w:r>
      <w:r w:rsidRPr="00687DE8">
        <w:t>üle minimaalselt ühe korra kahe aasta jooksul.</w:t>
      </w:r>
    </w:p>
    <w:p w14:paraId="4082FB5B" w14:textId="77777777" w:rsidR="00976487" w:rsidRPr="00687DE8" w:rsidRDefault="00976487" w:rsidP="00976487">
      <w:pPr>
        <w:pStyle w:val="Normaallaadveeb"/>
        <w:spacing w:before="0" w:after="0" w:afterAutospacing="0"/>
        <w:jc w:val="both"/>
        <w:divId w:val="1316184749"/>
      </w:pPr>
    </w:p>
    <w:p w14:paraId="7BF1B988" w14:textId="05535906" w:rsidR="00976487" w:rsidRPr="00687DE8" w:rsidRDefault="00976487" w:rsidP="00976487">
      <w:pPr>
        <w:pStyle w:val="Normaallaadveeb"/>
        <w:spacing w:before="0" w:after="0" w:afterAutospacing="0"/>
        <w:jc w:val="both"/>
        <w:divId w:val="1316184749"/>
      </w:pPr>
      <w:r w:rsidRPr="00687DE8">
        <w:t>(</w:t>
      </w:r>
      <w:r w:rsidR="00206B8E">
        <w:t>61</w:t>
      </w:r>
      <w:r w:rsidRPr="00687DE8">
        <w:t xml:space="preserve">) </w:t>
      </w:r>
      <w:r w:rsidR="005023FD" w:rsidRPr="00687DE8">
        <w:t>Tervisekassa</w:t>
      </w:r>
      <w:r w:rsidRPr="00687DE8">
        <w:t xml:space="preserve"> võtab koodiga 399R tähistatud ravimiteenuse eest tasu maksmise kohustuse üle kuni </w:t>
      </w:r>
      <w:r w:rsidR="003A51EB" w:rsidRPr="00687DE8">
        <w:t>13</w:t>
      </w:r>
      <w:r w:rsidRPr="00687DE8">
        <w:t xml:space="preserve"> </w:t>
      </w:r>
      <w:r w:rsidR="003A51EB" w:rsidRPr="00687DE8">
        <w:t>nelja</w:t>
      </w:r>
      <w:r w:rsidRPr="00687DE8">
        <w:t>nädalase ravikuuri eest aastas kindlustatud isiku kohta tingimusel, et kahest endokrinoloogist koosneva eksper</w:t>
      </w:r>
      <w:r w:rsidR="002017EC" w:rsidRPr="00687DE8">
        <w:t>di</w:t>
      </w:r>
      <w:r w:rsidRPr="00687DE8">
        <w:t>komisjoni hinnangul pole ravitulemus operatsiooni ja/või kiiritusraviga olnud tervistav ning eelnenud ravi koodiga 339R tähistatud ravimiteenuse maksimaalse annusega pole taganud haiguse piisavat ohjet (IGF-1 püsib &gt; 130% eakohasest normist).</w:t>
      </w:r>
    </w:p>
    <w:p w14:paraId="036790B1" w14:textId="77777777" w:rsidR="00976487" w:rsidRPr="00687DE8" w:rsidRDefault="00976487" w:rsidP="00976487">
      <w:pPr>
        <w:pStyle w:val="Normaallaadveeb"/>
        <w:spacing w:before="0" w:after="0" w:afterAutospacing="0"/>
        <w:jc w:val="both"/>
        <w:divId w:val="1316184749"/>
      </w:pPr>
    </w:p>
    <w:p w14:paraId="37269A90" w14:textId="13A1A14F" w:rsidR="00976487" w:rsidRPr="00687DE8" w:rsidRDefault="00976487" w:rsidP="00976487">
      <w:pPr>
        <w:pStyle w:val="Normaallaadveeb"/>
        <w:spacing w:before="0" w:after="0" w:afterAutospacing="0"/>
        <w:jc w:val="both"/>
        <w:divId w:val="1316184749"/>
      </w:pPr>
      <w:r w:rsidRPr="00687DE8">
        <w:t>(</w:t>
      </w:r>
      <w:r w:rsidR="00206B8E">
        <w:t>62</w:t>
      </w:r>
      <w:r w:rsidRPr="00687DE8">
        <w:t>) Koodidega 204R ja 399R tähistatud ravimiteenuseid ei ole lubatud kasutada ühel ja samal kindlustatud isikul.</w:t>
      </w:r>
    </w:p>
    <w:p w14:paraId="5F044BFF" w14:textId="77777777" w:rsidR="00976487" w:rsidRPr="00687DE8" w:rsidRDefault="00976487" w:rsidP="00976487">
      <w:pPr>
        <w:pStyle w:val="Normaallaadveeb"/>
        <w:spacing w:before="0" w:after="0" w:afterAutospacing="0"/>
        <w:jc w:val="both"/>
        <w:divId w:val="1316184749"/>
      </w:pPr>
    </w:p>
    <w:p w14:paraId="42E44CA1" w14:textId="7386234B" w:rsidR="00976487" w:rsidRPr="00687DE8" w:rsidRDefault="00976487" w:rsidP="00976487">
      <w:pPr>
        <w:pStyle w:val="Normaallaadveeb"/>
        <w:spacing w:before="0" w:after="0" w:afterAutospacing="0"/>
        <w:jc w:val="both"/>
        <w:divId w:val="1316184749"/>
      </w:pPr>
      <w:r w:rsidRPr="00687DE8">
        <w:t>(</w:t>
      </w:r>
      <w:r w:rsidR="00206B8E">
        <w:t>63</w:t>
      </w:r>
      <w:r w:rsidRPr="00687DE8">
        <w:t>) Ravi koodiga 243R tähistatud ravimiteenusega alustatakse enneaegsel vastsündinul apnoe raviks ja invasiivsest hingamistoetusest võõrutamiseks ning enneaegsel vastsündinul, kelle sünnikaal on alla 1250 g ja kes on mitteinvasiivsel hingamistoetusel või kellel on muu suurenenud risk invasiivse hingamistoetuse vajaduse tekkeks.</w:t>
      </w:r>
    </w:p>
    <w:p w14:paraId="4B5C91E8" w14:textId="77777777" w:rsidR="00976487" w:rsidRPr="00687DE8" w:rsidRDefault="00976487" w:rsidP="00976487">
      <w:pPr>
        <w:pStyle w:val="Normaallaadveeb"/>
        <w:spacing w:before="0" w:after="0" w:afterAutospacing="0"/>
        <w:jc w:val="both"/>
        <w:divId w:val="1316184749"/>
      </w:pPr>
    </w:p>
    <w:p w14:paraId="39564DD2" w14:textId="7C04EF33" w:rsidR="00976487" w:rsidRPr="00687DE8" w:rsidRDefault="00976487" w:rsidP="00976487">
      <w:pPr>
        <w:pStyle w:val="Normaallaadveeb"/>
        <w:spacing w:before="0" w:after="0" w:afterAutospacing="0"/>
        <w:jc w:val="both"/>
        <w:divId w:val="1316184749"/>
      </w:pPr>
      <w:r w:rsidRPr="00687DE8">
        <w:t>(</w:t>
      </w:r>
      <w:r w:rsidR="00882B54">
        <w:t>6</w:t>
      </w:r>
      <w:r w:rsidR="004945B9">
        <w:t>4</w:t>
      </w:r>
      <w:r w:rsidRPr="00687DE8">
        <w:t xml:space="preserve">) </w:t>
      </w:r>
      <w:r w:rsidR="005023FD" w:rsidRPr="00687DE8">
        <w:t>Tervisekassa</w:t>
      </w:r>
      <w:r w:rsidRPr="00687DE8">
        <w:t xml:space="preserve"> võtab koodiga 397R tähistatud ravimiteenuse eest tasu maksmise kohustuse üle kuni </w:t>
      </w:r>
      <w:r w:rsidR="00482C95" w:rsidRPr="00687DE8">
        <w:t>13</w:t>
      </w:r>
      <w:r w:rsidRPr="00687DE8">
        <w:t xml:space="preserve"> </w:t>
      </w:r>
      <w:r w:rsidR="00482C95" w:rsidRPr="00687DE8">
        <w:t>nelja</w:t>
      </w:r>
      <w:r w:rsidRPr="00687DE8">
        <w:t>nädalase ravikuuri eest aastas kindlustatud isiku kohta tingimusel, et kahest endokrinoloogist koosneva eksper</w:t>
      </w:r>
      <w:r w:rsidR="002017EC" w:rsidRPr="00687DE8">
        <w:t>di</w:t>
      </w:r>
      <w:r w:rsidRPr="00687DE8">
        <w:t>komisjoni hinnangul pole kirurgilise raviga saavutatud haiguse remissiooni või kirurgiline ravi pole kasvaja suuruse või asukoha</w:t>
      </w:r>
      <w:r w:rsidR="00D218FB" w:rsidRPr="00687DE8">
        <w:t xml:space="preserve"> </w:t>
      </w:r>
      <w:r w:rsidR="00BE6139" w:rsidRPr="00687DE8">
        <w:t>tõttu võimalik</w:t>
      </w:r>
      <w:r w:rsidRPr="00687DE8">
        <w:t>. Ravimiteenust rakendatakse patsiendil, kelle vaba kortisooli eritus ööpäevases uriinis püsib &gt; 150% normi ülapiirist.</w:t>
      </w:r>
    </w:p>
    <w:p w14:paraId="6DDDAD55" w14:textId="77777777" w:rsidR="00976487" w:rsidRPr="00687DE8" w:rsidRDefault="00976487" w:rsidP="00976487">
      <w:pPr>
        <w:pStyle w:val="Normaallaadveeb"/>
        <w:spacing w:before="0" w:after="0" w:afterAutospacing="0"/>
        <w:jc w:val="both"/>
        <w:divId w:val="1316184749"/>
      </w:pPr>
    </w:p>
    <w:p w14:paraId="43ECF8FF" w14:textId="1031FBDA" w:rsidR="00976487" w:rsidRPr="00687DE8" w:rsidRDefault="00976487" w:rsidP="00976487">
      <w:pPr>
        <w:spacing w:after="0" w:line="240" w:lineRule="auto"/>
        <w:jc w:val="both"/>
        <w:divId w:val="1316184749"/>
        <w:rPr>
          <w:szCs w:val="24"/>
        </w:rPr>
      </w:pPr>
      <w:r w:rsidRPr="00687DE8">
        <w:rPr>
          <w:szCs w:val="24"/>
        </w:rPr>
        <w:t>(</w:t>
      </w:r>
      <w:r w:rsidR="00882B54">
        <w:rPr>
          <w:szCs w:val="24"/>
        </w:rPr>
        <w:t>6</w:t>
      </w:r>
      <w:r w:rsidR="004945B9">
        <w:rPr>
          <w:szCs w:val="24"/>
        </w:rPr>
        <w:t>5</w:t>
      </w:r>
      <w:r w:rsidRPr="00687DE8">
        <w:rPr>
          <w:szCs w:val="24"/>
        </w:rPr>
        <w:t xml:space="preserve">) </w:t>
      </w:r>
      <w:r w:rsidR="005023FD" w:rsidRPr="00687DE8">
        <w:rPr>
          <w:szCs w:val="24"/>
        </w:rPr>
        <w:t>Tervisekassa</w:t>
      </w:r>
      <w:r w:rsidRPr="00687DE8">
        <w:rPr>
          <w:szCs w:val="24"/>
        </w:rPr>
        <w:t xml:space="preserve"> võtab koodiga 404R tähistatud ravimiteenuse eest tasu maksmise kohustuse üle dabigatraani manustamisest tingitud omandatud hüübimisteguri vaegusega patsiendilt (RHK 10 kood D68.4) RHK 10 seisundite I60, I61, I62, I63, S06 ja H43.1 korral või dabigatraani manustamisest tingitud omandatud hüübimisteguri vaegusega patsiendilt (RHK 10 kood D68.4) hüübivuse kiireks taastamiseks erakorralise kirurgia või eluohtliku massiivse verejooksuga kulgeva seisundi korral või elupäästvate protseduuride (koodid 7741, 7709, 7746, 7744, 212R) tegemiseks.</w:t>
      </w:r>
    </w:p>
    <w:p w14:paraId="47A4B1BF" w14:textId="77777777" w:rsidR="00976487" w:rsidRPr="00687DE8" w:rsidRDefault="00976487" w:rsidP="00976487">
      <w:pPr>
        <w:pStyle w:val="Normaallaadveeb"/>
        <w:spacing w:before="0" w:after="0" w:afterAutospacing="0"/>
        <w:contextualSpacing/>
        <w:jc w:val="both"/>
        <w:divId w:val="1316184749"/>
      </w:pPr>
    </w:p>
    <w:p w14:paraId="4AFE7B09" w14:textId="13893289" w:rsidR="0802DD20" w:rsidRPr="00687DE8" w:rsidRDefault="0802DD20" w:rsidP="7694E787">
      <w:pPr>
        <w:pStyle w:val="Normaallaadveeb"/>
        <w:spacing w:before="0" w:after="0" w:afterAutospacing="0"/>
        <w:jc w:val="both"/>
      </w:pPr>
      <w:r w:rsidRPr="00687DE8">
        <w:t>(</w:t>
      </w:r>
      <w:r w:rsidR="00882B54">
        <w:t>6</w:t>
      </w:r>
      <w:r w:rsidR="00C63324">
        <w:t>6</w:t>
      </w:r>
      <w:r w:rsidRPr="00687DE8">
        <w:t xml:space="preserve">) </w:t>
      </w:r>
      <w:r w:rsidR="005023FD" w:rsidRPr="00687DE8">
        <w:t>Tervisekassa</w:t>
      </w:r>
      <w:r w:rsidRPr="00687DE8">
        <w:rPr>
          <w:color w:val="000000" w:themeColor="text1"/>
        </w:rPr>
        <w:t xml:space="preserve"> </w:t>
      </w:r>
      <w:r w:rsidRPr="00687DE8">
        <w:rPr>
          <w:color w:val="202020"/>
        </w:rPr>
        <w:t>võtab koodi</w:t>
      </w:r>
      <w:r w:rsidR="00056815" w:rsidRPr="00687DE8">
        <w:rPr>
          <w:color w:val="202020"/>
        </w:rPr>
        <w:t>dega</w:t>
      </w:r>
      <w:r w:rsidRPr="00687DE8">
        <w:rPr>
          <w:color w:val="202020"/>
        </w:rPr>
        <w:t xml:space="preserve"> 275R </w:t>
      </w:r>
      <w:r w:rsidR="5F27FFFE" w:rsidRPr="00687DE8">
        <w:rPr>
          <w:color w:val="202020"/>
        </w:rPr>
        <w:t xml:space="preserve">ja 285R </w:t>
      </w:r>
      <w:r w:rsidRPr="00687DE8">
        <w:rPr>
          <w:color w:val="202020"/>
        </w:rPr>
        <w:t>tähistatud ravimiteenus</w:t>
      </w:r>
      <w:r w:rsidR="00B36040" w:rsidRPr="00687DE8">
        <w:rPr>
          <w:color w:val="202020"/>
        </w:rPr>
        <w:t>t</w:t>
      </w:r>
      <w:r w:rsidRPr="00687DE8">
        <w:rPr>
          <w:color w:val="202020"/>
        </w:rPr>
        <w:t>e eest tasu maksmise kohustuse üle patsiendilt, kelle pärilik või omandatud angioödeem on diagnoositud haiglate loetelus nimetatud kesk- või piirkondlikus haiglas.</w:t>
      </w:r>
    </w:p>
    <w:p w14:paraId="1FC2ED20" w14:textId="77777777" w:rsidR="14663A16" w:rsidRPr="00687DE8" w:rsidRDefault="14663A16" w:rsidP="7694E787">
      <w:pPr>
        <w:pStyle w:val="Normaallaadveeb"/>
        <w:spacing w:before="0" w:after="0" w:afterAutospacing="0"/>
        <w:jc w:val="both"/>
        <w:rPr>
          <w:color w:val="202020"/>
        </w:rPr>
      </w:pPr>
    </w:p>
    <w:p w14:paraId="140FAAD6" w14:textId="531FB879" w:rsidR="14663A16" w:rsidRPr="00687DE8" w:rsidRDefault="0802DD20" w:rsidP="7694E787">
      <w:pPr>
        <w:pStyle w:val="Normaallaadveeb"/>
        <w:spacing w:before="0" w:after="0" w:afterAutospacing="0"/>
        <w:jc w:val="both"/>
      </w:pPr>
      <w:r w:rsidRPr="00687DE8">
        <w:rPr>
          <w:color w:val="202020"/>
        </w:rPr>
        <w:t>(</w:t>
      </w:r>
      <w:r w:rsidR="00EA333E">
        <w:rPr>
          <w:color w:val="202020"/>
        </w:rPr>
        <w:t>6</w:t>
      </w:r>
      <w:r w:rsidR="00C63324">
        <w:rPr>
          <w:color w:val="202020"/>
        </w:rPr>
        <w:t>7</w:t>
      </w:r>
      <w:r w:rsidRPr="00687DE8">
        <w:rPr>
          <w:color w:val="202020"/>
        </w:rPr>
        <w:t xml:space="preserve">) </w:t>
      </w:r>
      <w:r w:rsidR="005023FD" w:rsidRPr="00687DE8">
        <w:t>Tervisekassa</w:t>
      </w:r>
      <w:r w:rsidRPr="00687DE8">
        <w:t xml:space="preserve"> võtab koodiga 275R tähistatud ravimiteenuse eest tasu maksmise kohustuse üle kahtlustatud päriliku angioödeemiga erakorraliselt patsiendilt järgmiste kliiniliste tingimuste koosesinemi</w:t>
      </w:r>
      <w:r w:rsidR="00056815" w:rsidRPr="00687DE8">
        <w:t>se korral</w:t>
      </w:r>
      <w:r w:rsidRPr="00687DE8">
        <w:t>: vähemalt keele ja/või huulte turse koos hingamisraskusega,</w:t>
      </w:r>
      <w:r w:rsidR="01E65657" w:rsidRPr="00687DE8">
        <w:t xml:space="preserve"> </w:t>
      </w:r>
      <w:r w:rsidRPr="00687DE8">
        <w:t>ägeda ataki ravi antihistamiinikumi või steroidiga on ebaõnnestunud ja patsiendil ei esine urtikaariat.</w:t>
      </w:r>
    </w:p>
    <w:p w14:paraId="38198EC9" w14:textId="77777777" w:rsidR="6CCB6BC5" w:rsidRPr="00687DE8" w:rsidRDefault="6CCB6BC5" w:rsidP="7694E787">
      <w:pPr>
        <w:pStyle w:val="Normaallaadveeb"/>
        <w:spacing w:before="0" w:after="0" w:afterAutospacing="0"/>
        <w:jc w:val="both"/>
      </w:pPr>
    </w:p>
    <w:p w14:paraId="478793F4" w14:textId="0BECF199" w:rsidR="003D3A8C" w:rsidRPr="00687DE8" w:rsidRDefault="4A8D12A3" w:rsidP="003D3A8C">
      <w:pPr>
        <w:spacing w:after="0" w:line="240" w:lineRule="auto"/>
        <w:jc w:val="both"/>
        <w:divId w:val="1316184749"/>
        <w:rPr>
          <w:color w:val="202020"/>
          <w:szCs w:val="24"/>
        </w:rPr>
      </w:pPr>
      <w:r w:rsidRPr="00687DE8">
        <w:rPr>
          <w:szCs w:val="24"/>
        </w:rPr>
        <w:t>(</w:t>
      </w:r>
      <w:r w:rsidR="00EA333E">
        <w:rPr>
          <w:szCs w:val="24"/>
        </w:rPr>
        <w:t>6</w:t>
      </w:r>
      <w:r w:rsidR="00C63324">
        <w:rPr>
          <w:szCs w:val="24"/>
        </w:rPr>
        <w:t>8</w:t>
      </w:r>
      <w:r w:rsidRPr="00687DE8">
        <w:rPr>
          <w:szCs w:val="24"/>
        </w:rPr>
        <w:t xml:space="preserve">) </w:t>
      </w:r>
      <w:r w:rsidRPr="00687DE8">
        <w:rPr>
          <w:color w:val="202020"/>
          <w:szCs w:val="24"/>
        </w:rPr>
        <w:t>Angioödeemi profülaktilist ravi koodiga 285R tähistatud ravimiteenusega alustatakse juhul, kui raviotsuse on teinud eksperdikomisjon, millesse kuulub kolm HAE-ravi kogemusega spetsialisti, kellest kaks on allergoloog-immunoloogid, ning üksnes patsiendil, kellel esineb ≥ </w:t>
      </w:r>
      <w:r w:rsidR="23E70BDE" w:rsidRPr="00687DE8">
        <w:rPr>
          <w:color w:val="202020"/>
          <w:szCs w:val="24"/>
        </w:rPr>
        <w:t>2</w:t>
      </w:r>
      <w:r w:rsidRPr="00687DE8">
        <w:rPr>
          <w:color w:val="202020"/>
          <w:szCs w:val="24"/>
        </w:rPr>
        <w:t xml:space="preserve"> kliiniliselt olulist akuutset ravi vajavat haigushoogu kuus ja kes seejuures vajab ravi C1-inhibiitoriga maksimaalses päevaannuses kuni 1500 toimeühikut. </w:t>
      </w:r>
      <w:r w:rsidR="223040DA" w:rsidRPr="00687DE8">
        <w:rPr>
          <w:color w:val="202020"/>
          <w:szCs w:val="24"/>
        </w:rPr>
        <w:t>Patsiendi ravis on lubatud teenust kodeerida kuni 312 korda kalendriaastas.</w:t>
      </w:r>
    </w:p>
    <w:p w14:paraId="3743D6CD" w14:textId="77777777" w:rsidR="003D3A8C" w:rsidRPr="00687DE8" w:rsidRDefault="003D3A8C" w:rsidP="0002185D">
      <w:pPr>
        <w:pStyle w:val="Normaallaadveeb"/>
        <w:spacing w:before="0" w:after="0" w:afterAutospacing="0"/>
        <w:jc w:val="both"/>
        <w:divId w:val="1316184749"/>
      </w:pPr>
    </w:p>
    <w:p w14:paraId="5E4A4470" w14:textId="1CC26CEF" w:rsidR="000914F8" w:rsidRPr="00687DE8" w:rsidRDefault="2CB1278B" w:rsidP="00BD62E8">
      <w:pPr>
        <w:spacing w:line="257" w:lineRule="auto"/>
        <w:jc w:val="both"/>
        <w:rPr>
          <w:color w:val="202020"/>
          <w:szCs w:val="24"/>
        </w:rPr>
      </w:pPr>
      <w:r w:rsidRPr="00687DE8">
        <w:rPr>
          <w:szCs w:val="24"/>
        </w:rPr>
        <w:t>(</w:t>
      </w:r>
      <w:r w:rsidR="00E378A0" w:rsidRPr="00687DE8">
        <w:rPr>
          <w:szCs w:val="24"/>
        </w:rPr>
        <w:t>6</w:t>
      </w:r>
      <w:r w:rsidR="000914F8">
        <w:rPr>
          <w:szCs w:val="24"/>
        </w:rPr>
        <w:t>9</w:t>
      </w:r>
      <w:r w:rsidRPr="00687DE8">
        <w:rPr>
          <w:szCs w:val="24"/>
        </w:rPr>
        <w:t xml:space="preserve">) </w:t>
      </w:r>
      <w:r w:rsidRPr="00687DE8">
        <w:rPr>
          <w:color w:val="202020"/>
          <w:szCs w:val="24"/>
        </w:rPr>
        <w:t>Koodidega 275R ja 285R tähistatud ravimiteenused ei kata ravi preparaa</w:t>
      </w:r>
      <w:r w:rsidR="00BD62E8">
        <w:rPr>
          <w:color w:val="202020"/>
          <w:szCs w:val="24"/>
        </w:rPr>
        <w:t>di</w:t>
      </w:r>
      <w:r w:rsidRPr="00687DE8">
        <w:rPr>
          <w:color w:val="202020"/>
          <w:szCs w:val="24"/>
        </w:rPr>
        <w:t>ga Berinert SC.</w:t>
      </w:r>
    </w:p>
    <w:p w14:paraId="130833B0" w14:textId="1464E38A" w:rsidR="003D3A8C" w:rsidRPr="00687DE8" w:rsidRDefault="7C0CF900" w:rsidP="001F428A">
      <w:pPr>
        <w:spacing w:after="0" w:line="240" w:lineRule="auto"/>
        <w:jc w:val="both"/>
        <w:divId w:val="1316184749"/>
        <w:rPr>
          <w:color w:val="202020"/>
        </w:rPr>
      </w:pPr>
      <w:r w:rsidRPr="00687DE8">
        <w:rPr>
          <w:color w:val="202020"/>
        </w:rPr>
        <w:t>(</w:t>
      </w:r>
      <w:r w:rsidR="006C6466">
        <w:rPr>
          <w:color w:val="202020"/>
        </w:rPr>
        <w:t>70</w:t>
      </w:r>
      <w:r w:rsidRPr="00687DE8">
        <w:rPr>
          <w:color w:val="202020"/>
        </w:rPr>
        <w:t>) Koodidega 285R ja 270R tähistatud ravimiteenus</w:t>
      </w:r>
      <w:r w:rsidR="009555A9" w:rsidRPr="00687DE8">
        <w:rPr>
          <w:color w:val="202020"/>
        </w:rPr>
        <w:t xml:space="preserve">eid ei kasutata </w:t>
      </w:r>
      <w:r w:rsidR="008400CA">
        <w:rPr>
          <w:color w:val="202020"/>
        </w:rPr>
        <w:t>rutiinselt</w:t>
      </w:r>
      <w:r w:rsidR="009555A9" w:rsidRPr="00687DE8">
        <w:rPr>
          <w:color w:val="202020"/>
        </w:rPr>
        <w:t xml:space="preserve"> </w:t>
      </w:r>
      <w:r w:rsidRPr="00687DE8">
        <w:rPr>
          <w:color w:val="202020"/>
        </w:rPr>
        <w:t>sama</w:t>
      </w:r>
      <w:r w:rsidR="000573B7" w:rsidRPr="00687DE8">
        <w:rPr>
          <w:color w:val="202020"/>
        </w:rPr>
        <w:t>l ajal</w:t>
      </w:r>
      <w:r w:rsidR="009555A9" w:rsidRPr="00687DE8">
        <w:rPr>
          <w:color w:val="202020"/>
        </w:rPr>
        <w:t>.</w:t>
      </w:r>
    </w:p>
    <w:p w14:paraId="3CB3A966" w14:textId="77777777" w:rsidR="003D3A8C" w:rsidRPr="00687DE8" w:rsidRDefault="003D3A8C" w:rsidP="0002185D">
      <w:pPr>
        <w:pStyle w:val="Normaallaadveeb"/>
        <w:spacing w:before="0" w:after="0" w:afterAutospacing="0"/>
        <w:jc w:val="both"/>
        <w:divId w:val="1316184749"/>
      </w:pPr>
    </w:p>
    <w:p w14:paraId="53768C50" w14:textId="4BE64336" w:rsidR="003D3A8C" w:rsidRPr="00687DE8" w:rsidRDefault="4A8D12A3" w:rsidP="00054DE4">
      <w:pPr>
        <w:spacing w:after="0" w:line="240" w:lineRule="auto"/>
        <w:jc w:val="both"/>
        <w:divId w:val="1316184749"/>
        <w:rPr>
          <w:szCs w:val="24"/>
        </w:rPr>
      </w:pPr>
      <w:r w:rsidRPr="00687DE8">
        <w:rPr>
          <w:szCs w:val="24"/>
        </w:rPr>
        <w:t>(</w:t>
      </w:r>
      <w:r w:rsidR="00CC2CF1">
        <w:rPr>
          <w:szCs w:val="24"/>
        </w:rPr>
        <w:t>7</w:t>
      </w:r>
      <w:r w:rsidR="006C6466">
        <w:rPr>
          <w:szCs w:val="24"/>
        </w:rPr>
        <w:t>1</w:t>
      </w:r>
      <w:r w:rsidR="00C96CAA" w:rsidRPr="00687DE8">
        <w:rPr>
          <w:szCs w:val="24"/>
        </w:rPr>
        <w:t>)</w:t>
      </w:r>
      <w:r w:rsidRPr="00687DE8">
        <w:rPr>
          <w:szCs w:val="24"/>
        </w:rPr>
        <w:t xml:space="preserve"> Koodiga 276R tähistatud teenust ei ole lubatud kodeerida koodidega 267R, 308R, 321R, 373R, 400R ja 402R tähistatud teenustes sisalduva rituksimabi komponendi asemel.</w:t>
      </w:r>
    </w:p>
    <w:p w14:paraId="05F1C63D" w14:textId="77777777" w:rsidR="006738FF" w:rsidRPr="00687DE8" w:rsidRDefault="006738FF" w:rsidP="00054DE4">
      <w:pPr>
        <w:spacing w:after="0" w:line="240" w:lineRule="auto"/>
        <w:jc w:val="both"/>
        <w:divId w:val="1316184749"/>
        <w:rPr>
          <w:szCs w:val="24"/>
        </w:rPr>
      </w:pPr>
    </w:p>
    <w:p w14:paraId="274EB83A" w14:textId="60982B58" w:rsidR="00DB2A52" w:rsidRPr="00687DE8" w:rsidRDefault="5FD61D6C" w:rsidP="00DB2A52">
      <w:pPr>
        <w:spacing w:after="0" w:line="240" w:lineRule="auto"/>
        <w:jc w:val="both"/>
        <w:divId w:val="1316184749"/>
        <w:rPr>
          <w:szCs w:val="24"/>
        </w:rPr>
      </w:pPr>
      <w:r w:rsidRPr="00687DE8">
        <w:rPr>
          <w:szCs w:val="24"/>
        </w:rPr>
        <w:t>(</w:t>
      </w:r>
      <w:r w:rsidR="002D5457">
        <w:rPr>
          <w:szCs w:val="24"/>
        </w:rPr>
        <w:t>7</w:t>
      </w:r>
      <w:r w:rsidR="006C6466">
        <w:rPr>
          <w:szCs w:val="24"/>
        </w:rPr>
        <w:t>2</w:t>
      </w:r>
      <w:r w:rsidRPr="00687DE8">
        <w:rPr>
          <w:szCs w:val="24"/>
        </w:rPr>
        <w:t xml:space="preserve">) </w:t>
      </w:r>
      <w:r w:rsidR="005023FD" w:rsidRPr="00687DE8">
        <w:rPr>
          <w:szCs w:val="24"/>
        </w:rPr>
        <w:t>Tervisekassa</w:t>
      </w:r>
      <w:r w:rsidRPr="00687DE8">
        <w:rPr>
          <w:szCs w:val="24"/>
        </w:rPr>
        <w:t xml:space="preserve"> võtab koodiga 277R tähistatud ravimiteenuse eest tasu maksmise kohustuse üle SARS-CoV-2 põhjustatud COVID-19 raviks kuni 11 korral patsiendilt, kes vajab pneumoonia tõttu lisahapnikku.</w:t>
      </w:r>
    </w:p>
    <w:p w14:paraId="11FE470A" w14:textId="77777777" w:rsidR="00DB2A52" w:rsidRPr="00687DE8" w:rsidRDefault="00DB2A52" w:rsidP="0002185D">
      <w:pPr>
        <w:spacing w:after="0" w:line="240" w:lineRule="auto"/>
        <w:jc w:val="both"/>
        <w:divId w:val="1316184749"/>
        <w:rPr>
          <w:szCs w:val="24"/>
        </w:rPr>
      </w:pPr>
    </w:p>
    <w:p w14:paraId="594930C9" w14:textId="77777777" w:rsidR="009451CA" w:rsidRDefault="5FD61D6C" w:rsidP="009451CA">
      <w:pPr>
        <w:spacing w:after="0" w:line="240" w:lineRule="auto"/>
        <w:jc w:val="both"/>
        <w:divId w:val="1316184749"/>
        <w:rPr>
          <w:szCs w:val="24"/>
        </w:rPr>
      </w:pPr>
      <w:bookmarkStart w:id="40" w:name="_Hlk183079096"/>
      <w:r w:rsidRPr="00687DE8">
        <w:rPr>
          <w:szCs w:val="24"/>
        </w:rPr>
        <w:lastRenderedPageBreak/>
        <w:t>(</w:t>
      </w:r>
      <w:r w:rsidR="0050290E">
        <w:rPr>
          <w:szCs w:val="24"/>
        </w:rPr>
        <w:t>7</w:t>
      </w:r>
      <w:r w:rsidR="006C6466">
        <w:rPr>
          <w:szCs w:val="24"/>
        </w:rPr>
        <w:t>3</w:t>
      </w:r>
      <w:r w:rsidR="00C96CAA" w:rsidRPr="00687DE8">
        <w:rPr>
          <w:szCs w:val="24"/>
        </w:rPr>
        <w:t>)</w:t>
      </w:r>
      <w:r w:rsidRPr="00687DE8">
        <w:rPr>
          <w:szCs w:val="24"/>
        </w:rPr>
        <w:t xml:space="preserve"> Pneumokokivastane vaktsineerimine koodidega 278R</w:t>
      </w:r>
      <w:r w:rsidR="00DC2A7E">
        <w:rPr>
          <w:szCs w:val="24"/>
        </w:rPr>
        <w:t xml:space="preserve">, </w:t>
      </w:r>
      <w:r w:rsidRPr="00687DE8">
        <w:rPr>
          <w:szCs w:val="24"/>
        </w:rPr>
        <w:t>279R</w:t>
      </w:r>
      <w:r w:rsidR="00DC2A7E">
        <w:rPr>
          <w:szCs w:val="24"/>
        </w:rPr>
        <w:t xml:space="preserve"> ja 427R</w:t>
      </w:r>
      <w:r w:rsidRPr="00687DE8">
        <w:rPr>
          <w:szCs w:val="24"/>
        </w:rPr>
        <w:t xml:space="preserve"> tähistatud ravimiteenustega ning meningokokivastane vaktsineerimine koodidega 283R ja 284R tähistatud ravimiteenustega tehakse</w:t>
      </w:r>
      <w:r w:rsidR="050992A3" w:rsidRPr="00687DE8">
        <w:rPr>
          <w:szCs w:val="24"/>
        </w:rPr>
        <w:t xml:space="preserve"> </w:t>
      </w:r>
      <w:r w:rsidR="00BC45AE">
        <w:rPr>
          <w:szCs w:val="24"/>
        </w:rPr>
        <w:t>Sotsiaalministeeriumi</w:t>
      </w:r>
      <w:r w:rsidR="050992A3" w:rsidRPr="00687DE8">
        <w:rPr>
          <w:szCs w:val="24"/>
        </w:rPr>
        <w:t xml:space="preserve"> </w:t>
      </w:r>
      <w:r w:rsidRPr="00687DE8">
        <w:rPr>
          <w:szCs w:val="24"/>
        </w:rPr>
        <w:t>nõustava immunoprofülaktika eksper</w:t>
      </w:r>
      <w:r w:rsidR="00D06F48">
        <w:rPr>
          <w:szCs w:val="24"/>
        </w:rPr>
        <w:t>t</w:t>
      </w:r>
      <w:r w:rsidRPr="00687DE8">
        <w:rPr>
          <w:szCs w:val="24"/>
        </w:rPr>
        <w:t xml:space="preserve">komisjoni </w:t>
      </w:r>
      <w:r w:rsidR="00CD4EA7" w:rsidRPr="007C054E">
        <w:rPr>
          <w:szCs w:val="24"/>
        </w:rPr>
        <w:t xml:space="preserve">25. veebruari 2025. a otsuses </w:t>
      </w:r>
      <w:bookmarkEnd w:id="40"/>
      <w:r w:rsidR="009451CA" w:rsidRPr="007C054E">
        <w:rPr>
          <w:szCs w:val="24"/>
        </w:rPr>
        <w:t>„Pneumokokk-nakkuse riskirühmad“, 18.</w:t>
      </w:r>
      <w:r w:rsidR="009451CA">
        <w:rPr>
          <w:szCs w:val="24"/>
        </w:rPr>
        <w:t> </w:t>
      </w:r>
      <w:r w:rsidR="009451CA" w:rsidRPr="007C054E">
        <w:rPr>
          <w:szCs w:val="24"/>
        </w:rPr>
        <w:t>veebruari 2021.</w:t>
      </w:r>
      <w:r w:rsidR="009451CA">
        <w:rPr>
          <w:szCs w:val="24"/>
        </w:rPr>
        <w:t> </w:t>
      </w:r>
      <w:r w:rsidR="009451CA" w:rsidRPr="007C054E">
        <w:rPr>
          <w:szCs w:val="24"/>
        </w:rPr>
        <w:t>a otsuses „Meningokokk-nakkuse riskirühmad</w:t>
      </w:r>
      <w:r w:rsidR="009451CA">
        <w:rPr>
          <w:szCs w:val="24"/>
        </w:rPr>
        <w:t xml:space="preserve">“ </w:t>
      </w:r>
      <w:r w:rsidR="009451CA" w:rsidRPr="00687DE8">
        <w:rPr>
          <w:szCs w:val="24"/>
        </w:rPr>
        <w:t xml:space="preserve">ja </w:t>
      </w:r>
      <w:r w:rsidR="009451CA" w:rsidRPr="00CC2AAE">
        <w:t>8. aprilli 2024. a otsuses</w:t>
      </w:r>
      <w:r w:rsidR="009451CA" w:rsidRPr="00687DE8">
        <w:rPr>
          <w:szCs w:val="24"/>
        </w:rPr>
        <w:t xml:space="preserve"> „Pneumokokk-nakkuse ja meningokokk-nakkuse riskirühmade vaktsineerimisskeemid“ nimetatud kõrge riskiga täiskasvanutel ja lastel.</w:t>
      </w:r>
    </w:p>
    <w:p w14:paraId="39ADE132" w14:textId="67E16BEE" w:rsidR="00171283" w:rsidRDefault="00171283" w:rsidP="009451CA">
      <w:pPr>
        <w:spacing w:after="0" w:line="240" w:lineRule="auto"/>
        <w:jc w:val="both"/>
        <w:divId w:val="1316184749"/>
        <w:rPr>
          <w:szCs w:val="24"/>
        </w:rPr>
      </w:pPr>
    </w:p>
    <w:p w14:paraId="601B5B7D" w14:textId="35D16018" w:rsidR="4B526CAE" w:rsidRPr="00687DE8" w:rsidRDefault="00126EF9" w:rsidP="0054615C">
      <w:pPr>
        <w:spacing w:after="0" w:line="240" w:lineRule="auto"/>
        <w:divId w:val="1316184749"/>
        <w:rPr>
          <w:szCs w:val="24"/>
        </w:rPr>
      </w:pPr>
      <w:r w:rsidRPr="00141FB9">
        <w:rPr>
          <w:szCs w:val="24"/>
        </w:rPr>
        <w:t>(</w:t>
      </w:r>
      <w:r w:rsidR="00685D93">
        <w:rPr>
          <w:szCs w:val="24"/>
        </w:rPr>
        <w:t>7</w:t>
      </w:r>
      <w:r w:rsidR="006C6466">
        <w:rPr>
          <w:szCs w:val="24"/>
        </w:rPr>
        <w:t>4</w:t>
      </w:r>
      <w:r w:rsidRPr="00141FB9">
        <w:rPr>
          <w:szCs w:val="24"/>
        </w:rPr>
        <w:t xml:space="preserve">) </w:t>
      </w:r>
      <w:r w:rsidR="00CA6DD5" w:rsidRPr="00CA6DD5">
        <w:rPr>
          <w:szCs w:val="24"/>
        </w:rPr>
        <w:t xml:space="preserve">Koodidega 278R ja 279R tähistatud ravimiteenuseid ei ole lubatud kasutada koodiga 427R tähistatud ravimiteenuse </w:t>
      </w:r>
      <w:r w:rsidR="00450A06">
        <w:rPr>
          <w:szCs w:val="24"/>
        </w:rPr>
        <w:t>rakendamis</w:t>
      </w:r>
      <w:r w:rsidR="007906A8">
        <w:rPr>
          <w:szCs w:val="24"/>
        </w:rPr>
        <w:t xml:space="preserve">e </w:t>
      </w:r>
      <w:r w:rsidR="00CA6DD5" w:rsidRPr="00CA6DD5">
        <w:rPr>
          <w:szCs w:val="24"/>
        </w:rPr>
        <w:t>jär</w:t>
      </w:r>
      <w:r w:rsidR="007906A8">
        <w:rPr>
          <w:szCs w:val="24"/>
        </w:rPr>
        <w:t>el.</w:t>
      </w:r>
    </w:p>
    <w:p w14:paraId="532EA563" w14:textId="77777777" w:rsidR="00B94652" w:rsidRPr="00687DE8" w:rsidRDefault="00B94652" w:rsidP="0002185D">
      <w:pPr>
        <w:spacing w:after="0" w:line="240" w:lineRule="auto"/>
        <w:jc w:val="both"/>
        <w:rPr>
          <w:szCs w:val="24"/>
        </w:rPr>
      </w:pPr>
    </w:p>
    <w:p w14:paraId="1491A6BA" w14:textId="7B207EF2" w:rsidR="1381F961" w:rsidRPr="00687DE8" w:rsidRDefault="1381F961" w:rsidP="4B526CAE">
      <w:pPr>
        <w:spacing w:after="0" w:line="240" w:lineRule="auto"/>
        <w:jc w:val="both"/>
        <w:rPr>
          <w:szCs w:val="24"/>
        </w:rPr>
      </w:pPr>
      <w:r w:rsidRPr="00687DE8">
        <w:rPr>
          <w:szCs w:val="24"/>
        </w:rPr>
        <w:t>(</w:t>
      </w:r>
      <w:r w:rsidR="00C63324">
        <w:rPr>
          <w:szCs w:val="24"/>
        </w:rPr>
        <w:t>7</w:t>
      </w:r>
      <w:r w:rsidR="006C6466">
        <w:rPr>
          <w:szCs w:val="24"/>
        </w:rPr>
        <w:t>5</w:t>
      </w:r>
      <w:r w:rsidRPr="00687DE8">
        <w:rPr>
          <w:szCs w:val="24"/>
        </w:rPr>
        <w:t xml:space="preserve">) </w:t>
      </w:r>
      <w:r w:rsidR="005023FD" w:rsidRPr="00687DE8">
        <w:rPr>
          <w:szCs w:val="24"/>
        </w:rPr>
        <w:t>Tervisekassa</w:t>
      </w:r>
      <w:r w:rsidRPr="00687DE8">
        <w:rPr>
          <w:szCs w:val="24"/>
        </w:rPr>
        <w:t xml:space="preserve"> võtab koodiga 288R </w:t>
      </w:r>
      <w:r w:rsidR="7720F7C5" w:rsidRPr="00687DE8">
        <w:rPr>
          <w:rFonts w:eastAsia="Calibri"/>
          <w:szCs w:val="24"/>
        </w:rPr>
        <w:t xml:space="preserve">tähistatud ravimiteenuse eest tasu maksmise kohustuse üle </w:t>
      </w:r>
      <w:r w:rsidR="042D8BEF" w:rsidRPr="00687DE8">
        <w:rPr>
          <w:rFonts w:eastAsia="Calibri"/>
          <w:szCs w:val="24"/>
        </w:rPr>
        <w:t xml:space="preserve">kuni </w:t>
      </w:r>
      <w:r w:rsidR="00382BC9" w:rsidRPr="00687DE8">
        <w:rPr>
          <w:rFonts w:eastAsia="Calibri"/>
          <w:szCs w:val="24"/>
        </w:rPr>
        <w:t>kolm </w:t>
      </w:r>
      <w:r w:rsidR="042D8BEF" w:rsidRPr="00687DE8">
        <w:rPr>
          <w:rFonts w:eastAsia="Calibri"/>
          <w:szCs w:val="24"/>
        </w:rPr>
        <w:t xml:space="preserve">korda päevas </w:t>
      </w:r>
      <w:r w:rsidR="7720F7C5" w:rsidRPr="00687DE8">
        <w:rPr>
          <w:rFonts w:eastAsia="Calibri"/>
          <w:szCs w:val="24"/>
        </w:rPr>
        <w:t>juhul, kui vähemalt kolm erineva toimemehhanismiga ravimit adekvaatses antidepressiivses annuses ei ole piisavalt pika raviperioodi (</w:t>
      </w:r>
      <w:r w:rsidR="00D06F48">
        <w:rPr>
          <w:rFonts w:eastAsia="Calibri"/>
          <w:szCs w:val="24"/>
        </w:rPr>
        <w:t>kaheksa</w:t>
      </w:r>
      <w:r w:rsidR="7720F7C5" w:rsidRPr="00687DE8">
        <w:rPr>
          <w:rFonts w:eastAsia="Calibri"/>
          <w:szCs w:val="24"/>
        </w:rPr>
        <w:t xml:space="preserve"> nädalat) jooksul andnud piisavat ravivastust ning elekterkrampravi on kasutatud ja see ei ole andnud piisavat ravivastust või ei ole elekterkrampravi kõrvaltoimete või vastunäidustuste tõttu võimalik kasutada.</w:t>
      </w:r>
    </w:p>
    <w:p w14:paraId="52EDC78A" w14:textId="77777777" w:rsidR="5EEA5D64" w:rsidRPr="00687DE8" w:rsidRDefault="5EEA5D64" w:rsidP="5EEA5D64">
      <w:pPr>
        <w:spacing w:after="0" w:line="240" w:lineRule="auto"/>
        <w:jc w:val="both"/>
        <w:rPr>
          <w:rFonts w:eastAsia="Calibri"/>
          <w:szCs w:val="24"/>
        </w:rPr>
      </w:pPr>
    </w:p>
    <w:p w14:paraId="070CEA21" w14:textId="07C3273D" w:rsidR="5EEA5D64" w:rsidRPr="00687DE8" w:rsidRDefault="06A02F8F" w:rsidP="5EEA5D64">
      <w:pPr>
        <w:spacing w:after="0" w:line="240" w:lineRule="auto"/>
        <w:jc w:val="both"/>
        <w:rPr>
          <w:rFonts w:eastAsia="Calibri"/>
          <w:szCs w:val="24"/>
        </w:rPr>
      </w:pPr>
      <w:r w:rsidRPr="00687DE8">
        <w:rPr>
          <w:rFonts w:eastAsia="Calibri"/>
          <w:szCs w:val="24"/>
        </w:rPr>
        <w:t>(</w:t>
      </w:r>
      <w:r w:rsidR="00E435F9">
        <w:rPr>
          <w:rFonts w:eastAsia="Calibri"/>
          <w:szCs w:val="24"/>
        </w:rPr>
        <w:t>7</w:t>
      </w:r>
      <w:r w:rsidR="006C6466">
        <w:rPr>
          <w:rFonts w:eastAsia="Calibri"/>
          <w:szCs w:val="24"/>
        </w:rPr>
        <w:t>6</w:t>
      </w:r>
      <w:r w:rsidRPr="00687DE8">
        <w:rPr>
          <w:rFonts w:eastAsia="Calibri"/>
          <w:szCs w:val="24"/>
        </w:rPr>
        <w:t xml:space="preserve">) </w:t>
      </w:r>
      <w:r w:rsidR="005023FD" w:rsidRPr="00687DE8">
        <w:rPr>
          <w:rFonts w:eastAsia="Calibri"/>
          <w:szCs w:val="24"/>
        </w:rPr>
        <w:t>Tervisekassa</w:t>
      </w:r>
      <w:r w:rsidR="3243AAF9" w:rsidRPr="00687DE8">
        <w:rPr>
          <w:rFonts w:eastAsia="Calibri"/>
          <w:szCs w:val="24"/>
        </w:rPr>
        <w:t xml:space="preserve"> võtab koodiga 298R tähistatud ravimiteenuse eest tasu maksmise kohustuse üle </w:t>
      </w:r>
      <w:r w:rsidR="3243AAF9" w:rsidRPr="00687DE8">
        <w:rPr>
          <w:rFonts w:eastAsia="Calibri"/>
          <w:i/>
          <w:szCs w:val="24"/>
        </w:rPr>
        <w:t xml:space="preserve">C. difficile </w:t>
      </w:r>
      <w:r w:rsidR="3243AAF9" w:rsidRPr="00687DE8">
        <w:rPr>
          <w:rFonts w:eastAsia="Calibri"/>
          <w:szCs w:val="24"/>
        </w:rPr>
        <w:t>(RHK</w:t>
      </w:r>
      <w:r w:rsidR="00B63E05" w:rsidRPr="00687DE8">
        <w:rPr>
          <w:rFonts w:eastAsia="Calibri"/>
          <w:szCs w:val="24"/>
        </w:rPr>
        <w:t xml:space="preserve"> 10 kood</w:t>
      </w:r>
      <w:r w:rsidR="3243AAF9" w:rsidRPr="00687DE8">
        <w:rPr>
          <w:rFonts w:eastAsia="Calibri"/>
          <w:szCs w:val="24"/>
        </w:rPr>
        <w:t xml:space="preserve"> A04.7) </w:t>
      </w:r>
      <w:r w:rsidR="72465C7D" w:rsidRPr="00687DE8">
        <w:rPr>
          <w:rFonts w:eastAsia="Calibri"/>
          <w:szCs w:val="24"/>
        </w:rPr>
        <w:t>esmase infektsiooni ning</w:t>
      </w:r>
      <w:r w:rsidR="3243AAF9" w:rsidRPr="00687DE8">
        <w:rPr>
          <w:rFonts w:eastAsia="Calibri"/>
          <w:szCs w:val="24"/>
        </w:rPr>
        <w:t xml:space="preserve"> </w:t>
      </w:r>
      <w:r w:rsidR="62713393" w:rsidRPr="00687DE8">
        <w:rPr>
          <w:rFonts w:eastAsia="Calibri"/>
          <w:szCs w:val="24"/>
        </w:rPr>
        <w:t>retsidiivi</w:t>
      </w:r>
      <w:r w:rsidR="7DFB0395" w:rsidRPr="00687DE8">
        <w:rPr>
          <w:rFonts w:eastAsia="Calibri"/>
          <w:szCs w:val="24"/>
        </w:rPr>
        <w:t xml:space="preserve"> </w:t>
      </w:r>
      <w:r w:rsidR="3243AAF9" w:rsidRPr="00687DE8">
        <w:rPr>
          <w:rFonts w:eastAsia="Calibri"/>
          <w:szCs w:val="24"/>
        </w:rPr>
        <w:t xml:space="preserve">(haiguse taasteke </w:t>
      </w:r>
      <w:r w:rsidR="00D06F48">
        <w:rPr>
          <w:rFonts w:eastAsia="Calibri"/>
          <w:szCs w:val="24"/>
        </w:rPr>
        <w:t>kaheksa</w:t>
      </w:r>
      <w:r w:rsidR="00382BC9" w:rsidRPr="00687DE8">
        <w:rPr>
          <w:rFonts w:eastAsia="Calibri"/>
          <w:szCs w:val="24"/>
        </w:rPr>
        <w:t> </w:t>
      </w:r>
      <w:r w:rsidR="3243AAF9" w:rsidRPr="00687DE8">
        <w:rPr>
          <w:rFonts w:eastAsia="Calibri"/>
          <w:szCs w:val="24"/>
        </w:rPr>
        <w:t>nädala jooksul peale eelneva ravi lõppu)</w:t>
      </w:r>
      <w:r w:rsidR="2B08FFF8" w:rsidRPr="00687DE8">
        <w:rPr>
          <w:rFonts w:eastAsia="Calibri"/>
          <w:szCs w:val="24"/>
        </w:rPr>
        <w:t xml:space="preserve"> ambulatoor</w:t>
      </w:r>
      <w:r w:rsidR="3F3DBF7B" w:rsidRPr="00687DE8">
        <w:rPr>
          <w:rFonts w:eastAsia="Calibri"/>
          <w:szCs w:val="24"/>
        </w:rPr>
        <w:t>se ravi korral</w:t>
      </w:r>
      <w:r w:rsidR="3243AAF9" w:rsidRPr="00687DE8">
        <w:rPr>
          <w:rFonts w:eastAsia="Calibri"/>
          <w:szCs w:val="24"/>
        </w:rPr>
        <w:t xml:space="preserve">. Patsiendi diagnoos peab olema eelnevalt kinnitatud (C. </w:t>
      </w:r>
      <w:r w:rsidR="3243AAF9" w:rsidRPr="00687DE8">
        <w:rPr>
          <w:rFonts w:eastAsia="Calibri"/>
          <w:i/>
          <w:szCs w:val="24"/>
        </w:rPr>
        <w:t>difficile</w:t>
      </w:r>
      <w:r w:rsidR="3243AAF9" w:rsidRPr="00687DE8">
        <w:rPr>
          <w:rFonts w:eastAsia="Calibri"/>
          <w:szCs w:val="24"/>
        </w:rPr>
        <w:t xml:space="preserve"> toksiini leid väljaheitest ja ≥ 3 iste eelneva 24 tunni jooksul) ning retsidiivi ravi korral peab olema eelneva </w:t>
      </w:r>
      <w:r w:rsidR="3243AAF9" w:rsidRPr="00687DE8">
        <w:rPr>
          <w:rFonts w:eastAsia="Calibri"/>
          <w:i/>
          <w:szCs w:val="24"/>
        </w:rPr>
        <w:t>C. difficile</w:t>
      </w:r>
      <w:r w:rsidR="3243AAF9" w:rsidRPr="00687DE8">
        <w:rPr>
          <w:rFonts w:eastAsia="Calibri"/>
          <w:szCs w:val="24"/>
        </w:rPr>
        <w:t xml:space="preserve"> infektsiooni ravi lõpp dokumenteeritud.</w:t>
      </w:r>
    </w:p>
    <w:p w14:paraId="4BAF2E4E" w14:textId="55835978" w:rsidR="6334863C" w:rsidRPr="00687DE8" w:rsidRDefault="6334863C" w:rsidP="00B63E05">
      <w:pPr>
        <w:spacing w:after="0" w:line="240" w:lineRule="auto"/>
        <w:jc w:val="both"/>
        <w:rPr>
          <w:rFonts w:eastAsia="Calibri"/>
          <w:szCs w:val="24"/>
        </w:rPr>
      </w:pPr>
    </w:p>
    <w:p w14:paraId="6FE39716" w14:textId="4D08D3E9" w:rsidR="00F037D4" w:rsidRPr="00687DE8" w:rsidRDefault="23BAA01F" w:rsidP="00054DE4">
      <w:pPr>
        <w:spacing w:after="0" w:line="240" w:lineRule="auto"/>
        <w:jc w:val="both"/>
        <w:rPr>
          <w:szCs w:val="24"/>
        </w:rPr>
      </w:pPr>
      <w:r w:rsidRPr="00687DE8">
        <w:rPr>
          <w:rFonts w:eastAsia="Calibri"/>
          <w:szCs w:val="24"/>
        </w:rPr>
        <w:t>(</w:t>
      </w:r>
      <w:r w:rsidR="00E435F9">
        <w:rPr>
          <w:rFonts w:eastAsia="Calibri"/>
          <w:szCs w:val="24"/>
        </w:rPr>
        <w:t>7</w:t>
      </w:r>
      <w:r w:rsidR="006C6466">
        <w:rPr>
          <w:rFonts w:eastAsia="Calibri"/>
          <w:szCs w:val="24"/>
        </w:rPr>
        <w:t>7</w:t>
      </w:r>
      <w:r w:rsidRPr="00687DE8">
        <w:rPr>
          <w:rFonts w:eastAsia="Calibri"/>
          <w:szCs w:val="24"/>
        </w:rPr>
        <w:t xml:space="preserve">) </w:t>
      </w:r>
      <w:r w:rsidR="005023FD" w:rsidRPr="00687DE8">
        <w:rPr>
          <w:szCs w:val="24"/>
        </w:rPr>
        <w:t>Tervisekassa</w:t>
      </w:r>
      <w:r w:rsidR="6A10363D" w:rsidRPr="00687DE8">
        <w:rPr>
          <w:szCs w:val="24"/>
        </w:rPr>
        <w:t xml:space="preserve"> võtab koodiga 412R tähistatud ravimiteenuse eest tasu maksmise kohu</w:t>
      </w:r>
      <w:r w:rsidR="00BC321B" w:rsidRPr="00687DE8">
        <w:rPr>
          <w:szCs w:val="24"/>
        </w:rPr>
        <w:t>s</w:t>
      </w:r>
      <w:r w:rsidR="6A10363D" w:rsidRPr="00687DE8">
        <w:rPr>
          <w:szCs w:val="24"/>
        </w:rPr>
        <w:t>tuse üle siir</w:t>
      </w:r>
      <w:r w:rsidR="00382BC9" w:rsidRPr="00687DE8">
        <w:rPr>
          <w:szCs w:val="24"/>
        </w:rPr>
        <w:t>atud</w:t>
      </w:r>
      <w:r w:rsidR="6A10363D" w:rsidRPr="00687DE8">
        <w:rPr>
          <w:szCs w:val="24"/>
        </w:rPr>
        <w:t xml:space="preserve"> tüvirakkude või soliidorganiga tsütomegaloviiruse (CMV) vireemiaga täiskasvanud patsiendilt, kelle eelnev ravi esmavaliku ravimi </w:t>
      </w:r>
      <w:r w:rsidR="00BC321B" w:rsidRPr="00687DE8">
        <w:rPr>
          <w:szCs w:val="24"/>
        </w:rPr>
        <w:t>gantsikloviiri</w:t>
      </w:r>
      <w:r w:rsidR="6A10363D" w:rsidRPr="00687DE8">
        <w:rPr>
          <w:szCs w:val="24"/>
        </w:rPr>
        <w:t xml:space="preserve"> (ravimiteenuse</w:t>
      </w:r>
      <w:r w:rsidR="00BC321B" w:rsidRPr="00687DE8">
        <w:rPr>
          <w:szCs w:val="24"/>
        </w:rPr>
        <w:t xml:space="preserve"> kood</w:t>
      </w:r>
      <w:r w:rsidR="6A10363D" w:rsidRPr="00687DE8">
        <w:rPr>
          <w:szCs w:val="24"/>
        </w:rPr>
        <w:t xml:space="preserve"> 481R)</w:t>
      </w:r>
      <w:r w:rsidR="00382BC9" w:rsidRPr="00687DE8">
        <w:rPr>
          <w:szCs w:val="24"/>
        </w:rPr>
        <w:t>,</w:t>
      </w:r>
      <w:r w:rsidR="00BC321B" w:rsidRPr="00687DE8">
        <w:rPr>
          <w:szCs w:val="24"/>
        </w:rPr>
        <w:t xml:space="preserve"> valgantsikloviiri</w:t>
      </w:r>
      <w:r w:rsidR="6A10363D" w:rsidRPr="00687DE8">
        <w:rPr>
          <w:szCs w:val="24"/>
        </w:rPr>
        <w:t xml:space="preserve"> (ravimiteenuse</w:t>
      </w:r>
      <w:r w:rsidR="00BC321B" w:rsidRPr="00687DE8">
        <w:rPr>
          <w:szCs w:val="24"/>
        </w:rPr>
        <w:t xml:space="preserve"> kood</w:t>
      </w:r>
      <w:r w:rsidR="6A10363D" w:rsidRPr="00687DE8">
        <w:rPr>
          <w:szCs w:val="24"/>
        </w:rPr>
        <w:t xml:space="preserve"> 482R) või foskarnetiga (ravimiteenuse</w:t>
      </w:r>
      <w:r w:rsidR="00BC321B" w:rsidRPr="00687DE8">
        <w:rPr>
          <w:szCs w:val="24"/>
        </w:rPr>
        <w:t xml:space="preserve"> kood</w:t>
      </w:r>
      <w:r w:rsidR="6A10363D" w:rsidRPr="00687DE8">
        <w:rPr>
          <w:szCs w:val="24"/>
        </w:rPr>
        <w:t xml:space="preserve"> 483R) on ebaõnnestunud (patsiendi ravis pole 14-päevase või pikema raviperioodi jooksul saavutatud CMV DNA alanemist vähemalt &gt;</w:t>
      </w:r>
      <w:r w:rsidR="00B63E05" w:rsidRPr="00687DE8">
        <w:rPr>
          <w:szCs w:val="24"/>
        </w:rPr>
        <w:t> </w:t>
      </w:r>
      <w:r w:rsidR="6A10363D" w:rsidRPr="00687DE8">
        <w:rPr>
          <w:szCs w:val="24"/>
        </w:rPr>
        <w:t>1 log10) ja seejuures on CMV DNA verest ≥</w:t>
      </w:r>
      <w:r w:rsidR="00B63E05" w:rsidRPr="00687DE8">
        <w:rPr>
          <w:szCs w:val="24"/>
        </w:rPr>
        <w:t> </w:t>
      </w:r>
      <w:r w:rsidR="6A10363D" w:rsidRPr="00687DE8">
        <w:rPr>
          <w:szCs w:val="24"/>
        </w:rPr>
        <w:t>2730 IU/ml või plasmast ≥</w:t>
      </w:r>
      <w:r w:rsidR="00B63E05" w:rsidRPr="00687DE8">
        <w:rPr>
          <w:szCs w:val="24"/>
        </w:rPr>
        <w:t> </w:t>
      </w:r>
      <w:r w:rsidR="6A10363D" w:rsidRPr="00687DE8">
        <w:rPr>
          <w:szCs w:val="24"/>
        </w:rPr>
        <w:t xml:space="preserve">910 IU/ml. </w:t>
      </w:r>
    </w:p>
    <w:p w14:paraId="16C66CE9" w14:textId="77777777" w:rsidR="00B63E05" w:rsidRPr="00687DE8" w:rsidRDefault="00B63E05" w:rsidP="002421C7">
      <w:pPr>
        <w:spacing w:after="0" w:line="240" w:lineRule="auto"/>
        <w:jc w:val="both"/>
        <w:rPr>
          <w:szCs w:val="24"/>
        </w:rPr>
      </w:pPr>
    </w:p>
    <w:p w14:paraId="486C5EC7" w14:textId="7EFB8914" w:rsidR="23BAA01F" w:rsidRPr="00687DE8" w:rsidRDefault="00F037D4" w:rsidP="002421C7">
      <w:pPr>
        <w:spacing w:after="0" w:line="240" w:lineRule="auto"/>
        <w:jc w:val="both"/>
        <w:rPr>
          <w:szCs w:val="24"/>
        </w:rPr>
      </w:pPr>
      <w:r w:rsidRPr="00687DE8">
        <w:rPr>
          <w:szCs w:val="24"/>
        </w:rPr>
        <w:t>(7</w:t>
      </w:r>
      <w:r w:rsidR="006C6466">
        <w:rPr>
          <w:szCs w:val="24"/>
        </w:rPr>
        <w:t>8</w:t>
      </w:r>
      <w:r w:rsidRPr="00687DE8">
        <w:rPr>
          <w:szCs w:val="24"/>
        </w:rPr>
        <w:t xml:space="preserve">) </w:t>
      </w:r>
      <w:r w:rsidR="00382BC9" w:rsidRPr="00687DE8">
        <w:rPr>
          <w:szCs w:val="24"/>
        </w:rPr>
        <w:t>Tervisekassa võtab k</w:t>
      </w:r>
      <w:r w:rsidRPr="00687DE8">
        <w:rPr>
          <w:szCs w:val="24"/>
        </w:rPr>
        <w:t xml:space="preserve">oodiga 412R tähistatud </w:t>
      </w:r>
      <w:r w:rsidR="00382BC9" w:rsidRPr="00687DE8">
        <w:rPr>
          <w:szCs w:val="24"/>
        </w:rPr>
        <w:t>ravimi</w:t>
      </w:r>
      <w:r w:rsidRPr="00687DE8">
        <w:rPr>
          <w:szCs w:val="24"/>
        </w:rPr>
        <w:t xml:space="preserve">teenuse eest </w:t>
      </w:r>
      <w:r w:rsidR="6A10363D" w:rsidRPr="00687DE8">
        <w:rPr>
          <w:szCs w:val="24"/>
        </w:rPr>
        <w:t xml:space="preserve">tasu maksmise kohtuse üle maksimaalselt </w:t>
      </w:r>
      <w:r w:rsidR="00382BC9" w:rsidRPr="00687DE8">
        <w:rPr>
          <w:szCs w:val="24"/>
        </w:rPr>
        <w:t>kahe </w:t>
      </w:r>
      <w:r w:rsidR="6A10363D" w:rsidRPr="00687DE8">
        <w:rPr>
          <w:szCs w:val="24"/>
        </w:rPr>
        <w:t>teenus</w:t>
      </w:r>
      <w:r w:rsidR="00382BC9" w:rsidRPr="00687DE8">
        <w:rPr>
          <w:szCs w:val="24"/>
        </w:rPr>
        <w:t>e</w:t>
      </w:r>
      <w:r w:rsidR="6A10363D" w:rsidRPr="00687DE8">
        <w:rPr>
          <w:szCs w:val="24"/>
        </w:rPr>
        <w:t>korra eest patsiendi kohta</w:t>
      </w:r>
      <w:r w:rsidR="00552C1F" w:rsidRPr="00687DE8">
        <w:rPr>
          <w:szCs w:val="24"/>
        </w:rPr>
        <w:t xml:space="preserve"> ning </w:t>
      </w:r>
      <w:r w:rsidR="00F97761" w:rsidRPr="00687DE8">
        <w:rPr>
          <w:szCs w:val="24"/>
        </w:rPr>
        <w:t>t</w:t>
      </w:r>
      <w:r w:rsidR="6A10363D" w:rsidRPr="00687DE8">
        <w:rPr>
          <w:szCs w:val="24"/>
        </w:rPr>
        <w:t>eenus</w:t>
      </w:r>
      <w:r w:rsidR="00F97761" w:rsidRPr="00687DE8">
        <w:rPr>
          <w:szCs w:val="24"/>
        </w:rPr>
        <w:t>t</w:t>
      </w:r>
      <w:r w:rsidR="6A10363D" w:rsidRPr="00687DE8">
        <w:rPr>
          <w:szCs w:val="24"/>
        </w:rPr>
        <w:t xml:space="preserve"> ei </w:t>
      </w:r>
      <w:r w:rsidR="00F97761" w:rsidRPr="00687DE8">
        <w:rPr>
          <w:szCs w:val="24"/>
        </w:rPr>
        <w:t xml:space="preserve">rakendata </w:t>
      </w:r>
      <w:r w:rsidR="6A10363D" w:rsidRPr="00687DE8">
        <w:rPr>
          <w:szCs w:val="24"/>
        </w:rPr>
        <w:t>CMV profülaktiliseks raviks.</w:t>
      </w:r>
    </w:p>
    <w:p w14:paraId="716C11D4" w14:textId="77777777" w:rsidR="006E1B4F" w:rsidRPr="00687DE8" w:rsidRDefault="006E1B4F" w:rsidP="002421C7">
      <w:pPr>
        <w:spacing w:after="0" w:line="240" w:lineRule="auto"/>
        <w:jc w:val="both"/>
        <w:rPr>
          <w:szCs w:val="24"/>
        </w:rPr>
      </w:pPr>
    </w:p>
    <w:p w14:paraId="217F49E6" w14:textId="6D2A0FD3" w:rsidR="004970BB" w:rsidRPr="00687DE8" w:rsidRDefault="006E1B4F" w:rsidP="004970BB">
      <w:pPr>
        <w:spacing w:after="0" w:line="240" w:lineRule="auto"/>
        <w:jc w:val="both"/>
        <w:rPr>
          <w:szCs w:val="24"/>
        </w:rPr>
      </w:pPr>
      <w:r w:rsidRPr="00687DE8">
        <w:rPr>
          <w:szCs w:val="24"/>
        </w:rPr>
        <w:t>(7</w:t>
      </w:r>
      <w:r w:rsidR="006C6466">
        <w:rPr>
          <w:szCs w:val="24"/>
        </w:rPr>
        <w:t>9</w:t>
      </w:r>
      <w:r w:rsidRPr="00687DE8">
        <w:rPr>
          <w:szCs w:val="24"/>
        </w:rPr>
        <w:t xml:space="preserve">) </w:t>
      </w:r>
      <w:r w:rsidR="004970BB" w:rsidRPr="00687DE8">
        <w:rPr>
          <w:szCs w:val="24"/>
        </w:rPr>
        <w:t xml:space="preserve">Koodiga 422R tähistatud ravimiteenuse alustamise kroonilise migreeni profülaktikaks otsustab neuroloog. Ravimi </w:t>
      </w:r>
      <w:r w:rsidR="00F94BEE" w:rsidRPr="00687DE8">
        <w:rPr>
          <w:szCs w:val="24"/>
        </w:rPr>
        <w:t xml:space="preserve">peab patsiendile </w:t>
      </w:r>
      <w:r w:rsidR="004970BB" w:rsidRPr="00687DE8">
        <w:rPr>
          <w:szCs w:val="24"/>
        </w:rPr>
        <w:t>manustam</w:t>
      </w:r>
      <w:r w:rsidR="00F94BEE" w:rsidRPr="00687DE8">
        <w:rPr>
          <w:szCs w:val="24"/>
        </w:rPr>
        <w:t>a</w:t>
      </w:r>
      <w:r w:rsidR="004970BB" w:rsidRPr="00687DE8">
        <w:rPr>
          <w:szCs w:val="24"/>
        </w:rPr>
        <w:t xml:space="preserve"> tervishoiutöötaja.</w:t>
      </w:r>
    </w:p>
    <w:p w14:paraId="16F554A2" w14:textId="2B42B594" w:rsidR="006E1B4F" w:rsidRPr="00687DE8" w:rsidRDefault="006E1B4F" w:rsidP="008F4F76">
      <w:pPr>
        <w:spacing w:after="0" w:line="240" w:lineRule="auto"/>
        <w:jc w:val="both"/>
        <w:rPr>
          <w:szCs w:val="24"/>
        </w:rPr>
      </w:pPr>
    </w:p>
    <w:p w14:paraId="043C02DA" w14:textId="0C9C9D18" w:rsidR="006B74E8" w:rsidRPr="00687DE8" w:rsidRDefault="004970BB" w:rsidP="0061025C">
      <w:pPr>
        <w:spacing w:after="0" w:line="240" w:lineRule="auto"/>
        <w:jc w:val="both"/>
        <w:rPr>
          <w:szCs w:val="24"/>
        </w:rPr>
      </w:pPr>
      <w:r w:rsidRPr="00687DE8">
        <w:rPr>
          <w:szCs w:val="24"/>
        </w:rPr>
        <w:t>(</w:t>
      </w:r>
      <w:r w:rsidR="00F5057B">
        <w:rPr>
          <w:szCs w:val="24"/>
        </w:rPr>
        <w:t>80</w:t>
      </w:r>
      <w:r w:rsidRPr="00687DE8">
        <w:rPr>
          <w:szCs w:val="24"/>
        </w:rPr>
        <w:t xml:space="preserve">) </w:t>
      </w:r>
      <w:r w:rsidR="00A31781" w:rsidRPr="00687DE8">
        <w:rPr>
          <w:szCs w:val="24"/>
        </w:rPr>
        <w:t xml:space="preserve">Ravi </w:t>
      </w:r>
      <w:r w:rsidR="00A31781" w:rsidRPr="00F258C5">
        <w:rPr>
          <w:szCs w:val="24"/>
        </w:rPr>
        <w:t>alustamiseks</w:t>
      </w:r>
      <w:r w:rsidR="00A31781" w:rsidRPr="00687DE8">
        <w:rPr>
          <w:szCs w:val="24"/>
        </w:rPr>
        <w:t xml:space="preserve"> </w:t>
      </w:r>
      <w:r w:rsidR="000B0BC8" w:rsidRPr="00687DE8">
        <w:rPr>
          <w:szCs w:val="24"/>
        </w:rPr>
        <w:t xml:space="preserve">eptinezumabiga </w:t>
      </w:r>
      <w:r w:rsidR="00A31781" w:rsidRPr="00687DE8">
        <w:rPr>
          <w:szCs w:val="24"/>
        </w:rPr>
        <w:t>kroonilise migreeni profülaktikaks</w:t>
      </w:r>
      <w:r w:rsidR="0096705A">
        <w:rPr>
          <w:szCs w:val="24"/>
        </w:rPr>
        <w:t xml:space="preserve"> (kood 422R)</w:t>
      </w:r>
      <w:r w:rsidR="00A31781" w:rsidRPr="00687DE8">
        <w:rPr>
          <w:szCs w:val="24"/>
        </w:rPr>
        <w:t xml:space="preserve"> peavad olema täidetud järgmised tingimused:</w:t>
      </w:r>
    </w:p>
    <w:p w14:paraId="7B7E1E82" w14:textId="3FE641B9" w:rsidR="0002185D" w:rsidRDefault="00A31781" w:rsidP="0061025C">
      <w:pPr>
        <w:spacing w:after="0" w:line="240" w:lineRule="auto"/>
        <w:jc w:val="both"/>
      </w:pPr>
      <w:r w:rsidRPr="00687DE8">
        <w:rPr>
          <w:szCs w:val="24"/>
        </w:rPr>
        <w:t>1) </w:t>
      </w:r>
      <w:r w:rsidR="001A12E0" w:rsidRPr="001A12E0">
        <w:rPr>
          <w:rFonts w:ascii="Arial" w:hAnsi="Arial" w:cs="Arial"/>
        </w:rPr>
        <w:t> </w:t>
      </w:r>
      <w:r w:rsidR="001A12E0" w:rsidRPr="001A12E0">
        <w:t>patsiendil esinevad peavalud ≥ 15 päeval kuus, millest vähemalt kaheksal päeval on tegemist migreeni kriteeriume täitvate hoogudega;</w:t>
      </w:r>
    </w:p>
    <w:p w14:paraId="443515A6" w14:textId="0B7BB4A1" w:rsidR="00A31781" w:rsidRPr="00687DE8" w:rsidRDefault="00A31781" w:rsidP="0061025C">
      <w:pPr>
        <w:spacing w:after="0" w:line="240" w:lineRule="auto"/>
        <w:jc w:val="both"/>
      </w:pPr>
      <w:r>
        <w:t>2) </w:t>
      </w:r>
      <w:r w:rsidR="00402D4D">
        <w:t xml:space="preserve">vähemalt kolm eelnevat Eesti või rahvusvahelistes ravijuhistes </w:t>
      </w:r>
      <w:r w:rsidR="00F258C5">
        <w:t>kirjeldatud</w:t>
      </w:r>
      <w:r w:rsidR="00402D4D">
        <w:t xml:space="preserve"> profülaktilist ravi</w:t>
      </w:r>
      <w:r w:rsidR="00D06F48">
        <w:t xml:space="preserve"> on </w:t>
      </w:r>
      <w:r w:rsidR="00402D4D">
        <w:t>dokumenteeritult ebaõnnestunud.</w:t>
      </w:r>
    </w:p>
    <w:p w14:paraId="02FB9923" w14:textId="77777777" w:rsidR="00E96B94" w:rsidRPr="00687DE8" w:rsidRDefault="00E96B94" w:rsidP="0061025C">
      <w:pPr>
        <w:spacing w:after="0" w:line="240" w:lineRule="auto"/>
        <w:jc w:val="both"/>
        <w:rPr>
          <w:szCs w:val="24"/>
        </w:rPr>
      </w:pPr>
    </w:p>
    <w:p w14:paraId="4A490631" w14:textId="3727F0CD" w:rsidR="00A759E6" w:rsidRPr="00687DE8" w:rsidRDefault="00A43E80" w:rsidP="0061025C">
      <w:pPr>
        <w:spacing w:after="0" w:line="240" w:lineRule="auto"/>
        <w:jc w:val="both"/>
        <w:rPr>
          <w:szCs w:val="24"/>
        </w:rPr>
      </w:pPr>
      <w:r w:rsidRPr="00687DE8">
        <w:rPr>
          <w:szCs w:val="24"/>
        </w:rPr>
        <w:lastRenderedPageBreak/>
        <w:t>(</w:t>
      </w:r>
      <w:r w:rsidR="00C63324">
        <w:rPr>
          <w:szCs w:val="24"/>
        </w:rPr>
        <w:t>8</w:t>
      </w:r>
      <w:r w:rsidR="00F5057B">
        <w:rPr>
          <w:szCs w:val="24"/>
        </w:rPr>
        <w:t>1</w:t>
      </w:r>
      <w:r w:rsidRPr="00687DE8">
        <w:rPr>
          <w:szCs w:val="24"/>
        </w:rPr>
        <w:t xml:space="preserve">) </w:t>
      </w:r>
      <w:r w:rsidR="00295554" w:rsidRPr="00A05415">
        <w:rPr>
          <w:szCs w:val="24"/>
        </w:rPr>
        <w:t xml:space="preserve">Koodiga 422R tähistatud ravimiteenuse ravivastust hinnatakse </w:t>
      </w:r>
      <w:r w:rsidR="00B969D6" w:rsidRPr="00A05415">
        <w:rPr>
          <w:szCs w:val="24"/>
        </w:rPr>
        <w:t>kuue</w:t>
      </w:r>
      <w:r w:rsidR="00295554" w:rsidRPr="00A05415">
        <w:rPr>
          <w:szCs w:val="24"/>
        </w:rPr>
        <w:t xml:space="preserve"> ravikuu möödumisel ning teenust võib kasutada edasi patsientidel, kellel </w:t>
      </w:r>
      <w:r w:rsidR="00F258C5" w:rsidRPr="00A05415">
        <w:rPr>
          <w:szCs w:val="24"/>
        </w:rPr>
        <w:t xml:space="preserve">on </w:t>
      </w:r>
      <w:r w:rsidR="00295554" w:rsidRPr="00A05415">
        <w:rPr>
          <w:szCs w:val="24"/>
        </w:rPr>
        <w:t xml:space="preserve">raviarsti hinnangul dokumenteeritult </w:t>
      </w:r>
      <w:r w:rsidR="00A05415">
        <w:rPr>
          <w:szCs w:val="24"/>
        </w:rPr>
        <w:t xml:space="preserve">peavalupäevade arv kuus vähenenud </w:t>
      </w:r>
      <w:r w:rsidR="002279F8" w:rsidRPr="00A05415">
        <w:t>≥</w:t>
      </w:r>
      <w:r w:rsidR="00295554" w:rsidRPr="00A05415">
        <w:rPr>
          <w:szCs w:val="24"/>
        </w:rPr>
        <w:t xml:space="preserve"> 50%</w:t>
      </w:r>
      <w:r w:rsidR="00A05415">
        <w:rPr>
          <w:szCs w:val="24"/>
        </w:rPr>
        <w:t>.</w:t>
      </w:r>
    </w:p>
    <w:p w14:paraId="5C81AB45" w14:textId="6E7F5A2B" w:rsidR="00E96B94" w:rsidRPr="00687DE8" w:rsidRDefault="00E96B94" w:rsidP="0061025C">
      <w:pPr>
        <w:spacing w:after="0" w:line="240" w:lineRule="auto"/>
        <w:jc w:val="both"/>
        <w:rPr>
          <w:szCs w:val="24"/>
        </w:rPr>
      </w:pPr>
    </w:p>
    <w:p w14:paraId="1B16FA24" w14:textId="021970CE" w:rsidR="005070BF" w:rsidRPr="00687DE8" w:rsidRDefault="00A759E6" w:rsidP="0061025C">
      <w:pPr>
        <w:spacing w:after="0" w:line="240" w:lineRule="auto"/>
        <w:jc w:val="both"/>
        <w:rPr>
          <w:szCs w:val="24"/>
        </w:rPr>
      </w:pPr>
      <w:r w:rsidRPr="00687DE8">
        <w:rPr>
          <w:szCs w:val="24"/>
        </w:rPr>
        <w:t>(</w:t>
      </w:r>
      <w:r w:rsidR="00C63324">
        <w:rPr>
          <w:szCs w:val="24"/>
        </w:rPr>
        <w:t>8</w:t>
      </w:r>
      <w:r w:rsidR="00F5057B">
        <w:rPr>
          <w:szCs w:val="24"/>
        </w:rPr>
        <w:t>2</w:t>
      </w:r>
      <w:r w:rsidRPr="00687DE8">
        <w:rPr>
          <w:szCs w:val="24"/>
        </w:rPr>
        <w:t xml:space="preserve">) </w:t>
      </w:r>
      <w:r w:rsidR="00350C40" w:rsidRPr="00350C40">
        <w:rPr>
          <w:szCs w:val="24"/>
        </w:rPr>
        <w:t xml:space="preserve">Koodiga 422R tähistatud ravimiteenuse </w:t>
      </w:r>
      <w:r w:rsidR="00F258C5">
        <w:rPr>
          <w:szCs w:val="24"/>
        </w:rPr>
        <w:t xml:space="preserve">edaspidise </w:t>
      </w:r>
      <w:r w:rsidR="00350C40" w:rsidRPr="00350C40">
        <w:rPr>
          <w:szCs w:val="24"/>
        </w:rPr>
        <w:t>kasutamise vajadust tuleb hinnata regulaarselt 6–12 kuu järel, ravi jätkamise eelduseks on püsiv ravivastus.</w:t>
      </w:r>
    </w:p>
    <w:p w14:paraId="70C865DD" w14:textId="5B86F2B8" w:rsidR="00A759E6" w:rsidRPr="00687DE8" w:rsidRDefault="00A759E6" w:rsidP="0061025C">
      <w:pPr>
        <w:spacing w:after="0" w:line="240" w:lineRule="auto"/>
        <w:jc w:val="both"/>
        <w:rPr>
          <w:szCs w:val="24"/>
        </w:rPr>
      </w:pPr>
    </w:p>
    <w:p w14:paraId="20FCFD3D" w14:textId="712150E2" w:rsidR="00BD4384" w:rsidRDefault="005070BF" w:rsidP="0061025C">
      <w:pPr>
        <w:spacing w:after="0" w:line="240" w:lineRule="auto"/>
        <w:jc w:val="both"/>
        <w:rPr>
          <w:szCs w:val="24"/>
        </w:rPr>
      </w:pPr>
      <w:r w:rsidRPr="00687DE8">
        <w:rPr>
          <w:szCs w:val="24"/>
        </w:rPr>
        <w:t>(</w:t>
      </w:r>
      <w:r w:rsidR="00C63324">
        <w:rPr>
          <w:szCs w:val="24"/>
        </w:rPr>
        <w:t>8</w:t>
      </w:r>
      <w:r w:rsidR="00F5057B">
        <w:rPr>
          <w:szCs w:val="24"/>
        </w:rPr>
        <w:t>3</w:t>
      </w:r>
      <w:r w:rsidRPr="00687DE8">
        <w:rPr>
          <w:szCs w:val="24"/>
        </w:rPr>
        <w:t xml:space="preserve">) </w:t>
      </w:r>
      <w:r w:rsidR="000724FB">
        <w:rPr>
          <w:szCs w:val="24"/>
        </w:rPr>
        <w:t>Ravi k</w:t>
      </w:r>
      <w:r w:rsidR="00BD4384" w:rsidRPr="00BD4384">
        <w:rPr>
          <w:szCs w:val="24"/>
        </w:rPr>
        <w:t>oodiga 422R tähistatud ravimiteenus</w:t>
      </w:r>
      <w:r w:rsidR="000724FB">
        <w:rPr>
          <w:szCs w:val="24"/>
        </w:rPr>
        <w:t>ega</w:t>
      </w:r>
      <w:r w:rsidR="00BD4384" w:rsidRPr="00BD4384">
        <w:rPr>
          <w:szCs w:val="24"/>
        </w:rPr>
        <w:t xml:space="preserve"> lõpetatakse</w:t>
      </w:r>
      <w:r w:rsidR="005766C1">
        <w:rPr>
          <w:szCs w:val="24"/>
        </w:rPr>
        <w:t>,</w:t>
      </w:r>
      <w:r w:rsidR="000724FB">
        <w:rPr>
          <w:szCs w:val="24"/>
        </w:rPr>
        <w:t xml:space="preserve"> </w:t>
      </w:r>
      <w:r w:rsidR="00D71B0E" w:rsidRPr="00D71B0E">
        <w:rPr>
          <w:szCs w:val="24"/>
        </w:rPr>
        <w:t xml:space="preserve">kui </w:t>
      </w:r>
      <w:r w:rsidR="00D71B0E" w:rsidRPr="00A05415">
        <w:rPr>
          <w:szCs w:val="24"/>
        </w:rPr>
        <w:t xml:space="preserve">peavalupäevade arv on alla </w:t>
      </w:r>
      <w:r w:rsidR="00B93EF6" w:rsidRPr="00A05415">
        <w:rPr>
          <w:szCs w:val="24"/>
        </w:rPr>
        <w:t>nelja</w:t>
      </w:r>
      <w:r w:rsidR="00D71B0E" w:rsidRPr="00A05415">
        <w:rPr>
          <w:szCs w:val="24"/>
        </w:rPr>
        <w:t xml:space="preserve"> päeva kuus</w:t>
      </w:r>
      <w:r w:rsidR="00D71B0E" w:rsidRPr="00D71B0E">
        <w:rPr>
          <w:szCs w:val="24"/>
        </w:rPr>
        <w:t xml:space="preserve"> vähemalt </w:t>
      </w:r>
      <w:r w:rsidR="00B93EF6">
        <w:rPr>
          <w:szCs w:val="24"/>
        </w:rPr>
        <w:t>kuue</w:t>
      </w:r>
      <w:r w:rsidR="00D71B0E" w:rsidRPr="00D71B0E">
        <w:rPr>
          <w:szCs w:val="24"/>
        </w:rPr>
        <w:t xml:space="preserve"> järjestikuse kuu vältel.</w:t>
      </w:r>
    </w:p>
    <w:p w14:paraId="75A1028B" w14:textId="77777777" w:rsidR="00996A4D" w:rsidRDefault="00996A4D" w:rsidP="0061025C">
      <w:pPr>
        <w:spacing w:after="0" w:line="240" w:lineRule="auto"/>
        <w:jc w:val="both"/>
        <w:rPr>
          <w:szCs w:val="24"/>
        </w:rPr>
      </w:pPr>
    </w:p>
    <w:p w14:paraId="157BDD5D" w14:textId="0AD51D77" w:rsidR="00996A4D" w:rsidRPr="00687DE8" w:rsidRDefault="00996A4D" w:rsidP="0061025C">
      <w:pPr>
        <w:spacing w:after="0" w:line="240" w:lineRule="auto"/>
        <w:jc w:val="both"/>
        <w:rPr>
          <w:szCs w:val="24"/>
        </w:rPr>
      </w:pPr>
      <w:r>
        <w:rPr>
          <w:szCs w:val="24"/>
        </w:rPr>
        <w:t>(</w:t>
      </w:r>
      <w:r w:rsidR="00C63324">
        <w:rPr>
          <w:szCs w:val="24"/>
        </w:rPr>
        <w:t>8</w:t>
      </w:r>
      <w:r w:rsidR="00F5057B">
        <w:rPr>
          <w:szCs w:val="24"/>
        </w:rPr>
        <w:t>4</w:t>
      </w:r>
      <w:r>
        <w:rPr>
          <w:szCs w:val="24"/>
        </w:rPr>
        <w:t xml:space="preserve">) </w:t>
      </w:r>
      <w:r w:rsidR="006364FE">
        <w:rPr>
          <w:szCs w:val="24"/>
        </w:rPr>
        <w:t>Koodiga</w:t>
      </w:r>
      <w:r w:rsidRPr="00996A4D">
        <w:rPr>
          <w:szCs w:val="24"/>
        </w:rPr>
        <w:t xml:space="preserve"> 422R </w:t>
      </w:r>
      <w:r w:rsidR="00512E75">
        <w:rPr>
          <w:szCs w:val="24"/>
        </w:rPr>
        <w:t>tähistatud ravimiteenust</w:t>
      </w:r>
      <w:r w:rsidRPr="00996A4D">
        <w:rPr>
          <w:szCs w:val="24"/>
        </w:rPr>
        <w:t xml:space="preserve"> </w:t>
      </w:r>
      <w:r w:rsidR="0099196F">
        <w:rPr>
          <w:szCs w:val="24"/>
        </w:rPr>
        <w:t xml:space="preserve">rakendatakse </w:t>
      </w:r>
      <w:r w:rsidRPr="00996A4D">
        <w:rPr>
          <w:szCs w:val="24"/>
        </w:rPr>
        <w:t>üks kord 12 nädala jooksul.</w:t>
      </w:r>
    </w:p>
    <w:p w14:paraId="0E3F07A2" w14:textId="77777777" w:rsidR="005167DB" w:rsidRPr="00687DE8" w:rsidRDefault="005167DB" w:rsidP="0061025C">
      <w:pPr>
        <w:spacing w:after="0" w:line="240" w:lineRule="auto"/>
        <w:jc w:val="both"/>
        <w:rPr>
          <w:szCs w:val="24"/>
        </w:rPr>
      </w:pPr>
    </w:p>
    <w:p w14:paraId="55554D69" w14:textId="773660A7" w:rsidR="004970BB" w:rsidRDefault="005167DB" w:rsidP="0061025C">
      <w:pPr>
        <w:spacing w:after="0" w:line="240" w:lineRule="auto"/>
        <w:jc w:val="both"/>
        <w:rPr>
          <w:szCs w:val="24"/>
        </w:rPr>
      </w:pPr>
      <w:r w:rsidRPr="00687DE8">
        <w:rPr>
          <w:szCs w:val="24"/>
        </w:rPr>
        <w:t>(</w:t>
      </w:r>
      <w:r w:rsidR="00C63324">
        <w:rPr>
          <w:szCs w:val="24"/>
        </w:rPr>
        <w:t>8</w:t>
      </w:r>
      <w:r w:rsidR="00F5057B">
        <w:rPr>
          <w:szCs w:val="24"/>
        </w:rPr>
        <w:t>5</w:t>
      </w:r>
      <w:r w:rsidRPr="00687DE8">
        <w:rPr>
          <w:szCs w:val="24"/>
        </w:rPr>
        <w:t xml:space="preserve">) </w:t>
      </w:r>
      <w:r w:rsidR="002409F7" w:rsidRPr="00687DE8">
        <w:rPr>
          <w:szCs w:val="24"/>
        </w:rPr>
        <w:t>Koodi</w:t>
      </w:r>
      <w:r w:rsidR="00F94BEE" w:rsidRPr="00687DE8">
        <w:rPr>
          <w:szCs w:val="24"/>
        </w:rPr>
        <w:t>de</w:t>
      </w:r>
      <w:r w:rsidR="002409F7" w:rsidRPr="00687DE8">
        <w:rPr>
          <w:szCs w:val="24"/>
        </w:rPr>
        <w:t>ga 235R (botulismitoksiin) ja 422R tähistatud ravimiteenuste samaaegne rakendamine patsiendi ravis ei ole lubatud.</w:t>
      </w:r>
    </w:p>
    <w:p w14:paraId="0CD12133" w14:textId="77777777" w:rsidR="00E27DE4" w:rsidRDefault="00E27DE4" w:rsidP="0061025C">
      <w:pPr>
        <w:spacing w:after="0" w:line="240" w:lineRule="auto"/>
        <w:jc w:val="both"/>
        <w:rPr>
          <w:szCs w:val="24"/>
        </w:rPr>
      </w:pPr>
    </w:p>
    <w:p w14:paraId="0432E1E1" w14:textId="439537D0" w:rsidR="00B33662" w:rsidRPr="00687DE8" w:rsidRDefault="00B33662" w:rsidP="0061025C">
      <w:pPr>
        <w:spacing w:after="0" w:line="240" w:lineRule="auto"/>
        <w:jc w:val="both"/>
      </w:pPr>
      <w:r>
        <w:t xml:space="preserve">(86) </w:t>
      </w:r>
      <w:r w:rsidR="00096A50">
        <w:t>Tervisekassa võtab tasu maksmise kohustuse</w:t>
      </w:r>
      <w:r w:rsidR="00D91437">
        <w:t xml:space="preserve"> </w:t>
      </w:r>
      <w:r w:rsidR="007C3061">
        <w:t>üle</w:t>
      </w:r>
      <w:r w:rsidR="001A2DAB">
        <w:t xml:space="preserve"> </w:t>
      </w:r>
      <w:r w:rsidR="007C3061">
        <w:t>koodi</w:t>
      </w:r>
      <w:r w:rsidR="00690BAD">
        <w:t xml:space="preserve">ga </w:t>
      </w:r>
      <w:r w:rsidR="00AF3C79">
        <w:t>278R</w:t>
      </w:r>
      <w:r w:rsidR="00383E23">
        <w:t xml:space="preserve"> tähistatud ravimiteenuse</w:t>
      </w:r>
      <w:r w:rsidR="00A839CC">
        <w:t xml:space="preserve"> eest</w:t>
      </w:r>
      <w:r w:rsidR="00AF3C79">
        <w:t xml:space="preserve"> </w:t>
      </w:r>
      <w:r w:rsidR="00A92082">
        <w:t>koefitsien</w:t>
      </w:r>
      <w:r w:rsidR="00755919">
        <w:t>di</w:t>
      </w:r>
      <w:r w:rsidR="00A92082">
        <w:t>ga 1,128</w:t>
      </w:r>
      <w:r w:rsidR="003E419B">
        <w:t>,</w:t>
      </w:r>
      <w:r w:rsidR="00360F15">
        <w:t xml:space="preserve"> koodiga</w:t>
      </w:r>
      <w:r w:rsidR="003E419B">
        <w:t xml:space="preserve"> 279R</w:t>
      </w:r>
      <w:r w:rsidR="008A634D">
        <w:t xml:space="preserve"> tähistatud</w:t>
      </w:r>
      <w:r w:rsidR="00271655">
        <w:t xml:space="preserve"> ravimiteenuse</w:t>
      </w:r>
      <w:r w:rsidR="00A839CC">
        <w:t xml:space="preserve"> eest</w:t>
      </w:r>
      <w:r w:rsidR="003E419B">
        <w:t xml:space="preserve"> koefits</w:t>
      </w:r>
      <w:r w:rsidR="003E5871">
        <w:t>iendiga</w:t>
      </w:r>
      <w:r w:rsidR="003E419B">
        <w:t xml:space="preserve"> 1,240</w:t>
      </w:r>
      <w:r w:rsidR="003E5871">
        <w:t xml:space="preserve"> ja koodiga</w:t>
      </w:r>
      <w:r w:rsidR="003E419B">
        <w:t xml:space="preserve"> 427R</w:t>
      </w:r>
      <w:r w:rsidR="00C16365">
        <w:t xml:space="preserve"> tähistatud ravimiteenuse</w:t>
      </w:r>
      <w:r w:rsidR="003E419B">
        <w:t xml:space="preserve"> </w:t>
      </w:r>
      <w:r w:rsidR="00A839CC">
        <w:t>eest</w:t>
      </w:r>
      <w:r w:rsidR="003E419B">
        <w:t xml:space="preserve"> koefitsi</w:t>
      </w:r>
      <w:r w:rsidR="00360F15">
        <w:t>endiga</w:t>
      </w:r>
      <w:r w:rsidR="003E419B">
        <w:t xml:space="preserve"> 1,091</w:t>
      </w:r>
      <w:r w:rsidR="00F06BDF">
        <w:t xml:space="preserve"> juhul, kui ravimiteenust </w:t>
      </w:r>
      <w:r w:rsidR="00F40D8A">
        <w:t xml:space="preserve">osutab </w:t>
      </w:r>
      <w:r w:rsidR="001412E6">
        <w:t xml:space="preserve">kinnitatud nimistuga töötav </w:t>
      </w:r>
      <w:r w:rsidR="00F40D8A">
        <w:t>perearst</w:t>
      </w:r>
      <w:r w:rsidR="00360F15">
        <w:t>.</w:t>
      </w:r>
    </w:p>
    <w:p w14:paraId="134ECD77" w14:textId="309099DE" w:rsidR="2DB43EF9" w:rsidRDefault="2DB43EF9" w:rsidP="2DB43EF9">
      <w:pPr>
        <w:spacing w:after="0" w:line="240" w:lineRule="auto"/>
        <w:jc w:val="both"/>
      </w:pPr>
    </w:p>
    <w:p w14:paraId="51C6A675" w14:textId="3829DCB5" w:rsidR="52946F5A" w:rsidRDefault="52946F5A" w:rsidP="72BCDF8E">
      <w:pPr>
        <w:spacing w:line="257" w:lineRule="auto"/>
        <w:jc w:val="both"/>
        <w:rPr>
          <w:i/>
          <w:iCs/>
          <w:color w:val="000000" w:themeColor="text1"/>
          <w:sz w:val="22"/>
        </w:rPr>
      </w:pPr>
      <w:r>
        <w:t xml:space="preserve">(87) </w:t>
      </w:r>
      <w:r w:rsidRPr="004E2393">
        <w:t xml:space="preserve">Tervisekassa võtab koodiga </w:t>
      </w:r>
      <w:r>
        <w:t>45</w:t>
      </w:r>
      <w:r w:rsidR="0BAC487B">
        <w:t>8</w:t>
      </w:r>
      <w:r w:rsidRPr="004E2393">
        <w:t>R tähistatud ravimiteenuse eest tasu maksmise kohustuse üle enneaegsete retinopaatia (RHK</w:t>
      </w:r>
      <w:r w:rsidR="102A5010">
        <w:t xml:space="preserve"> </w:t>
      </w:r>
      <w:r w:rsidRPr="004E2393">
        <w:t>10 kood H35.1) raviks</w:t>
      </w:r>
      <w:r w:rsidRPr="004E2393">
        <w:rPr>
          <w:color w:val="000000" w:themeColor="text1"/>
        </w:rPr>
        <w:t xml:space="preserve"> I tsoonis ja/või II tsooni 2. ja/või 3.</w:t>
      </w:r>
      <w:r w:rsidR="007C269E">
        <w:rPr>
          <w:color w:val="000000" w:themeColor="text1"/>
        </w:rPr>
        <w:t xml:space="preserve"> </w:t>
      </w:r>
      <w:r w:rsidRPr="075D2FFB">
        <w:rPr>
          <w:color w:val="000000" w:themeColor="text1"/>
        </w:rPr>
        <w:t xml:space="preserve">staadiumi </w:t>
      </w:r>
      <w:r w:rsidR="08562717" w:rsidRPr="075D2FFB">
        <w:rPr>
          <w:color w:val="000000" w:themeColor="text1"/>
        </w:rPr>
        <w:t xml:space="preserve">raviks, kui </w:t>
      </w:r>
      <w:r w:rsidRPr="075D2FFB">
        <w:rPr>
          <w:color w:val="000000" w:themeColor="text1"/>
        </w:rPr>
        <w:t>kaas</w:t>
      </w:r>
      <w:r w:rsidR="439A1F8B" w:rsidRPr="075D2FFB">
        <w:rPr>
          <w:color w:val="000000" w:themeColor="text1"/>
        </w:rPr>
        <w:t>neb</w:t>
      </w:r>
      <w:r w:rsidRPr="004E2393">
        <w:rPr>
          <w:color w:val="000000" w:themeColor="text1"/>
        </w:rPr>
        <w:t xml:space="preserve"> Plus haigus</w:t>
      </w:r>
      <w:r w:rsidR="6B3F6E1C" w:rsidRPr="075D2FFB">
        <w:rPr>
          <w:color w:val="000000" w:themeColor="text1"/>
        </w:rPr>
        <w:t>,</w:t>
      </w:r>
      <w:r w:rsidRPr="004E2393">
        <w:rPr>
          <w:color w:val="000000" w:themeColor="text1"/>
        </w:rPr>
        <w:t xml:space="preserve"> ning</w:t>
      </w:r>
      <w:r w:rsidRPr="004E2393">
        <w:t xml:space="preserve"> agressiivse posterioo</w:t>
      </w:r>
      <w:r w:rsidR="00EE08E0">
        <w:t>r</w:t>
      </w:r>
      <w:r w:rsidRPr="004E2393">
        <w:t>se enneaegsuse retinopaatia (</w:t>
      </w:r>
      <w:r w:rsidRPr="004E2393">
        <w:rPr>
          <w:color w:val="000000" w:themeColor="text1"/>
        </w:rPr>
        <w:t>APROP) raviks.</w:t>
      </w:r>
    </w:p>
    <w:p w14:paraId="3ED35721" w14:textId="38C0C751" w:rsidR="6557597C" w:rsidRDefault="6557597C" w:rsidP="11554D8C">
      <w:pPr>
        <w:spacing w:after="0"/>
        <w:jc w:val="both"/>
        <w:rPr>
          <w:rFonts w:eastAsia="Calibri"/>
        </w:rPr>
      </w:pPr>
      <w:r>
        <w:t>(88)</w:t>
      </w:r>
      <w:r w:rsidR="41D912A5">
        <w:t xml:space="preserve"> </w:t>
      </w:r>
      <w:r w:rsidR="41D912A5" w:rsidRPr="004E2393">
        <w:rPr>
          <w:rFonts w:eastAsia="Calibri"/>
        </w:rPr>
        <w:t xml:space="preserve">Tervisekassa võtab </w:t>
      </w:r>
      <w:r w:rsidR="3A2E8EC9" w:rsidRPr="2DB43EF9">
        <w:rPr>
          <w:rFonts w:eastAsia="Calibri"/>
        </w:rPr>
        <w:t xml:space="preserve">koodiga </w:t>
      </w:r>
      <w:r w:rsidR="3A2E8EC9" w:rsidRPr="7C79DA03">
        <w:rPr>
          <w:rFonts w:eastAsia="Calibri"/>
        </w:rPr>
        <w:t>45</w:t>
      </w:r>
      <w:r w:rsidR="79802821" w:rsidRPr="7C79DA03">
        <w:rPr>
          <w:rFonts w:eastAsia="Calibri"/>
        </w:rPr>
        <w:t>8</w:t>
      </w:r>
      <w:r w:rsidR="3A2E8EC9" w:rsidRPr="7C79DA03">
        <w:rPr>
          <w:rFonts w:eastAsia="Calibri"/>
        </w:rPr>
        <w:t>R</w:t>
      </w:r>
      <w:r w:rsidR="3A2E8EC9" w:rsidRPr="2DB43EF9">
        <w:rPr>
          <w:rFonts w:eastAsia="Calibri"/>
        </w:rPr>
        <w:t xml:space="preserve"> tähistatud </w:t>
      </w:r>
      <w:r w:rsidR="41D912A5" w:rsidRPr="004E2393">
        <w:rPr>
          <w:rFonts w:eastAsia="Calibri"/>
        </w:rPr>
        <w:t xml:space="preserve">ravimiteenuse eest tasu maksmise kohustuse üle enneaegsete retinopaatia raviks </w:t>
      </w:r>
      <w:r w:rsidR="41D912A5" w:rsidRPr="167CF09F">
        <w:rPr>
          <w:rFonts w:eastAsia="Calibri"/>
        </w:rPr>
        <w:t>aflibertsepti</w:t>
      </w:r>
      <w:r w:rsidR="689FA56A" w:rsidRPr="167CF09F">
        <w:rPr>
          <w:rFonts w:eastAsia="Calibri"/>
        </w:rPr>
        <w:t>ga</w:t>
      </w:r>
      <w:r w:rsidR="41D912A5" w:rsidRPr="004E2393">
        <w:rPr>
          <w:rFonts w:eastAsia="Calibri"/>
        </w:rPr>
        <w:t xml:space="preserve"> kuni kahe süsti ulatuses ühe silma kohta kuue kuu jooksul alates ravi alustamisest tingimusel, et samasse silma tehtavate süstide vahe </w:t>
      </w:r>
      <w:r w:rsidR="32F31C3A" w:rsidRPr="167CF09F">
        <w:rPr>
          <w:rFonts w:eastAsia="Calibri"/>
        </w:rPr>
        <w:t>o</w:t>
      </w:r>
      <w:r w:rsidR="3B93D9E4" w:rsidRPr="167CF09F">
        <w:rPr>
          <w:rFonts w:eastAsia="Calibri"/>
        </w:rPr>
        <w:t>n</w:t>
      </w:r>
      <w:r w:rsidR="41D912A5" w:rsidRPr="004E2393">
        <w:rPr>
          <w:rFonts w:eastAsia="Calibri"/>
        </w:rPr>
        <w:t xml:space="preserve"> vähemalt 4 nädalat.</w:t>
      </w:r>
    </w:p>
    <w:p w14:paraId="3602F0F5" w14:textId="77777777" w:rsidR="00A80514" w:rsidRDefault="00A80514" w:rsidP="11554D8C">
      <w:pPr>
        <w:spacing w:after="0"/>
        <w:jc w:val="both"/>
        <w:rPr>
          <w:rFonts w:eastAsia="Calibri"/>
        </w:rPr>
      </w:pPr>
    </w:p>
    <w:p w14:paraId="0DBFCFA3" w14:textId="131AE5E7" w:rsidR="7778618B" w:rsidRPr="004E2393" w:rsidRDefault="007C5C21" w:rsidP="7778618B">
      <w:pPr>
        <w:spacing w:after="0" w:line="240" w:lineRule="auto"/>
        <w:jc w:val="both"/>
        <w:rPr>
          <w:i/>
        </w:rPr>
      </w:pPr>
      <w:r>
        <w:rPr>
          <w:rFonts w:eastAsia="Calibri"/>
        </w:rPr>
        <w:t xml:space="preserve">(89) Tervisekassa võtab koodiga 470R tähistatud ravimiteenuse eest tasu maksmise kohustuse üle </w:t>
      </w:r>
      <w:r w:rsidR="00CC78D9">
        <w:rPr>
          <w:rFonts w:eastAsia="Calibri"/>
        </w:rPr>
        <w:t>neovaskulaarse (märja) maakula ealise degeneratsiooni (RHK</w:t>
      </w:r>
      <w:r w:rsidR="437F2C68" w:rsidRPr="3749B0B3">
        <w:rPr>
          <w:rFonts w:eastAsia="Calibri"/>
        </w:rPr>
        <w:t xml:space="preserve"> </w:t>
      </w:r>
      <w:r w:rsidR="00CC78D9">
        <w:rPr>
          <w:rFonts w:eastAsia="Calibri"/>
        </w:rPr>
        <w:t>10 kood H35</w:t>
      </w:r>
      <w:r w:rsidR="0059295D">
        <w:rPr>
          <w:rFonts w:eastAsia="Calibri"/>
        </w:rPr>
        <w:t>.3)</w:t>
      </w:r>
      <w:r w:rsidR="00037636">
        <w:rPr>
          <w:rFonts w:eastAsia="Calibri"/>
        </w:rPr>
        <w:t xml:space="preserve"> ravi</w:t>
      </w:r>
      <w:r w:rsidR="00235797">
        <w:rPr>
          <w:rFonts w:eastAsia="Calibri"/>
        </w:rPr>
        <w:t xml:space="preserve"> eest </w:t>
      </w:r>
      <w:r w:rsidR="15020A4D" w:rsidRPr="3749B0B3">
        <w:rPr>
          <w:rFonts w:eastAsia="Calibri"/>
        </w:rPr>
        <w:t>patsiendil</w:t>
      </w:r>
      <w:r w:rsidR="340F1E89" w:rsidRPr="3749B0B3">
        <w:rPr>
          <w:rFonts w:eastAsia="Calibri"/>
        </w:rPr>
        <w:t>t</w:t>
      </w:r>
      <w:r w:rsidR="00235797">
        <w:rPr>
          <w:rFonts w:eastAsia="Calibri"/>
        </w:rPr>
        <w:t xml:space="preserve">, </w:t>
      </w:r>
      <w:r w:rsidR="001D0465">
        <w:rPr>
          <w:rFonts w:eastAsia="Calibri"/>
        </w:rPr>
        <w:t>kes on saanud vähemalt kolm anti-VEGF süsti</w:t>
      </w:r>
      <w:r w:rsidR="001F3698">
        <w:rPr>
          <w:rFonts w:eastAsia="Calibri"/>
        </w:rPr>
        <w:t xml:space="preserve"> </w:t>
      </w:r>
      <w:r w:rsidR="239E1CF0" w:rsidRPr="6F4D9EF8">
        <w:rPr>
          <w:rFonts w:eastAsia="Calibri"/>
        </w:rPr>
        <w:t>ravimi</w:t>
      </w:r>
      <w:r w:rsidR="001F3698" w:rsidRPr="6F4D9EF8">
        <w:rPr>
          <w:rFonts w:eastAsia="Calibri"/>
        </w:rPr>
        <w:t>teenusega</w:t>
      </w:r>
      <w:r w:rsidR="001F3698">
        <w:rPr>
          <w:rFonts w:eastAsia="Calibri"/>
        </w:rPr>
        <w:t xml:space="preserve"> </w:t>
      </w:r>
      <w:r w:rsidR="008A7850">
        <w:rPr>
          <w:rFonts w:eastAsia="Calibri"/>
        </w:rPr>
        <w:t>3</w:t>
      </w:r>
      <w:r w:rsidR="001F3698">
        <w:rPr>
          <w:rFonts w:eastAsia="Calibri"/>
        </w:rPr>
        <w:t xml:space="preserve">65R </w:t>
      </w:r>
      <w:r w:rsidR="00AF5005">
        <w:rPr>
          <w:rFonts w:eastAsia="Calibri"/>
        </w:rPr>
        <w:t>(</w:t>
      </w:r>
      <w:r w:rsidR="001F3698">
        <w:rPr>
          <w:rFonts w:eastAsia="Calibri"/>
        </w:rPr>
        <w:t xml:space="preserve">umbes </w:t>
      </w:r>
      <w:r w:rsidR="297DC29B" w:rsidRPr="3749B0B3">
        <w:rPr>
          <w:rFonts w:eastAsia="Calibri"/>
        </w:rPr>
        <w:t>4-</w:t>
      </w:r>
      <w:r w:rsidR="001F3698">
        <w:rPr>
          <w:rFonts w:eastAsia="Calibri"/>
        </w:rPr>
        <w:t>nädalaste intervallidega</w:t>
      </w:r>
      <w:r w:rsidR="00AF5005">
        <w:rPr>
          <w:rFonts w:eastAsia="Calibri"/>
        </w:rPr>
        <w:t>)</w:t>
      </w:r>
      <w:r w:rsidR="001F3698">
        <w:rPr>
          <w:rFonts w:eastAsia="Calibri"/>
        </w:rPr>
        <w:t xml:space="preserve"> ja </w:t>
      </w:r>
      <w:r w:rsidR="67BD905E" w:rsidRPr="6F4D9EF8">
        <w:rPr>
          <w:rFonts w:eastAsia="Calibri"/>
        </w:rPr>
        <w:t>kellel</w:t>
      </w:r>
      <w:r w:rsidR="00235797">
        <w:rPr>
          <w:rFonts w:eastAsia="Calibri"/>
        </w:rPr>
        <w:t xml:space="preserve"> on </w:t>
      </w:r>
      <w:r w:rsidR="1E41E1E1" w:rsidRPr="168DA609">
        <w:rPr>
          <w:rFonts w:eastAsia="Calibri"/>
        </w:rPr>
        <w:t>selle</w:t>
      </w:r>
      <w:r w:rsidR="46497FA7" w:rsidRPr="6F4D9EF8">
        <w:rPr>
          <w:rFonts w:eastAsia="Calibri"/>
        </w:rPr>
        <w:t xml:space="preserve"> </w:t>
      </w:r>
      <w:r w:rsidR="515E02F4" w:rsidRPr="3749B0B3">
        <w:rPr>
          <w:rFonts w:eastAsia="Calibri"/>
        </w:rPr>
        <w:t>jär</w:t>
      </w:r>
      <w:r w:rsidR="6D57EA7B" w:rsidRPr="3749B0B3">
        <w:rPr>
          <w:rFonts w:eastAsia="Calibri"/>
        </w:rPr>
        <w:t>el</w:t>
      </w:r>
      <w:r w:rsidR="7C4B2091" w:rsidRPr="168DA609">
        <w:rPr>
          <w:rFonts w:eastAsia="Calibri"/>
        </w:rPr>
        <w:t xml:space="preserve"> </w:t>
      </w:r>
      <w:r w:rsidR="00920164">
        <w:rPr>
          <w:rFonts w:eastAsia="Calibri"/>
        </w:rPr>
        <w:t>süvenev või püsiv maakuli turse (suurenev või püsiv IRF ja/või SRF ja/või CST väärtus</w:t>
      </w:r>
      <w:r w:rsidR="00920164" w:rsidRPr="0CAF413A">
        <w:rPr>
          <w:rFonts w:eastAsia="Calibri"/>
        </w:rPr>
        <w:t>)</w:t>
      </w:r>
      <w:r w:rsidR="4BC56BBC" w:rsidRPr="0CAF413A">
        <w:rPr>
          <w:rFonts w:eastAsia="Calibri"/>
        </w:rPr>
        <w:t xml:space="preserve"> või </w:t>
      </w:r>
      <w:r w:rsidR="00920164">
        <w:rPr>
          <w:rFonts w:eastAsia="Calibri"/>
        </w:rPr>
        <w:t>maakulis uus või süvenev subretinaalne verevalum</w:t>
      </w:r>
      <w:r w:rsidR="00930947">
        <w:rPr>
          <w:rFonts w:eastAsia="Calibri"/>
        </w:rPr>
        <w:t>.</w:t>
      </w:r>
    </w:p>
    <w:p w14:paraId="48F2B2C9" w14:textId="77777777" w:rsidR="002B2068" w:rsidRPr="00692E68" w:rsidRDefault="002B2068" w:rsidP="7778618B">
      <w:pPr>
        <w:spacing w:after="0" w:line="240" w:lineRule="auto"/>
        <w:jc w:val="both"/>
        <w:rPr>
          <w:iCs/>
        </w:rPr>
      </w:pPr>
    </w:p>
    <w:p w14:paraId="366CD798" w14:textId="77777777" w:rsidR="00976487" w:rsidRPr="00687DE8" w:rsidRDefault="00976487" w:rsidP="002421C7">
      <w:pPr>
        <w:pStyle w:val="Pealkiri2"/>
        <w:spacing w:before="0" w:after="0" w:afterAutospacing="0"/>
        <w:jc w:val="center"/>
        <w:divId w:val="1316184749"/>
        <w:rPr>
          <w:sz w:val="24"/>
          <w:szCs w:val="24"/>
        </w:rPr>
      </w:pPr>
      <w:r w:rsidRPr="00687DE8">
        <w:rPr>
          <w:sz w:val="24"/>
          <w:szCs w:val="24"/>
        </w:rPr>
        <w:t xml:space="preserve">8. peatükk </w:t>
      </w:r>
      <w:r w:rsidRPr="00687DE8">
        <w:rPr>
          <w:sz w:val="24"/>
          <w:szCs w:val="24"/>
        </w:rPr>
        <w:br/>
        <w:t>Laboriuuringud, lahangud ja kudede transplantaadid</w:t>
      </w:r>
    </w:p>
    <w:p w14:paraId="0897B11F" w14:textId="77777777" w:rsidR="00976487" w:rsidRPr="00687DE8" w:rsidRDefault="00976487" w:rsidP="00976487">
      <w:pPr>
        <w:pStyle w:val="Pealkiri3"/>
        <w:spacing w:before="0" w:after="0" w:afterAutospacing="0"/>
        <w:divId w:val="1316184749"/>
        <w:rPr>
          <w:rStyle w:val="Tugev"/>
          <w:b/>
          <w:bCs/>
          <w:sz w:val="24"/>
          <w:szCs w:val="24"/>
        </w:rPr>
      </w:pPr>
    </w:p>
    <w:p w14:paraId="3E72B001" w14:textId="77777777" w:rsidR="00976487" w:rsidRDefault="5C52CFD9" w:rsidP="5C52CFD9">
      <w:pPr>
        <w:pStyle w:val="Pealkiri3"/>
        <w:spacing w:before="0" w:after="0" w:afterAutospacing="0"/>
        <w:divId w:val="1316184749"/>
        <w:rPr>
          <w:sz w:val="24"/>
          <w:szCs w:val="24"/>
        </w:rPr>
      </w:pPr>
      <w:r w:rsidRPr="00687DE8">
        <w:rPr>
          <w:rStyle w:val="Tugev"/>
          <w:b/>
          <w:bCs/>
          <w:sz w:val="24"/>
          <w:szCs w:val="24"/>
        </w:rPr>
        <w:t>§ 66.</w:t>
      </w:r>
      <w:r w:rsidRPr="00687DE8">
        <w:rPr>
          <w:sz w:val="24"/>
          <w:szCs w:val="24"/>
        </w:rPr>
        <w:t> Laboriuuringud</w:t>
      </w:r>
    </w:p>
    <w:p w14:paraId="27AFC777" w14:textId="77777777" w:rsidR="0084789F" w:rsidRDefault="0084789F" w:rsidP="00976487">
      <w:pPr>
        <w:pStyle w:val="Normaallaadveeb"/>
        <w:spacing w:before="0" w:after="0" w:afterAutospacing="0"/>
        <w:jc w:val="both"/>
        <w:divId w:val="1316184749"/>
      </w:pPr>
    </w:p>
    <w:p w14:paraId="50D6E39D" w14:textId="0B21B880" w:rsidR="00976487" w:rsidRPr="00687DE8" w:rsidRDefault="00976487" w:rsidP="00976487">
      <w:pPr>
        <w:pStyle w:val="Normaallaadveeb"/>
        <w:spacing w:before="0" w:after="0" w:afterAutospacing="0"/>
        <w:jc w:val="both"/>
        <w:divId w:val="1316184749"/>
      </w:pPr>
      <w:r w:rsidRPr="00687DE8">
        <w:t xml:space="preserve">(1) Käesolevas peatükis loetletud piirhindu rakendatakse </w:t>
      </w:r>
      <w:r w:rsidR="005023FD" w:rsidRPr="00687DE8">
        <w:t>Tervisekassa</w:t>
      </w:r>
      <w:r w:rsidRPr="00687DE8">
        <w:t xml:space="preserve"> poolt kindlustatud isikult tervishoiuteenuse osutamise eest tasu maksmise kohustuse ülevõtmisel ambulatoorses ja statsionaarses arstiabis.</w:t>
      </w:r>
    </w:p>
    <w:p w14:paraId="5EE6E24A" w14:textId="77777777" w:rsidR="00976487" w:rsidRPr="00687DE8" w:rsidRDefault="00976487" w:rsidP="00976487">
      <w:pPr>
        <w:pStyle w:val="Normaallaadveeb"/>
        <w:spacing w:before="0" w:after="0" w:afterAutospacing="0"/>
        <w:jc w:val="both"/>
        <w:divId w:val="1316184749"/>
      </w:pPr>
    </w:p>
    <w:p w14:paraId="5A840C12" w14:textId="5C684F6D" w:rsidR="00976487" w:rsidRPr="00687DE8" w:rsidRDefault="00976487" w:rsidP="00976487">
      <w:pPr>
        <w:pStyle w:val="Normaallaadveeb"/>
        <w:spacing w:before="0" w:after="0" w:afterAutospacing="0"/>
        <w:jc w:val="both"/>
        <w:divId w:val="1316184749"/>
      </w:pPr>
      <w:r w:rsidRPr="00687DE8">
        <w:lastRenderedPageBreak/>
        <w:t xml:space="preserve">(2) Käesolevas peatükis tärniga (*) tähistatud uuringute loetelu korral kehtib piirhind loetelus nimetatud iga analüüsi määramise kohta eraldi ja nende uuringute eest võtab </w:t>
      </w:r>
      <w:r w:rsidR="005023FD" w:rsidRPr="00687DE8">
        <w:t>Tervisekassa</w:t>
      </w:r>
      <w:r w:rsidRPr="00687DE8">
        <w:t xml:space="preserve"> tasu maksmise kohustuse üle vastavalt tellitud ja tehtud uuringute arvule.</w:t>
      </w:r>
    </w:p>
    <w:p w14:paraId="16CFEA8E" w14:textId="77777777" w:rsidR="00976487" w:rsidRPr="00687DE8" w:rsidRDefault="00976487" w:rsidP="00976487">
      <w:pPr>
        <w:pStyle w:val="Normaallaadveeb"/>
        <w:spacing w:before="0" w:after="0" w:afterAutospacing="0"/>
        <w:jc w:val="both"/>
        <w:divId w:val="1316184749"/>
      </w:pPr>
    </w:p>
    <w:p w14:paraId="4165FF29" w14:textId="77777777" w:rsidR="00976487" w:rsidRPr="00687DE8" w:rsidRDefault="00976487" w:rsidP="00976487">
      <w:pPr>
        <w:pStyle w:val="Normaallaadveeb"/>
        <w:spacing w:before="0" w:after="0" w:afterAutospacing="0"/>
        <w:jc w:val="both"/>
        <w:divId w:val="1316184749"/>
      </w:pPr>
      <w:r w:rsidRPr="00687DE8">
        <w:t>(3) Käesolevas peatükis loetletud laboriuuringute piirhind sisaldab analüüsiks uuringumaterjali võtmist verest ning selleks vajaminevate tarvikute maksumust.</w:t>
      </w:r>
    </w:p>
    <w:p w14:paraId="00FA9CDE" w14:textId="77777777" w:rsidR="00976487" w:rsidRPr="00687DE8" w:rsidRDefault="00976487" w:rsidP="00976487">
      <w:pPr>
        <w:pStyle w:val="Pealkiri3"/>
        <w:spacing w:before="0" w:after="0" w:afterAutospacing="0"/>
        <w:jc w:val="both"/>
        <w:divId w:val="1316184749"/>
        <w:rPr>
          <w:rStyle w:val="Tugev"/>
          <w:b/>
          <w:bCs/>
          <w:sz w:val="24"/>
          <w:szCs w:val="24"/>
        </w:rPr>
      </w:pPr>
    </w:p>
    <w:p w14:paraId="2960A360" w14:textId="77777777" w:rsidR="00976487" w:rsidRDefault="5C52CFD9" w:rsidP="5C52CFD9">
      <w:pPr>
        <w:pStyle w:val="Pealkiri3"/>
        <w:spacing w:before="0" w:after="0" w:afterAutospacing="0"/>
        <w:jc w:val="both"/>
        <w:divId w:val="1316184749"/>
        <w:rPr>
          <w:sz w:val="24"/>
          <w:szCs w:val="24"/>
        </w:rPr>
      </w:pPr>
      <w:r w:rsidRPr="00687DE8">
        <w:rPr>
          <w:rStyle w:val="Tugev"/>
          <w:b/>
          <w:bCs/>
          <w:sz w:val="24"/>
          <w:szCs w:val="24"/>
        </w:rPr>
        <w:t>§ 67.</w:t>
      </w:r>
      <w:r w:rsidRPr="00687DE8">
        <w:rPr>
          <w:sz w:val="24"/>
          <w:szCs w:val="24"/>
        </w:rPr>
        <w:t> Kliinilise keemia uuringute piirhinnad</w:t>
      </w:r>
    </w:p>
    <w:p w14:paraId="6823987B" w14:textId="77777777" w:rsidR="0084789F" w:rsidRDefault="0084789F" w:rsidP="00976487">
      <w:pPr>
        <w:pStyle w:val="Normaallaadveeb"/>
        <w:spacing w:before="0" w:after="0" w:afterAutospacing="0"/>
        <w:jc w:val="both"/>
        <w:divId w:val="1316184749"/>
      </w:pPr>
    </w:p>
    <w:p w14:paraId="7B687297" w14:textId="1D83E637" w:rsidR="00976487" w:rsidRPr="00687DE8" w:rsidRDefault="00976487" w:rsidP="00976487">
      <w:pPr>
        <w:pStyle w:val="Normaallaadveeb"/>
        <w:spacing w:before="0" w:after="0" w:afterAutospacing="0"/>
        <w:jc w:val="both"/>
        <w:divId w:val="1316184749"/>
      </w:pPr>
      <w:r w:rsidRPr="00687DE8">
        <w:t>(1) Kliinilise keemia uuringute piirhinnad on järgmised:</w:t>
      </w:r>
    </w:p>
    <w:p w14:paraId="7100F297" w14:textId="77777777" w:rsidR="00976487" w:rsidRPr="00687DE8" w:rsidRDefault="00976487" w:rsidP="00976487">
      <w:pPr>
        <w:pStyle w:val="Normaallaadveeb"/>
        <w:spacing w:before="0" w:after="0" w:afterAutospacing="0"/>
        <w:jc w:val="both"/>
        <w:divId w:val="1316184749"/>
      </w:pPr>
    </w:p>
    <w:tbl>
      <w:tblPr>
        <w:tblStyle w:val="Kontuurtabel"/>
        <w:tblW w:w="5000" w:type="pct"/>
        <w:tblInd w:w="-5" w:type="dxa"/>
        <w:tblLook w:val="04A0" w:firstRow="1" w:lastRow="0" w:firstColumn="1" w:lastColumn="0" w:noHBand="0" w:noVBand="1"/>
      </w:tblPr>
      <w:tblGrid>
        <w:gridCol w:w="4815"/>
        <w:gridCol w:w="1164"/>
        <w:gridCol w:w="3396"/>
      </w:tblGrid>
      <w:tr w:rsidR="00C530D1" w:rsidRPr="00687DE8" w14:paraId="5E179329" w14:textId="77777777" w:rsidTr="00D30B8D">
        <w:trPr>
          <w:divId w:val="1316184749"/>
        </w:trPr>
        <w:tc>
          <w:tcPr>
            <w:tcW w:w="4815" w:type="dxa"/>
            <w:hideMark/>
          </w:tcPr>
          <w:p w14:paraId="4C678A75" w14:textId="77777777" w:rsidR="00976487" w:rsidRPr="00C530D1" w:rsidRDefault="00976487" w:rsidP="00596C68">
            <w:pPr>
              <w:pStyle w:val="Normaallaadveeb"/>
              <w:spacing w:before="0" w:after="0" w:afterAutospacing="0"/>
              <w:jc w:val="center"/>
              <w:rPr>
                <w:b/>
                <w:bCs/>
              </w:rPr>
            </w:pPr>
            <w:r w:rsidRPr="00C530D1">
              <w:rPr>
                <w:b/>
                <w:bCs/>
              </w:rPr>
              <w:t>Uuringu nimetus</w:t>
            </w:r>
          </w:p>
        </w:tc>
        <w:tc>
          <w:tcPr>
            <w:tcW w:w="1164" w:type="dxa"/>
            <w:hideMark/>
          </w:tcPr>
          <w:p w14:paraId="3B37913B" w14:textId="77777777" w:rsidR="00976487" w:rsidRPr="00C530D1" w:rsidRDefault="00976487" w:rsidP="00596C68">
            <w:pPr>
              <w:pStyle w:val="Normaallaadveeb"/>
              <w:spacing w:before="0" w:after="0" w:afterAutospacing="0"/>
              <w:jc w:val="center"/>
              <w:rPr>
                <w:b/>
                <w:bCs/>
              </w:rPr>
            </w:pPr>
            <w:r w:rsidRPr="00C530D1">
              <w:rPr>
                <w:b/>
                <w:bCs/>
              </w:rPr>
              <w:t>Kood</w:t>
            </w:r>
          </w:p>
        </w:tc>
        <w:tc>
          <w:tcPr>
            <w:tcW w:w="3396" w:type="dxa"/>
            <w:hideMark/>
          </w:tcPr>
          <w:p w14:paraId="5DCB5F65" w14:textId="77777777" w:rsidR="00976487" w:rsidRPr="00C530D1" w:rsidRDefault="00976487" w:rsidP="00596C68">
            <w:pPr>
              <w:pStyle w:val="Normaallaadveeb"/>
              <w:tabs>
                <w:tab w:val="decimal" w:pos="635"/>
              </w:tabs>
              <w:spacing w:before="0" w:after="0" w:afterAutospacing="0"/>
              <w:jc w:val="center"/>
              <w:rPr>
                <w:b/>
                <w:bCs/>
              </w:rPr>
            </w:pPr>
            <w:r w:rsidRPr="00C530D1">
              <w:rPr>
                <w:b/>
                <w:bCs/>
              </w:rPr>
              <w:t>Piirhind</w:t>
            </w:r>
            <w:r w:rsidRPr="00C530D1">
              <w:rPr>
                <w:b/>
                <w:bCs/>
              </w:rPr>
              <w:br/>
              <w:t>eurodes</w:t>
            </w:r>
          </w:p>
        </w:tc>
      </w:tr>
      <w:tr w:rsidR="00C530D1" w:rsidRPr="00687DE8" w14:paraId="236F8F68" w14:textId="77777777" w:rsidTr="00D30B8D">
        <w:trPr>
          <w:divId w:val="1316184749"/>
          <w:trHeight w:val="300"/>
        </w:trPr>
        <w:tc>
          <w:tcPr>
            <w:tcW w:w="4815" w:type="dxa"/>
            <w:hideMark/>
          </w:tcPr>
          <w:p w14:paraId="49757432" w14:textId="77777777" w:rsidR="00B847AE" w:rsidRPr="00687DE8" w:rsidRDefault="00B847AE" w:rsidP="00596C68">
            <w:pPr>
              <w:pStyle w:val="Normaallaadveeb"/>
              <w:spacing w:before="0" w:after="0" w:afterAutospacing="0"/>
            </w:pPr>
            <w:r w:rsidRPr="00687DE8">
              <w:t>Albumiin, valk*</w:t>
            </w:r>
          </w:p>
        </w:tc>
        <w:tc>
          <w:tcPr>
            <w:tcW w:w="1164" w:type="dxa"/>
            <w:hideMark/>
          </w:tcPr>
          <w:p w14:paraId="39F77602" w14:textId="77777777" w:rsidR="00B847AE" w:rsidRPr="00687DE8" w:rsidRDefault="00B847AE" w:rsidP="00596C68">
            <w:pPr>
              <w:pStyle w:val="Normaallaadveeb"/>
              <w:spacing w:before="0" w:after="0" w:afterAutospacing="0"/>
              <w:jc w:val="center"/>
            </w:pPr>
            <w:r w:rsidRPr="00687DE8">
              <w:t>66100</w:t>
            </w:r>
          </w:p>
        </w:tc>
        <w:tc>
          <w:tcPr>
            <w:tcW w:w="3396" w:type="dxa"/>
            <w:tcBorders>
              <w:top w:val="single" w:sz="4" w:space="0" w:color="auto"/>
              <w:left w:val="single" w:sz="4" w:space="0" w:color="auto"/>
              <w:bottom w:val="single" w:sz="4" w:space="0" w:color="auto"/>
              <w:right w:val="single" w:sz="4" w:space="0" w:color="auto"/>
            </w:tcBorders>
            <w:vAlign w:val="center"/>
            <w:hideMark/>
          </w:tcPr>
          <w:p w14:paraId="0797F963" w14:textId="7C639332" w:rsidR="30E3133E" w:rsidRPr="00687DE8" w:rsidRDefault="00AF2B17">
            <w:pPr>
              <w:jc w:val="center"/>
              <w:rPr>
                <w:color w:val="000000" w:themeColor="text1"/>
                <w:szCs w:val="24"/>
              </w:rPr>
            </w:pPr>
            <w:r>
              <w:rPr>
                <w:color w:val="000000"/>
              </w:rPr>
              <w:t>2,29</w:t>
            </w:r>
          </w:p>
        </w:tc>
      </w:tr>
      <w:tr w:rsidR="00C530D1" w:rsidRPr="00687DE8" w14:paraId="2BC7E7FD" w14:textId="77777777" w:rsidTr="00D30B8D">
        <w:trPr>
          <w:divId w:val="1316184749"/>
          <w:trHeight w:val="300"/>
        </w:trPr>
        <w:tc>
          <w:tcPr>
            <w:tcW w:w="4815" w:type="dxa"/>
            <w:hideMark/>
          </w:tcPr>
          <w:p w14:paraId="09DD5F67" w14:textId="77777777" w:rsidR="00B847AE" w:rsidRPr="00687DE8" w:rsidRDefault="00B847AE" w:rsidP="00596C68">
            <w:pPr>
              <w:pStyle w:val="Normaallaadveeb"/>
              <w:spacing w:before="0" w:after="0" w:afterAutospacing="0"/>
            </w:pPr>
            <w:r w:rsidRPr="00687DE8">
              <w:t>Glükoos</w:t>
            </w:r>
          </w:p>
        </w:tc>
        <w:tc>
          <w:tcPr>
            <w:tcW w:w="1164" w:type="dxa"/>
            <w:hideMark/>
          </w:tcPr>
          <w:p w14:paraId="0CA1A4FF" w14:textId="77777777" w:rsidR="00B847AE" w:rsidRPr="00687DE8" w:rsidRDefault="00B847AE" w:rsidP="00596C68">
            <w:pPr>
              <w:pStyle w:val="Normaallaadveeb"/>
              <w:spacing w:before="0" w:after="0" w:afterAutospacing="0"/>
              <w:jc w:val="center"/>
            </w:pPr>
            <w:r w:rsidRPr="00687DE8">
              <w:t>66101</w:t>
            </w:r>
          </w:p>
        </w:tc>
        <w:tc>
          <w:tcPr>
            <w:tcW w:w="3396" w:type="dxa"/>
            <w:tcBorders>
              <w:top w:val="nil"/>
              <w:left w:val="single" w:sz="4" w:space="0" w:color="auto"/>
              <w:bottom w:val="single" w:sz="4" w:space="0" w:color="auto"/>
              <w:right w:val="single" w:sz="4" w:space="0" w:color="auto"/>
            </w:tcBorders>
            <w:vAlign w:val="center"/>
            <w:hideMark/>
          </w:tcPr>
          <w:p w14:paraId="6FC3C25B" w14:textId="1312DC4E" w:rsidR="30E3133E" w:rsidRPr="00687DE8" w:rsidRDefault="00AF2B17">
            <w:pPr>
              <w:jc w:val="center"/>
              <w:rPr>
                <w:color w:val="000000" w:themeColor="text1"/>
                <w:szCs w:val="24"/>
              </w:rPr>
            </w:pPr>
            <w:r>
              <w:rPr>
                <w:color w:val="000000"/>
              </w:rPr>
              <w:t>2,29</w:t>
            </w:r>
          </w:p>
        </w:tc>
      </w:tr>
      <w:tr w:rsidR="00C530D1" w:rsidRPr="00687DE8" w14:paraId="256649C2" w14:textId="77777777" w:rsidTr="00D30B8D">
        <w:trPr>
          <w:divId w:val="1316184749"/>
          <w:trHeight w:val="300"/>
        </w:trPr>
        <w:tc>
          <w:tcPr>
            <w:tcW w:w="4815" w:type="dxa"/>
            <w:hideMark/>
          </w:tcPr>
          <w:p w14:paraId="2F1B9EA4" w14:textId="77777777" w:rsidR="00B847AE" w:rsidRPr="00687DE8" w:rsidRDefault="00B847AE" w:rsidP="00596C68">
            <w:pPr>
              <w:pStyle w:val="Normaallaadveeb"/>
              <w:spacing w:before="0" w:after="0" w:afterAutospacing="0"/>
            </w:pPr>
            <w:r w:rsidRPr="00687DE8">
              <w:t>Kreatiniin, uurea, kusihape*</w:t>
            </w:r>
          </w:p>
        </w:tc>
        <w:tc>
          <w:tcPr>
            <w:tcW w:w="1164" w:type="dxa"/>
            <w:hideMark/>
          </w:tcPr>
          <w:p w14:paraId="51A1C93A" w14:textId="77777777" w:rsidR="00B847AE" w:rsidRPr="00687DE8" w:rsidRDefault="00B847AE" w:rsidP="00596C68">
            <w:pPr>
              <w:pStyle w:val="Normaallaadveeb"/>
              <w:spacing w:before="0" w:after="0" w:afterAutospacing="0"/>
              <w:jc w:val="center"/>
            </w:pPr>
            <w:r w:rsidRPr="00687DE8">
              <w:t>66102</w:t>
            </w:r>
          </w:p>
        </w:tc>
        <w:tc>
          <w:tcPr>
            <w:tcW w:w="3396" w:type="dxa"/>
            <w:tcBorders>
              <w:top w:val="nil"/>
              <w:left w:val="single" w:sz="4" w:space="0" w:color="auto"/>
              <w:bottom w:val="single" w:sz="4" w:space="0" w:color="auto"/>
              <w:right w:val="single" w:sz="4" w:space="0" w:color="auto"/>
            </w:tcBorders>
            <w:vAlign w:val="center"/>
            <w:hideMark/>
          </w:tcPr>
          <w:p w14:paraId="2F399F81" w14:textId="559A489E" w:rsidR="30E3133E" w:rsidRPr="00687DE8" w:rsidRDefault="00AF2B17">
            <w:pPr>
              <w:jc w:val="center"/>
              <w:rPr>
                <w:color w:val="000000" w:themeColor="text1"/>
                <w:szCs w:val="24"/>
              </w:rPr>
            </w:pPr>
            <w:r>
              <w:rPr>
                <w:color w:val="000000"/>
              </w:rPr>
              <w:t>2,26</w:t>
            </w:r>
          </w:p>
        </w:tc>
      </w:tr>
      <w:tr w:rsidR="00C530D1" w:rsidRPr="00687DE8" w14:paraId="57F888B0" w14:textId="77777777" w:rsidTr="00D30B8D">
        <w:trPr>
          <w:divId w:val="1316184749"/>
          <w:trHeight w:val="300"/>
        </w:trPr>
        <w:tc>
          <w:tcPr>
            <w:tcW w:w="4815" w:type="dxa"/>
            <w:hideMark/>
          </w:tcPr>
          <w:p w14:paraId="6028591D" w14:textId="77777777" w:rsidR="00B847AE" w:rsidRPr="00687DE8" w:rsidRDefault="00B847AE" w:rsidP="00596C68">
            <w:pPr>
              <w:pStyle w:val="Normaallaadveeb"/>
              <w:spacing w:before="0" w:after="0" w:afterAutospacing="0"/>
            </w:pPr>
            <w:r w:rsidRPr="00687DE8">
              <w:t>Bilirubiin, konjugeeritud bilirubiin*</w:t>
            </w:r>
          </w:p>
        </w:tc>
        <w:tc>
          <w:tcPr>
            <w:tcW w:w="1164" w:type="dxa"/>
            <w:hideMark/>
          </w:tcPr>
          <w:p w14:paraId="06EF8BE0" w14:textId="77777777" w:rsidR="00B847AE" w:rsidRPr="00687DE8" w:rsidRDefault="00B847AE" w:rsidP="00596C68">
            <w:pPr>
              <w:pStyle w:val="Normaallaadveeb"/>
              <w:spacing w:before="0" w:after="0" w:afterAutospacing="0"/>
              <w:jc w:val="center"/>
            </w:pPr>
            <w:r w:rsidRPr="00687DE8">
              <w:t>66103</w:t>
            </w:r>
          </w:p>
        </w:tc>
        <w:tc>
          <w:tcPr>
            <w:tcW w:w="3396" w:type="dxa"/>
            <w:tcBorders>
              <w:top w:val="nil"/>
              <w:left w:val="single" w:sz="4" w:space="0" w:color="auto"/>
              <w:bottom w:val="single" w:sz="4" w:space="0" w:color="auto"/>
              <w:right w:val="single" w:sz="4" w:space="0" w:color="auto"/>
            </w:tcBorders>
            <w:vAlign w:val="center"/>
            <w:hideMark/>
          </w:tcPr>
          <w:p w14:paraId="35EEE113" w14:textId="1AE0BCA7" w:rsidR="30E3133E" w:rsidRPr="00687DE8" w:rsidRDefault="00AF2B17">
            <w:pPr>
              <w:jc w:val="center"/>
              <w:rPr>
                <w:color w:val="000000" w:themeColor="text1"/>
                <w:szCs w:val="24"/>
              </w:rPr>
            </w:pPr>
            <w:r>
              <w:rPr>
                <w:color w:val="000000"/>
              </w:rPr>
              <w:t>2,29</w:t>
            </w:r>
          </w:p>
        </w:tc>
      </w:tr>
      <w:tr w:rsidR="00C530D1" w:rsidRPr="00687DE8" w14:paraId="24F529C3" w14:textId="77777777" w:rsidTr="00D30B8D">
        <w:trPr>
          <w:divId w:val="1316184749"/>
          <w:trHeight w:val="300"/>
        </w:trPr>
        <w:tc>
          <w:tcPr>
            <w:tcW w:w="4815" w:type="dxa"/>
            <w:hideMark/>
          </w:tcPr>
          <w:p w14:paraId="74A0ACA3" w14:textId="77777777" w:rsidR="00B847AE" w:rsidRPr="00687DE8" w:rsidRDefault="00B847AE" w:rsidP="00596C68">
            <w:pPr>
              <w:pStyle w:val="Normaallaadveeb"/>
              <w:spacing w:before="0" w:after="0" w:afterAutospacing="0"/>
            </w:pPr>
            <w:r w:rsidRPr="00687DE8">
              <w:t>Kolesterool, triglütseriidid*</w:t>
            </w:r>
          </w:p>
        </w:tc>
        <w:tc>
          <w:tcPr>
            <w:tcW w:w="1164" w:type="dxa"/>
            <w:hideMark/>
          </w:tcPr>
          <w:p w14:paraId="530BEE36" w14:textId="77777777" w:rsidR="00B847AE" w:rsidRPr="00687DE8" w:rsidRDefault="00B847AE" w:rsidP="00596C68">
            <w:pPr>
              <w:pStyle w:val="Normaallaadveeb"/>
              <w:spacing w:before="0" w:after="0" w:afterAutospacing="0"/>
              <w:jc w:val="center"/>
            </w:pPr>
            <w:r w:rsidRPr="00687DE8">
              <w:t>66104</w:t>
            </w:r>
          </w:p>
        </w:tc>
        <w:tc>
          <w:tcPr>
            <w:tcW w:w="3396" w:type="dxa"/>
            <w:tcBorders>
              <w:top w:val="nil"/>
              <w:left w:val="single" w:sz="4" w:space="0" w:color="auto"/>
              <w:bottom w:val="single" w:sz="4" w:space="0" w:color="auto"/>
              <w:right w:val="single" w:sz="4" w:space="0" w:color="auto"/>
            </w:tcBorders>
            <w:vAlign w:val="center"/>
            <w:hideMark/>
          </w:tcPr>
          <w:p w14:paraId="7A2C266E" w14:textId="3AB211AF" w:rsidR="30E3133E" w:rsidRPr="00687DE8" w:rsidRDefault="00AF2B17">
            <w:pPr>
              <w:jc w:val="center"/>
              <w:rPr>
                <w:color w:val="000000" w:themeColor="text1"/>
                <w:szCs w:val="24"/>
              </w:rPr>
            </w:pPr>
            <w:r>
              <w:rPr>
                <w:color w:val="000000"/>
              </w:rPr>
              <w:t>2,30</w:t>
            </w:r>
          </w:p>
        </w:tc>
      </w:tr>
      <w:tr w:rsidR="00C530D1" w:rsidRPr="00687DE8" w14:paraId="0BD1107D" w14:textId="77777777" w:rsidTr="00D30B8D">
        <w:trPr>
          <w:divId w:val="1316184749"/>
          <w:trHeight w:val="300"/>
        </w:trPr>
        <w:tc>
          <w:tcPr>
            <w:tcW w:w="4815" w:type="dxa"/>
            <w:hideMark/>
          </w:tcPr>
          <w:p w14:paraId="6C4FD98E" w14:textId="77777777" w:rsidR="00B847AE" w:rsidRPr="00687DE8" w:rsidRDefault="00B847AE" w:rsidP="00596C68">
            <w:pPr>
              <w:pStyle w:val="Normaallaadveeb"/>
              <w:spacing w:before="0" w:after="0" w:afterAutospacing="0"/>
            </w:pPr>
            <w:r w:rsidRPr="00687DE8">
              <w:t>Kolesterooli fraktsioonid: HDL, LDL*</w:t>
            </w:r>
          </w:p>
        </w:tc>
        <w:tc>
          <w:tcPr>
            <w:tcW w:w="1164" w:type="dxa"/>
            <w:hideMark/>
          </w:tcPr>
          <w:p w14:paraId="4E5A13DF" w14:textId="77777777" w:rsidR="00B847AE" w:rsidRPr="00687DE8" w:rsidRDefault="00B847AE" w:rsidP="00596C68">
            <w:pPr>
              <w:pStyle w:val="Normaallaadveeb"/>
              <w:spacing w:before="0" w:after="0" w:afterAutospacing="0"/>
              <w:jc w:val="center"/>
            </w:pPr>
            <w:r w:rsidRPr="00687DE8">
              <w:t>66105</w:t>
            </w:r>
          </w:p>
        </w:tc>
        <w:tc>
          <w:tcPr>
            <w:tcW w:w="3396" w:type="dxa"/>
            <w:tcBorders>
              <w:top w:val="nil"/>
              <w:left w:val="single" w:sz="4" w:space="0" w:color="auto"/>
              <w:bottom w:val="single" w:sz="4" w:space="0" w:color="auto"/>
              <w:right w:val="single" w:sz="4" w:space="0" w:color="auto"/>
            </w:tcBorders>
            <w:vAlign w:val="center"/>
            <w:hideMark/>
          </w:tcPr>
          <w:p w14:paraId="474E5879" w14:textId="5C5D3732" w:rsidR="30E3133E" w:rsidRPr="00687DE8" w:rsidRDefault="00AF2B17">
            <w:pPr>
              <w:jc w:val="center"/>
              <w:rPr>
                <w:color w:val="000000" w:themeColor="text1"/>
                <w:szCs w:val="24"/>
              </w:rPr>
            </w:pPr>
            <w:r>
              <w:rPr>
                <w:color w:val="000000"/>
              </w:rPr>
              <w:t>2,86</w:t>
            </w:r>
          </w:p>
        </w:tc>
      </w:tr>
      <w:tr w:rsidR="00C530D1" w:rsidRPr="00687DE8" w14:paraId="5ABC00A5" w14:textId="77777777" w:rsidTr="00D30B8D">
        <w:trPr>
          <w:divId w:val="1316184749"/>
          <w:trHeight w:val="300"/>
        </w:trPr>
        <w:tc>
          <w:tcPr>
            <w:tcW w:w="4815" w:type="dxa"/>
            <w:hideMark/>
          </w:tcPr>
          <w:p w14:paraId="6E725390" w14:textId="77777777" w:rsidR="00B847AE" w:rsidRPr="00687DE8" w:rsidRDefault="00B847AE" w:rsidP="00596C68">
            <w:pPr>
              <w:pStyle w:val="Normaallaadveeb"/>
              <w:spacing w:before="0" w:after="0" w:afterAutospacing="0"/>
            </w:pPr>
            <w:r w:rsidRPr="00687DE8">
              <w:t>Ensüümid: ALP, ASAT, ALAT, LDH, CK, GGT, CK-Mba, alfa-amülaas*</w:t>
            </w:r>
          </w:p>
        </w:tc>
        <w:tc>
          <w:tcPr>
            <w:tcW w:w="1164" w:type="dxa"/>
          </w:tcPr>
          <w:p w14:paraId="32FCB872" w14:textId="77777777" w:rsidR="00B847AE" w:rsidRPr="00687DE8" w:rsidRDefault="00B847AE" w:rsidP="00596C68">
            <w:pPr>
              <w:pStyle w:val="Normaallaadveeb"/>
              <w:spacing w:before="0" w:after="0" w:afterAutospacing="0"/>
              <w:jc w:val="center"/>
            </w:pPr>
          </w:p>
          <w:p w14:paraId="243CAE14" w14:textId="77777777" w:rsidR="00B847AE" w:rsidRPr="00687DE8" w:rsidRDefault="00B847AE" w:rsidP="00596C68">
            <w:pPr>
              <w:pStyle w:val="Normaallaadveeb"/>
              <w:spacing w:before="0" w:after="0" w:afterAutospacing="0"/>
              <w:jc w:val="center"/>
            </w:pPr>
            <w:r w:rsidRPr="00687DE8">
              <w:t>66106</w:t>
            </w:r>
          </w:p>
        </w:tc>
        <w:tc>
          <w:tcPr>
            <w:tcW w:w="3396" w:type="dxa"/>
            <w:tcBorders>
              <w:top w:val="nil"/>
              <w:left w:val="single" w:sz="4" w:space="0" w:color="auto"/>
              <w:bottom w:val="single" w:sz="4" w:space="0" w:color="auto"/>
              <w:right w:val="single" w:sz="4" w:space="0" w:color="auto"/>
            </w:tcBorders>
            <w:vAlign w:val="center"/>
            <w:hideMark/>
          </w:tcPr>
          <w:p w14:paraId="7D6AFDDB" w14:textId="7F1B6415" w:rsidR="30E3133E" w:rsidRPr="00687DE8" w:rsidRDefault="00AF2B17">
            <w:pPr>
              <w:jc w:val="center"/>
              <w:rPr>
                <w:color w:val="000000" w:themeColor="text1"/>
                <w:szCs w:val="24"/>
              </w:rPr>
            </w:pPr>
            <w:r>
              <w:rPr>
                <w:color w:val="000000"/>
              </w:rPr>
              <w:t>2,34</w:t>
            </w:r>
          </w:p>
        </w:tc>
      </w:tr>
      <w:tr w:rsidR="00C530D1" w:rsidRPr="00687DE8" w14:paraId="5D32F991" w14:textId="77777777" w:rsidTr="00D30B8D">
        <w:trPr>
          <w:divId w:val="1316184749"/>
          <w:trHeight w:val="300"/>
        </w:trPr>
        <w:tc>
          <w:tcPr>
            <w:tcW w:w="4815" w:type="dxa"/>
            <w:hideMark/>
          </w:tcPr>
          <w:p w14:paraId="7971A3BD" w14:textId="77777777" w:rsidR="00B847AE" w:rsidRPr="00687DE8" w:rsidRDefault="00B847AE" w:rsidP="00596C68">
            <w:pPr>
              <w:pStyle w:val="Normaallaadveeb"/>
              <w:spacing w:before="0" w:after="0" w:afterAutospacing="0"/>
            </w:pPr>
            <w:r w:rsidRPr="00687DE8">
              <w:t>Naatrium, kaalium, kaltsium*</w:t>
            </w:r>
          </w:p>
        </w:tc>
        <w:tc>
          <w:tcPr>
            <w:tcW w:w="1164" w:type="dxa"/>
            <w:hideMark/>
          </w:tcPr>
          <w:p w14:paraId="17A375C9" w14:textId="77777777" w:rsidR="00B847AE" w:rsidRPr="00687DE8" w:rsidRDefault="00B847AE" w:rsidP="00596C68">
            <w:pPr>
              <w:pStyle w:val="Normaallaadveeb"/>
              <w:spacing w:before="0" w:after="0" w:afterAutospacing="0"/>
              <w:jc w:val="center"/>
            </w:pPr>
            <w:r w:rsidRPr="00687DE8">
              <w:t>66107</w:t>
            </w:r>
          </w:p>
        </w:tc>
        <w:tc>
          <w:tcPr>
            <w:tcW w:w="3396" w:type="dxa"/>
            <w:tcBorders>
              <w:top w:val="nil"/>
              <w:left w:val="single" w:sz="4" w:space="0" w:color="auto"/>
              <w:bottom w:val="single" w:sz="4" w:space="0" w:color="auto"/>
              <w:right w:val="single" w:sz="4" w:space="0" w:color="auto"/>
            </w:tcBorders>
            <w:vAlign w:val="center"/>
            <w:hideMark/>
          </w:tcPr>
          <w:p w14:paraId="68A5CDA0" w14:textId="58DB818C" w:rsidR="30E3133E" w:rsidRPr="00687DE8" w:rsidRDefault="00AF2B17">
            <w:pPr>
              <w:jc w:val="center"/>
              <w:rPr>
                <w:color w:val="000000" w:themeColor="text1"/>
                <w:szCs w:val="24"/>
              </w:rPr>
            </w:pPr>
            <w:r>
              <w:rPr>
                <w:color w:val="000000"/>
              </w:rPr>
              <w:t>2,34</w:t>
            </w:r>
          </w:p>
        </w:tc>
      </w:tr>
      <w:tr w:rsidR="00C530D1" w:rsidRPr="00687DE8" w14:paraId="0BE5C8C0" w14:textId="77777777" w:rsidTr="00D30B8D">
        <w:trPr>
          <w:divId w:val="1316184749"/>
          <w:trHeight w:val="300"/>
        </w:trPr>
        <w:tc>
          <w:tcPr>
            <w:tcW w:w="4815" w:type="dxa"/>
            <w:hideMark/>
          </w:tcPr>
          <w:p w14:paraId="079D089F" w14:textId="77777777" w:rsidR="00B847AE" w:rsidRPr="00687DE8" w:rsidRDefault="00B847AE" w:rsidP="00596C68">
            <w:pPr>
              <w:pStyle w:val="Normaallaadveeb"/>
              <w:spacing w:before="0" w:after="0" w:afterAutospacing="0"/>
            </w:pPr>
            <w:r w:rsidRPr="00687DE8">
              <w:t>Kloriid, liitium, laktaat, ammoonium*</w:t>
            </w:r>
          </w:p>
        </w:tc>
        <w:tc>
          <w:tcPr>
            <w:tcW w:w="1164" w:type="dxa"/>
            <w:hideMark/>
          </w:tcPr>
          <w:p w14:paraId="2E60602E" w14:textId="77777777" w:rsidR="00B847AE" w:rsidRPr="00687DE8" w:rsidRDefault="00B847AE" w:rsidP="00596C68">
            <w:pPr>
              <w:pStyle w:val="Normaallaadveeb"/>
              <w:spacing w:before="0" w:after="0" w:afterAutospacing="0"/>
              <w:jc w:val="center"/>
            </w:pPr>
            <w:r w:rsidRPr="00687DE8">
              <w:t>66108</w:t>
            </w:r>
          </w:p>
        </w:tc>
        <w:tc>
          <w:tcPr>
            <w:tcW w:w="3396" w:type="dxa"/>
            <w:tcBorders>
              <w:top w:val="nil"/>
              <w:left w:val="single" w:sz="4" w:space="0" w:color="auto"/>
              <w:bottom w:val="single" w:sz="4" w:space="0" w:color="auto"/>
              <w:right w:val="single" w:sz="4" w:space="0" w:color="auto"/>
            </w:tcBorders>
            <w:vAlign w:val="center"/>
            <w:hideMark/>
          </w:tcPr>
          <w:p w14:paraId="6D48E1B3" w14:textId="7805C4E0" w:rsidR="30E3133E" w:rsidRPr="00687DE8" w:rsidRDefault="00AF2B17">
            <w:pPr>
              <w:jc w:val="center"/>
              <w:rPr>
                <w:color w:val="000000" w:themeColor="text1"/>
                <w:szCs w:val="24"/>
              </w:rPr>
            </w:pPr>
            <w:r>
              <w:rPr>
                <w:color w:val="000000"/>
              </w:rPr>
              <w:t>5,23</w:t>
            </w:r>
          </w:p>
        </w:tc>
      </w:tr>
      <w:tr w:rsidR="00C530D1" w:rsidRPr="00687DE8" w14:paraId="51059628" w14:textId="77777777" w:rsidTr="00D30B8D">
        <w:trPr>
          <w:divId w:val="1316184749"/>
          <w:trHeight w:val="300"/>
        </w:trPr>
        <w:tc>
          <w:tcPr>
            <w:tcW w:w="4815" w:type="dxa"/>
            <w:hideMark/>
          </w:tcPr>
          <w:p w14:paraId="0953170A" w14:textId="77777777" w:rsidR="00B847AE" w:rsidRPr="00687DE8" w:rsidRDefault="00B847AE" w:rsidP="00596C68">
            <w:pPr>
              <w:pStyle w:val="Normaallaadveeb"/>
              <w:spacing w:before="0" w:after="0" w:afterAutospacing="0"/>
            </w:pPr>
            <w:r w:rsidRPr="00687DE8">
              <w:t>Raud, magneesium, fosfaat*</w:t>
            </w:r>
          </w:p>
        </w:tc>
        <w:tc>
          <w:tcPr>
            <w:tcW w:w="1164" w:type="dxa"/>
            <w:hideMark/>
          </w:tcPr>
          <w:p w14:paraId="53A79154" w14:textId="77777777" w:rsidR="00B847AE" w:rsidRPr="00687DE8" w:rsidRDefault="00B847AE" w:rsidP="00596C68">
            <w:pPr>
              <w:pStyle w:val="Normaallaadveeb"/>
              <w:spacing w:before="0" w:after="0" w:afterAutospacing="0"/>
              <w:jc w:val="center"/>
            </w:pPr>
            <w:r w:rsidRPr="00687DE8">
              <w:t>66109</w:t>
            </w:r>
          </w:p>
        </w:tc>
        <w:tc>
          <w:tcPr>
            <w:tcW w:w="3396" w:type="dxa"/>
            <w:tcBorders>
              <w:top w:val="nil"/>
              <w:left w:val="single" w:sz="4" w:space="0" w:color="auto"/>
              <w:bottom w:val="single" w:sz="4" w:space="0" w:color="auto"/>
              <w:right w:val="single" w:sz="4" w:space="0" w:color="auto"/>
            </w:tcBorders>
            <w:vAlign w:val="center"/>
            <w:hideMark/>
          </w:tcPr>
          <w:p w14:paraId="4405D3CD" w14:textId="105ED098" w:rsidR="30E3133E" w:rsidRPr="00687DE8" w:rsidRDefault="00AF2B17">
            <w:pPr>
              <w:jc w:val="center"/>
              <w:rPr>
                <w:color w:val="000000" w:themeColor="text1"/>
                <w:szCs w:val="24"/>
              </w:rPr>
            </w:pPr>
            <w:r>
              <w:rPr>
                <w:color w:val="000000"/>
              </w:rPr>
              <w:t>2,47</w:t>
            </w:r>
          </w:p>
        </w:tc>
      </w:tr>
      <w:tr w:rsidR="00C530D1" w:rsidRPr="00687DE8" w14:paraId="4BAEEF9F" w14:textId="77777777" w:rsidTr="00D30B8D">
        <w:trPr>
          <w:divId w:val="1316184749"/>
          <w:trHeight w:val="300"/>
        </w:trPr>
        <w:tc>
          <w:tcPr>
            <w:tcW w:w="4815" w:type="dxa"/>
            <w:hideMark/>
          </w:tcPr>
          <w:p w14:paraId="5E5E5ADD" w14:textId="77777777" w:rsidR="00B847AE" w:rsidRPr="00687DE8" w:rsidRDefault="00B847AE" w:rsidP="00596C68">
            <w:pPr>
              <w:pStyle w:val="Normaallaadveeb"/>
              <w:spacing w:before="0" w:after="0" w:afterAutospacing="0"/>
            </w:pPr>
            <w:r w:rsidRPr="00687DE8">
              <w:t>Lipaas, pankrease amülaas*</w:t>
            </w:r>
          </w:p>
        </w:tc>
        <w:tc>
          <w:tcPr>
            <w:tcW w:w="1164" w:type="dxa"/>
            <w:hideMark/>
          </w:tcPr>
          <w:p w14:paraId="64D0C46C" w14:textId="77777777" w:rsidR="00B847AE" w:rsidRPr="00687DE8" w:rsidRDefault="00B847AE" w:rsidP="00596C68">
            <w:pPr>
              <w:pStyle w:val="Normaallaadveeb"/>
              <w:spacing w:before="0" w:after="0" w:afterAutospacing="0"/>
              <w:jc w:val="center"/>
            </w:pPr>
            <w:r w:rsidRPr="00687DE8">
              <w:t>66110</w:t>
            </w:r>
          </w:p>
        </w:tc>
        <w:tc>
          <w:tcPr>
            <w:tcW w:w="3396" w:type="dxa"/>
            <w:tcBorders>
              <w:top w:val="nil"/>
              <w:left w:val="single" w:sz="4" w:space="0" w:color="auto"/>
              <w:bottom w:val="single" w:sz="4" w:space="0" w:color="auto"/>
              <w:right w:val="single" w:sz="4" w:space="0" w:color="auto"/>
            </w:tcBorders>
            <w:vAlign w:val="center"/>
            <w:hideMark/>
          </w:tcPr>
          <w:p w14:paraId="5ADF7842" w14:textId="20751D94" w:rsidR="30E3133E" w:rsidRPr="00687DE8" w:rsidRDefault="00AF2B17">
            <w:pPr>
              <w:jc w:val="center"/>
              <w:rPr>
                <w:color w:val="000000" w:themeColor="text1"/>
                <w:szCs w:val="24"/>
              </w:rPr>
            </w:pPr>
            <w:r>
              <w:rPr>
                <w:color w:val="000000"/>
              </w:rPr>
              <w:t>4,03</w:t>
            </w:r>
          </w:p>
        </w:tc>
      </w:tr>
      <w:tr w:rsidR="00C530D1" w:rsidRPr="00687DE8" w14:paraId="32811B96" w14:textId="77777777" w:rsidTr="00D30B8D">
        <w:trPr>
          <w:divId w:val="1316184749"/>
          <w:trHeight w:val="300"/>
        </w:trPr>
        <w:tc>
          <w:tcPr>
            <w:tcW w:w="4815" w:type="dxa"/>
            <w:hideMark/>
          </w:tcPr>
          <w:p w14:paraId="112B8566" w14:textId="77777777" w:rsidR="00B847AE" w:rsidRPr="00687DE8" w:rsidRDefault="00B847AE" w:rsidP="00596C68">
            <w:pPr>
              <w:pStyle w:val="Normaallaadveeb"/>
              <w:spacing w:before="0" w:after="0" w:afterAutospacing="0"/>
            </w:pPr>
            <w:r w:rsidRPr="00687DE8">
              <w:t>Antistreptolüsiin-O, reumatoidfaktor*</w:t>
            </w:r>
          </w:p>
        </w:tc>
        <w:tc>
          <w:tcPr>
            <w:tcW w:w="1164" w:type="dxa"/>
            <w:hideMark/>
          </w:tcPr>
          <w:p w14:paraId="4DA95D57" w14:textId="77777777" w:rsidR="00B847AE" w:rsidRPr="00687DE8" w:rsidRDefault="00B847AE" w:rsidP="00596C68">
            <w:pPr>
              <w:pStyle w:val="Normaallaadveeb"/>
              <w:spacing w:before="0" w:after="0" w:afterAutospacing="0"/>
              <w:jc w:val="center"/>
            </w:pPr>
            <w:r w:rsidRPr="00687DE8">
              <w:t>66111</w:t>
            </w:r>
          </w:p>
        </w:tc>
        <w:tc>
          <w:tcPr>
            <w:tcW w:w="3396" w:type="dxa"/>
            <w:tcBorders>
              <w:top w:val="nil"/>
              <w:left w:val="single" w:sz="4" w:space="0" w:color="auto"/>
              <w:bottom w:val="single" w:sz="4" w:space="0" w:color="auto"/>
              <w:right w:val="single" w:sz="4" w:space="0" w:color="auto"/>
            </w:tcBorders>
            <w:vAlign w:val="center"/>
            <w:hideMark/>
          </w:tcPr>
          <w:p w14:paraId="32C4792B" w14:textId="47FC7FBF" w:rsidR="30E3133E" w:rsidRPr="00687DE8" w:rsidRDefault="00AF2B17">
            <w:pPr>
              <w:jc w:val="center"/>
              <w:rPr>
                <w:color w:val="000000" w:themeColor="text1"/>
                <w:szCs w:val="24"/>
              </w:rPr>
            </w:pPr>
            <w:r>
              <w:rPr>
                <w:color w:val="000000"/>
              </w:rPr>
              <w:t>3,22</w:t>
            </w:r>
          </w:p>
        </w:tc>
      </w:tr>
      <w:tr w:rsidR="00C530D1" w:rsidRPr="00687DE8" w14:paraId="6A1C7B1D" w14:textId="77777777" w:rsidTr="00D30B8D">
        <w:trPr>
          <w:divId w:val="1316184749"/>
          <w:trHeight w:val="300"/>
        </w:trPr>
        <w:tc>
          <w:tcPr>
            <w:tcW w:w="4815" w:type="dxa"/>
            <w:hideMark/>
          </w:tcPr>
          <w:p w14:paraId="1E0C1A0B" w14:textId="77777777" w:rsidR="00B847AE" w:rsidRPr="00687DE8" w:rsidRDefault="00B847AE" w:rsidP="00596C68">
            <w:pPr>
              <w:pStyle w:val="Normaallaadveeb"/>
              <w:spacing w:before="0" w:after="0" w:afterAutospacing="0"/>
            </w:pPr>
            <w:r w:rsidRPr="00687DE8">
              <w:t>C-reaktiivne valk</w:t>
            </w:r>
          </w:p>
        </w:tc>
        <w:tc>
          <w:tcPr>
            <w:tcW w:w="1164" w:type="dxa"/>
            <w:hideMark/>
          </w:tcPr>
          <w:p w14:paraId="514FD596" w14:textId="77777777" w:rsidR="00B847AE" w:rsidRPr="00687DE8" w:rsidRDefault="00B847AE" w:rsidP="00596C68">
            <w:pPr>
              <w:pStyle w:val="Normaallaadveeb"/>
              <w:spacing w:before="0" w:after="0" w:afterAutospacing="0"/>
              <w:jc w:val="center"/>
            </w:pPr>
            <w:r w:rsidRPr="00687DE8">
              <w:t>66112</w:t>
            </w:r>
          </w:p>
        </w:tc>
        <w:tc>
          <w:tcPr>
            <w:tcW w:w="3396" w:type="dxa"/>
            <w:tcBorders>
              <w:top w:val="nil"/>
              <w:left w:val="single" w:sz="4" w:space="0" w:color="auto"/>
              <w:bottom w:val="single" w:sz="4" w:space="0" w:color="auto"/>
              <w:right w:val="single" w:sz="4" w:space="0" w:color="auto"/>
            </w:tcBorders>
            <w:vAlign w:val="center"/>
            <w:hideMark/>
          </w:tcPr>
          <w:p w14:paraId="02553BD5" w14:textId="3CBD9914" w:rsidR="30E3133E" w:rsidRPr="00687DE8" w:rsidRDefault="00AF2B17">
            <w:pPr>
              <w:jc w:val="center"/>
              <w:rPr>
                <w:color w:val="000000" w:themeColor="text1"/>
                <w:szCs w:val="24"/>
              </w:rPr>
            </w:pPr>
            <w:r>
              <w:rPr>
                <w:color w:val="000000"/>
              </w:rPr>
              <w:t>2,86</w:t>
            </w:r>
          </w:p>
        </w:tc>
      </w:tr>
      <w:tr w:rsidR="00C530D1" w:rsidRPr="00687DE8" w14:paraId="7BBE8BE9" w14:textId="77777777" w:rsidTr="00D30B8D">
        <w:trPr>
          <w:divId w:val="1316184749"/>
          <w:trHeight w:val="300"/>
        </w:trPr>
        <w:tc>
          <w:tcPr>
            <w:tcW w:w="4815" w:type="dxa"/>
            <w:hideMark/>
          </w:tcPr>
          <w:p w14:paraId="61AC0856" w14:textId="77777777" w:rsidR="00B847AE" w:rsidRPr="00687DE8" w:rsidRDefault="00B847AE" w:rsidP="00596C68">
            <w:pPr>
              <w:pStyle w:val="Normaallaadveeb"/>
              <w:spacing w:before="0" w:after="0" w:afterAutospacing="0"/>
            </w:pPr>
            <w:r w:rsidRPr="00687DE8">
              <w:t>Happe-aluse tasakaal</w:t>
            </w:r>
          </w:p>
        </w:tc>
        <w:tc>
          <w:tcPr>
            <w:tcW w:w="1164" w:type="dxa"/>
            <w:hideMark/>
          </w:tcPr>
          <w:p w14:paraId="1FC8AE4D" w14:textId="77777777" w:rsidR="00B847AE" w:rsidRPr="00687DE8" w:rsidRDefault="00B847AE" w:rsidP="00596C68">
            <w:pPr>
              <w:pStyle w:val="Normaallaadveeb"/>
              <w:spacing w:before="0" w:after="0" w:afterAutospacing="0"/>
              <w:jc w:val="center"/>
            </w:pPr>
            <w:r w:rsidRPr="00687DE8">
              <w:t>66113</w:t>
            </w:r>
          </w:p>
        </w:tc>
        <w:tc>
          <w:tcPr>
            <w:tcW w:w="3396" w:type="dxa"/>
            <w:tcBorders>
              <w:top w:val="nil"/>
              <w:left w:val="single" w:sz="4" w:space="0" w:color="auto"/>
              <w:bottom w:val="single" w:sz="4" w:space="0" w:color="auto"/>
              <w:right w:val="single" w:sz="4" w:space="0" w:color="auto"/>
            </w:tcBorders>
            <w:vAlign w:val="center"/>
            <w:hideMark/>
          </w:tcPr>
          <w:p w14:paraId="286AA6D0" w14:textId="50A6742C" w:rsidR="30E3133E" w:rsidRPr="00687DE8" w:rsidRDefault="00AF2B17">
            <w:pPr>
              <w:jc w:val="center"/>
              <w:rPr>
                <w:color w:val="000000" w:themeColor="text1"/>
                <w:szCs w:val="24"/>
              </w:rPr>
            </w:pPr>
            <w:r>
              <w:rPr>
                <w:color w:val="000000"/>
              </w:rPr>
              <w:t>6,60</w:t>
            </w:r>
          </w:p>
        </w:tc>
      </w:tr>
      <w:tr w:rsidR="00C530D1" w:rsidRPr="00687DE8" w14:paraId="5BAB98F2" w14:textId="77777777" w:rsidTr="00D30B8D">
        <w:trPr>
          <w:divId w:val="1316184749"/>
          <w:trHeight w:val="300"/>
        </w:trPr>
        <w:tc>
          <w:tcPr>
            <w:tcW w:w="4815" w:type="dxa"/>
            <w:hideMark/>
          </w:tcPr>
          <w:p w14:paraId="580A65F3" w14:textId="77777777" w:rsidR="00B847AE" w:rsidRPr="00687DE8" w:rsidRDefault="00B847AE" w:rsidP="00596C68">
            <w:pPr>
              <w:pStyle w:val="Normaallaadveeb"/>
              <w:spacing w:before="0" w:after="0" w:afterAutospacing="0"/>
            </w:pPr>
            <w:r w:rsidRPr="00687DE8">
              <w:t>Hemoglobiini derivaadid ja variandid: karboksühemoglobiin, methemoglobiin, fetaalne hemoglobiin*</w:t>
            </w:r>
          </w:p>
        </w:tc>
        <w:tc>
          <w:tcPr>
            <w:tcW w:w="1164" w:type="dxa"/>
          </w:tcPr>
          <w:p w14:paraId="21F6024E" w14:textId="77777777" w:rsidR="00B847AE" w:rsidRPr="00687DE8" w:rsidRDefault="00B847AE" w:rsidP="00596C68">
            <w:pPr>
              <w:pStyle w:val="Normaallaadveeb"/>
              <w:spacing w:before="0" w:after="0" w:afterAutospacing="0"/>
              <w:jc w:val="center"/>
            </w:pPr>
          </w:p>
          <w:p w14:paraId="75C33ACE" w14:textId="77777777" w:rsidR="00B847AE" w:rsidRPr="00687DE8" w:rsidRDefault="00B847AE" w:rsidP="00596C68">
            <w:pPr>
              <w:pStyle w:val="Normaallaadveeb"/>
              <w:spacing w:before="0" w:after="0" w:afterAutospacing="0"/>
              <w:jc w:val="center"/>
            </w:pPr>
            <w:r w:rsidRPr="00687DE8">
              <w:t>66114</w:t>
            </w:r>
          </w:p>
        </w:tc>
        <w:tc>
          <w:tcPr>
            <w:tcW w:w="3396" w:type="dxa"/>
            <w:tcBorders>
              <w:top w:val="nil"/>
              <w:left w:val="single" w:sz="4" w:space="0" w:color="auto"/>
              <w:bottom w:val="single" w:sz="4" w:space="0" w:color="auto"/>
              <w:right w:val="single" w:sz="4" w:space="0" w:color="auto"/>
            </w:tcBorders>
            <w:vAlign w:val="center"/>
            <w:hideMark/>
          </w:tcPr>
          <w:p w14:paraId="72F93A7C" w14:textId="1CC3A902" w:rsidR="30E3133E" w:rsidRPr="00687DE8" w:rsidRDefault="00AF2B17">
            <w:pPr>
              <w:jc w:val="center"/>
              <w:rPr>
                <w:color w:val="000000" w:themeColor="text1"/>
                <w:szCs w:val="24"/>
              </w:rPr>
            </w:pPr>
            <w:r>
              <w:rPr>
                <w:color w:val="000000"/>
              </w:rPr>
              <w:t>18,90</w:t>
            </w:r>
          </w:p>
        </w:tc>
      </w:tr>
      <w:tr w:rsidR="00C530D1" w:rsidRPr="00687DE8" w14:paraId="082944B5" w14:textId="77777777" w:rsidTr="00D30B8D">
        <w:trPr>
          <w:divId w:val="1316184749"/>
          <w:trHeight w:val="300"/>
        </w:trPr>
        <w:tc>
          <w:tcPr>
            <w:tcW w:w="4815" w:type="dxa"/>
            <w:hideMark/>
          </w:tcPr>
          <w:p w14:paraId="61176F01" w14:textId="362FE405" w:rsidR="00B847AE" w:rsidRPr="00687DE8" w:rsidRDefault="00B847AE" w:rsidP="5F775E71">
            <w:pPr>
              <w:pStyle w:val="Normaallaadveeb"/>
              <w:spacing w:before="0" w:after="0" w:afterAutospacing="0"/>
            </w:pPr>
            <w:r>
              <w:t>Vastsündinu bilirubiin</w:t>
            </w:r>
          </w:p>
        </w:tc>
        <w:tc>
          <w:tcPr>
            <w:tcW w:w="1164" w:type="dxa"/>
            <w:hideMark/>
          </w:tcPr>
          <w:p w14:paraId="5B0A5333" w14:textId="77777777" w:rsidR="00B847AE" w:rsidRPr="00687DE8" w:rsidRDefault="00B847AE" w:rsidP="00596C68">
            <w:pPr>
              <w:pStyle w:val="Normaallaadveeb"/>
              <w:spacing w:before="0" w:after="0" w:afterAutospacing="0"/>
              <w:jc w:val="center"/>
            </w:pPr>
            <w:r w:rsidRPr="00687DE8">
              <w:t>66115</w:t>
            </w:r>
          </w:p>
        </w:tc>
        <w:tc>
          <w:tcPr>
            <w:tcW w:w="3396" w:type="dxa"/>
            <w:tcBorders>
              <w:top w:val="nil"/>
              <w:left w:val="single" w:sz="4" w:space="0" w:color="auto"/>
              <w:bottom w:val="single" w:sz="4" w:space="0" w:color="auto"/>
              <w:right w:val="single" w:sz="4" w:space="0" w:color="auto"/>
            </w:tcBorders>
            <w:vAlign w:val="center"/>
            <w:hideMark/>
          </w:tcPr>
          <w:p w14:paraId="41B23FCB" w14:textId="19377038" w:rsidR="30E3133E" w:rsidRPr="00687DE8" w:rsidRDefault="00AF2B17">
            <w:pPr>
              <w:jc w:val="center"/>
              <w:rPr>
                <w:color w:val="000000" w:themeColor="text1"/>
                <w:szCs w:val="24"/>
              </w:rPr>
            </w:pPr>
            <w:r>
              <w:rPr>
                <w:color w:val="000000"/>
              </w:rPr>
              <w:t>8,55</w:t>
            </w:r>
          </w:p>
        </w:tc>
      </w:tr>
      <w:tr w:rsidR="00C530D1" w:rsidRPr="00687DE8" w14:paraId="1D73687A" w14:textId="77777777" w:rsidTr="00D30B8D">
        <w:trPr>
          <w:divId w:val="1316184749"/>
          <w:trHeight w:val="300"/>
        </w:trPr>
        <w:tc>
          <w:tcPr>
            <w:tcW w:w="4815" w:type="dxa"/>
            <w:hideMark/>
          </w:tcPr>
          <w:p w14:paraId="323D7B9E" w14:textId="77777777" w:rsidR="00B847AE" w:rsidRPr="00687DE8" w:rsidRDefault="00B847AE" w:rsidP="00596C68">
            <w:pPr>
              <w:pStyle w:val="Normaallaadveeb"/>
              <w:spacing w:before="0" w:after="0" w:afterAutospacing="0"/>
            </w:pPr>
            <w:r w:rsidRPr="00687DE8">
              <w:t>IgG uriinis või liikvoris*</w:t>
            </w:r>
          </w:p>
        </w:tc>
        <w:tc>
          <w:tcPr>
            <w:tcW w:w="1164" w:type="dxa"/>
            <w:hideMark/>
          </w:tcPr>
          <w:p w14:paraId="7BBC2826" w14:textId="77777777" w:rsidR="00B847AE" w:rsidRPr="00687DE8" w:rsidRDefault="00B847AE" w:rsidP="00596C68">
            <w:pPr>
              <w:pStyle w:val="Normaallaadveeb"/>
              <w:spacing w:before="0" w:after="0" w:afterAutospacing="0"/>
              <w:jc w:val="center"/>
            </w:pPr>
            <w:r w:rsidRPr="00687DE8">
              <w:t>66116</w:t>
            </w:r>
          </w:p>
        </w:tc>
        <w:tc>
          <w:tcPr>
            <w:tcW w:w="3396" w:type="dxa"/>
            <w:tcBorders>
              <w:top w:val="nil"/>
              <w:left w:val="single" w:sz="4" w:space="0" w:color="auto"/>
              <w:bottom w:val="single" w:sz="4" w:space="0" w:color="auto"/>
              <w:right w:val="single" w:sz="4" w:space="0" w:color="auto"/>
            </w:tcBorders>
            <w:vAlign w:val="center"/>
            <w:hideMark/>
          </w:tcPr>
          <w:p w14:paraId="293C388A" w14:textId="7ED8DA8C" w:rsidR="30E3133E" w:rsidRPr="00687DE8" w:rsidRDefault="00AF2B17">
            <w:pPr>
              <w:jc w:val="center"/>
              <w:rPr>
                <w:color w:val="000000" w:themeColor="text1"/>
                <w:szCs w:val="24"/>
              </w:rPr>
            </w:pPr>
            <w:r>
              <w:rPr>
                <w:color w:val="000000"/>
              </w:rPr>
              <w:t>6,95</w:t>
            </w:r>
          </w:p>
        </w:tc>
      </w:tr>
      <w:tr w:rsidR="00C530D1" w:rsidRPr="00687DE8" w14:paraId="244D85EC" w14:textId="77777777" w:rsidTr="00D30B8D">
        <w:trPr>
          <w:divId w:val="1316184749"/>
          <w:trHeight w:val="300"/>
        </w:trPr>
        <w:tc>
          <w:tcPr>
            <w:tcW w:w="4815" w:type="dxa"/>
            <w:hideMark/>
          </w:tcPr>
          <w:p w14:paraId="6F7BCC7C" w14:textId="77777777" w:rsidR="00B847AE" w:rsidRPr="00687DE8" w:rsidRDefault="00B847AE" w:rsidP="00596C68">
            <w:pPr>
              <w:pStyle w:val="Normaallaadveeb"/>
              <w:spacing w:before="0" w:after="0" w:afterAutospacing="0"/>
            </w:pPr>
            <w:r w:rsidRPr="00687DE8">
              <w:t>Albumiin uriinis (mikroalbumiin) või liikvoris*</w:t>
            </w:r>
          </w:p>
        </w:tc>
        <w:tc>
          <w:tcPr>
            <w:tcW w:w="1164" w:type="dxa"/>
            <w:hideMark/>
          </w:tcPr>
          <w:p w14:paraId="7B60ABC7" w14:textId="77777777" w:rsidR="00B847AE" w:rsidRPr="00687DE8" w:rsidRDefault="00B847AE" w:rsidP="00596C68">
            <w:pPr>
              <w:pStyle w:val="Normaallaadveeb"/>
              <w:spacing w:before="0" w:after="0" w:afterAutospacing="0"/>
              <w:jc w:val="center"/>
            </w:pPr>
            <w:r w:rsidRPr="00687DE8">
              <w:t>66117</w:t>
            </w:r>
          </w:p>
        </w:tc>
        <w:tc>
          <w:tcPr>
            <w:tcW w:w="3396" w:type="dxa"/>
            <w:tcBorders>
              <w:top w:val="nil"/>
              <w:left w:val="single" w:sz="4" w:space="0" w:color="auto"/>
              <w:bottom w:val="single" w:sz="4" w:space="0" w:color="auto"/>
              <w:right w:val="single" w:sz="4" w:space="0" w:color="auto"/>
            </w:tcBorders>
            <w:vAlign w:val="center"/>
            <w:hideMark/>
          </w:tcPr>
          <w:p w14:paraId="555C14A5" w14:textId="604534A1" w:rsidR="30E3133E" w:rsidRPr="00687DE8" w:rsidRDefault="00AF2B17">
            <w:pPr>
              <w:jc w:val="center"/>
              <w:rPr>
                <w:color w:val="000000" w:themeColor="text1"/>
                <w:szCs w:val="24"/>
              </w:rPr>
            </w:pPr>
            <w:r>
              <w:rPr>
                <w:color w:val="000000"/>
              </w:rPr>
              <w:t>3,88</w:t>
            </w:r>
          </w:p>
        </w:tc>
      </w:tr>
      <w:tr w:rsidR="00C530D1" w:rsidRPr="00687DE8" w14:paraId="5D0AE967" w14:textId="77777777" w:rsidTr="00D30B8D">
        <w:trPr>
          <w:divId w:val="1316184749"/>
          <w:trHeight w:val="300"/>
        </w:trPr>
        <w:tc>
          <w:tcPr>
            <w:tcW w:w="4815" w:type="dxa"/>
            <w:hideMark/>
          </w:tcPr>
          <w:p w14:paraId="4D1786B3" w14:textId="77777777" w:rsidR="00B847AE" w:rsidRPr="00687DE8" w:rsidRDefault="00B847AE" w:rsidP="00596C68">
            <w:pPr>
              <w:pStyle w:val="Normaallaadveeb"/>
              <w:spacing w:before="0" w:after="0" w:afterAutospacing="0"/>
            </w:pPr>
            <w:r w:rsidRPr="00687DE8">
              <w:t>Glükohemoglobiin</w:t>
            </w:r>
          </w:p>
        </w:tc>
        <w:tc>
          <w:tcPr>
            <w:tcW w:w="1164" w:type="dxa"/>
            <w:hideMark/>
          </w:tcPr>
          <w:p w14:paraId="1A97644F" w14:textId="77777777" w:rsidR="00B847AE" w:rsidRPr="00687DE8" w:rsidRDefault="00B847AE" w:rsidP="00596C68">
            <w:pPr>
              <w:pStyle w:val="Normaallaadveeb"/>
              <w:spacing w:before="0" w:after="0" w:afterAutospacing="0"/>
              <w:jc w:val="center"/>
            </w:pPr>
            <w:r w:rsidRPr="00687DE8">
              <w:t>66118</w:t>
            </w:r>
          </w:p>
        </w:tc>
        <w:tc>
          <w:tcPr>
            <w:tcW w:w="3396" w:type="dxa"/>
            <w:tcBorders>
              <w:top w:val="nil"/>
              <w:left w:val="single" w:sz="4" w:space="0" w:color="auto"/>
              <w:bottom w:val="single" w:sz="4" w:space="0" w:color="auto"/>
              <w:right w:val="single" w:sz="4" w:space="0" w:color="auto"/>
            </w:tcBorders>
            <w:vAlign w:val="center"/>
            <w:hideMark/>
          </w:tcPr>
          <w:p w14:paraId="5631B3DF" w14:textId="5A00E36C" w:rsidR="30E3133E" w:rsidRPr="00687DE8" w:rsidRDefault="00AF2B17">
            <w:pPr>
              <w:jc w:val="center"/>
              <w:rPr>
                <w:color w:val="000000" w:themeColor="text1"/>
                <w:szCs w:val="24"/>
              </w:rPr>
            </w:pPr>
            <w:r>
              <w:rPr>
                <w:color w:val="000000"/>
              </w:rPr>
              <w:t>7,67</w:t>
            </w:r>
          </w:p>
        </w:tc>
      </w:tr>
      <w:tr w:rsidR="00C530D1" w:rsidRPr="00687DE8" w14:paraId="2C1C3FEE" w14:textId="77777777" w:rsidTr="00D30B8D">
        <w:trPr>
          <w:divId w:val="1316184749"/>
          <w:trHeight w:val="300"/>
        </w:trPr>
        <w:tc>
          <w:tcPr>
            <w:tcW w:w="4815" w:type="dxa"/>
            <w:hideMark/>
          </w:tcPr>
          <w:p w14:paraId="06A8EB7D" w14:textId="77777777" w:rsidR="00B847AE" w:rsidRPr="00687DE8" w:rsidRDefault="00B847AE" w:rsidP="00596C68">
            <w:pPr>
              <w:pStyle w:val="Normaallaadveeb"/>
              <w:spacing w:before="0" w:after="0" w:afterAutospacing="0"/>
            </w:pPr>
            <w:r w:rsidRPr="00687DE8">
              <w:t>Immunofiksatsioon: liikvori oligoklonaalsed immunoglobuliinid, uriini või seerumi monoklonaalsed immunoglobuliinid*</w:t>
            </w:r>
          </w:p>
        </w:tc>
        <w:tc>
          <w:tcPr>
            <w:tcW w:w="1164" w:type="dxa"/>
          </w:tcPr>
          <w:p w14:paraId="195ED070" w14:textId="77777777" w:rsidR="00B847AE" w:rsidRPr="00687DE8" w:rsidRDefault="00B847AE" w:rsidP="00596C68">
            <w:pPr>
              <w:pStyle w:val="Normaallaadveeb"/>
              <w:spacing w:before="0" w:after="0" w:afterAutospacing="0"/>
              <w:jc w:val="center"/>
            </w:pPr>
          </w:p>
          <w:p w14:paraId="656F0ABD" w14:textId="77777777" w:rsidR="00B847AE" w:rsidRPr="00687DE8" w:rsidRDefault="00B847AE" w:rsidP="00596C68">
            <w:pPr>
              <w:pStyle w:val="Normaallaadveeb"/>
              <w:spacing w:before="0" w:after="0" w:afterAutospacing="0"/>
              <w:jc w:val="center"/>
            </w:pPr>
            <w:r w:rsidRPr="00687DE8">
              <w:t>66119</w:t>
            </w:r>
          </w:p>
        </w:tc>
        <w:tc>
          <w:tcPr>
            <w:tcW w:w="3396" w:type="dxa"/>
            <w:tcBorders>
              <w:top w:val="nil"/>
              <w:left w:val="single" w:sz="4" w:space="0" w:color="auto"/>
              <w:bottom w:val="single" w:sz="4" w:space="0" w:color="auto"/>
              <w:right w:val="single" w:sz="4" w:space="0" w:color="auto"/>
            </w:tcBorders>
            <w:vAlign w:val="center"/>
            <w:hideMark/>
          </w:tcPr>
          <w:p w14:paraId="799C9BC4" w14:textId="6F218564" w:rsidR="30E3133E" w:rsidRPr="00687DE8" w:rsidRDefault="00AF2B17">
            <w:pPr>
              <w:jc w:val="center"/>
              <w:rPr>
                <w:color w:val="000000" w:themeColor="text1"/>
                <w:szCs w:val="24"/>
              </w:rPr>
            </w:pPr>
            <w:r>
              <w:rPr>
                <w:color w:val="000000"/>
              </w:rPr>
              <w:t>83,52</w:t>
            </w:r>
          </w:p>
        </w:tc>
      </w:tr>
      <w:tr w:rsidR="00C530D1" w:rsidRPr="00687DE8" w14:paraId="7B6DB5D1" w14:textId="77777777" w:rsidTr="00D30B8D">
        <w:trPr>
          <w:divId w:val="1316184749"/>
          <w:trHeight w:val="300"/>
        </w:trPr>
        <w:tc>
          <w:tcPr>
            <w:tcW w:w="4815" w:type="dxa"/>
            <w:hideMark/>
          </w:tcPr>
          <w:p w14:paraId="52CD54B8" w14:textId="77777777" w:rsidR="00B847AE" w:rsidRPr="00687DE8" w:rsidRDefault="00B847AE" w:rsidP="00596C68">
            <w:pPr>
              <w:pStyle w:val="Normaallaadveeb"/>
              <w:spacing w:before="0" w:after="0" w:afterAutospacing="0"/>
            </w:pPr>
            <w:r w:rsidRPr="00687DE8">
              <w:t>Seerumi valkude elektroforees</w:t>
            </w:r>
          </w:p>
        </w:tc>
        <w:tc>
          <w:tcPr>
            <w:tcW w:w="1164" w:type="dxa"/>
            <w:hideMark/>
          </w:tcPr>
          <w:p w14:paraId="2A37E6B8" w14:textId="77777777" w:rsidR="00B847AE" w:rsidRPr="00687DE8" w:rsidRDefault="00B847AE" w:rsidP="00596C68">
            <w:pPr>
              <w:pStyle w:val="Normaallaadveeb"/>
              <w:spacing w:before="0" w:after="0" w:afterAutospacing="0"/>
              <w:jc w:val="center"/>
            </w:pPr>
            <w:r w:rsidRPr="00687DE8">
              <w:t>66120</w:t>
            </w:r>
          </w:p>
        </w:tc>
        <w:tc>
          <w:tcPr>
            <w:tcW w:w="3396" w:type="dxa"/>
            <w:tcBorders>
              <w:top w:val="nil"/>
              <w:left w:val="single" w:sz="4" w:space="0" w:color="auto"/>
              <w:bottom w:val="single" w:sz="4" w:space="0" w:color="auto"/>
              <w:right w:val="single" w:sz="4" w:space="0" w:color="auto"/>
            </w:tcBorders>
            <w:vAlign w:val="center"/>
            <w:hideMark/>
          </w:tcPr>
          <w:p w14:paraId="2B08CB7D" w14:textId="74074164" w:rsidR="30E3133E" w:rsidRPr="00687DE8" w:rsidRDefault="00AF2B17">
            <w:pPr>
              <w:jc w:val="center"/>
              <w:rPr>
                <w:color w:val="000000" w:themeColor="text1"/>
                <w:szCs w:val="24"/>
              </w:rPr>
            </w:pPr>
            <w:r>
              <w:rPr>
                <w:color w:val="000000"/>
              </w:rPr>
              <w:t>12,96</w:t>
            </w:r>
          </w:p>
        </w:tc>
      </w:tr>
      <w:tr w:rsidR="00C530D1" w:rsidRPr="00687DE8" w14:paraId="3A414ED5" w14:textId="77777777" w:rsidTr="00D30B8D">
        <w:trPr>
          <w:divId w:val="1316184749"/>
          <w:trHeight w:val="300"/>
        </w:trPr>
        <w:tc>
          <w:tcPr>
            <w:tcW w:w="4815" w:type="dxa"/>
            <w:hideMark/>
          </w:tcPr>
          <w:p w14:paraId="3AE4FC0D" w14:textId="77777777" w:rsidR="00B847AE" w:rsidRPr="00687DE8" w:rsidRDefault="00B847AE" w:rsidP="00596C68">
            <w:pPr>
              <w:pStyle w:val="Normaallaadveeb"/>
              <w:spacing w:before="0" w:after="0" w:afterAutospacing="0"/>
            </w:pPr>
            <w:r w:rsidRPr="00687DE8">
              <w:t>Uriini või liikvori valkude elektroforees</w:t>
            </w:r>
          </w:p>
        </w:tc>
        <w:tc>
          <w:tcPr>
            <w:tcW w:w="1164" w:type="dxa"/>
            <w:hideMark/>
          </w:tcPr>
          <w:p w14:paraId="7DA65290" w14:textId="77777777" w:rsidR="00B847AE" w:rsidRPr="00687DE8" w:rsidRDefault="00B847AE" w:rsidP="00596C68">
            <w:pPr>
              <w:pStyle w:val="Normaallaadveeb"/>
              <w:spacing w:before="0" w:after="0" w:afterAutospacing="0"/>
              <w:jc w:val="center"/>
            </w:pPr>
            <w:r w:rsidRPr="00687DE8">
              <w:t>66121</w:t>
            </w:r>
          </w:p>
        </w:tc>
        <w:tc>
          <w:tcPr>
            <w:tcW w:w="3396" w:type="dxa"/>
            <w:tcBorders>
              <w:top w:val="nil"/>
              <w:left w:val="single" w:sz="4" w:space="0" w:color="auto"/>
              <w:bottom w:val="single" w:sz="4" w:space="0" w:color="auto"/>
              <w:right w:val="single" w:sz="4" w:space="0" w:color="auto"/>
            </w:tcBorders>
            <w:vAlign w:val="center"/>
            <w:hideMark/>
          </w:tcPr>
          <w:p w14:paraId="6D3FC51F" w14:textId="5564811A" w:rsidR="30E3133E" w:rsidRPr="00687DE8" w:rsidRDefault="00AF2B17">
            <w:pPr>
              <w:jc w:val="center"/>
              <w:rPr>
                <w:color w:val="000000" w:themeColor="text1"/>
                <w:szCs w:val="24"/>
              </w:rPr>
            </w:pPr>
            <w:r>
              <w:rPr>
                <w:color w:val="000000"/>
              </w:rPr>
              <w:t>32,45</w:t>
            </w:r>
          </w:p>
        </w:tc>
      </w:tr>
      <w:tr w:rsidR="00C530D1" w:rsidRPr="00687DE8" w14:paraId="75EE60A1" w14:textId="77777777" w:rsidTr="00D30B8D">
        <w:trPr>
          <w:divId w:val="1316184749"/>
          <w:trHeight w:val="300"/>
        </w:trPr>
        <w:tc>
          <w:tcPr>
            <w:tcW w:w="4815" w:type="dxa"/>
            <w:hideMark/>
          </w:tcPr>
          <w:p w14:paraId="767A2601" w14:textId="77777777" w:rsidR="00B847AE" w:rsidRPr="00687DE8" w:rsidRDefault="00B847AE" w:rsidP="00596C68">
            <w:pPr>
              <w:pStyle w:val="Normaallaadveeb"/>
              <w:spacing w:before="0" w:after="0" w:afterAutospacing="0"/>
            </w:pPr>
            <w:r w:rsidRPr="00687DE8">
              <w:t>Isoensüümide elektroforees*</w:t>
            </w:r>
          </w:p>
        </w:tc>
        <w:tc>
          <w:tcPr>
            <w:tcW w:w="1164" w:type="dxa"/>
            <w:hideMark/>
          </w:tcPr>
          <w:p w14:paraId="4710F264" w14:textId="77777777" w:rsidR="00B847AE" w:rsidRPr="00687DE8" w:rsidRDefault="00B847AE" w:rsidP="00596C68">
            <w:pPr>
              <w:pStyle w:val="Normaallaadveeb"/>
              <w:spacing w:before="0" w:after="0" w:afterAutospacing="0"/>
              <w:jc w:val="center"/>
            </w:pPr>
            <w:r w:rsidRPr="00687DE8">
              <w:t>66122</w:t>
            </w:r>
          </w:p>
        </w:tc>
        <w:tc>
          <w:tcPr>
            <w:tcW w:w="3396" w:type="dxa"/>
            <w:tcBorders>
              <w:top w:val="nil"/>
              <w:left w:val="single" w:sz="4" w:space="0" w:color="auto"/>
              <w:bottom w:val="single" w:sz="4" w:space="0" w:color="auto"/>
              <w:right w:val="single" w:sz="4" w:space="0" w:color="auto"/>
            </w:tcBorders>
            <w:vAlign w:val="center"/>
            <w:hideMark/>
          </w:tcPr>
          <w:p w14:paraId="43CA19B6" w14:textId="0BB9B251" w:rsidR="30E3133E" w:rsidRPr="00687DE8" w:rsidRDefault="00AF2B17">
            <w:pPr>
              <w:jc w:val="center"/>
              <w:rPr>
                <w:color w:val="000000" w:themeColor="text1"/>
                <w:szCs w:val="24"/>
              </w:rPr>
            </w:pPr>
            <w:r>
              <w:rPr>
                <w:color w:val="000000"/>
              </w:rPr>
              <w:t>37,88</w:t>
            </w:r>
          </w:p>
        </w:tc>
      </w:tr>
      <w:tr w:rsidR="00C530D1" w:rsidRPr="00687DE8" w14:paraId="12D7860A" w14:textId="77777777" w:rsidTr="00D30B8D">
        <w:trPr>
          <w:divId w:val="1316184749"/>
          <w:trHeight w:val="300"/>
        </w:trPr>
        <w:tc>
          <w:tcPr>
            <w:tcW w:w="4815" w:type="dxa"/>
            <w:hideMark/>
          </w:tcPr>
          <w:p w14:paraId="54FE087B" w14:textId="77777777" w:rsidR="00B847AE" w:rsidRPr="00687DE8" w:rsidRDefault="00B847AE" w:rsidP="00596C68">
            <w:pPr>
              <w:pStyle w:val="Normaallaadveeb"/>
              <w:spacing w:before="0" w:after="0" w:afterAutospacing="0"/>
            </w:pPr>
            <w:r w:rsidRPr="00687DE8">
              <w:t>Spetsiifilised valgud 1: IgA, IgM, IgG, transferriin*</w:t>
            </w:r>
          </w:p>
        </w:tc>
        <w:tc>
          <w:tcPr>
            <w:tcW w:w="1164" w:type="dxa"/>
            <w:hideMark/>
          </w:tcPr>
          <w:p w14:paraId="30984A99" w14:textId="77777777" w:rsidR="00B847AE" w:rsidRPr="00687DE8" w:rsidRDefault="00B847AE" w:rsidP="00596C68">
            <w:pPr>
              <w:pStyle w:val="Normaallaadveeb"/>
              <w:spacing w:before="0" w:after="0" w:afterAutospacing="0"/>
              <w:jc w:val="center"/>
            </w:pPr>
            <w:r w:rsidRPr="00687DE8">
              <w:t>66123</w:t>
            </w:r>
          </w:p>
        </w:tc>
        <w:tc>
          <w:tcPr>
            <w:tcW w:w="3396" w:type="dxa"/>
            <w:tcBorders>
              <w:top w:val="nil"/>
              <w:left w:val="single" w:sz="4" w:space="0" w:color="auto"/>
              <w:bottom w:val="single" w:sz="4" w:space="0" w:color="auto"/>
              <w:right w:val="single" w:sz="4" w:space="0" w:color="auto"/>
            </w:tcBorders>
            <w:vAlign w:val="center"/>
            <w:hideMark/>
          </w:tcPr>
          <w:p w14:paraId="007B2920" w14:textId="6DFA882B" w:rsidR="30E3133E" w:rsidRPr="00687DE8" w:rsidRDefault="00AF2B17">
            <w:pPr>
              <w:jc w:val="center"/>
              <w:rPr>
                <w:color w:val="000000" w:themeColor="text1"/>
                <w:szCs w:val="24"/>
              </w:rPr>
            </w:pPr>
            <w:r>
              <w:rPr>
                <w:color w:val="000000"/>
              </w:rPr>
              <w:t>4,74</w:t>
            </w:r>
          </w:p>
        </w:tc>
      </w:tr>
      <w:tr w:rsidR="00C530D1" w:rsidRPr="00687DE8" w14:paraId="5FF2BB07" w14:textId="77777777" w:rsidTr="00D30B8D">
        <w:trPr>
          <w:divId w:val="1316184749"/>
          <w:trHeight w:val="300"/>
        </w:trPr>
        <w:tc>
          <w:tcPr>
            <w:tcW w:w="4815" w:type="dxa"/>
            <w:hideMark/>
          </w:tcPr>
          <w:p w14:paraId="713DE4C7" w14:textId="77777777" w:rsidR="00B847AE" w:rsidRPr="00687DE8" w:rsidRDefault="00B847AE" w:rsidP="00596C68">
            <w:pPr>
              <w:pStyle w:val="Normaallaadveeb"/>
              <w:spacing w:before="0" w:after="0" w:afterAutospacing="0"/>
            </w:pPr>
            <w:r w:rsidRPr="00687DE8">
              <w:t xml:space="preserve">Spetsiifilised valgud 2: tseruloplasmiin, haptoglobiin, C3, C4, tsüstatiin C, prealbumiin, </w:t>
            </w:r>
            <w:r w:rsidRPr="00687DE8">
              <w:lastRenderedPageBreak/>
              <w:t>alfa1-antitrüpsiin, immunoglobuliinide kapa- ja lambda-ahelad*</w:t>
            </w:r>
          </w:p>
        </w:tc>
        <w:tc>
          <w:tcPr>
            <w:tcW w:w="1164" w:type="dxa"/>
            <w:hideMark/>
          </w:tcPr>
          <w:p w14:paraId="6E7E9A81" w14:textId="77777777" w:rsidR="00B847AE" w:rsidRPr="00687DE8" w:rsidRDefault="00B847AE" w:rsidP="00596C68">
            <w:pPr>
              <w:pStyle w:val="Normaallaadveeb"/>
              <w:spacing w:before="0" w:after="0" w:afterAutospacing="0"/>
              <w:jc w:val="center"/>
            </w:pPr>
            <w:r w:rsidRPr="00687DE8">
              <w:lastRenderedPageBreak/>
              <w:t>66124</w:t>
            </w:r>
          </w:p>
        </w:tc>
        <w:tc>
          <w:tcPr>
            <w:tcW w:w="3396" w:type="dxa"/>
            <w:tcBorders>
              <w:top w:val="nil"/>
              <w:left w:val="single" w:sz="4" w:space="0" w:color="auto"/>
              <w:bottom w:val="single" w:sz="4" w:space="0" w:color="auto"/>
              <w:right w:val="single" w:sz="4" w:space="0" w:color="auto"/>
            </w:tcBorders>
            <w:vAlign w:val="center"/>
            <w:hideMark/>
          </w:tcPr>
          <w:p w14:paraId="54CB80E0" w14:textId="3F46C30C" w:rsidR="30E3133E" w:rsidRPr="00687DE8" w:rsidRDefault="00AF2B17">
            <w:pPr>
              <w:jc w:val="center"/>
              <w:rPr>
                <w:color w:val="000000" w:themeColor="text1"/>
                <w:szCs w:val="24"/>
              </w:rPr>
            </w:pPr>
            <w:r>
              <w:rPr>
                <w:color w:val="000000"/>
              </w:rPr>
              <w:t>8,73</w:t>
            </w:r>
          </w:p>
        </w:tc>
      </w:tr>
      <w:tr w:rsidR="00C530D1" w:rsidRPr="00687DE8" w14:paraId="73855C14" w14:textId="77777777" w:rsidTr="00D30B8D">
        <w:trPr>
          <w:divId w:val="1316184749"/>
          <w:trHeight w:val="300"/>
        </w:trPr>
        <w:tc>
          <w:tcPr>
            <w:tcW w:w="4815" w:type="dxa"/>
            <w:hideMark/>
          </w:tcPr>
          <w:p w14:paraId="7DFDDD65" w14:textId="77777777" w:rsidR="00B847AE" w:rsidRPr="00687DE8" w:rsidRDefault="00B847AE" w:rsidP="00596C68">
            <w:pPr>
              <w:pStyle w:val="Normaallaadveeb"/>
              <w:spacing w:before="0" w:after="0" w:afterAutospacing="0"/>
            </w:pPr>
            <w:r w:rsidRPr="00687DE8">
              <w:t>Immunoglobuliinide alaklassid*</w:t>
            </w:r>
          </w:p>
        </w:tc>
        <w:tc>
          <w:tcPr>
            <w:tcW w:w="1164" w:type="dxa"/>
            <w:hideMark/>
          </w:tcPr>
          <w:p w14:paraId="0F237470" w14:textId="77777777" w:rsidR="00B847AE" w:rsidRPr="00687DE8" w:rsidRDefault="00B847AE" w:rsidP="00596C68">
            <w:pPr>
              <w:pStyle w:val="Normaallaadveeb"/>
              <w:spacing w:before="0" w:after="0" w:afterAutospacing="0"/>
              <w:jc w:val="center"/>
            </w:pPr>
            <w:r w:rsidRPr="00687DE8">
              <w:t>66125</w:t>
            </w:r>
          </w:p>
        </w:tc>
        <w:tc>
          <w:tcPr>
            <w:tcW w:w="3396" w:type="dxa"/>
            <w:tcBorders>
              <w:top w:val="nil"/>
              <w:left w:val="single" w:sz="4" w:space="0" w:color="auto"/>
              <w:bottom w:val="single" w:sz="4" w:space="0" w:color="auto"/>
              <w:right w:val="single" w:sz="4" w:space="0" w:color="auto"/>
            </w:tcBorders>
            <w:vAlign w:val="center"/>
            <w:hideMark/>
          </w:tcPr>
          <w:p w14:paraId="2A75E8F6" w14:textId="18B56CB8" w:rsidR="30E3133E" w:rsidRPr="00687DE8" w:rsidRDefault="00AF2B17">
            <w:pPr>
              <w:jc w:val="center"/>
              <w:rPr>
                <w:color w:val="000000" w:themeColor="text1"/>
                <w:szCs w:val="24"/>
              </w:rPr>
            </w:pPr>
            <w:r>
              <w:rPr>
                <w:color w:val="000000"/>
              </w:rPr>
              <w:t>11,17</w:t>
            </w:r>
          </w:p>
        </w:tc>
      </w:tr>
      <w:tr w:rsidR="00C530D1" w:rsidRPr="00687DE8" w14:paraId="7DD5E003" w14:textId="77777777" w:rsidTr="00D30B8D">
        <w:trPr>
          <w:divId w:val="1316184749"/>
          <w:trHeight w:val="300"/>
        </w:trPr>
        <w:tc>
          <w:tcPr>
            <w:tcW w:w="4815" w:type="dxa"/>
            <w:hideMark/>
          </w:tcPr>
          <w:p w14:paraId="5E2A6014" w14:textId="77777777" w:rsidR="00B847AE" w:rsidRPr="00687DE8" w:rsidRDefault="00B847AE" w:rsidP="00596C68">
            <w:pPr>
              <w:pStyle w:val="Normaallaadveeb"/>
              <w:spacing w:before="0" w:after="0" w:afterAutospacing="0"/>
            </w:pPr>
            <w:r w:rsidRPr="00687DE8">
              <w:t>Süsivesikdefitsiitne transferriin</w:t>
            </w:r>
          </w:p>
        </w:tc>
        <w:tc>
          <w:tcPr>
            <w:tcW w:w="1164" w:type="dxa"/>
            <w:hideMark/>
          </w:tcPr>
          <w:p w14:paraId="1AB4C000" w14:textId="77777777" w:rsidR="00B847AE" w:rsidRPr="00687DE8" w:rsidRDefault="00B847AE" w:rsidP="00596C68">
            <w:pPr>
              <w:pStyle w:val="Normaallaadveeb"/>
              <w:spacing w:before="0" w:after="0" w:afterAutospacing="0"/>
              <w:jc w:val="center"/>
            </w:pPr>
            <w:r w:rsidRPr="00687DE8">
              <w:t>66126</w:t>
            </w:r>
          </w:p>
        </w:tc>
        <w:tc>
          <w:tcPr>
            <w:tcW w:w="3396" w:type="dxa"/>
            <w:tcBorders>
              <w:top w:val="nil"/>
              <w:left w:val="single" w:sz="4" w:space="0" w:color="auto"/>
              <w:bottom w:val="single" w:sz="4" w:space="0" w:color="auto"/>
              <w:right w:val="single" w:sz="4" w:space="0" w:color="auto"/>
            </w:tcBorders>
            <w:vAlign w:val="center"/>
            <w:hideMark/>
          </w:tcPr>
          <w:p w14:paraId="5FBCFF13" w14:textId="03187BA8" w:rsidR="30E3133E" w:rsidRPr="00687DE8" w:rsidRDefault="00AF2B17">
            <w:pPr>
              <w:jc w:val="center"/>
              <w:rPr>
                <w:color w:val="000000" w:themeColor="text1"/>
                <w:szCs w:val="24"/>
              </w:rPr>
            </w:pPr>
            <w:r>
              <w:rPr>
                <w:color w:val="000000"/>
              </w:rPr>
              <w:t>24,77</w:t>
            </w:r>
          </w:p>
        </w:tc>
      </w:tr>
      <w:tr w:rsidR="00C530D1" w:rsidRPr="00687DE8" w14:paraId="085B1A19" w14:textId="77777777" w:rsidTr="00EB7A71">
        <w:trPr>
          <w:divId w:val="1316184749"/>
          <w:trHeight w:val="300"/>
        </w:trPr>
        <w:tc>
          <w:tcPr>
            <w:tcW w:w="4815" w:type="dxa"/>
            <w:hideMark/>
          </w:tcPr>
          <w:p w14:paraId="10FFC3C9" w14:textId="77777777" w:rsidR="00B847AE" w:rsidRPr="00687DE8" w:rsidRDefault="00B847AE" w:rsidP="00596C68">
            <w:pPr>
              <w:pStyle w:val="Normaallaadveeb"/>
              <w:spacing w:before="0" w:after="0" w:afterAutospacing="0"/>
            </w:pPr>
            <w:r w:rsidRPr="00687DE8">
              <w:t>Transferriini lahustuvad retseptorid</w:t>
            </w:r>
          </w:p>
        </w:tc>
        <w:tc>
          <w:tcPr>
            <w:tcW w:w="1164" w:type="dxa"/>
            <w:hideMark/>
          </w:tcPr>
          <w:p w14:paraId="3F06B0B0" w14:textId="77777777" w:rsidR="00B847AE" w:rsidRPr="00687DE8" w:rsidRDefault="00B847AE" w:rsidP="00596C68">
            <w:pPr>
              <w:pStyle w:val="Normaallaadveeb"/>
              <w:spacing w:before="0" w:after="0" w:afterAutospacing="0"/>
              <w:jc w:val="center"/>
            </w:pPr>
            <w:r w:rsidRPr="00687DE8">
              <w:t>66127</w:t>
            </w:r>
          </w:p>
        </w:tc>
        <w:tc>
          <w:tcPr>
            <w:tcW w:w="3396" w:type="dxa"/>
            <w:tcBorders>
              <w:top w:val="nil"/>
              <w:left w:val="single" w:sz="4" w:space="0" w:color="auto"/>
              <w:bottom w:val="single" w:sz="4" w:space="0" w:color="auto"/>
              <w:right w:val="single" w:sz="4" w:space="0" w:color="auto"/>
            </w:tcBorders>
            <w:vAlign w:val="center"/>
            <w:hideMark/>
          </w:tcPr>
          <w:p w14:paraId="076E2963" w14:textId="5D4C80F8" w:rsidR="30E3133E" w:rsidRPr="00687DE8" w:rsidRDefault="00AF2B17">
            <w:pPr>
              <w:jc w:val="center"/>
              <w:rPr>
                <w:color w:val="000000" w:themeColor="text1"/>
                <w:szCs w:val="24"/>
              </w:rPr>
            </w:pPr>
            <w:r>
              <w:rPr>
                <w:color w:val="000000"/>
              </w:rPr>
              <w:t>9,24</w:t>
            </w:r>
          </w:p>
        </w:tc>
      </w:tr>
      <w:tr w:rsidR="00C530D1" w:rsidRPr="00687DE8" w14:paraId="2B4024AE" w14:textId="77777777" w:rsidTr="00D30B8D">
        <w:trPr>
          <w:divId w:val="1316184749"/>
          <w:trHeight w:val="300"/>
        </w:trPr>
        <w:tc>
          <w:tcPr>
            <w:tcW w:w="4815" w:type="dxa"/>
            <w:hideMark/>
          </w:tcPr>
          <w:p w14:paraId="2A04D69F" w14:textId="77777777" w:rsidR="00B847AE" w:rsidRPr="00687DE8" w:rsidRDefault="00B847AE" w:rsidP="00596C68">
            <w:pPr>
              <w:pStyle w:val="Normaallaadveeb"/>
              <w:spacing w:before="0" w:after="0" w:afterAutospacing="0"/>
            </w:pPr>
            <w:r w:rsidRPr="00687DE8">
              <w:t>Angiotensiini muundav ensüüm</w:t>
            </w:r>
          </w:p>
        </w:tc>
        <w:tc>
          <w:tcPr>
            <w:tcW w:w="1164" w:type="dxa"/>
            <w:hideMark/>
          </w:tcPr>
          <w:p w14:paraId="16AA6BAE" w14:textId="77777777" w:rsidR="00B847AE" w:rsidRPr="00687DE8" w:rsidRDefault="00B847AE" w:rsidP="00596C68">
            <w:pPr>
              <w:pStyle w:val="Normaallaadveeb"/>
              <w:spacing w:before="0" w:after="0" w:afterAutospacing="0"/>
              <w:jc w:val="center"/>
            </w:pPr>
            <w:r w:rsidRPr="00687DE8">
              <w:t>66128</w:t>
            </w:r>
          </w:p>
        </w:tc>
        <w:tc>
          <w:tcPr>
            <w:tcW w:w="3396" w:type="dxa"/>
            <w:tcBorders>
              <w:top w:val="nil"/>
              <w:left w:val="single" w:sz="4" w:space="0" w:color="auto"/>
              <w:bottom w:val="single" w:sz="4" w:space="0" w:color="auto"/>
              <w:right w:val="single" w:sz="4" w:space="0" w:color="auto"/>
            </w:tcBorders>
            <w:vAlign w:val="center"/>
            <w:hideMark/>
          </w:tcPr>
          <w:p w14:paraId="546DCAED" w14:textId="5AFC98FD" w:rsidR="30E3133E" w:rsidRPr="00687DE8" w:rsidRDefault="00AF2B17">
            <w:pPr>
              <w:jc w:val="center"/>
              <w:rPr>
                <w:color w:val="000000" w:themeColor="text1"/>
                <w:szCs w:val="24"/>
              </w:rPr>
            </w:pPr>
            <w:r>
              <w:rPr>
                <w:color w:val="000000"/>
              </w:rPr>
              <w:t>77,65</w:t>
            </w:r>
          </w:p>
        </w:tc>
      </w:tr>
      <w:tr w:rsidR="00C530D1" w:rsidRPr="00687DE8" w14:paraId="73FB6A70" w14:textId="77777777" w:rsidTr="00D30B8D">
        <w:trPr>
          <w:divId w:val="1316184749"/>
          <w:trHeight w:val="300"/>
        </w:trPr>
        <w:tc>
          <w:tcPr>
            <w:tcW w:w="4815" w:type="dxa"/>
            <w:hideMark/>
          </w:tcPr>
          <w:p w14:paraId="56CBF5CF" w14:textId="77777777" w:rsidR="00B847AE" w:rsidRPr="00687DE8" w:rsidRDefault="00B847AE" w:rsidP="00596C68">
            <w:pPr>
              <w:pStyle w:val="Normaallaadveeb"/>
              <w:spacing w:before="0" w:after="0" w:afterAutospacing="0"/>
            </w:pPr>
            <w:r w:rsidRPr="00687DE8">
              <w:t>Koliini esteraas</w:t>
            </w:r>
          </w:p>
        </w:tc>
        <w:tc>
          <w:tcPr>
            <w:tcW w:w="1164" w:type="dxa"/>
            <w:hideMark/>
          </w:tcPr>
          <w:p w14:paraId="69A1F4CB" w14:textId="77777777" w:rsidR="00B847AE" w:rsidRPr="00687DE8" w:rsidRDefault="00B847AE" w:rsidP="00596C68">
            <w:pPr>
              <w:pStyle w:val="Normaallaadveeb"/>
              <w:spacing w:before="0" w:after="0" w:afterAutospacing="0"/>
              <w:jc w:val="center"/>
            </w:pPr>
            <w:r w:rsidRPr="00687DE8">
              <w:t>66129</w:t>
            </w:r>
          </w:p>
        </w:tc>
        <w:tc>
          <w:tcPr>
            <w:tcW w:w="3396" w:type="dxa"/>
            <w:tcBorders>
              <w:top w:val="nil"/>
              <w:left w:val="single" w:sz="4" w:space="0" w:color="auto"/>
              <w:bottom w:val="single" w:sz="4" w:space="0" w:color="auto"/>
              <w:right w:val="single" w:sz="4" w:space="0" w:color="auto"/>
            </w:tcBorders>
            <w:vAlign w:val="center"/>
            <w:hideMark/>
          </w:tcPr>
          <w:p w14:paraId="7AB7DFFC" w14:textId="27860C29" w:rsidR="30E3133E" w:rsidRPr="00687DE8" w:rsidRDefault="00AF2B17">
            <w:pPr>
              <w:jc w:val="center"/>
              <w:rPr>
                <w:color w:val="000000" w:themeColor="text1"/>
                <w:szCs w:val="24"/>
              </w:rPr>
            </w:pPr>
            <w:r>
              <w:rPr>
                <w:color w:val="000000"/>
              </w:rPr>
              <w:t>80,29</w:t>
            </w:r>
          </w:p>
        </w:tc>
      </w:tr>
      <w:tr w:rsidR="00C530D1" w:rsidRPr="00687DE8" w14:paraId="7B965DE5" w14:textId="77777777" w:rsidTr="00D30B8D">
        <w:trPr>
          <w:divId w:val="1316184749"/>
          <w:trHeight w:val="300"/>
        </w:trPr>
        <w:tc>
          <w:tcPr>
            <w:tcW w:w="4815" w:type="dxa"/>
            <w:hideMark/>
          </w:tcPr>
          <w:p w14:paraId="0F2F33F7" w14:textId="77777777" w:rsidR="00B847AE" w:rsidRPr="00687DE8" w:rsidRDefault="00B847AE" w:rsidP="00596C68">
            <w:pPr>
              <w:pStyle w:val="Normaallaadveeb"/>
              <w:spacing w:before="0" w:after="0" w:afterAutospacing="0"/>
            </w:pPr>
            <w:r w:rsidRPr="00687DE8">
              <w:t>Hemoglobiin plasmas</w:t>
            </w:r>
          </w:p>
        </w:tc>
        <w:tc>
          <w:tcPr>
            <w:tcW w:w="1164" w:type="dxa"/>
            <w:hideMark/>
          </w:tcPr>
          <w:p w14:paraId="20E94627" w14:textId="77777777" w:rsidR="00B847AE" w:rsidRPr="00687DE8" w:rsidRDefault="00B847AE" w:rsidP="00596C68">
            <w:pPr>
              <w:pStyle w:val="Normaallaadveeb"/>
              <w:spacing w:before="0" w:after="0" w:afterAutospacing="0"/>
              <w:jc w:val="center"/>
            </w:pPr>
            <w:r w:rsidRPr="00687DE8">
              <w:t>66130</w:t>
            </w:r>
          </w:p>
        </w:tc>
        <w:tc>
          <w:tcPr>
            <w:tcW w:w="3396" w:type="dxa"/>
            <w:tcBorders>
              <w:top w:val="nil"/>
              <w:left w:val="single" w:sz="4" w:space="0" w:color="auto"/>
              <w:bottom w:val="single" w:sz="4" w:space="0" w:color="auto"/>
              <w:right w:val="single" w:sz="4" w:space="0" w:color="auto"/>
            </w:tcBorders>
            <w:vAlign w:val="center"/>
            <w:hideMark/>
          </w:tcPr>
          <w:p w14:paraId="02657C2A" w14:textId="5C8D4A19" w:rsidR="30E3133E" w:rsidRPr="00687DE8" w:rsidRDefault="00AF2B17">
            <w:pPr>
              <w:jc w:val="center"/>
              <w:rPr>
                <w:color w:val="000000" w:themeColor="text1"/>
                <w:szCs w:val="24"/>
              </w:rPr>
            </w:pPr>
            <w:r>
              <w:rPr>
                <w:color w:val="000000"/>
              </w:rPr>
              <w:t>29,97</w:t>
            </w:r>
          </w:p>
        </w:tc>
      </w:tr>
      <w:tr w:rsidR="00C530D1" w:rsidRPr="00687DE8" w14:paraId="45D28FBA" w14:textId="77777777" w:rsidTr="00D30B8D">
        <w:trPr>
          <w:divId w:val="1316184749"/>
          <w:trHeight w:val="300"/>
        </w:trPr>
        <w:tc>
          <w:tcPr>
            <w:tcW w:w="4815" w:type="dxa"/>
            <w:hideMark/>
          </w:tcPr>
          <w:p w14:paraId="529D1021" w14:textId="77777777" w:rsidR="00B847AE" w:rsidRPr="00687DE8" w:rsidRDefault="00B847AE" w:rsidP="00596C68">
            <w:pPr>
              <w:pStyle w:val="Normaallaadveeb"/>
              <w:spacing w:before="0" w:after="0" w:afterAutospacing="0"/>
            </w:pPr>
            <w:r w:rsidRPr="00687DE8">
              <w:t>Osmolaalsus</w:t>
            </w:r>
          </w:p>
        </w:tc>
        <w:tc>
          <w:tcPr>
            <w:tcW w:w="1164" w:type="dxa"/>
            <w:hideMark/>
          </w:tcPr>
          <w:p w14:paraId="6E80983A" w14:textId="77777777" w:rsidR="00B847AE" w:rsidRPr="00687DE8" w:rsidRDefault="00B847AE" w:rsidP="00596C68">
            <w:pPr>
              <w:pStyle w:val="Normaallaadveeb"/>
              <w:spacing w:before="0" w:after="0" w:afterAutospacing="0"/>
              <w:jc w:val="center"/>
            </w:pPr>
            <w:r w:rsidRPr="00687DE8">
              <w:t>66131</w:t>
            </w:r>
          </w:p>
        </w:tc>
        <w:tc>
          <w:tcPr>
            <w:tcW w:w="3396" w:type="dxa"/>
            <w:tcBorders>
              <w:top w:val="nil"/>
              <w:left w:val="single" w:sz="4" w:space="0" w:color="auto"/>
              <w:bottom w:val="single" w:sz="4" w:space="0" w:color="auto"/>
              <w:right w:val="single" w:sz="4" w:space="0" w:color="auto"/>
            </w:tcBorders>
            <w:vAlign w:val="center"/>
            <w:hideMark/>
          </w:tcPr>
          <w:p w14:paraId="44CB6A0A" w14:textId="33608CAE" w:rsidR="30E3133E" w:rsidRPr="00687DE8" w:rsidRDefault="00AF2B17">
            <w:pPr>
              <w:jc w:val="center"/>
              <w:rPr>
                <w:color w:val="000000" w:themeColor="text1"/>
                <w:szCs w:val="24"/>
              </w:rPr>
            </w:pPr>
            <w:r>
              <w:rPr>
                <w:color w:val="000000"/>
              </w:rPr>
              <w:t>14,50</w:t>
            </w:r>
          </w:p>
        </w:tc>
      </w:tr>
      <w:tr w:rsidR="00C530D1" w:rsidRPr="00687DE8" w14:paraId="53802746" w14:textId="77777777" w:rsidTr="00D30B8D">
        <w:trPr>
          <w:divId w:val="1316184749"/>
          <w:trHeight w:val="300"/>
        </w:trPr>
        <w:tc>
          <w:tcPr>
            <w:tcW w:w="4815" w:type="dxa"/>
            <w:hideMark/>
          </w:tcPr>
          <w:p w14:paraId="39E09CC0" w14:textId="77777777" w:rsidR="00B847AE" w:rsidRPr="00687DE8" w:rsidRDefault="00B847AE" w:rsidP="00596C68">
            <w:pPr>
              <w:pStyle w:val="Normaallaadveeb"/>
              <w:spacing w:before="0" w:after="0" w:afterAutospacing="0"/>
            </w:pPr>
            <w:r w:rsidRPr="00687DE8">
              <w:t>Krüoglobuliinid</w:t>
            </w:r>
          </w:p>
        </w:tc>
        <w:tc>
          <w:tcPr>
            <w:tcW w:w="1164" w:type="dxa"/>
            <w:hideMark/>
          </w:tcPr>
          <w:p w14:paraId="78EA44D8" w14:textId="77777777" w:rsidR="00B847AE" w:rsidRPr="00687DE8" w:rsidRDefault="00B847AE" w:rsidP="00596C68">
            <w:pPr>
              <w:pStyle w:val="Normaallaadveeb"/>
              <w:spacing w:before="0" w:after="0" w:afterAutospacing="0"/>
              <w:jc w:val="center"/>
            </w:pPr>
            <w:r w:rsidRPr="00687DE8">
              <w:t>66132</w:t>
            </w:r>
          </w:p>
        </w:tc>
        <w:tc>
          <w:tcPr>
            <w:tcW w:w="3396" w:type="dxa"/>
            <w:tcBorders>
              <w:top w:val="nil"/>
              <w:left w:val="single" w:sz="4" w:space="0" w:color="auto"/>
              <w:bottom w:val="single" w:sz="4" w:space="0" w:color="auto"/>
              <w:right w:val="single" w:sz="4" w:space="0" w:color="auto"/>
            </w:tcBorders>
            <w:vAlign w:val="center"/>
            <w:hideMark/>
          </w:tcPr>
          <w:p w14:paraId="59973491" w14:textId="1A01C2C2" w:rsidR="17B71D4E" w:rsidRPr="00687DE8" w:rsidRDefault="00AF2B17">
            <w:pPr>
              <w:jc w:val="center"/>
              <w:rPr>
                <w:color w:val="000000" w:themeColor="text1"/>
                <w:szCs w:val="24"/>
              </w:rPr>
            </w:pPr>
            <w:r>
              <w:rPr>
                <w:color w:val="000000"/>
              </w:rPr>
              <w:t>95,59</w:t>
            </w:r>
          </w:p>
        </w:tc>
      </w:tr>
      <w:tr w:rsidR="00C530D1" w:rsidRPr="00687DE8" w14:paraId="2C496BF6" w14:textId="77777777" w:rsidTr="00D30B8D">
        <w:trPr>
          <w:divId w:val="1316184749"/>
          <w:trHeight w:val="300"/>
        </w:trPr>
        <w:tc>
          <w:tcPr>
            <w:tcW w:w="4815" w:type="dxa"/>
            <w:hideMark/>
          </w:tcPr>
          <w:p w14:paraId="766F7B4C" w14:textId="77777777" w:rsidR="00B847AE" w:rsidRPr="00687DE8" w:rsidRDefault="00B847AE" w:rsidP="00596C68">
            <w:pPr>
              <w:pStyle w:val="Normaallaadveeb"/>
              <w:spacing w:before="0" w:after="0" w:afterAutospacing="0"/>
            </w:pPr>
            <w:r w:rsidRPr="00687DE8">
              <w:t>Glükoos-6-fosfaatdehüdrogenaas</w:t>
            </w:r>
          </w:p>
        </w:tc>
        <w:tc>
          <w:tcPr>
            <w:tcW w:w="1164" w:type="dxa"/>
            <w:hideMark/>
          </w:tcPr>
          <w:p w14:paraId="2DDA0EC4" w14:textId="77777777" w:rsidR="00B847AE" w:rsidRPr="00687DE8" w:rsidRDefault="00B847AE" w:rsidP="00596C68">
            <w:pPr>
              <w:pStyle w:val="Normaallaadveeb"/>
              <w:spacing w:before="0" w:after="0" w:afterAutospacing="0"/>
              <w:jc w:val="center"/>
            </w:pPr>
            <w:r w:rsidRPr="00687DE8">
              <w:t>66133</w:t>
            </w:r>
          </w:p>
        </w:tc>
        <w:tc>
          <w:tcPr>
            <w:tcW w:w="3396" w:type="dxa"/>
            <w:tcBorders>
              <w:top w:val="nil"/>
              <w:left w:val="single" w:sz="4" w:space="0" w:color="auto"/>
              <w:bottom w:val="single" w:sz="4" w:space="0" w:color="auto"/>
              <w:right w:val="single" w:sz="4" w:space="0" w:color="auto"/>
            </w:tcBorders>
            <w:vAlign w:val="center"/>
            <w:hideMark/>
          </w:tcPr>
          <w:p w14:paraId="134BB3E2" w14:textId="50995442" w:rsidR="17B71D4E" w:rsidRPr="00687DE8" w:rsidRDefault="00AF2B17">
            <w:pPr>
              <w:jc w:val="center"/>
              <w:rPr>
                <w:color w:val="000000" w:themeColor="text1"/>
                <w:szCs w:val="24"/>
              </w:rPr>
            </w:pPr>
            <w:r>
              <w:rPr>
                <w:color w:val="000000"/>
              </w:rPr>
              <w:t>136,40</w:t>
            </w:r>
          </w:p>
        </w:tc>
      </w:tr>
      <w:tr w:rsidR="00C530D1" w:rsidRPr="00687DE8" w14:paraId="2D7D9920" w14:textId="77777777" w:rsidTr="00D30B8D">
        <w:trPr>
          <w:divId w:val="1316184749"/>
          <w:trHeight w:val="300"/>
        </w:trPr>
        <w:tc>
          <w:tcPr>
            <w:tcW w:w="4815" w:type="dxa"/>
            <w:hideMark/>
          </w:tcPr>
          <w:p w14:paraId="17BF989B" w14:textId="77777777" w:rsidR="00B847AE" w:rsidRPr="00687DE8" w:rsidRDefault="00B847AE" w:rsidP="00596C68">
            <w:pPr>
              <w:pStyle w:val="Normaallaadveeb"/>
              <w:spacing w:before="0" w:after="0" w:afterAutospacing="0"/>
            </w:pPr>
            <w:r w:rsidRPr="00687DE8">
              <w:t>D-ksüloos uriinis</w:t>
            </w:r>
          </w:p>
        </w:tc>
        <w:tc>
          <w:tcPr>
            <w:tcW w:w="1164" w:type="dxa"/>
            <w:hideMark/>
          </w:tcPr>
          <w:p w14:paraId="2C4E3CCA" w14:textId="77777777" w:rsidR="00B847AE" w:rsidRPr="00687DE8" w:rsidRDefault="00B847AE" w:rsidP="00596C68">
            <w:pPr>
              <w:pStyle w:val="Normaallaadveeb"/>
              <w:spacing w:before="0" w:after="0" w:afterAutospacing="0"/>
              <w:jc w:val="center"/>
            </w:pPr>
            <w:r w:rsidRPr="00687DE8">
              <w:t>66135</w:t>
            </w:r>
          </w:p>
        </w:tc>
        <w:tc>
          <w:tcPr>
            <w:tcW w:w="3396" w:type="dxa"/>
            <w:tcBorders>
              <w:top w:val="nil"/>
              <w:left w:val="single" w:sz="4" w:space="0" w:color="auto"/>
              <w:bottom w:val="single" w:sz="4" w:space="0" w:color="auto"/>
              <w:right w:val="single" w:sz="4" w:space="0" w:color="auto"/>
            </w:tcBorders>
            <w:vAlign w:val="center"/>
            <w:hideMark/>
          </w:tcPr>
          <w:p w14:paraId="73333201" w14:textId="25424244" w:rsidR="17B71D4E" w:rsidRPr="00687DE8" w:rsidRDefault="00AF2B17">
            <w:pPr>
              <w:jc w:val="center"/>
              <w:rPr>
                <w:color w:val="000000" w:themeColor="text1"/>
                <w:szCs w:val="24"/>
              </w:rPr>
            </w:pPr>
            <w:r>
              <w:rPr>
                <w:color w:val="000000"/>
              </w:rPr>
              <w:t>42,27</w:t>
            </w:r>
          </w:p>
        </w:tc>
      </w:tr>
      <w:tr w:rsidR="00C530D1" w:rsidRPr="00687DE8" w14:paraId="6577784A" w14:textId="77777777" w:rsidTr="00D30B8D">
        <w:trPr>
          <w:divId w:val="1316184749"/>
          <w:trHeight w:val="300"/>
        </w:trPr>
        <w:tc>
          <w:tcPr>
            <w:tcW w:w="4815" w:type="dxa"/>
            <w:hideMark/>
          </w:tcPr>
          <w:p w14:paraId="46682EC6" w14:textId="77777777" w:rsidR="00B847AE" w:rsidRPr="00687DE8" w:rsidRDefault="00B847AE" w:rsidP="00596C68">
            <w:pPr>
              <w:pStyle w:val="Normaallaadveeb"/>
              <w:spacing w:before="0" w:after="0" w:afterAutospacing="0"/>
            </w:pPr>
            <w:r w:rsidRPr="00687DE8">
              <w:t>Porfüüriauuringud: delta-aminolevuliinhape, koproporfüriin*</w:t>
            </w:r>
          </w:p>
        </w:tc>
        <w:tc>
          <w:tcPr>
            <w:tcW w:w="1164" w:type="dxa"/>
            <w:hideMark/>
          </w:tcPr>
          <w:p w14:paraId="25D74D14" w14:textId="77777777" w:rsidR="00B847AE" w:rsidRPr="00687DE8" w:rsidRDefault="00B847AE" w:rsidP="00596C68">
            <w:pPr>
              <w:pStyle w:val="Normaallaadveeb"/>
              <w:spacing w:before="0" w:after="0" w:afterAutospacing="0"/>
              <w:jc w:val="center"/>
            </w:pPr>
            <w:r w:rsidRPr="00687DE8">
              <w:t>66136</w:t>
            </w:r>
          </w:p>
        </w:tc>
        <w:tc>
          <w:tcPr>
            <w:tcW w:w="3396" w:type="dxa"/>
            <w:tcBorders>
              <w:top w:val="nil"/>
              <w:left w:val="single" w:sz="4" w:space="0" w:color="auto"/>
              <w:bottom w:val="single" w:sz="4" w:space="0" w:color="auto"/>
              <w:right w:val="single" w:sz="4" w:space="0" w:color="auto"/>
            </w:tcBorders>
            <w:vAlign w:val="center"/>
            <w:hideMark/>
          </w:tcPr>
          <w:p w14:paraId="4A2F5AAF" w14:textId="79F4FFD2" w:rsidR="17B71D4E" w:rsidRPr="00687DE8" w:rsidRDefault="00AF2B17">
            <w:pPr>
              <w:jc w:val="center"/>
              <w:rPr>
                <w:color w:val="000000" w:themeColor="text1"/>
                <w:szCs w:val="24"/>
              </w:rPr>
            </w:pPr>
            <w:r>
              <w:rPr>
                <w:color w:val="000000"/>
              </w:rPr>
              <w:t>76,40</w:t>
            </w:r>
          </w:p>
        </w:tc>
      </w:tr>
      <w:tr w:rsidR="00C530D1" w:rsidRPr="00687DE8" w14:paraId="577A523D" w14:textId="77777777" w:rsidTr="00D30B8D">
        <w:trPr>
          <w:divId w:val="1316184749"/>
          <w:trHeight w:val="300"/>
        </w:trPr>
        <w:tc>
          <w:tcPr>
            <w:tcW w:w="4815" w:type="dxa"/>
            <w:hideMark/>
          </w:tcPr>
          <w:p w14:paraId="334EAD4A" w14:textId="77777777" w:rsidR="00B847AE" w:rsidRPr="00687DE8" w:rsidRDefault="00B847AE" w:rsidP="00596C68">
            <w:pPr>
              <w:pStyle w:val="Normaallaadveeb"/>
              <w:spacing w:before="0" w:after="0" w:afterAutospacing="0"/>
            </w:pPr>
            <w:r w:rsidRPr="00687DE8">
              <w:t>Fenüülalaniini kvantitatiivne määramine fluoromeetrilisel meetodil</w:t>
            </w:r>
          </w:p>
        </w:tc>
        <w:tc>
          <w:tcPr>
            <w:tcW w:w="1164" w:type="dxa"/>
            <w:hideMark/>
          </w:tcPr>
          <w:p w14:paraId="6C5AB3C4" w14:textId="77777777" w:rsidR="00B847AE" w:rsidRPr="00687DE8" w:rsidRDefault="00B847AE" w:rsidP="00596C68">
            <w:pPr>
              <w:pStyle w:val="Normaallaadveeb"/>
              <w:spacing w:before="0" w:after="0" w:afterAutospacing="0"/>
              <w:jc w:val="center"/>
            </w:pPr>
            <w:r w:rsidRPr="00687DE8">
              <w:t>66137</w:t>
            </w:r>
          </w:p>
        </w:tc>
        <w:tc>
          <w:tcPr>
            <w:tcW w:w="3396" w:type="dxa"/>
            <w:tcBorders>
              <w:top w:val="nil"/>
              <w:left w:val="single" w:sz="4" w:space="0" w:color="auto"/>
              <w:bottom w:val="single" w:sz="4" w:space="0" w:color="auto"/>
              <w:right w:val="single" w:sz="4" w:space="0" w:color="auto"/>
            </w:tcBorders>
            <w:vAlign w:val="center"/>
            <w:hideMark/>
          </w:tcPr>
          <w:p w14:paraId="5D3E3A84" w14:textId="47070251" w:rsidR="17B71D4E" w:rsidRPr="00687DE8" w:rsidRDefault="00AF2B17">
            <w:pPr>
              <w:jc w:val="center"/>
              <w:rPr>
                <w:color w:val="000000" w:themeColor="text1"/>
                <w:szCs w:val="24"/>
              </w:rPr>
            </w:pPr>
            <w:r>
              <w:rPr>
                <w:color w:val="000000"/>
              </w:rPr>
              <w:t>12,98</w:t>
            </w:r>
          </w:p>
        </w:tc>
      </w:tr>
      <w:tr w:rsidR="00C530D1" w:rsidRPr="00687DE8" w14:paraId="68E145A0" w14:textId="77777777" w:rsidTr="00D30B8D">
        <w:trPr>
          <w:divId w:val="1316184749"/>
          <w:trHeight w:val="300"/>
        </w:trPr>
        <w:tc>
          <w:tcPr>
            <w:tcW w:w="4815" w:type="dxa"/>
            <w:hideMark/>
          </w:tcPr>
          <w:p w14:paraId="0AB1C8C1" w14:textId="77777777" w:rsidR="00B847AE" w:rsidRPr="00687DE8" w:rsidRDefault="00B847AE" w:rsidP="00596C68">
            <w:pPr>
              <w:pStyle w:val="Normaallaadveeb"/>
              <w:spacing w:before="0" w:after="0" w:afterAutospacing="0"/>
            </w:pPr>
            <w:r w:rsidRPr="00687DE8">
              <w:t>Ainevahetushaiguste sõeluuringud</w:t>
            </w:r>
          </w:p>
        </w:tc>
        <w:tc>
          <w:tcPr>
            <w:tcW w:w="1164" w:type="dxa"/>
            <w:hideMark/>
          </w:tcPr>
          <w:p w14:paraId="616F3860" w14:textId="77777777" w:rsidR="00B847AE" w:rsidRPr="00687DE8" w:rsidRDefault="00B847AE" w:rsidP="00596C68">
            <w:pPr>
              <w:pStyle w:val="Normaallaadveeb"/>
              <w:spacing w:before="0" w:after="0" w:afterAutospacing="0"/>
              <w:jc w:val="center"/>
            </w:pPr>
            <w:r w:rsidRPr="00687DE8">
              <w:t>66138</w:t>
            </w:r>
          </w:p>
        </w:tc>
        <w:tc>
          <w:tcPr>
            <w:tcW w:w="3396" w:type="dxa"/>
            <w:tcBorders>
              <w:top w:val="nil"/>
              <w:left w:val="single" w:sz="4" w:space="0" w:color="auto"/>
              <w:bottom w:val="single" w:sz="4" w:space="0" w:color="auto"/>
              <w:right w:val="single" w:sz="4" w:space="0" w:color="auto"/>
            </w:tcBorders>
            <w:vAlign w:val="center"/>
            <w:hideMark/>
          </w:tcPr>
          <w:p w14:paraId="19440F4F" w14:textId="72F0ADF9" w:rsidR="17B71D4E" w:rsidRPr="00687DE8" w:rsidRDefault="00AF2B17">
            <w:pPr>
              <w:jc w:val="center"/>
              <w:rPr>
                <w:color w:val="000000" w:themeColor="text1"/>
                <w:szCs w:val="24"/>
              </w:rPr>
            </w:pPr>
            <w:r>
              <w:rPr>
                <w:color w:val="000000"/>
              </w:rPr>
              <w:t>13,69</w:t>
            </w:r>
          </w:p>
        </w:tc>
      </w:tr>
      <w:tr w:rsidR="00C530D1" w:rsidRPr="00687DE8" w14:paraId="444B5312" w14:textId="77777777" w:rsidTr="00D30B8D">
        <w:trPr>
          <w:divId w:val="1316184749"/>
          <w:trHeight w:val="300"/>
        </w:trPr>
        <w:tc>
          <w:tcPr>
            <w:tcW w:w="4815" w:type="dxa"/>
            <w:hideMark/>
          </w:tcPr>
          <w:p w14:paraId="25390064" w14:textId="77777777" w:rsidR="00B847AE" w:rsidRPr="00687DE8" w:rsidRDefault="00B847AE" w:rsidP="00596C68">
            <w:pPr>
              <w:pStyle w:val="Normaallaadveeb"/>
              <w:spacing w:before="0" w:after="0" w:afterAutospacing="0"/>
            </w:pPr>
            <w:r w:rsidRPr="00687DE8">
              <w:t>Ainevahetushaiguste eriuuringud: aminohapped, suhkrud, puriinid ja pürimidiinid, orgaanilised happed, pika ahelaga rasvhapped, kreatiin, guanidinoatsetaat*</w:t>
            </w:r>
          </w:p>
        </w:tc>
        <w:tc>
          <w:tcPr>
            <w:tcW w:w="1164" w:type="dxa"/>
            <w:hideMark/>
          </w:tcPr>
          <w:p w14:paraId="16D0D113" w14:textId="77777777" w:rsidR="00B847AE" w:rsidRPr="00687DE8" w:rsidRDefault="00B847AE" w:rsidP="00596C68">
            <w:pPr>
              <w:pStyle w:val="Normaallaadveeb"/>
              <w:spacing w:before="0" w:after="0" w:afterAutospacing="0"/>
              <w:jc w:val="center"/>
            </w:pPr>
            <w:r w:rsidRPr="00687DE8">
              <w:t>66139</w:t>
            </w:r>
          </w:p>
        </w:tc>
        <w:tc>
          <w:tcPr>
            <w:tcW w:w="3396" w:type="dxa"/>
            <w:tcBorders>
              <w:top w:val="nil"/>
              <w:left w:val="single" w:sz="4" w:space="0" w:color="auto"/>
              <w:bottom w:val="single" w:sz="4" w:space="0" w:color="auto"/>
              <w:right w:val="single" w:sz="4" w:space="0" w:color="auto"/>
            </w:tcBorders>
            <w:vAlign w:val="center"/>
            <w:hideMark/>
          </w:tcPr>
          <w:p w14:paraId="3B4289DE" w14:textId="164F0D6A" w:rsidR="17B71D4E" w:rsidRPr="00687DE8" w:rsidRDefault="00AF2B17">
            <w:pPr>
              <w:jc w:val="center"/>
              <w:rPr>
                <w:color w:val="000000" w:themeColor="text1"/>
                <w:szCs w:val="24"/>
              </w:rPr>
            </w:pPr>
            <w:r>
              <w:rPr>
                <w:color w:val="000000"/>
              </w:rPr>
              <w:t>104,19</w:t>
            </w:r>
          </w:p>
        </w:tc>
      </w:tr>
      <w:tr w:rsidR="00C530D1" w:rsidRPr="00687DE8" w14:paraId="6B0ED7F0" w14:textId="77777777" w:rsidTr="00D30B8D">
        <w:trPr>
          <w:divId w:val="1316184749"/>
          <w:trHeight w:val="300"/>
        </w:trPr>
        <w:tc>
          <w:tcPr>
            <w:tcW w:w="4815" w:type="dxa"/>
            <w:hideMark/>
          </w:tcPr>
          <w:p w14:paraId="18BEB4A8" w14:textId="77777777" w:rsidR="00B847AE" w:rsidRPr="00687DE8" w:rsidRDefault="00B847AE" w:rsidP="00596C68">
            <w:pPr>
              <w:pStyle w:val="Normaallaadveeb"/>
              <w:spacing w:before="0" w:after="0" w:afterAutospacing="0"/>
            </w:pPr>
            <w:r w:rsidRPr="00687DE8">
              <w:t>Gaaskromatograafiline uuring: alkoholid (etanooli kinnitav uuring, metanool, isopropanool) ja atsetoon, etüleenglükool*</w:t>
            </w:r>
          </w:p>
        </w:tc>
        <w:tc>
          <w:tcPr>
            <w:tcW w:w="1164" w:type="dxa"/>
            <w:hideMark/>
          </w:tcPr>
          <w:p w14:paraId="67253FB6" w14:textId="77777777" w:rsidR="00B847AE" w:rsidRPr="00687DE8" w:rsidRDefault="00B847AE" w:rsidP="00596C68">
            <w:pPr>
              <w:pStyle w:val="Normaallaadveeb"/>
              <w:spacing w:before="0" w:after="0" w:afterAutospacing="0"/>
              <w:jc w:val="center"/>
            </w:pPr>
            <w:r w:rsidRPr="00687DE8">
              <w:t>66140</w:t>
            </w:r>
          </w:p>
        </w:tc>
        <w:tc>
          <w:tcPr>
            <w:tcW w:w="3396" w:type="dxa"/>
            <w:tcBorders>
              <w:top w:val="nil"/>
              <w:left w:val="single" w:sz="4" w:space="0" w:color="auto"/>
              <w:bottom w:val="single" w:sz="4" w:space="0" w:color="auto"/>
              <w:right w:val="single" w:sz="4" w:space="0" w:color="auto"/>
            </w:tcBorders>
            <w:vAlign w:val="center"/>
            <w:hideMark/>
          </w:tcPr>
          <w:p w14:paraId="0E27D5BA" w14:textId="71C25AF8" w:rsidR="17B71D4E" w:rsidRPr="00687DE8" w:rsidRDefault="00AF2B17">
            <w:pPr>
              <w:jc w:val="center"/>
              <w:rPr>
                <w:color w:val="000000" w:themeColor="text1"/>
                <w:szCs w:val="24"/>
              </w:rPr>
            </w:pPr>
            <w:r>
              <w:rPr>
                <w:color w:val="000000"/>
              </w:rPr>
              <w:t>49,34</w:t>
            </w:r>
          </w:p>
        </w:tc>
      </w:tr>
      <w:tr w:rsidR="00C530D1" w:rsidRPr="00687DE8" w14:paraId="707A4F0E" w14:textId="77777777" w:rsidTr="00D30B8D">
        <w:trPr>
          <w:divId w:val="1316184749"/>
          <w:trHeight w:val="300"/>
        </w:trPr>
        <w:tc>
          <w:tcPr>
            <w:tcW w:w="4815" w:type="dxa"/>
            <w:hideMark/>
          </w:tcPr>
          <w:p w14:paraId="337F152A" w14:textId="77777777" w:rsidR="00B847AE" w:rsidRPr="00687DE8" w:rsidRDefault="00B847AE" w:rsidP="00596C68">
            <w:pPr>
              <w:pStyle w:val="Normaallaadveeb"/>
              <w:spacing w:before="0" w:after="0" w:afterAutospacing="0"/>
            </w:pPr>
            <w:r w:rsidRPr="00687DE8">
              <w:t>Narkootiliste ainete ja ravimite sõeluuringud: barbituraadid, bensodiasepiin, opiaadid, amfetamiinid, tritsüklilised antidepressandid, fentsüklidiin, kokaiin, metadoon, kannabinoidid*</w:t>
            </w:r>
          </w:p>
        </w:tc>
        <w:tc>
          <w:tcPr>
            <w:tcW w:w="1164" w:type="dxa"/>
            <w:hideMark/>
          </w:tcPr>
          <w:p w14:paraId="2D5BB337" w14:textId="77777777" w:rsidR="00B847AE" w:rsidRPr="00687DE8" w:rsidRDefault="00B847AE" w:rsidP="00596C68">
            <w:pPr>
              <w:pStyle w:val="Normaallaadveeb"/>
              <w:spacing w:before="0" w:after="0" w:afterAutospacing="0"/>
              <w:jc w:val="center"/>
            </w:pPr>
            <w:r w:rsidRPr="00687DE8">
              <w:t>66141</w:t>
            </w:r>
          </w:p>
        </w:tc>
        <w:tc>
          <w:tcPr>
            <w:tcW w:w="3396" w:type="dxa"/>
            <w:tcBorders>
              <w:top w:val="nil"/>
              <w:left w:val="single" w:sz="4" w:space="0" w:color="auto"/>
              <w:bottom w:val="single" w:sz="4" w:space="0" w:color="auto"/>
              <w:right w:val="single" w:sz="4" w:space="0" w:color="auto"/>
            </w:tcBorders>
            <w:vAlign w:val="center"/>
            <w:hideMark/>
          </w:tcPr>
          <w:p w14:paraId="1A82D972" w14:textId="4828D687" w:rsidR="17B71D4E" w:rsidRPr="00687DE8" w:rsidRDefault="00AF2B17">
            <w:pPr>
              <w:jc w:val="center"/>
              <w:rPr>
                <w:color w:val="000000" w:themeColor="text1"/>
                <w:szCs w:val="24"/>
              </w:rPr>
            </w:pPr>
            <w:r>
              <w:rPr>
                <w:color w:val="000000"/>
              </w:rPr>
              <w:t>5,59</w:t>
            </w:r>
          </w:p>
        </w:tc>
      </w:tr>
      <w:tr w:rsidR="00C530D1" w:rsidRPr="00687DE8" w14:paraId="594D89C3" w14:textId="77777777" w:rsidTr="00D30B8D">
        <w:trPr>
          <w:divId w:val="1316184749"/>
          <w:trHeight w:val="300"/>
        </w:trPr>
        <w:tc>
          <w:tcPr>
            <w:tcW w:w="4815" w:type="dxa"/>
            <w:hideMark/>
          </w:tcPr>
          <w:p w14:paraId="1F37AEFE" w14:textId="77777777" w:rsidR="00B847AE" w:rsidRPr="00687DE8" w:rsidRDefault="00B847AE" w:rsidP="00596C68">
            <w:pPr>
              <w:pStyle w:val="Normaallaadveeb"/>
              <w:spacing w:before="0" w:after="0" w:afterAutospacing="0"/>
            </w:pPr>
            <w:r w:rsidRPr="00687DE8">
              <w:t>Etanool</w:t>
            </w:r>
          </w:p>
        </w:tc>
        <w:tc>
          <w:tcPr>
            <w:tcW w:w="1164" w:type="dxa"/>
            <w:hideMark/>
          </w:tcPr>
          <w:p w14:paraId="3641171F" w14:textId="77777777" w:rsidR="00B847AE" w:rsidRPr="00687DE8" w:rsidRDefault="00B847AE" w:rsidP="00596C68">
            <w:pPr>
              <w:pStyle w:val="Normaallaadveeb"/>
              <w:spacing w:before="0" w:after="0" w:afterAutospacing="0"/>
              <w:jc w:val="center"/>
            </w:pPr>
            <w:r w:rsidRPr="00687DE8">
              <w:t>66142</w:t>
            </w:r>
          </w:p>
        </w:tc>
        <w:tc>
          <w:tcPr>
            <w:tcW w:w="3396" w:type="dxa"/>
            <w:tcBorders>
              <w:top w:val="nil"/>
              <w:left w:val="single" w:sz="4" w:space="0" w:color="auto"/>
              <w:bottom w:val="single" w:sz="4" w:space="0" w:color="auto"/>
              <w:right w:val="single" w:sz="4" w:space="0" w:color="auto"/>
            </w:tcBorders>
            <w:vAlign w:val="center"/>
            <w:hideMark/>
          </w:tcPr>
          <w:p w14:paraId="7D555806" w14:textId="61BACB63" w:rsidR="17B71D4E" w:rsidRPr="00687DE8" w:rsidRDefault="00AF2B17">
            <w:pPr>
              <w:jc w:val="center"/>
              <w:rPr>
                <w:color w:val="000000" w:themeColor="text1"/>
                <w:szCs w:val="24"/>
              </w:rPr>
            </w:pPr>
            <w:r>
              <w:rPr>
                <w:color w:val="000000"/>
              </w:rPr>
              <w:t>7,14</w:t>
            </w:r>
          </w:p>
        </w:tc>
      </w:tr>
      <w:tr w:rsidR="00C530D1" w:rsidRPr="00687DE8" w14:paraId="7EE9F8BE" w14:textId="77777777" w:rsidTr="00D30B8D">
        <w:trPr>
          <w:divId w:val="1316184749"/>
          <w:trHeight w:val="300"/>
        </w:trPr>
        <w:tc>
          <w:tcPr>
            <w:tcW w:w="4815" w:type="dxa"/>
            <w:hideMark/>
          </w:tcPr>
          <w:p w14:paraId="0EAAEBEA" w14:textId="77777777" w:rsidR="00B847AE" w:rsidRPr="00687DE8" w:rsidRDefault="00B847AE" w:rsidP="00596C68">
            <w:pPr>
              <w:pStyle w:val="Normaallaadveeb"/>
              <w:spacing w:before="0" w:after="0" w:afterAutospacing="0"/>
            </w:pPr>
            <w:r w:rsidRPr="00687DE8">
              <w:t>Ravimite kontsentratsiooni määramine 1: digoksiin, fenobarbitaal, fenütoiin, gentamütsiin, karbamasepiin, teofülliin, valproaat, vankomütsiin*</w:t>
            </w:r>
          </w:p>
        </w:tc>
        <w:tc>
          <w:tcPr>
            <w:tcW w:w="1164" w:type="dxa"/>
            <w:hideMark/>
          </w:tcPr>
          <w:p w14:paraId="4E291CF7" w14:textId="77777777" w:rsidR="00B847AE" w:rsidRPr="00687DE8" w:rsidRDefault="00B847AE" w:rsidP="00596C68">
            <w:pPr>
              <w:pStyle w:val="Normaallaadveeb"/>
              <w:spacing w:before="0" w:after="0" w:afterAutospacing="0"/>
              <w:jc w:val="center"/>
            </w:pPr>
            <w:r w:rsidRPr="00687DE8">
              <w:t>66143</w:t>
            </w:r>
          </w:p>
        </w:tc>
        <w:tc>
          <w:tcPr>
            <w:tcW w:w="3396" w:type="dxa"/>
            <w:tcBorders>
              <w:top w:val="nil"/>
              <w:left w:val="single" w:sz="4" w:space="0" w:color="auto"/>
              <w:bottom w:val="single" w:sz="4" w:space="0" w:color="auto"/>
              <w:right w:val="single" w:sz="4" w:space="0" w:color="auto"/>
            </w:tcBorders>
            <w:vAlign w:val="center"/>
            <w:hideMark/>
          </w:tcPr>
          <w:p w14:paraId="124A16FD" w14:textId="561986B4" w:rsidR="17B71D4E" w:rsidRPr="00687DE8" w:rsidRDefault="00AF2B17">
            <w:pPr>
              <w:jc w:val="center"/>
              <w:rPr>
                <w:color w:val="000000" w:themeColor="text1"/>
                <w:szCs w:val="24"/>
              </w:rPr>
            </w:pPr>
            <w:r>
              <w:rPr>
                <w:color w:val="000000"/>
              </w:rPr>
              <w:t>14,97</w:t>
            </w:r>
          </w:p>
        </w:tc>
      </w:tr>
      <w:tr w:rsidR="00C530D1" w:rsidRPr="00687DE8" w14:paraId="14543BAE" w14:textId="77777777" w:rsidTr="00D30B8D">
        <w:trPr>
          <w:divId w:val="1316184749"/>
          <w:trHeight w:val="300"/>
        </w:trPr>
        <w:tc>
          <w:tcPr>
            <w:tcW w:w="4815" w:type="dxa"/>
            <w:hideMark/>
          </w:tcPr>
          <w:p w14:paraId="70F88B61" w14:textId="77777777" w:rsidR="00B847AE" w:rsidRPr="00687DE8" w:rsidRDefault="00B847AE" w:rsidP="00596C68">
            <w:pPr>
              <w:pStyle w:val="Normaallaadveeb"/>
              <w:spacing w:before="0" w:after="0" w:afterAutospacing="0"/>
            </w:pPr>
            <w:r w:rsidRPr="00687DE8">
              <w:t>Ravimite kontsentratsiooni määramine 2: tsüklosporiin, paratsetamool, amikatsiin, salitsülaadid, metotreksaat*</w:t>
            </w:r>
          </w:p>
        </w:tc>
        <w:tc>
          <w:tcPr>
            <w:tcW w:w="1164" w:type="dxa"/>
            <w:hideMark/>
          </w:tcPr>
          <w:p w14:paraId="0A07F9E8" w14:textId="77777777" w:rsidR="00B847AE" w:rsidRPr="00687DE8" w:rsidRDefault="00B847AE" w:rsidP="00596C68">
            <w:pPr>
              <w:pStyle w:val="Normaallaadveeb"/>
              <w:spacing w:before="0" w:after="0" w:afterAutospacing="0"/>
              <w:jc w:val="center"/>
            </w:pPr>
            <w:r w:rsidRPr="00687DE8">
              <w:t>66144</w:t>
            </w:r>
          </w:p>
        </w:tc>
        <w:tc>
          <w:tcPr>
            <w:tcW w:w="3396" w:type="dxa"/>
            <w:tcBorders>
              <w:top w:val="nil"/>
              <w:left w:val="single" w:sz="4" w:space="0" w:color="auto"/>
              <w:bottom w:val="single" w:sz="4" w:space="0" w:color="auto"/>
              <w:right w:val="single" w:sz="4" w:space="0" w:color="auto"/>
            </w:tcBorders>
            <w:vAlign w:val="center"/>
            <w:hideMark/>
          </w:tcPr>
          <w:p w14:paraId="218AFDF8" w14:textId="2C519D41" w:rsidR="17B71D4E" w:rsidRPr="00687DE8" w:rsidRDefault="00AF2B17">
            <w:pPr>
              <w:jc w:val="center"/>
              <w:rPr>
                <w:color w:val="000000" w:themeColor="text1"/>
                <w:szCs w:val="24"/>
              </w:rPr>
            </w:pPr>
            <w:r>
              <w:rPr>
                <w:color w:val="000000"/>
              </w:rPr>
              <w:t>25,37</w:t>
            </w:r>
          </w:p>
        </w:tc>
      </w:tr>
      <w:tr w:rsidR="00C530D1" w:rsidRPr="00687DE8" w14:paraId="1EDF0FF7" w14:textId="77777777" w:rsidTr="00D30B8D">
        <w:trPr>
          <w:divId w:val="1316184749"/>
          <w:trHeight w:val="300"/>
        </w:trPr>
        <w:tc>
          <w:tcPr>
            <w:tcW w:w="4815" w:type="dxa"/>
            <w:hideMark/>
          </w:tcPr>
          <w:p w14:paraId="7E82505C" w14:textId="77777777" w:rsidR="00B847AE" w:rsidRPr="00687DE8" w:rsidRDefault="00B847AE" w:rsidP="00596C68">
            <w:pPr>
              <w:pStyle w:val="Normaallaadveeb"/>
              <w:spacing w:before="0" w:after="0" w:afterAutospacing="0"/>
            </w:pPr>
            <w:r w:rsidRPr="00687DE8">
              <w:t>Metallide määramine: Cu, Zn, Pb, Hg, Cd, Mn*</w:t>
            </w:r>
          </w:p>
        </w:tc>
        <w:tc>
          <w:tcPr>
            <w:tcW w:w="1164" w:type="dxa"/>
            <w:hideMark/>
          </w:tcPr>
          <w:p w14:paraId="6851C491" w14:textId="77777777" w:rsidR="00B847AE" w:rsidRPr="00687DE8" w:rsidRDefault="00B847AE" w:rsidP="00596C68">
            <w:pPr>
              <w:pStyle w:val="Normaallaadveeb"/>
              <w:spacing w:before="0" w:after="0" w:afterAutospacing="0"/>
              <w:jc w:val="center"/>
            </w:pPr>
            <w:r w:rsidRPr="00687DE8">
              <w:t>66145</w:t>
            </w:r>
          </w:p>
        </w:tc>
        <w:tc>
          <w:tcPr>
            <w:tcW w:w="3396" w:type="dxa"/>
            <w:tcBorders>
              <w:top w:val="nil"/>
              <w:left w:val="single" w:sz="4" w:space="0" w:color="auto"/>
              <w:bottom w:val="single" w:sz="4" w:space="0" w:color="auto"/>
              <w:right w:val="single" w:sz="4" w:space="0" w:color="auto"/>
            </w:tcBorders>
            <w:vAlign w:val="center"/>
            <w:hideMark/>
          </w:tcPr>
          <w:p w14:paraId="1422911D" w14:textId="520A95BD" w:rsidR="17B71D4E" w:rsidRPr="00687DE8" w:rsidRDefault="00AF2B17">
            <w:pPr>
              <w:jc w:val="center"/>
              <w:rPr>
                <w:color w:val="000000" w:themeColor="text1"/>
                <w:szCs w:val="24"/>
              </w:rPr>
            </w:pPr>
            <w:r>
              <w:rPr>
                <w:color w:val="000000"/>
              </w:rPr>
              <w:t>85,84</w:t>
            </w:r>
          </w:p>
        </w:tc>
      </w:tr>
      <w:tr w:rsidR="00C530D1" w:rsidRPr="00687DE8" w14:paraId="63C8E35B" w14:textId="77777777" w:rsidTr="00D30B8D">
        <w:trPr>
          <w:divId w:val="1316184749"/>
          <w:trHeight w:val="300"/>
        </w:trPr>
        <w:tc>
          <w:tcPr>
            <w:tcW w:w="4815" w:type="dxa"/>
            <w:hideMark/>
          </w:tcPr>
          <w:p w14:paraId="6E744687" w14:textId="77777777" w:rsidR="00B847AE" w:rsidRPr="00687DE8" w:rsidRDefault="00B847AE" w:rsidP="00596C68">
            <w:pPr>
              <w:pStyle w:val="Normaallaadveeb"/>
              <w:spacing w:before="0" w:after="0" w:afterAutospacing="0"/>
            </w:pPr>
            <w:r w:rsidRPr="00687DE8">
              <w:t>Loote kopsude küpsusastme hindamine (surfaktandi ja albumiini suhe lootevedelikus)</w:t>
            </w:r>
          </w:p>
        </w:tc>
        <w:tc>
          <w:tcPr>
            <w:tcW w:w="1164" w:type="dxa"/>
            <w:hideMark/>
          </w:tcPr>
          <w:p w14:paraId="7DC2940A" w14:textId="77777777" w:rsidR="00B847AE" w:rsidRPr="00687DE8" w:rsidRDefault="00B847AE" w:rsidP="00596C68">
            <w:pPr>
              <w:pStyle w:val="Normaallaadveeb"/>
              <w:spacing w:before="0" w:after="0" w:afterAutospacing="0"/>
              <w:jc w:val="center"/>
            </w:pPr>
            <w:r w:rsidRPr="00687DE8">
              <w:t>66146</w:t>
            </w:r>
          </w:p>
        </w:tc>
        <w:tc>
          <w:tcPr>
            <w:tcW w:w="3396" w:type="dxa"/>
            <w:tcBorders>
              <w:top w:val="nil"/>
              <w:left w:val="single" w:sz="4" w:space="0" w:color="auto"/>
              <w:bottom w:val="single" w:sz="4" w:space="0" w:color="auto"/>
              <w:right w:val="single" w:sz="4" w:space="0" w:color="auto"/>
            </w:tcBorders>
            <w:vAlign w:val="center"/>
            <w:hideMark/>
          </w:tcPr>
          <w:p w14:paraId="23D97F38" w14:textId="7B1F464E" w:rsidR="17B71D4E" w:rsidRPr="00687DE8" w:rsidRDefault="00AF2B17">
            <w:pPr>
              <w:jc w:val="center"/>
              <w:rPr>
                <w:color w:val="000000" w:themeColor="text1"/>
                <w:szCs w:val="24"/>
              </w:rPr>
            </w:pPr>
            <w:r>
              <w:rPr>
                <w:color w:val="000000"/>
              </w:rPr>
              <w:t>73,54</w:t>
            </w:r>
          </w:p>
        </w:tc>
      </w:tr>
      <w:tr w:rsidR="00C530D1" w:rsidRPr="00687DE8" w14:paraId="35C42B0E" w14:textId="77777777" w:rsidTr="00D30B8D">
        <w:trPr>
          <w:divId w:val="1316184749"/>
          <w:trHeight w:val="300"/>
        </w:trPr>
        <w:tc>
          <w:tcPr>
            <w:tcW w:w="4815" w:type="dxa"/>
            <w:hideMark/>
          </w:tcPr>
          <w:p w14:paraId="2CC6F852" w14:textId="77777777" w:rsidR="00B847AE" w:rsidRPr="00687DE8" w:rsidRDefault="00B847AE" w:rsidP="00596C68">
            <w:pPr>
              <w:pStyle w:val="Normaallaadveeb"/>
              <w:spacing w:before="0" w:after="0" w:afterAutospacing="0"/>
            </w:pPr>
            <w:r w:rsidRPr="00687DE8">
              <w:t>Aminohapete ja atsüülkarnitiinide kvantitatiivne määramine kuivatatud vereplekist tandem-MS-meetodil</w:t>
            </w:r>
          </w:p>
        </w:tc>
        <w:tc>
          <w:tcPr>
            <w:tcW w:w="1164" w:type="dxa"/>
            <w:hideMark/>
          </w:tcPr>
          <w:p w14:paraId="68312898" w14:textId="77777777" w:rsidR="00B847AE" w:rsidRPr="00687DE8" w:rsidRDefault="00B847AE" w:rsidP="00596C68">
            <w:pPr>
              <w:pStyle w:val="Normaallaadveeb"/>
              <w:spacing w:before="0" w:after="0" w:afterAutospacing="0"/>
              <w:jc w:val="center"/>
            </w:pPr>
            <w:r w:rsidRPr="00687DE8">
              <w:t>66147</w:t>
            </w:r>
          </w:p>
        </w:tc>
        <w:tc>
          <w:tcPr>
            <w:tcW w:w="3396" w:type="dxa"/>
            <w:tcBorders>
              <w:top w:val="nil"/>
              <w:left w:val="single" w:sz="4" w:space="0" w:color="auto"/>
              <w:bottom w:val="single" w:sz="4" w:space="0" w:color="auto"/>
              <w:right w:val="single" w:sz="4" w:space="0" w:color="auto"/>
            </w:tcBorders>
            <w:vAlign w:val="center"/>
            <w:hideMark/>
          </w:tcPr>
          <w:p w14:paraId="44F5537E" w14:textId="79D90595" w:rsidR="17B71D4E" w:rsidRPr="00687DE8" w:rsidRDefault="00AF2B17">
            <w:pPr>
              <w:jc w:val="center"/>
              <w:rPr>
                <w:color w:val="000000" w:themeColor="text1"/>
                <w:szCs w:val="24"/>
              </w:rPr>
            </w:pPr>
            <w:r>
              <w:rPr>
                <w:color w:val="000000"/>
              </w:rPr>
              <w:t>25,65</w:t>
            </w:r>
          </w:p>
        </w:tc>
      </w:tr>
      <w:tr w:rsidR="000F006F" w:rsidRPr="00687DE8" w14:paraId="72412C5D" w14:textId="77777777" w:rsidTr="00D30B8D">
        <w:trPr>
          <w:divId w:val="1316184749"/>
          <w:trHeight w:val="300"/>
        </w:trPr>
        <w:tc>
          <w:tcPr>
            <w:tcW w:w="4815" w:type="dxa"/>
          </w:tcPr>
          <w:p w14:paraId="6E63FE3B" w14:textId="3B7D4977" w:rsidR="000F3A6B" w:rsidRPr="003C341A" w:rsidRDefault="00011199" w:rsidP="00596C68">
            <w:pPr>
              <w:pStyle w:val="Normaallaadveeb"/>
              <w:spacing w:before="0" w:after="0" w:afterAutospacing="0"/>
            </w:pPr>
            <w:r w:rsidRPr="003C341A">
              <w:lastRenderedPageBreak/>
              <w:t>Kloriidi määramine higis kulonomeetrilise tiitrimise meetodil</w:t>
            </w:r>
          </w:p>
        </w:tc>
        <w:tc>
          <w:tcPr>
            <w:tcW w:w="1164" w:type="dxa"/>
          </w:tcPr>
          <w:p w14:paraId="0D1D171F" w14:textId="0E7BF868" w:rsidR="000F3A6B" w:rsidRPr="003C341A" w:rsidRDefault="00554050" w:rsidP="00596C68">
            <w:pPr>
              <w:pStyle w:val="Normaallaadveeb"/>
              <w:spacing w:before="0" w:after="0" w:afterAutospacing="0"/>
              <w:jc w:val="center"/>
            </w:pPr>
            <w:r w:rsidRPr="003C341A">
              <w:t>66148</w:t>
            </w:r>
          </w:p>
        </w:tc>
        <w:tc>
          <w:tcPr>
            <w:tcW w:w="3396" w:type="dxa"/>
          </w:tcPr>
          <w:p w14:paraId="300CB324" w14:textId="0D50046E" w:rsidR="000F3A6B" w:rsidRPr="003C341A" w:rsidRDefault="00DF5CD6">
            <w:pPr>
              <w:jc w:val="center"/>
              <w:rPr>
                <w:color w:val="000000"/>
              </w:rPr>
            </w:pPr>
            <w:r>
              <w:rPr>
                <w:color w:val="000000" w:themeColor="text1"/>
              </w:rPr>
              <w:t>118,14</w:t>
            </w:r>
          </w:p>
        </w:tc>
      </w:tr>
    </w:tbl>
    <w:p w14:paraId="41B49A3E" w14:textId="77777777" w:rsidR="00976487" w:rsidRPr="00687DE8" w:rsidRDefault="00976487" w:rsidP="00976487">
      <w:pPr>
        <w:pStyle w:val="Normaallaadveeb"/>
        <w:spacing w:before="0" w:after="0" w:afterAutospacing="0"/>
        <w:jc w:val="both"/>
        <w:divId w:val="1316184749"/>
      </w:pPr>
    </w:p>
    <w:p w14:paraId="488E146A" w14:textId="77777777" w:rsidR="00976487" w:rsidRPr="00687DE8" w:rsidRDefault="00976487" w:rsidP="00976487">
      <w:pPr>
        <w:pStyle w:val="Normaallaadveeb"/>
        <w:spacing w:before="0" w:after="0" w:afterAutospacing="0"/>
        <w:jc w:val="both"/>
        <w:divId w:val="1316184749"/>
      </w:pPr>
      <w:r w:rsidRPr="00687DE8">
        <w:t xml:space="preserve">(2) </w:t>
      </w:r>
      <w:r w:rsidR="00837500" w:rsidRPr="00687DE8">
        <w:t>L</w:t>
      </w:r>
      <w:r w:rsidRPr="00687DE8">
        <w:t>õikes 1 sätestatud uuringute piirhindade rakendamisel lähtutakse järgmistest tingimustest:</w:t>
      </w:r>
    </w:p>
    <w:p w14:paraId="0DB202D3" w14:textId="77777777" w:rsidR="00976487" w:rsidRPr="00687DE8" w:rsidRDefault="00976487" w:rsidP="00976487">
      <w:pPr>
        <w:pStyle w:val="Normaallaadveeb"/>
        <w:spacing w:before="0" w:after="0" w:afterAutospacing="0"/>
        <w:jc w:val="both"/>
        <w:divId w:val="1316184749"/>
      </w:pPr>
      <w:r w:rsidRPr="00687DE8">
        <w:t>1)</w:t>
      </w:r>
      <w:r w:rsidRPr="00687DE8">
        <w:rPr>
          <w:rStyle w:val="tyhik"/>
        </w:rPr>
        <w:t xml:space="preserve"> </w:t>
      </w:r>
      <w:r w:rsidRPr="00687DE8">
        <w:t>koodiga 66137 tähistatud uuringu piirhinda ei rakendata vastsündinute skriininguks;</w:t>
      </w:r>
    </w:p>
    <w:p w14:paraId="012303BE" w14:textId="77777777" w:rsidR="00976487" w:rsidRPr="00687DE8" w:rsidRDefault="00976487" w:rsidP="00976487">
      <w:pPr>
        <w:pStyle w:val="Normaallaadveeb"/>
        <w:spacing w:before="0" w:after="0" w:afterAutospacing="0"/>
        <w:jc w:val="both"/>
        <w:divId w:val="1316184749"/>
      </w:pPr>
      <w:r w:rsidRPr="00687DE8">
        <w:t>2)</w:t>
      </w:r>
      <w:r w:rsidRPr="00687DE8">
        <w:rPr>
          <w:rStyle w:val="tyhik"/>
        </w:rPr>
        <w:t xml:space="preserve"> </w:t>
      </w:r>
      <w:r w:rsidRPr="00687DE8">
        <w:t>koodiga 66147 tähistatud uuringu piirhinda rakendatakse vastsündinute skriininguks.</w:t>
      </w:r>
    </w:p>
    <w:p w14:paraId="72CC05FF" w14:textId="77777777" w:rsidR="005F59DE" w:rsidRDefault="005F59DE" w:rsidP="00976487">
      <w:pPr>
        <w:pStyle w:val="Normaallaadveeb"/>
        <w:spacing w:before="0" w:after="0" w:afterAutospacing="0"/>
        <w:jc w:val="both"/>
        <w:divId w:val="1316184749"/>
      </w:pPr>
    </w:p>
    <w:p w14:paraId="09763B16" w14:textId="2DB1EDF2" w:rsidR="005F59DE" w:rsidRPr="00F51A29" w:rsidRDefault="005F59DE" w:rsidP="005F59DE">
      <w:pPr>
        <w:jc w:val="both"/>
        <w:divId w:val="1316184749"/>
      </w:pPr>
      <w:r>
        <w:t xml:space="preserve">(3) Tervisekassa võtab koodiga 66148 </w:t>
      </w:r>
      <w:r w:rsidR="00F31F62">
        <w:t xml:space="preserve">tähistatud </w:t>
      </w:r>
      <w:r w:rsidR="00FE06F2">
        <w:t xml:space="preserve">uuringu </w:t>
      </w:r>
      <w:r w:rsidR="00F31F62">
        <w:t xml:space="preserve">eest </w:t>
      </w:r>
      <w:r>
        <w:t xml:space="preserve">tasu maksmise kohustuse üle </w:t>
      </w:r>
      <w:r w:rsidR="00F31F62">
        <w:t>juhul,</w:t>
      </w:r>
      <w:r>
        <w:t xml:space="preserve"> kui teenust osutat</w:t>
      </w:r>
      <w:r w:rsidR="00816D8F">
        <w:t xml:space="preserve">akse </w:t>
      </w:r>
      <w:r w:rsidR="00816D8F" w:rsidRPr="00816D8F">
        <w:t>haiglate loetelus nimetatud</w:t>
      </w:r>
      <w:r>
        <w:t xml:space="preserve"> </w:t>
      </w:r>
      <w:r w:rsidRPr="001E4BB5">
        <w:t xml:space="preserve">piirkondlikus haiglas tsüstilise fibroosi kahtluse korral diagnoosi kinnitamiseks või välistamiseks </w:t>
      </w:r>
      <w:r>
        <w:t>või</w:t>
      </w:r>
      <w:r w:rsidRPr="001E4BB5">
        <w:t xml:space="preserve"> tsüstilise fibroosi ravi</w:t>
      </w:r>
      <w:r w:rsidR="003862DC">
        <w:t xml:space="preserve"> </w:t>
      </w:r>
      <w:r w:rsidRPr="001E4BB5">
        <w:t>efektiivsuse jälgimiseks.</w:t>
      </w:r>
    </w:p>
    <w:p w14:paraId="0EDAE1F5" w14:textId="5F05CC46" w:rsidR="00A83C61" w:rsidRPr="00F51A29" w:rsidRDefault="00085D4B" w:rsidP="00AD1549">
      <w:pPr>
        <w:spacing w:after="0" w:line="240" w:lineRule="auto"/>
        <w:jc w:val="both"/>
        <w:divId w:val="1316184749"/>
      </w:pPr>
      <w:r>
        <w:t xml:space="preserve">(4) </w:t>
      </w:r>
      <w:r w:rsidR="00FB1082">
        <w:t xml:space="preserve">Koodiga 66148 tähistatud </w:t>
      </w:r>
      <w:r w:rsidR="00BB38DD">
        <w:t xml:space="preserve">uuringu </w:t>
      </w:r>
      <w:r w:rsidR="00FB1082">
        <w:t xml:space="preserve">piirhind sisaldab </w:t>
      </w:r>
      <w:r w:rsidR="00DE0A1D">
        <w:t>h</w:t>
      </w:r>
      <w:r w:rsidR="003C759E">
        <w:t xml:space="preserve">igi kogumise protseduuri ja </w:t>
      </w:r>
      <w:r w:rsidR="004F1EF1">
        <w:t xml:space="preserve">higis </w:t>
      </w:r>
      <w:r w:rsidR="00AB4395">
        <w:t xml:space="preserve">sisalduvate </w:t>
      </w:r>
      <w:r w:rsidR="003C759E">
        <w:t>kloriidi</w:t>
      </w:r>
      <w:r w:rsidR="00AB4395">
        <w:t>de hulga</w:t>
      </w:r>
      <w:r w:rsidR="003C759E">
        <w:t xml:space="preserve"> </w:t>
      </w:r>
      <w:r w:rsidR="00AB4395">
        <w:t>analüüsimise</w:t>
      </w:r>
      <w:r w:rsidR="003C759E">
        <w:t xml:space="preserve"> </w:t>
      </w:r>
      <w:r w:rsidR="004F1EF1">
        <w:t>kulusid</w:t>
      </w:r>
      <w:r w:rsidR="00AF4F47">
        <w:t>.</w:t>
      </w:r>
      <w:r w:rsidR="00D376FC">
        <w:t xml:space="preserve"> </w:t>
      </w:r>
      <w:r w:rsidR="007F7BE6">
        <w:t>K</w:t>
      </w:r>
      <w:r w:rsidR="00D376FC">
        <w:t>oodiga 66148 tähistatud tervishoiuteenust ei rakenda</w:t>
      </w:r>
      <w:r w:rsidR="00897307">
        <w:t>ta samal ajal koodi</w:t>
      </w:r>
      <w:r w:rsidR="00F220EC">
        <w:t>de</w:t>
      </w:r>
      <w:r w:rsidR="00897307">
        <w:t>ga</w:t>
      </w:r>
      <w:r w:rsidR="00F220EC">
        <w:t xml:space="preserve"> 3018, 3019 ja</w:t>
      </w:r>
      <w:r w:rsidR="00897307">
        <w:t xml:space="preserve"> 3035 tähistatud tervishoiuteenus</w:t>
      </w:r>
      <w:r w:rsidR="00F220EC">
        <w:t>t</w:t>
      </w:r>
      <w:r w:rsidR="00897307">
        <w:t>ega</w:t>
      </w:r>
      <w:r w:rsidR="004F1EF1">
        <w:t>.</w:t>
      </w:r>
    </w:p>
    <w:p w14:paraId="37532E25" w14:textId="77777777" w:rsidR="00976487" w:rsidRPr="00687DE8" w:rsidRDefault="00976487" w:rsidP="00AD1549">
      <w:pPr>
        <w:pStyle w:val="Pealkiri3"/>
        <w:spacing w:before="0" w:after="0" w:afterAutospacing="0"/>
        <w:jc w:val="both"/>
        <w:divId w:val="1316184749"/>
        <w:rPr>
          <w:rStyle w:val="Tugev"/>
          <w:b/>
          <w:bCs/>
          <w:sz w:val="24"/>
          <w:szCs w:val="24"/>
        </w:rPr>
      </w:pPr>
    </w:p>
    <w:p w14:paraId="0D1E1C09" w14:textId="77777777" w:rsidR="00976487" w:rsidRDefault="5C52CFD9" w:rsidP="00AD1549">
      <w:pPr>
        <w:pStyle w:val="Pealkiri3"/>
        <w:spacing w:before="0" w:after="0" w:afterAutospacing="0"/>
        <w:jc w:val="both"/>
        <w:divId w:val="1316184749"/>
        <w:rPr>
          <w:sz w:val="24"/>
          <w:szCs w:val="24"/>
        </w:rPr>
      </w:pPr>
      <w:r w:rsidRPr="00687DE8">
        <w:rPr>
          <w:rStyle w:val="Tugev"/>
          <w:b/>
          <w:bCs/>
          <w:sz w:val="24"/>
          <w:szCs w:val="24"/>
        </w:rPr>
        <w:t xml:space="preserve">§ 68. </w:t>
      </w:r>
      <w:r w:rsidRPr="00687DE8">
        <w:rPr>
          <w:sz w:val="24"/>
          <w:szCs w:val="24"/>
        </w:rPr>
        <w:t>Vere, kehavedelike ja eritiste rakkude uuringute piirhinnad</w:t>
      </w:r>
    </w:p>
    <w:p w14:paraId="0FF62839" w14:textId="77777777" w:rsidR="0084789F" w:rsidRDefault="0084789F" w:rsidP="00976487">
      <w:pPr>
        <w:pStyle w:val="Normaallaadveeb"/>
        <w:spacing w:before="0" w:after="0" w:afterAutospacing="0"/>
        <w:jc w:val="both"/>
        <w:divId w:val="1316184749"/>
      </w:pPr>
    </w:p>
    <w:p w14:paraId="572634FF" w14:textId="389D91FB" w:rsidR="00976487" w:rsidRPr="00687DE8" w:rsidRDefault="00976487" w:rsidP="00976487">
      <w:pPr>
        <w:pStyle w:val="Normaallaadveeb"/>
        <w:spacing w:before="0" w:after="0" w:afterAutospacing="0"/>
        <w:jc w:val="both"/>
        <w:divId w:val="1316184749"/>
      </w:pPr>
      <w:r w:rsidRPr="00687DE8">
        <w:t>Vere, kehavedelike ja eritiste rakkude uuringute piirhinnad on järgmised:</w:t>
      </w:r>
    </w:p>
    <w:p w14:paraId="6FCC0F86" w14:textId="77777777" w:rsidR="00976487" w:rsidRPr="00687DE8" w:rsidRDefault="00976487" w:rsidP="00976487">
      <w:pPr>
        <w:pStyle w:val="Normaallaadveeb"/>
        <w:spacing w:before="0" w:after="0" w:afterAutospacing="0"/>
        <w:jc w:val="both"/>
        <w:divId w:val="131618474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5"/>
        <w:gridCol w:w="2310"/>
        <w:gridCol w:w="1230"/>
      </w:tblGrid>
      <w:tr w:rsidR="00976487" w:rsidRPr="00687DE8" w14:paraId="788A3179" w14:textId="77777777" w:rsidTr="006715B7">
        <w:trPr>
          <w:divId w:val="1316184749"/>
          <w:tblHeader/>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7C6F4F" w14:textId="77777777" w:rsidR="00976487" w:rsidRPr="00687DE8" w:rsidRDefault="00976487" w:rsidP="00C80855">
            <w:pPr>
              <w:pStyle w:val="Normaallaadveeb"/>
              <w:spacing w:before="0" w:after="0" w:afterAutospacing="0"/>
              <w:jc w:val="center"/>
            </w:pPr>
            <w:r w:rsidRPr="00687DE8">
              <w:rPr>
                <w:b/>
                <w:bCs/>
              </w:rPr>
              <w:t>Uuringu nimetus</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C6E544" w14:textId="77777777" w:rsidR="00976487" w:rsidRPr="00687DE8" w:rsidRDefault="00976487" w:rsidP="00C80855">
            <w:pPr>
              <w:pStyle w:val="Normaallaadveeb"/>
              <w:spacing w:before="0" w:after="0" w:afterAutospacing="0"/>
              <w:jc w:val="center"/>
            </w:pPr>
            <w:r w:rsidRPr="00687DE8">
              <w:rPr>
                <w:b/>
                <w:bCs/>
              </w:rPr>
              <w:t>Kood</w:t>
            </w:r>
          </w:p>
        </w:tc>
        <w:tc>
          <w:tcPr>
            <w:tcW w:w="12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564B0E" w14:textId="77777777" w:rsidR="00976487" w:rsidRPr="00687DE8" w:rsidRDefault="00976487" w:rsidP="00C80855">
            <w:pPr>
              <w:pStyle w:val="Normaallaadveeb"/>
              <w:tabs>
                <w:tab w:val="decimal" w:pos="635"/>
              </w:tabs>
              <w:spacing w:before="0" w:after="0" w:afterAutospacing="0"/>
              <w:jc w:val="center"/>
            </w:pPr>
            <w:r w:rsidRPr="00687DE8">
              <w:rPr>
                <w:b/>
                <w:bCs/>
              </w:rPr>
              <w:t>Piirhind</w:t>
            </w:r>
            <w:r w:rsidRPr="00687DE8">
              <w:rPr>
                <w:b/>
                <w:bCs/>
              </w:rPr>
              <w:br/>
              <w:t>eurodes</w:t>
            </w:r>
          </w:p>
        </w:tc>
      </w:tr>
      <w:tr w:rsidR="00B847AE" w:rsidRPr="00687DE8" w14:paraId="67985FF8"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98E38B" w14:textId="77777777" w:rsidR="00B847AE" w:rsidRPr="00687DE8" w:rsidRDefault="00B847AE" w:rsidP="00C80855">
            <w:pPr>
              <w:pStyle w:val="Normaallaadveeb"/>
              <w:spacing w:before="0" w:after="0" w:afterAutospacing="0"/>
            </w:pPr>
            <w:r w:rsidRPr="00687DE8">
              <w:t>Erütrotsüütide settekiiruse uuring</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5E3D9D" w14:textId="77777777" w:rsidR="00B847AE" w:rsidRPr="00687DE8" w:rsidRDefault="00B847AE" w:rsidP="00C80855">
            <w:pPr>
              <w:pStyle w:val="Normaallaadveeb"/>
              <w:spacing w:before="0" w:after="0" w:afterAutospacing="0"/>
              <w:jc w:val="center"/>
            </w:pPr>
            <w:r w:rsidRPr="00687DE8">
              <w:t>66200</w:t>
            </w:r>
          </w:p>
        </w:tc>
        <w:tc>
          <w:tcPr>
            <w:tcW w:w="12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21C3B4" w14:textId="51C6A7C8" w:rsidR="00062045" w:rsidRPr="00687DE8" w:rsidRDefault="00775F22">
            <w:pPr>
              <w:spacing w:after="0"/>
              <w:jc w:val="center"/>
              <w:rPr>
                <w:szCs w:val="24"/>
              </w:rPr>
            </w:pPr>
            <w:r>
              <w:rPr>
                <w:color w:val="000000"/>
              </w:rPr>
              <w:t>3,28</w:t>
            </w:r>
          </w:p>
        </w:tc>
      </w:tr>
      <w:tr w:rsidR="00B847AE" w:rsidRPr="00687DE8" w14:paraId="534BBFB0"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A6A7FA" w14:textId="77777777" w:rsidR="00B847AE" w:rsidRPr="00687DE8" w:rsidRDefault="00B847AE" w:rsidP="00C80855">
            <w:pPr>
              <w:pStyle w:val="Normaallaadveeb"/>
              <w:spacing w:before="0" w:after="0" w:afterAutospacing="0"/>
            </w:pPr>
            <w:r w:rsidRPr="00687DE8">
              <w:t>Hemogramm (vere automaatuuring leukogrammita või kolmeosalise leukogrammiga)</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386F777" w14:textId="77777777" w:rsidR="00B847AE" w:rsidRPr="00687DE8" w:rsidRDefault="00B847AE" w:rsidP="00C80855">
            <w:pPr>
              <w:pStyle w:val="Normaallaadveeb"/>
              <w:spacing w:before="0" w:after="0" w:afterAutospacing="0"/>
              <w:jc w:val="center"/>
            </w:pPr>
            <w:r w:rsidRPr="00687DE8">
              <w:t>66201</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9076A4" w14:textId="4D1F89DC" w:rsidR="00062045" w:rsidRPr="00687DE8" w:rsidRDefault="00775F22">
            <w:pPr>
              <w:spacing w:after="0"/>
              <w:jc w:val="center"/>
              <w:rPr>
                <w:szCs w:val="24"/>
              </w:rPr>
            </w:pPr>
            <w:r>
              <w:rPr>
                <w:color w:val="000000"/>
              </w:rPr>
              <w:t>4,04</w:t>
            </w:r>
          </w:p>
        </w:tc>
      </w:tr>
      <w:tr w:rsidR="00B847AE" w:rsidRPr="00687DE8" w14:paraId="4EBDE319"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05A28C" w14:textId="77777777" w:rsidR="00B847AE" w:rsidRPr="00687DE8" w:rsidRDefault="00B847AE" w:rsidP="00C80855">
            <w:pPr>
              <w:pStyle w:val="Normaallaadveeb"/>
              <w:spacing w:before="0" w:after="0" w:afterAutospacing="0"/>
            </w:pPr>
            <w:r w:rsidRPr="00687DE8">
              <w:t>Hemogramm viieosalise leukogrammiga</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39A602" w14:textId="77777777" w:rsidR="00B847AE" w:rsidRPr="00687DE8" w:rsidRDefault="00B847AE" w:rsidP="00C80855">
            <w:pPr>
              <w:pStyle w:val="Normaallaadveeb"/>
              <w:spacing w:before="0" w:after="0" w:afterAutospacing="0"/>
              <w:jc w:val="center"/>
            </w:pPr>
            <w:r w:rsidRPr="00687DE8">
              <w:t>66202</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635FEF" w14:textId="4DF88D78" w:rsidR="00062045" w:rsidRPr="00687DE8" w:rsidRDefault="00775F22">
            <w:pPr>
              <w:spacing w:after="0"/>
              <w:jc w:val="center"/>
              <w:rPr>
                <w:szCs w:val="24"/>
              </w:rPr>
            </w:pPr>
            <w:r>
              <w:rPr>
                <w:color w:val="000000"/>
              </w:rPr>
              <w:t>4,28</w:t>
            </w:r>
          </w:p>
        </w:tc>
      </w:tr>
      <w:tr w:rsidR="00B847AE" w:rsidRPr="00687DE8" w14:paraId="2013BF15"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E2593" w14:textId="77777777" w:rsidR="00B847AE" w:rsidRPr="00687DE8" w:rsidRDefault="00B847AE" w:rsidP="00C80855">
            <w:pPr>
              <w:pStyle w:val="Normaallaadveeb"/>
              <w:spacing w:before="0" w:after="0" w:afterAutospacing="0"/>
            </w:pPr>
            <w:r w:rsidRPr="00687DE8">
              <w:t>Retikulotsüütide uuring</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B4687F" w14:textId="77777777" w:rsidR="00B847AE" w:rsidRPr="00687DE8" w:rsidRDefault="00B847AE" w:rsidP="00C80855">
            <w:pPr>
              <w:pStyle w:val="Normaallaadveeb"/>
              <w:spacing w:before="0" w:after="0" w:afterAutospacing="0"/>
              <w:jc w:val="center"/>
            </w:pPr>
            <w:r w:rsidRPr="00687DE8">
              <w:t>66203</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6AFFF6" w14:textId="5358188C" w:rsidR="00062045" w:rsidRPr="00687DE8" w:rsidRDefault="00775F22">
            <w:pPr>
              <w:spacing w:after="0"/>
              <w:jc w:val="center"/>
              <w:rPr>
                <w:szCs w:val="24"/>
              </w:rPr>
            </w:pPr>
            <w:r>
              <w:rPr>
                <w:color w:val="000000"/>
              </w:rPr>
              <w:t>5,78</w:t>
            </w:r>
          </w:p>
        </w:tc>
      </w:tr>
      <w:tr w:rsidR="00B847AE" w:rsidRPr="00687DE8" w14:paraId="678A5E2C"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965309" w14:textId="77777777" w:rsidR="00B847AE" w:rsidRPr="00687DE8" w:rsidRDefault="00B847AE" w:rsidP="00C80855">
            <w:pPr>
              <w:pStyle w:val="Normaallaadveeb"/>
              <w:spacing w:before="0" w:after="0" w:afterAutospacing="0"/>
            </w:pPr>
            <w:r w:rsidRPr="00687DE8">
              <w:t>Vereäige mikroskoopiline uuring</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FC41E9" w14:textId="77777777" w:rsidR="00B847AE" w:rsidRPr="00687DE8" w:rsidRDefault="00B847AE" w:rsidP="00C80855">
            <w:pPr>
              <w:pStyle w:val="Normaallaadveeb"/>
              <w:spacing w:before="0" w:after="0" w:afterAutospacing="0"/>
              <w:jc w:val="center"/>
            </w:pPr>
            <w:r w:rsidRPr="00687DE8">
              <w:t>66204</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A204C5" w14:textId="75B29889" w:rsidR="00062045" w:rsidRPr="00687DE8" w:rsidRDefault="00775F22">
            <w:pPr>
              <w:spacing w:after="0"/>
              <w:jc w:val="center"/>
              <w:rPr>
                <w:szCs w:val="24"/>
              </w:rPr>
            </w:pPr>
            <w:r>
              <w:rPr>
                <w:color w:val="000000"/>
              </w:rPr>
              <w:t>16,36</w:t>
            </w:r>
          </w:p>
        </w:tc>
      </w:tr>
      <w:tr w:rsidR="00B847AE" w:rsidRPr="00687DE8" w14:paraId="4C0C232A"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4BACA7" w14:textId="77777777" w:rsidR="00B847AE" w:rsidRPr="00687DE8" w:rsidRDefault="00B847AE" w:rsidP="00C80855">
            <w:pPr>
              <w:pStyle w:val="Normaallaadveeb"/>
              <w:spacing w:before="0" w:after="0" w:afterAutospacing="0"/>
            </w:pPr>
            <w:r w:rsidRPr="00687DE8">
              <w:t>Luuüdi tsütoloogiline uuring</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2B675F" w14:textId="77777777" w:rsidR="00B847AE" w:rsidRPr="00687DE8" w:rsidRDefault="00B847AE" w:rsidP="00C80855">
            <w:pPr>
              <w:pStyle w:val="Normaallaadveeb"/>
              <w:spacing w:before="0" w:after="0" w:afterAutospacing="0"/>
              <w:jc w:val="center"/>
            </w:pPr>
            <w:r w:rsidRPr="00687DE8">
              <w:t>66205</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FFF311" w14:textId="5F92AC44" w:rsidR="00062045" w:rsidRPr="00687DE8" w:rsidRDefault="00775F22">
            <w:pPr>
              <w:spacing w:after="0"/>
              <w:jc w:val="center"/>
              <w:rPr>
                <w:szCs w:val="24"/>
              </w:rPr>
            </w:pPr>
            <w:r>
              <w:rPr>
                <w:color w:val="000000"/>
              </w:rPr>
              <w:t>101,66</w:t>
            </w:r>
          </w:p>
        </w:tc>
      </w:tr>
      <w:tr w:rsidR="00B847AE" w:rsidRPr="00687DE8" w14:paraId="5C245EB4"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ADE76A" w14:textId="77777777" w:rsidR="00B847AE" w:rsidRPr="00687DE8" w:rsidRDefault="00B847AE" w:rsidP="00C80855">
            <w:pPr>
              <w:pStyle w:val="Normaallaadveeb"/>
              <w:spacing w:before="0" w:after="0" w:afterAutospacing="0"/>
            </w:pPr>
            <w:r w:rsidRPr="00687DE8">
              <w:t>Tsütokeemiline üksikuuring</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93893B" w14:textId="77777777" w:rsidR="00B847AE" w:rsidRPr="00687DE8" w:rsidRDefault="00B847AE" w:rsidP="00C80855">
            <w:pPr>
              <w:pStyle w:val="Normaallaadveeb"/>
              <w:spacing w:before="0" w:after="0" w:afterAutospacing="0"/>
              <w:jc w:val="center"/>
            </w:pPr>
            <w:r w:rsidRPr="00687DE8">
              <w:t>66206</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9C225A" w14:textId="18E78725" w:rsidR="00062045" w:rsidRPr="00687DE8" w:rsidRDefault="00775F22">
            <w:pPr>
              <w:spacing w:after="0"/>
              <w:jc w:val="center"/>
              <w:rPr>
                <w:szCs w:val="24"/>
              </w:rPr>
            </w:pPr>
            <w:r>
              <w:rPr>
                <w:color w:val="000000"/>
              </w:rPr>
              <w:t>61,03</w:t>
            </w:r>
          </w:p>
        </w:tc>
      </w:tr>
      <w:tr w:rsidR="00B847AE" w:rsidRPr="00687DE8" w14:paraId="0AE0D1B8"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5216D3" w14:textId="77777777" w:rsidR="00B847AE" w:rsidRPr="00687DE8" w:rsidRDefault="00B847AE" w:rsidP="00C80855">
            <w:pPr>
              <w:pStyle w:val="Normaallaadveeb"/>
              <w:spacing w:before="0" w:after="0" w:afterAutospacing="0"/>
            </w:pPr>
            <w:r w:rsidRPr="00687DE8">
              <w:t>Uriinianalüüs testribaga</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428B06" w14:textId="77777777" w:rsidR="00B847AE" w:rsidRPr="00687DE8" w:rsidRDefault="00B847AE" w:rsidP="00C80855">
            <w:pPr>
              <w:pStyle w:val="Normaallaadveeb"/>
              <w:spacing w:before="0" w:after="0" w:afterAutospacing="0"/>
              <w:jc w:val="center"/>
            </w:pPr>
            <w:r w:rsidRPr="00687DE8">
              <w:t>66207</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DC5DE9" w14:textId="05385323" w:rsidR="00062045" w:rsidRPr="00687DE8" w:rsidRDefault="00775F22">
            <w:pPr>
              <w:spacing w:after="0"/>
              <w:jc w:val="center"/>
              <w:rPr>
                <w:szCs w:val="24"/>
              </w:rPr>
            </w:pPr>
            <w:r>
              <w:rPr>
                <w:color w:val="000000"/>
              </w:rPr>
              <w:t>3,00</w:t>
            </w:r>
          </w:p>
        </w:tc>
      </w:tr>
      <w:tr w:rsidR="00B847AE" w:rsidRPr="00687DE8" w14:paraId="58AEA785"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DA3D82" w14:textId="77777777" w:rsidR="00B847AE" w:rsidRPr="00687DE8" w:rsidRDefault="00B847AE" w:rsidP="00C80855">
            <w:pPr>
              <w:pStyle w:val="Normaallaadveeb"/>
              <w:spacing w:before="0" w:after="0" w:afterAutospacing="0"/>
            </w:pPr>
            <w:r w:rsidRPr="00687DE8">
              <w:t>Uriini sademe mikroskoopiline uuring</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7690DF" w14:textId="77777777" w:rsidR="00B847AE" w:rsidRPr="00687DE8" w:rsidRDefault="00B847AE" w:rsidP="00C80855">
            <w:pPr>
              <w:pStyle w:val="Normaallaadveeb"/>
              <w:spacing w:before="0" w:after="0" w:afterAutospacing="0"/>
              <w:jc w:val="center"/>
            </w:pPr>
            <w:r w:rsidRPr="00687DE8">
              <w:t>66208</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D73603" w14:textId="5CDA1E22" w:rsidR="00062045" w:rsidRPr="00687DE8" w:rsidRDefault="00775F22">
            <w:pPr>
              <w:spacing w:after="0"/>
              <w:jc w:val="center"/>
              <w:rPr>
                <w:szCs w:val="24"/>
              </w:rPr>
            </w:pPr>
            <w:r>
              <w:rPr>
                <w:color w:val="000000"/>
              </w:rPr>
              <w:t>5,93</w:t>
            </w:r>
          </w:p>
        </w:tc>
      </w:tr>
      <w:tr w:rsidR="00B847AE" w:rsidRPr="00687DE8" w14:paraId="6ECD148F"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5D709C" w14:textId="77777777" w:rsidR="00B847AE" w:rsidRPr="00687DE8" w:rsidRDefault="00B847AE" w:rsidP="00C80855">
            <w:pPr>
              <w:pStyle w:val="Normaallaadveeb"/>
              <w:spacing w:before="0" w:after="0" w:afterAutospacing="0"/>
            </w:pPr>
            <w:r w:rsidRPr="00687DE8">
              <w:t>Väljaheite sõeluuringud (peitveri, rasvhapped)*</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B5DB99" w14:textId="77777777" w:rsidR="00B847AE" w:rsidRPr="00687DE8" w:rsidRDefault="00B847AE" w:rsidP="00C80855">
            <w:pPr>
              <w:pStyle w:val="Normaallaadveeb"/>
              <w:spacing w:before="0" w:after="0" w:afterAutospacing="0"/>
              <w:jc w:val="center"/>
            </w:pPr>
            <w:r w:rsidRPr="00687DE8">
              <w:t>66209</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6D795C" w14:textId="36C2F5F0" w:rsidR="00062045" w:rsidRPr="00687DE8" w:rsidRDefault="00775F22">
            <w:pPr>
              <w:spacing w:after="0"/>
              <w:jc w:val="center"/>
              <w:rPr>
                <w:szCs w:val="24"/>
              </w:rPr>
            </w:pPr>
            <w:r>
              <w:rPr>
                <w:color w:val="000000"/>
              </w:rPr>
              <w:t>12,42</w:t>
            </w:r>
          </w:p>
        </w:tc>
      </w:tr>
      <w:tr w:rsidR="00B847AE" w:rsidRPr="00687DE8" w14:paraId="4A3CAB74"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76BF81" w14:textId="77777777" w:rsidR="00B847AE" w:rsidRPr="00D30B8D" w:rsidRDefault="00B847AE" w:rsidP="00C80855">
            <w:pPr>
              <w:pStyle w:val="Normaallaadveeb"/>
              <w:spacing w:before="0" w:after="0" w:afterAutospacing="0"/>
            </w:pPr>
            <w:r w:rsidRPr="00A07674">
              <w:t>Väljaheite jämesoolevähi sõeluuring (peitveri)</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5527841" w14:textId="64D594AA" w:rsidR="00B847AE" w:rsidRPr="00A07674" w:rsidRDefault="00B847AE" w:rsidP="00C80855">
            <w:pPr>
              <w:pStyle w:val="Normaallaadveeb"/>
              <w:spacing w:before="0" w:after="0" w:afterAutospacing="0"/>
              <w:jc w:val="center"/>
            </w:pPr>
            <w:r w:rsidRPr="00A07674">
              <w:t>66224</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0D7164" w14:textId="7061CE21" w:rsidR="00062045" w:rsidRPr="00A07674" w:rsidRDefault="00775F22">
            <w:pPr>
              <w:spacing w:after="0"/>
              <w:jc w:val="center"/>
              <w:rPr>
                <w:szCs w:val="24"/>
              </w:rPr>
            </w:pPr>
            <w:r>
              <w:rPr>
                <w:color w:val="000000"/>
              </w:rPr>
              <w:t>16,83</w:t>
            </w:r>
          </w:p>
        </w:tc>
      </w:tr>
      <w:tr w:rsidR="00B847AE" w:rsidRPr="00687DE8" w14:paraId="7B3F0973"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8A4EC5" w14:textId="77777777" w:rsidR="00B847AE" w:rsidRPr="00687DE8" w:rsidRDefault="00B847AE" w:rsidP="00C80855">
            <w:pPr>
              <w:pStyle w:val="Normaallaadveeb"/>
              <w:spacing w:before="0" w:after="0" w:afterAutospacing="0"/>
            </w:pPr>
            <w:r w:rsidRPr="00687DE8">
              <w:t>Kehavedelike (liikvori, pleura-, perikardi-, astsiidi-, sünoviaal- või amnionivedeliku) makroskoopiline või tsütoosi uuring*</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8FC95F0" w14:textId="77777777" w:rsidR="00B847AE" w:rsidRPr="00687DE8" w:rsidRDefault="00B847AE" w:rsidP="00C80855">
            <w:pPr>
              <w:pStyle w:val="Normaallaadveeb"/>
              <w:spacing w:before="0" w:after="0" w:afterAutospacing="0"/>
              <w:jc w:val="center"/>
            </w:pPr>
            <w:r w:rsidRPr="00687DE8">
              <w:t>66211</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3EE768" w14:textId="732DAEF0" w:rsidR="00062045" w:rsidRPr="00687DE8" w:rsidRDefault="00775F22">
            <w:pPr>
              <w:spacing w:after="0"/>
              <w:jc w:val="center"/>
              <w:rPr>
                <w:szCs w:val="24"/>
              </w:rPr>
            </w:pPr>
            <w:r>
              <w:rPr>
                <w:color w:val="000000"/>
              </w:rPr>
              <w:t>3,73</w:t>
            </w:r>
          </w:p>
        </w:tc>
      </w:tr>
      <w:tr w:rsidR="00B847AE" w:rsidRPr="00687DE8" w14:paraId="20E1FEAF"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5A7178" w14:textId="77777777" w:rsidR="00B847AE" w:rsidRPr="00687DE8" w:rsidRDefault="00B847AE" w:rsidP="00C80855">
            <w:pPr>
              <w:pStyle w:val="Normaallaadveeb"/>
              <w:spacing w:before="0" w:after="0" w:afterAutospacing="0"/>
            </w:pPr>
            <w:r w:rsidRPr="00687DE8">
              <w:t>Kehavedelike (liikvori, pleura-, perikardi-, astsiidi-, sünoviaal- või amnionivedeliku) tsütogramm*</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4BFE99F" w14:textId="77777777" w:rsidR="00B847AE" w:rsidRPr="00687DE8" w:rsidRDefault="00B847AE" w:rsidP="00C80855">
            <w:pPr>
              <w:pStyle w:val="Normaallaadveeb"/>
              <w:spacing w:before="0" w:after="0" w:afterAutospacing="0"/>
              <w:jc w:val="center"/>
            </w:pPr>
            <w:r w:rsidRPr="00687DE8">
              <w:t>66212</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32A5DB" w14:textId="3A9D1D35" w:rsidR="00062045" w:rsidRPr="00687DE8" w:rsidRDefault="00775F22">
            <w:pPr>
              <w:spacing w:after="0"/>
              <w:jc w:val="center"/>
              <w:rPr>
                <w:szCs w:val="24"/>
              </w:rPr>
            </w:pPr>
            <w:r>
              <w:rPr>
                <w:color w:val="000000"/>
              </w:rPr>
              <w:t>20,55</w:t>
            </w:r>
          </w:p>
        </w:tc>
      </w:tr>
      <w:tr w:rsidR="00B847AE" w:rsidRPr="00687DE8" w14:paraId="667790E7"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F432FB" w14:textId="77777777" w:rsidR="00B847AE" w:rsidRPr="00687DE8" w:rsidRDefault="00B847AE" w:rsidP="00C80855">
            <w:pPr>
              <w:pStyle w:val="Normaallaadveeb"/>
              <w:spacing w:before="0" w:after="0" w:afterAutospacing="0"/>
            </w:pPr>
            <w:r w:rsidRPr="00687DE8">
              <w:t>Sperma ülduuring: veeldumine, väljanägemine, maht, konsistents, pH</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B547706" w14:textId="77777777" w:rsidR="00B847AE" w:rsidRPr="00687DE8" w:rsidRDefault="00B847AE" w:rsidP="00C80855">
            <w:pPr>
              <w:pStyle w:val="Normaallaadveeb"/>
              <w:spacing w:before="0" w:after="0" w:afterAutospacing="0"/>
              <w:jc w:val="center"/>
            </w:pPr>
            <w:r w:rsidRPr="00687DE8">
              <w:t>66213</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9BE5DB" w14:textId="38764303" w:rsidR="6F30133B" w:rsidRPr="00687DE8" w:rsidRDefault="00775F22">
            <w:pPr>
              <w:spacing w:after="0"/>
              <w:jc w:val="center"/>
              <w:rPr>
                <w:color w:val="000000" w:themeColor="text1"/>
                <w:szCs w:val="24"/>
              </w:rPr>
            </w:pPr>
            <w:r>
              <w:rPr>
                <w:color w:val="000000"/>
              </w:rPr>
              <w:t>5,59</w:t>
            </w:r>
          </w:p>
        </w:tc>
      </w:tr>
      <w:tr w:rsidR="00B847AE" w:rsidRPr="00687DE8" w14:paraId="626B56F1"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FEE701" w14:textId="77777777" w:rsidR="00B847AE" w:rsidRPr="00687DE8" w:rsidRDefault="00B847AE" w:rsidP="00C80855">
            <w:pPr>
              <w:pStyle w:val="Normaallaadveeb"/>
              <w:spacing w:before="0" w:after="0" w:afterAutospacing="0"/>
            </w:pPr>
            <w:r w:rsidRPr="00687DE8">
              <w:t>Sperma mikroskoopiline uuring: spermatosoidide arv, liikuvus, rakulised elemendid, aglutinatsioon</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4F0D938" w14:textId="77777777" w:rsidR="00B847AE" w:rsidRPr="00687DE8" w:rsidRDefault="00B847AE" w:rsidP="00C80855">
            <w:pPr>
              <w:pStyle w:val="Normaallaadveeb"/>
              <w:spacing w:before="0" w:after="0" w:afterAutospacing="0"/>
              <w:jc w:val="center"/>
            </w:pPr>
            <w:r w:rsidRPr="00687DE8">
              <w:t>66214</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EFC3DB" w14:textId="2BF58BE1" w:rsidR="00062045" w:rsidRPr="00687DE8" w:rsidRDefault="00775F22">
            <w:pPr>
              <w:spacing w:after="0"/>
              <w:jc w:val="center"/>
              <w:rPr>
                <w:szCs w:val="24"/>
              </w:rPr>
            </w:pPr>
            <w:r>
              <w:rPr>
                <w:color w:val="000000"/>
              </w:rPr>
              <w:t>13,33</w:t>
            </w:r>
          </w:p>
        </w:tc>
      </w:tr>
      <w:tr w:rsidR="00B847AE" w:rsidRPr="00687DE8" w14:paraId="55041B67"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F342F4" w14:textId="77777777" w:rsidR="00B847AE" w:rsidRPr="00687DE8" w:rsidRDefault="00B847AE" w:rsidP="00C80855">
            <w:pPr>
              <w:pStyle w:val="Normaallaadveeb"/>
              <w:spacing w:before="0" w:after="0" w:afterAutospacing="0"/>
            </w:pPr>
            <w:r w:rsidRPr="00687DE8">
              <w:t>Spermatosoidide morfoloogia süvauuring</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5C5797" w14:textId="77777777" w:rsidR="00B847AE" w:rsidRPr="00687DE8" w:rsidRDefault="00B847AE" w:rsidP="00C80855">
            <w:pPr>
              <w:pStyle w:val="Normaallaadveeb"/>
              <w:spacing w:before="0" w:after="0" w:afterAutospacing="0"/>
              <w:jc w:val="center"/>
            </w:pPr>
            <w:r w:rsidRPr="00687DE8">
              <w:t>66215</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2ADCB0" w14:textId="0603FCA6" w:rsidR="00062045" w:rsidRPr="00687DE8" w:rsidRDefault="00775F22">
            <w:pPr>
              <w:spacing w:after="0"/>
              <w:jc w:val="center"/>
              <w:rPr>
                <w:szCs w:val="24"/>
              </w:rPr>
            </w:pPr>
            <w:r>
              <w:rPr>
                <w:color w:val="000000"/>
              </w:rPr>
              <w:t>20,15</w:t>
            </w:r>
          </w:p>
        </w:tc>
      </w:tr>
      <w:tr w:rsidR="00B847AE" w:rsidRPr="00687DE8" w14:paraId="6600ACA1"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9C26F2" w14:textId="77777777" w:rsidR="00B847AE" w:rsidRPr="00687DE8" w:rsidRDefault="00B847AE" w:rsidP="00C80855">
            <w:pPr>
              <w:pStyle w:val="Normaallaadveeb"/>
              <w:spacing w:before="0" w:after="0" w:afterAutospacing="0"/>
            </w:pPr>
            <w:r w:rsidRPr="00687DE8">
              <w:t>Spermatosoidide funktsiooni uuringud: akrosiintest</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8ED44E" w14:textId="77777777" w:rsidR="00B847AE" w:rsidRPr="00687DE8" w:rsidRDefault="00B847AE" w:rsidP="00C80855">
            <w:pPr>
              <w:pStyle w:val="Normaallaadveeb"/>
              <w:spacing w:before="0" w:after="0" w:afterAutospacing="0"/>
              <w:jc w:val="center"/>
            </w:pPr>
            <w:r w:rsidRPr="00687DE8">
              <w:t>66216</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D0F77D" w14:textId="620031D6" w:rsidR="00062045" w:rsidRPr="00687DE8" w:rsidRDefault="00775F22">
            <w:pPr>
              <w:spacing w:after="0"/>
              <w:jc w:val="center"/>
              <w:rPr>
                <w:szCs w:val="24"/>
              </w:rPr>
            </w:pPr>
            <w:r>
              <w:rPr>
                <w:color w:val="000000"/>
              </w:rPr>
              <w:t>20,87</w:t>
            </w:r>
          </w:p>
        </w:tc>
      </w:tr>
      <w:tr w:rsidR="00B847AE" w:rsidRPr="00687DE8" w14:paraId="32503705"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EB8EE8" w14:textId="77777777" w:rsidR="00B847AE" w:rsidRPr="00687DE8" w:rsidRDefault="00B847AE" w:rsidP="00C80855">
            <w:pPr>
              <w:pStyle w:val="Normaallaadveeb"/>
              <w:spacing w:before="0" w:after="0" w:afterAutospacing="0"/>
            </w:pPr>
            <w:r w:rsidRPr="00687DE8">
              <w:lastRenderedPageBreak/>
              <w:t>Sperma kvaliteedi uuring automaatanalüsaatoritega</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D6273B" w14:textId="77777777" w:rsidR="00B847AE" w:rsidRPr="00687DE8" w:rsidRDefault="00B847AE" w:rsidP="00C80855">
            <w:pPr>
              <w:pStyle w:val="Normaallaadveeb"/>
              <w:spacing w:before="0" w:after="0" w:afterAutospacing="0"/>
              <w:jc w:val="center"/>
            </w:pPr>
            <w:r w:rsidRPr="00687DE8">
              <w:t>66217</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1A2265" w14:textId="3C84CE29" w:rsidR="00062045" w:rsidRPr="00687DE8" w:rsidRDefault="00775F22">
            <w:pPr>
              <w:spacing w:after="0"/>
              <w:jc w:val="center"/>
              <w:rPr>
                <w:szCs w:val="24"/>
              </w:rPr>
            </w:pPr>
            <w:r>
              <w:rPr>
                <w:color w:val="000000"/>
              </w:rPr>
              <w:t>25,83</w:t>
            </w:r>
          </w:p>
        </w:tc>
      </w:tr>
      <w:tr w:rsidR="00B847AE" w:rsidRPr="00687DE8" w14:paraId="5D8D84E8"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5B9568" w14:textId="77777777" w:rsidR="00B847AE" w:rsidRPr="00687DE8" w:rsidRDefault="00B847AE" w:rsidP="00C80855">
            <w:pPr>
              <w:pStyle w:val="Normaallaadveeb"/>
              <w:spacing w:before="0" w:after="0" w:afterAutospacing="0"/>
            </w:pPr>
            <w:r w:rsidRPr="00687DE8">
              <w:t>Spermatosoididevastaste antikehade uuring: MAR-uuring, immunograanulite uuring</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67F8169" w14:textId="77777777" w:rsidR="00B847AE" w:rsidRPr="00687DE8" w:rsidRDefault="00B847AE" w:rsidP="00C80855">
            <w:pPr>
              <w:pStyle w:val="Normaallaadveeb"/>
              <w:spacing w:before="0" w:after="0" w:afterAutospacing="0"/>
              <w:jc w:val="center"/>
            </w:pPr>
            <w:r w:rsidRPr="00687DE8">
              <w:t>66218</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D747AB" w14:textId="4DE5D88E" w:rsidR="00062045" w:rsidRPr="00687DE8" w:rsidRDefault="00775F22">
            <w:pPr>
              <w:spacing w:after="0"/>
              <w:jc w:val="center"/>
              <w:rPr>
                <w:szCs w:val="24"/>
              </w:rPr>
            </w:pPr>
            <w:r>
              <w:rPr>
                <w:color w:val="000000"/>
              </w:rPr>
              <w:t>11,23</w:t>
            </w:r>
          </w:p>
        </w:tc>
      </w:tr>
      <w:tr w:rsidR="00B847AE" w:rsidRPr="00687DE8" w14:paraId="60EFF87E"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30AD8C" w14:textId="77777777" w:rsidR="00B847AE" w:rsidRPr="00687DE8" w:rsidRDefault="00B847AE" w:rsidP="00C80855">
            <w:pPr>
              <w:pStyle w:val="Normaallaadveeb"/>
              <w:spacing w:before="0" w:after="0" w:afterAutospacing="0"/>
            </w:pPr>
            <w:r w:rsidRPr="00687DE8">
              <w:t>Eesnäärme sekreedi lihtuuring</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7E9199" w14:textId="77777777" w:rsidR="00B847AE" w:rsidRPr="00687DE8" w:rsidRDefault="00B847AE" w:rsidP="00C80855">
            <w:pPr>
              <w:pStyle w:val="Normaallaadveeb"/>
              <w:spacing w:before="0" w:after="0" w:afterAutospacing="0"/>
              <w:jc w:val="center"/>
            </w:pPr>
            <w:r w:rsidRPr="00687DE8">
              <w:t>66219</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7F13EF" w14:textId="05B19B61" w:rsidR="00062045" w:rsidRPr="00687DE8" w:rsidRDefault="00775F22">
            <w:pPr>
              <w:spacing w:after="0"/>
              <w:jc w:val="center"/>
              <w:rPr>
                <w:szCs w:val="24"/>
              </w:rPr>
            </w:pPr>
            <w:r>
              <w:rPr>
                <w:color w:val="000000"/>
              </w:rPr>
              <w:t>9,94</w:t>
            </w:r>
          </w:p>
        </w:tc>
      </w:tr>
      <w:tr w:rsidR="00B847AE" w:rsidRPr="00687DE8" w14:paraId="4590AC1F" w14:textId="77777777" w:rsidTr="00EB7A71">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1CDBED" w14:textId="77777777" w:rsidR="00B847AE" w:rsidRPr="00687DE8" w:rsidRDefault="00B847AE" w:rsidP="00C80855">
            <w:pPr>
              <w:pStyle w:val="Normaallaadveeb"/>
              <w:spacing w:before="0" w:after="0" w:afterAutospacing="0"/>
            </w:pPr>
            <w:r w:rsidRPr="00687DE8">
              <w:t>Eesnäärme sekretoorse võime uuring sidrunhappe (ja/või tsingi) määramise abil spermas</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B2E1159" w14:textId="77777777" w:rsidR="00B847AE" w:rsidRPr="00687DE8" w:rsidRDefault="00B847AE" w:rsidP="00C80855">
            <w:pPr>
              <w:pStyle w:val="Normaallaadveeb"/>
              <w:spacing w:before="0" w:after="0" w:afterAutospacing="0"/>
              <w:jc w:val="center"/>
            </w:pPr>
            <w:r w:rsidRPr="00687DE8">
              <w:t>66220</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46793B" w14:textId="09A278E9" w:rsidR="00062045" w:rsidRPr="00687DE8" w:rsidRDefault="00775F22">
            <w:pPr>
              <w:spacing w:after="0"/>
              <w:jc w:val="center"/>
              <w:rPr>
                <w:szCs w:val="24"/>
              </w:rPr>
            </w:pPr>
            <w:r>
              <w:rPr>
                <w:color w:val="000000"/>
              </w:rPr>
              <w:t>10,79</w:t>
            </w:r>
          </w:p>
        </w:tc>
      </w:tr>
      <w:tr w:rsidR="00B847AE" w:rsidRPr="00687DE8" w14:paraId="54EE1106"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27E898" w14:textId="77777777" w:rsidR="00B847AE" w:rsidRPr="00687DE8" w:rsidRDefault="00B847AE" w:rsidP="00C80855">
            <w:pPr>
              <w:pStyle w:val="Normaallaadveeb"/>
              <w:spacing w:before="0" w:after="0" w:afterAutospacing="0"/>
            </w:pPr>
            <w:r w:rsidRPr="00687DE8">
              <w:t>Seemnepõiekeste sekretoorse võime uuring fruktoosi määramise abil spermas</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812E60F" w14:textId="77777777" w:rsidR="00B847AE" w:rsidRPr="00687DE8" w:rsidRDefault="00B847AE" w:rsidP="00C80855">
            <w:pPr>
              <w:pStyle w:val="Normaallaadveeb"/>
              <w:spacing w:before="0" w:after="0" w:afterAutospacing="0"/>
              <w:jc w:val="center"/>
            </w:pPr>
            <w:r w:rsidRPr="00687DE8">
              <w:t>66221</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D68BA2" w14:textId="39053D9D" w:rsidR="00062045" w:rsidRPr="00687DE8" w:rsidRDefault="00775F22">
            <w:pPr>
              <w:spacing w:after="0"/>
              <w:jc w:val="center"/>
              <w:rPr>
                <w:szCs w:val="24"/>
              </w:rPr>
            </w:pPr>
            <w:r>
              <w:rPr>
                <w:color w:val="000000"/>
              </w:rPr>
              <w:t>10,79</w:t>
            </w:r>
          </w:p>
        </w:tc>
      </w:tr>
      <w:tr w:rsidR="00B847AE" w:rsidRPr="00687DE8" w14:paraId="6094F488"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0FF8C8" w14:textId="77777777" w:rsidR="00B847AE" w:rsidRPr="00687DE8" w:rsidRDefault="00B847AE" w:rsidP="00C80855">
            <w:pPr>
              <w:pStyle w:val="Normaallaadveeb"/>
              <w:spacing w:before="0" w:after="0" w:afterAutospacing="0"/>
            </w:pPr>
            <w:r w:rsidRPr="00687DE8">
              <w:t>Munandimanuste sekretoorse võime uuring alfa-glükosidaasi määramise abil spermas</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BC7F630" w14:textId="77777777" w:rsidR="00B847AE" w:rsidRPr="00687DE8" w:rsidRDefault="00B847AE" w:rsidP="00C80855">
            <w:pPr>
              <w:pStyle w:val="Normaallaadveeb"/>
              <w:spacing w:before="0" w:after="0" w:afterAutospacing="0"/>
              <w:jc w:val="center"/>
            </w:pPr>
            <w:r w:rsidRPr="00687DE8">
              <w:t>66222</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95959B" w14:textId="19198801" w:rsidR="00062045" w:rsidRPr="00687DE8" w:rsidRDefault="00775F22">
            <w:pPr>
              <w:spacing w:after="0"/>
              <w:jc w:val="center"/>
              <w:rPr>
                <w:szCs w:val="24"/>
              </w:rPr>
            </w:pPr>
            <w:r>
              <w:rPr>
                <w:color w:val="000000"/>
              </w:rPr>
              <w:t>13,16</w:t>
            </w:r>
          </w:p>
        </w:tc>
      </w:tr>
      <w:tr w:rsidR="00B847AE" w:rsidRPr="00687DE8" w14:paraId="598036BE" w14:textId="77777777" w:rsidTr="006715B7">
        <w:trPr>
          <w:divId w:val="1316184749"/>
          <w:trHeight w:val="300"/>
        </w:trPr>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75E7B6" w14:textId="77777777" w:rsidR="00B847AE" w:rsidRPr="00687DE8" w:rsidRDefault="00B847AE" w:rsidP="00C80855">
            <w:pPr>
              <w:pStyle w:val="Normaallaadveeb"/>
              <w:spacing w:before="0" w:after="0" w:afterAutospacing="0"/>
            </w:pPr>
            <w:r w:rsidRPr="00687DE8">
              <w:t>Sperma mikrofloora uuring äigepreparaadis*</w:t>
            </w:r>
          </w:p>
        </w:tc>
        <w:tc>
          <w:tcPr>
            <w:tcW w:w="23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4716F2" w14:textId="77777777" w:rsidR="00B847AE" w:rsidRPr="00687DE8" w:rsidRDefault="00B847AE" w:rsidP="00C80855">
            <w:pPr>
              <w:pStyle w:val="Normaallaadveeb"/>
              <w:spacing w:before="0" w:after="0" w:afterAutospacing="0"/>
              <w:jc w:val="center"/>
            </w:pPr>
            <w:r w:rsidRPr="00687DE8">
              <w:t>66223</w:t>
            </w:r>
          </w:p>
        </w:tc>
        <w:tc>
          <w:tcPr>
            <w:tcW w:w="123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08A7AD" w14:textId="03834B49" w:rsidR="6F30133B" w:rsidRPr="00687DE8" w:rsidRDefault="00775F22">
            <w:pPr>
              <w:spacing w:after="0"/>
              <w:jc w:val="center"/>
              <w:rPr>
                <w:color w:val="000000" w:themeColor="text1"/>
                <w:szCs w:val="24"/>
              </w:rPr>
            </w:pPr>
            <w:r>
              <w:rPr>
                <w:color w:val="000000"/>
              </w:rPr>
              <w:t>5,52</w:t>
            </w:r>
          </w:p>
        </w:tc>
      </w:tr>
    </w:tbl>
    <w:p w14:paraId="26C0FAD4" w14:textId="77777777" w:rsidR="00976487" w:rsidRPr="00687DE8" w:rsidRDefault="00976487" w:rsidP="00976487">
      <w:pPr>
        <w:pStyle w:val="Pealkiri3"/>
        <w:spacing w:before="0" w:after="0" w:afterAutospacing="0"/>
        <w:jc w:val="both"/>
        <w:divId w:val="1316184749"/>
        <w:rPr>
          <w:rStyle w:val="Tugev"/>
          <w:b/>
          <w:bCs/>
          <w:sz w:val="24"/>
          <w:szCs w:val="24"/>
        </w:rPr>
      </w:pPr>
    </w:p>
    <w:p w14:paraId="54636EC1" w14:textId="77777777" w:rsidR="00976487" w:rsidRDefault="5C52CFD9" w:rsidP="5C52CFD9">
      <w:pPr>
        <w:pStyle w:val="Pealkiri3"/>
        <w:spacing w:before="0" w:after="0" w:afterAutospacing="0"/>
        <w:jc w:val="both"/>
        <w:divId w:val="1316184749"/>
        <w:rPr>
          <w:sz w:val="24"/>
          <w:szCs w:val="24"/>
        </w:rPr>
      </w:pPr>
      <w:r w:rsidRPr="00687DE8">
        <w:rPr>
          <w:rStyle w:val="Tugev"/>
          <w:b/>
          <w:bCs/>
          <w:sz w:val="24"/>
          <w:szCs w:val="24"/>
        </w:rPr>
        <w:t>§ 69.</w:t>
      </w:r>
      <w:r w:rsidRPr="00687DE8">
        <w:rPr>
          <w:sz w:val="24"/>
          <w:szCs w:val="24"/>
        </w:rPr>
        <w:t> Hüübimissüsteemi uuringute piirhinnad</w:t>
      </w:r>
    </w:p>
    <w:p w14:paraId="34906D77" w14:textId="77777777" w:rsidR="0084789F" w:rsidRDefault="0084789F" w:rsidP="00976487">
      <w:pPr>
        <w:pStyle w:val="Normaallaadveeb"/>
        <w:spacing w:before="0" w:after="0" w:afterAutospacing="0"/>
        <w:jc w:val="both"/>
        <w:divId w:val="1316184749"/>
      </w:pPr>
    </w:p>
    <w:p w14:paraId="059CD6DB" w14:textId="7171C49B" w:rsidR="00976487" w:rsidRPr="00687DE8" w:rsidRDefault="00976487" w:rsidP="00976487">
      <w:pPr>
        <w:pStyle w:val="Normaallaadveeb"/>
        <w:spacing w:before="0" w:after="0" w:afterAutospacing="0"/>
        <w:jc w:val="both"/>
        <w:divId w:val="1316184749"/>
      </w:pPr>
      <w:r w:rsidRPr="00687DE8">
        <w:t>Hüübimissüsteemi uuringute piirhinnad on järgmised:</w:t>
      </w:r>
    </w:p>
    <w:p w14:paraId="6CEB42E2" w14:textId="77777777" w:rsidR="00976487" w:rsidRPr="00687DE8" w:rsidRDefault="00976487" w:rsidP="00976487">
      <w:pPr>
        <w:pStyle w:val="Normaallaadveeb"/>
        <w:spacing w:before="0" w:after="0" w:afterAutospacing="0"/>
        <w:jc w:val="both"/>
        <w:divId w:val="131618474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7"/>
        <w:gridCol w:w="1074"/>
        <w:gridCol w:w="1114"/>
      </w:tblGrid>
      <w:tr w:rsidR="00976487" w:rsidRPr="00687DE8" w14:paraId="64BCF94E" w14:textId="77777777" w:rsidTr="00EB2220">
        <w:trPr>
          <w:divId w:val="1316184749"/>
          <w:tblHeader/>
        </w:trPr>
        <w:tc>
          <w:tcPr>
            <w:tcW w:w="7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71C234" w14:textId="77777777" w:rsidR="00976487" w:rsidRPr="00687DE8" w:rsidRDefault="00976487" w:rsidP="00C80855">
            <w:pPr>
              <w:pStyle w:val="Normaallaadveeb"/>
              <w:spacing w:before="0" w:after="0" w:afterAutospacing="0"/>
              <w:jc w:val="center"/>
            </w:pPr>
            <w:r w:rsidRPr="00687DE8">
              <w:rPr>
                <w:b/>
                <w:bCs/>
              </w:rPr>
              <w:t>Uuringu nimetus</w:t>
            </w:r>
          </w:p>
        </w:tc>
        <w:tc>
          <w:tcPr>
            <w:tcW w:w="10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340028" w14:textId="77777777" w:rsidR="00976487" w:rsidRPr="00687DE8" w:rsidRDefault="00976487" w:rsidP="00C80855">
            <w:pPr>
              <w:pStyle w:val="Normaallaadveeb"/>
              <w:spacing w:before="0" w:after="0" w:afterAutospacing="0"/>
              <w:jc w:val="center"/>
            </w:pPr>
            <w:r w:rsidRPr="00687DE8">
              <w:rPr>
                <w:b/>
                <w:bCs/>
              </w:rPr>
              <w:t>Kood</w:t>
            </w:r>
          </w:p>
        </w:tc>
        <w:tc>
          <w:tcPr>
            <w:tcW w:w="11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F6F25E" w14:textId="77777777" w:rsidR="00976487" w:rsidRPr="00687DE8" w:rsidRDefault="00976487" w:rsidP="00C80855">
            <w:pPr>
              <w:pStyle w:val="Normaallaadveeb"/>
              <w:tabs>
                <w:tab w:val="decimal" w:pos="635"/>
              </w:tabs>
              <w:spacing w:before="0" w:after="0" w:afterAutospacing="0"/>
              <w:jc w:val="center"/>
            </w:pPr>
            <w:r w:rsidRPr="00687DE8">
              <w:rPr>
                <w:b/>
                <w:bCs/>
              </w:rPr>
              <w:t>Piirhind</w:t>
            </w:r>
            <w:r w:rsidRPr="00687DE8">
              <w:rPr>
                <w:b/>
                <w:bCs/>
              </w:rPr>
              <w:br/>
              <w:t>eurodes</w:t>
            </w:r>
          </w:p>
        </w:tc>
      </w:tr>
      <w:tr w:rsidR="00B847AE" w:rsidRPr="00687DE8" w14:paraId="22F6B9A4" w14:textId="77777777" w:rsidTr="001B10F9">
        <w:trPr>
          <w:divId w:val="1316184749"/>
          <w:trHeight w:val="300"/>
        </w:trPr>
        <w:tc>
          <w:tcPr>
            <w:tcW w:w="7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B51A86" w14:textId="77777777" w:rsidR="00B847AE" w:rsidRPr="00687DE8" w:rsidRDefault="00B847AE" w:rsidP="00C80855">
            <w:pPr>
              <w:pStyle w:val="Normaallaadveeb"/>
              <w:spacing w:before="0" w:after="0" w:afterAutospacing="0"/>
            </w:pPr>
            <w:r w:rsidRPr="00687DE8">
              <w:t>Veritsusaja uuring</w:t>
            </w:r>
          </w:p>
        </w:tc>
        <w:tc>
          <w:tcPr>
            <w:tcW w:w="10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C763D0" w14:textId="77777777" w:rsidR="00B847AE" w:rsidRPr="00687DE8" w:rsidRDefault="00B847AE" w:rsidP="00C80855">
            <w:pPr>
              <w:pStyle w:val="Normaallaadveeb"/>
              <w:spacing w:before="0" w:after="0" w:afterAutospacing="0"/>
              <w:jc w:val="center"/>
            </w:pPr>
            <w:r w:rsidRPr="00687DE8">
              <w:t>66300</w:t>
            </w:r>
          </w:p>
        </w:tc>
        <w:tc>
          <w:tcPr>
            <w:tcW w:w="11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1F937F" w14:textId="5EEBD67B" w:rsidR="466B02A6" w:rsidRPr="00687DE8" w:rsidRDefault="00CB322F">
            <w:pPr>
              <w:spacing w:after="0"/>
              <w:jc w:val="center"/>
              <w:rPr>
                <w:color w:val="000000" w:themeColor="text1"/>
                <w:szCs w:val="24"/>
              </w:rPr>
            </w:pPr>
            <w:r>
              <w:rPr>
                <w:color w:val="000000"/>
              </w:rPr>
              <w:t>8,19</w:t>
            </w:r>
          </w:p>
        </w:tc>
      </w:tr>
      <w:tr w:rsidR="00B847AE" w:rsidRPr="00687DE8" w14:paraId="61A61AA3" w14:textId="77777777" w:rsidTr="001B10F9">
        <w:trPr>
          <w:divId w:val="1316184749"/>
          <w:trHeight w:val="300"/>
        </w:trPr>
        <w:tc>
          <w:tcPr>
            <w:tcW w:w="7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3C8EDC" w14:textId="77777777" w:rsidR="00B847AE" w:rsidRPr="00687DE8" w:rsidRDefault="00B847AE" w:rsidP="00C80855">
            <w:pPr>
              <w:pStyle w:val="Normaallaadveeb"/>
              <w:spacing w:before="0" w:after="0" w:afterAutospacing="0"/>
            </w:pPr>
            <w:r w:rsidRPr="00687DE8">
              <w:t>Trombotsüütide agregatsiooni uuringud*</w:t>
            </w:r>
          </w:p>
        </w:tc>
        <w:tc>
          <w:tcPr>
            <w:tcW w:w="10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41764D" w14:textId="77777777" w:rsidR="00B847AE" w:rsidRPr="00687DE8" w:rsidRDefault="00B847AE" w:rsidP="00C80855">
            <w:pPr>
              <w:pStyle w:val="Normaallaadveeb"/>
              <w:spacing w:before="0" w:after="0" w:afterAutospacing="0"/>
              <w:jc w:val="center"/>
            </w:pPr>
            <w:r w:rsidRPr="00687DE8">
              <w:t>66301</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FD519A" w14:textId="189017E9" w:rsidR="466B02A6" w:rsidRPr="00687DE8" w:rsidRDefault="00CB322F">
            <w:pPr>
              <w:spacing w:after="0"/>
              <w:jc w:val="center"/>
              <w:rPr>
                <w:color w:val="000000" w:themeColor="text1"/>
                <w:szCs w:val="24"/>
              </w:rPr>
            </w:pPr>
            <w:r>
              <w:rPr>
                <w:color w:val="000000"/>
              </w:rPr>
              <w:t>22,98</w:t>
            </w:r>
          </w:p>
        </w:tc>
      </w:tr>
      <w:tr w:rsidR="00B847AE" w:rsidRPr="00687DE8" w14:paraId="34F37B29" w14:textId="77777777" w:rsidTr="001B10F9">
        <w:trPr>
          <w:divId w:val="1316184749"/>
          <w:trHeight w:val="300"/>
        </w:trPr>
        <w:tc>
          <w:tcPr>
            <w:tcW w:w="7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58CBA3" w14:textId="77777777" w:rsidR="00B847AE" w:rsidRPr="00687DE8" w:rsidRDefault="00B847AE" w:rsidP="00C80855">
            <w:pPr>
              <w:pStyle w:val="Normaallaadveeb"/>
              <w:spacing w:before="0" w:after="0" w:afterAutospacing="0"/>
            </w:pPr>
            <w:r w:rsidRPr="00687DE8">
              <w:t>Hüübimisjada sõeluuringud: PT, APTT*</w:t>
            </w:r>
          </w:p>
        </w:tc>
        <w:tc>
          <w:tcPr>
            <w:tcW w:w="10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88FFB0" w14:textId="77777777" w:rsidR="00B847AE" w:rsidRPr="00687DE8" w:rsidRDefault="00B847AE" w:rsidP="00C80855">
            <w:pPr>
              <w:pStyle w:val="Normaallaadveeb"/>
              <w:spacing w:before="0" w:after="0" w:afterAutospacing="0"/>
              <w:jc w:val="center"/>
            </w:pPr>
            <w:r w:rsidRPr="00687DE8">
              <w:t>66302</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7E2E4C" w14:textId="6AF1F658" w:rsidR="466B02A6" w:rsidRPr="00687DE8" w:rsidRDefault="00CB322F">
            <w:pPr>
              <w:spacing w:after="0"/>
              <w:jc w:val="center"/>
              <w:rPr>
                <w:color w:val="000000" w:themeColor="text1"/>
                <w:szCs w:val="24"/>
              </w:rPr>
            </w:pPr>
            <w:r>
              <w:rPr>
                <w:color w:val="000000"/>
              </w:rPr>
              <w:t>5,40</w:t>
            </w:r>
          </w:p>
        </w:tc>
      </w:tr>
      <w:tr w:rsidR="00B847AE" w:rsidRPr="00687DE8" w14:paraId="2A87F23A" w14:textId="77777777" w:rsidTr="001B10F9">
        <w:trPr>
          <w:divId w:val="1316184749"/>
          <w:trHeight w:val="300"/>
        </w:trPr>
        <w:tc>
          <w:tcPr>
            <w:tcW w:w="7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C8A8A3" w14:textId="77777777" w:rsidR="00B847AE" w:rsidRPr="00687DE8" w:rsidRDefault="00B847AE" w:rsidP="00C80855">
            <w:pPr>
              <w:pStyle w:val="Normaallaadveeb"/>
              <w:spacing w:before="0" w:after="0" w:afterAutospacing="0"/>
            </w:pPr>
            <w:r w:rsidRPr="00687DE8">
              <w:t>Hüübimisjada lisauuringud: fibrinogeen, TT*</w:t>
            </w:r>
          </w:p>
        </w:tc>
        <w:tc>
          <w:tcPr>
            <w:tcW w:w="10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FA5FC3" w14:textId="77777777" w:rsidR="00B847AE" w:rsidRPr="00687DE8" w:rsidRDefault="00B847AE" w:rsidP="00C80855">
            <w:pPr>
              <w:pStyle w:val="Normaallaadveeb"/>
              <w:spacing w:before="0" w:after="0" w:afterAutospacing="0"/>
              <w:jc w:val="center"/>
            </w:pPr>
            <w:r w:rsidRPr="00687DE8">
              <w:t>66303</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41E079" w14:textId="5F8490B8" w:rsidR="466B02A6" w:rsidRPr="00687DE8" w:rsidRDefault="00CB322F">
            <w:pPr>
              <w:spacing w:after="0"/>
              <w:jc w:val="center"/>
              <w:rPr>
                <w:color w:val="000000" w:themeColor="text1"/>
                <w:szCs w:val="24"/>
              </w:rPr>
            </w:pPr>
            <w:r>
              <w:rPr>
                <w:color w:val="000000"/>
              </w:rPr>
              <w:t>8,04</w:t>
            </w:r>
          </w:p>
        </w:tc>
      </w:tr>
      <w:tr w:rsidR="00B847AE" w:rsidRPr="00687DE8" w14:paraId="09A608F3" w14:textId="77777777" w:rsidTr="001B10F9">
        <w:trPr>
          <w:divId w:val="1316184749"/>
          <w:trHeight w:val="300"/>
        </w:trPr>
        <w:tc>
          <w:tcPr>
            <w:tcW w:w="7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6467DF" w14:textId="77777777" w:rsidR="00B847AE" w:rsidRPr="00687DE8" w:rsidRDefault="00B847AE" w:rsidP="00C80855">
            <w:pPr>
              <w:pStyle w:val="Normaallaadveeb"/>
              <w:spacing w:before="0" w:after="0" w:afterAutospacing="0"/>
            </w:pPr>
            <w:r w:rsidRPr="00687DE8">
              <w:t>Hüübimisjada eriuuringud: reptilaasi aeg</w:t>
            </w:r>
          </w:p>
        </w:tc>
        <w:tc>
          <w:tcPr>
            <w:tcW w:w="10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F1B6D1" w14:textId="77777777" w:rsidR="00B847AE" w:rsidRPr="00687DE8" w:rsidRDefault="00B847AE" w:rsidP="00C80855">
            <w:pPr>
              <w:pStyle w:val="Normaallaadveeb"/>
              <w:spacing w:before="0" w:after="0" w:afterAutospacing="0"/>
              <w:jc w:val="center"/>
            </w:pPr>
            <w:r w:rsidRPr="00687DE8">
              <w:t>66304</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D23F0D" w14:textId="7BB0BB55" w:rsidR="466B02A6" w:rsidRPr="00687DE8" w:rsidRDefault="00CB322F">
            <w:pPr>
              <w:spacing w:after="0"/>
              <w:jc w:val="center"/>
              <w:rPr>
                <w:color w:val="000000" w:themeColor="text1"/>
                <w:szCs w:val="24"/>
              </w:rPr>
            </w:pPr>
            <w:r>
              <w:rPr>
                <w:color w:val="000000"/>
              </w:rPr>
              <w:t>15,62</w:t>
            </w:r>
          </w:p>
        </w:tc>
      </w:tr>
      <w:tr w:rsidR="00B847AE" w:rsidRPr="00687DE8" w14:paraId="15BAFA45" w14:textId="77777777" w:rsidTr="001B10F9">
        <w:trPr>
          <w:divId w:val="1316184749"/>
          <w:trHeight w:val="300"/>
        </w:trPr>
        <w:tc>
          <w:tcPr>
            <w:tcW w:w="7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B1FD96" w14:textId="77777777" w:rsidR="00B847AE" w:rsidRPr="00687DE8" w:rsidRDefault="00B847AE" w:rsidP="00C80855">
            <w:pPr>
              <w:pStyle w:val="Normaallaadveeb"/>
              <w:spacing w:before="0" w:after="0" w:afterAutospacing="0"/>
            </w:pPr>
            <w:r w:rsidRPr="00687DE8">
              <w:t>Üksiku hüübimisfaktori või faktori inhibiitori uuringud*</w:t>
            </w:r>
          </w:p>
        </w:tc>
        <w:tc>
          <w:tcPr>
            <w:tcW w:w="10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5A3CE1" w14:textId="77777777" w:rsidR="00B847AE" w:rsidRPr="00687DE8" w:rsidRDefault="00B847AE" w:rsidP="00C80855">
            <w:pPr>
              <w:pStyle w:val="Normaallaadveeb"/>
              <w:spacing w:before="0" w:after="0" w:afterAutospacing="0"/>
              <w:jc w:val="center"/>
            </w:pPr>
            <w:r w:rsidRPr="00687DE8">
              <w:t>66305</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78F88A" w14:textId="460F9993" w:rsidR="466B02A6" w:rsidRPr="00687DE8" w:rsidRDefault="00CB322F">
            <w:pPr>
              <w:spacing w:after="0"/>
              <w:jc w:val="center"/>
              <w:rPr>
                <w:color w:val="000000" w:themeColor="text1"/>
                <w:szCs w:val="24"/>
              </w:rPr>
            </w:pPr>
            <w:r>
              <w:rPr>
                <w:color w:val="000000"/>
              </w:rPr>
              <w:t>29,32</w:t>
            </w:r>
          </w:p>
        </w:tc>
      </w:tr>
      <w:tr w:rsidR="00B847AE" w:rsidRPr="00687DE8" w14:paraId="7A075133" w14:textId="77777777" w:rsidTr="001B10F9">
        <w:trPr>
          <w:divId w:val="1316184749"/>
          <w:trHeight w:val="300"/>
        </w:trPr>
        <w:tc>
          <w:tcPr>
            <w:tcW w:w="7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1FF51E" w14:textId="77777777" w:rsidR="00B847AE" w:rsidRPr="00687DE8" w:rsidRDefault="00B847AE" w:rsidP="00C80855">
            <w:pPr>
              <w:pStyle w:val="Normaallaadveeb"/>
              <w:spacing w:before="0" w:after="0" w:afterAutospacing="0"/>
            </w:pPr>
            <w:r w:rsidRPr="00687DE8">
              <w:t>Fibriini laguproduktide uuringud: fibriini D-dimeerid, fibriini monomeerid*</w:t>
            </w:r>
          </w:p>
        </w:tc>
        <w:tc>
          <w:tcPr>
            <w:tcW w:w="10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0B67C1" w14:textId="77777777" w:rsidR="00B847AE" w:rsidRPr="00687DE8" w:rsidRDefault="00B847AE" w:rsidP="00C80855">
            <w:pPr>
              <w:pStyle w:val="Normaallaadveeb"/>
              <w:spacing w:before="0" w:after="0" w:afterAutospacing="0"/>
              <w:jc w:val="center"/>
            </w:pPr>
          </w:p>
          <w:p w14:paraId="0A980127" w14:textId="77777777" w:rsidR="00B847AE" w:rsidRPr="00687DE8" w:rsidRDefault="00B847AE" w:rsidP="00C80855">
            <w:pPr>
              <w:pStyle w:val="Normaallaadveeb"/>
              <w:spacing w:before="0" w:after="0" w:afterAutospacing="0"/>
              <w:jc w:val="center"/>
            </w:pPr>
            <w:r w:rsidRPr="00687DE8">
              <w:t>66306</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6653C6" w14:textId="5F83733E" w:rsidR="466B02A6" w:rsidRPr="00687DE8" w:rsidRDefault="00CB322F">
            <w:pPr>
              <w:spacing w:after="0"/>
              <w:jc w:val="center"/>
              <w:rPr>
                <w:color w:val="000000" w:themeColor="text1"/>
                <w:szCs w:val="24"/>
              </w:rPr>
            </w:pPr>
            <w:r>
              <w:rPr>
                <w:color w:val="000000"/>
              </w:rPr>
              <w:t>14,31</w:t>
            </w:r>
          </w:p>
        </w:tc>
      </w:tr>
      <w:tr w:rsidR="00B847AE" w:rsidRPr="00687DE8" w14:paraId="1D5A2621" w14:textId="77777777" w:rsidTr="001B10F9">
        <w:trPr>
          <w:divId w:val="1316184749"/>
          <w:trHeight w:val="300"/>
        </w:trPr>
        <w:tc>
          <w:tcPr>
            <w:tcW w:w="7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C30B51" w14:textId="77777777" w:rsidR="00B847AE" w:rsidRPr="00687DE8" w:rsidRDefault="00B847AE" w:rsidP="00C80855">
            <w:pPr>
              <w:pStyle w:val="Normaallaadveeb"/>
              <w:spacing w:before="0" w:after="0" w:afterAutospacing="0"/>
            </w:pPr>
            <w:r w:rsidRPr="00687DE8">
              <w:t>Antikoagulantide põhiuuringud: AT III*</w:t>
            </w:r>
          </w:p>
        </w:tc>
        <w:tc>
          <w:tcPr>
            <w:tcW w:w="10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95E3B1" w14:textId="77777777" w:rsidR="00B847AE" w:rsidRPr="00687DE8" w:rsidRDefault="00B847AE" w:rsidP="00C80855">
            <w:pPr>
              <w:pStyle w:val="Normaallaadveeb"/>
              <w:spacing w:before="0" w:after="0" w:afterAutospacing="0"/>
              <w:jc w:val="center"/>
            </w:pPr>
            <w:r w:rsidRPr="00687DE8">
              <w:t>66307</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4270EA" w14:textId="50E8FF5E" w:rsidR="466B02A6" w:rsidRPr="00687DE8" w:rsidRDefault="00CB322F">
            <w:pPr>
              <w:spacing w:after="0"/>
              <w:jc w:val="center"/>
              <w:rPr>
                <w:color w:val="000000" w:themeColor="text1"/>
                <w:szCs w:val="24"/>
              </w:rPr>
            </w:pPr>
            <w:r>
              <w:rPr>
                <w:color w:val="000000"/>
              </w:rPr>
              <w:t>10,10</w:t>
            </w:r>
          </w:p>
        </w:tc>
      </w:tr>
      <w:tr w:rsidR="00B847AE" w:rsidRPr="00687DE8" w14:paraId="5A2DB839" w14:textId="77777777" w:rsidTr="001B10F9">
        <w:trPr>
          <w:divId w:val="1316184749"/>
          <w:trHeight w:val="300"/>
        </w:trPr>
        <w:tc>
          <w:tcPr>
            <w:tcW w:w="7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75866C" w14:textId="77777777" w:rsidR="00B847AE" w:rsidRPr="00687DE8" w:rsidRDefault="00B847AE" w:rsidP="00C80855">
            <w:pPr>
              <w:pStyle w:val="Normaallaadveeb"/>
              <w:spacing w:before="0" w:after="0" w:afterAutospacing="0"/>
            </w:pPr>
            <w:r w:rsidRPr="00687DE8">
              <w:t>Antikoagulantide eriuuringud: proteiin C, APCR, proteiin S, vaba proteiin S, luupusantikoagulandid*</w:t>
            </w:r>
          </w:p>
        </w:tc>
        <w:tc>
          <w:tcPr>
            <w:tcW w:w="10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5B2AD30" w14:textId="77777777" w:rsidR="00B847AE" w:rsidRPr="00687DE8" w:rsidRDefault="00B847AE" w:rsidP="00C80855">
            <w:pPr>
              <w:pStyle w:val="Normaallaadveeb"/>
              <w:spacing w:before="0" w:after="0" w:afterAutospacing="0"/>
              <w:jc w:val="center"/>
            </w:pPr>
            <w:r w:rsidRPr="00687DE8">
              <w:t>66308</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E7DBB2" w14:textId="15999DEE" w:rsidR="466B02A6" w:rsidRPr="00687DE8" w:rsidRDefault="00CB322F">
            <w:pPr>
              <w:spacing w:after="0"/>
              <w:jc w:val="center"/>
              <w:rPr>
                <w:color w:val="000000" w:themeColor="text1"/>
                <w:szCs w:val="24"/>
              </w:rPr>
            </w:pPr>
            <w:r>
              <w:rPr>
                <w:color w:val="000000"/>
              </w:rPr>
              <w:t>22,14</w:t>
            </w:r>
          </w:p>
        </w:tc>
      </w:tr>
      <w:tr w:rsidR="00B847AE" w:rsidRPr="00687DE8" w14:paraId="393244DD" w14:textId="77777777" w:rsidTr="001B10F9">
        <w:trPr>
          <w:divId w:val="1316184749"/>
          <w:trHeight w:val="300"/>
        </w:trPr>
        <w:tc>
          <w:tcPr>
            <w:tcW w:w="7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014C35" w14:textId="77777777" w:rsidR="00B847AE" w:rsidRPr="00687DE8" w:rsidRDefault="00B847AE" w:rsidP="00C80855">
            <w:pPr>
              <w:pStyle w:val="Normaallaadveeb"/>
              <w:spacing w:before="0" w:after="0" w:afterAutospacing="0"/>
            </w:pPr>
            <w:r w:rsidRPr="00687DE8">
              <w:t>Hepariini aktiivsuse uuringud</w:t>
            </w:r>
          </w:p>
        </w:tc>
        <w:tc>
          <w:tcPr>
            <w:tcW w:w="10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D55D80" w14:textId="77777777" w:rsidR="00B847AE" w:rsidRPr="00687DE8" w:rsidRDefault="00B847AE" w:rsidP="00C80855">
            <w:pPr>
              <w:pStyle w:val="Normaallaadveeb"/>
              <w:spacing w:before="0" w:after="0" w:afterAutospacing="0"/>
              <w:jc w:val="center"/>
            </w:pPr>
            <w:r w:rsidRPr="00687DE8">
              <w:t>66309</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B1DFD8" w14:textId="414C72B3" w:rsidR="466B02A6" w:rsidRPr="00687DE8" w:rsidRDefault="00CB322F">
            <w:pPr>
              <w:spacing w:after="0"/>
              <w:jc w:val="center"/>
              <w:rPr>
                <w:color w:val="000000" w:themeColor="text1"/>
                <w:szCs w:val="24"/>
              </w:rPr>
            </w:pPr>
            <w:r>
              <w:rPr>
                <w:color w:val="000000"/>
              </w:rPr>
              <w:t>18,21</w:t>
            </w:r>
          </w:p>
        </w:tc>
      </w:tr>
      <w:tr w:rsidR="00B847AE" w:rsidRPr="00687DE8" w14:paraId="75C7348E" w14:textId="77777777" w:rsidTr="001B10F9">
        <w:trPr>
          <w:divId w:val="1316184749"/>
          <w:trHeight w:val="300"/>
        </w:trPr>
        <w:tc>
          <w:tcPr>
            <w:tcW w:w="7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88A4DB" w14:textId="77777777" w:rsidR="00B847AE" w:rsidRPr="00687DE8" w:rsidRDefault="00B847AE" w:rsidP="00C80855">
            <w:pPr>
              <w:pStyle w:val="Normaallaadveeb"/>
              <w:spacing w:before="0" w:after="0" w:afterAutospacing="0"/>
            </w:pPr>
            <w:r w:rsidRPr="00687DE8">
              <w:t>Fibrinolüütilise süsteemi uuringud*</w:t>
            </w:r>
          </w:p>
        </w:tc>
        <w:tc>
          <w:tcPr>
            <w:tcW w:w="10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945D8" w14:textId="77777777" w:rsidR="00B847AE" w:rsidRPr="00687DE8" w:rsidRDefault="00B847AE" w:rsidP="00C80855">
            <w:pPr>
              <w:pStyle w:val="Normaallaadveeb"/>
              <w:spacing w:before="0" w:after="0" w:afterAutospacing="0"/>
              <w:jc w:val="center"/>
            </w:pPr>
            <w:r w:rsidRPr="00687DE8">
              <w:t>66310</w:t>
            </w:r>
          </w:p>
        </w:tc>
        <w:tc>
          <w:tcPr>
            <w:tcW w:w="111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E3032F" w14:textId="2CD9228F" w:rsidR="466B02A6" w:rsidRPr="00687DE8" w:rsidRDefault="00CB322F">
            <w:pPr>
              <w:spacing w:after="0"/>
              <w:jc w:val="center"/>
              <w:rPr>
                <w:color w:val="000000" w:themeColor="text1"/>
                <w:szCs w:val="24"/>
              </w:rPr>
            </w:pPr>
            <w:r>
              <w:rPr>
                <w:color w:val="000000"/>
              </w:rPr>
              <w:t>27,74</w:t>
            </w:r>
          </w:p>
        </w:tc>
      </w:tr>
    </w:tbl>
    <w:p w14:paraId="76381A07" w14:textId="77777777" w:rsidR="00976487" w:rsidRPr="00687DE8" w:rsidRDefault="00976487" w:rsidP="00976487">
      <w:pPr>
        <w:pStyle w:val="Pealkiri3"/>
        <w:spacing w:before="0" w:after="0" w:afterAutospacing="0"/>
        <w:jc w:val="both"/>
        <w:divId w:val="1316184749"/>
        <w:rPr>
          <w:rStyle w:val="Tugev"/>
          <w:b/>
          <w:bCs/>
          <w:sz w:val="24"/>
          <w:szCs w:val="24"/>
        </w:rPr>
      </w:pPr>
    </w:p>
    <w:p w14:paraId="614B74DA" w14:textId="77777777" w:rsidR="00976487" w:rsidRDefault="5C52CFD9" w:rsidP="5C52CFD9">
      <w:pPr>
        <w:pStyle w:val="Pealkiri3"/>
        <w:spacing w:before="0" w:after="0" w:afterAutospacing="0"/>
        <w:jc w:val="both"/>
        <w:divId w:val="1316184749"/>
        <w:rPr>
          <w:sz w:val="24"/>
          <w:szCs w:val="24"/>
        </w:rPr>
      </w:pPr>
      <w:r w:rsidRPr="00687DE8">
        <w:rPr>
          <w:rStyle w:val="Tugev"/>
          <w:b/>
          <w:bCs/>
          <w:sz w:val="24"/>
          <w:szCs w:val="24"/>
        </w:rPr>
        <w:t>§ 70.</w:t>
      </w:r>
      <w:r w:rsidRPr="00687DE8">
        <w:rPr>
          <w:sz w:val="24"/>
          <w:szCs w:val="24"/>
        </w:rPr>
        <w:t> Immunohematoloogiliste uuringute piirhinnad</w:t>
      </w:r>
    </w:p>
    <w:p w14:paraId="37B81E22" w14:textId="77777777" w:rsidR="0084789F" w:rsidRDefault="0084789F" w:rsidP="00976487">
      <w:pPr>
        <w:pStyle w:val="Normaallaadveeb"/>
        <w:spacing w:before="0" w:after="0" w:afterAutospacing="0"/>
        <w:jc w:val="both"/>
        <w:divId w:val="1316184749"/>
      </w:pPr>
    </w:p>
    <w:p w14:paraId="26CEC835" w14:textId="23C42B26" w:rsidR="00976487" w:rsidRPr="00687DE8" w:rsidRDefault="00976487" w:rsidP="00976487">
      <w:pPr>
        <w:pStyle w:val="Normaallaadveeb"/>
        <w:spacing w:before="0" w:after="0" w:afterAutospacing="0"/>
        <w:jc w:val="both"/>
        <w:divId w:val="1316184749"/>
      </w:pPr>
      <w:r w:rsidRPr="00687DE8">
        <w:t>(1) Immunohematoloogiliste uuringute piirhinnad on järgmised:</w:t>
      </w:r>
    </w:p>
    <w:p w14:paraId="65E35A24" w14:textId="77777777" w:rsidR="00976487" w:rsidRPr="00687DE8" w:rsidRDefault="00976487" w:rsidP="00976487">
      <w:pPr>
        <w:pStyle w:val="Normaallaadveeb"/>
        <w:spacing w:before="0" w:after="0" w:afterAutospacing="0"/>
        <w:jc w:val="both"/>
        <w:divId w:val="131618474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1077"/>
        <w:gridCol w:w="1115"/>
      </w:tblGrid>
      <w:tr w:rsidR="00976487" w:rsidRPr="00687DE8" w14:paraId="621BC76A" w14:textId="77777777" w:rsidTr="00EB2220">
        <w:trPr>
          <w:divId w:val="1316184749"/>
          <w:tblHeader/>
        </w:trPr>
        <w:tc>
          <w:tcPr>
            <w:tcW w:w="7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05FC74" w14:textId="77777777" w:rsidR="00976487" w:rsidRPr="00687DE8" w:rsidRDefault="00976487" w:rsidP="00C80855">
            <w:pPr>
              <w:pStyle w:val="Normaallaadveeb"/>
              <w:spacing w:before="0" w:after="0" w:afterAutospacing="0"/>
              <w:jc w:val="center"/>
            </w:pPr>
            <w:r w:rsidRPr="00687DE8">
              <w:rPr>
                <w:b/>
                <w:bCs/>
              </w:rPr>
              <w:t>Uuringu nimetus</w:t>
            </w:r>
          </w:p>
        </w:tc>
        <w:tc>
          <w:tcPr>
            <w:tcW w:w="1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B2E521" w14:textId="77777777" w:rsidR="00976487" w:rsidRPr="00687DE8" w:rsidRDefault="00976487" w:rsidP="00C80855">
            <w:pPr>
              <w:pStyle w:val="Normaallaadveeb"/>
              <w:spacing w:before="0" w:after="0" w:afterAutospacing="0"/>
              <w:jc w:val="center"/>
            </w:pPr>
            <w:r w:rsidRPr="00687DE8">
              <w:rPr>
                <w:b/>
                <w:bCs/>
              </w:rPr>
              <w:t>Kood</w:t>
            </w:r>
          </w:p>
        </w:tc>
        <w:tc>
          <w:tcPr>
            <w:tcW w:w="1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0CE78C" w14:textId="77777777" w:rsidR="00976487" w:rsidRPr="00687DE8" w:rsidRDefault="00976487" w:rsidP="00C80855">
            <w:pPr>
              <w:pStyle w:val="Normaallaadveeb"/>
              <w:tabs>
                <w:tab w:val="decimal" w:pos="635"/>
              </w:tabs>
              <w:spacing w:before="0" w:after="0" w:afterAutospacing="0"/>
              <w:jc w:val="center"/>
            </w:pPr>
            <w:r w:rsidRPr="00687DE8">
              <w:rPr>
                <w:b/>
                <w:bCs/>
              </w:rPr>
              <w:t>Piirhind</w:t>
            </w:r>
            <w:r w:rsidRPr="00687DE8">
              <w:rPr>
                <w:b/>
                <w:bCs/>
              </w:rPr>
              <w:br/>
              <w:t>eurodes</w:t>
            </w:r>
          </w:p>
        </w:tc>
      </w:tr>
      <w:tr w:rsidR="00B847AE" w:rsidRPr="00687DE8" w14:paraId="25B37BD8" w14:textId="77777777" w:rsidTr="001B10F9">
        <w:trPr>
          <w:divId w:val="1316184749"/>
          <w:trHeight w:val="300"/>
        </w:trPr>
        <w:tc>
          <w:tcPr>
            <w:tcW w:w="7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BE1A61" w14:textId="77777777" w:rsidR="00B847AE" w:rsidRPr="00687DE8" w:rsidRDefault="00B847AE" w:rsidP="00C80855">
            <w:pPr>
              <w:pStyle w:val="Normaallaadveeb"/>
              <w:spacing w:before="0" w:after="0" w:afterAutospacing="0"/>
            </w:pPr>
            <w:r w:rsidRPr="00687DE8">
              <w:t>AB0-veregrupi ja Rh(D) kinnitav määramine (AB0-grupp määratud nii otsese kui ka pöördreaktsiooniga)</w:t>
            </w:r>
          </w:p>
        </w:tc>
        <w:tc>
          <w:tcPr>
            <w:tcW w:w="1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E06D228" w14:textId="77777777" w:rsidR="00B847AE" w:rsidRPr="00687DE8" w:rsidRDefault="00B847AE" w:rsidP="00C80855">
            <w:pPr>
              <w:pStyle w:val="Normaallaadveeb"/>
              <w:spacing w:before="0" w:after="0" w:afterAutospacing="0"/>
              <w:jc w:val="center"/>
            </w:pPr>
            <w:r w:rsidRPr="00687DE8">
              <w:t>66400</w:t>
            </w:r>
          </w:p>
        </w:tc>
        <w:tc>
          <w:tcPr>
            <w:tcW w:w="1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93A086" w14:textId="210F8026" w:rsidR="466B02A6" w:rsidRPr="00687DE8" w:rsidRDefault="00CB322F">
            <w:pPr>
              <w:spacing w:after="0"/>
              <w:jc w:val="center"/>
              <w:rPr>
                <w:color w:val="000000" w:themeColor="text1"/>
                <w:szCs w:val="24"/>
              </w:rPr>
            </w:pPr>
            <w:r>
              <w:rPr>
                <w:color w:val="000000"/>
              </w:rPr>
              <w:t>20,49</w:t>
            </w:r>
          </w:p>
        </w:tc>
      </w:tr>
      <w:tr w:rsidR="00B847AE" w:rsidRPr="00687DE8" w14:paraId="2AD8D12D" w14:textId="77777777" w:rsidTr="001B10F9">
        <w:trPr>
          <w:divId w:val="1316184749"/>
          <w:trHeight w:val="300"/>
        </w:trPr>
        <w:tc>
          <w:tcPr>
            <w:tcW w:w="7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A2CD15" w14:textId="77777777" w:rsidR="00B847AE" w:rsidRPr="00687DE8" w:rsidRDefault="00B847AE" w:rsidP="00C80855">
            <w:pPr>
              <w:pStyle w:val="Normaallaadveeb"/>
              <w:spacing w:before="0" w:after="0" w:afterAutospacing="0"/>
            </w:pPr>
            <w:r w:rsidRPr="00687DE8">
              <w:t>AB0-veregrupi ja Rh(D) määramine (AB0-grupp määratud otsese reaktsiooniga)</w:t>
            </w:r>
          </w:p>
        </w:tc>
        <w:tc>
          <w:tcPr>
            <w:tcW w:w="1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DA280A3" w14:textId="77777777" w:rsidR="00B847AE" w:rsidRPr="00687DE8" w:rsidRDefault="00B847AE" w:rsidP="00C80855">
            <w:pPr>
              <w:pStyle w:val="Normaallaadveeb"/>
              <w:spacing w:before="0" w:after="0" w:afterAutospacing="0"/>
              <w:jc w:val="center"/>
            </w:pPr>
            <w:r w:rsidRPr="00687DE8">
              <w:t>66401</w:t>
            </w:r>
          </w:p>
        </w:tc>
        <w:tc>
          <w:tcPr>
            <w:tcW w:w="11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0EA7E6" w14:textId="6AB3EE1F" w:rsidR="390BE00C" w:rsidRPr="00687DE8" w:rsidRDefault="00CB322F">
            <w:pPr>
              <w:spacing w:after="0"/>
              <w:jc w:val="center"/>
              <w:rPr>
                <w:color w:val="000000" w:themeColor="text1"/>
                <w:szCs w:val="24"/>
              </w:rPr>
            </w:pPr>
            <w:r>
              <w:rPr>
                <w:color w:val="000000"/>
              </w:rPr>
              <w:t>15,02</w:t>
            </w:r>
          </w:p>
        </w:tc>
      </w:tr>
      <w:tr w:rsidR="00B847AE" w:rsidRPr="00687DE8" w14:paraId="20C01CE1" w14:textId="77777777" w:rsidTr="001B10F9">
        <w:trPr>
          <w:divId w:val="1316184749"/>
          <w:trHeight w:val="300"/>
        </w:trPr>
        <w:tc>
          <w:tcPr>
            <w:tcW w:w="7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DD7C0B" w14:textId="77777777" w:rsidR="00B847AE" w:rsidRPr="00687DE8" w:rsidRDefault="00B847AE" w:rsidP="00C80855">
            <w:pPr>
              <w:pStyle w:val="Normaallaadveeb"/>
              <w:spacing w:before="0" w:after="0" w:afterAutospacing="0"/>
            </w:pPr>
            <w:r w:rsidRPr="00687DE8">
              <w:lastRenderedPageBreak/>
              <w:t>AB0-veregrupi määramine patsiendi identifitseerimisel või erütrokomponentide kontrollil</w:t>
            </w:r>
          </w:p>
        </w:tc>
        <w:tc>
          <w:tcPr>
            <w:tcW w:w="1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DECA3E2" w14:textId="77777777" w:rsidR="00B847AE" w:rsidRPr="00687DE8" w:rsidRDefault="00B847AE" w:rsidP="00C80855">
            <w:pPr>
              <w:pStyle w:val="Normaallaadveeb"/>
              <w:spacing w:before="0" w:after="0" w:afterAutospacing="0"/>
              <w:jc w:val="center"/>
            </w:pPr>
            <w:r w:rsidRPr="00687DE8">
              <w:t>66402</w:t>
            </w:r>
          </w:p>
        </w:tc>
        <w:tc>
          <w:tcPr>
            <w:tcW w:w="11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AC5A77" w14:textId="13C2FD92" w:rsidR="390BE00C" w:rsidRPr="00687DE8" w:rsidRDefault="00CB322F">
            <w:pPr>
              <w:spacing w:after="0"/>
              <w:jc w:val="center"/>
              <w:rPr>
                <w:color w:val="000000" w:themeColor="text1"/>
                <w:szCs w:val="24"/>
              </w:rPr>
            </w:pPr>
            <w:r>
              <w:rPr>
                <w:color w:val="000000"/>
              </w:rPr>
              <w:t>2,35</w:t>
            </w:r>
          </w:p>
        </w:tc>
      </w:tr>
      <w:tr w:rsidR="00B847AE" w:rsidRPr="00687DE8" w14:paraId="36AAA94C" w14:textId="77777777" w:rsidTr="001B10F9">
        <w:trPr>
          <w:divId w:val="1316184749"/>
          <w:trHeight w:val="300"/>
        </w:trPr>
        <w:tc>
          <w:tcPr>
            <w:tcW w:w="7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2097D1" w14:textId="77777777" w:rsidR="00B847AE" w:rsidRPr="00687DE8" w:rsidRDefault="00B847AE" w:rsidP="00C80855">
            <w:pPr>
              <w:pStyle w:val="Normaallaadveeb"/>
              <w:spacing w:before="0" w:after="0" w:afterAutospacing="0"/>
            </w:pPr>
            <w:r w:rsidRPr="00687DE8">
              <w:t>Erütrotsütaarsete antikehade sõeluuring kahe erütrotsüüdiga</w:t>
            </w:r>
          </w:p>
        </w:tc>
        <w:tc>
          <w:tcPr>
            <w:tcW w:w="1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6CE99E" w14:textId="77777777" w:rsidR="00B847AE" w:rsidRPr="00687DE8" w:rsidRDefault="00B847AE" w:rsidP="00C80855">
            <w:pPr>
              <w:pStyle w:val="Normaallaadveeb"/>
              <w:spacing w:before="0" w:after="0" w:afterAutospacing="0"/>
              <w:jc w:val="center"/>
            </w:pPr>
            <w:r w:rsidRPr="00687DE8">
              <w:t>66403</w:t>
            </w:r>
          </w:p>
        </w:tc>
        <w:tc>
          <w:tcPr>
            <w:tcW w:w="11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6CB719" w14:textId="3A868981" w:rsidR="390BE00C" w:rsidRPr="00687DE8" w:rsidRDefault="00CB322F">
            <w:pPr>
              <w:spacing w:after="0"/>
              <w:jc w:val="center"/>
              <w:rPr>
                <w:color w:val="000000" w:themeColor="text1"/>
                <w:szCs w:val="24"/>
              </w:rPr>
            </w:pPr>
            <w:r>
              <w:rPr>
                <w:color w:val="000000"/>
              </w:rPr>
              <w:t>15,36</w:t>
            </w:r>
          </w:p>
        </w:tc>
      </w:tr>
      <w:tr w:rsidR="00B847AE" w:rsidRPr="00687DE8" w14:paraId="1743F54E" w14:textId="77777777" w:rsidTr="001B10F9">
        <w:trPr>
          <w:divId w:val="1316184749"/>
          <w:trHeight w:val="300"/>
        </w:trPr>
        <w:tc>
          <w:tcPr>
            <w:tcW w:w="7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2D9E8D" w14:textId="77777777" w:rsidR="00B847AE" w:rsidRPr="00687DE8" w:rsidRDefault="00B847AE" w:rsidP="00C80855">
            <w:pPr>
              <w:pStyle w:val="Normaallaadveeb"/>
              <w:spacing w:before="0" w:after="0" w:afterAutospacing="0"/>
            </w:pPr>
            <w:r w:rsidRPr="00687DE8">
              <w:t>Erütrotsütaarsete antikehade sõeluuring kolme erütrotsüüdiga</w:t>
            </w:r>
          </w:p>
        </w:tc>
        <w:tc>
          <w:tcPr>
            <w:tcW w:w="1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86E2D" w14:textId="77777777" w:rsidR="00B847AE" w:rsidRPr="00687DE8" w:rsidRDefault="00B847AE" w:rsidP="00C80855">
            <w:pPr>
              <w:pStyle w:val="Normaallaadveeb"/>
              <w:spacing w:before="0" w:after="0" w:afterAutospacing="0"/>
              <w:jc w:val="center"/>
            </w:pPr>
            <w:r w:rsidRPr="00687DE8">
              <w:t>66404</w:t>
            </w:r>
          </w:p>
        </w:tc>
        <w:tc>
          <w:tcPr>
            <w:tcW w:w="11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33C91B" w14:textId="5655EDEF" w:rsidR="390BE00C" w:rsidRPr="00687DE8" w:rsidRDefault="00CB322F">
            <w:pPr>
              <w:spacing w:after="0"/>
              <w:jc w:val="center"/>
              <w:rPr>
                <w:color w:val="000000" w:themeColor="text1"/>
                <w:szCs w:val="24"/>
              </w:rPr>
            </w:pPr>
            <w:r>
              <w:rPr>
                <w:color w:val="000000"/>
              </w:rPr>
              <w:t>16,18</w:t>
            </w:r>
          </w:p>
        </w:tc>
      </w:tr>
      <w:tr w:rsidR="00B847AE" w:rsidRPr="00687DE8" w14:paraId="1420DDD7" w14:textId="77777777" w:rsidTr="00EB7A71">
        <w:trPr>
          <w:divId w:val="1316184749"/>
          <w:trHeight w:val="300"/>
        </w:trPr>
        <w:tc>
          <w:tcPr>
            <w:tcW w:w="7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267466" w14:textId="77777777" w:rsidR="00B847AE" w:rsidRPr="00687DE8" w:rsidRDefault="00B847AE" w:rsidP="00C80855">
            <w:pPr>
              <w:pStyle w:val="Normaallaadveeb"/>
              <w:spacing w:before="0" w:after="0" w:afterAutospacing="0"/>
            </w:pPr>
            <w:r w:rsidRPr="00687DE8">
              <w:t>Erütrotsütaarsete antikehade tüpiseerimine ühel paneelil</w:t>
            </w:r>
          </w:p>
        </w:tc>
        <w:tc>
          <w:tcPr>
            <w:tcW w:w="1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4C3655" w14:textId="77777777" w:rsidR="00B847AE" w:rsidRPr="00687DE8" w:rsidRDefault="00B847AE" w:rsidP="00C80855">
            <w:pPr>
              <w:pStyle w:val="Normaallaadveeb"/>
              <w:spacing w:before="0" w:after="0" w:afterAutospacing="0"/>
              <w:jc w:val="center"/>
            </w:pPr>
            <w:r w:rsidRPr="00687DE8">
              <w:t>66405</w:t>
            </w:r>
          </w:p>
        </w:tc>
        <w:tc>
          <w:tcPr>
            <w:tcW w:w="11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6DCFD9" w14:textId="3995BC05" w:rsidR="390BE00C" w:rsidRPr="00687DE8" w:rsidRDefault="00CB322F">
            <w:pPr>
              <w:spacing w:after="0"/>
              <w:jc w:val="center"/>
              <w:rPr>
                <w:color w:val="000000" w:themeColor="text1"/>
                <w:szCs w:val="24"/>
              </w:rPr>
            </w:pPr>
            <w:r>
              <w:rPr>
                <w:color w:val="000000"/>
              </w:rPr>
              <w:t>34,89</w:t>
            </w:r>
          </w:p>
        </w:tc>
      </w:tr>
      <w:tr w:rsidR="00B847AE" w:rsidRPr="00687DE8" w14:paraId="73EF2279" w14:textId="77777777" w:rsidTr="001B10F9">
        <w:trPr>
          <w:divId w:val="1316184749"/>
          <w:trHeight w:val="300"/>
        </w:trPr>
        <w:tc>
          <w:tcPr>
            <w:tcW w:w="7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EB4943" w14:textId="77777777" w:rsidR="00B847AE" w:rsidRPr="00687DE8" w:rsidRDefault="00B847AE" w:rsidP="00C80855">
            <w:pPr>
              <w:pStyle w:val="Normaallaadveeb"/>
              <w:spacing w:before="0" w:after="0" w:afterAutospacing="0"/>
            </w:pPr>
            <w:r w:rsidRPr="00687DE8">
              <w:t>Erütrotsütaarsete antikehade tiitrimine</w:t>
            </w:r>
          </w:p>
        </w:tc>
        <w:tc>
          <w:tcPr>
            <w:tcW w:w="1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66661C" w14:textId="77777777" w:rsidR="00B847AE" w:rsidRPr="00687DE8" w:rsidRDefault="00B847AE" w:rsidP="00C80855">
            <w:pPr>
              <w:pStyle w:val="Normaallaadveeb"/>
              <w:spacing w:before="0" w:after="0" w:afterAutospacing="0"/>
              <w:jc w:val="center"/>
            </w:pPr>
            <w:r w:rsidRPr="00687DE8">
              <w:t>66406</w:t>
            </w:r>
          </w:p>
        </w:tc>
        <w:tc>
          <w:tcPr>
            <w:tcW w:w="11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C4C1AE" w14:textId="405AEF9F" w:rsidR="390BE00C" w:rsidRPr="00687DE8" w:rsidRDefault="00CB322F">
            <w:pPr>
              <w:spacing w:after="0"/>
              <w:jc w:val="center"/>
              <w:rPr>
                <w:color w:val="000000" w:themeColor="text1"/>
                <w:szCs w:val="24"/>
              </w:rPr>
            </w:pPr>
            <w:r>
              <w:rPr>
                <w:color w:val="000000"/>
              </w:rPr>
              <w:t>32,27</w:t>
            </w:r>
          </w:p>
        </w:tc>
      </w:tr>
      <w:tr w:rsidR="00B847AE" w:rsidRPr="00687DE8" w14:paraId="2C22514C" w14:textId="77777777" w:rsidTr="001B10F9">
        <w:trPr>
          <w:divId w:val="1316184749"/>
          <w:trHeight w:val="300"/>
        </w:trPr>
        <w:tc>
          <w:tcPr>
            <w:tcW w:w="7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0A6130" w14:textId="77777777" w:rsidR="00B847AE" w:rsidRPr="00687DE8" w:rsidRDefault="00B847AE" w:rsidP="00C80855">
            <w:pPr>
              <w:pStyle w:val="Normaallaadveeb"/>
              <w:spacing w:before="0" w:after="0" w:afterAutospacing="0"/>
            </w:pPr>
            <w:r w:rsidRPr="00687DE8">
              <w:t>Ühe antigeeni määramine teiste veregrupisüsteemide puhul</w:t>
            </w:r>
          </w:p>
        </w:tc>
        <w:tc>
          <w:tcPr>
            <w:tcW w:w="1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3F3134" w14:textId="77777777" w:rsidR="00B847AE" w:rsidRPr="00687DE8" w:rsidRDefault="00B847AE" w:rsidP="00C80855">
            <w:pPr>
              <w:pStyle w:val="Normaallaadveeb"/>
              <w:spacing w:before="0" w:after="0" w:afterAutospacing="0"/>
              <w:jc w:val="center"/>
            </w:pPr>
            <w:r w:rsidRPr="00687DE8">
              <w:t>66407</w:t>
            </w:r>
          </w:p>
        </w:tc>
        <w:tc>
          <w:tcPr>
            <w:tcW w:w="11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3A85C1" w14:textId="7BA77E80" w:rsidR="390BE00C" w:rsidRPr="00687DE8" w:rsidRDefault="00CB322F">
            <w:pPr>
              <w:spacing w:after="0"/>
              <w:jc w:val="center"/>
              <w:rPr>
                <w:color w:val="000000" w:themeColor="text1"/>
                <w:szCs w:val="24"/>
              </w:rPr>
            </w:pPr>
            <w:r>
              <w:rPr>
                <w:color w:val="000000"/>
              </w:rPr>
              <w:t>17,74</w:t>
            </w:r>
          </w:p>
        </w:tc>
      </w:tr>
      <w:tr w:rsidR="00B847AE" w:rsidRPr="00687DE8" w14:paraId="40DB271C" w14:textId="77777777" w:rsidTr="001B10F9">
        <w:trPr>
          <w:divId w:val="1316184749"/>
          <w:trHeight w:val="300"/>
        </w:trPr>
        <w:tc>
          <w:tcPr>
            <w:tcW w:w="7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95AA26" w14:textId="77777777" w:rsidR="00B847AE" w:rsidRPr="00687DE8" w:rsidRDefault="00B847AE" w:rsidP="00C80855">
            <w:pPr>
              <w:pStyle w:val="Normaallaadveeb"/>
              <w:spacing w:before="0" w:after="0" w:afterAutospacing="0"/>
            </w:pPr>
            <w:r w:rsidRPr="00687DE8">
              <w:t>Rh-fenotüübi määramine</w:t>
            </w:r>
          </w:p>
        </w:tc>
        <w:tc>
          <w:tcPr>
            <w:tcW w:w="1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AD4FF7" w14:textId="77777777" w:rsidR="00B847AE" w:rsidRPr="00687DE8" w:rsidRDefault="00B847AE" w:rsidP="00C80855">
            <w:pPr>
              <w:pStyle w:val="Normaallaadveeb"/>
              <w:spacing w:before="0" w:after="0" w:afterAutospacing="0"/>
              <w:jc w:val="center"/>
            </w:pPr>
            <w:r w:rsidRPr="00687DE8">
              <w:t>66408</w:t>
            </w:r>
          </w:p>
        </w:tc>
        <w:tc>
          <w:tcPr>
            <w:tcW w:w="11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D8B282" w14:textId="63ACE93D" w:rsidR="390BE00C" w:rsidRPr="00687DE8" w:rsidRDefault="00CB322F">
            <w:pPr>
              <w:spacing w:after="0"/>
              <w:jc w:val="center"/>
              <w:rPr>
                <w:color w:val="000000" w:themeColor="text1"/>
                <w:szCs w:val="24"/>
              </w:rPr>
            </w:pPr>
            <w:r>
              <w:rPr>
                <w:color w:val="000000"/>
              </w:rPr>
              <w:t>20,78</w:t>
            </w:r>
          </w:p>
        </w:tc>
      </w:tr>
      <w:tr w:rsidR="00B847AE" w:rsidRPr="00687DE8" w14:paraId="6BB2C983" w14:textId="77777777" w:rsidTr="001B10F9">
        <w:trPr>
          <w:divId w:val="1316184749"/>
          <w:trHeight w:val="300"/>
        </w:trPr>
        <w:tc>
          <w:tcPr>
            <w:tcW w:w="7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783DFB" w14:textId="77777777" w:rsidR="00B847AE" w:rsidRPr="00687DE8" w:rsidRDefault="00B847AE" w:rsidP="00C80855">
            <w:pPr>
              <w:pStyle w:val="Normaallaadveeb"/>
              <w:spacing w:before="0" w:after="0" w:afterAutospacing="0"/>
            </w:pPr>
            <w:r w:rsidRPr="00687DE8">
              <w:t>Sobivusproov (üks ristreaktsioon)</w:t>
            </w:r>
          </w:p>
        </w:tc>
        <w:tc>
          <w:tcPr>
            <w:tcW w:w="1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EE93BC" w14:textId="77777777" w:rsidR="00B847AE" w:rsidRPr="00687DE8" w:rsidRDefault="00B847AE" w:rsidP="00C80855">
            <w:pPr>
              <w:pStyle w:val="Normaallaadveeb"/>
              <w:spacing w:before="0" w:after="0" w:afterAutospacing="0"/>
              <w:jc w:val="center"/>
            </w:pPr>
            <w:r w:rsidRPr="00687DE8">
              <w:t>66409</w:t>
            </w:r>
          </w:p>
        </w:tc>
        <w:tc>
          <w:tcPr>
            <w:tcW w:w="11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83F1F9" w14:textId="7B7CA2FF" w:rsidR="390BE00C" w:rsidRPr="00687DE8" w:rsidRDefault="00CB322F">
            <w:pPr>
              <w:spacing w:after="0"/>
              <w:jc w:val="center"/>
              <w:rPr>
                <w:color w:val="000000" w:themeColor="text1"/>
                <w:szCs w:val="24"/>
              </w:rPr>
            </w:pPr>
            <w:r>
              <w:rPr>
                <w:color w:val="000000"/>
              </w:rPr>
              <w:t>15,39</w:t>
            </w:r>
          </w:p>
        </w:tc>
      </w:tr>
      <w:tr w:rsidR="00B847AE" w:rsidRPr="00687DE8" w14:paraId="57F86F80" w14:textId="77777777" w:rsidTr="001B10F9">
        <w:trPr>
          <w:divId w:val="1316184749"/>
          <w:trHeight w:val="300"/>
        </w:trPr>
        <w:tc>
          <w:tcPr>
            <w:tcW w:w="7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E9AA77" w14:textId="77777777" w:rsidR="00B847AE" w:rsidRPr="00687DE8" w:rsidRDefault="00B847AE" w:rsidP="00C80855">
            <w:pPr>
              <w:pStyle w:val="Normaallaadveeb"/>
              <w:spacing w:before="0" w:after="0" w:afterAutospacing="0"/>
            </w:pPr>
            <w:r w:rsidRPr="00687DE8">
              <w:t>Vastsündinu vere kompleksanalüüs</w:t>
            </w:r>
          </w:p>
        </w:tc>
        <w:tc>
          <w:tcPr>
            <w:tcW w:w="1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3D6515" w14:textId="77777777" w:rsidR="00B847AE" w:rsidRPr="00687DE8" w:rsidRDefault="00B847AE" w:rsidP="00C80855">
            <w:pPr>
              <w:pStyle w:val="Normaallaadveeb"/>
              <w:spacing w:before="0" w:after="0" w:afterAutospacing="0"/>
              <w:jc w:val="center"/>
            </w:pPr>
            <w:r w:rsidRPr="00687DE8">
              <w:t>66410</w:t>
            </w:r>
          </w:p>
        </w:tc>
        <w:tc>
          <w:tcPr>
            <w:tcW w:w="11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586B87" w14:textId="778608AB" w:rsidR="390BE00C" w:rsidRPr="00687DE8" w:rsidRDefault="00CB322F">
            <w:pPr>
              <w:spacing w:after="0"/>
              <w:jc w:val="center"/>
              <w:rPr>
                <w:color w:val="000000" w:themeColor="text1"/>
                <w:szCs w:val="24"/>
              </w:rPr>
            </w:pPr>
            <w:r>
              <w:rPr>
                <w:color w:val="000000"/>
              </w:rPr>
              <w:t>18,80</w:t>
            </w:r>
          </w:p>
        </w:tc>
      </w:tr>
      <w:tr w:rsidR="00B847AE" w:rsidRPr="00687DE8" w14:paraId="655FEA7E" w14:textId="77777777" w:rsidTr="001B10F9">
        <w:trPr>
          <w:divId w:val="1316184749"/>
          <w:trHeight w:val="300"/>
        </w:trPr>
        <w:tc>
          <w:tcPr>
            <w:tcW w:w="7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DA6095" w14:textId="77777777" w:rsidR="00B847AE" w:rsidRPr="00687DE8" w:rsidRDefault="00B847AE" w:rsidP="00C80855">
            <w:pPr>
              <w:pStyle w:val="Normaallaadveeb"/>
              <w:spacing w:before="0" w:after="0" w:afterAutospacing="0"/>
            </w:pPr>
            <w:r w:rsidRPr="00687DE8">
              <w:t>Otsene Coombsi test</w:t>
            </w:r>
          </w:p>
        </w:tc>
        <w:tc>
          <w:tcPr>
            <w:tcW w:w="1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B8213A" w14:textId="77777777" w:rsidR="00B847AE" w:rsidRPr="00687DE8" w:rsidRDefault="00B847AE" w:rsidP="00C80855">
            <w:pPr>
              <w:pStyle w:val="Normaallaadveeb"/>
              <w:spacing w:before="0" w:after="0" w:afterAutospacing="0"/>
              <w:jc w:val="center"/>
            </w:pPr>
            <w:r w:rsidRPr="00687DE8">
              <w:t>66411</w:t>
            </w:r>
          </w:p>
        </w:tc>
        <w:tc>
          <w:tcPr>
            <w:tcW w:w="11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B8440F" w14:textId="6C078805" w:rsidR="390BE00C" w:rsidRPr="00687DE8" w:rsidRDefault="00CB322F">
            <w:pPr>
              <w:spacing w:after="0"/>
              <w:jc w:val="center"/>
              <w:rPr>
                <w:color w:val="000000" w:themeColor="text1"/>
                <w:szCs w:val="24"/>
              </w:rPr>
            </w:pPr>
            <w:r>
              <w:rPr>
                <w:color w:val="000000"/>
              </w:rPr>
              <w:t>14,99</w:t>
            </w:r>
          </w:p>
        </w:tc>
      </w:tr>
      <w:tr w:rsidR="00B847AE" w:rsidRPr="00687DE8" w14:paraId="1ED2CD2A" w14:textId="77777777" w:rsidTr="001B10F9">
        <w:trPr>
          <w:divId w:val="1316184749"/>
          <w:trHeight w:val="300"/>
        </w:trPr>
        <w:tc>
          <w:tcPr>
            <w:tcW w:w="7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B3C58E" w14:textId="77777777" w:rsidR="00B847AE" w:rsidRPr="00687DE8" w:rsidRDefault="00B847AE" w:rsidP="00C80855">
            <w:pPr>
              <w:pStyle w:val="Normaallaadveeb"/>
              <w:spacing w:before="0" w:after="0" w:afterAutospacing="0"/>
            </w:pPr>
            <w:r w:rsidRPr="00687DE8">
              <w:t>Otsese Coombsi testi diferentseerimine (tüpiseerimine või tiitrimine)</w:t>
            </w:r>
          </w:p>
        </w:tc>
        <w:tc>
          <w:tcPr>
            <w:tcW w:w="1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AEB400" w14:textId="77777777" w:rsidR="00B847AE" w:rsidRPr="00687DE8" w:rsidRDefault="00B847AE" w:rsidP="00C80855">
            <w:pPr>
              <w:pStyle w:val="Normaallaadveeb"/>
              <w:spacing w:before="0" w:after="0" w:afterAutospacing="0"/>
              <w:jc w:val="center"/>
            </w:pPr>
            <w:r w:rsidRPr="00687DE8">
              <w:t>66412</w:t>
            </w:r>
          </w:p>
        </w:tc>
        <w:tc>
          <w:tcPr>
            <w:tcW w:w="11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3B6220" w14:textId="77FA2A6A" w:rsidR="390BE00C" w:rsidRPr="00687DE8" w:rsidRDefault="00CB322F">
            <w:pPr>
              <w:spacing w:after="0"/>
              <w:jc w:val="center"/>
              <w:rPr>
                <w:color w:val="000000" w:themeColor="text1"/>
                <w:szCs w:val="24"/>
              </w:rPr>
            </w:pPr>
            <w:r>
              <w:rPr>
                <w:color w:val="000000"/>
              </w:rPr>
              <w:t>25,18</w:t>
            </w:r>
          </w:p>
        </w:tc>
      </w:tr>
      <w:tr w:rsidR="00B847AE" w:rsidRPr="00687DE8" w14:paraId="6F2FC822" w14:textId="77777777" w:rsidTr="001B10F9">
        <w:trPr>
          <w:divId w:val="1316184749"/>
          <w:trHeight w:val="300"/>
        </w:trPr>
        <w:tc>
          <w:tcPr>
            <w:tcW w:w="7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1573FD" w14:textId="77777777" w:rsidR="00B847AE" w:rsidRPr="00687DE8" w:rsidRDefault="00B847AE" w:rsidP="00C80855">
            <w:pPr>
              <w:pStyle w:val="Normaallaadveeb"/>
              <w:spacing w:before="0" w:after="0" w:afterAutospacing="0"/>
            </w:pPr>
            <w:r w:rsidRPr="00687DE8">
              <w:t>Verekomponentide andmestikupõhine sobivuskontroll (VASK)</w:t>
            </w:r>
          </w:p>
        </w:tc>
        <w:tc>
          <w:tcPr>
            <w:tcW w:w="1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0F7F70" w14:textId="77777777" w:rsidR="00B847AE" w:rsidRPr="00687DE8" w:rsidRDefault="00B847AE" w:rsidP="00C80855">
            <w:pPr>
              <w:pStyle w:val="Normaallaadveeb"/>
              <w:spacing w:before="0" w:after="0" w:afterAutospacing="0"/>
              <w:jc w:val="center"/>
            </w:pPr>
            <w:r w:rsidRPr="00687DE8">
              <w:t>66413</w:t>
            </w:r>
          </w:p>
        </w:tc>
        <w:tc>
          <w:tcPr>
            <w:tcW w:w="111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4AEADA" w14:textId="533A156D" w:rsidR="390BE00C" w:rsidRPr="00687DE8" w:rsidRDefault="00CB322F">
            <w:pPr>
              <w:spacing w:after="0"/>
              <w:jc w:val="center"/>
              <w:rPr>
                <w:color w:val="000000" w:themeColor="text1"/>
                <w:szCs w:val="24"/>
              </w:rPr>
            </w:pPr>
            <w:r>
              <w:rPr>
                <w:color w:val="000000"/>
              </w:rPr>
              <w:t>14,09</w:t>
            </w:r>
          </w:p>
        </w:tc>
      </w:tr>
    </w:tbl>
    <w:p w14:paraId="171DA2BC" w14:textId="77777777" w:rsidR="00976487" w:rsidRPr="00687DE8" w:rsidRDefault="00976487" w:rsidP="00976487">
      <w:pPr>
        <w:pStyle w:val="Normaallaadveeb"/>
        <w:spacing w:before="0" w:after="0" w:afterAutospacing="0"/>
        <w:jc w:val="both"/>
        <w:divId w:val="1316184749"/>
      </w:pPr>
    </w:p>
    <w:p w14:paraId="66F8CCCD" w14:textId="4B8E8CFD" w:rsidR="00976487" w:rsidRPr="00687DE8" w:rsidRDefault="00976487" w:rsidP="00976487">
      <w:pPr>
        <w:pStyle w:val="Normaallaadveeb"/>
        <w:spacing w:before="0" w:after="0" w:afterAutospacing="0"/>
        <w:jc w:val="both"/>
        <w:divId w:val="1316184749"/>
      </w:pPr>
      <w:r w:rsidRPr="00687DE8">
        <w:t xml:space="preserve">(2) </w:t>
      </w:r>
      <w:r w:rsidR="005023FD" w:rsidRPr="00687DE8">
        <w:t>Tervisekassa</w:t>
      </w:r>
      <w:r w:rsidRPr="00687DE8">
        <w:t xml:space="preserve"> võtab koodiga 66413 tähistatud tervishoiuteenuse eest tasu maksmise kohustuse üle, kui teenuse osutamisel kasutatav vere käitlemise infosüsteem on valideeritud.</w:t>
      </w:r>
    </w:p>
    <w:p w14:paraId="71D5D1C0" w14:textId="77777777" w:rsidR="00976487" w:rsidRPr="00687DE8" w:rsidRDefault="00976487" w:rsidP="00976487">
      <w:pPr>
        <w:pStyle w:val="Pealkiri3"/>
        <w:spacing w:before="0" w:after="0" w:afterAutospacing="0"/>
        <w:jc w:val="both"/>
        <w:divId w:val="1316184749"/>
        <w:rPr>
          <w:rStyle w:val="Tugev"/>
          <w:b/>
          <w:bCs/>
          <w:sz w:val="24"/>
          <w:szCs w:val="24"/>
        </w:rPr>
      </w:pPr>
    </w:p>
    <w:p w14:paraId="32DCA790" w14:textId="77777777" w:rsidR="00976487" w:rsidRDefault="5C52CFD9" w:rsidP="5C52CFD9">
      <w:pPr>
        <w:pStyle w:val="Pealkiri3"/>
        <w:spacing w:before="0" w:after="0" w:afterAutospacing="0"/>
        <w:jc w:val="both"/>
        <w:divId w:val="1316184749"/>
        <w:rPr>
          <w:sz w:val="24"/>
          <w:szCs w:val="24"/>
        </w:rPr>
      </w:pPr>
      <w:r w:rsidRPr="00687DE8">
        <w:rPr>
          <w:rStyle w:val="Tugev"/>
          <w:b/>
          <w:bCs/>
          <w:sz w:val="24"/>
          <w:szCs w:val="24"/>
        </w:rPr>
        <w:t>§ 71.</w:t>
      </w:r>
      <w:r w:rsidRPr="00687DE8">
        <w:rPr>
          <w:sz w:val="24"/>
          <w:szCs w:val="24"/>
        </w:rPr>
        <w:t> Mikrobioloogiliste uuringute piirhinnad</w:t>
      </w:r>
    </w:p>
    <w:p w14:paraId="2715C5B0" w14:textId="77777777" w:rsidR="0084789F" w:rsidRDefault="0084789F" w:rsidP="00976487">
      <w:pPr>
        <w:pStyle w:val="Normaallaadveeb"/>
        <w:spacing w:before="0" w:after="0" w:afterAutospacing="0"/>
        <w:jc w:val="both"/>
        <w:divId w:val="1316184749"/>
      </w:pPr>
    </w:p>
    <w:p w14:paraId="5615200B" w14:textId="2D68C336" w:rsidR="00976487" w:rsidRPr="00687DE8" w:rsidRDefault="00976487" w:rsidP="00976487">
      <w:pPr>
        <w:pStyle w:val="Normaallaadveeb"/>
        <w:spacing w:before="0" w:after="0" w:afterAutospacing="0"/>
        <w:jc w:val="both"/>
        <w:divId w:val="1316184749"/>
      </w:pPr>
      <w:r w:rsidRPr="00687DE8">
        <w:t>Mikrobioloogiliste uuringute piirhinnad on järgmised:</w:t>
      </w:r>
    </w:p>
    <w:p w14:paraId="037B32F2" w14:textId="77777777" w:rsidR="00976487" w:rsidRPr="00687DE8" w:rsidRDefault="00976487" w:rsidP="00976487">
      <w:pPr>
        <w:pStyle w:val="Normaallaadveeb"/>
        <w:spacing w:before="0" w:after="0" w:afterAutospacing="0"/>
        <w:jc w:val="both"/>
        <w:divId w:val="131618474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6"/>
        <w:gridCol w:w="1044"/>
        <w:gridCol w:w="1625"/>
      </w:tblGrid>
      <w:tr w:rsidR="00976487" w:rsidRPr="00687DE8" w14:paraId="119EED81" w14:textId="77777777" w:rsidTr="1013A6C4">
        <w:trPr>
          <w:divId w:val="1316184749"/>
          <w:tblHeader/>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5E2570" w14:textId="77777777" w:rsidR="00976487" w:rsidRPr="00687DE8" w:rsidRDefault="00976487" w:rsidP="00F95479">
            <w:pPr>
              <w:pStyle w:val="Normaallaadveeb"/>
              <w:spacing w:before="0" w:after="0" w:afterAutospacing="0"/>
              <w:jc w:val="center"/>
            </w:pPr>
            <w:r w:rsidRPr="00687DE8">
              <w:rPr>
                <w:b/>
                <w:bCs/>
              </w:rPr>
              <w:t>Uuringu nimetus</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CF0404" w14:textId="77777777" w:rsidR="00976487" w:rsidRPr="00687DE8" w:rsidRDefault="00976487" w:rsidP="00F95479">
            <w:pPr>
              <w:pStyle w:val="Normaallaadveeb"/>
              <w:spacing w:before="0" w:after="0" w:afterAutospacing="0"/>
              <w:jc w:val="center"/>
            </w:pPr>
            <w:r w:rsidRPr="00687DE8">
              <w:rPr>
                <w:b/>
                <w:bCs/>
              </w:rPr>
              <w:t>Kood</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D9EE7D" w14:textId="77777777" w:rsidR="00976487" w:rsidRPr="00687DE8" w:rsidRDefault="00976487" w:rsidP="00F95479">
            <w:pPr>
              <w:pStyle w:val="Normaallaadveeb"/>
              <w:tabs>
                <w:tab w:val="decimal" w:pos="635"/>
              </w:tabs>
              <w:spacing w:before="0" w:after="0" w:afterAutospacing="0"/>
              <w:jc w:val="center"/>
            </w:pPr>
            <w:r w:rsidRPr="00687DE8">
              <w:rPr>
                <w:b/>
                <w:bCs/>
              </w:rPr>
              <w:t>Piirhind</w:t>
            </w:r>
            <w:r w:rsidRPr="00687DE8">
              <w:rPr>
                <w:b/>
                <w:bCs/>
              </w:rPr>
              <w:br/>
              <w:t>eurodes</w:t>
            </w:r>
          </w:p>
        </w:tc>
      </w:tr>
      <w:tr w:rsidR="00976487" w:rsidRPr="00687DE8" w14:paraId="41454075" w14:textId="77777777" w:rsidTr="1013A6C4">
        <w:trPr>
          <w:divId w:val="1316184749"/>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0A3B44" w14:textId="77777777" w:rsidR="00976487" w:rsidRPr="00687DE8" w:rsidRDefault="00976487" w:rsidP="00F95479">
            <w:pPr>
              <w:pStyle w:val="Normaallaadveeb"/>
              <w:spacing w:before="0" w:after="0" w:afterAutospacing="0"/>
            </w:pPr>
            <w:r w:rsidRPr="00687DE8">
              <w:rPr>
                <w:b/>
                <w:bCs/>
              </w:rPr>
              <w:t>Mikroskoopia</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906B88" w14:textId="77777777" w:rsidR="00976487" w:rsidRPr="00687DE8" w:rsidRDefault="00976487" w:rsidP="00F95479">
            <w:pPr>
              <w:spacing w:after="0" w:line="240" w:lineRule="auto"/>
              <w:rPr>
                <w:szCs w:val="24"/>
              </w:rPr>
            </w:pP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7A135B" w14:textId="77777777" w:rsidR="00976487" w:rsidRPr="00687DE8" w:rsidRDefault="00976487" w:rsidP="00F95479">
            <w:pPr>
              <w:spacing w:after="0" w:line="240" w:lineRule="auto"/>
              <w:rPr>
                <w:szCs w:val="24"/>
                <w:lang w:eastAsia="et-EE"/>
              </w:rPr>
            </w:pPr>
          </w:p>
        </w:tc>
      </w:tr>
      <w:tr w:rsidR="00B847AE" w:rsidRPr="00687DE8" w14:paraId="15BE79F0"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C69D66" w14:textId="77777777" w:rsidR="00B847AE" w:rsidRPr="00687DE8" w:rsidRDefault="00B847AE" w:rsidP="00F95479">
            <w:pPr>
              <w:pStyle w:val="Normaallaadveeb"/>
              <w:spacing w:before="0" w:after="0" w:afterAutospacing="0"/>
            </w:pPr>
            <w:r w:rsidRPr="00687DE8">
              <w:t>Algmaterjali mikroskoopiline uuring natiivpreparaadis</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91242E" w14:textId="77777777" w:rsidR="00B847AE" w:rsidRPr="00687DE8" w:rsidRDefault="00B847AE" w:rsidP="00F95479">
            <w:pPr>
              <w:pStyle w:val="Normaallaadveeb"/>
              <w:spacing w:before="0" w:after="0" w:afterAutospacing="0"/>
              <w:jc w:val="center"/>
            </w:pPr>
            <w:r w:rsidRPr="00687DE8">
              <w:t>66500</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4A0E46" w14:textId="7654C63E" w:rsidR="00C0321A" w:rsidRPr="00687DE8" w:rsidRDefault="00423DAE">
            <w:pPr>
              <w:spacing w:after="0"/>
              <w:jc w:val="center"/>
              <w:rPr>
                <w:szCs w:val="24"/>
              </w:rPr>
            </w:pPr>
            <w:r>
              <w:rPr>
                <w:color w:val="000000"/>
              </w:rPr>
              <w:t>8,05</w:t>
            </w:r>
          </w:p>
        </w:tc>
      </w:tr>
      <w:tr w:rsidR="00B847AE" w:rsidRPr="00687DE8" w14:paraId="184A11B4"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58BA30" w14:textId="77777777" w:rsidR="00B847AE" w:rsidRPr="00687DE8" w:rsidRDefault="00B847AE" w:rsidP="00F95479">
            <w:pPr>
              <w:pStyle w:val="Normaallaadveeb"/>
              <w:spacing w:before="0" w:after="0" w:afterAutospacing="0"/>
            </w:pPr>
            <w:r w:rsidRPr="00687DE8">
              <w:t>Algmaterjali mikroskoopiline uuring fikseeritud värvitud preparaadis</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EBA0A6" w14:textId="77777777" w:rsidR="00B847AE" w:rsidRPr="00687DE8" w:rsidRDefault="00B847AE" w:rsidP="00F95479">
            <w:pPr>
              <w:pStyle w:val="Normaallaadveeb"/>
              <w:spacing w:before="0" w:after="0" w:afterAutospacing="0"/>
              <w:jc w:val="center"/>
            </w:pPr>
            <w:r w:rsidRPr="00687DE8">
              <w:t>66501</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0DDFC7" w14:textId="2D463BF3" w:rsidR="00C0321A" w:rsidRPr="00687DE8" w:rsidRDefault="00423DAE">
            <w:pPr>
              <w:spacing w:after="0"/>
              <w:jc w:val="center"/>
              <w:rPr>
                <w:szCs w:val="24"/>
              </w:rPr>
            </w:pPr>
            <w:r>
              <w:rPr>
                <w:color w:val="000000"/>
              </w:rPr>
              <w:t>12,37</w:t>
            </w:r>
          </w:p>
        </w:tc>
      </w:tr>
      <w:tr w:rsidR="00B847AE" w:rsidRPr="00687DE8" w14:paraId="6827DB21"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95DF1C" w14:textId="77777777" w:rsidR="00B847AE" w:rsidRPr="00687DE8" w:rsidRDefault="00B847AE" w:rsidP="00F95479">
            <w:pPr>
              <w:pStyle w:val="Normaallaadveeb"/>
              <w:spacing w:before="0" w:after="0" w:afterAutospacing="0"/>
            </w:pPr>
            <w:r w:rsidRPr="00687DE8">
              <w:t>Algmaterjali mikroskoopiline uuring eelneva kultiveerimisega või kontsentreerimisega</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C9D2244" w14:textId="77777777" w:rsidR="00B847AE" w:rsidRPr="00687DE8" w:rsidRDefault="00B847AE" w:rsidP="00F95479">
            <w:pPr>
              <w:pStyle w:val="Normaallaadveeb"/>
              <w:spacing w:before="0" w:after="0" w:afterAutospacing="0"/>
              <w:jc w:val="center"/>
            </w:pPr>
            <w:r w:rsidRPr="00687DE8">
              <w:t>66502</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BB35E5" w14:textId="7A76A3D4" w:rsidR="00C0321A" w:rsidRPr="00687DE8" w:rsidRDefault="00423DAE">
            <w:pPr>
              <w:spacing w:after="0"/>
              <w:jc w:val="center"/>
              <w:rPr>
                <w:szCs w:val="24"/>
              </w:rPr>
            </w:pPr>
            <w:r>
              <w:rPr>
                <w:color w:val="000000"/>
              </w:rPr>
              <w:t>17,55</w:t>
            </w:r>
          </w:p>
        </w:tc>
      </w:tr>
      <w:tr w:rsidR="00B847AE" w:rsidRPr="00687DE8" w14:paraId="03BFD73D"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0E62C5" w14:textId="77777777" w:rsidR="00B847AE" w:rsidRPr="00687DE8" w:rsidRDefault="00B847AE" w:rsidP="00F95479">
            <w:pPr>
              <w:pStyle w:val="Normaallaadveeb"/>
              <w:spacing w:before="0" w:after="0" w:afterAutospacing="0"/>
            </w:pPr>
            <w:r w:rsidRPr="00687DE8">
              <w:t>Mikroskoopiline uuring mükobakterite määramiseks</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EFFAFB" w14:textId="77777777" w:rsidR="00B847AE" w:rsidRPr="00687DE8" w:rsidRDefault="00B847AE" w:rsidP="00F95479">
            <w:pPr>
              <w:pStyle w:val="Normaallaadveeb"/>
              <w:spacing w:before="0" w:after="0" w:afterAutospacing="0"/>
              <w:jc w:val="center"/>
            </w:pPr>
            <w:r w:rsidRPr="00687DE8">
              <w:t>66503</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F41F21" w14:textId="3477F1F4" w:rsidR="00C0321A" w:rsidRPr="00687DE8" w:rsidRDefault="00423DAE">
            <w:pPr>
              <w:spacing w:after="0"/>
              <w:jc w:val="center"/>
              <w:rPr>
                <w:szCs w:val="24"/>
              </w:rPr>
            </w:pPr>
            <w:r>
              <w:rPr>
                <w:color w:val="000000"/>
              </w:rPr>
              <w:t>16,14</w:t>
            </w:r>
          </w:p>
        </w:tc>
      </w:tr>
      <w:tr w:rsidR="00976487" w:rsidRPr="00687DE8" w14:paraId="47A2A6A5" w14:textId="77777777" w:rsidTr="1013A6C4">
        <w:trPr>
          <w:divId w:val="1316184749"/>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B0EEE3" w14:textId="77777777" w:rsidR="00976487" w:rsidRPr="00687DE8" w:rsidRDefault="00976487" w:rsidP="00F95479">
            <w:pPr>
              <w:pStyle w:val="Normaallaadveeb"/>
              <w:spacing w:before="0" w:after="0" w:afterAutospacing="0"/>
            </w:pPr>
            <w:r w:rsidRPr="00687DE8">
              <w:rPr>
                <w:b/>
                <w:bCs/>
              </w:rPr>
              <w:t>Külvid</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C96F5B" w14:textId="77777777" w:rsidR="00976487" w:rsidRPr="00687DE8" w:rsidRDefault="00976487" w:rsidP="00F95479">
            <w:pPr>
              <w:spacing w:after="0" w:line="240" w:lineRule="auto"/>
              <w:rPr>
                <w:szCs w:val="24"/>
              </w:rPr>
            </w:pP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C1B752" w14:textId="77777777" w:rsidR="00976487" w:rsidRPr="00687DE8" w:rsidRDefault="00976487" w:rsidP="00F95479">
            <w:pPr>
              <w:spacing w:after="0" w:line="240" w:lineRule="auto"/>
              <w:rPr>
                <w:szCs w:val="24"/>
                <w:lang w:eastAsia="et-EE"/>
              </w:rPr>
            </w:pPr>
          </w:p>
        </w:tc>
      </w:tr>
      <w:tr w:rsidR="00A52FA0" w:rsidRPr="00687DE8" w14:paraId="0BC49BA0"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DFEA52" w14:textId="77777777" w:rsidR="00A52FA0" w:rsidRPr="00687DE8" w:rsidRDefault="00A52FA0" w:rsidP="00F95479">
            <w:pPr>
              <w:pStyle w:val="Normaallaadveeb"/>
              <w:spacing w:before="0" w:after="0" w:afterAutospacing="0"/>
            </w:pPr>
            <w:r w:rsidRPr="00687DE8">
              <w:t>Bioloogilise materjali aeroobne külv põhisöötme(te)le</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2D3896" w14:textId="77777777" w:rsidR="00A52FA0" w:rsidRPr="00687DE8" w:rsidRDefault="00A52FA0" w:rsidP="00F95479">
            <w:pPr>
              <w:pStyle w:val="Normaallaadveeb"/>
              <w:spacing w:before="0" w:after="0" w:afterAutospacing="0"/>
              <w:jc w:val="center"/>
            </w:pPr>
            <w:r w:rsidRPr="00687DE8">
              <w:t>66510</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C45187" w14:textId="7889F3E1" w:rsidR="4F1D25DA" w:rsidRPr="00687DE8" w:rsidRDefault="003B5EDA">
            <w:pPr>
              <w:spacing w:after="0"/>
              <w:jc w:val="center"/>
              <w:rPr>
                <w:color w:val="000000" w:themeColor="text1"/>
                <w:szCs w:val="24"/>
              </w:rPr>
            </w:pPr>
            <w:r>
              <w:rPr>
                <w:color w:val="000000"/>
              </w:rPr>
              <w:t>16,33</w:t>
            </w:r>
          </w:p>
        </w:tc>
      </w:tr>
      <w:tr w:rsidR="00A52FA0" w:rsidRPr="00687DE8" w14:paraId="0B8E0C88"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930333" w14:textId="77777777" w:rsidR="00A52FA0" w:rsidRPr="00687DE8" w:rsidRDefault="00A52FA0" w:rsidP="00F95479">
            <w:pPr>
              <w:pStyle w:val="Normaallaadveeb"/>
              <w:spacing w:before="0" w:after="0" w:afterAutospacing="0"/>
            </w:pPr>
            <w:r w:rsidRPr="00687DE8">
              <w:t>Bioloogilise materjali aeroobne külv lisasöötme(te)le</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EE663C" w14:textId="77777777" w:rsidR="00A52FA0" w:rsidRPr="00687DE8" w:rsidRDefault="00A52FA0" w:rsidP="00F95479">
            <w:pPr>
              <w:pStyle w:val="Normaallaadveeb"/>
              <w:spacing w:before="0" w:after="0" w:afterAutospacing="0"/>
              <w:jc w:val="center"/>
            </w:pPr>
            <w:r w:rsidRPr="00687DE8">
              <w:t>66511</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667225" w14:textId="5F5E0190" w:rsidR="4F1D25DA" w:rsidRPr="00687DE8" w:rsidRDefault="003B5EDA">
            <w:pPr>
              <w:spacing w:after="0"/>
              <w:jc w:val="center"/>
              <w:rPr>
                <w:color w:val="000000" w:themeColor="text1"/>
                <w:szCs w:val="24"/>
              </w:rPr>
            </w:pPr>
            <w:r>
              <w:rPr>
                <w:color w:val="000000"/>
              </w:rPr>
              <w:t>10,64</w:t>
            </w:r>
          </w:p>
        </w:tc>
      </w:tr>
      <w:tr w:rsidR="00A52FA0" w:rsidRPr="00687DE8" w14:paraId="7F7CD276"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8366C4" w14:textId="77777777" w:rsidR="00A52FA0" w:rsidRPr="00687DE8" w:rsidRDefault="00A52FA0" w:rsidP="00F95479">
            <w:pPr>
              <w:pStyle w:val="Normaallaadveeb"/>
              <w:spacing w:before="0" w:after="0" w:afterAutospacing="0"/>
            </w:pPr>
            <w:r w:rsidRPr="00687DE8">
              <w:t>Bioloogilise materjali külv inkubeerimisega spetsiifilises keskkonnas (mikroaerofiilid, anaeroobid, kapnofiilid)</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0A513C" w14:textId="77777777" w:rsidR="00A52FA0" w:rsidRPr="00687DE8" w:rsidRDefault="00A52FA0" w:rsidP="00F95479">
            <w:pPr>
              <w:pStyle w:val="Normaallaadveeb"/>
              <w:spacing w:before="0" w:after="0" w:afterAutospacing="0"/>
              <w:jc w:val="center"/>
            </w:pPr>
          </w:p>
          <w:p w14:paraId="7DDB3113" w14:textId="77777777" w:rsidR="00A52FA0" w:rsidRPr="00687DE8" w:rsidRDefault="00A52FA0" w:rsidP="00F95479">
            <w:pPr>
              <w:pStyle w:val="Normaallaadveeb"/>
              <w:spacing w:before="0" w:after="0" w:afterAutospacing="0"/>
              <w:jc w:val="center"/>
            </w:pPr>
            <w:r w:rsidRPr="00687DE8">
              <w:t>66512</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AAB9E" w14:textId="346ED0D9" w:rsidR="4F1D25DA" w:rsidRPr="00687DE8" w:rsidRDefault="003B5EDA">
            <w:pPr>
              <w:spacing w:after="0"/>
              <w:jc w:val="center"/>
              <w:rPr>
                <w:color w:val="000000" w:themeColor="text1"/>
                <w:szCs w:val="24"/>
              </w:rPr>
            </w:pPr>
            <w:r>
              <w:rPr>
                <w:color w:val="000000"/>
              </w:rPr>
              <w:t>26,20</w:t>
            </w:r>
          </w:p>
        </w:tc>
      </w:tr>
      <w:tr w:rsidR="00A52FA0" w:rsidRPr="00687DE8" w14:paraId="734F5B83"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A305BB" w14:textId="77777777" w:rsidR="00A52FA0" w:rsidRPr="00687DE8" w:rsidRDefault="00A52FA0" w:rsidP="00F95479">
            <w:pPr>
              <w:pStyle w:val="Normaallaadveeb"/>
              <w:spacing w:before="0" w:after="0" w:afterAutospacing="0"/>
            </w:pPr>
            <w:r w:rsidRPr="00687DE8">
              <w:t>Bioloogilise materjali külv spetsiifiliste (harvaesinevate või raskesti kultiveeritavate) patogeenide määramiseks</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1FC35A" w14:textId="77777777" w:rsidR="00A52FA0" w:rsidRPr="00687DE8" w:rsidRDefault="00A52FA0" w:rsidP="00F95479">
            <w:pPr>
              <w:pStyle w:val="Normaallaadveeb"/>
              <w:spacing w:before="0" w:after="0" w:afterAutospacing="0"/>
              <w:jc w:val="center"/>
            </w:pPr>
          </w:p>
          <w:p w14:paraId="24964D9B" w14:textId="77777777" w:rsidR="00A52FA0" w:rsidRPr="00687DE8" w:rsidRDefault="00A52FA0" w:rsidP="00F95479">
            <w:pPr>
              <w:pStyle w:val="Normaallaadveeb"/>
              <w:spacing w:before="0" w:after="0" w:afterAutospacing="0"/>
              <w:jc w:val="center"/>
            </w:pPr>
            <w:r w:rsidRPr="00687DE8">
              <w:t>66513</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E40CEA" w14:textId="1A4EDF03" w:rsidR="4F1D25DA" w:rsidRPr="00687DE8" w:rsidRDefault="003B5EDA">
            <w:pPr>
              <w:spacing w:after="0"/>
              <w:jc w:val="center"/>
              <w:rPr>
                <w:color w:val="000000" w:themeColor="text1"/>
                <w:szCs w:val="24"/>
              </w:rPr>
            </w:pPr>
            <w:r>
              <w:rPr>
                <w:color w:val="000000"/>
              </w:rPr>
              <w:t>43,73</w:t>
            </w:r>
          </w:p>
        </w:tc>
      </w:tr>
      <w:tr w:rsidR="00A52FA0" w:rsidRPr="00687DE8" w14:paraId="64655C16"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76A7F3" w14:textId="77777777" w:rsidR="00A52FA0" w:rsidRPr="00687DE8" w:rsidRDefault="00A52FA0" w:rsidP="00F95479">
            <w:pPr>
              <w:pStyle w:val="Normaallaadveeb"/>
              <w:spacing w:before="0" w:after="0" w:afterAutospacing="0"/>
            </w:pPr>
            <w:r w:rsidRPr="00687DE8">
              <w:t>Bioloogilise materjali külv spetsiaalsesse/automatiseeritud külvisüsteemi</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15FCC1" w14:textId="77777777" w:rsidR="00A52FA0" w:rsidRPr="00687DE8" w:rsidRDefault="00A52FA0" w:rsidP="00F95479">
            <w:pPr>
              <w:pStyle w:val="Normaallaadveeb"/>
              <w:spacing w:before="0" w:after="0" w:afterAutospacing="0"/>
              <w:jc w:val="center"/>
            </w:pPr>
          </w:p>
          <w:p w14:paraId="538E4C08" w14:textId="77777777" w:rsidR="00A52FA0" w:rsidRPr="00687DE8" w:rsidRDefault="00A52FA0" w:rsidP="00F95479">
            <w:pPr>
              <w:pStyle w:val="Normaallaadveeb"/>
              <w:spacing w:before="0" w:after="0" w:afterAutospacing="0"/>
              <w:jc w:val="center"/>
            </w:pPr>
            <w:r w:rsidRPr="00687DE8">
              <w:t>66514</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FC2051" w14:textId="5ECE492F" w:rsidR="4F1D25DA" w:rsidRPr="00687DE8" w:rsidRDefault="003B5EDA">
            <w:pPr>
              <w:spacing w:after="0"/>
              <w:jc w:val="center"/>
              <w:rPr>
                <w:color w:val="000000" w:themeColor="text1"/>
                <w:szCs w:val="24"/>
              </w:rPr>
            </w:pPr>
            <w:r>
              <w:rPr>
                <w:color w:val="000000"/>
              </w:rPr>
              <w:t>17,65</w:t>
            </w:r>
          </w:p>
        </w:tc>
      </w:tr>
      <w:tr w:rsidR="00A52FA0" w:rsidRPr="00687DE8" w14:paraId="7FABFCDE"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8AB559" w14:textId="77777777" w:rsidR="00A52FA0" w:rsidRPr="00687DE8" w:rsidRDefault="00A52FA0" w:rsidP="00F95479">
            <w:pPr>
              <w:pStyle w:val="Normaallaadveeb"/>
              <w:spacing w:before="0" w:after="0" w:afterAutospacing="0"/>
            </w:pPr>
            <w:r w:rsidRPr="00687DE8">
              <w:t>Bioloogilise materjali külv mükobakterite määramiseks (klassikaline meetod)</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75BECC1" w14:textId="77777777" w:rsidR="00A52FA0" w:rsidRPr="00687DE8" w:rsidRDefault="00A52FA0" w:rsidP="00F95479">
            <w:pPr>
              <w:pStyle w:val="Normaallaadveeb"/>
              <w:spacing w:before="0" w:after="0" w:afterAutospacing="0"/>
              <w:jc w:val="center"/>
            </w:pPr>
            <w:r w:rsidRPr="00687DE8">
              <w:t>66515</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16DA14" w14:textId="2ADA7AC6" w:rsidR="4F1D25DA" w:rsidRPr="00687DE8" w:rsidRDefault="003B5EDA">
            <w:pPr>
              <w:spacing w:after="0"/>
              <w:jc w:val="center"/>
              <w:rPr>
                <w:color w:val="000000" w:themeColor="text1"/>
                <w:szCs w:val="24"/>
              </w:rPr>
            </w:pPr>
            <w:r>
              <w:rPr>
                <w:color w:val="000000"/>
              </w:rPr>
              <w:t>49,00</w:t>
            </w:r>
          </w:p>
        </w:tc>
      </w:tr>
      <w:tr w:rsidR="00A52FA0" w:rsidRPr="00687DE8" w14:paraId="241B7652"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10D580" w14:textId="77777777" w:rsidR="00A52FA0" w:rsidRPr="00687DE8" w:rsidRDefault="00A52FA0" w:rsidP="00F95479">
            <w:pPr>
              <w:pStyle w:val="Normaallaadveeb"/>
              <w:spacing w:before="0" w:after="0" w:afterAutospacing="0"/>
            </w:pPr>
            <w:r w:rsidRPr="00687DE8">
              <w:lastRenderedPageBreak/>
              <w:t>Bioloogilise materjali külv mükobakterite määramiseks (vedelsöötmesüsteem)</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4DB44ED" w14:textId="77777777" w:rsidR="00A52FA0" w:rsidRPr="00687DE8" w:rsidRDefault="00A52FA0" w:rsidP="00F95479">
            <w:pPr>
              <w:pStyle w:val="Normaallaadveeb"/>
              <w:spacing w:before="0" w:after="0" w:afterAutospacing="0"/>
              <w:jc w:val="center"/>
            </w:pPr>
            <w:r w:rsidRPr="00687DE8">
              <w:t>66516</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238CEA" w14:textId="1AA4CA95" w:rsidR="4F1D25DA" w:rsidRPr="00687DE8" w:rsidRDefault="003B5EDA">
            <w:pPr>
              <w:spacing w:after="0"/>
              <w:jc w:val="center"/>
              <w:rPr>
                <w:color w:val="000000" w:themeColor="text1"/>
                <w:szCs w:val="24"/>
              </w:rPr>
            </w:pPr>
            <w:r>
              <w:rPr>
                <w:color w:val="000000"/>
              </w:rPr>
              <w:t>45,65</w:t>
            </w:r>
          </w:p>
        </w:tc>
      </w:tr>
      <w:tr w:rsidR="00A52FA0" w:rsidRPr="00687DE8" w14:paraId="5FA536AD"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96FFC1" w14:textId="77777777" w:rsidR="00A52FA0" w:rsidRPr="00687DE8" w:rsidRDefault="00A52FA0" w:rsidP="00F95479">
            <w:pPr>
              <w:pStyle w:val="Normaallaadveeb"/>
              <w:spacing w:before="0" w:after="0" w:afterAutospacing="0"/>
            </w:pPr>
            <w:r w:rsidRPr="00687DE8">
              <w:t>Bioloogilise materjali uuring koekultuuril</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7DE7264" w14:textId="77777777" w:rsidR="00A52FA0" w:rsidRPr="00687DE8" w:rsidRDefault="00A52FA0" w:rsidP="00F95479">
            <w:pPr>
              <w:pStyle w:val="Normaallaadveeb"/>
              <w:spacing w:before="0" w:after="0" w:afterAutospacing="0"/>
              <w:jc w:val="center"/>
            </w:pPr>
            <w:r w:rsidRPr="00687DE8">
              <w:t>66517</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3A0692" w14:textId="3EFC8900" w:rsidR="4F1D25DA" w:rsidRPr="00687DE8" w:rsidRDefault="003B5EDA">
            <w:pPr>
              <w:spacing w:after="0"/>
              <w:jc w:val="center"/>
              <w:rPr>
                <w:color w:val="000000" w:themeColor="text1"/>
                <w:szCs w:val="24"/>
              </w:rPr>
            </w:pPr>
            <w:r>
              <w:rPr>
                <w:color w:val="000000"/>
              </w:rPr>
              <w:t>32,27</w:t>
            </w:r>
          </w:p>
        </w:tc>
      </w:tr>
      <w:tr w:rsidR="00976487" w:rsidRPr="00687DE8" w14:paraId="00CC1B8A" w14:textId="77777777" w:rsidTr="1013A6C4">
        <w:trPr>
          <w:divId w:val="1316184749"/>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2F61EA" w14:textId="77777777" w:rsidR="00976487" w:rsidRPr="00687DE8" w:rsidRDefault="00976487" w:rsidP="00F95479">
            <w:pPr>
              <w:pStyle w:val="Normaallaadveeb"/>
              <w:spacing w:before="0" w:after="0" w:afterAutospacing="0"/>
            </w:pPr>
            <w:r w:rsidRPr="00687DE8">
              <w:rPr>
                <w:b/>
                <w:bCs/>
              </w:rPr>
              <w:t>Haigustekitaja samastamine</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CC2A66" w14:textId="77777777" w:rsidR="00976487" w:rsidRPr="00687DE8" w:rsidRDefault="00976487" w:rsidP="00F95479">
            <w:pPr>
              <w:spacing w:after="0" w:line="240" w:lineRule="auto"/>
              <w:rPr>
                <w:szCs w:val="24"/>
              </w:rPr>
            </w:pP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833D1B" w14:textId="77777777" w:rsidR="00976487" w:rsidRPr="00687DE8" w:rsidRDefault="00976487" w:rsidP="00F95479">
            <w:pPr>
              <w:spacing w:after="0" w:line="240" w:lineRule="auto"/>
              <w:rPr>
                <w:szCs w:val="24"/>
                <w:lang w:eastAsia="et-EE"/>
              </w:rPr>
            </w:pPr>
          </w:p>
        </w:tc>
      </w:tr>
      <w:tr w:rsidR="00A52FA0" w:rsidRPr="00687DE8" w14:paraId="11A74E15"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4931CF" w14:textId="77777777" w:rsidR="00A52FA0" w:rsidRPr="00687DE8" w:rsidRDefault="00A52FA0" w:rsidP="00F95479">
            <w:pPr>
              <w:pStyle w:val="Normaallaadveeb"/>
              <w:spacing w:before="0" w:after="0" w:afterAutospacing="0"/>
            </w:pPr>
            <w:r w:rsidRPr="00687DE8">
              <w:t>Mükobakterite samastamine</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08A046" w14:textId="77777777" w:rsidR="00A52FA0" w:rsidRPr="00687DE8" w:rsidRDefault="00A52FA0" w:rsidP="00F95479">
            <w:pPr>
              <w:pStyle w:val="Normaallaadveeb"/>
              <w:spacing w:before="0" w:after="0" w:afterAutospacing="0"/>
              <w:jc w:val="center"/>
            </w:pPr>
            <w:r w:rsidRPr="00687DE8">
              <w:t>66520</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068685" w14:textId="79209ACA" w:rsidR="4F1D25DA" w:rsidRPr="00687DE8" w:rsidRDefault="003854E1">
            <w:pPr>
              <w:spacing w:after="0"/>
              <w:jc w:val="center"/>
              <w:rPr>
                <w:color w:val="000000" w:themeColor="text1"/>
                <w:szCs w:val="24"/>
              </w:rPr>
            </w:pPr>
            <w:r>
              <w:rPr>
                <w:color w:val="000000"/>
              </w:rPr>
              <w:t>62,59</w:t>
            </w:r>
          </w:p>
        </w:tc>
      </w:tr>
      <w:tr w:rsidR="00A52FA0" w:rsidRPr="00687DE8" w14:paraId="628DA6CB" w14:textId="77777777" w:rsidTr="00EB7A71">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6B261D" w14:textId="77777777" w:rsidR="00A52FA0" w:rsidRPr="00687DE8" w:rsidRDefault="00A52FA0" w:rsidP="00F95479">
            <w:pPr>
              <w:pStyle w:val="Normaallaadveeb"/>
              <w:spacing w:before="0" w:after="0" w:afterAutospacing="0"/>
            </w:pPr>
            <w:r w:rsidRPr="00687DE8">
              <w:t>Mikroorganismi samastamine üksikute biokeemiliste või immunoloogiliste reaktsioonide abil</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BA20000" w14:textId="77777777" w:rsidR="00A52FA0" w:rsidRPr="00687DE8" w:rsidRDefault="00A52FA0" w:rsidP="00F95479">
            <w:pPr>
              <w:pStyle w:val="Normaallaadveeb"/>
              <w:spacing w:before="0" w:after="0" w:afterAutospacing="0"/>
              <w:jc w:val="center"/>
            </w:pPr>
            <w:r w:rsidRPr="00687DE8">
              <w:t>66521</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669A9C" w14:textId="72DF36C2" w:rsidR="2B763ED3" w:rsidRPr="00687DE8" w:rsidRDefault="003854E1">
            <w:pPr>
              <w:spacing w:after="0"/>
              <w:jc w:val="center"/>
              <w:rPr>
                <w:color w:val="000000" w:themeColor="text1"/>
                <w:szCs w:val="24"/>
              </w:rPr>
            </w:pPr>
            <w:r>
              <w:rPr>
                <w:color w:val="000000"/>
              </w:rPr>
              <w:t>17,42</w:t>
            </w:r>
          </w:p>
        </w:tc>
      </w:tr>
      <w:tr w:rsidR="00A52FA0" w:rsidRPr="00687DE8" w14:paraId="09711098"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44AC75" w14:textId="77777777" w:rsidR="00A52FA0" w:rsidRPr="00687DE8" w:rsidRDefault="00A52FA0" w:rsidP="00F95479">
            <w:pPr>
              <w:pStyle w:val="Normaallaadveeb"/>
              <w:spacing w:before="0" w:after="0" w:afterAutospacing="0"/>
            </w:pPr>
            <w:r w:rsidRPr="00687DE8">
              <w:t>Mikroorganismi samastamine biokeemilise või immunoloogilise spetsiaalse/automatiseeritud süsteemi abil</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899083B" w14:textId="77777777" w:rsidR="00A52FA0" w:rsidRPr="00687DE8" w:rsidRDefault="00A52FA0" w:rsidP="00F95479">
            <w:pPr>
              <w:pStyle w:val="Normaallaadveeb"/>
              <w:spacing w:before="0" w:after="0" w:afterAutospacing="0"/>
              <w:jc w:val="center"/>
            </w:pPr>
            <w:r w:rsidRPr="00687DE8">
              <w:t>66522</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C4F1F1" w14:textId="7844A895" w:rsidR="2B763ED3" w:rsidRPr="00687DE8" w:rsidRDefault="003854E1">
            <w:pPr>
              <w:spacing w:after="0"/>
              <w:jc w:val="center"/>
              <w:rPr>
                <w:color w:val="000000" w:themeColor="text1"/>
                <w:szCs w:val="24"/>
              </w:rPr>
            </w:pPr>
            <w:r>
              <w:rPr>
                <w:color w:val="000000"/>
              </w:rPr>
              <w:t>16,40</w:t>
            </w:r>
          </w:p>
        </w:tc>
      </w:tr>
      <w:tr w:rsidR="00A52FA0" w:rsidRPr="00687DE8" w14:paraId="5E3C5AFE"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964872" w14:textId="77777777" w:rsidR="00A52FA0" w:rsidRPr="00687DE8" w:rsidRDefault="00A52FA0" w:rsidP="00F95479">
            <w:pPr>
              <w:pStyle w:val="Normaallaadveeb"/>
              <w:spacing w:before="0" w:after="0" w:afterAutospacing="0"/>
            </w:pPr>
            <w:r w:rsidRPr="00687DE8">
              <w:t>Täpsustav samastamine</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D662438" w14:textId="77777777" w:rsidR="00A52FA0" w:rsidRPr="00687DE8" w:rsidRDefault="00A52FA0" w:rsidP="00F95479">
            <w:pPr>
              <w:pStyle w:val="Normaallaadveeb"/>
              <w:spacing w:before="0" w:after="0" w:afterAutospacing="0"/>
              <w:jc w:val="center"/>
            </w:pPr>
            <w:r w:rsidRPr="00687DE8">
              <w:t>66523</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436892" w14:textId="7D0462EC" w:rsidR="2B763ED3" w:rsidRPr="00687DE8" w:rsidRDefault="003854E1">
            <w:pPr>
              <w:spacing w:after="0"/>
              <w:jc w:val="center"/>
              <w:rPr>
                <w:color w:val="000000" w:themeColor="text1"/>
                <w:szCs w:val="24"/>
              </w:rPr>
            </w:pPr>
            <w:r>
              <w:rPr>
                <w:color w:val="000000"/>
              </w:rPr>
              <w:t>11,32</w:t>
            </w:r>
          </w:p>
        </w:tc>
      </w:tr>
      <w:tr w:rsidR="00976487" w:rsidRPr="00687DE8" w14:paraId="7B7AF850" w14:textId="77777777" w:rsidTr="1013A6C4">
        <w:trPr>
          <w:divId w:val="1316184749"/>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7BAAF3" w14:textId="77777777" w:rsidR="00976487" w:rsidRPr="00687DE8" w:rsidRDefault="00976487" w:rsidP="00F95479">
            <w:pPr>
              <w:pStyle w:val="Normaallaadveeb"/>
              <w:spacing w:before="0" w:after="0" w:afterAutospacing="0"/>
            </w:pPr>
            <w:r w:rsidRPr="00687DE8">
              <w:rPr>
                <w:b/>
                <w:bCs/>
              </w:rPr>
              <w:t>Ravimitundlikkuse määramine</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F59FC9A" w14:textId="77777777" w:rsidR="00976487" w:rsidRPr="00687DE8" w:rsidRDefault="00976487" w:rsidP="00F95479">
            <w:pPr>
              <w:spacing w:after="0" w:line="240" w:lineRule="auto"/>
              <w:rPr>
                <w:szCs w:val="24"/>
              </w:rPr>
            </w:pP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3C6EFE" w14:textId="77777777" w:rsidR="00976487" w:rsidRPr="00687DE8" w:rsidRDefault="00976487" w:rsidP="00F95479">
            <w:pPr>
              <w:spacing w:after="0" w:line="240" w:lineRule="auto"/>
              <w:rPr>
                <w:szCs w:val="24"/>
                <w:lang w:eastAsia="et-EE"/>
              </w:rPr>
            </w:pPr>
          </w:p>
        </w:tc>
      </w:tr>
      <w:tr w:rsidR="00A52FA0" w:rsidRPr="00687DE8" w14:paraId="7BBFB7DA"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950096" w14:textId="77777777" w:rsidR="00A52FA0" w:rsidRPr="00687DE8" w:rsidRDefault="00A52FA0" w:rsidP="00F95479">
            <w:pPr>
              <w:pStyle w:val="Normaallaadveeb"/>
              <w:spacing w:before="0" w:after="0" w:afterAutospacing="0"/>
            </w:pPr>
            <w:r w:rsidRPr="00687DE8">
              <w:t>Ravimitundlikkuse määramine diskdifusiooni meetodil kuni kuue preparaadi suhtes</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A444724" w14:textId="77777777" w:rsidR="00A52FA0" w:rsidRPr="00687DE8" w:rsidRDefault="00A52FA0" w:rsidP="00F95479">
            <w:pPr>
              <w:pStyle w:val="Normaallaadveeb"/>
              <w:spacing w:before="0" w:after="0" w:afterAutospacing="0"/>
              <w:jc w:val="center"/>
            </w:pPr>
            <w:r w:rsidRPr="00687DE8">
              <w:t>66530</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341DA8" w14:textId="2C53EF3F" w:rsidR="48DDD730" w:rsidRPr="00687DE8" w:rsidRDefault="003854E1">
            <w:pPr>
              <w:spacing w:after="0"/>
              <w:jc w:val="center"/>
              <w:rPr>
                <w:color w:val="000000" w:themeColor="text1"/>
                <w:szCs w:val="24"/>
              </w:rPr>
            </w:pPr>
            <w:r>
              <w:rPr>
                <w:color w:val="000000"/>
              </w:rPr>
              <w:t>11,13</w:t>
            </w:r>
          </w:p>
        </w:tc>
      </w:tr>
      <w:tr w:rsidR="00A52FA0" w:rsidRPr="00687DE8" w14:paraId="7EE93982"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FD2594" w14:textId="77777777" w:rsidR="00A52FA0" w:rsidRPr="00687DE8" w:rsidRDefault="00A52FA0" w:rsidP="00F95479">
            <w:pPr>
              <w:pStyle w:val="Normaallaadveeb"/>
              <w:spacing w:before="0" w:after="0" w:afterAutospacing="0"/>
            </w:pPr>
            <w:r w:rsidRPr="00687DE8">
              <w:t>Minimaalse inhibeeriva kontsentratsiooni määramine ühes preparaadis</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E974A25" w14:textId="77777777" w:rsidR="00A52FA0" w:rsidRPr="00687DE8" w:rsidRDefault="00A52FA0" w:rsidP="00F95479">
            <w:pPr>
              <w:pStyle w:val="Normaallaadveeb"/>
              <w:spacing w:before="0" w:after="0" w:afterAutospacing="0"/>
              <w:jc w:val="center"/>
            </w:pPr>
            <w:r w:rsidRPr="00687DE8">
              <w:t>66531</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9A2B6E" w14:textId="2B0E12F0" w:rsidR="48DDD730" w:rsidRPr="00687DE8" w:rsidRDefault="003854E1">
            <w:pPr>
              <w:spacing w:after="0"/>
              <w:jc w:val="center"/>
              <w:rPr>
                <w:color w:val="000000" w:themeColor="text1"/>
                <w:szCs w:val="24"/>
              </w:rPr>
            </w:pPr>
            <w:r>
              <w:rPr>
                <w:color w:val="000000"/>
              </w:rPr>
              <w:t>12,57</w:t>
            </w:r>
          </w:p>
        </w:tc>
      </w:tr>
      <w:tr w:rsidR="00A52FA0" w:rsidRPr="00687DE8" w14:paraId="1AAFE224"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5030A7" w14:textId="77777777" w:rsidR="00A52FA0" w:rsidRPr="00687DE8" w:rsidRDefault="00A52FA0" w:rsidP="00F95479">
            <w:pPr>
              <w:pStyle w:val="Normaallaadveeb"/>
              <w:spacing w:before="0" w:after="0" w:afterAutospacing="0"/>
            </w:pPr>
            <w:r w:rsidRPr="00687DE8">
              <w:rPr>
                <w:i/>
                <w:iCs/>
              </w:rPr>
              <w:t>M. tuberculosis</w:t>
            </w:r>
            <w:r w:rsidRPr="00687DE8">
              <w:t>’e ravimitundlikkuse määramine kuni nelja antibakteriaalse preparaadi suhtes</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3675D66" w14:textId="77777777" w:rsidR="00A52FA0" w:rsidRPr="00687DE8" w:rsidRDefault="00A52FA0" w:rsidP="00F95479">
            <w:pPr>
              <w:pStyle w:val="Normaallaadveeb"/>
              <w:spacing w:before="0" w:after="0" w:afterAutospacing="0"/>
              <w:jc w:val="center"/>
            </w:pPr>
            <w:r w:rsidRPr="00687DE8">
              <w:t>66532</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D8E82E" w14:textId="55F94CDD" w:rsidR="48DDD730" w:rsidRPr="00687DE8" w:rsidRDefault="003854E1">
            <w:pPr>
              <w:spacing w:after="0"/>
              <w:jc w:val="center"/>
              <w:rPr>
                <w:color w:val="000000" w:themeColor="text1"/>
                <w:szCs w:val="24"/>
              </w:rPr>
            </w:pPr>
            <w:r>
              <w:rPr>
                <w:color w:val="000000"/>
              </w:rPr>
              <w:t>103,16</w:t>
            </w:r>
          </w:p>
        </w:tc>
      </w:tr>
      <w:tr w:rsidR="00976487" w:rsidRPr="00687DE8" w14:paraId="2FCE9F82" w14:textId="77777777" w:rsidTr="1013A6C4">
        <w:trPr>
          <w:divId w:val="1316184749"/>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834103" w14:textId="77777777" w:rsidR="00976487" w:rsidRPr="00687DE8" w:rsidRDefault="00976487" w:rsidP="00F95479">
            <w:pPr>
              <w:pStyle w:val="Normaallaadveeb"/>
              <w:spacing w:before="0" w:after="0" w:afterAutospacing="0"/>
            </w:pPr>
            <w:r w:rsidRPr="00687DE8">
              <w:rPr>
                <w:b/>
                <w:bCs/>
              </w:rPr>
              <w:t>Teised mikrobioloogilised uuringud</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E620A4D" w14:textId="77777777" w:rsidR="00976487" w:rsidRPr="00687DE8" w:rsidRDefault="00976487" w:rsidP="00F95479">
            <w:pPr>
              <w:spacing w:after="0" w:line="240" w:lineRule="auto"/>
              <w:rPr>
                <w:szCs w:val="24"/>
              </w:rPr>
            </w:pP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31E943" w14:textId="77777777" w:rsidR="00976487" w:rsidRPr="00687DE8" w:rsidRDefault="00976487" w:rsidP="00F95479">
            <w:pPr>
              <w:spacing w:after="0" w:line="240" w:lineRule="auto"/>
              <w:rPr>
                <w:szCs w:val="24"/>
                <w:lang w:eastAsia="et-EE"/>
              </w:rPr>
            </w:pPr>
          </w:p>
        </w:tc>
      </w:tr>
      <w:tr w:rsidR="00A52FA0" w:rsidRPr="00687DE8" w14:paraId="051E835E"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A14D8" w14:textId="77777777" w:rsidR="00A52FA0" w:rsidRPr="00687DE8" w:rsidRDefault="00A52FA0" w:rsidP="00F95479">
            <w:pPr>
              <w:pStyle w:val="Normaallaadveeb"/>
              <w:spacing w:before="0" w:after="0" w:afterAutospacing="0"/>
            </w:pPr>
            <w:r w:rsidRPr="00687DE8">
              <w:t>Mikroorganismi markeri määramine aglutinatsiooni-, hemaglutinatsiooni-, lateksaglutinatsioonireaktsioonil*</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78E7B68" w14:textId="77777777" w:rsidR="00A52FA0" w:rsidRPr="00687DE8" w:rsidRDefault="00A52FA0" w:rsidP="00F95479">
            <w:pPr>
              <w:pStyle w:val="Normaallaadveeb"/>
              <w:spacing w:before="0" w:after="0" w:afterAutospacing="0"/>
              <w:jc w:val="center"/>
            </w:pPr>
            <w:r w:rsidRPr="00687DE8">
              <w:t>66540</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8F1BA8" w14:textId="5806A5A8" w:rsidR="48DDD730" w:rsidRPr="00687DE8" w:rsidRDefault="00172265">
            <w:pPr>
              <w:spacing w:after="0"/>
              <w:jc w:val="center"/>
              <w:rPr>
                <w:color w:val="000000" w:themeColor="text1"/>
                <w:szCs w:val="24"/>
              </w:rPr>
            </w:pPr>
            <w:r>
              <w:rPr>
                <w:color w:val="000000"/>
              </w:rPr>
              <w:t>11,08</w:t>
            </w:r>
          </w:p>
        </w:tc>
      </w:tr>
      <w:tr w:rsidR="00A52FA0" w:rsidRPr="00687DE8" w14:paraId="6F13E8B7"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A25E73" w14:textId="77777777" w:rsidR="00A52FA0" w:rsidRPr="00687DE8" w:rsidRDefault="00A52FA0" w:rsidP="00F95479">
            <w:pPr>
              <w:pStyle w:val="Normaallaadveeb"/>
              <w:spacing w:before="0" w:after="0" w:afterAutospacing="0"/>
            </w:pPr>
            <w:r w:rsidRPr="00687DE8">
              <w:t>Haigustekitaja markeri määramine immunofluorestsentsmeetodil</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0E4F8C" w14:textId="77777777" w:rsidR="00A52FA0" w:rsidRPr="00687DE8" w:rsidRDefault="00A52FA0" w:rsidP="00F95479">
            <w:pPr>
              <w:pStyle w:val="Normaallaadveeb"/>
              <w:spacing w:before="0" w:after="0" w:afterAutospacing="0"/>
              <w:jc w:val="center"/>
            </w:pPr>
            <w:r w:rsidRPr="00687DE8">
              <w:t>66541</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E71356" w14:textId="120E030A" w:rsidR="48DDD730" w:rsidRPr="00687DE8" w:rsidRDefault="00172265">
            <w:pPr>
              <w:spacing w:after="0"/>
              <w:jc w:val="center"/>
              <w:rPr>
                <w:color w:val="000000" w:themeColor="text1"/>
                <w:szCs w:val="24"/>
              </w:rPr>
            </w:pPr>
            <w:r>
              <w:rPr>
                <w:color w:val="000000"/>
              </w:rPr>
              <w:t>15,55</w:t>
            </w:r>
          </w:p>
        </w:tc>
      </w:tr>
      <w:tr w:rsidR="00A52FA0" w:rsidRPr="00687DE8" w14:paraId="7EF990B4"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D39583" w14:textId="0C1C0D98" w:rsidR="00A52FA0" w:rsidRPr="00687DE8" w:rsidRDefault="3BCEAD88" w:rsidP="1013A6C4">
            <w:pPr>
              <w:pStyle w:val="Normaallaadveeb"/>
              <w:spacing w:before="0" w:after="0" w:afterAutospacing="0"/>
            </w:pPr>
            <w:r>
              <w:t>Meditsiinilaboris te</w:t>
            </w:r>
            <w:r w:rsidR="000F2434">
              <w:t xml:space="preserve">htud </w:t>
            </w:r>
            <w:r w:rsidR="5257C63E">
              <w:t>k</w:t>
            </w:r>
            <w:r w:rsidR="05EA6FA5">
              <w:t>iiranalüüs haigustekitaja markeri määramiseks immuunkromatogeensel meetodil</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51BA51E" w14:textId="77777777" w:rsidR="00A52FA0" w:rsidRPr="00687DE8" w:rsidRDefault="00A52FA0" w:rsidP="00F95479">
            <w:pPr>
              <w:pStyle w:val="Normaallaadveeb"/>
              <w:spacing w:before="0" w:after="0" w:afterAutospacing="0"/>
              <w:jc w:val="center"/>
            </w:pPr>
            <w:r w:rsidRPr="00687DE8">
              <w:t>66542</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254F6C" w14:textId="3E97446A" w:rsidR="48DDD730" w:rsidRPr="00687DE8" w:rsidRDefault="00172265">
            <w:pPr>
              <w:spacing w:after="0"/>
              <w:jc w:val="center"/>
              <w:rPr>
                <w:color w:val="000000" w:themeColor="text1"/>
                <w:szCs w:val="24"/>
              </w:rPr>
            </w:pPr>
            <w:r>
              <w:rPr>
                <w:color w:val="000000"/>
              </w:rPr>
              <w:t>23,40</w:t>
            </w:r>
          </w:p>
        </w:tc>
      </w:tr>
      <w:tr w:rsidR="00A52FA0" w:rsidRPr="00687DE8" w14:paraId="26FA436D" w14:textId="77777777" w:rsidTr="001B10F9">
        <w:trPr>
          <w:divId w:val="1316184749"/>
          <w:trHeight w:val="300"/>
        </w:trPr>
        <w:tc>
          <w:tcPr>
            <w:tcW w:w="6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315103" w14:textId="77777777" w:rsidR="00A52FA0" w:rsidRPr="00687DE8" w:rsidRDefault="00A52FA0" w:rsidP="00F95479">
            <w:pPr>
              <w:pStyle w:val="Normaallaadveeb"/>
              <w:spacing w:before="0" w:after="0" w:afterAutospacing="0"/>
            </w:pPr>
            <w:r w:rsidRPr="00687DE8">
              <w:t>Bioproovid. Botulismi jt toksiinide avastamine bioloogilises materjalis. Toksiinitüübi määramine neutralisatsioonireaktsioonil</w:t>
            </w:r>
          </w:p>
        </w:tc>
        <w:tc>
          <w:tcPr>
            <w:tcW w:w="10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9FDB13D" w14:textId="77777777" w:rsidR="00A52FA0" w:rsidRPr="00687DE8" w:rsidRDefault="00A52FA0" w:rsidP="00F95479">
            <w:pPr>
              <w:pStyle w:val="Normaallaadveeb"/>
              <w:spacing w:before="0" w:after="0" w:afterAutospacing="0"/>
              <w:jc w:val="center"/>
            </w:pPr>
            <w:r w:rsidRPr="00687DE8">
              <w:t>66543</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4F5AA7" w14:textId="4C286FAC" w:rsidR="48DDD730" w:rsidRPr="00687DE8" w:rsidRDefault="00172265">
            <w:pPr>
              <w:spacing w:after="0"/>
              <w:jc w:val="center"/>
              <w:rPr>
                <w:color w:val="000000" w:themeColor="text1"/>
                <w:szCs w:val="24"/>
              </w:rPr>
            </w:pPr>
            <w:r>
              <w:rPr>
                <w:color w:val="000000"/>
              </w:rPr>
              <w:t>411,74</w:t>
            </w:r>
          </w:p>
        </w:tc>
      </w:tr>
    </w:tbl>
    <w:p w14:paraId="69F975BA" w14:textId="77777777" w:rsidR="00976487" w:rsidRPr="00687DE8" w:rsidRDefault="00976487" w:rsidP="00F95479">
      <w:pPr>
        <w:pStyle w:val="Pealkiri3"/>
        <w:spacing w:before="0" w:after="0" w:afterAutospacing="0"/>
        <w:jc w:val="both"/>
        <w:divId w:val="1316184749"/>
        <w:rPr>
          <w:rStyle w:val="Tugev"/>
          <w:b/>
          <w:bCs/>
          <w:sz w:val="24"/>
          <w:szCs w:val="24"/>
        </w:rPr>
      </w:pPr>
    </w:p>
    <w:p w14:paraId="22264533" w14:textId="77777777" w:rsidR="00976487" w:rsidRDefault="5C52CFD9" w:rsidP="5C52CFD9">
      <w:pPr>
        <w:pStyle w:val="Pealkiri3"/>
        <w:spacing w:before="0" w:after="0" w:afterAutospacing="0"/>
        <w:jc w:val="both"/>
        <w:divId w:val="1316184749"/>
        <w:rPr>
          <w:sz w:val="24"/>
          <w:szCs w:val="24"/>
        </w:rPr>
      </w:pPr>
      <w:r w:rsidRPr="00687DE8">
        <w:rPr>
          <w:rStyle w:val="Tugev"/>
          <w:b/>
          <w:bCs/>
          <w:sz w:val="24"/>
          <w:szCs w:val="24"/>
        </w:rPr>
        <w:t>§ 72.</w:t>
      </w:r>
      <w:r w:rsidRPr="00687DE8">
        <w:rPr>
          <w:sz w:val="24"/>
          <w:szCs w:val="24"/>
        </w:rPr>
        <w:t> Geneetiliste ja molekulaarbioloogiliste uuringute piirhinnad</w:t>
      </w:r>
    </w:p>
    <w:p w14:paraId="6287F0E0" w14:textId="77777777" w:rsidR="00422EA4" w:rsidRDefault="00422EA4" w:rsidP="00976487">
      <w:pPr>
        <w:pStyle w:val="Normaallaadveeb"/>
        <w:spacing w:before="0" w:after="0" w:afterAutospacing="0"/>
        <w:jc w:val="both"/>
        <w:divId w:val="1316184749"/>
      </w:pPr>
    </w:p>
    <w:p w14:paraId="31398D32" w14:textId="78AB667E" w:rsidR="00976487" w:rsidRPr="00687DE8" w:rsidRDefault="00976487" w:rsidP="00976487">
      <w:pPr>
        <w:pStyle w:val="Normaallaadveeb"/>
        <w:spacing w:before="0" w:after="0" w:afterAutospacing="0"/>
        <w:jc w:val="both"/>
        <w:divId w:val="1316184749"/>
      </w:pPr>
      <w:r w:rsidRPr="00687DE8">
        <w:t>(1) Geneetiliste ja molekulaarbioloogiliste uuringute piirhinnad on järgmised:</w:t>
      </w:r>
    </w:p>
    <w:p w14:paraId="07EA7E93" w14:textId="77777777" w:rsidR="00976487" w:rsidRPr="00687DE8" w:rsidRDefault="00976487" w:rsidP="00976487">
      <w:pPr>
        <w:pStyle w:val="Normaallaadveeb"/>
        <w:spacing w:before="0" w:after="0" w:afterAutospacing="0"/>
        <w:jc w:val="both"/>
        <w:divId w:val="1316184749"/>
      </w:pP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995"/>
        <w:gridCol w:w="1350"/>
      </w:tblGrid>
      <w:tr w:rsidR="00976487" w:rsidRPr="00687DE8" w14:paraId="513D22E4" w14:textId="77777777" w:rsidTr="00EB1B66">
        <w:trPr>
          <w:divId w:val="1316184749"/>
          <w:tblHeader/>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0684D9" w14:textId="77777777" w:rsidR="00976487" w:rsidRPr="00687DE8" w:rsidRDefault="00976487" w:rsidP="00F95479">
            <w:pPr>
              <w:pStyle w:val="Normaallaadveeb"/>
              <w:spacing w:before="0" w:after="0" w:afterAutospacing="0"/>
              <w:jc w:val="center"/>
            </w:pPr>
            <w:r w:rsidRPr="00687DE8">
              <w:rPr>
                <w:b/>
                <w:bCs/>
              </w:rPr>
              <w:t>Uuringu nimetus</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23628E" w14:textId="77777777" w:rsidR="00976487" w:rsidRPr="00687DE8" w:rsidRDefault="00976487" w:rsidP="00F95479">
            <w:pPr>
              <w:pStyle w:val="Normaallaadveeb"/>
              <w:spacing w:before="0" w:after="0" w:afterAutospacing="0"/>
              <w:jc w:val="center"/>
            </w:pPr>
            <w:r w:rsidRPr="00687DE8">
              <w:rPr>
                <w:b/>
                <w:bCs/>
              </w:rPr>
              <w:t>Kood</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88C6BE" w14:textId="77777777" w:rsidR="00976487" w:rsidRPr="00687DE8" w:rsidRDefault="00976487" w:rsidP="00F95479">
            <w:pPr>
              <w:pStyle w:val="Normaallaadveeb"/>
              <w:tabs>
                <w:tab w:val="decimal" w:pos="635"/>
              </w:tabs>
              <w:spacing w:before="0" w:after="0" w:afterAutospacing="0"/>
              <w:jc w:val="center"/>
            </w:pPr>
            <w:r w:rsidRPr="00687DE8">
              <w:rPr>
                <w:b/>
                <w:bCs/>
              </w:rPr>
              <w:t>Piirhind</w:t>
            </w:r>
            <w:r w:rsidRPr="00687DE8">
              <w:rPr>
                <w:b/>
                <w:bCs/>
              </w:rPr>
              <w:br/>
              <w:t>eurodes</w:t>
            </w:r>
          </w:p>
        </w:tc>
      </w:tr>
      <w:tr w:rsidR="0041364C" w:rsidRPr="00687DE8" w14:paraId="7F3EAA86"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7063B0" w14:textId="77777777" w:rsidR="0041364C" w:rsidRPr="00687DE8" w:rsidRDefault="0041364C" w:rsidP="00F95479">
            <w:pPr>
              <w:pStyle w:val="Normaallaadveeb"/>
              <w:spacing w:before="0" w:after="0" w:afterAutospacing="0"/>
            </w:pPr>
            <w:r w:rsidRPr="00687DE8">
              <w:t>Kromosoomianalüüs amnionist</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AD2F21" w14:textId="77777777" w:rsidR="0041364C" w:rsidRPr="00687DE8" w:rsidRDefault="0041364C" w:rsidP="00F95479">
            <w:pPr>
              <w:pStyle w:val="Normaallaadveeb"/>
              <w:spacing w:before="0" w:after="0" w:afterAutospacing="0"/>
              <w:jc w:val="center"/>
            </w:pPr>
            <w:r w:rsidRPr="00687DE8">
              <w:t>66622</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53E4CC" w14:textId="4650F92B" w:rsidR="470B8830" w:rsidRPr="00687DE8" w:rsidRDefault="00CC0F40">
            <w:pPr>
              <w:spacing w:after="0"/>
              <w:jc w:val="center"/>
              <w:rPr>
                <w:color w:val="000000" w:themeColor="text1"/>
                <w:szCs w:val="24"/>
              </w:rPr>
            </w:pPr>
            <w:r>
              <w:rPr>
                <w:color w:val="000000"/>
              </w:rPr>
              <w:t>354,89</w:t>
            </w:r>
          </w:p>
        </w:tc>
      </w:tr>
      <w:tr w:rsidR="0041364C" w:rsidRPr="00687DE8" w14:paraId="648BB25F"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20C31A" w14:textId="77777777" w:rsidR="0041364C" w:rsidRPr="00687DE8" w:rsidRDefault="0041364C" w:rsidP="00F95479">
            <w:pPr>
              <w:pStyle w:val="Normaallaadveeb"/>
              <w:spacing w:before="0" w:after="0" w:afterAutospacing="0"/>
            </w:pPr>
            <w:r w:rsidRPr="00687DE8">
              <w:t>Kromosoomianalüüs koorionist</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E98FFD" w14:textId="77777777" w:rsidR="0041364C" w:rsidRPr="00687DE8" w:rsidRDefault="0041364C" w:rsidP="00F95479">
            <w:pPr>
              <w:pStyle w:val="Normaallaadveeb"/>
              <w:spacing w:before="0" w:after="0" w:afterAutospacing="0"/>
              <w:jc w:val="center"/>
            </w:pPr>
            <w:r w:rsidRPr="00687DE8">
              <w:t>66623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FFACFA" w14:textId="2B73BEBD" w:rsidR="470B8830" w:rsidRPr="00687DE8" w:rsidRDefault="00CC0F40">
            <w:pPr>
              <w:spacing w:after="0"/>
              <w:jc w:val="center"/>
              <w:rPr>
                <w:color w:val="000000" w:themeColor="text1"/>
                <w:szCs w:val="24"/>
              </w:rPr>
            </w:pPr>
            <w:r>
              <w:rPr>
                <w:color w:val="000000"/>
              </w:rPr>
              <w:t>378,05</w:t>
            </w:r>
          </w:p>
        </w:tc>
      </w:tr>
      <w:tr w:rsidR="0041364C" w:rsidRPr="00687DE8" w14:paraId="7EDBF866"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46E1FE" w14:textId="77777777" w:rsidR="0041364C" w:rsidRPr="00687DE8" w:rsidRDefault="0041364C" w:rsidP="00F95479">
            <w:pPr>
              <w:pStyle w:val="Normaallaadveeb"/>
              <w:spacing w:before="0" w:after="0" w:afterAutospacing="0"/>
            </w:pPr>
            <w:r w:rsidRPr="00687DE8">
              <w:t>Kromosoomianalüüs nahast</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58B44C" w14:textId="77777777" w:rsidR="0041364C" w:rsidRPr="00687DE8" w:rsidRDefault="0041364C" w:rsidP="00F95479">
            <w:pPr>
              <w:pStyle w:val="Normaallaadveeb"/>
              <w:spacing w:before="0" w:after="0" w:afterAutospacing="0"/>
              <w:jc w:val="center"/>
            </w:pPr>
            <w:r w:rsidRPr="00687DE8">
              <w:t>66624</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4740DD" w14:textId="12692384" w:rsidR="470B8830" w:rsidRPr="00687DE8" w:rsidRDefault="00CC0F40">
            <w:pPr>
              <w:spacing w:after="0"/>
              <w:jc w:val="center"/>
              <w:rPr>
                <w:color w:val="000000" w:themeColor="text1"/>
                <w:szCs w:val="24"/>
              </w:rPr>
            </w:pPr>
            <w:r>
              <w:rPr>
                <w:color w:val="000000"/>
              </w:rPr>
              <w:t>387,73</w:t>
            </w:r>
          </w:p>
        </w:tc>
      </w:tr>
      <w:tr w:rsidR="0041364C" w:rsidRPr="00687DE8" w14:paraId="28980544"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D54ADA" w14:textId="77777777" w:rsidR="0041364C" w:rsidRPr="00687DE8" w:rsidRDefault="0041364C" w:rsidP="00F95479">
            <w:pPr>
              <w:pStyle w:val="Normaallaadveeb"/>
              <w:spacing w:before="0" w:after="0" w:afterAutospacing="0"/>
            </w:pPr>
            <w:r w:rsidRPr="00687DE8">
              <w:t>Interfaasi FISH-analüüs amnionist</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A57951" w14:textId="77777777" w:rsidR="0041364C" w:rsidRPr="00687DE8" w:rsidRDefault="0041364C" w:rsidP="00F95479">
            <w:pPr>
              <w:pStyle w:val="Normaallaadveeb"/>
              <w:spacing w:before="0" w:after="0" w:afterAutospacing="0"/>
              <w:jc w:val="center"/>
            </w:pPr>
            <w:r w:rsidRPr="00687DE8">
              <w:t>66625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6FB75A" w14:textId="66844409" w:rsidR="470B8830" w:rsidRPr="00687DE8" w:rsidRDefault="00CC0F40">
            <w:pPr>
              <w:spacing w:after="0"/>
              <w:jc w:val="center"/>
              <w:rPr>
                <w:color w:val="000000" w:themeColor="text1"/>
                <w:szCs w:val="24"/>
              </w:rPr>
            </w:pPr>
            <w:r>
              <w:rPr>
                <w:color w:val="000000"/>
              </w:rPr>
              <w:t>409,75</w:t>
            </w:r>
          </w:p>
        </w:tc>
      </w:tr>
      <w:tr w:rsidR="0041364C" w:rsidRPr="00687DE8" w14:paraId="6F286DAE"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0EB840" w14:textId="77777777" w:rsidR="0041364C" w:rsidRPr="00687DE8" w:rsidRDefault="0041364C" w:rsidP="00F95479">
            <w:pPr>
              <w:pStyle w:val="Normaallaadveeb"/>
              <w:spacing w:before="0" w:after="0" w:afterAutospacing="0"/>
            </w:pPr>
            <w:r w:rsidRPr="00687DE8">
              <w:t>Interfaasi FISH-analüüs koorionist</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BF5215" w14:textId="77777777" w:rsidR="0041364C" w:rsidRPr="00687DE8" w:rsidRDefault="0041364C" w:rsidP="00F95479">
            <w:pPr>
              <w:pStyle w:val="Normaallaadveeb"/>
              <w:spacing w:before="0" w:after="0" w:afterAutospacing="0"/>
              <w:jc w:val="center"/>
            </w:pPr>
            <w:r w:rsidRPr="00687DE8">
              <w:t>66626</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6C3851" w14:textId="7B32F93D" w:rsidR="470B8830" w:rsidRPr="00687DE8" w:rsidRDefault="00CC0F40">
            <w:pPr>
              <w:spacing w:after="0"/>
              <w:jc w:val="center"/>
              <w:rPr>
                <w:color w:val="000000" w:themeColor="text1"/>
                <w:szCs w:val="24"/>
              </w:rPr>
            </w:pPr>
            <w:r>
              <w:rPr>
                <w:color w:val="000000"/>
              </w:rPr>
              <w:t>437,43</w:t>
            </w:r>
          </w:p>
        </w:tc>
      </w:tr>
      <w:tr w:rsidR="0041364C" w:rsidRPr="00687DE8" w14:paraId="1AF17D34"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04A36B" w14:textId="13BAC916" w:rsidR="0041364C" w:rsidRPr="00687DE8" w:rsidRDefault="0041364C" w:rsidP="00F95479">
            <w:pPr>
              <w:pStyle w:val="Normaallaadveeb"/>
              <w:spacing w:before="0" w:after="0" w:afterAutospacing="0"/>
            </w:pPr>
            <w:r w:rsidRPr="00687DE8">
              <w:t>Interfaasi FISH-</w:t>
            </w:r>
            <w:r w:rsidR="00F91A87" w:rsidRPr="00687DE8">
              <w:t xml:space="preserve">uuring </w:t>
            </w:r>
            <w:r w:rsidRPr="00687DE8">
              <w:t>histoloogilisest materjalist lümfo- ja müeloproliferatiivsete haiguste kahtluse korral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FE3FC6" w14:textId="77777777" w:rsidR="0041364C" w:rsidRPr="00687DE8" w:rsidRDefault="0041364C" w:rsidP="00F95479">
            <w:pPr>
              <w:pStyle w:val="Normaallaadveeb"/>
              <w:spacing w:before="0" w:after="0" w:afterAutospacing="0"/>
              <w:jc w:val="center"/>
            </w:pPr>
          </w:p>
          <w:p w14:paraId="75E16B2A" w14:textId="77777777" w:rsidR="0041364C" w:rsidRPr="00687DE8" w:rsidRDefault="0041364C" w:rsidP="00F95479">
            <w:pPr>
              <w:pStyle w:val="Normaallaadveeb"/>
              <w:spacing w:before="0" w:after="0" w:afterAutospacing="0"/>
              <w:jc w:val="center"/>
            </w:pPr>
            <w:r w:rsidRPr="00687DE8">
              <w:t>66637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F7DF19" w14:textId="6D908F8B" w:rsidR="470B8830" w:rsidRPr="00687DE8" w:rsidRDefault="00CC0F40">
            <w:pPr>
              <w:spacing w:after="0"/>
              <w:jc w:val="center"/>
              <w:rPr>
                <w:color w:val="000000" w:themeColor="text1"/>
                <w:szCs w:val="24"/>
              </w:rPr>
            </w:pPr>
            <w:r>
              <w:rPr>
                <w:color w:val="000000"/>
              </w:rPr>
              <w:t>428,06</w:t>
            </w:r>
          </w:p>
        </w:tc>
      </w:tr>
      <w:tr w:rsidR="0041364C" w:rsidRPr="00687DE8" w14:paraId="7704B3EA"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5CF5AE" w14:textId="377D9C6A" w:rsidR="0041364C" w:rsidRPr="00687DE8" w:rsidRDefault="0041364C" w:rsidP="00F95479">
            <w:pPr>
              <w:pStyle w:val="Normaallaadveeb"/>
              <w:spacing w:before="0" w:after="0" w:afterAutospacing="0"/>
            </w:pPr>
            <w:r w:rsidRPr="00687DE8">
              <w:t>Interfaasi FISH-</w:t>
            </w:r>
            <w:r w:rsidR="00F91A87" w:rsidRPr="00687DE8">
              <w:t xml:space="preserve">uuring </w:t>
            </w:r>
            <w:r w:rsidRPr="00687DE8">
              <w:t>tsütoloogilisest materjalist lümfo- ja müeloproliferatiivsete haiguste kahtluse korral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49DA1F" w14:textId="77777777" w:rsidR="0041364C" w:rsidRPr="00687DE8" w:rsidRDefault="0041364C" w:rsidP="00F95479">
            <w:pPr>
              <w:pStyle w:val="Normaallaadveeb"/>
              <w:spacing w:before="0" w:after="0" w:afterAutospacing="0"/>
              <w:jc w:val="center"/>
            </w:pPr>
          </w:p>
          <w:p w14:paraId="56419CCB" w14:textId="77777777" w:rsidR="0041364C" w:rsidRPr="00687DE8" w:rsidRDefault="0041364C" w:rsidP="00F95479">
            <w:pPr>
              <w:pStyle w:val="Normaallaadveeb"/>
              <w:spacing w:before="0" w:after="0" w:afterAutospacing="0"/>
              <w:jc w:val="center"/>
            </w:pPr>
            <w:r w:rsidRPr="00687DE8">
              <w:t>66638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3CC005" w14:textId="5DDFC766" w:rsidR="470B8830" w:rsidRPr="00687DE8" w:rsidRDefault="00CC0F40">
            <w:pPr>
              <w:spacing w:after="0"/>
              <w:jc w:val="center"/>
              <w:rPr>
                <w:color w:val="000000" w:themeColor="text1"/>
                <w:szCs w:val="24"/>
              </w:rPr>
            </w:pPr>
            <w:r>
              <w:rPr>
                <w:color w:val="000000"/>
              </w:rPr>
              <w:t>254,85</w:t>
            </w:r>
          </w:p>
        </w:tc>
      </w:tr>
      <w:tr w:rsidR="0041364C" w:rsidRPr="00687DE8" w14:paraId="77AEFC94" w14:textId="77777777" w:rsidTr="00EB7A71">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771A29" w14:textId="77777777" w:rsidR="0041364C" w:rsidRPr="00687DE8" w:rsidRDefault="0041364C" w:rsidP="00F95479">
            <w:pPr>
              <w:pStyle w:val="Normaallaadveeb"/>
              <w:spacing w:before="0" w:after="0" w:afterAutospacing="0"/>
            </w:pPr>
            <w:r w:rsidRPr="00687DE8">
              <w:lastRenderedPageBreak/>
              <w:t>Interfaasi FISH-uuring tsütoloogilisest materjalist mesenhümaalsete ja epiteliaalsete kasvajate diferentsiaaldiagnostikaks</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335E01" w14:textId="77777777" w:rsidR="0041364C" w:rsidRPr="00687DE8" w:rsidRDefault="0041364C" w:rsidP="00F95479">
            <w:pPr>
              <w:pStyle w:val="Normaallaadveeb"/>
              <w:spacing w:before="0" w:after="0" w:afterAutospacing="0"/>
              <w:jc w:val="center"/>
            </w:pPr>
          </w:p>
          <w:p w14:paraId="4BAA0E4D" w14:textId="77777777" w:rsidR="0041364C" w:rsidRPr="00687DE8" w:rsidRDefault="0041364C" w:rsidP="00F95479">
            <w:pPr>
              <w:pStyle w:val="Normaallaadveeb"/>
              <w:spacing w:before="0" w:after="0" w:afterAutospacing="0"/>
              <w:jc w:val="center"/>
            </w:pPr>
            <w:r w:rsidRPr="00687DE8">
              <w:t>66639</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52C894" w14:textId="6CF1704A" w:rsidR="470B8830" w:rsidRPr="00687DE8" w:rsidRDefault="00CC0F40">
            <w:pPr>
              <w:spacing w:after="0"/>
              <w:jc w:val="center"/>
              <w:rPr>
                <w:color w:val="000000" w:themeColor="text1"/>
                <w:szCs w:val="24"/>
              </w:rPr>
            </w:pPr>
            <w:r>
              <w:rPr>
                <w:color w:val="000000"/>
              </w:rPr>
              <w:t>318,03</w:t>
            </w:r>
          </w:p>
        </w:tc>
      </w:tr>
      <w:tr w:rsidR="0041364C" w:rsidRPr="00687DE8" w14:paraId="26E9FBF2"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1CA9F0" w14:textId="77777777" w:rsidR="0041364C" w:rsidRPr="00687DE8" w:rsidRDefault="0041364C" w:rsidP="00F95479">
            <w:pPr>
              <w:pStyle w:val="Normaallaadveeb"/>
              <w:spacing w:before="0" w:after="0" w:afterAutospacing="0"/>
            </w:pPr>
            <w:r w:rsidRPr="00687DE8">
              <w:t>Metafaasi FISH-analüüs amnionist</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B00C84" w14:textId="77777777" w:rsidR="0041364C" w:rsidRPr="00687DE8" w:rsidRDefault="0041364C" w:rsidP="00F95479">
            <w:pPr>
              <w:pStyle w:val="Normaallaadveeb"/>
              <w:spacing w:before="0" w:after="0" w:afterAutospacing="0"/>
              <w:jc w:val="center"/>
            </w:pPr>
            <w:r w:rsidRPr="00687DE8">
              <w:t>66627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8DD63A" w14:textId="056DB7BB" w:rsidR="470B8830" w:rsidRPr="00687DE8" w:rsidRDefault="00CC0F40">
            <w:pPr>
              <w:spacing w:after="0"/>
              <w:jc w:val="center"/>
              <w:rPr>
                <w:color w:val="000000" w:themeColor="text1"/>
                <w:szCs w:val="24"/>
              </w:rPr>
            </w:pPr>
            <w:r>
              <w:rPr>
                <w:color w:val="000000"/>
              </w:rPr>
              <w:t>213,60</w:t>
            </w:r>
          </w:p>
        </w:tc>
      </w:tr>
      <w:tr w:rsidR="0041364C" w:rsidRPr="00687DE8" w14:paraId="64AC093B"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733167" w14:textId="77777777" w:rsidR="0041364C" w:rsidRPr="00687DE8" w:rsidRDefault="0041364C" w:rsidP="00F95479">
            <w:pPr>
              <w:pStyle w:val="Normaallaadveeb"/>
              <w:spacing w:before="0" w:after="0" w:afterAutospacing="0"/>
            </w:pPr>
            <w:r w:rsidRPr="00687DE8">
              <w:t>Metafaasi FISH-analüüs koorionist</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3B28FD" w14:textId="77777777" w:rsidR="0041364C" w:rsidRPr="00687DE8" w:rsidRDefault="0041364C" w:rsidP="00F95479">
            <w:pPr>
              <w:pStyle w:val="Normaallaadveeb"/>
              <w:spacing w:before="0" w:after="0" w:afterAutospacing="0"/>
              <w:jc w:val="center"/>
            </w:pPr>
            <w:r w:rsidRPr="00687DE8">
              <w:t>66628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A64142" w14:textId="5D2E2353" w:rsidR="470B8830" w:rsidRPr="00687DE8" w:rsidRDefault="00CC0F40">
            <w:pPr>
              <w:spacing w:after="0"/>
              <w:jc w:val="center"/>
              <w:rPr>
                <w:color w:val="000000" w:themeColor="text1"/>
                <w:szCs w:val="24"/>
              </w:rPr>
            </w:pPr>
            <w:r>
              <w:rPr>
                <w:color w:val="000000"/>
              </w:rPr>
              <w:t>241,28</w:t>
            </w:r>
          </w:p>
        </w:tc>
      </w:tr>
      <w:tr w:rsidR="0041364C" w:rsidRPr="00687DE8" w14:paraId="71A1BE49"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EAF779" w14:textId="77777777" w:rsidR="0041364C" w:rsidRPr="00687DE8" w:rsidRDefault="0041364C" w:rsidP="00F95479">
            <w:pPr>
              <w:pStyle w:val="Normaallaadveeb"/>
              <w:spacing w:before="0" w:after="0" w:afterAutospacing="0"/>
            </w:pPr>
            <w:r w:rsidRPr="00687DE8">
              <w:t>Kromosoomianalüüs verest</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24AB08" w14:textId="77777777" w:rsidR="0041364C" w:rsidRPr="00687DE8" w:rsidRDefault="0041364C" w:rsidP="00F95479">
            <w:pPr>
              <w:pStyle w:val="Normaallaadveeb"/>
              <w:spacing w:before="0" w:after="0" w:afterAutospacing="0"/>
              <w:jc w:val="center"/>
            </w:pPr>
            <w:r w:rsidRPr="00687DE8">
              <w:t>66629</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9F7F93" w14:textId="4E0E0F4D" w:rsidR="470B8830" w:rsidRPr="00687DE8" w:rsidRDefault="00CC0F40">
            <w:pPr>
              <w:spacing w:after="0"/>
              <w:jc w:val="center"/>
              <w:rPr>
                <w:color w:val="000000" w:themeColor="text1"/>
                <w:szCs w:val="24"/>
              </w:rPr>
            </w:pPr>
            <w:r>
              <w:rPr>
                <w:color w:val="000000"/>
              </w:rPr>
              <w:t>352,36</w:t>
            </w:r>
          </w:p>
        </w:tc>
      </w:tr>
      <w:tr w:rsidR="0041364C" w:rsidRPr="00687DE8" w14:paraId="5F645B61" w14:textId="77777777" w:rsidTr="00EB7A71">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0DDDB2" w14:textId="77777777" w:rsidR="0041364C" w:rsidRPr="00687DE8" w:rsidRDefault="0041364C" w:rsidP="00F95479">
            <w:pPr>
              <w:pStyle w:val="Normaallaadveeb"/>
              <w:spacing w:before="0" w:after="0" w:afterAutospacing="0"/>
            </w:pPr>
            <w:r w:rsidRPr="00687DE8">
              <w:t>Metafaasi FISH-analüüs verest</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FED426" w14:textId="77777777" w:rsidR="0041364C" w:rsidRPr="00687DE8" w:rsidRDefault="0041364C" w:rsidP="00F95479">
            <w:pPr>
              <w:pStyle w:val="Normaallaadveeb"/>
              <w:spacing w:before="0" w:after="0" w:afterAutospacing="0"/>
              <w:jc w:val="center"/>
            </w:pPr>
            <w:r w:rsidRPr="00687DE8">
              <w:t>66630</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1FDAEE" w14:textId="0C6DE93F" w:rsidR="470B8830" w:rsidRPr="00687DE8" w:rsidRDefault="00CC0F40">
            <w:pPr>
              <w:spacing w:after="0"/>
              <w:jc w:val="center"/>
              <w:rPr>
                <w:color w:val="000000" w:themeColor="text1"/>
                <w:szCs w:val="24"/>
              </w:rPr>
            </w:pPr>
            <w:r>
              <w:rPr>
                <w:color w:val="000000"/>
              </w:rPr>
              <w:t>196,05</w:t>
            </w:r>
          </w:p>
        </w:tc>
      </w:tr>
      <w:tr w:rsidR="0041364C" w:rsidRPr="00687DE8" w14:paraId="7D59A56B"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127DB1" w14:textId="77777777" w:rsidR="0041364C" w:rsidRPr="00687DE8" w:rsidRDefault="0041364C" w:rsidP="00F95479">
            <w:pPr>
              <w:pStyle w:val="Normaallaadveeb"/>
              <w:spacing w:before="0" w:after="0" w:afterAutospacing="0"/>
            </w:pPr>
            <w:r w:rsidRPr="00687DE8">
              <w:t>Metafaasi FISH-analüüs verest koos koekultuuri kasvatamisega</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6CC6E4" w14:textId="77777777" w:rsidR="0041364C" w:rsidRPr="00687DE8" w:rsidRDefault="0041364C" w:rsidP="00F95479">
            <w:pPr>
              <w:pStyle w:val="Normaallaadveeb"/>
              <w:spacing w:before="0" w:after="0" w:afterAutospacing="0"/>
              <w:jc w:val="center"/>
            </w:pPr>
            <w:r w:rsidRPr="00687DE8">
              <w:t>66631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6E1682" w14:textId="6F99DB6B" w:rsidR="470B8830" w:rsidRPr="00687DE8" w:rsidRDefault="00CC0F40">
            <w:pPr>
              <w:spacing w:after="0"/>
              <w:jc w:val="center"/>
              <w:rPr>
                <w:color w:val="000000" w:themeColor="text1"/>
                <w:szCs w:val="24"/>
              </w:rPr>
            </w:pPr>
            <w:r>
              <w:rPr>
                <w:color w:val="000000"/>
              </w:rPr>
              <w:t>242,60</w:t>
            </w:r>
          </w:p>
        </w:tc>
      </w:tr>
      <w:tr w:rsidR="0041364C" w:rsidRPr="00687DE8" w14:paraId="61B51BDA"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2BE338" w14:textId="77777777" w:rsidR="0041364C" w:rsidRPr="00687DE8" w:rsidRDefault="0041364C" w:rsidP="00F95479">
            <w:pPr>
              <w:pStyle w:val="Normaallaadveeb"/>
              <w:spacing w:before="0" w:after="0" w:afterAutospacing="0"/>
            </w:pPr>
            <w:r w:rsidRPr="00687DE8">
              <w:t>Kromosoomianalüüs luuüdist</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B8C42A" w14:textId="77777777" w:rsidR="0041364C" w:rsidRPr="00687DE8" w:rsidRDefault="0041364C" w:rsidP="00F95479">
            <w:pPr>
              <w:pStyle w:val="Normaallaadveeb"/>
              <w:spacing w:before="0" w:after="0" w:afterAutospacing="0"/>
              <w:jc w:val="center"/>
            </w:pPr>
            <w:r w:rsidRPr="00687DE8">
              <w:t>66632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078CD0" w14:textId="7C838749" w:rsidR="470B8830" w:rsidRPr="00687DE8" w:rsidRDefault="00CC0F40">
            <w:pPr>
              <w:spacing w:after="0"/>
              <w:jc w:val="center"/>
              <w:rPr>
                <w:color w:val="000000" w:themeColor="text1"/>
                <w:szCs w:val="24"/>
              </w:rPr>
            </w:pPr>
            <w:r>
              <w:rPr>
                <w:color w:val="000000"/>
              </w:rPr>
              <w:t>469,27</w:t>
            </w:r>
          </w:p>
        </w:tc>
      </w:tr>
      <w:tr w:rsidR="0041364C" w:rsidRPr="00687DE8" w14:paraId="4ABE02DF"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FA6FD4" w14:textId="77777777" w:rsidR="0041364C" w:rsidRPr="00687DE8" w:rsidRDefault="0041364C" w:rsidP="00F95479">
            <w:pPr>
              <w:pStyle w:val="Normaallaadveeb"/>
              <w:spacing w:before="0" w:after="0" w:afterAutospacing="0"/>
            </w:pPr>
            <w:r w:rsidRPr="00687DE8">
              <w:t>Luuüdi FISH-analüüs</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A11EF6" w14:textId="77777777" w:rsidR="0041364C" w:rsidRPr="00687DE8" w:rsidRDefault="0041364C" w:rsidP="00F95479">
            <w:pPr>
              <w:pStyle w:val="Normaallaadveeb"/>
              <w:spacing w:before="0" w:after="0" w:afterAutospacing="0"/>
              <w:jc w:val="center"/>
            </w:pPr>
            <w:r w:rsidRPr="00687DE8">
              <w:t>66633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9380FA" w14:textId="5CE9FF9E" w:rsidR="470B8830" w:rsidRPr="00687DE8" w:rsidRDefault="00CC0F40">
            <w:pPr>
              <w:spacing w:after="0"/>
              <w:jc w:val="center"/>
              <w:rPr>
                <w:color w:val="000000" w:themeColor="text1"/>
                <w:szCs w:val="24"/>
              </w:rPr>
            </w:pPr>
            <w:r>
              <w:rPr>
                <w:color w:val="000000"/>
              </w:rPr>
              <w:t>244,16</w:t>
            </w:r>
          </w:p>
        </w:tc>
      </w:tr>
      <w:tr w:rsidR="0041364C" w:rsidRPr="00687DE8" w14:paraId="4B0B7643"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8110D5" w14:textId="77777777" w:rsidR="0041364C" w:rsidRPr="00687DE8" w:rsidRDefault="0041364C" w:rsidP="00F95479">
            <w:pPr>
              <w:pStyle w:val="Normaallaadveeb"/>
              <w:spacing w:before="0" w:after="0" w:afterAutospacing="0"/>
            </w:pPr>
            <w:r w:rsidRPr="00687DE8">
              <w:t>Her2 FISH-analüüs rinnakoest või maokoest</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6FA3D4" w14:textId="77777777" w:rsidR="0041364C" w:rsidRPr="00687DE8" w:rsidRDefault="0041364C" w:rsidP="00F95479">
            <w:pPr>
              <w:pStyle w:val="Normaallaadveeb"/>
              <w:spacing w:before="0" w:after="0" w:afterAutospacing="0"/>
              <w:jc w:val="center"/>
            </w:pPr>
            <w:r w:rsidRPr="00687DE8">
              <w:t>66635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3A4A69" w14:textId="1800333B" w:rsidR="470B8830" w:rsidRPr="00687DE8" w:rsidRDefault="00CC0F40">
            <w:pPr>
              <w:spacing w:after="0"/>
              <w:jc w:val="center"/>
              <w:rPr>
                <w:color w:val="000000" w:themeColor="text1"/>
                <w:szCs w:val="24"/>
              </w:rPr>
            </w:pPr>
            <w:r>
              <w:rPr>
                <w:color w:val="000000"/>
              </w:rPr>
              <w:t>597,90</w:t>
            </w:r>
          </w:p>
        </w:tc>
      </w:tr>
      <w:tr w:rsidR="0041364C" w:rsidRPr="00687DE8" w14:paraId="27A8FEA6"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C4D105" w14:textId="77777777" w:rsidR="0041364C" w:rsidRPr="00687DE8" w:rsidRDefault="0041364C" w:rsidP="00F95479">
            <w:pPr>
              <w:pStyle w:val="Normaallaadveeb"/>
              <w:spacing w:before="0" w:after="0" w:afterAutospacing="0"/>
            </w:pPr>
            <w:r w:rsidRPr="00687DE8">
              <w:t>Submikroskoopiline kromosoomianalüüs</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9356C7" w14:textId="77777777" w:rsidR="0041364C" w:rsidRPr="00687DE8" w:rsidRDefault="0041364C" w:rsidP="00F95479">
            <w:pPr>
              <w:pStyle w:val="Normaallaadveeb"/>
              <w:spacing w:before="0" w:after="0" w:afterAutospacing="0"/>
              <w:jc w:val="center"/>
            </w:pPr>
            <w:r w:rsidRPr="00687DE8">
              <w:t>66636</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3D39B8" w14:textId="5ABA2850" w:rsidR="470B8830" w:rsidRPr="00687DE8" w:rsidRDefault="00CC0F40">
            <w:pPr>
              <w:spacing w:after="0"/>
              <w:jc w:val="center"/>
              <w:rPr>
                <w:color w:val="000000" w:themeColor="text1"/>
                <w:szCs w:val="24"/>
              </w:rPr>
            </w:pPr>
            <w:r>
              <w:rPr>
                <w:color w:val="000000"/>
              </w:rPr>
              <w:t>606,73</w:t>
            </w:r>
          </w:p>
        </w:tc>
      </w:tr>
      <w:tr w:rsidR="0041364C" w:rsidRPr="00687DE8" w14:paraId="0A200C08"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3DEB51" w14:textId="77777777" w:rsidR="0041364C" w:rsidRPr="00687DE8" w:rsidRDefault="0041364C" w:rsidP="00F95479">
            <w:pPr>
              <w:pStyle w:val="Normaallaadveeb"/>
              <w:spacing w:before="0" w:after="0" w:afterAutospacing="0"/>
            </w:pPr>
            <w:r w:rsidRPr="00687DE8">
              <w:t>DNA eraldamine (üle 1 ml verest)</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794110" w14:textId="77777777" w:rsidR="0041364C" w:rsidRPr="00687DE8" w:rsidRDefault="0041364C" w:rsidP="00F95479">
            <w:pPr>
              <w:pStyle w:val="Normaallaadveeb"/>
              <w:spacing w:before="0" w:after="0" w:afterAutospacing="0"/>
              <w:jc w:val="center"/>
            </w:pPr>
            <w:r w:rsidRPr="00687DE8">
              <w:t>66607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FC6A33" w14:textId="32A962A6" w:rsidR="470B8830" w:rsidRPr="00687DE8" w:rsidRDefault="00CC0F40">
            <w:pPr>
              <w:spacing w:after="0"/>
              <w:jc w:val="center"/>
              <w:rPr>
                <w:color w:val="000000" w:themeColor="text1"/>
                <w:szCs w:val="24"/>
              </w:rPr>
            </w:pPr>
            <w:r>
              <w:rPr>
                <w:color w:val="000000"/>
              </w:rPr>
              <w:t>40,19</w:t>
            </w:r>
          </w:p>
        </w:tc>
      </w:tr>
      <w:tr w:rsidR="0041364C" w:rsidRPr="00687DE8" w14:paraId="41D4D965"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7A4F33" w14:textId="77777777" w:rsidR="0041364C" w:rsidRPr="00687DE8" w:rsidRDefault="0041364C" w:rsidP="00F95479">
            <w:pPr>
              <w:pStyle w:val="Normaallaadveeb"/>
              <w:spacing w:before="0" w:after="0" w:afterAutospacing="0"/>
            </w:pPr>
            <w:r w:rsidRPr="00687DE8">
              <w:t>DNA analüüs PCR-meetodil*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3D1C28" w14:textId="77777777" w:rsidR="0041364C" w:rsidRPr="00687DE8" w:rsidRDefault="0041364C" w:rsidP="00F95479">
            <w:pPr>
              <w:pStyle w:val="Normaallaadveeb"/>
              <w:spacing w:before="0" w:after="0" w:afterAutospacing="0"/>
              <w:jc w:val="center"/>
            </w:pPr>
            <w:r w:rsidRPr="00687DE8">
              <w:t>66608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64A036" w14:textId="273A4F20" w:rsidR="00CB429F" w:rsidRPr="00687DE8" w:rsidRDefault="00CC0F40">
            <w:pPr>
              <w:spacing w:after="0"/>
              <w:jc w:val="center"/>
              <w:rPr>
                <w:szCs w:val="24"/>
              </w:rPr>
            </w:pPr>
            <w:r>
              <w:rPr>
                <w:color w:val="000000"/>
              </w:rPr>
              <w:t>20,09</w:t>
            </w:r>
          </w:p>
        </w:tc>
      </w:tr>
      <w:tr w:rsidR="0041364C" w:rsidRPr="00687DE8" w14:paraId="258CA1D2"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A4CB17" w14:textId="77777777" w:rsidR="0041364C" w:rsidRPr="00687DE8" w:rsidRDefault="0041364C" w:rsidP="00F95479">
            <w:pPr>
              <w:pStyle w:val="Normaallaadveeb"/>
              <w:spacing w:before="0" w:after="0" w:afterAutospacing="0"/>
            </w:pPr>
            <w:r w:rsidRPr="00687DE8">
              <w:t>RNA analüüs RT-PCR- või hübridisatsioonimeetodil*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0FEB33" w14:textId="77777777" w:rsidR="0041364C" w:rsidRPr="00687DE8" w:rsidRDefault="0041364C" w:rsidP="00F95479">
            <w:pPr>
              <w:pStyle w:val="Normaallaadveeb"/>
              <w:spacing w:before="0" w:after="0" w:afterAutospacing="0"/>
              <w:jc w:val="center"/>
            </w:pPr>
            <w:r w:rsidRPr="00687DE8">
              <w:t>66609</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C2DF67" w14:textId="02FA49C8" w:rsidR="00CB429F" w:rsidRPr="00687DE8" w:rsidRDefault="00CC0F40">
            <w:pPr>
              <w:spacing w:after="0"/>
              <w:jc w:val="center"/>
              <w:rPr>
                <w:szCs w:val="24"/>
              </w:rPr>
            </w:pPr>
            <w:r>
              <w:rPr>
                <w:color w:val="000000"/>
              </w:rPr>
              <w:t>16,12</w:t>
            </w:r>
          </w:p>
        </w:tc>
      </w:tr>
      <w:tr w:rsidR="0041364C" w:rsidRPr="00687DE8" w14:paraId="79DA3E3F"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28BCFF" w14:textId="77777777" w:rsidR="0041364C" w:rsidRPr="00687DE8" w:rsidRDefault="0041364C" w:rsidP="00F95479">
            <w:pPr>
              <w:pStyle w:val="Normaallaadveeb"/>
              <w:spacing w:before="0" w:after="0" w:afterAutospacing="0"/>
            </w:pPr>
            <w:r w:rsidRPr="00687DE8">
              <w:t xml:space="preserve">Biomarkeri (patogeeni, geneetilise või somaatilise mutatsiooni) määramine </w:t>
            </w:r>
            <w:r w:rsidRPr="00687DE8">
              <w:rPr>
                <w:i/>
                <w:iCs/>
              </w:rPr>
              <w:t>real-time</w:t>
            </w:r>
            <w:r w:rsidRPr="00687DE8">
              <w:t>-PCR-meetodil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8E755F4" w14:textId="77777777" w:rsidR="0041364C" w:rsidRPr="00687DE8" w:rsidRDefault="0041364C" w:rsidP="00F95479">
            <w:pPr>
              <w:pStyle w:val="Normaallaadveeb"/>
              <w:spacing w:before="0" w:after="0" w:afterAutospacing="0"/>
              <w:jc w:val="center"/>
            </w:pPr>
            <w:r w:rsidRPr="00687DE8">
              <w:t>66610</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C1186F" w14:textId="56ED3840" w:rsidR="00CB429F" w:rsidRPr="00687DE8" w:rsidRDefault="00CC0F40">
            <w:pPr>
              <w:spacing w:after="0"/>
              <w:jc w:val="center"/>
              <w:rPr>
                <w:szCs w:val="24"/>
              </w:rPr>
            </w:pPr>
            <w:r>
              <w:rPr>
                <w:color w:val="000000"/>
              </w:rPr>
              <w:t>77,33</w:t>
            </w:r>
          </w:p>
        </w:tc>
      </w:tr>
      <w:tr w:rsidR="0041364C" w:rsidRPr="00687DE8" w14:paraId="48108DDF"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92F837" w14:textId="77777777" w:rsidR="0041364C" w:rsidRPr="00687DE8" w:rsidRDefault="0041364C" w:rsidP="00F95479">
            <w:pPr>
              <w:pStyle w:val="Normaallaadveeb"/>
              <w:spacing w:before="0" w:after="0" w:afterAutospacing="0"/>
            </w:pPr>
            <w:r w:rsidRPr="00687DE8">
              <w:t xml:space="preserve">Biomarkeri (patogeeni, geneetilise või somaatilise mutatsiooni) kvantitatiivne määramine </w:t>
            </w:r>
            <w:r w:rsidRPr="00687DE8">
              <w:rPr>
                <w:i/>
                <w:iCs/>
              </w:rPr>
              <w:t>real-time</w:t>
            </w:r>
            <w:r w:rsidRPr="00687DE8">
              <w:t>-PCR-meetodil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5491D3C" w14:textId="77777777" w:rsidR="0041364C" w:rsidRPr="00687DE8" w:rsidRDefault="0041364C" w:rsidP="00F95479">
            <w:pPr>
              <w:pStyle w:val="Normaallaadveeb"/>
              <w:spacing w:before="0" w:after="0" w:afterAutospacing="0"/>
              <w:jc w:val="center"/>
            </w:pPr>
            <w:r w:rsidRPr="00687DE8">
              <w:t>66611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755CF6" w14:textId="6593CABD" w:rsidR="00CB429F" w:rsidRPr="00687DE8" w:rsidRDefault="00CC0F40">
            <w:pPr>
              <w:spacing w:after="0"/>
              <w:jc w:val="center"/>
              <w:rPr>
                <w:szCs w:val="24"/>
              </w:rPr>
            </w:pPr>
            <w:r>
              <w:rPr>
                <w:color w:val="000000"/>
              </w:rPr>
              <w:t>132,92</w:t>
            </w:r>
          </w:p>
        </w:tc>
      </w:tr>
      <w:tr w:rsidR="0041364C" w:rsidRPr="00687DE8" w14:paraId="6E1F7DA6"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1F887E" w14:textId="77777777" w:rsidR="0041364C" w:rsidRPr="00687DE8" w:rsidRDefault="0041364C" w:rsidP="00F95479">
            <w:pPr>
              <w:pStyle w:val="Normaallaadveeb"/>
              <w:spacing w:before="0" w:after="0" w:afterAutospacing="0"/>
            </w:pPr>
            <w:r w:rsidRPr="00687DE8">
              <w:t>Haigustekitaja tüpiseerimine või grupi määramine PCR-meetodil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AC41380" w14:textId="77777777" w:rsidR="0041364C" w:rsidRPr="00687DE8" w:rsidRDefault="0041364C" w:rsidP="00F95479">
            <w:pPr>
              <w:pStyle w:val="Normaallaadveeb"/>
              <w:spacing w:before="0" w:after="0" w:afterAutospacing="0"/>
              <w:jc w:val="center"/>
            </w:pPr>
            <w:r w:rsidRPr="00687DE8">
              <w:t>66612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A42C08" w14:textId="71D59D2F" w:rsidR="00CB429F" w:rsidRPr="00687DE8" w:rsidRDefault="00CC0F40">
            <w:pPr>
              <w:spacing w:after="0"/>
              <w:jc w:val="center"/>
              <w:rPr>
                <w:szCs w:val="24"/>
              </w:rPr>
            </w:pPr>
            <w:r>
              <w:rPr>
                <w:color w:val="000000"/>
              </w:rPr>
              <w:t>39,51</w:t>
            </w:r>
          </w:p>
        </w:tc>
      </w:tr>
      <w:tr w:rsidR="0041364C" w:rsidRPr="00687DE8" w14:paraId="12541B43"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243A12" w14:textId="77777777" w:rsidR="0041364C" w:rsidRPr="00687DE8" w:rsidRDefault="0041364C" w:rsidP="00F95479">
            <w:pPr>
              <w:pStyle w:val="Normaallaadveeb"/>
              <w:spacing w:before="0" w:after="0" w:afterAutospacing="0"/>
            </w:pPr>
            <w:r w:rsidRPr="00687DE8">
              <w:t>Viirusmarkeri määramine NAT-meetodil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D4AC9E" w14:textId="77777777" w:rsidR="0041364C" w:rsidRPr="00687DE8" w:rsidRDefault="0041364C" w:rsidP="00F95479">
            <w:pPr>
              <w:pStyle w:val="Normaallaadveeb"/>
              <w:spacing w:before="0" w:after="0" w:afterAutospacing="0"/>
              <w:jc w:val="center"/>
            </w:pPr>
            <w:r w:rsidRPr="00687DE8">
              <w:t>66613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621262" w14:textId="2AFBFCD3" w:rsidR="00CB429F" w:rsidRPr="00687DE8" w:rsidRDefault="00CC0F40">
            <w:pPr>
              <w:spacing w:after="0"/>
              <w:jc w:val="center"/>
              <w:rPr>
                <w:szCs w:val="24"/>
              </w:rPr>
            </w:pPr>
            <w:r>
              <w:rPr>
                <w:color w:val="000000"/>
              </w:rPr>
              <w:t>136,42</w:t>
            </w:r>
          </w:p>
        </w:tc>
      </w:tr>
      <w:tr w:rsidR="0041364C" w:rsidRPr="00687DE8" w14:paraId="3410ED11"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A6A205" w14:textId="77777777" w:rsidR="0041364C" w:rsidRPr="00687DE8" w:rsidRDefault="0041364C" w:rsidP="00F95479">
            <w:pPr>
              <w:pStyle w:val="Normaallaadveeb"/>
              <w:spacing w:before="0" w:after="0" w:afterAutospacing="0"/>
            </w:pPr>
            <w:r w:rsidRPr="00687DE8">
              <w:t>Viirusmarkeri kvantitatiivne määramine NAT-meetodil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A27AFF" w14:textId="77777777" w:rsidR="0041364C" w:rsidRPr="00687DE8" w:rsidRDefault="0041364C" w:rsidP="00F95479">
            <w:pPr>
              <w:pStyle w:val="Normaallaadveeb"/>
              <w:spacing w:before="0" w:after="0" w:afterAutospacing="0"/>
              <w:jc w:val="center"/>
            </w:pPr>
            <w:r w:rsidRPr="00687DE8">
              <w:t>66614</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E18B85" w14:textId="201F0219" w:rsidR="00CB429F" w:rsidRPr="00687DE8" w:rsidRDefault="00CC0F40">
            <w:pPr>
              <w:spacing w:after="0"/>
              <w:jc w:val="center"/>
              <w:rPr>
                <w:szCs w:val="24"/>
              </w:rPr>
            </w:pPr>
            <w:r>
              <w:rPr>
                <w:color w:val="000000"/>
              </w:rPr>
              <w:t>163,26</w:t>
            </w:r>
          </w:p>
        </w:tc>
      </w:tr>
      <w:tr w:rsidR="0041364C" w:rsidRPr="00687DE8" w14:paraId="53E262CA"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6371C2" w14:textId="77777777" w:rsidR="0041364C" w:rsidRPr="00687DE8" w:rsidRDefault="0041364C" w:rsidP="00F95479">
            <w:pPr>
              <w:pStyle w:val="Normaallaadveeb"/>
              <w:spacing w:before="0" w:after="0" w:afterAutospacing="0"/>
            </w:pPr>
            <w:r w:rsidRPr="00687DE8">
              <w:t>Mikroobide genotüübi võrdlus restriktsioon-PFGE-meetodil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0FC503" w14:textId="77777777" w:rsidR="0041364C" w:rsidRPr="00687DE8" w:rsidRDefault="0041364C" w:rsidP="00F95479">
            <w:pPr>
              <w:pStyle w:val="Normaallaadveeb"/>
              <w:spacing w:before="0" w:after="0" w:afterAutospacing="0"/>
              <w:jc w:val="center"/>
            </w:pPr>
            <w:r w:rsidRPr="00687DE8">
              <w:t>66615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32EDDF" w14:textId="60A02B95" w:rsidR="00CB429F" w:rsidRPr="00687DE8" w:rsidRDefault="00CC0F40">
            <w:pPr>
              <w:spacing w:after="0"/>
              <w:jc w:val="center"/>
              <w:rPr>
                <w:szCs w:val="24"/>
              </w:rPr>
            </w:pPr>
            <w:r>
              <w:rPr>
                <w:color w:val="000000"/>
              </w:rPr>
              <w:t>90,51</w:t>
            </w:r>
          </w:p>
        </w:tc>
      </w:tr>
      <w:tr w:rsidR="0041364C" w:rsidRPr="00687DE8" w14:paraId="01C195A0"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F4B4BA" w14:textId="77777777" w:rsidR="0041364C" w:rsidRPr="00687DE8" w:rsidRDefault="0041364C" w:rsidP="00F95479">
            <w:pPr>
              <w:pStyle w:val="Normaallaadveeb"/>
              <w:spacing w:before="0" w:after="0" w:afterAutospacing="0"/>
            </w:pPr>
            <w:r w:rsidRPr="00687DE8">
              <w:t>Kompleksne mutatsioonianalüüs PCR-meetodil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C61923" w14:textId="77777777" w:rsidR="0041364C" w:rsidRPr="00687DE8" w:rsidRDefault="0041364C" w:rsidP="00F95479">
            <w:pPr>
              <w:pStyle w:val="Normaallaadveeb"/>
              <w:spacing w:before="0" w:after="0" w:afterAutospacing="0"/>
              <w:jc w:val="center"/>
            </w:pPr>
            <w:r w:rsidRPr="00687DE8">
              <w:t>66616</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277ADF" w14:textId="7BB4DD4D" w:rsidR="00CB429F" w:rsidRPr="00687DE8" w:rsidRDefault="00CC0F40">
            <w:pPr>
              <w:spacing w:after="0"/>
              <w:jc w:val="center"/>
              <w:rPr>
                <w:szCs w:val="24"/>
              </w:rPr>
            </w:pPr>
            <w:r>
              <w:rPr>
                <w:color w:val="000000"/>
              </w:rPr>
              <w:t>124,55</w:t>
            </w:r>
          </w:p>
        </w:tc>
      </w:tr>
      <w:tr w:rsidR="0041364C" w:rsidRPr="00687DE8" w14:paraId="6912BE5C"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95DAF6" w14:textId="77777777" w:rsidR="0041364C" w:rsidRPr="00687DE8" w:rsidRDefault="0041364C" w:rsidP="00F95479">
            <w:pPr>
              <w:pStyle w:val="Normaallaadveeb"/>
              <w:spacing w:before="0" w:after="0" w:afterAutospacing="0"/>
            </w:pPr>
            <w:r w:rsidRPr="00687DE8">
              <w:t>Mutatsioonianalüüs APEX-meetodil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FE0647" w14:textId="77777777" w:rsidR="0041364C" w:rsidRPr="00687DE8" w:rsidRDefault="0041364C" w:rsidP="00F95479">
            <w:pPr>
              <w:pStyle w:val="Normaallaadveeb"/>
              <w:spacing w:before="0" w:after="0" w:afterAutospacing="0"/>
              <w:jc w:val="center"/>
            </w:pPr>
            <w:r w:rsidRPr="00687DE8">
              <w:t>66617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0E56A3" w14:textId="649ABB92" w:rsidR="00CB429F" w:rsidRPr="00687DE8" w:rsidRDefault="00CC0F40">
            <w:pPr>
              <w:spacing w:after="0"/>
              <w:jc w:val="center"/>
              <w:rPr>
                <w:szCs w:val="24"/>
              </w:rPr>
            </w:pPr>
            <w:r>
              <w:rPr>
                <w:color w:val="000000"/>
              </w:rPr>
              <w:t>131,72</w:t>
            </w:r>
          </w:p>
        </w:tc>
      </w:tr>
      <w:tr w:rsidR="0041364C" w:rsidRPr="00687DE8" w14:paraId="4DB856A1"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1DBCBF" w14:textId="77777777" w:rsidR="0041364C" w:rsidRPr="00687DE8" w:rsidRDefault="0041364C" w:rsidP="00F95479">
            <w:pPr>
              <w:pStyle w:val="Normaallaadveeb"/>
              <w:spacing w:before="0" w:after="0" w:afterAutospacing="0"/>
            </w:pPr>
            <w:r w:rsidRPr="00687DE8">
              <w:t>Mutatsioonianalüüs sekveneerimisega</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DE9F64" w14:textId="77777777" w:rsidR="0041364C" w:rsidRPr="00687DE8" w:rsidRDefault="0041364C" w:rsidP="00F95479">
            <w:pPr>
              <w:pStyle w:val="Normaallaadveeb"/>
              <w:spacing w:before="0" w:after="0" w:afterAutospacing="0"/>
              <w:jc w:val="center"/>
            </w:pPr>
            <w:r w:rsidRPr="00687DE8">
              <w:t>66618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865A94" w14:textId="1F1ABFC2" w:rsidR="00CB429F" w:rsidRPr="00687DE8" w:rsidRDefault="00CC0F40">
            <w:pPr>
              <w:spacing w:after="0"/>
              <w:jc w:val="center"/>
              <w:rPr>
                <w:szCs w:val="24"/>
              </w:rPr>
            </w:pPr>
            <w:r>
              <w:rPr>
                <w:color w:val="000000"/>
              </w:rPr>
              <w:t>352,08</w:t>
            </w:r>
          </w:p>
        </w:tc>
      </w:tr>
      <w:tr w:rsidR="0041364C" w:rsidRPr="00687DE8" w14:paraId="1D096948"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E04657" w14:textId="77777777" w:rsidR="0041364C" w:rsidRPr="00687DE8" w:rsidRDefault="0041364C" w:rsidP="00F95479">
            <w:pPr>
              <w:pStyle w:val="Normaallaadveeb"/>
              <w:spacing w:before="0" w:after="0" w:afterAutospacing="0"/>
            </w:pPr>
            <w:r w:rsidRPr="00687DE8">
              <w:t>HLA klass I alleelide madala resolutsiooniga määramine PCR-meetodil*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F74801" w14:textId="77777777" w:rsidR="0041364C" w:rsidRPr="00687DE8" w:rsidRDefault="0041364C" w:rsidP="00F95479">
            <w:pPr>
              <w:pStyle w:val="Normaallaadveeb"/>
              <w:spacing w:before="0" w:after="0" w:afterAutospacing="0"/>
              <w:jc w:val="center"/>
            </w:pPr>
          </w:p>
          <w:p w14:paraId="52922461" w14:textId="77777777" w:rsidR="0041364C" w:rsidRPr="00687DE8" w:rsidRDefault="0041364C" w:rsidP="00F95479">
            <w:pPr>
              <w:pStyle w:val="Normaallaadveeb"/>
              <w:spacing w:before="0" w:after="0" w:afterAutospacing="0"/>
              <w:jc w:val="center"/>
            </w:pPr>
            <w:r w:rsidRPr="00687DE8">
              <w:t>66619</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B22512" w14:textId="603B48A5" w:rsidR="00CB429F" w:rsidRPr="00687DE8" w:rsidRDefault="00CC0F40">
            <w:pPr>
              <w:spacing w:after="0"/>
              <w:jc w:val="center"/>
              <w:rPr>
                <w:szCs w:val="24"/>
              </w:rPr>
            </w:pPr>
            <w:r>
              <w:rPr>
                <w:color w:val="000000"/>
              </w:rPr>
              <w:t>120,10</w:t>
            </w:r>
          </w:p>
        </w:tc>
      </w:tr>
      <w:tr w:rsidR="0041364C" w:rsidRPr="00687DE8" w14:paraId="34361298" w14:textId="77777777" w:rsidTr="00EB7A71">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18AA47" w14:textId="77777777" w:rsidR="0041364C" w:rsidRPr="00687DE8" w:rsidRDefault="0041364C" w:rsidP="00F95479">
            <w:pPr>
              <w:pStyle w:val="Normaallaadveeb"/>
              <w:spacing w:before="0" w:after="0" w:afterAutospacing="0"/>
            </w:pPr>
            <w:r w:rsidRPr="00687DE8">
              <w:t>HLA klass II alleelide madala resolutsiooniga määramine PCR-meetodil*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492556" w14:textId="77777777" w:rsidR="0041364C" w:rsidRPr="00687DE8" w:rsidRDefault="0041364C" w:rsidP="00F95479">
            <w:pPr>
              <w:pStyle w:val="Normaallaadveeb"/>
              <w:spacing w:before="0" w:after="0" w:afterAutospacing="0"/>
              <w:jc w:val="center"/>
            </w:pPr>
          </w:p>
          <w:p w14:paraId="3F2A08EB" w14:textId="77777777" w:rsidR="0041364C" w:rsidRPr="00687DE8" w:rsidRDefault="0041364C" w:rsidP="00F95479">
            <w:pPr>
              <w:pStyle w:val="Normaallaadveeb"/>
              <w:spacing w:before="0" w:after="0" w:afterAutospacing="0"/>
              <w:jc w:val="center"/>
            </w:pPr>
            <w:r w:rsidRPr="00687DE8">
              <w:t>66620</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9B3689" w14:textId="5D5ED39B" w:rsidR="00CB429F" w:rsidRPr="00687DE8" w:rsidRDefault="006848CF">
            <w:pPr>
              <w:spacing w:after="0"/>
              <w:jc w:val="center"/>
              <w:rPr>
                <w:szCs w:val="24"/>
              </w:rPr>
            </w:pPr>
            <w:r>
              <w:rPr>
                <w:color w:val="000000"/>
              </w:rPr>
              <w:t>113,13</w:t>
            </w:r>
          </w:p>
        </w:tc>
      </w:tr>
      <w:tr w:rsidR="0041364C" w:rsidRPr="00687DE8" w14:paraId="05BF6646"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742571" w14:textId="77777777" w:rsidR="0041364C" w:rsidRPr="00687DE8" w:rsidRDefault="0041364C" w:rsidP="00F95479">
            <w:pPr>
              <w:pStyle w:val="Normaallaadveeb"/>
              <w:spacing w:before="0" w:after="0" w:afterAutospacing="0"/>
            </w:pPr>
            <w:r w:rsidRPr="00687DE8">
              <w:t>HLA klass I, II alleelide kõrge resolutsiooniga subtüpiseerimine PCR-meetodil*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CD19D3" w14:textId="77777777" w:rsidR="0041364C" w:rsidRPr="00687DE8" w:rsidRDefault="0041364C" w:rsidP="00F95479">
            <w:pPr>
              <w:pStyle w:val="Normaallaadveeb"/>
              <w:spacing w:before="0" w:after="0" w:afterAutospacing="0"/>
              <w:jc w:val="center"/>
            </w:pPr>
          </w:p>
          <w:p w14:paraId="326468DA" w14:textId="77777777" w:rsidR="0041364C" w:rsidRPr="00687DE8" w:rsidRDefault="0041364C" w:rsidP="00F95479">
            <w:pPr>
              <w:pStyle w:val="Normaallaadveeb"/>
              <w:spacing w:before="0" w:after="0" w:afterAutospacing="0"/>
              <w:jc w:val="center"/>
            </w:pPr>
            <w:r w:rsidRPr="00687DE8">
              <w:t>66621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EC552C" w14:textId="19E8D035" w:rsidR="00CB429F" w:rsidRPr="00687DE8" w:rsidRDefault="006848CF">
            <w:pPr>
              <w:spacing w:after="0"/>
              <w:jc w:val="center"/>
              <w:rPr>
                <w:szCs w:val="24"/>
              </w:rPr>
            </w:pPr>
            <w:r>
              <w:rPr>
                <w:color w:val="000000"/>
              </w:rPr>
              <w:t>202,47</w:t>
            </w:r>
          </w:p>
        </w:tc>
      </w:tr>
      <w:tr w:rsidR="0078643F" w:rsidRPr="00687DE8" w14:paraId="58C4410F"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B5837A" w14:textId="47196A23" w:rsidR="0078643F" w:rsidRPr="00657884" w:rsidRDefault="00CD12B0" w:rsidP="00F95479">
            <w:pPr>
              <w:pStyle w:val="Normaallaadveeb"/>
              <w:spacing w:before="0" w:after="0" w:afterAutospacing="0"/>
            </w:pPr>
            <w:r w:rsidRPr="00657884">
              <w:t>Ühe inimese genoomi sekveneerimine ja interpretatsioon</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81AF91" w14:textId="264F64E5" w:rsidR="0078643F" w:rsidRPr="00657884" w:rsidRDefault="00CD12B0" w:rsidP="00F95479">
            <w:pPr>
              <w:pStyle w:val="Normaallaadveeb"/>
              <w:spacing w:before="0" w:after="0" w:afterAutospacing="0"/>
              <w:jc w:val="center"/>
            </w:pPr>
            <w:r w:rsidRPr="00657884">
              <w:t>66640</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B3479C9" w14:textId="77777777" w:rsidR="000968DC" w:rsidRDefault="000968DC" w:rsidP="000968DC">
            <w:pPr>
              <w:jc w:val="center"/>
              <w:rPr>
                <w:color w:val="000000"/>
              </w:rPr>
            </w:pPr>
            <w:r>
              <w:rPr>
                <w:color w:val="000000"/>
              </w:rPr>
              <w:t>1 368,34</w:t>
            </w:r>
          </w:p>
          <w:p w14:paraId="32393C1F" w14:textId="13882E24" w:rsidR="0078643F" w:rsidRPr="00D30B8D" w:rsidRDefault="0078643F" w:rsidP="00D30B8D">
            <w:pPr>
              <w:jc w:val="center"/>
              <w:rPr>
                <w:color w:val="000000"/>
              </w:rPr>
            </w:pPr>
          </w:p>
        </w:tc>
      </w:tr>
      <w:tr w:rsidR="0041364C" w:rsidRPr="00687DE8" w14:paraId="2DEAE984" w14:textId="77777777" w:rsidTr="00D30B8D">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E85B59" w14:textId="77777777" w:rsidR="0041364C" w:rsidRPr="00687DE8" w:rsidRDefault="0041364C" w:rsidP="00F95479">
            <w:pPr>
              <w:pStyle w:val="Normaallaadveeb"/>
              <w:spacing w:before="0" w:after="0" w:afterAutospacing="0"/>
            </w:pPr>
            <w:r w:rsidRPr="00687DE8">
              <w:t>Loote rakuvaba DNA sünnieelne sõeluuring (NIPT) üksikraseduse korral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0051D87" w14:textId="77777777" w:rsidR="0041364C" w:rsidRPr="00687DE8" w:rsidRDefault="0041364C" w:rsidP="00F95479">
            <w:pPr>
              <w:pStyle w:val="Normaallaadveeb"/>
              <w:spacing w:before="0" w:after="0" w:afterAutospacing="0"/>
              <w:jc w:val="center"/>
            </w:pPr>
            <w:r w:rsidRPr="00687DE8">
              <w:t>66642</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FDA03A" w14:textId="6A5EC6FC" w:rsidR="00CB429F" w:rsidRPr="00687DE8" w:rsidRDefault="000968DC">
            <w:pPr>
              <w:spacing w:after="0"/>
              <w:jc w:val="center"/>
              <w:rPr>
                <w:szCs w:val="24"/>
              </w:rPr>
            </w:pPr>
            <w:r>
              <w:rPr>
                <w:color w:val="000000"/>
              </w:rPr>
              <w:t>221,63</w:t>
            </w:r>
          </w:p>
        </w:tc>
      </w:tr>
      <w:tr w:rsidR="0041364C" w:rsidRPr="00687DE8" w14:paraId="5220EE31"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0D2C6B" w14:textId="77777777" w:rsidR="0041364C" w:rsidRPr="00687DE8" w:rsidRDefault="0041364C" w:rsidP="00F95479">
            <w:pPr>
              <w:pStyle w:val="Normaallaadveeb"/>
              <w:spacing w:before="0" w:after="0" w:afterAutospacing="0"/>
            </w:pPr>
            <w:r w:rsidRPr="00687DE8">
              <w:t>Loote rakuvaba DNA sünnieelne sõeluuring (NIPT) kaksikraseduse korral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1C6DD8F1" w14:textId="77777777" w:rsidR="0041364C" w:rsidRPr="00687DE8" w:rsidRDefault="0041364C" w:rsidP="00F95479">
            <w:pPr>
              <w:pStyle w:val="Normaallaadveeb"/>
              <w:spacing w:before="0" w:after="0" w:afterAutospacing="0"/>
              <w:jc w:val="center"/>
            </w:pPr>
            <w:r w:rsidRPr="00687DE8">
              <w:t>66643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529322F" w14:textId="51049C52" w:rsidR="00CB429F" w:rsidRPr="00687DE8" w:rsidRDefault="000968DC">
            <w:pPr>
              <w:spacing w:after="0"/>
              <w:jc w:val="center"/>
              <w:rPr>
                <w:szCs w:val="24"/>
              </w:rPr>
            </w:pPr>
            <w:r>
              <w:rPr>
                <w:color w:val="000000"/>
              </w:rPr>
              <w:t>369,28</w:t>
            </w:r>
          </w:p>
        </w:tc>
      </w:tr>
      <w:tr w:rsidR="0041364C" w:rsidRPr="00687DE8" w14:paraId="6ED1DC20" w14:textId="77777777" w:rsidTr="00EB7A71">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5EA58A" w14:textId="77777777" w:rsidR="0041364C" w:rsidRPr="00687DE8" w:rsidRDefault="0041364C" w:rsidP="00F95479">
            <w:pPr>
              <w:pStyle w:val="Normaallaadveeb"/>
              <w:spacing w:before="0" w:after="0" w:afterAutospacing="0"/>
            </w:pPr>
            <w:r w:rsidRPr="00687DE8">
              <w:lastRenderedPageBreak/>
              <w:t>Inimese papilloomviiruse test nukleiinhappe (DNA ja/või RNA) järjestuse määramisel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4E0193DF" w14:textId="77777777" w:rsidR="0041364C" w:rsidRPr="00687DE8" w:rsidRDefault="0041364C" w:rsidP="00F95479">
            <w:pPr>
              <w:pStyle w:val="Normaallaadveeb"/>
              <w:spacing w:before="0" w:after="0" w:afterAutospacing="0"/>
              <w:jc w:val="center"/>
            </w:pPr>
            <w:r w:rsidRPr="00687DE8">
              <w:t>66644</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6B3FFC" w14:textId="38EDC969" w:rsidR="00CB429F" w:rsidRPr="00687DE8" w:rsidRDefault="00A674F5">
            <w:pPr>
              <w:spacing w:after="0"/>
              <w:jc w:val="center"/>
              <w:rPr>
                <w:szCs w:val="24"/>
              </w:rPr>
            </w:pPr>
            <w:r>
              <w:rPr>
                <w:color w:val="000000"/>
              </w:rPr>
              <w:t>39,51</w:t>
            </w:r>
          </w:p>
        </w:tc>
      </w:tr>
      <w:tr w:rsidR="00741E0B" w:rsidRPr="00687DE8" w14:paraId="65C6A08D" w14:textId="77777777" w:rsidTr="00EB1B66">
        <w:trPr>
          <w:divId w:val="1316184749"/>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04B02A" w14:textId="77777777" w:rsidR="00741E0B" w:rsidRPr="00687DE8" w:rsidRDefault="00AC7A9E" w:rsidP="00F95479">
            <w:pPr>
              <w:pStyle w:val="Normaallaadveeb"/>
              <w:spacing w:before="0" w:after="0" w:afterAutospacing="0"/>
            </w:pPr>
            <w:r w:rsidRPr="00687DE8">
              <w:t>Rinnavähi koe geeniekspressioonanalüüs adjuvantse keemiaravi raviotsuseks</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5E6FB07" w14:textId="77777777" w:rsidR="00741E0B" w:rsidRPr="00687DE8" w:rsidRDefault="00741E0B" w:rsidP="00F95479">
            <w:pPr>
              <w:pStyle w:val="Normaallaadveeb"/>
              <w:spacing w:before="0" w:after="0" w:afterAutospacing="0"/>
              <w:jc w:val="center"/>
            </w:pPr>
            <w:r w:rsidRPr="00687DE8">
              <w:t>66646</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938DEC3" w14:textId="15548FE6" w:rsidR="00741E0B" w:rsidRPr="00687DE8" w:rsidRDefault="00A674F5" w:rsidP="005B59BF">
            <w:pPr>
              <w:pStyle w:val="Normaallaadveeb"/>
              <w:tabs>
                <w:tab w:val="decimal" w:pos="635"/>
              </w:tabs>
              <w:spacing w:before="0" w:after="0" w:afterAutospacing="0"/>
              <w:jc w:val="center"/>
            </w:pPr>
            <w:r>
              <w:rPr>
                <w:color w:val="000000"/>
              </w:rPr>
              <w:t>2 852,00</w:t>
            </w:r>
          </w:p>
        </w:tc>
      </w:tr>
      <w:tr w:rsidR="00600BBC" w:rsidRPr="00687DE8" w14:paraId="5143A39E" w14:textId="77777777" w:rsidTr="00EB1B66">
        <w:trPr>
          <w:divId w:val="1316184749"/>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848880" w14:textId="4C1C12EB" w:rsidR="00600BBC" w:rsidRPr="00687DE8" w:rsidRDefault="00C5711C" w:rsidP="00F95479">
            <w:pPr>
              <w:pStyle w:val="Normaallaadveeb"/>
              <w:spacing w:before="0" w:after="0" w:afterAutospacing="0"/>
            </w:pPr>
            <w:r w:rsidRPr="00687DE8">
              <w:t>SMN1 geeni homosügootse deletsiooni määramine kuivatatud vereplekist </w:t>
            </w:r>
            <w:r w:rsidRPr="00687DE8">
              <w:rPr>
                <w:i/>
                <w:iCs/>
              </w:rPr>
              <w:t>real-time</w:t>
            </w:r>
            <w:r w:rsidRPr="00687DE8">
              <w:t>-PCR-meetodil</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475559B" w14:textId="3444FBF0" w:rsidR="00600BBC" w:rsidRPr="00687DE8" w:rsidRDefault="00C5711C" w:rsidP="00F95479">
            <w:pPr>
              <w:pStyle w:val="Normaallaadveeb"/>
              <w:spacing w:before="0" w:after="0" w:afterAutospacing="0"/>
              <w:jc w:val="center"/>
            </w:pPr>
            <w:r w:rsidRPr="00687DE8">
              <w:t>66647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462116F" w14:textId="68211A5B" w:rsidR="00600BBC" w:rsidRPr="00687DE8" w:rsidRDefault="00A674F5" w:rsidP="005B59BF">
            <w:pPr>
              <w:pStyle w:val="Normaallaadveeb"/>
              <w:tabs>
                <w:tab w:val="decimal" w:pos="635"/>
              </w:tabs>
              <w:spacing w:before="0" w:after="0" w:afterAutospacing="0"/>
            </w:pPr>
            <w:r>
              <w:rPr>
                <w:color w:val="000000"/>
              </w:rPr>
              <w:t>18,17</w:t>
            </w:r>
          </w:p>
        </w:tc>
      </w:tr>
      <w:tr w:rsidR="00141288" w14:paraId="31E25F1C" w14:textId="77777777" w:rsidTr="00EB1B66">
        <w:trPr>
          <w:divId w:val="1316184749"/>
          <w:trHeight w:val="300"/>
        </w:trPr>
        <w:tc>
          <w:tcPr>
            <w:tcW w:w="63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CA3DB4" w14:textId="15CCBAF0" w:rsidR="6BAC7620" w:rsidRPr="00255171" w:rsidRDefault="6BAC7620" w:rsidP="62115B62">
            <w:pPr>
              <w:spacing w:after="0"/>
              <w:rPr>
                <w:rFonts w:eastAsia="Arial"/>
                <w:szCs w:val="24"/>
              </w:rPr>
            </w:pPr>
            <w:r w:rsidRPr="00255171">
              <w:rPr>
                <w:rFonts w:eastAsia="Arial"/>
                <w:szCs w:val="24"/>
              </w:rPr>
              <w:t xml:space="preserve">HPV kodutest emakakaelavähi sõeluuringus </w:t>
            </w:r>
          </w:p>
        </w:tc>
        <w:tc>
          <w:tcPr>
            <w:tcW w:w="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6512E8F" w14:textId="3F7915E5" w:rsidR="0DE05816" w:rsidRPr="00255171" w:rsidRDefault="0DE05816" w:rsidP="00255171">
            <w:pPr>
              <w:spacing w:after="0"/>
              <w:jc w:val="center"/>
              <w:rPr>
                <w:rFonts w:eastAsia="Arial"/>
                <w:szCs w:val="24"/>
              </w:rPr>
            </w:pPr>
            <w:r w:rsidRPr="00255171">
              <w:rPr>
                <w:rFonts w:eastAsia="Arial"/>
                <w:szCs w:val="24"/>
              </w:rPr>
              <w:t>666</w:t>
            </w:r>
            <w:r w:rsidR="003A14F4">
              <w:rPr>
                <w:rFonts w:eastAsia="Arial"/>
                <w:szCs w:val="24"/>
              </w:rPr>
              <w:t>50</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F1F292B" w14:textId="3D45B7D2" w:rsidR="32110DBC" w:rsidRPr="00B47B58" w:rsidRDefault="00A674F5" w:rsidP="62115B62">
            <w:pPr>
              <w:pStyle w:val="Normaallaadveeb"/>
              <w:jc w:val="center"/>
            </w:pPr>
            <w:r>
              <w:rPr>
                <w:color w:val="000000"/>
              </w:rPr>
              <w:t>42,24</w:t>
            </w:r>
          </w:p>
        </w:tc>
      </w:tr>
    </w:tbl>
    <w:p w14:paraId="100A2687" w14:textId="77777777" w:rsidR="00976487" w:rsidRPr="00687DE8" w:rsidRDefault="00976487" w:rsidP="00976487">
      <w:pPr>
        <w:pStyle w:val="Normaallaadveeb"/>
        <w:spacing w:before="0" w:after="0" w:afterAutospacing="0"/>
        <w:jc w:val="both"/>
        <w:divId w:val="1316184749"/>
      </w:pPr>
    </w:p>
    <w:p w14:paraId="7074D2B2" w14:textId="77777777" w:rsidR="00976487" w:rsidRPr="00687DE8" w:rsidRDefault="00976487" w:rsidP="00976487">
      <w:pPr>
        <w:pStyle w:val="Normaallaadveeb"/>
        <w:spacing w:before="0" w:after="0" w:afterAutospacing="0"/>
        <w:jc w:val="both"/>
        <w:divId w:val="1316184749"/>
      </w:pPr>
      <w:r w:rsidRPr="00687DE8">
        <w:t>(2) Koodidega 66613 ja 66614 tähistatud tervishoiuteenuseid ei rakendata juhul, kui uuringu tegemiseks kasutatakse </w:t>
      </w:r>
      <w:r w:rsidRPr="00687DE8">
        <w:rPr>
          <w:i/>
          <w:iCs/>
        </w:rPr>
        <w:t>real-time</w:t>
      </w:r>
      <w:r w:rsidRPr="00687DE8">
        <w:t>-PCR-meetodit.</w:t>
      </w:r>
    </w:p>
    <w:p w14:paraId="4CC3E5B5" w14:textId="77777777" w:rsidR="00976487" w:rsidRPr="00687DE8" w:rsidRDefault="00976487" w:rsidP="00976487">
      <w:pPr>
        <w:pStyle w:val="Normaallaadveeb"/>
        <w:spacing w:before="0" w:after="0" w:afterAutospacing="0"/>
        <w:jc w:val="both"/>
        <w:divId w:val="1316184749"/>
      </w:pPr>
    </w:p>
    <w:p w14:paraId="12503217" w14:textId="77777777" w:rsidR="00976487" w:rsidRPr="00687DE8" w:rsidRDefault="00976487" w:rsidP="00976487">
      <w:pPr>
        <w:pStyle w:val="Normaallaadveeb"/>
        <w:spacing w:before="0" w:after="0" w:afterAutospacing="0"/>
        <w:jc w:val="both"/>
        <w:divId w:val="1316184749"/>
      </w:pPr>
      <w:r w:rsidRPr="00687DE8">
        <w:t>(3) Koodiga 66629 tähistatud tervishoiuteenust ei rakendata täiendavalt koodiga 66636 tähistatud tervishoiuteenusele.</w:t>
      </w:r>
    </w:p>
    <w:p w14:paraId="299E4DF6" w14:textId="77777777" w:rsidR="00976487" w:rsidRPr="00687DE8" w:rsidRDefault="00976487" w:rsidP="00976487">
      <w:pPr>
        <w:pStyle w:val="Normaallaadveeb"/>
        <w:spacing w:before="0" w:after="0" w:afterAutospacing="0"/>
        <w:jc w:val="both"/>
        <w:divId w:val="1316184749"/>
      </w:pPr>
    </w:p>
    <w:p w14:paraId="39219349" w14:textId="090E0359" w:rsidR="00976487" w:rsidRPr="00687DE8" w:rsidRDefault="00976487" w:rsidP="00976487">
      <w:pPr>
        <w:pStyle w:val="Normaallaadveeb"/>
        <w:spacing w:before="0" w:after="0" w:afterAutospacing="0"/>
        <w:jc w:val="both"/>
        <w:divId w:val="1316184749"/>
      </w:pPr>
      <w:r w:rsidRPr="00687DE8">
        <w:t xml:space="preserve">(4) </w:t>
      </w:r>
      <w:r w:rsidR="005023FD" w:rsidRPr="00687DE8">
        <w:t>Tervisekassa</w:t>
      </w:r>
      <w:r w:rsidRPr="00687DE8">
        <w:t xml:space="preserve"> võtab koodiga 66636 tähistatud tervishoiuteenuse eest tasu maksmise kohustuse üle järgmistel juhtudel:</w:t>
      </w:r>
    </w:p>
    <w:p w14:paraId="581C24D8" w14:textId="77777777" w:rsidR="00976487" w:rsidRPr="00687DE8" w:rsidRDefault="00976487" w:rsidP="00976487">
      <w:pPr>
        <w:pStyle w:val="Normaallaadveeb"/>
        <w:spacing w:before="0" w:after="0" w:afterAutospacing="0"/>
        <w:jc w:val="both"/>
        <w:divId w:val="1316184749"/>
      </w:pPr>
      <w:r w:rsidRPr="00687DE8">
        <w:t>1)</w:t>
      </w:r>
      <w:r w:rsidRPr="00687DE8">
        <w:rPr>
          <w:rStyle w:val="tyhik"/>
        </w:rPr>
        <w:t xml:space="preserve"> </w:t>
      </w:r>
      <w:r w:rsidRPr="00687DE8">
        <w:t>ebaselge etioloogiaga vaimse arengu mahajäämus või peetus;</w:t>
      </w:r>
    </w:p>
    <w:p w14:paraId="4ABE5DB1" w14:textId="77777777" w:rsidR="00976487" w:rsidRPr="00687DE8" w:rsidRDefault="00976487" w:rsidP="00976487">
      <w:pPr>
        <w:pStyle w:val="Normaallaadveeb"/>
        <w:spacing w:before="0" w:after="0" w:afterAutospacing="0"/>
        <w:jc w:val="both"/>
        <w:divId w:val="1316184749"/>
      </w:pPr>
      <w:r w:rsidRPr="00687DE8">
        <w:t>2)</w:t>
      </w:r>
      <w:r w:rsidRPr="00687DE8">
        <w:rPr>
          <w:rStyle w:val="tyhik"/>
        </w:rPr>
        <w:t xml:space="preserve"> </w:t>
      </w:r>
      <w:r w:rsidRPr="00687DE8">
        <w:t>autism või autismilaadsed käitumishäired;</w:t>
      </w:r>
    </w:p>
    <w:p w14:paraId="041D265F" w14:textId="77777777" w:rsidR="00976487" w:rsidRPr="00687DE8" w:rsidRDefault="00976487" w:rsidP="00976487">
      <w:pPr>
        <w:pStyle w:val="Normaallaadveeb"/>
        <w:spacing w:before="0" w:after="0" w:afterAutospacing="0"/>
        <w:jc w:val="both"/>
        <w:divId w:val="1316184749"/>
      </w:pPr>
      <w:r w:rsidRPr="00687DE8">
        <w:t>3)</w:t>
      </w:r>
      <w:r w:rsidRPr="00687DE8">
        <w:rPr>
          <w:rStyle w:val="tyhik"/>
        </w:rPr>
        <w:t xml:space="preserve"> </w:t>
      </w:r>
      <w:r w:rsidRPr="00687DE8">
        <w:t>kaasasündinud hulgiväärarengud.</w:t>
      </w:r>
    </w:p>
    <w:p w14:paraId="6D55C088" w14:textId="77777777" w:rsidR="00976487" w:rsidRPr="00687DE8" w:rsidRDefault="00976487" w:rsidP="00976487">
      <w:pPr>
        <w:pStyle w:val="Normaallaadveeb"/>
        <w:spacing w:before="0" w:after="0" w:afterAutospacing="0"/>
        <w:jc w:val="both"/>
        <w:divId w:val="1316184749"/>
      </w:pPr>
    </w:p>
    <w:p w14:paraId="0DC82030" w14:textId="047BBC5D" w:rsidR="00976487" w:rsidRPr="00687DE8" w:rsidRDefault="00976487" w:rsidP="00976487">
      <w:pPr>
        <w:pStyle w:val="Normaallaadveeb"/>
        <w:spacing w:before="0" w:after="0" w:afterAutospacing="0"/>
        <w:jc w:val="both"/>
        <w:divId w:val="1316184749"/>
      </w:pPr>
      <w:r w:rsidRPr="00687DE8">
        <w:t xml:space="preserve">(5) </w:t>
      </w:r>
      <w:r w:rsidR="005023FD" w:rsidRPr="00687DE8">
        <w:t>Tervisekassa</w:t>
      </w:r>
      <w:r w:rsidRPr="00687DE8">
        <w:t xml:space="preserve"> ei võta koodiga 66636 tähistatud tervishoiuteenuse eest tasu maksmise kohustust üle järgmiste kliiniliselt äratuntavate kromosoomi anomaaliate korral: Downi (21 trisoomia), Edwardsi (18 trisoomia) või Patau (13 trisoomia), Turneri või Klinefelteri sündroom.</w:t>
      </w:r>
    </w:p>
    <w:p w14:paraId="518791CD" w14:textId="77777777" w:rsidR="00976487" w:rsidRPr="00687DE8" w:rsidRDefault="00976487" w:rsidP="00976487">
      <w:pPr>
        <w:pStyle w:val="Normaallaadveeb"/>
        <w:spacing w:before="0" w:after="0" w:afterAutospacing="0"/>
        <w:jc w:val="both"/>
        <w:divId w:val="1316184749"/>
      </w:pPr>
    </w:p>
    <w:p w14:paraId="58F1406F" w14:textId="0ABAB116" w:rsidR="00976487" w:rsidRPr="00687DE8" w:rsidRDefault="00976487" w:rsidP="00976487">
      <w:pPr>
        <w:pStyle w:val="Normaallaadveeb"/>
        <w:spacing w:before="0" w:after="0" w:afterAutospacing="0"/>
        <w:jc w:val="both"/>
        <w:divId w:val="1316184749"/>
      </w:pPr>
      <w:r w:rsidRPr="00687DE8">
        <w:t xml:space="preserve">(6) </w:t>
      </w:r>
      <w:r w:rsidR="005023FD" w:rsidRPr="00687DE8">
        <w:t>Tervisekassa</w:t>
      </w:r>
      <w:r w:rsidRPr="00687DE8">
        <w:t xml:space="preserve"> võtab koodiga 66637 tähistatud tervishoiuteenuse eest tasu maksmise kohustuse üle juhul, kui tsütoloogiline materjal pole olnud kättesaadav.</w:t>
      </w:r>
    </w:p>
    <w:p w14:paraId="2CC2AB35" w14:textId="2201287A" w:rsidR="00976487" w:rsidRDefault="00976487" w:rsidP="00976487">
      <w:pPr>
        <w:pStyle w:val="Normaallaadveeb"/>
        <w:spacing w:before="0" w:after="0" w:afterAutospacing="0"/>
        <w:divId w:val="1316184749"/>
      </w:pPr>
    </w:p>
    <w:p w14:paraId="432ECD8C" w14:textId="1D112844" w:rsidR="00976487" w:rsidRPr="00687DE8" w:rsidRDefault="00976487" w:rsidP="00FE06F2">
      <w:pPr>
        <w:pStyle w:val="Normaallaadveeb"/>
        <w:spacing w:before="0" w:after="0" w:afterAutospacing="0"/>
        <w:jc w:val="both"/>
        <w:divId w:val="1316184749"/>
      </w:pPr>
      <w:r w:rsidRPr="00687DE8">
        <w:t>(</w:t>
      </w:r>
      <w:r w:rsidR="49C45EDB">
        <w:t>7</w:t>
      </w:r>
      <w:r w:rsidRPr="00687DE8">
        <w:t xml:space="preserve">) </w:t>
      </w:r>
      <w:r w:rsidR="005023FD" w:rsidRPr="00687DE8">
        <w:t>Tervisekassa</w:t>
      </w:r>
      <w:r w:rsidRPr="00687DE8">
        <w:t xml:space="preserve"> võtab koodi</w:t>
      </w:r>
      <w:r w:rsidR="006A564D" w:rsidRPr="00687DE8">
        <w:t>de</w:t>
      </w:r>
      <w:r w:rsidRPr="00687DE8">
        <w:t>ga 66642</w:t>
      </w:r>
      <w:r w:rsidR="006A564D" w:rsidRPr="00687DE8">
        <w:t xml:space="preserve"> ja 66643</w:t>
      </w:r>
      <w:r w:rsidRPr="00687DE8">
        <w:t xml:space="preserve"> tähistatud tervishoiuteenuse eest tasu maksmise kohustuse üle juhul, kui raseduse I trimestri kombineeritud sõeluuringu tulemusel esineb kõrgenenud risk loote kromosoomhaiguseks: tõenäosus trisoomia 21 esinemiseks vahemikus 1</w:t>
      </w:r>
      <w:r w:rsidR="002D6099" w:rsidRPr="00687DE8">
        <w:t> </w:t>
      </w:r>
      <w:r w:rsidRPr="00687DE8">
        <w:t>:</w:t>
      </w:r>
      <w:r w:rsidR="002D6099" w:rsidRPr="00687DE8">
        <w:t> </w:t>
      </w:r>
      <w:r w:rsidRPr="00687DE8">
        <w:t>11 kuni 1</w:t>
      </w:r>
      <w:r w:rsidR="002D6099" w:rsidRPr="00687DE8">
        <w:t> </w:t>
      </w:r>
      <w:r w:rsidRPr="00687DE8">
        <w:t>:</w:t>
      </w:r>
      <w:r w:rsidR="002D6099" w:rsidRPr="00687DE8">
        <w:t> </w:t>
      </w:r>
      <w:r w:rsidRPr="00687DE8">
        <w:t>1000, tõenäosus trisoomia 18 ja 13 esinemiseks vahemikus 1</w:t>
      </w:r>
      <w:r w:rsidR="002D6099" w:rsidRPr="00687DE8">
        <w:t> </w:t>
      </w:r>
      <w:r w:rsidRPr="00687DE8">
        <w:t>:</w:t>
      </w:r>
      <w:r w:rsidR="002D6099" w:rsidRPr="00687DE8">
        <w:t> </w:t>
      </w:r>
      <w:r w:rsidRPr="00687DE8">
        <w:t>11 kuni 1</w:t>
      </w:r>
      <w:r w:rsidR="002D6099" w:rsidRPr="00687DE8">
        <w:t> </w:t>
      </w:r>
      <w:r w:rsidRPr="00687DE8">
        <w:t>:</w:t>
      </w:r>
      <w:r w:rsidR="002D6099" w:rsidRPr="00687DE8">
        <w:t> </w:t>
      </w:r>
      <w:r w:rsidRPr="00687DE8">
        <w:t xml:space="preserve">100, eelmisel lapsel on diagnoositud trisoomia või rasedal esineb terviseseisund, mille korral on invasiivne uuring </w:t>
      </w:r>
      <w:r w:rsidRPr="00687DE8">
        <w:rPr>
          <w:color w:val="000000" w:themeColor="text1"/>
        </w:rPr>
        <w:t xml:space="preserve">(koorionibiopsia või amniotsentees) </w:t>
      </w:r>
      <w:r w:rsidRPr="00687DE8">
        <w:t>loote kromosoomanalüüsiks vastunäidustatud.</w:t>
      </w:r>
    </w:p>
    <w:p w14:paraId="75903DA9" w14:textId="77777777" w:rsidR="00024F3F" w:rsidRPr="00687DE8" w:rsidRDefault="00024F3F" w:rsidP="00976487">
      <w:pPr>
        <w:pStyle w:val="Vahedeta"/>
        <w:jc w:val="both"/>
        <w:divId w:val="1316184749"/>
        <w:rPr>
          <w:szCs w:val="24"/>
          <w:lang w:val="et-EE"/>
        </w:rPr>
      </w:pPr>
    </w:p>
    <w:p w14:paraId="399A7960" w14:textId="36426C2E" w:rsidR="00024F3F" w:rsidRPr="00687DE8" w:rsidRDefault="00024F3F" w:rsidP="00976487">
      <w:pPr>
        <w:pStyle w:val="Vahedeta"/>
        <w:jc w:val="both"/>
        <w:divId w:val="1316184749"/>
        <w:rPr>
          <w:lang w:val="et-EE"/>
        </w:rPr>
      </w:pPr>
      <w:r w:rsidRPr="6C1A379E">
        <w:rPr>
          <w:lang w:val="et-EE"/>
        </w:rPr>
        <w:t>(</w:t>
      </w:r>
      <w:r w:rsidR="2F1FBDC5" w:rsidRPr="6C1A379E">
        <w:rPr>
          <w:lang w:val="et-EE"/>
        </w:rPr>
        <w:t>8</w:t>
      </w:r>
      <w:r w:rsidRPr="6C1A379E">
        <w:rPr>
          <w:lang w:val="et-EE"/>
        </w:rPr>
        <w:t xml:space="preserve">) </w:t>
      </w:r>
      <w:r w:rsidR="005023FD" w:rsidRPr="6C1A379E">
        <w:rPr>
          <w:lang w:val="et-EE"/>
        </w:rPr>
        <w:t>Tervisekassa</w:t>
      </w:r>
      <w:r w:rsidRPr="6C1A379E">
        <w:rPr>
          <w:lang w:val="et-EE"/>
        </w:rPr>
        <w:t xml:space="preserve"> võtab koodiga 66643 tähistatud tervishoiuteenuse eest tasu maksmise kohustuse üle juhul, kui </w:t>
      </w:r>
      <w:r w:rsidR="00F5036C" w:rsidRPr="6C1A379E">
        <w:rPr>
          <w:lang w:val="et-EE"/>
        </w:rPr>
        <w:t>teenust osutatakse kaksikrase</w:t>
      </w:r>
      <w:r w:rsidR="00AE425F" w:rsidRPr="6C1A379E">
        <w:rPr>
          <w:lang w:val="et-EE"/>
        </w:rPr>
        <w:t>duse korral.</w:t>
      </w:r>
    </w:p>
    <w:p w14:paraId="762F30D0" w14:textId="77777777" w:rsidR="009C08D2" w:rsidRPr="00687DE8" w:rsidRDefault="009C08D2" w:rsidP="00976487">
      <w:pPr>
        <w:pStyle w:val="Vahedeta"/>
        <w:jc w:val="both"/>
        <w:divId w:val="1316184749"/>
        <w:rPr>
          <w:szCs w:val="24"/>
          <w:lang w:val="et-EE"/>
        </w:rPr>
      </w:pPr>
    </w:p>
    <w:p w14:paraId="0B708CB5" w14:textId="162B72FE" w:rsidR="007E1661" w:rsidRPr="00687DE8" w:rsidRDefault="00B00873" w:rsidP="00976487">
      <w:pPr>
        <w:pStyle w:val="Vahedeta"/>
        <w:jc w:val="both"/>
        <w:divId w:val="1316184749"/>
        <w:rPr>
          <w:lang w:val="et-EE"/>
        </w:rPr>
      </w:pPr>
      <w:r w:rsidRPr="6C1A379E">
        <w:rPr>
          <w:lang w:val="et-EE"/>
        </w:rPr>
        <w:t>(</w:t>
      </w:r>
      <w:r w:rsidR="78555955" w:rsidRPr="6C1A379E">
        <w:rPr>
          <w:lang w:val="et-EE"/>
        </w:rPr>
        <w:t>9</w:t>
      </w:r>
      <w:r w:rsidRPr="6C1A379E">
        <w:rPr>
          <w:lang w:val="et-EE"/>
        </w:rPr>
        <w:t xml:space="preserve">) </w:t>
      </w:r>
      <w:r w:rsidR="005023FD" w:rsidRPr="6C1A379E">
        <w:rPr>
          <w:lang w:val="et-EE"/>
        </w:rPr>
        <w:t>Tervisekassa</w:t>
      </w:r>
      <w:r w:rsidRPr="6C1A379E">
        <w:rPr>
          <w:lang w:val="et-EE"/>
        </w:rPr>
        <w:t xml:space="preserve"> võta</w:t>
      </w:r>
      <w:r w:rsidR="00B72BA9" w:rsidRPr="6C1A379E">
        <w:rPr>
          <w:lang w:val="et-EE"/>
        </w:rPr>
        <w:t>b</w:t>
      </w:r>
      <w:r w:rsidRPr="6C1A379E">
        <w:rPr>
          <w:lang w:val="et-EE"/>
        </w:rPr>
        <w:t xml:space="preserve"> koodi</w:t>
      </w:r>
      <w:r w:rsidR="614DDCD7" w:rsidRPr="6C1A379E">
        <w:rPr>
          <w:lang w:val="et-EE"/>
        </w:rPr>
        <w:t xml:space="preserve">ga 66644 tähistatud tervishoiuteenuse </w:t>
      </w:r>
      <w:r w:rsidR="3AE01D57" w:rsidRPr="6C1A379E">
        <w:rPr>
          <w:lang w:val="et-EE"/>
        </w:rPr>
        <w:t xml:space="preserve">eest tasu maksmise kohustuse üle </w:t>
      </w:r>
      <w:r w:rsidR="00F03D59" w:rsidRPr="6C1A379E">
        <w:rPr>
          <w:lang w:val="et-EE"/>
        </w:rPr>
        <w:t>juhul,</w:t>
      </w:r>
      <w:r w:rsidR="3AE01D57" w:rsidRPr="6C1A379E">
        <w:rPr>
          <w:lang w:val="et-EE"/>
        </w:rPr>
        <w:t xml:space="preserve"> kui seda kasutatakse emakakaelavähi riikliku sõeluuringu raames sõeluu</w:t>
      </w:r>
      <w:r w:rsidR="40E6C743" w:rsidRPr="6C1A379E">
        <w:rPr>
          <w:lang w:val="et-EE"/>
        </w:rPr>
        <w:t>ringu</w:t>
      </w:r>
      <w:r w:rsidR="3AE01D57" w:rsidRPr="6C1A379E">
        <w:rPr>
          <w:lang w:val="et-EE"/>
        </w:rPr>
        <w:t xml:space="preserve"> esmastestina vastavalt </w:t>
      </w:r>
      <w:r w:rsidR="41220CA1" w:rsidRPr="6C1A379E">
        <w:rPr>
          <w:lang w:val="et-EE"/>
        </w:rPr>
        <w:t>emakakaelavähi riikliku sõeluuringu tegevusjuhendis sätestatud nõuetel</w:t>
      </w:r>
      <w:r w:rsidR="3AE01D57" w:rsidRPr="6C1A379E">
        <w:rPr>
          <w:lang w:val="et-EE"/>
        </w:rPr>
        <w:t>e</w:t>
      </w:r>
      <w:r w:rsidR="35E1CC56" w:rsidRPr="6C1A379E">
        <w:rPr>
          <w:lang w:val="et-EE"/>
        </w:rPr>
        <w:t>.</w:t>
      </w:r>
    </w:p>
    <w:p w14:paraId="0C698CFD" w14:textId="77777777" w:rsidR="002615F7" w:rsidRPr="00687DE8" w:rsidRDefault="002615F7" w:rsidP="00976487">
      <w:pPr>
        <w:pStyle w:val="Vahedeta"/>
        <w:jc w:val="both"/>
        <w:divId w:val="1316184749"/>
        <w:rPr>
          <w:szCs w:val="24"/>
          <w:lang w:val="et-EE"/>
        </w:rPr>
      </w:pPr>
    </w:p>
    <w:p w14:paraId="485283BA" w14:textId="1BE74880" w:rsidR="002615F7" w:rsidRPr="00687DE8" w:rsidRDefault="002615F7" w:rsidP="00976487">
      <w:pPr>
        <w:pStyle w:val="Vahedeta"/>
        <w:jc w:val="both"/>
        <w:divId w:val="1316184749"/>
        <w:rPr>
          <w:lang w:val="et-EE"/>
        </w:rPr>
      </w:pPr>
      <w:r w:rsidRPr="6C1A379E">
        <w:rPr>
          <w:lang w:val="et-EE"/>
        </w:rPr>
        <w:t>(</w:t>
      </w:r>
      <w:r w:rsidR="00EF12E5" w:rsidRPr="6C1A379E">
        <w:rPr>
          <w:lang w:val="et-EE"/>
        </w:rPr>
        <w:t>1</w:t>
      </w:r>
      <w:r w:rsidR="650A1B66" w:rsidRPr="6C1A379E">
        <w:rPr>
          <w:lang w:val="et-EE"/>
        </w:rPr>
        <w:t>0</w:t>
      </w:r>
      <w:r w:rsidRPr="6C1A379E">
        <w:rPr>
          <w:lang w:val="et-EE"/>
        </w:rPr>
        <w:t xml:space="preserve">) </w:t>
      </w:r>
      <w:r w:rsidR="005023FD" w:rsidRPr="6C1A379E">
        <w:rPr>
          <w:lang w:val="et-EE"/>
        </w:rPr>
        <w:t>Tervisekassa</w:t>
      </w:r>
      <w:r w:rsidR="00DE13BD" w:rsidRPr="6C1A379E">
        <w:rPr>
          <w:lang w:val="et-EE"/>
        </w:rPr>
        <w:t xml:space="preserve"> võtab koodiga 66646 tähistatud tervishoiuteenuse eest tasu maksmise kohustuse üle juhul, kui seda rakendatakse operatsioonijärgselt kõrge kliinilise riskiga hormoonpositiivse ja HER2 negatiivse invasiivse rinnakartsinoomiga algkolde levikuulatusega pT1-T2 või opereeritava </w:t>
      </w:r>
      <w:r w:rsidR="00DE13BD" w:rsidRPr="6C1A379E">
        <w:rPr>
          <w:lang w:val="et-EE"/>
        </w:rPr>
        <w:lastRenderedPageBreak/>
        <w:t>pT3, 0-3 aksillaarse lümfisõlme metastaasiga, M0 kaugmetastaaside staatusega patsiendi edasise adjuvantse keemiaravi ravivajaduse otsustamiseks.</w:t>
      </w:r>
    </w:p>
    <w:p w14:paraId="61D61CBE" w14:textId="77777777" w:rsidR="005A4768" w:rsidRPr="00687DE8" w:rsidRDefault="005A4768" w:rsidP="00976487">
      <w:pPr>
        <w:pStyle w:val="Vahedeta"/>
        <w:jc w:val="both"/>
        <w:divId w:val="1316184749"/>
        <w:rPr>
          <w:szCs w:val="24"/>
          <w:lang w:val="et-EE"/>
        </w:rPr>
      </w:pPr>
    </w:p>
    <w:p w14:paraId="4B63EF02" w14:textId="12D52241" w:rsidR="00786D0E" w:rsidRDefault="005A4768" w:rsidP="00786D0E">
      <w:pPr>
        <w:pStyle w:val="Vahedeta"/>
        <w:jc w:val="both"/>
        <w:divId w:val="1316184749"/>
        <w:rPr>
          <w:lang w:val="et-EE"/>
        </w:rPr>
      </w:pPr>
      <w:r w:rsidRPr="6C1A379E">
        <w:rPr>
          <w:lang w:val="et-EE"/>
        </w:rPr>
        <w:t>(</w:t>
      </w:r>
      <w:r w:rsidR="00EF12E5" w:rsidRPr="6C1A379E">
        <w:rPr>
          <w:lang w:val="et-EE"/>
        </w:rPr>
        <w:t>1</w:t>
      </w:r>
      <w:r w:rsidR="1FEFCE4E" w:rsidRPr="6C1A379E">
        <w:rPr>
          <w:lang w:val="et-EE"/>
        </w:rPr>
        <w:t>1</w:t>
      </w:r>
      <w:r w:rsidRPr="6C1A379E">
        <w:rPr>
          <w:lang w:val="et-EE"/>
        </w:rPr>
        <w:t xml:space="preserve">) Koodiga 66647 tähistatud tervishoiuteenuse piirhinda </w:t>
      </w:r>
      <w:r w:rsidR="00907AEB" w:rsidRPr="6C1A379E">
        <w:rPr>
          <w:lang w:val="et-EE"/>
        </w:rPr>
        <w:t>rakendatakse vastsündinu</w:t>
      </w:r>
      <w:r w:rsidR="00DA3859" w:rsidRPr="6C1A379E">
        <w:rPr>
          <w:lang w:val="et-EE"/>
        </w:rPr>
        <w:t>te</w:t>
      </w:r>
      <w:r w:rsidR="00907AEB" w:rsidRPr="6C1A379E">
        <w:rPr>
          <w:lang w:val="et-EE"/>
        </w:rPr>
        <w:t xml:space="preserve"> </w:t>
      </w:r>
      <w:r w:rsidR="00DA3859" w:rsidRPr="6C1A379E">
        <w:rPr>
          <w:lang w:val="et-EE"/>
        </w:rPr>
        <w:t>skriiningu</w:t>
      </w:r>
      <w:r w:rsidR="002402DF" w:rsidRPr="6C1A379E">
        <w:rPr>
          <w:lang w:val="et-EE"/>
        </w:rPr>
        <w:t>ks</w:t>
      </w:r>
      <w:r w:rsidR="00907AEB" w:rsidRPr="6C1A379E">
        <w:rPr>
          <w:lang w:val="et-EE"/>
        </w:rPr>
        <w:t>.</w:t>
      </w:r>
    </w:p>
    <w:p w14:paraId="0338081A" w14:textId="77777777" w:rsidR="00786D0E" w:rsidRDefault="00786D0E" w:rsidP="00786D0E">
      <w:pPr>
        <w:pStyle w:val="Vahedeta"/>
        <w:jc w:val="both"/>
        <w:divId w:val="1316184749"/>
        <w:rPr>
          <w:szCs w:val="24"/>
          <w:lang w:val="et-EE"/>
        </w:rPr>
      </w:pPr>
    </w:p>
    <w:p w14:paraId="6B006DF6" w14:textId="158FE398" w:rsidR="00786D0E" w:rsidRDefault="00323525" w:rsidP="00786D0E">
      <w:pPr>
        <w:pStyle w:val="Vahedeta"/>
        <w:jc w:val="both"/>
        <w:divId w:val="1316184749"/>
        <w:rPr>
          <w:lang w:val="et-EE"/>
        </w:rPr>
      </w:pPr>
      <w:r w:rsidRPr="001E3BAC">
        <w:rPr>
          <w:lang w:val="et-EE"/>
        </w:rPr>
        <w:t>(1</w:t>
      </w:r>
      <w:r w:rsidR="6B3560E6" w:rsidRPr="6C1A379E">
        <w:rPr>
          <w:lang w:val="et-EE"/>
        </w:rPr>
        <w:t>2</w:t>
      </w:r>
      <w:r w:rsidRPr="001E3BAC">
        <w:rPr>
          <w:lang w:val="et-EE"/>
        </w:rPr>
        <w:t>) Tervisekassa võtab koodiga 666</w:t>
      </w:r>
      <w:r w:rsidR="003A14F4" w:rsidRPr="001E3BAC">
        <w:rPr>
          <w:lang w:val="et-EE"/>
        </w:rPr>
        <w:t>50</w:t>
      </w:r>
      <w:r w:rsidRPr="001E3BAC">
        <w:rPr>
          <w:lang w:val="et-EE"/>
        </w:rPr>
        <w:t xml:space="preserve"> tähistatud tervishoiuteenuse eest tasu maksmise kohustuse üle</w:t>
      </w:r>
      <w:r w:rsidR="00875B07" w:rsidRPr="001E3BAC">
        <w:rPr>
          <w:lang w:val="et-EE"/>
        </w:rPr>
        <w:t xml:space="preserve"> juhul</w:t>
      </w:r>
      <w:r w:rsidR="00F12B66" w:rsidRPr="001E3BAC">
        <w:rPr>
          <w:lang w:val="et-EE"/>
        </w:rPr>
        <w:t xml:space="preserve">, kui seda osutab </w:t>
      </w:r>
      <w:r w:rsidR="00CC1679" w:rsidRPr="00CC1679">
        <w:rPr>
          <w:lang w:val="et-EE"/>
        </w:rPr>
        <w:t xml:space="preserve">kodutesti tellimiskeskkonda kasutav emakakaelavähi sõeluuringu </w:t>
      </w:r>
      <w:r w:rsidR="000F2434">
        <w:rPr>
          <w:lang w:val="et-EE"/>
        </w:rPr>
        <w:t>tegija</w:t>
      </w:r>
      <w:r w:rsidR="007E1703" w:rsidRPr="003E6C42">
        <w:rPr>
          <w:lang w:val="et-EE"/>
        </w:rPr>
        <w:t xml:space="preserve"> </w:t>
      </w:r>
      <w:r w:rsidR="00E31F11" w:rsidRPr="001E3BAC">
        <w:rPr>
          <w:lang w:val="et-EE"/>
        </w:rPr>
        <w:t>vastavalt ravi rahastamise lepingus kokku lepitud tingimustel</w:t>
      </w:r>
      <w:r w:rsidR="00C3485C">
        <w:rPr>
          <w:lang w:val="et-EE"/>
        </w:rPr>
        <w:t>e</w:t>
      </w:r>
      <w:r w:rsidR="006F3F35" w:rsidRPr="001E3BAC">
        <w:rPr>
          <w:lang w:val="et-EE"/>
        </w:rPr>
        <w:t>.</w:t>
      </w:r>
    </w:p>
    <w:p w14:paraId="194EBF0D" w14:textId="77777777" w:rsidR="008F0F0F" w:rsidRDefault="008F0F0F" w:rsidP="00786D0E">
      <w:pPr>
        <w:pStyle w:val="Vahedeta"/>
        <w:jc w:val="both"/>
        <w:divId w:val="1316184749"/>
        <w:rPr>
          <w:lang w:val="et-EE"/>
        </w:rPr>
      </w:pPr>
    </w:p>
    <w:p w14:paraId="10ED9C1B" w14:textId="42430BB9" w:rsidR="00D86E39" w:rsidRDefault="008F0F0F" w:rsidP="007C054E">
      <w:pPr>
        <w:pStyle w:val="Vahedeta"/>
        <w:jc w:val="both"/>
        <w:divId w:val="1316184749"/>
        <w:rPr>
          <w:lang w:val="et-EE"/>
        </w:rPr>
      </w:pPr>
      <w:r>
        <w:rPr>
          <w:lang w:val="et-EE"/>
        </w:rPr>
        <w:t>(</w:t>
      </w:r>
      <w:r w:rsidRPr="6C1A379E">
        <w:rPr>
          <w:lang w:val="et-EE"/>
        </w:rPr>
        <w:t>1</w:t>
      </w:r>
      <w:r w:rsidR="423FFAEF" w:rsidRPr="6C1A379E">
        <w:rPr>
          <w:lang w:val="et-EE"/>
        </w:rPr>
        <w:t>3</w:t>
      </w:r>
      <w:r>
        <w:rPr>
          <w:lang w:val="et-EE"/>
        </w:rPr>
        <w:t>)</w:t>
      </w:r>
      <w:r w:rsidR="002C1CE3">
        <w:rPr>
          <w:lang w:val="et-EE"/>
        </w:rPr>
        <w:t xml:space="preserve"> </w:t>
      </w:r>
      <w:r w:rsidR="002C1CE3" w:rsidRPr="002C1CE3">
        <w:rPr>
          <w:lang w:val="et-EE"/>
        </w:rPr>
        <w:t xml:space="preserve">Tervisekassa võtab koodiga 66618 tähistatud teenuse </w:t>
      </w:r>
      <w:r w:rsidR="00DF7E52">
        <w:rPr>
          <w:lang w:val="et-EE"/>
        </w:rPr>
        <w:t xml:space="preserve">eest </w:t>
      </w:r>
      <w:r w:rsidR="002C1CE3" w:rsidRPr="002C1CE3">
        <w:rPr>
          <w:lang w:val="et-EE"/>
        </w:rPr>
        <w:t xml:space="preserve">tasu maksmise kohustuse üle maksimaalselt kolm korda, kui tegemist on geenide sekveneerimise </w:t>
      </w:r>
      <w:r w:rsidR="4517198A" w:rsidRPr="3514779D">
        <w:rPr>
          <w:lang w:val="et-EE"/>
        </w:rPr>
        <w:t>paneeliga</w:t>
      </w:r>
      <w:r w:rsidR="002C1CE3" w:rsidRPr="002C1CE3">
        <w:rPr>
          <w:lang w:val="et-EE"/>
        </w:rPr>
        <w:t xml:space="preserve"> pärilike haiguste diagnostikaks (sh eksoomi </w:t>
      </w:r>
      <w:r w:rsidR="4517198A" w:rsidRPr="3514779D">
        <w:rPr>
          <w:lang w:val="et-EE"/>
        </w:rPr>
        <w:t>sekveneerimisel põhinevad paneelid).</w:t>
      </w:r>
    </w:p>
    <w:p w14:paraId="36ADFB83" w14:textId="77777777" w:rsidR="00E96709" w:rsidRPr="00D30B8D" w:rsidRDefault="00E96709" w:rsidP="007C054E">
      <w:pPr>
        <w:pStyle w:val="Vahedeta"/>
        <w:jc w:val="both"/>
        <w:divId w:val="1316184749"/>
        <w:rPr>
          <w:lang w:val="et-EE"/>
        </w:rPr>
      </w:pPr>
    </w:p>
    <w:p w14:paraId="164F8634" w14:textId="6375825D" w:rsidR="00D86E39" w:rsidRDefault="00D86E39" w:rsidP="00F13938">
      <w:pPr>
        <w:spacing w:after="0" w:line="240" w:lineRule="auto"/>
        <w:jc w:val="both"/>
        <w:divId w:val="1316184749"/>
        <w:rPr>
          <w:szCs w:val="24"/>
        </w:rPr>
      </w:pPr>
      <w:r w:rsidRPr="00657884">
        <w:rPr>
          <w:szCs w:val="24"/>
        </w:rPr>
        <w:t>(</w:t>
      </w:r>
      <w:r w:rsidR="00C80B5C" w:rsidRPr="00657884">
        <w:rPr>
          <w:szCs w:val="24"/>
        </w:rPr>
        <w:t>1</w:t>
      </w:r>
      <w:r w:rsidR="1242F1F7" w:rsidRPr="00657884">
        <w:rPr>
          <w:szCs w:val="24"/>
        </w:rPr>
        <w:t>4</w:t>
      </w:r>
      <w:r w:rsidRPr="00657884">
        <w:rPr>
          <w:szCs w:val="24"/>
        </w:rPr>
        <w:t xml:space="preserve">) </w:t>
      </w:r>
      <w:r w:rsidRPr="00010697">
        <w:rPr>
          <w:szCs w:val="24"/>
        </w:rPr>
        <w:t xml:space="preserve">Tervisekassa võtab koodiga 66640 tähistatud tervishoiuteenuse eest tasu maksmise kohustuse üle patsiendi ja </w:t>
      </w:r>
      <w:r w:rsidR="2B117762" w:rsidRPr="007C054E">
        <w:rPr>
          <w:szCs w:val="24"/>
        </w:rPr>
        <w:t xml:space="preserve">vajadusel </w:t>
      </w:r>
      <w:r w:rsidRPr="00010697">
        <w:rPr>
          <w:szCs w:val="24"/>
        </w:rPr>
        <w:t xml:space="preserve">tema mõlema vanema või õe või venna genoomi sekveneerimise </w:t>
      </w:r>
      <w:r w:rsidR="2B117762" w:rsidRPr="007C054E">
        <w:rPr>
          <w:szCs w:val="24"/>
        </w:rPr>
        <w:t xml:space="preserve">eest </w:t>
      </w:r>
      <w:r w:rsidRPr="00010697">
        <w:rPr>
          <w:szCs w:val="24"/>
        </w:rPr>
        <w:t xml:space="preserve">ebaselge etioloogiaga </w:t>
      </w:r>
      <w:r w:rsidR="2B117762" w:rsidRPr="007C054E">
        <w:rPr>
          <w:szCs w:val="24"/>
        </w:rPr>
        <w:t>päriliku haiguse või sündroomi</w:t>
      </w:r>
      <w:r w:rsidRPr="00010697">
        <w:rPr>
          <w:szCs w:val="24"/>
        </w:rPr>
        <w:t xml:space="preserve"> diagnoosimiseks</w:t>
      </w:r>
      <w:r w:rsidR="2B117762" w:rsidRPr="007C054E">
        <w:rPr>
          <w:szCs w:val="24"/>
        </w:rPr>
        <w:t xml:space="preserve"> juhul</w:t>
      </w:r>
      <w:r>
        <w:rPr>
          <w:szCs w:val="24"/>
        </w:rPr>
        <w:t>,</w:t>
      </w:r>
      <w:r w:rsidRPr="00657884">
        <w:rPr>
          <w:szCs w:val="24"/>
        </w:rPr>
        <w:t xml:space="preserve"> kui diagnostilise uuringu vajalikkuse otsuse on teinud eksperdikomisjon, </w:t>
      </w:r>
      <w:r w:rsidR="00E43349">
        <w:rPr>
          <w:szCs w:val="24"/>
        </w:rPr>
        <w:t>kuhu</w:t>
      </w:r>
      <w:r w:rsidRPr="00657884">
        <w:rPr>
          <w:szCs w:val="24"/>
        </w:rPr>
        <w:t xml:space="preserve"> kuuluvad vähemalt raviarst ja meditsiinigeneetik. </w:t>
      </w:r>
    </w:p>
    <w:p w14:paraId="597EFE68" w14:textId="77777777" w:rsidR="00AD1549" w:rsidRPr="007C054E" w:rsidRDefault="00AD1549" w:rsidP="00F13938">
      <w:pPr>
        <w:spacing w:after="0" w:line="240" w:lineRule="auto"/>
        <w:jc w:val="both"/>
        <w:divId w:val="1316184749"/>
        <w:rPr>
          <w:szCs w:val="24"/>
        </w:rPr>
      </w:pPr>
    </w:p>
    <w:p w14:paraId="243E59F7" w14:textId="15A24B37" w:rsidR="00D86E39" w:rsidRPr="007412EF" w:rsidRDefault="652B8D4C" w:rsidP="00F13938">
      <w:pPr>
        <w:spacing w:after="0" w:line="240" w:lineRule="auto"/>
        <w:jc w:val="both"/>
        <w:divId w:val="1316184749"/>
        <w:rPr>
          <w:rFonts w:eastAsia="Calibri"/>
        </w:rPr>
      </w:pPr>
      <w:r w:rsidRPr="007C054E">
        <w:t xml:space="preserve">(15) </w:t>
      </w:r>
      <w:r w:rsidR="00D86E39">
        <w:t xml:space="preserve">Koodi 66640 rakendatakse </w:t>
      </w:r>
      <w:r w:rsidR="007F5DF6">
        <w:t xml:space="preserve">uuritava </w:t>
      </w:r>
      <w:r w:rsidR="2B117762" w:rsidRPr="007C054E">
        <w:rPr>
          <w:rFonts w:eastAsia="Calibri"/>
        </w:rPr>
        <w:t xml:space="preserve">patsiendi </w:t>
      </w:r>
      <w:r w:rsidR="00CD2FA0">
        <w:rPr>
          <w:rFonts w:eastAsia="Calibri"/>
        </w:rPr>
        <w:t>eluajal</w:t>
      </w:r>
      <w:r w:rsidR="00D86E39">
        <w:t xml:space="preserve"> maksimaalselt kolm korda</w:t>
      </w:r>
      <w:r w:rsidR="005A1654">
        <w:t xml:space="preserve">, arvestades lõikes 14 </w:t>
      </w:r>
      <w:r w:rsidR="00893DE8">
        <w:t>sätestatud</w:t>
      </w:r>
      <w:r w:rsidR="00C4152F">
        <w:t xml:space="preserve"> tingimus</w:t>
      </w:r>
      <w:r w:rsidR="7DBCA87D">
        <w:t>t</w:t>
      </w:r>
      <w:r w:rsidR="00C4152F">
        <w:t>,</w:t>
      </w:r>
      <w:r w:rsidR="2B117762" w:rsidRPr="007C054E">
        <w:rPr>
          <w:rFonts w:eastAsia="Calibri"/>
        </w:rPr>
        <w:t xml:space="preserve"> ning tervishoiuteenuse osutamisel</w:t>
      </w:r>
      <w:r w:rsidR="00D86E39">
        <w:t xml:space="preserve"> tekkinud genoomi sekveneerimise täielikku taaskasutamist </w:t>
      </w:r>
      <w:r w:rsidR="2B117762" w:rsidRPr="007C054E">
        <w:rPr>
          <w:rFonts w:eastAsia="Calibri"/>
        </w:rPr>
        <w:t>võimaldavad isikupõhised toorandmed säilitakse teenust osutanud asutuses</w:t>
      </w:r>
      <w:r w:rsidR="00D86E39">
        <w:t xml:space="preserve"> 30 aastat või need on edastatud tervise infosüsteemi</w:t>
      </w:r>
      <w:r w:rsidR="2B117762" w:rsidRPr="007C054E">
        <w:rPr>
          <w:rFonts w:eastAsia="Calibri"/>
        </w:rPr>
        <w:t xml:space="preserve">. </w:t>
      </w:r>
    </w:p>
    <w:p w14:paraId="15328872" w14:textId="77777777" w:rsidR="00F13938" w:rsidRDefault="00F13938" w:rsidP="00F13938">
      <w:pPr>
        <w:spacing w:after="0" w:line="240" w:lineRule="auto"/>
        <w:jc w:val="both"/>
        <w:divId w:val="1316184749"/>
        <w:rPr>
          <w:szCs w:val="24"/>
        </w:rPr>
      </w:pPr>
    </w:p>
    <w:p w14:paraId="0ED6796E" w14:textId="702B07D4" w:rsidR="00D86E39" w:rsidRPr="00657884" w:rsidRDefault="3E4135D1" w:rsidP="00F13938">
      <w:pPr>
        <w:spacing w:after="0" w:line="240" w:lineRule="auto"/>
        <w:jc w:val="both"/>
        <w:divId w:val="1316184749"/>
        <w:rPr>
          <w:szCs w:val="24"/>
        </w:rPr>
      </w:pPr>
      <w:r w:rsidRPr="00657884">
        <w:rPr>
          <w:szCs w:val="24"/>
        </w:rPr>
        <w:t xml:space="preserve">(16) </w:t>
      </w:r>
      <w:r w:rsidR="00D86E39" w:rsidRPr="00657884">
        <w:rPr>
          <w:szCs w:val="24"/>
        </w:rPr>
        <w:t>Tervisekassa võtab koodiga 66640 tähistatud tervishoiuteenuse eest tasu maksmise kohustuse üle</w:t>
      </w:r>
      <w:r w:rsidR="00D2656A">
        <w:rPr>
          <w:szCs w:val="24"/>
        </w:rPr>
        <w:t xml:space="preserve"> juhul</w:t>
      </w:r>
      <w:r w:rsidR="00D86E39" w:rsidRPr="00657884">
        <w:rPr>
          <w:szCs w:val="24"/>
        </w:rPr>
        <w:t>, kui teenust osutab genoomi sekveneerimise metoodikale akrediteeritud labor.</w:t>
      </w:r>
    </w:p>
    <w:p w14:paraId="20944ACB" w14:textId="77777777" w:rsidR="00976487" w:rsidRPr="00687DE8" w:rsidRDefault="00976487" w:rsidP="00F13938">
      <w:pPr>
        <w:pStyle w:val="Vahedeta"/>
        <w:jc w:val="both"/>
        <w:divId w:val="1316184749"/>
        <w:rPr>
          <w:rStyle w:val="Tugev"/>
          <w:b w:val="0"/>
          <w:bCs w:val="0"/>
          <w:szCs w:val="24"/>
          <w:lang w:val="et-EE"/>
        </w:rPr>
      </w:pPr>
    </w:p>
    <w:p w14:paraId="74060783" w14:textId="77777777" w:rsidR="00976487" w:rsidRDefault="5C52CFD9" w:rsidP="5C52CFD9">
      <w:pPr>
        <w:pStyle w:val="Vahedeta"/>
        <w:jc w:val="both"/>
        <w:divId w:val="1316184749"/>
        <w:rPr>
          <w:b/>
          <w:szCs w:val="24"/>
          <w:lang w:val="et-EE"/>
        </w:rPr>
      </w:pPr>
      <w:r w:rsidRPr="00687DE8">
        <w:rPr>
          <w:rStyle w:val="Tugev"/>
          <w:szCs w:val="24"/>
          <w:lang w:val="et-EE"/>
        </w:rPr>
        <w:t>§ 73.</w:t>
      </w:r>
      <w:r w:rsidRPr="00687DE8">
        <w:rPr>
          <w:b/>
          <w:szCs w:val="24"/>
          <w:lang w:val="et-EE"/>
        </w:rPr>
        <w:t> Immuunuuringute piirhinnad</w:t>
      </w:r>
    </w:p>
    <w:p w14:paraId="279160B9" w14:textId="77777777" w:rsidR="00422EA4" w:rsidRDefault="00422EA4" w:rsidP="00976487">
      <w:pPr>
        <w:pStyle w:val="Vahedeta"/>
        <w:jc w:val="both"/>
        <w:divId w:val="1316184749"/>
        <w:rPr>
          <w:szCs w:val="24"/>
          <w:lang w:val="et-EE"/>
        </w:rPr>
      </w:pPr>
    </w:p>
    <w:p w14:paraId="265B2E84" w14:textId="14309A05" w:rsidR="00976487" w:rsidRPr="00687DE8" w:rsidRDefault="00976487" w:rsidP="00976487">
      <w:pPr>
        <w:pStyle w:val="Vahedeta"/>
        <w:jc w:val="both"/>
        <w:divId w:val="1316184749"/>
        <w:rPr>
          <w:szCs w:val="24"/>
          <w:lang w:val="et-EE"/>
        </w:rPr>
      </w:pPr>
      <w:r w:rsidRPr="00687DE8">
        <w:rPr>
          <w:szCs w:val="24"/>
          <w:lang w:val="et-EE"/>
        </w:rPr>
        <w:t>(1) Immuunuuringute piirhinnad on järgmised:</w:t>
      </w:r>
    </w:p>
    <w:p w14:paraId="13145699" w14:textId="77777777" w:rsidR="00976487" w:rsidRPr="00687DE8" w:rsidRDefault="00976487" w:rsidP="00976487">
      <w:pPr>
        <w:pStyle w:val="Normaallaadveeb"/>
        <w:spacing w:before="0" w:after="0" w:afterAutospacing="0"/>
        <w:jc w:val="both"/>
        <w:divId w:val="131618474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7"/>
        <w:gridCol w:w="1048"/>
        <w:gridCol w:w="1350"/>
      </w:tblGrid>
      <w:tr w:rsidR="00976487" w:rsidRPr="00687DE8" w14:paraId="60153286" w14:textId="77777777" w:rsidTr="0077603E">
        <w:trPr>
          <w:divId w:val="1316184749"/>
          <w:tblHeader/>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4ADA7E" w14:textId="77777777" w:rsidR="00976487" w:rsidRPr="00687DE8" w:rsidRDefault="00976487" w:rsidP="00D43FDC">
            <w:pPr>
              <w:pStyle w:val="Normaallaadveeb"/>
              <w:spacing w:before="0" w:after="0" w:afterAutospacing="0"/>
              <w:jc w:val="center"/>
            </w:pPr>
            <w:r w:rsidRPr="00687DE8">
              <w:rPr>
                <w:b/>
                <w:bCs/>
              </w:rPr>
              <w:t>Uuringu nimetus</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CBC02" w14:textId="77777777" w:rsidR="00976487" w:rsidRPr="00687DE8" w:rsidRDefault="00976487" w:rsidP="00D43FDC">
            <w:pPr>
              <w:pStyle w:val="Normaallaadveeb"/>
              <w:spacing w:before="0" w:after="0" w:afterAutospacing="0"/>
              <w:jc w:val="center"/>
            </w:pPr>
            <w:r w:rsidRPr="00687DE8">
              <w:rPr>
                <w:b/>
                <w:bCs/>
              </w:rPr>
              <w:t>Kood</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B58752" w14:textId="77777777" w:rsidR="00976487" w:rsidRPr="00687DE8" w:rsidRDefault="00976487" w:rsidP="00D43FDC">
            <w:pPr>
              <w:pStyle w:val="Normaallaadveeb"/>
              <w:tabs>
                <w:tab w:val="decimal" w:pos="635"/>
              </w:tabs>
              <w:spacing w:before="0" w:after="0" w:afterAutospacing="0"/>
              <w:jc w:val="center"/>
            </w:pPr>
            <w:r w:rsidRPr="00687DE8">
              <w:rPr>
                <w:b/>
                <w:bCs/>
              </w:rPr>
              <w:t>Piirhind</w:t>
            </w:r>
            <w:r w:rsidRPr="00687DE8">
              <w:rPr>
                <w:b/>
              </w:rPr>
              <w:br/>
            </w:r>
            <w:r w:rsidRPr="00687DE8">
              <w:rPr>
                <w:b/>
                <w:bCs/>
              </w:rPr>
              <w:t>eurodes</w:t>
            </w:r>
          </w:p>
        </w:tc>
      </w:tr>
      <w:tr w:rsidR="0041364C" w:rsidRPr="00687DE8" w14:paraId="2CADE654"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402170" w14:textId="77777777" w:rsidR="0041364C" w:rsidRPr="00687DE8" w:rsidRDefault="0041364C" w:rsidP="00D43FDC">
            <w:pPr>
              <w:pStyle w:val="Normaallaadveeb"/>
              <w:spacing w:before="0" w:after="0" w:afterAutospacing="0"/>
            </w:pPr>
            <w:r w:rsidRPr="00687DE8">
              <w:t>Immuunkompleksid. Fagotsütoosi määramine lateksosakestega</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4F8899" w14:textId="77777777" w:rsidR="0041364C" w:rsidRPr="00687DE8" w:rsidRDefault="0041364C" w:rsidP="00D43FDC">
            <w:pPr>
              <w:pStyle w:val="Normaallaadveeb"/>
              <w:spacing w:before="0" w:after="0" w:afterAutospacing="0"/>
              <w:jc w:val="center"/>
            </w:pPr>
            <w:r w:rsidRPr="00687DE8">
              <w:t>66700</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19B5CE" w14:textId="36A9D239" w:rsidR="1D537EF1" w:rsidRPr="00687DE8" w:rsidRDefault="00D52CBA">
            <w:pPr>
              <w:spacing w:after="0"/>
              <w:jc w:val="center"/>
              <w:rPr>
                <w:color w:val="000000" w:themeColor="text1"/>
                <w:szCs w:val="24"/>
              </w:rPr>
            </w:pPr>
            <w:r>
              <w:rPr>
                <w:color w:val="000000"/>
              </w:rPr>
              <w:t>10,19</w:t>
            </w:r>
          </w:p>
        </w:tc>
      </w:tr>
      <w:tr w:rsidR="0041364C" w:rsidRPr="00687DE8" w14:paraId="628C9D2A"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69F331" w14:textId="77777777" w:rsidR="0041364C" w:rsidRPr="00687DE8" w:rsidRDefault="0041364C" w:rsidP="00D43FDC">
            <w:pPr>
              <w:pStyle w:val="Normaallaadveeb"/>
              <w:spacing w:before="0" w:after="0" w:afterAutospacing="0"/>
            </w:pPr>
            <w:r w:rsidRPr="00687DE8">
              <w:t>HLA seroloogiline määramine (üks klass)</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A36E00" w14:textId="77777777" w:rsidR="0041364C" w:rsidRPr="00687DE8" w:rsidRDefault="0041364C" w:rsidP="00D43FDC">
            <w:pPr>
              <w:pStyle w:val="Normaallaadveeb"/>
              <w:spacing w:before="0" w:after="0" w:afterAutospacing="0"/>
              <w:jc w:val="center"/>
            </w:pPr>
            <w:r w:rsidRPr="00687DE8">
              <w:t>66701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C516EB" w14:textId="2BF2B3DE" w:rsidR="1D537EF1" w:rsidRPr="00687DE8" w:rsidRDefault="00D52CBA">
            <w:pPr>
              <w:spacing w:after="0"/>
              <w:jc w:val="center"/>
              <w:rPr>
                <w:color w:val="000000" w:themeColor="text1"/>
                <w:szCs w:val="24"/>
              </w:rPr>
            </w:pPr>
            <w:r>
              <w:rPr>
                <w:color w:val="000000"/>
              </w:rPr>
              <w:t>176,07</w:t>
            </w:r>
          </w:p>
        </w:tc>
      </w:tr>
      <w:tr w:rsidR="0041364C" w:rsidRPr="00687DE8" w14:paraId="46807A54"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763A03" w14:textId="77777777" w:rsidR="0041364C" w:rsidRPr="00687DE8" w:rsidRDefault="0041364C" w:rsidP="00D43FDC">
            <w:pPr>
              <w:pStyle w:val="Normaallaadveeb"/>
              <w:spacing w:before="0" w:after="0" w:afterAutospacing="0"/>
            </w:pPr>
            <w:r w:rsidRPr="00687DE8">
              <w:t>Retsipiendi presensibilisatsioon doonori HLA antigeenide vastu</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9C5232" w14:textId="77777777" w:rsidR="0041364C" w:rsidRPr="00687DE8" w:rsidRDefault="0041364C" w:rsidP="00D43FDC">
            <w:pPr>
              <w:pStyle w:val="Normaallaadveeb"/>
              <w:spacing w:before="0" w:after="0" w:afterAutospacing="0"/>
              <w:jc w:val="center"/>
            </w:pPr>
            <w:r w:rsidRPr="00687DE8">
              <w:t>66702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261563" w14:textId="18EB195A" w:rsidR="1D537EF1" w:rsidRPr="00687DE8" w:rsidRDefault="00D52CBA">
            <w:pPr>
              <w:spacing w:after="0"/>
              <w:jc w:val="center"/>
              <w:rPr>
                <w:color w:val="000000" w:themeColor="text1"/>
                <w:szCs w:val="24"/>
              </w:rPr>
            </w:pPr>
            <w:r>
              <w:rPr>
                <w:color w:val="000000"/>
              </w:rPr>
              <w:t>209,52</w:t>
            </w:r>
          </w:p>
        </w:tc>
      </w:tr>
      <w:tr w:rsidR="0041364C" w:rsidRPr="00687DE8" w14:paraId="5B18133B"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E1C3C7" w14:textId="77777777" w:rsidR="0041364C" w:rsidRPr="00687DE8" w:rsidRDefault="0041364C" w:rsidP="00D43FDC">
            <w:pPr>
              <w:pStyle w:val="Normaallaadveeb"/>
              <w:spacing w:before="0" w:after="0" w:afterAutospacing="0"/>
            </w:pPr>
            <w:r w:rsidRPr="00687DE8">
              <w:rPr>
                <w:i/>
                <w:iCs/>
              </w:rPr>
              <w:t>Cross-match</w:t>
            </w:r>
            <w:r w:rsidRPr="00687DE8">
              <w:t xml:space="preserve"> uuring</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208C45" w14:textId="77777777" w:rsidR="0041364C" w:rsidRPr="00687DE8" w:rsidRDefault="0041364C" w:rsidP="00D43FDC">
            <w:pPr>
              <w:pStyle w:val="Normaallaadveeb"/>
              <w:spacing w:before="0" w:after="0" w:afterAutospacing="0"/>
              <w:jc w:val="center"/>
            </w:pPr>
            <w:r w:rsidRPr="00687DE8">
              <w:t>66703</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052117" w14:textId="0E385309" w:rsidR="1D537EF1" w:rsidRPr="00687DE8" w:rsidRDefault="00D52CBA">
            <w:pPr>
              <w:spacing w:after="0"/>
              <w:jc w:val="center"/>
              <w:rPr>
                <w:color w:val="000000" w:themeColor="text1"/>
                <w:szCs w:val="24"/>
              </w:rPr>
            </w:pPr>
            <w:r>
              <w:rPr>
                <w:color w:val="000000"/>
              </w:rPr>
              <w:t>113,95</w:t>
            </w:r>
          </w:p>
        </w:tc>
      </w:tr>
      <w:tr w:rsidR="0041364C" w:rsidRPr="00687DE8" w14:paraId="6A65599C"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A69414" w14:textId="77777777" w:rsidR="0041364C" w:rsidRPr="00687DE8" w:rsidRDefault="0041364C" w:rsidP="00D43FDC">
            <w:pPr>
              <w:pStyle w:val="Normaallaadveeb"/>
              <w:spacing w:before="0" w:after="0" w:afterAutospacing="0"/>
            </w:pPr>
            <w:r w:rsidRPr="00687DE8">
              <w:t>Lümfotsüütide reaktsioon segakultuuris</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28B8E59" w14:textId="77777777" w:rsidR="0041364C" w:rsidRPr="00687DE8" w:rsidRDefault="0041364C" w:rsidP="00D43FDC">
            <w:pPr>
              <w:pStyle w:val="Normaallaadveeb"/>
              <w:spacing w:before="0" w:after="0" w:afterAutospacing="0"/>
              <w:jc w:val="center"/>
            </w:pPr>
            <w:r w:rsidRPr="00687DE8">
              <w:t>66704</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F9FD44" w14:textId="21D642BC" w:rsidR="1D537EF1" w:rsidRPr="00687DE8" w:rsidRDefault="00D52CBA">
            <w:pPr>
              <w:spacing w:after="0"/>
              <w:jc w:val="center"/>
              <w:rPr>
                <w:color w:val="000000" w:themeColor="text1"/>
                <w:szCs w:val="24"/>
              </w:rPr>
            </w:pPr>
            <w:r>
              <w:rPr>
                <w:color w:val="000000"/>
              </w:rPr>
              <w:t>245,14</w:t>
            </w:r>
          </w:p>
        </w:tc>
      </w:tr>
      <w:tr w:rsidR="0041364C" w:rsidRPr="00687DE8" w14:paraId="672A7174"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2BAD2F" w14:textId="77777777" w:rsidR="0041364C" w:rsidRPr="00687DE8" w:rsidRDefault="0041364C" w:rsidP="00D43FDC">
            <w:pPr>
              <w:pStyle w:val="Normaallaadveeb"/>
              <w:spacing w:before="0" w:after="0" w:afterAutospacing="0"/>
            </w:pPr>
            <w:r w:rsidRPr="00687DE8">
              <w:rPr>
                <w:i/>
                <w:iCs/>
              </w:rPr>
              <w:t>Nitro-blue</w:t>
            </w:r>
            <w:r w:rsidRPr="00687DE8">
              <w:t xml:space="preserve"> analüüs granulotsüütide oksüdatiivse purske määramiseks</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F9FB30D" w14:textId="77777777" w:rsidR="0041364C" w:rsidRPr="00687DE8" w:rsidRDefault="0041364C" w:rsidP="00D43FDC">
            <w:pPr>
              <w:pStyle w:val="Normaallaadveeb"/>
              <w:spacing w:before="0" w:after="0" w:afterAutospacing="0"/>
              <w:jc w:val="center"/>
            </w:pPr>
            <w:r w:rsidRPr="00687DE8">
              <w:t>66705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25C5A9" w14:textId="33CADE32" w:rsidR="1D537EF1" w:rsidRPr="00687DE8" w:rsidRDefault="00D52CBA">
            <w:pPr>
              <w:spacing w:after="0"/>
              <w:jc w:val="center"/>
              <w:rPr>
                <w:color w:val="000000" w:themeColor="text1"/>
                <w:szCs w:val="24"/>
              </w:rPr>
            </w:pPr>
            <w:r>
              <w:rPr>
                <w:color w:val="000000"/>
              </w:rPr>
              <w:t>70,27</w:t>
            </w:r>
          </w:p>
        </w:tc>
      </w:tr>
      <w:tr w:rsidR="0041364C" w:rsidRPr="00687DE8" w14:paraId="788BDDB3"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4F53C4" w14:textId="77777777" w:rsidR="0041364C" w:rsidRPr="00687DE8" w:rsidRDefault="0041364C" w:rsidP="00D43FDC">
            <w:pPr>
              <w:pStyle w:val="Normaallaadveeb"/>
              <w:spacing w:before="0" w:after="0" w:afterAutospacing="0"/>
            </w:pPr>
            <w:r w:rsidRPr="00687DE8">
              <w:t>Sõeluuringud, hormoonuuringud, haigustekitajate uuringud immuunmeetodil*</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84D843C" w14:textId="77777777" w:rsidR="0041364C" w:rsidRPr="00687DE8" w:rsidRDefault="0041364C" w:rsidP="00D43FDC">
            <w:pPr>
              <w:pStyle w:val="Normaallaadveeb"/>
              <w:spacing w:before="0" w:after="0" w:afterAutospacing="0"/>
              <w:jc w:val="center"/>
            </w:pPr>
            <w:r w:rsidRPr="00687DE8">
              <w:t>66706</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8BF5E7" w14:textId="08BAEAFA" w:rsidR="1D537EF1" w:rsidRPr="00687DE8" w:rsidRDefault="00D52CBA">
            <w:pPr>
              <w:spacing w:after="0"/>
              <w:jc w:val="center"/>
              <w:rPr>
                <w:color w:val="000000" w:themeColor="text1"/>
                <w:szCs w:val="24"/>
              </w:rPr>
            </w:pPr>
            <w:r>
              <w:rPr>
                <w:color w:val="000000"/>
              </w:rPr>
              <w:t>8,33</w:t>
            </w:r>
          </w:p>
        </w:tc>
      </w:tr>
      <w:tr w:rsidR="0041364C" w:rsidRPr="00687DE8" w14:paraId="398E4DD0" w14:textId="77777777" w:rsidTr="00EB7A71">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C505C1" w14:textId="77777777" w:rsidR="0041364C" w:rsidRPr="00687DE8" w:rsidRDefault="0041364C" w:rsidP="00D43FDC">
            <w:pPr>
              <w:pStyle w:val="Normaallaadveeb"/>
              <w:spacing w:before="0" w:after="0" w:afterAutospacing="0"/>
            </w:pPr>
            <w:r w:rsidRPr="00687DE8">
              <w:t>Aneemia-, südame-, kasvajamarkerite määramine, haigustekitajate uuringud, antikehade, vitamiinide ja ensüümide määramine immuunmeetodil*</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97A7BFB" w14:textId="77777777" w:rsidR="0041364C" w:rsidRPr="00687DE8" w:rsidRDefault="0041364C" w:rsidP="00D43FDC">
            <w:pPr>
              <w:pStyle w:val="Normaallaadveeb"/>
              <w:spacing w:before="0" w:after="0" w:afterAutospacing="0"/>
              <w:jc w:val="center"/>
            </w:pPr>
            <w:r w:rsidRPr="00687DE8">
              <w:t>66707</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21268D" w14:textId="05D51EE3" w:rsidR="1D537EF1" w:rsidRPr="00687DE8" w:rsidRDefault="00E16382">
            <w:pPr>
              <w:spacing w:after="0"/>
              <w:jc w:val="center"/>
              <w:rPr>
                <w:color w:val="000000" w:themeColor="text1"/>
                <w:szCs w:val="24"/>
              </w:rPr>
            </w:pPr>
            <w:r>
              <w:rPr>
                <w:color w:val="000000"/>
              </w:rPr>
              <w:t>9,21</w:t>
            </w:r>
          </w:p>
        </w:tc>
      </w:tr>
      <w:tr w:rsidR="0041364C" w:rsidRPr="00687DE8" w14:paraId="1B07CE79" w14:textId="77777777" w:rsidTr="00EB7A71">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4C055F" w14:textId="77777777" w:rsidR="0041364C" w:rsidRPr="00687DE8" w:rsidRDefault="0041364C" w:rsidP="00D43FDC">
            <w:pPr>
              <w:pStyle w:val="Normaallaadveeb"/>
              <w:spacing w:before="0" w:after="0" w:afterAutospacing="0"/>
            </w:pPr>
            <w:r w:rsidRPr="00687DE8">
              <w:lastRenderedPageBreak/>
              <w:t>Tsütokiinide, allergeenipaneelide, spetsiifiliste markerite määramine ja haigustekitajate uuringud immuunmeetodil*</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676DB10" w14:textId="77777777" w:rsidR="0041364C" w:rsidRPr="00687DE8" w:rsidRDefault="0041364C" w:rsidP="00D43FDC">
            <w:pPr>
              <w:pStyle w:val="Normaallaadveeb"/>
              <w:spacing w:before="0" w:after="0" w:afterAutospacing="0"/>
              <w:jc w:val="center"/>
            </w:pPr>
            <w:r w:rsidRPr="00687DE8">
              <w:t>66708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C6A45C" w14:textId="5C0EA86E" w:rsidR="1D537EF1" w:rsidRPr="00687DE8" w:rsidRDefault="00E16382">
            <w:pPr>
              <w:spacing w:after="0"/>
              <w:jc w:val="center"/>
              <w:rPr>
                <w:color w:val="000000" w:themeColor="text1"/>
                <w:szCs w:val="24"/>
              </w:rPr>
            </w:pPr>
            <w:r>
              <w:rPr>
                <w:color w:val="000000"/>
              </w:rPr>
              <w:t>12,87</w:t>
            </w:r>
          </w:p>
        </w:tc>
      </w:tr>
      <w:tr w:rsidR="0041364C" w:rsidRPr="00687DE8" w14:paraId="29DFA6B5"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88AF1B" w14:textId="77777777" w:rsidR="0041364C" w:rsidRPr="00687DE8" w:rsidRDefault="0041364C" w:rsidP="00D43FDC">
            <w:pPr>
              <w:pStyle w:val="Normaallaadveeb"/>
              <w:spacing w:before="0" w:after="0" w:afterAutospacing="0"/>
            </w:pPr>
            <w:r w:rsidRPr="00687DE8">
              <w:t>Harvaesinevad ja kinnitavad uuringud, erakorralised analüüsid immuunmeetodil*</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7B26CA9" w14:textId="77777777" w:rsidR="0041364C" w:rsidRPr="00687DE8" w:rsidRDefault="0041364C" w:rsidP="00D43FDC">
            <w:pPr>
              <w:pStyle w:val="Normaallaadveeb"/>
              <w:spacing w:before="0" w:after="0" w:afterAutospacing="0"/>
              <w:jc w:val="center"/>
            </w:pPr>
            <w:r w:rsidRPr="00687DE8">
              <w:t>66709</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32B0B6" w14:textId="3960661E" w:rsidR="1D537EF1" w:rsidRPr="00687DE8" w:rsidRDefault="00E16382">
            <w:pPr>
              <w:spacing w:after="0"/>
              <w:jc w:val="center"/>
              <w:rPr>
                <w:color w:val="000000" w:themeColor="text1"/>
                <w:szCs w:val="24"/>
              </w:rPr>
            </w:pPr>
            <w:r>
              <w:rPr>
                <w:color w:val="000000"/>
              </w:rPr>
              <w:t>28,32</w:t>
            </w:r>
          </w:p>
        </w:tc>
      </w:tr>
      <w:tr w:rsidR="0041364C" w:rsidRPr="00687DE8" w14:paraId="278D97BF"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0B2667" w14:textId="77777777" w:rsidR="0041364C" w:rsidRPr="00687DE8" w:rsidRDefault="0041364C" w:rsidP="00D43FDC">
            <w:pPr>
              <w:pStyle w:val="Normaallaadveeb"/>
              <w:spacing w:before="0" w:after="0" w:afterAutospacing="0"/>
            </w:pPr>
            <w:r w:rsidRPr="00687DE8">
              <w:t>Kiiranalüüs testribaga</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ACCFD2F" w14:textId="77777777" w:rsidR="0041364C" w:rsidRPr="00687DE8" w:rsidRDefault="0041364C" w:rsidP="00D43FDC">
            <w:pPr>
              <w:pStyle w:val="Normaallaadveeb"/>
              <w:spacing w:before="0" w:after="0" w:afterAutospacing="0"/>
              <w:jc w:val="center"/>
            </w:pPr>
            <w:r w:rsidRPr="00687DE8">
              <w:t>66710</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D13F71" w14:textId="423A64CA" w:rsidR="1D537EF1" w:rsidRPr="00687DE8" w:rsidRDefault="00E16382">
            <w:pPr>
              <w:spacing w:after="0"/>
              <w:jc w:val="center"/>
              <w:rPr>
                <w:color w:val="000000" w:themeColor="text1"/>
                <w:szCs w:val="24"/>
              </w:rPr>
            </w:pPr>
            <w:r>
              <w:rPr>
                <w:color w:val="000000"/>
              </w:rPr>
              <w:t>5,84</w:t>
            </w:r>
          </w:p>
        </w:tc>
      </w:tr>
      <w:tr w:rsidR="0041364C" w:rsidRPr="00687DE8" w14:paraId="69D797CF"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033953" w14:textId="77777777" w:rsidR="0041364C" w:rsidRPr="00687DE8" w:rsidRDefault="0041364C" w:rsidP="00D43FDC">
            <w:pPr>
              <w:pStyle w:val="Normaallaadveeb"/>
              <w:spacing w:before="0" w:after="0" w:afterAutospacing="0"/>
            </w:pPr>
            <w:r w:rsidRPr="00687DE8">
              <w:t>Immunofluorestsentsuuring*</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CBB152B" w14:textId="77777777" w:rsidR="0041364C" w:rsidRPr="00687DE8" w:rsidRDefault="0041364C" w:rsidP="00D43FDC">
            <w:pPr>
              <w:pStyle w:val="Normaallaadveeb"/>
              <w:spacing w:before="0" w:after="0" w:afterAutospacing="0"/>
              <w:jc w:val="center"/>
            </w:pPr>
            <w:r w:rsidRPr="00687DE8">
              <w:t>66711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7061DC" w14:textId="553975B2" w:rsidR="1D537EF1" w:rsidRPr="00687DE8" w:rsidRDefault="00E16382">
            <w:pPr>
              <w:spacing w:after="0"/>
              <w:jc w:val="center"/>
              <w:rPr>
                <w:color w:val="000000" w:themeColor="text1"/>
                <w:szCs w:val="24"/>
              </w:rPr>
            </w:pPr>
            <w:r>
              <w:rPr>
                <w:color w:val="000000"/>
              </w:rPr>
              <w:t>26,36</w:t>
            </w:r>
          </w:p>
        </w:tc>
      </w:tr>
      <w:tr w:rsidR="0041364C" w:rsidRPr="00687DE8" w14:paraId="239EBFC1"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E7CC79" w14:textId="77777777" w:rsidR="0041364C" w:rsidRPr="00687DE8" w:rsidRDefault="0041364C" w:rsidP="00D43FDC">
            <w:pPr>
              <w:pStyle w:val="Normaallaadveeb"/>
              <w:spacing w:before="0" w:after="0" w:afterAutospacing="0"/>
            </w:pPr>
            <w:r w:rsidRPr="00687DE8">
              <w:t>Immunofluorestsentsuuring valmisslaididel*</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D9C037D" w14:textId="77777777" w:rsidR="0041364C" w:rsidRPr="00687DE8" w:rsidRDefault="0041364C" w:rsidP="00D43FDC">
            <w:pPr>
              <w:pStyle w:val="Normaallaadveeb"/>
              <w:spacing w:before="0" w:after="0" w:afterAutospacing="0"/>
              <w:jc w:val="center"/>
            </w:pPr>
            <w:r w:rsidRPr="00687DE8">
              <w:t>66712</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54E913" w14:textId="77777777" w:rsidR="004F4DE2" w:rsidRDefault="004F4DE2" w:rsidP="004F4DE2">
            <w:pPr>
              <w:jc w:val="center"/>
              <w:rPr>
                <w:color w:val="000000"/>
              </w:rPr>
            </w:pPr>
            <w:r>
              <w:rPr>
                <w:color w:val="000000"/>
              </w:rPr>
              <w:t>28,56</w:t>
            </w:r>
          </w:p>
          <w:p w14:paraId="13BE0DBD" w14:textId="1864FF1D" w:rsidR="1D537EF1" w:rsidRPr="00687DE8" w:rsidRDefault="1D537EF1">
            <w:pPr>
              <w:spacing w:after="0"/>
              <w:jc w:val="center"/>
              <w:rPr>
                <w:color w:val="000000" w:themeColor="text1"/>
                <w:szCs w:val="24"/>
              </w:rPr>
            </w:pPr>
          </w:p>
        </w:tc>
      </w:tr>
      <w:tr w:rsidR="0041364C" w:rsidRPr="00687DE8" w14:paraId="0A615EA5" w14:textId="77777777" w:rsidTr="00D30B8D">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E449E2" w14:textId="70B539D6" w:rsidR="0041364C" w:rsidRPr="00687DE8" w:rsidRDefault="0041364C" w:rsidP="00D43FDC">
            <w:pPr>
              <w:pStyle w:val="Normaallaadveeb"/>
              <w:spacing w:before="0" w:after="0" w:afterAutospacing="0"/>
            </w:pPr>
            <w:r w:rsidRPr="00687DE8">
              <w:rPr>
                <w:i/>
                <w:iCs/>
              </w:rPr>
              <w:t>Immunoblot</w:t>
            </w:r>
            <w:r w:rsidRPr="00687DE8">
              <w:t>-uuring*</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BF358AA" w14:textId="77777777" w:rsidR="0041364C" w:rsidRPr="00687DE8" w:rsidRDefault="0041364C" w:rsidP="00D43FDC">
            <w:pPr>
              <w:pStyle w:val="Normaallaadveeb"/>
              <w:spacing w:before="0" w:after="0" w:afterAutospacing="0"/>
              <w:jc w:val="center"/>
            </w:pPr>
            <w:r w:rsidRPr="00687DE8">
              <w:t>66714</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A1380F" w14:textId="759BC004" w:rsidR="1D537EF1" w:rsidRPr="00687DE8" w:rsidRDefault="004F4DE2">
            <w:pPr>
              <w:spacing w:after="0"/>
              <w:jc w:val="center"/>
              <w:rPr>
                <w:color w:val="000000" w:themeColor="text1"/>
                <w:szCs w:val="24"/>
              </w:rPr>
            </w:pPr>
            <w:r>
              <w:rPr>
                <w:color w:val="000000"/>
              </w:rPr>
              <w:t>36,53</w:t>
            </w:r>
          </w:p>
        </w:tc>
      </w:tr>
      <w:tr w:rsidR="0041364C" w:rsidRPr="00687DE8" w14:paraId="60847315"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789F55" w14:textId="77777777" w:rsidR="0041364C" w:rsidRPr="00687DE8" w:rsidRDefault="0041364C" w:rsidP="00D43FDC">
            <w:pPr>
              <w:pStyle w:val="Normaallaadveeb"/>
              <w:spacing w:before="0" w:after="0" w:afterAutospacing="0"/>
            </w:pPr>
            <w:r w:rsidRPr="00687DE8">
              <w:t xml:space="preserve">Kompleksne </w:t>
            </w:r>
            <w:r w:rsidRPr="00687DE8">
              <w:rPr>
                <w:i/>
                <w:iCs/>
              </w:rPr>
              <w:t>immunoblot</w:t>
            </w:r>
            <w:r w:rsidRPr="00687DE8">
              <w:t>-uuring</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3285587C" w14:textId="77777777" w:rsidR="0041364C" w:rsidRPr="00687DE8" w:rsidRDefault="0041364C" w:rsidP="00D43FDC">
            <w:pPr>
              <w:pStyle w:val="Normaallaadveeb"/>
              <w:spacing w:before="0" w:after="0" w:afterAutospacing="0"/>
              <w:jc w:val="center"/>
            </w:pPr>
            <w:r w:rsidRPr="00687DE8">
              <w:t>66715</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846C5F" w14:textId="73225A67" w:rsidR="1D537EF1" w:rsidRPr="00687DE8" w:rsidRDefault="004F4DE2">
            <w:pPr>
              <w:spacing w:after="0"/>
              <w:jc w:val="center"/>
              <w:rPr>
                <w:color w:val="000000" w:themeColor="text1"/>
                <w:szCs w:val="24"/>
              </w:rPr>
            </w:pPr>
            <w:r>
              <w:rPr>
                <w:color w:val="000000"/>
              </w:rPr>
              <w:t>134,06</w:t>
            </w:r>
          </w:p>
        </w:tc>
      </w:tr>
      <w:tr w:rsidR="0041364C" w:rsidRPr="00687DE8" w14:paraId="65B30A1E"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3FC5CB" w14:textId="77777777" w:rsidR="0041364C" w:rsidRPr="00687DE8" w:rsidRDefault="0041364C" w:rsidP="00D43FDC">
            <w:pPr>
              <w:pStyle w:val="Normaallaadveeb"/>
              <w:spacing w:before="0" w:after="0" w:afterAutospacing="0"/>
            </w:pPr>
            <w:r w:rsidRPr="00687DE8">
              <w:t>Spetsiifiliste antikehade kompleksne samastamine</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D93DC6E" w14:textId="77777777" w:rsidR="0041364C" w:rsidRPr="00687DE8" w:rsidRDefault="0041364C" w:rsidP="00D43FDC">
            <w:pPr>
              <w:pStyle w:val="Normaallaadveeb"/>
              <w:spacing w:before="0" w:after="0" w:afterAutospacing="0"/>
              <w:jc w:val="center"/>
            </w:pPr>
            <w:r w:rsidRPr="00687DE8">
              <w:t>66716</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B72489" w14:textId="07F3127D" w:rsidR="1D537EF1" w:rsidRPr="00687DE8" w:rsidRDefault="004F4DE2">
            <w:pPr>
              <w:spacing w:after="0"/>
              <w:jc w:val="center"/>
              <w:rPr>
                <w:color w:val="000000" w:themeColor="text1"/>
                <w:szCs w:val="24"/>
              </w:rPr>
            </w:pPr>
            <w:r>
              <w:rPr>
                <w:color w:val="000000"/>
              </w:rPr>
              <w:t>46,33</w:t>
            </w:r>
          </w:p>
        </w:tc>
      </w:tr>
      <w:tr w:rsidR="0041364C" w:rsidRPr="00687DE8" w14:paraId="41DD68F1"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980C59" w14:textId="77777777" w:rsidR="0041364C" w:rsidRPr="00687DE8" w:rsidRDefault="0041364C" w:rsidP="00D43FDC">
            <w:pPr>
              <w:pStyle w:val="Normaallaadveeb"/>
              <w:spacing w:before="0" w:after="0" w:afterAutospacing="0"/>
            </w:pPr>
            <w:r w:rsidRPr="00687DE8">
              <w:t>CD34 positiivsete tüvirakkude määramine läbivoolutsütomeetril</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41E77F2" w14:textId="77777777" w:rsidR="0041364C" w:rsidRPr="00687DE8" w:rsidRDefault="0041364C" w:rsidP="00D43FDC">
            <w:pPr>
              <w:pStyle w:val="Normaallaadveeb"/>
              <w:spacing w:before="0" w:after="0" w:afterAutospacing="0"/>
              <w:jc w:val="center"/>
            </w:pPr>
            <w:r w:rsidRPr="00687DE8">
              <w:t>66717</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64837A" w14:textId="1318FCA3" w:rsidR="1D537EF1" w:rsidRPr="00687DE8" w:rsidRDefault="004F4DE2">
            <w:pPr>
              <w:spacing w:after="0"/>
              <w:jc w:val="center"/>
              <w:rPr>
                <w:color w:val="000000" w:themeColor="text1"/>
                <w:szCs w:val="24"/>
              </w:rPr>
            </w:pPr>
            <w:r>
              <w:rPr>
                <w:color w:val="000000"/>
              </w:rPr>
              <w:t>137,14</w:t>
            </w:r>
          </w:p>
        </w:tc>
      </w:tr>
      <w:tr w:rsidR="0041364C" w:rsidRPr="00687DE8" w14:paraId="77ABCED6"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0FC1B6" w14:textId="77777777" w:rsidR="0041364C" w:rsidRPr="00687DE8" w:rsidRDefault="0041364C" w:rsidP="00D43FDC">
            <w:pPr>
              <w:pStyle w:val="Normaallaadveeb"/>
              <w:spacing w:before="0" w:after="0" w:afterAutospacing="0"/>
            </w:pPr>
            <w:r w:rsidRPr="00687DE8">
              <w:t>Analüüs läbivoolutsütomeetril*</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874CFF" w14:textId="77777777" w:rsidR="0041364C" w:rsidRPr="00687DE8" w:rsidRDefault="0041364C" w:rsidP="00D43FDC">
            <w:pPr>
              <w:pStyle w:val="Normaallaadveeb"/>
              <w:spacing w:before="0" w:after="0" w:afterAutospacing="0"/>
              <w:jc w:val="center"/>
            </w:pPr>
            <w:r w:rsidRPr="00687DE8">
              <w:t>66718</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0DD706" w14:textId="40A0A7AC" w:rsidR="1D537EF1" w:rsidRPr="00687DE8" w:rsidRDefault="004F4DE2">
            <w:pPr>
              <w:spacing w:after="0"/>
              <w:jc w:val="center"/>
              <w:rPr>
                <w:color w:val="000000" w:themeColor="text1"/>
                <w:szCs w:val="24"/>
              </w:rPr>
            </w:pPr>
            <w:r>
              <w:rPr>
                <w:color w:val="000000"/>
              </w:rPr>
              <w:t>34,45</w:t>
            </w:r>
          </w:p>
        </w:tc>
      </w:tr>
      <w:tr w:rsidR="0041364C" w:rsidRPr="00687DE8" w14:paraId="3EBD8102"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2ADFC8" w14:textId="77777777" w:rsidR="0041364C" w:rsidRPr="00687DE8" w:rsidRDefault="0041364C" w:rsidP="00D43FDC">
            <w:pPr>
              <w:pStyle w:val="Normaallaadveeb"/>
              <w:spacing w:before="0" w:after="0" w:afterAutospacing="0"/>
            </w:pPr>
            <w:r w:rsidRPr="00687DE8">
              <w:t>HIV1,2 antigeeni ja/või antikehade määramine</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D7AED6" w14:textId="77777777" w:rsidR="0041364C" w:rsidRPr="00687DE8" w:rsidRDefault="0041364C" w:rsidP="00D43FDC">
            <w:pPr>
              <w:pStyle w:val="Normaallaadveeb"/>
              <w:spacing w:before="0" w:after="0" w:afterAutospacing="0"/>
              <w:jc w:val="center"/>
            </w:pPr>
            <w:r w:rsidRPr="00687DE8">
              <w:t>66719</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C88D21" w14:textId="6E4D3CA3" w:rsidR="1D537EF1" w:rsidRPr="00687DE8" w:rsidRDefault="004F4DE2">
            <w:pPr>
              <w:spacing w:after="0"/>
              <w:jc w:val="center"/>
              <w:rPr>
                <w:color w:val="000000" w:themeColor="text1"/>
                <w:szCs w:val="24"/>
              </w:rPr>
            </w:pPr>
            <w:r>
              <w:rPr>
                <w:color w:val="000000"/>
              </w:rPr>
              <w:t>7,10</w:t>
            </w:r>
          </w:p>
        </w:tc>
      </w:tr>
      <w:tr w:rsidR="0041364C" w:rsidRPr="00687DE8" w14:paraId="12D21227"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0AF688" w14:textId="77777777" w:rsidR="0041364C" w:rsidRPr="00687DE8" w:rsidRDefault="0041364C" w:rsidP="00D43FDC">
            <w:pPr>
              <w:pStyle w:val="Normaallaadveeb"/>
              <w:spacing w:before="0" w:after="0" w:afterAutospacing="0"/>
            </w:pPr>
            <w:r w:rsidRPr="00687DE8">
              <w:t>Prokaltsitoniini määramine immuunmeetodil</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A079DA" w14:textId="77777777" w:rsidR="0041364C" w:rsidRPr="00687DE8" w:rsidRDefault="0041364C" w:rsidP="00D43FDC">
            <w:pPr>
              <w:pStyle w:val="Normaallaadveeb"/>
              <w:spacing w:before="0" w:after="0" w:afterAutospacing="0"/>
              <w:jc w:val="center"/>
            </w:pPr>
            <w:r w:rsidRPr="00687DE8">
              <w:t>66720</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17A02D" w14:textId="241C1A2D" w:rsidR="1D537EF1" w:rsidRPr="00687DE8" w:rsidRDefault="004F4DE2">
            <w:pPr>
              <w:spacing w:after="0"/>
              <w:jc w:val="center"/>
              <w:rPr>
                <w:color w:val="000000" w:themeColor="text1"/>
                <w:szCs w:val="24"/>
              </w:rPr>
            </w:pPr>
            <w:r>
              <w:rPr>
                <w:color w:val="000000"/>
              </w:rPr>
              <w:t>26,19</w:t>
            </w:r>
          </w:p>
        </w:tc>
      </w:tr>
      <w:tr w:rsidR="0041364C" w:rsidRPr="00687DE8" w14:paraId="50C9AEAE" w14:textId="77777777" w:rsidTr="0077603E">
        <w:trPr>
          <w:divId w:val="1316184749"/>
          <w:trHeight w:val="300"/>
        </w:trPr>
        <w:tc>
          <w:tcPr>
            <w:tcW w:w="6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0F2CE0" w14:textId="77777777" w:rsidR="0041364C" w:rsidRPr="00687DE8" w:rsidRDefault="0041364C" w:rsidP="00D43FDC">
            <w:pPr>
              <w:pStyle w:val="Normaallaadveeb"/>
              <w:spacing w:before="0" w:after="0" w:afterAutospacing="0"/>
            </w:pPr>
            <w:r w:rsidRPr="00687DE8">
              <w:t>Prostataspetsiifilise antigeeni määramine</w:t>
            </w:r>
          </w:p>
        </w:tc>
        <w:tc>
          <w:tcPr>
            <w:tcW w:w="10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394487" w14:textId="77777777" w:rsidR="0041364C" w:rsidRPr="00687DE8" w:rsidRDefault="0041364C" w:rsidP="00D43FDC">
            <w:pPr>
              <w:pStyle w:val="Normaallaadveeb"/>
              <w:spacing w:before="0" w:after="0" w:afterAutospacing="0"/>
              <w:jc w:val="center"/>
            </w:pPr>
            <w:r w:rsidRPr="00687DE8">
              <w:t>66721</w:t>
            </w:r>
          </w:p>
        </w:tc>
        <w:tc>
          <w:tcPr>
            <w:tcW w:w="135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3263369C" w14:textId="6524E59F" w:rsidR="1D537EF1" w:rsidRPr="00687DE8" w:rsidRDefault="004F4DE2">
            <w:pPr>
              <w:spacing w:after="0"/>
              <w:jc w:val="center"/>
              <w:rPr>
                <w:color w:val="000000" w:themeColor="text1"/>
                <w:szCs w:val="24"/>
              </w:rPr>
            </w:pPr>
            <w:r>
              <w:rPr>
                <w:color w:val="000000"/>
              </w:rPr>
              <w:t>9,21</w:t>
            </w:r>
          </w:p>
        </w:tc>
      </w:tr>
    </w:tbl>
    <w:p w14:paraId="643F354B" w14:textId="77777777" w:rsidR="00976487" w:rsidRPr="00687DE8" w:rsidRDefault="00976487" w:rsidP="00976487">
      <w:pPr>
        <w:pStyle w:val="Normaallaadveeb"/>
        <w:spacing w:before="0" w:after="0" w:afterAutospacing="0"/>
        <w:jc w:val="both"/>
        <w:divId w:val="1316184749"/>
      </w:pPr>
    </w:p>
    <w:p w14:paraId="67EC6BF0" w14:textId="62B9ED35" w:rsidR="00976487" w:rsidRPr="00687DE8" w:rsidRDefault="00976487" w:rsidP="00976487">
      <w:pPr>
        <w:pStyle w:val="Normaallaadveeb"/>
        <w:spacing w:before="0" w:after="0" w:afterAutospacing="0"/>
        <w:jc w:val="both"/>
        <w:divId w:val="1316184749"/>
      </w:pPr>
      <w:r w:rsidRPr="00687DE8">
        <w:t>(2) Koodiga 66706 tähistatud uuring sisaldab järgmiste analüütide määramist: AFP, hCG, HBsAg, HCV, AKTH, kortisool, androstendioon, FSH, LH, progesteroon, prolaktiin, E2, uE3, DHEAS, testosteroon, f-beeta-hCG, PAPP-A, STH, C-peptiid, insuliin, TSH, T3, FT3, T4, FT4, PTH, üld-IgE,</w:t>
      </w:r>
      <w:r w:rsidR="001060C7" w:rsidRPr="00687DE8">
        <w:t xml:space="preserve"> </w:t>
      </w:r>
      <w:r w:rsidRPr="00687DE8">
        <w:rPr>
          <w:i/>
          <w:iCs/>
        </w:rPr>
        <w:t>Chlamydia</w:t>
      </w:r>
      <w:r w:rsidRPr="00687DE8">
        <w:t>,</w:t>
      </w:r>
      <w:r w:rsidR="001060C7" w:rsidRPr="00687DE8">
        <w:t xml:space="preserve"> </w:t>
      </w:r>
      <w:r w:rsidRPr="00687DE8">
        <w:rPr>
          <w:i/>
          <w:iCs/>
        </w:rPr>
        <w:t>Mycoplasma</w:t>
      </w:r>
      <w:r w:rsidRPr="00687DE8">
        <w:t>,</w:t>
      </w:r>
      <w:r w:rsidR="001060C7" w:rsidRPr="00687DE8">
        <w:t xml:space="preserve"> </w:t>
      </w:r>
      <w:r w:rsidRPr="00687DE8">
        <w:rPr>
          <w:i/>
          <w:iCs/>
        </w:rPr>
        <w:t>Bordetella</w:t>
      </w:r>
      <w:r w:rsidRPr="00687DE8">
        <w:t>, EBV, astroviirus, noroviirus, respiratoorsed viirused, enteroviiruste grupid.</w:t>
      </w:r>
    </w:p>
    <w:p w14:paraId="73F5D364" w14:textId="77777777" w:rsidR="00976487" w:rsidRPr="00687DE8" w:rsidRDefault="00976487" w:rsidP="00976487">
      <w:pPr>
        <w:pStyle w:val="Normaallaadveeb"/>
        <w:spacing w:before="0" w:after="0" w:afterAutospacing="0"/>
        <w:jc w:val="both"/>
        <w:divId w:val="1316184749"/>
      </w:pPr>
    </w:p>
    <w:p w14:paraId="38BB912C" w14:textId="7D56B432" w:rsidR="00976487" w:rsidRPr="00687DE8" w:rsidRDefault="00976487" w:rsidP="00976487">
      <w:pPr>
        <w:pStyle w:val="Normaallaadveeb"/>
        <w:spacing w:before="0" w:after="0" w:afterAutospacing="0"/>
        <w:jc w:val="both"/>
        <w:divId w:val="1316184749"/>
      </w:pPr>
      <w:r w:rsidRPr="00687DE8">
        <w:t>(3) Koodiga 66707 tähistatud uuring sisaldab järgmiste analüütide määramist: ferritiin, foolhape (ka erütrotsüütides), vitamiin B12, EPO, CEA, CA-125, CA15-3, CA19-9, CA72-4, beeta2-mikroglobuliin, PAP, türeoglobuliin, kaltsitoniin, TPOAb, TGAb, TRAb, insuliinivastased antikehad, 21-hüdroksülaasi antikehad, inhibiinid, aktiviinid, insuliinisarnased kasvufaktorid, kandjavalgud, SHBG, TBG, troponiinid, müoglobiin, CK-MBm, vitamiin D, aldosteroon, reniin, ANA, ENA, aGA, atTG, PDH, Jo-1, glükoproteiinid, immuunkompleksid, ECP, CMV,</w:t>
      </w:r>
      <w:r w:rsidR="001060C7" w:rsidRPr="00687DE8">
        <w:t xml:space="preserve"> </w:t>
      </w:r>
      <w:r w:rsidRPr="00687DE8">
        <w:rPr>
          <w:i/>
          <w:iCs/>
        </w:rPr>
        <w:t>Toxoplasma</w:t>
      </w:r>
      <w:r w:rsidRPr="00687DE8">
        <w:t>,</w:t>
      </w:r>
      <w:r w:rsidR="001060C7" w:rsidRPr="00687DE8">
        <w:t xml:space="preserve"> </w:t>
      </w:r>
      <w:r w:rsidRPr="00687DE8">
        <w:rPr>
          <w:i/>
          <w:iCs/>
        </w:rPr>
        <w:t>Rubella</w:t>
      </w:r>
      <w:r w:rsidRPr="00687DE8">
        <w:t>,</w:t>
      </w:r>
      <w:r w:rsidR="001060C7" w:rsidRPr="00687DE8">
        <w:t xml:space="preserve"> </w:t>
      </w:r>
      <w:r w:rsidRPr="00687DE8">
        <w:rPr>
          <w:i/>
          <w:iCs/>
        </w:rPr>
        <w:t>Helicobacter</w:t>
      </w:r>
      <w:r w:rsidRPr="00687DE8">
        <w:t>,</w:t>
      </w:r>
      <w:r w:rsidR="001060C7" w:rsidRPr="00687DE8">
        <w:t xml:space="preserve"> </w:t>
      </w:r>
      <w:r w:rsidRPr="00687DE8">
        <w:rPr>
          <w:i/>
          <w:iCs/>
        </w:rPr>
        <w:t>Borrelia</w:t>
      </w:r>
      <w:r w:rsidRPr="00687DE8">
        <w:t>, leetriviirus, HSV, HZV, puukentsefaliidiviirus.</w:t>
      </w:r>
    </w:p>
    <w:p w14:paraId="0EBD29EB" w14:textId="77777777" w:rsidR="00976487" w:rsidRPr="00687DE8" w:rsidRDefault="00976487" w:rsidP="00976487">
      <w:pPr>
        <w:pStyle w:val="Normaallaadveeb"/>
        <w:spacing w:before="0" w:after="0" w:afterAutospacing="0"/>
        <w:jc w:val="both"/>
        <w:divId w:val="1316184749"/>
      </w:pPr>
    </w:p>
    <w:p w14:paraId="09FDC330" w14:textId="0D73DC78" w:rsidR="00976487" w:rsidRPr="00687DE8" w:rsidRDefault="00976487" w:rsidP="00976487">
      <w:pPr>
        <w:pStyle w:val="Normaallaadveeb"/>
        <w:spacing w:before="0" w:after="0" w:afterAutospacing="0"/>
        <w:jc w:val="both"/>
        <w:divId w:val="1316184749"/>
      </w:pPr>
      <w:r w:rsidRPr="00687DE8">
        <w:t>(4) Koodiga 66708 tähistatud uuring sisaldab järgmiste analüütide määramist: interleukiinid, TNF-alfa, allergeenide segu, AlaTOP, homotsüsteiin, desoksüpüridinoliin, kasvufaktorid, osteokaltsiin, C-telopeptiidid, PINP, trüptaas, aPT, haigustekitajate markerid (HHV-6, viirushepatiidi markerid [</w:t>
      </w:r>
      <w:r w:rsidR="00DC4841" w:rsidRPr="00687DE8">
        <w:t>välja arvatud</w:t>
      </w:r>
      <w:r w:rsidRPr="00687DE8">
        <w:t> HBsAg],</w:t>
      </w:r>
      <w:r w:rsidR="001060C7" w:rsidRPr="00687DE8">
        <w:t xml:space="preserve"> </w:t>
      </w:r>
      <w:r w:rsidRPr="00687DE8">
        <w:rPr>
          <w:i/>
          <w:iCs/>
        </w:rPr>
        <w:t>Treponema</w:t>
      </w:r>
      <w:r w:rsidRPr="00687DE8">
        <w:t>,</w:t>
      </w:r>
      <w:r w:rsidR="001060C7" w:rsidRPr="00687DE8">
        <w:t xml:space="preserve"> </w:t>
      </w:r>
      <w:r w:rsidRPr="00687DE8">
        <w:rPr>
          <w:i/>
          <w:iCs/>
        </w:rPr>
        <w:t>Legionella</w:t>
      </w:r>
      <w:r w:rsidRPr="00687DE8">
        <w:t>, marutõveviirus, mumpsiviirus,</w:t>
      </w:r>
      <w:r w:rsidR="001060C7" w:rsidRPr="00687DE8">
        <w:t xml:space="preserve"> </w:t>
      </w:r>
      <w:r w:rsidRPr="00687DE8">
        <w:rPr>
          <w:i/>
          <w:iCs/>
        </w:rPr>
        <w:t>Toxocara</w:t>
      </w:r>
      <w:r w:rsidRPr="00687DE8">
        <w:t>, hantaviirus).</w:t>
      </w:r>
    </w:p>
    <w:p w14:paraId="6735BF5C" w14:textId="77777777" w:rsidR="00976487" w:rsidRPr="00687DE8" w:rsidRDefault="00976487" w:rsidP="00976487">
      <w:pPr>
        <w:pStyle w:val="Normaallaadveeb"/>
        <w:spacing w:before="0" w:after="0" w:afterAutospacing="0"/>
        <w:jc w:val="both"/>
        <w:divId w:val="1316184749"/>
      </w:pPr>
    </w:p>
    <w:p w14:paraId="13FB0BBC" w14:textId="77777777" w:rsidR="00976487" w:rsidRPr="00687DE8" w:rsidRDefault="00976487" w:rsidP="008A4048">
      <w:pPr>
        <w:pStyle w:val="Normaallaadveeb"/>
        <w:spacing w:before="0" w:after="0" w:afterAutospacing="0"/>
        <w:jc w:val="both"/>
        <w:divId w:val="1316184749"/>
      </w:pPr>
      <w:r w:rsidRPr="00687DE8">
        <w:t>(5) Koodiga 66709 tähistatud uuring sisaldab järgmiste analüütide määramist: katehhoolamiinid, gastriin, elastaas, enolaas, NMP-22, GBM, HBsAg kinnitav uuring (neutralisatsioonireaktsiooniga), natriureetilised peptiidid.</w:t>
      </w:r>
    </w:p>
    <w:p w14:paraId="20FDE093" w14:textId="77777777" w:rsidR="008A4048" w:rsidRPr="00687DE8" w:rsidRDefault="008A4048" w:rsidP="008A4048">
      <w:pPr>
        <w:pStyle w:val="Normaallaadveeb"/>
        <w:spacing w:before="0" w:after="0" w:afterAutospacing="0"/>
        <w:jc w:val="both"/>
        <w:divId w:val="1316184749"/>
      </w:pPr>
    </w:p>
    <w:p w14:paraId="469D207F" w14:textId="77777777" w:rsidR="008A4048" w:rsidRPr="00687DE8" w:rsidRDefault="008A4048" w:rsidP="008A4048">
      <w:pPr>
        <w:pStyle w:val="Normaallaadveeb"/>
        <w:spacing w:before="0" w:after="0" w:afterAutospacing="0"/>
        <w:jc w:val="both"/>
        <w:divId w:val="1316184749"/>
      </w:pPr>
      <w:r w:rsidRPr="00687DE8">
        <w:t>(6) Koodiga 66721 tähistatud uuring sisaldab järgmiste analüütide määramist: PSA, fPSA.</w:t>
      </w:r>
    </w:p>
    <w:p w14:paraId="14F491B7" w14:textId="77777777" w:rsidR="00976487" w:rsidRPr="00687DE8" w:rsidRDefault="00976487" w:rsidP="00976487">
      <w:pPr>
        <w:pStyle w:val="Pealkiri3"/>
        <w:spacing w:before="0" w:after="0" w:afterAutospacing="0"/>
        <w:jc w:val="both"/>
        <w:divId w:val="1316184749"/>
        <w:rPr>
          <w:rStyle w:val="Tugev"/>
          <w:b/>
          <w:bCs/>
          <w:sz w:val="24"/>
          <w:szCs w:val="24"/>
        </w:rPr>
      </w:pPr>
    </w:p>
    <w:p w14:paraId="0586CA56" w14:textId="77777777" w:rsidR="00976487" w:rsidRDefault="5C52CFD9" w:rsidP="5C52CFD9">
      <w:pPr>
        <w:pStyle w:val="Pealkiri3"/>
        <w:spacing w:before="0" w:after="0" w:afterAutospacing="0"/>
        <w:jc w:val="both"/>
        <w:divId w:val="1316184749"/>
        <w:rPr>
          <w:sz w:val="24"/>
          <w:szCs w:val="24"/>
        </w:rPr>
      </w:pPr>
      <w:r w:rsidRPr="00687DE8">
        <w:rPr>
          <w:rStyle w:val="Tugev"/>
          <w:b/>
          <w:bCs/>
          <w:sz w:val="24"/>
          <w:szCs w:val="24"/>
        </w:rPr>
        <w:lastRenderedPageBreak/>
        <w:t>§ 74.</w:t>
      </w:r>
      <w:r w:rsidRPr="00687DE8">
        <w:rPr>
          <w:sz w:val="24"/>
          <w:szCs w:val="24"/>
        </w:rPr>
        <w:t> Histoloogiliste ja tsütoloogiliste uuringute piirhinnad</w:t>
      </w:r>
    </w:p>
    <w:p w14:paraId="01F3386F" w14:textId="77777777" w:rsidR="00422EA4" w:rsidRDefault="00422EA4" w:rsidP="00976487">
      <w:pPr>
        <w:pStyle w:val="Normaallaadveeb"/>
        <w:spacing w:before="0" w:after="0" w:afterAutospacing="0"/>
        <w:jc w:val="both"/>
        <w:divId w:val="1316184749"/>
      </w:pPr>
    </w:p>
    <w:p w14:paraId="1F0D0934" w14:textId="0F3867CF" w:rsidR="00976487" w:rsidRDefault="00976487" w:rsidP="00976487">
      <w:pPr>
        <w:pStyle w:val="Normaallaadveeb"/>
        <w:spacing w:before="0" w:after="0" w:afterAutospacing="0"/>
        <w:jc w:val="both"/>
        <w:divId w:val="1316184749"/>
      </w:pPr>
      <w:r w:rsidRPr="00687DE8">
        <w:t>(1) Histoloogiliste ja tsütoloogiliste uuringute piirhinnad on järgmised:</w:t>
      </w:r>
    </w:p>
    <w:p w14:paraId="1F97D7C9" w14:textId="77777777" w:rsidR="00F13938" w:rsidRPr="00687DE8" w:rsidRDefault="00F13938" w:rsidP="00976487">
      <w:pPr>
        <w:pStyle w:val="Normaallaadveeb"/>
        <w:spacing w:before="0" w:after="0" w:afterAutospacing="0"/>
        <w:jc w:val="both"/>
        <w:divId w:val="1316184749"/>
      </w:pPr>
    </w:p>
    <w:tbl>
      <w:tblPr>
        <w:tblW w:w="4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134"/>
        <w:gridCol w:w="1154"/>
      </w:tblGrid>
      <w:tr w:rsidR="00D16CE0" w:rsidRPr="00687DE8" w14:paraId="645D89E5"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A5F404" w14:textId="7378BF26" w:rsidR="00D16CE0" w:rsidRPr="00687DE8" w:rsidRDefault="00D16CE0">
            <w:pPr>
              <w:pStyle w:val="Normaallaadveeb"/>
              <w:spacing w:before="0" w:after="0" w:afterAutospacing="0"/>
            </w:pPr>
            <w:r w:rsidRPr="00687DE8">
              <w:rPr>
                <w:b/>
                <w:bCs/>
              </w:rPr>
              <w:t>Uuringu nimetus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8F3544" w14:textId="77777777" w:rsidR="00D16CE0" w:rsidRPr="00687DE8" w:rsidRDefault="00D16CE0">
            <w:pPr>
              <w:pStyle w:val="Normaallaadveeb"/>
              <w:spacing w:before="0" w:after="0" w:afterAutospacing="0"/>
              <w:jc w:val="center"/>
            </w:pPr>
            <w:r w:rsidRPr="00687DE8">
              <w:rPr>
                <w:b/>
                <w:bCs/>
              </w:rPr>
              <w:t>Kood</w:t>
            </w:r>
          </w:p>
        </w:tc>
        <w:tc>
          <w:tcPr>
            <w:tcW w:w="11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FB3642" w14:textId="77777777" w:rsidR="00D16CE0" w:rsidRPr="00687DE8" w:rsidRDefault="00D16CE0">
            <w:pPr>
              <w:pStyle w:val="Normaallaadveeb"/>
              <w:tabs>
                <w:tab w:val="decimal" w:pos="635"/>
              </w:tabs>
              <w:spacing w:before="0" w:after="0" w:afterAutospacing="0"/>
              <w:jc w:val="center"/>
            </w:pPr>
            <w:r w:rsidRPr="00687DE8">
              <w:rPr>
                <w:b/>
                <w:bCs/>
              </w:rPr>
              <w:t>Piirhind</w:t>
            </w:r>
            <w:r w:rsidRPr="00687DE8">
              <w:rPr>
                <w:b/>
              </w:rPr>
              <w:br/>
            </w:r>
            <w:r w:rsidRPr="00687DE8">
              <w:rPr>
                <w:b/>
                <w:bCs/>
              </w:rPr>
              <w:t>eurodes</w:t>
            </w:r>
          </w:p>
        </w:tc>
      </w:tr>
      <w:tr w:rsidR="00D16CE0" w:rsidRPr="00687DE8" w14:paraId="0E211F69"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800336" w14:textId="77777777" w:rsidR="00D16CE0" w:rsidRPr="00693910" w:rsidRDefault="00D16CE0">
            <w:pPr>
              <w:pStyle w:val="Normaallaadveeb"/>
              <w:spacing w:before="0" w:after="0" w:afterAutospacing="0"/>
              <w:rPr>
                <w:color w:val="000000" w:themeColor="text1"/>
              </w:rPr>
            </w:pPr>
            <w:r w:rsidRPr="00693910">
              <w:rPr>
                <w:color w:val="000000" w:themeColor="text1"/>
              </w:rPr>
              <w:t>Hematoksüliin-eosiin värvinguga biopsiamaterjali uuring (üks plokk)</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081379" w14:textId="77777777" w:rsidR="00D16CE0" w:rsidRPr="005F2D61" w:rsidRDefault="00D16CE0">
            <w:pPr>
              <w:pStyle w:val="Normaallaadveeb"/>
              <w:spacing w:before="0" w:after="0" w:afterAutospacing="0"/>
              <w:jc w:val="center"/>
            </w:pPr>
            <w:r w:rsidRPr="00456A0E">
              <w:t>66800</w:t>
            </w:r>
          </w:p>
        </w:tc>
        <w:tc>
          <w:tcPr>
            <w:tcW w:w="11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DFCF50" w14:textId="5389E438" w:rsidR="00D16CE0" w:rsidRPr="00687DE8" w:rsidRDefault="00CB6554" w:rsidP="00D30B8D">
            <w:pPr>
              <w:spacing w:after="0"/>
              <w:jc w:val="center"/>
              <w:rPr>
                <w:color w:val="000000" w:themeColor="text1"/>
                <w:szCs w:val="24"/>
              </w:rPr>
            </w:pPr>
            <w:r>
              <w:rPr>
                <w:color w:val="000000"/>
              </w:rPr>
              <w:t>25,50</w:t>
            </w:r>
          </w:p>
        </w:tc>
      </w:tr>
      <w:tr w:rsidR="00D16CE0" w:rsidRPr="00687DE8" w14:paraId="41936898"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BEAFA0" w14:textId="77777777" w:rsidR="00D16CE0" w:rsidRPr="00693910" w:rsidRDefault="00D16CE0">
            <w:pPr>
              <w:pStyle w:val="Normaallaadveeb"/>
              <w:spacing w:before="0" w:after="0" w:afterAutospacing="0"/>
              <w:rPr>
                <w:color w:val="000000" w:themeColor="text1"/>
              </w:rPr>
            </w:pPr>
            <w:r w:rsidRPr="00693910">
              <w:rPr>
                <w:color w:val="000000" w:themeColor="text1"/>
              </w:rPr>
              <w:t>Hematoksüliin-eosiin värvinguga pahaloomulisuse diferentseeringuga biopsiamaterjali uuring (üks plokk)</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64549B" w14:textId="77777777" w:rsidR="00D16CE0" w:rsidRPr="005F2D61" w:rsidRDefault="00D16CE0">
            <w:pPr>
              <w:pStyle w:val="Normaallaadveeb"/>
              <w:spacing w:before="0" w:after="0" w:afterAutospacing="0"/>
              <w:jc w:val="center"/>
            </w:pPr>
            <w:r w:rsidRPr="00456A0E">
              <w:t>66823</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90EA316" w14:textId="6C0521EA" w:rsidR="00D16CE0" w:rsidRPr="00687DE8" w:rsidRDefault="00CB6554">
            <w:pPr>
              <w:spacing w:after="0"/>
              <w:jc w:val="center"/>
              <w:rPr>
                <w:color w:val="000000" w:themeColor="text1"/>
                <w:szCs w:val="24"/>
              </w:rPr>
            </w:pPr>
            <w:r>
              <w:rPr>
                <w:color w:val="000000"/>
              </w:rPr>
              <w:t>30,74</w:t>
            </w:r>
          </w:p>
        </w:tc>
      </w:tr>
      <w:tr w:rsidR="00D16CE0" w:rsidRPr="00687DE8" w14:paraId="01C0E087"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2074BF" w14:textId="77777777" w:rsidR="00D16CE0" w:rsidRPr="00693910" w:rsidRDefault="00D16CE0">
            <w:pPr>
              <w:pStyle w:val="Normaallaadveeb"/>
              <w:spacing w:before="0" w:after="0" w:afterAutospacing="0"/>
              <w:rPr>
                <w:color w:val="000000" w:themeColor="text1"/>
              </w:rPr>
            </w:pPr>
            <w:r w:rsidRPr="00693910">
              <w:rPr>
                <w:color w:val="000000" w:themeColor="text1"/>
              </w:rPr>
              <w:t>Operatsioonipreparaadi väljalõige koos makropreparaadi ja histoloogilise preparaadi kirjeldava diagnoosiga (üks plokk)</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2BA1F3" w14:textId="77777777" w:rsidR="00D16CE0" w:rsidRPr="005F2D61" w:rsidRDefault="00D16CE0">
            <w:pPr>
              <w:pStyle w:val="Normaallaadveeb"/>
              <w:spacing w:before="0" w:after="0" w:afterAutospacing="0"/>
              <w:jc w:val="center"/>
            </w:pPr>
            <w:r w:rsidRPr="00456A0E">
              <w:t>66801</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3F0A398" w14:textId="1BF30B97" w:rsidR="00D16CE0" w:rsidRPr="00687DE8" w:rsidRDefault="00CB6554">
            <w:pPr>
              <w:spacing w:after="0"/>
              <w:jc w:val="center"/>
              <w:rPr>
                <w:color w:val="000000" w:themeColor="text1"/>
                <w:szCs w:val="24"/>
              </w:rPr>
            </w:pPr>
            <w:r>
              <w:rPr>
                <w:color w:val="000000"/>
              </w:rPr>
              <w:t>22,31</w:t>
            </w:r>
          </w:p>
        </w:tc>
      </w:tr>
      <w:tr w:rsidR="00D16CE0" w:rsidRPr="00687DE8" w14:paraId="078444F1"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725A81" w14:textId="77777777" w:rsidR="00D16CE0" w:rsidRPr="00693910" w:rsidRDefault="00D16CE0">
            <w:pPr>
              <w:pStyle w:val="Normaallaadveeb"/>
              <w:spacing w:before="0" w:after="0" w:afterAutospacing="0"/>
              <w:rPr>
                <w:color w:val="000000" w:themeColor="text1"/>
              </w:rPr>
            </w:pPr>
            <w:r w:rsidRPr="00693910">
              <w:rPr>
                <w:color w:val="000000" w:themeColor="text1"/>
              </w:rPr>
              <w:t>Histoloogilise preparaadi 1 lisavärving (Giemsa, van Gieson) (üks klaas)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07014C" w14:textId="77777777" w:rsidR="00D16CE0" w:rsidRPr="005F2D61" w:rsidRDefault="00D16CE0">
            <w:pPr>
              <w:pStyle w:val="Normaallaadveeb"/>
              <w:spacing w:before="0" w:after="0" w:afterAutospacing="0"/>
              <w:jc w:val="center"/>
            </w:pPr>
            <w:r w:rsidRPr="00456A0E">
              <w:t>66802</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4C9A9CF" w14:textId="561063D0" w:rsidR="00D16CE0" w:rsidRPr="00687DE8" w:rsidRDefault="00CB6554">
            <w:pPr>
              <w:spacing w:after="0"/>
              <w:jc w:val="center"/>
              <w:rPr>
                <w:color w:val="000000" w:themeColor="text1"/>
                <w:szCs w:val="24"/>
              </w:rPr>
            </w:pPr>
            <w:r>
              <w:rPr>
                <w:color w:val="000000"/>
              </w:rPr>
              <w:t>15,37</w:t>
            </w:r>
          </w:p>
        </w:tc>
      </w:tr>
      <w:tr w:rsidR="00D16CE0" w:rsidRPr="00687DE8" w14:paraId="407CD929"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5583C0" w14:textId="77777777" w:rsidR="00D16CE0" w:rsidRPr="00693910" w:rsidRDefault="00D16CE0">
            <w:pPr>
              <w:pStyle w:val="Normaallaadveeb"/>
              <w:spacing w:before="0" w:after="0" w:afterAutospacing="0"/>
              <w:rPr>
                <w:color w:val="000000" w:themeColor="text1"/>
              </w:rPr>
            </w:pPr>
            <w:r w:rsidRPr="00693910">
              <w:rPr>
                <w:color w:val="000000" w:themeColor="text1"/>
              </w:rPr>
              <w:t>Histoloogiline kiiruuring operatsiooni ajal (üks koetükk)</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AC516B" w14:textId="77777777" w:rsidR="00D16CE0" w:rsidRPr="005F2D61" w:rsidRDefault="00D16CE0">
            <w:pPr>
              <w:pStyle w:val="Normaallaadveeb"/>
              <w:spacing w:before="0" w:after="0" w:afterAutospacing="0"/>
              <w:jc w:val="center"/>
            </w:pPr>
            <w:r w:rsidRPr="00456A0E">
              <w:t>66803</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04BC224F" w14:textId="4DD21919" w:rsidR="00D16CE0" w:rsidRPr="00687DE8" w:rsidRDefault="00CB6554">
            <w:pPr>
              <w:spacing w:after="0"/>
              <w:jc w:val="center"/>
              <w:rPr>
                <w:color w:val="000000" w:themeColor="text1"/>
                <w:szCs w:val="24"/>
              </w:rPr>
            </w:pPr>
            <w:r>
              <w:rPr>
                <w:color w:val="000000"/>
              </w:rPr>
              <w:t>25,16</w:t>
            </w:r>
          </w:p>
        </w:tc>
      </w:tr>
      <w:tr w:rsidR="00D16CE0" w:rsidRPr="00687DE8" w14:paraId="0BDD0746"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A3D709" w14:textId="77777777" w:rsidR="00D16CE0" w:rsidRPr="00693910" w:rsidRDefault="00D16CE0">
            <w:pPr>
              <w:pStyle w:val="Normaallaadveeb"/>
              <w:spacing w:before="0" w:after="0" w:afterAutospacing="0"/>
              <w:rPr>
                <w:color w:val="000000" w:themeColor="text1"/>
              </w:rPr>
            </w:pPr>
            <w:r w:rsidRPr="00693910">
              <w:rPr>
                <w:color w:val="000000" w:themeColor="text1"/>
              </w:rPr>
              <w:t>Immunohistokeemiline või -tsütokeemiline uuring ühel koelõigul või tsütoloogilisel preparaadil (üks klaas/värving)</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7D1F46" w14:textId="77777777" w:rsidR="00D16CE0" w:rsidRPr="005F2D61" w:rsidRDefault="00D16CE0">
            <w:pPr>
              <w:pStyle w:val="Normaallaadveeb"/>
              <w:spacing w:before="0" w:after="0" w:afterAutospacing="0"/>
              <w:jc w:val="center"/>
            </w:pPr>
            <w:r w:rsidRPr="00456A0E">
              <w:t>66804</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7325CAAB" w14:textId="1019BB90" w:rsidR="00D16CE0" w:rsidRPr="00687DE8" w:rsidRDefault="00CB6554">
            <w:pPr>
              <w:spacing w:after="0"/>
              <w:jc w:val="center"/>
              <w:rPr>
                <w:color w:val="000000" w:themeColor="text1"/>
                <w:szCs w:val="24"/>
              </w:rPr>
            </w:pPr>
            <w:r>
              <w:rPr>
                <w:color w:val="000000"/>
              </w:rPr>
              <w:t>43,99</w:t>
            </w:r>
          </w:p>
        </w:tc>
      </w:tr>
      <w:tr w:rsidR="00D16CE0" w:rsidRPr="00687DE8" w14:paraId="30567004"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6CB35D" w14:textId="77777777" w:rsidR="00D16CE0" w:rsidRPr="00693910" w:rsidRDefault="00D16CE0">
            <w:pPr>
              <w:pStyle w:val="Normaallaadveeb"/>
              <w:spacing w:before="0" w:after="0" w:afterAutospacing="0"/>
              <w:rPr>
                <w:color w:val="000000" w:themeColor="text1"/>
              </w:rPr>
            </w:pPr>
            <w:r w:rsidRPr="00693910">
              <w:rPr>
                <w:color w:val="000000" w:themeColor="text1"/>
              </w:rPr>
              <w:t>Prediktiivse või/ja prognostilise markeriga immunohistokeemiline või -tsütokeemiline uuring ühel koelõigul või tsütoloogilisel preparaadil (üks klaas/üks värving)</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29D3B3" w14:textId="77777777" w:rsidR="00D16CE0" w:rsidRPr="005F2D61" w:rsidRDefault="00D16CE0">
            <w:pPr>
              <w:pStyle w:val="Normaallaadveeb"/>
              <w:spacing w:before="0" w:after="0" w:afterAutospacing="0"/>
              <w:jc w:val="center"/>
            </w:pPr>
            <w:r w:rsidRPr="00456A0E">
              <w:rPr>
                <w:color w:val="000000" w:themeColor="text1"/>
              </w:rPr>
              <w:t>66834</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299B6CB3" w14:textId="77777777" w:rsidR="00013827" w:rsidRDefault="00013827" w:rsidP="00013827">
            <w:pPr>
              <w:jc w:val="center"/>
              <w:rPr>
                <w:color w:val="000000"/>
              </w:rPr>
            </w:pPr>
            <w:r>
              <w:rPr>
                <w:color w:val="000000"/>
              </w:rPr>
              <w:t>86,16</w:t>
            </w:r>
          </w:p>
          <w:p w14:paraId="51AB367E" w14:textId="463D30DE" w:rsidR="00D16CE0" w:rsidRPr="00687DE8" w:rsidRDefault="00D16CE0">
            <w:pPr>
              <w:spacing w:after="0"/>
              <w:jc w:val="center"/>
              <w:rPr>
                <w:color w:val="000000" w:themeColor="text1"/>
                <w:szCs w:val="24"/>
              </w:rPr>
            </w:pPr>
          </w:p>
        </w:tc>
      </w:tr>
      <w:tr w:rsidR="00D16CE0" w:rsidRPr="00687DE8" w14:paraId="4CDD2E34"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142709" w14:textId="77777777" w:rsidR="00D16CE0" w:rsidRPr="00693910" w:rsidRDefault="00D16CE0">
            <w:pPr>
              <w:pStyle w:val="Normaallaadveeb"/>
              <w:spacing w:before="0" w:after="0" w:afterAutospacing="0"/>
              <w:rPr>
                <w:color w:val="000000" w:themeColor="text1"/>
              </w:rPr>
            </w:pPr>
            <w:r w:rsidRPr="00693910">
              <w:rPr>
                <w:color w:val="000000" w:themeColor="text1"/>
              </w:rPr>
              <w:t>Histo- või tsütokeemiline uuring histoloogilisel koelõigul või tsütoloogilisel preparaadil (üks klaas)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2A7F74" w14:textId="77777777" w:rsidR="00D16CE0" w:rsidRPr="005F2D61" w:rsidRDefault="00D16CE0">
            <w:pPr>
              <w:pStyle w:val="Normaallaadveeb"/>
              <w:spacing w:before="0" w:after="0" w:afterAutospacing="0"/>
              <w:jc w:val="center"/>
            </w:pPr>
            <w:r w:rsidRPr="00456A0E">
              <w:t>66805</w:t>
            </w:r>
          </w:p>
        </w:tc>
        <w:tc>
          <w:tcPr>
            <w:tcW w:w="11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68504B" w14:textId="34889F46" w:rsidR="00D16CE0" w:rsidRPr="00687DE8" w:rsidRDefault="00B51B1C">
            <w:pPr>
              <w:spacing w:after="0"/>
              <w:jc w:val="center"/>
              <w:rPr>
                <w:color w:val="000000" w:themeColor="text1"/>
                <w:szCs w:val="24"/>
              </w:rPr>
            </w:pPr>
            <w:r>
              <w:rPr>
                <w:color w:val="000000"/>
              </w:rPr>
              <w:t>29,50</w:t>
            </w:r>
          </w:p>
        </w:tc>
      </w:tr>
      <w:tr w:rsidR="00D16CE0" w:rsidRPr="00687DE8" w14:paraId="4F0AFDCA"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425C60" w14:textId="77777777" w:rsidR="00D16CE0" w:rsidRPr="00693910" w:rsidRDefault="00D16CE0">
            <w:pPr>
              <w:pStyle w:val="Normaallaadveeb"/>
              <w:spacing w:before="0" w:after="0" w:afterAutospacing="0"/>
              <w:rPr>
                <w:color w:val="000000" w:themeColor="text1"/>
              </w:rPr>
            </w:pPr>
            <w:r w:rsidRPr="00693910">
              <w:rPr>
                <w:i/>
                <w:iCs/>
                <w:color w:val="000000" w:themeColor="text1"/>
              </w:rPr>
              <w:t>In situ</w:t>
            </w:r>
            <w:r w:rsidRPr="00693910">
              <w:rPr>
                <w:color w:val="000000" w:themeColor="text1"/>
              </w:rPr>
              <w:t> hübridiseerimine histoloogilisel või tsütoloogilisel materjalil CISH meetodil (üks klaas)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DEC6C2" w14:textId="77777777" w:rsidR="00D16CE0" w:rsidRPr="005F2D61" w:rsidRDefault="00D16CE0">
            <w:pPr>
              <w:pStyle w:val="Normaallaadveeb"/>
              <w:spacing w:before="0" w:after="0" w:afterAutospacing="0"/>
              <w:jc w:val="center"/>
            </w:pPr>
            <w:r w:rsidRPr="00456A0E">
              <w:t>66806</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57BF24C" w14:textId="7853061C" w:rsidR="00D16CE0" w:rsidRPr="00687DE8" w:rsidRDefault="00B51B1C">
            <w:pPr>
              <w:spacing w:after="0"/>
              <w:jc w:val="center"/>
              <w:rPr>
                <w:color w:val="000000" w:themeColor="text1"/>
                <w:szCs w:val="24"/>
              </w:rPr>
            </w:pPr>
            <w:r>
              <w:rPr>
                <w:color w:val="000000"/>
              </w:rPr>
              <w:t>94,19</w:t>
            </w:r>
          </w:p>
        </w:tc>
      </w:tr>
      <w:tr w:rsidR="00D16CE0" w:rsidRPr="00687DE8" w14:paraId="2FDDE74C"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B7005A" w14:textId="77777777" w:rsidR="00D16CE0" w:rsidRPr="00693910" w:rsidRDefault="00D16CE0">
            <w:pPr>
              <w:pStyle w:val="Normaallaadveeb"/>
              <w:spacing w:before="0" w:after="0" w:afterAutospacing="0"/>
              <w:rPr>
                <w:color w:val="000000" w:themeColor="text1"/>
              </w:rPr>
            </w:pPr>
            <w:r w:rsidRPr="00693910">
              <w:rPr>
                <w:color w:val="000000" w:themeColor="text1"/>
              </w:rPr>
              <w:t>HER2 geeni amplifikatsooni määramine SISH meetodil (üks klaas)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9571F5" w14:textId="77777777" w:rsidR="00D16CE0" w:rsidRPr="005F2D61" w:rsidRDefault="00D16CE0">
            <w:pPr>
              <w:pStyle w:val="Normaallaadveeb"/>
              <w:spacing w:before="0" w:after="0" w:afterAutospacing="0"/>
              <w:jc w:val="center"/>
            </w:pPr>
            <w:r w:rsidRPr="00456A0E">
              <w:t>66837</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641A82F" w14:textId="241E5D87" w:rsidR="00D16CE0" w:rsidRPr="00687DE8" w:rsidRDefault="00B51B1C">
            <w:pPr>
              <w:spacing w:after="0"/>
              <w:jc w:val="center"/>
              <w:rPr>
                <w:color w:val="000000" w:themeColor="text1"/>
                <w:szCs w:val="24"/>
              </w:rPr>
            </w:pPr>
            <w:r>
              <w:rPr>
                <w:color w:val="000000"/>
              </w:rPr>
              <w:t>315,07</w:t>
            </w:r>
          </w:p>
        </w:tc>
      </w:tr>
      <w:tr w:rsidR="00D16CE0" w:rsidRPr="00687DE8" w14:paraId="0FFB86CF"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FF0860" w14:textId="77777777" w:rsidR="00D16CE0" w:rsidRPr="00693910" w:rsidRDefault="00D16CE0">
            <w:pPr>
              <w:pStyle w:val="Normaallaadveeb"/>
              <w:spacing w:before="0" w:after="0" w:afterAutospacing="0"/>
              <w:rPr>
                <w:color w:val="000000" w:themeColor="text1"/>
              </w:rPr>
            </w:pPr>
            <w:r w:rsidRPr="00693910">
              <w:rPr>
                <w:color w:val="000000" w:themeColor="text1"/>
              </w:rPr>
              <w:t>Tsütoloogiline uuring (üks klaas)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F14CCD" w14:textId="77777777" w:rsidR="00D16CE0" w:rsidRPr="005F2D61" w:rsidRDefault="00D16CE0">
            <w:pPr>
              <w:pStyle w:val="Normaallaadveeb"/>
              <w:spacing w:before="0" w:after="0" w:afterAutospacing="0"/>
              <w:jc w:val="center"/>
            </w:pPr>
            <w:r w:rsidRPr="00456A0E">
              <w:t>66810</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C1C2D1C" w14:textId="3BF6D989" w:rsidR="00D16CE0" w:rsidRPr="00687DE8" w:rsidRDefault="00B51B1C">
            <w:pPr>
              <w:spacing w:after="0"/>
              <w:jc w:val="center"/>
              <w:rPr>
                <w:color w:val="000000" w:themeColor="text1"/>
                <w:szCs w:val="24"/>
              </w:rPr>
            </w:pPr>
            <w:r>
              <w:rPr>
                <w:color w:val="000000"/>
              </w:rPr>
              <w:t>13,52</w:t>
            </w:r>
          </w:p>
        </w:tc>
      </w:tr>
      <w:tr w:rsidR="00D16CE0" w:rsidRPr="00687DE8" w14:paraId="700A06F8"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6F5B96" w14:textId="77777777" w:rsidR="00D16CE0" w:rsidRPr="00693910" w:rsidRDefault="00D16CE0">
            <w:pPr>
              <w:pStyle w:val="Normaallaadveeb"/>
              <w:spacing w:before="0" w:after="0" w:afterAutospacing="0"/>
              <w:rPr>
                <w:color w:val="000000" w:themeColor="text1"/>
              </w:rPr>
            </w:pPr>
            <w:r w:rsidRPr="00693910">
              <w:rPr>
                <w:color w:val="000000" w:themeColor="text1"/>
              </w:rPr>
              <w:t>Tsütoloogiline kiiruuring operatsiooni ajal (üks klaas)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195FA9" w14:textId="77777777" w:rsidR="00D16CE0" w:rsidRPr="005F2D61" w:rsidRDefault="00D16CE0">
            <w:pPr>
              <w:pStyle w:val="Normaallaadveeb"/>
              <w:spacing w:before="0" w:after="0" w:afterAutospacing="0"/>
              <w:jc w:val="center"/>
            </w:pPr>
            <w:r w:rsidRPr="00456A0E">
              <w:t>66812</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1E77ABE4" w14:textId="08044047" w:rsidR="00D16CE0" w:rsidRPr="00687DE8" w:rsidRDefault="00B51B1C">
            <w:pPr>
              <w:spacing w:after="0"/>
              <w:jc w:val="center"/>
              <w:rPr>
                <w:color w:val="000000" w:themeColor="text1"/>
                <w:szCs w:val="24"/>
              </w:rPr>
            </w:pPr>
            <w:r>
              <w:rPr>
                <w:color w:val="000000"/>
              </w:rPr>
              <w:t>16,22</w:t>
            </w:r>
          </w:p>
        </w:tc>
      </w:tr>
      <w:tr w:rsidR="00D16CE0" w:rsidRPr="00687DE8" w14:paraId="03796DDF" w14:textId="77777777" w:rsidTr="00EB7A71">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BA3A53" w14:textId="77777777" w:rsidR="00D16CE0" w:rsidRPr="00693910" w:rsidRDefault="00D16CE0">
            <w:pPr>
              <w:pStyle w:val="Normaallaadveeb"/>
              <w:spacing w:before="0" w:after="0" w:afterAutospacing="0"/>
              <w:rPr>
                <w:color w:val="000000" w:themeColor="text1"/>
              </w:rPr>
            </w:pPr>
            <w:r w:rsidRPr="00693910">
              <w:rPr>
                <w:color w:val="000000" w:themeColor="text1"/>
              </w:rPr>
              <w:t>Tsütoploki uuring (üks plokk)</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5C6116" w14:textId="77777777" w:rsidR="00D16CE0" w:rsidRPr="005F2D61" w:rsidRDefault="00D16CE0">
            <w:pPr>
              <w:pStyle w:val="Normaallaadveeb"/>
              <w:spacing w:before="0" w:after="0" w:afterAutospacing="0"/>
              <w:jc w:val="center"/>
            </w:pPr>
            <w:r w:rsidRPr="00456A0E">
              <w:t>66813</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D056826" w14:textId="26229FAA" w:rsidR="00D16CE0" w:rsidRPr="00687DE8" w:rsidRDefault="00B51B1C">
            <w:pPr>
              <w:spacing w:after="0"/>
              <w:jc w:val="center"/>
              <w:rPr>
                <w:color w:val="000000" w:themeColor="text1"/>
                <w:szCs w:val="24"/>
              </w:rPr>
            </w:pPr>
            <w:r>
              <w:rPr>
                <w:color w:val="000000"/>
              </w:rPr>
              <w:t>25,17</w:t>
            </w:r>
          </w:p>
        </w:tc>
      </w:tr>
      <w:tr w:rsidR="00D16CE0" w:rsidRPr="00687DE8" w14:paraId="195BBEC2"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78C56C" w14:textId="77777777" w:rsidR="00D16CE0" w:rsidRPr="00693910" w:rsidRDefault="00D16CE0">
            <w:pPr>
              <w:pStyle w:val="Normaallaadveeb"/>
              <w:spacing w:before="0" w:after="0" w:afterAutospacing="0"/>
              <w:rPr>
                <w:color w:val="000000" w:themeColor="text1"/>
              </w:rPr>
            </w:pPr>
            <w:r w:rsidRPr="00693910">
              <w:rPr>
                <w:color w:val="000000" w:themeColor="text1"/>
              </w:rPr>
              <w:t>Operatsioonipreparaadi väljalõige koos makroploki valmistamise, makropreparaadi ja histoloogilise preparaadi kirjeldava diagnoosiga (üks plokk)</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3AB008" w14:textId="77777777" w:rsidR="00D16CE0" w:rsidRPr="005F2D61" w:rsidRDefault="00D16CE0">
            <w:pPr>
              <w:pStyle w:val="Normaallaadveeb"/>
              <w:spacing w:before="0" w:after="0" w:afterAutospacing="0"/>
              <w:jc w:val="center"/>
            </w:pPr>
            <w:r w:rsidRPr="00456A0E">
              <w:t>66817</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4E7FD6AE" w14:textId="1953F542" w:rsidR="00D16CE0" w:rsidRPr="00687DE8" w:rsidRDefault="00B51B1C">
            <w:pPr>
              <w:spacing w:after="0"/>
              <w:jc w:val="center"/>
              <w:rPr>
                <w:color w:val="000000" w:themeColor="text1"/>
                <w:szCs w:val="24"/>
              </w:rPr>
            </w:pPr>
            <w:r>
              <w:rPr>
                <w:color w:val="000000"/>
              </w:rPr>
              <w:t>113,36</w:t>
            </w:r>
          </w:p>
        </w:tc>
      </w:tr>
      <w:tr w:rsidR="00D16CE0" w:rsidRPr="00687DE8" w14:paraId="255A715C"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B1E161" w14:textId="77777777" w:rsidR="00D16CE0" w:rsidRPr="00693910" w:rsidRDefault="00D16CE0">
            <w:pPr>
              <w:pStyle w:val="Normaallaadveeb"/>
              <w:spacing w:before="0" w:after="0" w:afterAutospacing="0"/>
              <w:rPr>
                <w:color w:val="000000" w:themeColor="text1"/>
              </w:rPr>
            </w:pPr>
            <w:r w:rsidRPr="00693910">
              <w:rPr>
                <w:color w:val="000000" w:themeColor="text1"/>
              </w:rPr>
              <w:t>Bioptaadi elektronmikroskoopiline uuring</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203C54" w14:textId="77777777" w:rsidR="00D16CE0" w:rsidRPr="005F2D61" w:rsidRDefault="00D16CE0">
            <w:pPr>
              <w:pStyle w:val="Normaallaadveeb"/>
              <w:spacing w:before="0" w:after="0" w:afterAutospacing="0"/>
              <w:jc w:val="center"/>
            </w:pPr>
            <w:r w:rsidRPr="00456A0E">
              <w:t>66824</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DB7202E" w14:textId="44F496CE" w:rsidR="00D16CE0" w:rsidRPr="00687DE8" w:rsidRDefault="00B51B1C">
            <w:pPr>
              <w:spacing w:after="0"/>
              <w:jc w:val="center"/>
              <w:rPr>
                <w:color w:val="000000" w:themeColor="text1"/>
                <w:szCs w:val="24"/>
              </w:rPr>
            </w:pPr>
            <w:r>
              <w:rPr>
                <w:color w:val="000000"/>
              </w:rPr>
              <w:t>347,29</w:t>
            </w:r>
          </w:p>
        </w:tc>
      </w:tr>
      <w:tr w:rsidR="00D16CE0" w:rsidRPr="00687DE8" w14:paraId="519204D5" w14:textId="77777777" w:rsidTr="00EB7A71">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BB9896" w14:textId="77777777" w:rsidR="00D16CE0" w:rsidRPr="00693910" w:rsidRDefault="00D16CE0">
            <w:pPr>
              <w:pStyle w:val="Normaallaadveeb"/>
              <w:spacing w:before="0" w:after="0" w:afterAutospacing="0"/>
              <w:rPr>
                <w:color w:val="000000" w:themeColor="text1"/>
              </w:rPr>
            </w:pPr>
            <w:r w:rsidRPr="00693910">
              <w:rPr>
                <w:color w:val="000000" w:themeColor="text1"/>
              </w:rPr>
              <w:t>Biopsiamaterjali immunofluorestsentsuuring (üks klaas)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D974E1" w14:textId="77777777" w:rsidR="00D16CE0" w:rsidRPr="005F2D61" w:rsidRDefault="00D16CE0">
            <w:pPr>
              <w:pStyle w:val="Normaallaadveeb"/>
              <w:spacing w:before="0" w:after="0" w:afterAutospacing="0"/>
              <w:jc w:val="center"/>
            </w:pPr>
            <w:r w:rsidRPr="00456A0E">
              <w:t>66713</w:t>
            </w:r>
          </w:p>
        </w:tc>
        <w:tc>
          <w:tcPr>
            <w:tcW w:w="11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70A591" w14:textId="764A2EA8" w:rsidR="00B51B1C" w:rsidRPr="00D30B8D" w:rsidRDefault="00B51B1C" w:rsidP="00B51B1C">
            <w:pPr>
              <w:jc w:val="center"/>
              <w:rPr>
                <w:color w:val="000000"/>
              </w:rPr>
            </w:pPr>
          </w:p>
          <w:p w14:paraId="4D65B307" w14:textId="1B971F2C" w:rsidR="00D16CE0" w:rsidRPr="00D30B8D" w:rsidRDefault="00B51B1C" w:rsidP="00D30B8D">
            <w:pPr>
              <w:jc w:val="center"/>
              <w:rPr>
                <w:color w:val="000000"/>
              </w:rPr>
            </w:pPr>
            <w:r w:rsidRPr="00B51B1C">
              <w:rPr>
                <w:color w:val="000000"/>
              </w:rPr>
              <w:t>69,66</w:t>
            </w:r>
          </w:p>
        </w:tc>
      </w:tr>
      <w:tr w:rsidR="00D16CE0" w:rsidRPr="00687DE8" w14:paraId="16E0DC47"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D051CB" w14:textId="2140B31C" w:rsidR="00D16CE0" w:rsidRPr="00693910" w:rsidRDefault="00D16CE0">
            <w:pPr>
              <w:pStyle w:val="Normaallaadveeb"/>
              <w:spacing w:before="0" w:after="0" w:afterAutospacing="0"/>
              <w:rPr>
                <w:color w:val="000000" w:themeColor="text1"/>
              </w:rPr>
            </w:pPr>
            <w:r w:rsidRPr="00693910">
              <w:rPr>
                <w:color w:val="000000" w:themeColor="text1"/>
              </w:rPr>
              <w:t>Vedelikupõhine tsütoloogiline uuring (LBC)</w:t>
            </w:r>
            <w:r w:rsidR="00E0777E">
              <w:rPr>
                <w:color w:val="000000" w:themeColor="text1"/>
              </w:rPr>
              <w:t xml:space="preserve"> </w:t>
            </w:r>
            <w:r w:rsidRPr="00693910">
              <w:rPr>
                <w:color w:val="000000" w:themeColor="text1"/>
              </w:rPr>
              <w:t>(üks klaas)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DEC098" w14:textId="77777777" w:rsidR="00D16CE0" w:rsidRPr="005F2D61" w:rsidRDefault="00D16CE0">
            <w:pPr>
              <w:pStyle w:val="Normaallaadveeb"/>
              <w:spacing w:before="0" w:after="0" w:afterAutospacing="0"/>
              <w:jc w:val="center"/>
            </w:pPr>
            <w:r w:rsidRPr="00456A0E">
              <w:rPr>
                <w:color w:val="000000" w:themeColor="text1"/>
              </w:rPr>
              <w:t>66819</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5ED4BBBB" w14:textId="77777777" w:rsidR="00761CF0" w:rsidRDefault="00761CF0" w:rsidP="00761CF0">
            <w:pPr>
              <w:jc w:val="center"/>
              <w:rPr>
                <w:color w:val="000000"/>
              </w:rPr>
            </w:pPr>
            <w:r>
              <w:rPr>
                <w:color w:val="000000"/>
              </w:rPr>
              <w:t>34,63</w:t>
            </w:r>
          </w:p>
          <w:p w14:paraId="378F7DFB" w14:textId="16ECCA5C" w:rsidR="00D16CE0" w:rsidRPr="00D30B8D" w:rsidRDefault="00D16CE0" w:rsidP="00D30B8D">
            <w:pPr>
              <w:jc w:val="center"/>
              <w:rPr>
                <w:color w:val="000000"/>
              </w:rPr>
            </w:pPr>
          </w:p>
        </w:tc>
      </w:tr>
      <w:tr w:rsidR="00D16CE0" w:rsidRPr="00687DE8" w14:paraId="10638D26" w14:textId="77777777" w:rsidTr="00EB7A71">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6F5E51" w14:textId="77777777" w:rsidR="00D16CE0" w:rsidRPr="00693910" w:rsidRDefault="00D16CE0">
            <w:pPr>
              <w:pStyle w:val="Normaallaadveeb"/>
              <w:spacing w:before="0" w:after="0" w:afterAutospacing="0"/>
              <w:rPr>
                <w:color w:val="000000" w:themeColor="text1"/>
              </w:rPr>
            </w:pPr>
            <w:r w:rsidRPr="00693910">
              <w:rPr>
                <w:color w:val="000000" w:themeColor="text1"/>
              </w:rPr>
              <w:lastRenderedPageBreak/>
              <w:t>Vedelikupõhine günekotsütoloogiline uuring (LBC) (üks klaas)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82310E" w14:textId="77777777" w:rsidR="00D16CE0" w:rsidRPr="005F2D61" w:rsidRDefault="00D16CE0">
            <w:pPr>
              <w:pStyle w:val="Normaallaadveeb"/>
              <w:spacing w:before="0" w:after="0" w:afterAutospacing="0"/>
              <w:jc w:val="center"/>
            </w:pPr>
            <w:r w:rsidRPr="00456A0E">
              <w:t>66822</w:t>
            </w:r>
          </w:p>
        </w:tc>
        <w:tc>
          <w:tcPr>
            <w:tcW w:w="11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A0A194" w14:textId="151BF17C" w:rsidR="00D16CE0" w:rsidRPr="00D30B8D" w:rsidRDefault="00552C40" w:rsidP="00D30B8D">
            <w:pPr>
              <w:jc w:val="center"/>
              <w:rPr>
                <w:color w:val="000000"/>
              </w:rPr>
            </w:pPr>
            <w:r>
              <w:rPr>
                <w:color w:val="000000"/>
              </w:rPr>
              <w:t>27,00</w:t>
            </w:r>
          </w:p>
        </w:tc>
      </w:tr>
      <w:tr w:rsidR="00D16CE0" w:rsidRPr="00687DE8" w14:paraId="686DD64E" w14:textId="77777777" w:rsidTr="00EB7A71">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2AB13C" w14:textId="69D31345" w:rsidR="00D16CE0" w:rsidRPr="00693910" w:rsidRDefault="00D16CE0">
            <w:pPr>
              <w:pStyle w:val="Normaallaadveeb"/>
              <w:spacing w:before="0" w:after="0" w:afterAutospacing="0"/>
              <w:rPr>
                <w:color w:val="000000" w:themeColor="text1"/>
              </w:rPr>
            </w:pPr>
            <w:r w:rsidRPr="00693910">
              <w:rPr>
                <w:color w:val="000000" w:themeColor="text1"/>
              </w:rPr>
              <w:t>Vedelikupõhine günekotsütoloogiline uuring HPV/NAT leiu täpsustamiseks emakakaelavähi sõeluuringus (üks klaas)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DE411C" w14:textId="77777777" w:rsidR="00D16CE0" w:rsidRPr="005F2D61" w:rsidRDefault="00D16CE0">
            <w:pPr>
              <w:pStyle w:val="Normaallaadveeb"/>
              <w:spacing w:before="0" w:after="0" w:afterAutospacing="0"/>
              <w:jc w:val="center"/>
            </w:pPr>
            <w:r w:rsidRPr="00456A0E">
              <w:t>66821</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F74A1BE" w14:textId="6C0BCF27" w:rsidR="00D16CE0" w:rsidRPr="00687DE8" w:rsidRDefault="00552C40">
            <w:pPr>
              <w:spacing w:after="0"/>
              <w:jc w:val="center"/>
              <w:rPr>
                <w:color w:val="000000" w:themeColor="text1"/>
                <w:szCs w:val="24"/>
              </w:rPr>
            </w:pPr>
            <w:r>
              <w:rPr>
                <w:color w:val="000000"/>
              </w:rPr>
              <w:t>24,66</w:t>
            </w:r>
          </w:p>
        </w:tc>
      </w:tr>
      <w:tr w:rsidR="00D16CE0" w:rsidRPr="00687DE8" w14:paraId="7011970F" w14:textId="77777777" w:rsidTr="00D30B8D">
        <w:trPr>
          <w:divId w:val="1316184749"/>
          <w:trHeight w:val="567"/>
        </w:trPr>
        <w:tc>
          <w:tcPr>
            <w:tcW w:w="6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C357E9" w14:textId="77777777" w:rsidR="00D16CE0" w:rsidRPr="00687DE8" w:rsidRDefault="00D16CE0">
            <w:pPr>
              <w:pStyle w:val="Normaallaadveeb"/>
              <w:spacing w:before="0" w:after="0" w:afterAutospacing="0"/>
            </w:pPr>
            <w:r w:rsidRPr="00F55256">
              <w:t>Vedelikupõhine günekotsütoloogiline uuring pärast HPV kodutesti emakakaelavähi sõeluuringus (üks klaas)</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9105CDC" w14:textId="5A5146C2" w:rsidR="00D16CE0" w:rsidRPr="005F2D61" w:rsidRDefault="00D16CE0">
            <w:pPr>
              <w:pStyle w:val="Normaallaadveeb"/>
              <w:spacing w:before="0" w:after="0" w:afterAutospacing="0"/>
              <w:jc w:val="center"/>
            </w:pPr>
            <w:r w:rsidRPr="00456A0E">
              <w:t>66820</w:t>
            </w:r>
          </w:p>
        </w:tc>
        <w:tc>
          <w:tcPr>
            <w:tcW w:w="1154"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3C74E3E" w14:textId="1C16F259" w:rsidR="00D16CE0" w:rsidRPr="00687DE8" w:rsidRDefault="00552C40">
            <w:pPr>
              <w:spacing w:after="0"/>
              <w:jc w:val="center"/>
              <w:rPr>
                <w:color w:val="000000" w:themeColor="text1"/>
              </w:rPr>
            </w:pPr>
            <w:r>
              <w:rPr>
                <w:color w:val="000000"/>
              </w:rPr>
              <w:t>27,00</w:t>
            </w:r>
          </w:p>
        </w:tc>
      </w:tr>
    </w:tbl>
    <w:p w14:paraId="7C64C9DE" w14:textId="686E4157" w:rsidR="00176A0E" w:rsidRDefault="00176A0E" w:rsidP="72F670EB">
      <w:pPr>
        <w:pStyle w:val="Normaallaadveeb"/>
        <w:spacing w:before="0" w:after="0" w:afterAutospacing="0"/>
        <w:jc w:val="both"/>
      </w:pPr>
    </w:p>
    <w:p w14:paraId="7FC81025" w14:textId="4CC1AB3A" w:rsidR="00176A0E" w:rsidRDefault="445996DB" w:rsidP="006A5578">
      <w:pPr>
        <w:pStyle w:val="Normaallaadveeb"/>
        <w:spacing w:before="0" w:after="0" w:afterAutospacing="0"/>
        <w:jc w:val="both"/>
        <w:rPr>
          <w:color w:val="000000" w:themeColor="text1"/>
        </w:rPr>
      </w:pPr>
      <w:r w:rsidRPr="007C054E">
        <w:t>(2) Tervisekassa võtab lõikes 1 nimetatud</w:t>
      </w:r>
      <w:r w:rsidRPr="06FC2586" w:rsidDel="002C45AA">
        <w:rPr>
          <w:color w:val="000000" w:themeColor="text1"/>
        </w:rPr>
        <w:t xml:space="preserve"> </w:t>
      </w:r>
      <w:r w:rsidRPr="06FC2586">
        <w:rPr>
          <w:color w:val="000000" w:themeColor="text1"/>
        </w:rPr>
        <w:t>tervishoiuteenuste eest tasu maksmise kohustuse üle vastavalt uuritud ja kirjeldatud plokkide ja/või klaaside arvule</w:t>
      </w:r>
      <w:r w:rsidR="08F6DAA7" w:rsidRPr="06FC2586">
        <w:rPr>
          <w:color w:val="000000" w:themeColor="text1"/>
        </w:rPr>
        <w:t xml:space="preserve"> ja/või värvingute arvule.</w:t>
      </w:r>
    </w:p>
    <w:p w14:paraId="593C4988" w14:textId="77777777" w:rsidR="005F6E66" w:rsidRDefault="005F6E66" w:rsidP="007C054E">
      <w:pPr>
        <w:pStyle w:val="Normaallaadveeb"/>
        <w:spacing w:before="0" w:after="0" w:afterAutospacing="0"/>
        <w:jc w:val="both"/>
        <w:rPr>
          <w:color w:val="000000" w:themeColor="text1"/>
        </w:rPr>
      </w:pPr>
    </w:p>
    <w:p w14:paraId="68505F0A" w14:textId="7AE5D203" w:rsidR="00176A0E" w:rsidRDefault="533D0E74" w:rsidP="006A5578">
      <w:pPr>
        <w:pStyle w:val="Normaallaadveeb"/>
        <w:spacing w:before="0" w:after="0" w:afterAutospacing="0"/>
        <w:jc w:val="both"/>
      </w:pPr>
      <w:r w:rsidRPr="72F670EB">
        <w:t>(3)</w:t>
      </w:r>
      <w:r w:rsidR="005F6E66">
        <w:t xml:space="preserve"> </w:t>
      </w:r>
      <w:r w:rsidRPr="72F670EB">
        <w:t>Tervisekassa võtab koodiga 66801 tähistatud tervishoiuteenuse eest tasu maksmise kohustuse üle iga uuritud ja tervishoiuteenuse osutamist tõendavas dokumendis kirjeldatud operatsioonipreparaadi väljalõike eest.</w:t>
      </w:r>
    </w:p>
    <w:p w14:paraId="687C8C34" w14:textId="77777777" w:rsidR="005F6E66" w:rsidRDefault="005F6E66" w:rsidP="007C054E">
      <w:pPr>
        <w:pStyle w:val="Normaallaadveeb"/>
        <w:spacing w:before="0" w:after="0" w:afterAutospacing="0"/>
        <w:jc w:val="both"/>
      </w:pPr>
    </w:p>
    <w:p w14:paraId="55165FA8" w14:textId="2BE30CB6" w:rsidR="00176A0E" w:rsidRDefault="533D0E74" w:rsidP="006A5578">
      <w:pPr>
        <w:pStyle w:val="Normaallaadveeb"/>
        <w:spacing w:before="0" w:after="0" w:afterAutospacing="0"/>
        <w:jc w:val="both"/>
      </w:pPr>
      <w:r w:rsidRPr="72F670EB">
        <w:t>(4)</w:t>
      </w:r>
      <w:r w:rsidR="005F6E66">
        <w:t xml:space="preserve"> </w:t>
      </w:r>
      <w:r w:rsidRPr="72F670EB">
        <w:t>Tervisekassa võtab koodiga 66834 tähistatud tervishoiuteenuse eest tasu maksmise kohustuse üle juhul</w:t>
      </w:r>
      <w:r w:rsidR="00B05B6C">
        <w:t>,</w:t>
      </w:r>
      <w:r w:rsidRPr="72F670EB">
        <w:t xml:space="preserve"> kui seda rakendatakse koelõigu või histoloogilise materjali prediktiivse või progonostilise markeri uuringuks diagnoositud haiguse </w:t>
      </w:r>
      <w:r w:rsidR="1B45674C">
        <w:t xml:space="preserve">edasise </w:t>
      </w:r>
      <w:r w:rsidRPr="72F670EB">
        <w:t xml:space="preserve">ravitaktika </w:t>
      </w:r>
      <w:r w:rsidR="6103BFF1">
        <w:t>valiku</w:t>
      </w:r>
      <w:r w:rsidRPr="72F670EB">
        <w:t xml:space="preserve"> otsuse </w:t>
      </w:r>
      <w:r>
        <w:t>tegemise</w:t>
      </w:r>
      <w:r w:rsidR="502B401E">
        <w:t>ks</w:t>
      </w:r>
      <w:r>
        <w:t>.</w:t>
      </w:r>
    </w:p>
    <w:p w14:paraId="5B3A8EDF" w14:textId="77777777" w:rsidR="005F6E66" w:rsidRDefault="005F6E66" w:rsidP="007C054E">
      <w:pPr>
        <w:pStyle w:val="Normaallaadveeb"/>
        <w:spacing w:before="0" w:after="0" w:afterAutospacing="0"/>
        <w:jc w:val="both"/>
      </w:pPr>
    </w:p>
    <w:p w14:paraId="650CB47A" w14:textId="7B59B467" w:rsidR="005A2950" w:rsidRDefault="533D0E74" w:rsidP="007C054E">
      <w:pPr>
        <w:pStyle w:val="Normaallaadveeb"/>
        <w:spacing w:before="0" w:after="0" w:afterAutospacing="0"/>
        <w:jc w:val="both"/>
      </w:pPr>
      <w:r w:rsidRPr="72F670EB">
        <w:t>(5)</w:t>
      </w:r>
      <w:r w:rsidR="005F6E66">
        <w:t xml:space="preserve"> </w:t>
      </w:r>
      <w:r w:rsidRPr="72F670EB">
        <w:t>Koodi</w:t>
      </w:r>
      <w:r w:rsidRPr="72F670EB" w:rsidDel="005A2950">
        <w:t xml:space="preserve"> </w:t>
      </w:r>
      <w:r w:rsidRPr="72F670EB">
        <w:t>66834 ei rakendata haiguse diagnoosimiseks vajaliku</w:t>
      </w:r>
      <w:r w:rsidRPr="72F670EB" w:rsidDel="005A2950">
        <w:t xml:space="preserve"> </w:t>
      </w:r>
      <w:r w:rsidRPr="72F670EB">
        <w:t xml:space="preserve">koelõigu või histoloogilise materjali diagnostilise markeri uuringul. </w:t>
      </w:r>
    </w:p>
    <w:p w14:paraId="47AD5B07" w14:textId="77777777" w:rsidR="00D625D0" w:rsidRDefault="00D625D0" w:rsidP="007C054E">
      <w:pPr>
        <w:pStyle w:val="Normaallaadveeb"/>
        <w:spacing w:before="0" w:after="0" w:afterAutospacing="0"/>
        <w:jc w:val="both"/>
      </w:pPr>
    </w:p>
    <w:p w14:paraId="5FD2478B" w14:textId="1D46EE73" w:rsidR="00176A0E" w:rsidRDefault="533D0E74" w:rsidP="006A5578">
      <w:pPr>
        <w:pStyle w:val="Normaallaadveeb"/>
        <w:spacing w:before="0" w:after="0" w:afterAutospacing="0"/>
        <w:jc w:val="both"/>
      </w:pPr>
      <w:r w:rsidRPr="72F670EB">
        <w:t>(6)</w:t>
      </w:r>
      <w:r w:rsidR="005F6E66">
        <w:t xml:space="preserve"> </w:t>
      </w:r>
      <w:r w:rsidRPr="72F670EB">
        <w:t xml:space="preserve">Tervisekassa võtab koodidega 66810 ja 66812 </w:t>
      </w:r>
      <w:r w:rsidR="00D625D0">
        <w:t xml:space="preserve">tähistatud </w:t>
      </w:r>
      <w:r w:rsidRPr="72F670EB">
        <w:t xml:space="preserve">tervishoiuteenuste eest tasu maksmise kohustuse üle kuni </w:t>
      </w:r>
      <w:r w:rsidR="005A2950">
        <w:t>nelja</w:t>
      </w:r>
      <w:r w:rsidRPr="72F670EB">
        <w:t xml:space="preserve"> uuritud ja kirjeldatud klaasi eest ühe uuringumaterjali kohta.</w:t>
      </w:r>
    </w:p>
    <w:p w14:paraId="5919DA51" w14:textId="77777777" w:rsidR="005F6E66" w:rsidRDefault="005F6E66" w:rsidP="007C054E">
      <w:pPr>
        <w:pStyle w:val="Normaallaadveeb"/>
        <w:spacing w:before="0" w:after="0" w:afterAutospacing="0"/>
        <w:jc w:val="both"/>
      </w:pPr>
    </w:p>
    <w:p w14:paraId="756171DE" w14:textId="3B6AC695" w:rsidR="00176A0E" w:rsidRDefault="533D0E74" w:rsidP="006A5578">
      <w:pPr>
        <w:pStyle w:val="Normaallaadveeb"/>
        <w:spacing w:before="0" w:after="0" w:afterAutospacing="0"/>
        <w:jc w:val="both"/>
      </w:pPr>
      <w:r w:rsidRPr="72F670EB">
        <w:t>(7)</w:t>
      </w:r>
      <w:r w:rsidR="005F6E66">
        <w:t xml:space="preserve"> </w:t>
      </w:r>
      <w:r w:rsidRPr="72F670EB">
        <w:t xml:space="preserve">Tervisekassa võtab koodidega 66819, 66820, 66821 ja 66822 tähistatud tervishoiuteenuste eest tasu maksmise kohustuse üle kuni </w:t>
      </w:r>
      <w:r w:rsidR="005A2950">
        <w:t>kahe</w:t>
      </w:r>
      <w:r w:rsidRPr="72F670EB">
        <w:t xml:space="preserve"> uuritud ja kirjeldatud klaasi eest</w:t>
      </w:r>
      <w:r w:rsidRPr="72F670EB" w:rsidDel="005A2950">
        <w:t xml:space="preserve"> </w:t>
      </w:r>
      <w:r w:rsidRPr="72F670EB">
        <w:t>ühe uuringumaterjali kohta.</w:t>
      </w:r>
    </w:p>
    <w:p w14:paraId="780DC9FC" w14:textId="77777777" w:rsidR="005F6E66" w:rsidRDefault="005F6E66" w:rsidP="007C054E">
      <w:pPr>
        <w:pStyle w:val="Normaallaadveeb"/>
        <w:spacing w:before="0" w:after="0" w:afterAutospacing="0"/>
        <w:jc w:val="both"/>
      </w:pPr>
    </w:p>
    <w:p w14:paraId="7E0BD2D2" w14:textId="29380B17" w:rsidR="00176A0E" w:rsidRDefault="533D0E74" w:rsidP="006A5578">
      <w:pPr>
        <w:pStyle w:val="Normaallaadveeb"/>
        <w:spacing w:before="0" w:after="0" w:afterAutospacing="0"/>
        <w:jc w:val="both"/>
      </w:pPr>
      <w:r w:rsidRPr="72F670EB">
        <w:t>(8)</w:t>
      </w:r>
      <w:r w:rsidR="005F6E66">
        <w:t xml:space="preserve"> </w:t>
      </w:r>
      <w:r w:rsidRPr="72F670EB">
        <w:t>Teenuse koodi 66819 ei rakendata</w:t>
      </w:r>
      <w:r w:rsidRPr="72F670EB" w:rsidDel="005A2950">
        <w:t xml:space="preserve"> </w:t>
      </w:r>
      <w:r w:rsidRPr="72F670EB">
        <w:t>emakakaela ja tupe vedelikupõhise günekotsütoloogilise uuringu puhul.</w:t>
      </w:r>
    </w:p>
    <w:p w14:paraId="5D2F5381" w14:textId="77777777" w:rsidR="005F6E66" w:rsidRDefault="005F6E66" w:rsidP="007C054E">
      <w:pPr>
        <w:pStyle w:val="Normaallaadveeb"/>
        <w:spacing w:before="0" w:after="0" w:afterAutospacing="0"/>
        <w:jc w:val="both"/>
      </w:pPr>
    </w:p>
    <w:p w14:paraId="409E1003" w14:textId="4DC39E1F" w:rsidR="005F6E66" w:rsidRDefault="533D0E74" w:rsidP="006A5578">
      <w:pPr>
        <w:pStyle w:val="Normaallaadveeb"/>
        <w:spacing w:before="0" w:after="0" w:afterAutospacing="0"/>
        <w:jc w:val="both"/>
      </w:pPr>
      <w:r w:rsidRPr="72F670EB">
        <w:t>(9)</w:t>
      </w:r>
      <w:r w:rsidR="005F6E66">
        <w:t xml:space="preserve"> </w:t>
      </w:r>
      <w:r w:rsidRPr="72F670EB">
        <w:t>Tervisekassa võtab koodiga 66822 tähistatud tervishoiuteenuse eest tasu maksmise kohustuse üle juhul</w:t>
      </w:r>
      <w:r w:rsidR="00306F86">
        <w:t>,</w:t>
      </w:r>
      <w:r w:rsidRPr="72F670EB">
        <w:t xml:space="preserve"> kui teenust osutab vedelikupõhise günekotsütoloogilise uuringu metoodikale akrediteeritud labor.</w:t>
      </w:r>
    </w:p>
    <w:p w14:paraId="34AE5F88" w14:textId="2A9F6979" w:rsidR="00176A0E" w:rsidRDefault="533D0E74" w:rsidP="007C054E">
      <w:pPr>
        <w:pStyle w:val="Normaallaadveeb"/>
        <w:spacing w:before="0" w:after="0" w:afterAutospacing="0"/>
        <w:jc w:val="both"/>
      </w:pPr>
      <w:r w:rsidRPr="72F670EB">
        <w:t xml:space="preserve"> </w:t>
      </w:r>
    </w:p>
    <w:p w14:paraId="48FD686E" w14:textId="4EB29F53" w:rsidR="00176A0E" w:rsidRDefault="533D0E74" w:rsidP="006A5578">
      <w:pPr>
        <w:pStyle w:val="Normaallaadveeb"/>
        <w:spacing w:before="0" w:after="0" w:afterAutospacing="0"/>
        <w:jc w:val="both"/>
      </w:pPr>
      <w:r w:rsidRPr="72F670EB">
        <w:t>(10)</w:t>
      </w:r>
      <w:r w:rsidR="005F6E66">
        <w:t xml:space="preserve"> </w:t>
      </w:r>
      <w:r w:rsidRPr="72F670EB">
        <w:t xml:space="preserve">Tervisekassa võtab koodiga 66821 tähistatud tervishoiuteenuse eest tasu maksmise kohustuse üle juhul, kui seda kasutatakse emakakaelavähi riikliku sõeluuringu raames </w:t>
      </w:r>
      <w:r w:rsidR="00662759">
        <w:t>koodiga</w:t>
      </w:r>
      <w:r w:rsidRPr="72F670EB">
        <w:t xml:space="preserve"> 66644 </w:t>
      </w:r>
      <w:r w:rsidR="00662759">
        <w:t xml:space="preserve">tähistatud tervishoiuteenuse </w:t>
      </w:r>
      <w:r w:rsidRPr="72F670EB">
        <w:t xml:space="preserve">lisauuringuna </w:t>
      </w:r>
      <w:r w:rsidR="008F0E84">
        <w:t>ravi rahastamise</w:t>
      </w:r>
      <w:r w:rsidRPr="72F670EB">
        <w:t xml:space="preserve"> lepingu</w:t>
      </w:r>
      <w:r w:rsidR="008F0E84">
        <w:t>s kokku lepitud</w:t>
      </w:r>
      <w:r w:rsidRPr="72F670EB">
        <w:t xml:space="preserve"> tingimustele vastavas laboris. </w:t>
      </w:r>
    </w:p>
    <w:p w14:paraId="4B095F66" w14:textId="77777777" w:rsidR="005F6E66" w:rsidRDefault="005F6E66" w:rsidP="007C054E">
      <w:pPr>
        <w:pStyle w:val="Normaallaadveeb"/>
        <w:spacing w:before="0" w:after="0" w:afterAutospacing="0"/>
        <w:jc w:val="both"/>
      </w:pPr>
    </w:p>
    <w:p w14:paraId="54E0D3D3" w14:textId="4B09FA81" w:rsidR="00176A0E" w:rsidRDefault="533D0E74" w:rsidP="71AB5270">
      <w:pPr>
        <w:pStyle w:val="Normaallaadveeb"/>
        <w:spacing w:before="0" w:after="0" w:afterAutospacing="0"/>
        <w:jc w:val="both"/>
      </w:pPr>
      <w:r w:rsidRPr="72F670EB">
        <w:t>(11)</w:t>
      </w:r>
      <w:r w:rsidR="005F6E66">
        <w:t xml:space="preserve"> </w:t>
      </w:r>
      <w:r w:rsidRPr="72F670EB">
        <w:t xml:space="preserve">Tervisekassa võtab koodiga 66820 tähistatud tervishoiuteenuse eest tasu maksmise kohustuse üle juhul, kui seda </w:t>
      </w:r>
      <w:r w:rsidR="00484EA7">
        <w:t>kasutatakse</w:t>
      </w:r>
      <w:r w:rsidRPr="72F670EB">
        <w:t xml:space="preserve"> emakakaelavähi riikliku sõeluuringu </w:t>
      </w:r>
      <w:r w:rsidR="00991118">
        <w:t>raames</w:t>
      </w:r>
      <w:r w:rsidRPr="72F670EB">
        <w:t xml:space="preserve"> koodiga 66650 tähistatud tervishoiuteenuse lisauuringuna ravi rahastamise lepingus kokku lepitud tingimustele vastavas laboris.</w:t>
      </w:r>
    </w:p>
    <w:p w14:paraId="4BFEAD39" w14:textId="77777777" w:rsidR="00976487" w:rsidRPr="00687DE8" w:rsidRDefault="00976487" w:rsidP="00976487">
      <w:pPr>
        <w:pStyle w:val="Pealkiri3"/>
        <w:spacing w:before="0" w:after="0" w:afterAutospacing="0"/>
        <w:jc w:val="both"/>
        <w:divId w:val="1316184749"/>
        <w:rPr>
          <w:rStyle w:val="Tugev"/>
          <w:b/>
          <w:bCs/>
          <w:sz w:val="24"/>
          <w:szCs w:val="24"/>
        </w:rPr>
      </w:pPr>
    </w:p>
    <w:p w14:paraId="04484305" w14:textId="5A0F28F6" w:rsidR="0048520E" w:rsidRDefault="5C52CFD9" w:rsidP="5C52CFD9">
      <w:pPr>
        <w:pStyle w:val="Pealkiri3"/>
        <w:spacing w:before="0" w:after="0" w:afterAutospacing="0"/>
        <w:jc w:val="both"/>
        <w:divId w:val="1316184749"/>
        <w:rPr>
          <w:sz w:val="24"/>
          <w:szCs w:val="24"/>
        </w:rPr>
      </w:pPr>
      <w:r w:rsidRPr="00687DE8">
        <w:rPr>
          <w:rStyle w:val="Tugev"/>
          <w:b/>
          <w:bCs/>
          <w:sz w:val="24"/>
          <w:szCs w:val="24"/>
        </w:rPr>
        <w:t>§ 75.</w:t>
      </w:r>
      <w:r w:rsidRPr="00687DE8">
        <w:rPr>
          <w:sz w:val="24"/>
          <w:szCs w:val="24"/>
        </w:rPr>
        <w:t xml:space="preserve"> Patoanatoomiliste lahangute piirhinnad</w:t>
      </w:r>
    </w:p>
    <w:p w14:paraId="3055DC6C" w14:textId="77777777" w:rsidR="00422EA4" w:rsidRDefault="00422EA4" w:rsidP="00976487">
      <w:pPr>
        <w:pStyle w:val="Normaallaadveeb"/>
        <w:spacing w:before="0" w:after="0" w:afterAutospacing="0"/>
        <w:jc w:val="both"/>
        <w:divId w:val="1316184749"/>
      </w:pPr>
    </w:p>
    <w:p w14:paraId="633FCC17" w14:textId="6AC8B1B2" w:rsidR="00976487" w:rsidRPr="00687DE8" w:rsidRDefault="00976487" w:rsidP="00976487">
      <w:pPr>
        <w:pStyle w:val="Normaallaadveeb"/>
        <w:spacing w:before="0" w:after="0" w:afterAutospacing="0"/>
        <w:jc w:val="both"/>
        <w:divId w:val="1316184749"/>
      </w:pPr>
      <w:r w:rsidRPr="00687DE8">
        <w:t>(1) Patoanatoomiliste lahangute piirhinnad on järgmised:</w:t>
      </w:r>
    </w:p>
    <w:p w14:paraId="21856DD1" w14:textId="77777777" w:rsidR="00976487" w:rsidRPr="00687DE8" w:rsidRDefault="00976487" w:rsidP="00976487">
      <w:pPr>
        <w:pStyle w:val="Normaallaadveeb"/>
        <w:spacing w:before="0" w:after="0" w:afterAutospacing="0"/>
        <w:jc w:val="both"/>
        <w:divId w:val="131618474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1082"/>
        <w:gridCol w:w="1117"/>
      </w:tblGrid>
      <w:tr w:rsidR="008751B1" w:rsidRPr="00687DE8" w14:paraId="35CD0B72" w14:textId="77777777" w:rsidTr="008751B1">
        <w:trPr>
          <w:divId w:val="1316184749"/>
          <w:tblHeader/>
        </w:trPr>
        <w:tc>
          <w:tcPr>
            <w:tcW w:w="7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90CC2D" w14:textId="77777777" w:rsidR="008751B1" w:rsidRPr="00687DE8" w:rsidRDefault="008751B1">
            <w:pPr>
              <w:pStyle w:val="Normaallaadveeb"/>
              <w:spacing w:before="0" w:after="0" w:afterAutospacing="0"/>
              <w:jc w:val="center"/>
            </w:pPr>
            <w:r w:rsidRPr="00687DE8">
              <w:rPr>
                <w:b/>
                <w:bCs/>
              </w:rPr>
              <w:t>Lahangu nimetus</w:t>
            </w:r>
          </w:p>
        </w:tc>
        <w:tc>
          <w:tcPr>
            <w:tcW w:w="10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F5C6C4" w14:textId="77777777" w:rsidR="008751B1" w:rsidRPr="00687DE8" w:rsidRDefault="008751B1">
            <w:pPr>
              <w:pStyle w:val="Normaallaadveeb"/>
              <w:spacing w:before="0" w:after="0" w:afterAutospacing="0"/>
              <w:jc w:val="center"/>
            </w:pPr>
            <w:r w:rsidRPr="00687DE8">
              <w:rPr>
                <w:b/>
                <w:bCs/>
              </w:rPr>
              <w:t>Kood</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D7470A" w14:textId="77777777" w:rsidR="008751B1" w:rsidRPr="00687DE8" w:rsidRDefault="008751B1">
            <w:pPr>
              <w:pStyle w:val="Normaallaadveeb"/>
              <w:tabs>
                <w:tab w:val="decimal" w:pos="635"/>
              </w:tabs>
              <w:spacing w:before="0" w:after="0" w:afterAutospacing="0"/>
              <w:jc w:val="center"/>
            </w:pPr>
            <w:r w:rsidRPr="00687DE8">
              <w:rPr>
                <w:b/>
                <w:bCs/>
              </w:rPr>
              <w:t>Piirhind</w:t>
            </w:r>
            <w:r w:rsidRPr="00687DE8">
              <w:rPr>
                <w:b/>
              </w:rPr>
              <w:br/>
            </w:r>
            <w:r w:rsidRPr="00687DE8">
              <w:rPr>
                <w:b/>
                <w:bCs/>
              </w:rPr>
              <w:t>eurodes</w:t>
            </w:r>
          </w:p>
        </w:tc>
      </w:tr>
      <w:tr w:rsidR="00CD2F98" w:rsidRPr="00687DE8" w14:paraId="1442C73E" w14:textId="77777777" w:rsidTr="008751B1">
        <w:trPr>
          <w:divId w:val="1316184749"/>
          <w:trHeight w:val="300"/>
        </w:trPr>
        <w:tc>
          <w:tcPr>
            <w:tcW w:w="7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3CF2D4" w14:textId="105DF0C7" w:rsidR="00CD2F98" w:rsidRPr="00687DE8" w:rsidRDefault="007F4938" w:rsidP="00CD2F98">
            <w:pPr>
              <w:pStyle w:val="Normaallaadveeb"/>
              <w:spacing w:before="0" w:after="0" w:afterAutospacing="0"/>
            </w:pPr>
            <w:r>
              <w:t>Mittetäielik</w:t>
            </w:r>
            <w:r w:rsidR="00CD2F98" w:rsidRPr="00F55256">
              <w:t xml:space="preserve"> </w:t>
            </w:r>
            <w:r w:rsidR="00CD2F98" w:rsidRPr="007B007F">
              <w:t>lahang</w:t>
            </w:r>
            <w:r w:rsidR="00CD2F98">
              <w:t xml:space="preserve"> </w:t>
            </w:r>
          </w:p>
        </w:tc>
        <w:tc>
          <w:tcPr>
            <w:tcW w:w="10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3C5D66" w14:textId="77777777" w:rsidR="00CD2F98" w:rsidRPr="00687DE8" w:rsidRDefault="00CD2F98" w:rsidP="00CD2F98">
            <w:pPr>
              <w:pStyle w:val="Normaallaadveeb"/>
              <w:spacing w:before="0" w:after="0" w:afterAutospacing="0"/>
              <w:jc w:val="center"/>
            </w:pPr>
            <w:r w:rsidRPr="005656E7">
              <w:t>6916</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D7D63E" w14:textId="375BF874" w:rsidR="00CD2F98" w:rsidRPr="00687DE8" w:rsidRDefault="00552C40" w:rsidP="00CD2F98">
            <w:pPr>
              <w:spacing w:after="0"/>
              <w:jc w:val="center"/>
              <w:rPr>
                <w:szCs w:val="24"/>
              </w:rPr>
            </w:pPr>
            <w:r>
              <w:rPr>
                <w:color w:val="000000"/>
              </w:rPr>
              <w:t>44,48</w:t>
            </w:r>
          </w:p>
        </w:tc>
      </w:tr>
      <w:tr w:rsidR="00CD2F98" w:rsidRPr="00687DE8" w14:paraId="66B1FC0C" w14:textId="77777777" w:rsidTr="008751B1">
        <w:trPr>
          <w:divId w:val="1316184749"/>
          <w:trHeight w:val="300"/>
        </w:trPr>
        <w:tc>
          <w:tcPr>
            <w:tcW w:w="7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E24A45" w14:textId="1BE01C48" w:rsidR="00CD2F98" w:rsidRPr="00687DE8" w:rsidRDefault="00CD2F98" w:rsidP="00CD2F98">
            <w:pPr>
              <w:pStyle w:val="Normaallaadveeb"/>
              <w:spacing w:before="0" w:after="0" w:afterAutospacing="0"/>
            </w:pPr>
            <w:r w:rsidRPr="007B007F">
              <w:t xml:space="preserve">Lahang </w:t>
            </w:r>
          </w:p>
        </w:tc>
        <w:tc>
          <w:tcPr>
            <w:tcW w:w="10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483479" w14:textId="66CFA43A" w:rsidR="00CD2F98" w:rsidRPr="00687DE8" w:rsidRDefault="00CD2F98" w:rsidP="00CD2F98">
            <w:pPr>
              <w:pStyle w:val="Normaallaadveeb"/>
              <w:spacing w:before="0" w:after="0" w:afterAutospacing="0"/>
              <w:jc w:val="center"/>
            </w:pPr>
            <w:r w:rsidRPr="005656E7">
              <w:t>66814</w:t>
            </w:r>
          </w:p>
        </w:tc>
        <w:tc>
          <w:tcPr>
            <w:tcW w:w="11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11E604" w14:textId="5E5755DA" w:rsidR="00CD2F98" w:rsidRPr="00687DE8" w:rsidRDefault="00552C40" w:rsidP="00CD2F98">
            <w:pPr>
              <w:spacing w:after="0"/>
              <w:jc w:val="center"/>
              <w:rPr>
                <w:color w:val="000000" w:themeColor="text1"/>
                <w:szCs w:val="24"/>
              </w:rPr>
            </w:pPr>
            <w:r>
              <w:rPr>
                <w:color w:val="000000"/>
              </w:rPr>
              <w:t>326,38</w:t>
            </w:r>
          </w:p>
        </w:tc>
      </w:tr>
      <w:tr w:rsidR="00CD2F98" w:rsidRPr="00687DE8" w14:paraId="491DEFFD" w14:textId="77777777" w:rsidTr="008751B1">
        <w:trPr>
          <w:divId w:val="1316184749"/>
          <w:trHeight w:val="300"/>
        </w:trPr>
        <w:tc>
          <w:tcPr>
            <w:tcW w:w="7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1F34F8" w14:textId="2BE311C2" w:rsidR="00CD2F98" w:rsidRPr="00687DE8" w:rsidRDefault="00CD2F98" w:rsidP="00CD2F98">
            <w:pPr>
              <w:pStyle w:val="Normaallaadveeb"/>
              <w:spacing w:before="0" w:after="0" w:afterAutospacing="0"/>
            </w:pPr>
            <w:r w:rsidRPr="001A7802">
              <w:rPr>
                <w:color w:val="000000" w:themeColor="text1"/>
              </w:rPr>
              <w:t xml:space="preserve">Loote või surnult sündinu lahang </w:t>
            </w:r>
          </w:p>
        </w:tc>
        <w:tc>
          <w:tcPr>
            <w:tcW w:w="10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9CEBE0" w14:textId="0B66FC13" w:rsidR="00CD2F98" w:rsidRPr="00687DE8" w:rsidRDefault="000635CB" w:rsidP="00CD2F98">
            <w:pPr>
              <w:pStyle w:val="Normaallaadveeb"/>
              <w:spacing w:before="0" w:after="0" w:afterAutospacing="0"/>
              <w:jc w:val="center"/>
            </w:pPr>
            <w:r w:rsidRPr="005656E7">
              <w:t>66816</w:t>
            </w:r>
          </w:p>
        </w:tc>
        <w:tc>
          <w:tcPr>
            <w:tcW w:w="11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11A61A" w14:textId="5785729F" w:rsidR="00CD2F98" w:rsidRPr="00687DE8" w:rsidRDefault="00552C40" w:rsidP="00CD2F98">
            <w:pPr>
              <w:spacing w:after="0"/>
              <w:jc w:val="center"/>
              <w:rPr>
                <w:szCs w:val="24"/>
              </w:rPr>
            </w:pPr>
            <w:r>
              <w:rPr>
                <w:color w:val="000000"/>
              </w:rPr>
              <w:t>307,93</w:t>
            </w:r>
          </w:p>
        </w:tc>
      </w:tr>
    </w:tbl>
    <w:p w14:paraId="46A815C3" w14:textId="77777777" w:rsidR="008751B1" w:rsidRPr="00687DE8" w:rsidRDefault="008751B1" w:rsidP="00976487">
      <w:pPr>
        <w:pStyle w:val="Normaallaadveeb"/>
        <w:spacing w:before="0" w:after="0" w:afterAutospacing="0"/>
        <w:jc w:val="both"/>
        <w:divId w:val="1316184749"/>
      </w:pPr>
    </w:p>
    <w:p w14:paraId="374A9790" w14:textId="37499557" w:rsidR="29AB8614" w:rsidRPr="00321288" w:rsidRDefault="3BAF6D17" w:rsidP="00576E6C">
      <w:pPr>
        <w:pStyle w:val="Pealkiri2"/>
        <w:spacing w:before="0" w:after="0" w:afterAutospacing="0"/>
        <w:jc w:val="both"/>
        <w:rPr>
          <w:b w:val="0"/>
          <w:bCs w:val="0"/>
          <w:sz w:val="24"/>
          <w:szCs w:val="24"/>
        </w:rPr>
      </w:pPr>
      <w:r w:rsidRPr="736E4EE3">
        <w:rPr>
          <w:b w:val="0"/>
          <w:bCs w:val="0"/>
          <w:sz w:val="24"/>
          <w:szCs w:val="24"/>
        </w:rPr>
        <w:t xml:space="preserve">(2) </w:t>
      </w:r>
      <w:r w:rsidR="29AB8614" w:rsidRPr="3E9FB6E6">
        <w:rPr>
          <w:b w:val="0"/>
          <w:bCs w:val="0"/>
          <w:sz w:val="24"/>
          <w:szCs w:val="24"/>
        </w:rPr>
        <w:t xml:space="preserve">Lõikes 1 nimetatud lahangute piirhind ei sisalda histoloogiliste, tsütoloogiliste, </w:t>
      </w:r>
      <w:r w:rsidR="29AB8614" w:rsidRPr="3E9FB6E6">
        <w:rPr>
          <w:b w:val="0"/>
          <w:bCs w:val="0"/>
          <w:color w:val="000000" w:themeColor="text1"/>
          <w:sz w:val="24"/>
          <w:szCs w:val="24"/>
        </w:rPr>
        <w:t xml:space="preserve">laboratoorsete, geneetiliste </w:t>
      </w:r>
      <w:r w:rsidR="29AB8614" w:rsidRPr="3E9FB6E6">
        <w:rPr>
          <w:b w:val="0"/>
          <w:bCs w:val="0"/>
          <w:sz w:val="24"/>
          <w:szCs w:val="24"/>
        </w:rPr>
        <w:t>ja radioloogiliste uuringute kulu.</w:t>
      </w:r>
    </w:p>
    <w:p w14:paraId="1988B158" w14:textId="77777777" w:rsidR="00B32D0D" w:rsidRPr="00321288" w:rsidRDefault="00B32D0D" w:rsidP="06FC2586">
      <w:pPr>
        <w:pStyle w:val="Pealkiri2"/>
        <w:spacing w:before="0" w:after="0" w:afterAutospacing="0"/>
        <w:rPr>
          <w:b w:val="0"/>
          <w:bCs w:val="0"/>
          <w:color w:val="000000" w:themeColor="text1"/>
          <w:sz w:val="24"/>
          <w:szCs w:val="24"/>
        </w:rPr>
      </w:pPr>
    </w:p>
    <w:p w14:paraId="7DED762A" w14:textId="28ADE032" w:rsidR="3BAF6D17" w:rsidRPr="00321288" w:rsidRDefault="3BAF6D17" w:rsidP="007C054E">
      <w:pPr>
        <w:pStyle w:val="Pealkiri2"/>
        <w:spacing w:before="0" w:after="0" w:afterAutospacing="0"/>
        <w:jc w:val="both"/>
        <w:rPr>
          <w:b w:val="0"/>
          <w:bCs w:val="0"/>
          <w:color w:val="000000" w:themeColor="text1"/>
          <w:sz w:val="24"/>
          <w:szCs w:val="24"/>
        </w:rPr>
      </w:pPr>
      <w:r w:rsidRPr="17D62E96">
        <w:rPr>
          <w:b w:val="0"/>
          <w:color w:val="000000" w:themeColor="text1"/>
          <w:sz w:val="24"/>
          <w:szCs w:val="24"/>
        </w:rPr>
        <w:t>(3) Koodi</w:t>
      </w:r>
      <w:r w:rsidR="005E6DC0">
        <w:rPr>
          <w:b w:val="0"/>
          <w:color w:val="000000" w:themeColor="text1"/>
          <w:sz w:val="24"/>
          <w:szCs w:val="24"/>
        </w:rPr>
        <w:t>ga</w:t>
      </w:r>
      <w:r w:rsidRPr="17D62E96">
        <w:rPr>
          <w:b w:val="0"/>
          <w:color w:val="000000" w:themeColor="text1"/>
          <w:sz w:val="24"/>
          <w:szCs w:val="24"/>
        </w:rPr>
        <w:t xml:space="preserve"> 6916</w:t>
      </w:r>
      <w:r w:rsidR="005E6DC0">
        <w:rPr>
          <w:b w:val="0"/>
          <w:color w:val="000000" w:themeColor="text1"/>
          <w:sz w:val="24"/>
          <w:szCs w:val="24"/>
        </w:rPr>
        <w:t xml:space="preserve"> tähistatud</w:t>
      </w:r>
      <w:r w:rsidR="00257189">
        <w:rPr>
          <w:b w:val="0"/>
          <w:color w:val="000000" w:themeColor="text1"/>
          <w:sz w:val="24"/>
          <w:szCs w:val="24"/>
        </w:rPr>
        <w:t xml:space="preserve"> teenust</w:t>
      </w:r>
      <w:r w:rsidRPr="17D62E96">
        <w:rPr>
          <w:b w:val="0"/>
          <w:color w:val="000000" w:themeColor="text1"/>
          <w:sz w:val="24"/>
          <w:szCs w:val="24"/>
        </w:rPr>
        <w:t xml:space="preserve"> rakendatakse juhul, kui </w:t>
      </w:r>
      <w:r w:rsidR="5C9097AC" w:rsidRPr="2AA89D58">
        <w:rPr>
          <w:b w:val="0"/>
          <w:bCs w:val="0"/>
          <w:color w:val="000000" w:themeColor="text1"/>
          <w:sz w:val="24"/>
          <w:szCs w:val="24"/>
        </w:rPr>
        <w:t xml:space="preserve">lahang katkestati ja </w:t>
      </w:r>
      <w:r w:rsidRPr="17D62E96">
        <w:rPr>
          <w:b w:val="0"/>
          <w:color w:val="000000" w:themeColor="text1"/>
          <w:sz w:val="24"/>
          <w:szCs w:val="24"/>
        </w:rPr>
        <w:t>surnu suunatakse</w:t>
      </w:r>
      <w:r w:rsidR="0343998B" w:rsidRPr="2AA89D58">
        <w:rPr>
          <w:b w:val="0"/>
          <w:bCs w:val="0"/>
          <w:color w:val="000000" w:themeColor="text1"/>
          <w:sz w:val="24"/>
          <w:szCs w:val="24"/>
        </w:rPr>
        <w:t xml:space="preserve"> </w:t>
      </w:r>
      <w:r w:rsidR="0343998B" w:rsidRPr="688083F5">
        <w:rPr>
          <w:b w:val="0"/>
          <w:bCs w:val="0"/>
          <w:color w:val="000000" w:themeColor="text1"/>
          <w:sz w:val="24"/>
          <w:szCs w:val="24"/>
        </w:rPr>
        <w:t>edasi</w:t>
      </w:r>
      <w:r w:rsidRPr="17D62E96">
        <w:rPr>
          <w:b w:val="0"/>
          <w:color w:val="000000" w:themeColor="text1"/>
          <w:sz w:val="24"/>
          <w:szCs w:val="24"/>
        </w:rPr>
        <w:t xml:space="preserve"> kohtumeditsiinilisele lahangule</w:t>
      </w:r>
      <w:r w:rsidRPr="32FAC96F">
        <w:rPr>
          <w:b w:val="0"/>
          <w:bCs w:val="0"/>
          <w:color w:val="000000" w:themeColor="text1"/>
          <w:sz w:val="24"/>
          <w:szCs w:val="24"/>
        </w:rPr>
        <w:t>.</w:t>
      </w:r>
      <w:r w:rsidRPr="17D62E96">
        <w:rPr>
          <w:b w:val="0"/>
          <w:color w:val="000000" w:themeColor="text1"/>
          <w:sz w:val="24"/>
          <w:szCs w:val="24"/>
        </w:rPr>
        <w:t xml:space="preserve"> Mittetäieliku lahangu korral arstliku surma</w:t>
      </w:r>
      <w:r w:rsidR="00B1496F">
        <w:rPr>
          <w:b w:val="0"/>
          <w:color w:val="000000" w:themeColor="text1"/>
          <w:sz w:val="24"/>
          <w:szCs w:val="24"/>
        </w:rPr>
        <w:t xml:space="preserve"> </w:t>
      </w:r>
      <w:r w:rsidRPr="17D62E96">
        <w:rPr>
          <w:b w:val="0"/>
          <w:color w:val="000000" w:themeColor="text1"/>
          <w:sz w:val="24"/>
          <w:szCs w:val="24"/>
        </w:rPr>
        <w:t>põhjuse teatist ei vormistata</w:t>
      </w:r>
      <w:r w:rsidR="00EB2C24">
        <w:rPr>
          <w:b w:val="0"/>
          <w:color w:val="000000" w:themeColor="text1"/>
          <w:sz w:val="24"/>
          <w:szCs w:val="24"/>
        </w:rPr>
        <w:t>.</w:t>
      </w:r>
    </w:p>
    <w:p w14:paraId="07DBAA13" w14:textId="3A837148" w:rsidR="00976487" w:rsidRPr="00321288" w:rsidRDefault="00976487" w:rsidP="43CF3388">
      <w:pPr>
        <w:pStyle w:val="Pealkiri2"/>
        <w:spacing w:before="0" w:after="0" w:afterAutospacing="0"/>
        <w:divId w:val="1316184749"/>
        <w:rPr>
          <w:b w:val="0"/>
          <w:bCs w:val="0"/>
          <w:color w:val="000000" w:themeColor="text1"/>
          <w:sz w:val="24"/>
          <w:szCs w:val="24"/>
        </w:rPr>
      </w:pPr>
    </w:p>
    <w:p w14:paraId="44D2453B" w14:textId="77777777" w:rsidR="00976487" w:rsidRPr="00687DE8" w:rsidRDefault="00976487" w:rsidP="00976487">
      <w:pPr>
        <w:pStyle w:val="Pealkiri2"/>
        <w:spacing w:before="0" w:after="0" w:afterAutospacing="0"/>
        <w:jc w:val="center"/>
        <w:divId w:val="1316184749"/>
        <w:rPr>
          <w:sz w:val="24"/>
          <w:szCs w:val="24"/>
        </w:rPr>
      </w:pPr>
      <w:r w:rsidRPr="00687DE8">
        <w:rPr>
          <w:sz w:val="24"/>
          <w:szCs w:val="24"/>
        </w:rPr>
        <w:t>9. peatükk</w:t>
      </w:r>
      <w:r w:rsidRPr="00687DE8">
        <w:rPr>
          <w:sz w:val="24"/>
          <w:szCs w:val="24"/>
        </w:rPr>
        <w:br/>
        <w:t>Verepreparaadid ja protseduurid verepreparaatidega</w:t>
      </w:r>
    </w:p>
    <w:p w14:paraId="51B6CA24" w14:textId="77777777" w:rsidR="00976487" w:rsidRPr="00687DE8" w:rsidRDefault="00976487" w:rsidP="00976487">
      <w:pPr>
        <w:pStyle w:val="Pealkiri3"/>
        <w:spacing w:before="0" w:after="0" w:afterAutospacing="0"/>
        <w:jc w:val="both"/>
        <w:divId w:val="1316184749"/>
        <w:rPr>
          <w:rStyle w:val="Tugev"/>
          <w:b/>
          <w:bCs/>
          <w:sz w:val="24"/>
          <w:szCs w:val="24"/>
        </w:rPr>
      </w:pPr>
    </w:p>
    <w:p w14:paraId="6C759B85" w14:textId="77777777" w:rsidR="00976487" w:rsidRDefault="5C52CFD9" w:rsidP="07BBBBAD">
      <w:pPr>
        <w:pStyle w:val="Pealkiri3"/>
        <w:spacing w:before="0" w:after="0" w:afterAutospacing="0"/>
        <w:jc w:val="both"/>
        <w:divId w:val="1316184749"/>
        <w:rPr>
          <w:sz w:val="24"/>
          <w:szCs w:val="24"/>
        </w:rPr>
      </w:pPr>
      <w:r w:rsidRPr="00687DE8">
        <w:rPr>
          <w:rStyle w:val="Tugev"/>
          <w:b/>
          <w:bCs/>
          <w:sz w:val="24"/>
          <w:szCs w:val="24"/>
        </w:rPr>
        <w:t>§ 76.</w:t>
      </w:r>
      <w:r w:rsidRPr="00687DE8">
        <w:rPr>
          <w:sz w:val="24"/>
          <w:szCs w:val="24"/>
        </w:rPr>
        <w:t> Tervishoiuteenuste osutamisel kasutatavate verepreparaatide ja verepreparaatidega protseduuride piirhinnad</w:t>
      </w:r>
    </w:p>
    <w:p w14:paraId="61984508" w14:textId="77777777" w:rsidR="00D35BE0" w:rsidRDefault="00D35BE0" w:rsidP="00976487">
      <w:pPr>
        <w:pStyle w:val="Normaallaadveeb"/>
        <w:spacing w:before="0" w:after="0" w:afterAutospacing="0"/>
        <w:jc w:val="both"/>
        <w:divId w:val="1316184749"/>
      </w:pPr>
    </w:p>
    <w:p w14:paraId="76DC325A" w14:textId="4EE5D139" w:rsidR="00976487" w:rsidRPr="00687DE8" w:rsidRDefault="00976487" w:rsidP="00976487">
      <w:pPr>
        <w:pStyle w:val="Normaallaadveeb"/>
        <w:spacing w:before="0" w:after="0" w:afterAutospacing="0"/>
        <w:jc w:val="both"/>
        <w:divId w:val="1316184749"/>
      </w:pPr>
      <w:r w:rsidRPr="00687DE8">
        <w:t>(1) Tervishoiuteenuste osutamisel kasutatavate verepreparaatide ja verepreparaatidega protseduuride piirhinnad on järgmised:</w:t>
      </w:r>
    </w:p>
    <w:p w14:paraId="78849C68" w14:textId="77777777" w:rsidR="00976487" w:rsidRPr="00687DE8" w:rsidRDefault="00976487" w:rsidP="00976487">
      <w:pPr>
        <w:pStyle w:val="Normaallaadveeb"/>
        <w:spacing w:before="0" w:after="0" w:afterAutospacing="0"/>
        <w:jc w:val="both"/>
        <w:divId w:val="131618474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3"/>
        <w:gridCol w:w="615"/>
        <w:gridCol w:w="1292"/>
        <w:gridCol w:w="1625"/>
      </w:tblGrid>
      <w:tr w:rsidR="00976487" w:rsidRPr="00687DE8" w14:paraId="230FF09B" w14:textId="77777777" w:rsidTr="00BE77B6">
        <w:trPr>
          <w:divId w:val="1316184749"/>
          <w:tblHeader/>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712969" w14:textId="77777777" w:rsidR="00976487" w:rsidRPr="00687DE8" w:rsidRDefault="00976487" w:rsidP="007122D9">
            <w:pPr>
              <w:pStyle w:val="Normaallaadveeb"/>
              <w:spacing w:before="0" w:after="0" w:afterAutospacing="0"/>
              <w:jc w:val="center"/>
            </w:pPr>
            <w:r w:rsidRPr="00687DE8">
              <w:rPr>
                <w:b/>
                <w:bCs/>
              </w:rPr>
              <w:t>Verepreparaadi nimetus</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4E5CB7" w14:textId="77777777" w:rsidR="00976487" w:rsidRPr="00687DE8" w:rsidRDefault="00976487" w:rsidP="007122D9">
            <w:pPr>
              <w:pStyle w:val="Normaallaadveeb"/>
              <w:spacing w:before="0" w:after="0" w:afterAutospacing="0"/>
              <w:jc w:val="center"/>
            </w:pPr>
            <w:r w:rsidRPr="00687DE8">
              <w:rPr>
                <w:b/>
                <w:bCs/>
              </w:rPr>
              <w:t>Kood</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479B77" w14:textId="77777777" w:rsidR="00976487" w:rsidRPr="00687DE8" w:rsidRDefault="00976487" w:rsidP="007122D9">
            <w:pPr>
              <w:pStyle w:val="Normaallaadveeb"/>
              <w:spacing w:before="0" w:after="0" w:afterAutospacing="0"/>
              <w:jc w:val="center"/>
            </w:pPr>
            <w:r w:rsidRPr="00687DE8">
              <w:rPr>
                <w:b/>
                <w:bCs/>
              </w:rPr>
              <w:t>Mõõtühik</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240CE9" w14:textId="77777777" w:rsidR="00976487" w:rsidRPr="00687DE8" w:rsidRDefault="00976487" w:rsidP="007122D9">
            <w:pPr>
              <w:pStyle w:val="Normaallaadveeb"/>
              <w:tabs>
                <w:tab w:val="decimal" w:pos="635"/>
              </w:tabs>
              <w:spacing w:before="0" w:after="0" w:afterAutospacing="0"/>
              <w:jc w:val="center"/>
            </w:pPr>
            <w:r w:rsidRPr="00687DE8">
              <w:rPr>
                <w:b/>
                <w:bCs/>
              </w:rPr>
              <w:t>Piirhind</w:t>
            </w:r>
            <w:r w:rsidRPr="00687DE8">
              <w:rPr>
                <w:b/>
              </w:rPr>
              <w:br/>
            </w:r>
            <w:r w:rsidRPr="00687DE8">
              <w:rPr>
                <w:b/>
                <w:bCs/>
              </w:rPr>
              <w:t>eurodes</w:t>
            </w:r>
          </w:p>
        </w:tc>
      </w:tr>
      <w:tr w:rsidR="00BE77B6" w:rsidRPr="00687DE8" w14:paraId="042C1697"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8E395C" w14:textId="77777777" w:rsidR="00BE77B6" w:rsidRPr="00687DE8" w:rsidRDefault="00BE77B6" w:rsidP="007122D9">
            <w:pPr>
              <w:pStyle w:val="Normaallaadveeb"/>
              <w:spacing w:before="0" w:after="0" w:afterAutospacing="0"/>
            </w:pPr>
            <w:r w:rsidRPr="00687DE8">
              <w:t xml:space="preserve">Konservveri </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3B4A1A" w14:textId="77777777" w:rsidR="00BE77B6" w:rsidRPr="00687DE8" w:rsidRDefault="00BE77B6" w:rsidP="007122D9">
            <w:pPr>
              <w:pStyle w:val="Normaallaadveeb"/>
              <w:spacing w:before="0" w:after="0" w:afterAutospacing="0"/>
              <w:jc w:val="center"/>
            </w:pPr>
            <w:r w:rsidRPr="00687DE8">
              <w:t>4001</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968C73"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C93781" w14:textId="358B2337" w:rsidR="7D7C0761" w:rsidRPr="00687DE8" w:rsidRDefault="00F958BD">
            <w:pPr>
              <w:spacing w:after="0"/>
              <w:jc w:val="center"/>
              <w:rPr>
                <w:color w:val="000000" w:themeColor="text1"/>
                <w:szCs w:val="24"/>
              </w:rPr>
            </w:pPr>
            <w:r>
              <w:rPr>
                <w:color w:val="000000"/>
              </w:rPr>
              <w:t>152,20</w:t>
            </w:r>
          </w:p>
        </w:tc>
      </w:tr>
      <w:tr w:rsidR="00BE77B6" w:rsidRPr="00687DE8" w14:paraId="218B26C6"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6B51A9" w14:textId="77777777" w:rsidR="00BE77B6" w:rsidRPr="00687DE8" w:rsidRDefault="00BE77B6" w:rsidP="007122D9">
            <w:pPr>
              <w:pStyle w:val="Normaallaadveeb"/>
              <w:spacing w:before="0" w:after="0" w:afterAutospacing="0"/>
            </w:pPr>
            <w:r w:rsidRPr="00687DE8">
              <w:t xml:space="preserve">Erütrotsüütide suspensioon </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879B6" w14:textId="77777777" w:rsidR="00BE77B6" w:rsidRPr="00687DE8" w:rsidRDefault="00BE77B6" w:rsidP="007122D9">
            <w:pPr>
              <w:pStyle w:val="Normaallaadveeb"/>
              <w:spacing w:before="0" w:after="0" w:afterAutospacing="0"/>
              <w:jc w:val="center"/>
            </w:pPr>
            <w:r w:rsidRPr="00687DE8">
              <w:t>4002</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D23999"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4EE6CE" w14:textId="35D2CC93" w:rsidR="7D7C0761" w:rsidRPr="00687DE8" w:rsidRDefault="00F958BD">
            <w:pPr>
              <w:spacing w:after="0"/>
              <w:jc w:val="center"/>
              <w:rPr>
                <w:color w:val="000000" w:themeColor="text1"/>
                <w:szCs w:val="24"/>
              </w:rPr>
            </w:pPr>
            <w:r>
              <w:rPr>
                <w:color w:val="000000"/>
              </w:rPr>
              <w:t>139,28</w:t>
            </w:r>
          </w:p>
        </w:tc>
      </w:tr>
      <w:tr w:rsidR="00BE77B6" w:rsidRPr="00687DE8" w14:paraId="1114CFE7"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5B3F89" w14:textId="77777777" w:rsidR="00BE77B6" w:rsidRPr="00687DE8" w:rsidRDefault="00BE77B6" w:rsidP="007122D9">
            <w:pPr>
              <w:pStyle w:val="Normaallaadveeb"/>
              <w:spacing w:before="0" w:after="0" w:afterAutospacing="0"/>
            </w:pPr>
            <w:r w:rsidRPr="00687DE8">
              <w:t xml:space="preserve">Erütrotsüütide suspensioon, lastedoos </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A16128" w14:textId="77777777" w:rsidR="00BE77B6" w:rsidRPr="00687DE8" w:rsidRDefault="00BE77B6" w:rsidP="007122D9">
            <w:pPr>
              <w:pStyle w:val="Normaallaadveeb"/>
              <w:spacing w:before="0" w:after="0" w:afterAutospacing="0"/>
              <w:jc w:val="center"/>
            </w:pPr>
            <w:r w:rsidRPr="00687DE8">
              <w:t>4003</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191513"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648C43" w14:textId="72FEE3D7" w:rsidR="7D7C0761" w:rsidRPr="00687DE8" w:rsidRDefault="00F958BD">
            <w:pPr>
              <w:spacing w:after="0"/>
              <w:jc w:val="center"/>
              <w:rPr>
                <w:color w:val="000000" w:themeColor="text1"/>
                <w:szCs w:val="24"/>
              </w:rPr>
            </w:pPr>
            <w:r>
              <w:rPr>
                <w:color w:val="000000"/>
              </w:rPr>
              <w:t>72,11</w:t>
            </w:r>
          </w:p>
        </w:tc>
      </w:tr>
      <w:tr w:rsidR="00BE77B6" w:rsidRPr="00687DE8" w14:paraId="36D88B82"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789DA4" w14:textId="77777777" w:rsidR="00BE77B6" w:rsidRPr="00687DE8" w:rsidRDefault="00BE77B6" w:rsidP="007122D9">
            <w:pPr>
              <w:pStyle w:val="Normaallaadveeb"/>
              <w:spacing w:before="0" w:after="0" w:afterAutospacing="0"/>
            </w:pPr>
            <w:r w:rsidRPr="00687DE8">
              <w:t xml:space="preserve">Vereplasma </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449CC8" w14:textId="77777777" w:rsidR="00BE77B6" w:rsidRPr="00687DE8" w:rsidRDefault="00BE77B6" w:rsidP="007122D9">
            <w:pPr>
              <w:pStyle w:val="Normaallaadveeb"/>
              <w:spacing w:before="0" w:after="0" w:afterAutospacing="0"/>
              <w:jc w:val="center"/>
            </w:pPr>
            <w:r w:rsidRPr="00687DE8">
              <w:t>4011</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3F7654"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7C429F" w14:textId="3777910A" w:rsidR="7D7C0761" w:rsidRPr="00687DE8" w:rsidRDefault="00F958BD">
            <w:pPr>
              <w:spacing w:after="0"/>
              <w:jc w:val="center"/>
              <w:rPr>
                <w:color w:val="000000" w:themeColor="text1"/>
                <w:szCs w:val="24"/>
              </w:rPr>
            </w:pPr>
            <w:r>
              <w:rPr>
                <w:color w:val="000000"/>
              </w:rPr>
              <w:t>44,87</w:t>
            </w:r>
          </w:p>
        </w:tc>
      </w:tr>
      <w:tr w:rsidR="00BE77B6" w:rsidRPr="00687DE8" w14:paraId="73021E34"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6CC5FB" w14:textId="77777777" w:rsidR="00BE77B6" w:rsidRPr="00687DE8" w:rsidRDefault="00BE77B6" w:rsidP="007122D9">
            <w:pPr>
              <w:pStyle w:val="Normaallaadveeb"/>
              <w:spacing w:before="0" w:after="0" w:afterAutospacing="0"/>
            </w:pPr>
            <w:r w:rsidRPr="00687DE8">
              <w:t xml:space="preserve">Vereplasma, lastedoos </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F3FA29" w14:textId="77777777" w:rsidR="00BE77B6" w:rsidRPr="00687DE8" w:rsidRDefault="00BE77B6" w:rsidP="007122D9">
            <w:pPr>
              <w:pStyle w:val="Normaallaadveeb"/>
              <w:spacing w:before="0" w:after="0" w:afterAutospacing="0"/>
              <w:jc w:val="center"/>
            </w:pPr>
            <w:r w:rsidRPr="00687DE8">
              <w:t>4013</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D0D7C7"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E74B27" w14:textId="0103EFB3" w:rsidR="7D7C0761" w:rsidRPr="00687DE8" w:rsidRDefault="00F958BD">
            <w:pPr>
              <w:spacing w:after="0"/>
              <w:jc w:val="center"/>
              <w:rPr>
                <w:color w:val="000000" w:themeColor="text1"/>
                <w:szCs w:val="24"/>
              </w:rPr>
            </w:pPr>
            <w:r>
              <w:rPr>
                <w:color w:val="000000"/>
              </w:rPr>
              <w:t>29,37</w:t>
            </w:r>
          </w:p>
        </w:tc>
      </w:tr>
      <w:tr w:rsidR="00BE77B6" w:rsidRPr="00687DE8" w14:paraId="20D57002"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4DA255" w14:textId="77777777" w:rsidR="00BE77B6" w:rsidRPr="00687DE8" w:rsidRDefault="00BE77B6" w:rsidP="007122D9">
            <w:pPr>
              <w:pStyle w:val="Normaallaadveeb"/>
              <w:spacing w:before="0" w:after="0" w:afterAutospacing="0"/>
            </w:pPr>
            <w:r w:rsidRPr="00687DE8">
              <w:t>Afereesi trombotsüütide kontsentraat</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597105" w14:textId="77777777" w:rsidR="00BE77B6" w:rsidRPr="00687DE8" w:rsidRDefault="00BE77B6" w:rsidP="007122D9">
            <w:pPr>
              <w:pStyle w:val="Normaallaadveeb"/>
              <w:spacing w:before="0" w:after="0" w:afterAutospacing="0"/>
              <w:jc w:val="center"/>
            </w:pPr>
            <w:r w:rsidRPr="00687DE8">
              <w:t>4016</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519400"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F04B80" w14:textId="0F0F48F2" w:rsidR="7D7C0761" w:rsidRPr="00687DE8" w:rsidRDefault="00F958BD">
            <w:pPr>
              <w:spacing w:after="0"/>
              <w:jc w:val="center"/>
              <w:rPr>
                <w:color w:val="000000" w:themeColor="text1"/>
                <w:szCs w:val="24"/>
              </w:rPr>
            </w:pPr>
            <w:r>
              <w:rPr>
                <w:color w:val="000000"/>
              </w:rPr>
              <w:t>214,25</w:t>
            </w:r>
          </w:p>
        </w:tc>
      </w:tr>
      <w:tr w:rsidR="00BE77B6" w:rsidRPr="00687DE8" w14:paraId="3AD17F56"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36BA65" w14:textId="77777777" w:rsidR="00BE77B6" w:rsidRPr="00687DE8" w:rsidRDefault="00BE77B6" w:rsidP="007122D9">
            <w:pPr>
              <w:pStyle w:val="Normaallaadveeb"/>
              <w:spacing w:before="0" w:after="0" w:afterAutospacing="0"/>
            </w:pPr>
            <w:r w:rsidRPr="00687DE8">
              <w:t>Krüopretsipitaat (70–150 toimeühikut doosis)</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997AF9" w14:textId="77777777" w:rsidR="00BE77B6" w:rsidRPr="00687DE8" w:rsidRDefault="00BE77B6" w:rsidP="007122D9">
            <w:pPr>
              <w:pStyle w:val="Normaallaadveeb"/>
              <w:spacing w:before="0" w:after="0" w:afterAutospacing="0"/>
              <w:jc w:val="center"/>
            </w:pPr>
            <w:r w:rsidRPr="00687DE8">
              <w:t>4017</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0F8AD6"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07449C" w14:textId="586E381E" w:rsidR="7D7C0761" w:rsidRPr="00687DE8" w:rsidRDefault="00F958BD">
            <w:pPr>
              <w:spacing w:after="0"/>
              <w:jc w:val="center"/>
              <w:rPr>
                <w:color w:val="000000" w:themeColor="text1"/>
                <w:szCs w:val="24"/>
              </w:rPr>
            </w:pPr>
            <w:r>
              <w:rPr>
                <w:color w:val="000000"/>
              </w:rPr>
              <w:t>141,24</w:t>
            </w:r>
          </w:p>
        </w:tc>
      </w:tr>
      <w:tr w:rsidR="00BE77B6" w:rsidRPr="00687DE8" w14:paraId="7671DEB8"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0ED06D" w14:textId="77777777" w:rsidR="00BE77B6" w:rsidRPr="00687DE8" w:rsidRDefault="00BE77B6" w:rsidP="007122D9">
            <w:pPr>
              <w:pStyle w:val="Normaallaadveeb"/>
              <w:spacing w:before="0" w:after="0" w:afterAutospacing="0"/>
            </w:pPr>
            <w:r w:rsidRPr="00687DE8">
              <w:t>Koosteveri</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5E9254" w14:textId="77777777" w:rsidR="00BE77B6" w:rsidRPr="00687DE8" w:rsidRDefault="00BE77B6" w:rsidP="007122D9">
            <w:pPr>
              <w:pStyle w:val="Normaallaadveeb"/>
              <w:spacing w:before="0" w:after="0" w:afterAutospacing="0"/>
              <w:jc w:val="center"/>
            </w:pPr>
            <w:r w:rsidRPr="00687DE8">
              <w:t>4022</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208B37"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778EAF" w14:textId="176BB1D4" w:rsidR="7D7C0761" w:rsidRPr="00687DE8" w:rsidRDefault="00F958BD">
            <w:pPr>
              <w:spacing w:after="0"/>
              <w:jc w:val="center"/>
              <w:rPr>
                <w:color w:val="000000" w:themeColor="text1"/>
                <w:szCs w:val="24"/>
              </w:rPr>
            </w:pPr>
            <w:r>
              <w:rPr>
                <w:color w:val="000000"/>
              </w:rPr>
              <w:t>187,68</w:t>
            </w:r>
          </w:p>
        </w:tc>
      </w:tr>
      <w:tr w:rsidR="00BE77B6" w:rsidRPr="00687DE8" w14:paraId="6EEF97C5"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7A3501" w14:textId="77777777" w:rsidR="00BE77B6" w:rsidRPr="00687DE8" w:rsidRDefault="00BE77B6" w:rsidP="007122D9">
            <w:pPr>
              <w:pStyle w:val="Normaallaadveeb"/>
              <w:spacing w:before="0" w:after="0" w:afterAutospacing="0"/>
            </w:pPr>
            <w:r w:rsidRPr="00687DE8">
              <w:rPr>
                <w:lang w:val="sv-SE"/>
              </w:rPr>
              <w:t>Vähendatud mahuga afereesi trombotsüütide kontsentraat</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501A17" w14:textId="77777777" w:rsidR="00BE77B6" w:rsidRPr="00687DE8" w:rsidRDefault="00BE77B6" w:rsidP="007122D9">
            <w:pPr>
              <w:pStyle w:val="Normaallaadveeb"/>
              <w:spacing w:before="0" w:after="0" w:afterAutospacing="0"/>
              <w:jc w:val="center"/>
            </w:pPr>
            <w:r w:rsidRPr="00687DE8">
              <w:t>4060</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05BD13"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744196" w14:textId="1991C26C" w:rsidR="7D7C0761" w:rsidRPr="00687DE8" w:rsidRDefault="00F958BD">
            <w:pPr>
              <w:spacing w:after="0"/>
              <w:jc w:val="center"/>
              <w:rPr>
                <w:color w:val="000000" w:themeColor="text1"/>
                <w:szCs w:val="24"/>
              </w:rPr>
            </w:pPr>
            <w:r>
              <w:rPr>
                <w:color w:val="000000"/>
              </w:rPr>
              <w:t>222,08</w:t>
            </w:r>
          </w:p>
        </w:tc>
      </w:tr>
      <w:tr w:rsidR="00BE77B6" w:rsidRPr="00687DE8" w14:paraId="42C4ADB3"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9E4F88" w14:textId="77777777" w:rsidR="00BE77B6" w:rsidRPr="00687DE8" w:rsidRDefault="00BE77B6" w:rsidP="007122D9">
            <w:pPr>
              <w:pStyle w:val="Normaallaadveeb"/>
              <w:spacing w:before="0" w:after="0" w:afterAutospacing="0"/>
            </w:pPr>
            <w:r w:rsidRPr="00687DE8">
              <w:t>Afereesi trombotsüütide kontsentraat, lastedoos</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5E150E" w14:textId="77777777" w:rsidR="00BE77B6" w:rsidRPr="00687DE8" w:rsidRDefault="00BE77B6" w:rsidP="007122D9">
            <w:pPr>
              <w:pStyle w:val="Normaallaadveeb"/>
              <w:spacing w:before="0" w:after="0" w:afterAutospacing="0"/>
              <w:jc w:val="center"/>
            </w:pPr>
            <w:r w:rsidRPr="00687DE8">
              <w:t>4064</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5AB5A4"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604831" w14:textId="07DC69C0" w:rsidR="7D7C0761" w:rsidRPr="00687DE8" w:rsidRDefault="00F958BD">
            <w:pPr>
              <w:spacing w:after="0"/>
              <w:jc w:val="center"/>
              <w:rPr>
                <w:color w:val="000000" w:themeColor="text1"/>
                <w:szCs w:val="24"/>
              </w:rPr>
            </w:pPr>
            <w:r>
              <w:rPr>
                <w:color w:val="000000"/>
              </w:rPr>
              <w:t>115,19</w:t>
            </w:r>
          </w:p>
        </w:tc>
      </w:tr>
      <w:tr w:rsidR="00BE77B6" w:rsidRPr="00687DE8" w14:paraId="258D6D62"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488C3D" w14:textId="77777777" w:rsidR="00BE77B6" w:rsidRPr="00687DE8" w:rsidRDefault="00BE77B6" w:rsidP="007122D9">
            <w:pPr>
              <w:pStyle w:val="Normaallaadveeb"/>
              <w:spacing w:before="0" w:after="0" w:afterAutospacing="0"/>
            </w:pPr>
            <w:r w:rsidRPr="00687DE8">
              <w:t xml:space="preserve">Filtreeritud erütrotsüütide suspensioon </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38BC55" w14:textId="77777777" w:rsidR="00BE77B6" w:rsidRPr="00687DE8" w:rsidRDefault="00BE77B6" w:rsidP="007122D9">
            <w:pPr>
              <w:pStyle w:val="Normaallaadveeb"/>
              <w:spacing w:before="0" w:after="0" w:afterAutospacing="0"/>
              <w:jc w:val="center"/>
            </w:pPr>
            <w:r w:rsidRPr="00687DE8">
              <w:t>4065</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9DB6E2"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54C542" w14:textId="2DD1AD4A" w:rsidR="7D7C0761" w:rsidRPr="00687DE8" w:rsidRDefault="00F958BD">
            <w:pPr>
              <w:spacing w:after="0"/>
              <w:jc w:val="center"/>
              <w:rPr>
                <w:color w:val="000000" w:themeColor="text1"/>
                <w:szCs w:val="24"/>
              </w:rPr>
            </w:pPr>
            <w:r>
              <w:rPr>
                <w:color w:val="000000"/>
              </w:rPr>
              <w:t>152,20</w:t>
            </w:r>
          </w:p>
        </w:tc>
      </w:tr>
      <w:tr w:rsidR="00BE77B6" w:rsidRPr="00687DE8" w14:paraId="7C6EA963" w14:textId="77777777" w:rsidTr="00EB7A71">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AA0272" w14:textId="77777777" w:rsidR="00BE77B6" w:rsidRPr="00687DE8" w:rsidRDefault="00BE77B6" w:rsidP="007122D9">
            <w:pPr>
              <w:pStyle w:val="Normaallaadveeb"/>
              <w:spacing w:before="0" w:after="0" w:afterAutospacing="0"/>
            </w:pPr>
            <w:r w:rsidRPr="00687DE8">
              <w:t>Filtreeritud erütrotsüütide suspensioon, lastedoos</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2CB1F2" w14:textId="77777777" w:rsidR="00BE77B6" w:rsidRPr="00687DE8" w:rsidRDefault="00BE77B6" w:rsidP="007122D9">
            <w:pPr>
              <w:pStyle w:val="Normaallaadveeb"/>
              <w:spacing w:before="0" w:after="0" w:afterAutospacing="0"/>
              <w:jc w:val="center"/>
            </w:pPr>
            <w:r w:rsidRPr="00687DE8">
              <w:t>4066</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B36548"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C5F944" w14:textId="5FF1AEBF" w:rsidR="7D7C0761" w:rsidRPr="00687DE8" w:rsidRDefault="00F958BD">
            <w:pPr>
              <w:spacing w:after="0"/>
              <w:jc w:val="center"/>
              <w:rPr>
                <w:color w:val="000000" w:themeColor="text1"/>
                <w:szCs w:val="24"/>
              </w:rPr>
            </w:pPr>
            <w:r>
              <w:rPr>
                <w:color w:val="000000"/>
              </w:rPr>
              <w:t>90,69</w:t>
            </w:r>
          </w:p>
        </w:tc>
      </w:tr>
      <w:tr w:rsidR="00BE77B6" w:rsidRPr="00687DE8" w14:paraId="7AED7F0D"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653A91" w14:textId="77777777" w:rsidR="00BE77B6" w:rsidRPr="00687DE8" w:rsidRDefault="00BE77B6" w:rsidP="007122D9">
            <w:pPr>
              <w:pStyle w:val="Normaallaadveeb"/>
              <w:spacing w:before="0" w:after="0" w:afterAutospacing="0"/>
            </w:pPr>
            <w:r w:rsidRPr="00687DE8">
              <w:t>Filtreeritud ja pestud erütrotsüütide suspensioon</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84B368" w14:textId="77777777" w:rsidR="00BE77B6" w:rsidRPr="00687DE8" w:rsidRDefault="00BE77B6" w:rsidP="007122D9">
            <w:pPr>
              <w:pStyle w:val="Normaallaadveeb"/>
              <w:spacing w:before="0" w:after="0" w:afterAutospacing="0"/>
              <w:jc w:val="center"/>
            </w:pPr>
            <w:r w:rsidRPr="00687DE8">
              <w:t>4068</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E35162"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362871" w14:textId="55C9BE6F" w:rsidR="7D7C0761" w:rsidRPr="00687DE8" w:rsidRDefault="00F958BD">
            <w:pPr>
              <w:spacing w:after="0"/>
              <w:jc w:val="center"/>
              <w:rPr>
                <w:color w:val="000000" w:themeColor="text1"/>
                <w:szCs w:val="24"/>
              </w:rPr>
            </w:pPr>
            <w:r>
              <w:rPr>
                <w:color w:val="000000"/>
              </w:rPr>
              <w:t>172,17</w:t>
            </w:r>
          </w:p>
        </w:tc>
      </w:tr>
      <w:tr w:rsidR="00BE77B6" w:rsidRPr="00687DE8" w14:paraId="419192DF"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300FEF" w14:textId="77777777" w:rsidR="00BE77B6" w:rsidRPr="00687DE8" w:rsidRDefault="00BE77B6" w:rsidP="007122D9">
            <w:pPr>
              <w:pStyle w:val="Normaallaadveeb"/>
              <w:spacing w:before="0" w:after="0" w:afterAutospacing="0"/>
            </w:pPr>
            <w:r w:rsidRPr="00687DE8">
              <w:t>Filtreeritud ja pestud erütrotsüütide suspensioon, lastedoos</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E00131" w14:textId="77777777" w:rsidR="00BE77B6" w:rsidRPr="00687DE8" w:rsidRDefault="00BE77B6" w:rsidP="007122D9">
            <w:pPr>
              <w:pStyle w:val="Normaallaadveeb"/>
              <w:spacing w:before="0" w:after="0" w:afterAutospacing="0"/>
              <w:jc w:val="center"/>
            </w:pPr>
            <w:r w:rsidRPr="00687DE8">
              <w:t>4069</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9A8593"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2DBCA3" w14:textId="379B9B7D" w:rsidR="002D7EA0" w:rsidRPr="00687DE8" w:rsidRDefault="00F958BD">
            <w:pPr>
              <w:spacing w:after="0"/>
              <w:jc w:val="center"/>
              <w:rPr>
                <w:szCs w:val="24"/>
              </w:rPr>
            </w:pPr>
            <w:r>
              <w:rPr>
                <w:color w:val="000000"/>
              </w:rPr>
              <w:t>99,75</w:t>
            </w:r>
          </w:p>
        </w:tc>
      </w:tr>
      <w:tr w:rsidR="00BE77B6" w:rsidRPr="00687DE8" w14:paraId="5239C12A"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BC3C46" w14:textId="77777777" w:rsidR="00BE77B6" w:rsidRPr="00687DE8" w:rsidRDefault="00BE77B6" w:rsidP="007122D9">
            <w:pPr>
              <w:pStyle w:val="Normaallaadveeb"/>
              <w:spacing w:before="0" w:after="0" w:afterAutospacing="0"/>
            </w:pPr>
            <w:r w:rsidRPr="00687DE8">
              <w:t>Filtreeritud BC trombotsüütide kontsentraat</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60F2F1" w14:textId="77777777" w:rsidR="00BE77B6" w:rsidRPr="00687DE8" w:rsidRDefault="00BE77B6" w:rsidP="007122D9">
            <w:pPr>
              <w:pStyle w:val="Normaallaadveeb"/>
              <w:spacing w:before="0" w:after="0" w:afterAutospacing="0"/>
              <w:jc w:val="center"/>
            </w:pPr>
            <w:r w:rsidRPr="00687DE8">
              <w:t>4073</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54D326"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D54BAC" w14:textId="67A8EB37" w:rsidR="002D7EA0" w:rsidRPr="00687DE8" w:rsidRDefault="00F958BD">
            <w:pPr>
              <w:spacing w:after="0"/>
              <w:jc w:val="center"/>
              <w:rPr>
                <w:szCs w:val="24"/>
              </w:rPr>
            </w:pPr>
            <w:r>
              <w:rPr>
                <w:color w:val="000000"/>
              </w:rPr>
              <w:t>264,67</w:t>
            </w:r>
          </w:p>
        </w:tc>
      </w:tr>
      <w:tr w:rsidR="00BE77B6" w:rsidRPr="00687DE8" w14:paraId="308E002D"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B43C08" w14:textId="77777777" w:rsidR="00BE77B6" w:rsidRPr="00687DE8" w:rsidRDefault="00BE77B6" w:rsidP="007122D9">
            <w:pPr>
              <w:pStyle w:val="Normaallaadveeb"/>
              <w:spacing w:before="0" w:after="0" w:afterAutospacing="0"/>
            </w:pPr>
            <w:r w:rsidRPr="00687DE8">
              <w:rPr>
                <w:lang w:val="sv-SE"/>
              </w:rPr>
              <w:t>Vähendatud mahuga filtreeritud BC trombotsüütide kontsentraat</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6FB53A" w14:textId="77777777" w:rsidR="00BE77B6" w:rsidRPr="00687DE8" w:rsidRDefault="00BE77B6" w:rsidP="007122D9">
            <w:pPr>
              <w:pStyle w:val="Normaallaadveeb"/>
              <w:spacing w:before="0" w:after="0" w:afterAutospacing="0"/>
              <w:jc w:val="center"/>
            </w:pPr>
          </w:p>
          <w:p w14:paraId="4D88665C" w14:textId="77777777" w:rsidR="00BE77B6" w:rsidRPr="00687DE8" w:rsidRDefault="00BE77B6" w:rsidP="007122D9">
            <w:pPr>
              <w:pStyle w:val="Normaallaadveeb"/>
              <w:spacing w:before="0" w:after="0" w:afterAutospacing="0"/>
              <w:jc w:val="center"/>
            </w:pPr>
            <w:r w:rsidRPr="00687DE8">
              <w:t>4075</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CBADAB" w14:textId="77777777" w:rsidR="00BE77B6" w:rsidRPr="00687DE8" w:rsidRDefault="00BE77B6" w:rsidP="007122D9">
            <w:pPr>
              <w:pStyle w:val="Normaallaadveeb"/>
              <w:spacing w:before="0" w:after="0" w:afterAutospacing="0"/>
              <w:jc w:val="center"/>
            </w:pPr>
          </w:p>
          <w:p w14:paraId="14D22F39"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D8BCE8" w14:textId="565490E5" w:rsidR="002D7EA0" w:rsidRPr="00687DE8" w:rsidRDefault="00F958BD">
            <w:pPr>
              <w:spacing w:after="0"/>
              <w:jc w:val="center"/>
              <w:rPr>
                <w:szCs w:val="24"/>
              </w:rPr>
            </w:pPr>
            <w:r>
              <w:rPr>
                <w:color w:val="000000"/>
              </w:rPr>
              <w:t>272,60</w:t>
            </w:r>
          </w:p>
        </w:tc>
      </w:tr>
      <w:tr w:rsidR="00BE77B6" w:rsidRPr="00687DE8" w14:paraId="7B95B143"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A999AF" w14:textId="77777777" w:rsidR="00BE77B6" w:rsidRPr="00687DE8" w:rsidRDefault="00BE77B6" w:rsidP="007122D9">
            <w:pPr>
              <w:pStyle w:val="Normaallaadveeb"/>
              <w:spacing w:before="0" w:after="0" w:afterAutospacing="0"/>
            </w:pPr>
            <w:r w:rsidRPr="00687DE8">
              <w:lastRenderedPageBreak/>
              <w:t>Verepreparaadi kiiritamine</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79B886" w14:textId="77777777" w:rsidR="00BE77B6" w:rsidRPr="00687DE8" w:rsidRDefault="00BE77B6" w:rsidP="007122D9">
            <w:pPr>
              <w:pStyle w:val="Normaallaadveeb"/>
              <w:spacing w:before="0" w:after="0" w:afterAutospacing="0"/>
              <w:jc w:val="center"/>
            </w:pPr>
            <w:r w:rsidRPr="00687DE8">
              <w:t>4087</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A8C061"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9AF1A3" w14:textId="05477AF6" w:rsidR="002D7EA0" w:rsidRPr="00687DE8" w:rsidRDefault="00F958BD">
            <w:pPr>
              <w:spacing w:after="0"/>
              <w:jc w:val="center"/>
              <w:rPr>
                <w:szCs w:val="24"/>
              </w:rPr>
            </w:pPr>
            <w:r>
              <w:rPr>
                <w:color w:val="000000"/>
              </w:rPr>
              <w:t>27,63</w:t>
            </w:r>
          </w:p>
        </w:tc>
      </w:tr>
      <w:tr w:rsidR="00BE77B6" w:rsidRPr="00687DE8" w14:paraId="6F247DC4"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BE5392" w14:textId="77777777" w:rsidR="00BE77B6" w:rsidRPr="00687DE8" w:rsidRDefault="00BE77B6" w:rsidP="007122D9">
            <w:pPr>
              <w:pStyle w:val="Normaallaadveeb"/>
              <w:spacing w:before="0" w:after="0" w:afterAutospacing="0"/>
            </w:pPr>
            <w:r w:rsidRPr="00687DE8">
              <w:t xml:space="preserve">Pestud afereesi trombotsüütide kontsentraat </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98E82B" w14:textId="77777777" w:rsidR="00BE77B6" w:rsidRPr="00687DE8" w:rsidRDefault="00BE77B6" w:rsidP="007122D9">
            <w:pPr>
              <w:pStyle w:val="Normaallaadveeb"/>
              <w:spacing w:before="0" w:after="0" w:afterAutospacing="0"/>
              <w:jc w:val="center"/>
            </w:pPr>
            <w:r w:rsidRPr="00687DE8">
              <w:t>4088</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0FBB8D"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7678B8" w14:textId="2244D3B6" w:rsidR="002D7EA0" w:rsidRPr="00687DE8" w:rsidRDefault="00F958BD">
            <w:pPr>
              <w:spacing w:after="0"/>
              <w:jc w:val="center"/>
              <w:rPr>
                <w:szCs w:val="24"/>
              </w:rPr>
            </w:pPr>
            <w:r>
              <w:rPr>
                <w:color w:val="000000"/>
              </w:rPr>
              <w:t>248,23</w:t>
            </w:r>
          </w:p>
        </w:tc>
      </w:tr>
      <w:tr w:rsidR="00BE77B6" w:rsidRPr="00687DE8" w14:paraId="327B4673"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F9BD50" w14:textId="77777777" w:rsidR="00BE77B6" w:rsidRPr="00687DE8" w:rsidRDefault="00BE77B6" w:rsidP="007122D9">
            <w:pPr>
              <w:pStyle w:val="Normaallaadveeb"/>
              <w:spacing w:before="0" w:after="0" w:afterAutospacing="0"/>
            </w:pPr>
            <w:r w:rsidRPr="00687DE8">
              <w:rPr>
                <w:lang w:val="sv-SE"/>
              </w:rPr>
              <w:t>Pestud ja vähendatud mahuga afereesi trombotsüütide kontsentraat</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E0A2AB" w14:textId="77777777" w:rsidR="00BE77B6" w:rsidRPr="00687DE8" w:rsidRDefault="00BE77B6" w:rsidP="007122D9">
            <w:pPr>
              <w:pStyle w:val="Normaallaadveeb"/>
              <w:spacing w:before="0" w:after="0" w:afterAutospacing="0"/>
              <w:jc w:val="center"/>
            </w:pPr>
          </w:p>
          <w:p w14:paraId="1CCD5696" w14:textId="77777777" w:rsidR="00BE77B6" w:rsidRPr="00687DE8" w:rsidRDefault="00BE77B6" w:rsidP="007122D9">
            <w:pPr>
              <w:pStyle w:val="Normaallaadveeb"/>
              <w:spacing w:before="0" w:after="0" w:afterAutospacing="0"/>
              <w:jc w:val="center"/>
            </w:pPr>
            <w:r w:rsidRPr="00687DE8">
              <w:t>4089</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7F7184" w14:textId="77777777" w:rsidR="00BE77B6" w:rsidRPr="00687DE8" w:rsidRDefault="00BE77B6" w:rsidP="007122D9">
            <w:pPr>
              <w:pStyle w:val="Normaallaadveeb"/>
              <w:spacing w:before="0" w:after="0" w:afterAutospacing="0"/>
              <w:jc w:val="center"/>
            </w:pPr>
          </w:p>
          <w:p w14:paraId="10329133"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BBA543" w14:textId="457AA444" w:rsidR="002D7EA0" w:rsidRPr="00687DE8" w:rsidRDefault="00F958BD">
            <w:pPr>
              <w:spacing w:after="0"/>
              <w:jc w:val="center"/>
              <w:rPr>
                <w:szCs w:val="24"/>
              </w:rPr>
            </w:pPr>
            <w:r>
              <w:rPr>
                <w:color w:val="000000"/>
              </w:rPr>
              <w:t>254,93</w:t>
            </w:r>
          </w:p>
        </w:tc>
      </w:tr>
      <w:tr w:rsidR="00BE77B6" w:rsidRPr="00687DE8" w14:paraId="769B072B"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4A7D9F" w14:textId="77777777" w:rsidR="00BE77B6" w:rsidRPr="00687DE8" w:rsidRDefault="00BE77B6" w:rsidP="007122D9">
            <w:pPr>
              <w:pStyle w:val="Normaallaadveeb"/>
              <w:spacing w:before="0" w:after="0" w:afterAutospacing="0"/>
            </w:pPr>
            <w:r w:rsidRPr="00687DE8">
              <w:t>Afereesi erütrotsüüdid</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C2206A" w14:textId="77777777" w:rsidR="00BE77B6" w:rsidRPr="00687DE8" w:rsidRDefault="00BE77B6" w:rsidP="007122D9">
            <w:pPr>
              <w:pStyle w:val="Normaallaadveeb"/>
              <w:spacing w:before="0" w:after="0" w:afterAutospacing="0"/>
              <w:jc w:val="center"/>
            </w:pPr>
            <w:r w:rsidRPr="00687DE8">
              <w:t>4092</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6272AE"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2C745A" w14:textId="0CFC928F" w:rsidR="002D7EA0" w:rsidRPr="00687DE8" w:rsidRDefault="00F958BD">
            <w:pPr>
              <w:spacing w:after="0"/>
              <w:jc w:val="center"/>
              <w:rPr>
                <w:szCs w:val="24"/>
              </w:rPr>
            </w:pPr>
            <w:r>
              <w:rPr>
                <w:color w:val="000000"/>
              </w:rPr>
              <w:t>220,78</w:t>
            </w:r>
          </w:p>
        </w:tc>
      </w:tr>
      <w:tr w:rsidR="00BE77B6" w:rsidRPr="00687DE8" w14:paraId="6335CF9E"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6EEDC4" w14:textId="77777777" w:rsidR="00BE77B6" w:rsidRPr="00687DE8" w:rsidRDefault="00BE77B6" w:rsidP="007122D9">
            <w:pPr>
              <w:pStyle w:val="Normaallaadveeb"/>
              <w:spacing w:before="0" w:after="0" w:afterAutospacing="0"/>
            </w:pPr>
            <w:r w:rsidRPr="00687DE8">
              <w:rPr>
                <w:lang w:val="sv-SE"/>
              </w:rPr>
              <w:t>Filtreeritud ja vähendatud mahuga erütrotsüütide suspensioon</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A43679" w14:textId="77777777" w:rsidR="00BE77B6" w:rsidRPr="00687DE8" w:rsidRDefault="00BE77B6" w:rsidP="007122D9">
            <w:pPr>
              <w:pStyle w:val="Normaallaadveeb"/>
              <w:spacing w:before="0" w:after="0" w:afterAutospacing="0"/>
              <w:jc w:val="center"/>
            </w:pPr>
          </w:p>
          <w:p w14:paraId="1CCA7143" w14:textId="77777777" w:rsidR="00BE77B6" w:rsidRPr="00687DE8" w:rsidRDefault="00BE77B6" w:rsidP="007122D9">
            <w:pPr>
              <w:pStyle w:val="Normaallaadveeb"/>
              <w:spacing w:before="0" w:after="0" w:afterAutospacing="0"/>
              <w:jc w:val="center"/>
            </w:pPr>
            <w:r w:rsidRPr="00687DE8">
              <w:t>4106</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67DEC0" w14:textId="77777777" w:rsidR="00BE77B6" w:rsidRPr="00687DE8" w:rsidRDefault="00BE77B6" w:rsidP="007122D9">
            <w:pPr>
              <w:pStyle w:val="Normaallaadveeb"/>
              <w:spacing w:before="0" w:after="0" w:afterAutospacing="0"/>
              <w:jc w:val="center"/>
            </w:pPr>
          </w:p>
          <w:p w14:paraId="34D92333"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ADF5EE" w14:textId="508F20DC" w:rsidR="002D7EA0" w:rsidRPr="00687DE8" w:rsidRDefault="00F958BD">
            <w:pPr>
              <w:spacing w:after="0"/>
              <w:jc w:val="center"/>
              <w:rPr>
                <w:szCs w:val="24"/>
              </w:rPr>
            </w:pPr>
            <w:r>
              <w:rPr>
                <w:color w:val="000000"/>
              </w:rPr>
              <w:t>151,79</w:t>
            </w:r>
          </w:p>
        </w:tc>
      </w:tr>
      <w:tr w:rsidR="00BE77B6" w:rsidRPr="00687DE8" w14:paraId="21A44FF6"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6AC27B" w14:textId="77777777" w:rsidR="00BE77B6" w:rsidRPr="00687DE8" w:rsidRDefault="00BE77B6" w:rsidP="007122D9">
            <w:pPr>
              <w:pStyle w:val="Normaallaadveeb"/>
              <w:spacing w:before="0" w:after="0" w:afterAutospacing="0"/>
            </w:pPr>
            <w:r w:rsidRPr="00687DE8">
              <w:t>Krüopretsipitaat (210–450 toimeühikut doosis)</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B3B99A" w14:textId="77777777" w:rsidR="00BE77B6" w:rsidRPr="00687DE8" w:rsidRDefault="00BE77B6" w:rsidP="007122D9">
            <w:pPr>
              <w:pStyle w:val="Normaallaadveeb"/>
              <w:spacing w:before="0" w:after="0" w:afterAutospacing="0"/>
              <w:jc w:val="center"/>
            </w:pPr>
            <w:r w:rsidRPr="00687DE8">
              <w:t>4113</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E44FBE"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16EB40" w14:textId="1DEC7882" w:rsidR="002D7EA0" w:rsidRPr="00687DE8" w:rsidRDefault="00F958BD">
            <w:pPr>
              <w:spacing w:after="0"/>
              <w:jc w:val="center"/>
              <w:rPr>
                <w:szCs w:val="24"/>
              </w:rPr>
            </w:pPr>
            <w:r>
              <w:rPr>
                <w:color w:val="000000"/>
              </w:rPr>
              <w:t>193,90</w:t>
            </w:r>
          </w:p>
        </w:tc>
      </w:tr>
      <w:tr w:rsidR="00BE77B6" w:rsidRPr="00687DE8" w14:paraId="01B518EA"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9C5514" w14:textId="77777777" w:rsidR="00BE77B6" w:rsidRPr="00687DE8" w:rsidRDefault="00BE77B6" w:rsidP="007122D9">
            <w:pPr>
              <w:pStyle w:val="Normaallaadveeb"/>
              <w:spacing w:before="0" w:after="0" w:afterAutospacing="0"/>
            </w:pPr>
            <w:r w:rsidRPr="00687DE8">
              <w:t>Afereesiplasma</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78A966" w14:textId="77777777" w:rsidR="00BE77B6" w:rsidRPr="00687DE8" w:rsidRDefault="00BE77B6" w:rsidP="007122D9">
            <w:pPr>
              <w:pStyle w:val="Normaallaadveeb"/>
              <w:spacing w:before="0" w:after="0" w:afterAutospacing="0"/>
              <w:jc w:val="center"/>
            </w:pPr>
            <w:r w:rsidRPr="00687DE8">
              <w:t>4116</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076C52"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2471BF" w14:textId="13D7CBE0" w:rsidR="002D7EA0" w:rsidRPr="00687DE8" w:rsidRDefault="00F958BD">
            <w:pPr>
              <w:spacing w:after="0"/>
              <w:jc w:val="center"/>
              <w:rPr>
                <w:szCs w:val="24"/>
              </w:rPr>
            </w:pPr>
            <w:r>
              <w:rPr>
                <w:color w:val="000000"/>
              </w:rPr>
              <w:t>53,02</w:t>
            </w:r>
          </w:p>
        </w:tc>
      </w:tr>
      <w:tr w:rsidR="00BE77B6" w:rsidRPr="00687DE8" w14:paraId="31179FDF"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898076" w14:textId="77777777" w:rsidR="00BE77B6" w:rsidRPr="00687DE8" w:rsidRDefault="00BE77B6" w:rsidP="007122D9">
            <w:pPr>
              <w:pStyle w:val="Normaallaadveeb"/>
              <w:spacing w:before="0" w:after="0" w:afterAutospacing="0"/>
            </w:pPr>
            <w:r w:rsidRPr="00687DE8">
              <w:t>Afereesiplasma, lastedoos</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11E2DE" w14:textId="77777777" w:rsidR="00BE77B6" w:rsidRPr="00687DE8" w:rsidRDefault="00BE77B6" w:rsidP="007122D9">
            <w:pPr>
              <w:pStyle w:val="Normaallaadveeb"/>
              <w:spacing w:before="0" w:after="0" w:afterAutospacing="0"/>
              <w:jc w:val="center"/>
            </w:pPr>
            <w:r w:rsidRPr="00687DE8">
              <w:t>4117</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390CBB"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5ADAAC" w14:textId="58B51023" w:rsidR="002D7EA0" w:rsidRPr="00687DE8" w:rsidRDefault="00F958BD">
            <w:pPr>
              <w:spacing w:after="0"/>
              <w:jc w:val="center"/>
              <w:rPr>
                <w:szCs w:val="24"/>
              </w:rPr>
            </w:pPr>
            <w:r>
              <w:rPr>
                <w:color w:val="000000"/>
              </w:rPr>
              <w:t>47,05</w:t>
            </w:r>
          </w:p>
        </w:tc>
      </w:tr>
      <w:tr w:rsidR="00BE77B6" w:rsidRPr="00687DE8" w14:paraId="1F173155"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5D07A0" w14:textId="77777777" w:rsidR="00BE77B6" w:rsidRPr="00687DE8" w:rsidRDefault="00BE77B6" w:rsidP="007122D9">
            <w:pPr>
              <w:pStyle w:val="Normaallaadveeb"/>
              <w:spacing w:before="0" w:after="0" w:afterAutospacing="0"/>
            </w:pPr>
            <w:r w:rsidRPr="00687DE8">
              <w:t>Patogeenide inaktivatsioon plasmas</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FA6841" w14:textId="77777777" w:rsidR="00BE77B6" w:rsidRPr="00687DE8" w:rsidRDefault="00BE77B6" w:rsidP="007122D9">
            <w:pPr>
              <w:pStyle w:val="Normaallaadveeb"/>
              <w:spacing w:before="0" w:after="0" w:afterAutospacing="0"/>
              <w:jc w:val="center"/>
            </w:pPr>
            <w:r w:rsidRPr="00687DE8">
              <w:t>4131</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7E6B71"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456ABD" w14:textId="3538FEA9" w:rsidR="002D7EA0" w:rsidRPr="00687DE8" w:rsidRDefault="00F958BD">
            <w:pPr>
              <w:spacing w:after="0"/>
              <w:jc w:val="center"/>
              <w:rPr>
                <w:szCs w:val="24"/>
              </w:rPr>
            </w:pPr>
            <w:r>
              <w:rPr>
                <w:color w:val="000000"/>
              </w:rPr>
              <w:t>43,33</w:t>
            </w:r>
          </w:p>
        </w:tc>
      </w:tr>
      <w:tr w:rsidR="00BE77B6" w:rsidRPr="00687DE8" w14:paraId="60A3A1C5"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CC4333" w14:textId="77777777" w:rsidR="00BE77B6" w:rsidRPr="00687DE8" w:rsidRDefault="00BE77B6" w:rsidP="007122D9">
            <w:pPr>
              <w:pStyle w:val="Normaallaadveeb"/>
              <w:spacing w:before="0" w:after="0" w:afterAutospacing="0"/>
            </w:pPr>
            <w:r w:rsidRPr="00687DE8">
              <w:t>Patogeenide inaktivatsioon trombotsüütide kontsentraadis</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3AD3A4" w14:textId="77777777" w:rsidR="00BE77B6" w:rsidRPr="00687DE8" w:rsidRDefault="00BE77B6" w:rsidP="007122D9">
            <w:pPr>
              <w:pStyle w:val="Normaallaadveeb"/>
              <w:spacing w:before="0" w:after="0" w:afterAutospacing="0"/>
              <w:jc w:val="center"/>
            </w:pPr>
            <w:r w:rsidRPr="00687DE8">
              <w:t>4132</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D62BCC" w14:textId="77777777" w:rsidR="00BE77B6" w:rsidRPr="00687DE8" w:rsidRDefault="00BE77B6" w:rsidP="007122D9">
            <w:pPr>
              <w:pStyle w:val="Normaallaadveeb"/>
              <w:spacing w:before="0" w:after="0" w:afterAutospacing="0"/>
              <w:jc w:val="center"/>
            </w:pPr>
            <w:r w:rsidRPr="00687DE8">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26A377" w14:textId="668E5B1B" w:rsidR="002D7EA0" w:rsidRPr="00687DE8" w:rsidRDefault="00F958BD">
            <w:pPr>
              <w:spacing w:after="0"/>
              <w:jc w:val="center"/>
              <w:rPr>
                <w:szCs w:val="24"/>
              </w:rPr>
            </w:pPr>
            <w:r>
              <w:rPr>
                <w:color w:val="000000"/>
              </w:rPr>
              <w:t>75,20</w:t>
            </w:r>
          </w:p>
        </w:tc>
      </w:tr>
      <w:tr w:rsidR="003D33F2" w:rsidRPr="00687DE8" w14:paraId="251FFD53"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034DB3" w14:textId="32166B5D" w:rsidR="003D33F2" w:rsidRPr="00687DE8" w:rsidRDefault="00184720" w:rsidP="00EB7A71">
            <w:pPr>
              <w:jc w:val="both"/>
            </w:pPr>
            <w:r w:rsidRPr="00EB7A71">
              <w:rPr>
                <w:szCs w:val="24"/>
                <w:lang w:eastAsia="et-EE"/>
              </w:rPr>
              <w:t>Madala anti-A ja anti-B tiitriga 0-grupi täisveri</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C8783B" w14:textId="019BE9B3" w:rsidR="003D33F2" w:rsidRPr="00687DE8" w:rsidRDefault="003D33F2" w:rsidP="007122D9">
            <w:pPr>
              <w:pStyle w:val="Normaallaadveeb"/>
              <w:spacing w:before="0" w:after="0" w:afterAutospacing="0"/>
              <w:jc w:val="center"/>
            </w:pPr>
            <w:r w:rsidRPr="00BF3C61">
              <w:rPr>
                <w:color w:val="000000" w:themeColor="text1"/>
              </w:rPr>
              <w:t>4023</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B97614" w14:textId="289DF1D2" w:rsidR="003D33F2" w:rsidRPr="00687DE8" w:rsidRDefault="00184720" w:rsidP="007122D9">
            <w:pPr>
              <w:pStyle w:val="Normaallaadveeb"/>
              <w:spacing w:before="0" w:after="0" w:afterAutospacing="0"/>
              <w:jc w:val="center"/>
            </w:pPr>
            <w:r>
              <w:t>Üks doos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14:paraId="6AF3C6D6" w14:textId="0CDFDA06" w:rsidR="003D33F2" w:rsidRDefault="00203628" w:rsidP="008461CB">
            <w:pPr>
              <w:jc w:val="center"/>
              <w:rPr>
                <w:color w:val="000000"/>
              </w:rPr>
            </w:pPr>
            <w:r>
              <w:rPr>
                <w:color w:val="000000"/>
              </w:rPr>
              <w:t>228,14</w:t>
            </w:r>
          </w:p>
        </w:tc>
      </w:tr>
      <w:tr w:rsidR="00277EBE" w:rsidRPr="00687DE8" w14:paraId="30C1B2B6" w14:textId="77777777" w:rsidTr="00EB7A71">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81F908" w14:textId="77777777" w:rsidR="00277EBE" w:rsidRPr="00687DE8" w:rsidRDefault="00277EBE" w:rsidP="007122D9">
            <w:pPr>
              <w:pStyle w:val="Normaallaadveeb"/>
              <w:spacing w:before="0" w:after="0" w:afterAutospacing="0"/>
            </w:pPr>
            <w:r w:rsidRPr="00687DE8">
              <w:rPr>
                <w:i/>
              </w:rPr>
              <w:t>Sol. Albumini</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53B620E" w14:textId="77777777" w:rsidR="00277EBE" w:rsidRPr="00687DE8" w:rsidRDefault="00277EBE" w:rsidP="007122D9">
            <w:pPr>
              <w:pStyle w:val="Normaallaadveeb"/>
              <w:spacing w:before="0" w:after="0" w:afterAutospacing="0"/>
              <w:jc w:val="center"/>
            </w:pPr>
            <w:r w:rsidRPr="00687DE8">
              <w:t>4051</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22D64C4" w14:textId="77777777" w:rsidR="00277EBE" w:rsidRPr="00687DE8" w:rsidRDefault="00277EBE" w:rsidP="007122D9">
            <w:pPr>
              <w:pStyle w:val="Normaallaadveeb"/>
              <w:spacing w:before="0" w:after="0" w:afterAutospacing="0"/>
              <w:jc w:val="center"/>
            </w:pPr>
            <w:r w:rsidRPr="00687DE8">
              <w:t>1 gramm</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D5381F" w14:textId="7E4A001C" w:rsidR="003C4775" w:rsidRPr="00687DE8" w:rsidRDefault="00554DB3">
            <w:pPr>
              <w:spacing w:after="0"/>
              <w:jc w:val="center"/>
            </w:pPr>
            <w:r>
              <w:rPr>
                <w:color w:val="000000"/>
              </w:rPr>
              <w:t>2,00</w:t>
            </w:r>
          </w:p>
        </w:tc>
      </w:tr>
      <w:tr w:rsidR="00277EBE" w:rsidRPr="00687DE8" w14:paraId="4C562D3B"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F1B5CE" w14:textId="77777777" w:rsidR="00277EBE" w:rsidRPr="00687DE8" w:rsidRDefault="00277EBE" w:rsidP="007122D9">
            <w:pPr>
              <w:pStyle w:val="Normaallaadveeb"/>
              <w:spacing w:before="0" w:after="0" w:afterAutospacing="0"/>
            </w:pPr>
          </w:p>
          <w:p w14:paraId="00D85078" w14:textId="77777777" w:rsidR="00277EBE" w:rsidRPr="00687DE8" w:rsidRDefault="00277EBE" w:rsidP="007122D9">
            <w:pPr>
              <w:pStyle w:val="Normaallaadveeb"/>
              <w:spacing w:before="0" w:after="0" w:afterAutospacing="0"/>
            </w:pPr>
            <w:r w:rsidRPr="00687DE8">
              <w:t>VIII hüübimisfaktor</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593BAA7" w14:textId="77777777" w:rsidR="00277EBE" w:rsidRPr="00687DE8" w:rsidRDefault="00277EBE" w:rsidP="007122D9">
            <w:pPr>
              <w:pStyle w:val="Normaallaadveeb"/>
              <w:spacing w:before="0" w:after="0" w:afterAutospacing="0"/>
              <w:jc w:val="center"/>
            </w:pPr>
            <w:r w:rsidRPr="00687DE8">
              <w:t>4081</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0F6C4ED8" w14:textId="77777777" w:rsidR="00277EBE" w:rsidRPr="00687DE8" w:rsidRDefault="00277EBE" w:rsidP="007122D9">
            <w:pPr>
              <w:pStyle w:val="Normaallaadveeb"/>
              <w:spacing w:before="0" w:after="0" w:afterAutospacing="0"/>
              <w:jc w:val="center"/>
            </w:pPr>
            <w:r w:rsidRPr="00687DE8">
              <w:t>500 toimeühikut</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46C17F" w14:textId="77F32230" w:rsidR="00182E10" w:rsidRPr="00687DE8" w:rsidRDefault="00554DB3">
            <w:pPr>
              <w:spacing w:after="0"/>
              <w:jc w:val="center"/>
              <w:rPr>
                <w:szCs w:val="24"/>
              </w:rPr>
            </w:pPr>
            <w:r>
              <w:rPr>
                <w:color w:val="000000"/>
              </w:rPr>
              <w:t>126,34</w:t>
            </w:r>
          </w:p>
        </w:tc>
      </w:tr>
      <w:tr w:rsidR="00277EBE" w:rsidRPr="00687DE8" w14:paraId="2DF2012E"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1215F7" w14:textId="77777777" w:rsidR="00277EBE" w:rsidRPr="00687DE8" w:rsidRDefault="00277EBE" w:rsidP="007122D9">
            <w:pPr>
              <w:pStyle w:val="Normaallaadveeb"/>
              <w:spacing w:before="0" w:after="0" w:afterAutospacing="0"/>
            </w:pPr>
          </w:p>
          <w:p w14:paraId="4DE15CED" w14:textId="77777777" w:rsidR="00277EBE" w:rsidRPr="00687DE8" w:rsidRDefault="00277EBE" w:rsidP="007122D9">
            <w:pPr>
              <w:pStyle w:val="Normaallaadveeb"/>
              <w:spacing w:before="0" w:after="0" w:afterAutospacing="0"/>
            </w:pPr>
            <w:r w:rsidRPr="00687DE8">
              <w:t>VII hüübimisfaktor</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9B6D2C7" w14:textId="77777777" w:rsidR="00277EBE" w:rsidRPr="00687DE8" w:rsidRDefault="00277EBE" w:rsidP="007122D9">
            <w:pPr>
              <w:pStyle w:val="Normaallaadveeb"/>
              <w:spacing w:before="0" w:after="0" w:afterAutospacing="0"/>
              <w:jc w:val="center"/>
            </w:pPr>
            <w:r w:rsidRPr="00687DE8">
              <w:t>4094</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5C0FE99" w14:textId="77777777" w:rsidR="00277EBE" w:rsidRPr="00687DE8" w:rsidRDefault="00277EBE" w:rsidP="007122D9">
            <w:pPr>
              <w:pStyle w:val="Normaallaadveeb"/>
              <w:spacing w:before="0" w:after="0" w:afterAutospacing="0"/>
              <w:jc w:val="center"/>
            </w:pPr>
            <w:r w:rsidRPr="00687DE8">
              <w:t>100 toimeühikut</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48D3A3" w14:textId="45737A8E" w:rsidR="003C4775" w:rsidRPr="00687DE8" w:rsidRDefault="00554DB3">
            <w:pPr>
              <w:spacing w:after="0"/>
              <w:jc w:val="center"/>
              <w:rPr>
                <w:szCs w:val="24"/>
              </w:rPr>
            </w:pPr>
            <w:r>
              <w:rPr>
                <w:color w:val="000000"/>
              </w:rPr>
              <w:t>46,67</w:t>
            </w:r>
          </w:p>
        </w:tc>
      </w:tr>
      <w:tr w:rsidR="00277EBE" w:rsidRPr="00687DE8" w14:paraId="7244CE79"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23FF27" w14:textId="77777777" w:rsidR="00277EBE" w:rsidRPr="00687DE8" w:rsidRDefault="00277EBE" w:rsidP="007122D9">
            <w:pPr>
              <w:pStyle w:val="Normaallaadveeb"/>
              <w:spacing w:before="0" w:after="0" w:afterAutospacing="0"/>
            </w:pPr>
          </w:p>
          <w:p w14:paraId="580052E8" w14:textId="77777777" w:rsidR="00277EBE" w:rsidRPr="00687DE8" w:rsidRDefault="00277EBE" w:rsidP="007122D9">
            <w:pPr>
              <w:pStyle w:val="Normaallaadveeb"/>
              <w:spacing w:before="0" w:after="0" w:afterAutospacing="0"/>
            </w:pPr>
            <w:r w:rsidRPr="00687DE8">
              <w:t>IX hüübimisfaktor</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F798306" w14:textId="77777777" w:rsidR="00277EBE" w:rsidRPr="00687DE8" w:rsidRDefault="00277EBE" w:rsidP="007122D9">
            <w:pPr>
              <w:pStyle w:val="Normaallaadveeb"/>
              <w:spacing w:before="0" w:after="0" w:afterAutospacing="0"/>
              <w:jc w:val="center"/>
            </w:pPr>
            <w:r w:rsidRPr="00687DE8">
              <w:t>4095</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3A43082" w14:textId="77777777" w:rsidR="00277EBE" w:rsidRPr="00687DE8" w:rsidRDefault="00277EBE" w:rsidP="007122D9">
            <w:pPr>
              <w:pStyle w:val="Normaallaadveeb"/>
              <w:spacing w:before="0" w:after="0" w:afterAutospacing="0"/>
              <w:jc w:val="center"/>
            </w:pPr>
            <w:r w:rsidRPr="00687DE8">
              <w:t>100 toimeühikut</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0354F2" w14:textId="7A3181CF" w:rsidR="003C4775" w:rsidRPr="00687DE8" w:rsidRDefault="00554DB3">
            <w:pPr>
              <w:spacing w:after="0"/>
              <w:jc w:val="center"/>
              <w:rPr>
                <w:szCs w:val="24"/>
              </w:rPr>
            </w:pPr>
            <w:r>
              <w:rPr>
                <w:color w:val="000000"/>
              </w:rPr>
              <w:t>27,28</w:t>
            </w:r>
          </w:p>
        </w:tc>
      </w:tr>
      <w:tr w:rsidR="00277EBE" w:rsidRPr="00687DE8" w14:paraId="6655A2B0"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B1F11D" w14:textId="77777777" w:rsidR="00277EBE" w:rsidRPr="00687DE8" w:rsidRDefault="00277EBE" w:rsidP="007122D9">
            <w:pPr>
              <w:pStyle w:val="Normaallaadveeb"/>
              <w:spacing w:before="0" w:after="0" w:afterAutospacing="0"/>
            </w:pPr>
            <w:r w:rsidRPr="00687DE8">
              <w:t>100 toimeühikut Willebranti faktorit sisaldav annus</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97BDACC" w14:textId="77777777" w:rsidR="00277EBE" w:rsidRPr="00687DE8" w:rsidRDefault="00277EBE" w:rsidP="007122D9">
            <w:pPr>
              <w:pStyle w:val="Normaallaadveeb"/>
              <w:spacing w:before="0" w:after="0" w:afterAutospacing="0"/>
              <w:jc w:val="center"/>
            </w:pPr>
            <w:r w:rsidRPr="00687DE8">
              <w:t>4084</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F85A837" w14:textId="77777777" w:rsidR="00277EBE" w:rsidRPr="00687DE8" w:rsidRDefault="00277EBE" w:rsidP="007122D9">
            <w:pPr>
              <w:pStyle w:val="Normaallaadveeb"/>
              <w:spacing w:before="0" w:after="0" w:afterAutospacing="0"/>
              <w:jc w:val="center"/>
            </w:pPr>
            <w:r w:rsidRPr="00687DE8">
              <w:t>Üks annus</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30A4E0" w14:textId="3D02119D" w:rsidR="003C4775" w:rsidRPr="00687DE8" w:rsidRDefault="00554DB3">
            <w:pPr>
              <w:spacing w:after="0"/>
              <w:jc w:val="center"/>
            </w:pPr>
            <w:r>
              <w:rPr>
                <w:color w:val="000000"/>
              </w:rPr>
              <w:t>38,50</w:t>
            </w:r>
          </w:p>
        </w:tc>
      </w:tr>
      <w:tr w:rsidR="00277EBE" w:rsidRPr="00687DE8" w14:paraId="43790955"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4F151F" w14:textId="77777777" w:rsidR="00277EBE" w:rsidRPr="00687DE8" w:rsidRDefault="00277EBE" w:rsidP="007122D9">
            <w:pPr>
              <w:pStyle w:val="Normaallaadveeb"/>
              <w:spacing w:before="0" w:after="0" w:afterAutospacing="0"/>
            </w:pPr>
          </w:p>
          <w:p w14:paraId="3AEA48A3" w14:textId="77777777" w:rsidR="00277EBE" w:rsidRPr="00687DE8" w:rsidRDefault="00277EBE" w:rsidP="007122D9">
            <w:pPr>
              <w:pStyle w:val="Normaallaadveeb"/>
              <w:spacing w:before="0" w:after="0" w:afterAutospacing="0"/>
            </w:pPr>
            <w:r w:rsidRPr="00687DE8">
              <w:t>VIII hüübimisfaktori antiinhibiitorkoagulantne rühm</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8F17127" w14:textId="77777777" w:rsidR="00277EBE" w:rsidRPr="00687DE8" w:rsidRDefault="00277EBE" w:rsidP="007122D9">
            <w:pPr>
              <w:pStyle w:val="Normaallaadveeb"/>
              <w:spacing w:before="0" w:after="0" w:afterAutospacing="0"/>
              <w:jc w:val="center"/>
            </w:pPr>
            <w:r w:rsidRPr="00687DE8">
              <w:t>4085</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18EBA22" w14:textId="77777777" w:rsidR="00277EBE" w:rsidRPr="00687DE8" w:rsidRDefault="00277EBE" w:rsidP="007122D9">
            <w:pPr>
              <w:pStyle w:val="Normaallaadveeb"/>
              <w:spacing w:before="0" w:after="0" w:afterAutospacing="0"/>
              <w:jc w:val="center"/>
            </w:pPr>
            <w:r w:rsidRPr="00687DE8">
              <w:t>500 toimeühikut</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FEE887" w14:textId="136A8B68" w:rsidR="00E01B11" w:rsidRPr="00687DE8" w:rsidRDefault="00554DB3">
            <w:pPr>
              <w:spacing w:after="0"/>
              <w:jc w:val="center"/>
              <w:rPr>
                <w:szCs w:val="24"/>
              </w:rPr>
            </w:pPr>
            <w:r>
              <w:rPr>
                <w:color w:val="000000"/>
              </w:rPr>
              <w:t>365,90</w:t>
            </w:r>
          </w:p>
        </w:tc>
      </w:tr>
      <w:tr w:rsidR="00277EBE" w:rsidRPr="00687DE8" w14:paraId="3B2AFBFA"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67C83D" w14:textId="77777777" w:rsidR="00277EBE" w:rsidRPr="00687DE8" w:rsidRDefault="00277EBE" w:rsidP="007122D9">
            <w:pPr>
              <w:pStyle w:val="Normaallaadveeb"/>
              <w:spacing w:before="0" w:after="0" w:afterAutospacing="0"/>
            </w:pPr>
            <w:r w:rsidRPr="00687DE8">
              <w:t>Immunoglobuliin</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9799524" w14:textId="77777777" w:rsidR="00277EBE" w:rsidRPr="00687DE8" w:rsidRDefault="00277EBE" w:rsidP="007122D9">
            <w:pPr>
              <w:pStyle w:val="Normaallaadveeb"/>
              <w:spacing w:before="0" w:after="0" w:afterAutospacing="0"/>
              <w:jc w:val="center"/>
            </w:pPr>
            <w:r w:rsidRPr="00687DE8">
              <w:t>4086</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85B5CC5" w14:textId="77777777" w:rsidR="00277EBE" w:rsidRPr="00687DE8" w:rsidRDefault="00277EBE" w:rsidP="007122D9">
            <w:pPr>
              <w:pStyle w:val="Normaallaadveeb"/>
              <w:spacing w:before="0" w:after="0" w:afterAutospacing="0"/>
              <w:jc w:val="center"/>
            </w:pPr>
            <w:r w:rsidRPr="00687DE8">
              <w:t>1 gramm</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E1BCE9" w14:textId="7972C050" w:rsidR="003C4775" w:rsidRPr="00687DE8" w:rsidRDefault="00554DB3">
            <w:pPr>
              <w:spacing w:after="0"/>
              <w:jc w:val="center"/>
              <w:rPr>
                <w:szCs w:val="24"/>
              </w:rPr>
            </w:pPr>
            <w:r>
              <w:rPr>
                <w:color w:val="000000"/>
              </w:rPr>
              <w:t>60,56</w:t>
            </w:r>
          </w:p>
        </w:tc>
      </w:tr>
      <w:tr w:rsidR="00277EBE" w:rsidRPr="00687DE8" w14:paraId="1DE64E08"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118AAC" w14:textId="77777777" w:rsidR="00277EBE" w:rsidRPr="00687DE8" w:rsidRDefault="00277EBE" w:rsidP="007122D9">
            <w:pPr>
              <w:pStyle w:val="Normaallaadveeb"/>
              <w:spacing w:before="0" w:after="0" w:afterAutospacing="0"/>
            </w:pPr>
          </w:p>
          <w:p w14:paraId="6B01D50E" w14:textId="77777777" w:rsidR="00277EBE" w:rsidRPr="00687DE8" w:rsidRDefault="00277EBE" w:rsidP="007122D9">
            <w:pPr>
              <w:pStyle w:val="Normaallaadveeb"/>
              <w:spacing w:before="0" w:after="0" w:afterAutospacing="0"/>
            </w:pPr>
            <w:r w:rsidRPr="00687DE8">
              <w:t>Rekombinantne aktiveeritud VII hüübimisfaktor</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0575B91" w14:textId="77777777" w:rsidR="00277EBE" w:rsidRPr="00687DE8" w:rsidRDefault="00277EBE" w:rsidP="007122D9">
            <w:pPr>
              <w:pStyle w:val="Normaallaadveeb"/>
              <w:spacing w:before="0" w:after="0" w:afterAutospacing="0"/>
              <w:jc w:val="center"/>
            </w:pPr>
            <w:r w:rsidRPr="00687DE8">
              <w:t>4091</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260AFA7" w14:textId="77777777" w:rsidR="00277EBE" w:rsidRPr="00687DE8" w:rsidRDefault="00277EBE" w:rsidP="007122D9">
            <w:pPr>
              <w:pStyle w:val="Normaallaadveeb"/>
              <w:spacing w:before="0" w:after="0" w:afterAutospacing="0"/>
              <w:jc w:val="center"/>
            </w:pPr>
            <w:r w:rsidRPr="00687DE8">
              <w:t>1 milligramm</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D20D39" w14:textId="4248AB5B" w:rsidR="003C4775" w:rsidRPr="00687DE8" w:rsidRDefault="00554DB3">
            <w:pPr>
              <w:spacing w:after="0"/>
              <w:jc w:val="center"/>
            </w:pPr>
            <w:r>
              <w:rPr>
                <w:color w:val="000000"/>
              </w:rPr>
              <w:t>847,78</w:t>
            </w:r>
          </w:p>
        </w:tc>
      </w:tr>
      <w:tr w:rsidR="00277EBE" w:rsidRPr="00687DE8" w14:paraId="5C3D6A64"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4C4A3F" w14:textId="77777777" w:rsidR="00277EBE" w:rsidRPr="00687DE8" w:rsidRDefault="00277EBE" w:rsidP="007122D9">
            <w:pPr>
              <w:pStyle w:val="Normaallaadveeb"/>
              <w:spacing w:before="0" w:after="0" w:afterAutospacing="0"/>
            </w:pPr>
          </w:p>
          <w:p w14:paraId="34C91559" w14:textId="77777777" w:rsidR="00277EBE" w:rsidRPr="00687DE8" w:rsidRDefault="00277EBE" w:rsidP="007122D9">
            <w:pPr>
              <w:pStyle w:val="Normaallaadveeb"/>
              <w:spacing w:before="0" w:after="0" w:afterAutospacing="0"/>
            </w:pPr>
            <w:r w:rsidRPr="00687DE8">
              <w:t>Inimese protrombiini kompleks</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144D598" w14:textId="77777777" w:rsidR="00277EBE" w:rsidRPr="00687DE8" w:rsidRDefault="00277EBE" w:rsidP="007122D9">
            <w:pPr>
              <w:pStyle w:val="Normaallaadveeb"/>
              <w:spacing w:before="0" w:after="0" w:afterAutospacing="0"/>
              <w:jc w:val="center"/>
            </w:pPr>
            <w:r w:rsidRPr="00687DE8">
              <w:t>4093</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8C2EF06" w14:textId="77777777" w:rsidR="00277EBE" w:rsidRPr="00687DE8" w:rsidRDefault="00277EBE" w:rsidP="007122D9">
            <w:pPr>
              <w:pStyle w:val="Normaallaadveeb"/>
              <w:spacing w:before="0" w:after="0" w:afterAutospacing="0"/>
              <w:jc w:val="center"/>
            </w:pPr>
            <w:r w:rsidRPr="00687DE8">
              <w:t>500 toimeühikut</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A1126C" w14:textId="78E2AA48" w:rsidR="003C4775" w:rsidRPr="00687DE8" w:rsidRDefault="00554DB3">
            <w:pPr>
              <w:spacing w:after="0"/>
              <w:jc w:val="center"/>
              <w:rPr>
                <w:szCs w:val="24"/>
              </w:rPr>
            </w:pPr>
            <w:r>
              <w:rPr>
                <w:color w:val="000000"/>
              </w:rPr>
              <w:t>270,00</w:t>
            </w:r>
          </w:p>
        </w:tc>
      </w:tr>
      <w:tr w:rsidR="00277EBE" w:rsidRPr="00687DE8" w14:paraId="43BB45D1" w14:textId="77777777" w:rsidTr="001B10F9">
        <w:trPr>
          <w:divId w:val="1316184749"/>
          <w:trHeight w:val="300"/>
        </w:trPr>
        <w:tc>
          <w:tcPr>
            <w:tcW w:w="5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27565F" w14:textId="77777777" w:rsidR="00277EBE" w:rsidRPr="00687DE8" w:rsidRDefault="00277EBE" w:rsidP="007122D9">
            <w:pPr>
              <w:pStyle w:val="Normaallaadveeb"/>
              <w:spacing w:before="0" w:after="0" w:afterAutospacing="0"/>
            </w:pPr>
            <w:r w:rsidRPr="00687DE8">
              <w:t>Inimese fibrinogeen</w:t>
            </w: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F293E65" w14:textId="77777777" w:rsidR="00277EBE" w:rsidRPr="00687DE8" w:rsidRDefault="00277EBE" w:rsidP="007122D9">
            <w:pPr>
              <w:pStyle w:val="Normaallaadveeb"/>
              <w:spacing w:before="0" w:after="0" w:afterAutospacing="0"/>
              <w:jc w:val="center"/>
            </w:pPr>
            <w:r w:rsidRPr="00687DE8">
              <w:t>4096</w:t>
            </w:r>
          </w:p>
        </w:tc>
        <w:tc>
          <w:tcPr>
            <w:tcW w:w="12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C4B9843" w14:textId="77777777" w:rsidR="00277EBE" w:rsidRPr="00687DE8" w:rsidRDefault="00277EBE" w:rsidP="007122D9">
            <w:pPr>
              <w:pStyle w:val="Normaallaadveeb"/>
              <w:spacing w:before="0" w:after="0" w:afterAutospacing="0"/>
              <w:jc w:val="center"/>
            </w:pPr>
            <w:r w:rsidRPr="00687DE8">
              <w:t>1 gramm</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55A2F4" w14:textId="2AAB7F66" w:rsidR="002B4B12" w:rsidRPr="00687DE8" w:rsidRDefault="00554DB3">
            <w:pPr>
              <w:spacing w:after="0"/>
              <w:jc w:val="center"/>
              <w:rPr>
                <w:szCs w:val="24"/>
              </w:rPr>
            </w:pPr>
            <w:r>
              <w:rPr>
                <w:color w:val="000000"/>
              </w:rPr>
              <w:t>367,31</w:t>
            </w:r>
          </w:p>
        </w:tc>
      </w:tr>
    </w:tbl>
    <w:p w14:paraId="02724CF4" w14:textId="77777777" w:rsidR="00976487" w:rsidRPr="00687DE8" w:rsidRDefault="00976487" w:rsidP="00976487">
      <w:pPr>
        <w:pStyle w:val="Normaallaadveeb"/>
        <w:spacing w:before="0" w:after="0" w:afterAutospacing="0"/>
        <w:jc w:val="both"/>
        <w:divId w:val="1316184749"/>
      </w:pPr>
    </w:p>
    <w:p w14:paraId="75FEE0F0" w14:textId="77777777" w:rsidR="00976487" w:rsidRPr="00687DE8" w:rsidRDefault="00976487" w:rsidP="00976487">
      <w:pPr>
        <w:pStyle w:val="Normaallaadveeb"/>
        <w:spacing w:before="0" w:after="0" w:afterAutospacing="0"/>
        <w:jc w:val="both"/>
        <w:divId w:val="1316184749"/>
      </w:pPr>
      <w:r w:rsidRPr="00687DE8">
        <w:t>(2) Koodiga 4093 tähistatud teenust osutatakse omandatud hüübimisteguri vaegusega patsiendile (RHK 10 kood D68.4) RHK 10 seisundite I60, I61, I62, S06 ja H43.1 korral või omandatud hüübimisteguri vaegusega patsiendi (RHK 10 kood D68.4) hüübivuse kiireks taastamiseks erakorralise kirurgia või eluohtliku massiivse verejooksuga kulgeva seisundi korral või elupäästvate protseduuride (koodid 7741, 7709, 7746, 7744) teostamiseks.</w:t>
      </w:r>
    </w:p>
    <w:p w14:paraId="4E084F26" w14:textId="77777777" w:rsidR="00976487" w:rsidRPr="00687DE8" w:rsidRDefault="00976487" w:rsidP="00976487">
      <w:pPr>
        <w:pStyle w:val="Normaallaadveeb"/>
        <w:spacing w:before="0" w:after="0" w:afterAutospacing="0"/>
        <w:jc w:val="both"/>
        <w:divId w:val="1316184749"/>
      </w:pPr>
    </w:p>
    <w:p w14:paraId="2FD14E3B" w14:textId="0EFA849A" w:rsidR="00976487" w:rsidRPr="00687DE8" w:rsidRDefault="00976487" w:rsidP="00976487">
      <w:pPr>
        <w:pStyle w:val="Normaallaadveeb"/>
        <w:spacing w:before="0" w:after="0" w:afterAutospacing="0"/>
        <w:jc w:val="both"/>
        <w:divId w:val="1316184749"/>
      </w:pPr>
      <w:r w:rsidRPr="00687DE8">
        <w:t xml:space="preserve">(3) </w:t>
      </w:r>
      <w:r w:rsidR="005023FD" w:rsidRPr="00687DE8">
        <w:t>Tervisekassa</w:t>
      </w:r>
      <w:r w:rsidRPr="00687DE8">
        <w:t xml:space="preserve"> võtab koodiga 4131 tähistatud teenuse eest tasu maksmise kohustuse üle juhul, kui seda rakendatakse koos koodiga 4011, 4013, 4116 või 4117. Koodiga 4131 tähistatud teenust rakendatakse juhul, kui kasutatakse tööstuslikult inaktiveeritud valmistoodet, ja juhul, kui inaktivatsiooni protseduur tehakse verekeskuses kohapeal.</w:t>
      </w:r>
    </w:p>
    <w:p w14:paraId="0BB2F6B8" w14:textId="77777777" w:rsidR="00976487" w:rsidRPr="00687DE8" w:rsidRDefault="00976487" w:rsidP="00976487">
      <w:pPr>
        <w:pStyle w:val="Normaallaadveeb"/>
        <w:spacing w:before="0" w:after="0" w:afterAutospacing="0"/>
        <w:jc w:val="both"/>
        <w:divId w:val="1316184749"/>
      </w:pPr>
    </w:p>
    <w:p w14:paraId="6BAF96AE" w14:textId="79BD650A" w:rsidR="00976487" w:rsidRPr="00687DE8" w:rsidRDefault="00976487" w:rsidP="00976487">
      <w:pPr>
        <w:pStyle w:val="Normaallaadveeb"/>
        <w:spacing w:before="0" w:after="0" w:afterAutospacing="0"/>
        <w:jc w:val="both"/>
        <w:divId w:val="1316184749"/>
      </w:pPr>
      <w:r w:rsidRPr="00687DE8">
        <w:t xml:space="preserve">(4) </w:t>
      </w:r>
      <w:r w:rsidR="005023FD" w:rsidRPr="00687DE8">
        <w:t>Tervisekassa</w:t>
      </w:r>
      <w:r w:rsidRPr="00687DE8">
        <w:t xml:space="preserve"> võtab koodiga 4132 tähistatud teenuse eest tasu maksmise kohustuse üle juhul, kui seda rakendatakse koos koodiga 4073 või 4075.</w:t>
      </w:r>
    </w:p>
    <w:p w14:paraId="4A3486FF" w14:textId="77777777" w:rsidR="00976487" w:rsidRPr="00687DE8" w:rsidRDefault="00976487" w:rsidP="00976487">
      <w:pPr>
        <w:pStyle w:val="Pealkiri2"/>
        <w:spacing w:before="0" w:after="0" w:afterAutospacing="0"/>
        <w:jc w:val="center"/>
        <w:divId w:val="1316184749"/>
        <w:rPr>
          <w:sz w:val="24"/>
          <w:szCs w:val="24"/>
        </w:rPr>
      </w:pPr>
    </w:p>
    <w:p w14:paraId="5C2BD328" w14:textId="77777777" w:rsidR="00976487" w:rsidRPr="00687DE8" w:rsidRDefault="00976487" w:rsidP="00976487">
      <w:pPr>
        <w:pStyle w:val="Pealkiri2"/>
        <w:spacing w:before="0" w:after="0" w:afterAutospacing="0"/>
        <w:jc w:val="center"/>
        <w:divId w:val="1316184749"/>
        <w:rPr>
          <w:sz w:val="24"/>
          <w:szCs w:val="24"/>
        </w:rPr>
      </w:pPr>
      <w:r w:rsidRPr="00687DE8">
        <w:rPr>
          <w:sz w:val="24"/>
          <w:szCs w:val="24"/>
        </w:rPr>
        <w:t xml:space="preserve">10. peatükk </w:t>
      </w:r>
      <w:r w:rsidRPr="00687DE8">
        <w:rPr>
          <w:sz w:val="24"/>
          <w:szCs w:val="24"/>
        </w:rPr>
        <w:br/>
        <w:t>Hambaravi</w:t>
      </w:r>
    </w:p>
    <w:p w14:paraId="18507C4D" w14:textId="77777777" w:rsidR="00976487" w:rsidRPr="00687DE8" w:rsidRDefault="00976487" w:rsidP="00976487">
      <w:pPr>
        <w:pStyle w:val="Pealkiri3"/>
        <w:spacing w:before="0" w:after="0" w:afterAutospacing="0"/>
        <w:jc w:val="both"/>
        <w:divId w:val="1316184749"/>
        <w:rPr>
          <w:rStyle w:val="Tugev"/>
          <w:b/>
          <w:bCs/>
          <w:sz w:val="24"/>
          <w:szCs w:val="24"/>
        </w:rPr>
      </w:pPr>
    </w:p>
    <w:p w14:paraId="62BD567C" w14:textId="77777777" w:rsidR="00976487" w:rsidRDefault="5C52CFD9" w:rsidP="5C52CFD9">
      <w:pPr>
        <w:pStyle w:val="Pealkiri3"/>
        <w:spacing w:before="0" w:after="0" w:afterAutospacing="0"/>
        <w:jc w:val="both"/>
        <w:divId w:val="1316184749"/>
        <w:rPr>
          <w:sz w:val="24"/>
          <w:szCs w:val="24"/>
        </w:rPr>
      </w:pPr>
      <w:r w:rsidRPr="00687DE8">
        <w:rPr>
          <w:rStyle w:val="Tugev"/>
          <w:b/>
          <w:bCs/>
          <w:sz w:val="24"/>
          <w:szCs w:val="24"/>
        </w:rPr>
        <w:t>§ 77.</w:t>
      </w:r>
      <w:r w:rsidRPr="00687DE8">
        <w:rPr>
          <w:sz w:val="24"/>
          <w:szCs w:val="24"/>
        </w:rPr>
        <w:t> Hambaraviteenuste piirhinnad</w:t>
      </w:r>
    </w:p>
    <w:p w14:paraId="0E25DC0F" w14:textId="77777777" w:rsidR="00D35BE0" w:rsidRDefault="00D35BE0" w:rsidP="00976487">
      <w:pPr>
        <w:pStyle w:val="Normaallaadveeb"/>
        <w:spacing w:before="0" w:after="0" w:afterAutospacing="0"/>
        <w:jc w:val="both"/>
        <w:divId w:val="1316184749"/>
      </w:pPr>
    </w:p>
    <w:p w14:paraId="14ABBBF3" w14:textId="299D2F21" w:rsidR="00976487" w:rsidRPr="00687DE8" w:rsidRDefault="00976487" w:rsidP="00976487">
      <w:pPr>
        <w:pStyle w:val="Normaallaadveeb"/>
        <w:spacing w:before="0" w:after="0" w:afterAutospacing="0"/>
        <w:jc w:val="both"/>
        <w:divId w:val="1316184749"/>
      </w:pPr>
      <w:r w:rsidRPr="00687DE8">
        <w:t>(1) Hambaraviteenuste piirhinnad on järgmised:</w:t>
      </w:r>
    </w:p>
    <w:p w14:paraId="1B561825" w14:textId="77777777" w:rsidR="00976487" w:rsidRPr="00687DE8" w:rsidRDefault="00976487" w:rsidP="00976487">
      <w:pPr>
        <w:pStyle w:val="Normaallaadveeb"/>
        <w:spacing w:before="0" w:after="0" w:afterAutospacing="0"/>
        <w:jc w:val="both"/>
        <w:divId w:val="1316184749"/>
      </w:pPr>
    </w:p>
    <w:tbl>
      <w:tblPr>
        <w:tblW w:w="9000" w:type="dxa"/>
        <w:tblCellMar>
          <w:left w:w="70" w:type="dxa"/>
          <w:right w:w="70" w:type="dxa"/>
        </w:tblCellMar>
        <w:tblLook w:val="04A0" w:firstRow="1" w:lastRow="0" w:firstColumn="1" w:lastColumn="0" w:noHBand="0" w:noVBand="1"/>
      </w:tblPr>
      <w:tblGrid>
        <w:gridCol w:w="5130"/>
        <w:gridCol w:w="1134"/>
        <w:gridCol w:w="2736"/>
      </w:tblGrid>
      <w:tr w:rsidR="00976487" w:rsidRPr="00687DE8" w14:paraId="06493977" w14:textId="77777777" w:rsidTr="009146B2">
        <w:trPr>
          <w:divId w:val="1316184749"/>
          <w:trHeight w:val="312"/>
          <w:tblHeader/>
        </w:trPr>
        <w:tc>
          <w:tcPr>
            <w:tcW w:w="5130" w:type="dxa"/>
            <w:tcBorders>
              <w:top w:val="single" w:sz="4" w:space="0" w:color="auto"/>
              <w:left w:val="single" w:sz="4" w:space="0" w:color="auto"/>
              <w:bottom w:val="single" w:sz="4" w:space="0" w:color="auto"/>
              <w:right w:val="single" w:sz="4" w:space="0" w:color="auto"/>
            </w:tcBorders>
            <w:vAlign w:val="bottom"/>
            <w:hideMark/>
          </w:tcPr>
          <w:p w14:paraId="50E90620" w14:textId="77777777" w:rsidR="00976487" w:rsidRPr="00687DE8" w:rsidRDefault="00976487" w:rsidP="007122D9">
            <w:pPr>
              <w:spacing w:after="0" w:line="240" w:lineRule="auto"/>
              <w:rPr>
                <w:b/>
                <w:bCs/>
                <w:color w:val="000000"/>
                <w:szCs w:val="24"/>
                <w:lang w:eastAsia="et-EE"/>
              </w:rPr>
            </w:pPr>
            <w:r w:rsidRPr="00687DE8">
              <w:rPr>
                <w:b/>
                <w:bCs/>
                <w:color w:val="000000"/>
                <w:szCs w:val="24"/>
                <w:lang w:eastAsia="et-EE"/>
              </w:rPr>
              <w:t>Tervishoiuteenuse nimetus</w:t>
            </w:r>
          </w:p>
        </w:tc>
        <w:tc>
          <w:tcPr>
            <w:tcW w:w="1134" w:type="dxa"/>
            <w:tcBorders>
              <w:top w:val="single" w:sz="4" w:space="0" w:color="auto"/>
              <w:left w:val="nil"/>
              <w:bottom w:val="single" w:sz="4" w:space="0" w:color="auto"/>
              <w:right w:val="single" w:sz="4" w:space="0" w:color="auto"/>
            </w:tcBorders>
            <w:noWrap/>
            <w:vAlign w:val="bottom"/>
            <w:hideMark/>
          </w:tcPr>
          <w:p w14:paraId="169CECCB" w14:textId="77777777" w:rsidR="00976487" w:rsidRPr="00687DE8" w:rsidRDefault="00976487" w:rsidP="007122D9">
            <w:pPr>
              <w:spacing w:after="0" w:line="240" w:lineRule="auto"/>
              <w:rPr>
                <w:b/>
                <w:bCs/>
                <w:color w:val="000000"/>
                <w:szCs w:val="24"/>
                <w:lang w:eastAsia="et-EE"/>
              </w:rPr>
            </w:pPr>
            <w:r w:rsidRPr="00687DE8">
              <w:rPr>
                <w:b/>
                <w:bCs/>
                <w:color w:val="000000"/>
                <w:szCs w:val="24"/>
                <w:lang w:eastAsia="et-EE"/>
              </w:rPr>
              <w:t>Kood</w:t>
            </w:r>
          </w:p>
        </w:tc>
        <w:tc>
          <w:tcPr>
            <w:tcW w:w="2736" w:type="dxa"/>
            <w:tcBorders>
              <w:top w:val="single" w:sz="4" w:space="0" w:color="auto"/>
              <w:left w:val="nil"/>
              <w:bottom w:val="single" w:sz="4" w:space="0" w:color="auto"/>
              <w:right w:val="single" w:sz="4" w:space="0" w:color="auto"/>
            </w:tcBorders>
            <w:vAlign w:val="bottom"/>
            <w:hideMark/>
          </w:tcPr>
          <w:p w14:paraId="1D34E231" w14:textId="77777777" w:rsidR="00976487" w:rsidRPr="00687DE8" w:rsidRDefault="00976487" w:rsidP="007122D9">
            <w:pPr>
              <w:tabs>
                <w:tab w:val="decimal" w:pos="635"/>
              </w:tabs>
              <w:spacing w:after="0" w:line="240" w:lineRule="auto"/>
              <w:jc w:val="center"/>
              <w:rPr>
                <w:b/>
                <w:bCs/>
                <w:color w:val="000000"/>
                <w:szCs w:val="24"/>
                <w:lang w:eastAsia="et-EE"/>
              </w:rPr>
            </w:pPr>
            <w:r w:rsidRPr="00687DE8">
              <w:rPr>
                <w:b/>
                <w:bCs/>
                <w:color w:val="000000"/>
                <w:szCs w:val="24"/>
                <w:lang w:eastAsia="et-EE"/>
              </w:rPr>
              <w:t>Piirhind</w:t>
            </w:r>
          </w:p>
          <w:p w14:paraId="10D63F5B" w14:textId="77777777" w:rsidR="00976487" w:rsidRPr="00687DE8" w:rsidRDefault="00976487" w:rsidP="007122D9">
            <w:pPr>
              <w:tabs>
                <w:tab w:val="decimal" w:pos="635"/>
              </w:tabs>
              <w:spacing w:after="0" w:line="240" w:lineRule="auto"/>
              <w:jc w:val="center"/>
              <w:rPr>
                <w:b/>
                <w:bCs/>
                <w:color w:val="000000"/>
                <w:szCs w:val="24"/>
                <w:lang w:eastAsia="et-EE"/>
              </w:rPr>
            </w:pPr>
            <w:r w:rsidRPr="00687DE8">
              <w:rPr>
                <w:b/>
                <w:bCs/>
                <w:color w:val="000000"/>
                <w:szCs w:val="24"/>
                <w:lang w:eastAsia="et-EE"/>
              </w:rPr>
              <w:t>eurodes</w:t>
            </w:r>
          </w:p>
        </w:tc>
      </w:tr>
      <w:tr w:rsidR="00976487" w:rsidRPr="00687DE8" w14:paraId="7F418F2D" w14:textId="77777777" w:rsidTr="009146B2">
        <w:trPr>
          <w:divId w:val="1316184749"/>
          <w:trHeight w:val="324"/>
        </w:trPr>
        <w:tc>
          <w:tcPr>
            <w:tcW w:w="5130" w:type="dxa"/>
            <w:tcBorders>
              <w:top w:val="nil"/>
              <w:left w:val="single" w:sz="4" w:space="0" w:color="auto"/>
              <w:bottom w:val="single" w:sz="4" w:space="0" w:color="auto"/>
              <w:right w:val="single" w:sz="4" w:space="0" w:color="auto"/>
            </w:tcBorders>
            <w:vAlign w:val="bottom"/>
            <w:hideMark/>
          </w:tcPr>
          <w:p w14:paraId="422E2E92" w14:textId="77777777" w:rsidR="00976487" w:rsidRPr="00687DE8" w:rsidRDefault="00976487" w:rsidP="007122D9">
            <w:pPr>
              <w:spacing w:after="0" w:line="240" w:lineRule="auto"/>
              <w:rPr>
                <w:b/>
                <w:bCs/>
                <w:i/>
                <w:iCs/>
                <w:color w:val="000000"/>
                <w:szCs w:val="24"/>
                <w:lang w:eastAsia="et-EE"/>
              </w:rPr>
            </w:pPr>
            <w:r w:rsidRPr="00687DE8">
              <w:rPr>
                <w:b/>
                <w:bCs/>
                <w:i/>
                <w:iCs/>
                <w:color w:val="000000"/>
                <w:szCs w:val="24"/>
                <w:lang w:eastAsia="et-EE"/>
              </w:rPr>
              <w:t>Diagnostika ja raviplaani koostamine</w:t>
            </w:r>
          </w:p>
        </w:tc>
        <w:tc>
          <w:tcPr>
            <w:tcW w:w="1134" w:type="dxa"/>
            <w:tcBorders>
              <w:top w:val="nil"/>
              <w:left w:val="nil"/>
              <w:bottom w:val="single" w:sz="4" w:space="0" w:color="auto"/>
              <w:right w:val="single" w:sz="4" w:space="0" w:color="auto"/>
            </w:tcBorders>
            <w:noWrap/>
            <w:vAlign w:val="bottom"/>
            <w:hideMark/>
          </w:tcPr>
          <w:p w14:paraId="00BD748E" w14:textId="77777777" w:rsidR="00976487" w:rsidRPr="00687DE8" w:rsidRDefault="00976487" w:rsidP="007122D9">
            <w:pPr>
              <w:spacing w:after="0" w:line="240" w:lineRule="auto"/>
              <w:rPr>
                <w:color w:val="000000"/>
                <w:szCs w:val="24"/>
                <w:lang w:eastAsia="et-EE"/>
              </w:rPr>
            </w:pPr>
            <w:r w:rsidRPr="00687DE8">
              <w:rPr>
                <w:color w:val="000000"/>
                <w:szCs w:val="24"/>
                <w:lang w:eastAsia="et-EE"/>
              </w:rPr>
              <w:t> </w:t>
            </w:r>
          </w:p>
        </w:tc>
        <w:tc>
          <w:tcPr>
            <w:tcW w:w="2736" w:type="dxa"/>
            <w:tcBorders>
              <w:top w:val="nil"/>
              <w:left w:val="nil"/>
              <w:bottom w:val="single" w:sz="4" w:space="0" w:color="auto"/>
              <w:right w:val="single" w:sz="4" w:space="0" w:color="auto"/>
            </w:tcBorders>
            <w:noWrap/>
            <w:hideMark/>
          </w:tcPr>
          <w:p w14:paraId="7F2D1312" w14:textId="77777777" w:rsidR="00976487" w:rsidRPr="00687DE8" w:rsidRDefault="00976487" w:rsidP="007122D9">
            <w:pPr>
              <w:spacing w:after="0" w:line="240" w:lineRule="auto"/>
              <w:rPr>
                <w:color w:val="000000"/>
                <w:szCs w:val="24"/>
                <w:lang w:eastAsia="et-EE"/>
              </w:rPr>
            </w:pPr>
          </w:p>
        </w:tc>
      </w:tr>
      <w:tr w:rsidR="00E51E67" w:rsidRPr="00687DE8" w14:paraId="14164EE8" w14:textId="77777777" w:rsidTr="001B10F9">
        <w:trPr>
          <w:divId w:val="1316184749"/>
          <w:trHeight w:val="300"/>
        </w:trPr>
        <w:tc>
          <w:tcPr>
            <w:tcW w:w="5130" w:type="dxa"/>
            <w:tcBorders>
              <w:top w:val="nil"/>
              <w:left w:val="single" w:sz="4" w:space="0" w:color="auto"/>
              <w:bottom w:val="single" w:sz="4" w:space="0" w:color="auto"/>
              <w:right w:val="single" w:sz="4" w:space="0" w:color="auto"/>
            </w:tcBorders>
            <w:vAlign w:val="bottom"/>
            <w:hideMark/>
          </w:tcPr>
          <w:p w14:paraId="111E9D79" w14:textId="77777777" w:rsidR="00E51E67" w:rsidRPr="00687DE8" w:rsidRDefault="00E51E67" w:rsidP="007122D9">
            <w:pPr>
              <w:spacing w:after="0" w:line="240" w:lineRule="auto"/>
              <w:rPr>
                <w:color w:val="000000"/>
                <w:szCs w:val="24"/>
                <w:lang w:eastAsia="et-EE"/>
              </w:rPr>
            </w:pPr>
            <w:r w:rsidRPr="00687DE8">
              <w:rPr>
                <w:color w:val="000000"/>
                <w:szCs w:val="24"/>
                <w:lang w:eastAsia="et-EE"/>
              </w:rPr>
              <w:t>Hambaarsti vastuvõtt*</w:t>
            </w:r>
          </w:p>
        </w:tc>
        <w:tc>
          <w:tcPr>
            <w:tcW w:w="1134" w:type="dxa"/>
            <w:tcBorders>
              <w:top w:val="nil"/>
              <w:left w:val="nil"/>
              <w:bottom w:val="single" w:sz="4" w:space="0" w:color="auto"/>
              <w:right w:val="single" w:sz="4" w:space="0" w:color="auto"/>
            </w:tcBorders>
            <w:noWrap/>
            <w:vAlign w:val="bottom"/>
            <w:hideMark/>
          </w:tcPr>
          <w:p w14:paraId="5E8BE2A1" w14:textId="77777777" w:rsidR="00E51E67" w:rsidRPr="00687DE8" w:rsidRDefault="00E51E67" w:rsidP="007122D9">
            <w:pPr>
              <w:spacing w:after="0" w:line="240" w:lineRule="auto"/>
              <w:jc w:val="center"/>
              <w:rPr>
                <w:color w:val="000000"/>
                <w:szCs w:val="24"/>
                <w:lang w:eastAsia="et-EE"/>
              </w:rPr>
            </w:pPr>
            <w:r w:rsidRPr="00687DE8">
              <w:rPr>
                <w:color w:val="000000"/>
                <w:szCs w:val="24"/>
                <w:lang w:eastAsia="et-EE"/>
              </w:rPr>
              <w:t>52400</w:t>
            </w:r>
          </w:p>
        </w:tc>
        <w:tc>
          <w:tcPr>
            <w:tcW w:w="2736" w:type="dxa"/>
            <w:tcBorders>
              <w:top w:val="single" w:sz="4" w:space="0" w:color="auto"/>
              <w:left w:val="single" w:sz="4" w:space="0" w:color="auto"/>
              <w:bottom w:val="single" w:sz="4" w:space="0" w:color="auto"/>
              <w:right w:val="single" w:sz="4" w:space="0" w:color="auto"/>
            </w:tcBorders>
            <w:noWrap/>
            <w:vAlign w:val="center"/>
            <w:hideMark/>
          </w:tcPr>
          <w:p w14:paraId="0CE39E69" w14:textId="10432D9F" w:rsidR="00073D96" w:rsidRPr="00687DE8" w:rsidRDefault="0088364F">
            <w:pPr>
              <w:spacing w:after="0"/>
              <w:jc w:val="center"/>
              <w:rPr>
                <w:szCs w:val="24"/>
              </w:rPr>
            </w:pPr>
            <w:r>
              <w:rPr>
                <w:color w:val="000000"/>
              </w:rPr>
              <w:t>46,90</w:t>
            </w:r>
          </w:p>
        </w:tc>
      </w:tr>
      <w:tr w:rsidR="00E51E67" w:rsidRPr="00687DE8" w14:paraId="7C6AF9E2"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36DDD720" w14:textId="77777777" w:rsidR="00E51E67" w:rsidRPr="00687DE8" w:rsidRDefault="00E51E67" w:rsidP="007122D9">
            <w:pPr>
              <w:spacing w:after="0" w:line="240" w:lineRule="auto"/>
              <w:rPr>
                <w:color w:val="000000"/>
                <w:szCs w:val="24"/>
                <w:lang w:eastAsia="et-EE"/>
              </w:rPr>
            </w:pPr>
            <w:r w:rsidRPr="00687DE8">
              <w:rPr>
                <w:color w:val="000000"/>
                <w:szCs w:val="24"/>
                <w:lang w:eastAsia="et-EE"/>
              </w:rPr>
              <w:t>Hambumusest fotostaatuse koostamine*</w:t>
            </w:r>
          </w:p>
        </w:tc>
        <w:tc>
          <w:tcPr>
            <w:tcW w:w="1134" w:type="dxa"/>
            <w:tcBorders>
              <w:top w:val="nil"/>
              <w:left w:val="nil"/>
              <w:bottom w:val="single" w:sz="4" w:space="0" w:color="auto"/>
              <w:right w:val="single" w:sz="4" w:space="0" w:color="auto"/>
            </w:tcBorders>
            <w:noWrap/>
            <w:vAlign w:val="bottom"/>
            <w:hideMark/>
          </w:tcPr>
          <w:p w14:paraId="7792ACFB" w14:textId="77777777" w:rsidR="00E51E67" w:rsidRPr="00687DE8" w:rsidRDefault="00E51E67" w:rsidP="007122D9">
            <w:pPr>
              <w:spacing w:after="0" w:line="240" w:lineRule="auto"/>
              <w:jc w:val="center"/>
              <w:rPr>
                <w:color w:val="000000"/>
                <w:szCs w:val="24"/>
                <w:lang w:eastAsia="et-EE"/>
              </w:rPr>
            </w:pPr>
            <w:r w:rsidRPr="00687DE8">
              <w:rPr>
                <w:color w:val="000000"/>
                <w:szCs w:val="24"/>
                <w:lang w:eastAsia="et-EE"/>
              </w:rPr>
              <w:t>52404</w:t>
            </w:r>
          </w:p>
        </w:tc>
        <w:tc>
          <w:tcPr>
            <w:tcW w:w="2736" w:type="dxa"/>
            <w:tcBorders>
              <w:top w:val="nil"/>
              <w:left w:val="single" w:sz="4" w:space="0" w:color="auto"/>
              <w:bottom w:val="single" w:sz="4" w:space="0" w:color="auto"/>
              <w:right w:val="single" w:sz="4" w:space="0" w:color="auto"/>
            </w:tcBorders>
            <w:noWrap/>
            <w:vAlign w:val="center"/>
            <w:hideMark/>
          </w:tcPr>
          <w:p w14:paraId="058E9228" w14:textId="7C39DDC3" w:rsidR="00073D96" w:rsidRPr="00687DE8" w:rsidRDefault="0088364F">
            <w:pPr>
              <w:spacing w:after="0"/>
              <w:jc w:val="center"/>
              <w:rPr>
                <w:szCs w:val="24"/>
              </w:rPr>
            </w:pPr>
            <w:r>
              <w:rPr>
                <w:color w:val="000000"/>
              </w:rPr>
              <w:t>23,94</w:t>
            </w:r>
          </w:p>
        </w:tc>
      </w:tr>
      <w:tr w:rsidR="00E51E67" w:rsidRPr="00687DE8" w14:paraId="5016DE3A"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2F0140F3" w14:textId="77777777" w:rsidR="00E51E67" w:rsidRPr="00687DE8" w:rsidRDefault="00E51E67" w:rsidP="007122D9">
            <w:pPr>
              <w:spacing w:after="0" w:line="240" w:lineRule="auto"/>
              <w:rPr>
                <w:color w:val="000000"/>
                <w:szCs w:val="24"/>
                <w:lang w:eastAsia="et-EE"/>
              </w:rPr>
            </w:pPr>
            <w:r w:rsidRPr="00687DE8">
              <w:rPr>
                <w:color w:val="000000"/>
                <w:szCs w:val="24"/>
                <w:lang w:eastAsia="et-EE"/>
              </w:rPr>
              <w:t>Külastuse baashind (hambaravi)*</w:t>
            </w:r>
          </w:p>
        </w:tc>
        <w:tc>
          <w:tcPr>
            <w:tcW w:w="1134" w:type="dxa"/>
            <w:tcBorders>
              <w:top w:val="nil"/>
              <w:left w:val="nil"/>
              <w:bottom w:val="single" w:sz="4" w:space="0" w:color="auto"/>
              <w:right w:val="single" w:sz="4" w:space="0" w:color="auto"/>
            </w:tcBorders>
            <w:noWrap/>
            <w:vAlign w:val="bottom"/>
            <w:hideMark/>
          </w:tcPr>
          <w:p w14:paraId="5E2568D7" w14:textId="77777777" w:rsidR="00E51E67" w:rsidRPr="00687DE8" w:rsidRDefault="00E51E67" w:rsidP="007122D9">
            <w:pPr>
              <w:spacing w:after="0" w:line="240" w:lineRule="auto"/>
              <w:jc w:val="center"/>
              <w:rPr>
                <w:color w:val="000000"/>
                <w:szCs w:val="24"/>
                <w:lang w:eastAsia="et-EE"/>
              </w:rPr>
            </w:pPr>
            <w:r w:rsidRPr="00687DE8">
              <w:rPr>
                <w:color w:val="000000"/>
                <w:szCs w:val="24"/>
                <w:lang w:eastAsia="et-EE"/>
              </w:rPr>
              <w:t>52467</w:t>
            </w:r>
          </w:p>
        </w:tc>
        <w:tc>
          <w:tcPr>
            <w:tcW w:w="2736" w:type="dxa"/>
            <w:tcBorders>
              <w:top w:val="nil"/>
              <w:left w:val="single" w:sz="4" w:space="0" w:color="auto"/>
              <w:bottom w:val="single" w:sz="4" w:space="0" w:color="auto"/>
              <w:right w:val="single" w:sz="4" w:space="0" w:color="auto"/>
            </w:tcBorders>
            <w:noWrap/>
            <w:vAlign w:val="center"/>
            <w:hideMark/>
          </w:tcPr>
          <w:p w14:paraId="64B66F5F" w14:textId="52FD7A19" w:rsidR="00073D96" w:rsidRPr="00687DE8" w:rsidRDefault="0088364F">
            <w:pPr>
              <w:spacing w:after="0"/>
              <w:jc w:val="center"/>
              <w:rPr>
                <w:szCs w:val="24"/>
              </w:rPr>
            </w:pPr>
            <w:r>
              <w:rPr>
                <w:color w:val="000000"/>
              </w:rPr>
              <w:t>15,71</w:t>
            </w:r>
          </w:p>
        </w:tc>
      </w:tr>
      <w:tr w:rsidR="00E51E67" w:rsidRPr="00687DE8" w14:paraId="62EA16F3"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18583662" w14:textId="77777777" w:rsidR="00E51E67" w:rsidRPr="00687DE8" w:rsidRDefault="00E51E67" w:rsidP="007122D9">
            <w:pPr>
              <w:spacing w:after="0" w:line="240" w:lineRule="auto"/>
              <w:rPr>
                <w:color w:val="000000"/>
                <w:szCs w:val="24"/>
                <w:lang w:eastAsia="et-EE"/>
              </w:rPr>
            </w:pPr>
            <w:r w:rsidRPr="00687DE8">
              <w:rPr>
                <w:szCs w:val="24"/>
                <w:lang w:eastAsia="et-EE"/>
              </w:rPr>
              <w:t>Töömudeli ja jäljendi valmistamine</w:t>
            </w:r>
          </w:p>
        </w:tc>
        <w:tc>
          <w:tcPr>
            <w:tcW w:w="1134" w:type="dxa"/>
            <w:tcBorders>
              <w:top w:val="nil"/>
              <w:left w:val="nil"/>
              <w:bottom w:val="single" w:sz="4" w:space="0" w:color="auto"/>
              <w:right w:val="single" w:sz="4" w:space="0" w:color="auto"/>
            </w:tcBorders>
            <w:noWrap/>
            <w:vAlign w:val="bottom"/>
            <w:hideMark/>
          </w:tcPr>
          <w:p w14:paraId="0B2B02E1" w14:textId="77777777" w:rsidR="00E51E67" w:rsidRPr="00687DE8" w:rsidRDefault="00E51E67" w:rsidP="007122D9">
            <w:pPr>
              <w:spacing w:after="0" w:line="240" w:lineRule="auto"/>
              <w:jc w:val="center"/>
              <w:rPr>
                <w:color w:val="000000"/>
                <w:szCs w:val="24"/>
                <w:lang w:eastAsia="et-EE"/>
              </w:rPr>
            </w:pPr>
            <w:r w:rsidRPr="00687DE8">
              <w:rPr>
                <w:szCs w:val="24"/>
                <w:lang w:eastAsia="et-EE"/>
              </w:rPr>
              <w:t>52662</w:t>
            </w:r>
          </w:p>
        </w:tc>
        <w:tc>
          <w:tcPr>
            <w:tcW w:w="2736" w:type="dxa"/>
            <w:tcBorders>
              <w:top w:val="nil"/>
              <w:left w:val="single" w:sz="4" w:space="0" w:color="auto"/>
              <w:bottom w:val="single" w:sz="4" w:space="0" w:color="auto"/>
              <w:right w:val="single" w:sz="4" w:space="0" w:color="auto"/>
            </w:tcBorders>
            <w:noWrap/>
            <w:vAlign w:val="center"/>
            <w:hideMark/>
          </w:tcPr>
          <w:p w14:paraId="117E8940" w14:textId="6141FF73" w:rsidR="1A53EF6A" w:rsidRPr="00687DE8" w:rsidRDefault="0088364F">
            <w:pPr>
              <w:spacing w:after="0"/>
              <w:jc w:val="center"/>
              <w:rPr>
                <w:color w:val="000000" w:themeColor="text1"/>
                <w:szCs w:val="24"/>
              </w:rPr>
            </w:pPr>
            <w:r>
              <w:rPr>
                <w:color w:val="000000"/>
              </w:rPr>
              <w:t>59,12</w:t>
            </w:r>
          </w:p>
        </w:tc>
      </w:tr>
      <w:tr w:rsidR="0066373D" w:rsidRPr="00687DE8" w14:paraId="25084C15"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tcPr>
          <w:p w14:paraId="6FEA2EAE" w14:textId="17EE8E48" w:rsidR="0066373D" w:rsidRPr="00687DE8" w:rsidRDefault="00D91049" w:rsidP="007122D9">
            <w:pPr>
              <w:spacing w:after="0" w:line="240" w:lineRule="auto"/>
              <w:rPr>
                <w:szCs w:val="24"/>
                <w:lang w:eastAsia="et-EE"/>
              </w:rPr>
            </w:pPr>
            <w:r w:rsidRPr="00687DE8">
              <w:rPr>
                <w:rFonts w:eastAsia="Calibri"/>
                <w:color w:val="202020"/>
                <w:szCs w:val="24"/>
                <w:lang w:eastAsia="et-EE"/>
              </w:rPr>
              <w:t xml:space="preserve">Hambaarsti videokonsultatsioon </w:t>
            </w:r>
          </w:p>
        </w:tc>
        <w:tc>
          <w:tcPr>
            <w:tcW w:w="1134" w:type="dxa"/>
            <w:tcBorders>
              <w:top w:val="nil"/>
              <w:left w:val="nil"/>
              <w:bottom w:val="single" w:sz="4" w:space="0" w:color="auto"/>
              <w:right w:val="single" w:sz="4" w:space="0" w:color="auto"/>
            </w:tcBorders>
            <w:noWrap/>
            <w:vAlign w:val="bottom"/>
          </w:tcPr>
          <w:p w14:paraId="060DAD3E" w14:textId="25675DF8" w:rsidR="0066373D" w:rsidRPr="00687DE8" w:rsidRDefault="0066373D" w:rsidP="007122D9">
            <w:pPr>
              <w:spacing w:after="0" w:line="240" w:lineRule="auto"/>
              <w:jc w:val="center"/>
              <w:rPr>
                <w:szCs w:val="24"/>
                <w:lang w:eastAsia="et-EE"/>
              </w:rPr>
            </w:pPr>
            <w:r w:rsidRPr="00687DE8">
              <w:rPr>
                <w:color w:val="202020"/>
                <w:szCs w:val="24"/>
                <w:lang w:eastAsia="et-EE"/>
              </w:rPr>
              <w:t>52469</w:t>
            </w:r>
          </w:p>
        </w:tc>
        <w:tc>
          <w:tcPr>
            <w:tcW w:w="2736" w:type="dxa"/>
            <w:tcBorders>
              <w:top w:val="nil"/>
              <w:left w:val="single" w:sz="4" w:space="0" w:color="auto"/>
              <w:bottom w:val="single" w:sz="4" w:space="0" w:color="auto"/>
              <w:right w:val="single" w:sz="4" w:space="0" w:color="auto"/>
            </w:tcBorders>
            <w:noWrap/>
            <w:vAlign w:val="center"/>
          </w:tcPr>
          <w:p w14:paraId="6FAEF600" w14:textId="3BF1CDF9" w:rsidR="1A53EF6A" w:rsidRPr="00687DE8" w:rsidRDefault="0088364F">
            <w:pPr>
              <w:spacing w:after="0"/>
              <w:jc w:val="center"/>
              <w:rPr>
                <w:color w:val="000000" w:themeColor="text1"/>
                <w:szCs w:val="24"/>
              </w:rPr>
            </w:pPr>
            <w:r>
              <w:rPr>
                <w:color w:val="000000"/>
              </w:rPr>
              <w:t>46,90</w:t>
            </w:r>
          </w:p>
        </w:tc>
      </w:tr>
      <w:tr w:rsidR="00976487" w:rsidRPr="00687DE8" w14:paraId="3D3C66E8" w14:textId="77777777" w:rsidTr="009146B2">
        <w:trPr>
          <w:divId w:val="1316184749"/>
          <w:trHeight w:val="324"/>
        </w:trPr>
        <w:tc>
          <w:tcPr>
            <w:tcW w:w="5130" w:type="dxa"/>
            <w:tcBorders>
              <w:top w:val="nil"/>
              <w:left w:val="single" w:sz="4" w:space="0" w:color="auto"/>
              <w:bottom w:val="single" w:sz="4" w:space="0" w:color="auto"/>
              <w:right w:val="single" w:sz="4" w:space="0" w:color="auto"/>
            </w:tcBorders>
            <w:vAlign w:val="bottom"/>
            <w:hideMark/>
          </w:tcPr>
          <w:p w14:paraId="497F65DB" w14:textId="77777777" w:rsidR="00976487" w:rsidRPr="00687DE8" w:rsidRDefault="00976487" w:rsidP="007122D9">
            <w:pPr>
              <w:spacing w:after="0" w:line="240" w:lineRule="auto"/>
              <w:rPr>
                <w:b/>
                <w:bCs/>
                <w:i/>
                <w:iCs/>
                <w:color w:val="000000"/>
                <w:szCs w:val="24"/>
                <w:lang w:eastAsia="et-EE"/>
              </w:rPr>
            </w:pPr>
            <w:r w:rsidRPr="00687DE8">
              <w:rPr>
                <w:b/>
                <w:bCs/>
                <w:i/>
                <w:iCs/>
                <w:color w:val="000000"/>
                <w:szCs w:val="24"/>
                <w:lang w:eastAsia="et-EE"/>
              </w:rPr>
              <w:t>Radioloogilised uuringud</w:t>
            </w:r>
          </w:p>
        </w:tc>
        <w:tc>
          <w:tcPr>
            <w:tcW w:w="1134" w:type="dxa"/>
            <w:tcBorders>
              <w:top w:val="nil"/>
              <w:left w:val="nil"/>
              <w:bottom w:val="single" w:sz="4" w:space="0" w:color="auto"/>
              <w:right w:val="single" w:sz="4" w:space="0" w:color="auto"/>
            </w:tcBorders>
            <w:noWrap/>
            <w:vAlign w:val="bottom"/>
            <w:hideMark/>
          </w:tcPr>
          <w:p w14:paraId="37736CE2" w14:textId="77777777" w:rsidR="00976487" w:rsidRPr="00687DE8" w:rsidRDefault="00976487" w:rsidP="007122D9">
            <w:pPr>
              <w:spacing w:after="0" w:line="240" w:lineRule="auto"/>
              <w:jc w:val="center"/>
              <w:rPr>
                <w:color w:val="000000"/>
                <w:szCs w:val="24"/>
                <w:lang w:eastAsia="et-EE"/>
              </w:rPr>
            </w:pPr>
            <w:r w:rsidRPr="00687DE8">
              <w:rPr>
                <w:color w:val="000000"/>
                <w:szCs w:val="24"/>
                <w:lang w:eastAsia="et-EE"/>
              </w:rPr>
              <w:t> </w:t>
            </w:r>
          </w:p>
        </w:tc>
        <w:tc>
          <w:tcPr>
            <w:tcW w:w="2736" w:type="dxa"/>
            <w:tcBorders>
              <w:top w:val="nil"/>
              <w:left w:val="nil"/>
              <w:bottom w:val="single" w:sz="4" w:space="0" w:color="auto"/>
              <w:right w:val="single" w:sz="4" w:space="0" w:color="auto"/>
            </w:tcBorders>
            <w:noWrap/>
            <w:hideMark/>
          </w:tcPr>
          <w:p w14:paraId="6224EA46" w14:textId="77777777" w:rsidR="00976487" w:rsidRPr="00687DE8" w:rsidRDefault="00976487" w:rsidP="007122D9">
            <w:pPr>
              <w:spacing w:after="0" w:line="240" w:lineRule="auto"/>
              <w:rPr>
                <w:color w:val="000000"/>
                <w:szCs w:val="24"/>
                <w:lang w:eastAsia="et-EE"/>
              </w:rPr>
            </w:pPr>
          </w:p>
        </w:tc>
      </w:tr>
      <w:tr w:rsidR="009C5DA8" w:rsidRPr="00687DE8" w14:paraId="5FFD102F"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5144A633" w14:textId="77777777" w:rsidR="009C5DA8" w:rsidRPr="00687DE8" w:rsidRDefault="009C5DA8" w:rsidP="007122D9">
            <w:pPr>
              <w:spacing w:after="0" w:line="240" w:lineRule="auto"/>
              <w:rPr>
                <w:color w:val="000000"/>
                <w:szCs w:val="24"/>
                <w:lang w:eastAsia="et-EE"/>
              </w:rPr>
            </w:pPr>
            <w:r w:rsidRPr="00687DE8">
              <w:rPr>
                <w:color w:val="000000"/>
                <w:szCs w:val="24"/>
                <w:lang w:eastAsia="et-EE"/>
              </w:rPr>
              <w:t>Intraoraalne hambaülesvõte (digitaalne või filmile)*</w:t>
            </w:r>
          </w:p>
        </w:tc>
        <w:tc>
          <w:tcPr>
            <w:tcW w:w="1134" w:type="dxa"/>
            <w:tcBorders>
              <w:top w:val="nil"/>
              <w:left w:val="nil"/>
              <w:bottom w:val="single" w:sz="4" w:space="0" w:color="auto"/>
              <w:right w:val="single" w:sz="4" w:space="0" w:color="auto"/>
            </w:tcBorders>
            <w:noWrap/>
            <w:vAlign w:val="bottom"/>
            <w:hideMark/>
          </w:tcPr>
          <w:p w14:paraId="51A8DD26" w14:textId="77777777" w:rsidR="009C5DA8" w:rsidRPr="00687DE8" w:rsidRDefault="009C5DA8" w:rsidP="007122D9">
            <w:pPr>
              <w:spacing w:after="0" w:line="240" w:lineRule="auto"/>
              <w:jc w:val="center"/>
              <w:rPr>
                <w:color w:val="000000"/>
                <w:szCs w:val="24"/>
                <w:lang w:eastAsia="et-EE"/>
              </w:rPr>
            </w:pPr>
            <w:r w:rsidRPr="00687DE8">
              <w:rPr>
                <w:color w:val="000000"/>
                <w:szCs w:val="24"/>
                <w:lang w:eastAsia="et-EE"/>
              </w:rPr>
              <w:t>52405</w:t>
            </w:r>
          </w:p>
        </w:tc>
        <w:tc>
          <w:tcPr>
            <w:tcW w:w="2736" w:type="dxa"/>
            <w:tcBorders>
              <w:top w:val="single" w:sz="4" w:space="0" w:color="auto"/>
              <w:left w:val="single" w:sz="4" w:space="0" w:color="auto"/>
              <w:bottom w:val="single" w:sz="4" w:space="0" w:color="auto"/>
              <w:right w:val="single" w:sz="4" w:space="0" w:color="auto"/>
            </w:tcBorders>
            <w:noWrap/>
            <w:vAlign w:val="center"/>
            <w:hideMark/>
          </w:tcPr>
          <w:p w14:paraId="615BAC3C" w14:textId="46779236" w:rsidR="1A53EF6A" w:rsidRPr="00687DE8" w:rsidRDefault="0088364F">
            <w:pPr>
              <w:spacing w:after="0"/>
              <w:jc w:val="center"/>
              <w:rPr>
                <w:color w:val="000000" w:themeColor="text1"/>
                <w:szCs w:val="24"/>
              </w:rPr>
            </w:pPr>
            <w:r>
              <w:rPr>
                <w:color w:val="000000"/>
              </w:rPr>
              <w:t>20,84</w:t>
            </w:r>
          </w:p>
        </w:tc>
      </w:tr>
      <w:tr w:rsidR="009C5DA8" w:rsidRPr="00687DE8" w14:paraId="12598007"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0A62D6DC" w14:textId="77777777" w:rsidR="009C5DA8" w:rsidRPr="00687DE8" w:rsidRDefault="009C5DA8" w:rsidP="007122D9">
            <w:pPr>
              <w:spacing w:after="0" w:line="240" w:lineRule="auto"/>
              <w:rPr>
                <w:color w:val="000000"/>
                <w:szCs w:val="24"/>
                <w:lang w:eastAsia="et-EE"/>
              </w:rPr>
            </w:pPr>
            <w:r w:rsidRPr="00687DE8">
              <w:rPr>
                <w:color w:val="000000"/>
                <w:szCs w:val="24"/>
                <w:lang w:eastAsia="et-EE"/>
              </w:rPr>
              <w:t>Ortopantomogramm (digitaalne või filmile)*</w:t>
            </w:r>
          </w:p>
        </w:tc>
        <w:tc>
          <w:tcPr>
            <w:tcW w:w="1134" w:type="dxa"/>
            <w:tcBorders>
              <w:top w:val="nil"/>
              <w:left w:val="nil"/>
              <w:bottom w:val="single" w:sz="4" w:space="0" w:color="auto"/>
              <w:right w:val="single" w:sz="4" w:space="0" w:color="auto"/>
            </w:tcBorders>
            <w:noWrap/>
            <w:vAlign w:val="bottom"/>
            <w:hideMark/>
          </w:tcPr>
          <w:p w14:paraId="0CD96C19" w14:textId="77777777" w:rsidR="009C5DA8" w:rsidRPr="00687DE8" w:rsidRDefault="009C5DA8" w:rsidP="007122D9">
            <w:pPr>
              <w:spacing w:after="0" w:line="240" w:lineRule="auto"/>
              <w:jc w:val="center"/>
              <w:rPr>
                <w:color w:val="000000"/>
                <w:szCs w:val="24"/>
                <w:lang w:eastAsia="et-EE"/>
              </w:rPr>
            </w:pPr>
            <w:r w:rsidRPr="00687DE8">
              <w:rPr>
                <w:color w:val="000000"/>
                <w:szCs w:val="24"/>
                <w:lang w:eastAsia="et-EE"/>
              </w:rPr>
              <w:t>52406</w:t>
            </w:r>
          </w:p>
        </w:tc>
        <w:tc>
          <w:tcPr>
            <w:tcW w:w="2736" w:type="dxa"/>
            <w:tcBorders>
              <w:top w:val="nil"/>
              <w:left w:val="single" w:sz="4" w:space="0" w:color="auto"/>
              <w:bottom w:val="single" w:sz="4" w:space="0" w:color="auto"/>
              <w:right w:val="single" w:sz="4" w:space="0" w:color="auto"/>
            </w:tcBorders>
            <w:noWrap/>
            <w:vAlign w:val="center"/>
            <w:hideMark/>
          </w:tcPr>
          <w:p w14:paraId="64AE7F14" w14:textId="743109C4" w:rsidR="1A53EF6A" w:rsidRPr="00687DE8" w:rsidRDefault="0088364F">
            <w:pPr>
              <w:spacing w:after="0"/>
              <w:jc w:val="center"/>
              <w:rPr>
                <w:color w:val="000000" w:themeColor="text1"/>
                <w:szCs w:val="24"/>
              </w:rPr>
            </w:pPr>
            <w:r>
              <w:rPr>
                <w:color w:val="000000"/>
              </w:rPr>
              <w:t>22,20</w:t>
            </w:r>
          </w:p>
        </w:tc>
      </w:tr>
      <w:tr w:rsidR="009C5DA8" w:rsidRPr="00687DE8" w14:paraId="6B9A38EA"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0E9141E5" w14:textId="77777777" w:rsidR="009C5DA8" w:rsidRPr="00687DE8" w:rsidRDefault="009C5DA8" w:rsidP="007122D9">
            <w:pPr>
              <w:spacing w:after="0" w:line="240" w:lineRule="auto"/>
              <w:rPr>
                <w:color w:val="000000"/>
                <w:szCs w:val="24"/>
                <w:lang w:eastAsia="et-EE"/>
              </w:rPr>
            </w:pPr>
            <w:r w:rsidRPr="00687DE8">
              <w:rPr>
                <w:color w:val="000000"/>
                <w:szCs w:val="24"/>
                <w:lang w:eastAsia="et-EE"/>
              </w:rPr>
              <w:t>3D koonuskiir kompuutertomogramm näo ja lõualuu piirkonnast</w:t>
            </w:r>
          </w:p>
        </w:tc>
        <w:tc>
          <w:tcPr>
            <w:tcW w:w="1134" w:type="dxa"/>
            <w:tcBorders>
              <w:top w:val="nil"/>
              <w:left w:val="nil"/>
              <w:bottom w:val="single" w:sz="4" w:space="0" w:color="auto"/>
              <w:right w:val="single" w:sz="4" w:space="0" w:color="auto"/>
            </w:tcBorders>
            <w:noWrap/>
            <w:vAlign w:val="bottom"/>
            <w:hideMark/>
          </w:tcPr>
          <w:p w14:paraId="7599AE41" w14:textId="77777777" w:rsidR="009C5DA8" w:rsidRPr="00687DE8" w:rsidRDefault="009C5DA8" w:rsidP="007122D9">
            <w:pPr>
              <w:spacing w:after="0" w:line="240" w:lineRule="auto"/>
              <w:jc w:val="center"/>
              <w:rPr>
                <w:color w:val="000000"/>
                <w:szCs w:val="24"/>
                <w:lang w:eastAsia="et-EE"/>
              </w:rPr>
            </w:pPr>
            <w:r w:rsidRPr="00687DE8">
              <w:rPr>
                <w:color w:val="000000"/>
                <w:szCs w:val="24"/>
                <w:lang w:eastAsia="et-EE"/>
              </w:rPr>
              <w:t>52407</w:t>
            </w:r>
          </w:p>
        </w:tc>
        <w:tc>
          <w:tcPr>
            <w:tcW w:w="2736" w:type="dxa"/>
            <w:tcBorders>
              <w:top w:val="nil"/>
              <w:left w:val="single" w:sz="4" w:space="0" w:color="auto"/>
              <w:bottom w:val="single" w:sz="4" w:space="0" w:color="auto"/>
              <w:right w:val="single" w:sz="4" w:space="0" w:color="auto"/>
            </w:tcBorders>
            <w:noWrap/>
            <w:vAlign w:val="center"/>
            <w:hideMark/>
          </w:tcPr>
          <w:p w14:paraId="106556AE" w14:textId="1850907A" w:rsidR="1A53EF6A" w:rsidRPr="00687DE8" w:rsidRDefault="0088364F">
            <w:pPr>
              <w:spacing w:after="0"/>
              <w:jc w:val="center"/>
              <w:rPr>
                <w:color w:val="000000" w:themeColor="text1"/>
                <w:szCs w:val="24"/>
              </w:rPr>
            </w:pPr>
            <w:r>
              <w:rPr>
                <w:color w:val="000000"/>
              </w:rPr>
              <w:t>90,28</w:t>
            </w:r>
          </w:p>
        </w:tc>
      </w:tr>
      <w:tr w:rsidR="00976487" w:rsidRPr="00687DE8" w14:paraId="6C725E69" w14:textId="77777777" w:rsidTr="009146B2">
        <w:trPr>
          <w:divId w:val="1316184749"/>
          <w:trHeight w:val="324"/>
        </w:trPr>
        <w:tc>
          <w:tcPr>
            <w:tcW w:w="5130" w:type="dxa"/>
            <w:tcBorders>
              <w:top w:val="nil"/>
              <w:left w:val="single" w:sz="4" w:space="0" w:color="auto"/>
              <w:bottom w:val="single" w:sz="4" w:space="0" w:color="auto"/>
              <w:right w:val="single" w:sz="4" w:space="0" w:color="auto"/>
            </w:tcBorders>
            <w:vAlign w:val="bottom"/>
            <w:hideMark/>
          </w:tcPr>
          <w:p w14:paraId="16865DC0" w14:textId="77777777" w:rsidR="00976487" w:rsidRPr="00687DE8" w:rsidRDefault="00976487" w:rsidP="007122D9">
            <w:pPr>
              <w:spacing w:after="0" w:line="240" w:lineRule="auto"/>
              <w:rPr>
                <w:b/>
                <w:bCs/>
                <w:i/>
                <w:iCs/>
                <w:color w:val="000000"/>
                <w:szCs w:val="24"/>
                <w:lang w:eastAsia="et-EE"/>
              </w:rPr>
            </w:pPr>
            <w:r w:rsidRPr="00687DE8">
              <w:rPr>
                <w:b/>
                <w:bCs/>
                <w:i/>
                <w:iCs/>
                <w:color w:val="000000"/>
                <w:szCs w:val="24"/>
                <w:lang w:eastAsia="et-EE"/>
              </w:rPr>
              <w:t>Proaktiivne ravi</w:t>
            </w:r>
          </w:p>
        </w:tc>
        <w:tc>
          <w:tcPr>
            <w:tcW w:w="1134" w:type="dxa"/>
            <w:tcBorders>
              <w:top w:val="nil"/>
              <w:left w:val="nil"/>
              <w:bottom w:val="single" w:sz="4" w:space="0" w:color="auto"/>
              <w:right w:val="single" w:sz="4" w:space="0" w:color="auto"/>
            </w:tcBorders>
            <w:noWrap/>
            <w:vAlign w:val="bottom"/>
            <w:hideMark/>
          </w:tcPr>
          <w:p w14:paraId="3BC7423A" w14:textId="77777777" w:rsidR="00976487" w:rsidRPr="00687DE8" w:rsidRDefault="00976487" w:rsidP="007122D9">
            <w:pPr>
              <w:spacing w:after="0" w:line="240" w:lineRule="auto"/>
              <w:jc w:val="center"/>
              <w:rPr>
                <w:color w:val="000000"/>
                <w:szCs w:val="24"/>
                <w:lang w:eastAsia="et-EE"/>
              </w:rPr>
            </w:pPr>
            <w:r w:rsidRPr="00687DE8">
              <w:rPr>
                <w:color w:val="000000"/>
                <w:szCs w:val="24"/>
                <w:lang w:eastAsia="et-EE"/>
              </w:rPr>
              <w:t> </w:t>
            </w:r>
          </w:p>
        </w:tc>
        <w:tc>
          <w:tcPr>
            <w:tcW w:w="2736" w:type="dxa"/>
            <w:tcBorders>
              <w:top w:val="nil"/>
              <w:left w:val="nil"/>
              <w:bottom w:val="single" w:sz="4" w:space="0" w:color="auto"/>
              <w:right w:val="single" w:sz="4" w:space="0" w:color="auto"/>
            </w:tcBorders>
            <w:noWrap/>
            <w:hideMark/>
          </w:tcPr>
          <w:p w14:paraId="66447CBD" w14:textId="77777777" w:rsidR="00976487" w:rsidRPr="00687DE8" w:rsidRDefault="00976487" w:rsidP="007122D9">
            <w:pPr>
              <w:spacing w:after="0" w:line="240" w:lineRule="auto"/>
              <w:rPr>
                <w:color w:val="000000"/>
                <w:szCs w:val="24"/>
                <w:lang w:eastAsia="et-EE"/>
              </w:rPr>
            </w:pPr>
          </w:p>
        </w:tc>
      </w:tr>
      <w:tr w:rsidR="00AD1FD1" w:rsidRPr="00687DE8" w14:paraId="083C7FDC"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7A9CD6BB" w14:textId="77777777" w:rsidR="00AD1FD1" w:rsidRPr="00687DE8" w:rsidRDefault="00AD1FD1" w:rsidP="007122D9">
            <w:pPr>
              <w:spacing w:after="0" w:line="240" w:lineRule="auto"/>
              <w:rPr>
                <w:color w:val="000000"/>
                <w:szCs w:val="24"/>
                <w:lang w:eastAsia="et-EE"/>
              </w:rPr>
            </w:pPr>
            <w:r w:rsidRPr="00687DE8">
              <w:rPr>
                <w:color w:val="000000"/>
                <w:szCs w:val="24"/>
                <w:lang w:eastAsia="et-EE"/>
              </w:rPr>
              <w:t>Hammaskonna professionaalne puhastamine biokilest*</w:t>
            </w:r>
          </w:p>
        </w:tc>
        <w:tc>
          <w:tcPr>
            <w:tcW w:w="1134" w:type="dxa"/>
            <w:tcBorders>
              <w:top w:val="nil"/>
              <w:left w:val="nil"/>
              <w:bottom w:val="single" w:sz="4" w:space="0" w:color="auto"/>
              <w:right w:val="single" w:sz="4" w:space="0" w:color="auto"/>
            </w:tcBorders>
            <w:noWrap/>
            <w:vAlign w:val="bottom"/>
            <w:hideMark/>
          </w:tcPr>
          <w:p w14:paraId="6DE6B60C" w14:textId="77777777" w:rsidR="00AD1FD1" w:rsidRPr="00687DE8" w:rsidRDefault="00AD1FD1" w:rsidP="007122D9">
            <w:pPr>
              <w:spacing w:after="0" w:line="240" w:lineRule="auto"/>
              <w:jc w:val="center"/>
              <w:rPr>
                <w:color w:val="000000"/>
                <w:szCs w:val="24"/>
                <w:lang w:eastAsia="et-EE"/>
              </w:rPr>
            </w:pPr>
            <w:r w:rsidRPr="00687DE8">
              <w:rPr>
                <w:color w:val="000000"/>
                <w:szCs w:val="24"/>
                <w:lang w:eastAsia="et-EE"/>
              </w:rPr>
              <w:t>52412</w:t>
            </w:r>
          </w:p>
        </w:tc>
        <w:tc>
          <w:tcPr>
            <w:tcW w:w="2736" w:type="dxa"/>
            <w:tcBorders>
              <w:top w:val="single" w:sz="4" w:space="0" w:color="auto"/>
              <w:left w:val="single" w:sz="4" w:space="0" w:color="auto"/>
              <w:bottom w:val="single" w:sz="4" w:space="0" w:color="auto"/>
              <w:right w:val="single" w:sz="4" w:space="0" w:color="auto"/>
            </w:tcBorders>
            <w:noWrap/>
            <w:vAlign w:val="center"/>
            <w:hideMark/>
          </w:tcPr>
          <w:p w14:paraId="0A902D91" w14:textId="65C35DED" w:rsidR="1A53EF6A" w:rsidRPr="00687DE8" w:rsidRDefault="006B130B">
            <w:pPr>
              <w:spacing w:after="0"/>
              <w:jc w:val="center"/>
              <w:rPr>
                <w:color w:val="000000" w:themeColor="text1"/>
                <w:szCs w:val="24"/>
              </w:rPr>
            </w:pPr>
            <w:r>
              <w:rPr>
                <w:color w:val="000000"/>
              </w:rPr>
              <w:t>31,78</w:t>
            </w:r>
          </w:p>
        </w:tc>
      </w:tr>
      <w:tr w:rsidR="00AD1FD1" w:rsidRPr="00687DE8" w14:paraId="1CB19CE7"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1401CBEE" w14:textId="1A04F242" w:rsidR="00AD1FD1" w:rsidRPr="00687DE8" w:rsidRDefault="00AD1FD1" w:rsidP="007122D9">
            <w:pPr>
              <w:spacing w:after="0" w:line="240" w:lineRule="auto"/>
              <w:rPr>
                <w:color w:val="000000"/>
                <w:szCs w:val="24"/>
                <w:lang w:eastAsia="et-EE"/>
              </w:rPr>
            </w:pPr>
            <w:r w:rsidRPr="00687DE8">
              <w:rPr>
                <w:color w:val="000000" w:themeColor="text1"/>
                <w:szCs w:val="24"/>
                <w:lang w:eastAsia="et-EE"/>
              </w:rPr>
              <w:t xml:space="preserve">Hammaste fluoroteraapia </w:t>
            </w:r>
            <w:r w:rsidRPr="00687DE8" w:rsidDel="00B8273E">
              <w:rPr>
                <w:color w:val="000000" w:themeColor="text1"/>
                <w:szCs w:val="24"/>
                <w:lang w:eastAsia="et-EE"/>
              </w:rPr>
              <w:t xml:space="preserve">nelja </w:t>
            </w:r>
            <w:r w:rsidRPr="00687DE8">
              <w:rPr>
                <w:color w:val="000000" w:themeColor="text1"/>
                <w:szCs w:val="24"/>
                <w:lang w:eastAsia="et-EE"/>
              </w:rPr>
              <w:t>hamba</w:t>
            </w:r>
            <w:r w:rsidRPr="00687DE8" w:rsidDel="00B8273E">
              <w:rPr>
                <w:color w:val="000000" w:themeColor="text1"/>
                <w:szCs w:val="24"/>
                <w:lang w:eastAsia="et-EE"/>
              </w:rPr>
              <w:t xml:space="preserve"> </w:t>
            </w:r>
            <w:r w:rsidRPr="00687DE8">
              <w:rPr>
                <w:color w:val="000000" w:themeColor="text1"/>
                <w:szCs w:val="24"/>
                <w:lang w:eastAsia="et-EE"/>
              </w:rPr>
              <w:t>ulatuses</w:t>
            </w:r>
          </w:p>
        </w:tc>
        <w:tc>
          <w:tcPr>
            <w:tcW w:w="1134" w:type="dxa"/>
            <w:tcBorders>
              <w:top w:val="nil"/>
              <w:left w:val="nil"/>
              <w:bottom w:val="single" w:sz="4" w:space="0" w:color="auto"/>
              <w:right w:val="single" w:sz="4" w:space="0" w:color="auto"/>
            </w:tcBorders>
            <w:noWrap/>
            <w:vAlign w:val="bottom"/>
            <w:hideMark/>
          </w:tcPr>
          <w:p w14:paraId="23F914FF" w14:textId="77777777" w:rsidR="00AD1FD1" w:rsidRPr="00687DE8" w:rsidRDefault="00AD1FD1" w:rsidP="007122D9">
            <w:pPr>
              <w:spacing w:after="0" w:line="240" w:lineRule="auto"/>
              <w:jc w:val="center"/>
              <w:rPr>
                <w:color w:val="000000"/>
                <w:szCs w:val="24"/>
                <w:lang w:eastAsia="et-EE"/>
              </w:rPr>
            </w:pPr>
            <w:r w:rsidRPr="00687DE8">
              <w:rPr>
                <w:color w:val="000000"/>
                <w:szCs w:val="24"/>
                <w:lang w:eastAsia="et-EE"/>
              </w:rPr>
              <w:t>52408</w:t>
            </w:r>
          </w:p>
        </w:tc>
        <w:tc>
          <w:tcPr>
            <w:tcW w:w="2736" w:type="dxa"/>
            <w:tcBorders>
              <w:top w:val="nil"/>
              <w:left w:val="single" w:sz="4" w:space="0" w:color="auto"/>
              <w:bottom w:val="single" w:sz="4" w:space="0" w:color="auto"/>
              <w:right w:val="single" w:sz="4" w:space="0" w:color="auto"/>
            </w:tcBorders>
            <w:noWrap/>
            <w:vAlign w:val="center"/>
            <w:hideMark/>
          </w:tcPr>
          <w:p w14:paraId="193F337E" w14:textId="12F7437D" w:rsidR="1A53EF6A" w:rsidRPr="00687DE8" w:rsidRDefault="006B130B">
            <w:pPr>
              <w:spacing w:after="0"/>
              <w:jc w:val="center"/>
              <w:rPr>
                <w:color w:val="000000" w:themeColor="text1"/>
                <w:szCs w:val="24"/>
              </w:rPr>
            </w:pPr>
            <w:r>
              <w:rPr>
                <w:color w:val="000000"/>
              </w:rPr>
              <w:t>6,04</w:t>
            </w:r>
          </w:p>
        </w:tc>
      </w:tr>
      <w:tr w:rsidR="00AD1FD1" w:rsidRPr="00687DE8" w14:paraId="68C24B4F"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64DD16CB" w14:textId="77777777" w:rsidR="00AD1FD1" w:rsidRPr="00687DE8" w:rsidRDefault="00AD1FD1" w:rsidP="007122D9">
            <w:pPr>
              <w:spacing w:after="0" w:line="240" w:lineRule="auto"/>
              <w:rPr>
                <w:color w:val="000000"/>
                <w:szCs w:val="24"/>
                <w:lang w:eastAsia="et-EE"/>
              </w:rPr>
            </w:pPr>
            <w:r w:rsidRPr="00687DE8">
              <w:rPr>
                <w:color w:val="000000"/>
                <w:szCs w:val="24"/>
                <w:lang w:eastAsia="et-EE"/>
              </w:rPr>
              <w:t>Silandi paigaldamine ühele hambale</w:t>
            </w:r>
          </w:p>
        </w:tc>
        <w:tc>
          <w:tcPr>
            <w:tcW w:w="1134" w:type="dxa"/>
            <w:tcBorders>
              <w:top w:val="nil"/>
              <w:left w:val="nil"/>
              <w:bottom w:val="single" w:sz="4" w:space="0" w:color="auto"/>
              <w:right w:val="single" w:sz="4" w:space="0" w:color="auto"/>
            </w:tcBorders>
            <w:noWrap/>
            <w:vAlign w:val="bottom"/>
            <w:hideMark/>
          </w:tcPr>
          <w:p w14:paraId="10C05186" w14:textId="77777777" w:rsidR="00AD1FD1" w:rsidRPr="00687DE8" w:rsidRDefault="00AD1FD1" w:rsidP="007122D9">
            <w:pPr>
              <w:spacing w:after="0" w:line="240" w:lineRule="auto"/>
              <w:jc w:val="center"/>
              <w:rPr>
                <w:color w:val="000000"/>
                <w:szCs w:val="24"/>
                <w:lang w:eastAsia="et-EE"/>
              </w:rPr>
            </w:pPr>
            <w:r w:rsidRPr="00687DE8">
              <w:rPr>
                <w:color w:val="000000"/>
                <w:szCs w:val="24"/>
                <w:lang w:eastAsia="et-EE"/>
              </w:rPr>
              <w:t>52409</w:t>
            </w:r>
          </w:p>
        </w:tc>
        <w:tc>
          <w:tcPr>
            <w:tcW w:w="2736" w:type="dxa"/>
            <w:tcBorders>
              <w:top w:val="nil"/>
              <w:left w:val="single" w:sz="4" w:space="0" w:color="auto"/>
              <w:bottom w:val="single" w:sz="4" w:space="0" w:color="auto"/>
              <w:right w:val="single" w:sz="4" w:space="0" w:color="auto"/>
            </w:tcBorders>
            <w:noWrap/>
            <w:vAlign w:val="center"/>
            <w:hideMark/>
          </w:tcPr>
          <w:p w14:paraId="15169541" w14:textId="32E4C596" w:rsidR="1A53EF6A" w:rsidRPr="00687DE8" w:rsidRDefault="006B130B">
            <w:pPr>
              <w:spacing w:after="0"/>
              <w:jc w:val="center"/>
              <w:rPr>
                <w:color w:val="000000" w:themeColor="text1"/>
                <w:szCs w:val="24"/>
              </w:rPr>
            </w:pPr>
            <w:r>
              <w:rPr>
                <w:color w:val="000000"/>
              </w:rPr>
              <w:t>16,94</w:t>
            </w:r>
          </w:p>
        </w:tc>
      </w:tr>
      <w:tr w:rsidR="00AD1FD1" w:rsidRPr="00687DE8" w14:paraId="17852A17" w14:textId="77777777" w:rsidTr="001B10F9">
        <w:trPr>
          <w:divId w:val="1316184749"/>
          <w:trHeight w:val="345"/>
        </w:trPr>
        <w:tc>
          <w:tcPr>
            <w:tcW w:w="5130" w:type="dxa"/>
            <w:tcBorders>
              <w:top w:val="nil"/>
              <w:left w:val="single" w:sz="4" w:space="0" w:color="auto"/>
              <w:bottom w:val="single" w:sz="4" w:space="0" w:color="auto"/>
              <w:right w:val="single" w:sz="4" w:space="0" w:color="auto"/>
            </w:tcBorders>
            <w:vAlign w:val="bottom"/>
            <w:hideMark/>
          </w:tcPr>
          <w:p w14:paraId="00D00340" w14:textId="77777777" w:rsidR="00AD1FD1" w:rsidRPr="00687DE8" w:rsidRDefault="00AD1FD1" w:rsidP="007122D9">
            <w:pPr>
              <w:spacing w:after="0" w:line="240" w:lineRule="auto"/>
              <w:rPr>
                <w:color w:val="000000"/>
                <w:szCs w:val="24"/>
                <w:lang w:eastAsia="et-EE"/>
              </w:rPr>
            </w:pPr>
            <w:r w:rsidRPr="00687DE8">
              <w:rPr>
                <w:color w:val="000000"/>
                <w:szCs w:val="24"/>
                <w:lang w:eastAsia="et-EE"/>
              </w:rPr>
              <w:t>Ühe hamba lihvimine hambumuse korrigeerimiseks või enameloplastika</w:t>
            </w:r>
          </w:p>
        </w:tc>
        <w:tc>
          <w:tcPr>
            <w:tcW w:w="1134" w:type="dxa"/>
            <w:tcBorders>
              <w:top w:val="nil"/>
              <w:left w:val="nil"/>
              <w:bottom w:val="single" w:sz="4" w:space="0" w:color="auto"/>
              <w:right w:val="single" w:sz="4" w:space="0" w:color="auto"/>
            </w:tcBorders>
            <w:noWrap/>
            <w:vAlign w:val="bottom"/>
            <w:hideMark/>
          </w:tcPr>
          <w:p w14:paraId="471950CB" w14:textId="77777777" w:rsidR="00AD1FD1" w:rsidRPr="00687DE8" w:rsidRDefault="00AD1FD1" w:rsidP="007122D9">
            <w:pPr>
              <w:spacing w:after="0" w:line="240" w:lineRule="auto"/>
              <w:jc w:val="center"/>
              <w:rPr>
                <w:color w:val="000000"/>
                <w:szCs w:val="24"/>
                <w:lang w:eastAsia="et-EE"/>
              </w:rPr>
            </w:pPr>
            <w:r w:rsidRPr="00687DE8">
              <w:rPr>
                <w:color w:val="000000"/>
                <w:szCs w:val="24"/>
                <w:lang w:eastAsia="et-EE"/>
              </w:rPr>
              <w:t>52410</w:t>
            </w:r>
          </w:p>
        </w:tc>
        <w:tc>
          <w:tcPr>
            <w:tcW w:w="2736" w:type="dxa"/>
            <w:tcBorders>
              <w:top w:val="nil"/>
              <w:left w:val="single" w:sz="4" w:space="0" w:color="auto"/>
              <w:bottom w:val="single" w:sz="4" w:space="0" w:color="auto"/>
              <w:right w:val="single" w:sz="4" w:space="0" w:color="auto"/>
            </w:tcBorders>
            <w:noWrap/>
            <w:vAlign w:val="center"/>
            <w:hideMark/>
          </w:tcPr>
          <w:p w14:paraId="072C02BD" w14:textId="0D7CE7A8" w:rsidR="1A53EF6A" w:rsidRPr="00687DE8" w:rsidRDefault="006B130B">
            <w:pPr>
              <w:spacing w:after="0"/>
              <w:jc w:val="center"/>
              <w:rPr>
                <w:color w:val="000000" w:themeColor="text1"/>
                <w:szCs w:val="24"/>
              </w:rPr>
            </w:pPr>
            <w:r>
              <w:rPr>
                <w:color w:val="000000"/>
              </w:rPr>
              <w:t>8,59</w:t>
            </w:r>
          </w:p>
        </w:tc>
      </w:tr>
      <w:tr w:rsidR="00AD1FD1" w:rsidRPr="00687DE8" w14:paraId="0825C80A"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6AAC729E" w14:textId="77777777" w:rsidR="00AD1FD1" w:rsidRPr="00687DE8" w:rsidRDefault="00AD1FD1" w:rsidP="007122D9">
            <w:pPr>
              <w:spacing w:after="0" w:line="240" w:lineRule="auto"/>
              <w:rPr>
                <w:color w:val="000000"/>
                <w:szCs w:val="24"/>
                <w:lang w:eastAsia="et-EE"/>
              </w:rPr>
            </w:pPr>
            <w:r w:rsidRPr="00687DE8">
              <w:rPr>
                <w:color w:val="000000"/>
                <w:szCs w:val="24"/>
                <w:lang w:eastAsia="et-EE"/>
              </w:rPr>
              <w:t>Kohahoidja koos paigaldusega</w:t>
            </w:r>
          </w:p>
        </w:tc>
        <w:tc>
          <w:tcPr>
            <w:tcW w:w="1134" w:type="dxa"/>
            <w:tcBorders>
              <w:top w:val="nil"/>
              <w:left w:val="nil"/>
              <w:bottom w:val="single" w:sz="4" w:space="0" w:color="auto"/>
              <w:right w:val="single" w:sz="4" w:space="0" w:color="auto"/>
            </w:tcBorders>
            <w:noWrap/>
            <w:vAlign w:val="bottom"/>
            <w:hideMark/>
          </w:tcPr>
          <w:p w14:paraId="74B6156D" w14:textId="77777777" w:rsidR="00AD1FD1" w:rsidRPr="00687DE8" w:rsidRDefault="00AD1FD1" w:rsidP="007122D9">
            <w:pPr>
              <w:spacing w:after="0" w:line="240" w:lineRule="auto"/>
              <w:jc w:val="center"/>
              <w:rPr>
                <w:color w:val="000000"/>
                <w:szCs w:val="24"/>
                <w:lang w:eastAsia="et-EE"/>
              </w:rPr>
            </w:pPr>
            <w:r w:rsidRPr="00687DE8">
              <w:rPr>
                <w:color w:val="000000"/>
                <w:szCs w:val="24"/>
                <w:lang w:eastAsia="et-EE"/>
              </w:rPr>
              <w:t>52411</w:t>
            </w:r>
          </w:p>
        </w:tc>
        <w:tc>
          <w:tcPr>
            <w:tcW w:w="2736" w:type="dxa"/>
            <w:tcBorders>
              <w:top w:val="nil"/>
              <w:left w:val="single" w:sz="4" w:space="0" w:color="auto"/>
              <w:bottom w:val="single" w:sz="4" w:space="0" w:color="auto"/>
              <w:right w:val="single" w:sz="4" w:space="0" w:color="auto"/>
            </w:tcBorders>
            <w:noWrap/>
            <w:vAlign w:val="center"/>
            <w:hideMark/>
          </w:tcPr>
          <w:p w14:paraId="2479F6E8" w14:textId="0BCFDB8C" w:rsidR="1A53EF6A" w:rsidRPr="00687DE8" w:rsidRDefault="006B130B">
            <w:pPr>
              <w:spacing w:after="0"/>
              <w:jc w:val="center"/>
              <w:rPr>
                <w:color w:val="000000" w:themeColor="text1"/>
                <w:szCs w:val="24"/>
              </w:rPr>
            </w:pPr>
            <w:r>
              <w:rPr>
                <w:color w:val="000000"/>
              </w:rPr>
              <w:t>31,44</w:t>
            </w:r>
          </w:p>
        </w:tc>
      </w:tr>
      <w:tr w:rsidR="00976487" w:rsidRPr="00687DE8" w14:paraId="1511892D" w14:textId="77777777" w:rsidTr="009146B2">
        <w:trPr>
          <w:divId w:val="1316184749"/>
          <w:trHeight w:val="324"/>
        </w:trPr>
        <w:tc>
          <w:tcPr>
            <w:tcW w:w="5130" w:type="dxa"/>
            <w:tcBorders>
              <w:top w:val="nil"/>
              <w:left w:val="single" w:sz="4" w:space="0" w:color="auto"/>
              <w:bottom w:val="single" w:sz="4" w:space="0" w:color="auto"/>
              <w:right w:val="single" w:sz="4" w:space="0" w:color="auto"/>
            </w:tcBorders>
            <w:vAlign w:val="bottom"/>
            <w:hideMark/>
          </w:tcPr>
          <w:p w14:paraId="2C77CB9A" w14:textId="77777777" w:rsidR="00976487" w:rsidRPr="00687DE8" w:rsidRDefault="00976487" w:rsidP="007122D9">
            <w:pPr>
              <w:spacing w:after="0" w:line="240" w:lineRule="auto"/>
              <w:rPr>
                <w:b/>
                <w:bCs/>
                <w:i/>
                <w:iCs/>
                <w:color w:val="000000"/>
                <w:szCs w:val="24"/>
                <w:lang w:eastAsia="et-EE"/>
              </w:rPr>
            </w:pPr>
            <w:r w:rsidRPr="00687DE8">
              <w:rPr>
                <w:b/>
                <w:bCs/>
                <w:i/>
                <w:iCs/>
                <w:color w:val="000000"/>
                <w:szCs w:val="24"/>
                <w:lang w:eastAsia="et-EE"/>
              </w:rPr>
              <w:t>Anesteesia</w:t>
            </w:r>
          </w:p>
        </w:tc>
        <w:tc>
          <w:tcPr>
            <w:tcW w:w="1134" w:type="dxa"/>
            <w:tcBorders>
              <w:top w:val="nil"/>
              <w:left w:val="nil"/>
              <w:bottom w:val="single" w:sz="4" w:space="0" w:color="auto"/>
              <w:right w:val="single" w:sz="4" w:space="0" w:color="auto"/>
            </w:tcBorders>
            <w:noWrap/>
            <w:vAlign w:val="bottom"/>
            <w:hideMark/>
          </w:tcPr>
          <w:p w14:paraId="0ACA8D9E" w14:textId="77777777" w:rsidR="00976487" w:rsidRPr="00687DE8" w:rsidRDefault="00976487" w:rsidP="007122D9">
            <w:pPr>
              <w:spacing w:after="0" w:line="240" w:lineRule="auto"/>
              <w:jc w:val="center"/>
              <w:rPr>
                <w:color w:val="000000"/>
                <w:szCs w:val="24"/>
                <w:lang w:eastAsia="et-EE"/>
              </w:rPr>
            </w:pPr>
            <w:r w:rsidRPr="00687DE8">
              <w:rPr>
                <w:color w:val="000000"/>
                <w:szCs w:val="24"/>
                <w:lang w:eastAsia="et-EE"/>
              </w:rPr>
              <w:t> </w:t>
            </w:r>
          </w:p>
        </w:tc>
        <w:tc>
          <w:tcPr>
            <w:tcW w:w="2736" w:type="dxa"/>
            <w:tcBorders>
              <w:top w:val="nil"/>
              <w:left w:val="nil"/>
              <w:bottom w:val="single" w:sz="4" w:space="0" w:color="auto"/>
              <w:right w:val="single" w:sz="4" w:space="0" w:color="auto"/>
            </w:tcBorders>
            <w:noWrap/>
            <w:hideMark/>
          </w:tcPr>
          <w:p w14:paraId="17A7A27E" w14:textId="77777777" w:rsidR="00976487" w:rsidRPr="00687DE8" w:rsidRDefault="00976487" w:rsidP="007122D9">
            <w:pPr>
              <w:spacing w:after="0" w:line="240" w:lineRule="auto"/>
              <w:rPr>
                <w:color w:val="000000"/>
                <w:szCs w:val="24"/>
                <w:lang w:eastAsia="et-EE"/>
              </w:rPr>
            </w:pPr>
          </w:p>
        </w:tc>
      </w:tr>
      <w:tr w:rsidR="00C02A60" w:rsidRPr="00687DE8" w14:paraId="54B5F79F"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5CC84F2C" w14:textId="77777777" w:rsidR="00C02A60" w:rsidRPr="00687DE8" w:rsidRDefault="00C02A60" w:rsidP="007122D9">
            <w:pPr>
              <w:spacing w:after="0" w:line="240" w:lineRule="auto"/>
              <w:rPr>
                <w:color w:val="000000"/>
                <w:szCs w:val="24"/>
                <w:lang w:eastAsia="et-EE"/>
              </w:rPr>
            </w:pPr>
            <w:r w:rsidRPr="00687DE8">
              <w:rPr>
                <w:color w:val="000000"/>
                <w:szCs w:val="24"/>
                <w:lang w:eastAsia="et-EE"/>
              </w:rPr>
              <w:t>Pinnaanesteesia*</w:t>
            </w:r>
          </w:p>
        </w:tc>
        <w:tc>
          <w:tcPr>
            <w:tcW w:w="1134" w:type="dxa"/>
            <w:tcBorders>
              <w:top w:val="nil"/>
              <w:left w:val="nil"/>
              <w:bottom w:val="single" w:sz="4" w:space="0" w:color="auto"/>
              <w:right w:val="single" w:sz="4" w:space="0" w:color="auto"/>
            </w:tcBorders>
            <w:noWrap/>
            <w:vAlign w:val="bottom"/>
            <w:hideMark/>
          </w:tcPr>
          <w:p w14:paraId="0B92444C" w14:textId="77777777" w:rsidR="00C02A60" w:rsidRPr="00687DE8" w:rsidRDefault="00C02A60" w:rsidP="007122D9">
            <w:pPr>
              <w:spacing w:after="0" w:line="240" w:lineRule="auto"/>
              <w:jc w:val="center"/>
              <w:rPr>
                <w:color w:val="000000"/>
                <w:szCs w:val="24"/>
                <w:lang w:eastAsia="et-EE"/>
              </w:rPr>
            </w:pPr>
            <w:r w:rsidRPr="00687DE8">
              <w:rPr>
                <w:color w:val="000000"/>
                <w:szCs w:val="24"/>
                <w:lang w:eastAsia="et-EE"/>
              </w:rPr>
              <w:t>52413</w:t>
            </w:r>
          </w:p>
        </w:tc>
        <w:tc>
          <w:tcPr>
            <w:tcW w:w="2736" w:type="dxa"/>
            <w:tcBorders>
              <w:top w:val="single" w:sz="4" w:space="0" w:color="auto"/>
              <w:left w:val="single" w:sz="4" w:space="0" w:color="auto"/>
              <w:bottom w:val="single" w:sz="4" w:space="0" w:color="auto"/>
              <w:right w:val="single" w:sz="4" w:space="0" w:color="auto"/>
            </w:tcBorders>
            <w:noWrap/>
            <w:vAlign w:val="center"/>
            <w:hideMark/>
          </w:tcPr>
          <w:p w14:paraId="1CB7E3F5" w14:textId="40263039" w:rsidR="1A53EF6A" w:rsidRPr="00687DE8" w:rsidRDefault="006B130B">
            <w:pPr>
              <w:spacing w:after="0"/>
              <w:jc w:val="center"/>
              <w:rPr>
                <w:color w:val="000000" w:themeColor="text1"/>
                <w:szCs w:val="24"/>
              </w:rPr>
            </w:pPr>
            <w:r>
              <w:rPr>
                <w:color w:val="000000"/>
              </w:rPr>
              <w:t>5,92</w:t>
            </w:r>
          </w:p>
        </w:tc>
      </w:tr>
      <w:tr w:rsidR="00C02A60" w:rsidRPr="00687DE8" w14:paraId="3EAE51B9"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63E960E2" w14:textId="77777777" w:rsidR="00C02A60" w:rsidRPr="00687DE8" w:rsidRDefault="00C02A60" w:rsidP="007122D9">
            <w:pPr>
              <w:spacing w:after="0" w:line="240" w:lineRule="auto"/>
              <w:rPr>
                <w:color w:val="000000"/>
                <w:szCs w:val="24"/>
                <w:lang w:eastAsia="et-EE"/>
              </w:rPr>
            </w:pPr>
            <w:r w:rsidRPr="00687DE8">
              <w:rPr>
                <w:color w:val="000000"/>
                <w:szCs w:val="24"/>
                <w:lang w:eastAsia="et-EE"/>
              </w:rPr>
              <w:t>Injektsioonanesteesia*</w:t>
            </w:r>
          </w:p>
        </w:tc>
        <w:tc>
          <w:tcPr>
            <w:tcW w:w="1134" w:type="dxa"/>
            <w:tcBorders>
              <w:top w:val="nil"/>
              <w:left w:val="nil"/>
              <w:bottom w:val="single" w:sz="4" w:space="0" w:color="auto"/>
              <w:right w:val="single" w:sz="4" w:space="0" w:color="auto"/>
            </w:tcBorders>
            <w:noWrap/>
            <w:vAlign w:val="bottom"/>
            <w:hideMark/>
          </w:tcPr>
          <w:p w14:paraId="0B369AF1" w14:textId="77777777" w:rsidR="00C02A60" w:rsidRPr="00687DE8" w:rsidRDefault="00C02A60" w:rsidP="007122D9">
            <w:pPr>
              <w:spacing w:after="0" w:line="240" w:lineRule="auto"/>
              <w:jc w:val="center"/>
              <w:rPr>
                <w:color w:val="000000"/>
                <w:szCs w:val="24"/>
                <w:lang w:eastAsia="et-EE"/>
              </w:rPr>
            </w:pPr>
            <w:r w:rsidRPr="00687DE8">
              <w:rPr>
                <w:color w:val="000000"/>
                <w:szCs w:val="24"/>
                <w:lang w:eastAsia="et-EE"/>
              </w:rPr>
              <w:t>52414</w:t>
            </w:r>
          </w:p>
        </w:tc>
        <w:tc>
          <w:tcPr>
            <w:tcW w:w="2736" w:type="dxa"/>
            <w:tcBorders>
              <w:top w:val="nil"/>
              <w:left w:val="single" w:sz="4" w:space="0" w:color="auto"/>
              <w:bottom w:val="single" w:sz="4" w:space="0" w:color="auto"/>
              <w:right w:val="single" w:sz="4" w:space="0" w:color="auto"/>
            </w:tcBorders>
            <w:noWrap/>
            <w:vAlign w:val="center"/>
            <w:hideMark/>
          </w:tcPr>
          <w:p w14:paraId="406159E4" w14:textId="1414D48D" w:rsidR="1A53EF6A" w:rsidRPr="00687DE8" w:rsidRDefault="006B130B">
            <w:pPr>
              <w:spacing w:after="0"/>
              <w:jc w:val="center"/>
              <w:rPr>
                <w:color w:val="000000" w:themeColor="text1"/>
                <w:szCs w:val="24"/>
              </w:rPr>
            </w:pPr>
            <w:r>
              <w:rPr>
                <w:color w:val="000000"/>
              </w:rPr>
              <w:t>17,23</w:t>
            </w:r>
          </w:p>
        </w:tc>
      </w:tr>
      <w:tr w:rsidR="00976487" w:rsidRPr="00687DE8" w14:paraId="570EB4F5" w14:textId="77777777" w:rsidTr="004F7BF0">
        <w:trPr>
          <w:divId w:val="1316184749"/>
          <w:trHeight w:val="324"/>
        </w:trPr>
        <w:tc>
          <w:tcPr>
            <w:tcW w:w="5130" w:type="dxa"/>
            <w:tcBorders>
              <w:top w:val="nil"/>
              <w:left w:val="single" w:sz="4" w:space="0" w:color="auto"/>
              <w:bottom w:val="single" w:sz="4" w:space="0" w:color="auto"/>
              <w:right w:val="single" w:sz="4" w:space="0" w:color="auto"/>
            </w:tcBorders>
            <w:vAlign w:val="bottom"/>
            <w:hideMark/>
          </w:tcPr>
          <w:p w14:paraId="4082036B" w14:textId="77777777" w:rsidR="00976487" w:rsidRPr="00687DE8" w:rsidRDefault="00976487" w:rsidP="007122D9">
            <w:pPr>
              <w:spacing w:after="0" w:line="240" w:lineRule="auto"/>
              <w:rPr>
                <w:b/>
                <w:bCs/>
                <w:i/>
                <w:iCs/>
                <w:color w:val="000000"/>
                <w:szCs w:val="24"/>
                <w:lang w:eastAsia="et-EE"/>
              </w:rPr>
            </w:pPr>
            <w:r w:rsidRPr="00687DE8">
              <w:rPr>
                <w:b/>
                <w:bCs/>
                <w:i/>
                <w:iCs/>
                <w:color w:val="000000"/>
                <w:szCs w:val="24"/>
                <w:lang w:eastAsia="et-EE"/>
              </w:rPr>
              <w:t>Hammaste restauratiivne ravi</w:t>
            </w:r>
          </w:p>
        </w:tc>
        <w:tc>
          <w:tcPr>
            <w:tcW w:w="1134" w:type="dxa"/>
            <w:tcBorders>
              <w:top w:val="nil"/>
              <w:left w:val="nil"/>
              <w:bottom w:val="single" w:sz="4" w:space="0" w:color="auto"/>
              <w:right w:val="single" w:sz="4" w:space="0" w:color="auto"/>
            </w:tcBorders>
            <w:noWrap/>
            <w:vAlign w:val="bottom"/>
            <w:hideMark/>
          </w:tcPr>
          <w:p w14:paraId="56C9F836" w14:textId="77777777" w:rsidR="00976487" w:rsidRPr="00687DE8" w:rsidRDefault="00976487" w:rsidP="007122D9">
            <w:pPr>
              <w:spacing w:after="0" w:line="240" w:lineRule="auto"/>
              <w:jc w:val="center"/>
              <w:rPr>
                <w:color w:val="000000"/>
                <w:szCs w:val="24"/>
                <w:lang w:eastAsia="et-EE"/>
              </w:rPr>
            </w:pPr>
            <w:r w:rsidRPr="00687DE8">
              <w:rPr>
                <w:color w:val="000000"/>
                <w:szCs w:val="24"/>
                <w:lang w:eastAsia="et-EE"/>
              </w:rPr>
              <w:t> </w:t>
            </w:r>
          </w:p>
        </w:tc>
        <w:tc>
          <w:tcPr>
            <w:tcW w:w="2736" w:type="dxa"/>
            <w:tcBorders>
              <w:top w:val="nil"/>
              <w:left w:val="nil"/>
              <w:bottom w:val="single" w:sz="4" w:space="0" w:color="auto"/>
              <w:right w:val="single" w:sz="4" w:space="0" w:color="auto"/>
            </w:tcBorders>
            <w:noWrap/>
            <w:vAlign w:val="center"/>
            <w:hideMark/>
          </w:tcPr>
          <w:p w14:paraId="68157A12" w14:textId="06A9FB15" w:rsidR="1A53EF6A" w:rsidRPr="00687DE8" w:rsidRDefault="1A53EF6A">
            <w:pPr>
              <w:spacing w:after="0"/>
              <w:jc w:val="center"/>
              <w:rPr>
                <w:color w:val="000000" w:themeColor="text1"/>
                <w:szCs w:val="24"/>
              </w:rPr>
            </w:pPr>
          </w:p>
        </w:tc>
      </w:tr>
      <w:tr w:rsidR="001F4FE9" w:rsidRPr="00687DE8" w14:paraId="665F47EE" w14:textId="77777777" w:rsidTr="001B10F9">
        <w:trPr>
          <w:divId w:val="1316184749"/>
          <w:trHeight w:val="624"/>
        </w:trPr>
        <w:tc>
          <w:tcPr>
            <w:tcW w:w="5130" w:type="dxa"/>
            <w:tcBorders>
              <w:top w:val="nil"/>
              <w:left w:val="single" w:sz="4" w:space="0" w:color="auto"/>
              <w:bottom w:val="single" w:sz="4" w:space="0" w:color="auto"/>
              <w:right w:val="single" w:sz="4" w:space="0" w:color="auto"/>
            </w:tcBorders>
            <w:vAlign w:val="bottom"/>
            <w:hideMark/>
          </w:tcPr>
          <w:p w14:paraId="6A410819" w14:textId="77777777" w:rsidR="001F4FE9" w:rsidRPr="00687DE8" w:rsidRDefault="001F4FE9" w:rsidP="007122D9">
            <w:pPr>
              <w:spacing w:after="0" w:line="240" w:lineRule="auto"/>
              <w:rPr>
                <w:color w:val="000000"/>
                <w:szCs w:val="24"/>
                <w:lang w:eastAsia="et-EE"/>
              </w:rPr>
            </w:pPr>
            <w:r w:rsidRPr="00687DE8">
              <w:rPr>
                <w:color w:val="000000"/>
                <w:szCs w:val="24"/>
                <w:lang w:eastAsia="et-EE"/>
              </w:rPr>
              <w:t>Ühe prefabritseeritud juurekanalitihvti fikseerimine jäävhamba juurekanalisse</w:t>
            </w:r>
          </w:p>
        </w:tc>
        <w:tc>
          <w:tcPr>
            <w:tcW w:w="1134" w:type="dxa"/>
            <w:tcBorders>
              <w:top w:val="nil"/>
              <w:left w:val="nil"/>
              <w:bottom w:val="single" w:sz="4" w:space="0" w:color="auto"/>
              <w:right w:val="single" w:sz="4" w:space="0" w:color="auto"/>
            </w:tcBorders>
            <w:noWrap/>
            <w:vAlign w:val="bottom"/>
            <w:hideMark/>
          </w:tcPr>
          <w:p w14:paraId="5BE092E7" w14:textId="77777777" w:rsidR="001F4FE9" w:rsidRPr="00687DE8" w:rsidRDefault="001F4FE9" w:rsidP="007122D9">
            <w:pPr>
              <w:spacing w:after="0" w:line="240" w:lineRule="auto"/>
              <w:jc w:val="center"/>
              <w:rPr>
                <w:color w:val="000000"/>
                <w:szCs w:val="24"/>
                <w:lang w:eastAsia="et-EE"/>
              </w:rPr>
            </w:pPr>
            <w:r w:rsidRPr="00687DE8">
              <w:rPr>
                <w:color w:val="000000"/>
                <w:szCs w:val="24"/>
                <w:lang w:eastAsia="et-EE"/>
              </w:rPr>
              <w:t>52415</w:t>
            </w:r>
          </w:p>
        </w:tc>
        <w:tc>
          <w:tcPr>
            <w:tcW w:w="2736" w:type="dxa"/>
            <w:tcBorders>
              <w:top w:val="single" w:sz="4" w:space="0" w:color="auto"/>
              <w:left w:val="single" w:sz="4" w:space="0" w:color="auto"/>
              <w:bottom w:val="single" w:sz="4" w:space="0" w:color="auto"/>
              <w:right w:val="single" w:sz="4" w:space="0" w:color="auto"/>
            </w:tcBorders>
            <w:noWrap/>
            <w:vAlign w:val="center"/>
            <w:hideMark/>
          </w:tcPr>
          <w:p w14:paraId="1BEC0E6F" w14:textId="7E2AD087" w:rsidR="1A53EF6A" w:rsidRPr="00687DE8" w:rsidRDefault="00A06AAD">
            <w:pPr>
              <w:spacing w:after="0"/>
              <w:jc w:val="center"/>
              <w:rPr>
                <w:color w:val="000000" w:themeColor="text1"/>
                <w:szCs w:val="24"/>
              </w:rPr>
            </w:pPr>
            <w:r>
              <w:rPr>
                <w:color w:val="000000"/>
              </w:rPr>
              <w:t>27,92</w:t>
            </w:r>
          </w:p>
        </w:tc>
      </w:tr>
      <w:tr w:rsidR="001F4FE9" w:rsidRPr="00687DE8" w14:paraId="7B92643B" w14:textId="77777777" w:rsidTr="001B10F9">
        <w:trPr>
          <w:divId w:val="1316184749"/>
          <w:trHeight w:val="624"/>
        </w:trPr>
        <w:tc>
          <w:tcPr>
            <w:tcW w:w="5130" w:type="dxa"/>
            <w:tcBorders>
              <w:top w:val="nil"/>
              <w:left w:val="single" w:sz="4" w:space="0" w:color="auto"/>
              <w:bottom w:val="single" w:sz="4" w:space="0" w:color="auto"/>
              <w:right w:val="single" w:sz="4" w:space="0" w:color="auto"/>
            </w:tcBorders>
            <w:vAlign w:val="bottom"/>
            <w:hideMark/>
          </w:tcPr>
          <w:p w14:paraId="705750DF" w14:textId="77777777" w:rsidR="001F4FE9" w:rsidRPr="00687DE8" w:rsidRDefault="001F4FE9" w:rsidP="007122D9">
            <w:pPr>
              <w:spacing w:after="0" w:line="240" w:lineRule="auto"/>
              <w:rPr>
                <w:color w:val="000000"/>
                <w:szCs w:val="24"/>
                <w:lang w:eastAsia="et-EE"/>
              </w:rPr>
            </w:pPr>
            <w:r w:rsidRPr="00687DE8">
              <w:rPr>
                <w:color w:val="000000"/>
                <w:szCs w:val="24"/>
                <w:lang w:eastAsia="et-EE"/>
              </w:rPr>
              <w:t>Iga järgneva prefabritseeritud juurekanalitihvti fikseerimine jäävhamba juurekanalisse</w:t>
            </w:r>
          </w:p>
        </w:tc>
        <w:tc>
          <w:tcPr>
            <w:tcW w:w="1134" w:type="dxa"/>
            <w:tcBorders>
              <w:top w:val="nil"/>
              <w:left w:val="nil"/>
              <w:bottom w:val="single" w:sz="4" w:space="0" w:color="auto"/>
              <w:right w:val="single" w:sz="4" w:space="0" w:color="auto"/>
            </w:tcBorders>
            <w:noWrap/>
            <w:vAlign w:val="bottom"/>
            <w:hideMark/>
          </w:tcPr>
          <w:p w14:paraId="60C66BED" w14:textId="77777777" w:rsidR="001F4FE9" w:rsidRPr="00687DE8" w:rsidRDefault="001F4FE9" w:rsidP="007122D9">
            <w:pPr>
              <w:spacing w:after="0" w:line="240" w:lineRule="auto"/>
              <w:jc w:val="center"/>
              <w:rPr>
                <w:color w:val="000000"/>
                <w:szCs w:val="24"/>
                <w:lang w:eastAsia="et-EE"/>
              </w:rPr>
            </w:pPr>
            <w:r w:rsidRPr="00687DE8">
              <w:rPr>
                <w:color w:val="000000"/>
                <w:szCs w:val="24"/>
                <w:lang w:eastAsia="et-EE"/>
              </w:rPr>
              <w:t>52416</w:t>
            </w:r>
          </w:p>
        </w:tc>
        <w:tc>
          <w:tcPr>
            <w:tcW w:w="2736" w:type="dxa"/>
            <w:tcBorders>
              <w:top w:val="nil"/>
              <w:left w:val="single" w:sz="4" w:space="0" w:color="auto"/>
              <w:bottom w:val="single" w:sz="4" w:space="0" w:color="auto"/>
              <w:right w:val="single" w:sz="4" w:space="0" w:color="auto"/>
            </w:tcBorders>
            <w:noWrap/>
            <w:vAlign w:val="center"/>
            <w:hideMark/>
          </w:tcPr>
          <w:p w14:paraId="26332B10" w14:textId="4B8ECACC" w:rsidR="1A53EF6A" w:rsidRPr="00687DE8" w:rsidRDefault="00A06AAD">
            <w:pPr>
              <w:spacing w:after="0"/>
              <w:jc w:val="center"/>
              <w:rPr>
                <w:color w:val="000000" w:themeColor="text1"/>
                <w:szCs w:val="24"/>
              </w:rPr>
            </w:pPr>
            <w:r>
              <w:rPr>
                <w:color w:val="000000"/>
              </w:rPr>
              <w:t>20,26</w:t>
            </w:r>
          </w:p>
        </w:tc>
      </w:tr>
      <w:tr w:rsidR="001F4FE9" w:rsidRPr="00687DE8" w14:paraId="5D084DE7" w14:textId="77777777" w:rsidTr="001B10F9">
        <w:trPr>
          <w:divId w:val="1316184749"/>
          <w:trHeight w:val="300"/>
        </w:trPr>
        <w:tc>
          <w:tcPr>
            <w:tcW w:w="5130" w:type="dxa"/>
            <w:tcBorders>
              <w:top w:val="nil"/>
              <w:left w:val="single" w:sz="4" w:space="0" w:color="auto"/>
              <w:bottom w:val="single" w:sz="4" w:space="0" w:color="auto"/>
              <w:right w:val="single" w:sz="4" w:space="0" w:color="auto"/>
            </w:tcBorders>
            <w:vAlign w:val="bottom"/>
            <w:hideMark/>
          </w:tcPr>
          <w:p w14:paraId="3A1C1C34" w14:textId="77777777" w:rsidR="001F4FE9" w:rsidRPr="00687DE8" w:rsidRDefault="001F4FE9" w:rsidP="007122D9">
            <w:pPr>
              <w:spacing w:after="0" w:line="240" w:lineRule="auto"/>
              <w:rPr>
                <w:color w:val="000000"/>
                <w:szCs w:val="24"/>
                <w:lang w:eastAsia="et-EE"/>
              </w:rPr>
            </w:pPr>
            <w:r w:rsidRPr="00687DE8">
              <w:rPr>
                <w:color w:val="000000"/>
                <w:szCs w:val="24"/>
                <w:lang w:eastAsia="et-EE"/>
              </w:rPr>
              <w:t>Ühe pinna täidis*</w:t>
            </w:r>
          </w:p>
        </w:tc>
        <w:tc>
          <w:tcPr>
            <w:tcW w:w="1134" w:type="dxa"/>
            <w:tcBorders>
              <w:top w:val="nil"/>
              <w:left w:val="nil"/>
              <w:bottom w:val="single" w:sz="4" w:space="0" w:color="auto"/>
              <w:right w:val="single" w:sz="4" w:space="0" w:color="auto"/>
            </w:tcBorders>
            <w:noWrap/>
            <w:vAlign w:val="bottom"/>
            <w:hideMark/>
          </w:tcPr>
          <w:p w14:paraId="6372B89A" w14:textId="77777777" w:rsidR="001F4FE9" w:rsidRPr="00687DE8" w:rsidRDefault="001F4FE9" w:rsidP="007122D9">
            <w:pPr>
              <w:spacing w:after="0" w:line="240" w:lineRule="auto"/>
              <w:jc w:val="center"/>
              <w:rPr>
                <w:color w:val="000000"/>
                <w:szCs w:val="24"/>
                <w:lang w:eastAsia="et-EE"/>
              </w:rPr>
            </w:pPr>
            <w:r w:rsidRPr="00687DE8">
              <w:rPr>
                <w:color w:val="000000"/>
                <w:szCs w:val="24"/>
                <w:lang w:eastAsia="et-EE"/>
              </w:rPr>
              <w:t>52417</w:t>
            </w:r>
          </w:p>
        </w:tc>
        <w:tc>
          <w:tcPr>
            <w:tcW w:w="2736" w:type="dxa"/>
            <w:tcBorders>
              <w:top w:val="nil"/>
              <w:left w:val="single" w:sz="4" w:space="0" w:color="auto"/>
              <w:bottom w:val="single" w:sz="4" w:space="0" w:color="auto"/>
              <w:right w:val="single" w:sz="4" w:space="0" w:color="auto"/>
            </w:tcBorders>
            <w:noWrap/>
            <w:vAlign w:val="center"/>
            <w:hideMark/>
          </w:tcPr>
          <w:p w14:paraId="1CCC373D" w14:textId="4006C269" w:rsidR="1A53EF6A" w:rsidRPr="00687DE8" w:rsidRDefault="00A06AAD">
            <w:pPr>
              <w:spacing w:after="0"/>
              <w:jc w:val="center"/>
              <w:rPr>
                <w:color w:val="000000" w:themeColor="text1"/>
                <w:szCs w:val="24"/>
              </w:rPr>
            </w:pPr>
            <w:r>
              <w:rPr>
                <w:color w:val="000000"/>
              </w:rPr>
              <w:t>60,83</w:t>
            </w:r>
          </w:p>
        </w:tc>
      </w:tr>
      <w:tr w:rsidR="001F4FE9" w:rsidRPr="00687DE8" w14:paraId="50AEA8C5"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22A185F7" w14:textId="77777777" w:rsidR="001F4FE9" w:rsidRPr="00687DE8" w:rsidRDefault="001F4FE9" w:rsidP="007122D9">
            <w:pPr>
              <w:spacing w:after="0" w:line="240" w:lineRule="auto"/>
              <w:rPr>
                <w:color w:val="000000"/>
                <w:szCs w:val="24"/>
                <w:lang w:eastAsia="et-EE"/>
              </w:rPr>
            </w:pPr>
            <w:r w:rsidRPr="00687DE8">
              <w:rPr>
                <w:color w:val="000000"/>
                <w:szCs w:val="24"/>
                <w:lang w:eastAsia="et-EE"/>
              </w:rPr>
              <w:t>Kahe pinna täidis*</w:t>
            </w:r>
          </w:p>
        </w:tc>
        <w:tc>
          <w:tcPr>
            <w:tcW w:w="1134" w:type="dxa"/>
            <w:tcBorders>
              <w:top w:val="nil"/>
              <w:left w:val="nil"/>
              <w:bottom w:val="single" w:sz="4" w:space="0" w:color="auto"/>
              <w:right w:val="single" w:sz="4" w:space="0" w:color="auto"/>
            </w:tcBorders>
            <w:noWrap/>
            <w:vAlign w:val="bottom"/>
            <w:hideMark/>
          </w:tcPr>
          <w:p w14:paraId="299D0F8D" w14:textId="77777777" w:rsidR="001F4FE9" w:rsidRPr="00687DE8" w:rsidRDefault="001F4FE9" w:rsidP="007122D9">
            <w:pPr>
              <w:spacing w:after="0" w:line="240" w:lineRule="auto"/>
              <w:jc w:val="center"/>
              <w:rPr>
                <w:color w:val="000000"/>
                <w:szCs w:val="24"/>
                <w:lang w:eastAsia="et-EE"/>
              </w:rPr>
            </w:pPr>
            <w:r w:rsidRPr="00687DE8">
              <w:rPr>
                <w:color w:val="000000"/>
                <w:szCs w:val="24"/>
                <w:lang w:eastAsia="et-EE"/>
              </w:rPr>
              <w:t>52418</w:t>
            </w:r>
          </w:p>
        </w:tc>
        <w:tc>
          <w:tcPr>
            <w:tcW w:w="2736" w:type="dxa"/>
            <w:tcBorders>
              <w:top w:val="nil"/>
              <w:left w:val="single" w:sz="4" w:space="0" w:color="auto"/>
              <w:bottom w:val="single" w:sz="4" w:space="0" w:color="auto"/>
              <w:right w:val="single" w:sz="4" w:space="0" w:color="auto"/>
            </w:tcBorders>
            <w:noWrap/>
            <w:vAlign w:val="center"/>
            <w:hideMark/>
          </w:tcPr>
          <w:p w14:paraId="4999E92A" w14:textId="5E5D08DD" w:rsidR="1A53EF6A" w:rsidRPr="00687DE8" w:rsidRDefault="00A06AAD">
            <w:pPr>
              <w:spacing w:after="0"/>
              <w:jc w:val="center"/>
              <w:rPr>
                <w:color w:val="000000" w:themeColor="text1"/>
                <w:szCs w:val="24"/>
              </w:rPr>
            </w:pPr>
            <w:r>
              <w:rPr>
                <w:color w:val="000000"/>
              </w:rPr>
              <w:t>73,93</w:t>
            </w:r>
          </w:p>
        </w:tc>
      </w:tr>
      <w:tr w:rsidR="001F4FE9" w:rsidRPr="00687DE8" w14:paraId="704E748E" w14:textId="77777777" w:rsidTr="001B10F9">
        <w:trPr>
          <w:divId w:val="1316184749"/>
          <w:trHeight w:val="300"/>
        </w:trPr>
        <w:tc>
          <w:tcPr>
            <w:tcW w:w="5130" w:type="dxa"/>
            <w:tcBorders>
              <w:top w:val="nil"/>
              <w:left w:val="single" w:sz="4" w:space="0" w:color="auto"/>
              <w:bottom w:val="single" w:sz="4" w:space="0" w:color="auto"/>
              <w:right w:val="single" w:sz="4" w:space="0" w:color="auto"/>
            </w:tcBorders>
            <w:vAlign w:val="bottom"/>
            <w:hideMark/>
          </w:tcPr>
          <w:p w14:paraId="578D8081" w14:textId="77777777" w:rsidR="001F4FE9" w:rsidRPr="00687DE8" w:rsidRDefault="001F4FE9" w:rsidP="007122D9">
            <w:pPr>
              <w:spacing w:after="0" w:line="240" w:lineRule="auto"/>
              <w:rPr>
                <w:color w:val="000000"/>
                <w:szCs w:val="24"/>
                <w:lang w:eastAsia="et-EE"/>
              </w:rPr>
            </w:pPr>
            <w:r w:rsidRPr="00687DE8">
              <w:rPr>
                <w:color w:val="000000" w:themeColor="text1"/>
                <w:szCs w:val="24"/>
                <w:lang w:eastAsia="et-EE"/>
              </w:rPr>
              <w:t>Kolme pinna täidis*</w:t>
            </w:r>
          </w:p>
        </w:tc>
        <w:tc>
          <w:tcPr>
            <w:tcW w:w="1134" w:type="dxa"/>
            <w:tcBorders>
              <w:top w:val="nil"/>
              <w:left w:val="nil"/>
              <w:bottom w:val="single" w:sz="4" w:space="0" w:color="auto"/>
              <w:right w:val="single" w:sz="4" w:space="0" w:color="auto"/>
            </w:tcBorders>
            <w:noWrap/>
            <w:vAlign w:val="bottom"/>
            <w:hideMark/>
          </w:tcPr>
          <w:p w14:paraId="6A87C720" w14:textId="77777777" w:rsidR="001F4FE9" w:rsidRPr="00687DE8" w:rsidRDefault="001F4FE9" w:rsidP="007122D9">
            <w:pPr>
              <w:spacing w:after="0" w:line="240" w:lineRule="auto"/>
              <w:jc w:val="center"/>
              <w:rPr>
                <w:color w:val="000000"/>
                <w:szCs w:val="24"/>
                <w:lang w:eastAsia="et-EE"/>
              </w:rPr>
            </w:pPr>
            <w:r w:rsidRPr="00687DE8">
              <w:rPr>
                <w:color w:val="000000"/>
                <w:szCs w:val="24"/>
                <w:lang w:eastAsia="et-EE"/>
              </w:rPr>
              <w:t>52419</w:t>
            </w:r>
          </w:p>
        </w:tc>
        <w:tc>
          <w:tcPr>
            <w:tcW w:w="2736" w:type="dxa"/>
            <w:tcBorders>
              <w:top w:val="nil"/>
              <w:left w:val="single" w:sz="4" w:space="0" w:color="auto"/>
              <w:bottom w:val="single" w:sz="4" w:space="0" w:color="auto"/>
              <w:right w:val="single" w:sz="4" w:space="0" w:color="auto"/>
            </w:tcBorders>
            <w:noWrap/>
            <w:vAlign w:val="center"/>
            <w:hideMark/>
          </w:tcPr>
          <w:p w14:paraId="330F23FD" w14:textId="3229F481" w:rsidR="1A53EF6A" w:rsidRPr="00687DE8" w:rsidRDefault="00A06AAD">
            <w:pPr>
              <w:spacing w:after="0"/>
              <w:jc w:val="center"/>
              <w:rPr>
                <w:color w:val="000000" w:themeColor="text1"/>
                <w:szCs w:val="24"/>
              </w:rPr>
            </w:pPr>
            <w:r>
              <w:rPr>
                <w:color w:val="000000"/>
              </w:rPr>
              <w:t>82,45</w:t>
            </w:r>
          </w:p>
        </w:tc>
      </w:tr>
      <w:tr w:rsidR="001F4FE9" w:rsidRPr="00687DE8" w14:paraId="3288C445" w14:textId="77777777" w:rsidTr="001B10F9">
        <w:trPr>
          <w:divId w:val="1316184749"/>
          <w:trHeight w:val="624"/>
        </w:trPr>
        <w:tc>
          <w:tcPr>
            <w:tcW w:w="5130" w:type="dxa"/>
            <w:tcBorders>
              <w:top w:val="nil"/>
              <w:left w:val="single" w:sz="4" w:space="0" w:color="auto"/>
              <w:bottom w:val="single" w:sz="4" w:space="0" w:color="auto"/>
              <w:right w:val="single" w:sz="4" w:space="0" w:color="auto"/>
            </w:tcBorders>
            <w:vAlign w:val="bottom"/>
            <w:hideMark/>
          </w:tcPr>
          <w:p w14:paraId="0CDA674C" w14:textId="77777777" w:rsidR="001F4FE9" w:rsidRPr="00687DE8" w:rsidRDefault="001F4FE9" w:rsidP="007122D9">
            <w:pPr>
              <w:spacing w:after="0" w:line="240" w:lineRule="auto"/>
              <w:rPr>
                <w:color w:val="000000"/>
                <w:szCs w:val="24"/>
                <w:lang w:eastAsia="et-EE"/>
              </w:rPr>
            </w:pPr>
            <w:r w:rsidRPr="00687DE8">
              <w:rPr>
                <w:color w:val="000000"/>
                <w:szCs w:val="24"/>
                <w:lang w:eastAsia="et-EE"/>
              </w:rPr>
              <w:lastRenderedPageBreak/>
              <w:t>Ulatuslik mälumispinna või hambakrooni täidismaterjaliga taastamine</w:t>
            </w:r>
          </w:p>
        </w:tc>
        <w:tc>
          <w:tcPr>
            <w:tcW w:w="1134" w:type="dxa"/>
            <w:tcBorders>
              <w:top w:val="nil"/>
              <w:left w:val="nil"/>
              <w:bottom w:val="single" w:sz="4" w:space="0" w:color="auto"/>
              <w:right w:val="single" w:sz="4" w:space="0" w:color="auto"/>
            </w:tcBorders>
            <w:noWrap/>
            <w:vAlign w:val="bottom"/>
            <w:hideMark/>
          </w:tcPr>
          <w:p w14:paraId="31B97DE4" w14:textId="77777777" w:rsidR="001F4FE9" w:rsidRPr="00687DE8" w:rsidRDefault="001F4FE9" w:rsidP="007122D9">
            <w:pPr>
              <w:spacing w:after="0" w:line="240" w:lineRule="auto"/>
              <w:jc w:val="center"/>
              <w:rPr>
                <w:color w:val="000000"/>
                <w:szCs w:val="24"/>
                <w:lang w:eastAsia="et-EE"/>
              </w:rPr>
            </w:pPr>
            <w:r w:rsidRPr="00687DE8">
              <w:rPr>
                <w:color w:val="000000"/>
                <w:szCs w:val="24"/>
                <w:lang w:eastAsia="et-EE"/>
              </w:rPr>
              <w:t>52420</w:t>
            </w:r>
          </w:p>
        </w:tc>
        <w:tc>
          <w:tcPr>
            <w:tcW w:w="2736" w:type="dxa"/>
            <w:tcBorders>
              <w:top w:val="nil"/>
              <w:left w:val="single" w:sz="4" w:space="0" w:color="auto"/>
              <w:bottom w:val="single" w:sz="4" w:space="0" w:color="auto"/>
              <w:right w:val="single" w:sz="4" w:space="0" w:color="auto"/>
            </w:tcBorders>
            <w:noWrap/>
            <w:vAlign w:val="center"/>
            <w:hideMark/>
          </w:tcPr>
          <w:p w14:paraId="2A3300F3" w14:textId="0E95DA20" w:rsidR="1A53EF6A" w:rsidRPr="00687DE8" w:rsidRDefault="00A06AAD">
            <w:pPr>
              <w:spacing w:after="0"/>
              <w:jc w:val="center"/>
              <w:rPr>
                <w:color w:val="000000" w:themeColor="text1"/>
                <w:szCs w:val="24"/>
              </w:rPr>
            </w:pPr>
            <w:r>
              <w:rPr>
                <w:color w:val="000000"/>
              </w:rPr>
              <w:t>83,30</w:t>
            </w:r>
          </w:p>
        </w:tc>
      </w:tr>
      <w:tr w:rsidR="001F4FE9" w:rsidRPr="00687DE8" w14:paraId="718693BE"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43DE6AAD" w14:textId="77777777" w:rsidR="001F4FE9" w:rsidRPr="00687DE8" w:rsidRDefault="001F4FE9" w:rsidP="007122D9">
            <w:pPr>
              <w:spacing w:after="0" w:line="240" w:lineRule="auto"/>
              <w:rPr>
                <w:color w:val="000000"/>
                <w:szCs w:val="24"/>
                <w:lang w:eastAsia="et-EE"/>
              </w:rPr>
            </w:pPr>
            <w:r w:rsidRPr="00687DE8">
              <w:rPr>
                <w:color w:val="000000"/>
                <w:szCs w:val="24"/>
                <w:lang w:eastAsia="et-EE"/>
              </w:rPr>
              <w:t>Hambaköndi taastamine kroonimiseks</w:t>
            </w:r>
          </w:p>
        </w:tc>
        <w:tc>
          <w:tcPr>
            <w:tcW w:w="1134" w:type="dxa"/>
            <w:tcBorders>
              <w:top w:val="nil"/>
              <w:left w:val="nil"/>
              <w:bottom w:val="single" w:sz="4" w:space="0" w:color="auto"/>
              <w:right w:val="single" w:sz="4" w:space="0" w:color="auto"/>
            </w:tcBorders>
            <w:noWrap/>
            <w:vAlign w:val="bottom"/>
            <w:hideMark/>
          </w:tcPr>
          <w:p w14:paraId="46AF3FFF" w14:textId="77777777" w:rsidR="001F4FE9" w:rsidRPr="00687DE8" w:rsidRDefault="001F4FE9" w:rsidP="007122D9">
            <w:pPr>
              <w:spacing w:after="0" w:line="240" w:lineRule="auto"/>
              <w:jc w:val="center"/>
              <w:rPr>
                <w:color w:val="000000"/>
                <w:szCs w:val="24"/>
                <w:lang w:eastAsia="et-EE"/>
              </w:rPr>
            </w:pPr>
            <w:r w:rsidRPr="00687DE8">
              <w:rPr>
                <w:color w:val="000000"/>
                <w:szCs w:val="24"/>
                <w:lang w:eastAsia="et-EE"/>
              </w:rPr>
              <w:t>52421</w:t>
            </w:r>
          </w:p>
        </w:tc>
        <w:tc>
          <w:tcPr>
            <w:tcW w:w="2736" w:type="dxa"/>
            <w:tcBorders>
              <w:top w:val="nil"/>
              <w:left w:val="single" w:sz="4" w:space="0" w:color="auto"/>
              <w:bottom w:val="single" w:sz="4" w:space="0" w:color="auto"/>
              <w:right w:val="single" w:sz="4" w:space="0" w:color="auto"/>
            </w:tcBorders>
            <w:noWrap/>
            <w:vAlign w:val="center"/>
            <w:hideMark/>
          </w:tcPr>
          <w:p w14:paraId="5219A548" w14:textId="25DDA843" w:rsidR="1A53EF6A" w:rsidRPr="00687DE8" w:rsidRDefault="00A06AAD">
            <w:pPr>
              <w:spacing w:after="0"/>
              <w:jc w:val="center"/>
              <w:rPr>
                <w:color w:val="000000" w:themeColor="text1"/>
                <w:szCs w:val="24"/>
              </w:rPr>
            </w:pPr>
            <w:r>
              <w:rPr>
                <w:color w:val="000000"/>
              </w:rPr>
              <w:t>50,93</w:t>
            </w:r>
          </w:p>
        </w:tc>
      </w:tr>
      <w:tr w:rsidR="001F4FE9" w:rsidRPr="00687DE8" w14:paraId="3C090F84"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52DECF84" w14:textId="77777777" w:rsidR="001F4FE9" w:rsidRPr="00687DE8" w:rsidRDefault="001F4FE9" w:rsidP="007122D9">
            <w:pPr>
              <w:spacing w:after="0" w:line="240" w:lineRule="auto"/>
              <w:rPr>
                <w:color w:val="000000"/>
                <w:szCs w:val="24"/>
                <w:lang w:eastAsia="et-EE"/>
              </w:rPr>
            </w:pPr>
            <w:r w:rsidRPr="00687DE8">
              <w:rPr>
                <w:color w:val="000000"/>
                <w:szCs w:val="24"/>
                <w:lang w:eastAsia="et-EE"/>
              </w:rPr>
              <w:t>Prefabritseeritud ajutise krooni paigaldamine</w:t>
            </w:r>
          </w:p>
        </w:tc>
        <w:tc>
          <w:tcPr>
            <w:tcW w:w="1134" w:type="dxa"/>
            <w:tcBorders>
              <w:top w:val="nil"/>
              <w:left w:val="nil"/>
              <w:bottom w:val="single" w:sz="4" w:space="0" w:color="auto"/>
              <w:right w:val="single" w:sz="4" w:space="0" w:color="auto"/>
            </w:tcBorders>
            <w:noWrap/>
            <w:vAlign w:val="bottom"/>
            <w:hideMark/>
          </w:tcPr>
          <w:p w14:paraId="48CBDF95" w14:textId="77777777" w:rsidR="001F4FE9" w:rsidRPr="00687DE8" w:rsidRDefault="001F4FE9" w:rsidP="007122D9">
            <w:pPr>
              <w:spacing w:after="0" w:line="240" w:lineRule="auto"/>
              <w:jc w:val="center"/>
              <w:rPr>
                <w:color w:val="000000"/>
                <w:szCs w:val="24"/>
                <w:lang w:eastAsia="et-EE"/>
              </w:rPr>
            </w:pPr>
            <w:r w:rsidRPr="00687DE8">
              <w:rPr>
                <w:color w:val="000000"/>
                <w:szCs w:val="24"/>
                <w:lang w:eastAsia="et-EE"/>
              </w:rPr>
              <w:t>52423</w:t>
            </w:r>
          </w:p>
        </w:tc>
        <w:tc>
          <w:tcPr>
            <w:tcW w:w="2736" w:type="dxa"/>
            <w:tcBorders>
              <w:top w:val="nil"/>
              <w:left w:val="single" w:sz="4" w:space="0" w:color="auto"/>
              <w:bottom w:val="single" w:sz="4" w:space="0" w:color="auto"/>
              <w:right w:val="single" w:sz="4" w:space="0" w:color="auto"/>
            </w:tcBorders>
            <w:noWrap/>
            <w:vAlign w:val="center"/>
            <w:hideMark/>
          </w:tcPr>
          <w:p w14:paraId="616DF459" w14:textId="438CD361" w:rsidR="1A53EF6A" w:rsidRPr="00687DE8" w:rsidRDefault="00A06AAD">
            <w:pPr>
              <w:spacing w:after="0"/>
              <w:jc w:val="center"/>
              <w:rPr>
                <w:color w:val="000000" w:themeColor="text1"/>
                <w:szCs w:val="24"/>
              </w:rPr>
            </w:pPr>
            <w:r>
              <w:rPr>
                <w:color w:val="000000"/>
              </w:rPr>
              <w:t>50,62</w:t>
            </w:r>
          </w:p>
        </w:tc>
      </w:tr>
      <w:tr w:rsidR="001F4FE9" w:rsidRPr="00687DE8" w14:paraId="71C2D64F" w14:textId="77777777" w:rsidTr="001B10F9">
        <w:trPr>
          <w:divId w:val="1316184749"/>
          <w:trHeight w:val="300"/>
        </w:trPr>
        <w:tc>
          <w:tcPr>
            <w:tcW w:w="5130" w:type="dxa"/>
            <w:tcBorders>
              <w:top w:val="nil"/>
              <w:left w:val="single" w:sz="4" w:space="0" w:color="auto"/>
              <w:bottom w:val="single" w:sz="4" w:space="0" w:color="auto"/>
              <w:right w:val="single" w:sz="4" w:space="0" w:color="auto"/>
            </w:tcBorders>
            <w:vAlign w:val="bottom"/>
            <w:hideMark/>
          </w:tcPr>
          <w:p w14:paraId="42A518C3" w14:textId="77777777" w:rsidR="001F4FE9" w:rsidRPr="00687DE8" w:rsidRDefault="001F4FE9" w:rsidP="007122D9">
            <w:pPr>
              <w:spacing w:after="0" w:line="240" w:lineRule="auto"/>
              <w:rPr>
                <w:color w:val="000000"/>
                <w:szCs w:val="24"/>
                <w:lang w:eastAsia="et-EE"/>
              </w:rPr>
            </w:pPr>
            <w:r w:rsidRPr="00687DE8">
              <w:rPr>
                <w:color w:val="000000"/>
                <w:szCs w:val="24"/>
                <w:lang w:eastAsia="et-EE"/>
              </w:rPr>
              <w:t>Ajutise täidise paigaldamine ühele hambale*</w:t>
            </w:r>
          </w:p>
        </w:tc>
        <w:tc>
          <w:tcPr>
            <w:tcW w:w="1134" w:type="dxa"/>
            <w:tcBorders>
              <w:top w:val="nil"/>
              <w:left w:val="nil"/>
              <w:bottom w:val="single" w:sz="4" w:space="0" w:color="auto"/>
              <w:right w:val="single" w:sz="4" w:space="0" w:color="auto"/>
            </w:tcBorders>
            <w:noWrap/>
            <w:vAlign w:val="bottom"/>
            <w:hideMark/>
          </w:tcPr>
          <w:p w14:paraId="52B3DA90" w14:textId="77777777" w:rsidR="001F4FE9" w:rsidRPr="00687DE8" w:rsidRDefault="001F4FE9" w:rsidP="007122D9">
            <w:pPr>
              <w:spacing w:after="0" w:line="240" w:lineRule="auto"/>
              <w:jc w:val="center"/>
              <w:rPr>
                <w:color w:val="000000"/>
                <w:szCs w:val="24"/>
                <w:lang w:eastAsia="et-EE"/>
              </w:rPr>
            </w:pPr>
            <w:r w:rsidRPr="00687DE8">
              <w:rPr>
                <w:color w:val="000000"/>
                <w:szCs w:val="24"/>
                <w:lang w:eastAsia="et-EE"/>
              </w:rPr>
              <w:t>52424</w:t>
            </w:r>
          </w:p>
        </w:tc>
        <w:tc>
          <w:tcPr>
            <w:tcW w:w="2736" w:type="dxa"/>
            <w:tcBorders>
              <w:top w:val="nil"/>
              <w:left w:val="single" w:sz="4" w:space="0" w:color="auto"/>
              <w:bottom w:val="single" w:sz="4" w:space="0" w:color="auto"/>
              <w:right w:val="single" w:sz="4" w:space="0" w:color="auto"/>
            </w:tcBorders>
            <w:noWrap/>
            <w:vAlign w:val="center"/>
            <w:hideMark/>
          </w:tcPr>
          <w:p w14:paraId="2E0AC3AF" w14:textId="0C95FD31" w:rsidR="1A53EF6A" w:rsidRPr="00687DE8" w:rsidRDefault="00A06AAD">
            <w:pPr>
              <w:spacing w:after="0"/>
              <w:jc w:val="center"/>
              <w:rPr>
                <w:color w:val="000000" w:themeColor="text1"/>
                <w:szCs w:val="24"/>
              </w:rPr>
            </w:pPr>
            <w:r>
              <w:rPr>
                <w:color w:val="000000"/>
              </w:rPr>
              <w:t>8,72</w:t>
            </w:r>
          </w:p>
        </w:tc>
      </w:tr>
      <w:tr w:rsidR="001F4FE9" w:rsidRPr="00687DE8" w14:paraId="35A45422"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5AA48BFC" w14:textId="77777777" w:rsidR="001F4FE9" w:rsidRPr="00687DE8" w:rsidRDefault="001F4FE9" w:rsidP="007122D9">
            <w:pPr>
              <w:spacing w:after="0" w:line="240" w:lineRule="auto"/>
              <w:rPr>
                <w:color w:val="000000"/>
                <w:szCs w:val="24"/>
                <w:lang w:eastAsia="et-EE"/>
              </w:rPr>
            </w:pPr>
            <w:r w:rsidRPr="00687DE8">
              <w:rPr>
                <w:color w:val="000000"/>
                <w:szCs w:val="24"/>
                <w:lang w:eastAsia="et-EE"/>
              </w:rPr>
              <w:t>Jäävhamba pulbiruumi lae perforatsiooni sulgemine ja alustäidis*</w:t>
            </w:r>
          </w:p>
        </w:tc>
        <w:tc>
          <w:tcPr>
            <w:tcW w:w="1134" w:type="dxa"/>
            <w:tcBorders>
              <w:top w:val="nil"/>
              <w:left w:val="nil"/>
              <w:bottom w:val="single" w:sz="4" w:space="0" w:color="auto"/>
              <w:right w:val="single" w:sz="4" w:space="0" w:color="auto"/>
            </w:tcBorders>
            <w:noWrap/>
            <w:vAlign w:val="bottom"/>
            <w:hideMark/>
          </w:tcPr>
          <w:p w14:paraId="759B22FA" w14:textId="77777777" w:rsidR="001F4FE9" w:rsidRPr="00687DE8" w:rsidRDefault="001F4FE9" w:rsidP="007122D9">
            <w:pPr>
              <w:spacing w:after="0" w:line="240" w:lineRule="auto"/>
              <w:jc w:val="center"/>
              <w:rPr>
                <w:color w:val="000000"/>
                <w:szCs w:val="24"/>
                <w:lang w:eastAsia="et-EE"/>
              </w:rPr>
            </w:pPr>
            <w:r w:rsidRPr="00687DE8">
              <w:rPr>
                <w:color w:val="000000"/>
                <w:szCs w:val="24"/>
                <w:lang w:eastAsia="et-EE"/>
              </w:rPr>
              <w:t>52426</w:t>
            </w:r>
          </w:p>
        </w:tc>
        <w:tc>
          <w:tcPr>
            <w:tcW w:w="2736" w:type="dxa"/>
            <w:tcBorders>
              <w:top w:val="nil"/>
              <w:left w:val="single" w:sz="4" w:space="0" w:color="auto"/>
              <w:bottom w:val="single" w:sz="4" w:space="0" w:color="auto"/>
              <w:right w:val="single" w:sz="4" w:space="0" w:color="auto"/>
            </w:tcBorders>
            <w:noWrap/>
            <w:vAlign w:val="center"/>
            <w:hideMark/>
          </w:tcPr>
          <w:p w14:paraId="248802C4" w14:textId="711F092E" w:rsidR="1A53EF6A" w:rsidRPr="00687DE8" w:rsidRDefault="00A06AAD">
            <w:pPr>
              <w:spacing w:after="0"/>
              <w:jc w:val="center"/>
              <w:rPr>
                <w:color w:val="000000" w:themeColor="text1"/>
                <w:szCs w:val="24"/>
              </w:rPr>
            </w:pPr>
            <w:r>
              <w:rPr>
                <w:color w:val="000000"/>
              </w:rPr>
              <w:t>22,05</w:t>
            </w:r>
          </w:p>
        </w:tc>
      </w:tr>
      <w:tr w:rsidR="001F4FE9" w:rsidRPr="00687DE8" w14:paraId="2EDEDA1E"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7C3C731D" w14:textId="77777777" w:rsidR="001F4FE9" w:rsidRPr="00687DE8" w:rsidRDefault="001F4FE9" w:rsidP="007122D9">
            <w:pPr>
              <w:spacing w:after="0" w:line="240" w:lineRule="auto"/>
              <w:rPr>
                <w:color w:val="000000"/>
                <w:szCs w:val="24"/>
                <w:lang w:eastAsia="et-EE"/>
              </w:rPr>
            </w:pPr>
            <w:r w:rsidRPr="00687DE8">
              <w:rPr>
                <w:color w:val="000000"/>
                <w:szCs w:val="24"/>
                <w:lang w:eastAsia="et-EE"/>
              </w:rPr>
              <w:t>Direktselt valmistatud ajutise krooni paigaldamine*</w:t>
            </w:r>
          </w:p>
        </w:tc>
        <w:tc>
          <w:tcPr>
            <w:tcW w:w="1134" w:type="dxa"/>
            <w:tcBorders>
              <w:top w:val="nil"/>
              <w:left w:val="nil"/>
              <w:bottom w:val="single" w:sz="4" w:space="0" w:color="auto"/>
              <w:right w:val="single" w:sz="4" w:space="0" w:color="auto"/>
            </w:tcBorders>
            <w:noWrap/>
            <w:vAlign w:val="bottom"/>
            <w:hideMark/>
          </w:tcPr>
          <w:p w14:paraId="36192CC7" w14:textId="77777777" w:rsidR="001F4FE9" w:rsidRPr="00687DE8" w:rsidRDefault="001F4FE9" w:rsidP="007122D9">
            <w:pPr>
              <w:spacing w:after="0" w:line="240" w:lineRule="auto"/>
              <w:jc w:val="center"/>
              <w:rPr>
                <w:color w:val="000000"/>
                <w:szCs w:val="24"/>
                <w:lang w:eastAsia="et-EE"/>
              </w:rPr>
            </w:pPr>
            <w:r w:rsidRPr="00687DE8">
              <w:rPr>
                <w:color w:val="000000"/>
                <w:szCs w:val="24"/>
                <w:lang w:eastAsia="et-EE"/>
              </w:rPr>
              <w:t>52422</w:t>
            </w:r>
          </w:p>
        </w:tc>
        <w:tc>
          <w:tcPr>
            <w:tcW w:w="2736" w:type="dxa"/>
            <w:tcBorders>
              <w:top w:val="nil"/>
              <w:left w:val="single" w:sz="4" w:space="0" w:color="auto"/>
              <w:bottom w:val="single" w:sz="4" w:space="0" w:color="auto"/>
              <w:right w:val="single" w:sz="4" w:space="0" w:color="auto"/>
            </w:tcBorders>
            <w:noWrap/>
            <w:vAlign w:val="center"/>
            <w:hideMark/>
          </w:tcPr>
          <w:p w14:paraId="6AEB072C" w14:textId="4EB01562" w:rsidR="1A53EF6A" w:rsidRPr="00687DE8" w:rsidRDefault="00A06AAD">
            <w:pPr>
              <w:spacing w:after="0"/>
              <w:jc w:val="center"/>
              <w:rPr>
                <w:color w:val="000000" w:themeColor="text1"/>
                <w:szCs w:val="24"/>
              </w:rPr>
            </w:pPr>
            <w:r>
              <w:rPr>
                <w:color w:val="000000"/>
              </w:rPr>
              <w:t>48,52</w:t>
            </w:r>
          </w:p>
        </w:tc>
      </w:tr>
      <w:tr w:rsidR="001F4FE9" w:rsidRPr="00687DE8" w14:paraId="67C28F8F"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36626F77" w14:textId="77777777" w:rsidR="001F4FE9" w:rsidRPr="00687DE8" w:rsidRDefault="001F4FE9" w:rsidP="007122D9">
            <w:pPr>
              <w:spacing w:after="0" w:line="240" w:lineRule="auto"/>
              <w:rPr>
                <w:color w:val="000000"/>
                <w:szCs w:val="24"/>
                <w:lang w:eastAsia="et-EE"/>
              </w:rPr>
            </w:pPr>
            <w:r w:rsidRPr="00687DE8">
              <w:rPr>
                <w:color w:val="000000"/>
                <w:szCs w:val="24"/>
                <w:lang w:eastAsia="et-EE"/>
              </w:rPr>
              <w:t>Täidismaterjalist ajutise kergsilla valmistamine*</w:t>
            </w:r>
          </w:p>
        </w:tc>
        <w:tc>
          <w:tcPr>
            <w:tcW w:w="1134" w:type="dxa"/>
            <w:tcBorders>
              <w:top w:val="nil"/>
              <w:left w:val="nil"/>
              <w:bottom w:val="single" w:sz="4" w:space="0" w:color="auto"/>
              <w:right w:val="single" w:sz="4" w:space="0" w:color="auto"/>
            </w:tcBorders>
            <w:noWrap/>
            <w:vAlign w:val="bottom"/>
            <w:hideMark/>
          </w:tcPr>
          <w:p w14:paraId="795AF567" w14:textId="77777777" w:rsidR="001F4FE9" w:rsidRPr="00687DE8" w:rsidRDefault="001F4FE9" w:rsidP="007122D9">
            <w:pPr>
              <w:spacing w:after="0" w:line="240" w:lineRule="auto"/>
              <w:jc w:val="center"/>
              <w:rPr>
                <w:color w:val="000000"/>
                <w:szCs w:val="24"/>
                <w:lang w:eastAsia="et-EE"/>
              </w:rPr>
            </w:pPr>
            <w:r w:rsidRPr="00687DE8">
              <w:rPr>
                <w:color w:val="000000"/>
                <w:szCs w:val="24"/>
                <w:lang w:eastAsia="et-EE"/>
              </w:rPr>
              <w:t>52425</w:t>
            </w:r>
          </w:p>
        </w:tc>
        <w:tc>
          <w:tcPr>
            <w:tcW w:w="2736" w:type="dxa"/>
            <w:tcBorders>
              <w:top w:val="nil"/>
              <w:left w:val="single" w:sz="4" w:space="0" w:color="auto"/>
              <w:bottom w:val="single" w:sz="4" w:space="0" w:color="auto"/>
              <w:right w:val="single" w:sz="4" w:space="0" w:color="auto"/>
            </w:tcBorders>
            <w:noWrap/>
            <w:vAlign w:val="center"/>
            <w:hideMark/>
          </w:tcPr>
          <w:p w14:paraId="64762A90" w14:textId="54312B30" w:rsidR="1A53EF6A" w:rsidRPr="00687DE8" w:rsidRDefault="00A06AAD">
            <w:pPr>
              <w:spacing w:after="0"/>
              <w:jc w:val="center"/>
              <w:rPr>
                <w:color w:val="000000" w:themeColor="text1"/>
                <w:szCs w:val="24"/>
              </w:rPr>
            </w:pPr>
            <w:r>
              <w:rPr>
                <w:color w:val="000000"/>
              </w:rPr>
              <w:t>101,60</w:t>
            </w:r>
          </w:p>
        </w:tc>
      </w:tr>
      <w:tr w:rsidR="00976487" w:rsidRPr="00687DE8" w14:paraId="28ACD945" w14:textId="77777777" w:rsidTr="009146B2">
        <w:trPr>
          <w:divId w:val="1316184749"/>
          <w:trHeight w:val="324"/>
        </w:trPr>
        <w:tc>
          <w:tcPr>
            <w:tcW w:w="5130" w:type="dxa"/>
            <w:tcBorders>
              <w:top w:val="nil"/>
              <w:left w:val="single" w:sz="4" w:space="0" w:color="auto"/>
              <w:bottom w:val="single" w:sz="4" w:space="0" w:color="auto"/>
              <w:right w:val="single" w:sz="4" w:space="0" w:color="auto"/>
            </w:tcBorders>
            <w:vAlign w:val="bottom"/>
            <w:hideMark/>
          </w:tcPr>
          <w:p w14:paraId="2E0A438E" w14:textId="77777777" w:rsidR="00976487" w:rsidRPr="00687DE8" w:rsidRDefault="00976487" w:rsidP="007122D9">
            <w:pPr>
              <w:spacing w:after="0" w:line="240" w:lineRule="auto"/>
              <w:rPr>
                <w:b/>
                <w:bCs/>
                <w:i/>
                <w:iCs/>
                <w:color w:val="000000"/>
                <w:szCs w:val="24"/>
                <w:lang w:eastAsia="et-EE"/>
              </w:rPr>
            </w:pPr>
            <w:r w:rsidRPr="00687DE8">
              <w:rPr>
                <w:b/>
                <w:bCs/>
                <w:i/>
                <w:iCs/>
                <w:color w:val="000000"/>
                <w:szCs w:val="24"/>
                <w:lang w:eastAsia="et-EE"/>
              </w:rPr>
              <w:t>Endodontia</w:t>
            </w:r>
          </w:p>
        </w:tc>
        <w:tc>
          <w:tcPr>
            <w:tcW w:w="1134" w:type="dxa"/>
            <w:tcBorders>
              <w:top w:val="nil"/>
              <w:left w:val="nil"/>
              <w:bottom w:val="single" w:sz="4" w:space="0" w:color="auto"/>
              <w:right w:val="single" w:sz="4" w:space="0" w:color="auto"/>
            </w:tcBorders>
            <w:noWrap/>
            <w:vAlign w:val="bottom"/>
            <w:hideMark/>
          </w:tcPr>
          <w:p w14:paraId="5ACE79EC" w14:textId="77777777" w:rsidR="00976487" w:rsidRPr="00687DE8" w:rsidRDefault="00976487" w:rsidP="007122D9">
            <w:pPr>
              <w:spacing w:after="0" w:line="240" w:lineRule="auto"/>
              <w:jc w:val="center"/>
              <w:rPr>
                <w:color w:val="000000"/>
                <w:szCs w:val="24"/>
                <w:lang w:eastAsia="et-EE"/>
              </w:rPr>
            </w:pPr>
            <w:r w:rsidRPr="00687DE8">
              <w:rPr>
                <w:color w:val="000000"/>
                <w:szCs w:val="24"/>
                <w:lang w:eastAsia="et-EE"/>
              </w:rPr>
              <w:t> </w:t>
            </w:r>
          </w:p>
        </w:tc>
        <w:tc>
          <w:tcPr>
            <w:tcW w:w="2736" w:type="dxa"/>
            <w:tcBorders>
              <w:top w:val="nil"/>
              <w:left w:val="nil"/>
              <w:bottom w:val="single" w:sz="4" w:space="0" w:color="auto"/>
              <w:right w:val="single" w:sz="4" w:space="0" w:color="auto"/>
            </w:tcBorders>
            <w:noWrap/>
            <w:hideMark/>
          </w:tcPr>
          <w:p w14:paraId="3E283CAF" w14:textId="77777777" w:rsidR="00976487" w:rsidRPr="00687DE8" w:rsidRDefault="00976487" w:rsidP="007122D9">
            <w:pPr>
              <w:spacing w:after="0" w:line="240" w:lineRule="auto"/>
              <w:rPr>
                <w:color w:val="000000"/>
                <w:szCs w:val="24"/>
                <w:lang w:eastAsia="et-EE"/>
              </w:rPr>
            </w:pPr>
          </w:p>
        </w:tc>
      </w:tr>
      <w:tr w:rsidR="00B077CC" w:rsidRPr="00687DE8" w14:paraId="56155DFA" w14:textId="77777777" w:rsidTr="001B10F9">
        <w:trPr>
          <w:divId w:val="1316184749"/>
          <w:trHeight w:val="300"/>
        </w:trPr>
        <w:tc>
          <w:tcPr>
            <w:tcW w:w="5130" w:type="dxa"/>
            <w:tcBorders>
              <w:top w:val="nil"/>
              <w:left w:val="single" w:sz="4" w:space="0" w:color="auto"/>
              <w:bottom w:val="single" w:sz="4" w:space="0" w:color="auto"/>
              <w:right w:val="single" w:sz="4" w:space="0" w:color="auto"/>
            </w:tcBorders>
            <w:vAlign w:val="bottom"/>
            <w:hideMark/>
          </w:tcPr>
          <w:p w14:paraId="0A1801CA" w14:textId="77777777" w:rsidR="00B077CC" w:rsidRPr="00687DE8" w:rsidRDefault="00B077CC" w:rsidP="007122D9">
            <w:pPr>
              <w:spacing w:after="0" w:line="240" w:lineRule="auto"/>
              <w:rPr>
                <w:szCs w:val="24"/>
                <w:lang w:eastAsia="et-EE"/>
              </w:rPr>
            </w:pPr>
            <w:r w:rsidRPr="00687DE8">
              <w:rPr>
                <w:color w:val="000000"/>
                <w:szCs w:val="24"/>
                <w:lang w:eastAsia="et-EE"/>
              </w:rPr>
              <w:t>Hamba pulbi amputatsioon ja alustäidis//või ravimivahetus (sh piimahambas)*</w:t>
            </w:r>
            <w:r w:rsidRPr="00687DE8">
              <w:rPr>
                <w:szCs w:val="24"/>
                <w:lang w:eastAsia="et-EE"/>
              </w:rPr>
              <w:t xml:space="preserve"> </w:t>
            </w:r>
          </w:p>
        </w:tc>
        <w:tc>
          <w:tcPr>
            <w:tcW w:w="1134" w:type="dxa"/>
            <w:tcBorders>
              <w:top w:val="nil"/>
              <w:left w:val="nil"/>
              <w:bottom w:val="single" w:sz="4" w:space="0" w:color="auto"/>
              <w:right w:val="single" w:sz="4" w:space="0" w:color="auto"/>
            </w:tcBorders>
            <w:noWrap/>
            <w:vAlign w:val="bottom"/>
            <w:hideMark/>
          </w:tcPr>
          <w:p w14:paraId="56094E11" w14:textId="77777777" w:rsidR="00B077CC" w:rsidRPr="00687DE8" w:rsidRDefault="00B077CC" w:rsidP="007122D9">
            <w:pPr>
              <w:spacing w:after="0" w:line="240" w:lineRule="auto"/>
              <w:jc w:val="center"/>
              <w:rPr>
                <w:color w:val="000000"/>
                <w:szCs w:val="24"/>
                <w:lang w:eastAsia="et-EE"/>
              </w:rPr>
            </w:pPr>
            <w:r w:rsidRPr="00687DE8">
              <w:rPr>
                <w:color w:val="000000"/>
                <w:szCs w:val="24"/>
                <w:lang w:eastAsia="et-EE"/>
              </w:rPr>
              <w:t>52427</w:t>
            </w:r>
          </w:p>
        </w:tc>
        <w:tc>
          <w:tcPr>
            <w:tcW w:w="2736" w:type="dxa"/>
            <w:tcBorders>
              <w:top w:val="single" w:sz="4" w:space="0" w:color="auto"/>
              <w:left w:val="single" w:sz="4" w:space="0" w:color="auto"/>
              <w:bottom w:val="single" w:sz="4" w:space="0" w:color="auto"/>
              <w:right w:val="single" w:sz="4" w:space="0" w:color="auto"/>
            </w:tcBorders>
            <w:noWrap/>
            <w:vAlign w:val="center"/>
            <w:hideMark/>
          </w:tcPr>
          <w:p w14:paraId="6E566408" w14:textId="7D52C16D" w:rsidR="1A53EF6A" w:rsidRPr="00687DE8" w:rsidRDefault="00A06AAD">
            <w:pPr>
              <w:spacing w:after="0"/>
              <w:jc w:val="center"/>
              <w:rPr>
                <w:color w:val="000000" w:themeColor="text1"/>
                <w:szCs w:val="24"/>
              </w:rPr>
            </w:pPr>
            <w:r>
              <w:rPr>
                <w:color w:val="000000"/>
              </w:rPr>
              <w:t>42,07</w:t>
            </w:r>
          </w:p>
        </w:tc>
      </w:tr>
      <w:tr w:rsidR="00B077CC" w:rsidRPr="00687DE8" w14:paraId="135D1AAB"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0CC333D0" w14:textId="77777777" w:rsidR="00B077CC" w:rsidRPr="00687DE8" w:rsidRDefault="00B077CC" w:rsidP="007122D9">
            <w:pPr>
              <w:spacing w:after="0" w:line="240" w:lineRule="auto"/>
              <w:rPr>
                <w:color w:val="000000"/>
                <w:szCs w:val="24"/>
                <w:lang w:eastAsia="et-EE"/>
              </w:rPr>
            </w:pPr>
            <w:r w:rsidRPr="00687DE8">
              <w:rPr>
                <w:color w:val="000000"/>
                <w:szCs w:val="24"/>
                <w:lang w:eastAsia="et-EE"/>
              </w:rPr>
              <w:t>Ravimi asetamine pulbiruumi või hamba devitaliseerimine*</w:t>
            </w:r>
          </w:p>
        </w:tc>
        <w:tc>
          <w:tcPr>
            <w:tcW w:w="1134" w:type="dxa"/>
            <w:tcBorders>
              <w:top w:val="nil"/>
              <w:left w:val="nil"/>
              <w:bottom w:val="single" w:sz="4" w:space="0" w:color="auto"/>
              <w:right w:val="single" w:sz="4" w:space="0" w:color="auto"/>
            </w:tcBorders>
            <w:noWrap/>
            <w:vAlign w:val="bottom"/>
            <w:hideMark/>
          </w:tcPr>
          <w:p w14:paraId="37A76CEF" w14:textId="77777777" w:rsidR="00B077CC" w:rsidRPr="00687DE8" w:rsidRDefault="00B077CC" w:rsidP="007122D9">
            <w:pPr>
              <w:spacing w:after="0" w:line="240" w:lineRule="auto"/>
              <w:jc w:val="center"/>
              <w:rPr>
                <w:color w:val="000000"/>
                <w:szCs w:val="24"/>
                <w:lang w:eastAsia="et-EE"/>
              </w:rPr>
            </w:pPr>
            <w:r w:rsidRPr="00687DE8">
              <w:rPr>
                <w:color w:val="000000"/>
                <w:szCs w:val="24"/>
                <w:lang w:eastAsia="et-EE"/>
              </w:rPr>
              <w:t>52428</w:t>
            </w:r>
          </w:p>
        </w:tc>
        <w:tc>
          <w:tcPr>
            <w:tcW w:w="2736" w:type="dxa"/>
            <w:tcBorders>
              <w:top w:val="nil"/>
              <w:left w:val="single" w:sz="4" w:space="0" w:color="auto"/>
              <w:bottom w:val="single" w:sz="4" w:space="0" w:color="auto"/>
              <w:right w:val="single" w:sz="4" w:space="0" w:color="auto"/>
            </w:tcBorders>
            <w:noWrap/>
            <w:vAlign w:val="center"/>
            <w:hideMark/>
          </w:tcPr>
          <w:p w14:paraId="30BFAF96" w14:textId="6AD36F80" w:rsidR="1A53EF6A" w:rsidRPr="00687DE8" w:rsidRDefault="00A06AAD">
            <w:pPr>
              <w:spacing w:after="0"/>
              <w:jc w:val="center"/>
              <w:rPr>
                <w:color w:val="000000" w:themeColor="text1"/>
                <w:szCs w:val="24"/>
              </w:rPr>
            </w:pPr>
            <w:r>
              <w:rPr>
                <w:color w:val="000000"/>
              </w:rPr>
              <w:t>11,87</w:t>
            </w:r>
          </w:p>
        </w:tc>
      </w:tr>
      <w:tr w:rsidR="00B077CC" w:rsidRPr="00687DE8" w14:paraId="54BE0D4E" w14:textId="77777777" w:rsidTr="001B10F9">
        <w:trPr>
          <w:divId w:val="1316184749"/>
          <w:trHeight w:val="624"/>
        </w:trPr>
        <w:tc>
          <w:tcPr>
            <w:tcW w:w="5130" w:type="dxa"/>
            <w:tcBorders>
              <w:top w:val="nil"/>
              <w:left w:val="single" w:sz="4" w:space="0" w:color="auto"/>
              <w:bottom w:val="single" w:sz="4" w:space="0" w:color="auto"/>
              <w:right w:val="single" w:sz="4" w:space="0" w:color="auto"/>
            </w:tcBorders>
            <w:vAlign w:val="bottom"/>
            <w:hideMark/>
          </w:tcPr>
          <w:p w14:paraId="75D4DC72" w14:textId="77777777" w:rsidR="00B077CC" w:rsidRPr="00687DE8" w:rsidRDefault="00B077CC" w:rsidP="007122D9">
            <w:pPr>
              <w:spacing w:after="0" w:line="240" w:lineRule="auto"/>
              <w:rPr>
                <w:color w:val="000000"/>
                <w:szCs w:val="24"/>
                <w:lang w:eastAsia="et-EE"/>
              </w:rPr>
            </w:pPr>
            <w:r w:rsidRPr="00687DE8">
              <w:rPr>
                <w:color w:val="000000"/>
                <w:szCs w:val="24"/>
                <w:lang w:eastAsia="et-EE"/>
              </w:rPr>
              <w:t>Ühe jäävhamba juurekanali avamine ja puhastamine (sealhulgas juurdepääsu rajamine ja ravimi asetamine)*</w:t>
            </w:r>
          </w:p>
        </w:tc>
        <w:tc>
          <w:tcPr>
            <w:tcW w:w="1134" w:type="dxa"/>
            <w:tcBorders>
              <w:top w:val="nil"/>
              <w:left w:val="nil"/>
              <w:bottom w:val="single" w:sz="4" w:space="0" w:color="auto"/>
              <w:right w:val="single" w:sz="4" w:space="0" w:color="auto"/>
            </w:tcBorders>
            <w:noWrap/>
            <w:vAlign w:val="bottom"/>
            <w:hideMark/>
          </w:tcPr>
          <w:p w14:paraId="021A08D0" w14:textId="77777777" w:rsidR="00B077CC" w:rsidRPr="00687DE8" w:rsidRDefault="00B077CC" w:rsidP="007122D9">
            <w:pPr>
              <w:spacing w:after="0" w:line="240" w:lineRule="auto"/>
              <w:jc w:val="center"/>
              <w:rPr>
                <w:color w:val="000000"/>
                <w:szCs w:val="24"/>
                <w:lang w:eastAsia="et-EE"/>
              </w:rPr>
            </w:pPr>
            <w:r w:rsidRPr="00687DE8">
              <w:rPr>
                <w:color w:val="000000"/>
                <w:szCs w:val="24"/>
                <w:lang w:eastAsia="et-EE"/>
              </w:rPr>
              <w:t>52429</w:t>
            </w:r>
          </w:p>
        </w:tc>
        <w:tc>
          <w:tcPr>
            <w:tcW w:w="2736" w:type="dxa"/>
            <w:tcBorders>
              <w:top w:val="nil"/>
              <w:left w:val="single" w:sz="4" w:space="0" w:color="auto"/>
              <w:bottom w:val="single" w:sz="4" w:space="0" w:color="auto"/>
              <w:right w:val="single" w:sz="4" w:space="0" w:color="auto"/>
            </w:tcBorders>
            <w:noWrap/>
            <w:vAlign w:val="center"/>
            <w:hideMark/>
          </w:tcPr>
          <w:p w14:paraId="2C1D8B4A" w14:textId="4C6979E9" w:rsidR="1A53EF6A" w:rsidRPr="00687DE8" w:rsidRDefault="00A06AAD">
            <w:pPr>
              <w:spacing w:after="0"/>
              <w:jc w:val="center"/>
              <w:rPr>
                <w:color w:val="000000" w:themeColor="text1"/>
                <w:szCs w:val="24"/>
              </w:rPr>
            </w:pPr>
            <w:r>
              <w:rPr>
                <w:color w:val="000000"/>
              </w:rPr>
              <w:t>72,94</w:t>
            </w:r>
          </w:p>
        </w:tc>
      </w:tr>
      <w:tr w:rsidR="00B077CC" w:rsidRPr="00687DE8" w14:paraId="257610A9" w14:textId="77777777" w:rsidTr="00EB7A71">
        <w:trPr>
          <w:divId w:val="1316184749"/>
          <w:trHeight w:val="300"/>
        </w:trPr>
        <w:tc>
          <w:tcPr>
            <w:tcW w:w="5130" w:type="dxa"/>
            <w:tcBorders>
              <w:top w:val="nil"/>
              <w:left w:val="single" w:sz="4" w:space="0" w:color="auto"/>
              <w:bottom w:val="single" w:sz="4" w:space="0" w:color="auto"/>
              <w:right w:val="single" w:sz="4" w:space="0" w:color="auto"/>
            </w:tcBorders>
            <w:vAlign w:val="bottom"/>
            <w:hideMark/>
          </w:tcPr>
          <w:p w14:paraId="1A11480C" w14:textId="77777777" w:rsidR="00B077CC" w:rsidRPr="00687DE8" w:rsidRDefault="00B077CC" w:rsidP="007122D9">
            <w:pPr>
              <w:spacing w:after="0" w:line="240" w:lineRule="auto"/>
              <w:rPr>
                <w:color w:val="000000"/>
                <w:szCs w:val="24"/>
                <w:lang w:eastAsia="et-EE"/>
              </w:rPr>
            </w:pPr>
            <w:r w:rsidRPr="00687DE8">
              <w:rPr>
                <w:color w:val="000000"/>
                <w:szCs w:val="24"/>
                <w:lang w:eastAsia="et-EE"/>
              </w:rPr>
              <w:t>Iga järgneva jäävhamba juurekanali avamine ja puhastamine (sealhulgas ravimi asetamine)*</w:t>
            </w:r>
          </w:p>
        </w:tc>
        <w:tc>
          <w:tcPr>
            <w:tcW w:w="1134" w:type="dxa"/>
            <w:tcBorders>
              <w:top w:val="nil"/>
              <w:left w:val="nil"/>
              <w:bottom w:val="single" w:sz="4" w:space="0" w:color="auto"/>
              <w:right w:val="single" w:sz="4" w:space="0" w:color="auto"/>
            </w:tcBorders>
            <w:noWrap/>
            <w:vAlign w:val="bottom"/>
            <w:hideMark/>
          </w:tcPr>
          <w:p w14:paraId="2405BE9E" w14:textId="77777777" w:rsidR="00B077CC" w:rsidRPr="00687DE8" w:rsidRDefault="00B077CC" w:rsidP="007122D9">
            <w:pPr>
              <w:spacing w:after="0" w:line="240" w:lineRule="auto"/>
              <w:jc w:val="center"/>
              <w:rPr>
                <w:color w:val="000000"/>
                <w:szCs w:val="24"/>
                <w:lang w:eastAsia="et-EE"/>
              </w:rPr>
            </w:pPr>
            <w:r w:rsidRPr="00687DE8">
              <w:rPr>
                <w:color w:val="000000"/>
                <w:szCs w:val="24"/>
                <w:lang w:eastAsia="et-EE"/>
              </w:rPr>
              <w:t>52430</w:t>
            </w:r>
          </w:p>
        </w:tc>
        <w:tc>
          <w:tcPr>
            <w:tcW w:w="2736" w:type="dxa"/>
            <w:tcBorders>
              <w:top w:val="nil"/>
              <w:left w:val="single" w:sz="4" w:space="0" w:color="auto"/>
              <w:bottom w:val="single" w:sz="4" w:space="0" w:color="auto"/>
              <w:right w:val="single" w:sz="4" w:space="0" w:color="auto"/>
            </w:tcBorders>
            <w:noWrap/>
            <w:vAlign w:val="center"/>
            <w:hideMark/>
          </w:tcPr>
          <w:p w14:paraId="67D4A721" w14:textId="0576B597" w:rsidR="1A53EF6A" w:rsidRPr="00687DE8" w:rsidRDefault="00A06AAD">
            <w:pPr>
              <w:spacing w:after="0"/>
              <w:jc w:val="center"/>
              <w:rPr>
                <w:color w:val="000000" w:themeColor="text1"/>
                <w:szCs w:val="24"/>
              </w:rPr>
            </w:pPr>
            <w:r>
              <w:rPr>
                <w:color w:val="000000"/>
              </w:rPr>
              <w:t>38,81</w:t>
            </w:r>
          </w:p>
        </w:tc>
      </w:tr>
      <w:tr w:rsidR="00B077CC" w:rsidRPr="00687DE8" w14:paraId="2B907B1A" w14:textId="77777777" w:rsidTr="001B10F9">
        <w:trPr>
          <w:divId w:val="1316184749"/>
          <w:trHeight w:val="300"/>
        </w:trPr>
        <w:tc>
          <w:tcPr>
            <w:tcW w:w="5130" w:type="dxa"/>
            <w:tcBorders>
              <w:top w:val="nil"/>
              <w:left w:val="single" w:sz="4" w:space="0" w:color="auto"/>
              <w:bottom w:val="single" w:sz="4" w:space="0" w:color="auto"/>
              <w:right w:val="single" w:sz="4" w:space="0" w:color="auto"/>
            </w:tcBorders>
            <w:vAlign w:val="bottom"/>
            <w:hideMark/>
          </w:tcPr>
          <w:p w14:paraId="3D69F06C" w14:textId="77777777" w:rsidR="00B077CC" w:rsidRPr="00687DE8" w:rsidRDefault="00B077CC" w:rsidP="007122D9">
            <w:pPr>
              <w:spacing w:after="0" w:line="240" w:lineRule="auto"/>
              <w:rPr>
                <w:color w:val="000000"/>
                <w:szCs w:val="24"/>
                <w:lang w:eastAsia="et-EE"/>
              </w:rPr>
            </w:pPr>
            <w:r w:rsidRPr="00687DE8">
              <w:rPr>
                <w:color w:val="000000"/>
                <w:szCs w:val="24"/>
                <w:lang w:eastAsia="et-EE"/>
              </w:rPr>
              <w:t>Ravimivahetus ühes jäävhambas koos kanali(te) instrumenteerimisega</w:t>
            </w:r>
          </w:p>
        </w:tc>
        <w:tc>
          <w:tcPr>
            <w:tcW w:w="1134" w:type="dxa"/>
            <w:tcBorders>
              <w:top w:val="nil"/>
              <w:left w:val="nil"/>
              <w:bottom w:val="single" w:sz="4" w:space="0" w:color="auto"/>
              <w:right w:val="single" w:sz="4" w:space="0" w:color="auto"/>
            </w:tcBorders>
            <w:noWrap/>
            <w:vAlign w:val="bottom"/>
            <w:hideMark/>
          </w:tcPr>
          <w:p w14:paraId="24392E96" w14:textId="77777777" w:rsidR="00B077CC" w:rsidRPr="00687DE8" w:rsidRDefault="00B077CC" w:rsidP="007122D9">
            <w:pPr>
              <w:spacing w:after="0" w:line="240" w:lineRule="auto"/>
              <w:jc w:val="center"/>
              <w:rPr>
                <w:color w:val="000000"/>
                <w:szCs w:val="24"/>
                <w:lang w:eastAsia="et-EE"/>
              </w:rPr>
            </w:pPr>
            <w:r w:rsidRPr="00687DE8">
              <w:rPr>
                <w:color w:val="000000"/>
                <w:szCs w:val="24"/>
                <w:lang w:eastAsia="et-EE"/>
              </w:rPr>
              <w:t>52431</w:t>
            </w:r>
          </w:p>
        </w:tc>
        <w:tc>
          <w:tcPr>
            <w:tcW w:w="2736" w:type="dxa"/>
            <w:tcBorders>
              <w:top w:val="nil"/>
              <w:left w:val="single" w:sz="4" w:space="0" w:color="auto"/>
              <w:bottom w:val="single" w:sz="4" w:space="0" w:color="auto"/>
              <w:right w:val="single" w:sz="4" w:space="0" w:color="auto"/>
            </w:tcBorders>
            <w:noWrap/>
            <w:vAlign w:val="center"/>
            <w:hideMark/>
          </w:tcPr>
          <w:p w14:paraId="3B59C3E2" w14:textId="36212272" w:rsidR="1A53EF6A" w:rsidRPr="00687DE8" w:rsidRDefault="00A06AAD">
            <w:pPr>
              <w:spacing w:after="0"/>
              <w:jc w:val="center"/>
              <w:rPr>
                <w:color w:val="000000" w:themeColor="text1"/>
                <w:szCs w:val="24"/>
              </w:rPr>
            </w:pPr>
            <w:r>
              <w:rPr>
                <w:color w:val="000000"/>
              </w:rPr>
              <w:t>57,59</w:t>
            </w:r>
          </w:p>
        </w:tc>
      </w:tr>
      <w:tr w:rsidR="00B077CC" w:rsidRPr="00687DE8" w14:paraId="2F4EF57A"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60CF5495" w14:textId="77777777" w:rsidR="00B077CC" w:rsidRPr="00687DE8" w:rsidRDefault="00B077CC" w:rsidP="007122D9">
            <w:pPr>
              <w:spacing w:after="0" w:line="240" w:lineRule="auto"/>
              <w:rPr>
                <w:color w:val="000000"/>
                <w:szCs w:val="24"/>
                <w:lang w:eastAsia="et-EE"/>
              </w:rPr>
            </w:pPr>
            <w:r w:rsidRPr="00687DE8">
              <w:rPr>
                <w:color w:val="000000"/>
                <w:szCs w:val="24"/>
                <w:lang w:eastAsia="et-EE"/>
              </w:rPr>
              <w:t>Jäävhamba ühe juurekanali täitmine*</w:t>
            </w:r>
          </w:p>
        </w:tc>
        <w:tc>
          <w:tcPr>
            <w:tcW w:w="1134" w:type="dxa"/>
            <w:tcBorders>
              <w:top w:val="nil"/>
              <w:left w:val="nil"/>
              <w:bottom w:val="single" w:sz="4" w:space="0" w:color="auto"/>
              <w:right w:val="single" w:sz="4" w:space="0" w:color="auto"/>
            </w:tcBorders>
            <w:noWrap/>
            <w:vAlign w:val="bottom"/>
            <w:hideMark/>
          </w:tcPr>
          <w:p w14:paraId="0CECC48E" w14:textId="77777777" w:rsidR="00B077CC" w:rsidRPr="00687DE8" w:rsidRDefault="00B077CC" w:rsidP="007122D9">
            <w:pPr>
              <w:spacing w:after="0" w:line="240" w:lineRule="auto"/>
              <w:jc w:val="center"/>
              <w:rPr>
                <w:color w:val="000000"/>
                <w:szCs w:val="24"/>
                <w:lang w:eastAsia="et-EE"/>
              </w:rPr>
            </w:pPr>
            <w:r w:rsidRPr="00687DE8">
              <w:rPr>
                <w:color w:val="000000"/>
                <w:szCs w:val="24"/>
                <w:lang w:eastAsia="et-EE"/>
              </w:rPr>
              <w:t>52432</w:t>
            </w:r>
          </w:p>
        </w:tc>
        <w:tc>
          <w:tcPr>
            <w:tcW w:w="2736" w:type="dxa"/>
            <w:tcBorders>
              <w:top w:val="nil"/>
              <w:left w:val="single" w:sz="4" w:space="0" w:color="auto"/>
              <w:bottom w:val="single" w:sz="4" w:space="0" w:color="auto"/>
              <w:right w:val="single" w:sz="4" w:space="0" w:color="auto"/>
            </w:tcBorders>
            <w:noWrap/>
            <w:vAlign w:val="center"/>
            <w:hideMark/>
          </w:tcPr>
          <w:p w14:paraId="3EAA2CB0" w14:textId="303338EC" w:rsidR="1A53EF6A" w:rsidRPr="00687DE8" w:rsidRDefault="00A06AAD">
            <w:pPr>
              <w:spacing w:after="0"/>
              <w:jc w:val="center"/>
              <w:rPr>
                <w:color w:val="000000" w:themeColor="text1"/>
                <w:szCs w:val="24"/>
              </w:rPr>
            </w:pPr>
            <w:r>
              <w:rPr>
                <w:color w:val="000000"/>
              </w:rPr>
              <w:t>71,36</w:t>
            </w:r>
          </w:p>
        </w:tc>
      </w:tr>
      <w:tr w:rsidR="00B077CC" w:rsidRPr="00687DE8" w14:paraId="14C876FA"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032C27CF" w14:textId="77777777" w:rsidR="00B077CC" w:rsidRPr="00687DE8" w:rsidRDefault="00B077CC" w:rsidP="007122D9">
            <w:pPr>
              <w:spacing w:after="0" w:line="240" w:lineRule="auto"/>
              <w:rPr>
                <w:color w:val="000000"/>
                <w:szCs w:val="24"/>
                <w:lang w:eastAsia="et-EE"/>
              </w:rPr>
            </w:pPr>
            <w:r w:rsidRPr="00687DE8">
              <w:rPr>
                <w:color w:val="000000"/>
                <w:szCs w:val="24"/>
                <w:lang w:eastAsia="et-EE"/>
              </w:rPr>
              <w:t>Jäävhamba iga järgneva juurekanali täitmine*</w:t>
            </w:r>
          </w:p>
        </w:tc>
        <w:tc>
          <w:tcPr>
            <w:tcW w:w="1134" w:type="dxa"/>
            <w:tcBorders>
              <w:top w:val="nil"/>
              <w:left w:val="nil"/>
              <w:bottom w:val="single" w:sz="4" w:space="0" w:color="auto"/>
              <w:right w:val="single" w:sz="4" w:space="0" w:color="auto"/>
            </w:tcBorders>
            <w:noWrap/>
            <w:vAlign w:val="bottom"/>
            <w:hideMark/>
          </w:tcPr>
          <w:p w14:paraId="4FFFE58C" w14:textId="77777777" w:rsidR="00B077CC" w:rsidRPr="00687DE8" w:rsidRDefault="00B077CC" w:rsidP="007122D9">
            <w:pPr>
              <w:spacing w:after="0" w:line="240" w:lineRule="auto"/>
              <w:jc w:val="center"/>
              <w:rPr>
                <w:color w:val="000000"/>
                <w:szCs w:val="24"/>
                <w:lang w:eastAsia="et-EE"/>
              </w:rPr>
            </w:pPr>
            <w:r w:rsidRPr="00687DE8">
              <w:rPr>
                <w:color w:val="000000"/>
                <w:szCs w:val="24"/>
                <w:lang w:eastAsia="et-EE"/>
              </w:rPr>
              <w:t>52433</w:t>
            </w:r>
          </w:p>
        </w:tc>
        <w:tc>
          <w:tcPr>
            <w:tcW w:w="2736" w:type="dxa"/>
            <w:tcBorders>
              <w:top w:val="nil"/>
              <w:left w:val="single" w:sz="4" w:space="0" w:color="auto"/>
              <w:bottom w:val="single" w:sz="4" w:space="0" w:color="auto"/>
              <w:right w:val="single" w:sz="4" w:space="0" w:color="auto"/>
            </w:tcBorders>
            <w:noWrap/>
            <w:vAlign w:val="center"/>
            <w:hideMark/>
          </w:tcPr>
          <w:p w14:paraId="1A538134" w14:textId="381B707B" w:rsidR="1A53EF6A" w:rsidRPr="00687DE8" w:rsidRDefault="00A06AAD">
            <w:pPr>
              <w:spacing w:after="0"/>
              <w:jc w:val="center"/>
              <w:rPr>
                <w:color w:val="000000" w:themeColor="text1"/>
                <w:szCs w:val="24"/>
              </w:rPr>
            </w:pPr>
            <w:r>
              <w:rPr>
                <w:color w:val="000000"/>
              </w:rPr>
              <w:t>37,26</w:t>
            </w:r>
          </w:p>
        </w:tc>
      </w:tr>
      <w:tr w:rsidR="00B077CC" w:rsidRPr="00687DE8" w14:paraId="0196DE4A" w14:textId="77777777" w:rsidTr="001B10F9">
        <w:trPr>
          <w:divId w:val="1316184749"/>
          <w:trHeight w:val="315"/>
        </w:trPr>
        <w:tc>
          <w:tcPr>
            <w:tcW w:w="5130" w:type="dxa"/>
            <w:tcBorders>
              <w:top w:val="nil"/>
              <w:left w:val="single" w:sz="4" w:space="0" w:color="auto"/>
              <w:bottom w:val="single" w:sz="4" w:space="0" w:color="auto"/>
              <w:right w:val="single" w:sz="4" w:space="0" w:color="auto"/>
            </w:tcBorders>
            <w:vAlign w:val="bottom"/>
            <w:hideMark/>
          </w:tcPr>
          <w:p w14:paraId="69892358" w14:textId="77777777" w:rsidR="00B077CC" w:rsidRPr="00687DE8" w:rsidRDefault="00B077CC" w:rsidP="007122D9">
            <w:pPr>
              <w:spacing w:after="0" w:line="240" w:lineRule="auto"/>
              <w:rPr>
                <w:color w:val="000000"/>
                <w:szCs w:val="24"/>
                <w:lang w:eastAsia="et-EE"/>
              </w:rPr>
            </w:pPr>
            <w:r w:rsidRPr="00687DE8">
              <w:rPr>
                <w:color w:val="000000"/>
                <w:szCs w:val="24"/>
                <w:lang w:eastAsia="et-EE"/>
              </w:rPr>
              <w:t>Hambajuure või juuretipu operatiivne resektsioon ja retrograadne täidis</w:t>
            </w:r>
          </w:p>
        </w:tc>
        <w:tc>
          <w:tcPr>
            <w:tcW w:w="1134" w:type="dxa"/>
            <w:tcBorders>
              <w:top w:val="nil"/>
              <w:left w:val="nil"/>
              <w:bottom w:val="single" w:sz="4" w:space="0" w:color="auto"/>
              <w:right w:val="single" w:sz="4" w:space="0" w:color="auto"/>
            </w:tcBorders>
            <w:noWrap/>
            <w:vAlign w:val="bottom"/>
            <w:hideMark/>
          </w:tcPr>
          <w:p w14:paraId="4D1DCE98" w14:textId="77777777" w:rsidR="00B077CC" w:rsidRPr="00687DE8" w:rsidRDefault="00B077CC" w:rsidP="007122D9">
            <w:pPr>
              <w:spacing w:after="0" w:line="240" w:lineRule="auto"/>
              <w:jc w:val="center"/>
              <w:rPr>
                <w:color w:val="000000"/>
                <w:szCs w:val="24"/>
                <w:lang w:eastAsia="et-EE"/>
              </w:rPr>
            </w:pPr>
            <w:r w:rsidRPr="00687DE8">
              <w:rPr>
                <w:color w:val="000000"/>
                <w:szCs w:val="24"/>
                <w:lang w:eastAsia="et-EE"/>
              </w:rPr>
              <w:t>52434</w:t>
            </w:r>
          </w:p>
        </w:tc>
        <w:tc>
          <w:tcPr>
            <w:tcW w:w="2736" w:type="dxa"/>
            <w:tcBorders>
              <w:top w:val="nil"/>
              <w:left w:val="single" w:sz="4" w:space="0" w:color="auto"/>
              <w:bottom w:val="single" w:sz="4" w:space="0" w:color="auto"/>
              <w:right w:val="single" w:sz="4" w:space="0" w:color="auto"/>
            </w:tcBorders>
            <w:noWrap/>
            <w:vAlign w:val="center"/>
            <w:hideMark/>
          </w:tcPr>
          <w:p w14:paraId="1D114658" w14:textId="0FB6E1BF" w:rsidR="1A53EF6A" w:rsidRPr="00687DE8" w:rsidRDefault="00A06AAD">
            <w:pPr>
              <w:spacing w:after="0"/>
              <w:jc w:val="center"/>
              <w:rPr>
                <w:color w:val="000000" w:themeColor="text1"/>
                <w:szCs w:val="24"/>
              </w:rPr>
            </w:pPr>
            <w:r>
              <w:rPr>
                <w:color w:val="000000"/>
              </w:rPr>
              <w:t>107,38</w:t>
            </w:r>
          </w:p>
        </w:tc>
      </w:tr>
      <w:tr w:rsidR="00B077CC" w:rsidRPr="00687DE8" w14:paraId="789164FD"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13DA5CF5" w14:textId="77777777" w:rsidR="00B077CC" w:rsidRPr="00687DE8" w:rsidRDefault="00B077CC" w:rsidP="007122D9">
            <w:pPr>
              <w:spacing w:after="0" w:line="240" w:lineRule="auto"/>
              <w:rPr>
                <w:szCs w:val="24"/>
                <w:lang w:eastAsia="et-EE"/>
              </w:rPr>
            </w:pPr>
            <w:r w:rsidRPr="00687DE8">
              <w:rPr>
                <w:color w:val="000000"/>
                <w:szCs w:val="24"/>
                <w:lang w:eastAsia="et-EE"/>
              </w:rPr>
              <w:t>Piimahamba endodontiline ravi</w:t>
            </w:r>
            <w:r w:rsidRPr="00687DE8">
              <w:rPr>
                <w:szCs w:val="24"/>
                <w:lang w:eastAsia="et-EE"/>
              </w:rPr>
              <w:t xml:space="preserve"> </w:t>
            </w:r>
          </w:p>
        </w:tc>
        <w:tc>
          <w:tcPr>
            <w:tcW w:w="1134" w:type="dxa"/>
            <w:tcBorders>
              <w:top w:val="nil"/>
              <w:left w:val="nil"/>
              <w:bottom w:val="single" w:sz="4" w:space="0" w:color="auto"/>
              <w:right w:val="single" w:sz="4" w:space="0" w:color="auto"/>
            </w:tcBorders>
            <w:noWrap/>
            <w:vAlign w:val="bottom"/>
            <w:hideMark/>
          </w:tcPr>
          <w:p w14:paraId="3B2CCC97" w14:textId="77777777" w:rsidR="00B077CC" w:rsidRPr="00687DE8" w:rsidRDefault="00B077CC" w:rsidP="007122D9">
            <w:pPr>
              <w:spacing w:after="0" w:line="240" w:lineRule="auto"/>
              <w:jc w:val="center"/>
              <w:rPr>
                <w:color w:val="000000"/>
                <w:szCs w:val="24"/>
                <w:lang w:eastAsia="et-EE"/>
              </w:rPr>
            </w:pPr>
            <w:r w:rsidRPr="00687DE8">
              <w:rPr>
                <w:color w:val="000000"/>
                <w:szCs w:val="24"/>
                <w:lang w:eastAsia="et-EE"/>
              </w:rPr>
              <w:t>52435</w:t>
            </w:r>
          </w:p>
        </w:tc>
        <w:tc>
          <w:tcPr>
            <w:tcW w:w="2736" w:type="dxa"/>
            <w:tcBorders>
              <w:top w:val="nil"/>
              <w:left w:val="single" w:sz="4" w:space="0" w:color="auto"/>
              <w:bottom w:val="single" w:sz="4" w:space="0" w:color="auto"/>
              <w:right w:val="single" w:sz="4" w:space="0" w:color="auto"/>
            </w:tcBorders>
            <w:noWrap/>
            <w:vAlign w:val="center"/>
            <w:hideMark/>
          </w:tcPr>
          <w:p w14:paraId="37EAD882" w14:textId="75FF25AA" w:rsidR="1A53EF6A" w:rsidRPr="00687DE8" w:rsidRDefault="00A06AAD">
            <w:pPr>
              <w:spacing w:after="0"/>
              <w:jc w:val="center"/>
              <w:rPr>
                <w:color w:val="000000" w:themeColor="text1"/>
                <w:szCs w:val="24"/>
              </w:rPr>
            </w:pPr>
            <w:r>
              <w:rPr>
                <w:color w:val="000000"/>
              </w:rPr>
              <w:t>69,93</w:t>
            </w:r>
          </w:p>
        </w:tc>
      </w:tr>
      <w:tr w:rsidR="00B077CC" w:rsidRPr="00687DE8" w14:paraId="30F5D216" w14:textId="77777777" w:rsidTr="001B10F9">
        <w:trPr>
          <w:divId w:val="1316184749"/>
          <w:trHeight w:val="300"/>
        </w:trPr>
        <w:tc>
          <w:tcPr>
            <w:tcW w:w="5130" w:type="dxa"/>
            <w:tcBorders>
              <w:top w:val="nil"/>
              <w:left w:val="single" w:sz="4" w:space="0" w:color="auto"/>
              <w:bottom w:val="single" w:sz="4" w:space="0" w:color="auto"/>
              <w:right w:val="single" w:sz="4" w:space="0" w:color="auto"/>
            </w:tcBorders>
            <w:vAlign w:val="bottom"/>
            <w:hideMark/>
          </w:tcPr>
          <w:p w14:paraId="7CDC3784" w14:textId="77777777" w:rsidR="00B077CC" w:rsidRPr="00687DE8" w:rsidRDefault="00B077CC" w:rsidP="007122D9">
            <w:pPr>
              <w:spacing w:after="0" w:line="240" w:lineRule="auto"/>
              <w:rPr>
                <w:color w:val="000000"/>
                <w:szCs w:val="24"/>
                <w:lang w:eastAsia="et-EE"/>
              </w:rPr>
            </w:pPr>
            <w:r w:rsidRPr="00687DE8">
              <w:rPr>
                <w:color w:val="000000"/>
                <w:szCs w:val="24"/>
                <w:lang w:eastAsia="et-EE"/>
              </w:rPr>
              <w:t>Murdunud juureraviinstrumendi eemaldamine kanalist</w:t>
            </w:r>
          </w:p>
        </w:tc>
        <w:tc>
          <w:tcPr>
            <w:tcW w:w="1134" w:type="dxa"/>
            <w:tcBorders>
              <w:top w:val="nil"/>
              <w:left w:val="nil"/>
              <w:bottom w:val="single" w:sz="4" w:space="0" w:color="auto"/>
              <w:right w:val="single" w:sz="4" w:space="0" w:color="auto"/>
            </w:tcBorders>
            <w:noWrap/>
            <w:vAlign w:val="bottom"/>
            <w:hideMark/>
          </w:tcPr>
          <w:p w14:paraId="274ABBAA" w14:textId="77777777" w:rsidR="00B077CC" w:rsidRPr="00687DE8" w:rsidRDefault="00B077CC" w:rsidP="007122D9">
            <w:pPr>
              <w:spacing w:after="0" w:line="240" w:lineRule="auto"/>
              <w:jc w:val="center"/>
              <w:rPr>
                <w:color w:val="000000"/>
                <w:szCs w:val="24"/>
                <w:lang w:eastAsia="et-EE"/>
              </w:rPr>
            </w:pPr>
            <w:r w:rsidRPr="00687DE8">
              <w:rPr>
                <w:color w:val="000000"/>
                <w:szCs w:val="24"/>
                <w:lang w:eastAsia="et-EE"/>
              </w:rPr>
              <w:t>52436</w:t>
            </w:r>
          </w:p>
        </w:tc>
        <w:tc>
          <w:tcPr>
            <w:tcW w:w="2736" w:type="dxa"/>
            <w:tcBorders>
              <w:top w:val="nil"/>
              <w:left w:val="single" w:sz="4" w:space="0" w:color="auto"/>
              <w:bottom w:val="single" w:sz="4" w:space="0" w:color="auto"/>
              <w:right w:val="single" w:sz="4" w:space="0" w:color="auto"/>
            </w:tcBorders>
            <w:noWrap/>
            <w:vAlign w:val="center"/>
            <w:hideMark/>
          </w:tcPr>
          <w:p w14:paraId="630F002B" w14:textId="5854DD52" w:rsidR="1A53EF6A" w:rsidRPr="00687DE8" w:rsidRDefault="00A06AAD">
            <w:pPr>
              <w:spacing w:after="0"/>
              <w:jc w:val="center"/>
              <w:rPr>
                <w:color w:val="000000" w:themeColor="text1"/>
                <w:szCs w:val="24"/>
              </w:rPr>
            </w:pPr>
            <w:r>
              <w:rPr>
                <w:color w:val="000000"/>
              </w:rPr>
              <w:t>99,04</w:t>
            </w:r>
          </w:p>
        </w:tc>
      </w:tr>
      <w:tr w:rsidR="00B077CC" w:rsidRPr="00687DE8" w14:paraId="3F5C6B18"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61896125" w14:textId="77777777" w:rsidR="00B077CC" w:rsidRPr="00687DE8" w:rsidRDefault="00B077CC" w:rsidP="007122D9">
            <w:pPr>
              <w:spacing w:after="0" w:line="240" w:lineRule="auto"/>
              <w:rPr>
                <w:color w:val="000000"/>
                <w:szCs w:val="24"/>
                <w:lang w:eastAsia="et-EE"/>
              </w:rPr>
            </w:pPr>
            <w:r w:rsidRPr="00687DE8">
              <w:rPr>
                <w:color w:val="000000"/>
                <w:szCs w:val="24"/>
                <w:lang w:eastAsia="et-EE"/>
              </w:rPr>
              <w:t>Vana juuretäidise eemaldamine ühe kanali kohta</w:t>
            </w:r>
          </w:p>
        </w:tc>
        <w:tc>
          <w:tcPr>
            <w:tcW w:w="1134" w:type="dxa"/>
            <w:tcBorders>
              <w:top w:val="nil"/>
              <w:left w:val="nil"/>
              <w:bottom w:val="single" w:sz="4" w:space="0" w:color="auto"/>
              <w:right w:val="single" w:sz="4" w:space="0" w:color="auto"/>
            </w:tcBorders>
            <w:noWrap/>
            <w:vAlign w:val="bottom"/>
            <w:hideMark/>
          </w:tcPr>
          <w:p w14:paraId="6E60A965" w14:textId="77777777" w:rsidR="00B077CC" w:rsidRPr="00687DE8" w:rsidRDefault="00B077CC" w:rsidP="007122D9">
            <w:pPr>
              <w:spacing w:after="0" w:line="240" w:lineRule="auto"/>
              <w:jc w:val="center"/>
              <w:rPr>
                <w:color w:val="000000"/>
                <w:szCs w:val="24"/>
                <w:lang w:eastAsia="et-EE"/>
              </w:rPr>
            </w:pPr>
            <w:r w:rsidRPr="00687DE8">
              <w:rPr>
                <w:color w:val="000000"/>
                <w:szCs w:val="24"/>
                <w:lang w:eastAsia="et-EE"/>
              </w:rPr>
              <w:t>52437</w:t>
            </w:r>
          </w:p>
        </w:tc>
        <w:tc>
          <w:tcPr>
            <w:tcW w:w="2736" w:type="dxa"/>
            <w:tcBorders>
              <w:top w:val="nil"/>
              <w:left w:val="single" w:sz="4" w:space="0" w:color="auto"/>
              <w:bottom w:val="single" w:sz="4" w:space="0" w:color="auto"/>
              <w:right w:val="single" w:sz="4" w:space="0" w:color="auto"/>
            </w:tcBorders>
            <w:noWrap/>
            <w:vAlign w:val="center"/>
            <w:hideMark/>
          </w:tcPr>
          <w:p w14:paraId="49E3CE17" w14:textId="4ABB88A7" w:rsidR="1A53EF6A" w:rsidRPr="00687DE8" w:rsidRDefault="00A06AAD">
            <w:pPr>
              <w:spacing w:after="0"/>
              <w:jc w:val="center"/>
              <w:rPr>
                <w:color w:val="000000" w:themeColor="text1"/>
                <w:szCs w:val="24"/>
              </w:rPr>
            </w:pPr>
            <w:r>
              <w:rPr>
                <w:color w:val="000000"/>
              </w:rPr>
              <w:t>76,66</w:t>
            </w:r>
          </w:p>
        </w:tc>
      </w:tr>
      <w:tr w:rsidR="00B077CC" w:rsidRPr="00687DE8" w14:paraId="59D98751"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57854A24" w14:textId="77777777" w:rsidR="00B077CC" w:rsidRPr="00687DE8" w:rsidRDefault="00B077CC" w:rsidP="007122D9">
            <w:pPr>
              <w:spacing w:after="0" w:line="240" w:lineRule="auto"/>
              <w:rPr>
                <w:color w:val="000000"/>
                <w:szCs w:val="24"/>
                <w:lang w:eastAsia="et-EE"/>
              </w:rPr>
            </w:pPr>
            <w:r w:rsidRPr="00687DE8">
              <w:rPr>
                <w:szCs w:val="24"/>
                <w:lang w:eastAsia="et-EE"/>
              </w:rPr>
              <w:t>Jääv</w:t>
            </w:r>
            <w:r w:rsidRPr="00687DE8">
              <w:rPr>
                <w:color w:val="000000" w:themeColor="text1"/>
                <w:szCs w:val="24"/>
                <w:lang w:eastAsia="et-EE"/>
              </w:rPr>
              <w:t>hamba köndi/seinte ülesehitus endodontiliseks raviks</w:t>
            </w:r>
          </w:p>
        </w:tc>
        <w:tc>
          <w:tcPr>
            <w:tcW w:w="1134" w:type="dxa"/>
            <w:tcBorders>
              <w:top w:val="nil"/>
              <w:left w:val="nil"/>
              <w:bottom w:val="single" w:sz="4" w:space="0" w:color="auto"/>
              <w:right w:val="single" w:sz="4" w:space="0" w:color="auto"/>
            </w:tcBorders>
            <w:noWrap/>
            <w:vAlign w:val="bottom"/>
            <w:hideMark/>
          </w:tcPr>
          <w:p w14:paraId="2F7A196D" w14:textId="77777777" w:rsidR="00B077CC" w:rsidRPr="00687DE8" w:rsidRDefault="00B077CC" w:rsidP="007122D9">
            <w:pPr>
              <w:spacing w:after="0" w:line="240" w:lineRule="auto"/>
              <w:jc w:val="center"/>
              <w:rPr>
                <w:color w:val="000000"/>
                <w:szCs w:val="24"/>
                <w:lang w:eastAsia="et-EE"/>
              </w:rPr>
            </w:pPr>
            <w:r w:rsidRPr="00687DE8">
              <w:rPr>
                <w:color w:val="000000"/>
                <w:szCs w:val="24"/>
                <w:lang w:eastAsia="et-EE"/>
              </w:rPr>
              <w:t>52438</w:t>
            </w:r>
          </w:p>
        </w:tc>
        <w:tc>
          <w:tcPr>
            <w:tcW w:w="2736" w:type="dxa"/>
            <w:tcBorders>
              <w:top w:val="nil"/>
              <w:left w:val="single" w:sz="4" w:space="0" w:color="auto"/>
              <w:bottom w:val="single" w:sz="4" w:space="0" w:color="auto"/>
              <w:right w:val="single" w:sz="4" w:space="0" w:color="auto"/>
            </w:tcBorders>
            <w:noWrap/>
            <w:vAlign w:val="center"/>
            <w:hideMark/>
          </w:tcPr>
          <w:p w14:paraId="1D9DD916" w14:textId="17763DCC" w:rsidR="1A53EF6A" w:rsidRPr="00687DE8" w:rsidRDefault="00A06AAD">
            <w:pPr>
              <w:spacing w:after="0"/>
              <w:jc w:val="center"/>
              <w:rPr>
                <w:color w:val="000000" w:themeColor="text1"/>
                <w:szCs w:val="24"/>
              </w:rPr>
            </w:pPr>
            <w:r>
              <w:rPr>
                <w:color w:val="000000"/>
              </w:rPr>
              <w:t>51,61</w:t>
            </w:r>
          </w:p>
        </w:tc>
      </w:tr>
      <w:tr w:rsidR="00B077CC" w:rsidRPr="00687DE8" w14:paraId="56C76FF3"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092923FE" w14:textId="77777777" w:rsidR="00B077CC" w:rsidRPr="00687DE8" w:rsidRDefault="00B077CC" w:rsidP="007122D9">
            <w:pPr>
              <w:spacing w:after="0" w:line="240" w:lineRule="auto"/>
              <w:rPr>
                <w:color w:val="000000"/>
                <w:szCs w:val="24"/>
                <w:lang w:eastAsia="et-EE"/>
              </w:rPr>
            </w:pPr>
            <w:r w:rsidRPr="00687DE8">
              <w:rPr>
                <w:color w:val="000000"/>
                <w:szCs w:val="24"/>
                <w:lang w:eastAsia="et-EE"/>
              </w:rPr>
              <w:t>Juurekanaliseina või pulbiruumi põhja perforatsiooni sulgemine</w:t>
            </w:r>
          </w:p>
        </w:tc>
        <w:tc>
          <w:tcPr>
            <w:tcW w:w="1134" w:type="dxa"/>
            <w:tcBorders>
              <w:top w:val="nil"/>
              <w:left w:val="nil"/>
              <w:bottom w:val="single" w:sz="4" w:space="0" w:color="auto"/>
              <w:right w:val="single" w:sz="4" w:space="0" w:color="auto"/>
            </w:tcBorders>
            <w:noWrap/>
            <w:vAlign w:val="bottom"/>
            <w:hideMark/>
          </w:tcPr>
          <w:p w14:paraId="0A567A87" w14:textId="77777777" w:rsidR="00B077CC" w:rsidRPr="00687DE8" w:rsidRDefault="00B077CC" w:rsidP="007122D9">
            <w:pPr>
              <w:spacing w:after="0" w:line="240" w:lineRule="auto"/>
              <w:jc w:val="center"/>
              <w:rPr>
                <w:color w:val="000000"/>
                <w:szCs w:val="24"/>
                <w:lang w:eastAsia="et-EE"/>
              </w:rPr>
            </w:pPr>
            <w:r w:rsidRPr="00687DE8">
              <w:rPr>
                <w:color w:val="000000"/>
                <w:szCs w:val="24"/>
                <w:lang w:eastAsia="et-EE"/>
              </w:rPr>
              <w:t>52439</w:t>
            </w:r>
          </w:p>
        </w:tc>
        <w:tc>
          <w:tcPr>
            <w:tcW w:w="2736" w:type="dxa"/>
            <w:tcBorders>
              <w:top w:val="nil"/>
              <w:left w:val="single" w:sz="4" w:space="0" w:color="auto"/>
              <w:bottom w:val="single" w:sz="4" w:space="0" w:color="auto"/>
              <w:right w:val="single" w:sz="4" w:space="0" w:color="auto"/>
            </w:tcBorders>
            <w:noWrap/>
            <w:vAlign w:val="center"/>
            <w:hideMark/>
          </w:tcPr>
          <w:p w14:paraId="604B7250" w14:textId="2E2D6765" w:rsidR="1A53EF6A" w:rsidRPr="00687DE8" w:rsidRDefault="00A06AAD">
            <w:pPr>
              <w:spacing w:after="0"/>
              <w:jc w:val="center"/>
              <w:rPr>
                <w:color w:val="000000" w:themeColor="text1"/>
                <w:szCs w:val="24"/>
              </w:rPr>
            </w:pPr>
            <w:r>
              <w:rPr>
                <w:color w:val="000000"/>
              </w:rPr>
              <w:t>60,24</w:t>
            </w:r>
          </w:p>
        </w:tc>
      </w:tr>
      <w:tr w:rsidR="00976487" w:rsidRPr="00687DE8" w14:paraId="4682C489" w14:textId="77777777" w:rsidTr="009146B2">
        <w:trPr>
          <w:divId w:val="1316184749"/>
          <w:trHeight w:val="324"/>
        </w:trPr>
        <w:tc>
          <w:tcPr>
            <w:tcW w:w="5130" w:type="dxa"/>
            <w:tcBorders>
              <w:top w:val="nil"/>
              <w:left w:val="single" w:sz="4" w:space="0" w:color="auto"/>
              <w:bottom w:val="single" w:sz="4" w:space="0" w:color="auto"/>
              <w:right w:val="single" w:sz="4" w:space="0" w:color="auto"/>
            </w:tcBorders>
            <w:vAlign w:val="bottom"/>
            <w:hideMark/>
          </w:tcPr>
          <w:p w14:paraId="3C1EB0BE" w14:textId="77777777" w:rsidR="00976487" w:rsidRPr="00687DE8" w:rsidRDefault="00976487" w:rsidP="007122D9">
            <w:pPr>
              <w:spacing w:after="0" w:line="240" w:lineRule="auto"/>
              <w:rPr>
                <w:b/>
                <w:bCs/>
                <w:i/>
                <w:iCs/>
                <w:color w:val="000000"/>
                <w:szCs w:val="24"/>
                <w:lang w:eastAsia="et-EE"/>
              </w:rPr>
            </w:pPr>
            <w:r w:rsidRPr="00687DE8">
              <w:rPr>
                <w:b/>
                <w:bCs/>
                <w:i/>
                <w:iCs/>
                <w:color w:val="000000"/>
                <w:szCs w:val="24"/>
                <w:lang w:eastAsia="et-EE"/>
              </w:rPr>
              <w:t>Parodontoloogia</w:t>
            </w:r>
          </w:p>
        </w:tc>
        <w:tc>
          <w:tcPr>
            <w:tcW w:w="1134" w:type="dxa"/>
            <w:tcBorders>
              <w:top w:val="nil"/>
              <w:left w:val="nil"/>
              <w:bottom w:val="single" w:sz="4" w:space="0" w:color="auto"/>
              <w:right w:val="single" w:sz="4" w:space="0" w:color="auto"/>
            </w:tcBorders>
            <w:noWrap/>
            <w:vAlign w:val="bottom"/>
            <w:hideMark/>
          </w:tcPr>
          <w:p w14:paraId="006F3F58" w14:textId="77777777" w:rsidR="00976487" w:rsidRPr="00687DE8" w:rsidRDefault="00976487" w:rsidP="007122D9">
            <w:pPr>
              <w:spacing w:after="0" w:line="240" w:lineRule="auto"/>
              <w:jc w:val="center"/>
              <w:rPr>
                <w:color w:val="000000"/>
                <w:szCs w:val="24"/>
                <w:lang w:eastAsia="et-EE"/>
              </w:rPr>
            </w:pPr>
            <w:r w:rsidRPr="00687DE8">
              <w:rPr>
                <w:color w:val="000000"/>
                <w:szCs w:val="24"/>
                <w:lang w:eastAsia="et-EE"/>
              </w:rPr>
              <w:t> </w:t>
            </w:r>
          </w:p>
        </w:tc>
        <w:tc>
          <w:tcPr>
            <w:tcW w:w="2736" w:type="dxa"/>
            <w:tcBorders>
              <w:top w:val="nil"/>
              <w:left w:val="nil"/>
              <w:bottom w:val="single" w:sz="4" w:space="0" w:color="auto"/>
              <w:right w:val="single" w:sz="4" w:space="0" w:color="auto"/>
            </w:tcBorders>
            <w:noWrap/>
            <w:hideMark/>
          </w:tcPr>
          <w:p w14:paraId="46DDD009" w14:textId="77777777" w:rsidR="00976487" w:rsidRPr="00687DE8" w:rsidRDefault="00976487" w:rsidP="007122D9">
            <w:pPr>
              <w:spacing w:after="0" w:line="240" w:lineRule="auto"/>
              <w:rPr>
                <w:color w:val="000000"/>
                <w:szCs w:val="24"/>
                <w:lang w:eastAsia="et-EE"/>
              </w:rPr>
            </w:pPr>
          </w:p>
        </w:tc>
      </w:tr>
      <w:tr w:rsidR="000B6882" w:rsidRPr="00687DE8" w14:paraId="55A1C797"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21BA83DA" w14:textId="77777777" w:rsidR="000B6882" w:rsidRPr="00687DE8" w:rsidRDefault="000B6882" w:rsidP="007122D9">
            <w:pPr>
              <w:spacing w:after="0" w:line="240" w:lineRule="auto"/>
              <w:rPr>
                <w:color w:val="000000"/>
                <w:szCs w:val="24"/>
                <w:lang w:eastAsia="et-EE"/>
              </w:rPr>
            </w:pPr>
            <w:r w:rsidRPr="00687DE8">
              <w:rPr>
                <w:color w:val="000000"/>
                <w:szCs w:val="24"/>
                <w:lang w:eastAsia="et-EE"/>
              </w:rPr>
              <w:t>Igemetasku küretaaž ühe hamba ulatuses*</w:t>
            </w:r>
          </w:p>
        </w:tc>
        <w:tc>
          <w:tcPr>
            <w:tcW w:w="1134" w:type="dxa"/>
            <w:tcBorders>
              <w:top w:val="nil"/>
              <w:left w:val="nil"/>
              <w:bottom w:val="single" w:sz="4" w:space="0" w:color="auto"/>
              <w:right w:val="single" w:sz="4" w:space="0" w:color="auto"/>
            </w:tcBorders>
            <w:noWrap/>
            <w:vAlign w:val="bottom"/>
            <w:hideMark/>
          </w:tcPr>
          <w:p w14:paraId="0B6111FF" w14:textId="77777777" w:rsidR="000B6882" w:rsidRPr="00687DE8" w:rsidRDefault="000B6882" w:rsidP="007122D9">
            <w:pPr>
              <w:spacing w:after="0" w:line="240" w:lineRule="auto"/>
              <w:jc w:val="center"/>
              <w:rPr>
                <w:color w:val="000000"/>
                <w:szCs w:val="24"/>
                <w:lang w:eastAsia="et-EE"/>
              </w:rPr>
            </w:pPr>
            <w:r w:rsidRPr="00687DE8">
              <w:rPr>
                <w:color w:val="000000"/>
                <w:szCs w:val="24"/>
                <w:lang w:eastAsia="et-EE"/>
              </w:rPr>
              <w:t>52442</w:t>
            </w:r>
          </w:p>
        </w:tc>
        <w:tc>
          <w:tcPr>
            <w:tcW w:w="2736" w:type="dxa"/>
            <w:tcBorders>
              <w:top w:val="single" w:sz="4" w:space="0" w:color="auto"/>
              <w:left w:val="single" w:sz="4" w:space="0" w:color="auto"/>
              <w:bottom w:val="single" w:sz="4" w:space="0" w:color="auto"/>
              <w:right w:val="single" w:sz="4" w:space="0" w:color="auto"/>
            </w:tcBorders>
            <w:noWrap/>
            <w:vAlign w:val="center"/>
            <w:hideMark/>
          </w:tcPr>
          <w:p w14:paraId="6DC9AD30" w14:textId="1EE44E95" w:rsidR="1A53EF6A" w:rsidRPr="00687DE8" w:rsidRDefault="00F15F86">
            <w:pPr>
              <w:spacing w:after="0"/>
              <w:jc w:val="center"/>
              <w:rPr>
                <w:color w:val="000000" w:themeColor="text1"/>
                <w:szCs w:val="24"/>
              </w:rPr>
            </w:pPr>
            <w:r>
              <w:rPr>
                <w:color w:val="000000"/>
              </w:rPr>
              <w:t>23,69</w:t>
            </w:r>
          </w:p>
        </w:tc>
      </w:tr>
      <w:tr w:rsidR="000B6882" w:rsidRPr="00687DE8" w14:paraId="7EE6806C"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3A72D49B" w14:textId="77777777" w:rsidR="000B6882" w:rsidRPr="00687DE8" w:rsidRDefault="000B6882" w:rsidP="007122D9">
            <w:pPr>
              <w:spacing w:after="0" w:line="240" w:lineRule="auto"/>
              <w:rPr>
                <w:color w:val="000000"/>
                <w:szCs w:val="24"/>
                <w:lang w:eastAsia="et-EE"/>
              </w:rPr>
            </w:pPr>
            <w:r w:rsidRPr="00687DE8">
              <w:rPr>
                <w:color w:val="000000"/>
                <w:szCs w:val="24"/>
                <w:lang w:eastAsia="et-EE"/>
              </w:rPr>
              <w:t>Supragingivaalne kivi eemaldamine nelja hamba ulatuses*</w:t>
            </w:r>
          </w:p>
        </w:tc>
        <w:tc>
          <w:tcPr>
            <w:tcW w:w="1134" w:type="dxa"/>
            <w:tcBorders>
              <w:top w:val="nil"/>
              <w:left w:val="nil"/>
              <w:bottom w:val="single" w:sz="4" w:space="0" w:color="auto"/>
              <w:right w:val="single" w:sz="4" w:space="0" w:color="auto"/>
            </w:tcBorders>
            <w:noWrap/>
            <w:vAlign w:val="bottom"/>
            <w:hideMark/>
          </w:tcPr>
          <w:p w14:paraId="62531599" w14:textId="77777777" w:rsidR="000B6882" w:rsidRPr="00687DE8" w:rsidRDefault="000B6882" w:rsidP="007122D9">
            <w:pPr>
              <w:spacing w:after="0" w:line="240" w:lineRule="auto"/>
              <w:jc w:val="center"/>
              <w:rPr>
                <w:color w:val="000000"/>
                <w:szCs w:val="24"/>
                <w:lang w:eastAsia="et-EE"/>
              </w:rPr>
            </w:pPr>
            <w:r w:rsidRPr="00687DE8">
              <w:rPr>
                <w:color w:val="000000"/>
                <w:szCs w:val="24"/>
                <w:lang w:eastAsia="et-EE"/>
              </w:rPr>
              <w:t>52440</w:t>
            </w:r>
          </w:p>
        </w:tc>
        <w:tc>
          <w:tcPr>
            <w:tcW w:w="2736" w:type="dxa"/>
            <w:tcBorders>
              <w:top w:val="nil"/>
              <w:left w:val="single" w:sz="4" w:space="0" w:color="auto"/>
              <w:bottom w:val="single" w:sz="4" w:space="0" w:color="auto"/>
              <w:right w:val="single" w:sz="4" w:space="0" w:color="auto"/>
            </w:tcBorders>
            <w:noWrap/>
            <w:vAlign w:val="center"/>
            <w:hideMark/>
          </w:tcPr>
          <w:p w14:paraId="544480A0" w14:textId="37A76925" w:rsidR="1A53EF6A" w:rsidRPr="00687DE8" w:rsidRDefault="00F15F86">
            <w:pPr>
              <w:spacing w:after="0"/>
              <w:jc w:val="center"/>
              <w:rPr>
                <w:color w:val="000000" w:themeColor="text1"/>
                <w:szCs w:val="24"/>
              </w:rPr>
            </w:pPr>
            <w:r>
              <w:rPr>
                <w:color w:val="000000"/>
              </w:rPr>
              <w:t>23,69</w:t>
            </w:r>
          </w:p>
        </w:tc>
      </w:tr>
      <w:tr w:rsidR="000B6882" w:rsidRPr="00687DE8" w14:paraId="211B725C"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6BD9BD72" w14:textId="77777777" w:rsidR="000B6882" w:rsidRPr="00687DE8" w:rsidRDefault="000B6882" w:rsidP="007122D9">
            <w:pPr>
              <w:spacing w:after="0" w:line="240" w:lineRule="auto"/>
              <w:rPr>
                <w:color w:val="000000"/>
                <w:szCs w:val="24"/>
                <w:lang w:eastAsia="et-EE"/>
              </w:rPr>
            </w:pPr>
            <w:r w:rsidRPr="00687DE8">
              <w:rPr>
                <w:color w:val="000000"/>
                <w:szCs w:val="24"/>
                <w:lang w:eastAsia="et-EE"/>
              </w:rPr>
              <w:t>Subgingivaalne kivi eemaldamine nelja hamba ulatuses*</w:t>
            </w:r>
          </w:p>
        </w:tc>
        <w:tc>
          <w:tcPr>
            <w:tcW w:w="1134" w:type="dxa"/>
            <w:tcBorders>
              <w:top w:val="nil"/>
              <w:left w:val="nil"/>
              <w:bottom w:val="single" w:sz="4" w:space="0" w:color="auto"/>
              <w:right w:val="single" w:sz="4" w:space="0" w:color="auto"/>
            </w:tcBorders>
            <w:noWrap/>
            <w:vAlign w:val="bottom"/>
            <w:hideMark/>
          </w:tcPr>
          <w:p w14:paraId="1B45B554" w14:textId="77777777" w:rsidR="000B6882" w:rsidRPr="00687DE8" w:rsidRDefault="000B6882" w:rsidP="007122D9">
            <w:pPr>
              <w:spacing w:after="0" w:line="240" w:lineRule="auto"/>
              <w:jc w:val="center"/>
              <w:rPr>
                <w:color w:val="000000"/>
                <w:szCs w:val="24"/>
                <w:lang w:eastAsia="et-EE"/>
              </w:rPr>
            </w:pPr>
            <w:r w:rsidRPr="00687DE8">
              <w:rPr>
                <w:color w:val="000000"/>
                <w:szCs w:val="24"/>
                <w:lang w:eastAsia="et-EE"/>
              </w:rPr>
              <w:t>52441</w:t>
            </w:r>
          </w:p>
        </w:tc>
        <w:tc>
          <w:tcPr>
            <w:tcW w:w="2736" w:type="dxa"/>
            <w:tcBorders>
              <w:top w:val="nil"/>
              <w:left w:val="single" w:sz="4" w:space="0" w:color="auto"/>
              <w:bottom w:val="single" w:sz="4" w:space="0" w:color="auto"/>
              <w:right w:val="single" w:sz="4" w:space="0" w:color="auto"/>
            </w:tcBorders>
            <w:noWrap/>
            <w:vAlign w:val="center"/>
            <w:hideMark/>
          </w:tcPr>
          <w:p w14:paraId="30F3BDF7" w14:textId="2C798111" w:rsidR="1A53EF6A" w:rsidRPr="00687DE8" w:rsidRDefault="00F15F86">
            <w:pPr>
              <w:spacing w:after="0"/>
              <w:jc w:val="center"/>
              <w:rPr>
                <w:color w:val="000000" w:themeColor="text1"/>
                <w:szCs w:val="24"/>
              </w:rPr>
            </w:pPr>
            <w:r>
              <w:rPr>
                <w:color w:val="000000"/>
              </w:rPr>
              <w:t>39,00</w:t>
            </w:r>
          </w:p>
        </w:tc>
      </w:tr>
      <w:tr w:rsidR="000B6882" w:rsidRPr="00687DE8" w14:paraId="1AF2356E" w14:textId="77777777" w:rsidTr="001B10F9">
        <w:trPr>
          <w:divId w:val="1316184749"/>
          <w:trHeight w:val="300"/>
        </w:trPr>
        <w:tc>
          <w:tcPr>
            <w:tcW w:w="5130" w:type="dxa"/>
            <w:tcBorders>
              <w:top w:val="nil"/>
              <w:left w:val="single" w:sz="4" w:space="0" w:color="auto"/>
              <w:bottom w:val="single" w:sz="4" w:space="0" w:color="auto"/>
              <w:right w:val="single" w:sz="4" w:space="0" w:color="auto"/>
            </w:tcBorders>
            <w:vAlign w:val="bottom"/>
            <w:hideMark/>
          </w:tcPr>
          <w:p w14:paraId="34FEF56F" w14:textId="77777777" w:rsidR="000B6882" w:rsidRPr="00687DE8" w:rsidRDefault="000B6882" w:rsidP="007122D9">
            <w:pPr>
              <w:spacing w:after="0" w:line="240" w:lineRule="auto"/>
              <w:rPr>
                <w:color w:val="000000"/>
                <w:szCs w:val="24"/>
                <w:lang w:eastAsia="et-EE"/>
              </w:rPr>
            </w:pPr>
            <w:r w:rsidRPr="00687DE8">
              <w:rPr>
                <w:color w:val="000000"/>
                <w:szCs w:val="24"/>
                <w:lang w:eastAsia="et-EE"/>
              </w:rPr>
              <w:t>Parodontaalne operatsioon nelja hamba ulatuses</w:t>
            </w:r>
          </w:p>
        </w:tc>
        <w:tc>
          <w:tcPr>
            <w:tcW w:w="1134" w:type="dxa"/>
            <w:tcBorders>
              <w:top w:val="nil"/>
              <w:left w:val="nil"/>
              <w:bottom w:val="single" w:sz="4" w:space="0" w:color="auto"/>
              <w:right w:val="single" w:sz="4" w:space="0" w:color="auto"/>
            </w:tcBorders>
            <w:noWrap/>
            <w:vAlign w:val="bottom"/>
            <w:hideMark/>
          </w:tcPr>
          <w:p w14:paraId="341A7E23" w14:textId="77777777" w:rsidR="000B6882" w:rsidRPr="00687DE8" w:rsidRDefault="000B6882" w:rsidP="007122D9">
            <w:pPr>
              <w:spacing w:after="0" w:line="240" w:lineRule="auto"/>
              <w:jc w:val="center"/>
              <w:rPr>
                <w:color w:val="000000"/>
                <w:szCs w:val="24"/>
                <w:lang w:eastAsia="et-EE"/>
              </w:rPr>
            </w:pPr>
            <w:r w:rsidRPr="00687DE8">
              <w:rPr>
                <w:color w:val="000000"/>
                <w:szCs w:val="24"/>
                <w:lang w:eastAsia="et-EE"/>
              </w:rPr>
              <w:t>52443</w:t>
            </w:r>
          </w:p>
        </w:tc>
        <w:tc>
          <w:tcPr>
            <w:tcW w:w="2736" w:type="dxa"/>
            <w:tcBorders>
              <w:top w:val="nil"/>
              <w:left w:val="single" w:sz="4" w:space="0" w:color="auto"/>
              <w:bottom w:val="single" w:sz="4" w:space="0" w:color="auto"/>
              <w:right w:val="single" w:sz="4" w:space="0" w:color="auto"/>
            </w:tcBorders>
            <w:noWrap/>
            <w:vAlign w:val="center"/>
            <w:hideMark/>
          </w:tcPr>
          <w:p w14:paraId="10A10446" w14:textId="4C592DBC" w:rsidR="1A53EF6A" w:rsidRPr="00687DE8" w:rsidRDefault="00F15F86">
            <w:pPr>
              <w:spacing w:after="0"/>
              <w:jc w:val="center"/>
              <w:rPr>
                <w:color w:val="000000" w:themeColor="text1"/>
                <w:szCs w:val="24"/>
              </w:rPr>
            </w:pPr>
            <w:r>
              <w:rPr>
                <w:color w:val="000000"/>
              </w:rPr>
              <w:t>90,48</w:t>
            </w:r>
          </w:p>
        </w:tc>
      </w:tr>
      <w:tr w:rsidR="000B6882" w:rsidRPr="00687DE8" w14:paraId="0D93C3C4"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58F89034" w14:textId="77777777" w:rsidR="000B6882" w:rsidRPr="00687DE8" w:rsidRDefault="000B6882" w:rsidP="007122D9">
            <w:pPr>
              <w:spacing w:after="0" w:line="240" w:lineRule="auto"/>
              <w:rPr>
                <w:color w:val="000000"/>
                <w:szCs w:val="24"/>
                <w:lang w:eastAsia="et-EE"/>
              </w:rPr>
            </w:pPr>
            <w:r w:rsidRPr="00687DE8">
              <w:rPr>
                <w:color w:val="000000"/>
                <w:szCs w:val="24"/>
                <w:lang w:eastAsia="et-EE"/>
              </w:rPr>
              <w:t>Medikamendi aplikatsioon nelja hamba ulatuses</w:t>
            </w:r>
          </w:p>
        </w:tc>
        <w:tc>
          <w:tcPr>
            <w:tcW w:w="1134" w:type="dxa"/>
            <w:tcBorders>
              <w:top w:val="nil"/>
              <w:left w:val="nil"/>
              <w:bottom w:val="single" w:sz="4" w:space="0" w:color="auto"/>
              <w:right w:val="single" w:sz="4" w:space="0" w:color="auto"/>
            </w:tcBorders>
            <w:noWrap/>
            <w:vAlign w:val="bottom"/>
            <w:hideMark/>
          </w:tcPr>
          <w:p w14:paraId="52C11386" w14:textId="77777777" w:rsidR="000B6882" w:rsidRPr="00687DE8" w:rsidRDefault="000B6882" w:rsidP="007122D9">
            <w:pPr>
              <w:spacing w:after="0" w:line="240" w:lineRule="auto"/>
              <w:jc w:val="center"/>
              <w:rPr>
                <w:color w:val="000000"/>
                <w:szCs w:val="24"/>
                <w:lang w:eastAsia="et-EE"/>
              </w:rPr>
            </w:pPr>
            <w:r w:rsidRPr="00687DE8">
              <w:rPr>
                <w:color w:val="000000"/>
                <w:szCs w:val="24"/>
                <w:lang w:eastAsia="et-EE"/>
              </w:rPr>
              <w:t>52444</w:t>
            </w:r>
          </w:p>
        </w:tc>
        <w:tc>
          <w:tcPr>
            <w:tcW w:w="2736" w:type="dxa"/>
            <w:tcBorders>
              <w:top w:val="nil"/>
              <w:left w:val="single" w:sz="4" w:space="0" w:color="auto"/>
              <w:bottom w:val="single" w:sz="4" w:space="0" w:color="auto"/>
              <w:right w:val="single" w:sz="4" w:space="0" w:color="auto"/>
            </w:tcBorders>
            <w:noWrap/>
            <w:vAlign w:val="center"/>
            <w:hideMark/>
          </w:tcPr>
          <w:p w14:paraId="06960E43" w14:textId="143C66DB" w:rsidR="1A53EF6A" w:rsidRPr="00687DE8" w:rsidRDefault="00F15F86">
            <w:pPr>
              <w:spacing w:after="0"/>
              <w:jc w:val="center"/>
              <w:rPr>
                <w:color w:val="000000" w:themeColor="text1"/>
                <w:szCs w:val="24"/>
              </w:rPr>
            </w:pPr>
            <w:r>
              <w:rPr>
                <w:color w:val="000000"/>
              </w:rPr>
              <w:t>8,78</w:t>
            </w:r>
          </w:p>
        </w:tc>
      </w:tr>
      <w:tr w:rsidR="000B6882" w:rsidRPr="00687DE8" w14:paraId="4B001DCE" w14:textId="77777777" w:rsidTr="001B10F9">
        <w:trPr>
          <w:divId w:val="1316184749"/>
          <w:trHeight w:val="624"/>
        </w:trPr>
        <w:tc>
          <w:tcPr>
            <w:tcW w:w="5130" w:type="dxa"/>
            <w:tcBorders>
              <w:top w:val="nil"/>
              <w:left w:val="single" w:sz="4" w:space="0" w:color="auto"/>
              <w:bottom w:val="single" w:sz="4" w:space="0" w:color="auto"/>
              <w:right w:val="single" w:sz="4" w:space="0" w:color="auto"/>
            </w:tcBorders>
            <w:vAlign w:val="bottom"/>
            <w:hideMark/>
          </w:tcPr>
          <w:p w14:paraId="78C9DE96" w14:textId="77777777" w:rsidR="000B6882" w:rsidRPr="00687DE8" w:rsidRDefault="000B6882" w:rsidP="007122D9">
            <w:pPr>
              <w:spacing w:after="0" w:line="240" w:lineRule="auto"/>
              <w:rPr>
                <w:color w:val="000000"/>
                <w:szCs w:val="24"/>
                <w:lang w:eastAsia="et-EE"/>
              </w:rPr>
            </w:pPr>
            <w:r w:rsidRPr="00687DE8">
              <w:rPr>
                <w:color w:val="000000"/>
                <w:szCs w:val="24"/>
                <w:lang w:eastAsia="et-EE"/>
              </w:rPr>
              <w:lastRenderedPageBreak/>
              <w:t>Traumajärgne hamba ettevalmistamine, paigaldamine ja lahastamine kuni kolme hamba ulatuses</w:t>
            </w:r>
          </w:p>
        </w:tc>
        <w:tc>
          <w:tcPr>
            <w:tcW w:w="1134" w:type="dxa"/>
            <w:tcBorders>
              <w:top w:val="nil"/>
              <w:left w:val="nil"/>
              <w:bottom w:val="single" w:sz="4" w:space="0" w:color="auto"/>
              <w:right w:val="single" w:sz="4" w:space="0" w:color="auto"/>
            </w:tcBorders>
            <w:noWrap/>
            <w:vAlign w:val="bottom"/>
            <w:hideMark/>
          </w:tcPr>
          <w:p w14:paraId="736D1D05" w14:textId="77777777" w:rsidR="000B6882" w:rsidRPr="00687DE8" w:rsidRDefault="000B6882" w:rsidP="007122D9">
            <w:pPr>
              <w:spacing w:after="0" w:line="240" w:lineRule="auto"/>
              <w:jc w:val="center"/>
              <w:rPr>
                <w:color w:val="000000"/>
                <w:szCs w:val="24"/>
                <w:lang w:eastAsia="et-EE"/>
              </w:rPr>
            </w:pPr>
            <w:r w:rsidRPr="00687DE8">
              <w:rPr>
                <w:color w:val="000000"/>
                <w:szCs w:val="24"/>
                <w:lang w:eastAsia="et-EE"/>
              </w:rPr>
              <w:t>52445</w:t>
            </w:r>
          </w:p>
        </w:tc>
        <w:tc>
          <w:tcPr>
            <w:tcW w:w="2736" w:type="dxa"/>
            <w:tcBorders>
              <w:top w:val="nil"/>
              <w:left w:val="single" w:sz="4" w:space="0" w:color="auto"/>
              <w:bottom w:val="single" w:sz="4" w:space="0" w:color="auto"/>
              <w:right w:val="single" w:sz="4" w:space="0" w:color="auto"/>
            </w:tcBorders>
            <w:noWrap/>
            <w:vAlign w:val="center"/>
            <w:hideMark/>
          </w:tcPr>
          <w:p w14:paraId="11C64B71" w14:textId="6C42A610" w:rsidR="1A53EF6A" w:rsidRPr="00687DE8" w:rsidRDefault="00F15F86">
            <w:pPr>
              <w:spacing w:after="0"/>
              <w:jc w:val="center"/>
              <w:rPr>
                <w:color w:val="000000" w:themeColor="text1"/>
                <w:szCs w:val="24"/>
              </w:rPr>
            </w:pPr>
            <w:r>
              <w:rPr>
                <w:color w:val="000000"/>
              </w:rPr>
              <w:t>78,24</w:t>
            </w:r>
          </w:p>
        </w:tc>
      </w:tr>
      <w:tr w:rsidR="000B6882" w:rsidRPr="00687DE8" w14:paraId="78FA6F3D"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5E8448CB" w14:textId="77777777" w:rsidR="000B6882" w:rsidRPr="00687DE8" w:rsidRDefault="000B6882" w:rsidP="007122D9">
            <w:pPr>
              <w:spacing w:after="0" w:line="240" w:lineRule="auto"/>
              <w:rPr>
                <w:color w:val="000000"/>
                <w:szCs w:val="24"/>
                <w:lang w:eastAsia="et-EE"/>
              </w:rPr>
            </w:pPr>
            <w:r w:rsidRPr="00687DE8">
              <w:rPr>
                <w:color w:val="000000"/>
                <w:szCs w:val="24"/>
                <w:lang w:eastAsia="et-EE"/>
              </w:rPr>
              <w:t>Igemejoone kontureerimine ühe hamba ulatuses</w:t>
            </w:r>
          </w:p>
        </w:tc>
        <w:tc>
          <w:tcPr>
            <w:tcW w:w="1134" w:type="dxa"/>
            <w:tcBorders>
              <w:top w:val="nil"/>
              <w:left w:val="nil"/>
              <w:bottom w:val="single" w:sz="4" w:space="0" w:color="auto"/>
              <w:right w:val="single" w:sz="4" w:space="0" w:color="auto"/>
            </w:tcBorders>
            <w:noWrap/>
            <w:vAlign w:val="bottom"/>
            <w:hideMark/>
          </w:tcPr>
          <w:p w14:paraId="13E96F3D" w14:textId="77777777" w:rsidR="000B6882" w:rsidRPr="00687DE8" w:rsidRDefault="000B6882" w:rsidP="007122D9">
            <w:pPr>
              <w:spacing w:after="0" w:line="240" w:lineRule="auto"/>
              <w:jc w:val="center"/>
              <w:rPr>
                <w:color w:val="000000"/>
                <w:szCs w:val="24"/>
                <w:lang w:eastAsia="et-EE"/>
              </w:rPr>
            </w:pPr>
            <w:r w:rsidRPr="00687DE8">
              <w:rPr>
                <w:color w:val="000000"/>
                <w:szCs w:val="24"/>
                <w:lang w:eastAsia="et-EE"/>
              </w:rPr>
              <w:t>52446</w:t>
            </w:r>
          </w:p>
        </w:tc>
        <w:tc>
          <w:tcPr>
            <w:tcW w:w="2736" w:type="dxa"/>
            <w:tcBorders>
              <w:top w:val="nil"/>
              <w:left w:val="single" w:sz="4" w:space="0" w:color="auto"/>
              <w:bottom w:val="single" w:sz="4" w:space="0" w:color="auto"/>
              <w:right w:val="single" w:sz="4" w:space="0" w:color="auto"/>
            </w:tcBorders>
            <w:noWrap/>
            <w:vAlign w:val="center"/>
            <w:hideMark/>
          </w:tcPr>
          <w:p w14:paraId="25C01012" w14:textId="53E9B117" w:rsidR="1A53EF6A" w:rsidRPr="00687DE8" w:rsidRDefault="00F15F86">
            <w:pPr>
              <w:spacing w:after="0"/>
              <w:jc w:val="center"/>
              <w:rPr>
                <w:color w:val="000000" w:themeColor="text1"/>
                <w:szCs w:val="24"/>
              </w:rPr>
            </w:pPr>
            <w:r>
              <w:rPr>
                <w:color w:val="000000"/>
              </w:rPr>
              <w:t>20,59</w:t>
            </w:r>
          </w:p>
        </w:tc>
      </w:tr>
      <w:tr w:rsidR="000B6882" w:rsidRPr="00687DE8" w14:paraId="42F1D989" w14:textId="77777777" w:rsidTr="001B10F9">
        <w:trPr>
          <w:divId w:val="1316184749"/>
          <w:trHeight w:val="300"/>
        </w:trPr>
        <w:tc>
          <w:tcPr>
            <w:tcW w:w="5130" w:type="dxa"/>
            <w:tcBorders>
              <w:top w:val="nil"/>
              <w:left w:val="single" w:sz="4" w:space="0" w:color="auto"/>
              <w:bottom w:val="single" w:sz="4" w:space="0" w:color="auto"/>
              <w:right w:val="single" w:sz="4" w:space="0" w:color="auto"/>
            </w:tcBorders>
            <w:vAlign w:val="bottom"/>
            <w:hideMark/>
          </w:tcPr>
          <w:p w14:paraId="3A8A7411" w14:textId="77777777" w:rsidR="000B6882" w:rsidRPr="00687DE8" w:rsidRDefault="000B6882" w:rsidP="007122D9">
            <w:pPr>
              <w:spacing w:after="0" w:line="240" w:lineRule="auto"/>
              <w:rPr>
                <w:color w:val="000000"/>
                <w:szCs w:val="24"/>
                <w:lang w:eastAsia="et-EE"/>
              </w:rPr>
            </w:pPr>
            <w:r w:rsidRPr="00687DE8">
              <w:rPr>
                <w:color w:val="000000"/>
                <w:szCs w:val="24"/>
                <w:lang w:eastAsia="et-EE"/>
              </w:rPr>
              <w:t>Kroonipikenduslõikus ühe hamba ulatuses</w:t>
            </w:r>
          </w:p>
        </w:tc>
        <w:tc>
          <w:tcPr>
            <w:tcW w:w="1134" w:type="dxa"/>
            <w:tcBorders>
              <w:top w:val="nil"/>
              <w:left w:val="nil"/>
              <w:bottom w:val="single" w:sz="4" w:space="0" w:color="auto"/>
              <w:right w:val="single" w:sz="4" w:space="0" w:color="auto"/>
            </w:tcBorders>
            <w:noWrap/>
            <w:vAlign w:val="bottom"/>
            <w:hideMark/>
          </w:tcPr>
          <w:p w14:paraId="6C938238" w14:textId="77777777" w:rsidR="000B6882" w:rsidRPr="00687DE8" w:rsidRDefault="000B6882" w:rsidP="007122D9">
            <w:pPr>
              <w:spacing w:after="0" w:line="240" w:lineRule="auto"/>
              <w:jc w:val="center"/>
              <w:rPr>
                <w:color w:val="000000"/>
                <w:szCs w:val="24"/>
                <w:lang w:eastAsia="et-EE"/>
              </w:rPr>
            </w:pPr>
            <w:r w:rsidRPr="00687DE8">
              <w:rPr>
                <w:color w:val="000000"/>
                <w:szCs w:val="24"/>
                <w:lang w:eastAsia="et-EE"/>
              </w:rPr>
              <w:t>52447</w:t>
            </w:r>
          </w:p>
        </w:tc>
        <w:tc>
          <w:tcPr>
            <w:tcW w:w="2736" w:type="dxa"/>
            <w:tcBorders>
              <w:top w:val="nil"/>
              <w:left w:val="single" w:sz="4" w:space="0" w:color="auto"/>
              <w:bottom w:val="single" w:sz="4" w:space="0" w:color="auto"/>
              <w:right w:val="single" w:sz="4" w:space="0" w:color="auto"/>
            </w:tcBorders>
            <w:noWrap/>
            <w:vAlign w:val="center"/>
            <w:hideMark/>
          </w:tcPr>
          <w:p w14:paraId="5C288A3C" w14:textId="473BB42B" w:rsidR="1A53EF6A" w:rsidRPr="00687DE8" w:rsidRDefault="00F15F86">
            <w:pPr>
              <w:spacing w:after="0"/>
              <w:jc w:val="center"/>
              <w:rPr>
                <w:color w:val="000000" w:themeColor="text1"/>
                <w:szCs w:val="24"/>
              </w:rPr>
            </w:pPr>
            <w:r>
              <w:rPr>
                <w:color w:val="000000"/>
              </w:rPr>
              <w:t>43,97</w:t>
            </w:r>
          </w:p>
        </w:tc>
      </w:tr>
      <w:tr w:rsidR="000B6882" w:rsidRPr="00687DE8" w14:paraId="1A92B197"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53333868" w14:textId="77777777" w:rsidR="000B6882" w:rsidRPr="00687DE8" w:rsidRDefault="000B6882" w:rsidP="007122D9">
            <w:pPr>
              <w:spacing w:after="0" w:line="240" w:lineRule="auto"/>
              <w:rPr>
                <w:color w:val="000000"/>
                <w:szCs w:val="24"/>
                <w:lang w:eastAsia="et-EE"/>
              </w:rPr>
            </w:pPr>
            <w:r w:rsidRPr="00687DE8">
              <w:rPr>
                <w:color w:val="000000"/>
                <w:szCs w:val="24"/>
                <w:lang w:eastAsia="et-EE"/>
              </w:rPr>
              <w:t>Gingivoplastika ühe hamba ulatuses</w:t>
            </w:r>
          </w:p>
        </w:tc>
        <w:tc>
          <w:tcPr>
            <w:tcW w:w="1134" w:type="dxa"/>
            <w:tcBorders>
              <w:top w:val="nil"/>
              <w:left w:val="nil"/>
              <w:bottom w:val="single" w:sz="4" w:space="0" w:color="auto"/>
              <w:right w:val="single" w:sz="4" w:space="0" w:color="auto"/>
            </w:tcBorders>
            <w:noWrap/>
            <w:vAlign w:val="bottom"/>
            <w:hideMark/>
          </w:tcPr>
          <w:p w14:paraId="6F07CD3D" w14:textId="77777777" w:rsidR="000B6882" w:rsidRPr="00687DE8" w:rsidRDefault="000B6882" w:rsidP="007122D9">
            <w:pPr>
              <w:spacing w:after="0" w:line="240" w:lineRule="auto"/>
              <w:jc w:val="center"/>
              <w:rPr>
                <w:color w:val="000000"/>
                <w:szCs w:val="24"/>
                <w:lang w:eastAsia="et-EE"/>
              </w:rPr>
            </w:pPr>
            <w:r w:rsidRPr="00687DE8">
              <w:rPr>
                <w:color w:val="000000"/>
                <w:szCs w:val="24"/>
                <w:lang w:eastAsia="et-EE"/>
              </w:rPr>
              <w:t>52448</w:t>
            </w:r>
          </w:p>
        </w:tc>
        <w:tc>
          <w:tcPr>
            <w:tcW w:w="2736" w:type="dxa"/>
            <w:tcBorders>
              <w:top w:val="nil"/>
              <w:left w:val="single" w:sz="4" w:space="0" w:color="auto"/>
              <w:bottom w:val="single" w:sz="4" w:space="0" w:color="auto"/>
              <w:right w:val="single" w:sz="4" w:space="0" w:color="auto"/>
            </w:tcBorders>
            <w:noWrap/>
            <w:vAlign w:val="center"/>
            <w:hideMark/>
          </w:tcPr>
          <w:p w14:paraId="06F3858E" w14:textId="587BB647" w:rsidR="1A53EF6A" w:rsidRPr="00687DE8" w:rsidRDefault="00F15F86">
            <w:pPr>
              <w:spacing w:after="0"/>
              <w:jc w:val="center"/>
              <w:rPr>
                <w:color w:val="000000" w:themeColor="text1"/>
                <w:szCs w:val="24"/>
              </w:rPr>
            </w:pPr>
            <w:r>
              <w:rPr>
                <w:color w:val="000000"/>
              </w:rPr>
              <w:t>112,76</w:t>
            </w:r>
          </w:p>
        </w:tc>
      </w:tr>
      <w:tr w:rsidR="000B6882" w:rsidRPr="00687DE8" w14:paraId="5516D9E0" w14:textId="77777777" w:rsidTr="001B10F9">
        <w:trPr>
          <w:divId w:val="1316184749"/>
          <w:trHeight w:val="300"/>
        </w:trPr>
        <w:tc>
          <w:tcPr>
            <w:tcW w:w="5130" w:type="dxa"/>
            <w:tcBorders>
              <w:top w:val="nil"/>
              <w:left w:val="single" w:sz="4" w:space="0" w:color="auto"/>
              <w:bottom w:val="single" w:sz="4" w:space="0" w:color="auto"/>
              <w:right w:val="single" w:sz="4" w:space="0" w:color="auto"/>
            </w:tcBorders>
            <w:vAlign w:val="bottom"/>
            <w:hideMark/>
          </w:tcPr>
          <w:p w14:paraId="08B3B8CA" w14:textId="77777777" w:rsidR="000B6882" w:rsidRPr="00687DE8" w:rsidRDefault="000B6882" w:rsidP="007122D9">
            <w:pPr>
              <w:spacing w:after="0" w:line="240" w:lineRule="auto"/>
              <w:rPr>
                <w:color w:val="000000"/>
                <w:szCs w:val="24"/>
                <w:lang w:eastAsia="et-EE"/>
              </w:rPr>
            </w:pPr>
            <w:r w:rsidRPr="00687DE8">
              <w:rPr>
                <w:color w:val="000000"/>
                <w:szCs w:val="24"/>
                <w:lang w:eastAsia="et-EE"/>
              </w:rPr>
              <w:t>Kuni kolme parodontiitse hamba lahastamine</w:t>
            </w:r>
          </w:p>
        </w:tc>
        <w:tc>
          <w:tcPr>
            <w:tcW w:w="1134" w:type="dxa"/>
            <w:tcBorders>
              <w:top w:val="nil"/>
              <w:left w:val="nil"/>
              <w:bottom w:val="single" w:sz="4" w:space="0" w:color="auto"/>
              <w:right w:val="single" w:sz="4" w:space="0" w:color="auto"/>
            </w:tcBorders>
            <w:noWrap/>
            <w:vAlign w:val="bottom"/>
            <w:hideMark/>
          </w:tcPr>
          <w:p w14:paraId="71C4C312" w14:textId="77777777" w:rsidR="000B6882" w:rsidRPr="00687DE8" w:rsidRDefault="000B6882" w:rsidP="007122D9">
            <w:pPr>
              <w:spacing w:after="0" w:line="240" w:lineRule="auto"/>
              <w:jc w:val="center"/>
              <w:rPr>
                <w:color w:val="000000"/>
                <w:szCs w:val="24"/>
                <w:lang w:eastAsia="et-EE"/>
              </w:rPr>
            </w:pPr>
            <w:r w:rsidRPr="00687DE8">
              <w:rPr>
                <w:color w:val="000000"/>
                <w:szCs w:val="24"/>
                <w:lang w:eastAsia="et-EE"/>
              </w:rPr>
              <w:t>52449</w:t>
            </w:r>
          </w:p>
        </w:tc>
        <w:tc>
          <w:tcPr>
            <w:tcW w:w="2736" w:type="dxa"/>
            <w:tcBorders>
              <w:top w:val="nil"/>
              <w:left w:val="single" w:sz="4" w:space="0" w:color="auto"/>
              <w:bottom w:val="single" w:sz="4" w:space="0" w:color="auto"/>
              <w:right w:val="single" w:sz="4" w:space="0" w:color="auto"/>
            </w:tcBorders>
            <w:noWrap/>
            <w:vAlign w:val="center"/>
            <w:hideMark/>
          </w:tcPr>
          <w:p w14:paraId="5C764087" w14:textId="1D0CA7C6" w:rsidR="1A53EF6A" w:rsidRPr="00687DE8" w:rsidRDefault="00F15F86">
            <w:pPr>
              <w:spacing w:after="0"/>
              <w:jc w:val="center"/>
              <w:rPr>
                <w:color w:val="000000" w:themeColor="text1"/>
                <w:szCs w:val="24"/>
              </w:rPr>
            </w:pPr>
            <w:r>
              <w:rPr>
                <w:color w:val="000000"/>
              </w:rPr>
              <w:t>54,48</w:t>
            </w:r>
          </w:p>
        </w:tc>
      </w:tr>
      <w:tr w:rsidR="00976487" w:rsidRPr="00687DE8" w14:paraId="1A61C00D" w14:textId="77777777" w:rsidTr="009146B2">
        <w:trPr>
          <w:divId w:val="1316184749"/>
          <w:trHeight w:val="324"/>
        </w:trPr>
        <w:tc>
          <w:tcPr>
            <w:tcW w:w="5130" w:type="dxa"/>
            <w:tcBorders>
              <w:top w:val="nil"/>
              <w:left w:val="single" w:sz="4" w:space="0" w:color="auto"/>
              <w:bottom w:val="single" w:sz="4" w:space="0" w:color="auto"/>
              <w:right w:val="single" w:sz="4" w:space="0" w:color="auto"/>
            </w:tcBorders>
            <w:vAlign w:val="bottom"/>
            <w:hideMark/>
          </w:tcPr>
          <w:p w14:paraId="68B14A54" w14:textId="77777777" w:rsidR="00976487" w:rsidRPr="00687DE8" w:rsidRDefault="00976487" w:rsidP="007122D9">
            <w:pPr>
              <w:spacing w:after="0" w:line="240" w:lineRule="auto"/>
              <w:rPr>
                <w:b/>
                <w:bCs/>
                <w:i/>
                <w:iCs/>
                <w:color w:val="000000"/>
                <w:szCs w:val="24"/>
                <w:lang w:eastAsia="et-EE"/>
              </w:rPr>
            </w:pPr>
            <w:r w:rsidRPr="00687DE8">
              <w:rPr>
                <w:b/>
                <w:bCs/>
                <w:i/>
                <w:iCs/>
                <w:color w:val="000000"/>
                <w:szCs w:val="24"/>
                <w:lang w:eastAsia="et-EE"/>
              </w:rPr>
              <w:t>Kirurgia</w:t>
            </w:r>
          </w:p>
        </w:tc>
        <w:tc>
          <w:tcPr>
            <w:tcW w:w="1134" w:type="dxa"/>
            <w:tcBorders>
              <w:top w:val="nil"/>
              <w:left w:val="nil"/>
              <w:bottom w:val="single" w:sz="4" w:space="0" w:color="auto"/>
              <w:right w:val="single" w:sz="4" w:space="0" w:color="auto"/>
            </w:tcBorders>
            <w:noWrap/>
            <w:vAlign w:val="bottom"/>
            <w:hideMark/>
          </w:tcPr>
          <w:p w14:paraId="747D5E31" w14:textId="77777777" w:rsidR="00976487" w:rsidRPr="00687DE8" w:rsidRDefault="00976487" w:rsidP="007122D9">
            <w:pPr>
              <w:spacing w:after="0" w:line="240" w:lineRule="auto"/>
              <w:jc w:val="center"/>
              <w:rPr>
                <w:color w:val="000000"/>
                <w:szCs w:val="24"/>
                <w:lang w:eastAsia="et-EE"/>
              </w:rPr>
            </w:pPr>
            <w:r w:rsidRPr="00687DE8">
              <w:rPr>
                <w:color w:val="000000"/>
                <w:szCs w:val="24"/>
                <w:lang w:eastAsia="et-EE"/>
              </w:rPr>
              <w:t> </w:t>
            </w:r>
          </w:p>
        </w:tc>
        <w:tc>
          <w:tcPr>
            <w:tcW w:w="2736" w:type="dxa"/>
            <w:tcBorders>
              <w:top w:val="nil"/>
              <w:left w:val="nil"/>
              <w:bottom w:val="single" w:sz="4" w:space="0" w:color="auto"/>
              <w:right w:val="single" w:sz="4" w:space="0" w:color="auto"/>
            </w:tcBorders>
            <w:noWrap/>
            <w:hideMark/>
          </w:tcPr>
          <w:p w14:paraId="08936A4D" w14:textId="77777777" w:rsidR="00976487" w:rsidRPr="00687DE8" w:rsidRDefault="00976487" w:rsidP="007122D9">
            <w:pPr>
              <w:spacing w:after="0" w:line="240" w:lineRule="auto"/>
              <w:rPr>
                <w:color w:val="000000"/>
                <w:szCs w:val="24"/>
                <w:lang w:eastAsia="et-EE"/>
              </w:rPr>
            </w:pPr>
          </w:p>
        </w:tc>
      </w:tr>
      <w:tr w:rsidR="003E0C8B" w:rsidRPr="00687DE8" w14:paraId="230F9B8A"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33116F6A" w14:textId="77777777" w:rsidR="003E0C8B" w:rsidRPr="00687DE8" w:rsidRDefault="003E0C8B" w:rsidP="007122D9">
            <w:pPr>
              <w:spacing w:after="0" w:line="240" w:lineRule="auto"/>
              <w:rPr>
                <w:color w:val="000000"/>
                <w:szCs w:val="24"/>
                <w:lang w:eastAsia="et-EE"/>
              </w:rPr>
            </w:pPr>
            <w:r w:rsidRPr="00687DE8">
              <w:rPr>
                <w:color w:val="000000" w:themeColor="text1"/>
                <w:szCs w:val="24"/>
                <w:lang w:eastAsia="et-EE"/>
              </w:rPr>
              <w:t>Ühe juurega hamba,</w:t>
            </w:r>
            <w:r w:rsidRPr="00687DE8">
              <w:rPr>
                <w:color w:val="FF0000"/>
                <w:szCs w:val="24"/>
                <w:lang w:eastAsia="et-EE"/>
              </w:rPr>
              <w:t xml:space="preserve"> </w:t>
            </w:r>
            <w:r w:rsidRPr="00687DE8">
              <w:rPr>
                <w:szCs w:val="24"/>
                <w:lang w:eastAsia="et-EE"/>
              </w:rPr>
              <w:t>sh</w:t>
            </w:r>
            <w:r w:rsidRPr="00687DE8">
              <w:rPr>
                <w:color w:val="FF0000"/>
                <w:szCs w:val="24"/>
                <w:lang w:eastAsia="et-EE"/>
              </w:rPr>
              <w:t xml:space="preserve"> </w:t>
            </w:r>
            <w:r w:rsidRPr="00687DE8">
              <w:rPr>
                <w:szCs w:val="24"/>
                <w:lang w:eastAsia="et-EE"/>
              </w:rPr>
              <w:t xml:space="preserve">piimahamba </w:t>
            </w:r>
            <w:r w:rsidRPr="00687DE8">
              <w:rPr>
                <w:color w:val="000000" w:themeColor="text1"/>
                <w:szCs w:val="24"/>
                <w:lang w:eastAsia="et-EE"/>
              </w:rPr>
              <w:t>eemaldamine*</w:t>
            </w:r>
          </w:p>
        </w:tc>
        <w:tc>
          <w:tcPr>
            <w:tcW w:w="1134" w:type="dxa"/>
            <w:tcBorders>
              <w:top w:val="nil"/>
              <w:left w:val="nil"/>
              <w:bottom w:val="single" w:sz="4" w:space="0" w:color="auto"/>
              <w:right w:val="single" w:sz="4" w:space="0" w:color="auto"/>
            </w:tcBorders>
            <w:noWrap/>
            <w:vAlign w:val="bottom"/>
            <w:hideMark/>
          </w:tcPr>
          <w:p w14:paraId="3EEC144B"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52450</w:t>
            </w:r>
          </w:p>
        </w:tc>
        <w:tc>
          <w:tcPr>
            <w:tcW w:w="2736" w:type="dxa"/>
            <w:tcBorders>
              <w:top w:val="single" w:sz="4" w:space="0" w:color="auto"/>
              <w:left w:val="single" w:sz="4" w:space="0" w:color="auto"/>
              <w:bottom w:val="single" w:sz="4" w:space="0" w:color="auto"/>
              <w:right w:val="single" w:sz="4" w:space="0" w:color="auto"/>
            </w:tcBorders>
            <w:noWrap/>
            <w:vAlign w:val="center"/>
            <w:hideMark/>
          </w:tcPr>
          <w:p w14:paraId="469EE747" w14:textId="098D1294" w:rsidR="1A53EF6A" w:rsidRPr="00687DE8" w:rsidRDefault="00E43D29">
            <w:pPr>
              <w:spacing w:after="0"/>
              <w:jc w:val="center"/>
              <w:rPr>
                <w:color w:val="000000" w:themeColor="text1"/>
                <w:szCs w:val="24"/>
              </w:rPr>
            </w:pPr>
            <w:r>
              <w:rPr>
                <w:color w:val="000000"/>
              </w:rPr>
              <w:t>52,68</w:t>
            </w:r>
          </w:p>
        </w:tc>
      </w:tr>
      <w:tr w:rsidR="003E0C8B" w:rsidRPr="00687DE8" w14:paraId="7C605E90"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28CEBDBA" w14:textId="77777777" w:rsidR="003E0C8B" w:rsidRPr="00687DE8" w:rsidRDefault="003E0C8B" w:rsidP="007122D9">
            <w:pPr>
              <w:spacing w:after="0" w:line="240" w:lineRule="auto"/>
              <w:rPr>
                <w:color w:val="000000"/>
                <w:szCs w:val="24"/>
                <w:lang w:eastAsia="et-EE"/>
              </w:rPr>
            </w:pPr>
            <w:r w:rsidRPr="00687DE8">
              <w:rPr>
                <w:color w:val="000000" w:themeColor="text1"/>
                <w:szCs w:val="24"/>
                <w:lang w:eastAsia="et-EE"/>
              </w:rPr>
              <w:t>Mitme juurega jäävhamba või piimahamba raskendatud eemaldamine*</w:t>
            </w:r>
          </w:p>
        </w:tc>
        <w:tc>
          <w:tcPr>
            <w:tcW w:w="1134" w:type="dxa"/>
            <w:tcBorders>
              <w:top w:val="nil"/>
              <w:left w:val="nil"/>
              <w:bottom w:val="single" w:sz="4" w:space="0" w:color="auto"/>
              <w:right w:val="single" w:sz="4" w:space="0" w:color="auto"/>
            </w:tcBorders>
            <w:noWrap/>
            <w:vAlign w:val="bottom"/>
            <w:hideMark/>
          </w:tcPr>
          <w:p w14:paraId="1E5142B8"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52451</w:t>
            </w:r>
          </w:p>
        </w:tc>
        <w:tc>
          <w:tcPr>
            <w:tcW w:w="2736" w:type="dxa"/>
            <w:tcBorders>
              <w:top w:val="nil"/>
              <w:left w:val="single" w:sz="4" w:space="0" w:color="auto"/>
              <w:bottom w:val="single" w:sz="4" w:space="0" w:color="auto"/>
              <w:right w:val="single" w:sz="4" w:space="0" w:color="auto"/>
            </w:tcBorders>
            <w:noWrap/>
            <w:vAlign w:val="center"/>
            <w:hideMark/>
          </w:tcPr>
          <w:p w14:paraId="4A9C2031" w14:textId="040E5B5C" w:rsidR="1A53EF6A" w:rsidRPr="00687DE8" w:rsidRDefault="00E43D29">
            <w:pPr>
              <w:spacing w:after="0"/>
              <w:jc w:val="center"/>
              <w:rPr>
                <w:color w:val="000000" w:themeColor="text1"/>
                <w:szCs w:val="24"/>
              </w:rPr>
            </w:pPr>
            <w:r>
              <w:rPr>
                <w:color w:val="000000"/>
              </w:rPr>
              <w:t>83,57</w:t>
            </w:r>
          </w:p>
        </w:tc>
      </w:tr>
      <w:tr w:rsidR="003E0C8B" w:rsidRPr="00687DE8" w14:paraId="1D44DD0F"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1818A9E2" w14:textId="77777777" w:rsidR="003E0C8B" w:rsidRPr="00687DE8" w:rsidRDefault="003E0C8B" w:rsidP="007122D9">
            <w:pPr>
              <w:spacing w:after="0" w:line="240" w:lineRule="auto"/>
              <w:rPr>
                <w:color w:val="000000"/>
                <w:szCs w:val="24"/>
                <w:lang w:eastAsia="et-EE"/>
              </w:rPr>
            </w:pPr>
            <w:r w:rsidRPr="00687DE8">
              <w:rPr>
                <w:color w:val="000000" w:themeColor="text1"/>
                <w:szCs w:val="24"/>
                <w:lang w:eastAsia="et-EE"/>
              </w:rPr>
              <w:t>Sügavalt murdunud jäävhamba või purunenud hamba eemaldamine*</w:t>
            </w:r>
          </w:p>
        </w:tc>
        <w:tc>
          <w:tcPr>
            <w:tcW w:w="1134" w:type="dxa"/>
            <w:tcBorders>
              <w:top w:val="nil"/>
              <w:left w:val="nil"/>
              <w:bottom w:val="single" w:sz="4" w:space="0" w:color="auto"/>
              <w:right w:val="single" w:sz="4" w:space="0" w:color="auto"/>
            </w:tcBorders>
            <w:noWrap/>
            <w:vAlign w:val="bottom"/>
            <w:hideMark/>
          </w:tcPr>
          <w:p w14:paraId="053A086A"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52452</w:t>
            </w:r>
          </w:p>
        </w:tc>
        <w:tc>
          <w:tcPr>
            <w:tcW w:w="2736" w:type="dxa"/>
            <w:tcBorders>
              <w:top w:val="nil"/>
              <w:left w:val="single" w:sz="4" w:space="0" w:color="auto"/>
              <w:bottom w:val="single" w:sz="4" w:space="0" w:color="auto"/>
              <w:right w:val="single" w:sz="4" w:space="0" w:color="auto"/>
            </w:tcBorders>
            <w:noWrap/>
            <w:vAlign w:val="center"/>
            <w:hideMark/>
          </w:tcPr>
          <w:p w14:paraId="45DBB797" w14:textId="35D3969D" w:rsidR="1A53EF6A" w:rsidRPr="00687DE8" w:rsidRDefault="00E43D29">
            <w:pPr>
              <w:spacing w:after="0"/>
              <w:jc w:val="center"/>
              <w:rPr>
                <w:color w:val="000000" w:themeColor="text1"/>
                <w:szCs w:val="24"/>
              </w:rPr>
            </w:pPr>
            <w:r>
              <w:rPr>
                <w:color w:val="000000"/>
              </w:rPr>
              <w:t>99,01</w:t>
            </w:r>
          </w:p>
        </w:tc>
      </w:tr>
      <w:tr w:rsidR="003E0C8B" w:rsidRPr="00687DE8" w14:paraId="3F05E155"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75E13CBF"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Hamba või implantaadi eemaldamine osteotoomiaga*</w:t>
            </w:r>
          </w:p>
        </w:tc>
        <w:tc>
          <w:tcPr>
            <w:tcW w:w="1134" w:type="dxa"/>
            <w:tcBorders>
              <w:top w:val="nil"/>
              <w:left w:val="nil"/>
              <w:bottom w:val="single" w:sz="4" w:space="0" w:color="auto"/>
              <w:right w:val="single" w:sz="4" w:space="0" w:color="auto"/>
            </w:tcBorders>
            <w:noWrap/>
            <w:vAlign w:val="bottom"/>
            <w:hideMark/>
          </w:tcPr>
          <w:p w14:paraId="5CE46358"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52453</w:t>
            </w:r>
          </w:p>
        </w:tc>
        <w:tc>
          <w:tcPr>
            <w:tcW w:w="2736" w:type="dxa"/>
            <w:tcBorders>
              <w:top w:val="nil"/>
              <w:left w:val="single" w:sz="4" w:space="0" w:color="auto"/>
              <w:bottom w:val="single" w:sz="4" w:space="0" w:color="auto"/>
              <w:right w:val="single" w:sz="4" w:space="0" w:color="auto"/>
            </w:tcBorders>
            <w:noWrap/>
            <w:vAlign w:val="center"/>
            <w:hideMark/>
          </w:tcPr>
          <w:p w14:paraId="4966F0E6" w14:textId="1145D5BC" w:rsidR="1A53EF6A" w:rsidRPr="00687DE8" w:rsidRDefault="00E43D29">
            <w:pPr>
              <w:spacing w:after="0"/>
              <w:jc w:val="center"/>
              <w:rPr>
                <w:color w:val="000000" w:themeColor="text1"/>
                <w:szCs w:val="24"/>
              </w:rPr>
            </w:pPr>
            <w:r>
              <w:rPr>
                <w:color w:val="000000"/>
              </w:rPr>
              <w:t>151,43</w:t>
            </w:r>
          </w:p>
        </w:tc>
      </w:tr>
      <w:tr w:rsidR="003E0C8B" w:rsidRPr="00687DE8" w14:paraId="747AEBFB"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5FA24122"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Väike kõva- ja pehmete kudede plastika</w:t>
            </w:r>
          </w:p>
        </w:tc>
        <w:tc>
          <w:tcPr>
            <w:tcW w:w="1134" w:type="dxa"/>
            <w:tcBorders>
              <w:top w:val="nil"/>
              <w:left w:val="nil"/>
              <w:bottom w:val="single" w:sz="4" w:space="0" w:color="auto"/>
              <w:right w:val="single" w:sz="4" w:space="0" w:color="auto"/>
            </w:tcBorders>
            <w:noWrap/>
            <w:vAlign w:val="bottom"/>
            <w:hideMark/>
          </w:tcPr>
          <w:p w14:paraId="6EA9AB96"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52454</w:t>
            </w:r>
          </w:p>
        </w:tc>
        <w:tc>
          <w:tcPr>
            <w:tcW w:w="2736" w:type="dxa"/>
            <w:tcBorders>
              <w:top w:val="nil"/>
              <w:left w:val="single" w:sz="4" w:space="0" w:color="auto"/>
              <w:bottom w:val="single" w:sz="4" w:space="0" w:color="auto"/>
              <w:right w:val="single" w:sz="4" w:space="0" w:color="auto"/>
            </w:tcBorders>
            <w:noWrap/>
            <w:vAlign w:val="center"/>
            <w:hideMark/>
          </w:tcPr>
          <w:p w14:paraId="2AAFBAA9" w14:textId="3F2558D3" w:rsidR="1A53EF6A" w:rsidRPr="00687DE8" w:rsidRDefault="00E43D29">
            <w:pPr>
              <w:spacing w:after="0"/>
              <w:jc w:val="center"/>
              <w:rPr>
                <w:color w:val="000000" w:themeColor="text1"/>
                <w:szCs w:val="24"/>
              </w:rPr>
            </w:pPr>
            <w:r>
              <w:rPr>
                <w:color w:val="000000"/>
              </w:rPr>
              <w:t>149,32</w:t>
            </w:r>
          </w:p>
        </w:tc>
      </w:tr>
      <w:tr w:rsidR="003E0C8B" w:rsidRPr="00687DE8" w14:paraId="5F1AE008"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2ABBEC5A"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Hamba kirurgiline vabastamine</w:t>
            </w:r>
          </w:p>
        </w:tc>
        <w:tc>
          <w:tcPr>
            <w:tcW w:w="1134" w:type="dxa"/>
            <w:tcBorders>
              <w:top w:val="nil"/>
              <w:left w:val="nil"/>
              <w:bottom w:val="single" w:sz="4" w:space="0" w:color="auto"/>
              <w:right w:val="single" w:sz="4" w:space="0" w:color="auto"/>
            </w:tcBorders>
            <w:noWrap/>
            <w:vAlign w:val="bottom"/>
            <w:hideMark/>
          </w:tcPr>
          <w:p w14:paraId="06670F64"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52455</w:t>
            </w:r>
          </w:p>
        </w:tc>
        <w:tc>
          <w:tcPr>
            <w:tcW w:w="2736" w:type="dxa"/>
            <w:tcBorders>
              <w:top w:val="nil"/>
              <w:left w:val="single" w:sz="4" w:space="0" w:color="auto"/>
              <w:bottom w:val="single" w:sz="4" w:space="0" w:color="auto"/>
              <w:right w:val="single" w:sz="4" w:space="0" w:color="auto"/>
            </w:tcBorders>
            <w:noWrap/>
            <w:vAlign w:val="center"/>
            <w:hideMark/>
          </w:tcPr>
          <w:p w14:paraId="34105154" w14:textId="16CD7417" w:rsidR="1A53EF6A" w:rsidRPr="00687DE8" w:rsidRDefault="00E43D29">
            <w:pPr>
              <w:spacing w:after="0"/>
              <w:jc w:val="center"/>
              <w:rPr>
                <w:color w:val="000000" w:themeColor="text1"/>
                <w:szCs w:val="24"/>
              </w:rPr>
            </w:pPr>
            <w:r>
              <w:rPr>
                <w:color w:val="000000"/>
              </w:rPr>
              <w:t>149,32</w:t>
            </w:r>
          </w:p>
        </w:tc>
      </w:tr>
      <w:tr w:rsidR="003E0C8B" w:rsidRPr="00687DE8" w14:paraId="26B8A124" w14:textId="77777777" w:rsidTr="00EB7A71">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251177C3"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Suu limaskesta lesiooni ekstsisioon ja plastiline korrektsioon</w:t>
            </w:r>
          </w:p>
        </w:tc>
        <w:tc>
          <w:tcPr>
            <w:tcW w:w="1134" w:type="dxa"/>
            <w:tcBorders>
              <w:top w:val="nil"/>
              <w:left w:val="nil"/>
              <w:bottom w:val="single" w:sz="4" w:space="0" w:color="auto"/>
              <w:right w:val="single" w:sz="4" w:space="0" w:color="auto"/>
            </w:tcBorders>
            <w:noWrap/>
            <w:vAlign w:val="bottom"/>
            <w:hideMark/>
          </w:tcPr>
          <w:p w14:paraId="2A2C3A0D"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52456</w:t>
            </w:r>
          </w:p>
        </w:tc>
        <w:tc>
          <w:tcPr>
            <w:tcW w:w="2736" w:type="dxa"/>
            <w:tcBorders>
              <w:top w:val="nil"/>
              <w:left w:val="single" w:sz="4" w:space="0" w:color="auto"/>
              <w:bottom w:val="single" w:sz="4" w:space="0" w:color="auto"/>
              <w:right w:val="single" w:sz="4" w:space="0" w:color="auto"/>
            </w:tcBorders>
            <w:noWrap/>
            <w:vAlign w:val="center"/>
            <w:hideMark/>
          </w:tcPr>
          <w:p w14:paraId="76F2AAD1" w14:textId="62EB5D3C" w:rsidR="1A53EF6A" w:rsidRPr="00687DE8" w:rsidRDefault="00E43D29">
            <w:pPr>
              <w:spacing w:after="0"/>
              <w:jc w:val="center"/>
              <w:rPr>
                <w:color w:val="000000" w:themeColor="text1"/>
                <w:szCs w:val="24"/>
              </w:rPr>
            </w:pPr>
            <w:r>
              <w:rPr>
                <w:color w:val="000000"/>
              </w:rPr>
              <w:t>139,76</w:t>
            </w:r>
          </w:p>
        </w:tc>
      </w:tr>
      <w:tr w:rsidR="003E0C8B" w:rsidRPr="00687DE8" w14:paraId="58B9A60C"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140A9AF4"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Mädakolde avamine ja ravimenetlused*</w:t>
            </w:r>
          </w:p>
        </w:tc>
        <w:tc>
          <w:tcPr>
            <w:tcW w:w="1134" w:type="dxa"/>
            <w:tcBorders>
              <w:top w:val="nil"/>
              <w:left w:val="nil"/>
              <w:bottom w:val="single" w:sz="4" w:space="0" w:color="auto"/>
              <w:right w:val="single" w:sz="4" w:space="0" w:color="auto"/>
            </w:tcBorders>
            <w:noWrap/>
            <w:vAlign w:val="bottom"/>
            <w:hideMark/>
          </w:tcPr>
          <w:p w14:paraId="75E730F1"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52457</w:t>
            </w:r>
          </w:p>
        </w:tc>
        <w:tc>
          <w:tcPr>
            <w:tcW w:w="2736" w:type="dxa"/>
            <w:tcBorders>
              <w:top w:val="nil"/>
              <w:left w:val="single" w:sz="4" w:space="0" w:color="auto"/>
              <w:bottom w:val="single" w:sz="4" w:space="0" w:color="auto"/>
              <w:right w:val="single" w:sz="4" w:space="0" w:color="auto"/>
            </w:tcBorders>
            <w:noWrap/>
            <w:vAlign w:val="center"/>
            <w:hideMark/>
          </w:tcPr>
          <w:p w14:paraId="592CBE2B" w14:textId="7A64C08D" w:rsidR="1A53EF6A" w:rsidRPr="00687DE8" w:rsidRDefault="00E43D29">
            <w:pPr>
              <w:spacing w:after="0"/>
              <w:jc w:val="center"/>
              <w:rPr>
                <w:color w:val="000000" w:themeColor="text1"/>
                <w:szCs w:val="24"/>
              </w:rPr>
            </w:pPr>
            <w:r>
              <w:rPr>
                <w:color w:val="000000"/>
              </w:rPr>
              <w:t>40,55</w:t>
            </w:r>
          </w:p>
        </w:tc>
      </w:tr>
      <w:tr w:rsidR="003E0C8B" w:rsidRPr="00687DE8" w14:paraId="6AFEBDE2"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6523FC10"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Kirurgilise sekkumisega järelkontroll</w:t>
            </w:r>
          </w:p>
        </w:tc>
        <w:tc>
          <w:tcPr>
            <w:tcW w:w="1134" w:type="dxa"/>
            <w:tcBorders>
              <w:top w:val="nil"/>
              <w:left w:val="nil"/>
              <w:bottom w:val="single" w:sz="4" w:space="0" w:color="auto"/>
              <w:right w:val="single" w:sz="4" w:space="0" w:color="auto"/>
            </w:tcBorders>
            <w:noWrap/>
            <w:vAlign w:val="bottom"/>
            <w:hideMark/>
          </w:tcPr>
          <w:p w14:paraId="3089EC9F"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52458</w:t>
            </w:r>
          </w:p>
        </w:tc>
        <w:tc>
          <w:tcPr>
            <w:tcW w:w="2736" w:type="dxa"/>
            <w:tcBorders>
              <w:top w:val="nil"/>
              <w:left w:val="single" w:sz="4" w:space="0" w:color="auto"/>
              <w:bottom w:val="single" w:sz="4" w:space="0" w:color="auto"/>
              <w:right w:val="single" w:sz="4" w:space="0" w:color="auto"/>
            </w:tcBorders>
            <w:noWrap/>
            <w:vAlign w:val="center"/>
            <w:hideMark/>
          </w:tcPr>
          <w:p w14:paraId="3BB4C8A7" w14:textId="063BE7CC" w:rsidR="1A53EF6A" w:rsidRPr="00687DE8" w:rsidRDefault="00E43D29">
            <w:pPr>
              <w:spacing w:after="0"/>
              <w:jc w:val="center"/>
              <w:rPr>
                <w:color w:val="000000" w:themeColor="text1"/>
                <w:szCs w:val="24"/>
              </w:rPr>
            </w:pPr>
            <w:r>
              <w:rPr>
                <w:color w:val="000000"/>
              </w:rPr>
              <w:t>25,19</w:t>
            </w:r>
          </w:p>
        </w:tc>
      </w:tr>
      <w:tr w:rsidR="003E0C8B" w:rsidRPr="00687DE8" w14:paraId="4C2CDF84"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49C78714"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Traumajärgse haava korrastamine</w:t>
            </w:r>
          </w:p>
        </w:tc>
        <w:tc>
          <w:tcPr>
            <w:tcW w:w="1134" w:type="dxa"/>
            <w:tcBorders>
              <w:top w:val="nil"/>
              <w:left w:val="nil"/>
              <w:bottom w:val="single" w:sz="4" w:space="0" w:color="auto"/>
              <w:right w:val="single" w:sz="4" w:space="0" w:color="auto"/>
            </w:tcBorders>
            <w:noWrap/>
            <w:vAlign w:val="bottom"/>
            <w:hideMark/>
          </w:tcPr>
          <w:p w14:paraId="0695ED66"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52459</w:t>
            </w:r>
          </w:p>
        </w:tc>
        <w:tc>
          <w:tcPr>
            <w:tcW w:w="2736" w:type="dxa"/>
            <w:tcBorders>
              <w:top w:val="nil"/>
              <w:left w:val="single" w:sz="4" w:space="0" w:color="auto"/>
              <w:bottom w:val="single" w:sz="4" w:space="0" w:color="auto"/>
              <w:right w:val="single" w:sz="4" w:space="0" w:color="auto"/>
            </w:tcBorders>
            <w:noWrap/>
            <w:vAlign w:val="center"/>
            <w:hideMark/>
          </w:tcPr>
          <w:p w14:paraId="37695907" w14:textId="43383947" w:rsidR="1A53EF6A" w:rsidRPr="00687DE8" w:rsidRDefault="00E43D29">
            <w:pPr>
              <w:spacing w:after="0"/>
              <w:jc w:val="center"/>
              <w:rPr>
                <w:color w:val="000000" w:themeColor="text1"/>
                <w:szCs w:val="24"/>
              </w:rPr>
            </w:pPr>
            <w:r>
              <w:rPr>
                <w:color w:val="000000"/>
              </w:rPr>
              <w:t>55,91</w:t>
            </w:r>
          </w:p>
        </w:tc>
      </w:tr>
      <w:tr w:rsidR="003E0C8B" w:rsidRPr="00687DE8" w14:paraId="3DE331E8"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7087A145"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Haava sulgemine õmblustega</w:t>
            </w:r>
          </w:p>
        </w:tc>
        <w:tc>
          <w:tcPr>
            <w:tcW w:w="1134" w:type="dxa"/>
            <w:tcBorders>
              <w:top w:val="nil"/>
              <w:left w:val="nil"/>
              <w:bottom w:val="single" w:sz="4" w:space="0" w:color="auto"/>
              <w:right w:val="single" w:sz="4" w:space="0" w:color="auto"/>
            </w:tcBorders>
            <w:noWrap/>
            <w:vAlign w:val="bottom"/>
            <w:hideMark/>
          </w:tcPr>
          <w:p w14:paraId="1E42B780"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52460</w:t>
            </w:r>
          </w:p>
        </w:tc>
        <w:tc>
          <w:tcPr>
            <w:tcW w:w="2736" w:type="dxa"/>
            <w:tcBorders>
              <w:top w:val="nil"/>
              <w:left w:val="single" w:sz="4" w:space="0" w:color="auto"/>
              <w:bottom w:val="single" w:sz="4" w:space="0" w:color="auto"/>
              <w:right w:val="single" w:sz="4" w:space="0" w:color="auto"/>
            </w:tcBorders>
            <w:noWrap/>
            <w:vAlign w:val="center"/>
            <w:hideMark/>
          </w:tcPr>
          <w:p w14:paraId="2CF6B4A1" w14:textId="5EFA2D29" w:rsidR="1A53EF6A" w:rsidRPr="00687DE8" w:rsidRDefault="00E43D29">
            <w:pPr>
              <w:spacing w:after="0"/>
              <w:jc w:val="center"/>
              <w:rPr>
                <w:color w:val="000000" w:themeColor="text1"/>
                <w:szCs w:val="24"/>
              </w:rPr>
            </w:pPr>
            <w:r>
              <w:rPr>
                <w:color w:val="000000"/>
              </w:rPr>
              <w:t>25,19</w:t>
            </w:r>
          </w:p>
        </w:tc>
      </w:tr>
      <w:tr w:rsidR="003E0C8B" w:rsidRPr="00687DE8" w14:paraId="420623DA"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4FFE64FA"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Alveolaarluu resektsioon</w:t>
            </w:r>
          </w:p>
        </w:tc>
        <w:tc>
          <w:tcPr>
            <w:tcW w:w="1134" w:type="dxa"/>
            <w:tcBorders>
              <w:top w:val="nil"/>
              <w:left w:val="nil"/>
              <w:bottom w:val="single" w:sz="4" w:space="0" w:color="auto"/>
              <w:right w:val="single" w:sz="4" w:space="0" w:color="auto"/>
            </w:tcBorders>
            <w:noWrap/>
            <w:vAlign w:val="bottom"/>
            <w:hideMark/>
          </w:tcPr>
          <w:p w14:paraId="6D74AC00"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52461</w:t>
            </w:r>
          </w:p>
        </w:tc>
        <w:tc>
          <w:tcPr>
            <w:tcW w:w="2736" w:type="dxa"/>
            <w:tcBorders>
              <w:top w:val="nil"/>
              <w:left w:val="single" w:sz="4" w:space="0" w:color="auto"/>
              <w:bottom w:val="single" w:sz="4" w:space="0" w:color="auto"/>
              <w:right w:val="single" w:sz="4" w:space="0" w:color="auto"/>
            </w:tcBorders>
            <w:noWrap/>
            <w:vAlign w:val="center"/>
            <w:hideMark/>
          </w:tcPr>
          <w:p w14:paraId="464707EB" w14:textId="3EA36BF7" w:rsidR="1A53EF6A" w:rsidRPr="00687DE8" w:rsidRDefault="00E43D29">
            <w:pPr>
              <w:spacing w:after="0"/>
              <w:jc w:val="center"/>
              <w:rPr>
                <w:color w:val="000000" w:themeColor="text1"/>
                <w:szCs w:val="24"/>
              </w:rPr>
            </w:pPr>
            <w:r>
              <w:rPr>
                <w:color w:val="000000"/>
              </w:rPr>
              <w:t>149,32</w:t>
            </w:r>
          </w:p>
        </w:tc>
      </w:tr>
      <w:tr w:rsidR="003E0C8B" w:rsidRPr="00687DE8" w14:paraId="77BF0759"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009A2EC7"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Alalõualuu liigesesse ravimi süstimine ja terapeutiline testimine</w:t>
            </w:r>
          </w:p>
        </w:tc>
        <w:tc>
          <w:tcPr>
            <w:tcW w:w="1134" w:type="dxa"/>
            <w:tcBorders>
              <w:top w:val="nil"/>
              <w:left w:val="nil"/>
              <w:bottom w:val="single" w:sz="4" w:space="0" w:color="auto"/>
              <w:right w:val="single" w:sz="4" w:space="0" w:color="auto"/>
            </w:tcBorders>
            <w:noWrap/>
            <w:vAlign w:val="bottom"/>
            <w:hideMark/>
          </w:tcPr>
          <w:p w14:paraId="36012DD5"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52462</w:t>
            </w:r>
          </w:p>
        </w:tc>
        <w:tc>
          <w:tcPr>
            <w:tcW w:w="2736" w:type="dxa"/>
            <w:tcBorders>
              <w:top w:val="nil"/>
              <w:left w:val="single" w:sz="4" w:space="0" w:color="auto"/>
              <w:bottom w:val="single" w:sz="4" w:space="0" w:color="auto"/>
              <w:right w:val="single" w:sz="4" w:space="0" w:color="auto"/>
            </w:tcBorders>
            <w:noWrap/>
            <w:vAlign w:val="center"/>
            <w:hideMark/>
          </w:tcPr>
          <w:p w14:paraId="6A08B1FD" w14:textId="1E71B60E" w:rsidR="1A53EF6A" w:rsidRPr="00687DE8" w:rsidRDefault="00E43D29">
            <w:pPr>
              <w:spacing w:after="0"/>
              <w:jc w:val="center"/>
              <w:rPr>
                <w:color w:val="000000" w:themeColor="text1"/>
                <w:szCs w:val="24"/>
              </w:rPr>
            </w:pPr>
            <w:r>
              <w:rPr>
                <w:color w:val="000000"/>
              </w:rPr>
              <w:t>64,14</w:t>
            </w:r>
          </w:p>
        </w:tc>
      </w:tr>
      <w:tr w:rsidR="003E0C8B" w:rsidRPr="00687DE8" w14:paraId="733152F8"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7689D4F2"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Biopsia pindmistest kudedest</w:t>
            </w:r>
          </w:p>
        </w:tc>
        <w:tc>
          <w:tcPr>
            <w:tcW w:w="1134" w:type="dxa"/>
            <w:tcBorders>
              <w:top w:val="nil"/>
              <w:left w:val="nil"/>
              <w:bottom w:val="single" w:sz="4" w:space="0" w:color="auto"/>
              <w:right w:val="single" w:sz="4" w:space="0" w:color="auto"/>
            </w:tcBorders>
            <w:noWrap/>
            <w:vAlign w:val="bottom"/>
            <w:hideMark/>
          </w:tcPr>
          <w:p w14:paraId="20BB2C3F"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52463</w:t>
            </w:r>
          </w:p>
        </w:tc>
        <w:tc>
          <w:tcPr>
            <w:tcW w:w="2736" w:type="dxa"/>
            <w:tcBorders>
              <w:top w:val="nil"/>
              <w:left w:val="single" w:sz="4" w:space="0" w:color="auto"/>
              <w:bottom w:val="single" w:sz="4" w:space="0" w:color="auto"/>
              <w:right w:val="single" w:sz="4" w:space="0" w:color="auto"/>
            </w:tcBorders>
            <w:noWrap/>
            <w:vAlign w:val="center"/>
            <w:hideMark/>
          </w:tcPr>
          <w:p w14:paraId="7A608DD0" w14:textId="0B61E9F7" w:rsidR="1A53EF6A" w:rsidRPr="00687DE8" w:rsidRDefault="00E43D29">
            <w:pPr>
              <w:spacing w:after="0"/>
              <w:jc w:val="center"/>
              <w:rPr>
                <w:color w:val="000000" w:themeColor="text1"/>
                <w:szCs w:val="24"/>
              </w:rPr>
            </w:pPr>
            <w:r>
              <w:rPr>
                <w:color w:val="000000"/>
              </w:rPr>
              <w:t>55,91</w:t>
            </w:r>
          </w:p>
        </w:tc>
      </w:tr>
      <w:tr w:rsidR="003E0C8B" w:rsidRPr="00687DE8" w14:paraId="44D0E684" w14:textId="77777777" w:rsidTr="001B10F9">
        <w:trPr>
          <w:divId w:val="1316184749"/>
          <w:trHeight w:val="624"/>
        </w:trPr>
        <w:tc>
          <w:tcPr>
            <w:tcW w:w="5130" w:type="dxa"/>
            <w:tcBorders>
              <w:top w:val="nil"/>
              <w:left w:val="single" w:sz="4" w:space="0" w:color="auto"/>
              <w:bottom w:val="single" w:sz="4" w:space="0" w:color="auto"/>
              <w:right w:val="single" w:sz="4" w:space="0" w:color="auto"/>
            </w:tcBorders>
            <w:vAlign w:val="bottom"/>
            <w:hideMark/>
          </w:tcPr>
          <w:p w14:paraId="4648F2A6"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Lõualuu regeneratiivne operatsioon nelja hamba ulatuses või periimplantiidi kirurgiline ravi</w:t>
            </w:r>
          </w:p>
        </w:tc>
        <w:tc>
          <w:tcPr>
            <w:tcW w:w="1134" w:type="dxa"/>
            <w:tcBorders>
              <w:top w:val="nil"/>
              <w:left w:val="nil"/>
              <w:bottom w:val="single" w:sz="4" w:space="0" w:color="auto"/>
              <w:right w:val="single" w:sz="4" w:space="0" w:color="auto"/>
            </w:tcBorders>
            <w:noWrap/>
            <w:vAlign w:val="bottom"/>
            <w:hideMark/>
          </w:tcPr>
          <w:p w14:paraId="77919C33"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52465</w:t>
            </w:r>
          </w:p>
        </w:tc>
        <w:tc>
          <w:tcPr>
            <w:tcW w:w="2736" w:type="dxa"/>
            <w:tcBorders>
              <w:top w:val="nil"/>
              <w:left w:val="single" w:sz="4" w:space="0" w:color="auto"/>
              <w:bottom w:val="single" w:sz="4" w:space="0" w:color="auto"/>
              <w:right w:val="single" w:sz="4" w:space="0" w:color="auto"/>
            </w:tcBorders>
            <w:noWrap/>
            <w:vAlign w:val="center"/>
            <w:hideMark/>
          </w:tcPr>
          <w:p w14:paraId="59E568D1" w14:textId="46596905" w:rsidR="1A53EF6A" w:rsidRPr="00687DE8" w:rsidRDefault="00E43D29">
            <w:pPr>
              <w:spacing w:after="0"/>
              <w:jc w:val="center"/>
              <w:rPr>
                <w:color w:val="000000" w:themeColor="text1"/>
                <w:szCs w:val="24"/>
              </w:rPr>
            </w:pPr>
            <w:r>
              <w:rPr>
                <w:color w:val="000000"/>
              </w:rPr>
              <w:t>149,19</w:t>
            </w:r>
          </w:p>
        </w:tc>
      </w:tr>
      <w:tr w:rsidR="003E0C8B" w:rsidRPr="00687DE8" w14:paraId="7B0B8F7C" w14:textId="77777777" w:rsidTr="001B10F9">
        <w:trPr>
          <w:divId w:val="1316184749"/>
          <w:trHeight w:val="312"/>
        </w:trPr>
        <w:tc>
          <w:tcPr>
            <w:tcW w:w="5130" w:type="dxa"/>
            <w:tcBorders>
              <w:top w:val="nil"/>
              <w:left w:val="single" w:sz="4" w:space="0" w:color="auto"/>
              <w:bottom w:val="single" w:sz="4" w:space="0" w:color="auto"/>
              <w:right w:val="single" w:sz="4" w:space="0" w:color="auto"/>
            </w:tcBorders>
            <w:vAlign w:val="bottom"/>
            <w:hideMark/>
          </w:tcPr>
          <w:p w14:paraId="1D2822D5"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Hamba transplantatsioon</w:t>
            </w:r>
          </w:p>
        </w:tc>
        <w:tc>
          <w:tcPr>
            <w:tcW w:w="1134" w:type="dxa"/>
            <w:tcBorders>
              <w:top w:val="nil"/>
              <w:left w:val="nil"/>
              <w:bottom w:val="single" w:sz="4" w:space="0" w:color="auto"/>
              <w:right w:val="single" w:sz="4" w:space="0" w:color="auto"/>
            </w:tcBorders>
            <w:noWrap/>
            <w:vAlign w:val="bottom"/>
            <w:hideMark/>
          </w:tcPr>
          <w:p w14:paraId="27CD06CB"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52466</w:t>
            </w:r>
          </w:p>
        </w:tc>
        <w:tc>
          <w:tcPr>
            <w:tcW w:w="2736" w:type="dxa"/>
            <w:tcBorders>
              <w:top w:val="nil"/>
              <w:left w:val="single" w:sz="4" w:space="0" w:color="auto"/>
              <w:bottom w:val="single" w:sz="4" w:space="0" w:color="auto"/>
              <w:right w:val="single" w:sz="4" w:space="0" w:color="auto"/>
            </w:tcBorders>
            <w:noWrap/>
            <w:vAlign w:val="center"/>
            <w:hideMark/>
          </w:tcPr>
          <w:p w14:paraId="4B4BD98F" w14:textId="6F1EB8CF" w:rsidR="1A53EF6A" w:rsidRPr="00687DE8" w:rsidRDefault="00E43D29">
            <w:pPr>
              <w:spacing w:after="0"/>
              <w:jc w:val="center"/>
              <w:rPr>
                <w:color w:val="000000" w:themeColor="text1"/>
                <w:szCs w:val="24"/>
              </w:rPr>
            </w:pPr>
            <w:r>
              <w:rPr>
                <w:color w:val="000000"/>
              </w:rPr>
              <w:t>815,58</w:t>
            </w:r>
          </w:p>
        </w:tc>
      </w:tr>
      <w:tr w:rsidR="003E0C8B" w:rsidRPr="00687DE8" w14:paraId="45769C9B" w14:textId="77777777" w:rsidTr="001B10F9">
        <w:trPr>
          <w:divId w:val="1316184749"/>
          <w:trHeight w:val="312"/>
        </w:trPr>
        <w:tc>
          <w:tcPr>
            <w:tcW w:w="5130" w:type="dxa"/>
            <w:tcBorders>
              <w:top w:val="single" w:sz="4" w:space="0" w:color="auto"/>
              <w:left w:val="single" w:sz="4" w:space="0" w:color="auto"/>
              <w:bottom w:val="single" w:sz="4" w:space="0" w:color="auto"/>
              <w:right w:val="single" w:sz="4" w:space="0" w:color="auto"/>
            </w:tcBorders>
            <w:vAlign w:val="bottom"/>
            <w:hideMark/>
          </w:tcPr>
          <w:p w14:paraId="058C75AC"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Kortitsisioon</w:t>
            </w:r>
          </w:p>
        </w:tc>
        <w:tc>
          <w:tcPr>
            <w:tcW w:w="1134" w:type="dxa"/>
            <w:tcBorders>
              <w:top w:val="single" w:sz="4" w:space="0" w:color="auto"/>
              <w:left w:val="nil"/>
              <w:bottom w:val="single" w:sz="4" w:space="0" w:color="auto"/>
              <w:right w:val="single" w:sz="4" w:space="0" w:color="auto"/>
            </w:tcBorders>
            <w:noWrap/>
            <w:vAlign w:val="bottom"/>
            <w:hideMark/>
          </w:tcPr>
          <w:p w14:paraId="788AF111"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52632</w:t>
            </w:r>
          </w:p>
        </w:tc>
        <w:tc>
          <w:tcPr>
            <w:tcW w:w="2736" w:type="dxa"/>
            <w:tcBorders>
              <w:top w:val="nil"/>
              <w:left w:val="single" w:sz="4" w:space="0" w:color="auto"/>
              <w:bottom w:val="single" w:sz="4" w:space="0" w:color="auto"/>
              <w:right w:val="single" w:sz="4" w:space="0" w:color="auto"/>
            </w:tcBorders>
            <w:noWrap/>
            <w:vAlign w:val="center"/>
            <w:hideMark/>
          </w:tcPr>
          <w:p w14:paraId="1C816BE8" w14:textId="08A4CECB" w:rsidR="1A53EF6A" w:rsidRPr="00687DE8" w:rsidRDefault="00E43D29">
            <w:pPr>
              <w:spacing w:after="0"/>
              <w:jc w:val="center"/>
              <w:rPr>
                <w:color w:val="000000" w:themeColor="text1"/>
                <w:szCs w:val="24"/>
              </w:rPr>
            </w:pPr>
            <w:r>
              <w:rPr>
                <w:color w:val="000000"/>
              </w:rPr>
              <w:t>384,18</w:t>
            </w:r>
          </w:p>
        </w:tc>
      </w:tr>
      <w:tr w:rsidR="003E0C8B" w:rsidRPr="00687DE8" w14:paraId="5DACE47D" w14:textId="77777777" w:rsidTr="001B10F9">
        <w:trPr>
          <w:divId w:val="1316184749"/>
          <w:trHeight w:val="312"/>
        </w:trPr>
        <w:tc>
          <w:tcPr>
            <w:tcW w:w="5130" w:type="dxa"/>
            <w:tcBorders>
              <w:top w:val="single" w:sz="4" w:space="0" w:color="auto"/>
              <w:left w:val="single" w:sz="4" w:space="0" w:color="auto"/>
              <w:bottom w:val="single" w:sz="4" w:space="0" w:color="auto"/>
              <w:right w:val="single" w:sz="4" w:space="0" w:color="auto"/>
            </w:tcBorders>
            <w:vAlign w:val="bottom"/>
            <w:hideMark/>
          </w:tcPr>
          <w:p w14:paraId="7262B761"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Ühe hamba eel- või järeltöötlus elemendi fikseerimisel või eemaldamisel</w:t>
            </w:r>
          </w:p>
        </w:tc>
        <w:tc>
          <w:tcPr>
            <w:tcW w:w="1134" w:type="dxa"/>
            <w:tcBorders>
              <w:top w:val="single" w:sz="4" w:space="0" w:color="auto"/>
              <w:left w:val="nil"/>
              <w:bottom w:val="single" w:sz="4" w:space="0" w:color="auto"/>
              <w:right w:val="single" w:sz="4" w:space="0" w:color="auto"/>
            </w:tcBorders>
            <w:noWrap/>
            <w:vAlign w:val="bottom"/>
            <w:hideMark/>
          </w:tcPr>
          <w:p w14:paraId="5021F29B"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52630</w:t>
            </w:r>
          </w:p>
        </w:tc>
        <w:tc>
          <w:tcPr>
            <w:tcW w:w="2736" w:type="dxa"/>
            <w:tcBorders>
              <w:top w:val="nil"/>
              <w:left w:val="single" w:sz="4" w:space="0" w:color="auto"/>
              <w:bottom w:val="single" w:sz="4" w:space="0" w:color="auto"/>
              <w:right w:val="single" w:sz="4" w:space="0" w:color="auto"/>
            </w:tcBorders>
            <w:noWrap/>
            <w:vAlign w:val="center"/>
            <w:hideMark/>
          </w:tcPr>
          <w:p w14:paraId="347D93B6" w14:textId="359E034F" w:rsidR="1A53EF6A" w:rsidRPr="00687DE8" w:rsidRDefault="00E43D29">
            <w:pPr>
              <w:spacing w:after="0"/>
              <w:jc w:val="center"/>
              <w:rPr>
                <w:color w:val="000000" w:themeColor="text1"/>
                <w:szCs w:val="24"/>
              </w:rPr>
            </w:pPr>
            <w:r>
              <w:rPr>
                <w:color w:val="000000"/>
              </w:rPr>
              <w:t>6,17</w:t>
            </w:r>
          </w:p>
        </w:tc>
      </w:tr>
      <w:tr w:rsidR="003E0C8B" w:rsidRPr="00687DE8" w14:paraId="5891E580" w14:textId="77777777" w:rsidTr="001B10F9">
        <w:trPr>
          <w:divId w:val="1316184749"/>
          <w:trHeight w:val="312"/>
        </w:trPr>
        <w:tc>
          <w:tcPr>
            <w:tcW w:w="5130" w:type="dxa"/>
            <w:tcBorders>
              <w:top w:val="single" w:sz="4" w:space="0" w:color="auto"/>
              <w:left w:val="single" w:sz="4" w:space="0" w:color="auto"/>
              <w:bottom w:val="single" w:sz="4" w:space="0" w:color="auto"/>
              <w:right w:val="single" w:sz="4" w:space="0" w:color="auto"/>
            </w:tcBorders>
            <w:vAlign w:val="bottom"/>
            <w:hideMark/>
          </w:tcPr>
          <w:p w14:paraId="4CC67370"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Võru koos kinnitamisega</w:t>
            </w:r>
          </w:p>
        </w:tc>
        <w:tc>
          <w:tcPr>
            <w:tcW w:w="1134" w:type="dxa"/>
            <w:tcBorders>
              <w:top w:val="single" w:sz="4" w:space="0" w:color="auto"/>
              <w:left w:val="nil"/>
              <w:bottom w:val="single" w:sz="4" w:space="0" w:color="auto"/>
              <w:right w:val="single" w:sz="4" w:space="0" w:color="auto"/>
            </w:tcBorders>
            <w:noWrap/>
            <w:vAlign w:val="bottom"/>
            <w:hideMark/>
          </w:tcPr>
          <w:p w14:paraId="74477C55"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52631</w:t>
            </w:r>
          </w:p>
        </w:tc>
        <w:tc>
          <w:tcPr>
            <w:tcW w:w="2736" w:type="dxa"/>
            <w:tcBorders>
              <w:top w:val="nil"/>
              <w:left w:val="single" w:sz="4" w:space="0" w:color="auto"/>
              <w:bottom w:val="single" w:sz="4" w:space="0" w:color="auto"/>
              <w:right w:val="single" w:sz="4" w:space="0" w:color="auto"/>
            </w:tcBorders>
            <w:noWrap/>
            <w:vAlign w:val="center"/>
            <w:hideMark/>
          </w:tcPr>
          <w:p w14:paraId="1A154527" w14:textId="09F1C512" w:rsidR="1A53EF6A" w:rsidRPr="00687DE8" w:rsidRDefault="00E43D29">
            <w:pPr>
              <w:spacing w:after="0"/>
              <w:jc w:val="center"/>
              <w:rPr>
                <w:color w:val="000000" w:themeColor="text1"/>
                <w:szCs w:val="24"/>
              </w:rPr>
            </w:pPr>
            <w:r>
              <w:rPr>
                <w:color w:val="000000"/>
              </w:rPr>
              <w:t>24,75</w:t>
            </w:r>
          </w:p>
        </w:tc>
      </w:tr>
      <w:tr w:rsidR="003E0C8B" w:rsidRPr="00687DE8" w14:paraId="2AF294C5" w14:textId="77777777" w:rsidTr="00EB7A71">
        <w:trPr>
          <w:divId w:val="1316184749"/>
          <w:trHeight w:val="312"/>
        </w:trPr>
        <w:tc>
          <w:tcPr>
            <w:tcW w:w="5130" w:type="dxa"/>
            <w:tcBorders>
              <w:top w:val="single" w:sz="4" w:space="0" w:color="auto"/>
              <w:left w:val="single" w:sz="4" w:space="0" w:color="auto"/>
              <w:bottom w:val="single" w:sz="4" w:space="0" w:color="auto"/>
              <w:right w:val="single" w:sz="4" w:space="0" w:color="auto"/>
            </w:tcBorders>
            <w:vAlign w:val="bottom"/>
            <w:hideMark/>
          </w:tcPr>
          <w:p w14:paraId="701E4613"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Elementide jootmine (üks jootekoht)</w:t>
            </w:r>
          </w:p>
        </w:tc>
        <w:tc>
          <w:tcPr>
            <w:tcW w:w="1134" w:type="dxa"/>
            <w:tcBorders>
              <w:top w:val="single" w:sz="4" w:space="0" w:color="auto"/>
              <w:left w:val="nil"/>
              <w:bottom w:val="single" w:sz="4" w:space="0" w:color="auto"/>
              <w:right w:val="single" w:sz="4" w:space="0" w:color="auto"/>
            </w:tcBorders>
            <w:noWrap/>
            <w:vAlign w:val="bottom"/>
            <w:hideMark/>
          </w:tcPr>
          <w:p w14:paraId="54733A4A"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52634</w:t>
            </w:r>
          </w:p>
        </w:tc>
        <w:tc>
          <w:tcPr>
            <w:tcW w:w="2736" w:type="dxa"/>
            <w:tcBorders>
              <w:top w:val="single" w:sz="4" w:space="0" w:color="auto"/>
              <w:left w:val="single" w:sz="4" w:space="0" w:color="auto"/>
              <w:bottom w:val="single" w:sz="4" w:space="0" w:color="auto"/>
              <w:right w:val="single" w:sz="4" w:space="0" w:color="auto"/>
            </w:tcBorders>
            <w:noWrap/>
            <w:vAlign w:val="center"/>
            <w:hideMark/>
          </w:tcPr>
          <w:p w14:paraId="639E8FB9" w14:textId="1B21EF13" w:rsidR="1A53EF6A" w:rsidRPr="00687DE8" w:rsidRDefault="002A4535" w:rsidP="00F56959">
            <w:pPr>
              <w:spacing w:after="0"/>
              <w:jc w:val="center"/>
              <w:rPr>
                <w:color w:val="000000" w:themeColor="text1"/>
                <w:szCs w:val="24"/>
              </w:rPr>
            </w:pPr>
            <w:r>
              <w:rPr>
                <w:color w:val="000000"/>
              </w:rPr>
              <w:t>16,37</w:t>
            </w:r>
          </w:p>
        </w:tc>
      </w:tr>
      <w:tr w:rsidR="003E0C8B" w:rsidRPr="00687DE8" w14:paraId="53058F8B" w14:textId="77777777" w:rsidTr="001B10F9">
        <w:trPr>
          <w:divId w:val="1316184749"/>
          <w:trHeight w:val="312"/>
        </w:trPr>
        <w:tc>
          <w:tcPr>
            <w:tcW w:w="5130" w:type="dxa"/>
            <w:tcBorders>
              <w:top w:val="single" w:sz="4" w:space="0" w:color="auto"/>
              <w:left w:val="single" w:sz="4" w:space="0" w:color="auto"/>
              <w:bottom w:val="single" w:sz="4" w:space="0" w:color="auto"/>
              <w:right w:val="single" w:sz="4" w:space="0" w:color="auto"/>
            </w:tcBorders>
            <w:vAlign w:val="bottom"/>
            <w:hideMark/>
          </w:tcPr>
          <w:p w14:paraId="37422475"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Suust mitte-eemaldatava aparaadi korrigeerimine</w:t>
            </w:r>
          </w:p>
        </w:tc>
        <w:tc>
          <w:tcPr>
            <w:tcW w:w="1134" w:type="dxa"/>
            <w:tcBorders>
              <w:top w:val="single" w:sz="4" w:space="0" w:color="auto"/>
              <w:left w:val="nil"/>
              <w:bottom w:val="single" w:sz="4" w:space="0" w:color="auto"/>
              <w:right w:val="single" w:sz="4" w:space="0" w:color="auto"/>
            </w:tcBorders>
            <w:noWrap/>
            <w:vAlign w:val="bottom"/>
            <w:hideMark/>
          </w:tcPr>
          <w:p w14:paraId="7F7D5CA4"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52638</w:t>
            </w:r>
          </w:p>
        </w:tc>
        <w:tc>
          <w:tcPr>
            <w:tcW w:w="2736" w:type="dxa"/>
            <w:tcBorders>
              <w:top w:val="nil"/>
              <w:left w:val="single" w:sz="4" w:space="0" w:color="auto"/>
              <w:bottom w:val="single" w:sz="4" w:space="0" w:color="auto"/>
              <w:right w:val="single" w:sz="4" w:space="0" w:color="auto"/>
            </w:tcBorders>
            <w:noWrap/>
            <w:vAlign w:val="center"/>
            <w:hideMark/>
          </w:tcPr>
          <w:p w14:paraId="35CB7708" w14:textId="7FDD73D4" w:rsidR="1A53EF6A" w:rsidRPr="00687DE8" w:rsidRDefault="002A4535" w:rsidP="00F56959">
            <w:pPr>
              <w:spacing w:after="0"/>
              <w:jc w:val="center"/>
              <w:rPr>
                <w:color w:val="000000" w:themeColor="text1"/>
                <w:szCs w:val="24"/>
              </w:rPr>
            </w:pPr>
            <w:r>
              <w:rPr>
                <w:color w:val="000000"/>
              </w:rPr>
              <w:t>33,05</w:t>
            </w:r>
          </w:p>
        </w:tc>
      </w:tr>
      <w:tr w:rsidR="003E0C8B" w:rsidRPr="00687DE8" w14:paraId="48C6793B" w14:textId="77777777" w:rsidTr="001B10F9">
        <w:trPr>
          <w:divId w:val="1316184749"/>
          <w:trHeight w:val="312"/>
        </w:trPr>
        <w:tc>
          <w:tcPr>
            <w:tcW w:w="5130" w:type="dxa"/>
            <w:tcBorders>
              <w:top w:val="single" w:sz="4" w:space="0" w:color="auto"/>
              <w:left w:val="single" w:sz="4" w:space="0" w:color="auto"/>
              <w:bottom w:val="single" w:sz="4" w:space="0" w:color="auto"/>
              <w:right w:val="single" w:sz="4" w:space="0" w:color="auto"/>
            </w:tcBorders>
            <w:vAlign w:val="bottom"/>
            <w:hideMark/>
          </w:tcPr>
          <w:p w14:paraId="1760B5A5" w14:textId="77777777" w:rsidR="003E0C8B" w:rsidRPr="00687DE8" w:rsidRDefault="003E0C8B" w:rsidP="007122D9">
            <w:pPr>
              <w:spacing w:after="0" w:line="240" w:lineRule="auto"/>
              <w:rPr>
                <w:color w:val="000000"/>
                <w:szCs w:val="24"/>
                <w:lang w:eastAsia="et-EE"/>
              </w:rPr>
            </w:pPr>
            <w:r w:rsidRPr="00687DE8">
              <w:rPr>
                <w:color w:val="000000"/>
                <w:szCs w:val="24"/>
                <w:lang w:eastAsia="et-EE"/>
              </w:rPr>
              <w:t>Separatsioonikummide asetamine</w:t>
            </w:r>
          </w:p>
        </w:tc>
        <w:tc>
          <w:tcPr>
            <w:tcW w:w="1134" w:type="dxa"/>
            <w:tcBorders>
              <w:top w:val="single" w:sz="4" w:space="0" w:color="auto"/>
              <w:left w:val="nil"/>
              <w:bottom w:val="single" w:sz="4" w:space="0" w:color="auto"/>
              <w:right w:val="single" w:sz="4" w:space="0" w:color="auto"/>
            </w:tcBorders>
            <w:noWrap/>
            <w:vAlign w:val="bottom"/>
            <w:hideMark/>
          </w:tcPr>
          <w:p w14:paraId="74252EDD" w14:textId="77777777" w:rsidR="003E0C8B" w:rsidRPr="00687DE8" w:rsidRDefault="003E0C8B" w:rsidP="007122D9">
            <w:pPr>
              <w:spacing w:after="0" w:line="240" w:lineRule="auto"/>
              <w:jc w:val="center"/>
              <w:rPr>
                <w:color w:val="000000"/>
                <w:szCs w:val="24"/>
                <w:lang w:eastAsia="et-EE"/>
              </w:rPr>
            </w:pPr>
            <w:r w:rsidRPr="00687DE8">
              <w:rPr>
                <w:color w:val="000000"/>
                <w:szCs w:val="24"/>
                <w:lang w:eastAsia="et-EE"/>
              </w:rPr>
              <w:t>52665</w:t>
            </w:r>
          </w:p>
        </w:tc>
        <w:tc>
          <w:tcPr>
            <w:tcW w:w="2736" w:type="dxa"/>
            <w:tcBorders>
              <w:top w:val="nil"/>
              <w:left w:val="single" w:sz="4" w:space="0" w:color="auto"/>
              <w:bottom w:val="single" w:sz="4" w:space="0" w:color="auto"/>
              <w:right w:val="single" w:sz="4" w:space="0" w:color="auto"/>
            </w:tcBorders>
            <w:noWrap/>
            <w:vAlign w:val="center"/>
            <w:hideMark/>
          </w:tcPr>
          <w:p w14:paraId="25E88E22" w14:textId="6DB19A9A" w:rsidR="1A53EF6A" w:rsidRPr="00687DE8" w:rsidRDefault="002A4535" w:rsidP="00F56959">
            <w:pPr>
              <w:spacing w:after="0"/>
              <w:jc w:val="center"/>
              <w:rPr>
                <w:color w:val="000000" w:themeColor="text1"/>
                <w:szCs w:val="24"/>
              </w:rPr>
            </w:pPr>
            <w:r>
              <w:rPr>
                <w:color w:val="000000"/>
              </w:rPr>
              <w:t>25,76</w:t>
            </w:r>
          </w:p>
        </w:tc>
      </w:tr>
      <w:tr w:rsidR="00FA140C" w:rsidRPr="00687DE8" w14:paraId="3126035A" w14:textId="77777777" w:rsidTr="001B10F9">
        <w:trPr>
          <w:divId w:val="1316184749"/>
          <w:trHeight w:val="312"/>
        </w:trPr>
        <w:tc>
          <w:tcPr>
            <w:tcW w:w="5130" w:type="dxa"/>
            <w:tcBorders>
              <w:top w:val="single" w:sz="4" w:space="0" w:color="auto"/>
              <w:left w:val="single" w:sz="4" w:space="0" w:color="auto"/>
              <w:bottom w:val="single" w:sz="4" w:space="0" w:color="auto"/>
              <w:right w:val="single" w:sz="4" w:space="0" w:color="auto"/>
            </w:tcBorders>
            <w:vAlign w:val="bottom"/>
          </w:tcPr>
          <w:p w14:paraId="66B723C8" w14:textId="4850085A" w:rsidR="00FA140C" w:rsidRPr="00687DE8" w:rsidRDefault="007D64FA" w:rsidP="007122D9">
            <w:pPr>
              <w:spacing w:after="0" w:line="240" w:lineRule="auto"/>
              <w:rPr>
                <w:color w:val="000000"/>
                <w:szCs w:val="24"/>
                <w:lang w:eastAsia="et-EE"/>
              </w:rPr>
            </w:pPr>
            <w:r w:rsidRPr="00687DE8">
              <w:rPr>
                <w:color w:val="000000"/>
                <w:szCs w:val="24"/>
                <w:lang w:eastAsia="et-EE"/>
              </w:rPr>
              <w:t>Orofatsiaalse müofunktsionaalse teraapia planeerimine (kestus 60 min)</w:t>
            </w:r>
          </w:p>
        </w:tc>
        <w:tc>
          <w:tcPr>
            <w:tcW w:w="1134" w:type="dxa"/>
            <w:tcBorders>
              <w:top w:val="single" w:sz="4" w:space="0" w:color="auto"/>
              <w:left w:val="nil"/>
              <w:bottom w:val="single" w:sz="4" w:space="0" w:color="auto"/>
              <w:right w:val="single" w:sz="4" w:space="0" w:color="auto"/>
            </w:tcBorders>
            <w:noWrap/>
            <w:vAlign w:val="bottom"/>
          </w:tcPr>
          <w:p w14:paraId="1AE4A047" w14:textId="74E715E2" w:rsidR="00FA140C" w:rsidRPr="00687DE8" w:rsidRDefault="0071063F" w:rsidP="007122D9">
            <w:pPr>
              <w:spacing w:after="0" w:line="240" w:lineRule="auto"/>
              <w:jc w:val="center"/>
              <w:rPr>
                <w:color w:val="000000"/>
                <w:szCs w:val="24"/>
                <w:lang w:eastAsia="et-EE"/>
              </w:rPr>
            </w:pPr>
            <w:r w:rsidRPr="00687DE8">
              <w:rPr>
                <w:color w:val="000000"/>
                <w:szCs w:val="24"/>
                <w:lang w:eastAsia="et-EE"/>
              </w:rPr>
              <w:t>52670</w:t>
            </w:r>
          </w:p>
        </w:tc>
        <w:tc>
          <w:tcPr>
            <w:tcW w:w="2736" w:type="dxa"/>
            <w:tcBorders>
              <w:top w:val="nil"/>
              <w:left w:val="single" w:sz="4" w:space="0" w:color="auto"/>
              <w:bottom w:val="single" w:sz="4" w:space="0" w:color="auto"/>
              <w:right w:val="single" w:sz="4" w:space="0" w:color="auto"/>
            </w:tcBorders>
            <w:noWrap/>
            <w:vAlign w:val="center"/>
          </w:tcPr>
          <w:p w14:paraId="4FE5777E" w14:textId="5184F942" w:rsidR="00FA140C" w:rsidRPr="00687DE8" w:rsidRDefault="002A4535" w:rsidP="00850023">
            <w:pPr>
              <w:tabs>
                <w:tab w:val="decimal" w:pos="635"/>
              </w:tabs>
              <w:spacing w:after="0" w:line="240" w:lineRule="auto"/>
              <w:jc w:val="center"/>
              <w:rPr>
                <w:szCs w:val="24"/>
              </w:rPr>
            </w:pPr>
            <w:r>
              <w:rPr>
                <w:color w:val="000000"/>
              </w:rPr>
              <w:t>57,06</w:t>
            </w:r>
          </w:p>
        </w:tc>
      </w:tr>
      <w:tr w:rsidR="00CC56CE" w:rsidRPr="00687DE8" w14:paraId="63750E0E" w14:textId="77777777" w:rsidTr="001B10F9">
        <w:trPr>
          <w:divId w:val="1316184749"/>
          <w:trHeight w:val="312"/>
        </w:trPr>
        <w:tc>
          <w:tcPr>
            <w:tcW w:w="5130" w:type="dxa"/>
            <w:tcBorders>
              <w:top w:val="single" w:sz="4" w:space="0" w:color="auto"/>
              <w:left w:val="single" w:sz="4" w:space="0" w:color="auto"/>
              <w:bottom w:val="single" w:sz="4" w:space="0" w:color="auto"/>
              <w:right w:val="single" w:sz="4" w:space="0" w:color="auto"/>
            </w:tcBorders>
            <w:vAlign w:val="bottom"/>
          </w:tcPr>
          <w:p w14:paraId="1CFE4989" w14:textId="70CF55F5" w:rsidR="00CC56CE" w:rsidRPr="00687DE8" w:rsidRDefault="00620E71" w:rsidP="007122D9">
            <w:pPr>
              <w:spacing w:after="0" w:line="240" w:lineRule="auto"/>
              <w:rPr>
                <w:color w:val="000000"/>
                <w:szCs w:val="24"/>
                <w:lang w:eastAsia="et-EE"/>
              </w:rPr>
            </w:pPr>
            <w:r w:rsidRPr="00687DE8">
              <w:rPr>
                <w:color w:val="000000"/>
                <w:szCs w:val="24"/>
                <w:lang w:eastAsia="et-EE"/>
              </w:rPr>
              <w:t>Orofatsiaalne müofunktsionaalne teraapia (kestus 60 min)</w:t>
            </w:r>
          </w:p>
        </w:tc>
        <w:tc>
          <w:tcPr>
            <w:tcW w:w="1134" w:type="dxa"/>
            <w:tcBorders>
              <w:top w:val="single" w:sz="4" w:space="0" w:color="auto"/>
              <w:left w:val="nil"/>
              <w:bottom w:val="single" w:sz="4" w:space="0" w:color="auto"/>
              <w:right w:val="single" w:sz="4" w:space="0" w:color="auto"/>
            </w:tcBorders>
            <w:noWrap/>
            <w:vAlign w:val="bottom"/>
          </w:tcPr>
          <w:p w14:paraId="6257D9CB" w14:textId="1AD80FAF" w:rsidR="00CC56CE" w:rsidRPr="00687DE8" w:rsidRDefault="00620E71" w:rsidP="007122D9">
            <w:pPr>
              <w:spacing w:after="0" w:line="240" w:lineRule="auto"/>
              <w:jc w:val="center"/>
              <w:rPr>
                <w:color w:val="000000"/>
                <w:szCs w:val="24"/>
                <w:lang w:eastAsia="et-EE"/>
              </w:rPr>
            </w:pPr>
            <w:r w:rsidRPr="00687DE8">
              <w:rPr>
                <w:color w:val="000000"/>
                <w:szCs w:val="24"/>
                <w:lang w:eastAsia="et-EE"/>
              </w:rPr>
              <w:t>52671</w:t>
            </w:r>
          </w:p>
        </w:tc>
        <w:tc>
          <w:tcPr>
            <w:tcW w:w="2736" w:type="dxa"/>
            <w:tcBorders>
              <w:top w:val="nil"/>
              <w:left w:val="single" w:sz="4" w:space="0" w:color="auto"/>
              <w:bottom w:val="single" w:sz="4" w:space="0" w:color="auto"/>
              <w:right w:val="single" w:sz="4" w:space="0" w:color="auto"/>
            </w:tcBorders>
            <w:noWrap/>
            <w:vAlign w:val="center"/>
          </w:tcPr>
          <w:p w14:paraId="5F4B3675" w14:textId="755B47CB" w:rsidR="00CC56CE" w:rsidRPr="00687DE8" w:rsidRDefault="002A4535" w:rsidP="00850023">
            <w:pPr>
              <w:tabs>
                <w:tab w:val="decimal" w:pos="635"/>
              </w:tabs>
              <w:spacing w:after="0" w:line="240" w:lineRule="auto"/>
              <w:jc w:val="center"/>
              <w:rPr>
                <w:szCs w:val="24"/>
              </w:rPr>
            </w:pPr>
            <w:r>
              <w:rPr>
                <w:color w:val="000000"/>
              </w:rPr>
              <w:t>41,21</w:t>
            </w:r>
          </w:p>
        </w:tc>
      </w:tr>
      <w:tr w:rsidR="00C70401" w:rsidRPr="00687DE8" w14:paraId="543CF79C" w14:textId="77777777" w:rsidTr="001B10F9">
        <w:trPr>
          <w:divId w:val="1316184749"/>
          <w:trHeight w:val="312"/>
        </w:trPr>
        <w:tc>
          <w:tcPr>
            <w:tcW w:w="5130" w:type="dxa"/>
            <w:tcBorders>
              <w:top w:val="single" w:sz="4" w:space="0" w:color="auto"/>
              <w:left w:val="single" w:sz="4" w:space="0" w:color="auto"/>
              <w:bottom w:val="single" w:sz="4" w:space="0" w:color="auto"/>
              <w:right w:val="single" w:sz="4" w:space="0" w:color="auto"/>
            </w:tcBorders>
            <w:vAlign w:val="bottom"/>
          </w:tcPr>
          <w:p w14:paraId="350E983D" w14:textId="7E10A579" w:rsidR="00C70401" w:rsidRPr="00687DE8" w:rsidRDefault="00A24639" w:rsidP="007122D9">
            <w:pPr>
              <w:spacing w:after="0" w:line="240" w:lineRule="auto"/>
              <w:rPr>
                <w:color w:val="000000"/>
                <w:szCs w:val="24"/>
                <w:lang w:eastAsia="et-EE"/>
              </w:rPr>
            </w:pPr>
            <w:r w:rsidRPr="00687DE8">
              <w:rPr>
                <w:color w:val="000000"/>
                <w:szCs w:val="24"/>
                <w:lang w:eastAsia="et-EE"/>
              </w:rPr>
              <w:lastRenderedPageBreak/>
              <w:t>Orofatsiaalse müofunktsionaalse teraapia kontrollvisiit (kestus 30 min)</w:t>
            </w:r>
          </w:p>
        </w:tc>
        <w:tc>
          <w:tcPr>
            <w:tcW w:w="1134" w:type="dxa"/>
            <w:tcBorders>
              <w:top w:val="single" w:sz="4" w:space="0" w:color="auto"/>
              <w:left w:val="nil"/>
              <w:bottom w:val="single" w:sz="4" w:space="0" w:color="auto"/>
              <w:right w:val="single" w:sz="4" w:space="0" w:color="auto"/>
            </w:tcBorders>
            <w:noWrap/>
            <w:vAlign w:val="bottom"/>
          </w:tcPr>
          <w:p w14:paraId="0BF31CD4" w14:textId="705232C1" w:rsidR="00C70401" w:rsidRPr="00687DE8" w:rsidRDefault="00A24639" w:rsidP="007122D9">
            <w:pPr>
              <w:spacing w:after="0" w:line="240" w:lineRule="auto"/>
              <w:jc w:val="center"/>
              <w:rPr>
                <w:color w:val="000000"/>
                <w:szCs w:val="24"/>
                <w:lang w:eastAsia="et-EE"/>
              </w:rPr>
            </w:pPr>
            <w:r w:rsidRPr="00687DE8">
              <w:rPr>
                <w:color w:val="000000"/>
                <w:szCs w:val="24"/>
                <w:lang w:eastAsia="et-EE"/>
              </w:rPr>
              <w:t>52</w:t>
            </w:r>
            <w:r w:rsidR="002B541F" w:rsidRPr="00687DE8">
              <w:rPr>
                <w:color w:val="000000"/>
                <w:szCs w:val="24"/>
                <w:lang w:eastAsia="et-EE"/>
              </w:rPr>
              <w:t>672</w:t>
            </w:r>
          </w:p>
        </w:tc>
        <w:tc>
          <w:tcPr>
            <w:tcW w:w="2736" w:type="dxa"/>
            <w:tcBorders>
              <w:top w:val="nil"/>
              <w:left w:val="single" w:sz="4" w:space="0" w:color="auto"/>
              <w:bottom w:val="single" w:sz="4" w:space="0" w:color="auto"/>
              <w:right w:val="single" w:sz="4" w:space="0" w:color="auto"/>
            </w:tcBorders>
            <w:noWrap/>
            <w:vAlign w:val="center"/>
          </w:tcPr>
          <w:p w14:paraId="08A59B21" w14:textId="49DE2963" w:rsidR="00C70401" w:rsidRPr="00687DE8" w:rsidRDefault="002A4535" w:rsidP="00850023">
            <w:pPr>
              <w:tabs>
                <w:tab w:val="decimal" w:pos="635"/>
              </w:tabs>
              <w:spacing w:after="0" w:line="240" w:lineRule="auto"/>
              <w:jc w:val="center"/>
              <w:rPr>
                <w:szCs w:val="24"/>
              </w:rPr>
            </w:pPr>
            <w:r>
              <w:rPr>
                <w:color w:val="000000"/>
              </w:rPr>
              <w:t>23,44</w:t>
            </w:r>
          </w:p>
        </w:tc>
      </w:tr>
    </w:tbl>
    <w:p w14:paraId="01259CE9" w14:textId="77777777" w:rsidR="00976487" w:rsidRPr="00687DE8" w:rsidRDefault="00976487" w:rsidP="00976487">
      <w:pPr>
        <w:spacing w:after="0" w:line="240" w:lineRule="auto"/>
        <w:divId w:val="1316184749"/>
        <w:rPr>
          <w:szCs w:val="24"/>
        </w:rPr>
      </w:pPr>
    </w:p>
    <w:p w14:paraId="1B014D45" w14:textId="77777777" w:rsidR="00976487" w:rsidRPr="00687DE8" w:rsidRDefault="00976487" w:rsidP="00976487">
      <w:pPr>
        <w:pStyle w:val="Loendilik"/>
        <w:spacing w:after="0" w:line="240" w:lineRule="auto"/>
        <w:ind w:left="0"/>
        <w:jc w:val="both"/>
        <w:divId w:val="1316184749"/>
        <w:rPr>
          <w:szCs w:val="24"/>
        </w:rPr>
      </w:pPr>
      <w:r w:rsidRPr="00687DE8">
        <w:rPr>
          <w:szCs w:val="24"/>
        </w:rPr>
        <w:t xml:space="preserve">(2) </w:t>
      </w:r>
      <w:r w:rsidR="00316FD8" w:rsidRPr="00687DE8">
        <w:rPr>
          <w:szCs w:val="24"/>
        </w:rPr>
        <w:t>L</w:t>
      </w:r>
      <w:r w:rsidRPr="00687DE8">
        <w:rPr>
          <w:szCs w:val="24"/>
        </w:rPr>
        <w:t>õikes 1 sätestatud ühe teenuse (</w:t>
      </w:r>
      <w:r w:rsidR="00DC4841" w:rsidRPr="00687DE8">
        <w:rPr>
          <w:szCs w:val="24"/>
        </w:rPr>
        <w:t>välja arvatud</w:t>
      </w:r>
      <w:r w:rsidRPr="00687DE8">
        <w:rPr>
          <w:szCs w:val="24"/>
        </w:rPr>
        <w:t xml:space="preserve"> kood 52467) piirhind sisaldab kulutusi järgmistele tegevustele:</w:t>
      </w:r>
    </w:p>
    <w:p w14:paraId="1BFE1381" w14:textId="77777777" w:rsidR="00976487" w:rsidRPr="00687DE8" w:rsidRDefault="00976487" w:rsidP="00976487">
      <w:pPr>
        <w:pStyle w:val="Loendilik"/>
        <w:spacing w:after="0" w:line="240" w:lineRule="auto"/>
        <w:ind w:left="0"/>
        <w:jc w:val="both"/>
        <w:divId w:val="1316184749"/>
        <w:rPr>
          <w:szCs w:val="24"/>
        </w:rPr>
      </w:pPr>
      <w:r w:rsidRPr="00687DE8">
        <w:rPr>
          <w:szCs w:val="24"/>
        </w:rPr>
        <w:t>1) vestlus haigega ning anamneesi kogumine ja talletamine;</w:t>
      </w:r>
    </w:p>
    <w:p w14:paraId="7D3F0D1F" w14:textId="77777777" w:rsidR="00976487" w:rsidRPr="00687DE8" w:rsidRDefault="00976487" w:rsidP="00976487">
      <w:pPr>
        <w:pStyle w:val="Loendilik"/>
        <w:spacing w:after="0" w:line="240" w:lineRule="auto"/>
        <w:ind w:left="0"/>
        <w:jc w:val="both"/>
        <w:divId w:val="1316184749"/>
        <w:rPr>
          <w:szCs w:val="24"/>
        </w:rPr>
      </w:pPr>
      <w:r w:rsidRPr="00687DE8">
        <w:rPr>
          <w:szCs w:val="24"/>
        </w:rPr>
        <w:t>2) haige uurimine, diagnostika staatuse märkimine, diagnoosi määramine, nõustamine</w:t>
      </w:r>
      <w:r w:rsidR="00C55255" w:rsidRPr="00687DE8">
        <w:rPr>
          <w:szCs w:val="24"/>
        </w:rPr>
        <w:t xml:space="preserve"> (sh ennetav)</w:t>
      </w:r>
      <w:r w:rsidRPr="00687DE8">
        <w:rPr>
          <w:szCs w:val="24"/>
        </w:rPr>
        <w:t>;</w:t>
      </w:r>
    </w:p>
    <w:p w14:paraId="76E74ADE" w14:textId="77777777" w:rsidR="00976487" w:rsidRPr="00687DE8" w:rsidRDefault="00976487" w:rsidP="00976487">
      <w:pPr>
        <w:pStyle w:val="Loendilik"/>
        <w:spacing w:after="0" w:line="240" w:lineRule="auto"/>
        <w:ind w:left="0"/>
        <w:jc w:val="both"/>
        <w:divId w:val="1316184749"/>
        <w:rPr>
          <w:szCs w:val="24"/>
        </w:rPr>
      </w:pPr>
      <w:r w:rsidRPr="00687DE8">
        <w:rPr>
          <w:szCs w:val="24"/>
        </w:rPr>
        <w:t>3) ravimite soovitamine ja retsepti väljakirjutamine;</w:t>
      </w:r>
    </w:p>
    <w:p w14:paraId="22301EC3" w14:textId="77777777" w:rsidR="00976487" w:rsidRPr="00687DE8" w:rsidRDefault="00976487" w:rsidP="00976487">
      <w:pPr>
        <w:pStyle w:val="Loendilik"/>
        <w:spacing w:after="0" w:line="240" w:lineRule="auto"/>
        <w:ind w:left="0"/>
        <w:jc w:val="both"/>
        <w:divId w:val="1316184749"/>
        <w:rPr>
          <w:szCs w:val="24"/>
        </w:rPr>
      </w:pPr>
      <w:r w:rsidRPr="00687DE8">
        <w:rPr>
          <w:szCs w:val="24"/>
        </w:rPr>
        <w:t>4) teenuste osutamist tõendavate dokumentide vormistamine ning patsiendile tervishoiuteenuse osutamisega seotud andmete töötlemine tervise infosüsteemis;</w:t>
      </w:r>
    </w:p>
    <w:p w14:paraId="2B18D8E9" w14:textId="77777777" w:rsidR="00976487" w:rsidRPr="00687DE8" w:rsidRDefault="00976487" w:rsidP="00976487">
      <w:pPr>
        <w:pStyle w:val="Loendilik"/>
        <w:spacing w:after="0" w:line="240" w:lineRule="auto"/>
        <w:ind w:left="0"/>
        <w:jc w:val="both"/>
        <w:divId w:val="1316184749"/>
        <w:rPr>
          <w:szCs w:val="24"/>
        </w:rPr>
      </w:pPr>
      <w:r w:rsidRPr="00687DE8">
        <w:rPr>
          <w:szCs w:val="24"/>
        </w:rPr>
        <w:t>5) lihtsamate raviprotseduuride tegemine;</w:t>
      </w:r>
    </w:p>
    <w:p w14:paraId="734633B7" w14:textId="77777777" w:rsidR="00976487" w:rsidRPr="00687DE8" w:rsidRDefault="00976487" w:rsidP="00976487">
      <w:pPr>
        <w:pStyle w:val="Loendilik"/>
        <w:spacing w:after="0" w:line="240" w:lineRule="auto"/>
        <w:ind w:left="0"/>
        <w:jc w:val="both"/>
        <w:divId w:val="1316184749"/>
        <w:rPr>
          <w:szCs w:val="24"/>
        </w:rPr>
      </w:pPr>
      <w:r w:rsidRPr="00687DE8">
        <w:rPr>
          <w:szCs w:val="24"/>
        </w:rPr>
        <w:t>6) muud külastuse käigus vajalikud tegevused, mis on otseselt seotud teenuste osutamisega.</w:t>
      </w:r>
    </w:p>
    <w:p w14:paraId="673AE1D9" w14:textId="77777777" w:rsidR="00976487" w:rsidRPr="00687DE8" w:rsidRDefault="00976487" w:rsidP="00976487">
      <w:pPr>
        <w:pStyle w:val="Loendilik"/>
        <w:spacing w:after="0" w:line="240" w:lineRule="auto"/>
        <w:ind w:left="0"/>
        <w:jc w:val="both"/>
        <w:divId w:val="1316184749"/>
        <w:rPr>
          <w:szCs w:val="24"/>
        </w:rPr>
      </w:pPr>
    </w:p>
    <w:p w14:paraId="58F73119" w14:textId="56AA11A6" w:rsidR="00976487" w:rsidRPr="00687DE8" w:rsidRDefault="00976487" w:rsidP="00976487">
      <w:pPr>
        <w:pStyle w:val="Default"/>
        <w:jc w:val="both"/>
        <w:divId w:val="1316184749"/>
      </w:pPr>
      <w:r w:rsidRPr="00687DE8">
        <w:rPr>
          <w:color w:val="auto"/>
        </w:rPr>
        <w:t xml:space="preserve">(3) Koodiga 52400 tähistatud tervishoiuteenust rakendatakse juhul, kui teisi lõikes 1 sätestatud teenuseid ei ole võimalik rakendada, </w:t>
      </w:r>
      <w:r w:rsidR="00DC4841" w:rsidRPr="00687DE8">
        <w:rPr>
          <w:color w:val="auto"/>
        </w:rPr>
        <w:t>välja arvatud</w:t>
      </w:r>
      <w:r w:rsidRPr="00687DE8">
        <w:rPr>
          <w:color w:val="auto"/>
        </w:rPr>
        <w:t xml:space="preserve"> juhtudel, kui külastuse käigus toimub lisaks radioloogilisele uuringule</w:t>
      </w:r>
      <w:r w:rsidR="001C76E8" w:rsidRPr="00687DE8">
        <w:rPr>
          <w:color w:val="auto"/>
        </w:rPr>
        <w:t xml:space="preserve"> ja</w:t>
      </w:r>
      <w:r w:rsidR="008910A3" w:rsidRPr="00687DE8">
        <w:rPr>
          <w:color w:val="auto"/>
        </w:rPr>
        <w:t>/või</w:t>
      </w:r>
      <w:r w:rsidR="001C76E8" w:rsidRPr="00687DE8">
        <w:rPr>
          <w:color w:val="auto"/>
        </w:rPr>
        <w:t xml:space="preserve"> fotostaatusele </w:t>
      </w:r>
      <w:r w:rsidR="1ED86A3E" w:rsidRPr="5AB44541">
        <w:rPr>
          <w:color w:val="auto"/>
        </w:rPr>
        <w:t>ja/või</w:t>
      </w:r>
      <w:r w:rsidR="001C76E8" w:rsidRPr="5AB44541">
        <w:rPr>
          <w:color w:val="auto"/>
        </w:rPr>
        <w:t xml:space="preserve"> </w:t>
      </w:r>
      <w:r w:rsidR="10F8752E" w:rsidRPr="5AB44541">
        <w:rPr>
          <w:color w:val="auto"/>
        </w:rPr>
        <w:t xml:space="preserve">kliinilistele ülesvõtetele </w:t>
      </w:r>
      <w:r w:rsidRPr="5AB44541">
        <w:rPr>
          <w:color w:val="auto"/>
        </w:rPr>
        <w:t>ka konsultatsioon</w:t>
      </w:r>
      <w:r w:rsidR="68321C46" w:rsidRPr="5AB44541">
        <w:rPr>
          <w:color w:val="auto"/>
        </w:rPr>
        <w:t xml:space="preserve"> või e-</w:t>
      </w:r>
      <w:r w:rsidRPr="00687DE8">
        <w:rPr>
          <w:color w:val="auto"/>
        </w:rPr>
        <w:t>konsultatsioon.</w:t>
      </w:r>
    </w:p>
    <w:p w14:paraId="1E23822C" w14:textId="77777777" w:rsidR="00976487" w:rsidRPr="00687DE8" w:rsidRDefault="00976487" w:rsidP="00976487">
      <w:pPr>
        <w:pStyle w:val="Loendilik"/>
        <w:spacing w:after="0" w:line="240" w:lineRule="auto"/>
        <w:ind w:left="0"/>
        <w:jc w:val="both"/>
        <w:divId w:val="1316184749"/>
        <w:rPr>
          <w:szCs w:val="24"/>
        </w:rPr>
      </w:pPr>
    </w:p>
    <w:p w14:paraId="53458FA6" w14:textId="77777777" w:rsidR="00976487" w:rsidRPr="00687DE8" w:rsidRDefault="00976487" w:rsidP="00976487">
      <w:pPr>
        <w:pStyle w:val="Loendilik"/>
        <w:spacing w:after="0" w:line="240" w:lineRule="auto"/>
        <w:ind w:left="0"/>
        <w:jc w:val="both"/>
        <w:divId w:val="1316184749"/>
        <w:rPr>
          <w:szCs w:val="24"/>
        </w:rPr>
      </w:pPr>
      <w:r w:rsidRPr="00687DE8">
        <w:rPr>
          <w:szCs w:val="24"/>
        </w:rPr>
        <w:t xml:space="preserve">(4) Koodiga 52467 tähistatud tervishoiuteenuse piirhind sisaldab kulutusi baaskandikutele, sterilisatsioonile ja jäätmekäitlusele. Teenuse piirhinda rakendatakse üks kord ühe külastuse kohta, </w:t>
      </w:r>
      <w:r w:rsidR="00DC4841" w:rsidRPr="00687DE8">
        <w:rPr>
          <w:szCs w:val="24"/>
        </w:rPr>
        <w:t>välja arvatud</w:t>
      </w:r>
      <w:r w:rsidRPr="00687DE8">
        <w:rPr>
          <w:szCs w:val="24"/>
        </w:rPr>
        <w:t xml:space="preserve"> juhtudel, kui rakendatakse koodiga </w:t>
      </w:r>
      <w:r w:rsidRPr="00687DE8">
        <w:rPr>
          <w:szCs w:val="24"/>
          <w:lang w:eastAsia="et-EE"/>
        </w:rPr>
        <w:t>52400</w:t>
      </w:r>
      <w:r w:rsidRPr="00687DE8">
        <w:rPr>
          <w:szCs w:val="24"/>
        </w:rPr>
        <w:t xml:space="preserve"> tähistatud tervishoiuteenust, </w:t>
      </w:r>
      <w:r w:rsidR="00DC4841" w:rsidRPr="00687DE8">
        <w:rPr>
          <w:szCs w:val="24"/>
        </w:rPr>
        <w:t>välja arvatud</w:t>
      </w:r>
      <w:r w:rsidRPr="00687DE8">
        <w:rPr>
          <w:szCs w:val="24"/>
        </w:rPr>
        <w:t xml:space="preserve"> juhtudel, kui külastuse käigus tehakse ainult radioloogilisi uuringuid</w:t>
      </w:r>
      <w:r w:rsidR="00FA2726" w:rsidRPr="00687DE8">
        <w:rPr>
          <w:szCs w:val="24"/>
        </w:rPr>
        <w:t>,</w:t>
      </w:r>
      <w:r w:rsidRPr="00687DE8">
        <w:rPr>
          <w:szCs w:val="24"/>
        </w:rPr>
        <w:t xml:space="preserve"> ning </w:t>
      </w:r>
      <w:r w:rsidR="00DC4841" w:rsidRPr="00687DE8">
        <w:rPr>
          <w:szCs w:val="24"/>
        </w:rPr>
        <w:t>välja arvatud</w:t>
      </w:r>
      <w:r w:rsidRPr="00687DE8">
        <w:rPr>
          <w:szCs w:val="24"/>
        </w:rPr>
        <w:t xml:space="preserve"> kirurgiateenuste puhul.</w:t>
      </w:r>
    </w:p>
    <w:p w14:paraId="2EA4BFF4" w14:textId="77777777" w:rsidR="00976487" w:rsidRPr="00687DE8" w:rsidRDefault="00976487" w:rsidP="00976487">
      <w:pPr>
        <w:pStyle w:val="Loendilik"/>
        <w:spacing w:after="0" w:line="240" w:lineRule="auto"/>
        <w:ind w:left="0"/>
        <w:jc w:val="both"/>
        <w:divId w:val="1316184749"/>
        <w:rPr>
          <w:szCs w:val="24"/>
        </w:rPr>
      </w:pPr>
    </w:p>
    <w:p w14:paraId="0164B5A8" w14:textId="77777777" w:rsidR="00976487" w:rsidRPr="00687DE8" w:rsidRDefault="00976487" w:rsidP="00976487">
      <w:pPr>
        <w:pStyle w:val="Loendilik"/>
        <w:spacing w:after="0" w:line="240" w:lineRule="auto"/>
        <w:ind w:left="0"/>
        <w:jc w:val="both"/>
        <w:divId w:val="1316184749"/>
        <w:rPr>
          <w:szCs w:val="24"/>
        </w:rPr>
      </w:pPr>
      <w:r w:rsidRPr="00687DE8">
        <w:rPr>
          <w:szCs w:val="24"/>
        </w:rPr>
        <w:t xml:space="preserve">(5) Koodidega </w:t>
      </w:r>
      <w:r w:rsidR="00E01341" w:rsidRPr="00687DE8">
        <w:rPr>
          <w:szCs w:val="24"/>
        </w:rPr>
        <w:t xml:space="preserve">52404, </w:t>
      </w:r>
      <w:r w:rsidRPr="00687DE8">
        <w:rPr>
          <w:szCs w:val="24"/>
        </w:rPr>
        <w:t>52405, 52406 ja 52407 tähistatud tervishoiuteenuste piirhinnad sisaldavad järgmisi tegevusi: uuringu tegemine ja tulemuse kirjeldamine ravidokumendis</w:t>
      </w:r>
      <w:r w:rsidR="0087323E" w:rsidRPr="00687DE8">
        <w:rPr>
          <w:szCs w:val="24"/>
        </w:rPr>
        <w:t xml:space="preserve"> ning nende puhul on tagatud piltide arhiveerimi</w:t>
      </w:r>
      <w:r w:rsidR="00D94406" w:rsidRPr="00687DE8">
        <w:rPr>
          <w:szCs w:val="24"/>
        </w:rPr>
        <w:t>n</w:t>
      </w:r>
      <w:r w:rsidR="0087323E" w:rsidRPr="00687DE8">
        <w:rPr>
          <w:szCs w:val="24"/>
        </w:rPr>
        <w:t>e</w:t>
      </w:r>
      <w:r w:rsidR="002B54B7" w:rsidRPr="00687DE8">
        <w:rPr>
          <w:szCs w:val="24"/>
        </w:rPr>
        <w:t xml:space="preserve"> </w:t>
      </w:r>
      <w:r w:rsidR="0087323E" w:rsidRPr="00687DE8">
        <w:rPr>
          <w:szCs w:val="24"/>
        </w:rPr>
        <w:t>Sihtasutuses Eesti Tervishoiu Pildipank.</w:t>
      </w:r>
    </w:p>
    <w:p w14:paraId="0F99A27C" w14:textId="77777777" w:rsidR="00976487" w:rsidRPr="00687DE8" w:rsidRDefault="00976487" w:rsidP="00976487">
      <w:pPr>
        <w:pStyle w:val="Loendilik"/>
        <w:spacing w:after="0" w:line="240" w:lineRule="auto"/>
        <w:ind w:left="0"/>
        <w:jc w:val="both"/>
        <w:divId w:val="1316184749"/>
        <w:rPr>
          <w:szCs w:val="24"/>
        </w:rPr>
      </w:pPr>
    </w:p>
    <w:p w14:paraId="13FB2839" w14:textId="77777777" w:rsidR="00976487" w:rsidRPr="00687DE8" w:rsidRDefault="00976487" w:rsidP="00976487">
      <w:pPr>
        <w:pStyle w:val="Loendilik"/>
        <w:spacing w:after="0" w:line="240" w:lineRule="auto"/>
        <w:ind w:left="0"/>
        <w:jc w:val="both"/>
        <w:divId w:val="1316184749"/>
        <w:rPr>
          <w:szCs w:val="24"/>
        </w:rPr>
      </w:pPr>
      <w:r w:rsidRPr="00687DE8">
        <w:rPr>
          <w:szCs w:val="24"/>
        </w:rPr>
        <w:t xml:space="preserve">(6) Koodidega 52417, 52418, 52419 ja 52420 tähistatud tervishoiuteenuseid rakendatakse üks kord kaviteedi kohta. </w:t>
      </w:r>
    </w:p>
    <w:p w14:paraId="2542C207" w14:textId="77777777" w:rsidR="00976487" w:rsidRPr="00687DE8" w:rsidRDefault="00976487" w:rsidP="00976487">
      <w:pPr>
        <w:pStyle w:val="Loendilik"/>
        <w:spacing w:after="0" w:line="240" w:lineRule="auto"/>
        <w:ind w:left="0"/>
        <w:jc w:val="both"/>
        <w:divId w:val="1316184749"/>
        <w:rPr>
          <w:szCs w:val="24"/>
        </w:rPr>
      </w:pPr>
    </w:p>
    <w:p w14:paraId="0D1A41ED" w14:textId="77777777" w:rsidR="00976487" w:rsidRPr="00687DE8" w:rsidRDefault="00976487" w:rsidP="00976487">
      <w:pPr>
        <w:pStyle w:val="Loendilik"/>
        <w:spacing w:after="0" w:line="240" w:lineRule="auto"/>
        <w:ind w:left="0"/>
        <w:jc w:val="both"/>
        <w:divId w:val="1316184749"/>
        <w:rPr>
          <w:szCs w:val="24"/>
        </w:rPr>
      </w:pPr>
      <w:r w:rsidRPr="00687DE8">
        <w:rPr>
          <w:szCs w:val="24"/>
        </w:rPr>
        <w:t>(7) Koodidega 52417, 52418, 52419 ja 52420 tähistatud tervishoiuteenused sisaldavad kõiki täidise asetamisega seotud kulusid.</w:t>
      </w:r>
    </w:p>
    <w:p w14:paraId="435FE5D8" w14:textId="77777777" w:rsidR="00976487" w:rsidRPr="00687DE8" w:rsidRDefault="00976487" w:rsidP="00976487">
      <w:pPr>
        <w:spacing w:after="0" w:line="240" w:lineRule="auto"/>
        <w:jc w:val="both"/>
        <w:divId w:val="1316184749"/>
        <w:rPr>
          <w:szCs w:val="24"/>
        </w:rPr>
      </w:pPr>
    </w:p>
    <w:p w14:paraId="51016F44" w14:textId="77777777" w:rsidR="00976487" w:rsidRPr="00687DE8" w:rsidRDefault="00976487" w:rsidP="00976487">
      <w:pPr>
        <w:spacing w:after="0" w:line="240" w:lineRule="auto"/>
        <w:jc w:val="both"/>
        <w:divId w:val="1316184749"/>
        <w:rPr>
          <w:szCs w:val="24"/>
        </w:rPr>
      </w:pPr>
      <w:r w:rsidRPr="00687DE8">
        <w:rPr>
          <w:szCs w:val="24"/>
        </w:rPr>
        <w:t>(8) Koodiga 52426 tähistatud tervishoiuteenus sisaldab akrüülmonomeeriga tugevdatud tsinkoksiideugenooli-baasil ajutise täidismaterjali (IRM) kulusid.</w:t>
      </w:r>
    </w:p>
    <w:p w14:paraId="3F165321" w14:textId="77777777" w:rsidR="00976487" w:rsidRPr="00687DE8" w:rsidRDefault="00976487" w:rsidP="00976487">
      <w:pPr>
        <w:pStyle w:val="Loendilik"/>
        <w:spacing w:after="0" w:line="240" w:lineRule="auto"/>
        <w:ind w:left="0"/>
        <w:jc w:val="both"/>
        <w:divId w:val="1316184749"/>
        <w:rPr>
          <w:szCs w:val="24"/>
        </w:rPr>
      </w:pPr>
    </w:p>
    <w:p w14:paraId="567FE125" w14:textId="77777777" w:rsidR="00976487" w:rsidRPr="00687DE8" w:rsidRDefault="00976487" w:rsidP="00976487">
      <w:pPr>
        <w:pStyle w:val="Loendilik"/>
        <w:spacing w:after="0" w:line="240" w:lineRule="auto"/>
        <w:ind w:left="0"/>
        <w:jc w:val="both"/>
        <w:divId w:val="1316184749"/>
        <w:rPr>
          <w:szCs w:val="24"/>
        </w:rPr>
      </w:pPr>
      <w:r w:rsidRPr="00687DE8">
        <w:rPr>
          <w:szCs w:val="24"/>
        </w:rPr>
        <w:t>(9) Koodiga 52428 tähistatud tervishoiuteenus sisaldab ajutise täidise maksumust.</w:t>
      </w:r>
    </w:p>
    <w:p w14:paraId="02ED1F36" w14:textId="77777777" w:rsidR="00976487" w:rsidRPr="00687DE8" w:rsidRDefault="00976487" w:rsidP="00976487">
      <w:pPr>
        <w:pStyle w:val="Loendilik"/>
        <w:spacing w:after="0" w:line="240" w:lineRule="auto"/>
        <w:ind w:left="0"/>
        <w:jc w:val="both"/>
        <w:divId w:val="1316184749"/>
        <w:rPr>
          <w:szCs w:val="24"/>
        </w:rPr>
      </w:pPr>
    </w:p>
    <w:p w14:paraId="5DD31B21" w14:textId="77777777" w:rsidR="00976487" w:rsidRPr="00687DE8" w:rsidRDefault="00976487" w:rsidP="00976487">
      <w:pPr>
        <w:pStyle w:val="Loendilik"/>
        <w:spacing w:after="0" w:line="240" w:lineRule="auto"/>
        <w:ind w:left="0"/>
        <w:jc w:val="both"/>
        <w:divId w:val="1316184749"/>
        <w:rPr>
          <w:szCs w:val="24"/>
        </w:rPr>
      </w:pPr>
      <w:r w:rsidRPr="00687DE8">
        <w:rPr>
          <w:szCs w:val="24"/>
        </w:rPr>
        <w:t>(10) Koodiga 52437 tähistatud tervishoiuteenus sisaldab juurekanali avamist ja instrumentaalset laiendamist.</w:t>
      </w:r>
    </w:p>
    <w:p w14:paraId="06C4A9E5" w14:textId="77777777" w:rsidR="00976487" w:rsidRPr="00687DE8" w:rsidRDefault="00976487" w:rsidP="00976487">
      <w:pPr>
        <w:shd w:val="clear" w:color="auto" w:fill="FFFFFF"/>
        <w:spacing w:after="0" w:line="240" w:lineRule="auto"/>
        <w:divId w:val="1316184749"/>
        <w:rPr>
          <w:szCs w:val="24"/>
          <w:lang w:val="sv-SE" w:eastAsia="et-EE"/>
        </w:rPr>
      </w:pPr>
    </w:p>
    <w:p w14:paraId="41B665B2" w14:textId="77777777" w:rsidR="00976487" w:rsidRPr="00687DE8" w:rsidRDefault="00976487" w:rsidP="3CE8B1EC">
      <w:pPr>
        <w:shd w:val="clear" w:color="auto" w:fill="FFFFFF" w:themeFill="background1"/>
        <w:spacing w:after="0" w:line="240" w:lineRule="auto"/>
        <w:jc w:val="both"/>
        <w:divId w:val="1316184749"/>
        <w:rPr>
          <w:szCs w:val="24"/>
          <w:lang w:eastAsia="et-EE"/>
        </w:rPr>
      </w:pPr>
      <w:r w:rsidRPr="00687DE8">
        <w:rPr>
          <w:szCs w:val="24"/>
          <w:lang w:eastAsia="et-EE"/>
        </w:rPr>
        <w:t>(11) Koodiga 52463 tähistatud tervishoiuteenust rakendatakse meditsiinilisel näidustusel koos §</w:t>
      </w:r>
      <w:r w:rsidR="002D5E53" w:rsidRPr="00687DE8">
        <w:rPr>
          <w:szCs w:val="24"/>
          <w:lang w:eastAsia="et-EE"/>
        </w:rPr>
        <w:t>-s </w:t>
      </w:r>
      <w:r w:rsidRPr="00687DE8">
        <w:rPr>
          <w:szCs w:val="24"/>
          <w:lang w:eastAsia="et-EE"/>
        </w:rPr>
        <w:t>7</w:t>
      </w:r>
      <w:r w:rsidR="007E25C0" w:rsidRPr="00687DE8">
        <w:rPr>
          <w:szCs w:val="24"/>
          <w:lang w:eastAsia="et-EE"/>
        </w:rPr>
        <w:t>1</w:t>
      </w:r>
      <w:r w:rsidRPr="00687DE8">
        <w:rPr>
          <w:szCs w:val="24"/>
          <w:lang w:eastAsia="et-EE"/>
        </w:rPr>
        <w:t xml:space="preserve"> ja § 7</w:t>
      </w:r>
      <w:r w:rsidR="2B9EAD20" w:rsidRPr="00687DE8">
        <w:rPr>
          <w:szCs w:val="24"/>
          <w:lang w:eastAsia="et-EE"/>
        </w:rPr>
        <w:t>4</w:t>
      </w:r>
      <w:r w:rsidRPr="00687DE8">
        <w:rPr>
          <w:szCs w:val="24"/>
          <w:lang w:eastAsia="et-EE"/>
        </w:rPr>
        <w:t xml:space="preserve"> lõikes 1 nimetatud tervishoiuteenustega. </w:t>
      </w:r>
    </w:p>
    <w:p w14:paraId="0D683DA7" w14:textId="77777777" w:rsidR="00976487" w:rsidRPr="00687DE8" w:rsidRDefault="00976487" w:rsidP="00976487">
      <w:pPr>
        <w:pStyle w:val="Loendilik"/>
        <w:spacing w:after="0" w:line="240" w:lineRule="auto"/>
        <w:ind w:left="0"/>
        <w:jc w:val="both"/>
        <w:divId w:val="1316184749"/>
        <w:rPr>
          <w:szCs w:val="24"/>
        </w:rPr>
      </w:pPr>
    </w:p>
    <w:p w14:paraId="7311D6ED" w14:textId="5A5C95D1" w:rsidR="00976487" w:rsidRPr="00687DE8" w:rsidRDefault="00976487" w:rsidP="00976487">
      <w:pPr>
        <w:pStyle w:val="Loendilik"/>
        <w:spacing w:after="0" w:line="240" w:lineRule="auto"/>
        <w:ind w:left="0"/>
        <w:jc w:val="both"/>
        <w:divId w:val="1316184749"/>
        <w:rPr>
          <w:szCs w:val="24"/>
        </w:rPr>
      </w:pPr>
      <w:r w:rsidRPr="00687DE8">
        <w:rPr>
          <w:szCs w:val="24"/>
        </w:rPr>
        <w:t xml:space="preserve">(12) </w:t>
      </w:r>
      <w:r w:rsidR="00541E15" w:rsidRPr="00687DE8">
        <w:rPr>
          <w:szCs w:val="24"/>
        </w:rPr>
        <w:t>L</w:t>
      </w:r>
      <w:r w:rsidRPr="00687DE8">
        <w:rPr>
          <w:szCs w:val="24"/>
        </w:rPr>
        <w:t xml:space="preserve">õikes 1 loetletud hambaraviteenuste eest (välja arvatud koodidega </w:t>
      </w:r>
      <w:r w:rsidRPr="00687DE8">
        <w:rPr>
          <w:color w:val="000000" w:themeColor="text1"/>
          <w:szCs w:val="24"/>
          <w:lang w:eastAsia="et-EE"/>
        </w:rPr>
        <w:t xml:space="preserve">52405, 52406, 52407, 52413 ja 52414 </w:t>
      </w:r>
      <w:r w:rsidRPr="00687DE8">
        <w:rPr>
          <w:szCs w:val="24"/>
        </w:rPr>
        <w:t xml:space="preserve">tähistatud teenused) võtab </w:t>
      </w:r>
      <w:r w:rsidR="005023FD" w:rsidRPr="00687DE8">
        <w:rPr>
          <w:szCs w:val="24"/>
        </w:rPr>
        <w:t>Tervisekassa</w:t>
      </w:r>
      <w:r w:rsidRPr="00687DE8">
        <w:rPr>
          <w:szCs w:val="24"/>
        </w:rPr>
        <w:t xml:space="preserve"> tasu maksmise kohustuse üle ravikindlustuse seaduse §-s 33 nimetatud juhtudel.</w:t>
      </w:r>
    </w:p>
    <w:p w14:paraId="0E6F4932" w14:textId="77777777" w:rsidR="00976487" w:rsidRPr="00687DE8" w:rsidRDefault="00976487" w:rsidP="00976487">
      <w:pPr>
        <w:pStyle w:val="Loendilik"/>
        <w:spacing w:after="0" w:line="240" w:lineRule="auto"/>
        <w:ind w:left="0"/>
        <w:jc w:val="both"/>
        <w:divId w:val="1316184749"/>
        <w:rPr>
          <w:szCs w:val="24"/>
        </w:rPr>
      </w:pPr>
    </w:p>
    <w:p w14:paraId="5E57C9D2" w14:textId="7A152104" w:rsidR="00976487" w:rsidRPr="00687DE8" w:rsidRDefault="00976487" w:rsidP="00976487">
      <w:pPr>
        <w:spacing w:after="0" w:line="240" w:lineRule="auto"/>
        <w:jc w:val="both"/>
        <w:divId w:val="1316184749"/>
        <w:rPr>
          <w:szCs w:val="24"/>
        </w:rPr>
      </w:pPr>
      <w:r w:rsidRPr="00687DE8">
        <w:rPr>
          <w:szCs w:val="24"/>
          <w:lang w:eastAsia="et-EE"/>
        </w:rPr>
        <w:t xml:space="preserve">(13) </w:t>
      </w:r>
      <w:r w:rsidR="00541E15" w:rsidRPr="00687DE8">
        <w:rPr>
          <w:szCs w:val="24"/>
          <w:lang w:eastAsia="et-EE"/>
        </w:rPr>
        <w:t>L</w:t>
      </w:r>
      <w:r w:rsidRPr="00687DE8">
        <w:rPr>
          <w:szCs w:val="24"/>
        </w:rPr>
        <w:t xml:space="preserve">õikes 1 tärniga (*) tähistatud hambaraviteenuse eest võtab </w:t>
      </w:r>
      <w:r w:rsidR="005023FD" w:rsidRPr="00687DE8">
        <w:rPr>
          <w:szCs w:val="24"/>
        </w:rPr>
        <w:t>Tervisekassa</w:t>
      </w:r>
      <w:r w:rsidRPr="00687DE8">
        <w:rPr>
          <w:szCs w:val="24"/>
        </w:rPr>
        <w:t xml:space="preserve"> ravikindlustuse seaduse § 29 lõike 2 ja § 33</w:t>
      </w:r>
      <w:r w:rsidRPr="00687DE8">
        <w:rPr>
          <w:szCs w:val="24"/>
          <w:vertAlign w:val="superscript"/>
        </w:rPr>
        <w:t>1</w:t>
      </w:r>
      <w:r w:rsidRPr="00687DE8">
        <w:rPr>
          <w:szCs w:val="24"/>
        </w:rPr>
        <w:t xml:space="preserve"> alusel vähemalt 19-aastaselt kindlustatud isikult üle tasu maksmise kohustuse kuni </w:t>
      </w:r>
      <w:r w:rsidR="00E3520D" w:rsidRPr="00687DE8">
        <w:rPr>
          <w:szCs w:val="24"/>
        </w:rPr>
        <w:t>60</w:t>
      </w:r>
      <w:r w:rsidR="004C3572" w:rsidRPr="00687DE8">
        <w:rPr>
          <w:szCs w:val="24"/>
        </w:rPr>
        <w:t xml:space="preserve"> </w:t>
      </w:r>
      <w:r w:rsidRPr="00687DE8">
        <w:rPr>
          <w:szCs w:val="24"/>
        </w:rPr>
        <w:t xml:space="preserve">euro eest kalendriaastas. </w:t>
      </w:r>
    </w:p>
    <w:p w14:paraId="68E66224" w14:textId="77777777" w:rsidR="00976487" w:rsidRPr="00687DE8" w:rsidRDefault="00976487" w:rsidP="00976487">
      <w:pPr>
        <w:spacing w:after="0" w:line="240" w:lineRule="auto"/>
        <w:jc w:val="both"/>
        <w:divId w:val="1316184749"/>
        <w:rPr>
          <w:szCs w:val="24"/>
          <w:lang w:eastAsia="et-EE"/>
        </w:rPr>
      </w:pPr>
    </w:p>
    <w:p w14:paraId="694FEBA6" w14:textId="7A68C660" w:rsidR="00976487" w:rsidRPr="00687DE8" w:rsidRDefault="00976487" w:rsidP="00976487">
      <w:pPr>
        <w:spacing w:after="0" w:line="240" w:lineRule="auto"/>
        <w:jc w:val="both"/>
        <w:divId w:val="1316184749"/>
        <w:rPr>
          <w:szCs w:val="24"/>
          <w:lang w:eastAsia="et-EE"/>
        </w:rPr>
      </w:pPr>
      <w:r w:rsidRPr="00687DE8">
        <w:rPr>
          <w:szCs w:val="24"/>
          <w:lang w:eastAsia="et-EE"/>
        </w:rPr>
        <w:t xml:space="preserve">(14) </w:t>
      </w:r>
      <w:r w:rsidR="00541E15" w:rsidRPr="00687DE8">
        <w:rPr>
          <w:szCs w:val="24"/>
          <w:lang w:eastAsia="et-EE"/>
        </w:rPr>
        <w:t>L</w:t>
      </w:r>
      <w:r w:rsidRPr="00687DE8">
        <w:rPr>
          <w:szCs w:val="24"/>
          <w:lang w:eastAsia="et-EE"/>
        </w:rPr>
        <w:t xml:space="preserve">õikes 1 tärniga (*) tähistatud </w:t>
      </w:r>
      <w:r w:rsidRPr="00687DE8">
        <w:rPr>
          <w:szCs w:val="24"/>
        </w:rPr>
        <w:t xml:space="preserve">hambaraviteenuse eest </w:t>
      </w:r>
      <w:r w:rsidR="005023FD" w:rsidRPr="00687DE8">
        <w:rPr>
          <w:szCs w:val="24"/>
        </w:rPr>
        <w:t>Tervisekassa</w:t>
      </w:r>
      <w:r w:rsidRPr="00687DE8">
        <w:rPr>
          <w:szCs w:val="24"/>
          <w:lang w:eastAsia="et-EE"/>
        </w:rPr>
        <w:t xml:space="preserve"> ülevõetava tasu maksmise kohustuse piirmäär on lõikes 13 nimetatud juhul 50% ja kindlustatud isiku omaosaluse määr on 50%.</w:t>
      </w:r>
    </w:p>
    <w:p w14:paraId="3A1020B6" w14:textId="77777777" w:rsidR="00976487" w:rsidRPr="00687DE8" w:rsidRDefault="00976487" w:rsidP="00976487">
      <w:pPr>
        <w:spacing w:after="0" w:line="240" w:lineRule="auto"/>
        <w:jc w:val="both"/>
        <w:divId w:val="1316184749"/>
        <w:rPr>
          <w:szCs w:val="24"/>
        </w:rPr>
      </w:pPr>
    </w:p>
    <w:p w14:paraId="17C3C50E" w14:textId="24CC1FC0" w:rsidR="00976487" w:rsidRPr="00687DE8" w:rsidRDefault="00976487" w:rsidP="00976487">
      <w:pPr>
        <w:spacing w:after="0" w:line="240" w:lineRule="auto"/>
        <w:jc w:val="both"/>
        <w:divId w:val="1316184749"/>
        <w:rPr>
          <w:szCs w:val="24"/>
        </w:rPr>
      </w:pPr>
      <w:r w:rsidRPr="00687DE8">
        <w:rPr>
          <w:szCs w:val="24"/>
        </w:rPr>
        <w:t xml:space="preserve">(15) </w:t>
      </w:r>
      <w:r w:rsidR="00541E15" w:rsidRPr="00687DE8">
        <w:rPr>
          <w:szCs w:val="24"/>
        </w:rPr>
        <w:t>L</w:t>
      </w:r>
      <w:r w:rsidRPr="00687DE8">
        <w:rPr>
          <w:szCs w:val="24"/>
        </w:rPr>
        <w:t xml:space="preserve">õikes 1 tärniga (*) tähistatud hambaraviteenuse eest võtab </w:t>
      </w:r>
      <w:r w:rsidR="005023FD" w:rsidRPr="00687DE8">
        <w:rPr>
          <w:szCs w:val="24"/>
        </w:rPr>
        <w:t>Tervisekassa</w:t>
      </w:r>
      <w:r w:rsidRPr="00687DE8">
        <w:rPr>
          <w:szCs w:val="24"/>
        </w:rPr>
        <w:t xml:space="preserve"> ravikindlustuse seaduse § 29 lõike 2 ja § 33</w:t>
      </w:r>
      <w:r w:rsidRPr="00687DE8">
        <w:rPr>
          <w:szCs w:val="24"/>
          <w:vertAlign w:val="superscript"/>
        </w:rPr>
        <w:t>1</w:t>
      </w:r>
      <w:r w:rsidRPr="00687DE8">
        <w:rPr>
          <w:szCs w:val="24"/>
        </w:rPr>
        <w:t xml:space="preserve"> alusel tasu maksmise kohustuse üle kuni </w:t>
      </w:r>
      <w:r w:rsidR="00AC77DF" w:rsidRPr="00687DE8">
        <w:rPr>
          <w:szCs w:val="24"/>
        </w:rPr>
        <w:t>105</w:t>
      </w:r>
      <w:r w:rsidR="004C3572" w:rsidRPr="00687DE8">
        <w:rPr>
          <w:szCs w:val="24"/>
        </w:rPr>
        <w:t xml:space="preserve"> </w:t>
      </w:r>
      <w:r w:rsidRPr="00687DE8">
        <w:rPr>
          <w:szCs w:val="24"/>
        </w:rPr>
        <w:t xml:space="preserve">euro eest kalendriaasta </w:t>
      </w:r>
      <w:r w:rsidR="32000342" w:rsidRPr="00687DE8">
        <w:rPr>
          <w:szCs w:val="24"/>
        </w:rPr>
        <w:t>kohta</w:t>
      </w:r>
      <w:r w:rsidRPr="00687DE8">
        <w:rPr>
          <w:szCs w:val="24"/>
        </w:rPr>
        <w:t xml:space="preserve"> vähemalt 19-aastaselt kindlustatud isikult, kellele on riikliku pensionikindlustuse seaduse alusel määratud töövõimetuspension või vanaduspension, ke</w:t>
      </w:r>
      <w:r w:rsidR="00521038" w:rsidRPr="00687DE8">
        <w:rPr>
          <w:szCs w:val="24"/>
        </w:rPr>
        <w:t>s</w:t>
      </w:r>
      <w:r w:rsidRPr="00687DE8">
        <w:rPr>
          <w:szCs w:val="24"/>
        </w:rPr>
        <w:t xml:space="preserve"> on </w:t>
      </w:r>
      <w:r w:rsidR="00521038" w:rsidRPr="00687DE8">
        <w:rPr>
          <w:szCs w:val="24"/>
        </w:rPr>
        <w:t>tööturu</w:t>
      </w:r>
      <w:r w:rsidR="004B5265" w:rsidRPr="00687DE8">
        <w:rPr>
          <w:szCs w:val="24"/>
        </w:rPr>
        <w:t xml:space="preserve">meetmete </w:t>
      </w:r>
      <w:r w:rsidR="00521038" w:rsidRPr="00687DE8">
        <w:rPr>
          <w:szCs w:val="24"/>
        </w:rPr>
        <w:t>seaduse tähenduses töötu, kes saab sotsiaalhoolekande seaduse alusel toimetulekutoetust hüvitise kasutamise kuul või sellele eelnenud kahel kuul</w:t>
      </w:r>
      <w:r w:rsidRPr="00687DE8">
        <w:rPr>
          <w:szCs w:val="24"/>
        </w:rPr>
        <w:t xml:space="preserve">, kes on üle 63-aastane, rase, alla üheaastase lapse ema või kellel on tekkinud talle osutatud tervishoiuteenuse tagajärjel </w:t>
      </w:r>
      <w:r w:rsidRPr="00687DE8">
        <w:rPr>
          <w:color w:val="202020"/>
          <w:szCs w:val="24"/>
        </w:rPr>
        <w:t>või temal diagnoositud haiguse tõttu</w:t>
      </w:r>
      <w:r w:rsidRPr="00687DE8">
        <w:rPr>
          <w:szCs w:val="24"/>
        </w:rPr>
        <w:t xml:space="preserve"> suurenenud vajadus saada hambaraviteenust. </w:t>
      </w:r>
    </w:p>
    <w:p w14:paraId="4C6B62E2" w14:textId="77777777" w:rsidR="00976487" w:rsidRPr="00687DE8" w:rsidRDefault="00976487" w:rsidP="00976487">
      <w:pPr>
        <w:spacing w:after="0" w:line="240" w:lineRule="auto"/>
        <w:jc w:val="both"/>
        <w:divId w:val="1316184749"/>
        <w:rPr>
          <w:szCs w:val="24"/>
        </w:rPr>
      </w:pPr>
    </w:p>
    <w:p w14:paraId="4EBD45CD" w14:textId="1A8B330C" w:rsidR="00976487" w:rsidRPr="00687DE8" w:rsidRDefault="00976487" w:rsidP="00976487">
      <w:pPr>
        <w:spacing w:after="0" w:line="240" w:lineRule="auto"/>
        <w:jc w:val="both"/>
        <w:divId w:val="1316184749"/>
        <w:rPr>
          <w:szCs w:val="24"/>
          <w:lang w:eastAsia="et-EE"/>
        </w:rPr>
      </w:pPr>
      <w:r w:rsidRPr="00687DE8">
        <w:rPr>
          <w:szCs w:val="24"/>
          <w:lang w:eastAsia="et-EE"/>
        </w:rPr>
        <w:t xml:space="preserve">(16) </w:t>
      </w:r>
      <w:r w:rsidR="00541E15" w:rsidRPr="00687DE8">
        <w:rPr>
          <w:szCs w:val="24"/>
          <w:lang w:eastAsia="et-EE"/>
        </w:rPr>
        <w:t>L</w:t>
      </w:r>
      <w:r w:rsidRPr="00687DE8">
        <w:rPr>
          <w:szCs w:val="24"/>
          <w:lang w:eastAsia="et-EE"/>
        </w:rPr>
        <w:t xml:space="preserve">õikes 1 tärniga (*) tähistatud </w:t>
      </w:r>
      <w:r w:rsidRPr="00687DE8">
        <w:rPr>
          <w:szCs w:val="24"/>
        </w:rPr>
        <w:t xml:space="preserve">hambaraviteenuse eest </w:t>
      </w:r>
      <w:r w:rsidR="005023FD" w:rsidRPr="00687DE8">
        <w:rPr>
          <w:szCs w:val="24"/>
        </w:rPr>
        <w:t>Tervisekassa</w:t>
      </w:r>
      <w:r w:rsidRPr="00687DE8">
        <w:rPr>
          <w:szCs w:val="24"/>
          <w:lang w:eastAsia="et-EE"/>
        </w:rPr>
        <w:t xml:space="preserve"> ülevõetava tasu maksmise kohustuse piirmäär on lõikes 15 nimetatud juhul </w:t>
      </w:r>
      <w:r w:rsidR="0095669E" w:rsidRPr="00687DE8">
        <w:rPr>
          <w:szCs w:val="24"/>
          <w:lang w:eastAsia="et-EE"/>
        </w:rPr>
        <w:t>87,</w:t>
      </w:r>
      <w:r w:rsidR="00B7057F" w:rsidRPr="00687DE8">
        <w:rPr>
          <w:szCs w:val="24"/>
          <w:lang w:eastAsia="et-EE"/>
        </w:rPr>
        <w:t>5</w:t>
      </w:r>
      <w:r w:rsidRPr="00687DE8">
        <w:rPr>
          <w:szCs w:val="24"/>
          <w:lang w:eastAsia="et-EE"/>
        </w:rPr>
        <w:t xml:space="preserve">% ja kindlustatud isiku omaosaluse määr on </w:t>
      </w:r>
      <w:r w:rsidR="0095669E" w:rsidRPr="00687DE8">
        <w:rPr>
          <w:szCs w:val="24"/>
          <w:lang w:eastAsia="et-EE"/>
        </w:rPr>
        <w:t>12,</w:t>
      </w:r>
      <w:r w:rsidR="003E540B" w:rsidRPr="00687DE8">
        <w:rPr>
          <w:szCs w:val="24"/>
          <w:lang w:eastAsia="et-EE"/>
        </w:rPr>
        <w:t>5</w:t>
      </w:r>
      <w:r w:rsidRPr="00687DE8">
        <w:rPr>
          <w:szCs w:val="24"/>
          <w:lang w:eastAsia="et-EE"/>
        </w:rPr>
        <w:t>%.</w:t>
      </w:r>
    </w:p>
    <w:p w14:paraId="4E2BB12C" w14:textId="77777777" w:rsidR="00976487" w:rsidRPr="00687DE8" w:rsidRDefault="00976487" w:rsidP="00976487">
      <w:pPr>
        <w:spacing w:after="0" w:line="240" w:lineRule="auto"/>
        <w:jc w:val="both"/>
        <w:divId w:val="1316184749"/>
        <w:rPr>
          <w:szCs w:val="24"/>
        </w:rPr>
      </w:pPr>
    </w:p>
    <w:p w14:paraId="7D38CDCE" w14:textId="77777777" w:rsidR="003D3A8C" w:rsidRPr="00687DE8" w:rsidRDefault="003D3A8C" w:rsidP="003D3A8C">
      <w:pPr>
        <w:spacing w:after="0" w:line="240" w:lineRule="auto"/>
        <w:jc w:val="both"/>
        <w:divId w:val="1316184749"/>
        <w:rPr>
          <w:szCs w:val="24"/>
        </w:rPr>
      </w:pPr>
      <w:r w:rsidRPr="00687DE8">
        <w:rPr>
          <w:szCs w:val="24"/>
        </w:rPr>
        <w:t>(17) Lõikes 15 sätestatud suurenenud vajadus saada hambaraviteenust on isikul, kellel on vajadus hambaraviteenuse järele tekkinud järgmiste tervishoiuteenuste osutamise tagajärjel:</w:t>
      </w:r>
    </w:p>
    <w:p w14:paraId="073C5C76" w14:textId="77777777" w:rsidR="00976487" w:rsidRPr="00687DE8" w:rsidRDefault="00976487" w:rsidP="00976487">
      <w:pPr>
        <w:spacing w:after="0" w:line="240" w:lineRule="auto"/>
        <w:jc w:val="both"/>
        <w:divId w:val="1316184749"/>
        <w:rPr>
          <w:szCs w:val="24"/>
        </w:rPr>
      </w:pPr>
      <w:r w:rsidRPr="00687DE8">
        <w:rPr>
          <w:szCs w:val="24"/>
        </w:rPr>
        <w:t>1) pea-kaela piirkonna kasvajate kirurgiline ja/või kiiritusravi;</w:t>
      </w:r>
    </w:p>
    <w:p w14:paraId="31B3E1D3" w14:textId="77777777" w:rsidR="00976487" w:rsidRPr="00687DE8" w:rsidRDefault="00976487" w:rsidP="00976487">
      <w:pPr>
        <w:spacing w:after="0" w:line="240" w:lineRule="auto"/>
        <w:jc w:val="both"/>
        <w:divId w:val="1316184749"/>
        <w:rPr>
          <w:szCs w:val="24"/>
        </w:rPr>
      </w:pPr>
      <w:r w:rsidRPr="00687DE8">
        <w:rPr>
          <w:szCs w:val="24"/>
        </w:rPr>
        <w:t xml:space="preserve">2) huule-, alveolaarjätke- ja suulaelõhe kirurgiline ravi; </w:t>
      </w:r>
    </w:p>
    <w:p w14:paraId="5CEB3604" w14:textId="77777777" w:rsidR="00976487" w:rsidRPr="00687DE8" w:rsidRDefault="00976487" w:rsidP="00976487">
      <w:pPr>
        <w:spacing w:after="0" w:line="240" w:lineRule="auto"/>
        <w:jc w:val="both"/>
        <w:divId w:val="1316184749"/>
        <w:rPr>
          <w:szCs w:val="24"/>
        </w:rPr>
      </w:pPr>
      <w:r w:rsidRPr="00687DE8">
        <w:rPr>
          <w:szCs w:val="24"/>
        </w:rPr>
        <w:t>3) hambakudede või näo- ja lõualuude väärarenguid põhjustavate geneetiliste ja ainevahetushaiguste ravi;</w:t>
      </w:r>
    </w:p>
    <w:p w14:paraId="4684138A" w14:textId="77777777" w:rsidR="00976487" w:rsidRPr="00687DE8" w:rsidRDefault="00976487" w:rsidP="00976487">
      <w:pPr>
        <w:spacing w:after="0" w:line="240" w:lineRule="auto"/>
        <w:jc w:val="both"/>
        <w:divId w:val="1316184749"/>
        <w:rPr>
          <w:szCs w:val="24"/>
        </w:rPr>
      </w:pPr>
      <w:r w:rsidRPr="00687DE8">
        <w:rPr>
          <w:szCs w:val="24"/>
        </w:rPr>
        <w:t>4) näo-lõualuude piirkonna traumade ja põletike kirurgiline ravi;</w:t>
      </w:r>
    </w:p>
    <w:p w14:paraId="53EE780A" w14:textId="77777777" w:rsidR="00976487" w:rsidRPr="00687DE8" w:rsidRDefault="00976487" w:rsidP="00976487">
      <w:pPr>
        <w:spacing w:after="0" w:line="240" w:lineRule="auto"/>
        <w:jc w:val="both"/>
        <w:divId w:val="1316184749"/>
        <w:rPr>
          <w:szCs w:val="24"/>
        </w:rPr>
      </w:pPr>
      <w:r w:rsidRPr="00687DE8">
        <w:rPr>
          <w:szCs w:val="24"/>
        </w:rPr>
        <w:t>5) meditsiiniline protseduur (endoskoopia, anesteesia ja muu), mille käigus on tekkinud näo-lõualuude piirkonna trauma;</w:t>
      </w:r>
    </w:p>
    <w:p w14:paraId="7E7FE87A" w14:textId="77777777" w:rsidR="00292198" w:rsidRPr="00687DE8" w:rsidRDefault="00976487" w:rsidP="00976487">
      <w:pPr>
        <w:spacing w:after="0" w:line="240" w:lineRule="auto"/>
        <w:jc w:val="both"/>
        <w:divId w:val="1316184749"/>
        <w:rPr>
          <w:szCs w:val="24"/>
        </w:rPr>
      </w:pPr>
      <w:r w:rsidRPr="00687DE8">
        <w:rPr>
          <w:szCs w:val="24"/>
        </w:rPr>
        <w:t>6) kopsu-, maksa-, südame</w:t>
      </w:r>
      <w:r w:rsidR="00B26672" w:rsidRPr="00687DE8">
        <w:rPr>
          <w:szCs w:val="24"/>
        </w:rPr>
        <w:t>-</w:t>
      </w:r>
      <w:r w:rsidRPr="00687DE8">
        <w:rPr>
          <w:szCs w:val="24"/>
        </w:rPr>
        <w:t xml:space="preserve"> ja/või neerude, vereloome tüvirakkude siirdamine või siirdamiseks ettevalmistamine</w:t>
      </w:r>
      <w:r w:rsidR="00292198" w:rsidRPr="00687DE8">
        <w:rPr>
          <w:szCs w:val="24"/>
        </w:rPr>
        <w:t>;</w:t>
      </w:r>
    </w:p>
    <w:p w14:paraId="0C069027" w14:textId="77777777" w:rsidR="00976487" w:rsidRPr="00687DE8" w:rsidRDefault="00292198" w:rsidP="00976487">
      <w:pPr>
        <w:spacing w:after="0" w:line="240" w:lineRule="auto"/>
        <w:jc w:val="both"/>
        <w:divId w:val="1316184749"/>
        <w:rPr>
          <w:szCs w:val="24"/>
        </w:rPr>
      </w:pPr>
      <w:r w:rsidRPr="00687DE8">
        <w:rPr>
          <w:szCs w:val="24"/>
        </w:rPr>
        <w:t>7)</w:t>
      </w:r>
      <w:r w:rsidR="000D5AA2" w:rsidRPr="00687DE8">
        <w:rPr>
          <w:szCs w:val="24"/>
        </w:rPr>
        <w:t xml:space="preserve"> </w:t>
      </w:r>
      <w:r w:rsidR="003D3B24" w:rsidRPr="00687DE8">
        <w:rPr>
          <w:szCs w:val="24"/>
        </w:rPr>
        <w:t>puusa- või põlveliigese</w:t>
      </w:r>
      <w:r w:rsidR="000D5AA2" w:rsidRPr="00687DE8">
        <w:rPr>
          <w:szCs w:val="24"/>
        </w:rPr>
        <w:t xml:space="preserve"> endoproteesi</w:t>
      </w:r>
      <w:r w:rsidR="00D138F2" w:rsidRPr="00687DE8">
        <w:rPr>
          <w:szCs w:val="24"/>
        </w:rPr>
        <w:t>mise operatsiooniks ettevalmistamine</w:t>
      </w:r>
      <w:r w:rsidR="00976487" w:rsidRPr="00687DE8">
        <w:rPr>
          <w:szCs w:val="24"/>
        </w:rPr>
        <w:t>.</w:t>
      </w:r>
    </w:p>
    <w:p w14:paraId="72D4D725" w14:textId="77777777" w:rsidR="00976487" w:rsidRPr="00687DE8" w:rsidRDefault="00976487" w:rsidP="00976487">
      <w:pPr>
        <w:spacing w:after="0" w:line="240" w:lineRule="auto"/>
        <w:jc w:val="both"/>
        <w:divId w:val="1316184749"/>
        <w:rPr>
          <w:szCs w:val="24"/>
        </w:rPr>
      </w:pPr>
    </w:p>
    <w:p w14:paraId="6A4EA25F" w14:textId="77777777" w:rsidR="00976487" w:rsidRPr="00687DE8" w:rsidRDefault="00976487" w:rsidP="00976487">
      <w:pPr>
        <w:spacing w:after="0" w:line="240" w:lineRule="auto"/>
        <w:jc w:val="both"/>
        <w:divId w:val="1316184749"/>
        <w:rPr>
          <w:szCs w:val="24"/>
        </w:rPr>
      </w:pPr>
      <w:r w:rsidRPr="00687DE8">
        <w:rPr>
          <w:szCs w:val="24"/>
        </w:rPr>
        <w:t xml:space="preserve">(18) </w:t>
      </w:r>
      <w:r w:rsidR="00541E15" w:rsidRPr="00687DE8">
        <w:rPr>
          <w:szCs w:val="24"/>
        </w:rPr>
        <w:t>L</w:t>
      </w:r>
      <w:r w:rsidRPr="00687DE8">
        <w:rPr>
          <w:szCs w:val="24"/>
        </w:rPr>
        <w:t>õikes 17 nimetatud juhul kinnitab isiku raviarst (</w:t>
      </w:r>
      <w:r w:rsidR="00DC4841" w:rsidRPr="00687DE8">
        <w:rPr>
          <w:szCs w:val="24"/>
        </w:rPr>
        <w:t>välja arvatud</w:t>
      </w:r>
      <w:r w:rsidRPr="00687DE8">
        <w:rPr>
          <w:szCs w:val="24"/>
        </w:rPr>
        <w:t xml:space="preserve"> hambaarst) isiku jätkuvat suurenenud vajadust hambaraviteenuse </w:t>
      </w:r>
      <w:r w:rsidR="003D3A8C" w:rsidRPr="00687DE8">
        <w:rPr>
          <w:szCs w:val="24"/>
        </w:rPr>
        <w:t>järele</w:t>
      </w:r>
      <w:r w:rsidRPr="00687DE8">
        <w:rPr>
          <w:szCs w:val="24"/>
        </w:rPr>
        <w:t xml:space="preserve"> üks kord kahe aasta jooksul. </w:t>
      </w:r>
    </w:p>
    <w:p w14:paraId="65B80122" w14:textId="77777777" w:rsidR="00976487" w:rsidRPr="00687DE8" w:rsidRDefault="00976487" w:rsidP="00976487">
      <w:pPr>
        <w:pStyle w:val="Loendilik"/>
        <w:spacing w:after="0" w:line="240" w:lineRule="auto"/>
        <w:ind w:left="0"/>
        <w:jc w:val="both"/>
        <w:divId w:val="1316184749"/>
        <w:rPr>
          <w:szCs w:val="24"/>
        </w:rPr>
      </w:pPr>
    </w:p>
    <w:p w14:paraId="5F106166" w14:textId="77777777" w:rsidR="00976487" w:rsidRPr="00687DE8" w:rsidRDefault="00976487" w:rsidP="00976487">
      <w:pPr>
        <w:pStyle w:val="Vahedeta"/>
        <w:jc w:val="both"/>
        <w:divId w:val="1316184749"/>
        <w:rPr>
          <w:szCs w:val="24"/>
          <w:lang w:val="et-EE"/>
        </w:rPr>
      </w:pPr>
      <w:r w:rsidRPr="00687DE8">
        <w:rPr>
          <w:szCs w:val="24"/>
          <w:lang w:val="et-EE"/>
        </w:rPr>
        <w:t xml:space="preserve">(19) </w:t>
      </w:r>
      <w:r w:rsidR="00541E15" w:rsidRPr="00687DE8">
        <w:rPr>
          <w:szCs w:val="24"/>
          <w:lang w:val="et-EE"/>
        </w:rPr>
        <w:t>L</w:t>
      </w:r>
      <w:r w:rsidRPr="00687DE8">
        <w:rPr>
          <w:szCs w:val="24"/>
          <w:lang w:val="et-EE"/>
        </w:rPr>
        <w:t xml:space="preserve">õikes 15 sätestatud suurenenud vajadus saada hambaraviteenust on isikul, kellel on vajadus hambaraviteenuse järele tekkinud järgmiste </w:t>
      </w:r>
      <w:r w:rsidRPr="00687DE8">
        <w:rPr>
          <w:color w:val="202020"/>
          <w:szCs w:val="24"/>
          <w:shd w:val="clear" w:color="auto" w:fill="FFFFFF"/>
          <w:lang w:val="et-EE"/>
        </w:rPr>
        <w:t>temal diagnoositud haiguste tõttu</w:t>
      </w:r>
      <w:r w:rsidRPr="00687DE8">
        <w:rPr>
          <w:szCs w:val="24"/>
          <w:lang w:val="et-EE"/>
        </w:rPr>
        <w:t>:</w:t>
      </w:r>
    </w:p>
    <w:p w14:paraId="12755D0D" w14:textId="77777777" w:rsidR="00976487" w:rsidRPr="00687DE8" w:rsidRDefault="00976487" w:rsidP="00976487">
      <w:pPr>
        <w:pStyle w:val="Vahedeta"/>
        <w:divId w:val="1316184749"/>
        <w:rPr>
          <w:szCs w:val="24"/>
          <w:lang w:val="sv-SE"/>
        </w:rPr>
      </w:pPr>
      <w:r w:rsidRPr="00687DE8">
        <w:rPr>
          <w:color w:val="202020"/>
          <w:szCs w:val="24"/>
          <w:shd w:val="clear" w:color="auto" w:fill="FFFFFF"/>
          <w:lang w:val="sv-SE"/>
        </w:rPr>
        <w:t>1) I tüübi diabeet;</w:t>
      </w:r>
    </w:p>
    <w:p w14:paraId="3B7F6AC7" w14:textId="77777777" w:rsidR="00976487" w:rsidRPr="00687DE8" w:rsidRDefault="00976487" w:rsidP="00976487">
      <w:pPr>
        <w:pStyle w:val="Vahedeta"/>
        <w:divId w:val="1316184749"/>
        <w:rPr>
          <w:szCs w:val="24"/>
          <w:lang w:val="sv-SE"/>
        </w:rPr>
      </w:pPr>
      <w:r w:rsidRPr="00687DE8">
        <w:rPr>
          <w:color w:val="202020"/>
          <w:szCs w:val="24"/>
          <w:shd w:val="clear" w:color="auto" w:fill="FFFFFF"/>
          <w:lang w:val="sv-SE"/>
        </w:rPr>
        <w:t>2</w:t>
      </w:r>
      <w:r w:rsidRPr="00687DE8">
        <w:rPr>
          <w:szCs w:val="24"/>
          <w:shd w:val="clear" w:color="auto" w:fill="FFFFFF"/>
          <w:lang w:val="sv-SE"/>
        </w:rPr>
        <w:t xml:space="preserve">) </w:t>
      </w:r>
      <w:r w:rsidRPr="00687DE8">
        <w:rPr>
          <w:szCs w:val="24"/>
          <w:lang w:val="sv-SE"/>
        </w:rPr>
        <w:t>Sjögreni sündroom</w:t>
      </w:r>
      <w:r w:rsidRPr="00687DE8">
        <w:rPr>
          <w:color w:val="1F497D"/>
          <w:szCs w:val="24"/>
          <w:lang w:val="sv-SE"/>
        </w:rPr>
        <w:t>.</w:t>
      </w:r>
    </w:p>
    <w:p w14:paraId="223030D5" w14:textId="77777777" w:rsidR="00976487" w:rsidRPr="00687DE8" w:rsidRDefault="00976487" w:rsidP="00976487">
      <w:pPr>
        <w:pStyle w:val="Vahedeta"/>
        <w:divId w:val="1316184749"/>
        <w:rPr>
          <w:szCs w:val="24"/>
          <w:lang w:val="sv-SE"/>
        </w:rPr>
      </w:pPr>
    </w:p>
    <w:p w14:paraId="2DCE1B5E" w14:textId="130548F6" w:rsidR="00976487" w:rsidRPr="00687DE8" w:rsidRDefault="00976487" w:rsidP="00976487">
      <w:pPr>
        <w:pStyle w:val="Vahedeta"/>
        <w:jc w:val="both"/>
        <w:divId w:val="1316184749"/>
        <w:rPr>
          <w:szCs w:val="24"/>
          <w:lang w:val="sv-SE"/>
        </w:rPr>
      </w:pPr>
      <w:r w:rsidRPr="00687DE8">
        <w:rPr>
          <w:szCs w:val="24"/>
          <w:lang w:val="sv-SE"/>
        </w:rPr>
        <w:lastRenderedPageBreak/>
        <w:t xml:space="preserve">(20) </w:t>
      </w:r>
      <w:r w:rsidR="005023FD" w:rsidRPr="00687DE8">
        <w:rPr>
          <w:szCs w:val="24"/>
          <w:lang w:val="sv-SE"/>
        </w:rPr>
        <w:t>Tervisekassa</w:t>
      </w:r>
      <w:r w:rsidRPr="00687DE8">
        <w:rPr>
          <w:szCs w:val="24"/>
          <w:lang w:val="sv-SE"/>
        </w:rPr>
        <w:t xml:space="preserve"> võtab arsti otsuse alusel tervishoiuteenuste loetelus kirjeldatud hambaraviteenuste eest tasu maksmise kohustuse üle puuduva suuhügieeni võimekusega vaimse ja füüsilise puudega isikult.</w:t>
      </w:r>
    </w:p>
    <w:p w14:paraId="56FCC3A2" w14:textId="77777777" w:rsidR="008045B4" w:rsidRPr="00687DE8" w:rsidRDefault="008045B4" w:rsidP="00976487">
      <w:pPr>
        <w:pStyle w:val="Vahedeta"/>
        <w:jc w:val="both"/>
        <w:divId w:val="1316184749"/>
        <w:rPr>
          <w:szCs w:val="24"/>
          <w:lang w:val="sv-SE"/>
        </w:rPr>
      </w:pPr>
    </w:p>
    <w:p w14:paraId="39E9F991" w14:textId="24C74D03" w:rsidR="00F608F6" w:rsidRPr="00687DE8" w:rsidRDefault="659FCEF3" w:rsidP="00334F99">
      <w:pPr>
        <w:pStyle w:val="Kommentaaritekst"/>
        <w:spacing w:after="0"/>
        <w:jc w:val="both"/>
        <w:rPr>
          <w:sz w:val="24"/>
          <w:szCs w:val="24"/>
        </w:rPr>
      </w:pPr>
      <w:r w:rsidRPr="00687DE8">
        <w:rPr>
          <w:sz w:val="24"/>
          <w:szCs w:val="24"/>
          <w:lang w:val="sv-SE"/>
        </w:rPr>
        <w:t xml:space="preserve">(21) </w:t>
      </w:r>
      <w:r w:rsidR="005023FD" w:rsidRPr="00687DE8">
        <w:rPr>
          <w:sz w:val="24"/>
          <w:szCs w:val="24"/>
          <w:lang w:val="sv-SE"/>
        </w:rPr>
        <w:t>Tervisekassa</w:t>
      </w:r>
      <w:r w:rsidRPr="00687DE8">
        <w:rPr>
          <w:sz w:val="24"/>
          <w:szCs w:val="24"/>
          <w:lang w:val="sv-SE"/>
        </w:rPr>
        <w:t xml:space="preserve"> võtab arsti otsuse alusel tervishoiuteenuste loetelus kirjeldatud hambaraviteenuste eest tasu maksmise kohustuse üle </w:t>
      </w:r>
      <w:r w:rsidR="00700E9B" w:rsidRPr="00687DE8">
        <w:rPr>
          <w:sz w:val="24"/>
          <w:szCs w:val="24"/>
        </w:rPr>
        <w:t>onkoloogiliselt</w:t>
      </w:r>
      <w:r w:rsidRPr="00687DE8">
        <w:rPr>
          <w:sz w:val="24"/>
          <w:szCs w:val="24"/>
        </w:rPr>
        <w:t xml:space="preserve"> </w:t>
      </w:r>
      <w:r w:rsidR="00700E9B" w:rsidRPr="00687DE8">
        <w:rPr>
          <w:sz w:val="24"/>
          <w:szCs w:val="24"/>
        </w:rPr>
        <w:t>patsiendilt</w:t>
      </w:r>
      <w:r w:rsidR="1FB23B14" w:rsidRPr="00687DE8">
        <w:rPr>
          <w:sz w:val="24"/>
          <w:szCs w:val="24"/>
        </w:rPr>
        <w:t xml:space="preserve">, </w:t>
      </w:r>
      <w:r w:rsidRPr="00687DE8">
        <w:rPr>
          <w:sz w:val="24"/>
          <w:szCs w:val="24"/>
        </w:rPr>
        <w:t>kellel on diagnoositud pea- ja kaelapiirkonna pahaloomuline kasvaja</w:t>
      </w:r>
      <w:r w:rsidR="03B03C36" w:rsidRPr="00687DE8">
        <w:rPr>
          <w:sz w:val="24"/>
          <w:szCs w:val="24"/>
        </w:rPr>
        <w:t xml:space="preserve"> (RHK</w:t>
      </w:r>
      <w:r w:rsidR="00ED5F59" w:rsidRPr="00687DE8">
        <w:rPr>
          <w:sz w:val="24"/>
          <w:szCs w:val="24"/>
        </w:rPr>
        <w:t xml:space="preserve"> </w:t>
      </w:r>
      <w:r w:rsidR="3AD1E286" w:rsidRPr="00687DE8">
        <w:rPr>
          <w:sz w:val="24"/>
          <w:szCs w:val="24"/>
        </w:rPr>
        <w:t xml:space="preserve">10 koodid </w:t>
      </w:r>
      <w:r w:rsidR="03B03C36" w:rsidRPr="00687DE8">
        <w:rPr>
          <w:sz w:val="24"/>
          <w:szCs w:val="24"/>
        </w:rPr>
        <w:t>C00–C14</w:t>
      </w:r>
      <w:r w:rsidR="008F32A4" w:rsidRPr="00687DE8">
        <w:rPr>
          <w:sz w:val="24"/>
          <w:szCs w:val="24"/>
        </w:rPr>
        <w:t>,</w:t>
      </w:r>
      <w:r w:rsidR="03B03C36" w:rsidRPr="00687DE8">
        <w:rPr>
          <w:sz w:val="24"/>
          <w:szCs w:val="24"/>
        </w:rPr>
        <w:t xml:space="preserve"> C3</w:t>
      </w:r>
      <w:r w:rsidR="00ED302E" w:rsidRPr="00687DE8">
        <w:rPr>
          <w:sz w:val="24"/>
          <w:szCs w:val="24"/>
        </w:rPr>
        <w:t>0</w:t>
      </w:r>
      <w:r w:rsidR="03B03C36" w:rsidRPr="00687DE8">
        <w:rPr>
          <w:sz w:val="24"/>
          <w:szCs w:val="24"/>
        </w:rPr>
        <w:t>–C32)</w:t>
      </w:r>
      <w:r w:rsidR="3561577A" w:rsidRPr="00687DE8">
        <w:rPr>
          <w:sz w:val="24"/>
          <w:szCs w:val="24"/>
        </w:rPr>
        <w:t>,</w:t>
      </w:r>
      <w:r w:rsidR="00ED302E" w:rsidRPr="00687DE8">
        <w:rPr>
          <w:sz w:val="24"/>
          <w:szCs w:val="24"/>
        </w:rPr>
        <w:t xml:space="preserve"> </w:t>
      </w:r>
      <w:r w:rsidRPr="00687DE8">
        <w:rPr>
          <w:sz w:val="24"/>
          <w:szCs w:val="24"/>
        </w:rPr>
        <w:t xml:space="preserve">kes saab või on saanud kiiritusravi </w:t>
      </w:r>
      <w:r w:rsidR="62D022AB" w:rsidRPr="00687DE8">
        <w:rPr>
          <w:sz w:val="24"/>
          <w:szCs w:val="24"/>
        </w:rPr>
        <w:t>ja/või keemiaravi</w:t>
      </w:r>
      <w:r w:rsidRPr="00687DE8">
        <w:rPr>
          <w:sz w:val="24"/>
          <w:szCs w:val="24"/>
        </w:rPr>
        <w:t xml:space="preserve"> </w:t>
      </w:r>
      <w:r w:rsidR="153F347C" w:rsidRPr="00687DE8">
        <w:rPr>
          <w:sz w:val="24"/>
          <w:szCs w:val="24"/>
        </w:rPr>
        <w:t>ja</w:t>
      </w:r>
      <w:r w:rsidRPr="00687DE8">
        <w:rPr>
          <w:sz w:val="24"/>
          <w:szCs w:val="24"/>
        </w:rPr>
        <w:t xml:space="preserve"> kes on saanud antiresorptiivset ravi (bisfosfonaadid, </w:t>
      </w:r>
      <w:r w:rsidR="00135E6D" w:rsidRPr="00687DE8">
        <w:rPr>
          <w:sz w:val="24"/>
          <w:szCs w:val="24"/>
        </w:rPr>
        <w:t>d</w:t>
      </w:r>
      <w:r w:rsidRPr="00687DE8">
        <w:rPr>
          <w:sz w:val="24"/>
          <w:szCs w:val="24"/>
        </w:rPr>
        <w:t xml:space="preserve">enosumab). </w:t>
      </w:r>
    </w:p>
    <w:p w14:paraId="6017EFBD" w14:textId="77777777" w:rsidR="0027094D" w:rsidRPr="00687DE8" w:rsidRDefault="0027094D" w:rsidP="00334F99">
      <w:pPr>
        <w:pStyle w:val="Kommentaaritekst"/>
        <w:spacing w:after="0"/>
        <w:jc w:val="both"/>
        <w:rPr>
          <w:sz w:val="24"/>
          <w:szCs w:val="24"/>
        </w:rPr>
      </w:pPr>
    </w:p>
    <w:p w14:paraId="11550B1E" w14:textId="1E35C272" w:rsidR="1FB23B14" w:rsidRPr="00687DE8" w:rsidRDefault="1FB23B14" w:rsidP="00334F99">
      <w:pPr>
        <w:pStyle w:val="Kommentaaritekst"/>
        <w:spacing w:after="0"/>
        <w:jc w:val="both"/>
        <w:rPr>
          <w:sz w:val="24"/>
          <w:szCs w:val="24"/>
        </w:rPr>
      </w:pPr>
      <w:r w:rsidRPr="00687DE8">
        <w:rPr>
          <w:sz w:val="24"/>
          <w:szCs w:val="24"/>
        </w:rPr>
        <w:t xml:space="preserve">(22) </w:t>
      </w:r>
      <w:r w:rsidR="005023FD" w:rsidRPr="00687DE8">
        <w:rPr>
          <w:sz w:val="24"/>
          <w:szCs w:val="24"/>
        </w:rPr>
        <w:t>Tervisekassa</w:t>
      </w:r>
      <w:r w:rsidRPr="00687DE8">
        <w:rPr>
          <w:sz w:val="24"/>
          <w:szCs w:val="24"/>
        </w:rPr>
        <w:t xml:space="preserve"> võtab arsti otsuse alusel tervishoiuteenuste loetelus kirjeldatud hambaraviteenuste eest tasu maksmise kohustuse üle </w:t>
      </w:r>
      <w:r w:rsidR="00601F59" w:rsidRPr="00687DE8">
        <w:rPr>
          <w:sz w:val="24"/>
          <w:szCs w:val="24"/>
        </w:rPr>
        <w:t>hematoloogiliselt</w:t>
      </w:r>
      <w:r w:rsidRPr="00687DE8">
        <w:rPr>
          <w:sz w:val="24"/>
          <w:szCs w:val="24"/>
        </w:rPr>
        <w:t xml:space="preserve"> </w:t>
      </w:r>
      <w:r w:rsidR="00601F59" w:rsidRPr="00687DE8">
        <w:rPr>
          <w:sz w:val="24"/>
          <w:szCs w:val="24"/>
        </w:rPr>
        <w:t>patsiendilt</w:t>
      </w:r>
      <w:r w:rsidR="0B7290B9" w:rsidRPr="00687DE8">
        <w:rPr>
          <w:sz w:val="24"/>
          <w:szCs w:val="24"/>
        </w:rPr>
        <w:t>,</w:t>
      </w:r>
      <w:r w:rsidR="51E51D9C" w:rsidRPr="00687DE8">
        <w:rPr>
          <w:sz w:val="24"/>
          <w:szCs w:val="24"/>
        </w:rPr>
        <w:t xml:space="preserve"> kellel on diagnoositud hulgimü</w:t>
      </w:r>
      <w:r w:rsidR="00462A44" w:rsidRPr="00687DE8">
        <w:rPr>
          <w:sz w:val="24"/>
          <w:szCs w:val="24"/>
        </w:rPr>
        <w:t>el</w:t>
      </w:r>
      <w:r w:rsidR="51E51D9C" w:rsidRPr="00687DE8">
        <w:rPr>
          <w:sz w:val="24"/>
          <w:szCs w:val="24"/>
        </w:rPr>
        <w:t>oom või lümfoid- ja vereloomekoe pahaloomuli</w:t>
      </w:r>
      <w:r w:rsidR="00222786" w:rsidRPr="00687DE8">
        <w:rPr>
          <w:sz w:val="24"/>
          <w:szCs w:val="24"/>
        </w:rPr>
        <w:t>ne</w:t>
      </w:r>
      <w:r w:rsidR="51E51D9C" w:rsidRPr="00687DE8">
        <w:rPr>
          <w:sz w:val="24"/>
          <w:szCs w:val="24"/>
        </w:rPr>
        <w:t xml:space="preserve"> kasvaja (RHK</w:t>
      </w:r>
      <w:r w:rsidR="00ED5F59" w:rsidRPr="00687DE8">
        <w:rPr>
          <w:sz w:val="24"/>
          <w:szCs w:val="24"/>
        </w:rPr>
        <w:t xml:space="preserve"> </w:t>
      </w:r>
      <w:r w:rsidR="51E51D9C" w:rsidRPr="00687DE8">
        <w:rPr>
          <w:sz w:val="24"/>
          <w:szCs w:val="24"/>
        </w:rPr>
        <w:t>10 koodid C90</w:t>
      </w:r>
      <w:r w:rsidR="00ED5F59" w:rsidRPr="00687DE8">
        <w:rPr>
          <w:sz w:val="24"/>
          <w:szCs w:val="24"/>
        </w:rPr>
        <w:t>–</w:t>
      </w:r>
      <w:r w:rsidR="51E51D9C" w:rsidRPr="00687DE8">
        <w:rPr>
          <w:sz w:val="24"/>
          <w:szCs w:val="24"/>
        </w:rPr>
        <w:t>C96</w:t>
      </w:r>
      <w:r w:rsidR="00ED5F59" w:rsidRPr="00687DE8">
        <w:rPr>
          <w:sz w:val="24"/>
          <w:szCs w:val="24"/>
        </w:rPr>
        <w:t>)</w:t>
      </w:r>
      <w:r w:rsidR="153EF5AA" w:rsidRPr="00687DE8">
        <w:rPr>
          <w:sz w:val="24"/>
          <w:szCs w:val="24"/>
        </w:rPr>
        <w:t xml:space="preserve"> ja </w:t>
      </w:r>
      <w:r w:rsidRPr="00687DE8">
        <w:rPr>
          <w:sz w:val="24"/>
          <w:szCs w:val="24"/>
        </w:rPr>
        <w:t>kes vaja</w:t>
      </w:r>
      <w:r w:rsidR="007A324C" w:rsidRPr="00687DE8">
        <w:rPr>
          <w:sz w:val="24"/>
          <w:szCs w:val="24"/>
        </w:rPr>
        <w:t>b</w:t>
      </w:r>
      <w:r w:rsidRPr="00687DE8">
        <w:rPr>
          <w:sz w:val="24"/>
          <w:szCs w:val="24"/>
        </w:rPr>
        <w:t xml:space="preserve"> ravi osana </w:t>
      </w:r>
      <w:r w:rsidR="44B83EB2" w:rsidRPr="00687DE8">
        <w:rPr>
          <w:sz w:val="24"/>
          <w:szCs w:val="24"/>
        </w:rPr>
        <w:t xml:space="preserve">koodidega 8101 ja 8102 tähistatud tervishoiuteenuseid </w:t>
      </w:r>
      <w:r w:rsidRPr="00687DE8">
        <w:rPr>
          <w:sz w:val="24"/>
          <w:szCs w:val="24"/>
        </w:rPr>
        <w:t>või antiresorptiivset ravi</w:t>
      </w:r>
      <w:r w:rsidR="57ED5DC4" w:rsidRPr="00687DE8">
        <w:rPr>
          <w:sz w:val="24"/>
          <w:szCs w:val="24"/>
        </w:rPr>
        <w:t xml:space="preserve"> (kood 486</w:t>
      </w:r>
      <w:r w:rsidR="1F7EE5F2" w:rsidRPr="00687DE8">
        <w:rPr>
          <w:sz w:val="24"/>
          <w:szCs w:val="24"/>
        </w:rPr>
        <w:t>R</w:t>
      </w:r>
      <w:r w:rsidR="57ED5DC4" w:rsidRPr="00687DE8">
        <w:rPr>
          <w:sz w:val="24"/>
          <w:szCs w:val="24"/>
        </w:rPr>
        <w:t>)</w:t>
      </w:r>
      <w:r w:rsidR="006215B9" w:rsidRPr="00687DE8">
        <w:rPr>
          <w:sz w:val="24"/>
          <w:szCs w:val="24"/>
        </w:rPr>
        <w:t>.</w:t>
      </w:r>
    </w:p>
    <w:p w14:paraId="79703A09" w14:textId="2F36FB49" w:rsidR="00107E85" w:rsidRPr="00687DE8" w:rsidRDefault="00107E85" w:rsidP="00334F99">
      <w:pPr>
        <w:pStyle w:val="Kommentaaritekst"/>
        <w:spacing w:after="0"/>
        <w:jc w:val="both"/>
        <w:rPr>
          <w:sz w:val="24"/>
          <w:szCs w:val="24"/>
        </w:rPr>
      </w:pPr>
    </w:p>
    <w:p w14:paraId="343875D7" w14:textId="6EBFBDF2" w:rsidR="00BF1105" w:rsidRPr="00687DE8" w:rsidRDefault="00CC60EA" w:rsidP="00334F99">
      <w:pPr>
        <w:pStyle w:val="Kommentaaritekst"/>
        <w:spacing w:after="0"/>
        <w:jc w:val="both"/>
        <w:rPr>
          <w:sz w:val="24"/>
          <w:szCs w:val="24"/>
        </w:rPr>
      </w:pPr>
      <w:r w:rsidRPr="00687DE8">
        <w:rPr>
          <w:sz w:val="24"/>
          <w:szCs w:val="24"/>
        </w:rPr>
        <w:t xml:space="preserve">(23) Koodiga 52409 tähistatud tervishoiuteenust rakendatakse juhul, kui suurenenud kaarieseriskiga patsiendi viimase </w:t>
      </w:r>
      <w:r w:rsidR="002D48AD" w:rsidRPr="00687DE8">
        <w:rPr>
          <w:sz w:val="24"/>
          <w:szCs w:val="24"/>
        </w:rPr>
        <w:t>kalendri</w:t>
      </w:r>
      <w:r w:rsidRPr="00687DE8">
        <w:rPr>
          <w:sz w:val="24"/>
          <w:szCs w:val="24"/>
        </w:rPr>
        <w:t xml:space="preserve">aasta jooksul lõikunud jäävhamba halvasti isepuhastuvat fissuuri </w:t>
      </w:r>
      <w:r w:rsidR="00CF1923" w:rsidRPr="00687DE8">
        <w:rPr>
          <w:sz w:val="24"/>
          <w:szCs w:val="24"/>
        </w:rPr>
        <w:t xml:space="preserve">on hermetiseeritud </w:t>
      </w:r>
      <w:r w:rsidRPr="00687DE8">
        <w:rPr>
          <w:sz w:val="24"/>
          <w:szCs w:val="24"/>
        </w:rPr>
        <w:t>ja silandi aplitseerimise meditsiiniline näidustus</w:t>
      </w:r>
      <w:r w:rsidR="00A94053" w:rsidRPr="00687DE8">
        <w:rPr>
          <w:sz w:val="24"/>
          <w:szCs w:val="24"/>
        </w:rPr>
        <w:t xml:space="preserve"> on dokumenteeritud</w:t>
      </w:r>
      <w:r w:rsidRPr="00687DE8">
        <w:rPr>
          <w:sz w:val="24"/>
          <w:szCs w:val="24"/>
        </w:rPr>
        <w:t>.</w:t>
      </w:r>
    </w:p>
    <w:p w14:paraId="4FC73821" w14:textId="1A4578D6" w:rsidR="00CC60EA" w:rsidRPr="00687DE8" w:rsidRDefault="00CC60EA" w:rsidP="00334F99">
      <w:pPr>
        <w:pStyle w:val="Kommentaaritekst"/>
        <w:spacing w:after="0"/>
        <w:jc w:val="both"/>
        <w:rPr>
          <w:sz w:val="24"/>
          <w:szCs w:val="24"/>
        </w:rPr>
      </w:pPr>
    </w:p>
    <w:p w14:paraId="12908B50" w14:textId="43883057" w:rsidR="002876E6" w:rsidRPr="00687DE8" w:rsidRDefault="00CC60EA" w:rsidP="00CC60EA">
      <w:pPr>
        <w:pStyle w:val="Kommentaaritekst"/>
        <w:spacing w:after="0"/>
        <w:jc w:val="both"/>
        <w:rPr>
          <w:sz w:val="24"/>
          <w:szCs w:val="24"/>
        </w:rPr>
      </w:pPr>
      <w:bookmarkStart w:id="41" w:name="_Hlk148973408"/>
      <w:r w:rsidRPr="00687DE8">
        <w:rPr>
          <w:sz w:val="24"/>
          <w:szCs w:val="24"/>
        </w:rPr>
        <w:t xml:space="preserve">(24) Koodiga </w:t>
      </w:r>
      <w:bookmarkStart w:id="42" w:name="_Hlk148971587"/>
      <w:r w:rsidRPr="00687DE8">
        <w:rPr>
          <w:sz w:val="24"/>
          <w:szCs w:val="24"/>
        </w:rPr>
        <w:t xml:space="preserve">52412 </w:t>
      </w:r>
      <w:bookmarkEnd w:id="42"/>
      <w:r w:rsidRPr="00687DE8">
        <w:rPr>
          <w:sz w:val="24"/>
          <w:szCs w:val="24"/>
        </w:rPr>
        <w:t>tähistatud tervishoiuteenust rakendatakse juhul, kui lisaks hammaskonna professionaalsele puhastamisele biokilest</w:t>
      </w:r>
      <w:r w:rsidR="00C01418" w:rsidRPr="00687DE8">
        <w:rPr>
          <w:sz w:val="24"/>
          <w:szCs w:val="24"/>
        </w:rPr>
        <w:t>:</w:t>
      </w:r>
      <w:r w:rsidRPr="00687DE8" w:rsidDel="003754CA">
        <w:rPr>
          <w:sz w:val="24"/>
          <w:szCs w:val="24"/>
        </w:rPr>
        <w:t xml:space="preserve"> </w:t>
      </w:r>
    </w:p>
    <w:p w14:paraId="57EEBC3C" w14:textId="5BA192B6" w:rsidR="002876E6" w:rsidRPr="00687DE8" w:rsidRDefault="002876E6" w:rsidP="00CC60EA">
      <w:pPr>
        <w:pStyle w:val="Kommentaaritekst"/>
        <w:spacing w:after="0"/>
        <w:jc w:val="both"/>
        <w:rPr>
          <w:sz w:val="24"/>
          <w:szCs w:val="24"/>
        </w:rPr>
      </w:pPr>
      <w:r w:rsidRPr="00687DE8">
        <w:rPr>
          <w:sz w:val="24"/>
          <w:szCs w:val="24"/>
        </w:rPr>
        <w:t>1)</w:t>
      </w:r>
      <w:r w:rsidR="00CC60EA" w:rsidRPr="00687DE8" w:rsidDel="003754CA">
        <w:rPr>
          <w:sz w:val="24"/>
          <w:szCs w:val="24"/>
        </w:rPr>
        <w:t xml:space="preserve"> </w:t>
      </w:r>
      <w:r w:rsidR="00CC60EA" w:rsidRPr="00687DE8">
        <w:rPr>
          <w:sz w:val="24"/>
          <w:szCs w:val="24"/>
        </w:rPr>
        <w:t>dokumenteeritakse patsiendi suuhügieeni- ja toitumisharjumused</w:t>
      </w:r>
      <w:r w:rsidR="00C01418" w:rsidRPr="00687DE8">
        <w:rPr>
          <w:sz w:val="24"/>
          <w:szCs w:val="24"/>
        </w:rPr>
        <w:t>;</w:t>
      </w:r>
    </w:p>
    <w:p w14:paraId="349EF33F" w14:textId="1456776F" w:rsidR="002876E6" w:rsidRPr="00687DE8" w:rsidRDefault="002876E6" w:rsidP="00CC60EA">
      <w:pPr>
        <w:pStyle w:val="Kommentaaritekst"/>
        <w:spacing w:after="0"/>
        <w:jc w:val="both"/>
        <w:rPr>
          <w:sz w:val="24"/>
          <w:szCs w:val="24"/>
        </w:rPr>
      </w:pPr>
      <w:r w:rsidRPr="00687DE8">
        <w:rPr>
          <w:sz w:val="24"/>
          <w:szCs w:val="24"/>
        </w:rPr>
        <w:t>2)</w:t>
      </w:r>
      <w:r w:rsidR="00CC60EA" w:rsidRPr="00687DE8">
        <w:rPr>
          <w:sz w:val="24"/>
          <w:szCs w:val="24"/>
        </w:rPr>
        <w:t xml:space="preserve"> </w:t>
      </w:r>
      <w:r w:rsidR="00A94053" w:rsidRPr="00687DE8">
        <w:rPr>
          <w:sz w:val="24"/>
          <w:szCs w:val="24"/>
        </w:rPr>
        <w:t xml:space="preserve">antakse </w:t>
      </w:r>
      <w:r w:rsidR="00CC60EA" w:rsidRPr="00687DE8">
        <w:rPr>
          <w:sz w:val="24"/>
          <w:szCs w:val="24"/>
        </w:rPr>
        <w:t>motiveeriva nõustamise käigus soovitused koduseks ennetavaks raviks</w:t>
      </w:r>
      <w:r w:rsidR="00C01418" w:rsidRPr="00687DE8">
        <w:rPr>
          <w:sz w:val="24"/>
          <w:szCs w:val="24"/>
        </w:rPr>
        <w:t>;</w:t>
      </w:r>
    </w:p>
    <w:p w14:paraId="0BD50E5B" w14:textId="7937A2D1" w:rsidR="003A10E6" w:rsidRPr="00687DE8" w:rsidRDefault="002876E6" w:rsidP="00CC60EA">
      <w:pPr>
        <w:pStyle w:val="Kommentaaritekst"/>
        <w:spacing w:after="0"/>
        <w:jc w:val="both"/>
        <w:rPr>
          <w:sz w:val="24"/>
          <w:szCs w:val="24"/>
        </w:rPr>
      </w:pPr>
      <w:r w:rsidRPr="00687DE8">
        <w:rPr>
          <w:sz w:val="24"/>
          <w:szCs w:val="24"/>
        </w:rPr>
        <w:t>3)</w:t>
      </w:r>
      <w:r w:rsidR="00CC60EA" w:rsidRPr="00687DE8">
        <w:rPr>
          <w:sz w:val="24"/>
          <w:szCs w:val="24"/>
        </w:rPr>
        <w:t xml:space="preserve"> määratakse individuaalne kaarieserisk</w:t>
      </w:r>
      <w:r w:rsidR="00163E8B" w:rsidRPr="00687DE8">
        <w:rPr>
          <w:sz w:val="24"/>
          <w:szCs w:val="24"/>
        </w:rPr>
        <w:t>,</w:t>
      </w:r>
      <w:r w:rsidR="00CC60EA" w:rsidRPr="00687DE8">
        <w:rPr>
          <w:sz w:val="24"/>
          <w:szCs w:val="24"/>
        </w:rPr>
        <w:t xml:space="preserve"> s</w:t>
      </w:r>
      <w:r w:rsidR="00A94053" w:rsidRPr="00687DE8">
        <w:rPr>
          <w:sz w:val="24"/>
          <w:szCs w:val="24"/>
        </w:rPr>
        <w:t>ealhulgas</w:t>
      </w:r>
      <w:r w:rsidR="00CC60EA" w:rsidRPr="00687DE8">
        <w:rPr>
          <w:sz w:val="24"/>
          <w:szCs w:val="24"/>
        </w:rPr>
        <w:t xml:space="preserve"> DMF</w:t>
      </w:r>
      <w:r w:rsidR="00892B70" w:rsidRPr="00687DE8">
        <w:rPr>
          <w:sz w:val="24"/>
          <w:szCs w:val="24"/>
        </w:rPr>
        <w:t>T</w:t>
      </w:r>
      <w:r w:rsidR="00CC60EA" w:rsidRPr="00687DE8">
        <w:rPr>
          <w:sz w:val="24"/>
          <w:szCs w:val="24"/>
        </w:rPr>
        <w:t xml:space="preserve"> indeks</w:t>
      </w:r>
      <w:r w:rsidR="00C01418" w:rsidRPr="00687DE8">
        <w:rPr>
          <w:sz w:val="24"/>
          <w:szCs w:val="24"/>
        </w:rPr>
        <w:t>;</w:t>
      </w:r>
    </w:p>
    <w:p w14:paraId="63BB97BF" w14:textId="25499D17" w:rsidR="003A10E6" w:rsidRPr="00687DE8" w:rsidRDefault="003A10E6" w:rsidP="00CC60EA">
      <w:pPr>
        <w:pStyle w:val="Kommentaaritekst"/>
        <w:spacing w:after="0"/>
        <w:jc w:val="both"/>
        <w:rPr>
          <w:sz w:val="24"/>
          <w:szCs w:val="24"/>
        </w:rPr>
      </w:pPr>
      <w:r w:rsidRPr="00687DE8">
        <w:rPr>
          <w:sz w:val="24"/>
          <w:szCs w:val="24"/>
        </w:rPr>
        <w:t>4)</w:t>
      </w:r>
      <w:r w:rsidR="00CC60EA" w:rsidRPr="00687DE8" w:rsidDel="005810F6">
        <w:rPr>
          <w:sz w:val="24"/>
          <w:szCs w:val="24"/>
        </w:rPr>
        <w:t xml:space="preserve"> </w:t>
      </w:r>
      <w:r w:rsidR="00CC60EA" w:rsidRPr="00687DE8">
        <w:rPr>
          <w:sz w:val="24"/>
          <w:szCs w:val="24"/>
        </w:rPr>
        <w:t>koostatakse koostöös patsiendiga kaariese- ja/või igemehaiguse põhjuste kontrolli alla saamiseks vajalike meetmete plaan</w:t>
      </w:r>
      <w:r w:rsidR="00C01418" w:rsidRPr="00687DE8">
        <w:rPr>
          <w:sz w:val="24"/>
          <w:szCs w:val="24"/>
        </w:rPr>
        <w:t>;</w:t>
      </w:r>
      <w:r w:rsidR="00CC60EA" w:rsidRPr="00687DE8">
        <w:rPr>
          <w:sz w:val="24"/>
          <w:szCs w:val="24"/>
        </w:rPr>
        <w:t xml:space="preserve"> </w:t>
      </w:r>
    </w:p>
    <w:p w14:paraId="6479A685" w14:textId="72264463" w:rsidR="003A10E6" w:rsidRPr="00687DE8" w:rsidRDefault="003A10E6" w:rsidP="00CC60EA">
      <w:pPr>
        <w:pStyle w:val="Kommentaaritekst"/>
        <w:spacing w:after="0"/>
        <w:jc w:val="both"/>
        <w:rPr>
          <w:sz w:val="24"/>
          <w:szCs w:val="24"/>
        </w:rPr>
      </w:pPr>
      <w:r w:rsidRPr="00687DE8">
        <w:rPr>
          <w:sz w:val="24"/>
          <w:szCs w:val="24"/>
        </w:rPr>
        <w:t>5)</w:t>
      </w:r>
      <w:r w:rsidR="00CC60EA" w:rsidRPr="00687DE8">
        <w:rPr>
          <w:sz w:val="24"/>
          <w:szCs w:val="24"/>
        </w:rPr>
        <w:t xml:space="preserve"> </w:t>
      </w:r>
      <w:r w:rsidR="00A94053" w:rsidRPr="00687DE8">
        <w:rPr>
          <w:sz w:val="24"/>
          <w:szCs w:val="24"/>
        </w:rPr>
        <w:t xml:space="preserve">hermetiseeritakse </w:t>
      </w:r>
      <w:r w:rsidR="00CC60EA" w:rsidRPr="00687DE8">
        <w:rPr>
          <w:sz w:val="24"/>
          <w:szCs w:val="24"/>
        </w:rPr>
        <w:t>vastavalt kaarieseriskile lõikunud jäävhammaste fissuurid</w:t>
      </w:r>
      <w:r w:rsidR="00C01418" w:rsidRPr="00687DE8">
        <w:rPr>
          <w:sz w:val="24"/>
          <w:szCs w:val="24"/>
        </w:rPr>
        <w:t>;</w:t>
      </w:r>
    </w:p>
    <w:p w14:paraId="6A72D89F" w14:textId="4B32C692" w:rsidR="003A10E6" w:rsidRPr="00687DE8" w:rsidRDefault="003A10E6" w:rsidP="00CC60EA">
      <w:pPr>
        <w:pStyle w:val="Kommentaaritekst"/>
        <w:spacing w:after="0"/>
        <w:jc w:val="both"/>
        <w:rPr>
          <w:sz w:val="24"/>
          <w:szCs w:val="24"/>
        </w:rPr>
      </w:pPr>
      <w:r w:rsidRPr="00687DE8">
        <w:rPr>
          <w:sz w:val="24"/>
          <w:szCs w:val="24"/>
        </w:rPr>
        <w:t>6)</w:t>
      </w:r>
      <w:r w:rsidR="00CC60EA" w:rsidRPr="00687DE8">
        <w:rPr>
          <w:sz w:val="24"/>
          <w:szCs w:val="24"/>
        </w:rPr>
        <w:t xml:space="preserve"> aplitseeritakse fluoriidlakki.</w:t>
      </w:r>
    </w:p>
    <w:p w14:paraId="14F3A93E" w14:textId="77777777" w:rsidR="004D61DA" w:rsidRPr="00687DE8" w:rsidRDefault="004D61DA" w:rsidP="00CC60EA">
      <w:pPr>
        <w:pStyle w:val="Kommentaaritekst"/>
        <w:spacing w:after="0"/>
        <w:jc w:val="both"/>
        <w:rPr>
          <w:sz w:val="24"/>
          <w:szCs w:val="24"/>
        </w:rPr>
      </w:pPr>
    </w:p>
    <w:p w14:paraId="25D9E9FB" w14:textId="13CB8CBC" w:rsidR="00CC60EA" w:rsidRPr="00687DE8" w:rsidRDefault="004D61DA" w:rsidP="00CC60EA">
      <w:pPr>
        <w:pStyle w:val="Kommentaaritekst"/>
        <w:spacing w:after="0"/>
        <w:jc w:val="both"/>
        <w:rPr>
          <w:sz w:val="24"/>
          <w:szCs w:val="24"/>
        </w:rPr>
      </w:pPr>
      <w:r w:rsidRPr="00687DE8">
        <w:rPr>
          <w:sz w:val="24"/>
          <w:szCs w:val="24"/>
        </w:rPr>
        <w:t xml:space="preserve">(25) </w:t>
      </w:r>
      <w:r w:rsidR="00A94053" w:rsidRPr="00687DE8">
        <w:rPr>
          <w:sz w:val="24"/>
          <w:szCs w:val="24"/>
        </w:rPr>
        <w:t>Tervisekassa võtab k</w:t>
      </w:r>
      <w:r w:rsidR="00CC60EA" w:rsidRPr="00687DE8">
        <w:rPr>
          <w:sz w:val="24"/>
          <w:szCs w:val="24"/>
        </w:rPr>
        <w:t>oodi</w:t>
      </w:r>
      <w:r w:rsidR="005E7DD6" w:rsidRPr="00687DE8">
        <w:rPr>
          <w:sz w:val="24"/>
          <w:szCs w:val="24"/>
        </w:rPr>
        <w:t>ga</w:t>
      </w:r>
      <w:r w:rsidR="00CC60EA" w:rsidRPr="00687DE8">
        <w:rPr>
          <w:sz w:val="24"/>
          <w:szCs w:val="24"/>
        </w:rPr>
        <w:t xml:space="preserve"> 52412</w:t>
      </w:r>
      <w:r w:rsidR="005E7DD6" w:rsidRPr="00687DE8">
        <w:rPr>
          <w:sz w:val="24"/>
          <w:szCs w:val="24"/>
        </w:rPr>
        <w:t xml:space="preserve"> tähistatud </w:t>
      </w:r>
      <w:r w:rsidR="007770DD" w:rsidRPr="00687DE8">
        <w:rPr>
          <w:sz w:val="24"/>
          <w:szCs w:val="24"/>
        </w:rPr>
        <w:t>tervishoiu</w:t>
      </w:r>
      <w:r w:rsidR="005E7DD6" w:rsidRPr="00687DE8">
        <w:rPr>
          <w:sz w:val="24"/>
          <w:szCs w:val="24"/>
        </w:rPr>
        <w:t>teenus</w:t>
      </w:r>
      <w:r w:rsidR="006164FE" w:rsidRPr="00687DE8">
        <w:rPr>
          <w:sz w:val="24"/>
          <w:szCs w:val="24"/>
        </w:rPr>
        <w:t>e eest tasu maksmise kohustuse üle</w:t>
      </w:r>
      <w:r w:rsidR="00CC60EA" w:rsidRPr="00687DE8">
        <w:rPr>
          <w:sz w:val="24"/>
          <w:szCs w:val="24"/>
        </w:rPr>
        <w:t xml:space="preserve"> maksimaalselt </w:t>
      </w:r>
      <w:r w:rsidR="00A918BC" w:rsidRPr="00687DE8">
        <w:rPr>
          <w:sz w:val="24"/>
          <w:szCs w:val="24"/>
        </w:rPr>
        <w:t>neli</w:t>
      </w:r>
      <w:r w:rsidR="00CC60EA" w:rsidRPr="00687DE8">
        <w:rPr>
          <w:sz w:val="24"/>
          <w:szCs w:val="24"/>
        </w:rPr>
        <w:t xml:space="preserve"> korda </w:t>
      </w:r>
      <w:r w:rsidR="00435702" w:rsidRPr="00687DE8">
        <w:rPr>
          <w:sz w:val="24"/>
          <w:szCs w:val="24"/>
        </w:rPr>
        <w:t>kalendri</w:t>
      </w:r>
      <w:r w:rsidR="00CC60EA" w:rsidRPr="00687DE8">
        <w:rPr>
          <w:sz w:val="24"/>
          <w:szCs w:val="24"/>
        </w:rPr>
        <w:t>aastas.</w:t>
      </w:r>
    </w:p>
    <w:bookmarkEnd w:id="41"/>
    <w:p w14:paraId="70EB8744" w14:textId="77777777" w:rsidR="00477B49" w:rsidRPr="00687DE8" w:rsidRDefault="00477B49" w:rsidP="00334F99">
      <w:pPr>
        <w:pStyle w:val="Kommentaaritekst"/>
        <w:spacing w:after="0"/>
        <w:jc w:val="both"/>
        <w:rPr>
          <w:sz w:val="24"/>
          <w:szCs w:val="24"/>
        </w:rPr>
      </w:pPr>
    </w:p>
    <w:p w14:paraId="4AC2399B" w14:textId="11DA6919" w:rsidR="00634424" w:rsidRPr="00687DE8" w:rsidRDefault="00477B49" w:rsidP="00477B49">
      <w:pPr>
        <w:spacing w:after="0" w:line="240" w:lineRule="auto"/>
        <w:jc w:val="both"/>
        <w:rPr>
          <w:rFonts w:eastAsia="Calibri"/>
          <w:szCs w:val="24"/>
        </w:rPr>
      </w:pPr>
      <w:bookmarkStart w:id="43" w:name="_Hlk151718909"/>
      <w:r w:rsidRPr="00687DE8">
        <w:rPr>
          <w:szCs w:val="24"/>
        </w:rPr>
        <w:t>(2</w:t>
      </w:r>
      <w:r w:rsidR="00C41E96">
        <w:rPr>
          <w:szCs w:val="24"/>
        </w:rPr>
        <w:t>6</w:t>
      </w:r>
      <w:r w:rsidRPr="00687DE8">
        <w:rPr>
          <w:szCs w:val="24"/>
        </w:rPr>
        <w:t>) Koodiga 52469 tähistatud tervishoiuteenust rakendatakse juhul, kui</w:t>
      </w:r>
      <w:r w:rsidRPr="00687DE8">
        <w:rPr>
          <w:rFonts w:eastAsia="Calibri"/>
          <w:szCs w:val="24"/>
        </w:rPr>
        <w:t xml:space="preserve"> üldhooldusteenuse raames osutatava õendusteenuse </w:t>
      </w:r>
      <w:r w:rsidR="008E4953" w:rsidRPr="00687DE8">
        <w:rPr>
          <w:szCs w:val="24"/>
        </w:rPr>
        <w:t xml:space="preserve">korral </w:t>
      </w:r>
      <w:r w:rsidR="00E3332C" w:rsidRPr="00687DE8">
        <w:rPr>
          <w:szCs w:val="24"/>
        </w:rPr>
        <w:t>annab</w:t>
      </w:r>
      <w:r w:rsidR="007122D9" w:rsidRPr="00687DE8">
        <w:rPr>
          <w:szCs w:val="24"/>
        </w:rPr>
        <w:t xml:space="preserve"> </w:t>
      </w:r>
      <w:r w:rsidR="007770DD" w:rsidRPr="00687DE8">
        <w:rPr>
          <w:szCs w:val="24"/>
        </w:rPr>
        <w:t xml:space="preserve">hambaraviteenust </w:t>
      </w:r>
      <w:r w:rsidR="007770DD" w:rsidRPr="00687DE8">
        <w:rPr>
          <w:rFonts w:eastAsia="Calibri"/>
          <w:szCs w:val="24"/>
        </w:rPr>
        <w:t xml:space="preserve">osutav </w:t>
      </w:r>
      <w:r w:rsidR="007770DD" w:rsidRPr="00687DE8">
        <w:rPr>
          <w:szCs w:val="24"/>
        </w:rPr>
        <w:t>hambaarst</w:t>
      </w:r>
      <w:r w:rsidRPr="00687DE8">
        <w:rPr>
          <w:szCs w:val="24"/>
        </w:rPr>
        <w:t xml:space="preserve"> patsiendi</w:t>
      </w:r>
      <w:r w:rsidR="0369C626" w:rsidRPr="00687DE8">
        <w:rPr>
          <w:szCs w:val="24"/>
        </w:rPr>
        <w:t xml:space="preserve">le </w:t>
      </w:r>
      <w:r w:rsidRPr="00687DE8">
        <w:rPr>
          <w:rFonts w:eastAsia="Calibri"/>
          <w:szCs w:val="24"/>
        </w:rPr>
        <w:t>haiglaravi tingimustes video</w:t>
      </w:r>
      <w:r w:rsidR="001502F9" w:rsidRPr="00687DE8">
        <w:rPr>
          <w:rFonts w:eastAsia="Calibri"/>
          <w:szCs w:val="24"/>
        </w:rPr>
        <w:t>konsultatsioon</w:t>
      </w:r>
      <w:r w:rsidR="006641CA" w:rsidRPr="00687DE8">
        <w:rPr>
          <w:rFonts w:eastAsia="Calibri"/>
          <w:szCs w:val="24"/>
        </w:rPr>
        <w:t>i</w:t>
      </w:r>
      <w:r w:rsidR="00233936" w:rsidRPr="00687DE8">
        <w:rPr>
          <w:rFonts w:eastAsia="Calibri"/>
          <w:szCs w:val="24"/>
        </w:rPr>
        <w:t>.</w:t>
      </w:r>
    </w:p>
    <w:bookmarkEnd w:id="43"/>
    <w:p w14:paraId="2FE012CA" w14:textId="77777777" w:rsidR="00634424" w:rsidRPr="00687DE8" w:rsidRDefault="00634424" w:rsidP="00477B49">
      <w:pPr>
        <w:spacing w:after="0" w:line="240" w:lineRule="auto"/>
        <w:jc w:val="both"/>
        <w:rPr>
          <w:rFonts w:eastAsia="Calibri"/>
          <w:szCs w:val="24"/>
        </w:rPr>
      </w:pPr>
    </w:p>
    <w:p w14:paraId="5E007625" w14:textId="2C8098F1" w:rsidR="00477B49" w:rsidRPr="00687DE8" w:rsidRDefault="00634424" w:rsidP="00477B49">
      <w:pPr>
        <w:spacing w:after="0" w:line="240" w:lineRule="auto"/>
        <w:jc w:val="both"/>
        <w:rPr>
          <w:rFonts w:eastAsia="Calibri"/>
          <w:szCs w:val="24"/>
        </w:rPr>
      </w:pPr>
      <w:r w:rsidRPr="00687DE8">
        <w:rPr>
          <w:rFonts w:eastAsia="Calibri"/>
          <w:szCs w:val="24"/>
        </w:rPr>
        <w:t>(2</w:t>
      </w:r>
      <w:r w:rsidR="00C41E96">
        <w:rPr>
          <w:rFonts w:eastAsia="Calibri"/>
          <w:szCs w:val="24"/>
        </w:rPr>
        <w:t>7</w:t>
      </w:r>
      <w:r w:rsidRPr="00687DE8">
        <w:rPr>
          <w:rFonts w:eastAsia="Calibri"/>
          <w:szCs w:val="24"/>
        </w:rPr>
        <w:t xml:space="preserve">) </w:t>
      </w:r>
      <w:r w:rsidR="00AB790D" w:rsidRPr="00687DE8">
        <w:rPr>
          <w:szCs w:val="24"/>
        </w:rPr>
        <w:t>Koodidega 52454,</w:t>
      </w:r>
      <w:r w:rsidR="00F30F79" w:rsidRPr="00687DE8">
        <w:rPr>
          <w:szCs w:val="24"/>
        </w:rPr>
        <w:t xml:space="preserve"> </w:t>
      </w:r>
      <w:r w:rsidR="00AB790D" w:rsidRPr="00687DE8">
        <w:rPr>
          <w:szCs w:val="24"/>
        </w:rPr>
        <w:t>52455,</w:t>
      </w:r>
      <w:r w:rsidR="00F30F79" w:rsidRPr="00687DE8">
        <w:rPr>
          <w:szCs w:val="24"/>
        </w:rPr>
        <w:t xml:space="preserve"> </w:t>
      </w:r>
      <w:r w:rsidR="00AB790D" w:rsidRPr="00687DE8">
        <w:rPr>
          <w:szCs w:val="24"/>
        </w:rPr>
        <w:t>52456,</w:t>
      </w:r>
      <w:r w:rsidR="00F30F79" w:rsidRPr="00687DE8">
        <w:rPr>
          <w:szCs w:val="24"/>
        </w:rPr>
        <w:t xml:space="preserve"> </w:t>
      </w:r>
      <w:r w:rsidR="00AB790D" w:rsidRPr="00687DE8">
        <w:rPr>
          <w:szCs w:val="24"/>
        </w:rPr>
        <w:t>52</w:t>
      </w:r>
      <w:r w:rsidR="0000009A" w:rsidRPr="00687DE8">
        <w:rPr>
          <w:szCs w:val="24"/>
        </w:rPr>
        <w:t>4</w:t>
      </w:r>
      <w:r w:rsidR="00AB790D" w:rsidRPr="00687DE8">
        <w:rPr>
          <w:szCs w:val="24"/>
        </w:rPr>
        <w:t xml:space="preserve">61 ja 52465 tähistatud tervishoiuteenuseid ei rakendata täiendavalt koos koodidega 52450, 52451, 52452 </w:t>
      </w:r>
      <w:r w:rsidR="00972B8C" w:rsidRPr="00687DE8">
        <w:rPr>
          <w:szCs w:val="24"/>
        </w:rPr>
        <w:t>ja</w:t>
      </w:r>
      <w:r w:rsidR="00AB790D" w:rsidRPr="00687DE8">
        <w:rPr>
          <w:szCs w:val="24"/>
        </w:rPr>
        <w:t xml:space="preserve"> 52453 tähistatud tervishoiuteenustega</w:t>
      </w:r>
      <w:r w:rsidR="0000009A" w:rsidRPr="00687DE8">
        <w:rPr>
          <w:szCs w:val="24"/>
        </w:rPr>
        <w:t>.</w:t>
      </w:r>
    </w:p>
    <w:p w14:paraId="5D0D6FED" w14:textId="77777777" w:rsidR="008C67C3" w:rsidRPr="00687DE8" w:rsidRDefault="008C67C3" w:rsidP="00477B49">
      <w:pPr>
        <w:spacing w:after="0" w:line="240" w:lineRule="auto"/>
        <w:jc w:val="both"/>
        <w:rPr>
          <w:szCs w:val="24"/>
        </w:rPr>
      </w:pPr>
    </w:p>
    <w:p w14:paraId="4760A4A2" w14:textId="5C781816" w:rsidR="008F0343" w:rsidRPr="00687DE8" w:rsidRDefault="00E91908" w:rsidP="00477B49">
      <w:pPr>
        <w:spacing w:after="0" w:line="240" w:lineRule="auto"/>
        <w:jc w:val="both"/>
        <w:rPr>
          <w:rFonts w:eastAsia="Calibri"/>
          <w:szCs w:val="24"/>
        </w:rPr>
      </w:pPr>
      <w:r w:rsidRPr="00687DE8">
        <w:rPr>
          <w:szCs w:val="24"/>
        </w:rPr>
        <w:t>(2</w:t>
      </w:r>
      <w:r w:rsidR="00C41E96">
        <w:rPr>
          <w:szCs w:val="24"/>
        </w:rPr>
        <w:t>8</w:t>
      </w:r>
      <w:r w:rsidRPr="00687DE8">
        <w:rPr>
          <w:szCs w:val="24"/>
        </w:rPr>
        <w:t>)</w:t>
      </w:r>
      <w:r w:rsidR="00E96967" w:rsidRPr="00687DE8">
        <w:rPr>
          <w:szCs w:val="24"/>
        </w:rPr>
        <w:t xml:space="preserve"> </w:t>
      </w:r>
      <w:r w:rsidR="00D00759" w:rsidRPr="00687DE8">
        <w:rPr>
          <w:szCs w:val="24"/>
        </w:rPr>
        <w:t>Koodiga 52670 tähistatud tervishoiuteenuse piirhind sisaldab järgmisi tegevusi:</w:t>
      </w:r>
    </w:p>
    <w:p w14:paraId="63B6479F" w14:textId="6B61D1CD" w:rsidR="008C67C3" w:rsidRPr="00687DE8" w:rsidRDefault="008C67C3" w:rsidP="008C67C3">
      <w:pPr>
        <w:spacing w:after="0" w:line="240" w:lineRule="auto"/>
        <w:jc w:val="both"/>
        <w:rPr>
          <w:rFonts w:eastAsia="Calibri"/>
          <w:szCs w:val="24"/>
        </w:rPr>
      </w:pPr>
      <w:r w:rsidRPr="00687DE8">
        <w:rPr>
          <w:rFonts w:eastAsia="Calibri"/>
          <w:szCs w:val="24"/>
        </w:rPr>
        <w:t>1) vestlus patsiendiga ning anamneesi kogumine ja talletamine;</w:t>
      </w:r>
    </w:p>
    <w:p w14:paraId="62E6960C" w14:textId="6DE88A37" w:rsidR="008C67C3" w:rsidRPr="00687DE8" w:rsidRDefault="008C67C3" w:rsidP="008C67C3">
      <w:pPr>
        <w:spacing w:after="0" w:line="240" w:lineRule="auto"/>
        <w:jc w:val="both"/>
        <w:rPr>
          <w:rFonts w:eastAsia="Calibri"/>
          <w:szCs w:val="24"/>
        </w:rPr>
      </w:pPr>
      <w:r w:rsidRPr="00687DE8">
        <w:rPr>
          <w:rFonts w:eastAsia="Calibri"/>
          <w:szCs w:val="24"/>
        </w:rPr>
        <w:t>2) haige uurimine, staatuse hindamine</w:t>
      </w:r>
      <w:r w:rsidR="001C55A1" w:rsidRPr="00687DE8">
        <w:rPr>
          <w:rFonts w:eastAsia="Calibri"/>
          <w:szCs w:val="24"/>
        </w:rPr>
        <w:t xml:space="preserve"> ja</w:t>
      </w:r>
      <w:r w:rsidRPr="00687DE8">
        <w:rPr>
          <w:rFonts w:eastAsia="Calibri"/>
          <w:szCs w:val="24"/>
        </w:rPr>
        <w:t xml:space="preserve"> raviplaani koostamine;</w:t>
      </w:r>
    </w:p>
    <w:p w14:paraId="43172ACB" w14:textId="06117872" w:rsidR="008C67C3" w:rsidRPr="00687DE8" w:rsidRDefault="008C67C3" w:rsidP="008C67C3">
      <w:pPr>
        <w:spacing w:after="0" w:line="240" w:lineRule="auto"/>
        <w:jc w:val="both"/>
        <w:rPr>
          <w:rFonts w:eastAsia="Calibri"/>
          <w:szCs w:val="24"/>
        </w:rPr>
      </w:pPr>
      <w:r w:rsidRPr="00687DE8">
        <w:rPr>
          <w:rFonts w:eastAsia="Calibri"/>
          <w:szCs w:val="24"/>
        </w:rPr>
        <w:t>3) haige ja tema lähedase nõustamine</w:t>
      </w:r>
      <w:r w:rsidR="001C55A1" w:rsidRPr="00687DE8">
        <w:rPr>
          <w:rFonts w:eastAsia="Calibri"/>
          <w:szCs w:val="24"/>
        </w:rPr>
        <w:t xml:space="preserve"> ja</w:t>
      </w:r>
      <w:r w:rsidRPr="00687DE8">
        <w:rPr>
          <w:rFonts w:eastAsia="Calibri"/>
          <w:szCs w:val="24"/>
        </w:rPr>
        <w:t xml:space="preserve"> eesmärkide seadmine;</w:t>
      </w:r>
    </w:p>
    <w:p w14:paraId="31775621" w14:textId="674669CE" w:rsidR="00D00759" w:rsidRPr="00687DE8" w:rsidRDefault="008C67C3" w:rsidP="00477B49">
      <w:pPr>
        <w:spacing w:after="0" w:line="240" w:lineRule="auto"/>
        <w:jc w:val="both"/>
        <w:rPr>
          <w:rFonts w:eastAsia="Calibri"/>
          <w:szCs w:val="24"/>
        </w:rPr>
      </w:pPr>
      <w:r w:rsidRPr="00687DE8">
        <w:rPr>
          <w:rFonts w:eastAsia="Calibri"/>
          <w:szCs w:val="24"/>
        </w:rPr>
        <w:t>4) teenuste osutamist tõendavate dokumentide vormistamine.</w:t>
      </w:r>
    </w:p>
    <w:p w14:paraId="0E165A18" w14:textId="77777777" w:rsidR="008C67C3" w:rsidRPr="00687DE8" w:rsidRDefault="008C67C3" w:rsidP="008C67C3">
      <w:pPr>
        <w:spacing w:after="0" w:line="240" w:lineRule="auto"/>
        <w:jc w:val="both"/>
        <w:rPr>
          <w:rFonts w:eastAsia="Calibri"/>
          <w:szCs w:val="24"/>
        </w:rPr>
      </w:pPr>
    </w:p>
    <w:p w14:paraId="0E72B2E5" w14:textId="0640E939" w:rsidR="008C67C3" w:rsidRPr="00687DE8" w:rsidRDefault="008C67C3" w:rsidP="008C67C3">
      <w:pPr>
        <w:spacing w:after="0" w:line="240" w:lineRule="auto"/>
        <w:jc w:val="both"/>
        <w:rPr>
          <w:szCs w:val="24"/>
        </w:rPr>
      </w:pPr>
      <w:r w:rsidRPr="00687DE8">
        <w:rPr>
          <w:rFonts w:eastAsia="Calibri"/>
          <w:szCs w:val="24"/>
        </w:rPr>
        <w:lastRenderedPageBreak/>
        <w:t>(</w:t>
      </w:r>
      <w:r w:rsidR="00C41E96">
        <w:rPr>
          <w:rFonts w:eastAsia="Calibri"/>
          <w:szCs w:val="24"/>
        </w:rPr>
        <w:t>29</w:t>
      </w:r>
      <w:r w:rsidRPr="00687DE8">
        <w:rPr>
          <w:rFonts w:eastAsia="Calibri"/>
          <w:szCs w:val="24"/>
        </w:rPr>
        <w:t xml:space="preserve">) </w:t>
      </w:r>
      <w:r w:rsidR="00D25A2F" w:rsidRPr="00687DE8">
        <w:rPr>
          <w:szCs w:val="24"/>
        </w:rPr>
        <w:t xml:space="preserve">Tervisekassa võtab koodiga 52670 tähistatud tervishoiuteenuse eest </w:t>
      </w:r>
      <w:r w:rsidR="006825E1" w:rsidRPr="00687DE8">
        <w:rPr>
          <w:szCs w:val="24"/>
        </w:rPr>
        <w:t xml:space="preserve">tasu maksmise kohustuse üle </w:t>
      </w:r>
      <w:r w:rsidR="00D25A2F" w:rsidRPr="00687DE8">
        <w:rPr>
          <w:szCs w:val="24"/>
        </w:rPr>
        <w:t>juhul, kui patsient pöördub orofatsiaalse müofunktsionaalse teraapia spetsialisti poole esimest korda või kui patsiendi vastuvõtust on möödunud vähemalt üks aasta.</w:t>
      </w:r>
    </w:p>
    <w:p w14:paraId="7836FE32" w14:textId="77777777" w:rsidR="00D25A2F" w:rsidRPr="00687DE8" w:rsidRDefault="00D25A2F" w:rsidP="008C67C3">
      <w:pPr>
        <w:spacing w:after="0" w:line="240" w:lineRule="auto"/>
        <w:jc w:val="both"/>
        <w:rPr>
          <w:szCs w:val="24"/>
        </w:rPr>
      </w:pPr>
    </w:p>
    <w:p w14:paraId="6543E571" w14:textId="033FF266" w:rsidR="00DB2EE9" w:rsidRPr="00687DE8" w:rsidRDefault="00D25A2F" w:rsidP="00DB2EE9">
      <w:pPr>
        <w:spacing w:after="0" w:line="240" w:lineRule="auto"/>
        <w:jc w:val="both"/>
        <w:rPr>
          <w:szCs w:val="24"/>
        </w:rPr>
      </w:pPr>
      <w:r w:rsidRPr="00687DE8">
        <w:rPr>
          <w:szCs w:val="24"/>
        </w:rPr>
        <w:t>(3</w:t>
      </w:r>
      <w:r w:rsidR="00C41E96">
        <w:rPr>
          <w:szCs w:val="24"/>
        </w:rPr>
        <w:t>0</w:t>
      </w:r>
      <w:r w:rsidRPr="00687DE8">
        <w:rPr>
          <w:szCs w:val="24"/>
        </w:rPr>
        <w:t xml:space="preserve">) </w:t>
      </w:r>
      <w:r w:rsidR="00DB2EE9" w:rsidRPr="00687DE8">
        <w:rPr>
          <w:szCs w:val="24"/>
        </w:rPr>
        <w:t>Koodiga 52671 tähistatud tervishoiuteenuse piirhind sisaldab järgmisi tegevusi:</w:t>
      </w:r>
    </w:p>
    <w:p w14:paraId="78C614DC" w14:textId="62762CE0" w:rsidR="00DB2EE9" w:rsidRPr="00687DE8" w:rsidRDefault="00DB2EE9" w:rsidP="00DB2EE9">
      <w:pPr>
        <w:spacing w:after="0" w:line="240" w:lineRule="auto"/>
        <w:jc w:val="both"/>
        <w:rPr>
          <w:szCs w:val="24"/>
        </w:rPr>
      </w:pPr>
      <w:r w:rsidRPr="00687DE8">
        <w:rPr>
          <w:szCs w:val="24"/>
        </w:rPr>
        <w:t>1) varem õpitud harjutuste soorituse hindamine;</w:t>
      </w:r>
    </w:p>
    <w:p w14:paraId="621B42F1" w14:textId="6AA4882E" w:rsidR="00DB2EE9" w:rsidRPr="00687DE8" w:rsidRDefault="00DB2EE9" w:rsidP="00DB2EE9">
      <w:pPr>
        <w:spacing w:after="0" w:line="240" w:lineRule="auto"/>
        <w:jc w:val="both"/>
        <w:rPr>
          <w:szCs w:val="24"/>
        </w:rPr>
      </w:pPr>
      <w:r w:rsidRPr="00687DE8">
        <w:rPr>
          <w:szCs w:val="24"/>
        </w:rPr>
        <w:t>2) uute harjutuste õppimine vastavalt seatud eesmärkidele ja koostatud raviplaanile;</w:t>
      </w:r>
    </w:p>
    <w:p w14:paraId="4AE3FDAD" w14:textId="450941C0" w:rsidR="00DB2EE9" w:rsidRPr="00687DE8" w:rsidRDefault="00DB2EE9" w:rsidP="00DB2EE9">
      <w:pPr>
        <w:spacing w:after="0" w:line="240" w:lineRule="auto"/>
        <w:jc w:val="both"/>
        <w:rPr>
          <w:szCs w:val="24"/>
        </w:rPr>
      </w:pPr>
      <w:r w:rsidRPr="00687DE8">
        <w:rPr>
          <w:szCs w:val="24"/>
        </w:rPr>
        <w:t>3) patsiendi informeerimine ja raviplaanis olevate harjutuste eesmärkide selgitamine;</w:t>
      </w:r>
    </w:p>
    <w:p w14:paraId="2787C5CB" w14:textId="0F2C31F4" w:rsidR="00DB2EE9" w:rsidRPr="00687DE8" w:rsidRDefault="00DB2EE9" w:rsidP="00DB2EE9">
      <w:pPr>
        <w:spacing w:after="0" w:line="240" w:lineRule="auto"/>
        <w:jc w:val="both"/>
        <w:rPr>
          <w:szCs w:val="24"/>
        </w:rPr>
      </w:pPr>
      <w:r w:rsidRPr="00687DE8">
        <w:rPr>
          <w:szCs w:val="24"/>
        </w:rPr>
        <w:t>4) raviprotokolli täitmine iga teraapiaseansi kohta;</w:t>
      </w:r>
    </w:p>
    <w:p w14:paraId="1EBBBE76" w14:textId="2D8510E5" w:rsidR="00DB2EE9" w:rsidRPr="00687DE8" w:rsidRDefault="00DB2EE9" w:rsidP="00DB2EE9">
      <w:pPr>
        <w:spacing w:after="0" w:line="240" w:lineRule="auto"/>
        <w:jc w:val="both"/>
        <w:rPr>
          <w:szCs w:val="24"/>
        </w:rPr>
      </w:pPr>
      <w:r w:rsidRPr="00687DE8">
        <w:rPr>
          <w:szCs w:val="24"/>
        </w:rPr>
        <w:t>5) raviplaani korrigeerimine;</w:t>
      </w:r>
    </w:p>
    <w:p w14:paraId="19BAE534" w14:textId="64E5DDF5" w:rsidR="00D25A2F" w:rsidRPr="00687DE8" w:rsidRDefault="00DB2EE9" w:rsidP="008C67C3">
      <w:pPr>
        <w:spacing w:after="0" w:line="240" w:lineRule="auto"/>
        <w:jc w:val="both"/>
        <w:rPr>
          <w:rFonts w:eastAsia="Calibri"/>
          <w:szCs w:val="24"/>
        </w:rPr>
      </w:pPr>
      <w:r w:rsidRPr="00687DE8">
        <w:rPr>
          <w:szCs w:val="24"/>
        </w:rPr>
        <w:t>6) teenuste osutamist tõendavate dokumentide vormistamine.</w:t>
      </w:r>
    </w:p>
    <w:p w14:paraId="27B22F99" w14:textId="77777777" w:rsidR="00DB2EE9" w:rsidRPr="00687DE8" w:rsidRDefault="00DB2EE9" w:rsidP="00DB2EE9">
      <w:pPr>
        <w:spacing w:after="0" w:line="240" w:lineRule="auto"/>
        <w:jc w:val="both"/>
        <w:rPr>
          <w:szCs w:val="24"/>
        </w:rPr>
      </w:pPr>
    </w:p>
    <w:p w14:paraId="47469A53" w14:textId="4742D97E" w:rsidR="00DB2EE9" w:rsidRPr="00687DE8" w:rsidRDefault="00DB2EE9" w:rsidP="00DB2EE9">
      <w:pPr>
        <w:spacing w:after="0" w:line="240" w:lineRule="auto"/>
        <w:jc w:val="both"/>
        <w:rPr>
          <w:szCs w:val="24"/>
        </w:rPr>
      </w:pPr>
      <w:r w:rsidRPr="00687DE8">
        <w:rPr>
          <w:szCs w:val="24"/>
        </w:rPr>
        <w:t>(3</w:t>
      </w:r>
      <w:r w:rsidR="00C41E96">
        <w:rPr>
          <w:szCs w:val="24"/>
        </w:rPr>
        <w:t>1</w:t>
      </w:r>
      <w:r w:rsidRPr="00687DE8">
        <w:rPr>
          <w:szCs w:val="24"/>
        </w:rPr>
        <w:t xml:space="preserve">) </w:t>
      </w:r>
      <w:r w:rsidR="003468BB" w:rsidRPr="00687DE8">
        <w:rPr>
          <w:szCs w:val="24"/>
        </w:rPr>
        <w:t>Koodidega 52671 ja 52672 tähistatud tervishoiuteenuste piirhinda rakendatakse ühele isikule osutatud tervishoiuteenuse korral kokku kuni 15 korda kalendriaastas.</w:t>
      </w:r>
    </w:p>
    <w:p w14:paraId="2A66771E" w14:textId="77777777" w:rsidR="003468BB" w:rsidRPr="00687DE8" w:rsidRDefault="003468BB" w:rsidP="00DB2EE9">
      <w:pPr>
        <w:spacing w:after="0" w:line="240" w:lineRule="auto"/>
        <w:jc w:val="both"/>
        <w:rPr>
          <w:szCs w:val="24"/>
        </w:rPr>
      </w:pPr>
    </w:p>
    <w:p w14:paraId="50A08E4B" w14:textId="6A9E9795" w:rsidR="009B6B2E" w:rsidRPr="00687DE8" w:rsidRDefault="00585B75" w:rsidP="009B6B2E">
      <w:pPr>
        <w:spacing w:after="0" w:line="240" w:lineRule="auto"/>
        <w:jc w:val="both"/>
        <w:rPr>
          <w:szCs w:val="24"/>
        </w:rPr>
      </w:pPr>
      <w:r w:rsidRPr="00687DE8">
        <w:rPr>
          <w:szCs w:val="24"/>
        </w:rPr>
        <w:t>(3</w:t>
      </w:r>
      <w:r w:rsidR="00C41E96">
        <w:rPr>
          <w:szCs w:val="24"/>
        </w:rPr>
        <w:t>2</w:t>
      </w:r>
      <w:r w:rsidRPr="00687DE8">
        <w:rPr>
          <w:szCs w:val="24"/>
        </w:rPr>
        <w:t xml:space="preserve">) </w:t>
      </w:r>
      <w:r w:rsidR="009B6B2E" w:rsidRPr="00687DE8">
        <w:rPr>
          <w:szCs w:val="24"/>
        </w:rPr>
        <w:t>Koodiga 52672 tähistatud tervishoiuteenuse piirhind sisaldab järgmisi tegevusi:</w:t>
      </w:r>
    </w:p>
    <w:p w14:paraId="3A7FC0A4" w14:textId="6180E5C1" w:rsidR="009B6B2E" w:rsidRPr="00687DE8" w:rsidRDefault="009B6B2E" w:rsidP="009B6B2E">
      <w:pPr>
        <w:spacing w:after="0" w:line="240" w:lineRule="auto"/>
        <w:jc w:val="both"/>
        <w:rPr>
          <w:szCs w:val="24"/>
        </w:rPr>
      </w:pPr>
      <w:r w:rsidRPr="00687DE8">
        <w:rPr>
          <w:szCs w:val="24"/>
        </w:rPr>
        <w:t>1) patsiendi ja tema lähedase nõustamine ravi vältel;</w:t>
      </w:r>
    </w:p>
    <w:p w14:paraId="520E34E9" w14:textId="28FB1094" w:rsidR="009B6B2E" w:rsidRPr="00687DE8" w:rsidRDefault="009B6B2E" w:rsidP="009B6B2E">
      <w:pPr>
        <w:spacing w:after="0" w:line="240" w:lineRule="auto"/>
        <w:jc w:val="both"/>
        <w:rPr>
          <w:szCs w:val="24"/>
        </w:rPr>
      </w:pPr>
      <w:r w:rsidRPr="00687DE8">
        <w:rPr>
          <w:szCs w:val="24"/>
        </w:rPr>
        <w:t>2) järelkontroll ravi järel;</w:t>
      </w:r>
    </w:p>
    <w:p w14:paraId="4E8D3DE9" w14:textId="42B7D415" w:rsidR="003468BB" w:rsidRPr="00687DE8" w:rsidRDefault="009B6B2E" w:rsidP="009B6B2E">
      <w:pPr>
        <w:spacing w:after="0" w:line="240" w:lineRule="auto"/>
        <w:jc w:val="both"/>
        <w:rPr>
          <w:szCs w:val="24"/>
        </w:rPr>
      </w:pPr>
      <w:r w:rsidRPr="00687DE8">
        <w:rPr>
          <w:szCs w:val="24"/>
        </w:rPr>
        <w:t>3) teenuste osutamist tõendavate dokumentide vormistamine.</w:t>
      </w:r>
    </w:p>
    <w:p w14:paraId="0A462779" w14:textId="77777777" w:rsidR="009B6B2E" w:rsidRPr="00687DE8" w:rsidRDefault="009B6B2E" w:rsidP="009B6B2E">
      <w:pPr>
        <w:spacing w:after="0" w:line="240" w:lineRule="auto"/>
        <w:jc w:val="both"/>
        <w:rPr>
          <w:szCs w:val="24"/>
        </w:rPr>
      </w:pPr>
    </w:p>
    <w:p w14:paraId="28CBEA0E" w14:textId="612A13AE" w:rsidR="009B6B2E" w:rsidRPr="00687DE8" w:rsidRDefault="009B6B2E" w:rsidP="009B6B2E">
      <w:pPr>
        <w:spacing w:after="0" w:line="240" w:lineRule="auto"/>
        <w:jc w:val="both"/>
        <w:rPr>
          <w:rFonts w:eastAsia="Calibri"/>
          <w:szCs w:val="24"/>
        </w:rPr>
      </w:pPr>
      <w:r w:rsidRPr="00687DE8">
        <w:rPr>
          <w:szCs w:val="24"/>
        </w:rPr>
        <w:t>(3</w:t>
      </w:r>
      <w:r w:rsidR="00C41E96">
        <w:rPr>
          <w:szCs w:val="24"/>
        </w:rPr>
        <w:t>3</w:t>
      </w:r>
      <w:r w:rsidRPr="00687DE8">
        <w:rPr>
          <w:szCs w:val="24"/>
        </w:rPr>
        <w:t xml:space="preserve">) </w:t>
      </w:r>
      <w:r w:rsidR="00187240" w:rsidRPr="00687DE8">
        <w:rPr>
          <w:szCs w:val="24"/>
        </w:rPr>
        <w:t>Koodidega 52670, 52671 ja 52672 tähistatud tervishoiuteenuste piirhinda rakendatakse juhul, kui teenust osutatakse ortodondi või hambaarsti suunamisel.</w:t>
      </w:r>
    </w:p>
    <w:p w14:paraId="06982F21" w14:textId="77777777" w:rsidR="00976487" w:rsidRPr="00687DE8" w:rsidRDefault="00976487" w:rsidP="00B47455">
      <w:pPr>
        <w:pStyle w:val="Normaallaadveeb"/>
        <w:spacing w:before="0" w:after="0" w:afterAutospacing="0"/>
        <w:jc w:val="both"/>
        <w:divId w:val="1316184749"/>
      </w:pPr>
    </w:p>
    <w:p w14:paraId="1754C56E" w14:textId="77777777" w:rsidR="00976487" w:rsidRDefault="5C52CFD9" w:rsidP="5C52CFD9">
      <w:pPr>
        <w:pStyle w:val="Pealkiri3"/>
        <w:spacing w:before="0" w:after="0" w:afterAutospacing="0"/>
        <w:jc w:val="both"/>
        <w:divId w:val="1316184749"/>
        <w:rPr>
          <w:sz w:val="24"/>
          <w:szCs w:val="24"/>
        </w:rPr>
      </w:pPr>
      <w:r w:rsidRPr="00687DE8">
        <w:rPr>
          <w:rStyle w:val="Tugev"/>
          <w:b/>
          <w:bCs/>
          <w:sz w:val="24"/>
          <w:szCs w:val="24"/>
        </w:rPr>
        <w:t>§ 78.</w:t>
      </w:r>
      <w:r w:rsidRPr="00687DE8">
        <w:rPr>
          <w:sz w:val="24"/>
          <w:szCs w:val="24"/>
        </w:rPr>
        <w:t> Hambaproteeside piirhinnad</w:t>
      </w:r>
    </w:p>
    <w:p w14:paraId="5B11B75F" w14:textId="77777777" w:rsidR="00D35BE0" w:rsidRDefault="00D35BE0" w:rsidP="00976487">
      <w:pPr>
        <w:pStyle w:val="Normaallaadveeb"/>
        <w:spacing w:before="0" w:after="0" w:afterAutospacing="0"/>
        <w:jc w:val="both"/>
        <w:divId w:val="1316184749"/>
      </w:pPr>
    </w:p>
    <w:p w14:paraId="2A26C888" w14:textId="5D77E179" w:rsidR="00976487" w:rsidRPr="00687DE8" w:rsidRDefault="00976487" w:rsidP="00976487">
      <w:pPr>
        <w:pStyle w:val="Normaallaadveeb"/>
        <w:spacing w:before="0" w:after="0" w:afterAutospacing="0"/>
        <w:jc w:val="both"/>
        <w:divId w:val="1316184749"/>
      </w:pPr>
      <w:r w:rsidRPr="00687DE8">
        <w:t>(1) Hambaproteeside piirhinnad on järgmised:</w:t>
      </w:r>
    </w:p>
    <w:p w14:paraId="2CE7CC65" w14:textId="77777777" w:rsidR="00976487" w:rsidRPr="00687DE8" w:rsidRDefault="00976487" w:rsidP="00976487">
      <w:pPr>
        <w:pStyle w:val="Normaallaadveeb"/>
        <w:spacing w:before="0" w:after="0" w:afterAutospacing="0"/>
        <w:jc w:val="both"/>
        <w:divId w:val="1316184749"/>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1081"/>
        <w:gridCol w:w="1625"/>
      </w:tblGrid>
      <w:tr w:rsidR="00976487" w:rsidRPr="00687DE8" w14:paraId="1FD29697" w14:textId="77777777" w:rsidTr="00947CF5">
        <w:trPr>
          <w:divId w:val="1316184749"/>
          <w:tblHeader/>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990101" w14:textId="77777777" w:rsidR="00976487" w:rsidRPr="00687DE8" w:rsidRDefault="00976487" w:rsidP="007122D9">
            <w:pPr>
              <w:pStyle w:val="Normaallaadveeb"/>
              <w:spacing w:before="0" w:after="0" w:afterAutospacing="0"/>
              <w:jc w:val="center"/>
            </w:pPr>
            <w:r w:rsidRPr="00687DE8">
              <w:rPr>
                <w:b/>
                <w:bCs/>
              </w:rPr>
              <w:t>Tervishoiuteenuse nimetus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C853B0" w14:textId="77777777" w:rsidR="00976487" w:rsidRPr="00687DE8" w:rsidRDefault="00976487" w:rsidP="007122D9">
            <w:pPr>
              <w:pStyle w:val="Normaallaadveeb"/>
              <w:spacing w:before="0" w:after="0" w:afterAutospacing="0"/>
              <w:jc w:val="center"/>
            </w:pPr>
            <w:r w:rsidRPr="00687DE8">
              <w:rPr>
                <w:b/>
                <w:bCs/>
              </w:rPr>
              <w:t>Kood</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3F55FD" w14:textId="77777777" w:rsidR="00976487" w:rsidRPr="00687DE8" w:rsidRDefault="00976487" w:rsidP="007122D9">
            <w:pPr>
              <w:pStyle w:val="Normaallaadveeb"/>
              <w:tabs>
                <w:tab w:val="decimal" w:pos="635"/>
              </w:tabs>
              <w:spacing w:before="0" w:after="0" w:afterAutospacing="0"/>
              <w:jc w:val="center"/>
            </w:pPr>
            <w:r w:rsidRPr="00687DE8">
              <w:rPr>
                <w:b/>
                <w:bCs/>
              </w:rPr>
              <w:t>Piirhind</w:t>
            </w:r>
            <w:r w:rsidRPr="00687DE8">
              <w:rPr>
                <w:b/>
              </w:rPr>
              <w:br/>
            </w:r>
            <w:r w:rsidRPr="00687DE8">
              <w:rPr>
                <w:b/>
                <w:bCs/>
              </w:rPr>
              <w:t>eurodes</w:t>
            </w:r>
          </w:p>
        </w:tc>
      </w:tr>
      <w:tr w:rsidR="00976487" w:rsidRPr="00687DE8" w14:paraId="6ED70EB5" w14:textId="77777777" w:rsidTr="002C2A0D">
        <w:trPr>
          <w:divId w:val="1316184749"/>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E7E3DD" w14:textId="77777777" w:rsidR="00976487" w:rsidRPr="00687DE8" w:rsidRDefault="00976487" w:rsidP="007122D9">
            <w:pPr>
              <w:pStyle w:val="Normaallaadveeb"/>
              <w:spacing w:before="0" w:after="0" w:afterAutospacing="0"/>
            </w:pPr>
            <w:r w:rsidRPr="00687DE8">
              <w:rPr>
                <w:b/>
                <w:bCs/>
              </w:rPr>
              <w:t>Plaatproteesid</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1D7A4B" w14:textId="77777777" w:rsidR="00976487" w:rsidRPr="00687DE8" w:rsidRDefault="00976487" w:rsidP="007122D9">
            <w:pPr>
              <w:spacing w:after="0" w:line="240" w:lineRule="auto"/>
              <w:rPr>
                <w:szCs w:val="24"/>
              </w:rPr>
            </w:pP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E93D07" w14:textId="77777777" w:rsidR="00976487" w:rsidRPr="00687DE8" w:rsidRDefault="00976487" w:rsidP="007122D9">
            <w:pPr>
              <w:spacing w:after="0" w:line="240" w:lineRule="auto"/>
              <w:rPr>
                <w:szCs w:val="24"/>
                <w:lang w:eastAsia="et-EE"/>
              </w:rPr>
            </w:pPr>
          </w:p>
        </w:tc>
      </w:tr>
      <w:tr w:rsidR="0059401A" w:rsidRPr="00687DE8" w14:paraId="24F72347"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5C1570" w14:textId="77777777" w:rsidR="0059401A" w:rsidRPr="00687DE8" w:rsidRDefault="0059401A" w:rsidP="007122D9">
            <w:pPr>
              <w:pStyle w:val="Normaallaadveeb"/>
              <w:spacing w:before="0" w:after="0" w:afterAutospacing="0"/>
            </w:pPr>
            <w:r w:rsidRPr="00687DE8">
              <w:t>Osalise proteesi baashind</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AF41E1" w14:textId="77777777" w:rsidR="0059401A" w:rsidRPr="00687DE8" w:rsidRDefault="0059401A" w:rsidP="007122D9">
            <w:pPr>
              <w:pStyle w:val="Normaallaadveeb"/>
              <w:spacing w:before="0" w:after="0" w:afterAutospacing="0"/>
              <w:jc w:val="center"/>
            </w:pPr>
            <w:r w:rsidRPr="00687DE8">
              <w:t>5004</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EF5918" w14:textId="6AE69181" w:rsidR="1A53EF6A" w:rsidRPr="00687DE8" w:rsidRDefault="001C6910">
            <w:pPr>
              <w:spacing w:after="0"/>
              <w:jc w:val="center"/>
              <w:rPr>
                <w:color w:val="000000" w:themeColor="text1"/>
                <w:szCs w:val="24"/>
              </w:rPr>
            </w:pPr>
            <w:r>
              <w:rPr>
                <w:color w:val="000000"/>
              </w:rPr>
              <w:t>178,85</w:t>
            </w:r>
          </w:p>
        </w:tc>
      </w:tr>
      <w:tr w:rsidR="0059401A" w:rsidRPr="00687DE8" w14:paraId="6F28CD07"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1120C7" w14:textId="77777777" w:rsidR="0059401A" w:rsidRPr="00687DE8" w:rsidRDefault="0059401A" w:rsidP="007122D9">
            <w:pPr>
              <w:pStyle w:val="Normaallaadveeb"/>
              <w:spacing w:before="0" w:after="0" w:afterAutospacing="0"/>
            </w:pPr>
            <w:r w:rsidRPr="00687DE8">
              <w:t>Proteesi baasis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233ECC" w14:textId="77777777" w:rsidR="0059401A" w:rsidRPr="00687DE8" w:rsidRDefault="0059401A" w:rsidP="007122D9">
            <w:pPr>
              <w:pStyle w:val="Normaallaadveeb"/>
              <w:spacing w:before="0" w:after="0" w:afterAutospacing="0"/>
              <w:jc w:val="center"/>
            </w:pPr>
            <w:r w:rsidRPr="00687DE8">
              <w:t>5005</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E76147" w14:textId="2A68FA33" w:rsidR="1A53EF6A" w:rsidRPr="00687DE8" w:rsidRDefault="001C6910">
            <w:pPr>
              <w:spacing w:after="0"/>
              <w:jc w:val="center"/>
              <w:rPr>
                <w:color w:val="000000" w:themeColor="text1"/>
                <w:szCs w:val="24"/>
              </w:rPr>
            </w:pPr>
            <w:r>
              <w:rPr>
                <w:color w:val="000000"/>
              </w:rPr>
              <w:t>27,16</w:t>
            </w:r>
          </w:p>
        </w:tc>
      </w:tr>
      <w:tr w:rsidR="0059401A" w:rsidRPr="00687DE8" w14:paraId="2EEA4FDB"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4E842D" w14:textId="77777777" w:rsidR="0059401A" w:rsidRPr="00687DE8" w:rsidRDefault="0059401A" w:rsidP="007122D9">
            <w:pPr>
              <w:pStyle w:val="Normaallaadveeb"/>
              <w:spacing w:before="0" w:after="0" w:afterAutospacing="0"/>
            </w:pPr>
            <w:r w:rsidRPr="00687DE8">
              <w:t>Lihtne plastmasshammas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3164EC" w14:textId="77777777" w:rsidR="0059401A" w:rsidRPr="00687DE8" w:rsidRDefault="0059401A" w:rsidP="007122D9">
            <w:pPr>
              <w:pStyle w:val="Normaallaadveeb"/>
              <w:spacing w:before="0" w:after="0" w:afterAutospacing="0"/>
              <w:jc w:val="center"/>
            </w:pPr>
            <w:r w:rsidRPr="00687DE8">
              <w:t>5006</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A8F479" w14:textId="18534594" w:rsidR="1A53EF6A" w:rsidRPr="00687DE8" w:rsidRDefault="001C6910">
            <w:pPr>
              <w:spacing w:after="0"/>
              <w:jc w:val="center"/>
              <w:rPr>
                <w:color w:val="000000" w:themeColor="text1"/>
                <w:szCs w:val="24"/>
              </w:rPr>
            </w:pPr>
            <w:r>
              <w:rPr>
                <w:color w:val="000000"/>
              </w:rPr>
              <w:t>3,15</w:t>
            </w:r>
          </w:p>
        </w:tc>
      </w:tr>
      <w:tr w:rsidR="0059401A" w:rsidRPr="00687DE8" w14:paraId="470A47DF"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064E49" w14:textId="77777777" w:rsidR="0059401A" w:rsidRPr="00687DE8" w:rsidRDefault="0059401A" w:rsidP="007122D9">
            <w:pPr>
              <w:pStyle w:val="Normaallaadveeb"/>
              <w:spacing w:before="0" w:after="0" w:afterAutospacing="0"/>
            </w:pPr>
            <w:r w:rsidRPr="00687DE8">
              <w:t>Mitmekihiline plastmasshammas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F63C89" w14:textId="77777777" w:rsidR="0059401A" w:rsidRPr="00687DE8" w:rsidRDefault="0059401A" w:rsidP="007122D9">
            <w:pPr>
              <w:pStyle w:val="Normaallaadveeb"/>
              <w:spacing w:before="0" w:after="0" w:afterAutospacing="0"/>
              <w:jc w:val="center"/>
            </w:pPr>
            <w:r w:rsidRPr="00687DE8">
              <w:t>5007</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F7A793" w14:textId="4DA10A71" w:rsidR="1A53EF6A" w:rsidRPr="00687DE8" w:rsidRDefault="001C6910">
            <w:pPr>
              <w:spacing w:after="0"/>
              <w:jc w:val="center"/>
              <w:rPr>
                <w:color w:val="000000" w:themeColor="text1"/>
                <w:szCs w:val="24"/>
              </w:rPr>
            </w:pPr>
            <w:r>
              <w:rPr>
                <w:color w:val="000000"/>
              </w:rPr>
              <w:t>5,26</w:t>
            </w:r>
          </w:p>
        </w:tc>
      </w:tr>
      <w:tr w:rsidR="0059401A" w:rsidRPr="00687DE8" w14:paraId="1160A45F"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740A87" w14:textId="77777777" w:rsidR="0059401A" w:rsidRPr="00687DE8" w:rsidRDefault="0059401A" w:rsidP="007122D9">
            <w:pPr>
              <w:pStyle w:val="Normaallaadveeb"/>
              <w:spacing w:before="0" w:after="0" w:afterAutospacing="0"/>
            </w:pPr>
            <w:r w:rsidRPr="00687DE8">
              <w:t>Ühe lihtsate plastmasshammastega täisproteesi komplekshind üla- või alalõuale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C4D90D" w14:textId="77777777" w:rsidR="0059401A" w:rsidRPr="00687DE8" w:rsidRDefault="0059401A" w:rsidP="007122D9">
            <w:pPr>
              <w:pStyle w:val="Normaallaadveeb"/>
              <w:spacing w:before="0" w:after="0" w:afterAutospacing="0"/>
              <w:jc w:val="center"/>
            </w:pPr>
          </w:p>
          <w:p w14:paraId="50C792E0" w14:textId="77777777" w:rsidR="0059401A" w:rsidRPr="00687DE8" w:rsidRDefault="0059401A" w:rsidP="007122D9">
            <w:pPr>
              <w:pStyle w:val="Normaallaadveeb"/>
              <w:spacing w:before="0" w:after="0" w:afterAutospacing="0"/>
              <w:jc w:val="center"/>
            </w:pPr>
            <w:r w:rsidRPr="00687DE8">
              <w:t>5008</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F2F44E" w14:textId="361A7C6D" w:rsidR="1A53EF6A" w:rsidRPr="00687DE8" w:rsidRDefault="001C6910">
            <w:pPr>
              <w:spacing w:after="0"/>
              <w:jc w:val="center"/>
              <w:rPr>
                <w:color w:val="000000" w:themeColor="text1"/>
                <w:szCs w:val="24"/>
              </w:rPr>
            </w:pPr>
            <w:r>
              <w:rPr>
                <w:color w:val="000000"/>
              </w:rPr>
              <w:t>305,10</w:t>
            </w:r>
          </w:p>
        </w:tc>
      </w:tr>
      <w:tr w:rsidR="0059401A" w:rsidRPr="00687DE8" w14:paraId="752B794A"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8E7BAC" w14:textId="77777777" w:rsidR="0059401A" w:rsidRPr="00687DE8" w:rsidRDefault="0059401A" w:rsidP="007122D9">
            <w:pPr>
              <w:pStyle w:val="Normaallaadveeb"/>
              <w:spacing w:before="0" w:after="0" w:afterAutospacing="0"/>
            </w:pPr>
            <w:r w:rsidRPr="00687DE8">
              <w:t>Ühe mitmekihiliste plastmasshammastega täisproteesi komplekshind üla- või alalõuale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2B40F0" w14:textId="77777777" w:rsidR="0059401A" w:rsidRPr="00687DE8" w:rsidRDefault="0059401A" w:rsidP="007122D9">
            <w:pPr>
              <w:pStyle w:val="Normaallaadveeb"/>
              <w:spacing w:before="0" w:after="0" w:afterAutospacing="0"/>
              <w:jc w:val="center"/>
            </w:pPr>
          </w:p>
          <w:p w14:paraId="32670DA8" w14:textId="77777777" w:rsidR="0059401A" w:rsidRPr="00687DE8" w:rsidRDefault="0059401A" w:rsidP="007122D9">
            <w:pPr>
              <w:pStyle w:val="Normaallaadveeb"/>
              <w:spacing w:before="0" w:after="0" w:afterAutospacing="0"/>
              <w:jc w:val="center"/>
            </w:pPr>
            <w:r w:rsidRPr="00687DE8">
              <w:t>5009</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322AB9" w14:textId="3124203D" w:rsidR="1A53EF6A" w:rsidRPr="00687DE8" w:rsidRDefault="001C6910">
            <w:pPr>
              <w:spacing w:after="0"/>
              <w:jc w:val="center"/>
              <w:rPr>
                <w:color w:val="000000" w:themeColor="text1"/>
                <w:szCs w:val="24"/>
              </w:rPr>
            </w:pPr>
            <w:r>
              <w:rPr>
                <w:color w:val="000000"/>
              </w:rPr>
              <w:t>138,69</w:t>
            </w:r>
          </w:p>
        </w:tc>
      </w:tr>
      <w:tr w:rsidR="0059401A" w:rsidRPr="00687DE8" w14:paraId="0DFD04DF"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D8EF9D" w14:textId="77777777" w:rsidR="0059401A" w:rsidRPr="00687DE8" w:rsidRDefault="0059401A" w:rsidP="007122D9">
            <w:pPr>
              <w:pStyle w:val="Normaallaadveeb"/>
              <w:spacing w:before="0" w:after="0" w:afterAutospacing="0"/>
            </w:pPr>
            <w:r w:rsidRPr="00687DE8">
              <w:t>Individuaallusikas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6D2AE2" w14:textId="77777777" w:rsidR="0059401A" w:rsidRPr="00687DE8" w:rsidRDefault="0059401A" w:rsidP="007122D9">
            <w:pPr>
              <w:pStyle w:val="Normaallaadveeb"/>
              <w:spacing w:before="0" w:after="0" w:afterAutospacing="0"/>
              <w:jc w:val="center"/>
            </w:pPr>
            <w:r w:rsidRPr="00687DE8">
              <w:t>5011</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DC39ED" w14:textId="51F5984E" w:rsidR="1A53EF6A" w:rsidRPr="00687DE8" w:rsidRDefault="001C6910">
            <w:pPr>
              <w:spacing w:after="0"/>
              <w:jc w:val="center"/>
              <w:rPr>
                <w:color w:val="000000" w:themeColor="text1"/>
                <w:szCs w:val="24"/>
              </w:rPr>
            </w:pPr>
            <w:r>
              <w:rPr>
                <w:color w:val="000000"/>
              </w:rPr>
              <w:t>8,75</w:t>
            </w:r>
          </w:p>
        </w:tc>
      </w:tr>
      <w:tr w:rsidR="0059401A" w:rsidRPr="00687DE8" w14:paraId="12490697"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B0A6A5" w14:textId="77777777" w:rsidR="0059401A" w:rsidRPr="00687DE8" w:rsidRDefault="0059401A" w:rsidP="007122D9">
            <w:pPr>
              <w:pStyle w:val="Normaallaadveeb"/>
              <w:spacing w:before="0" w:after="0" w:afterAutospacing="0"/>
            </w:pPr>
            <w:r w:rsidRPr="00687DE8">
              <w:t>Ümarklamber mitteväärismetallist</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F5D44C" w14:textId="77777777" w:rsidR="0059401A" w:rsidRPr="00687DE8" w:rsidRDefault="0059401A" w:rsidP="007122D9">
            <w:pPr>
              <w:pStyle w:val="Normaallaadveeb"/>
              <w:spacing w:before="0" w:after="0" w:afterAutospacing="0"/>
              <w:jc w:val="center"/>
            </w:pPr>
            <w:r w:rsidRPr="00687DE8">
              <w:t>5012</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ADC8A3" w14:textId="55E0C180" w:rsidR="1A53EF6A" w:rsidRPr="00687DE8" w:rsidRDefault="001C6910">
            <w:pPr>
              <w:spacing w:after="0"/>
              <w:jc w:val="center"/>
              <w:rPr>
                <w:color w:val="000000" w:themeColor="text1"/>
                <w:szCs w:val="24"/>
              </w:rPr>
            </w:pPr>
            <w:r>
              <w:rPr>
                <w:color w:val="000000"/>
              </w:rPr>
              <w:t>4,06</w:t>
            </w:r>
          </w:p>
        </w:tc>
      </w:tr>
      <w:tr w:rsidR="0059401A" w:rsidRPr="00687DE8" w14:paraId="1E997920"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8E8003" w14:textId="77777777" w:rsidR="0059401A" w:rsidRPr="00687DE8" w:rsidRDefault="0059401A" w:rsidP="007122D9">
            <w:pPr>
              <w:pStyle w:val="Normaallaadveeb"/>
              <w:spacing w:before="0" w:after="0" w:afterAutospacing="0"/>
            </w:pPr>
            <w:r w:rsidRPr="00687DE8">
              <w:t>Dentoalveolaarne klamber</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D1AC8F" w14:textId="77777777" w:rsidR="0059401A" w:rsidRPr="00687DE8" w:rsidRDefault="0059401A" w:rsidP="007122D9">
            <w:pPr>
              <w:pStyle w:val="Normaallaadveeb"/>
              <w:spacing w:before="0" w:after="0" w:afterAutospacing="0"/>
              <w:jc w:val="center"/>
            </w:pPr>
            <w:r w:rsidRPr="00687DE8">
              <w:t>5015</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FCC259" w14:textId="2A6C2B2F" w:rsidR="1A53EF6A" w:rsidRPr="00687DE8" w:rsidRDefault="001C6910">
            <w:pPr>
              <w:spacing w:after="0"/>
              <w:jc w:val="center"/>
              <w:rPr>
                <w:color w:val="000000" w:themeColor="text1"/>
                <w:szCs w:val="24"/>
              </w:rPr>
            </w:pPr>
            <w:r>
              <w:rPr>
                <w:color w:val="000000"/>
              </w:rPr>
              <w:t>3,42</w:t>
            </w:r>
          </w:p>
        </w:tc>
      </w:tr>
      <w:tr w:rsidR="0059401A" w:rsidRPr="00687DE8" w14:paraId="6BB4E300"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C89466" w14:textId="77777777" w:rsidR="0059401A" w:rsidRPr="00687DE8" w:rsidRDefault="0059401A" w:rsidP="007122D9">
            <w:pPr>
              <w:pStyle w:val="Normaallaadveeb"/>
              <w:spacing w:before="0" w:after="0" w:afterAutospacing="0"/>
            </w:pPr>
            <w:r w:rsidRPr="00687DE8">
              <w:t>Modelleeritud hammas äravõetavas proteesis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F1C361" w14:textId="77777777" w:rsidR="0059401A" w:rsidRPr="00687DE8" w:rsidRDefault="0059401A" w:rsidP="007122D9">
            <w:pPr>
              <w:pStyle w:val="Normaallaadveeb"/>
              <w:spacing w:before="0" w:after="0" w:afterAutospacing="0"/>
              <w:jc w:val="center"/>
            </w:pPr>
            <w:r w:rsidRPr="00687DE8">
              <w:t>5016</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2A7844" w14:textId="12C18231" w:rsidR="1A53EF6A" w:rsidRPr="00687DE8" w:rsidRDefault="001C6910">
            <w:pPr>
              <w:spacing w:after="0"/>
              <w:jc w:val="center"/>
              <w:rPr>
                <w:color w:val="000000" w:themeColor="text1"/>
                <w:szCs w:val="24"/>
              </w:rPr>
            </w:pPr>
            <w:r>
              <w:rPr>
                <w:color w:val="000000"/>
              </w:rPr>
              <w:t>4,38</w:t>
            </w:r>
          </w:p>
        </w:tc>
      </w:tr>
      <w:tr w:rsidR="0059401A" w:rsidRPr="00687DE8" w14:paraId="743DFA6B"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756227" w14:textId="77777777" w:rsidR="0059401A" w:rsidRPr="00687DE8" w:rsidRDefault="0059401A" w:rsidP="007122D9">
            <w:pPr>
              <w:pStyle w:val="Normaallaadveeb"/>
              <w:spacing w:before="0" w:after="0" w:afterAutospacing="0"/>
            </w:pPr>
            <w:r w:rsidRPr="00687DE8">
              <w:t>Elastne pelott traadil</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431C0D" w14:textId="77777777" w:rsidR="0059401A" w:rsidRPr="00687DE8" w:rsidRDefault="0059401A" w:rsidP="007122D9">
            <w:pPr>
              <w:pStyle w:val="Normaallaadveeb"/>
              <w:spacing w:before="0" w:after="0" w:afterAutospacing="0"/>
              <w:jc w:val="center"/>
            </w:pPr>
            <w:r w:rsidRPr="00687DE8">
              <w:t>5017</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D961EC" w14:textId="24AC5CA8" w:rsidR="1A53EF6A" w:rsidRPr="00687DE8" w:rsidRDefault="001C6910">
            <w:pPr>
              <w:spacing w:after="0"/>
              <w:jc w:val="center"/>
              <w:rPr>
                <w:color w:val="000000" w:themeColor="text1"/>
                <w:szCs w:val="24"/>
              </w:rPr>
            </w:pPr>
            <w:r>
              <w:rPr>
                <w:color w:val="000000"/>
              </w:rPr>
              <w:t>4,82</w:t>
            </w:r>
          </w:p>
        </w:tc>
      </w:tr>
      <w:tr w:rsidR="0059401A" w:rsidRPr="00687DE8" w14:paraId="5C50B196"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BCC5DF" w14:textId="77777777" w:rsidR="0059401A" w:rsidRPr="00687DE8" w:rsidRDefault="0059401A" w:rsidP="007122D9">
            <w:pPr>
              <w:pStyle w:val="Normaallaadveeb"/>
              <w:spacing w:before="0" w:after="0" w:afterAutospacing="0"/>
            </w:pPr>
            <w:r w:rsidRPr="00687DE8">
              <w:t>Kantud proteeside regulatsioon</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FFBE2C" w14:textId="77777777" w:rsidR="0059401A" w:rsidRPr="00687DE8" w:rsidRDefault="0059401A" w:rsidP="007122D9">
            <w:pPr>
              <w:pStyle w:val="Normaallaadveeb"/>
              <w:spacing w:before="0" w:after="0" w:afterAutospacing="0"/>
              <w:jc w:val="center"/>
            </w:pPr>
            <w:r w:rsidRPr="00687DE8">
              <w:t>5018</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EB3990" w14:textId="036B5E1F" w:rsidR="1A53EF6A" w:rsidRPr="00687DE8" w:rsidRDefault="001C6910">
            <w:pPr>
              <w:spacing w:after="0"/>
              <w:jc w:val="center"/>
              <w:rPr>
                <w:color w:val="000000" w:themeColor="text1"/>
                <w:szCs w:val="24"/>
              </w:rPr>
            </w:pPr>
            <w:r>
              <w:rPr>
                <w:color w:val="000000"/>
              </w:rPr>
              <w:t>31,38</w:t>
            </w:r>
          </w:p>
        </w:tc>
      </w:tr>
      <w:tr w:rsidR="0059401A" w:rsidRPr="00687DE8" w14:paraId="7334D9B9"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B9B8C9" w14:textId="77777777" w:rsidR="0059401A" w:rsidRPr="00687DE8" w:rsidRDefault="0059401A" w:rsidP="007122D9">
            <w:pPr>
              <w:pStyle w:val="Normaallaadveeb"/>
              <w:spacing w:before="0" w:after="0" w:afterAutospacing="0"/>
            </w:pPr>
            <w:r w:rsidRPr="00687DE8">
              <w:t>Pehme vooder äravõetavale proteesile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F2C312" w14:textId="77777777" w:rsidR="0059401A" w:rsidRPr="00687DE8" w:rsidRDefault="0059401A" w:rsidP="007122D9">
            <w:pPr>
              <w:pStyle w:val="Normaallaadveeb"/>
              <w:spacing w:before="0" w:after="0" w:afterAutospacing="0"/>
              <w:jc w:val="center"/>
            </w:pPr>
            <w:r w:rsidRPr="00687DE8">
              <w:t>5020</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504580" w14:textId="49066A82" w:rsidR="1A53EF6A" w:rsidRPr="00687DE8" w:rsidRDefault="001C6910">
            <w:pPr>
              <w:spacing w:after="0"/>
              <w:jc w:val="center"/>
              <w:rPr>
                <w:color w:val="000000" w:themeColor="text1"/>
                <w:szCs w:val="24"/>
              </w:rPr>
            </w:pPr>
            <w:r>
              <w:rPr>
                <w:color w:val="000000"/>
              </w:rPr>
              <w:t>52,96</w:t>
            </w:r>
          </w:p>
        </w:tc>
      </w:tr>
      <w:tr w:rsidR="0059401A" w:rsidRPr="00687DE8" w14:paraId="359E1150"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918A96" w14:textId="77777777" w:rsidR="0059401A" w:rsidRPr="00687DE8" w:rsidRDefault="0059401A" w:rsidP="007122D9">
            <w:pPr>
              <w:pStyle w:val="Normaallaadveeb"/>
              <w:spacing w:before="0" w:after="0" w:afterAutospacing="0"/>
            </w:pPr>
            <w:r w:rsidRPr="00687DE8">
              <w:lastRenderedPageBreak/>
              <w:t>Tooruse isoleerimine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7E8A69" w14:textId="77777777" w:rsidR="0059401A" w:rsidRPr="00687DE8" w:rsidRDefault="0059401A" w:rsidP="007122D9">
            <w:pPr>
              <w:pStyle w:val="Normaallaadveeb"/>
              <w:spacing w:before="0" w:after="0" w:afterAutospacing="0"/>
              <w:jc w:val="center"/>
            </w:pPr>
            <w:r w:rsidRPr="00687DE8">
              <w:t>5021</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2A9D71" w14:textId="1630CD41" w:rsidR="1A53EF6A" w:rsidRPr="00687DE8" w:rsidRDefault="001C6910">
            <w:pPr>
              <w:spacing w:after="0"/>
              <w:jc w:val="center"/>
              <w:rPr>
                <w:color w:val="000000" w:themeColor="text1"/>
                <w:szCs w:val="24"/>
              </w:rPr>
            </w:pPr>
            <w:r>
              <w:rPr>
                <w:color w:val="000000"/>
              </w:rPr>
              <w:t>47,26</w:t>
            </w:r>
          </w:p>
        </w:tc>
      </w:tr>
      <w:tr w:rsidR="00976487" w:rsidRPr="00687DE8" w14:paraId="3333CFF1" w14:textId="77777777" w:rsidTr="00947CF5">
        <w:trPr>
          <w:divId w:val="1316184749"/>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0AE99B" w14:textId="77777777" w:rsidR="00976487" w:rsidRPr="00687DE8" w:rsidRDefault="00976487" w:rsidP="007122D9">
            <w:pPr>
              <w:pStyle w:val="Normaallaadveeb"/>
              <w:spacing w:before="0" w:after="0" w:afterAutospacing="0"/>
            </w:pPr>
            <w:r w:rsidRPr="00687DE8">
              <w:rPr>
                <w:b/>
                <w:bCs/>
              </w:rPr>
              <w:t>Plaatproteeside parandamine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B093FC" w14:textId="77777777" w:rsidR="00976487" w:rsidRPr="00687DE8" w:rsidRDefault="00976487" w:rsidP="007122D9">
            <w:pPr>
              <w:spacing w:after="0" w:line="240" w:lineRule="auto"/>
              <w:rPr>
                <w:szCs w:val="24"/>
              </w:rPr>
            </w:pP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29F8A0" w14:textId="77777777" w:rsidR="00976487" w:rsidRPr="00687DE8" w:rsidRDefault="00976487" w:rsidP="007122D9">
            <w:pPr>
              <w:spacing w:after="0" w:line="240" w:lineRule="auto"/>
              <w:rPr>
                <w:szCs w:val="24"/>
                <w:lang w:eastAsia="et-EE"/>
              </w:rPr>
            </w:pPr>
          </w:p>
        </w:tc>
      </w:tr>
      <w:tr w:rsidR="00003A64" w:rsidRPr="00687DE8" w14:paraId="450DB059"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D24C5" w14:textId="77777777" w:rsidR="00003A64" w:rsidRPr="00687DE8" w:rsidRDefault="00003A64" w:rsidP="007122D9">
            <w:pPr>
              <w:pStyle w:val="Normaallaadveeb"/>
              <w:spacing w:before="0" w:after="0" w:afterAutospacing="0"/>
            </w:pPr>
            <w:r w:rsidRPr="00687DE8">
              <w:t>Proteesi baasise üks murd</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3879B4" w14:textId="77777777" w:rsidR="00003A64" w:rsidRPr="00687DE8" w:rsidRDefault="00003A64" w:rsidP="007122D9">
            <w:pPr>
              <w:pStyle w:val="Normaallaadveeb"/>
              <w:spacing w:before="0" w:after="0" w:afterAutospacing="0"/>
              <w:jc w:val="center"/>
            </w:pPr>
            <w:r w:rsidRPr="00687DE8">
              <w:t>5022</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685E7D" w14:textId="693EE9CA" w:rsidR="1A53EF6A" w:rsidRPr="00687DE8" w:rsidRDefault="009E3191">
            <w:pPr>
              <w:spacing w:after="0"/>
              <w:jc w:val="center"/>
              <w:rPr>
                <w:color w:val="000000" w:themeColor="text1"/>
                <w:szCs w:val="24"/>
              </w:rPr>
            </w:pPr>
            <w:r>
              <w:rPr>
                <w:color w:val="000000"/>
              </w:rPr>
              <w:t>6,09</w:t>
            </w:r>
          </w:p>
        </w:tc>
      </w:tr>
      <w:tr w:rsidR="00003A64" w:rsidRPr="00687DE8" w14:paraId="4AF1DA87"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330DAA" w14:textId="77777777" w:rsidR="00003A64" w:rsidRPr="00687DE8" w:rsidRDefault="00003A64" w:rsidP="007122D9">
            <w:pPr>
              <w:pStyle w:val="Normaallaadveeb"/>
              <w:spacing w:before="0" w:after="0" w:afterAutospacing="0"/>
            </w:pPr>
            <w:r w:rsidRPr="00687DE8">
              <w:t>Kaks murdu ühes baasises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A00999" w14:textId="77777777" w:rsidR="00003A64" w:rsidRPr="00687DE8" w:rsidRDefault="00003A64" w:rsidP="007122D9">
            <w:pPr>
              <w:pStyle w:val="Normaallaadveeb"/>
              <w:spacing w:before="0" w:after="0" w:afterAutospacing="0"/>
              <w:jc w:val="center"/>
            </w:pPr>
            <w:r w:rsidRPr="00687DE8">
              <w:t>5023</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88F6B1" w14:textId="2D9BC68C" w:rsidR="1A53EF6A" w:rsidRPr="00687DE8" w:rsidRDefault="009E3191">
            <w:pPr>
              <w:spacing w:after="0"/>
              <w:jc w:val="center"/>
              <w:rPr>
                <w:color w:val="000000" w:themeColor="text1"/>
                <w:szCs w:val="24"/>
              </w:rPr>
            </w:pPr>
            <w:r>
              <w:rPr>
                <w:color w:val="000000"/>
              </w:rPr>
              <w:t>7,66</w:t>
            </w:r>
          </w:p>
        </w:tc>
      </w:tr>
      <w:tr w:rsidR="00003A64" w:rsidRPr="00687DE8" w14:paraId="187D8BF4"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593A4B" w14:textId="77777777" w:rsidR="00003A64" w:rsidRPr="00687DE8" w:rsidRDefault="00003A64" w:rsidP="007122D9">
            <w:pPr>
              <w:pStyle w:val="Normaallaadveeb"/>
              <w:spacing w:before="0" w:after="0" w:afterAutospacing="0"/>
            </w:pPr>
            <w:r w:rsidRPr="00687DE8">
              <w:t>Ühe hamba lisamine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1E337F" w14:textId="77777777" w:rsidR="00003A64" w:rsidRPr="00687DE8" w:rsidRDefault="00003A64" w:rsidP="007122D9">
            <w:pPr>
              <w:pStyle w:val="Normaallaadveeb"/>
              <w:spacing w:before="0" w:after="0" w:afterAutospacing="0"/>
              <w:jc w:val="center"/>
            </w:pPr>
            <w:r w:rsidRPr="00687DE8">
              <w:t>5024</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2E0592" w14:textId="4C1CAC5F" w:rsidR="1A53EF6A" w:rsidRPr="00687DE8" w:rsidRDefault="009E3191">
            <w:pPr>
              <w:spacing w:after="0"/>
              <w:jc w:val="center"/>
              <w:rPr>
                <w:color w:val="000000" w:themeColor="text1"/>
                <w:szCs w:val="24"/>
              </w:rPr>
            </w:pPr>
            <w:r>
              <w:rPr>
                <w:color w:val="000000"/>
              </w:rPr>
              <w:t>9,13</w:t>
            </w:r>
          </w:p>
        </w:tc>
      </w:tr>
      <w:tr w:rsidR="00003A64" w:rsidRPr="00687DE8" w14:paraId="25D940F1"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6EC537" w14:textId="77777777" w:rsidR="00003A64" w:rsidRPr="00687DE8" w:rsidRDefault="00003A64" w:rsidP="007122D9">
            <w:pPr>
              <w:pStyle w:val="Normaallaadveeb"/>
              <w:spacing w:before="0" w:after="0" w:afterAutospacing="0"/>
            </w:pPr>
            <w:r w:rsidRPr="00687DE8">
              <w:t>Kahe hamba lisamine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90A3F2" w14:textId="77777777" w:rsidR="00003A64" w:rsidRPr="00687DE8" w:rsidRDefault="00003A64" w:rsidP="007122D9">
            <w:pPr>
              <w:pStyle w:val="Normaallaadveeb"/>
              <w:spacing w:before="0" w:after="0" w:afterAutospacing="0"/>
              <w:jc w:val="center"/>
            </w:pPr>
            <w:r w:rsidRPr="00687DE8">
              <w:t>5025</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CD0D63" w14:textId="030D853E" w:rsidR="1A53EF6A" w:rsidRPr="00687DE8" w:rsidRDefault="009E3191">
            <w:pPr>
              <w:spacing w:after="0"/>
              <w:jc w:val="center"/>
              <w:rPr>
                <w:color w:val="000000" w:themeColor="text1"/>
                <w:szCs w:val="24"/>
              </w:rPr>
            </w:pPr>
            <w:r>
              <w:rPr>
                <w:color w:val="000000"/>
              </w:rPr>
              <w:t>12,15</w:t>
            </w:r>
          </w:p>
        </w:tc>
      </w:tr>
      <w:tr w:rsidR="00003A64" w:rsidRPr="00687DE8" w14:paraId="09943216"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9D1A65" w14:textId="77777777" w:rsidR="00003A64" w:rsidRPr="00687DE8" w:rsidRDefault="00003A64" w:rsidP="007122D9">
            <w:pPr>
              <w:pStyle w:val="Normaallaadveeb"/>
              <w:spacing w:before="0" w:after="0" w:afterAutospacing="0"/>
            </w:pPr>
            <w:r w:rsidRPr="00687DE8">
              <w:t>Kolme hamba lisamine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0A5B0D" w14:textId="77777777" w:rsidR="00003A64" w:rsidRPr="00687DE8" w:rsidRDefault="00003A64" w:rsidP="007122D9">
            <w:pPr>
              <w:pStyle w:val="Normaallaadveeb"/>
              <w:spacing w:before="0" w:after="0" w:afterAutospacing="0"/>
              <w:jc w:val="center"/>
            </w:pPr>
            <w:r w:rsidRPr="00687DE8">
              <w:t>5026</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3689EC" w14:textId="38BD4F00" w:rsidR="1A53EF6A" w:rsidRPr="00687DE8" w:rsidRDefault="009E3191">
            <w:pPr>
              <w:spacing w:after="0"/>
              <w:jc w:val="center"/>
              <w:rPr>
                <w:color w:val="000000" w:themeColor="text1"/>
                <w:szCs w:val="24"/>
              </w:rPr>
            </w:pPr>
            <w:r>
              <w:rPr>
                <w:color w:val="000000"/>
              </w:rPr>
              <w:t>15,29</w:t>
            </w:r>
          </w:p>
        </w:tc>
      </w:tr>
      <w:tr w:rsidR="00003A64" w:rsidRPr="00687DE8" w14:paraId="4A3B2B5E"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522F8A" w14:textId="77777777" w:rsidR="00003A64" w:rsidRPr="00687DE8" w:rsidRDefault="00003A64" w:rsidP="007122D9">
            <w:pPr>
              <w:pStyle w:val="Normaallaadveeb"/>
              <w:spacing w:before="0" w:after="0" w:afterAutospacing="0"/>
            </w:pPr>
            <w:r w:rsidRPr="00687DE8">
              <w:t>Nelja hamba lisamine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F687CB" w14:textId="77777777" w:rsidR="00003A64" w:rsidRPr="00687DE8" w:rsidRDefault="00003A64" w:rsidP="007122D9">
            <w:pPr>
              <w:pStyle w:val="Normaallaadveeb"/>
              <w:spacing w:before="0" w:after="0" w:afterAutospacing="0"/>
              <w:jc w:val="center"/>
            </w:pPr>
            <w:r w:rsidRPr="00687DE8">
              <w:t>5027</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8A2206" w14:textId="518C84AC" w:rsidR="1A53EF6A" w:rsidRPr="00687DE8" w:rsidRDefault="009E3191">
            <w:pPr>
              <w:spacing w:after="0"/>
              <w:jc w:val="center"/>
              <w:rPr>
                <w:color w:val="000000" w:themeColor="text1"/>
                <w:szCs w:val="24"/>
              </w:rPr>
            </w:pPr>
            <w:r>
              <w:rPr>
                <w:color w:val="000000"/>
              </w:rPr>
              <w:t>18,37</w:t>
            </w:r>
          </w:p>
        </w:tc>
      </w:tr>
      <w:tr w:rsidR="00003A64" w:rsidRPr="00687DE8" w14:paraId="286F5306"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FB968E" w14:textId="77777777" w:rsidR="00003A64" w:rsidRPr="00687DE8" w:rsidRDefault="00003A64" w:rsidP="007122D9">
            <w:pPr>
              <w:pStyle w:val="Normaallaadveeb"/>
              <w:spacing w:before="0" w:after="0" w:afterAutospacing="0"/>
            </w:pPr>
            <w:r w:rsidRPr="00687DE8">
              <w:t>Ühe klambri lisamine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CBA486" w14:textId="77777777" w:rsidR="00003A64" w:rsidRPr="00687DE8" w:rsidRDefault="00003A64" w:rsidP="007122D9">
            <w:pPr>
              <w:pStyle w:val="Normaallaadveeb"/>
              <w:spacing w:before="0" w:after="0" w:afterAutospacing="0"/>
              <w:jc w:val="center"/>
            </w:pPr>
            <w:r w:rsidRPr="00687DE8">
              <w:t>5028</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CE0E7B" w14:textId="16CAAAE1" w:rsidR="1A53EF6A" w:rsidRPr="00687DE8" w:rsidRDefault="009E3191">
            <w:pPr>
              <w:spacing w:after="0"/>
              <w:jc w:val="center"/>
              <w:rPr>
                <w:color w:val="000000" w:themeColor="text1"/>
                <w:szCs w:val="24"/>
              </w:rPr>
            </w:pPr>
            <w:r>
              <w:rPr>
                <w:color w:val="000000"/>
              </w:rPr>
              <w:t>9,22</w:t>
            </w:r>
          </w:p>
        </w:tc>
      </w:tr>
      <w:tr w:rsidR="00003A64" w:rsidRPr="00687DE8" w14:paraId="4CA5BB74"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D0DA05" w14:textId="77777777" w:rsidR="00003A64" w:rsidRPr="00687DE8" w:rsidRDefault="00003A64" w:rsidP="007122D9">
            <w:pPr>
              <w:pStyle w:val="Normaallaadveeb"/>
              <w:spacing w:before="0" w:after="0" w:afterAutospacing="0"/>
            </w:pPr>
            <w:r w:rsidRPr="00687DE8">
              <w:t>Kahe klambri lisamine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48C2ED" w14:textId="77777777" w:rsidR="00003A64" w:rsidRPr="00687DE8" w:rsidRDefault="00003A64" w:rsidP="007122D9">
            <w:pPr>
              <w:pStyle w:val="Normaallaadveeb"/>
              <w:spacing w:before="0" w:after="0" w:afterAutospacing="0"/>
              <w:jc w:val="center"/>
            </w:pPr>
            <w:r w:rsidRPr="00687DE8">
              <w:t>5029</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DD9C12" w14:textId="780A3EE5" w:rsidR="1A53EF6A" w:rsidRPr="00687DE8" w:rsidRDefault="009E3191">
            <w:pPr>
              <w:spacing w:after="0"/>
              <w:jc w:val="center"/>
              <w:rPr>
                <w:color w:val="000000" w:themeColor="text1"/>
                <w:szCs w:val="24"/>
              </w:rPr>
            </w:pPr>
            <w:r>
              <w:rPr>
                <w:color w:val="000000"/>
              </w:rPr>
              <w:t>10,80</w:t>
            </w:r>
          </w:p>
        </w:tc>
      </w:tr>
      <w:tr w:rsidR="00003A64" w:rsidRPr="00687DE8" w14:paraId="5BF11B1C"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152B35" w14:textId="77777777" w:rsidR="00003A64" w:rsidRPr="00687DE8" w:rsidRDefault="00003A64" w:rsidP="007122D9">
            <w:pPr>
              <w:pStyle w:val="Normaallaadveeb"/>
              <w:spacing w:before="0" w:after="0" w:afterAutospacing="0"/>
            </w:pPr>
            <w:r w:rsidRPr="00687DE8">
              <w:t>Proteesi ümberbaseerimine direktselt</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275079" w14:textId="77777777" w:rsidR="00003A64" w:rsidRPr="00687DE8" w:rsidRDefault="00003A64" w:rsidP="007122D9">
            <w:pPr>
              <w:pStyle w:val="Normaallaadveeb"/>
              <w:spacing w:before="0" w:after="0" w:afterAutospacing="0"/>
              <w:jc w:val="center"/>
            </w:pPr>
            <w:r w:rsidRPr="00687DE8">
              <w:t>5030</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4917CD" w14:textId="3C1BCA22" w:rsidR="1A53EF6A" w:rsidRPr="00687DE8" w:rsidRDefault="009E3191">
            <w:pPr>
              <w:spacing w:after="0"/>
              <w:jc w:val="center"/>
              <w:rPr>
                <w:color w:val="000000" w:themeColor="text1"/>
                <w:szCs w:val="24"/>
              </w:rPr>
            </w:pPr>
            <w:r>
              <w:rPr>
                <w:color w:val="000000"/>
              </w:rPr>
              <w:t>53,18</w:t>
            </w:r>
          </w:p>
        </w:tc>
      </w:tr>
      <w:tr w:rsidR="00003A64" w:rsidRPr="00687DE8" w14:paraId="0327A6E7"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A9F72F" w14:textId="77777777" w:rsidR="00003A64" w:rsidRPr="00687DE8" w:rsidRDefault="00003A64" w:rsidP="007122D9">
            <w:pPr>
              <w:pStyle w:val="Normaallaadveeb"/>
              <w:spacing w:before="0" w:after="0" w:afterAutospacing="0"/>
            </w:pPr>
            <w:r w:rsidRPr="00687DE8">
              <w:t>Proteesi ümberbaseerimine indirektselt</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7CA322" w14:textId="77777777" w:rsidR="00003A64" w:rsidRPr="00687DE8" w:rsidRDefault="00003A64" w:rsidP="007122D9">
            <w:pPr>
              <w:pStyle w:val="Normaallaadveeb"/>
              <w:spacing w:before="0" w:after="0" w:afterAutospacing="0"/>
              <w:jc w:val="center"/>
            </w:pPr>
            <w:r w:rsidRPr="00687DE8">
              <w:t>5031</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0E700E" w14:textId="11264668" w:rsidR="1A53EF6A" w:rsidRPr="00687DE8" w:rsidRDefault="009E3191">
            <w:pPr>
              <w:spacing w:after="0"/>
              <w:jc w:val="center"/>
              <w:rPr>
                <w:color w:val="000000" w:themeColor="text1"/>
                <w:szCs w:val="24"/>
              </w:rPr>
            </w:pPr>
            <w:r>
              <w:rPr>
                <w:color w:val="000000"/>
              </w:rPr>
              <w:t>91,84</w:t>
            </w:r>
          </w:p>
        </w:tc>
      </w:tr>
      <w:tr w:rsidR="00976487" w:rsidRPr="00687DE8" w14:paraId="386D8509" w14:textId="77777777" w:rsidTr="00947CF5">
        <w:trPr>
          <w:divId w:val="1316184749"/>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3AA3E4" w14:textId="77777777" w:rsidR="00976487" w:rsidRPr="00687DE8" w:rsidRDefault="00976487" w:rsidP="007122D9">
            <w:pPr>
              <w:pStyle w:val="Normaallaadveeb"/>
              <w:spacing w:before="0" w:after="0" w:afterAutospacing="0"/>
            </w:pPr>
            <w:r w:rsidRPr="00687DE8">
              <w:rPr>
                <w:b/>
                <w:bCs/>
              </w:rPr>
              <w:t>Kroomkoobaltsulamist büügelproteesid kipsmudelil</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AE2F9C" w14:textId="77777777" w:rsidR="00976487" w:rsidRPr="00687DE8" w:rsidRDefault="00976487" w:rsidP="007122D9">
            <w:pPr>
              <w:spacing w:after="0" w:line="240" w:lineRule="auto"/>
              <w:rPr>
                <w:szCs w:val="24"/>
              </w:rPr>
            </w:pP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652C9F" w14:textId="77777777" w:rsidR="00976487" w:rsidRPr="00687DE8" w:rsidRDefault="00976487" w:rsidP="007122D9">
            <w:pPr>
              <w:spacing w:after="0" w:line="240" w:lineRule="auto"/>
              <w:rPr>
                <w:szCs w:val="24"/>
                <w:lang w:eastAsia="et-EE"/>
              </w:rPr>
            </w:pPr>
          </w:p>
        </w:tc>
      </w:tr>
      <w:tr w:rsidR="00E644A1" w:rsidRPr="00687DE8" w14:paraId="1EBE2F5B"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9589BA" w14:textId="77777777" w:rsidR="00E644A1" w:rsidRPr="00687DE8" w:rsidRDefault="00E644A1" w:rsidP="007122D9">
            <w:pPr>
              <w:pStyle w:val="Normaallaadveeb"/>
              <w:spacing w:before="0" w:after="0" w:afterAutospacing="0"/>
            </w:pPr>
            <w:r w:rsidRPr="00687DE8">
              <w:t>Baashind</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D18E24" w14:textId="77777777" w:rsidR="00E644A1" w:rsidRPr="00687DE8" w:rsidRDefault="00E644A1" w:rsidP="007122D9">
            <w:pPr>
              <w:pStyle w:val="Normaallaadveeb"/>
              <w:spacing w:before="0" w:after="0" w:afterAutospacing="0"/>
              <w:jc w:val="center"/>
            </w:pPr>
            <w:r w:rsidRPr="00687DE8">
              <w:t>5033</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CA1219" w14:textId="0467C546" w:rsidR="1A53EF6A" w:rsidRPr="00687DE8" w:rsidRDefault="009E3191">
            <w:pPr>
              <w:spacing w:after="0"/>
              <w:jc w:val="center"/>
              <w:rPr>
                <w:color w:val="000000" w:themeColor="text1"/>
                <w:szCs w:val="24"/>
              </w:rPr>
            </w:pPr>
            <w:r>
              <w:rPr>
                <w:color w:val="000000"/>
              </w:rPr>
              <w:t>267,67</w:t>
            </w:r>
          </w:p>
        </w:tc>
      </w:tr>
      <w:tr w:rsidR="00E644A1" w:rsidRPr="00687DE8" w14:paraId="1D905C7A"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2B863C" w14:textId="77777777" w:rsidR="00E644A1" w:rsidRPr="00687DE8" w:rsidRDefault="00E644A1" w:rsidP="007122D9">
            <w:pPr>
              <w:pStyle w:val="Normaallaadveeb"/>
              <w:spacing w:before="0" w:after="0" w:afterAutospacing="0"/>
            </w:pPr>
            <w:r w:rsidRPr="00687DE8">
              <w:t>Ülemine kaar</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C96CE8" w14:textId="77777777" w:rsidR="00E644A1" w:rsidRPr="00687DE8" w:rsidRDefault="00E644A1" w:rsidP="007122D9">
            <w:pPr>
              <w:pStyle w:val="Normaallaadveeb"/>
              <w:spacing w:before="0" w:after="0" w:afterAutospacing="0"/>
              <w:jc w:val="center"/>
            </w:pPr>
            <w:r w:rsidRPr="00687DE8">
              <w:t>5034</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FCE7DC" w14:textId="1C07B878" w:rsidR="1A53EF6A" w:rsidRPr="00687DE8" w:rsidRDefault="009E3191">
            <w:pPr>
              <w:spacing w:after="0"/>
              <w:jc w:val="center"/>
              <w:rPr>
                <w:color w:val="000000" w:themeColor="text1"/>
                <w:szCs w:val="24"/>
              </w:rPr>
            </w:pPr>
            <w:r>
              <w:rPr>
                <w:color w:val="000000"/>
              </w:rPr>
              <w:t>33,01</w:t>
            </w:r>
          </w:p>
        </w:tc>
      </w:tr>
      <w:tr w:rsidR="00E644A1" w:rsidRPr="00687DE8" w14:paraId="56C6612B"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3878F4" w14:textId="77777777" w:rsidR="00E644A1" w:rsidRPr="00687DE8" w:rsidRDefault="00E644A1" w:rsidP="007122D9">
            <w:pPr>
              <w:pStyle w:val="Normaallaadveeb"/>
              <w:spacing w:before="0" w:after="0" w:afterAutospacing="0"/>
            </w:pPr>
            <w:r w:rsidRPr="00687DE8">
              <w:t>Alumine kaar</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851129" w14:textId="77777777" w:rsidR="00E644A1" w:rsidRPr="00687DE8" w:rsidRDefault="00E644A1" w:rsidP="007122D9">
            <w:pPr>
              <w:pStyle w:val="Normaallaadveeb"/>
              <w:spacing w:before="0" w:after="0" w:afterAutospacing="0"/>
              <w:jc w:val="center"/>
            </w:pPr>
            <w:r w:rsidRPr="00687DE8">
              <w:t>5035</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E025C0" w14:textId="6F3C833F" w:rsidR="1A53EF6A" w:rsidRPr="00687DE8" w:rsidRDefault="009E3191">
            <w:pPr>
              <w:spacing w:after="0"/>
              <w:jc w:val="center"/>
              <w:rPr>
                <w:color w:val="000000" w:themeColor="text1"/>
                <w:szCs w:val="24"/>
              </w:rPr>
            </w:pPr>
            <w:r>
              <w:rPr>
                <w:color w:val="000000"/>
              </w:rPr>
              <w:t>30,25</w:t>
            </w:r>
          </w:p>
        </w:tc>
      </w:tr>
      <w:tr w:rsidR="00E644A1" w:rsidRPr="00687DE8" w14:paraId="48E00345" w14:textId="77777777" w:rsidTr="00EB7A71">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8A877D" w14:textId="77777777" w:rsidR="00E644A1" w:rsidRPr="00687DE8" w:rsidRDefault="00E644A1" w:rsidP="007122D9">
            <w:pPr>
              <w:pStyle w:val="Normaallaadveeb"/>
              <w:spacing w:before="0" w:after="0" w:afterAutospacing="0"/>
            </w:pPr>
            <w:r w:rsidRPr="00687DE8">
              <w:t>Tugi-hoideklamber</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7C8A38" w14:textId="77777777" w:rsidR="00E644A1" w:rsidRPr="00687DE8" w:rsidRDefault="00E644A1" w:rsidP="007122D9">
            <w:pPr>
              <w:pStyle w:val="Normaallaadveeb"/>
              <w:spacing w:before="0" w:after="0" w:afterAutospacing="0"/>
              <w:jc w:val="center"/>
            </w:pPr>
            <w:r w:rsidRPr="00687DE8">
              <w:t>5036</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70F18C" w14:textId="7F83F5CE" w:rsidR="1A53EF6A" w:rsidRPr="00687DE8" w:rsidRDefault="009E3191">
            <w:pPr>
              <w:spacing w:after="0"/>
              <w:jc w:val="center"/>
              <w:rPr>
                <w:color w:val="000000" w:themeColor="text1"/>
                <w:szCs w:val="24"/>
              </w:rPr>
            </w:pPr>
            <w:r>
              <w:rPr>
                <w:color w:val="000000"/>
              </w:rPr>
              <w:t>8,74</w:t>
            </w:r>
          </w:p>
        </w:tc>
      </w:tr>
      <w:tr w:rsidR="00E644A1" w:rsidRPr="00687DE8" w14:paraId="08EA514B"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EA4150" w14:textId="77777777" w:rsidR="00E644A1" w:rsidRPr="00687DE8" w:rsidRDefault="00E644A1" w:rsidP="007122D9">
            <w:pPr>
              <w:pStyle w:val="Normaallaadveeb"/>
              <w:spacing w:before="0" w:after="0" w:afterAutospacing="0"/>
            </w:pPr>
            <w:r w:rsidRPr="00687DE8">
              <w:t>T-kujuline klamber</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D86C56" w14:textId="77777777" w:rsidR="00E644A1" w:rsidRPr="00687DE8" w:rsidRDefault="00E644A1" w:rsidP="007122D9">
            <w:pPr>
              <w:pStyle w:val="Normaallaadveeb"/>
              <w:spacing w:before="0" w:after="0" w:afterAutospacing="0"/>
              <w:jc w:val="center"/>
            </w:pPr>
            <w:r w:rsidRPr="00687DE8">
              <w:t>5037</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1DFA6F" w14:textId="0479CBA9" w:rsidR="1A53EF6A" w:rsidRPr="00687DE8" w:rsidRDefault="009E3191">
            <w:pPr>
              <w:spacing w:after="0"/>
              <w:jc w:val="center"/>
              <w:rPr>
                <w:color w:val="000000" w:themeColor="text1"/>
                <w:szCs w:val="24"/>
              </w:rPr>
            </w:pPr>
            <w:r>
              <w:rPr>
                <w:color w:val="000000"/>
              </w:rPr>
              <w:t>11,30</w:t>
            </w:r>
          </w:p>
        </w:tc>
      </w:tr>
      <w:tr w:rsidR="00E644A1" w:rsidRPr="00687DE8" w14:paraId="6BF53A47"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3D52A2" w14:textId="77777777" w:rsidR="00E644A1" w:rsidRPr="00687DE8" w:rsidRDefault="00E644A1" w:rsidP="007122D9">
            <w:pPr>
              <w:pStyle w:val="Normaallaadveeb"/>
              <w:spacing w:before="0" w:after="0" w:afterAutospacing="0"/>
            </w:pPr>
            <w:r w:rsidRPr="00687DE8">
              <w:t>Jooksva klambri üks lüli</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97E704" w14:textId="77777777" w:rsidR="00E644A1" w:rsidRPr="00687DE8" w:rsidRDefault="00E644A1" w:rsidP="007122D9">
            <w:pPr>
              <w:pStyle w:val="Normaallaadveeb"/>
              <w:spacing w:before="0" w:after="0" w:afterAutospacing="0"/>
              <w:jc w:val="center"/>
            </w:pPr>
            <w:r w:rsidRPr="00687DE8">
              <w:t>5038</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B78FDE" w14:textId="4F86D48E" w:rsidR="1A53EF6A" w:rsidRPr="00687DE8" w:rsidRDefault="009E3191">
            <w:pPr>
              <w:spacing w:after="0"/>
              <w:jc w:val="center"/>
              <w:rPr>
                <w:color w:val="000000" w:themeColor="text1"/>
                <w:szCs w:val="24"/>
              </w:rPr>
            </w:pPr>
            <w:r>
              <w:rPr>
                <w:color w:val="000000"/>
              </w:rPr>
              <w:t>3,22</w:t>
            </w:r>
          </w:p>
        </w:tc>
      </w:tr>
      <w:tr w:rsidR="00E644A1" w:rsidRPr="00687DE8" w14:paraId="0DF5D356"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C99EFE" w14:textId="77777777" w:rsidR="00E644A1" w:rsidRPr="00687DE8" w:rsidRDefault="00E644A1" w:rsidP="007122D9">
            <w:pPr>
              <w:pStyle w:val="Normaallaadveeb"/>
              <w:spacing w:before="0" w:after="0" w:afterAutospacing="0"/>
            </w:pPr>
            <w:r w:rsidRPr="00687DE8">
              <w:t>Täiendav lebam</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E55104" w14:textId="77777777" w:rsidR="00E644A1" w:rsidRPr="00687DE8" w:rsidRDefault="00E644A1" w:rsidP="007122D9">
            <w:pPr>
              <w:pStyle w:val="Normaallaadveeb"/>
              <w:spacing w:before="0" w:after="0" w:afterAutospacing="0"/>
              <w:jc w:val="center"/>
            </w:pPr>
            <w:r w:rsidRPr="00687DE8">
              <w:t>5039</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9505CF" w14:textId="02953457" w:rsidR="1A53EF6A" w:rsidRPr="00687DE8" w:rsidRDefault="009E3191">
            <w:pPr>
              <w:spacing w:after="0"/>
              <w:jc w:val="center"/>
              <w:rPr>
                <w:color w:val="000000" w:themeColor="text1"/>
                <w:szCs w:val="24"/>
              </w:rPr>
            </w:pPr>
            <w:r>
              <w:rPr>
                <w:color w:val="000000"/>
              </w:rPr>
              <w:t>2,17</w:t>
            </w:r>
          </w:p>
        </w:tc>
      </w:tr>
      <w:tr w:rsidR="00E644A1" w:rsidRPr="00687DE8" w14:paraId="29596CEF"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B9369A" w14:textId="77777777" w:rsidR="00E644A1" w:rsidRPr="00687DE8" w:rsidRDefault="00E644A1" w:rsidP="007122D9">
            <w:pPr>
              <w:pStyle w:val="Normaallaadveeb"/>
              <w:spacing w:before="0" w:after="0" w:afterAutospacing="0"/>
            </w:pPr>
            <w:r w:rsidRPr="00687DE8">
              <w:t>Kulliküüsjätke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7079CE" w14:textId="77777777" w:rsidR="00E644A1" w:rsidRPr="00687DE8" w:rsidRDefault="00E644A1" w:rsidP="007122D9">
            <w:pPr>
              <w:pStyle w:val="Normaallaadveeb"/>
              <w:spacing w:before="0" w:after="0" w:afterAutospacing="0"/>
              <w:jc w:val="center"/>
            </w:pPr>
            <w:r w:rsidRPr="00687DE8">
              <w:t>5040</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1707D7" w14:textId="31059E89" w:rsidR="1A53EF6A" w:rsidRPr="00687DE8" w:rsidRDefault="009E3191">
            <w:pPr>
              <w:spacing w:after="0"/>
              <w:jc w:val="center"/>
              <w:rPr>
                <w:color w:val="000000" w:themeColor="text1"/>
                <w:szCs w:val="24"/>
              </w:rPr>
            </w:pPr>
            <w:r>
              <w:rPr>
                <w:color w:val="000000"/>
              </w:rPr>
              <w:t>2,94</w:t>
            </w:r>
          </w:p>
        </w:tc>
      </w:tr>
      <w:tr w:rsidR="00E644A1" w:rsidRPr="00687DE8" w14:paraId="7E5CD9CD"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B4CDDC" w14:textId="77777777" w:rsidR="00E644A1" w:rsidRPr="00687DE8" w:rsidRDefault="00E644A1" w:rsidP="007122D9">
            <w:pPr>
              <w:pStyle w:val="Normaallaadveeb"/>
              <w:spacing w:before="0" w:after="0" w:afterAutospacing="0"/>
            </w:pPr>
            <w:r w:rsidRPr="00687DE8">
              <w:t>Ühendusharu</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4A643D" w14:textId="77777777" w:rsidR="00E644A1" w:rsidRPr="00687DE8" w:rsidRDefault="00E644A1" w:rsidP="007122D9">
            <w:pPr>
              <w:pStyle w:val="Normaallaadveeb"/>
              <w:spacing w:before="0" w:after="0" w:afterAutospacing="0"/>
              <w:jc w:val="center"/>
            </w:pPr>
            <w:r w:rsidRPr="00687DE8">
              <w:t>5041</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A32F6B" w14:textId="3F9FB8B3" w:rsidR="1A53EF6A" w:rsidRPr="00687DE8" w:rsidRDefault="009E3191">
            <w:pPr>
              <w:spacing w:after="0"/>
              <w:jc w:val="center"/>
              <w:rPr>
                <w:color w:val="000000" w:themeColor="text1"/>
                <w:szCs w:val="24"/>
              </w:rPr>
            </w:pPr>
            <w:r>
              <w:rPr>
                <w:color w:val="000000"/>
              </w:rPr>
              <w:t>2,17</w:t>
            </w:r>
          </w:p>
        </w:tc>
      </w:tr>
      <w:tr w:rsidR="00E644A1" w:rsidRPr="00687DE8" w14:paraId="1BB0F9CE"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1C8E59" w14:textId="77777777" w:rsidR="00E644A1" w:rsidRPr="00687DE8" w:rsidRDefault="00E644A1" w:rsidP="007122D9">
            <w:pPr>
              <w:pStyle w:val="Normaallaadveeb"/>
              <w:spacing w:before="0" w:after="0" w:afterAutospacing="0"/>
            </w:pPr>
            <w:r w:rsidRPr="00687DE8">
              <w:t>Sadul plastmassi kinnitamiseks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8DD65C" w14:textId="77777777" w:rsidR="00E644A1" w:rsidRPr="00687DE8" w:rsidRDefault="00E644A1" w:rsidP="007122D9">
            <w:pPr>
              <w:pStyle w:val="Normaallaadveeb"/>
              <w:spacing w:before="0" w:after="0" w:afterAutospacing="0"/>
              <w:jc w:val="center"/>
            </w:pPr>
            <w:r w:rsidRPr="00687DE8">
              <w:t>5042</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25E6AB" w14:textId="6D7D8E15" w:rsidR="1A53EF6A" w:rsidRPr="00687DE8" w:rsidRDefault="009E3191">
            <w:pPr>
              <w:spacing w:after="0"/>
              <w:jc w:val="center"/>
              <w:rPr>
                <w:color w:val="000000" w:themeColor="text1"/>
                <w:szCs w:val="24"/>
              </w:rPr>
            </w:pPr>
            <w:r>
              <w:rPr>
                <w:color w:val="000000"/>
              </w:rPr>
              <w:t>1,02</w:t>
            </w:r>
          </w:p>
        </w:tc>
      </w:tr>
      <w:tr w:rsidR="00E644A1" w:rsidRPr="00687DE8" w14:paraId="021023C8"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6C2641" w14:textId="77777777" w:rsidR="00E644A1" w:rsidRPr="00687DE8" w:rsidRDefault="00E644A1" w:rsidP="007122D9">
            <w:pPr>
              <w:pStyle w:val="Normaallaadveeb"/>
              <w:spacing w:before="0" w:after="0" w:afterAutospacing="0"/>
            </w:pPr>
            <w:r w:rsidRPr="00687DE8">
              <w:t>Metallist valatud hammas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048453" w14:textId="77777777" w:rsidR="00E644A1" w:rsidRPr="00687DE8" w:rsidRDefault="00E644A1" w:rsidP="007122D9">
            <w:pPr>
              <w:pStyle w:val="Normaallaadveeb"/>
              <w:spacing w:before="0" w:after="0" w:afterAutospacing="0"/>
              <w:jc w:val="center"/>
            </w:pPr>
            <w:r w:rsidRPr="00687DE8">
              <w:t>5043</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49547B" w14:textId="04C09A6B" w:rsidR="1A53EF6A" w:rsidRPr="00687DE8" w:rsidRDefault="009E3191">
            <w:pPr>
              <w:spacing w:after="0"/>
              <w:jc w:val="center"/>
              <w:rPr>
                <w:color w:val="000000" w:themeColor="text1"/>
                <w:szCs w:val="24"/>
              </w:rPr>
            </w:pPr>
            <w:r>
              <w:rPr>
                <w:color w:val="000000"/>
              </w:rPr>
              <w:t>9,80</w:t>
            </w:r>
          </w:p>
        </w:tc>
      </w:tr>
      <w:tr w:rsidR="00E644A1" w:rsidRPr="00687DE8" w14:paraId="36C9CBD2"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395472" w14:textId="77777777" w:rsidR="00E644A1" w:rsidRPr="00687DE8" w:rsidRDefault="00E644A1" w:rsidP="007122D9">
            <w:pPr>
              <w:pStyle w:val="Normaallaadveeb"/>
              <w:spacing w:before="0" w:after="0" w:afterAutospacing="0"/>
            </w:pPr>
            <w:r w:rsidRPr="00687DE8">
              <w:t>Valatud hammas plastmassist fassetiga</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697A5F" w14:textId="77777777" w:rsidR="00E644A1" w:rsidRPr="00687DE8" w:rsidRDefault="00E644A1" w:rsidP="007122D9">
            <w:pPr>
              <w:pStyle w:val="Normaallaadveeb"/>
              <w:spacing w:before="0" w:after="0" w:afterAutospacing="0"/>
              <w:jc w:val="center"/>
            </w:pPr>
            <w:r w:rsidRPr="00687DE8">
              <w:t>5044</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ECDE9E" w14:textId="6BF0A5CD" w:rsidR="1A53EF6A" w:rsidRPr="00687DE8" w:rsidRDefault="009E3191">
            <w:pPr>
              <w:spacing w:after="0"/>
              <w:jc w:val="center"/>
              <w:rPr>
                <w:color w:val="000000" w:themeColor="text1"/>
                <w:szCs w:val="24"/>
              </w:rPr>
            </w:pPr>
            <w:r>
              <w:rPr>
                <w:color w:val="000000"/>
              </w:rPr>
              <w:t>16,16</w:t>
            </w:r>
          </w:p>
        </w:tc>
      </w:tr>
      <w:tr w:rsidR="00E644A1" w:rsidRPr="00687DE8" w14:paraId="31E1846B"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9D0390" w14:textId="77777777" w:rsidR="00E644A1" w:rsidRPr="00687DE8" w:rsidRDefault="00E644A1" w:rsidP="007122D9">
            <w:pPr>
              <w:pStyle w:val="Normaallaadveeb"/>
              <w:spacing w:before="0" w:after="0" w:afterAutospacing="0"/>
            </w:pPr>
            <w:r w:rsidRPr="00687DE8">
              <w:t>Baasis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9EA813" w14:textId="77777777" w:rsidR="00E644A1" w:rsidRPr="00687DE8" w:rsidRDefault="00E644A1" w:rsidP="007122D9">
            <w:pPr>
              <w:pStyle w:val="Normaallaadveeb"/>
              <w:spacing w:before="0" w:after="0" w:afterAutospacing="0"/>
              <w:jc w:val="center"/>
            </w:pPr>
            <w:r w:rsidRPr="00687DE8">
              <w:t>5045</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2F13D4" w14:textId="0A15ACC0" w:rsidR="1A53EF6A" w:rsidRPr="00687DE8" w:rsidRDefault="009E3191">
            <w:pPr>
              <w:spacing w:after="0"/>
              <w:jc w:val="center"/>
              <w:rPr>
                <w:color w:val="000000" w:themeColor="text1"/>
                <w:szCs w:val="24"/>
              </w:rPr>
            </w:pPr>
            <w:r>
              <w:rPr>
                <w:color w:val="000000"/>
              </w:rPr>
              <w:t>23,79</w:t>
            </w:r>
          </w:p>
        </w:tc>
      </w:tr>
      <w:tr w:rsidR="00E644A1" w:rsidRPr="00687DE8" w14:paraId="1588B2F7"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A1C135" w14:textId="77777777" w:rsidR="00E644A1" w:rsidRPr="00687DE8" w:rsidRDefault="00E644A1" w:rsidP="007122D9">
            <w:pPr>
              <w:pStyle w:val="Normaallaadveeb"/>
              <w:spacing w:before="0" w:after="0" w:afterAutospacing="0"/>
            </w:pPr>
            <w:r w:rsidRPr="00687DE8">
              <w:t>Aas plastmassi kinnitamiseks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7DDAE7" w14:textId="77777777" w:rsidR="00E644A1" w:rsidRPr="00687DE8" w:rsidRDefault="00E644A1" w:rsidP="007122D9">
            <w:pPr>
              <w:pStyle w:val="Normaallaadveeb"/>
              <w:spacing w:before="0" w:after="0" w:afterAutospacing="0"/>
              <w:jc w:val="center"/>
            </w:pPr>
            <w:r w:rsidRPr="00687DE8">
              <w:t>5046</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0A740D" w14:textId="7C90FE37" w:rsidR="1A53EF6A" w:rsidRPr="00687DE8" w:rsidRDefault="009E3191">
            <w:pPr>
              <w:spacing w:after="0"/>
              <w:jc w:val="center"/>
              <w:rPr>
                <w:color w:val="000000" w:themeColor="text1"/>
                <w:szCs w:val="24"/>
              </w:rPr>
            </w:pPr>
            <w:r>
              <w:rPr>
                <w:color w:val="000000"/>
              </w:rPr>
              <w:t>2,70</w:t>
            </w:r>
          </w:p>
        </w:tc>
      </w:tr>
      <w:tr w:rsidR="00E644A1" w:rsidRPr="00687DE8" w14:paraId="653267AE"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466075" w14:textId="77777777" w:rsidR="00E644A1" w:rsidRPr="00687DE8" w:rsidRDefault="00E644A1" w:rsidP="007122D9">
            <w:pPr>
              <w:pStyle w:val="Normaallaadveeb"/>
              <w:spacing w:before="0" w:after="0" w:afterAutospacing="0"/>
            </w:pPr>
            <w:r w:rsidRPr="00687DE8">
              <w:t>Baasise piiraja</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EF4137" w14:textId="77777777" w:rsidR="00E644A1" w:rsidRPr="00687DE8" w:rsidRDefault="00E644A1" w:rsidP="007122D9">
            <w:pPr>
              <w:pStyle w:val="Normaallaadveeb"/>
              <w:spacing w:before="0" w:after="0" w:afterAutospacing="0"/>
              <w:jc w:val="center"/>
            </w:pPr>
            <w:r w:rsidRPr="00687DE8">
              <w:t>5047</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26F65A" w14:textId="61757439" w:rsidR="1A53EF6A" w:rsidRPr="00687DE8" w:rsidRDefault="009E3191">
            <w:pPr>
              <w:spacing w:after="0"/>
              <w:jc w:val="center"/>
              <w:rPr>
                <w:color w:val="000000" w:themeColor="text1"/>
                <w:szCs w:val="24"/>
              </w:rPr>
            </w:pPr>
            <w:r>
              <w:rPr>
                <w:color w:val="000000"/>
              </w:rPr>
              <w:t>1,92</w:t>
            </w:r>
          </w:p>
        </w:tc>
      </w:tr>
      <w:tr w:rsidR="00E644A1" w:rsidRPr="00687DE8" w14:paraId="5F3997E4"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C07426" w14:textId="77777777" w:rsidR="00E644A1" w:rsidRPr="00687DE8" w:rsidRDefault="00E644A1" w:rsidP="007122D9">
            <w:pPr>
              <w:pStyle w:val="Normaallaadveeb"/>
              <w:spacing w:before="0" w:after="0" w:afterAutospacing="0"/>
            </w:pPr>
            <w:r w:rsidRPr="00687DE8">
              <w:t>Büüglikaare elektrolüütiline poleerimine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34ABE6" w14:textId="77777777" w:rsidR="00E644A1" w:rsidRPr="00687DE8" w:rsidRDefault="00E644A1" w:rsidP="007122D9">
            <w:pPr>
              <w:pStyle w:val="Normaallaadveeb"/>
              <w:spacing w:before="0" w:after="0" w:afterAutospacing="0"/>
              <w:jc w:val="center"/>
            </w:pPr>
            <w:r w:rsidRPr="00687DE8">
              <w:t>5050</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53DCCD" w14:textId="71F88C71" w:rsidR="1A53EF6A" w:rsidRPr="00687DE8" w:rsidRDefault="009E3191">
            <w:pPr>
              <w:spacing w:after="0"/>
              <w:jc w:val="center"/>
              <w:rPr>
                <w:color w:val="000000" w:themeColor="text1"/>
                <w:szCs w:val="24"/>
              </w:rPr>
            </w:pPr>
            <w:r>
              <w:rPr>
                <w:color w:val="000000"/>
              </w:rPr>
              <w:t>1,15</w:t>
            </w:r>
          </w:p>
        </w:tc>
      </w:tr>
      <w:tr w:rsidR="00976487" w:rsidRPr="00687DE8" w14:paraId="2159B7A3" w14:textId="77777777" w:rsidTr="00947CF5">
        <w:trPr>
          <w:divId w:val="1316184749"/>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84E7AF" w14:textId="77777777" w:rsidR="00976487" w:rsidRPr="00687DE8" w:rsidRDefault="00976487" w:rsidP="007122D9">
            <w:pPr>
              <w:pStyle w:val="Normaallaadveeb"/>
              <w:spacing w:before="0" w:after="0" w:afterAutospacing="0"/>
            </w:pPr>
            <w:r w:rsidRPr="00687DE8">
              <w:rPr>
                <w:b/>
                <w:bCs/>
              </w:rPr>
              <w:t>Kroomkoobaltsulamist büügelproteesid tulekindlal mudelil</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B906F4" w14:textId="77777777" w:rsidR="00976487" w:rsidRPr="00687DE8" w:rsidRDefault="00976487" w:rsidP="007122D9">
            <w:pPr>
              <w:spacing w:after="0" w:line="240" w:lineRule="auto"/>
              <w:rPr>
                <w:szCs w:val="24"/>
              </w:rPr>
            </w:pP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4CAB70" w14:textId="77777777" w:rsidR="00976487" w:rsidRPr="00687DE8" w:rsidRDefault="00976487" w:rsidP="007122D9">
            <w:pPr>
              <w:spacing w:after="0" w:line="240" w:lineRule="auto"/>
              <w:rPr>
                <w:szCs w:val="24"/>
                <w:lang w:eastAsia="et-EE"/>
              </w:rPr>
            </w:pPr>
          </w:p>
        </w:tc>
      </w:tr>
      <w:tr w:rsidR="00FE24EB" w:rsidRPr="00687DE8" w14:paraId="28E99235"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E6BACA" w14:textId="77777777" w:rsidR="00FE24EB" w:rsidRPr="00687DE8" w:rsidRDefault="00FE24EB" w:rsidP="007122D9">
            <w:pPr>
              <w:pStyle w:val="Normaallaadveeb"/>
              <w:spacing w:before="0" w:after="0" w:afterAutospacing="0"/>
            </w:pPr>
            <w:r w:rsidRPr="00687DE8">
              <w:t>Baashind</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98914D" w14:textId="77777777" w:rsidR="00FE24EB" w:rsidRPr="00687DE8" w:rsidRDefault="00FE24EB" w:rsidP="007122D9">
            <w:pPr>
              <w:pStyle w:val="Normaallaadveeb"/>
              <w:spacing w:before="0" w:after="0" w:afterAutospacing="0"/>
              <w:jc w:val="center"/>
            </w:pPr>
            <w:r w:rsidRPr="00687DE8">
              <w:t>5053</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561900" w14:textId="6730ADCE" w:rsidR="1A53EF6A" w:rsidRPr="00687DE8" w:rsidRDefault="006B70AC">
            <w:pPr>
              <w:spacing w:after="0"/>
              <w:jc w:val="center"/>
              <w:rPr>
                <w:color w:val="000000" w:themeColor="text1"/>
                <w:szCs w:val="24"/>
              </w:rPr>
            </w:pPr>
            <w:r>
              <w:rPr>
                <w:color w:val="000000"/>
              </w:rPr>
              <w:t>226,34</w:t>
            </w:r>
          </w:p>
        </w:tc>
      </w:tr>
      <w:tr w:rsidR="00FE24EB" w:rsidRPr="00687DE8" w14:paraId="33CFE504"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9AC356" w14:textId="77777777" w:rsidR="00FE24EB" w:rsidRPr="00687DE8" w:rsidRDefault="00FE24EB" w:rsidP="007122D9">
            <w:pPr>
              <w:pStyle w:val="Normaallaadveeb"/>
              <w:spacing w:before="0" w:after="0" w:afterAutospacing="0"/>
            </w:pPr>
            <w:r w:rsidRPr="00687DE8">
              <w:t>Ülemine esimene kaar</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448A0B" w14:textId="77777777" w:rsidR="00FE24EB" w:rsidRPr="00687DE8" w:rsidRDefault="00FE24EB" w:rsidP="007122D9">
            <w:pPr>
              <w:pStyle w:val="Normaallaadveeb"/>
              <w:spacing w:before="0" w:after="0" w:afterAutospacing="0"/>
              <w:jc w:val="center"/>
            </w:pPr>
            <w:r w:rsidRPr="00687DE8">
              <w:t>5054</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DFB57D" w14:textId="5188A142" w:rsidR="1A53EF6A" w:rsidRPr="00687DE8" w:rsidRDefault="006B70AC">
            <w:pPr>
              <w:spacing w:after="0"/>
              <w:jc w:val="center"/>
              <w:rPr>
                <w:color w:val="000000" w:themeColor="text1"/>
                <w:szCs w:val="24"/>
              </w:rPr>
            </w:pPr>
            <w:r>
              <w:rPr>
                <w:color w:val="000000"/>
              </w:rPr>
              <w:t>48,10</w:t>
            </w:r>
          </w:p>
        </w:tc>
      </w:tr>
      <w:tr w:rsidR="00FE24EB" w:rsidRPr="00687DE8" w14:paraId="686727EC"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91A3D8" w14:textId="77777777" w:rsidR="00FE24EB" w:rsidRPr="00687DE8" w:rsidRDefault="00FE24EB" w:rsidP="007122D9">
            <w:pPr>
              <w:pStyle w:val="Normaallaadveeb"/>
              <w:spacing w:before="0" w:after="0" w:afterAutospacing="0"/>
            </w:pPr>
            <w:r w:rsidRPr="00687DE8">
              <w:t>Ülemine tagumine kaar</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4763B1" w14:textId="77777777" w:rsidR="00FE24EB" w:rsidRPr="00687DE8" w:rsidRDefault="00FE24EB" w:rsidP="007122D9">
            <w:pPr>
              <w:pStyle w:val="Normaallaadveeb"/>
              <w:spacing w:before="0" w:after="0" w:afterAutospacing="0"/>
              <w:jc w:val="center"/>
            </w:pPr>
            <w:r w:rsidRPr="00687DE8">
              <w:t>5055</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3D7322" w14:textId="019F50A0" w:rsidR="1A53EF6A" w:rsidRPr="00687DE8" w:rsidRDefault="006B70AC">
            <w:pPr>
              <w:spacing w:after="0"/>
              <w:jc w:val="center"/>
              <w:rPr>
                <w:color w:val="000000" w:themeColor="text1"/>
                <w:szCs w:val="24"/>
              </w:rPr>
            </w:pPr>
            <w:r>
              <w:rPr>
                <w:color w:val="000000"/>
              </w:rPr>
              <w:t>42,29</w:t>
            </w:r>
          </w:p>
        </w:tc>
      </w:tr>
      <w:tr w:rsidR="00FE24EB" w:rsidRPr="00687DE8" w14:paraId="41589664"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737095" w14:textId="77777777" w:rsidR="00FE24EB" w:rsidRPr="00687DE8" w:rsidRDefault="00FE24EB" w:rsidP="007122D9">
            <w:pPr>
              <w:pStyle w:val="Normaallaadveeb"/>
              <w:spacing w:before="0" w:after="0" w:afterAutospacing="0"/>
            </w:pPr>
            <w:r w:rsidRPr="00687DE8">
              <w:t>Alumine kaar</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B2FAE3" w14:textId="77777777" w:rsidR="00FE24EB" w:rsidRPr="00687DE8" w:rsidRDefault="00FE24EB" w:rsidP="007122D9">
            <w:pPr>
              <w:pStyle w:val="Normaallaadveeb"/>
              <w:spacing w:before="0" w:after="0" w:afterAutospacing="0"/>
              <w:jc w:val="center"/>
            </w:pPr>
            <w:r w:rsidRPr="00687DE8">
              <w:t>5056</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04093E" w14:textId="57E4AFF6" w:rsidR="1A53EF6A" w:rsidRPr="00687DE8" w:rsidRDefault="006B70AC">
            <w:pPr>
              <w:spacing w:after="0"/>
              <w:jc w:val="center"/>
              <w:rPr>
                <w:color w:val="000000" w:themeColor="text1"/>
                <w:szCs w:val="24"/>
              </w:rPr>
            </w:pPr>
            <w:r>
              <w:rPr>
                <w:color w:val="000000"/>
              </w:rPr>
              <w:t>39,68</w:t>
            </w:r>
          </w:p>
        </w:tc>
      </w:tr>
      <w:tr w:rsidR="00FE24EB" w:rsidRPr="00687DE8" w14:paraId="63180107"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8E3FC8" w14:textId="77777777" w:rsidR="00FE24EB" w:rsidRPr="00687DE8" w:rsidRDefault="00FE24EB" w:rsidP="007122D9">
            <w:pPr>
              <w:pStyle w:val="Normaallaadveeb"/>
              <w:spacing w:before="0" w:after="0" w:afterAutospacing="0"/>
            </w:pPr>
            <w:r w:rsidRPr="00687DE8">
              <w:t>Suulaeplaat</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31EA79" w14:textId="77777777" w:rsidR="00FE24EB" w:rsidRPr="00687DE8" w:rsidRDefault="00FE24EB" w:rsidP="007122D9">
            <w:pPr>
              <w:pStyle w:val="Normaallaadveeb"/>
              <w:spacing w:before="0" w:after="0" w:afterAutospacing="0"/>
              <w:jc w:val="center"/>
            </w:pPr>
            <w:r w:rsidRPr="00687DE8">
              <w:t>5057</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631580" w14:textId="7B3F6627" w:rsidR="1A53EF6A" w:rsidRPr="00687DE8" w:rsidRDefault="006B70AC">
            <w:pPr>
              <w:spacing w:after="0"/>
              <w:jc w:val="center"/>
              <w:rPr>
                <w:color w:val="000000" w:themeColor="text1"/>
                <w:szCs w:val="24"/>
              </w:rPr>
            </w:pPr>
            <w:r>
              <w:rPr>
                <w:color w:val="000000"/>
              </w:rPr>
              <w:t>52,85</w:t>
            </w:r>
          </w:p>
        </w:tc>
      </w:tr>
      <w:tr w:rsidR="00FE24EB" w:rsidRPr="00687DE8" w14:paraId="703B24A9"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EC5238" w14:textId="77777777" w:rsidR="00FE24EB" w:rsidRPr="00687DE8" w:rsidRDefault="00FE24EB" w:rsidP="007122D9">
            <w:pPr>
              <w:pStyle w:val="Normaallaadveeb"/>
              <w:spacing w:before="0" w:after="0" w:afterAutospacing="0"/>
            </w:pPr>
            <w:r w:rsidRPr="00687DE8">
              <w:t>Keeleplaat</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1AFEAB" w14:textId="77777777" w:rsidR="00FE24EB" w:rsidRPr="00687DE8" w:rsidRDefault="00FE24EB" w:rsidP="007122D9">
            <w:pPr>
              <w:pStyle w:val="Normaallaadveeb"/>
              <w:spacing w:before="0" w:after="0" w:afterAutospacing="0"/>
              <w:jc w:val="center"/>
            </w:pPr>
            <w:r w:rsidRPr="00687DE8">
              <w:t>5058</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B43E24" w14:textId="4A3EE027" w:rsidR="1A53EF6A" w:rsidRPr="00687DE8" w:rsidRDefault="006B70AC">
            <w:pPr>
              <w:spacing w:after="0"/>
              <w:jc w:val="center"/>
              <w:rPr>
                <w:color w:val="000000" w:themeColor="text1"/>
                <w:szCs w:val="24"/>
              </w:rPr>
            </w:pPr>
            <w:r>
              <w:rPr>
                <w:color w:val="000000"/>
              </w:rPr>
              <w:t>51,72</w:t>
            </w:r>
          </w:p>
        </w:tc>
      </w:tr>
      <w:tr w:rsidR="00FE24EB" w:rsidRPr="00687DE8" w14:paraId="2E1BBB84"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FA52EB" w14:textId="77777777" w:rsidR="00FE24EB" w:rsidRPr="00687DE8" w:rsidRDefault="00FE24EB" w:rsidP="007122D9">
            <w:pPr>
              <w:pStyle w:val="Normaallaadveeb"/>
              <w:spacing w:before="0" w:after="0" w:afterAutospacing="0"/>
            </w:pPr>
            <w:r w:rsidRPr="00687DE8">
              <w:t>Tugi-hoideklamber</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4BCE06" w14:textId="77777777" w:rsidR="00FE24EB" w:rsidRPr="00687DE8" w:rsidRDefault="00FE24EB" w:rsidP="007122D9">
            <w:pPr>
              <w:pStyle w:val="Normaallaadveeb"/>
              <w:spacing w:before="0" w:after="0" w:afterAutospacing="0"/>
              <w:jc w:val="center"/>
            </w:pPr>
            <w:r w:rsidRPr="00687DE8">
              <w:t>5059</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DFBBD9" w14:textId="692A06EA" w:rsidR="1A53EF6A" w:rsidRPr="00687DE8" w:rsidRDefault="006B70AC">
            <w:pPr>
              <w:spacing w:after="0"/>
              <w:jc w:val="center"/>
              <w:rPr>
                <w:color w:val="000000" w:themeColor="text1"/>
                <w:szCs w:val="24"/>
              </w:rPr>
            </w:pPr>
            <w:r>
              <w:rPr>
                <w:color w:val="000000"/>
              </w:rPr>
              <w:t>9,33</w:t>
            </w:r>
          </w:p>
        </w:tc>
      </w:tr>
      <w:tr w:rsidR="00FE24EB" w:rsidRPr="00687DE8" w14:paraId="466D859D"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F5900A" w14:textId="77777777" w:rsidR="00FE24EB" w:rsidRPr="00687DE8" w:rsidRDefault="00FE24EB" w:rsidP="007122D9">
            <w:pPr>
              <w:pStyle w:val="Normaallaadveeb"/>
              <w:spacing w:before="0" w:after="0" w:afterAutospacing="0"/>
            </w:pPr>
            <w:r w:rsidRPr="00687DE8">
              <w:lastRenderedPageBreak/>
              <w:t>T-kujuline klamber (Roach)</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A3CEB5" w14:textId="77777777" w:rsidR="00FE24EB" w:rsidRPr="00687DE8" w:rsidRDefault="00FE24EB" w:rsidP="007122D9">
            <w:pPr>
              <w:pStyle w:val="Normaallaadveeb"/>
              <w:spacing w:before="0" w:after="0" w:afterAutospacing="0"/>
              <w:jc w:val="center"/>
            </w:pPr>
            <w:r w:rsidRPr="00687DE8">
              <w:t>5060</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C3BD88" w14:textId="0C583B8B" w:rsidR="1A53EF6A" w:rsidRPr="00687DE8" w:rsidRDefault="006B70AC">
            <w:pPr>
              <w:spacing w:after="0"/>
              <w:jc w:val="center"/>
              <w:rPr>
                <w:color w:val="000000" w:themeColor="text1"/>
                <w:szCs w:val="24"/>
              </w:rPr>
            </w:pPr>
            <w:r>
              <w:rPr>
                <w:color w:val="000000"/>
              </w:rPr>
              <w:t>229,03</w:t>
            </w:r>
          </w:p>
        </w:tc>
      </w:tr>
      <w:tr w:rsidR="00FE24EB" w:rsidRPr="00687DE8" w14:paraId="0E4AA912"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ABA79B" w14:textId="77777777" w:rsidR="00FE24EB" w:rsidRPr="00687DE8" w:rsidRDefault="00FE24EB" w:rsidP="007122D9">
            <w:pPr>
              <w:pStyle w:val="Normaallaadveeb"/>
              <w:spacing w:before="0" w:after="0" w:afterAutospacing="0"/>
            </w:pPr>
            <w:r w:rsidRPr="00687DE8">
              <w:t>Ringklamber</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49E1C4" w14:textId="77777777" w:rsidR="00FE24EB" w:rsidRPr="00687DE8" w:rsidRDefault="00FE24EB" w:rsidP="007122D9">
            <w:pPr>
              <w:pStyle w:val="Normaallaadveeb"/>
              <w:spacing w:before="0" w:after="0" w:afterAutospacing="0"/>
              <w:jc w:val="center"/>
            </w:pPr>
            <w:r w:rsidRPr="00687DE8">
              <w:t>5061</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3B9C3F" w14:textId="2FF0F2A1" w:rsidR="1A53EF6A" w:rsidRPr="00687DE8" w:rsidRDefault="006B70AC">
            <w:pPr>
              <w:spacing w:after="0"/>
              <w:jc w:val="center"/>
              <w:rPr>
                <w:color w:val="000000" w:themeColor="text1"/>
                <w:szCs w:val="24"/>
              </w:rPr>
            </w:pPr>
            <w:r>
              <w:rPr>
                <w:color w:val="000000"/>
              </w:rPr>
              <w:t>19,42</w:t>
            </w:r>
          </w:p>
        </w:tc>
      </w:tr>
      <w:tr w:rsidR="00FE24EB" w:rsidRPr="00687DE8" w14:paraId="2AEC9D39"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44CEE9" w14:textId="77777777" w:rsidR="00FE24EB" w:rsidRPr="00687DE8" w:rsidRDefault="00FE24EB" w:rsidP="007122D9">
            <w:pPr>
              <w:pStyle w:val="Normaallaadveeb"/>
              <w:spacing w:before="0" w:after="0" w:afterAutospacing="0"/>
            </w:pPr>
            <w:r w:rsidRPr="00687DE8">
              <w:t>Jooksva klambri üks lüli</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C2A367" w14:textId="77777777" w:rsidR="00FE24EB" w:rsidRPr="00687DE8" w:rsidRDefault="00FE24EB" w:rsidP="007122D9">
            <w:pPr>
              <w:pStyle w:val="Normaallaadveeb"/>
              <w:spacing w:before="0" w:after="0" w:afterAutospacing="0"/>
              <w:jc w:val="center"/>
            </w:pPr>
            <w:r w:rsidRPr="00687DE8">
              <w:t>5062</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207D6B" w14:textId="4998C7A1" w:rsidR="1A53EF6A" w:rsidRPr="00687DE8" w:rsidRDefault="006B70AC">
            <w:pPr>
              <w:spacing w:after="0"/>
              <w:jc w:val="center"/>
              <w:rPr>
                <w:color w:val="000000" w:themeColor="text1"/>
                <w:szCs w:val="24"/>
              </w:rPr>
            </w:pPr>
            <w:r>
              <w:rPr>
                <w:color w:val="000000"/>
              </w:rPr>
              <w:t>7,57</w:t>
            </w:r>
          </w:p>
        </w:tc>
      </w:tr>
      <w:tr w:rsidR="00FE24EB" w:rsidRPr="00687DE8" w14:paraId="746A30BC"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586827" w14:textId="77777777" w:rsidR="00FE24EB" w:rsidRPr="00687DE8" w:rsidRDefault="00FE24EB" w:rsidP="007122D9">
            <w:pPr>
              <w:pStyle w:val="Normaallaadveeb"/>
              <w:spacing w:before="0" w:after="0" w:afterAutospacing="0"/>
            </w:pPr>
            <w:r w:rsidRPr="00687DE8">
              <w:t>Oklusioonilebam</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A06ED8" w14:textId="77777777" w:rsidR="00FE24EB" w:rsidRPr="00687DE8" w:rsidRDefault="00FE24EB" w:rsidP="007122D9">
            <w:pPr>
              <w:pStyle w:val="Normaallaadveeb"/>
              <w:spacing w:before="0" w:after="0" w:afterAutospacing="0"/>
              <w:jc w:val="center"/>
            </w:pPr>
            <w:r w:rsidRPr="00687DE8">
              <w:t>5063</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552A8C" w14:textId="052F4DB9" w:rsidR="1A53EF6A" w:rsidRPr="00687DE8" w:rsidRDefault="006B70AC">
            <w:pPr>
              <w:spacing w:after="0"/>
              <w:jc w:val="center"/>
              <w:rPr>
                <w:color w:val="000000" w:themeColor="text1"/>
                <w:szCs w:val="24"/>
              </w:rPr>
            </w:pPr>
            <w:r>
              <w:rPr>
                <w:color w:val="000000"/>
              </w:rPr>
              <w:t>4,88</w:t>
            </w:r>
          </w:p>
        </w:tc>
      </w:tr>
      <w:tr w:rsidR="00FE24EB" w:rsidRPr="00687DE8" w14:paraId="68DD2551"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DC7F6E" w14:textId="77777777" w:rsidR="00FE24EB" w:rsidRPr="00687DE8" w:rsidRDefault="00FE24EB" w:rsidP="007122D9">
            <w:pPr>
              <w:pStyle w:val="Normaallaadveeb"/>
              <w:spacing w:before="0" w:after="0" w:afterAutospacing="0"/>
            </w:pPr>
            <w:r w:rsidRPr="00687DE8">
              <w:t>Kulliküüsjätke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115E6D" w14:textId="77777777" w:rsidR="00FE24EB" w:rsidRPr="00687DE8" w:rsidRDefault="00FE24EB" w:rsidP="007122D9">
            <w:pPr>
              <w:pStyle w:val="Normaallaadveeb"/>
              <w:spacing w:before="0" w:after="0" w:afterAutospacing="0"/>
              <w:jc w:val="center"/>
            </w:pPr>
            <w:r w:rsidRPr="00687DE8">
              <w:t>5064</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00F80B" w14:textId="02C56AB5" w:rsidR="1A53EF6A" w:rsidRPr="00687DE8" w:rsidRDefault="006B70AC">
            <w:pPr>
              <w:spacing w:after="0"/>
              <w:jc w:val="center"/>
              <w:rPr>
                <w:color w:val="000000" w:themeColor="text1"/>
                <w:szCs w:val="24"/>
              </w:rPr>
            </w:pPr>
            <w:r>
              <w:rPr>
                <w:color w:val="000000"/>
              </w:rPr>
              <w:t>5,39</w:t>
            </w:r>
          </w:p>
        </w:tc>
      </w:tr>
      <w:tr w:rsidR="00FE24EB" w:rsidRPr="00687DE8" w14:paraId="42F37E19"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ED784F" w14:textId="77777777" w:rsidR="00FE24EB" w:rsidRPr="00687DE8" w:rsidRDefault="00FE24EB" w:rsidP="007122D9">
            <w:pPr>
              <w:pStyle w:val="Normaallaadveeb"/>
              <w:spacing w:before="0" w:after="0" w:afterAutospacing="0"/>
            </w:pPr>
            <w:r w:rsidRPr="00687DE8">
              <w:t>Ühendusharu</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2D270B" w14:textId="77777777" w:rsidR="00FE24EB" w:rsidRPr="00687DE8" w:rsidRDefault="00FE24EB" w:rsidP="007122D9">
            <w:pPr>
              <w:pStyle w:val="Normaallaadveeb"/>
              <w:spacing w:before="0" w:after="0" w:afterAutospacing="0"/>
              <w:jc w:val="center"/>
            </w:pPr>
            <w:r w:rsidRPr="00687DE8">
              <w:t>5065</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111249" w14:textId="6A9B5394" w:rsidR="1A53EF6A" w:rsidRPr="00687DE8" w:rsidRDefault="006B70AC">
            <w:pPr>
              <w:spacing w:after="0"/>
              <w:jc w:val="center"/>
              <w:rPr>
                <w:color w:val="000000" w:themeColor="text1"/>
                <w:szCs w:val="24"/>
              </w:rPr>
            </w:pPr>
            <w:r>
              <w:rPr>
                <w:color w:val="000000"/>
              </w:rPr>
              <w:t>3,87</w:t>
            </w:r>
          </w:p>
        </w:tc>
      </w:tr>
      <w:tr w:rsidR="00FE24EB" w:rsidRPr="00687DE8" w14:paraId="00A5B8AF"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396BA9" w14:textId="77777777" w:rsidR="00FE24EB" w:rsidRPr="00687DE8" w:rsidRDefault="00FE24EB" w:rsidP="007122D9">
            <w:pPr>
              <w:pStyle w:val="Normaallaadveeb"/>
              <w:spacing w:before="0" w:after="0" w:afterAutospacing="0"/>
            </w:pPr>
            <w:r w:rsidRPr="00687DE8">
              <w:t>Sadul plastmassi kinnitamiseks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E3FF6C" w14:textId="77777777" w:rsidR="00FE24EB" w:rsidRPr="00687DE8" w:rsidRDefault="00FE24EB" w:rsidP="007122D9">
            <w:pPr>
              <w:pStyle w:val="Normaallaadveeb"/>
              <w:spacing w:before="0" w:after="0" w:afterAutospacing="0"/>
              <w:jc w:val="center"/>
            </w:pPr>
            <w:r w:rsidRPr="00687DE8">
              <w:t>5066</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626211" w14:textId="63E24CF3" w:rsidR="1A53EF6A" w:rsidRPr="00687DE8" w:rsidRDefault="006B70AC">
            <w:pPr>
              <w:spacing w:after="0"/>
              <w:jc w:val="center"/>
              <w:rPr>
                <w:color w:val="000000" w:themeColor="text1"/>
                <w:szCs w:val="24"/>
              </w:rPr>
            </w:pPr>
            <w:r>
              <w:rPr>
                <w:color w:val="000000"/>
              </w:rPr>
              <w:t>6,68</w:t>
            </w:r>
          </w:p>
        </w:tc>
      </w:tr>
      <w:tr w:rsidR="00FE24EB" w:rsidRPr="00687DE8" w14:paraId="29134BC7"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AAC619" w14:textId="77777777" w:rsidR="00FE24EB" w:rsidRPr="00687DE8" w:rsidRDefault="00FE24EB" w:rsidP="007122D9">
            <w:pPr>
              <w:pStyle w:val="Normaallaadveeb"/>
              <w:spacing w:before="0" w:after="0" w:afterAutospacing="0"/>
            </w:pPr>
            <w:r w:rsidRPr="00687DE8">
              <w:t>Metallist valatud hammas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7E9395" w14:textId="77777777" w:rsidR="00FE24EB" w:rsidRPr="00687DE8" w:rsidRDefault="00FE24EB" w:rsidP="007122D9">
            <w:pPr>
              <w:pStyle w:val="Normaallaadveeb"/>
              <w:spacing w:before="0" w:after="0" w:afterAutospacing="0"/>
              <w:jc w:val="center"/>
            </w:pPr>
            <w:r w:rsidRPr="00687DE8">
              <w:t>5067</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7D95C3" w14:textId="7BAF049A" w:rsidR="1A53EF6A" w:rsidRPr="00687DE8" w:rsidRDefault="006B70AC">
            <w:pPr>
              <w:spacing w:after="0"/>
              <w:jc w:val="center"/>
              <w:rPr>
                <w:color w:val="000000" w:themeColor="text1"/>
                <w:szCs w:val="24"/>
              </w:rPr>
            </w:pPr>
            <w:r>
              <w:rPr>
                <w:color w:val="000000"/>
              </w:rPr>
              <w:t>15,94</w:t>
            </w:r>
          </w:p>
        </w:tc>
      </w:tr>
      <w:tr w:rsidR="00FE24EB" w:rsidRPr="00687DE8" w14:paraId="0EA10EFE"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4EE3A3" w14:textId="77777777" w:rsidR="00FE24EB" w:rsidRPr="00687DE8" w:rsidRDefault="00FE24EB" w:rsidP="007122D9">
            <w:pPr>
              <w:pStyle w:val="Normaallaadveeb"/>
              <w:spacing w:before="0" w:after="0" w:afterAutospacing="0"/>
            </w:pPr>
            <w:r w:rsidRPr="00687DE8">
              <w:t>Metallist valatud hammas plastmassist fassetiga</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7FD5F5" w14:textId="77777777" w:rsidR="00FE24EB" w:rsidRPr="00687DE8" w:rsidRDefault="00FE24EB" w:rsidP="007122D9">
            <w:pPr>
              <w:pStyle w:val="Normaallaadveeb"/>
              <w:spacing w:before="0" w:after="0" w:afterAutospacing="0"/>
              <w:jc w:val="center"/>
            </w:pPr>
            <w:r w:rsidRPr="00687DE8">
              <w:t>5068</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FE68B0" w14:textId="04509198" w:rsidR="1A53EF6A" w:rsidRPr="00687DE8" w:rsidRDefault="006B70AC">
            <w:pPr>
              <w:spacing w:after="0"/>
              <w:jc w:val="center"/>
              <w:rPr>
                <w:color w:val="000000" w:themeColor="text1"/>
                <w:szCs w:val="24"/>
              </w:rPr>
            </w:pPr>
            <w:r>
              <w:rPr>
                <w:color w:val="000000"/>
              </w:rPr>
              <w:t>20,80</w:t>
            </w:r>
          </w:p>
        </w:tc>
      </w:tr>
      <w:tr w:rsidR="00FE24EB" w:rsidRPr="00687DE8" w14:paraId="1FD968E3"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C8D28E" w14:textId="77777777" w:rsidR="00FE24EB" w:rsidRPr="00687DE8" w:rsidRDefault="00FE24EB" w:rsidP="007122D9">
            <w:pPr>
              <w:pStyle w:val="Normaallaadveeb"/>
              <w:spacing w:before="0" w:after="0" w:afterAutospacing="0"/>
            </w:pPr>
            <w:r w:rsidRPr="00687DE8">
              <w:t>Büügli baasis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4278D6" w14:textId="77777777" w:rsidR="00FE24EB" w:rsidRPr="00687DE8" w:rsidRDefault="00FE24EB" w:rsidP="007122D9">
            <w:pPr>
              <w:pStyle w:val="Normaallaadveeb"/>
              <w:spacing w:before="0" w:after="0" w:afterAutospacing="0"/>
              <w:jc w:val="center"/>
            </w:pPr>
            <w:r w:rsidRPr="00687DE8">
              <w:t>5069</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0A33B2" w14:textId="21EE1B42" w:rsidR="1A53EF6A" w:rsidRPr="00687DE8" w:rsidRDefault="006B70AC">
            <w:pPr>
              <w:spacing w:after="0"/>
              <w:jc w:val="center"/>
              <w:rPr>
                <w:color w:val="000000" w:themeColor="text1"/>
                <w:szCs w:val="24"/>
              </w:rPr>
            </w:pPr>
            <w:r>
              <w:rPr>
                <w:color w:val="000000"/>
              </w:rPr>
              <w:t>31,19</w:t>
            </w:r>
          </w:p>
        </w:tc>
      </w:tr>
      <w:tr w:rsidR="00FE24EB" w:rsidRPr="00687DE8" w14:paraId="2EC13148"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999105" w14:textId="77777777" w:rsidR="00FE24EB" w:rsidRPr="00687DE8" w:rsidRDefault="00FE24EB" w:rsidP="007122D9">
            <w:pPr>
              <w:pStyle w:val="Normaallaadveeb"/>
              <w:spacing w:before="0" w:after="0" w:afterAutospacing="0"/>
            </w:pPr>
            <w:r w:rsidRPr="00687DE8">
              <w:t>Baasise piiraja</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5D74BD" w14:textId="77777777" w:rsidR="00FE24EB" w:rsidRPr="00687DE8" w:rsidRDefault="00FE24EB" w:rsidP="007122D9">
            <w:pPr>
              <w:pStyle w:val="Normaallaadveeb"/>
              <w:spacing w:before="0" w:after="0" w:afterAutospacing="0"/>
              <w:jc w:val="center"/>
            </w:pPr>
            <w:r w:rsidRPr="00687DE8">
              <w:t>5070</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FAB603" w14:textId="46987ECE" w:rsidR="1A53EF6A" w:rsidRPr="00687DE8" w:rsidRDefault="006B70AC">
            <w:pPr>
              <w:spacing w:after="0"/>
              <w:jc w:val="center"/>
              <w:rPr>
                <w:color w:val="000000" w:themeColor="text1"/>
                <w:szCs w:val="24"/>
              </w:rPr>
            </w:pPr>
            <w:r>
              <w:rPr>
                <w:color w:val="000000"/>
              </w:rPr>
              <w:t>4,10</w:t>
            </w:r>
          </w:p>
        </w:tc>
      </w:tr>
      <w:tr w:rsidR="00FE24EB" w:rsidRPr="00687DE8" w14:paraId="1B459375"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8C5D5D" w14:textId="77777777" w:rsidR="00FE24EB" w:rsidRPr="00687DE8" w:rsidRDefault="00FE24EB" w:rsidP="007122D9">
            <w:pPr>
              <w:pStyle w:val="Normaallaadveeb"/>
              <w:spacing w:before="0" w:after="0" w:afterAutospacing="0"/>
            </w:pPr>
            <w:r w:rsidRPr="00687DE8">
              <w:t>Elektrolüütiline poleerimine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E69A31" w14:textId="77777777" w:rsidR="00FE24EB" w:rsidRPr="00687DE8" w:rsidRDefault="00FE24EB" w:rsidP="007122D9">
            <w:pPr>
              <w:pStyle w:val="Normaallaadveeb"/>
              <w:spacing w:before="0" w:after="0" w:afterAutospacing="0"/>
              <w:jc w:val="center"/>
            </w:pPr>
            <w:r w:rsidRPr="00687DE8">
              <w:t>5072</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672CA4" w14:textId="634577C8" w:rsidR="1A53EF6A" w:rsidRPr="00687DE8" w:rsidRDefault="006B70AC">
            <w:pPr>
              <w:spacing w:after="0"/>
              <w:jc w:val="center"/>
              <w:rPr>
                <w:color w:val="000000" w:themeColor="text1"/>
                <w:szCs w:val="24"/>
              </w:rPr>
            </w:pPr>
            <w:r>
              <w:rPr>
                <w:color w:val="000000"/>
              </w:rPr>
              <w:t>3,21</w:t>
            </w:r>
          </w:p>
        </w:tc>
      </w:tr>
      <w:tr w:rsidR="00976487" w:rsidRPr="00687DE8" w14:paraId="54C92978" w14:textId="77777777" w:rsidTr="00947CF5">
        <w:trPr>
          <w:divId w:val="1316184749"/>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36BD34" w14:textId="77777777" w:rsidR="00976487" w:rsidRPr="00687DE8" w:rsidRDefault="00976487" w:rsidP="007122D9">
            <w:pPr>
              <w:pStyle w:val="Normaallaadveeb"/>
              <w:spacing w:before="0" w:after="0" w:afterAutospacing="0"/>
            </w:pPr>
            <w:r w:rsidRPr="00687DE8">
              <w:rPr>
                <w:b/>
                <w:bCs/>
              </w:rPr>
              <w:t>Hambakroonid</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055B97" w14:textId="77777777" w:rsidR="00976487" w:rsidRPr="00687DE8" w:rsidRDefault="00976487" w:rsidP="007122D9">
            <w:pPr>
              <w:spacing w:after="0" w:line="240" w:lineRule="auto"/>
              <w:rPr>
                <w:szCs w:val="24"/>
              </w:rPr>
            </w:pP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9798AE" w14:textId="77777777" w:rsidR="00976487" w:rsidRPr="00687DE8" w:rsidRDefault="00976487" w:rsidP="007122D9">
            <w:pPr>
              <w:spacing w:after="0" w:line="240" w:lineRule="auto"/>
              <w:rPr>
                <w:szCs w:val="24"/>
                <w:lang w:eastAsia="et-EE"/>
              </w:rPr>
            </w:pPr>
          </w:p>
        </w:tc>
      </w:tr>
      <w:tr w:rsidR="009F033F" w:rsidRPr="00687DE8" w14:paraId="2DA56C15"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48CDC4" w14:textId="77777777" w:rsidR="009F033F" w:rsidRPr="00687DE8" w:rsidRDefault="009F033F" w:rsidP="007122D9">
            <w:pPr>
              <w:pStyle w:val="Normaallaadveeb"/>
              <w:spacing w:before="0" w:after="0" w:afterAutospacing="0"/>
            </w:pPr>
            <w:r w:rsidRPr="00687DE8">
              <w:t>Metallokeraamiline kroon</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0AA4A1" w14:textId="77777777" w:rsidR="009F033F" w:rsidRPr="00687DE8" w:rsidRDefault="009F033F" w:rsidP="007122D9">
            <w:pPr>
              <w:pStyle w:val="Normaallaadveeb"/>
              <w:spacing w:before="0" w:after="0" w:afterAutospacing="0"/>
              <w:jc w:val="center"/>
            </w:pPr>
            <w:r w:rsidRPr="00687DE8">
              <w:t>5074</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D4A28C" w14:textId="7B11106A" w:rsidR="1A53EF6A" w:rsidRPr="00687DE8" w:rsidRDefault="006B70AC">
            <w:pPr>
              <w:spacing w:after="0"/>
              <w:jc w:val="center"/>
              <w:rPr>
                <w:color w:val="000000" w:themeColor="text1"/>
                <w:szCs w:val="24"/>
              </w:rPr>
            </w:pPr>
            <w:r>
              <w:rPr>
                <w:color w:val="000000"/>
              </w:rPr>
              <w:t>207,65</w:t>
            </w:r>
          </w:p>
        </w:tc>
      </w:tr>
      <w:tr w:rsidR="009F033F" w:rsidRPr="00687DE8" w14:paraId="09BBFFAD"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303985" w14:textId="77777777" w:rsidR="009F033F" w:rsidRPr="00687DE8" w:rsidRDefault="009F033F" w:rsidP="007122D9">
            <w:pPr>
              <w:pStyle w:val="Normaallaadveeb"/>
              <w:spacing w:before="0" w:after="0" w:afterAutospacing="0"/>
            </w:pPr>
            <w:r w:rsidRPr="00687DE8">
              <w:t>Mitteväärismetallist stantsitud kroon</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1B7FA0" w14:textId="77777777" w:rsidR="009F033F" w:rsidRPr="00687DE8" w:rsidRDefault="009F033F" w:rsidP="007122D9">
            <w:pPr>
              <w:pStyle w:val="Normaallaadveeb"/>
              <w:spacing w:before="0" w:after="0" w:afterAutospacing="0"/>
              <w:jc w:val="center"/>
            </w:pPr>
            <w:r w:rsidRPr="00687DE8">
              <w:t>5075</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CE76F4" w14:textId="58AFADC4" w:rsidR="1A53EF6A" w:rsidRPr="00687DE8" w:rsidRDefault="006B70AC">
            <w:pPr>
              <w:spacing w:after="0"/>
              <w:jc w:val="center"/>
              <w:rPr>
                <w:color w:val="000000" w:themeColor="text1"/>
                <w:szCs w:val="24"/>
              </w:rPr>
            </w:pPr>
            <w:r>
              <w:rPr>
                <w:color w:val="000000"/>
              </w:rPr>
              <w:t>34,54</w:t>
            </w:r>
          </w:p>
        </w:tc>
      </w:tr>
      <w:tr w:rsidR="009F033F" w:rsidRPr="00687DE8" w14:paraId="2AA78640"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4C4413" w14:textId="77777777" w:rsidR="009F033F" w:rsidRPr="00687DE8" w:rsidRDefault="009F033F" w:rsidP="007122D9">
            <w:pPr>
              <w:pStyle w:val="Normaallaadveeb"/>
              <w:spacing w:before="0" w:after="0" w:afterAutospacing="0"/>
            </w:pPr>
            <w:r w:rsidRPr="00687DE8">
              <w:t>Mitteväärismetallist stantsitud kroon plastmassist fassetiga</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DC5787" w14:textId="77777777" w:rsidR="009F033F" w:rsidRPr="00687DE8" w:rsidRDefault="009F033F" w:rsidP="007122D9">
            <w:pPr>
              <w:pStyle w:val="Normaallaadveeb"/>
              <w:spacing w:before="0" w:after="0" w:afterAutospacing="0"/>
              <w:jc w:val="center"/>
            </w:pPr>
            <w:r w:rsidRPr="00687DE8">
              <w:t>5077</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CD9624" w14:textId="66AA0A66" w:rsidR="1A53EF6A" w:rsidRPr="00687DE8" w:rsidRDefault="006B70AC">
            <w:pPr>
              <w:spacing w:after="0"/>
              <w:jc w:val="center"/>
              <w:rPr>
                <w:color w:val="000000" w:themeColor="text1"/>
                <w:szCs w:val="24"/>
              </w:rPr>
            </w:pPr>
            <w:r>
              <w:rPr>
                <w:color w:val="000000"/>
              </w:rPr>
              <w:t>31,64</w:t>
            </w:r>
          </w:p>
        </w:tc>
      </w:tr>
      <w:tr w:rsidR="009F033F" w:rsidRPr="00687DE8" w14:paraId="4EB371AB" w14:textId="77777777" w:rsidTr="00EB7A71">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D6144C" w14:textId="77777777" w:rsidR="009F033F" w:rsidRPr="00687DE8" w:rsidRDefault="009F033F" w:rsidP="007122D9">
            <w:pPr>
              <w:pStyle w:val="Normaallaadveeb"/>
              <w:spacing w:before="0" w:after="0" w:afterAutospacing="0"/>
            </w:pPr>
            <w:r w:rsidRPr="00687DE8">
              <w:t>Kahevärviline plastmasskroon</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599A6" w14:textId="77777777" w:rsidR="009F033F" w:rsidRPr="00687DE8" w:rsidRDefault="009F033F" w:rsidP="007122D9">
            <w:pPr>
              <w:pStyle w:val="Normaallaadveeb"/>
              <w:spacing w:before="0" w:after="0" w:afterAutospacing="0"/>
              <w:jc w:val="center"/>
            </w:pPr>
            <w:r w:rsidRPr="00687DE8">
              <w:t>5079</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A9C4DA" w14:textId="245DCEDC" w:rsidR="1A53EF6A" w:rsidRPr="00687DE8" w:rsidRDefault="006B70AC">
            <w:pPr>
              <w:spacing w:after="0"/>
              <w:jc w:val="center"/>
              <w:rPr>
                <w:color w:val="000000" w:themeColor="text1"/>
                <w:szCs w:val="24"/>
              </w:rPr>
            </w:pPr>
            <w:r>
              <w:rPr>
                <w:color w:val="000000"/>
              </w:rPr>
              <w:t>34,64</w:t>
            </w:r>
          </w:p>
        </w:tc>
      </w:tr>
      <w:tr w:rsidR="009F033F" w:rsidRPr="00687DE8" w14:paraId="5B34EB8C"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1C7FFE" w14:textId="77777777" w:rsidR="009F033F" w:rsidRPr="00687DE8" w:rsidRDefault="009F033F" w:rsidP="007122D9">
            <w:pPr>
              <w:pStyle w:val="Normaallaadveeb"/>
              <w:spacing w:before="0" w:after="0" w:afterAutospacing="0"/>
            </w:pPr>
            <w:r w:rsidRPr="00687DE8">
              <w:t>Stantsitud kroon plastmassist fasseti ja mälumispinnaga</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670911" w14:textId="77777777" w:rsidR="009F033F" w:rsidRPr="00687DE8" w:rsidRDefault="009F033F" w:rsidP="007122D9">
            <w:pPr>
              <w:pStyle w:val="Normaallaadveeb"/>
              <w:spacing w:before="0" w:after="0" w:afterAutospacing="0"/>
              <w:jc w:val="center"/>
            </w:pPr>
            <w:r w:rsidRPr="00687DE8">
              <w:t>5081</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556DF9" w14:textId="3DD5A5AA" w:rsidR="1A53EF6A" w:rsidRPr="00687DE8" w:rsidRDefault="006B70AC">
            <w:pPr>
              <w:spacing w:after="0"/>
              <w:jc w:val="center"/>
              <w:rPr>
                <w:color w:val="000000" w:themeColor="text1"/>
                <w:szCs w:val="24"/>
              </w:rPr>
            </w:pPr>
            <w:r>
              <w:rPr>
                <w:color w:val="000000"/>
              </w:rPr>
              <w:t>32,79</w:t>
            </w:r>
          </w:p>
        </w:tc>
      </w:tr>
      <w:tr w:rsidR="009F033F" w:rsidRPr="00687DE8" w14:paraId="3F3B57BD"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3D3A38" w14:textId="77777777" w:rsidR="009F033F" w:rsidRPr="00687DE8" w:rsidRDefault="009F033F" w:rsidP="007122D9">
            <w:pPr>
              <w:pStyle w:val="Normaallaadveeb"/>
              <w:spacing w:before="0" w:after="0" w:afterAutospacing="0"/>
            </w:pPr>
            <w:r w:rsidRPr="00687DE8">
              <w:t>Plastmassist tihvthammas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EF4072" w14:textId="77777777" w:rsidR="009F033F" w:rsidRPr="00687DE8" w:rsidRDefault="009F033F" w:rsidP="007122D9">
            <w:pPr>
              <w:pStyle w:val="Normaallaadveeb"/>
              <w:spacing w:before="0" w:after="0" w:afterAutospacing="0"/>
              <w:jc w:val="center"/>
            </w:pPr>
            <w:r w:rsidRPr="00687DE8">
              <w:t>5082</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03A619" w14:textId="48413922" w:rsidR="1A53EF6A" w:rsidRPr="00687DE8" w:rsidRDefault="006B70AC">
            <w:pPr>
              <w:spacing w:after="0"/>
              <w:jc w:val="center"/>
              <w:rPr>
                <w:color w:val="000000" w:themeColor="text1"/>
                <w:szCs w:val="24"/>
              </w:rPr>
            </w:pPr>
            <w:r>
              <w:rPr>
                <w:color w:val="000000"/>
              </w:rPr>
              <w:t>71,38</w:t>
            </w:r>
          </w:p>
        </w:tc>
      </w:tr>
      <w:tr w:rsidR="009F033F" w:rsidRPr="00687DE8" w14:paraId="40BD6C66"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A1B9EF" w14:textId="77777777" w:rsidR="009F033F" w:rsidRPr="00687DE8" w:rsidRDefault="009F033F" w:rsidP="007122D9">
            <w:pPr>
              <w:pStyle w:val="Normaallaadveeb"/>
              <w:spacing w:before="0" w:after="0" w:afterAutospacing="0"/>
            </w:pPr>
            <w:r w:rsidRPr="00687DE8">
              <w:t>Käpake jootmispinna suurendamiseks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670294" w14:textId="77777777" w:rsidR="009F033F" w:rsidRPr="00687DE8" w:rsidRDefault="009F033F" w:rsidP="007122D9">
            <w:pPr>
              <w:pStyle w:val="Normaallaadveeb"/>
              <w:spacing w:before="0" w:after="0" w:afterAutospacing="0"/>
              <w:jc w:val="center"/>
            </w:pPr>
            <w:r w:rsidRPr="00687DE8">
              <w:t>5083</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0C5F90" w14:textId="0939A70B" w:rsidR="1A53EF6A" w:rsidRPr="00687DE8" w:rsidRDefault="006B70AC">
            <w:pPr>
              <w:spacing w:after="0"/>
              <w:jc w:val="center"/>
              <w:rPr>
                <w:color w:val="000000" w:themeColor="text1"/>
                <w:szCs w:val="24"/>
              </w:rPr>
            </w:pPr>
            <w:r>
              <w:rPr>
                <w:color w:val="000000"/>
              </w:rPr>
              <w:t>4,22</w:t>
            </w:r>
          </w:p>
        </w:tc>
      </w:tr>
      <w:tr w:rsidR="009F033F" w:rsidRPr="00687DE8" w14:paraId="0BB0C7D4"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F46869" w14:textId="77777777" w:rsidR="009F033F" w:rsidRPr="00687DE8" w:rsidRDefault="009F033F" w:rsidP="007122D9">
            <w:pPr>
              <w:pStyle w:val="Normaallaadveeb"/>
              <w:spacing w:before="0" w:after="0" w:afterAutospacing="0"/>
            </w:pPr>
            <w:r w:rsidRPr="00687DE8">
              <w:t>Kahe krooni jootmine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565870" w14:textId="77777777" w:rsidR="009F033F" w:rsidRPr="00687DE8" w:rsidRDefault="009F033F" w:rsidP="007122D9">
            <w:pPr>
              <w:pStyle w:val="Normaallaadveeb"/>
              <w:spacing w:before="0" w:after="0" w:afterAutospacing="0"/>
              <w:jc w:val="center"/>
            </w:pPr>
            <w:r w:rsidRPr="00687DE8">
              <w:t>5084</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6CB1FC" w14:textId="03CA14BC" w:rsidR="1A53EF6A" w:rsidRPr="00687DE8" w:rsidRDefault="006B70AC">
            <w:pPr>
              <w:spacing w:after="0"/>
              <w:jc w:val="center"/>
              <w:rPr>
                <w:color w:val="000000" w:themeColor="text1"/>
                <w:szCs w:val="24"/>
              </w:rPr>
            </w:pPr>
            <w:r>
              <w:rPr>
                <w:color w:val="000000"/>
              </w:rPr>
              <w:t>3,22</w:t>
            </w:r>
          </w:p>
        </w:tc>
      </w:tr>
      <w:tr w:rsidR="009F033F" w:rsidRPr="00687DE8" w14:paraId="348B6A6D"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EEC285" w14:textId="77777777" w:rsidR="009F033F" w:rsidRPr="00687DE8" w:rsidRDefault="009F033F" w:rsidP="007122D9">
            <w:pPr>
              <w:pStyle w:val="Normaallaadveeb"/>
              <w:spacing w:before="0" w:after="0" w:afterAutospacing="0"/>
            </w:pPr>
            <w:r w:rsidRPr="00687DE8">
              <w:t>Ühe krooni tsementeerimine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A92C21" w14:textId="77777777" w:rsidR="009F033F" w:rsidRPr="00687DE8" w:rsidRDefault="009F033F" w:rsidP="007122D9">
            <w:pPr>
              <w:pStyle w:val="Normaallaadveeb"/>
              <w:spacing w:before="0" w:after="0" w:afterAutospacing="0"/>
              <w:jc w:val="center"/>
            </w:pPr>
            <w:r w:rsidRPr="00687DE8">
              <w:t>5085</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F74764" w14:textId="7A8A2B90" w:rsidR="1A53EF6A" w:rsidRPr="00687DE8" w:rsidRDefault="006B70AC">
            <w:pPr>
              <w:spacing w:after="0"/>
              <w:jc w:val="center"/>
              <w:rPr>
                <w:color w:val="000000" w:themeColor="text1"/>
                <w:szCs w:val="24"/>
              </w:rPr>
            </w:pPr>
            <w:r>
              <w:rPr>
                <w:color w:val="000000"/>
              </w:rPr>
              <w:t>50,89</w:t>
            </w:r>
          </w:p>
        </w:tc>
      </w:tr>
      <w:tr w:rsidR="009F033F" w:rsidRPr="00687DE8" w14:paraId="1C0E50BE"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7EAAC4" w14:textId="77777777" w:rsidR="009F033F" w:rsidRPr="00687DE8" w:rsidRDefault="009F033F" w:rsidP="007122D9">
            <w:pPr>
              <w:pStyle w:val="Normaallaadveeb"/>
              <w:spacing w:before="0" w:after="0" w:afterAutospacing="0"/>
            </w:pPr>
            <w:r w:rsidRPr="00687DE8">
              <w:t>Ühe krooni kinnitamine klaasionomeeriga</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A12DF" w14:textId="77777777" w:rsidR="009F033F" w:rsidRPr="00687DE8" w:rsidRDefault="009F033F" w:rsidP="007122D9">
            <w:pPr>
              <w:pStyle w:val="Normaallaadveeb"/>
              <w:spacing w:before="0" w:after="0" w:afterAutospacing="0"/>
              <w:jc w:val="center"/>
            </w:pPr>
            <w:r w:rsidRPr="00687DE8">
              <w:t>5086</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D81461" w14:textId="21B62727" w:rsidR="1A53EF6A" w:rsidRPr="00687DE8" w:rsidRDefault="006B70AC">
            <w:pPr>
              <w:spacing w:after="0"/>
              <w:jc w:val="center"/>
              <w:rPr>
                <w:color w:val="000000" w:themeColor="text1"/>
                <w:szCs w:val="24"/>
              </w:rPr>
            </w:pPr>
            <w:r>
              <w:rPr>
                <w:color w:val="000000"/>
              </w:rPr>
              <w:t>46,51</w:t>
            </w:r>
          </w:p>
        </w:tc>
      </w:tr>
      <w:tr w:rsidR="009F033F" w:rsidRPr="00687DE8" w14:paraId="2BA60D4F"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3C5B4B" w14:textId="77777777" w:rsidR="009F033F" w:rsidRPr="00687DE8" w:rsidRDefault="009F033F" w:rsidP="007122D9">
            <w:pPr>
              <w:pStyle w:val="Normaallaadveeb"/>
              <w:spacing w:before="0" w:after="0" w:afterAutospacing="0"/>
            </w:pPr>
            <w:r w:rsidRPr="00687DE8">
              <w:t>Krooni eemaldamine</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873704" w14:textId="77777777" w:rsidR="009F033F" w:rsidRPr="00687DE8" w:rsidRDefault="009F033F" w:rsidP="007122D9">
            <w:pPr>
              <w:pStyle w:val="Normaallaadveeb"/>
              <w:spacing w:before="0" w:after="0" w:afterAutospacing="0"/>
              <w:jc w:val="center"/>
            </w:pPr>
            <w:r w:rsidRPr="00687DE8">
              <w:t>5088</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8AE1C7" w14:textId="6408D61D" w:rsidR="1A53EF6A" w:rsidRPr="00687DE8" w:rsidRDefault="006B70AC">
            <w:pPr>
              <w:spacing w:after="0"/>
              <w:jc w:val="center"/>
              <w:rPr>
                <w:color w:val="000000" w:themeColor="text1"/>
                <w:szCs w:val="24"/>
              </w:rPr>
            </w:pPr>
            <w:r>
              <w:rPr>
                <w:color w:val="000000"/>
              </w:rPr>
              <w:t>46,24</w:t>
            </w:r>
          </w:p>
        </w:tc>
      </w:tr>
      <w:tr w:rsidR="009F033F" w:rsidRPr="00687DE8" w14:paraId="5C1D8635"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5961C0" w14:textId="77777777" w:rsidR="009F033F" w:rsidRPr="00687DE8" w:rsidRDefault="009F033F" w:rsidP="007122D9">
            <w:pPr>
              <w:pStyle w:val="Normaallaadveeb"/>
              <w:spacing w:before="0" w:after="0" w:afterAutospacing="0"/>
            </w:pPr>
            <w:r w:rsidRPr="00687DE8">
              <w:t>Plastmassfasseti parandus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07B242" w14:textId="77777777" w:rsidR="009F033F" w:rsidRPr="00687DE8" w:rsidRDefault="009F033F" w:rsidP="007122D9">
            <w:pPr>
              <w:pStyle w:val="Normaallaadveeb"/>
              <w:spacing w:before="0" w:after="0" w:afterAutospacing="0"/>
              <w:jc w:val="center"/>
            </w:pPr>
            <w:r w:rsidRPr="00687DE8">
              <w:t>5089</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389903" w14:textId="420AF34C" w:rsidR="1A53EF6A" w:rsidRPr="00687DE8" w:rsidRDefault="006B70AC">
            <w:pPr>
              <w:spacing w:after="0"/>
              <w:jc w:val="center"/>
              <w:rPr>
                <w:color w:val="000000" w:themeColor="text1"/>
                <w:szCs w:val="24"/>
              </w:rPr>
            </w:pPr>
            <w:r>
              <w:rPr>
                <w:color w:val="000000"/>
              </w:rPr>
              <w:t>42,41</w:t>
            </w:r>
          </w:p>
        </w:tc>
      </w:tr>
      <w:tr w:rsidR="00976487" w:rsidRPr="00687DE8" w14:paraId="257EEB77" w14:textId="77777777" w:rsidTr="00947CF5">
        <w:trPr>
          <w:divId w:val="1316184749"/>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B27FFC" w14:textId="77777777" w:rsidR="00976487" w:rsidRPr="00687DE8" w:rsidRDefault="00976487" w:rsidP="007122D9">
            <w:pPr>
              <w:pStyle w:val="Normaallaadveeb"/>
              <w:spacing w:before="0" w:after="0" w:afterAutospacing="0"/>
            </w:pPr>
            <w:r w:rsidRPr="00687DE8">
              <w:rPr>
                <w:b/>
                <w:bCs/>
              </w:rPr>
              <w:t>Täisvalu (mitteäravõetavad) proteesid ja lisatööd</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E4D37F" w14:textId="77777777" w:rsidR="00976487" w:rsidRPr="00687DE8" w:rsidRDefault="00976487" w:rsidP="007122D9">
            <w:pPr>
              <w:spacing w:after="0" w:line="240" w:lineRule="auto"/>
              <w:rPr>
                <w:szCs w:val="24"/>
              </w:rPr>
            </w:pP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9266CF" w14:textId="77777777" w:rsidR="00976487" w:rsidRPr="00687DE8" w:rsidRDefault="00976487" w:rsidP="007122D9">
            <w:pPr>
              <w:spacing w:after="0" w:line="240" w:lineRule="auto"/>
              <w:rPr>
                <w:szCs w:val="24"/>
                <w:lang w:eastAsia="et-EE"/>
              </w:rPr>
            </w:pPr>
          </w:p>
        </w:tc>
      </w:tr>
      <w:tr w:rsidR="00852763" w:rsidRPr="00687DE8" w14:paraId="59612F30"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1C0D06" w14:textId="77777777" w:rsidR="00852763" w:rsidRPr="00687DE8" w:rsidRDefault="00852763" w:rsidP="007122D9">
            <w:pPr>
              <w:pStyle w:val="Normaallaadveeb"/>
              <w:spacing w:before="0" w:after="0" w:afterAutospacing="0"/>
            </w:pPr>
            <w:r w:rsidRPr="00687DE8">
              <w:t>Täisvalu proteeside baashind</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2C5C05" w14:textId="77777777" w:rsidR="00852763" w:rsidRPr="00687DE8" w:rsidRDefault="00852763" w:rsidP="007122D9">
            <w:pPr>
              <w:pStyle w:val="Normaallaadveeb"/>
              <w:spacing w:before="0" w:after="0" w:afterAutospacing="0"/>
              <w:jc w:val="center"/>
            </w:pPr>
            <w:r w:rsidRPr="00687DE8">
              <w:t>5094</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229AA1" w14:textId="39247F81" w:rsidR="1A53EF6A" w:rsidRPr="00687DE8" w:rsidRDefault="00BC4EF3">
            <w:pPr>
              <w:spacing w:after="0"/>
              <w:jc w:val="center"/>
              <w:rPr>
                <w:color w:val="000000" w:themeColor="text1"/>
                <w:szCs w:val="24"/>
              </w:rPr>
            </w:pPr>
            <w:r>
              <w:rPr>
                <w:color w:val="000000"/>
              </w:rPr>
              <w:t>24,61</w:t>
            </w:r>
          </w:p>
        </w:tc>
      </w:tr>
      <w:tr w:rsidR="00852763" w:rsidRPr="00687DE8" w14:paraId="405A53B7"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5C221A" w14:textId="77777777" w:rsidR="00852763" w:rsidRPr="00687DE8" w:rsidRDefault="00852763" w:rsidP="007122D9">
            <w:pPr>
              <w:pStyle w:val="Normaallaadveeb"/>
              <w:spacing w:before="0" w:after="0" w:afterAutospacing="0"/>
            </w:pPr>
            <w:r w:rsidRPr="00687DE8">
              <w:t>Valatud kroon või hammas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94F4DE" w14:textId="77777777" w:rsidR="00852763" w:rsidRPr="00687DE8" w:rsidRDefault="00852763" w:rsidP="007122D9">
            <w:pPr>
              <w:pStyle w:val="Normaallaadveeb"/>
              <w:spacing w:before="0" w:after="0" w:afterAutospacing="0"/>
              <w:jc w:val="center"/>
            </w:pPr>
            <w:r w:rsidRPr="00687DE8">
              <w:t>5095</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F4C073" w14:textId="483C49FC" w:rsidR="1A53EF6A" w:rsidRPr="00687DE8" w:rsidRDefault="00BC4EF3">
            <w:pPr>
              <w:spacing w:after="0"/>
              <w:jc w:val="center"/>
              <w:rPr>
                <w:color w:val="000000" w:themeColor="text1"/>
                <w:szCs w:val="24"/>
              </w:rPr>
            </w:pPr>
            <w:r>
              <w:rPr>
                <w:color w:val="000000"/>
              </w:rPr>
              <w:t>38,79</w:t>
            </w:r>
          </w:p>
        </w:tc>
      </w:tr>
      <w:tr w:rsidR="00852763" w:rsidRPr="00687DE8" w14:paraId="2868ACCE"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4A66A6" w14:textId="77777777" w:rsidR="00852763" w:rsidRPr="00687DE8" w:rsidRDefault="00852763" w:rsidP="007122D9">
            <w:pPr>
              <w:pStyle w:val="Normaallaadveeb"/>
              <w:spacing w:before="0" w:after="0" w:afterAutospacing="0"/>
            </w:pPr>
            <w:r w:rsidRPr="00687DE8">
              <w:t>Mitteväärismetallist valatud kroon või hammas plastmassist fassetiga</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50DFF9" w14:textId="77777777" w:rsidR="00852763" w:rsidRPr="00687DE8" w:rsidRDefault="00852763" w:rsidP="007122D9">
            <w:pPr>
              <w:pStyle w:val="Normaallaadveeb"/>
              <w:spacing w:before="0" w:after="0" w:afterAutospacing="0"/>
              <w:jc w:val="center"/>
            </w:pPr>
          </w:p>
          <w:p w14:paraId="5AAD1BFC" w14:textId="77777777" w:rsidR="00852763" w:rsidRPr="00687DE8" w:rsidRDefault="00852763" w:rsidP="007122D9">
            <w:pPr>
              <w:pStyle w:val="Normaallaadveeb"/>
              <w:spacing w:before="0" w:after="0" w:afterAutospacing="0"/>
              <w:jc w:val="center"/>
            </w:pPr>
            <w:r w:rsidRPr="00687DE8">
              <w:t>5096</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C13930" w14:textId="4BEF2562" w:rsidR="1A53EF6A" w:rsidRPr="00687DE8" w:rsidRDefault="00BC4EF3">
            <w:pPr>
              <w:spacing w:after="0"/>
              <w:jc w:val="center"/>
              <w:rPr>
                <w:color w:val="000000" w:themeColor="text1"/>
                <w:szCs w:val="24"/>
              </w:rPr>
            </w:pPr>
            <w:r>
              <w:rPr>
                <w:color w:val="000000"/>
              </w:rPr>
              <w:t>50,97</w:t>
            </w:r>
          </w:p>
        </w:tc>
      </w:tr>
      <w:tr w:rsidR="00852763" w:rsidRPr="00687DE8" w14:paraId="51FA4F67"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BA1F3F" w14:textId="77777777" w:rsidR="00852763" w:rsidRPr="00687DE8" w:rsidRDefault="00852763" w:rsidP="007122D9">
            <w:pPr>
              <w:pStyle w:val="Normaallaadveeb"/>
              <w:spacing w:before="0" w:after="0" w:afterAutospacing="0"/>
            </w:pPr>
            <w:r w:rsidRPr="00687DE8">
              <w:t>Mitteväärismetallist valatud kroon või hammas plastmassist fassetiga ja mälumispinnaga</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4D8782" w14:textId="77777777" w:rsidR="00852763" w:rsidRPr="00687DE8" w:rsidRDefault="00852763" w:rsidP="007122D9">
            <w:pPr>
              <w:pStyle w:val="Normaallaadveeb"/>
              <w:spacing w:before="0" w:after="0" w:afterAutospacing="0"/>
              <w:jc w:val="center"/>
            </w:pPr>
          </w:p>
          <w:p w14:paraId="3E5454FA" w14:textId="77777777" w:rsidR="00852763" w:rsidRPr="00687DE8" w:rsidRDefault="00852763" w:rsidP="007122D9">
            <w:pPr>
              <w:pStyle w:val="Normaallaadveeb"/>
              <w:spacing w:before="0" w:after="0" w:afterAutospacing="0"/>
              <w:jc w:val="center"/>
            </w:pPr>
            <w:r w:rsidRPr="00687DE8">
              <w:t>5097</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081D39" w14:textId="3079FC77" w:rsidR="1A53EF6A" w:rsidRPr="00687DE8" w:rsidRDefault="00BC4EF3">
            <w:pPr>
              <w:spacing w:after="0"/>
              <w:jc w:val="center"/>
              <w:rPr>
                <w:color w:val="000000" w:themeColor="text1"/>
                <w:szCs w:val="24"/>
              </w:rPr>
            </w:pPr>
            <w:r>
              <w:rPr>
                <w:color w:val="000000"/>
              </w:rPr>
              <w:t>56,37</w:t>
            </w:r>
          </w:p>
        </w:tc>
      </w:tr>
      <w:tr w:rsidR="00852763" w:rsidRPr="00687DE8" w14:paraId="1CF4230C"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C505ED" w14:textId="77777777" w:rsidR="00852763" w:rsidRPr="00687DE8" w:rsidRDefault="00852763" w:rsidP="007122D9">
            <w:pPr>
              <w:pStyle w:val="Normaallaadveeb"/>
              <w:spacing w:before="0" w:after="0" w:afterAutospacing="0"/>
            </w:pPr>
            <w:r w:rsidRPr="00687DE8">
              <w:t>Valatud mitteväärismetallist poolkroon</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8110F7" w14:textId="77777777" w:rsidR="00852763" w:rsidRPr="00687DE8" w:rsidRDefault="00852763" w:rsidP="007122D9">
            <w:pPr>
              <w:pStyle w:val="Normaallaadveeb"/>
              <w:spacing w:before="0" w:after="0" w:afterAutospacing="0"/>
              <w:jc w:val="center"/>
            </w:pPr>
            <w:r w:rsidRPr="00687DE8">
              <w:t>5100</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5CDBA8" w14:textId="52D72F3B" w:rsidR="1A53EF6A" w:rsidRPr="00687DE8" w:rsidRDefault="00BC4EF3">
            <w:pPr>
              <w:spacing w:after="0"/>
              <w:jc w:val="center"/>
              <w:rPr>
                <w:color w:val="000000" w:themeColor="text1"/>
                <w:szCs w:val="24"/>
              </w:rPr>
            </w:pPr>
            <w:r>
              <w:rPr>
                <w:color w:val="000000"/>
              </w:rPr>
              <w:t>50,99</w:t>
            </w:r>
          </w:p>
        </w:tc>
      </w:tr>
      <w:tr w:rsidR="00852763" w:rsidRPr="00687DE8" w14:paraId="0BD75FE7"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F1552E" w14:textId="77777777" w:rsidR="00852763" w:rsidRPr="00687DE8" w:rsidRDefault="00852763" w:rsidP="007122D9">
            <w:pPr>
              <w:pStyle w:val="Normaallaadveeb"/>
              <w:spacing w:before="0" w:after="0" w:afterAutospacing="0"/>
            </w:pPr>
            <w:r w:rsidRPr="00687DE8">
              <w:t>Valatud köntpanus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5DAD0A" w14:textId="77777777" w:rsidR="00852763" w:rsidRPr="00687DE8" w:rsidRDefault="00852763" w:rsidP="007122D9">
            <w:pPr>
              <w:pStyle w:val="Normaallaadveeb"/>
              <w:spacing w:before="0" w:after="0" w:afterAutospacing="0"/>
              <w:jc w:val="center"/>
            </w:pPr>
            <w:r w:rsidRPr="00687DE8">
              <w:t>5101</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C9CA87" w14:textId="243BC7A5" w:rsidR="1A53EF6A" w:rsidRPr="00687DE8" w:rsidRDefault="00BC4EF3">
            <w:pPr>
              <w:spacing w:after="0"/>
              <w:jc w:val="center"/>
              <w:rPr>
                <w:color w:val="000000" w:themeColor="text1"/>
                <w:szCs w:val="24"/>
              </w:rPr>
            </w:pPr>
            <w:r>
              <w:rPr>
                <w:color w:val="000000"/>
              </w:rPr>
              <w:t>29,53</w:t>
            </w:r>
          </w:p>
        </w:tc>
      </w:tr>
      <w:tr w:rsidR="00852763" w:rsidRPr="00687DE8" w14:paraId="5DBE9905"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86E5ED" w14:textId="77777777" w:rsidR="00852763" w:rsidRPr="00687DE8" w:rsidRDefault="00852763" w:rsidP="007122D9">
            <w:pPr>
              <w:pStyle w:val="Normaallaadveeb"/>
              <w:spacing w:before="0" w:after="0" w:afterAutospacing="0"/>
            </w:pPr>
            <w:r w:rsidRPr="00687DE8">
              <w:t>Mitteväärismetallist Richmondi tihvthammas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2F9A1A" w14:textId="77777777" w:rsidR="00852763" w:rsidRPr="00687DE8" w:rsidRDefault="00852763" w:rsidP="007122D9">
            <w:pPr>
              <w:pStyle w:val="Normaallaadveeb"/>
              <w:spacing w:before="0" w:after="0" w:afterAutospacing="0"/>
              <w:jc w:val="center"/>
            </w:pPr>
            <w:r w:rsidRPr="00687DE8">
              <w:t>5102</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31B9E7" w14:textId="2466DD49" w:rsidR="1A53EF6A" w:rsidRPr="00687DE8" w:rsidRDefault="00BC4EF3">
            <w:pPr>
              <w:spacing w:after="0"/>
              <w:jc w:val="center"/>
              <w:rPr>
                <w:color w:val="000000" w:themeColor="text1"/>
                <w:szCs w:val="24"/>
              </w:rPr>
            </w:pPr>
            <w:r>
              <w:rPr>
                <w:color w:val="000000"/>
              </w:rPr>
              <w:t>50,12</w:t>
            </w:r>
          </w:p>
        </w:tc>
      </w:tr>
      <w:tr w:rsidR="00976487" w:rsidRPr="00687DE8" w14:paraId="5C5ED4C5" w14:textId="77777777" w:rsidTr="00947CF5">
        <w:trPr>
          <w:divId w:val="1316184749"/>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01347F" w14:textId="77777777" w:rsidR="00976487" w:rsidRPr="00687DE8" w:rsidRDefault="00976487" w:rsidP="007122D9">
            <w:pPr>
              <w:pStyle w:val="Normaallaadveeb"/>
              <w:spacing w:before="0" w:after="0" w:afterAutospacing="0"/>
            </w:pPr>
            <w:r w:rsidRPr="00687DE8">
              <w:rPr>
                <w:b/>
                <w:bCs/>
              </w:rPr>
              <w:t>Ortopeedilised aparaadid</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47EA9D" w14:textId="77777777" w:rsidR="00976487" w:rsidRPr="00687DE8" w:rsidRDefault="00976487" w:rsidP="007122D9">
            <w:pPr>
              <w:spacing w:after="0" w:line="240" w:lineRule="auto"/>
              <w:rPr>
                <w:szCs w:val="24"/>
              </w:rPr>
            </w:pP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007A40" w14:textId="77777777" w:rsidR="00976487" w:rsidRPr="00687DE8" w:rsidRDefault="00976487" w:rsidP="007122D9">
            <w:pPr>
              <w:spacing w:after="0" w:line="240" w:lineRule="auto"/>
              <w:rPr>
                <w:szCs w:val="24"/>
                <w:lang w:eastAsia="et-EE"/>
              </w:rPr>
            </w:pPr>
          </w:p>
        </w:tc>
      </w:tr>
      <w:tr w:rsidR="00D34407" w:rsidRPr="00687DE8" w14:paraId="6022B0D6"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157C95" w14:textId="77777777" w:rsidR="00D34407" w:rsidRPr="00687DE8" w:rsidRDefault="00D34407" w:rsidP="007122D9">
            <w:pPr>
              <w:pStyle w:val="Normaallaadveeb"/>
              <w:spacing w:before="0" w:after="0" w:afterAutospacing="0"/>
            </w:pPr>
            <w:r w:rsidRPr="00687DE8">
              <w:t>Kaldpind</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5932FF" w14:textId="77777777" w:rsidR="00D34407" w:rsidRPr="00687DE8" w:rsidRDefault="00D34407" w:rsidP="007122D9">
            <w:pPr>
              <w:pStyle w:val="Normaallaadveeb"/>
              <w:spacing w:before="0" w:after="0" w:afterAutospacing="0"/>
              <w:jc w:val="center"/>
            </w:pPr>
            <w:r w:rsidRPr="00687DE8">
              <w:t>5120</w:t>
            </w:r>
          </w:p>
        </w:tc>
        <w:tc>
          <w:tcPr>
            <w:tcW w:w="16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D3F050" w14:textId="1943F2EB" w:rsidR="1A53EF6A" w:rsidRPr="00687DE8" w:rsidRDefault="00BC4EF3">
            <w:pPr>
              <w:spacing w:after="0"/>
              <w:jc w:val="center"/>
              <w:rPr>
                <w:color w:val="000000" w:themeColor="text1"/>
                <w:szCs w:val="24"/>
              </w:rPr>
            </w:pPr>
            <w:r>
              <w:rPr>
                <w:color w:val="000000"/>
              </w:rPr>
              <w:t>178,85</w:t>
            </w:r>
          </w:p>
        </w:tc>
      </w:tr>
      <w:tr w:rsidR="00D34407" w:rsidRPr="00687DE8" w14:paraId="5D923A78"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E6DA75" w14:textId="77777777" w:rsidR="00D34407" w:rsidRPr="00687DE8" w:rsidRDefault="00D34407" w:rsidP="007122D9">
            <w:pPr>
              <w:pStyle w:val="Normaallaadveeb"/>
              <w:spacing w:before="0" w:after="0" w:afterAutospacing="0"/>
            </w:pPr>
            <w:r w:rsidRPr="00687DE8">
              <w:lastRenderedPageBreak/>
              <w:t>Suulaeplaat obduraatoriga</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5796BE" w14:textId="77777777" w:rsidR="00D34407" w:rsidRPr="00687DE8" w:rsidRDefault="00D34407" w:rsidP="007122D9">
            <w:pPr>
              <w:pStyle w:val="Normaallaadveeb"/>
              <w:spacing w:before="0" w:after="0" w:afterAutospacing="0"/>
              <w:jc w:val="center"/>
            </w:pPr>
            <w:r w:rsidRPr="00687DE8">
              <w:t>5121</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220DD8" w14:textId="5ECADA17" w:rsidR="1A53EF6A" w:rsidRPr="00687DE8" w:rsidRDefault="00BC4EF3">
            <w:pPr>
              <w:spacing w:after="0"/>
              <w:jc w:val="center"/>
              <w:rPr>
                <w:color w:val="000000" w:themeColor="text1"/>
                <w:szCs w:val="24"/>
              </w:rPr>
            </w:pPr>
            <w:r>
              <w:rPr>
                <w:color w:val="000000"/>
              </w:rPr>
              <w:t>36,88</w:t>
            </w:r>
          </w:p>
        </w:tc>
      </w:tr>
      <w:tr w:rsidR="00D34407" w:rsidRPr="00687DE8" w14:paraId="1D3809C9"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D9E7CF" w14:textId="77777777" w:rsidR="00D34407" w:rsidRPr="00687DE8" w:rsidRDefault="00D34407" w:rsidP="007122D9">
            <w:pPr>
              <w:pStyle w:val="Normaallaadveeb"/>
              <w:spacing w:before="0" w:after="0" w:afterAutospacing="0"/>
            </w:pPr>
            <w:r w:rsidRPr="00687DE8">
              <w:t>Oklusioonikape, üks osa</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9EBE5A" w14:textId="77777777" w:rsidR="00D34407" w:rsidRPr="00687DE8" w:rsidRDefault="00D34407" w:rsidP="007122D9">
            <w:pPr>
              <w:pStyle w:val="Normaallaadveeb"/>
              <w:spacing w:before="0" w:after="0" w:afterAutospacing="0"/>
              <w:jc w:val="center"/>
            </w:pPr>
            <w:r w:rsidRPr="00687DE8">
              <w:t>5122</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B1FDF2" w14:textId="271D9174" w:rsidR="1A53EF6A" w:rsidRPr="00687DE8" w:rsidRDefault="00BC4EF3">
            <w:pPr>
              <w:spacing w:after="0"/>
              <w:jc w:val="center"/>
              <w:rPr>
                <w:color w:val="000000" w:themeColor="text1"/>
                <w:szCs w:val="24"/>
              </w:rPr>
            </w:pPr>
            <w:r>
              <w:rPr>
                <w:color w:val="000000"/>
              </w:rPr>
              <w:t>6,80</w:t>
            </w:r>
          </w:p>
        </w:tc>
      </w:tr>
      <w:tr w:rsidR="00D34407" w:rsidRPr="00687DE8" w14:paraId="7109CB20"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DC1E2B" w14:textId="77777777" w:rsidR="00D34407" w:rsidRPr="00687DE8" w:rsidRDefault="00D34407" w:rsidP="007122D9">
            <w:pPr>
              <w:pStyle w:val="Normaallaadveeb"/>
              <w:spacing w:before="0" w:after="0" w:afterAutospacing="0"/>
            </w:pPr>
            <w:r w:rsidRPr="00687DE8">
              <w:t>Resektsiooniproteesi baasis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7E094C" w14:textId="77777777" w:rsidR="00D34407" w:rsidRPr="00687DE8" w:rsidRDefault="00D34407" w:rsidP="007122D9">
            <w:pPr>
              <w:pStyle w:val="Normaallaadveeb"/>
              <w:spacing w:before="0" w:after="0" w:afterAutospacing="0"/>
              <w:jc w:val="center"/>
            </w:pPr>
            <w:r w:rsidRPr="00687DE8">
              <w:t>5123</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FCD196" w14:textId="3461D49A" w:rsidR="1A53EF6A" w:rsidRPr="00687DE8" w:rsidRDefault="00BC4EF3">
            <w:pPr>
              <w:spacing w:after="0"/>
              <w:jc w:val="center"/>
              <w:rPr>
                <w:color w:val="000000" w:themeColor="text1"/>
                <w:szCs w:val="24"/>
              </w:rPr>
            </w:pPr>
            <w:r>
              <w:rPr>
                <w:color w:val="000000"/>
              </w:rPr>
              <w:t>58,48</w:t>
            </w:r>
          </w:p>
        </w:tc>
      </w:tr>
      <w:tr w:rsidR="00D34407" w:rsidRPr="00687DE8" w14:paraId="433169FC"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C27639" w14:textId="77777777" w:rsidR="00D34407" w:rsidRPr="00687DE8" w:rsidRDefault="00D34407" w:rsidP="007122D9">
            <w:pPr>
              <w:pStyle w:val="Normaallaadveeb"/>
              <w:spacing w:before="0" w:after="0" w:afterAutospacing="0"/>
            </w:pPr>
            <w:r w:rsidRPr="00687DE8">
              <w:t>Operatsiooniplaat</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3E3C42" w14:textId="77777777" w:rsidR="00D34407" w:rsidRPr="00687DE8" w:rsidRDefault="00D34407" w:rsidP="007122D9">
            <w:pPr>
              <w:pStyle w:val="Normaallaadveeb"/>
              <w:spacing w:before="0" w:after="0" w:afterAutospacing="0"/>
              <w:jc w:val="center"/>
            </w:pPr>
            <w:r w:rsidRPr="00687DE8">
              <w:t>5124</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8713A7" w14:textId="2825DA09" w:rsidR="1A53EF6A" w:rsidRPr="00687DE8" w:rsidRDefault="00BC4EF3">
            <w:pPr>
              <w:spacing w:after="0"/>
              <w:jc w:val="center"/>
              <w:rPr>
                <w:color w:val="000000" w:themeColor="text1"/>
                <w:szCs w:val="24"/>
              </w:rPr>
            </w:pPr>
            <w:r>
              <w:rPr>
                <w:color w:val="000000"/>
              </w:rPr>
              <w:t>27,23</w:t>
            </w:r>
          </w:p>
        </w:tc>
      </w:tr>
      <w:tr w:rsidR="48B64796" w:rsidRPr="00687DE8" w14:paraId="0D08DC5F" w14:textId="77777777" w:rsidTr="001B10F9">
        <w:trPr>
          <w:divId w:val="1316184749"/>
          <w:trHeight w:val="300"/>
        </w:trPr>
        <w:tc>
          <w:tcPr>
            <w:tcW w:w="6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0C9563" w14:textId="7E856812" w:rsidR="2DFFB7D1" w:rsidRPr="00687DE8" w:rsidRDefault="00582251" w:rsidP="00FF2A12">
            <w:pPr>
              <w:spacing w:after="0" w:line="240" w:lineRule="auto"/>
            </w:pPr>
            <w:r>
              <w:t>Hambaproteesiteenus vanglas</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E3DFF8" w14:textId="5CC4460B" w:rsidR="2DFFB7D1" w:rsidRPr="00687DE8" w:rsidRDefault="2DFFB7D1" w:rsidP="00FF2A12">
            <w:pPr>
              <w:spacing w:after="0" w:line="240" w:lineRule="auto"/>
              <w:jc w:val="center"/>
              <w:rPr>
                <w:szCs w:val="24"/>
              </w:rPr>
            </w:pPr>
            <w:r w:rsidRPr="00687DE8">
              <w:rPr>
                <w:szCs w:val="24"/>
              </w:rPr>
              <w:t>5125</w:t>
            </w:r>
          </w:p>
        </w:tc>
        <w:tc>
          <w:tcPr>
            <w:tcW w:w="1625"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149A84" w14:textId="4F2A46B0" w:rsidR="48B64796" w:rsidRPr="00687DE8" w:rsidRDefault="00BC4EF3" w:rsidP="00FF2A12">
            <w:pPr>
              <w:spacing w:after="0" w:line="240" w:lineRule="auto"/>
              <w:jc w:val="center"/>
              <w:rPr>
                <w:szCs w:val="24"/>
              </w:rPr>
            </w:pPr>
            <w:r>
              <w:rPr>
                <w:color w:val="000000"/>
              </w:rPr>
              <w:t>700,00</w:t>
            </w:r>
          </w:p>
        </w:tc>
      </w:tr>
    </w:tbl>
    <w:p w14:paraId="59BBAE4E" w14:textId="77777777" w:rsidR="00976487" w:rsidRPr="00687DE8" w:rsidRDefault="00976487" w:rsidP="00976487">
      <w:pPr>
        <w:pStyle w:val="Normaallaadveeb"/>
        <w:spacing w:before="0" w:after="0" w:afterAutospacing="0"/>
        <w:jc w:val="both"/>
        <w:divId w:val="1316184749"/>
      </w:pPr>
    </w:p>
    <w:p w14:paraId="4BE54A08" w14:textId="35C0759E" w:rsidR="004F6770" w:rsidRPr="00687DE8" w:rsidRDefault="1E15F6CA">
      <w:pPr>
        <w:pStyle w:val="Normaallaadveeb"/>
        <w:spacing w:before="0" w:after="0" w:afterAutospacing="0"/>
        <w:jc w:val="both"/>
      </w:pPr>
      <w:r w:rsidRPr="00687DE8">
        <w:t>(</w:t>
      </w:r>
      <w:r w:rsidR="00436053">
        <w:t>2</w:t>
      </w:r>
      <w:r w:rsidR="42ED9F65" w:rsidRPr="00687DE8">
        <w:t xml:space="preserve">) </w:t>
      </w:r>
      <w:r w:rsidR="004F6770" w:rsidRPr="00687DE8">
        <w:t xml:space="preserve">Tervisekassa võtab </w:t>
      </w:r>
      <w:r w:rsidR="005B171C" w:rsidRPr="00687DE8">
        <w:t>vanglas kinni</w:t>
      </w:r>
      <w:r w:rsidR="00873A28" w:rsidRPr="00687DE8">
        <w:t xml:space="preserve"> peetavalt</w:t>
      </w:r>
      <w:r w:rsidR="004F6770" w:rsidRPr="00687DE8">
        <w:t xml:space="preserve"> isikult </w:t>
      </w:r>
      <w:r w:rsidR="005B171C" w:rsidRPr="00687DE8">
        <w:t xml:space="preserve">koodiga 5125 tähistatud </w:t>
      </w:r>
      <w:r w:rsidR="00873A28" w:rsidRPr="00687DE8">
        <w:t>tervishoiu</w:t>
      </w:r>
      <w:r w:rsidR="004F6770" w:rsidRPr="00687DE8">
        <w:t xml:space="preserve">teenuse eest tasu maksmise kohustuse üle </w:t>
      </w:r>
      <w:r w:rsidR="00AB7FCB" w:rsidRPr="00687DE8">
        <w:t xml:space="preserve">kuni </w:t>
      </w:r>
      <w:r w:rsidR="005B171C" w:rsidRPr="00687DE8">
        <w:t>700</w:t>
      </w:r>
      <w:r w:rsidR="004F6770" w:rsidRPr="00687DE8">
        <w:t xml:space="preserve"> euro</w:t>
      </w:r>
      <w:r w:rsidR="00F840AC" w:rsidRPr="00687DE8">
        <w:t xml:space="preserve"> eest</w:t>
      </w:r>
      <w:r w:rsidR="004F6770" w:rsidRPr="00687DE8">
        <w:t xml:space="preserve"> kolme aasta kohta.</w:t>
      </w:r>
      <w:r w:rsidR="00280C2E" w:rsidRPr="00687DE8">
        <w:t xml:space="preserve"> Teenuse osutamise vajaduse </w:t>
      </w:r>
      <w:r w:rsidR="00873A28" w:rsidRPr="00687DE8">
        <w:t>otsustab</w:t>
      </w:r>
      <w:r w:rsidR="00280C2E" w:rsidRPr="00687DE8">
        <w:t xml:space="preserve"> hambaarst lähtuvalt mälumisfunktsiooni häirumise ulatusest.</w:t>
      </w:r>
    </w:p>
    <w:p w14:paraId="49207566" w14:textId="77777777" w:rsidR="00EA228B" w:rsidRPr="00687DE8" w:rsidRDefault="00EA228B" w:rsidP="00EA228B">
      <w:pPr>
        <w:pStyle w:val="Normaallaadveeb"/>
        <w:spacing w:before="0" w:after="0" w:afterAutospacing="0"/>
        <w:jc w:val="both"/>
      </w:pPr>
    </w:p>
    <w:p w14:paraId="2EB766D3" w14:textId="336CF6C8" w:rsidR="3BE04250" w:rsidRPr="00687DE8" w:rsidRDefault="3BE04250" w:rsidP="44C44E87">
      <w:pPr>
        <w:pStyle w:val="Normaallaadveeb"/>
        <w:spacing w:before="0" w:after="0" w:afterAutospacing="0"/>
        <w:jc w:val="both"/>
      </w:pPr>
      <w:r w:rsidRPr="00687DE8">
        <w:t>(</w:t>
      </w:r>
      <w:r w:rsidR="00436053">
        <w:t>3</w:t>
      </w:r>
      <w:r w:rsidRPr="00687DE8">
        <w:t xml:space="preserve">) </w:t>
      </w:r>
      <w:r w:rsidR="00871854" w:rsidRPr="00687DE8">
        <w:t xml:space="preserve">Tervishoiuteenuse osutaja rakendab </w:t>
      </w:r>
      <w:r w:rsidR="008363E6" w:rsidRPr="00687DE8">
        <w:t>k</w:t>
      </w:r>
      <w:r w:rsidRPr="00687DE8">
        <w:t xml:space="preserve">oodiga 5125 tähistatud </w:t>
      </w:r>
      <w:r w:rsidR="00873A28" w:rsidRPr="00687DE8">
        <w:t>tervishoiu</w:t>
      </w:r>
      <w:r w:rsidRPr="00687DE8">
        <w:t>teenuse</w:t>
      </w:r>
      <w:r w:rsidR="008363E6" w:rsidRPr="00687DE8">
        <w:t xml:space="preserve">le </w:t>
      </w:r>
      <w:r w:rsidR="009A78FF" w:rsidRPr="00687DE8">
        <w:t xml:space="preserve">koefitsienti kuni 1,0 </w:t>
      </w:r>
      <w:r w:rsidRPr="00687DE8">
        <w:t xml:space="preserve">vastavalt hambaproteesi </w:t>
      </w:r>
      <w:r w:rsidR="00873A28" w:rsidRPr="00687DE8">
        <w:t xml:space="preserve">tegelikule </w:t>
      </w:r>
      <w:r w:rsidRPr="00687DE8">
        <w:t>maksumusele.</w:t>
      </w:r>
    </w:p>
    <w:p w14:paraId="6DE968E7" w14:textId="77777777" w:rsidR="00976487" w:rsidRPr="00687DE8" w:rsidRDefault="00976487" w:rsidP="00976487">
      <w:pPr>
        <w:pStyle w:val="Pealkiri3"/>
        <w:spacing w:before="0" w:after="0" w:afterAutospacing="0"/>
        <w:jc w:val="both"/>
        <w:divId w:val="1316184749"/>
        <w:rPr>
          <w:rStyle w:val="Tugev"/>
          <w:b/>
          <w:bCs/>
          <w:sz w:val="24"/>
          <w:szCs w:val="24"/>
        </w:rPr>
      </w:pPr>
    </w:p>
    <w:p w14:paraId="2E6A6932" w14:textId="77777777" w:rsidR="00976487" w:rsidRDefault="5C52CFD9" w:rsidP="5C52CFD9">
      <w:pPr>
        <w:pStyle w:val="Pealkiri3"/>
        <w:spacing w:before="0" w:after="0" w:afterAutospacing="0"/>
        <w:jc w:val="both"/>
        <w:divId w:val="1316184749"/>
        <w:rPr>
          <w:sz w:val="24"/>
          <w:szCs w:val="24"/>
        </w:rPr>
      </w:pPr>
      <w:r w:rsidRPr="00687DE8">
        <w:rPr>
          <w:rStyle w:val="Tugev"/>
          <w:b/>
          <w:bCs/>
          <w:sz w:val="24"/>
          <w:szCs w:val="24"/>
        </w:rPr>
        <w:t>§ 79.</w:t>
      </w:r>
      <w:r w:rsidRPr="00687DE8">
        <w:rPr>
          <w:sz w:val="24"/>
          <w:szCs w:val="24"/>
        </w:rPr>
        <w:t> Ortodontia piirhinnad</w:t>
      </w:r>
    </w:p>
    <w:p w14:paraId="19276520" w14:textId="77777777" w:rsidR="00D35BE0" w:rsidRDefault="00D35BE0" w:rsidP="00976487">
      <w:pPr>
        <w:pStyle w:val="Normaallaadveeb"/>
        <w:spacing w:before="0" w:after="0" w:afterAutospacing="0"/>
        <w:jc w:val="both"/>
        <w:divId w:val="1316184749"/>
      </w:pPr>
    </w:p>
    <w:p w14:paraId="43525FA2" w14:textId="51B49E3D" w:rsidR="00976487" w:rsidRPr="00687DE8" w:rsidRDefault="00976487" w:rsidP="00976487">
      <w:pPr>
        <w:pStyle w:val="Normaallaadveeb"/>
        <w:spacing w:before="0" w:after="0" w:afterAutospacing="0"/>
        <w:jc w:val="both"/>
        <w:divId w:val="1316184749"/>
      </w:pPr>
      <w:r w:rsidRPr="00687DE8">
        <w:t>(1) Ortodontia piirhinnad on järgmised:</w:t>
      </w:r>
    </w:p>
    <w:p w14:paraId="4A2B93BB" w14:textId="77777777" w:rsidR="00976487" w:rsidRPr="00687DE8" w:rsidRDefault="00976487" w:rsidP="00976487">
      <w:pPr>
        <w:pStyle w:val="Normaallaadveeb"/>
        <w:spacing w:before="0" w:after="0" w:afterAutospacing="0"/>
        <w:jc w:val="both"/>
        <w:divId w:val="1316184749"/>
      </w:pPr>
    </w:p>
    <w:tbl>
      <w:tblPr>
        <w:tblW w:w="9355" w:type="dxa"/>
        <w:tblCellMar>
          <w:left w:w="70" w:type="dxa"/>
          <w:right w:w="70" w:type="dxa"/>
        </w:tblCellMar>
        <w:tblLook w:val="04A0" w:firstRow="1" w:lastRow="0" w:firstColumn="1" w:lastColumn="0" w:noHBand="0" w:noVBand="1"/>
      </w:tblPr>
      <w:tblGrid>
        <w:gridCol w:w="5757"/>
        <w:gridCol w:w="1923"/>
        <w:gridCol w:w="1675"/>
      </w:tblGrid>
      <w:tr w:rsidR="00976487" w:rsidRPr="00687DE8" w14:paraId="1F9DF79C" w14:textId="77777777" w:rsidTr="00635F93">
        <w:trPr>
          <w:divId w:val="1316184749"/>
          <w:trHeight w:val="312"/>
          <w:tblHeader/>
        </w:trPr>
        <w:tc>
          <w:tcPr>
            <w:tcW w:w="5757" w:type="dxa"/>
            <w:tcBorders>
              <w:top w:val="single" w:sz="4" w:space="0" w:color="auto"/>
              <w:left w:val="single" w:sz="4" w:space="0" w:color="auto"/>
              <w:bottom w:val="single" w:sz="4" w:space="0" w:color="auto"/>
              <w:right w:val="single" w:sz="4" w:space="0" w:color="auto"/>
            </w:tcBorders>
            <w:vAlign w:val="bottom"/>
            <w:hideMark/>
          </w:tcPr>
          <w:p w14:paraId="04CF4A86" w14:textId="77777777" w:rsidR="00976487" w:rsidRPr="00687DE8" w:rsidRDefault="00976487">
            <w:pPr>
              <w:spacing w:after="0" w:line="240" w:lineRule="auto"/>
              <w:rPr>
                <w:b/>
                <w:bCs/>
                <w:color w:val="000000"/>
                <w:szCs w:val="24"/>
                <w:lang w:eastAsia="et-EE"/>
              </w:rPr>
            </w:pPr>
            <w:r w:rsidRPr="00687DE8">
              <w:rPr>
                <w:b/>
                <w:bCs/>
                <w:color w:val="000000"/>
                <w:szCs w:val="24"/>
                <w:lang w:eastAsia="et-EE"/>
              </w:rPr>
              <w:t>Tervishoiuteenuse nimetus</w:t>
            </w:r>
          </w:p>
        </w:tc>
        <w:tc>
          <w:tcPr>
            <w:tcW w:w="1923" w:type="dxa"/>
            <w:tcBorders>
              <w:top w:val="single" w:sz="4" w:space="0" w:color="auto"/>
              <w:left w:val="nil"/>
              <w:bottom w:val="single" w:sz="4" w:space="0" w:color="auto"/>
              <w:right w:val="single" w:sz="4" w:space="0" w:color="auto"/>
            </w:tcBorders>
            <w:noWrap/>
            <w:vAlign w:val="bottom"/>
            <w:hideMark/>
          </w:tcPr>
          <w:p w14:paraId="1F6AA523" w14:textId="77777777" w:rsidR="00976487" w:rsidRPr="00687DE8" w:rsidRDefault="00976487">
            <w:pPr>
              <w:spacing w:after="0" w:line="240" w:lineRule="auto"/>
              <w:rPr>
                <w:b/>
                <w:bCs/>
                <w:color w:val="000000"/>
                <w:szCs w:val="24"/>
                <w:lang w:eastAsia="et-EE"/>
              </w:rPr>
            </w:pPr>
            <w:r w:rsidRPr="00687DE8">
              <w:rPr>
                <w:b/>
                <w:bCs/>
                <w:color w:val="000000"/>
                <w:szCs w:val="24"/>
                <w:lang w:eastAsia="et-EE"/>
              </w:rPr>
              <w:t>Kood</w:t>
            </w:r>
          </w:p>
        </w:tc>
        <w:tc>
          <w:tcPr>
            <w:tcW w:w="1675" w:type="dxa"/>
            <w:tcBorders>
              <w:top w:val="single" w:sz="4" w:space="0" w:color="auto"/>
              <w:left w:val="nil"/>
              <w:bottom w:val="single" w:sz="4" w:space="0" w:color="auto"/>
              <w:right w:val="single" w:sz="4" w:space="0" w:color="auto"/>
            </w:tcBorders>
            <w:vAlign w:val="bottom"/>
            <w:hideMark/>
          </w:tcPr>
          <w:p w14:paraId="594DFADE" w14:textId="77777777" w:rsidR="00976487" w:rsidRPr="00687DE8" w:rsidRDefault="00976487">
            <w:pPr>
              <w:tabs>
                <w:tab w:val="decimal" w:pos="635"/>
              </w:tabs>
              <w:spacing w:after="0" w:line="240" w:lineRule="auto"/>
              <w:jc w:val="center"/>
              <w:rPr>
                <w:b/>
                <w:bCs/>
                <w:color w:val="000000"/>
                <w:szCs w:val="24"/>
                <w:lang w:eastAsia="et-EE"/>
              </w:rPr>
            </w:pPr>
            <w:r w:rsidRPr="00687DE8">
              <w:rPr>
                <w:b/>
                <w:bCs/>
                <w:color w:val="000000"/>
                <w:szCs w:val="24"/>
                <w:lang w:eastAsia="et-EE"/>
              </w:rPr>
              <w:t>Piirhind eurodes</w:t>
            </w:r>
          </w:p>
        </w:tc>
      </w:tr>
      <w:tr w:rsidR="002B4072" w:rsidRPr="00687DE8" w14:paraId="77D7DBCD"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0A30D0CD" w14:textId="77777777" w:rsidR="002B4072" w:rsidRPr="00687DE8" w:rsidRDefault="002B4072" w:rsidP="002B4072">
            <w:pPr>
              <w:spacing w:after="0" w:line="240" w:lineRule="auto"/>
              <w:rPr>
                <w:szCs w:val="24"/>
                <w:lang w:eastAsia="et-EE"/>
              </w:rPr>
            </w:pPr>
            <w:r w:rsidRPr="00687DE8">
              <w:rPr>
                <w:szCs w:val="24"/>
                <w:lang w:eastAsia="et-EE"/>
              </w:rPr>
              <w:t>Ortodondi vastuvõtt</w:t>
            </w:r>
          </w:p>
        </w:tc>
        <w:tc>
          <w:tcPr>
            <w:tcW w:w="1923" w:type="dxa"/>
            <w:tcBorders>
              <w:top w:val="nil"/>
              <w:left w:val="nil"/>
              <w:bottom w:val="single" w:sz="4" w:space="0" w:color="auto"/>
              <w:right w:val="single" w:sz="4" w:space="0" w:color="auto"/>
            </w:tcBorders>
            <w:noWrap/>
            <w:vAlign w:val="bottom"/>
            <w:hideMark/>
          </w:tcPr>
          <w:p w14:paraId="0DC6F3A2" w14:textId="77777777" w:rsidR="002B4072" w:rsidRPr="00687DE8" w:rsidRDefault="002B4072" w:rsidP="002B4072">
            <w:pPr>
              <w:spacing w:after="0" w:line="240" w:lineRule="auto"/>
              <w:jc w:val="center"/>
              <w:rPr>
                <w:szCs w:val="24"/>
                <w:lang w:eastAsia="et-EE"/>
              </w:rPr>
            </w:pPr>
            <w:r w:rsidRPr="00687DE8">
              <w:rPr>
                <w:szCs w:val="24"/>
                <w:lang w:eastAsia="et-EE"/>
              </w:rPr>
              <w:t>52601</w:t>
            </w:r>
          </w:p>
        </w:tc>
        <w:tc>
          <w:tcPr>
            <w:tcW w:w="1675" w:type="dxa"/>
            <w:tcBorders>
              <w:top w:val="single" w:sz="4" w:space="0" w:color="auto"/>
              <w:left w:val="single" w:sz="4" w:space="0" w:color="auto"/>
              <w:bottom w:val="single" w:sz="4" w:space="0" w:color="auto"/>
              <w:right w:val="single" w:sz="4" w:space="0" w:color="auto"/>
            </w:tcBorders>
            <w:noWrap/>
            <w:vAlign w:val="center"/>
            <w:hideMark/>
          </w:tcPr>
          <w:p w14:paraId="675E8E29" w14:textId="23E6A95A" w:rsidR="6800D2BF" w:rsidRPr="00687DE8" w:rsidRDefault="00176111">
            <w:pPr>
              <w:spacing w:after="0"/>
              <w:jc w:val="center"/>
              <w:rPr>
                <w:color w:val="000000" w:themeColor="text1"/>
                <w:szCs w:val="24"/>
              </w:rPr>
            </w:pPr>
            <w:r>
              <w:rPr>
                <w:color w:val="000000"/>
              </w:rPr>
              <w:t>67,02</w:t>
            </w:r>
          </w:p>
        </w:tc>
      </w:tr>
      <w:tr w:rsidR="002B4072" w:rsidRPr="00687DE8" w14:paraId="4A7D2BB9"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2F1838D7" w14:textId="77777777" w:rsidR="002B4072" w:rsidRPr="00687DE8" w:rsidRDefault="002B4072" w:rsidP="002B4072">
            <w:pPr>
              <w:spacing w:after="0" w:line="240" w:lineRule="auto"/>
              <w:rPr>
                <w:szCs w:val="24"/>
                <w:lang w:eastAsia="et-EE"/>
              </w:rPr>
            </w:pPr>
            <w:r w:rsidRPr="00687DE8">
              <w:rPr>
                <w:szCs w:val="24"/>
                <w:lang w:eastAsia="et-EE"/>
              </w:rPr>
              <w:t>Külastuse baashind (ortodontia)</w:t>
            </w:r>
          </w:p>
        </w:tc>
        <w:tc>
          <w:tcPr>
            <w:tcW w:w="1923" w:type="dxa"/>
            <w:tcBorders>
              <w:top w:val="nil"/>
              <w:left w:val="nil"/>
              <w:bottom w:val="single" w:sz="4" w:space="0" w:color="auto"/>
              <w:right w:val="single" w:sz="4" w:space="0" w:color="auto"/>
            </w:tcBorders>
            <w:noWrap/>
            <w:vAlign w:val="bottom"/>
            <w:hideMark/>
          </w:tcPr>
          <w:p w14:paraId="4F496333" w14:textId="77777777" w:rsidR="002B4072" w:rsidRPr="00687DE8" w:rsidRDefault="002B4072" w:rsidP="002B4072">
            <w:pPr>
              <w:spacing w:after="0" w:line="240" w:lineRule="auto"/>
              <w:jc w:val="center"/>
              <w:rPr>
                <w:szCs w:val="24"/>
                <w:lang w:eastAsia="et-EE"/>
              </w:rPr>
            </w:pPr>
            <w:r w:rsidRPr="00687DE8">
              <w:rPr>
                <w:szCs w:val="24"/>
                <w:lang w:eastAsia="et-EE"/>
              </w:rPr>
              <w:t>52666</w:t>
            </w:r>
          </w:p>
        </w:tc>
        <w:tc>
          <w:tcPr>
            <w:tcW w:w="1675" w:type="dxa"/>
            <w:tcBorders>
              <w:top w:val="nil"/>
              <w:left w:val="single" w:sz="4" w:space="0" w:color="auto"/>
              <w:bottom w:val="single" w:sz="4" w:space="0" w:color="auto"/>
              <w:right w:val="single" w:sz="4" w:space="0" w:color="auto"/>
            </w:tcBorders>
            <w:noWrap/>
            <w:vAlign w:val="center"/>
            <w:hideMark/>
          </w:tcPr>
          <w:p w14:paraId="3D0630A7" w14:textId="62FBAC3F" w:rsidR="6800D2BF" w:rsidRPr="00687DE8" w:rsidRDefault="00176111">
            <w:pPr>
              <w:spacing w:after="0"/>
              <w:jc w:val="center"/>
              <w:rPr>
                <w:color w:val="000000" w:themeColor="text1"/>
                <w:szCs w:val="24"/>
              </w:rPr>
            </w:pPr>
            <w:r>
              <w:rPr>
                <w:color w:val="000000"/>
              </w:rPr>
              <w:t>21,23</w:t>
            </w:r>
          </w:p>
        </w:tc>
      </w:tr>
      <w:tr w:rsidR="002B4072" w:rsidRPr="00687DE8" w14:paraId="2D8172FB"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3F032B14" w14:textId="77777777" w:rsidR="002B4072" w:rsidRPr="00687DE8" w:rsidRDefault="002B4072" w:rsidP="002B4072">
            <w:pPr>
              <w:spacing w:after="0" w:line="240" w:lineRule="auto"/>
              <w:rPr>
                <w:szCs w:val="24"/>
                <w:lang w:eastAsia="et-EE"/>
              </w:rPr>
            </w:pPr>
            <w:r w:rsidRPr="00687DE8">
              <w:rPr>
                <w:szCs w:val="24"/>
                <w:lang w:eastAsia="et-EE"/>
              </w:rPr>
              <w:t>Kirurgilise ravi planeerimine, mudelkirurgia</w:t>
            </w:r>
          </w:p>
        </w:tc>
        <w:tc>
          <w:tcPr>
            <w:tcW w:w="1923" w:type="dxa"/>
            <w:tcBorders>
              <w:top w:val="nil"/>
              <w:left w:val="nil"/>
              <w:bottom w:val="single" w:sz="4" w:space="0" w:color="auto"/>
              <w:right w:val="single" w:sz="4" w:space="0" w:color="auto"/>
            </w:tcBorders>
            <w:noWrap/>
            <w:vAlign w:val="bottom"/>
            <w:hideMark/>
          </w:tcPr>
          <w:p w14:paraId="7798740E" w14:textId="77777777" w:rsidR="002B4072" w:rsidRPr="00687DE8" w:rsidRDefault="002B4072" w:rsidP="002B4072">
            <w:pPr>
              <w:spacing w:after="0" w:line="240" w:lineRule="auto"/>
              <w:jc w:val="center"/>
              <w:rPr>
                <w:szCs w:val="24"/>
                <w:lang w:eastAsia="et-EE"/>
              </w:rPr>
            </w:pPr>
            <w:r w:rsidRPr="00687DE8">
              <w:rPr>
                <w:szCs w:val="24"/>
                <w:lang w:eastAsia="et-EE"/>
              </w:rPr>
              <w:t>52605</w:t>
            </w:r>
          </w:p>
        </w:tc>
        <w:tc>
          <w:tcPr>
            <w:tcW w:w="1675" w:type="dxa"/>
            <w:tcBorders>
              <w:top w:val="nil"/>
              <w:left w:val="single" w:sz="4" w:space="0" w:color="auto"/>
              <w:bottom w:val="single" w:sz="4" w:space="0" w:color="auto"/>
              <w:right w:val="single" w:sz="4" w:space="0" w:color="auto"/>
            </w:tcBorders>
            <w:noWrap/>
            <w:vAlign w:val="center"/>
            <w:hideMark/>
          </w:tcPr>
          <w:p w14:paraId="712DCC57" w14:textId="6C0BE2D2" w:rsidR="6800D2BF" w:rsidRPr="00687DE8" w:rsidRDefault="00176111">
            <w:pPr>
              <w:spacing w:after="0"/>
              <w:jc w:val="center"/>
              <w:rPr>
                <w:color w:val="000000" w:themeColor="text1"/>
                <w:szCs w:val="24"/>
              </w:rPr>
            </w:pPr>
            <w:r>
              <w:rPr>
                <w:color w:val="000000"/>
              </w:rPr>
              <w:t>77,36</w:t>
            </w:r>
          </w:p>
        </w:tc>
      </w:tr>
      <w:tr w:rsidR="002B4072" w:rsidRPr="00687DE8" w14:paraId="2EF32A8B"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5A24C12D" w14:textId="77777777" w:rsidR="002B4072" w:rsidRPr="00687DE8" w:rsidRDefault="002B4072" w:rsidP="002B4072">
            <w:pPr>
              <w:spacing w:after="0" w:line="240" w:lineRule="auto"/>
              <w:rPr>
                <w:szCs w:val="24"/>
                <w:lang w:eastAsia="et-EE"/>
              </w:rPr>
            </w:pPr>
            <w:r w:rsidRPr="00687DE8">
              <w:rPr>
                <w:szCs w:val="24"/>
                <w:lang w:eastAsia="et-EE"/>
              </w:rPr>
              <w:t>Raviplaani koostamine</w:t>
            </w:r>
          </w:p>
        </w:tc>
        <w:tc>
          <w:tcPr>
            <w:tcW w:w="1923" w:type="dxa"/>
            <w:tcBorders>
              <w:top w:val="nil"/>
              <w:left w:val="nil"/>
              <w:bottom w:val="single" w:sz="4" w:space="0" w:color="auto"/>
              <w:right w:val="single" w:sz="4" w:space="0" w:color="auto"/>
            </w:tcBorders>
            <w:noWrap/>
            <w:vAlign w:val="bottom"/>
            <w:hideMark/>
          </w:tcPr>
          <w:p w14:paraId="4F13CBD0" w14:textId="77777777" w:rsidR="002B4072" w:rsidRPr="00687DE8" w:rsidRDefault="002B4072" w:rsidP="002B4072">
            <w:pPr>
              <w:spacing w:after="0" w:line="240" w:lineRule="auto"/>
              <w:jc w:val="center"/>
              <w:rPr>
                <w:szCs w:val="24"/>
                <w:lang w:eastAsia="et-EE"/>
              </w:rPr>
            </w:pPr>
            <w:r w:rsidRPr="00687DE8">
              <w:rPr>
                <w:szCs w:val="24"/>
                <w:lang w:eastAsia="et-EE"/>
              </w:rPr>
              <w:t>52602</w:t>
            </w:r>
          </w:p>
        </w:tc>
        <w:tc>
          <w:tcPr>
            <w:tcW w:w="1675" w:type="dxa"/>
            <w:tcBorders>
              <w:top w:val="nil"/>
              <w:left w:val="single" w:sz="4" w:space="0" w:color="auto"/>
              <w:bottom w:val="single" w:sz="4" w:space="0" w:color="auto"/>
              <w:right w:val="single" w:sz="4" w:space="0" w:color="auto"/>
            </w:tcBorders>
            <w:noWrap/>
            <w:vAlign w:val="center"/>
            <w:hideMark/>
          </w:tcPr>
          <w:p w14:paraId="619420E8" w14:textId="1F098EBF" w:rsidR="6800D2BF" w:rsidRPr="00687DE8" w:rsidRDefault="00176111">
            <w:pPr>
              <w:spacing w:after="0"/>
              <w:jc w:val="center"/>
              <w:rPr>
                <w:color w:val="000000" w:themeColor="text1"/>
                <w:szCs w:val="24"/>
              </w:rPr>
            </w:pPr>
            <w:r>
              <w:rPr>
                <w:color w:val="000000"/>
              </w:rPr>
              <w:t>65,09</w:t>
            </w:r>
          </w:p>
        </w:tc>
      </w:tr>
      <w:tr w:rsidR="002B4072" w:rsidRPr="00687DE8" w14:paraId="7C616893" w14:textId="77777777" w:rsidTr="001B10F9">
        <w:trPr>
          <w:divId w:val="1316184749"/>
          <w:trHeight w:val="624"/>
        </w:trPr>
        <w:tc>
          <w:tcPr>
            <w:tcW w:w="5757" w:type="dxa"/>
            <w:tcBorders>
              <w:top w:val="nil"/>
              <w:left w:val="single" w:sz="4" w:space="0" w:color="auto"/>
              <w:bottom w:val="single" w:sz="4" w:space="0" w:color="auto"/>
              <w:right w:val="single" w:sz="4" w:space="0" w:color="auto"/>
            </w:tcBorders>
            <w:vAlign w:val="bottom"/>
            <w:hideMark/>
          </w:tcPr>
          <w:p w14:paraId="41B3E2C6" w14:textId="77777777" w:rsidR="002B4072" w:rsidRPr="00687DE8" w:rsidRDefault="002B4072" w:rsidP="002B4072">
            <w:pPr>
              <w:spacing w:after="0" w:line="240" w:lineRule="auto"/>
              <w:rPr>
                <w:szCs w:val="24"/>
                <w:lang w:eastAsia="et-EE"/>
              </w:rPr>
            </w:pPr>
            <w:r w:rsidRPr="00687DE8">
              <w:rPr>
                <w:szCs w:val="24"/>
                <w:lang w:eastAsia="et-EE"/>
              </w:rPr>
              <w:t>Diagnostilise mudelite (sisaldab jäljendeid) valmistamine, hambumuse analüüs ja mõõdistamine mudelitel</w:t>
            </w:r>
          </w:p>
        </w:tc>
        <w:tc>
          <w:tcPr>
            <w:tcW w:w="1923" w:type="dxa"/>
            <w:tcBorders>
              <w:top w:val="nil"/>
              <w:left w:val="nil"/>
              <w:bottom w:val="single" w:sz="4" w:space="0" w:color="auto"/>
              <w:right w:val="single" w:sz="4" w:space="0" w:color="auto"/>
            </w:tcBorders>
            <w:noWrap/>
            <w:vAlign w:val="bottom"/>
            <w:hideMark/>
          </w:tcPr>
          <w:p w14:paraId="2D0F9C53" w14:textId="77777777" w:rsidR="002B4072" w:rsidRPr="00687DE8" w:rsidRDefault="002B4072" w:rsidP="002B4072">
            <w:pPr>
              <w:spacing w:after="0" w:line="240" w:lineRule="auto"/>
              <w:jc w:val="center"/>
              <w:rPr>
                <w:szCs w:val="24"/>
                <w:lang w:eastAsia="et-EE"/>
              </w:rPr>
            </w:pPr>
            <w:r w:rsidRPr="00687DE8">
              <w:rPr>
                <w:szCs w:val="24"/>
                <w:lang w:eastAsia="et-EE"/>
              </w:rPr>
              <w:t>52603</w:t>
            </w:r>
          </w:p>
        </w:tc>
        <w:tc>
          <w:tcPr>
            <w:tcW w:w="1675" w:type="dxa"/>
            <w:tcBorders>
              <w:top w:val="nil"/>
              <w:left w:val="single" w:sz="4" w:space="0" w:color="auto"/>
              <w:bottom w:val="single" w:sz="4" w:space="0" w:color="auto"/>
              <w:right w:val="single" w:sz="4" w:space="0" w:color="auto"/>
            </w:tcBorders>
            <w:noWrap/>
            <w:vAlign w:val="center"/>
            <w:hideMark/>
          </w:tcPr>
          <w:p w14:paraId="5F1A9158" w14:textId="4CB603FC" w:rsidR="6800D2BF" w:rsidRPr="00687DE8" w:rsidRDefault="00176111">
            <w:pPr>
              <w:spacing w:after="0"/>
              <w:jc w:val="center"/>
              <w:rPr>
                <w:color w:val="000000" w:themeColor="text1"/>
                <w:szCs w:val="24"/>
              </w:rPr>
            </w:pPr>
            <w:r>
              <w:rPr>
                <w:color w:val="000000"/>
              </w:rPr>
              <w:t>96,71</w:t>
            </w:r>
          </w:p>
        </w:tc>
      </w:tr>
      <w:tr w:rsidR="002B4072" w:rsidRPr="00687DE8" w14:paraId="0054FF2A"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3FF5D91F" w14:textId="77777777" w:rsidR="002B4072" w:rsidRPr="00687DE8" w:rsidRDefault="002B4072" w:rsidP="002B4072">
            <w:pPr>
              <w:spacing w:after="0" w:line="240" w:lineRule="auto"/>
              <w:rPr>
                <w:szCs w:val="24"/>
                <w:lang w:eastAsia="et-EE"/>
              </w:rPr>
            </w:pPr>
            <w:r w:rsidRPr="00687DE8">
              <w:rPr>
                <w:szCs w:val="24"/>
                <w:lang w:eastAsia="et-EE"/>
              </w:rPr>
              <w:t>Hambumuse analüüs ja mõõdistamine röntgeniülesvõtetel</w:t>
            </w:r>
          </w:p>
        </w:tc>
        <w:tc>
          <w:tcPr>
            <w:tcW w:w="1923" w:type="dxa"/>
            <w:tcBorders>
              <w:top w:val="nil"/>
              <w:left w:val="nil"/>
              <w:bottom w:val="single" w:sz="4" w:space="0" w:color="auto"/>
              <w:right w:val="single" w:sz="4" w:space="0" w:color="auto"/>
            </w:tcBorders>
            <w:noWrap/>
            <w:vAlign w:val="bottom"/>
            <w:hideMark/>
          </w:tcPr>
          <w:p w14:paraId="55974EB4" w14:textId="77777777" w:rsidR="002B4072" w:rsidRPr="00687DE8" w:rsidRDefault="002B4072" w:rsidP="002B4072">
            <w:pPr>
              <w:spacing w:after="0" w:line="240" w:lineRule="auto"/>
              <w:jc w:val="center"/>
              <w:rPr>
                <w:szCs w:val="24"/>
                <w:lang w:eastAsia="et-EE"/>
              </w:rPr>
            </w:pPr>
            <w:r w:rsidRPr="00687DE8">
              <w:rPr>
                <w:szCs w:val="24"/>
                <w:lang w:eastAsia="et-EE"/>
              </w:rPr>
              <w:t>52604</w:t>
            </w:r>
          </w:p>
        </w:tc>
        <w:tc>
          <w:tcPr>
            <w:tcW w:w="1675" w:type="dxa"/>
            <w:tcBorders>
              <w:top w:val="nil"/>
              <w:left w:val="single" w:sz="4" w:space="0" w:color="auto"/>
              <w:bottom w:val="single" w:sz="4" w:space="0" w:color="auto"/>
              <w:right w:val="single" w:sz="4" w:space="0" w:color="auto"/>
            </w:tcBorders>
            <w:noWrap/>
            <w:vAlign w:val="center"/>
            <w:hideMark/>
          </w:tcPr>
          <w:p w14:paraId="48BE6930" w14:textId="7DC3C923" w:rsidR="6800D2BF" w:rsidRPr="00687DE8" w:rsidRDefault="00176111">
            <w:pPr>
              <w:spacing w:after="0"/>
              <w:jc w:val="center"/>
              <w:rPr>
                <w:color w:val="000000" w:themeColor="text1"/>
                <w:szCs w:val="24"/>
              </w:rPr>
            </w:pPr>
            <w:r>
              <w:rPr>
                <w:color w:val="000000"/>
              </w:rPr>
              <w:t>31,97</w:t>
            </w:r>
          </w:p>
        </w:tc>
      </w:tr>
      <w:tr w:rsidR="002B4072" w:rsidRPr="00687DE8" w14:paraId="49C33AD5"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57CDA182" w14:textId="77777777" w:rsidR="002B4072" w:rsidRPr="00687DE8" w:rsidRDefault="002B4072" w:rsidP="002B4072">
            <w:pPr>
              <w:spacing w:after="0" w:line="240" w:lineRule="auto"/>
              <w:rPr>
                <w:szCs w:val="24"/>
                <w:lang w:eastAsia="et-EE"/>
              </w:rPr>
            </w:pPr>
            <w:r w:rsidRPr="00687DE8">
              <w:rPr>
                <w:szCs w:val="24"/>
                <w:lang w:eastAsia="et-EE"/>
              </w:rPr>
              <w:t>Kliiniliste ülesvõtete (fotostaatus) tegemine</w:t>
            </w:r>
          </w:p>
        </w:tc>
        <w:tc>
          <w:tcPr>
            <w:tcW w:w="1923" w:type="dxa"/>
            <w:tcBorders>
              <w:top w:val="nil"/>
              <w:left w:val="nil"/>
              <w:bottom w:val="single" w:sz="4" w:space="0" w:color="auto"/>
              <w:right w:val="single" w:sz="4" w:space="0" w:color="auto"/>
            </w:tcBorders>
            <w:noWrap/>
            <w:vAlign w:val="bottom"/>
            <w:hideMark/>
          </w:tcPr>
          <w:p w14:paraId="06B9DB5D" w14:textId="77777777" w:rsidR="002B4072" w:rsidRPr="00687DE8" w:rsidRDefault="002B4072" w:rsidP="002B4072">
            <w:pPr>
              <w:spacing w:after="0" w:line="240" w:lineRule="auto"/>
              <w:jc w:val="center"/>
              <w:rPr>
                <w:szCs w:val="24"/>
                <w:lang w:eastAsia="et-EE"/>
              </w:rPr>
            </w:pPr>
            <w:r w:rsidRPr="00687DE8">
              <w:rPr>
                <w:szCs w:val="24"/>
                <w:lang w:eastAsia="et-EE"/>
              </w:rPr>
              <w:t>52606</w:t>
            </w:r>
          </w:p>
        </w:tc>
        <w:tc>
          <w:tcPr>
            <w:tcW w:w="1675" w:type="dxa"/>
            <w:tcBorders>
              <w:top w:val="nil"/>
              <w:left w:val="single" w:sz="4" w:space="0" w:color="auto"/>
              <w:bottom w:val="single" w:sz="4" w:space="0" w:color="auto"/>
              <w:right w:val="single" w:sz="4" w:space="0" w:color="auto"/>
            </w:tcBorders>
            <w:noWrap/>
            <w:vAlign w:val="center"/>
            <w:hideMark/>
          </w:tcPr>
          <w:p w14:paraId="0C4BE7A4" w14:textId="5B0847D0" w:rsidR="6800D2BF" w:rsidRPr="00687DE8" w:rsidRDefault="00176111">
            <w:pPr>
              <w:spacing w:after="0"/>
              <w:jc w:val="center"/>
              <w:rPr>
                <w:color w:val="000000" w:themeColor="text1"/>
                <w:szCs w:val="24"/>
              </w:rPr>
            </w:pPr>
            <w:r>
              <w:rPr>
                <w:color w:val="000000"/>
              </w:rPr>
              <w:t>54,98</w:t>
            </w:r>
          </w:p>
        </w:tc>
      </w:tr>
      <w:tr w:rsidR="002B4072" w:rsidRPr="00687DE8" w14:paraId="683A9D3E"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61B4E215" w14:textId="77777777" w:rsidR="002B4072" w:rsidRPr="00687DE8" w:rsidRDefault="002B4072" w:rsidP="002B4072">
            <w:pPr>
              <w:spacing w:after="0" w:line="240" w:lineRule="auto"/>
              <w:rPr>
                <w:szCs w:val="24"/>
                <w:lang w:eastAsia="et-EE"/>
              </w:rPr>
            </w:pPr>
            <w:r w:rsidRPr="00687DE8">
              <w:rPr>
                <w:szCs w:val="24"/>
                <w:lang w:eastAsia="et-EE"/>
              </w:rPr>
              <w:t>Baasisplaat (suulaeplaat)</w:t>
            </w:r>
          </w:p>
        </w:tc>
        <w:tc>
          <w:tcPr>
            <w:tcW w:w="1923" w:type="dxa"/>
            <w:tcBorders>
              <w:top w:val="nil"/>
              <w:left w:val="nil"/>
              <w:bottom w:val="single" w:sz="4" w:space="0" w:color="auto"/>
              <w:right w:val="single" w:sz="4" w:space="0" w:color="auto"/>
            </w:tcBorders>
            <w:noWrap/>
            <w:vAlign w:val="bottom"/>
            <w:hideMark/>
          </w:tcPr>
          <w:p w14:paraId="73521E43" w14:textId="77777777" w:rsidR="002B4072" w:rsidRPr="00687DE8" w:rsidRDefault="002B4072" w:rsidP="002B4072">
            <w:pPr>
              <w:spacing w:after="0" w:line="240" w:lineRule="auto"/>
              <w:jc w:val="center"/>
              <w:rPr>
                <w:szCs w:val="24"/>
                <w:lang w:eastAsia="et-EE"/>
              </w:rPr>
            </w:pPr>
            <w:r w:rsidRPr="00687DE8">
              <w:rPr>
                <w:szCs w:val="24"/>
                <w:lang w:eastAsia="et-EE"/>
              </w:rPr>
              <w:t>52610</w:t>
            </w:r>
          </w:p>
        </w:tc>
        <w:tc>
          <w:tcPr>
            <w:tcW w:w="1675" w:type="dxa"/>
            <w:tcBorders>
              <w:top w:val="nil"/>
              <w:left w:val="single" w:sz="4" w:space="0" w:color="auto"/>
              <w:bottom w:val="single" w:sz="4" w:space="0" w:color="auto"/>
              <w:right w:val="single" w:sz="4" w:space="0" w:color="auto"/>
            </w:tcBorders>
            <w:noWrap/>
            <w:vAlign w:val="center"/>
            <w:hideMark/>
          </w:tcPr>
          <w:p w14:paraId="61CC2F47" w14:textId="67B7D964" w:rsidR="6800D2BF" w:rsidRPr="00687DE8" w:rsidRDefault="00176111">
            <w:pPr>
              <w:spacing w:after="0"/>
              <w:jc w:val="center"/>
              <w:rPr>
                <w:color w:val="000000" w:themeColor="text1"/>
                <w:szCs w:val="24"/>
              </w:rPr>
            </w:pPr>
            <w:r>
              <w:rPr>
                <w:color w:val="000000"/>
              </w:rPr>
              <w:t>25,57</w:t>
            </w:r>
          </w:p>
        </w:tc>
      </w:tr>
      <w:tr w:rsidR="002B4072" w:rsidRPr="00687DE8" w14:paraId="5152BD96"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2BAF47AA" w14:textId="77777777" w:rsidR="002B4072" w:rsidRPr="00687DE8" w:rsidRDefault="002B4072" w:rsidP="002B4072">
            <w:pPr>
              <w:spacing w:after="0" w:line="240" w:lineRule="auto"/>
              <w:rPr>
                <w:szCs w:val="24"/>
                <w:lang w:eastAsia="et-EE"/>
              </w:rPr>
            </w:pPr>
            <w:r w:rsidRPr="00687DE8">
              <w:rPr>
                <w:szCs w:val="24"/>
                <w:lang w:eastAsia="et-EE"/>
              </w:rPr>
              <w:t>Kaldpinnaga suulaeplaat</w:t>
            </w:r>
          </w:p>
        </w:tc>
        <w:tc>
          <w:tcPr>
            <w:tcW w:w="1923" w:type="dxa"/>
            <w:tcBorders>
              <w:top w:val="nil"/>
              <w:left w:val="nil"/>
              <w:bottom w:val="single" w:sz="4" w:space="0" w:color="auto"/>
              <w:right w:val="single" w:sz="4" w:space="0" w:color="auto"/>
            </w:tcBorders>
            <w:noWrap/>
            <w:vAlign w:val="bottom"/>
            <w:hideMark/>
          </w:tcPr>
          <w:p w14:paraId="7E5D0D0F" w14:textId="77777777" w:rsidR="002B4072" w:rsidRPr="00687DE8" w:rsidRDefault="002B4072" w:rsidP="002B4072">
            <w:pPr>
              <w:spacing w:after="0" w:line="240" w:lineRule="auto"/>
              <w:jc w:val="center"/>
              <w:rPr>
                <w:szCs w:val="24"/>
                <w:lang w:eastAsia="et-EE"/>
              </w:rPr>
            </w:pPr>
            <w:r w:rsidRPr="00687DE8">
              <w:rPr>
                <w:szCs w:val="24"/>
                <w:lang w:eastAsia="et-EE"/>
              </w:rPr>
              <w:t>52611</w:t>
            </w:r>
          </w:p>
        </w:tc>
        <w:tc>
          <w:tcPr>
            <w:tcW w:w="1675" w:type="dxa"/>
            <w:tcBorders>
              <w:top w:val="nil"/>
              <w:left w:val="single" w:sz="4" w:space="0" w:color="auto"/>
              <w:bottom w:val="single" w:sz="4" w:space="0" w:color="auto"/>
              <w:right w:val="single" w:sz="4" w:space="0" w:color="auto"/>
            </w:tcBorders>
            <w:noWrap/>
            <w:vAlign w:val="center"/>
            <w:hideMark/>
          </w:tcPr>
          <w:p w14:paraId="3E36BCC2" w14:textId="131BC193" w:rsidR="6800D2BF" w:rsidRPr="00687DE8" w:rsidRDefault="00176111">
            <w:pPr>
              <w:spacing w:after="0"/>
              <w:jc w:val="center"/>
              <w:rPr>
                <w:color w:val="000000" w:themeColor="text1"/>
                <w:szCs w:val="24"/>
              </w:rPr>
            </w:pPr>
            <w:r>
              <w:rPr>
                <w:color w:val="000000"/>
              </w:rPr>
              <w:t>32,05</w:t>
            </w:r>
          </w:p>
        </w:tc>
      </w:tr>
      <w:tr w:rsidR="002B4072" w:rsidRPr="00687DE8" w14:paraId="7C4F90E9" w14:textId="77777777" w:rsidTr="001B10F9">
        <w:trPr>
          <w:divId w:val="1316184749"/>
          <w:trHeight w:val="270"/>
        </w:trPr>
        <w:tc>
          <w:tcPr>
            <w:tcW w:w="5757" w:type="dxa"/>
            <w:tcBorders>
              <w:top w:val="nil"/>
              <w:left w:val="single" w:sz="4" w:space="0" w:color="auto"/>
              <w:bottom w:val="single" w:sz="4" w:space="0" w:color="auto"/>
              <w:right w:val="single" w:sz="4" w:space="0" w:color="auto"/>
            </w:tcBorders>
            <w:vAlign w:val="bottom"/>
            <w:hideMark/>
          </w:tcPr>
          <w:p w14:paraId="6E400D23" w14:textId="77777777" w:rsidR="002B4072" w:rsidRPr="00687DE8" w:rsidRDefault="002B4072" w:rsidP="002B4072">
            <w:pPr>
              <w:spacing w:after="0" w:line="240" w:lineRule="auto"/>
              <w:rPr>
                <w:szCs w:val="24"/>
                <w:lang w:eastAsia="et-EE"/>
              </w:rPr>
            </w:pPr>
            <w:r w:rsidRPr="00687DE8">
              <w:rPr>
                <w:szCs w:val="24"/>
                <w:lang w:eastAsia="et-EE"/>
              </w:rPr>
              <w:t>Desorientatsioonikape/mälumispinnakape koos paigaldusega kahe hamba ulatuses</w:t>
            </w:r>
          </w:p>
        </w:tc>
        <w:tc>
          <w:tcPr>
            <w:tcW w:w="1923" w:type="dxa"/>
            <w:tcBorders>
              <w:top w:val="nil"/>
              <w:left w:val="nil"/>
              <w:bottom w:val="single" w:sz="4" w:space="0" w:color="auto"/>
              <w:right w:val="single" w:sz="4" w:space="0" w:color="auto"/>
            </w:tcBorders>
            <w:noWrap/>
            <w:vAlign w:val="bottom"/>
            <w:hideMark/>
          </w:tcPr>
          <w:p w14:paraId="2A44FC44" w14:textId="77777777" w:rsidR="002B4072" w:rsidRPr="00687DE8" w:rsidRDefault="002B4072" w:rsidP="002B4072">
            <w:pPr>
              <w:spacing w:after="0" w:line="240" w:lineRule="auto"/>
              <w:jc w:val="center"/>
              <w:rPr>
                <w:szCs w:val="24"/>
                <w:lang w:eastAsia="et-EE"/>
              </w:rPr>
            </w:pPr>
            <w:r w:rsidRPr="00687DE8">
              <w:rPr>
                <w:szCs w:val="24"/>
                <w:lang w:eastAsia="et-EE"/>
              </w:rPr>
              <w:t>52612</w:t>
            </w:r>
          </w:p>
        </w:tc>
        <w:tc>
          <w:tcPr>
            <w:tcW w:w="1675" w:type="dxa"/>
            <w:tcBorders>
              <w:top w:val="nil"/>
              <w:left w:val="single" w:sz="4" w:space="0" w:color="auto"/>
              <w:bottom w:val="single" w:sz="4" w:space="0" w:color="auto"/>
              <w:right w:val="single" w:sz="4" w:space="0" w:color="auto"/>
            </w:tcBorders>
            <w:noWrap/>
            <w:vAlign w:val="center"/>
            <w:hideMark/>
          </w:tcPr>
          <w:p w14:paraId="1840AA73" w14:textId="2ADDDBA0" w:rsidR="6548D475" w:rsidRPr="00687DE8" w:rsidRDefault="00176111">
            <w:pPr>
              <w:spacing w:after="0"/>
              <w:jc w:val="center"/>
              <w:rPr>
                <w:color w:val="000000" w:themeColor="text1"/>
                <w:szCs w:val="24"/>
              </w:rPr>
            </w:pPr>
            <w:r>
              <w:rPr>
                <w:color w:val="000000"/>
              </w:rPr>
              <w:t>37,35</w:t>
            </w:r>
          </w:p>
        </w:tc>
      </w:tr>
      <w:tr w:rsidR="002B4072" w:rsidRPr="00687DE8" w14:paraId="007563F4"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137740D8" w14:textId="77777777" w:rsidR="002B4072" w:rsidRPr="00687DE8" w:rsidRDefault="002B4072" w:rsidP="002B4072">
            <w:pPr>
              <w:spacing w:after="0" w:line="240" w:lineRule="auto"/>
              <w:rPr>
                <w:szCs w:val="24"/>
                <w:lang w:eastAsia="et-EE"/>
              </w:rPr>
            </w:pPr>
            <w:r w:rsidRPr="00687DE8">
              <w:rPr>
                <w:szCs w:val="24"/>
                <w:lang w:eastAsia="et-EE"/>
              </w:rPr>
              <w:t>Ühesuunaline vint koos paigaldusega</w:t>
            </w:r>
          </w:p>
        </w:tc>
        <w:tc>
          <w:tcPr>
            <w:tcW w:w="1923" w:type="dxa"/>
            <w:tcBorders>
              <w:top w:val="nil"/>
              <w:left w:val="nil"/>
              <w:bottom w:val="single" w:sz="4" w:space="0" w:color="auto"/>
              <w:right w:val="single" w:sz="4" w:space="0" w:color="auto"/>
            </w:tcBorders>
            <w:noWrap/>
            <w:vAlign w:val="bottom"/>
            <w:hideMark/>
          </w:tcPr>
          <w:p w14:paraId="60FF5E3B" w14:textId="77777777" w:rsidR="002B4072" w:rsidRPr="00687DE8" w:rsidRDefault="002B4072" w:rsidP="002B4072">
            <w:pPr>
              <w:spacing w:after="0" w:line="240" w:lineRule="auto"/>
              <w:jc w:val="center"/>
              <w:rPr>
                <w:szCs w:val="24"/>
                <w:lang w:eastAsia="et-EE"/>
              </w:rPr>
            </w:pPr>
            <w:r w:rsidRPr="00687DE8">
              <w:rPr>
                <w:szCs w:val="24"/>
                <w:lang w:eastAsia="et-EE"/>
              </w:rPr>
              <w:t>52613</w:t>
            </w:r>
          </w:p>
        </w:tc>
        <w:tc>
          <w:tcPr>
            <w:tcW w:w="1675" w:type="dxa"/>
            <w:tcBorders>
              <w:top w:val="nil"/>
              <w:left w:val="single" w:sz="4" w:space="0" w:color="auto"/>
              <w:bottom w:val="single" w:sz="4" w:space="0" w:color="auto"/>
              <w:right w:val="single" w:sz="4" w:space="0" w:color="auto"/>
            </w:tcBorders>
            <w:noWrap/>
            <w:vAlign w:val="center"/>
            <w:hideMark/>
          </w:tcPr>
          <w:p w14:paraId="5832D5D3" w14:textId="1C3F5DF2" w:rsidR="6548D475" w:rsidRPr="00687DE8" w:rsidRDefault="00176111">
            <w:pPr>
              <w:spacing w:after="0"/>
              <w:jc w:val="center"/>
              <w:rPr>
                <w:color w:val="000000" w:themeColor="text1"/>
                <w:szCs w:val="24"/>
              </w:rPr>
            </w:pPr>
            <w:r>
              <w:rPr>
                <w:color w:val="000000"/>
              </w:rPr>
              <w:t>40,14</w:t>
            </w:r>
          </w:p>
        </w:tc>
      </w:tr>
      <w:tr w:rsidR="002B4072" w:rsidRPr="00687DE8" w14:paraId="5D14FE5B"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32884695" w14:textId="77777777" w:rsidR="002B4072" w:rsidRPr="00687DE8" w:rsidRDefault="002B4072" w:rsidP="002B4072">
            <w:pPr>
              <w:spacing w:after="0" w:line="240" w:lineRule="auto"/>
              <w:rPr>
                <w:szCs w:val="24"/>
                <w:lang w:eastAsia="et-EE"/>
              </w:rPr>
            </w:pPr>
            <w:r w:rsidRPr="00687DE8">
              <w:rPr>
                <w:szCs w:val="24"/>
                <w:lang w:eastAsia="et-EE"/>
              </w:rPr>
              <w:t>Kahesuunaline vint koos paigaldusega</w:t>
            </w:r>
          </w:p>
        </w:tc>
        <w:tc>
          <w:tcPr>
            <w:tcW w:w="1923" w:type="dxa"/>
            <w:tcBorders>
              <w:top w:val="nil"/>
              <w:left w:val="nil"/>
              <w:bottom w:val="single" w:sz="4" w:space="0" w:color="auto"/>
              <w:right w:val="single" w:sz="4" w:space="0" w:color="auto"/>
            </w:tcBorders>
            <w:noWrap/>
            <w:vAlign w:val="bottom"/>
            <w:hideMark/>
          </w:tcPr>
          <w:p w14:paraId="31088BC9" w14:textId="77777777" w:rsidR="002B4072" w:rsidRPr="00687DE8" w:rsidRDefault="002B4072" w:rsidP="002B4072">
            <w:pPr>
              <w:spacing w:after="0" w:line="240" w:lineRule="auto"/>
              <w:jc w:val="center"/>
              <w:rPr>
                <w:szCs w:val="24"/>
                <w:lang w:eastAsia="et-EE"/>
              </w:rPr>
            </w:pPr>
            <w:r w:rsidRPr="00687DE8">
              <w:rPr>
                <w:szCs w:val="24"/>
                <w:lang w:eastAsia="et-EE"/>
              </w:rPr>
              <w:t>52614</w:t>
            </w:r>
          </w:p>
        </w:tc>
        <w:tc>
          <w:tcPr>
            <w:tcW w:w="1675" w:type="dxa"/>
            <w:tcBorders>
              <w:top w:val="nil"/>
              <w:left w:val="single" w:sz="4" w:space="0" w:color="auto"/>
              <w:bottom w:val="single" w:sz="4" w:space="0" w:color="auto"/>
              <w:right w:val="single" w:sz="4" w:space="0" w:color="auto"/>
            </w:tcBorders>
            <w:noWrap/>
            <w:vAlign w:val="center"/>
            <w:hideMark/>
          </w:tcPr>
          <w:p w14:paraId="226313FE" w14:textId="4603D811" w:rsidR="6548D475" w:rsidRPr="00687DE8" w:rsidRDefault="00176111">
            <w:pPr>
              <w:spacing w:after="0"/>
              <w:jc w:val="center"/>
              <w:rPr>
                <w:color w:val="000000" w:themeColor="text1"/>
                <w:szCs w:val="24"/>
              </w:rPr>
            </w:pPr>
            <w:r>
              <w:rPr>
                <w:color w:val="000000"/>
              </w:rPr>
              <w:t>38,90</w:t>
            </w:r>
          </w:p>
        </w:tc>
      </w:tr>
      <w:tr w:rsidR="002B4072" w:rsidRPr="00687DE8" w14:paraId="74E78B5E"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096ED9DE" w14:textId="77777777" w:rsidR="002B4072" w:rsidRPr="00687DE8" w:rsidRDefault="002B4072" w:rsidP="002B4072">
            <w:pPr>
              <w:spacing w:after="0" w:line="240" w:lineRule="auto"/>
              <w:rPr>
                <w:szCs w:val="24"/>
                <w:lang w:eastAsia="et-EE"/>
              </w:rPr>
            </w:pPr>
            <w:r w:rsidRPr="00687DE8">
              <w:rPr>
                <w:szCs w:val="24"/>
                <w:lang w:eastAsia="et-EE"/>
              </w:rPr>
              <w:t>Kolmesuunaline vint koos paigaldusega</w:t>
            </w:r>
          </w:p>
        </w:tc>
        <w:tc>
          <w:tcPr>
            <w:tcW w:w="1923" w:type="dxa"/>
            <w:tcBorders>
              <w:top w:val="nil"/>
              <w:left w:val="nil"/>
              <w:bottom w:val="single" w:sz="4" w:space="0" w:color="auto"/>
              <w:right w:val="single" w:sz="4" w:space="0" w:color="auto"/>
            </w:tcBorders>
            <w:noWrap/>
            <w:vAlign w:val="bottom"/>
            <w:hideMark/>
          </w:tcPr>
          <w:p w14:paraId="7CA8CB8C" w14:textId="77777777" w:rsidR="002B4072" w:rsidRPr="00687DE8" w:rsidRDefault="002B4072" w:rsidP="002B4072">
            <w:pPr>
              <w:spacing w:after="0" w:line="240" w:lineRule="auto"/>
              <w:jc w:val="center"/>
              <w:rPr>
                <w:szCs w:val="24"/>
                <w:lang w:eastAsia="et-EE"/>
              </w:rPr>
            </w:pPr>
            <w:r w:rsidRPr="00687DE8">
              <w:rPr>
                <w:szCs w:val="24"/>
                <w:lang w:eastAsia="et-EE"/>
              </w:rPr>
              <w:t>52615</w:t>
            </w:r>
          </w:p>
        </w:tc>
        <w:tc>
          <w:tcPr>
            <w:tcW w:w="1675" w:type="dxa"/>
            <w:tcBorders>
              <w:top w:val="nil"/>
              <w:left w:val="single" w:sz="4" w:space="0" w:color="auto"/>
              <w:bottom w:val="single" w:sz="4" w:space="0" w:color="auto"/>
              <w:right w:val="single" w:sz="4" w:space="0" w:color="auto"/>
            </w:tcBorders>
            <w:noWrap/>
            <w:vAlign w:val="center"/>
            <w:hideMark/>
          </w:tcPr>
          <w:p w14:paraId="307B04A2" w14:textId="1C84E523" w:rsidR="6548D475" w:rsidRPr="00687DE8" w:rsidRDefault="00176111">
            <w:pPr>
              <w:spacing w:after="0"/>
              <w:jc w:val="center"/>
              <w:rPr>
                <w:color w:val="000000" w:themeColor="text1"/>
                <w:szCs w:val="24"/>
              </w:rPr>
            </w:pPr>
            <w:r>
              <w:rPr>
                <w:color w:val="000000"/>
              </w:rPr>
              <w:t>51,51</w:t>
            </w:r>
          </w:p>
        </w:tc>
      </w:tr>
      <w:tr w:rsidR="002B4072" w:rsidRPr="00687DE8" w14:paraId="701BBE75"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71DA88E9" w14:textId="77777777" w:rsidR="002B4072" w:rsidRPr="00687DE8" w:rsidRDefault="002B4072" w:rsidP="002B4072">
            <w:pPr>
              <w:spacing w:after="0" w:line="240" w:lineRule="auto"/>
              <w:rPr>
                <w:szCs w:val="24"/>
                <w:lang w:eastAsia="et-EE"/>
              </w:rPr>
            </w:pPr>
            <w:r w:rsidRPr="00687DE8">
              <w:rPr>
                <w:szCs w:val="24"/>
                <w:lang w:eastAsia="et-EE"/>
              </w:rPr>
              <w:t>Surveling, protraktsiooni vedru, diasteemi vedru (1 tk)</w:t>
            </w:r>
          </w:p>
        </w:tc>
        <w:tc>
          <w:tcPr>
            <w:tcW w:w="1923" w:type="dxa"/>
            <w:tcBorders>
              <w:top w:val="nil"/>
              <w:left w:val="nil"/>
              <w:bottom w:val="single" w:sz="4" w:space="0" w:color="auto"/>
              <w:right w:val="single" w:sz="4" w:space="0" w:color="auto"/>
            </w:tcBorders>
            <w:noWrap/>
            <w:vAlign w:val="bottom"/>
            <w:hideMark/>
          </w:tcPr>
          <w:p w14:paraId="67C344E8" w14:textId="77777777" w:rsidR="002B4072" w:rsidRPr="00687DE8" w:rsidRDefault="002B4072" w:rsidP="002B4072">
            <w:pPr>
              <w:spacing w:after="0" w:line="240" w:lineRule="auto"/>
              <w:jc w:val="center"/>
              <w:rPr>
                <w:szCs w:val="24"/>
                <w:lang w:eastAsia="et-EE"/>
              </w:rPr>
            </w:pPr>
            <w:r w:rsidRPr="00687DE8">
              <w:rPr>
                <w:szCs w:val="24"/>
                <w:lang w:eastAsia="et-EE"/>
              </w:rPr>
              <w:t>52616</w:t>
            </w:r>
          </w:p>
        </w:tc>
        <w:tc>
          <w:tcPr>
            <w:tcW w:w="1675" w:type="dxa"/>
            <w:tcBorders>
              <w:top w:val="nil"/>
              <w:left w:val="single" w:sz="4" w:space="0" w:color="auto"/>
              <w:bottom w:val="single" w:sz="4" w:space="0" w:color="auto"/>
              <w:right w:val="single" w:sz="4" w:space="0" w:color="auto"/>
            </w:tcBorders>
            <w:noWrap/>
            <w:vAlign w:val="center"/>
            <w:hideMark/>
          </w:tcPr>
          <w:p w14:paraId="2F40CA13" w14:textId="315724D7" w:rsidR="6548D475" w:rsidRPr="00687DE8" w:rsidRDefault="00176111">
            <w:pPr>
              <w:spacing w:after="0"/>
              <w:jc w:val="center"/>
              <w:rPr>
                <w:color w:val="000000" w:themeColor="text1"/>
                <w:szCs w:val="24"/>
              </w:rPr>
            </w:pPr>
            <w:r>
              <w:rPr>
                <w:color w:val="000000"/>
              </w:rPr>
              <w:t>9,49</w:t>
            </w:r>
          </w:p>
        </w:tc>
      </w:tr>
      <w:tr w:rsidR="002B4072" w:rsidRPr="00687DE8" w14:paraId="418F5F60"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73668603" w14:textId="77777777" w:rsidR="002B4072" w:rsidRPr="00687DE8" w:rsidRDefault="002B4072" w:rsidP="002B4072">
            <w:pPr>
              <w:spacing w:after="0" w:line="240" w:lineRule="auto"/>
              <w:rPr>
                <w:szCs w:val="24"/>
                <w:lang w:eastAsia="et-EE"/>
              </w:rPr>
            </w:pPr>
            <w:r w:rsidRPr="00687DE8">
              <w:rPr>
                <w:szCs w:val="24"/>
                <w:lang w:eastAsia="et-EE"/>
              </w:rPr>
              <w:t>Adamsi klamber</w:t>
            </w:r>
          </w:p>
        </w:tc>
        <w:tc>
          <w:tcPr>
            <w:tcW w:w="1923" w:type="dxa"/>
            <w:tcBorders>
              <w:top w:val="nil"/>
              <w:left w:val="nil"/>
              <w:bottom w:val="single" w:sz="4" w:space="0" w:color="auto"/>
              <w:right w:val="single" w:sz="4" w:space="0" w:color="auto"/>
            </w:tcBorders>
            <w:noWrap/>
            <w:vAlign w:val="bottom"/>
            <w:hideMark/>
          </w:tcPr>
          <w:p w14:paraId="3F301681" w14:textId="77777777" w:rsidR="002B4072" w:rsidRPr="00687DE8" w:rsidRDefault="002B4072" w:rsidP="002B4072">
            <w:pPr>
              <w:spacing w:after="0" w:line="240" w:lineRule="auto"/>
              <w:jc w:val="center"/>
              <w:rPr>
                <w:szCs w:val="24"/>
                <w:lang w:eastAsia="et-EE"/>
              </w:rPr>
            </w:pPr>
            <w:r w:rsidRPr="00687DE8">
              <w:rPr>
                <w:szCs w:val="24"/>
                <w:lang w:eastAsia="et-EE"/>
              </w:rPr>
              <w:t>52617</w:t>
            </w:r>
          </w:p>
        </w:tc>
        <w:tc>
          <w:tcPr>
            <w:tcW w:w="1675" w:type="dxa"/>
            <w:tcBorders>
              <w:top w:val="nil"/>
              <w:left w:val="single" w:sz="4" w:space="0" w:color="auto"/>
              <w:bottom w:val="single" w:sz="4" w:space="0" w:color="auto"/>
              <w:right w:val="single" w:sz="4" w:space="0" w:color="auto"/>
            </w:tcBorders>
            <w:noWrap/>
            <w:vAlign w:val="center"/>
            <w:hideMark/>
          </w:tcPr>
          <w:p w14:paraId="49B4C617" w14:textId="772D1DA0" w:rsidR="6548D475" w:rsidRPr="00687DE8" w:rsidRDefault="00176111">
            <w:pPr>
              <w:spacing w:after="0"/>
              <w:jc w:val="center"/>
              <w:rPr>
                <w:color w:val="000000" w:themeColor="text1"/>
                <w:szCs w:val="24"/>
              </w:rPr>
            </w:pPr>
            <w:r>
              <w:rPr>
                <w:color w:val="000000"/>
              </w:rPr>
              <w:t>14,82</w:t>
            </w:r>
          </w:p>
        </w:tc>
      </w:tr>
      <w:tr w:rsidR="002B4072" w:rsidRPr="00687DE8" w14:paraId="0F44653D"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344AC6C2" w14:textId="77777777" w:rsidR="002B4072" w:rsidRPr="00687DE8" w:rsidRDefault="002B4072" w:rsidP="002B4072">
            <w:pPr>
              <w:spacing w:after="0" w:line="240" w:lineRule="auto"/>
              <w:rPr>
                <w:szCs w:val="24"/>
                <w:lang w:eastAsia="et-EE"/>
              </w:rPr>
            </w:pPr>
            <w:r w:rsidRPr="00687DE8">
              <w:rPr>
                <w:szCs w:val="24"/>
                <w:lang w:eastAsia="et-EE"/>
              </w:rPr>
              <w:t xml:space="preserve">Ümarklamber, nupp, konks </w:t>
            </w:r>
          </w:p>
        </w:tc>
        <w:tc>
          <w:tcPr>
            <w:tcW w:w="1923" w:type="dxa"/>
            <w:tcBorders>
              <w:top w:val="nil"/>
              <w:left w:val="nil"/>
              <w:bottom w:val="single" w:sz="4" w:space="0" w:color="auto"/>
              <w:right w:val="single" w:sz="4" w:space="0" w:color="auto"/>
            </w:tcBorders>
            <w:noWrap/>
            <w:vAlign w:val="bottom"/>
            <w:hideMark/>
          </w:tcPr>
          <w:p w14:paraId="33B7D4FF" w14:textId="77777777" w:rsidR="002B4072" w:rsidRPr="00687DE8" w:rsidRDefault="002B4072" w:rsidP="002B4072">
            <w:pPr>
              <w:spacing w:after="0" w:line="240" w:lineRule="auto"/>
              <w:jc w:val="center"/>
              <w:rPr>
                <w:szCs w:val="24"/>
                <w:lang w:eastAsia="et-EE"/>
              </w:rPr>
            </w:pPr>
            <w:r w:rsidRPr="00687DE8">
              <w:rPr>
                <w:szCs w:val="24"/>
                <w:lang w:eastAsia="et-EE"/>
              </w:rPr>
              <w:t>52618</w:t>
            </w:r>
          </w:p>
        </w:tc>
        <w:tc>
          <w:tcPr>
            <w:tcW w:w="1675" w:type="dxa"/>
            <w:tcBorders>
              <w:top w:val="nil"/>
              <w:left w:val="single" w:sz="4" w:space="0" w:color="auto"/>
              <w:bottom w:val="single" w:sz="4" w:space="0" w:color="auto"/>
              <w:right w:val="single" w:sz="4" w:space="0" w:color="auto"/>
            </w:tcBorders>
            <w:noWrap/>
            <w:vAlign w:val="center"/>
            <w:hideMark/>
          </w:tcPr>
          <w:p w14:paraId="6C37214D" w14:textId="18D674F2" w:rsidR="6548D475" w:rsidRPr="00687DE8" w:rsidRDefault="00176111">
            <w:pPr>
              <w:spacing w:after="0"/>
              <w:jc w:val="center"/>
              <w:rPr>
                <w:color w:val="000000" w:themeColor="text1"/>
                <w:szCs w:val="24"/>
              </w:rPr>
            </w:pPr>
            <w:r>
              <w:rPr>
                <w:color w:val="000000"/>
              </w:rPr>
              <w:t>11,31</w:t>
            </w:r>
          </w:p>
        </w:tc>
      </w:tr>
      <w:tr w:rsidR="002B4072" w:rsidRPr="00687DE8" w14:paraId="6F7CDF30"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4DEC88C9" w14:textId="77777777" w:rsidR="002B4072" w:rsidRPr="00687DE8" w:rsidRDefault="002B4072" w:rsidP="002B4072">
            <w:pPr>
              <w:spacing w:after="0" w:line="240" w:lineRule="auto"/>
              <w:rPr>
                <w:szCs w:val="24"/>
                <w:lang w:eastAsia="et-EE"/>
              </w:rPr>
            </w:pPr>
            <w:r w:rsidRPr="00687DE8">
              <w:rPr>
                <w:szCs w:val="24"/>
                <w:lang w:eastAsia="et-EE"/>
              </w:rPr>
              <w:t>Retentsioonikaar</w:t>
            </w:r>
          </w:p>
        </w:tc>
        <w:tc>
          <w:tcPr>
            <w:tcW w:w="1923" w:type="dxa"/>
            <w:tcBorders>
              <w:top w:val="nil"/>
              <w:left w:val="nil"/>
              <w:bottom w:val="single" w:sz="4" w:space="0" w:color="auto"/>
              <w:right w:val="single" w:sz="4" w:space="0" w:color="auto"/>
            </w:tcBorders>
            <w:noWrap/>
            <w:vAlign w:val="bottom"/>
            <w:hideMark/>
          </w:tcPr>
          <w:p w14:paraId="064866A2" w14:textId="77777777" w:rsidR="002B4072" w:rsidRPr="00687DE8" w:rsidRDefault="002B4072" w:rsidP="002B4072">
            <w:pPr>
              <w:spacing w:after="0" w:line="240" w:lineRule="auto"/>
              <w:jc w:val="center"/>
              <w:rPr>
                <w:szCs w:val="24"/>
                <w:lang w:eastAsia="et-EE"/>
              </w:rPr>
            </w:pPr>
            <w:r w:rsidRPr="00687DE8">
              <w:rPr>
                <w:szCs w:val="24"/>
                <w:lang w:eastAsia="et-EE"/>
              </w:rPr>
              <w:t>52619</w:t>
            </w:r>
          </w:p>
        </w:tc>
        <w:tc>
          <w:tcPr>
            <w:tcW w:w="1675" w:type="dxa"/>
            <w:tcBorders>
              <w:top w:val="nil"/>
              <w:left w:val="single" w:sz="4" w:space="0" w:color="auto"/>
              <w:bottom w:val="single" w:sz="4" w:space="0" w:color="auto"/>
              <w:right w:val="single" w:sz="4" w:space="0" w:color="auto"/>
            </w:tcBorders>
            <w:noWrap/>
            <w:vAlign w:val="center"/>
            <w:hideMark/>
          </w:tcPr>
          <w:p w14:paraId="67C1B3C5" w14:textId="76511817" w:rsidR="6548D475" w:rsidRPr="00687DE8" w:rsidRDefault="00176111">
            <w:pPr>
              <w:spacing w:after="0"/>
              <w:jc w:val="center"/>
              <w:rPr>
                <w:color w:val="000000" w:themeColor="text1"/>
                <w:szCs w:val="24"/>
              </w:rPr>
            </w:pPr>
            <w:r>
              <w:rPr>
                <w:color w:val="000000"/>
              </w:rPr>
              <w:t>13,17</w:t>
            </w:r>
          </w:p>
        </w:tc>
      </w:tr>
      <w:tr w:rsidR="002B4072" w:rsidRPr="00687DE8" w14:paraId="2D677384"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248B1F83" w14:textId="77777777" w:rsidR="002B4072" w:rsidRPr="00687DE8" w:rsidRDefault="002B4072" w:rsidP="002B4072">
            <w:pPr>
              <w:spacing w:after="0" w:line="240" w:lineRule="auto"/>
              <w:rPr>
                <w:szCs w:val="24"/>
                <w:lang w:eastAsia="et-EE"/>
              </w:rPr>
            </w:pPr>
            <w:r w:rsidRPr="00687DE8">
              <w:rPr>
                <w:szCs w:val="24"/>
                <w:lang w:eastAsia="et-EE"/>
              </w:rPr>
              <w:t>Ekstraoraalse aparaadi sobitamine</w:t>
            </w:r>
          </w:p>
        </w:tc>
        <w:tc>
          <w:tcPr>
            <w:tcW w:w="1923" w:type="dxa"/>
            <w:tcBorders>
              <w:top w:val="nil"/>
              <w:left w:val="nil"/>
              <w:bottom w:val="single" w:sz="4" w:space="0" w:color="auto"/>
              <w:right w:val="single" w:sz="4" w:space="0" w:color="auto"/>
            </w:tcBorders>
            <w:noWrap/>
            <w:vAlign w:val="bottom"/>
            <w:hideMark/>
          </w:tcPr>
          <w:p w14:paraId="0844ADCC" w14:textId="77777777" w:rsidR="002B4072" w:rsidRPr="00687DE8" w:rsidRDefault="002B4072" w:rsidP="002B4072">
            <w:pPr>
              <w:spacing w:after="0" w:line="240" w:lineRule="auto"/>
              <w:jc w:val="center"/>
              <w:rPr>
                <w:szCs w:val="24"/>
                <w:lang w:eastAsia="et-EE"/>
              </w:rPr>
            </w:pPr>
            <w:r w:rsidRPr="00687DE8">
              <w:rPr>
                <w:szCs w:val="24"/>
                <w:lang w:eastAsia="et-EE"/>
              </w:rPr>
              <w:t>52620</w:t>
            </w:r>
          </w:p>
        </w:tc>
        <w:tc>
          <w:tcPr>
            <w:tcW w:w="1675" w:type="dxa"/>
            <w:tcBorders>
              <w:top w:val="nil"/>
              <w:left w:val="single" w:sz="4" w:space="0" w:color="auto"/>
              <w:bottom w:val="single" w:sz="4" w:space="0" w:color="auto"/>
              <w:right w:val="single" w:sz="4" w:space="0" w:color="auto"/>
            </w:tcBorders>
            <w:noWrap/>
            <w:vAlign w:val="center"/>
            <w:hideMark/>
          </w:tcPr>
          <w:p w14:paraId="4D841DD2" w14:textId="201622B1" w:rsidR="6548D475" w:rsidRPr="00687DE8" w:rsidRDefault="00176111">
            <w:pPr>
              <w:spacing w:after="0"/>
              <w:jc w:val="center"/>
              <w:rPr>
                <w:color w:val="000000" w:themeColor="text1"/>
                <w:szCs w:val="24"/>
              </w:rPr>
            </w:pPr>
            <w:r>
              <w:rPr>
                <w:color w:val="000000"/>
              </w:rPr>
              <w:t>111,82</w:t>
            </w:r>
          </w:p>
        </w:tc>
      </w:tr>
      <w:tr w:rsidR="002B4072" w:rsidRPr="00687DE8" w14:paraId="306D3E92" w14:textId="77777777" w:rsidTr="001B10F9">
        <w:trPr>
          <w:divId w:val="1316184749"/>
          <w:trHeight w:val="270"/>
        </w:trPr>
        <w:tc>
          <w:tcPr>
            <w:tcW w:w="5757" w:type="dxa"/>
            <w:tcBorders>
              <w:top w:val="nil"/>
              <w:left w:val="single" w:sz="4" w:space="0" w:color="auto"/>
              <w:bottom w:val="single" w:sz="4" w:space="0" w:color="auto"/>
              <w:right w:val="single" w:sz="4" w:space="0" w:color="auto"/>
            </w:tcBorders>
            <w:vAlign w:val="bottom"/>
            <w:hideMark/>
          </w:tcPr>
          <w:p w14:paraId="74C756BB" w14:textId="77777777" w:rsidR="002B4072" w:rsidRPr="00687DE8" w:rsidRDefault="002B4072" w:rsidP="002B4072">
            <w:pPr>
              <w:spacing w:after="0" w:line="240" w:lineRule="auto"/>
              <w:rPr>
                <w:szCs w:val="24"/>
                <w:lang w:eastAsia="et-EE"/>
              </w:rPr>
            </w:pPr>
            <w:r w:rsidRPr="00687DE8">
              <w:rPr>
                <w:szCs w:val="24"/>
                <w:lang w:eastAsia="et-EE"/>
              </w:rPr>
              <w:t>Funktsionaalne aparaat</w:t>
            </w:r>
          </w:p>
        </w:tc>
        <w:tc>
          <w:tcPr>
            <w:tcW w:w="1923" w:type="dxa"/>
            <w:tcBorders>
              <w:top w:val="nil"/>
              <w:left w:val="nil"/>
              <w:bottom w:val="single" w:sz="4" w:space="0" w:color="auto"/>
              <w:right w:val="single" w:sz="4" w:space="0" w:color="auto"/>
            </w:tcBorders>
            <w:noWrap/>
            <w:vAlign w:val="bottom"/>
            <w:hideMark/>
          </w:tcPr>
          <w:p w14:paraId="1E574496" w14:textId="77777777" w:rsidR="002B4072" w:rsidRPr="00687DE8" w:rsidRDefault="002B4072" w:rsidP="002B4072">
            <w:pPr>
              <w:spacing w:after="0" w:line="240" w:lineRule="auto"/>
              <w:jc w:val="center"/>
              <w:rPr>
                <w:szCs w:val="24"/>
                <w:lang w:eastAsia="et-EE"/>
              </w:rPr>
            </w:pPr>
            <w:r w:rsidRPr="00687DE8">
              <w:rPr>
                <w:szCs w:val="24"/>
                <w:lang w:eastAsia="et-EE"/>
              </w:rPr>
              <w:t>52621</w:t>
            </w:r>
          </w:p>
        </w:tc>
        <w:tc>
          <w:tcPr>
            <w:tcW w:w="1675" w:type="dxa"/>
            <w:tcBorders>
              <w:top w:val="nil"/>
              <w:left w:val="single" w:sz="4" w:space="0" w:color="auto"/>
              <w:bottom w:val="single" w:sz="4" w:space="0" w:color="auto"/>
              <w:right w:val="single" w:sz="4" w:space="0" w:color="auto"/>
            </w:tcBorders>
            <w:noWrap/>
            <w:vAlign w:val="center"/>
            <w:hideMark/>
          </w:tcPr>
          <w:p w14:paraId="1470E3CD" w14:textId="0C3DAF5B" w:rsidR="6548D475" w:rsidRPr="00687DE8" w:rsidRDefault="00176111">
            <w:pPr>
              <w:spacing w:after="0"/>
              <w:jc w:val="center"/>
              <w:rPr>
                <w:color w:val="000000" w:themeColor="text1"/>
                <w:szCs w:val="24"/>
              </w:rPr>
            </w:pPr>
            <w:r>
              <w:rPr>
                <w:color w:val="000000"/>
              </w:rPr>
              <w:t>76,69</w:t>
            </w:r>
          </w:p>
        </w:tc>
      </w:tr>
      <w:tr w:rsidR="002B4072" w:rsidRPr="00687DE8" w14:paraId="7EC6E37E"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6A063364" w14:textId="77777777" w:rsidR="002B4072" w:rsidRPr="00687DE8" w:rsidRDefault="002B4072" w:rsidP="002B4072">
            <w:pPr>
              <w:spacing w:after="0" w:line="240" w:lineRule="auto"/>
              <w:rPr>
                <w:szCs w:val="24"/>
                <w:lang w:eastAsia="et-EE"/>
              </w:rPr>
            </w:pPr>
            <w:r w:rsidRPr="00687DE8">
              <w:rPr>
                <w:szCs w:val="24"/>
                <w:lang w:eastAsia="et-EE"/>
              </w:rPr>
              <w:t>Müofunktsionaalne aparaat koos paigaldusega</w:t>
            </w:r>
          </w:p>
        </w:tc>
        <w:tc>
          <w:tcPr>
            <w:tcW w:w="1923" w:type="dxa"/>
            <w:tcBorders>
              <w:top w:val="nil"/>
              <w:left w:val="nil"/>
              <w:bottom w:val="single" w:sz="4" w:space="0" w:color="auto"/>
              <w:right w:val="single" w:sz="4" w:space="0" w:color="auto"/>
            </w:tcBorders>
            <w:noWrap/>
            <w:vAlign w:val="bottom"/>
            <w:hideMark/>
          </w:tcPr>
          <w:p w14:paraId="0AEE60B1" w14:textId="77777777" w:rsidR="002B4072" w:rsidRPr="00687DE8" w:rsidRDefault="002B4072" w:rsidP="002B4072">
            <w:pPr>
              <w:spacing w:after="0" w:line="240" w:lineRule="auto"/>
              <w:jc w:val="center"/>
              <w:rPr>
                <w:szCs w:val="24"/>
                <w:lang w:eastAsia="et-EE"/>
              </w:rPr>
            </w:pPr>
            <w:r w:rsidRPr="00687DE8">
              <w:rPr>
                <w:szCs w:val="24"/>
                <w:lang w:eastAsia="et-EE"/>
              </w:rPr>
              <w:t>52624</w:t>
            </w:r>
          </w:p>
        </w:tc>
        <w:tc>
          <w:tcPr>
            <w:tcW w:w="1675" w:type="dxa"/>
            <w:tcBorders>
              <w:top w:val="nil"/>
              <w:left w:val="single" w:sz="4" w:space="0" w:color="auto"/>
              <w:bottom w:val="single" w:sz="4" w:space="0" w:color="auto"/>
              <w:right w:val="single" w:sz="4" w:space="0" w:color="auto"/>
            </w:tcBorders>
            <w:noWrap/>
            <w:vAlign w:val="center"/>
            <w:hideMark/>
          </w:tcPr>
          <w:p w14:paraId="2370C1ED" w14:textId="357CDB60" w:rsidR="6548D475" w:rsidRPr="00687DE8" w:rsidRDefault="00176111">
            <w:pPr>
              <w:spacing w:after="0"/>
              <w:jc w:val="center"/>
              <w:rPr>
                <w:color w:val="000000" w:themeColor="text1"/>
                <w:szCs w:val="24"/>
              </w:rPr>
            </w:pPr>
            <w:r>
              <w:rPr>
                <w:color w:val="000000"/>
              </w:rPr>
              <w:t>87,48</w:t>
            </w:r>
          </w:p>
        </w:tc>
      </w:tr>
      <w:tr w:rsidR="002B4072" w:rsidRPr="00687DE8" w14:paraId="1B39C2BF"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2F125EF9" w14:textId="77777777" w:rsidR="002B4072" w:rsidRPr="00687DE8" w:rsidRDefault="002B4072" w:rsidP="002B4072">
            <w:pPr>
              <w:spacing w:after="0" w:line="240" w:lineRule="auto"/>
              <w:rPr>
                <w:szCs w:val="24"/>
                <w:lang w:eastAsia="et-EE"/>
              </w:rPr>
            </w:pPr>
            <w:r w:rsidRPr="00687DE8">
              <w:rPr>
                <w:szCs w:val="24"/>
                <w:lang w:eastAsia="et-EE"/>
              </w:rPr>
              <w:lastRenderedPageBreak/>
              <w:t>Suust eemaldatava aparaadi aktiveerimine</w:t>
            </w:r>
          </w:p>
        </w:tc>
        <w:tc>
          <w:tcPr>
            <w:tcW w:w="1923" w:type="dxa"/>
            <w:tcBorders>
              <w:top w:val="nil"/>
              <w:left w:val="nil"/>
              <w:bottom w:val="single" w:sz="4" w:space="0" w:color="auto"/>
              <w:right w:val="single" w:sz="4" w:space="0" w:color="auto"/>
            </w:tcBorders>
            <w:noWrap/>
            <w:vAlign w:val="bottom"/>
            <w:hideMark/>
          </w:tcPr>
          <w:p w14:paraId="6ED23638" w14:textId="77777777" w:rsidR="002B4072" w:rsidRPr="00687DE8" w:rsidRDefault="002B4072" w:rsidP="002B4072">
            <w:pPr>
              <w:spacing w:after="0" w:line="240" w:lineRule="auto"/>
              <w:jc w:val="center"/>
              <w:rPr>
                <w:szCs w:val="24"/>
                <w:lang w:eastAsia="et-EE"/>
              </w:rPr>
            </w:pPr>
            <w:r w:rsidRPr="00687DE8">
              <w:rPr>
                <w:szCs w:val="24"/>
                <w:lang w:eastAsia="et-EE"/>
              </w:rPr>
              <w:t>52622</w:t>
            </w:r>
          </w:p>
        </w:tc>
        <w:tc>
          <w:tcPr>
            <w:tcW w:w="1675" w:type="dxa"/>
            <w:tcBorders>
              <w:top w:val="nil"/>
              <w:left w:val="single" w:sz="4" w:space="0" w:color="auto"/>
              <w:bottom w:val="single" w:sz="4" w:space="0" w:color="auto"/>
              <w:right w:val="single" w:sz="4" w:space="0" w:color="auto"/>
            </w:tcBorders>
            <w:noWrap/>
            <w:vAlign w:val="center"/>
            <w:hideMark/>
          </w:tcPr>
          <w:p w14:paraId="4FA0DD63" w14:textId="11F8B6E3" w:rsidR="6548D475" w:rsidRPr="00687DE8" w:rsidRDefault="00176111">
            <w:pPr>
              <w:spacing w:after="0"/>
              <w:jc w:val="center"/>
              <w:rPr>
                <w:color w:val="000000" w:themeColor="text1"/>
                <w:szCs w:val="24"/>
              </w:rPr>
            </w:pPr>
            <w:r>
              <w:rPr>
                <w:color w:val="000000"/>
              </w:rPr>
              <w:t>25,09</w:t>
            </w:r>
          </w:p>
        </w:tc>
      </w:tr>
      <w:tr w:rsidR="002B4072" w:rsidRPr="00687DE8" w14:paraId="642318A7"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11F0E644" w14:textId="77777777" w:rsidR="002B4072" w:rsidRPr="00687DE8" w:rsidRDefault="002B4072" w:rsidP="002B4072">
            <w:pPr>
              <w:spacing w:after="0" w:line="240" w:lineRule="auto"/>
              <w:rPr>
                <w:szCs w:val="24"/>
                <w:lang w:eastAsia="et-EE"/>
              </w:rPr>
            </w:pPr>
            <w:r w:rsidRPr="00687DE8">
              <w:rPr>
                <w:szCs w:val="24"/>
                <w:lang w:eastAsia="et-EE"/>
              </w:rPr>
              <w:t>Suust eemaldatava aparaadi korrigeerimine</w:t>
            </w:r>
          </w:p>
        </w:tc>
        <w:tc>
          <w:tcPr>
            <w:tcW w:w="1923" w:type="dxa"/>
            <w:tcBorders>
              <w:top w:val="nil"/>
              <w:left w:val="nil"/>
              <w:bottom w:val="single" w:sz="4" w:space="0" w:color="auto"/>
              <w:right w:val="single" w:sz="4" w:space="0" w:color="auto"/>
            </w:tcBorders>
            <w:noWrap/>
            <w:vAlign w:val="bottom"/>
            <w:hideMark/>
          </w:tcPr>
          <w:p w14:paraId="61BE801D" w14:textId="77777777" w:rsidR="002B4072" w:rsidRPr="00687DE8" w:rsidRDefault="002B4072" w:rsidP="002B4072">
            <w:pPr>
              <w:spacing w:after="0" w:line="240" w:lineRule="auto"/>
              <w:jc w:val="center"/>
              <w:rPr>
                <w:szCs w:val="24"/>
                <w:lang w:eastAsia="et-EE"/>
              </w:rPr>
            </w:pPr>
            <w:r w:rsidRPr="00687DE8">
              <w:rPr>
                <w:szCs w:val="24"/>
                <w:lang w:eastAsia="et-EE"/>
              </w:rPr>
              <w:t>52623</w:t>
            </w:r>
          </w:p>
        </w:tc>
        <w:tc>
          <w:tcPr>
            <w:tcW w:w="1675" w:type="dxa"/>
            <w:tcBorders>
              <w:top w:val="nil"/>
              <w:left w:val="single" w:sz="4" w:space="0" w:color="auto"/>
              <w:bottom w:val="single" w:sz="4" w:space="0" w:color="auto"/>
              <w:right w:val="single" w:sz="4" w:space="0" w:color="auto"/>
            </w:tcBorders>
            <w:noWrap/>
            <w:vAlign w:val="center"/>
            <w:hideMark/>
          </w:tcPr>
          <w:p w14:paraId="2CEF4668" w14:textId="0D8CE11C" w:rsidR="6548D475" w:rsidRPr="00687DE8" w:rsidRDefault="00176111">
            <w:pPr>
              <w:spacing w:after="0"/>
              <w:jc w:val="center"/>
              <w:rPr>
                <w:color w:val="000000" w:themeColor="text1"/>
                <w:szCs w:val="24"/>
              </w:rPr>
            </w:pPr>
            <w:r>
              <w:rPr>
                <w:color w:val="000000"/>
              </w:rPr>
              <w:t>32,84</w:t>
            </w:r>
          </w:p>
        </w:tc>
      </w:tr>
      <w:tr w:rsidR="002B4072" w:rsidRPr="00687DE8" w14:paraId="5B2B2B77" w14:textId="77777777" w:rsidTr="001B10F9">
        <w:trPr>
          <w:divId w:val="1316184749"/>
          <w:trHeight w:val="270"/>
        </w:trPr>
        <w:tc>
          <w:tcPr>
            <w:tcW w:w="5757" w:type="dxa"/>
            <w:tcBorders>
              <w:top w:val="nil"/>
              <w:left w:val="single" w:sz="4" w:space="0" w:color="auto"/>
              <w:bottom w:val="single" w:sz="4" w:space="0" w:color="auto"/>
              <w:right w:val="single" w:sz="4" w:space="0" w:color="auto"/>
            </w:tcBorders>
            <w:vAlign w:val="bottom"/>
            <w:hideMark/>
          </w:tcPr>
          <w:p w14:paraId="3175AC37" w14:textId="77777777" w:rsidR="002B4072" w:rsidRPr="00687DE8" w:rsidRDefault="002B4072" w:rsidP="002B4072">
            <w:pPr>
              <w:spacing w:after="0" w:line="240" w:lineRule="auto"/>
              <w:rPr>
                <w:szCs w:val="24"/>
                <w:lang w:eastAsia="et-EE"/>
              </w:rPr>
            </w:pPr>
            <w:r w:rsidRPr="00687DE8">
              <w:rPr>
                <w:szCs w:val="24"/>
                <w:lang w:eastAsia="et-EE"/>
              </w:rPr>
              <w:t>Kapeaparaat</w:t>
            </w:r>
          </w:p>
        </w:tc>
        <w:tc>
          <w:tcPr>
            <w:tcW w:w="1923" w:type="dxa"/>
            <w:tcBorders>
              <w:top w:val="nil"/>
              <w:left w:val="nil"/>
              <w:bottom w:val="single" w:sz="4" w:space="0" w:color="auto"/>
              <w:right w:val="single" w:sz="4" w:space="0" w:color="auto"/>
            </w:tcBorders>
            <w:noWrap/>
            <w:vAlign w:val="bottom"/>
            <w:hideMark/>
          </w:tcPr>
          <w:p w14:paraId="0A5C82E4" w14:textId="77777777" w:rsidR="002B4072" w:rsidRPr="00687DE8" w:rsidRDefault="002B4072" w:rsidP="002B4072">
            <w:pPr>
              <w:spacing w:after="0" w:line="240" w:lineRule="auto"/>
              <w:jc w:val="center"/>
              <w:rPr>
                <w:szCs w:val="24"/>
                <w:lang w:eastAsia="et-EE"/>
              </w:rPr>
            </w:pPr>
            <w:r w:rsidRPr="00687DE8">
              <w:rPr>
                <w:szCs w:val="24"/>
                <w:lang w:eastAsia="et-EE"/>
              </w:rPr>
              <w:t>52625</w:t>
            </w:r>
          </w:p>
        </w:tc>
        <w:tc>
          <w:tcPr>
            <w:tcW w:w="1675" w:type="dxa"/>
            <w:tcBorders>
              <w:top w:val="nil"/>
              <w:left w:val="single" w:sz="4" w:space="0" w:color="auto"/>
              <w:bottom w:val="single" w:sz="4" w:space="0" w:color="auto"/>
              <w:right w:val="single" w:sz="4" w:space="0" w:color="auto"/>
            </w:tcBorders>
            <w:noWrap/>
            <w:vAlign w:val="center"/>
            <w:hideMark/>
          </w:tcPr>
          <w:p w14:paraId="5736FF76" w14:textId="70A49CF3" w:rsidR="6548D475" w:rsidRPr="00687DE8" w:rsidRDefault="00176111">
            <w:pPr>
              <w:spacing w:after="0"/>
              <w:jc w:val="center"/>
              <w:rPr>
                <w:color w:val="000000" w:themeColor="text1"/>
                <w:szCs w:val="24"/>
              </w:rPr>
            </w:pPr>
            <w:r>
              <w:rPr>
                <w:color w:val="000000"/>
              </w:rPr>
              <w:t>51,27</w:t>
            </w:r>
          </w:p>
        </w:tc>
      </w:tr>
      <w:tr w:rsidR="002B4072" w:rsidRPr="00687DE8" w14:paraId="62C074D8"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222F60E1" w14:textId="77777777" w:rsidR="002B4072" w:rsidRPr="00687DE8" w:rsidRDefault="002B4072" w:rsidP="002B4072">
            <w:pPr>
              <w:spacing w:after="0" w:line="240" w:lineRule="auto"/>
              <w:rPr>
                <w:szCs w:val="24"/>
                <w:lang w:eastAsia="et-EE"/>
              </w:rPr>
            </w:pPr>
            <w:r w:rsidRPr="00687DE8">
              <w:rPr>
                <w:szCs w:val="24"/>
                <w:lang w:eastAsia="et-EE"/>
              </w:rPr>
              <w:t>Üks kirurgiline kape koos paigaldusega</w:t>
            </w:r>
          </w:p>
        </w:tc>
        <w:tc>
          <w:tcPr>
            <w:tcW w:w="1923" w:type="dxa"/>
            <w:tcBorders>
              <w:top w:val="nil"/>
              <w:left w:val="nil"/>
              <w:bottom w:val="single" w:sz="4" w:space="0" w:color="auto"/>
              <w:right w:val="single" w:sz="4" w:space="0" w:color="auto"/>
            </w:tcBorders>
            <w:noWrap/>
            <w:vAlign w:val="bottom"/>
            <w:hideMark/>
          </w:tcPr>
          <w:p w14:paraId="0EA459C1" w14:textId="77777777" w:rsidR="002B4072" w:rsidRPr="00687DE8" w:rsidRDefault="002B4072" w:rsidP="002B4072">
            <w:pPr>
              <w:spacing w:after="0" w:line="240" w:lineRule="auto"/>
              <w:jc w:val="center"/>
              <w:rPr>
                <w:szCs w:val="24"/>
                <w:lang w:eastAsia="et-EE"/>
              </w:rPr>
            </w:pPr>
            <w:r w:rsidRPr="00687DE8">
              <w:rPr>
                <w:szCs w:val="24"/>
                <w:lang w:eastAsia="et-EE"/>
              </w:rPr>
              <w:t>52626</w:t>
            </w:r>
          </w:p>
        </w:tc>
        <w:tc>
          <w:tcPr>
            <w:tcW w:w="1675" w:type="dxa"/>
            <w:tcBorders>
              <w:top w:val="nil"/>
              <w:left w:val="single" w:sz="4" w:space="0" w:color="auto"/>
              <w:bottom w:val="single" w:sz="4" w:space="0" w:color="auto"/>
              <w:right w:val="single" w:sz="4" w:space="0" w:color="auto"/>
            </w:tcBorders>
            <w:noWrap/>
            <w:vAlign w:val="center"/>
            <w:hideMark/>
          </w:tcPr>
          <w:p w14:paraId="1BB47CA7" w14:textId="762615CD" w:rsidR="6548D475" w:rsidRPr="00687DE8" w:rsidRDefault="00176111">
            <w:pPr>
              <w:spacing w:after="0"/>
              <w:jc w:val="center"/>
              <w:rPr>
                <w:color w:val="000000" w:themeColor="text1"/>
                <w:szCs w:val="24"/>
              </w:rPr>
            </w:pPr>
            <w:r>
              <w:rPr>
                <w:color w:val="000000"/>
              </w:rPr>
              <w:t>97,57</w:t>
            </w:r>
          </w:p>
        </w:tc>
      </w:tr>
      <w:tr w:rsidR="002B4072" w:rsidRPr="00687DE8" w14:paraId="4447AE95"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0C4F7304" w14:textId="77777777" w:rsidR="002B4072" w:rsidRPr="00687DE8" w:rsidRDefault="002B4072" w:rsidP="002B4072">
            <w:pPr>
              <w:spacing w:after="0" w:line="240" w:lineRule="auto"/>
              <w:rPr>
                <w:szCs w:val="24"/>
                <w:lang w:eastAsia="et-EE"/>
              </w:rPr>
            </w:pPr>
            <w:r w:rsidRPr="00687DE8">
              <w:rPr>
                <w:szCs w:val="24"/>
                <w:lang w:eastAsia="et-EE"/>
              </w:rPr>
              <w:t>Tuubik (kleebitav või joodetav)</w:t>
            </w:r>
          </w:p>
        </w:tc>
        <w:tc>
          <w:tcPr>
            <w:tcW w:w="1923" w:type="dxa"/>
            <w:tcBorders>
              <w:top w:val="nil"/>
              <w:left w:val="nil"/>
              <w:bottom w:val="single" w:sz="4" w:space="0" w:color="auto"/>
              <w:right w:val="single" w:sz="4" w:space="0" w:color="auto"/>
            </w:tcBorders>
            <w:noWrap/>
            <w:vAlign w:val="bottom"/>
            <w:hideMark/>
          </w:tcPr>
          <w:p w14:paraId="5EFC0D2F" w14:textId="77777777" w:rsidR="002B4072" w:rsidRPr="00687DE8" w:rsidRDefault="002B4072" w:rsidP="002B4072">
            <w:pPr>
              <w:spacing w:after="0" w:line="240" w:lineRule="auto"/>
              <w:jc w:val="center"/>
              <w:rPr>
                <w:szCs w:val="24"/>
                <w:lang w:eastAsia="et-EE"/>
              </w:rPr>
            </w:pPr>
            <w:r w:rsidRPr="00687DE8">
              <w:rPr>
                <w:szCs w:val="24"/>
                <w:lang w:eastAsia="et-EE"/>
              </w:rPr>
              <w:t>52633</w:t>
            </w:r>
          </w:p>
        </w:tc>
        <w:tc>
          <w:tcPr>
            <w:tcW w:w="1675" w:type="dxa"/>
            <w:tcBorders>
              <w:top w:val="nil"/>
              <w:left w:val="single" w:sz="4" w:space="0" w:color="auto"/>
              <w:bottom w:val="single" w:sz="4" w:space="0" w:color="auto"/>
              <w:right w:val="single" w:sz="4" w:space="0" w:color="auto"/>
            </w:tcBorders>
            <w:noWrap/>
            <w:vAlign w:val="center"/>
            <w:hideMark/>
          </w:tcPr>
          <w:p w14:paraId="3F7A3893" w14:textId="2E1F5FAC" w:rsidR="6548D475" w:rsidRPr="00687DE8" w:rsidRDefault="00176111">
            <w:pPr>
              <w:spacing w:after="0"/>
              <w:jc w:val="center"/>
              <w:rPr>
                <w:color w:val="000000" w:themeColor="text1"/>
                <w:szCs w:val="24"/>
              </w:rPr>
            </w:pPr>
            <w:r>
              <w:rPr>
                <w:color w:val="000000"/>
              </w:rPr>
              <w:t>26,76</w:t>
            </w:r>
          </w:p>
        </w:tc>
      </w:tr>
      <w:tr w:rsidR="002B4072" w:rsidRPr="00687DE8" w14:paraId="7FFCCC95"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0D015D01" w14:textId="77777777" w:rsidR="002B4072" w:rsidRPr="00687DE8" w:rsidRDefault="002B4072" w:rsidP="002B4072">
            <w:pPr>
              <w:spacing w:after="0" w:line="240" w:lineRule="auto"/>
              <w:rPr>
                <w:szCs w:val="24"/>
                <w:lang w:eastAsia="et-EE"/>
              </w:rPr>
            </w:pPr>
            <w:r w:rsidRPr="00687DE8">
              <w:rPr>
                <w:szCs w:val="24"/>
                <w:lang w:eastAsia="et-EE"/>
              </w:rPr>
              <w:t>Palatinaalne konks (1 tk)</w:t>
            </w:r>
          </w:p>
        </w:tc>
        <w:tc>
          <w:tcPr>
            <w:tcW w:w="1923" w:type="dxa"/>
            <w:tcBorders>
              <w:top w:val="nil"/>
              <w:left w:val="nil"/>
              <w:bottom w:val="single" w:sz="4" w:space="0" w:color="auto"/>
              <w:right w:val="single" w:sz="4" w:space="0" w:color="auto"/>
            </w:tcBorders>
            <w:noWrap/>
            <w:vAlign w:val="bottom"/>
            <w:hideMark/>
          </w:tcPr>
          <w:p w14:paraId="08599ECC" w14:textId="77777777" w:rsidR="002B4072" w:rsidRPr="00687DE8" w:rsidRDefault="002B4072" w:rsidP="002B4072">
            <w:pPr>
              <w:spacing w:after="0" w:line="240" w:lineRule="auto"/>
              <w:jc w:val="center"/>
              <w:rPr>
                <w:szCs w:val="24"/>
                <w:lang w:eastAsia="et-EE"/>
              </w:rPr>
            </w:pPr>
            <w:r w:rsidRPr="00687DE8">
              <w:rPr>
                <w:szCs w:val="24"/>
                <w:lang w:eastAsia="et-EE"/>
              </w:rPr>
              <w:t>52635</w:t>
            </w:r>
          </w:p>
        </w:tc>
        <w:tc>
          <w:tcPr>
            <w:tcW w:w="1675" w:type="dxa"/>
            <w:tcBorders>
              <w:top w:val="nil"/>
              <w:left w:val="single" w:sz="4" w:space="0" w:color="auto"/>
              <w:bottom w:val="single" w:sz="4" w:space="0" w:color="auto"/>
              <w:right w:val="single" w:sz="4" w:space="0" w:color="auto"/>
            </w:tcBorders>
            <w:noWrap/>
            <w:vAlign w:val="center"/>
            <w:hideMark/>
          </w:tcPr>
          <w:p w14:paraId="1872A053" w14:textId="04A60941" w:rsidR="6548D475" w:rsidRPr="00687DE8" w:rsidRDefault="00176111">
            <w:pPr>
              <w:spacing w:after="0"/>
              <w:jc w:val="center"/>
              <w:rPr>
                <w:color w:val="000000" w:themeColor="text1"/>
                <w:szCs w:val="24"/>
              </w:rPr>
            </w:pPr>
            <w:r>
              <w:rPr>
                <w:color w:val="000000"/>
              </w:rPr>
              <w:t>7,25</w:t>
            </w:r>
          </w:p>
        </w:tc>
      </w:tr>
      <w:tr w:rsidR="002B4072" w:rsidRPr="00687DE8" w14:paraId="39C7D0FF"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204176ED" w14:textId="77777777" w:rsidR="002B4072" w:rsidRPr="00687DE8" w:rsidRDefault="002B4072" w:rsidP="002B4072">
            <w:pPr>
              <w:spacing w:after="0" w:line="240" w:lineRule="auto"/>
              <w:rPr>
                <w:szCs w:val="24"/>
                <w:lang w:eastAsia="et-EE"/>
              </w:rPr>
            </w:pPr>
            <w:r w:rsidRPr="00687DE8">
              <w:rPr>
                <w:szCs w:val="24"/>
                <w:lang w:eastAsia="et-EE"/>
              </w:rPr>
              <w:t>Palatinaal- või lingvaalkaar koos paigaldusega</w:t>
            </w:r>
          </w:p>
        </w:tc>
        <w:tc>
          <w:tcPr>
            <w:tcW w:w="1923" w:type="dxa"/>
            <w:tcBorders>
              <w:top w:val="nil"/>
              <w:left w:val="nil"/>
              <w:bottom w:val="single" w:sz="4" w:space="0" w:color="auto"/>
              <w:right w:val="single" w:sz="4" w:space="0" w:color="auto"/>
            </w:tcBorders>
            <w:noWrap/>
            <w:vAlign w:val="bottom"/>
            <w:hideMark/>
          </w:tcPr>
          <w:p w14:paraId="0A7C3340" w14:textId="77777777" w:rsidR="002B4072" w:rsidRPr="00687DE8" w:rsidRDefault="002B4072" w:rsidP="002B4072">
            <w:pPr>
              <w:spacing w:after="0" w:line="240" w:lineRule="auto"/>
              <w:jc w:val="center"/>
              <w:rPr>
                <w:szCs w:val="24"/>
                <w:lang w:eastAsia="et-EE"/>
              </w:rPr>
            </w:pPr>
            <w:r w:rsidRPr="00687DE8">
              <w:rPr>
                <w:szCs w:val="24"/>
                <w:lang w:eastAsia="et-EE"/>
              </w:rPr>
              <w:t>52636</w:t>
            </w:r>
          </w:p>
        </w:tc>
        <w:tc>
          <w:tcPr>
            <w:tcW w:w="1675" w:type="dxa"/>
            <w:tcBorders>
              <w:top w:val="nil"/>
              <w:left w:val="single" w:sz="4" w:space="0" w:color="auto"/>
              <w:bottom w:val="single" w:sz="4" w:space="0" w:color="auto"/>
              <w:right w:val="single" w:sz="4" w:space="0" w:color="auto"/>
            </w:tcBorders>
            <w:noWrap/>
            <w:vAlign w:val="center"/>
            <w:hideMark/>
          </w:tcPr>
          <w:p w14:paraId="29E6B596" w14:textId="70BDA5D4" w:rsidR="6548D475" w:rsidRPr="00687DE8" w:rsidRDefault="00176111">
            <w:pPr>
              <w:spacing w:after="0"/>
              <w:jc w:val="center"/>
              <w:rPr>
                <w:color w:val="000000" w:themeColor="text1"/>
                <w:szCs w:val="24"/>
              </w:rPr>
            </w:pPr>
            <w:r>
              <w:rPr>
                <w:color w:val="000000"/>
              </w:rPr>
              <w:t>64,94</w:t>
            </w:r>
          </w:p>
        </w:tc>
      </w:tr>
      <w:tr w:rsidR="002B4072" w:rsidRPr="00687DE8" w14:paraId="40F0D0C4"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41A98FC4" w14:textId="77777777" w:rsidR="002B4072" w:rsidRPr="00687DE8" w:rsidRDefault="002B4072" w:rsidP="002B4072">
            <w:pPr>
              <w:spacing w:after="0" w:line="240" w:lineRule="auto"/>
              <w:rPr>
                <w:szCs w:val="24"/>
                <w:lang w:eastAsia="et-EE"/>
              </w:rPr>
            </w:pPr>
            <w:r w:rsidRPr="00687DE8">
              <w:rPr>
                <w:szCs w:val="24"/>
                <w:lang w:eastAsia="et-EE"/>
              </w:rPr>
              <w:t>Quad-Helixi seade koos paigaldusega</w:t>
            </w:r>
          </w:p>
        </w:tc>
        <w:tc>
          <w:tcPr>
            <w:tcW w:w="1923" w:type="dxa"/>
            <w:tcBorders>
              <w:top w:val="nil"/>
              <w:left w:val="nil"/>
              <w:bottom w:val="single" w:sz="4" w:space="0" w:color="auto"/>
              <w:right w:val="single" w:sz="4" w:space="0" w:color="auto"/>
            </w:tcBorders>
            <w:noWrap/>
            <w:vAlign w:val="bottom"/>
            <w:hideMark/>
          </w:tcPr>
          <w:p w14:paraId="20FD36D6" w14:textId="77777777" w:rsidR="002B4072" w:rsidRPr="00687DE8" w:rsidRDefault="002B4072" w:rsidP="002B4072">
            <w:pPr>
              <w:spacing w:after="0" w:line="240" w:lineRule="auto"/>
              <w:jc w:val="center"/>
              <w:rPr>
                <w:szCs w:val="24"/>
                <w:lang w:eastAsia="et-EE"/>
              </w:rPr>
            </w:pPr>
            <w:r w:rsidRPr="00687DE8">
              <w:rPr>
                <w:szCs w:val="24"/>
                <w:lang w:eastAsia="et-EE"/>
              </w:rPr>
              <w:t>52637</w:t>
            </w:r>
          </w:p>
        </w:tc>
        <w:tc>
          <w:tcPr>
            <w:tcW w:w="1675" w:type="dxa"/>
            <w:tcBorders>
              <w:top w:val="nil"/>
              <w:left w:val="single" w:sz="4" w:space="0" w:color="auto"/>
              <w:bottom w:val="single" w:sz="4" w:space="0" w:color="auto"/>
              <w:right w:val="single" w:sz="4" w:space="0" w:color="auto"/>
            </w:tcBorders>
            <w:noWrap/>
            <w:vAlign w:val="center"/>
            <w:hideMark/>
          </w:tcPr>
          <w:p w14:paraId="15FE42E4" w14:textId="368F9E18" w:rsidR="6548D475" w:rsidRPr="00687DE8" w:rsidRDefault="00176111">
            <w:pPr>
              <w:spacing w:after="0"/>
              <w:jc w:val="center"/>
              <w:rPr>
                <w:color w:val="000000" w:themeColor="text1"/>
                <w:szCs w:val="24"/>
              </w:rPr>
            </w:pPr>
            <w:r>
              <w:rPr>
                <w:color w:val="000000"/>
              </w:rPr>
              <w:t>77,34</w:t>
            </w:r>
          </w:p>
        </w:tc>
      </w:tr>
      <w:tr w:rsidR="002B4072" w:rsidRPr="00687DE8" w14:paraId="79BB3B6E"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7185CD03" w14:textId="77777777" w:rsidR="002B4072" w:rsidRPr="00687DE8" w:rsidRDefault="002B4072" w:rsidP="002B4072">
            <w:pPr>
              <w:spacing w:after="0" w:line="240" w:lineRule="auto"/>
              <w:rPr>
                <w:szCs w:val="24"/>
                <w:lang w:eastAsia="et-EE"/>
              </w:rPr>
            </w:pPr>
            <w:r w:rsidRPr="00687DE8">
              <w:rPr>
                <w:szCs w:val="24"/>
                <w:lang w:eastAsia="et-EE"/>
              </w:rPr>
              <w:t>Reteineraparaadi kontroll</w:t>
            </w:r>
          </w:p>
        </w:tc>
        <w:tc>
          <w:tcPr>
            <w:tcW w:w="1923" w:type="dxa"/>
            <w:tcBorders>
              <w:top w:val="nil"/>
              <w:left w:val="nil"/>
              <w:bottom w:val="single" w:sz="4" w:space="0" w:color="auto"/>
              <w:right w:val="single" w:sz="4" w:space="0" w:color="auto"/>
            </w:tcBorders>
            <w:noWrap/>
            <w:vAlign w:val="bottom"/>
            <w:hideMark/>
          </w:tcPr>
          <w:p w14:paraId="3516D5D1" w14:textId="77777777" w:rsidR="002B4072" w:rsidRPr="00687DE8" w:rsidRDefault="002B4072" w:rsidP="002B4072">
            <w:pPr>
              <w:spacing w:after="0" w:line="240" w:lineRule="auto"/>
              <w:jc w:val="center"/>
              <w:rPr>
                <w:szCs w:val="24"/>
                <w:lang w:eastAsia="et-EE"/>
              </w:rPr>
            </w:pPr>
            <w:r w:rsidRPr="00687DE8">
              <w:rPr>
                <w:szCs w:val="24"/>
                <w:lang w:eastAsia="et-EE"/>
              </w:rPr>
              <w:t>52639</w:t>
            </w:r>
          </w:p>
        </w:tc>
        <w:tc>
          <w:tcPr>
            <w:tcW w:w="1675" w:type="dxa"/>
            <w:tcBorders>
              <w:top w:val="nil"/>
              <w:left w:val="single" w:sz="4" w:space="0" w:color="auto"/>
              <w:bottom w:val="single" w:sz="4" w:space="0" w:color="auto"/>
              <w:right w:val="single" w:sz="4" w:space="0" w:color="auto"/>
            </w:tcBorders>
            <w:noWrap/>
            <w:vAlign w:val="center"/>
            <w:hideMark/>
          </w:tcPr>
          <w:p w14:paraId="7AACD259" w14:textId="3EB0BDBC" w:rsidR="6548D475" w:rsidRPr="00687DE8" w:rsidRDefault="00176111">
            <w:pPr>
              <w:spacing w:after="0"/>
              <w:jc w:val="center"/>
              <w:rPr>
                <w:color w:val="000000" w:themeColor="text1"/>
                <w:szCs w:val="24"/>
              </w:rPr>
            </w:pPr>
            <w:r>
              <w:rPr>
                <w:color w:val="000000"/>
              </w:rPr>
              <w:t>16,36</w:t>
            </w:r>
          </w:p>
        </w:tc>
      </w:tr>
      <w:tr w:rsidR="002B4072" w:rsidRPr="00687DE8" w14:paraId="7C5F8A07"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1EE3DE21" w14:textId="77777777" w:rsidR="002B4072" w:rsidRPr="00687DE8" w:rsidRDefault="002B4072" w:rsidP="002B4072">
            <w:pPr>
              <w:spacing w:after="0" w:line="240" w:lineRule="auto"/>
              <w:rPr>
                <w:szCs w:val="24"/>
                <w:lang w:eastAsia="et-EE"/>
              </w:rPr>
            </w:pPr>
            <w:r w:rsidRPr="00687DE8">
              <w:rPr>
                <w:szCs w:val="24"/>
                <w:lang w:eastAsia="et-EE"/>
              </w:rPr>
              <w:t>Kiire palatinaalne laiendaja koos paigaldusega</w:t>
            </w:r>
          </w:p>
        </w:tc>
        <w:tc>
          <w:tcPr>
            <w:tcW w:w="1923" w:type="dxa"/>
            <w:tcBorders>
              <w:top w:val="nil"/>
              <w:left w:val="nil"/>
              <w:bottom w:val="single" w:sz="4" w:space="0" w:color="auto"/>
              <w:right w:val="single" w:sz="4" w:space="0" w:color="auto"/>
            </w:tcBorders>
            <w:noWrap/>
            <w:vAlign w:val="bottom"/>
            <w:hideMark/>
          </w:tcPr>
          <w:p w14:paraId="26CD5282" w14:textId="77777777" w:rsidR="002B4072" w:rsidRPr="00687DE8" w:rsidRDefault="002B4072" w:rsidP="002B4072">
            <w:pPr>
              <w:spacing w:after="0" w:line="240" w:lineRule="auto"/>
              <w:jc w:val="center"/>
              <w:rPr>
                <w:szCs w:val="24"/>
                <w:lang w:eastAsia="et-EE"/>
              </w:rPr>
            </w:pPr>
            <w:r w:rsidRPr="00687DE8">
              <w:rPr>
                <w:szCs w:val="24"/>
                <w:lang w:eastAsia="et-EE"/>
              </w:rPr>
              <w:t>52642</w:t>
            </w:r>
          </w:p>
        </w:tc>
        <w:tc>
          <w:tcPr>
            <w:tcW w:w="1675" w:type="dxa"/>
            <w:tcBorders>
              <w:top w:val="nil"/>
              <w:left w:val="single" w:sz="4" w:space="0" w:color="auto"/>
              <w:bottom w:val="single" w:sz="4" w:space="0" w:color="auto"/>
              <w:right w:val="single" w:sz="4" w:space="0" w:color="auto"/>
            </w:tcBorders>
            <w:noWrap/>
            <w:vAlign w:val="center"/>
            <w:hideMark/>
          </w:tcPr>
          <w:p w14:paraId="1B2C9636" w14:textId="1D6BA5EC" w:rsidR="6548D475" w:rsidRPr="00687DE8" w:rsidRDefault="00176111">
            <w:pPr>
              <w:spacing w:after="0"/>
              <w:jc w:val="center"/>
              <w:rPr>
                <w:color w:val="000000" w:themeColor="text1"/>
                <w:szCs w:val="24"/>
              </w:rPr>
            </w:pPr>
            <w:r>
              <w:rPr>
                <w:color w:val="000000"/>
              </w:rPr>
              <w:t>114,92</w:t>
            </w:r>
          </w:p>
        </w:tc>
      </w:tr>
      <w:tr w:rsidR="002B4072" w:rsidRPr="00687DE8" w14:paraId="5A315909" w14:textId="77777777" w:rsidTr="001B10F9">
        <w:trPr>
          <w:divId w:val="1316184749"/>
          <w:trHeight w:val="284"/>
        </w:trPr>
        <w:tc>
          <w:tcPr>
            <w:tcW w:w="5757" w:type="dxa"/>
            <w:tcBorders>
              <w:top w:val="nil"/>
              <w:left w:val="single" w:sz="4" w:space="0" w:color="auto"/>
              <w:bottom w:val="single" w:sz="4" w:space="0" w:color="auto"/>
              <w:right w:val="single" w:sz="4" w:space="0" w:color="auto"/>
            </w:tcBorders>
            <w:vAlign w:val="bottom"/>
            <w:hideMark/>
          </w:tcPr>
          <w:p w14:paraId="783F1FFB" w14:textId="77777777" w:rsidR="002B4072" w:rsidRPr="00687DE8" w:rsidRDefault="002B4072" w:rsidP="002B4072">
            <w:pPr>
              <w:spacing w:after="0" w:line="240" w:lineRule="auto"/>
              <w:rPr>
                <w:szCs w:val="24"/>
                <w:lang w:eastAsia="et-EE"/>
              </w:rPr>
            </w:pPr>
            <w:r w:rsidRPr="00687DE8">
              <w:rPr>
                <w:szCs w:val="24"/>
                <w:lang w:eastAsia="et-EE"/>
              </w:rPr>
              <w:t>Suust mitte-eemaldatav funktsionaalne aparaat koos paigaldusega</w:t>
            </w:r>
          </w:p>
        </w:tc>
        <w:tc>
          <w:tcPr>
            <w:tcW w:w="1923" w:type="dxa"/>
            <w:tcBorders>
              <w:top w:val="nil"/>
              <w:left w:val="nil"/>
              <w:bottom w:val="single" w:sz="4" w:space="0" w:color="auto"/>
              <w:right w:val="single" w:sz="4" w:space="0" w:color="auto"/>
            </w:tcBorders>
            <w:noWrap/>
            <w:vAlign w:val="bottom"/>
            <w:hideMark/>
          </w:tcPr>
          <w:p w14:paraId="28BAE0B0" w14:textId="77777777" w:rsidR="002B4072" w:rsidRPr="00687DE8" w:rsidRDefault="002B4072" w:rsidP="002B4072">
            <w:pPr>
              <w:spacing w:after="0" w:line="240" w:lineRule="auto"/>
              <w:jc w:val="center"/>
              <w:rPr>
                <w:szCs w:val="24"/>
                <w:lang w:eastAsia="et-EE"/>
              </w:rPr>
            </w:pPr>
            <w:r w:rsidRPr="00687DE8">
              <w:rPr>
                <w:szCs w:val="24"/>
                <w:lang w:eastAsia="et-EE"/>
              </w:rPr>
              <w:t>52640</w:t>
            </w:r>
          </w:p>
        </w:tc>
        <w:tc>
          <w:tcPr>
            <w:tcW w:w="1675" w:type="dxa"/>
            <w:tcBorders>
              <w:top w:val="nil"/>
              <w:left w:val="single" w:sz="4" w:space="0" w:color="auto"/>
              <w:bottom w:val="single" w:sz="4" w:space="0" w:color="auto"/>
              <w:right w:val="single" w:sz="4" w:space="0" w:color="auto"/>
            </w:tcBorders>
            <w:noWrap/>
            <w:vAlign w:val="center"/>
            <w:hideMark/>
          </w:tcPr>
          <w:p w14:paraId="551CB4EE" w14:textId="45C9134B" w:rsidR="6548D475" w:rsidRPr="00687DE8" w:rsidRDefault="00176111">
            <w:pPr>
              <w:spacing w:after="0"/>
              <w:jc w:val="center"/>
              <w:rPr>
                <w:color w:val="000000" w:themeColor="text1"/>
                <w:szCs w:val="24"/>
              </w:rPr>
            </w:pPr>
            <w:r>
              <w:rPr>
                <w:color w:val="000000"/>
              </w:rPr>
              <w:t>357,99</w:t>
            </w:r>
          </w:p>
        </w:tc>
      </w:tr>
      <w:tr w:rsidR="002B4072" w:rsidRPr="00687DE8" w14:paraId="288BA571"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3231A03D" w14:textId="77777777" w:rsidR="002B4072" w:rsidRPr="00687DE8" w:rsidRDefault="002B4072" w:rsidP="002B4072">
            <w:pPr>
              <w:spacing w:after="0" w:line="240" w:lineRule="auto"/>
              <w:rPr>
                <w:szCs w:val="24"/>
                <w:lang w:eastAsia="et-EE"/>
              </w:rPr>
            </w:pPr>
            <w:r w:rsidRPr="00687DE8">
              <w:rPr>
                <w:szCs w:val="24"/>
                <w:lang w:eastAsia="et-EE"/>
              </w:rPr>
              <w:t>Suust mitte-eemaldatav ankurdusaparaat koos paigaldusega</w:t>
            </w:r>
          </w:p>
        </w:tc>
        <w:tc>
          <w:tcPr>
            <w:tcW w:w="1923" w:type="dxa"/>
            <w:tcBorders>
              <w:top w:val="nil"/>
              <w:left w:val="nil"/>
              <w:bottom w:val="single" w:sz="4" w:space="0" w:color="auto"/>
              <w:right w:val="single" w:sz="4" w:space="0" w:color="auto"/>
            </w:tcBorders>
            <w:noWrap/>
            <w:vAlign w:val="bottom"/>
            <w:hideMark/>
          </w:tcPr>
          <w:p w14:paraId="34DD0234" w14:textId="77777777" w:rsidR="002B4072" w:rsidRPr="00687DE8" w:rsidRDefault="002B4072" w:rsidP="002B4072">
            <w:pPr>
              <w:spacing w:after="0" w:line="240" w:lineRule="auto"/>
              <w:jc w:val="center"/>
              <w:rPr>
                <w:szCs w:val="24"/>
                <w:lang w:eastAsia="et-EE"/>
              </w:rPr>
            </w:pPr>
            <w:r w:rsidRPr="00687DE8">
              <w:rPr>
                <w:szCs w:val="24"/>
                <w:lang w:eastAsia="et-EE"/>
              </w:rPr>
              <w:t>52641</w:t>
            </w:r>
          </w:p>
        </w:tc>
        <w:tc>
          <w:tcPr>
            <w:tcW w:w="1675" w:type="dxa"/>
            <w:tcBorders>
              <w:top w:val="nil"/>
              <w:left w:val="single" w:sz="4" w:space="0" w:color="auto"/>
              <w:bottom w:val="single" w:sz="4" w:space="0" w:color="auto"/>
              <w:right w:val="single" w:sz="4" w:space="0" w:color="auto"/>
            </w:tcBorders>
            <w:noWrap/>
            <w:vAlign w:val="center"/>
            <w:hideMark/>
          </w:tcPr>
          <w:p w14:paraId="0FECC48B" w14:textId="4DF605CD" w:rsidR="6548D475" w:rsidRPr="00687DE8" w:rsidRDefault="00176111">
            <w:pPr>
              <w:spacing w:after="0"/>
              <w:jc w:val="center"/>
              <w:rPr>
                <w:color w:val="000000" w:themeColor="text1"/>
                <w:szCs w:val="24"/>
              </w:rPr>
            </w:pPr>
            <w:r>
              <w:rPr>
                <w:color w:val="000000"/>
              </w:rPr>
              <w:t>116,81</w:t>
            </w:r>
          </w:p>
        </w:tc>
      </w:tr>
      <w:tr w:rsidR="002B4072" w:rsidRPr="00687DE8" w14:paraId="34B87CF1"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10569661" w14:textId="77777777" w:rsidR="002B4072" w:rsidRPr="00687DE8" w:rsidRDefault="002B4072" w:rsidP="002B4072">
            <w:pPr>
              <w:spacing w:after="0" w:line="240" w:lineRule="auto"/>
              <w:rPr>
                <w:szCs w:val="24"/>
                <w:lang w:eastAsia="et-EE"/>
              </w:rPr>
            </w:pPr>
            <w:r w:rsidRPr="00687DE8">
              <w:rPr>
                <w:szCs w:val="24"/>
                <w:lang w:eastAsia="et-EE"/>
              </w:rPr>
              <w:t>Nupp koos paigaldusega hambale</w:t>
            </w:r>
          </w:p>
        </w:tc>
        <w:tc>
          <w:tcPr>
            <w:tcW w:w="1923" w:type="dxa"/>
            <w:tcBorders>
              <w:top w:val="nil"/>
              <w:left w:val="nil"/>
              <w:bottom w:val="single" w:sz="4" w:space="0" w:color="auto"/>
              <w:right w:val="single" w:sz="4" w:space="0" w:color="auto"/>
            </w:tcBorders>
            <w:noWrap/>
            <w:vAlign w:val="bottom"/>
            <w:hideMark/>
          </w:tcPr>
          <w:p w14:paraId="64D3AECC" w14:textId="77777777" w:rsidR="002B4072" w:rsidRPr="00687DE8" w:rsidRDefault="002B4072" w:rsidP="002B4072">
            <w:pPr>
              <w:spacing w:after="0" w:line="240" w:lineRule="auto"/>
              <w:jc w:val="center"/>
              <w:rPr>
                <w:szCs w:val="24"/>
                <w:lang w:eastAsia="et-EE"/>
              </w:rPr>
            </w:pPr>
            <w:r w:rsidRPr="00687DE8">
              <w:rPr>
                <w:szCs w:val="24"/>
                <w:lang w:eastAsia="et-EE"/>
              </w:rPr>
              <w:t>52650</w:t>
            </w:r>
          </w:p>
        </w:tc>
        <w:tc>
          <w:tcPr>
            <w:tcW w:w="1675" w:type="dxa"/>
            <w:tcBorders>
              <w:top w:val="nil"/>
              <w:left w:val="single" w:sz="4" w:space="0" w:color="auto"/>
              <w:bottom w:val="single" w:sz="4" w:space="0" w:color="auto"/>
              <w:right w:val="single" w:sz="4" w:space="0" w:color="auto"/>
            </w:tcBorders>
            <w:noWrap/>
            <w:vAlign w:val="center"/>
            <w:hideMark/>
          </w:tcPr>
          <w:p w14:paraId="3DF33F97" w14:textId="72497657" w:rsidR="6548D475" w:rsidRPr="00687DE8" w:rsidRDefault="00176111">
            <w:pPr>
              <w:spacing w:after="0"/>
              <w:jc w:val="center"/>
              <w:rPr>
                <w:color w:val="000000" w:themeColor="text1"/>
                <w:szCs w:val="24"/>
              </w:rPr>
            </w:pPr>
            <w:r>
              <w:rPr>
                <w:color w:val="000000"/>
              </w:rPr>
              <w:t>16,91</w:t>
            </w:r>
          </w:p>
        </w:tc>
      </w:tr>
      <w:tr w:rsidR="002B4072" w:rsidRPr="00687DE8" w14:paraId="6F649B8E"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249E08F0" w14:textId="77777777" w:rsidR="002B4072" w:rsidRPr="00687DE8" w:rsidRDefault="002B4072" w:rsidP="002B4072">
            <w:pPr>
              <w:spacing w:after="0" w:line="240" w:lineRule="auto"/>
              <w:rPr>
                <w:szCs w:val="24"/>
                <w:lang w:eastAsia="et-EE"/>
              </w:rPr>
            </w:pPr>
            <w:r w:rsidRPr="00687DE8">
              <w:rPr>
                <w:szCs w:val="24"/>
                <w:lang w:eastAsia="et-EE"/>
              </w:rPr>
              <w:t>Üks breket koos kinnitamisega</w:t>
            </w:r>
          </w:p>
        </w:tc>
        <w:tc>
          <w:tcPr>
            <w:tcW w:w="1923" w:type="dxa"/>
            <w:tcBorders>
              <w:top w:val="nil"/>
              <w:left w:val="nil"/>
              <w:bottom w:val="single" w:sz="4" w:space="0" w:color="auto"/>
              <w:right w:val="single" w:sz="4" w:space="0" w:color="auto"/>
            </w:tcBorders>
            <w:noWrap/>
            <w:vAlign w:val="bottom"/>
            <w:hideMark/>
          </w:tcPr>
          <w:p w14:paraId="5DC99B6E" w14:textId="77777777" w:rsidR="002B4072" w:rsidRPr="00687DE8" w:rsidRDefault="002B4072" w:rsidP="002B4072">
            <w:pPr>
              <w:spacing w:after="0" w:line="240" w:lineRule="auto"/>
              <w:jc w:val="center"/>
              <w:rPr>
                <w:szCs w:val="24"/>
                <w:lang w:eastAsia="et-EE"/>
              </w:rPr>
            </w:pPr>
            <w:r w:rsidRPr="00687DE8">
              <w:rPr>
                <w:szCs w:val="24"/>
                <w:lang w:eastAsia="et-EE"/>
              </w:rPr>
              <w:t>52651</w:t>
            </w:r>
          </w:p>
        </w:tc>
        <w:tc>
          <w:tcPr>
            <w:tcW w:w="1675" w:type="dxa"/>
            <w:tcBorders>
              <w:top w:val="nil"/>
              <w:left w:val="single" w:sz="4" w:space="0" w:color="auto"/>
              <w:bottom w:val="single" w:sz="4" w:space="0" w:color="auto"/>
              <w:right w:val="single" w:sz="4" w:space="0" w:color="auto"/>
            </w:tcBorders>
            <w:noWrap/>
            <w:vAlign w:val="center"/>
            <w:hideMark/>
          </w:tcPr>
          <w:p w14:paraId="56254CE1" w14:textId="074DE4E4" w:rsidR="6548D475" w:rsidRPr="00687DE8" w:rsidRDefault="00176111">
            <w:pPr>
              <w:spacing w:after="0"/>
              <w:jc w:val="center"/>
              <w:rPr>
                <w:color w:val="000000" w:themeColor="text1"/>
                <w:szCs w:val="24"/>
              </w:rPr>
            </w:pPr>
            <w:r>
              <w:rPr>
                <w:color w:val="000000"/>
              </w:rPr>
              <w:t>24,40</w:t>
            </w:r>
          </w:p>
        </w:tc>
      </w:tr>
      <w:tr w:rsidR="002B4072" w:rsidRPr="00687DE8" w14:paraId="74C0CDE2"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01B090A6" w14:textId="77777777" w:rsidR="002B4072" w:rsidRPr="00687DE8" w:rsidRDefault="002B4072" w:rsidP="002B4072">
            <w:pPr>
              <w:spacing w:after="0" w:line="240" w:lineRule="auto"/>
              <w:rPr>
                <w:szCs w:val="24"/>
                <w:lang w:eastAsia="et-EE"/>
              </w:rPr>
            </w:pPr>
            <w:r w:rsidRPr="00687DE8">
              <w:rPr>
                <w:szCs w:val="24"/>
                <w:lang w:eastAsia="et-EE"/>
              </w:rPr>
              <w:t>Üks kaar koos fikseerimisega</w:t>
            </w:r>
          </w:p>
        </w:tc>
        <w:tc>
          <w:tcPr>
            <w:tcW w:w="1923" w:type="dxa"/>
            <w:tcBorders>
              <w:top w:val="nil"/>
              <w:left w:val="nil"/>
              <w:bottom w:val="single" w:sz="4" w:space="0" w:color="auto"/>
              <w:right w:val="single" w:sz="4" w:space="0" w:color="auto"/>
            </w:tcBorders>
            <w:noWrap/>
            <w:vAlign w:val="bottom"/>
            <w:hideMark/>
          </w:tcPr>
          <w:p w14:paraId="6DA9DFBB" w14:textId="77777777" w:rsidR="002B4072" w:rsidRPr="00687DE8" w:rsidRDefault="002B4072" w:rsidP="002B4072">
            <w:pPr>
              <w:spacing w:after="0" w:line="240" w:lineRule="auto"/>
              <w:jc w:val="center"/>
              <w:rPr>
                <w:szCs w:val="24"/>
                <w:lang w:eastAsia="et-EE"/>
              </w:rPr>
            </w:pPr>
            <w:r w:rsidRPr="00687DE8">
              <w:rPr>
                <w:szCs w:val="24"/>
                <w:lang w:eastAsia="et-EE"/>
              </w:rPr>
              <w:t>52652</w:t>
            </w:r>
          </w:p>
        </w:tc>
        <w:tc>
          <w:tcPr>
            <w:tcW w:w="1675" w:type="dxa"/>
            <w:tcBorders>
              <w:top w:val="nil"/>
              <w:left w:val="single" w:sz="4" w:space="0" w:color="auto"/>
              <w:bottom w:val="single" w:sz="4" w:space="0" w:color="auto"/>
              <w:right w:val="single" w:sz="4" w:space="0" w:color="auto"/>
            </w:tcBorders>
            <w:noWrap/>
            <w:vAlign w:val="center"/>
            <w:hideMark/>
          </w:tcPr>
          <w:p w14:paraId="6ACF9EE3" w14:textId="5252A6EA" w:rsidR="6548D475" w:rsidRPr="00687DE8" w:rsidRDefault="00176111">
            <w:pPr>
              <w:spacing w:after="0"/>
              <w:jc w:val="center"/>
              <w:rPr>
                <w:color w:val="000000" w:themeColor="text1"/>
                <w:szCs w:val="24"/>
              </w:rPr>
            </w:pPr>
            <w:r>
              <w:rPr>
                <w:color w:val="000000"/>
              </w:rPr>
              <w:t>29,87</w:t>
            </w:r>
          </w:p>
        </w:tc>
      </w:tr>
      <w:tr w:rsidR="002B4072" w:rsidRPr="00687DE8" w14:paraId="01142FDF" w14:textId="77777777" w:rsidTr="00EB7A71">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23A75BBA" w14:textId="77777777" w:rsidR="002B4072" w:rsidRPr="00687DE8" w:rsidRDefault="002B4072" w:rsidP="002B4072">
            <w:pPr>
              <w:spacing w:after="0" w:line="240" w:lineRule="auto"/>
              <w:rPr>
                <w:szCs w:val="24"/>
                <w:lang w:eastAsia="et-EE"/>
              </w:rPr>
            </w:pPr>
            <w:r w:rsidRPr="00687DE8">
              <w:rPr>
                <w:szCs w:val="24"/>
                <w:lang w:eastAsia="et-EE"/>
              </w:rPr>
              <w:t>Üks keerukas kaar koos fikseerimisega</w:t>
            </w:r>
          </w:p>
        </w:tc>
        <w:tc>
          <w:tcPr>
            <w:tcW w:w="1923" w:type="dxa"/>
            <w:tcBorders>
              <w:top w:val="nil"/>
              <w:left w:val="nil"/>
              <w:bottom w:val="single" w:sz="4" w:space="0" w:color="auto"/>
              <w:right w:val="single" w:sz="4" w:space="0" w:color="auto"/>
            </w:tcBorders>
            <w:noWrap/>
            <w:vAlign w:val="bottom"/>
            <w:hideMark/>
          </w:tcPr>
          <w:p w14:paraId="6676B586" w14:textId="77777777" w:rsidR="002B4072" w:rsidRPr="00687DE8" w:rsidRDefault="002B4072" w:rsidP="002B4072">
            <w:pPr>
              <w:spacing w:after="0" w:line="240" w:lineRule="auto"/>
              <w:jc w:val="center"/>
              <w:rPr>
                <w:szCs w:val="24"/>
                <w:lang w:eastAsia="et-EE"/>
              </w:rPr>
            </w:pPr>
            <w:r w:rsidRPr="00687DE8">
              <w:rPr>
                <w:szCs w:val="24"/>
                <w:lang w:eastAsia="et-EE"/>
              </w:rPr>
              <w:t>52653</w:t>
            </w:r>
          </w:p>
        </w:tc>
        <w:tc>
          <w:tcPr>
            <w:tcW w:w="1675" w:type="dxa"/>
            <w:tcBorders>
              <w:top w:val="nil"/>
              <w:left w:val="single" w:sz="4" w:space="0" w:color="auto"/>
              <w:bottom w:val="single" w:sz="4" w:space="0" w:color="auto"/>
              <w:right w:val="single" w:sz="4" w:space="0" w:color="auto"/>
            </w:tcBorders>
            <w:noWrap/>
            <w:vAlign w:val="center"/>
            <w:hideMark/>
          </w:tcPr>
          <w:p w14:paraId="341AAFD8" w14:textId="47DA3FAA" w:rsidR="6548D475" w:rsidRPr="00687DE8" w:rsidRDefault="00176111">
            <w:pPr>
              <w:spacing w:after="0"/>
              <w:jc w:val="center"/>
              <w:rPr>
                <w:color w:val="000000" w:themeColor="text1"/>
                <w:szCs w:val="24"/>
              </w:rPr>
            </w:pPr>
            <w:r>
              <w:rPr>
                <w:color w:val="000000"/>
              </w:rPr>
              <w:t>45,24</w:t>
            </w:r>
          </w:p>
        </w:tc>
      </w:tr>
      <w:tr w:rsidR="002B4072" w:rsidRPr="00687DE8" w14:paraId="5768BFDD" w14:textId="77777777" w:rsidTr="001B10F9">
        <w:trPr>
          <w:divId w:val="1316184749"/>
          <w:trHeight w:val="70"/>
        </w:trPr>
        <w:tc>
          <w:tcPr>
            <w:tcW w:w="5757" w:type="dxa"/>
            <w:tcBorders>
              <w:top w:val="nil"/>
              <w:left w:val="single" w:sz="4" w:space="0" w:color="auto"/>
              <w:bottom w:val="single" w:sz="4" w:space="0" w:color="auto"/>
              <w:right w:val="single" w:sz="4" w:space="0" w:color="auto"/>
            </w:tcBorders>
            <w:vAlign w:val="bottom"/>
            <w:hideMark/>
          </w:tcPr>
          <w:p w14:paraId="7E7D3AA0" w14:textId="77777777" w:rsidR="002B4072" w:rsidRPr="00687DE8" w:rsidRDefault="002B4072" w:rsidP="002B4072">
            <w:pPr>
              <w:spacing w:after="0" w:line="240" w:lineRule="auto"/>
              <w:rPr>
                <w:szCs w:val="24"/>
                <w:lang w:eastAsia="et-EE"/>
              </w:rPr>
            </w:pPr>
            <w:r w:rsidRPr="00687DE8">
              <w:rPr>
                <w:szCs w:val="24"/>
                <w:lang w:eastAsia="et-EE"/>
              </w:rPr>
              <w:t>Breketsüsteemi (ligatuuride) aktiveerimine ühel hambakaarel</w:t>
            </w:r>
          </w:p>
        </w:tc>
        <w:tc>
          <w:tcPr>
            <w:tcW w:w="1923" w:type="dxa"/>
            <w:tcBorders>
              <w:top w:val="nil"/>
              <w:left w:val="nil"/>
              <w:bottom w:val="single" w:sz="4" w:space="0" w:color="auto"/>
              <w:right w:val="single" w:sz="4" w:space="0" w:color="auto"/>
            </w:tcBorders>
            <w:noWrap/>
            <w:vAlign w:val="bottom"/>
            <w:hideMark/>
          </w:tcPr>
          <w:p w14:paraId="253F0A4F" w14:textId="77777777" w:rsidR="002B4072" w:rsidRPr="00687DE8" w:rsidRDefault="002B4072" w:rsidP="002B4072">
            <w:pPr>
              <w:spacing w:after="0" w:line="240" w:lineRule="auto"/>
              <w:jc w:val="center"/>
              <w:rPr>
                <w:szCs w:val="24"/>
                <w:lang w:eastAsia="et-EE"/>
              </w:rPr>
            </w:pPr>
            <w:r w:rsidRPr="00687DE8">
              <w:rPr>
                <w:szCs w:val="24"/>
                <w:lang w:eastAsia="et-EE"/>
              </w:rPr>
              <w:t>52654</w:t>
            </w:r>
          </w:p>
        </w:tc>
        <w:tc>
          <w:tcPr>
            <w:tcW w:w="1675" w:type="dxa"/>
            <w:tcBorders>
              <w:top w:val="nil"/>
              <w:left w:val="single" w:sz="4" w:space="0" w:color="auto"/>
              <w:bottom w:val="single" w:sz="4" w:space="0" w:color="auto"/>
              <w:right w:val="single" w:sz="4" w:space="0" w:color="auto"/>
            </w:tcBorders>
            <w:noWrap/>
            <w:vAlign w:val="center"/>
            <w:hideMark/>
          </w:tcPr>
          <w:p w14:paraId="70B37ED4" w14:textId="1AC942BD" w:rsidR="6548D475" w:rsidRPr="00687DE8" w:rsidRDefault="00176111">
            <w:pPr>
              <w:spacing w:after="0"/>
              <w:jc w:val="center"/>
              <w:rPr>
                <w:color w:val="000000" w:themeColor="text1"/>
                <w:szCs w:val="24"/>
              </w:rPr>
            </w:pPr>
            <w:r>
              <w:rPr>
                <w:color w:val="000000"/>
              </w:rPr>
              <w:t>37,72</w:t>
            </w:r>
          </w:p>
        </w:tc>
      </w:tr>
      <w:tr w:rsidR="002B4072" w:rsidRPr="00687DE8" w14:paraId="72F777DE"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689556ED" w14:textId="77777777" w:rsidR="002B4072" w:rsidRPr="00687DE8" w:rsidRDefault="002B4072" w:rsidP="002B4072">
            <w:pPr>
              <w:spacing w:after="0" w:line="240" w:lineRule="auto"/>
              <w:rPr>
                <w:szCs w:val="24"/>
                <w:lang w:eastAsia="et-EE"/>
              </w:rPr>
            </w:pPr>
            <w:r w:rsidRPr="00687DE8">
              <w:rPr>
                <w:szCs w:val="24"/>
                <w:lang w:eastAsia="et-EE"/>
              </w:rPr>
              <w:t>Konks kaarele koos paigaldusega</w:t>
            </w:r>
          </w:p>
        </w:tc>
        <w:tc>
          <w:tcPr>
            <w:tcW w:w="1923" w:type="dxa"/>
            <w:tcBorders>
              <w:top w:val="nil"/>
              <w:left w:val="nil"/>
              <w:bottom w:val="single" w:sz="4" w:space="0" w:color="auto"/>
              <w:right w:val="single" w:sz="4" w:space="0" w:color="auto"/>
            </w:tcBorders>
            <w:noWrap/>
            <w:vAlign w:val="bottom"/>
            <w:hideMark/>
          </w:tcPr>
          <w:p w14:paraId="4434B38A" w14:textId="77777777" w:rsidR="002B4072" w:rsidRPr="00687DE8" w:rsidRDefault="002B4072" w:rsidP="002B4072">
            <w:pPr>
              <w:spacing w:after="0" w:line="240" w:lineRule="auto"/>
              <w:jc w:val="center"/>
              <w:rPr>
                <w:szCs w:val="24"/>
                <w:lang w:eastAsia="et-EE"/>
              </w:rPr>
            </w:pPr>
            <w:r w:rsidRPr="00687DE8">
              <w:rPr>
                <w:szCs w:val="24"/>
                <w:lang w:eastAsia="et-EE"/>
              </w:rPr>
              <w:t>52655</w:t>
            </w:r>
          </w:p>
        </w:tc>
        <w:tc>
          <w:tcPr>
            <w:tcW w:w="1675" w:type="dxa"/>
            <w:tcBorders>
              <w:top w:val="nil"/>
              <w:left w:val="single" w:sz="4" w:space="0" w:color="auto"/>
              <w:bottom w:val="single" w:sz="4" w:space="0" w:color="auto"/>
              <w:right w:val="single" w:sz="4" w:space="0" w:color="auto"/>
            </w:tcBorders>
            <w:noWrap/>
            <w:vAlign w:val="center"/>
            <w:hideMark/>
          </w:tcPr>
          <w:p w14:paraId="52E0EDB3" w14:textId="3612084E" w:rsidR="6548D475" w:rsidRPr="00687DE8" w:rsidRDefault="00176111">
            <w:pPr>
              <w:spacing w:after="0"/>
              <w:jc w:val="center"/>
              <w:rPr>
                <w:color w:val="000000" w:themeColor="text1"/>
                <w:szCs w:val="24"/>
              </w:rPr>
            </w:pPr>
            <w:r>
              <w:rPr>
                <w:color w:val="000000"/>
              </w:rPr>
              <w:t>13,42</w:t>
            </w:r>
          </w:p>
        </w:tc>
      </w:tr>
      <w:tr w:rsidR="002B4072" w:rsidRPr="00687DE8" w14:paraId="38281D3A"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1ABE7729" w14:textId="77777777" w:rsidR="002B4072" w:rsidRPr="00687DE8" w:rsidRDefault="002B4072" w:rsidP="002B4072">
            <w:pPr>
              <w:spacing w:after="0" w:line="240" w:lineRule="auto"/>
              <w:rPr>
                <w:szCs w:val="24"/>
                <w:lang w:eastAsia="et-EE"/>
              </w:rPr>
            </w:pPr>
            <w:r w:rsidRPr="00687DE8">
              <w:rPr>
                <w:szCs w:val="24"/>
                <w:lang w:eastAsia="et-EE"/>
              </w:rPr>
              <w:t>Vedru koos paigaldusega</w:t>
            </w:r>
          </w:p>
        </w:tc>
        <w:tc>
          <w:tcPr>
            <w:tcW w:w="1923" w:type="dxa"/>
            <w:tcBorders>
              <w:top w:val="nil"/>
              <w:left w:val="nil"/>
              <w:bottom w:val="single" w:sz="4" w:space="0" w:color="auto"/>
              <w:right w:val="single" w:sz="4" w:space="0" w:color="auto"/>
            </w:tcBorders>
            <w:noWrap/>
            <w:vAlign w:val="bottom"/>
            <w:hideMark/>
          </w:tcPr>
          <w:p w14:paraId="17EE2EF2" w14:textId="77777777" w:rsidR="002B4072" w:rsidRPr="00687DE8" w:rsidRDefault="002B4072" w:rsidP="002B4072">
            <w:pPr>
              <w:spacing w:after="0" w:line="240" w:lineRule="auto"/>
              <w:jc w:val="center"/>
              <w:rPr>
                <w:szCs w:val="24"/>
                <w:lang w:eastAsia="et-EE"/>
              </w:rPr>
            </w:pPr>
            <w:r w:rsidRPr="00687DE8">
              <w:rPr>
                <w:szCs w:val="24"/>
                <w:lang w:eastAsia="et-EE"/>
              </w:rPr>
              <w:t>52656</w:t>
            </w:r>
          </w:p>
        </w:tc>
        <w:tc>
          <w:tcPr>
            <w:tcW w:w="1675" w:type="dxa"/>
            <w:tcBorders>
              <w:top w:val="nil"/>
              <w:left w:val="single" w:sz="4" w:space="0" w:color="auto"/>
              <w:bottom w:val="single" w:sz="4" w:space="0" w:color="auto"/>
              <w:right w:val="single" w:sz="4" w:space="0" w:color="auto"/>
            </w:tcBorders>
            <w:noWrap/>
            <w:vAlign w:val="center"/>
            <w:hideMark/>
          </w:tcPr>
          <w:p w14:paraId="4F8CF6EB" w14:textId="6CD5624A" w:rsidR="6548D475" w:rsidRPr="00687DE8" w:rsidRDefault="00176111">
            <w:pPr>
              <w:spacing w:after="0"/>
              <w:jc w:val="center"/>
              <w:rPr>
                <w:color w:val="000000" w:themeColor="text1"/>
                <w:szCs w:val="24"/>
              </w:rPr>
            </w:pPr>
            <w:r>
              <w:rPr>
                <w:color w:val="000000"/>
              </w:rPr>
              <w:t>16,65</w:t>
            </w:r>
          </w:p>
        </w:tc>
      </w:tr>
      <w:tr w:rsidR="002B4072" w:rsidRPr="00687DE8" w14:paraId="24023550"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75F61F12" w14:textId="77777777" w:rsidR="002B4072" w:rsidRPr="00687DE8" w:rsidRDefault="002B4072" w:rsidP="002B4072">
            <w:pPr>
              <w:spacing w:after="0" w:line="240" w:lineRule="auto"/>
              <w:rPr>
                <w:szCs w:val="24"/>
                <w:lang w:eastAsia="et-EE"/>
              </w:rPr>
            </w:pPr>
            <w:r w:rsidRPr="00687DE8">
              <w:rPr>
                <w:szCs w:val="24"/>
                <w:lang w:eastAsia="et-EE"/>
              </w:rPr>
              <w:t>Hambumuse tõstmine kõrgendusega ühe hamba ulatuses</w:t>
            </w:r>
          </w:p>
        </w:tc>
        <w:tc>
          <w:tcPr>
            <w:tcW w:w="1923" w:type="dxa"/>
            <w:tcBorders>
              <w:top w:val="nil"/>
              <w:left w:val="nil"/>
              <w:bottom w:val="single" w:sz="4" w:space="0" w:color="auto"/>
              <w:right w:val="single" w:sz="4" w:space="0" w:color="auto"/>
            </w:tcBorders>
            <w:noWrap/>
            <w:vAlign w:val="bottom"/>
            <w:hideMark/>
          </w:tcPr>
          <w:p w14:paraId="7E12F00B" w14:textId="77777777" w:rsidR="002B4072" w:rsidRPr="00687DE8" w:rsidRDefault="002B4072" w:rsidP="002B4072">
            <w:pPr>
              <w:spacing w:after="0" w:line="240" w:lineRule="auto"/>
              <w:jc w:val="center"/>
              <w:rPr>
                <w:szCs w:val="24"/>
                <w:lang w:eastAsia="et-EE"/>
              </w:rPr>
            </w:pPr>
            <w:r w:rsidRPr="00687DE8">
              <w:rPr>
                <w:szCs w:val="24"/>
                <w:lang w:eastAsia="et-EE"/>
              </w:rPr>
              <w:t>52660</w:t>
            </w:r>
          </w:p>
        </w:tc>
        <w:tc>
          <w:tcPr>
            <w:tcW w:w="1675" w:type="dxa"/>
            <w:tcBorders>
              <w:top w:val="nil"/>
              <w:left w:val="single" w:sz="4" w:space="0" w:color="auto"/>
              <w:bottom w:val="single" w:sz="4" w:space="0" w:color="auto"/>
              <w:right w:val="single" w:sz="4" w:space="0" w:color="auto"/>
            </w:tcBorders>
            <w:noWrap/>
            <w:vAlign w:val="center"/>
            <w:hideMark/>
          </w:tcPr>
          <w:p w14:paraId="69C6BE3C" w14:textId="51289570" w:rsidR="6548D475" w:rsidRPr="00687DE8" w:rsidRDefault="00176111">
            <w:pPr>
              <w:spacing w:after="0"/>
              <w:jc w:val="center"/>
              <w:rPr>
                <w:color w:val="000000" w:themeColor="text1"/>
                <w:szCs w:val="24"/>
              </w:rPr>
            </w:pPr>
            <w:r>
              <w:rPr>
                <w:color w:val="000000"/>
              </w:rPr>
              <w:t>14,43</w:t>
            </w:r>
          </w:p>
        </w:tc>
      </w:tr>
      <w:tr w:rsidR="002B4072" w:rsidRPr="00687DE8" w14:paraId="3BEB7656" w14:textId="77777777" w:rsidTr="001B10F9">
        <w:trPr>
          <w:divId w:val="1316184749"/>
          <w:trHeight w:val="345"/>
        </w:trPr>
        <w:tc>
          <w:tcPr>
            <w:tcW w:w="5757" w:type="dxa"/>
            <w:tcBorders>
              <w:top w:val="nil"/>
              <w:left w:val="single" w:sz="4" w:space="0" w:color="auto"/>
              <w:bottom w:val="single" w:sz="4" w:space="0" w:color="auto"/>
              <w:right w:val="single" w:sz="4" w:space="0" w:color="auto"/>
            </w:tcBorders>
            <w:vAlign w:val="bottom"/>
            <w:hideMark/>
          </w:tcPr>
          <w:p w14:paraId="03C3F2AB" w14:textId="77777777" w:rsidR="002B4072" w:rsidRPr="00687DE8" w:rsidRDefault="002B4072" w:rsidP="002B4072">
            <w:pPr>
              <w:spacing w:after="0" w:line="240" w:lineRule="auto"/>
              <w:rPr>
                <w:szCs w:val="24"/>
                <w:lang w:eastAsia="et-EE"/>
              </w:rPr>
            </w:pPr>
            <w:r w:rsidRPr="00687DE8">
              <w:rPr>
                <w:szCs w:val="24"/>
                <w:lang w:eastAsia="et-EE"/>
              </w:rPr>
              <w:t>Reteineri kinnitamine eelnevalt töödeldud hambale ühe hamba ulatuses</w:t>
            </w:r>
          </w:p>
        </w:tc>
        <w:tc>
          <w:tcPr>
            <w:tcW w:w="1923" w:type="dxa"/>
            <w:tcBorders>
              <w:top w:val="nil"/>
              <w:left w:val="nil"/>
              <w:bottom w:val="single" w:sz="4" w:space="0" w:color="auto"/>
              <w:right w:val="single" w:sz="4" w:space="0" w:color="auto"/>
            </w:tcBorders>
            <w:noWrap/>
            <w:vAlign w:val="bottom"/>
            <w:hideMark/>
          </w:tcPr>
          <w:p w14:paraId="0F412ADE" w14:textId="77777777" w:rsidR="002B4072" w:rsidRPr="00687DE8" w:rsidRDefault="002B4072" w:rsidP="002B4072">
            <w:pPr>
              <w:spacing w:after="0" w:line="240" w:lineRule="auto"/>
              <w:jc w:val="center"/>
              <w:rPr>
                <w:szCs w:val="24"/>
                <w:lang w:eastAsia="et-EE"/>
              </w:rPr>
            </w:pPr>
            <w:r w:rsidRPr="00687DE8">
              <w:rPr>
                <w:szCs w:val="24"/>
                <w:lang w:eastAsia="et-EE"/>
              </w:rPr>
              <w:t>52661</w:t>
            </w:r>
          </w:p>
        </w:tc>
        <w:tc>
          <w:tcPr>
            <w:tcW w:w="1675" w:type="dxa"/>
            <w:tcBorders>
              <w:top w:val="nil"/>
              <w:left w:val="single" w:sz="4" w:space="0" w:color="auto"/>
              <w:bottom w:val="single" w:sz="4" w:space="0" w:color="auto"/>
              <w:right w:val="single" w:sz="4" w:space="0" w:color="auto"/>
            </w:tcBorders>
            <w:noWrap/>
            <w:vAlign w:val="center"/>
            <w:hideMark/>
          </w:tcPr>
          <w:p w14:paraId="0345D3A4" w14:textId="1CF9BA8A" w:rsidR="6548D475" w:rsidRPr="00687DE8" w:rsidRDefault="00176111">
            <w:pPr>
              <w:spacing w:after="0"/>
              <w:jc w:val="center"/>
              <w:rPr>
                <w:color w:val="000000" w:themeColor="text1"/>
                <w:szCs w:val="24"/>
              </w:rPr>
            </w:pPr>
            <w:r>
              <w:rPr>
                <w:color w:val="000000"/>
              </w:rPr>
              <w:t>8,88</w:t>
            </w:r>
          </w:p>
        </w:tc>
      </w:tr>
      <w:tr w:rsidR="002B4072" w:rsidRPr="00687DE8" w14:paraId="6577B592" w14:textId="77777777" w:rsidTr="001B10F9">
        <w:trPr>
          <w:divId w:val="1316184749"/>
          <w:trHeight w:val="312"/>
        </w:trPr>
        <w:tc>
          <w:tcPr>
            <w:tcW w:w="5757" w:type="dxa"/>
            <w:tcBorders>
              <w:top w:val="nil"/>
              <w:left w:val="single" w:sz="4" w:space="0" w:color="auto"/>
              <w:bottom w:val="single" w:sz="4" w:space="0" w:color="auto"/>
              <w:right w:val="single" w:sz="4" w:space="0" w:color="auto"/>
            </w:tcBorders>
            <w:vAlign w:val="bottom"/>
            <w:hideMark/>
          </w:tcPr>
          <w:p w14:paraId="5327A4E5" w14:textId="77777777" w:rsidR="002B4072" w:rsidRPr="00687DE8" w:rsidRDefault="002B4072" w:rsidP="002B4072">
            <w:pPr>
              <w:spacing w:after="0" w:line="240" w:lineRule="auto"/>
              <w:rPr>
                <w:szCs w:val="24"/>
                <w:lang w:eastAsia="et-EE"/>
              </w:rPr>
            </w:pPr>
            <w:r w:rsidRPr="00687DE8">
              <w:rPr>
                <w:szCs w:val="24"/>
                <w:lang w:eastAsia="et-EE"/>
              </w:rPr>
              <w:t>Keerukas ortodontiline aparaat koos paigaldusega</w:t>
            </w:r>
          </w:p>
        </w:tc>
        <w:tc>
          <w:tcPr>
            <w:tcW w:w="1923" w:type="dxa"/>
            <w:tcBorders>
              <w:top w:val="nil"/>
              <w:left w:val="nil"/>
              <w:bottom w:val="single" w:sz="4" w:space="0" w:color="auto"/>
              <w:right w:val="single" w:sz="4" w:space="0" w:color="auto"/>
            </w:tcBorders>
            <w:noWrap/>
            <w:vAlign w:val="bottom"/>
            <w:hideMark/>
          </w:tcPr>
          <w:p w14:paraId="32EDD55C" w14:textId="77777777" w:rsidR="002B4072" w:rsidRPr="00687DE8" w:rsidRDefault="002B4072" w:rsidP="002B4072">
            <w:pPr>
              <w:spacing w:after="0" w:line="240" w:lineRule="auto"/>
              <w:jc w:val="center"/>
              <w:rPr>
                <w:szCs w:val="24"/>
                <w:lang w:eastAsia="et-EE"/>
              </w:rPr>
            </w:pPr>
            <w:r w:rsidRPr="00687DE8">
              <w:rPr>
                <w:szCs w:val="24"/>
                <w:lang w:eastAsia="et-EE"/>
              </w:rPr>
              <w:t>52663</w:t>
            </w:r>
          </w:p>
        </w:tc>
        <w:tc>
          <w:tcPr>
            <w:tcW w:w="1675" w:type="dxa"/>
            <w:tcBorders>
              <w:top w:val="nil"/>
              <w:left w:val="single" w:sz="4" w:space="0" w:color="auto"/>
              <w:bottom w:val="single" w:sz="4" w:space="0" w:color="auto"/>
              <w:right w:val="single" w:sz="4" w:space="0" w:color="auto"/>
            </w:tcBorders>
            <w:noWrap/>
            <w:vAlign w:val="center"/>
            <w:hideMark/>
          </w:tcPr>
          <w:p w14:paraId="205C815B" w14:textId="3375F33C" w:rsidR="6548D475" w:rsidRPr="00687DE8" w:rsidRDefault="00176111">
            <w:pPr>
              <w:spacing w:after="0"/>
              <w:jc w:val="center"/>
              <w:rPr>
                <w:color w:val="000000" w:themeColor="text1"/>
                <w:szCs w:val="24"/>
              </w:rPr>
            </w:pPr>
            <w:r>
              <w:rPr>
                <w:color w:val="000000"/>
              </w:rPr>
              <w:t>111,55</w:t>
            </w:r>
          </w:p>
        </w:tc>
      </w:tr>
      <w:tr w:rsidR="002B4072" w:rsidRPr="00687DE8" w14:paraId="3590DE0E" w14:textId="77777777" w:rsidTr="001B10F9">
        <w:trPr>
          <w:divId w:val="1316184749"/>
          <w:trHeight w:val="312"/>
        </w:trPr>
        <w:tc>
          <w:tcPr>
            <w:tcW w:w="5757" w:type="dxa"/>
            <w:tcBorders>
              <w:top w:val="single" w:sz="4" w:space="0" w:color="auto"/>
              <w:left w:val="single" w:sz="4" w:space="0" w:color="auto"/>
              <w:bottom w:val="single" w:sz="4" w:space="0" w:color="auto"/>
              <w:right w:val="single" w:sz="4" w:space="0" w:color="auto"/>
            </w:tcBorders>
            <w:vAlign w:val="bottom"/>
            <w:hideMark/>
          </w:tcPr>
          <w:p w14:paraId="3C7D932E" w14:textId="77777777" w:rsidR="002B4072" w:rsidRPr="00687DE8" w:rsidRDefault="002B4072" w:rsidP="002B4072">
            <w:pPr>
              <w:spacing w:after="0" w:line="240" w:lineRule="auto"/>
              <w:rPr>
                <w:szCs w:val="24"/>
                <w:lang w:eastAsia="et-EE"/>
              </w:rPr>
            </w:pPr>
            <w:r w:rsidRPr="00687DE8">
              <w:rPr>
                <w:szCs w:val="24"/>
                <w:lang w:eastAsia="et-EE"/>
              </w:rPr>
              <w:t>Intra- või ekstraoraalsed kummisikutid koos kandmisjuhisega</w:t>
            </w:r>
          </w:p>
        </w:tc>
        <w:tc>
          <w:tcPr>
            <w:tcW w:w="1923" w:type="dxa"/>
            <w:tcBorders>
              <w:top w:val="single" w:sz="4" w:space="0" w:color="auto"/>
              <w:left w:val="nil"/>
              <w:bottom w:val="single" w:sz="4" w:space="0" w:color="auto"/>
              <w:right w:val="single" w:sz="4" w:space="0" w:color="auto"/>
            </w:tcBorders>
            <w:noWrap/>
            <w:vAlign w:val="bottom"/>
            <w:hideMark/>
          </w:tcPr>
          <w:p w14:paraId="38843031" w14:textId="50D06612" w:rsidR="002B4072" w:rsidRPr="00687DE8" w:rsidRDefault="002B4072" w:rsidP="002B4072">
            <w:pPr>
              <w:spacing w:after="0" w:line="240" w:lineRule="auto"/>
              <w:jc w:val="center"/>
              <w:rPr>
                <w:szCs w:val="24"/>
                <w:lang w:eastAsia="et-EE"/>
              </w:rPr>
            </w:pPr>
            <w:r w:rsidRPr="00687DE8">
              <w:rPr>
                <w:szCs w:val="24"/>
                <w:lang w:eastAsia="et-EE"/>
              </w:rPr>
              <w:t>52664</w:t>
            </w:r>
          </w:p>
        </w:tc>
        <w:tc>
          <w:tcPr>
            <w:tcW w:w="1675" w:type="dxa"/>
            <w:tcBorders>
              <w:top w:val="nil"/>
              <w:left w:val="single" w:sz="4" w:space="0" w:color="auto"/>
              <w:bottom w:val="single" w:sz="4" w:space="0" w:color="auto"/>
              <w:right w:val="single" w:sz="4" w:space="0" w:color="auto"/>
            </w:tcBorders>
            <w:noWrap/>
            <w:vAlign w:val="center"/>
            <w:hideMark/>
          </w:tcPr>
          <w:p w14:paraId="199E8F7A" w14:textId="4F0119FD" w:rsidR="6548D475" w:rsidRPr="00687DE8" w:rsidRDefault="00176111">
            <w:pPr>
              <w:spacing w:after="0"/>
              <w:jc w:val="center"/>
              <w:rPr>
                <w:color w:val="000000" w:themeColor="text1"/>
                <w:szCs w:val="24"/>
              </w:rPr>
            </w:pPr>
            <w:r>
              <w:rPr>
                <w:color w:val="000000"/>
              </w:rPr>
              <w:t>9,45</w:t>
            </w:r>
          </w:p>
        </w:tc>
      </w:tr>
    </w:tbl>
    <w:p w14:paraId="472ADDD7" w14:textId="77777777" w:rsidR="00976487" w:rsidRPr="00687DE8" w:rsidRDefault="00976487" w:rsidP="00976487">
      <w:pPr>
        <w:pStyle w:val="Normaallaadveeb"/>
        <w:spacing w:before="0" w:after="0" w:afterAutospacing="0"/>
        <w:jc w:val="both"/>
        <w:divId w:val="1316184749"/>
      </w:pPr>
    </w:p>
    <w:p w14:paraId="528D66C8" w14:textId="77777777" w:rsidR="00976487" w:rsidRPr="00687DE8" w:rsidRDefault="00976487" w:rsidP="00976487">
      <w:pPr>
        <w:pStyle w:val="Normaallaadveeb"/>
        <w:spacing w:before="0" w:after="0" w:afterAutospacing="0"/>
        <w:jc w:val="both"/>
        <w:divId w:val="1316184749"/>
      </w:pPr>
      <w:r w:rsidRPr="00687DE8">
        <w:t xml:space="preserve">(2) </w:t>
      </w:r>
      <w:r w:rsidR="004C2050" w:rsidRPr="00687DE8">
        <w:t>L</w:t>
      </w:r>
      <w:r w:rsidRPr="00687DE8">
        <w:t>õikes 1 sätestatud piirhindu rakendatakse alla 19-aastaste isikute ortodontilisel ravil järgmiste diagnooside korral:</w:t>
      </w:r>
    </w:p>
    <w:p w14:paraId="15ACF328" w14:textId="77777777" w:rsidR="00976487" w:rsidRPr="00687DE8" w:rsidRDefault="00976487" w:rsidP="00976487">
      <w:pPr>
        <w:pStyle w:val="Normaallaadveeb"/>
        <w:spacing w:before="0" w:after="0" w:afterAutospacing="0"/>
        <w:jc w:val="both"/>
        <w:divId w:val="1316184749"/>
      </w:pPr>
      <w:r w:rsidRPr="00687DE8">
        <w:t>1)</w:t>
      </w:r>
      <w:r w:rsidRPr="00687DE8">
        <w:rPr>
          <w:rStyle w:val="tyhik"/>
        </w:rPr>
        <w:t xml:space="preserve"> </w:t>
      </w:r>
      <w:r w:rsidRPr="00687DE8">
        <w:t>prognaatne hambumus sagitaalse lahiga 9 mm ja enam;</w:t>
      </w:r>
    </w:p>
    <w:p w14:paraId="26F8F99C" w14:textId="77777777" w:rsidR="00976487" w:rsidRPr="00687DE8" w:rsidRDefault="00976487" w:rsidP="00976487">
      <w:pPr>
        <w:pStyle w:val="Normaallaadveeb"/>
        <w:spacing w:before="0" w:after="0" w:afterAutospacing="0"/>
        <w:jc w:val="both"/>
        <w:divId w:val="1316184749"/>
      </w:pPr>
      <w:r w:rsidRPr="00687DE8">
        <w:t>2)</w:t>
      </w:r>
      <w:r w:rsidRPr="00687DE8">
        <w:rPr>
          <w:rStyle w:val="tyhik"/>
        </w:rPr>
        <w:t xml:space="preserve"> </w:t>
      </w:r>
      <w:r w:rsidRPr="00687DE8">
        <w:t>progeenne hambumus;</w:t>
      </w:r>
    </w:p>
    <w:p w14:paraId="388C925D" w14:textId="77777777" w:rsidR="00976487" w:rsidRPr="00687DE8" w:rsidRDefault="00976487" w:rsidP="00976487">
      <w:pPr>
        <w:pStyle w:val="Normaallaadveeb"/>
        <w:spacing w:before="0" w:after="0" w:afterAutospacing="0"/>
        <w:jc w:val="both"/>
        <w:divId w:val="1316184749"/>
      </w:pPr>
      <w:r w:rsidRPr="00687DE8">
        <w:t>3)</w:t>
      </w:r>
      <w:r w:rsidRPr="00687DE8">
        <w:rPr>
          <w:rStyle w:val="tyhik"/>
        </w:rPr>
        <w:t xml:space="preserve"> </w:t>
      </w:r>
      <w:r w:rsidRPr="00687DE8">
        <w:t>lahihambumus, kui kontaktis on ainult molaarid;</w:t>
      </w:r>
    </w:p>
    <w:p w14:paraId="03D7D893" w14:textId="77777777" w:rsidR="00976487" w:rsidRPr="00687DE8" w:rsidRDefault="00976487" w:rsidP="00976487">
      <w:pPr>
        <w:pStyle w:val="Normaallaadveeb"/>
        <w:spacing w:before="0" w:after="0" w:afterAutospacing="0"/>
        <w:jc w:val="both"/>
        <w:divId w:val="1316184749"/>
      </w:pPr>
      <w:r w:rsidRPr="00687DE8">
        <w:t>4)</w:t>
      </w:r>
      <w:r w:rsidRPr="00687DE8">
        <w:rPr>
          <w:rStyle w:val="tyhik"/>
        </w:rPr>
        <w:t xml:space="preserve"> </w:t>
      </w:r>
      <w:r w:rsidRPr="00687DE8">
        <w:t>peetunud jäävintsisiivid või kaniinid;</w:t>
      </w:r>
    </w:p>
    <w:p w14:paraId="0A9C2A44" w14:textId="77777777" w:rsidR="00976487" w:rsidRPr="00687DE8" w:rsidRDefault="00976487" w:rsidP="00976487">
      <w:pPr>
        <w:pStyle w:val="Normaallaadveeb"/>
        <w:spacing w:before="0" w:after="0" w:afterAutospacing="0"/>
        <w:jc w:val="both"/>
        <w:divId w:val="1316184749"/>
      </w:pPr>
      <w:r w:rsidRPr="00687DE8">
        <w:t>5)</w:t>
      </w:r>
      <w:r w:rsidRPr="00687DE8">
        <w:rPr>
          <w:rStyle w:val="tyhik"/>
        </w:rPr>
        <w:t xml:space="preserve"> </w:t>
      </w:r>
      <w:r w:rsidRPr="00687DE8">
        <w:t>kui puudub intsisiiv, kaniin või rohkem kui üks hammas lõualuu kummalgi poolel;</w:t>
      </w:r>
    </w:p>
    <w:p w14:paraId="240E2249" w14:textId="77777777" w:rsidR="00976487" w:rsidRPr="00687DE8" w:rsidRDefault="00976487" w:rsidP="00976487">
      <w:pPr>
        <w:pStyle w:val="Normaallaadveeb"/>
        <w:spacing w:before="0" w:after="0" w:afterAutospacing="0"/>
        <w:jc w:val="both"/>
        <w:divId w:val="1316184749"/>
      </w:pPr>
      <w:r w:rsidRPr="00687DE8">
        <w:t>6)</w:t>
      </w:r>
      <w:r w:rsidRPr="00687DE8">
        <w:rPr>
          <w:rStyle w:val="tyhik"/>
        </w:rPr>
        <w:t xml:space="preserve"> </w:t>
      </w:r>
      <w:r w:rsidRPr="00687DE8">
        <w:t>huule-suulaelõhe ja muud näo-lõualuusüsteemi kaasasündinud väärarengud;</w:t>
      </w:r>
    </w:p>
    <w:p w14:paraId="4D460B1B" w14:textId="77777777" w:rsidR="00976487" w:rsidRPr="00687DE8" w:rsidRDefault="00976487" w:rsidP="00976487">
      <w:pPr>
        <w:pStyle w:val="Normaallaadveeb"/>
        <w:spacing w:before="0" w:after="0" w:afterAutospacing="0"/>
        <w:jc w:val="both"/>
        <w:divId w:val="1316184749"/>
      </w:pPr>
      <w:r w:rsidRPr="00687DE8">
        <w:t>7) hambumusanomaalia raske või keskmise raskusastmega obstruktiivse uneapnoe korral, juhul kui adenotonsillektoomia ja positiivne õhurõhuravi (CPAP) on osutunud ebaefektiivseks;</w:t>
      </w:r>
    </w:p>
    <w:p w14:paraId="1324FAAE" w14:textId="77777777" w:rsidR="00976487" w:rsidRPr="00687DE8" w:rsidRDefault="00976487" w:rsidP="00976487">
      <w:pPr>
        <w:pStyle w:val="Normaallaadveeb"/>
        <w:spacing w:before="0" w:after="0" w:afterAutospacing="0"/>
        <w:jc w:val="both"/>
        <w:divId w:val="1316184749"/>
      </w:pPr>
      <w:r w:rsidRPr="00687DE8">
        <w:t>8) sügav traumeeriv hambumus, mille korral alumised lõikehambad on otseses kontaktis limaskestaga;</w:t>
      </w:r>
    </w:p>
    <w:p w14:paraId="0CB19FF5" w14:textId="77777777" w:rsidR="00976487" w:rsidRPr="00687DE8" w:rsidRDefault="00976487" w:rsidP="00976487">
      <w:pPr>
        <w:pStyle w:val="Normaallaadveeb"/>
        <w:spacing w:before="0" w:after="0" w:afterAutospacing="0"/>
        <w:jc w:val="both"/>
        <w:divId w:val="1316184749"/>
      </w:pPr>
      <w:r w:rsidRPr="00687DE8">
        <w:lastRenderedPageBreak/>
        <w:t>9) külgmine risthambumus kolme ja enama hamba ulatuses lõualuu ühel poolel, mille korral on oluliselt häiritud näo sümmeetria ning lõualuude areng ja kasv.</w:t>
      </w:r>
    </w:p>
    <w:p w14:paraId="15523D11" w14:textId="77777777" w:rsidR="00976487" w:rsidRPr="00687DE8" w:rsidRDefault="00976487" w:rsidP="00976487">
      <w:pPr>
        <w:spacing w:after="0" w:line="240" w:lineRule="auto"/>
        <w:jc w:val="both"/>
        <w:divId w:val="1316184749"/>
        <w:rPr>
          <w:szCs w:val="24"/>
        </w:rPr>
      </w:pPr>
    </w:p>
    <w:p w14:paraId="0EFD7E75" w14:textId="77777777" w:rsidR="00976487" w:rsidRPr="00687DE8" w:rsidRDefault="00976487" w:rsidP="00976487">
      <w:pPr>
        <w:spacing w:after="0" w:line="240" w:lineRule="auto"/>
        <w:jc w:val="both"/>
        <w:divId w:val="1316184749"/>
        <w:rPr>
          <w:szCs w:val="24"/>
        </w:rPr>
      </w:pPr>
      <w:r w:rsidRPr="00687DE8">
        <w:rPr>
          <w:szCs w:val="24"/>
        </w:rPr>
        <w:t xml:space="preserve">(3) </w:t>
      </w:r>
      <w:r w:rsidR="004C2050" w:rsidRPr="00687DE8">
        <w:rPr>
          <w:szCs w:val="24"/>
        </w:rPr>
        <w:t>L</w:t>
      </w:r>
      <w:r w:rsidRPr="00687DE8">
        <w:rPr>
          <w:szCs w:val="24"/>
        </w:rPr>
        <w:t>õikes 2 sätestatud diagnoosi piiranguid ei rakendata alla 19-aastaste isikute diagnostika korral.</w:t>
      </w:r>
    </w:p>
    <w:p w14:paraId="2DE91AB5" w14:textId="77777777" w:rsidR="00976487" w:rsidRPr="00687DE8" w:rsidRDefault="00976487" w:rsidP="00976487">
      <w:pPr>
        <w:spacing w:after="0" w:line="240" w:lineRule="auto"/>
        <w:jc w:val="both"/>
        <w:divId w:val="1316184749"/>
        <w:rPr>
          <w:szCs w:val="24"/>
        </w:rPr>
      </w:pPr>
    </w:p>
    <w:p w14:paraId="62B2612D" w14:textId="77777777" w:rsidR="00976487" w:rsidRPr="00687DE8" w:rsidRDefault="00976487" w:rsidP="00976487">
      <w:pPr>
        <w:pStyle w:val="Loendilik"/>
        <w:spacing w:after="0" w:line="240" w:lineRule="auto"/>
        <w:ind w:left="0"/>
        <w:jc w:val="both"/>
        <w:divId w:val="1316184749"/>
        <w:rPr>
          <w:szCs w:val="24"/>
        </w:rPr>
      </w:pPr>
      <w:r w:rsidRPr="00687DE8">
        <w:rPr>
          <w:szCs w:val="24"/>
        </w:rPr>
        <w:t xml:space="preserve">(4) </w:t>
      </w:r>
      <w:r w:rsidR="004C2050" w:rsidRPr="00687DE8">
        <w:rPr>
          <w:szCs w:val="24"/>
        </w:rPr>
        <w:t>L</w:t>
      </w:r>
      <w:r w:rsidRPr="00687DE8">
        <w:rPr>
          <w:szCs w:val="24"/>
        </w:rPr>
        <w:t>õikes 1 sätestatud ühe teenuse (</w:t>
      </w:r>
      <w:r w:rsidR="00DC4841" w:rsidRPr="00687DE8">
        <w:rPr>
          <w:szCs w:val="24"/>
        </w:rPr>
        <w:t>välja arvatud</w:t>
      </w:r>
      <w:r w:rsidRPr="00687DE8">
        <w:rPr>
          <w:szCs w:val="24"/>
        </w:rPr>
        <w:t xml:space="preserve"> kood 52666) piirhind sisaldab kulutusi järgmistele tegevustele:</w:t>
      </w:r>
    </w:p>
    <w:p w14:paraId="7046E9DD" w14:textId="77777777" w:rsidR="00976487" w:rsidRPr="00687DE8" w:rsidRDefault="00976487" w:rsidP="00976487">
      <w:pPr>
        <w:pStyle w:val="Loendilik"/>
        <w:spacing w:after="0" w:line="240" w:lineRule="auto"/>
        <w:ind w:left="0"/>
        <w:jc w:val="both"/>
        <w:divId w:val="1316184749"/>
        <w:rPr>
          <w:szCs w:val="24"/>
        </w:rPr>
      </w:pPr>
      <w:r w:rsidRPr="00687DE8">
        <w:rPr>
          <w:szCs w:val="24"/>
        </w:rPr>
        <w:t>1) vestlus haigega ning anamneesi kogumine ja talletamine;</w:t>
      </w:r>
    </w:p>
    <w:p w14:paraId="6B86C06A" w14:textId="77777777" w:rsidR="00976487" w:rsidRPr="00687DE8" w:rsidRDefault="00976487" w:rsidP="00976487">
      <w:pPr>
        <w:pStyle w:val="Loendilik"/>
        <w:spacing w:after="0" w:line="240" w:lineRule="auto"/>
        <w:ind w:left="0"/>
        <w:jc w:val="both"/>
        <w:divId w:val="1316184749"/>
        <w:rPr>
          <w:szCs w:val="24"/>
        </w:rPr>
      </w:pPr>
      <w:r w:rsidRPr="00687DE8">
        <w:rPr>
          <w:szCs w:val="24"/>
        </w:rPr>
        <w:t>2) haige uurimine, diagnostika staatuse märkimine, diagnoosi määramine, nõustamine;</w:t>
      </w:r>
    </w:p>
    <w:p w14:paraId="2B908989" w14:textId="77777777" w:rsidR="00976487" w:rsidRPr="00687DE8" w:rsidRDefault="00976487" w:rsidP="00976487">
      <w:pPr>
        <w:pStyle w:val="Loendilik"/>
        <w:spacing w:after="0" w:line="240" w:lineRule="auto"/>
        <w:ind w:left="0"/>
        <w:jc w:val="both"/>
        <w:divId w:val="1316184749"/>
        <w:rPr>
          <w:szCs w:val="24"/>
        </w:rPr>
      </w:pPr>
      <w:r w:rsidRPr="00687DE8">
        <w:rPr>
          <w:szCs w:val="24"/>
        </w:rPr>
        <w:t>3) ravimite soovitamine ja retsepti väljakirjutamine;</w:t>
      </w:r>
    </w:p>
    <w:p w14:paraId="62F91D51" w14:textId="77777777" w:rsidR="00976487" w:rsidRPr="00687DE8" w:rsidRDefault="00976487" w:rsidP="00976487">
      <w:pPr>
        <w:pStyle w:val="Loendilik"/>
        <w:spacing w:after="0" w:line="240" w:lineRule="auto"/>
        <w:ind w:left="0"/>
        <w:jc w:val="both"/>
        <w:divId w:val="1316184749"/>
        <w:rPr>
          <w:szCs w:val="24"/>
        </w:rPr>
      </w:pPr>
      <w:r w:rsidRPr="00687DE8">
        <w:rPr>
          <w:szCs w:val="24"/>
        </w:rPr>
        <w:t>4) teenuste osutamist tõendavate dokumentide vormistamine ning patsiendile tervishoiuteenuse osutamisega seotud andmete töötlemine tervise infosüsteemis;</w:t>
      </w:r>
    </w:p>
    <w:p w14:paraId="09E69062" w14:textId="77777777" w:rsidR="00976487" w:rsidRPr="00687DE8" w:rsidRDefault="00976487" w:rsidP="00976487">
      <w:pPr>
        <w:pStyle w:val="Loendilik"/>
        <w:spacing w:after="0" w:line="240" w:lineRule="auto"/>
        <w:ind w:left="0"/>
        <w:jc w:val="both"/>
        <w:divId w:val="1316184749"/>
        <w:rPr>
          <w:szCs w:val="24"/>
        </w:rPr>
      </w:pPr>
      <w:r w:rsidRPr="00687DE8">
        <w:rPr>
          <w:szCs w:val="24"/>
        </w:rPr>
        <w:t>5) lihtsamate raviprotseduuride tegemine;</w:t>
      </w:r>
    </w:p>
    <w:p w14:paraId="6D3DBEEA" w14:textId="77777777" w:rsidR="00976487" w:rsidRPr="00687DE8" w:rsidRDefault="00976487" w:rsidP="00976487">
      <w:pPr>
        <w:pStyle w:val="Loendilik"/>
        <w:spacing w:after="0" w:line="240" w:lineRule="auto"/>
        <w:ind w:left="0"/>
        <w:jc w:val="both"/>
        <w:divId w:val="1316184749"/>
        <w:rPr>
          <w:szCs w:val="24"/>
        </w:rPr>
      </w:pPr>
      <w:r w:rsidRPr="00687DE8">
        <w:rPr>
          <w:szCs w:val="24"/>
        </w:rPr>
        <w:t>6) muud külastuse käigus vajalikud tegevused, mis on otseselt seotud teenuste osutamisega.</w:t>
      </w:r>
    </w:p>
    <w:p w14:paraId="74D20380" w14:textId="77777777" w:rsidR="00976487" w:rsidRPr="00687DE8" w:rsidRDefault="00976487" w:rsidP="00976487">
      <w:pPr>
        <w:pStyle w:val="Loendilik"/>
        <w:spacing w:after="0" w:line="240" w:lineRule="auto"/>
        <w:ind w:left="0"/>
        <w:jc w:val="both"/>
        <w:divId w:val="1316184749"/>
        <w:rPr>
          <w:szCs w:val="24"/>
        </w:rPr>
      </w:pPr>
    </w:p>
    <w:p w14:paraId="37DD464D" w14:textId="77777777" w:rsidR="00976487" w:rsidRPr="00687DE8" w:rsidRDefault="00976487" w:rsidP="00976487">
      <w:pPr>
        <w:pStyle w:val="Default"/>
        <w:jc w:val="both"/>
        <w:divId w:val="1316184749"/>
      </w:pPr>
      <w:r w:rsidRPr="00687DE8">
        <w:rPr>
          <w:color w:val="auto"/>
        </w:rPr>
        <w:t xml:space="preserve">(5) Koodiga </w:t>
      </w:r>
      <w:r w:rsidRPr="00687DE8">
        <w:rPr>
          <w:lang w:eastAsia="et-EE"/>
        </w:rPr>
        <w:t>52601</w:t>
      </w:r>
      <w:r w:rsidRPr="00687DE8">
        <w:rPr>
          <w:color w:val="auto"/>
        </w:rPr>
        <w:t xml:space="preserve"> tähistatud tervishoiuteenust rakendatakse juhul, kui teisi lõikes 1 sätestatud teenuseid ei ole võimalik rakendada, </w:t>
      </w:r>
      <w:r w:rsidRPr="00687DE8">
        <w:t xml:space="preserve">või juhul, kui patsient pöördub selle ortodondi vastuvõtule esimest korda. </w:t>
      </w:r>
    </w:p>
    <w:p w14:paraId="3EDEDB1A" w14:textId="77777777" w:rsidR="00976487" w:rsidRPr="00687DE8" w:rsidRDefault="00976487" w:rsidP="00976487">
      <w:pPr>
        <w:pStyle w:val="Loendilik"/>
        <w:spacing w:after="0" w:line="240" w:lineRule="auto"/>
        <w:ind w:left="0"/>
        <w:jc w:val="both"/>
        <w:divId w:val="1316184749"/>
        <w:rPr>
          <w:szCs w:val="24"/>
        </w:rPr>
      </w:pPr>
    </w:p>
    <w:p w14:paraId="06885A34" w14:textId="77777777" w:rsidR="00976487" w:rsidRPr="00687DE8" w:rsidRDefault="00976487" w:rsidP="00976487">
      <w:pPr>
        <w:pStyle w:val="Loendilik"/>
        <w:spacing w:after="0" w:line="240" w:lineRule="auto"/>
        <w:ind w:left="0"/>
        <w:jc w:val="both"/>
        <w:divId w:val="1316184749"/>
        <w:rPr>
          <w:szCs w:val="24"/>
        </w:rPr>
      </w:pPr>
      <w:r w:rsidRPr="00687DE8">
        <w:rPr>
          <w:szCs w:val="24"/>
        </w:rPr>
        <w:t xml:space="preserve">(6) Koodiga 52666 tähistatud tervishoiuteenuse piirhind sisaldab kulutusi baaskandikutele, sterilisatsioonile ja jäätmekäitlusele. Teenuse piirhinda rakendatakse üks kord ühe külastuse kohta, </w:t>
      </w:r>
      <w:r w:rsidR="00DC4841" w:rsidRPr="00687DE8">
        <w:rPr>
          <w:szCs w:val="24"/>
        </w:rPr>
        <w:t>välja arvatud</w:t>
      </w:r>
      <w:r w:rsidRPr="00687DE8">
        <w:rPr>
          <w:szCs w:val="24"/>
        </w:rPr>
        <w:t xml:space="preserve"> juhul, kui rakendatakse koodiga </w:t>
      </w:r>
      <w:r w:rsidRPr="00687DE8">
        <w:rPr>
          <w:szCs w:val="24"/>
          <w:lang w:eastAsia="et-EE"/>
        </w:rPr>
        <w:t>52601</w:t>
      </w:r>
      <w:r w:rsidRPr="00687DE8">
        <w:rPr>
          <w:szCs w:val="24"/>
        </w:rPr>
        <w:t xml:space="preserve"> tähistatud tervishoiuteenust.</w:t>
      </w:r>
    </w:p>
    <w:p w14:paraId="37F923A1" w14:textId="77777777" w:rsidR="00976487" w:rsidRPr="00687DE8" w:rsidRDefault="00976487" w:rsidP="00976487">
      <w:pPr>
        <w:spacing w:after="0" w:line="240" w:lineRule="auto"/>
        <w:jc w:val="both"/>
        <w:divId w:val="1316184749"/>
        <w:rPr>
          <w:szCs w:val="24"/>
        </w:rPr>
      </w:pPr>
    </w:p>
    <w:p w14:paraId="6BD8ADCE" w14:textId="77777777" w:rsidR="00976487" w:rsidRPr="00687DE8" w:rsidRDefault="00976487" w:rsidP="00976487">
      <w:pPr>
        <w:spacing w:after="0" w:line="240" w:lineRule="auto"/>
        <w:jc w:val="both"/>
        <w:divId w:val="1316184749"/>
        <w:rPr>
          <w:szCs w:val="24"/>
        </w:rPr>
      </w:pPr>
      <w:r w:rsidRPr="00687DE8">
        <w:rPr>
          <w:szCs w:val="24"/>
        </w:rPr>
        <w:t>(7) Koodiga 52654 tähistatud tervishoiuteenust ei rakendata täiendavalt koodidega 52652 ja 52653 tähistatud tervishoiuteenus</w:t>
      </w:r>
      <w:r w:rsidR="003D3A8C" w:rsidRPr="00687DE8">
        <w:rPr>
          <w:szCs w:val="24"/>
        </w:rPr>
        <w:t>t</w:t>
      </w:r>
      <w:r w:rsidRPr="00687DE8">
        <w:rPr>
          <w:szCs w:val="24"/>
        </w:rPr>
        <w:t>ele ühel kaarel.</w:t>
      </w:r>
    </w:p>
    <w:p w14:paraId="6ECB4553" w14:textId="77777777" w:rsidR="00165F67" w:rsidRPr="00687DE8" w:rsidRDefault="00165F67" w:rsidP="00976487">
      <w:pPr>
        <w:spacing w:after="0" w:line="240" w:lineRule="auto"/>
        <w:jc w:val="both"/>
        <w:divId w:val="1316184749"/>
        <w:rPr>
          <w:szCs w:val="24"/>
        </w:rPr>
      </w:pPr>
    </w:p>
    <w:p w14:paraId="072F658F" w14:textId="3C6A19E7" w:rsidR="00976487" w:rsidRPr="00687DE8" w:rsidRDefault="00165F67" w:rsidP="00976487">
      <w:pPr>
        <w:spacing w:after="0" w:line="240" w:lineRule="auto"/>
        <w:jc w:val="both"/>
        <w:divId w:val="1316184749"/>
        <w:rPr>
          <w:szCs w:val="24"/>
        </w:rPr>
      </w:pPr>
      <w:r w:rsidRPr="00687DE8">
        <w:rPr>
          <w:szCs w:val="24"/>
        </w:rPr>
        <w:t>(</w:t>
      </w:r>
      <w:r w:rsidR="00CF5EC8" w:rsidRPr="00687DE8">
        <w:rPr>
          <w:szCs w:val="24"/>
        </w:rPr>
        <w:t>8</w:t>
      </w:r>
      <w:r w:rsidRPr="00687DE8">
        <w:rPr>
          <w:szCs w:val="24"/>
        </w:rPr>
        <w:t xml:space="preserve">) </w:t>
      </w:r>
      <w:r w:rsidR="005023FD" w:rsidRPr="00687DE8">
        <w:rPr>
          <w:szCs w:val="24"/>
        </w:rPr>
        <w:t>Tervisekassa</w:t>
      </w:r>
      <w:r w:rsidRPr="00687DE8">
        <w:rPr>
          <w:szCs w:val="24"/>
        </w:rPr>
        <w:t xml:space="preserve"> võtab arsti otsuse alusel tervishoiuteenuste loetelus kirjeldatud hambaraviteenuste ja </w:t>
      </w:r>
      <w:r w:rsidR="00EB47A9" w:rsidRPr="00687DE8">
        <w:rPr>
          <w:szCs w:val="24"/>
        </w:rPr>
        <w:t>h</w:t>
      </w:r>
      <w:r w:rsidRPr="00687DE8">
        <w:rPr>
          <w:szCs w:val="24"/>
        </w:rPr>
        <w:t>ambaproteesi</w:t>
      </w:r>
      <w:r w:rsidR="00EB47A9" w:rsidRPr="00687DE8">
        <w:rPr>
          <w:szCs w:val="24"/>
        </w:rPr>
        <w:t xml:space="preserve">teenuse </w:t>
      </w:r>
      <w:r w:rsidRPr="00687DE8">
        <w:rPr>
          <w:szCs w:val="24"/>
        </w:rPr>
        <w:t>eest tasu maksmise kohustuse</w:t>
      </w:r>
      <w:r w:rsidR="00EB47A9" w:rsidRPr="00687DE8">
        <w:rPr>
          <w:szCs w:val="24"/>
        </w:rPr>
        <w:t xml:space="preserve"> üle huule-suulaelõhe, muu</w:t>
      </w:r>
      <w:r w:rsidR="009E7702" w:rsidRPr="00687DE8">
        <w:rPr>
          <w:szCs w:val="24"/>
        </w:rPr>
        <w:t xml:space="preserve"> </w:t>
      </w:r>
      <w:r w:rsidR="00EB47A9" w:rsidRPr="00687DE8">
        <w:rPr>
          <w:szCs w:val="24"/>
        </w:rPr>
        <w:t>näo-lõualuusüsteemi kaasasündinud väärarengu ja harvikhaiguse korral vähemalt 19</w:t>
      </w:r>
      <w:r w:rsidR="0DC69ADA" w:rsidRPr="00687DE8">
        <w:rPr>
          <w:szCs w:val="24"/>
        </w:rPr>
        <w:t>-</w:t>
      </w:r>
      <w:r w:rsidR="00EB47A9" w:rsidRPr="00687DE8">
        <w:rPr>
          <w:szCs w:val="24"/>
        </w:rPr>
        <w:t xml:space="preserve">aastase isiku ortodontilise ravi </w:t>
      </w:r>
      <w:r w:rsidR="27469D79" w:rsidRPr="00687DE8">
        <w:rPr>
          <w:szCs w:val="24"/>
        </w:rPr>
        <w:t>tagami</w:t>
      </w:r>
      <w:r w:rsidR="3EC2BAFE" w:rsidRPr="00687DE8">
        <w:rPr>
          <w:szCs w:val="24"/>
        </w:rPr>
        <w:t>seks</w:t>
      </w:r>
      <w:r w:rsidR="00EB47A9" w:rsidRPr="00687DE8">
        <w:rPr>
          <w:szCs w:val="24"/>
        </w:rPr>
        <w:t xml:space="preserve">, kui </w:t>
      </w:r>
      <w:r w:rsidR="00551446" w:rsidRPr="00687DE8">
        <w:rPr>
          <w:szCs w:val="24"/>
        </w:rPr>
        <w:t xml:space="preserve">varem </w:t>
      </w:r>
      <w:r w:rsidR="00EB47A9" w:rsidRPr="00687DE8">
        <w:rPr>
          <w:szCs w:val="24"/>
        </w:rPr>
        <w:t xml:space="preserve">ei olnud võimalik </w:t>
      </w:r>
      <w:r w:rsidR="00551446" w:rsidRPr="00687DE8">
        <w:rPr>
          <w:szCs w:val="24"/>
        </w:rPr>
        <w:t>ravi tagada.</w:t>
      </w:r>
    </w:p>
    <w:p w14:paraId="46C025C9" w14:textId="77777777" w:rsidR="004222AB" w:rsidRPr="00687DE8" w:rsidRDefault="004222AB" w:rsidP="00976487">
      <w:pPr>
        <w:spacing w:after="0" w:line="240" w:lineRule="auto"/>
        <w:jc w:val="both"/>
        <w:divId w:val="1316184749"/>
        <w:rPr>
          <w:szCs w:val="24"/>
        </w:rPr>
      </w:pPr>
    </w:p>
    <w:p w14:paraId="0A2CA8E5" w14:textId="44EB9CA5" w:rsidR="0036291B" w:rsidRPr="00687DE8" w:rsidRDefault="004222AB" w:rsidP="00976487">
      <w:pPr>
        <w:spacing w:after="0" w:line="240" w:lineRule="auto"/>
        <w:jc w:val="both"/>
        <w:divId w:val="1316184749"/>
        <w:rPr>
          <w:rFonts w:eastAsia="Calibri"/>
        </w:rPr>
      </w:pPr>
      <w:r>
        <w:t>(</w:t>
      </w:r>
      <w:r w:rsidR="00CF5EC8">
        <w:t>9</w:t>
      </w:r>
      <w:r>
        <w:t xml:space="preserve">) </w:t>
      </w:r>
      <w:r w:rsidR="00A94053">
        <w:t>Hambaarst võib k</w:t>
      </w:r>
      <w:r>
        <w:t>oodiga</w:t>
      </w:r>
      <w:r w:rsidR="00A37A2E">
        <w:t xml:space="preserve"> 52606 tähistatud tervishoiuteenust </w:t>
      </w:r>
      <w:r w:rsidR="00B55C78">
        <w:t>rakend</w:t>
      </w:r>
      <w:r w:rsidR="00B86604">
        <w:t>ada juhu</w:t>
      </w:r>
      <w:r w:rsidR="0036291B">
        <w:t>l</w:t>
      </w:r>
      <w:r w:rsidR="00A06AB5">
        <w:t>,</w:t>
      </w:r>
      <w:r w:rsidR="0036291B">
        <w:t xml:space="preserve"> kui </w:t>
      </w:r>
      <w:r w:rsidR="0036291B" w:rsidRPr="5AB44541">
        <w:rPr>
          <w:rFonts w:eastAsia="Calibri"/>
        </w:rPr>
        <w:t xml:space="preserve">koodiga </w:t>
      </w:r>
      <w:r w:rsidR="004843F4">
        <w:rPr>
          <w:rFonts w:eastAsia="Calibri"/>
        </w:rPr>
        <w:t>3039</w:t>
      </w:r>
      <w:r w:rsidRPr="5AB44541">
        <w:rPr>
          <w:rFonts w:eastAsia="Calibri"/>
        </w:rPr>
        <w:t xml:space="preserve"> </w:t>
      </w:r>
      <w:r w:rsidR="00A94053" w:rsidRPr="5AB44541">
        <w:rPr>
          <w:rFonts w:eastAsia="Calibri"/>
        </w:rPr>
        <w:t>tähistatud</w:t>
      </w:r>
      <w:r w:rsidR="00972B8C" w:rsidRPr="5AB44541">
        <w:rPr>
          <w:rFonts w:eastAsia="Calibri"/>
        </w:rPr>
        <w:t xml:space="preserve"> tervishoiuteenuse osutamise tulemusena</w:t>
      </w:r>
      <w:r w:rsidR="003604A1" w:rsidRPr="5AB44541">
        <w:rPr>
          <w:rFonts w:eastAsia="Calibri"/>
          <w:color w:val="202020"/>
          <w:lang w:eastAsia="et-EE"/>
        </w:rPr>
        <w:t xml:space="preserve"> </w:t>
      </w:r>
      <w:r w:rsidR="00566EDD" w:rsidRPr="5AB44541">
        <w:rPr>
          <w:rFonts w:eastAsia="Calibri"/>
          <w:color w:val="202020"/>
          <w:lang w:eastAsia="et-EE"/>
        </w:rPr>
        <w:t>peab ortodont vajalikuks</w:t>
      </w:r>
      <w:r w:rsidR="005D03A0" w:rsidRPr="5AB44541">
        <w:rPr>
          <w:rFonts w:eastAsia="Calibri"/>
          <w:color w:val="202020"/>
          <w:lang w:eastAsia="et-EE"/>
        </w:rPr>
        <w:t>, et hambaarst teeb</w:t>
      </w:r>
      <w:r w:rsidR="00566EDD" w:rsidRPr="5AB44541">
        <w:rPr>
          <w:rFonts w:eastAsia="Calibri"/>
          <w:color w:val="202020"/>
          <w:lang w:eastAsia="et-EE"/>
        </w:rPr>
        <w:t xml:space="preserve"> </w:t>
      </w:r>
      <w:r w:rsidR="005D22B4" w:rsidRPr="5AB44541">
        <w:rPr>
          <w:rFonts w:eastAsia="Calibri"/>
          <w:color w:val="202020"/>
          <w:lang w:eastAsia="et-EE"/>
        </w:rPr>
        <w:t>täiendava</w:t>
      </w:r>
      <w:r w:rsidR="005D03A0" w:rsidRPr="5AB44541">
        <w:rPr>
          <w:rFonts w:eastAsia="Calibri"/>
          <w:color w:val="202020"/>
          <w:lang w:eastAsia="et-EE"/>
        </w:rPr>
        <w:t>d</w:t>
      </w:r>
      <w:r w:rsidR="005D22B4" w:rsidRPr="5AB44541">
        <w:rPr>
          <w:rFonts w:eastAsia="Calibri"/>
          <w:color w:val="202020"/>
          <w:lang w:eastAsia="et-EE"/>
        </w:rPr>
        <w:t xml:space="preserve"> </w:t>
      </w:r>
      <w:r w:rsidR="00750E03" w:rsidRPr="5AB44541">
        <w:rPr>
          <w:rFonts w:eastAsia="Calibri"/>
          <w:color w:val="202020"/>
          <w:lang w:eastAsia="et-EE"/>
        </w:rPr>
        <w:t>kliinilis</w:t>
      </w:r>
      <w:r w:rsidR="005D03A0" w:rsidRPr="5AB44541">
        <w:rPr>
          <w:rFonts w:eastAsia="Calibri"/>
          <w:color w:val="202020"/>
          <w:lang w:eastAsia="et-EE"/>
        </w:rPr>
        <w:t>ed</w:t>
      </w:r>
      <w:r w:rsidR="00750E03" w:rsidRPr="5AB44541">
        <w:rPr>
          <w:rFonts w:eastAsia="Calibri"/>
          <w:color w:val="202020"/>
          <w:lang w:eastAsia="et-EE"/>
        </w:rPr>
        <w:t xml:space="preserve"> ülesvõt</w:t>
      </w:r>
      <w:r w:rsidR="005D03A0" w:rsidRPr="5AB44541">
        <w:rPr>
          <w:rFonts w:eastAsia="Calibri"/>
          <w:color w:val="202020"/>
          <w:lang w:eastAsia="et-EE"/>
        </w:rPr>
        <w:t>ted</w:t>
      </w:r>
      <w:r w:rsidR="005D22B4" w:rsidRPr="5AB44541">
        <w:rPr>
          <w:rFonts w:eastAsia="Calibri"/>
          <w:color w:val="202020"/>
          <w:lang w:eastAsia="et-EE"/>
        </w:rPr>
        <w:t xml:space="preserve"> </w:t>
      </w:r>
      <w:r w:rsidR="007B5A04" w:rsidRPr="5AB44541">
        <w:rPr>
          <w:rFonts w:eastAsia="Calibri"/>
          <w:color w:val="202020"/>
          <w:lang w:eastAsia="et-EE"/>
        </w:rPr>
        <w:t>(fotostaatus).</w:t>
      </w:r>
    </w:p>
    <w:p w14:paraId="4057E1B6" w14:textId="77777777" w:rsidR="00B47455" w:rsidRPr="00687DE8" w:rsidRDefault="00B47455" w:rsidP="00976487">
      <w:pPr>
        <w:spacing w:after="0" w:line="240" w:lineRule="auto"/>
        <w:jc w:val="both"/>
        <w:divId w:val="1316184749"/>
        <w:rPr>
          <w:szCs w:val="24"/>
        </w:rPr>
      </w:pPr>
    </w:p>
    <w:p w14:paraId="067AD6E4" w14:textId="77777777" w:rsidR="00976487" w:rsidRDefault="00976487" w:rsidP="00976487">
      <w:pPr>
        <w:spacing w:after="0" w:line="240" w:lineRule="auto"/>
        <w:jc w:val="both"/>
        <w:divId w:val="1316184749"/>
        <w:rPr>
          <w:b/>
          <w:color w:val="202020"/>
          <w:szCs w:val="24"/>
          <w:shd w:val="clear" w:color="auto" w:fill="FFFFFF"/>
        </w:rPr>
      </w:pPr>
      <w:r w:rsidRPr="00687DE8">
        <w:rPr>
          <w:b/>
          <w:szCs w:val="24"/>
        </w:rPr>
        <w:t xml:space="preserve">§ </w:t>
      </w:r>
      <w:r w:rsidR="00902CB0" w:rsidRPr="00687DE8">
        <w:rPr>
          <w:b/>
          <w:szCs w:val="24"/>
        </w:rPr>
        <w:t>8</w:t>
      </w:r>
      <w:r w:rsidR="002D2602" w:rsidRPr="00687DE8">
        <w:rPr>
          <w:b/>
          <w:szCs w:val="24"/>
        </w:rPr>
        <w:t>0</w:t>
      </w:r>
      <w:r w:rsidRPr="00687DE8">
        <w:rPr>
          <w:b/>
          <w:szCs w:val="24"/>
        </w:rPr>
        <w:t xml:space="preserve">. Vähemalt 19-aastase kindlustatud isiku </w:t>
      </w:r>
      <w:r w:rsidRPr="00687DE8">
        <w:rPr>
          <w:b/>
          <w:color w:val="202020"/>
          <w:szCs w:val="24"/>
          <w:shd w:val="clear" w:color="auto" w:fill="FFFFFF"/>
        </w:rPr>
        <w:t>hambaproteesiteenus</w:t>
      </w:r>
    </w:p>
    <w:p w14:paraId="3CB6453C" w14:textId="77777777" w:rsidR="00D35BE0" w:rsidRDefault="00D35BE0" w:rsidP="00976487">
      <w:pPr>
        <w:pStyle w:val="Normaallaadveeb"/>
        <w:spacing w:before="0" w:after="0" w:afterAutospacing="0"/>
        <w:jc w:val="both"/>
        <w:divId w:val="1316184749"/>
      </w:pPr>
    </w:p>
    <w:p w14:paraId="31929F27" w14:textId="175F43BC" w:rsidR="00976487" w:rsidRPr="00687DE8" w:rsidRDefault="005023FD" w:rsidP="00976487">
      <w:pPr>
        <w:pStyle w:val="Normaallaadveeb"/>
        <w:spacing w:before="0" w:after="0" w:afterAutospacing="0"/>
        <w:jc w:val="both"/>
        <w:divId w:val="1316184749"/>
      </w:pPr>
      <w:r w:rsidRPr="00687DE8">
        <w:t>Tervisekassa</w:t>
      </w:r>
      <w:r w:rsidR="00976487" w:rsidRPr="00687DE8">
        <w:t xml:space="preserve"> võtab ravikindlustuse seaduse § 29 lõikes 2</w:t>
      </w:r>
      <w:r w:rsidR="00976487" w:rsidRPr="00687DE8">
        <w:rPr>
          <w:vertAlign w:val="superscript"/>
        </w:rPr>
        <w:t>2</w:t>
      </w:r>
      <w:r w:rsidR="00976487" w:rsidRPr="00687DE8">
        <w:t xml:space="preserve"> nimetatud kindlustatud isikult </w:t>
      </w:r>
      <w:r w:rsidR="00976487" w:rsidRPr="00687DE8">
        <w:rPr>
          <w:color w:val="202020"/>
          <w:shd w:val="clear" w:color="auto" w:fill="FFFFFF"/>
        </w:rPr>
        <w:t>talle osutatud hambaproteesiteenuse eest tasu maksmise kohustuse üle kuni 260 euro eest kolme aasta kohta.</w:t>
      </w:r>
    </w:p>
    <w:p w14:paraId="60F06917" w14:textId="77777777" w:rsidR="00976487" w:rsidRPr="00687DE8" w:rsidRDefault="00976487" w:rsidP="00976487">
      <w:pPr>
        <w:spacing w:after="0" w:line="240" w:lineRule="auto"/>
        <w:jc w:val="both"/>
        <w:divId w:val="1316184749"/>
        <w:rPr>
          <w:szCs w:val="24"/>
        </w:rPr>
      </w:pPr>
    </w:p>
    <w:p w14:paraId="01FC93F7" w14:textId="77777777" w:rsidR="00976487" w:rsidRPr="00687DE8" w:rsidRDefault="00976487" w:rsidP="00976487">
      <w:pPr>
        <w:pStyle w:val="Pealkiri2"/>
        <w:spacing w:before="0" w:after="0" w:afterAutospacing="0"/>
        <w:jc w:val="center"/>
        <w:divId w:val="1316184749"/>
        <w:rPr>
          <w:sz w:val="24"/>
          <w:szCs w:val="24"/>
        </w:rPr>
      </w:pPr>
      <w:r w:rsidRPr="00687DE8">
        <w:rPr>
          <w:sz w:val="24"/>
          <w:szCs w:val="24"/>
        </w:rPr>
        <w:t xml:space="preserve">11. peatükk </w:t>
      </w:r>
      <w:r w:rsidRPr="00687DE8">
        <w:rPr>
          <w:sz w:val="24"/>
          <w:szCs w:val="24"/>
        </w:rPr>
        <w:br/>
        <w:t>Juhtprojektid tervishoiusüsteemi arendamiseks</w:t>
      </w:r>
    </w:p>
    <w:p w14:paraId="51C520D4" w14:textId="77777777" w:rsidR="00976487" w:rsidRPr="00687DE8" w:rsidRDefault="00976487" w:rsidP="00976487">
      <w:pPr>
        <w:pStyle w:val="Pealkiri2"/>
        <w:spacing w:before="0" w:after="0" w:afterAutospacing="0"/>
        <w:jc w:val="center"/>
        <w:divId w:val="1316184749"/>
        <w:rPr>
          <w:sz w:val="24"/>
          <w:szCs w:val="24"/>
        </w:rPr>
      </w:pPr>
    </w:p>
    <w:p w14:paraId="12894468" w14:textId="77777777" w:rsidR="00976487" w:rsidRDefault="00976487" w:rsidP="00976487">
      <w:pPr>
        <w:spacing w:after="0" w:line="240" w:lineRule="auto"/>
        <w:jc w:val="both"/>
        <w:outlineLvl w:val="2"/>
        <w:divId w:val="1316184749"/>
        <w:rPr>
          <w:b/>
          <w:szCs w:val="24"/>
        </w:rPr>
      </w:pPr>
      <w:r w:rsidRPr="00687DE8">
        <w:rPr>
          <w:b/>
          <w:szCs w:val="24"/>
        </w:rPr>
        <w:t>§ 8</w:t>
      </w:r>
      <w:r w:rsidR="002D2602" w:rsidRPr="00687DE8">
        <w:rPr>
          <w:b/>
          <w:szCs w:val="24"/>
        </w:rPr>
        <w:t>1</w:t>
      </w:r>
      <w:r w:rsidRPr="00687DE8">
        <w:rPr>
          <w:b/>
          <w:szCs w:val="24"/>
        </w:rPr>
        <w:t>. Tervishoiu arendustegevuste teenuste piirhinnad</w:t>
      </w:r>
    </w:p>
    <w:p w14:paraId="6625913B" w14:textId="77777777" w:rsidR="00D35BE0" w:rsidRDefault="00D35BE0" w:rsidP="00976487">
      <w:pPr>
        <w:spacing w:after="0" w:line="240" w:lineRule="auto"/>
        <w:jc w:val="both"/>
        <w:divId w:val="1316184749"/>
      </w:pPr>
    </w:p>
    <w:p w14:paraId="3711F6AA" w14:textId="378AE2A4" w:rsidR="00976487" w:rsidRPr="00687DE8" w:rsidRDefault="00976487" w:rsidP="00976487">
      <w:pPr>
        <w:spacing w:after="0" w:line="240" w:lineRule="auto"/>
        <w:jc w:val="both"/>
        <w:divId w:val="1316184749"/>
      </w:pPr>
      <w:r>
        <w:t>(1) Tervishoiu arendustegevuste teenuste piirhinnad on järgmised:</w:t>
      </w:r>
    </w:p>
    <w:p w14:paraId="4730AA07" w14:textId="77777777" w:rsidR="00976487" w:rsidRPr="00687DE8" w:rsidRDefault="00976487" w:rsidP="00976487">
      <w:pPr>
        <w:pStyle w:val="Pealkiri2"/>
        <w:spacing w:before="0" w:after="0" w:afterAutospacing="0"/>
        <w:divId w:val="1316184749"/>
        <w:rPr>
          <w:sz w:val="24"/>
          <w:szCs w:val="24"/>
        </w:rPr>
      </w:pPr>
    </w:p>
    <w:tbl>
      <w:tblPr>
        <w:tblStyle w:val="Kontuurtabel"/>
        <w:tblW w:w="0" w:type="auto"/>
        <w:tblInd w:w="-5" w:type="dxa"/>
        <w:tblLook w:val="04A0" w:firstRow="1" w:lastRow="0" w:firstColumn="1" w:lastColumn="0" w:noHBand="0" w:noVBand="1"/>
      </w:tblPr>
      <w:tblGrid>
        <w:gridCol w:w="3638"/>
        <w:gridCol w:w="3290"/>
        <w:gridCol w:w="2452"/>
      </w:tblGrid>
      <w:tr w:rsidR="00583DD2" w:rsidRPr="00687DE8" w14:paraId="0682561A" w14:textId="77777777" w:rsidTr="13957D57">
        <w:trPr>
          <w:divId w:val="1316184749"/>
          <w:trHeight w:val="915"/>
        </w:trPr>
        <w:tc>
          <w:tcPr>
            <w:tcW w:w="3638" w:type="dxa"/>
            <w:hideMark/>
          </w:tcPr>
          <w:p w14:paraId="30F7B951" w14:textId="77777777" w:rsidR="00976487" w:rsidRPr="00687DE8" w:rsidRDefault="00976487">
            <w:pPr>
              <w:ind w:firstLine="720"/>
              <w:rPr>
                <w:b/>
                <w:bCs/>
                <w:szCs w:val="24"/>
              </w:rPr>
            </w:pPr>
            <w:r w:rsidRPr="00687DE8">
              <w:rPr>
                <w:b/>
                <w:bCs/>
                <w:szCs w:val="24"/>
              </w:rPr>
              <w:lastRenderedPageBreak/>
              <w:t>Tervishoiuteenuse nimetus</w:t>
            </w:r>
          </w:p>
        </w:tc>
        <w:tc>
          <w:tcPr>
            <w:tcW w:w="3290" w:type="dxa"/>
            <w:hideMark/>
          </w:tcPr>
          <w:p w14:paraId="2A8D2C0C" w14:textId="77777777" w:rsidR="00976487" w:rsidRPr="00687DE8" w:rsidRDefault="00976487">
            <w:pPr>
              <w:jc w:val="center"/>
              <w:rPr>
                <w:b/>
                <w:bCs/>
                <w:szCs w:val="24"/>
              </w:rPr>
            </w:pPr>
            <w:r w:rsidRPr="00687DE8">
              <w:rPr>
                <w:b/>
                <w:bCs/>
                <w:szCs w:val="24"/>
              </w:rPr>
              <w:t>Kood</w:t>
            </w:r>
          </w:p>
        </w:tc>
        <w:tc>
          <w:tcPr>
            <w:tcW w:w="2452" w:type="dxa"/>
            <w:hideMark/>
          </w:tcPr>
          <w:p w14:paraId="04DF971D" w14:textId="77777777" w:rsidR="00976487" w:rsidRPr="00687DE8" w:rsidRDefault="00976487">
            <w:pPr>
              <w:jc w:val="center"/>
              <w:rPr>
                <w:b/>
                <w:bCs/>
                <w:szCs w:val="24"/>
              </w:rPr>
            </w:pPr>
            <w:r w:rsidRPr="00687DE8">
              <w:rPr>
                <w:b/>
                <w:bCs/>
                <w:szCs w:val="24"/>
              </w:rPr>
              <w:t xml:space="preserve">Piirhind </w:t>
            </w:r>
          </w:p>
          <w:p w14:paraId="10B4E358" w14:textId="77777777" w:rsidR="00976487" w:rsidRPr="00687DE8" w:rsidRDefault="00976487">
            <w:pPr>
              <w:jc w:val="center"/>
              <w:rPr>
                <w:szCs w:val="24"/>
              </w:rPr>
            </w:pPr>
            <w:r w:rsidRPr="00687DE8">
              <w:rPr>
                <w:b/>
                <w:bCs/>
                <w:szCs w:val="24"/>
              </w:rPr>
              <w:t>eurodes</w:t>
            </w:r>
          </w:p>
        </w:tc>
      </w:tr>
      <w:tr w:rsidR="00583DD2" w:rsidRPr="00687DE8" w14:paraId="536D8E4F" w14:textId="77777777" w:rsidTr="13957D57">
        <w:trPr>
          <w:divId w:val="1316184749"/>
        </w:trPr>
        <w:tc>
          <w:tcPr>
            <w:tcW w:w="3638" w:type="dxa"/>
          </w:tcPr>
          <w:p w14:paraId="42B2B223" w14:textId="4950A555" w:rsidR="00D404C8" w:rsidRPr="00687DE8" w:rsidRDefault="00B60B40" w:rsidP="00497D50">
            <w:pPr>
              <w:rPr>
                <w:color w:val="202020"/>
                <w:szCs w:val="24"/>
                <w:lang w:eastAsia="et-EE"/>
              </w:rPr>
            </w:pPr>
            <w:r w:rsidRPr="00687DE8">
              <w:rPr>
                <w:color w:val="202020"/>
                <w:szCs w:val="24"/>
                <w:lang w:eastAsia="et-EE"/>
              </w:rPr>
              <w:t>Kaugjälgimisteenuse alustamine</w:t>
            </w:r>
            <w:r w:rsidR="1971B1AA" w:rsidRPr="00687DE8">
              <w:rPr>
                <w:color w:val="202020"/>
                <w:szCs w:val="24"/>
                <w:lang w:eastAsia="et-EE"/>
              </w:rPr>
              <w:t xml:space="preserve"> (30 min)</w:t>
            </w:r>
          </w:p>
        </w:tc>
        <w:tc>
          <w:tcPr>
            <w:tcW w:w="3290" w:type="dxa"/>
          </w:tcPr>
          <w:p w14:paraId="5C68B225" w14:textId="77777777" w:rsidR="00D404C8" w:rsidRPr="00687DE8" w:rsidRDefault="00624D46" w:rsidP="00497D50">
            <w:pPr>
              <w:jc w:val="center"/>
              <w:rPr>
                <w:color w:val="202020"/>
                <w:szCs w:val="24"/>
                <w:lang w:eastAsia="et-EE"/>
              </w:rPr>
            </w:pPr>
            <w:r w:rsidRPr="00687DE8">
              <w:rPr>
                <w:color w:val="202020"/>
                <w:szCs w:val="24"/>
                <w:lang w:eastAsia="et-EE"/>
              </w:rPr>
              <w:t>4501A</w:t>
            </w:r>
          </w:p>
        </w:tc>
        <w:tc>
          <w:tcPr>
            <w:tcW w:w="2452" w:type="dxa"/>
            <w:tcBorders>
              <w:top w:val="single" w:sz="4" w:space="0" w:color="auto"/>
              <w:left w:val="single" w:sz="4" w:space="0" w:color="auto"/>
              <w:bottom w:val="single" w:sz="4" w:space="0" w:color="auto"/>
              <w:right w:val="single" w:sz="4" w:space="0" w:color="auto"/>
            </w:tcBorders>
            <w:vAlign w:val="center"/>
          </w:tcPr>
          <w:p w14:paraId="37870F95" w14:textId="784EECE7" w:rsidR="00D404C8" w:rsidRPr="00687DE8" w:rsidRDefault="00A331A7" w:rsidP="00497D50">
            <w:pPr>
              <w:jc w:val="center"/>
              <w:rPr>
                <w:szCs w:val="24"/>
              </w:rPr>
            </w:pPr>
            <w:r>
              <w:rPr>
                <w:color w:val="000000"/>
              </w:rPr>
              <w:t>21,30</w:t>
            </w:r>
          </w:p>
        </w:tc>
      </w:tr>
      <w:tr w:rsidR="00583DD2" w:rsidRPr="00687DE8" w14:paraId="4127065D" w14:textId="77777777" w:rsidTr="13957D57">
        <w:trPr>
          <w:divId w:val="1316184749"/>
        </w:trPr>
        <w:tc>
          <w:tcPr>
            <w:tcW w:w="3638" w:type="dxa"/>
          </w:tcPr>
          <w:p w14:paraId="2CF95BF8" w14:textId="77777777" w:rsidR="00D404C8" w:rsidRPr="00687DE8" w:rsidRDefault="007C6401" w:rsidP="00497D50">
            <w:pPr>
              <w:rPr>
                <w:color w:val="202020"/>
                <w:szCs w:val="24"/>
                <w:lang w:eastAsia="et-EE"/>
              </w:rPr>
            </w:pPr>
            <w:r w:rsidRPr="00687DE8">
              <w:rPr>
                <w:color w:val="202020"/>
                <w:szCs w:val="24"/>
                <w:lang w:eastAsia="et-EE"/>
              </w:rPr>
              <w:t>Psoriaasipatsiendi seisundi kaugjälgimine Dermtest Pildivaatur tarkvara</w:t>
            </w:r>
            <w:r w:rsidR="00084D09" w:rsidRPr="00687DE8">
              <w:rPr>
                <w:color w:val="202020"/>
                <w:szCs w:val="24"/>
                <w:lang w:eastAsia="et-EE"/>
              </w:rPr>
              <w:t xml:space="preserve"> abil</w:t>
            </w:r>
            <w:r w:rsidRPr="00687DE8">
              <w:rPr>
                <w:color w:val="202020"/>
                <w:szCs w:val="24"/>
                <w:lang w:eastAsia="et-EE"/>
              </w:rPr>
              <w:t xml:space="preserve"> (1 kuu)</w:t>
            </w:r>
          </w:p>
        </w:tc>
        <w:tc>
          <w:tcPr>
            <w:tcW w:w="3290" w:type="dxa"/>
          </w:tcPr>
          <w:p w14:paraId="754A08D1" w14:textId="77777777" w:rsidR="00D404C8" w:rsidRPr="00687DE8" w:rsidRDefault="00624D46" w:rsidP="00497D50">
            <w:pPr>
              <w:jc w:val="center"/>
              <w:rPr>
                <w:color w:val="202020"/>
                <w:szCs w:val="24"/>
                <w:lang w:eastAsia="et-EE"/>
              </w:rPr>
            </w:pPr>
            <w:r w:rsidRPr="00687DE8">
              <w:rPr>
                <w:color w:val="202020"/>
                <w:szCs w:val="24"/>
                <w:lang w:eastAsia="et-EE"/>
              </w:rPr>
              <w:t>4502A</w:t>
            </w:r>
          </w:p>
        </w:tc>
        <w:tc>
          <w:tcPr>
            <w:tcW w:w="2452" w:type="dxa"/>
            <w:tcBorders>
              <w:top w:val="nil"/>
              <w:left w:val="single" w:sz="4" w:space="0" w:color="auto"/>
              <w:bottom w:val="single" w:sz="4" w:space="0" w:color="auto"/>
              <w:right w:val="single" w:sz="4" w:space="0" w:color="auto"/>
            </w:tcBorders>
            <w:vAlign w:val="center"/>
          </w:tcPr>
          <w:p w14:paraId="34411DF5" w14:textId="06E34CA3" w:rsidR="00D404C8" w:rsidRPr="00687DE8" w:rsidRDefault="00A331A7" w:rsidP="00497D50">
            <w:pPr>
              <w:jc w:val="center"/>
              <w:rPr>
                <w:szCs w:val="24"/>
              </w:rPr>
            </w:pPr>
            <w:r>
              <w:rPr>
                <w:color w:val="000000"/>
              </w:rPr>
              <w:t>29,95</w:t>
            </w:r>
          </w:p>
        </w:tc>
      </w:tr>
      <w:tr w:rsidR="00583DD2" w:rsidRPr="00687DE8" w14:paraId="4D3FC517" w14:textId="77777777" w:rsidTr="13957D57">
        <w:trPr>
          <w:divId w:val="1316184749"/>
          <w:trHeight w:val="300"/>
        </w:trPr>
        <w:tc>
          <w:tcPr>
            <w:tcW w:w="3638" w:type="dxa"/>
          </w:tcPr>
          <w:p w14:paraId="609A8789" w14:textId="1BBA6383" w:rsidR="0001558E" w:rsidRPr="00687DE8" w:rsidRDefault="4FE0925F" w:rsidP="6EBEA434">
            <w:pPr>
              <w:rPr>
                <w:color w:val="202020"/>
                <w:szCs w:val="24"/>
                <w:lang w:eastAsia="et-EE"/>
              </w:rPr>
            </w:pPr>
            <w:r w:rsidRPr="00687DE8">
              <w:rPr>
                <w:color w:val="202020"/>
                <w:szCs w:val="24"/>
                <w:lang w:eastAsia="et-EE"/>
              </w:rPr>
              <w:t>Madaladoosiline rindkere kompu</w:t>
            </w:r>
            <w:r w:rsidR="6678DD3A" w:rsidRPr="00687DE8">
              <w:rPr>
                <w:color w:val="202020"/>
                <w:szCs w:val="24"/>
                <w:lang w:eastAsia="et-EE"/>
              </w:rPr>
              <w:t>u</w:t>
            </w:r>
            <w:r w:rsidRPr="00687DE8">
              <w:rPr>
                <w:color w:val="202020"/>
                <w:szCs w:val="24"/>
                <w:lang w:eastAsia="et-EE"/>
              </w:rPr>
              <w:t xml:space="preserve">tertomograafia uuring kopsuvähi sõeluuringu </w:t>
            </w:r>
            <w:r w:rsidR="37067097" w:rsidRPr="00687DE8">
              <w:rPr>
                <w:color w:val="202020"/>
                <w:szCs w:val="24"/>
                <w:lang w:eastAsia="et-EE"/>
              </w:rPr>
              <w:t>juht</w:t>
            </w:r>
            <w:r w:rsidRPr="00687DE8">
              <w:rPr>
                <w:color w:val="202020"/>
                <w:szCs w:val="24"/>
                <w:lang w:eastAsia="et-EE"/>
              </w:rPr>
              <w:t xml:space="preserve">projekti raames </w:t>
            </w:r>
            <w:r w:rsidR="37067097" w:rsidRPr="00687DE8">
              <w:rPr>
                <w:color w:val="202020"/>
                <w:szCs w:val="24"/>
                <w:lang w:eastAsia="et-EE"/>
              </w:rPr>
              <w:t>(55–</w:t>
            </w:r>
            <w:r w:rsidRPr="00687DE8">
              <w:rPr>
                <w:color w:val="202020"/>
                <w:szCs w:val="24"/>
                <w:lang w:eastAsia="et-EE"/>
              </w:rPr>
              <w:t>7</w:t>
            </w:r>
            <w:r w:rsidR="00360407">
              <w:rPr>
                <w:color w:val="202020"/>
                <w:szCs w:val="24"/>
                <w:lang w:eastAsia="et-EE"/>
              </w:rPr>
              <w:t>5</w:t>
            </w:r>
            <w:r w:rsidR="71687D0F" w:rsidRPr="00687DE8">
              <w:rPr>
                <w:color w:val="202020"/>
                <w:szCs w:val="24"/>
                <w:lang w:eastAsia="et-EE"/>
              </w:rPr>
              <w:t>-</w:t>
            </w:r>
            <w:r w:rsidRPr="00687DE8">
              <w:rPr>
                <w:color w:val="202020"/>
                <w:szCs w:val="24"/>
                <w:lang w:eastAsia="et-EE"/>
              </w:rPr>
              <w:t>aastasele isikule)</w:t>
            </w:r>
          </w:p>
        </w:tc>
        <w:tc>
          <w:tcPr>
            <w:tcW w:w="3290" w:type="dxa"/>
          </w:tcPr>
          <w:p w14:paraId="234E86D6" w14:textId="77777777" w:rsidR="0001558E" w:rsidRPr="00687DE8" w:rsidRDefault="007E74F2" w:rsidP="00D26119">
            <w:pPr>
              <w:jc w:val="center"/>
              <w:rPr>
                <w:color w:val="202020"/>
                <w:szCs w:val="24"/>
                <w:lang w:eastAsia="et-EE"/>
              </w:rPr>
            </w:pPr>
            <w:r w:rsidRPr="00687DE8">
              <w:rPr>
                <w:color w:val="202020"/>
                <w:szCs w:val="24"/>
                <w:lang w:eastAsia="et-EE"/>
              </w:rPr>
              <w:t>7875</w:t>
            </w:r>
          </w:p>
        </w:tc>
        <w:tc>
          <w:tcPr>
            <w:tcW w:w="2452" w:type="dxa"/>
            <w:tcBorders>
              <w:top w:val="nil"/>
              <w:left w:val="single" w:sz="4" w:space="0" w:color="auto"/>
              <w:bottom w:val="single" w:sz="4" w:space="0" w:color="auto"/>
              <w:right w:val="single" w:sz="4" w:space="0" w:color="auto"/>
            </w:tcBorders>
            <w:vAlign w:val="center"/>
          </w:tcPr>
          <w:p w14:paraId="7100D14E" w14:textId="58FFC049" w:rsidR="7D3D1ECB" w:rsidRPr="00687DE8" w:rsidRDefault="00A331A7" w:rsidP="6EBEA434">
            <w:pPr>
              <w:jc w:val="center"/>
              <w:rPr>
                <w:color w:val="000000" w:themeColor="text1"/>
                <w:szCs w:val="24"/>
              </w:rPr>
            </w:pPr>
            <w:r>
              <w:rPr>
                <w:color w:val="000000"/>
              </w:rPr>
              <w:t>175,14</w:t>
            </w:r>
          </w:p>
        </w:tc>
      </w:tr>
      <w:tr w:rsidR="00583DD2" w:rsidRPr="00687DE8" w14:paraId="004C92D5" w14:textId="77777777" w:rsidTr="13957D57">
        <w:trPr>
          <w:divId w:val="1316184749"/>
          <w:trHeight w:val="300"/>
        </w:trPr>
        <w:tc>
          <w:tcPr>
            <w:tcW w:w="3638" w:type="dxa"/>
          </w:tcPr>
          <w:p w14:paraId="6ABBDD08" w14:textId="77777777" w:rsidR="00691B0A" w:rsidRPr="00687DE8" w:rsidRDefault="00D56E8F" w:rsidP="003932C6">
            <w:pPr>
              <w:rPr>
                <w:color w:val="202020"/>
                <w:szCs w:val="24"/>
                <w:lang w:eastAsia="et-EE"/>
              </w:rPr>
            </w:pPr>
            <w:r w:rsidRPr="00687DE8">
              <w:rPr>
                <w:color w:val="202020"/>
                <w:szCs w:val="24"/>
                <w:lang w:eastAsia="et-EE"/>
              </w:rPr>
              <w:t>Alkoholi</w:t>
            </w:r>
            <w:r w:rsidR="00D00325" w:rsidRPr="00687DE8">
              <w:rPr>
                <w:color w:val="202020"/>
                <w:szCs w:val="24"/>
                <w:lang w:eastAsia="et-EE"/>
              </w:rPr>
              <w:t xml:space="preserve">tarvitamise </w:t>
            </w:r>
            <w:r w:rsidRPr="00687DE8">
              <w:rPr>
                <w:color w:val="202020"/>
                <w:szCs w:val="24"/>
                <w:lang w:eastAsia="et-EE"/>
              </w:rPr>
              <w:t>häire</w:t>
            </w:r>
            <w:r w:rsidR="00F86CC2" w:rsidRPr="00687DE8">
              <w:rPr>
                <w:color w:val="202020"/>
                <w:szCs w:val="24"/>
                <w:lang w:eastAsia="et-EE"/>
              </w:rPr>
              <w:t>ga</w:t>
            </w:r>
            <w:r w:rsidRPr="00687DE8">
              <w:rPr>
                <w:color w:val="202020"/>
                <w:szCs w:val="24"/>
                <w:lang w:eastAsia="et-EE"/>
              </w:rPr>
              <w:t xml:space="preserve"> p</w:t>
            </w:r>
            <w:r w:rsidR="002F53B2" w:rsidRPr="00687DE8">
              <w:rPr>
                <w:color w:val="202020"/>
                <w:szCs w:val="24"/>
                <w:lang w:eastAsia="et-EE"/>
              </w:rPr>
              <w:t>atsiendi nõustamine</w:t>
            </w:r>
          </w:p>
        </w:tc>
        <w:tc>
          <w:tcPr>
            <w:tcW w:w="3290" w:type="dxa"/>
          </w:tcPr>
          <w:p w14:paraId="441B6C69" w14:textId="77777777" w:rsidR="00691B0A" w:rsidRPr="00687DE8" w:rsidRDefault="00112704" w:rsidP="003932C6">
            <w:pPr>
              <w:jc w:val="center"/>
              <w:rPr>
                <w:color w:val="202020"/>
                <w:szCs w:val="24"/>
                <w:lang w:eastAsia="et-EE"/>
              </w:rPr>
            </w:pPr>
            <w:r w:rsidRPr="00687DE8">
              <w:rPr>
                <w:color w:val="202020"/>
                <w:szCs w:val="24"/>
                <w:lang w:eastAsia="et-EE"/>
              </w:rPr>
              <w:t>3124</w:t>
            </w:r>
          </w:p>
        </w:tc>
        <w:tc>
          <w:tcPr>
            <w:tcW w:w="2452" w:type="dxa"/>
            <w:tcBorders>
              <w:top w:val="nil"/>
              <w:left w:val="single" w:sz="4" w:space="0" w:color="auto"/>
              <w:bottom w:val="single" w:sz="4" w:space="0" w:color="auto"/>
              <w:right w:val="single" w:sz="4" w:space="0" w:color="auto"/>
            </w:tcBorders>
            <w:vAlign w:val="center"/>
          </w:tcPr>
          <w:p w14:paraId="7EE8CFA1" w14:textId="66809DC3" w:rsidR="7D3D1ECB" w:rsidRPr="00687DE8" w:rsidRDefault="00A331A7">
            <w:pPr>
              <w:jc w:val="center"/>
              <w:rPr>
                <w:color w:val="000000" w:themeColor="text1"/>
                <w:szCs w:val="24"/>
              </w:rPr>
            </w:pPr>
            <w:r>
              <w:rPr>
                <w:color w:val="000000"/>
              </w:rPr>
              <w:t>43,89</w:t>
            </w:r>
          </w:p>
        </w:tc>
      </w:tr>
      <w:tr w:rsidR="00583DD2" w:rsidRPr="00687DE8" w14:paraId="19AA0498" w14:textId="77777777" w:rsidTr="13957D57">
        <w:trPr>
          <w:divId w:val="1316184749"/>
          <w:trHeight w:val="300"/>
        </w:trPr>
        <w:tc>
          <w:tcPr>
            <w:tcW w:w="3638" w:type="dxa"/>
          </w:tcPr>
          <w:p w14:paraId="14A9B0CD" w14:textId="77777777" w:rsidR="003C1A0D" w:rsidRPr="00687DE8" w:rsidRDefault="00D56E8F" w:rsidP="003932C6">
            <w:pPr>
              <w:rPr>
                <w:color w:val="202020"/>
                <w:szCs w:val="24"/>
                <w:lang w:eastAsia="et-EE"/>
              </w:rPr>
            </w:pPr>
            <w:r w:rsidRPr="00687DE8">
              <w:rPr>
                <w:color w:val="202020"/>
                <w:szCs w:val="24"/>
                <w:lang w:eastAsia="et-EE"/>
              </w:rPr>
              <w:t>Alkoholi</w:t>
            </w:r>
            <w:r w:rsidR="00D00325" w:rsidRPr="00687DE8">
              <w:rPr>
                <w:color w:val="202020"/>
                <w:szCs w:val="24"/>
                <w:lang w:eastAsia="et-EE"/>
              </w:rPr>
              <w:t xml:space="preserve">tarvitamise </w:t>
            </w:r>
            <w:r w:rsidRPr="00687DE8">
              <w:rPr>
                <w:color w:val="202020"/>
                <w:szCs w:val="24"/>
                <w:lang w:eastAsia="et-EE"/>
              </w:rPr>
              <w:t>häire</w:t>
            </w:r>
            <w:r w:rsidR="00F86CC2" w:rsidRPr="00687DE8">
              <w:rPr>
                <w:color w:val="202020"/>
                <w:szCs w:val="24"/>
                <w:lang w:eastAsia="et-EE"/>
              </w:rPr>
              <w:t>ga</w:t>
            </w:r>
            <w:r w:rsidRPr="00687DE8">
              <w:rPr>
                <w:color w:val="202020"/>
                <w:szCs w:val="24"/>
                <w:lang w:eastAsia="et-EE"/>
              </w:rPr>
              <w:t xml:space="preserve"> p</w:t>
            </w:r>
            <w:r w:rsidR="00A71FA9" w:rsidRPr="00687DE8">
              <w:rPr>
                <w:color w:val="202020"/>
                <w:szCs w:val="24"/>
                <w:lang w:eastAsia="et-EE"/>
              </w:rPr>
              <w:t>atsiendi nõustamine</w:t>
            </w:r>
            <w:r w:rsidR="00416C28" w:rsidRPr="00687DE8">
              <w:rPr>
                <w:color w:val="202020"/>
                <w:szCs w:val="24"/>
                <w:lang w:eastAsia="et-EE"/>
              </w:rPr>
              <w:t xml:space="preserve"> </w:t>
            </w:r>
            <w:r w:rsidR="00FB3152" w:rsidRPr="00687DE8">
              <w:rPr>
                <w:color w:val="202020"/>
                <w:szCs w:val="24"/>
                <w:lang w:eastAsia="et-EE"/>
              </w:rPr>
              <w:t>kaugvastuvõtul</w:t>
            </w:r>
          </w:p>
        </w:tc>
        <w:tc>
          <w:tcPr>
            <w:tcW w:w="3290" w:type="dxa"/>
          </w:tcPr>
          <w:p w14:paraId="4CF05D86" w14:textId="77777777" w:rsidR="003C1A0D" w:rsidRPr="00687DE8" w:rsidRDefault="00041AE6" w:rsidP="003932C6">
            <w:pPr>
              <w:jc w:val="center"/>
              <w:rPr>
                <w:color w:val="202020"/>
                <w:szCs w:val="24"/>
                <w:lang w:eastAsia="et-EE"/>
              </w:rPr>
            </w:pPr>
            <w:r w:rsidRPr="00687DE8">
              <w:rPr>
                <w:color w:val="202020"/>
                <w:szCs w:val="24"/>
                <w:lang w:eastAsia="et-EE"/>
              </w:rPr>
              <w:t>3240</w:t>
            </w:r>
          </w:p>
        </w:tc>
        <w:tc>
          <w:tcPr>
            <w:tcW w:w="2452" w:type="dxa"/>
            <w:tcBorders>
              <w:top w:val="nil"/>
              <w:left w:val="single" w:sz="4" w:space="0" w:color="auto"/>
              <w:bottom w:val="single" w:sz="4" w:space="0" w:color="auto"/>
              <w:right w:val="single" w:sz="4" w:space="0" w:color="auto"/>
            </w:tcBorders>
            <w:vAlign w:val="center"/>
          </w:tcPr>
          <w:p w14:paraId="12AF38F7" w14:textId="6F313B99" w:rsidR="7D3D1ECB" w:rsidRPr="00687DE8" w:rsidRDefault="00A331A7">
            <w:pPr>
              <w:jc w:val="center"/>
              <w:rPr>
                <w:color w:val="000000" w:themeColor="text1"/>
                <w:szCs w:val="24"/>
              </w:rPr>
            </w:pPr>
            <w:r>
              <w:rPr>
                <w:color w:val="000000"/>
              </w:rPr>
              <w:t>43,89</w:t>
            </w:r>
          </w:p>
        </w:tc>
      </w:tr>
      <w:tr w:rsidR="00583DD2" w:rsidRPr="00687DE8" w14:paraId="3835095F" w14:textId="77777777" w:rsidTr="13957D57">
        <w:trPr>
          <w:divId w:val="1316184749"/>
          <w:trHeight w:val="300"/>
        </w:trPr>
        <w:tc>
          <w:tcPr>
            <w:tcW w:w="3638" w:type="dxa"/>
          </w:tcPr>
          <w:p w14:paraId="2A7EFC1C" w14:textId="77777777" w:rsidR="003C1A0D" w:rsidRPr="00687DE8" w:rsidRDefault="00D56E8F" w:rsidP="003932C6">
            <w:pPr>
              <w:rPr>
                <w:color w:val="202020"/>
                <w:szCs w:val="24"/>
                <w:lang w:eastAsia="et-EE"/>
              </w:rPr>
            </w:pPr>
            <w:r w:rsidRPr="00687DE8">
              <w:rPr>
                <w:color w:val="202020"/>
                <w:szCs w:val="24"/>
                <w:lang w:eastAsia="et-EE"/>
              </w:rPr>
              <w:t>Alkoholi</w:t>
            </w:r>
            <w:r w:rsidR="00D00325" w:rsidRPr="00687DE8">
              <w:rPr>
                <w:color w:val="202020"/>
                <w:szCs w:val="24"/>
                <w:lang w:eastAsia="et-EE"/>
              </w:rPr>
              <w:t xml:space="preserve">tarvitamise </w:t>
            </w:r>
            <w:r w:rsidRPr="00687DE8">
              <w:rPr>
                <w:color w:val="202020"/>
                <w:szCs w:val="24"/>
                <w:lang w:eastAsia="et-EE"/>
              </w:rPr>
              <w:t>häire</w:t>
            </w:r>
            <w:r w:rsidR="00F86CC2" w:rsidRPr="00687DE8">
              <w:rPr>
                <w:color w:val="202020"/>
                <w:szCs w:val="24"/>
                <w:lang w:eastAsia="et-EE"/>
              </w:rPr>
              <w:t>ga</w:t>
            </w:r>
            <w:r w:rsidRPr="00687DE8">
              <w:rPr>
                <w:color w:val="202020"/>
                <w:szCs w:val="24"/>
                <w:lang w:eastAsia="et-EE"/>
              </w:rPr>
              <w:t xml:space="preserve"> patsiendi </w:t>
            </w:r>
            <w:r w:rsidR="00A71FA9" w:rsidRPr="00687DE8">
              <w:rPr>
                <w:color w:val="202020"/>
                <w:szCs w:val="24"/>
                <w:lang w:eastAsia="et-EE"/>
              </w:rPr>
              <w:t>nõustamine</w:t>
            </w:r>
            <w:r w:rsidR="00FB3152" w:rsidRPr="00687DE8">
              <w:rPr>
                <w:color w:val="202020"/>
                <w:szCs w:val="24"/>
                <w:lang w:eastAsia="et-EE"/>
              </w:rPr>
              <w:t xml:space="preserve"> videovastuvõtul</w:t>
            </w:r>
          </w:p>
        </w:tc>
        <w:tc>
          <w:tcPr>
            <w:tcW w:w="3290" w:type="dxa"/>
          </w:tcPr>
          <w:p w14:paraId="649A7D2F" w14:textId="77777777" w:rsidR="003C1A0D" w:rsidRPr="00687DE8" w:rsidRDefault="00041AE6" w:rsidP="003932C6">
            <w:pPr>
              <w:jc w:val="center"/>
              <w:rPr>
                <w:color w:val="202020"/>
                <w:szCs w:val="24"/>
                <w:lang w:eastAsia="et-EE"/>
              </w:rPr>
            </w:pPr>
            <w:r w:rsidRPr="00687DE8">
              <w:rPr>
                <w:color w:val="202020"/>
                <w:szCs w:val="24"/>
                <w:lang w:eastAsia="et-EE"/>
              </w:rPr>
              <w:t>3241</w:t>
            </w:r>
          </w:p>
        </w:tc>
        <w:tc>
          <w:tcPr>
            <w:tcW w:w="2452" w:type="dxa"/>
            <w:tcBorders>
              <w:top w:val="nil"/>
              <w:left w:val="single" w:sz="4" w:space="0" w:color="auto"/>
              <w:bottom w:val="single" w:sz="4" w:space="0" w:color="auto"/>
              <w:right w:val="single" w:sz="4" w:space="0" w:color="auto"/>
            </w:tcBorders>
            <w:vAlign w:val="center"/>
          </w:tcPr>
          <w:p w14:paraId="505228B9" w14:textId="4EC83CCA" w:rsidR="7D3D1ECB" w:rsidRPr="00687DE8" w:rsidRDefault="00A331A7">
            <w:pPr>
              <w:jc w:val="center"/>
              <w:rPr>
                <w:color w:val="000000" w:themeColor="text1"/>
                <w:szCs w:val="24"/>
              </w:rPr>
            </w:pPr>
            <w:r>
              <w:rPr>
                <w:color w:val="000000"/>
              </w:rPr>
              <w:t>43,89</w:t>
            </w:r>
          </w:p>
        </w:tc>
      </w:tr>
      <w:tr w:rsidR="00583DD2" w:rsidRPr="00687DE8" w14:paraId="58F8993E" w14:textId="77777777" w:rsidTr="13957D57">
        <w:trPr>
          <w:divId w:val="1316184749"/>
          <w:trHeight w:val="300"/>
        </w:trPr>
        <w:tc>
          <w:tcPr>
            <w:tcW w:w="3638" w:type="dxa"/>
          </w:tcPr>
          <w:p w14:paraId="65B56311" w14:textId="333E5DFF" w:rsidR="00691B0A" w:rsidRPr="00687DE8" w:rsidRDefault="00F411DE" w:rsidP="003932C6">
            <w:pPr>
              <w:rPr>
                <w:color w:val="202020"/>
                <w:szCs w:val="24"/>
                <w:lang w:eastAsia="et-EE"/>
              </w:rPr>
            </w:pPr>
            <w:r w:rsidRPr="00687DE8">
              <w:rPr>
                <w:color w:val="202020"/>
                <w:szCs w:val="24"/>
                <w:lang w:eastAsia="et-EE"/>
              </w:rPr>
              <w:t>Alkoholitarvitamise</w:t>
            </w:r>
            <w:r w:rsidR="00D00325" w:rsidRPr="00687DE8">
              <w:rPr>
                <w:color w:val="202020"/>
                <w:szCs w:val="24"/>
                <w:lang w:eastAsia="et-EE"/>
              </w:rPr>
              <w:t xml:space="preserve"> </w:t>
            </w:r>
            <w:r w:rsidR="00D56E8F" w:rsidRPr="00687DE8">
              <w:rPr>
                <w:color w:val="202020"/>
                <w:szCs w:val="24"/>
                <w:lang w:eastAsia="et-EE"/>
              </w:rPr>
              <w:t>häire</w:t>
            </w:r>
            <w:r w:rsidR="00F86CC2" w:rsidRPr="00687DE8">
              <w:rPr>
                <w:color w:val="202020"/>
                <w:szCs w:val="24"/>
                <w:lang w:eastAsia="et-EE"/>
              </w:rPr>
              <w:t>ga</w:t>
            </w:r>
            <w:r w:rsidR="000B1BEB" w:rsidRPr="00687DE8">
              <w:rPr>
                <w:color w:val="202020"/>
                <w:szCs w:val="24"/>
                <w:lang w:eastAsia="et-EE"/>
              </w:rPr>
              <w:t xml:space="preserve"> patsiendi lähedase nõustamine</w:t>
            </w:r>
            <w:r w:rsidR="00FB3152" w:rsidRPr="00687DE8">
              <w:rPr>
                <w:color w:val="202020"/>
                <w:szCs w:val="24"/>
                <w:lang w:eastAsia="et-EE"/>
              </w:rPr>
              <w:t xml:space="preserve"> </w:t>
            </w:r>
          </w:p>
        </w:tc>
        <w:tc>
          <w:tcPr>
            <w:tcW w:w="3290" w:type="dxa"/>
          </w:tcPr>
          <w:p w14:paraId="7AA6700B" w14:textId="77777777" w:rsidR="00691B0A" w:rsidRPr="00687DE8" w:rsidRDefault="00112704" w:rsidP="003932C6">
            <w:pPr>
              <w:jc w:val="center"/>
              <w:rPr>
                <w:color w:val="202020"/>
                <w:szCs w:val="24"/>
                <w:lang w:eastAsia="et-EE"/>
              </w:rPr>
            </w:pPr>
            <w:r w:rsidRPr="00687DE8">
              <w:rPr>
                <w:color w:val="202020"/>
                <w:szCs w:val="24"/>
                <w:lang w:eastAsia="et-EE"/>
              </w:rPr>
              <w:t>3125</w:t>
            </w:r>
          </w:p>
        </w:tc>
        <w:tc>
          <w:tcPr>
            <w:tcW w:w="2452" w:type="dxa"/>
            <w:tcBorders>
              <w:top w:val="nil"/>
              <w:left w:val="single" w:sz="4" w:space="0" w:color="auto"/>
              <w:bottom w:val="single" w:sz="4" w:space="0" w:color="auto"/>
              <w:right w:val="single" w:sz="4" w:space="0" w:color="auto"/>
            </w:tcBorders>
            <w:vAlign w:val="center"/>
          </w:tcPr>
          <w:p w14:paraId="150138E7" w14:textId="72D0F3E9" w:rsidR="7D3D1ECB" w:rsidRPr="00687DE8" w:rsidRDefault="00A331A7">
            <w:pPr>
              <w:jc w:val="center"/>
              <w:rPr>
                <w:color w:val="000000" w:themeColor="text1"/>
                <w:szCs w:val="24"/>
              </w:rPr>
            </w:pPr>
            <w:r>
              <w:rPr>
                <w:color w:val="000000"/>
              </w:rPr>
              <w:t>43,89</w:t>
            </w:r>
          </w:p>
        </w:tc>
      </w:tr>
      <w:tr w:rsidR="00583DD2" w:rsidRPr="00687DE8" w14:paraId="735004DE" w14:textId="77777777" w:rsidTr="13957D57">
        <w:trPr>
          <w:divId w:val="1316184749"/>
          <w:trHeight w:val="300"/>
        </w:trPr>
        <w:tc>
          <w:tcPr>
            <w:tcW w:w="3638" w:type="dxa"/>
          </w:tcPr>
          <w:p w14:paraId="541BC02E" w14:textId="7C56251B" w:rsidR="003C1A0D" w:rsidRPr="00687DE8" w:rsidRDefault="00F411DE" w:rsidP="003932C6">
            <w:pPr>
              <w:rPr>
                <w:color w:val="202020"/>
                <w:szCs w:val="24"/>
                <w:lang w:eastAsia="et-EE"/>
              </w:rPr>
            </w:pPr>
            <w:r w:rsidRPr="00687DE8">
              <w:rPr>
                <w:color w:val="202020"/>
                <w:szCs w:val="24"/>
                <w:lang w:eastAsia="et-EE"/>
              </w:rPr>
              <w:t>Alkoholitarvitamise</w:t>
            </w:r>
            <w:r w:rsidR="00D00325" w:rsidRPr="00687DE8">
              <w:rPr>
                <w:color w:val="202020"/>
                <w:szCs w:val="24"/>
                <w:lang w:eastAsia="et-EE"/>
              </w:rPr>
              <w:t xml:space="preserve"> </w:t>
            </w:r>
            <w:r w:rsidR="00D56E8F" w:rsidRPr="00687DE8">
              <w:rPr>
                <w:color w:val="202020"/>
                <w:szCs w:val="24"/>
                <w:lang w:eastAsia="et-EE"/>
              </w:rPr>
              <w:t>häire</w:t>
            </w:r>
            <w:r w:rsidR="00F86CC2" w:rsidRPr="00687DE8">
              <w:rPr>
                <w:color w:val="202020"/>
                <w:szCs w:val="24"/>
                <w:lang w:eastAsia="et-EE"/>
              </w:rPr>
              <w:t>ga</w:t>
            </w:r>
            <w:r w:rsidR="00A71FA9" w:rsidRPr="00687DE8">
              <w:rPr>
                <w:color w:val="202020"/>
                <w:szCs w:val="24"/>
                <w:lang w:eastAsia="et-EE"/>
              </w:rPr>
              <w:t xml:space="preserve"> patsiendi lähedase nõustamine</w:t>
            </w:r>
            <w:r w:rsidR="00FB3152" w:rsidRPr="00687DE8">
              <w:rPr>
                <w:color w:val="202020"/>
                <w:szCs w:val="24"/>
                <w:lang w:eastAsia="et-EE"/>
              </w:rPr>
              <w:t xml:space="preserve"> </w:t>
            </w:r>
            <w:r w:rsidR="00DA1806" w:rsidRPr="00687DE8">
              <w:rPr>
                <w:color w:val="202020"/>
                <w:szCs w:val="24"/>
                <w:lang w:eastAsia="et-EE"/>
              </w:rPr>
              <w:t>kaugvastuvõtul</w:t>
            </w:r>
          </w:p>
        </w:tc>
        <w:tc>
          <w:tcPr>
            <w:tcW w:w="3290" w:type="dxa"/>
          </w:tcPr>
          <w:p w14:paraId="47A88AB0" w14:textId="77777777" w:rsidR="003C1A0D" w:rsidRPr="00687DE8" w:rsidRDefault="00041AE6" w:rsidP="003932C6">
            <w:pPr>
              <w:jc w:val="center"/>
              <w:rPr>
                <w:color w:val="202020"/>
                <w:szCs w:val="24"/>
                <w:lang w:eastAsia="et-EE"/>
              </w:rPr>
            </w:pPr>
            <w:r w:rsidRPr="00687DE8">
              <w:rPr>
                <w:color w:val="202020"/>
                <w:szCs w:val="24"/>
                <w:lang w:eastAsia="et-EE"/>
              </w:rPr>
              <w:t>3242</w:t>
            </w:r>
          </w:p>
        </w:tc>
        <w:tc>
          <w:tcPr>
            <w:tcW w:w="2452" w:type="dxa"/>
            <w:tcBorders>
              <w:top w:val="nil"/>
              <w:left w:val="single" w:sz="4" w:space="0" w:color="auto"/>
              <w:bottom w:val="single" w:sz="4" w:space="0" w:color="auto"/>
              <w:right w:val="single" w:sz="4" w:space="0" w:color="auto"/>
            </w:tcBorders>
            <w:vAlign w:val="center"/>
          </w:tcPr>
          <w:p w14:paraId="003E25EB" w14:textId="552A2C60" w:rsidR="7D3D1ECB" w:rsidRPr="00687DE8" w:rsidRDefault="00A331A7">
            <w:pPr>
              <w:jc w:val="center"/>
              <w:rPr>
                <w:color w:val="000000" w:themeColor="text1"/>
                <w:szCs w:val="24"/>
              </w:rPr>
            </w:pPr>
            <w:r>
              <w:rPr>
                <w:color w:val="000000"/>
              </w:rPr>
              <w:t>43,89</w:t>
            </w:r>
          </w:p>
        </w:tc>
      </w:tr>
      <w:tr w:rsidR="00583DD2" w:rsidRPr="00687DE8" w14:paraId="6D0960F7" w14:textId="77777777" w:rsidTr="13957D57">
        <w:trPr>
          <w:divId w:val="1316184749"/>
          <w:trHeight w:val="300"/>
        </w:trPr>
        <w:tc>
          <w:tcPr>
            <w:tcW w:w="3638" w:type="dxa"/>
          </w:tcPr>
          <w:p w14:paraId="5FD79D33" w14:textId="29981277" w:rsidR="003C1A0D" w:rsidRPr="00687DE8" w:rsidRDefault="00F411DE" w:rsidP="003932C6">
            <w:pPr>
              <w:rPr>
                <w:color w:val="202020"/>
                <w:szCs w:val="24"/>
                <w:lang w:eastAsia="et-EE"/>
              </w:rPr>
            </w:pPr>
            <w:r w:rsidRPr="00687DE8">
              <w:rPr>
                <w:color w:val="202020"/>
                <w:szCs w:val="24"/>
                <w:lang w:eastAsia="et-EE"/>
              </w:rPr>
              <w:t xml:space="preserve">Alkoholitarvitamise häirega </w:t>
            </w:r>
            <w:r w:rsidR="00A71FA9" w:rsidRPr="00687DE8">
              <w:rPr>
                <w:color w:val="202020"/>
                <w:szCs w:val="24"/>
                <w:lang w:eastAsia="et-EE"/>
              </w:rPr>
              <w:t>patsiendi lähedase nõustamine</w:t>
            </w:r>
            <w:r w:rsidR="00FB3152" w:rsidRPr="00687DE8">
              <w:rPr>
                <w:color w:val="202020"/>
                <w:szCs w:val="24"/>
                <w:lang w:eastAsia="et-EE"/>
              </w:rPr>
              <w:t xml:space="preserve"> </w:t>
            </w:r>
            <w:r w:rsidR="00DA1806" w:rsidRPr="00687DE8">
              <w:rPr>
                <w:color w:val="202020"/>
                <w:szCs w:val="24"/>
                <w:lang w:eastAsia="et-EE"/>
              </w:rPr>
              <w:t>videovastuvõtul</w:t>
            </w:r>
          </w:p>
        </w:tc>
        <w:tc>
          <w:tcPr>
            <w:tcW w:w="3290" w:type="dxa"/>
          </w:tcPr>
          <w:p w14:paraId="6DB6A4BC" w14:textId="77777777" w:rsidR="003C1A0D" w:rsidRPr="00687DE8" w:rsidRDefault="00041AE6" w:rsidP="003932C6">
            <w:pPr>
              <w:jc w:val="center"/>
              <w:rPr>
                <w:color w:val="202020"/>
                <w:szCs w:val="24"/>
                <w:lang w:eastAsia="et-EE"/>
              </w:rPr>
            </w:pPr>
            <w:r w:rsidRPr="00687DE8">
              <w:rPr>
                <w:color w:val="202020"/>
                <w:szCs w:val="24"/>
                <w:lang w:eastAsia="et-EE"/>
              </w:rPr>
              <w:t>3243</w:t>
            </w:r>
          </w:p>
        </w:tc>
        <w:tc>
          <w:tcPr>
            <w:tcW w:w="2452" w:type="dxa"/>
            <w:tcBorders>
              <w:top w:val="nil"/>
              <w:left w:val="single" w:sz="4" w:space="0" w:color="auto"/>
              <w:bottom w:val="single" w:sz="4" w:space="0" w:color="auto"/>
              <w:right w:val="single" w:sz="4" w:space="0" w:color="auto"/>
            </w:tcBorders>
            <w:vAlign w:val="center"/>
          </w:tcPr>
          <w:p w14:paraId="7832DDE2" w14:textId="4DF54D18" w:rsidR="7D3D1ECB" w:rsidRPr="00687DE8" w:rsidRDefault="00A331A7">
            <w:pPr>
              <w:jc w:val="center"/>
              <w:rPr>
                <w:color w:val="000000" w:themeColor="text1"/>
                <w:szCs w:val="24"/>
              </w:rPr>
            </w:pPr>
            <w:r>
              <w:rPr>
                <w:color w:val="000000"/>
              </w:rPr>
              <w:t>43,89</w:t>
            </w:r>
          </w:p>
        </w:tc>
      </w:tr>
      <w:tr w:rsidR="00583DD2" w:rsidRPr="00687DE8" w14:paraId="4E0D5F7E" w14:textId="77777777" w:rsidTr="13957D57">
        <w:trPr>
          <w:divId w:val="1316184749"/>
          <w:trHeight w:val="300"/>
        </w:trPr>
        <w:tc>
          <w:tcPr>
            <w:tcW w:w="3638" w:type="dxa"/>
          </w:tcPr>
          <w:p w14:paraId="1BD9DFAA" w14:textId="77777777" w:rsidR="00691B0A" w:rsidRPr="00687DE8" w:rsidRDefault="00A7609F" w:rsidP="003932C6">
            <w:pPr>
              <w:rPr>
                <w:color w:val="202020"/>
                <w:szCs w:val="24"/>
                <w:lang w:eastAsia="et-EE"/>
              </w:rPr>
            </w:pPr>
            <w:r w:rsidRPr="00687DE8">
              <w:rPr>
                <w:color w:val="202020"/>
                <w:szCs w:val="24"/>
                <w:lang w:eastAsia="et-EE"/>
              </w:rPr>
              <w:t>Alkoholitarvitamise häirega patsiendi juhtumikorraldus (üks kuu)</w:t>
            </w:r>
          </w:p>
        </w:tc>
        <w:tc>
          <w:tcPr>
            <w:tcW w:w="3290" w:type="dxa"/>
          </w:tcPr>
          <w:p w14:paraId="10664105" w14:textId="77777777" w:rsidR="00691B0A" w:rsidRPr="00687DE8" w:rsidRDefault="00112704" w:rsidP="003932C6">
            <w:pPr>
              <w:jc w:val="center"/>
              <w:rPr>
                <w:color w:val="202020"/>
                <w:szCs w:val="24"/>
                <w:lang w:eastAsia="et-EE"/>
              </w:rPr>
            </w:pPr>
            <w:r w:rsidRPr="00687DE8">
              <w:rPr>
                <w:color w:val="202020"/>
                <w:szCs w:val="24"/>
                <w:lang w:eastAsia="et-EE"/>
              </w:rPr>
              <w:t>3126</w:t>
            </w:r>
          </w:p>
        </w:tc>
        <w:tc>
          <w:tcPr>
            <w:tcW w:w="2452" w:type="dxa"/>
            <w:tcBorders>
              <w:top w:val="nil"/>
              <w:left w:val="single" w:sz="4" w:space="0" w:color="auto"/>
              <w:bottom w:val="single" w:sz="4" w:space="0" w:color="auto"/>
              <w:right w:val="single" w:sz="4" w:space="0" w:color="auto"/>
            </w:tcBorders>
            <w:vAlign w:val="center"/>
          </w:tcPr>
          <w:p w14:paraId="677BBB76" w14:textId="569B72FA" w:rsidR="7D3D1ECB" w:rsidRPr="00687DE8" w:rsidRDefault="00A331A7">
            <w:pPr>
              <w:jc w:val="center"/>
              <w:rPr>
                <w:color w:val="000000" w:themeColor="text1"/>
                <w:szCs w:val="24"/>
              </w:rPr>
            </w:pPr>
            <w:r>
              <w:rPr>
                <w:color w:val="000000"/>
              </w:rPr>
              <w:t>19,39</w:t>
            </w:r>
          </w:p>
        </w:tc>
      </w:tr>
      <w:tr w:rsidR="00583DD2" w:rsidRPr="00687DE8" w14:paraId="02214928" w14:textId="77777777" w:rsidTr="13957D57">
        <w:trPr>
          <w:divId w:val="1316184749"/>
          <w:trHeight w:val="300"/>
        </w:trPr>
        <w:tc>
          <w:tcPr>
            <w:tcW w:w="3638" w:type="dxa"/>
          </w:tcPr>
          <w:p w14:paraId="6C9F4C14" w14:textId="418DEE2C" w:rsidR="002D0D21" w:rsidRPr="00687DE8" w:rsidRDefault="00522D71" w:rsidP="002C2A0D">
            <w:pPr>
              <w:rPr>
                <w:rFonts w:eastAsia="Calibri"/>
                <w:szCs w:val="24"/>
              </w:rPr>
            </w:pPr>
            <w:bookmarkStart w:id="44" w:name="_Hlk134444562"/>
            <w:r w:rsidRPr="00687DE8">
              <w:rPr>
                <w:color w:val="202020"/>
                <w:szCs w:val="24"/>
                <w:bdr w:val="none" w:sz="0" w:space="0" w:color="auto" w:frame="1"/>
                <w:lang w:eastAsia="et-EE"/>
              </w:rPr>
              <w:t>Liigese e</w:t>
            </w:r>
            <w:r w:rsidR="002D0D21" w:rsidRPr="00687DE8">
              <w:rPr>
                <w:color w:val="202020"/>
                <w:szCs w:val="24"/>
                <w:bdr w:val="none" w:sz="0" w:space="0" w:color="auto" w:frame="1"/>
                <w:lang w:eastAsia="et-EE"/>
              </w:rPr>
              <w:t>ndoproteesimise raviteekond</w:t>
            </w:r>
            <w:bookmarkEnd w:id="44"/>
          </w:p>
        </w:tc>
        <w:tc>
          <w:tcPr>
            <w:tcW w:w="3290" w:type="dxa"/>
          </w:tcPr>
          <w:p w14:paraId="36369EC4" w14:textId="674AF92D" w:rsidR="002D0D21" w:rsidRPr="00687DE8" w:rsidRDefault="002D0D21" w:rsidP="002C2A0D">
            <w:pPr>
              <w:jc w:val="center"/>
              <w:rPr>
                <w:color w:val="202020"/>
                <w:szCs w:val="24"/>
                <w:lang w:eastAsia="et-EE"/>
              </w:rPr>
            </w:pPr>
            <w:bookmarkStart w:id="45" w:name="_Hlk134444583"/>
            <w:r w:rsidRPr="00687DE8">
              <w:rPr>
                <w:color w:val="202020"/>
                <w:szCs w:val="24"/>
                <w:bdr w:val="none" w:sz="0" w:space="0" w:color="auto" w:frame="1"/>
                <w:lang w:eastAsia="et-EE"/>
              </w:rPr>
              <w:t>4505A</w:t>
            </w:r>
            <w:bookmarkEnd w:id="45"/>
          </w:p>
        </w:tc>
        <w:tc>
          <w:tcPr>
            <w:tcW w:w="2452" w:type="dxa"/>
            <w:tcBorders>
              <w:top w:val="nil"/>
              <w:left w:val="single" w:sz="4" w:space="0" w:color="auto"/>
              <w:bottom w:val="single" w:sz="4" w:space="0" w:color="auto"/>
              <w:right w:val="single" w:sz="4" w:space="0" w:color="auto"/>
            </w:tcBorders>
            <w:vAlign w:val="center"/>
          </w:tcPr>
          <w:p w14:paraId="32FAB4DA" w14:textId="4AEE28D7" w:rsidR="7D3D1ECB" w:rsidRPr="00687DE8" w:rsidRDefault="58E95B52" w:rsidP="00D77301">
            <w:pPr>
              <w:jc w:val="center"/>
              <w:rPr>
                <w:color w:val="000000" w:themeColor="text1"/>
              </w:rPr>
            </w:pPr>
            <w:r w:rsidRPr="4D96A646">
              <w:rPr>
                <w:color w:val="000000" w:themeColor="text1"/>
              </w:rPr>
              <w:t>3810,80</w:t>
            </w:r>
          </w:p>
        </w:tc>
      </w:tr>
      <w:tr w:rsidR="00583DD2" w:rsidRPr="00687DE8" w14:paraId="31CAFE6E" w14:textId="77777777" w:rsidTr="13957D57">
        <w:trPr>
          <w:divId w:val="1316184749"/>
          <w:trHeight w:val="300"/>
        </w:trPr>
        <w:tc>
          <w:tcPr>
            <w:tcW w:w="3638" w:type="dxa"/>
          </w:tcPr>
          <w:p w14:paraId="7C8492A4" w14:textId="13FE12C5" w:rsidR="002D0D21" w:rsidRPr="00687DE8" w:rsidRDefault="4D5F8038" w:rsidP="002C2A0D">
            <w:pPr>
              <w:rPr>
                <w:rFonts w:eastAsia="Calibri"/>
                <w:szCs w:val="24"/>
              </w:rPr>
            </w:pPr>
            <w:r w:rsidRPr="00687DE8">
              <w:rPr>
                <w:szCs w:val="24"/>
              </w:rPr>
              <w:t>Endoproteesimise vajaduse hindamise ja/või üldandmete ja elukvaliteedi hindamise küsimustiku täitmine</w:t>
            </w:r>
            <w:r w:rsidR="00A5437A" w:rsidRPr="00687DE8">
              <w:rPr>
                <w:szCs w:val="24"/>
              </w:rPr>
              <w:t xml:space="preserve"> vastavalt endoproteesimise standardile sobivale patsiendile</w:t>
            </w:r>
            <w:r w:rsidR="007E5F3E" w:rsidRPr="00687DE8">
              <w:rPr>
                <w:szCs w:val="24"/>
              </w:rPr>
              <w:t xml:space="preserve"> (1 kord)</w:t>
            </w:r>
          </w:p>
        </w:tc>
        <w:tc>
          <w:tcPr>
            <w:tcW w:w="3290" w:type="dxa"/>
          </w:tcPr>
          <w:p w14:paraId="0CE94B23" w14:textId="77777777" w:rsidR="003964CD" w:rsidRDefault="003964CD" w:rsidP="002C2A0D">
            <w:pPr>
              <w:jc w:val="center"/>
              <w:rPr>
                <w:color w:val="202020"/>
                <w:szCs w:val="24"/>
                <w:bdr w:val="none" w:sz="0" w:space="0" w:color="auto" w:frame="1"/>
                <w:lang w:eastAsia="et-EE"/>
              </w:rPr>
            </w:pPr>
          </w:p>
          <w:p w14:paraId="71549C59" w14:textId="77777777" w:rsidR="003964CD" w:rsidRDefault="003964CD" w:rsidP="002C2A0D">
            <w:pPr>
              <w:jc w:val="center"/>
              <w:rPr>
                <w:color w:val="202020"/>
                <w:szCs w:val="24"/>
                <w:bdr w:val="none" w:sz="0" w:space="0" w:color="auto" w:frame="1"/>
                <w:lang w:eastAsia="et-EE"/>
              </w:rPr>
            </w:pPr>
          </w:p>
          <w:p w14:paraId="04FAAA72" w14:textId="6CF44053" w:rsidR="002D0D21" w:rsidRPr="00687DE8" w:rsidRDefault="002D0D21" w:rsidP="002C2A0D">
            <w:pPr>
              <w:jc w:val="center"/>
              <w:rPr>
                <w:color w:val="202020"/>
                <w:szCs w:val="24"/>
                <w:lang w:eastAsia="et-EE"/>
              </w:rPr>
            </w:pPr>
            <w:r w:rsidRPr="00687DE8">
              <w:rPr>
                <w:color w:val="202020"/>
                <w:szCs w:val="24"/>
                <w:bdr w:val="none" w:sz="0" w:space="0" w:color="auto" w:frame="1"/>
                <w:lang w:eastAsia="et-EE"/>
              </w:rPr>
              <w:t>4506A</w:t>
            </w:r>
          </w:p>
        </w:tc>
        <w:tc>
          <w:tcPr>
            <w:tcW w:w="2452" w:type="dxa"/>
            <w:tcBorders>
              <w:top w:val="single" w:sz="4" w:space="0" w:color="auto"/>
              <w:left w:val="single" w:sz="4" w:space="0" w:color="auto"/>
              <w:bottom w:val="single" w:sz="4" w:space="0" w:color="auto"/>
              <w:right w:val="single" w:sz="4" w:space="0" w:color="auto"/>
            </w:tcBorders>
            <w:vAlign w:val="center"/>
          </w:tcPr>
          <w:p w14:paraId="324CDDDC" w14:textId="2496B1D2" w:rsidR="7D3D1ECB" w:rsidRPr="00687DE8" w:rsidRDefault="00105CB3">
            <w:pPr>
              <w:jc w:val="center"/>
              <w:rPr>
                <w:color w:val="000000" w:themeColor="text1"/>
                <w:szCs w:val="24"/>
              </w:rPr>
            </w:pPr>
            <w:r>
              <w:rPr>
                <w:color w:val="000000"/>
              </w:rPr>
              <w:t>20,32</w:t>
            </w:r>
          </w:p>
        </w:tc>
      </w:tr>
      <w:tr w:rsidR="00583DD2" w:rsidRPr="00687DE8" w14:paraId="25A616DA" w14:textId="77777777" w:rsidTr="13957D57">
        <w:trPr>
          <w:divId w:val="1316184749"/>
          <w:trHeight w:val="300"/>
        </w:trPr>
        <w:tc>
          <w:tcPr>
            <w:tcW w:w="3638" w:type="dxa"/>
          </w:tcPr>
          <w:p w14:paraId="6253B16F" w14:textId="19D783C8" w:rsidR="00795DFB" w:rsidRPr="00687DE8" w:rsidRDefault="009C295D" w:rsidP="002C2A0D">
            <w:pPr>
              <w:rPr>
                <w:szCs w:val="24"/>
              </w:rPr>
            </w:pPr>
            <w:r w:rsidRPr="00687DE8">
              <w:rPr>
                <w:szCs w:val="24"/>
              </w:rPr>
              <w:t>Juhtumikorraldus psühhiaatrias (1</w:t>
            </w:r>
            <w:r w:rsidR="00B66178">
              <w:rPr>
                <w:szCs w:val="24"/>
              </w:rPr>
              <w:t> </w:t>
            </w:r>
            <w:r w:rsidRPr="00687DE8">
              <w:rPr>
                <w:szCs w:val="24"/>
              </w:rPr>
              <w:t>kuu)</w:t>
            </w:r>
          </w:p>
        </w:tc>
        <w:tc>
          <w:tcPr>
            <w:tcW w:w="3290" w:type="dxa"/>
          </w:tcPr>
          <w:p w14:paraId="3FCAEA0F" w14:textId="6D99EA9B" w:rsidR="00795DFB" w:rsidRPr="00687DE8" w:rsidRDefault="009C295D" w:rsidP="002C2A0D">
            <w:pPr>
              <w:jc w:val="center"/>
              <w:rPr>
                <w:color w:val="202020"/>
                <w:szCs w:val="24"/>
                <w:bdr w:val="none" w:sz="0" w:space="0" w:color="auto" w:frame="1"/>
                <w:lang w:eastAsia="et-EE"/>
              </w:rPr>
            </w:pPr>
            <w:r w:rsidRPr="00687DE8">
              <w:rPr>
                <w:color w:val="202020"/>
                <w:szCs w:val="24"/>
                <w:bdr w:val="none" w:sz="0" w:space="0" w:color="auto" w:frame="1"/>
                <w:lang w:eastAsia="et-EE"/>
              </w:rPr>
              <w:t>4508A</w:t>
            </w:r>
          </w:p>
        </w:tc>
        <w:tc>
          <w:tcPr>
            <w:tcW w:w="2452" w:type="dxa"/>
            <w:tcBorders>
              <w:top w:val="nil"/>
              <w:left w:val="single" w:sz="4" w:space="0" w:color="auto"/>
              <w:bottom w:val="single" w:sz="4" w:space="0" w:color="auto"/>
              <w:right w:val="single" w:sz="4" w:space="0" w:color="auto"/>
            </w:tcBorders>
            <w:vAlign w:val="center"/>
          </w:tcPr>
          <w:p w14:paraId="44A1722E" w14:textId="44308654" w:rsidR="7D3D1ECB" w:rsidRPr="00687DE8" w:rsidRDefault="00105CB3" w:rsidP="00D77301">
            <w:pPr>
              <w:jc w:val="center"/>
              <w:rPr>
                <w:color w:val="000000" w:themeColor="text1"/>
                <w:szCs w:val="24"/>
              </w:rPr>
            </w:pPr>
            <w:r>
              <w:rPr>
                <w:color w:val="000000"/>
              </w:rPr>
              <w:t>4 285,30</w:t>
            </w:r>
          </w:p>
        </w:tc>
      </w:tr>
      <w:tr w:rsidR="00583DD2" w:rsidRPr="00687DE8" w14:paraId="4DD3D841" w14:textId="77777777" w:rsidTr="13957D57">
        <w:trPr>
          <w:divId w:val="1316184749"/>
          <w:trHeight w:val="300"/>
        </w:trPr>
        <w:tc>
          <w:tcPr>
            <w:tcW w:w="3638" w:type="dxa"/>
          </w:tcPr>
          <w:p w14:paraId="6FEAA374" w14:textId="54D57389" w:rsidR="0A8B09B3" w:rsidRPr="00687DE8" w:rsidRDefault="0A8B09B3" w:rsidP="002C2A0D">
            <w:pPr>
              <w:rPr>
                <w:szCs w:val="24"/>
              </w:rPr>
            </w:pPr>
            <w:r w:rsidRPr="00687DE8">
              <w:rPr>
                <w:szCs w:val="24"/>
              </w:rPr>
              <w:t>Riskipatsiendile raviplaani koostamine</w:t>
            </w:r>
          </w:p>
        </w:tc>
        <w:tc>
          <w:tcPr>
            <w:tcW w:w="3290" w:type="dxa"/>
          </w:tcPr>
          <w:p w14:paraId="3E1FEDCD" w14:textId="59720539" w:rsidR="0A8B09B3" w:rsidRPr="00687DE8" w:rsidRDefault="0A8B09B3" w:rsidP="002C2A0D">
            <w:pPr>
              <w:jc w:val="center"/>
              <w:rPr>
                <w:color w:val="202020"/>
                <w:szCs w:val="24"/>
                <w:lang w:eastAsia="et-EE"/>
              </w:rPr>
            </w:pPr>
            <w:r w:rsidRPr="00687DE8">
              <w:rPr>
                <w:color w:val="202020"/>
                <w:szCs w:val="24"/>
                <w:lang w:eastAsia="et-EE"/>
              </w:rPr>
              <w:t>5092A</w:t>
            </w:r>
          </w:p>
        </w:tc>
        <w:tc>
          <w:tcPr>
            <w:tcW w:w="2452" w:type="dxa"/>
            <w:tcBorders>
              <w:top w:val="nil"/>
              <w:left w:val="single" w:sz="4" w:space="0" w:color="auto"/>
              <w:bottom w:val="single" w:sz="4" w:space="0" w:color="auto"/>
              <w:right w:val="single" w:sz="4" w:space="0" w:color="auto"/>
            </w:tcBorders>
            <w:vAlign w:val="center"/>
          </w:tcPr>
          <w:p w14:paraId="32A5A6FA" w14:textId="149E1178" w:rsidR="7D3D1ECB" w:rsidRPr="00687DE8" w:rsidRDefault="00105CB3" w:rsidP="27120549">
            <w:pPr>
              <w:jc w:val="center"/>
              <w:rPr>
                <w:color w:val="000000" w:themeColor="text1"/>
              </w:rPr>
            </w:pPr>
            <w:r>
              <w:rPr>
                <w:color w:val="000000"/>
              </w:rPr>
              <w:t>14,88</w:t>
            </w:r>
          </w:p>
        </w:tc>
      </w:tr>
      <w:tr w:rsidR="00583DD2" w:rsidRPr="00687DE8" w14:paraId="53CC665E" w14:textId="77777777" w:rsidTr="13957D57">
        <w:trPr>
          <w:divId w:val="1316184749"/>
          <w:trHeight w:val="300"/>
        </w:trPr>
        <w:tc>
          <w:tcPr>
            <w:tcW w:w="3638" w:type="dxa"/>
          </w:tcPr>
          <w:p w14:paraId="60FA312F" w14:textId="195DA5EB" w:rsidR="0A8B09B3" w:rsidRPr="00687DE8" w:rsidRDefault="0A8B09B3" w:rsidP="002C2A0D">
            <w:pPr>
              <w:rPr>
                <w:szCs w:val="24"/>
              </w:rPr>
            </w:pPr>
            <w:r w:rsidRPr="00687DE8">
              <w:rPr>
                <w:szCs w:val="24"/>
              </w:rPr>
              <w:t>Riskipatsiendi järelvisiit koos raviplaani ülevaatusega</w:t>
            </w:r>
          </w:p>
        </w:tc>
        <w:tc>
          <w:tcPr>
            <w:tcW w:w="3290" w:type="dxa"/>
          </w:tcPr>
          <w:p w14:paraId="4D11C8A7" w14:textId="0909BEE1" w:rsidR="0A8B09B3" w:rsidRPr="00687DE8" w:rsidRDefault="0A8B09B3" w:rsidP="002C2A0D">
            <w:pPr>
              <w:jc w:val="center"/>
              <w:rPr>
                <w:color w:val="202020"/>
                <w:szCs w:val="24"/>
                <w:lang w:eastAsia="et-EE"/>
              </w:rPr>
            </w:pPr>
            <w:r w:rsidRPr="00687DE8">
              <w:rPr>
                <w:color w:val="202020"/>
                <w:szCs w:val="24"/>
                <w:lang w:eastAsia="et-EE"/>
              </w:rPr>
              <w:t>5095A</w:t>
            </w:r>
          </w:p>
        </w:tc>
        <w:tc>
          <w:tcPr>
            <w:tcW w:w="2452" w:type="dxa"/>
            <w:tcBorders>
              <w:top w:val="nil"/>
              <w:left w:val="single" w:sz="4" w:space="0" w:color="auto"/>
              <w:bottom w:val="single" w:sz="4" w:space="0" w:color="auto"/>
              <w:right w:val="single" w:sz="4" w:space="0" w:color="auto"/>
            </w:tcBorders>
            <w:vAlign w:val="center"/>
          </w:tcPr>
          <w:p w14:paraId="776CFB20" w14:textId="0F10F0FA" w:rsidR="7D3D1ECB" w:rsidRPr="00687DE8" w:rsidRDefault="00105CB3" w:rsidP="27120549">
            <w:pPr>
              <w:jc w:val="center"/>
              <w:rPr>
                <w:color w:val="000000" w:themeColor="text1"/>
              </w:rPr>
            </w:pPr>
            <w:r>
              <w:rPr>
                <w:color w:val="000000"/>
              </w:rPr>
              <w:t>10,76</w:t>
            </w:r>
          </w:p>
        </w:tc>
      </w:tr>
      <w:tr w:rsidR="00583DD2" w:rsidRPr="00687DE8" w14:paraId="5839402B" w14:textId="77777777" w:rsidTr="13957D57">
        <w:trPr>
          <w:divId w:val="1316184749"/>
          <w:trHeight w:val="300"/>
        </w:trPr>
        <w:tc>
          <w:tcPr>
            <w:tcW w:w="3638" w:type="dxa"/>
          </w:tcPr>
          <w:p w14:paraId="247985F7" w14:textId="3E48C815" w:rsidR="00A85E05" w:rsidRPr="00687DE8" w:rsidRDefault="00BB4578" w:rsidP="002C2A0D">
            <w:pPr>
              <w:rPr>
                <w:szCs w:val="24"/>
              </w:rPr>
            </w:pPr>
            <w:r w:rsidRPr="00687DE8">
              <w:rPr>
                <w:szCs w:val="24"/>
              </w:rPr>
              <w:lastRenderedPageBreak/>
              <w:t>Pereplaneerimise ja seksu</w:t>
            </w:r>
            <w:r w:rsidR="002212C5" w:rsidRPr="00687DE8">
              <w:rPr>
                <w:szCs w:val="24"/>
              </w:rPr>
              <w:t>a</w:t>
            </w:r>
            <w:r w:rsidRPr="00687DE8">
              <w:rPr>
                <w:szCs w:val="24"/>
              </w:rPr>
              <w:t>altervise kriisinõustami</w:t>
            </w:r>
            <w:r w:rsidR="00647CEC" w:rsidRPr="00687DE8">
              <w:rPr>
                <w:szCs w:val="24"/>
              </w:rPr>
              <w:t>ne</w:t>
            </w:r>
            <w:r w:rsidR="00E775D5" w:rsidRPr="00687DE8">
              <w:rPr>
                <w:szCs w:val="24"/>
              </w:rPr>
              <w:t xml:space="preserve"> </w:t>
            </w:r>
          </w:p>
        </w:tc>
        <w:tc>
          <w:tcPr>
            <w:tcW w:w="3290" w:type="dxa"/>
          </w:tcPr>
          <w:p w14:paraId="651521CB" w14:textId="47C6730A" w:rsidR="00A85E05" w:rsidRPr="00687DE8" w:rsidRDefault="00FD1BA7" w:rsidP="002C2A0D">
            <w:pPr>
              <w:jc w:val="center"/>
              <w:rPr>
                <w:szCs w:val="24"/>
              </w:rPr>
            </w:pPr>
            <w:r w:rsidRPr="00687DE8">
              <w:rPr>
                <w:szCs w:val="24"/>
              </w:rPr>
              <w:t>3116</w:t>
            </w:r>
          </w:p>
        </w:tc>
        <w:tc>
          <w:tcPr>
            <w:tcW w:w="2452" w:type="dxa"/>
            <w:tcBorders>
              <w:top w:val="nil"/>
              <w:left w:val="single" w:sz="4" w:space="0" w:color="auto"/>
              <w:bottom w:val="single" w:sz="4" w:space="0" w:color="auto"/>
              <w:right w:val="single" w:sz="4" w:space="0" w:color="auto"/>
            </w:tcBorders>
            <w:vAlign w:val="center"/>
          </w:tcPr>
          <w:p w14:paraId="65C75E32" w14:textId="17F96C22" w:rsidR="7D3D1ECB" w:rsidRPr="00687DE8" w:rsidRDefault="00105CB3">
            <w:pPr>
              <w:jc w:val="center"/>
              <w:rPr>
                <w:color w:val="000000" w:themeColor="text1"/>
                <w:szCs w:val="24"/>
              </w:rPr>
            </w:pPr>
            <w:r>
              <w:rPr>
                <w:color w:val="000000"/>
              </w:rPr>
              <w:t>41,18</w:t>
            </w:r>
          </w:p>
        </w:tc>
      </w:tr>
      <w:tr w:rsidR="00583DD2" w:rsidRPr="00687DE8" w14:paraId="3BF693F7" w14:textId="77777777" w:rsidTr="13957D57">
        <w:trPr>
          <w:divId w:val="1316184749"/>
          <w:trHeight w:val="300"/>
        </w:trPr>
        <w:tc>
          <w:tcPr>
            <w:tcW w:w="3638" w:type="dxa"/>
          </w:tcPr>
          <w:p w14:paraId="2A2ACE79" w14:textId="12AD69F2" w:rsidR="00E775D5" w:rsidRPr="00687DE8" w:rsidRDefault="00E775D5" w:rsidP="002C2A0D">
            <w:pPr>
              <w:rPr>
                <w:szCs w:val="24"/>
              </w:rPr>
            </w:pPr>
            <w:r w:rsidRPr="00687DE8">
              <w:rPr>
                <w:szCs w:val="24"/>
              </w:rPr>
              <w:t>Pereplaneerimise ja seksu</w:t>
            </w:r>
            <w:r w:rsidR="002212C5" w:rsidRPr="00687DE8">
              <w:rPr>
                <w:szCs w:val="24"/>
              </w:rPr>
              <w:t>a</w:t>
            </w:r>
            <w:r w:rsidRPr="00687DE8">
              <w:rPr>
                <w:szCs w:val="24"/>
              </w:rPr>
              <w:t>altervise kriisi</w:t>
            </w:r>
            <w:r w:rsidR="00F8538E" w:rsidRPr="00687DE8">
              <w:rPr>
                <w:szCs w:val="24"/>
              </w:rPr>
              <w:t>nõustamine</w:t>
            </w:r>
            <w:r w:rsidR="00647CEC" w:rsidRPr="00687DE8">
              <w:rPr>
                <w:szCs w:val="24"/>
              </w:rPr>
              <w:t xml:space="preserve"> kaug</w:t>
            </w:r>
            <w:r w:rsidR="00F8538E" w:rsidRPr="00687DE8">
              <w:rPr>
                <w:szCs w:val="24"/>
              </w:rPr>
              <w:t>vastuvõtuna</w:t>
            </w:r>
          </w:p>
        </w:tc>
        <w:tc>
          <w:tcPr>
            <w:tcW w:w="3290" w:type="dxa"/>
          </w:tcPr>
          <w:p w14:paraId="473FD2D8" w14:textId="60FD93EF" w:rsidR="00E775D5" w:rsidRPr="00687DE8" w:rsidRDefault="00FD1BA7" w:rsidP="002C2A0D">
            <w:pPr>
              <w:jc w:val="center"/>
              <w:rPr>
                <w:szCs w:val="24"/>
              </w:rPr>
            </w:pPr>
            <w:r w:rsidRPr="00687DE8">
              <w:rPr>
                <w:szCs w:val="24"/>
              </w:rPr>
              <w:t>3216</w:t>
            </w:r>
          </w:p>
        </w:tc>
        <w:tc>
          <w:tcPr>
            <w:tcW w:w="2452" w:type="dxa"/>
            <w:tcBorders>
              <w:top w:val="nil"/>
              <w:left w:val="single" w:sz="4" w:space="0" w:color="auto"/>
              <w:bottom w:val="single" w:sz="4" w:space="0" w:color="auto"/>
              <w:right w:val="single" w:sz="4" w:space="0" w:color="auto"/>
            </w:tcBorders>
            <w:vAlign w:val="center"/>
          </w:tcPr>
          <w:p w14:paraId="14B5FAC2" w14:textId="56B60880" w:rsidR="7D3D1ECB" w:rsidRPr="00687DE8" w:rsidRDefault="00105CB3">
            <w:pPr>
              <w:jc w:val="center"/>
              <w:rPr>
                <w:color w:val="000000" w:themeColor="text1"/>
                <w:szCs w:val="24"/>
              </w:rPr>
            </w:pPr>
            <w:r>
              <w:rPr>
                <w:color w:val="000000"/>
              </w:rPr>
              <w:t>41,18</w:t>
            </w:r>
          </w:p>
        </w:tc>
      </w:tr>
      <w:tr w:rsidR="00583DD2" w:rsidRPr="00687DE8" w14:paraId="6C6FDA0F" w14:textId="77777777" w:rsidTr="13957D57">
        <w:trPr>
          <w:divId w:val="1316184749"/>
          <w:trHeight w:val="300"/>
        </w:trPr>
        <w:tc>
          <w:tcPr>
            <w:tcW w:w="3638" w:type="dxa"/>
          </w:tcPr>
          <w:p w14:paraId="39D91976" w14:textId="21584544" w:rsidR="40A22368" w:rsidRPr="00687DE8" w:rsidRDefault="44847C6C" w:rsidP="002C2A0D">
            <w:pPr>
              <w:rPr>
                <w:szCs w:val="24"/>
              </w:rPr>
            </w:pPr>
            <w:r w:rsidRPr="00687DE8">
              <w:rPr>
                <w:szCs w:val="24"/>
              </w:rPr>
              <w:t>Mobiilse hambaraviteenuse valmisoleku</w:t>
            </w:r>
            <w:r w:rsidR="00E75CB9" w:rsidRPr="00687DE8">
              <w:rPr>
                <w:szCs w:val="24"/>
              </w:rPr>
              <w:t xml:space="preserve">tasu </w:t>
            </w:r>
            <w:r w:rsidR="00FA0849" w:rsidRPr="00687DE8">
              <w:rPr>
                <w:szCs w:val="24"/>
              </w:rPr>
              <w:t>kvartalis</w:t>
            </w:r>
          </w:p>
        </w:tc>
        <w:tc>
          <w:tcPr>
            <w:tcW w:w="3290" w:type="dxa"/>
          </w:tcPr>
          <w:p w14:paraId="6050D4C5" w14:textId="4EB8A431" w:rsidR="44847C6C" w:rsidRPr="00687DE8" w:rsidRDefault="003E7D86" w:rsidP="002C2A0D">
            <w:pPr>
              <w:jc w:val="center"/>
              <w:rPr>
                <w:rFonts w:eastAsia="Calibri"/>
                <w:szCs w:val="24"/>
              </w:rPr>
            </w:pPr>
            <w:r w:rsidRPr="00687DE8">
              <w:rPr>
                <w:rFonts w:eastAsia="Calibri"/>
                <w:szCs w:val="24"/>
              </w:rPr>
              <w:t>2330K</w:t>
            </w:r>
          </w:p>
        </w:tc>
        <w:tc>
          <w:tcPr>
            <w:tcW w:w="2452" w:type="dxa"/>
            <w:tcBorders>
              <w:top w:val="nil"/>
              <w:left w:val="single" w:sz="4" w:space="0" w:color="auto"/>
              <w:bottom w:val="single" w:sz="4" w:space="0" w:color="auto"/>
              <w:right w:val="single" w:sz="4" w:space="0" w:color="auto"/>
            </w:tcBorders>
            <w:vAlign w:val="center"/>
          </w:tcPr>
          <w:p w14:paraId="023E83EC" w14:textId="4CD54749" w:rsidR="7D3D1ECB" w:rsidRPr="00687DE8" w:rsidRDefault="00846D59">
            <w:pPr>
              <w:jc w:val="center"/>
              <w:rPr>
                <w:color w:val="000000" w:themeColor="text1"/>
                <w:szCs w:val="24"/>
              </w:rPr>
            </w:pPr>
            <w:r>
              <w:rPr>
                <w:color w:val="000000"/>
              </w:rPr>
              <w:t>8 873,12</w:t>
            </w:r>
          </w:p>
        </w:tc>
      </w:tr>
      <w:tr w:rsidR="00583DD2" w:rsidRPr="00687DE8" w14:paraId="66CBD0CF" w14:textId="77777777" w:rsidTr="13957D57">
        <w:trPr>
          <w:divId w:val="1316184749"/>
          <w:trHeight w:val="300"/>
        </w:trPr>
        <w:tc>
          <w:tcPr>
            <w:tcW w:w="3638" w:type="dxa"/>
          </w:tcPr>
          <w:p w14:paraId="0ADB33F6" w14:textId="4752077E" w:rsidR="44847C6C" w:rsidRPr="00687DE8" w:rsidRDefault="44847C6C" w:rsidP="002C2A0D">
            <w:pPr>
              <w:rPr>
                <w:szCs w:val="24"/>
              </w:rPr>
            </w:pPr>
            <w:r w:rsidRPr="00687DE8">
              <w:rPr>
                <w:szCs w:val="24"/>
              </w:rPr>
              <w:t>Mobiilse hambaravi ennetus</w:t>
            </w:r>
            <w:r w:rsidR="007C075B" w:rsidRPr="00687DE8">
              <w:rPr>
                <w:szCs w:val="24"/>
              </w:rPr>
              <w:t>t</w:t>
            </w:r>
            <w:r w:rsidRPr="00687DE8">
              <w:rPr>
                <w:szCs w:val="24"/>
              </w:rPr>
              <w:t>eenus</w:t>
            </w:r>
            <w:r w:rsidR="00D71961" w:rsidRPr="00687DE8">
              <w:rPr>
                <w:szCs w:val="24"/>
              </w:rPr>
              <w:t xml:space="preserve"> (arst)</w:t>
            </w:r>
          </w:p>
        </w:tc>
        <w:tc>
          <w:tcPr>
            <w:tcW w:w="3290" w:type="dxa"/>
          </w:tcPr>
          <w:p w14:paraId="1F611FE3" w14:textId="79F6A1B5" w:rsidR="44847C6C" w:rsidRPr="00687DE8" w:rsidRDefault="00D71961" w:rsidP="002C2A0D">
            <w:pPr>
              <w:jc w:val="center"/>
              <w:rPr>
                <w:rFonts w:eastAsia="Calibri"/>
                <w:szCs w:val="24"/>
              </w:rPr>
            </w:pPr>
            <w:r w:rsidRPr="00687DE8">
              <w:rPr>
                <w:rFonts w:eastAsia="Calibri"/>
                <w:szCs w:val="24"/>
              </w:rPr>
              <w:t>52470</w:t>
            </w:r>
          </w:p>
        </w:tc>
        <w:tc>
          <w:tcPr>
            <w:tcW w:w="2452" w:type="dxa"/>
            <w:tcBorders>
              <w:top w:val="single" w:sz="4" w:space="0" w:color="auto"/>
              <w:left w:val="single" w:sz="4" w:space="0" w:color="auto"/>
              <w:bottom w:val="single" w:sz="4" w:space="0" w:color="auto"/>
              <w:right w:val="single" w:sz="4" w:space="0" w:color="auto"/>
            </w:tcBorders>
            <w:vAlign w:val="center"/>
          </w:tcPr>
          <w:p w14:paraId="373033DA" w14:textId="20710087" w:rsidR="7D3D1ECB" w:rsidRPr="00687DE8" w:rsidRDefault="00627B24">
            <w:pPr>
              <w:jc w:val="center"/>
              <w:rPr>
                <w:color w:val="000000" w:themeColor="text1"/>
                <w:szCs w:val="24"/>
              </w:rPr>
            </w:pPr>
            <w:r>
              <w:rPr>
                <w:color w:val="000000"/>
              </w:rPr>
              <w:t>57,15</w:t>
            </w:r>
          </w:p>
        </w:tc>
      </w:tr>
      <w:tr w:rsidR="00583DD2" w:rsidRPr="00687DE8" w14:paraId="7F338C49" w14:textId="77777777" w:rsidTr="13957D57">
        <w:trPr>
          <w:divId w:val="1316184749"/>
          <w:trHeight w:val="300"/>
        </w:trPr>
        <w:tc>
          <w:tcPr>
            <w:tcW w:w="3638" w:type="dxa"/>
          </w:tcPr>
          <w:p w14:paraId="0FF2EB6B" w14:textId="42465496" w:rsidR="00D71961" w:rsidRPr="00687DE8" w:rsidRDefault="00D71961" w:rsidP="002C2A0D">
            <w:pPr>
              <w:rPr>
                <w:szCs w:val="24"/>
              </w:rPr>
            </w:pPr>
            <w:r w:rsidRPr="00687DE8">
              <w:rPr>
                <w:szCs w:val="24"/>
              </w:rPr>
              <w:t>Mobiilse hambaravi ennetusteenus (</w:t>
            </w:r>
            <w:r w:rsidR="00E73849" w:rsidRPr="00687DE8">
              <w:rPr>
                <w:szCs w:val="24"/>
              </w:rPr>
              <w:t>õde</w:t>
            </w:r>
            <w:r w:rsidRPr="00687DE8">
              <w:rPr>
                <w:szCs w:val="24"/>
              </w:rPr>
              <w:t>)</w:t>
            </w:r>
          </w:p>
        </w:tc>
        <w:tc>
          <w:tcPr>
            <w:tcW w:w="3290" w:type="dxa"/>
          </w:tcPr>
          <w:p w14:paraId="753E3053" w14:textId="42EDFC7A" w:rsidR="00D71961" w:rsidRPr="00687DE8" w:rsidRDefault="00DE1047" w:rsidP="002C2A0D">
            <w:pPr>
              <w:jc w:val="center"/>
              <w:rPr>
                <w:rFonts w:eastAsia="Calibri"/>
                <w:szCs w:val="24"/>
              </w:rPr>
            </w:pPr>
            <w:r w:rsidRPr="00687DE8">
              <w:rPr>
                <w:rFonts w:eastAsia="Calibri"/>
                <w:szCs w:val="24"/>
              </w:rPr>
              <w:t>52471</w:t>
            </w:r>
          </w:p>
        </w:tc>
        <w:tc>
          <w:tcPr>
            <w:tcW w:w="2452" w:type="dxa"/>
            <w:tcBorders>
              <w:top w:val="nil"/>
              <w:left w:val="single" w:sz="4" w:space="0" w:color="auto"/>
              <w:bottom w:val="single" w:sz="4" w:space="0" w:color="auto"/>
              <w:right w:val="single" w:sz="4" w:space="0" w:color="auto"/>
            </w:tcBorders>
            <w:vAlign w:val="center"/>
          </w:tcPr>
          <w:p w14:paraId="07B1D616" w14:textId="2A2DEF58" w:rsidR="7D3D1ECB" w:rsidRPr="00687DE8" w:rsidRDefault="00627B24">
            <w:pPr>
              <w:jc w:val="center"/>
              <w:rPr>
                <w:color w:val="000000" w:themeColor="text1"/>
                <w:szCs w:val="24"/>
              </w:rPr>
            </w:pPr>
            <w:r>
              <w:rPr>
                <w:color w:val="000000"/>
              </w:rPr>
              <w:t>40,00</w:t>
            </w:r>
          </w:p>
        </w:tc>
      </w:tr>
      <w:tr w:rsidR="00583DD2" w:rsidRPr="00687DE8" w14:paraId="3BA760A2" w14:textId="77777777" w:rsidTr="13957D57">
        <w:trPr>
          <w:divId w:val="1316184749"/>
          <w:trHeight w:val="300"/>
        </w:trPr>
        <w:tc>
          <w:tcPr>
            <w:tcW w:w="3638" w:type="dxa"/>
          </w:tcPr>
          <w:p w14:paraId="7A9AB3E3" w14:textId="7E5FB44B" w:rsidR="006B6950" w:rsidRPr="00687DE8" w:rsidRDefault="009E013D" w:rsidP="002C2A0D">
            <w:pPr>
              <w:rPr>
                <w:szCs w:val="24"/>
              </w:rPr>
            </w:pPr>
            <w:r w:rsidRPr="00687DE8">
              <w:rPr>
                <w:szCs w:val="24"/>
              </w:rPr>
              <w:t>Töötervishoiuarsti vastuvõtt patsiendi tervisese</w:t>
            </w:r>
            <w:r w:rsidR="003721A7" w:rsidRPr="00687DE8">
              <w:rPr>
                <w:szCs w:val="24"/>
              </w:rPr>
              <w:t>isundi</w:t>
            </w:r>
            <w:r w:rsidRPr="00687DE8">
              <w:rPr>
                <w:szCs w:val="24"/>
              </w:rPr>
              <w:t xml:space="preserve"> täpsustamiseks</w:t>
            </w:r>
          </w:p>
        </w:tc>
        <w:tc>
          <w:tcPr>
            <w:tcW w:w="3290" w:type="dxa"/>
          </w:tcPr>
          <w:p w14:paraId="7ED2B05B" w14:textId="77777777" w:rsidR="003964CD" w:rsidRDefault="003964CD" w:rsidP="002C2A0D">
            <w:pPr>
              <w:jc w:val="center"/>
              <w:rPr>
                <w:rFonts w:eastAsia="Calibri"/>
                <w:szCs w:val="24"/>
              </w:rPr>
            </w:pPr>
          </w:p>
          <w:p w14:paraId="1BF40EAB" w14:textId="6507FF1C" w:rsidR="006B6950" w:rsidRPr="00687DE8" w:rsidRDefault="7B383DCA" w:rsidP="002C2A0D">
            <w:pPr>
              <w:jc w:val="center"/>
              <w:rPr>
                <w:rFonts w:eastAsia="Calibri"/>
                <w:szCs w:val="24"/>
              </w:rPr>
            </w:pPr>
            <w:r w:rsidRPr="00687DE8">
              <w:rPr>
                <w:rFonts w:eastAsia="Calibri"/>
                <w:szCs w:val="24"/>
              </w:rPr>
              <w:t>4512A</w:t>
            </w:r>
          </w:p>
        </w:tc>
        <w:tc>
          <w:tcPr>
            <w:tcW w:w="2452" w:type="dxa"/>
            <w:tcBorders>
              <w:top w:val="nil"/>
              <w:left w:val="single" w:sz="4" w:space="0" w:color="auto"/>
              <w:bottom w:val="single" w:sz="4" w:space="0" w:color="auto"/>
              <w:right w:val="single" w:sz="4" w:space="0" w:color="auto"/>
            </w:tcBorders>
            <w:vAlign w:val="center"/>
          </w:tcPr>
          <w:p w14:paraId="7CE36BB1" w14:textId="3F43D491" w:rsidR="006B6950" w:rsidRPr="00687DE8" w:rsidRDefault="00627B24" w:rsidP="002C2A0D">
            <w:pPr>
              <w:jc w:val="center"/>
              <w:rPr>
                <w:szCs w:val="24"/>
              </w:rPr>
            </w:pPr>
            <w:r>
              <w:rPr>
                <w:color w:val="000000"/>
              </w:rPr>
              <w:t>39,92</w:t>
            </w:r>
          </w:p>
        </w:tc>
      </w:tr>
      <w:tr w:rsidR="00583DD2" w:rsidRPr="00687DE8" w14:paraId="5FF0AA5D" w14:textId="77777777" w:rsidTr="13957D57">
        <w:trPr>
          <w:divId w:val="1316184749"/>
          <w:trHeight w:val="555"/>
        </w:trPr>
        <w:tc>
          <w:tcPr>
            <w:tcW w:w="3638" w:type="dxa"/>
          </w:tcPr>
          <w:p w14:paraId="51558797" w14:textId="3B644833" w:rsidR="3B28F721" w:rsidRPr="00687DE8" w:rsidRDefault="009E013D" w:rsidP="00CE6C10">
            <w:pPr>
              <w:rPr>
                <w:szCs w:val="24"/>
              </w:rPr>
            </w:pPr>
            <w:r w:rsidRPr="00687DE8">
              <w:rPr>
                <w:szCs w:val="24"/>
              </w:rPr>
              <w:t>Töötervishoiuarsti kaugvastuvõtt patsiendi terviseseisundi täpsustamiseks</w:t>
            </w:r>
          </w:p>
        </w:tc>
        <w:tc>
          <w:tcPr>
            <w:tcW w:w="3290" w:type="dxa"/>
          </w:tcPr>
          <w:p w14:paraId="57A59F43" w14:textId="77777777" w:rsidR="003964CD" w:rsidRDefault="003964CD" w:rsidP="00D27958">
            <w:pPr>
              <w:jc w:val="center"/>
              <w:rPr>
                <w:rFonts w:eastAsia="Calibri"/>
                <w:szCs w:val="24"/>
              </w:rPr>
            </w:pPr>
          </w:p>
          <w:p w14:paraId="4C29B7B4" w14:textId="73C4956E" w:rsidR="53E47453" w:rsidRPr="00687DE8" w:rsidRDefault="0D2966C2" w:rsidP="00D27958">
            <w:pPr>
              <w:jc w:val="center"/>
              <w:rPr>
                <w:rFonts w:eastAsia="Calibri"/>
                <w:szCs w:val="24"/>
              </w:rPr>
            </w:pPr>
            <w:r w:rsidRPr="00687DE8">
              <w:rPr>
                <w:rFonts w:eastAsia="Calibri"/>
                <w:szCs w:val="24"/>
              </w:rPr>
              <w:t>4514A</w:t>
            </w:r>
          </w:p>
        </w:tc>
        <w:tc>
          <w:tcPr>
            <w:tcW w:w="2452" w:type="dxa"/>
            <w:tcBorders>
              <w:top w:val="nil"/>
              <w:left w:val="single" w:sz="4" w:space="0" w:color="auto"/>
              <w:bottom w:val="single" w:sz="4" w:space="0" w:color="auto"/>
              <w:right w:val="single" w:sz="4" w:space="0" w:color="auto"/>
            </w:tcBorders>
            <w:vAlign w:val="center"/>
          </w:tcPr>
          <w:p w14:paraId="5C978B7D" w14:textId="283E9119" w:rsidR="521C87F0" w:rsidRPr="00687DE8" w:rsidRDefault="00627B24" w:rsidP="00D27958">
            <w:pPr>
              <w:jc w:val="center"/>
              <w:rPr>
                <w:szCs w:val="24"/>
              </w:rPr>
            </w:pPr>
            <w:r>
              <w:rPr>
                <w:color w:val="000000"/>
              </w:rPr>
              <w:t>39,92</w:t>
            </w:r>
          </w:p>
        </w:tc>
      </w:tr>
      <w:tr w:rsidR="00583DD2" w:rsidRPr="00687DE8" w14:paraId="2CF3FD33" w14:textId="77777777" w:rsidTr="13957D57">
        <w:trPr>
          <w:divId w:val="1316184749"/>
          <w:trHeight w:val="300"/>
        </w:trPr>
        <w:tc>
          <w:tcPr>
            <w:tcW w:w="3638" w:type="dxa"/>
          </w:tcPr>
          <w:p w14:paraId="666A042E" w14:textId="0F465837" w:rsidR="37D2AEE2" w:rsidRPr="00687DE8" w:rsidRDefault="009E013D" w:rsidP="4C2EE7B6">
            <w:pPr>
              <w:rPr>
                <w:szCs w:val="24"/>
              </w:rPr>
            </w:pPr>
            <w:r w:rsidRPr="00687DE8">
              <w:rPr>
                <w:szCs w:val="24"/>
              </w:rPr>
              <w:t>Töötervishoiuarsti vastuvõtt patsiendi töötingimuste täpsustamiseks</w:t>
            </w:r>
          </w:p>
        </w:tc>
        <w:tc>
          <w:tcPr>
            <w:tcW w:w="3290" w:type="dxa"/>
          </w:tcPr>
          <w:p w14:paraId="0FF169AA" w14:textId="77777777" w:rsidR="003964CD" w:rsidRDefault="003964CD" w:rsidP="00D27958">
            <w:pPr>
              <w:jc w:val="center"/>
              <w:rPr>
                <w:rFonts w:eastAsia="Calibri"/>
                <w:szCs w:val="24"/>
              </w:rPr>
            </w:pPr>
          </w:p>
          <w:p w14:paraId="0C8E02D8" w14:textId="07DBA263" w:rsidR="20E5462E" w:rsidRPr="00687DE8" w:rsidRDefault="6AD36CB2" w:rsidP="00D27958">
            <w:pPr>
              <w:jc w:val="center"/>
              <w:rPr>
                <w:rFonts w:eastAsia="Calibri"/>
                <w:szCs w:val="24"/>
              </w:rPr>
            </w:pPr>
            <w:r w:rsidRPr="00687DE8">
              <w:rPr>
                <w:rFonts w:eastAsia="Calibri"/>
                <w:szCs w:val="24"/>
              </w:rPr>
              <w:t>4513A</w:t>
            </w:r>
          </w:p>
        </w:tc>
        <w:tc>
          <w:tcPr>
            <w:tcW w:w="2452" w:type="dxa"/>
            <w:tcBorders>
              <w:top w:val="nil"/>
              <w:left w:val="single" w:sz="4" w:space="0" w:color="auto"/>
              <w:bottom w:val="single" w:sz="4" w:space="0" w:color="auto"/>
              <w:right w:val="single" w:sz="4" w:space="0" w:color="auto"/>
            </w:tcBorders>
            <w:vAlign w:val="center"/>
          </w:tcPr>
          <w:p w14:paraId="4EB621FE" w14:textId="03513E6F" w:rsidR="521C87F0" w:rsidRPr="00687DE8" w:rsidRDefault="00627B24" w:rsidP="00D27958">
            <w:pPr>
              <w:jc w:val="center"/>
              <w:rPr>
                <w:szCs w:val="24"/>
              </w:rPr>
            </w:pPr>
            <w:r>
              <w:rPr>
                <w:color w:val="000000"/>
              </w:rPr>
              <w:t>39,92</w:t>
            </w:r>
          </w:p>
        </w:tc>
      </w:tr>
      <w:tr w:rsidR="00583DD2" w:rsidRPr="00687DE8" w14:paraId="1BC34D8A" w14:textId="77777777" w:rsidTr="13957D57">
        <w:trPr>
          <w:divId w:val="1316184749"/>
          <w:trHeight w:val="300"/>
        </w:trPr>
        <w:tc>
          <w:tcPr>
            <w:tcW w:w="3638" w:type="dxa"/>
          </w:tcPr>
          <w:p w14:paraId="07D4EFA0" w14:textId="2413C360" w:rsidR="37D2AEE2" w:rsidRPr="00687DE8" w:rsidRDefault="009E013D" w:rsidP="4C2EE7B6">
            <w:pPr>
              <w:rPr>
                <w:szCs w:val="24"/>
              </w:rPr>
            </w:pPr>
            <w:r w:rsidRPr="00687DE8">
              <w:rPr>
                <w:szCs w:val="24"/>
              </w:rPr>
              <w:t>Töötervishoiuarsti kaugvastuvõtt patsiendi töötingimuste täpsustamiseks</w:t>
            </w:r>
          </w:p>
        </w:tc>
        <w:tc>
          <w:tcPr>
            <w:tcW w:w="3290" w:type="dxa"/>
          </w:tcPr>
          <w:p w14:paraId="37E96286" w14:textId="77777777" w:rsidR="003964CD" w:rsidRDefault="003964CD" w:rsidP="00D27958">
            <w:pPr>
              <w:jc w:val="center"/>
              <w:rPr>
                <w:rFonts w:eastAsia="Calibri"/>
                <w:szCs w:val="24"/>
              </w:rPr>
            </w:pPr>
          </w:p>
          <w:p w14:paraId="30C0159C" w14:textId="3B6F4CFD" w:rsidR="5B4D8660" w:rsidRPr="00687DE8" w:rsidRDefault="15C9ECAE" w:rsidP="00D27958">
            <w:pPr>
              <w:jc w:val="center"/>
              <w:rPr>
                <w:rFonts w:eastAsia="Calibri"/>
                <w:szCs w:val="24"/>
              </w:rPr>
            </w:pPr>
            <w:r w:rsidRPr="00687DE8">
              <w:rPr>
                <w:rFonts w:eastAsia="Calibri"/>
                <w:szCs w:val="24"/>
              </w:rPr>
              <w:t>4515A</w:t>
            </w:r>
          </w:p>
        </w:tc>
        <w:tc>
          <w:tcPr>
            <w:tcW w:w="2452" w:type="dxa"/>
            <w:tcBorders>
              <w:top w:val="nil"/>
              <w:left w:val="single" w:sz="4" w:space="0" w:color="auto"/>
              <w:bottom w:val="single" w:sz="4" w:space="0" w:color="auto"/>
              <w:right w:val="single" w:sz="4" w:space="0" w:color="auto"/>
            </w:tcBorders>
            <w:vAlign w:val="center"/>
          </w:tcPr>
          <w:p w14:paraId="5C7560B8" w14:textId="5ED4CD56" w:rsidR="521C87F0" w:rsidRPr="00687DE8" w:rsidRDefault="00627B24" w:rsidP="00D27958">
            <w:pPr>
              <w:jc w:val="center"/>
              <w:rPr>
                <w:szCs w:val="24"/>
              </w:rPr>
            </w:pPr>
            <w:r>
              <w:rPr>
                <w:color w:val="000000"/>
              </w:rPr>
              <w:t>39,92</w:t>
            </w:r>
          </w:p>
        </w:tc>
      </w:tr>
      <w:tr w:rsidR="00583DD2" w:rsidRPr="00687DE8" w14:paraId="2AF81C97" w14:textId="77777777" w:rsidTr="13957D57">
        <w:trPr>
          <w:divId w:val="1316184749"/>
          <w:trHeight w:val="300"/>
        </w:trPr>
        <w:tc>
          <w:tcPr>
            <w:tcW w:w="3638" w:type="dxa"/>
          </w:tcPr>
          <w:p w14:paraId="7A11762E" w14:textId="0050C1F2" w:rsidR="00341B6B" w:rsidRPr="00687DE8" w:rsidRDefault="00684B59" w:rsidP="4C2EE7B6">
            <w:pPr>
              <w:rPr>
                <w:szCs w:val="24"/>
              </w:rPr>
            </w:pPr>
            <w:r w:rsidRPr="00687DE8">
              <w:rPr>
                <w:szCs w:val="24"/>
              </w:rPr>
              <w:t>Tervishoiuteenuse osutaja vastutuskindlustuse</w:t>
            </w:r>
            <w:r w:rsidR="00965871" w:rsidRPr="00687DE8">
              <w:rPr>
                <w:szCs w:val="24"/>
              </w:rPr>
              <w:t xml:space="preserve"> kindlustuskohustuse täitmine</w:t>
            </w:r>
            <w:r w:rsidR="00CE3975" w:rsidRPr="00687DE8">
              <w:rPr>
                <w:szCs w:val="24"/>
              </w:rPr>
              <w:t xml:space="preserve"> (1</w:t>
            </w:r>
            <w:r w:rsidR="00742493">
              <w:rPr>
                <w:szCs w:val="24"/>
              </w:rPr>
              <w:t> </w:t>
            </w:r>
            <w:r w:rsidR="00CE3975" w:rsidRPr="00687DE8">
              <w:rPr>
                <w:szCs w:val="24"/>
              </w:rPr>
              <w:t>kuu)</w:t>
            </w:r>
          </w:p>
        </w:tc>
        <w:tc>
          <w:tcPr>
            <w:tcW w:w="3290" w:type="dxa"/>
          </w:tcPr>
          <w:p w14:paraId="0AEFB521" w14:textId="4068A1B2" w:rsidR="00341B6B" w:rsidRPr="00687DE8" w:rsidRDefault="00341B6B" w:rsidP="00D27958">
            <w:pPr>
              <w:jc w:val="center"/>
              <w:rPr>
                <w:szCs w:val="24"/>
              </w:rPr>
            </w:pPr>
            <w:r w:rsidRPr="00687DE8">
              <w:rPr>
                <w:szCs w:val="24"/>
              </w:rPr>
              <w:t>4516A</w:t>
            </w:r>
          </w:p>
        </w:tc>
        <w:tc>
          <w:tcPr>
            <w:tcW w:w="2452" w:type="dxa"/>
            <w:tcBorders>
              <w:top w:val="nil"/>
              <w:left w:val="single" w:sz="4" w:space="0" w:color="auto"/>
              <w:bottom w:val="single" w:sz="4" w:space="0" w:color="auto"/>
              <w:right w:val="single" w:sz="4" w:space="0" w:color="auto"/>
            </w:tcBorders>
            <w:vAlign w:val="center"/>
          </w:tcPr>
          <w:p w14:paraId="2904748D" w14:textId="24D6521C" w:rsidR="00341B6B" w:rsidRPr="00687DE8" w:rsidRDefault="00627B24" w:rsidP="00D27958">
            <w:pPr>
              <w:jc w:val="center"/>
              <w:rPr>
                <w:szCs w:val="24"/>
              </w:rPr>
            </w:pPr>
            <w:r>
              <w:rPr>
                <w:color w:val="000000"/>
              </w:rPr>
              <w:t>1,00</w:t>
            </w:r>
          </w:p>
        </w:tc>
      </w:tr>
      <w:tr w:rsidR="00583DD2" w14:paraId="6A40B103" w14:textId="77777777" w:rsidTr="13957D57">
        <w:trPr>
          <w:divId w:val="1316184749"/>
          <w:trHeight w:val="300"/>
        </w:trPr>
        <w:tc>
          <w:tcPr>
            <w:tcW w:w="3638" w:type="dxa"/>
          </w:tcPr>
          <w:p w14:paraId="7606E39A" w14:textId="537A2AAF" w:rsidR="1068F7B2" w:rsidRDefault="1068F7B2" w:rsidP="27120549">
            <w:r>
              <w:t>Palliatiivse ravi voodipäev</w:t>
            </w:r>
          </w:p>
        </w:tc>
        <w:tc>
          <w:tcPr>
            <w:tcW w:w="3290" w:type="dxa"/>
          </w:tcPr>
          <w:p w14:paraId="4FA85936" w14:textId="016D83D2" w:rsidR="06D1E421" w:rsidRDefault="06D1E421" w:rsidP="27120549">
            <w:pPr>
              <w:jc w:val="center"/>
            </w:pPr>
            <w:r>
              <w:t>2074</w:t>
            </w:r>
          </w:p>
        </w:tc>
        <w:tc>
          <w:tcPr>
            <w:tcW w:w="2452" w:type="dxa"/>
            <w:tcBorders>
              <w:top w:val="single" w:sz="4" w:space="0" w:color="auto"/>
              <w:left w:val="single" w:sz="4" w:space="0" w:color="auto"/>
              <w:bottom w:val="single" w:sz="4" w:space="0" w:color="auto"/>
              <w:right w:val="single" w:sz="4" w:space="0" w:color="auto"/>
            </w:tcBorders>
            <w:vAlign w:val="center"/>
          </w:tcPr>
          <w:p w14:paraId="00679AB9" w14:textId="4D18BBEF" w:rsidR="1068F7B2" w:rsidRDefault="004F7396" w:rsidP="27120549">
            <w:pPr>
              <w:jc w:val="center"/>
            </w:pPr>
            <w:r>
              <w:rPr>
                <w:color w:val="000000"/>
              </w:rPr>
              <w:t>209,73</w:t>
            </w:r>
          </w:p>
        </w:tc>
      </w:tr>
      <w:tr w:rsidR="00583DD2" w14:paraId="50BBD5FC" w14:textId="77777777" w:rsidTr="13957D57">
        <w:trPr>
          <w:divId w:val="1316184749"/>
          <w:trHeight w:val="300"/>
        </w:trPr>
        <w:tc>
          <w:tcPr>
            <w:tcW w:w="3638" w:type="dxa"/>
          </w:tcPr>
          <w:p w14:paraId="2EE4F64E" w14:textId="1119F128" w:rsidR="10235C1D" w:rsidRDefault="10235C1D" w:rsidP="27120549">
            <w:r>
              <w:t>Raviplaani koostamine palliatiiv</w:t>
            </w:r>
            <w:r w:rsidR="6E3DBBA7">
              <w:t xml:space="preserve">se </w:t>
            </w:r>
            <w:r>
              <w:t>ravi meeskonna poolt</w:t>
            </w:r>
          </w:p>
        </w:tc>
        <w:tc>
          <w:tcPr>
            <w:tcW w:w="3290" w:type="dxa"/>
          </w:tcPr>
          <w:p w14:paraId="26F7E71A" w14:textId="5231D88E" w:rsidR="25E1894D" w:rsidRDefault="001D0B36" w:rsidP="27120549">
            <w:pPr>
              <w:jc w:val="center"/>
            </w:pPr>
            <w:r>
              <w:t>3244</w:t>
            </w:r>
          </w:p>
        </w:tc>
        <w:tc>
          <w:tcPr>
            <w:tcW w:w="2452" w:type="dxa"/>
            <w:tcBorders>
              <w:top w:val="nil"/>
              <w:left w:val="single" w:sz="4" w:space="0" w:color="auto"/>
              <w:bottom w:val="single" w:sz="4" w:space="0" w:color="auto"/>
              <w:right w:val="single" w:sz="4" w:space="0" w:color="auto"/>
            </w:tcBorders>
            <w:vAlign w:val="center"/>
          </w:tcPr>
          <w:p w14:paraId="4978B7DC" w14:textId="48EEAFC4" w:rsidR="1068F7B2" w:rsidRDefault="004F7396" w:rsidP="27120549">
            <w:pPr>
              <w:jc w:val="center"/>
            </w:pPr>
            <w:r>
              <w:rPr>
                <w:color w:val="000000"/>
              </w:rPr>
              <w:t>83,63</w:t>
            </w:r>
          </w:p>
        </w:tc>
      </w:tr>
      <w:tr w:rsidR="00583DD2" w14:paraId="3B4A3764" w14:textId="77777777" w:rsidTr="13957D57">
        <w:trPr>
          <w:divId w:val="1316184749"/>
          <w:trHeight w:val="300"/>
        </w:trPr>
        <w:tc>
          <w:tcPr>
            <w:tcW w:w="3638" w:type="dxa"/>
          </w:tcPr>
          <w:p w14:paraId="6122F6F1" w14:textId="63F6C6FA" w:rsidR="1068F7B2" w:rsidRDefault="1068F7B2" w:rsidP="27120549">
            <w:r>
              <w:t>Palliatiivse ravi spetsialisti vastuvõtt</w:t>
            </w:r>
          </w:p>
        </w:tc>
        <w:tc>
          <w:tcPr>
            <w:tcW w:w="3290" w:type="dxa"/>
          </w:tcPr>
          <w:p w14:paraId="3CFBBE8A" w14:textId="2998E8B6" w:rsidR="6E47921F" w:rsidRDefault="001D0B36" w:rsidP="27120549">
            <w:pPr>
              <w:jc w:val="center"/>
            </w:pPr>
            <w:r>
              <w:t>3245</w:t>
            </w:r>
          </w:p>
        </w:tc>
        <w:tc>
          <w:tcPr>
            <w:tcW w:w="2452" w:type="dxa"/>
            <w:tcBorders>
              <w:top w:val="nil"/>
              <w:left w:val="single" w:sz="4" w:space="0" w:color="auto"/>
              <w:bottom w:val="single" w:sz="4" w:space="0" w:color="auto"/>
              <w:right w:val="single" w:sz="4" w:space="0" w:color="auto"/>
            </w:tcBorders>
            <w:vAlign w:val="center"/>
          </w:tcPr>
          <w:p w14:paraId="305C0209" w14:textId="07D9DA48" w:rsidR="1068F7B2" w:rsidRDefault="004F7396" w:rsidP="27120549">
            <w:pPr>
              <w:jc w:val="center"/>
            </w:pPr>
            <w:r>
              <w:rPr>
                <w:color w:val="000000"/>
              </w:rPr>
              <w:t>27,82</w:t>
            </w:r>
          </w:p>
        </w:tc>
      </w:tr>
      <w:tr w:rsidR="00583DD2" w14:paraId="0F42443F" w14:textId="77777777" w:rsidTr="13957D57">
        <w:trPr>
          <w:divId w:val="1316184749"/>
          <w:trHeight w:val="300"/>
        </w:trPr>
        <w:tc>
          <w:tcPr>
            <w:tcW w:w="3638" w:type="dxa"/>
          </w:tcPr>
          <w:p w14:paraId="1F001A82" w14:textId="1C4BFF53" w:rsidR="1068F7B2" w:rsidRDefault="1068F7B2" w:rsidP="27120549">
            <w:r>
              <w:t>Palliatiivse ravi koordinaator</w:t>
            </w:r>
            <w:r w:rsidR="00B2486A">
              <w:t xml:space="preserve"> (1</w:t>
            </w:r>
            <w:r w:rsidR="00742493">
              <w:t> </w:t>
            </w:r>
            <w:r w:rsidR="00B2486A">
              <w:t>kuu)</w:t>
            </w:r>
          </w:p>
        </w:tc>
        <w:tc>
          <w:tcPr>
            <w:tcW w:w="3290" w:type="dxa"/>
          </w:tcPr>
          <w:p w14:paraId="7CA331C9" w14:textId="52B78FF7" w:rsidR="76E02801" w:rsidRDefault="001D0B36" w:rsidP="27120549">
            <w:pPr>
              <w:jc w:val="center"/>
            </w:pPr>
            <w:r>
              <w:t>3246</w:t>
            </w:r>
          </w:p>
        </w:tc>
        <w:tc>
          <w:tcPr>
            <w:tcW w:w="2452" w:type="dxa"/>
            <w:tcBorders>
              <w:top w:val="nil"/>
              <w:left w:val="single" w:sz="4" w:space="0" w:color="auto"/>
              <w:bottom w:val="single" w:sz="4" w:space="0" w:color="auto"/>
              <w:right w:val="single" w:sz="4" w:space="0" w:color="auto"/>
            </w:tcBorders>
            <w:vAlign w:val="center"/>
          </w:tcPr>
          <w:p w14:paraId="35B1F5A8" w14:textId="4B97BB18" w:rsidR="27120549" w:rsidRDefault="004F7396" w:rsidP="27120549">
            <w:pPr>
              <w:jc w:val="center"/>
            </w:pPr>
            <w:r>
              <w:rPr>
                <w:color w:val="000000"/>
              </w:rPr>
              <w:t>4 285,30</w:t>
            </w:r>
          </w:p>
        </w:tc>
      </w:tr>
      <w:tr w:rsidR="00583DD2" w14:paraId="3946FAF9" w14:textId="77777777" w:rsidTr="13957D57">
        <w:trPr>
          <w:divId w:val="1316184749"/>
          <w:trHeight w:val="300"/>
        </w:trPr>
        <w:tc>
          <w:tcPr>
            <w:tcW w:w="3638" w:type="dxa"/>
          </w:tcPr>
          <w:p w14:paraId="4BD82E4B" w14:textId="4295DB04" w:rsidR="004F5B97" w:rsidRDefault="004F5B97" w:rsidP="27120549">
            <w:r w:rsidRPr="004F5B97">
              <w:t>Kopsuvähi sõeluuringu laienemise koordineerimine (1 kuu)</w:t>
            </w:r>
          </w:p>
        </w:tc>
        <w:tc>
          <w:tcPr>
            <w:tcW w:w="3290" w:type="dxa"/>
          </w:tcPr>
          <w:p w14:paraId="3F74E1C4" w14:textId="06FEA24F" w:rsidR="004F5B97" w:rsidRDefault="00AA09E7" w:rsidP="27120549">
            <w:pPr>
              <w:jc w:val="center"/>
            </w:pPr>
            <w:r>
              <w:t>4522A</w:t>
            </w:r>
          </w:p>
        </w:tc>
        <w:tc>
          <w:tcPr>
            <w:tcW w:w="2452" w:type="dxa"/>
            <w:tcBorders>
              <w:top w:val="single" w:sz="4" w:space="0" w:color="auto"/>
              <w:left w:val="single" w:sz="4" w:space="0" w:color="auto"/>
              <w:bottom w:val="single" w:sz="4" w:space="0" w:color="auto"/>
              <w:right w:val="single" w:sz="4" w:space="0" w:color="auto"/>
            </w:tcBorders>
            <w:vAlign w:val="center"/>
          </w:tcPr>
          <w:p w14:paraId="0205F2F9" w14:textId="16F177BD" w:rsidR="004F5B97" w:rsidRDefault="00EB6D24" w:rsidP="27120549">
            <w:pPr>
              <w:jc w:val="center"/>
            </w:pPr>
            <w:r>
              <w:rPr>
                <w:color w:val="000000"/>
              </w:rPr>
              <w:t>4 285,30</w:t>
            </w:r>
          </w:p>
        </w:tc>
      </w:tr>
      <w:tr w:rsidR="00583DD2" w14:paraId="5E923182" w14:textId="77777777" w:rsidTr="13957D57">
        <w:trPr>
          <w:divId w:val="1316184749"/>
          <w:trHeight w:val="300"/>
        </w:trPr>
        <w:tc>
          <w:tcPr>
            <w:tcW w:w="3638" w:type="dxa"/>
          </w:tcPr>
          <w:p w14:paraId="1039F351" w14:textId="65C05087" w:rsidR="33CB8AC9" w:rsidRPr="00C114DB" w:rsidRDefault="33CB8AC9">
            <w:pPr>
              <w:pStyle w:val="Vahedeta"/>
              <w:rPr>
                <w:color w:val="000000" w:themeColor="text1"/>
                <w:szCs w:val="24"/>
                <w:lang w:val="sv-SE"/>
              </w:rPr>
            </w:pPr>
            <w:r w:rsidRPr="33CB8AC9">
              <w:rPr>
                <w:color w:val="000000" w:themeColor="text1"/>
                <w:szCs w:val="24"/>
              </w:rPr>
              <w:t>Polügeense riskiskoori arvutamine koos genotüpiseerimisega</w:t>
            </w:r>
          </w:p>
        </w:tc>
        <w:tc>
          <w:tcPr>
            <w:tcW w:w="3290" w:type="dxa"/>
          </w:tcPr>
          <w:p w14:paraId="26AE9ACC" w14:textId="0B2AD904" w:rsidR="33CB8AC9" w:rsidRDefault="33CB8AC9">
            <w:pPr>
              <w:pStyle w:val="Vahedeta"/>
              <w:jc w:val="center"/>
              <w:rPr>
                <w:color w:val="000000" w:themeColor="text1"/>
                <w:szCs w:val="24"/>
              </w:rPr>
            </w:pPr>
            <w:r w:rsidRPr="33CB8AC9">
              <w:rPr>
                <w:color w:val="000000" w:themeColor="text1"/>
                <w:szCs w:val="24"/>
              </w:rPr>
              <w:t>66648</w:t>
            </w:r>
          </w:p>
        </w:tc>
        <w:tc>
          <w:tcPr>
            <w:tcW w:w="2452" w:type="dxa"/>
            <w:tcBorders>
              <w:top w:val="nil"/>
              <w:left w:val="single" w:sz="4" w:space="0" w:color="auto"/>
              <w:bottom w:val="single" w:sz="4" w:space="0" w:color="auto"/>
              <w:right w:val="single" w:sz="4" w:space="0" w:color="auto"/>
            </w:tcBorders>
            <w:vAlign w:val="center"/>
          </w:tcPr>
          <w:p w14:paraId="436CF0A4" w14:textId="488B5657" w:rsidR="33CB8AC9" w:rsidRDefault="00EB6D24">
            <w:pPr>
              <w:pStyle w:val="Vahedeta"/>
              <w:jc w:val="center"/>
              <w:rPr>
                <w:color w:val="000000" w:themeColor="text1"/>
                <w:szCs w:val="24"/>
              </w:rPr>
            </w:pPr>
            <w:r>
              <w:rPr>
                <w:color w:val="000000"/>
              </w:rPr>
              <w:t>189,25</w:t>
            </w:r>
          </w:p>
        </w:tc>
      </w:tr>
      <w:tr w:rsidR="00583DD2" w14:paraId="353141BA" w14:textId="77777777" w:rsidTr="13957D57">
        <w:trPr>
          <w:divId w:val="1316184749"/>
          <w:trHeight w:val="300"/>
        </w:trPr>
        <w:tc>
          <w:tcPr>
            <w:tcW w:w="3638" w:type="dxa"/>
          </w:tcPr>
          <w:p w14:paraId="0D7855B0" w14:textId="17FD4422" w:rsidR="33CB8AC9" w:rsidRDefault="33CB8AC9">
            <w:pPr>
              <w:pStyle w:val="Vahedeta"/>
              <w:rPr>
                <w:color w:val="000000" w:themeColor="text1"/>
                <w:szCs w:val="24"/>
              </w:rPr>
            </w:pPr>
            <w:r w:rsidRPr="33CB8AC9">
              <w:rPr>
                <w:color w:val="000000" w:themeColor="text1"/>
                <w:szCs w:val="24"/>
              </w:rPr>
              <w:t>Polügeense riskiskoori arvutamine olemasolevate geeniandmete põhjal</w:t>
            </w:r>
          </w:p>
        </w:tc>
        <w:tc>
          <w:tcPr>
            <w:tcW w:w="3290" w:type="dxa"/>
          </w:tcPr>
          <w:p w14:paraId="282EC895" w14:textId="77777777" w:rsidR="003964CD" w:rsidRDefault="003964CD">
            <w:pPr>
              <w:pStyle w:val="Vahedeta"/>
              <w:jc w:val="center"/>
              <w:rPr>
                <w:color w:val="000000" w:themeColor="text1"/>
                <w:szCs w:val="24"/>
              </w:rPr>
            </w:pPr>
          </w:p>
          <w:p w14:paraId="6BBA7062" w14:textId="0F7575A4" w:rsidR="33CB8AC9" w:rsidRDefault="33CB8AC9">
            <w:pPr>
              <w:pStyle w:val="Vahedeta"/>
              <w:jc w:val="center"/>
              <w:rPr>
                <w:color w:val="000000" w:themeColor="text1"/>
                <w:szCs w:val="24"/>
              </w:rPr>
            </w:pPr>
            <w:r w:rsidRPr="33CB8AC9">
              <w:rPr>
                <w:color w:val="000000" w:themeColor="text1"/>
                <w:szCs w:val="24"/>
              </w:rPr>
              <w:t>66649</w:t>
            </w:r>
          </w:p>
        </w:tc>
        <w:tc>
          <w:tcPr>
            <w:tcW w:w="2452" w:type="dxa"/>
            <w:tcBorders>
              <w:top w:val="nil"/>
              <w:left w:val="single" w:sz="4" w:space="0" w:color="auto"/>
              <w:bottom w:val="single" w:sz="4" w:space="0" w:color="auto"/>
              <w:right w:val="single" w:sz="4" w:space="0" w:color="auto"/>
            </w:tcBorders>
            <w:vAlign w:val="center"/>
          </w:tcPr>
          <w:p w14:paraId="0E9055B2" w14:textId="247C28CA" w:rsidR="33CB8AC9" w:rsidRDefault="00EB6D24">
            <w:pPr>
              <w:pStyle w:val="Vahedeta"/>
              <w:jc w:val="center"/>
              <w:rPr>
                <w:color w:val="000000" w:themeColor="text1"/>
                <w:szCs w:val="24"/>
              </w:rPr>
            </w:pPr>
            <w:r>
              <w:rPr>
                <w:color w:val="000000"/>
              </w:rPr>
              <w:t>53,18</w:t>
            </w:r>
          </w:p>
        </w:tc>
      </w:tr>
      <w:tr w:rsidR="00583DD2" w14:paraId="73F6EE38" w14:textId="77777777" w:rsidTr="13957D57">
        <w:trPr>
          <w:divId w:val="1316184749"/>
          <w:trHeight w:val="300"/>
        </w:trPr>
        <w:tc>
          <w:tcPr>
            <w:tcW w:w="3638" w:type="dxa"/>
          </w:tcPr>
          <w:p w14:paraId="5F74766F" w14:textId="4DE2E1F6" w:rsidR="33CB8AC9" w:rsidRPr="00C114DB" w:rsidRDefault="33CB8AC9">
            <w:pPr>
              <w:pStyle w:val="Vahedeta"/>
              <w:rPr>
                <w:color w:val="000000" w:themeColor="text1"/>
                <w:szCs w:val="24"/>
                <w:lang w:val="sv-SE"/>
              </w:rPr>
            </w:pPr>
            <w:r w:rsidRPr="33CB8AC9">
              <w:rPr>
                <w:color w:val="000000" w:themeColor="text1"/>
                <w:szCs w:val="24"/>
              </w:rPr>
              <w:t>Ämmaemanda vastuvõtt geneetilise testi järgseks nõustamiseks (60 min)</w:t>
            </w:r>
          </w:p>
        </w:tc>
        <w:tc>
          <w:tcPr>
            <w:tcW w:w="3290" w:type="dxa"/>
          </w:tcPr>
          <w:p w14:paraId="78A0DB19" w14:textId="77777777" w:rsidR="003964CD" w:rsidRDefault="003964CD">
            <w:pPr>
              <w:pStyle w:val="Vahedeta"/>
              <w:jc w:val="center"/>
              <w:rPr>
                <w:color w:val="000000" w:themeColor="text1"/>
                <w:szCs w:val="24"/>
              </w:rPr>
            </w:pPr>
          </w:p>
          <w:p w14:paraId="2FF56AD0" w14:textId="25D1B1DB" w:rsidR="33CB8AC9" w:rsidRDefault="33CB8AC9">
            <w:pPr>
              <w:pStyle w:val="Vahedeta"/>
              <w:jc w:val="center"/>
              <w:rPr>
                <w:color w:val="000000" w:themeColor="text1"/>
                <w:szCs w:val="24"/>
              </w:rPr>
            </w:pPr>
            <w:r w:rsidRPr="33CB8AC9">
              <w:rPr>
                <w:color w:val="000000" w:themeColor="text1"/>
                <w:szCs w:val="24"/>
              </w:rPr>
              <w:t>3209</w:t>
            </w:r>
          </w:p>
        </w:tc>
        <w:tc>
          <w:tcPr>
            <w:tcW w:w="2452" w:type="dxa"/>
            <w:tcBorders>
              <w:top w:val="single" w:sz="4" w:space="0" w:color="auto"/>
              <w:left w:val="single" w:sz="4" w:space="0" w:color="auto"/>
              <w:bottom w:val="single" w:sz="4" w:space="0" w:color="auto"/>
              <w:right w:val="single" w:sz="4" w:space="0" w:color="auto"/>
            </w:tcBorders>
            <w:vAlign w:val="center"/>
          </w:tcPr>
          <w:p w14:paraId="43CC984C" w14:textId="4A359769" w:rsidR="33CB8AC9" w:rsidRDefault="00EB6D24">
            <w:pPr>
              <w:pStyle w:val="Vahedeta"/>
              <w:jc w:val="center"/>
              <w:rPr>
                <w:color w:val="000000" w:themeColor="text1"/>
                <w:szCs w:val="24"/>
              </w:rPr>
            </w:pPr>
            <w:r>
              <w:rPr>
                <w:color w:val="000000"/>
              </w:rPr>
              <w:t>37,06</w:t>
            </w:r>
          </w:p>
        </w:tc>
      </w:tr>
      <w:tr w:rsidR="00583DD2" w14:paraId="54AD1F75" w14:textId="77777777" w:rsidTr="13957D57">
        <w:trPr>
          <w:divId w:val="1316184749"/>
          <w:trHeight w:val="300"/>
        </w:trPr>
        <w:tc>
          <w:tcPr>
            <w:tcW w:w="3638" w:type="dxa"/>
          </w:tcPr>
          <w:p w14:paraId="4D069423" w14:textId="182B51CA" w:rsidR="33CB8AC9" w:rsidRPr="00C114DB" w:rsidRDefault="33CB8AC9">
            <w:pPr>
              <w:pStyle w:val="Vahedeta"/>
              <w:rPr>
                <w:color w:val="000000" w:themeColor="text1"/>
                <w:szCs w:val="24"/>
                <w:lang w:val="sv-SE"/>
              </w:rPr>
            </w:pPr>
            <w:r w:rsidRPr="33CB8AC9">
              <w:rPr>
                <w:color w:val="000000" w:themeColor="text1"/>
                <w:szCs w:val="24"/>
              </w:rPr>
              <w:t>Ämmaemanda kaugvastuvõtt geneetilise testi järgseks nõustamiseks (60 min)</w:t>
            </w:r>
          </w:p>
        </w:tc>
        <w:tc>
          <w:tcPr>
            <w:tcW w:w="3290" w:type="dxa"/>
          </w:tcPr>
          <w:p w14:paraId="482927C9" w14:textId="77777777" w:rsidR="003964CD" w:rsidRDefault="003964CD">
            <w:pPr>
              <w:pStyle w:val="Vahedeta"/>
              <w:jc w:val="center"/>
              <w:rPr>
                <w:color w:val="000000" w:themeColor="text1"/>
                <w:szCs w:val="24"/>
              </w:rPr>
            </w:pPr>
          </w:p>
          <w:p w14:paraId="05F7193F" w14:textId="4E02454B" w:rsidR="33CB8AC9" w:rsidRDefault="33CB8AC9">
            <w:pPr>
              <w:pStyle w:val="Vahedeta"/>
              <w:jc w:val="center"/>
              <w:rPr>
                <w:color w:val="000000" w:themeColor="text1"/>
                <w:szCs w:val="24"/>
              </w:rPr>
            </w:pPr>
            <w:r w:rsidRPr="33CB8AC9">
              <w:rPr>
                <w:color w:val="000000" w:themeColor="text1"/>
                <w:szCs w:val="24"/>
              </w:rPr>
              <w:t>3210</w:t>
            </w:r>
          </w:p>
        </w:tc>
        <w:tc>
          <w:tcPr>
            <w:tcW w:w="2452" w:type="dxa"/>
            <w:tcBorders>
              <w:top w:val="nil"/>
              <w:left w:val="single" w:sz="4" w:space="0" w:color="auto"/>
              <w:bottom w:val="single" w:sz="4" w:space="0" w:color="auto"/>
              <w:right w:val="single" w:sz="4" w:space="0" w:color="auto"/>
            </w:tcBorders>
            <w:vAlign w:val="center"/>
          </w:tcPr>
          <w:p w14:paraId="265D537F" w14:textId="04FE82AC" w:rsidR="33CB8AC9" w:rsidRDefault="00EB6D24">
            <w:pPr>
              <w:pStyle w:val="Vahedeta"/>
              <w:jc w:val="center"/>
              <w:rPr>
                <w:color w:val="000000" w:themeColor="text1"/>
                <w:szCs w:val="24"/>
              </w:rPr>
            </w:pPr>
            <w:r>
              <w:rPr>
                <w:color w:val="000000"/>
              </w:rPr>
              <w:t>37,06</w:t>
            </w:r>
          </w:p>
        </w:tc>
      </w:tr>
      <w:tr w:rsidR="00583DD2" w14:paraId="7008EEDF" w14:textId="77777777" w:rsidTr="13957D57">
        <w:trPr>
          <w:divId w:val="1316184749"/>
          <w:trHeight w:val="300"/>
        </w:trPr>
        <w:tc>
          <w:tcPr>
            <w:tcW w:w="3638" w:type="dxa"/>
          </w:tcPr>
          <w:p w14:paraId="7F031395" w14:textId="773BAE32" w:rsidR="33CB8AC9" w:rsidRPr="00C114DB" w:rsidRDefault="33CB8AC9">
            <w:pPr>
              <w:pStyle w:val="Vahedeta"/>
              <w:rPr>
                <w:color w:val="000000" w:themeColor="text1"/>
                <w:szCs w:val="24"/>
                <w:lang w:val="sv-SE"/>
              </w:rPr>
            </w:pPr>
            <w:r w:rsidRPr="33CB8AC9">
              <w:rPr>
                <w:color w:val="000000" w:themeColor="text1"/>
                <w:szCs w:val="24"/>
              </w:rPr>
              <w:lastRenderedPageBreak/>
              <w:t>Ämmaemanda videovastuvõtt geneetilise testi järgseks nõustamiseks (60 min)</w:t>
            </w:r>
          </w:p>
        </w:tc>
        <w:tc>
          <w:tcPr>
            <w:tcW w:w="3290" w:type="dxa"/>
          </w:tcPr>
          <w:p w14:paraId="7E0D9C95" w14:textId="77777777" w:rsidR="003964CD" w:rsidRDefault="003964CD">
            <w:pPr>
              <w:pStyle w:val="Vahedeta"/>
              <w:jc w:val="center"/>
              <w:rPr>
                <w:color w:val="000000" w:themeColor="text1"/>
                <w:szCs w:val="24"/>
              </w:rPr>
            </w:pPr>
          </w:p>
          <w:p w14:paraId="79A0F90E" w14:textId="6DE8262E" w:rsidR="33CB8AC9" w:rsidRDefault="33CB8AC9">
            <w:pPr>
              <w:pStyle w:val="Vahedeta"/>
              <w:jc w:val="center"/>
              <w:rPr>
                <w:color w:val="000000" w:themeColor="text1"/>
                <w:szCs w:val="24"/>
              </w:rPr>
            </w:pPr>
            <w:r w:rsidRPr="33CB8AC9">
              <w:rPr>
                <w:color w:val="000000" w:themeColor="text1"/>
                <w:szCs w:val="24"/>
              </w:rPr>
              <w:t>3211</w:t>
            </w:r>
          </w:p>
        </w:tc>
        <w:tc>
          <w:tcPr>
            <w:tcW w:w="2452" w:type="dxa"/>
            <w:tcBorders>
              <w:top w:val="nil"/>
              <w:left w:val="single" w:sz="4" w:space="0" w:color="auto"/>
              <w:bottom w:val="single" w:sz="4" w:space="0" w:color="auto"/>
              <w:right w:val="single" w:sz="4" w:space="0" w:color="auto"/>
            </w:tcBorders>
            <w:vAlign w:val="center"/>
          </w:tcPr>
          <w:p w14:paraId="7D9D7E84" w14:textId="32E7A6B3" w:rsidR="33CB8AC9" w:rsidRDefault="00EB6D24">
            <w:pPr>
              <w:pStyle w:val="Vahedeta"/>
              <w:jc w:val="center"/>
              <w:rPr>
                <w:color w:val="000000" w:themeColor="text1"/>
                <w:szCs w:val="24"/>
              </w:rPr>
            </w:pPr>
            <w:r>
              <w:rPr>
                <w:color w:val="000000"/>
              </w:rPr>
              <w:t>37,06</w:t>
            </w:r>
          </w:p>
        </w:tc>
      </w:tr>
      <w:tr w:rsidR="00896BF0" w14:paraId="36DCC386" w14:textId="77777777" w:rsidTr="13957D57">
        <w:trPr>
          <w:divId w:val="1316184749"/>
          <w:trHeight w:val="300"/>
        </w:trPr>
        <w:tc>
          <w:tcPr>
            <w:tcW w:w="3638" w:type="dxa"/>
          </w:tcPr>
          <w:p w14:paraId="4263704E" w14:textId="544E5579" w:rsidR="00896BF0" w:rsidRPr="33CB8AC9" w:rsidRDefault="00896BF0" w:rsidP="00896BF0">
            <w:pPr>
              <w:pStyle w:val="Vahedeta"/>
              <w:rPr>
                <w:color w:val="000000" w:themeColor="text1"/>
                <w:szCs w:val="24"/>
              </w:rPr>
            </w:pPr>
            <w:r w:rsidRPr="032799BB">
              <w:rPr>
                <w:color w:val="000000" w:themeColor="text1"/>
              </w:rPr>
              <w:t>Õendusabi e-konsultatsioon tervise infosüsteemi vahendusel</w:t>
            </w:r>
          </w:p>
        </w:tc>
        <w:tc>
          <w:tcPr>
            <w:tcW w:w="3290" w:type="dxa"/>
          </w:tcPr>
          <w:p w14:paraId="7BD84915" w14:textId="5C31ED34" w:rsidR="00896BF0" w:rsidRPr="33CB8AC9" w:rsidRDefault="00896BF0" w:rsidP="00896BF0">
            <w:pPr>
              <w:pStyle w:val="Vahedeta"/>
              <w:jc w:val="center"/>
              <w:rPr>
                <w:color w:val="000000" w:themeColor="text1"/>
                <w:szCs w:val="24"/>
              </w:rPr>
            </w:pPr>
            <w:r>
              <w:t>3131</w:t>
            </w:r>
          </w:p>
        </w:tc>
        <w:tc>
          <w:tcPr>
            <w:tcW w:w="2452" w:type="dxa"/>
          </w:tcPr>
          <w:p w14:paraId="70E47ADC" w14:textId="77777777" w:rsidR="00EB6D24" w:rsidRDefault="00EB6D24" w:rsidP="00EB6D24">
            <w:pPr>
              <w:jc w:val="center"/>
              <w:rPr>
                <w:color w:val="000000"/>
              </w:rPr>
            </w:pPr>
            <w:r>
              <w:rPr>
                <w:color w:val="000000"/>
              </w:rPr>
              <w:t>21,22</w:t>
            </w:r>
          </w:p>
          <w:p w14:paraId="3378A849" w14:textId="6D4A7B83" w:rsidR="00896BF0" w:rsidRDefault="00896BF0" w:rsidP="00896BF0">
            <w:pPr>
              <w:pStyle w:val="Vahedeta"/>
              <w:jc w:val="center"/>
              <w:rPr>
                <w:color w:val="000000"/>
              </w:rPr>
            </w:pPr>
          </w:p>
        </w:tc>
      </w:tr>
      <w:tr w:rsidR="00EE42CB" w14:paraId="034CE63F" w14:textId="77777777" w:rsidTr="13957D57">
        <w:trPr>
          <w:divId w:val="1316184749"/>
          <w:trHeight w:val="300"/>
        </w:trPr>
        <w:tc>
          <w:tcPr>
            <w:tcW w:w="3638" w:type="dxa"/>
          </w:tcPr>
          <w:p w14:paraId="0A2A921A" w14:textId="28267AA7" w:rsidR="00EE42CB" w:rsidRPr="032799BB" w:rsidRDefault="1B8CD15E" w:rsidP="13957D57">
            <w:pPr>
              <w:pStyle w:val="Vahedeta"/>
              <w:rPr>
                <w:color w:val="000000" w:themeColor="text1"/>
              </w:rPr>
            </w:pPr>
            <w:r w:rsidRPr="13957D57">
              <w:rPr>
                <w:color w:val="000000" w:themeColor="text1"/>
              </w:rPr>
              <w:t xml:space="preserve">Südamehaigete </w:t>
            </w:r>
            <w:r w:rsidR="4C4E0A79" w:rsidRPr="13957D57">
              <w:rPr>
                <w:color w:val="000000" w:themeColor="text1"/>
              </w:rPr>
              <w:t>kaugtaastusravi</w:t>
            </w:r>
            <w:r w:rsidR="7AC857AD" w:rsidRPr="13957D57">
              <w:rPr>
                <w:color w:val="000000" w:themeColor="text1"/>
              </w:rPr>
              <w:t xml:space="preserve"> (1 nädal)</w:t>
            </w:r>
          </w:p>
        </w:tc>
        <w:tc>
          <w:tcPr>
            <w:tcW w:w="3290" w:type="dxa"/>
          </w:tcPr>
          <w:p w14:paraId="1E3397E9" w14:textId="1FDD12B4" w:rsidR="00EE42CB" w:rsidRDefault="00124DAB" w:rsidP="00896BF0">
            <w:pPr>
              <w:pStyle w:val="Vahedeta"/>
              <w:jc w:val="center"/>
            </w:pPr>
            <w:r>
              <w:t>7078A</w:t>
            </w:r>
          </w:p>
        </w:tc>
        <w:tc>
          <w:tcPr>
            <w:tcW w:w="2452" w:type="dxa"/>
          </w:tcPr>
          <w:p w14:paraId="3C577C6B" w14:textId="5A6A4CE8" w:rsidR="00EE42CB" w:rsidRDefault="25CFF524" w:rsidP="00896BF0">
            <w:pPr>
              <w:pStyle w:val="Vahedeta"/>
              <w:jc w:val="center"/>
              <w:rPr>
                <w:color w:val="000000"/>
              </w:rPr>
            </w:pPr>
            <w:r w:rsidRPr="615F773B">
              <w:rPr>
                <w:color w:val="000000" w:themeColor="text1"/>
              </w:rPr>
              <w:t>6,95</w:t>
            </w:r>
          </w:p>
        </w:tc>
      </w:tr>
    </w:tbl>
    <w:p w14:paraId="01CD4B19" w14:textId="77777777" w:rsidR="00864A16" w:rsidRPr="00687DE8" w:rsidRDefault="00864A16" w:rsidP="00E038BE">
      <w:pPr>
        <w:pStyle w:val="Vahedeta"/>
        <w:jc w:val="both"/>
        <w:divId w:val="1316184749"/>
        <w:rPr>
          <w:szCs w:val="24"/>
          <w:lang w:val="et-EE"/>
        </w:rPr>
      </w:pPr>
    </w:p>
    <w:p w14:paraId="3444503B" w14:textId="2EAC2725" w:rsidR="7A06D3DF" w:rsidRPr="00687DE8" w:rsidRDefault="7A06D3DF" w:rsidP="27120549">
      <w:pPr>
        <w:spacing w:after="0" w:line="240" w:lineRule="auto"/>
        <w:jc w:val="both"/>
      </w:pPr>
      <w:r>
        <w:t>(</w:t>
      </w:r>
      <w:r w:rsidR="006346E0">
        <w:t>2</w:t>
      </w:r>
      <w:r>
        <w:t>) Koodi</w:t>
      </w:r>
      <w:r w:rsidR="00041D7C">
        <w:t>dega</w:t>
      </w:r>
      <w:r>
        <w:t xml:space="preserve"> 4501A</w:t>
      </w:r>
      <w:r w:rsidR="7AF02B1E">
        <w:t xml:space="preserve"> ja</w:t>
      </w:r>
      <w:r>
        <w:t xml:space="preserve"> 4502A tähistatud </w:t>
      </w:r>
      <w:r w:rsidR="00D522E6">
        <w:t>tervishoiu</w:t>
      </w:r>
      <w:r>
        <w:t xml:space="preserve">teenuseid rakendatakse </w:t>
      </w:r>
      <w:r w:rsidR="005023FD">
        <w:t>Tervisekassa</w:t>
      </w:r>
      <w:r>
        <w:t xml:space="preserve"> juhatuse otsuse alusel kinnitatud innovatsioonipartneritele.</w:t>
      </w:r>
    </w:p>
    <w:p w14:paraId="3BC6C877" w14:textId="77777777" w:rsidR="0AE025AA" w:rsidRPr="00687DE8" w:rsidRDefault="0AE025AA" w:rsidP="00334F99">
      <w:pPr>
        <w:spacing w:after="0" w:line="240" w:lineRule="auto"/>
        <w:jc w:val="both"/>
        <w:rPr>
          <w:szCs w:val="24"/>
        </w:rPr>
      </w:pPr>
    </w:p>
    <w:p w14:paraId="54055FAF" w14:textId="1D669095" w:rsidR="00AE5EC9" w:rsidRPr="00687DE8" w:rsidRDefault="7A06D3DF" w:rsidP="27120549">
      <w:pPr>
        <w:spacing w:after="0" w:line="240" w:lineRule="auto"/>
        <w:jc w:val="both"/>
      </w:pPr>
      <w:r>
        <w:t>(</w:t>
      </w:r>
      <w:r w:rsidR="006346E0">
        <w:t>3</w:t>
      </w:r>
      <w:r>
        <w:t>) Koodiga 4501A tähistatud tervishoiuteenust rakendatakse üks kord patsiendi kohta arendusprojekti perioodil</w:t>
      </w:r>
      <w:r w:rsidR="38308E5A">
        <w:t xml:space="preserve"> kaugjälgimisteenuse alustamiseks</w:t>
      </w:r>
      <w:r w:rsidR="61AE7176">
        <w:t xml:space="preserve"> </w:t>
      </w:r>
      <w:r w:rsidR="49D6CD4E">
        <w:t>k</w:t>
      </w:r>
      <w:r w:rsidR="714A8614">
        <w:t xml:space="preserve">uni </w:t>
      </w:r>
      <w:r w:rsidR="4748852A">
        <w:t>3</w:t>
      </w:r>
      <w:r w:rsidR="0EF024CA">
        <w:t>0</w:t>
      </w:r>
      <w:r w:rsidR="20417BE2">
        <w:t xml:space="preserve">. </w:t>
      </w:r>
      <w:r w:rsidR="3F2910C5">
        <w:t xml:space="preserve">juunini </w:t>
      </w:r>
      <w:r w:rsidR="20417BE2">
        <w:t>202</w:t>
      </w:r>
      <w:r w:rsidR="3E01B1A6">
        <w:t>6</w:t>
      </w:r>
      <w:r>
        <w:t>.</w:t>
      </w:r>
      <w:r w:rsidR="00600976">
        <w:t xml:space="preserve"> a.</w:t>
      </w:r>
    </w:p>
    <w:p w14:paraId="6D34B056" w14:textId="77777777" w:rsidR="0AE025AA" w:rsidRPr="00687DE8" w:rsidRDefault="0AE025AA" w:rsidP="00334F99">
      <w:pPr>
        <w:spacing w:after="0" w:line="240" w:lineRule="auto"/>
        <w:jc w:val="both"/>
        <w:rPr>
          <w:szCs w:val="24"/>
        </w:rPr>
      </w:pPr>
    </w:p>
    <w:p w14:paraId="15C37AD8" w14:textId="02C56B51" w:rsidR="0AE025AA" w:rsidRPr="00687DE8" w:rsidRDefault="7A06D3DF" w:rsidP="00334F99">
      <w:pPr>
        <w:spacing w:after="0" w:line="240" w:lineRule="auto"/>
        <w:jc w:val="both"/>
      </w:pPr>
      <w:r>
        <w:t>(</w:t>
      </w:r>
      <w:r w:rsidR="006346E0">
        <w:t>4</w:t>
      </w:r>
      <w:r>
        <w:t xml:space="preserve">) </w:t>
      </w:r>
      <w:r w:rsidR="005023FD">
        <w:t>Tervisekassa</w:t>
      </w:r>
      <w:r w:rsidR="0055677F">
        <w:t xml:space="preserve"> võtab koodiga</w:t>
      </w:r>
      <w:r w:rsidR="009D2C43">
        <w:t xml:space="preserve"> </w:t>
      </w:r>
      <w:r>
        <w:t>4502A</w:t>
      </w:r>
      <w:r w:rsidR="006B22C6">
        <w:t xml:space="preserve"> </w:t>
      </w:r>
      <w:r>
        <w:t xml:space="preserve">tähistatud </w:t>
      </w:r>
      <w:r w:rsidR="00D522E6">
        <w:t>tervishoiu</w:t>
      </w:r>
      <w:r>
        <w:t xml:space="preserve">teenuse eest tasu maksmise kohustuse üle </w:t>
      </w:r>
      <w:r w:rsidR="5A35DA99">
        <w:t xml:space="preserve">kuni </w:t>
      </w:r>
      <w:r w:rsidR="27B0C24D">
        <w:t>3</w:t>
      </w:r>
      <w:r w:rsidR="001A5AD8">
        <w:t>1</w:t>
      </w:r>
      <w:r w:rsidR="5A35DA99">
        <w:t>.</w:t>
      </w:r>
      <w:r w:rsidR="00441352">
        <w:t xml:space="preserve"> </w:t>
      </w:r>
      <w:r w:rsidR="20600B60">
        <w:t>detsemb</w:t>
      </w:r>
      <w:r w:rsidR="00EB5C1E">
        <w:t>rini</w:t>
      </w:r>
      <w:r w:rsidR="20600B60">
        <w:t xml:space="preserve"> </w:t>
      </w:r>
      <w:r w:rsidR="747DCB27">
        <w:t>202</w:t>
      </w:r>
      <w:r w:rsidR="3722356F">
        <w:t>6</w:t>
      </w:r>
      <w:r w:rsidR="747DCB27">
        <w:t>. a</w:t>
      </w:r>
      <w:r w:rsidR="41AC579B">
        <w:t xml:space="preserve"> juhul, kui patsient on vastanud sümptomeid, haiguse aktiivsust ja elukvaliteeti puudutavatele küsimustikele digitaalses rakenduses vähemalt ühel korral kalendrikuu kohta.</w:t>
      </w:r>
    </w:p>
    <w:p w14:paraId="0CBBB358" w14:textId="77777777" w:rsidR="00C756DE" w:rsidRPr="00687DE8" w:rsidRDefault="00C756DE" w:rsidP="00334F99">
      <w:pPr>
        <w:spacing w:after="0" w:line="240" w:lineRule="auto"/>
        <w:jc w:val="both"/>
        <w:rPr>
          <w:szCs w:val="24"/>
        </w:rPr>
      </w:pPr>
    </w:p>
    <w:p w14:paraId="4030E508" w14:textId="6AB2A4F7" w:rsidR="007D2C38" w:rsidRPr="00687DE8" w:rsidRDefault="007D2C38" w:rsidP="007D2C38">
      <w:pPr>
        <w:pStyle w:val="Vahedeta"/>
        <w:jc w:val="both"/>
        <w:rPr>
          <w:szCs w:val="24"/>
          <w:lang w:val="et-EE"/>
        </w:rPr>
      </w:pPr>
      <w:r w:rsidRPr="00687DE8">
        <w:rPr>
          <w:szCs w:val="24"/>
          <w:lang w:val="et-EE"/>
        </w:rPr>
        <w:t>(</w:t>
      </w:r>
      <w:r w:rsidR="006346E0">
        <w:rPr>
          <w:szCs w:val="24"/>
          <w:lang w:val="et-EE"/>
        </w:rPr>
        <w:t>5</w:t>
      </w:r>
      <w:r w:rsidRPr="00687DE8">
        <w:rPr>
          <w:szCs w:val="24"/>
          <w:lang w:val="et-EE"/>
        </w:rPr>
        <w:t xml:space="preserve">) Psühhiaatria erialal tervishoiuteenuste osutamisel võib </w:t>
      </w:r>
      <w:r w:rsidR="005023FD" w:rsidRPr="00687DE8">
        <w:rPr>
          <w:szCs w:val="24"/>
          <w:lang w:val="et-EE"/>
        </w:rPr>
        <w:t>Tervisekassa</w:t>
      </w:r>
      <w:r w:rsidRPr="00687DE8">
        <w:rPr>
          <w:szCs w:val="24"/>
          <w:lang w:val="et-EE"/>
        </w:rPr>
        <w:t xml:space="preserve"> tasuda tulemustasu tervishoiuteenuse osutaja ja </w:t>
      </w:r>
      <w:r w:rsidR="005023FD" w:rsidRPr="00687DE8">
        <w:rPr>
          <w:szCs w:val="24"/>
          <w:lang w:val="et-EE"/>
        </w:rPr>
        <w:t>Tervisekassa</w:t>
      </w:r>
      <w:r w:rsidRPr="00687DE8">
        <w:rPr>
          <w:szCs w:val="24"/>
          <w:lang w:val="et-EE"/>
        </w:rPr>
        <w:t xml:space="preserve"> vahel ravi rahastamise lepingus kokkulepitud tingimustel ja korras.</w:t>
      </w:r>
    </w:p>
    <w:p w14:paraId="2ECF32BB" w14:textId="77777777" w:rsidR="00B66F1F" w:rsidRPr="00687DE8" w:rsidRDefault="00B66F1F" w:rsidP="007D2C38">
      <w:pPr>
        <w:pStyle w:val="Vahedeta"/>
        <w:jc w:val="both"/>
        <w:rPr>
          <w:szCs w:val="24"/>
          <w:lang w:val="et-EE"/>
        </w:rPr>
      </w:pPr>
    </w:p>
    <w:p w14:paraId="5DDA0D11" w14:textId="6CA085F5" w:rsidR="78291D8C" w:rsidRPr="00687DE8" w:rsidRDefault="2DADE829" w:rsidP="00431FB8">
      <w:pPr>
        <w:spacing w:after="0" w:line="240" w:lineRule="auto"/>
        <w:jc w:val="both"/>
        <w:rPr>
          <w:color w:val="202020"/>
          <w:lang w:eastAsia="et-EE"/>
        </w:rPr>
      </w:pPr>
      <w:r>
        <w:t>(</w:t>
      </w:r>
      <w:r w:rsidR="006346E0">
        <w:t>6</w:t>
      </w:r>
      <w:r>
        <w:t xml:space="preserve">) Koodiga </w:t>
      </w:r>
      <w:r w:rsidR="093BF765">
        <w:t>7875</w:t>
      </w:r>
      <w:r>
        <w:t xml:space="preserve"> tähistatud tervishoiuteenust rakendatakse m</w:t>
      </w:r>
      <w:r w:rsidR="1338C014" w:rsidRPr="52D64EF4">
        <w:rPr>
          <w:color w:val="202020"/>
          <w:lang w:eastAsia="et-EE"/>
        </w:rPr>
        <w:t>adaladoosili</w:t>
      </w:r>
      <w:r w:rsidR="4954925C" w:rsidRPr="52D64EF4">
        <w:rPr>
          <w:color w:val="202020"/>
          <w:lang w:eastAsia="et-EE"/>
        </w:rPr>
        <w:t>s</w:t>
      </w:r>
      <w:r w:rsidR="1338C014" w:rsidRPr="52D64EF4">
        <w:rPr>
          <w:color w:val="202020"/>
          <w:lang w:eastAsia="et-EE"/>
        </w:rPr>
        <w:t>e rindkere kompu</w:t>
      </w:r>
      <w:r w:rsidR="30E4D624" w:rsidRPr="52D64EF4">
        <w:rPr>
          <w:color w:val="202020"/>
          <w:lang w:eastAsia="et-EE"/>
        </w:rPr>
        <w:t>u</w:t>
      </w:r>
      <w:r w:rsidR="1338C014" w:rsidRPr="52D64EF4">
        <w:rPr>
          <w:color w:val="202020"/>
          <w:lang w:eastAsia="et-EE"/>
        </w:rPr>
        <w:t>tertomograafia uuring</w:t>
      </w:r>
      <w:r w:rsidR="4954925C" w:rsidRPr="52D64EF4">
        <w:rPr>
          <w:color w:val="202020"/>
          <w:lang w:eastAsia="et-EE"/>
        </w:rPr>
        <w:t>u</w:t>
      </w:r>
      <w:r w:rsidR="1338C014" w:rsidRPr="52D64EF4">
        <w:rPr>
          <w:color w:val="202020"/>
          <w:lang w:eastAsia="et-EE"/>
        </w:rPr>
        <w:t xml:space="preserve"> </w:t>
      </w:r>
      <w:r w:rsidR="231E6D48" w:rsidRPr="52D64EF4">
        <w:rPr>
          <w:color w:val="202020"/>
          <w:lang w:eastAsia="et-EE"/>
        </w:rPr>
        <w:t>tegemiseks</w:t>
      </w:r>
      <w:r w:rsidR="1338C014" w:rsidRPr="52D64EF4">
        <w:rPr>
          <w:color w:val="202020"/>
          <w:lang w:eastAsia="et-EE"/>
        </w:rPr>
        <w:t xml:space="preserve"> kopsuvähi sõeluuringu </w:t>
      </w:r>
      <w:r w:rsidR="37067097" w:rsidRPr="52D64EF4">
        <w:rPr>
          <w:color w:val="202020"/>
          <w:lang w:eastAsia="et-EE"/>
        </w:rPr>
        <w:t>juht</w:t>
      </w:r>
      <w:r w:rsidR="1338C014" w:rsidRPr="52D64EF4">
        <w:rPr>
          <w:color w:val="202020"/>
          <w:lang w:eastAsia="et-EE"/>
        </w:rPr>
        <w:t xml:space="preserve">projekti kaasatud </w:t>
      </w:r>
      <w:r w:rsidR="37067097" w:rsidRPr="52D64EF4">
        <w:rPr>
          <w:color w:val="202020"/>
          <w:lang w:eastAsia="et-EE"/>
        </w:rPr>
        <w:t>55–</w:t>
      </w:r>
      <w:r w:rsidR="1338C014" w:rsidRPr="52D64EF4">
        <w:rPr>
          <w:color w:val="202020"/>
          <w:lang w:eastAsia="et-EE"/>
        </w:rPr>
        <w:t>7</w:t>
      </w:r>
      <w:r w:rsidR="00360407">
        <w:rPr>
          <w:color w:val="202020"/>
          <w:lang w:eastAsia="et-EE"/>
        </w:rPr>
        <w:t>5</w:t>
      </w:r>
      <w:r w:rsidR="451E9D02" w:rsidRPr="52D64EF4">
        <w:rPr>
          <w:color w:val="202020"/>
          <w:lang w:eastAsia="et-EE"/>
        </w:rPr>
        <w:t>-</w:t>
      </w:r>
      <w:r w:rsidR="1338C014" w:rsidRPr="52D64EF4">
        <w:rPr>
          <w:color w:val="202020"/>
          <w:lang w:eastAsia="et-EE"/>
        </w:rPr>
        <w:t>aastas</w:t>
      </w:r>
      <w:r w:rsidR="4954925C" w:rsidRPr="52D64EF4">
        <w:rPr>
          <w:color w:val="202020"/>
          <w:lang w:eastAsia="et-EE"/>
        </w:rPr>
        <w:t>tel</w:t>
      </w:r>
      <w:r w:rsidR="1338C014" w:rsidRPr="52D64EF4">
        <w:rPr>
          <w:color w:val="202020"/>
          <w:lang w:eastAsia="et-EE"/>
        </w:rPr>
        <w:t xml:space="preserve"> isiku</w:t>
      </w:r>
      <w:r w:rsidR="4954925C" w:rsidRPr="52D64EF4">
        <w:rPr>
          <w:color w:val="202020"/>
          <w:lang w:eastAsia="et-EE"/>
        </w:rPr>
        <w:t>tel</w:t>
      </w:r>
      <w:r w:rsidR="1338C014" w:rsidRPr="52D64EF4">
        <w:rPr>
          <w:color w:val="202020"/>
          <w:lang w:eastAsia="et-EE"/>
        </w:rPr>
        <w:t>.</w:t>
      </w:r>
    </w:p>
    <w:p w14:paraId="5D368ADD" w14:textId="77777777" w:rsidR="00C409A2" w:rsidRPr="00687DE8" w:rsidRDefault="00C409A2" w:rsidP="009F45AB">
      <w:pPr>
        <w:spacing w:after="0" w:line="240" w:lineRule="auto"/>
        <w:jc w:val="both"/>
        <w:rPr>
          <w:rFonts w:eastAsia="Calibri"/>
          <w:szCs w:val="24"/>
        </w:rPr>
      </w:pPr>
    </w:p>
    <w:p w14:paraId="107A1C86" w14:textId="653FEB95" w:rsidR="00A3186E" w:rsidRPr="00687DE8" w:rsidRDefault="00C409A2" w:rsidP="009F45AB">
      <w:pPr>
        <w:spacing w:after="0" w:line="240" w:lineRule="auto"/>
        <w:jc w:val="both"/>
        <w:rPr>
          <w:rFonts w:eastAsia="Calibri"/>
          <w:szCs w:val="24"/>
        </w:rPr>
      </w:pPr>
      <w:r w:rsidRPr="00687DE8">
        <w:rPr>
          <w:rFonts w:eastAsia="Calibri"/>
          <w:szCs w:val="24"/>
        </w:rPr>
        <w:t>(</w:t>
      </w:r>
      <w:r w:rsidR="006346E0">
        <w:rPr>
          <w:rFonts w:eastAsia="Calibri"/>
          <w:szCs w:val="24"/>
        </w:rPr>
        <w:t>7</w:t>
      </w:r>
      <w:r w:rsidRPr="00687DE8">
        <w:rPr>
          <w:rFonts w:eastAsia="Calibri"/>
          <w:szCs w:val="24"/>
        </w:rPr>
        <w:t xml:space="preserve">) </w:t>
      </w:r>
      <w:r w:rsidR="005023FD" w:rsidRPr="00687DE8">
        <w:rPr>
          <w:rFonts w:eastAsia="Calibri"/>
          <w:szCs w:val="24"/>
        </w:rPr>
        <w:t>Tervisekassa</w:t>
      </w:r>
      <w:r w:rsidR="00F05658" w:rsidRPr="00687DE8">
        <w:rPr>
          <w:rFonts w:eastAsia="Calibri"/>
          <w:szCs w:val="24"/>
        </w:rPr>
        <w:t xml:space="preserve"> võtab koodidega 3124</w:t>
      </w:r>
      <w:r w:rsidR="095EB26A" w:rsidRPr="00687DE8">
        <w:rPr>
          <w:rFonts w:eastAsia="Calibri"/>
          <w:szCs w:val="24"/>
        </w:rPr>
        <w:t>,</w:t>
      </w:r>
      <w:r w:rsidR="008D017C" w:rsidRPr="00687DE8">
        <w:rPr>
          <w:rFonts w:eastAsia="Calibri"/>
          <w:szCs w:val="24"/>
        </w:rPr>
        <w:t xml:space="preserve"> </w:t>
      </w:r>
      <w:r w:rsidR="00F05658" w:rsidRPr="00687DE8">
        <w:rPr>
          <w:rFonts w:eastAsia="Calibri"/>
          <w:szCs w:val="24"/>
        </w:rPr>
        <w:t>3125</w:t>
      </w:r>
      <w:r w:rsidR="095EB26A" w:rsidRPr="00687DE8">
        <w:rPr>
          <w:rFonts w:eastAsia="Calibri"/>
          <w:szCs w:val="24"/>
        </w:rPr>
        <w:t>, 3240, 3241, 324</w:t>
      </w:r>
      <w:r w:rsidR="1E08CEDE" w:rsidRPr="00687DE8">
        <w:rPr>
          <w:rFonts w:eastAsia="Calibri"/>
          <w:szCs w:val="24"/>
        </w:rPr>
        <w:t>2 ja 3243</w:t>
      </w:r>
      <w:r w:rsidR="00F05658" w:rsidRPr="00687DE8">
        <w:rPr>
          <w:rFonts w:eastAsia="Calibri"/>
          <w:szCs w:val="24"/>
        </w:rPr>
        <w:t xml:space="preserve"> tähistatud </w:t>
      </w:r>
      <w:r w:rsidR="4F70AF01" w:rsidRPr="00687DE8">
        <w:rPr>
          <w:rFonts w:eastAsia="Calibri"/>
          <w:szCs w:val="24"/>
        </w:rPr>
        <w:t>tervishoiuteenus</w:t>
      </w:r>
      <w:r w:rsidR="00F63830" w:rsidRPr="00687DE8">
        <w:rPr>
          <w:rFonts w:eastAsia="Calibri"/>
          <w:szCs w:val="24"/>
        </w:rPr>
        <w:t>t</w:t>
      </w:r>
      <w:r w:rsidR="4F70AF01" w:rsidRPr="00687DE8">
        <w:rPr>
          <w:rFonts w:eastAsia="Calibri"/>
          <w:szCs w:val="24"/>
        </w:rPr>
        <w:t>e</w:t>
      </w:r>
      <w:r w:rsidR="00F05658" w:rsidRPr="00687DE8">
        <w:rPr>
          <w:rFonts w:eastAsia="Calibri"/>
          <w:szCs w:val="24"/>
        </w:rPr>
        <w:t xml:space="preserve"> eest tasu maksmise kohustuse üle</w:t>
      </w:r>
      <w:r w:rsidR="00E96513" w:rsidRPr="00687DE8">
        <w:rPr>
          <w:rFonts w:eastAsia="Calibri"/>
          <w:szCs w:val="24"/>
        </w:rPr>
        <w:t xml:space="preserve"> </w:t>
      </w:r>
      <w:r w:rsidR="003A42A5" w:rsidRPr="00687DE8">
        <w:rPr>
          <w:rFonts w:eastAsia="Calibri"/>
          <w:szCs w:val="24"/>
        </w:rPr>
        <w:t>juhul</w:t>
      </w:r>
      <w:r w:rsidR="00736F0C" w:rsidRPr="00687DE8">
        <w:rPr>
          <w:rFonts w:eastAsia="Calibri"/>
          <w:szCs w:val="24"/>
        </w:rPr>
        <w:t>,</w:t>
      </w:r>
      <w:r w:rsidR="003A42A5" w:rsidRPr="00687DE8">
        <w:rPr>
          <w:rFonts w:eastAsia="Calibri"/>
          <w:szCs w:val="24"/>
        </w:rPr>
        <w:t xml:space="preserve"> </w:t>
      </w:r>
      <w:r w:rsidR="00FC2AD7" w:rsidRPr="00687DE8">
        <w:rPr>
          <w:rFonts w:eastAsia="Calibri"/>
          <w:szCs w:val="24"/>
        </w:rPr>
        <w:t xml:space="preserve">kui </w:t>
      </w:r>
      <w:r w:rsidR="38E57CA3" w:rsidRPr="00687DE8">
        <w:rPr>
          <w:rFonts w:eastAsia="Calibri"/>
          <w:szCs w:val="24"/>
        </w:rPr>
        <w:t>teenust osutatakse</w:t>
      </w:r>
      <w:r w:rsidR="00FC2AD7" w:rsidRPr="00687DE8">
        <w:rPr>
          <w:rFonts w:eastAsia="Calibri"/>
          <w:szCs w:val="24"/>
        </w:rPr>
        <w:t xml:space="preserve"> ravi </w:t>
      </w:r>
      <w:r w:rsidR="35C048EA" w:rsidRPr="00687DE8">
        <w:rPr>
          <w:rFonts w:eastAsia="Calibri"/>
          <w:szCs w:val="24"/>
        </w:rPr>
        <w:t>rahastamise lepingus kokkulepitud tingimustel ja korras</w:t>
      </w:r>
      <w:r w:rsidR="00FC2AD7" w:rsidRPr="00687DE8">
        <w:rPr>
          <w:rFonts w:eastAsia="Calibri"/>
          <w:szCs w:val="24"/>
        </w:rPr>
        <w:t>.</w:t>
      </w:r>
    </w:p>
    <w:p w14:paraId="37A50B29" w14:textId="77777777" w:rsidR="00A3186E" w:rsidRPr="00687DE8" w:rsidRDefault="00A3186E" w:rsidP="009F45AB">
      <w:pPr>
        <w:spacing w:after="0" w:line="240" w:lineRule="auto"/>
        <w:jc w:val="both"/>
        <w:rPr>
          <w:rFonts w:eastAsia="Calibri"/>
          <w:szCs w:val="24"/>
        </w:rPr>
      </w:pPr>
    </w:p>
    <w:p w14:paraId="51A9EC80" w14:textId="603D9C67" w:rsidR="00C409A2" w:rsidRPr="00687DE8" w:rsidRDefault="00A3186E" w:rsidP="009F45AB">
      <w:pPr>
        <w:spacing w:after="0" w:line="240" w:lineRule="auto"/>
        <w:jc w:val="both"/>
        <w:rPr>
          <w:rFonts w:eastAsia="Calibri"/>
          <w:szCs w:val="24"/>
        </w:rPr>
      </w:pPr>
      <w:r w:rsidRPr="00687DE8">
        <w:rPr>
          <w:rFonts w:eastAsia="Calibri"/>
          <w:szCs w:val="24"/>
        </w:rPr>
        <w:t>(</w:t>
      </w:r>
      <w:r w:rsidR="006346E0">
        <w:rPr>
          <w:rFonts w:eastAsia="Calibri"/>
          <w:szCs w:val="24"/>
        </w:rPr>
        <w:t>8</w:t>
      </w:r>
      <w:r w:rsidRPr="00687DE8">
        <w:rPr>
          <w:rFonts w:eastAsia="Calibri"/>
          <w:szCs w:val="24"/>
        </w:rPr>
        <w:t xml:space="preserve">) Koodidega </w:t>
      </w:r>
      <w:bookmarkStart w:id="46" w:name="_Hlk116395142"/>
      <w:r w:rsidR="004D7A01" w:rsidRPr="00687DE8">
        <w:rPr>
          <w:rFonts w:eastAsia="Calibri"/>
          <w:szCs w:val="24"/>
        </w:rPr>
        <w:t>3240, 3241, 3242</w:t>
      </w:r>
      <w:r w:rsidR="00110229" w:rsidRPr="00687DE8">
        <w:rPr>
          <w:rFonts w:eastAsia="Calibri"/>
          <w:szCs w:val="24"/>
        </w:rPr>
        <w:t>,</w:t>
      </w:r>
      <w:r w:rsidR="004D7A01" w:rsidRPr="00687DE8">
        <w:rPr>
          <w:rFonts w:eastAsia="Calibri"/>
          <w:szCs w:val="24"/>
        </w:rPr>
        <w:t xml:space="preserve"> 3243</w:t>
      </w:r>
      <w:r w:rsidR="00110229" w:rsidRPr="00687DE8">
        <w:rPr>
          <w:rFonts w:eastAsia="Calibri"/>
          <w:szCs w:val="24"/>
        </w:rPr>
        <w:t>,</w:t>
      </w:r>
      <w:r w:rsidR="00526456" w:rsidRPr="00687DE8">
        <w:rPr>
          <w:rFonts w:eastAsia="Calibri"/>
          <w:szCs w:val="24"/>
        </w:rPr>
        <w:t xml:space="preserve"> </w:t>
      </w:r>
      <w:r w:rsidR="00110229" w:rsidRPr="00687DE8">
        <w:rPr>
          <w:rFonts w:eastAsia="Calibri"/>
          <w:szCs w:val="24"/>
        </w:rPr>
        <w:t>4514A ja 4515A</w:t>
      </w:r>
      <w:r w:rsidR="00526456" w:rsidRPr="00687DE8">
        <w:rPr>
          <w:rFonts w:eastAsia="Calibri"/>
          <w:szCs w:val="24"/>
        </w:rPr>
        <w:t xml:space="preserve"> </w:t>
      </w:r>
      <w:bookmarkEnd w:id="46"/>
      <w:r w:rsidR="00526456" w:rsidRPr="00687DE8">
        <w:rPr>
          <w:rFonts w:eastAsia="Calibri"/>
          <w:szCs w:val="24"/>
        </w:rPr>
        <w:t xml:space="preserve">tähistatud </w:t>
      </w:r>
      <w:r w:rsidR="00D56E8F" w:rsidRPr="00687DE8">
        <w:rPr>
          <w:rFonts w:eastAsia="Calibri"/>
          <w:szCs w:val="24"/>
        </w:rPr>
        <w:t>kaug- ja videovastuvõtud on ambulatoorsed vastuvõtud, mis toimuvad vahetu kontaktita, kasutades turvalist info- ja kommunikatsioonitehnoloogilist lahendust</w:t>
      </w:r>
      <w:r w:rsidR="000B666A" w:rsidRPr="00687DE8">
        <w:rPr>
          <w:rFonts w:eastAsia="Calibri"/>
          <w:szCs w:val="24"/>
        </w:rPr>
        <w:t>,</w:t>
      </w:r>
      <w:r w:rsidR="00D56E8F" w:rsidRPr="00687DE8">
        <w:rPr>
          <w:rFonts w:eastAsia="Calibri"/>
          <w:szCs w:val="24"/>
        </w:rPr>
        <w:t xml:space="preserve"> ja neid rakendatakse järgmistel tingimustel:</w:t>
      </w:r>
    </w:p>
    <w:p w14:paraId="7EE2C4B6" w14:textId="77777777" w:rsidR="002E7C5D" w:rsidRPr="00687DE8" w:rsidRDefault="002E7C5D" w:rsidP="002E7C5D">
      <w:pPr>
        <w:spacing w:after="0" w:line="240" w:lineRule="auto"/>
        <w:jc w:val="both"/>
        <w:rPr>
          <w:rFonts w:eastAsia="Calibri"/>
          <w:szCs w:val="24"/>
        </w:rPr>
      </w:pPr>
      <w:r w:rsidRPr="00687DE8">
        <w:rPr>
          <w:rFonts w:eastAsia="Calibri"/>
          <w:szCs w:val="24"/>
        </w:rPr>
        <w:t>1) võrreldes kontaktvastuvõtuga tervishoiuteenuse kvaliteet säilib või paraneb;</w:t>
      </w:r>
    </w:p>
    <w:p w14:paraId="5CA16EA1" w14:textId="77777777" w:rsidR="002E7C5D" w:rsidRPr="00687DE8" w:rsidRDefault="002E7C5D" w:rsidP="002E7C5D">
      <w:pPr>
        <w:spacing w:after="0" w:line="240" w:lineRule="auto"/>
        <w:jc w:val="both"/>
        <w:rPr>
          <w:rFonts w:eastAsia="Calibri"/>
          <w:szCs w:val="24"/>
        </w:rPr>
      </w:pPr>
      <w:r w:rsidRPr="00687DE8">
        <w:rPr>
          <w:rFonts w:eastAsia="Calibri"/>
          <w:szCs w:val="24"/>
        </w:rPr>
        <w:t>2) kaugvastuvõtu sobivuse konkreetse patsiendi terviseprobleemi käsitlemisel otsustab vastuvõttev või vastuvõtule suunav tervishoiutöötaja, patsiendi tehnilist valmisolekut hindab tervishoiuteenuse osutaja;</w:t>
      </w:r>
    </w:p>
    <w:p w14:paraId="381E01B6" w14:textId="77777777" w:rsidR="002E7C5D" w:rsidRPr="00687DE8" w:rsidRDefault="002E7C5D" w:rsidP="002E7C5D">
      <w:pPr>
        <w:spacing w:after="0" w:line="240" w:lineRule="auto"/>
        <w:jc w:val="both"/>
        <w:rPr>
          <w:rFonts w:eastAsia="Calibri"/>
          <w:szCs w:val="24"/>
        </w:rPr>
      </w:pPr>
      <w:r w:rsidRPr="00687DE8">
        <w:rPr>
          <w:rFonts w:eastAsia="Calibri"/>
          <w:szCs w:val="24"/>
        </w:rPr>
        <w:t>3) kaugvastuvõtt toimub patsiendi nõusolekul, mis on dokumenteeritud;</w:t>
      </w:r>
    </w:p>
    <w:p w14:paraId="72347A2E" w14:textId="77777777" w:rsidR="002E7C5D" w:rsidRPr="00687DE8" w:rsidRDefault="002E7C5D" w:rsidP="002E7C5D">
      <w:pPr>
        <w:spacing w:after="0" w:line="240" w:lineRule="auto"/>
        <w:jc w:val="both"/>
        <w:rPr>
          <w:rFonts w:eastAsia="Calibri"/>
          <w:szCs w:val="24"/>
        </w:rPr>
      </w:pPr>
      <w:r w:rsidRPr="00687DE8">
        <w:rPr>
          <w:rFonts w:eastAsia="Calibri"/>
          <w:szCs w:val="24"/>
        </w:rPr>
        <w:t>4) kaugvastuvõtt toimub kokkulepitud ajal ja viisil, sünkroonse suhtlusena;</w:t>
      </w:r>
    </w:p>
    <w:p w14:paraId="62403976" w14:textId="77777777" w:rsidR="002E7C5D" w:rsidRPr="00687DE8" w:rsidRDefault="002E7C5D" w:rsidP="002E7C5D">
      <w:pPr>
        <w:spacing w:after="0" w:line="240" w:lineRule="auto"/>
        <w:jc w:val="both"/>
        <w:rPr>
          <w:rFonts w:eastAsia="Calibri"/>
          <w:szCs w:val="24"/>
        </w:rPr>
      </w:pPr>
      <w:r w:rsidRPr="00687DE8">
        <w:rPr>
          <w:rFonts w:eastAsia="Calibri"/>
          <w:szCs w:val="24"/>
        </w:rPr>
        <w:t>5) kaugvastuvõtuks kasutatav info- ja kommunikatsioonitehnoloogiline lahendus ning selle kasutamine vastavad õigusaktides (sealhulgas isikuandmete kaitse seadus, isikuandmete kaitse üldmäärus) sätestatud põhimõtetele;</w:t>
      </w:r>
    </w:p>
    <w:p w14:paraId="54E93C5B" w14:textId="77777777" w:rsidR="003A42A5" w:rsidRPr="00687DE8" w:rsidRDefault="002E7C5D" w:rsidP="002E7C5D">
      <w:pPr>
        <w:spacing w:after="0" w:line="240" w:lineRule="auto"/>
        <w:jc w:val="both"/>
        <w:rPr>
          <w:rFonts w:eastAsia="Calibri"/>
          <w:szCs w:val="24"/>
        </w:rPr>
      </w:pPr>
      <w:r w:rsidRPr="00687DE8">
        <w:rPr>
          <w:rFonts w:eastAsia="Calibri"/>
          <w:szCs w:val="24"/>
        </w:rPr>
        <w:t>6) patsiendi isiku tuvastamise eest vastutab tervishoiuteenuse osutaja.</w:t>
      </w:r>
    </w:p>
    <w:p w14:paraId="12BD5CC2" w14:textId="77777777" w:rsidR="003A42A5" w:rsidRPr="00687DE8" w:rsidRDefault="003A42A5" w:rsidP="009F45AB">
      <w:pPr>
        <w:spacing w:after="0" w:line="240" w:lineRule="auto"/>
        <w:jc w:val="both"/>
        <w:rPr>
          <w:rFonts w:eastAsia="Calibri"/>
          <w:szCs w:val="24"/>
        </w:rPr>
      </w:pPr>
    </w:p>
    <w:p w14:paraId="059C2EF6" w14:textId="18EC8912" w:rsidR="008311CB" w:rsidRPr="00687DE8" w:rsidRDefault="008311CB" w:rsidP="008311CB">
      <w:pPr>
        <w:spacing w:after="0" w:line="240" w:lineRule="auto"/>
        <w:jc w:val="both"/>
        <w:rPr>
          <w:rFonts w:eastAsia="Calibri"/>
          <w:szCs w:val="24"/>
        </w:rPr>
      </w:pPr>
      <w:r w:rsidRPr="00687DE8">
        <w:rPr>
          <w:rFonts w:eastAsia="Calibri"/>
          <w:szCs w:val="24"/>
        </w:rPr>
        <w:t>(</w:t>
      </w:r>
      <w:r w:rsidR="006346E0">
        <w:rPr>
          <w:rFonts w:eastAsia="Calibri"/>
          <w:szCs w:val="24"/>
        </w:rPr>
        <w:t>9</w:t>
      </w:r>
      <w:r w:rsidRPr="00687DE8">
        <w:rPr>
          <w:rFonts w:eastAsia="Calibri"/>
          <w:szCs w:val="24"/>
        </w:rPr>
        <w:t xml:space="preserve">) Koodidega </w:t>
      </w:r>
      <w:r w:rsidR="0083432A" w:rsidRPr="00687DE8">
        <w:rPr>
          <w:rFonts w:eastAsia="Calibri"/>
          <w:szCs w:val="24"/>
        </w:rPr>
        <w:t>3240, 3241, 3242</w:t>
      </w:r>
      <w:r w:rsidR="00110229" w:rsidRPr="00687DE8">
        <w:rPr>
          <w:rFonts w:eastAsia="Calibri"/>
          <w:szCs w:val="24"/>
        </w:rPr>
        <w:t>,</w:t>
      </w:r>
      <w:r w:rsidR="0083432A" w:rsidRPr="00687DE8">
        <w:rPr>
          <w:rFonts w:eastAsia="Calibri"/>
          <w:szCs w:val="24"/>
        </w:rPr>
        <w:t xml:space="preserve"> 3243</w:t>
      </w:r>
      <w:r w:rsidR="00110229" w:rsidRPr="00687DE8">
        <w:rPr>
          <w:rFonts w:eastAsia="Calibri"/>
          <w:szCs w:val="24"/>
        </w:rPr>
        <w:t>,</w:t>
      </w:r>
      <w:r w:rsidRPr="00687DE8">
        <w:rPr>
          <w:rFonts w:eastAsia="Calibri"/>
          <w:szCs w:val="24"/>
        </w:rPr>
        <w:t xml:space="preserve"> </w:t>
      </w:r>
      <w:r w:rsidR="00110229" w:rsidRPr="00687DE8">
        <w:rPr>
          <w:rFonts w:eastAsia="Calibri"/>
          <w:szCs w:val="24"/>
        </w:rPr>
        <w:t>4514A ja 4515A</w:t>
      </w:r>
      <w:r w:rsidRPr="00687DE8">
        <w:rPr>
          <w:rFonts w:eastAsia="Calibri"/>
          <w:szCs w:val="24"/>
        </w:rPr>
        <w:t xml:space="preserve"> tähistatud kaug- ja videovastuvõttu ei rakendata järgmistel juhtudel:</w:t>
      </w:r>
    </w:p>
    <w:p w14:paraId="53C2347C" w14:textId="77777777" w:rsidR="008311CB" w:rsidRPr="00687DE8" w:rsidRDefault="008311CB" w:rsidP="008311CB">
      <w:pPr>
        <w:spacing w:after="0" w:line="240" w:lineRule="auto"/>
        <w:jc w:val="both"/>
        <w:rPr>
          <w:rFonts w:eastAsia="Calibri"/>
          <w:szCs w:val="24"/>
        </w:rPr>
      </w:pPr>
      <w:r w:rsidRPr="00687DE8">
        <w:rPr>
          <w:rFonts w:eastAsia="Calibri"/>
          <w:szCs w:val="24"/>
        </w:rPr>
        <w:lastRenderedPageBreak/>
        <w:t>1) vastuvõtuaja kokkuleppimine, muutmine või tühistamine;</w:t>
      </w:r>
    </w:p>
    <w:p w14:paraId="5C645DD3" w14:textId="77777777" w:rsidR="008311CB" w:rsidRPr="00687DE8" w:rsidRDefault="008311CB" w:rsidP="008311CB">
      <w:pPr>
        <w:spacing w:after="0" w:line="240" w:lineRule="auto"/>
        <w:jc w:val="both"/>
        <w:rPr>
          <w:rFonts w:eastAsia="Calibri"/>
          <w:szCs w:val="24"/>
        </w:rPr>
      </w:pPr>
      <w:r w:rsidRPr="00687DE8">
        <w:rPr>
          <w:rFonts w:eastAsia="Calibri"/>
          <w:szCs w:val="24"/>
        </w:rPr>
        <w:t>2) saatekirja väljastamisest teatamine;</w:t>
      </w:r>
    </w:p>
    <w:p w14:paraId="11704D42" w14:textId="77777777" w:rsidR="008311CB" w:rsidRPr="00687DE8" w:rsidRDefault="008311CB" w:rsidP="008311CB">
      <w:pPr>
        <w:spacing w:after="0" w:line="240" w:lineRule="auto"/>
        <w:jc w:val="both"/>
        <w:rPr>
          <w:rFonts w:eastAsia="Calibri"/>
          <w:szCs w:val="24"/>
        </w:rPr>
      </w:pPr>
      <w:r w:rsidRPr="00687DE8">
        <w:rPr>
          <w:rFonts w:eastAsia="Calibri"/>
          <w:szCs w:val="24"/>
        </w:rPr>
        <w:t>3) sõeluuringu negatiivsest tulemusest teatamine;</w:t>
      </w:r>
    </w:p>
    <w:p w14:paraId="5B82EFA3" w14:textId="2B9C167D" w:rsidR="008311CB" w:rsidRPr="00687DE8" w:rsidRDefault="008311CB" w:rsidP="008311CB">
      <w:pPr>
        <w:spacing w:after="0" w:line="240" w:lineRule="auto"/>
        <w:jc w:val="both"/>
        <w:rPr>
          <w:rFonts w:eastAsia="Calibri"/>
          <w:szCs w:val="24"/>
        </w:rPr>
      </w:pPr>
      <w:r w:rsidRPr="00687DE8">
        <w:rPr>
          <w:rFonts w:eastAsia="Calibri"/>
          <w:szCs w:val="24"/>
        </w:rPr>
        <w:t>4) ravi ümberkorraldamise ja/või nõustamise vajaduseta analüüside ja/või uuringutulemuste</w:t>
      </w:r>
      <w:r w:rsidR="000B666A" w:rsidRPr="00687DE8">
        <w:rPr>
          <w:rFonts w:eastAsia="Calibri"/>
          <w:szCs w:val="24"/>
        </w:rPr>
        <w:t xml:space="preserve"> </w:t>
      </w:r>
      <w:r w:rsidRPr="00687DE8">
        <w:rPr>
          <w:rFonts w:eastAsia="Calibri"/>
          <w:szCs w:val="24"/>
        </w:rPr>
        <w:t>teatamine;</w:t>
      </w:r>
    </w:p>
    <w:p w14:paraId="493022E5" w14:textId="77777777" w:rsidR="008311CB" w:rsidRPr="00687DE8" w:rsidRDefault="008311CB" w:rsidP="008311CB">
      <w:pPr>
        <w:spacing w:after="0" w:line="240" w:lineRule="auto"/>
        <w:jc w:val="both"/>
        <w:rPr>
          <w:rFonts w:eastAsia="Calibri"/>
          <w:szCs w:val="24"/>
        </w:rPr>
      </w:pPr>
      <w:r w:rsidRPr="00687DE8">
        <w:rPr>
          <w:rFonts w:eastAsia="Calibri"/>
          <w:szCs w:val="24"/>
        </w:rPr>
        <w:t>5) ainult korduva ravimiretsepti väljastamine ravijuhiseid täpsustamata.</w:t>
      </w:r>
    </w:p>
    <w:p w14:paraId="56B78D7F" w14:textId="77777777" w:rsidR="00E45C8D" w:rsidRPr="00687DE8" w:rsidRDefault="00E45C8D" w:rsidP="008311CB">
      <w:pPr>
        <w:spacing w:after="0" w:line="240" w:lineRule="auto"/>
        <w:jc w:val="both"/>
        <w:rPr>
          <w:rFonts w:eastAsia="Calibri"/>
          <w:szCs w:val="24"/>
        </w:rPr>
      </w:pPr>
    </w:p>
    <w:p w14:paraId="5ABC26F7" w14:textId="45534637" w:rsidR="00EE729B" w:rsidRPr="00687DE8" w:rsidRDefault="00A374C7" w:rsidP="00EE729B">
      <w:pPr>
        <w:spacing w:after="0" w:line="240" w:lineRule="auto"/>
        <w:jc w:val="both"/>
        <w:rPr>
          <w:rFonts w:eastAsia="Calibri"/>
          <w:szCs w:val="24"/>
        </w:rPr>
      </w:pPr>
      <w:r w:rsidRPr="00687DE8">
        <w:rPr>
          <w:rFonts w:eastAsia="Calibri"/>
          <w:szCs w:val="24"/>
        </w:rPr>
        <w:t>(</w:t>
      </w:r>
      <w:r w:rsidR="60549389" w:rsidRPr="00687DE8">
        <w:rPr>
          <w:rFonts w:eastAsia="Calibri"/>
          <w:szCs w:val="24"/>
        </w:rPr>
        <w:t>1</w:t>
      </w:r>
      <w:r w:rsidR="00182F3C">
        <w:rPr>
          <w:rFonts w:eastAsia="Calibri"/>
          <w:szCs w:val="24"/>
        </w:rPr>
        <w:t>0</w:t>
      </w:r>
      <w:r w:rsidRPr="00687DE8">
        <w:rPr>
          <w:rFonts w:eastAsia="Calibri"/>
          <w:szCs w:val="24"/>
        </w:rPr>
        <w:t>)</w:t>
      </w:r>
      <w:r w:rsidR="00EE729B" w:rsidRPr="00687DE8">
        <w:rPr>
          <w:rFonts w:eastAsia="Calibri"/>
          <w:szCs w:val="24"/>
        </w:rPr>
        <w:t xml:space="preserve"> Koodiga 312</w:t>
      </w:r>
      <w:r w:rsidR="00E83428" w:rsidRPr="00687DE8">
        <w:rPr>
          <w:rFonts w:eastAsia="Calibri"/>
          <w:szCs w:val="24"/>
        </w:rPr>
        <w:t>6</w:t>
      </w:r>
      <w:r w:rsidR="00EE729B" w:rsidRPr="00687DE8">
        <w:rPr>
          <w:rFonts w:eastAsia="Calibri"/>
          <w:szCs w:val="24"/>
        </w:rPr>
        <w:t xml:space="preserve"> tähistatud tervishoiuteenuse piirhinda rakendatakse alkoholitarvitamise häire ravis juhtumikorralduse tagamiseks ravi rahastamise lepingus kokku</w:t>
      </w:r>
      <w:r w:rsidR="00C56FE6" w:rsidRPr="00687DE8">
        <w:rPr>
          <w:rFonts w:eastAsia="Calibri"/>
          <w:szCs w:val="24"/>
        </w:rPr>
        <w:t xml:space="preserve"> l</w:t>
      </w:r>
      <w:r w:rsidR="00EE729B" w:rsidRPr="00687DE8">
        <w:rPr>
          <w:rFonts w:eastAsia="Calibri"/>
          <w:szCs w:val="24"/>
        </w:rPr>
        <w:t>epitud tingimustel üks kord kuus alkoholitarvitamise häirega patsiendi kohta</w:t>
      </w:r>
      <w:r w:rsidR="7EF4C46B" w:rsidRPr="00687DE8">
        <w:rPr>
          <w:rFonts w:eastAsia="Calibri"/>
          <w:szCs w:val="24"/>
        </w:rPr>
        <w:t>, kellele on osutatud kalendrikuu jooksul vähemalt üks alkoholitarvitamise häire raviteenus</w:t>
      </w:r>
      <w:r w:rsidR="00EE729B" w:rsidRPr="00687DE8">
        <w:rPr>
          <w:rFonts w:eastAsia="Calibri"/>
          <w:szCs w:val="24"/>
        </w:rPr>
        <w:t>.</w:t>
      </w:r>
    </w:p>
    <w:p w14:paraId="7F2FA5CC" w14:textId="77777777" w:rsidR="00EE729B" w:rsidRPr="00687DE8" w:rsidRDefault="00EE729B" w:rsidP="00EE729B">
      <w:pPr>
        <w:spacing w:after="0" w:line="240" w:lineRule="auto"/>
        <w:jc w:val="both"/>
        <w:rPr>
          <w:rFonts w:eastAsia="Calibri"/>
          <w:szCs w:val="24"/>
        </w:rPr>
      </w:pPr>
    </w:p>
    <w:p w14:paraId="61F87BAB" w14:textId="26B97B2E" w:rsidR="00EE729B" w:rsidRPr="00687DE8" w:rsidRDefault="00EE729B" w:rsidP="00EE729B">
      <w:pPr>
        <w:spacing w:after="0" w:line="240" w:lineRule="auto"/>
        <w:jc w:val="both"/>
        <w:rPr>
          <w:rFonts w:eastAsia="Calibri"/>
          <w:szCs w:val="24"/>
        </w:rPr>
      </w:pPr>
      <w:bookmarkStart w:id="47" w:name="_Hlk180150953"/>
      <w:r w:rsidRPr="00687DE8">
        <w:rPr>
          <w:rFonts w:eastAsia="Calibri"/>
          <w:szCs w:val="24"/>
        </w:rPr>
        <w:t>(</w:t>
      </w:r>
      <w:r w:rsidR="4E20DD9A" w:rsidRPr="00687DE8">
        <w:rPr>
          <w:rFonts w:eastAsia="Calibri"/>
          <w:szCs w:val="24"/>
        </w:rPr>
        <w:t>1</w:t>
      </w:r>
      <w:r w:rsidR="00182F3C">
        <w:rPr>
          <w:rFonts w:eastAsia="Calibri"/>
          <w:szCs w:val="24"/>
        </w:rPr>
        <w:t>1</w:t>
      </w:r>
      <w:r w:rsidRPr="00687DE8">
        <w:rPr>
          <w:rFonts w:eastAsia="Calibri"/>
          <w:szCs w:val="24"/>
        </w:rPr>
        <w:t>) Koodi</w:t>
      </w:r>
      <w:r w:rsidR="00FC4082" w:rsidRPr="00687DE8">
        <w:rPr>
          <w:rFonts w:eastAsia="Calibri"/>
          <w:szCs w:val="24"/>
        </w:rPr>
        <w:t>de</w:t>
      </w:r>
      <w:r w:rsidRPr="00687DE8">
        <w:rPr>
          <w:rFonts w:eastAsia="Calibri"/>
          <w:szCs w:val="24"/>
        </w:rPr>
        <w:t>ga 312</w:t>
      </w:r>
      <w:r w:rsidR="00E83428" w:rsidRPr="00687DE8">
        <w:rPr>
          <w:rFonts w:eastAsia="Calibri"/>
          <w:szCs w:val="24"/>
        </w:rPr>
        <w:t>6</w:t>
      </w:r>
      <w:r w:rsidR="003328A4" w:rsidRPr="00687DE8">
        <w:rPr>
          <w:rFonts w:eastAsia="Calibri"/>
          <w:szCs w:val="24"/>
        </w:rPr>
        <w:t xml:space="preserve"> ja</w:t>
      </w:r>
      <w:r w:rsidR="00D72C30" w:rsidRPr="00687DE8">
        <w:rPr>
          <w:rFonts w:eastAsia="Calibri"/>
          <w:szCs w:val="24"/>
        </w:rPr>
        <w:t xml:space="preserve"> 4508A</w:t>
      </w:r>
      <w:r w:rsidRPr="00687DE8">
        <w:rPr>
          <w:rFonts w:eastAsia="Calibri"/>
          <w:szCs w:val="24"/>
        </w:rPr>
        <w:t xml:space="preserve"> tähistatud tervishoiuteenuse piirhind sisaldab</w:t>
      </w:r>
      <w:r w:rsidR="00237861" w:rsidRPr="00687DE8">
        <w:rPr>
          <w:rFonts w:eastAsia="Calibri"/>
          <w:szCs w:val="24"/>
        </w:rPr>
        <w:t xml:space="preserve"> </w:t>
      </w:r>
      <w:r w:rsidR="00FC4082" w:rsidRPr="00687DE8">
        <w:rPr>
          <w:rFonts w:eastAsia="Calibri"/>
          <w:szCs w:val="24"/>
        </w:rPr>
        <w:t>järgmist</w:t>
      </w:r>
      <w:r w:rsidRPr="00687DE8">
        <w:rPr>
          <w:rFonts w:eastAsia="Calibri"/>
          <w:szCs w:val="24"/>
        </w:rPr>
        <w:t>:</w:t>
      </w:r>
    </w:p>
    <w:p w14:paraId="14AD3301" w14:textId="2630FE4A" w:rsidR="00EE729B" w:rsidRPr="00687DE8" w:rsidRDefault="00EE729B" w:rsidP="00EE729B">
      <w:pPr>
        <w:spacing w:after="0" w:line="240" w:lineRule="auto"/>
        <w:jc w:val="both"/>
        <w:rPr>
          <w:rFonts w:eastAsia="Calibri"/>
          <w:szCs w:val="24"/>
        </w:rPr>
      </w:pPr>
      <w:r w:rsidRPr="00687DE8">
        <w:rPr>
          <w:rFonts w:eastAsia="Calibri"/>
          <w:szCs w:val="24"/>
        </w:rPr>
        <w:t>1) patsiendi seisundi hindami</w:t>
      </w:r>
      <w:r w:rsidR="67D420EE" w:rsidRPr="00687DE8">
        <w:rPr>
          <w:rFonts w:eastAsia="Calibri"/>
          <w:szCs w:val="24"/>
        </w:rPr>
        <w:t>ne</w:t>
      </w:r>
      <w:r w:rsidRPr="00687DE8">
        <w:rPr>
          <w:rFonts w:eastAsia="Calibri"/>
          <w:szCs w:val="24"/>
        </w:rPr>
        <w:t>, vajaduse</w:t>
      </w:r>
      <w:r w:rsidR="003F107C" w:rsidRPr="00687DE8">
        <w:rPr>
          <w:rFonts w:eastAsia="Calibri"/>
          <w:szCs w:val="24"/>
        </w:rPr>
        <w:t xml:space="preserve"> korra</w:t>
      </w:r>
      <w:r w:rsidRPr="00687DE8">
        <w:rPr>
          <w:rFonts w:eastAsia="Calibri"/>
          <w:szCs w:val="24"/>
        </w:rPr>
        <w:t xml:space="preserve">l täishindamiseks vajaliku info kogumine teistest asutustest; </w:t>
      </w:r>
    </w:p>
    <w:p w14:paraId="538A65B5" w14:textId="77777777" w:rsidR="00EE729B" w:rsidRPr="00687DE8" w:rsidRDefault="00EE729B" w:rsidP="00EE729B">
      <w:pPr>
        <w:spacing w:after="0" w:line="240" w:lineRule="auto"/>
        <w:jc w:val="both"/>
        <w:rPr>
          <w:rFonts w:eastAsia="Calibri"/>
          <w:szCs w:val="24"/>
        </w:rPr>
      </w:pPr>
      <w:r w:rsidRPr="00687DE8">
        <w:rPr>
          <w:rFonts w:eastAsia="Calibri"/>
          <w:szCs w:val="24"/>
        </w:rPr>
        <w:t>2) motiveeriva toe ja nõustamise pakkumine;</w:t>
      </w:r>
    </w:p>
    <w:p w14:paraId="7F6CC15E" w14:textId="77777777" w:rsidR="00EE729B" w:rsidRPr="00687DE8" w:rsidRDefault="00EE729B" w:rsidP="00EE729B">
      <w:pPr>
        <w:spacing w:after="0" w:line="240" w:lineRule="auto"/>
        <w:jc w:val="both"/>
        <w:rPr>
          <w:rFonts w:eastAsia="Calibri"/>
          <w:szCs w:val="24"/>
        </w:rPr>
      </w:pPr>
      <w:r w:rsidRPr="00687DE8">
        <w:rPr>
          <w:rFonts w:eastAsia="Calibri"/>
          <w:szCs w:val="24"/>
        </w:rPr>
        <w:t>3) ravisoostumuse jälgimine;</w:t>
      </w:r>
    </w:p>
    <w:p w14:paraId="0A433394" w14:textId="77777777" w:rsidR="00EE729B" w:rsidRPr="00687DE8" w:rsidRDefault="00EE729B" w:rsidP="00EE729B">
      <w:pPr>
        <w:spacing w:after="0" w:line="240" w:lineRule="auto"/>
        <w:jc w:val="both"/>
        <w:rPr>
          <w:rFonts w:eastAsia="Calibri"/>
          <w:szCs w:val="24"/>
        </w:rPr>
      </w:pPr>
      <w:r w:rsidRPr="00687DE8">
        <w:rPr>
          <w:rFonts w:eastAsia="Calibri"/>
          <w:szCs w:val="24"/>
        </w:rPr>
        <w:t>4) nõustamine</w:t>
      </w:r>
      <w:r w:rsidR="006145F1" w:rsidRPr="00687DE8">
        <w:rPr>
          <w:rFonts w:eastAsia="Calibri"/>
          <w:szCs w:val="24"/>
        </w:rPr>
        <w:t xml:space="preserve"> </w:t>
      </w:r>
      <w:r w:rsidRPr="00687DE8">
        <w:rPr>
          <w:rFonts w:eastAsia="Calibri"/>
          <w:szCs w:val="24"/>
        </w:rPr>
        <w:t>tervishoiu-, sotsiaal- ja muude teenuste (AA-rühmad, KOV, Töötukassa) ja abi võimaluste kohta;</w:t>
      </w:r>
    </w:p>
    <w:p w14:paraId="4F1E7521" w14:textId="77777777" w:rsidR="00EE729B" w:rsidRPr="00687DE8" w:rsidRDefault="00EE729B" w:rsidP="00EE729B">
      <w:pPr>
        <w:spacing w:after="0" w:line="240" w:lineRule="auto"/>
        <w:jc w:val="both"/>
        <w:rPr>
          <w:rFonts w:eastAsia="Calibri"/>
          <w:szCs w:val="24"/>
        </w:rPr>
      </w:pPr>
      <w:r w:rsidRPr="00687DE8">
        <w:rPr>
          <w:rFonts w:eastAsia="Calibri"/>
          <w:szCs w:val="24"/>
        </w:rPr>
        <w:t>5) võrgustikutöö sotsiaal- ja rehabilitatsiooniteenuste osutajate, eneseabirühmade jt kontaktisikutega;</w:t>
      </w:r>
    </w:p>
    <w:p w14:paraId="5E804DF3" w14:textId="77777777" w:rsidR="00EE729B" w:rsidRPr="00687DE8" w:rsidRDefault="00EE729B" w:rsidP="00EE729B">
      <w:pPr>
        <w:spacing w:after="0" w:line="240" w:lineRule="auto"/>
        <w:jc w:val="both"/>
        <w:rPr>
          <w:rFonts w:eastAsia="Calibri"/>
          <w:szCs w:val="24"/>
        </w:rPr>
      </w:pPr>
      <w:r w:rsidRPr="00687DE8">
        <w:rPr>
          <w:rFonts w:eastAsia="Calibri"/>
          <w:szCs w:val="24"/>
        </w:rPr>
        <w:t>6) toimetulekuoskuste õpetamine;</w:t>
      </w:r>
    </w:p>
    <w:p w14:paraId="7B3B50BF" w14:textId="77777777" w:rsidR="00E45C8D" w:rsidRPr="00687DE8" w:rsidRDefault="00EE729B" w:rsidP="00EE729B">
      <w:pPr>
        <w:spacing w:after="0" w:line="240" w:lineRule="auto"/>
        <w:jc w:val="both"/>
        <w:rPr>
          <w:rFonts w:eastAsia="Calibri"/>
          <w:szCs w:val="24"/>
        </w:rPr>
      </w:pPr>
      <w:r w:rsidRPr="00687DE8">
        <w:rPr>
          <w:rFonts w:eastAsia="Calibri"/>
          <w:szCs w:val="24"/>
        </w:rPr>
        <w:t>7) kokkuleppel patsiendi</w:t>
      </w:r>
      <w:r w:rsidR="7A6ABF36" w:rsidRPr="00687DE8">
        <w:rPr>
          <w:rFonts w:eastAsia="Calibri"/>
          <w:szCs w:val="24"/>
        </w:rPr>
        <w:t>ga</w:t>
      </w:r>
      <w:r w:rsidRPr="00687DE8">
        <w:rPr>
          <w:rFonts w:eastAsia="Calibri"/>
          <w:szCs w:val="24"/>
        </w:rPr>
        <w:t xml:space="preserve"> tema lähedastega kontakti hoidmine.</w:t>
      </w:r>
    </w:p>
    <w:bookmarkEnd w:id="47"/>
    <w:p w14:paraId="6785D98B" w14:textId="77777777" w:rsidR="002D0D21" w:rsidRPr="00687DE8" w:rsidRDefault="002D0D21" w:rsidP="003F107C">
      <w:pPr>
        <w:spacing w:after="0" w:line="240" w:lineRule="auto"/>
        <w:jc w:val="both"/>
        <w:rPr>
          <w:rFonts w:eastAsia="Calibri"/>
          <w:szCs w:val="24"/>
        </w:rPr>
      </w:pPr>
    </w:p>
    <w:p w14:paraId="65B3BACE" w14:textId="4A907685" w:rsidR="0016131C" w:rsidRPr="00687DE8" w:rsidRDefault="00B160FF" w:rsidP="0095292A">
      <w:pPr>
        <w:shd w:val="clear" w:color="auto" w:fill="FFFFFF" w:themeFill="background1"/>
        <w:spacing w:after="0" w:line="240" w:lineRule="auto"/>
        <w:jc w:val="both"/>
        <w:rPr>
          <w:color w:val="202020"/>
          <w:szCs w:val="24"/>
          <w:shd w:val="clear" w:color="auto" w:fill="FFFFFF"/>
        </w:rPr>
      </w:pPr>
      <w:r w:rsidRPr="00687DE8">
        <w:rPr>
          <w:color w:val="202020"/>
          <w:szCs w:val="24"/>
        </w:rPr>
        <w:t>(</w:t>
      </w:r>
      <w:r w:rsidR="47A1F344" w:rsidRPr="00687DE8">
        <w:rPr>
          <w:color w:val="202020"/>
          <w:szCs w:val="24"/>
        </w:rPr>
        <w:t>1</w:t>
      </w:r>
      <w:r w:rsidR="00182F3C">
        <w:rPr>
          <w:color w:val="202020"/>
          <w:szCs w:val="24"/>
        </w:rPr>
        <w:t>2</w:t>
      </w:r>
      <w:r w:rsidRPr="00687DE8">
        <w:rPr>
          <w:color w:val="202020"/>
          <w:szCs w:val="24"/>
        </w:rPr>
        <w:t xml:space="preserve">) </w:t>
      </w:r>
      <w:r w:rsidR="0016131C" w:rsidRPr="00687DE8">
        <w:rPr>
          <w:color w:val="202020"/>
          <w:szCs w:val="24"/>
        </w:rPr>
        <w:t>Koodiga 4505A tähistatud tervishoiuteenuse piirhinnale rakendatakse</w:t>
      </w:r>
      <w:r w:rsidR="0016131C" w:rsidRPr="00687DE8">
        <w:rPr>
          <w:szCs w:val="24"/>
        </w:rPr>
        <w:t xml:space="preserve"> </w:t>
      </w:r>
      <w:r w:rsidR="0016131C" w:rsidRPr="00687DE8">
        <w:rPr>
          <w:color w:val="000000" w:themeColor="text1"/>
          <w:szCs w:val="24"/>
        </w:rPr>
        <w:t>järgmistel juhtudel iga koefitsienti maksimaalselt ü</w:t>
      </w:r>
      <w:r w:rsidR="002373A2" w:rsidRPr="00687DE8">
        <w:rPr>
          <w:color w:val="000000" w:themeColor="text1"/>
          <w:szCs w:val="24"/>
        </w:rPr>
        <w:t xml:space="preserve">ks </w:t>
      </w:r>
      <w:r w:rsidR="0016131C" w:rsidRPr="00687DE8">
        <w:rPr>
          <w:color w:val="000000" w:themeColor="text1"/>
          <w:szCs w:val="24"/>
        </w:rPr>
        <w:t>kor</w:t>
      </w:r>
      <w:r w:rsidR="002373A2" w:rsidRPr="00687DE8">
        <w:rPr>
          <w:color w:val="000000" w:themeColor="text1"/>
          <w:szCs w:val="24"/>
        </w:rPr>
        <w:t>d</w:t>
      </w:r>
      <w:r w:rsidR="0016131C" w:rsidRPr="00687DE8">
        <w:rPr>
          <w:color w:val="202020"/>
          <w:szCs w:val="24"/>
        </w:rPr>
        <w:t>:</w:t>
      </w:r>
    </w:p>
    <w:p w14:paraId="614C7C35" w14:textId="036FD941" w:rsidR="000B2841" w:rsidRPr="00687DE8" w:rsidRDefault="000B2841" w:rsidP="0095292A">
      <w:pPr>
        <w:shd w:val="clear" w:color="auto" w:fill="FFFFFF" w:themeFill="background1"/>
        <w:spacing w:after="0" w:line="240" w:lineRule="auto"/>
        <w:jc w:val="both"/>
        <w:rPr>
          <w:color w:val="000000" w:themeColor="text1"/>
        </w:rPr>
      </w:pPr>
      <w:r w:rsidRPr="4D96A646">
        <w:rPr>
          <w:color w:val="000000" w:themeColor="text1"/>
        </w:rPr>
        <w:t xml:space="preserve">1) puusaliiges: koefitsient </w:t>
      </w:r>
      <w:r w:rsidR="7B2DCE0C">
        <w:t>1</w:t>
      </w:r>
      <w:r w:rsidR="7B2DCE0C" w:rsidRPr="00EB7A71">
        <w:rPr>
          <w:rFonts w:eastAsia="Cambria"/>
          <w:color w:val="000000" w:themeColor="text1"/>
          <w:szCs w:val="24"/>
          <w:lang w:val="en-US"/>
        </w:rPr>
        <w:t>,2447</w:t>
      </w:r>
      <w:r w:rsidR="4065F65E" w:rsidRPr="00EB7A71">
        <w:rPr>
          <w:rFonts w:eastAsia="Cambria"/>
          <w:color w:val="000000" w:themeColor="text1"/>
          <w:szCs w:val="24"/>
          <w:lang w:val="en-US"/>
        </w:rPr>
        <w:t>1</w:t>
      </w:r>
      <w:r w:rsidRPr="4D96A646">
        <w:rPr>
          <w:color w:val="000000" w:themeColor="text1"/>
        </w:rPr>
        <w:t>;</w:t>
      </w:r>
    </w:p>
    <w:p w14:paraId="4E45D61E" w14:textId="274B0BDC" w:rsidR="000B2841" w:rsidRPr="00687DE8" w:rsidRDefault="000B2841" w:rsidP="0095292A">
      <w:pPr>
        <w:shd w:val="clear" w:color="auto" w:fill="FFFFFF" w:themeFill="background1"/>
        <w:spacing w:after="0" w:line="240" w:lineRule="auto"/>
        <w:jc w:val="both"/>
        <w:rPr>
          <w:color w:val="000000" w:themeColor="text1"/>
        </w:rPr>
      </w:pPr>
      <w:r w:rsidRPr="4D96A646">
        <w:rPr>
          <w:color w:val="000000" w:themeColor="text1"/>
        </w:rPr>
        <w:t xml:space="preserve">2) mees: koefitsient </w:t>
      </w:r>
      <w:r w:rsidR="01811FF0" w:rsidRPr="00EB7A71">
        <w:rPr>
          <w:rFonts w:eastAsia="Cambria"/>
          <w:szCs w:val="24"/>
          <w:lang w:val="en-US"/>
        </w:rPr>
        <w:t>0,9339</w:t>
      </w:r>
      <w:r w:rsidRPr="4D96A646">
        <w:rPr>
          <w:color w:val="000000" w:themeColor="text1"/>
        </w:rPr>
        <w:t>;</w:t>
      </w:r>
    </w:p>
    <w:p w14:paraId="68342712" w14:textId="3C448D01" w:rsidR="000B2841" w:rsidRPr="00687DE8" w:rsidRDefault="000B2841" w:rsidP="0095292A">
      <w:pPr>
        <w:shd w:val="clear" w:color="auto" w:fill="FFFFFF" w:themeFill="background1"/>
        <w:spacing w:after="0" w:line="240" w:lineRule="auto"/>
        <w:jc w:val="both"/>
        <w:rPr>
          <w:color w:val="000000" w:themeColor="text1"/>
        </w:rPr>
      </w:pPr>
      <w:r w:rsidRPr="4D96A646">
        <w:rPr>
          <w:color w:val="000000" w:themeColor="text1"/>
        </w:rPr>
        <w:t xml:space="preserve">3) vanus 0–29: koefitsient </w:t>
      </w:r>
      <w:r w:rsidR="2DC94890" w:rsidRPr="00EB7A71">
        <w:rPr>
          <w:rFonts w:eastAsia="Cambria"/>
          <w:color w:val="000000" w:themeColor="text1"/>
          <w:szCs w:val="24"/>
          <w:lang w:val="en-US"/>
        </w:rPr>
        <w:t>1,1575</w:t>
      </w:r>
      <w:r w:rsidRPr="4D96A646">
        <w:rPr>
          <w:color w:val="000000" w:themeColor="text1"/>
        </w:rPr>
        <w:t>;</w:t>
      </w:r>
    </w:p>
    <w:p w14:paraId="33CBC624" w14:textId="2CE2469E" w:rsidR="000B2841" w:rsidRPr="00687DE8" w:rsidRDefault="000B2841" w:rsidP="0095292A">
      <w:pPr>
        <w:shd w:val="clear" w:color="auto" w:fill="FFFFFF" w:themeFill="background1"/>
        <w:spacing w:after="0" w:line="240" w:lineRule="auto"/>
        <w:jc w:val="both"/>
        <w:rPr>
          <w:color w:val="000000" w:themeColor="text1"/>
        </w:rPr>
      </w:pPr>
      <w:r w:rsidRPr="4D96A646">
        <w:rPr>
          <w:color w:val="000000" w:themeColor="text1"/>
        </w:rPr>
        <w:t xml:space="preserve">4) vanus 70–79: koefitsient </w:t>
      </w:r>
      <w:r w:rsidR="26E069C5" w:rsidRPr="00EB7A71">
        <w:rPr>
          <w:rFonts w:eastAsia="Cambria"/>
          <w:szCs w:val="24"/>
          <w:lang w:val="en-US"/>
        </w:rPr>
        <w:t>1,0802</w:t>
      </w:r>
      <w:r w:rsidRPr="4D96A646">
        <w:rPr>
          <w:color w:val="000000" w:themeColor="text1"/>
        </w:rPr>
        <w:t>;</w:t>
      </w:r>
    </w:p>
    <w:p w14:paraId="2B7D1C6F" w14:textId="7FBBDA69" w:rsidR="000B2841" w:rsidRPr="00687DE8" w:rsidRDefault="000B2841" w:rsidP="0095292A">
      <w:pPr>
        <w:shd w:val="clear" w:color="auto" w:fill="FFFFFF" w:themeFill="background1"/>
        <w:spacing w:after="0" w:line="240" w:lineRule="auto"/>
        <w:jc w:val="both"/>
        <w:rPr>
          <w:color w:val="000000" w:themeColor="text1"/>
        </w:rPr>
      </w:pPr>
      <w:r w:rsidRPr="4D96A646">
        <w:rPr>
          <w:color w:val="000000" w:themeColor="text1"/>
        </w:rPr>
        <w:t xml:space="preserve">5) vanus 80 või enam: koefitsient </w:t>
      </w:r>
      <w:r w:rsidR="1D951979" w:rsidRPr="00EB7A71">
        <w:rPr>
          <w:rFonts w:eastAsia="Cambria"/>
          <w:color w:val="000000" w:themeColor="text1"/>
          <w:szCs w:val="24"/>
          <w:lang w:val="en-US"/>
        </w:rPr>
        <w:t>1,2136</w:t>
      </w:r>
      <w:r w:rsidRPr="4D96A646">
        <w:rPr>
          <w:color w:val="000000" w:themeColor="text1"/>
        </w:rPr>
        <w:t>;</w:t>
      </w:r>
    </w:p>
    <w:p w14:paraId="79B8A17E" w14:textId="64B6E521" w:rsidR="000B2841" w:rsidRPr="00FA056E" w:rsidRDefault="000B2841" w:rsidP="0095292A">
      <w:pPr>
        <w:shd w:val="clear" w:color="auto" w:fill="FFFFFF" w:themeFill="background1"/>
        <w:spacing w:after="0" w:line="240" w:lineRule="auto"/>
        <w:jc w:val="both"/>
        <w:rPr>
          <w:color w:val="000000" w:themeColor="text1"/>
        </w:rPr>
      </w:pPr>
      <w:r w:rsidRPr="4D96A646">
        <w:rPr>
          <w:color w:val="000000" w:themeColor="text1"/>
        </w:rPr>
        <w:t xml:space="preserve">6) indeksdiagnoos: diagnoosi rubriik M (v.a M16.0 ja </w:t>
      </w:r>
      <w:r w:rsidRPr="00FA056E">
        <w:rPr>
          <w:color w:val="000000" w:themeColor="text1"/>
        </w:rPr>
        <w:t xml:space="preserve">M16.1) või S72.0: koefitsient </w:t>
      </w:r>
      <w:r w:rsidR="525D0C80" w:rsidRPr="00FA056E">
        <w:rPr>
          <w:rFonts w:eastAsia="Cambria"/>
          <w:szCs w:val="24"/>
          <w:lang w:val="en-US"/>
        </w:rPr>
        <w:t>1,3343</w:t>
      </w:r>
      <w:r w:rsidRPr="00FA056E">
        <w:rPr>
          <w:color w:val="000000" w:themeColor="text1"/>
        </w:rPr>
        <w:t>;</w:t>
      </w:r>
    </w:p>
    <w:p w14:paraId="3B185071" w14:textId="57810DE9" w:rsidR="000B2841" w:rsidRPr="00FA056E" w:rsidRDefault="000B2841" w:rsidP="0095292A">
      <w:pPr>
        <w:shd w:val="clear" w:color="auto" w:fill="FFFFFF" w:themeFill="background1"/>
        <w:spacing w:after="0" w:line="240" w:lineRule="auto"/>
        <w:jc w:val="both"/>
      </w:pPr>
      <w:r w:rsidRPr="00FA056E">
        <w:rPr>
          <w:color w:val="000000" w:themeColor="text1"/>
        </w:rPr>
        <w:t xml:space="preserve">7) indeksdiagnoos: muu (v.a M00–M99 ja S72.0): koefitsient </w:t>
      </w:r>
      <w:r w:rsidR="64E61ED3" w:rsidRPr="00FA056E">
        <w:rPr>
          <w:color w:val="000000" w:themeColor="text1"/>
          <w:lang w:val="en-US"/>
        </w:rPr>
        <w:t>1,6091</w:t>
      </w:r>
      <w:r w:rsidR="7B3F4DFD" w:rsidRPr="00FA056E">
        <w:rPr>
          <w:color w:val="000000" w:themeColor="text1"/>
          <w:lang w:val="en-US"/>
        </w:rPr>
        <w:t>;</w:t>
      </w:r>
    </w:p>
    <w:p w14:paraId="2ED2C7A8" w14:textId="483E998C" w:rsidR="000B2841" w:rsidRPr="00FA056E" w:rsidRDefault="000B2841" w:rsidP="0095292A">
      <w:pPr>
        <w:shd w:val="clear" w:color="auto" w:fill="FFFFFF" w:themeFill="background1"/>
        <w:spacing w:after="0" w:line="240" w:lineRule="auto"/>
        <w:jc w:val="both"/>
      </w:pPr>
      <w:r w:rsidRPr="00FA056E">
        <w:rPr>
          <w:color w:val="000000" w:themeColor="text1"/>
        </w:rPr>
        <w:t xml:space="preserve">8) eelnev haigus: diagnoosi jaotis M16 ja M17: koefitsient </w:t>
      </w:r>
      <w:r w:rsidR="00216813" w:rsidRPr="00FA056E">
        <w:rPr>
          <w:color w:val="000000" w:themeColor="text1"/>
        </w:rPr>
        <w:t> </w:t>
      </w:r>
      <w:r w:rsidR="4FA34CB5" w:rsidRPr="00FA056E">
        <w:rPr>
          <w:lang w:val="en-US"/>
        </w:rPr>
        <w:t xml:space="preserve"> 0,9721</w:t>
      </w:r>
      <w:r w:rsidR="25F6BA03" w:rsidRPr="00FA056E">
        <w:rPr>
          <w:lang w:val="en-US"/>
        </w:rPr>
        <w:t>;</w:t>
      </w:r>
    </w:p>
    <w:p w14:paraId="6742523E" w14:textId="61293895" w:rsidR="000B2841" w:rsidRPr="00FA056E" w:rsidRDefault="000B2841" w:rsidP="0095292A">
      <w:pPr>
        <w:shd w:val="clear" w:color="auto" w:fill="FFFFFF" w:themeFill="background1"/>
        <w:spacing w:after="0" w:line="240" w:lineRule="auto"/>
        <w:jc w:val="both"/>
        <w:rPr>
          <w:szCs w:val="24"/>
        </w:rPr>
      </w:pPr>
      <w:r w:rsidRPr="00FA056E">
        <w:rPr>
          <w:color w:val="000000" w:themeColor="text1"/>
        </w:rPr>
        <w:t xml:space="preserve">9) eelnev haigus: diagnoosi jaotis I20–I25, I26–I28: koefitsient </w:t>
      </w:r>
      <w:r w:rsidR="3042BF60" w:rsidRPr="00FA056E">
        <w:rPr>
          <w:color w:val="000000" w:themeColor="text1"/>
          <w:lang w:val="en-US"/>
        </w:rPr>
        <w:t>1,0411</w:t>
      </w:r>
      <w:r w:rsidRPr="00FA056E">
        <w:rPr>
          <w:color w:val="000000" w:themeColor="text1"/>
        </w:rPr>
        <w:t>;</w:t>
      </w:r>
    </w:p>
    <w:p w14:paraId="765A0909" w14:textId="301FC3F9" w:rsidR="000B2841" w:rsidRPr="00FA056E" w:rsidRDefault="000B2841" w:rsidP="0095292A">
      <w:pPr>
        <w:shd w:val="clear" w:color="auto" w:fill="FFFFFF" w:themeFill="background1"/>
        <w:spacing w:after="0" w:line="240" w:lineRule="auto"/>
        <w:jc w:val="both"/>
        <w:rPr>
          <w:szCs w:val="24"/>
        </w:rPr>
      </w:pPr>
      <w:r w:rsidRPr="00FA056E">
        <w:rPr>
          <w:color w:val="000000" w:themeColor="text1"/>
        </w:rPr>
        <w:t xml:space="preserve">10) eelnev haigus: diagnoosi jaotis I10–I15: koefitsient </w:t>
      </w:r>
      <w:r w:rsidR="3D6B0D18" w:rsidRPr="00FA056E">
        <w:rPr>
          <w:lang w:val="en-US"/>
        </w:rPr>
        <w:t>1,0288</w:t>
      </w:r>
      <w:r w:rsidRPr="00FA056E">
        <w:rPr>
          <w:color w:val="000000" w:themeColor="text1"/>
        </w:rPr>
        <w:t>;</w:t>
      </w:r>
    </w:p>
    <w:p w14:paraId="7719896A" w14:textId="4449EF94" w:rsidR="000B2841" w:rsidRPr="00FA056E" w:rsidRDefault="000B2841" w:rsidP="0095292A">
      <w:pPr>
        <w:shd w:val="clear" w:color="auto" w:fill="FFFFFF" w:themeFill="background1"/>
        <w:spacing w:after="0" w:line="240" w:lineRule="auto"/>
        <w:jc w:val="both"/>
        <w:rPr>
          <w:szCs w:val="24"/>
        </w:rPr>
      </w:pPr>
      <w:r w:rsidRPr="00FA056E">
        <w:rPr>
          <w:color w:val="000000" w:themeColor="text1"/>
        </w:rPr>
        <w:t xml:space="preserve">11) eelnev haigus: diagnoosi jaotis I60–I69: koefitsient </w:t>
      </w:r>
      <w:r w:rsidR="313B3F91" w:rsidRPr="00FA056E">
        <w:rPr>
          <w:color w:val="000000" w:themeColor="text1"/>
          <w:lang w:val="en-US"/>
        </w:rPr>
        <w:t>1,0724</w:t>
      </w:r>
      <w:r w:rsidRPr="00FA056E">
        <w:rPr>
          <w:color w:val="000000" w:themeColor="text1"/>
        </w:rPr>
        <w:t>;</w:t>
      </w:r>
    </w:p>
    <w:p w14:paraId="29B99DF9" w14:textId="074F3AF4" w:rsidR="000B2841" w:rsidRPr="00FA056E" w:rsidRDefault="000B2841" w:rsidP="0095292A">
      <w:pPr>
        <w:shd w:val="clear" w:color="auto" w:fill="FFFFFF" w:themeFill="background1"/>
        <w:spacing w:after="0" w:line="240" w:lineRule="auto"/>
        <w:jc w:val="both"/>
        <w:rPr>
          <w:szCs w:val="24"/>
        </w:rPr>
      </w:pPr>
      <w:r w:rsidRPr="00FA056E">
        <w:rPr>
          <w:color w:val="000000" w:themeColor="text1"/>
        </w:rPr>
        <w:t xml:space="preserve">12) eelnev haigus: diagnoosid I70.2, I74.3: koefitsient </w:t>
      </w:r>
      <w:r w:rsidR="16A43B9F" w:rsidRPr="00FA056E">
        <w:rPr>
          <w:lang w:val="en-US"/>
        </w:rPr>
        <w:t>1,0748</w:t>
      </w:r>
      <w:r w:rsidRPr="00FA056E">
        <w:rPr>
          <w:color w:val="000000" w:themeColor="text1"/>
        </w:rPr>
        <w:t>;</w:t>
      </w:r>
    </w:p>
    <w:p w14:paraId="50EE13AD" w14:textId="4FF28D97" w:rsidR="000B2841" w:rsidRPr="00FA056E" w:rsidRDefault="000B2841" w:rsidP="0095292A">
      <w:pPr>
        <w:shd w:val="clear" w:color="auto" w:fill="FFFFFF" w:themeFill="background1"/>
        <w:spacing w:after="0" w:line="240" w:lineRule="auto"/>
        <w:jc w:val="both"/>
        <w:rPr>
          <w:szCs w:val="24"/>
        </w:rPr>
      </w:pPr>
      <w:r w:rsidRPr="00FA056E">
        <w:rPr>
          <w:color w:val="000000" w:themeColor="text1"/>
        </w:rPr>
        <w:t xml:space="preserve">13) eelnev haigus: diagnoosi jaotis J40–J47: koefitsient </w:t>
      </w:r>
      <w:r w:rsidR="1E255AE2" w:rsidRPr="00FA056E">
        <w:rPr>
          <w:color w:val="000000" w:themeColor="text1"/>
          <w:lang w:val="en-US"/>
        </w:rPr>
        <w:t>1,0522</w:t>
      </w:r>
      <w:r w:rsidRPr="00FA056E">
        <w:rPr>
          <w:color w:val="000000" w:themeColor="text1"/>
        </w:rPr>
        <w:t>;</w:t>
      </w:r>
    </w:p>
    <w:p w14:paraId="5875B2DB" w14:textId="491D3DE4" w:rsidR="000B2841" w:rsidRPr="00FA056E" w:rsidRDefault="000B2841" w:rsidP="0095292A">
      <w:pPr>
        <w:shd w:val="clear" w:color="auto" w:fill="FFFFFF" w:themeFill="background1"/>
        <w:spacing w:after="0" w:line="240" w:lineRule="auto"/>
        <w:jc w:val="both"/>
        <w:rPr>
          <w:szCs w:val="24"/>
        </w:rPr>
      </w:pPr>
      <w:r w:rsidRPr="00FA056E">
        <w:rPr>
          <w:color w:val="000000" w:themeColor="text1"/>
        </w:rPr>
        <w:t xml:space="preserve">14) eelnev haigus: diagnoosi jaotis E10–E14: koefitsient </w:t>
      </w:r>
      <w:r w:rsidR="54AB3CD0" w:rsidRPr="00FA056E">
        <w:rPr>
          <w:lang w:val="en-US"/>
        </w:rPr>
        <w:t>1,</w:t>
      </w:r>
      <w:r w:rsidR="54AB3CD0" w:rsidRPr="00FA056E">
        <w:rPr>
          <w:szCs w:val="24"/>
          <w:lang w:val="en-US"/>
        </w:rPr>
        <w:t>0606</w:t>
      </w:r>
      <w:r w:rsidRPr="00FA056E">
        <w:rPr>
          <w:color w:val="000000" w:themeColor="text1"/>
        </w:rPr>
        <w:t>;</w:t>
      </w:r>
    </w:p>
    <w:p w14:paraId="365B61B0" w14:textId="781B5BEB" w:rsidR="000B2841" w:rsidRPr="00FA056E" w:rsidRDefault="000B2841" w:rsidP="0095292A">
      <w:pPr>
        <w:shd w:val="clear" w:color="auto" w:fill="FFFFFF" w:themeFill="background1"/>
        <w:spacing w:after="0" w:line="240" w:lineRule="auto"/>
        <w:jc w:val="both"/>
        <w:rPr>
          <w:szCs w:val="24"/>
        </w:rPr>
      </w:pPr>
      <w:r w:rsidRPr="00FA056E">
        <w:rPr>
          <w:color w:val="000000" w:themeColor="text1"/>
        </w:rPr>
        <w:t xml:space="preserve">15) eelnev haigus: diagnoosi jaotis G35–G37, G20–G22, G30–G32: koefitsient </w:t>
      </w:r>
      <w:r w:rsidR="2D500A5F" w:rsidRPr="00FA056E">
        <w:rPr>
          <w:color w:val="000000" w:themeColor="text1"/>
          <w:lang w:val="en-US"/>
        </w:rPr>
        <w:t>1,</w:t>
      </w:r>
      <w:r w:rsidR="2D500A5F" w:rsidRPr="00FA056E">
        <w:rPr>
          <w:szCs w:val="24"/>
          <w:lang w:val="en-US"/>
        </w:rPr>
        <w:t>0915</w:t>
      </w:r>
      <w:r w:rsidRPr="00FA056E">
        <w:rPr>
          <w:color w:val="000000" w:themeColor="text1"/>
        </w:rPr>
        <w:t>;</w:t>
      </w:r>
    </w:p>
    <w:p w14:paraId="6ABF6684" w14:textId="0660D657" w:rsidR="000B2841" w:rsidRPr="00FA056E" w:rsidRDefault="000B2841" w:rsidP="0095292A">
      <w:pPr>
        <w:shd w:val="clear" w:color="auto" w:fill="FFFFFF" w:themeFill="background1"/>
        <w:spacing w:after="0" w:line="240" w:lineRule="auto"/>
        <w:jc w:val="both"/>
        <w:rPr>
          <w:color w:val="000000" w:themeColor="text1"/>
        </w:rPr>
      </w:pPr>
      <w:r w:rsidRPr="00FA056E">
        <w:rPr>
          <w:color w:val="000000" w:themeColor="text1"/>
        </w:rPr>
        <w:t xml:space="preserve">16) eelnev haigus: diagnoosi jaotis C00–C97: koefitsient </w:t>
      </w:r>
      <w:r w:rsidR="0EE2101C" w:rsidRPr="00FA056E">
        <w:rPr>
          <w:szCs w:val="24"/>
          <w:lang w:val="en-US"/>
        </w:rPr>
        <w:t>1,0251</w:t>
      </w:r>
      <w:r w:rsidRPr="00FA056E">
        <w:rPr>
          <w:color w:val="000000" w:themeColor="text1"/>
        </w:rPr>
        <w:t>;</w:t>
      </w:r>
    </w:p>
    <w:p w14:paraId="4BCCBE07" w14:textId="6F9D44E0" w:rsidR="000B2841" w:rsidRPr="00FA056E" w:rsidRDefault="000B2841" w:rsidP="0095292A">
      <w:pPr>
        <w:shd w:val="clear" w:color="auto" w:fill="FFFFFF" w:themeFill="background1"/>
        <w:spacing w:after="0" w:line="240" w:lineRule="auto"/>
        <w:jc w:val="both"/>
        <w:rPr>
          <w:color w:val="000000" w:themeColor="text1"/>
        </w:rPr>
      </w:pPr>
      <w:r w:rsidRPr="00FA056E">
        <w:rPr>
          <w:color w:val="000000" w:themeColor="text1"/>
        </w:rPr>
        <w:t xml:space="preserve">17) eelnev haigus: diagnoosi jaotis M00–M03, M05–M14: koefitsient </w:t>
      </w:r>
      <w:r w:rsidR="1157D413" w:rsidRPr="00FA056E">
        <w:rPr>
          <w:color w:val="000000" w:themeColor="text1"/>
          <w:szCs w:val="24"/>
          <w:lang w:val="en-US"/>
        </w:rPr>
        <w:t>1,0329</w:t>
      </w:r>
      <w:r w:rsidRPr="00FA056E">
        <w:rPr>
          <w:color w:val="000000" w:themeColor="text1"/>
        </w:rPr>
        <w:t>;</w:t>
      </w:r>
    </w:p>
    <w:p w14:paraId="08A2F7DA" w14:textId="5D257D3D" w:rsidR="000B2841" w:rsidRPr="00FA056E" w:rsidRDefault="000B2841" w:rsidP="0095292A">
      <w:pPr>
        <w:shd w:val="clear" w:color="auto" w:fill="FFFFFF" w:themeFill="background1"/>
        <w:spacing w:after="0" w:line="240" w:lineRule="auto"/>
        <w:jc w:val="both"/>
        <w:rPr>
          <w:color w:val="000000" w:themeColor="text1"/>
        </w:rPr>
      </w:pPr>
      <w:r w:rsidRPr="00FA056E">
        <w:rPr>
          <w:color w:val="000000" w:themeColor="text1"/>
        </w:rPr>
        <w:t xml:space="preserve">18) eelnev haigus: diagnoosi jaotis F00–F99: koefitsient </w:t>
      </w:r>
      <w:r w:rsidR="6085BB92" w:rsidRPr="00FA056E">
        <w:rPr>
          <w:szCs w:val="24"/>
          <w:lang w:val="en-US"/>
        </w:rPr>
        <w:t>1,0462</w:t>
      </w:r>
      <w:r w:rsidRPr="00FA056E">
        <w:rPr>
          <w:color w:val="000000" w:themeColor="text1"/>
        </w:rPr>
        <w:t>;</w:t>
      </w:r>
    </w:p>
    <w:p w14:paraId="6F0B097C" w14:textId="7B22D45B" w:rsidR="000B2841" w:rsidRPr="00687DE8" w:rsidRDefault="000B2841" w:rsidP="0095292A">
      <w:pPr>
        <w:shd w:val="clear" w:color="auto" w:fill="FFFFFF" w:themeFill="background1"/>
        <w:spacing w:after="0" w:line="240" w:lineRule="auto"/>
        <w:jc w:val="both"/>
        <w:rPr>
          <w:color w:val="000000" w:themeColor="text1"/>
          <w:szCs w:val="24"/>
        </w:rPr>
      </w:pPr>
      <w:r w:rsidRPr="00687DE8">
        <w:rPr>
          <w:color w:val="000000" w:themeColor="text1"/>
          <w:szCs w:val="24"/>
        </w:rPr>
        <w:t xml:space="preserve">19) eelnevad operatsioonid: liigese asendamine (koodid 0N2139, 0N2140, 0N2141, 0N2144; varasem kood 70201): koefitsient </w:t>
      </w:r>
      <w:r w:rsidR="4289D1BB" w:rsidRPr="4D96A646">
        <w:rPr>
          <w:color w:val="000000" w:themeColor="text1"/>
          <w:szCs w:val="24"/>
          <w:lang w:val="en-US"/>
        </w:rPr>
        <w:t>0,9354</w:t>
      </w:r>
      <w:r w:rsidRPr="00687DE8">
        <w:rPr>
          <w:color w:val="000000" w:themeColor="text1"/>
          <w:szCs w:val="24"/>
        </w:rPr>
        <w:t>;</w:t>
      </w:r>
    </w:p>
    <w:p w14:paraId="5ACBB792" w14:textId="3E4B1B4D" w:rsidR="000B2841" w:rsidRPr="00687DE8" w:rsidRDefault="000B2841" w:rsidP="002C2A0D">
      <w:pPr>
        <w:tabs>
          <w:tab w:val="left" w:pos="426"/>
        </w:tabs>
        <w:spacing w:after="0" w:line="240" w:lineRule="auto"/>
        <w:jc w:val="both"/>
        <w:rPr>
          <w:color w:val="000000" w:themeColor="text1"/>
        </w:rPr>
      </w:pPr>
      <w:r w:rsidRPr="6EF70C55">
        <w:rPr>
          <w:color w:val="000000" w:themeColor="text1"/>
        </w:rPr>
        <w:lastRenderedPageBreak/>
        <w:t xml:space="preserve">20) eelnevad operatsioonid: osteosüntees / korrigeeriv operatsioon (koodid 0N2137, 0N2127, 0N2154, 0N2128, 0N2130, 0N2131, 0N2132, 0N2136; varasemad koodid 60204, 80206, 40201, 50201, 40209, 50202, 50203, 60210, 60201): koefitsient </w:t>
      </w:r>
      <w:r w:rsidR="3C314502" w:rsidRPr="4BBB0BF6">
        <w:rPr>
          <w:szCs w:val="24"/>
          <w:lang w:val="en-US"/>
        </w:rPr>
        <w:t>1,0448</w:t>
      </w:r>
      <w:r w:rsidRPr="6EF70C55">
        <w:rPr>
          <w:color w:val="000000" w:themeColor="text1"/>
        </w:rPr>
        <w:t>.</w:t>
      </w:r>
    </w:p>
    <w:p w14:paraId="31554D0F" w14:textId="77777777" w:rsidR="00533476" w:rsidRPr="00687DE8" w:rsidRDefault="00533476" w:rsidP="002C2A0D">
      <w:pPr>
        <w:spacing w:after="0" w:line="240" w:lineRule="auto"/>
        <w:ind w:left="-11"/>
        <w:jc w:val="both"/>
        <w:rPr>
          <w:szCs w:val="24"/>
        </w:rPr>
      </w:pPr>
    </w:p>
    <w:p w14:paraId="5622F54A" w14:textId="441F0EA0" w:rsidR="0016131C" w:rsidRPr="00687DE8" w:rsidRDefault="00B160FF" w:rsidP="58F0DB37">
      <w:pPr>
        <w:shd w:val="clear" w:color="auto" w:fill="FFFFFF" w:themeFill="background1"/>
        <w:spacing w:after="0" w:line="240" w:lineRule="auto"/>
        <w:jc w:val="both"/>
        <w:rPr>
          <w:color w:val="202020"/>
          <w:szCs w:val="24"/>
          <w:lang w:eastAsia="et-EE"/>
        </w:rPr>
      </w:pPr>
      <w:r w:rsidRPr="00687DE8">
        <w:rPr>
          <w:color w:val="202020"/>
          <w:szCs w:val="24"/>
          <w:lang w:eastAsia="et-EE"/>
        </w:rPr>
        <w:t>(</w:t>
      </w:r>
      <w:r w:rsidR="01B36FD8" w:rsidRPr="00687DE8">
        <w:rPr>
          <w:color w:val="202020"/>
          <w:szCs w:val="24"/>
          <w:lang w:eastAsia="et-EE"/>
        </w:rPr>
        <w:t>1</w:t>
      </w:r>
      <w:r w:rsidR="00182F3C">
        <w:rPr>
          <w:color w:val="202020"/>
          <w:szCs w:val="24"/>
          <w:lang w:eastAsia="et-EE"/>
        </w:rPr>
        <w:t>3</w:t>
      </w:r>
      <w:r w:rsidR="0016131C" w:rsidRPr="00687DE8">
        <w:rPr>
          <w:color w:val="202020"/>
          <w:szCs w:val="24"/>
          <w:lang w:eastAsia="et-EE"/>
        </w:rPr>
        <w:t xml:space="preserve">) Koodiga </w:t>
      </w:r>
      <w:r w:rsidR="0016131C" w:rsidRPr="00687DE8">
        <w:rPr>
          <w:color w:val="202020"/>
          <w:szCs w:val="24"/>
          <w:bdr w:val="none" w:sz="0" w:space="0" w:color="auto" w:frame="1"/>
          <w:lang w:eastAsia="et-EE"/>
        </w:rPr>
        <w:t>4505A</w:t>
      </w:r>
      <w:r w:rsidR="0016131C" w:rsidRPr="00687DE8">
        <w:rPr>
          <w:color w:val="202020"/>
          <w:szCs w:val="24"/>
          <w:lang w:eastAsia="et-EE"/>
        </w:rPr>
        <w:t xml:space="preserve"> tähistatud tervishoiuteenust rakendatakse </w:t>
      </w:r>
      <w:r w:rsidR="0016131C" w:rsidRPr="00687DE8">
        <w:rPr>
          <w:color w:val="202020"/>
          <w:szCs w:val="24"/>
          <w:shd w:val="clear" w:color="auto" w:fill="FFFFFF"/>
        </w:rPr>
        <w:t xml:space="preserve">tervishoiuteenuse osutaja ja </w:t>
      </w:r>
      <w:r w:rsidR="005023FD" w:rsidRPr="00687DE8">
        <w:rPr>
          <w:color w:val="202020"/>
          <w:szCs w:val="24"/>
          <w:shd w:val="clear" w:color="auto" w:fill="FFFFFF"/>
        </w:rPr>
        <w:t>Tervisekassa</w:t>
      </w:r>
      <w:r w:rsidR="0016131C" w:rsidRPr="00687DE8">
        <w:rPr>
          <w:color w:val="202020"/>
          <w:szCs w:val="24"/>
          <w:shd w:val="clear" w:color="auto" w:fill="FFFFFF"/>
        </w:rPr>
        <w:t xml:space="preserve"> vahel sõlmitud ravi rahastamise lepingu kohaselt</w:t>
      </w:r>
      <w:r w:rsidR="0016131C" w:rsidRPr="00687DE8">
        <w:rPr>
          <w:color w:val="202020"/>
          <w:szCs w:val="24"/>
          <w:lang w:eastAsia="et-EE"/>
        </w:rPr>
        <w:t xml:space="preserve"> </w:t>
      </w:r>
      <w:r w:rsidR="00537AF1" w:rsidRPr="00687DE8">
        <w:rPr>
          <w:color w:val="202020"/>
          <w:szCs w:val="24"/>
          <w:lang w:eastAsia="et-EE"/>
        </w:rPr>
        <w:t xml:space="preserve">liigese </w:t>
      </w:r>
      <w:r w:rsidR="0016131C" w:rsidRPr="00687DE8">
        <w:rPr>
          <w:color w:val="202020"/>
          <w:szCs w:val="24"/>
          <w:lang w:eastAsia="et-EE"/>
        </w:rPr>
        <w:t xml:space="preserve">endoproteesimisega tegelevates raviasutustes </w:t>
      </w:r>
      <w:r w:rsidR="0016131C" w:rsidRPr="00687DE8">
        <w:rPr>
          <w:color w:val="202020"/>
          <w:szCs w:val="24"/>
          <w:shd w:val="clear" w:color="auto" w:fill="FFFFFF"/>
        </w:rPr>
        <w:t>endoproteesimise</w:t>
      </w:r>
      <w:r w:rsidR="00537AF1" w:rsidRPr="00687DE8">
        <w:rPr>
          <w:color w:val="202020"/>
          <w:szCs w:val="24"/>
          <w:shd w:val="clear" w:color="auto" w:fill="FFFFFF"/>
        </w:rPr>
        <w:t xml:space="preserve"> operatsiooni </w:t>
      </w:r>
      <w:r w:rsidR="0016131C" w:rsidRPr="00687DE8">
        <w:rPr>
          <w:color w:val="202020"/>
          <w:szCs w:val="24"/>
          <w:shd w:val="clear" w:color="auto" w:fill="FFFFFF"/>
        </w:rPr>
        <w:t>korral (koodid 0N2139, 0N2140, 0N2141, 0N2144).</w:t>
      </w:r>
      <w:r w:rsidR="0016131C" w:rsidRPr="00687DE8">
        <w:rPr>
          <w:color w:val="202020"/>
          <w:szCs w:val="24"/>
          <w:lang w:eastAsia="et-EE"/>
        </w:rPr>
        <w:t xml:space="preserve"> </w:t>
      </w:r>
    </w:p>
    <w:p w14:paraId="4A2E6121" w14:textId="77777777" w:rsidR="00DE1B8F" w:rsidRPr="00687DE8" w:rsidRDefault="00DE1B8F" w:rsidP="00C162AE">
      <w:pPr>
        <w:shd w:val="clear" w:color="auto" w:fill="FFFFFF"/>
        <w:spacing w:after="0" w:line="240" w:lineRule="auto"/>
        <w:jc w:val="both"/>
        <w:rPr>
          <w:color w:val="202020"/>
          <w:szCs w:val="24"/>
          <w:lang w:eastAsia="et-EE"/>
        </w:rPr>
      </w:pPr>
    </w:p>
    <w:p w14:paraId="1628F46C" w14:textId="7680EFA8" w:rsidR="0016131C" w:rsidRPr="00687DE8" w:rsidRDefault="00DE1B8F" w:rsidP="00054DE4">
      <w:pPr>
        <w:spacing w:after="0" w:line="240" w:lineRule="auto"/>
        <w:jc w:val="both"/>
        <w:rPr>
          <w:szCs w:val="24"/>
        </w:rPr>
      </w:pPr>
      <w:r w:rsidRPr="00687DE8">
        <w:rPr>
          <w:color w:val="202020"/>
          <w:szCs w:val="24"/>
          <w:lang w:eastAsia="et-EE"/>
        </w:rPr>
        <w:t>(</w:t>
      </w:r>
      <w:r w:rsidR="00110229" w:rsidRPr="00687DE8">
        <w:rPr>
          <w:color w:val="202020"/>
          <w:szCs w:val="24"/>
          <w:lang w:eastAsia="et-EE"/>
        </w:rPr>
        <w:t>1</w:t>
      </w:r>
      <w:r w:rsidR="00182F3C">
        <w:rPr>
          <w:color w:val="202020"/>
          <w:szCs w:val="24"/>
          <w:lang w:eastAsia="et-EE"/>
        </w:rPr>
        <w:t>4</w:t>
      </w:r>
      <w:r w:rsidRPr="00687DE8">
        <w:rPr>
          <w:color w:val="202020"/>
          <w:szCs w:val="24"/>
          <w:lang w:eastAsia="et-EE"/>
        </w:rPr>
        <w:t>)</w:t>
      </w:r>
      <w:r w:rsidR="0016131C" w:rsidRPr="00687DE8">
        <w:rPr>
          <w:color w:val="202020"/>
          <w:szCs w:val="24"/>
          <w:lang w:eastAsia="et-EE"/>
        </w:rPr>
        <w:t xml:space="preserve"> Koodiga </w:t>
      </w:r>
      <w:r w:rsidR="0016131C" w:rsidRPr="00687DE8">
        <w:rPr>
          <w:color w:val="202020"/>
          <w:szCs w:val="24"/>
          <w:bdr w:val="none" w:sz="0" w:space="0" w:color="auto" w:frame="1"/>
          <w:lang w:eastAsia="et-EE"/>
        </w:rPr>
        <w:t>4505A</w:t>
      </w:r>
      <w:r w:rsidR="0016131C" w:rsidRPr="00687DE8">
        <w:rPr>
          <w:color w:val="202020"/>
          <w:szCs w:val="24"/>
          <w:lang w:eastAsia="et-EE"/>
        </w:rPr>
        <w:t xml:space="preserve"> tähistatud tervishoiuteenus</w:t>
      </w:r>
      <w:r w:rsidR="00C162AE" w:rsidRPr="00687DE8">
        <w:rPr>
          <w:color w:val="202020"/>
          <w:szCs w:val="24"/>
          <w:lang w:eastAsia="et-EE"/>
        </w:rPr>
        <w:t xml:space="preserve"> sisaldab</w:t>
      </w:r>
      <w:r w:rsidR="0016131C" w:rsidRPr="00687DE8">
        <w:rPr>
          <w:color w:val="202020"/>
          <w:szCs w:val="24"/>
          <w:lang w:eastAsia="et-EE"/>
        </w:rPr>
        <w:t xml:space="preserve"> ravikindlustuse seaduse § 32 alusel kehtestatud määruse lisas 62 nimetatud tervishoiuteenuste osutamisega seotud kulusid, v</w:t>
      </w:r>
      <w:r w:rsidR="00C162AE" w:rsidRPr="00687DE8">
        <w:rPr>
          <w:color w:val="202020"/>
          <w:szCs w:val="24"/>
          <w:lang w:eastAsia="et-EE"/>
        </w:rPr>
        <w:t>älja arvatud</w:t>
      </w:r>
      <w:r w:rsidR="0016131C" w:rsidRPr="00687DE8">
        <w:rPr>
          <w:color w:val="202020"/>
          <w:szCs w:val="24"/>
          <w:lang w:eastAsia="et-EE"/>
        </w:rPr>
        <w:t xml:space="preserve"> koodidega </w:t>
      </w:r>
      <w:r w:rsidR="0016131C" w:rsidRPr="00687DE8">
        <w:rPr>
          <w:szCs w:val="24"/>
        </w:rPr>
        <w:t>2650L, 2651L, 2618L, 2652L, 2656L, 2673L, 2674L, 2675L, 2678L, 2660L</w:t>
      </w:r>
      <w:r w:rsidR="00C162AE" w:rsidRPr="00687DE8">
        <w:rPr>
          <w:szCs w:val="24"/>
        </w:rPr>
        <w:t xml:space="preserve"> ja</w:t>
      </w:r>
      <w:r w:rsidR="0016131C" w:rsidRPr="00687DE8">
        <w:rPr>
          <w:szCs w:val="24"/>
        </w:rPr>
        <w:t xml:space="preserve"> 2672L </w:t>
      </w:r>
      <w:r w:rsidR="0016131C" w:rsidRPr="00687DE8">
        <w:rPr>
          <w:color w:val="202020"/>
          <w:szCs w:val="24"/>
          <w:lang w:eastAsia="et-EE"/>
        </w:rPr>
        <w:t>tähistatud tervishoiuteenuste kulu</w:t>
      </w:r>
      <w:r w:rsidR="00C162AE" w:rsidRPr="00687DE8">
        <w:rPr>
          <w:color w:val="202020"/>
          <w:szCs w:val="24"/>
          <w:lang w:eastAsia="et-EE"/>
        </w:rPr>
        <w:t>d.</w:t>
      </w:r>
    </w:p>
    <w:p w14:paraId="7A9B9E6B" w14:textId="77777777" w:rsidR="00DE1B8F" w:rsidRPr="00687DE8" w:rsidRDefault="00DE1B8F" w:rsidP="00054DE4">
      <w:pPr>
        <w:spacing w:after="0" w:line="240" w:lineRule="auto"/>
        <w:jc w:val="both"/>
        <w:rPr>
          <w:szCs w:val="24"/>
          <w:bdr w:val="none" w:sz="0" w:space="0" w:color="auto" w:frame="1"/>
          <w:lang w:eastAsia="et-EE"/>
        </w:rPr>
      </w:pPr>
    </w:p>
    <w:p w14:paraId="3C359339" w14:textId="42BD5493" w:rsidR="0016131C" w:rsidRPr="00687DE8" w:rsidRDefault="00DE1B8F" w:rsidP="00054DE4">
      <w:pPr>
        <w:spacing w:after="0" w:line="240" w:lineRule="auto"/>
        <w:jc w:val="both"/>
        <w:rPr>
          <w:rFonts w:eastAsiaTheme="minorEastAsia"/>
          <w:szCs w:val="24"/>
        </w:rPr>
      </w:pPr>
      <w:r w:rsidRPr="00687DE8">
        <w:rPr>
          <w:szCs w:val="24"/>
          <w:lang w:eastAsia="et-EE"/>
        </w:rPr>
        <w:t>(</w:t>
      </w:r>
      <w:r w:rsidR="00110229" w:rsidRPr="00687DE8">
        <w:rPr>
          <w:szCs w:val="24"/>
          <w:lang w:eastAsia="et-EE"/>
        </w:rPr>
        <w:t>1</w:t>
      </w:r>
      <w:r w:rsidR="00182F3C">
        <w:rPr>
          <w:szCs w:val="24"/>
          <w:lang w:eastAsia="et-EE"/>
        </w:rPr>
        <w:t>5</w:t>
      </w:r>
      <w:r w:rsidR="0016131C" w:rsidRPr="00687DE8">
        <w:rPr>
          <w:szCs w:val="24"/>
          <w:lang w:eastAsia="et-EE"/>
        </w:rPr>
        <w:t xml:space="preserve">) </w:t>
      </w:r>
      <w:r w:rsidR="0016131C" w:rsidRPr="00687DE8">
        <w:rPr>
          <w:color w:val="202020"/>
          <w:szCs w:val="24"/>
          <w:lang w:eastAsia="et-EE"/>
        </w:rPr>
        <w:t xml:space="preserve">Koodiga 4505A tähistatud tervishoiuteenuse eest tasutakse </w:t>
      </w:r>
      <w:r w:rsidR="00C162AE" w:rsidRPr="00687DE8">
        <w:rPr>
          <w:color w:val="202020"/>
          <w:szCs w:val="24"/>
          <w:lang w:eastAsia="et-EE"/>
        </w:rPr>
        <w:t>kõige</w:t>
      </w:r>
      <w:r w:rsidR="00E36973" w:rsidRPr="00687DE8">
        <w:rPr>
          <w:color w:val="202020"/>
          <w:szCs w:val="24"/>
          <w:lang w:eastAsia="et-EE"/>
        </w:rPr>
        <w:t xml:space="preserve"> varem </w:t>
      </w:r>
      <w:r w:rsidR="0016131C" w:rsidRPr="00687DE8">
        <w:rPr>
          <w:color w:val="202020"/>
          <w:szCs w:val="24"/>
          <w:lang w:eastAsia="et-EE"/>
        </w:rPr>
        <w:t>365 päeva möödumisel puusa</w:t>
      </w:r>
      <w:r w:rsidR="005D239A" w:rsidRPr="00687DE8">
        <w:rPr>
          <w:color w:val="202020"/>
          <w:szCs w:val="24"/>
          <w:lang w:eastAsia="et-EE"/>
        </w:rPr>
        <w:t>-</w:t>
      </w:r>
      <w:r w:rsidR="0016131C" w:rsidRPr="00687DE8">
        <w:rPr>
          <w:color w:val="202020"/>
          <w:szCs w:val="24"/>
          <w:lang w:eastAsia="et-EE"/>
        </w:rPr>
        <w:t xml:space="preserve"> või põlve</w:t>
      </w:r>
      <w:r w:rsidR="005D239A" w:rsidRPr="00687DE8">
        <w:rPr>
          <w:color w:val="202020"/>
          <w:szCs w:val="24"/>
          <w:lang w:eastAsia="et-EE"/>
        </w:rPr>
        <w:t>liigese</w:t>
      </w:r>
      <w:r w:rsidR="0016131C" w:rsidRPr="00687DE8">
        <w:rPr>
          <w:color w:val="202020"/>
          <w:szCs w:val="24"/>
          <w:lang w:eastAsia="et-EE"/>
        </w:rPr>
        <w:t xml:space="preserve"> endoproteesimisest (koodid 0N2139, 0N2140, 0N2141, 0N2144) </w:t>
      </w:r>
      <w:r w:rsidR="005D239A" w:rsidRPr="00687DE8">
        <w:rPr>
          <w:color w:val="202020"/>
          <w:szCs w:val="24"/>
          <w:lang w:eastAsia="et-EE"/>
        </w:rPr>
        <w:t xml:space="preserve">või </w:t>
      </w:r>
      <w:r w:rsidR="0016131C" w:rsidRPr="00687DE8">
        <w:rPr>
          <w:color w:val="202020"/>
          <w:szCs w:val="24"/>
          <w:lang w:eastAsia="et-EE"/>
        </w:rPr>
        <w:t>enne nimetatud tähtaega saabunud surma või teise liigese endoproteesimise korral, tehes lõikes </w:t>
      </w:r>
      <w:r w:rsidR="003B510E" w:rsidRPr="00687DE8">
        <w:rPr>
          <w:color w:val="202020"/>
          <w:szCs w:val="24"/>
          <w:lang w:eastAsia="et-EE"/>
        </w:rPr>
        <w:t>1</w:t>
      </w:r>
      <w:r w:rsidR="00182F3C">
        <w:rPr>
          <w:color w:val="202020"/>
          <w:szCs w:val="24"/>
          <w:lang w:eastAsia="et-EE"/>
        </w:rPr>
        <w:t>3</w:t>
      </w:r>
      <w:r w:rsidR="0016131C" w:rsidRPr="00687DE8">
        <w:rPr>
          <w:color w:val="202020"/>
          <w:szCs w:val="24"/>
          <w:lang w:eastAsia="et-EE"/>
        </w:rPr>
        <w:t xml:space="preserve"> nimetatud tervishoiuteenuse osutajaga tasaarvelduse, võrreldes kindlustatud isikule lõikes </w:t>
      </w:r>
      <w:r w:rsidR="00094671" w:rsidRPr="00687DE8">
        <w:rPr>
          <w:color w:val="202020"/>
          <w:szCs w:val="24"/>
          <w:lang w:eastAsia="et-EE"/>
        </w:rPr>
        <w:t>1</w:t>
      </w:r>
      <w:r w:rsidR="00785EEC">
        <w:rPr>
          <w:color w:val="202020"/>
          <w:szCs w:val="24"/>
          <w:lang w:eastAsia="et-EE"/>
        </w:rPr>
        <w:t>4</w:t>
      </w:r>
      <w:r w:rsidR="0016131C" w:rsidRPr="00687DE8">
        <w:rPr>
          <w:color w:val="202020"/>
          <w:szCs w:val="24"/>
          <w:lang w:eastAsia="et-EE"/>
        </w:rPr>
        <w:t xml:space="preserve"> nimetatud tervishoiuteenuste eest tasumise kohta esitatud raviarvete kogusummat koodiga 4505A tähistatud tervishoiuteenuse piirhinnaga</w:t>
      </w:r>
      <w:r w:rsidR="00EB5C8F" w:rsidRPr="00687DE8">
        <w:rPr>
          <w:color w:val="202020"/>
          <w:szCs w:val="24"/>
          <w:lang w:eastAsia="et-EE"/>
        </w:rPr>
        <w:t xml:space="preserve">, millele on lisatud koodiga </w:t>
      </w:r>
      <w:r w:rsidR="00EB5C8F" w:rsidRPr="00687DE8">
        <w:rPr>
          <w:szCs w:val="24"/>
        </w:rPr>
        <w:t xml:space="preserve">2650L, 2651L, 2618L, 2652L, 2656L, 2673L, 2674L, 2675L, 2678L, 2660L </w:t>
      </w:r>
      <w:r w:rsidR="00905E4A" w:rsidRPr="00687DE8">
        <w:rPr>
          <w:szCs w:val="24"/>
        </w:rPr>
        <w:t>või</w:t>
      </w:r>
      <w:r w:rsidR="00EB5C8F" w:rsidRPr="00687DE8">
        <w:rPr>
          <w:szCs w:val="24"/>
        </w:rPr>
        <w:t xml:space="preserve"> 2672L </w:t>
      </w:r>
      <w:r w:rsidR="00EB5C8F" w:rsidRPr="00687DE8">
        <w:rPr>
          <w:color w:val="202020"/>
          <w:szCs w:val="24"/>
          <w:lang w:eastAsia="et-EE"/>
        </w:rPr>
        <w:t>tähistatud tervishoiuteenuse kulud</w:t>
      </w:r>
      <w:r w:rsidR="0016131C" w:rsidRPr="00687DE8">
        <w:rPr>
          <w:color w:val="202020"/>
          <w:szCs w:val="24"/>
          <w:lang w:eastAsia="et-EE"/>
        </w:rPr>
        <w:t>. Tasaarvelduses rakendatakse koodiga 4505A tähistatud tervishoiuteenuse piirhin</w:t>
      </w:r>
      <w:r w:rsidR="00190E58" w:rsidRPr="00687DE8">
        <w:rPr>
          <w:color w:val="202020"/>
          <w:szCs w:val="24"/>
          <w:lang w:eastAsia="et-EE"/>
        </w:rPr>
        <w:t>n</w:t>
      </w:r>
      <w:r w:rsidR="0016131C" w:rsidRPr="00687DE8">
        <w:rPr>
          <w:color w:val="202020"/>
          <w:szCs w:val="24"/>
          <w:lang w:eastAsia="et-EE"/>
        </w:rPr>
        <w:t xml:space="preserve">ale vastavat koefitsienti. </w:t>
      </w:r>
    </w:p>
    <w:p w14:paraId="70497FDF" w14:textId="77777777" w:rsidR="00125F83" w:rsidRPr="00687DE8" w:rsidRDefault="00125F83" w:rsidP="00C162AE">
      <w:pPr>
        <w:shd w:val="clear" w:color="auto" w:fill="FFFFFF" w:themeFill="background1"/>
        <w:spacing w:after="0" w:line="240" w:lineRule="auto"/>
        <w:jc w:val="both"/>
        <w:rPr>
          <w:color w:val="202020"/>
          <w:szCs w:val="24"/>
          <w:lang w:eastAsia="et-EE"/>
        </w:rPr>
      </w:pPr>
    </w:p>
    <w:p w14:paraId="6E5DD030" w14:textId="005C6FF9" w:rsidR="0016131C" w:rsidRPr="00687DE8" w:rsidRDefault="0016131C" w:rsidP="00C162AE">
      <w:pPr>
        <w:shd w:val="clear" w:color="auto" w:fill="FFFFFF" w:themeFill="background1"/>
        <w:spacing w:after="0" w:line="240" w:lineRule="auto"/>
        <w:jc w:val="both"/>
        <w:rPr>
          <w:color w:val="202020"/>
          <w:szCs w:val="24"/>
          <w:lang w:eastAsia="et-EE"/>
        </w:rPr>
      </w:pPr>
      <w:r w:rsidRPr="00687DE8">
        <w:rPr>
          <w:color w:val="202020"/>
          <w:szCs w:val="24"/>
          <w:lang w:eastAsia="et-EE"/>
        </w:rPr>
        <w:t>(</w:t>
      </w:r>
      <w:r w:rsidR="00D27958" w:rsidRPr="00687DE8">
        <w:rPr>
          <w:color w:val="202020"/>
          <w:szCs w:val="24"/>
          <w:lang w:eastAsia="et-EE"/>
        </w:rPr>
        <w:t>1</w:t>
      </w:r>
      <w:r w:rsidR="00785EEC">
        <w:rPr>
          <w:color w:val="202020"/>
          <w:szCs w:val="24"/>
          <w:lang w:eastAsia="et-EE"/>
        </w:rPr>
        <w:t>6</w:t>
      </w:r>
      <w:r w:rsidRPr="00687DE8">
        <w:rPr>
          <w:color w:val="202020"/>
          <w:szCs w:val="24"/>
          <w:lang w:eastAsia="et-EE"/>
        </w:rPr>
        <w:t>) Pärast ühe kalendriaasta jooksul alanud raviteekon</w:t>
      </w:r>
      <w:r w:rsidR="00121795" w:rsidRPr="00687DE8">
        <w:rPr>
          <w:color w:val="202020"/>
          <w:szCs w:val="24"/>
          <w:lang w:eastAsia="et-EE"/>
        </w:rPr>
        <w:t>na</w:t>
      </w:r>
      <w:r w:rsidRPr="00687DE8">
        <w:rPr>
          <w:color w:val="202020"/>
          <w:szCs w:val="24"/>
          <w:lang w:eastAsia="et-EE"/>
        </w:rPr>
        <w:t xml:space="preserve"> lõppemist rakendatakse</w:t>
      </w:r>
      <w:r w:rsidR="0077621D" w:rsidRPr="00687DE8">
        <w:rPr>
          <w:color w:val="202020"/>
          <w:szCs w:val="24"/>
          <w:lang w:eastAsia="et-EE"/>
        </w:rPr>
        <w:t xml:space="preserve"> </w:t>
      </w:r>
      <w:r w:rsidR="003A7621" w:rsidRPr="00687DE8">
        <w:rPr>
          <w:color w:val="202020"/>
          <w:szCs w:val="24"/>
          <w:lang w:eastAsia="et-EE"/>
        </w:rPr>
        <w:t>lisaks lõike</w:t>
      </w:r>
      <w:r w:rsidR="00C162AE" w:rsidRPr="00687DE8">
        <w:rPr>
          <w:color w:val="202020"/>
          <w:szCs w:val="24"/>
          <w:lang w:eastAsia="et-EE"/>
        </w:rPr>
        <w:t>s</w:t>
      </w:r>
      <w:r w:rsidR="003A7621" w:rsidRPr="00687DE8">
        <w:rPr>
          <w:color w:val="202020"/>
          <w:szCs w:val="24"/>
          <w:lang w:eastAsia="et-EE"/>
        </w:rPr>
        <w:t xml:space="preserve"> </w:t>
      </w:r>
      <w:r w:rsidR="00690E6D" w:rsidRPr="00687DE8">
        <w:rPr>
          <w:color w:val="202020"/>
          <w:szCs w:val="24"/>
          <w:lang w:eastAsia="et-EE"/>
        </w:rPr>
        <w:t>1</w:t>
      </w:r>
      <w:r w:rsidR="00785EEC">
        <w:rPr>
          <w:color w:val="202020"/>
          <w:szCs w:val="24"/>
          <w:lang w:eastAsia="et-EE"/>
        </w:rPr>
        <w:t>5</w:t>
      </w:r>
      <w:r w:rsidR="003A7621" w:rsidRPr="00687DE8">
        <w:rPr>
          <w:color w:val="202020"/>
          <w:szCs w:val="24"/>
          <w:lang w:eastAsia="et-EE"/>
        </w:rPr>
        <w:t xml:space="preserve"> </w:t>
      </w:r>
      <w:r w:rsidR="00C162AE" w:rsidRPr="00687DE8">
        <w:rPr>
          <w:color w:val="202020"/>
          <w:szCs w:val="24"/>
          <w:lang w:eastAsia="et-EE"/>
        </w:rPr>
        <w:t>nimetatud</w:t>
      </w:r>
      <w:r w:rsidR="003A7621" w:rsidRPr="00687DE8">
        <w:rPr>
          <w:color w:val="202020"/>
          <w:szCs w:val="24"/>
          <w:lang w:eastAsia="et-EE"/>
        </w:rPr>
        <w:t xml:space="preserve"> </w:t>
      </w:r>
      <w:r w:rsidR="00E97BA7" w:rsidRPr="00687DE8">
        <w:rPr>
          <w:color w:val="202020"/>
          <w:szCs w:val="24"/>
          <w:lang w:eastAsia="et-EE"/>
        </w:rPr>
        <w:t xml:space="preserve">tasaarveldusele </w:t>
      </w:r>
      <w:r w:rsidRPr="00687DE8">
        <w:rPr>
          <w:color w:val="202020"/>
          <w:szCs w:val="24"/>
          <w:lang w:eastAsia="et-EE"/>
        </w:rPr>
        <w:t xml:space="preserve">ülekulu ja säästu jagamist tervishoiuteenuse osutaja ja </w:t>
      </w:r>
      <w:r w:rsidR="005023FD" w:rsidRPr="00687DE8">
        <w:rPr>
          <w:color w:val="202020"/>
          <w:szCs w:val="24"/>
          <w:lang w:eastAsia="et-EE"/>
        </w:rPr>
        <w:t>Tervisekassa</w:t>
      </w:r>
      <w:r w:rsidRPr="00687DE8">
        <w:rPr>
          <w:color w:val="202020"/>
          <w:szCs w:val="24"/>
          <w:lang w:eastAsia="et-EE"/>
        </w:rPr>
        <w:t xml:space="preserve"> vahel ravi rahastamise lepingus kokku</w:t>
      </w:r>
      <w:r w:rsidR="00C56FE6" w:rsidRPr="00687DE8">
        <w:rPr>
          <w:color w:val="202020"/>
          <w:szCs w:val="24"/>
          <w:lang w:eastAsia="et-EE"/>
        </w:rPr>
        <w:t xml:space="preserve"> </w:t>
      </w:r>
      <w:r w:rsidRPr="00687DE8">
        <w:rPr>
          <w:color w:val="202020"/>
          <w:szCs w:val="24"/>
          <w:lang w:eastAsia="et-EE"/>
        </w:rPr>
        <w:t xml:space="preserve">lepitud tingimustel ja korras. </w:t>
      </w:r>
    </w:p>
    <w:p w14:paraId="42388C81" w14:textId="4B6FD9E8" w:rsidR="00125F83" w:rsidRPr="00687DE8" w:rsidRDefault="00125F83" w:rsidP="00C162AE">
      <w:pPr>
        <w:shd w:val="clear" w:color="auto" w:fill="FFFFFF" w:themeFill="background1"/>
        <w:spacing w:after="0" w:line="240" w:lineRule="auto"/>
        <w:jc w:val="both"/>
        <w:rPr>
          <w:color w:val="202020"/>
          <w:szCs w:val="24"/>
          <w:lang w:eastAsia="et-EE"/>
        </w:rPr>
      </w:pPr>
    </w:p>
    <w:p w14:paraId="2008C384" w14:textId="75404BD7" w:rsidR="0016131C" w:rsidRPr="00687DE8" w:rsidRDefault="0016131C" w:rsidP="00C162AE">
      <w:pPr>
        <w:shd w:val="clear" w:color="auto" w:fill="FFFFFF" w:themeFill="background1"/>
        <w:spacing w:after="0" w:line="240" w:lineRule="auto"/>
        <w:jc w:val="both"/>
        <w:rPr>
          <w:color w:val="202020"/>
          <w:szCs w:val="24"/>
          <w:lang w:eastAsia="et-EE"/>
        </w:rPr>
      </w:pPr>
      <w:r w:rsidRPr="00687DE8">
        <w:rPr>
          <w:color w:val="202020"/>
          <w:szCs w:val="24"/>
          <w:lang w:eastAsia="et-EE"/>
        </w:rPr>
        <w:t>(</w:t>
      </w:r>
      <w:r w:rsidR="00D27958" w:rsidRPr="00687DE8">
        <w:rPr>
          <w:color w:val="202020"/>
          <w:szCs w:val="24"/>
          <w:lang w:eastAsia="et-EE"/>
        </w:rPr>
        <w:t>1</w:t>
      </w:r>
      <w:r w:rsidR="00785EEC">
        <w:rPr>
          <w:color w:val="202020"/>
          <w:szCs w:val="24"/>
          <w:lang w:eastAsia="et-EE"/>
        </w:rPr>
        <w:t>7</w:t>
      </w:r>
      <w:r w:rsidRPr="00687DE8">
        <w:rPr>
          <w:color w:val="202020"/>
          <w:szCs w:val="24"/>
          <w:lang w:eastAsia="et-EE"/>
        </w:rPr>
        <w:t>) Koodiga 4505A tähistatud tervishoiuteenus</w:t>
      </w:r>
      <w:r w:rsidR="00C162AE" w:rsidRPr="00687DE8">
        <w:rPr>
          <w:color w:val="202020"/>
          <w:szCs w:val="24"/>
          <w:lang w:eastAsia="et-EE"/>
        </w:rPr>
        <w:t>e</w:t>
      </w:r>
      <w:r w:rsidRPr="00687DE8">
        <w:rPr>
          <w:color w:val="202020"/>
          <w:szCs w:val="24"/>
          <w:lang w:eastAsia="et-EE"/>
        </w:rPr>
        <w:t xml:space="preserve"> eest tasutakse vastavalt </w:t>
      </w:r>
      <w:r w:rsidR="00331EF8" w:rsidRPr="00687DE8">
        <w:rPr>
          <w:color w:val="202020"/>
          <w:szCs w:val="24"/>
          <w:lang w:eastAsia="et-EE"/>
        </w:rPr>
        <w:t xml:space="preserve">liigese </w:t>
      </w:r>
      <w:r w:rsidRPr="00687DE8">
        <w:rPr>
          <w:color w:val="202020"/>
          <w:szCs w:val="24"/>
          <w:lang w:eastAsia="et-EE"/>
        </w:rPr>
        <w:t>endoproteesimise</w:t>
      </w:r>
      <w:r w:rsidR="00331EF8" w:rsidRPr="00687DE8">
        <w:rPr>
          <w:color w:val="202020"/>
          <w:szCs w:val="24"/>
          <w:lang w:eastAsia="et-EE"/>
        </w:rPr>
        <w:t xml:space="preserve"> operatsiooni</w:t>
      </w:r>
      <w:r w:rsidRPr="00687DE8">
        <w:rPr>
          <w:color w:val="202020"/>
          <w:szCs w:val="24"/>
          <w:lang w:eastAsia="et-EE"/>
        </w:rPr>
        <w:t xml:space="preserve"> (koodid 0N2139, 0N2140, 0N2141, 0N2144) raviarve lõpetamise kuupäevale.</w:t>
      </w:r>
    </w:p>
    <w:p w14:paraId="7D9E4ED7" w14:textId="77777777" w:rsidR="002D5281" w:rsidRPr="00687DE8" w:rsidRDefault="002D5281" w:rsidP="00054DE4">
      <w:pPr>
        <w:shd w:val="clear" w:color="auto" w:fill="FFFFFF"/>
        <w:spacing w:after="0" w:line="240" w:lineRule="auto"/>
        <w:jc w:val="both"/>
        <w:rPr>
          <w:color w:val="202020"/>
          <w:szCs w:val="24"/>
          <w:lang w:eastAsia="et-EE"/>
        </w:rPr>
      </w:pPr>
    </w:p>
    <w:p w14:paraId="0B415F05" w14:textId="2C231819" w:rsidR="0016131C" w:rsidRPr="00687DE8" w:rsidRDefault="0016131C" w:rsidP="00C162AE">
      <w:pPr>
        <w:shd w:val="clear" w:color="auto" w:fill="FFFFFF" w:themeFill="background1"/>
        <w:spacing w:after="0" w:line="240" w:lineRule="auto"/>
        <w:jc w:val="both"/>
        <w:rPr>
          <w:color w:val="202020"/>
          <w:szCs w:val="24"/>
          <w:lang w:eastAsia="et-EE"/>
        </w:rPr>
      </w:pPr>
      <w:r w:rsidRPr="00687DE8">
        <w:rPr>
          <w:color w:val="202020"/>
          <w:szCs w:val="24"/>
          <w:lang w:eastAsia="et-EE"/>
        </w:rPr>
        <w:t>(</w:t>
      </w:r>
      <w:r w:rsidR="226CF49D" w:rsidRPr="00687DE8">
        <w:rPr>
          <w:color w:val="202020"/>
          <w:szCs w:val="24"/>
          <w:lang w:eastAsia="et-EE"/>
        </w:rPr>
        <w:t>1</w:t>
      </w:r>
      <w:r w:rsidR="00785EEC">
        <w:rPr>
          <w:color w:val="202020"/>
          <w:szCs w:val="24"/>
          <w:lang w:eastAsia="et-EE"/>
        </w:rPr>
        <w:t>8</w:t>
      </w:r>
      <w:r w:rsidRPr="00687DE8">
        <w:rPr>
          <w:color w:val="202020"/>
          <w:szCs w:val="24"/>
          <w:lang w:eastAsia="et-EE"/>
        </w:rPr>
        <w:t xml:space="preserve">) Kui lõikes </w:t>
      </w:r>
      <w:r w:rsidR="00690E6D" w:rsidRPr="00687DE8">
        <w:rPr>
          <w:color w:val="202020"/>
          <w:szCs w:val="24"/>
          <w:lang w:eastAsia="et-EE"/>
        </w:rPr>
        <w:t>1</w:t>
      </w:r>
      <w:r w:rsidR="00785EEC">
        <w:rPr>
          <w:color w:val="202020"/>
          <w:szCs w:val="24"/>
          <w:lang w:eastAsia="et-EE"/>
        </w:rPr>
        <w:t>4</w:t>
      </w:r>
      <w:r w:rsidRPr="00687DE8">
        <w:rPr>
          <w:color w:val="202020"/>
          <w:szCs w:val="24"/>
          <w:lang w:eastAsia="et-EE"/>
        </w:rPr>
        <w:t xml:space="preserve"> nimetatud tervishoiuteenuste eest tasumise kohta esitatud raviarvete kogusumma ületab 50</w:t>
      </w:r>
      <w:r w:rsidR="00533476" w:rsidRPr="00687DE8">
        <w:rPr>
          <w:color w:val="202020"/>
          <w:szCs w:val="24"/>
          <w:lang w:eastAsia="et-EE"/>
        </w:rPr>
        <w:t> </w:t>
      </w:r>
      <w:r w:rsidRPr="00687DE8">
        <w:rPr>
          <w:color w:val="202020"/>
          <w:szCs w:val="24"/>
          <w:lang w:eastAsia="et-EE"/>
        </w:rPr>
        <w:t>000 eurot, siis koodiga 4505A tähistatud tervishoiuteenus</w:t>
      </w:r>
      <w:r w:rsidR="5814F59F" w:rsidRPr="00687DE8">
        <w:rPr>
          <w:color w:val="202020"/>
          <w:szCs w:val="24"/>
          <w:lang w:eastAsia="et-EE"/>
        </w:rPr>
        <w:t>t</w:t>
      </w:r>
      <w:r w:rsidRPr="00687DE8">
        <w:rPr>
          <w:color w:val="202020"/>
          <w:szCs w:val="24"/>
          <w:lang w:eastAsia="et-EE"/>
        </w:rPr>
        <w:t xml:space="preserve"> ei rakendata.</w:t>
      </w:r>
    </w:p>
    <w:p w14:paraId="16C573A4" w14:textId="77777777" w:rsidR="002D5281" w:rsidRPr="00687DE8" w:rsidRDefault="002D5281" w:rsidP="00C162AE">
      <w:pPr>
        <w:shd w:val="clear" w:color="auto" w:fill="FFFFFF" w:themeFill="background1"/>
        <w:spacing w:after="0" w:line="240" w:lineRule="auto"/>
        <w:jc w:val="both"/>
        <w:rPr>
          <w:color w:val="202020"/>
          <w:szCs w:val="24"/>
          <w:lang w:eastAsia="et-EE"/>
        </w:rPr>
      </w:pPr>
    </w:p>
    <w:p w14:paraId="65E701E7" w14:textId="5A085937" w:rsidR="0016131C" w:rsidRPr="00687DE8" w:rsidRDefault="0016131C" w:rsidP="58F0DB37">
      <w:pPr>
        <w:shd w:val="clear" w:color="auto" w:fill="FFFFFF" w:themeFill="background1"/>
        <w:spacing w:after="0" w:line="240" w:lineRule="auto"/>
        <w:jc w:val="both"/>
        <w:rPr>
          <w:color w:val="202020"/>
          <w:szCs w:val="24"/>
          <w:lang w:eastAsia="et-EE"/>
        </w:rPr>
      </w:pPr>
      <w:r w:rsidRPr="00687DE8">
        <w:rPr>
          <w:color w:val="202020"/>
          <w:szCs w:val="24"/>
          <w:lang w:eastAsia="et-EE"/>
        </w:rPr>
        <w:t>(</w:t>
      </w:r>
      <w:r w:rsidR="00785EEC">
        <w:rPr>
          <w:color w:val="202020"/>
          <w:szCs w:val="24"/>
          <w:lang w:eastAsia="et-EE"/>
        </w:rPr>
        <w:t>19</w:t>
      </w:r>
      <w:r w:rsidRPr="00687DE8">
        <w:rPr>
          <w:color w:val="202020"/>
          <w:szCs w:val="24"/>
          <w:lang w:eastAsia="et-EE"/>
        </w:rPr>
        <w:t xml:space="preserve">) </w:t>
      </w:r>
      <w:r w:rsidR="005023FD" w:rsidRPr="00687DE8">
        <w:rPr>
          <w:color w:val="202020"/>
          <w:szCs w:val="24"/>
          <w:lang w:eastAsia="et-EE"/>
        </w:rPr>
        <w:t>Tervisekassa</w:t>
      </w:r>
      <w:r w:rsidRPr="00687DE8">
        <w:rPr>
          <w:color w:val="202020"/>
          <w:szCs w:val="24"/>
          <w:lang w:eastAsia="et-EE"/>
        </w:rPr>
        <w:t xml:space="preserve"> võta</w:t>
      </w:r>
      <w:r w:rsidR="00C038FA" w:rsidRPr="00687DE8">
        <w:rPr>
          <w:color w:val="202020"/>
          <w:szCs w:val="24"/>
          <w:lang w:eastAsia="et-EE"/>
        </w:rPr>
        <w:t>b</w:t>
      </w:r>
      <w:r w:rsidRPr="00687DE8">
        <w:rPr>
          <w:color w:val="202020"/>
          <w:szCs w:val="24"/>
          <w:lang w:eastAsia="et-EE"/>
        </w:rPr>
        <w:t xml:space="preserve"> koodi</w:t>
      </w:r>
      <w:r w:rsidR="00EF6E82" w:rsidRPr="00687DE8">
        <w:rPr>
          <w:color w:val="202020"/>
          <w:szCs w:val="24"/>
          <w:lang w:eastAsia="et-EE"/>
        </w:rPr>
        <w:t>ga</w:t>
      </w:r>
      <w:r w:rsidRPr="00687DE8">
        <w:rPr>
          <w:color w:val="202020"/>
          <w:szCs w:val="24"/>
          <w:lang w:eastAsia="et-EE"/>
        </w:rPr>
        <w:t xml:space="preserve"> 4505A tähistatud tervishoiuteenuse eest tasu maksmise kohustus</w:t>
      </w:r>
      <w:r w:rsidR="00C038FA" w:rsidRPr="00687DE8">
        <w:rPr>
          <w:color w:val="202020"/>
          <w:szCs w:val="24"/>
          <w:lang w:eastAsia="et-EE"/>
        </w:rPr>
        <w:t>e</w:t>
      </w:r>
      <w:r w:rsidRPr="00687DE8">
        <w:rPr>
          <w:color w:val="202020"/>
          <w:szCs w:val="24"/>
          <w:lang w:eastAsia="et-EE"/>
        </w:rPr>
        <w:t xml:space="preserve"> üle </w:t>
      </w:r>
      <w:r w:rsidR="00AD225F" w:rsidRPr="00687DE8">
        <w:rPr>
          <w:color w:val="202020"/>
          <w:szCs w:val="24"/>
          <w:lang w:eastAsia="et-EE"/>
        </w:rPr>
        <w:t xml:space="preserve">liigese </w:t>
      </w:r>
      <w:r w:rsidR="00927D4A" w:rsidRPr="00687DE8">
        <w:rPr>
          <w:color w:val="202020"/>
          <w:szCs w:val="24"/>
          <w:lang w:eastAsia="et-EE"/>
        </w:rPr>
        <w:t>endoproteesimise raviteekonna keste</w:t>
      </w:r>
      <w:r w:rsidR="0009384F" w:rsidRPr="00687DE8">
        <w:rPr>
          <w:color w:val="202020"/>
          <w:szCs w:val="24"/>
          <w:lang w:eastAsia="et-EE"/>
        </w:rPr>
        <w:t>l</w:t>
      </w:r>
      <w:r w:rsidR="00927D4A" w:rsidRPr="00687DE8">
        <w:rPr>
          <w:color w:val="202020"/>
          <w:szCs w:val="24"/>
          <w:lang w:eastAsia="et-EE"/>
        </w:rPr>
        <w:t xml:space="preserve"> </w:t>
      </w:r>
      <w:r w:rsidRPr="00687DE8">
        <w:rPr>
          <w:color w:val="202020"/>
          <w:szCs w:val="24"/>
          <w:lang w:eastAsia="et-EE"/>
        </w:rPr>
        <w:t>ravikindlusta</w:t>
      </w:r>
      <w:r w:rsidR="00C038FA" w:rsidRPr="00687DE8">
        <w:rPr>
          <w:color w:val="202020"/>
          <w:szCs w:val="24"/>
          <w:lang w:eastAsia="et-EE"/>
        </w:rPr>
        <w:t>tud</w:t>
      </w:r>
      <w:r w:rsidRPr="00687DE8">
        <w:rPr>
          <w:color w:val="202020"/>
          <w:szCs w:val="24"/>
          <w:lang w:eastAsia="et-EE"/>
        </w:rPr>
        <w:t xml:space="preserve"> isiku </w:t>
      </w:r>
      <w:r w:rsidR="00B325AB" w:rsidRPr="00687DE8">
        <w:rPr>
          <w:color w:val="202020"/>
          <w:szCs w:val="24"/>
          <w:lang w:eastAsia="et-EE"/>
        </w:rPr>
        <w:t>eest</w:t>
      </w:r>
      <w:r w:rsidRPr="00687DE8">
        <w:rPr>
          <w:color w:val="202020"/>
          <w:szCs w:val="24"/>
          <w:lang w:eastAsia="et-EE"/>
        </w:rPr>
        <w:t>.</w:t>
      </w:r>
    </w:p>
    <w:p w14:paraId="4C4D6347" w14:textId="77777777" w:rsidR="002D5281" w:rsidRPr="00687DE8" w:rsidRDefault="002D5281" w:rsidP="00122D7A">
      <w:pPr>
        <w:shd w:val="clear" w:color="auto" w:fill="FFFFFF"/>
        <w:spacing w:after="0" w:line="240" w:lineRule="auto"/>
        <w:jc w:val="both"/>
        <w:rPr>
          <w:color w:val="202020"/>
          <w:szCs w:val="24"/>
          <w:lang w:eastAsia="et-EE"/>
        </w:rPr>
      </w:pPr>
    </w:p>
    <w:p w14:paraId="6A40F8DF" w14:textId="548B2592" w:rsidR="0016131C" w:rsidRPr="00687DE8" w:rsidRDefault="0016131C" w:rsidP="00122D7A">
      <w:pPr>
        <w:shd w:val="clear" w:color="auto" w:fill="FFFFFF" w:themeFill="background1"/>
        <w:spacing w:after="0" w:line="240" w:lineRule="auto"/>
        <w:jc w:val="both"/>
        <w:rPr>
          <w:color w:val="202020"/>
          <w:lang w:eastAsia="et-EE"/>
        </w:rPr>
      </w:pPr>
      <w:r w:rsidRPr="1EBF27FD">
        <w:rPr>
          <w:color w:val="202020"/>
          <w:lang w:eastAsia="et-EE"/>
        </w:rPr>
        <w:t>(</w:t>
      </w:r>
      <w:r w:rsidR="00785EEC">
        <w:rPr>
          <w:color w:val="202020"/>
          <w:lang w:eastAsia="et-EE"/>
        </w:rPr>
        <w:t>20</w:t>
      </w:r>
      <w:r w:rsidRPr="1EBF27FD">
        <w:rPr>
          <w:color w:val="202020"/>
          <w:lang w:eastAsia="et-EE"/>
        </w:rPr>
        <w:t xml:space="preserve">) </w:t>
      </w:r>
      <w:r w:rsidRPr="1EBF27FD">
        <w:rPr>
          <w:rStyle w:val="ui-provider"/>
        </w:rPr>
        <w:t xml:space="preserve">Koodiga 4505A tähistatud </w:t>
      </w:r>
      <w:r w:rsidR="000016E5" w:rsidRPr="1EBF27FD">
        <w:rPr>
          <w:rStyle w:val="ui-provider"/>
        </w:rPr>
        <w:t>tervishoiuteenust rakendatakse liigese endoproteesimise puhul, mille kohta esitatud raviarve algus ja lõpp jäävad ajavahemikku 1. aprill 2023. a kuni 31. detsember 2025. a.</w:t>
      </w:r>
    </w:p>
    <w:p w14:paraId="090EA74E" w14:textId="77777777" w:rsidR="002D5281" w:rsidRPr="00687DE8" w:rsidRDefault="002D5281" w:rsidP="00122D7A">
      <w:pPr>
        <w:shd w:val="clear" w:color="auto" w:fill="FFFFFF" w:themeFill="background1"/>
        <w:spacing w:after="0" w:line="240" w:lineRule="auto"/>
        <w:jc w:val="both"/>
        <w:rPr>
          <w:color w:val="202020"/>
          <w:szCs w:val="24"/>
          <w:lang w:eastAsia="et-EE"/>
        </w:rPr>
      </w:pPr>
    </w:p>
    <w:p w14:paraId="21420F64" w14:textId="792D456D" w:rsidR="00533476" w:rsidRPr="00687DE8" w:rsidRDefault="0016131C" w:rsidP="00533476">
      <w:pPr>
        <w:spacing w:after="0" w:line="240" w:lineRule="auto"/>
        <w:jc w:val="both"/>
        <w:rPr>
          <w:color w:val="202020"/>
          <w:lang w:eastAsia="et-EE"/>
        </w:rPr>
      </w:pPr>
      <w:r w:rsidRPr="1EBF27FD">
        <w:rPr>
          <w:color w:val="202020"/>
          <w:lang w:eastAsia="et-EE"/>
        </w:rPr>
        <w:t>(</w:t>
      </w:r>
      <w:r w:rsidR="701BB53C" w:rsidRPr="1EBF27FD">
        <w:rPr>
          <w:color w:val="202020"/>
          <w:lang w:eastAsia="et-EE"/>
        </w:rPr>
        <w:t>2</w:t>
      </w:r>
      <w:r w:rsidR="00785EEC">
        <w:rPr>
          <w:color w:val="202020"/>
          <w:lang w:eastAsia="et-EE"/>
        </w:rPr>
        <w:t>1</w:t>
      </w:r>
      <w:r w:rsidRPr="1EBF27FD">
        <w:rPr>
          <w:color w:val="202020"/>
          <w:lang w:eastAsia="et-EE"/>
        </w:rPr>
        <w:t xml:space="preserve">) Koodiga 4506A tähistatud tervishoiuteenust rakendatakse perearstiabis ajavahemikul </w:t>
      </w:r>
      <w:r w:rsidR="006D18B8" w:rsidRPr="1EBF27FD">
        <w:rPr>
          <w:color w:val="202020"/>
          <w:lang w:eastAsia="et-EE"/>
        </w:rPr>
        <w:t>1. </w:t>
      </w:r>
      <w:r w:rsidRPr="1EBF27FD">
        <w:rPr>
          <w:color w:val="202020"/>
          <w:lang w:eastAsia="et-EE"/>
        </w:rPr>
        <w:t>jaanuar 2023. a kuni 31. detsember 2026. a endoproteesimise raviteekonna standardi järgimisel.</w:t>
      </w:r>
    </w:p>
    <w:p w14:paraId="67FDB640" w14:textId="25A40AE1" w:rsidR="00862841" w:rsidRPr="00687DE8" w:rsidRDefault="0016131C" w:rsidP="00533476">
      <w:pPr>
        <w:spacing w:after="0" w:line="240" w:lineRule="auto"/>
        <w:jc w:val="both"/>
        <w:rPr>
          <w:color w:val="202020"/>
          <w:szCs w:val="24"/>
          <w:lang w:eastAsia="et-EE"/>
        </w:rPr>
      </w:pPr>
      <w:r w:rsidRPr="00687DE8">
        <w:rPr>
          <w:szCs w:val="24"/>
          <w:lang w:eastAsia="et-EE"/>
        </w:rPr>
        <w:t xml:space="preserve"> </w:t>
      </w:r>
    </w:p>
    <w:p w14:paraId="47230D93" w14:textId="58CD5C4F" w:rsidR="002D0D21" w:rsidRPr="00687DE8" w:rsidRDefault="001B07E6" w:rsidP="003F107C">
      <w:pPr>
        <w:spacing w:after="0" w:line="240" w:lineRule="auto"/>
        <w:jc w:val="both"/>
        <w:rPr>
          <w:rFonts w:eastAsia="Calibri"/>
          <w:color w:val="202020"/>
          <w:szCs w:val="24"/>
        </w:rPr>
      </w:pPr>
      <w:r w:rsidRPr="00687DE8">
        <w:rPr>
          <w:color w:val="202020"/>
          <w:szCs w:val="24"/>
          <w:lang w:eastAsia="et-EE"/>
        </w:rPr>
        <w:t>(</w:t>
      </w:r>
      <w:r w:rsidR="008A7E69" w:rsidRPr="00687DE8">
        <w:rPr>
          <w:color w:val="202020"/>
          <w:szCs w:val="24"/>
          <w:lang w:eastAsia="et-EE"/>
        </w:rPr>
        <w:t>2</w:t>
      </w:r>
      <w:r w:rsidR="00785EEC">
        <w:rPr>
          <w:color w:val="202020"/>
          <w:szCs w:val="24"/>
          <w:lang w:eastAsia="et-EE"/>
        </w:rPr>
        <w:t>2</w:t>
      </w:r>
      <w:r w:rsidRPr="00687DE8">
        <w:rPr>
          <w:color w:val="202020"/>
          <w:szCs w:val="24"/>
          <w:lang w:eastAsia="et-EE"/>
        </w:rPr>
        <w:t xml:space="preserve">) </w:t>
      </w:r>
      <w:bookmarkStart w:id="48" w:name="_Hlk179643391"/>
      <w:r w:rsidR="00004721" w:rsidRPr="00687DE8">
        <w:rPr>
          <w:color w:val="202020"/>
          <w:szCs w:val="24"/>
          <w:lang w:eastAsia="et-EE"/>
        </w:rPr>
        <w:t xml:space="preserve">Koodiga 4508A tähistatud tervishoiuteenust rakendatakse </w:t>
      </w:r>
      <w:r w:rsidR="00004721" w:rsidRPr="00687DE8">
        <w:rPr>
          <w:color w:val="202020"/>
          <w:szCs w:val="24"/>
        </w:rPr>
        <w:t xml:space="preserve">tervishoiuteenuse osutaja ja </w:t>
      </w:r>
      <w:r w:rsidR="005023FD" w:rsidRPr="00687DE8">
        <w:rPr>
          <w:color w:val="202020"/>
          <w:szCs w:val="24"/>
        </w:rPr>
        <w:t>Tervisekassa</w:t>
      </w:r>
      <w:r w:rsidR="00004721" w:rsidRPr="00687DE8">
        <w:rPr>
          <w:color w:val="202020"/>
          <w:szCs w:val="24"/>
        </w:rPr>
        <w:t xml:space="preserve"> vahel sõlmitud ravi rahastamise lepingu kohaselt</w:t>
      </w:r>
      <w:r w:rsidR="00004721" w:rsidRPr="00687DE8">
        <w:rPr>
          <w:color w:val="202020"/>
          <w:szCs w:val="24"/>
          <w:lang w:eastAsia="et-EE"/>
        </w:rPr>
        <w:t xml:space="preserve"> psühhiaatria</w:t>
      </w:r>
      <w:r w:rsidR="00F45147" w:rsidRPr="00687DE8">
        <w:rPr>
          <w:color w:val="202020"/>
          <w:szCs w:val="24"/>
          <w:lang w:eastAsia="et-EE"/>
        </w:rPr>
        <w:t>teenuseid</w:t>
      </w:r>
      <w:r w:rsidR="00004721" w:rsidRPr="00687DE8">
        <w:rPr>
          <w:color w:val="202020"/>
          <w:szCs w:val="24"/>
          <w:lang w:eastAsia="et-EE"/>
        </w:rPr>
        <w:t xml:space="preserve"> os</w:t>
      </w:r>
      <w:r w:rsidR="00FA26E2" w:rsidRPr="00687DE8">
        <w:rPr>
          <w:color w:val="202020"/>
          <w:szCs w:val="24"/>
          <w:lang w:eastAsia="et-EE"/>
        </w:rPr>
        <w:t>utava</w:t>
      </w:r>
      <w:r w:rsidR="00952B30" w:rsidRPr="00687DE8">
        <w:rPr>
          <w:color w:val="202020"/>
          <w:szCs w:val="24"/>
          <w:lang w:eastAsia="et-EE"/>
        </w:rPr>
        <w:t>s</w:t>
      </w:r>
      <w:r w:rsidR="00004721" w:rsidRPr="00687DE8">
        <w:rPr>
          <w:color w:val="202020"/>
          <w:szCs w:val="24"/>
          <w:lang w:eastAsia="et-EE"/>
        </w:rPr>
        <w:t xml:space="preserve"> raviasutus</w:t>
      </w:r>
      <w:r w:rsidR="00952B30" w:rsidRPr="00687DE8">
        <w:rPr>
          <w:color w:val="202020"/>
          <w:szCs w:val="24"/>
          <w:lang w:eastAsia="et-EE"/>
        </w:rPr>
        <w:t>es</w:t>
      </w:r>
      <w:r w:rsidR="00331D97" w:rsidRPr="00687DE8">
        <w:rPr>
          <w:color w:val="202020"/>
          <w:szCs w:val="24"/>
          <w:lang w:eastAsia="et-EE"/>
        </w:rPr>
        <w:t xml:space="preserve"> </w:t>
      </w:r>
      <w:r w:rsidR="43C5FCB5" w:rsidRPr="00687DE8">
        <w:rPr>
          <w:color w:val="202020"/>
          <w:szCs w:val="24"/>
          <w:lang w:eastAsia="et-EE"/>
        </w:rPr>
        <w:t>juhul</w:t>
      </w:r>
      <w:r w:rsidR="55939EAB" w:rsidRPr="00687DE8">
        <w:rPr>
          <w:color w:val="202020"/>
          <w:szCs w:val="24"/>
          <w:lang w:eastAsia="et-EE"/>
        </w:rPr>
        <w:t>,</w:t>
      </w:r>
      <w:r w:rsidR="00331D97" w:rsidRPr="00687DE8">
        <w:rPr>
          <w:color w:val="202020"/>
          <w:szCs w:val="24"/>
          <w:lang w:eastAsia="et-EE"/>
        </w:rPr>
        <w:t xml:space="preserve"> kui kuu alguseks on loodud juhtumikorraldaja ametikoht</w:t>
      </w:r>
      <w:r w:rsidR="009B3844" w:rsidRPr="00687DE8">
        <w:rPr>
          <w:color w:val="202020"/>
          <w:szCs w:val="24"/>
          <w:lang w:eastAsia="et-EE"/>
        </w:rPr>
        <w:t xml:space="preserve">. </w:t>
      </w:r>
      <w:r w:rsidR="00F45147" w:rsidRPr="00687DE8">
        <w:rPr>
          <w:color w:val="202020"/>
          <w:szCs w:val="24"/>
          <w:lang w:eastAsia="et-EE"/>
        </w:rPr>
        <w:t>K</w:t>
      </w:r>
      <w:r w:rsidR="003B01A8" w:rsidRPr="00687DE8">
        <w:rPr>
          <w:color w:val="202020"/>
          <w:szCs w:val="24"/>
          <w:lang w:eastAsia="et-EE"/>
        </w:rPr>
        <w:t xml:space="preserve">ui </w:t>
      </w:r>
      <w:r w:rsidR="00982573" w:rsidRPr="00687DE8">
        <w:rPr>
          <w:color w:val="202020"/>
          <w:szCs w:val="24"/>
          <w:lang w:eastAsia="et-EE"/>
        </w:rPr>
        <w:lastRenderedPageBreak/>
        <w:t>juhtumiko</w:t>
      </w:r>
      <w:r w:rsidR="002E360F" w:rsidRPr="00687DE8">
        <w:rPr>
          <w:color w:val="202020"/>
          <w:szCs w:val="24"/>
          <w:lang w:eastAsia="et-EE"/>
        </w:rPr>
        <w:t>r</w:t>
      </w:r>
      <w:r w:rsidR="00982573" w:rsidRPr="00687DE8">
        <w:rPr>
          <w:color w:val="202020"/>
          <w:szCs w:val="24"/>
          <w:lang w:eastAsia="et-EE"/>
        </w:rPr>
        <w:t xml:space="preserve">raldaja </w:t>
      </w:r>
      <w:r w:rsidR="00F45147" w:rsidRPr="00687DE8">
        <w:rPr>
          <w:color w:val="202020"/>
          <w:szCs w:val="24"/>
          <w:lang w:eastAsia="et-EE"/>
        </w:rPr>
        <w:t>töötab</w:t>
      </w:r>
      <w:r w:rsidR="00982573" w:rsidRPr="00687DE8">
        <w:rPr>
          <w:color w:val="202020"/>
          <w:szCs w:val="24"/>
          <w:lang w:eastAsia="et-EE"/>
        </w:rPr>
        <w:t xml:space="preserve"> osalise koormusega või </w:t>
      </w:r>
      <w:r w:rsidR="00572A5F" w:rsidRPr="00687DE8">
        <w:rPr>
          <w:color w:val="202020"/>
          <w:szCs w:val="24"/>
          <w:lang w:eastAsia="et-EE"/>
        </w:rPr>
        <w:t xml:space="preserve">tööl on rohkem kui </w:t>
      </w:r>
      <w:r w:rsidR="00E1076D" w:rsidRPr="00687DE8">
        <w:rPr>
          <w:color w:val="202020"/>
          <w:szCs w:val="24"/>
          <w:lang w:eastAsia="et-EE"/>
        </w:rPr>
        <w:t>üks juhtumikorraldaja</w:t>
      </w:r>
      <w:r w:rsidR="4459D12D" w:rsidRPr="00687DE8">
        <w:rPr>
          <w:color w:val="202020"/>
          <w:szCs w:val="24"/>
          <w:lang w:eastAsia="et-EE"/>
        </w:rPr>
        <w:t>,</w:t>
      </w:r>
      <w:r w:rsidR="00572A5F" w:rsidRPr="00687DE8">
        <w:rPr>
          <w:color w:val="202020"/>
          <w:szCs w:val="24"/>
          <w:lang w:eastAsia="et-EE"/>
        </w:rPr>
        <w:t xml:space="preserve"> </w:t>
      </w:r>
      <w:r w:rsidR="009D70C1" w:rsidRPr="00687DE8">
        <w:rPr>
          <w:color w:val="202020"/>
          <w:szCs w:val="24"/>
          <w:lang w:eastAsia="et-EE"/>
        </w:rPr>
        <w:t>võib</w:t>
      </w:r>
      <w:r w:rsidR="00572A5F" w:rsidRPr="00687DE8">
        <w:rPr>
          <w:color w:val="202020"/>
          <w:szCs w:val="24"/>
          <w:lang w:eastAsia="et-EE"/>
        </w:rPr>
        <w:t xml:space="preserve"> koodiga 4508A tähistatud tervishoiuteenusele</w:t>
      </w:r>
      <w:r w:rsidR="00486458" w:rsidRPr="00687DE8">
        <w:rPr>
          <w:color w:val="202020"/>
          <w:szCs w:val="24"/>
          <w:lang w:eastAsia="et-EE"/>
        </w:rPr>
        <w:t xml:space="preserve"> rakenda</w:t>
      </w:r>
      <w:r w:rsidR="009D70C1" w:rsidRPr="00687DE8">
        <w:rPr>
          <w:color w:val="202020"/>
          <w:szCs w:val="24"/>
          <w:lang w:eastAsia="et-EE"/>
        </w:rPr>
        <w:t>da</w:t>
      </w:r>
      <w:r w:rsidR="00486458" w:rsidRPr="00687DE8">
        <w:rPr>
          <w:color w:val="202020"/>
          <w:szCs w:val="24"/>
          <w:lang w:eastAsia="et-EE"/>
        </w:rPr>
        <w:t xml:space="preserve"> </w:t>
      </w:r>
      <w:r w:rsidR="00486458" w:rsidRPr="00687DE8">
        <w:rPr>
          <w:color w:val="202020"/>
          <w:szCs w:val="24"/>
        </w:rPr>
        <w:t xml:space="preserve">tervishoiuteenuse osutaja ja </w:t>
      </w:r>
      <w:r w:rsidR="005023FD" w:rsidRPr="00687DE8">
        <w:rPr>
          <w:color w:val="202020"/>
          <w:szCs w:val="24"/>
        </w:rPr>
        <w:t>Tervisekassa</w:t>
      </w:r>
      <w:r w:rsidR="00486458" w:rsidRPr="00687DE8">
        <w:rPr>
          <w:color w:val="202020"/>
          <w:szCs w:val="24"/>
        </w:rPr>
        <w:t xml:space="preserve"> vahel sõlmitud ravi rahastamise lepingu</w:t>
      </w:r>
      <w:r w:rsidR="009D70C1" w:rsidRPr="00687DE8">
        <w:rPr>
          <w:color w:val="202020"/>
          <w:szCs w:val="24"/>
        </w:rPr>
        <w:t xml:space="preserve">s </w:t>
      </w:r>
      <w:r w:rsidR="4A57520E" w:rsidRPr="00687DE8">
        <w:rPr>
          <w:color w:val="202020"/>
          <w:szCs w:val="24"/>
        </w:rPr>
        <w:t>kokku lepitud</w:t>
      </w:r>
      <w:r w:rsidR="009D70C1" w:rsidRPr="00687DE8">
        <w:rPr>
          <w:color w:val="202020"/>
          <w:szCs w:val="24"/>
        </w:rPr>
        <w:t xml:space="preserve"> koefitsien</w:t>
      </w:r>
      <w:r w:rsidR="04204810" w:rsidRPr="00687DE8">
        <w:rPr>
          <w:color w:val="202020"/>
          <w:szCs w:val="24"/>
        </w:rPr>
        <w:t>t</w:t>
      </w:r>
      <w:r w:rsidR="1D6B7EBD" w:rsidRPr="00687DE8">
        <w:rPr>
          <w:color w:val="202020"/>
          <w:szCs w:val="24"/>
        </w:rPr>
        <w:t xml:space="preserve">i, mis ei ole suurem kui </w:t>
      </w:r>
      <w:r w:rsidR="00295A66" w:rsidRPr="00687DE8">
        <w:rPr>
          <w:color w:val="202020"/>
          <w:szCs w:val="24"/>
        </w:rPr>
        <w:t>2</w:t>
      </w:r>
      <w:r w:rsidR="00F1545C" w:rsidRPr="00687DE8">
        <w:rPr>
          <w:color w:val="202020"/>
          <w:szCs w:val="24"/>
        </w:rPr>
        <w:t>.</w:t>
      </w:r>
      <w:r w:rsidR="009D70C1" w:rsidRPr="00687DE8">
        <w:rPr>
          <w:color w:val="202020"/>
          <w:szCs w:val="24"/>
        </w:rPr>
        <w:t xml:space="preserve"> </w:t>
      </w:r>
      <w:bookmarkEnd w:id="48"/>
    </w:p>
    <w:p w14:paraId="0AF188C3" w14:textId="77929EA7" w:rsidR="29718B27" w:rsidRPr="00687DE8" w:rsidRDefault="29718B27" w:rsidP="29718B27">
      <w:pPr>
        <w:spacing w:after="0" w:line="240" w:lineRule="auto"/>
        <w:jc w:val="both"/>
        <w:rPr>
          <w:color w:val="202020"/>
          <w:szCs w:val="24"/>
        </w:rPr>
      </w:pPr>
    </w:p>
    <w:p w14:paraId="44BDB3E0" w14:textId="595B2A53" w:rsidR="00EC0020" w:rsidRPr="00687DE8" w:rsidRDefault="2968A55F" w:rsidP="2C315520">
      <w:pPr>
        <w:spacing w:after="0" w:line="240" w:lineRule="auto"/>
        <w:jc w:val="both"/>
        <w:rPr>
          <w:szCs w:val="24"/>
        </w:rPr>
      </w:pPr>
      <w:r w:rsidRPr="00687DE8">
        <w:rPr>
          <w:color w:val="202020"/>
          <w:szCs w:val="24"/>
        </w:rPr>
        <w:t>(</w:t>
      </w:r>
      <w:r w:rsidR="00D27958" w:rsidRPr="00687DE8">
        <w:rPr>
          <w:color w:val="202020"/>
          <w:szCs w:val="24"/>
        </w:rPr>
        <w:t>2</w:t>
      </w:r>
      <w:r w:rsidR="00785EEC">
        <w:rPr>
          <w:color w:val="202020"/>
          <w:szCs w:val="24"/>
        </w:rPr>
        <w:t>3</w:t>
      </w:r>
      <w:r w:rsidRPr="00687DE8">
        <w:rPr>
          <w:color w:val="202020"/>
          <w:szCs w:val="24"/>
        </w:rPr>
        <w:t xml:space="preserve">) </w:t>
      </w:r>
      <w:r w:rsidRPr="00687DE8">
        <w:rPr>
          <w:color w:val="000000" w:themeColor="text1"/>
          <w:szCs w:val="24"/>
        </w:rPr>
        <w:t xml:space="preserve">Tervisekassa </w:t>
      </w:r>
      <w:r w:rsidR="5E967839" w:rsidRPr="00687DE8">
        <w:rPr>
          <w:color w:val="000000" w:themeColor="text1"/>
          <w:szCs w:val="24"/>
        </w:rPr>
        <w:t>tasub</w:t>
      </w:r>
      <w:r w:rsidRPr="00687DE8">
        <w:rPr>
          <w:color w:val="000000" w:themeColor="text1"/>
          <w:szCs w:val="24"/>
        </w:rPr>
        <w:t xml:space="preserve"> koodidega 5092A ja 5095A</w:t>
      </w:r>
      <w:r w:rsidR="5324C5AD" w:rsidRPr="00687DE8">
        <w:rPr>
          <w:color w:val="000000" w:themeColor="text1"/>
          <w:szCs w:val="24"/>
        </w:rPr>
        <w:t xml:space="preserve"> </w:t>
      </w:r>
      <w:r w:rsidRPr="00687DE8">
        <w:rPr>
          <w:color w:val="000000" w:themeColor="text1"/>
          <w:szCs w:val="24"/>
        </w:rPr>
        <w:t xml:space="preserve">tähistatud teenuste eest </w:t>
      </w:r>
      <w:r w:rsidR="74C88B07" w:rsidRPr="00687DE8">
        <w:rPr>
          <w:color w:val="000000" w:themeColor="text1"/>
          <w:szCs w:val="24"/>
        </w:rPr>
        <w:t>kinnitatud nimistuga töötaval</w:t>
      </w:r>
      <w:r w:rsidR="035FB34D" w:rsidRPr="00687DE8">
        <w:rPr>
          <w:color w:val="000000" w:themeColor="text1"/>
          <w:szCs w:val="24"/>
        </w:rPr>
        <w:t>e</w:t>
      </w:r>
      <w:r w:rsidR="74C88B07" w:rsidRPr="00687DE8">
        <w:rPr>
          <w:color w:val="000000" w:themeColor="text1"/>
          <w:szCs w:val="24"/>
        </w:rPr>
        <w:t xml:space="preserve"> perearstil</w:t>
      </w:r>
      <w:r w:rsidR="7825251E" w:rsidRPr="00687DE8">
        <w:rPr>
          <w:color w:val="000000" w:themeColor="text1"/>
          <w:szCs w:val="24"/>
        </w:rPr>
        <w:t>e</w:t>
      </w:r>
      <w:r w:rsidRPr="00687DE8">
        <w:rPr>
          <w:color w:val="000000" w:themeColor="text1"/>
          <w:szCs w:val="24"/>
        </w:rPr>
        <w:t xml:space="preserve"> juhul, kui </w:t>
      </w:r>
      <w:r w:rsidR="74C88B07" w:rsidRPr="00687DE8">
        <w:rPr>
          <w:color w:val="000000" w:themeColor="text1"/>
          <w:szCs w:val="24"/>
        </w:rPr>
        <w:t>tema või temaga koos töötavad tervishoiutöötajad</w:t>
      </w:r>
      <w:r w:rsidRPr="00687DE8">
        <w:rPr>
          <w:color w:val="000000" w:themeColor="text1"/>
          <w:szCs w:val="24"/>
        </w:rPr>
        <w:t xml:space="preserve"> on läbinud Tervisekassa riskipõhise ravijuhtimise koolituse.</w:t>
      </w:r>
      <w:r w:rsidR="6C643717" w:rsidRPr="00687DE8">
        <w:rPr>
          <w:color w:val="000000" w:themeColor="text1"/>
          <w:szCs w:val="24"/>
        </w:rPr>
        <w:t xml:space="preserve"> </w:t>
      </w:r>
    </w:p>
    <w:p w14:paraId="4C3C1D78" w14:textId="11494815" w:rsidR="20ACDDF6" w:rsidRPr="00687DE8" w:rsidRDefault="2968A55F" w:rsidP="2C315520">
      <w:pPr>
        <w:spacing w:after="0" w:line="240" w:lineRule="auto"/>
        <w:jc w:val="both"/>
        <w:rPr>
          <w:color w:val="000000" w:themeColor="text1"/>
          <w:szCs w:val="24"/>
        </w:rPr>
      </w:pPr>
      <w:r w:rsidRPr="00687DE8">
        <w:rPr>
          <w:color w:val="000000" w:themeColor="text1"/>
          <w:szCs w:val="24"/>
        </w:rPr>
        <w:t xml:space="preserve"> </w:t>
      </w:r>
    </w:p>
    <w:p w14:paraId="0C7DFB60" w14:textId="19739403" w:rsidR="20ACDDF6" w:rsidRPr="00687DE8" w:rsidRDefault="7EAA33E6" w:rsidP="2C315520">
      <w:pPr>
        <w:spacing w:after="0" w:line="240" w:lineRule="auto"/>
        <w:jc w:val="both"/>
        <w:rPr>
          <w:color w:val="000000" w:themeColor="text1"/>
          <w:szCs w:val="24"/>
        </w:rPr>
      </w:pPr>
      <w:r w:rsidRPr="00687DE8">
        <w:rPr>
          <w:color w:val="000000" w:themeColor="text1"/>
          <w:szCs w:val="24"/>
        </w:rPr>
        <w:t>(</w:t>
      </w:r>
      <w:r w:rsidR="00D27958" w:rsidRPr="00687DE8">
        <w:rPr>
          <w:color w:val="000000" w:themeColor="text1"/>
          <w:szCs w:val="24"/>
        </w:rPr>
        <w:t>2</w:t>
      </w:r>
      <w:r w:rsidR="00785EEC">
        <w:rPr>
          <w:color w:val="000000" w:themeColor="text1"/>
          <w:szCs w:val="24"/>
        </w:rPr>
        <w:t>4</w:t>
      </w:r>
      <w:r w:rsidRPr="00687DE8">
        <w:rPr>
          <w:color w:val="000000" w:themeColor="text1"/>
          <w:szCs w:val="24"/>
        </w:rPr>
        <w:t xml:space="preserve">) </w:t>
      </w:r>
      <w:r w:rsidR="2968A55F" w:rsidRPr="00687DE8">
        <w:rPr>
          <w:color w:val="000000" w:themeColor="text1"/>
          <w:szCs w:val="24"/>
        </w:rPr>
        <w:t xml:space="preserve">Tervisekassa võtab koodiga 5095A tähistatud teenuse eest tasu maksmise kohustuse üle kuni </w:t>
      </w:r>
      <w:r w:rsidR="00892B1F" w:rsidRPr="00687DE8">
        <w:rPr>
          <w:color w:val="000000" w:themeColor="text1"/>
          <w:szCs w:val="24"/>
        </w:rPr>
        <w:t>kolmel</w:t>
      </w:r>
      <w:r w:rsidR="2968A55F" w:rsidRPr="00687DE8">
        <w:rPr>
          <w:color w:val="000000" w:themeColor="text1"/>
          <w:szCs w:val="24"/>
        </w:rPr>
        <w:t xml:space="preserve"> korral aastas ühe patsiendi kohta.</w:t>
      </w:r>
    </w:p>
    <w:p w14:paraId="3A6DB793" w14:textId="3D3FBAED" w:rsidR="7EA1C153" w:rsidRPr="00687DE8" w:rsidRDefault="7EA1C153" w:rsidP="7EA1C153">
      <w:pPr>
        <w:spacing w:after="0" w:line="240" w:lineRule="auto"/>
        <w:jc w:val="both"/>
        <w:rPr>
          <w:color w:val="000000" w:themeColor="text1"/>
          <w:szCs w:val="24"/>
        </w:rPr>
      </w:pPr>
    </w:p>
    <w:p w14:paraId="46D70D65" w14:textId="0201F31D" w:rsidR="00195B0C" w:rsidRPr="00687DE8" w:rsidRDefault="00195B0C" w:rsidP="002C2A0D">
      <w:pPr>
        <w:spacing w:after="0" w:line="240" w:lineRule="auto"/>
        <w:jc w:val="both"/>
        <w:rPr>
          <w:rFonts w:eastAsia="Calibri"/>
          <w:szCs w:val="24"/>
        </w:rPr>
      </w:pPr>
      <w:r w:rsidRPr="00687DE8">
        <w:rPr>
          <w:rFonts w:eastAsia="Calibri"/>
          <w:szCs w:val="24"/>
        </w:rPr>
        <w:t>(</w:t>
      </w:r>
      <w:r w:rsidR="2013AACE" w:rsidRPr="00687DE8">
        <w:rPr>
          <w:rFonts w:eastAsia="Calibri"/>
          <w:szCs w:val="24"/>
        </w:rPr>
        <w:t>2</w:t>
      </w:r>
      <w:r w:rsidR="00785EEC">
        <w:rPr>
          <w:rFonts w:eastAsia="Calibri"/>
          <w:szCs w:val="24"/>
        </w:rPr>
        <w:t>5</w:t>
      </w:r>
      <w:r w:rsidRPr="00687DE8">
        <w:rPr>
          <w:rFonts w:eastAsia="Calibri"/>
          <w:szCs w:val="24"/>
        </w:rPr>
        <w:t>) Tervisekassa võtab koodi</w:t>
      </w:r>
      <w:r w:rsidR="00380745" w:rsidRPr="00687DE8">
        <w:rPr>
          <w:rFonts w:eastAsia="Calibri"/>
          <w:szCs w:val="24"/>
        </w:rPr>
        <w:t>de</w:t>
      </w:r>
      <w:r w:rsidRPr="00687DE8">
        <w:rPr>
          <w:rFonts w:eastAsia="Calibri"/>
          <w:szCs w:val="24"/>
        </w:rPr>
        <w:t xml:space="preserve">ga </w:t>
      </w:r>
      <w:r w:rsidR="00380745" w:rsidRPr="00687DE8">
        <w:rPr>
          <w:rFonts w:eastAsia="Calibri"/>
          <w:szCs w:val="24"/>
        </w:rPr>
        <w:t>3116</w:t>
      </w:r>
      <w:r w:rsidR="00E51D65" w:rsidRPr="00687DE8">
        <w:rPr>
          <w:rFonts w:eastAsia="Calibri"/>
          <w:szCs w:val="24"/>
        </w:rPr>
        <w:t xml:space="preserve"> ja </w:t>
      </w:r>
      <w:r w:rsidR="008144C2" w:rsidRPr="00687DE8">
        <w:rPr>
          <w:rFonts w:eastAsia="Calibri"/>
          <w:szCs w:val="24"/>
        </w:rPr>
        <w:t>3216</w:t>
      </w:r>
      <w:r w:rsidRPr="00687DE8">
        <w:rPr>
          <w:rFonts w:eastAsia="Calibri"/>
          <w:szCs w:val="24"/>
        </w:rPr>
        <w:t xml:space="preserve"> tähistatud tervishoiuteenus</w:t>
      </w:r>
      <w:r w:rsidR="005B476E" w:rsidRPr="00687DE8">
        <w:rPr>
          <w:rFonts w:eastAsia="Calibri"/>
          <w:szCs w:val="24"/>
        </w:rPr>
        <w:t>t</w:t>
      </w:r>
      <w:r w:rsidRPr="00687DE8">
        <w:rPr>
          <w:rFonts w:eastAsia="Calibri"/>
          <w:szCs w:val="24"/>
        </w:rPr>
        <w:t>e eest tasu maksmise kohustuse üle juhul</w:t>
      </w:r>
      <w:r w:rsidR="00AA5C64" w:rsidRPr="00687DE8">
        <w:rPr>
          <w:rFonts w:eastAsia="Calibri"/>
          <w:szCs w:val="24"/>
        </w:rPr>
        <w:t>,</w:t>
      </w:r>
      <w:r w:rsidRPr="00687DE8">
        <w:rPr>
          <w:rFonts w:eastAsia="Calibri"/>
          <w:szCs w:val="24"/>
        </w:rPr>
        <w:t xml:space="preserve"> kui </w:t>
      </w:r>
      <w:r w:rsidR="0049473E" w:rsidRPr="00687DE8">
        <w:rPr>
          <w:rFonts w:eastAsia="Calibri"/>
          <w:szCs w:val="24"/>
        </w:rPr>
        <w:t>teenus</w:t>
      </w:r>
      <w:r w:rsidR="00AC7245" w:rsidRPr="00687DE8">
        <w:rPr>
          <w:rFonts w:eastAsia="Calibri"/>
          <w:szCs w:val="24"/>
        </w:rPr>
        <w:t>t saama</w:t>
      </w:r>
      <w:r w:rsidR="0049473E" w:rsidRPr="00687DE8">
        <w:rPr>
          <w:rFonts w:eastAsia="Calibri"/>
          <w:szCs w:val="24"/>
        </w:rPr>
        <w:t xml:space="preserve"> suunab </w:t>
      </w:r>
      <w:r w:rsidR="009E4419" w:rsidRPr="00687DE8">
        <w:rPr>
          <w:rFonts w:eastAsia="Calibri"/>
          <w:szCs w:val="24"/>
        </w:rPr>
        <w:t>eriarst</w:t>
      </w:r>
      <w:r w:rsidR="0049473E" w:rsidRPr="00687DE8">
        <w:rPr>
          <w:rFonts w:eastAsia="Calibri"/>
          <w:szCs w:val="24"/>
        </w:rPr>
        <w:t xml:space="preserve"> või ämmaemand ning </w:t>
      </w:r>
      <w:r w:rsidRPr="00687DE8">
        <w:rPr>
          <w:rFonts w:eastAsia="Calibri"/>
          <w:szCs w:val="24"/>
        </w:rPr>
        <w:t xml:space="preserve">teenust osutab </w:t>
      </w:r>
      <w:r w:rsidR="005C3704" w:rsidRPr="00687DE8">
        <w:rPr>
          <w:rFonts w:eastAsia="Calibri"/>
          <w:szCs w:val="24"/>
        </w:rPr>
        <w:t xml:space="preserve">raseduskriisi </w:t>
      </w:r>
      <w:r w:rsidR="005C683F" w:rsidRPr="00687DE8">
        <w:rPr>
          <w:rFonts w:eastAsia="Calibri"/>
          <w:szCs w:val="24"/>
        </w:rPr>
        <w:t>nõusta</w:t>
      </w:r>
      <w:r w:rsidR="00DE2729" w:rsidRPr="00687DE8">
        <w:rPr>
          <w:rFonts w:eastAsia="Calibri"/>
          <w:szCs w:val="24"/>
        </w:rPr>
        <w:t>mise</w:t>
      </w:r>
      <w:r w:rsidR="00D25AC5" w:rsidRPr="00687DE8">
        <w:rPr>
          <w:rFonts w:eastAsia="Calibri"/>
          <w:szCs w:val="24"/>
        </w:rPr>
        <w:t xml:space="preserve"> </w:t>
      </w:r>
      <w:r w:rsidR="005C683F" w:rsidRPr="00687DE8">
        <w:rPr>
          <w:rFonts w:eastAsia="Calibri"/>
          <w:szCs w:val="24"/>
        </w:rPr>
        <w:t>täiend</w:t>
      </w:r>
      <w:r w:rsidR="00970B5F" w:rsidRPr="00687DE8">
        <w:rPr>
          <w:rFonts w:eastAsia="Calibri"/>
          <w:szCs w:val="24"/>
        </w:rPr>
        <w:t>koolitusega</w:t>
      </w:r>
      <w:r w:rsidRPr="00687DE8">
        <w:rPr>
          <w:rFonts w:eastAsia="Calibri"/>
          <w:szCs w:val="24"/>
        </w:rPr>
        <w:t xml:space="preserve"> ämmaemand või </w:t>
      </w:r>
      <w:r w:rsidR="00F938E0" w:rsidRPr="00687DE8">
        <w:rPr>
          <w:rFonts w:eastAsia="Calibri"/>
          <w:szCs w:val="24"/>
        </w:rPr>
        <w:t>raseduskriisi nõustamise kutse</w:t>
      </w:r>
      <w:r w:rsidR="00651C31" w:rsidRPr="00687DE8">
        <w:rPr>
          <w:rFonts w:eastAsia="Calibri"/>
          <w:szCs w:val="24"/>
        </w:rPr>
        <w:t>tunnistusega</w:t>
      </w:r>
      <w:r w:rsidR="009E4D40" w:rsidRPr="00687DE8">
        <w:rPr>
          <w:rFonts w:eastAsia="Calibri"/>
          <w:szCs w:val="24"/>
        </w:rPr>
        <w:t xml:space="preserve"> </w:t>
      </w:r>
      <w:r w:rsidR="005D1A84" w:rsidRPr="00687DE8">
        <w:rPr>
          <w:rFonts w:eastAsia="Calibri"/>
          <w:szCs w:val="24"/>
        </w:rPr>
        <w:t xml:space="preserve">muu </w:t>
      </w:r>
      <w:r w:rsidR="009E4D40" w:rsidRPr="00687DE8">
        <w:rPr>
          <w:rFonts w:eastAsia="Calibri"/>
          <w:szCs w:val="24"/>
        </w:rPr>
        <w:t>spetsialist</w:t>
      </w:r>
      <w:r w:rsidRPr="00687DE8" w:rsidDel="008A2272">
        <w:rPr>
          <w:rFonts w:eastAsia="Calibri"/>
          <w:szCs w:val="24"/>
        </w:rPr>
        <w:t xml:space="preserve"> </w:t>
      </w:r>
      <w:r w:rsidR="00725FC8" w:rsidRPr="00687DE8">
        <w:rPr>
          <w:rFonts w:eastAsia="Calibri"/>
          <w:szCs w:val="24"/>
        </w:rPr>
        <w:t xml:space="preserve">eriarsti või </w:t>
      </w:r>
      <w:r w:rsidR="005C3704" w:rsidRPr="00687DE8">
        <w:rPr>
          <w:rFonts w:eastAsia="Calibri"/>
          <w:szCs w:val="24"/>
        </w:rPr>
        <w:t xml:space="preserve">ämmaemanda </w:t>
      </w:r>
      <w:r w:rsidR="00970B5F" w:rsidRPr="00687DE8">
        <w:rPr>
          <w:rFonts w:eastAsia="Calibri"/>
          <w:szCs w:val="24"/>
        </w:rPr>
        <w:t>juhendamisel</w:t>
      </w:r>
      <w:r w:rsidR="005C3704" w:rsidRPr="00687DE8">
        <w:rPr>
          <w:rFonts w:eastAsia="Calibri"/>
          <w:szCs w:val="24"/>
        </w:rPr>
        <w:t xml:space="preserve"> </w:t>
      </w:r>
      <w:r w:rsidRPr="00687DE8">
        <w:rPr>
          <w:rFonts w:eastAsia="Calibri"/>
          <w:szCs w:val="24"/>
        </w:rPr>
        <w:t>raseduse planeerimise</w:t>
      </w:r>
      <w:r w:rsidR="007D4D23" w:rsidRPr="00687DE8">
        <w:rPr>
          <w:rFonts w:eastAsia="Calibri"/>
          <w:szCs w:val="24"/>
        </w:rPr>
        <w:t>,</w:t>
      </w:r>
      <w:r w:rsidR="00C875E2" w:rsidRPr="00687DE8">
        <w:rPr>
          <w:rFonts w:eastAsia="Calibri"/>
          <w:szCs w:val="24"/>
        </w:rPr>
        <w:t xml:space="preserve"> </w:t>
      </w:r>
      <w:r w:rsidRPr="00687DE8">
        <w:rPr>
          <w:rFonts w:eastAsia="Calibri"/>
          <w:szCs w:val="24"/>
        </w:rPr>
        <w:t>lapseootuse</w:t>
      </w:r>
      <w:r w:rsidR="00C875E2" w:rsidRPr="00687DE8">
        <w:rPr>
          <w:rFonts w:eastAsia="Calibri"/>
          <w:szCs w:val="24"/>
        </w:rPr>
        <w:t>,</w:t>
      </w:r>
      <w:r w:rsidR="00772BC6" w:rsidRPr="00687DE8">
        <w:rPr>
          <w:rFonts w:eastAsia="Calibri"/>
          <w:szCs w:val="24"/>
        </w:rPr>
        <w:t xml:space="preserve"> </w:t>
      </w:r>
      <w:r w:rsidR="00A712F2" w:rsidRPr="00687DE8">
        <w:rPr>
          <w:rFonts w:eastAsia="Calibri"/>
          <w:szCs w:val="24"/>
        </w:rPr>
        <w:t>abordi</w:t>
      </w:r>
      <w:r w:rsidR="00C875E2" w:rsidRPr="00687DE8">
        <w:rPr>
          <w:rFonts w:eastAsia="Calibri"/>
          <w:szCs w:val="24"/>
        </w:rPr>
        <w:t>-</w:t>
      </w:r>
      <w:r w:rsidR="0049473E" w:rsidRPr="00687DE8">
        <w:rPr>
          <w:rFonts w:eastAsia="Calibri"/>
          <w:szCs w:val="24"/>
        </w:rPr>
        <w:t xml:space="preserve"> </w:t>
      </w:r>
      <w:r w:rsidR="003C30D7" w:rsidRPr="00687DE8">
        <w:rPr>
          <w:rFonts w:eastAsia="Calibri"/>
          <w:szCs w:val="24"/>
        </w:rPr>
        <w:t>või</w:t>
      </w:r>
      <w:r w:rsidR="0049473E" w:rsidRPr="00687DE8">
        <w:rPr>
          <w:rFonts w:eastAsia="Calibri"/>
          <w:szCs w:val="24"/>
        </w:rPr>
        <w:t xml:space="preserve"> </w:t>
      </w:r>
      <w:r w:rsidRPr="00687DE8">
        <w:rPr>
          <w:rFonts w:eastAsia="Calibri"/>
          <w:szCs w:val="24"/>
        </w:rPr>
        <w:t>sünnitusjärgsel perioodil</w:t>
      </w:r>
      <w:r w:rsidR="0049473E" w:rsidRPr="00687DE8">
        <w:rPr>
          <w:rFonts w:eastAsia="Calibri"/>
          <w:szCs w:val="24"/>
        </w:rPr>
        <w:t xml:space="preserve">. </w:t>
      </w:r>
    </w:p>
    <w:p w14:paraId="2DB1C6D0" w14:textId="77777777" w:rsidR="005B476E" w:rsidRPr="00687DE8" w:rsidRDefault="005B476E" w:rsidP="002C2A0D">
      <w:pPr>
        <w:spacing w:after="0" w:line="240" w:lineRule="auto"/>
        <w:jc w:val="both"/>
        <w:rPr>
          <w:rFonts w:eastAsia="Calibri"/>
          <w:szCs w:val="24"/>
        </w:rPr>
      </w:pPr>
    </w:p>
    <w:p w14:paraId="5E0AD341" w14:textId="1FD83F9B" w:rsidR="7EA1C153" w:rsidRPr="00687DE8" w:rsidRDefault="19C6B87B" w:rsidP="002C2A0D">
      <w:pPr>
        <w:spacing w:after="0" w:line="240" w:lineRule="auto"/>
        <w:jc w:val="both"/>
        <w:rPr>
          <w:rFonts w:eastAsia="Calibri"/>
        </w:rPr>
      </w:pPr>
      <w:r w:rsidRPr="45879B35">
        <w:rPr>
          <w:rFonts w:eastAsia="Calibri"/>
        </w:rPr>
        <w:t>(</w:t>
      </w:r>
      <w:r w:rsidR="00600ACC" w:rsidRPr="45879B35">
        <w:rPr>
          <w:rFonts w:eastAsia="Calibri"/>
        </w:rPr>
        <w:t>2</w:t>
      </w:r>
      <w:r w:rsidR="00785EEC">
        <w:rPr>
          <w:rFonts w:eastAsia="Calibri"/>
        </w:rPr>
        <w:t>6</w:t>
      </w:r>
      <w:r w:rsidRPr="45879B35">
        <w:rPr>
          <w:rFonts w:eastAsia="Calibri"/>
        </w:rPr>
        <w:t>)</w:t>
      </w:r>
      <w:r w:rsidR="0FD0BA5B" w:rsidRPr="45879B35">
        <w:rPr>
          <w:rFonts w:eastAsia="Calibri"/>
        </w:rPr>
        <w:t xml:space="preserve"> Tervisekassa võtab koodidega </w:t>
      </w:r>
      <w:r w:rsidR="008144C2" w:rsidRPr="45879B35">
        <w:rPr>
          <w:rFonts w:eastAsia="Calibri"/>
        </w:rPr>
        <w:t>3116</w:t>
      </w:r>
      <w:r w:rsidR="0FD0BA5B" w:rsidRPr="45879B35">
        <w:rPr>
          <w:rFonts w:eastAsia="Calibri"/>
        </w:rPr>
        <w:t xml:space="preserve"> ja </w:t>
      </w:r>
      <w:r w:rsidR="008144C2" w:rsidRPr="45879B35">
        <w:rPr>
          <w:rFonts w:eastAsia="Calibri"/>
        </w:rPr>
        <w:t>3216</w:t>
      </w:r>
      <w:r w:rsidR="0FD0BA5B" w:rsidRPr="45879B35">
        <w:rPr>
          <w:rFonts w:eastAsia="Calibri"/>
        </w:rPr>
        <w:t xml:space="preserve"> tähistatud</w:t>
      </w:r>
      <w:r w:rsidR="24A21A14" w:rsidRPr="45879B35">
        <w:rPr>
          <w:rFonts w:eastAsia="Calibri"/>
        </w:rPr>
        <w:t xml:space="preserve"> </w:t>
      </w:r>
      <w:r w:rsidR="008144C2" w:rsidRPr="45879B35">
        <w:rPr>
          <w:rFonts w:eastAsia="Calibri"/>
        </w:rPr>
        <w:t>tervishoiu</w:t>
      </w:r>
      <w:r w:rsidR="0FD0BA5B" w:rsidRPr="45879B35">
        <w:rPr>
          <w:rFonts w:eastAsia="Calibri"/>
        </w:rPr>
        <w:t>teenuste eest tasu maksmise kohustuse üle</w:t>
      </w:r>
      <w:r w:rsidRPr="45879B35">
        <w:rPr>
          <w:rFonts w:eastAsia="Calibri"/>
        </w:rPr>
        <w:t xml:space="preserve"> kuni </w:t>
      </w:r>
      <w:r w:rsidR="00553421" w:rsidRPr="45879B35">
        <w:rPr>
          <w:rFonts w:eastAsia="Calibri"/>
        </w:rPr>
        <w:t>31</w:t>
      </w:r>
      <w:r w:rsidR="00135D55" w:rsidRPr="45879B35">
        <w:rPr>
          <w:rFonts w:eastAsia="Calibri"/>
        </w:rPr>
        <w:t>.</w:t>
      </w:r>
      <w:r w:rsidR="1B2166B7" w:rsidRPr="45879B35">
        <w:rPr>
          <w:rFonts w:eastAsia="Calibri"/>
        </w:rPr>
        <w:t xml:space="preserve"> detsembrini 2026. a. </w:t>
      </w:r>
    </w:p>
    <w:p w14:paraId="40E6148F" w14:textId="77777777" w:rsidR="005B476E" w:rsidRPr="00687DE8" w:rsidRDefault="005B476E" w:rsidP="002C2A0D">
      <w:pPr>
        <w:spacing w:after="0" w:line="240" w:lineRule="auto"/>
        <w:jc w:val="both"/>
        <w:rPr>
          <w:color w:val="202020"/>
          <w:szCs w:val="24"/>
        </w:rPr>
      </w:pPr>
    </w:p>
    <w:p w14:paraId="671F6BD4" w14:textId="6B4C9F6E" w:rsidR="00683969" w:rsidRPr="00687DE8" w:rsidRDefault="732B6EA2" w:rsidP="00D54F47">
      <w:pPr>
        <w:spacing w:after="0" w:line="240" w:lineRule="auto"/>
        <w:jc w:val="both"/>
        <w:rPr>
          <w:rFonts w:eastAsia="Calibri"/>
          <w:color w:val="202020"/>
        </w:rPr>
      </w:pPr>
      <w:r w:rsidRPr="1095163D">
        <w:rPr>
          <w:rFonts w:eastAsia="Calibri"/>
          <w:color w:val="202020"/>
        </w:rPr>
        <w:t>(</w:t>
      </w:r>
      <w:r w:rsidR="002A2DFD">
        <w:rPr>
          <w:rFonts w:eastAsia="Calibri"/>
          <w:color w:val="202020"/>
        </w:rPr>
        <w:t>2</w:t>
      </w:r>
      <w:r w:rsidR="000A6B7C">
        <w:rPr>
          <w:rFonts w:eastAsia="Calibri"/>
          <w:color w:val="202020"/>
        </w:rPr>
        <w:t>7</w:t>
      </w:r>
      <w:r w:rsidRPr="1095163D">
        <w:rPr>
          <w:rFonts w:eastAsia="Calibri"/>
          <w:color w:val="202020"/>
        </w:rPr>
        <w:t xml:space="preserve">) </w:t>
      </w:r>
      <w:r w:rsidR="00683969" w:rsidRPr="1095163D">
        <w:rPr>
          <w:rFonts w:eastAsia="Calibri"/>
          <w:color w:val="202020"/>
        </w:rPr>
        <w:t>Koodiga</w:t>
      </w:r>
      <w:r w:rsidRPr="1095163D">
        <w:rPr>
          <w:rFonts w:eastAsia="Calibri"/>
          <w:color w:val="202020"/>
        </w:rPr>
        <w:t xml:space="preserve"> </w:t>
      </w:r>
      <w:r w:rsidR="00843A1A" w:rsidRPr="1095163D">
        <w:rPr>
          <w:rFonts w:eastAsia="Calibri"/>
          <w:color w:val="202020"/>
        </w:rPr>
        <w:t xml:space="preserve">2330K </w:t>
      </w:r>
      <w:r w:rsidR="00F11EED" w:rsidRPr="1095163D">
        <w:rPr>
          <w:rFonts w:eastAsia="Calibri"/>
          <w:color w:val="202020"/>
        </w:rPr>
        <w:t>tähistatud tervishoiuteenuse piirhinda rakendatakse mobiilse hambarav</w:t>
      </w:r>
      <w:r w:rsidR="009D03AD" w:rsidRPr="1095163D">
        <w:rPr>
          <w:rFonts w:eastAsia="Calibri"/>
          <w:color w:val="202020"/>
        </w:rPr>
        <w:t>i</w:t>
      </w:r>
      <w:r w:rsidR="00DC2C48" w:rsidRPr="1095163D">
        <w:rPr>
          <w:rFonts w:eastAsia="Calibri"/>
          <w:color w:val="202020"/>
        </w:rPr>
        <w:t>teenuse</w:t>
      </w:r>
      <w:r w:rsidR="009D03AD" w:rsidRPr="1095163D">
        <w:rPr>
          <w:rFonts w:eastAsia="Calibri"/>
          <w:color w:val="202020"/>
        </w:rPr>
        <w:t xml:space="preserve"> </w:t>
      </w:r>
      <w:r w:rsidR="00F11EED" w:rsidRPr="1095163D">
        <w:rPr>
          <w:rFonts w:eastAsia="Calibri"/>
          <w:color w:val="202020"/>
        </w:rPr>
        <w:t>tagamiseks</w:t>
      </w:r>
      <w:r w:rsidR="007C30A4" w:rsidRPr="1095163D">
        <w:rPr>
          <w:rFonts w:eastAsia="Calibri"/>
          <w:color w:val="202020"/>
        </w:rPr>
        <w:t xml:space="preserve"> </w:t>
      </w:r>
      <w:r w:rsidR="002909A0" w:rsidRPr="1095163D">
        <w:rPr>
          <w:rFonts w:eastAsia="Calibri"/>
          <w:color w:val="202020"/>
        </w:rPr>
        <w:t>väljaspool teenuseo</w:t>
      </w:r>
      <w:r w:rsidR="00544BE5" w:rsidRPr="1095163D">
        <w:rPr>
          <w:rFonts w:eastAsia="Calibri"/>
          <w:color w:val="202020"/>
        </w:rPr>
        <w:t xml:space="preserve">sutaja põhitegevuskoha maakonda </w:t>
      </w:r>
      <w:r w:rsidR="00F11EED" w:rsidRPr="1095163D">
        <w:rPr>
          <w:rFonts w:eastAsia="Calibri"/>
          <w:color w:val="202020"/>
        </w:rPr>
        <w:t>ravi rahastamise lepingus kokku</w:t>
      </w:r>
      <w:r w:rsidR="00C56FE6" w:rsidRPr="1095163D">
        <w:rPr>
          <w:rFonts w:eastAsia="Calibri"/>
          <w:color w:val="202020"/>
        </w:rPr>
        <w:t xml:space="preserve"> </w:t>
      </w:r>
      <w:r w:rsidR="00F11EED" w:rsidRPr="1095163D">
        <w:rPr>
          <w:rFonts w:eastAsia="Calibri"/>
          <w:color w:val="202020"/>
        </w:rPr>
        <w:t>lepitud tingimustel.</w:t>
      </w:r>
    </w:p>
    <w:p w14:paraId="1A09F5A1" w14:textId="77777777" w:rsidR="00347D80" w:rsidRPr="00687DE8" w:rsidRDefault="00347D80" w:rsidP="00D54F47">
      <w:pPr>
        <w:spacing w:after="0" w:line="240" w:lineRule="auto"/>
        <w:jc w:val="both"/>
        <w:rPr>
          <w:rFonts w:eastAsia="Calibri"/>
          <w:color w:val="202020"/>
          <w:szCs w:val="24"/>
        </w:rPr>
      </w:pPr>
    </w:p>
    <w:p w14:paraId="08F42EC1" w14:textId="3FE673D3" w:rsidR="00CE10FB" w:rsidRPr="00687DE8" w:rsidRDefault="00683969" w:rsidP="00D54F47">
      <w:pPr>
        <w:spacing w:after="0" w:line="240" w:lineRule="auto"/>
        <w:jc w:val="both"/>
        <w:rPr>
          <w:rFonts w:eastAsia="Calibri"/>
          <w:color w:val="202020"/>
        </w:rPr>
      </w:pPr>
      <w:r w:rsidRPr="1095163D">
        <w:rPr>
          <w:rFonts w:eastAsia="Calibri"/>
          <w:color w:val="202020"/>
        </w:rPr>
        <w:t>(</w:t>
      </w:r>
      <w:r w:rsidR="00785EEC">
        <w:rPr>
          <w:rFonts w:eastAsia="Calibri"/>
          <w:color w:val="202020"/>
        </w:rPr>
        <w:t>2</w:t>
      </w:r>
      <w:r w:rsidR="000A6B7C">
        <w:rPr>
          <w:rFonts w:eastAsia="Calibri"/>
          <w:color w:val="202020"/>
        </w:rPr>
        <w:t>8</w:t>
      </w:r>
      <w:r w:rsidRPr="1095163D">
        <w:rPr>
          <w:rFonts w:eastAsia="Calibri"/>
          <w:color w:val="202020"/>
        </w:rPr>
        <w:t xml:space="preserve">) </w:t>
      </w:r>
      <w:r w:rsidR="002B6DB7" w:rsidRPr="1095163D">
        <w:rPr>
          <w:rFonts w:eastAsia="Calibri"/>
          <w:color w:val="202020"/>
        </w:rPr>
        <w:t>Koodidega</w:t>
      </w:r>
      <w:r w:rsidR="002909A0" w:rsidRPr="1095163D">
        <w:rPr>
          <w:rFonts w:eastAsia="Calibri"/>
          <w:color w:val="202020"/>
        </w:rPr>
        <w:t xml:space="preserve"> 52470 ja 52471 </w:t>
      </w:r>
      <w:r w:rsidR="002B6DB7" w:rsidRPr="1095163D">
        <w:rPr>
          <w:rFonts w:eastAsia="Calibri"/>
          <w:color w:val="202020"/>
        </w:rPr>
        <w:t xml:space="preserve">tähistatud </w:t>
      </w:r>
      <w:r w:rsidR="006844BB" w:rsidRPr="1095163D">
        <w:rPr>
          <w:rFonts w:eastAsia="Calibri"/>
          <w:color w:val="202020"/>
        </w:rPr>
        <w:t>tervishoiu</w:t>
      </w:r>
      <w:r w:rsidR="002B6DB7" w:rsidRPr="1095163D">
        <w:rPr>
          <w:rFonts w:eastAsia="Calibri"/>
          <w:color w:val="202020"/>
        </w:rPr>
        <w:t xml:space="preserve">teenuseid </w:t>
      </w:r>
      <w:r w:rsidR="005D7DA9" w:rsidRPr="1095163D">
        <w:rPr>
          <w:rFonts w:eastAsia="Calibri"/>
          <w:color w:val="202020"/>
        </w:rPr>
        <w:t xml:space="preserve">osutatakse </w:t>
      </w:r>
      <w:r w:rsidRPr="1095163D">
        <w:rPr>
          <w:rFonts w:eastAsia="Calibri"/>
          <w:color w:val="202020"/>
        </w:rPr>
        <w:t>mobiilses hambaravikabinetis</w:t>
      </w:r>
      <w:r w:rsidR="00B92DAC" w:rsidRPr="1095163D">
        <w:rPr>
          <w:rFonts w:eastAsia="Calibri"/>
          <w:color w:val="202020"/>
        </w:rPr>
        <w:t>,</w:t>
      </w:r>
      <w:r w:rsidR="00F7267C" w:rsidRPr="1095163D">
        <w:rPr>
          <w:rFonts w:eastAsia="Calibri"/>
          <w:color w:val="202020"/>
        </w:rPr>
        <w:t xml:space="preserve"> </w:t>
      </w:r>
      <w:r w:rsidR="00C3282C" w:rsidRPr="1095163D">
        <w:rPr>
          <w:rFonts w:eastAsia="Calibri"/>
          <w:color w:val="202020"/>
        </w:rPr>
        <w:t>sõltumata teenuse osutamise kohast</w:t>
      </w:r>
      <w:r w:rsidR="00B92DAC" w:rsidRPr="1095163D">
        <w:rPr>
          <w:rFonts w:eastAsia="Calibri"/>
          <w:color w:val="202020"/>
        </w:rPr>
        <w:t>,</w:t>
      </w:r>
      <w:r w:rsidR="00452596">
        <w:rPr>
          <w:rFonts w:eastAsia="Calibri"/>
          <w:color w:val="202020"/>
        </w:rPr>
        <w:t xml:space="preserve"> või </w:t>
      </w:r>
      <w:r w:rsidR="00534E48">
        <w:rPr>
          <w:rFonts w:eastAsia="Calibri"/>
          <w:color w:val="202020"/>
        </w:rPr>
        <w:t>Tervisekassa juhatuse otsuse</w:t>
      </w:r>
      <w:r w:rsidR="00C93AC3">
        <w:rPr>
          <w:rFonts w:eastAsia="Calibri"/>
          <w:color w:val="202020"/>
        </w:rPr>
        <w:t>ga</w:t>
      </w:r>
      <w:r w:rsidR="00184873">
        <w:rPr>
          <w:rFonts w:eastAsia="Calibri"/>
          <w:color w:val="202020"/>
        </w:rPr>
        <w:t xml:space="preserve"> kinnitatud </w:t>
      </w:r>
      <w:r w:rsidR="00D67616">
        <w:rPr>
          <w:rFonts w:eastAsia="Calibri"/>
          <w:color w:val="202020"/>
        </w:rPr>
        <w:t>projekti</w:t>
      </w:r>
      <w:r w:rsidR="00C93AC3">
        <w:rPr>
          <w:rFonts w:eastAsia="Calibri"/>
          <w:color w:val="202020"/>
        </w:rPr>
        <w:t>s osaleva</w:t>
      </w:r>
      <w:r w:rsidR="00B57D6D">
        <w:rPr>
          <w:rFonts w:eastAsia="Calibri"/>
          <w:color w:val="202020"/>
        </w:rPr>
        <w:t xml:space="preserve"> </w:t>
      </w:r>
      <w:r w:rsidR="00D67616">
        <w:rPr>
          <w:rFonts w:eastAsia="Calibri"/>
          <w:color w:val="202020"/>
        </w:rPr>
        <w:t>partneri tegevuskohas</w:t>
      </w:r>
      <w:r w:rsidR="00F7267C" w:rsidRPr="1095163D">
        <w:rPr>
          <w:rFonts w:eastAsia="Calibri"/>
          <w:color w:val="202020"/>
        </w:rPr>
        <w:t xml:space="preserve"> </w:t>
      </w:r>
      <w:r w:rsidR="005D7DA9" w:rsidRPr="1095163D">
        <w:rPr>
          <w:rFonts w:eastAsia="Calibri"/>
          <w:color w:val="202020"/>
        </w:rPr>
        <w:t>j</w:t>
      </w:r>
      <w:r w:rsidRPr="1095163D">
        <w:rPr>
          <w:rFonts w:eastAsia="Calibri"/>
          <w:color w:val="202020"/>
        </w:rPr>
        <w:t xml:space="preserve">a </w:t>
      </w:r>
      <w:r w:rsidR="00A12DF0" w:rsidRPr="1095163D">
        <w:rPr>
          <w:rFonts w:eastAsia="Calibri"/>
          <w:color w:val="202020"/>
        </w:rPr>
        <w:t>nendega</w:t>
      </w:r>
      <w:r w:rsidRPr="1095163D">
        <w:rPr>
          <w:rFonts w:eastAsia="Calibri"/>
          <w:color w:val="202020"/>
        </w:rPr>
        <w:t xml:space="preserve"> koos ei </w:t>
      </w:r>
      <w:r w:rsidR="00544BE5" w:rsidRPr="1095163D">
        <w:rPr>
          <w:rFonts w:eastAsia="Calibri"/>
          <w:color w:val="202020"/>
        </w:rPr>
        <w:t>rakendata</w:t>
      </w:r>
      <w:r w:rsidRPr="1095163D">
        <w:rPr>
          <w:rFonts w:eastAsia="Calibri"/>
          <w:color w:val="202020"/>
        </w:rPr>
        <w:t xml:space="preserve"> teisi </w:t>
      </w:r>
      <w:r w:rsidR="005E48AB" w:rsidRPr="1095163D">
        <w:rPr>
          <w:rFonts w:eastAsia="Calibri"/>
          <w:color w:val="202020"/>
        </w:rPr>
        <w:t>tervishoiuteenus</w:t>
      </w:r>
      <w:r w:rsidR="000463CF" w:rsidRPr="1095163D">
        <w:rPr>
          <w:rFonts w:eastAsia="Calibri"/>
          <w:color w:val="202020"/>
        </w:rPr>
        <w:t>t</w:t>
      </w:r>
      <w:r w:rsidR="005E48AB" w:rsidRPr="1095163D">
        <w:rPr>
          <w:rFonts w:eastAsia="Calibri"/>
          <w:color w:val="202020"/>
        </w:rPr>
        <w:t xml:space="preserve">e loetelus </w:t>
      </w:r>
      <w:r w:rsidR="00B83FBC" w:rsidRPr="1095163D">
        <w:rPr>
          <w:rFonts w:eastAsia="Calibri"/>
          <w:color w:val="202020"/>
        </w:rPr>
        <w:t>nimetatud</w:t>
      </w:r>
      <w:r w:rsidRPr="1095163D">
        <w:rPr>
          <w:rFonts w:eastAsia="Calibri"/>
          <w:color w:val="202020"/>
        </w:rPr>
        <w:t xml:space="preserve"> </w:t>
      </w:r>
      <w:r w:rsidR="0049487E" w:rsidRPr="1095163D">
        <w:rPr>
          <w:rFonts w:eastAsia="Calibri"/>
          <w:color w:val="202020"/>
        </w:rPr>
        <w:t>tervishoiuteenuseid</w:t>
      </w:r>
      <w:r w:rsidR="00544BE5" w:rsidRPr="1095163D">
        <w:rPr>
          <w:rFonts w:eastAsia="Calibri"/>
          <w:color w:val="202020"/>
        </w:rPr>
        <w:t>.</w:t>
      </w:r>
      <w:r w:rsidR="005D7DA9" w:rsidRPr="1095163D">
        <w:rPr>
          <w:rFonts w:eastAsia="Calibri"/>
          <w:color w:val="202020"/>
        </w:rPr>
        <w:t xml:space="preserve"> </w:t>
      </w:r>
    </w:p>
    <w:p w14:paraId="395B3CD9" w14:textId="77777777" w:rsidR="00347D80" w:rsidRPr="00687DE8" w:rsidRDefault="00347D80" w:rsidP="00347D80">
      <w:pPr>
        <w:spacing w:after="0" w:line="240" w:lineRule="auto"/>
        <w:jc w:val="both"/>
        <w:rPr>
          <w:rFonts w:eastAsia="Calibri"/>
          <w:color w:val="202020"/>
          <w:szCs w:val="24"/>
        </w:rPr>
      </w:pPr>
    </w:p>
    <w:p w14:paraId="4BDD8077" w14:textId="41432906" w:rsidR="00D7211C" w:rsidRPr="00687DE8" w:rsidRDefault="00D7211C" w:rsidP="00D54F47">
      <w:pPr>
        <w:spacing w:after="0" w:line="240" w:lineRule="auto"/>
        <w:jc w:val="both"/>
        <w:rPr>
          <w:rFonts w:eastAsia="Calibri"/>
          <w:color w:val="202020"/>
        </w:rPr>
      </w:pPr>
      <w:r w:rsidRPr="1095163D">
        <w:rPr>
          <w:rFonts w:eastAsia="Calibri"/>
          <w:color w:val="202020"/>
        </w:rPr>
        <w:t>(</w:t>
      </w:r>
      <w:r w:rsidR="000A6B7C">
        <w:rPr>
          <w:rFonts w:eastAsia="Calibri"/>
          <w:color w:val="202020"/>
        </w:rPr>
        <w:t>29</w:t>
      </w:r>
      <w:r w:rsidRPr="1095163D">
        <w:rPr>
          <w:rFonts w:eastAsia="Calibri"/>
          <w:color w:val="202020"/>
        </w:rPr>
        <w:t xml:space="preserve">) Koodidega 52470 ja 52471 tähistatud tervishoiuteenused sisaldavad järgmisi tegevusi: </w:t>
      </w:r>
    </w:p>
    <w:p w14:paraId="0483E196" w14:textId="78AFF87B" w:rsidR="00CE10FB" w:rsidRPr="00687DE8" w:rsidRDefault="00347D80" w:rsidP="00D54F47">
      <w:pPr>
        <w:spacing w:after="0" w:line="240" w:lineRule="auto"/>
        <w:jc w:val="both"/>
        <w:rPr>
          <w:rFonts w:eastAsia="Calibri"/>
          <w:color w:val="202020"/>
          <w:szCs w:val="24"/>
        </w:rPr>
      </w:pPr>
      <w:r w:rsidRPr="00687DE8">
        <w:rPr>
          <w:rFonts w:eastAsia="Calibri"/>
          <w:color w:val="202020"/>
          <w:szCs w:val="24"/>
        </w:rPr>
        <w:t xml:space="preserve">1) </w:t>
      </w:r>
      <w:r w:rsidR="00671961" w:rsidRPr="00687DE8">
        <w:rPr>
          <w:rFonts w:eastAsia="Calibri"/>
          <w:color w:val="202020"/>
          <w:szCs w:val="24"/>
        </w:rPr>
        <w:t>hammaskonna professionaalne puhastus</w:t>
      </w:r>
      <w:r w:rsidR="005A08A2" w:rsidRPr="00687DE8">
        <w:rPr>
          <w:rFonts w:eastAsia="Calibri"/>
          <w:color w:val="202020"/>
          <w:szCs w:val="24"/>
        </w:rPr>
        <w:t>,</w:t>
      </w:r>
      <w:r w:rsidR="00671961" w:rsidRPr="00687DE8">
        <w:rPr>
          <w:rFonts w:eastAsia="Calibri"/>
          <w:color w:val="202020"/>
          <w:szCs w:val="24"/>
        </w:rPr>
        <w:t xml:space="preserve"> </w:t>
      </w:r>
      <w:r w:rsidR="00FF4A92" w:rsidRPr="00687DE8">
        <w:rPr>
          <w:rFonts w:eastAsia="Calibri"/>
          <w:color w:val="202020"/>
          <w:szCs w:val="24"/>
        </w:rPr>
        <w:t>s</w:t>
      </w:r>
      <w:r w:rsidR="00DC2C48" w:rsidRPr="00687DE8">
        <w:rPr>
          <w:rFonts w:eastAsia="Calibri"/>
          <w:color w:val="202020"/>
          <w:szCs w:val="24"/>
        </w:rPr>
        <w:t>ealhulgas</w:t>
      </w:r>
      <w:r w:rsidR="00FF4A92" w:rsidRPr="00687DE8">
        <w:rPr>
          <w:rFonts w:eastAsia="Calibri"/>
          <w:color w:val="202020"/>
          <w:szCs w:val="24"/>
        </w:rPr>
        <w:t xml:space="preserve"> </w:t>
      </w:r>
      <w:r w:rsidR="00671961" w:rsidRPr="00687DE8">
        <w:rPr>
          <w:rFonts w:eastAsia="Calibri"/>
          <w:color w:val="202020"/>
          <w:szCs w:val="24"/>
        </w:rPr>
        <w:t>igemepealsete ladestuste eemaldamine</w:t>
      </w:r>
      <w:r w:rsidR="00CE10FB" w:rsidRPr="00687DE8">
        <w:rPr>
          <w:rFonts w:eastAsia="Calibri"/>
          <w:color w:val="202020"/>
          <w:szCs w:val="24"/>
        </w:rPr>
        <w:t>;</w:t>
      </w:r>
    </w:p>
    <w:p w14:paraId="0F111F9A" w14:textId="57AA2452" w:rsidR="00CE10FB" w:rsidRPr="00687DE8" w:rsidRDefault="00347D80" w:rsidP="00D54F47">
      <w:pPr>
        <w:spacing w:after="0" w:line="240" w:lineRule="auto"/>
        <w:jc w:val="both"/>
        <w:rPr>
          <w:rFonts w:eastAsia="Calibri"/>
          <w:color w:val="202020"/>
          <w:szCs w:val="24"/>
        </w:rPr>
      </w:pPr>
      <w:r w:rsidRPr="00687DE8">
        <w:rPr>
          <w:rFonts w:eastAsia="Calibri"/>
          <w:color w:val="202020"/>
          <w:szCs w:val="24"/>
        </w:rPr>
        <w:t xml:space="preserve">2) </w:t>
      </w:r>
      <w:r w:rsidR="00631D76" w:rsidRPr="00687DE8">
        <w:rPr>
          <w:rFonts w:eastAsia="Calibri"/>
          <w:color w:val="202020"/>
          <w:szCs w:val="24"/>
        </w:rPr>
        <w:t xml:space="preserve">jäävhammastele </w:t>
      </w:r>
      <w:r w:rsidR="00631D76" w:rsidRPr="00687DE8">
        <w:rPr>
          <w:rFonts w:eastAsia="Calibri"/>
          <w:szCs w:val="24"/>
        </w:rPr>
        <w:t>fluoriidlaki</w:t>
      </w:r>
      <w:r w:rsidR="00AF148C" w:rsidRPr="00687DE8">
        <w:rPr>
          <w:rFonts w:eastAsia="Calibri"/>
          <w:szCs w:val="24"/>
        </w:rPr>
        <w:t xml:space="preserve"> aplitseerimine</w:t>
      </w:r>
      <w:r w:rsidR="00CE10FB" w:rsidRPr="00687DE8">
        <w:rPr>
          <w:rFonts w:eastAsia="Calibri"/>
          <w:color w:val="202020"/>
          <w:szCs w:val="24"/>
        </w:rPr>
        <w:t>;</w:t>
      </w:r>
    </w:p>
    <w:p w14:paraId="4F636FE1" w14:textId="41F51B4E" w:rsidR="00CE10FB" w:rsidRPr="00687DE8" w:rsidRDefault="00347D80" w:rsidP="00D54F47">
      <w:pPr>
        <w:spacing w:after="0" w:line="240" w:lineRule="auto"/>
        <w:jc w:val="both"/>
        <w:rPr>
          <w:rFonts w:eastAsia="Calibri"/>
          <w:color w:val="202020"/>
          <w:szCs w:val="24"/>
        </w:rPr>
      </w:pPr>
      <w:r w:rsidRPr="00687DE8">
        <w:rPr>
          <w:rFonts w:eastAsia="Calibri"/>
          <w:color w:val="202020"/>
          <w:szCs w:val="24"/>
        </w:rPr>
        <w:t xml:space="preserve">3) </w:t>
      </w:r>
      <w:r w:rsidR="00671961" w:rsidRPr="00687DE8">
        <w:rPr>
          <w:rFonts w:eastAsia="Calibri"/>
          <w:color w:val="202020"/>
          <w:szCs w:val="24"/>
        </w:rPr>
        <w:t>patsiendi suuhügieeni- ja toitumisharjumus</w:t>
      </w:r>
      <w:r w:rsidR="0017356F" w:rsidRPr="00687DE8">
        <w:rPr>
          <w:rFonts w:eastAsia="Calibri"/>
          <w:color w:val="202020"/>
          <w:szCs w:val="24"/>
        </w:rPr>
        <w:t>te dokumenteerimine</w:t>
      </w:r>
      <w:r w:rsidR="00CE10FB" w:rsidRPr="00687DE8">
        <w:rPr>
          <w:rFonts w:eastAsia="Calibri"/>
          <w:color w:val="202020"/>
          <w:szCs w:val="24"/>
        </w:rPr>
        <w:t>;</w:t>
      </w:r>
    </w:p>
    <w:p w14:paraId="68D6242F" w14:textId="799FC0FA" w:rsidR="00CE10FB" w:rsidRPr="00687DE8" w:rsidRDefault="00347D80" w:rsidP="00D54F47">
      <w:pPr>
        <w:spacing w:after="0" w:line="240" w:lineRule="auto"/>
        <w:jc w:val="both"/>
        <w:rPr>
          <w:rFonts w:eastAsia="Calibri"/>
          <w:color w:val="202020"/>
          <w:szCs w:val="24"/>
        </w:rPr>
      </w:pPr>
      <w:r w:rsidRPr="00687DE8">
        <w:rPr>
          <w:rFonts w:eastAsia="Calibri"/>
          <w:color w:val="202020"/>
          <w:szCs w:val="24"/>
        </w:rPr>
        <w:t xml:space="preserve">4) </w:t>
      </w:r>
      <w:r w:rsidR="00FF4A92" w:rsidRPr="00687DE8">
        <w:rPr>
          <w:rFonts w:eastAsia="Calibri"/>
          <w:color w:val="202020"/>
          <w:szCs w:val="24"/>
        </w:rPr>
        <w:t>individuaal</w:t>
      </w:r>
      <w:r w:rsidR="0017356F" w:rsidRPr="00687DE8">
        <w:rPr>
          <w:rFonts w:eastAsia="Calibri"/>
          <w:color w:val="202020"/>
          <w:szCs w:val="24"/>
        </w:rPr>
        <w:t>s</w:t>
      </w:r>
      <w:r w:rsidR="00FF4A92" w:rsidRPr="00687DE8">
        <w:rPr>
          <w:rFonts w:eastAsia="Calibri"/>
          <w:color w:val="202020"/>
          <w:szCs w:val="24"/>
        </w:rPr>
        <w:t xml:space="preserve">e </w:t>
      </w:r>
      <w:r w:rsidR="00FF4A92" w:rsidRPr="00687DE8">
        <w:rPr>
          <w:rFonts w:eastAsia="Calibri"/>
          <w:szCs w:val="24"/>
        </w:rPr>
        <w:t>hügieeni</w:t>
      </w:r>
      <w:r w:rsidR="00DE3B05" w:rsidRPr="00687DE8">
        <w:rPr>
          <w:rFonts w:eastAsia="Calibri"/>
          <w:szCs w:val="24"/>
        </w:rPr>
        <w:t xml:space="preserve"> õpetamine;</w:t>
      </w:r>
    </w:p>
    <w:p w14:paraId="5926917D" w14:textId="5D8FF2A4" w:rsidR="00DF6501" w:rsidRPr="00687DE8" w:rsidRDefault="00347D80" w:rsidP="00D54F47">
      <w:pPr>
        <w:spacing w:after="0" w:line="240" w:lineRule="auto"/>
        <w:jc w:val="both"/>
        <w:rPr>
          <w:rFonts w:eastAsia="Calibri"/>
          <w:color w:val="202020"/>
          <w:szCs w:val="24"/>
        </w:rPr>
      </w:pPr>
      <w:r w:rsidRPr="00687DE8">
        <w:rPr>
          <w:rFonts w:eastAsia="Calibri"/>
          <w:color w:val="202020"/>
          <w:szCs w:val="24"/>
        </w:rPr>
        <w:t xml:space="preserve">5) </w:t>
      </w:r>
      <w:r w:rsidR="00CE10FB" w:rsidRPr="00687DE8">
        <w:rPr>
          <w:rFonts w:eastAsia="Calibri"/>
          <w:color w:val="202020"/>
          <w:szCs w:val="24"/>
        </w:rPr>
        <w:t>m</w:t>
      </w:r>
      <w:r w:rsidR="00671961" w:rsidRPr="00687DE8">
        <w:rPr>
          <w:rFonts w:eastAsia="Calibri"/>
          <w:szCs w:val="24"/>
        </w:rPr>
        <w:t>otiveeriva</w:t>
      </w:r>
      <w:r w:rsidR="00671961" w:rsidRPr="00687DE8">
        <w:rPr>
          <w:rFonts w:eastAsia="Calibri"/>
          <w:color w:val="202020"/>
          <w:szCs w:val="24"/>
        </w:rPr>
        <w:t xml:space="preserve"> nõustamise käigus soovitus</w:t>
      </w:r>
      <w:r w:rsidR="0017356F" w:rsidRPr="00687DE8">
        <w:rPr>
          <w:rFonts w:eastAsia="Calibri"/>
          <w:color w:val="202020"/>
          <w:szCs w:val="24"/>
        </w:rPr>
        <w:t>te andmine</w:t>
      </w:r>
      <w:r w:rsidR="00671961" w:rsidRPr="00687DE8">
        <w:rPr>
          <w:rFonts w:eastAsia="Calibri"/>
          <w:color w:val="202020"/>
          <w:szCs w:val="24"/>
        </w:rPr>
        <w:t xml:space="preserve"> koduseks ennetavaks raviks</w:t>
      </w:r>
      <w:r w:rsidR="005A08A2" w:rsidRPr="00687DE8">
        <w:rPr>
          <w:rFonts w:eastAsia="Calibri"/>
          <w:color w:val="202020"/>
          <w:szCs w:val="24"/>
        </w:rPr>
        <w:t>,</w:t>
      </w:r>
      <w:r w:rsidR="007957BD" w:rsidRPr="00687DE8">
        <w:rPr>
          <w:rFonts w:eastAsia="Calibri"/>
          <w:color w:val="202020"/>
          <w:szCs w:val="24"/>
        </w:rPr>
        <w:t xml:space="preserve"> s</w:t>
      </w:r>
      <w:r w:rsidR="00E0614F" w:rsidRPr="00687DE8">
        <w:rPr>
          <w:rFonts w:eastAsia="Calibri"/>
          <w:color w:val="202020"/>
          <w:szCs w:val="24"/>
        </w:rPr>
        <w:t>ealhulgas</w:t>
      </w:r>
      <w:r w:rsidR="007957BD" w:rsidRPr="00687DE8">
        <w:rPr>
          <w:rFonts w:eastAsia="Calibri"/>
          <w:color w:val="202020"/>
          <w:szCs w:val="24"/>
        </w:rPr>
        <w:t xml:space="preserve"> kirjalikud juhised lapsevanemale</w:t>
      </w:r>
      <w:r w:rsidR="007F1E1D" w:rsidRPr="00687DE8">
        <w:rPr>
          <w:rFonts w:eastAsia="Calibri"/>
          <w:color w:val="202020"/>
          <w:szCs w:val="24"/>
        </w:rPr>
        <w:t xml:space="preserve"> või eestkostjale</w:t>
      </w:r>
      <w:r w:rsidR="00772DFB" w:rsidRPr="00687DE8">
        <w:rPr>
          <w:rFonts w:eastAsia="Calibri"/>
          <w:color w:val="202020"/>
          <w:szCs w:val="24"/>
        </w:rPr>
        <w:t>;</w:t>
      </w:r>
      <w:r w:rsidR="00EB543F" w:rsidRPr="00687DE8">
        <w:rPr>
          <w:rFonts w:eastAsia="Calibri"/>
          <w:szCs w:val="24"/>
        </w:rPr>
        <w:t xml:space="preserve"> </w:t>
      </w:r>
    </w:p>
    <w:p w14:paraId="4C972C95" w14:textId="08B1DC02" w:rsidR="000144F9" w:rsidRPr="00687DE8" w:rsidRDefault="00347D80" w:rsidP="00D54F47">
      <w:pPr>
        <w:spacing w:after="0" w:line="240" w:lineRule="auto"/>
        <w:jc w:val="both"/>
        <w:rPr>
          <w:rFonts w:eastAsia="Calibri"/>
          <w:color w:val="202020"/>
          <w:szCs w:val="24"/>
        </w:rPr>
      </w:pPr>
      <w:r w:rsidRPr="00687DE8">
        <w:rPr>
          <w:rFonts w:eastAsia="Calibri"/>
          <w:szCs w:val="24"/>
        </w:rPr>
        <w:t xml:space="preserve">6) </w:t>
      </w:r>
      <w:r w:rsidR="00772DFB" w:rsidRPr="00687DE8">
        <w:rPr>
          <w:rFonts w:eastAsia="Calibri"/>
          <w:szCs w:val="24"/>
        </w:rPr>
        <w:t>r</w:t>
      </w:r>
      <w:r w:rsidR="00221751" w:rsidRPr="00687DE8">
        <w:rPr>
          <w:rFonts w:eastAsia="Calibri"/>
          <w:szCs w:val="24"/>
        </w:rPr>
        <w:t>avivajaduse tuvastamisel</w:t>
      </w:r>
      <w:r w:rsidR="00891F32" w:rsidRPr="00687DE8">
        <w:rPr>
          <w:rFonts w:eastAsia="Calibri"/>
          <w:color w:val="202020"/>
          <w:szCs w:val="24"/>
        </w:rPr>
        <w:t xml:space="preserve"> lei</w:t>
      </w:r>
      <w:r w:rsidR="0017356F" w:rsidRPr="00687DE8">
        <w:rPr>
          <w:rFonts w:eastAsia="Calibri"/>
          <w:color w:val="202020"/>
          <w:szCs w:val="24"/>
        </w:rPr>
        <w:t>u dokumenteerimine</w:t>
      </w:r>
      <w:r w:rsidR="00C22665" w:rsidRPr="00687DE8">
        <w:rPr>
          <w:rFonts w:eastAsia="Calibri"/>
          <w:color w:val="202020"/>
          <w:szCs w:val="24"/>
        </w:rPr>
        <w:t xml:space="preserve"> ja </w:t>
      </w:r>
      <w:r w:rsidR="00044EC5" w:rsidRPr="00687DE8">
        <w:rPr>
          <w:rFonts w:eastAsia="Calibri"/>
          <w:color w:val="202020"/>
          <w:szCs w:val="24"/>
        </w:rPr>
        <w:t xml:space="preserve">lapsevanema või eestkostja </w:t>
      </w:r>
      <w:r w:rsidR="00C22665" w:rsidRPr="00687DE8">
        <w:rPr>
          <w:rFonts w:eastAsia="Calibri"/>
          <w:color w:val="202020"/>
          <w:szCs w:val="24"/>
        </w:rPr>
        <w:t>teavitamine hambaarsti</w:t>
      </w:r>
      <w:r w:rsidR="005F78C8" w:rsidRPr="00687DE8">
        <w:rPr>
          <w:rFonts w:eastAsia="Calibri"/>
          <w:color w:val="202020"/>
          <w:szCs w:val="24"/>
        </w:rPr>
        <w:t xml:space="preserve"> vastuvõtule </w:t>
      </w:r>
      <w:r w:rsidR="00C22665" w:rsidRPr="00687DE8">
        <w:rPr>
          <w:rFonts w:eastAsia="Calibri"/>
          <w:color w:val="202020"/>
          <w:szCs w:val="24"/>
        </w:rPr>
        <w:t>pöördumise vajadusest</w:t>
      </w:r>
      <w:r w:rsidR="005F78C8" w:rsidRPr="00687DE8">
        <w:rPr>
          <w:rFonts w:eastAsia="Calibri"/>
          <w:color w:val="202020"/>
          <w:szCs w:val="24"/>
        </w:rPr>
        <w:t>.</w:t>
      </w:r>
      <w:r w:rsidR="009D31E8" w:rsidRPr="00687DE8">
        <w:rPr>
          <w:rFonts w:eastAsia="Calibri"/>
          <w:color w:val="202020"/>
          <w:szCs w:val="24"/>
        </w:rPr>
        <w:t xml:space="preserve"> </w:t>
      </w:r>
    </w:p>
    <w:p w14:paraId="0A3A7C9B" w14:textId="77777777" w:rsidR="00347D80" w:rsidRPr="00687DE8" w:rsidRDefault="00347D80" w:rsidP="00347D80">
      <w:pPr>
        <w:spacing w:after="0" w:line="240" w:lineRule="auto"/>
        <w:jc w:val="both"/>
        <w:rPr>
          <w:rFonts w:eastAsia="Calibri"/>
          <w:color w:val="202020"/>
          <w:szCs w:val="24"/>
        </w:rPr>
      </w:pPr>
    </w:p>
    <w:p w14:paraId="6FD1CDEB" w14:textId="4889A5EB" w:rsidR="00B15771" w:rsidRPr="00687DE8" w:rsidRDefault="00634D82" w:rsidP="00D54F47">
      <w:pPr>
        <w:spacing w:after="0" w:line="240" w:lineRule="auto"/>
        <w:jc w:val="both"/>
        <w:rPr>
          <w:rFonts w:eastAsia="Calibri"/>
          <w:color w:val="202020"/>
        </w:rPr>
      </w:pPr>
      <w:r w:rsidRPr="5E1AC63A">
        <w:rPr>
          <w:rFonts w:eastAsia="Calibri"/>
          <w:color w:val="202020"/>
        </w:rPr>
        <w:t>(</w:t>
      </w:r>
      <w:r w:rsidR="39DA5E58" w:rsidRPr="5E1AC63A">
        <w:rPr>
          <w:rFonts w:eastAsia="Calibri"/>
          <w:color w:val="202020"/>
        </w:rPr>
        <w:t>3</w:t>
      </w:r>
      <w:r w:rsidR="000A6B7C">
        <w:rPr>
          <w:rFonts w:eastAsia="Calibri"/>
          <w:color w:val="202020"/>
        </w:rPr>
        <w:t>0</w:t>
      </w:r>
      <w:r w:rsidRPr="5E1AC63A">
        <w:rPr>
          <w:rFonts w:eastAsia="Calibri"/>
          <w:color w:val="202020"/>
        </w:rPr>
        <w:t xml:space="preserve">) Tervisekassa võtab </w:t>
      </w:r>
      <w:r w:rsidR="00C8568E" w:rsidRPr="5E1AC63A">
        <w:rPr>
          <w:rFonts w:eastAsia="Calibri"/>
          <w:color w:val="202020"/>
        </w:rPr>
        <w:t xml:space="preserve">kindlustatud isikult </w:t>
      </w:r>
      <w:r w:rsidR="00752843" w:rsidRPr="5E1AC63A">
        <w:rPr>
          <w:rFonts w:eastAsia="Calibri"/>
          <w:color w:val="202020"/>
        </w:rPr>
        <w:t>k</w:t>
      </w:r>
      <w:r w:rsidR="00B15771" w:rsidRPr="5E1AC63A">
        <w:rPr>
          <w:rFonts w:eastAsia="Calibri"/>
          <w:color w:val="202020"/>
        </w:rPr>
        <w:t xml:space="preserve">oodiga 52470 </w:t>
      </w:r>
      <w:r w:rsidR="000B2C7E" w:rsidRPr="5E1AC63A">
        <w:rPr>
          <w:rFonts w:eastAsia="Calibri"/>
          <w:color w:val="202020"/>
        </w:rPr>
        <w:t>või</w:t>
      </w:r>
      <w:r w:rsidR="00B15771" w:rsidRPr="5E1AC63A">
        <w:rPr>
          <w:rFonts w:eastAsia="Calibri"/>
          <w:color w:val="202020"/>
        </w:rPr>
        <w:t xml:space="preserve"> 52471 tähistatud </w:t>
      </w:r>
      <w:r w:rsidR="006844BB" w:rsidRPr="5E1AC63A">
        <w:rPr>
          <w:rFonts w:eastAsia="Calibri"/>
          <w:color w:val="202020"/>
        </w:rPr>
        <w:t>tervishoiu</w:t>
      </w:r>
      <w:r w:rsidR="00B15771" w:rsidRPr="5E1AC63A">
        <w:rPr>
          <w:rFonts w:eastAsia="Calibri"/>
          <w:color w:val="202020"/>
        </w:rPr>
        <w:t>teenuse</w:t>
      </w:r>
      <w:r w:rsidR="00227637" w:rsidRPr="5E1AC63A">
        <w:rPr>
          <w:rFonts w:eastAsia="Calibri"/>
          <w:color w:val="202020"/>
        </w:rPr>
        <w:t xml:space="preserve"> eest </w:t>
      </w:r>
      <w:r w:rsidR="00752843" w:rsidRPr="5E1AC63A">
        <w:rPr>
          <w:rFonts w:eastAsia="Calibri"/>
          <w:color w:val="202020"/>
        </w:rPr>
        <w:t>tasu maksmise kohustuse</w:t>
      </w:r>
      <w:r w:rsidR="00C34B88" w:rsidRPr="5E1AC63A">
        <w:rPr>
          <w:rFonts w:eastAsia="Calibri"/>
          <w:color w:val="202020"/>
        </w:rPr>
        <w:t xml:space="preserve"> </w:t>
      </w:r>
      <w:r w:rsidR="00C8568E" w:rsidRPr="5E1AC63A">
        <w:rPr>
          <w:rFonts w:eastAsia="Calibri"/>
          <w:color w:val="202020"/>
        </w:rPr>
        <w:t xml:space="preserve">üle </w:t>
      </w:r>
      <w:r w:rsidR="00C34B88" w:rsidRPr="5E1AC63A">
        <w:rPr>
          <w:rFonts w:eastAsia="Calibri"/>
          <w:color w:val="202020"/>
        </w:rPr>
        <w:t>üks kord kalendriaastas</w:t>
      </w:r>
      <w:r w:rsidR="00C8568E" w:rsidRPr="5E1AC63A">
        <w:rPr>
          <w:rFonts w:eastAsia="Calibri"/>
          <w:color w:val="202020"/>
        </w:rPr>
        <w:t>.</w:t>
      </w:r>
    </w:p>
    <w:p w14:paraId="196B76C8" w14:textId="77777777" w:rsidR="00347D80" w:rsidRPr="00687DE8" w:rsidRDefault="00347D80" w:rsidP="00347D80">
      <w:pPr>
        <w:spacing w:after="0" w:line="240" w:lineRule="auto"/>
        <w:jc w:val="both"/>
        <w:rPr>
          <w:rFonts w:eastAsia="Calibri"/>
          <w:color w:val="202020"/>
          <w:szCs w:val="24"/>
        </w:rPr>
      </w:pPr>
    </w:p>
    <w:p w14:paraId="556C744F" w14:textId="63AF00EF" w:rsidR="00634D82" w:rsidRPr="00687DE8" w:rsidRDefault="00634D82" w:rsidP="00D54F47">
      <w:pPr>
        <w:spacing w:after="0" w:line="240" w:lineRule="auto"/>
        <w:jc w:val="both"/>
        <w:rPr>
          <w:rFonts w:eastAsia="Calibri"/>
          <w:color w:val="202020"/>
        </w:rPr>
      </w:pPr>
      <w:r w:rsidRPr="5E1AC63A">
        <w:rPr>
          <w:rFonts w:eastAsia="Calibri"/>
          <w:color w:val="202020"/>
        </w:rPr>
        <w:t>(</w:t>
      </w:r>
      <w:r w:rsidR="23723B2E" w:rsidRPr="5E1AC63A">
        <w:rPr>
          <w:rFonts w:eastAsia="Calibri"/>
          <w:color w:val="202020"/>
        </w:rPr>
        <w:t>3</w:t>
      </w:r>
      <w:r w:rsidR="000A6B7C">
        <w:rPr>
          <w:rFonts w:eastAsia="Calibri"/>
          <w:color w:val="202020"/>
        </w:rPr>
        <w:t>1</w:t>
      </w:r>
      <w:r w:rsidRPr="5E1AC63A">
        <w:rPr>
          <w:rFonts w:eastAsia="Calibri"/>
          <w:color w:val="202020"/>
        </w:rPr>
        <w:t xml:space="preserve">) </w:t>
      </w:r>
      <w:bookmarkStart w:id="49" w:name="_Hlk180151436"/>
      <w:r w:rsidRPr="5E1AC63A">
        <w:rPr>
          <w:rFonts w:eastAsia="Calibri"/>
          <w:color w:val="202020"/>
        </w:rPr>
        <w:t>Tervisekassa võtab koodi</w:t>
      </w:r>
      <w:r w:rsidR="00230564" w:rsidRPr="5E1AC63A">
        <w:rPr>
          <w:rFonts w:eastAsia="Calibri"/>
          <w:color w:val="202020"/>
        </w:rPr>
        <w:t>dega 2330K</w:t>
      </w:r>
      <w:r w:rsidR="00F94A09" w:rsidRPr="5E1AC63A">
        <w:rPr>
          <w:rFonts w:eastAsia="Calibri"/>
          <w:color w:val="202020"/>
        </w:rPr>
        <w:t>, 52470 ja 52471</w:t>
      </w:r>
      <w:r w:rsidRPr="5E1AC63A">
        <w:rPr>
          <w:rFonts w:eastAsia="Calibri"/>
          <w:color w:val="202020"/>
        </w:rPr>
        <w:t xml:space="preserve"> tähistatud tervishoiuteenus</w:t>
      </w:r>
      <w:r w:rsidR="00F94A09" w:rsidRPr="5E1AC63A">
        <w:rPr>
          <w:rFonts w:eastAsia="Calibri"/>
          <w:color w:val="202020"/>
        </w:rPr>
        <w:t>t</w:t>
      </w:r>
      <w:r w:rsidRPr="5E1AC63A">
        <w:rPr>
          <w:rFonts w:eastAsia="Calibri"/>
          <w:color w:val="202020"/>
        </w:rPr>
        <w:t xml:space="preserve">e eest tasu maksmise kohustuse üle juhtprojektis osalevalt lepingupartnerilt kuni </w:t>
      </w:r>
      <w:r w:rsidR="006154CD" w:rsidRPr="5E1AC63A">
        <w:rPr>
          <w:rFonts w:eastAsia="Calibri"/>
          <w:color w:val="202020"/>
        </w:rPr>
        <w:t>31</w:t>
      </w:r>
      <w:r w:rsidRPr="5E1AC63A">
        <w:rPr>
          <w:rFonts w:eastAsia="Calibri"/>
          <w:color w:val="202020"/>
        </w:rPr>
        <w:t xml:space="preserve">. </w:t>
      </w:r>
      <w:bookmarkEnd w:id="49"/>
      <w:r w:rsidR="523B8561" w:rsidRPr="390F6BC0">
        <w:rPr>
          <w:rFonts w:eastAsia="Calibri"/>
          <w:color w:val="202020"/>
        </w:rPr>
        <w:t>detsembr</w:t>
      </w:r>
      <w:r w:rsidR="48385992" w:rsidRPr="390F6BC0">
        <w:rPr>
          <w:rFonts w:eastAsia="Calibri"/>
          <w:color w:val="202020"/>
        </w:rPr>
        <w:t>ini 202</w:t>
      </w:r>
      <w:r w:rsidR="494A7F63" w:rsidRPr="390F6BC0">
        <w:rPr>
          <w:rFonts w:eastAsia="Calibri"/>
          <w:color w:val="202020"/>
        </w:rPr>
        <w:t>6</w:t>
      </w:r>
      <w:r w:rsidR="48385992" w:rsidRPr="390F6BC0">
        <w:rPr>
          <w:rFonts w:eastAsia="Calibri"/>
          <w:color w:val="202020"/>
        </w:rPr>
        <w:t xml:space="preserve">. </w:t>
      </w:r>
      <w:r w:rsidR="17F826AD" w:rsidRPr="390F6BC0">
        <w:rPr>
          <w:rFonts w:eastAsia="Calibri"/>
          <w:color w:val="202020"/>
        </w:rPr>
        <w:t>a</w:t>
      </w:r>
      <w:r w:rsidR="48385992" w:rsidRPr="390F6BC0">
        <w:rPr>
          <w:rFonts w:eastAsia="Calibri"/>
          <w:color w:val="202020"/>
        </w:rPr>
        <w:t>.</w:t>
      </w:r>
    </w:p>
    <w:p w14:paraId="484D4E1A" w14:textId="6D92D52A" w:rsidR="00A56B4F" w:rsidRPr="00687DE8" w:rsidRDefault="00A56B4F" w:rsidP="001331F2">
      <w:pPr>
        <w:spacing w:after="0" w:line="240" w:lineRule="auto"/>
        <w:jc w:val="both"/>
        <w:rPr>
          <w:szCs w:val="24"/>
          <w:lang w:val="et"/>
        </w:rPr>
      </w:pPr>
    </w:p>
    <w:p w14:paraId="747A39E7" w14:textId="4BC3C57D" w:rsidR="35B1B13A" w:rsidRPr="00687DE8" w:rsidRDefault="35B1B13A" w:rsidP="7C9C19AB">
      <w:pPr>
        <w:spacing w:after="0" w:line="240" w:lineRule="auto"/>
        <w:jc w:val="both"/>
        <w:rPr>
          <w:color w:val="000000" w:themeColor="text1"/>
          <w:lang w:val="et"/>
        </w:rPr>
      </w:pPr>
      <w:r w:rsidRPr="5E1AC63A">
        <w:rPr>
          <w:color w:val="000000" w:themeColor="text1"/>
          <w:lang w:val="et"/>
        </w:rPr>
        <w:t>(</w:t>
      </w:r>
      <w:r w:rsidR="002A2DFD">
        <w:rPr>
          <w:color w:val="000000" w:themeColor="text1"/>
          <w:lang w:val="et"/>
        </w:rPr>
        <w:t>3</w:t>
      </w:r>
      <w:r w:rsidR="000A6B7C">
        <w:rPr>
          <w:color w:val="000000" w:themeColor="text1"/>
          <w:lang w:val="et"/>
        </w:rPr>
        <w:t>2</w:t>
      </w:r>
      <w:r w:rsidRPr="5E1AC63A">
        <w:rPr>
          <w:color w:val="000000" w:themeColor="text1"/>
          <w:lang w:val="et"/>
        </w:rPr>
        <w:t xml:space="preserve">) </w:t>
      </w:r>
      <w:r w:rsidR="00351E4D" w:rsidRPr="5E1AC63A">
        <w:rPr>
          <w:color w:val="000000" w:themeColor="text1"/>
          <w:lang w:val="et"/>
        </w:rPr>
        <w:t xml:space="preserve">Tervisekassa võtab koodidega 4512A, 4513A, 4514A ja 4515A tähistatud tervishoiuteenuste eest tasu maksmise kohustuse üle juhul, kui teenuse osutamise vajadus on selgunud </w:t>
      </w:r>
      <w:r w:rsidR="00351E4D">
        <w:rPr>
          <w:color w:val="000000" w:themeColor="text1"/>
          <w:lang w:val="et"/>
        </w:rPr>
        <w:t xml:space="preserve">koodiga </w:t>
      </w:r>
      <w:r w:rsidR="00351E4D" w:rsidRPr="5E1AC63A">
        <w:rPr>
          <w:color w:val="000000" w:themeColor="text1"/>
          <w:lang w:val="et"/>
        </w:rPr>
        <w:t xml:space="preserve">3039 </w:t>
      </w:r>
      <w:r w:rsidR="00351E4D">
        <w:rPr>
          <w:color w:val="000000" w:themeColor="text1"/>
          <w:lang w:val="et"/>
        </w:rPr>
        <w:lastRenderedPageBreak/>
        <w:t xml:space="preserve">tähistatud teenuse </w:t>
      </w:r>
      <w:r w:rsidR="00351E4D" w:rsidRPr="5E1AC63A">
        <w:rPr>
          <w:color w:val="000000" w:themeColor="text1"/>
          <w:lang w:val="et"/>
        </w:rPr>
        <w:t>rakendamisel töövõimetuslehe väljastamisel terviseseisundi hindamiseks ja/või töötingimuste kohandamise väljaselgitamiseks</w:t>
      </w:r>
      <w:r w:rsidR="009C3D2C" w:rsidRPr="5E1AC63A">
        <w:rPr>
          <w:color w:val="000000" w:themeColor="text1"/>
          <w:lang w:val="et"/>
        </w:rPr>
        <w:t>.</w:t>
      </w:r>
    </w:p>
    <w:p w14:paraId="545C5815" w14:textId="7E14975A" w:rsidR="7C9C19AB" w:rsidRPr="00687DE8" w:rsidRDefault="7C9C19AB" w:rsidP="7C9C19AB">
      <w:pPr>
        <w:spacing w:after="0" w:line="240" w:lineRule="auto"/>
        <w:jc w:val="both"/>
        <w:rPr>
          <w:color w:val="000000" w:themeColor="text1"/>
          <w:szCs w:val="24"/>
          <w:lang w:val="et"/>
        </w:rPr>
      </w:pPr>
    </w:p>
    <w:p w14:paraId="3919E0E3" w14:textId="307C1F22" w:rsidR="009E013D" w:rsidRPr="00687DE8" w:rsidRDefault="009E013D" w:rsidP="001331F2">
      <w:pPr>
        <w:spacing w:after="0" w:line="240" w:lineRule="auto"/>
        <w:jc w:val="both"/>
        <w:rPr>
          <w:color w:val="000000" w:themeColor="text1"/>
          <w:lang w:val="et"/>
        </w:rPr>
      </w:pPr>
      <w:r w:rsidRPr="5E1AC63A">
        <w:rPr>
          <w:color w:val="000000" w:themeColor="text1"/>
          <w:lang w:val="et"/>
        </w:rPr>
        <w:t>(</w:t>
      </w:r>
      <w:r w:rsidR="002A2DFD">
        <w:rPr>
          <w:color w:val="000000" w:themeColor="text1"/>
          <w:lang w:val="et"/>
        </w:rPr>
        <w:t>3</w:t>
      </w:r>
      <w:r w:rsidR="000A6B7C">
        <w:rPr>
          <w:color w:val="000000" w:themeColor="text1"/>
          <w:lang w:val="et"/>
        </w:rPr>
        <w:t>3</w:t>
      </w:r>
      <w:r w:rsidRPr="5E1AC63A">
        <w:rPr>
          <w:color w:val="000000" w:themeColor="text1"/>
          <w:lang w:val="et"/>
        </w:rPr>
        <w:t xml:space="preserve">) Koodidega </w:t>
      </w:r>
      <w:r w:rsidR="13DAA1DB" w:rsidRPr="5E1AC63A">
        <w:rPr>
          <w:color w:val="000000" w:themeColor="text1"/>
          <w:lang w:val="et"/>
        </w:rPr>
        <w:t xml:space="preserve">4512A, 4513A, 4514A ja 4515A </w:t>
      </w:r>
      <w:r w:rsidRPr="5E1AC63A">
        <w:rPr>
          <w:color w:val="000000" w:themeColor="text1"/>
          <w:lang w:val="et"/>
        </w:rPr>
        <w:t>tähistatud tervishoiuteenus</w:t>
      </w:r>
      <w:r w:rsidR="00B41F94" w:rsidRPr="5E1AC63A">
        <w:rPr>
          <w:color w:val="000000" w:themeColor="text1"/>
          <w:lang w:val="et"/>
        </w:rPr>
        <w:t>eid</w:t>
      </w:r>
      <w:r w:rsidRPr="5E1AC63A">
        <w:rPr>
          <w:color w:val="000000" w:themeColor="text1"/>
          <w:lang w:val="et"/>
        </w:rPr>
        <w:t xml:space="preserve"> rakendatakse haiglate loetelus nimetatud haiglates.</w:t>
      </w:r>
    </w:p>
    <w:p w14:paraId="6A8019A6" w14:textId="77777777" w:rsidR="00A76C08" w:rsidRPr="00687DE8" w:rsidRDefault="00A76C08" w:rsidP="001331F2">
      <w:pPr>
        <w:spacing w:after="0" w:line="240" w:lineRule="auto"/>
        <w:jc w:val="both"/>
        <w:rPr>
          <w:color w:val="000000" w:themeColor="text1"/>
          <w:szCs w:val="24"/>
          <w:lang w:val="et"/>
        </w:rPr>
      </w:pPr>
    </w:p>
    <w:p w14:paraId="3A93BDE8" w14:textId="3F3724CF" w:rsidR="521C87F0" w:rsidRPr="00687DE8" w:rsidRDefault="009E013D" w:rsidP="001331F2">
      <w:pPr>
        <w:spacing w:after="0" w:line="240" w:lineRule="auto"/>
        <w:jc w:val="both"/>
        <w:rPr>
          <w:rFonts w:eastAsia="Calibri"/>
          <w:color w:val="000000" w:themeColor="text1"/>
          <w:lang w:val="et"/>
        </w:rPr>
      </w:pPr>
      <w:r w:rsidRPr="5E1AC63A">
        <w:rPr>
          <w:color w:val="000000" w:themeColor="text1"/>
          <w:lang w:val="et"/>
        </w:rPr>
        <w:t>(</w:t>
      </w:r>
      <w:r w:rsidR="002A2DFD">
        <w:rPr>
          <w:color w:val="000000" w:themeColor="text1"/>
          <w:lang w:val="et"/>
        </w:rPr>
        <w:t>3</w:t>
      </w:r>
      <w:r w:rsidR="000A6B7C">
        <w:rPr>
          <w:color w:val="000000" w:themeColor="text1"/>
          <w:lang w:val="et"/>
        </w:rPr>
        <w:t>4</w:t>
      </w:r>
      <w:r w:rsidRPr="5E1AC63A">
        <w:rPr>
          <w:color w:val="000000" w:themeColor="text1"/>
          <w:lang w:val="et"/>
        </w:rPr>
        <w:t xml:space="preserve">) Tervisekassa võtab koodidega </w:t>
      </w:r>
      <w:r w:rsidR="03DACF66" w:rsidRPr="5E1AC63A">
        <w:rPr>
          <w:color w:val="000000" w:themeColor="text1"/>
          <w:lang w:val="et"/>
        </w:rPr>
        <w:t xml:space="preserve">4512A, 4513A, 4514A ja 4515A </w:t>
      </w:r>
      <w:r w:rsidRPr="5E1AC63A">
        <w:rPr>
          <w:color w:val="000000" w:themeColor="text1"/>
          <w:lang w:val="et"/>
        </w:rPr>
        <w:t xml:space="preserve">tähistatud </w:t>
      </w:r>
      <w:r w:rsidR="00B41F94" w:rsidRPr="5E1AC63A">
        <w:rPr>
          <w:color w:val="000000" w:themeColor="text1"/>
          <w:lang w:val="et"/>
        </w:rPr>
        <w:t>tervishoiu</w:t>
      </w:r>
      <w:r w:rsidRPr="5E1AC63A">
        <w:rPr>
          <w:color w:val="000000" w:themeColor="text1"/>
          <w:lang w:val="et"/>
        </w:rPr>
        <w:t xml:space="preserve">teenuste eest tasu maksmise kohustuse üle kuni </w:t>
      </w:r>
      <w:r w:rsidR="361E07B8" w:rsidRPr="5E1AC63A">
        <w:rPr>
          <w:color w:val="000000" w:themeColor="text1"/>
          <w:lang w:val="et"/>
        </w:rPr>
        <w:t>31.</w:t>
      </w:r>
      <w:r w:rsidR="004D376D" w:rsidRPr="5E1AC63A">
        <w:rPr>
          <w:color w:val="000000" w:themeColor="text1"/>
          <w:lang w:val="et"/>
        </w:rPr>
        <w:t xml:space="preserve"> </w:t>
      </w:r>
      <w:r w:rsidR="004035D3">
        <w:rPr>
          <w:color w:val="000000" w:themeColor="text1"/>
          <w:lang w:val="et"/>
        </w:rPr>
        <w:t>detsembrini</w:t>
      </w:r>
      <w:r w:rsidR="004035D3" w:rsidRPr="5E1AC63A">
        <w:rPr>
          <w:color w:val="000000" w:themeColor="text1"/>
          <w:lang w:val="et"/>
        </w:rPr>
        <w:t xml:space="preserve"> </w:t>
      </w:r>
      <w:r w:rsidR="361E07B8" w:rsidRPr="5E1AC63A">
        <w:rPr>
          <w:color w:val="000000" w:themeColor="text1"/>
          <w:lang w:val="et"/>
        </w:rPr>
        <w:t>202</w:t>
      </w:r>
      <w:r w:rsidR="004035D3">
        <w:rPr>
          <w:color w:val="000000" w:themeColor="text1"/>
          <w:lang w:val="et"/>
        </w:rPr>
        <w:t>9</w:t>
      </w:r>
      <w:r w:rsidR="50784959" w:rsidRPr="5E1AC63A">
        <w:rPr>
          <w:color w:val="000000" w:themeColor="text1"/>
          <w:lang w:val="et"/>
        </w:rPr>
        <w:t>.</w:t>
      </w:r>
      <w:r w:rsidR="004D376D" w:rsidRPr="5E1AC63A">
        <w:rPr>
          <w:color w:val="000000" w:themeColor="text1"/>
          <w:lang w:val="et"/>
        </w:rPr>
        <w:t xml:space="preserve"> a.</w:t>
      </w:r>
    </w:p>
    <w:p w14:paraId="612A0F43" w14:textId="55E14B89" w:rsidR="04FA2CD7" w:rsidRPr="00687DE8" w:rsidRDefault="04FA2CD7" w:rsidP="04FA2CD7">
      <w:pPr>
        <w:spacing w:after="0" w:line="240" w:lineRule="auto"/>
        <w:jc w:val="both"/>
        <w:rPr>
          <w:rFonts w:eastAsia="Calibri"/>
          <w:color w:val="202020"/>
          <w:szCs w:val="24"/>
        </w:rPr>
      </w:pPr>
    </w:p>
    <w:p w14:paraId="619B1A8E" w14:textId="161A17E9" w:rsidR="00C1314A" w:rsidRPr="00687DE8" w:rsidRDefault="634971F9" w:rsidP="1E61D3C4">
      <w:pPr>
        <w:spacing w:after="0" w:line="240" w:lineRule="auto"/>
        <w:jc w:val="both"/>
        <w:rPr>
          <w:rFonts w:eastAsia="Calibri"/>
          <w:color w:val="202020"/>
        </w:rPr>
      </w:pPr>
      <w:r w:rsidRPr="3E4CC30D">
        <w:rPr>
          <w:rFonts w:eastAsia="Calibri"/>
          <w:color w:val="202020"/>
        </w:rPr>
        <w:t>(</w:t>
      </w:r>
      <w:r w:rsidR="002A2DFD">
        <w:rPr>
          <w:rFonts w:eastAsia="Calibri"/>
          <w:color w:val="202020"/>
        </w:rPr>
        <w:t>3</w:t>
      </w:r>
      <w:r w:rsidR="000A6B7C">
        <w:rPr>
          <w:rFonts w:eastAsia="Calibri"/>
          <w:color w:val="202020"/>
        </w:rPr>
        <w:t>5</w:t>
      </w:r>
      <w:r w:rsidRPr="3E4CC30D">
        <w:rPr>
          <w:rFonts w:eastAsia="Calibri"/>
          <w:color w:val="202020"/>
        </w:rPr>
        <w:t xml:space="preserve">) Tervisekassa võtab koodiga 3039 </w:t>
      </w:r>
      <w:r w:rsidR="00A72EC1" w:rsidRPr="3E4CC30D">
        <w:rPr>
          <w:rFonts w:eastAsia="Calibri"/>
          <w:color w:val="202020"/>
        </w:rPr>
        <w:t>tähistatud</w:t>
      </w:r>
      <w:r w:rsidRPr="3E4CC30D">
        <w:rPr>
          <w:rFonts w:eastAsia="Calibri"/>
          <w:color w:val="202020"/>
        </w:rPr>
        <w:t xml:space="preserve"> tervishoiuteenuse eest tasu maksmise kohustuse üle </w:t>
      </w:r>
      <w:r w:rsidR="00C03258" w:rsidRPr="3E4CC30D">
        <w:rPr>
          <w:rFonts w:eastAsia="Calibri"/>
          <w:color w:val="202020"/>
        </w:rPr>
        <w:t xml:space="preserve">kuni 30. juunini 2026. a </w:t>
      </w:r>
      <w:r w:rsidR="00DE3833" w:rsidRPr="3E4CC30D">
        <w:rPr>
          <w:rFonts w:eastAsia="Calibri"/>
          <w:color w:val="202020"/>
        </w:rPr>
        <w:t xml:space="preserve">juhul, kui </w:t>
      </w:r>
      <w:r w:rsidR="00522140" w:rsidRPr="3E4CC30D">
        <w:rPr>
          <w:rFonts w:eastAsia="Calibri"/>
          <w:color w:val="202020"/>
        </w:rPr>
        <w:t xml:space="preserve">patsient suunatakse </w:t>
      </w:r>
      <w:r w:rsidR="0007259C" w:rsidRPr="3E4CC30D">
        <w:rPr>
          <w:rFonts w:eastAsia="Calibri"/>
          <w:color w:val="202020"/>
        </w:rPr>
        <w:t xml:space="preserve">radioloogia e-konsultatsiooni </w:t>
      </w:r>
      <w:r w:rsidR="00522140" w:rsidRPr="3E4CC30D">
        <w:rPr>
          <w:rFonts w:eastAsia="Calibri"/>
          <w:color w:val="202020"/>
        </w:rPr>
        <w:t xml:space="preserve">teenust saama </w:t>
      </w:r>
      <w:r w:rsidR="007A26B9" w:rsidRPr="3E4CC30D">
        <w:rPr>
          <w:rFonts w:eastAsia="Calibri"/>
          <w:color w:val="202020"/>
        </w:rPr>
        <w:t>tervise infosüsteemi vahendusel edastatud e-konsultatsiooni saatekirjaga</w:t>
      </w:r>
      <w:r w:rsidR="00522140" w:rsidRPr="3E4CC30D">
        <w:rPr>
          <w:rFonts w:eastAsia="Calibri"/>
          <w:color w:val="202020"/>
        </w:rPr>
        <w:t xml:space="preserve"> juhtprojektis osalevalt lepingupartneri</w:t>
      </w:r>
      <w:r w:rsidR="0011362D" w:rsidRPr="3E4CC30D">
        <w:rPr>
          <w:rFonts w:eastAsia="Calibri"/>
          <w:color w:val="202020"/>
        </w:rPr>
        <w:t xml:space="preserve">lt ja </w:t>
      </w:r>
      <w:r w:rsidR="007A26B9" w:rsidRPr="3E4CC30D">
        <w:rPr>
          <w:rFonts w:eastAsia="Calibri"/>
          <w:color w:val="202020"/>
        </w:rPr>
        <w:t xml:space="preserve">tervishoiuteenuse osutamise käigus koostatud e-konsultatsiooni saatekiri ja eriarsti vastus sisaldavad ravikindlustuse seaduse § 32 alusel kehtestatud määruse lisas sätestatud andmeid ning nõuetekohane vastus saadetakse tervise infosüsteemi vahendusel arstile </w:t>
      </w:r>
      <w:r w:rsidR="271E5219" w:rsidRPr="3E4CC30D">
        <w:rPr>
          <w:rFonts w:eastAsia="Calibri"/>
          <w:color w:val="202020"/>
        </w:rPr>
        <w:t>15</w:t>
      </w:r>
      <w:r w:rsidR="007A26B9" w:rsidRPr="3E4CC30D">
        <w:rPr>
          <w:rFonts w:eastAsia="Calibri"/>
          <w:color w:val="202020"/>
        </w:rPr>
        <w:t xml:space="preserve"> tööpäeva jooksul alates e-konsultatsiooni saatekirja jõudmisest tervise infosüsteemi.</w:t>
      </w:r>
      <w:r w:rsidR="00F95AE1" w:rsidRPr="3E4CC30D">
        <w:rPr>
          <w:rFonts w:eastAsia="Calibri"/>
          <w:color w:val="202020"/>
        </w:rPr>
        <w:t xml:space="preserve"> </w:t>
      </w:r>
    </w:p>
    <w:p w14:paraId="419030AB" w14:textId="28EB18B4" w:rsidR="22DE6405" w:rsidRPr="00687DE8" w:rsidRDefault="22DE6405" w:rsidP="22DE6405">
      <w:pPr>
        <w:spacing w:after="0" w:line="240" w:lineRule="auto"/>
        <w:jc w:val="both"/>
        <w:rPr>
          <w:rFonts w:eastAsia="Calibri"/>
          <w:color w:val="202020"/>
          <w:szCs w:val="24"/>
        </w:rPr>
      </w:pPr>
    </w:p>
    <w:p w14:paraId="27C4D1E3" w14:textId="3920B1E5" w:rsidR="005057B4" w:rsidRPr="00687DE8" w:rsidRDefault="005057B4" w:rsidP="005057B4">
      <w:pPr>
        <w:spacing w:after="0" w:line="240" w:lineRule="auto"/>
        <w:jc w:val="both"/>
        <w:rPr>
          <w:rFonts w:eastAsia="Calibri"/>
          <w:color w:val="202020"/>
        </w:rPr>
      </w:pPr>
      <w:r w:rsidRPr="3E4CC30D">
        <w:rPr>
          <w:rFonts w:eastAsia="Calibri"/>
          <w:color w:val="202020"/>
        </w:rPr>
        <w:t>(</w:t>
      </w:r>
      <w:r w:rsidR="002A2DFD">
        <w:rPr>
          <w:rFonts w:eastAsia="Calibri"/>
          <w:color w:val="202020"/>
        </w:rPr>
        <w:t>3</w:t>
      </w:r>
      <w:r w:rsidR="000A6B7C">
        <w:rPr>
          <w:rFonts w:eastAsia="Calibri"/>
          <w:color w:val="202020"/>
        </w:rPr>
        <w:t>6</w:t>
      </w:r>
      <w:r w:rsidRPr="3E4CC30D">
        <w:rPr>
          <w:rFonts w:eastAsia="Calibri"/>
          <w:color w:val="202020"/>
        </w:rPr>
        <w:t>)</w:t>
      </w:r>
      <w:r w:rsidR="00C47596">
        <w:t xml:space="preserve"> </w:t>
      </w:r>
      <w:r w:rsidR="00C47596" w:rsidRPr="3E4CC30D">
        <w:rPr>
          <w:rFonts w:eastAsia="Calibri"/>
          <w:color w:val="202020"/>
        </w:rPr>
        <w:t xml:space="preserve">Tervisekassa võtab koodiga 4516A tähistatud tervishoiuteenuse eest tasu maksmise kohustuse üle summas, mis vastab tervishoiuteenuse osutaja poolt </w:t>
      </w:r>
      <w:r w:rsidRPr="3E4CC30D">
        <w:rPr>
          <w:rFonts w:eastAsia="Calibri"/>
          <w:color w:val="202020"/>
        </w:rPr>
        <w:t xml:space="preserve">tervishoiuteenuse osutaja </w:t>
      </w:r>
      <w:r w:rsidR="00C47596" w:rsidRPr="3E4CC30D">
        <w:rPr>
          <w:rFonts w:eastAsia="Calibri"/>
          <w:color w:val="202020"/>
        </w:rPr>
        <w:t xml:space="preserve">kohustusliku vastutuskindlustuse seaduse täitmiseks sõlmitud vastutuskindlustuslepingus </w:t>
      </w:r>
      <w:r w:rsidR="00C56FE6" w:rsidRPr="3E4CC30D">
        <w:rPr>
          <w:rFonts w:eastAsia="Calibri"/>
          <w:color w:val="202020"/>
        </w:rPr>
        <w:t xml:space="preserve">sätestatud </w:t>
      </w:r>
      <w:r w:rsidR="00C47596" w:rsidRPr="3E4CC30D">
        <w:rPr>
          <w:rFonts w:eastAsia="Calibri"/>
          <w:color w:val="202020"/>
        </w:rPr>
        <w:t xml:space="preserve">kindlustusmakse suurusele ühes kalendrikuus, mida on proportsionaalselt vähendatud Tervisekassaga sõlmitud lepingu täitmisega mitteseotud tervishoiuteenuste käibe võrra, kuid </w:t>
      </w:r>
      <w:r w:rsidR="00C56FE6" w:rsidRPr="3E4CC30D">
        <w:rPr>
          <w:rFonts w:eastAsia="Calibri"/>
          <w:color w:val="202020"/>
        </w:rPr>
        <w:t>kõige rohkem</w:t>
      </w:r>
      <w:r w:rsidR="00C47596" w:rsidRPr="3E4CC30D">
        <w:rPr>
          <w:rFonts w:eastAsia="Calibri"/>
          <w:color w:val="202020"/>
        </w:rPr>
        <w:t xml:space="preserve"> lõikes </w:t>
      </w:r>
      <w:r w:rsidR="00E931B3">
        <w:rPr>
          <w:rFonts w:eastAsia="Calibri"/>
          <w:color w:val="202020"/>
        </w:rPr>
        <w:t>3</w:t>
      </w:r>
      <w:r w:rsidR="00273229">
        <w:rPr>
          <w:rFonts w:eastAsia="Calibri"/>
          <w:color w:val="202020"/>
        </w:rPr>
        <w:t>8</w:t>
      </w:r>
      <w:r w:rsidR="00C47596" w:rsidRPr="3E4CC30D">
        <w:rPr>
          <w:rFonts w:eastAsia="Calibri"/>
          <w:color w:val="202020"/>
        </w:rPr>
        <w:t xml:space="preserve"> sätestatud piirmäära ulatuses. </w:t>
      </w:r>
      <w:r w:rsidRPr="3E4CC30D">
        <w:rPr>
          <w:rFonts w:eastAsia="Calibri"/>
          <w:color w:val="202020"/>
        </w:rPr>
        <w:t xml:space="preserve"> </w:t>
      </w:r>
    </w:p>
    <w:p w14:paraId="44B4CADB" w14:textId="77777777" w:rsidR="005057B4" w:rsidRPr="00687DE8" w:rsidRDefault="005057B4" w:rsidP="005057B4">
      <w:pPr>
        <w:spacing w:after="0" w:line="240" w:lineRule="auto"/>
        <w:jc w:val="both"/>
        <w:rPr>
          <w:rFonts w:eastAsia="Calibri"/>
          <w:color w:val="202020"/>
          <w:szCs w:val="24"/>
        </w:rPr>
      </w:pPr>
      <w:r w:rsidRPr="00687DE8">
        <w:rPr>
          <w:rFonts w:eastAsia="Calibri"/>
          <w:color w:val="202020"/>
          <w:szCs w:val="24"/>
        </w:rPr>
        <w:t xml:space="preserve"> </w:t>
      </w:r>
    </w:p>
    <w:p w14:paraId="66D701C8" w14:textId="08A8540C" w:rsidR="005057B4" w:rsidRPr="00687DE8" w:rsidRDefault="005057B4" w:rsidP="005057B4">
      <w:pPr>
        <w:spacing w:after="0" w:line="240" w:lineRule="auto"/>
        <w:jc w:val="both"/>
        <w:rPr>
          <w:rFonts w:eastAsia="Calibri"/>
          <w:color w:val="202020"/>
        </w:rPr>
      </w:pPr>
      <w:r w:rsidRPr="3E4CC30D">
        <w:rPr>
          <w:rFonts w:eastAsia="Calibri"/>
          <w:color w:val="202020"/>
        </w:rPr>
        <w:t>(</w:t>
      </w:r>
      <w:r w:rsidR="002A2DFD">
        <w:rPr>
          <w:rFonts w:eastAsia="Calibri"/>
          <w:color w:val="202020"/>
        </w:rPr>
        <w:t>3</w:t>
      </w:r>
      <w:r w:rsidR="000A6B7C">
        <w:rPr>
          <w:rFonts w:eastAsia="Calibri"/>
          <w:color w:val="202020"/>
        </w:rPr>
        <w:t>7</w:t>
      </w:r>
      <w:r w:rsidRPr="3E4CC30D">
        <w:rPr>
          <w:rFonts w:eastAsia="Calibri"/>
          <w:color w:val="202020"/>
        </w:rPr>
        <w:t xml:space="preserve">) Tervisekassa võtab koodiga 4516A tähistatud tervishoiuteenuse eest tasu maksmise kohustuse üle </w:t>
      </w:r>
      <w:r w:rsidR="00D80C22" w:rsidRPr="3E4CC30D">
        <w:rPr>
          <w:rFonts w:eastAsia="Calibri"/>
          <w:color w:val="202020"/>
        </w:rPr>
        <w:t>juhul, kui</w:t>
      </w:r>
      <w:r w:rsidRPr="3E4CC30D">
        <w:rPr>
          <w:rFonts w:eastAsia="Calibri"/>
          <w:color w:val="202020"/>
        </w:rPr>
        <w:t xml:space="preserve"> tervishoiuteenuse osutaja esitab Tervisekassale lõikes </w:t>
      </w:r>
      <w:r w:rsidR="00E931B3">
        <w:rPr>
          <w:rFonts w:eastAsia="Calibri"/>
          <w:color w:val="202020"/>
        </w:rPr>
        <w:t>3</w:t>
      </w:r>
      <w:r w:rsidR="00273229">
        <w:rPr>
          <w:rFonts w:eastAsia="Calibri"/>
          <w:color w:val="202020"/>
        </w:rPr>
        <w:t>6</w:t>
      </w:r>
      <w:r w:rsidRPr="3E4CC30D">
        <w:rPr>
          <w:rFonts w:eastAsia="Calibri"/>
          <w:color w:val="202020"/>
        </w:rPr>
        <w:t xml:space="preserve"> nimetatud </w:t>
      </w:r>
      <w:r w:rsidR="00B762A3" w:rsidRPr="3E4CC30D">
        <w:rPr>
          <w:rFonts w:eastAsia="Calibri"/>
          <w:color w:val="202020"/>
        </w:rPr>
        <w:t xml:space="preserve">vastutuskindlustuslepingu </w:t>
      </w:r>
      <w:r w:rsidRPr="3E4CC30D">
        <w:rPr>
          <w:rFonts w:eastAsia="Calibri"/>
          <w:color w:val="202020"/>
        </w:rPr>
        <w:t>poliisi väljavõtte ja väljaspool Tervisekassaga sõlmitud lepingut teenitud käibe osakaalu.</w:t>
      </w:r>
    </w:p>
    <w:p w14:paraId="616C47C5" w14:textId="77777777" w:rsidR="005057B4" w:rsidRPr="00687DE8" w:rsidRDefault="005057B4" w:rsidP="005057B4">
      <w:pPr>
        <w:spacing w:after="0" w:line="240" w:lineRule="auto"/>
        <w:jc w:val="both"/>
        <w:rPr>
          <w:rFonts w:eastAsia="Calibri"/>
          <w:color w:val="202020"/>
          <w:szCs w:val="24"/>
        </w:rPr>
      </w:pPr>
      <w:r w:rsidRPr="00687DE8">
        <w:rPr>
          <w:rFonts w:eastAsia="Calibri"/>
          <w:color w:val="202020"/>
          <w:szCs w:val="24"/>
        </w:rPr>
        <w:t xml:space="preserve"> </w:t>
      </w:r>
    </w:p>
    <w:p w14:paraId="4BC8D27F" w14:textId="1B28CB5E" w:rsidR="6EBEA434" w:rsidRPr="00687DE8" w:rsidRDefault="005057B4" w:rsidP="00F6495B">
      <w:pPr>
        <w:spacing w:after="0"/>
        <w:jc w:val="both"/>
        <w:rPr>
          <w:szCs w:val="24"/>
        </w:rPr>
      </w:pPr>
      <w:r w:rsidRPr="3E4CC30D">
        <w:rPr>
          <w:rFonts w:eastAsia="Calibri"/>
          <w:color w:val="202020"/>
        </w:rPr>
        <w:t>(</w:t>
      </w:r>
      <w:r w:rsidR="00E931B3">
        <w:rPr>
          <w:rFonts w:eastAsia="Calibri"/>
          <w:color w:val="202020"/>
        </w:rPr>
        <w:t>3</w:t>
      </w:r>
      <w:r w:rsidR="000A6B7C">
        <w:rPr>
          <w:rFonts w:eastAsia="Calibri"/>
          <w:color w:val="202020"/>
        </w:rPr>
        <w:t>8</w:t>
      </w:r>
      <w:r w:rsidRPr="3E4CC30D">
        <w:rPr>
          <w:rFonts w:eastAsia="Calibri"/>
          <w:color w:val="202020"/>
        </w:rPr>
        <w:t xml:space="preserve">) </w:t>
      </w:r>
      <w:r w:rsidR="006D619F" w:rsidRPr="3E4CC30D">
        <w:rPr>
          <w:rFonts w:eastAsia="Calibri"/>
          <w:color w:val="202020"/>
        </w:rPr>
        <w:t>Tervisekassa arvestab koodiga 4516A tähistatud tervishoiuteenuse eest tasu maksmise kohustuse ülevõtmise piirmäära tervishoiuteenuse osutaja kohta Tervisekassa veebilehel</w:t>
      </w:r>
      <w:r w:rsidR="006D619F">
        <w:rPr>
          <w:rFonts w:eastAsia="Calibri"/>
          <w:color w:val="202020"/>
        </w:rPr>
        <w:t xml:space="preserve"> avaldatud</w:t>
      </w:r>
      <w:r w:rsidR="006D619F" w:rsidRPr="3E4CC30D">
        <w:rPr>
          <w:rFonts w:eastAsia="Calibri"/>
          <w:color w:val="202020"/>
        </w:rPr>
        <w:t xml:space="preserve"> metoodika alusel</w:t>
      </w:r>
      <w:r w:rsidR="006D619F">
        <w:rPr>
          <w:rFonts w:eastAsia="Calibri"/>
          <w:color w:val="202020"/>
        </w:rPr>
        <w:t>.</w:t>
      </w:r>
    </w:p>
    <w:p w14:paraId="2C8252DD" w14:textId="3293514B" w:rsidR="1E61D3C4" w:rsidRPr="00687DE8" w:rsidRDefault="1E61D3C4" w:rsidP="27120549">
      <w:pPr>
        <w:spacing w:after="0" w:line="240" w:lineRule="auto"/>
        <w:jc w:val="both"/>
        <w:rPr>
          <w:rFonts w:eastAsia="Calibri"/>
          <w:color w:val="202020"/>
        </w:rPr>
      </w:pPr>
    </w:p>
    <w:p w14:paraId="4E921807" w14:textId="52293646" w:rsidR="4B80AF9A" w:rsidRDefault="4B80AF9A" w:rsidP="27120549">
      <w:pPr>
        <w:spacing w:after="0" w:line="240" w:lineRule="auto"/>
        <w:jc w:val="both"/>
        <w:rPr>
          <w:rFonts w:eastAsia="Calibri"/>
          <w:color w:val="202020"/>
        </w:rPr>
      </w:pPr>
      <w:r w:rsidRPr="27120549">
        <w:rPr>
          <w:rFonts w:eastAsia="Calibri"/>
          <w:color w:val="202020"/>
        </w:rPr>
        <w:t>(</w:t>
      </w:r>
      <w:r w:rsidR="000A6B7C">
        <w:rPr>
          <w:rFonts w:eastAsia="Calibri"/>
          <w:color w:val="202020"/>
        </w:rPr>
        <w:t>39</w:t>
      </w:r>
      <w:r w:rsidRPr="27120549">
        <w:rPr>
          <w:rFonts w:eastAsia="Calibri"/>
          <w:color w:val="202020"/>
        </w:rPr>
        <w:t xml:space="preserve">) </w:t>
      </w:r>
      <w:r w:rsidRPr="1DC6B35C">
        <w:rPr>
          <w:rFonts w:eastAsia="Calibri"/>
          <w:color w:val="202020"/>
        </w:rPr>
        <w:t>Tervisekassa</w:t>
      </w:r>
      <w:r w:rsidRPr="27120549">
        <w:rPr>
          <w:rFonts w:eastAsia="Calibri"/>
          <w:color w:val="202020"/>
        </w:rPr>
        <w:t xml:space="preserve"> võtab koodiga 2074 tähistatud tervishoiuteenuse eest tasu maksmise kohustuse üle </w:t>
      </w:r>
      <w:r w:rsidR="50CDF605" w:rsidRPr="27120549">
        <w:rPr>
          <w:rFonts w:eastAsia="Calibri"/>
          <w:color w:val="202020"/>
        </w:rPr>
        <w:t xml:space="preserve">palliatiivse ravi </w:t>
      </w:r>
      <w:r w:rsidR="00F3579A">
        <w:rPr>
          <w:rFonts w:eastAsia="Calibri"/>
          <w:color w:val="202020"/>
        </w:rPr>
        <w:t xml:space="preserve">vajaduse </w:t>
      </w:r>
      <w:r w:rsidR="50CDF605" w:rsidRPr="27120549">
        <w:rPr>
          <w:rFonts w:eastAsia="Calibri"/>
          <w:color w:val="202020"/>
        </w:rPr>
        <w:t xml:space="preserve">korral kuni </w:t>
      </w:r>
      <w:r w:rsidR="00A3091B">
        <w:rPr>
          <w:rFonts w:eastAsia="Calibri"/>
          <w:color w:val="202020"/>
        </w:rPr>
        <w:t>kümne</w:t>
      </w:r>
      <w:r w:rsidR="50CDF605" w:rsidRPr="27120549">
        <w:rPr>
          <w:rFonts w:eastAsia="Calibri"/>
          <w:color w:val="202020"/>
        </w:rPr>
        <w:t xml:space="preserve"> </w:t>
      </w:r>
      <w:r w:rsidR="50CDF605" w:rsidRPr="796BDB13">
        <w:rPr>
          <w:rFonts w:eastAsia="Calibri"/>
          <w:color w:val="202020"/>
        </w:rPr>
        <w:t>päeva eest</w:t>
      </w:r>
      <w:r w:rsidR="420B497E" w:rsidRPr="796BDB13">
        <w:rPr>
          <w:rFonts w:eastAsia="Calibri"/>
          <w:color w:val="202020"/>
        </w:rPr>
        <w:t xml:space="preserve"> järgmistel juhtudel:</w:t>
      </w:r>
    </w:p>
    <w:p w14:paraId="622A7507" w14:textId="62DB8DC6" w:rsidR="0087266D" w:rsidRDefault="0059E481" w:rsidP="008510C5">
      <w:pPr>
        <w:spacing w:after="0"/>
        <w:jc w:val="both"/>
        <w:rPr>
          <w:color w:val="242424"/>
        </w:rPr>
      </w:pPr>
      <w:r w:rsidRPr="002355AA">
        <w:rPr>
          <w:rFonts w:eastAsia="Segoe UI"/>
          <w:color w:val="242424"/>
        </w:rPr>
        <w:t>1) tervishoiuteenus</w:t>
      </w:r>
      <w:r w:rsidR="00A3091B">
        <w:rPr>
          <w:rFonts w:eastAsia="Segoe UI"/>
          <w:color w:val="242424"/>
        </w:rPr>
        <w:t>t</w:t>
      </w:r>
      <w:r w:rsidRPr="002355AA">
        <w:rPr>
          <w:rFonts w:eastAsia="Segoe UI"/>
          <w:color w:val="242424"/>
        </w:rPr>
        <w:t xml:space="preserve"> osuta</w:t>
      </w:r>
      <w:r w:rsidR="00A3091B">
        <w:rPr>
          <w:rFonts w:eastAsia="Segoe UI"/>
          <w:color w:val="242424"/>
        </w:rPr>
        <w:t>takse</w:t>
      </w:r>
      <w:r w:rsidRPr="002355AA">
        <w:rPr>
          <w:rFonts w:eastAsia="Segoe UI"/>
          <w:color w:val="242424"/>
        </w:rPr>
        <w:t xml:space="preserve"> palliatiivse</w:t>
      </w:r>
      <w:r w:rsidR="00A3091B">
        <w:rPr>
          <w:rFonts w:eastAsia="Segoe UI"/>
          <w:color w:val="242424"/>
        </w:rPr>
        <w:t>ks</w:t>
      </w:r>
      <w:r w:rsidRPr="002355AA">
        <w:rPr>
          <w:rFonts w:eastAsia="Segoe UI"/>
          <w:color w:val="242424"/>
        </w:rPr>
        <w:t xml:space="preserve"> ravi</w:t>
      </w:r>
      <w:r w:rsidR="00A3091B">
        <w:rPr>
          <w:rFonts w:eastAsia="Segoe UI"/>
          <w:color w:val="242424"/>
        </w:rPr>
        <w:t>ks</w:t>
      </w:r>
      <w:r w:rsidRPr="002355AA">
        <w:rPr>
          <w:rFonts w:eastAsia="Segoe UI"/>
          <w:color w:val="242424"/>
        </w:rPr>
        <w:t xml:space="preserve"> kohandatud osakonnas, kus töötavad palliatiivse ravi täiendkoolituse läbinud arstid, õed ja hooldajad</w:t>
      </w:r>
      <w:r w:rsidR="00E053A9">
        <w:rPr>
          <w:rFonts w:eastAsia="Segoe UI"/>
          <w:color w:val="242424"/>
        </w:rPr>
        <w:t xml:space="preserve"> </w:t>
      </w:r>
      <w:r w:rsidR="005B5CBF">
        <w:rPr>
          <w:rFonts w:eastAsia="Segoe UI"/>
          <w:color w:val="242424"/>
        </w:rPr>
        <w:t>ning</w:t>
      </w:r>
      <w:r w:rsidR="00E053A9">
        <w:rPr>
          <w:rFonts w:eastAsia="Segoe UI"/>
          <w:color w:val="242424"/>
        </w:rPr>
        <w:t xml:space="preserve"> lisaks </w:t>
      </w:r>
      <w:r w:rsidR="00E053A9" w:rsidRPr="00DF011F">
        <w:rPr>
          <w:rFonts w:eastAsia="Segoe UI"/>
          <w:color w:val="242424"/>
          <w:szCs w:val="24"/>
        </w:rPr>
        <w:t>sotsiaaltöötaja,</w:t>
      </w:r>
      <w:r w:rsidR="00E053A9">
        <w:rPr>
          <w:rFonts w:eastAsia="Segoe UI"/>
          <w:color w:val="242424"/>
          <w:szCs w:val="24"/>
        </w:rPr>
        <w:t xml:space="preserve"> </w:t>
      </w:r>
      <w:r w:rsidR="00E053A9" w:rsidRPr="00DF011F">
        <w:rPr>
          <w:rFonts w:eastAsia="Segoe UI"/>
          <w:color w:val="242424"/>
          <w:szCs w:val="24"/>
        </w:rPr>
        <w:t>juhtumikorraldaja</w:t>
      </w:r>
      <w:r w:rsidR="00E053A9">
        <w:rPr>
          <w:rFonts w:eastAsia="Segoe UI"/>
          <w:color w:val="242424"/>
          <w:szCs w:val="24"/>
        </w:rPr>
        <w:t xml:space="preserve"> ja</w:t>
      </w:r>
      <w:r w:rsidR="00E053A9" w:rsidRPr="00DF011F">
        <w:rPr>
          <w:rFonts w:eastAsia="Segoe UI"/>
          <w:color w:val="242424"/>
          <w:szCs w:val="24"/>
        </w:rPr>
        <w:t xml:space="preserve"> hingehoidja</w:t>
      </w:r>
      <w:r w:rsidR="00E053A9">
        <w:rPr>
          <w:rFonts w:eastAsia="Segoe UI"/>
          <w:color w:val="242424"/>
          <w:szCs w:val="24"/>
        </w:rPr>
        <w:t xml:space="preserve"> või </w:t>
      </w:r>
      <w:r w:rsidR="00E053A9" w:rsidRPr="00DF011F">
        <w:rPr>
          <w:rFonts w:eastAsia="Segoe UI"/>
          <w:color w:val="242424"/>
          <w:szCs w:val="24"/>
        </w:rPr>
        <w:t>kaplan ja/või psühholoog</w:t>
      </w:r>
      <w:r w:rsidR="168DFBFF" w:rsidRPr="2A7C7227">
        <w:rPr>
          <w:color w:val="242424"/>
        </w:rPr>
        <w:t>;</w:t>
      </w:r>
    </w:p>
    <w:p w14:paraId="2AC72E16" w14:textId="1AAA5282" w:rsidR="0059E481" w:rsidRPr="002355AA" w:rsidRDefault="0059E481" w:rsidP="008510C5">
      <w:pPr>
        <w:spacing w:after="0"/>
        <w:jc w:val="both"/>
        <w:rPr>
          <w:rFonts w:eastAsia="Segoe UI"/>
          <w:color w:val="242424"/>
          <w:szCs w:val="24"/>
        </w:rPr>
      </w:pPr>
      <w:r w:rsidRPr="008510C5">
        <w:rPr>
          <w:rFonts w:eastAsia="Segoe UI"/>
          <w:color w:val="242424"/>
          <w:szCs w:val="24"/>
        </w:rPr>
        <w:t>2) teenus</w:t>
      </w:r>
      <w:r w:rsidR="00A3091B">
        <w:rPr>
          <w:rFonts w:eastAsia="Segoe UI"/>
          <w:color w:val="242424"/>
          <w:szCs w:val="24"/>
        </w:rPr>
        <w:t>t</w:t>
      </w:r>
      <w:r w:rsidRPr="008510C5">
        <w:rPr>
          <w:rFonts w:eastAsia="Segoe UI"/>
          <w:color w:val="242424"/>
          <w:szCs w:val="24"/>
        </w:rPr>
        <w:t xml:space="preserve"> osuta</w:t>
      </w:r>
      <w:r w:rsidR="00291A90">
        <w:rPr>
          <w:rFonts w:eastAsia="Segoe UI"/>
          <w:color w:val="242424"/>
          <w:szCs w:val="24"/>
        </w:rPr>
        <w:t>b</w:t>
      </w:r>
      <w:r w:rsidRPr="008510C5">
        <w:rPr>
          <w:rFonts w:eastAsia="Segoe UI"/>
          <w:color w:val="242424"/>
          <w:szCs w:val="24"/>
        </w:rPr>
        <w:t xml:space="preserve"> interdistsiplinaar</w:t>
      </w:r>
      <w:r w:rsidR="00291A90">
        <w:rPr>
          <w:rFonts w:eastAsia="Segoe UI"/>
          <w:color w:val="242424"/>
          <w:szCs w:val="24"/>
        </w:rPr>
        <w:t>ne</w:t>
      </w:r>
      <w:r w:rsidRPr="008510C5">
        <w:rPr>
          <w:rFonts w:eastAsia="Segoe UI"/>
          <w:color w:val="242424"/>
          <w:szCs w:val="24"/>
        </w:rPr>
        <w:t xml:space="preserve"> meeskon</w:t>
      </w:r>
      <w:r w:rsidR="00291A90">
        <w:rPr>
          <w:rFonts w:eastAsia="Segoe UI"/>
          <w:color w:val="242424"/>
          <w:szCs w:val="24"/>
        </w:rPr>
        <w:t>d</w:t>
      </w:r>
      <w:r w:rsidRPr="008510C5">
        <w:rPr>
          <w:rFonts w:eastAsia="Segoe UI"/>
          <w:color w:val="242424"/>
          <w:szCs w:val="24"/>
        </w:rPr>
        <w:t xml:space="preserve"> ja järgitakse tõenduspõhiseid palliatiivse ravi juhiseid</w:t>
      </w:r>
      <w:r w:rsidR="49984002" w:rsidRPr="40A15238">
        <w:rPr>
          <w:color w:val="242424"/>
          <w:szCs w:val="24"/>
        </w:rPr>
        <w:t>;</w:t>
      </w:r>
    </w:p>
    <w:p w14:paraId="23247673" w14:textId="132C0C1D" w:rsidR="0059E481" w:rsidRPr="002355AA" w:rsidRDefault="705B8390" w:rsidP="002355AA">
      <w:pPr>
        <w:spacing w:after="0"/>
        <w:jc w:val="both"/>
        <w:rPr>
          <w:rFonts w:eastAsia="Segoe UI"/>
          <w:color w:val="242424"/>
        </w:rPr>
      </w:pPr>
      <w:r w:rsidRPr="72E033F3">
        <w:rPr>
          <w:rFonts w:eastAsia="Segoe UI"/>
          <w:color w:val="242424"/>
        </w:rPr>
        <w:t>3</w:t>
      </w:r>
      <w:r w:rsidR="0059E481" w:rsidRPr="002355AA">
        <w:rPr>
          <w:rFonts w:eastAsia="Segoe UI"/>
          <w:color w:val="242424"/>
        </w:rPr>
        <w:t>) vajaduse</w:t>
      </w:r>
      <w:r w:rsidR="00A3091B">
        <w:rPr>
          <w:rFonts w:eastAsia="Segoe UI"/>
          <w:color w:val="242424"/>
        </w:rPr>
        <w:t xml:space="preserve"> korra</w:t>
      </w:r>
      <w:r w:rsidR="0059E481" w:rsidRPr="002355AA">
        <w:rPr>
          <w:rFonts w:eastAsia="Segoe UI"/>
          <w:color w:val="242424"/>
        </w:rPr>
        <w:t>l on teenuse osutamis</w:t>
      </w:r>
      <w:r w:rsidR="00A3091B">
        <w:rPr>
          <w:rFonts w:eastAsia="Segoe UI"/>
          <w:color w:val="242424"/>
        </w:rPr>
        <w:t>se</w:t>
      </w:r>
      <w:r w:rsidR="0059E481" w:rsidRPr="002355AA">
        <w:rPr>
          <w:rFonts w:eastAsia="Segoe UI"/>
          <w:color w:val="242424"/>
        </w:rPr>
        <w:t xml:space="preserve"> kaasatud füsioterapeut, logopeed või muu patsiendi terviklikuks käsitluseks vajalik spetsialist.</w:t>
      </w:r>
    </w:p>
    <w:p w14:paraId="1CFAB754" w14:textId="77777777" w:rsidR="006E13C3" w:rsidRDefault="006E13C3" w:rsidP="0116EB49">
      <w:pPr>
        <w:spacing w:after="0" w:line="240" w:lineRule="auto"/>
        <w:jc w:val="both"/>
        <w:rPr>
          <w:color w:val="202020"/>
        </w:rPr>
      </w:pPr>
    </w:p>
    <w:p w14:paraId="3641884F" w14:textId="7F31CBBC" w:rsidR="36000A00" w:rsidRPr="00240BC3" w:rsidRDefault="35AD3C66" w:rsidP="0054615C">
      <w:pPr>
        <w:pStyle w:val="Vahedeta"/>
        <w:jc w:val="both"/>
        <w:rPr>
          <w:rFonts w:eastAsia="Calibri"/>
          <w:lang w:val="sv-SE"/>
        </w:rPr>
      </w:pPr>
      <w:r w:rsidRPr="002355AA">
        <w:rPr>
          <w:rFonts w:eastAsia="Calibri"/>
          <w:lang w:val="sv-SE"/>
        </w:rPr>
        <w:t>(</w:t>
      </w:r>
      <w:r w:rsidR="002A2DFD">
        <w:rPr>
          <w:rFonts w:eastAsia="Calibri"/>
          <w:lang w:val="sv-SE"/>
        </w:rPr>
        <w:t>4</w:t>
      </w:r>
      <w:r w:rsidR="000A6B7C">
        <w:rPr>
          <w:rFonts w:eastAsia="Calibri"/>
          <w:lang w:val="sv-SE"/>
        </w:rPr>
        <w:t>0</w:t>
      </w:r>
      <w:r w:rsidRPr="002355AA">
        <w:rPr>
          <w:rFonts w:eastAsia="Calibri"/>
          <w:lang w:val="sv-SE"/>
        </w:rPr>
        <w:t>) Koodiga 20</w:t>
      </w:r>
      <w:r w:rsidRPr="009F6A6E">
        <w:rPr>
          <w:rFonts w:eastAsia="Calibri"/>
          <w:lang w:val="sv-SE"/>
        </w:rPr>
        <w:t>74</w:t>
      </w:r>
      <w:r w:rsidRPr="002355AA">
        <w:rPr>
          <w:rFonts w:eastAsia="Calibri"/>
          <w:lang w:val="sv-SE"/>
        </w:rPr>
        <w:t xml:space="preserve"> tähistatud </w:t>
      </w:r>
      <w:r w:rsidR="5130FAA7" w:rsidRPr="002355AA">
        <w:rPr>
          <w:rFonts w:eastAsia="Calibri"/>
          <w:lang w:val="sv-SE"/>
        </w:rPr>
        <w:t xml:space="preserve">teenuse </w:t>
      </w:r>
      <w:r w:rsidR="53B862F2" w:rsidRPr="002355AA">
        <w:rPr>
          <w:rFonts w:eastAsia="Calibri"/>
          <w:lang w:val="sv-SE"/>
        </w:rPr>
        <w:t xml:space="preserve">piirhind sisaldab </w:t>
      </w:r>
      <w:r w:rsidR="5130FAA7" w:rsidRPr="002355AA">
        <w:rPr>
          <w:rFonts w:eastAsia="Arial"/>
          <w:lang w:val="sv-SE"/>
        </w:rPr>
        <w:t>§ 15</w:t>
      </w:r>
      <w:r w:rsidR="5130FAA7" w:rsidRPr="002355AA">
        <w:rPr>
          <w:lang w:val="sv-SE"/>
        </w:rPr>
        <w:t xml:space="preserve"> lõikes 7 </w:t>
      </w:r>
      <w:r w:rsidR="2399AB97" w:rsidRPr="002355AA">
        <w:rPr>
          <w:lang w:val="sv-SE"/>
        </w:rPr>
        <w:t xml:space="preserve">kirjeldatud </w:t>
      </w:r>
      <w:r w:rsidR="2399AB97" w:rsidRPr="002355AA">
        <w:rPr>
          <w:rFonts w:eastAsia="Calibri"/>
          <w:lang w:val="sv-SE"/>
        </w:rPr>
        <w:t>kulutusi</w:t>
      </w:r>
      <w:r w:rsidR="2399AB97" w:rsidRPr="002355AA">
        <w:rPr>
          <w:lang w:val="sv-SE"/>
        </w:rPr>
        <w:t>.</w:t>
      </w:r>
    </w:p>
    <w:p w14:paraId="0C640DDF" w14:textId="0CB276D8" w:rsidR="0E7D7726" w:rsidRPr="00240BC3" w:rsidRDefault="0E7D7726" w:rsidP="0E7D7726">
      <w:pPr>
        <w:pStyle w:val="Vahedeta"/>
        <w:rPr>
          <w:lang w:val="sv-SE"/>
        </w:rPr>
      </w:pPr>
    </w:p>
    <w:p w14:paraId="323F8AE3" w14:textId="3461D7CB" w:rsidR="005C621B" w:rsidRPr="002355AA" w:rsidRDefault="005C621B" w:rsidP="000250E5">
      <w:pPr>
        <w:pStyle w:val="Vahedeta"/>
        <w:jc w:val="both"/>
        <w:rPr>
          <w:rFonts w:eastAsia="Calibri"/>
          <w:color w:val="333333"/>
          <w:lang w:val="sv-SE"/>
        </w:rPr>
      </w:pPr>
      <w:r w:rsidRPr="4C2F67A1">
        <w:rPr>
          <w:lang w:val="sv-SE"/>
        </w:rPr>
        <w:lastRenderedPageBreak/>
        <w:t>(</w:t>
      </w:r>
      <w:r w:rsidR="002A2DFD">
        <w:rPr>
          <w:lang w:val="sv-SE"/>
        </w:rPr>
        <w:t>4</w:t>
      </w:r>
      <w:r w:rsidR="000A6B7C">
        <w:rPr>
          <w:lang w:val="sv-SE"/>
        </w:rPr>
        <w:t>1</w:t>
      </w:r>
      <w:r w:rsidRPr="002355AA">
        <w:rPr>
          <w:lang w:val="sv-SE"/>
        </w:rPr>
        <w:t>)</w:t>
      </w:r>
      <w:r w:rsidRPr="009F6A6E">
        <w:rPr>
          <w:lang w:val="sv-SE"/>
        </w:rPr>
        <w:t xml:space="preserve"> </w:t>
      </w:r>
      <w:r>
        <w:rPr>
          <w:rFonts w:eastAsia="Segoe UI"/>
          <w:lang w:val="sv-SE"/>
        </w:rPr>
        <w:t>P</w:t>
      </w:r>
      <w:r w:rsidRPr="00334F79">
        <w:rPr>
          <w:rFonts w:eastAsia="Segoe UI"/>
          <w:lang w:val="sv-SE"/>
        </w:rPr>
        <w:t>alliatiivsele ravile saabumise ja palliatiivselt ravilt lahkumise päev arvestatakse ühe päevana ning kood</w:t>
      </w:r>
      <w:r>
        <w:rPr>
          <w:rFonts w:eastAsia="Segoe UI"/>
          <w:lang w:val="sv-SE"/>
        </w:rPr>
        <w:t>iga</w:t>
      </w:r>
      <w:r w:rsidRPr="00334F79">
        <w:rPr>
          <w:rFonts w:eastAsia="Segoe UI"/>
          <w:lang w:val="sv-SE"/>
        </w:rPr>
        <w:t xml:space="preserve"> 2074</w:t>
      </w:r>
      <w:r>
        <w:rPr>
          <w:rFonts w:eastAsia="Segoe UI"/>
          <w:lang w:val="sv-SE"/>
        </w:rPr>
        <w:t xml:space="preserve"> tähistatud </w:t>
      </w:r>
      <w:r w:rsidRPr="00334F79">
        <w:rPr>
          <w:rFonts w:eastAsia="Segoe UI"/>
          <w:lang w:val="sv-SE"/>
        </w:rPr>
        <w:t>voodipäevade maksimaalse arvu ületamisel rakendatakse järelravi (kood 2047) voodipäeva piirhinda.</w:t>
      </w:r>
    </w:p>
    <w:p w14:paraId="14C2EC1E" w14:textId="2F700424" w:rsidR="57E38F96" w:rsidRDefault="57E38F96" w:rsidP="57E38F96">
      <w:pPr>
        <w:spacing w:after="0" w:line="240" w:lineRule="auto"/>
        <w:jc w:val="both"/>
        <w:rPr>
          <w:rFonts w:eastAsia="Calibri"/>
          <w:color w:val="202020"/>
        </w:rPr>
      </w:pPr>
    </w:p>
    <w:p w14:paraId="4DA94D76" w14:textId="28A06130" w:rsidR="4B80AF9A" w:rsidRPr="002355AA" w:rsidRDefault="4B80AF9A" w:rsidP="27120549">
      <w:pPr>
        <w:spacing w:after="0" w:line="240" w:lineRule="auto"/>
        <w:jc w:val="both"/>
        <w:rPr>
          <w:rFonts w:eastAsia="Arial"/>
          <w:color w:val="202020"/>
        </w:rPr>
      </w:pPr>
      <w:r w:rsidRPr="1C20F177">
        <w:rPr>
          <w:rFonts w:eastAsia="Calibri"/>
          <w:color w:val="202020"/>
        </w:rPr>
        <w:t>(</w:t>
      </w:r>
      <w:r w:rsidR="002A2DFD">
        <w:rPr>
          <w:rFonts w:eastAsia="Calibri"/>
          <w:color w:val="202020"/>
        </w:rPr>
        <w:t>4</w:t>
      </w:r>
      <w:r w:rsidR="000A6B7C">
        <w:rPr>
          <w:rFonts w:eastAsia="Calibri"/>
          <w:color w:val="202020"/>
        </w:rPr>
        <w:t>2</w:t>
      </w:r>
      <w:r w:rsidRPr="1C20F177">
        <w:rPr>
          <w:rFonts w:eastAsia="Calibri"/>
          <w:color w:val="202020"/>
        </w:rPr>
        <w:t xml:space="preserve">) </w:t>
      </w:r>
      <w:r w:rsidR="604C3F9E" w:rsidRPr="1C20F177">
        <w:rPr>
          <w:rFonts w:eastAsia="Calibri"/>
          <w:color w:val="202020"/>
        </w:rPr>
        <w:t xml:space="preserve">Koodiga </w:t>
      </w:r>
      <w:r w:rsidR="00D72192" w:rsidRPr="1C20F177">
        <w:rPr>
          <w:color w:val="202020"/>
        </w:rPr>
        <w:t>3244</w:t>
      </w:r>
      <w:r w:rsidR="604C3F9E" w:rsidRPr="1C20F177">
        <w:rPr>
          <w:rFonts w:eastAsia="Calibri"/>
          <w:color w:val="202020"/>
        </w:rPr>
        <w:t xml:space="preserve"> tähistatud </w:t>
      </w:r>
      <w:r w:rsidR="604C3F9E" w:rsidRPr="002355AA">
        <w:rPr>
          <w:rFonts w:eastAsia="Arial"/>
          <w:color w:val="202020"/>
        </w:rPr>
        <w:t xml:space="preserve">tervishoiuteenust osutava </w:t>
      </w:r>
      <w:r w:rsidR="604C3F9E" w:rsidRPr="1C20F177">
        <w:rPr>
          <w:color w:val="202020"/>
        </w:rPr>
        <w:t xml:space="preserve">palliatiivse ravi meeskonna </w:t>
      </w:r>
      <w:r w:rsidR="604C3F9E" w:rsidRPr="002355AA">
        <w:rPr>
          <w:rFonts w:eastAsia="Arial"/>
          <w:color w:val="202020"/>
        </w:rPr>
        <w:t xml:space="preserve">koosseisu kuuluvad </w:t>
      </w:r>
      <w:r w:rsidR="604C3F9E" w:rsidRPr="1C20F177">
        <w:rPr>
          <w:color w:val="202020"/>
        </w:rPr>
        <w:t>palliatiiv</w:t>
      </w:r>
      <w:r w:rsidR="712C5802" w:rsidRPr="1C20F177">
        <w:rPr>
          <w:color w:val="202020"/>
        </w:rPr>
        <w:t xml:space="preserve">se ravi </w:t>
      </w:r>
      <w:r w:rsidR="45F6E44F" w:rsidRPr="0A71BB8A">
        <w:rPr>
          <w:color w:val="202020"/>
        </w:rPr>
        <w:t>täiend</w:t>
      </w:r>
      <w:r w:rsidR="005B0F22" w:rsidRPr="0A71BB8A">
        <w:rPr>
          <w:color w:val="202020"/>
        </w:rPr>
        <w:t>koolituse</w:t>
      </w:r>
      <w:r w:rsidR="5E5A5FCF" w:rsidRPr="0A71BB8A">
        <w:rPr>
          <w:color w:val="202020"/>
        </w:rPr>
        <w:t xml:space="preserve"> läbinud</w:t>
      </w:r>
      <w:r w:rsidR="712C5802" w:rsidRPr="1C20F177">
        <w:rPr>
          <w:color w:val="202020"/>
        </w:rPr>
        <w:t xml:space="preserve"> </w:t>
      </w:r>
      <w:r w:rsidR="712C5802" w:rsidRPr="0A71BB8A">
        <w:rPr>
          <w:color w:val="202020"/>
        </w:rPr>
        <w:t>arst</w:t>
      </w:r>
      <w:r w:rsidR="604C3F9E" w:rsidRPr="00240BC3">
        <w:rPr>
          <w:rFonts w:eastAsia="Arial"/>
          <w:color w:val="202020"/>
        </w:rPr>
        <w:t xml:space="preserve">, õde või </w:t>
      </w:r>
      <w:r w:rsidR="74AC9450" w:rsidRPr="1C20F177">
        <w:rPr>
          <w:color w:val="202020"/>
        </w:rPr>
        <w:t>koordinaator</w:t>
      </w:r>
      <w:r w:rsidR="604C3F9E" w:rsidRPr="002355AA">
        <w:rPr>
          <w:rFonts w:eastAsia="Arial"/>
          <w:color w:val="202020"/>
        </w:rPr>
        <w:t xml:space="preserve"> ja </w:t>
      </w:r>
      <w:r w:rsidR="669238FF" w:rsidRPr="1C20F177">
        <w:rPr>
          <w:color w:val="202020"/>
        </w:rPr>
        <w:t xml:space="preserve">vähemalt üks </w:t>
      </w:r>
      <w:r w:rsidR="604C3F9E" w:rsidRPr="002355AA">
        <w:rPr>
          <w:rFonts w:eastAsia="Arial"/>
          <w:color w:val="202020"/>
        </w:rPr>
        <w:t xml:space="preserve">spetsialist järgmisest loetelust: psühholoog, </w:t>
      </w:r>
      <w:r w:rsidR="60CB7ABE" w:rsidRPr="1C20F177">
        <w:rPr>
          <w:color w:val="202020"/>
        </w:rPr>
        <w:t>hingehoidja, sotsiaaltöötaja</w:t>
      </w:r>
      <w:r w:rsidR="005871C9" w:rsidRPr="45CC705A">
        <w:rPr>
          <w:color w:val="202020"/>
        </w:rPr>
        <w:t>, füsioterapeut</w:t>
      </w:r>
      <w:r w:rsidR="604C3F9E" w:rsidRPr="69F7C73E">
        <w:rPr>
          <w:rFonts w:eastAsia="Arial"/>
          <w:color w:val="202020"/>
        </w:rPr>
        <w:t>.</w:t>
      </w:r>
    </w:p>
    <w:p w14:paraId="4B097D76" w14:textId="401E71AB" w:rsidR="27120549" w:rsidRDefault="27120549" w:rsidP="27120549">
      <w:pPr>
        <w:spacing w:after="0" w:line="240" w:lineRule="auto"/>
        <w:jc w:val="both"/>
        <w:rPr>
          <w:rFonts w:eastAsia="Calibri"/>
          <w:color w:val="202020"/>
        </w:rPr>
      </w:pPr>
    </w:p>
    <w:p w14:paraId="3BDCABEA" w14:textId="2BBD2B22" w:rsidR="38C5C65C" w:rsidRDefault="39A73246" w:rsidP="27120549">
      <w:pPr>
        <w:spacing w:after="0" w:line="240" w:lineRule="auto"/>
        <w:jc w:val="both"/>
        <w:rPr>
          <w:rFonts w:eastAsia="Calibri"/>
          <w:color w:val="202020"/>
        </w:rPr>
      </w:pPr>
      <w:r w:rsidRPr="1C20F177">
        <w:rPr>
          <w:rFonts w:eastAsia="Calibri"/>
          <w:color w:val="202020"/>
        </w:rPr>
        <w:t>(</w:t>
      </w:r>
      <w:r w:rsidR="002A2DFD">
        <w:rPr>
          <w:rFonts w:eastAsia="Calibri"/>
          <w:color w:val="202020"/>
        </w:rPr>
        <w:t>4</w:t>
      </w:r>
      <w:r w:rsidR="000A6B7C">
        <w:rPr>
          <w:rFonts w:eastAsia="Calibri"/>
          <w:color w:val="202020"/>
        </w:rPr>
        <w:t>3</w:t>
      </w:r>
      <w:r w:rsidRPr="1C20F177">
        <w:rPr>
          <w:rFonts w:eastAsia="Calibri"/>
          <w:color w:val="202020"/>
        </w:rPr>
        <w:t xml:space="preserve">) </w:t>
      </w:r>
      <w:r w:rsidR="29578384" w:rsidRPr="1C20F177">
        <w:rPr>
          <w:rFonts w:eastAsia="Calibri"/>
          <w:color w:val="202020"/>
        </w:rPr>
        <w:t xml:space="preserve">Tervisekassa võtab koodiga </w:t>
      </w:r>
      <w:r w:rsidR="00D72192" w:rsidRPr="1C20F177">
        <w:rPr>
          <w:rFonts w:eastAsia="Calibri"/>
          <w:color w:val="202020"/>
        </w:rPr>
        <w:t>3244</w:t>
      </w:r>
      <w:r w:rsidR="4B80AF9A" w:rsidRPr="1C20F177">
        <w:rPr>
          <w:rFonts w:eastAsia="Calibri"/>
          <w:color w:val="202020"/>
        </w:rPr>
        <w:t xml:space="preserve"> tähistatud tervishoiuteenus</w:t>
      </w:r>
      <w:r w:rsidR="382E7591" w:rsidRPr="1C20F177">
        <w:rPr>
          <w:rFonts w:eastAsia="Calibri"/>
          <w:color w:val="202020"/>
        </w:rPr>
        <w:t xml:space="preserve">e eest tasu maksmise kohustuse üle </w:t>
      </w:r>
      <w:r w:rsidR="418487B4" w:rsidRPr="320559CB">
        <w:rPr>
          <w:rFonts w:eastAsia="Calibri"/>
          <w:color w:val="202020"/>
        </w:rPr>
        <w:t xml:space="preserve">kuni </w:t>
      </w:r>
      <w:r w:rsidR="007A3DC3">
        <w:rPr>
          <w:rFonts w:eastAsia="Calibri"/>
          <w:color w:val="202020"/>
        </w:rPr>
        <w:t>kolm</w:t>
      </w:r>
      <w:r w:rsidR="418487B4" w:rsidRPr="320559CB">
        <w:rPr>
          <w:rFonts w:eastAsia="Calibri"/>
          <w:color w:val="202020"/>
        </w:rPr>
        <w:t xml:space="preserve"> korda </w:t>
      </w:r>
      <w:r w:rsidR="25F81888" w:rsidRPr="4D1ECAAD">
        <w:rPr>
          <w:rFonts w:eastAsia="Calibri"/>
          <w:color w:val="202020"/>
        </w:rPr>
        <w:t xml:space="preserve">12 kuu jooksul </w:t>
      </w:r>
      <w:r w:rsidR="382E7591" w:rsidRPr="01B70A9E">
        <w:rPr>
          <w:rFonts w:eastAsia="Calibri"/>
          <w:color w:val="202020"/>
        </w:rPr>
        <w:t>juhul, kui dokumenteeritud raviplaan sisaldab järgmisi andmeid:</w:t>
      </w:r>
    </w:p>
    <w:p w14:paraId="7A6CDCE0" w14:textId="106EC95F" w:rsidR="000250E5" w:rsidRPr="00983683" w:rsidRDefault="382E7591" w:rsidP="00190F51">
      <w:pPr>
        <w:spacing w:after="0" w:line="240" w:lineRule="auto"/>
        <w:jc w:val="both"/>
      </w:pPr>
      <w:r w:rsidRPr="009F6A6E">
        <w:rPr>
          <w:color w:val="202020"/>
        </w:rPr>
        <w:t xml:space="preserve">1) </w:t>
      </w:r>
      <w:r w:rsidR="7BFE4AF1" w:rsidRPr="6115E96D">
        <w:rPr>
          <w:color w:val="202020"/>
        </w:rPr>
        <w:t>palliatiivse</w:t>
      </w:r>
      <w:r w:rsidRPr="6115E96D">
        <w:rPr>
          <w:color w:val="202020"/>
        </w:rPr>
        <w:t xml:space="preserve"> </w:t>
      </w:r>
      <w:r w:rsidRPr="00983683">
        <w:t>ravi</w:t>
      </w:r>
      <w:r w:rsidR="00A85F19">
        <w:t xml:space="preserve"> </w:t>
      </w:r>
      <w:r w:rsidRPr="00983683">
        <w:t xml:space="preserve">plaani koostamise või muutmise vajadus: </w:t>
      </w:r>
      <w:r w:rsidR="1F1427F6" w:rsidRPr="00983683">
        <w:t>patsiendi tervis</w:t>
      </w:r>
      <w:r w:rsidR="00F324EC" w:rsidRPr="00983683">
        <w:t>e</w:t>
      </w:r>
      <w:r w:rsidR="1F1427F6" w:rsidRPr="00983683">
        <w:t>seisund ja toimetulek igapäevaeluga;</w:t>
      </w:r>
    </w:p>
    <w:p w14:paraId="782003BC" w14:textId="6585F448" w:rsidR="382E7591" w:rsidRPr="00983683" w:rsidRDefault="1AAED289" w:rsidP="00190F51">
      <w:pPr>
        <w:spacing w:after="0" w:line="240" w:lineRule="auto"/>
        <w:jc w:val="both"/>
      </w:pPr>
      <w:r w:rsidRPr="00983683">
        <w:t>2</w:t>
      </w:r>
      <w:r w:rsidR="382E7591" w:rsidRPr="00983683">
        <w:t>)</w:t>
      </w:r>
      <w:r w:rsidR="001A4562" w:rsidRPr="00983683">
        <w:t xml:space="preserve"> ravi eesmärgid ja </w:t>
      </w:r>
      <w:r w:rsidR="00F93BB8" w:rsidRPr="00983683">
        <w:t>ravi</w:t>
      </w:r>
      <w:r w:rsidR="001A4562" w:rsidRPr="00983683">
        <w:t>võimalused</w:t>
      </w:r>
      <w:r w:rsidR="00111309" w:rsidRPr="00983683">
        <w:rPr>
          <w:szCs w:val="24"/>
        </w:rPr>
        <w:t>, se</w:t>
      </w:r>
      <w:r w:rsidR="00141AF3" w:rsidRPr="00983683">
        <w:rPr>
          <w:szCs w:val="24"/>
        </w:rPr>
        <w:t>a</w:t>
      </w:r>
      <w:r w:rsidR="00111309" w:rsidRPr="00983683">
        <w:rPr>
          <w:szCs w:val="24"/>
        </w:rPr>
        <w:t xml:space="preserve">lhulgas </w:t>
      </w:r>
      <w:r w:rsidR="7E980D16" w:rsidRPr="00983683">
        <w:rPr>
          <w:szCs w:val="24"/>
        </w:rPr>
        <w:t xml:space="preserve">hinnang </w:t>
      </w:r>
      <w:r w:rsidR="1F1427F6" w:rsidRPr="00983683">
        <w:rPr>
          <w:szCs w:val="24"/>
        </w:rPr>
        <w:t xml:space="preserve">patsiendi ja </w:t>
      </w:r>
      <w:r w:rsidR="00A3091B" w:rsidRPr="00983683">
        <w:rPr>
          <w:szCs w:val="24"/>
        </w:rPr>
        <w:t xml:space="preserve">tema </w:t>
      </w:r>
      <w:r w:rsidR="7E980D16" w:rsidRPr="00983683">
        <w:rPr>
          <w:szCs w:val="24"/>
        </w:rPr>
        <w:t>lähedaste psühhosotsiaalse toetamise vajadus</w:t>
      </w:r>
      <w:r w:rsidR="00C523EF" w:rsidRPr="00983683">
        <w:rPr>
          <w:szCs w:val="24"/>
        </w:rPr>
        <w:t>ele</w:t>
      </w:r>
      <w:r w:rsidR="7E980D16" w:rsidRPr="00983683">
        <w:rPr>
          <w:szCs w:val="24"/>
        </w:rPr>
        <w:t xml:space="preserve"> ja võimalus</w:t>
      </w:r>
      <w:r w:rsidR="00153204" w:rsidRPr="00983683">
        <w:rPr>
          <w:szCs w:val="24"/>
        </w:rPr>
        <w:t>tele</w:t>
      </w:r>
      <w:r w:rsidR="6B6EE171" w:rsidRPr="00983683">
        <w:rPr>
          <w:szCs w:val="24"/>
        </w:rPr>
        <w:t>;</w:t>
      </w:r>
    </w:p>
    <w:p w14:paraId="6DCD8EFD" w14:textId="727B0763" w:rsidR="00D94151" w:rsidRPr="00983683" w:rsidRDefault="32338E74" w:rsidP="00D94151">
      <w:pPr>
        <w:spacing w:after="0" w:line="240" w:lineRule="auto"/>
        <w:jc w:val="both"/>
      </w:pPr>
      <w:r w:rsidRPr="00983683">
        <w:t>3</w:t>
      </w:r>
      <w:r w:rsidR="382E7591" w:rsidRPr="00983683">
        <w:t xml:space="preserve">) </w:t>
      </w:r>
      <w:r w:rsidR="00D94151" w:rsidRPr="00983683">
        <w:t>rakendatav raviplaan ja otsused (raviviis(id) koos põhjendusega)</w:t>
      </w:r>
      <w:r w:rsidR="00BA30BD" w:rsidRPr="00983683">
        <w:t>, sealhulgas palliatiivse ravi spetsialisti vastuvõtu vajadus</w:t>
      </w:r>
      <w:r w:rsidR="00D94151" w:rsidRPr="00983683">
        <w:t>;</w:t>
      </w:r>
    </w:p>
    <w:p w14:paraId="3C0C45C7" w14:textId="217E81E0" w:rsidR="382E7591" w:rsidRDefault="1D2B27F9" w:rsidP="01B70A9E">
      <w:pPr>
        <w:spacing w:after="0" w:line="240" w:lineRule="auto"/>
        <w:jc w:val="both"/>
      </w:pPr>
      <w:r>
        <w:t>4</w:t>
      </w:r>
      <w:r w:rsidR="3398FEC3">
        <w:t xml:space="preserve">) </w:t>
      </w:r>
      <w:r w:rsidR="00D94151">
        <w:t>ravitulemuste hindamine;</w:t>
      </w:r>
    </w:p>
    <w:p w14:paraId="4114EDF9" w14:textId="77777777" w:rsidR="00A3091B" w:rsidRDefault="4BB85082" w:rsidP="0054615C">
      <w:pPr>
        <w:spacing w:after="0" w:line="240" w:lineRule="auto"/>
        <w:jc w:val="both"/>
      </w:pPr>
      <w:r>
        <w:t>5</w:t>
      </w:r>
      <w:r w:rsidR="3398FEC3">
        <w:t>)</w:t>
      </w:r>
      <w:r w:rsidR="00E97FF2">
        <w:t xml:space="preserve"> </w:t>
      </w:r>
      <w:r w:rsidR="00D94151">
        <w:t>raviplaani regulaarse ülevaatamise aeg</w:t>
      </w:r>
      <w:r w:rsidR="00EE2C70">
        <w:t>;</w:t>
      </w:r>
    </w:p>
    <w:p w14:paraId="091186B1" w14:textId="5EF963DE" w:rsidR="367E30DE" w:rsidRPr="009F6A6E" w:rsidRDefault="38754EBA" w:rsidP="0054615C">
      <w:pPr>
        <w:spacing w:after="0" w:line="240" w:lineRule="auto"/>
        <w:jc w:val="both"/>
        <w:rPr>
          <w:color w:val="202020"/>
        </w:rPr>
      </w:pPr>
      <w:r>
        <w:t>6</w:t>
      </w:r>
      <w:r w:rsidR="382E7591" w:rsidRPr="009F6A6E">
        <w:rPr>
          <w:color w:val="202020"/>
        </w:rPr>
        <w:t>) raviplaani koostamisel osalejad (nimi, kood, eriala/kutse).</w:t>
      </w:r>
    </w:p>
    <w:p w14:paraId="5393D450" w14:textId="0D3612A5" w:rsidR="0A773A6F" w:rsidRDefault="0A773A6F" w:rsidP="00C914A3">
      <w:pPr>
        <w:pStyle w:val="Vahedeta"/>
        <w:rPr>
          <w:lang w:val="et-EE"/>
        </w:rPr>
      </w:pPr>
    </w:p>
    <w:p w14:paraId="21DF5234" w14:textId="132C6FC7" w:rsidR="00EE2C70" w:rsidRDefault="00EE2C70" w:rsidP="00EE2C70">
      <w:pPr>
        <w:spacing w:after="0" w:line="240" w:lineRule="auto"/>
        <w:jc w:val="both"/>
        <w:rPr>
          <w:rFonts w:eastAsia="Calibri"/>
          <w:color w:val="202020"/>
        </w:rPr>
      </w:pPr>
      <w:r w:rsidRPr="19373755">
        <w:rPr>
          <w:rFonts w:eastAsia="Calibri"/>
          <w:color w:val="202020"/>
        </w:rPr>
        <w:t>(</w:t>
      </w:r>
      <w:r w:rsidR="002A2DFD">
        <w:rPr>
          <w:rFonts w:eastAsia="Calibri"/>
          <w:color w:val="202020"/>
        </w:rPr>
        <w:t>4</w:t>
      </w:r>
      <w:r w:rsidR="000A6B7C">
        <w:rPr>
          <w:rFonts w:eastAsia="Calibri"/>
          <w:color w:val="202020"/>
        </w:rPr>
        <w:t>4</w:t>
      </w:r>
      <w:r w:rsidRPr="2C182723">
        <w:rPr>
          <w:rFonts w:eastAsia="Calibri"/>
          <w:color w:val="202020"/>
        </w:rPr>
        <w:t>)</w:t>
      </w:r>
      <w:r w:rsidRPr="27120549">
        <w:rPr>
          <w:rFonts w:eastAsia="Calibri"/>
          <w:color w:val="202020"/>
        </w:rPr>
        <w:t xml:space="preserve"> Koodiga </w:t>
      </w:r>
      <w:r>
        <w:rPr>
          <w:rFonts w:eastAsia="Calibri"/>
          <w:color w:val="202020"/>
        </w:rPr>
        <w:t>3245</w:t>
      </w:r>
      <w:r w:rsidRPr="27120549">
        <w:rPr>
          <w:rFonts w:eastAsia="Calibri"/>
          <w:color w:val="202020"/>
        </w:rPr>
        <w:t xml:space="preserve"> tähistatud tervishoiuteenuse piirhind sisaldab järgmisi tegevusi:</w:t>
      </w:r>
    </w:p>
    <w:p w14:paraId="0F614B84" w14:textId="43E7AC85" w:rsidR="00EE2C70" w:rsidRDefault="00EE2C70" w:rsidP="00EE2C70">
      <w:pPr>
        <w:spacing w:after="0" w:line="240" w:lineRule="auto"/>
        <w:jc w:val="both"/>
        <w:rPr>
          <w:rFonts w:eastAsia="Calibri"/>
          <w:color w:val="202020"/>
        </w:rPr>
      </w:pPr>
      <w:r w:rsidRPr="33E8C6F4">
        <w:rPr>
          <w:rFonts w:eastAsia="Calibri"/>
          <w:color w:val="202020"/>
        </w:rPr>
        <w:t xml:space="preserve">1) patsiendi ja </w:t>
      </w:r>
      <w:r w:rsidR="00A3091B">
        <w:rPr>
          <w:rFonts w:eastAsia="Calibri"/>
          <w:color w:val="202020"/>
        </w:rPr>
        <w:t xml:space="preserve">tema </w:t>
      </w:r>
      <w:r w:rsidRPr="33E8C6F4">
        <w:rPr>
          <w:rFonts w:eastAsia="Calibri"/>
          <w:color w:val="202020"/>
        </w:rPr>
        <w:t>lähedase psühhosotsiaalse toimetuleku toetamine ja nõustamine</w:t>
      </w:r>
      <w:r>
        <w:rPr>
          <w:rFonts w:eastAsia="Calibri"/>
          <w:color w:val="202020"/>
        </w:rPr>
        <w:t>;</w:t>
      </w:r>
      <w:r w:rsidRPr="33E8C6F4">
        <w:rPr>
          <w:rFonts w:eastAsia="Calibri"/>
          <w:color w:val="202020"/>
        </w:rPr>
        <w:t xml:space="preserve"> </w:t>
      </w:r>
    </w:p>
    <w:p w14:paraId="273690CA" w14:textId="1009599E" w:rsidR="2FC778BF" w:rsidRDefault="1222BF5F" w:rsidP="01B70A9E">
      <w:pPr>
        <w:spacing w:after="0" w:line="240" w:lineRule="auto"/>
        <w:jc w:val="both"/>
        <w:rPr>
          <w:rFonts w:eastAsia="Calibri"/>
          <w:color w:val="202020"/>
        </w:rPr>
      </w:pPr>
      <w:r w:rsidRPr="45CC705A">
        <w:rPr>
          <w:rFonts w:eastAsia="Calibri"/>
          <w:color w:val="202020"/>
        </w:rPr>
        <w:t xml:space="preserve">2) </w:t>
      </w:r>
      <w:r w:rsidR="26F74743" w:rsidRPr="45CC705A">
        <w:rPr>
          <w:rFonts w:eastAsia="Calibri"/>
          <w:color w:val="202020"/>
        </w:rPr>
        <w:t>nõusta</w:t>
      </w:r>
      <w:r w:rsidR="4DB3936A" w:rsidRPr="45CC705A">
        <w:rPr>
          <w:rFonts w:eastAsia="Calibri"/>
          <w:color w:val="202020"/>
        </w:rPr>
        <w:t>mine</w:t>
      </w:r>
      <w:r w:rsidR="26F74743" w:rsidRPr="45CC705A">
        <w:rPr>
          <w:rFonts w:eastAsia="Calibri"/>
          <w:color w:val="202020"/>
        </w:rPr>
        <w:t xml:space="preserve"> ja</w:t>
      </w:r>
      <w:r w:rsidR="50B601D5" w:rsidRPr="45CC705A">
        <w:rPr>
          <w:rFonts w:eastAsia="Calibri"/>
          <w:color w:val="202020"/>
        </w:rPr>
        <w:t xml:space="preserve"> </w:t>
      </w:r>
      <w:r w:rsidR="26F74743" w:rsidRPr="45CC705A">
        <w:rPr>
          <w:rFonts w:eastAsia="Calibri"/>
          <w:color w:val="202020"/>
        </w:rPr>
        <w:t xml:space="preserve">info </w:t>
      </w:r>
      <w:r w:rsidR="55D6401E" w:rsidRPr="45CC705A">
        <w:rPr>
          <w:rFonts w:eastAsia="Calibri"/>
          <w:color w:val="202020"/>
        </w:rPr>
        <w:t>jagamine</w:t>
      </w:r>
      <w:r w:rsidR="26F74743" w:rsidRPr="45CC705A">
        <w:rPr>
          <w:rFonts w:eastAsia="Calibri"/>
          <w:color w:val="202020"/>
        </w:rPr>
        <w:t xml:space="preserve"> </w:t>
      </w:r>
      <w:r w:rsidR="26F74743" w:rsidRPr="15970BA8">
        <w:rPr>
          <w:rFonts w:eastAsia="Calibri"/>
          <w:color w:val="202020"/>
        </w:rPr>
        <w:t>sotsiaalvaldkon</w:t>
      </w:r>
      <w:r w:rsidR="005471A8">
        <w:rPr>
          <w:rFonts w:eastAsia="Calibri"/>
          <w:color w:val="202020"/>
        </w:rPr>
        <w:t>na</w:t>
      </w:r>
      <w:r w:rsidR="26F74743" w:rsidRPr="45CC705A">
        <w:rPr>
          <w:rFonts w:eastAsia="Calibri"/>
          <w:color w:val="202020"/>
        </w:rPr>
        <w:t xml:space="preserve"> või </w:t>
      </w:r>
      <w:r w:rsidR="7D9FC386" w:rsidRPr="45CC705A">
        <w:rPr>
          <w:rFonts w:eastAsia="Calibri"/>
          <w:color w:val="202020"/>
        </w:rPr>
        <w:t>eetiliselt ja moraalselt tundlikes küsimustes</w:t>
      </w:r>
      <w:r w:rsidR="00A536AF">
        <w:rPr>
          <w:rFonts w:eastAsia="Calibri"/>
          <w:color w:val="202020"/>
        </w:rPr>
        <w:t>;</w:t>
      </w:r>
    </w:p>
    <w:p w14:paraId="72508A81" w14:textId="11C58DFF" w:rsidR="00270BCA" w:rsidRDefault="2FC778BF" w:rsidP="27120549">
      <w:pPr>
        <w:spacing w:after="0" w:line="240" w:lineRule="auto"/>
        <w:jc w:val="both"/>
        <w:rPr>
          <w:rFonts w:eastAsia="Calibri"/>
          <w:color w:val="202020"/>
        </w:rPr>
      </w:pPr>
      <w:r w:rsidRPr="01B70A9E">
        <w:rPr>
          <w:rFonts w:eastAsia="Calibri"/>
          <w:color w:val="202020"/>
        </w:rPr>
        <w:t xml:space="preserve">3) </w:t>
      </w:r>
      <w:r w:rsidR="4CC0E062" w:rsidRPr="01B70A9E">
        <w:rPr>
          <w:rFonts w:eastAsia="Calibri"/>
          <w:color w:val="202020"/>
        </w:rPr>
        <w:t>tegevuste dokumenteerimine</w:t>
      </w:r>
      <w:r w:rsidR="00A536AF">
        <w:rPr>
          <w:rFonts w:eastAsia="Calibri"/>
          <w:color w:val="202020"/>
        </w:rPr>
        <w:t>.</w:t>
      </w:r>
      <w:r w:rsidR="4CC0E062" w:rsidRPr="01B70A9E">
        <w:rPr>
          <w:rFonts w:eastAsia="Calibri"/>
          <w:color w:val="202020"/>
        </w:rPr>
        <w:t xml:space="preserve"> </w:t>
      </w:r>
    </w:p>
    <w:p w14:paraId="2B926A88" w14:textId="1464B3F5" w:rsidR="27120549" w:rsidRDefault="27120549" w:rsidP="27120549">
      <w:pPr>
        <w:spacing w:after="0" w:line="240" w:lineRule="auto"/>
        <w:jc w:val="both"/>
        <w:rPr>
          <w:rFonts w:eastAsia="Calibri"/>
          <w:color w:val="202020"/>
        </w:rPr>
      </w:pPr>
    </w:p>
    <w:p w14:paraId="2052DF97" w14:textId="2AC8D027" w:rsidR="29742832" w:rsidRPr="009F6A6E" w:rsidRDefault="29742832" w:rsidP="27120549">
      <w:pPr>
        <w:spacing w:after="0" w:line="240" w:lineRule="auto"/>
        <w:jc w:val="both"/>
        <w:rPr>
          <w:rFonts w:eastAsia="Calibri"/>
          <w:color w:val="202020"/>
        </w:rPr>
      </w:pPr>
      <w:r w:rsidRPr="008B7A5E">
        <w:rPr>
          <w:rFonts w:eastAsia="Calibri"/>
          <w:color w:val="202020"/>
        </w:rPr>
        <w:t>(</w:t>
      </w:r>
      <w:r w:rsidR="00E931B3">
        <w:rPr>
          <w:rFonts w:eastAsia="Calibri"/>
          <w:color w:val="202020"/>
        </w:rPr>
        <w:t>4</w:t>
      </w:r>
      <w:r w:rsidR="000A6B7C">
        <w:rPr>
          <w:rFonts w:eastAsia="Calibri"/>
          <w:color w:val="202020"/>
        </w:rPr>
        <w:t>5</w:t>
      </w:r>
      <w:r w:rsidRPr="008B7A5E">
        <w:rPr>
          <w:rFonts w:eastAsia="Calibri"/>
          <w:color w:val="202020"/>
        </w:rPr>
        <w:t xml:space="preserve">) Koodiga </w:t>
      </w:r>
      <w:r w:rsidR="00D72192" w:rsidRPr="1820B507">
        <w:rPr>
          <w:color w:val="202020"/>
        </w:rPr>
        <w:t>324</w:t>
      </w:r>
      <w:r w:rsidR="00E44498" w:rsidRPr="1820B507">
        <w:rPr>
          <w:color w:val="202020"/>
        </w:rPr>
        <w:t>6</w:t>
      </w:r>
      <w:r w:rsidRPr="008B7A5E">
        <w:rPr>
          <w:rFonts w:eastAsia="Calibri"/>
          <w:color w:val="202020"/>
        </w:rPr>
        <w:t xml:space="preserve"> </w:t>
      </w:r>
      <w:r w:rsidR="540E85F3" w:rsidRPr="1820B507">
        <w:rPr>
          <w:color w:val="202020"/>
        </w:rPr>
        <w:t xml:space="preserve">tähistatud </w:t>
      </w:r>
      <w:r w:rsidR="6C20490D" w:rsidRPr="1820B507">
        <w:rPr>
          <w:color w:val="202020"/>
        </w:rPr>
        <w:t xml:space="preserve">tervishoiuteenuse </w:t>
      </w:r>
      <w:r w:rsidR="540E85F3" w:rsidRPr="1820B507">
        <w:rPr>
          <w:color w:val="202020"/>
        </w:rPr>
        <w:t>piirhind</w:t>
      </w:r>
      <w:r w:rsidR="687C4989" w:rsidRPr="1820B507">
        <w:rPr>
          <w:color w:val="202020"/>
        </w:rPr>
        <w:t>a</w:t>
      </w:r>
      <w:r w:rsidR="356D1B21" w:rsidRPr="1820B507">
        <w:rPr>
          <w:color w:val="202020"/>
        </w:rPr>
        <w:t xml:space="preserve"> rakendatakse palliatiivses ravis </w:t>
      </w:r>
      <w:r w:rsidR="00C96438" w:rsidRPr="00C96438">
        <w:rPr>
          <w:rFonts w:eastAsia="Calibri"/>
          <w:color w:val="202020"/>
        </w:rPr>
        <w:t xml:space="preserve">juhul, kui kuu alguseks on loodud </w:t>
      </w:r>
      <w:r w:rsidR="00B57E32">
        <w:t>koordinaatori</w:t>
      </w:r>
      <w:r w:rsidR="00C96438">
        <w:rPr>
          <w:rFonts w:eastAsia="Calibri"/>
        </w:rPr>
        <w:t xml:space="preserve"> </w:t>
      </w:r>
      <w:r w:rsidR="00C96438" w:rsidRPr="00C96438">
        <w:rPr>
          <w:rFonts w:eastAsia="Calibri"/>
          <w:color w:val="202020"/>
        </w:rPr>
        <w:t>ametikoht.</w:t>
      </w:r>
      <w:r w:rsidR="006D619F">
        <w:rPr>
          <w:rFonts w:eastAsia="Calibri"/>
          <w:color w:val="202020"/>
        </w:rPr>
        <w:t xml:space="preserve"> </w:t>
      </w:r>
      <w:r w:rsidR="00792EAE" w:rsidRPr="00792EAE">
        <w:rPr>
          <w:rFonts w:eastAsia="Calibri"/>
          <w:color w:val="202020"/>
        </w:rPr>
        <w:t xml:space="preserve">Kui </w:t>
      </w:r>
      <w:r w:rsidR="00B57E32">
        <w:t>koordinaator</w:t>
      </w:r>
      <w:r w:rsidR="00792EAE">
        <w:rPr>
          <w:rFonts w:eastAsia="Calibri"/>
        </w:rPr>
        <w:t xml:space="preserve"> </w:t>
      </w:r>
      <w:r w:rsidR="00792EAE" w:rsidRPr="00792EAE">
        <w:rPr>
          <w:rFonts w:eastAsia="Calibri"/>
          <w:color w:val="202020"/>
        </w:rPr>
        <w:t>töötab osalise koormusega</w:t>
      </w:r>
      <w:r w:rsidR="00833E49">
        <w:rPr>
          <w:rFonts w:eastAsia="Calibri"/>
          <w:color w:val="202020"/>
        </w:rPr>
        <w:t>,</w:t>
      </w:r>
      <w:r w:rsidR="00792EAE">
        <w:rPr>
          <w:rFonts w:eastAsia="Calibri"/>
          <w:color w:val="202020"/>
        </w:rPr>
        <w:t xml:space="preserve"> rakendatakse</w:t>
      </w:r>
      <w:r w:rsidR="00792EAE" w:rsidRPr="00792EAE">
        <w:rPr>
          <w:rFonts w:eastAsia="Calibri"/>
          <w:color w:val="202020"/>
        </w:rPr>
        <w:t xml:space="preserve"> koodiga </w:t>
      </w:r>
      <w:r w:rsidR="00792EAE">
        <w:rPr>
          <w:rFonts w:eastAsia="Calibri"/>
          <w:color w:val="202020"/>
        </w:rPr>
        <w:t xml:space="preserve">3246 </w:t>
      </w:r>
      <w:r w:rsidR="00792EAE" w:rsidRPr="00792EAE">
        <w:rPr>
          <w:rFonts w:eastAsia="Calibri"/>
          <w:color w:val="202020"/>
        </w:rPr>
        <w:t xml:space="preserve">tähistatud tervishoiuteenusele </w:t>
      </w:r>
      <w:r w:rsidR="00833E49" w:rsidRPr="00833E49">
        <w:rPr>
          <w:rFonts w:eastAsia="Calibri"/>
          <w:color w:val="202020"/>
        </w:rPr>
        <w:t>koefitsient</w:t>
      </w:r>
      <w:r w:rsidR="00A3091B">
        <w:rPr>
          <w:rFonts w:eastAsia="Calibri"/>
          <w:color w:val="202020"/>
        </w:rPr>
        <w:t>i</w:t>
      </w:r>
      <w:r w:rsidR="00833E49" w:rsidRPr="00833E49">
        <w:rPr>
          <w:rFonts w:eastAsia="Calibri"/>
          <w:color w:val="202020"/>
        </w:rPr>
        <w:t xml:space="preserve"> vastavalt tegelikule töökoormusele.</w:t>
      </w:r>
    </w:p>
    <w:p w14:paraId="05D9DFB7" w14:textId="115406D7" w:rsidR="27120549" w:rsidRDefault="27120549" w:rsidP="27120549">
      <w:pPr>
        <w:spacing w:after="0" w:line="240" w:lineRule="auto"/>
        <w:jc w:val="both"/>
        <w:rPr>
          <w:color w:val="202020"/>
          <w:szCs w:val="24"/>
        </w:rPr>
      </w:pPr>
    </w:p>
    <w:p w14:paraId="229D3E68" w14:textId="3FE99F20" w:rsidR="356D1B21" w:rsidRDefault="356D1B21" w:rsidP="27120549">
      <w:pPr>
        <w:spacing w:after="0" w:line="240" w:lineRule="auto"/>
        <w:jc w:val="both"/>
        <w:rPr>
          <w:color w:val="202020"/>
        </w:rPr>
      </w:pPr>
      <w:r w:rsidRPr="630E093F">
        <w:rPr>
          <w:color w:val="202020"/>
        </w:rPr>
        <w:t>(</w:t>
      </w:r>
      <w:r w:rsidR="007A5013">
        <w:rPr>
          <w:color w:val="202020"/>
        </w:rPr>
        <w:t>4</w:t>
      </w:r>
      <w:r w:rsidR="000A6B7C">
        <w:rPr>
          <w:color w:val="202020"/>
        </w:rPr>
        <w:t>6</w:t>
      </w:r>
      <w:r w:rsidRPr="630E093F">
        <w:rPr>
          <w:color w:val="202020"/>
        </w:rPr>
        <w:t xml:space="preserve">) Koodiga </w:t>
      </w:r>
      <w:r w:rsidR="00D72192" w:rsidRPr="630E093F">
        <w:rPr>
          <w:color w:val="202020"/>
        </w:rPr>
        <w:t>324</w:t>
      </w:r>
      <w:r w:rsidR="00E44498" w:rsidRPr="630E093F">
        <w:rPr>
          <w:color w:val="202020"/>
        </w:rPr>
        <w:t>6</w:t>
      </w:r>
      <w:r w:rsidRPr="630E093F">
        <w:rPr>
          <w:color w:val="202020"/>
        </w:rPr>
        <w:t xml:space="preserve"> tähistatud tervishoiuteenuse piirhind sisaldab järgmisi tegevusi:</w:t>
      </w:r>
    </w:p>
    <w:p w14:paraId="16E9E056" w14:textId="60856587" w:rsidR="356D1B21" w:rsidRDefault="356D1B21" w:rsidP="0054615C">
      <w:pPr>
        <w:spacing w:after="0" w:line="240" w:lineRule="auto"/>
        <w:jc w:val="both"/>
        <w:rPr>
          <w:rFonts w:eastAsia="Arial"/>
          <w:color w:val="202020"/>
        </w:rPr>
      </w:pPr>
      <w:r w:rsidRPr="009F6A6E">
        <w:rPr>
          <w:rFonts w:eastAsia="Arial"/>
          <w:color w:val="202020"/>
        </w:rPr>
        <w:t xml:space="preserve">1) </w:t>
      </w:r>
      <w:r w:rsidR="0663F4AD" w:rsidRPr="03AB2096">
        <w:rPr>
          <w:rFonts w:eastAsia="Arial"/>
          <w:color w:val="202020"/>
        </w:rPr>
        <w:t xml:space="preserve">patsiendile ja </w:t>
      </w:r>
      <w:r w:rsidR="00A3091B">
        <w:rPr>
          <w:rFonts w:eastAsia="Arial"/>
          <w:color w:val="202020"/>
        </w:rPr>
        <w:t xml:space="preserve">tema </w:t>
      </w:r>
      <w:r w:rsidR="0663F4AD" w:rsidRPr="03AB2096">
        <w:rPr>
          <w:rFonts w:eastAsia="Arial"/>
          <w:color w:val="202020"/>
        </w:rPr>
        <w:t xml:space="preserve">lähedastele vajalike teenuste koordineerimine raviplaani </w:t>
      </w:r>
      <w:r w:rsidR="0663F4AD" w:rsidRPr="2AAB2403">
        <w:rPr>
          <w:rFonts w:eastAsia="Arial"/>
          <w:color w:val="202020"/>
        </w:rPr>
        <w:t>alusel</w:t>
      </w:r>
      <w:r w:rsidR="6EE597A1" w:rsidRPr="2DC9C110">
        <w:rPr>
          <w:rFonts w:eastAsia="Arial"/>
          <w:color w:val="202020"/>
        </w:rPr>
        <w:t>;</w:t>
      </w:r>
    </w:p>
    <w:p w14:paraId="2081B441" w14:textId="64148435" w:rsidR="00CB5C1C" w:rsidRDefault="356D1B21" w:rsidP="0054615C">
      <w:pPr>
        <w:spacing w:after="0" w:line="240" w:lineRule="auto"/>
        <w:jc w:val="both"/>
        <w:rPr>
          <w:color w:val="202020"/>
        </w:rPr>
      </w:pPr>
      <w:r w:rsidRPr="009F6A6E">
        <w:rPr>
          <w:rFonts w:eastAsia="Arial"/>
          <w:color w:val="202020"/>
        </w:rPr>
        <w:t xml:space="preserve">2) </w:t>
      </w:r>
      <w:r w:rsidR="3CB3A00D" w:rsidRPr="2AAB2403">
        <w:rPr>
          <w:rFonts w:eastAsia="Arial"/>
          <w:color w:val="202020"/>
        </w:rPr>
        <w:t>raviplaani jälgimine</w:t>
      </w:r>
      <w:r w:rsidR="1C56689C" w:rsidRPr="2DC9C110">
        <w:rPr>
          <w:rFonts w:eastAsia="Arial"/>
          <w:color w:val="202020"/>
        </w:rPr>
        <w:t>;</w:t>
      </w:r>
    </w:p>
    <w:p w14:paraId="2A0FE5B0" w14:textId="0220D2A7" w:rsidR="356D1B21" w:rsidRDefault="356D1B21" w:rsidP="0054615C">
      <w:pPr>
        <w:spacing w:after="0" w:line="240" w:lineRule="auto"/>
        <w:jc w:val="both"/>
        <w:rPr>
          <w:color w:val="202020"/>
        </w:rPr>
      </w:pPr>
      <w:r w:rsidRPr="009F6A6E">
        <w:rPr>
          <w:rFonts w:eastAsia="Arial"/>
          <w:color w:val="202020"/>
        </w:rPr>
        <w:t>3) ravisoostumuse</w:t>
      </w:r>
      <w:r w:rsidRPr="0E6CC707">
        <w:rPr>
          <w:rFonts w:eastAsia="Arial"/>
          <w:color w:val="202020"/>
        </w:rPr>
        <w:t xml:space="preserve"> </w:t>
      </w:r>
      <w:r w:rsidR="00025C7A" w:rsidRPr="0E6CC707">
        <w:rPr>
          <w:color w:val="202020"/>
        </w:rPr>
        <w:t xml:space="preserve">motiveerimine ja </w:t>
      </w:r>
      <w:r w:rsidRPr="009F6A6E">
        <w:rPr>
          <w:rFonts w:eastAsia="Arial"/>
          <w:color w:val="202020"/>
        </w:rPr>
        <w:t>jälgimine;</w:t>
      </w:r>
    </w:p>
    <w:p w14:paraId="4FE6FC0F" w14:textId="12694EE7" w:rsidR="00A3091B" w:rsidRDefault="356D1B21" w:rsidP="0054615C">
      <w:pPr>
        <w:spacing w:after="0" w:line="240" w:lineRule="auto"/>
        <w:jc w:val="both"/>
        <w:rPr>
          <w:rFonts w:eastAsia="Arial"/>
          <w:color w:val="202020"/>
        </w:rPr>
      </w:pPr>
      <w:r w:rsidRPr="5AB44541">
        <w:rPr>
          <w:color w:val="202020"/>
        </w:rPr>
        <w:t>4</w:t>
      </w:r>
      <w:r w:rsidRPr="009F6A6E">
        <w:rPr>
          <w:rFonts w:eastAsia="Arial"/>
          <w:color w:val="202020"/>
        </w:rPr>
        <w:t>)</w:t>
      </w:r>
      <w:r w:rsidRPr="5AB44541">
        <w:rPr>
          <w:color w:val="202020"/>
        </w:rPr>
        <w:t xml:space="preserve"> </w:t>
      </w:r>
      <w:r w:rsidR="3DF5C324" w:rsidRPr="41BC477A">
        <w:rPr>
          <w:color w:val="202020"/>
        </w:rPr>
        <w:t>patsiendi</w:t>
      </w:r>
      <w:r w:rsidR="3DF5C324" w:rsidRPr="41BC477A">
        <w:rPr>
          <w:rFonts w:eastAsia="Arial"/>
          <w:color w:val="202020"/>
        </w:rPr>
        <w:t xml:space="preserve"> ja </w:t>
      </w:r>
      <w:r w:rsidR="00A3091B">
        <w:rPr>
          <w:rFonts w:eastAsia="Arial"/>
          <w:color w:val="202020"/>
        </w:rPr>
        <w:t xml:space="preserve">tema </w:t>
      </w:r>
      <w:r w:rsidR="3DF5C324" w:rsidRPr="41BC477A">
        <w:rPr>
          <w:color w:val="202020"/>
        </w:rPr>
        <w:t>lähedas</w:t>
      </w:r>
      <w:r w:rsidR="00F93BB8">
        <w:rPr>
          <w:color w:val="202020"/>
        </w:rPr>
        <w:t>t</w:t>
      </w:r>
      <w:r w:rsidR="3DF5C324" w:rsidRPr="41BC477A">
        <w:rPr>
          <w:color w:val="202020"/>
        </w:rPr>
        <w:t>e toimetuleku, probleemide ja vajaduse hindamine</w:t>
      </w:r>
      <w:r w:rsidR="3DF5C324" w:rsidRPr="2DC9C110">
        <w:rPr>
          <w:rFonts w:eastAsia="Arial"/>
          <w:color w:val="202020"/>
        </w:rPr>
        <w:t>;</w:t>
      </w:r>
    </w:p>
    <w:p w14:paraId="0D68EC04" w14:textId="525285EF" w:rsidR="00A3091B" w:rsidRDefault="00ED70D0" w:rsidP="00A3091B">
      <w:pPr>
        <w:spacing w:after="0" w:line="240" w:lineRule="auto"/>
        <w:jc w:val="both"/>
        <w:rPr>
          <w:rFonts w:eastAsia="Arial"/>
          <w:color w:val="202020"/>
        </w:rPr>
      </w:pPr>
      <w:r>
        <w:rPr>
          <w:rFonts w:eastAsia="Arial"/>
          <w:color w:val="202020"/>
        </w:rPr>
        <w:t>5</w:t>
      </w:r>
      <w:r w:rsidR="356D1B21" w:rsidRPr="009F6A6E">
        <w:rPr>
          <w:rFonts w:eastAsia="Arial"/>
          <w:color w:val="202020"/>
        </w:rPr>
        <w:t xml:space="preserve">) </w:t>
      </w:r>
      <w:r w:rsidR="00427413">
        <w:rPr>
          <w:color w:val="202020"/>
        </w:rPr>
        <w:t xml:space="preserve">patsiendile </w:t>
      </w:r>
      <w:r w:rsidR="356D1B21" w:rsidRPr="009F6A6E">
        <w:rPr>
          <w:rFonts w:eastAsia="Arial"/>
          <w:color w:val="202020"/>
        </w:rPr>
        <w:t>toimetulekuoskuste õpetamine;</w:t>
      </w:r>
    </w:p>
    <w:p w14:paraId="2D9A648C" w14:textId="42E8F4FF" w:rsidR="009E27A3" w:rsidRDefault="00ED70D0" w:rsidP="0054615C">
      <w:pPr>
        <w:spacing w:after="0" w:line="240" w:lineRule="auto"/>
        <w:jc w:val="both"/>
        <w:rPr>
          <w:rFonts w:eastAsia="Arial"/>
          <w:color w:val="202020"/>
        </w:rPr>
      </w:pPr>
      <w:r>
        <w:rPr>
          <w:rFonts w:eastAsia="Arial"/>
          <w:color w:val="202020"/>
        </w:rPr>
        <w:t>6</w:t>
      </w:r>
      <w:r w:rsidR="356D1B21" w:rsidRPr="009F6A6E">
        <w:rPr>
          <w:rFonts w:eastAsia="Arial"/>
          <w:color w:val="202020"/>
        </w:rPr>
        <w:t>) kokkuleppel patsiendiga tema lähedastega kontakti hoidmi</w:t>
      </w:r>
      <w:r w:rsidR="00CF05E3">
        <w:rPr>
          <w:rFonts w:eastAsia="Arial"/>
          <w:color w:val="202020"/>
        </w:rPr>
        <w:t>ne</w:t>
      </w:r>
      <w:r w:rsidR="009E27A3">
        <w:rPr>
          <w:rFonts w:eastAsia="Arial"/>
          <w:color w:val="202020"/>
        </w:rPr>
        <w:t>;</w:t>
      </w:r>
    </w:p>
    <w:p w14:paraId="2243C009" w14:textId="7E0BA5F0" w:rsidR="6B69C731" w:rsidRDefault="00ED70D0" w:rsidP="556DD305">
      <w:pPr>
        <w:spacing w:after="0" w:line="240" w:lineRule="auto"/>
        <w:jc w:val="both"/>
        <w:rPr>
          <w:rFonts w:eastAsia="Arial"/>
          <w:color w:val="202020"/>
        </w:rPr>
      </w:pPr>
      <w:r>
        <w:rPr>
          <w:rFonts w:eastAsia="Arial"/>
          <w:color w:val="202020"/>
        </w:rPr>
        <w:t>7</w:t>
      </w:r>
      <w:r w:rsidR="009E27A3">
        <w:rPr>
          <w:rFonts w:eastAsia="Arial"/>
          <w:color w:val="202020"/>
        </w:rPr>
        <w:t xml:space="preserve">) </w:t>
      </w:r>
      <w:r w:rsidR="009E27A3" w:rsidRPr="01B70A9E">
        <w:rPr>
          <w:rFonts w:eastAsia="Calibri"/>
          <w:color w:val="202020"/>
        </w:rPr>
        <w:t>tegevuste dokumenteerimine</w:t>
      </w:r>
      <w:r w:rsidR="002E7BA6">
        <w:rPr>
          <w:rFonts w:eastAsia="Arial"/>
          <w:color w:val="202020"/>
        </w:rPr>
        <w:t>.</w:t>
      </w:r>
    </w:p>
    <w:p w14:paraId="30E3096C" w14:textId="77777777" w:rsidR="0045199C" w:rsidRDefault="0045199C" w:rsidP="00CB5C1C">
      <w:pPr>
        <w:pStyle w:val="Vahedeta"/>
        <w:jc w:val="both"/>
        <w:rPr>
          <w:rFonts w:eastAsia="Arial"/>
          <w:lang w:val="et-EE"/>
        </w:rPr>
      </w:pPr>
    </w:p>
    <w:p w14:paraId="130FC513" w14:textId="56698AD6" w:rsidR="0EA41F6C" w:rsidRDefault="4EA3D16B" w:rsidP="00CB5C1C">
      <w:pPr>
        <w:pStyle w:val="Vahedeta"/>
        <w:jc w:val="both"/>
        <w:rPr>
          <w:lang w:val="et-EE"/>
        </w:rPr>
      </w:pPr>
      <w:r w:rsidRPr="48D3C22F">
        <w:rPr>
          <w:rFonts w:eastAsia="Arial"/>
          <w:lang w:val="et-EE"/>
        </w:rPr>
        <w:t>(</w:t>
      </w:r>
      <w:r w:rsidR="007A5013">
        <w:rPr>
          <w:rFonts w:eastAsia="Arial"/>
          <w:lang w:val="et-EE"/>
        </w:rPr>
        <w:t>4</w:t>
      </w:r>
      <w:r w:rsidR="000A6B7C">
        <w:rPr>
          <w:rFonts w:eastAsia="Arial"/>
          <w:lang w:val="et-EE"/>
        </w:rPr>
        <w:t>7</w:t>
      </w:r>
      <w:r w:rsidRPr="48D3C22F">
        <w:rPr>
          <w:rFonts w:eastAsia="Arial"/>
          <w:lang w:val="et-EE"/>
        </w:rPr>
        <w:t xml:space="preserve">) </w:t>
      </w:r>
      <w:r w:rsidRPr="48D3C22F">
        <w:rPr>
          <w:lang w:val="et-EE"/>
        </w:rPr>
        <w:t>Kood</w:t>
      </w:r>
      <w:r w:rsidRPr="48D3C22F">
        <w:rPr>
          <w:color w:val="202020"/>
          <w:lang w:val="et-EE"/>
        </w:rPr>
        <w:t>idega 207</w:t>
      </w:r>
      <w:r w:rsidR="00871F08">
        <w:rPr>
          <w:color w:val="202020"/>
          <w:lang w:val="et-EE"/>
        </w:rPr>
        <w:t>4</w:t>
      </w:r>
      <w:r w:rsidR="00A3091B">
        <w:rPr>
          <w:color w:val="202020"/>
          <w:lang w:val="et-EE"/>
        </w:rPr>
        <w:t xml:space="preserve"> ja</w:t>
      </w:r>
      <w:r w:rsidRPr="48D3C22F">
        <w:rPr>
          <w:color w:val="202020"/>
          <w:lang w:val="et-EE"/>
        </w:rPr>
        <w:t xml:space="preserve"> 3244</w:t>
      </w:r>
      <w:r w:rsidR="00123616">
        <w:rPr>
          <w:color w:val="202020"/>
          <w:lang w:val="et-EE"/>
        </w:rPr>
        <w:t>–</w:t>
      </w:r>
      <w:r w:rsidRPr="48D3C22F">
        <w:rPr>
          <w:color w:val="202020"/>
          <w:lang w:val="et-EE"/>
        </w:rPr>
        <w:t>3246 tähistatud tervishoiuteenuseid rakendatakse vastavalt tervishoiuteenuse osutajaga sõlmitud ravi rahastamise lepingu</w:t>
      </w:r>
      <w:r w:rsidR="00173014">
        <w:rPr>
          <w:color w:val="202020"/>
          <w:lang w:val="et-EE"/>
        </w:rPr>
        <w:t>s kokku</w:t>
      </w:r>
      <w:r w:rsidR="00A3091B">
        <w:rPr>
          <w:color w:val="202020"/>
          <w:lang w:val="et-EE"/>
        </w:rPr>
        <w:t xml:space="preserve"> lepitud</w:t>
      </w:r>
      <w:r w:rsidR="00173014">
        <w:rPr>
          <w:color w:val="202020"/>
          <w:lang w:val="et-EE"/>
        </w:rPr>
        <w:t xml:space="preserve"> tingimustel</w:t>
      </w:r>
      <w:r w:rsidR="00BE5A11">
        <w:rPr>
          <w:color w:val="202020"/>
          <w:lang w:val="et-EE"/>
        </w:rPr>
        <w:t>e</w:t>
      </w:r>
      <w:r w:rsidRPr="48D3C22F">
        <w:rPr>
          <w:color w:val="333333"/>
          <w:lang w:val="et-EE"/>
        </w:rPr>
        <w:t>.</w:t>
      </w:r>
    </w:p>
    <w:p w14:paraId="039CC120" w14:textId="77777777" w:rsidR="00350B5B" w:rsidRDefault="00350B5B" w:rsidP="27120549">
      <w:pPr>
        <w:spacing w:after="0" w:line="240" w:lineRule="auto"/>
        <w:jc w:val="both"/>
        <w:rPr>
          <w:color w:val="202020"/>
          <w:szCs w:val="24"/>
        </w:rPr>
      </w:pPr>
    </w:p>
    <w:p w14:paraId="60126918" w14:textId="602F9D97" w:rsidR="00517FC2" w:rsidRDefault="00014BCC" w:rsidP="00D55077">
      <w:pPr>
        <w:spacing w:after="0" w:line="240" w:lineRule="auto"/>
        <w:jc w:val="both"/>
        <w:rPr>
          <w:rFonts w:eastAsia="Calibri"/>
          <w:color w:val="202020"/>
        </w:rPr>
      </w:pPr>
      <w:r w:rsidRPr="19373755">
        <w:rPr>
          <w:color w:val="202020"/>
        </w:rPr>
        <w:t>(</w:t>
      </w:r>
      <w:r w:rsidR="007A5013">
        <w:rPr>
          <w:color w:val="202020"/>
        </w:rPr>
        <w:t>4</w:t>
      </w:r>
      <w:r w:rsidR="000A6B7C">
        <w:rPr>
          <w:color w:val="202020"/>
        </w:rPr>
        <w:t>8</w:t>
      </w:r>
      <w:r w:rsidRPr="19373755">
        <w:rPr>
          <w:color w:val="202020"/>
        </w:rPr>
        <w:t>) Koodiga 45</w:t>
      </w:r>
      <w:r w:rsidR="00521BA5" w:rsidRPr="19373755">
        <w:rPr>
          <w:color w:val="202020"/>
        </w:rPr>
        <w:t>22</w:t>
      </w:r>
      <w:r w:rsidRPr="19373755">
        <w:rPr>
          <w:color w:val="202020"/>
        </w:rPr>
        <w:t xml:space="preserve">A tähistatud tervishoiuteenust rakendatakse tervishoiuteenuse osutaja ja Tervisekassa vahel sõlmitud ravi rahastamise lepingu kohaselt </w:t>
      </w:r>
      <w:r w:rsidR="000A0CDE" w:rsidRPr="19373755">
        <w:rPr>
          <w:color w:val="202020"/>
        </w:rPr>
        <w:t>kopsuvähi sõeluuringu juhtprojektis osalevas</w:t>
      </w:r>
      <w:r w:rsidRPr="19373755">
        <w:rPr>
          <w:color w:val="202020"/>
        </w:rPr>
        <w:t xml:space="preserve"> raviasutuses juhul, kui kuu alguseks on loodud </w:t>
      </w:r>
      <w:r w:rsidR="00A7075A" w:rsidRPr="19373755">
        <w:rPr>
          <w:color w:val="202020"/>
        </w:rPr>
        <w:t>uuringukoordinaatori</w:t>
      </w:r>
      <w:r w:rsidRPr="19373755">
        <w:rPr>
          <w:color w:val="202020"/>
        </w:rPr>
        <w:t xml:space="preserve"> </w:t>
      </w:r>
      <w:r w:rsidR="46CEDC64" w:rsidRPr="5B5C6695">
        <w:rPr>
          <w:color w:val="202020"/>
        </w:rPr>
        <w:t>ametikoht.</w:t>
      </w:r>
      <w:r w:rsidRPr="19373755">
        <w:rPr>
          <w:color w:val="202020"/>
        </w:rPr>
        <w:t xml:space="preserve"> Kui </w:t>
      </w:r>
      <w:r w:rsidR="00A7075A" w:rsidRPr="19373755">
        <w:rPr>
          <w:color w:val="202020"/>
        </w:rPr>
        <w:t>uuringukoordinaator</w:t>
      </w:r>
      <w:r w:rsidRPr="19373755">
        <w:rPr>
          <w:color w:val="202020"/>
        </w:rPr>
        <w:t xml:space="preserve"> töötab osalise koormusega või tööl on rohkem kui üks </w:t>
      </w:r>
      <w:r w:rsidR="00A7075A" w:rsidRPr="19373755">
        <w:rPr>
          <w:color w:val="202020"/>
        </w:rPr>
        <w:t>uuringukoordinaator</w:t>
      </w:r>
      <w:r w:rsidRPr="19373755">
        <w:rPr>
          <w:color w:val="202020"/>
        </w:rPr>
        <w:t xml:space="preserve">, </w:t>
      </w:r>
      <w:r w:rsidRPr="19373755">
        <w:rPr>
          <w:color w:val="202020"/>
        </w:rPr>
        <w:lastRenderedPageBreak/>
        <w:t>võib koodiga 45</w:t>
      </w:r>
      <w:r w:rsidR="00A7075A" w:rsidRPr="19373755">
        <w:rPr>
          <w:color w:val="202020"/>
        </w:rPr>
        <w:t>22</w:t>
      </w:r>
      <w:r w:rsidRPr="19373755">
        <w:rPr>
          <w:color w:val="202020"/>
        </w:rPr>
        <w:t xml:space="preserve">A tähistatud tervishoiuteenusele rakendada tervishoiuteenuse osutaja ja Tervisekassa vahel sõlmitud ravi rahastamise lepingus kokku lepitud koefitsienti, mis ei ole suurem kui </w:t>
      </w:r>
      <w:r w:rsidR="164EAAC0" w:rsidRPr="407D23C7">
        <w:rPr>
          <w:color w:val="202020"/>
        </w:rPr>
        <w:t>1</w:t>
      </w:r>
      <w:r w:rsidRPr="407D23C7">
        <w:rPr>
          <w:color w:val="202020"/>
        </w:rPr>
        <w:t>.</w:t>
      </w:r>
    </w:p>
    <w:p w14:paraId="07ABA951" w14:textId="77777777" w:rsidR="0045199C" w:rsidRDefault="0045199C" w:rsidP="00D55077">
      <w:pPr>
        <w:spacing w:after="0" w:line="240" w:lineRule="auto"/>
        <w:jc w:val="both"/>
        <w:rPr>
          <w:rFonts w:eastAsia="Calibri"/>
          <w:color w:val="202020"/>
        </w:rPr>
      </w:pPr>
    </w:p>
    <w:p w14:paraId="05276896" w14:textId="0BE4E4A8" w:rsidR="00D55077" w:rsidRPr="00D55077" w:rsidRDefault="00D55077" w:rsidP="00D55077">
      <w:pPr>
        <w:spacing w:after="0" w:line="240" w:lineRule="auto"/>
        <w:jc w:val="both"/>
        <w:rPr>
          <w:rFonts w:eastAsia="Calibri"/>
          <w:color w:val="202020"/>
        </w:rPr>
      </w:pPr>
      <w:r>
        <w:rPr>
          <w:rFonts w:eastAsia="Calibri"/>
          <w:color w:val="202020"/>
        </w:rPr>
        <w:t>(</w:t>
      </w:r>
      <w:r w:rsidR="000A6B7C">
        <w:rPr>
          <w:rFonts w:eastAsia="Calibri"/>
          <w:color w:val="202020"/>
        </w:rPr>
        <w:t>49</w:t>
      </w:r>
      <w:r w:rsidRPr="00D55077">
        <w:rPr>
          <w:rFonts w:eastAsia="Calibri"/>
          <w:color w:val="202020"/>
        </w:rPr>
        <w:t>) Koodiga 45</w:t>
      </w:r>
      <w:r>
        <w:rPr>
          <w:rFonts w:eastAsia="Calibri"/>
          <w:color w:val="202020"/>
        </w:rPr>
        <w:t>22</w:t>
      </w:r>
      <w:r w:rsidRPr="00D55077">
        <w:rPr>
          <w:rFonts w:eastAsia="Calibri"/>
          <w:color w:val="202020"/>
        </w:rPr>
        <w:t>A tähistatud tervishoiuteenuse piirhind sisaldab järgmist:</w:t>
      </w:r>
    </w:p>
    <w:p w14:paraId="3984DEB6" w14:textId="0D4C39F1" w:rsidR="001926F7" w:rsidRDefault="00D55077" w:rsidP="001926F7">
      <w:pPr>
        <w:spacing w:after="0" w:line="240" w:lineRule="auto"/>
        <w:jc w:val="both"/>
        <w:rPr>
          <w:rFonts w:eastAsia="Calibri"/>
          <w:color w:val="202020"/>
        </w:rPr>
      </w:pPr>
      <w:r w:rsidRPr="00D55077">
        <w:rPr>
          <w:rFonts w:eastAsia="Calibri"/>
          <w:color w:val="202020"/>
        </w:rPr>
        <w:t xml:space="preserve">1) </w:t>
      </w:r>
      <w:r w:rsidR="001926F7">
        <w:rPr>
          <w:rFonts w:eastAsia="Calibri"/>
          <w:color w:val="202020"/>
        </w:rPr>
        <w:t>perearstikeskuste kaasamine juhtprojekti</w:t>
      </w:r>
      <w:r w:rsidR="00853F5D">
        <w:rPr>
          <w:rFonts w:eastAsia="Calibri"/>
          <w:color w:val="202020"/>
        </w:rPr>
        <w:t>;</w:t>
      </w:r>
    </w:p>
    <w:p w14:paraId="08CC3086" w14:textId="55BB38D1" w:rsidR="001926F7" w:rsidRDefault="001926F7" w:rsidP="001926F7">
      <w:pPr>
        <w:spacing w:after="0" w:line="240" w:lineRule="auto"/>
        <w:jc w:val="both"/>
        <w:rPr>
          <w:rFonts w:eastAsia="Calibri"/>
          <w:color w:val="202020"/>
        </w:rPr>
      </w:pPr>
      <w:r>
        <w:rPr>
          <w:rFonts w:eastAsia="Calibri"/>
          <w:color w:val="202020"/>
        </w:rPr>
        <w:t xml:space="preserve">2) </w:t>
      </w:r>
      <w:r w:rsidR="000F709A">
        <w:rPr>
          <w:rFonts w:eastAsia="Calibri"/>
          <w:color w:val="202020"/>
        </w:rPr>
        <w:t>perearstikeskus</w:t>
      </w:r>
      <w:r w:rsidR="004A54B4">
        <w:rPr>
          <w:rFonts w:eastAsia="Calibri"/>
          <w:color w:val="202020"/>
        </w:rPr>
        <w:t>t</w:t>
      </w:r>
      <w:r w:rsidR="000F709A">
        <w:rPr>
          <w:rFonts w:eastAsia="Calibri"/>
          <w:color w:val="202020"/>
        </w:rPr>
        <w:t>es perearstide ja õdede koolitamine</w:t>
      </w:r>
      <w:r w:rsidR="00853F5D">
        <w:rPr>
          <w:rFonts w:eastAsia="Calibri"/>
          <w:color w:val="202020"/>
        </w:rPr>
        <w:t>;</w:t>
      </w:r>
    </w:p>
    <w:p w14:paraId="5595475B" w14:textId="753A4ECD" w:rsidR="00F348D7" w:rsidRDefault="00F348D7" w:rsidP="001926F7">
      <w:pPr>
        <w:spacing w:after="0" w:line="240" w:lineRule="auto"/>
        <w:jc w:val="both"/>
        <w:rPr>
          <w:rFonts w:eastAsia="Calibri"/>
          <w:color w:val="202020"/>
        </w:rPr>
      </w:pPr>
      <w:r>
        <w:rPr>
          <w:rFonts w:eastAsia="Calibri"/>
          <w:color w:val="202020"/>
        </w:rPr>
        <w:t>3) Tervisekassaga koostöös juhtprojekti eest</w:t>
      </w:r>
      <w:r w:rsidR="00181D7F">
        <w:rPr>
          <w:rFonts w:eastAsia="Calibri"/>
          <w:color w:val="202020"/>
        </w:rPr>
        <w:t>vedamin</w:t>
      </w:r>
      <w:r w:rsidR="00B50CEA">
        <w:rPr>
          <w:rFonts w:eastAsia="Calibri"/>
          <w:color w:val="202020"/>
        </w:rPr>
        <w:t xml:space="preserve">e; </w:t>
      </w:r>
    </w:p>
    <w:p w14:paraId="4305F19F" w14:textId="5D914D68" w:rsidR="000F709A" w:rsidRDefault="0045348A" w:rsidP="001926F7">
      <w:pPr>
        <w:spacing w:after="0" w:line="240" w:lineRule="auto"/>
        <w:jc w:val="both"/>
        <w:rPr>
          <w:rFonts w:eastAsia="Calibri"/>
          <w:color w:val="202020"/>
        </w:rPr>
      </w:pPr>
      <w:r>
        <w:rPr>
          <w:rFonts w:eastAsia="Calibri"/>
          <w:color w:val="202020"/>
        </w:rPr>
        <w:t>4</w:t>
      </w:r>
      <w:r w:rsidR="000F709A">
        <w:rPr>
          <w:rFonts w:eastAsia="Calibri"/>
          <w:color w:val="202020"/>
        </w:rPr>
        <w:t>) Tervisekass</w:t>
      </w:r>
      <w:r w:rsidR="00046D12">
        <w:rPr>
          <w:rFonts w:eastAsia="Calibri"/>
          <w:color w:val="202020"/>
        </w:rPr>
        <w:t xml:space="preserve">ale </w:t>
      </w:r>
      <w:r w:rsidR="004D567C">
        <w:rPr>
          <w:rFonts w:eastAsia="Calibri"/>
          <w:color w:val="202020"/>
        </w:rPr>
        <w:t>juht</w:t>
      </w:r>
      <w:r w:rsidR="0006038A">
        <w:rPr>
          <w:rFonts w:eastAsia="Calibri"/>
          <w:color w:val="202020"/>
        </w:rPr>
        <w:t>projekti edenemise</w:t>
      </w:r>
      <w:r w:rsidR="00046D12">
        <w:rPr>
          <w:rFonts w:eastAsia="Calibri"/>
          <w:color w:val="202020"/>
        </w:rPr>
        <w:t xml:space="preserve"> kohta </w:t>
      </w:r>
      <w:r w:rsidR="00FB0918">
        <w:rPr>
          <w:rFonts w:eastAsia="Calibri"/>
          <w:color w:val="202020"/>
        </w:rPr>
        <w:t xml:space="preserve">info andmine </w:t>
      </w:r>
      <w:r w:rsidR="361B78AB" w:rsidRPr="407D23C7">
        <w:rPr>
          <w:rFonts w:eastAsia="Calibri"/>
          <w:color w:val="202020"/>
        </w:rPr>
        <w:t xml:space="preserve">vähemalt </w:t>
      </w:r>
      <w:r w:rsidR="0083576B">
        <w:rPr>
          <w:rFonts w:eastAsia="Calibri"/>
          <w:color w:val="202020"/>
        </w:rPr>
        <w:t xml:space="preserve">üks </w:t>
      </w:r>
      <w:r w:rsidR="00FB0918">
        <w:rPr>
          <w:rFonts w:eastAsia="Calibri"/>
          <w:color w:val="202020"/>
        </w:rPr>
        <w:t>kord k</w:t>
      </w:r>
      <w:r w:rsidR="001F4A68">
        <w:rPr>
          <w:rFonts w:eastAsia="Calibri"/>
          <w:color w:val="202020"/>
        </w:rPr>
        <w:t>uus</w:t>
      </w:r>
      <w:r w:rsidR="00FB0918">
        <w:rPr>
          <w:rFonts w:eastAsia="Calibri"/>
          <w:color w:val="202020"/>
        </w:rPr>
        <w:t>.</w:t>
      </w:r>
    </w:p>
    <w:p w14:paraId="6A5574DE" w14:textId="77777777" w:rsidR="00FB1F13" w:rsidRDefault="00FB1F13" w:rsidP="001926F7">
      <w:pPr>
        <w:spacing w:after="0" w:line="240" w:lineRule="auto"/>
        <w:jc w:val="both"/>
        <w:rPr>
          <w:rFonts w:eastAsia="Calibri"/>
          <w:color w:val="202020"/>
        </w:rPr>
      </w:pPr>
    </w:p>
    <w:p w14:paraId="592C3E8C" w14:textId="6724B986" w:rsidR="00730567" w:rsidRPr="00323E79" w:rsidRDefault="00730567" w:rsidP="001926F7">
      <w:pPr>
        <w:spacing w:after="0" w:line="240" w:lineRule="auto"/>
        <w:jc w:val="both"/>
        <w:rPr>
          <w:rFonts w:eastAsia="Calibri"/>
          <w:color w:val="202020"/>
        </w:rPr>
      </w:pPr>
      <w:r>
        <w:rPr>
          <w:rFonts w:eastAsia="Calibri"/>
          <w:color w:val="202020"/>
        </w:rPr>
        <w:t>(</w:t>
      </w:r>
      <w:r w:rsidR="002A2DFD">
        <w:rPr>
          <w:rFonts w:eastAsia="Calibri"/>
          <w:color w:val="202020"/>
        </w:rPr>
        <w:t>5</w:t>
      </w:r>
      <w:r w:rsidR="000A6B7C">
        <w:rPr>
          <w:rFonts w:eastAsia="Calibri"/>
          <w:color w:val="202020"/>
        </w:rPr>
        <w:t>0</w:t>
      </w:r>
      <w:r>
        <w:rPr>
          <w:rFonts w:eastAsia="Calibri"/>
          <w:color w:val="202020"/>
        </w:rPr>
        <w:t xml:space="preserve">) </w:t>
      </w:r>
      <w:r w:rsidRPr="00730567">
        <w:rPr>
          <w:rFonts w:eastAsia="Calibri"/>
          <w:color w:val="202020"/>
        </w:rPr>
        <w:t>Tervisekassa võtab koo</w:t>
      </w:r>
      <w:r w:rsidR="00435909">
        <w:rPr>
          <w:rFonts w:eastAsia="Calibri"/>
          <w:color w:val="202020"/>
        </w:rPr>
        <w:t>diga 4522A</w:t>
      </w:r>
      <w:r w:rsidRPr="00730567">
        <w:rPr>
          <w:rFonts w:eastAsia="Calibri"/>
          <w:color w:val="202020"/>
        </w:rPr>
        <w:t xml:space="preserve"> tähistatud tervishoiuteenus</w:t>
      </w:r>
      <w:r w:rsidR="0083576B">
        <w:rPr>
          <w:rFonts w:eastAsia="Calibri"/>
          <w:color w:val="202020"/>
        </w:rPr>
        <w:t>e</w:t>
      </w:r>
      <w:r w:rsidRPr="00730567">
        <w:rPr>
          <w:rFonts w:eastAsia="Calibri"/>
          <w:color w:val="202020"/>
        </w:rPr>
        <w:t xml:space="preserve"> eest tasu maksmise kohustuse üle juhtprojektis osalevalt lepingupartnerilt kuni 31. detsembrini 202</w:t>
      </w:r>
      <w:r w:rsidR="00B306D6">
        <w:rPr>
          <w:rFonts w:eastAsia="Calibri"/>
          <w:color w:val="202020"/>
        </w:rPr>
        <w:t>7</w:t>
      </w:r>
      <w:r w:rsidRPr="00730567">
        <w:rPr>
          <w:rFonts w:eastAsia="Calibri"/>
          <w:color w:val="202020"/>
        </w:rPr>
        <w:t xml:space="preserve">. </w:t>
      </w:r>
      <w:r w:rsidR="006D3BE4">
        <w:rPr>
          <w:rFonts w:eastAsia="Calibri"/>
          <w:color w:val="202020"/>
        </w:rPr>
        <w:t>a</w:t>
      </w:r>
      <w:r w:rsidRPr="00730567">
        <w:rPr>
          <w:rFonts w:eastAsia="Calibri"/>
          <w:color w:val="202020"/>
        </w:rPr>
        <w:t>.</w:t>
      </w:r>
    </w:p>
    <w:p w14:paraId="535C921B" w14:textId="66D84826" w:rsidR="33CB8AC9" w:rsidRPr="00323E79" w:rsidRDefault="33CB8AC9" w:rsidP="33CB8AC9">
      <w:pPr>
        <w:spacing w:after="0" w:line="240" w:lineRule="auto"/>
        <w:jc w:val="both"/>
        <w:rPr>
          <w:rFonts w:eastAsia="Calibri"/>
        </w:rPr>
      </w:pPr>
    </w:p>
    <w:p w14:paraId="7589B2CB" w14:textId="06EE483D" w:rsidR="14968227" w:rsidRDefault="14350B62" w:rsidP="164E55E9">
      <w:pPr>
        <w:spacing w:after="0" w:line="240" w:lineRule="auto"/>
        <w:jc w:val="both"/>
        <w:rPr>
          <w:rFonts w:eastAsia="Calibri"/>
          <w:color w:val="202020"/>
        </w:rPr>
      </w:pPr>
      <w:r w:rsidRPr="33CB8AC9">
        <w:rPr>
          <w:rFonts w:eastAsia="Calibri"/>
          <w:color w:val="202020"/>
        </w:rPr>
        <w:t>(</w:t>
      </w:r>
      <w:r w:rsidR="002A2DFD">
        <w:rPr>
          <w:rFonts w:eastAsia="Calibri"/>
          <w:color w:val="202020"/>
        </w:rPr>
        <w:t>5</w:t>
      </w:r>
      <w:r w:rsidR="000A6B7C">
        <w:rPr>
          <w:rFonts w:eastAsia="Calibri"/>
          <w:color w:val="202020"/>
        </w:rPr>
        <w:t>1</w:t>
      </w:r>
      <w:r w:rsidRPr="33CB8AC9">
        <w:rPr>
          <w:rFonts w:eastAsia="Calibri"/>
          <w:color w:val="202020"/>
        </w:rPr>
        <w:t xml:space="preserve">) </w:t>
      </w:r>
      <w:r w:rsidR="4482ABF1" w:rsidRPr="33CB8AC9">
        <w:rPr>
          <w:rFonts w:eastAsia="Calibri"/>
          <w:color w:val="202020"/>
        </w:rPr>
        <w:t xml:space="preserve">Koodidega </w:t>
      </w:r>
      <w:r w:rsidR="3D7901AC" w:rsidRPr="33CB8AC9">
        <w:rPr>
          <w:rFonts w:eastAsia="Calibri"/>
          <w:color w:val="202020"/>
        </w:rPr>
        <w:t xml:space="preserve">66648, 66649, 3209, 3210 </w:t>
      </w:r>
      <w:r w:rsidR="005E73D7">
        <w:rPr>
          <w:rFonts w:eastAsia="Calibri"/>
          <w:color w:val="202020"/>
        </w:rPr>
        <w:t>ja</w:t>
      </w:r>
      <w:r w:rsidR="3D7901AC" w:rsidRPr="33CB8AC9">
        <w:rPr>
          <w:rFonts w:eastAsia="Calibri"/>
          <w:color w:val="202020"/>
        </w:rPr>
        <w:t xml:space="preserve"> 3211 </w:t>
      </w:r>
      <w:r w:rsidR="48CD4FAB" w:rsidRPr="33CB8AC9">
        <w:rPr>
          <w:rFonts w:eastAsia="Calibri"/>
          <w:color w:val="202020"/>
        </w:rPr>
        <w:t>tähistatud tervishoiu</w:t>
      </w:r>
      <w:r w:rsidR="3D7901AC" w:rsidRPr="33CB8AC9">
        <w:rPr>
          <w:rFonts w:eastAsia="Calibri"/>
          <w:color w:val="202020"/>
        </w:rPr>
        <w:t>teenus</w:t>
      </w:r>
      <w:r w:rsidR="005E73D7">
        <w:rPr>
          <w:rFonts w:eastAsia="Calibri"/>
          <w:color w:val="202020"/>
        </w:rPr>
        <w:t>eid</w:t>
      </w:r>
      <w:r w:rsidR="3D7901AC" w:rsidRPr="33CB8AC9">
        <w:rPr>
          <w:rFonts w:eastAsia="Calibri"/>
          <w:color w:val="202020"/>
        </w:rPr>
        <w:t xml:space="preserve"> tohib </w:t>
      </w:r>
      <w:r w:rsidR="5793C378" w:rsidRPr="37286A58">
        <w:rPr>
          <w:rFonts w:eastAsia="Calibri"/>
          <w:color w:val="202020"/>
        </w:rPr>
        <w:t>osutada</w:t>
      </w:r>
      <w:r w:rsidR="3D7901AC" w:rsidRPr="33CB8AC9">
        <w:rPr>
          <w:rFonts w:eastAsia="Calibri"/>
          <w:color w:val="202020"/>
        </w:rPr>
        <w:t xml:space="preserve"> ainult </w:t>
      </w:r>
      <w:r w:rsidR="3D7901AC" w:rsidRPr="6D9C0B62">
        <w:rPr>
          <w:rFonts w:eastAsia="Calibri"/>
          <w:color w:val="202020"/>
        </w:rPr>
        <w:t>naistele</w:t>
      </w:r>
      <w:r w:rsidR="76ABF63A" w:rsidRPr="6D9C0B62">
        <w:rPr>
          <w:rFonts w:eastAsia="Calibri"/>
          <w:color w:val="202020"/>
        </w:rPr>
        <w:t>, kes on saanud kutse osaleda</w:t>
      </w:r>
      <w:r w:rsidR="3D7901AC" w:rsidRPr="6D9C0B62">
        <w:rPr>
          <w:rFonts w:eastAsia="Calibri"/>
          <w:color w:val="202020"/>
        </w:rPr>
        <w:t xml:space="preserve"> rinnavähi polügeense riski </w:t>
      </w:r>
      <w:r w:rsidR="464CE77D" w:rsidRPr="6D9C0B62">
        <w:rPr>
          <w:rFonts w:eastAsia="Calibri"/>
          <w:color w:val="202020"/>
        </w:rPr>
        <w:t>põhise</w:t>
      </w:r>
      <w:r w:rsidR="4B1CDD26" w:rsidRPr="6D9C0B62">
        <w:rPr>
          <w:rFonts w:eastAsia="Calibri"/>
          <w:color w:val="202020"/>
        </w:rPr>
        <w:t>s</w:t>
      </w:r>
      <w:r w:rsidR="464CE77D" w:rsidRPr="6D9C0B62">
        <w:rPr>
          <w:rFonts w:eastAsia="Calibri"/>
          <w:color w:val="202020"/>
        </w:rPr>
        <w:t xml:space="preserve"> sõeluuringu</w:t>
      </w:r>
      <w:r w:rsidR="3D7901AC" w:rsidRPr="6D9C0B62">
        <w:rPr>
          <w:rFonts w:eastAsia="Calibri"/>
          <w:color w:val="202020"/>
        </w:rPr>
        <w:t>s</w:t>
      </w:r>
      <w:r w:rsidR="14968227" w:rsidRPr="6D9C0B62">
        <w:rPr>
          <w:rFonts w:eastAsia="Calibri"/>
          <w:color w:val="202020"/>
        </w:rPr>
        <w:t>.</w:t>
      </w:r>
    </w:p>
    <w:p w14:paraId="7BE44084" w14:textId="340DDBDF" w:rsidR="164E55E9" w:rsidRDefault="164E55E9" w:rsidP="164E55E9">
      <w:pPr>
        <w:spacing w:after="0" w:line="240" w:lineRule="auto"/>
        <w:jc w:val="both"/>
        <w:rPr>
          <w:rFonts w:eastAsia="Calibri"/>
        </w:rPr>
      </w:pPr>
    </w:p>
    <w:p w14:paraId="796742AE" w14:textId="7E55F79D" w:rsidR="0B64856A" w:rsidRDefault="0B64856A" w:rsidP="33CB8AC9">
      <w:pPr>
        <w:spacing w:after="0" w:line="240" w:lineRule="auto"/>
        <w:jc w:val="both"/>
        <w:rPr>
          <w:rFonts w:eastAsia="Calibri"/>
          <w:color w:val="202020"/>
        </w:rPr>
      </w:pPr>
      <w:r w:rsidRPr="33CB8AC9">
        <w:rPr>
          <w:rFonts w:eastAsia="Calibri"/>
          <w:color w:val="202020"/>
        </w:rPr>
        <w:t>(</w:t>
      </w:r>
      <w:r w:rsidR="002A2DFD">
        <w:rPr>
          <w:rFonts w:eastAsia="Calibri"/>
          <w:color w:val="202020"/>
        </w:rPr>
        <w:t>5</w:t>
      </w:r>
      <w:r w:rsidR="000A6B7C">
        <w:rPr>
          <w:rFonts w:eastAsia="Calibri"/>
          <w:color w:val="202020"/>
        </w:rPr>
        <w:t>2</w:t>
      </w:r>
      <w:r w:rsidRPr="33CB8AC9">
        <w:rPr>
          <w:rFonts w:eastAsia="Calibri"/>
          <w:color w:val="202020"/>
        </w:rPr>
        <w:t xml:space="preserve">) </w:t>
      </w:r>
      <w:r w:rsidR="773E4ED1" w:rsidRPr="33CB8AC9">
        <w:rPr>
          <w:rFonts w:eastAsia="Calibri"/>
          <w:color w:val="202020"/>
        </w:rPr>
        <w:t xml:space="preserve">Koodidega </w:t>
      </w:r>
      <w:r w:rsidR="3D7901AC" w:rsidRPr="33CB8AC9">
        <w:rPr>
          <w:rFonts w:eastAsia="Calibri"/>
          <w:color w:val="202020"/>
        </w:rPr>
        <w:t xml:space="preserve">66648 ja 66649 </w:t>
      </w:r>
      <w:r w:rsidR="6EF99AC6" w:rsidRPr="33CB8AC9">
        <w:rPr>
          <w:rFonts w:eastAsia="Calibri"/>
          <w:color w:val="202020"/>
        </w:rPr>
        <w:t>tähistatud tervishoiuteenuseid</w:t>
      </w:r>
      <w:r w:rsidR="3D7901AC" w:rsidRPr="33CB8AC9">
        <w:rPr>
          <w:rFonts w:eastAsia="Calibri"/>
          <w:color w:val="202020"/>
        </w:rPr>
        <w:t xml:space="preserve"> </w:t>
      </w:r>
      <w:r w:rsidR="003F3055" w:rsidRPr="003F3055">
        <w:rPr>
          <w:rFonts w:eastAsia="Calibri"/>
          <w:color w:val="202020"/>
        </w:rPr>
        <w:t>rakendab genotüpiseerimise võimekusega laborit omav tervishoiuteenuse osutaja</w:t>
      </w:r>
      <w:r w:rsidR="003F3055">
        <w:rPr>
          <w:rFonts w:eastAsia="Calibri"/>
          <w:color w:val="202020"/>
        </w:rPr>
        <w:t xml:space="preserve"> </w:t>
      </w:r>
      <w:r w:rsidR="00F07592">
        <w:rPr>
          <w:rFonts w:eastAsia="Calibri"/>
          <w:color w:val="202020"/>
        </w:rPr>
        <w:t>vastavalt ravi rahastamise lepingus kokku</w:t>
      </w:r>
      <w:r w:rsidR="0083576B">
        <w:rPr>
          <w:rFonts w:eastAsia="Calibri"/>
          <w:color w:val="202020"/>
        </w:rPr>
        <w:t xml:space="preserve"> lepitud</w:t>
      </w:r>
      <w:r w:rsidR="00F07592">
        <w:rPr>
          <w:rFonts w:eastAsia="Calibri"/>
          <w:color w:val="202020"/>
        </w:rPr>
        <w:t xml:space="preserve"> tingimustel</w:t>
      </w:r>
      <w:r w:rsidR="00FB3075">
        <w:rPr>
          <w:rFonts w:eastAsia="Calibri"/>
          <w:color w:val="202020"/>
        </w:rPr>
        <w:t>e</w:t>
      </w:r>
      <w:r w:rsidR="3D7901AC" w:rsidRPr="33CB8AC9">
        <w:rPr>
          <w:rFonts w:eastAsia="Calibri"/>
          <w:color w:val="202020"/>
        </w:rPr>
        <w:t>.</w:t>
      </w:r>
    </w:p>
    <w:p w14:paraId="374B3B85" w14:textId="2438553F" w:rsidR="33CB8AC9" w:rsidRDefault="33CB8AC9" w:rsidP="33CB8AC9">
      <w:pPr>
        <w:spacing w:after="0" w:line="240" w:lineRule="auto"/>
        <w:jc w:val="both"/>
        <w:rPr>
          <w:rFonts w:eastAsia="Calibri"/>
          <w:color w:val="202020"/>
        </w:rPr>
      </w:pPr>
    </w:p>
    <w:p w14:paraId="67C4D4DA" w14:textId="43094FBA" w:rsidR="2BE58CBE" w:rsidRDefault="2BE58CBE" w:rsidP="0EDE5CE9">
      <w:pPr>
        <w:spacing w:after="0" w:line="240" w:lineRule="auto"/>
        <w:jc w:val="both"/>
        <w:rPr>
          <w:rFonts w:eastAsia="Calibri"/>
          <w:color w:val="202020"/>
        </w:rPr>
      </w:pPr>
      <w:r w:rsidRPr="0BB4088B">
        <w:rPr>
          <w:rFonts w:eastAsia="Calibri"/>
          <w:color w:val="202020"/>
        </w:rPr>
        <w:t>(</w:t>
      </w:r>
      <w:r w:rsidR="002A2DFD">
        <w:rPr>
          <w:rFonts w:eastAsia="Calibri"/>
          <w:color w:val="202020"/>
        </w:rPr>
        <w:t>5</w:t>
      </w:r>
      <w:r w:rsidR="000A6B7C">
        <w:rPr>
          <w:rFonts w:eastAsia="Calibri"/>
          <w:color w:val="202020"/>
        </w:rPr>
        <w:t>3</w:t>
      </w:r>
      <w:r w:rsidRPr="0BB4088B">
        <w:rPr>
          <w:rFonts w:eastAsia="Calibri"/>
          <w:color w:val="202020"/>
        </w:rPr>
        <w:t xml:space="preserve">) </w:t>
      </w:r>
      <w:r w:rsidR="3956036C" w:rsidRPr="0BB4088B">
        <w:rPr>
          <w:rFonts w:eastAsia="Calibri"/>
          <w:color w:val="202020"/>
        </w:rPr>
        <w:t xml:space="preserve">Koodidega </w:t>
      </w:r>
      <w:r w:rsidR="3D7901AC" w:rsidRPr="0BB4088B">
        <w:rPr>
          <w:rFonts w:eastAsia="Calibri"/>
          <w:color w:val="202020"/>
        </w:rPr>
        <w:t xml:space="preserve">3209, 3210 ja 3211 </w:t>
      </w:r>
      <w:r w:rsidR="2BE4A9D4" w:rsidRPr="0BB4088B">
        <w:rPr>
          <w:rFonts w:eastAsia="Calibri"/>
          <w:color w:val="202020"/>
        </w:rPr>
        <w:t>tähistatud tervishoiu</w:t>
      </w:r>
      <w:r w:rsidR="3D7901AC" w:rsidRPr="0BB4088B">
        <w:rPr>
          <w:rFonts w:eastAsia="Calibri"/>
          <w:color w:val="202020"/>
        </w:rPr>
        <w:t>teenus</w:t>
      </w:r>
      <w:r w:rsidR="1200359B" w:rsidRPr="0BB4088B">
        <w:rPr>
          <w:rFonts w:eastAsia="Calibri"/>
          <w:color w:val="202020"/>
        </w:rPr>
        <w:t>eid</w:t>
      </w:r>
      <w:r w:rsidR="3D7901AC" w:rsidRPr="0BB4088B">
        <w:rPr>
          <w:rFonts w:eastAsia="Calibri"/>
          <w:color w:val="202020"/>
        </w:rPr>
        <w:t xml:space="preserve"> </w:t>
      </w:r>
      <w:r w:rsidR="0A6CFF90" w:rsidRPr="0BB4088B">
        <w:rPr>
          <w:rFonts w:eastAsia="Calibri"/>
          <w:color w:val="202020"/>
        </w:rPr>
        <w:t xml:space="preserve">tohivad </w:t>
      </w:r>
      <w:r w:rsidR="27C384C2" w:rsidRPr="19FBFA9D">
        <w:rPr>
          <w:rFonts w:eastAsia="Calibri"/>
          <w:color w:val="202020"/>
        </w:rPr>
        <w:t xml:space="preserve">vastavalt ravi rahastamise lepingus </w:t>
      </w:r>
      <w:r w:rsidR="27C384C2" w:rsidRPr="59657A4D">
        <w:rPr>
          <w:rFonts w:eastAsia="Calibri"/>
          <w:color w:val="202020"/>
        </w:rPr>
        <w:t>kokku</w:t>
      </w:r>
      <w:r w:rsidR="0083576B">
        <w:rPr>
          <w:rFonts w:eastAsia="Calibri"/>
          <w:color w:val="202020"/>
        </w:rPr>
        <w:t xml:space="preserve"> lepitud</w:t>
      </w:r>
      <w:r w:rsidR="27C384C2" w:rsidRPr="7BBB6AFC">
        <w:rPr>
          <w:rFonts w:eastAsia="Calibri"/>
          <w:color w:val="202020"/>
        </w:rPr>
        <w:t xml:space="preserve"> tingimustele </w:t>
      </w:r>
      <w:r w:rsidR="0A6CFF90" w:rsidRPr="7BBB6AFC">
        <w:rPr>
          <w:rFonts w:eastAsia="Calibri"/>
          <w:color w:val="202020"/>
        </w:rPr>
        <w:t>osutada</w:t>
      </w:r>
      <w:r w:rsidR="0A6CFF90" w:rsidRPr="19FBFA9D">
        <w:rPr>
          <w:rFonts w:eastAsia="Calibri"/>
          <w:color w:val="202020"/>
        </w:rPr>
        <w:t xml:space="preserve"> </w:t>
      </w:r>
      <w:r w:rsidR="38EA2A9A" w:rsidRPr="19FBFA9D">
        <w:rPr>
          <w:rFonts w:eastAsia="Calibri"/>
          <w:color w:val="202020"/>
        </w:rPr>
        <w:t>ämmaemandad, kes on läbinud sellesisulise koolituse</w:t>
      </w:r>
      <w:r w:rsidR="4B7C0AB5" w:rsidRPr="7BBB6AFC">
        <w:rPr>
          <w:rFonts w:eastAsia="Calibri"/>
          <w:color w:val="202020"/>
        </w:rPr>
        <w:t>.</w:t>
      </w:r>
    </w:p>
    <w:p w14:paraId="020650BB" w14:textId="77777777" w:rsidR="000F7AD5" w:rsidRDefault="000F7AD5" w:rsidP="0EDE5CE9">
      <w:pPr>
        <w:spacing w:after="0" w:line="240" w:lineRule="auto"/>
        <w:jc w:val="both"/>
        <w:rPr>
          <w:rFonts w:eastAsia="Calibri"/>
          <w:color w:val="202020"/>
        </w:rPr>
      </w:pPr>
    </w:p>
    <w:p w14:paraId="2DF45810" w14:textId="574458A1" w:rsidR="3D7901AC" w:rsidRPr="00D2005B" w:rsidRDefault="485D1EB7" w:rsidP="33CB8AC9">
      <w:pPr>
        <w:spacing w:after="0" w:line="240" w:lineRule="auto"/>
        <w:jc w:val="both"/>
        <w:rPr>
          <w:rFonts w:eastAsia="Calibri"/>
        </w:rPr>
      </w:pPr>
      <w:r w:rsidRPr="0EDE5CE9">
        <w:rPr>
          <w:rFonts w:eastAsia="Calibri"/>
          <w:color w:val="202020"/>
        </w:rPr>
        <w:t>(</w:t>
      </w:r>
      <w:r w:rsidR="002A2DFD">
        <w:rPr>
          <w:rFonts w:eastAsia="Calibri"/>
          <w:color w:val="202020"/>
        </w:rPr>
        <w:t>5</w:t>
      </w:r>
      <w:r w:rsidR="000A6B7C">
        <w:rPr>
          <w:rFonts w:eastAsia="Calibri"/>
          <w:color w:val="202020"/>
        </w:rPr>
        <w:t>4</w:t>
      </w:r>
      <w:r w:rsidRPr="0EDE5CE9">
        <w:rPr>
          <w:rFonts w:eastAsia="Calibri"/>
          <w:color w:val="202020"/>
        </w:rPr>
        <w:t xml:space="preserve">) </w:t>
      </w:r>
      <w:r w:rsidR="3D7901AC" w:rsidRPr="0EDE5CE9">
        <w:rPr>
          <w:rFonts w:eastAsia="Calibri"/>
          <w:color w:val="202020"/>
        </w:rPr>
        <w:t>Tervisekassa võtab koodidega 3209,</w:t>
      </w:r>
      <w:r w:rsidR="6FC02382" w:rsidRPr="0EDE5CE9">
        <w:rPr>
          <w:rFonts w:eastAsia="Calibri"/>
          <w:color w:val="202020"/>
        </w:rPr>
        <w:t xml:space="preserve"> </w:t>
      </w:r>
      <w:r w:rsidR="3D7901AC" w:rsidRPr="0EDE5CE9">
        <w:rPr>
          <w:rFonts w:eastAsia="Calibri"/>
          <w:color w:val="202020"/>
        </w:rPr>
        <w:t>3210 ja 3211 tähistatud tervishoiuteenus</w:t>
      </w:r>
      <w:r w:rsidR="00DC3DDD">
        <w:rPr>
          <w:rFonts w:eastAsia="Calibri"/>
          <w:color w:val="202020"/>
        </w:rPr>
        <w:t>t</w:t>
      </w:r>
      <w:r w:rsidR="3D7901AC" w:rsidRPr="0EDE5CE9">
        <w:rPr>
          <w:rFonts w:eastAsia="Calibri"/>
          <w:color w:val="202020"/>
        </w:rPr>
        <w:t>e eest tasu maksmise kohustuse üle juhul, kui inimesele on eelnevalt osutatud koodiga 66648 või 66649</w:t>
      </w:r>
      <w:r w:rsidR="00DC3DDD">
        <w:rPr>
          <w:rFonts w:eastAsia="Calibri"/>
          <w:color w:val="202020"/>
        </w:rPr>
        <w:t xml:space="preserve"> tähistatud tervishoiuteenust</w:t>
      </w:r>
      <w:r w:rsidR="3D7901AC" w:rsidRPr="0EDE5CE9">
        <w:rPr>
          <w:rFonts w:eastAsia="Calibri"/>
          <w:color w:val="202020"/>
        </w:rPr>
        <w:t>.</w:t>
      </w:r>
    </w:p>
    <w:p w14:paraId="302AB3B1" w14:textId="3CAE0B42" w:rsidR="7BBB6AFC" w:rsidRDefault="7BBB6AFC" w:rsidP="7BBB6AFC">
      <w:pPr>
        <w:spacing w:after="0" w:line="240" w:lineRule="auto"/>
        <w:jc w:val="both"/>
        <w:rPr>
          <w:rFonts w:eastAsia="Calibri"/>
          <w:color w:val="202020"/>
        </w:rPr>
      </w:pPr>
    </w:p>
    <w:p w14:paraId="23BB0275" w14:textId="7408EBF5" w:rsidR="00F86C57" w:rsidRDefault="30130552" w:rsidP="7BBB6AFC">
      <w:pPr>
        <w:spacing w:after="0" w:line="240" w:lineRule="auto"/>
        <w:jc w:val="both"/>
        <w:rPr>
          <w:rFonts w:eastAsia="Calibri"/>
          <w:color w:val="202020"/>
        </w:rPr>
      </w:pPr>
      <w:r w:rsidRPr="27AE3AC9">
        <w:rPr>
          <w:rFonts w:eastAsia="Calibri"/>
          <w:color w:val="202020"/>
        </w:rPr>
        <w:t>(</w:t>
      </w:r>
      <w:r w:rsidR="00E931B3">
        <w:rPr>
          <w:rFonts w:eastAsia="Calibri"/>
          <w:color w:val="202020"/>
        </w:rPr>
        <w:t>5</w:t>
      </w:r>
      <w:r w:rsidR="000A6B7C">
        <w:rPr>
          <w:rFonts w:eastAsia="Calibri"/>
          <w:color w:val="202020"/>
        </w:rPr>
        <w:t>5</w:t>
      </w:r>
      <w:r w:rsidRPr="27AE3AC9">
        <w:rPr>
          <w:rFonts w:eastAsia="Calibri"/>
          <w:color w:val="202020"/>
        </w:rPr>
        <w:t xml:space="preserve">) </w:t>
      </w:r>
      <w:r w:rsidR="352ADC16" w:rsidRPr="1A8B7EE2">
        <w:rPr>
          <w:color w:val="000000" w:themeColor="text1"/>
        </w:rPr>
        <w:t>Ämmaemand võib</w:t>
      </w:r>
      <w:r w:rsidR="352ADC16" w:rsidRPr="27AE3AC9">
        <w:rPr>
          <w:color w:val="000000" w:themeColor="text1"/>
        </w:rPr>
        <w:t xml:space="preserve"> </w:t>
      </w:r>
      <w:r w:rsidR="352ADC16" w:rsidRPr="1A8B7EE2">
        <w:rPr>
          <w:rFonts w:eastAsia="Calibri"/>
          <w:color w:val="202020"/>
        </w:rPr>
        <w:t>k</w:t>
      </w:r>
      <w:r w:rsidRPr="1A8B7EE2">
        <w:rPr>
          <w:rFonts w:eastAsia="Calibri"/>
          <w:color w:val="202020"/>
        </w:rPr>
        <w:t>oodi</w:t>
      </w:r>
      <w:r w:rsidR="05F9224D" w:rsidRPr="1A8B7EE2">
        <w:rPr>
          <w:rFonts w:eastAsia="Calibri"/>
          <w:color w:val="202020"/>
        </w:rPr>
        <w:t>ga</w:t>
      </w:r>
      <w:r w:rsidRPr="1A8B7EE2">
        <w:rPr>
          <w:rFonts w:eastAsia="Calibri"/>
          <w:color w:val="202020"/>
        </w:rPr>
        <w:t xml:space="preserve"> </w:t>
      </w:r>
      <w:r w:rsidRPr="7403DEC3">
        <w:rPr>
          <w:rFonts w:eastAsia="Calibri"/>
          <w:color w:val="202020"/>
        </w:rPr>
        <w:t xml:space="preserve">3209, 3210 </w:t>
      </w:r>
      <w:r w:rsidR="3D7A5682" w:rsidRPr="42F483A5">
        <w:rPr>
          <w:rFonts w:eastAsia="Calibri"/>
          <w:color w:val="202020"/>
        </w:rPr>
        <w:t>või</w:t>
      </w:r>
      <w:r w:rsidRPr="7403DEC3">
        <w:rPr>
          <w:rFonts w:eastAsia="Calibri"/>
          <w:color w:val="202020"/>
        </w:rPr>
        <w:t xml:space="preserve"> 3211 tähistatud </w:t>
      </w:r>
      <w:r w:rsidRPr="42F483A5">
        <w:rPr>
          <w:rFonts w:eastAsia="Calibri"/>
          <w:color w:val="202020"/>
        </w:rPr>
        <w:t>tervishoiuteenus</w:t>
      </w:r>
      <w:r w:rsidR="61E86741" w:rsidRPr="42F483A5">
        <w:rPr>
          <w:rFonts w:eastAsia="Calibri"/>
          <w:color w:val="202020"/>
        </w:rPr>
        <w:t>t</w:t>
      </w:r>
      <w:r w:rsidRPr="1A8B7EE2">
        <w:rPr>
          <w:rFonts w:eastAsia="Calibri"/>
          <w:color w:val="202020"/>
        </w:rPr>
        <w:t xml:space="preserve"> </w:t>
      </w:r>
      <w:r w:rsidRPr="7403DEC3">
        <w:rPr>
          <w:rFonts w:eastAsia="Calibri"/>
          <w:color w:val="202020"/>
        </w:rPr>
        <w:t xml:space="preserve">inimesele osutada </w:t>
      </w:r>
      <w:r w:rsidR="0083576B">
        <w:rPr>
          <w:rFonts w:eastAsia="Calibri"/>
          <w:color w:val="202020"/>
        </w:rPr>
        <w:t>üks kord</w:t>
      </w:r>
      <w:r w:rsidRPr="004BF072">
        <w:rPr>
          <w:rFonts w:eastAsia="Calibri"/>
          <w:color w:val="202020"/>
        </w:rPr>
        <w:t xml:space="preserve"> koodiga </w:t>
      </w:r>
      <w:r w:rsidRPr="7BF095AC">
        <w:rPr>
          <w:rFonts w:eastAsia="Calibri"/>
          <w:color w:val="202020"/>
        </w:rPr>
        <w:t>66648 või 66649 tähistatud tervishoiuteenuse k</w:t>
      </w:r>
      <w:r w:rsidR="4D600EF1" w:rsidRPr="7BF095AC">
        <w:rPr>
          <w:rFonts w:eastAsia="Calibri"/>
          <w:color w:val="202020"/>
        </w:rPr>
        <w:t>ohta</w:t>
      </w:r>
      <w:r w:rsidR="710791F3" w:rsidRPr="42F483A5">
        <w:rPr>
          <w:rFonts w:eastAsia="Calibri"/>
          <w:color w:val="202020"/>
        </w:rPr>
        <w:t xml:space="preserve">. </w:t>
      </w:r>
    </w:p>
    <w:p w14:paraId="452023CC" w14:textId="77777777" w:rsidR="00B93CB6" w:rsidRDefault="00B93CB6" w:rsidP="7BBB6AFC">
      <w:pPr>
        <w:spacing w:after="0" w:line="240" w:lineRule="auto"/>
        <w:jc w:val="both"/>
        <w:rPr>
          <w:rFonts w:eastAsia="Calibri"/>
          <w:color w:val="202020"/>
        </w:rPr>
      </w:pPr>
    </w:p>
    <w:p w14:paraId="46576909" w14:textId="3B387486" w:rsidR="00526E32" w:rsidRDefault="00B93CB6" w:rsidP="7BBB6AFC">
      <w:pPr>
        <w:spacing w:after="0" w:line="240" w:lineRule="auto"/>
        <w:jc w:val="both"/>
        <w:rPr>
          <w:rFonts w:eastAsia="Calibri"/>
          <w:color w:val="202020"/>
        </w:rPr>
      </w:pPr>
      <w:r>
        <w:rPr>
          <w:rFonts w:eastAsia="Calibri"/>
          <w:color w:val="202020"/>
        </w:rPr>
        <w:t>(</w:t>
      </w:r>
      <w:r w:rsidR="003026D1">
        <w:rPr>
          <w:rFonts w:eastAsia="Calibri"/>
          <w:color w:val="202020"/>
        </w:rPr>
        <w:t>5</w:t>
      </w:r>
      <w:r w:rsidR="000A6B7C">
        <w:rPr>
          <w:rFonts w:eastAsia="Calibri"/>
          <w:color w:val="202020"/>
        </w:rPr>
        <w:t>6</w:t>
      </w:r>
      <w:r>
        <w:rPr>
          <w:rFonts w:eastAsia="Calibri"/>
          <w:color w:val="202020"/>
        </w:rPr>
        <w:t xml:space="preserve">) </w:t>
      </w:r>
      <w:r w:rsidR="00A21F90" w:rsidRPr="00A21F90">
        <w:rPr>
          <w:rFonts w:eastAsia="Calibri"/>
          <w:color w:val="202020"/>
        </w:rPr>
        <w:t xml:space="preserve">Tervisekassa võtab koodiga </w:t>
      </w:r>
      <w:r w:rsidR="00A21F90">
        <w:rPr>
          <w:rFonts w:eastAsia="Calibri"/>
          <w:color w:val="202020"/>
        </w:rPr>
        <w:t>3057</w:t>
      </w:r>
      <w:r w:rsidR="00A21F90" w:rsidRPr="00A21F90">
        <w:rPr>
          <w:rFonts w:eastAsia="Calibri"/>
          <w:color w:val="202020"/>
        </w:rPr>
        <w:t xml:space="preserve"> tähistatud tervishoiuteenuse eest tasu maksmise kohustuse üle </w:t>
      </w:r>
      <w:r w:rsidR="00A21F90" w:rsidRPr="6BFA31AC">
        <w:rPr>
          <w:rFonts w:eastAsia="Calibri"/>
          <w:color w:val="202020"/>
        </w:rPr>
        <w:t>juhtprojekti</w:t>
      </w:r>
      <w:r w:rsidR="432AB606" w:rsidRPr="6BFA31AC">
        <w:rPr>
          <w:rFonts w:eastAsia="Calibri"/>
          <w:color w:val="202020"/>
        </w:rPr>
        <w:t>des</w:t>
      </w:r>
      <w:r w:rsidR="00DE0792">
        <w:rPr>
          <w:rFonts w:eastAsia="Calibri"/>
          <w:color w:val="202020"/>
        </w:rPr>
        <w:t xml:space="preserve"> </w:t>
      </w:r>
      <w:r w:rsidR="6EDFCE0C" w:rsidRPr="6A0A2B6E">
        <w:rPr>
          <w:rFonts w:eastAsia="Calibri"/>
          <w:color w:val="202020"/>
        </w:rPr>
        <w:t>„</w:t>
      </w:r>
      <w:r w:rsidR="18B77D0C" w:rsidRPr="6BFA31AC">
        <w:rPr>
          <w:rFonts w:eastAsia="Calibri"/>
          <w:color w:val="202020"/>
        </w:rPr>
        <w:t>Pilootprojekt rollide ümberjaotamiseks esmatasandi tervisekeskuses</w:t>
      </w:r>
      <w:r w:rsidR="6733D77B" w:rsidRPr="6A0A2B6E">
        <w:rPr>
          <w:rFonts w:eastAsia="Calibri"/>
          <w:color w:val="202020"/>
        </w:rPr>
        <w:t>“</w:t>
      </w:r>
      <w:r w:rsidR="18B77D0C" w:rsidRPr="6BFA31AC">
        <w:rPr>
          <w:rFonts w:eastAsia="Calibri"/>
          <w:color w:val="202020"/>
        </w:rPr>
        <w:t xml:space="preserve"> ja</w:t>
      </w:r>
      <w:r w:rsidR="00E50782">
        <w:rPr>
          <w:rFonts w:eastAsia="Calibri"/>
          <w:color w:val="202020"/>
        </w:rPr>
        <w:t xml:space="preserve"> </w:t>
      </w:r>
      <w:r w:rsidR="009D19A3">
        <w:rPr>
          <w:rFonts w:eastAsia="Calibri"/>
          <w:color w:val="202020"/>
        </w:rPr>
        <w:t>„</w:t>
      </w:r>
      <w:r w:rsidR="009D19A3" w:rsidRPr="009D19A3">
        <w:rPr>
          <w:rFonts w:eastAsia="Calibri"/>
          <w:color w:val="202020"/>
        </w:rPr>
        <w:t>Digikolleegi pilootprojekt kaugtööjõu kasutamiseks perearstiabis</w:t>
      </w:r>
      <w:r w:rsidR="009D19A3">
        <w:rPr>
          <w:rFonts w:eastAsia="Calibri"/>
          <w:color w:val="202020"/>
        </w:rPr>
        <w:t>“</w:t>
      </w:r>
      <w:r w:rsidR="009D19A3" w:rsidRPr="009D19A3">
        <w:rPr>
          <w:rFonts w:eastAsia="Calibri"/>
          <w:color w:val="202020"/>
        </w:rPr>
        <w:t xml:space="preserve"> </w:t>
      </w:r>
      <w:r w:rsidR="00E50782">
        <w:rPr>
          <w:rFonts w:eastAsia="Calibri"/>
          <w:color w:val="202020"/>
        </w:rPr>
        <w:t xml:space="preserve">nimetatud </w:t>
      </w:r>
      <w:r w:rsidR="00A21F90" w:rsidRPr="00A21F90">
        <w:rPr>
          <w:rFonts w:eastAsia="Calibri"/>
          <w:color w:val="202020"/>
        </w:rPr>
        <w:t>tervishoiuteenuse osutajalt</w:t>
      </w:r>
      <w:r w:rsidR="009519D4">
        <w:rPr>
          <w:rFonts w:eastAsia="Calibri"/>
          <w:color w:val="202020"/>
        </w:rPr>
        <w:t xml:space="preserve"> </w:t>
      </w:r>
      <w:r w:rsidR="003B3AE7">
        <w:rPr>
          <w:rFonts w:eastAsia="Calibri"/>
          <w:color w:val="202020"/>
        </w:rPr>
        <w:t>§ 3 lõikes 1</w:t>
      </w:r>
      <w:r w:rsidR="00860FF9">
        <w:rPr>
          <w:rFonts w:eastAsia="Calibri"/>
          <w:color w:val="202020"/>
        </w:rPr>
        <w:t>1</w:t>
      </w:r>
      <w:r w:rsidR="003B3AE7">
        <w:rPr>
          <w:rFonts w:eastAsia="Calibri"/>
          <w:color w:val="202020"/>
        </w:rPr>
        <w:t xml:space="preserve"> nimetatud piirangut </w:t>
      </w:r>
      <w:r w:rsidR="00F5117C">
        <w:rPr>
          <w:rFonts w:eastAsia="Calibri"/>
          <w:color w:val="202020"/>
        </w:rPr>
        <w:t>rakendamata</w:t>
      </w:r>
      <w:r w:rsidR="00A21F90" w:rsidRPr="00A21F90">
        <w:rPr>
          <w:rFonts w:eastAsia="Calibri"/>
          <w:color w:val="202020"/>
        </w:rPr>
        <w:t>.</w:t>
      </w:r>
    </w:p>
    <w:p w14:paraId="21A43FF8" w14:textId="77777777" w:rsidR="00526E32" w:rsidRPr="00526E32" w:rsidRDefault="00526E32" w:rsidP="00526E32">
      <w:pPr>
        <w:spacing w:after="0" w:line="240" w:lineRule="auto"/>
        <w:jc w:val="both"/>
        <w:rPr>
          <w:rStyle w:val="Kommentaariviide"/>
          <w:sz w:val="24"/>
          <w:szCs w:val="24"/>
        </w:rPr>
      </w:pPr>
    </w:p>
    <w:p w14:paraId="71D26FA6" w14:textId="10F81A49" w:rsidR="00B06603" w:rsidRDefault="00526E32" w:rsidP="00526E32">
      <w:pPr>
        <w:spacing w:after="0" w:line="240" w:lineRule="auto"/>
        <w:jc w:val="both"/>
        <w:rPr>
          <w:color w:val="000000" w:themeColor="text1"/>
        </w:rPr>
      </w:pPr>
      <w:r>
        <w:t>(</w:t>
      </w:r>
      <w:r w:rsidR="003026D1">
        <w:t>5</w:t>
      </w:r>
      <w:r w:rsidR="000A6B7C">
        <w:t>7</w:t>
      </w:r>
      <w:r>
        <w:t xml:space="preserve">) </w:t>
      </w:r>
      <w:r w:rsidRPr="1B2C7709">
        <w:rPr>
          <w:color w:val="000000" w:themeColor="text1"/>
        </w:rPr>
        <w:t xml:space="preserve">Tervisekassa võtab koodiga 3131 tähistatud tervishoiuteenuse eest tasu maksmise kohustuse üle juhul, kui tervishoiuteenuse osutamise käigus koostatud </w:t>
      </w:r>
      <w:r w:rsidRPr="288384D8">
        <w:rPr>
          <w:color w:val="000000" w:themeColor="text1"/>
        </w:rPr>
        <w:t xml:space="preserve">eriõe </w:t>
      </w:r>
      <w:r w:rsidRPr="1B2C7709">
        <w:rPr>
          <w:color w:val="000000" w:themeColor="text1"/>
        </w:rPr>
        <w:t xml:space="preserve">e-konsultatsiooni saatekiri ja eriõe või õe vastus sisaldavad ravikindlustuse seaduse § 32 alusel kehtestatud määruse lisas sätestatud andmeid ning nõuetekohane vastus saadetakse tervise infosüsteemi vahendusel </w:t>
      </w:r>
      <w:r>
        <w:rPr>
          <w:color w:val="000000" w:themeColor="text1"/>
        </w:rPr>
        <w:t>nelja</w:t>
      </w:r>
      <w:r w:rsidRPr="1B2C7709">
        <w:rPr>
          <w:color w:val="000000" w:themeColor="text1"/>
        </w:rPr>
        <w:t xml:space="preserve"> tööpäeva jooksul alates e-konsultatsiooni saatekirja jõudmisest tervise infosüsteemi.</w:t>
      </w:r>
    </w:p>
    <w:p w14:paraId="104D3882" w14:textId="77777777" w:rsidR="00860FF9" w:rsidRDefault="00860FF9" w:rsidP="00526E32">
      <w:pPr>
        <w:spacing w:after="0" w:line="240" w:lineRule="auto"/>
        <w:jc w:val="both"/>
        <w:rPr>
          <w:color w:val="000000" w:themeColor="text1"/>
        </w:rPr>
      </w:pPr>
    </w:p>
    <w:p w14:paraId="0F17736F" w14:textId="5BFC06A6" w:rsidR="000240B7" w:rsidRDefault="19AC9331" w:rsidP="000240B7">
      <w:pPr>
        <w:spacing w:after="0" w:line="240" w:lineRule="auto"/>
        <w:jc w:val="both"/>
      </w:pPr>
      <w:r>
        <w:t>(</w:t>
      </w:r>
      <w:r w:rsidR="003026D1">
        <w:t>5</w:t>
      </w:r>
      <w:r w:rsidR="000A6B7C">
        <w:t>8</w:t>
      </w:r>
      <w:r>
        <w:t xml:space="preserve">) </w:t>
      </w:r>
      <w:r w:rsidR="000240B7">
        <w:t xml:space="preserve">Kopsuvähi sõeluuringu juhtprojekti raames tervishoiuteenuste osutamisel võib Tervisekassa tasuda perearstile, kes on kaasanud sõeluuringusse vähemalt 90% oma nimistu sihtrühma kuuluvatest isikutest, tulemustasu piirhinnaga 10 eurot iga sõeluuringusse kaastatud isiku eest perearstiabi rahastamise lepingus kokku lepitud tingimustel ja korras. </w:t>
      </w:r>
    </w:p>
    <w:p w14:paraId="7263422E" w14:textId="77777777" w:rsidR="000240B7" w:rsidRDefault="000240B7" w:rsidP="464543E7">
      <w:pPr>
        <w:spacing w:after="0" w:line="240" w:lineRule="auto"/>
        <w:jc w:val="both"/>
      </w:pPr>
    </w:p>
    <w:p w14:paraId="09554F5F" w14:textId="60918952" w:rsidR="00063F9D" w:rsidRDefault="00063F9D" w:rsidP="464543E7">
      <w:pPr>
        <w:spacing w:after="0" w:line="240" w:lineRule="auto"/>
        <w:jc w:val="both"/>
      </w:pPr>
      <w:r>
        <w:lastRenderedPageBreak/>
        <w:t>(</w:t>
      </w:r>
      <w:r w:rsidR="00681449">
        <w:t>59</w:t>
      </w:r>
      <w:r>
        <w:t xml:space="preserve">) </w:t>
      </w:r>
      <w:r w:rsidR="002A494B" w:rsidRPr="002A494B">
        <w:t>Koodiga 707</w:t>
      </w:r>
      <w:r w:rsidR="003117D2">
        <w:t>8</w:t>
      </w:r>
      <w:r w:rsidR="002A494B" w:rsidRPr="002A494B">
        <w:t xml:space="preserve">A tähistatud </w:t>
      </w:r>
      <w:r w:rsidR="004D61FD">
        <w:t>tervishoiu</w:t>
      </w:r>
      <w:r w:rsidR="002A494B" w:rsidRPr="002A494B">
        <w:t>teenust rakendatakse Tervisekassa juhatuse otsuse alusel kinnitatud innovatsioonipartneritele. </w:t>
      </w:r>
    </w:p>
    <w:p w14:paraId="3D68406F" w14:textId="77777777" w:rsidR="005623CA" w:rsidRDefault="005623CA" w:rsidP="464543E7">
      <w:pPr>
        <w:spacing w:after="0" w:line="240" w:lineRule="auto"/>
        <w:jc w:val="both"/>
      </w:pPr>
    </w:p>
    <w:p w14:paraId="37D4AABB" w14:textId="2EBC7BB2" w:rsidR="00BB2257" w:rsidRDefault="002A494B" w:rsidP="00BB2257">
      <w:pPr>
        <w:spacing w:after="0"/>
        <w:jc w:val="both"/>
      </w:pPr>
      <w:r>
        <w:t>(6</w:t>
      </w:r>
      <w:r w:rsidR="00681449">
        <w:t>0</w:t>
      </w:r>
      <w:r>
        <w:t>)</w:t>
      </w:r>
      <w:r w:rsidR="001C2A7D">
        <w:t xml:space="preserve"> </w:t>
      </w:r>
      <w:r w:rsidR="00764D2A">
        <w:t>Koodiga 707</w:t>
      </w:r>
      <w:r w:rsidR="003117D2">
        <w:t>8</w:t>
      </w:r>
      <w:r w:rsidR="00764D2A">
        <w:t>A tähistatud südamehaigete kaugtaastusravi teenus on ambulatoorne tervishoiuteenus, mi</w:t>
      </w:r>
      <w:r w:rsidR="40F0CCA2">
        <w:t>lle osutamisel</w:t>
      </w:r>
      <w:r w:rsidR="00764D2A">
        <w:t xml:space="preserve"> kasut</w:t>
      </w:r>
      <w:r w:rsidR="32D14483">
        <w:t>atakse</w:t>
      </w:r>
      <w:r w:rsidR="00764D2A">
        <w:t xml:space="preserve"> turvalist info- ja kommunikatsioonitehnoloogilist lahendust, ja seda rakendatakse järgmistel tingimustel:</w:t>
      </w:r>
    </w:p>
    <w:p w14:paraId="47EE9FEE" w14:textId="69B97DA0" w:rsidR="00BB2257" w:rsidRDefault="00224D83" w:rsidP="00BB2257">
      <w:pPr>
        <w:spacing w:after="0"/>
        <w:jc w:val="both"/>
      </w:pPr>
      <w:r>
        <w:t>1</w:t>
      </w:r>
      <w:r w:rsidR="00764D2A">
        <w:t>) kaugtaastusravi sobivuse konkreetse patsiendi terviseprobleemi ja funktsionaalse seisundi käsitlemisel otsustab vastuvõttev või vastuvõtule suunav tervishoiutöötaja, patsiendi tehnilist valmisolekut ja digivõimekust hindab tervishoiuteenuse osutaja;</w:t>
      </w:r>
    </w:p>
    <w:p w14:paraId="76D47DB8" w14:textId="286B8367" w:rsidR="00BB2257" w:rsidRDefault="003F70AE" w:rsidP="00BB2257">
      <w:pPr>
        <w:spacing w:after="0"/>
        <w:jc w:val="both"/>
      </w:pPr>
      <w:r>
        <w:t>2</w:t>
      </w:r>
      <w:r w:rsidR="00764D2A">
        <w:t>) kaugtaastusravi toimub patsiendi nõusolekul, mis on dokumenteeritud tervishoiuteenuse osutaja kehtestatud korras;</w:t>
      </w:r>
    </w:p>
    <w:p w14:paraId="6FC72E89" w14:textId="7AF61377" w:rsidR="004077FE" w:rsidRDefault="005623CA" w:rsidP="00BB2257">
      <w:pPr>
        <w:spacing w:after="0"/>
        <w:jc w:val="both"/>
      </w:pPr>
      <w:r>
        <w:t>3</w:t>
      </w:r>
      <w:r w:rsidR="00764D2A">
        <w:t>) kaugtaastusravi toimub kokkulepitud ajal ja viisil, sünkroonse suhtlusena tervishoiutöötajaga;</w:t>
      </w:r>
    </w:p>
    <w:p w14:paraId="10116A3F" w14:textId="69596C0A" w:rsidR="004077FE" w:rsidRDefault="005623CA" w:rsidP="00BB2257">
      <w:pPr>
        <w:spacing w:after="0"/>
        <w:jc w:val="both"/>
      </w:pPr>
      <w:r>
        <w:t>4</w:t>
      </w:r>
      <w:r w:rsidR="00764D2A">
        <w:t>) kaugtaastusraviks kasutatav info- ja kommunikatsioonitehnoloogiline lahendus ning selle kasutamine vastavad õigusaktides, sealhulgas isikuandmete kaitse seaduses ja isikuandmete kaitse üldmääruses sätestatud põhimõtetele;</w:t>
      </w:r>
    </w:p>
    <w:p w14:paraId="4A2432B1" w14:textId="77777777" w:rsidR="004077FE" w:rsidRDefault="3CDAAC99" w:rsidP="00BB2257">
      <w:pPr>
        <w:spacing w:after="0"/>
        <w:jc w:val="both"/>
      </w:pPr>
      <w:r>
        <w:t>5) kaugtaastustusraviks kasutatav infotehnoloogiline lahendus vastab Tervisekassa keh</w:t>
      </w:r>
      <w:r w:rsidR="0035535D">
        <w:t>t</w:t>
      </w:r>
      <w:r>
        <w:t>estatud funktsionaalsetele ja mittefunktsionaalsetele nõuetele</w:t>
      </w:r>
      <w:r w:rsidR="0035535D">
        <w:t>;</w:t>
      </w:r>
    </w:p>
    <w:p w14:paraId="22BB749E" w14:textId="3D529893" w:rsidR="005623CA" w:rsidRPr="00764D2A" w:rsidRDefault="652EE72A" w:rsidP="00482069">
      <w:pPr>
        <w:spacing w:after="0"/>
        <w:jc w:val="both"/>
      </w:pPr>
      <w:r>
        <w:t>6</w:t>
      </w:r>
      <w:r w:rsidR="00764D2A">
        <w:t>) patsiendi isiku tuvastamise eest vastutab tervishoiuteenuse osutaja.</w:t>
      </w:r>
    </w:p>
    <w:p w14:paraId="07661531" w14:textId="77777777" w:rsidR="005562AE" w:rsidRPr="00764D2A" w:rsidRDefault="005562AE" w:rsidP="00764D2A">
      <w:pPr>
        <w:spacing w:after="0" w:line="240" w:lineRule="auto"/>
        <w:jc w:val="both"/>
      </w:pPr>
    </w:p>
    <w:p w14:paraId="26F549AB" w14:textId="66BF8BD7" w:rsidR="00764D2A" w:rsidRDefault="00764D2A" w:rsidP="00764D2A">
      <w:pPr>
        <w:spacing w:after="0" w:line="240" w:lineRule="auto"/>
        <w:jc w:val="both"/>
      </w:pPr>
      <w:r>
        <w:t>(6</w:t>
      </w:r>
      <w:r w:rsidR="000A6CDB">
        <w:t>1</w:t>
      </w:r>
      <w:r>
        <w:t>) Tervisekassa võtab koodiga 707</w:t>
      </w:r>
      <w:r w:rsidR="003117D2">
        <w:t>8</w:t>
      </w:r>
      <w:r>
        <w:t>A tähistatud südamehaigete kaugtaastusravi teenuse eest tasu maksmise kohustuse üle juhul, kui teenust osutatakse kindlustatud isikule, kellel on südamehaiguse diagnoos RHK</w:t>
      </w:r>
      <w:r w:rsidR="3E41E407">
        <w:t xml:space="preserve"> </w:t>
      </w:r>
      <w:r>
        <w:t>10 koodiga I21, I22, I23, I24, I25, I34–I37, I42, I43, I48, I10, I11 või I50 NYHA I–II</w:t>
      </w:r>
      <w:r w:rsidR="3A701CB3">
        <w:t>, ja</w:t>
      </w:r>
      <w:r>
        <w:t xml:space="preserve"> kelle sobivuse </w:t>
      </w:r>
      <w:r w:rsidR="7677D341">
        <w:t xml:space="preserve">osaleda </w:t>
      </w:r>
      <w:r>
        <w:t>kaugtaastusravi programmi</w:t>
      </w:r>
      <w:r w:rsidR="5EF19CD2">
        <w:t>s</w:t>
      </w:r>
      <w:r>
        <w:t xml:space="preserve"> on hinnanud taastusarst.</w:t>
      </w:r>
    </w:p>
    <w:p w14:paraId="36B67576" w14:textId="77777777" w:rsidR="002969EC" w:rsidRPr="00764D2A" w:rsidRDefault="002969EC" w:rsidP="00764D2A">
      <w:pPr>
        <w:spacing w:after="0" w:line="240" w:lineRule="auto"/>
        <w:jc w:val="both"/>
      </w:pPr>
    </w:p>
    <w:p w14:paraId="2B17DB12" w14:textId="09146415" w:rsidR="00764D2A" w:rsidRPr="00764D2A" w:rsidRDefault="00764D2A" w:rsidP="00764D2A">
      <w:pPr>
        <w:spacing w:after="0" w:line="240" w:lineRule="auto"/>
        <w:jc w:val="both"/>
      </w:pPr>
      <w:r>
        <w:t>(</w:t>
      </w:r>
      <w:r w:rsidR="002969EC">
        <w:t>6</w:t>
      </w:r>
      <w:r w:rsidR="000A6CDB">
        <w:t>2</w:t>
      </w:r>
      <w:r>
        <w:t>) Tervisekassa võtab koodiga 707</w:t>
      </w:r>
      <w:r w:rsidR="003117D2">
        <w:t>8</w:t>
      </w:r>
      <w:r>
        <w:t>A tähistatud tervishoiuteenuse eest tasu maksmise kohustuse üle kuni 13 korda 12 kuu jooksul. </w:t>
      </w:r>
    </w:p>
    <w:p w14:paraId="09734DF2" w14:textId="4D3C12FC" w:rsidR="002A494B" w:rsidRDefault="002A494B" w:rsidP="464543E7">
      <w:pPr>
        <w:spacing w:after="0" w:line="240" w:lineRule="auto"/>
        <w:jc w:val="both"/>
      </w:pPr>
    </w:p>
    <w:p w14:paraId="28B99788" w14:textId="5FD4743F" w:rsidR="00F00BA9" w:rsidRPr="00687DE8" w:rsidRDefault="00976487" w:rsidP="00F70E39">
      <w:pPr>
        <w:pStyle w:val="Pealkiri2"/>
        <w:keepNext/>
        <w:spacing w:before="0" w:after="0" w:afterAutospacing="0"/>
        <w:jc w:val="center"/>
        <w:divId w:val="1316184749"/>
        <w:rPr>
          <w:sz w:val="24"/>
          <w:szCs w:val="24"/>
        </w:rPr>
      </w:pPr>
      <w:bookmarkStart w:id="50" w:name="_Hlk45272901"/>
      <w:r w:rsidRPr="00687DE8">
        <w:rPr>
          <w:sz w:val="24"/>
          <w:szCs w:val="24"/>
        </w:rPr>
        <w:t>1</w:t>
      </w:r>
      <w:r w:rsidR="002A4726" w:rsidRPr="00687DE8">
        <w:rPr>
          <w:sz w:val="24"/>
          <w:szCs w:val="24"/>
        </w:rPr>
        <w:t>2</w:t>
      </w:r>
      <w:r w:rsidRPr="00687DE8">
        <w:rPr>
          <w:sz w:val="24"/>
          <w:szCs w:val="24"/>
        </w:rPr>
        <w:t>. peatükk</w:t>
      </w:r>
      <w:r w:rsidR="00952B30" w:rsidRPr="00687DE8">
        <w:rPr>
          <w:sz w:val="24"/>
          <w:szCs w:val="24"/>
        </w:rPr>
        <w:br/>
      </w:r>
      <w:r w:rsidRPr="00687DE8">
        <w:rPr>
          <w:sz w:val="24"/>
          <w:szCs w:val="24"/>
        </w:rPr>
        <w:t>Rakendussätted</w:t>
      </w:r>
      <w:bookmarkEnd w:id="50"/>
    </w:p>
    <w:p w14:paraId="3A5EB379" w14:textId="77777777" w:rsidR="00976487" w:rsidRPr="00687DE8" w:rsidRDefault="00976487" w:rsidP="00177509">
      <w:pPr>
        <w:pStyle w:val="Pealkiri3"/>
        <w:keepNext/>
        <w:spacing w:before="0" w:after="0" w:afterAutospacing="0"/>
        <w:divId w:val="1316184749"/>
        <w:rPr>
          <w:rStyle w:val="Tugev"/>
          <w:b/>
          <w:sz w:val="24"/>
          <w:szCs w:val="24"/>
        </w:rPr>
      </w:pPr>
    </w:p>
    <w:p w14:paraId="5E1800B2" w14:textId="14EBC55E" w:rsidR="00976487" w:rsidRDefault="4EA06AB0" w:rsidP="4EA06AB0">
      <w:pPr>
        <w:pStyle w:val="Pealkiri3"/>
        <w:keepNext/>
        <w:spacing w:before="0" w:after="0" w:afterAutospacing="0"/>
        <w:jc w:val="both"/>
        <w:divId w:val="1316184749"/>
        <w:rPr>
          <w:sz w:val="24"/>
          <w:szCs w:val="24"/>
        </w:rPr>
      </w:pPr>
      <w:bookmarkStart w:id="51" w:name="_Hlk149829678"/>
      <w:r w:rsidRPr="00687DE8">
        <w:rPr>
          <w:rStyle w:val="Tugev"/>
          <w:b/>
          <w:bCs/>
          <w:sz w:val="24"/>
          <w:szCs w:val="24"/>
        </w:rPr>
        <w:t>§</w:t>
      </w:r>
      <w:bookmarkEnd w:id="51"/>
      <w:r w:rsidRPr="00687DE8">
        <w:rPr>
          <w:rStyle w:val="Tugev"/>
          <w:b/>
          <w:bCs/>
          <w:sz w:val="24"/>
          <w:szCs w:val="24"/>
        </w:rPr>
        <w:t xml:space="preserve"> 8</w:t>
      </w:r>
      <w:r w:rsidR="002A4726" w:rsidRPr="00687DE8">
        <w:rPr>
          <w:rStyle w:val="Tugev"/>
          <w:b/>
          <w:bCs/>
          <w:sz w:val="24"/>
          <w:szCs w:val="24"/>
        </w:rPr>
        <w:t>2</w:t>
      </w:r>
      <w:r w:rsidRPr="00687DE8">
        <w:rPr>
          <w:rStyle w:val="Tugev"/>
          <w:b/>
          <w:bCs/>
          <w:sz w:val="24"/>
          <w:szCs w:val="24"/>
        </w:rPr>
        <w:t>.</w:t>
      </w:r>
      <w:r w:rsidRPr="00687DE8">
        <w:rPr>
          <w:sz w:val="24"/>
          <w:szCs w:val="24"/>
        </w:rPr>
        <w:t> Määruse rakendamine</w:t>
      </w:r>
    </w:p>
    <w:p w14:paraId="4C230E90" w14:textId="77777777" w:rsidR="00D35BE0" w:rsidRDefault="00D35BE0" w:rsidP="00DC2B44">
      <w:pPr>
        <w:pStyle w:val="Vahedeta"/>
        <w:jc w:val="both"/>
        <w:divId w:val="1316184749"/>
        <w:rPr>
          <w:szCs w:val="24"/>
          <w:lang w:val="et-EE"/>
        </w:rPr>
      </w:pPr>
    </w:p>
    <w:p w14:paraId="631D0A8F" w14:textId="4A41749A" w:rsidR="00341AA5" w:rsidRPr="00687DE8" w:rsidRDefault="00341AA5" w:rsidP="00DC2B44">
      <w:pPr>
        <w:pStyle w:val="Vahedeta"/>
        <w:jc w:val="both"/>
        <w:divId w:val="1316184749"/>
        <w:rPr>
          <w:szCs w:val="24"/>
          <w:lang w:val="et-EE"/>
        </w:rPr>
      </w:pPr>
      <w:r w:rsidRPr="00687DE8">
        <w:rPr>
          <w:szCs w:val="24"/>
          <w:lang w:val="et-EE"/>
        </w:rPr>
        <w:t>(</w:t>
      </w:r>
      <w:r w:rsidR="00A1519B">
        <w:rPr>
          <w:szCs w:val="24"/>
          <w:lang w:val="et-EE"/>
        </w:rPr>
        <w:t>1</w:t>
      </w:r>
      <w:r w:rsidRPr="00687DE8">
        <w:rPr>
          <w:szCs w:val="24"/>
          <w:lang w:val="et-EE"/>
        </w:rPr>
        <w:t>) Kuni 31. detsembrini 20</w:t>
      </w:r>
      <w:r w:rsidR="002B0DA9" w:rsidRPr="00687DE8">
        <w:rPr>
          <w:szCs w:val="24"/>
          <w:lang w:val="et-EE"/>
        </w:rPr>
        <w:t>31</w:t>
      </w:r>
      <w:r w:rsidRPr="00687DE8">
        <w:rPr>
          <w:szCs w:val="24"/>
          <w:lang w:val="et-EE"/>
        </w:rPr>
        <w:t xml:space="preserve">. a võib koodidega 3015, </w:t>
      </w:r>
      <w:r w:rsidR="5F95E91C" w:rsidRPr="00687DE8">
        <w:rPr>
          <w:szCs w:val="24"/>
          <w:lang w:val="et-EE"/>
        </w:rPr>
        <w:t>3118, 3</w:t>
      </w:r>
      <w:r w:rsidR="6C6315E4" w:rsidRPr="00687DE8">
        <w:rPr>
          <w:szCs w:val="24"/>
          <w:lang w:val="et-EE"/>
        </w:rPr>
        <w:t>207, 3</w:t>
      </w:r>
      <w:r w:rsidR="5F95E91C" w:rsidRPr="00687DE8">
        <w:rPr>
          <w:szCs w:val="24"/>
          <w:lang w:val="et-EE"/>
        </w:rPr>
        <w:t xml:space="preserve">220, </w:t>
      </w:r>
      <w:r w:rsidR="006713DE" w:rsidRPr="00687DE8">
        <w:rPr>
          <w:szCs w:val="24"/>
          <w:lang w:val="et-EE"/>
        </w:rPr>
        <w:t xml:space="preserve">3221, </w:t>
      </w:r>
      <w:r w:rsidR="006F341C" w:rsidRPr="00687DE8">
        <w:rPr>
          <w:szCs w:val="24"/>
          <w:lang w:val="et-EE"/>
        </w:rPr>
        <w:t>3228,</w:t>
      </w:r>
      <w:r w:rsidR="006713DE" w:rsidRPr="00687DE8">
        <w:rPr>
          <w:szCs w:val="24"/>
          <w:lang w:val="et-EE"/>
        </w:rPr>
        <w:t xml:space="preserve"> </w:t>
      </w:r>
      <w:r w:rsidR="00AA2FDE" w:rsidRPr="00687DE8">
        <w:rPr>
          <w:szCs w:val="24"/>
          <w:lang w:val="et-EE"/>
        </w:rPr>
        <w:t xml:space="preserve">7602, </w:t>
      </w:r>
      <w:r w:rsidR="00383013" w:rsidRPr="00687DE8">
        <w:rPr>
          <w:szCs w:val="24"/>
          <w:lang w:val="et-EE"/>
        </w:rPr>
        <w:t xml:space="preserve">7631, </w:t>
      </w:r>
      <w:r w:rsidRPr="00687DE8">
        <w:rPr>
          <w:szCs w:val="24"/>
          <w:lang w:val="et-EE"/>
        </w:rPr>
        <w:t>7617, 7626</w:t>
      </w:r>
      <w:r w:rsidR="00B65394" w:rsidRPr="00687DE8">
        <w:rPr>
          <w:szCs w:val="24"/>
          <w:lang w:val="et-EE"/>
        </w:rPr>
        <w:t xml:space="preserve">, </w:t>
      </w:r>
      <w:r w:rsidRPr="00687DE8">
        <w:rPr>
          <w:szCs w:val="24"/>
          <w:lang w:val="et-EE"/>
        </w:rPr>
        <w:t>7627</w:t>
      </w:r>
      <w:r w:rsidR="00B65394" w:rsidRPr="00687DE8">
        <w:rPr>
          <w:szCs w:val="24"/>
          <w:lang w:val="et-EE"/>
        </w:rPr>
        <w:t>, 3103, 3113 ja 3114</w:t>
      </w:r>
      <w:r w:rsidRPr="00687DE8">
        <w:rPr>
          <w:szCs w:val="24"/>
          <w:lang w:val="et-EE"/>
        </w:rPr>
        <w:t xml:space="preserve"> tähistatud tervishoiuteenuseid osutada ka psühhiaatria erialal töötav õde</w:t>
      </w:r>
      <w:r w:rsidR="007E717A" w:rsidRPr="00687DE8">
        <w:rPr>
          <w:szCs w:val="24"/>
          <w:lang w:val="et-EE"/>
        </w:rPr>
        <w:t xml:space="preserve"> </w:t>
      </w:r>
      <w:r w:rsidR="007E717A" w:rsidRPr="00687DE8">
        <w:rPr>
          <w:rStyle w:val="ui-provider"/>
          <w:szCs w:val="24"/>
          <w:lang w:val="et-EE"/>
        </w:rPr>
        <w:t xml:space="preserve">tingimusel, et </w:t>
      </w:r>
      <w:r w:rsidR="00F829E7" w:rsidRPr="00687DE8">
        <w:rPr>
          <w:rStyle w:val="ui-provider"/>
          <w:szCs w:val="24"/>
          <w:lang w:val="et-EE"/>
        </w:rPr>
        <w:t>alates 2025. aastast on</w:t>
      </w:r>
      <w:r w:rsidR="007E717A" w:rsidRPr="00687DE8">
        <w:rPr>
          <w:rStyle w:val="ui-provider"/>
          <w:szCs w:val="24"/>
          <w:lang w:val="et-EE"/>
        </w:rPr>
        <w:t xml:space="preserve"> õde</w:t>
      </w:r>
      <w:r w:rsidR="00DE3B05" w:rsidRPr="00687DE8">
        <w:rPr>
          <w:rStyle w:val="ui-provider"/>
          <w:szCs w:val="24"/>
          <w:lang w:val="et-EE"/>
        </w:rPr>
        <w:t xml:space="preserve"> </w:t>
      </w:r>
      <w:r w:rsidR="007E717A" w:rsidRPr="00687DE8">
        <w:rPr>
          <w:rStyle w:val="ui-provider"/>
          <w:szCs w:val="24"/>
          <w:lang w:val="et-EE"/>
        </w:rPr>
        <w:t>viimase kaheksa aasta jooksul töötanud psühhiaatrilises ravimeeskonnas vähemalt viis aastat keskmise koormusega vähemalt 0,5 ja omandanud eriõ</w:t>
      </w:r>
      <w:r w:rsidR="00E0614F" w:rsidRPr="00687DE8">
        <w:rPr>
          <w:rStyle w:val="ui-provider"/>
          <w:szCs w:val="24"/>
          <w:lang w:val="et-EE"/>
        </w:rPr>
        <w:t>e</w:t>
      </w:r>
      <w:r w:rsidR="00DE3B05" w:rsidRPr="00687DE8">
        <w:rPr>
          <w:rStyle w:val="ui-provider"/>
          <w:szCs w:val="24"/>
          <w:lang w:val="et-EE"/>
        </w:rPr>
        <w:t xml:space="preserve"> III taseme</w:t>
      </w:r>
      <w:r w:rsidR="007E717A" w:rsidRPr="00687DE8">
        <w:rPr>
          <w:rStyle w:val="ui-provider"/>
          <w:szCs w:val="24"/>
          <w:lang w:val="et-EE"/>
        </w:rPr>
        <w:t xml:space="preserve"> pädevuse</w:t>
      </w:r>
      <w:r w:rsidRPr="00687DE8">
        <w:rPr>
          <w:szCs w:val="24"/>
          <w:lang w:val="et-EE"/>
        </w:rPr>
        <w:t>.</w:t>
      </w:r>
    </w:p>
    <w:p w14:paraId="50171FBC" w14:textId="77777777" w:rsidR="005D03A0" w:rsidRPr="00687DE8" w:rsidRDefault="005D03A0" w:rsidP="00DC2B44">
      <w:pPr>
        <w:pStyle w:val="Vahedeta"/>
        <w:jc w:val="both"/>
        <w:divId w:val="1316184749"/>
        <w:rPr>
          <w:szCs w:val="24"/>
          <w:lang w:val="et-EE"/>
        </w:rPr>
      </w:pPr>
    </w:p>
    <w:p w14:paraId="161CE868" w14:textId="77777777" w:rsidR="00D71F48" w:rsidRDefault="0045029A" w:rsidP="00D55BF9">
      <w:pPr>
        <w:pStyle w:val="Vahedeta"/>
        <w:jc w:val="both"/>
        <w:divId w:val="1316184749"/>
        <w:rPr>
          <w:lang w:val="et-EE"/>
        </w:rPr>
      </w:pPr>
      <w:r w:rsidRPr="0FA102FD">
        <w:rPr>
          <w:lang w:val="et-EE"/>
        </w:rPr>
        <w:t>(</w:t>
      </w:r>
      <w:r w:rsidR="00A1519B" w:rsidRPr="0FA102FD">
        <w:rPr>
          <w:lang w:val="et-EE"/>
        </w:rPr>
        <w:t>2</w:t>
      </w:r>
      <w:r w:rsidRPr="0FA102FD">
        <w:rPr>
          <w:lang w:val="et-EE"/>
        </w:rPr>
        <w:t xml:space="preserve">) Kuni 31. detsembrini </w:t>
      </w:r>
      <w:r w:rsidR="35B78D38" w:rsidRPr="14302AFA">
        <w:rPr>
          <w:lang w:val="et-EE"/>
        </w:rPr>
        <w:t>202</w:t>
      </w:r>
      <w:r w:rsidR="6D8BA047" w:rsidRPr="14302AFA">
        <w:rPr>
          <w:lang w:val="et-EE"/>
        </w:rPr>
        <w:t>7</w:t>
      </w:r>
      <w:r w:rsidRPr="0FA102FD">
        <w:rPr>
          <w:lang w:val="et-EE"/>
        </w:rPr>
        <w:t xml:space="preserve">. a võib koodidega </w:t>
      </w:r>
      <w:bookmarkStart w:id="52" w:name="_Hlk55562883"/>
      <w:r w:rsidRPr="0FA102FD">
        <w:rPr>
          <w:lang w:val="et-EE"/>
        </w:rPr>
        <w:t xml:space="preserve">7601, 7602, 7603, 7607, 7615, 7616, </w:t>
      </w:r>
      <w:r w:rsidR="00521ED3" w:rsidRPr="0FA102FD">
        <w:rPr>
          <w:lang w:val="et-EE"/>
        </w:rPr>
        <w:t xml:space="preserve">7617, 7626, 7627, </w:t>
      </w:r>
      <w:r w:rsidRPr="0FA102FD">
        <w:rPr>
          <w:lang w:val="et-EE"/>
        </w:rPr>
        <w:t>7630</w:t>
      </w:r>
      <w:r w:rsidR="0027094D" w:rsidRPr="0FA102FD">
        <w:rPr>
          <w:lang w:val="et-EE"/>
        </w:rPr>
        <w:t>–7637,</w:t>
      </w:r>
      <w:bookmarkEnd w:id="52"/>
      <w:r w:rsidR="00480DFA" w:rsidRPr="0FA102FD">
        <w:rPr>
          <w:lang w:val="et-EE"/>
        </w:rPr>
        <w:t xml:space="preserve"> </w:t>
      </w:r>
      <w:r w:rsidR="00635497" w:rsidRPr="0FA102FD">
        <w:rPr>
          <w:lang w:val="et-EE"/>
        </w:rPr>
        <w:t>3103</w:t>
      </w:r>
      <w:r w:rsidR="00D66B16" w:rsidRPr="0FA102FD">
        <w:rPr>
          <w:lang w:val="et-EE"/>
        </w:rPr>
        <w:t xml:space="preserve">, 3113 </w:t>
      </w:r>
      <w:r w:rsidR="009E77C6" w:rsidRPr="0FA102FD">
        <w:rPr>
          <w:lang w:val="et-EE"/>
        </w:rPr>
        <w:t>ja</w:t>
      </w:r>
      <w:r w:rsidR="00D66B16" w:rsidRPr="0FA102FD">
        <w:rPr>
          <w:lang w:val="et-EE"/>
        </w:rPr>
        <w:t xml:space="preserve"> 3114</w:t>
      </w:r>
      <w:r w:rsidRPr="0FA102FD">
        <w:rPr>
          <w:lang w:val="et-EE"/>
        </w:rPr>
        <w:t xml:space="preserve"> tähistatud tervishoiuteenuseid osutada ka kutseta psühholoog, kes on viimase kaheksa aasta jooksul töötanud eriarstiabis psühholoogina vähemalt viis aastat keskmise koormusega vähemalt 0,5.</w:t>
      </w:r>
    </w:p>
    <w:p w14:paraId="382E48D1" w14:textId="77777777" w:rsidR="00D71F48" w:rsidRDefault="00D71F48" w:rsidP="00D55BF9">
      <w:pPr>
        <w:pStyle w:val="Vahedeta"/>
        <w:jc w:val="both"/>
        <w:divId w:val="1316184749"/>
        <w:rPr>
          <w:lang w:val="et-EE"/>
        </w:rPr>
      </w:pPr>
    </w:p>
    <w:p w14:paraId="09A9256D" w14:textId="19A60ABA" w:rsidR="00252326" w:rsidRPr="00687DE8" w:rsidRDefault="00FF2BBA" w:rsidP="00D55BF9">
      <w:pPr>
        <w:pStyle w:val="Vahedeta"/>
        <w:jc w:val="both"/>
        <w:divId w:val="1316184749"/>
        <w:rPr>
          <w:szCs w:val="24"/>
          <w:lang w:val="sv-SE"/>
        </w:rPr>
      </w:pPr>
      <w:r w:rsidRPr="00687DE8">
        <w:rPr>
          <w:szCs w:val="24"/>
          <w:lang w:val="sv-SE"/>
        </w:rPr>
        <w:t>(</w:t>
      </w:r>
      <w:r w:rsidR="00A1519B">
        <w:rPr>
          <w:szCs w:val="24"/>
          <w:lang w:val="sv-SE"/>
        </w:rPr>
        <w:t>3</w:t>
      </w:r>
      <w:r w:rsidRPr="00687DE8">
        <w:rPr>
          <w:szCs w:val="24"/>
          <w:lang w:val="sv-SE"/>
        </w:rPr>
        <w:t xml:space="preserve">) </w:t>
      </w:r>
      <w:r w:rsidR="00D55BF9" w:rsidRPr="00687DE8">
        <w:rPr>
          <w:szCs w:val="24"/>
          <w:lang w:val="sv-SE"/>
        </w:rPr>
        <w:t>Koodiga 4508A tähistatud tervishoiuteenuse piirhinda</w:t>
      </w:r>
      <w:r w:rsidR="00AD4B12" w:rsidRPr="00687DE8">
        <w:rPr>
          <w:szCs w:val="24"/>
          <w:lang w:val="sv-SE"/>
        </w:rPr>
        <w:t xml:space="preserve"> rakendatakse kuni 31. detsembrini 202</w:t>
      </w:r>
      <w:r w:rsidR="0013214E">
        <w:rPr>
          <w:szCs w:val="24"/>
          <w:lang w:val="sv-SE"/>
        </w:rPr>
        <w:t>6</w:t>
      </w:r>
      <w:r w:rsidR="00AD4B12" w:rsidRPr="00687DE8">
        <w:rPr>
          <w:szCs w:val="24"/>
          <w:lang w:val="sv-SE"/>
        </w:rPr>
        <w:t>.</w:t>
      </w:r>
      <w:r w:rsidR="00A463B0">
        <w:rPr>
          <w:szCs w:val="24"/>
          <w:lang w:val="sv-SE"/>
        </w:rPr>
        <w:t> </w:t>
      </w:r>
      <w:r w:rsidR="00D4479D" w:rsidRPr="00687DE8">
        <w:rPr>
          <w:szCs w:val="24"/>
          <w:lang w:val="sv-SE"/>
        </w:rPr>
        <w:t>a.</w:t>
      </w:r>
    </w:p>
    <w:p w14:paraId="18B0CEB1" w14:textId="492792D2" w:rsidR="005E1D09" w:rsidRPr="00687DE8" w:rsidRDefault="005E1D09" w:rsidP="00D55BF9">
      <w:pPr>
        <w:pStyle w:val="Vahedeta"/>
        <w:jc w:val="both"/>
        <w:divId w:val="1316184749"/>
        <w:rPr>
          <w:szCs w:val="24"/>
          <w:lang w:val="sv-SE"/>
        </w:rPr>
      </w:pPr>
    </w:p>
    <w:p w14:paraId="36DE7786" w14:textId="33576B02" w:rsidR="005E1D09" w:rsidRPr="00687DE8" w:rsidRDefault="005E1D09" w:rsidP="005E1D09">
      <w:pPr>
        <w:spacing w:after="0" w:line="240" w:lineRule="auto"/>
        <w:jc w:val="both"/>
        <w:divId w:val="1316184749"/>
        <w:rPr>
          <w:szCs w:val="24"/>
          <w:lang w:val="sv-SE"/>
        </w:rPr>
      </w:pPr>
      <w:r w:rsidRPr="00687DE8">
        <w:rPr>
          <w:szCs w:val="24"/>
          <w:lang w:val="sv-SE"/>
        </w:rPr>
        <w:lastRenderedPageBreak/>
        <w:t>(</w:t>
      </w:r>
      <w:r w:rsidR="00A1519B">
        <w:rPr>
          <w:szCs w:val="24"/>
          <w:lang w:val="sv-SE"/>
        </w:rPr>
        <w:t>4</w:t>
      </w:r>
      <w:r w:rsidRPr="00687DE8">
        <w:rPr>
          <w:szCs w:val="24"/>
          <w:lang w:val="sv-SE"/>
        </w:rPr>
        <w:t xml:space="preserve">) </w:t>
      </w:r>
      <w:r w:rsidR="00097169" w:rsidRPr="00687DE8">
        <w:rPr>
          <w:szCs w:val="24"/>
          <w:lang w:val="sv-SE"/>
        </w:rPr>
        <w:t>K</w:t>
      </w:r>
      <w:r w:rsidRPr="00687DE8">
        <w:rPr>
          <w:szCs w:val="24"/>
          <w:lang w:val="sv-SE"/>
        </w:rPr>
        <w:t>oodi</w:t>
      </w:r>
      <w:r w:rsidR="00097169" w:rsidRPr="00687DE8">
        <w:rPr>
          <w:szCs w:val="24"/>
          <w:lang w:val="sv-SE"/>
        </w:rPr>
        <w:t>de</w:t>
      </w:r>
      <w:r w:rsidRPr="00687DE8">
        <w:rPr>
          <w:szCs w:val="24"/>
          <w:lang w:val="sv-SE"/>
        </w:rPr>
        <w:t xml:space="preserve">ga </w:t>
      </w:r>
      <w:r w:rsidR="002154C6" w:rsidRPr="00687DE8">
        <w:rPr>
          <w:szCs w:val="24"/>
        </w:rPr>
        <w:t>239</w:t>
      </w:r>
      <w:r w:rsidR="00BD2E4B">
        <w:rPr>
          <w:szCs w:val="24"/>
        </w:rPr>
        <w:t>4</w:t>
      </w:r>
      <w:r w:rsidR="002154C6" w:rsidRPr="00687DE8">
        <w:rPr>
          <w:szCs w:val="24"/>
        </w:rPr>
        <w:t>K</w:t>
      </w:r>
      <w:r w:rsidR="00E0614F" w:rsidRPr="00687DE8">
        <w:rPr>
          <w:rFonts w:eastAsia="Calibri"/>
          <w:color w:val="202020"/>
          <w:szCs w:val="24"/>
        </w:rPr>
        <w:t>–</w:t>
      </w:r>
      <w:r w:rsidR="00E0614F" w:rsidRPr="00687DE8">
        <w:rPr>
          <w:color w:val="202020"/>
          <w:szCs w:val="24"/>
        </w:rPr>
        <w:t>2399K</w:t>
      </w:r>
      <w:r w:rsidRPr="00687DE8">
        <w:rPr>
          <w:color w:val="202020"/>
          <w:szCs w:val="24"/>
        </w:rPr>
        <w:t xml:space="preserve"> </w:t>
      </w:r>
      <w:r w:rsidRPr="00687DE8">
        <w:rPr>
          <w:szCs w:val="24"/>
          <w:lang w:val="sv-SE"/>
        </w:rPr>
        <w:t>tähistatud tervishoiuteenus</w:t>
      </w:r>
      <w:r w:rsidR="00DE3B05" w:rsidRPr="00687DE8">
        <w:rPr>
          <w:szCs w:val="24"/>
          <w:lang w:val="sv-SE"/>
        </w:rPr>
        <w:t>eid</w:t>
      </w:r>
      <w:r w:rsidR="00097169" w:rsidRPr="00687DE8">
        <w:rPr>
          <w:szCs w:val="24"/>
          <w:lang w:val="sv-SE"/>
        </w:rPr>
        <w:t xml:space="preserve"> rakendatakse kuni 31.</w:t>
      </w:r>
      <w:r w:rsidR="00A039BE" w:rsidRPr="00687DE8">
        <w:rPr>
          <w:szCs w:val="24"/>
          <w:lang w:val="sv-SE"/>
        </w:rPr>
        <w:t xml:space="preserve"> detsembrini </w:t>
      </w:r>
      <w:r w:rsidR="00097169" w:rsidRPr="00687DE8">
        <w:rPr>
          <w:szCs w:val="24"/>
          <w:lang w:val="sv-SE"/>
        </w:rPr>
        <w:t>2028.</w:t>
      </w:r>
      <w:r w:rsidR="00A039BE" w:rsidRPr="00687DE8">
        <w:rPr>
          <w:szCs w:val="24"/>
          <w:lang w:val="sv-SE"/>
        </w:rPr>
        <w:t xml:space="preserve"> a</w:t>
      </w:r>
      <w:r w:rsidR="00097169" w:rsidRPr="00687DE8">
        <w:rPr>
          <w:szCs w:val="24"/>
          <w:lang w:val="sv-SE"/>
        </w:rPr>
        <w:t>.</w:t>
      </w:r>
    </w:p>
    <w:p w14:paraId="4229ADA2" w14:textId="77777777" w:rsidR="00153D36" w:rsidRPr="00687DE8" w:rsidRDefault="00153D36" w:rsidP="005E1D09">
      <w:pPr>
        <w:spacing w:after="0" w:line="240" w:lineRule="auto"/>
        <w:jc w:val="both"/>
        <w:divId w:val="1316184749"/>
        <w:rPr>
          <w:szCs w:val="24"/>
          <w:lang w:val="sv-SE"/>
        </w:rPr>
      </w:pPr>
    </w:p>
    <w:p w14:paraId="666C80CD" w14:textId="33D00078" w:rsidR="00153D36" w:rsidRPr="00687DE8" w:rsidRDefault="00153D36" w:rsidP="005E1D09">
      <w:pPr>
        <w:spacing w:after="0" w:line="240" w:lineRule="auto"/>
        <w:jc w:val="both"/>
        <w:divId w:val="1316184749"/>
        <w:rPr>
          <w:lang w:val="sv-SE"/>
        </w:rPr>
      </w:pPr>
      <w:r w:rsidRPr="1FAFF1BF">
        <w:rPr>
          <w:lang w:val="sv-SE"/>
        </w:rPr>
        <w:t>(</w:t>
      </w:r>
      <w:r w:rsidR="00A1519B">
        <w:rPr>
          <w:lang w:val="sv-SE"/>
        </w:rPr>
        <w:t>5</w:t>
      </w:r>
      <w:r w:rsidRPr="1FAFF1BF">
        <w:rPr>
          <w:lang w:val="sv-SE"/>
        </w:rPr>
        <w:t xml:space="preserve">) </w:t>
      </w:r>
      <w:r w:rsidR="00F709CC" w:rsidRPr="1FAFF1BF">
        <w:rPr>
          <w:lang w:val="sv-SE"/>
        </w:rPr>
        <w:t xml:space="preserve">Kuni </w:t>
      </w:r>
      <w:r w:rsidR="00373DA4">
        <w:rPr>
          <w:lang w:val="sv-SE"/>
        </w:rPr>
        <w:t>31. detsembrini</w:t>
      </w:r>
      <w:r w:rsidR="795F34E6" w:rsidRPr="314DA690">
        <w:rPr>
          <w:lang w:val="sv-SE"/>
        </w:rPr>
        <w:t xml:space="preserve"> 202</w:t>
      </w:r>
      <w:r w:rsidR="08B965EA" w:rsidRPr="55CECF79">
        <w:rPr>
          <w:lang w:val="sv-SE"/>
        </w:rPr>
        <w:t>6</w:t>
      </w:r>
      <w:r w:rsidR="795F34E6" w:rsidRPr="1867BEF5">
        <w:rPr>
          <w:lang w:val="sv-SE"/>
        </w:rPr>
        <w:t>. a</w:t>
      </w:r>
      <w:r w:rsidR="00030221" w:rsidRPr="1FAFF1BF">
        <w:rPr>
          <w:lang w:val="sv-SE"/>
        </w:rPr>
        <w:t xml:space="preserve"> võib k</w:t>
      </w:r>
      <w:r w:rsidRPr="1FAFF1BF">
        <w:rPr>
          <w:lang w:val="sv-SE"/>
        </w:rPr>
        <w:t>oodidega 3018, 3019, 3219 ja 3231 tähistatud tervishoiuteenuse</w:t>
      </w:r>
      <w:r w:rsidR="00030221" w:rsidRPr="1FAFF1BF">
        <w:rPr>
          <w:lang w:val="sv-SE"/>
        </w:rPr>
        <w:t xml:space="preserve">id </w:t>
      </w:r>
      <w:r w:rsidRPr="1FAFF1BF">
        <w:rPr>
          <w:lang w:val="sv-SE"/>
        </w:rPr>
        <w:t>SA Tartu Ülikooli Kliinikumi</w:t>
      </w:r>
      <w:r w:rsidR="005E608B" w:rsidRPr="1FAFF1BF">
        <w:rPr>
          <w:lang w:val="sv-SE"/>
        </w:rPr>
        <w:t>s</w:t>
      </w:r>
      <w:r w:rsidRPr="1FAFF1BF">
        <w:rPr>
          <w:lang w:val="sv-SE"/>
        </w:rPr>
        <w:t>, SA Põhja-Eesti Regionaalhaigla</w:t>
      </w:r>
      <w:r w:rsidR="005E608B" w:rsidRPr="1FAFF1BF">
        <w:rPr>
          <w:lang w:val="sv-SE"/>
        </w:rPr>
        <w:t>s</w:t>
      </w:r>
      <w:r w:rsidRPr="1FAFF1BF">
        <w:rPr>
          <w:lang w:val="sv-SE"/>
        </w:rPr>
        <w:t>, AS Lääne-Tallinna Keskhaigla</w:t>
      </w:r>
      <w:r w:rsidR="00887A6D" w:rsidRPr="1FAFF1BF">
        <w:rPr>
          <w:lang w:val="sv-SE"/>
        </w:rPr>
        <w:t>s</w:t>
      </w:r>
      <w:r w:rsidRPr="1FAFF1BF">
        <w:rPr>
          <w:lang w:val="sv-SE"/>
        </w:rPr>
        <w:t>, SA Ida-Viru Keskhaigla</w:t>
      </w:r>
      <w:r w:rsidR="005E608B" w:rsidRPr="1FAFF1BF">
        <w:rPr>
          <w:lang w:val="sv-SE"/>
        </w:rPr>
        <w:t>s</w:t>
      </w:r>
      <w:r w:rsidRPr="1FAFF1BF">
        <w:rPr>
          <w:lang w:val="sv-SE"/>
        </w:rPr>
        <w:t>, AS Ida-Tallinna Keskhaigla</w:t>
      </w:r>
      <w:r w:rsidR="005E608B" w:rsidRPr="1FAFF1BF">
        <w:rPr>
          <w:lang w:val="sv-SE"/>
        </w:rPr>
        <w:t>s</w:t>
      </w:r>
      <w:r w:rsidRPr="1FAFF1BF">
        <w:rPr>
          <w:lang w:val="sv-SE"/>
        </w:rPr>
        <w:t xml:space="preserve"> ja SA Pärnu Haigla</w:t>
      </w:r>
      <w:r w:rsidR="005E608B" w:rsidRPr="1FAFF1BF">
        <w:rPr>
          <w:lang w:val="sv-SE"/>
        </w:rPr>
        <w:t>s</w:t>
      </w:r>
      <w:r w:rsidRPr="1FAFF1BF">
        <w:rPr>
          <w:lang w:val="sv-SE"/>
        </w:rPr>
        <w:t xml:space="preserve"> </w:t>
      </w:r>
      <w:r w:rsidR="005E608B" w:rsidRPr="1FAFF1BF">
        <w:rPr>
          <w:lang w:val="sv-SE"/>
        </w:rPr>
        <w:t>insuldi raviteekonna patsientidele osutada</w:t>
      </w:r>
      <w:r w:rsidRPr="1FAFF1BF">
        <w:rPr>
          <w:lang w:val="sv-SE"/>
        </w:rPr>
        <w:t xml:space="preserve"> </w:t>
      </w:r>
      <w:r w:rsidR="00B90717" w:rsidRPr="1FAFF1BF">
        <w:rPr>
          <w:lang w:val="sv-SE"/>
        </w:rPr>
        <w:t>ka neuroloogia erialal töötav õde</w:t>
      </w:r>
      <w:r w:rsidRPr="1FAFF1BF">
        <w:rPr>
          <w:lang w:val="sv-SE"/>
        </w:rPr>
        <w:t>.</w:t>
      </w:r>
    </w:p>
    <w:p w14:paraId="4E48317C" w14:textId="03D640CC" w:rsidR="45CC705A" w:rsidRDefault="45CC705A" w:rsidP="45CC705A">
      <w:pPr>
        <w:spacing w:after="0" w:line="240" w:lineRule="auto"/>
        <w:jc w:val="both"/>
        <w:rPr>
          <w:color w:val="202020"/>
          <w:lang w:eastAsia="et-EE"/>
        </w:rPr>
      </w:pPr>
    </w:p>
    <w:p w14:paraId="0D04001C" w14:textId="6DC8FA04" w:rsidR="5A71347C" w:rsidRDefault="5A71347C" w:rsidP="45CC705A">
      <w:pPr>
        <w:spacing w:after="0" w:line="240" w:lineRule="auto"/>
        <w:jc w:val="both"/>
      </w:pPr>
      <w:r w:rsidRPr="5B2CA72E">
        <w:rPr>
          <w:color w:val="202020"/>
          <w:lang w:eastAsia="et-EE"/>
        </w:rPr>
        <w:t>(</w:t>
      </w:r>
      <w:r w:rsidR="00602B32">
        <w:rPr>
          <w:color w:val="202020"/>
          <w:lang w:eastAsia="et-EE"/>
        </w:rPr>
        <w:t>6</w:t>
      </w:r>
      <w:r w:rsidRPr="5B2CA72E">
        <w:rPr>
          <w:color w:val="202020"/>
          <w:lang w:eastAsia="et-EE"/>
        </w:rPr>
        <w:t xml:space="preserve">) </w:t>
      </w:r>
      <w:r w:rsidRPr="0083576B">
        <w:rPr>
          <w:color w:val="202020"/>
          <w:lang w:eastAsia="et-EE"/>
        </w:rPr>
        <w:t>Kuni</w:t>
      </w:r>
      <w:r w:rsidRPr="5B2CA72E">
        <w:rPr>
          <w:color w:val="202020"/>
          <w:lang w:eastAsia="et-EE"/>
        </w:rPr>
        <w:t xml:space="preserve"> 31.</w:t>
      </w:r>
      <w:r w:rsidR="00686138">
        <w:rPr>
          <w:color w:val="202020"/>
          <w:lang w:eastAsia="et-EE"/>
        </w:rPr>
        <w:t xml:space="preserve"> detsembrini</w:t>
      </w:r>
      <w:r w:rsidR="00686138" w:rsidRPr="5B2CA72E" w:rsidDel="00686138">
        <w:rPr>
          <w:color w:val="202020"/>
          <w:lang w:eastAsia="et-EE"/>
        </w:rPr>
        <w:t xml:space="preserve"> </w:t>
      </w:r>
      <w:r w:rsidRPr="73E1822E">
        <w:rPr>
          <w:color w:val="202020"/>
          <w:lang w:eastAsia="et-EE"/>
        </w:rPr>
        <w:t>202</w:t>
      </w:r>
      <w:r w:rsidR="27C85807" w:rsidRPr="73E1822E">
        <w:rPr>
          <w:color w:val="202020"/>
          <w:lang w:eastAsia="et-EE"/>
        </w:rPr>
        <w:t>6</w:t>
      </w:r>
      <w:r w:rsidR="00686138" w:rsidRPr="73E1822E">
        <w:rPr>
          <w:color w:val="202020"/>
          <w:lang w:eastAsia="et-EE"/>
        </w:rPr>
        <w:t>.</w:t>
      </w:r>
      <w:r w:rsidR="00686138">
        <w:rPr>
          <w:color w:val="202020"/>
          <w:lang w:eastAsia="et-EE"/>
        </w:rPr>
        <w:t xml:space="preserve"> a</w:t>
      </w:r>
      <w:r w:rsidRPr="5B2CA72E">
        <w:rPr>
          <w:color w:val="202020"/>
          <w:lang w:eastAsia="et-EE"/>
        </w:rPr>
        <w:t xml:space="preserve"> võib koodiga </w:t>
      </w:r>
      <w:r w:rsidR="0AAC70BA" w:rsidRPr="5B2CA72E">
        <w:rPr>
          <w:color w:val="202020"/>
          <w:lang w:eastAsia="et-EE"/>
        </w:rPr>
        <w:t>7058</w:t>
      </w:r>
      <w:r w:rsidRPr="5B2CA72E">
        <w:rPr>
          <w:color w:val="202020"/>
          <w:lang w:eastAsia="et-EE"/>
        </w:rPr>
        <w:t xml:space="preserve"> tähistatud tervishoiuteenust osutada</w:t>
      </w:r>
      <w:r w:rsidR="765440D3" w:rsidRPr="5B2CA72E">
        <w:rPr>
          <w:color w:val="202020"/>
          <w:lang w:eastAsia="et-EE"/>
        </w:rPr>
        <w:t xml:space="preserve"> kutsetunnistuseta lümfiterapeut või</w:t>
      </w:r>
      <w:r w:rsidRPr="5B2CA72E">
        <w:rPr>
          <w:color w:val="202020"/>
          <w:lang w:eastAsia="et-EE"/>
        </w:rPr>
        <w:t xml:space="preserve"> </w:t>
      </w:r>
      <w:r w:rsidR="4E15C2E4">
        <w:t>lümfiterapeudi täiendkoolituse läbinud meditsiiniharidusega massöör.</w:t>
      </w:r>
    </w:p>
    <w:p w14:paraId="624EBD7E" w14:textId="4BC59911" w:rsidR="00C63DCC" w:rsidRPr="007C054E" w:rsidRDefault="00C63DCC" w:rsidP="00BB6911">
      <w:pPr>
        <w:pStyle w:val="Vahedeta"/>
        <w:jc w:val="both"/>
        <w:rPr>
          <w:lang w:val="et-EE"/>
        </w:rPr>
      </w:pPr>
    </w:p>
    <w:p w14:paraId="61475C4B" w14:textId="40AF6035" w:rsidR="001A5D01" w:rsidRDefault="00660967" w:rsidP="00BB6911">
      <w:pPr>
        <w:pStyle w:val="Vahedeta"/>
        <w:jc w:val="both"/>
        <w:rPr>
          <w:lang w:val="sv-SE"/>
        </w:rPr>
      </w:pPr>
      <w:r>
        <w:rPr>
          <w:lang w:val="sv-SE"/>
        </w:rPr>
        <w:t>(</w:t>
      </w:r>
      <w:r w:rsidR="00602B32">
        <w:rPr>
          <w:lang w:val="sv-SE"/>
        </w:rPr>
        <w:t>7</w:t>
      </w:r>
      <w:r>
        <w:rPr>
          <w:lang w:val="sv-SE"/>
        </w:rPr>
        <w:t xml:space="preserve">) </w:t>
      </w:r>
      <w:r w:rsidR="00F24F8E">
        <w:rPr>
          <w:lang w:val="sv-SE"/>
        </w:rPr>
        <w:t xml:space="preserve">Koodiga </w:t>
      </w:r>
      <w:r w:rsidR="00074FD2">
        <w:rPr>
          <w:lang w:val="sv-SE"/>
        </w:rPr>
        <w:t>3049 tä</w:t>
      </w:r>
      <w:r w:rsidR="006E3D14">
        <w:rPr>
          <w:lang w:val="sv-SE"/>
        </w:rPr>
        <w:t>h</w:t>
      </w:r>
      <w:r w:rsidR="00074FD2">
        <w:rPr>
          <w:lang w:val="sv-SE"/>
        </w:rPr>
        <w:t xml:space="preserve">istatud tervishoiuteenuse piirhinda rakendatakse kuni </w:t>
      </w:r>
      <w:r w:rsidR="00F72BAF">
        <w:rPr>
          <w:lang w:val="sv-SE"/>
        </w:rPr>
        <w:t xml:space="preserve">31. märtsini 2027. a. </w:t>
      </w:r>
    </w:p>
    <w:p w14:paraId="4F8391BD" w14:textId="77777777" w:rsidR="006268DE" w:rsidRDefault="006268DE" w:rsidP="00BB6911">
      <w:pPr>
        <w:pStyle w:val="Vahedeta"/>
        <w:jc w:val="both"/>
        <w:rPr>
          <w:lang w:val="sv-SE"/>
        </w:rPr>
      </w:pPr>
    </w:p>
    <w:p w14:paraId="20A58430" w14:textId="6F459845" w:rsidR="00052C76" w:rsidRDefault="006268DE" w:rsidP="00BB6911">
      <w:pPr>
        <w:pStyle w:val="Vahedeta"/>
        <w:jc w:val="both"/>
        <w:rPr>
          <w:lang w:val="sv-SE"/>
        </w:rPr>
      </w:pPr>
      <w:r>
        <w:rPr>
          <w:lang w:val="sv-SE"/>
        </w:rPr>
        <w:t>(</w:t>
      </w:r>
      <w:r w:rsidR="00602B32">
        <w:rPr>
          <w:lang w:val="sv-SE"/>
        </w:rPr>
        <w:t>8</w:t>
      </w:r>
      <w:r>
        <w:rPr>
          <w:lang w:val="sv-SE"/>
        </w:rPr>
        <w:t>) Koodiga 3131 tähistatud tervishoiuteenus</w:t>
      </w:r>
      <w:r w:rsidR="0055547B">
        <w:rPr>
          <w:lang w:val="sv-SE"/>
        </w:rPr>
        <w:t xml:space="preserve">e piirhinda rakendatakse kuni </w:t>
      </w:r>
      <w:r w:rsidR="00AE05E1">
        <w:rPr>
          <w:lang w:val="sv-SE"/>
        </w:rPr>
        <w:t>31. detsembrini 2026.</w:t>
      </w:r>
      <w:r w:rsidR="00182F55">
        <w:rPr>
          <w:lang w:val="sv-SE"/>
        </w:rPr>
        <w:t> </w:t>
      </w:r>
      <w:r w:rsidR="00AE05E1">
        <w:rPr>
          <w:lang w:val="sv-SE"/>
        </w:rPr>
        <w:t>a.</w:t>
      </w:r>
    </w:p>
    <w:p w14:paraId="7F515FCB" w14:textId="7FFE52B0" w:rsidR="00660967" w:rsidRDefault="00660967" w:rsidP="00BB6911">
      <w:pPr>
        <w:pStyle w:val="Vahedeta"/>
        <w:jc w:val="both"/>
        <w:rPr>
          <w:lang w:val="sv-SE"/>
        </w:rPr>
      </w:pPr>
    </w:p>
    <w:p w14:paraId="008A0BE0" w14:textId="7B443326" w:rsidR="47C525C6" w:rsidRDefault="47C525C6" w:rsidP="6A51DE08">
      <w:pPr>
        <w:pStyle w:val="Vahedeta"/>
        <w:jc w:val="both"/>
        <w:rPr>
          <w:lang w:val="sv-SE"/>
        </w:rPr>
      </w:pPr>
      <w:r w:rsidRPr="24FE1A7A">
        <w:rPr>
          <w:lang w:val="sv-SE"/>
        </w:rPr>
        <w:t>(</w:t>
      </w:r>
      <w:r w:rsidR="00602B32">
        <w:rPr>
          <w:lang w:val="sv-SE"/>
        </w:rPr>
        <w:t>9</w:t>
      </w:r>
      <w:r w:rsidRPr="24FE1A7A">
        <w:rPr>
          <w:lang w:val="sv-SE"/>
        </w:rPr>
        <w:t xml:space="preserve">) </w:t>
      </w:r>
      <w:r w:rsidR="78133B26" w:rsidRPr="24FE1A7A">
        <w:rPr>
          <w:lang w:val="sv-SE"/>
        </w:rPr>
        <w:t>Kuni 30.</w:t>
      </w:r>
      <w:r w:rsidR="003177E8">
        <w:rPr>
          <w:lang w:val="sv-SE"/>
        </w:rPr>
        <w:t xml:space="preserve"> juunini </w:t>
      </w:r>
      <w:r w:rsidR="78133B26" w:rsidRPr="24FE1A7A">
        <w:rPr>
          <w:lang w:val="sv-SE"/>
        </w:rPr>
        <w:t>2026</w:t>
      </w:r>
      <w:r w:rsidR="003177E8">
        <w:rPr>
          <w:lang w:val="sv-SE"/>
        </w:rPr>
        <w:t>. a</w:t>
      </w:r>
      <w:r w:rsidR="78133B26" w:rsidRPr="24FE1A7A">
        <w:rPr>
          <w:lang w:val="sv-SE"/>
        </w:rPr>
        <w:t xml:space="preserve"> võib </w:t>
      </w:r>
      <w:r w:rsidR="00A931E3">
        <w:rPr>
          <w:lang w:val="sv-SE"/>
        </w:rPr>
        <w:t xml:space="preserve">koodiga 66640 tähistatud </w:t>
      </w:r>
      <w:r w:rsidR="78133B26" w:rsidRPr="24FE1A7A">
        <w:rPr>
          <w:lang w:val="sv-SE"/>
        </w:rPr>
        <w:t xml:space="preserve">genoomi sekveneeremise teenust </w:t>
      </w:r>
      <w:r w:rsidR="00734F55">
        <w:rPr>
          <w:lang w:val="sv-SE"/>
        </w:rPr>
        <w:t xml:space="preserve">osutada genoomi sekveneerimise </w:t>
      </w:r>
      <w:r w:rsidR="78133B26" w:rsidRPr="24FE1A7A">
        <w:rPr>
          <w:lang w:val="sv-SE"/>
        </w:rPr>
        <w:t>metoodika</w:t>
      </w:r>
      <w:r w:rsidR="00B64F24">
        <w:rPr>
          <w:lang w:val="sv-SE"/>
        </w:rPr>
        <w:t>le</w:t>
      </w:r>
      <w:r w:rsidR="78133B26" w:rsidRPr="24FE1A7A">
        <w:rPr>
          <w:lang w:val="sv-SE"/>
        </w:rPr>
        <w:t xml:space="preserve"> akrediteerimata laboris. </w:t>
      </w:r>
    </w:p>
    <w:p w14:paraId="730DBDE3" w14:textId="77777777" w:rsidR="00530743" w:rsidRDefault="00530743" w:rsidP="6A51DE08">
      <w:pPr>
        <w:pStyle w:val="Vahedeta"/>
        <w:jc w:val="both"/>
        <w:rPr>
          <w:lang w:val="sv-SE"/>
        </w:rPr>
      </w:pPr>
    </w:p>
    <w:p w14:paraId="3434C4E9" w14:textId="326283B8" w:rsidR="00530743" w:rsidRDefault="00530743" w:rsidP="6A51DE08">
      <w:pPr>
        <w:pStyle w:val="Vahedeta"/>
        <w:jc w:val="both"/>
        <w:rPr>
          <w:lang w:val="sv-SE"/>
        </w:rPr>
      </w:pPr>
      <w:r>
        <w:rPr>
          <w:lang w:val="sv-SE"/>
        </w:rPr>
        <w:t xml:space="preserve">(10) Koodiga </w:t>
      </w:r>
      <w:r w:rsidR="00711BCD">
        <w:rPr>
          <w:lang w:val="sv-SE"/>
        </w:rPr>
        <w:t xml:space="preserve">3057 tähistatud tervishoiuteenuse piirhinda rakendatakse kuni 30. </w:t>
      </w:r>
      <w:r w:rsidR="00E52AB7">
        <w:rPr>
          <w:lang w:val="sv-SE"/>
        </w:rPr>
        <w:t>j</w:t>
      </w:r>
      <w:r w:rsidR="00711BCD">
        <w:rPr>
          <w:lang w:val="sv-SE"/>
        </w:rPr>
        <w:t>uunini 2026. a.</w:t>
      </w:r>
    </w:p>
    <w:p w14:paraId="636F5719" w14:textId="77777777" w:rsidR="00B46975" w:rsidRDefault="00B46975" w:rsidP="6A51DE08">
      <w:pPr>
        <w:pStyle w:val="Vahedeta"/>
        <w:jc w:val="both"/>
        <w:rPr>
          <w:lang w:val="sv-SE"/>
        </w:rPr>
      </w:pPr>
    </w:p>
    <w:p w14:paraId="4B1F5781" w14:textId="61A20DDF" w:rsidR="00EB1F30" w:rsidRDefault="00B46975" w:rsidP="6A51DE08">
      <w:pPr>
        <w:pStyle w:val="Vahedeta"/>
        <w:jc w:val="both"/>
        <w:rPr>
          <w:lang w:val="sv-SE"/>
        </w:rPr>
      </w:pPr>
      <w:r>
        <w:rPr>
          <w:lang w:val="sv-SE"/>
        </w:rPr>
        <w:t>(11) Koodiga 7078A tä</w:t>
      </w:r>
      <w:r w:rsidR="006A79C6">
        <w:rPr>
          <w:lang w:val="sv-SE"/>
        </w:rPr>
        <w:t>h</w:t>
      </w:r>
      <w:r>
        <w:rPr>
          <w:lang w:val="sv-SE"/>
        </w:rPr>
        <w:t xml:space="preserve">istatud </w:t>
      </w:r>
      <w:r w:rsidR="006A79C6">
        <w:rPr>
          <w:lang w:val="sv-SE"/>
        </w:rPr>
        <w:t>tervishoiuteenus</w:t>
      </w:r>
      <w:r w:rsidR="00921C56">
        <w:rPr>
          <w:lang w:val="sv-SE"/>
        </w:rPr>
        <w:t>t</w:t>
      </w:r>
      <w:r w:rsidR="006A79C6">
        <w:rPr>
          <w:lang w:val="sv-SE"/>
        </w:rPr>
        <w:t xml:space="preserve"> rakendatakse kuni </w:t>
      </w:r>
      <w:r w:rsidR="00921C56">
        <w:rPr>
          <w:lang w:val="sv-SE"/>
        </w:rPr>
        <w:t>31. detsembrini 2027. a.</w:t>
      </w:r>
    </w:p>
    <w:p w14:paraId="76CB7319" w14:textId="77777777" w:rsidR="00EB1F30" w:rsidRDefault="00EB1F30" w:rsidP="00EB1F30">
      <w:pPr>
        <w:pStyle w:val="Normaallaadveeb"/>
        <w:shd w:val="clear" w:color="auto" w:fill="FFFFFF"/>
        <w:spacing w:before="0" w:after="0" w:afterAutospacing="0"/>
        <w:jc w:val="both"/>
      </w:pPr>
    </w:p>
    <w:p w14:paraId="1C5621FB" w14:textId="1161A675" w:rsidR="00EB1F30" w:rsidRDefault="00C53FCA" w:rsidP="13957D57">
      <w:pPr>
        <w:pStyle w:val="Normaallaadveeb"/>
        <w:shd w:val="clear" w:color="auto" w:fill="FFFFFF" w:themeFill="background1"/>
        <w:spacing w:before="0" w:after="0" w:afterAutospacing="0"/>
        <w:jc w:val="both"/>
        <w:rPr>
          <w:lang w:val="sv-SE"/>
        </w:rPr>
      </w:pPr>
      <w:r>
        <w:t>(</w:t>
      </w:r>
      <w:r w:rsidR="00EB1F30">
        <w:t>12</w:t>
      </w:r>
      <w:r>
        <w:t>)</w:t>
      </w:r>
      <w:r w:rsidR="00EB1F30">
        <w:t xml:space="preserve"> </w:t>
      </w:r>
      <w:r>
        <w:t xml:space="preserve">Koodiga 2306K tähistatud tervishoiuteenusele rakendatakse perioodil 01.01.2026 kuni 31.03.2026 tagasiulatuvalt piirhinda 961 624,16 eurot. </w:t>
      </w:r>
    </w:p>
    <w:p w14:paraId="3E0C4197" w14:textId="73A3F870" w:rsidR="13957D57" w:rsidRDefault="13957D57" w:rsidP="13957D57">
      <w:pPr>
        <w:pStyle w:val="Normaallaadveeb"/>
        <w:shd w:val="clear" w:color="auto" w:fill="FFFFFF" w:themeFill="background1"/>
        <w:spacing w:before="0" w:after="0" w:afterAutospacing="0"/>
        <w:jc w:val="both"/>
      </w:pPr>
    </w:p>
    <w:p w14:paraId="00143F61" w14:textId="2177937D" w:rsidR="51D20C94" w:rsidRDefault="51D20C94" w:rsidP="13957D57">
      <w:pPr>
        <w:pStyle w:val="Normaallaadveeb"/>
        <w:shd w:val="clear" w:color="auto" w:fill="FFFFFF" w:themeFill="background1"/>
        <w:spacing w:before="0" w:after="0" w:afterAutospacing="0"/>
        <w:jc w:val="both"/>
      </w:pPr>
      <w:r>
        <w:t xml:space="preserve">(13) Koodiga 3134 tähistatud </w:t>
      </w:r>
      <w:r w:rsidR="0CEEA56E">
        <w:t>tervishoiuteenuse piirhinda rakendatakse alates 01.05.2026.</w:t>
      </w:r>
    </w:p>
    <w:p w14:paraId="208DC9AF" w14:textId="77777777" w:rsidR="6968A9E2" w:rsidRPr="00687DE8" w:rsidRDefault="6968A9E2" w:rsidP="6968A9E2">
      <w:pPr>
        <w:pStyle w:val="Vahedeta"/>
        <w:jc w:val="both"/>
        <w:rPr>
          <w:szCs w:val="24"/>
          <w:lang w:val="et-EE"/>
        </w:rPr>
      </w:pPr>
    </w:p>
    <w:p w14:paraId="7A7F0E38" w14:textId="7F709DD6" w:rsidR="00976487" w:rsidRDefault="4EA06AB0" w:rsidP="5262DF1B">
      <w:pPr>
        <w:pStyle w:val="Pealkiri3"/>
        <w:spacing w:before="0" w:after="0" w:afterAutospacing="0"/>
        <w:jc w:val="both"/>
        <w:divId w:val="1316184749"/>
        <w:rPr>
          <w:sz w:val="24"/>
          <w:szCs w:val="24"/>
        </w:rPr>
      </w:pPr>
      <w:r w:rsidRPr="00687DE8">
        <w:rPr>
          <w:rStyle w:val="Tugev"/>
          <w:b/>
          <w:bCs/>
          <w:sz w:val="24"/>
          <w:szCs w:val="24"/>
        </w:rPr>
        <w:t>§ 8</w:t>
      </w:r>
      <w:r w:rsidR="004D1599" w:rsidRPr="00687DE8">
        <w:rPr>
          <w:rStyle w:val="Tugev"/>
          <w:b/>
          <w:bCs/>
          <w:sz w:val="24"/>
          <w:szCs w:val="24"/>
        </w:rPr>
        <w:t>3</w:t>
      </w:r>
      <w:r w:rsidRPr="00687DE8">
        <w:rPr>
          <w:rStyle w:val="Tugev"/>
          <w:b/>
          <w:bCs/>
          <w:sz w:val="24"/>
          <w:szCs w:val="24"/>
        </w:rPr>
        <w:t>.</w:t>
      </w:r>
      <w:r w:rsidRPr="00687DE8">
        <w:rPr>
          <w:sz w:val="24"/>
          <w:szCs w:val="24"/>
        </w:rPr>
        <w:t> Määruse kehtetuks tunnistamine</w:t>
      </w:r>
    </w:p>
    <w:p w14:paraId="2DA21F65" w14:textId="77777777" w:rsidR="00D35BE0" w:rsidRDefault="00D35BE0" w:rsidP="5481D521">
      <w:pPr>
        <w:pStyle w:val="Normaallaadveeb"/>
        <w:spacing w:before="0" w:after="0" w:afterAutospacing="0"/>
        <w:jc w:val="both"/>
        <w:divId w:val="1316184749"/>
        <w:rPr>
          <w:color w:val="000000" w:themeColor="text1"/>
        </w:rPr>
      </w:pPr>
    </w:p>
    <w:p w14:paraId="77517DC4" w14:textId="77F28340" w:rsidR="00976487" w:rsidRPr="00190E29" w:rsidRDefault="5F21C1F4" w:rsidP="5481D521">
      <w:pPr>
        <w:pStyle w:val="Normaallaadveeb"/>
        <w:spacing w:before="0" w:after="0" w:afterAutospacing="0"/>
        <w:jc w:val="both"/>
        <w:divId w:val="1316184749"/>
        <w:rPr>
          <w:color w:val="000000" w:themeColor="text1"/>
        </w:rPr>
      </w:pPr>
      <w:r w:rsidRPr="00190E29">
        <w:rPr>
          <w:color w:val="000000" w:themeColor="text1"/>
        </w:rPr>
        <w:t xml:space="preserve">Vabariigi Valitsuse </w:t>
      </w:r>
      <w:r w:rsidR="00D7704A">
        <w:rPr>
          <w:color w:val="000000" w:themeColor="text1"/>
        </w:rPr>
        <w:t>1</w:t>
      </w:r>
      <w:r w:rsidR="00922FF4">
        <w:rPr>
          <w:color w:val="000000" w:themeColor="text1"/>
        </w:rPr>
        <w:t>5</w:t>
      </w:r>
      <w:r w:rsidR="00D7704A">
        <w:rPr>
          <w:color w:val="000000" w:themeColor="text1"/>
        </w:rPr>
        <w:t xml:space="preserve">. </w:t>
      </w:r>
      <w:r w:rsidR="00922FF4">
        <w:rPr>
          <w:color w:val="000000" w:themeColor="text1"/>
        </w:rPr>
        <w:t xml:space="preserve">detsembri </w:t>
      </w:r>
      <w:r w:rsidR="7089AC7A" w:rsidRPr="6A0A2B6E">
        <w:rPr>
          <w:color w:val="000000" w:themeColor="text1"/>
        </w:rPr>
        <w:t>202</w:t>
      </w:r>
      <w:r w:rsidR="738347BF" w:rsidRPr="6A0A2B6E">
        <w:rPr>
          <w:color w:val="000000" w:themeColor="text1"/>
        </w:rPr>
        <w:t>5</w:t>
      </w:r>
      <w:r w:rsidR="49A31D92" w:rsidRPr="6A0A2B6E">
        <w:rPr>
          <w:color w:val="000000" w:themeColor="text1"/>
        </w:rPr>
        <w:t>.</w:t>
      </w:r>
      <w:r w:rsidR="00A02793">
        <w:rPr>
          <w:color w:val="000000" w:themeColor="text1"/>
        </w:rPr>
        <w:t xml:space="preserve"> a määrus nr </w:t>
      </w:r>
      <w:r w:rsidR="00922FF4">
        <w:rPr>
          <w:color w:val="000000" w:themeColor="text1"/>
        </w:rPr>
        <w:t>101</w:t>
      </w:r>
      <w:r w:rsidR="00A02793">
        <w:rPr>
          <w:color w:val="000000" w:themeColor="text1"/>
        </w:rPr>
        <w:t xml:space="preserve"> </w:t>
      </w:r>
      <w:r w:rsidRPr="00190E29">
        <w:rPr>
          <w:color w:val="000000" w:themeColor="text1"/>
        </w:rPr>
        <w:t>„</w:t>
      </w:r>
      <w:r w:rsidR="0795A3BE" w:rsidRPr="00190E29">
        <w:rPr>
          <w:color w:val="000000" w:themeColor="text1"/>
        </w:rPr>
        <w:t>Tervisekassa</w:t>
      </w:r>
      <w:r w:rsidRPr="00190E29">
        <w:rPr>
          <w:color w:val="000000" w:themeColor="text1"/>
        </w:rPr>
        <w:t xml:space="preserve"> tervishoiuteenuste loetelu</w:t>
      </w:r>
      <w:r w:rsidR="199A3D6C" w:rsidRPr="00190E29">
        <w:rPr>
          <w:color w:val="000000" w:themeColor="text1"/>
        </w:rPr>
        <w:t>“</w:t>
      </w:r>
      <w:r w:rsidRPr="00190E29">
        <w:rPr>
          <w:color w:val="000000" w:themeColor="text1"/>
        </w:rPr>
        <w:t xml:space="preserve"> tunnistatakse kehtetuks.</w:t>
      </w:r>
    </w:p>
    <w:p w14:paraId="46FA4D3B" w14:textId="77777777" w:rsidR="00E6361A" w:rsidRPr="00687DE8" w:rsidRDefault="00E6361A" w:rsidP="5481D521">
      <w:pPr>
        <w:pStyle w:val="Normaallaadveeb"/>
        <w:spacing w:before="0" w:after="0" w:afterAutospacing="0"/>
        <w:jc w:val="both"/>
        <w:divId w:val="1316184749"/>
      </w:pPr>
    </w:p>
    <w:p w14:paraId="233C29FE" w14:textId="223A0A8B" w:rsidR="00E6361A" w:rsidRDefault="00E6361A" w:rsidP="5481D521">
      <w:pPr>
        <w:pStyle w:val="Normaallaadveeb"/>
        <w:spacing w:before="0" w:after="0" w:afterAutospacing="0"/>
        <w:jc w:val="both"/>
        <w:divId w:val="1316184749"/>
        <w:rPr>
          <w:b/>
          <w:bCs/>
        </w:rPr>
      </w:pPr>
      <w:r w:rsidRPr="00687DE8">
        <w:rPr>
          <w:b/>
          <w:bCs/>
        </w:rPr>
        <w:t>§ 8</w:t>
      </w:r>
      <w:r w:rsidR="004D1599" w:rsidRPr="00687DE8">
        <w:rPr>
          <w:b/>
          <w:bCs/>
        </w:rPr>
        <w:t>4</w:t>
      </w:r>
      <w:r w:rsidRPr="00687DE8">
        <w:rPr>
          <w:b/>
          <w:bCs/>
        </w:rPr>
        <w:t>. Määruse jõustumine</w:t>
      </w:r>
    </w:p>
    <w:p w14:paraId="3DBF45AC" w14:textId="77777777" w:rsidR="00D35BE0" w:rsidRDefault="00D35BE0" w:rsidP="5481D521">
      <w:pPr>
        <w:pStyle w:val="Normaallaadveeb"/>
        <w:spacing w:before="0" w:after="0" w:afterAutospacing="0"/>
        <w:jc w:val="both"/>
        <w:divId w:val="1316184749"/>
        <w:rPr>
          <w:rStyle w:val="Tugev"/>
          <w:b w:val="0"/>
          <w:bCs w:val="0"/>
        </w:rPr>
      </w:pPr>
    </w:p>
    <w:p w14:paraId="5D9EE7B0" w14:textId="662D7857" w:rsidR="00E6361A" w:rsidRPr="00687DE8" w:rsidRDefault="00E6361A" w:rsidP="5481D521">
      <w:pPr>
        <w:pStyle w:val="Normaallaadveeb"/>
        <w:spacing w:before="0" w:after="0" w:afterAutospacing="0"/>
        <w:jc w:val="both"/>
        <w:divId w:val="1316184749"/>
        <w:rPr>
          <w:rStyle w:val="Tugev"/>
          <w:b w:val="0"/>
          <w:bCs w:val="0"/>
        </w:rPr>
      </w:pPr>
      <w:r w:rsidRPr="00687DE8">
        <w:rPr>
          <w:rStyle w:val="Tugev"/>
          <w:b w:val="0"/>
          <w:bCs w:val="0"/>
        </w:rPr>
        <w:t xml:space="preserve">Määrus jõustub </w:t>
      </w:r>
      <w:r w:rsidR="00A02793">
        <w:rPr>
          <w:rStyle w:val="Tugev"/>
          <w:b w:val="0"/>
          <w:bCs w:val="0"/>
        </w:rPr>
        <w:t xml:space="preserve">1. </w:t>
      </w:r>
      <w:r w:rsidR="00922FF4">
        <w:rPr>
          <w:rStyle w:val="Tugev"/>
          <w:b w:val="0"/>
          <w:bCs w:val="0"/>
        </w:rPr>
        <w:t xml:space="preserve">aprillil </w:t>
      </w:r>
      <w:r w:rsidR="00A02793">
        <w:rPr>
          <w:rStyle w:val="Tugev"/>
          <w:b w:val="0"/>
          <w:bCs w:val="0"/>
        </w:rPr>
        <w:t>2026. a.</w:t>
      </w:r>
    </w:p>
    <w:p w14:paraId="0C52B920" w14:textId="77777777" w:rsidR="005463B5" w:rsidRPr="00687DE8" w:rsidRDefault="005463B5" w:rsidP="000D7478">
      <w:pPr>
        <w:pStyle w:val="Vahedeta"/>
        <w:divId w:val="1316184749"/>
        <w:rPr>
          <w:szCs w:val="24"/>
          <w:lang w:val="et-EE"/>
        </w:rPr>
      </w:pPr>
      <w:bookmarkStart w:id="53" w:name="ptk1"/>
      <w:bookmarkStart w:id="54" w:name="ptk2"/>
      <w:bookmarkStart w:id="55" w:name="ptk3"/>
      <w:bookmarkStart w:id="56" w:name="jg1"/>
      <w:bookmarkStart w:id="57" w:name="jg2"/>
      <w:bookmarkStart w:id="58" w:name="ptk4"/>
      <w:bookmarkStart w:id="59" w:name="ptk5"/>
      <w:bookmarkStart w:id="60" w:name="ptk6"/>
      <w:bookmarkStart w:id="61" w:name="ptk7"/>
      <w:bookmarkStart w:id="62" w:name="ptk9"/>
      <w:bookmarkStart w:id="63" w:name="ptk10"/>
      <w:bookmarkStart w:id="64" w:name="ptk11"/>
      <w:bookmarkEnd w:id="53"/>
      <w:bookmarkEnd w:id="54"/>
      <w:bookmarkEnd w:id="55"/>
      <w:bookmarkEnd w:id="56"/>
      <w:bookmarkEnd w:id="57"/>
      <w:bookmarkEnd w:id="58"/>
      <w:bookmarkEnd w:id="59"/>
      <w:bookmarkEnd w:id="60"/>
      <w:bookmarkEnd w:id="61"/>
      <w:bookmarkEnd w:id="62"/>
      <w:bookmarkEnd w:id="63"/>
      <w:bookmarkEnd w:id="64"/>
    </w:p>
    <w:p w14:paraId="583C251A" w14:textId="44AE3E3A" w:rsidR="33AC7023" w:rsidRDefault="33AC7023" w:rsidP="33AC7023">
      <w:pPr>
        <w:pStyle w:val="Vahedeta"/>
        <w:rPr>
          <w:lang w:val="et-EE"/>
        </w:rPr>
      </w:pPr>
    </w:p>
    <w:p w14:paraId="4E472CB4" w14:textId="77777777" w:rsidR="00906142" w:rsidRPr="00687DE8" w:rsidRDefault="00906142" w:rsidP="000D7478">
      <w:pPr>
        <w:pStyle w:val="Vahedeta"/>
        <w:divId w:val="1316184749"/>
        <w:rPr>
          <w:szCs w:val="24"/>
          <w:lang w:val="et-EE"/>
        </w:rPr>
      </w:pPr>
    </w:p>
    <w:p w14:paraId="1B8AE629" w14:textId="1510A670" w:rsidR="00DF5AC9" w:rsidRPr="00687DE8" w:rsidRDefault="000E2522" w:rsidP="00622F6D">
      <w:pPr>
        <w:pStyle w:val="Vahedeta"/>
        <w:divId w:val="1316184749"/>
        <w:rPr>
          <w:szCs w:val="24"/>
          <w:lang w:val="et-EE"/>
        </w:rPr>
      </w:pPr>
      <w:r>
        <w:rPr>
          <w:szCs w:val="24"/>
          <w:lang w:val="et-EE"/>
        </w:rPr>
        <w:t>Kristen Michal</w:t>
      </w:r>
    </w:p>
    <w:p w14:paraId="3AAC7488" w14:textId="77777777" w:rsidR="00DF5AC9" w:rsidRPr="00687DE8" w:rsidRDefault="00DF5AC9" w:rsidP="00622F6D">
      <w:pPr>
        <w:pStyle w:val="Vahedeta"/>
        <w:divId w:val="1316184749"/>
        <w:rPr>
          <w:szCs w:val="24"/>
          <w:lang w:val="et-EE"/>
        </w:rPr>
      </w:pPr>
      <w:r w:rsidRPr="00687DE8">
        <w:rPr>
          <w:szCs w:val="24"/>
          <w:lang w:val="et-EE"/>
        </w:rPr>
        <w:t xml:space="preserve">Peaminister </w:t>
      </w:r>
    </w:p>
    <w:p w14:paraId="1350A7B3" w14:textId="77777777" w:rsidR="00622F6D" w:rsidRDefault="00622F6D" w:rsidP="00622F6D">
      <w:pPr>
        <w:spacing w:after="0" w:line="240" w:lineRule="auto"/>
        <w:divId w:val="1316184749"/>
      </w:pPr>
    </w:p>
    <w:p w14:paraId="144871D7" w14:textId="2EB93C72" w:rsidR="00534B0F" w:rsidRDefault="00534B0F" w:rsidP="00622F6D">
      <w:pPr>
        <w:spacing w:after="0" w:line="240" w:lineRule="auto"/>
        <w:divId w:val="1316184749"/>
      </w:pPr>
      <w:r>
        <w:t>Karmen Joller</w:t>
      </w:r>
    </w:p>
    <w:p w14:paraId="5B9BC9B3" w14:textId="66A0DAEE" w:rsidR="00534B0F" w:rsidRPr="003F1C9A" w:rsidRDefault="0013501B" w:rsidP="00622F6D">
      <w:pPr>
        <w:spacing w:after="0" w:line="240" w:lineRule="auto"/>
        <w:divId w:val="1316184749"/>
      </w:pPr>
      <w:r>
        <w:t>S</w:t>
      </w:r>
      <w:r w:rsidR="00534B0F">
        <w:t>otsiaalminister</w:t>
      </w:r>
    </w:p>
    <w:p w14:paraId="4E869A5C" w14:textId="77777777" w:rsidR="00622F6D" w:rsidRDefault="00622F6D" w:rsidP="00622F6D">
      <w:pPr>
        <w:spacing w:after="0" w:line="240" w:lineRule="auto"/>
        <w:divId w:val="1316184749"/>
      </w:pPr>
    </w:p>
    <w:p w14:paraId="0295ACED" w14:textId="2CD3A5A6" w:rsidR="00534B0F" w:rsidRPr="003F1C9A" w:rsidRDefault="00534B0F" w:rsidP="00622F6D">
      <w:pPr>
        <w:spacing w:after="0" w:line="240" w:lineRule="auto"/>
        <w:divId w:val="1316184749"/>
      </w:pPr>
      <w:r>
        <w:t>Keit Kasemets</w:t>
      </w:r>
    </w:p>
    <w:p w14:paraId="4317ABDB" w14:textId="2AAA385A" w:rsidR="00534B0F" w:rsidRDefault="0013501B" w:rsidP="00622F6D">
      <w:pPr>
        <w:spacing w:after="0" w:line="240" w:lineRule="auto"/>
        <w:divId w:val="1316184749"/>
      </w:pPr>
      <w:r>
        <w:t>R</w:t>
      </w:r>
      <w:r w:rsidR="00534B0F">
        <w:t>iigisekretär</w:t>
      </w:r>
    </w:p>
    <w:p w14:paraId="5B3C82B2" w14:textId="77777777" w:rsidR="0024299F" w:rsidRPr="00687DE8" w:rsidRDefault="0024299F" w:rsidP="00DF5AC9">
      <w:pPr>
        <w:pStyle w:val="Vahedeta"/>
        <w:divId w:val="1316184749"/>
        <w:rPr>
          <w:szCs w:val="24"/>
        </w:rPr>
      </w:pPr>
    </w:p>
    <w:sectPr w:rsidR="0024299F" w:rsidRPr="00687DE8" w:rsidSect="00F15D69">
      <w:headerReference w:type="default" r:id="rId11"/>
      <w:footerReference w:type="default" r:id="rId12"/>
      <w:headerReference w:type="first" r:id="rId13"/>
      <w:footerReference w:type="first" r:id="rId14"/>
      <w:pgSz w:w="12240" w:h="15840"/>
      <w:pgMar w:top="907" w:right="1041" w:bottom="1418"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DB54" w14:textId="77777777" w:rsidR="002D6D0F" w:rsidRDefault="002D6D0F" w:rsidP="00973C5B">
      <w:pPr>
        <w:spacing w:after="0" w:line="240" w:lineRule="auto"/>
      </w:pPr>
      <w:r>
        <w:separator/>
      </w:r>
    </w:p>
  </w:endnote>
  <w:endnote w:type="continuationSeparator" w:id="0">
    <w:p w14:paraId="24732214" w14:textId="77777777" w:rsidR="002D6D0F" w:rsidRDefault="002D6D0F" w:rsidP="00973C5B">
      <w:pPr>
        <w:spacing w:after="0" w:line="240" w:lineRule="auto"/>
      </w:pPr>
      <w:r>
        <w:continuationSeparator/>
      </w:r>
    </w:p>
  </w:endnote>
  <w:endnote w:type="continuationNotice" w:id="1">
    <w:p w14:paraId="44214028" w14:textId="77777777" w:rsidR="002D6D0F" w:rsidRDefault="002D6D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5"/>
      <w:gridCol w:w="3125"/>
      <w:gridCol w:w="3125"/>
    </w:tblGrid>
    <w:tr w:rsidR="4EA06AB0" w14:paraId="6A29EE44" w14:textId="77777777" w:rsidTr="002236F7">
      <w:tc>
        <w:tcPr>
          <w:tcW w:w="3125" w:type="dxa"/>
        </w:tcPr>
        <w:p w14:paraId="6EC6AFEE" w14:textId="77777777" w:rsidR="4EA06AB0" w:rsidRDefault="4EA06AB0" w:rsidP="002236F7">
          <w:pPr>
            <w:pStyle w:val="Pis"/>
            <w:ind w:left="-115"/>
          </w:pPr>
        </w:p>
      </w:tc>
      <w:tc>
        <w:tcPr>
          <w:tcW w:w="3125" w:type="dxa"/>
        </w:tcPr>
        <w:p w14:paraId="57581ECB" w14:textId="77777777" w:rsidR="4EA06AB0" w:rsidRDefault="4EA06AB0" w:rsidP="002236F7">
          <w:pPr>
            <w:pStyle w:val="Pis"/>
            <w:jc w:val="center"/>
          </w:pPr>
        </w:p>
      </w:tc>
      <w:tc>
        <w:tcPr>
          <w:tcW w:w="3125" w:type="dxa"/>
        </w:tcPr>
        <w:p w14:paraId="6AA229C9" w14:textId="77777777" w:rsidR="4EA06AB0" w:rsidRDefault="4EA06AB0" w:rsidP="002236F7">
          <w:pPr>
            <w:pStyle w:val="Pis"/>
            <w:ind w:right="-115"/>
            <w:jc w:val="right"/>
          </w:pPr>
        </w:p>
      </w:tc>
    </w:tr>
  </w:tbl>
  <w:p w14:paraId="65A69645" w14:textId="77777777" w:rsidR="4EA06AB0" w:rsidRDefault="4EA06AB0" w:rsidP="002236F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5"/>
      <w:gridCol w:w="3125"/>
      <w:gridCol w:w="3125"/>
    </w:tblGrid>
    <w:tr w:rsidR="4EA06AB0" w14:paraId="20555DB1" w14:textId="77777777" w:rsidTr="002236F7">
      <w:tc>
        <w:tcPr>
          <w:tcW w:w="3125" w:type="dxa"/>
        </w:tcPr>
        <w:p w14:paraId="76C91515" w14:textId="77777777" w:rsidR="4EA06AB0" w:rsidRDefault="4EA06AB0" w:rsidP="002236F7">
          <w:pPr>
            <w:pStyle w:val="Pis"/>
            <w:ind w:left="-115"/>
          </w:pPr>
        </w:p>
      </w:tc>
      <w:tc>
        <w:tcPr>
          <w:tcW w:w="3125" w:type="dxa"/>
        </w:tcPr>
        <w:p w14:paraId="1B3AAC4F" w14:textId="77777777" w:rsidR="4EA06AB0" w:rsidRDefault="4EA06AB0" w:rsidP="002236F7">
          <w:pPr>
            <w:pStyle w:val="Pis"/>
            <w:jc w:val="center"/>
          </w:pPr>
        </w:p>
      </w:tc>
      <w:tc>
        <w:tcPr>
          <w:tcW w:w="3125" w:type="dxa"/>
        </w:tcPr>
        <w:p w14:paraId="34F118E8" w14:textId="77777777" w:rsidR="4EA06AB0" w:rsidRDefault="4EA06AB0" w:rsidP="002236F7">
          <w:pPr>
            <w:pStyle w:val="Pis"/>
            <w:ind w:right="-115"/>
            <w:jc w:val="right"/>
          </w:pPr>
        </w:p>
      </w:tc>
    </w:tr>
  </w:tbl>
  <w:p w14:paraId="05F807E0" w14:textId="77777777" w:rsidR="4EA06AB0" w:rsidRDefault="4EA06AB0" w:rsidP="002236F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A15A" w14:textId="77777777" w:rsidR="002D6D0F" w:rsidRDefault="002D6D0F" w:rsidP="00973C5B">
      <w:pPr>
        <w:spacing w:after="0" w:line="240" w:lineRule="auto"/>
      </w:pPr>
      <w:r>
        <w:separator/>
      </w:r>
    </w:p>
  </w:footnote>
  <w:footnote w:type="continuationSeparator" w:id="0">
    <w:p w14:paraId="241306A7" w14:textId="77777777" w:rsidR="002D6D0F" w:rsidRDefault="002D6D0F" w:rsidP="00973C5B">
      <w:pPr>
        <w:spacing w:after="0" w:line="240" w:lineRule="auto"/>
      </w:pPr>
      <w:r>
        <w:continuationSeparator/>
      </w:r>
    </w:p>
  </w:footnote>
  <w:footnote w:type="continuationNotice" w:id="1">
    <w:p w14:paraId="6A955B8A" w14:textId="77777777" w:rsidR="002D6D0F" w:rsidRDefault="002D6D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008703"/>
      <w:docPartObj>
        <w:docPartGallery w:val="Page Numbers (Top of Page)"/>
        <w:docPartUnique/>
      </w:docPartObj>
    </w:sdtPr>
    <w:sdtEndPr/>
    <w:sdtContent>
      <w:p w14:paraId="152B75F8" w14:textId="77777777" w:rsidR="000D7A34" w:rsidRDefault="000D7A34">
        <w:pPr>
          <w:pStyle w:val="Pis"/>
          <w:jc w:val="center"/>
        </w:pPr>
        <w:r w:rsidRPr="12F5FC8C">
          <w:rPr>
            <w:color w:val="2B579A"/>
          </w:rPr>
          <w:fldChar w:fldCharType="begin"/>
        </w:r>
        <w:r>
          <w:instrText>PAGE   \* MERGEFORMAT</w:instrText>
        </w:r>
        <w:r w:rsidRPr="12F5FC8C">
          <w:rPr>
            <w:color w:val="2B579A"/>
          </w:rPr>
          <w:fldChar w:fldCharType="separate"/>
        </w:r>
        <w:r w:rsidR="00A7662E">
          <w:rPr>
            <w:noProof/>
          </w:rPr>
          <w:t>77</w:t>
        </w:r>
        <w:r w:rsidRPr="12F5FC8C">
          <w:rPr>
            <w:color w:val="2B579A"/>
          </w:rPr>
          <w:fldChar w:fldCharType="end"/>
        </w:r>
      </w:p>
    </w:sdtContent>
  </w:sdt>
  <w:p w14:paraId="3F596264" w14:textId="77777777" w:rsidR="000D7A34" w:rsidRDefault="000D7A34">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B750" w14:textId="7D3397B6" w:rsidR="005C46E5" w:rsidRDefault="005C46E5" w:rsidP="005C46E5">
    <w:pPr>
      <w:pStyle w:val="Pis"/>
      <w:jc w:val="right"/>
    </w:pPr>
    <w:r>
      <w:t>EELNÕU</w:t>
    </w:r>
  </w:p>
  <w:p w14:paraId="7E776B6A" w14:textId="1E4E12E4" w:rsidR="005C46E5" w:rsidRDefault="005C46E5" w:rsidP="005C46E5">
    <w:pPr>
      <w:pStyle w:val="Pis"/>
      <w:jc w:val="right"/>
    </w:pPr>
    <w:r>
      <w:t>22.02.2026</w:t>
    </w:r>
  </w:p>
</w:hdr>
</file>

<file path=word/intelligence2.xml><?xml version="1.0" encoding="utf-8"?>
<int2:intelligence xmlns:int2="http://schemas.microsoft.com/office/intelligence/2020/intelligence" xmlns:oel="http://schemas.microsoft.com/office/2019/extlst">
  <int2:observations>
    <int2:textHash int2:hashCode="StWDryLC59QMHJ" int2:id="iqsRJwaF">
      <int2:state int2:value="Rejected" int2:type="LegacyProofing"/>
    </int2:textHash>
    <int2:textHash int2:hashCode="zVMvneykF7YeSx" int2:id="t8VxUsR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82C"/>
    <w:multiLevelType w:val="hybridMultilevel"/>
    <w:tmpl w:val="2E98F356"/>
    <w:lvl w:ilvl="0" w:tplc="C910210C">
      <w:start w:val="1"/>
      <w:numFmt w:val="decimal"/>
      <w:lvlText w:val="%1)"/>
      <w:lvlJc w:val="left"/>
      <w:pPr>
        <w:ind w:left="720" w:hanging="360"/>
      </w:pPr>
    </w:lvl>
    <w:lvl w:ilvl="1" w:tplc="22A2FF06">
      <w:start w:val="1"/>
      <w:numFmt w:val="decimal"/>
      <w:lvlText w:val="%2)"/>
      <w:lvlJc w:val="left"/>
      <w:pPr>
        <w:ind w:left="720" w:hanging="360"/>
      </w:pPr>
    </w:lvl>
    <w:lvl w:ilvl="2" w:tplc="3E48B646">
      <w:start w:val="1"/>
      <w:numFmt w:val="decimal"/>
      <w:lvlText w:val="%3)"/>
      <w:lvlJc w:val="left"/>
      <w:pPr>
        <w:ind w:left="720" w:hanging="360"/>
      </w:pPr>
    </w:lvl>
    <w:lvl w:ilvl="3" w:tplc="14ECE1C6">
      <w:start w:val="1"/>
      <w:numFmt w:val="decimal"/>
      <w:lvlText w:val="%4)"/>
      <w:lvlJc w:val="left"/>
      <w:pPr>
        <w:ind w:left="720" w:hanging="360"/>
      </w:pPr>
    </w:lvl>
    <w:lvl w:ilvl="4" w:tplc="18246066">
      <w:start w:val="1"/>
      <w:numFmt w:val="decimal"/>
      <w:lvlText w:val="%5)"/>
      <w:lvlJc w:val="left"/>
      <w:pPr>
        <w:ind w:left="720" w:hanging="360"/>
      </w:pPr>
    </w:lvl>
    <w:lvl w:ilvl="5" w:tplc="C3BA5D2A">
      <w:start w:val="1"/>
      <w:numFmt w:val="decimal"/>
      <w:lvlText w:val="%6)"/>
      <w:lvlJc w:val="left"/>
      <w:pPr>
        <w:ind w:left="720" w:hanging="360"/>
      </w:pPr>
    </w:lvl>
    <w:lvl w:ilvl="6" w:tplc="6E62FDE8">
      <w:start w:val="1"/>
      <w:numFmt w:val="decimal"/>
      <w:lvlText w:val="%7)"/>
      <w:lvlJc w:val="left"/>
      <w:pPr>
        <w:ind w:left="720" w:hanging="360"/>
      </w:pPr>
    </w:lvl>
    <w:lvl w:ilvl="7" w:tplc="3BE8C682">
      <w:start w:val="1"/>
      <w:numFmt w:val="decimal"/>
      <w:lvlText w:val="%8)"/>
      <w:lvlJc w:val="left"/>
      <w:pPr>
        <w:ind w:left="720" w:hanging="360"/>
      </w:pPr>
    </w:lvl>
    <w:lvl w:ilvl="8" w:tplc="E3A4C400">
      <w:start w:val="1"/>
      <w:numFmt w:val="decimal"/>
      <w:lvlText w:val="%9)"/>
      <w:lvlJc w:val="left"/>
      <w:pPr>
        <w:ind w:left="720" w:hanging="360"/>
      </w:pPr>
    </w:lvl>
  </w:abstractNum>
  <w:abstractNum w:abstractNumId="1" w15:restartNumberingAfterBreak="0">
    <w:nsid w:val="0A627B94"/>
    <w:multiLevelType w:val="hybridMultilevel"/>
    <w:tmpl w:val="742EA69A"/>
    <w:lvl w:ilvl="0" w:tplc="04B62F2C">
      <w:start w:val="1"/>
      <w:numFmt w:val="upperLetter"/>
      <w:lvlText w:val="%1."/>
      <w:lvlJc w:val="left"/>
      <w:pPr>
        <w:ind w:left="1020" w:hanging="360"/>
      </w:pPr>
    </w:lvl>
    <w:lvl w:ilvl="1" w:tplc="03D212F6">
      <w:start w:val="1"/>
      <w:numFmt w:val="upperLetter"/>
      <w:lvlText w:val="%2."/>
      <w:lvlJc w:val="left"/>
      <w:pPr>
        <w:ind w:left="1020" w:hanging="360"/>
      </w:pPr>
    </w:lvl>
    <w:lvl w:ilvl="2" w:tplc="EE98C072">
      <w:start w:val="1"/>
      <w:numFmt w:val="upperLetter"/>
      <w:lvlText w:val="%3."/>
      <w:lvlJc w:val="left"/>
      <w:pPr>
        <w:ind w:left="1020" w:hanging="360"/>
      </w:pPr>
    </w:lvl>
    <w:lvl w:ilvl="3" w:tplc="56E02E56">
      <w:start w:val="1"/>
      <w:numFmt w:val="upperLetter"/>
      <w:lvlText w:val="%4."/>
      <w:lvlJc w:val="left"/>
      <w:pPr>
        <w:ind w:left="1020" w:hanging="360"/>
      </w:pPr>
    </w:lvl>
    <w:lvl w:ilvl="4" w:tplc="0854015E">
      <w:start w:val="1"/>
      <w:numFmt w:val="upperLetter"/>
      <w:lvlText w:val="%5."/>
      <w:lvlJc w:val="left"/>
      <w:pPr>
        <w:ind w:left="1020" w:hanging="360"/>
      </w:pPr>
    </w:lvl>
    <w:lvl w:ilvl="5" w:tplc="BA9EE25C">
      <w:start w:val="1"/>
      <w:numFmt w:val="upperLetter"/>
      <w:lvlText w:val="%6."/>
      <w:lvlJc w:val="left"/>
      <w:pPr>
        <w:ind w:left="1020" w:hanging="360"/>
      </w:pPr>
    </w:lvl>
    <w:lvl w:ilvl="6" w:tplc="A1CC7AC8">
      <w:start w:val="1"/>
      <w:numFmt w:val="upperLetter"/>
      <w:lvlText w:val="%7."/>
      <w:lvlJc w:val="left"/>
      <w:pPr>
        <w:ind w:left="1020" w:hanging="360"/>
      </w:pPr>
    </w:lvl>
    <w:lvl w:ilvl="7" w:tplc="CD3C3294">
      <w:start w:val="1"/>
      <w:numFmt w:val="upperLetter"/>
      <w:lvlText w:val="%8."/>
      <w:lvlJc w:val="left"/>
      <w:pPr>
        <w:ind w:left="1020" w:hanging="360"/>
      </w:pPr>
    </w:lvl>
    <w:lvl w:ilvl="8" w:tplc="B158044E">
      <w:start w:val="1"/>
      <w:numFmt w:val="upperLetter"/>
      <w:lvlText w:val="%9."/>
      <w:lvlJc w:val="left"/>
      <w:pPr>
        <w:ind w:left="1020" w:hanging="360"/>
      </w:pPr>
    </w:lvl>
  </w:abstractNum>
  <w:abstractNum w:abstractNumId="2" w15:restartNumberingAfterBreak="0">
    <w:nsid w:val="0E297D9E"/>
    <w:multiLevelType w:val="hybridMultilevel"/>
    <w:tmpl w:val="EE86530A"/>
    <w:lvl w:ilvl="0" w:tplc="9C10B82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04F5031"/>
    <w:multiLevelType w:val="hybridMultilevel"/>
    <w:tmpl w:val="C6E4A2BA"/>
    <w:lvl w:ilvl="0" w:tplc="4250762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3D90D41"/>
    <w:multiLevelType w:val="hybridMultilevel"/>
    <w:tmpl w:val="523EA760"/>
    <w:lvl w:ilvl="0" w:tplc="A7AA9C5C">
      <w:start w:val="1"/>
      <w:numFmt w:val="upperLetter"/>
      <w:lvlText w:val="%1."/>
      <w:lvlJc w:val="left"/>
      <w:pPr>
        <w:ind w:left="1020" w:hanging="360"/>
      </w:pPr>
    </w:lvl>
    <w:lvl w:ilvl="1" w:tplc="2384D52E">
      <w:start w:val="1"/>
      <w:numFmt w:val="upperLetter"/>
      <w:lvlText w:val="%2."/>
      <w:lvlJc w:val="left"/>
      <w:pPr>
        <w:ind w:left="1020" w:hanging="360"/>
      </w:pPr>
    </w:lvl>
    <w:lvl w:ilvl="2" w:tplc="D81AF2F8">
      <w:start w:val="1"/>
      <w:numFmt w:val="upperLetter"/>
      <w:lvlText w:val="%3."/>
      <w:lvlJc w:val="left"/>
      <w:pPr>
        <w:ind w:left="1020" w:hanging="360"/>
      </w:pPr>
    </w:lvl>
    <w:lvl w:ilvl="3" w:tplc="DC9ABD46">
      <w:start w:val="1"/>
      <w:numFmt w:val="upperLetter"/>
      <w:lvlText w:val="%4."/>
      <w:lvlJc w:val="left"/>
      <w:pPr>
        <w:ind w:left="1020" w:hanging="360"/>
      </w:pPr>
    </w:lvl>
    <w:lvl w:ilvl="4" w:tplc="DC8EC810">
      <w:start w:val="1"/>
      <w:numFmt w:val="upperLetter"/>
      <w:lvlText w:val="%5."/>
      <w:lvlJc w:val="left"/>
      <w:pPr>
        <w:ind w:left="1020" w:hanging="360"/>
      </w:pPr>
    </w:lvl>
    <w:lvl w:ilvl="5" w:tplc="8578CE9E">
      <w:start w:val="1"/>
      <w:numFmt w:val="upperLetter"/>
      <w:lvlText w:val="%6."/>
      <w:lvlJc w:val="left"/>
      <w:pPr>
        <w:ind w:left="1020" w:hanging="360"/>
      </w:pPr>
    </w:lvl>
    <w:lvl w:ilvl="6" w:tplc="0C38024E">
      <w:start w:val="1"/>
      <w:numFmt w:val="upperLetter"/>
      <w:lvlText w:val="%7."/>
      <w:lvlJc w:val="left"/>
      <w:pPr>
        <w:ind w:left="1020" w:hanging="360"/>
      </w:pPr>
    </w:lvl>
    <w:lvl w:ilvl="7" w:tplc="B43289FC">
      <w:start w:val="1"/>
      <w:numFmt w:val="upperLetter"/>
      <w:lvlText w:val="%8."/>
      <w:lvlJc w:val="left"/>
      <w:pPr>
        <w:ind w:left="1020" w:hanging="360"/>
      </w:pPr>
    </w:lvl>
    <w:lvl w:ilvl="8" w:tplc="32AEA028">
      <w:start w:val="1"/>
      <w:numFmt w:val="upperLetter"/>
      <w:lvlText w:val="%9."/>
      <w:lvlJc w:val="left"/>
      <w:pPr>
        <w:ind w:left="1020" w:hanging="360"/>
      </w:pPr>
    </w:lvl>
  </w:abstractNum>
  <w:abstractNum w:abstractNumId="5" w15:restartNumberingAfterBreak="0">
    <w:nsid w:val="1710655B"/>
    <w:multiLevelType w:val="hybridMultilevel"/>
    <w:tmpl w:val="45449E3E"/>
    <w:lvl w:ilvl="0" w:tplc="4FB8A084">
      <w:start w:val="1"/>
      <w:numFmt w:val="decimal"/>
      <w:lvlText w:val="%1)"/>
      <w:lvlJc w:val="left"/>
      <w:pPr>
        <w:ind w:left="1020" w:hanging="360"/>
      </w:pPr>
    </w:lvl>
    <w:lvl w:ilvl="1" w:tplc="6706AABE">
      <w:start w:val="1"/>
      <w:numFmt w:val="decimal"/>
      <w:lvlText w:val="%2)"/>
      <w:lvlJc w:val="left"/>
      <w:pPr>
        <w:ind w:left="1020" w:hanging="360"/>
      </w:pPr>
    </w:lvl>
    <w:lvl w:ilvl="2" w:tplc="BF48BE4E">
      <w:start w:val="1"/>
      <w:numFmt w:val="decimal"/>
      <w:lvlText w:val="%3)"/>
      <w:lvlJc w:val="left"/>
      <w:pPr>
        <w:ind w:left="1020" w:hanging="360"/>
      </w:pPr>
    </w:lvl>
    <w:lvl w:ilvl="3" w:tplc="5C4070D2">
      <w:start w:val="1"/>
      <w:numFmt w:val="decimal"/>
      <w:lvlText w:val="%4)"/>
      <w:lvlJc w:val="left"/>
      <w:pPr>
        <w:ind w:left="1020" w:hanging="360"/>
      </w:pPr>
    </w:lvl>
    <w:lvl w:ilvl="4" w:tplc="CB52C2E2">
      <w:start w:val="1"/>
      <w:numFmt w:val="decimal"/>
      <w:lvlText w:val="%5)"/>
      <w:lvlJc w:val="left"/>
      <w:pPr>
        <w:ind w:left="1020" w:hanging="360"/>
      </w:pPr>
    </w:lvl>
    <w:lvl w:ilvl="5" w:tplc="F5100EB0">
      <w:start w:val="1"/>
      <w:numFmt w:val="decimal"/>
      <w:lvlText w:val="%6)"/>
      <w:lvlJc w:val="left"/>
      <w:pPr>
        <w:ind w:left="1020" w:hanging="360"/>
      </w:pPr>
    </w:lvl>
    <w:lvl w:ilvl="6" w:tplc="D9FE911E">
      <w:start w:val="1"/>
      <w:numFmt w:val="decimal"/>
      <w:lvlText w:val="%7)"/>
      <w:lvlJc w:val="left"/>
      <w:pPr>
        <w:ind w:left="1020" w:hanging="360"/>
      </w:pPr>
    </w:lvl>
    <w:lvl w:ilvl="7" w:tplc="BAF60644">
      <w:start w:val="1"/>
      <w:numFmt w:val="decimal"/>
      <w:lvlText w:val="%8)"/>
      <w:lvlJc w:val="left"/>
      <w:pPr>
        <w:ind w:left="1020" w:hanging="360"/>
      </w:pPr>
    </w:lvl>
    <w:lvl w:ilvl="8" w:tplc="BD3409AA">
      <w:start w:val="1"/>
      <w:numFmt w:val="decimal"/>
      <w:lvlText w:val="%9)"/>
      <w:lvlJc w:val="left"/>
      <w:pPr>
        <w:ind w:left="1020" w:hanging="360"/>
      </w:pPr>
    </w:lvl>
  </w:abstractNum>
  <w:abstractNum w:abstractNumId="6" w15:restartNumberingAfterBreak="0">
    <w:nsid w:val="1FC1EC7E"/>
    <w:multiLevelType w:val="hybridMultilevel"/>
    <w:tmpl w:val="FFFFFFFF"/>
    <w:lvl w:ilvl="0" w:tplc="BEF2D1E6">
      <w:start w:val="1"/>
      <w:numFmt w:val="bullet"/>
      <w:lvlText w:val=""/>
      <w:lvlJc w:val="left"/>
      <w:pPr>
        <w:ind w:left="720" w:hanging="360"/>
      </w:pPr>
      <w:rPr>
        <w:rFonts w:ascii="Symbol" w:hAnsi="Symbol" w:hint="default"/>
      </w:rPr>
    </w:lvl>
    <w:lvl w:ilvl="1" w:tplc="0CDA8AEE">
      <w:start w:val="1"/>
      <w:numFmt w:val="bullet"/>
      <w:lvlText w:val="o"/>
      <w:lvlJc w:val="left"/>
      <w:pPr>
        <w:ind w:left="1440" w:hanging="360"/>
      </w:pPr>
      <w:rPr>
        <w:rFonts w:ascii="Courier New" w:hAnsi="Courier New" w:hint="default"/>
      </w:rPr>
    </w:lvl>
    <w:lvl w:ilvl="2" w:tplc="61E88DE2">
      <w:start w:val="1"/>
      <w:numFmt w:val="bullet"/>
      <w:lvlText w:val=""/>
      <w:lvlJc w:val="left"/>
      <w:pPr>
        <w:ind w:left="2160" w:hanging="360"/>
      </w:pPr>
      <w:rPr>
        <w:rFonts w:ascii="Wingdings" w:hAnsi="Wingdings" w:hint="default"/>
      </w:rPr>
    </w:lvl>
    <w:lvl w:ilvl="3" w:tplc="7CC636B8">
      <w:start w:val="1"/>
      <w:numFmt w:val="bullet"/>
      <w:lvlText w:val=""/>
      <w:lvlJc w:val="left"/>
      <w:pPr>
        <w:ind w:left="2880" w:hanging="360"/>
      </w:pPr>
      <w:rPr>
        <w:rFonts w:ascii="Symbol" w:hAnsi="Symbol" w:hint="default"/>
      </w:rPr>
    </w:lvl>
    <w:lvl w:ilvl="4" w:tplc="BE903878">
      <w:start w:val="1"/>
      <w:numFmt w:val="bullet"/>
      <w:lvlText w:val="o"/>
      <w:lvlJc w:val="left"/>
      <w:pPr>
        <w:ind w:left="3600" w:hanging="360"/>
      </w:pPr>
      <w:rPr>
        <w:rFonts w:ascii="Courier New" w:hAnsi="Courier New" w:hint="default"/>
      </w:rPr>
    </w:lvl>
    <w:lvl w:ilvl="5" w:tplc="C20CC474">
      <w:start w:val="1"/>
      <w:numFmt w:val="bullet"/>
      <w:lvlText w:val=""/>
      <w:lvlJc w:val="left"/>
      <w:pPr>
        <w:ind w:left="4320" w:hanging="360"/>
      </w:pPr>
      <w:rPr>
        <w:rFonts w:ascii="Wingdings" w:hAnsi="Wingdings" w:hint="default"/>
      </w:rPr>
    </w:lvl>
    <w:lvl w:ilvl="6" w:tplc="49FCAD9E">
      <w:start w:val="1"/>
      <w:numFmt w:val="bullet"/>
      <w:lvlText w:val=""/>
      <w:lvlJc w:val="left"/>
      <w:pPr>
        <w:ind w:left="5040" w:hanging="360"/>
      </w:pPr>
      <w:rPr>
        <w:rFonts w:ascii="Symbol" w:hAnsi="Symbol" w:hint="default"/>
      </w:rPr>
    </w:lvl>
    <w:lvl w:ilvl="7" w:tplc="3BF803DC">
      <w:start w:val="1"/>
      <w:numFmt w:val="bullet"/>
      <w:lvlText w:val="o"/>
      <w:lvlJc w:val="left"/>
      <w:pPr>
        <w:ind w:left="5760" w:hanging="360"/>
      </w:pPr>
      <w:rPr>
        <w:rFonts w:ascii="Courier New" w:hAnsi="Courier New" w:hint="default"/>
      </w:rPr>
    </w:lvl>
    <w:lvl w:ilvl="8" w:tplc="855A3250">
      <w:start w:val="1"/>
      <w:numFmt w:val="bullet"/>
      <w:lvlText w:val=""/>
      <w:lvlJc w:val="left"/>
      <w:pPr>
        <w:ind w:left="6480" w:hanging="360"/>
      </w:pPr>
      <w:rPr>
        <w:rFonts w:ascii="Wingdings" w:hAnsi="Wingdings" w:hint="default"/>
      </w:rPr>
    </w:lvl>
  </w:abstractNum>
  <w:abstractNum w:abstractNumId="7" w15:restartNumberingAfterBreak="0">
    <w:nsid w:val="22FF5168"/>
    <w:multiLevelType w:val="hybridMultilevel"/>
    <w:tmpl w:val="7BAC122A"/>
    <w:lvl w:ilvl="0" w:tplc="4306CCD0">
      <w:start w:val="1"/>
      <w:numFmt w:val="decimal"/>
      <w:lvlText w:val="%1)"/>
      <w:lvlJc w:val="left"/>
      <w:pPr>
        <w:ind w:left="1020" w:hanging="360"/>
      </w:pPr>
    </w:lvl>
    <w:lvl w:ilvl="1" w:tplc="D4823236">
      <w:start w:val="1"/>
      <w:numFmt w:val="decimal"/>
      <w:lvlText w:val="%2)"/>
      <w:lvlJc w:val="left"/>
      <w:pPr>
        <w:ind w:left="1020" w:hanging="360"/>
      </w:pPr>
    </w:lvl>
    <w:lvl w:ilvl="2" w:tplc="A8C88B10">
      <w:start w:val="1"/>
      <w:numFmt w:val="decimal"/>
      <w:lvlText w:val="%3)"/>
      <w:lvlJc w:val="left"/>
      <w:pPr>
        <w:ind w:left="1020" w:hanging="360"/>
      </w:pPr>
    </w:lvl>
    <w:lvl w:ilvl="3" w:tplc="782EE68A">
      <w:start w:val="1"/>
      <w:numFmt w:val="decimal"/>
      <w:lvlText w:val="%4)"/>
      <w:lvlJc w:val="left"/>
      <w:pPr>
        <w:ind w:left="1020" w:hanging="360"/>
      </w:pPr>
    </w:lvl>
    <w:lvl w:ilvl="4" w:tplc="C04233A8">
      <w:start w:val="1"/>
      <w:numFmt w:val="decimal"/>
      <w:lvlText w:val="%5)"/>
      <w:lvlJc w:val="left"/>
      <w:pPr>
        <w:ind w:left="1020" w:hanging="360"/>
      </w:pPr>
    </w:lvl>
    <w:lvl w:ilvl="5" w:tplc="03AAEF38">
      <w:start w:val="1"/>
      <w:numFmt w:val="decimal"/>
      <w:lvlText w:val="%6)"/>
      <w:lvlJc w:val="left"/>
      <w:pPr>
        <w:ind w:left="1020" w:hanging="360"/>
      </w:pPr>
    </w:lvl>
    <w:lvl w:ilvl="6" w:tplc="E29AAFA6">
      <w:start w:val="1"/>
      <w:numFmt w:val="decimal"/>
      <w:lvlText w:val="%7)"/>
      <w:lvlJc w:val="left"/>
      <w:pPr>
        <w:ind w:left="1020" w:hanging="360"/>
      </w:pPr>
    </w:lvl>
    <w:lvl w:ilvl="7" w:tplc="FDE83086">
      <w:start w:val="1"/>
      <w:numFmt w:val="decimal"/>
      <w:lvlText w:val="%8)"/>
      <w:lvlJc w:val="left"/>
      <w:pPr>
        <w:ind w:left="1020" w:hanging="360"/>
      </w:pPr>
    </w:lvl>
    <w:lvl w:ilvl="8" w:tplc="F53E03A8">
      <w:start w:val="1"/>
      <w:numFmt w:val="decimal"/>
      <w:lvlText w:val="%9)"/>
      <w:lvlJc w:val="left"/>
      <w:pPr>
        <w:ind w:left="1020" w:hanging="360"/>
      </w:pPr>
    </w:lvl>
  </w:abstractNum>
  <w:abstractNum w:abstractNumId="8" w15:restartNumberingAfterBreak="0">
    <w:nsid w:val="243F42F9"/>
    <w:multiLevelType w:val="hybridMultilevel"/>
    <w:tmpl w:val="3CA02110"/>
    <w:lvl w:ilvl="0" w:tplc="B48C0BBC">
      <w:start w:val="1"/>
      <w:numFmt w:val="upperLetter"/>
      <w:lvlText w:val="%1."/>
      <w:lvlJc w:val="left"/>
      <w:pPr>
        <w:ind w:left="1020" w:hanging="360"/>
      </w:pPr>
    </w:lvl>
    <w:lvl w:ilvl="1" w:tplc="A24251D2">
      <w:start w:val="1"/>
      <w:numFmt w:val="upperLetter"/>
      <w:lvlText w:val="%2."/>
      <w:lvlJc w:val="left"/>
      <w:pPr>
        <w:ind w:left="1020" w:hanging="360"/>
      </w:pPr>
    </w:lvl>
    <w:lvl w:ilvl="2" w:tplc="5810EC86">
      <w:start w:val="1"/>
      <w:numFmt w:val="upperLetter"/>
      <w:lvlText w:val="%3."/>
      <w:lvlJc w:val="left"/>
      <w:pPr>
        <w:ind w:left="1020" w:hanging="360"/>
      </w:pPr>
    </w:lvl>
    <w:lvl w:ilvl="3" w:tplc="90162B1A">
      <w:start w:val="1"/>
      <w:numFmt w:val="upperLetter"/>
      <w:lvlText w:val="%4."/>
      <w:lvlJc w:val="left"/>
      <w:pPr>
        <w:ind w:left="1020" w:hanging="360"/>
      </w:pPr>
    </w:lvl>
    <w:lvl w:ilvl="4" w:tplc="CD329ADC">
      <w:start w:val="1"/>
      <w:numFmt w:val="upperLetter"/>
      <w:lvlText w:val="%5."/>
      <w:lvlJc w:val="left"/>
      <w:pPr>
        <w:ind w:left="1020" w:hanging="360"/>
      </w:pPr>
    </w:lvl>
    <w:lvl w:ilvl="5" w:tplc="85688222">
      <w:start w:val="1"/>
      <w:numFmt w:val="upperLetter"/>
      <w:lvlText w:val="%6."/>
      <w:lvlJc w:val="left"/>
      <w:pPr>
        <w:ind w:left="1020" w:hanging="360"/>
      </w:pPr>
    </w:lvl>
    <w:lvl w:ilvl="6" w:tplc="D2C8C8A6">
      <w:start w:val="1"/>
      <w:numFmt w:val="upperLetter"/>
      <w:lvlText w:val="%7."/>
      <w:lvlJc w:val="left"/>
      <w:pPr>
        <w:ind w:left="1020" w:hanging="360"/>
      </w:pPr>
    </w:lvl>
    <w:lvl w:ilvl="7" w:tplc="23C2507E">
      <w:start w:val="1"/>
      <w:numFmt w:val="upperLetter"/>
      <w:lvlText w:val="%8."/>
      <w:lvlJc w:val="left"/>
      <w:pPr>
        <w:ind w:left="1020" w:hanging="360"/>
      </w:pPr>
    </w:lvl>
    <w:lvl w:ilvl="8" w:tplc="6794F8C6">
      <w:start w:val="1"/>
      <w:numFmt w:val="upperLetter"/>
      <w:lvlText w:val="%9."/>
      <w:lvlJc w:val="left"/>
      <w:pPr>
        <w:ind w:left="1020" w:hanging="360"/>
      </w:pPr>
    </w:lvl>
  </w:abstractNum>
  <w:abstractNum w:abstractNumId="9" w15:restartNumberingAfterBreak="0">
    <w:nsid w:val="247F5669"/>
    <w:multiLevelType w:val="hybridMultilevel"/>
    <w:tmpl w:val="43127826"/>
    <w:lvl w:ilvl="0" w:tplc="E41E0F6E">
      <w:start w:val="24"/>
      <w:numFmt w:val="decimal"/>
      <w:lvlText w:val="(%1)"/>
      <w:lvlJc w:val="left"/>
      <w:pPr>
        <w:ind w:left="720" w:hanging="360"/>
      </w:pPr>
      <w:rPr>
        <w:rFonts w:eastAsia="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F58BE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4033A0"/>
    <w:multiLevelType w:val="hybridMultilevel"/>
    <w:tmpl w:val="35766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9278BE"/>
    <w:multiLevelType w:val="hybridMultilevel"/>
    <w:tmpl w:val="E822F6E2"/>
    <w:lvl w:ilvl="0" w:tplc="D5F6CD5C">
      <w:start w:val="1"/>
      <w:numFmt w:val="lowerLetter"/>
      <w:lvlText w:val="%1)"/>
      <w:lvlJc w:val="left"/>
      <w:pPr>
        <w:ind w:left="1020" w:hanging="360"/>
      </w:pPr>
    </w:lvl>
    <w:lvl w:ilvl="1" w:tplc="F5820C9C">
      <w:start w:val="1"/>
      <w:numFmt w:val="lowerLetter"/>
      <w:lvlText w:val="%2)"/>
      <w:lvlJc w:val="left"/>
      <w:pPr>
        <w:ind w:left="1020" w:hanging="360"/>
      </w:pPr>
    </w:lvl>
    <w:lvl w:ilvl="2" w:tplc="0E4E10E4">
      <w:start w:val="1"/>
      <w:numFmt w:val="lowerLetter"/>
      <w:lvlText w:val="%3)"/>
      <w:lvlJc w:val="left"/>
      <w:pPr>
        <w:ind w:left="1020" w:hanging="360"/>
      </w:pPr>
    </w:lvl>
    <w:lvl w:ilvl="3" w:tplc="6A18B440">
      <w:start w:val="1"/>
      <w:numFmt w:val="lowerLetter"/>
      <w:lvlText w:val="%4)"/>
      <w:lvlJc w:val="left"/>
      <w:pPr>
        <w:ind w:left="1020" w:hanging="360"/>
      </w:pPr>
    </w:lvl>
    <w:lvl w:ilvl="4" w:tplc="7F78C6DA">
      <w:start w:val="1"/>
      <w:numFmt w:val="lowerLetter"/>
      <w:lvlText w:val="%5)"/>
      <w:lvlJc w:val="left"/>
      <w:pPr>
        <w:ind w:left="1020" w:hanging="360"/>
      </w:pPr>
    </w:lvl>
    <w:lvl w:ilvl="5" w:tplc="3462DA98">
      <w:start w:val="1"/>
      <w:numFmt w:val="lowerLetter"/>
      <w:lvlText w:val="%6)"/>
      <w:lvlJc w:val="left"/>
      <w:pPr>
        <w:ind w:left="1020" w:hanging="360"/>
      </w:pPr>
    </w:lvl>
    <w:lvl w:ilvl="6" w:tplc="BBA8D6C4">
      <w:start w:val="1"/>
      <w:numFmt w:val="lowerLetter"/>
      <w:lvlText w:val="%7)"/>
      <w:lvlJc w:val="left"/>
      <w:pPr>
        <w:ind w:left="1020" w:hanging="360"/>
      </w:pPr>
    </w:lvl>
    <w:lvl w:ilvl="7" w:tplc="CC2C43F2">
      <w:start w:val="1"/>
      <w:numFmt w:val="lowerLetter"/>
      <w:lvlText w:val="%8)"/>
      <w:lvlJc w:val="left"/>
      <w:pPr>
        <w:ind w:left="1020" w:hanging="360"/>
      </w:pPr>
    </w:lvl>
    <w:lvl w:ilvl="8" w:tplc="11B83030">
      <w:start w:val="1"/>
      <w:numFmt w:val="lowerLetter"/>
      <w:lvlText w:val="%9)"/>
      <w:lvlJc w:val="left"/>
      <w:pPr>
        <w:ind w:left="1020" w:hanging="360"/>
      </w:pPr>
    </w:lvl>
  </w:abstractNum>
  <w:abstractNum w:abstractNumId="13" w15:restartNumberingAfterBreak="0">
    <w:nsid w:val="26B53298"/>
    <w:multiLevelType w:val="hybridMultilevel"/>
    <w:tmpl w:val="5E507D3E"/>
    <w:lvl w:ilvl="0" w:tplc="44B086DE">
      <w:start w:val="1"/>
      <w:numFmt w:val="decimal"/>
      <w:lvlText w:val="%1)"/>
      <w:lvlJc w:val="left"/>
      <w:pPr>
        <w:ind w:left="1020" w:hanging="360"/>
      </w:pPr>
    </w:lvl>
    <w:lvl w:ilvl="1" w:tplc="78C46D9C">
      <w:start w:val="1"/>
      <w:numFmt w:val="decimal"/>
      <w:lvlText w:val="%2)"/>
      <w:lvlJc w:val="left"/>
      <w:pPr>
        <w:ind w:left="1020" w:hanging="360"/>
      </w:pPr>
    </w:lvl>
    <w:lvl w:ilvl="2" w:tplc="915E4F8C">
      <w:start w:val="1"/>
      <w:numFmt w:val="decimal"/>
      <w:lvlText w:val="%3)"/>
      <w:lvlJc w:val="left"/>
      <w:pPr>
        <w:ind w:left="1020" w:hanging="360"/>
      </w:pPr>
    </w:lvl>
    <w:lvl w:ilvl="3" w:tplc="3398B284">
      <w:start w:val="1"/>
      <w:numFmt w:val="decimal"/>
      <w:lvlText w:val="%4)"/>
      <w:lvlJc w:val="left"/>
      <w:pPr>
        <w:ind w:left="1020" w:hanging="360"/>
      </w:pPr>
    </w:lvl>
    <w:lvl w:ilvl="4" w:tplc="E1D8BB3E">
      <w:start w:val="1"/>
      <w:numFmt w:val="decimal"/>
      <w:lvlText w:val="%5)"/>
      <w:lvlJc w:val="left"/>
      <w:pPr>
        <w:ind w:left="1020" w:hanging="360"/>
      </w:pPr>
    </w:lvl>
    <w:lvl w:ilvl="5" w:tplc="C00AF1C2">
      <w:start w:val="1"/>
      <w:numFmt w:val="decimal"/>
      <w:lvlText w:val="%6)"/>
      <w:lvlJc w:val="left"/>
      <w:pPr>
        <w:ind w:left="1020" w:hanging="360"/>
      </w:pPr>
    </w:lvl>
    <w:lvl w:ilvl="6" w:tplc="5464ECDA">
      <w:start w:val="1"/>
      <w:numFmt w:val="decimal"/>
      <w:lvlText w:val="%7)"/>
      <w:lvlJc w:val="left"/>
      <w:pPr>
        <w:ind w:left="1020" w:hanging="360"/>
      </w:pPr>
    </w:lvl>
    <w:lvl w:ilvl="7" w:tplc="FFB4619E">
      <w:start w:val="1"/>
      <w:numFmt w:val="decimal"/>
      <w:lvlText w:val="%8)"/>
      <w:lvlJc w:val="left"/>
      <w:pPr>
        <w:ind w:left="1020" w:hanging="360"/>
      </w:pPr>
    </w:lvl>
    <w:lvl w:ilvl="8" w:tplc="774635A4">
      <w:start w:val="1"/>
      <w:numFmt w:val="decimal"/>
      <w:lvlText w:val="%9)"/>
      <w:lvlJc w:val="left"/>
      <w:pPr>
        <w:ind w:left="1020" w:hanging="360"/>
      </w:pPr>
    </w:lvl>
  </w:abstractNum>
  <w:abstractNum w:abstractNumId="14" w15:restartNumberingAfterBreak="0">
    <w:nsid w:val="291D691F"/>
    <w:multiLevelType w:val="hybridMultilevel"/>
    <w:tmpl w:val="3BA216B8"/>
    <w:lvl w:ilvl="0" w:tplc="0A5824B6">
      <w:start w:val="1"/>
      <w:numFmt w:val="lowerLetter"/>
      <w:lvlText w:val="%1)"/>
      <w:lvlJc w:val="left"/>
      <w:pPr>
        <w:ind w:left="720" w:hanging="360"/>
      </w:pPr>
    </w:lvl>
    <w:lvl w:ilvl="1" w:tplc="A7C476B8">
      <w:start w:val="1"/>
      <w:numFmt w:val="lowerLetter"/>
      <w:lvlText w:val="%2)"/>
      <w:lvlJc w:val="left"/>
      <w:pPr>
        <w:ind w:left="720" w:hanging="360"/>
      </w:pPr>
    </w:lvl>
    <w:lvl w:ilvl="2" w:tplc="CC72BAE4">
      <w:start w:val="1"/>
      <w:numFmt w:val="lowerLetter"/>
      <w:lvlText w:val="%3)"/>
      <w:lvlJc w:val="left"/>
      <w:pPr>
        <w:ind w:left="720" w:hanging="360"/>
      </w:pPr>
    </w:lvl>
    <w:lvl w:ilvl="3" w:tplc="3C8E83F4">
      <w:start w:val="1"/>
      <w:numFmt w:val="lowerLetter"/>
      <w:lvlText w:val="%4)"/>
      <w:lvlJc w:val="left"/>
      <w:pPr>
        <w:ind w:left="720" w:hanging="360"/>
      </w:pPr>
    </w:lvl>
    <w:lvl w:ilvl="4" w:tplc="BF56E18C">
      <w:start w:val="1"/>
      <w:numFmt w:val="lowerLetter"/>
      <w:lvlText w:val="%5)"/>
      <w:lvlJc w:val="left"/>
      <w:pPr>
        <w:ind w:left="720" w:hanging="360"/>
      </w:pPr>
    </w:lvl>
    <w:lvl w:ilvl="5" w:tplc="7094743C">
      <w:start w:val="1"/>
      <w:numFmt w:val="lowerLetter"/>
      <w:lvlText w:val="%6)"/>
      <w:lvlJc w:val="left"/>
      <w:pPr>
        <w:ind w:left="720" w:hanging="360"/>
      </w:pPr>
    </w:lvl>
    <w:lvl w:ilvl="6" w:tplc="93B4D8DE">
      <w:start w:val="1"/>
      <w:numFmt w:val="lowerLetter"/>
      <w:lvlText w:val="%7)"/>
      <w:lvlJc w:val="left"/>
      <w:pPr>
        <w:ind w:left="720" w:hanging="360"/>
      </w:pPr>
    </w:lvl>
    <w:lvl w:ilvl="7" w:tplc="3F82ADA2">
      <w:start w:val="1"/>
      <w:numFmt w:val="lowerLetter"/>
      <w:lvlText w:val="%8)"/>
      <w:lvlJc w:val="left"/>
      <w:pPr>
        <w:ind w:left="720" w:hanging="360"/>
      </w:pPr>
    </w:lvl>
    <w:lvl w:ilvl="8" w:tplc="B702453A">
      <w:start w:val="1"/>
      <w:numFmt w:val="lowerLetter"/>
      <w:lvlText w:val="%9)"/>
      <w:lvlJc w:val="left"/>
      <w:pPr>
        <w:ind w:left="720" w:hanging="360"/>
      </w:pPr>
    </w:lvl>
  </w:abstractNum>
  <w:abstractNum w:abstractNumId="15" w15:restartNumberingAfterBreak="0">
    <w:nsid w:val="29D21A48"/>
    <w:multiLevelType w:val="hybridMultilevel"/>
    <w:tmpl w:val="CA86243E"/>
    <w:lvl w:ilvl="0" w:tplc="A19C9088">
      <w:start w:val="1"/>
      <w:numFmt w:val="decimal"/>
      <w:lvlText w:val="%1)"/>
      <w:lvlJc w:val="left"/>
      <w:pPr>
        <w:ind w:left="1020" w:hanging="360"/>
      </w:pPr>
    </w:lvl>
    <w:lvl w:ilvl="1" w:tplc="4D5084A6">
      <w:start w:val="1"/>
      <w:numFmt w:val="decimal"/>
      <w:lvlText w:val="%2)"/>
      <w:lvlJc w:val="left"/>
      <w:pPr>
        <w:ind w:left="1020" w:hanging="360"/>
      </w:pPr>
    </w:lvl>
    <w:lvl w:ilvl="2" w:tplc="5B22B780">
      <w:start w:val="1"/>
      <w:numFmt w:val="decimal"/>
      <w:lvlText w:val="%3)"/>
      <w:lvlJc w:val="left"/>
      <w:pPr>
        <w:ind w:left="1020" w:hanging="360"/>
      </w:pPr>
    </w:lvl>
    <w:lvl w:ilvl="3" w:tplc="52DE8D76">
      <w:start w:val="1"/>
      <w:numFmt w:val="decimal"/>
      <w:lvlText w:val="%4)"/>
      <w:lvlJc w:val="left"/>
      <w:pPr>
        <w:ind w:left="1020" w:hanging="360"/>
      </w:pPr>
    </w:lvl>
    <w:lvl w:ilvl="4" w:tplc="6C02E6A0">
      <w:start w:val="1"/>
      <w:numFmt w:val="decimal"/>
      <w:lvlText w:val="%5)"/>
      <w:lvlJc w:val="left"/>
      <w:pPr>
        <w:ind w:left="1020" w:hanging="360"/>
      </w:pPr>
    </w:lvl>
    <w:lvl w:ilvl="5" w:tplc="4E1843FE">
      <w:start w:val="1"/>
      <w:numFmt w:val="decimal"/>
      <w:lvlText w:val="%6)"/>
      <w:lvlJc w:val="left"/>
      <w:pPr>
        <w:ind w:left="1020" w:hanging="360"/>
      </w:pPr>
    </w:lvl>
    <w:lvl w:ilvl="6" w:tplc="CA16280A">
      <w:start w:val="1"/>
      <w:numFmt w:val="decimal"/>
      <w:lvlText w:val="%7)"/>
      <w:lvlJc w:val="left"/>
      <w:pPr>
        <w:ind w:left="1020" w:hanging="360"/>
      </w:pPr>
    </w:lvl>
    <w:lvl w:ilvl="7" w:tplc="7E0876BE">
      <w:start w:val="1"/>
      <w:numFmt w:val="decimal"/>
      <w:lvlText w:val="%8)"/>
      <w:lvlJc w:val="left"/>
      <w:pPr>
        <w:ind w:left="1020" w:hanging="360"/>
      </w:pPr>
    </w:lvl>
    <w:lvl w:ilvl="8" w:tplc="FB06C24E">
      <w:start w:val="1"/>
      <w:numFmt w:val="decimal"/>
      <w:lvlText w:val="%9)"/>
      <w:lvlJc w:val="left"/>
      <w:pPr>
        <w:ind w:left="1020" w:hanging="360"/>
      </w:pPr>
    </w:lvl>
  </w:abstractNum>
  <w:abstractNum w:abstractNumId="16" w15:restartNumberingAfterBreak="0">
    <w:nsid w:val="451A27C1"/>
    <w:multiLevelType w:val="hybridMultilevel"/>
    <w:tmpl w:val="905A77E0"/>
    <w:lvl w:ilvl="0" w:tplc="3BAA66A0">
      <w:start w:val="1"/>
      <w:numFmt w:val="bullet"/>
      <w:lvlText w:val=""/>
      <w:lvlJc w:val="left"/>
      <w:pPr>
        <w:ind w:left="1080" w:hanging="360"/>
      </w:pPr>
      <w:rPr>
        <w:rFonts w:ascii="Symbol" w:hAnsi="Symbol"/>
      </w:rPr>
    </w:lvl>
    <w:lvl w:ilvl="1" w:tplc="9B429B18">
      <w:start w:val="1"/>
      <w:numFmt w:val="bullet"/>
      <w:lvlText w:val=""/>
      <w:lvlJc w:val="left"/>
      <w:pPr>
        <w:ind w:left="1080" w:hanging="360"/>
      </w:pPr>
      <w:rPr>
        <w:rFonts w:ascii="Symbol" w:hAnsi="Symbol"/>
      </w:rPr>
    </w:lvl>
    <w:lvl w:ilvl="2" w:tplc="97726DD8">
      <w:start w:val="1"/>
      <w:numFmt w:val="bullet"/>
      <w:lvlText w:val=""/>
      <w:lvlJc w:val="left"/>
      <w:pPr>
        <w:ind w:left="1080" w:hanging="360"/>
      </w:pPr>
      <w:rPr>
        <w:rFonts w:ascii="Symbol" w:hAnsi="Symbol"/>
      </w:rPr>
    </w:lvl>
    <w:lvl w:ilvl="3" w:tplc="644887A4">
      <w:start w:val="1"/>
      <w:numFmt w:val="bullet"/>
      <w:lvlText w:val=""/>
      <w:lvlJc w:val="left"/>
      <w:pPr>
        <w:ind w:left="1080" w:hanging="360"/>
      </w:pPr>
      <w:rPr>
        <w:rFonts w:ascii="Symbol" w:hAnsi="Symbol"/>
      </w:rPr>
    </w:lvl>
    <w:lvl w:ilvl="4" w:tplc="26223244">
      <w:start w:val="1"/>
      <w:numFmt w:val="bullet"/>
      <w:lvlText w:val=""/>
      <w:lvlJc w:val="left"/>
      <w:pPr>
        <w:ind w:left="1080" w:hanging="360"/>
      </w:pPr>
      <w:rPr>
        <w:rFonts w:ascii="Symbol" w:hAnsi="Symbol"/>
      </w:rPr>
    </w:lvl>
    <w:lvl w:ilvl="5" w:tplc="AF1A0132">
      <w:start w:val="1"/>
      <w:numFmt w:val="bullet"/>
      <w:lvlText w:val=""/>
      <w:lvlJc w:val="left"/>
      <w:pPr>
        <w:ind w:left="1080" w:hanging="360"/>
      </w:pPr>
      <w:rPr>
        <w:rFonts w:ascii="Symbol" w:hAnsi="Symbol"/>
      </w:rPr>
    </w:lvl>
    <w:lvl w:ilvl="6" w:tplc="3ED0408E">
      <w:start w:val="1"/>
      <w:numFmt w:val="bullet"/>
      <w:lvlText w:val=""/>
      <w:lvlJc w:val="left"/>
      <w:pPr>
        <w:ind w:left="1080" w:hanging="360"/>
      </w:pPr>
      <w:rPr>
        <w:rFonts w:ascii="Symbol" w:hAnsi="Symbol"/>
      </w:rPr>
    </w:lvl>
    <w:lvl w:ilvl="7" w:tplc="0F0C7B6E">
      <w:start w:val="1"/>
      <w:numFmt w:val="bullet"/>
      <w:lvlText w:val=""/>
      <w:lvlJc w:val="left"/>
      <w:pPr>
        <w:ind w:left="1080" w:hanging="360"/>
      </w:pPr>
      <w:rPr>
        <w:rFonts w:ascii="Symbol" w:hAnsi="Symbol"/>
      </w:rPr>
    </w:lvl>
    <w:lvl w:ilvl="8" w:tplc="AFC00B1C">
      <w:start w:val="1"/>
      <w:numFmt w:val="bullet"/>
      <w:lvlText w:val=""/>
      <w:lvlJc w:val="left"/>
      <w:pPr>
        <w:ind w:left="1080" w:hanging="360"/>
      </w:pPr>
      <w:rPr>
        <w:rFonts w:ascii="Symbol" w:hAnsi="Symbol"/>
      </w:rPr>
    </w:lvl>
  </w:abstractNum>
  <w:abstractNum w:abstractNumId="17" w15:restartNumberingAfterBreak="0">
    <w:nsid w:val="4ABF5627"/>
    <w:multiLevelType w:val="hybridMultilevel"/>
    <w:tmpl w:val="D960AFAE"/>
    <w:lvl w:ilvl="0" w:tplc="128E561C">
      <w:start w:val="1"/>
      <w:numFmt w:val="decimal"/>
      <w:lvlText w:val="%1)"/>
      <w:lvlJc w:val="left"/>
      <w:pPr>
        <w:ind w:left="1020" w:hanging="360"/>
      </w:pPr>
    </w:lvl>
    <w:lvl w:ilvl="1" w:tplc="F3FE0FAC">
      <w:start w:val="1"/>
      <w:numFmt w:val="decimal"/>
      <w:lvlText w:val="%2)"/>
      <w:lvlJc w:val="left"/>
      <w:pPr>
        <w:ind w:left="1020" w:hanging="360"/>
      </w:pPr>
    </w:lvl>
    <w:lvl w:ilvl="2" w:tplc="BACA5248">
      <w:start w:val="1"/>
      <w:numFmt w:val="decimal"/>
      <w:lvlText w:val="%3)"/>
      <w:lvlJc w:val="left"/>
      <w:pPr>
        <w:ind w:left="1020" w:hanging="360"/>
      </w:pPr>
    </w:lvl>
    <w:lvl w:ilvl="3" w:tplc="FAEA6802">
      <w:start w:val="1"/>
      <w:numFmt w:val="decimal"/>
      <w:lvlText w:val="%4)"/>
      <w:lvlJc w:val="left"/>
      <w:pPr>
        <w:ind w:left="1020" w:hanging="360"/>
      </w:pPr>
    </w:lvl>
    <w:lvl w:ilvl="4" w:tplc="9E60614C">
      <w:start w:val="1"/>
      <w:numFmt w:val="decimal"/>
      <w:lvlText w:val="%5)"/>
      <w:lvlJc w:val="left"/>
      <w:pPr>
        <w:ind w:left="1020" w:hanging="360"/>
      </w:pPr>
    </w:lvl>
    <w:lvl w:ilvl="5" w:tplc="2BA6C2E8">
      <w:start w:val="1"/>
      <w:numFmt w:val="decimal"/>
      <w:lvlText w:val="%6)"/>
      <w:lvlJc w:val="left"/>
      <w:pPr>
        <w:ind w:left="1020" w:hanging="360"/>
      </w:pPr>
    </w:lvl>
    <w:lvl w:ilvl="6" w:tplc="EA5EB308">
      <w:start w:val="1"/>
      <w:numFmt w:val="decimal"/>
      <w:lvlText w:val="%7)"/>
      <w:lvlJc w:val="left"/>
      <w:pPr>
        <w:ind w:left="1020" w:hanging="360"/>
      </w:pPr>
    </w:lvl>
    <w:lvl w:ilvl="7" w:tplc="D8ACEB0E">
      <w:start w:val="1"/>
      <w:numFmt w:val="decimal"/>
      <w:lvlText w:val="%8)"/>
      <w:lvlJc w:val="left"/>
      <w:pPr>
        <w:ind w:left="1020" w:hanging="360"/>
      </w:pPr>
    </w:lvl>
    <w:lvl w:ilvl="8" w:tplc="110A0AC2">
      <w:start w:val="1"/>
      <w:numFmt w:val="decimal"/>
      <w:lvlText w:val="%9)"/>
      <w:lvlJc w:val="left"/>
      <w:pPr>
        <w:ind w:left="1020" w:hanging="360"/>
      </w:pPr>
    </w:lvl>
  </w:abstractNum>
  <w:abstractNum w:abstractNumId="18" w15:restartNumberingAfterBreak="0">
    <w:nsid w:val="55B3F242"/>
    <w:multiLevelType w:val="hybridMultilevel"/>
    <w:tmpl w:val="FFFFFFFF"/>
    <w:lvl w:ilvl="0" w:tplc="AA32C9D0">
      <w:start w:val="1"/>
      <w:numFmt w:val="bullet"/>
      <w:lvlText w:val="·"/>
      <w:lvlJc w:val="left"/>
      <w:pPr>
        <w:ind w:left="720" w:hanging="360"/>
      </w:pPr>
      <w:rPr>
        <w:rFonts w:ascii="Symbol" w:hAnsi="Symbol" w:hint="default"/>
      </w:rPr>
    </w:lvl>
    <w:lvl w:ilvl="1" w:tplc="AFCA555C">
      <w:start w:val="1"/>
      <w:numFmt w:val="bullet"/>
      <w:lvlText w:val="o"/>
      <w:lvlJc w:val="left"/>
      <w:pPr>
        <w:ind w:left="1440" w:hanging="360"/>
      </w:pPr>
      <w:rPr>
        <w:rFonts w:ascii="Courier New" w:hAnsi="Courier New" w:hint="default"/>
      </w:rPr>
    </w:lvl>
    <w:lvl w:ilvl="2" w:tplc="332A56F0">
      <w:start w:val="1"/>
      <w:numFmt w:val="bullet"/>
      <w:lvlText w:val=""/>
      <w:lvlJc w:val="left"/>
      <w:pPr>
        <w:ind w:left="2160" w:hanging="360"/>
      </w:pPr>
      <w:rPr>
        <w:rFonts w:ascii="Wingdings" w:hAnsi="Wingdings" w:hint="default"/>
      </w:rPr>
    </w:lvl>
    <w:lvl w:ilvl="3" w:tplc="895634BA">
      <w:start w:val="1"/>
      <w:numFmt w:val="bullet"/>
      <w:lvlText w:val=""/>
      <w:lvlJc w:val="left"/>
      <w:pPr>
        <w:ind w:left="2880" w:hanging="360"/>
      </w:pPr>
      <w:rPr>
        <w:rFonts w:ascii="Symbol" w:hAnsi="Symbol" w:hint="default"/>
      </w:rPr>
    </w:lvl>
    <w:lvl w:ilvl="4" w:tplc="15CC9B10">
      <w:start w:val="1"/>
      <w:numFmt w:val="bullet"/>
      <w:lvlText w:val="o"/>
      <w:lvlJc w:val="left"/>
      <w:pPr>
        <w:ind w:left="3600" w:hanging="360"/>
      </w:pPr>
      <w:rPr>
        <w:rFonts w:ascii="Courier New" w:hAnsi="Courier New" w:hint="default"/>
      </w:rPr>
    </w:lvl>
    <w:lvl w:ilvl="5" w:tplc="6088CF06">
      <w:start w:val="1"/>
      <w:numFmt w:val="bullet"/>
      <w:lvlText w:val=""/>
      <w:lvlJc w:val="left"/>
      <w:pPr>
        <w:ind w:left="4320" w:hanging="360"/>
      </w:pPr>
      <w:rPr>
        <w:rFonts w:ascii="Wingdings" w:hAnsi="Wingdings" w:hint="default"/>
      </w:rPr>
    </w:lvl>
    <w:lvl w:ilvl="6" w:tplc="A83CAFE8">
      <w:start w:val="1"/>
      <w:numFmt w:val="bullet"/>
      <w:lvlText w:val=""/>
      <w:lvlJc w:val="left"/>
      <w:pPr>
        <w:ind w:left="5040" w:hanging="360"/>
      </w:pPr>
      <w:rPr>
        <w:rFonts w:ascii="Symbol" w:hAnsi="Symbol" w:hint="default"/>
      </w:rPr>
    </w:lvl>
    <w:lvl w:ilvl="7" w:tplc="D5EAEF32">
      <w:start w:val="1"/>
      <w:numFmt w:val="bullet"/>
      <w:lvlText w:val="o"/>
      <w:lvlJc w:val="left"/>
      <w:pPr>
        <w:ind w:left="5760" w:hanging="360"/>
      </w:pPr>
      <w:rPr>
        <w:rFonts w:ascii="Courier New" w:hAnsi="Courier New" w:hint="default"/>
      </w:rPr>
    </w:lvl>
    <w:lvl w:ilvl="8" w:tplc="0D608CA6">
      <w:start w:val="1"/>
      <w:numFmt w:val="bullet"/>
      <w:lvlText w:val=""/>
      <w:lvlJc w:val="left"/>
      <w:pPr>
        <w:ind w:left="6480" w:hanging="360"/>
      </w:pPr>
      <w:rPr>
        <w:rFonts w:ascii="Wingdings" w:hAnsi="Wingdings" w:hint="default"/>
      </w:rPr>
    </w:lvl>
  </w:abstractNum>
  <w:abstractNum w:abstractNumId="19" w15:restartNumberingAfterBreak="0">
    <w:nsid w:val="586F66DD"/>
    <w:multiLevelType w:val="hybridMultilevel"/>
    <w:tmpl w:val="047A0200"/>
    <w:lvl w:ilvl="0" w:tplc="3B34B616">
      <w:start w:val="1"/>
      <w:numFmt w:val="decimal"/>
      <w:lvlText w:val="%1)"/>
      <w:lvlJc w:val="left"/>
      <w:pPr>
        <w:ind w:left="720" w:hanging="360"/>
      </w:pPr>
    </w:lvl>
    <w:lvl w:ilvl="1" w:tplc="E3D2841A">
      <w:start w:val="1"/>
      <w:numFmt w:val="decimal"/>
      <w:lvlText w:val="%2)"/>
      <w:lvlJc w:val="left"/>
      <w:pPr>
        <w:ind w:left="720" w:hanging="360"/>
      </w:pPr>
    </w:lvl>
    <w:lvl w:ilvl="2" w:tplc="53F08A9C">
      <w:start w:val="1"/>
      <w:numFmt w:val="decimal"/>
      <w:lvlText w:val="%3)"/>
      <w:lvlJc w:val="left"/>
      <w:pPr>
        <w:ind w:left="720" w:hanging="360"/>
      </w:pPr>
    </w:lvl>
    <w:lvl w:ilvl="3" w:tplc="07A0EAAC">
      <w:start w:val="1"/>
      <w:numFmt w:val="decimal"/>
      <w:lvlText w:val="%4)"/>
      <w:lvlJc w:val="left"/>
      <w:pPr>
        <w:ind w:left="720" w:hanging="360"/>
      </w:pPr>
    </w:lvl>
    <w:lvl w:ilvl="4" w:tplc="8A927BD2">
      <w:start w:val="1"/>
      <w:numFmt w:val="decimal"/>
      <w:lvlText w:val="%5)"/>
      <w:lvlJc w:val="left"/>
      <w:pPr>
        <w:ind w:left="720" w:hanging="360"/>
      </w:pPr>
    </w:lvl>
    <w:lvl w:ilvl="5" w:tplc="BBAC41A6">
      <w:start w:val="1"/>
      <w:numFmt w:val="decimal"/>
      <w:lvlText w:val="%6)"/>
      <w:lvlJc w:val="left"/>
      <w:pPr>
        <w:ind w:left="720" w:hanging="360"/>
      </w:pPr>
    </w:lvl>
    <w:lvl w:ilvl="6" w:tplc="FF608F8C">
      <w:start w:val="1"/>
      <w:numFmt w:val="decimal"/>
      <w:lvlText w:val="%7)"/>
      <w:lvlJc w:val="left"/>
      <w:pPr>
        <w:ind w:left="720" w:hanging="360"/>
      </w:pPr>
    </w:lvl>
    <w:lvl w:ilvl="7" w:tplc="9948087C">
      <w:start w:val="1"/>
      <w:numFmt w:val="decimal"/>
      <w:lvlText w:val="%8)"/>
      <w:lvlJc w:val="left"/>
      <w:pPr>
        <w:ind w:left="720" w:hanging="360"/>
      </w:pPr>
    </w:lvl>
    <w:lvl w:ilvl="8" w:tplc="EC9CB1EA">
      <w:start w:val="1"/>
      <w:numFmt w:val="decimal"/>
      <w:lvlText w:val="%9)"/>
      <w:lvlJc w:val="left"/>
      <w:pPr>
        <w:ind w:left="720" w:hanging="360"/>
      </w:pPr>
    </w:lvl>
  </w:abstractNum>
  <w:abstractNum w:abstractNumId="20" w15:restartNumberingAfterBreak="0">
    <w:nsid w:val="5BB97FF7"/>
    <w:multiLevelType w:val="hybridMultilevel"/>
    <w:tmpl w:val="18C8F386"/>
    <w:lvl w:ilvl="0" w:tplc="137005FE">
      <w:start w:val="1"/>
      <w:numFmt w:val="decimal"/>
      <w:lvlText w:val="%1)"/>
      <w:lvlJc w:val="left"/>
      <w:pPr>
        <w:ind w:left="720" w:hanging="360"/>
      </w:pPr>
    </w:lvl>
    <w:lvl w:ilvl="1" w:tplc="5C163BEA">
      <w:start w:val="1"/>
      <w:numFmt w:val="decimal"/>
      <w:lvlText w:val="%2)"/>
      <w:lvlJc w:val="left"/>
      <w:pPr>
        <w:ind w:left="720" w:hanging="360"/>
      </w:pPr>
    </w:lvl>
    <w:lvl w:ilvl="2" w:tplc="F7F40E4C">
      <w:start w:val="1"/>
      <w:numFmt w:val="decimal"/>
      <w:lvlText w:val="%3)"/>
      <w:lvlJc w:val="left"/>
      <w:pPr>
        <w:ind w:left="720" w:hanging="360"/>
      </w:pPr>
    </w:lvl>
    <w:lvl w:ilvl="3" w:tplc="C3D8B0E6">
      <w:start w:val="1"/>
      <w:numFmt w:val="decimal"/>
      <w:lvlText w:val="%4)"/>
      <w:lvlJc w:val="left"/>
      <w:pPr>
        <w:ind w:left="720" w:hanging="360"/>
      </w:pPr>
    </w:lvl>
    <w:lvl w:ilvl="4" w:tplc="F6E44506">
      <w:start w:val="1"/>
      <w:numFmt w:val="decimal"/>
      <w:lvlText w:val="%5)"/>
      <w:lvlJc w:val="left"/>
      <w:pPr>
        <w:ind w:left="720" w:hanging="360"/>
      </w:pPr>
    </w:lvl>
    <w:lvl w:ilvl="5" w:tplc="7C206C20">
      <w:start w:val="1"/>
      <w:numFmt w:val="decimal"/>
      <w:lvlText w:val="%6)"/>
      <w:lvlJc w:val="left"/>
      <w:pPr>
        <w:ind w:left="720" w:hanging="360"/>
      </w:pPr>
    </w:lvl>
    <w:lvl w:ilvl="6" w:tplc="9D3227CE">
      <w:start w:val="1"/>
      <w:numFmt w:val="decimal"/>
      <w:lvlText w:val="%7)"/>
      <w:lvlJc w:val="left"/>
      <w:pPr>
        <w:ind w:left="720" w:hanging="360"/>
      </w:pPr>
    </w:lvl>
    <w:lvl w:ilvl="7" w:tplc="7D92B616">
      <w:start w:val="1"/>
      <w:numFmt w:val="decimal"/>
      <w:lvlText w:val="%8)"/>
      <w:lvlJc w:val="left"/>
      <w:pPr>
        <w:ind w:left="720" w:hanging="360"/>
      </w:pPr>
    </w:lvl>
    <w:lvl w:ilvl="8" w:tplc="EE829892">
      <w:start w:val="1"/>
      <w:numFmt w:val="decimal"/>
      <w:lvlText w:val="%9)"/>
      <w:lvlJc w:val="left"/>
      <w:pPr>
        <w:ind w:left="720" w:hanging="360"/>
      </w:pPr>
    </w:lvl>
  </w:abstractNum>
  <w:abstractNum w:abstractNumId="21" w15:restartNumberingAfterBreak="0">
    <w:nsid w:val="5BD25632"/>
    <w:multiLevelType w:val="hybridMultilevel"/>
    <w:tmpl w:val="F8207904"/>
    <w:lvl w:ilvl="0" w:tplc="1D3252B6">
      <w:start w:val="1"/>
      <w:numFmt w:val="bullet"/>
      <w:lvlText w:val=""/>
      <w:lvlJc w:val="left"/>
      <w:pPr>
        <w:ind w:left="1080" w:hanging="360"/>
      </w:pPr>
      <w:rPr>
        <w:rFonts w:ascii="Symbol" w:hAnsi="Symbol"/>
      </w:rPr>
    </w:lvl>
    <w:lvl w:ilvl="1" w:tplc="6B9E123C">
      <w:start w:val="1"/>
      <w:numFmt w:val="bullet"/>
      <w:lvlText w:val=""/>
      <w:lvlJc w:val="left"/>
      <w:pPr>
        <w:ind w:left="1080" w:hanging="360"/>
      </w:pPr>
      <w:rPr>
        <w:rFonts w:ascii="Symbol" w:hAnsi="Symbol"/>
      </w:rPr>
    </w:lvl>
    <w:lvl w:ilvl="2" w:tplc="F5DCB306">
      <w:start w:val="1"/>
      <w:numFmt w:val="bullet"/>
      <w:lvlText w:val=""/>
      <w:lvlJc w:val="left"/>
      <w:pPr>
        <w:ind w:left="1080" w:hanging="360"/>
      </w:pPr>
      <w:rPr>
        <w:rFonts w:ascii="Symbol" w:hAnsi="Symbol"/>
      </w:rPr>
    </w:lvl>
    <w:lvl w:ilvl="3" w:tplc="89FE7F4A">
      <w:start w:val="1"/>
      <w:numFmt w:val="bullet"/>
      <w:lvlText w:val=""/>
      <w:lvlJc w:val="left"/>
      <w:pPr>
        <w:ind w:left="1080" w:hanging="360"/>
      </w:pPr>
      <w:rPr>
        <w:rFonts w:ascii="Symbol" w:hAnsi="Symbol"/>
      </w:rPr>
    </w:lvl>
    <w:lvl w:ilvl="4" w:tplc="B0CAECEE">
      <w:start w:val="1"/>
      <w:numFmt w:val="bullet"/>
      <w:lvlText w:val=""/>
      <w:lvlJc w:val="left"/>
      <w:pPr>
        <w:ind w:left="1080" w:hanging="360"/>
      </w:pPr>
      <w:rPr>
        <w:rFonts w:ascii="Symbol" w:hAnsi="Symbol"/>
      </w:rPr>
    </w:lvl>
    <w:lvl w:ilvl="5" w:tplc="282A22C2">
      <w:start w:val="1"/>
      <w:numFmt w:val="bullet"/>
      <w:lvlText w:val=""/>
      <w:lvlJc w:val="left"/>
      <w:pPr>
        <w:ind w:left="1080" w:hanging="360"/>
      </w:pPr>
      <w:rPr>
        <w:rFonts w:ascii="Symbol" w:hAnsi="Symbol"/>
      </w:rPr>
    </w:lvl>
    <w:lvl w:ilvl="6" w:tplc="B454A3E6">
      <w:start w:val="1"/>
      <w:numFmt w:val="bullet"/>
      <w:lvlText w:val=""/>
      <w:lvlJc w:val="left"/>
      <w:pPr>
        <w:ind w:left="1080" w:hanging="360"/>
      </w:pPr>
      <w:rPr>
        <w:rFonts w:ascii="Symbol" w:hAnsi="Symbol"/>
      </w:rPr>
    </w:lvl>
    <w:lvl w:ilvl="7" w:tplc="1910F5BA">
      <w:start w:val="1"/>
      <w:numFmt w:val="bullet"/>
      <w:lvlText w:val=""/>
      <w:lvlJc w:val="left"/>
      <w:pPr>
        <w:ind w:left="1080" w:hanging="360"/>
      </w:pPr>
      <w:rPr>
        <w:rFonts w:ascii="Symbol" w:hAnsi="Symbol"/>
      </w:rPr>
    </w:lvl>
    <w:lvl w:ilvl="8" w:tplc="60921494">
      <w:start w:val="1"/>
      <w:numFmt w:val="bullet"/>
      <w:lvlText w:val=""/>
      <w:lvlJc w:val="left"/>
      <w:pPr>
        <w:ind w:left="1080" w:hanging="360"/>
      </w:pPr>
      <w:rPr>
        <w:rFonts w:ascii="Symbol" w:hAnsi="Symbol"/>
      </w:rPr>
    </w:lvl>
  </w:abstractNum>
  <w:abstractNum w:abstractNumId="22" w15:restartNumberingAfterBreak="0">
    <w:nsid w:val="6271666E"/>
    <w:multiLevelType w:val="hybridMultilevel"/>
    <w:tmpl w:val="C55E252E"/>
    <w:lvl w:ilvl="0" w:tplc="E0A013E0">
      <w:start w:val="1"/>
      <w:numFmt w:val="decimal"/>
      <w:lvlText w:val="%1)"/>
      <w:lvlJc w:val="left"/>
      <w:pPr>
        <w:ind w:left="1020" w:hanging="360"/>
      </w:pPr>
    </w:lvl>
    <w:lvl w:ilvl="1" w:tplc="B7C48F6C">
      <w:start w:val="1"/>
      <w:numFmt w:val="decimal"/>
      <w:lvlText w:val="%2)"/>
      <w:lvlJc w:val="left"/>
      <w:pPr>
        <w:ind w:left="1020" w:hanging="360"/>
      </w:pPr>
    </w:lvl>
    <w:lvl w:ilvl="2" w:tplc="A87C3432">
      <w:start w:val="1"/>
      <w:numFmt w:val="decimal"/>
      <w:lvlText w:val="%3)"/>
      <w:lvlJc w:val="left"/>
      <w:pPr>
        <w:ind w:left="1020" w:hanging="360"/>
      </w:pPr>
    </w:lvl>
    <w:lvl w:ilvl="3" w:tplc="CD7C8F14">
      <w:start w:val="1"/>
      <w:numFmt w:val="decimal"/>
      <w:lvlText w:val="%4)"/>
      <w:lvlJc w:val="left"/>
      <w:pPr>
        <w:ind w:left="1020" w:hanging="360"/>
      </w:pPr>
    </w:lvl>
    <w:lvl w:ilvl="4" w:tplc="9762F7E2">
      <w:start w:val="1"/>
      <w:numFmt w:val="decimal"/>
      <w:lvlText w:val="%5)"/>
      <w:lvlJc w:val="left"/>
      <w:pPr>
        <w:ind w:left="1020" w:hanging="360"/>
      </w:pPr>
    </w:lvl>
    <w:lvl w:ilvl="5" w:tplc="53C4201A">
      <w:start w:val="1"/>
      <w:numFmt w:val="decimal"/>
      <w:lvlText w:val="%6)"/>
      <w:lvlJc w:val="left"/>
      <w:pPr>
        <w:ind w:left="1020" w:hanging="360"/>
      </w:pPr>
    </w:lvl>
    <w:lvl w:ilvl="6" w:tplc="C952F342">
      <w:start w:val="1"/>
      <w:numFmt w:val="decimal"/>
      <w:lvlText w:val="%7)"/>
      <w:lvlJc w:val="left"/>
      <w:pPr>
        <w:ind w:left="1020" w:hanging="360"/>
      </w:pPr>
    </w:lvl>
    <w:lvl w:ilvl="7" w:tplc="ED1A872C">
      <w:start w:val="1"/>
      <w:numFmt w:val="decimal"/>
      <w:lvlText w:val="%8)"/>
      <w:lvlJc w:val="left"/>
      <w:pPr>
        <w:ind w:left="1020" w:hanging="360"/>
      </w:pPr>
    </w:lvl>
    <w:lvl w:ilvl="8" w:tplc="2EA037BA">
      <w:start w:val="1"/>
      <w:numFmt w:val="decimal"/>
      <w:lvlText w:val="%9)"/>
      <w:lvlJc w:val="left"/>
      <w:pPr>
        <w:ind w:left="1020" w:hanging="360"/>
      </w:pPr>
    </w:lvl>
  </w:abstractNum>
  <w:abstractNum w:abstractNumId="23" w15:restartNumberingAfterBreak="0">
    <w:nsid w:val="645B52B0"/>
    <w:multiLevelType w:val="hybridMultilevel"/>
    <w:tmpl w:val="E1C4C418"/>
    <w:lvl w:ilvl="0" w:tplc="82D49D94">
      <w:start w:val="1"/>
      <w:numFmt w:val="upperLetter"/>
      <w:lvlText w:val="%1."/>
      <w:lvlJc w:val="left"/>
      <w:pPr>
        <w:ind w:left="1020" w:hanging="360"/>
      </w:pPr>
    </w:lvl>
    <w:lvl w:ilvl="1" w:tplc="BFB05FF0">
      <w:start w:val="1"/>
      <w:numFmt w:val="upperLetter"/>
      <w:lvlText w:val="%2."/>
      <w:lvlJc w:val="left"/>
      <w:pPr>
        <w:ind w:left="1020" w:hanging="360"/>
      </w:pPr>
    </w:lvl>
    <w:lvl w:ilvl="2" w:tplc="FEAA6086">
      <w:start w:val="1"/>
      <w:numFmt w:val="upperLetter"/>
      <w:lvlText w:val="%3."/>
      <w:lvlJc w:val="left"/>
      <w:pPr>
        <w:ind w:left="1020" w:hanging="360"/>
      </w:pPr>
    </w:lvl>
    <w:lvl w:ilvl="3" w:tplc="667E563E">
      <w:start w:val="1"/>
      <w:numFmt w:val="upperLetter"/>
      <w:lvlText w:val="%4."/>
      <w:lvlJc w:val="left"/>
      <w:pPr>
        <w:ind w:left="1020" w:hanging="360"/>
      </w:pPr>
    </w:lvl>
    <w:lvl w:ilvl="4" w:tplc="1DF24C66">
      <w:start w:val="1"/>
      <w:numFmt w:val="upperLetter"/>
      <w:lvlText w:val="%5."/>
      <w:lvlJc w:val="left"/>
      <w:pPr>
        <w:ind w:left="1020" w:hanging="360"/>
      </w:pPr>
    </w:lvl>
    <w:lvl w:ilvl="5" w:tplc="357C3BD4">
      <w:start w:val="1"/>
      <w:numFmt w:val="upperLetter"/>
      <w:lvlText w:val="%6."/>
      <w:lvlJc w:val="left"/>
      <w:pPr>
        <w:ind w:left="1020" w:hanging="360"/>
      </w:pPr>
    </w:lvl>
    <w:lvl w:ilvl="6" w:tplc="B1EC23D2">
      <w:start w:val="1"/>
      <w:numFmt w:val="upperLetter"/>
      <w:lvlText w:val="%7."/>
      <w:lvlJc w:val="left"/>
      <w:pPr>
        <w:ind w:left="1020" w:hanging="360"/>
      </w:pPr>
    </w:lvl>
    <w:lvl w:ilvl="7" w:tplc="7744E6FC">
      <w:start w:val="1"/>
      <w:numFmt w:val="upperLetter"/>
      <w:lvlText w:val="%8."/>
      <w:lvlJc w:val="left"/>
      <w:pPr>
        <w:ind w:left="1020" w:hanging="360"/>
      </w:pPr>
    </w:lvl>
    <w:lvl w:ilvl="8" w:tplc="F920E988">
      <w:start w:val="1"/>
      <w:numFmt w:val="upperLetter"/>
      <w:lvlText w:val="%9."/>
      <w:lvlJc w:val="left"/>
      <w:pPr>
        <w:ind w:left="1020" w:hanging="360"/>
      </w:pPr>
    </w:lvl>
  </w:abstractNum>
  <w:abstractNum w:abstractNumId="24" w15:restartNumberingAfterBreak="0">
    <w:nsid w:val="66BE02D7"/>
    <w:multiLevelType w:val="hybridMultilevel"/>
    <w:tmpl w:val="4224D9A4"/>
    <w:lvl w:ilvl="0" w:tplc="F19A21E2">
      <w:start w:val="1"/>
      <w:numFmt w:val="decimal"/>
      <w:lvlText w:val="%1."/>
      <w:lvlJc w:val="left"/>
      <w:pPr>
        <w:ind w:left="720" w:hanging="360"/>
      </w:pPr>
    </w:lvl>
    <w:lvl w:ilvl="1" w:tplc="34E8F19E">
      <w:start w:val="1"/>
      <w:numFmt w:val="lowerLetter"/>
      <w:lvlText w:val="%2."/>
      <w:lvlJc w:val="left"/>
      <w:pPr>
        <w:ind w:left="1440" w:hanging="360"/>
      </w:pPr>
    </w:lvl>
    <w:lvl w:ilvl="2" w:tplc="EDA8DDB4">
      <w:start w:val="1"/>
      <w:numFmt w:val="lowerRoman"/>
      <w:lvlText w:val="%3."/>
      <w:lvlJc w:val="right"/>
      <w:pPr>
        <w:ind w:left="2160" w:hanging="180"/>
      </w:pPr>
    </w:lvl>
    <w:lvl w:ilvl="3" w:tplc="C326304E">
      <w:start w:val="1"/>
      <w:numFmt w:val="decimal"/>
      <w:lvlText w:val="%4."/>
      <w:lvlJc w:val="left"/>
      <w:pPr>
        <w:ind w:left="2880" w:hanging="360"/>
      </w:pPr>
    </w:lvl>
    <w:lvl w:ilvl="4" w:tplc="79088554">
      <w:start w:val="1"/>
      <w:numFmt w:val="lowerLetter"/>
      <w:lvlText w:val="%5."/>
      <w:lvlJc w:val="left"/>
      <w:pPr>
        <w:ind w:left="3600" w:hanging="360"/>
      </w:pPr>
    </w:lvl>
    <w:lvl w:ilvl="5" w:tplc="75886170">
      <w:start w:val="1"/>
      <w:numFmt w:val="lowerRoman"/>
      <w:lvlText w:val="%6."/>
      <w:lvlJc w:val="right"/>
      <w:pPr>
        <w:ind w:left="4320" w:hanging="180"/>
      </w:pPr>
    </w:lvl>
    <w:lvl w:ilvl="6" w:tplc="9986466C">
      <w:start w:val="1"/>
      <w:numFmt w:val="decimal"/>
      <w:lvlText w:val="%7."/>
      <w:lvlJc w:val="left"/>
      <w:pPr>
        <w:ind w:left="5040" w:hanging="360"/>
      </w:pPr>
    </w:lvl>
    <w:lvl w:ilvl="7" w:tplc="F4DC43BA">
      <w:start w:val="1"/>
      <w:numFmt w:val="lowerLetter"/>
      <w:lvlText w:val="%8."/>
      <w:lvlJc w:val="left"/>
      <w:pPr>
        <w:ind w:left="5760" w:hanging="360"/>
      </w:pPr>
    </w:lvl>
    <w:lvl w:ilvl="8" w:tplc="C78243F8">
      <w:start w:val="1"/>
      <w:numFmt w:val="lowerRoman"/>
      <w:lvlText w:val="%9."/>
      <w:lvlJc w:val="right"/>
      <w:pPr>
        <w:ind w:left="6480" w:hanging="180"/>
      </w:pPr>
    </w:lvl>
  </w:abstractNum>
  <w:abstractNum w:abstractNumId="25" w15:restartNumberingAfterBreak="0">
    <w:nsid w:val="673F2A21"/>
    <w:multiLevelType w:val="hybridMultilevel"/>
    <w:tmpl w:val="FC120A9A"/>
    <w:lvl w:ilvl="0" w:tplc="15746572">
      <w:start w:val="1"/>
      <w:numFmt w:val="bullet"/>
      <w:lvlText w:val=""/>
      <w:lvlJc w:val="left"/>
      <w:pPr>
        <w:ind w:left="1800" w:hanging="360"/>
      </w:pPr>
      <w:rPr>
        <w:rFonts w:ascii="Symbol" w:hAnsi="Symbol"/>
      </w:rPr>
    </w:lvl>
    <w:lvl w:ilvl="1" w:tplc="6390FA0A">
      <w:start w:val="1"/>
      <w:numFmt w:val="bullet"/>
      <w:lvlText w:val=""/>
      <w:lvlJc w:val="left"/>
      <w:pPr>
        <w:ind w:left="1800" w:hanging="360"/>
      </w:pPr>
      <w:rPr>
        <w:rFonts w:ascii="Symbol" w:hAnsi="Symbol"/>
      </w:rPr>
    </w:lvl>
    <w:lvl w:ilvl="2" w:tplc="0AFA76EC">
      <w:start w:val="1"/>
      <w:numFmt w:val="bullet"/>
      <w:lvlText w:val=""/>
      <w:lvlJc w:val="left"/>
      <w:pPr>
        <w:ind w:left="1800" w:hanging="360"/>
      </w:pPr>
      <w:rPr>
        <w:rFonts w:ascii="Symbol" w:hAnsi="Symbol"/>
      </w:rPr>
    </w:lvl>
    <w:lvl w:ilvl="3" w:tplc="A8EA8AC6">
      <w:start w:val="1"/>
      <w:numFmt w:val="bullet"/>
      <w:lvlText w:val=""/>
      <w:lvlJc w:val="left"/>
      <w:pPr>
        <w:ind w:left="1800" w:hanging="360"/>
      </w:pPr>
      <w:rPr>
        <w:rFonts w:ascii="Symbol" w:hAnsi="Symbol"/>
      </w:rPr>
    </w:lvl>
    <w:lvl w:ilvl="4" w:tplc="5A9EBAFE">
      <w:start w:val="1"/>
      <w:numFmt w:val="bullet"/>
      <w:lvlText w:val=""/>
      <w:lvlJc w:val="left"/>
      <w:pPr>
        <w:ind w:left="1800" w:hanging="360"/>
      </w:pPr>
      <w:rPr>
        <w:rFonts w:ascii="Symbol" w:hAnsi="Symbol"/>
      </w:rPr>
    </w:lvl>
    <w:lvl w:ilvl="5" w:tplc="46B63D02">
      <w:start w:val="1"/>
      <w:numFmt w:val="bullet"/>
      <w:lvlText w:val=""/>
      <w:lvlJc w:val="left"/>
      <w:pPr>
        <w:ind w:left="1800" w:hanging="360"/>
      </w:pPr>
      <w:rPr>
        <w:rFonts w:ascii="Symbol" w:hAnsi="Symbol"/>
      </w:rPr>
    </w:lvl>
    <w:lvl w:ilvl="6" w:tplc="0390E2B4">
      <w:start w:val="1"/>
      <w:numFmt w:val="bullet"/>
      <w:lvlText w:val=""/>
      <w:lvlJc w:val="left"/>
      <w:pPr>
        <w:ind w:left="1800" w:hanging="360"/>
      </w:pPr>
      <w:rPr>
        <w:rFonts w:ascii="Symbol" w:hAnsi="Symbol"/>
      </w:rPr>
    </w:lvl>
    <w:lvl w:ilvl="7" w:tplc="989C4534">
      <w:start w:val="1"/>
      <w:numFmt w:val="bullet"/>
      <w:lvlText w:val=""/>
      <w:lvlJc w:val="left"/>
      <w:pPr>
        <w:ind w:left="1800" w:hanging="360"/>
      </w:pPr>
      <w:rPr>
        <w:rFonts w:ascii="Symbol" w:hAnsi="Symbol"/>
      </w:rPr>
    </w:lvl>
    <w:lvl w:ilvl="8" w:tplc="5F6AFC20">
      <w:start w:val="1"/>
      <w:numFmt w:val="bullet"/>
      <w:lvlText w:val=""/>
      <w:lvlJc w:val="left"/>
      <w:pPr>
        <w:ind w:left="1800" w:hanging="360"/>
      </w:pPr>
      <w:rPr>
        <w:rFonts w:ascii="Symbol" w:hAnsi="Symbol"/>
      </w:rPr>
    </w:lvl>
  </w:abstractNum>
  <w:abstractNum w:abstractNumId="26" w15:restartNumberingAfterBreak="0">
    <w:nsid w:val="6B270E81"/>
    <w:multiLevelType w:val="hybridMultilevel"/>
    <w:tmpl w:val="35766A3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5897BC2"/>
    <w:multiLevelType w:val="hybridMultilevel"/>
    <w:tmpl w:val="CCC4F702"/>
    <w:lvl w:ilvl="0" w:tplc="8E90A0F6">
      <w:start w:val="3"/>
      <w:numFmt w:val="decimal"/>
      <w:lvlText w:val="%1."/>
      <w:lvlJc w:val="left"/>
      <w:pPr>
        <w:ind w:left="720" w:hanging="360"/>
      </w:pPr>
    </w:lvl>
    <w:lvl w:ilvl="1" w:tplc="917A910C">
      <w:start w:val="1"/>
      <w:numFmt w:val="lowerLetter"/>
      <w:lvlText w:val="%2."/>
      <w:lvlJc w:val="left"/>
      <w:pPr>
        <w:ind w:left="1440" w:hanging="360"/>
      </w:pPr>
    </w:lvl>
    <w:lvl w:ilvl="2" w:tplc="00040D34">
      <w:start w:val="1"/>
      <w:numFmt w:val="lowerRoman"/>
      <w:lvlText w:val="%3."/>
      <w:lvlJc w:val="right"/>
      <w:pPr>
        <w:ind w:left="2160" w:hanging="180"/>
      </w:pPr>
    </w:lvl>
    <w:lvl w:ilvl="3" w:tplc="FC36635A">
      <w:start w:val="1"/>
      <w:numFmt w:val="decimal"/>
      <w:lvlText w:val="%4."/>
      <w:lvlJc w:val="left"/>
      <w:pPr>
        <w:ind w:left="2880" w:hanging="360"/>
      </w:pPr>
    </w:lvl>
    <w:lvl w:ilvl="4" w:tplc="02BEA676">
      <w:start w:val="1"/>
      <w:numFmt w:val="lowerLetter"/>
      <w:lvlText w:val="%5."/>
      <w:lvlJc w:val="left"/>
      <w:pPr>
        <w:ind w:left="3600" w:hanging="360"/>
      </w:pPr>
    </w:lvl>
    <w:lvl w:ilvl="5" w:tplc="94E2116E">
      <w:start w:val="1"/>
      <w:numFmt w:val="lowerRoman"/>
      <w:lvlText w:val="%6."/>
      <w:lvlJc w:val="right"/>
      <w:pPr>
        <w:ind w:left="4320" w:hanging="180"/>
      </w:pPr>
    </w:lvl>
    <w:lvl w:ilvl="6" w:tplc="1660A688">
      <w:start w:val="1"/>
      <w:numFmt w:val="decimal"/>
      <w:lvlText w:val="%7."/>
      <w:lvlJc w:val="left"/>
      <w:pPr>
        <w:ind w:left="5040" w:hanging="360"/>
      </w:pPr>
    </w:lvl>
    <w:lvl w:ilvl="7" w:tplc="5F909342">
      <w:start w:val="1"/>
      <w:numFmt w:val="lowerLetter"/>
      <w:lvlText w:val="%8."/>
      <w:lvlJc w:val="left"/>
      <w:pPr>
        <w:ind w:left="5760" w:hanging="360"/>
      </w:pPr>
    </w:lvl>
    <w:lvl w:ilvl="8" w:tplc="C9541202">
      <w:start w:val="1"/>
      <w:numFmt w:val="lowerRoman"/>
      <w:lvlText w:val="%9."/>
      <w:lvlJc w:val="right"/>
      <w:pPr>
        <w:ind w:left="6480" w:hanging="180"/>
      </w:pPr>
    </w:lvl>
  </w:abstractNum>
  <w:abstractNum w:abstractNumId="28" w15:restartNumberingAfterBreak="0">
    <w:nsid w:val="766A1B3E"/>
    <w:multiLevelType w:val="hybridMultilevel"/>
    <w:tmpl w:val="BCD82024"/>
    <w:lvl w:ilvl="0" w:tplc="8F2C2E5E">
      <w:start w:val="1"/>
      <w:numFmt w:val="decimal"/>
      <w:lvlText w:val="%1)"/>
      <w:lvlJc w:val="left"/>
      <w:pPr>
        <w:ind w:left="1020" w:hanging="360"/>
      </w:pPr>
    </w:lvl>
    <w:lvl w:ilvl="1" w:tplc="13CE3EB6">
      <w:start w:val="1"/>
      <w:numFmt w:val="decimal"/>
      <w:lvlText w:val="%2)"/>
      <w:lvlJc w:val="left"/>
      <w:pPr>
        <w:ind w:left="1020" w:hanging="360"/>
      </w:pPr>
    </w:lvl>
    <w:lvl w:ilvl="2" w:tplc="3F88B614">
      <w:start w:val="1"/>
      <w:numFmt w:val="decimal"/>
      <w:lvlText w:val="%3)"/>
      <w:lvlJc w:val="left"/>
      <w:pPr>
        <w:ind w:left="1020" w:hanging="360"/>
      </w:pPr>
    </w:lvl>
    <w:lvl w:ilvl="3" w:tplc="BFA6B9AA">
      <w:start w:val="1"/>
      <w:numFmt w:val="decimal"/>
      <w:lvlText w:val="%4)"/>
      <w:lvlJc w:val="left"/>
      <w:pPr>
        <w:ind w:left="1020" w:hanging="360"/>
      </w:pPr>
    </w:lvl>
    <w:lvl w:ilvl="4" w:tplc="4E20A8EA">
      <w:start w:val="1"/>
      <w:numFmt w:val="decimal"/>
      <w:lvlText w:val="%5)"/>
      <w:lvlJc w:val="left"/>
      <w:pPr>
        <w:ind w:left="1020" w:hanging="360"/>
      </w:pPr>
    </w:lvl>
    <w:lvl w:ilvl="5" w:tplc="99F26FC0">
      <w:start w:val="1"/>
      <w:numFmt w:val="decimal"/>
      <w:lvlText w:val="%6)"/>
      <w:lvlJc w:val="left"/>
      <w:pPr>
        <w:ind w:left="1020" w:hanging="360"/>
      </w:pPr>
    </w:lvl>
    <w:lvl w:ilvl="6" w:tplc="A55AF1E2">
      <w:start w:val="1"/>
      <w:numFmt w:val="decimal"/>
      <w:lvlText w:val="%7)"/>
      <w:lvlJc w:val="left"/>
      <w:pPr>
        <w:ind w:left="1020" w:hanging="360"/>
      </w:pPr>
    </w:lvl>
    <w:lvl w:ilvl="7" w:tplc="0B8AF824">
      <w:start w:val="1"/>
      <w:numFmt w:val="decimal"/>
      <w:lvlText w:val="%8)"/>
      <w:lvlJc w:val="left"/>
      <w:pPr>
        <w:ind w:left="1020" w:hanging="360"/>
      </w:pPr>
    </w:lvl>
    <w:lvl w:ilvl="8" w:tplc="0924266C">
      <w:start w:val="1"/>
      <w:numFmt w:val="decimal"/>
      <w:lvlText w:val="%9)"/>
      <w:lvlJc w:val="left"/>
      <w:pPr>
        <w:ind w:left="1020" w:hanging="360"/>
      </w:pPr>
    </w:lvl>
  </w:abstractNum>
  <w:abstractNum w:abstractNumId="29" w15:restartNumberingAfterBreak="0">
    <w:nsid w:val="7B3447F1"/>
    <w:multiLevelType w:val="multilevel"/>
    <w:tmpl w:val="55C49C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BC04EB4"/>
    <w:multiLevelType w:val="hybridMultilevel"/>
    <w:tmpl w:val="50C27ED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E656D59"/>
    <w:multiLevelType w:val="hybridMultilevel"/>
    <w:tmpl w:val="5DF02942"/>
    <w:lvl w:ilvl="0" w:tplc="30E2B226">
      <w:start w:val="2"/>
      <w:numFmt w:val="decimal"/>
      <w:lvlText w:val="%1."/>
      <w:lvlJc w:val="left"/>
      <w:pPr>
        <w:ind w:left="720" w:hanging="360"/>
      </w:pPr>
    </w:lvl>
    <w:lvl w:ilvl="1" w:tplc="03C2970E">
      <w:start w:val="1"/>
      <w:numFmt w:val="lowerLetter"/>
      <w:lvlText w:val="%2."/>
      <w:lvlJc w:val="left"/>
      <w:pPr>
        <w:ind w:left="1440" w:hanging="360"/>
      </w:pPr>
    </w:lvl>
    <w:lvl w:ilvl="2" w:tplc="8EB07D4C">
      <w:start w:val="1"/>
      <w:numFmt w:val="lowerRoman"/>
      <w:lvlText w:val="%3."/>
      <w:lvlJc w:val="right"/>
      <w:pPr>
        <w:ind w:left="2160" w:hanging="180"/>
      </w:pPr>
    </w:lvl>
    <w:lvl w:ilvl="3" w:tplc="66229028">
      <w:start w:val="1"/>
      <w:numFmt w:val="decimal"/>
      <w:lvlText w:val="%4."/>
      <w:lvlJc w:val="left"/>
      <w:pPr>
        <w:ind w:left="2880" w:hanging="360"/>
      </w:pPr>
    </w:lvl>
    <w:lvl w:ilvl="4" w:tplc="CC3A757E">
      <w:start w:val="1"/>
      <w:numFmt w:val="lowerLetter"/>
      <w:lvlText w:val="%5."/>
      <w:lvlJc w:val="left"/>
      <w:pPr>
        <w:ind w:left="3600" w:hanging="360"/>
      </w:pPr>
    </w:lvl>
    <w:lvl w:ilvl="5" w:tplc="FA4CF650">
      <w:start w:val="1"/>
      <w:numFmt w:val="lowerRoman"/>
      <w:lvlText w:val="%6."/>
      <w:lvlJc w:val="right"/>
      <w:pPr>
        <w:ind w:left="4320" w:hanging="180"/>
      </w:pPr>
    </w:lvl>
    <w:lvl w:ilvl="6" w:tplc="F772576C">
      <w:start w:val="1"/>
      <w:numFmt w:val="decimal"/>
      <w:lvlText w:val="%7."/>
      <w:lvlJc w:val="left"/>
      <w:pPr>
        <w:ind w:left="5040" w:hanging="360"/>
      </w:pPr>
    </w:lvl>
    <w:lvl w:ilvl="7" w:tplc="2B7C7C2C">
      <w:start w:val="1"/>
      <w:numFmt w:val="lowerLetter"/>
      <w:lvlText w:val="%8."/>
      <w:lvlJc w:val="left"/>
      <w:pPr>
        <w:ind w:left="5760" w:hanging="360"/>
      </w:pPr>
    </w:lvl>
    <w:lvl w:ilvl="8" w:tplc="29809C76">
      <w:start w:val="1"/>
      <w:numFmt w:val="lowerRoman"/>
      <w:lvlText w:val="%9."/>
      <w:lvlJc w:val="right"/>
      <w:pPr>
        <w:ind w:left="6480" w:hanging="180"/>
      </w:pPr>
    </w:lvl>
  </w:abstractNum>
  <w:num w:numId="1" w16cid:durableId="1546020992">
    <w:abstractNumId w:val="10"/>
  </w:num>
  <w:num w:numId="2" w16cid:durableId="2111195890">
    <w:abstractNumId w:val="5"/>
  </w:num>
  <w:num w:numId="3" w16cid:durableId="1971552036">
    <w:abstractNumId w:val="0"/>
  </w:num>
  <w:num w:numId="4" w16cid:durableId="1764036385">
    <w:abstractNumId w:val="15"/>
  </w:num>
  <w:num w:numId="5" w16cid:durableId="77674113">
    <w:abstractNumId w:val="19"/>
  </w:num>
  <w:num w:numId="6" w16cid:durableId="336229487">
    <w:abstractNumId w:val="13"/>
  </w:num>
  <w:num w:numId="7" w16cid:durableId="1406537644">
    <w:abstractNumId w:val="9"/>
  </w:num>
  <w:num w:numId="8" w16cid:durableId="315260023">
    <w:abstractNumId w:val="14"/>
  </w:num>
  <w:num w:numId="9" w16cid:durableId="691153749">
    <w:abstractNumId w:val="22"/>
  </w:num>
  <w:num w:numId="10" w16cid:durableId="1698970180">
    <w:abstractNumId w:val="30"/>
  </w:num>
  <w:num w:numId="11" w16cid:durableId="1656908256">
    <w:abstractNumId w:val="21"/>
  </w:num>
  <w:num w:numId="12" w16cid:durableId="971862978">
    <w:abstractNumId w:val="26"/>
  </w:num>
  <w:num w:numId="13" w16cid:durableId="64974823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5357561">
    <w:abstractNumId w:val="11"/>
  </w:num>
  <w:num w:numId="15" w16cid:durableId="1066219676">
    <w:abstractNumId w:val="7"/>
  </w:num>
  <w:num w:numId="16" w16cid:durableId="1307661926">
    <w:abstractNumId w:val="20"/>
  </w:num>
  <w:num w:numId="17" w16cid:durableId="1963070108">
    <w:abstractNumId w:val="25"/>
  </w:num>
  <w:num w:numId="18" w16cid:durableId="1448966048">
    <w:abstractNumId w:val="16"/>
  </w:num>
  <w:num w:numId="19" w16cid:durableId="772897486">
    <w:abstractNumId w:val="28"/>
  </w:num>
  <w:num w:numId="20" w16cid:durableId="2053769862">
    <w:abstractNumId w:val="27"/>
  </w:num>
  <w:num w:numId="21" w16cid:durableId="352996571">
    <w:abstractNumId w:val="31"/>
  </w:num>
  <w:num w:numId="22" w16cid:durableId="1770392257">
    <w:abstractNumId w:val="24"/>
  </w:num>
  <w:num w:numId="23" w16cid:durableId="266932553">
    <w:abstractNumId w:val="17"/>
  </w:num>
  <w:num w:numId="24" w16cid:durableId="1958875476">
    <w:abstractNumId w:val="12"/>
  </w:num>
  <w:num w:numId="25" w16cid:durableId="1343970293">
    <w:abstractNumId w:val="3"/>
  </w:num>
  <w:num w:numId="26" w16cid:durableId="1627271389">
    <w:abstractNumId w:val="18"/>
  </w:num>
  <w:num w:numId="27" w16cid:durableId="1283607617">
    <w:abstractNumId w:val="6"/>
  </w:num>
  <w:num w:numId="28" w16cid:durableId="1537113705">
    <w:abstractNumId w:val="2"/>
  </w:num>
  <w:num w:numId="29" w16cid:durableId="1278871184">
    <w:abstractNumId w:val="23"/>
  </w:num>
  <w:num w:numId="30" w16cid:durableId="1512142980">
    <w:abstractNumId w:val="4"/>
  </w:num>
  <w:num w:numId="31" w16cid:durableId="1026171479">
    <w:abstractNumId w:val="1"/>
  </w:num>
  <w:num w:numId="32" w16cid:durableId="61232529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fr-FR" w:vendorID="64" w:dllVersion="0" w:nlCheck="1" w:checkStyle="0"/>
  <w:activeWritingStyle w:appName="MSWord" w:lang="en-US" w:vendorID="64" w:dllVersion="0" w:nlCheck="1" w:checkStyle="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78F"/>
    <w:rsid w:val="00000055"/>
    <w:rsid w:val="00000082"/>
    <w:rsid w:val="00000088"/>
    <w:rsid w:val="0000009A"/>
    <w:rsid w:val="000000AC"/>
    <w:rsid w:val="000000B1"/>
    <w:rsid w:val="0000019F"/>
    <w:rsid w:val="0000027C"/>
    <w:rsid w:val="00000416"/>
    <w:rsid w:val="00000439"/>
    <w:rsid w:val="00000474"/>
    <w:rsid w:val="00000475"/>
    <w:rsid w:val="000005BF"/>
    <w:rsid w:val="00000645"/>
    <w:rsid w:val="00000647"/>
    <w:rsid w:val="000006B6"/>
    <w:rsid w:val="00000797"/>
    <w:rsid w:val="0000079B"/>
    <w:rsid w:val="000007A9"/>
    <w:rsid w:val="000007C4"/>
    <w:rsid w:val="0000084C"/>
    <w:rsid w:val="000008B8"/>
    <w:rsid w:val="00000A9F"/>
    <w:rsid w:val="00000B9C"/>
    <w:rsid w:val="00000C22"/>
    <w:rsid w:val="00000D2F"/>
    <w:rsid w:val="00000D45"/>
    <w:rsid w:val="00000D4E"/>
    <w:rsid w:val="00000D5B"/>
    <w:rsid w:val="00000E19"/>
    <w:rsid w:val="00000EF5"/>
    <w:rsid w:val="00000FA9"/>
    <w:rsid w:val="00001092"/>
    <w:rsid w:val="000011E2"/>
    <w:rsid w:val="00001203"/>
    <w:rsid w:val="00001223"/>
    <w:rsid w:val="0000127F"/>
    <w:rsid w:val="000012B7"/>
    <w:rsid w:val="0000133B"/>
    <w:rsid w:val="00001353"/>
    <w:rsid w:val="000014CD"/>
    <w:rsid w:val="00001667"/>
    <w:rsid w:val="000016C0"/>
    <w:rsid w:val="000016E5"/>
    <w:rsid w:val="00001726"/>
    <w:rsid w:val="00001784"/>
    <w:rsid w:val="000017BD"/>
    <w:rsid w:val="000017C9"/>
    <w:rsid w:val="0000180B"/>
    <w:rsid w:val="00001973"/>
    <w:rsid w:val="000019ED"/>
    <w:rsid w:val="00001A1F"/>
    <w:rsid w:val="00001A72"/>
    <w:rsid w:val="00001AC8"/>
    <w:rsid w:val="00001B1E"/>
    <w:rsid w:val="00001BA1"/>
    <w:rsid w:val="00001D64"/>
    <w:rsid w:val="00001E82"/>
    <w:rsid w:val="00001E8F"/>
    <w:rsid w:val="00001E9F"/>
    <w:rsid w:val="00001F3F"/>
    <w:rsid w:val="00001F43"/>
    <w:rsid w:val="00001F97"/>
    <w:rsid w:val="00001FF1"/>
    <w:rsid w:val="0000201E"/>
    <w:rsid w:val="0000203B"/>
    <w:rsid w:val="00002199"/>
    <w:rsid w:val="0000228C"/>
    <w:rsid w:val="0000254C"/>
    <w:rsid w:val="00002578"/>
    <w:rsid w:val="00002594"/>
    <w:rsid w:val="0000259A"/>
    <w:rsid w:val="000025CA"/>
    <w:rsid w:val="000025FA"/>
    <w:rsid w:val="0000267F"/>
    <w:rsid w:val="00002774"/>
    <w:rsid w:val="000027FC"/>
    <w:rsid w:val="00002A47"/>
    <w:rsid w:val="00002A8C"/>
    <w:rsid w:val="00002B82"/>
    <w:rsid w:val="00002BBE"/>
    <w:rsid w:val="00002BDD"/>
    <w:rsid w:val="00002D25"/>
    <w:rsid w:val="00002D48"/>
    <w:rsid w:val="00002D86"/>
    <w:rsid w:val="00002E27"/>
    <w:rsid w:val="00002E84"/>
    <w:rsid w:val="00002EB9"/>
    <w:rsid w:val="00002EFF"/>
    <w:rsid w:val="00002FA0"/>
    <w:rsid w:val="00003032"/>
    <w:rsid w:val="0000306D"/>
    <w:rsid w:val="00003170"/>
    <w:rsid w:val="000031B2"/>
    <w:rsid w:val="0000320D"/>
    <w:rsid w:val="000032F9"/>
    <w:rsid w:val="00003431"/>
    <w:rsid w:val="000034A4"/>
    <w:rsid w:val="000035A4"/>
    <w:rsid w:val="0000366F"/>
    <w:rsid w:val="000037C6"/>
    <w:rsid w:val="000037FE"/>
    <w:rsid w:val="0000389C"/>
    <w:rsid w:val="000038E1"/>
    <w:rsid w:val="00003A19"/>
    <w:rsid w:val="00003A45"/>
    <w:rsid w:val="00003A64"/>
    <w:rsid w:val="00003AC3"/>
    <w:rsid w:val="00003ADA"/>
    <w:rsid w:val="00003D39"/>
    <w:rsid w:val="00003E8C"/>
    <w:rsid w:val="00003EF3"/>
    <w:rsid w:val="00003F01"/>
    <w:rsid w:val="00003F2B"/>
    <w:rsid w:val="00003F42"/>
    <w:rsid w:val="00003F5E"/>
    <w:rsid w:val="00003F87"/>
    <w:rsid w:val="00003FE6"/>
    <w:rsid w:val="00004087"/>
    <w:rsid w:val="000040C1"/>
    <w:rsid w:val="000040C3"/>
    <w:rsid w:val="00004108"/>
    <w:rsid w:val="00004140"/>
    <w:rsid w:val="000041BF"/>
    <w:rsid w:val="00004219"/>
    <w:rsid w:val="00004296"/>
    <w:rsid w:val="00004317"/>
    <w:rsid w:val="00004358"/>
    <w:rsid w:val="00004384"/>
    <w:rsid w:val="00004409"/>
    <w:rsid w:val="00004441"/>
    <w:rsid w:val="00004448"/>
    <w:rsid w:val="0000446C"/>
    <w:rsid w:val="000044AE"/>
    <w:rsid w:val="000044E2"/>
    <w:rsid w:val="000044EB"/>
    <w:rsid w:val="00004537"/>
    <w:rsid w:val="00004639"/>
    <w:rsid w:val="00004721"/>
    <w:rsid w:val="0000487F"/>
    <w:rsid w:val="00004915"/>
    <w:rsid w:val="0000495E"/>
    <w:rsid w:val="00004989"/>
    <w:rsid w:val="0000499A"/>
    <w:rsid w:val="00004B87"/>
    <w:rsid w:val="00004BA2"/>
    <w:rsid w:val="00004BED"/>
    <w:rsid w:val="00004C26"/>
    <w:rsid w:val="00004D27"/>
    <w:rsid w:val="00004D4E"/>
    <w:rsid w:val="00004E3A"/>
    <w:rsid w:val="00004F7C"/>
    <w:rsid w:val="00004FE6"/>
    <w:rsid w:val="00005055"/>
    <w:rsid w:val="00005081"/>
    <w:rsid w:val="00005178"/>
    <w:rsid w:val="000051ED"/>
    <w:rsid w:val="0000526D"/>
    <w:rsid w:val="000052AD"/>
    <w:rsid w:val="000053BE"/>
    <w:rsid w:val="000053FB"/>
    <w:rsid w:val="00005429"/>
    <w:rsid w:val="00005437"/>
    <w:rsid w:val="0000547E"/>
    <w:rsid w:val="000054E1"/>
    <w:rsid w:val="0000551C"/>
    <w:rsid w:val="000056E6"/>
    <w:rsid w:val="0000582B"/>
    <w:rsid w:val="0000586E"/>
    <w:rsid w:val="00005906"/>
    <w:rsid w:val="00005918"/>
    <w:rsid w:val="0000599E"/>
    <w:rsid w:val="000059D1"/>
    <w:rsid w:val="000059D5"/>
    <w:rsid w:val="00005A32"/>
    <w:rsid w:val="00005AA0"/>
    <w:rsid w:val="00005B66"/>
    <w:rsid w:val="00005BA3"/>
    <w:rsid w:val="00005E42"/>
    <w:rsid w:val="00006002"/>
    <w:rsid w:val="0000604B"/>
    <w:rsid w:val="00006096"/>
    <w:rsid w:val="00006229"/>
    <w:rsid w:val="00006302"/>
    <w:rsid w:val="00006316"/>
    <w:rsid w:val="00006318"/>
    <w:rsid w:val="0000635D"/>
    <w:rsid w:val="00006408"/>
    <w:rsid w:val="00006479"/>
    <w:rsid w:val="0000649E"/>
    <w:rsid w:val="000064EF"/>
    <w:rsid w:val="00006539"/>
    <w:rsid w:val="00006596"/>
    <w:rsid w:val="000065D8"/>
    <w:rsid w:val="00006762"/>
    <w:rsid w:val="00006873"/>
    <w:rsid w:val="00006985"/>
    <w:rsid w:val="000069C6"/>
    <w:rsid w:val="000069EE"/>
    <w:rsid w:val="00006ACA"/>
    <w:rsid w:val="00006C03"/>
    <w:rsid w:val="00006C0D"/>
    <w:rsid w:val="00006CEC"/>
    <w:rsid w:val="00006D73"/>
    <w:rsid w:val="00006D7F"/>
    <w:rsid w:val="00006DBC"/>
    <w:rsid w:val="00006E5C"/>
    <w:rsid w:val="00006EAF"/>
    <w:rsid w:val="00006F8A"/>
    <w:rsid w:val="00007155"/>
    <w:rsid w:val="00007160"/>
    <w:rsid w:val="00007174"/>
    <w:rsid w:val="00007184"/>
    <w:rsid w:val="0000719D"/>
    <w:rsid w:val="00007298"/>
    <w:rsid w:val="00007347"/>
    <w:rsid w:val="00007600"/>
    <w:rsid w:val="00007678"/>
    <w:rsid w:val="00007745"/>
    <w:rsid w:val="000077B7"/>
    <w:rsid w:val="0000787B"/>
    <w:rsid w:val="000078B7"/>
    <w:rsid w:val="00007953"/>
    <w:rsid w:val="0000796A"/>
    <w:rsid w:val="00007A61"/>
    <w:rsid w:val="00007B36"/>
    <w:rsid w:val="00007B45"/>
    <w:rsid w:val="00007BE5"/>
    <w:rsid w:val="00007BFC"/>
    <w:rsid w:val="00007DCE"/>
    <w:rsid w:val="00007E38"/>
    <w:rsid w:val="00007F2E"/>
    <w:rsid w:val="00007F5F"/>
    <w:rsid w:val="00007FCC"/>
    <w:rsid w:val="0000AA74"/>
    <w:rsid w:val="0000B8A1"/>
    <w:rsid w:val="00010004"/>
    <w:rsid w:val="0001008D"/>
    <w:rsid w:val="000100B1"/>
    <w:rsid w:val="000100DE"/>
    <w:rsid w:val="000100EF"/>
    <w:rsid w:val="0001012D"/>
    <w:rsid w:val="000101A5"/>
    <w:rsid w:val="00010274"/>
    <w:rsid w:val="00010276"/>
    <w:rsid w:val="00010282"/>
    <w:rsid w:val="000102AE"/>
    <w:rsid w:val="00010439"/>
    <w:rsid w:val="000105BA"/>
    <w:rsid w:val="000105EF"/>
    <w:rsid w:val="0001060C"/>
    <w:rsid w:val="0001060F"/>
    <w:rsid w:val="00010678"/>
    <w:rsid w:val="00010697"/>
    <w:rsid w:val="000107A3"/>
    <w:rsid w:val="00010838"/>
    <w:rsid w:val="000108B0"/>
    <w:rsid w:val="00010972"/>
    <w:rsid w:val="00010A26"/>
    <w:rsid w:val="00010AE6"/>
    <w:rsid w:val="00010B21"/>
    <w:rsid w:val="00010BCC"/>
    <w:rsid w:val="00010BED"/>
    <w:rsid w:val="00010CBE"/>
    <w:rsid w:val="00010D18"/>
    <w:rsid w:val="00010DDB"/>
    <w:rsid w:val="00010DE3"/>
    <w:rsid w:val="00010E86"/>
    <w:rsid w:val="00010F75"/>
    <w:rsid w:val="00010FC6"/>
    <w:rsid w:val="000110E0"/>
    <w:rsid w:val="0001117A"/>
    <w:rsid w:val="0001117E"/>
    <w:rsid w:val="00011196"/>
    <w:rsid w:val="00011199"/>
    <w:rsid w:val="0001119F"/>
    <w:rsid w:val="0001122F"/>
    <w:rsid w:val="000112CF"/>
    <w:rsid w:val="000112F5"/>
    <w:rsid w:val="00011322"/>
    <w:rsid w:val="00011341"/>
    <w:rsid w:val="0001148D"/>
    <w:rsid w:val="000114D3"/>
    <w:rsid w:val="000114D5"/>
    <w:rsid w:val="000114E5"/>
    <w:rsid w:val="00011635"/>
    <w:rsid w:val="0001168E"/>
    <w:rsid w:val="0001177F"/>
    <w:rsid w:val="00011863"/>
    <w:rsid w:val="0001188C"/>
    <w:rsid w:val="0001198B"/>
    <w:rsid w:val="00011A7B"/>
    <w:rsid w:val="00011AF1"/>
    <w:rsid w:val="00011B71"/>
    <w:rsid w:val="00011BE9"/>
    <w:rsid w:val="00011CA4"/>
    <w:rsid w:val="00011E3E"/>
    <w:rsid w:val="00011E63"/>
    <w:rsid w:val="00012061"/>
    <w:rsid w:val="000120B4"/>
    <w:rsid w:val="00012319"/>
    <w:rsid w:val="000123BD"/>
    <w:rsid w:val="000123E3"/>
    <w:rsid w:val="0001243E"/>
    <w:rsid w:val="000124C4"/>
    <w:rsid w:val="000124D7"/>
    <w:rsid w:val="0001259B"/>
    <w:rsid w:val="0001259C"/>
    <w:rsid w:val="000126E2"/>
    <w:rsid w:val="00012704"/>
    <w:rsid w:val="00012708"/>
    <w:rsid w:val="00012741"/>
    <w:rsid w:val="00012987"/>
    <w:rsid w:val="00012AB3"/>
    <w:rsid w:val="00012B3F"/>
    <w:rsid w:val="00012B45"/>
    <w:rsid w:val="00012BD5"/>
    <w:rsid w:val="00012C36"/>
    <w:rsid w:val="00012DF8"/>
    <w:rsid w:val="00012E05"/>
    <w:rsid w:val="00012FA1"/>
    <w:rsid w:val="00013064"/>
    <w:rsid w:val="0001321F"/>
    <w:rsid w:val="000132A1"/>
    <w:rsid w:val="000132A6"/>
    <w:rsid w:val="00013373"/>
    <w:rsid w:val="000133C2"/>
    <w:rsid w:val="00013527"/>
    <w:rsid w:val="00013531"/>
    <w:rsid w:val="000135AD"/>
    <w:rsid w:val="0001366A"/>
    <w:rsid w:val="00013690"/>
    <w:rsid w:val="00013827"/>
    <w:rsid w:val="00013987"/>
    <w:rsid w:val="00013A52"/>
    <w:rsid w:val="00013A67"/>
    <w:rsid w:val="00013A6A"/>
    <w:rsid w:val="00013A7C"/>
    <w:rsid w:val="00013B31"/>
    <w:rsid w:val="00013B49"/>
    <w:rsid w:val="00013B50"/>
    <w:rsid w:val="00013BC8"/>
    <w:rsid w:val="00013C82"/>
    <w:rsid w:val="00013D20"/>
    <w:rsid w:val="00013D26"/>
    <w:rsid w:val="00013DBA"/>
    <w:rsid w:val="00013E60"/>
    <w:rsid w:val="00013F8E"/>
    <w:rsid w:val="00014118"/>
    <w:rsid w:val="000141E7"/>
    <w:rsid w:val="00014209"/>
    <w:rsid w:val="0001421C"/>
    <w:rsid w:val="0001421D"/>
    <w:rsid w:val="00014228"/>
    <w:rsid w:val="000142CC"/>
    <w:rsid w:val="00014308"/>
    <w:rsid w:val="0001433C"/>
    <w:rsid w:val="0001433F"/>
    <w:rsid w:val="000143AF"/>
    <w:rsid w:val="00014489"/>
    <w:rsid w:val="000144F9"/>
    <w:rsid w:val="000145A4"/>
    <w:rsid w:val="000145B7"/>
    <w:rsid w:val="0001464A"/>
    <w:rsid w:val="00014682"/>
    <w:rsid w:val="000146D3"/>
    <w:rsid w:val="0001478B"/>
    <w:rsid w:val="000147C6"/>
    <w:rsid w:val="000148E6"/>
    <w:rsid w:val="00014A2B"/>
    <w:rsid w:val="00014A91"/>
    <w:rsid w:val="00014AFB"/>
    <w:rsid w:val="00014B30"/>
    <w:rsid w:val="00014BBE"/>
    <w:rsid w:val="00014BCC"/>
    <w:rsid w:val="00014BED"/>
    <w:rsid w:val="00014C34"/>
    <w:rsid w:val="00014D85"/>
    <w:rsid w:val="00014DA2"/>
    <w:rsid w:val="00014E2F"/>
    <w:rsid w:val="00014FF2"/>
    <w:rsid w:val="00015084"/>
    <w:rsid w:val="00015097"/>
    <w:rsid w:val="00015117"/>
    <w:rsid w:val="00015148"/>
    <w:rsid w:val="00015207"/>
    <w:rsid w:val="000152B8"/>
    <w:rsid w:val="0001530E"/>
    <w:rsid w:val="0001538B"/>
    <w:rsid w:val="000153AE"/>
    <w:rsid w:val="00015471"/>
    <w:rsid w:val="0001547D"/>
    <w:rsid w:val="000154DF"/>
    <w:rsid w:val="0001558E"/>
    <w:rsid w:val="000156F7"/>
    <w:rsid w:val="00015724"/>
    <w:rsid w:val="00015748"/>
    <w:rsid w:val="000157D8"/>
    <w:rsid w:val="000157FE"/>
    <w:rsid w:val="00015950"/>
    <w:rsid w:val="00015B91"/>
    <w:rsid w:val="00015BBC"/>
    <w:rsid w:val="00015BCE"/>
    <w:rsid w:val="00015D2F"/>
    <w:rsid w:val="00015D7C"/>
    <w:rsid w:val="00015DAA"/>
    <w:rsid w:val="00015E23"/>
    <w:rsid w:val="00015F29"/>
    <w:rsid w:val="00015F48"/>
    <w:rsid w:val="00015FF0"/>
    <w:rsid w:val="0001607F"/>
    <w:rsid w:val="0001619B"/>
    <w:rsid w:val="0001627B"/>
    <w:rsid w:val="000162C6"/>
    <w:rsid w:val="00016314"/>
    <w:rsid w:val="00016325"/>
    <w:rsid w:val="00016342"/>
    <w:rsid w:val="000163A6"/>
    <w:rsid w:val="000163AC"/>
    <w:rsid w:val="0001649B"/>
    <w:rsid w:val="00016550"/>
    <w:rsid w:val="0001656F"/>
    <w:rsid w:val="000165ED"/>
    <w:rsid w:val="00016618"/>
    <w:rsid w:val="00016676"/>
    <w:rsid w:val="000166AC"/>
    <w:rsid w:val="00016748"/>
    <w:rsid w:val="00016764"/>
    <w:rsid w:val="000168A9"/>
    <w:rsid w:val="000168F5"/>
    <w:rsid w:val="00016931"/>
    <w:rsid w:val="00016980"/>
    <w:rsid w:val="000169E2"/>
    <w:rsid w:val="000169FD"/>
    <w:rsid w:val="00016AA9"/>
    <w:rsid w:val="00016AD6"/>
    <w:rsid w:val="00016B00"/>
    <w:rsid w:val="00016C32"/>
    <w:rsid w:val="00016C3A"/>
    <w:rsid w:val="00016CD5"/>
    <w:rsid w:val="00016DC7"/>
    <w:rsid w:val="0001706F"/>
    <w:rsid w:val="00017074"/>
    <w:rsid w:val="000170CC"/>
    <w:rsid w:val="000170D4"/>
    <w:rsid w:val="00017159"/>
    <w:rsid w:val="00017198"/>
    <w:rsid w:val="00017288"/>
    <w:rsid w:val="000173CE"/>
    <w:rsid w:val="00017436"/>
    <w:rsid w:val="0001747C"/>
    <w:rsid w:val="00017506"/>
    <w:rsid w:val="00017625"/>
    <w:rsid w:val="0001762B"/>
    <w:rsid w:val="000176F9"/>
    <w:rsid w:val="0001778C"/>
    <w:rsid w:val="000177DA"/>
    <w:rsid w:val="0001785E"/>
    <w:rsid w:val="00017983"/>
    <w:rsid w:val="00017A87"/>
    <w:rsid w:val="00017ADE"/>
    <w:rsid w:val="00017C34"/>
    <w:rsid w:val="00017CA0"/>
    <w:rsid w:val="00017CB5"/>
    <w:rsid w:val="00017D0C"/>
    <w:rsid w:val="00017D3C"/>
    <w:rsid w:val="00017DDD"/>
    <w:rsid w:val="00017E6E"/>
    <w:rsid w:val="00017EE5"/>
    <w:rsid w:val="00017EF1"/>
    <w:rsid w:val="00017F2A"/>
    <w:rsid w:val="00017F4C"/>
    <w:rsid w:val="00017FB2"/>
    <w:rsid w:val="00020051"/>
    <w:rsid w:val="000200C4"/>
    <w:rsid w:val="0002010C"/>
    <w:rsid w:val="00020114"/>
    <w:rsid w:val="0002016C"/>
    <w:rsid w:val="000201A2"/>
    <w:rsid w:val="000201FF"/>
    <w:rsid w:val="00020346"/>
    <w:rsid w:val="0002037E"/>
    <w:rsid w:val="000203A1"/>
    <w:rsid w:val="000203CA"/>
    <w:rsid w:val="00020437"/>
    <w:rsid w:val="000204AD"/>
    <w:rsid w:val="00020550"/>
    <w:rsid w:val="00020623"/>
    <w:rsid w:val="000206C2"/>
    <w:rsid w:val="00020733"/>
    <w:rsid w:val="00020751"/>
    <w:rsid w:val="000208BA"/>
    <w:rsid w:val="000209AD"/>
    <w:rsid w:val="00020A7C"/>
    <w:rsid w:val="00020A90"/>
    <w:rsid w:val="00020AF3"/>
    <w:rsid w:val="00020BD0"/>
    <w:rsid w:val="00020D4B"/>
    <w:rsid w:val="00020D68"/>
    <w:rsid w:val="00020DE2"/>
    <w:rsid w:val="00020F04"/>
    <w:rsid w:val="0002104C"/>
    <w:rsid w:val="000210E5"/>
    <w:rsid w:val="00021132"/>
    <w:rsid w:val="000211F7"/>
    <w:rsid w:val="0002127A"/>
    <w:rsid w:val="000214E8"/>
    <w:rsid w:val="00021659"/>
    <w:rsid w:val="00021695"/>
    <w:rsid w:val="0002178B"/>
    <w:rsid w:val="000217D2"/>
    <w:rsid w:val="0002185D"/>
    <w:rsid w:val="000218DA"/>
    <w:rsid w:val="00021950"/>
    <w:rsid w:val="00021967"/>
    <w:rsid w:val="00021A4D"/>
    <w:rsid w:val="00021B41"/>
    <w:rsid w:val="00021BF4"/>
    <w:rsid w:val="00021BFE"/>
    <w:rsid w:val="00021D03"/>
    <w:rsid w:val="00021D9D"/>
    <w:rsid w:val="00021E0A"/>
    <w:rsid w:val="00021E23"/>
    <w:rsid w:val="00021E25"/>
    <w:rsid w:val="00021E3A"/>
    <w:rsid w:val="00021EEA"/>
    <w:rsid w:val="0002200E"/>
    <w:rsid w:val="00022022"/>
    <w:rsid w:val="000220BD"/>
    <w:rsid w:val="000220FB"/>
    <w:rsid w:val="0002210B"/>
    <w:rsid w:val="00022134"/>
    <w:rsid w:val="00022218"/>
    <w:rsid w:val="0002227A"/>
    <w:rsid w:val="000222EE"/>
    <w:rsid w:val="000222F2"/>
    <w:rsid w:val="000222FE"/>
    <w:rsid w:val="000224B8"/>
    <w:rsid w:val="00022509"/>
    <w:rsid w:val="00022533"/>
    <w:rsid w:val="000225E0"/>
    <w:rsid w:val="000226B3"/>
    <w:rsid w:val="0002273D"/>
    <w:rsid w:val="0002278C"/>
    <w:rsid w:val="00022820"/>
    <w:rsid w:val="0002286A"/>
    <w:rsid w:val="0002298C"/>
    <w:rsid w:val="00022994"/>
    <w:rsid w:val="000229E8"/>
    <w:rsid w:val="00022A0B"/>
    <w:rsid w:val="00022A71"/>
    <w:rsid w:val="00022AAD"/>
    <w:rsid w:val="00022C3F"/>
    <w:rsid w:val="00022C71"/>
    <w:rsid w:val="00022CC5"/>
    <w:rsid w:val="00022D78"/>
    <w:rsid w:val="00022E0B"/>
    <w:rsid w:val="00022E21"/>
    <w:rsid w:val="00022E4E"/>
    <w:rsid w:val="00022E8D"/>
    <w:rsid w:val="0002324D"/>
    <w:rsid w:val="000233A3"/>
    <w:rsid w:val="000233BA"/>
    <w:rsid w:val="000234B5"/>
    <w:rsid w:val="000234C9"/>
    <w:rsid w:val="00023580"/>
    <w:rsid w:val="000235A6"/>
    <w:rsid w:val="0002361E"/>
    <w:rsid w:val="00023667"/>
    <w:rsid w:val="000237FD"/>
    <w:rsid w:val="00023954"/>
    <w:rsid w:val="000239A0"/>
    <w:rsid w:val="00023A1A"/>
    <w:rsid w:val="00023B86"/>
    <w:rsid w:val="00023B94"/>
    <w:rsid w:val="00023CE4"/>
    <w:rsid w:val="00023D52"/>
    <w:rsid w:val="00023F92"/>
    <w:rsid w:val="00023FDC"/>
    <w:rsid w:val="0002408F"/>
    <w:rsid w:val="000240B7"/>
    <w:rsid w:val="00024386"/>
    <w:rsid w:val="000243DB"/>
    <w:rsid w:val="00024568"/>
    <w:rsid w:val="0002457D"/>
    <w:rsid w:val="00024582"/>
    <w:rsid w:val="000245EE"/>
    <w:rsid w:val="000247A1"/>
    <w:rsid w:val="000247A9"/>
    <w:rsid w:val="00024847"/>
    <w:rsid w:val="0002494B"/>
    <w:rsid w:val="0002496C"/>
    <w:rsid w:val="00024973"/>
    <w:rsid w:val="00024988"/>
    <w:rsid w:val="000249B5"/>
    <w:rsid w:val="00024A05"/>
    <w:rsid w:val="00024A73"/>
    <w:rsid w:val="00024CAC"/>
    <w:rsid w:val="00024CC2"/>
    <w:rsid w:val="00024D07"/>
    <w:rsid w:val="00024D88"/>
    <w:rsid w:val="00024D8F"/>
    <w:rsid w:val="00024E05"/>
    <w:rsid w:val="00024E80"/>
    <w:rsid w:val="00024F3F"/>
    <w:rsid w:val="00024F68"/>
    <w:rsid w:val="00024FF4"/>
    <w:rsid w:val="00025062"/>
    <w:rsid w:val="000250E5"/>
    <w:rsid w:val="00025225"/>
    <w:rsid w:val="000252E2"/>
    <w:rsid w:val="000252EC"/>
    <w:rsid w:val="000252F0"/>
    <w:rsid w:val="0002535C"/>
    <w:rsid w:val="000253B6"/>
    <w:rsid w:val="0002546F"/>
    <w:rsid w:val="00025486"/>
    <w:rsid w:val="000254D8"/>
    <w:rsid w:val="00025674"/>
    <w:rsid w:val="000256AF"/>
    <w:rsid w:val="000256E6"/>
    <w:rsid w:val="000256EC"/>
    <w:rsid w:val="000258A1"/>
    <w:rsid w:val="00025B15"/>
    <w:rsid w:val="00025B48"/>
    <w:rsid w:val="00025BFD"/>
    <w:rsid w:val="00025C0A"/>
    <w:rsid w:val="00025C7A"/>
    <w:rsid w:val="00025CFD"/>
    <w:rsid w:val="00025D75"/>
    <w:rsid w:val="00025DC7"/>
    <w:rsid w:val="00025E85"/>
    <w:rsid w:val="00025EA1"/>
    <w:rsid w:val="00025F29"/>
    <w:rsid w:val="00026043"/>
    <w:rsid w:val="000261ED"/>
    <w:rsid w:val="000262A8"/>
    <w:rsid w:val="00026328"/>
    <w:rsid w:val="00026398"/>
    <w:rsid w:val="0002640A"/>
    <w:rsid w:val="000264F2"/>
    <w:rsid w:val="000265F2"/>
    <w:rsid w:val="000266C3"/>
    <w:rsid w:val="0002679C"/>
    <w:rsid w:val="000267F2"/>
    <w:rsid w:val="0002681C"/>
    <w:rsid w:val="00026885"/>
    <w:rsid w:val="000268D3"/>
    <w:rsid w:val="00026A21"/>
    <w:rsid w:val="00026A54"/>
    <w:rsid w:val="00026B4A"/>
    <w:rsid w:val="00026C21"/>
    <w:rsid w:val="00026CA0"/>
    <w:rsid w:val="00026E50"/>
    <w:rsid w:val="00026F3B"/>
    <w:rsid w:val="00026FB9"/>
    <w:rsid w:val="000270BB"/>
    <w:rsid w:val="00027129"/>
    <w:rsid w:val="00027145"/>
    <w:rsid w:val="000271EF"/>
    <w:rsid w:val="00027274"/>
    <w:rsid w:val="000272C7"/>
    <w:rsid w:val="00027325"/>
    <w:rsid w:val="00027364"/>
    <w:rsid w:val="00027445"/>
    <w:rsid w:val="0002745F"/>
    <w:rsid w:val="00027588"/>
    <w:rsid w:val="000276D0"/>
    <w:rsid w:val="0002776F"/>
    <w:rsid w:val="000277BE"/>
    <w:rsid w:val="000278E2"/>
    <w:rsid w:val="00027966"/>
    <w:rsid w:val="000279B9"/>
    <w:rsid w:val="00027B03"/>
    <w:rsid w:val="00027B3E"/>
    <w:rsid w:val="00027B7F"/>
    <w:rsid w:val="00027BFB"/>
    <w:rsid w:val="00027C43"/>
    <w:rsid w:val="00027C68"/>
    <w:rsid w:val="00027C7A"/>
    <w:rsid w:val="00027F74"/>
    <w:rsid w:val="00027FF4"/>
    <w:rsid w:val="00030018"/>
    <w:rsid w:val="0003016C"/>
    <w:rsid w:val="0003017B"/>
    <w:rsid w:val="000301D2"/>
    <w:rsid w:val="00030221"/>
    <w:rsid w:val="000303A7"/>
    <w:rsid w:val="000303CC"/>
    <w:rsid w:val="00030485"/>
    <w:rsid w:val="00030489"/>
    <w:rsid w:val="00030561"/>
    <w:rsid w:val="00030587"/>
    <w:rsid w:val="0003064F"/>
    <w:rsid w:val="000307F1"/>
    <w:rsid w:val="0003083D"/>
    <w:rsid w:val="0003087D"/>
    <w:rsid w:val="000309B7"/>
    <w:rsid w:val="00030ABB"/>
    <w:rsid w:val="00030B15"/>
    <w:rsid w:val="00030B96"/>
    <w:rsid w:val="00030B97"/>
    <w:rsid w:val="00030BA6"/>
    <w:rsid w:val="00030C06"/>
    <w:rsid w:val="00030C3D"/>
    <w:rsid w:val="00030CD3"/>
    <w:rsid w:val="00030F4A"/>
    <w:rsid w:val="00030FAF"/>
    <w:rsid w:val="00031094"/>
    <w:rsid w:val="000310E2"/>
    <w:rsid w:val="0003118D"/>
    <w:rsid w:val="00031376"/>
    <w:rsid w:val="00031394"/>
    <w:rsid w:val="000313DA"/>
    <w:rsid w:val="0003148E"/>
    <w:rsid w:val="00031490"/>
    <w:rsid w:val="00031569"/>
    <w:rsid w:val="000316AE"/>
    <w:rsid w:val="00031708"/>
    <w:rsid w:val="00031757"/>
    <w:rsid w:val="000317D7"/>
    <w:rsid w:val="00031907"/>
    <w:rsid w:val="0003196E"/>
    <w:rsid w:val="000319DD"/>
    <w:rsid w:val="00031A76"/>
    <w:rsid w:val="00031BCF"/>
    <w:rsid w:val="00031CB8"/>
    <w:rsid w:val="00031CC7"/>
    <w:rsid w:val="00031CE4"/>
    <w:rsid w:val="00031D29"/>
    <w:rsid w:val="00031DDD"/>
    <w:rsid w:val="00031E44"/>
    <w:rsid w:val="00031E86"/>
    <w:rsid w:val="00031F25"/>
    <w:rsid w:val="00031F2C"/>
    <w:rsid w:val="00032064"/>
    <w:rsid w:val="0003207D"/>
    <w:rsid w:val="00032092"/>
    <w:rsid w:val="000320C5"/>
    <w:rsid w:val="000320FA"/>
    <w:rsid w:val="0003222E"/>
    <w:rsid w:val="00032234"/>
    <w:rsid w:val="00032445"/>
    <w:rsid w:val="00032483"/>
    <w:rsid w:val="000324C2"/>
    <w:rsid w:val="00032514"/>
    <w:rsid w:val="0003251D"/>
    <w:rsid w:val="00032524"/>
    <w:rsid w:val="0003254F"/>
    <w:rsid w:val="00032641"/>
    <w:rsid w:val="00032643"/>
    <w:rsid w:val="00032685"/>
    <w:rsid w:val="0003273F"/>
    <w:rsid w:val="00032797"/>
    <w:rsid w:val="000327E7"/>
    <w:rsid w:val="0003281F"/>
    <w:rsid w:val="00032822"/>
    <w:rsid w:val="000328C3"/>
    <w:rsid w:val="0003292E"/>
    <w:rsid w:val="00032A67"/>
    <w:rsid w:val="00032A79"/>
    <w:rsid w:val="00032A7D"/>
    <w:rsid w:val="00032BA7"/>
    <w:rsid w:val="00032C1E"/>
    <w:rsid w:val="00032C99"/>
    <w:rsid w:val="00032CC0"/>
    <w:rsid w:val="00032D09"/>
    <w:rsid w:val="00032D4B"/>
    <w:rsid w:val="00032EC3"/>
    <w:rsid w:val="00032ED5"/>
    <w:rsid w:val="00032F2F"/>
    <w:rsid w:val="00032F4C"/>
    <w:rsid w:val="00032FC9"/>
    <w:rsid w:val="00033078"/>
    <w:rsid w:val="0003307B"/>
    <w:rsid w:val="000330C4"/>
    <w:rsid w:val="000330CC"/>
    <w:rsid w:val="000330D5"/>
    <w:rsid w:val="00033169"/>
    <w:rsid w:val="000332F1"/>
    <w:rsid w:val="000333AC"/>
    <w:rsid w:val="000333CB"/>
    <w:rsid w:val="0003346C"/>
    <w:rsid w:val="000335D1"/>
    <w:rsid w:val="0003361C"/>
    <w:rsid w:val="00033633"/>
    <w:rsid w:val="0003363B"/>
    <w:rsid w:val="000336C3"/>
    <w:rsid w:val="000337B3"/>
    <w:rsid w:val="000337B4"/>
    <w:rsid w:val="00033909"/>
    <w:rsid w:val="0003391A"/>
    <w:rsid w:val="00033A4D"/>
    <w:rsid w:val="00033AAF"/>
    <w:rsid w:val="00033B19"/>
    <w:rsid w:val="00033C33"/>
    <w:rsid w:val="00033C36"/>
    <w:rsid w:val="00033CEF"/>
    <w:rsid w:val="00033E4E"/>
    <w:rsid w:val="00033FE4"/>
    <w:rsid w:val="00034093"/>
    <w:rsid w:val="000340EB"/>
    <w:rsid w:val="00034182"/>
    <w:rsid w:val="0003427C"/>
    <w:rsid w:val="000342CC"/>
    <w:rsid w:val="000343CE"/>
    <w:rsid w:val="00034474"/>
    <w:rsid w:val="00034510"/>
    <w:rsid w:val="0003454D"/>
    <w:rsid w:val="0003458D"/>
    <w:rsid w:val="000345FD"/>
    <w:rsid w:val="00034647"/>
    <w:rsid w:val="0003467D"/>
    <w:rsid w:val="000346A0"/>
    <w:rsid w:val="000346F4"/>
    <w:rsid w:val="0003475E"/>
    <w:rsid w:val="0003476D"/>
    <w:rsid w:val="000347D0"/>
    <w:rsid w:val="000347E9"/>
    <w:rsid w:val="0003484A"/>
    <w:rsid w:val="000349CD"/>
    <w:rsid w:val="00034A35"/>
    <w:rsid w:val="00034A66"/>
    <w:rsid w:val="00034A68"/>
    <w:rsid w:val="00034C37"/>
    <w:rsid w:val="00034D75"/>
    <w:rsid w:val="00034EF6"/>
    <w:rsid w:val="00034F18"/>
    <w:rsid w:val="00034F1A"/>
    <w:rsid w:val="00034FB8"/>
    <w:rsid w:val="00034FD5"/>
    <w:rsid w:val="0003504D"/>
    <w:rsid w:val="00035076"/>
    <w:rsid w:val="000350F8"/>
    <w:rsid w:val="0003513F"/>
    <w:rsid w:val="0003516E"/>
    <w:rsid w:val="00035423"/>
    <w:rsid w:val="00035424"/>
    <w:rsid w:val="000354A7"/>
    <w:rsid w:val="00035537"/>
    <w:rsid w:val="00035545"/>
    <w:rsid w:val="00035551"/>
    <w:rsid w:val="00035567"/>
    <w:rsid w:val="00035591"/>
    <w:rsid w:val="000356ED"/>
    <w:rsid w:val="000357F7"/>
    <w:rsid w:val="000357FE"/>
    <w:rsid w:val="000358C1"/>
    <w:rsid w:val="0003592A"/>
    <w:rsid w:val="00035972"/>
    <w:rsid w:val="00035A04"/>
    <w:rsid w:val="00035A2A"/>
    <w:rsid w:val="00035AAE"/>
    <w:rsid w:val="00035D42"/>
    <w:rsid w:val="00035DB3"/>
    <w:rsid w:val="00035F01"/>
    <w:rsid w:val="00035F84"/>
    <w:rsid w:val="00036011"/>
    <w:rsid w:val="000360AE"/>
    <w:rsid w:val="0003616C"/>
    <w:rsid w:val="0003617C"/>
    <w:rsid w:val="000361DC"/>
    <w:rsid w:val="0003623B"/>
    <w:rsid w:val="0003628B"/>
    <w:rsid w:val="0003645F"/>
    <w:rsid w:val="00036492"/>
    <w:rsid w:val="00036542"/>
    <w:rsid w:val="00036594"/>
    <w:rsid w:val="000365A7"/>
    <w:rsid w:val="0003673B"/>
    <w:rsid w:val="0003680B"/>
    <w:rsid w:val="0003691C"/>
    <w:rsid w:val="0003692D"/>
    <w:rsid w:val="00036972"/>
    <w:rsid w:val="00036982"/>
    <w:rsid w:val="00036984"/>
    <w:rsid w:val="000369D0"/>
    <w:rsid w:val="000369F1"/>
    <w:rsid w:val="00036A41"/>
    <w:rsid w:val="00036A7F"/>
    <w:rsid w:val="00036AB6"/>
    <w:rsid w:val="00036B0F"/>
    <w:rsid w:val="00036C97"/>
    <w:rsid w:val="00036D1D"/>
    <w:rsid w:val="00036F1D"/>
    <w:rsid w:val="00036F9B"/>
    <w:rsid w:val="00037037"/>
    <w:rsid w:val="00037220"/>
    <w:rsid w:val="00037331"/>
    <w:rsid w:val="00037360"/>
    <w:rsid w:val="0003750E"/>
    <w:rsid w:val="00037529"/>
    <w:rsid w:val="000375DD"/>
    <w:rsid w:val="00037636"/>
    <w:rsid w:val="000376FD"/>
    <w:rsid w:val="00037726"/>
    <w:rsid w:val="00037792"/>
    <w:rsid w:val="000377AC"/>
    <w:rsid w:val="000377E6"/>
    <w:rsid w:val="00037801"/>
    <w:rsid w:val="00037824"/>
    <w:rsid w:val="000378AF"/>
    <w:rsid w:val="00037924"/>
    <w:rsid w:val="00037A39"/>
    <w:rsid w:val="00037AB9"/>
    <w:rsid w:val="00037ADE"/>
    <w:rsid w:val="00037C81"/>
    <w:rsid w:val="00037CB0"/>
    <w:rsid w:val="00037D6A"/>
    <w:rsid w:val="00037D75"/>
    <w:rsid w:val="00037DD3"/>
    <w:rsid w:val="00037E3B"/>
    <w:rsid w:val="00037EBE"/>
    <w:rsid w:val="0004005F"/>
    <w:rsid w:val="000400F5"/>
    <w:rsid w:val="0004013D"/>
    <w:rsid w:val="0004024E"/>
    <w:rsid w:val="000403C5"/>
    <w:rsid w:val="00040412"/>
    <w:rsid w:val="00040420"/>
    <w:rsid w:val="00040440"/>
    <w:rsid w:val="000404DE"/>
    <w:rsid w:val="000405F4"/>
    <w:rsid w:val="00040710"/>
    <w:rsid w:val="000408FB"/>
    <w:rsid w:val="00040935"/>
    <w:rsid w:val="00040984"/>
    <w:rsid w:val="000409EA"/>
    <w:rsid w:val="00040A41"/>
    <w:rsid w:val="00040A86"/>
    <w:rsid w:val="00040A97"/>
    <w:rsid w:val="00040B1F"/>
    <w:rsid w:val="00040B88"/>
    <w:rsid w:val="00040C09"/>
    <w:rsid w:val="00040C28"/>
    <w:rsid w:val="00040C7B"/>
    <w:rsid w:val="00040C96"/>
    <w:rsid w:val="00040D57"/>
    <w:rsid w:val="00040D63"/>
    <w:rsid w:val="00040D76"/>
    <w:rsid w:val="00040D86"/>
    <w:rsid w:val="00040DB0"/>
    <w:rsid w:val="00040E53"/>
    <w:rsid w:val="00040EC6"/>
    <w:rsid w:val="00040EF3"/>
    <w:rsid w:val="00040F0E"/>
    <w:rsid w:val="00040F63"/>
    <w:rsid w:val="00041185"/>
    <w:rsid w:val="000411D3"/>
    <w:rsid w:val="000411F8"/>
    <w:rsid w:val="00041269"/>
    <w:rsid w:val="000412F8"/>
    <w:rsid w:val="0004132C"/>
    <w:rsid w:val="0004147D"/>
    <w:rsid w:val="000414B7"/>
    <w:rsid w:val="00041574"/>
    <w:rsid w:val="00041595"/>
    <w:rsid w:val="00041602"/>
    <w:rsid w:val="00041653"/>
    <w:rsid w:val="00041660"/>
    <w:rsid w:val="0004172B"/>
    <w:rsid w:val="00041882"/>
    <w:rsid w:val="000419FC"/>
    <w:rsid w:val="00041A43"/>
    <w:rsid w:val="00041ACB"/>
    <w:rsid w:val="00041AE6"/>
    <w:rsid w:val="00041CE1"/>
    <w:rsid w:val="00041D4E"/>
    <w:rsid w:val="00041D56"/>
    <w:rsid w:val="00041D7C"/>
    <w:rsid w:val="00041E19"/>
    <w:rsid w:val="00041E9F"/>
    <w:rsid w:val="00042059"/>
    <w:rsid w:val="0004205C"/>
    <w:rsid w:val="000420D9"/>
    <w:rsid w:val="00042250"/>
    <w:rsid w:val="000422CD"/>
    <w:rsid w:val="000422DC"/>
    <w:rsid w:val="0004230C"/>
    <w:rsid w:val="00042390"/>
    <w:rsid w:val="000423FD"/>
    <w:rsid w:val="0004240E"/>
    <w:rsid w:val="00042418"/>
    <w:rsid w:val="0004244A"/>
    <w:rsid w:val="000424F3"/>
    <w:rsid w:val="0004250C"/>
    <w:rsid w:val="00042571"/>
    <w:rsid w:val="000426AA"/>
    <w:rsid w:val="000426F5"/>
    <w:rsid w:val="0004280A"/>
    <w:rsid w:val="00042864"/>
    <w:rsid w:val="00042902"/>
    <w:rsid w:val="00042983"/>
    <w:rsid w:val="00042A2E"/>
    <w:rsid w:val="00042ABA"/>
    <w:rsid w:val="00042AF1"/>
    <w:rsid w:val="00042D0B"/>
    <w:rsid w:val="00042D0C"/>
    <w:rsid w:val="00042D1B"/>
    <w:rsid w:val="00042D30"/>
    <w:rsid w:val="00042D51"/>
    <w:rsid w:val="00042D8F"/>
    <w:rsid w:val="00042D93"/>
    <w:rsid w:val="00042DE2"/>
    <w:rsid w:val="000430EF"/>
    <w:rsid w:val="00043101"/>
    <w:rsid w:val="000431BE"/>
    <w:rsid w:val="00043206"/>
    <w:rsid w:val="000432AA"/>
    <w:rsid w:val="000432C6"/>
    <w:rsid w:val="000432DB"/>
    <w:rsid w:val="00043302"/>
    <w:rsid w:val="0004334F"/>
    <w:rsid w:val="00043419"/>
    <w:rsid w:val="00043421"/>
    <w:rsid w:val="00043464"/>
    <w:rsid w:val="00043540"/>
    <w:rsid w:val="000436A3"/>
    <w:rsid w:val="000436D2"/>
    <w:rsid w:val="00043863"/>
    <w:rsid w:val="0004393B"/>
    <w:rsid w:val="00043B10"/>
    <w:rsid w:val="00043B54"/>
    <w:rsid w:val="00043BE5"/>
    <w:rsid w:val="00043C78"/>
    <w:rsid w:val="00043CD3"/>
    <w:rsid w:val="00043D34"/>
    <w:rsid w:val="00043D6F"/>
    <w:rsid w:val="00043DB1"/>
    <w:rsid w:val="00043DDA"/>
    <w:rsid w:val="00043E05"/>
    <w:rsid w:val="00043F4F"/>
    <w:rsid w:val="00043FEE"/>
    <w:rsid w:val="00044024"/>
    <w:rsid w:val="00044030"/>
    <w:rsid w:val="00044086"/>
    <w:rsid w:val="000440A2"/>
    <w:rsid w:val="000440BF"/>
    <w:rsid w:val="000441E2"/>
    <w:rsid w:val="000442C7"/>
    <w:rsid w:val="000443BA"/>
    <w:rsid w:val="00044410"/>
    <w:rsid w:val="0004464C"/>
    <w:rsid w:val="00044787"/>
    <w:rsid w:val="00044833"/>
    <w:rsid w:val="00044946"/>
    <w:rsid w:val="000449A4"/>
    <w:rsid w:val="00044A47"/>
    <w:rsid w:val="00044A55"/>
    <w:rsid w:val="00044AB1"/>
    <w:rsid w:val="00044B30"/>
    <w:rsid w:val="00044B34"/>
    <w:rsid w:val="00044B4F"/>
    <w:rsid w:val="00044C24"/>
    <w:rsid w:val="00044C9E"/>
    <w:rsid w:val="00044D89"/>
    <w:rsid w:val="00044DB7"/>
    <w:rsid w:val="00044DD2"/>
    <w:rsid w:val="00044EC5"/>
    <w:rsid w:val="00044F12"/>
    <w:rsid w:val="00044F30"/>
    <w:rsid w:val="000450A6"/>
    <w:rsid w:val="000450BB"/>
    <w:rsid w:val="0004513B"/>
    <w:rsid w:val="00045144"/>
    <w:rsid w:val="000451D3"/>
    <w:rsid w:val="0004529D"/>
    <w:rsid w:val="000452A3"/>
    <w:rsid w:val="000453CF"/>
    <w:rsid w:val="0004543D"/>
    <w:rsid w:val="0004561A"/>
    <w:rsid w:val="00045652"/>
    <w:rsid w:val="00045703"/>
    <w:rsid w:val="00045790"/>
    <w:rsid w:val="000457D0"/>
    <w:rsid w:val="000457DE"/>
    <w:rsid w:val="00045819"/>
    <w:rsid w:val="0004589F"/>
    <w:rsid w:val="00045A6D"/>
    <w:rsid w:val="00045BBF"/>
    <w:rsid w:val="00045C19"/>
    <w:rsid w:val="00045CF6"/>
    <w:rsid w:val="00045D0D"/>
    <w:rsid w:val="00045D91"/>
    <w:rsid w:val="00045E77"/>
    <w:rsid w:val="00045F34"/>
    <w:rsid w:val="00045FA8"/>
    <w:rsid w:val="00045FBB"/>
    <w:rsid w:val="0004600B"/>
    <w:rsid w:val="0004603D"/>
    <w:rsid w:val="00046070"/>
    <w:rsid w:val="000460FC"/>
    <w:rsid w:val="0004620A"/>
    <w:rsid w:val="0004633B"/>
    <w:rsid w:val="000463CF"/>
    <w:rsid w:val="0004649C"/>
    <w:rsid w:val="000464F1"/>
    <w:rsid w:val="00046522"/>
    <w:rsid w:val="00046748"/>
    <w:rsid w:val="00046821"/>
    <w:rsid w:val="00046941"/>
    <w:rsid w:val="00046A79"/>
    <w:rsid w:val="00046BDF"/>
    <w:rsid w:val="00046C30"/>
    <w:rsid w:val="00046C44"/>
    <w:rsid w:val="00046C4C"/>
    <w:rsid w:val="00046CA1"/>
    <w:rsid w:val="00046D12"/>
    <w:rsid w:val="00046EA3"/>
    <w:rsid w:val="00046FBD"/>
    <w:rsid w:val="00046FD4"/>
    <w:rsid w:val="00046FF8"/>
    <w:rsid w:val="00046FFB"/>
    <w:rsid w:val="000470A4"/>
    <w:rsid w:val="000470CC"/>
    <w:rsid w:val="0004715F"/>
    <w:rsid w:val="000472C4"/>
    <w:rsid w:val="00047400"/>
    <w:rsid w:val="000474B0"/>
    <w:rsid w:val="000475A8"/>
    <w:rsid w:val="000475C0"/>
    <w:rsid w:val="0004761B"/>
    <w:rsid w:val="0004764E"/>
    <w:rsid w:val="00047738"/>
    <w:rsid w:val="00047935"/>
    <w:rsid w:val="00047A0D"/>
    <w:rsid w:val="00047AED"/>
    <w:rsid w:val="00047B33"/>
    <w:rsid w:val="00047D9A"/>
    <w:rsid w:val="00047E47"/>
    <w:rsid w:val="00047E94"/>
    <w:rsid w:val="00047F1C"/>
    <w:rsid w:val="00047F50"/>
    <w:rsid w:val="0004BE34"/>
    <w:rsid w:val="000500BB"/>
    <w:rsid w:val="000500EA"/>
    <w:rsid w:val="00050121"/>
    <w:rsid w:val="00050174"/>
    <w:rsid w:val="000501AE"/>
    <w:rsid w:val="00050219"/>
    <w:rsid w:val="00050274"/>
    <w:rsid w:val="000502CA"/>
    <w:rsid w:val="000502E4"/>
    <w:rsid w:val="0005037B"/>
    <w:rsid w:val="00050494"/>
    <w:rsid w:val="000504E4"/>
    <w:rsid w:val="0005052F"/>
    <w:rsid w:val="0005053B"/>
    <w:rsid w:val="000505EE"/>
    <w:rsid w:val="000505F1"/>
    <w:rsid w:val="00050637"/>
    <w:rsid w:val="00050650"/>
    <w:rsid w:val="000506D6"/>
    <w:rsid w:val="000507D5"/>
    <w:rsid w:val="0005089F"/>
    <w:rsid w:val="000508BC"/>
    <w:rsid w:val="00050933"/>
    <w:rsid w:val="00050A22"/>
    <w:rsid w:val="00050B9E"/>
    <w:rsid w:val="00050C02"/>
    <w:rsid w:val="00050D0C"/>
    <w:rsid w:val="00050E8C"/>
    <w:rsid w:val="00050EB5"/>
    <w:rsid w:val="00050F91"/>
    <w:rsid w:val="00050FBE"/>
    <w:rsid w:val="0005101F"/>
    <w:rsid w:val="000510AD"/>
    <w:rsid w:val="000510D4"/>
    <w:rsid w:val="000510F2"/>
    <w:rsid w:val="000511DC"/>
    <w:rsid w:val="000511FD"/>
    <w:rsid w:val="00051313"/>
    <w:rsid w:val="00051352"/>
    <w:rsid w:val="000514D3"/>
    <w:rsid w:val="000514F9"/>
    <w:rsid w:val="00051535"/>
    <w:rsid w:val="0005169F"/>
    <w:rsid w:val="000516ED"/>
    <w:rsid w:val="00051711"/>
    <w:rsid w:val="00051718"/>
    <w:rsid w:val="0005171D"/>
    <w:rsid w:val="0005180F"/>
    <w:rsid w:val="00051889"/>
    <w:rsid w:val="0005193D"/>
    <w:rsid w:val="0005194F"/>
    <w:rsid w:val="000519E1"/>
    <w:rsid w:val="00051A3E"/>
    <w:rsid w:val="00051AF0"/>
    <w:rsid w:val="00051BC5"/>
    <w:rsid w:val="00051D25"/>
    <w:rsid w:val="00051E5B"/>
    <w:rsid w:val="00051FBD"/>
    <w:rsid w:val="00051FEF"/>
    <w:rsid w:val="000520E5"/>
    <w:rsid w:val="0005210E"/>
    <w:rsid w:val="0005211D"/>
    <w:rsid w:val="0005219D"/>
    <w:rsid w:val="00052218"/>
    <w:rsid w:val="00052254"/>
    <w:rsid w:val="00052285"/>
    <w:rsid w:val="000522B3"/>
    <w:rsid w:val="000522CB"/>
    <w:rsid w:val="00052317"/>
    <w:rsid w:val="00052398"/>
    <w:rsid w:val="00052461"/>
    <w:rsid w:val="00052465"/>
    <w:rsid w:val="0005248B"/>
    <w:rsid w:val="000525E5"/>
    <w:rsid w:val="00052603"/>
    <w:rsid w:val="000527EF"/>
    <w:rsid w:val="000528A5"/>
    <w:rsid w:val="000528B3"/>
    <w:rsid w:val="0005290C"/>
    <w:rsid w:val="00052B61"/>
    <w:rsid w:val="00052B69"/>
    <w:rsid w:val="00052C76"/>
    <w:rsid w:val="00052CA5"/>
    <w:rsid w:val="00052D09"/>
    <w:rsid w:val="00052DE8"/>
    <w:rsid w:val="00052EC4"/>
    <w:rsid w:val="00052F8B"/>
    <w:rsid w:val="0005305B"/>
    <w:rsid w:val="000530B5"/>
    <w:rsid w:val="000530CE"/>
    <w:rsid w:val="00053178"/>
    <w:rsid w:val="00053191"/>
    <w:rsid w:val="00053214"/>
    <w:rsid w:val="000532BC"/>
    <w:rsid w:val="000532E1"/>
    <w:rsid w:val="00053359"/>
    <w:rsid w:val="00053435"/>
    <w:rsid w:val="00053507"/>
    <w:rsid w:val="00053518"/>
    <w:rsid w:val="00053544"/>
    <w:rsid w:val="00053557"/>
    <w:rsid w:val="00053564"/>
    <w:rsid w:val="0005364C"/>
    <w:rsid w:val="000536C8"/>
    <w:rsid w:val="000536F4"/>
    <w:rsid w:val="00053788"/>
    <w:rsid w:val="0005379C"/>
    <w:rsid w:val="00053834"/>
    <w:rsid w:val="00053880"/>
    <w:rsid w:val="00053908"/>
    <w:rsid w:val="00053916"/>
    <w:rsid w:val="00053AA0"/>
    <w:rsid w:val="00053B03"/>
    <w:rsid w:val="00053D71"/>
    <w:rsid w:val="00053DBD"/>
    <w:rsid w:val="00053E15"/>
    <w:rsid w:val="00053E57"/>
    <w:rsid w:val="00053E6A"/>
    <w:rsid w:val="00053EF2"/>
    <w:rsid w:val="00053F39"/>
    <w:rsid w:val="00054027"/>
    <w:rsid w:val="000540B6"/>
    <w:rsid w:val="000541F3"/>
    <w:rsid w:val="00054272"/>
    <w:rsid w:val="000543E1"/>
    <w:rsid w:val="00054420"/>
    <w:rsid w:val="00054473"/>
    <w:rsid w:val="000544A7"/>
    <w:rsid w:val="000544F9"/>
    <w:rsid w:val="0005461F"/>
    <w:rsid w:val="000547E9"/>
    <w:rsid w:val="000548A3"/>
    <w:rsid w:val="000548BB"/>
    <w:rsid w:val="000548D6"/>
    <w:rsid w:val="000548FB"/>
    <w:rsid w:val="000549F3"/>
    <w:rsid w:val="00054B40"/>
    <w:rsid w:val="00054DE4"/>
    <w:rsid w:val="00054DF7"/>
    <w:rsid w:val="00054E86"/>
    <w:rsid w:val="00054ECE"/>
    <w:rsid w:val="00054F3C"/>
    <w:rsid w:val="00054F51"/>
    <w:rsid w:val="00054F6A"/>
    <w:rsid w:val="0005505C"/>
    <w:rsid w:val="0005506A"/>
    <w:rsid w:val="00055270"/>
    <w:rsid w:val="000552DA"/>
    <w:rsid w:val="000553E5"/>
    <w:rsid w:val="000554A3"/>
    <w:rsid w:val="0005552C"/>
    <w:rsid w:val="00055538"/>
    <w:rsid w:val="0005553B"/>
    <w:rsid w:val="000556A7"/>
    <w:rsid w:val="000556CD"/>
    <w:rsid w:val="0005570B"/>
    <w:rsid w:val="0005572E"/>
    <w:rsid w:val="00055746"/>
    <w:rsid w:val="00055757"/>
    <w:rsid w:val="0005587E"/>
    <w:rsid w:val="000558A0"/>
    <w:rsid w:val="000559A7"/>
    <w:rsid w:val="00055A33"/>
    <w:rsid w:val="00055A5B"/>
    <w:rsid w:val="00055AAD"/>
    <w:rsid w:val="00055B0B"/>
    <w:rsid w:val="00055B38"/>
    <w:rsid w:val="00055B4D"/>
    <w:rsid w:val="00055BDE"/>
    <w:rsid w:val="00055C9E"/>
    <w:rsid w:val="00055E27"/>
    <w:rsid w:val="00055EE7"/>
    <w:rsid w:val="00056061"/>
    <w:rsid w:val="00056173"/>
    <w:rsid w:val="000561E4"/>
    <w:rsid w:val="00056267"/>
    <w:rsid w:val="0005626A"/>
    <w:rsid w:val="0005628F"/>
    <w:rsid w:val="00056297"/>
    <w:rsid w:val="000562F2"/>
    <w:rsid w:val="00056387"/>
    <w:rsid w:val="000565A9"/>
    <w:rsid w:val="0005665C"/>
    <w:rsid w:val="000566A7"/>
    <w:rsid w:val="000566E8"/>
    <w:rsid w:val="000567B8"/>
    <w:rsid w:val="00056815"/>
    <w:rsid w:val="000568AB"/>
    <w:rsid w:val="00056949"/>
    <w:rsid w:val="00056953"/>
    <w:rsid w:val="00056C2F"/>
    <w:rsid w:val="00056D24"/>
    <w:rsid w:val="00056DFC"/>
    <w:rsid w:val="00056E21"/>
    <w:rsid w:val="00056E2B"/>
    <w:rsid w:val="00056E68"/>
    <w:rsid w:val="00056EC2"/>
    <w:rsid w:val="00056EC8"/>
    <w:rsid w:val="00056FE0"/>
    <w:rsid w:val="00057243"/>
    <w:rsid w:val="00057330"/>
    <w:rsid w:val="00057347"/>
    <w:rsid w:val="000573B7"/>
    <w:rsid w:val="000573D4"/>
    <w:rsid w:val="000573F5"/>
    <w:rsid w:val="00057454"/>
    <w:rsid w:val="0005747B"/>
    <w:rsid w:val="00057487"/>
    <w:rsid w:val="00057494"/>
    <w:rsid w:val="00057495"/>
    <w:rsid w:val="0005749B"/>
    <w:rsid w:val="000574A5"/>
    <w:rsid w:val="0005752F"/>
    <w:rsid w:val="0005768C"/>
    <w:rsid w:val="000576ED"/>
    <w:rsid w:val="00057805"/>
    <w:rsid w:val="0005787B"/>
    <w:rsid w:val="00057A07"/>
    <w:rsid w:val="00057B01"/>
    <w:rsid w:val="00057B39"/>
    <w:rsid w:val="00057B43"/>
    <w:rsid w:val="00057BA7"/>
    <w:rsid w:val="00057C8B"/>
    <w:rsid w:val="00057CCE"/>
    <w:rsid w:val="00057CF3"/>
    <w:rsid w:val="00057E68"/>
    <w:rsid w:val="00057EAF"/>
    <w:rsid w:val="00057FDA"/>
    <w:rsid w:val="00060008"/>
    <w:rsid w:val="00060015"/>
    <w:rsid w:val="0006015E"/>
    <w:rsid w:val="0006016B"/>
    <w:rsid w:val="000601FC"/>
    <w:rsid w:val="00060201"/>
    <w:rsid w:val="0006024B"/>
    <w:rsid w:val="000602E3"/>
    <w:rsid w:val="000602F9"/>
    <w:rsid w:val="0006038A"/>
    <w:rsid w:val="000603A6"/>
    <w:rsid w:val="000603C9"/>
    <w:rsid w:val="00060439"/>
    <w:rsid w:val="0006046C"/>
    <w:rsid w:val="000604A2"/>
    <w:rsid w:val="00060575"/>
    <w:rsid w:val="0006068B"/>
    <w:rsid w:val="0006075E"/>
    <w:rsid w:val="00060788"/>
    <w:rsid w:val="00060951"/>
    <w:rsid w:val="00060A2E"/>
    <w:rsid w:val="00060B41"/>
    <w:rsid w:val="00060B7F"/>
    <w:rsid w:val="00060C97"/>
    <w:rsid w:val="00060D15"/>
    <w:rsid w:val="00060E2B"/>
    <w:rsid w:val="00060E99"/>
    <w:rsid w:val="00060EB2"/>
    <w:rsid w:val="00060FC5"/>
    <w:rsid w:val="0006104F"/>
    <w:rsid w:val="00061129"/>
    <w:rsid w:val="0006116C"/>
    <w:rsid w:val="000611D1"/>
    <w:rsid w:val="000611F4"/>
    <w:rsid w:val="00061253"/>
    <w:rsid w:val="0006125D"/>
    <w:rsid w:val="0006125F"/>
    <w:rsid w:val="000613A8"/>
    <w:rsid w:val="000613EA"/>
    <w:rsid w:val="00061437"/>
    <w:rsid w:val="00061516"/>
    <w:rsid w:val="00061518"/>
    <w:rsid w:val="00061571"/>
    <w:rsid w:val="00061590"/>
    <w:rsid w:val="00061795"/>
    <w:rsid w:val="000617A2"/>
    <w:rsid w:val="0006182E"/>
    <w:rsid w:val="00061847"/>
    <w:rsid w:val="0006186E"/>
    <w:rsid w:val="000618C4"/>
    <w:rsid w:val="000618E2"/>
    <w:rsid w:val="000618F7"/>
    <w:rsid w:val="0006198B"/>
    <w:rsid w:val="00061A38"/>
    <w:rsid w:val="00061B9D"/>
    <w:rsid w:val="00061C65"/>
    <w:rsid w:val="00061CF4"/>
    <w:rsid w:val="00061DD2"/>
    <w:rsid w:val="00061DD7"/>
    <w:rsid w:val="00061E80"/>
    <w:rsid w:val="00061F02"/>
    <w:rsid w:val="00061F45"/>
    <w:rsid w:val="00061FAC"/>
    <w:rsid w:val="00062025"/>
    <w:rsid w:val="00062045"/>
    <w:rsid w:val="000620B0"/>
    <w:rsid w:val="0006218C"/>
    <w:rsid w:val="000621CA"/>
    <w:rsid w:val="0006220D"/>
    <w:rsid w:val="0006237C"/>
    <w:rsid w:val="0006239B"/>
    <w:rsid w:val="0006239C"/>
    <w:rsid w:val="000624CE"/>
    <w:rsid w:val="000627F6"/>
    <w:rsid w:val="00062853"/>
    <w:rsid w:val="0006285C"/>
    <w:rsid w:val="000628AB"/>
    <w:rsid w:val="0006297D"/>
    <w:rsid w:val="00062A23"/>
    <w:rsid w:val="00062A46"/>
    <w:rsid w:val="00062B7C"/>
    <w:rsid w:val="00062BD9"/>
    <w:rsid w:val="00062CD6"/>
    <w:rsid w:val="00062CE7"/>
    <w:rsid w:val="00062DC7"/>
    <w:rsid w:val="00062E54"/>
    <w:rsid w:val="00062EBE"/>
    <w:rsid w:val="00062FAA"/>
    <w:rsid w:val="00063001"/>
    <w:rsid w:val="0006302B"/>
    <w:rsid w:val="000630D6"/>
    <w:rsid w:val="000631D3"/>
    <w:rsid w:val="000634B4"/>
    <w:rsid w:val="000634C4"/>
    <w:rsid w:val="000634ED"/>
    <w:rsid w:val="0006350E"/>
    <w:rsid w:val="00063543"/>
    <w:rsid w:val="000635A2"/>
    <w:rsid w:val="000635CB"/>
    <w:rsid w:val="00063702"/>
    <w:rsid w:val="0006375E"/>
    <w:rsid w:val="000637E6"/>
    <w:rsid w:val="000637F0"/>
    <w:rsid w:val="000638B2"/>
    <w:rsid w:val="00063A25"/>
    <w:rsid w:val="00063A99"/>
    <w:rsid w:val="00063BA5"/>
    <w:rsid w:val="00063BAF"/>
    <w:rsid w:val="00063C08"/>
    <w:rsid w:val="00063CDC"/>
    <w:rsid w:val="00063CFC"/>
    <w:rsid w:val="00063D20"/>
    <w:rsid w:val="00063D3C"/>
    <w:rsid w:val="00063E15"/>
    <w:rsid w:val="00063E4B"/>
    <w:rsid w:val="00063E7C"/>
    <w:rsid w:val="00063F6C"/>
    <w:rsid w:val="00063F9D"/>
    <w:rsid w:val="00063F9F"/>
    <w:rsid w:val="000640C3"/>
    <w:rsid w:val="00064172"/>
    <w:rsid w:val="000642B0"/>
    <w:rsid w:val="0006432E"/>
    <w:rsid w:val="000643C5"/>
    <w:rsid w:val="000644BC"/>
    <w:rsid w:val="000645AA"/>
    <w:rsid w:val="000645E5"/>
    <w:rsid w:val="00064673"/>
    <w:rsid w:val="000646E7"/>
    <w:rsid w:val="0006470C"/>
    <w:rsid w:val="000647B4"/>
    <w:rsid w:val="0006486B"/>
    <w:rsid w:val="0006499C"/>
    <w:rsid w:val="000649A2"/>
    <w:rsid w:val="00064ADE"/>
    <w:rsid w:val="00064B53"/>
    <w:rsid w:val="00064B75"/>
    <w:rsid w:val="00064C55"/>
    <w:rsid w:val="00064CD9"/>
    <w:rsid w:val="00064ECB"/>
    <w:rsid w:val="00065048"/>
    <w:rsid w:val="000651A8"/>
    <w:rsid w:val="00065213"/>
    <w:rsid w:val="000652AC"/>
    <w:rsid w:val="00065305"/>
    <w:rsid w:val="00065405"/>
    <w:rsid w:val="0006549C"/>
    <w:rsid w:val="00065584"/>
    <w:rsid w:val="00065588"/>
    <w:rsid w:val="0006567F"/>
    <w:rsid w:val="000656AE"/>
    <w:rsid w:val="000656FF"/>
    <w:rsid w:val="0006571F"/>
    <w:rsid w:val="00065747"/>
    <w:rsid w:val="0006582D"/>
    <w:rsid w:val="000658C2"/>
    <w:rsid w:val="00065939"/>
    <w:rsid w:val="0006595E"/>
    <w:rsid w:val="00065A3E"/>
    <w:rsid w:val="00065ADB"/>
    <w:rsid w:val="00065B72"/>
    <w:rsid w:val="00065BD4"/>
    <w:rsid w:val="00065C36"/>
    <w:rsid w:val="00065D46"/>
    <w:rsid w:val="00065D50"/>
    <w:rsid w:val="00065EAB"/>
    <w:rsid w:val="00066169"/>
    <w:rsid w:val="00066191"/>
    <w:rsid w:val="00066199"/>
    <w:rsid w:val="000661B0"/>
    <w:rsid w:val="00066207"/>
    <w:rsid w:val="0006629A"/>
    <w:rsid w:val="00066390"/>
    <w:rsid w:val="000663D2"/>
    <w:rsid w:val="000663E5"/>
    <w:rsid w:val="00066404"/>
    <w:rsid w:val="00066631"/>
    <w:rsid w:val="0006663D"/>
    <w:rsid w:val="000667FD"/>
    <w:rsid w:val="00066806"/>
    <w:rsid w:val="0006682F"/>
    <w:rsid w:val="00066868"/>
    <w:rsid w:val="00066897"/>
    <w:rsid w:val="000668BC"/>
    <w:rsid w:val="00066956"/>
    <w:rsid w:val="0006695F"/>
    <w:rsid w:val="00066A0E"/>
    <w:rsid w:val="00066B4B"/>
    <w:rsid w:val="00066BA8"/>
    <w:rsid w:val="00066C47"/>
    <w:rsid w:val="00066C8E"/>
    <w:rsid w:val="00066D0C"/>
    <w:rsid w:val="00066D9C"/>
    <w:rsid w:val="00066F32"/>
    <w:rsid w:val="00066F54"/>
    <w:rsid w:val="00066F6A"/>
    <w:rsid w:val="00067030"/>
    <w:rsid w:val="0006703B"/>
    <w:rsid w:val="00067043"/>
    <w:rsid w:val="0006711F"/>
    <w:rsid w:val="00067231"/>
    <w:rsid w:val="00067358"/>
    <w:rsid w:val="00067453"/>
    <w:rsid w:val="00067518"/>
    <w:rsid w:val="00067565"/>
    <w:rsid w:val="000675E5"/>
    <w:rsid w:val="0006760F"/>
    <w:rsid w:val="0006762D"/>
    <w:rsid w:val="00067715"/>
    <w:rsid w:val="00067728"/>
    <w:rsid w:val="0006789D"/>
    <w:rsid w:val="000678AA"/>
    <w:rsid w:val="00067AAE"/>
    <w:rsid w:val="00067D68"/>
    <w:rsid w:val="00067E75"/>
    <w:rsid w:val="00067EE5"/>
    <w:rsid w:val="0007005A"/>
    <w:rsid w:val="000700A4"/>
    <w:rsid w:val="000701F4"/>
    <w:rsid w:val="000703FF"/>
    <w:rsid w:val="0007041E"/>
    <w:rsid w:val="000705CF"/>
    <w:rsid w:val="000705F6"/>
    <w:rsid w:val="0007065E"/>
    <w:rsid w:val="000707F8"/>
    <w:rsid w:val="00070839"/>
    <w:rsid w:val="0007086D"/>
    <w:rsid w:val="000708BD"/>
    <w:rsid w:val="000709BF"/>
    <w:rsid w:val="000709F5"/>
    <w:rsid w:val="00070A3D"/>
    <w:rsid w:val="00070A6C"/>
    <w:rsid w:val="00070AA4"/>
    <w:rsid w:val="00070AB9"/>
    <w:rsid w:val="00070AE1"/>
    <w:rsid w:val="00070AF5"/>
    <w:rsid w:val="00070B21"/>
    <w:rsid w:val="00070B32"/>
    <w:rsid w:val="00070B9C"/>
    <w:rsid w:val="00070BC8"/>
    <w:rsid w:val="00070BDF"/>
    <w:rsid w:val="00070C1E"/>
    <w:rsid w:val="00070C83"/>
    <w:rsid w:val="00070E0F"/>
    <w:rsid w:val="00070EBC"/>
    <w:rsid w:val="00070FBA"/>
    <w:rsid w:val="00071006"/>
    <w:rsid w:val="00071086"/>
    <w:rsid w:val="00071115"/>
    <w:rsid w:val="0007115D"/>
    <w:rsid w:val="000711A1"/>
    <w:rsid w:val="000711B3"/>
    <w:rsid w:val="0007120A"/>
    <w:rsid w:val="0007124F"/>
    <w:rsid w:val="00071343"/>
    <w:rsid w:val="00071492"/>
    <w:rsid w:val="000714AA"/>
    <w:rsid w:val="000714AB"/>
    <w:rsid w:val="000714AF"/>
    <w:rsid w:val="000714BA"/>
    <w:rsid w:val="000714C3"/>
    <w:rsid w:val="000714CF"/>
    <w:rsid w:val="00071516"/>
    <w:rsid w:val="00071547"/>
    <w:rsid w:val="0007155C"/>
    <w:rsid w:val="00071597"/>
    <w:rsid w:val="000715B9"/>
    <w:rsid w:val="000716A1"/>
    <w:rsid w:val="000716D5"/>
    <w:rsid w:val="00071782"/>
    <w:rsid w:val="0007178C"/>
    <w:rsid w:val="00071792"/>
    <w:rsid w:val="000717B6"/>
    <w:rsid w:val="00071933"/>
    <w:rsid w:val="000719BC"/>
    <w:rsid w:val="000719C3"/>
    <w:rsid w:val="00071A45"/>
    <w:rsid w:val="00071A6E"/>
    <w:rsid w:val="00071AD2"/>
    <w:rsid w:val="00071B62"/>
    <w:rsid w:val="00071BDD"/>
    <w:rsid w:val="00071C6D"/>
    <w:rsid w:val="00071C9E"/>
    <w:rsid w:val="00071D35"/>
    <w:rsid w:val="00071EF6"/>
    <w:rsid w:val="00071EFC"/>
    <w:rsid w:val="00071F1A"/>
    <w:rsid w:val="00071FE8"/>
    <w:rsid w:val="0007202A"/>
    <w:rsid w:val="0007203C"/>
    <w:rsid w:val="0007234F"/>
    <w:rsid w:val="00072351"/>
    <w:rsid w:val="000723CD"/>
    <w:rsid w:val="00072429"/>
    <w:rsid w:val="000724AB"/>
    <w:rsid w:val="000724FB"/>
    <w:rsid w:val="0007259C"/>
    <w:rsid w:val="00072749"/>
    <w:rsid w:val="000727C1"/>
    <w:rsid w:val="00072847"/>
    <w:rsid w:val="000728CD"/>
    <w:rsid w:val="00072910"/>
    <w:rsid w:val="0007294B"/>
    <w:rsid w:val="0007299A"/>
    <w:rsid w:val="000729C4"/>
    <w:rsid w:val="000729FB"/>
    <w:rsid w:val="00072A64"/>
    <w:rsid w:val="00072C16"/>
    <w:rsid w:val="00072C2C"/>
    <w:rsid w:val="00072C63"/>
    <w:rsid w:val="00072D72"/>
    <w:rsid w:val="00072F8F"/>
    <w:rsid w:val="00072FCF"/>
    <w:rsid w:val="0007306A"/>
    <w:rsid w:val="000730EA"/>
    <w:rsid w:val="0007316D"/>
    <w:rsid w:val="00073178"/>
    <w:rsid w:val="000731D2"/>
    <w:rsid w:val="00073204"/>
    <w:rsid w:val="00073443"/>
    <w:rsid w:val="00073477"/>
    <w:rsid w:val="000734DA"/>
    <w:rsid w:val="00073521"/>
    <w:rsid w:val="000736D5"/>
    <w:rsid w:val="00073748"/>
    <w:rsid w:val="00073750"/>
    <w:rsid w:val="00073824"/>
    <w:rsid w:val="00073863"/>
    <w:rsid w:val="000738BB"/>
    <w:rsid w:val="0007391F"/>
    <w:rsid w:val="00073939"/>
    <w:rsid w:val="00073A10"/>
    <w:rsid w:val="00073A11"/>
    <w:rsid w:val="00073A4B"/>
    <w:rsid w:val="00073ACE"/>
    <w:rsid w:val="00073B52"/>
    <w:rsid w:val="00073B53"/>
    <w:rsid w:val="00073C41"/>
    <w:rsid w:val="00073D8F"/>
    <w:rsid w:val="00073D96"/>
    <w:rsid w:val="00073E3B"/>
    <w:rsid w:val="00073E96"/>
    <w:rsid w:val="00073E9E"/>
    <w:rsid w:val="00074016"/>
    <w:rsid w:val="0007406E"/>
    <w:rsid w:val="00074163"/>
    <w:rsid w:val="000741D2"/>
    <w:rsid w:val="0007424E"/>
    <w:rsid w:val="00074354"/>
    <w:rsid w:val="000743E7"/>
    <w:rsid w:val="00074414"/>
    <w:rsid w:val="0007442E"/>
    <w:rsid w:val="000744B2"/>
    <w:rsid w:val="000745BF"/>
    <w:rsid w:val="00074657"/>
    <w:rsid w:val="00074681"/>
    <w:rsid w:val="00074694"/>
    <w:rsid w:val="000747D2"/>
    <w:rsid w:val="000748C2"/>
    <w:rsid w:val="00074914"/>
    <w:rsid w:val="00074988"/>
    <w:rsid w:val="000749DD"/>
    <w:rsid w:val="00074A29"/>
    <w:rsid w:val="00074AC3"/>
    <w:rsid w:val="00074B16"/>
    <w:rsid w:val="00074B44"/>
    <w:rsid w:val="00074C42"/>
    <w:rsid w:val="00074C55"/>
    <w:rsid w:val="00074D77"/>
    <w:rsid w:val="00074D9D"/>
    <w:rsid w:val="00074E92"/>
    <w:rsid w:val="00074EEC"/>
    <w:rsid w:val="00074EFC"/>
    <w:rsid w:val="00074F53"/>
    <w:rsid w:val="00074FD2"/>
    <w:rsid w:val="0007500C"/>
    <w:rsid w:val="0007507E"/>
    <w:rsid w:val="0007521D"/>
    <w:rsid w:val="00075232"/>
    <w:rsid w:val="00075245"/>
    <w:rsid w:val="000753DE"/>
    <w:rsid w:val="000753E9"/>
    <w:rsid w:val="000754A9"/>
    <w:rsid w:val="00075526"/>
    <w:rsid w:val="000755A0"/>
    <w:rsid w:val="000755D1"/>
    <w:rsid w:val="000755FB"/>
    <w:rsid w:val="00075629"/>
    <w:rsid w:val="000756F4"/>
    <w:rsid w:val="0007579F"/>
    <w:rsid w:val="00075909"/>
    <w:rsid w:val="00075962"/>
    <w:rsid w:val="0007598E"/>
    <w:rsid w:val="00075ADC"/>
    <w:rsid w:val="00075B39"/>
    <w:rsid w:val="00075B7B"/>
    <w:rsid w:val="00075BBE"/>
    <w:rsid w:val="00075C01"/>
    <w:rsid w:val="00075CB9"/>
    <w:rsid w:val="00075CC8"/>
    <w:rsid w:val="00075D82"/>
    <w:rsid w:val="00075D8D"/>
    <w:rsid w:val="00075F7F"/>
    <w:rsid w:val="0007605B"/>
    <w:rsid w:val="00076161"/>
    <w:rsid w:val="00076194"/>
    <w:rsid w:val="000761CF"/>
    <w:rsid w:val="000761FF"/>
    <w:rsid w:val="00076242"/>
    <w:rsid w:val="000762BB"/>
    <w:rsid w:val="00076333"/>
    <w:rsid w:val="0007638C"/>
    <w:rsid w:val="00076473"/>
    <w:rsid w:val="000764B3"/>
    <w:rsid w:val="0007651F"/>
    <w:rsid w:val="000765E8"/>
    <w:rsid w:val="00076659"/>
    <w:rsid w:val="0007668C"/>
    <w:rsid w:val="000766C7"/>
    <w:rsid w:val="0007676E"/>
    <w:rsid w:val="000767C9"/>
    <w:rsid w:val="00076830"/>
    <w:rsid w:val="00076A10"/>
    <w:rsid w:val="00076A25"/>
    <w:rsid w:val="00076B4E"/>
    <w:rsid w:val="00076BB1"/>
    <w:rsid w:val="00076BB5"/>
    <w:rsid w:val="00076C4B"/>
    <w:rsid w:val="00076C7B"/>
    <w:rsid w:val="00076DAB"/>
    <w:rsid w:val="00076DAD"/>
    <w:rsid w:val="00076E3B"/>
    <w:rsid w:val="00076ED5"/>
    <w:rsid w:val="00076F6E"/>
    <w:rsid w:val="00076FC9"/>
    <w:rsid w:val="000770E6"/>
    <w:rsid w:val="00077102"/>
    <w:rsid w:val="00077201"/>
    <w:rsid w:val="00077234"/>
    <w:rsid w:val="000774AC"/>
    <w:rsid w:val="000774B1"/>
    <w:rsid w:val="0007765F"/>
    <w:rsid w:val="000776C1"/>
    <w:rsid w:val="00077778"/>
    <w:rsid w:val="00077870"/>
    <w:rsid w:val="0007792D"/>
    <w:rsid w:val="00077976"/>
    <w:rsid w:val="00077999"/>
    <w:rsid w:val="00077B3F"/>
    <w:rsid w:val="00077B59"/>
    <w:rsid w:val="00077BA6"/>
    <w:rsid w:val="00077BEC"/>
    <w:rsid w:val="00077BFB"/>
    <w:rsid w:val="00077C34"/>
    <w:rsid w:val="00077CC1"/>
    <w:rsid w:val="00077CE9"/>
    <w:rsid w:val="00077D4B"/>
    <w:rsid w:val="00077D7C"/>
    <w:rsid w:val="00077D84"/>
    <w:rsid w:val="00077E34"/>
    <w:rsid w:val="00077EB3"/>
    <w:rsid w:val="00077EDF"/>
    <w:rsid w:val="00077EFD"/>
    <w:rsid w:val="00077F15"/>
    <w:rsid w:val="00080036"/>
    <w:rsid w:val="0008004D"/>
    <w:rsid w:val="000800F0"/>
    <w:rsid w:val="00080189"/>
    <w:rsid w:val="000801C1"/>
    <w:rsid w:val="0008020C"/>
    <w:rsid w:val="00080257"/>
    <w:rsid w:val="000802A8"/>
    <w:rsid w:val="000802BA"/>
    <w:rsid w:val="00080485"/>
    <w:rsid w:val="000804D3"/>
    <w:rsid w:val="0008050B"/>
    <w:rsid w:val="00080645"/>
    <w:rsid w:val="0008089C"/>
    <w:rsid w:val="000808C1"/>
    <w:rsid w:val="00080937"/>
    <w:rsid w:val="000809AC"/>
    <w:rsid w:val="000809D4"/>
    <w:rsid w:val="00080AE8"/>
    <w:rsid w:val="00080B0B"/>
    <w:rsid w:val="00080B89"/>
    <w:rsid w:val="00080C16"/>
    <w:rsid w:val="00080C9D"/>
    <w:rsid w:val="00080CDC"/>
    <w:rsid w:val="00080D89"/>
    <w:rsid w:val="00080E68"/>
    <w:rsid w:val="00081040"/>
    <w:rsid w:val="00081086"/>
    <w:rsid w:val="00081090"/>
    <w:rsid w:val="0008110D"/>
    <w:rsid w:val="00081197"/>
    <w:rsid w:val="000812DD"/>
    <w:rsid w:val="000812E2"/>
    <w:rsid w:val="000813F6"/>
    <w:rsid w:val="0008153B"/>
    <w:rsid w:val="00081674"/>
    <w:rsid w:val="00081780"/>
    <w:rsid w:val="000817AC"/>
    <w:rsid w:val="00081AA2"/>
    <w:rsid w:val="00081AAD"/>
    <w:rsid w:val="00081B39"/>
    <w:rsid w:val="00081C69"/>
    <w:rsid w:val="00081CCB"/>
    <w:rsid w:val="00081D4F"/>
    <w:rsid w:val="00081D85"/>
    <w:rsid w:val="00081DAF"/>
    <w:rsid w:val="00081DE9"/>
    <w:rsid w:val="00081E38"/>
    <w:rsid w:val="00081EF3"/>
    <w:rsid w:val="00081F42"/>
    <w:rsid w:val="0008211E"/>
    <w:rsid w:val="0008217E"/>
    <w:rsid w:val="0008234F"/>
    <w:rsid w:val="00082382"/>
    <w:rsid w:val="00082393"/>
    <w:rsid w:val="00082425"/>
    <w:rsid w:val="00082463"/>
    <w:rsid w:val="000824DB"/>
    <w:rsid w:val="000824FB"/>
    <w:rsid w:val="00082516"/>
    <w:rsid w:val="00082531"/>
    <w:rsid w:val="00082685"/>
    <w:rsid w:val="0008273B"/>
    <w:rsid w:val="00082763"/>
    <w:rsid w:val="000827F1"/>
    <w:rsid w:val="00082861"/>
    <w:rsid w:val="00082866"/>
    <w:rsid w:val="00082942"/>
    <w:rsid w:val="0008295B"/>
    <w:rsid w:val="00082AAB"/>
    <w:rsid w:val="00082AC3"/>
    <w:rsid w:val="00082AFE"/>
    <w:rsid w:val="00082C4C"/>
    <w:rsid w:val="00082C84"/>
    <w:rsid w:val="00082D36"/>
    <w:rsid w:val="00082DAB"/>
    <w:rsid w:val="00082EA6"/>
    <w:rsid w:val="00082EB2"/>
    <w:rsid w:val="00082EE6"/>
    <w:rsid w:val="00082F45"/>
    <w:rsid w:val="00082FE6"/>
    <w:rsid w:val="0008321F"/>
    <w:rsid w:val="00083417"/>
    <w:rsid w:val="00083465"/>
    <w:rsid w:val="00083470"/>
    <w:rsid w:val="000835D2"/>
    <w:rsid w:val="000835F7"/>
    <w:rsid w:val="00083617"/>
    <w:rsid w:val="00083678"/>
    <w:rsid w:val="000837CC"/>
    <w:rsid w:val="000837FD"/>
    <w:rsid w:val="0008382C"/>
    <w:rsid w:val="000839C0"/>
    <w:rsid w:val="00083A49"/>
    <w:rsid w:val="00083AAA"/>
    <w:rsid w:val="00083B02"/>
    <w:rsid w:val="00083B60"/>
    <w:rsid w:val="00083B6F"/>
    <w:rsid w:val="00083D27"/>
    <w:rsid w:val="00083D71"/>
    <w:rsid w:val="00083EC8"/>
    <w:rsid w:val="00083F0B"/>
    <w:rsid w:val="00083F71"/>
    <w:rsid w:val="00083F8C"/>
    <w:rsid w:val="00083FB3"/>
    <w:rsid w:val="00083FDE"/>
    <w:rsid w:val="00084032"/>
    <w:rsid w:val="000840AF"/>
    <w:rsid w:val="000840C2"/>
    <w:rsid w:val="00084111"/>
    <w:rsid w:val="0008424F"/>
    <w:rsid w:val="000842A8"/>
    <w:rsid w:val="000842D6"/>
    <w:rsid w:val="000842E8"/>
    <w:rsid w:val="00084339"/>
    <w:rsid w:val="000843C7"/>
    <w:rsid w:val="000843E9"/>
    <w:rsid w:val="00084721"/>
    <w:rsid w:val="00084744"/>
    <w:rsid w:val="00084753"/>
    <w:rsid w:val="00084773"/>
    <w:rsid w:val="0008477E"/>
    <w:rsid w:val="000847A4"/>
    <w:rsid w:val="000847C5"/>
    <w:rsid w:val="000847E9"/>
    <w:rsid w:val="000848E4"/>
    <w:rsid w:val="000849D8"/>
    <w:rsid w:val="000849FE"/>
    <w:rsid w:val="00084AB7"/>
    <w:rsid w:val="00084BE6"/>
    <w:rsid w:val="00084BF0"/>
    <w:rsid w:val="00084C06"/>
    <w:rsid w:val="00084CF6"/>
    <w:rsid w:val="00084D09"/>
    <w:rsid w:val="00084DC5"/>
    <w:rsid w:val="00084ECA"/>
    <w:rsid w:val="00084EF4"/>
    <w:rsid w:val="00084F4E"/>
    <w:rsid w:val="00084FB1"/>
    <w:rsid w:val="00084FE5"/>
    <w:rsid w:val="000850F9"/>
    <w:rsid w:val="00085298"/>
    <w:rsid w:val="000852E2"/>
    <w:rsid w:val="00085365"/>
    <w:rsid w:val="0008537E"/>
    <w:rsid w:val="0008546D"/>
    <w:rsid w:val="000854DA"/>
    <w:rsid w:val="00085540"/>
    <w:rsid w:val="0008567C"/>
    <w:rsid w:val="000857C9"/>
    <w:rsid w:val="000857CE"/>
    <w:rsid w:val="000858E5"/>
    <w:rsid w:val="000859F2"/>
    <w:rsid w:val="00085A9A"/>
    <w:rsid w:val="00085AD9"/>
    <w:rsid w:val="00085AF5"/>
    <w:rsid w:val="00085B51"/>
    <w:rsid w:val="00085B5C"/>
    <w:rsid w:val="00085BB3"/>
    <w:rsid w:val="00085BCB"/>
    <w:rsid w:val="00085BCD"/>
    <w:rsid w:val="00085BFB"/>
    <w:rsid w:val="00085CC3"/>
    <w:rsid w:val="00085CCD"/>
    <w:rsid w:val="00085D11"/>
    <w:rsid w:val="00085D15"/>
    <w:rsid w:val="00085D4B"/>
    <w:rsid w:val="00085EAF"/>
    <w:rsid w:val="00085F04"/>
    <w:rsid w:val="00085F69"/>
    <w:rsid w:val="00086036"/>
    <w:rsid w:val="00086064"/>
    <w:rsid w:val="00086192"/>
    <w:rsid w:val="00086271"/>
    <w:rsid w:val="00086327"/>
    <w:rsid w:val="00086341"/>
    <w:rsid w:val="0008634C"/>
    <w:rsid w:val="00086393"/>
    <w:rsid w:val="000864A3"/>
    <w:rsid w:val="000864CB"/>
    <w:rsid w:val="00086505"/>
    <w:rsid w:val="0008655D"/>
    <w:rsid w:val="00086696"/>
    <w:rsid w:val="000866CA"/>
    <w:rsid w:val="000867F8"/>
    <w:rsid w:val="00086842"/>
    <w:rsid w:val="0008688C"/>
    <w:rsid w:val="000869EF"/>
    <w:rsid w:val="00086A5F"/>
    <w:rsid w:val="00086B92"/>
    <w:rsid w:val="00086BD3"/>
    <w:rsid w:val="00086C1F"/>
    <w:rsid w:val="00086C87"/>
    <w:rsid w:val="00086C9F"/>
    <w:rsid w:val="00086CA6"/>
    <w:rsid w:val="00086D4A"/>
    <w:rsid w:val="00086D5C"/>
    <w:rsid w:val="00086D84"/>
    <w:rsid w:val="00086E2A"/>
    <w:rsid w:val="00086E57"/>
    <w:rsid w:val="00086EE2"/>
    <w:rsid w:val="00086F4D"/>
    <w:rsid w:val="00086F76"/>
    <w:rsid w:val="00086FA7"/>
    <w:rsid w:val="0008701C"/>
    <w:rsid w:val="00087119"/>
    <w:rsid w:val="00087138"/>
    <w:rsid w:val="00087253"/>
    <w:rsid w:val="000872CE"/>
    <w:rsid w:val="0008746E"/>
    <w:rsid w:val="0008757B"/>
    <w:rsid w:val="00087583"/>
    <w:rsid w:val="00087651"/>
    <w:rsid w:val="000877D8"/>
    <w:rsid w:val="0008783A"/>
    <w:rsid w:val="000879C6"/>
    <w:rsid w:val="00087A22"/>
    <w:rsid w:val="00087A6F"/>
    <w:rsid w:val="00087AD8"/>
    <w:rsid w:val="00087BB5"/>
    <w:rsid w:val="00087C12"/>
    <w:rsid w:val="00087C1A"/>
    <w:rsid w:val="00087C9B"/>
    <w:rsid w:val="00087D9F"/>
    <w:rsid w:val="00087DA5"/>
    <w:rsid w:val="00087E70"/>
    <w:rsid w:val="00087EB5"/>
    <w:rsid w:val="00087EF0"/>
    <w:rsid w:val="00087F78"/>
    <w:rsid w:val="00087FEC"/>
    <w:rsid w:val="00090028"/>
    <w:rsid w:val="00090160"/>
    <w:rsid w:val="00090230"/>
    <w:rsid w:val="000902BC"/>
    <w:rsid w:val="000902EB"/>
    <w:rsid w:val="000903C0"/>
    <w:rsid w:val="00090438"/>
    <w:rsid w:val="0009058E"/>
    <w:rsid w:val="00090736"/>
    <w:rsid w:val="0009078E"/>
    <w:rsid w:val="0009086E"/>
    <w:rsid w:val="000908C7"/>
    <w:rsid w:val="00090968"/>
    <w:rsid w:val="000909B8"/>
    <w:rsid w:val="00090A88"/>
    <w:rsid w:val="00090BF3"/>
    <w:rsid w:val="00090C4D"/>
    <w:rsid w:val="00090CBA"/>
    <w:rsid w:val="00090E5E"/>
    <w:rsid w:val="00090F49"/>
    <w:rsid w:val="00091081"/>
    <w:rsid w:val="00091091"/>
    <w:rsid w:val="000910B5"/>
    <w:rsid w:val="000910B7"/>
    <w:rsid w:val="0009121F"/>
    <w:rsid w:val="00091239"/>
    <w:rsid w:val="00091327"/>
    <w:rsid w:val="00091367"/>
    <w:rsid w:val="000914E9"/>
    <w:rsid w:val="000914F8"/>
    <w:rsid w:val="000915EC"/>
    <w:rsid w:val="000915FF"/>
    <w:rsid w:val="000916EA"/>
    <w:rsid w:val="0009182D"/>
    <w:rsid w:val="00091842"/>
    <w:rsid w:val="00091880"/>
    <w:rsid w:val="0009189A"/>
    <w:rsid w:val="000918DA"/>
    <w:rsid w:val="000919C8"/>
    <w:rsid w:val="00091A5C"/>
    <w:rsid w:val="00091A83"/>
    <w:rsid w:val="00091ADC"/>
    <w:rsid w:val="00091ADD"/>
    <w:rsid w:val="00091AE6"/>
    <w:rsid w:val="00091AF9"/>
    <w:rsid w:val="00091BA1"/>
    <w:rsid w:val="00091C77"/>
    <w:rsid w:val="00091C97"/>
    <w:rsid w:val="00091D61"/>
    <w:rsid w:val="00091D74"/>
    <w:rsid w:val="00091DB8"/>
    <w:rsid w:val="00091F14"/>
    <w:rsid w:val="00091F54"/>
    <w:rsid w:val="0009203D"/>
    <w:rsid w:val="00092042"/>
    <w:rsid w:val="0009205F"/>
    <w:rsid w:val="00092081"/>
    <w:rsid w:val="0009209C"/>
    <w:rsid w:val="00092245"/>
    <w:rsid w:val="000922B8"/>
    <w:rsid w:val="0009238D"/>
    <w:rsid w:val="00092396"/>
    <w:rsid w:val="000923BE"/>
    <w:rsid w:val="000923EF"/>
    <w:rsid w:val="000925C3"/>
    <w:rsid w:val="000925D1"/>
    <w:rsid w:val="00092615"/>
    <w:rsid w:val="00092672"/>
    <w:rsid w:val="0009269A"/>
    <w:rsid w:val="000926AB"/>
    <w:rsid w:val="00092795"/>
    <w:rsid w:val="00092804"/>
    <w:rsid w:val="00092936"/>
    <w:rsid w:val="0009294E"/>
    <w:rsid w:val="0009298F"/>
    <w:rsid w:val="00092A07"/>
    <w:rsid w:val="00092A70"/>
    <w:rsid w:val="00092BC2"/>
    <w:rsid w:val="00092BEB"/>
    <w:rsid w:val="00092C11"/>
    <w:rsid w:val="00092CB8"/>
    <w:rsid w:val="00092E21"/>
    <w:rsid w:val="00092E9A"/>
    <w:rsid w:val="00092EA5"/>
    <w:rsid w:val="00092ED9"/>
    <w:rsid w:val="000930C9"/>
    <w:rsid w:val="0009324E"/>
    <w:rsid w:val="000932B1"/>
    <w:rsid w:val="000932C5"/>
    <w:rsid w:val="00093318"/>
    <w:rsid w:val="0009332B"/>
    <w:rsid w:val="000935BB"/>
    <w:rsid w:val="000935F6"/>
    <w:rsid w:val="0009361C"/>
    <w:rsid w:val="0009363B"/>
    <w:rsid w:val="0009363C"/>
    <w:rsid w:val="000936C3"/>
    <w:rsid w:val="00093768"/>
    <w:rsid w:val="0009378B"/>
    <w:rsid w:val="0009384F"/>
    <w:rsid w:val="000938C7"/>
    <w:rsid w:val="0009391C"/>
    <w:rsid w:val="000939B6"/>
    <w:rsid w:val="00093A39"/>
    <w:rsid w:val="00093AA1"/>
    <w:rsid w:val="00093AE5"/>
    <w:rsid w:val="00093C49"/>
    <w:rsid w:val="00093D28"/>
    <w:rsid w:val="00093EB5"/>
    <w:rsid w:val="00093F54"/>
    <w:rsid w:val="00093FA8"/>
    <w:rsid w:val="00093FB8"/>
    <w:rsid w:val="00094252"/>
    <w:rsid w:val="00094278"/>
    <w:rsid w:val="00094285"/>
    <w:rsid w:val="000942D7"/>
    <w:rsid w:val="000942DE"/>
    <w:rsid w:val="00094399"/>
    <w:rsid w:val="000943DD"/>
    <w:rsid w:val="0009448F"/>
    <w:rsid w:val="0009459A"/>
    <w:rsid w:val="00094671"/>
    <w:rsid w:val="000947EF"/>
    <w:rsid w:val="000948B5"/>
    <w:rsid w:val="000948EB"/>
    <w:rsid w:val="000948FD"/>
    <w:rsid w:val="0009497F"/>
    <w:rsid w:val="00094985"/>
    <w:rsid w:val="00094A65"/>
    <w:rsid w:val="00094C14"/>
    <w:rsid w:val="00094D35"/>
    <w:rsid w:val="00094D49"/>
    <w:rsid w:val="00094E45"/>
    <w:rsid w:val="00094E4B"/>
    <w:rsid w:val="00094F0B"/>
    <w:rsid w:val="00094FD3"/>
    <w:rsid w:val="00095034"/>
    <w:rsid w:val="0009505C"/>
    <w:rsid w:val="00095141"/>
    <w:rsid w:val="000951A6"/>
    <w:rsid w:val="000951E6"/>
    <w:rsid w:val="00095284"/>
    <w:rsid w:val="000952CD"/>
    <w:rsid w:val="0009537B"/>
    <w:rsid w:val="0009541F"/>
    <w:rsid w:val="0009542E"/>
    <w:rsid w:val="0009544E"/>
    <w:rsid w:val="0009549F"/>
    <w:rsid w:val="000954BD"/>
    <w:rsid w:val="00095512"/>
    <w:rsid w:val="00095740"/>
    <w:rsid w:val="00095768"/>
    <w:rsid w:val="0009586A"/>
    <w:rsid w:val="0009595C"/>
    <w:rsid w:val="00095966"/>
    <w:rsid w:val="00095A05"/>
    <w:rsid w:val="00095A6B"/>
    <w:rsid w:val="00095A81"/>
    <w:rsid w:val="00095AB4"/>
    <w:rsid w:val="00095B15"/>
    <w:rsid w:val="00095BDC"/>
    <w:rsid w:val="00095BE0"/>
    <w:rsid w:val="00095D07"/>
    <w:rsid w:val="00095D31"/>
    <w:rsid w:val="00095FB3"/>
    <w:rsid w:val="0009605A"/>
    <w:rsid w:val="000960CF"/>
    <w:rsid w:val="0009612F"/>
    <w:rsid w:val="000961A0"/>
    <w:rsid w:val="000961A5"/>
    <w:rsid w:val="000961BE"/>
    <w:rsid w:val="000961ED"/>
    <w:rsid w:val="0009641B"/>
    <w:rsid w:val="0009641F"/>
    <w:rsid w:val="00096438"/>
    <w:rsid w:val="0009649B"/>
    <w:rsid w:val="00096514"/>
    <w:rsid w:val="0009653C"/>
    <w:rsid w:val="0009654C"/>
    <w:rsid w:val="000965BD"/>
    <w:rsid w:val="00096641"/>
    <w:rsid w:val="000966BA"/>
    <w:rsid w:val="000966E4"/>
    <w:rsid w:val="00096762"/>
    <w:rsid w:val="000967E4"/>
    <w:rsid w:val="00096852"/>
    <w:rsid w:val="000968DC"/>
    <w:rsid w:val="00096967"/>
    <w:rsid w:val="000969A6"/>
    <w:rsid w:val="000969CB"/>
    <w:rsid w:val="00096A18"/>
    <w:rsid w:val="00096A50"/>
    <w:rsid w:val="00096A6E"/>
    <w:rsid w:val="00096ACA"/>
    <w:rsid w:val="00096B6D"/>
    <w:rsid w:val="00096B82"/>
    <w:rsid w:val="00096CF4"/>
    <w:rsid w:val="00096D26"/>
    <w:rsid w:val="00096D27"/>
    <w:rsid w:val="00096E92"/>
    <w:rsid w:val="00096FD1"/>
    <w:rsid w:val="000970A1"/>
    <w:rsid w:val="000970C4"/>
    <w:rsid w:val="0009714E"/>
    <w:rsid w:val="0009714F"/>
    <w:rsid w:val="00097169"/>
    <w:rsid w:val="0009725A"/>
    <w:rsid w:val="000972CB"/>
    <w:rsid w:val="000972F0"/>
    <w:rsid w:val="000975EC"/>
    <w:rsid w:val="00097627"/>
    <w:rsid w:val="00097657"/>
    <w:rsid w:val="000976C9"/>
    <w:rsid w:val="000976D4"/>
    <w:rsid w:val="00097740"/>
    <w:rsid w:val="000977B1"/>
    <w:rsid w:val="000977B3"/>
    <w:rsid w:val="000977E7"/>
    <w:rsid w:val="000977F7"/>
    <w:rsid w:val="000978DE"/>
    <w:rsid w:val="00097915"/>
    <w:rsid w:val="0009795C"/>
    <w:rsid w:val="000979AA"/>
    <w:rsid w:val="00097AF1"/>
    <w:rsid w:val="00097BA3"/>
    <w:rsid w:val="00097BF5"/>
    <w:rsid w:val="00097C4E"/>
    <w:rsid w:val="00097DD8"/>
    <w:rsid w:val="00097E31"/>
    <w:rsid w:val="00097E77"/>
    <w:rsid w:val="00097EF1"/>
    <w:rsid w:val="00097F47"/>
    <w:rsid w:val="00097FE6"/>
    <w:rsid w:val="00097FEB"/>
    <w:rsid w:val="00097FFC"/>
    <w:rsid w:val="000A01EF"/>
    <w:rsid w:val="000A0313"/>
    <w:rsid w:val="000A0355"/>
    <w:rsid w:val="000A0381"/>
    <w:rsid w:val="000A03DE"/>
    <w:rsid w:val="000A049F"/>
    <w:rsid w:val="000A04FF"/>
    <w:rsid w:val="000A054F"/>
    <w:rsid w:val="000A0685"/>
    <w:rsid w:val="000A06D9"/>
    <w:rsid w:val="000A074E"/>
    <w:rsid w:val="000A07D7"/>
    <w:rsid w:val="000A0991"/>
    <w:rsid w:val="000A0A77"/>
    <w:rsid w:val="000A0A90"/>
    <w:rsid w:val="000A0AAD"/>
    <w:rsid w:val="000A0ABE"/>
    <w:rsid w:val="000A0C1F"/>
    <w:rsid w:val="000A0CDE"/>
    <w:rsid w:val="000A0D23"/>
    <w:rsid w:val="000A0D31"/>
    <w:rsid w:val="000A0D78"/>
    <w:rsid w:val="000A0DAF"/>
    <w:rsid w:val="000A0F67"/>
    <w:rsid w:val="000A0FAE"/>
    <w:rsid w:val="000A100A"/>
    <w:rsid w:val="000A10D2"/>
    <w:rsid w:val="000A10E7"/>
    <w:rsid w:val="000A113B"/>
    <w:rsid w:val="000A114F"/>
    <w:rsid w:val="000A12BA"/>
    <w:rsid w:val="000A134E"/>
    <w:rsid w:val="000A1359"/>
    <w:rsid w:val="000A13D6"/>
    <w:rsid w:val="000A13D8"/>
    <w:rsid w:val="000A14FC"/>
    <w:rsid w:val="000A155B"/>
    <w:rsid w:val="000A16B2"/>
    <w:rsid w:val="000A16F6"/>
    <w:rsid w:val="000A170F"/>
    <w:rsid w:val="000A17A6"/>
    <w:rsid w:val="000A18C1"/>
    <w:rsid w:val="000A18F0"/>
    <w:rsid w:val="000A1974"/>
    <w:rsid w:val="000A1988"/>
    <w:rsid w:val="000A19F7"/>
    <w:rsid w:val="000A1A16"/>
    <w:rsid w:val="000A1A9C"/>
    <w:rsid w:val="000A1B3D"/>
    <w:rsid w:val="000A1C22"/>
    <w:rsid w:val="000A1C31"/>
    <w:rsid w:val="000A1D0E"/>
    <w:rsid w:val="000A1D15"/>
    <w:rsid w:val="000A1D48"/>
    <w:rsid w:val="000A1D50"/>
    <w:rsid w:val="000A1DF5"/>
    <w:rsid w:val="000A1F16"/>
    <w:rsid w:val="000A1FBA"/>
    <w:rsid w:val="000A2048"/>
    <w:rsid w:val="000A2123"/>
    <w:rsid w:val="000A21BB"/>
    <w:rsid w:val="000A2201"/>
    <w:rsid w:val="000A2261"/>
    <w:rsid w:val="000A228E"/>
    <w:rsid w:val="000A2290"/>
    <w:rsid w:val="000A22C8"/>
    <w:rsid w:val="000A22CB"/>
    <w:rsid w:val="000A22F8"/>
    <w:rsid w:val="000A2320"/>
    <w:rsid w:val="000A2451"/>
    <w:rsid w:val="000A2472"/>
    <w:rsid w:val="000A2491"/>
    <w:rsid w:val="000A2588"/>
    <w:rsid w:val="000A25F8"/>
    <w:rsid w:val="000A2677"/>
    <w:rsid w:val="000A267E"/>
    <w:rsid w:val="000A281C"/>
    <w:rsid w:val="000A28E9"/>
    <w:rsid w:val="000A2964"/>
    <w:rsid w:val="000A296A"/>
    <w:rsid w:val="000A2992"/>
    <w:rsid w:val="000A29BE"/>
    <w:rsid w:val="000A29E5"/>
    <w:rsid w:val="000A2AEE"/>
    <w:rsid w:val="000A2B64"/>
    <w:rsid w:val="000A2BDD"/>
    <w:rsid w:val="000A2C5C"/>
    <w:rsid w:val="000A2D88"/>
    <w:rsid w:val="000A2ECA"/>
    <w:rsid w:val="000A2F13"/>
    <w:rsid w:val="000A2F31"/>
    <w:rsid w:val="000A2FDD"/>
    <w:rsid w:val="000A3132"/>
    <w:rsid w:val="000A3281"/>
    <w:rsid w:val="000A3287"/>
    <w:rsid w:val="000A33F5"/>
    <w:rsid w:val="000A3526"/>
    <w:rsid w:val="000A353D"/>
    <w:rsid w:val="000A3624"/>
    <w:rsid w:val="000A3627"/>
    <w:rsid w:val="000A3723"/>
    <w:rsid w:val="000A3760"/>
    <w:rsid w:val="000A37A5"/>
    <w:rsid w:val="000A38A4"/>
    <w:rsid w:val="000A38A5"/>
    <w:rsid w:val="000A3917"/>
    <w:rsid w:val="000A3A24"/>
    <w:rsid w:val="000A3A43"/>
    <w:rsid w:val="000A3A7C"/>
    <w:rsid w:val="000A3B36"/>
    <w:rsid w:val="000A3BCC"/>
    <w:rsid w:val="000A3D63"/>
    <w:rsid w:val="000A3E72"/>
    <w:rsid w:val="000A40E8"/>
    <w:rsid w:val="000A4211"/>
    <w:rsid w:val="000A432B"/>
    <w:rsid w:val="000A44A9"/>
    <w:rsid w:val="000A451B"/>
    <w:rsid w:val="000A453B"/>
    <w:rsid w:val="000A464A"/>
    <w:rsid w:val="000A4725"/>
    <w:rsid w:val="000A47CF"/>
    <w:rsid w:val="000A47E5"/>
    <w:rsid w:val="000A48BD"/>
    <w:rsid w:val="000A490A"/>
    <w:rsid w:val="000A4AA5"/>
    <w:rsid w:val="000A4AFB"/>
    <w:rsid w:val="000A4B0C"/>
    <w:rsid w:val="000A4BBE"/>
    <w:rsid w:val="000A4D1C"/>
    <w:rsid w:val="000A4D26"/>
    <w:rsid w:val="000A4E66"/>
    <w:rsid w:val="000A4F4F"/>
    <w:rsid w:val="000A4FE6"/>
    <w:rsid w:val="000A5089"/>
    <w:rsid w:val="000A5193"/>
    <w:rsid w:val="000A5243"/>
    <w:rsid w:val="000A5261"/>
    <w:rsid w:val="000A5284"/>
    <w:rsid w:val="000A52C4"/>
    <w:rsid w:val="000A5309"/>
    <w:rsid w:val="000A5446"/>
    <w:rsid w:val="000A545C"/>
    <w:rsid w:val="000A5464"/>
    <w:rsid w:val="000A5485"/>
    <w:rsid w:val="000A54BC"/>
    <w:rsid w:val="000A54D1"/>
    <w:rsid w:val="000A565C"/>
    <w:rsid w:val="000A566F"/>
    <w:rsid w:val="000A56C2"/>
    <w:rsid w:val="000A56C8"/>
    <w:rsid w:val="000A56E6"/>
    <w:rsid w:val="000A57F8"/>
    <w:rsid w:val="000A582F"/>
    <w:rsid w:val="000A5897"/>
    <w:rsid w:val="000A5924"/>
    <w:rsid w:val="000A5928"/>
    <w:rsid w:val="000A59AB"/>
    <w:rsid w:val="000A59B7"/>
    <w:rsid w:val="000A59F7"/>
    <w:rsid w:val="000A5A68"/>
    <w:rsid w:val="000A5AEF"/>
    <w:rsid w:val="000A5B97"/>
    <w:rsid w:val="000A5BCD"/>
    <w:rsid w:val="000A5BD1"/>
    <w:rsid w:val="000A5D2E"/>
    <w:rsid w:val="000A5E40"/>
    <w:rsid w:val="000A5E65"/>
    <w:rsid w:val="000A5E88"/>
    <w:rsid w:val="000A5F3F"/>
    <w:rsid w:val="000A5F79"/>
    <w:rsid w:val="000A5FF5"/>
    <w:rsid w:val="000A6013"/>
    <w:rsid w:val="000A606D"/>
    <w:rsid w:val="000A60A2"/>
    <w:rsid w:val="000A619D"/>
    <w:rsid w:val="000A61FD"/>
    <w:rsid w:val="000A6264"/>
    <w:rsid w:val="000A6354"/>
    <w:rsid w:val="000A640A"/>
    <w:rsid w:val="000A6438"/>
    <w:rsid w:val="000A6588"/>
    <w:rsid w:val="000A6593"/>
    <w:rsid w:val="000A659F"/>
    <w:rsid w:val="000A6654"/>
    <w:rsid w:val="000A66B1"/>
    <w:rsid w:val="000A670D"/>
    <w:rsid w:val="000A6718"/>
    <w:rsid w:val="000A675B"/>
    <w:rsid w:val="000A686A"/>
    <w:rsid w:val="000A68D2"/>
    <w:rsid w:val="000A6959"/>
    <w:rsid w:val="000A6A90"/>
    <w:rsid w:val="000A6ACA"/>
    <w:rsid w:val="000A6ACE"/>
    <w:rsid w:val="000A6AD3"/>
    <w:rsid w:val="000A6B18"/>
    <w:rsid w:val="000A6B7C"/>
    <w:rsid w:val="000A6C37"/>
    <w:rsid w:val="000A6C42"/>
    <w:rsid w:val="000A6C7E"/>
    <w:rsid w:val="000A6CC9"/>
    <w:rsid w:val="000A6CDB"/>
    <w:rsid w:val="000A6E77"/>
    <w:rsid w:val="000A7108"/>
    <w:rsid w:val="000A7125"/>
    <w:rsid w:val="000A71E5"/>
    <w:rsid w:val="000A7216"/>
    <w:rsid w:val="000A72AD"/>
    <w:rsid w:val="000A730C"/>
    <w:rsid w:val="000A7343"/>
    <w:rsid w:val="000A750F"/>
    <w:rsid w:val="000A7558"/>
    <w:rsid w:val="000A756F"/>
    <w:rsid w:val="000A75DF"/>
    <w:rsid w:val="000A767F"/>
    <w:rsid w:val="000A76B2"/>
    <w:rsid w:val="000A76F9"/>
    <w:rsid w:val="000A7794"/>
    <w:rsid w:val="000A7942"/>
    <w:rsid w:val="000A797F"/>
    <w:rsid w:val="000A7A95"/>
    <w:rsid w:val="000A7AAB"/>
    <w:rsid w:val="000A7AE5"/>
    <w:rsid w:val="000A7B30"/>
    <w:rsid w:val="000A7B90"/>
    <w:rsid w:val="000A7C27"/>
    <w:rsid w:val="000A7C69"/>
    <w:rsid w:val="000A7C6B"/>
    <w:rsid w:val="000A7D3B"/>
    <w:rsid w:val="000A7D67"/>
    <w:rsid w:val="000A7DB9"/>
    <w:rsid w:val="000A7E9F"/>
    <w:rsid w:val="000A7F1A"/>
    <w:rsid w:val="000A7F2B"/>
    <w:rsid w:val="000A7F34"/>
    <w:rsid w:val="000A7F6B"/>
    <w:rsid w:val="000A7FA0"/>
    <w:rsid w:val="000B007A"/>
    <w:rsid w:val="000B0097"/>
    <w:rsid w:val="000B00BE"/>
    <w:rsid w:val="000B025A"/>
    <w:rsid w:val="000B0285"/>
    <w:rsid w:val="000B02C8"/>
    <w:rsid w:val="000B0490"/>
    <w:rsid w:val="000B04D7"/>
    <w:rsid w:val="000B058C"/>
    <w:rsid w:val="000B05AD"/>
    <w:rsid w:val="000B0677"/>
    <w:rsid w:val="000B0706"/>
    <w:rsid w:val="000B072B"/>
    <w:rsid w:val="000B0849"/>
    <w:rsid w:val="000B08DC"/>
    <w:rsid w:val="000B0A0B"/>
    <w:rsid w:val="000B0A87"/>
    <w:rsid w:val="000B0ACF"/>
    <w:rsid w:val="000B0BC8"/>
    <w:rsid w:val="000B0CB4"/>
    <w:rsid w:val="000B0CD6"/>
    <w:rsid w:val="000B0E1C"/>
    <w:rsid w:val="000B0E59"/>
    <w:rsid w:val="000B0F3F"/>
    <w:rsid w:val="000B1053"/>
    <w:rsid w:val="000B1122"/>
    <w:rsid w:val="000B112F"/>
    <w:rsid w:val="000B1191"/>
    <w:rsid w:val="000B11BF"/>
    <w:rsid w:val="000B1285"/>
    <w:rsid w:val="000B12CC"/>
    <w:rsid w:val="000B13EA"/>
    <w:rsid w:val="000B1495"/>
    <w:rsid w:val="000B1514"/>
    <w:rsid w:val="000B1558"/>
    <w:rsid w:val="000B1664"/>
    <w:rsid w:val="000B1668"/>
    <w:rsid w:val="000B1689"/>
    <w:rsid w:val="000B16D1"/>
    <w:rsid w:val="000B16F1"/>
    <w:rsid w:val="000B1709"/>
    <w:rsid w:val="000B1845"/>
    <w:rsid w:val="000B1893"/>
    <w:rsid w:val="000B19D6"/>
    <w:rsid w:val="000B19E5"/>
    <w:rsid w:val="000B1A06"/>
    <w:rsid w:val="000B1A96"/>
    <w:rsid w:val="000B1B1D"/>
    <w:rsid w:val="000B1B44"/>
    <w:rsid w:val="000B1BEB"/>
    <w:rsid w:val="000B1CE3"/>
    <w:rsid w:val="000B1DF8"/>
    <w:rsid w:val="000B1E56"/>
    <w:rsid w:val="000B1E74"/>
    <w:rsid w:val="000B1F1D"/>
    <w:rsid w:val="000B1FB9"/>
    <w:rsid w:val="000B1FD4"/>
    <w:rsid w:val="000B2001"/>
    <w:rsid w:val="000B20AA"/>
    <w:rsid w:val="000B20B0"/>
    <w:rsid w:val="000B20C5"/>
    <w:rsid w:val="000B21C3"/>
    <w:rsid w:val="000B21DC"/>
    <w:rsid w:val="000B22A7"/>
    <w:rsid w:val="000B22BD"/>
    <w:rsid w:val="000B22FF"/>
    <w:rsid w:val="000B2390"/>
    <w:rsid w:val="000B23B2"/>
    <w:rsid w:val="000B2543"/>
    <w:rsid w:val="000B255E"/>
    <w:rsid w:val="000B25EF"/>
    <w:rsid w:val="000B25FC"/>
    <w:rsid w:val="000B26BC"/>
    <w:rsid w:val="000B27B5"/>
    <w:rsid w:val="000B27C8"/>
    <w:rsid w:val="000B2841"/>
    <w:rsid w:val="000B28E1"/>
    <w:rsid w:val="000B292C"/>
    <w:rsid w:val="000B2997"/>
    <w:rsid w:val="000B2A2C"/>
    <w:rsid w:val="000B2A48"/>
    <w:rsid w:val="000B2A54"/>
    <w:rsid w:val="000B2ABE"/>
    <w:rsid w:val="000B2B0A"/>
    <w:rsid w:val="000B2B22"/>
    <w:rsid w:val="000B2B4A"/>
    <w:rsid w:val="000B2B59"/>
    <w:rsid w:val="000B2BFA"/>
    <w:rsid w:val="000B2C6C"/>
    <w:rsid w:val="000B2C7E"/>
    <w:rsid w:val="000B2CFE"/>
    <w:rsid w:val="000B2F4F"/>
    <w:rsid w:val="000B300A"/>
    <w:rsid w:val="000B300C"/>
    <w:rsid w:val="000B30D0"/>
    <w:rsid w:val="000B3187"/>
    <w:rsid w:val="000B31D5"/>
    <w:rsid w:val="000B33EF"/>
    <w:rsid w:val="000B33F8"/>
    <w:rsid w:val="000B3453"/>
    <w:rsid w:val="000B364F"/>
    <w:rsid w:val="000B3862"/>
    <w:rsid w:val="000B3943"/>
    <w:rsid w:val="000B397C"/>
    <w:rsid w:val="000B3A80"/>
    <w:rsid w:val="000B3A89"/>
    <w:rsid w:val="000B3BAC"/>
    <w:rsid w:val="000B3BD6"/>
    <w:rsid w:val="000B3BE8"/>
    <w:rsid w:val="000B3C79"/>
    <w:rsid w:val="000B3C8D"/>
    <w:rsid w:val="000B3DF5"/>
    <w:rsid w:val="000B3EEE"/>
    <w:rsid w:val="000B3F28"/>
    <w:rsid w:val="000B3F54"/>
    <w:rsid w:val="000B4063"/>
    <w:rsid w:val="000B40A9"/>
    <w:rsid w:val="000B4105"/>
    <w:rsid w:val="000B4132"/>
    <w:rsid w:val="000B4146"/>
    <w:rsid w:val="000B42B7"/>
    <w:rsid w:val="000B4342"/>
    <w:rsid w:val="000B43B7"/>
    <w:rsid w:val="000B4436"/>
    <w:rsid w:val="000B4439"/>
    <w:rsid w:val="000B454B"/>
    <w:rsid w:val="000B45EC"/>
    <w:rsid w:val="000B464B"/>
    <w:rsid w:val="000B46A1"/>
    <w:rsid w:val="000B47E3"/>
    <w:rsid w:val="000B484E"/>
    <w:rsid w:val="000B48AD"/>
    <w:rsid w:val="000B490E"/>
    <w:rsid w:val="000B4A35"/>
    <w:rsid w:val="000B4B2A"/>
    <w:rsid w:val="000B4BB1"/>
    <w:rsid w:val="000B4C5A"/>
    <w:rsid w:val="000B4C5B"/>
    <w:rsid w:val="000B4C69"/>
    <w:rsid w:val="000B4D07"/>
    <w:rsid w:val="000B4D09"/>
    <w:rsid w:val="000B4D49"/>
    <w:rsid w:val="000B4DCC"/>
    <w:rsid w:val="000B4DDF"/>
    <w:rsid w:val="000B4EB3"/>
    <w:rsid w:val="000B4ECA"/>
    <w:rsid w:val="000B5063"/>
    <w:rsid w:val="000B514F"/>
    <w:rsid w:val="000B52C8"/>
    <w:rsid w:val="000B52F2"/>
    <w:rsid w:val="000B5447"/>
    <w:rsid w:val="000B54E6"/>
    <w:rsid w:val="000B55B0"/>
    <w:rsid w:val="000B5608"/>
    <w:rsid w:val="000B566C"/>
    <w:rsid w:val="000B5774"/>
    <w:rsid w:val="000B5801"/>
    <w:rsid w:val="000B582C"/>
    <w:rsid w:val="000B5B05"/>
    <w:rsid w:val="000B5B31"/>
    <w:rsid w:val="000B5B87"/>
    <w:rsid w:val="000B5C42"/>
    <w:rsid w:val="000B5C59"/>
    <w:rsid w:val="000B5C7E"/>
    <w:rsid w:val="000B5C87"/>
    <w:rsid w:val="000B5CD7"/>
    <w:rsid w:val="000B5CE2"/>
    <w:rsid w:val="000B5D92"/>
    <w:rsid w:val="000B5E8E"/>
    <w:rsid w:val="000B5F02"/>
    <w:rsid w:val="000B5F38"/>
    <w:rsid w:val="000B6005"/>
    <w:rsid w:val="000B6176"/>
    <w:rsid w:val="000B6190"/>
    <w:rsid w:val="000B61E7"/>
    <w:rsid w:val="000B622C"/>
    <w:rsid w:val="000B628C"/>
    <w:rsid w:val="000B6336"/>
    <w:rsid w:val="000B635A"/>
    <w:rsid w:val="000B63D1"/>
    <w:rsid w:val="000B6474"/>
    <w:rsid w:val="000B65F7"/>
    <w:rsid w:val="000B666A"/>
    <w:rsid w:val="000B66C3"/>
    <w:rsid w:val="000B66CB"/>
    <w:rsid w:val="000B66E0"/>
    <w:rsid w:val="000B6729"/>
    <w:rsid w:val="000B67B1"/>
    <w:rsid w:val="000B6824"/>
    <w:rsid w:val="000B6882"/>
    <w:rsid w:val="000B68B1"/>
    <w:rsid w:val="000B6965"/>
    <w:rsid w:val="000B6A4C"/>
    <w:rsid w:val="000B6A98"/>
    <w:rsid w:val="000B6C5F"/>
    <w:rsid w:val="000B6CBC"/>
    <w:rsid w:val="000B6CC0"/>
    <w:rsid w:val="000B6D2F"/>
    <w:rsid w:val="000B6DCB"/>
    <w:rsid w:val="000B6DF8"/>
    <w:rsid w:val="000B6E0B"/>
    <w:rsid w:val="000B6E43"/>
    <w:rsid w:val="000B6E51"/>
    <w:rsid w:val="000B6EE4"/>
    <w:rsid w:val="000B6F52"/>
    <w:rsid w:val="000B7080"/>
    <w:rsid w:val="000B7100"/>
    <w:rsid w:val="000B716A"/>
    <w:rsid w:val="000B7195"/>
    <w:rsid w:val="000B71DB"/>
    <w:rsid w:val="000B7205"/>
    <w:rsid w:val="000B7264"/>
    <w:rsid w:val="000B727C"/>
    <w:rsid w:val="000B7280"/>
    <w:rsid w:val="000B7413"/>
    <w:rsid w:val="000B7551"/>
    <w:rsid w:val="000B7846"/>
    <w:rsid w:val="000B787E"/>
    <w:rsid w:val="000B79D7"/>
    <w:rsid w:val="000B7A70"/>
    <w:rsid w:val="000B7AEF"/>
    <w:rsid w:val="000B7B24"/>
    <w:rsid w:val="000B7B6E"/>
    <w:rsid w:val="000B7BD6"/>
    <w:rsid w:val="000B7C29"/>
    <w:rsid w:val="000B7C83"/>
    <w:rsid w:val="000B7CD2"/>
    <w:rsid w:val="000B7D7A"/>
    <w:rsid w:val="000B7E31"/>
    <w:rsid w:val="000B7EF4"/>
    <w:rsid w:val="000C0023"/>
    <w:rsid w:val="000C0144"/>
    <w:rsid w:val="000C01A3"/>
    <w:rsid w:val="000C01AE"/>
    <w:rsid w:val="000C069E"/>
    <w:rsid w:val="000C06B2"/>
    <w:rsid w:val="000C0720"/>
    <w:rsid w:val="000C0728"/>
    <w:rsid w:val="000C07D3"/>
    <w:rsid w:val="000C091B"/>
    <w:rsid w:val="000C0AE3"/>
    <w:rsid w:val="000C0AFB"/>
    <w:rsid w:val="000C0B38"/>
    <w:rsid w:val="000C0B66"/>
    <w:rsid w:val="000C0B76"/>
    <w:rsid w:val="000C0CA9"/>
    <w:rsid w:val="000C0CCB"/>
    <w:rsid w:val="000C0CD3"/>
    <w:rsid w:val="000C0D5E"/>
    <w:rsid w:val="000C0F9A"/>
    <w:rsid w:val="000C0FBA"/>
    <w:rsid w:val="000C0FFA"/>
    <w:rsid w:val="000C1087"/>
    <w:rsid w:val="000C10FC"/>
    <w:rsid w:val="000C1207"/>
    <w:rsid w:val="000C12BA"/>
    <w:rsid w:val="000C13E7"/>
    <w:rsid w:val="000C15F2"/>
    <w:rsid w:val="000C162C"/>
    <w:rsid w:val="000C1680"/>
    <w:rsid w:val="000C169F"/>
    <w:rsid w:val="000C16AA"/>
    <w:rsid w:val="000C16F0"/>
    <w:rsid w:val="000C1725"/>
    <w:rsid w:val="000C1750"/>
    <w:rsid w:val="000C176D"/>
    <w:rsid w:val="000C1814"/>
    <w:rsid w:val="000C1816"/>
    <w:rsid w:val="000C1915"/>
    <w:rsid w:val="000C198D"/>
    <w:rsid w:val="000C1AC3"/>
    <w:rsid w:val="000C1AF0"/>
    <w:rsid w:val="000C1B0B"/>
    <w:rsid w:val="000C1BAC"/>
    <w:rsid w:val="000C1BCF"/>
    <w:rsid w:val="000C1CA1"/>
    <w:rsid w:val="000C1D4B"/>
    <w:rsid w:val="000C1DF6"/>
    <w:rsid w:val="000C1F75"/>
    <w:rsid w:val="000C1F97"/>
    <w:rsid w:val="000C1FC1"/>
    <w:rsid w:val="000C206B"/>
    <w:rsid w:val="000C20BE"/>
    <w:rsid w:val="000C210A"/>
    <w:rsid w:val="000C2175"/>
    <w:rsid w:val="000C217C"/>
    <w:rsid w:val="000C2250"/>
    <w:rsid w:val="000C22EB"/>
    <w:rsid w:val="000C233A"/>
    <w:rsid w:val="000C2451"/>
    <w:rsid w:val="000C245A"/>
    <w:rsid w:val="000C2487"/>
    <w:rsid w:val="000C2509"/>
    <w:rsid w:val="000C255F"/>
    <w:rsid w:val="000C2595"/>
    <w:rsid w:val="000C25CA"/>
    <w:rsid w:val="000C25DF"/>
    <w:rsid w:val="000C264A"/>
    <w:rsid w:val="000C2667"/>
    <w:rsid w:val="000C2711"/>
    <w:rsid w:val="000C2889"/>
    <w:rsid w:val="000C29BE"/>
    <w:rsid w:val="000C2AD7"/>
    <w:rsid w:val="000C2B59"/>
    <w:rsid w:val="000C2BB6"/>
    <w:rsid w:val="000C2DD2"/>
    <w:rsid w:val="000C2EC4"/>
    <w:rsid w:val="000C2EF0"/>
    <w:rsid w:val="000C2FFD"/>
    <w:rsid w:val="000C3118"/>
    <w:rsid w:val="000C3122"/>
    <w:rsid w:val="000C3181"/>
    <w:rsid w:val="000C3236"/>
    <w:rsid w:val="000C33DC"/>
    <w:rsid w:val="000C33FB"/>
    <w:rsid w:val="000C3433"/>
    <w:rsid w:val="000C3459"/>
    <w:rsid w:val="000C35C5"/>
    <w:rsid w:val="000C35D0"/>
    <w:rsid w:val="000C360C"/>
    <w:rsid w:val="000C3627"/>
    <w:rsid w:val="000C370C"/>
    <w:rsid w:val="000C3766"/>
    <w:rsid w:val="000C376C"/>
    <w:rsid w:val="000C378B"/>
    <w:rsid w:val="000C37F2"/>
    <w:rsid w:val="000C3867"/>
    <w:rsid w:val="000C39A2"/>
    <w:rsid w:val="000C3A77"/>
    <w:rsid w:val="000C3AD7"/>
    <w:rsid w:val="000C3ADF"/>
    <w:rsid w:val="000C3BD3"/>
    <w:rsid w:val="000C3C06"/>
    <w:rsid w:val="000C3C3D"/>
    <w:rsid w:val="000C3C40"/>
    <w:rsid w:val="000C3CC5"/>
    <w:rsid w:val="000C3CC7"/>
    <w:rsid w:val="000C3CE1"/>
    <w:rsid w:val="000C3D16"/>
    <w:rsid w:val="000C3DAC"/>
    <w:rsid w:val="000C3E99"/>
    <w:rsid w:val="000C3F40"/>
    <w:rsid w:val="000C3FE4"/>
    <w:rsid w:val="000C4043"/>
    <w:rsid w:val="000C409E"/>
    <w:rsid w:val="000C40D5"/>
    <w:rsid w:val="000C437F"/>
    <w:rsid w:val="000C4388"/>
    <w:rsid w:val="000C438E"/>
    <w:rsid w:val="000C4570"/>
    <w:rsid w:val="000C45D3"/>
    <w:rsid w:val="000C46B2"/>
    <w:rsid w:val="000C4866"/>
    <w:rsid w:val="000C4896"/>
    <w:rsid w:val="000C49A4"/>
    <w:rsid w:val="000C49FF"/>
    <w:rsid w:val="000C4A43"/>
    <w:rsid w:val="000C4A53"/>
    <w:rsid w:val="000C4A77"/>
    <w:rsid w:val="000C4AE3"/>
    <w:rsid w:val="000C4BBB"/>
    <w:rsid w:val="000C4CB7"/>
    <w:rsid w:val="000C4D03"/>
    <w:rsid w:val="000C4D8B"/>
    <w:rsid w:val="000C4DA6"/>
    <w:rsid w:val="000C4FEF"/>
    <w:rsid w:val="000C501F"/>
    <w:rsid w:val="000C5086"/>
    <w:rsid w:val="000C5126"/>
    <w:rsid w:val="000C520A"/>
    <w:rsid w:val="000C52CD"/>
    <w:rsid w:val="000C5342"/>
    <w:rsid w:val="000C5499"/>
    <w:rsid w:val="000C54EA"/>
    <w:rsid w:val="000C5524"/>
    <w:rsid w:val="000C56CF"/>
    <w:rsid w:val="000C576B"/>
    <w:rsid w:val="000C57D7"/>
    <w:rsid w:val="000C57DE"/>
    <w:rsid w:val="000C5814"/>
    <w:rsid w:val="000C5846"/>
    <w:rsid w:val="000C5851"/>
    <w:rsid w:val="000C587B"/>
    <w:rsid w:val="000C587D"/>
    <w:rsid w:val="000C593D"/>
    <w:rsid w:val="000C5A21"/>
    <w:rsid w:val="000C5A65"/>
    <w:rsid w:val="000C5C28"/>
    <w:rsid w:val="000C5E5E"/>
    <w:rsid w:val="000C5F24"/>
    <w:rsid w:val="000C5FDE"/>
    <w:rsid w:val="000C5FE0"/>
    <w:rsid w:val="000C605B"/>
    <w:rsid w:val="000C607F"/>
    <w:rsid w:val="000C6119"/>
    <w:rsid w:val="000C6169"/>
    <w:rsid w:val="000C61D0"/>
    <w:rsid w:val="000C630F"/>
    <w:rsid w:val="000C633A"/>
    <w:rsid w:val="000C638E"/>
    <w:rsid w:val="000C63FC"/>
    <w:rsid w:val="000C64A5"/>
    <w:rsid w:val="000C664D"/>
    <w:rsid w:val="000C67CE"/>
    <w:rsid w:val="000C685D"/>
    <w:rsid w:val="000C68D1"/>
    <w:rsid w:val="000C68E8"/>
    <w:rsid w:val="000C69D2"/>
    <w:rsid w:val="000C69E8"/>
    <w:rsid w:val="000C6A8C"/>
    <w:rsid w:val="000C6BF7"/>
    <w:rsid w:val="000C6C46"/>
    <w:rsid w:val="000C6C76"/>
    <w:rsid w:val="000C6CD2"/>
    <w:rsid w:val="000C6D5C"/>
    <w:rsid w:val="000C6E2B"/>
    <w:rsid w:val="000C6E80"/>
    <w:rsid w:val="000C6E83"/>
    <w:rsid w:val="000C7061"/>
    <w:rsid w:val="000C70CB"/>
    <w:rsid w:val="000C7110"/>
    <w:rsid w:val="000C720D"/>
    <w:rsid w:val="000C7218"/>
    <w:rsid w:val="000C72CA"/>
    <w:rsid w:val="000C738B"/>
    <w:rsid w:val="000C7449"/>
    <w:rsid w:val="000C74A7"/>
    <w:rsid w:val="000C74E1"/>
    <w:rsid w:val="000C7520"/>
    <w:rsid w:val="000C7541"/>
    <w:rsid w:val="000C757F"/>
    <w:rsid w:val="000C7651"/>
    <w:rsid w:val="000C7679"/>
    <w:rsid w:val="000C76DE"/>
    <w:rsid w:val="000C7727"/>
    <w:rsid w:val="000C7728"/>
    <w:rsid w:val="000C7773"/>
    <w:rsid w:val="000C77B2"/>
    <w:rsid w:val="000C7837"/>
    <w:rsid w:val="000C7AA8"/>
    <w:rsid w:val="000C7B0D"/>
    <w:rsid w:val="000C7B2A"/>
    <w:rsid w:val="000C7C58"/>
    <w:rsid w:val="000D006B"/>
    <w:rsid w:val="000D0086"/>
    <w:rsid w:val="000D0343"/>
    <w:rsid w:val="000D03A4"/>
    <w:rsid w:val="000D03AD"/>
    <w:rsid w:val="000D0458"/>
    <w:rsid w:val="000D04A2"/>
    <w:rsid w:val="000D057E"/>
    <w:rsid w:val="000D063C"/>
    <w:rsid w:val="000D0677"/>
    <w:rsid w:val="000D0721"/>
    <w:rsid w:val="000D07E9"/>
    <w:rsid w:val="000D080A"/>
    <w:rsid w:val="000D0A6E"/>
    <w:rsid w:val="000D0B00"/>
    <w:rsid w:val="000D0B53"/>
    <w:rsid w:val="000D0B9C"/>
    <w:rsid w:val="000D0C22"/>
    <w:rsid w:val="000D0D05"/>
    <w:rsid w:val="000D0D28"/>
    <w:rsid w:val="000D0D6E"/>
    <w:rsid w:val="000D0D72"/>
    <w:rsid w:val="000D0E5C"/>
    <w:rsid w:val="000D0E6B"/>
    <w:rsid w:val="000D105F"/>
    <w:rsid w:val="000D1063"/>
    <w:rsid w:val="000D1143"/>
    <w:rsid w:val="000D114D"/>
    <w:rsid w:val="000D11A0"/>
    <w:rsid w:val="000D12B9"/>
    <w:rsid w:val="000D12CE"/>
    <w:rsid w:val="000D12DE"/>
    <w:rsid w:val="000D1324"/>
    <w:rsid w:val="000D136D"/>
    <w:rsid w:val="000D137F"/>
    <w:rsid w:val="000D14E0"/>
    <w:rsid w:val="000D1521"/>
    <w:rsid w:val="000D1554"/>
    <w:rsid w:val="000D15FD"/>
    <w:rsid w:val="000D1696"/>
    <w:rsid w:val="000D16BC"/>
    <w:rsid w:val="000D171A"/>
    <w:rsid w:val="000D18AE"/>
    <w:rsid w:val="000D18C9"/>
    <w:rsid w:val="000D18E5"/>
    <w:rsid w:val="000D1928"/>
    <w:rsid w:val="000D1975"/>
    <w:rsid w:val="000D1A8A"/>
    <w:rsid w:val="000D1B4C"/>
    <w:rsid w:val="000D1B7C"/>
    <w:rsid w:val="000D1B9A"/>
    <w:rsid w:val="000D1BFA"/>
    <w:rsid w:val="000D1C13"/>
    <w:rsid w:val="000D1D05"/>
    <w:rsid w:val="000D1D4B"/>
    <w:rsid w:val="000D1EDF"/>
    <w:rsid w:val="000D1F7C"/>
    <w:rsid w:val="000D2003"/>
    <w:rsid w:val="000D201E"/>
    <w:rsid w:val="000D201F"/>
    <w:rsid w:val="000D221A"/>
    <w:rsid w:val="000D2220"/>
    <w:rsid w:val="000D22FD"/>
    <w:rsid w:val="000D235F"/>
    <w:rsid w:val="000D23E5"/>
    <w:rsid w:val="000D24E1"/>
    <w:rsid w:val="000D256E"/>
    <w:rsid w:val="000D25C4"/>
    <w:rsid w:val="000D2616"/>
    <w:rsid w:val="000D27DF"/>
    <w:rsid w:val="000D27EE"/>
    <w:rsid w:val="000D2822"/>
    <w:rsid w:val="000D285F"/>
    <w:rsid w:val="000D28CE"/>
    <w:rsid w:val="000D28F4"/>
    <w:rsid w:val="000D2A53"/>
    <w:rsid w:val="000D2A78"/>
    <w:rsid w:val="000D2B84"/>
    <w:rsid w:val="000D2C82"/>
    <w:rsid w:val="000D2CB5"/>
    <w:rsid w:val="000D2D6E"/>
    <w:rsid w:val="000D2DCF"/>
    <w:rsid w:val="000D3122"/>
    <w:rsid w:val="000D319B"/>
    <w:rsid w:val="000D333A"/>
    <w:rsid w:val="000D3368"/>
    <w:rsid w:val="000D336A"/>
    <w:rsid w:val="000D338A"/>
    <w:rsid w:val="000D33C1"/>
    <w:rsid w:val="000D33F6"/>
    <w:rsid w:val="000D34C9"/>
    <w:rsid w:val="000D35E5"/>
    <w:rsid w:val="000D3647"/>
    <w:rsid w:val="000D3703"/>
    <w:rsid w:val="000D37F2"/>
    <w:rsid w:val="000D387F"/>
    <w:rsid w:val="000D38AB"/>
    <w:rsid w:val="000D38BC"/>
    <w:rsid w:val="000D3934"/>
    <w:rsid w:val="000D3951"/>
    <w:rsid w:val="000D3970"/>
    <w:rsid w:val="000D3991"/>
    <w:rsid w:val="000D3A99"/>
    <w:rsid w:val="000D3AF8"/>
    <w:rsid w:val="000D3B41"/>
    <w:rsid w:val="000D3C85"/>
    <w:rsid w:val="000D3CC1"/>
    <w:rsid w:val="000D3CFD"/>
    <w:rsid w:val="000D3D46"/>
    <w:rsid w:val="000D3DB9"/>
    <w:rsid w:val="000D3E09"/>
    <w:rsid w:val="000D3E90"/>
    <w:rsid w:val="000D3EAF"/>
    <w:rsid w:val="000D3ECD"/>
    <w:rsid w:val="000D3ED4"/>
    <w:rsid w:val="000D4030"/>
    <w:rsid w:val="000D405B"/>
    <w:rsid w:val="000D40E1"/>
    <w:rsid w:val="000D4155"/>
    <w:rsid w:val="000D4164"/>
    <w:rsid w:val="000D4236"/>
    <w:rsid w:val="000D433F"/>
    <w:rsid w:val="000D4353"/>
    <w:rsid w:val="000D4425"/>
    <w:rsid w:val="000D4445"/>
    <w:rsid w:val="000D44AA"/>
    <w:rsid w:val="000D44DC"/>
    <w:rsid w:val="000D4649"/>
    <w:rsid w:val="000D46F7"/>
    <w:rsid w:val="000D47A5"/>
    <w:rsid w:val="000D47D4"/>
    <w:rsid w:val="000D47FF"/>
    <w:rsid w:val="000D4894"/>
    <w:rsid w:val="000D48C7"/>
    <w:rsid w:val="000D48D1"/>
    <w:rsid w:val="000D48DE"/>
    <w:rsid w:val="000D4A0B"/>
    <w:rsid w:val="000D4B41"/>
    <w:rsid w:val="000D4BEF"/>
    <w:rsid w:val="000D4CA4"/>
    <w:rsid w:val="000D4CD1"/>
    <w:rsid w:val="000D4D64"/>
    <w:rsid w:val="000D4D82"/>
    <w:rsid w:val="000D4E09"/>
    <w:rsid w:val="000D4E5E"/>
    <w:rsid w:val="000D4F92"/>
    <w:rsid w:val="000D4FBD"/>
    <w:rsid w:val="000D5095"/>
    <w:rsid w:val="000D50C8"/>
    <w:rsid w:val="000D5191"/>
    <w:rsid w:val="000D532B"/>
    <w:rsid w:val="000D53F3"/>
    <w:rsid w:val="000D5475"/>
    <w:rsid w:val="000D55C7"/>
    <w:rsid w:val="000D55E7"/>
    <w:rsid w:val="000D5630"/>
    <w:rsid w:val="000D563B"/>
    <w:rsid w:val="000D565E"/>
    <w:rsid w:val="000D56AB"/>
    <w:rsid w:val="000D570E"/>
    <w:rsid w:val="000D57A7"/>
    <w:rsid w:val="000D57BB"/>
    <w:rsid w:val="000D57F2"/>
    <w:rsid w:val="000D589B"/>
    <w:rsid w:val="000D58CE"/>
    <w:rsid w:val="000D5967"/>
    <w:rsid w:val="000D59A8"/>
    <w:rsid w:val="000D5A9E"/>
    <w:rsid w:val="000D5AA2"/>
    <w:rsid w:val="000D5B15"/>
    <w:rsid w:val="000D5C11"/>
    <w:rsid w:val="000D5D43"/>
    <w:rsid w:val="000D5D84"/>
    <w:rsid w:val="000D5DA5"/>
    <w:rsid w:val="000D5DD6"/>
    <w:rsid w:val="000D5ED7"/>
    <w:rsid w:val="000D5F42"/>
    <w:rsid w:val="000D5FEC"/>
    <w:rsid w:val="000D6000"/>
    <w:rsid w:val="000D601E"/>
    <w:rsid w:val="000D6098"/>
    <w:rsid w:val="000D61E7"/>
    <w:rsid w:val="000D6211"/>
    <w:rsid w:val="000D6252"/>
    <w:rsid w:val="000D631D"/>
    <w:rsid w:val="000D65A3"/>
    <w:rsid w:val="000D66E8"/>
    <w:rsid w:val="000D67E7"/>
    <w:rsid w:val="000D67FE"/>
    <w:rsid w:val="000D6818"/>
    <w:rsid w:val="000D6848"/>
    <w:rsid w:val="000D685E"/>
    <w:rsid w:val="000D6887"/>
    <w:rsid w:val="000D6930"/>
    <w:rsid w:val="000D694C"/>
    <w:rsid w:val="000D6A47"/>
    <w:rsid w:val="000D6B0F"/>
    <w:rsid w:val="000D6C23"/>
    <w:rsid w:val="000D6D2B"/>
    <w:rsid w:val="000D6DAA"/>
    <w:rsid w:val="000D6DF8"/>
    <w:rsid w:val="000D6F3A"/>
    <w:rsid w:val="000D6F66"/>
    <w:rsid w:val="000D6F8E"/>
    <w:rsid w:val="000D7043"/>
    <w:rsid w:val="000D7091"/>
    <w:rsid w:val="000D725E"/>
    <w:rsid w:val="000D72A7"/>
    <w:rsid w:val="000D733F"/>
    <w:rsid w:val="000D7362"/>
    <w:rsid w:val="000D736C"/>
    <w:rsid w:val="000D742E"/>
    <w:rsid w:val="000D7478"/>
    <w:rsid w:val="000D7507"/>
    <w:rsid w:val="000D75EB"/>
    <w:rsid w:val="000D7763"/>
    <w:rsid w:val="000D7913"/>
    <w:rsid w:val="000D79CD"/>
    <w:rsid w:val="000D7A34"/>
    <w:rsid w:val="000D7A77"/>
    <w:rsid w:val="000D7BA9"/>
    <w:rsid w:val="000D7CA0"/>
    <w:rsid w:val="000D7D0B"/>
    <w:rsid w:val="000D7D90"/>
    <w:rsid w:val="000D7DD6"/>
    <w:rsid w:val="000D7DF4"/>
    <w:rsid w:val="000E006D"/>
    <w:rsid w:val="000E02DC"/>
    <w:rsid w:val="000E033E"/>
    <w:rsid w:val="000E0364"/>
    <w:rsid w:val="000E03B6"/>
    <w:rsid w:val="000E03BB"/>
    <w:rsid w:val="000E0443"/>
    <w:rsid w:val="000E051C"/>
    <w:rsid w:val="000E0663"/>
    <w:rsid w:val="000E079F"/>
    <w:rsid w:val="000E0837"/>
    <w:rsid w:val="000E0959"/>
    <w:rsid w:val="000E0A49"/>
    <w:rsid w:val="000E0A5F"/>
    <w:rsid w:val="000E0AE7"/>
    <w:rsid w:val="000E0B47"/>
    <w:rsid w:val="000E0B73"/>
    <w:rsid w:val="000E0B89"/>
    <w:rsid w:val="000E0C88"/>
    <w:rsid w:val="000E0C92"/>
    <w:rsid w:val="000E0CD0"/>
    <w:rsid w:val="000E0CE2"/>
    <w:rsid w:val="000E0E10"/>
    <w:rsid w:val="000E0F4E"/>
    <w:rsid w:val="000E0F72"/>
    <w:rsid w:val="000E127C"/>
    <w:rsid w:val="000E130F"/>
    <w:rsid w:val="000E13DC"/>
    <w:rsid w:val="000E1413"/>
    <w:rsid w:val="000E1444"/>
    <w:rsid w:val="000E1477"/>
    <w:rsid w:val="000E1599"/>
    <w:rsid w:val="000E15B2"/>
    <w:rsid w:val="000E15BE"/>
    <w:rsid w:val="000E160E"/>
    <w:rsid w:val="000E1618"/>
    <w:rsid w:val="000E161B"/>
    <w:rsid w:val="000E161F"/>
    <w:rsid w:val="000E16E2"/>
    <w:rsid w:val="000E1761"/>
    <w:rsid w:val="000E17D4"/>
    <w:rsid w:val="000E1816"/>
    <w:rsid w:val="000E188B"/>
    <w:rsid w:val="000E1894"/>
    <w:rsid w:val="000E189F"/>
    <w:rsid w:val="000E18E4"/>
    <w:rsid w:val="000E1927"/>
    <w:rsid w:val="000E193C"/>
    <w:rsid w:val="000E1A0D"/>
    <w:rsid w:val="000E1A1F"/>
    <w:rsid w:val="000E1A24"/>
    <w:rsid w:val="000E1B71"/>
    <w:rsid w:val="000E1BED"/>
    <w:rsid w:val="000E1C24"/>
    <w:rsid w:val="000E1E54"/>
    <w:rsid w:val="000E1E62"/>
    <w:rsid w:val="000E1EBE"/>
    <w:rsid w:val="000E1EF3"/>
    <w:rsid w:val="000E1F4D"/>
    <w:rsid w:val="000E2034"/>
    <w:rsid w:val="000E21C1"/>
    <w:rsid w:val="000E21D3"/>
    <w:rsid w:val="000E2241"/>
    <w:rsid w:val="000E22D6"/>
    <w:rsid w:val="000E238E"/>
    <w:rsid w:val="000E23DF"/>
    <w:rsid w:val="000E2522"/>
    <w:rsid w:val="000E2595"/>
    <w:rsid w:val="000E25B0"/>
    <w:rsid w:val="000E25B9"/>
    <w:rsid w:val="000E2680"/>
    <w:rsid w:val="000E2687"/>
    <w:rsid w:val="000E2697"/>
    <w:rsid w:val="000E28E1"/>
    <w:rsid w:val="000E2911"/>
    <w:rsid w:val="000E2AAA"/>
    <w:rsid w:val="000E2AB5"/>
    <w:rsid w:val="000E2DAB"/>
    <w:rsid w:val="000E2DDB"/>
    <w:rsid w:val="000E2E79"/>
    <w:rsid w:val="000E2E81"/>
    <w:rsid w:val="000E2EBE"/>
    <w:rsid w:val="000E2EDF"/>
    <w:rsid w:val="000E2F07"/>
    <w:rsid w:val="000E2FA4"/>
    <w:rsid w:val="000E30A4"/>
    <w:rsid w:val="000E317B"/>
    <w:rsid w:val="000E31BF"/>
    <w:rsid w:val="000E33AA"/>
    <w:rsid w:val="000E33E2"/>
    <w:rsid w:val="000E346E"/>
    <w:rsid w:val="000E3542"/>
    <w:rsid w:val="000E35A6"/>
    <w:rsid w:val="000E35B7"/>
    <w:rsid w:val="000E3692"/>
    <w:rsid w:val="000E3774"/>
    <w:rsid w:val="000E3796"/>
    <w:rsid w:val="000E3824"/>
    <w:rsid w:val="000E3878"/>
    <w:rsid w:val="000E38FB"/>
    <w:rsid w:val="000E3982"/>
    <w:rsid w:val="000E39A3"/>
    <w:rsid w:val="000E39DB"/>
    <w:rsid w:val="000E3B94"/>
    <w:rsid w:val="000E3BFC"/>
    <w:rsid w:val="000E3C60"/>
    <w:rsid w:val="000E3C75"/>
    <w:rsid w:val="000E3CC3"/>
    <w:rsid w:val="000E3D06"/>
    <w:rsid w:val="000E3D15"/>
    <w:rsid w:val="000E3DC9"/>
    <w:rsid w:val="000E3F6C"/>
    <w:rsid w:val="000E4089"/>
    <w:rsid w:val="000E41B9"/>
    <w:rsid w:val="000E4285"/>
    <w:rsid w:val="000E43B4"/>
    <w:rsid w:val="000E4448"/>
    <w:rsid w:val="000E453F"/>
    <w:rsid w:val="000E468E"/>
    <w:rsid w:val="000E4723"/>
    <w:rsid w:val="000E4737"/>
    <w:rsid w:val="000E480D"/>
    <w:rsid w:val="000E4832"/>
    <w:rsid w:val="000E483A"/>
    <w:rsid w:val="000E4841"/>
    <w:rsid w:val="000E4854"/>
    <w:rsid w:val="000E4888"/>
    <w:rsid w:val="000E48F5"/>
    <w:rsid w:val="000E49BD"/>
    <w:rsid w:val="000E4A9E"/>
    <w:rsid w:val="000E4C07"/>
    <w:rsid w:val="000E4C62"/>
    <w:rsid w:val="000E4CCC"/>
    <w:rsid w:val="000E4D0A"/>
    <w:rsid w:val="000E4D2C"/>
    <w:rsid w:val="000E4D3D"/>
    <w:rsid w:val="000E4E4A"/>
    <w:rsid w:val="000E4E75"/>
    <w:rsid w:val="000E4F05"/>
    <w:rsid w:val="000E5051"/>
    <w:rsid w:val="000E5072"/>
    <w:rsid w:val="000E5189"/>
    <w:rsid w:val="000E5360"/>
    <w:rsid w:val="000E54A8"/>
    <w:rsid w:val="000E556E"/>
    <w:rsid w:val="000E557C"/>
    <w:rsid w:val="000E55E1"/>
    <w:rsid w:val="000E55FE"/>
    <w:rsid w:val="000E5613"/>
    <w:rsid w:val="000E57F4"/>
    <w:rsid w:val="000E584E"/>
    <w:rsid w:val="000E58A4"/>
    <w:rsid w:val="000E59A3"/>
    <w:rsid w:val="000E5A19"/>
    <w:rsid w:val="000E5A8F"/>
    <w:rsid w:val="000E5A90"/>
    <w:rsid w:val="000E5A9E"/>
    <w:rsid w:val="000E5B08"/>
    <w:rsid w:val="000E5B41"/>
    <w:rsid w:val="000E5BDB"/>
    <w:rsid w:val="000E5D86"/>
    <w:rsid w:val="000E5DA1"/>
    <w:rsid w:val="000E5E59"/>
    <w:rsid w:val="000E5ED5"/>
    <w:rsid w:val="000E6031"/>
    <w:rsid w:val="000E60CB"/>
    <w:rsid w:val="000E60D3"/>
    <w:rsid w:val="000E60F8"/>
    <w:rsid w:val="000E610F"/>
    <w:rsid w:val="000E615A"/>
    <w:rsid w:val="000E6205"/>
    <w:rsid w:val="000E6232"/>
    <w:rsid w:val="000E62CB"/>
    <w:rsid w:val="000E6387"/>
    <w:rsid w:val="000E63CB"/>
    <w:rsid w:val="000E63F5"/>
    <w:rsid w:val="000E669F"/>
    <w:rsid w:val="000E66AF"/>
    <w:rsid w:val="000E671A"/>
    <w:rsid w:val="000E67AD"/>
    <w:rsid w:val="000E6841"/>
    <w:rsid w:val="000E68D3"/>
    <w:rsid w:val="000E6A59"/>
    <w:rsid w:val="000E6AD9"/>
    <w:rsid w:val="000E6B40"/>
    <w:rsid w:val="000E6BA5"/>
    <w:rsid w:val="000E6BC3"/>
    <w:rsid w:val="000E6C1D"/>
    <w:rsid w:val="000E6C84"/>
    <w:rsid w:val="000E6D23"/>
    <w:rsid w:val="000E6E20"/>
    <w:rsid w:val="000E6E2C"/>
    <w:rsid w:val="000E6E77"/>
    <w:rsid w:val="000E6E8A"/>
    <w:rsid w:val="000E6F7D"/>
    <w:rsid w:val="000E700E"/>
    <w:rsid w:val="000E70A7"/>
    <w:rsid w:val="000E71D4"/>
    <w:rsid w:val="000E7260"/>
    <w:rsid w:val="000E73CE"/>
    <w:rsid w:val="000E7468"/>
    <w:rsid w:val="000E74DE"/>
    <w:rsid w:val="000E750F"/>
    <w:rsid w:val="000E7563"/>
    <w:rsid w:val="000E75B3"/>
    <w:rsid w:val="000E7680"/>
    <w:rsid w:val="000E76AD"/>
    <w:rsid w:val="000E77D5"/>
    <w:rsid w:val="000E782C"/>
    <w:rsid w:val="000E7944"/>
    <w:rsid w:val="000E7998"/>
    <w:rsid w:val="000E7A64"/>
    <w:rsid w:val="000E7D08"/>
    <w:rsid w:val="000E7D85"/>
    <w:rsid w:val="000E7E9E"/>
    <w:rsid w:val="000E7EA4"/>
    <w:rsid w:val="000E7EE9"/>
    <w:rsid w:val="000E7F19"/>
    <w:rsid w:val="000E7FD6"/>
    <w:rsid w:val="000F002F"/>
    <w:rsid w:val="000F004F"/>
    <w:rsid w:val="000F006F"/>
    <w:rsid w:val="000F01FF"/>
    <w:rsid w:val="000F0205"/>
    <w:rsid w:val="000F0243"/>
    <w:rsid w:val="000F02AB"/>
    <w:rsid w:val="000F031D"/>
    <w:rsid w:val="000F037D"/>
    <w:rsid w:val="000F03F0"/>
    <w:rsid w:val="000F03FF"/>
    <w:rsid w:val="000F0434"/>
    <w:rsid w:val="000F0443"/>
    <w:rsid w:val="000F04B2"/>
    <w:rsid w:val="000F0584"/>
    <w:rsid w:val="000F061E"/>
    <w:rsid w:val="000F06EF"/>
    <w:rsid w:val="000F079E"/>
    <w:rsid w:val="000F07AF"/>
    <w:rsid w:val="000F082C"/>
    <w:rsid w:val="000F082E"/>
    <w:rsid w:val="000F09D3"/>
    <w:rsid w:val="000F0A7C"/>
    <w:rsid w:val="000F0D9D"/>
    <w:rsid w:val="000F0DF2"/>
    <w:rsid w:val="000F0E10"/>
    <w:rsid w:val="000F1079"/>
    <w:rsid w:val="000F113B"/>
    <w:rsid w:val="000F1161"/>
    <w:rsid w:val="000F11E0"/>
    <w:rsid w:val="000F124F"/>
    <w:rsid w:val="000F1270"/>
    <w:rsid w:val="000F1298"/>
    <w:rsid w:val="000F13E2"/>
    <w:rsid w:val="000F13F3"/>
    <w:rsid w:val="000F1460"/>
    <w:rsid w:val="000F147C"/>
    <w:rsid w:val="000F1584"/>
    <w:rsid w:val="000F15A4"/>
    <w:rsid w:val="000F16B7"/>
    <w:rsid w:val="000F1729"/>
    <w:rsid w:val="000F1735"/>
    <w:rsid w:val="000F17FD"/>
    <w:rsid w:val="000F1841"/>
    <w:rsid w:val="000F1969"/>
    <w:rsid w:val="000F19EF"/>
    <w:rsid w:val="000F1A7A"/>
    <w:rsid w:val="000F1AB8"/>
    <w:rsid w:val="000F1B45"/>
    <w:rsid w:val="000F1B88"/>
    <w:rsid w:val="000F1BA4"/>
    <w:rsid w:val="000F1C55"/>
    <w:rsid w:val="000F1C7E"/>
    <w:rsid w:val="000F1D57"/>
    <w:rsid w:val="000F1F14"/>
    <w:rsid w:val="000F1F28"/>
    <w:rsid w:val="000F2016"/>
    <w:rsid w:val="000F20DF"/>
    <w:rsid w:val="000F210F"/>
    <w:rsid w:val="000F219C"/>
    <w:rsid w:val="000F22BB"/>
    <w:rsid w:val="000F2330"/>
    <w:rsid w:val="000F2353"/>
    <w:rsid w:val="000F23F2"/>
    <w:rsid w:val="000F2410"/>
    <w:rsid w:val="000F2434"/>
    <w:rsid w:val="000F247B"/>
    <w:rsid w:val="000F2480"/>
    <w:rsid w:val="000F2523"/>
    <w:rsid w:val="000F2554"/>
    <w:rsid w:val="000F25D5"/>
    <w:rsid w:val="000F2639"/>
    <w:rsid w:val="000F27B4"/>
    <w:rsid w:val="000F280E"/>
    <w:rsid w:val="000F281E"/>
    <w:rsid w:val="000F288C"/>
    <w:rsid w:val="000F2A7A"/>
    <w:rsid w:val="000F2B65"/>
    <w:rsid w:val="000F2BDC"/>
    <w:rsid w:val="000F2C3B"/>
    <w:rsid w:val="000F2CA5"/>
    <w:rsid w:val="000F2D7C"/>
    <w:rsid w:val="000F2EB4"/>
    <w:rsid w:val="000F2FDF"/>
    <w:rsid w:val="000F3040"/>
    <w:rsid w:val="000F3079"/>
    <w:rsid w:val="000F3203"/>
    <w:rsid w:val="000F326C"/>
    <w:rsid w:val="000F32C7"/>
    <w:rsid w:val="000F3418"/>
    <w:rsid w:val="000F3483"/>
    <w:rsid w:val="000F34D2"/>
    <w:rsid w:val="000F3572"/>
    <w:rsid w:val="000F361A"/>
    <w:rsid w:val="000F36FA"/>
    <w:rsid w:val="000F373C"/>
    <w:rsid w:val="000F37E4"/>
    <w:rsid w:val="000F3817"/>
    <w:rsid w:val="000F38BB"/>
    <w:rsid w:val="000F3A08"/>
    <w:rsid w:val="000F3A6B"/>
    <w:rsid w:val="000F3AD4"/>
    <w:rsid w:val="000F3ADB"/>
    <w:rsid w:val="000F3B24"/>
    <w:rsid w:val="000F3B97"/>
    <w:rsid w:val="000F3DBA"/>
    <w:rsid w:val="000F3DD3"/>
    <w:rsid w:val="000F3F79"/>
    <w:rsid w:val="000F3F7A"/>
    <w:rsid w:val="000F405F"/>
    <w:rsid w:val="000F40B2"/>
    <w:rsid w:val="000F41D9"/>
    <w:rsid w:val="000F43C1"/>
    <w:rsid w:val="000F43DC"/>
    <w:rsid w:val="000F4400"/>
    <w:rsid w:val="000F451C"/>
    <w:rsid w:val="000F4691"/>
    <w:rsid w:val="000F494E"/>
    <w:rsid w:val="000F49A2"/>
    <w:rsid w:val="000F4A5D"/>
    <w:rsid w:val="000F4B09"/>
    <w:rsid w:val="000F4B80"/>
    <w:rsid w:val="000F4BC5"/>
    <w:rsid w:val="000F4C44"/>
    <w:rsid w:val="000F4C50"/>
    <w:rsid w:val="000F4C77"/>
    <w:rsid w:val="000F4CD1"/>
    <w:rsid w:val="000F4D8A"/>
    <w:rsid w:val="000F4D9F"/>
    <w:rsid w:val="000F4ED4"/>
    <w:rsid w:val="000F4EEE"/>
    <w:rsid w:val="000F4F31"/>
    <w:rsid w:val="000F4F84"/>
    <w:rsid w:val="000F515A"/>
    <w:rsid w:val="000F534A"/>
    <w:rsid w:val="000F537E"/>
    <w:rsid w:val="000F53FB"/>
    <w:rsid w:val="000F549A"/>
    <w:rsid w:val="000F55EB"/>
    <w:rsid w:val="000F561D"/>
    <w:rsid w:val="000F5703"/>
    <w:rsid w:val="000F5716"/>
    <w:rsid w:val="000F5827"/>
    <w:rsid w:val="000F5957"/>
    <w:rsid w:val="000F59C3"/>
    <w:rsid w:val="000F59EF"/>
    <w:rsid w:val="000F5A1C"/>
    <w:rsid w:val="000F5A43"/>
    <w:rsid w:val="000F5A45"/>
    <w:rsid w:val="000F5A4C"/>
    <w:rsid w:val="000F5B0F"/>
    <w:rsid w:val="000F5B61"/>
    <w:rsid w:val="000F5C24"/>
    <w:rsid w:val="000F5C2D"/>
    <w:rsid w:val="000F5C30"/>
    <w:rsid w:val="000F5D08"/>
    <w:rsid w:val="000F5D28"/>
    <w:rsid w:val="000F5E2F"/>
    <w:rsid w:val="000F5F00"/>
    <w:rsid w:val="000F5F1E"/>
    <w:rsid w:val="000F5FCE"/>
    <w:rsid w:val="000F6003"/>
    <w:rsid w:val="000F608B"/>
    <w:rsid w:val="000F61DD"/>
    <w:rsid w:val="000F6277"/>
    <w:rsid w:val="000F62BA"/>
    <w:rsid w:val="000F634C"/>
    <w:rsid w:val="000F645A"/>
    <w:rsid w:val="000F64B8"/>
    <w:rsid w:val="000F6527"/>
    <w:rsid w:val="000F6601"/>
    <w:rsid w:val="000F6676"/>
    <w:rsid w:val="000F68E7"/>
    <w:rsid w:val="000F6930"/>
    <w:rsid w:val="000F69A0"/>
    <w:rsid w:val="000F6A11"/>
    <w:rsid w:val="000F6A77"/>
    <w:rsid w:val="000F6AB3"/>
    <w:rsid w:val="000F6ADC"/>
    <w:rsid w:val="000F6B8F"/>
    <w:rsid w:val="000F6BBC"/>
    <w:rsid w:val="000F6BF3"/>
    <w:rsid w:val="000F6D32"/>
    <w:rsid w:val="000F6F17"/>
    <w:rsid w:val="000F708D"/>
    <w:rsid w:val="000F709A"/>
    <w:rsid w:val="000F7180"/>
    <w:rsid w:val="000F735F"/>
    <w:rsid w:val="000F73DA"/>
    <w:rsid w:val="000F73FD"/>
    <w:rsid w:val="000F7419"/>
    <w:rsid w:val="000F74A8"/>
    <w:rsid w:val="000F74CE"/>
    <w:rsid w:val="000F752E"/>
    <w:rsid w:val="000F7548"/>
    <w:rsid w:val="000F7556"/>
    <w:rsid w:val="000F76ED"/>
    <w:rsid w:val="000F7700"/>
    <w:rsid w:val="000F7714"/>
    <w:rsid w:val="000F7812"/>
    <w:rsid w:val="000F7843"/>
    <w:rsid w:val="000F78EB"/>
    <w:rsid w:val="000F79B5"/>
    <w:rsid w:val="000F7A5D"/>
    <w:rsid w:val="000F7AB1"/>
    <w:rsid w:val="000F7AD5"/>
    <w:rsid w:val="000F7B47"/>
    <w:rsid w:val="000F7B63"/>
    <w:rsid w:val="000F7BC8"/>
    <w:rsid w:val="000F7C6F"/>
    <w:rsid w:val="000F7C91"/>
    <w:rsid w:val="000F7D3F"/>
    <w:rsid w:val="000F7EB7"/>
    <w:rsid w:val="000F7F02"/>
    <w:rsid w:val="001000E1"/>
    <w:rsid w:val="001000E5"/>
    <w:rsid w:val="001001E2"/>
    <w:rsid w:val="00100278"/>
    <w:rsid w:val="00100288"/>
    <w:rsid w:val="001002DC"/>
    <w:rsid w:val="00100312"/>
    <w:rsid w:val="00100331"/>
    <w:rsid w:val="0010044D"/>
    <w:rsid w:val="00100482"/>
    <w:rsid w:val="00100554"/>
    <w:rsid w:val="0010058A"/>
    <w:rsid w:val="00100938"/>
    <w:rsid w:val="00100B56"/>
    <w:rsid w:val="00100B9C"/>
    <w:rsid w:val="00100C02"/>
    <w:rsid w:val="00100C93"/>
    <w:rsid w:val="00100CAC"/>
    <w:rsid w:val="00100D7C"/>
    <w:rsid w:val="00100E27"/>
    <w:rsid w:val="00100E4E"/>
    <w:rsid w:val="00100EC2"/>
    <w:rsid w:val="00100ED0"/>
    <w:rsid w:val="00100F85"/>
    <w:rsid w:val="00101086"/>
    <w:rsid w:val="001010A5"/>
    <w:rsid w:val="001010C5"/>
    <w:rsid w:val="00101230"/>
    <w:rsid w:val="00101239"/>
    <w:rsid w:val="0010136B"/>
    <w:rsid w:val="001014C1"/>
    <w:rsid w:val="001014EE"/>
    <w:rsid w:val="00101515"/>
    <w:rsid w:val="00101649"/>
    <w:rsid w:val="0010173B"/>
    <w:rsid w:val="00101791"/>
    <w:rsid w:val="001017BD"/>
    <w:rsid w:val="001017D6"/>
    <w:rsid w:val="001018F9"/>
    <w:rsid w:val="00101933"/>
    <w:rsid w:val="001019BF"/>
    <w:rsid w:val="001019E5"/>
    <w:rsid w:val="001019FD"/>
    <w:rsid w:val="00101A4C"/>
    <w:rsid w:val="00101A80"/>
    <w:rsid w:val="00101B00"/>
    <w:rsid w:val="00101C93"/>
    <w:rsid w:val="00101D18"/>
    <w:rsid w:val="00101D7D"/>
    <w:rsid w:val="00101D93"/>
    <w:rsid w:val="00101EE0"/>
    <w:rsid w:val="00101F7C"/>
    <w:rsid w:val="00101F85"/>
    <w:rsid w:val="00101FBB"/>
    <w:rsid w:val="0010201D"/>
    <w:rsid w:val="00102027"/>
    <w:rsid w:val="00102123"/>
    <w:rsid w:val="00102197"/>
    <w:rsid w:val="00102201"/>
    <w:rsid w:val="00102271"/>
    <w:rsid w:val="00102294"/>
    <w:rsid w:val="00102414"/>
    <w:rsid w:val="001024A4"/>
    <w:rsid w:val="0010250F"/>
    <w:rsid w:val="00102526"/>
    <w:rsid w:val="00102626"/>
    <w:rsid w:val="0010262C"/>
    <w:rsid w:val="0010263B"/>
    <w:rsid w:val="0010267E"/>
    <w:rsid w:val="00102687"/>
    <w:rsid w:val="00102798"/>
    <w:rsid w:val="00102811"/>
    <w:rsid w:val="00102885"/>
    <w:rsid w:val="001028BE"/>
    <w:rsid w:val="001028C6"/>
    <w:rsid w:val="001029CB"/>
    <w:rsid w:val="00102A7D"/>
    <w:rsid w:val="00102AF5"/>
    <w:rsid w:val="00102B47"/>
    <w:rsid w:val="00102B4F"/>
    <w:rsid w:val="00102C73"/>
    <w:rsid w:val="00102D24"/>
    <w:rsid w:val="00102D76"/>
    <w:rsid w:val="00102DAA"/>
    <w:rsid w:val="00102DD7"/>
    <w:rsid w:val="00102E81"/>
    <w:rsid w:val="00102FFE"/>
    <w:rsid w:val="00103083"/>
    <w:rsid w:val="00103105"/>
    <w:rsid w:val="00103109"/>
    <w:rsid w:val="0010310D"/>
    <w:rsid w:val="00103142"/>
    <w:rsid w:val="00103247"/>
    <w:rsid w:val="001032C8"/>
    <w:rsid w:val="001033E7"/>
    <w:rsid w:val="00103430"/>
    <w:rsid w:val="00103477"/>
    <w:rsid w:val="001034CF"/>
    <w:rsid w:val="001034E6"/>
    <w:rsid w:val="0010353F"/>
    <w:rsid w:val="00103675"/>
    <w:rsid w:val="00103701"/>
    <w:rsid w:val="0010375E"/>
    <w:rsid w:val="0010386F"/>
    <w:rsid w:val="001038EE"/>
    <w:rsid w:val="00103A6B"/>
    <w:rsid w:val="00103A70"/>
    <w:rsid w:val="00103ABF"/>
    <w:rsid w:val="00103CB1"/>
    <w:rsid w:val="00103E35"/>
    <w:rsid w:val="00103F42"/>
    <w:rsid w:val="00103F63"/>
    <w:rsid w:val="00104029"/>
    <w:rsid w:val="00104103"/>
    <w:rsid w:val="001042AE"/>
    <w:rsid w:val="00104387"/>
    <w:rsid w:val="001043D8"/>
    <w:rsid w:val="00104516"/>
    <w:rsid w:val="00104535"/>
    <w:rsid w:val="001045D3"/>
    <w:rsid w:val="001045D4"/>
    <w:rsid w:val="0010463E"/>
    <w:rsid w:val="0010470B"/>
    <w:rsid w:val="00104736"/>
    <w:rsid w:val="00104944"/>
    <w:rsid w:val="00104A0F"/>
    <w:rsid w:val="00104B3C"/>
    <w:rsid w:val="00104C90"/>
    <w:rsid w:val="00104D4D"/>
    <w:rsid w:val="00104E9A"/>
    <w:rsid w:val="00104F1A"/>
    <w:rsid w:val="00104F40"/>
    <w:rsid w:val="0010508D"/>
    <w:rsid w:val="0010513C"/>
    <w:rsid w:val="0010519C"/>
    <w:rsid w:val="001051D5"/>
    <w:rsid w:val="0010529E"/>
    <w:rsid w:val="001052E8"/>
    <w:rsid w:val="00105346"/>
    <w:rsid w:val="0010534A"/>
    <w:rsid w:val="001053B0"/>
    <w:rsid w:val="0010541C"/>
    <w:rsid w:val="0010544D"/>
    <w:rsid w:val="0010549E"/>
    <w:rsid w:val="001054C3"/>
    <w:rsid w:val="0010550F"/>
    <w:rsid w:val="0010562F"/>
    <w:rsid w:val="0010565B"/>
    <w:rsid w:val="001056AD"/>
    <w:rsid w:val="00105709"/>
    <w:rsid w:val="00105744"/>
    <w:rsid w:val="001057A1"/>
    <w:rsid w:val="00105831"/>
    <w:rsid w:val="00105869"/>
    <w:rsid w:val="001058EE"/>
    <w:rsid w:val="001059A4"/>
    <w:rsid w:val="001059FB"/>
    <w:rsid w:val="00105B00"/>
    <w:rsid w:val="00105B59"/>
    <w:rsid w:val="00105BE4"/>
    <w:rsid w:val="00105BF5"/>
    <w:rsid w:val="00105C38"/>
    <w:rsid w:val="00105CB3"/>
    <w:rsid w:val="00105D5A"/>
    <w:rsid w:val="00105E23"/>
    <w:rsid w:val="00105E8A"/>
    <w:rsid w:val="00105ECA"/>
    <w:rsid w:val="00105F7C"/>
    <w:rsid w:val="00105FAC"/>
    <w:rsid w:val="00105FDA"/>
    <w:rsid w:val="00105FF1"/>
    <w:rsid w:val="00106062"/>
    <w:rsid w:val="001060AB"/>
    <w:rsid w:val="001060C7"/>
    <w:rsid w:val="00106181"/>
    <w:rsid w:val="001061AB"/>
    <w:rsid w:val="00106206"/>
    <w:rsid w:val="00106267"/>
    <w:rsid w:val="0010626B"/>
    <w:rsid w:val="001063D4"/>
    <w:rsid w:val="0010640E"/>
    <w:rsid w:val="00106506"/>
    <w:rsid w:val="00106520"/>
    <w:rsid w:val="0010654C"/>
    <w:rsid w:val="00106590"/>
    <w:rsid w:val="00106672"/>
    <w:rsid w:val="0010676F"/>
    <w:rsid w:val="001067C8"/>
    <w:rsid w:val="0010686E"/>
    <w:rsid w:val="001068A8"/>
    <w:rsid w:val="001068DA"/>
    <w:rsid w:val="00106AD7"/>
    <w:rsid w:val="00106AFA"/>
    <w:rsid w:val="00106B00"/>
    <w:rsid w:val="00106BD1"/>
    <w:rsid w:val="00106C7E"/>
    <w:rsid w:val="00106CA4"/>
    <w:rsid w:val="00106E84"/>
    <w:rsid w:val="00106F35"/>
    <w:rsid w:val="00106FDE"/>
    <w:rsid w:val="00107072"/>
    <w:rsid w:val="0010709A"/>
    <w:rsid w:val="001070DD"/>
    <w:rsid w:val="001071A8"/>
    <w:rsid w:val="001071F6"/>
    <w:rsid w:val="001072AA"/>
    <w:rsid w:val="001072F9"/>
    <w:rsid w:val="00107390"/>
    <w:rsid w:val="0010747C"/>
    <w:rsid w:val="0010747E"/>
    <w:rsid w:val="00107544"/>
    <w:rsid w:val="00107651"/>
    <w:rsid w:val="001076EC"/>
    <w:rsid w:val="0010784B"/>
    <w:rsid w:val="00107959"/>
    <w:rsid w:val="00107A37"/>
    <w:rsid w:val="00107A7D"/>
    <w:rsid w:val="00107A9E"/>
    <w:rsid w:val="00107BC7"/>
    <w:rsid w:val="00107C96"/>
    <w:rsid w:val="00107CEF"/>
    <w:rsid w:val="00107DD3"/>
    <w:rsid w:val="00107DF8"/>
    <w:rsid w:val="00107E85"/>
    <w:rsid w:val="00107F57"/>
    <w:rsid w:val="00107FFC"/>
    <w:rsid w:val="00110013"/>
    <w:rsid w:val="00110082"/>
    <w:rsid w:val="001100C2"/>
    <w:rsid w:val="00110156"/>
    <w:rsid w:val="001101C1"/>
    <w:rsid w:val="00110213"/>
    <w:rsid w:val="00110229"/>
    <w:rsid w:val="00110231"/>
    <w:rsid w:val="001102C7"/>
    <w:rsid w:val="0011040C"/>
    <w:rsid w:val="00110451"/>
    <w:rsid w:val="001105A6"/>
    <w:rsid w:val="001105D4"/>
    <w:rsid w:val="001105ED"/>
    <w:rsid w:val="0011063A"/>
    <w:rsid w:val="00110872"/>
    <w:rsid w:val="0011088B"/>
    <w:rsid w:val="00110899"/>
    <w:rsid w:val="0011089D"/>
    <w:rsid w:val="00110937"/>
    <w:rsid w:val="0011099D"/>
    <w:rsid w:val="001109AF"/>
    <w:rsid w:val="001109F0"/>
    <w:rsid w:val="00110A00"/>
    <w:rsid w:val="00110A0D"/>
    <w:rsid w:val="00110A1D"/>
    <w:rsid w:val="00110AA0"/>
    <w:rsid w:val="00110AD9"/>
    <w:rsid w:val="00110AE7"/>
    <w:rsid w:val="00110BCE"/>
    <w:rsid w:val="00110C35"/>
    <w:rsid w:val="00110EAD"/>
    <w:rsid w:val="00110EE5"/>
    <w:rsid w:val="00110FAA"/>
    <w:rsid w:val="0011107B"/>
    <w:rsid w:val="00111133"/>
    <w:rsid w:val="00111139"/>
    <w:rsid w:val="00111199"/>
    <w:rsid w:val="001112A6"/>
    <w:rsid w:val="001112F9"/>
    <w:rsid w:val="00111309"/>
    <w:rsid w:val="001114A8"/>
    <w:rsid w:val="00111555"/>
    <w:rsid w:val="0011169A"/>
    <w:rsid w:val="00111829"/>
    <w:rsid w:val="00111967"/>
    <w:rsid w:val="0011196B"/>
    <w:rsid w:val="00111A81"/>
    <w:rsid w:val="00111AD8"/>
    <w:rsid w:val="00111ADE"/>
    <w:rsid w:val="00111BB0"/>
    <w:rsid w:val="00111BD3"/>
    <w:rsid w:val="00111C17"/>
    <w:rsid w:val="00111D88"/>
    <w:rsid w:val="00111E36"/>
    <w:rsid w:val="00111E46"/>
    <w:rsid w:val="00111F1D"/>
    <w:rsid w:val="00112066"/>
    <w:rsid w:val="001120DE"/>
    <w:rsid w:val="0011212E"/>
    <w:rsid w:val="001121BE"/>
    <w:rsid w:val="00112218"/>
    <w:rsid w:val="00112312"/>
    <w:rsid w:val="001123C9"/>
    <w:rsid w:val="0011241C"/>
    <w:rsid w:val="00112455"/>
    <w:rsid w:val="00112507"/>
    <w:rsid w:val="0011257E"/>
    <w:rsid w:val="0011263F"/>
    <w:rsid w:val="00112704"/>
    <w:rsid w:val="001127EE"/>
    <w:rsid w:val="00112815"/>
    <w:rsid w:val="00112840"/>
    <w:rsid w:val="001128F0"/>
    <w:rsid w:val="00112966"/>
    <w:rsid w:val="001129FB"/>
    <w:rsid w:val="00112A28"/>
    <w:rsid w:val="00112A6D"/>
    <w:rsid w:val="00112BD0"/>
    <w:rsid w:val="00112BDC"/>
    <w:rsid w:val="00112C65"/>
    <w:rsid w:val="00112C68"/>
    <w:rsid w:val="00112F8A"/>
    <w:rsid w:val="00112FF7"/>
    <w:rsid w:val="0011300E"/>
    <w:rsid w:val="001130DF"/>
    <w:rsid w:val="0011312E"/>
    <w:rsid w:val="00113238"/>
    <w:rsid w:val="001132EE"/>
    <w:rsid w:val="001133AD"/>
    <w:rsid w:val="001133BE"/>
    <w:rsid w:val="00113423"/>
    <w:rsid w:val="0011351F"/>
    <w:rsid w:val="0011355D"/>
    <w:rsid w:val="00113619"/>
    <w:rsid w:val="0011362D"/>
    <w:rsid w:val="001136E0"/>
    <w:rsid w:val="00113792"/>
    <w:rsid w:val="001137CA"/>
    <w:rsid w:val="001137D4"/>
    <w:rsid w:val="00113831"/>
    <w:rsid w:val="00113849"/>
    <w:rsid w:val="001138BE"/>
    <w:rsid w:val="00113A61"/>
    <w:rsid w:val="00113AC1"/>
    <w:rsid w:val="00113B9D"/>
    <w:rsid w:val="00113C51"/>
    <w:rsid w:val="00113C9D"/>
    <w:rsid w:val="00113E8C"/>
    <w:rsid w:val="00113F94"/>
    <w:rsid w:val="00113FC1"/>
    <w:rsid w:val="0011401D"/>
    <w:rsid w:val="001141A6"/>
    <w:rsid w:val="001142FD"/>
    <w:rsid w:val="001143E2"/>
    <w:rsid w:val="001143EE"/>
    <w:rsid w:val="0011443B"/>
    <w:rsid w:val="0011443E"/>
    <w:rsid w:val="0011445C"/>
    <w:rsid w:val="0011447F"/>
    <w:rsid w:val="001144A4"/>
    <w:rsid w:val="001144B5"/>
    <w:rsid w:val="001145D2"/>
    <w:rsid w:val="001146D6"/>
    <w:rsid w:val="0011475E"/>
    <w:rsid w:val="001149A6"/>
    <w:rsid w:val="001149C9"/>
    <w:rsid w:val="00114A3E"/>
    <w:rsid w:val="00114B6A"/>
    <w:rsid w:val="00114BB1"/>
    <w:rsid w:val="00114C54"/>
    <w:rsid w:val="00114C61"/>
    <w:rsid w:val="00114CDC"/>
    <w:rsid w:val="00114E28"/>
    <w:rsid w:val="00114E9F"/>
    <w:rsid w:val="00114F65"/>
    <w:rsid w:val="00114FAA"/>
    <w:rsid w:val="00114FB7"/>
    <w:rsid w:val="00115009"/>
    <w:rsid w:val="001150A9"/>
    <w:rsid w:val="0011514B"/>
    <w:rsid w:val="00115219"/>
    <w:rsid w:val="00115462"/>
    <w:rsid w:val="001154D0"/>
    <w:rsid w:val="0011565B"/>
    <w:rsid w:val="00115686"/>
    <w:rsid w:val="00115687"/>
    <w:rsid w:val="001156B5"/>
    <w:rsid w:val="00115709"/>
    <w:rsid w:val="00115772"/>
    <w:rsid w:val="001157C2"/>
    <w:rsid w:val="001157C3"/>
    <w:rsid w:val="001157D5"/>
    <w:rsid w:val="00115802"/>
    <w:rsid w:val="001158C9"/>
    <w:rsid w:val="001158DB"/>
    <w:rsid w:val="001159A3"/>
    <w:rsid w:val="001159EB"/>
    <w:rsid w:val="00115BFF"/>
    <w:rsid w:val="00115D2A"/>
    <w:rsid w:val="00115D31"/>
    <w:rsid w:val="00115D52"/>
    <w:rsid w:val="00115E98"/>
    <w:rsid w:val="00115F2A"/>
    <w:rsid w:val="00115F60"/>
    <w:rsid w:val="00116062"/>
    <w:rsid w:val="00116081"/>
    <w:rsid w:val="0011616B"/>
    <w:rsid w:val="0011618E"/>
    <w:rsid w:val="00116190"/>
    <w:rsid w:val="0011629A"/>
    <w:rsid w:val="001162FB"/>
    <w:rsid w:val="00116329"/>
    <w:rsid w:val="001164AB"/>
    <w:rsid w:val="0011653D"/>
    <w:rsid w:val="001165FD"/>
    <w:rsid w:val="0011667B"/>
    <w:rsid w:val="00116730"/>
    <w:rsid w:val="00116780"/>
    <w:rsid w:val="001167EF"/>
    <w:rsid w:val="00116811"/>
    <w:rsid w:val="00116890"/>
    <w:rsid w:val="001168C9"/>
    <w:rsid w:val="001169DB"/>
    <w:rsid w:val="00116A31"/>
    <w:rsid w:val="00116B13"/>
    <w:rsid w:val="00116B63"/>
    <w:rsid w:val="00116BE3"/>
    <w:rsid w:val="00116C56"/>
    <w:rsid w:val="00116D0F"/>
    <w:rsid w:val="00116D3C"/>
    <w:rsid w:val="00116D6A"/>
    <w:rsid w:val="00116D95"/>
    <w:rsid w:val="00116D9D"/>
    <w:rsid w:val="00116DCC"/>
    <w:rsid w:val="00116E49"/>
    <w:rsid w:val="00116E6D"/>
    <w:rsid w:val="00116F35"/>
    <w:rsid w:val="00116F44"/>
    <w:rsid w:val="00116F5C"/>
    <w:rsid w:val="00116F60"/>
    <w:rsid w:val="00117032"/>
    <w:rsid w:val="0011704E"/>
    <w:rsid w:val="001170C3"/>
    <w:rsid w:val="001170FD"/>
    <w:rsid w:val="0011712A"/>
    <w:rsid w:val="001171CD"/>
    <w:rsid w:val="00117344"/>
    <w:rsid w:val="00117413"/>
    <w:rsid w:val="001174F4"/>
    <w:rsid w:val="001174F7"/>
    <w:rsid w:val="0011762B"/>
    <w:rsid w:val="001176B8"/>
    <w:rsid w:val="001176FC"/>
    <w:rsid w:val="00117780"/>
    <w:rsid w:val="001177AD"/>
    <w:rsid w:val="001177C4"/>
    <w:rsid w:val="00117805"/>
    <w:rsid w:val="0011785F"/>
    <w:rsid w:val="00117872"/>
    <w:rsid w:val="00117890"/>
    <w:rsid w:val="0011789D"/>
    <w:rsid w:val="0011791D"/>
    <w:rsid w:val="00117956"/>
    <w:rsid w:val="00117969"/>
    <w:rsid w:val="0011797F"/>
    <w:rsid w:val="00117B0A"/>
    <w:rsid w:val="00117B14"/>
    <w:rsid w:val="00117BFE"/>
    <w:rsid w:val="00117C21"/>
    <w:rsid w:val="00117C3D"/>
    <w:rsid w:val="00117D2C"/>
    <w:rsid w:val="00117D5F"/>
    <w:rsid w:val="00117D9A"/>
    <w:rsid w:val="00117DB5"/>
    <w:rsid w:val="00117EF6"/>
    <w:rsid w:val="00117F12"/>
    <w:rsid w:val="00117F4E"/>
    <w:rsid w:val="00117FAA"/>
    <w:rsid w:val="00120087"/>
    <w:rsid w:val="001200B6"/>
    <w:rsid w:val="00120114"/>
    <w:rsid w:val="001201F3"/>
    <w:rsid w:val="0012020D"/>
    <w:rsid w:val="00120232"/>
    <w:rsid w:val="001202D3"/>
    <w:rsid w:val="001203D6"/>
    <w:rsid w:val="0012049E"/>
    <w:rsid w:val="0012055C"/>
    <w:rsid w:val="00120653"/>
    <w:rsid w:val="00120704"/>
    <w:rsid w:val="00120779"/>
    <w:rsid w:val="001207E5"/>
    <w:rsid w:val="0012088F"/>
    <w:rsid w:val="001208D5"/>
    <w:rsid w:val="0012090B"/>
    <w:rsid w:val="001209F8"/>
    <w:rsid w:val="00120A72"/>
    <w:rsid w:val="00120AB8"/>
    <w:rsid w:val="00120BC1"/>
    <w:rsid w:val="00120C89"/>
    <w:rsid w:val="00120CB1"/>
    <w:rsid w:val="00120D15"/>
    <w:rsid w:val="00120D87"/>
    <w:rsid w:val="00120DEB"/>
    <w:rsid w:val="00120E14"/>
    <w:rsid w:val="00120E15"/>
    <w:rsid w:val="00120EE4"/>
    <w:rsid w:val="00120F6C"/>
    <w:rsid w:val="001210FD"/>
    <w:rsid w:val="001212CC"/>
    <w:rsid w:val="00121354"/>
    <w:rsid w:val="0012138B"/>
    <w:rsid w:val="0012147D"/>
    <w:rsid w:val="001214B8"/>
    <w:rsid w:val="001214E4"/>
    <w:rsid w:val="001215DF"/>
    <w:rsid w:val="00121673"/>
    <w:rsid w:val="001216B0"/>
    <w:rsid w:val="001216B6"/>
    <w:rsid w:val="00121779"/>
    <w:rsid w:val="00121795"/>
    <w:rsid w:val="0012180F"/>
    <w:rsid w:val="00121816"/>
    <w:rsid w:val="0012183D"/>
    <w:rsid w:val="00121982"/>
    <w:rsid w:val="00121984"/>
    <w:rsid w:val="00121994"/>
    <w:rsid w:val="00121998"/>
    <w:rsid w:val="001219A6"/>
    <w:rsid w:val="001219C1"/>
    <w:rsid w:val="00121A2F"/>
    <w:rsid w:val="00121B50"/>
    <w:rsid w:val="00121C1E"/>
    <w:rsid w:val="00121C7A"/>
    <w:rsid w:val="00121D37"/>
    <w:rsid w:val="00121F51"/>
    <w:rsid w:val="00121F57"/>
    <w:rsid w:val="001221A9"/>
    <w:rsid w:val="001221E1"/>
    <w:rsid w:val="001222E3"/>
    <w:rsid w:val="0012235D"/>
    <w:rsid w:val="001223D2"/>
    <w:rsid w:val="00122475"/>
    <w:rsid w:val="00122492"/>
    <w:rsid w:val="001224F0"/>
    <w:rsid w:val="001226F1"/>
    <w:rsid w:val="001227F6"/>
    <w:rsid w:val="00122841"/>
    <w:rsid w:val="00122842"/>
    <w:rsid w:val="001228B8"/>
    <w:rsid w:val="001228E7"/>
    <w:rsid w:val="00122A1D"/>
    <w:rsid w:val="00122AC5"/>
    <w:rsid w:val="00122B04"/>
    <w:rsid w:val="00122C4D"/>
    <w:rsid w:val="00122C67"/>
    <w:rsid w:val="00122CE4"/>
    <w:rsid w:val="00122D7A"/>
    <w:rsid w:val="00122DFC"/>
    <w:rsid w:val="00122EE1"/>
    <w:rsid w:val="00122F23"/>
    <w:rsid w:val="00122FEB"/>
    <w:rsid w:val="00122FF4"/>
    <w:rsid w:val="00123043"/>
    <w:rsid w:val="0012307F"/>
    <w:rsid w:val="00123097"/>
    <w:rsid w:val="00123104"/>
    <w:rsid w:val="00123204"/>
    <w:rsid w:val="00123211"/>
    <w:rsid w:val="0012325E"/>
    <w:rsid w:val="00123336"/>
    <w:rsid w:val="00123389"/>
    <w:rsid w:val="00123415"/>
    <w:rsid w:val="0012343F"/>
    <w:rsid w:val="001234FC"/>
    <w:rsid w:val="00123616"/>
    <w:rsid w:val="00123730"/>
    <w:rsid w:val="00123773"/>
    <w:rsid w:val="001237AD"/>
    <w:rsid w:val="00123867"/>
    <w:rsid w:val="0012386D"/>
    <w:rsid w:val="001238A2"/>
    <w:rsid w:val="001238D5"/>
    <w:rsid w:val="001238E0"/>
    <w:rsid w:val="00123946"/>
    <w:rsid w:val="00123B37"/>
    <w:rsid w:val="00123B4B"/>
    <w:rsid w:val="00123B75"/>
    <w:rsid w:val="00123BA1"/>
    <w:rsid w:val="00123C1E"/>
    <w:rsid w:val="00123D71"/>
    <w:rsid w:val="00123E08"/>
    <w:rsid w:val="00123E63"/>
    <w:rsid w:val="00123E8B"/>
    <w:rsid w:val="00123E9A"/>
    <w:rsid w:val="00123F52"/>
    <w:rsid w:val="00123FBA"/>
    <w:rsid w:val="00123FE4"/>
    <w:rsid w:val="00124025"/>
    <w:rsid w:val="00124139"/>
    <w:rsid w:val="00124173"/>
    <w:rsid w:val="001242B4"/>
    <w:rsid w:val="001242CC"/>
    <w:rsid w:val="0012431A"/>
    <w:rsid w:val="00124362"/>
    <w:rsid w:val="0012436F"/>
    <w:rsid w:val="00124477"/>
    <w:rsid w:val="0012463E"/>
    <w:rsid w:val="00124696"/>
    <w:rsid w:val="00124705"/>
    <w:rsid w:val="0012470C"/>
    <w:rsid w:val="00124722"/>
    <w:rsid w:val="001247E7"/>
    <w:rsid w:val="001247F4"/>
    <w:rsid w:val="0012487F"/>
    <w:rsid w:val="0012492E"/>
    <w:rsid w:val="00124948"/>
    <w:rsid w:val="00124983"/>
    <w:rsid w:val="001249F8"/>
    <w:rsid w:val="00124C1F"/>
    <w:rsid w:val="00124C67"/>
    <w:rsid w:val="00124CC3"/>
    <w:rsid w:val="00124D36"/>
    <w:rsid w:val="00124DAB"/>
    <w:rsid w:val="00124E28"/>
    <w:rsid w:val="00124E7B"/>
    <w:rsid w:val="00124EF8"/>
    <w:rsid w:val="00124F50"/>
    <w:rsid w:val="00125109"/>
    <w:rsid w:val="001251B4"/>
    <w:rsid w:val="00125279"/>
    <w:rsid w:val="001252B4"/>
    <w:rsid w:val="0012544B"/>
    <w:rsid w:val="0012548D"/>
    <w:rsid w:val="001254B6"/>
    <w:rsid w:val="001254E9"/>
    <w:rsid w:val="0012550D"/>
    <w:rsid w:val="00125643"/>
    <w:rsid w:val="001257AB"/>
    <w:rsid w:val="001257C5"/>
    <w:rsid w:val="0012589D"/>
    <w:rsid w:val="00125965"/>
    <w:rsid w:val="001259A6"/>
    <w:rsid w:val="00125A26"/>
    <w:rsid w:val="00125AAA"/>
    <w:rsid w:val="00125B17"/>
    <w:rsid w:val="00125B7D"/>
    <w:rsid w:val="00125C40"/>
    <w:rsid w:val="00125D30"/>
    <w:rsid w:val="00125D37"/>
    <w:rsid w:val="00125DCC"/>
    <w:rsid w:val="00125F74"/>
    <w:rsid w:val="00125F83"/>
    <w:rsid w:val="001261C3"/>
    <w:rsid w:val="0012626D"/>
    <w:rsid w:val="00126300"/>
    <w:rsid w:val="00126331"/>
    <w:rsid w:val="00126334"/>
    <w:rsid w:val="0012637A"/>
    <w:rsid w:val="001263AD"/>
    <w:rsid w:val="001263E2"/>
    <w:rsid w:val="001263EA"/>
    <w:rsid w:val="001264CE"/>
    <w:rsid w:val="0012657D"/>
    <w:rsid w:val="00126581"/>
    <w:rsid w:val="0012659E"/>
    <w:rsid w:val="001265AE"/>
    <w:rsid w:val="001265D5"/>
    <w:rsid w:val="001265DD"/>
    <w:rsid w:val="00126635"/>
    <w:rsid w:val="00126763"/>
    <w:rsid w:val="0012689D"/>
    <w:rsid w:val="00126991"/>
    <w:rsid w:val="00126A95"/>
    <w:rsid w:val="00126A9D"/>
    <w:rsid w:val="00126AAB"/>
    <w:rsid w:val="00126BBD"/>
    <w:rsid w:val="00126C68"/>
    <w:rsid w:val="00126C7C"/>
    <w:rsid w:val="00126CE5"/>
    <w:rsid w:val="00126CFC"/>
    <w:rsid w:val="00126DD5"/>
    <w:rsid w:val="00126E43"/>
    <w:rsid w:val="00126EBE"/>
    <w:rsid w:val="00126ECB"/>
    <w:rsid w:val="00126EEF"/>
    <w:rsid w:val="00126EF9"/>
    <w:rsid w:val="00126F54"/>
    <w:rsid w:val="00127000"/>
    <w:rsid w:val="0012713B"/>
    <w:rsid w:val="00127226"/>
    <w:rsid w:val="00127245"/>
    <w:rsid w:val="00127253"/>
    <w:rsid w:val="0012726D"/>
    <w:rsid w:val="00127332"/>
    <w:rsid w:val="00127355"/>
    <w:rsid w:val="0012737E"/>
    <w:rsid w:val="001273E4"/>
    <w:rsid w:val="0012750D"/>
    <w:rsid w:val="00127544"/>
    <w:rsid w:val="00127556"/>
    <w:rsid w:val="001276BE"/>
    <w:rsid w:val="001277D5"/>
    <w:rsid w:val="00127818"/>
    <w:rsid w:val="00127832"/>
    <w:rsid w:val="00127917"/>
    <w:rsid w:val="0012791D"/>
    <w:rsid w:val="00127964"/>
    <w:rsid w:val="00127997"/>
    <w:rsid w:val="001279EF"/>
    <w:rsid w:val="00127C02"/>
    <w:rsid w:val="00127D79"/>
    <w:rsid w:val="00127E44"/>
    <w:rsid w:val="00127EF6"/>
    <w:rsid w:val="00127FC9"/>
    <w:rsid w:val="00130021"/>
    <w:rsid w:val="00130099"/>
    <w:rsid w:val="001301C8"/>
    <w:rsid w:val="00130209"/>
    <w:rsid w:val="00130247"/>
    <w:rsid w:val="00130274"/>
    <w:rsid w:val="00130526"/>
    <w:rsid w:val="001305FD"/>
    <w:rsid w:val="00130611"/>
    <w:rsid w:val="001306BF"/>
    <w:rsid w:val="001306D4"/>
    <w:rsid w:val="001306F3"/>
    <w:rsid w:val="0013077B"/>
    <w:rsid w:val="00130839"/>
    <w:rsid w:val="001308EA"/>
    <w:rsid w:val="0013097C"/>
    <w:rsid w:val="001309A0"/>
    <w:rsid w:val="00130A18"/>
    <w:rsid w:val="00130A6A"/>
    <w:rsid w:val="00130AFC"/>
    <w:rsid w:val="00130B59"/>
    <w:rsid w:val="00130B6E"/>
    <w:rsid w:val="00130B78"/>
    <w:rsid w:val="00130BC0"/>
    <w:rsid w:val="00130C0D"/>
    <w:rsid w:val="00130E43"/>
    <w:rsid w:val="00130EBA"/>
    <w:rsid w:val="00130F08"/>
    <w:rsid w:val="00130F3C"/>
    <w:rsid w:val="001310F3"/>
    <w:rsid w:val="00131107"/>
    <w:rsid w:val="00131181"/>
    <w:rsid w:val="001311E9"/>
    <w:rsid w:val="001311F0"/>
    <w:rsid w:val="001312CC"/>
    <w:rsid w:val="00131319"/>
    <w:rsid w:val="0013139A"/>
    <w:rsid w:val="001313AF"/>
    <w:rsid w:val="001313B3"/>
    <w:rsid w:val="00131477"/>
    <w:rsid w:val="001315FE"/>
    <w:rsid w:val="001316A3"/>
    <w:rsid w:val="001316D5"/>
    <w:rsid w:val="00131726"/>
    <w:rsid w:val="00131747"/>
    <w:rsid w:val="00131780"/>
    <w:rsid w:val="00131899"/>
    <w:rsid w:val="001319AE"/>
    <w:rsid w:val="00131A88"/>
    <w:rsid w:val="00131AC9"/>
    <w:rsid w:val="00131B18"/>
    <w:rsid w:val="00131B49"/>
    <w:rsid w:val="00131BA0"/>
    <w:rsid w:val="00131F33"/>
    <w:rsid w:val="001320CC"/>
    <w:rsid w:val="0013214E"/>
    <w:rsid w:val="001321E9"/>
    <w:rsid w:val="001322B9"/>
    <w:rsid w:val="0013236C"/>
    <w:rsid w:val="00132403"/>
    <w:rsid w:val="0013243F"/>
    <w:rsid w:val="001324C9"/>
    <w:rsid w:val="00132511"/>
    <w:rsid w:val="0013259A"/>
    <w:rsid w:val="00132615"/>
    <w:rsid w:val="0013264F"/>
    <w:rsid w:val="0013268F"/>
    <w:rsid w:val="00132696"/>
    <w:rsid w:val="001327C0"/>
    <w:rsid w:val="001327DF"/>
    <w:rsid w:val="001327E4"/>
    <w:rsid w:val="001328A2"/>
    <w:rsid w:val="00132AF9"/>
    <w:rsid w:val="00132CE2"/>
    <w:rsid w:val="00132D44"/>
    <w:rsid w:val="00132D84"/>
    <w:rsid w:val="00132DD0"/>
    <w:rsid w:val="00132E24"/>
    <w:rsid w:val="00132E4C"/>
    <w:rsid w:val="00132EC2"/>
    <w:rsid w:val="00132EDF"/>
    <w:rsid w:val="0013300A"/>
    <w:rsid w:val="0013300C"/>
    <w:rsid w:val="00133040"/>
    <w:rsid w:val="00133044"/>
    <w:rsid w:val="00133139"/>
    <w:rsid w:val="00133181"/>
    <w:rsid w:val="001331F2"/>
    <w:rsid w:val="001332D6"/>
    <w:rsid w:val="001333B8"/>
    <w:rsid w:val="00133463"/>
    <w:rsid w:val="0013346E"/>
    <w:rsid w:val="0013347E"/>
    <w:rsid w:val="0013355A"/>
    <w:rsid w:val="00133580"/>
    <w:rsid w:val="00133612"/>
    <w:rsid w:val="0013368B"/>
    <w:rsid w:val="0013369D"/>
    <w:rsid w:val="0013371D"/>
    <w:rsid w:val="00133757"/>
    <w:rsid w:val="00133796"/>
    <w:rsid w:val="00133902"/>
    <w:rsid w:val="0013393C"/>
    <w:rsid w:val="00133941"/>
    <w:rsid w:val="001339DC"/>
    <w:rsid w:val="00133A36"/>
    <w:rsid w:val="00133ACC"/>
    <w:rsid w:val="00133AD8"/>
    <w:rsid w:val="00133AEA"/>
    <w:rsid w:val="00133C53"/>
    <w:rsid w:val="00133CA1"/>
    <w:rsid w:val="00133D48"/>
    <w:rsid w:val="00133D49"/>
    <w:rsid w:val="00133D52"/>
    <w:rsid w:val="00133D9C"/>
    <w:rsid w:val="00133F0F"/>
    <w:rsid w:val="00133F3E"/>
    <w:rsid w:val="00133F45"/>
    <w:rsid w:val="00133FCD"/>
    <w:rsid w:val="001340C3"/>
    <w:rsid w:val="00134104"/>
    <w:rsid w:val="0013410A"/>
    <w:rsid w:val="00134147"/>
    <w:rsid w:val="00134250"/>
    <w:rsid w:val="0013426A"/>
    <w:rsid w:val="00134278"/>
    <w:rsid w:val="00134385"/>
    <w:rsid w:val="001344DC"/>
    <w:rsid w:val="0013454C"/>
    <w:rsid w:val="001345C8"/>
    <w:rsid w:val="00134649"/>
    <w:rsid w:val="0013471D"/>
    <w:rsid w:val="00134723"/>
    <w:rsid w:val="00134748"/>
    <w:rsid w:val="001347EF"/>
    <w:rsid w:val="00134832"/>
    <w:rsid w:val="001348D0"/>
    <w:rsid w:val="00134B1F"/>
    <w:rsid w:val="00134B24"/>
    <w:rsid w:val="00134B9D"/>
    <w:rsid w:val="00134BB2"/>
    <w:rsid w:val="00134C78"/>
    <w:rsid w:val="00134CAA"/>
    <w:rsid w:val="00134D2E"/>
    <w:rsid w:val="00134D3A"/>
    <w:rsid w:val="0013501B"/>
    <w:rsid w:val="0013503F"/>
    <w:rsid w:val="0013508D"/>
    <w:rsid w:val="001350BF"/>
    <w:rsid w:val="0013511C"/>
    <w:rsid w:val="00135130"/>
    <w:rsid w:val="00135165"/>
    <w:rsid w:val="001351C1"/>
    <w:rsid w:val="00135254"/>
    <w:rsid w:val="00135386"/>
    <w:rsid w:val="001353F8"/>
    <w:rsid w:val="00135481"/>
    <w:rsid w:val="00135630"/>
    <w:rsid w:val="0013565A"/>
    <w:rsid w:val="001356F2"/>
    <w:rsid w:val="00135726"/>
    <w:rsid w:val="0013573F"/>
    <w:rsid w:val="00135741"/>
    <w:rsid w:val="00135943"/>
    <w:rsid w:val="001359C9"/>
    <w:rsid w:val="00135A26"/>
    <w:rsid w:val="00135D2A"/>
    <w:rsid w:val="00135D55"/>
    <w:rsid w:val="00135E35"/>
    <w:rsid w:val="00135E6D"/>
    <w:rsid w:val="00135EAA"/>
    <w:rsid w:val="00135EFD"/>
    <w:rsid w:val="00135F26"/>
    <w:rsid w:val="00135FB6"/>
    <w:rsid w:val="00135FC0"/>
    <w:rsid w:val="0013602A"/>
    <w:rsid w:val="001362C5"/>
    <w:rsid w:val="00136335"/>
    <w:rsid w:val="0013635A"/>
    <w:rsid w:val="00136457"/>
    <w:rsid w:val="0013654C"/>
    <w:rsid w:val="001366D9"/>
    <w:rsid w:val="001367D4"/>
    <w:rsid w:val="00136891"/>
    <w:rsid w:val="00136893"/>
    <w:rsid w:val="001368F2"/>
    <w:rsid w:val="00136913"/>
    <w:rsid w:val="00136982"/>
    <w:rsid w:val="001369AC"/>
    <w:rsid w:val="001369E1"/>
    <w:rsid w:val="001369ED"/>
    <w:rsid w:val="00136A39"/>
    <w:rsid w:val="00136A59"/>
    <w:rsid w:val="00136ABB"/>
    <w:rsid w:val="00136C35"/>
    <w:rsid w:val="00136CA9"/>
    <w:rsid w:val="00136D3F"/>
    <w:rsid w:val="00136D6E"/>
    <w:rsid w:val="00136D94"/>
    <w:rsid w:val="00136DC6"/>
    <w:rsid w:val="00136FAD"/>
    <w:rsid w:val="00136FB0"/>
    <w:rsid w:val="001370E6"/>
    <w:rsid w:val="00137163"/>
    <w:rsid w:val="00137209"/>
    <w:rsid w:val="00137274"/>
    <w:rsid w:val="0013729E"/>
    <w:rsid w:val="001373B2"/>
    <w:rsid w:val="001373C5"/>
    <w:rsid w:val="0013741C"/>
    <w:rsid w:val="00137440"/>
    <w:rsid w:val="0013751D"/>
    <w:rsid w:val="00137611"/>
    <w:rsid w:val="00137657"/>
    <w:rsid w:val="00137822"/>
    <w:rsid w:val="00137838"/>
    <w:rsid w:val="00137A1F"/>
    <w:rsid w:val="00137AA9"/>
    <w:rsid w:val="00137B14"/>
    <w:rsid w:val="00137BE7"/>
    <w:rsid w:val="00137CA9"/>
    <w:rsid w:val="00137CF8"/>
    <w:rsid w:val="00137D55"/>
    <w:rsid w:val="00137D97"/>
    <w:rsid w:val="00137D9F"/>
    <w:rsid w:val="00137DCB"/>
    <w:rsid w:val="00137E24"/>
    <w:rsid w:val="00137E26"/>
    <w:rsid w:val="00140059"/>
    <w:rsid w:val="001400CF"/>
    <w:rsid w:val="001400D8"/>
    <w:rsid w:val="00140100"/>
    <w:rsid w:val="0014018F"/>
    <w:rsid w:val="00140276"/>
    <w:rsid w:val="001402A1"/>
    <w:rsid w:val="001402E5"/>
    <w:rsid w:val="001403EE"/>
    <w:rsid w:val="001404AE"/>
    <w:rsid w:val="001404D6"/>
    <w:rsid w:val="00140602"/>
    <w:rsid w:val="0014087B"/>
    <w:rsid w:val="001408BC"/>
    <w:rsid w:val="0014098A"/>
    <w:rsid w:val="001409FB"/>
    <w:rsid w:val="00140A22"/>
    <w:rsid w:val="00140B5F"/>
    <w:rsid w:val="00140C31"/>
    <w:rsid w:val="00140E8B"/>
    <w:rsid w:val="00140FD4"/>
    <w:rsid w:val="001411F4"/>
    <w:rsid w:val="0014124B"/>
    <w:rsid w:val="00141288"/>
    <w:rsid w:val="001412E1"/>
    <w:rsid w:val="001412E6"/>
    <w:rsid w:val="001413A8"/>
    <w:rsid w:val="001413D2"/>
    <w:rsid w:val="00141494"/>
    <w:rsid w:val="0014154D"/>
    <w:rsid w:val="00141618"/>
    <w:rsid w:val="0014171C"/>
    <w:rsid w:val="00141780"/>
    <w:rsid w:val="00141826"/>
    <w:rsid w:val="00141961"/>
    <w:rsid w:val="00141975"/>
    <w:rsid w:val="00141994"/>
    <w:rsid w:val="00141A24"/>
    <w:rsid w:val="00141AE1"/>
    <w:rsid w:val="00141AF3"/>
    <w:rsid w:val="00141B47"/>
    <w:rsid w:val="00141B4C"/>
    <w:rsid w:val="00141B83"/>
    <w:rsid w:val="00141C0E"/>
    <w:rsid w:val="00141C5A"/>
    <w:rsid w:val="00141D8A"/>
    <w:rsid w:val="00141D8C"/>
    <w:rsid w:val="00141D9B"/>
    <w:rsid w:val="00141E00"/>
    <w:rsid w:val="00141E25"/>
    <w:rsid w:val="00141E2C"/>
    <w:rsid w:val="00141E4B"/>
    <w:rsid w:val="00141EA9"/>
    <w:rsid w:val="00141F44"/>
    <w:rsid w:val="00141F95"/>
    <w:rsid w:val="00141FB9"/>
    <w:rsid w:val="00142001"/>
    <w:rsid w:val="00142094"/>
    <w:rsid w:val="001420BA"/>
    <w:rsid w:val="001420C0"/>
    <w:rsid w:val="001420C8"/>
    <w:rsid w:val="001420DF"/>
    <w:rsid w:val="001422C1"/>
    <w:rsid w:val="00142403"/>
    <w:rsid w:val="0014240E"/>
    <w:rsid w:val="00142450"/>
    <w:rsid w:val="001424B7"/>
    <w:rsid w:val="001424C2"/>
    <w:rsid w:val="00142561"/>
    <w:rsid w:val="00142714"/>
    <w:rsid w:val="0014281A"/>
    <w:rsid w:val="001428A0"/>
    <w:rsid w:val="001429DB"/>
    <w:rsid w:val="00142BAC"/>
    <w:rsid w:val="00142BD0"/>
    <w:rsid w:val="00142BE9"/>
    <w:rsid w:val="00142C66"/>
    <w:rsid w:val="00142D38"/>
    <w:rsid w:val="00142E3A"/>
    <w:rsid w:val="00142E5E"/>
    <w:rsid w:val="00142F76"/>
    <w:rsid w:val="00143127"/>
    <w:rsid w:val="001431BD"/>
    <w:rsid w:val="0014320C"/>
    <w:rsid w:val="00143285"/>
    <w:rsid w:val="00143345"/>
    <w:rsid w:val="00143360"/>
    <w:rsid w:val="001433DF"/>
    <w:rsid w:val="001433E9"/>
    <w:rsid w:val="00143540"/>
    <w:rsid w:val="001435AC"/>
    <w:rsid w:val="001435BC"/>
    <w:rsid w:val="001436C4"/>
    <w:rsid w:val="0014370B"/>
    <w:rsid w:val="0014378C"/>
    <w:rsid w:val="001437EB"/>
    <w:rsid w:val="00143929"/>
    <w:rsid w:val="00143ACD"/>
    <w:rsid w:val="00143ADD"/>
    <w:rsid w:val="00143B15"/>
    <w:rsid w:val="00143B45"/>
    <w:rsid w:val="00143C05"/>
    <w:rsid w:val="00143CA8"/>
    <w:rsid w:val="00143D59"/>
    <w:rsid w:val="00143D7E"/>
    <w:rsid w:val="00143E59"/>
    <w:rsid w:val="00144035"/>
    <w:rsid w:val="00144058"/>
    <w:rsid w:val="00144147"/>
    <w:rsid w:val="00144159"/>
    <w:rsid w:val="001441EC"/>
    <w:rsid w:val="00144393"/>
    <w:rsid w:val="001443D6"/>
    <w:rsid w:val="00144678"/>
    <w:rsid w:val="0014477D"/>
    <w:rsid w:val="0014488A"/>
    <w:rsid w:val="00144907"/>
    <w:rsid w:val="00144937"/>
    <w:rsid w:val="00144945"/>
    <w:rsid w:val="00144B16"/>
    <w:rsid w:val="00144B47"/>
    <w:rsid w:val="00144C5C"/>
    <w:rsid w:val="00144CD9"/>
    <w:rsid w:val="00144CDA"/>
    <w:rsid w:val="00144CE6"/>
    <w:rsid w:val="00144D14"/>
    <w:rsid w:val="00144D5F"/>
    <w:rsid w:val="00144DC4"/>
    <w:rsid w:val="00144E9B"/>
    <w:rsid w:val="00144F04"/>
    <w:rsid w:val="00144F23"/>
    <w:rsid w:val="00144F2E"/>
    <w:rsid w:val="00144FE3"/>
    <w:rsid w:val="00144FEB"/>
    <w:rsid w:val="001450C2"/>
    <w:rsid w:val="0014511D"/>
    <w:rsid w:val="00145200"/>
    <w:rsid w:val="00145388"/>
    <w:rsid w:val="00145474"/>
    <w:rsid w:val="0014547C"/>
    <w:rsid w:val="001455A8"/>
    <w:rsid w:val="001455DE"/>
    <w:rsid w:val="00145721"/>
    <w:rsid w:val="00145829"/>
    <w:rsid w:val="0014590E"/>
    <w:rsid w:val="00145945"/>
    <w:rsid w:val="001459DE"/>
    <w:rsid w:val="00145BC3"/>
    <w:rsid w:val="00145C9F"/>
    <w:rsid w:val="00145CC0"/>
    <w:rsid w:val="00145D54"/>
    <w:rsid w:val="00145DB3"/>
    <w:rsid w:val="00145E1C"/>
    <w:rsid w:val="00145E81"/>
    <w:rsid w:val="00145EB2"/>
    <w:rsid w:val="00145F7A"/>
    <w:rsid w:val="00145FF4"/>
    <w:rsid w:val="00146118"/>
    <w:rsid w:val="00146176"/>
    <w:rsid w:val="0014617B"/>
    <w:rsid w:val="00146184"/>
    <w:rsid w:val="0014619B"/>
    <w:rsid w:val="001461C0"/>
    <w:rsid w:val="00146397"/>
    <w:rsid w:val="001464AA"/>
    <w:rsid w:val="00146518"/>
    <w:rsid w:val="0014651C"/>
    <w:rsid w:val="0014656D"/>
    <w:rsid w:val="00146786"/>
    <w:rsid w:val="001467B7"/>
    <w:rsid w:val="00146824"/>
    <w:rsid w:val="0014685D"/>
    <w:rsid w:val="00146922"/>
    <w:rsid w:val="00146981"/>
    <w:rsid w:val="001469C9"/>
    <w:rsid w:val="00146A6B"/>
    <w:rsid w:val="00146AC4"/>
    <w:rsid w:val="00146B98"/>
    <w:rsid w:val="00146BAB"/>
    <w:rsid w:val="00146C43"/>
    <w:rsid w:val="00146D1E"/>
    <w:rsid w:val="00146D56"/>
    <w:rsid w:val="00146E42"/>
    <w:rsid w:val="00146E5A"/>
    <w:rsid w:val="00146E83"/>
    <w:rsid w:val="00146EBF"/>
    <w:rsid w:val="00146F36"/>
    <w:rsid w:val="00146FDE"/>
    <w:rsid w:val="00147064"/>
    <w:rsid w:val="0014708E"/>
    <w:rsid w:val="001470EA"/>
    <w:rsid w:val="00147103"/>
    <w:rsid w:val="0014715C"/>
    <w:rsid w:val="0014718B"/>
    <w:rsid w:val="001472A3"/>
    <w:rsid w:val="001472C5"/>
    <w:rsid w:val="001472F3"/>
    <w:rsid w:val="0014734A"/>
    <w:rsid w:val="0014735B"/>
    <w:rsid w:val="001473E7"/>
    <w:rsid w:val="00147407"/>
    <w:rsid w:val="00147412"/>
    <w:rsid w:val="001474DA"/>
    <w:rsid w:val="0014751C"/>
    <w:rsid w:val="0014753F"/>
    <w:rsid w:val="00147632"/>
    <w:rsid w:val="0014764E"/>
    <w:rsid w:val="001477C8"/>
    <w:rsid w:val="001477CB"/>
    <w:rsid w:val="001478B2"/>
    <w:rsid w:val="00147A30"/>
    <w:rsid w:val="00147AC7"/>
    <w:rsid w:val="00147B14"/>
    <w:rsid w:val="00147BCF"/>
    <w:rsid w:val="00147C95"/>
    <w:rsid w:val="00147CE1"/>
    <w:rsid w:val="00147D8C"/>
    <w:rsid w:val="00147DF1"/>
    <w:rsid w:val="00147E6D"/>
    <w:rsid w:val="00150087"/>
    <w:rsid w:val="0015019B"/>
    <w:rsid w:val="001501B2"/>
    <w:rsid w:val="001501B9"/>
    <w:rsid w:val="001502F7"/>
    <w:rsid w:val="001502F9"/>
    <w:rsid w:val="001503A5"/>
    <w:rsid w:val="001503B0"/>
    <w:rsid w:val="00150453"/>
    <w:rsid w:val="001504DB"/>
    <w:rsid w:val="00150545"/>
    <w:rsid w:val="001507CF"/>
    <w:rsid w:val="001507E1"/>
    <w:rsid w:val="001508A2"/>
    <w:rsid w:val="001508C3"/>
    <w:rsid w:val="001509AA"/>
    <w:rsid w:val="00150A0D"/>
    <w:rsid w:val="00150A34"/>
    <w:rsid w:val="00150AE9"/>
    <w:rsid w:val="00150B3C"/>
    <w:rsid w:val="00150B9F"/>
    <w:rsid w:val="00150BBB"/>
    <w:rsid w:val="00150BF4"/>
    <w:rsid w:val="00150EE1"/>
    <w:rsid w:val="00150F20"/>
    <w:rsid w:val="00150F94"/>
    <w:rsid w:val="00150FE9"/>
    <w:rsid w:val="00150FF0"/>
    <w:rsid w:val="0015103D"/>
    <w:rsid w:val="00151225"/>
    <w:rsid w:val="001512CD"/>
    <w:rsid w:val="001512DE"/>
    <w:rsid w:val="001512E8"/>
    <w:rsid w:val="00151367"/>
    <w:rsid w:val="00151389"/>
    <w:rsid w:val="00151495"/>
    <w:rsid w:val="001514E1"/>
    <w:rsid w:val="001515CC"/>
    <w:rsid w:val="0015163F"/>
    <w:rsid w:val="00151675"/>
    <w:rsid w:val="00151771"/>
    <w:rsid w:val="00151782"/>
    <w:rsid w:val="001517DA"/>
    <w:rsid w:val="001517FA"/>
    <w:rsid w:val="00151876"/>
    <w:rsid w:val="0015188E"/>
    <w:rsid w:val="00151948"/>
    <w:rsid w:val="0015194F"/>
    <w:rsid w:val="001519FF"/>
    <w:rsid w:val="00151A1F"/>
    <w:rsid w:val="00151A83"/>
    <w:rsid w:val="00151B1F"/>
    <w:rsid w:val="00151B21"/>
    <w:rsid w:val="00151B2D"/>
    <w:rsid w:val="00151BAA"/>
    <w:rsid w:val="00151BE4"/>
    <w:rsid w:val="00151D08"/>
    <w:rsid w:val="00151D28"/>
    <w:rsid w:val="00151D4B"/>
    <w:rsid w:val="00151DB2"/>
    <w:rsid w:val="00151E06"/>
    <w:rsid w:val="00151E0B"/>
    <w:rsid w:val="00151EEA"/>
    <w:rsid w:val="00151F27"/>
    <w:rsid w:val="00151F78"/>
    <w:rsid w:val="00151F85"/>
    <w:rsid w:val="00151FC1"/>
    <w:rsid w:val="0015212F"/>
    <w:rsid w:val="001521AF"/>
    <w:rsid w:val="00152211"/>
    <w:rsid w:val="00152253"/>
    <w:rsid w:val="00152265"/>
    <w:rsid w:val="001522A7"/>
    <w:rsid w:val="001522CB"/>
    <w:rsid w:val="0015232D"/>
    <w:rsid w:val="001523A0"/>
    <w:rsid w:val="001523CB"/>
    <w:rsid w:val="001523F7"/>
    <w:rsid w:val="00152415"/>
    <w:rsid w:val="00152493"/>
    <w:rsid w:val="0015258D"/>
    <w:rsid w:val="001525EB"/>
    <w:rsid w:val="001526C8"/>
    <w:rsid w:val="00152715"/>
    <w:rsid w:val="00152776"/>
    <w:rsid w:val="001528C0"/>
    <w:rsid w:val="00152905"/>
    <w:rsid w:val="00152A46"/>
    <w:rsid w:val="00152B48"/>
    <w:rsid w:val="00152B56"/>
    <w:rsid w:val="00152BCC"/>
    <w:rsid w:val="00152BDC"/>
    <w:rsid w:val="00152C89"/>
    <w:rsid w:val="00152CD7"/>
    <w:rsid w:val="00152CFF"/>
    <w:rsid w:val="00152F3F"/>
    <w:rsid w:val="00152F95"/>
    <w:rsid w:val="0015301F"/>
    <w:rsid w:val="00153095"/>
    <w:rsid w:val="0015309D"/>
    <w:rsid w:val="001530B8"/>
    <w:rsid w:val="001530CB"/>
    <w:rsid w:val="0015310C"/>
    <w:rsid w:val="0015316C"/>
    <w:rsid w:val="00153204"/>
    <w:rsid w:val="001532B7"/>
    <w:rsid w:val="001532D6"/>
    <w:rsid w:val="001532E3"/>
    <w:rsid w:val="00153588"/>
    <w:rsid w:val="001535A3"/>
    <w:rsid w:val="00153630"/>
    <w:rsid w:val="0015364B"/>
    <w:rsid w:val="00153853"/>
    <w:rsid w:val="00153867"/>
    <w:rsid w:val="00153878"/>
    <w:rsid w:val="001538A3"/>
    <w:rsid w:val="001538D9"/>
    <w:rsid w:val="001539BB"/>
    <w:rsid w:val="001539CD"/>
    <w:rsid w:val="001539E1"/>
    <w:rsid w:val="00153A3C"/>
    <w:rsid w:val="00153ADC"/>
    <w:rsid w:val="00153B4A"/>
    <w:rsid w:val="00153B95"/>
    <w:rsid w:val="00153C27"/>
    <w:rsid w:val="00153C3E"/>
    <w:rsid w:val="00153D36"/>
    <w:rsid w:val="00153D4B"/>
    <w:rsid w:val="00153D68"/>
    <w:rsid w:val="00153E78"/>
    <w:rsid w:val="00153F1C"/>
    <w:rsid w:val="00153F7B"/>
    <w:rsid w:val="0015400D"/>
    <w:rsid w:val="0015403E"/>
    <w:rsid w:val="00154057"/>
    <w:rsid w:val="00154061"/>
    <w:rsid w:val="00154098"/>
    <w:rsid w:val="001540CE"/>
    <w:rsid w:val="00154190"/>
    <w:rsid w:val="001541F4"/>
    <w:rsid w:val="00154258"/>
    <w:rsid w:val="0015427C"/>
    <w:rsid w:val="0015439B"/>
    <w:rsid w:val="00154480"/>
    <w:rsid w:val="001544B3"/>
    <w:rsid w:val="0015455B"/>
    <w:rsid w:val="00154590"/>
    <w:rsid w:val="001545E3"/>
    <w:rsid w:val="001545EE"/>
    <w:rsid w:val="001548E4"/>
    <w:rsid w:val="0015490F"/>
    <w:rsid w:val="00154985"/>
    <w:rsid w:val="00154A40"/>
    <w:rsid w:val="00154A6E"/>
    <w:rsid w:val="00154BAF"/>
    <w:rsid w:val="00154C72"/>
    <w:rsid w:val="00154D8D"/>
    <w:rsid w:val="00154DD5"/>
    <w:rsid w:val="00154DEE"/>
    <w:rsid w:val="00154DFB"/>
    <w:rsid w:val="00154E0B"/>
    <w:rsid w:val="00154E36"/>
    <w:rsid w:val="00154E52"/>
    <w:rsid w:val="00154E67"/>
    <w:rsid w:val="00154ED2"/>
    <w:rsid w:val="00154F48"/>
    <w:rsid w:val="00154FA8"/>
    <w:rsid w:val="00155011"/>
    <w:rsid w:val="0015501B"/>
    <w:rsid w:val="00155057"/>
    <w:rsid w:val="00155064"/>
    <w:rsid w:val="0015524F"/>
    <w:rsid w:val="001552B1"/>
    <w:rsid w:val="00155327"/>
    <w:rsid w:val="0015536F"/>
    <w:rsid w:val="00155385"/>
    <w:rsid w:val="00155389"/>
    <w:rsid w:val="00155390"/>
    <w:rsid w:val="00155406"/>
    <w:rsid w:val="00155407"/>
    <w:rsid w:val="00155592"/>
    <w:rsid w:val="001555DB"/>
    <w:rsid w:val="0015560B"/>
    <w:rsid w:val="001556BB"/>
    <w:rsid w:val="00155774"/>
    <w:rsid w:val="001557AB"/>
    <w:rsid w:val="001559DF"/>
    <w:rsid w:val="00155AAA"/>
    <w:rsid w:val="00155AF0"/>
    <w:rsid w:val="00155B09"/>
    <w:rsid w:val="00155B5D"/>
    <w:rsid w:val="00155BC0"/>
    <w:rsid w:val="00155D8F"/>
    <w:rsid w:val="00155EA0"/>
    <w:rsid w:val="00155F26"/>
    <w:rsid w:val="00156002"/>
    <w:rsid w:val="0015603C"/>
    <w:rsid w:val="00156050"/>
    <w:rsid w:val="001560ED"/>
    <w:rsid w:val="0015617C"/>
    <w:rsid w:val="001561E4"/>
    <w:rsid w:val="001561F8"/>
    <w:rsid w:val="0015638B"/>
    <w:rsid w:val="00156457"/>
    <w:rsid w:val="00156533"/>
    <w:rsid w:val="001565B1"/>
    <w:rsid w:val="0015661E"/>
    <w:rsid w:val="00156706"/>
    <w:rsid w:val="00156850"/>
    <w:rsid w:val="001568CD"/>
    <w:rsid w:val="001569BD"/>
    <w:rsid w:val="001569C2"/>
    <w:rsid w:val="00156A67"/>
    <w:rsid w:val="00156A6A"/>
    <w:rsid w:val="00156AAC"/>
    <w:rsid w:val="00156AF2"/>
    <w:rsid w:val="00156E1B"/>
    <w:rsid w:val="00156E2D"/>
    <w:rsid w:val="00156E43"/>
    <w:rsid w:val="00156F15"/>
    <w:rsid w:val="00156F8A"/>
    <w:rsid w:val="0015701D"/>
    <w:rsid w:val="00157137"/>
    <w:rsid w:val="00157143"/>
    <w:rsid w:val="00157151"/>
    <w:rsid w:val="00157170"/>
    <w:rsid w:val="001571BA"/>
    <w:rsid w:val="001572FE"/>
    <w:rsid w:val="0015736F"/>
    <w:rsid w:val="00157420"/>
    <w:rsid w:val="00157471"/>
    <w:rsid w:val="001575E8"/>
    <w:rsid w:val="00157777"/>
    <w:rsid w:val="001577A5"/>
    <w:rsid w:val="00157803"/>
    <w:rsid w:val="001578B0"/>
    <w:rsid w:val="00157930"/>
    <w:rsid w:val="00157950"/>
    <w:rsid w:val="001579A0"/>
    <w:rsid w:val="001579E0"/>
    <w:rsid w:val="00157C18"/>
    <w:rsid w:val="00157CA5"/>
    <w:rsid w:val="00157CD2"/>
    <w:rsid w:val="00157E27"/>
    <w:rsid w:val="00157E29"/>
    <w:rsid w:val="00157E81"/>
    <w:rsid w:val="00157F5C"/>
    <w:rsid w:val="00157FC4"/>
    <w:rsid w:val="001600DC"/>
    <w:rsid w:val="001600E0"/>
    <w:rsid w:val="001600E8"/>
    <w:rsid w:val="00160110"/>
    <w:rsid w:val="00160136"/>
    <w:rsid w:val="00160170"/>
    <w:rsid w:val="001601BA"/>
    <w:rsid w:val="0016021B"/>
    <w:rsid w:val="001602FA"/>
    <w:rsid w:val="00160396"/>
    <w:rsid w:val="001603A5"/>
    <w:rsid w:val="00160497"/>
    <w:rsid w:val="00160678"/>
    <w:rsid w:val="00160828"/>
    <w:rsid w:val="00160943"/>
    <w:rsid w:val="00160A45"/>
    <w:rsid w:val="00160A5E"/>
    <w:rsid w:val="00160ADE"/>
    <w:rsid w:val="00160AEE"/>
    <w:rsid w:val="00160B5E"/>
    <w:rsid w:val="00160C27"/>
    <w:rsid w:val="00160CFF"/>
    <w:rsid w:val="00160D33"/>
    <w:rsid w:val="00160E31"/>
    <w:rsid w:val="00160E79"/>
    <w:rsid w:val="00160F1F"/>
    <w:rsid w:val="00161066"/>
    <w:rsid w:val="00161070"/>
    <w:rsid w:val="00161190"/>
    <w:rsid w:val="001611CE"/>
    <w:rsid w:val="001611D1"/>
    <w:rsid w:val="0016124D"/>
    <w:rsid w:val="0016125A"/>
    <w:rsid w:val="0016131C"/>
    <w:rsid w:val="001613B2"/>
    <w:rsid w:val="0016150D"/>
    <w:rsid w:val="00161563"/>
    <w:rsid w:val="0016167B"/>
    <w:rsid w:val="00161680"/>
    <w:rsid w:val="001617FB"/>
    <w:rsid w:val="0016180B"/>
    <w:rsid w:val="001618BE"/>
    <w:rsid w:val="00161962"/>
    <w:rsid w:val="001619DE"/>
    <w:rsid w:val="00161A7F"/>
    <w:rsid w:val="00161B05"/>
    <w:rsid w:val="00161B5A"/>
    <w:rsid w:val="00161BD8"/>
    <w:rsid w:val="00161BE9"/>
    <w:rsid w:val="00161C51"/>
    <w:rsid w:val="00161C83"/>
    <w:rsid w:val="00161CA9"/>
    <w:rsid w:val="00161D95"/>
    <w:rsid w:val="00161EEA"/>
    <w:rsid w:val="001620DE"/>
    <w:rsid w:val="001621D0"/>
    <w:rsid w:val="001622DF"/>
    <w:rsid w:val="00162305"/>
    <w:rsid w:val="00162445"/>
    <w:rsid w:val="001627A3"/>
    <w:rsid w:val="0016285D"/>
    <w:rsid w:val="0016296B"/>
    <w:rsid w:val="00162A22"/>
    <w:rsid w:val="00162BAE"/>
    <w:rsid w:val="00162BBC"/>
    <w:rsid w:val="00162CEA"/>
    <w:rsid w:val="00162CEE"/>
    <w:rsid w:val="00162D05"/>
    <w:rsid w:val="00162DAD"/>
    <w:rsid w:val="00162EB5"/>
    <w:rsid w:val="0016318F"/>
    <w:rsid w:val="0016320D"/>
    <w:rsid w:val="0016322F"/>
    <w:rsid w:val="00163303"/>
    <w:rsid w:val="00163311"/>
    <w:rsid w:val="0016339B"/>
    <w:rsid w:val="001633C8"/>
    <w:rsid w:val="001635E5"/>
    <w:rsid w:val="0016372D"/>
    <w:rsid w:val="0016375D"/>
    <w:rsid w:val="00163834"/>
    <w:rsid w:val="00163891"/>
    <w:rsid w:val="001638C7"/>
    <w:rsid w:val="001638DE"/>
    <w:rsid w:val="001639F7"/>
    <w:rsid w:val="00163A11"/>
    <w:rsid w:val="00163A4C"/>
    <w:rsid w:val="00163C08"/>
    <w:rsid w:val="00163C64"/>
    <w:rsid w:val="00163DAA"/>
    <w:rsid w:val="00163DB2"/>
    <w:rsid w:val="00163DCE"/>
    <w:rsid w:val="00163E87"/>
    <w:rsid w:val="00163E8B"/>
    <w:rsid w:val="00163F24"/>
    <w:rsid w:val="00163F27"/>
    <w:rsid w:val="00164020"/>
    <w:rsid w:val="00164028"/>
    <w:rsid w:val="001640B6"/>
    <w:rsid w:val="00164139"/>
    <w:rsid w:val="00164153"/>
    <w:rsid w:val="001641A2"/>
    <w:rsid w:val="001641DA"/>
    <w:rsid w:val="00164250"/>
    <w:rsid w:val="001644AA"/>
    <w:rsid w:val="001644F1"/>
    <w:rsid w:val="0016465A"/>
    <w:rsid w:val="001646F6"/>
    <w:rsid w:val="001646FA"/>
    <w:rsid w:val="0016489B"/>
    <w:rsid w:val="001648A0"/>
    <w:rsid w:val="001648A3"/>
    <w:rsid w:val="001648CA"/>
    <w:rsid w:val="00164B15"/>
    <w:rsid w:val="00164B97"/>
    <w:rsid w:val="00164BB5"/>
    <w:rsid w:val="00164C35"/>
    <w:rsid w:val="00164C47"/>
    <w:rsid w:val="00164C63"/>
    <w:rsid w:val="00164C6C"/>
    <w:rsid w:val="00164D36"/>
    <w:rsid w:val="00164D74"/>
    <w:rsid w:val="00164DF6"/>
    <w:rsid w:val="00164E0D"/>
    <w:rsid w:val="00164E58"/>
    <w:rsid w:val="00164E5E"/>
    <w:rsid w:val="00164EAA"/>
    <w:rsid w:val="00164EC0"/>
    <w:rsid w:val="00164EE7"/>
    <w:rsid w:val="00165004"/>
    <w:rsid w:val="0016501C"/>
    <w:rsid w:val="00165106"/>
    <w:rsid w:val="0016511C"/>
    <w:rsid w:val="00165309"/>
    <w:rsid w:val="001653A1"/>
    <w:rsid w:val="00165419"/>
    <w:rsid w:val="00165490"/>
    <w:rsid w:val="001655DE"/>
    <w:rsid w:val="00165645"/>
    <w:rsid w:val="001656B6"/>
    <w:rsid w:val="00165837"/>
    <w:rsid w:val="00165840"/>
    <w:rsid w:val="00165848"/>
    <w:rsid w:val="00165936"/>
    <w:rsid w:val="001659EF"/>
    <w:rsid w:val="001659FC"/>
    <w:rsid w:val="00165A1B"/>
    <w:rsid w:val="00165AF1"/>
    <w:rsid w:val="00165C0F"/>
    <w:rsid w:val="00165DF5"/>
    <w:rsid w:val="00165E1F"/>
    <w:rsid w:val="00165E6E"/>
    <w:rsid w:val="00165EAF"/>
    <w:rsid w:val="00165EED"/>
    <w:rsid w:val="00165F29"/>
    <w:rsid w:val="00165F67"/>
    <w:rsid w:val="00165FC6"/>
    <w:rsid w:val="00165FE8"/>
    <w:rsid w:val="0016601D"/>
    <w:rsid w:val="00166095"/>
    <w:rsid w:val="001660FF"/>
    <w:rsid w:val="00166150"/>
    <w:rsid w:val="001661D8"/>
    <w:rsid w:val="0016620C"/>
    <w:rsid w:val="0016622A"/>
    <w:rsid w:val="00166291"/>
    <w:rsid w:val="0016632A"/>
    <w:rsid w:val="001663C8"/>
    <w:rsid w:val="00166425"/>
    <w:rsid w:val="001664B3"/>
    <w:rsid w:val="001664FC"/>
    <w:rsid w:val="00166525"/>
    <w:rsid w:val="00166530"/>
    <w:rsid w:val="00166571"/>
    <w:rsid w:val="0016679D"/>
    <w:rsid w:val="001667AE"/>
    <w:rsid w:val="001667E6"/>
    <w:rsid w:val="00166847"/>
    <w:rsid w:val="0016695C"/>
    <w:rsid w:val="00166AB7"/>
    <w:rsid w:val="00166B1D"/>
    <w:rsid w:val="00166BB9"/>
    <w:rsid w:val="00166BEC"/>
    <w:rsid w:val="00166CBC"/>
    <w:rsid w:val="00166CD8"/>
    <w:rsid w:val="00166D17"/>
    <w:rsid w:val="00166D25"/>
    <w:rsid w:val="00166D26"/>
    <w:rsid w:val="00166E37"/>
    <w:rsid w:val="00166F58"/>
    <w:rsid w:val="001670F0"/>
    <w:rsid w:val="00167108"/>
    <w:rsid w:val="00167170"/>
    <w:rsid w:val="0016721F"/>
    <w:rsid w:val="0016722E"/>
    <w:rsid w:val="00167246"/>
    <w:rsid w:val="0016725E"/>
    <w:rsid w:val="00167291"/>
    <w:rsid w:val="001672F0"/>
    <w:rsid w:val="00167397"/>
    <w:rsid w:val="00167469"/>
    <w:rsid w:val="00167577"/>
    <w:rsid w:val="001675A9"/>
    <w:rsid w:val="001675FC"/>
    <w:rsid w:val="00167788"/>
    <w:rsid w:val="001677EA"/>
    <w:rsid w:val="0016781E"/>
    <w:rsid w:val="00167834"/>
    <w:rsid w:val="0016797F"/>
    <w:rsid w:val="00167A16"/>
    <w:rsid w:val="00167AFD"/>
    <w:rsid w:val="00167AFF"/>
    <w:rsid w:val="00167B52"/>
    <w:rsid w:val="00167B69"/>
    <w:rsid w:val="00167C1E"/>
    <w:rsid w:val="00167C21"/>
    <w:rsid w:val="00167E0F"/>
    <w:rsid w:val="00167E71"/>
    <w:rsid w:val="00167F43"/>
    <w:rsid w:val="00167FDB"/>
    <w:rsid w:val="0017002B"/>
    <w:rsid w:val="00170039"/>
    <w:rsid w:val="00170060"/>
    <w:rsid w:val="001701EE"/>
    <w:rsid w:val="001701FE"/>
    <w:rsid w:val="001702C8"/>
    <w:rsid w:val="00170420"/>
    <w:rsid w:val="0017051D"/>
    <w:rsid w:val="00170790"/>
    <w:rsid w:val="001707C1"/>
    <w:rsid w:val="001707D5"/>
    <w:rsid w:val="00170907"/>
    <w:rsid w:val="00170A1A"/>
    <w:rsid w:val="00170AAF"/>
    <w:rsid w:val="00170B16"/>
    <w:rsid w:val="00170B79"/>
    <w:rsid w:val="00170C6E"/>
    <w:rsid w:val="00170E68"/>
    <w:rsid w:val="00170F29"/>
    <w:rsid w:val="0017106A"/>
    <w:rsid w:val="0017107A"/>
    <w:rsid w:val="0017122B"/>
    <w:rsid w:val="00171280"/>
    <w:rsid w:val="00171283"/>
    <w:rsid w:val="00171298"/>
    <w:rsid w:val="001712F2"/>
    <w:rsid w:val="00171306"/>
    <w:rsid w:val="00171345"/>
    <w:rsid w:val="00171477"/>
    <w:rsid w:val="0017148B"/>
    <w:rsid w:val="001714B0"/>
    <w:rsid w:val="001714B7"/>
    <w:rsid w:val="00171598"/>
    <w:rsid w:val="001716E9"/>
    <w:rsid w:val="001717DA"/>
    <w:rsid w:val="00171832"/>
    <w:rsid w:val="001718D0"/>
    <w:rsid w:val="001719B4"/>
    <w:rsid w:val="001719BB"/>
    <w:rsid w:val="00171AE6"/>
    <w:rsid w:val="00171AEB"/>
    <w:rsid w:val="00171B7A"/>
    <w:rsid w:val="00171C6A"/>
    <w:rsid w:val="00171C78"/>
    <w:rsid w:val="00171D0B"/>
    <w:rsid w:val="00171D14"/>
    <w:rsid w:val="00171D41"/>
    <w:rsid w:val="00171D73"/>
    <w:rsid w:val="00171DC9"/>
    <w:rsid w:val="00171E1B"/>
    <w:rsid w:val="00171E5E"/>
    <w:rsid w:val="00171EDB"/>
    <w:rsid w:val="00171F76"/>
    <w:rsid w:val="00172105"/>
    <w:rsid w:val="0017219C"/>
    <w:rsid w:val="00172265"/>
    <w:rsid w:val="00172293"/>
    <w:rsid w:val="0017229E"/>
    <w:rsid w:val="001722FC"/>
    <w:rsid w:val="001723B0"/>
    <w:rsid w:val="001723BC"/>
    <w:rsid w:val="00172405"/>
    <w:rsid w:val="0017247D"/>
    <w:rsid w:val="00172489"/>
    <w:rsid w:val="001724DC"/>
    <w:rsid w:val="001724EA"/>
    <w:rsid w:val="00172580"/>
    <w:rsid w:val="001725B3"/>
    <w:rsid w:val="001726C7"/>
    <w:rsid w:val="001727CA"/>
    <w:rsid w:val="0017289F"/>
    <w:rsid w:val="001728C8"/>
    <w:rsid w:val="001728D4"/>
    <w:rsid w:val="001728E6"/>
    <w:rsid w:val="00172939"/>
    <w:rsid w:val="00172962"/>
    <w:rsid w:val="001729A9"/>
    <w:rsid w:val="001729C8"/>
    <w:rsid w:val="001729CD"/>
    <w:rsid w:val="001729EC"/>
    <w:rsid w:val="00172ACF"/>
    <w:rsid w:val="00172D29"/>
    <w:rsid w:val="00172DE5"/>
    <w:rsid w:val="00172E77"/>
    <w:rsid w:val="00172FB9"/>
    <w:rsid w:val="00172FE0"/>
    <w:rsid w:val="00173014"/>
    <w:rsid w:val="001730A3"/>
    <w:rsid w:val="0017317C"/>
    <w:rsid w:val="0017329C"/>
    <w:rsid w:val="00173320"/>
    <w:rsid w:val="00173389"/>
    <w:rsid w:val="00173414"/>
    <w:rsid w:val="00173500"/>
    <w:rsid w:val="0017356F"/>
    <w:rsid w:val="001735DE"/>
    <w:rsid w:val="00173626"/>
    <w:rsid w:val="00173645"/>
    <w:rsid w:val="00173666"/>
    <w:rsid w:val="001737F8"/>
    <w:rsid w:val="001737FB"/>
    <w:rsid w:val="0017380F"/>
    <w:rsid w:val="00173849"/>
    <w:rsid w:val="00173934"/>
    <w:rsid w:val="00173992"/>
    <w:rsid w:val="00173A56"/>
    <w:rsid w:val="00173B52"/>
    <w:rsid w:val="00173C3C"/>
    <w:rsid w:val="00173C7A"/>
    <w:rsid w:val="00173CE4"/>
    <w:rsid w:val="00173DC1"/>
    <w:rsid w:val="00173EC7"/>
    <w:rsid w:val="00173FB5"/>
    <w:rsid w:val="00174025"/>
    <w:rsid w:val="001740E7"/>
    <w:rsid w:val="00174181"/>
    <w:rsid w:val="001741DA"/>
    <w:rsid w:val="0017421A"/>
    <w:rsid w:val="00174358"/>
    <w:rsid w:val="00174524"/>
    <w:rsid w:val="001745F3"/>
    <w:rsid w:val="00174659"/>
    <w:rsid w:val="0017466A"/>
    <w:rsid w:val="001746AA"/>
    <w:rsid w:val="0017474F"/>
    <w:rsid w:val="00174756"/>
    <w:rsid w:val="00174875"/>
    <w:rsid w:val="001748AE"/>
    <w:rsid w:val="001749A9"/>
    <w:rsid w:val="001749D1"/>
    <w:rsid w:val="00174A44"/>
    <w:rsid w:val="00174B62"/>
    <w:rsid w:val="00174C1F"/>
    <w:rsid w:val="00174C7A"/>
    <w:rsid w:val="00174CE5"/>
    <w:rsid w:val="00174D98"/>
    <w:rsid w:val="00174DBA"/>
    <w:rsid w:val="0017503F"/>
    <w:rsid w:val="001750BD"/>
    <w:rsid w:val="001751DF"/>
    <w:rsid w:val="00175230"/>
    <w:rsid w:val="001752E1"/>
    <w:rsid w:val="00175339"/>
    <w:rsid w:val="00175360"/>
    <w:rsid w:val="00175432"/>
    <w:rsid w:val="00175451"/>
    <w:rsid w:val="001754C0"/>
    <w:rsid w:val="001754DD"/>
    <w:rsid w:val="001755B0"/>
    <w:rsid w:val="001755BC"/>
    <w:rsid w:val="001756A8"/>
    <w:rsid w:val="0017588D"/>
    <w:rsid w:val="0017591E"/>
    <w:rsid w:val="00175954"/>
    <w:rsid w:val="001759CD"/>
    <w:rsid w:val="00175A8B"/>
    <w:rsid w:val="00175B21"/>
    <w:rsid w:val="00175B27"/>
    <w:rsid w:val="00175B43"/>
    <w:rsid w:val="00175BC9"/>
    <w:rsid w:val="00175BE2"/>
    <w:rsid w:val="00175CDE"/>
    <w:rsid w:val="00175D36"/>
    <w:rsid w:val="00176003"/>
    <w:rsid w:val="001760D9"/>
    <w:rsid w:val="001760E7"/>
    <w:rsid w:val="00176111"/>
    <w:rsid w:val="0017616B"/>
    <w:rsid w:val="00176198"/>
    <w:rsid w:val="001761D0"/>
    <w:rsid w:val="001762E2"/>
    <w:rsid w:val="001762E4"/>
    <w:rsid w:val="0017636D"/>
    <w:rsid w:val="0017636E"/>
    <w:rsid w:val="001763B4"/>
    <w:rsid w:val="00176487"/>
    <w:rsid w:val="001764F9"/>
    <w:rsid w:val="001765E8"/>
    <w:rsid w:val="00176606"/>
    <w:rsid w:val="0017662F"/>
    <w:rsid w:val="0017665C"/>
    <w:rsid w:val="00176747"/>
    <w:rsid w:val="0017674A"/>
    <w:rsid w:val="0017680D"/>
    <w:rsid w:val="00176823"/>
    <w:rsid w:val="00176852"/>
    <w:rsid w:val="001768A9"/>
    <w:rsid w:val="001768BA"/>
    <w:rsid w:val="00176967"/>
    <w:rsid w:val="001769CB"/>
    <w:rsid w:val="00176A0E"/>
    <w:rsid w:val="00176B07"/>
    <w:rsid w:val="00176B6B"/>
    <w:rsid w:val="00176C3C"/>
    <w:rsid w:val="00176D4A"/>
    <w:rsid w:val="00176D4E"/>
    <w:rsid w:val="00176DBD"/>
    <w:rsid w:val="00176E4F"/>
    <w:rsid w:val="00176ED7"/>
    <w:rsid w:val="00176F73"/>
    <w:rsid w:val="00176FDA"/>
    <w:rsid w:val="0017702F"/>
    <w:rsid w:val="001771BB"/>
    <w:rsid w:val="0017735E"/>
    <w:rsid w:val="0017736A"/>
    <w:rsid w:val="00177468"/>
    <w:rsid w:val="00177508"/>
    <w:rsid w:val="00177509"/>
    <w:rsid w:val="00177518"/>
    <w:rsid w:val="00177544"/>
    <w:rsid w:val="00177706"/>
    <w:rsid w:val="00177861"/>
    <w:rsid w:val="001778C8"/>
    <w:rsid w:val="00177916"/>
    <w:rsid w:val="00177ACA"/>
    <w:rsid w:val="00177ADF"/>
    <w:rsid w:val="00177BA5"/>
    <w:rsid w:val="00177BA6"/>
    <w:rsid w:val="00177C95"/>
    <w:rsid w:val="00177D13"/>
    <w:rsid w:val="00177EA9"/>
    <w:rsid w:val="00177EEC"/>
    <w:rsid w:val="00177F09"/>
    <w:rsid w:val="00177F0D"/>
    <w:rsid w:val="00177F2C"/>
    <w:rsid w:val="00177F5B"/>
    <w:rsid w:val="00177F63"/>
    <w:rsid w:val="00177F82"/>
    <w:rsid w:val="00177FBC"/>
    <w:rsid w:val="0018002F"/>
    <w:rsid w:val="00180155"/>
    <w:rsid w:val="001801DE"/>
    <w:rsid w:val="0018023E"/>
    <w:rsid w:val="0018036A"/>
    <w:rsid w:val="001803D8"/>
    <w:rsid w:val="001803E0"/>
    <w:rsid w:val="00180411"/>
    <w:rsid w:val="00180470"/>
    <w:rsid w:val="001804B8"/>
    <w:rsid w:val="0018054F"/>
    <w:rsid w:val="0018062E"/>
    <w:rsid w:val="001806D0"/>
    <w:rsid w:val="001806F7"/>
    <w:rsid w:val="00180776"/>
    <w:rsid w:val="00180867"/>
    <w:rsid w:val="0018097E"/>
    <w:rsid w:val="00180A20"/>
    <w:rsid w:val="00180A6D"/>
    <w:rsid w:val="00180BE3"/>
    <w:rsid w:val="00180BFD"/>
    <w:rsid w:val="00180C34"/>
    <w:rsid w:val="00180CB8"/>
    <w:rsid w:val="00180CEE"/>
    <w:rsid w:val="00180DA5"/>
    <w:rsid w:val="00180DBA"/>
    <w:rsid w:val="00180E58"/>
    <w:rsid w:val="00180FF0"/>
    <w:rsid w:val="00181040"/>
    <w:rsid w:val="0018108D"/>
    <w:rsid w:val="001811BF"/>
    <w:rsid w:val="001812C9"/>
    <w:rsid w:val="001812E4"/>
    <w:rsid w:val="001812EB"/>
    <w:rsid w:val="00181440"/>
    <w:rsid w:val="0018150E"/>
    <w:rsid w:val="00181607"/>
    <w:rsid w:val="001816A8"/>
    <w:rsid w:val="001816DB"/>
    <w:rsid w:val="00181717"/>
    <w:rsid w:val="00181809"/>
    <w:rsid w:val="0018182F"/>
    <w:rsid w:val="0018184C"/>
    <w:rsid w:val="0018187D"/>
    <w:rsid w:val="001818BA"/>
    <w:rsid w:val="0018192F"/>
    <w:rsid w:val="00181951"/>
    <w:rsid w:val="00181A1C"/>
    <w:rsid w:val="00181A49"/>
    <w:rsid w:val="00181A9A"/>
    <w:rsid w:val="00181BE8"/>
    <w:rsid w:val="00181C32"/>
    <w:rsid w:val="00181C8D"/>
    <w:rsid w:val="00181CE6"/>
    <w:rsid w:val="00181D15"/>
    <w:rsid w:val="00181D7F"/>
    <w:rsid w:val="00181F3B"/>
    <w:rsid w:val="001821F8"/>
    <w:rsid w:val="00182391"/>
    <w:rsid w:val="001823D1"/>
    <w:rsid w:val="001823FA"/>
    <w:rsid w:val="001825B1"/>
    <w:rsid w:val="001825FC"/>
    <w:rsid w:val="00182784"/>
    <w:rsid w:val="00182785"/>
    <w:rsid w:val="001827E6"/>
    <w:rsid w:val="0018286C"/>
    <w:rsid w:val="00182918"/>
    <w:rsid w:val="0018291C"/>
    <w:rsid w:val="00182A19"/>
    <w:rsid w:val="00182A5E"/>
    <w:rsid w:val="00182BA4"/>
    <w:rsid w:val="00182CC6"/>
    <w:rsid w:val="00182D09"/>
    <w:rsid w:val="00182D37"/>
    <w:rsid w:val="00182D38"/>
    <w:rsid w:val="00182D5B"/>
    <w:rsid w:val="00182D6D"/>
    <w:rsid w:val="00182DCD"/>
    <w:rsid w:val="00182E10"/>
    <w:rsid w:val="00182E90"/>
    <w:rsid w:val="00182F3C"/>
    <w:rsid w:val="00182F55"/>
    <w:rsid w:val="0018302E"/>
    <w:rsid w:val="0018324A"/>
    <w:rsid w:val="001832C8"/>
    <w:rsid w:val="00183385"/>
    <w:rsid w:val="0018351B"/>
    <w:rsid w:val="001836A6"/>
    <w:rsid w:val="001838A4"/>
    <w:rsid w:val="001838C0"/>
    <w:rsid w:val="0018393F"/>
    <w:rsid w:val="00183943"/>
    <w:rsid w:val="00183AFD"/>
    <w:rsid w:val="00183B45"/>
    <w:rsid w:val="00183BFA"/>
    <w:rsid w:val="00183CAA"/>
    <w:rsid w:val="00183D06"/>
    <w:rsid w:val="00183D0C"/>
    <w:rsid w:val="00183D21"/>
    <w:rsid w:val="00183D3E"/>
    <w:rsid w:val="00183D6B"/>
    <w:rsid w:val="00183ED9"/>
    <w:rsid w:val="00183EF6"/>
    <w:rsid w:val="00183F4C"/>
    <w:rsid w:val="00183F71"/>
    <w:rsid w:val="00184172"/>
    <w:rsid w:val="00184225"/>
    <w:rsid w:val="0018425E"/>
    <w:rsid w:val="001842B0"/>
    <w:rsid w:val="001843EF"/>
    <w:rsid w:val="001843F7"/>
    <w:rsid w:val="001845C8"/>
    <w:rsid w:val="001845E4"/>
    <w:rsid w:val="00184682"/>
    <w:rsid w:val="00184720"/>
    <w:rsid w:val="001847E4"/>
    <w:rsid w:val="00184873"/>
    <w:rsid w:val="001848AD"/>
    <w:rsid w:val="0018492B"/>
    <w:rsid w:val="0018495A"/>
    <w:rsid w:val="001849C2"/>
    <w:rsid w:val="00184AF8"/>
    <w:rsid w:val="00184B03"/>
    <w:rsid w:val="00184B0E"/>
    <w:rsid w:val="00184B16"/>
    <w:rsid w:val="00184C74"/>
    <w:rsid w:val="00184D28"/>
    <w:rsid w:val="00184D9D"/>
    <w:rsid w:val="00184F89"/>
    <w:rsid w:val="0018500E"/>
    <w:rsid w:val="0018502F"/>
    <w:rsid w:val="0018509B"/>
    <w:rsid w:val="0018510F"/>
    <w:rsid w:val="00185200"/>
    <w:rsid w:val="0018520C"/>
    <w:rsid w:val="0018539B"/>
    <w:rsid w:val="001853CE"/>
    <w:rsid w:val="0018543F"/>
    <w:rsid w:val="001854DE"/>
    <w:rsid w:val="001854F0"/>
    <w:rsid w:val="00185521"/>
    <w:rsid w:val="0018558E"/>
    <w:rsid w:val="001855E2"/>
    <w:rsid w:val="001856EA"/>
    <w:rsid w:val="001856EE"/>
    <w:rsid w:val="0018574E"/>
    <w:rsid w:val="00185780"/>
    <w:rsid w:val="00185805"/>
    <w:rsid w:val="00185817"/>
    <w:rsid w:val="00185832"/>
    <w:rsid w:val="00185892"/>
    <w:rsid w:val="001858A4"/>
    <w:rsid w:val="00185974"/>
    <w:rsid w:val="001859D3"/>
    <w:rsid w:val="001859E0"/>
    <w:rsid w:val="001859EB"/>
    <w:rsid w:val="001859EC"/>
    <w:rsid w:val="00185A49"/>
    <w:rsid w:val="00185BAA"/>
    <w:rsid w:val="00185BB7"/>
    <w:rsid w:val="00185BF9"/>
    <w:rsid w:val="00185CBE"/>
    <w:rsid w:val="00185D70"/>
    <w:rsid w:val="00185DAE"/>
    <w:rsid w:val="00185E61"/>
    <w:rsid w:val="00185E79"/>
    <w:rsid w:val="00185EA9"/>
    <w:rsid w:val="00185FDB"/>
    <w:rsid w:val="00186011"/>
    <w:rsid w:val="00186045"/>
    <w:rsid w:val="001860D3"/>
    <w:rsid w:val="0018611E"/>
    <w:rsid w:val="0018635D"/>
    <w:rsid w:val="001864EF"/>
    <w:rsid w:val="001865C2"/>
    <w:rsid w:val="001865E6"/>
    <w:rsid w:val="0018690D"/>
    <w:rsid w:val="0018694F"/>
    <w:rsid w:val="00186B2D"/>
    <w:rsid w:val="00186B76"/>
    <w:rsid w:val="00186B7C"/>
    <w:rsid w:val="00186BF4"/>
    <w:rsid w:val="00186C0E"/>
    <w:rsid w:val="00186CE9"/>
    <w:rsid w:val="00186D66"/>
    <w:rsid w:val="00186DBA"/>
    <w:rsid w:val="00186E0A"/>
    <w:rsid w:val="00186EBB"/>
    <w:rsid w:val="0018703A"/>
    <w:rsid w:val="00187048"/>
    <w:rsid w:val="00187134"/>
    <w:rsid w:val="0018721C"/>
    <w:rsid w:val="00187240"/>
    <w:rsid w:val="001873AF"/>
    <w:rsid w:val="0018749E"/>
    <w:rsid w:val="00187585"/>
    <w:rsid w:val="001875B7"/>
    <w:rsid w:val="00187661"/>
    <w:rsid w:val="001876AF"/>
    <w:rsid w:val="001876BC"/>
    <w:rsid w:val="00187719"/>
    <w:rsid w:val="00187910"/>
    <w:rsid w:val="0018797D"/>
    <w:rsid w:val="00187A53"/>
    <w:rsid w:val="00187B20"/>
    <w:rsid w:val="00187B3A"/>
    <w:rsid w:val="00187B7A"/>
    <w:rsid w:val="00187D06"/>
    <w:rsid w:val="00187D18"/>
    <w:rsid w:val="00187D96"/>
    <w:rsid w:val="00187DE9"/>
    <w:rsid w:val="00190009"/>
    <w:rsid w:val="0019012A"/>
    <w:rsid w:val="00190331"/>
    <w:rsid w:val="00190333"/>
    <w:rsid w:val="001904F9"/>
    <w:rsid w:val="00190524"/>
    <w:rsid w:val="0019058F"/>
    <w:rsid w:val="0019063E"/>
    <w:rsid w:val="00190940"/>
    <w:rsid w:val="0019098D"/>
    <w:rsid w:val="00190A6B"/>
    <w:rsid w:val="00190AFF"/>
    <w:rsid w:val="00190B1E"/>
    <w:rsid w:val="00190BF3"/>
    <w:rsid w:val="00190D49"/>
    <w:rsid w:val="00190DE4"/>
    <w:rsid w:val="00190E29"/>
    <w:rsid w:val="00190E58"/>
    <w:rsid w:val="00190F51"/>
    <w:rsid w:val="00190FFB"/>
    <w:rsid w:val="00191110"/>
    <w:rsid w:val="00191135"/>
    <w:rsid w:val="00191338"/>
    <w:rsid w:val="0019136F"/>
    <w:rsid w:val="00191482"/>
    <w:rsid w:val="001914C6"/>
    <w:rsid w:val="00191524"/>
    <w:rsid w:val="00191675"/>
    <w:rsid w:val="001917AE"/>
    <w:rsid w:val="0019199A"/>
    <w:rsid w:val="001919C5"/>
    <w:rsid w:val="001919EA"/>
    <w:rsid w:val="00191AD6"/>
    <w:rsid w:val="00191B11"/>
    <w:rsid w:val="00191BD6"/>
    <w:rsid w:val="00191CF9"/>
    <w:rsid w:val="00191D1D"/>
    <w:rsid w:val="00191D2C"/>
    <w:rsid w:val="00191F93"/>
    <w:rsid w:val="00191FC8"/>
    <w:rsid w:val="00191FFD"/>
    <w:rsid w:val="00192063"/>
    <w:rsid w:val="001920BC"/>
    <w:rsid w:val="0019214C"/>
    <w:rsid w:val="00192165"/>
    <w:rsid w:val="0019226F"/>
    <w:rsid w:val="00192308"/>
    <w:rsid w:val="0019230B"/>
    <w:rsid w:val="0019234A"/>
    <w:rsid w:val="00192370"/>
    <w:rsid w:val="00192377"/>
    <w:rsid w:val="0019252B"/>
    <w:rsid w:val="00192542"/>
    <w:rsid w:val="001925B5"/>
    <w:rsid w:val="001926F7"/>
    <w:rsid w:val="001927B2"/>
    <w:rsid w:val="0019281B"/>
    <w:rsid w:val="00192839"/>
    <w:rsid w:val="0019284F"/>
    <w:rsid w:val="0019288B"/>
    <w:rsid w:val="0019290E"/>
    <w:rsid w:val="00192A1B"/>
    <w:rsid w:val="00192A5F"/>
    <w:rsid w:val="00192C05"/>
    <w:rsid w:val="00192CB3"/>
    <w:rsid w:val="00192CEA"/>
    <w:rsid w:val="00192D0D"/>
    <w:rsid w:val="00192DEC"/>
    <w:rsid w:val="00192E94"/>
    <w:rsid w:val="00192EBE"/>
    <w:rsid w:val="00192F12"/>
    <w:rsid w:val="00192F63"/>
    <w:rsid w:val="0019301A"/>
    <w:rsid w:val="001930F2"/>
    <w:rsid w:val="001930FE"/>
    <w:rsid w:val="00193283"/>
    <w:rsid w:val="001932CC"/>
    <w:rsid w:val="00193301"/>
    <w:rsid w:val="00193371"/>
    <w:rsid w:val="001934B4"/>
    <w:rsid w:val="00193592"/>
    <w:rsid w:val="001935D4"/>
    <w:rsid w:val="001936D8"/>
    <w:rsid w:val="0019374B"/>
    <w:rsid w:val="001937D6"/>
    <w:rsid w:val="0019384D"/>
    <w:rsid w:val="00193868"/>
    <w:rsid w:val="0019390F"/>
    <w:rsid w:val="0019398A"/>
    <w:rsid w:val="00193999"/>
    <w:rsid w:val="00193A27"/>
    <w:rsid w:val="00193AF1"/>
    <w:rsid w:val="00193B45"/>
    <w:rsid w:val="00193B67"/>
    <w:rsid w:val="00193B8D"/>
    <w:rsid w:val="00193C73"/>
    <w:rsid w:val="00193F09"/>
    <w:rsid w:val="00193F23"/>
    <w:rsid w:val="00193F5E"/>
    <w:rsid w:val="00193FBA"/>
    <w:rsid w:val="0019404A"/>
    <w:rsid w:val="001940D3"/>
    <w:rsid w:val="001941B4"/>
    <w:rsid w:val="00194223"/>
    <w:rsid w:val="00194293"/>
    <w:rsid w:val="001942C1"/>
    <w:rsid w:val="00194475"/>
    <w:rsid w:val="00194567"/>
    <w:rsid w:val="001945E8"/>
    <w:rsid w:val="001946C0"/>
    <w:rsid w:val="001946E5"/>
    <w:rsid w:val="00194834"/>
    <w:rsid w:val="001948DB"/>
    <w:rsid w:val="001948E0"/>
    <w:rsid w:val="00194920"/>
    <w:rsid w:val="001949FD"/>
    <w:rsid w:val="00194A1F"/>
    <w:rsid w:val="00194A8C"/>
    <w:rsid w:val="00194BA5"/>
    <w:rsid w:val="00194BB8"/>
    <w:rsid w:val="00194C04"/>
    <w:rsid w:val="00194D5F"/>
    <w:rsid w:val="00194D6E"/>
    <w:rsid w:val="00194DDF"/>
    <w:rsid w:val="00194DF9"/>
    <w:rsid w:val="00194F97"/>
    <w:rsid w:val="00195053"/>
    <w:rsid w:val="0019514A"/>
    <w:rsid w:val="001952B7"/>
    <w:rsid w:val="00195300"/>
    <w:rsid w:val="00195309"/>
    <w:rsid w:val="00195343"/>
    <w:rsid w:val="00195370"/>
    <w:rsid w:val="0019547C"/>
    <w:rsid w:val="00195512"/>
    <w:rsid w:val="001955A8"/>
    <w:rsid w:val="00195660"/>
    <w:rsid w:val="00195697"/>
    <w:rsid w:val="00195767"/>
    <w:rsid w:val="00195971"/>
    <w:rsid w:val="001959C5"/>
    <w:rsid w:val="001959D8"/>
    <w:rsid w:val="00195A0F"/>
    <w:rsid w:val="00195B07"/>
    <w:rsid w:val="00195B0C"/>
    <w:rsid w:val="00195B50"/>
    <w:rsid w:val="00195BCD"/>
    <w:rsid w:val="00195C63"/>
    <w:rsid w:val="00195CC6"/>
    <w:rsid w:val="00195CCD"/>
    <w:rsid w:val="00195CD7"/>
    <w:rsid w:val="00195CE9"/>
    <w:rsid w:val="00195E02"/>
    <w:rsid w:val="00195FA8"/>
    <w:rsid w:val="00196126"/>
    <w:rsid w:val="0019620B"/>
    <w:rsid w:val="0019626C"/>
    <w:rsid w:val="001962C9"/>
    <w:rsid w:val="0019641D"/>
    <w:rsid w:val="00196427"/>
    <w:rsid w:val="0019643C"/>
    <w:rsid w:val="00196443"/>
    <w:rsid w:val="001964B7"/>
    <w:rsid w:val="00196501"/>
    <w:rsid w:val="00196516"/>
    <w:rsid w:val="001968E0"/>
    <w:rsid w:val="00196931"/>
    <w:rsid w:val="001969B3"/>
    <w:rsid w:val="00196A19"/>
    <w:rsid w:val="00196A4B"/>
    <w:rsid w:val="00196ACE"/>
    <w:rsid w:val="00196CA4"/>
    <w:rsid w:val="00196D45"/>
    <w:rsid w:val="00196DE3"/>
    <w:rsid w:val="00196DE9"/>
    <w:rsid w:val="00196F42"/>
    <w:rsid w:val="00196FD5"/>
    <w:rsid w:val="001970FD"/>
    <w:rsid w:val="00197250"/>
    <w:rsid w:val="001972D7"/>
    <w:rsid w:val="0019747A"/>
    <w:rsid w:val="001974E6"/>
    <w:rsid w:val="001975BB"/>
    <w:rsid w:val="00197631"/>
    <w:rsid w:val="00197699"/>
    <w:rsid w:val="001976C7"/>
    <w:rsid w:val="0019777D"/>
    <w:rsid w:val="0019785B"/>
    <w:rsid w:val="0019798E"/>
    <w:rsid w:val="001979EA"/>
    <w:rsid w:val="00197A39"/>
    <w:rsid w:val="00197A47"/>
    <w:rsid w:val="00197ADE"/>
    <w:rsid w:val="00197CF9"/>
    <w:rsid w:val="00197D40"/>
    <w:rsid w:val="00197DCE"/>
    <w:rsid w:val="00197F24"/>
    <w:rsid w:val="00197FBD"/>
    <w:rsid w:val="001A0083"/>
    <w:rsid w:val="001A009A"/>
    <w:rsid w:val="001A00AB"/>
    <w:rsid w:val="001A015E"/>
    <w:rsid w:val="001A0172"/>
    <w:rsid w:val="001A021F"/>
    <w:rsid w:val="001A0239"/>
    <w:rsid w:val="001A0245"/>
    <w:rsid w:val="001A0247"/>
    <w:rsid w:val="001A024F"/>
    <w:rsid w:val="001A0291"/>
    <w:rsid w:val="001A0395"/>
    <w:rsid w:val="001A0465"/>
    <w:rsid w:val="001A0474"/>
    <w:rsid w:val="001A0675"/>
    <w:rsid w:val="001A0978"/>
    <w:rsid w:val="001A0994"/>
    <w:rsid w:val="001A0AC8"/>
    <w:rsid w:val="001A0D0B"/>
    <w:rsid w:val="001A0D4D"/>
    <w:rsid w:val="001A0D6C"/>
    <w:rsid w:val="001A0D9D"/>
    <w:rsid w:val="001A0F34"/>
    <w:rsid w:val="001A1011"/>
    <w:rsid w:val="001A1024"/>
    <w:rsid w:val="001A11A4"/>
    <w:rsid w:val="001A120C"/>
    <w:rsid w:val="001A1279"/>
    <w:rsid w:val="001A12AA"/>
    <w:rsid w:val="001A12E0"/>
    <w:rsid w:val="001A138B"/>
    <w:rsid w:val="001A139C"/>
    <w:rsid w:val="001A13AB"/>
    <w:rsid w:val="001A151F"/>
    <w:rsid w:val="001A16B6"/>
    <w:rsid w:val="001A1787"/>
    <w:rsid w:val="001A17B5"/>
    <w:rsid w:val="001A17B9"/>
    <w:rsid w:val="001A1845"/>
    <w:rsid w:val="001A18A2"/>
    <w:rsid w:val="001A19CC"/>
    <w:rsid w:val="001A19D4"/>
    <w:rsid w:val="001A1A41"/>
    <w:rsid w:val="001A1A51"/>
    <w:rsid w:val="001A1AA8"/>
    <w:rsid w:val="001A1AB3"/>
    <w:rsid w:val="001A1AC1"/>
    <w:rsid w:val="001A1AE1"/>
    <w:rsid w:val="001A1B0D"/>
    <w:rsid w:val="001A1B7D"/>
    <w:rsid w:val="001A1BDB"/>
    <w:rsid w:val="001A1C11"/>
    <w:rsid w:val="001A1C39"/>
    <w:rsid w:val="001A1C8B"/>
    <w:rsid w:val="001A1CD2"/>
    <w:rsid w:val="001A1D6E"/>
    <w:rsid w:val="001A1F28"/>
    <w:rsid w:val="001A1F2A"/>
    <w:rsid w:val="001A1F3F"/>
    <w:rsid w:val="001A1F9D"/>
    <w:rsid w:val="001A1FB6"/>
    <w:rsid w:val="001A20A3"/>
    <w:rsid w:val="001A2223"/>
    <w:rsid w:val="001A2299"/>
    <w:rsid w:val="001A2303"/>
    <w:rsid w:val="001A239D"/>
    <w:rsid w:val="001A250E"/>
    <w:rsid w:val="001A257B"/>
    <w:rsid w:val="001A2591"/>
    <w:rsid w:val="001A25C9"/>
    <w:rsid w:val="001A25D9"/>
    <w:rsid w:val="001A28D2"/>
    <w:rsid w:val="001A2910"/>
    <w:rsid w:val="001A29AF"/>
    <w:rsid w:val="001A2A37"/>
    <w:rsid w:val="001A2BD1"/>
    <w:rsid w:val="001A2BE4"/>
    <w:rsid w:val="001A2C93"/>
    <w:rsid w:val="001A2D07"/>
    <w:rsid w:val="001A2D97"/>
    <w:rsid w:val="001A2DAB"/>
    <w:rsid w:val="001A2E16"/>
    <w:rsid w:val="001A2E8A"/>
    <w:rsid w:val="001A2F8B"/>
    <w:rsid w:val="001A3051"/>
    <w:rsid w:val="001A3058"/>
    <w:rsid w:val="001A320A"/>
    <w:rsid w:val="001A3314"/>
    <w:rsid w:val="001A335C"/>
    <w:rsid w:val="001A3398"/>
    <w:rsid w:val="001A33AA"/>
    <w:rsid w:val="001A33C1"/>
    <w:rsid w:val="001A341B"/>
    <w:rsid w:val="001A3426"/>
    <w:rsid w:val="001A3501"/>
    <w:rsid w:val="001A3642"/>
    <w:rsid w:val="001A36C1"/>
    <w:rsid w:val="001A36CB"/>
    <w:rsid w:val="001A374E"/>
    <w:rsid w:val="001A3782"/>
    <w:rsid w:val="001A383A"/>
    <w:rsid w:val="001A38AB"/>
    <w:rsid w:val="001A3917"/>
    <w:rsid w:val="001A3A21"/>
    <w:rsid w:val="001A3A82"/>
    <w:rsid w:val="001A3A91"/>
    <w:rsid w:val="001A3B7F"/>
    <w:rsid w:val="001A3CFD"/>
    <w:rsid w:val="001A3D2A"/>
    <w:rsid w:val="001A3DAE"/>
    <w:rsid w:val="001A3EBC"/>
    <w:rsid w:val="001A3FAC"/>
    <w:rsid w:val="001A4042"/>
    <w:rsid w:val="001A4085"/>
    <w:rsid w:val="001A40C8"/>
    <w:rsid w:val="001A42A3"/>
    <w:rsid w:val="001A43E0"/>
    <w:rsid w:val="001A445E"/>
    <w:rsid w:val="001A4562"/>
    <w:rsid w:val="001A4755"/>
    <w:rsid w:val="001A4887"/>
    <w:rsid w:val="001A48CE"/>
    <w:rsid w:val="001A48DA"/>
    <w:rsid w:val="001A4924"/>
    <w:rsid w:val="001A49D4"/>
    <w:rsid w:val="001A49FD"/>
    <w:rsid w:val="001A4B7D"/>
    <w:rsid w:val="001A4CB7"/>
    <w:rsid w:val="001A4FB1"/>
    <w:rsid w:val="001A5030"/>
    <w:rsid w:val="001A50CD"/>
    <w:rsid w:val="001A514D"/>
    <w:rsid w:val="001A51D7"/>
    <w:rsid w:val="001A51DB"/>
    <w:rsid w:val="001A521D"/>
    <w:rsid w:val="001A5262"/>
    <w:rsid w:val="001A532F"/>
    <w:rsid w:val="001A5351"/>
    <w:rsid w:val="001A5480"/>
    <w:rsid w:val="001A54B0"/>
    <w:rsid w:val="001A54FE"/>
    <w:rsid w:val="001A5501"/>
    <w:rsid w:val="001A558B"/>
    <w:rsid w:val="001A55A5"/>
    <w:rsid w:val="001A55C6"/>
    <w:rsid w:val="001A561C"/>
    <w:rsid w:val="001A564E"/>
    <w:rsid w:val="001A5659"/>
    <w:rsid w:val="001A56E7"/>
    <w:rsid w:val="001A597E"/>
    <w:rsid w:val="001A59E5"/>
    <w:rsid w:val="001A5A66"/>
    <w:rsid w:val="001A5AD8"/>
    <w:rsid w:val="001A5B18"/>
    <w:rsid w:val="001A5C40"/>
    <w:rsid w:val="001A5C5C"/>
    <w:rsid w:val="001A5C81"/>
    <w:rsid w:val="001A5C90"/>
    <w:rsid w:val="001A5CC0"/>
    <w:rsid w:val="001A5CFD"/>
    <w:rsid w:val="001A5D01"/>
    <w:rsid w:val="001A5D33"/>
    <w:rsid w:val="001A5E16"/>
    <w:rsid w:val="001A5E74"/>
    <w:rsid w:val="001A5ECB"/>
    <w:rsid w:val="001A5FAD"/>
    <w:rsid w:val="001A60FD"/>
    <w:rsid w:val="001A6218"/>
    <w:rsid w:val="001A645B"/>
    <w:rsid w:val="001A6466"/>
    <w:rsid w:val="001A64DD"/>
    <w:rsid w:val="001A6627"/>
    <w:rsid w:val="001A669D"/>
    <w:rsid w:val="001A6715"/>
    <w:rsid w:val="001A672C"/>
    <w:rsid w:val="001A6746"/>
    <w:rsid w:val="001A67C9"/>
    <w:rsid w:val="001A6894"/>
    <w:rsid w:val="001A689D"/>
    <w:rsid w:val="001A69A0"/>
    <w:rsid w:val="001A69D9"/>
    <w:rsid w:val="001A69EC"/>
    <w:rsid w:val="001A6A8C"/>
    <w:rsid w:val="001A6C66"/>
    <w:rsid w:val="001A6E02"/>
    <w:rsid w:val="001A701D"/>
    <w:rsid w:val="001A7030"/>
    <w:rsid w:val="001A707D"/>
    <w:rsid w:val="001A70E5"/>
    <w:rsid w:val="001A7138"/>
    <w:rsid w:val="001A7148"/>
    <w:rsid w:val="001A72A6"/>
    <w:rsid w:val="001A731E"/>
    <w:rsid w:val="001A733D"/>
    <w:rsid w:val="001A7347"/>
    <w:rsid w:val="001A74AB"/>
    <w:rsid w:val="001A7590"/>
    <w:rsid w:val="001A76CA"/>
    <w:rsid w:val="001A771F"/>
    <w:rsid w:val="001A7795"/>
    <w:rsid w:val="001A7864"/>
    <w:rsid w:val="001A788E"/>
    <w:rsid w:val="001A7B0D"/>
    <w:rsid w:val="001A7C72"/>
    <w:rsid w:val="001A7C95"/>
    <w:rsid w:val="001A7CEE"/>
    <w:rsid w:val="001A7CF2"/>
    <w:rsid w:val="001A7D0A"/>
    <w:rsid w:val="001A7D3A"/>
    <w:rsid w:val="001A7ED3"/>
    <w:rsid w:val="001A7FDB"/>
    <w:rsid w:val="001B0030"/>
    <w:rsid w:val="001B00B0"/>
    <w:rsid w:val="001B00BC"/>
    <w:rsid w:val="001B00D0"/>
    <w:rsid w:val="001B010F"/>
    <w:rsid w:val="001B012D"/>
    <w:rsid w:val="001B01B9"/>
    <w:rsid w:val="001B027E"/>
    <w:rsid w:val="001B02C9"/>
    <w:rsid w:val="001B02E6"/>
    <w:rsid w:val="001B0378"/>
    <w:rsid w:val="001B0393"/>
    <w:rsid w:val="001B04EE"/>
    <w:rsid w:val="001B0529"/>
    <w:rsid w:val="001B052A"/>
    <w:rsid w:val="001B0548"/>
    <w:rsid w:val="001B07E6"/>
    <w:rsid w:val="001B09B9"/>
    <w:rsid w:val="001B0A87"/>
    <w:rsid w:val="001B0AC6"/>
    <w:rsid w:val="001B0ADE"/>
    <w:rsid w:val="001B0B78"/>
    <w:rsid w:val="001B0BE5"/>
    <w:rsid w:val="001B0DEE"/>
    <w:rsid w:val="001B0EEF"/>
    <w:rsid w:val="001B107A"/>
    <w:rsid w:val="001B10F9"/>
    <w:rsid w:val="001B11D9"/>
    <w:rsid w:val="001B1202"/>
    <w:rsid w:val="001B1207"/>
    <w:rsid w:val="001B1254"/>
    <w:rsid w:val="001B12BA"/>
    <w:rsid w:val="001B12E0"/>
    <w:rsid w:val="001B1330"/>
    <w:rsid w:val="001B1348"/>
    <w:rsid w:val="001B140D"/>
    <w:rsid w:val="001B15C1"/>
    <w:rsid w:val="001B160A"/>
    <w:rsid w:val="001B16BC"/>
    <w:rsid w:val="001B16EC"/>
    <w:rsid w:val="001B1A45"/>
    <w:rsid w:val="001B1A6A"/>
    <w:rsid w:val="001B1BF4"/>
    <w:rsid w:val="001B1C2E"/>
    <w:rsid w:val="001B1CE4"/>
    <w:rsid w:val="001B1D78"/>
    <w:rsid w:val="001B1DA7"/>
    <w:rsid w:val="001B1E70"/>
    <w:rsid w:val="001B1E88"/>
    <w:rsid w:val="001B1EE0"/>
    <w:rsid w:val="001B1FBE"/>
    <w:rsid w:val="001B2039"/>
    <w:rsid w:val="001B2179"/>
    <w:rsid w:val="001B21ED"/>
    <w:rsid w:val="001B2437"/>
    <w:rsid w:val="001B2463"/>
    <w:rsid w:val="001B2512"/>
    <w:rsid w:val="001B2585"/>
    <w:rsid w:val="001B2600"/>
    <w:rsid w:val="001B2622"/>
    <w:rsid w:val="001B26BA"/>
    <w:rsid w:val="001B271B"/>
    <w:rsid w:val="001B27E6"/>
    <w:rsid w:val="001B299C"/>
    <w:rsid w:val="001B29F1"/>
    <w:rsid w:val="001B2C14"/>
    <w:rsid w:val="001B2C37"/>
    <w:rsid w:val="001B2C39"/>
    <w:rsid w:val="001B2D14"/>
    <w:rsid w:val="001B2ED7"/>
    <w:rsid w:val="001B2EF2"/>
    <w:rsid w:val="001B3066"/>
    <w:rsid w:val="001B3077"/>
    <w:rsid w:val="001B30A8"/>
    <w:rsid w:val="001B31E5"/>
    <w:rsid w:val="001B31F5"/>
    <w:rsid w:val="001B326D"/>
    <w:rsid w:val="001B332C"/>
    <w:rsid w:val="001B3463"/>
    <w:rsid w:val="001B3484"/>
    <w:rsid w:val="001B3690"/>
    <w:rsid w:val="001B36B5"/>
    <w:rsid w:val="001B36DE"/>
    <w:rsid w:val="001B3742"/>
    <w:rsid w:val="001B37A6"/>
    <w:rsid w:val="001B39B5"/>
    <w:rsid w:val="001B3A08"/>
    <w:rsid w:val="001B3A99"/>
    <w:rsid w:val="001B3B30"/>
    <w:rsid w:val="001B3D45"/>
    <w:rsid w:val="001B3E1B"/>
    <w:rsid w:val="001B3F66"/>
    <w:rsid w:val="001B40A1"/>
    <w:rsid w:val="001B4158"/>
    <w:rsid w:val="001B41B3"/>
    <w:rsid w:val="001B41E5"/>
    <w:rsid w:val="001B4251"/>
    <w:rsid w:val="001B42AC"/>
    <w:rsid w:val="001B4318"/>
    <w:rsid w:val="001B43FA"/>
    <w:rsid w:val="001B4401"/>
    <w:rsid w:val="001B442F"/>
    <w:rsid w:val="001B44A6"/>
    <w:rsid w:val="001B44EE"/>
    <w:rsid w:val="001B44F6"/>
    <w:rsid w:val="001B45B0"/>
    <w:rsid w:val="001B45C6"/>
    <w:rsid w:val="001B4621"/>
    <w:rsid w:val="001B4653"/>
    <w:rsid w:val="001B468C"/>
    <w:rsid w:val="001B4711"/>
    <w:rsid w:val="001B48A3"/>
    <w:rsid w:val="001B48EC"/>
    <w:rsid w:val="001B4931"/>
    <w:rsid w:val="001B4A5D"/>
    <w:rsid w:val="001B4A9F"/>
    <w:rsid w:val="001B4AD1"/>
    <w:rsid w:val="001B4ADE"/>
    <w:rsid w:val="001B4B37"/>
    <w:rsid w:val="001B4C7E"/>
    <w:rsid w:val="001B4D63"/>
    <w:rsid w:val="001B4DEC"/>
    <w:rsid w:val="001B4E92"/>
    <w:rsid w:val="001B5254"/>
    <w:rsid w:val="001B52F0"/>
    <w:rsid w:val="001B532E"/>
    <w:rsid w:val="001B5444"/>
    <w:rsid w:val="001B54CF"/>
    <w:rsid w:val="001B55DD"/>
    <w:rsid w:val="001B57BA"/>
    <w:rsid w:val="001B57F7"/>
    <w:rsid w:val="001B588B"/>
    <w:rsid w:val="001B58FF"/>
    <w:rsid w:val="001B5997"/>
    <w:rsid w:val="001B59B1"/>
    <w:rsid w:val="001B59D1"/>
    <w:rsid w:val="001B5B67"/>
    <w:rsid w:val="001B5B85"/>
    <w:rsid w:val="001B5BBE"/>
    <w:rsid w:val="001B5C11"/>
    <w:rsid w:val="001B5CCB"/>
    <w:rsid w:val="001B5CCE"/>
    <w:rsid w:val="001B5E2A"/>
    <w:rsid w:val="001B5E5D"/>
    <w:rsid w:val="001B5F8F"/>
    <w:rsid w:val="001B5FAA"/>
    <w:rsid w:val="001B5FB3"/>
    <w:rsid w:val="001B60D1"/>
    <w:rsid w:val="001B60EB"/>
    <w:rsid w:val="001B625B"/>
    <w:rsid w:val="001B62BB"/>
    <w:rsid w:val="001B62D4"/>
    <w:rsid w:val="001B630A"/>
    <w:rsid w:val="001B6430"/>
    <w:rsid w:val="001B659A"/>
    <w:rsid w:val="001B6632"/>
    <w:rsid w:val="001B668D"/>
    <w:rsid w:val="001B66C3"/>
    <w:rsid w:val="001B671E"/>
    <w:rsid w:val="001B6767"/>
    <w:rsid w:val="001B6867"/>
    <w:rsid w:val="001B697E"/>
    <w:rsid w:val="001B69BA"/>
    <w:rsid w:val="001B6A57"/>
    <w:rsid w:val="001B6ACD"/>
    <w:rsid w:val="001B6AFA"/>
    <w:rsid w:val="001B6C42"/>
    <w:rsid w:val="001B6D68"/>
    <w:rsid w:val="001B6DC5"/>
    <w:rsid w:val="001B6EA6"/>
    <w:rsid w:val="001B7084"/>
    <w:rsid w:val="001B70A9"/>
    <w:rsid w:val="001B70AD"/>
    <w:rsid w:val="001B719B"/>
    <w:rsid w:val="001B7203"/>
    <w:rsid w:val="001B7249"/>
    <w:rsid w:val="001B725C"/>
    <w:rsid w:val="001B728A"/>
    <w:rsid w:val="001B7293"/>
    <w:rsid w:val="001B731F"/>
    <w:rsid w:val="001B7392"/>
    <w:rsid w:val="001B73B4"/>
    <w:rsid w:val="001B7430"/>
    <w:rsid w:val="001B745E"/>
    <w:rsid w:val="001B74C9"/>
    <w:rsid w:val="001B750D"/>
    <w:rsid w:val="001B761C"/>
    <w:rsid w:val="001B765A"/>
    <w:rsid w:val="001B76EB"/>
    <w:rsid w:val="001B76ED"/>
    <w:rsid w:val="001B78ED"/>
    <w:rsid w:val="001B7B1C"/>
    <w:rsid w:val="001B7B7B"/>
    <w:rsid w:val="001B7B84"/>
    <w:rsid w:val="001B7BC7"/>
    <w:rsid w:val="001B7C01"/>
    <w:rsid w:val="001B7C06"/>
    <w:rsid w:val="001B7CB0"/>
    <w:rsid w:val="001B7DD5"/>
    <w:rsid w:val="001B7F1C"/>
    <w:rsid w:val="001B7FB2"/>
    <w:rsid w:val="001B7FED"/>
    <w:rsid w:val="001C0036"/>
    <w:rsid w:val="001C003B"/>
    <w:rsid w:val="001C007E"/>
    <w:rsid w:val="001C00DD"/>
    <w:rsid w:val="001C0106"/>
    <w:rsid w:val="001C0157"/>
    <w:rsid w:val="001C0367"/>
    <w:rsid w:val="001C04AD"/>
    <w:rsid w:val="001C050F"/>
    <w:rsid w:val="001C06A8"/>
    <w:rsid w:val="001C0866"/>
    <w:rsid w:val="001C09B7"/>
    <w:rsid w:val="001C0A19"/>
    <w:rsid w:val="001C0A59"/>
    <w:rsid w:val="001C0A96"/>
    <w:rsid w:val="001C0BDD"/>
    <w:rsid w:val="001C0C0D"/>
    <w:rsid w:val="001C0C8A"/>
    <w:rsid w:val="001C0DF8"/>
    <w:rsid w:val="001C0E0E"/>
    <w:rsid w:val="001C0E23"/>
    <w:rsid w:val="001C0EAC"/>
    <w:rsid w:val="001C0EE2"/>
    <w:rsid w:val="001C0F67"/>
    <w:rsid w:val="001C0FA8"/>
    <w:rsid w:val="001C1031"/>
    <w:rsid w:val="001C1053"/>
    <w:rsid w:val="001C11D9"/>
    <w:rsid w:val="001C11E8"/>
    <w:rsid w:val="001C1227"/>
    <w:rsid w:val="001C1293"/>
    <w:rsid w:val="001C12D9"/>
    <w:rsid w:val="001C130F"/>
    <w:rsid w:val="001C1400"/>
    <w:rsid w:val="001C1419"/>
    <w:rsid w:val="001C14B8"/>
    <w:rsid w:val="001C14D0"/>
    <w:rsid w:val="001C14EE"/>
    <w:rsid w:val="001C1507"/>
    <w:rsid w:val="001C1530"/>
    <w:rsid w:val="001C16DF"/>
    <w:rsid w:val="001C171B"/>
    <w:rsid w:val="001C178D"/>
    <w:rsid w:val="001C17F5"/>
    <w:rsid w:val="001C18EE"/>
    <w:rsid w:val="001C19AE"/>
    <w:rsid w:val="001C1A82"/>
    <w:rsid w:val="001C1B61"/>
    <w:rsid w:val="001C1BE2"/>
    <w:rsid w:val="001C1C2E"/>
    <w:rsid w:val="001C1C53"/>
    <w:rsid w:val="001C1C81"/>
    <w:rsid w:val="001C1CC0"/>
    <w:rsid w:val="001C1DF9"/>
    <w:rsid w:val="001C1E62"/>
    <w:rsid w:val="001C1F8F"/>
    <w:rsid w:val="001C1FF8"/>
    <w:rsid w:val="001C2034"/>
    <w:rsid w:val="001C20B6"/>
    <w:rsid w:val="001C20CF"/>
    <w:rsid w:val="001C220E"/>
    <w:rsid w:val="001C2346"/>
    <w:rsid w:val="001C23B5"/>
    <w:rsid w:val="001C249A"/>
    <w:rsid w:val="001C2576"/>
    <w:rsid w:val="001C2611"/>
    <w:rsid w:val="001C2725"/>
    <w:rsid w:val="001C2866"/>
    <w:rsid w:val="001C28C1"/>
    <w:rsid w:val="001C28F6"/>
    <w:rsid w:val="001C2919"/>
    <w:rsid w:val="001C298D"/>
    <w:rsid w:val="001C2A7D"/>
    <w:rsid w:val="001C2AF5"/>
    <w:rsid w:val="001C2C51"/>
    <w:rsid w:val="001C2C79"/>
    <w:rsid w:val="001C2D2E"/>
    <w:rsid w:val="001C2D85"/>
    <w:rsid w:val="001C2DB1"/>
    <w:rsid w:val="001C2E24"/>
    <w:rsid w:val="001C2F43"/>
    <w:rsid w:val="001C2F66"/>
    <w:rsid w:val="001C2F72"/>
    <w:rsid w:val="001C3039"/>
    <w:rsid w:val="001C304A"/>
    <w:rsid w:val="001C304B"/>
    <w:rsid w:val="001C3078"/>
    <w:rsid w:val="001C3154"/>
    <w:rsid w:val="001C31ED"/>
    <w:rsid w:val="001C32A2"/>
    <w:rsid w:val="001C32C8"/>
    <w:rsid w:val="001C344B"/>
    <w:rsid w:val="001C348C"/>
    <w:rsid w:val="001C3494"/>
    <w:rsid w:val="001C34C2"/>
    <w:rsid w:val="001C3656"/>
    <w:rsid w:val="001C369E"/>
    <w:rsid w:val="001C3738"/>
    <w:rsid w:val="001C37BC"/>
    <w:rsid w:val="001C37E5"/>
    <w:rsid w:val="001C3820"/>
    <w:rsid w:val="001C3827"/>
    <w:rsid w:val="001C38F6"/>
    <w:rsid w:val="001C3995"/>
    <w:rsid w:val="001C39C3"/>
    <w:rsid w:val="001C39F2"/>
    <w:rsid w:val="001C3AED"/>
    <w:rsid w:val="001C3B67"/>
    <w:rsid w:val="001C3CA6"/>
    <w:rsid w:val="001C3DCD"/>
    <w:rsid w:val="001C3DD7"/>
    <w:rsid w:val="001C3DF5"/>
    <w:rsid w:val="001C3E43"/>
    <w:rsid w:val="001C3FF8"/>
    <w:rsid w:val="001C3FFB"/>
    <w:rsid w:val="001C40D7"/>
    <w:rsid w:val="001C40F4"/>
    <w:rsid w:val="001C4190"/>
    <w:rsid w:val="001C41DF"/>
    <w:rsid w:val="001C434C"/>
    <w:rsid w:val="001C4459"/>
    <w:rsid w:val="001C4470"/>
    <w:rsid w:val="001C463D"/>
    <w:rsid w:val="001C4674"/>
    <w:rsid w:val="001C46FA"/>
    <w:rsid w:val="001C472D"/>
    <w:rsid w:val="001C47C8"/>
    <w:rsid w:val="001C4803"/>
    <w:rsid w:val="001C487D"/>
    <w:rsid w:val="001C48F0"/>
    <w:rsid w:val="001C49F7"/>
    <w:rsid w:val="001C4A27"/>
    <w:rsid w:val="001C4AD0"/>
    <w:rsid w:val="001C4B0C"/>
    <w:rsid w:val="001C4B82"/>
    <w:rsid w:val="001C4C71"/>
    <w:rsid w:val="001C4C83"/>
    <w:rsid w:val="001C4CEE"/>
    <w:rsid w:val="001C4DEB"/>
    <w:rsid w:val="001C4E36"/>
    <w:rsid w:val="001C4E81"/>
    <w:rsid w:val="001C4FFC"/>
    <w:rsid w:val="001C510F"/>
    <w:rsid w:val="001C5153"/>
    <w:rsid w:val="001C5282"/>
    <w:rsid w:val="001C53EC"/>
    <w:rsid w:val="001C5563"/>
    <w:rsid w:val="001C55A1"/>
    <w:rsid w:val="001C55E1"/>
    <w:rsid w:val="001C562D"/>
    <w:rsid w:val="001C565A"/>
    <w:rsid w:val="001C575C"/>
    <w:rsid w:val="001C57BA"/>
    <w:rsid w:val="001C57E2"/>
    <w:rsid w:val="001C589D"/>
    <w:rsid w:val="001C589F"/>
    <w:rsid w:val="001C592E"/>
    <w:rsid w:val="001C5A59"/>
    <w:rsid w:val="001C5A6E"/>
    <w:rsid w:val="001C5AA9"/>
    <w:rsid w:val="001C5B0E"/>
    <w:rsid w:val="001C5B93"/>
    <w:rsid w:val="001C5C61"/>
    <w:rsid w:val="001C5C6D"/>
    <w:rsid w:val="001C5CC1"/>
    <w:rsid w:val="001C5CD5"/>
    <w:rsid w:val="001C5CEE"/>
    <w:rsid w:val="001C5D41"/>
    <w:rsid w:val="001C5D9E"/>
    <w:rsid w:val="001C5E3F"/>
    <w:rsid w:val="001C5E40"/>
    <w:rsid w:val="001C5F9F"/>
    <w:rsid w:val="001C5FEB"/>
    <w:rsid w:val="001C6079"/>
    <w:rsid w:val="001C6082"/>
    <w:rsid w:val="001C6150"/>
    <w:rsid w:val="001C6183"/>
    <w:rsid w:val="001C61F0"/>
    <w:rsid w:val="001C620B"/>
    <w:rsid w:val="001C63C5"/>
    <w:rsid w:val="001C645D"/>
    <w:rsid w:val="001C6491"/>
    <w:rsid w:val="001C6591"/>
    <w:rsid w:val="001C66BD"/>
    <w:rsid w:val="001C66EE"/>
    <w:rsid w:val="001C6896"/>
    <w:rsid w:val="001C68E9"/>
    <w:rsid w:val="001C6910"/>
    <w:rsid w:val="001C6923"/>
    <w:rsid w:val="001C69F5"/>
    <w:rsid w:val="001C6A16"/>
    <w:rsid w:val="001C6A46"/>
    <w:rsid w:val="001C6A63"/>
    <w:rsid w:val="001C6D55"/>
    <w:rsid w:val="001C6D7C"/>
    <w:rsid w:val="001C6E77"/>
    <w:rsid w:val="001C6F1F"/>
    <w:rsid w:val="001C700E"/>
    <w:rsid w:val="001C726A"/>
    <w:rsid w:val="001C7288"/>
    <w:rsid w:val="001C73EE"/>
    <w:rsid w:val="001C7497"/>
    <w:rsid w:val="001C7556"/>
    <w:rsid w:val="001C76E8"/>
    <w:rsid w:val="001C772A"/>
    <w:rsid w:val="001C7807"/>
    <w:rsid w:val="001C78E6"/>
    <w:rsid w:val="001C7984"/>
    <w:rsid w:val="001C7990"/>
    <w:rsid w:val="001C79E9"/>
    <w:rsid w:val="001C7A57"/>
    <w:rsid w:val="001C7B59"/>
    <w:rsid w:val="001C7BC3"/>
    <w:rsid w:val="001C7BC9"/>
    <w:rsid w:val="001C7CA6"/>
    <w:rsid w:val="001C7D4E"/>
    <w:rsid w:val="001C7EA8"/>
    <w:rsid w:val="001C7FF8"/>
    <w:rsid w:val="001D0089"/>
    <w:rsid w:val="001D0124"/>
    <w:rsid w:val="001D022C"/>
    <w:rsid w:val="001D024B"/>
    <w:rsid w:val="001D0272"/>
    <w:rsid w:val="001D03F8"/>
    <w:rsid w:val="001D0465"/>
    <w:rsid w:val="001D05D4"/>
    <w:rsid w:val="001D05FD"/>
    <w:rsid w:val="001D0614"/>
    <w:rsid w:val="001D0762"/>
    <w:rsid w:val="001D07FE"/>
    <w:rsid w:val="001D09D8"/>
    <w:rsid w:val="001D0A32"/>
    <w:rsid w:val="001D0AB3"/>
    <w:rsid w:val="001D0B36"/>
    <w:rsid w:val="001D0BB7"/>
    <w:rsid w:val="001D0BE3"/>
    <w:rsid w:val="001D0BEA"/>
    <w:rsid w:val="001D0C68"/>
    <w:rsid w:val="001D0CC9"/>
    <w:rsid w:val="001D0EC7"/>
    <w:rsid w:val="001D0F92"/>
    <w:rsid w:val="001D1040"/>
    <w:rsid w:val="001D10C0"/>
    <w:rsid w:val="001D1189"/>
    <w:rsid w:val="001D12AA"/>
    <w:rsid w:val="001D12AD"/>
    <w:rsid w:val="001D12D4"/>
    <w:rsid w:val="001D12F6"/>
    <w:rsid w:val="001D1314"/>
    <w:rsid w:val="001D133A"/>
    <w:rsid w:val="001D1356"/>
    <w:rsid w:val="001D1365"/>
    <w:rsid w:val="001D136A"/>
    <w:rsid w:val="001D1460"/>
    <w:rsid w:val="001D1468"/>
    <w:rsid w:val="001D1474"/>
    <w:rsid w:val="001D14AF"/>
    <w:rsid w:val="001D150C"/>
    <w:rsid w:val="001D151A"/>
    <w:rsid w:val="001D162E"/>
    <w:rsid w:val="001D16E9"/>
    <w:rsid w:val="001D171B"/>
    <w:rsid w:val="001D175D"/>
    <w:rsid w:val="001D1850"/>
    <w:rsid w:val="001D18CD"/>
    <w:rsid w:val="001D196A"/>
    <w:rsid w:val="001D1A52"/>
    <w:rsid w:val="001D1B32"/>
    <w:rsid w:val="001D1B43"/>
    <w:rsid w:val="001D1BFD"/>
    <w:rsid w:val="001D1C3A"/>
    <w:rsid w:val="001D1C9B"/>
    <w:rsid w:val="001D1CB4"/>
    <w:rsid w:val="001D1CF5"/>
    <w:rsid w:val="001D1E5D"/>
    <w:rsid w:val="001D1F4F"/>
    <w:rsid w:val="001D2066"/>
    <w:rsid w:val="001D2085"/>
    <w:rsid w:val="001D20FB"/>
    <w:rsid w:val="001D21A2"/>
    <w:rsid w:val="001D228B"/>
    <w:rsid w:val="001D2292"/>
    <w:rsid w:val="001D22A3"/>
    <w:rsid w:val="001D22DF"/>
    <w:rsid w:val="001D22E0"/>
    <w:rsid w:val="001D23FD"/>
    <w:rsid w:val="001D2429"/>
    <w:rsid w:val="001D24C9"/>
    <w:rsid w:val="001D2644"/>
    <w:rsid w:val="001D267B"/>
    <w:rsid w:val="001D268C"/>
    <w:rsid w:val="001D272E"/>
    <w:rsid w:val="001D2946"/>
    <w:rsid w:val="001D297F"/>
    <w:rsid w:val="001D29BF"/>
    <w:rsid w:val="001D2A23"/>
    <w:rsid w:val="001D2AAB"/>
    <w:rsid w:val="001D2ADE"/>
    <w:rsid w:val="001D2BB3"/>
    <w:rsid w:val="001D2E61"/>
    <w:rsid w:val="001D2EC5"/>
    <w:rsid w:val="001D2FBD"/>
    <w:rsid w:val="001D307B"/>
    <w:rsid w:val="001D3122"/>
    <w:rsid w:val="001D31C7"/>
    <w:rsid w:val="001D326D"/>
    <w:rsid w:val="001D3389"/>
    <w:rsid w:val="001D3457"/>
    <w:rsid w:val="001D354F"/>
    <w:rsid w:val="001D3597"/>
    <w:rsid w:val="001D362C"/>
    <w:rsid w:val="001D3694"/>
    <w:rsid w:val="001D36F6"/>
    <w:rsid w:val="001D379B"/>
    <w:rsid w:val="001D37BD"/>
    <w:rsid w:val="001D37C2"/>
    <w:rsid w:val="001D382C"/>
    <w:rsid w:val="001D389D"/>
    <w:rsid w:val="001D399D"/>
    <w:rsid w:val="001D39ED"/>
    <w:rsid w:val="001D3A08"/>
    <w:rsid w:val="001D3B3E"/>
    <w:rsid w:val="001D3C3C"/>
    <w:rsid w:val="001D3C50"/>
    <w:rsid w:val="001D3C6D"/>
    <w:rsid w:val="001D3CEE"/>
    <w:rsid w:val="001D3F31"/>
    <w:rsid w:val="001D4016"/>
    <w:rsid w:val="001D428A"/>
    <w:rsid w:val="001D42C9"/>
    <w:rsid w:val="001D4354"/>
    <w:rsid w:val="001D43C8"/>
    <w:rsid w:val="001D43F9"/>
    <w:rsid w:val="001D43FF"/>
    <w:rsid w:val="001D446F"/>
    <w:rsid w:val="001D4498"/>
    <w:rsid w:val="001D44D3"/>
    <w:rsid w:val="001D44EA"/>
    <w:rsid w:val="001D451B"/>
    <w:rsid w:val="001D4530"/>
    <w:rsid w:val="001D45E2"/>
    <w:rsid w:val="001D4616"/>
    <w:rsid w:val="001D4770"/>
    <w:rsid w:val="001D47E4"/>
    <w:rsid w:val="001D4890"/>
    <w:rsid w:val="001D48D7"/>
    <w:rsid w:val="001D48E1"/>
    <w:rsid w:val="001D48F6"/>
    <w:rsid w:val="001D4977"/>
    <w:rsid w:val="001D4A4D"/>
    <w:rsid w:val="001D4A80"/>
    <w:rsid w:val="001D4B37"/>
    <w:rsid w:val="001D4CDE"/>
    <w:rsid w:val="001D4FAC"/>
    <w:rsid w:val="001D4FE0"/>
    <w:rsid w:val="001D4FFF"/>
    <w:rsid w:val="001D500C"/>
    <w:rsid w:val="001D5050"/>
    <w:rsid w:val="001D5064"/>
    <w:rsid w:val="001D520A"/>
    <w:rsid w:val="001D527C"/>
    <w:rsid w:val="001D54EE"/>
    <w:rsid w:val="001D55D5"/>
    <w:rsid w:val="001D55F1"/>
    <w:rsid w:val="001D563C"/>
    <w:rsid w:val="001D567D"/>
    <w:rsid w:val="001D56AB"/>
    <w:rsid w:val="001D56E3"/>
    <w:rsid w:val="001D5799"/>
    <w:rsid w:val="001D580F"/>
    <w:rsid w:val="001D5912"/>
    <w:rsid w:val="001D5967"/>
    <w:rsid w:val="001D5989"/>
    <w:rsid w:val="001D5A4D"/>
    <w:rsid w:val="001D5A52"/>
    <w:rsid w:val="001D5AF8"/>
    <w:rsid w:val="001D5B01"/>
    <w:rsid w:val="001D5B4D"/>
    <w:rsid w:val="001D5C3A"/>
    <w:rsid w:val="001D5C4B"/>
    <w:rsid w:val="001D5C77"/>
    <w:rsid w:val="001D5D05"/>
    <w:rsid w:val="001D5D4A"/>
    <w:rsid w:val="001D5DBE"/>
    <w:rsid w:val="001D5E0D"/>
    <w:rsid w:val="001D5FF6"/>
    <w:rsid w:val="001D6031"/>
    <w:rsid w:val="001D6048"/>
    <w:rsid w:val="001D60DD"/>
    <w:rsid w:val="001D62B2"/>
    <w:rsid w:val="001D633D"/>
    <w:rsid w:val="001D63A8"/>
    <w:rsid w:val="001D63CA"/>
    <w:rsid w:val="001D63F6"/>
    <w:rsid w:val="001D64AA"/>
    <w:rsid w:val="001D64AD"/>
    <w:rsid w:val="001D651D"/>
    <w:rsid w:val="001D66E1"/>
    <w:rsid w:val="001D679F"/>
    <w:rsid w:val="001D67F3"/>
    <w:rsid w:val="001D6819"/>
    <w:rsid w:val="001D6A06"/>
    <w:rsid w:val="001D6A79"/>
    <w:rsid w:val="001D6A8C"/>
    <w:rsid w:val="001D6B1D"/>
    <w:rsid w:val="001D6B4E"/>
    <w:rsid w:val="001D6CE5"/>
    <w:rsid w:val="001D6CEF"/>
    <w:rsid w:val="001D6D39"/>
    <w:rsid w:val="001D6DDE"/>
    <w:rsid w:val="001D6E97"/>
    <w:rsid w:val="001D6F23"/>
    <w:rsid w:val="001D6FC8"/>
    <w:rsid w:val="001D6FCB"/>
    <w:rsid w:val="001D7094"/>
    <w:rsid w:val="001D70CC"/>
    <w:rsid w:val="001D714A"/>
    <w:rsid w:val="001D71CF"/>
    <w:rsid w:val="001D71E8"/>
    <w:rsid w:val="001D71FD"/>
    <w:rsid w:val="001D7265"/>
    <w:rsid w:val="001D7268"/>
    <w:rsid w:val="001D73CB"/>
    <w:rsid w:val="001D7406"/>
    <w:rsid w:val="001D7415"/>
    <w:rsid w:val="001D760E"/>
    <w:rsid w:val="001D7624"/>
    <w:rsid w:val="001D7652"/>
    <w:rsid w:val="001D7676"/>
    <w:rsid w:val="001D768E"/>
    <w:rsid w:val="001D7769"/>
    <w:rsid w:val="001D77C7"/>
    <w:rsid w:val="001D78AD"/>
    <w:rsid w:val="001D79EC"/>
    <w:rsid w:val="001D7A17"/>
    <w:rsid w:val="001D7AFE"/>
    <w:rsid w:val="001D7BC8"/>
    <w:rsid w:val="001D7DE9"/>
    <w:rsid w:val="001D7E99"/>
    <w:rsid w:val="001D7F1A"/>
    <w:rsid w:val="001D7FAC"/>
    <w:rsid w:val="001D8A24"/>
    <w:rsid w:val="001E00DA"/>
    <w:rsid w:val="001E011B"/>
    <w:rsid w:val="001E030C"/>
    <w:rsid w:val="001E030E"/>
    <w:rsid w:val="001E05E3"/>
    <w:rsid w:val="001E0656"/>
    <w:rsid w:val="001E075C"/>
    <w:rsid w:val="001E077A"/>
    <w:rsid w:val="001E0859"/>
    <w:rsid w:val="001E0903"/>
    <w:rsid w:val="001E0AEC"/>
    <w:rsid w:val="001E0AFB"/>
    <w:rsid w:val="001E0B52"/>
    <w:rsid w:val="001E0BCC"/>
    <w:rsid w:val="001E0C7F"/>
    <w:rsid w:val="001E0D58"/>
    <w:rsid w:val="001E0DF2"/>
    <w:rsid w:val="001E0DF4"/>
    <w:rsid w:val="001E0E86"/>
    <w:rsid w:val="001E136B"/>
    <w:rsid w:val="001E137F"/>
    <w:rsid w:val="001E14E6"/>
    <w:rsid w:val="001E16D2"/>
    <w:rsid w:val="001E178C"/>
    <w:rsid w:val="001E17DE"/>
    <w:rsid w:val="001E1855"/>
    <w:rsid w:val="001E18B8"/>
    <w:rsid w:val="001E18E8"/>
    <w:rsid w:val="001E1AD2"/>
    <w:rsid w:val="001E1BDC"/>
    <w:rsid w:val="001E1BE0"/>
    <w:rsid w:val="001E1CA4"/>
    <w:rsid w:val="001E1D12"/>
    <w:rsid w:val="001E1D19"/>
    <w:rsid w:val="001E1D9B"/>
    <w:rsid w:val="001E1E06"/>
    <w:rsid w:val="001E1F1A"/>
    <w:rsid w:val="001E1F1D"/>
    <w:rsid w:val="001E1F31"/>
    <w:rsid w:val="001E2056"/>
    <w:rsid w:val="001E2170"/>
    <w:rsid w:val="001E21E1"/>
    <w:rsid w:val="001E22D2"/>
    <w:rsid w:val="001E22EE"/>
    <w:rsid w:val="001E2381"/>
    <w:rsid w:val="001E2492"/>
    <w:rsid w:val="001E2519"/>
    <w:rsid w:val="001E254A"/>
    <w:rsid w:val="001E2559"/>
    <w:rsid w:val="001E2596"/>
    <w:rsid w:val="001E2719"/>
    <w:rsid w:val="001E2785"/>
    <w:rsid w:val="001E27F1"/>
    <w:rsid w:val="001E298E"/>
    <w:rsid w:val="001E29CF"/>
    <w:rsid w:val="001E2BF5"/>
    <w:rsid w:val="001E2C3C"/>
    <w:rsid w:val="001E2C4E"/>
    <w:rsid w:val="001E2D14"/>
    <w:rsid w:val="001E2D8D"/>
    <w:rsid w:val="001E2DD7"/>
    <w:rsid w:val="001E2E55"/>
    <w:rsid w:val="001E2E6C"/>
    <w:rsid w:val="001E2E81"/>
    <w:rsid w:val="001E2E97"/>
    <w:rsid w:val="001E2F1A"/>
    <w:rsid w:val="001E2FA8"/>
    <w:rsid w:val="001E3009"/>
    <w:rsid w:val="001E303F"/>
    <w:rsid w:val="001E30C4"/>
    <w:rsid w:val="001E3106"/>
    <w:rsid w:val="001E31B0"/>
    <w:rsid w:val="001E324A"/>
    <w:rsid w:val="001E3330"/>
    <w:rsid w:val="001E34F4"/>
    <w:rsid w:val="001E350B"/>
    <w:rsid w:val="001E3512"/>
    <w:rsid w:val="001E3535"/>
    <w:rsid w:val="001E3779"/>
    <w:rsid w:val="001E37CD"/>
    <w:rsid w:val="001E37D5"/>
    <w:rsid w:val="001E38DE"/>
    <w:rsid w:val="001E39A2"/>
    <w:rsid w:val="001E3A2F"/>
    <w:rsid w:val="001E3B67"/>
    <w:rsid w:val="001E3B75"/>
    <w:rsid w:val="001E3B77"/>
    <w:rsid w:val="001E3BAC"/>
    <w:rsid w:val="001E3C0B"/>
    <w:rsid w:val="001E3CF2"/>
    <w:rsid w:val="001E3D48"/>
    <w:rsid w:val="001E3D4C"/>
    <w:rsid w:val="001E3D5C"/>
    <w:rsid w:val="001E3D87"/>
    <w:rsid w:val="001E3DCE"/>
    <w:rsid w:val="001E3F96"/>
    <w:rsid w:val="001E3FB0"/>
    <w:rsid w:val="001E417A"/>
    <w:rsid w:val="001E41E3"/>
    <w:rsid w:val="001E4226"/>
    <w:rsid w:val="001E4297"/>
    <w:rsid w:val="001E42D7"/>
    <w:rsid w:val="001E4347"/>
    <w:rsid w:val="001E4355"/>
    <w:rsid w:val="001E4484"/>
    <w:rsid w:val="001E4487"/>
    <w:rsid w:val="001E44DD"/>
    <w:rsid w:val="001E4659"/>
    <w:rsid w:val="001E46F1"/>
    <w:rsid w:val="001E472A"/>
    <w:rsid w:val="001E4823"/>
    <w:rsid w:val="001E4881"/>
    <w:rsid w:val="001E4957"/>
    <w:rsid w:val="001E49DB"/>
    <w:rsid w:val="001E4B04"/>
    <w:rsid w:val="001E4BBE"/>
    <w:rsid w:val="001E4C4F"/>
    <w:rsid w:val="001E4DCE"/>
    <w:rsid w:val="001E4F57"/>
    <w:rsid w:val="001E515F"/>
    <w:rsid w:val="001E5229"/>
    <w:rsid w:val="001E527B"/>
    <w:rsid w:val="001E52CC"/>
    <w:rsid w:val="001E532C"/>
    <w:rsid w:val="001E5450"/>
    <w:rsid w:val="001E553A"/>
    <w:rsid w:val="001E5555"/>
    <w:rsid w:val="001E55F0"/>
    <w:rsid w:val="001E567A"/>
    <w:rsid w:val="001E571A"/>
    <w:rsid w:val="001E57FB"/>
    <w:rsid w:val="001E580A"/>
    <w:rsid w:val="001E592F"/>
    <w:rsid w:val="001E5A11"/>
    <w:rsid w:val="001E5A65"/>
    <w:rsid w:val="001E5B01"/>
    <w:rsid w:val="001E5CA3"/>
    <w:rsid w:val="001E5CA6"/>
    <w:rsid w:val="001E5D44"/>
    <w:rsid w:val="001E5DAE"/>
    <w:rsid w:val="001E5E78"/>
    <w:rsid w:val="001E5F5E"/>
    <w:rsid w:val="001E5FDD"/>
    <w:rsid w:val="001E6211"/>
    <w:rsid w:val="001E6317"/>
    <w:rsid w:val="001E633C"/>
    <w:rsid w:val="001E6388"/>
    <w:rsid w:val="001E63CE"/>
    <w:rsid w:val="001E64AC"/>
    <w:rsid w:val="001E64F2"/>
    <w:rsid w:val="001E660B"/>
    <w:rsid w:val="001E68A5"/>
    <w:rsid w:val="001E68C9"/>
    <w:rsid w:val="001E68D7"/>
    <w:rsid w:val="001E69B2"/>
    <w:rsid w:val="001E6A07"/>
    <w:rsid w:val="001E6A9C"/>
    <w:rsid w:val="001E6AE3"/>
    <w:rsid w:val="001E6BEA"/>
    <w:rsid w:val="001E6C1B"/>
    <w:rsid w:val="001E6C26"/>
    <w:rsid w:val="001E6CFC"/>
    <w:rsid w:val="001E6D3F"/>
    <w:rsid w:val="001E6D61"/>
    <w:rsid w:val="001E6DC9"/>
    <w:rsid w:val="001E6E72"/>
    <w:rsid w:val="001E6F2E"/>
    <w:rsid w:val="001E6F91"/>
    <w:rsid w:val="001E7007"/>
    <w:rsid w:val="001E7060"/>
    <w:rsid w:val="001E70DA"/>
    <w:rsid w:val="001E7121"/>
    <w:rsid w:val="001E7182"/>
    <w:rsid w:val="001E7401"/>
    <w:rsid w:val="001E74D6"/>
    <w:rsid w:val="001E74F1"/>
    <w:rsid w:val="001E7594"/>
    <w:rsid w:val="001E75A6"/>
    <w:rsid w:val="001E76B1"/>
    <w:rsid w:val="001E7756"/>
    <w:rsid w:val="001E77B4"/>
    <w:rsid w:val="001E7815"/>
    <w:rsid w:val="001E7836"/>
    <w:rsid w:val="001E7878"/>
    <w:rsid w:val="001E788A"/>
    <w:rsid w:val="001E7923"/>
    <w:rsid w:val="001E7A68"/>
    <w:rsid w:val="001E7AEA"/>
    <w:rsid w:val="001E7B6E"/>
    <w:rsid w:val="001E7BD6"/>
    <w:rsid w:val="001E7D68"/>
    <w:rsid w:val="001E7DA5"/>
    <w:rsid w:val="001E7E56"/>
    <w:rsid w:val="001E7E90"/>
    <w:rsid w:val="001E7E9F"/>
    <w:rsid w:val="001F0041"/>
    <w:rsid w:val="001F00E9"/>
    <w:rsid w:val="001F01D6"/>
    <w:rsid w:val="001F01EB"/>
    <w:rsid w:val="001F01FA"/>
    <w:rsid w:val="001F022B"/>
    <w:rsid w:val="001F0358"/>
    <w:rsid w:val="001F040A"/>
    <w:rsid w:val="001F0482"/>
    <w:rsid w:val="001F04A5"/>
    <w:rsid w:val="001F054D"/>
    <w:rsid w:val="001F0555"/>
    <w:rsid w:val="001F05CC"/>
    <w:rsid w:val="001F0737"/>
    <w:rsid w:val="001F074C"/>
    <w:rsid w:val="001F079A"/>
    <w:rsid w:val="001F07AA"/>
    <w:rsid w:val="001F0811"/>
    <w:rsid w:val="001F081A"/>
    <w:rsid w:val="001F0981"/>
    <w:rsid w:val="001F098C"/>
    <w:rsid w:val="001F09D0"/>
    <w:rsid w:val="001F0A46"/>
    <w:rsid w:val="001F0AA2"/>
    <w:rsid w:val="001F0AEC"/>
    <w:rsid w:val="001F0B57"/>
    <w:rsid w:val="001F0BB7"/>
    <w:rsid w:val="001F0C24"/>
    <w:rsid w:val="001F0D62"/>
    <w:rsid w:val="001F0E1A"/>
    <w:rsid w:val="001F0E84"/>
    <w:rsid w:val="001F0E97"/>
    <w:rsid w:val="001F0F13"/>
    <w:rsid w:val="001F0F2D"/>
    <w:rsid w:val="001F0FC7"/>
    <w:rsid w:val="001F11BF"/>
    <w:rsid w:val="001F1285"/>
    <w:rsid w:val="001F1308"/>
    <w:rsid w:val="001F13DC"/>
    <w:rsid w:val="001F1411"/>
    <w:rsid w:val="001F149F"/>
    <w:rsid w:val="001F16E4"/>
    <w:rsid w:val="001F1747"/>
    <w:rsid w:val="001F1881"/>
    <w:rsid w:val="001F188B"/>
    <w:rsid w:val="001F18C0"/>
    <w:rsid w:val="001F1A91"/>
    <w:rsid w:val="001F1B1E"/>
    <w:rsid w:val="001F1C09"/>
    <w:rsid w:val="001F1DAB"/>
    <w:rsid w:val="001F1EC1"/>
    <w:rsid w:val="001F1FD3"/>
    <w:rsid w:val="001F1FE1"/>
    <w:rsid w:val="001F203C"/>
    <w:rsid w:val="001F2192"/>
    <w:rsid w:val="001F219C"/>
    <w:rsid w:val="001F21E5"/>
    <w:rsid w:val="001F229E"/>
    <w:rsid w:val="001F233C"/>
    <w:rsid w:val="001F2427"/>
    <w:rsid w:val="001F242A"/>
    <w:rsid w:val="001F2443"/>
    <w:rsid w:val="001F2504"/>
    <w:rsid w:val="001F256A"/>
    <w:rsid w:val="001F2570"/>
    <w:rsid w:val="001F2601"/>
    <w:rsid w:val="001F2808"/>
    <w:rsid w:val="001F2839"/>
    <w:rsid w:val="001F2906"/>
    <w:rsid w:val="001F2919"/>
    <w:rsid w:val="001F291D"/>
    <w:rsid w:val="001F2AB2"/>
    <w:rsid w:val="001F2ABB"/>
    <w:rsid w:val="001F2AD5"/>
    <w:rsid w:val="001F2C03"/>
    <w:rsid w:val="001F2CF7"/>
    <w:rsid w:val="001F2D44"/>
    <w:rsid w:val="001F2E8F"/>
    <w:rsid w:val="001F2F12"/>
    <w:rsid w:val="001F2F62"/>
    <w:rsid w:val="001F2FBB"/>
    <w:rsid w:val="001F2FC2"/>
    <w:rsid w:val="001F3036"/>
    <w:rsid w:val="001F3153"/>
    <w:rsid w:val="001F320D"/>
    <w:rsid w:val="001F3220"/>
    <w:rsid w:val="001F32B0"/>
    <w:rsid w:val="001F32EB"/>
    <w:rsid w:val="001F32F9"/>
    <w:rsid w:val="001F33A9"/>
    <w:rsid w:val="001F3477"/>
    <w:rsid w:val="001F3490"/>
    <w:rsid w:val="001F349B"/>
    <w:rsid w:val="001F349D"/>
    <w:rsid w:val="001F34A4"/>
    <w:rsid w:val="001F3563"/>
    <w:rsid w:val="001F35A7"/>
    <w:rsid w:val="001F3683"/>
    <w:rsid w:val="001F3698"/>
    <w:rsid w:val="001F374D"/>
    <w:rsid w:val="001F3767"/>
    <w:rsid w:val="001F388B"/>
    <w:rsid w:val="001F38B2"/>
    <w:rsid w:val="001F38C2"/>
    <w:rsid w:val="001F3A77"/>
    <w:rsid w:val="001F3C29"/>
    <w:rsid w:val="001F3CA3"/>
    <w:rsid w:val="001F3D1C"/>
    <w:rsid w:val="001F3D82"/>
    <w:rsid w:val="001F3D8E"/>
    <w:rsid w:val="001F3E38"/>
    <w:rsid w:val="001F3F61"/>
    <w:rsid w:val="001F4113"/>
    <w:rsid w:val="001F4123"/>
    <w:rsid w:val="001F4280"/>
    <w:rsid w:val="001F428A"/>
    <w:rsid w:val="001F4365"/>
    <w:rsid w:val="001F452D"/>
    <w:rsid w:val="001F4563"/>
    <w:rsid w:val="001F4643"/>
    <w:rsid w:val="001F4703"/>
    <w:rsid w:val="001F47A0"/>
    <w:rsid w:val="001F47B7"/>
    <w:rsid w:val="001F4802"/>
    <w:rsid w:val="001F488D"/>
    <w:rsid w:val="001F49CA"/>
    <w:rsid w:val="001F4A48"/>
    <w:rsid w:val="001F4A68"/>
    <w:rsid w:val="001F4AA0"/>
    <w:rsid w:val="001F4C51"/>
    <w:rsid w:val="001F4C7A"/>
    <w:rsid w:val="001F4C87"/>
    <w:rsid w:val="001F4E4B"/>
    <w:rsid w:val="001F4F2E"/>
    <w:rsid w:val="001F4FAB"/>
    <w:rsid w:val="001F4FE9"/>
    <w:rsid w:val="001F5006"/>
    <w:rsid w:val="001F5015"/>
    <w:rsid w:val="001F5063"/>
    <w:rsid w:val="001F50BA"/>
    <w:rsid w:val="001F5132"/>
    <w:rsid w:val="001F5170"/>
    <w:rsid w:val="001F518F"/>
    <w:rsid w:val="001F51B1"/>
    <w:rsid w:val="001F523D"/>
    <w:rsid w:val="001F5245"/>
    <w:rsid w:val="001F52F0"/>
    <w:rsid w:val="001F5317"/>
    <w:rsid w:val="001F53BD"/>
    <w:rsid w:val="001F53D7"/>
    <w:rsid w:val="001F54BA"/>
    <w:rsid w:val="001F54E9"/>
    <w:rsid w:val="001F5567"/>
    <w:rsid w:val="001F556F"/>
    <w:rsid w:val="001F5594"/>
    <w:rsid w:val="001F55BD"/>
    <w:rsid w:val="001F568E"/>
    <w:rsid w:val="001F56D1"/>
    <w:rsid w:val="001F5703"/>
    <w:rsid w:val="001F5756"/>
    <w:rsid w:val="001F587D"/>
    <w:rsid w:val="001F5AB4"/>
    <w:rsid w:val="001F5BA0"/>
    <w:rsid w:val="001F5BBC"/>
    <w:rsid w:val="001F5BBD"/>
    <w:rsid w:val="001F5D54"/>
    <w:rsid w:val="001F5D78"/>
    <w:rsid w:val="001F5E90"/>
    <w:rsid w:val="001F5F9E"/>
    <w:rsid w:val="001F5FF1"/>
    <w:rsid w:val="001F601A"/>
    <w:rsid w:val="001F616A"/>
    <w:rsid w:val="001F632F"/>
    <w:rsid w:val="001F6386"/>
    <w:rsid w:val="001F6439"/>
    <w:rsid w:val="001F644C"/>
    <w:rsid w:val="001F6534"/>
    <w:rsid w:val="001F6548"/>
    <w:rsid w:val="001F66E1"/>
    <w:rsid w:val="001F67ED"/>
    <w:rsid w:val="001F6965"/>
    <w:rsid w:val="001F6A28"/>
    <w:rsid w:val="001F6BB9"/>
    <w:rsid w:val="001F6BBD"/>
    <w:rsid w:val="001F6CA2"/>
    <w:rsid w:val="001F6E47"/>
    <w:rsid w:val="001F6E4A"/>
    <w:rsid w:val="001F6E59"/>
    <w:rsid w:val="001F6EF9"/>
    <w:rsid w:val="001F6FE2"/>
    <w:rsid w:val="001F7072"/>
    <w:rsid w:val="001F70F9"/>
    <w:rsid w:val="001F7211"/>
    <w:rsid w:val="001F7278"/>
    <w:rsid w:val="001F72C4"/>
    <w:rsid w:val="001F736D"/>
    <w:rsid w:val="001F73AE"/>
    <w:rsid w:val="001F7402"/>
    <w:rsid w:val="001F7419"/>
    <w:rsid w:val="001F746F"/>
    <w:rsid w:val="001F7512"/>
    <w:rsid w:val="001F75D6"/>
    <w:rsid w:val="001F761D"/>
    <w:rsid w:val="001F7700"/>
    <w:rsid w:val="001F787A"/>
    <w:rsid w:val="001F7933"/>
    <w:rsid w:val="001F7969"/>
    <w:rsid w:val="001F7A2F"/>
    <w:rsid w:val="001F7A41"/>
    <w:rsid w:val="001F7B00"/>
    <w:rsid w:val="001F7B48"/>
    <w:rsid w:val="00200084"/>
    <w:rsid w:val="002000A9"/>
    <w:rsid w:val="002000E1"/>
    <w:rsid w:val="0020019C"/>
    <w:rsid w:val="0020021D"/>
    <w:rsid w:val="00200238"/>
    <w:rsid w:val="0020025E"/>
    <w:rsid w:val="0020027C"/>
    <w:rsid w:val="0020029F"/>
    <w:rsid w:val="0020033D"/>
    <w:rsid w:val="0020043C"/>
    <w:rsid w:val="00200482"/>
    <w:rsid w:val="0020048C"/>
    <w:rsid w:val="002004DD"/>
    <w:rsid w:val="00200736"/>
    <w:rsid w:val="00200748"/>
    <w:rsid w:val="002007D1"/>
    <w:rsid w:val="0020084B"/>
    <w:rsid w:val="0020086B"/>
    <w:rsid w:val="002008C3"/>
    <w:rsid w:val="002009D3"/>
    <w:rsid w:val="00200A0A"/>
    <w:rsid w:val="00200AF2"/>
    <w:rsid w:val="00200B63"/>
    <w:rsid w:val="00200C51"/>
    <w:rsid w:val="00200CC1"/>
    <w:rsid w:val="00200D84"/>
    <w:rsid w:val="00200DBA"/>
    <w:rsid w:val="00200DDB"/>
    <w:rsid w:val="00200E4B"/>
    <w:rsid w:val="00200E5E"/>
    <w:rsid w:val="00200FB3"/>
    <w:rsid w:val="00200FC2"/>
    <w:rsid w:val="00201046"/>
    <w:rsid w:val="00201052"/>
    <w:rsid w:val="002011C1"/>
    <w:rsid w:val="002011F2"/>
    <w:rsid w:val="00201208"/>
    <w:rsid w:val="00201280"/>
    <w:rsid w:val="00201319"/>
    <w:rsid w:val="00201325"/>
    <w:rsid w:val="0020132A"/>
    <w:rsid w:val="002013A6"/>
    <w:rsid w:val="002013CF"/>
    <w:rsid w:val="002013FC"/>
    <w:rsid w:val="002014CA"/>
    <w:rsid w:val="002014CE"/>
    <w:rsid w:val="002015C4"/>
    <w:rsid w:val="00201617"/>
    <w:rsid w:val="0020161B"/>
    <w:rsid w:val="0020162A"/>
    <w:rsid w:val="002016BB"/>
    <w:rsid w:val="0020176F"/>
    <w:rsid w:val="002017C9"/>
    <w:rsid w:val="002017EC"/>
    <w:rsid w:val="00201874"/>
    <w:rsid w:val="002018C5"/>
    <w:rsid w:val="0020190A"/>
    <w:rsid w:val="002019AC"/>
    <w:rsid w:val="00201A36"/>
    <w:rsid w:val="00201C70"/>
    <w:rsid w:val="00201D11"/>
    <w:rsid w:val="00201D15"/>
    <w:rsid w:val="00201F9E"/>
    <w:rsid w:val="00201FF0"/>
    <w:rsid w:val="00202020"/>
    <w:rsid w:val="00202132"/>
    <w:rsid w:val="002021D4"/>
    <w:rsid w:val="00202219"/>
    <w:rsid w:val="0020228F"/>
    <w:rsid w:val="002022B9"/>
    <w:rsid w:val="002022F8"/>
    <w:rsid w:val="0020238C"/>
    <w:rsid w:val="002023BD"/>
    <w:rsid w:val="002023E2"/>
    <w:rsid w:val="0020268E"/>
    <w:rsid w:val="002026C3"/>
    <w:rsid w:val="0020285E"/>
    <w:rsid w:val="00202897"/>
    <w:rsid w:val="002028F0"/>
    <w:rsid w:val="00202911"/>
    <w:rsid w:val="002029BA"/>
    <w:rsid w:val="00202AD5"/>
    <w:rsid w:val="00202B9D"/>
    <w:rsid w:val="00202C23"/>
    <w:rsid w:val="00202C67"/>
    <w:rsid w:val="00202C91"/>
    <w:rsid w:val="00202CAB"/>
    <w:rsid w:val="00202CB8"/>
    <w:rsid w:val="00202CCD"/>
    <w:rsid w:val="00202E4D"/>
    <w:rsid w:val="00202F10"/>
    <w:rsid w:val="002030A4"/>
    <w:rsid w:val="0020312A"/>
    <w:rsid w:val="0020312C"/>
    <w:rsid w:val="00203159"/>
    <w:rsid w:val="00203170"/>
    <w:rsid w:val="00203184"/>
    <w:rsid w:val="0020318A"/>
    <w:rsid w:val="0020318D"/>
    <w:rsid w:val="002031E0"/>
    <w:rsid w:val="00203271"/>
    <w:rsid w:val="002032BB"/>
    <w:rsid w:val="002035DA"/>
    <w:rsid w:val="002035F8"/>
    <w:rsid w:val="00203628"/>
    <w:rsid w:val="0020368A"/>
    <w:rsid w:val="002036BA"/>
    <w:rsid w:val="002036C6"/>
    <w:rsid w:val="002036F6"/>
    <w:rsid w:val="002036F9"/>
    <w:rsid w:val="00203870"/>
    <w:rsid w:val="0020393A"/>
    <w:rsid w:val="002039CB"/>
    <w:rsid w:val="00203A0B"/>
    <w:rsid w:val="00203A4F"/>
    <w:rsid w:val="00203AD5"/>
    <w:rsid w:val="00203B21"/>
    <w:rsid w:val="00203D0A"/>
    <w:rsid w:val="00203D1F"/>
    <w:rsid w:val="00203D29"/>
    <w:rsid w:val="00203DB4"/>
    <w:rsid w:val="00203DE5"/>
    <w:rsid w:val="00204121"/>
    <w:rsid w:val="002041A4"/>
    <w:rsid w:val="00204260"/>
    <w:rsid w:val="0020430D"/>
    <w:rsid w:val="002044FB"/>
    <w:rsid w:val="00204777"/>
    <w:rsid w:val="002047A1"/>
    <w:rsid w:val="0020480D"/>
    <w:rsid w:val="002048CA"/>
    <w:rsid w:val="00204945"/>
    <w:rsid w:val="002049B3"/>
    <w:rsid w:val="002049E2"/>
    <w:rsid w:val="002049EB"/>
    <w:rsid w:val="00204A0D"/>
    <w:rsid w:val="00204B06"/>
    <w:rsid w:val="00204BBA"/>
    <w:rsid w:val="00204FAF"/>
    <w:rsid w:val="00204FF6"/>
    <w:rsid w:val="00204FFC"/>
    <w:rsid w:val="00205095"/>
    <w:rsid w:val="00205200"/>
    <w:rsid w:val="002052EF"/>
    <w:rsid w:val="00205369"/>
    <w:rsid w:val="002053B3"/>
    <w:rsid w:val="002054BB"/>
    <w:rsid w:val="0020555F"/>
    <w:rsid w:val="002055F2"/>
    <w:rsid w:val="00205820"/>
    <w:rsid w:val="00205878"/>
    <w:rsid w:val="00205C1C"/>
    <w:rsid w:val="00205CFA"/>
    <w:rsid w:val="00205D26"/>
    <w:rsid w:val="00205D86"/>
    <w:rsid w:val="00205E2F"/>
    <w:rsid w:val="00205E9C"/>
    <w:rsid w:val="0020600D"/>
    <w:rsid w:val="0020604A"/>
    <w:rsid w:val="0020605F"/>
    <w:rsid w:val="00206133"/>
    <w:rsid w:val="0020615D"/>
    <w:rsid w:val="0020616F"/>
    <w:rsid w:val="00206191"/>
    <w:rsid w:val="00206230"/>
    <w:rsid w:val="00206361"/>
    <w:rsid w:val="002063AA"/>
    <w:rsid w:val="0020650E"/>
    <w:rsid w:val="0020655C"/>
    <w:rsid w:val="00206585"/>
    <w:rsid w:val="0020659D"/>
    <w:rsid w:val="00206600"/>
    <w:rsid w:val="002066AA"/>
    <w:rsid w:val="0020673B"/>
    <w:rsid w:val="0020673E"/>
    <w:rsid w:val="002067B9"/>
    <w:rsid w:val="0020681C"/>
    <w:rsid w:val="002068A0"/>
    <w:rsid w:val="002068B9"/>
    <w:rsid w:val="0020691B"/>
    <w:rsid w:val="00206B85"/>
    <w:rsid w:val="00206B8E"/>
    <w:rsid w:val="00206BEC"/>
    <w:rsid w:val="00206C90"/>
    <w:rsid w:val="00206CA9"/>
    <w:rsid w:val="00206D76"/>
    <w:rsid w:val="00206DAF"/>
    <w:rsid w:val="00206E04"/>
    <w:rsid w:val="00206E17"/>
    <w:rsid w:val="00206EEA"/>
    <w:rsid w:val="0020714D"/>
    <w:rsid w:val="0020716C"/>
    <w:rsid w:val="002071F8"/>
    <w:rsid w:val="00207266"/>
    <w:rsid w:val="00207375"/>
    <w:rsid w:val="002073A2"/>
    <w:rsid w:val="002073BC"/>
    <w:rsid w:val="0020740B"/>
    <w:rsid w:val="00207506"/>
    <w:rsid w:val="002075CA"/>
    <w:rsid w:val="0020773D"/>
    <w:rsid w:val="00207746"/>
    <w:rsid w:val="00207783"/>
    <w:rsid w:val="002077DA"/>
    <w:rsid w:val="00207816"/>
    <w:rsid w:val="002078FF"/>
    <w:rsid w:val="0020790E"/>
    <w:rsid w:val="00207930"/>
    <w:rsid w:val="002079C6"/>
    <w:rsid w:val="00207AB9"/>
    <w:rsid w:val="00207B57"/>
    <w:rsid w:val="00207BE3"/>
    <w:rsid w:val="00207CBC"/>
    <w:rsid w:val="00207D94"/>
    <w:rsid w:val="00207E9E"/>
    <w:rsid w:val="00207ED8"/>
    <w:rsid w:val="00207FF0"/>
    <w:rsid w:val="002100AC"/>
    <w:rsid w:val="0021035F"/>
    <w:rsid w:val="002103C1"/>
    <w:rsid w:val="002103E2"/>
    <w:rsid w:val="002103E9"/>
    <w:rsid w:val="00210408"/>
    <w:rsid w:val="002104AD"/>
    <w:rsid w:val="002104DF"/>
    <w:rsid w:val="0021054C"/>
    <w:rsid w:val="002105DF"/>
    <w:rsid w:val="0021064A"/>
    <w:rsid w:val="0021077B"/>
    <w:rsid w:val="00210A0C"/>
    <w:rsid w:val="00210A1B"/>
    <w:rsid w:val="00210AAC"/>
    <w:rsid w:val="00210B5F"/>
    <w:rsid w:val="00210B95"/>
    <w:rsid w:val="00210BFE"/>
    <w:rsid w:val="00210D43"/>
    <w:rsid w:val="00210D5F"/>
    <w:rsid w:val="00210E55"/>
    <w:rsid w:val="00210F06"/>
    <w:rsid w:val="00210F2C"/>
    <w:rsid w:val="00210F53"/>
    <w:rsid w:val="0021103A"/>
    <w:rsid w:val="002110BC"/>
    <w:rsid w:val="00211142"/>
    <w:rsid w:val="00211189"/>
    <w:rsid w:val="002111BE"/>
    <w:rsid w:val="0021138E"/>
    <w:rsid w:val="002115CF"/>
    <w:rsid w:val="002115ED"/>
    <w:rsid w:val="002116EC"/>
    <w:rsid w:val="002117BA"/>
    <w:rsid w:val="002117D8"/>
    <w:rsid w:val="00211A37"/>
    <w:rsid w:val="00211B8A"/>
    <w:rsid w:val="00211B8F"/>
    <w:rsid w:val="00211BC7"/>
    <w:rsid w:val="00211C2B"/>
    <w:rsid w:val="00211C4A"/>
    <w:rsid w:val="00211C60"/>
    <w:rsid w:val="00211C75"/>
    <w:rsid w:val="00211CF5"/>
    <w:rsid w:val="00211E36"/>
    <w:rsid w:val="00211F78"/>
    <w:rsid w:val="00211F93"/>
    <w:rsid w:val="0021205A"/>
    <w:rsid w:val="0021206F"/>
    <w:rsid w:val="00212079"/>
    <w:rsid w:val="002120BD"/>
    <w:rsid w:val="00212126"/>
    <w:rsid w:val="0021212D"/>
    <w:rsid w:val="0021213D"/>
    <w:rsid w:val="002122FB"/>
    <w:rsid w:val="002123B9"/>
    <w:rsid w:val="002124BB"/>
    <w:rsid w:val="00212500"/>
    <w:rsid w:val="00212506"/>
    <w:rsid w:val="0021261E"/>
    <w:rsid w:val="0021263B"/>
    <w:rsid w:val="002126CD"/>
    <w:rsid w:val="002126E5"/>
    <w:rsid w:val="0021273B"/>
    <w:rsid w:val="0021296A"/>
    <w:rsid w:val="002129B4"/>
    <w:rsid w:val="002129E2"/>
    <w:rsid w:val="00212A3A"/>
    <w:rsid w:val="00212AE2"/>
    <w:rsid w:val="00212AEC"/>
    <w:rsid w:val="00212AFD"/>
    <w:rsid w:val="00212BE4"/>
    <w:rsid w:val="00212C8E"/>
    <w:rsid w:val="00212CCE"/>
    <w:rsid w:val="00212D7F"/>
    <w:rsid w:val="00212F21"/>
    <w:rsid w:val="00212F64"/>
    <w:rsid w:val="00213073"/>
    <w:rsid w:val="0021308B"/>
    <w:rsid w:val="00213123"/>
    <w:rsid w:val="0021315C"/>
    <w:rsid w:val="0021318A"/>
    <w:rsid w:val="0021319D"/>
    <w:rsid w:val="002131DD"/>
    <w:rsid w:val="00213264"/>
    <w:rsid w:val="00213303"/>
    <w:rsid w:val="00213351"/>
    <w:rsid w:val="00213363"/>
    <w:rsid w:val="0021337B"/>
    <w:rsid w:val="002133DB"/>
    <w:rsid w:val="0021357E"/>
    <w:rsid w:val="002135B0"/>
    <w:rsid w:val="002135CA"/>
    <w:rsid w:val="00213616"/>
    <w:rsid w:val="00213667"/>
    <w:rsid w:val="002136E2"/>
    <w:rsid w:val="002136E9"/>
    <w:rsid w:val="0021383E"/>
    <w:rsid w:val="00213892"/>
    <w:rsid w:val="00213A31"/>
    <w:rsid w:val="00213A46"/>
    <w:rsid w:val="00213AB5"/>
    <w:rsid w:val="00213AED"/>
    <w:rsid w:val="00213AEF"/>
    <w:rsid w:val="00213B08"/>
    <w:rsid w:val="00213B44"/>
    <w:rsid w:val="00213C58"/>
    <w:rsid w:val="00213D03"/>
    <w:rsid w:val="00213D5E"/>
    <w:rsid w:val="00213E31"/>
    <w:rsid w:val="00213F55"/>
    <w:rsid w:val="00213F98"/>
    <w:rsid w:val="00214010"/>
    <w:rsid w:val="00214038"/>
    <w:rsid w:val="00214160"/>
    <w:rsid w:val="00214240"/>
    <w:rsid w:val="00214294"/>
    <w:rsid w:val="0021431F"/>
    <w:rsid w:val="0021433E"/>
    <w:rsid w:val="00214393"/>
    <w:rsid w:val="00214430"/>
    <w:rsid w:val="00214436"/>
    <w:rsid w:val="002146F3"/>
    <w:rsid w:val="002146F7"/>
    <w:rsid w:val="002147F4"/>
    <w:rsid w:val="00214805"/>
    <w:rsid w:val="0021490D"/>
    <w:rsid w:val="00214ACC"/>
    <w:rsid w:val="00214B8C"/>
    <w:rsid w:val="00214BC2"/>
    <w:rsid w:val="00214BFA"/>
    <w:rsid w:val="00214C36"/>
    <w:rsid w:val="00214E52"/>
    <w:rsid w:val="00214EE7"/>
    <w:rsid w:val="00214EF4"/>
    <w:rsid w:val="00214EFD"/>
    <w:rsid w:val="00214F43"/>
    <w:rsid w:val="00214F72"/>
    <w:rsid w:val="00214FB2"/>
    <w:rsid w:val="00215065"/>
    <w:rsid w:val="00215094"/>
    <w:rsid w:val="0021509C"/>
    <w:rsid w:val="002150C0"/>
    <w:rsid w:val="0021523D"/>
    <w:rsid w:val="0021532C"/>
    <w:rsid w:val="002153A8"/>
    <w:rsid w:val="00215423"/>
    <w:rsid w:val="002154A4"/>
    <w:rsid w:val="002154C6"/>
    <w:rsid w:val="002154E7"/>
    <w:rsid w:val="00215545"/>
    <w:rsid w:val="0021563E"/>
    <w:rsid w:val="00215819"/>
    <w:rsid w:val="00215851"/>
    <w:rsid w:val="002158D0"/>
    <w:rsid w:val="002158E9"/>
    <w:rsid w:val="002158EC"/>
    <w:rsid w:val="002158FC"/>
    <w:rsid w:val="00215912"/>
    <w:rsid w:val="00215921"/>
    <w:rsid w:val="00215957"/>
    <w:rsid w:val="00215A31"/>
    <w:rsid w:val="00215AF9"/>
    <w:rsid w:val="00215C6F"/>
    <w:rsid w:val="00215D41"/>
    <w:rsid w:val="00215E4C"/>
    <w:rsid w:val="00215E50"/>
    <w:rsid w:val="00215F45"/>
    <w:rsid w:val="00215F9D"/>
    <w:rsid w:val="00216028"/>
    <w:rsid w:val="002160A8"/>
    <w:rsid w:val="002160E9"/>
    <w:rsid w:val="0021610D"/>
    <w:rsid w:val="00216202"/>
    <w:rsid w:val="00216322"/>
    <w:rsid w:val="0021634F"/>
    <w:rsid w:val="00216357"/>
    <w:rsid w:val="002163F1"/>
    <w:rsid w:val="00216599"/>
    <w:rsid w:val="0021662E"/>
    <w:rsid w:val="002167FE"/>
    <w:rsid w:val="00216813"/>
    <w:rsid w:val="0021685D"/>
    <w:rsid w:val="00216861"/>
    <w:rsid w:val="00216924"/>
    <w:rsid w:val="00216931"/>
    <w:rsid w:val="00216968"/>
    <w:rsid w:val="00216983"/>
    <w:rsid w:val="002169CB"/>
    <w:rsid w:val="002169CD"/>
    <w:rsid w:val="00216AD4"/>
    <w:rsid w:val="00216AE5"/>
    <w:rsid w:val="00216C4B"/>
    <w:rsid w:val="00216C6D"/>
    <w:rsid w:val="00216C81"/>
    <w:rsid w:val="00216C8D"/>
    <w:rsid w:val="00216D00"/>
    <w:rsid w:val="00216D1D"/>
    <w:rsid w:val="00216D37"/>
    <w:rsid w:val="00216D3E"/>
    <w:rsid w:val="00216DC7"/>
    <w:rsid w:val="00216F0C"/>
    <w:rsid w:val="00216F7E"/>
    <w:rsid w:val="00216FB7"/>
    <w:rsid w:val="00217045"/>
    <w:rsid w:val="0021706A"/>
    <w:rsid w:val="002170F0"/>
    <w:rsid w:val="002170FD"/>
    <w:rsid w:val="00217399"/>
    <w:rsid w:val="002173B6"/>
    <w:rsid w:val="0021742C"/>
    <w:rsid w:val="00217456"/>
    <w:rsid w:val="00217536"/>
    <w:rsid w:val="002175B8"/>
    <w:rsid w:val="002175BF"/>
    <w:rsid w:val="0021764B"/>
    <w:rsid w:val="002176BB"/>
    <w:rsid w:val="002176EC"/>
    <w:rsid w:val="002176F3"/>
    <w:rsid w:val="00217938"/>
    <w:rsid w:val="0021795D"/>
    <w:rsid w:val="002179EA"/>
    <w:rsid w:val="00217A2D"/>
    <w:rsid w:val="00217B60"/>
    <w:rsid w:val="00217BE9"/>
    <w:rsid w:val="00217C1C"/>
    <w:rsid w:val="00217C43"/>
    <w:rsid w:val="00217C91"/>
    <w:rsid w:val="00217CBA"/>
    <w:rsid w:val="00217D01"/>
    <w:rsid w:val="00217D4F"/>
    <w:rsid w:val="00217E04"/>
    <w:rsid w:val="00217E56"/>
    <w:rsid w:val="00217EF0"/>
    <w:rsid w:val="00217F30"/>
    <w:rsid w:val="00217FB5"/>
    <w:rsid w:val="002203D5"/>
    <w:rsid w:val="00220431"/>
    <w:rsid w:val="00220447"/>
    <w:rsid w:val="00220485"/>
    <w:rsid w:val="002204A3"/>
    <w:rsid w:val="00220581"/>
    <w:rsid w:val="002205EA"/>
    <w:rsid w:val="0022068D"/>
    <w:rsid w:val="00220701"/>
    <w:rsid w:val="00220748"/>
    <w:rsid w:val="00220755"/>
    <w:rsid w:val="00220757"/>
    <w:rsid w:val="0022075F"/>
    <w:rsid w:val="002207C5"/>
    <w:rsid w:val="00220833"/>
    <w:rsid w:val="0022085C"/>
    <w:rsid w:val="00220865"/>
    <w:rsid w:val="00220973"/>
    <w:rsid w:val="00220A21"/>
    <w:rsid w:val="00220A3E"/>
    <w:rsid w:val="00220AD0"/>
    <w:rsid w:val="00220B0C"/>
    <w:rsid w:val="00220B60"/>
    <w:rsid w:val="00220B74"/>
    <w:rsid w:val="00220C51"/>
    <w:rsid w:val="00220C80"/>
    <w:rsid w:val="00220C8E"/>
    <w:rsid w:val="00220CD7"/>
    <w:rsid w:val="00220D55"/>
    <w:rsid w:val="00220DE4"/>
    <w:rsid w:val="00220E58"/>
    <w:rsid w:val="00220E61"/>
    <w:rsid w:val="00220E7C"/>
    <w:rsid w:val="00220EB0"/>
    <w:rsid w:val="00220F8F"/>
    <w:rsid w:val="00220FBE"/>
    <w:rsid w:val="00220FDF"/>
    <w:rsid w:val="00221025"/>
    <w:rsid w:val="00221039"/>
    <w:rsid w:val="00221138"/>
    <w:rsid w:val="002211E0"/>
    <w:rsid w:val="0022124E"/>
    <w:rsid w:val="002212C5"/>
    <w:rsid w:val="002212DE"/>
    <w:rsid w:val="00221368"/>
    <w:rsid w:val="00221383"/>
    <w:rsid w:val="00221385"/>
    <w:rsid w:val="00221431"/>
    <w:rsid w:val="002214A3"/>
    <w:rsid w:val="002214DC"/>
    <w:rsid w:val="002215DF"/>
    <w:rsid w:val="002215FF"/>
    <w:rsid w:val="0022166A"/>
    <w:rsid w:val="002216D1"/>
    <w:rsid w:val="00221751"/>
    <w:rsid w:val="002218B7"/>
    <w:rsid w:val="00221920"/>
    <w:rsid w:val="0022195F"/>
    <w:rsid w:val="00221995"/>
    <w:rsid w:val="00221997"/>
    <w:rsid w:val="002219FC"/>
    <w:rsid w:val="00221A0D"/>
    <w:rsid w:val="00221A79"/>
    <w:rsid w:val="00221BA1"/>
    <w:rsid w:val="00221C07"/>
    <w:rsid w:val="00221C42"/>
    <w:rsid w:val="00221C9F"/>
    <w:rsid w:val="00221CE9"/>
    <w:rsid w:val="00221D42"/>
    <w:rsid w:val="00221D46"/>
    <w:rsid w:val="00221D76"/>
    <w:rsid w:val="00221E7B"/>
    <w:rsid w:val="002220AF"/>
    <w:rsid w:val="002221EC"/>
    <w:rsid w:val="002222F6"/>
    <w:rsid w:val="0022235D"/>
    <w:rsid w:val="0022236A"/>
    <w:rsid w:val="0022236F"/>
    <w:rsid w:val="002224BB"/>
    <w:rsid w:val="00222520"/>
    <w:rsid w:val="00222586"/>
    <w:rsid w:val="002226F7"/>
    <w:rsid w:val="00222786"/>
    <w:rsid w:val="002227B4"/>
    <w:rsid w:val="0022294F"/>
    <w:rsid w:val="00222960"/>
    <w:rsid w:val="00222AD9"/>
    <w:rsid w:val="00222AF6"/>
    <w:rsid w:val="00222B2E"/>
    <w:rsid w:val="00222C6E"/>
    <w:rsid w:val="00222C72"/>
    <w:rsid w:val="00222E01"/>
    <w:rsid w:val="00222E0E"/>
    <w:rsid w:val="00222E38"/>
    <w:rsid w:val="00222EBD"/>
    <w:rsid w:val="00222FDE"/>
    <w:rsid w:val="00222FF1"/>
    <w:rsid w:val="00223012"/>
    <w:rsid w:val="00223028"/>
    <w:rsid w:val="00223284"/>
    <w:rsid w:val="00223301"/>
    <w:rsid w:val="00223328"/>
    <w:rsid w:val="0022333D"/>
    <w:rsid w:val="00223383"/>
    <w:rsid w:val="002233EF"/>
    <w:rsid w:val="002234F6"/>
    <w:rsid w:val="00223639"/>
    <w:rsid w:val="0022364C"/>
    <w:rsid w:val="002236C2"/>
    <w:rsid w:val="002236C6"/>
    <w:rsid w:val="002236F7"/>
    <w:rsid w:val="002236F9"/>
    <w:rsid w:val="0022375C"/>
    <w:rsid w:val="0022377F"/>
    <w:rsid w:val="002237D4"/>
    <w:rsid w:val="00223851"/>
    <w:rsid w:val="00223A2B"/>
    <w:rsid w:val="00223AF1"/>
    <w:rsid w:val="00223BD8"/>
    <w:rsid w:val="00223BFB"/>
    <w:rsid w:val="00223C36"/>
    <w:rsid w:val="00223D39"/>
    <w:rsid w:val="00223DDC"/>
    <w:rsid w:val="00223E72"/>
    <w:rsid w:val="00223E86"/>
    <w:rsid w:val="00223E92"/>
    <w:rsid w:val="00223F04"/>
    <w:rsid w:val="00224006"/>
    <w:rsid w:val="00224018"/>
    <w:rsid w:val="002240BC"/>
    <w:rsid w:val="00224183"/>
    <w:rsid w:val="0022419C"/>
    <w:rsid w:val="0022420F"/>
    <w:rsid w:val="0022427B"/>
    <w:rsid w:val="0022429C"/>
    <w:rsid w:val="002242AA"/>
    <w:rsid w:val="002243B0"/>
    <w:rsid w:val="002243DF"/>
    <w:rsid w:val="002243F4"/>
    <w:rsid w:val="002246E2"/>
    <w:rsid w:val="002246E5"/>
    <w:rsid w:val="00224748"/>
    <w:rsid w:val="002247C9"/>
    <w:rsid w:val="00224893"/>
    <w:rsid w:val="002248DB"/>
    <w:rsid w:val="00224A17"/>
    <w:rsid w:val="00224A5C"/>
    <w:rsid w:val="00224B8D"/>
    <w:rsid w:val="00224C0A"/>
    <w:rsid w:val="00224D7F"/>
    <w:rsid w:val="00224D83"/>
    <w:rsid w:val="00224D90"/>
    <w:rsid w:val="00224D9F"/>
    <w:rsid w:val="00224EF0"/>
    <w:rsid w:val="00225000"/>
    <w:rsid w:val="002250BF"/>
    <w:rsid w:val="002251E4"/>
    <w:rsid w:val="00225249"/>
    <w:rsid w:val="0022525F"/>
    <w:rsid w:val="0022529E"/>
    <w:rsid w:val="00225320"/>
    <w:rsid w:val="00225338"/>
    <w:rsid w:val="0022540F"/>
    <w:rsid w:val="002254A1"/>
    <w:rsid w:val="002254A8"/>
    <w:rsid w:val="002254E0"/>
    <w:rsid w:val="00225506"/>
    <w:rsid w:val="00225559"/>
    <w:rsid w:val="002256FD"/>
    <w:rsid w:val="0022586C"/>
    <w:rsid w:val="002258AE"/>
    <w:rsid w:val="00225B2F"/>
    <w:rsid w:val="00225BEF"/>
    <w:rsid w:val="00225C88"/>
    <w:rsid w:val="00225D38"/>
    <w:rsid w:val="00225DE4"/>
    <w:rsid w:val="00225E63"/>
    <w:rsid w:val="00225ECD"/>
    <w:rsid w:val="00225EEE"/>
    <w:rsid w:val="00225F97"/>
    <w:rsid w:val="0022600B"/>
    <w:rsid w:val="0022606D"/>
    <w:rsid w:val="00226203"/>
    <w:rsid w:val="00226268"/>
    <w:rsid w:val="002264D8"/>
    <w:rsid w:val="00226503"/>
    <w:rsid w:val="0022689E"/>
    <w:rsid w:val="0022691B"/>
    <w:rsid w:val="00226A19"/>
    <w:rsid w:val="00226AC7"/>
    <w:rsid w:val="00226AD7"/>
    <w:rsid w:val="00226B0E"/>
    <w:rsid w:val="00226B2A"/>
    <w:rsid w:val="00226B7E"/>
    <w:rsid w:val="00226C71"/>
    <w:rsid w:val="00226E3C"/>
    <w:rsid w:val="00226EF8"/>
    <w:rsid w:val="00226F5F"/>
    <w:rsid w:val="00226F63"/>
    <w:rsid w:val="00226FB6"/>
    <w:rsid w:val="00226FB9"/>
    <w:rsid w:val="002271D0"/>
    <w:rsid w:val="002272FA"/>
    <w:rsid w:val="0022741A"/>
    <w:rsid w:val="00227559"/>
    <w:rsid w:val="00227637"/>
    <w:rsid w:val="0022764F"/>
    <w:rsid w:val="002276A7"/>
    <w:rsid w:val="002276B7"/>
    <w:rsid w:val="002277E2"/>
    <w:rsid w:val="002279D7"/>
    <w:rsid w:val="002279F8"/>
    <w:rsid w:val="00227A38"/>
    <w:rsid w:val="00227A85"/>
    <w:rsid w:val="00227C0D"/>
    <w:rsid w:val="00227D4B"/>
    <w:rsid w:val="00227D54"/>
    <w:rsid w:val="00227D61"/>
    <w:rsid w:val="00227D66"/>
    <w:rsid w:val="00227FEF"/>
    <w:rsid w:val="00230028"/>
    <w:rsid w:val="00230029"/>
    <w:rsid w:val="00230037"/>
    <w:rsid w:val="002300CE"/>
    <w:rsid w:val="002300ED"/>
    <w:rsid w:val="0023010E"/>
    <w:rsid w:val="0023021E"/>
    <w:rsid w:val="0023027F"/>
    <w:rsid w:val="00230301"/>
    <w:rsid w:val="00230494"/>
    <w:rsid w:val="00230499"/>
    <w:rsid w:val="00230521"/>
    <w:rsid w:val="0023052A"/>
    <w:rsid w:val="00230564"/>
    <w:rsid w:val="002305DD"/>
    <w:rsid w:val="002307EF"/>
    <w:rsid w:val="0023082E"/>
    <w:rsid w:val="00230848"/>
    <w:rsid w:val="002308AA"/>
    <w:rsid w:val="002308CE"/>
    <w:rsid w:val="002309D7"/>
    <w:rsid w:val="002309F0"/>
    <w:rsid w:val="00230A32"/>
    <w:rsid w:val="00230A38"/>
    <w:rsid w:val="00230A9E"/>
    <w:rsid w:val="00230ABB"/>
    <w:rsid w:val="00230BB1"/>
    <w:rsid w:val="00230C2E"/>
    <w:rsid w:val="00230C70"/>
    <w:rsid w:val="00230CCE"/>
    <w:rsid w:val="00230DD3"/>
    <w:rsid w:val="00230DE7"/>
    <w:rsid w:val="00230F05"/>
    <w:rsid w:val="00230F5A"/>
    <w:rsid w:val="00231432"/>
    <w:rsid w:val="00231565"/>
    <w:rsid w:val="00231599"/>
    <w:rsid w:val="002315CC"/>
    <w:rsid w:val="002315D7"/>
    <w:rsid w:val="00231602"/>
    <w:rsid w:val="002316B5"/>
    <w:rsid w:val="002316C1"/>
    <w:rsid w:val="002316C2"/>
    <w:rsid w:val="002316C3"/>
    <w:rsid w:val="0023171A"/>
    <w:rsid w:val="00231757"/>
    <w:rsid w:val="00231779"/>
    <w:rsid w:val="002317D8"/>
    <w:rsid w:val="002317F8"/>
    <w:rsid w:val="00231985"/>
    <w:rsid w:val="0023199D"/>
    <w:rsid w:val="00231A07"/>
    <w:rsid w:val="00231A74"/>
    <w:rsid w:val="00231A8C"/>
    <w:rsid w:val="00231B0C"/>
    <w:rsid w:val="00231E7C"/>
    <w:rsid w:val="00231EB5"/>
    <w:rsid w:val="00231F1D"/>
    <w:rsid w:val="002320A6"/>
    <w:rsid w:val="00232194"/>
    <w:rsid w:val="0023219D"/>
    <w:rsid w:val="0023225B"/>
    <w:rsid w:val="00232294"/>
    <w:rsid w:val="00232357"/>
    <w:rsid w:val="0023236C"/>
    <w:rsid w:val="0023241C"/>
    <w:rsid w:val="00232495"/>
    <w:rsid w:val="002324A1"/>
    <w:rsid w:val="0023252B"/>
    <w:rsid w:val="00232604"/>
    <w:rsid w:val="002327B3"/>
    <w:rsid w:val="00232813"/>
    <w:rsid w:val="0023285D"/>
    <w:rsid w:val="00232948"/>
    <w:rsid w:val="00232980"/>
    <w:rsid w:val="00232B46"/>
    <w:rsid w:val="00232C74"/>
    <w:rsid w:val="00232CE8"/>
    <w:rsid w:val="00232D24"/>
    <w:rsid w:val="00232D8D"/>
    <w:rsid w:val="00232F51"/>
    <w:rsid w:val="00232F7E"/>
    <w:rsid w:val="00232F8E"/>
    <w:rsid w:val="002331B3"/>
    <w:rsid w:val="0023330C"/>
    <w:rsid w:val="00233324"/>
    <w:rsid w:val="00233334"/>
    <w:rsid w:val="002333ED"/>
    <w:rsid w:val="00233512"/>
    <w:rsid w:val="0023353B"/>
    <w:rsid w:val="00233541"/>
    <w:rsid w:val="002335F2"/>
    <w:rsid w:val="002335FE"/>
    <w:rsid w:val="00233620"/>
    <w:rsid w:val="00233671"/>
    <w:rsid w:val="00233738"/>
    <w:rsid w:val="00233808"/>
    <w:rsid w:val="0023385A"/>
    <w:rsid w:val="00233876"/>
    <w:rsid w:val="002338C7"/>
    <w:rsid w:val="002338D3"/>
    <w:rsid w:val="00233936"/>
    <w:rsid w:val="002339B8"/>
    <w:rsid w:val="002339E7"/>
    <w:rsid w:val="00233BBE"/>
    <w:rsid w:val="00233BEA"/>
    <w:rsid w:val="00233C07"/>
    <w:rsid w:val="00233C44"/>
    <w:rsid w:val="00233C8B"/>
    <w:rsid w:val="00233CBB"/>
    <w:rsid w:val="00233D77"/>
    <w:rsid w:val="00233D93"/>
    <w:rsid w:val="00233E9B"/>
    <w:rsid w:val="0023418B"/>
    <w:rsid w:val="002341A6"/>
    <w:rsid w:val="002341FD"/>
    <w:rsid w:val="0023427A"/>
    <w:rsid w:val="002342EE"/>
    <w:rsid w:val="002343AD"/>
    <w:rsid w:val="002343D2"/>
    <w:rsid w:val="00234427"/>
    <w:rsid w:val="00234435"/>
    <w:rsid w:val="00234451"/>
    <w:rsid w:val="002345C3"/>
    <w:rsid w:val="0023466A"/>
    <w:rsid w:val="002347E7"/>
    <w:rsid w:val="00234823"/>
    <w:rsid w:val="0023487D"/>
    <w:rsid w:val="002349CB"/>
    <w:rsid w:val="00234A6C"/>
    <w:rsid w:val="00234AE1"/>
    <w:rsid w:val="00234D1E"/>
    <w:rsid w:val="00234DF9"/>
    <w:rsid w:val="00234E3F"/>
    <w:rsid w:val="00234E76"/>
    <w:rsid w:val="00234F2B"/>
    <w:rsid w:val="00234FAC"/>
    <w:rsid w:val="002350D0"/>
    <w:rsid w:val="0023515D"/>
    <w:rsid w:val="002351C4"/>
    <w:rsid w:val="002352BA"/>
    <w:rsid w:val="00235358"/>
    <w:rsid w:val="0023536C"/>
    <w:rsid w:val="002353CE"/>
    <w:rsid w:val="002355AA"/>
    <w:rsid w:val="002355C5"/>
    <w:rsid w:val="00235616"/>
    <w:rsid w:val="00235727"/>
    <w:rsid w:val="0023575C"/>
    <w:rsid w:val="00235797"/>
    <w:rsid w:val="00235909"/>
    <w:rsid w:val="002359A7"/>
    <w:rsid w:val="00235A2C"/>
    <w:rsid w:val="00235A96"/>
    <w:rsid w:val="00235AC6"/>
    <w:rsid w:val="00235BD5"/>
    <w:rsid w:val="00235C22"/>
    <w:rsid w:val="00235C2E"/>
    <w:rsid w:val="00235C82"/>
    <w:rsid w:val="00235CAF"/>
    <w:rsid w:val="00235D1C"/>
    <w:rsid w:val="00235D5A"/>
    <w:rsid w:val="00235E0E"/>
    <w:rsid w:val="00235E8F"/>
    <w:rsid w:val="00235FA5"/>
    <w:rsid w:val="0023601C"/>
    <w:rsid w:val="002360CF"/>
    <w:rsid w:val="002361A5"/>
    <w:rsid w:val="002361EE"/>
    <w:rsid w:val="002362A7"/>
    <w:rsid w:val="00236402"/>
    <w:rsid w:val="00236407"/>
    <w:rsid w:val="0023657D"/>
    <w:rsid w:val="002365A2"/>
    <w:rsid w:val="00236740"/>
    <w:rsid w:val="002367AB"/>
    <w:rsid w:val="0023691D"/>
    <w:rsid w:val="002369BE"/>
    <w:rsid w:val="00236A00"/>
    <w:rsid w:val="00236A24"/>
    <w:rsid w:val="00236A71"/>
    <w:rsid w:val="00236B48"/>
    <w:rsid w:val="00236D62"/>
    <w:rsid w:val="00236D82"/>
    <w:rsid w:val="00236DC2"/>
    <w:rsid w:val="00236E10"/>
    <w:rsid w:val="002370D4"/>
    <w:rsid w:val="002371D2"/>
    <w:rsid w:val="002373A2"/>
    <w:rsid w:val="00237445"/>
    <w:rsid w:val="00237488"/>
    <w:rsid w:val="002374E8"/>
    <w:rsid w:val="002374F7"/>
    <w:rsid w:val="00237520"/>
    <w:rsid w:val="00237640"/>
    <w:rsid w:val="002376B8"/>
    <w:rsid w:val="002377A0"/>
    <w:rsid w:val="00237861"/>
    <w:rsid w:val="0023787A"/>
    <w:rsid w:val="002378DD"/>
    <w:rsid w:val="002378F9"/>
    <w:rsid w:val="00237A6D"/>
    <w:rsid w:val="00237AF6"/>
    <w:rsid w:val="00237B32"/>
    <w:rsid w:val="00237B37"/>
    <w:rsid w:val="00237BC2"/>
    <w:rsid w:val="00237BD5"/>
    <w:rsid w:val="00237BEB"/>
    <w:rsid w:val="00237CC9"/>
    <w:rsid w:val="00237E3C"/>
    <w:rsid w:val="00237ED9"/>
    <w:rsid w:val="00237EF2"/>
    <w:rsid w:val="00237F75"/>
    <w:rsid w:val="002401A2"/>
    <w:rsid w:val="002401AC"/>
    <w:rsid w:val="00240241"/>
    <w:rsid w:val="00240259"/>
    <w:rsid w:val="002402DF"/>
    <w:rsid w:val="002402F4"/>
    <w:rsid w:val="00240308"/>
    <w:rsid w:val="00240371"/>
    <w:rsid w:val="002403A5"/>
    <w:rsid w:val="0024042A"/>
    <w:rsid w:val="00240439"/>
    <w:rsid w:val="0024053D"/>
    <w:rsid w:val="0024065D"/>
    <w:rsid w:val="0024072F"/>
    <w:rsid w:val="00240780"/>
    <w:rsid w:val="00240800"/>
    <w:rsid w:val="0024085E"/>
    <w:rsid w:val="00240948"/>
    <w:rsid w:val="002409F3"/>
    <w:rsid w:val="002409F7"/>
    <w:rsid w:val="00240A04"/>
    <w:rsid w:val="00240A54"/>
    <w:rsid w:val="00240AD8"/>
    <w:rsid w:val="00240B01"/>
    <w:rsid w:val="00240B74"/>
    <w:rsid w:val="00240B8C"/>
    <w:rsid w:val="00240BC3"/>
    <w:rsid w:val="00240C00"/>
    <w:rsid w:val="00240CA7"/>
    <w:rsid w:val="00240D31"/>
    <w:rsid w:val="00240D6D"/>
    <w:rsid w:val="00240E9F"/>
    <w:rsid w:val="00240EB3"/>
    <w:rsid w:val="00240F05"/>
    <w:rsid w:val="0024103E"/>
    <w:rsid w:val="00241049"/>
    <w:rsid w:val="00241100"/>
    <w:rsid w:val="0024115E"/>
    <w:rsid w:val="00241190"/>
    <w:rsid w:val="0024126B"/>
    <w:rsid w:val="00241279"/>
    <w:rsid w:val="002412EB"/>
    <w:rsid w:val="00241303"/>
    <w:rsid w:val="00241386"/>
    <w:rsid w:val="002413B1"/>
    <w:rsid w:val="002413DA"/>
    <w:rsid w:val="0024164A"/>
    <w:rsid w:val="002416D5"/>
    <w:rsid w:val="0024179D"/>
    <w:rsid w:val="002418A0"/>
    <w:rsid w:val="002418C0"/>
    <w:rsid w:val="002418D5"/>
    <w:rsid w:val="002418F9"/>
    <w:rsid w:val="00241AD1"/>
    <w:rsid w:val="00241B64"/>
    <w:rsid w:val="00241B72"/>
    <w:rsid w:val="00241C16"/>
    <w:rsid w:val="00241C23"/>
    <w:rsid w:val="00241CD6"/>
    <w:rsid w:val="00241DBF"/>
    <w:rsid w:val="002420DA"/>
    <w:rsid w:val="002421B1"/>
    <w:rsid w:val="002421C7"/>
    <w:rsid w:val="0024223F"/>
    <w:rsid w:val="002422D7"/>
    <w:rsid w:val="0024231F"/>
    <w:rsid w:val="0024234E"/>
    <w:rsid w:val="0024238F"/>
    <w:rsid w:val="002423E7"/>
    <w:rsid w:val="00242470"/>
    <w:rsid w:val="002424A3"/>
    <w:rsid w:val="002424F3"/>
    <w:rsid w:val="0024259C"/>
    <w:rsid w:val="0024263F"/>
    <w:rsid w:val="002428E5"/>
    <w:rsid w:val="002428F7"/>
    <w:rsid w:val="0024299F"/>
    <w:rsid w:val="00242A75"/>
    <w:rsid w:val="00242C43"/>
    <w:rsid w:val="00242C4F"/>
    <w:rsid w:val="00242D3C"/>
    <w:rsid w:val="00242D9A"/>
    <w:rsid w:val="00242E2D"/>
    <w:rsid w:val="00242E36"/>
    <w:rsid w:val="00242E79"/>
    <w:rsid w:val="00242E8C"/>
    <w:rsid w:val="00242E95"/>
    <w:rsid w:val="00242F03"/>
    <w:rsid w:val="0024306A"/>
    <w:rsid w:val="0024310E"/>
    <w:rsid w:val="0024314D"/>
    <w:rsid w:val="00243187"/>
    <w:rsid w:val="0024318A"/>
    <w:rsid w:val="0024325D"/>
    <w:rsid w:val="002432B0"/>
    <w:rsid w:val="002433E4"/>
    <w:rsid w:val="0024345D"/>
    <w:rsid w:val="00243597"/>
    <w:rsid w:val="0024360D"/>
    <w:rsid w:val="00243644"/>
    <w:rsid w:val="00243665"/>
    <w:rsid w:val="002436B6"/>
    <w:rsid w:val="002436C4"/>
    <w:rsid w:val="002437F0"/>
    <w:rsid w:val="00243813"/>
    <w:rsid w:val="0024387E"/>
    <w:rsid w:val="002438AE"/>
    <w:rsid w:val="002438E3"/>
    <w:rsid w:val="002439BA"/>
    <w:rsid w:val="00243A2B"/>
    <w:rsid w:val="00243AB5"/>
    <w:rsid w:val="00243B3C"/>
    <w:rsid w:val="00243B51"/>
    <w:rsid w:val="00243B5F"/>
    <w:rsid w:val="00243BAD"/>
    <w:rsid w:val="00243BD0"/>
    <w:rsid w:val="00243BD6"/>
    <w:rsid w:val="00243C4E"/>
    <w:rsid w:val="00243C79"/>
    <w:rsid w:val="00243CAA"/>
    <w:rsid w:val="00243CBC"/>
    <w:rsid w:val="00243CF0"/>
    <w:rsid w:val="00243D05"/>
    <w:rsid w:val="00243D13"/>
    <w:rsid w:val="00243D1A"/>
    <w:rsid w:val="00243D3E"/>
    <w:rsid w:val="00243F67"/>
    <w:rsid w:val="00244092"/>
    <w:rsid w:val="00244095"/>
    <w:rsid w:val="00244144"/>
    <w:rsid w:val="002441E1"/>
    <w:rsid w:val="002442BB"/>
    <w:rsid w:val="002442BD"/>
    <w:rsid w:val="00244490"/>
    <w:rsid w:val="002444FE"/>
    <w:rsid w:val="002447E5"/>
    <w:rsid w:val="0024483F"/>
    <w:rsid w:val="0024484C"/>
    <w:rsid w:val="002449B1"/>
    <w:rsid w:val="00244A26"/>
    <w:rsid w:val="00244A7D"/>
    <w:rsid w:val="00244A95"/>
    <w:rsid w:val="00244AD0"/>
    <w:rsid w:val="00244B5A"/>
    <w:rsid w:val="00244BBF"/>
    <w:rsid w:val="00244E29"/>
    <w:rsid w:val="00244E2C"/>
    <w:rsid w:val="00244EB0"/>
    <w:rsid w:val="00244FB2"/>
    <w:rsid w:val="00244FF9"/>
    <w:rsid w:val="00245022"/>
    <w:rsid w:val="0024519E"/>
    <w:rsid w:val="002451AE"/>
    <w:rsid w:val="00245219"/>
    <w:rsid w:val="00245234"/>
    <w:rsid w:val="002452C6"/>
    <w:rsid w:val="002452F5"/>
    <w:rsid w:val="00245329"/>
    <w:rsid w:val="0024532B"/>
    <w:rsid w:val="002453B4"/>
    <w:rsid w:val="0024541C"/>
    <w:rsid w:val="00245425"/>
    <w:rsid w:val="00245450"/>
    <w:rsid w:val="0024548C"/>
    <w:rsid w:val="002454A8"/>
    <w:rsid w:val="002454C4"/>
    <w:rsid w:val="002454C7"/>
    <w:rsid w:val="00245563"/>
    <w:rsid w:val="002455CC"/>
    <w:rsid w:val="0024567B"/>
    <w:rsid w:val="002456B8"/>
    <w:rsid w:val="0024577F"/>
    <w:rsid w:val="0024580F"/>
    <w:rsid w:val="002459E6"/>
    <w:rsid w:val="00245A0B"/>
    <w:rsid w:val="00245A8F"/>
    <w:rsid w:val="00245B62"/>
    <w:rsid w:val="00245C0C"/>
    <w:rsid w:val="00245C6E"/>
    <w:rsid w:val="00245CB9"/>
    <w:rsid w:val="00245D4E"/>
    <w:rsid w:val="00245D71"/>
    <w:rsid w:val="00245DC5"/>
    <w:rsid w:val="00245E0C"/>
    <w:rsid w:val="00245FE5"/>
    <w:rsid w:val="0024601A"/>
    <w:rsid w:val="00246071"/>
    <w:rsid w:val="00246128"/>
    <w:rsid w:val="00246159"/>
    <w:rsid w:val="0024615D"/>
    <w:rsid w:val="00246213"/>
    <w:rsid w:val="00246241"/>
    <w:rsid w:val="00246252"/>
    <w:rsid w:val="0024628F"/>
    <w:rsid w:val="0024630A"/>
    <w:rsid w:val="0024630F"/>
    <w:rsid w:val="00246387"/>
    <w:rsid w:val="0024644E"/>
    <w:rsid w:val="00246467"/>
    <w:rsid w:val="00246500"/>
    <w:rsid w:val="00246514"/>
    <w:rsid w:val="00246526"/>
    <w:rsid w:val="00246747"/>
    <w:rsid w:val="002467DE"/>
    <w:rsid w:val="00246849"/>
    <w:rsid w:val="00246905"/>
    <w:rsid w:val="00246984"/>
    <w:rsid w:val="002469AE"/>
    <w:rsid w:val="002469C7"/>
    <w:rsid w:val="00246A14"/>
    <w:rsid w:val="00246A1D"/>
    <w:rsid w:val="00246AB1"/>
    <w:rsid w:val="00246ABE"/>
    <w:rsid w:val="00246B2F"/>
    <w:rsid w:val="00246BFF"/>
    <w:rsid w:val="00246C30"/>
    <w:rsid w:val="00246C3A"/>
    <w:rsid w:val="00246C64"/>
    <w:rsid w:val="00246CD9"/>
    <w:rsid w:val="00246D81"/>
    <w:rsid w:val="00246D96"/>
    <w:rsid w:val="00246E90"/>
    <w:rsid w:val="00246EC5"/>
    <w:rsid w:val="0024702C"/>
    <w:rsid w:val="00247082"/>
    <w:rsid w:val="002471BA"/>
    <w:rsid w:val="002471CE"/>
    <w:rsid w:val="002473CA"/>
    <w:rsid w:val="002474CC"/>
    <w:rsid w:val="002474CF"/>
    <w:rsid w:val="002474EB"/>
    <w:rsid w:val="0024764E"/>
    <w:rsid w:val="002476CA"/>
    <w:rsid w:val="00247721"/>
    <w:rsid w:val="00247736"/>
    <w:rsid w:val="00247821"/>
    <w:rsid w:val="002479F2"/>
    <w:rsid w:val="00247AF6"/>
    <w:rsid w:val="00247CC6"/>
    <w:rsid w:val="00247CEB"/>
    <w:rsid w:val="00247D09"/>
    <w:rsid w:val="00247D21"/>
    <w:rsid w:val="00247D32"/>
    <w:rsid w:val="00247D94"/>
    <w:rsid w:val="00247DE9"/>
    <w:rsid w:val="00247E93"/>
    <w:rsid w:val="00247EC9"/>
    <w:rsid w:val="00247F70"/>
    <w:rsid w:val="00247FAB"/>
    <w:rsid w:val="00250167"/>
    <w:rsid w:val="00250189"/>
    <w:rsid w:val="002501F7"/>
    <w:rsid w:val="0025026C"/>
    <w:rsid w:val="00250279"/>
    <w:rsid w:val="0025028B"/>
    <w:rsid w:val="002502A8"/>
    <w:rsid w:val="002503E4"/>
    <w:rsid w:val="002503E6"/>
    <w:rsid w:val="002504B9"/>
    <w:rsid w:val="0025053A"/>
    <w:rsid w:val="0025056E"/>
    <w:rsid w:val="00250650"/>
    <w:rsid w:val="00250659"/>
    <w:rsid w:val="00250696"/>
    <w:rsid w:val="00250713"/>
    <w:rsid w:val="002508B5"/>
    <w:rsid w:val="002509C9"/>
    <w:rsid w:val="00250A2F"/>
    <w:rsid w:val="00250A8E"/>
    <w:rsid w:val="00250B54"/>
    <w:rsid w:val="00250B62"/>
    <w:rsid w:val="00250C6B"/>
    <w:rsid w:val="00250DAE"/>
    <w:rsid w:val="00250E13"/>
    <w:rsid w:val="00250E2C"/>
    <w:rsid w:val="00250E71"/>
    <w:rsid w:val="00250F4A"/>
    <w:rsid w:val="002510FD"/>
    <w:rsid w:val="0025110B"/>
    <w:rsid w:val="00251156"/>
    <w:rsid w:val="002511B2"/>
    <w:rsid w:val="0025125F"/>
    <w:rsid w:val="002513D5"/>
    <w:rsid w:val="002513FB"/>
    <w:rsid w:val="0025144B"/>
    <w:rsid w:val="002514A7"/>
    <w:rsid w:val="002514B5"/>
    <w:rsid w:val="00251558"/>
    <w:rsid w:val="0025155E"/>
    <w:rsid w:val="00251734"/>
    <w:rsid w:val="0025174C"/>
    <w:rsid w:val="002517FF"/>
    <w:rsid w:val="00251869"/>
    <w:rsid w:val="0025188D"/>
    <w:rsid w:val="002518B8"/>
    <w:rsid w:val="002518E3"/>
    <w:rsid w:val="00251A30"/>
    <w:rsid w:val="00251A36"/>
    <w:rsid w:val="00251BAD"/>
    <w:rsid w:val="00251BC6"/>
    <w:rsid w:val="00251BDC"/>
    <w:rsid w:val="00251C41"/>
    <w:rsid w:val="00251CB9"/>
    <w:rsid w:val="00251CD2"/>
    <w:rsid w:val="00251CD8"/>
    <w:rsid w:val="00251CE6"/>
    <w:rsid w:val="00251D0F"/>
    <w:rsid w:val="00251D3F"/>
    <w:rsid w:val="00251DA8"/>
    <w:rsid w:val="00251DE2"/>
    <w:rsid w:val="00251E0F"/>
    <w:rsid w:val="00251EA8"/>
    <w:rsid w:val="00251EB1"/>
    <w:rsid w:val="00251EBB"/>
    <w:rsid w:val="00251EC0"/>
    <w:rsid w:val="00251F13"/>
    <w:rsid w:val="00251F3D"/>
    <w:rsid w:val="00251FF2"/>
    <w:rsid w:val="00252084"/>
    <w:rsid w:val="002520A4"/>
    <w:rsid w:val="002520F5"/>
    <w:rsid w:val="00252150"/>
    <w:rsid w:val="002521AD"/>
    <w:rsid w:val="00252217"/>
    <w:rsid w:val="00252262"/>
    <w:rsid w:val="00252279"/>
    <w:rsid w:val="002522C1"/>
    <w:rsid w:val="00252326"/>
    <w:rsid w:val="00252349"/>
    <w:rsid w:val="002523AF"/>
    <w:rsid w:val="002523E4"/>
    <w:rsid w:val="002524F0"/>
    <w:rsid w:val="002524FD"/>
    <w:rsid w:val="0025251E"/>
    <w:rsid w:val="0025263E"/>
    <w:rsid w:val="002526B4"/>
    <w:rsid w:val="002526DE"/>
    <w:rsid w:val="00252847"/>
    <w:rsid w:val="0025291F"/>
    <w:rsid w:val="00252991"/>
    <w:rsid w:val="00252A3B"/>
    <w:rsid w:val="00252A6A"/>
    <w:rsid w:val="00252AA4"/>
    <w:rsid w:val="00252BAF"/>
    <w:rsid w:val="00252BF7"/>
    <w:rsid w:val="00252D32"/>
    <w:rsid w:val="00252D4D"/>
    <w:rsid w:val="00252E37"/>
    <w:rsid w:val="00252F6F"/>
    <w:rsid w:val="00252FC2"/>
    <w:rsid w:val="00253289"/>
    <w:rsid w:val="00253316"/>
    <w:rsid w:val="00253357"/>
    <w:rsid w:val="002533F3"/>
    <w:rsid w:val="00253546"/>
    <w:rsid w:val="00253625"/>
    <w:rsid w:val="0025363A"/>
    <w:rsid w:val="00253700"/>
    <w:rsid w:val="00253735"/>
    <w:rsid w:val="00253994"/>
    <w:rsid w:val="00253A94"/>
    <w:rsid w:val="00253AD6"/>
    <w:rsid w:val="00253AF4"/>
    <w:rsid w:val="00253B43"/>
    <w:rsid w:val="00253C04"/>
    <w:rsid w:val="00253C6C"/>
    <w:rsid w:val="00253D7B"/>
    <w:rsid w:val="00253F15"/>
    <w:rsid w:val="00253FB3"/>
    <w:rsid w:val="00253FF0"/>
    <w:rsid w:val="002541A5"/>
    <w:rsid w:val="00254210"/>
    <w:rsid w:val="0025432F"/>
    <w:rsid w:val="0025435B"/>
    <w:rsid w:val="002543F7"/>
    <w:rsid w:val="002544BE"/>
    <w:rsid w:val="00254511"/>
    <w:rsid w:val="00254610"/>
    <w:rsid w:val="00254637"/>
    <w:rsid w:val="002547AC"/>
    <w:rsid w:val="0025482E"/>
    <w:rsid w:val="002548C5"/>
    <w:rsid w:val="0025494B"/>
    <w:rsid w:val="002549BB"/>
    <w:rsid w:val="00254A38"/>
    <w:rsid w:val="00254A76"/>
    <w:rsid w:val="00254ACE"/>
    <w:rsid w:val="00254C94"/>
    <w:rsid w:val="00254CC2"/>
    <w:rsid w:val="00254DDB"/>
    <w:rsid w:val="00254DF5"/>
    <w:rsid w:val="00254E6E"/>
    <w:rsid w:val="00254F78"/>
    <w:rsid w:val="00254F84"/>
    <w:rsid w:val="00254FFC"/>
    <w:rsid w:val="0025508E"/>
    <w:rsid w:val="00255171"/>
    <w:rsid w:val="002551FA"/>
    <w:rsid w:val="00255250"/>
    <w:rsid w:val="00255259"/>
    <w:rsid w:val="002553A0"/>
    <w:rsid w:val="002553E2"/>
    <w:rsid w:val="0025551B"/>
    <w:rsid w:val="0025552C"/>
    <w:rsid w:val="00255552"/>
    <w:rsid w:val="00255656"/>
    <w:rsid w:val="00255717"/>
    <w:rsid w:val="00255866"/>
    <w:rsid w:val="002558B9"/>
    <w:rsid w:val="00255930"/>
    <w:rsid w:val="0025597C"/>
    <w:rsid w:val="00255A10"/>
    <w:rsid w:val="00255B17"/>
    <w:rsid w:val="00255B41"/>
    <w:rsid w:val="00255BE0"/>
    <w:rsid w:val="00255CE0"/>
    <w:rsid w:val="00255D07"/>
    <w:rsid w:val="00255DA5"/>
    <w:rsid w:val="00255EBF"/>
    <w:rsid w:val="00255EE7"/>
    <w:rsid w:val="00255EF7"/>
    <w:rsid w:val="00255F18"/>
    <w:rsid w:val="00255FC0"/>
    <w:rsid w:val="002560BB"/>
    <w:rsid w:val="002561C2"/>
    <w:rsid w:val="002561F4"/>
    <w:rsid w:val="00256240"/>
    <w:rsid w:val="0025624C"/>
    <w:rsid w:val="0025633B"/>
    <w:rsid w:val="00256417"/>
    <w:rsid w:val="0025650A"/>
    <w:rsid w:val="00256526"/>
    <w:rsid w:val="00256580"/>
    <w:rsid w:val="002565BF"/>
    <w:rsid w:val="00256820"/>
    <w:rsid w:val="002568A5"/>
    <w:rsid w:val="002568FB"/>
    <w:rsid w:val="002569E0"/>
    <w:rsid w:val="00256A92"/>
    <w:rsid w:val="00256A99"/>
    <w:rsid w:val="00256BC6"/>
    <w:rsid w:val="00256E57"/>
    <w:rsid w:val="00256FF1"/>
    <w:rsid w:val="0025705C"/>
    <w:rsid w:val="00257107"/>
    <w:rsid w:val="00257189"/>
    <w:rsid w:val="002571A6"/>
    <w:rsid w:val="002571D9"/>
    <w:rsid w:val="00257233"/>
    <w:rsid w:val="002572B5"/>
    <w:rsid w:val="00257424"/>
    <w:rsid w:val="002574C2"/>
    <w:rsid w:val="00257645"/>
    <w:rsid w:val="0025768A"/>
    <w:rsid w:val="00257994"/>
    <w:rsid w:val="00257A14"/>
    <w:rsid w:val="00257A3C"/>
    <w:rsid w:val="00257A8C"/>
    <w:rsid w:val="00257CEB"/>
    <w:rsid w:val="00257CFC"/>
    <w:rsid w:val="00257D0D"/>
    <w:rsid w:val="00257D54"/>
    <w:rsid w:val="00257ECD"/>
    <w:rsid w:val="00257F18"/>
    <w:rsid w:val="00257FD6"/>
    <w:rsid w:val="00260101"/>
    <w:rsid w:val="002601A0"/>
    <w:rsid w:val="00260265"/>
    <w:rsid w:val="002602E0"/>
    <w:rsid w:val="0026036D"/>
    <w:rsid w:val="00260432"/>
    <w:rsid w:val="002604E3"/>
    <w:rsid w:val="00260531"/>
    <w:rsid w:val="00260560"/>
    <w:rsid w:val="00260576"/>
    <w:rsid w:val="0026068B"/>
    <w:rsid w:val="00260694"/>
    <w:rsid w:val="002608AE"/>
    <w:rsid w:val="0026091B"/>
    <w:rsid w:val="00260A57"/>
    <w:rsid w:val="00260AA1"/>
    <w:rsid w:val="00260AAE"/>
    <w:rsid w:val="00260AB9"/>
    <w:rsid w:val="00260AD7"/>
    <w:rsid w:val="00260C1A"/>
    <w:rsid w:val="00260C4F"/>
    <w:rsid w:val="00260CEA"/>
    <w:rsid w:val="00260D0D"/>
    <w:rsid w:val="00260D2D"/>
    <w:rsid w:val="00260DA1"/>
    <w:rsid w:val="00260E97"/>
    <w:rsid w:val="00260F5E"/>
    <w:rsid w:val="00260F89"/>
    <w:rsid w:val="002610A5"/>
    <w:rsid w:val="002610F1"/>
    <w:rsid w:val="002611EC"/>
    <w:rsid w:val="0026128E"/>
    <w:rsid w:val="00261532"/>
    <w:rsid w:val="002615F7"/>
    <w:rsid w:val="00261768"/>
    <w:rsid w:val="00261780"/>
    <w:rsid w:val="00261A85"/>
    <w:rsid w:val="00261A94"/>
    <w:rsid w:val="00261ACC"/>
    <w:rsid w:val="00261BB2"/>
    <w:rsid w:val="00261D10"/>
    <w:rsid w:val="00261D50"/>
    <w:rsid w:val="00261E44"/>
    <w:rsid w:val="00261EAA"/>
    <w:rsid w:val="00262031"/>
    <w:rsid w:val="00262048"/>
    <w:rsid w:val="002620B6"/>
    <w:rsid w:val="00262162"/>
    <w:rsid w:val="00262169"/>
    <w:rsid w:val="002621E6"/>
    <w:rsid w:val="002621F1"/>
    <w:rsid w:val="0026221C"/>
    <w:rsid w:val="0026223E"/>
    <w:rsid w:val="002622EF"/>
    <w:rsid w:val="002623D6"/>
    <w:rsid w:val="002623F7"/>
    <w:rsid w:val="00262445"/>
    <w:rsid w:val="0026251D"/>
    <w:rsid w:val="0026258B"/>
    <w:rsid w:val="0026265F"/>
    <w:rsid w:val="002627CF"/>
    <w:rsid w:val="0026288D"/>
    <w:rsid w:val="002629F3"/>
    <w:rsid w:val="00262A0B"/>
    <w:rsid w:val="00262A19"/>
    <w:rsid w:val="00262AA9"/>
    <w:rsid w:val="00262AFB"/>
    <w:rsid w:val="00262B02"/>
    <w:rsid w:val="00262B19"/>
    <w:rsid w:val="00262B1B"/>
    <w:rsid w:val="00262B24"/>
    <w:rsid w:val="00262B43"/>
    <w:rsid w:val="00262C37"/>
    <w:rsid w:val="00262D1D"/>
    <w:rsid w:val="00262DD9"/>
    <w:rsid w:val="00262E1F"/>
    <w:rsid w:val="00262EA7"/>
    <w:rsid w:val="00262EA8"/>
    <w:rsid w:val="00262EAE"/>
    <w:rsid w:val="00262F25"/>
    <w:rsid w:val="00262FED"/>
    <w:rsid w:val="00263056"/>
    <w:rsid w:val="00263094"/>
    <w:rsid w:val="0026312A"/>
    <w:rsid w:val="00263160"/>
    <w:rsid w:val="002631DA"/>
    <w:rsid w:val="00263236"/>
    <w:rsid w:val="00263240"/>
    <w:rsid w:val="002632F9"/>
    <w:rsid w:val="00263396"/>
    <w:rsid w:val="002633C0"/>
    <w:rsid w:val="002633D3"/>
    <w:rsid w:val="002633E4"/>
    <w:rsid w:val="0026346D"/>
    <w:rsid w:val="00263508"/>
    <w:rsid w:val="0026352C"/>
    <w:rsid w:val="002635B0"/>
    <w:rsid w:val="002635DB"/>
    <w:rsid w:val="002636DF"/>
    <w:rsid w:val="00263754"/>
    <w:rsid w:val="002637FA"/>
    <w:rsid w:val="00263866"/>
    <w:rsid w:val="002638EA"/>
    <w:rsid w:val="00263958"/>
    <w:rsid w:val="00263A20"/>
    <w:rsid w:val="00263A5F"/>
    <w:rsid w:val="00263A86"/>
    <w:rsid w:val="00263A97"/>
    <w:rsid w:val="00263AE8"/>
    <w:rsid w:val="00263B38"/>
    <w:rsid w:val="00263C20"/>
    <w:rsid w:val="00263C5E"/>
    <w:rsid w:val="00263C83"/>
    <w:rsid w:val="00263D33"/>
    <w:rsid w:val="00263DD6"/>
    <w:rsid w:val="00263E3F"/>
    <w:rsid w:val="00263E86"/>
    <w:rsid w:val="00263E8B"/>
    <w:rsid w:val="00263EEF"/>
    <w:rsid w:val="00263F96"/>
    <w:rsid w:val="00263F9F"/>
    <w:rsid w:val="0026401C"/>
    <w:rsid w:val="00264059"/>
    <w:rsid w:val="0026412D"/>
    <w:rsid w:val="002641B7"/>
    <w:rsid w:val="00264216"/>
    <w:rsid w:val="0026429A"/>
    <w:rsid w:val="002644FB"/>
    <w:rsid w:val="00264703"/>
    <w:rsid w:val="00264713"/>
    <w:rsid w:val="0026474D"/>
    <w:rsid w:val="00264865"/>
    <w:rsid w:val="0026486D"/>
    <w:rsid w:val="002648C8"/>
    <w:rsid w:val="002648F0"/>
    <w:rsid w:val="002649B2"/>
    <w:rsid w:val="002649C0"/>
    <w:rsid w:val="00264AE6"/>
    <w:rsid w:val="00264B98"/>
    <w:rsid w:val="00264C02"/>
    <w:rsid w:val="00264C5B"/>
    <w:rsid w:val="00264C8C"/>
    <w:rsid w:val="00264D2C"/>
    <w:rsid w:val="00264DC3"/>
    <w:rsid w:val="00264DD2"/>
    <w:rsid w:val="00264E03"/>
    <w:rsid w:val="00264E33"/>
    <w:rsid w:val="00264E4F"/>
    <w:rsid w:val="00264EDD"/>
    <w:rsid w:val="00264F1D"/>
    <w:rsid w:val="00264FE1"/>
    <w:rsid w:val="00264FE8"/>
    <w:rsid w:val="0026502A"/>
    <w:rsid w:val="00265039"/>
    <w:rsid w:val="0026505E"/>
    <w:rsid w:val="002650BB"/>
    <w:rsid w:val="002651C9"/>
    <w:rsid w:val="0026535A"/>
    <w:rsid w:val="002653A9"/>
    <w:rsid w:val="002653D0"/>
    <w:rsid w:val="0026540E"/>
    <w:rsid w:val="00265430"/>
    <w:rsid w:val="002656FD"/>
    <w:rsid w:val="00265720"/>
    <w:rsid w:val="002657C1"/>
    <w:rsid w:val="0026581F"/>
    <w:rsid w:val="0026588C"/>
    <w:rsid w:val="002658F5"/>
    <w:rsid w:val="00265920"/>
    <w:rsid w:val="002659E3"/>
    <w:rsid w:val="00265A96"/>
    <w:rsid w:val="00265BBF"/>
    <w:rsid w:val="00265C7F"/>
    <w:rsid w:val="00265CA9"/>
    <w:rsid w:val="00265D6D"/>
    <w:rsid w:val="00265DE4"/>
    <w:rsid w:val="00265E6F"/>
    <w:rsid w:val="00265F08"/>
    <w:rsid w:val="002661FA"/>
    <w:rsid w:val="00266271"/>
    <w:rsid w:val="0026627B"/>
    <w:rsid w:val="002662A6"/>
    <w:rsid w:val="002662DE"/>
    <w:rsid w:val="0026632F"/>
    <w:rsid w:val="0026639C"/>
    <w:rsid w:val="002663FF"/>
    <w:rsid w:val="00266403"/>
    <w:rsid w:val="00266436"/>
    <w:rsid w:val="0026650C"/>
    <w:rsid w:val="00266536"/>
    <w:rsid w:val="002666DB"/>
    <w:rsid w:val="00266712"/>
    <w:rsid w:val="0026677D"/>
    <w:rsid w:val="002667F6"/>
    <w:rsid w:val="002667F9"/>
    <w:rsid w:val="00266854"/>
    <w:rsid w:val="002668C4"/>
    <w:rsid w:val="00266AF7"/>
    <w:rsid w:val="00266B96"/>
    <w:rsid w:val="00266D20"/>
    <w:rsid w:val="00266DB0"/>
    <w:rsid w:val="00266F01"/>
    <w:rsid w:val="00266F2E"/>
    <w:rsid w:val="00266F5E"/>
    <w:rsid w:val="00267198"/>
    <w:rsid w:val="002671D6"/>
    <w:rsid w:val="002672A1"/>
    <w:rsid w:val="002672ED"/>
    <w:rsid w:val="00267488"/>
    <w:rsid w:val="002675E2"/>
    <w:rsid w:val="0026763C"/>
    <w:rsid w:val="00267664"/>
    <w:rsid w:val="002676B4"/>
    <w:rsid w:val="002679B7"/>
    <w:rsid w:val="00267BEC"/>
    <w:rsid w:val="00267C90"/>
    <w:rsid w:val="00267DA3"/>
    <w:rsid w:val="00267DDB"/>
    <w:rsid w:val="00267DED"/>
    <w:rsid w:val="00267E15"/>
    <w:rsid w:val="00267FCA"/>
    <w:rsid w:val="002700A9"/>
    <w:rsid w:val="00270120"/>
    <w:rsid w:val="002702E5"/>
    <w:rsid w:val="002702F9"/>
    <w:rsid w:val="002703C6"/>
    <w:rsid w:val="002703C7"/>
    <w:rsid w:val="00270427"/>
    <w:rsid w:val="0027047B"/>
    <w:rsid w:val="002705CA"/>
    <w:rsid w:val="002706AE"/>
    <w:rsid w:val="0027077E"/>
    <w:rsid w:val="0027094D"/>
    <w:rsid w:val="002709D7"/>
    <w:rsid w:val="00270A85"/>
    <w:rsid w:val="00270BCA"/>
    <w:rsid w:val="00270C0B"/>
    <w:rsid w:val="00270C20"/>
    <w:rsid w:val="00270CD8"/>
    <w:rsid w:val="00270D97"/>
    <w:rsid w:val="00270DA1"/>
    <w:rsid w:val="00270DD8"/>
    <w:rsid w:val="00270E24"/>
    <w:rsid w:val="00270E35"/>
    <w:rsid w:val="00270FB9"/>
    <w:rsid w:val="00270FFE"/>
    <w:rsid w:val="002710B1"/>
    <w:rsid w:val="0027112C"/>
    <w:rsid w:val="002712CB"/>
    <w:rsid w:val="0027136F"/>
    <w:rsid w:val="002713BC"/>
    <w:rsid w:val="00271405"/>
    <w:rsid w:val="00271504"/>
    <w:rsid w:val="00271532"/>
    <w:rsid w:val="002715B3"/>
    <w:rsid w:val="002715CA"/>
    <w:rsid w:val="00271620"/>
    <w:rsid w:val="00271641"/>
    <w:rsid w:val="00271655"/>
    <w:rsid w:val="0027168B"/>
    <w:rsid w:val="0027177E"/>
    <w:rsid w:val="00271794"/>
    <w:rsid w:val="0027188B"/>
    <w:rsid w:val="00271901"/>
    <w:rsid w:val="00271935"/>
    <w:rsid w:val="00271944"/>
    <w:rsid w:val="00271948"/>
    <w:rsid w:val="0027198F"/>
    <w:rsid w:val="00271ACE"/>
    <w:rsid w:val="00271B4C"/>
    <w:rsid w:val="00271B6B"/>
    <w:rsid w:val="00271BF1"/>
    <w:rsid w:val="00271C93"/>
    <w:rsid w:val="00271CB1"/>
    <w:rsid w:val="00271CC3"/>
    <w:rsid w:val="00271CFB"/>
    <w:rsid w:val="00271D4E"/>
    <w:rsid w:val="00271D75"/>
    <w:rsid w:val="00271DA7"/>
    <w:rsid w:val="00271EF5"/>
    <w:rsid w:val="00271F40"/>
    <w:rsid w:val="00271F5D"/>
    <w:rsid w:val="00272177"/>
    <w:rsid w:val="002721AC"/>
    <w:rsid w:val="0027221F"/>
    <w:rsid w:val="00272237"/>
    <w:rsid w:val="002722C1"/>
    <w:rsid w:val="002724D9"/>
    <w:rsid w:val="0027250D"/>
    <w:rsid w:val="00272616"/>
    <w:rsid w:val="00272633"/>
    <w:rsid w:val="00272728"/>
    <w:rsid w:val="00272807"/>
    <w:rsid w:val="00272867"/>
    <w:rsid w:val="002728A0"/>
    <w:rsid w:val="00272920"/>
    <w:rsid w:val="002729BB"/>
    <w:rsid w:val="002729BC"/>
    <w:rsid w:val="00272A1F"/>
    <w:rsid w:val="00272B29"/>
    <w:rsid w:val="00272B64"/>
    <w:rsid w:val="00272BDE"/>
    <w:rsid w:val="00272BE9"/>
    <w:rsid w:val="00272BF7"/>
    <w:rsid w:val="00272C82"/>
    <w:rsid w:val="00272CA0"/>
    <w:rsid w:val="00272DBF"/>
    <w:rsid w:val="00272DD2"/>
    <w:rsid w:val="00272E86"/>
    <w:rsid w:val="00272F90"/>
    <w:rsid w:val="00272FC4"/>
    <w:rsid w:val="00273038"/>
    <w:rsid w:val="002731C4"/>
    <w:rsid w:val="00273206"/>
    <w:rsid w:val="00273229"/>
    <w:rsid w:val="00273253"/>
    <w:rsid w:val="00273324"/>
    <w:rsid w:val="0027332F"/>
    <w:rsid w:val="0027337E"/>
    <w:rsid w:val="00273389"/>
    <w:rsid w:val="002733F3"/>
    <w:rsid w:val="00273429"/>
    <w:rsid w:val="00273503"/>
    <w:rsid w:val="002735F7"/>
    <w:rsid w:val="00273621"/>
    <w:rsid w:val="00273694"/>
    <w:rsid w:val="00273870"/>
    <w:rsid w:val="002739BE"/>
    <w:rsid w:val="00273A40"/>
    <w:rsid w:val="00273A87"/>
    <w:rsid w:val="00273B22"/>
    <w:rsid w:val="00273BB7"/>
    <w:rsid w:val="00273D2F"/>
    <w:rsid w:val="00273D4B"/>
    <w:rsid w:val="00273D5A"/>
    <w:rsid w:val="00273D66"/>
    <w:rsid w:val="00273E78"/>
    <w:rsid w:val="00273E99"/>
    <w:rsid w:val="00273F38"/>
    <w:rsid w:val="0027404C"/>
    <w:rsid w:val="00274061"/>
    <w:rsid w:val="00274138"/>
    <w:rsid w:val="00274199"/>
    <w:rsid w:val="002741B3"/>
    <w:rsid w:val="00274264"/>
    <w:rsid w:val="002743DC"/>
    <w:rsid w:val="0027442E"/>
    <w:rsid w:val="002744C4"/>
    <w:rsid w:val="002744C7"/>
    <w:rsid w:val="002744E1"/>
    <w:rsid w:val="0027453A"/>
    <w:rsid w:val="0027466F"/>
    <w:rsid w:val="00274844"/>
    <w:rsid w:val="00274866"/>
    <w:rsid w:val="002748C9"/>
    <w:rsid w:val="00274A5A"/>
    <w:rsid w:val="00274A80"/>
    <w:rsid w:val="00274C59"/>
    <w:rsid w:val="00274CBD"/>
    <w:rsid w:val="00274D44"/>
    <w:rsid w:val="00274D58"/>
    <w:rsid w:val="00274DA1"/>
    <w:rsid w:val="00274F52"/>
    <w:rsid w:val="00274F66"/>
    <w:rsid w:val="00274FC9"/>
    <w:rsid w:val="00274FF6"/>
    <w:rsid w:val="0027506B"/>
    <w:rsid w:val="0027506F"/>
    <w:rsid w:val="00275206"/>
    <w:rsid w:val="0027521E"/>
    <w:rsid w:val="00275391"/>
    <w:rsid w:val="0027539C"/>
    <w:rsid w:val="00275478"/>
    <w:rsid w:val="00275504"/>
    <w:rsid w:val="0027550D"/>
    <w:rsid w:val="002756A7"/>
    <w:rsid w:val="0027582C"/>
    <w:rsid w:val="00275832"/>
    <w:rsid w:val="00275844"/>
    <w:rsid w:val="00275881"/>
    <w:rsid w:val="00275944"/>
    <w:rsid w:val="0027598A"/>
    <w:rsid w:val="00275992"/>
    <w:rsid w:val="002759DE"/>
    <w:rsid w:val="00275B5A"/>
    <w:rsid w:val="00275C18"/>
    <w:rsid w:val="00275D18"/>
    <w:rsid w:val="00275EAB"/>
    <w:rsid w:val="00275FE9"/>
    <w:rsid w:val="00275FF2"/>
    <w:rsid w:val="00276088"/>
    <w:rsid w:val="0027617C"/>
    <w:rsid w:val="002761C6"/>
    <w:rsid w:val="00276228"/>
    <w:rsid w:val="0027632E"/>
    <w:rsid w:val="00276382"/>
    <w:rsid w:val="002763B5"/>
    <w:rsid w:val="00276497"/>
    <w:rsid w:val="002764A3"/>
    <w:rsid w:val="00276567"/>
    <w:rsid w:val="002765A4"/>
    <w:rsid w:val="00276744"/>
    <w:rsid w:val="00276780"/>
    <w:rsid w:val="00276858"/>
    <w:rsid w:val="002769A5"/>
    <w:rsid w:val="002769B1"/>
    <w:rsid w:val="00276A96"/>
    <w:rsid w:val="00276B30"/>
    <w:rsid w:val="00276BA0"/>
    <w:rsid w:val="00276C1C"/>
    <w:rsid w:val="00276C5F"/>
    <w:rsid w:val="00276CE1"/>
    <w:rsid w:val="00276DCC"/>
    <w:rsid w:val="00276E0F"/>
    <w:rsid w:val="00276E69"/>
    <w:rsid w:val="00276E75"/>
    <w:rsid w:val="00276FC5"/>
    <w:rsid w:val="0027702F"/>
    <w:rsid w:val="0027710F"/>
    <w:rsid w:val="002771A0"/>
    <w:rsid w:val="00277231"/>
    <w:rsid w:val="00277273"/>
    <w:rsid w:val="002772B5"/>
    <w:rsid w:val="002773D8"/>
    <w:rsid w:val="00277500"/>
    <w:rsid w:val="0027762E"/>
    <w:rsid w:val="00277657"/>
    <w:rsid w:val="00277678"/>
    <w:rsid w:val="002776FC"/>
    <w:rsid w:val="002777C5"/>
    <w:rsid w:val="002777C6"/>
    <w:rsid w:val="002777F7"/>
    <w:rsid w:val="00277839"/>
    <w:rsid w:val="0027784F"/>
    <w:rsid w:val="002778F2"/>
    <w:rsid w:val="0027793B"/>
    <w:rsid w:val="002779C8"/>
    <w:rsid w:val="002779EA"/>
    <w:rsid w:val="002779F8"/>
    <w:rsid w:val="00277A05"/>
    <w:rsid w:val="00277B0D"/>
    <w:rsid w:val="00277B76"/>
    <w:rsid w:val="00277BC1"/>
    <w:rsid w:val="00277BD9"/>
    <w:rsid w:val="00277C54"/>
    <w:rsid w:val="00277E6A"/>
    <w:rsid w:val="00277E6E"/>
    <w:rsid w:val="00277E99"/>
    <w:rsid w:val="00277EBE"/>
    <w:rsid w:val="00277F9A"/>
    <w:rsid w:val="00280042"/>
    <w:rsid w:val="0028010C"/>
    <w:rsid w:val="002801B0"/>
    <w:rsid w:val="002801B1"/>
    <w:rsid w:val="002801C9"/>
    <w:rsid w:val="002801EA"/>
    <w:rsid w:val="00280378"/>
    <w:rsid w:val="002803C2"/>
    <w:rsid w:val="002803F8"/>
    <w:rsid w:val="002804A4"/>
    <w:rsid w:val="002804EE"/>
    <w:rsid w:val="00280563"/>
    <w:rsid w:val="00280604"/>
    <w:rsid w:val="00280615"/>
    <w:rsid w:val="00280644"/>
    <w:rsid w:val="002806B0"/>
    <w:rsid w:val="00280730"/>
    <w:rsid w:val="00280769"/>
    <w:rsid w:val="00280933"/>
    <w:rsid w:val="002809C8"/>
    <w:rsid w:val="002809CE"/>
    <w:rsid w:val="002809F4"/>
    <w:rsid w:val="00280AC1"/>
    <w:rsid w:val="00280B43"/>
    <w:rsid w:val="00280B4D"/>
    <w:rsid w:val="00280B8E"/>
    <w:rsid w:val="00280C2E"/>
    <w:rsid w:val="00280C8C"/>
    <w:rsid w:val="00280CE5"/>
    <w:rsid w:val="00280D56"/>
    <w:rsid w:val="00280D90"/>
    <w:rsid w:val="00280DA7"/>
    <w:rsid w:val="00280DAE"/>
    <w:rsid w:val="00280E81"/>
    <w:rsid w:val="00280FC2"/>
    <w:rsid w:val="00280FF5"/>
    <w:rsid w:val="002810FA"/>
    <w:rsid w:val="0028122C"/>
    <w:rsid w:val="00281368"/>
    <w:rsid w:val="00281484"/>
    <w:rsid w:val="00281578"/>
    <w:rsid w:val="002815C7"/>
    <w:rsid w:val="002815F9"/>
    <w:rsid w:val="00281621"/>
    <w:rsid w:val="0028162B"/>
    <w:rsid w:val="00281630"/>
    <w:rsid w:val="00281638"/>
    <w:rsid w:val="002817A0"/>
    <w:rsid w:val="002817C0"/>
    <w:rsid w:val="002817DB"/>
    <w:rsid w:val="00281839"/>
    <w:rsid w:val="00281A22"/>
    <w:rsid w:val="00281A59"/>
    <w:rsid w:val="00281A75"/>
    <w:rsid w:val="00281B08"/>
    <w:rsid w:val="00281C0B"/>
    <w:rsid w:val="00281C0C"/>
    <w:rsid w:val="00281C88"/>
    <w:rsid w:val="00281CB9"/>
    <w:rsid w:val="00281D12"/>
    <w:rsid w:val="00281D4B"/>
    <w:rsid w:val="00281D4D"/>
    <w:rsid w:val="00281F31"/>
    <w:rsid w:val="00281F76"/>
    <w:rsid w:val="00281FB8"/>
    <w:rsid w:val="00281FDD"/>
    <w:rsid w:val="00282126"/>
    <w:rsid w:val="0028216F"/>
    <w:rsid w:val="0028219C"/>
    <w:rsid w:val="002821A3"/>
    <w:rsid w:val="002821AD"/>
    <w:rsid w:val="002821BF"/>
    <w:rsid w:val="0028230A"/>
    <w:rsid w:val="0028231A"/>
    <w:rsid w:val="0028231D"/>
    <w:rsid w:val="00282320"/>
    <w:rsid w:val="0028234D"/>
    <w:rsid w:val="002824D9"/>
    <w:rsid w:val="0028298D"/>
    <w:rsid w:val="002829E2"/>
    <w:rsid w:val="00282A1F"/>
    <w:rsid w:val="00282AB3"/>
    <w:rsid w:val="00282AE0"/>
    <w:rsid w:val="00282AE1"/>
    <w:rsid w:val="00282AFA"/>
    <w:rsid w:val="00282B55"/>
    <w:rsid w:val="00282CEB"/>
    <w:rsid w:val="00282E04"/>
    <w:rsid w:val="00282E56"/>
    <w:rsid w:val="00282F52"/>
    <w:rsid w:val="00282F6E"/>
    <w:rsid w:val="00282F89"/>
    <w:rsid w:val="00283003"/>
    <w:rsid w:val="00283008"/>
    <w:rsid w:val="00283052"/>
    <w:rsid w:val="002831A1"/>
    <w:rsid w:val="0028325A"/>
    <w:rsid w:val="00283269"/>
    <w:rsid w:val="002832D0"/>
    <w:rsid w:val="00283481"/>
    <w:rsid w:val="002834A3"/>
    <w:rsid w:val="002834DE"/>
    <w:rsid w:val="00283584"/>
    <w:rsid w:val="00283816"/>
    <w:rsid w:val="00283820"/>
    <w:rsid w:val="0028386B"/>
    <w:rsid w:val="0028392E"/>
    <w:rsid w:val="002839A1"/>
    <w:rsid w:val="00283A0D"/>
    <w:rsid w:val="00283A13"/>
    <w:rsid w:val="00283C2D"/>
    <w:rsid w:val="00283CD3"/>
    <w:rsid w:val="00283D58"/>
    <w:rsid w:val="00283DA6"/>
    <w:rsid w:val="00283DBC"/>
    <w:rsid w:val="0028412B"/>
    <w:rsid w:val="00284179"/>
    <w:rsid w:val="002843E7"/>
    <w:rsid w:val="00284408"/>
    <w:rsid w:val="0028444D"/>
    <w:rsid w:val="00284455"/>
    <w:rsid w:val="002844BF"/>
    <w:rsid w:val="002844F9"/>
    <w:rsid w:val="002845C8"/>
    <w:rsid w:val="0028462F"/>
    <w:rsid w:val="00284777"/>
    <w:rsid w:val="0028479F"/>
    <w:rsid w:val="00284AC0"/>
    <w:rsid w:val="00284C15"/>
    <w:rsid w:val="00284C22"/>
    <w:rsid w:val="00284C77"/>
    <w:rsid w:val="00284CD0"/>
    <w:rsid w:val="00284E7A"/>
    <w:rsid w:val="00285045"/>
    <w:rsid w:val="0028519C"/>
    <w:rsid w:val="002851F0"/>
    <w:rsid w:val="00285292"/>
    <w:rsid w:val="002852FE"/>
    <w:rsid w:val="00285340"/>
    <w:rsid w:val="0028538E"/>
    <w:rsid w:val="00285499"/>
    <w:rsid w:val="002854F5"/>
    <w:rsid w:val="002854FB"/>
    <w:rsid w:val="002857C3"/>
    <w:rsid w:val="002857CF"/>
    <w:rsid w:val="002859AF"/>
    <w:rsid w:val="002859C6"/>
    <w:rsid w:val="00285A85"/>
    <w:rsid w:val="00285C48"/>
    <w:rsid w:val="00285DA4"/>
    <w:rsid w:val="00285DAB"/>
    <w:rsid w:val="00285DCD"/>
    <w:rsid w:val="00285FA1"/>
    <w:rsid w:val="00285FCE"/>
    <w:rsid w:val="00286038"/>
    <w:rsid w:val="00286067"/>
    <w:rsid w:val="00286198"/>
    <w:rsid w:val="0028623D"/>
    <w:rsid w:val="00286337"/>
    <w:rsid w:val="002864A4"/>
    <w:rsid w:val="00286770"/>
    <w:rsid w:val="00286791"/>
    <w:rsid w:val="002867BA"/>
    <w:rsid w:val="002868D3"/>
    <w:rsid w:val="002868E1"/>
    <w:rsid w:val="002868EA"/>
    <w:rsid w:val="002868EB"/>
    <w:rsid w:val="002869F9"/>
    <w:rsid w:val="00286A01"/>
    <w:rsid w:val="00286C16"/>
    <w:rsid w:val="00286C5D"/>
    <w:rsid w:val="00286CD1"/>
    <w:rsid w:val="00286CD8"/>
    <w:rsid w:val="00286CDA"/>
    <w:rsid w:val="00286DD8"/>
    <w:rsid w:val="00286E8A"/>
    <w:rsid w:val="00286F17"/>
    <w:rsid w:val="00286F6C"/>
    <w:rsid w:val="00286F8A"/>
    <w:rsid w:val="002870CA"/>
    <w:rsid w:val="002870F0"/>
    <w:rsid w:val="002871BB"/>
    <w:rsid w:val="00287206"/>
    <w:rsid w:val="00287255"/>
    <w:rsid w:val="00287268"/>
    <w:rsid w:val="00287288"/>
    <w:rsid w:val="002872CB"/>
    <w:rsid w:val="002872FD"/>
    <w:rsid w:val="00287347"/>
    <w:rsid w:val="00287354"/>
    <w:rsid w:val="0028736F"/>
    <w:rsid w:val="0028748F"/>
    <w:rsid w:val="002874A7"/>
    <w:rsid w:val="00287560"/>
    <w:rsid w:val="0028757F"/>
    <w:rsid w:val="002875E0"/>
    <w:rsid w:val="002875E9"/>
    <w:rsid w:val="002875EE"/>
    <w:rsid w:val="0028762B"/>
    <w:rsid w:val="0028768F"/>
    <w:rsid w:val="002876E6"/>
    <w:rsid w:val="00287744"/>
    <w:rsid w:val="002877F6"/>
    <w:rsid w:val="00287A55"/>
    <w:rsid w:val="00287A6C"/>
    <w:rsid w:val="00287BC0"/>
    <w:rsid w:val="00287BDD"/>
    <w:rsid w:val="00287C0F"/>
    <w:rsid w:val="00287C4D"/>
    <w:rsid w:val="00287CBE"/>
    <w:rsid w:val="00287CC0"/>
    <w:rsid w:val="00287D55"/>
    <w:rsid w:val="00287D6A"/>
    <w:rsid w:val="00287D8C"/>
    <w:rsid w:val="00287DF4"/>
    <w:rsid w:val="00287FFC"/>
    <w:rsid w:val="00290008"/>
    <w:rsid w:val="002900D6"/>
    <w:rsid w:val="00290107"/>
    <w:rsid w:val="00290132"/>
    <w:rsid w:val="002901AF"/>
    <w:rsid w:val="002901E3"/>
    <w:rsid w:val="002901F5"/>
    <w:rsid w:val="00290248"/>
    <w:rsid w:val="00290289"/>
    <w:rsid w:val="002902EE"/>
    <w:rsid w:val="00290323"/>
    <w:rsid w:val="002903EE"/>
    <w:rsid w:val="002903FA"/>
    <w:rsid w:val="00290420"/>
    <w:rsid w:val="00290458"/>
    <w:rsid w:val="0029053D"/>
    <w:rsid w:val="00290558"/>
    <w:rsid w:val="00290604"/>
    <w:rsid w:val="002906A2"/>
    <w:rsid w:val="002907CC"/>
    <w:rsid w:val="002907CD"/>
    <w:rsid w:val="00290835"/>
    <w:rsid w:val="00290914"/>
    <w:rsid w:val="00290981"/>
    <w:rsid w:val="002909A0"/>
    <w:rsid w:val="002909AF"/>
    <w:rsid w:val="002909CE"/>
    <w:rsid w:val="00290A8F"/>
    <w:rsid w:val="00290B5D"/>
    <w:rsid w:val="00290BA1"/>
    <w:rsid w:val="00290D12"/>
    <w:rsid w:val="0029103E"/>
    <w:rsid w:val="00291204"/>
    <w:rsid w:val="00291216"/>
    <w:rsid w:val="00291235"/>
    <w:rsid w:val="002912C8"/>
    <w:rsid w:val="002912F7"/>
    <w:rsid w:val="002913B6"/>
    <w:rsid w:val="002913DF"/>
    <w:rsid w:val="002915AF"/>
    <w:rsid w:val="00291620"/>
    <w:rsid w:val="00291710"/>
    <w:rsid w:val="0029172A"/>
    <w:rsid w:val="00291827"/>
    <w:rsid w:val="0029188D"/>
    <w:rsid w:val="0029189D"/>
    <w:rsid w:val="002919F9"/>
    <w:rsid w:val="002919FB"/>
    <w:rsid w:val="00291A46"/>
    <w:rsid w:val="00291A90"/>
    <w:rsid w:val="00291AB2"/>
    <w:rsid w:val="00291AED"/>
    <w:rsid w:val="00291B3C"/>
    <w:rsid w:val="00291BEA"/>
    <w:rsid w:val="00291C9C"/>
    <w:rsid w:val="00291CBB"/>
    <w:rsid w:val="00291CCA"/>
    <w:rsid w:val="00291CF4"/>
    <w:rsid w:val="00291D64"/>
    <w:rsid w:val="00291D69"/>
    <w:rsid w:val="00291E9E"/>
    <w:rsid w:val="00291EFF"/>
    <w:rsid w:val="00291F86"/>
    <w:rsid w:val="00291FA9"/>
    <w:rsid w:val="002920C0"/>
    <w:rsid w:val="00292142"/>
    <w:rsid w:val="00292198"/>
    <w:rsid w:val="00292218"/>
    <w:rsid w:val="00292402"/>
    <w:rsid w:val="0029250C"/>
    <w:rsid w:val="0029250F"/>
    <w:rsid w:val="0029258B"/>
    <w:rsid w:val="002925EC"/>
    <w:rsid w:val="00292622"/>
    <w:rsid w:val="00292669"/>
    <w:rsid w:val="00292676"/>
    <w:rsid w:val="0029269E"/>
    <w:rsid w:val="0029271A"/>
    <w:rsid w:val="00292728"/>
    <w:rsid w:val="002927C5"/>
    <w:rsid w:val="002927F8"/>
    <w:rsid w:val="0029282D"/>
    <w:rsid w:val="0029289B"/>
    <w:rsid w:val="002928AB"/>
    <w:rsid w:val="002928D5"/>
    <w:rsid w:val="002928FA"/>
    <w:rsid w:val="00292936"/>
    <w:rsid w:val="00292952"/>
    <w:rsid w:val="0029295D"/>
    <w:rsid w:val="00292A3B"/>
    <w:rsid w:val="00292AD4"/>
    <w:rsid w:val="00292AE9"/>
    <w:rsid w:val="00292AFA"/>
    <w:rsid w:val="00292B23"/>
    <w:rsid w:val="00292B49"/>
    <w:rsid w:val="00292B9A"/>
    <w:rsid w:val="00292BF3"/>
    <w:rsid w:val="00292C43"/>
    <w:rsid w:val="00292CD0"/>
    <w:rsid w:val="00292D1E"/>
    <w:rsid w:val="00292F57"/>
    <w:rsid w:val="00292FF1"/>
    <w:rsid w:val="00293057"/>
    <w:rsid w:val="002930A4"/>
    <w:rsid w:val="002931D0"/>
    <w:rsid w:val="00293443"/>
    <w:rsid w:val="00293522"/>
    <w:rsid w:val="0029352E"/>
    <w:rsid w:val="0029362F"/>
    <w:rsid w:val="0029364D"/>
    <w:rsid w:val="00293867"/>
    <w:rsid w:val="00293906"/>
    <w:rsid w:val="00293944"/>
    <w:rsid w:val="002939E1"/>
    <w:rsid w:val="00293A3E"/>
    <w:rsid w:val="00293A4D"/>
    <w:rsid w:val="00293A5B"/>
    <w:rsid w:val="00293AFC"/>
    <w:rsid w:val="00293B56"/>
    <w:rsid w:val="00293B7B"/>
    <w:rsid w:val="00293BAE"/>
    <w:rsid w:val="00293CC5"/>
    <w:rsid w:val="00293CD3"/>
    <w:rsid w:val="00293D17"/>
    <w:rsid w:val="00293DD0"/>
    <w:rsid w:val="00293EF1"/>
    <w:rsid w:val="00293F9D"/>
    <w:rsid w:val="00293FEF"/>
    <w:rsid w:val="0029413B"/>
    <w:rsid w:val="002941B4"/>
    <w:rsid w:val="002942A8"/>
    <w:rsid w:val="00294388"/>
    <w:rsid w:val="002943D1"/>
    <w:rsid w:val="002944E2"/>
    <w:rsid w:val="00294608"/>
    <w:rsid w:val="0029467F"/>
    <w:rsid w:val="002946AC"/>
    <w:rsid w:val="002946E4"/>
    <w:rsid w:val="002946F9"/>
    <w:rsid w:val="00294769"/>
    <w:rsid w:val="00294776"/>
    <w:rsid w:val="00294851"/>
    <w:rsid w:val="00294861"/>
    <w:rsid w:val="00294A41"/>
    <w:rsid w:val="00294AC2"/>
    <w:rsid w:val="00294BC2"/>
    <w:rsid w:val="00294D81"/>
    <w:rsid w:val="00294D86"/>
    <w:rsid w:val="00294D8A"/>
    <w:rsid w:val="00294DC2"/>
    <w:rsid w:val="00294F87"/>
    <w:rsid w:val="00294FA5"/>
    <w:rsid w:val="00295117"/>
    <w:rsid w:val="0029515F"/>
    <w:rsid w:val="00295288"/>
    <w:rsid w:val="002952F0"/>
    <w:rsid w:val="00295384"/>
    <w:rsid w:val="0029549E"/>
    <w:rsid w:val="002954F3"/>
    <w:rsid w:val="00295554"/>
    <w:rsid w:val="00295570"/>
    <w:rsid w:val="002955FD"/>
    <w:rsid w:val="00295926"/>
    <w:rsid w:val="0029595B"/>
    <w:rsid w:val="00295992"/>
    <w:rsid w:val="00295A66"/>
    <w:rsid w:val="00295AA1"/>
    <w:rsid w:val="00295AD4"/>
    <w:rsid w:val="00295BCD"/>
    <w:rsid w:val="00295C84"/>
    <w:rsid w:val="00295E1A"/>
    <w:rsid w:val="00295EDC"/>
    <w:rsid w:val="0029605E"/>
    <w:rsid w:val="0029615C"/>
    <w:rsid w:val="002961FB"/>
    <w:rsid w:val="00296273"/>
    <w:rsid w:val="00296286"/>
    <w:rsid w:val="00296363"/>
    <w:rsid w:val="00296436"/>
    <w:rsid w:val="0029646E"/>
    <w:rsid w:val="002964C5"/>
    <w:rsid w:val="002964DC"/>
    <w:rsid w:val="00296588"/>
    <w:rsid w:val="0029658F"/>
    <w:rsid w:val="002966ED"/>
    <w:rsid w:val="0029670D"/>
    <w:rsid w:val="0029671F"/>
    <w:rsid w:val="00296746"/>
    <w:rsid w:val="0029674D"/>
    <w:rsid w:val="00296759"/>
    <w:rsid w:val="0029675F"/>
    <w:rsid w:val="002967BF"/>
    <w:rsid w:val="00296858"/>
    <w:rsid w:val="002969EC"/>
    <w:rsid w:val="00296AC4"/>
    <w:rsid w:val="00296B4F"/>
    <w:rsid w:val="00296B52"/>
    <w:rsid w:val="00296F2D"/>
    <w:rsid w:val="00296FA7"/>
    <w:rsid w:val="00296FC1"/>
    <w:rsid w:val="002970E0"/>
    <w:rsid w:val="002971BE"/>
    <w:rsid w:val="0029729F"/>
    <w:rsid w:val="002972B7"/>
    <w:rsid w:val="002972B9"/>
    <w:rsid w:val="002973E6"/>
    <w:rsid w:val="0029740B"/>
    <w:rsid w:val="0029741D"/>
    <w:rsid w:val="002974AA"/>
    <w:rsid w:val="002974AB"/>
    <w:rsid w:val="0029763D"/>
    <w:rsid w:val="00297695"/>
    <w:rsid w:val="002976A2"/>
    <w:rsid w:val="00297911"/>
    <w:rsid w:val="002979CA"/>
    <w:rsid w:val="00297A86"/>
    <w:rsid w:val="00297FF9"/>
    <w:rsid w:val="002A00DA"/>
    <w:rsid w:val="002A0286"/>
    <w:rsid w:val="002A02E6"/>
    <w:rsid w:val="002A0413"/>
    <w:rsid w:val="002A046B"/>
    <w:rsid w:val="002A0472"/>
    <w:rsid w:val="002A047F"/>
    <w:rsid w:val="002A04A1"/>
    <w:rsid w:val="002A04B9"/>
    <w:rsid w:val="002A0526"/>
    <w:rsid w:val="002A060A"/>
    <w:rsid w:val="002A0694"/>
    <w:rsid w:val="002A06D7"/>
    <w:rsid w:val="002A06F9"/>
    <w:rsid w:val="002A0747"/>
    <w:rsid w:val="002A0861"/>
    <w:rsid w:val="002A0993"/>
    <w:rsid w:val="002A09BF"/>
    <w:rsid w:val="002A0AE9"/>
    <w:rsid w:val="002A0B5B"/>
    <w:rsid w:val="002A0B67"/>
    <w:rsid w:val="002A0BE2"/>
    <w:rsid w:val="002A0BFC"/>
    <w:rsid w:val="002A0C2E"/>
    <w:rsid w:val="002A0C94"/>
    <w:rsid w:val="002A0CD1"/>
    <w:rsid w:val="002A0CE0"/>
    <w:rsid w:val="002A0CE2"/>
    <w:rsid w:val="002A0D2F"/>
    <w:rsid w:val="002A0DA8"/>
    <w:rsid w:val="002A0E0D"/>
    <w:rsid w:val="002A0E37"/>
    <w:rsid w:val="002A0F7E"/>
    <w:rsid w:val="002A0FB7"/>
    <w:rsid w:val="002A1005"/>
    <w:rsid w:val="002A1085"/>
    <w:rsid w:val="002A10B7"/>
    <w:rsid w:val="002A10D7"/>
    <w:rsid w:val="002A10E3"/>
    <w:rsid w:val="002A1131"/>
    <w:rsid w:val="002A118F"/>
    <w:rsid w:val="002A11CC"/>
    <w:rsid w:val="002A128E"/>
    <w:rsid w:val="002A1504"/>
    <w:rsid w:val="002A1512"/>
    <w:rsid w:val="002A157A"/>
    <w:rsid w:val="002A158B"/>
    <w:rsid w:val="002A1590"/>
    <w:rsid w:val="002A15B8"/>
    <w:rsid w:val="002A1837"/>
    <w:rsid w:val="002A1924"/>
    <w:rsid w:val="002A19D1"/>
    <w:rsid w:val="002A1A2C"/>
    <w:rsid w:val="002A1A82"/>
    <w:rsid w:val="002A1B69"/>
    <w:rsid w:val="002A1BE1"/>
    <w:rsid w:val="002A1BF8"/>
    <w:rsid w:val="002A1C04"/>
    <w:rsid w:val="002A1D0E"/>
    <w:rsid w:val="002A1D5A"/>
    <w:rsid w:val="002A1D89"/>
    <w:rsid w:val="002A1D9D"/>
    <w:rsid w:val="002A1E15"/>
    <w:rsid w:val="002A1E9E"/>
    <w:rsid w:val="002A1F31"/>
    <w:rsid w:val="002A1FEF"/>
    <w:rsid w:val="002A2055"/>
    <w:rsid w:val="002A2086"/>
    <w:rsid w:val="002A20D8"/>
    <w:rsid w:val="002A216E"/>
    <w:rsid w:val="002A21AA"/>
    <w:rsid w:val="002A223C"/>
    <w:rsid w:val="002A224F"/>
    <w:rsid w:val="002A244D"/>
    <w:rsid w:val="002A24CE"/>
    <w:rsid w:val="002A2537"/>
    <w:rsid w:val="002A260C"/>
    <w:rsid w:val="002A2649"/>
    <w:rsid w:val="002A2882"/>
    <w:rsid w:val="002A2928"/>
    <w:rsid w:val="002A29E8"/>
    <w:rsid w:val="002A2D97"/>
    <w:rsid w:val="002A2DFD"/>
    <w:rsid w:val="002A2E8B"/>
    <w:rsid w:val="002A2E9C"/>
    <w:rsid w:val="002A2FEF"/>
    <w:rsid w:val="002A3077"/>
    <w:rsid w:val="002A312F"/>
    <w:rsid w:val="002A31AB"/>
    <w:rsid w:val="002A31E2"/>
    <w:rsid w:val="002A32A4"/>
    <w:rsid w:val="002A33A0"/>
    <w:rsid w:val="002A33AF"/>
    <w:rsid w:val="002A3459"/>
    <w:rsid w:val="002A345E"/>
    <w:rsid w:val="002A34A7"/>
    <w:rsid w:val="002A34AC"/>
    <w:rsid w:val="002A34B1"/>
    <w:rsid w:val="002A3563"/>
    <w:rsid w:val="002A3596"/>
    <w:rsid w:val="002A35A1"/>
    <w:rsid w:val="002A36A0"/>
    <w:rsid w:val="002A372E"/>
    <w:rsid w:val="002A37A0"/>
    <w:rsid w:val="002A3953"/>
    <w:rsid w:val="002A3B06"/>
    <w:rsid w:val="002A3B46"/>
    <w:rsid w:val="002A3D20"/>
    <w:rsid w:val="002A3E09"/>
    <w:rsid w:val="002A3E13"/>
    <w:rsid w:val="002A3E6D"/>
    <w:rsid w:val="002A3EDF"/>
    <w:rsid w:val="002A3EE0"/>
    <w:rsid w:val="002A3F10"/>
    <w:rsid w:val="002A3F2B"/>
    <w:rsid w:val="002A4079"/>
    <w:rsid w:val="002A40EF"/>
    <w:rsid w:val="002A4166"/>
    <w:rsid w:val="002A42E0"/>
    <w:rsid w:val="002A43A3"/>
    <w:rsid w:val="002A43D7"/>
    <w:rsid w:val="002A4433"/>
    <w:rsid w:val="002A4484"/>
    <w:rsid w:val="002A4535"/>
    <w:rsid w:val="002A4577"/>
    <w:rsid w:val="002A46D5"/>
    <w:rsid w:val="002A4726"/>
    <w:rsid w:val="002A4793"/>
    <w:rsid w:val="002A47A8"/>
    <w:rsid w:val="002A4891"/>
    <w:rsid w:val="002A48A3"/>
    <w:rsid w:val="002A48EB"/>
    <w:rsid w:val="002A4928"/>
    <w:rsid w:val="002A494B"/>
    <w:rsid w:val="002A4A5F"/>
    <w:rsid w:val="002A4A75"/>
    <w:rsid w:val="002A4C4E"/>
    <w:rsid w:val="002A4C58"/>
    <w:rsid w:val="002A4C94"/>
    <w:rsid w:val="002A4C99"/>
    <w:rsid w:val="002A4DC2"/>
    <w:rsid w:val="002A4EA3"/>
    <w:rsid w:val="002A4EBB"/>
    <w:rsid w:val="002A4ED8"/>
    <w:rsid w:val="002A4F52"/>
    <w:rsid w:val="002A4F86"/>
    <w:rsid w:val="002A5077"/>
    <w:rsid w:val="002A518F"/>
    <w:rsid w:val="002A51BF"/>
    <w:rsid w:val="002A5319"/>
    <w:rsid w:val="002A534A"/>
    <w:rsid w:val="002A5526"/>
    <w:rsid w:val="002A5586"/>
    <w:rsid w:val="002A5626"/>
    <w:rsid w:val="002A5646"/>
    <w:rsid w:val="002A576E"/>
    <w:rsid w:val="002A57FE"/>
    <w:rsid w:val="002A5954"/>
    <w:rsid w:val="002A5A35"/>
    <w:rsid w:val="002A5A65"/>
    <w:rsid w:val="002A5AF0"/>
    <w:rsid w:val="002A5B55"/>
    <w:rsid w:val="002A5BE4"/>
    <w:rsid w:val="002A5BE5"/>
    <w:rsid w:val="002A5C41"/>
    <w:rsid w:val="002A5CD9"/>
    <w:rsid w:val="002A5D88"/>
    <w:rsid w:val="002A5DB6"/>
    <w:rsid w:val="002A5DD9"/>
    <w:rsid w:val="002A600D"/>
    <w:rsid w:val="002A6028"/>
    <w:rsid w:val="002A624B"/>
    <w:rsid w:val="002A6254"/>
    <w:rsid w:val="002A6275"/>
    <w:rsid w:val="002A627A"/>
    <w:rsid w:val="002A629B"/>
    <w:rsid w:val="002A6368"/>
    <w:rsid w:val="002A63CD"/>
    <w:rsid w:val="002A6530"/>
    <w:rsid w:val="002A656E"/>
    <w:rsid w:val="002A65D9"/>
    <w:rsid w:val="002A65E0"/>
    <w:rsid w:val="002A65EF"/>
    <w:rsid w:val="002A6612"/>
    <w:rsid w:val="002A665F"/>
    <w:rsid w:val="002A67B1"/>
    <w:rsid w:val="002A682D"/>
    <w:rsid w:val="002A6862"/>
    <w:rsid w:val="002A689B"/>
    <w:rsid w:val="002A695B"/>
    <w:rsid w:val="002A6993"/>
    <w:rsid w:val="002A699C"/>
    <w:rsid w:val="002A69C6"/>
    <w:rsid w:val="002A69CC"/>
    <w:rsid w:val="002A6A35"/>
    <w:rsid w:val="002A6A3D"/>
    <w:rsid w:val="002A6AB5"/>
    <w:rsid w:val="002A6AB8"/>
    <w:rsid w:val="002A6C7D"/>
    <w:rsid w:val="002A6C7F"/>
    <w:rsid w:val="002A6C96"/>
    <w:rsid w:val="002A6D79"/>
    <w:rsid w:val="002A6D80"/>
    <w:rsid w:val="002A6D9E"/>
    <w:rsid w:val="002A6EB9"/>
    <w:rsid w:val="002A6F67"/>
    <w:rsid w:val="002A6F75"/>
    <w:rsid w:val="002A6F89"/>
    <w:rsid w:val="002A7051"/>
    <w:rsid w:val="002A70AE"/>
    <w:rsid w:val="002A70E6"/>
    <w:rsid w:val="002A7206"/>
    <w:rsid w:val="002A737D"/>
    <w:rsid w:val="002A7520"/>
    <w:rsid w:val="002A7589"/>
    <w:rsid w:val="002A75C9"/>
    <w:rsid w:val="002A76D7"/>
    <w:rsid w:val="002A775C"/>
    <w:rsid w:val="002A7763"/>
    <w:rsid w:val="002A777B"/>
    <w:rsid w:val="002A77E2"/>
    <w:rsid w:val="002A786A"/>
    <w:rsid w:val="002A796A"/>
    <w:rsid w:val="002A7992"/>
    <w:rsid w:val="002A7A8A"/>
    <w:rsid w:val="002A7AAA"/>
    <w:rsid w:val="002A7B9D"/>
    <w:rsid w:val="002A7BBA"/>
    <w:rsid w:val="002A7C19"/>
    <w:rsid w:val="002A7C1B"/>
    <w:rsid w:val="002A7E94"/>
    <w:rsid w:val="002A7ED5"/>
    <w:rsid w:val="002A7F76"/>
    <w:rsid w:val="002B0037"/>
    <w:rsid w:val="002B007A"/>
    <w:rsid w:val="002B008E"/>
    <w:rsid w:val="002B00C3"/>
    <w:rsid w:val="002B00E0"/>
    <w:rsid w:val="002B010D"/>
    <w:rsid w:val="002B014A"/>
    <w:rsid w:val="002B027C"/>
    <w:rsid w:val="002B02B1"/>
    <w:rsid w:val="002B02F1"/>
    <w:rsid w:val="002B0330"/>
    <w:rsid w:val="002B038A"/>
    <w:rsid w:val="002B03B1"/>
    <w:rsid w:val="002B040A"/>
    <w:rsid w:val="002B0466"/>
    <w:rsid w:val="002B0480"/>
    <w:rsid w:val="002B0490"/>
    <w:rsid w:val="002B0539"/>
    <w:rsid w:val="002B054B"/>
    <w:rsid w:val="002B0583"/>
    <w:rsid w:val="002B0594"/>
    <w:rsid w:val="002B0674"/>
    <w:rsid w:val="002B0691"/>
    <w:rsid w:val="002B06E6"/>
    <w:rsid w:val="002B0703"/>
    <w:rsid w:val="002B072E"/>
    <w:rsid w:val="002B0784"/>
    <w:rsid w:val="002B0891"/>
    <w:rsid w:val="002B09DF"/>
    <w:rsid w:val="002B0C23"/>
    <w:rsid w:val="002B0C25"/>
    <w:rsid w:val="002B0D57"/>
    <w:rsid w:val="002B0D84"/>
    <w:rsid w:val="002B0DA9"/>
    <w:rsid w:val="002B0EC1"/>
    <w:rsid w:val="002B0F06"/>
    <w:rsid w:val="002B0F67"/>
    <w:rsid w:val="002B1158"/>
    <w:rsid w:val="002B1218"/>
    <w:rsid w:val="002B1238"/>
    <w:rsid w:val="002B128C"/>
    <w:rsid w:val="002B12DA"/>
    <w:rsid w:val="002B1392"/>
    <w:rsid w:val="002B13CC"/>
    <w:rsid w:val="002B1445"/>
    <w:rsid w:val="002B1552"/>
    <w:rsid w:val="002B1560"/>
    <w:rsid w:val="002B1683"/>
    <w:rsid w:val="002B16D3"/>
    <w:rsid w:val="002B1815"/>
    <w:rsid w:val="002B18BC"/>
    <w:rsid w:val="002B192A"/>
    <w:rsid w:val="002B1956"/>
    <w:rsid w:val="002B19B4"/>
    <w:rsid w:val="002B1A67"/>
    <w:rsid w:val="002B1A6C"/>
    <w:rsid w:val="002B1AFA"/>
    <w:rsid w:val="002B1B15"/>
    <w:rsid w:val="002B1BB7"/>
    <w:rsid w:val="002B1C25"/>
    <w:rsid w:val="002B1C3A"/>
    <w:rsid w:val="002B1C62"/>
    <w:rsid w:val="002B1C7B"/>
    <w:rsid w:val="002B1C96"/>
    <w:rsid w:val="002B1D22"/>
    <w:rsid w:val="002B1D87"/>
    <w:rsid w:val="002B1DAD"/>
    <w:rsid w:val="002B1F0C"/>
    <w:rsid w:val="002B1F21"/>
    <w:rsid w:val="002B1FC7"/>
    <w:rsid w:val="002B2068"/>
    <w:rsid w:val="002B208B"/>
    <w:rsid w:val="002B20E3"/>
    <w:rsid w:val="002B2146"/>
    <w:rsid w:val="002B21D6"/>
    <w:rsid w:val="002B238D"/>
    <w:rsid w:val="002B2407"/>
    <w:rsid w:val="002B2469"/>
    <w:rsid w:val="002B2563"/>
    <w:rsid w:val="002B262A"/>
    <w:rsid w:val="002B2655"/>
    <w:rsid w:val="002B2792"/>
    <w:rsid w:val="002B293D"/>
    <w:rsid w:val="002B29C8"/>
    <w:rsid w:val="002B29CF"/>
    <w:rsid w:val="002B2B76"/>
    <w:rsid w:val="002B2CB5"/>
    <w:rsid w:val="002B2D45"/>
    <w:rsid w:val="002B2D65"/>
    <w:rsid w:val="002B2D86"/>
    <w:rsid w:val="002B2DEE"/>
    <w:rsid w:val="002B3094"/>
    <w:rsid w:val="002B30A8"/>
    <w:rsid w:val="002B3292"/>
    <w:rsid w:val="002B32A1"/>
    <w:rsid w:val="002B32B5"/>
    <w:rsid w:val="002B333B"/>
    <w:rsid w:val="002B3355"/>
    <w:rsid w:val="002B3460"/>
    <w:rsid w:val="002B34B0"/>
    <w:rsid w:val="002B3532"/>
    <w:rsid w:val="002B354F"/>
    <w:rsid w:val="002B35B9"/>
    <w:rsid w:val="002B36BC"/>
    <w:rsid w:val="002B3755"/>
    <w:rsid w:val="002B3773"/>
    <w:rsid w:val="002B3805"/>
    <w:rsid w:val="002B3848"/>
    <w:rsid w:val="002B38AE"/>
    <w:rsid w:val="002B393C"/>
    <w:rsid w:val="002B39E3"/>
    <w:rsid w:val="002B3A70"/>
    <w:rsid w:val="002B3AA1"/>
    <w:rsid w:val="002B3B4F"/>
    <w:rsid w:val="002B3BBF"/>
    <w:rsid w:val="002B3CBF"/>
    <w:rsid w:val="002B3E0B"/>
    <w:rsid w:val="002B3EC6"/>
    <w:rsid w:val="002B3F24"/>
    <w:rsid w:val="002B4072"/>
    <w:rsid w:val="002B435F"/>
    <w:rsid w:val="002B436F"/>
    <w:rsid w:val="002B469D"/>
    <w:rsid w:val="002B46B8"/>
    <w:rsid w:val="002B471A"/>
    <w:rsid w:val="002B4763"/>
    <w:rsid w:val="002B4896"/>
    <w:rsid w:val="002B495E"/>
    <w:rsid w:val="002B496C"/>
    <w:rsid w:val="002B4AAB"/>
    <w:rsid w:val="002B4B12"/>
    <w:rsid w:val="002B4BC8"/>
    <w:rsid w:val="002B4CC7"/>
    <w:rsid w:val="002B4E98"/>
    <w:rsid w:val="002B4F40"/>
    <w:rsid w:val="002B4FA6"/>
    <w:rsid w:val="002B50C8"/>
    <w:rsid w:val="002B523C"/>
    <w:rsid w:val="002B52E7"/>
    <w:rsid w:val="002B53AC"/>
    <w:rsid w:val="002B53D1"/>
    <w:rsid w:val="002B541F"/>
    <w:rsid w:val="002B5464"/>
    <w:rsid w:val="002B548F"/>
    <w:rsid w:val="002B54B7"/>
    <w:rsid w:val="002B5569"/>
    <w:rsid w:val="002B55A1"/>
    <w:rsid w:val="002B5635"/>
    <w:rsid w:val="002B57DF"/>
    <w:rsid w:val="002B5822"/>
    <w:rsid w:val="002B58B7"/>
    <w:rsid w:val="002B599C"/>
    <w:rsid w:val="002B5A4E"/>
    <w:rsid w:val="002B5AB4"/>
    <w:rsid w:val="002B5B5C"/>
    <w:rsid w:val="002B5E77"/>
    <w:rsid w:val="002B5E8D"/>
    <w:rsid w:val="002B5F3D"/>
    <w:rsid w:val="002B5F74"/>
    <w:rsid w:val="002B5FF1"/>
    <w:rsid w:val="002B6045"/>
    <w:rsid w:val="002B6113"/>
    <w:rsid w:val="002B611D"/>
    <w:rsid w:val="002B6299"/>
    <w:rsid w:val="002B62BB"/>
    <w:rsid w:val="002B62E5"/>
    <w:rsid w:val="002B641B"/>
    <w:rsid w:val="002B64C1"/>
    <w:rsid w:val="002B64CC"/>
    <w:rsid w:val="002B6503"/>
    <w:rsid w:val="002B669C"/>
    <w:rsid w:val="002B66AD"/>
    <w:rsid w:val="002B6831"/>
    <w:rsid w:val="002B68A2"/>
    <w:rsid w:val="002B68AB"/>
    <w:rsid w:val="002B68D8"/>
    <w:rsid w:val="002B6913"/>
    <w:rsid w:val="002B69B3"/>
    <w:rsid w:val="002B6ACE"/>
    <w:rsid w:val="002B6B15"/>
    <w:rsid w:val="002B6B43"/>
    <w:rsid w:val="002B6C60"/>
    <w:rsid w:val="002B6D9C"/>
    <w:rsid w:val="002B6DB7"/>
    <w:rsid w:val="002B6EA8"/>
    <w:rsid w:val="002B6EE0"/>
    <w:rsid w:val="002B6EF3"/>
    <w:rsid w:val="002B6F26"/>
    <w:rsid w:val="002B6F55"/>
    <w:rsid w:val="002B6FC5"/>
    <w:rsid w:val="002B7081"/>
    <w:rsid w:val="002B72CB"/>
    <w:rsid w:val="002B72DD"/>
    <w:rsid w:val="002B72E2"/>
    <w:rsid w:val="002B7338"/>
    <w:rsid w:val="002B737D"/>
    <w:rsid w:val="002B73C4"/>
    <w:rsid w:val="002B73CF"/>
    <w:rsid w:val="002B73E6"/>
    <w:rsid w:val="002B7446"/>
    <w:rsid w:val="002B74E0"/>
    <w:rsid w:val="002B74F8"/>
    <w:rsid w:val="002B7511"/>
    <w:rsid w:val="002B7529"/>
    <w:rsid w:val="002B7557"/>
    <w:rsid w:val="002B75A2"/>
    <w:rsid w:val="002B75E7"/>
    <w:rsid w:val="002B7655"/>
    <w:rsid w:val="002B76F5"/>
    <w:rsid w:val="002B7733"/>
    <w:rsid w:val="002B7764"/>
    <w:rsid w:val="002B77F4"/>
    <w:rsid w:val="002B7840"/>
    <w:rsid w:val="002B788F"/>
    <w:rsid w:val="002B78DB"/>
    <w:rsid w:val="002B797A"/>
    <w:rsid w:val="002B7A2E"/>
    <w:rsid w:val="002B7AD6"/>
    <w:rsid w:val="002B7B04"/>
    <w:rsid w:val="002B7B07"/>
    <w:rsid w:val="002B7BAD"/>
    <w:rsid w:val="002B7BB3"/>
    <w:rsid w:val="002B7CBD"/>
    <w:rsid w:val="002B7CD7"/>
    <w:rsid w:val="002B7CD9"/>
    <w:rsid w:val="002B7D5A"/>
    <w:rsid w:val="002B7D75"/>
    <w:rsid w:val="002B7DAD"/>
    <w:rsid w:val="002B7E9B"/>
    <w:rsid w:val="002B7FD2"/>
    <w:rsid w:val="002C0006"/>
    <w:rsid w:val="002C0022"/>
    <w:rsid w:val="002C00E1"/>
    <w:rsid w:val="002C00ED"/>
    <w:rsid w:val="002C0184"/>
    <w:rsid w:val="002C02D7"/>
    <w:rsid w:val="002C0314"/>
    <w:rsid w:val="002C03C2"/>
    <w:rsid w:val="002C04B1"/>
    <w:rsid w:val="002C04E9"/>
    <w:rsid w:val="002C0581"/>
    <w:rsid w:val="002C05A3"/>
    <w:rsid w:val="002C05CB"/>
    <w:rsid w:val="002C061F"/>
    <w:rsid w:val="002C06CA"/>
    <w:rsid w:val="002C0856"/>
    <w:rsid w:val="002C086C"/>
    <w:rsid w:val="002C090E"/>
    <w:rsid w:val="002C0984"/>
    <w:rsid w:val="002C09A0"/>
    <w:rsid w:val="002C0A30"/>
    <w:rsid w:val="002C0D82"/>
    <w:rsid w:val="002C0DEA"/>
    <w:rsid w:val="002C0EA2"/>
    <w:rsid w:val="002C1008"/>
    <w:rsid w:val="002C1026"/>
    <w:rsid w:val="002C10A2"/>
    <w:rsid w:val="002C10C2"/>
    <w:rsid w:val="002C12D2"/>
    <w:rsid w:val="002C12F2"/>
    <w:rsid w:val="002C136E"/>
    <w:rsid w:val="002C1413"/>
    <w:rsid w:val="002C1623"/>
    <w:rsid w:val="002C163F"/>
    <w:rsid w:val="002C1681"/>
    <w:rsid w:val="002C1682"/>
    <w:rsid w:val="002C1684"/>
    <w:rsid w:val="002C1692"/>
    <w:rsid w:val="002C169B"/>
    <w:rsid w:val="002C1742"/>
    <w:rsid w:val="002C17AB"/>
    <w:rsid w:val="002C17DA"/>
    <w:rsid w:val="002C18F7"/>
    <w:rsid w:val="002C1988"/>
    <w:rsid w:val="002C19D9"/>
    <w:rsid w:val="002C1A04"/>
    <w:rsid w:val="002C1AC7"/>
    <w:rsid w:val="002C1BA2"/>
    <w:rsid w:val="002C1CC1"/>
    <w:rsid w:val="002C1CE3"/>
    <w:rsid w:val="002C1E03"/>
    <w:rsid w:val="002C1EB1"/>
    <w:rsid w:val="002C1ED7"/>
    <w:rsid w:val="002C1EF3"/>
    <w:rsid w:val="002C1F4C"/>
    <w:rsid w:val="002C1F96"/>
    <w:rsid w:val="002C203A"/>
    <w:rsid w:val="002C2198"/>
    <w:rsid w:val="002C21CF"/>
    <w:rsid w:val="002C21F0"/>
    <w:rsid w:val="002C22A7"/>
    <w:rsid w:val="002C24E3"/>
    <w:rsid w:val="002C257E"/>
    <w:rsid w:val="002C25CD"/>
    <w:rsid w:val="002C25FE"/>
    <w:rsid w:val="002C2615"/>
    <w:rsid w:val="002C266B"/>
    <w:rsid w:val="002C2745"/>
    <w:rsid w:val="002C2753"/>
    <w:rsid w:val="002C2784"/>
    <w:rsid w:val="002C283A"/>
    <w:rsid w:val="002C2991"/>
    <w:rsid w:val="002C29AF"/>
    <w:rsid w:val="002C29C5"/>
    <w:rsid w:val="002C2A0D"/>
    <w:rsid w:val="002C2B9F"/>
    <w:rsid w:val="002C2CFB"/>
    <w:rsid w:val="002C2E11"/>
    <w:rsid w:val="002C2EC2"/>
    <w:rsid w:val="002C2F06"/>
    <w:rsid w:val="002C3056"/>
    <w:rsid w:val="002C3081"/>
    <w:rsid w:val="002C3087"/>
    <w:rsid w:val="002C308B"/>
    <w:rsid w:val="002C30AF"/>
    <w:rsid w:val="002C30D1"/>
    <w:rsid w:val="002C3108"/>
    <w:rsid w:val="002C3174"/>
    <w:rsid w:val="002C31A6"/>
    <w:rsid w:val="002C31D4"/>
    <w:rsid w:val="002C32A8"/>
    <w:rsid w:val="002C32DD"/>
    <w:rsid w:val="002C33EA"/>
    <w:rsid w:val="002C3416"/>
    <w:rsid w:val="002C3515"/>
    <w:rsid w:val="002C3527"/>
    <w:rsid w:val="002C352E"/>
    <w:rsid w:val="002C3565"/>
    <w:rsid w:val="002C3567"/>
    <w:rsid w:val="002C363B"/>
    <w:rsid w:val="002C36BC"/>
    <w:rsid w:val="002C36C2"/>
    <w:rsid w:val="002C3752"/>
    <w:rsid w:val="002C376F"/>
    <w:rsid w:val="002C3835"/>
    <w:rsid w:val="002C38DA"/>
    <w:rsid w:val="002C38F5"/>
    <w:rsid w:val="002C3981"/>
    <w:rsid w:val="002C39B4"/>
    <w:rsid w:val="002C3A15"/>
    <w:rsid w:val="002C3C62"/>
    <w:rsid w:val="002C3C99"/>
    <w:rsid w:val="002C3C9C"/>
    <w:rsid w:val="002C3D16"/>
    <w:rsid w:val="002C3DDA"/>
    <w:rsid w:val="002C3E29"/>
    <w:rsid w:val="002C3FCF"/>
    <w:rsid w:val="002C4031"/>
    <w:rsid w:val="002C4061"/>
    <w:rsid w:val="002C4184"/>
    <w:rsid w:val="002C41AF"/>
    <w:rsid w:val="002C41DF"/>
    <w:rsid w:val="002C4289"/>
    <w:rsid w:val="002C42EF"/>
    <w:rsid w:val="002C43AB"/>
    <w:rsid w:val="002C43E6"/>
    <w:rsid w:val="002C452B"/>
    <w:rsid w:val="002C455B"/>
    <w:rsid w:val="002C4592"/>
    <w:rsid w:val="002C45AA"/>
    <w:rsid w:val="002C45FD"/>
    <w:rsid w:val="002C4712"/>
    <w:rsid w:val="002C4717"/>
    <w:rsid w:val="002C473A"/>
    <w:rsid w:val="002C47B6"/>
    <w:rsid w:val="002C47DE"/>
    <w:rsid w:val="002C4837"/>
    <w:rsid w:val="002C48A4"/>
    <w:rsid w:val="002C4931"/>
    <w:rsid w:val="002C4936"/>
    <w:rsid w:val="002C4947"/>
    <w:rsid w:val="002C4A11"/>
    <w:rsid w:val="002C4A78"/>
    <w:rsid w:val="002C4AB0"/>
    <w:rsid w:val="002C4B6C"/>
    <w:rsid w:val="002C4C93"/>
    <w:rsid w:val="002C4D17"/>
    <w:rsid w:val="002C4DD0"/>
    <w:rsid w:val="002C4DD9"/>
    <w:rsid w:val="002C4E7B"/>
    <w:rsid w:val="002C50CE"/>
    <w:rsid w:val="002C50EE"/>
    <w:rsid w:val="002C5154"/>
    <w:rsid w:val="002C5178"/>
    <w:rsid w:val="002C51DF"/>
    <w:rsid w:val="002C51F5"/>
    <w:rsid w:val="002C524F"/>
    <w:rsid w:val="002C5412"/>
    <w:rsid w:val="002C543B"/>
    <w:rsid w:val="002C55E7"/>
    <w:rsid w:val="002C571F"/>
    <w:rsid w:val="002C5782"/>
    <w:rsid w:val="002C5949"/>
    <w:rsid w:val="002C5964"/>
    <w:rsid w:val="002C59E6"/>
    <w:rsid w:val="002C5A55"/>
    <w:rsid w:val="002C5A64"/>
    <w:rsid w:val="002C5AB7"/>
    <w:rsid w:val="002C5AD4"/>
    <w:rsid w:val="002C5AFF"/>
    <w:rsid w:val="002C5B62"/>
    <w:rsid w:val="002C5D4C"/>
    <w:rsid w:val="002C5D6C"/>
    <w:rsid w:val="002C5D71"/>
    <w:rsid w:val="002C5DC9"/>
    <w:rsid w:val="002C5F53"/>
    <w:rsid w:val="002C5FEE"/>
    <w:rsid w:val="002C6001"/>
    <w:rsid w:val="002C6019"/>
    <w:rsid w:val="002C60D7"/>
    <w:rsid w:val="002C61C5"/>
    <w:rsid w:val="002C6230"/>
    <w:rsid w:val="002C6268"/>
    <w:rsid w:val="002C628B"/>
    <w:rsid w:val="002C63A2"/>
    <w:rsid w:val="002C6441"/>
    <w:rsid w:val="002C652B"/>
    <w:rsid w:val="002C6568"/>
    <w:rsid w:val="002C65F5"/>
    <w:rsid w:val="002C665A"/>
    <w:rsid w:val="002C6714"/>
    <w:rsid w:val="002C67EC"/>
    <w:rsid w:val="002C6824"/>
    <w:rsid w:val="002C6A40"/>
    <w:rsid w:val="002C6A73"/>
    <w:rsid w:val="002C6BB2"/>
    <w:rsid w:val="002C6C36"/>
    <w:rsid w:val="002C6C93"/>
    <w:rsid w:val="002C6CBA"/>
    <w:rsid w:val="002C6CC0"/>
    <w:rsid w:val="002C6CF1"/>
    <w:rsid w:val="002C6EA9"/>
    <w:rsid w:val="002C6EE2"/>
    <w:rsid w:val="002C6F1F"/>
    <w:rsid w:val="002C6F87"/>
    <w:rsid w:val="002C6FEB"/>
    <w:rsid w:val="002C71C0"/>
    <w:rsid w:val="002C7204"/>
    <w:rsid w:val="002C737D"/>
    <w:rsid w:val="002C7427"/>
    <w:rsid w:val="002C7513"/>
    <w:rsid w:val="002C7539"/>
    <w:rsid w:val="002C7581"/>
    <w:rsid w:val="002C75C1"/>
    <w:rsid w:val="002C7620"/>
    <w:rsid w:val="002C7633"/>
    <w:rsid w:val="002C7671"/>
    <w:rsid w:val="002C76F7"/>
    <w:rsid w:val="002C770E"/>
    <w:rsid w:val="002C787B"/>
    <w:rsid w:val="002C79CD"/>
    <w:rsid w:val="002C79F0"/>
    <w:rsid w:val="002C7C47"/>
    <w:rsid w:val="002C7D16"/>
    <w:rsid w:val="002C7D20"/>
    <w:rsid w:val="002C7D9A"/>
    <w:rsid w:val="002C7DDC"/>
    <w:rsid w:val="002C7E22"/>
    <w:rsid w:val="002C7EA8"/>
    <w:rsid w:val="002D00B6"/>
    <w:rsid w:val="002D011C"/>
    <w:rsid w:val="002D01E7"/>
    <w:rsid w:val="002D0202"/>
    <w:rsid w:val="002D02FB"/>
    <w:rsid w:val="002D032A"/>
    <w:rsid w:val="002D03C2"/>
    <w:rsid w:val="002D03F3"/>
    <w:rsid w:val="002D0491"/>
    <w:rsid w:val="002D05F4"/>
    <w:rsid w:val="002D066B"/>
    <w:rsid w:val="002D0797"/>
    <w:rsid w:val="002D084D"/>
    <w:rsid w:val="002D085E"/>
    <w:rsid w:val="002D0950"/>
    <w:rsid w:val="002D095A"/>
    <w:rsid w:val="002D09F1"/>
    <w:rsid w:val="002D0BA8"/>
    <w:rsid w:val="002D0C77"/>
    <w:rsid w:val="002D0D21"/>
    <w:rsid w:val="002D0D6D"/>
    <w:rsid w:val="002D0DB0"/>
    <w:rsid w:val="002D0E05"/>
    <w:rsid w:val="002D0E75"/>
    <w:rsid w:val="002D0F21"/>
    <w:rsid w:val="002D1036"/>
    <w:rsid w:val="002D10DC"/>
    <w:rsid w:val="002D1134"/>
    <w:rsid w:val="002D11AF"/>
    <w:rsid w:val="002D12A1"/>
    <w:rsid w:val="002D12BC"/>
    <w:rsid w:val="002D12D0"/>
    <w:rsid w:val="002D12E7"/>
    <w:rsid w:val="002D12F4"/>
    <w:rsid w:val="002D1300"/>
    <w:rsid w:val="002D13F6"/>
    <w:rsid w:val="002D1425"/>
    <w:rsid w:val="002D155C"/>
    <w:rsid w:val="002D15F4"/>
    <w:rsid w:val="002D1607"/>
    <w:rsid w:val="002D166C"/>
    <w:rsid w:val="002D1869"/>
    <w:rsid w:val="002D18E0"/>
    <w:rsid w:val="002D1A85"/>
    <w:rsid w:val="002D1ACC"/>
    <w:rsid w:val="002D1ADE"/>
    <w:rsid w:val="002D1B06"/>
    <w:rsid w:val="002D1BA2"/>
    <w:rsid w:val="002D1BCA"/>
    <w:rsid w:val="002D1C59"/>
    <w:rsid w:val="002D1DA6"/>
    <w:rsid w:val="002D1E3A"/>
    <w:rsid w:val="002D1EAC"/>
    <w:rsid w:val="002D1EC9"/>
    <w:rsid w:val="002D2013"/>
    <w:rsid w:val="002D20CC"/>
    <w:rsid w:val="002D2396"/>
    <w:rsid w:val="002D245B"/>
    <w:rsid w:val="002D249B"/>
    <w:rsid w:val="002D24A5"/>
    <w:rsid w:val="002D2560"/>
    <w:rsid w:val="002D2602"/>
    <w:rsid w:val="002D2698"/>
    <w:rsid w:val="002D26DE"/>
    <w:rsid w:val="002D27DE"/>
    <w:rsid w:val="002D29A2"/>
    <w:rsid w:val="002D29A3"/>
    <w:rsid w:val="002D2B9C"/>
    <w:rsid w:val="002D2C66"/>
    <w:rsid w:val="002D2C82"/>
    <w:rsid w:val="002D2D28"/>
    <w:rsid w:val="002D2D94"/>
    <w:rsid w:val="002D2E22"/>
    <w:rsid w:val="002D3019"/>
    <w:rsid w:val="002D3032"/>
    <w:rsid w:val="002D3141"/>
    <w:rsid w:val="002D3159"/>
    <w:rsid w:val="002D326D"/>
    <w:rsid w:val="002D3293"/>
    <w:rsid w:val="002D329F"/>
    <w:rsid w:val="002D32D8"/>
    <w:rsid w:val="002D3395"/>
    <w:rsid w:val="002D34B5"/>
    <w:rsid w:val="002D34B9"/>
    <w:rsid w:val="002D34E7"/>
    <w:rsid w:val="002D356D"/>
    <w:rsid w:val="002D3588"/>
    <w:rsid w:val="002D35EB"/>
    <w:rsid w:val="002D3677"/>
    <w:rsid w:val="002D369D"/>
    <w:rsid w:val="002D373C"/>
    <w:rsid w:val="002D3744"/>
    <w:rsid w:val="002D3768"/>
    <w:rsid w:val="002D3827"/>
    <w:rsid w:val="002D3876"/>
    <w:rsid w:val="002D3A17"/>
    <w:rsid w:val="002D3D24"/>
    <w:rsid w:val="002D3DE8"/>
    <w:rsid w:val="002D3E4B"/>
    <w:rsid w:val="002D3F6A"/>
    <w:rsid w:val="002D3FAC"/>
    <w:rsid w:val="002D4022"/>
    <w:rsid w:val="002D4088"/>
    <w:rsid w:val="002D4108"/>
    <w:rsid w:val="002D445F"/>
    <w:rsid w:val="002D44A7"/>
    <w:rsid w:val="002D4542"/>
    <w:rsid w:val="002D45CF"/>
    <w:rsid w:val="002D4637"/>
    <w:rsid w:val="002D4647"/>
    <w:rsid w:val="002D464D"/>
    <w:rsid w:val="002D4661"/>
    <w:rsid w:val="002D46D4"/>
    <w:rsid w:val="002D4714"/>
    <w:rsid w:val="002D4767"/>
    <w:rsid w:val="002D4792"/>
    <w:rsid w:val="002D4846"/>
    <w:rsid w:val="002D48AD"/>
    <w:rsid w:val="002D4915"/>
    <w:rsid w:val="002D499D"/>
    <w:rsid w:val="002D49F5"/>
    <w:rsid w:val="002D4A33"/>
    <w:rsid w:val="002D4CD0"/>
    <w:rsid w:val="002D4D10"/>
    <w:rsid w:val="002D4D51"/>
    <w:rsid w:val="002D4D83"/>
    <w:rsid w:val="002D4DF8"/>
    <w:rsid w:val="002D4E4D"/>
    <w:rsid w:val="002D4E87"/>
    <w:rsid w:val="002D4E90"/>
    <w:rsid w:val="002D4F98"/>
    <w:rsid w:val="002D4FB9"/>
    <w:rsid w:val="002D4FEF"/>
    <w:rsid w:val="002D50CA"/>
    <w:rsid w:val="002D5136"/>
    <w:rsid w:val="002D51C7"/>
    <w:rsid w:val="002D51D5"/>
    <w:rsid w:val="002D520F"/>
    <w:rsid w:val="002D524B"/>
    <w:rsid w:val="002D5281"/>
    <w:rsid w:val="002D5292"/>
    <w:rsid w:val="002D534F"/>
    <w:rsid w:val="002D53C4"/>
    <w:rsid w:val="002D5457"/>
    <w:rsid w:val="002D5467"/>
    <w:rsid w:val="002D5469"/>
    <w:rsid w:val="002D54A1"/>
    <w:rsid w:val="002D55BE"/>
    <w:rsid w:val="002D55D8"/>
    <w:rsid w:val="002D575B"/>
    <w:rsid w:val="002D5781"/>
    <w:rsid w:val="002D57B0"/>
    <w:rsid w:val="002D5836"/>
    <w:rsid w:val="002D5905"/>
    <w:rsid w:val="002D59CB"/>
    <w:rsid w:val="002D5A1E"/>
    <w:rsid w:val="002D5A4B"/>
    <w:rsid w:val="002D5A56"/>
    <w:rsid w:val="002D5AC4"/>
    <w:rsid w:val="002D5AD8"/>
    <w:rsid w:val="002D5B17"/>
    <w:rsid w:val="002D5C06"/>
    <w:rsid w:val="002D5C21"/>
    <w:rsid w:val="002D5C98"/>
    <w:rsid w:val="002D5D42"/>
    <w:rsid w:val="002D5DC2"/>
    <w:rsid w:val="002D5E0B"/>
    <w:rsid w:val="002D5E1B"/>
    <w:rsid w:val="002D5E53"/>
    <w:rsid w:val="002D5F23"/>
    <w:rsid w:val="002D5F70"/>
    <w:rsid w:val="002D6099"/>
    <w:rsid w:val="002D61C5"/>
    <w:rsid w:val="002D61DA"/>
    <w:rsid w:val="002D6253"/>
    <w:rsid w:val="002D627D"/>
    <w:rsid w:val="002D629C"/>
    <w:rsid w:val="002D6368"/>
    <w:rsid w:val="002D6379"/>
    <w:rsid w:val="002D6398"/>
    <w:rsid w:val="002D6488"/>
    <w:rsid w:val="002D64F7"/>
    <w:rsid w:val="002D6511"/>
    <w:rsid w:val="002D6530"/>
    <w:rsid w:val="002D657F"/>
    <w:rsid w:val="002D66FB"/>
    <w:rsid w:val="002D6770"/>
    <w:rsid w:val="002D6814"/>
    <w:rsid w:val="002D6817"/>
    <w:rsid w:val="002D687C"/>
    <w:rsid w:val="002D68A1"/>
    <w:rsid w:val="002D693A"/>
    <w:rsid w:val="002D69B3"/>
    <w:rsid w:val="002D69EB"/>
    <w:rsid w:val="002D6AAF"/>
    <w:rsid w:val="002D6AD9"/>
    <w:rsid w:val="002D6B3B"/>
    <w:rsid w:val="002D6CA8"/>
    <w:rsid w:val="002D6CBE"/>
    <w:rsid w:val="002D6CE2"/>
    <w:rsid w:val="002D6D0F"/>
    <w:rsid w:val="002D6D3C"/>
    <w:rsid w:val="002D6DF0"/>
    <w:rsid w:val="002D6E95"/>
    <w:rsid w:val="002D6ECE"/>
    <w:rsid w:val="002D6F79"/>
    <w:rsid w:val="002D6F9D"/>
    <w:rsid w:val="002D701B"/>
    <w:rsid w:val="002D712B"/>
    <w:rsid w:val="002D71D8"/>
    <w:rsid w:val="002D7377"/>
    <w:rsid w:val="002D74C6"/>
    <w:rsid w:val="002D7605"/>
    <w:rsid w:val="002D76F4"/>
    <w:rsid w:val="002D778B"/>
    <w:rsid w:val="002D7792"/>
    <w:rsid w:val="002D7919"/>
    <w:rsid w:val="002D7920"/>
    <w:rsid w:val="002D7A15"/>
    <w:rsid w:val="002D7A16"/>
    <w:rsid w:val="002D7B48"/>
    <w:rsid w:val="002D7B6D"/>
    <w:rsid w:val="002D7B94"/>
    <w:rsid w:val="002D7C2F"/>
    <w:rsid w:val="002D7CCC"/>
    <w:rsid w:val="002D7DE3"/>
    <w:rsid w:val="002D7E0F"/>
    <w:rsid w:val="002D7E21"/>
    <w:rsid w:val="002D7E8F"/>
    <w:rsid w:val="002D7EA0"/>
    <w:rsid w:val="002D7FBD"/>
    <w:rsid w:val="002D7FF1"/>
    <w:rsid w:val="002E0017"/>
    <w:rsid w:val="002E001D"/>
    <w:rsid w:val="002E0052"/>
    <w:rsid w:val="002E007B"/>
    <w:rsid w:val="002E017C"/>
    <w:rsid w:val="002E0199"/>
    <w:rsid w:val="002E0256"/>
    <w:rsid w:val="002E03BC"/>
    <w:rsid w:val="002E03F2"/>
    <w:rsid w:val="002E04BA"/>
    <w:rsid w:val="002E04FB"/>
    <w:rsid w:val="002E0575"/>
    <w:rsid w:val="002E058E"/>
    <w:rsid w:val="002E05CB"/>
    <w:rsid w:val="002E05EC"/>
    <w:rsid w:val="002E0645"/>
    <w:rsid w:val="002E0759"/>
    <w:rsid w:val="002E07C5"/>
    <w:rsid w:val="002E07DE"/>
    <w:rsid w:val="002E0A32"/>
    <w:rsid w:val="002E0A9B"/>
    <w:rsid w:val="002E0C84"/>
    <w:rsid w:val="002E0DF0"/>
    <w:rsid w:val="002E0E27"/>
    <w:rsid w:val="002E0EC8"/>
    <w:rsid w:val="002E0EE4"/>
    <w:rsid w:val="002E0F1C"/>
    <w:rsid w:val="002E0FEA"/>
    <w:rsid w:val="002E1162"/>
    <w:rsid w:val="002E117B"/>
    <w:rsid w:val="002E11D9"/>
    <w:rsid w:val="002E11E6"/>
    <w:rsid w:val="002E11EF"/>
    <w:rsid w:val="002E120F"/>
    <w:rsid w:val="002E1299"/>
    <w:rsid w:val="002E12E4"/>
    <w:rsid w:val="002E1406"/>
    <w:rsid w:val="002E1412"/>
    <w:rsid w:val="002E14B4"/>
    <w:rsid w:val="002E14D8"/>
    <w:rsid w:val="002E14F6"/>
    <w:rsid w:val="002E15E5"/>
    <w:rsid w:val="002E15FE"/>
    <w:rsid w:val="002E18B5"/>
    <w:rsid w:val="002E1969"/>
    <w:rsid w:val="002E1992"/>
    <w:rsid w:val="002E19AC"/>
    <w:rsid w:val="002E1A52"/>
    <w:rsid w:val="002E1A56"/>
    <w:rsid w:val="002E1BD9"/>
    <w:rsid w:val="002E1BDE"/>
    <w:rsid w:val="002E1BED"/>
    <w:rsid w:val="002E1C05"/>
    <w:rsid w:val="002E1C0A"/>
    <w:rsid w:val="002E1C2C"/>
    <w:rsid w:val="002E1C76"/>
    <w:rsid w:val="002E1D5D"/>
    <w:rsid w:val="002E1F7A"/>
    <w:rsid w:val="002E2051"/>
    <w:rsid w:val="002E2191"/>
    <w:rsid w:val="002E2223"/>
    <w:rsid w:val="002E2228"/>
    <w:rsid w:val="002E2245"/>
    <w:rsid w:val="002E240C"/>
    <w:rsid w:val="002E2427"/>
    <w:rsid w:val="002E24FF"/>
    <w:rsid w:val="002E2539"/>
    <w:rsid w:val="002E254A"/>
    <w:rsid w:val="002E2564"/>
    <w:rsid w:val="002E258B"/>
    <w:rsid w:val="002E2703"/>
    <w:rsid w:val="002E28A7"/>
    <w:rsid w:val="002E2A5E"/>
    <w:rsid w:val="002E2B5E"/>
    <w:rsid w:val="002E2C5F"/>
    <w:rsid w:val="002E2D58"/>
    <w:rsid w:val="002E2D9E"/>
    <w:rsid w:val="002E2E86"/>
    <w:rsid w:val="002E2E96"/>
    <w:rsid w:val="002E2F21"/>
    <w:rsid w:val="002E2F43"/>
    <w:rsid w:val="002E2FDF"/>
    <w:rsid w:val="002E300B"/>
    <w:rsid w:val="002E3023"/>
    <w:rsid w:val="002E30BC"/>
    <w:rsid w:val="002E3223"/>
    <w:rsid w:val="002E3318"/>
    <w:rsid w:val="002E33AC"/>
    <w:rsid w:val="002E33D7"/>
    <w:rsid w:val="002E3596"/>
    <w:rsid w:val="002E360F"/>
    <w:rsid w:val="002E367C"/>
    <w:rsid w:val="002E36DF"/>
    <w:rsid w:val="002E3735"/>
    <w:rsid w:val="002E37F6"/>
    <w:rsid w:val="002E3869"/>
    <w:rsid w:val="002E3909"/>
    <w:rsid w:val="002E391E"/>
    <w:rsid w:val="002E3A50"/>
    <w:rsid w:val="002E3B90"/>
    <w:rsid w:val="002E3CB9"/>
    <w:rsid w:val="002E3D4B"/>
    <w:rsid w:val="002E3E7E"/>
    <w:rsid w:val="002E3E9F"/>
    <w:rsid w:val="002E3EB2"/>
    <w:rsid w:val="002E3F81"/>
    <w:rsid w:val="002E40C7"/>
    <w:rsid w:val="002E411A"/>
    <w:rsid w:val="002E4122"/>
    <w:rsid w:val="002E416E"/>
    <w:rsid w:val="002E41BD"/>
    <w:rsid w:val="002E41FB"/>
    <w:rsid w:val="002E43BF"/>
    <w:rsid w:val="002E449E"/>
    <w:rsid w:val="002E44A5"/>
    <w:rsid w:val="002E45C2"/>
    <w:rsid w:val="002E45EE"/>
    <w:rsid w:val="002E45F5"/>
    <w:rsid w:val="002E464E"/>
    <w:rsid w:val="002E46F5"/>
    <w:rsid w:val="002E49B3"/>
    <w:rsid w:val="002E4AF0"/>
    <w:rsid w:val="002E4AF8"/>
    <w:rsid w:val="002E4B30"/>
    <w:rsid w:val="002E4BB1"/>
    <w:rsid w:val="002E4BD5"/>
    <w:rsid w:val="002E4CD6"/>
    <w:rsid w:val="002E4DA7"/>
    <w:rsid w:val="002E4DC8"/>
    <w:rsid w:val="002E4E13"/>
    <w:rsid w:val="002E4E3C"/>
    <w:rsid w:val="002E4E7D"/>
    <w:rsid w:val="002E4EA9"/>
    <w:rsid w:val="002E5052"/>
    <w:rsid w:val="002E51BA"/>
    <w:rsid w:val="002E5303"/>
    <w:rsid w:val="002E5335"/>
    <w:rsid w:val="002E53AE"/>
    <w:rsid w:val="002E5400"/>
    <w:rsid w:val="002E5465"/>
    <w:rsid w:val="002E54B8"/>
    <w:rsid w:val="002E54E1"/>
    <w:rsid w:val="002E556F"/>
    <w:rsid w:val="002E56ED"/>
    <w:rsid w:val="002E56F6"/>
    <w:rsid w:val="002E5716"/>
    <w:rsid w:val="002E5731"/>
    <w:rsid w:val="002E5747"/>
    <w:rsid w:val="002E57CF"/>
    <w:rsid w:val="002E58D3"/>
    <w:rsid w:val="002E5956"/>
    <w:rsid w:val="002E59FC"/>
    <w:rsid w:val="002E5CCF"/>
    <w:rsid w:val="002E5F32"/>
    <w:rsid w:val="002E60AB"/>
    <w:rsid w:val="002E60B6"/>
    <w:rsid w:val="002E60D9"/>
    <w:rsid w:val="002E60DA"/>
    <w:rsid w:val="002E6147"/>
    <w:rsid w:val="002E6198"/>
    <w:rsid w:val="002E61A3"/>
    <w:rsid w:val="002E621D"/>
    <w:rsid w:val="002E623E"/>
    <w:rsid w:val="002E6252"/>
    <w:rsid w:val="002E62EE"/>
    <w:rsid w:val="002E6315"/>
    <w:rsid w:val="002E6335"/>
    <w:rsid w:val="002E63E9"/>
    <w:rsid w:val="002E643A"/>
    <w:rsid w:val="002E6526"/>
    <w:rsid w:val="002E65DD"/>
    <w:rsid w:val="002E6614"/>
    <w:rsid w:val="002E666C"/>
    <w:rsid w:val="002E668D"/>
    <w:rsid w:val="002E66AF"/>
    <w:rsid w:val="002E681A"/>
    <w:rsid w:val="002E6869"/>
    <w:rsid w:val="002E6AB2"/>
    <w:rsid w:val="002E6AEB"/>
    <w:rsid w:val="002E6B1E"/>
    <w:rsid w:val="002E6BCD"/>
    <w:rsid w:val="002E6C03"/>
    <w:rsid w:val="002E6C04"/>
    <w:rsid w:val="002E6CD4"/>
    <w:rsid w:val="002E6D00"/>
    <w:rsid w:val="002E6D69"/>
    <w:rsid w:val="002E6E1A"/>
    <w:rsid w:val="002E6EA9"/>
    <w:rsid w:val="002E6FC9"/>
    <w:rsid w:val="002E6FCA"/>
    <w:rsid w:val="002E700F"/>
    <w:rsid w:val="002E7014"/>
    <w:rsid w:val="002E703F"/>
    <w:rsid w:val="002E70B3"/>
    <w:rsid w:val="002E70D5"/>
    <w:rsid w:val="002E70DE"/>
    <w:rsid w:val="002E7130"/>
    <w:rsid w:val="002E71C5"/>
    <w:rsid w:val="002E723E"/>
    <w:rsid w:val="002E73AC"/>
    <w:rsid w:val="002E744D"/>
    <w:rsid w:val="002E748F"/>
    <w:rsid w:val="002E75A2"/>
    <w:rsid w:val="002E75D1"/>
    <w:rsid w:val="002E75FE"/>
    <w:rsid w:val="002E76E7"/>
    <w:rsid w:val="002E76F5"/>
    <w:rsid w:val="002E7752"/>
    <w:rsid w:val="002E782B"/>
    <w:rsid w:val="002E7832"/>
    <w:rsid w:val="002E783D"/>
    <w:rsid w:val="002E7888"/>
    <w:rsid w:val="002E7914"/>
    <w:rsid w:val="002E7943"/>
    <w:rsid w:val="002E79FB"/>
    <w:rsid w:val="002E7B06"/>
    <w:rsid w:val="002E7BA6"/>
    <w:rsid w:val="002E7C5D"/>
    <w:rsid w:val="002E7DCC"/>
    <w:rsid w:val="002E7DF3"/>
    <w:rsid w:val="002E7E9A"/>
    <w:rsid w:val="002E7ED4"/>
    <w:rsid w:val="002E7EED"/>
    <w:rsid w:val="002F0011"/>
    <w:rsid w:val="002F0186"/>
    <w:rsid w:val="002F01DE"/>
    <w:rsid w:val="002F0281"/>
    <w:rsid w:val="002F0444"/>
    <w:rsid w:val="002F0465"/>
    <w:rsid w:val="002F0535"/>
    <w:rsid w:val="002F0674"/>
    <w:rsid w:val="002F0716"/>
    <w:rsid w:val="002F0721"/>
    <w:rsid w:val="002F0858"/>
    <w:rsid w:val="002F097B"/>
    <w:rsid w:val="002F09C7"/>
    <w:rsid w:val="002F0B50"/>
    <w:rsid w:val="002F0BCF"/>
    <w:rsid w:val="002F0C77"/>
    <w:rsid w:val="002F0CC1"/>
    <w:rsid w:val="002F0D20"/>
    <w:rsid w:val="002F0DEF"/>
    <w:rsid w:val="002F0ECB"/>
    <w:rsid w:val="002F0F08"/>
    <w:rsid w:val="002F0F0F"/>
    <w:rsid w:val="002F0F36"/>
    <w:rsid w:val="002F0F9C"/>
    <w:rsid w:val="002F1077"/>
    <w:rsid w:val="002F108D"/>
    <w:rsid w:val="002F111E"/>
    <w:rsid w:val="002F116A"/>
    <w:rsid w:val="002F11B8"/>
    <w:rsid w:val="002F11BD"/>
    <w:rsid w:val="002F11EC"/>
    <w:rsid w:val="002F129E"/>
    <w:rsid w:val="002F1340"/>
    <w:rsid w:val="002F145D"/>
    <w:rsid w:val="002F1563"/>
    <w:rsid w:val="002F156B"/>
    <w:rsid w:val="002F16D9"/>
    <w:rsid w:val="002F170D"/>
    <w:rsid w:val="002F1773"/>
    <w:rsid w:val="002F186A"/>
    <w:rsid w:val="002F197F"/>
    <w:rsid w:val="002F19C5"/>
    <w:rsid w:val="002F1AFD"/>
    <w:rsid w:val="002F1B44"/>
    <w:rsid w:val="002F1B6F"/>
    <w:rsid w:val="002F1BA0"/>
    <w:rsid w:val="002F1BEE"/>
    <w:rsid w:val="002F1BEF"/>
    <w:rsid w:val="002F1C27"/>
    <w:rsid w:val="002F1C50"/>
    <w:rsid w:val="002F1CC4"/>
    <w:rsid w:val="002F1CD3"/>
    <w:rsid w:val="002F1DE5"/>
    <w:rsid w:val="002F1E6C"/>
    <w:rsid w:val="002F1F9A"/>
    <w:rsid w:val="002F214C"/>
    <w:rsid w:val="002F21A9"/>
    <w:rsid w:val="002F223E"/>
    <w:rsid w:val="002F225E"/>
    <w:rsid w:val="002F2425"/>
    <w:rsid w:val="002F2449"/>
    <w:rsid w:val="002F25F8"/>
    <w:rsid w:val="002F26D8"/>
    <w:rsid w:val="002F2767"/>
    <w:rsid w:val="002F284D"/>
    <w:rsid w:val="002F290B"/>
    <w:rsid w:val="002F2A3C"/>
    <w:rsid w:val="002F2B76"/>
    <w:rsid w:val="002F2CEB"/>
    <w:rsid w:val="002F2D1A"/>
    <w:rsid w:val="002F2DB7"/>
    <w:rsid w:val="002F2E64"/>
    <w:rsid w:val="002F2F09"/>
    <w:rsid w:val="002F2F49"/>
    <w:rsid w:val="002F2F4A"/>
    <w:rsid w:val="002F2FE2"/>
    <w:rsid w:val="002F320B"/>
    <w:rsid w:val="002F3211"/>
    <w:rsid w:val="002F3214"/>
    <w:rsid w:val="002F32F0"/>
    <w:rsid w:val="002F33BD"/>
    <w:rsid w:val="002F3568"/>
    <w:rsid w:val="002F3582"/>
    <w:rsid w:val="002F35D2"/>
    <w:rsid w:val="002F35D4"/>
    <w:rsid w:val="002F35DB"/>
    <w:rsid w:val="002F35E9"/>
    <w:rsid w:val="002F366B"/>
    <w:rsid w:val="002F375A"/>
    <w:rsid w:val="002F38E5"/>
    <w:rsid w:val="002F3A06"/>
    <w:rsid w:val="002F3AA5"/>
    <w:rsid w:val="002F3AF6"/>
    <w:rsid w:val="002F3B9A"/>
    <w:rsid w:val="002F3C10"/>
    <w:rsid w:val="002F3D69"/>
    <w:rsid w:val="002F3F2F"/>
    <w:rsid w:val="002F3F3B"/>
    <w:rsid w:val="002F3FC5"/>
    <w:rsid w:val="002F3FFE"/>
    <w:rsid w:val="002F4007"/>
    <w:rsid w:val="002F4062"/>
    <w:rsid w:val="002F4183"/>
    <w:rsid w:val="002F41EA"/>
    <w:rsid w:val="002F436F"/>
    <w:rsid w:val="002F4559"/>
    <w:rsid w:val="002F4597"/>
    <w:rsid w:val="002F45D4"/>
    <w:rsid w:val="002F47DA"/>
    <w:rsid w:val="002F482E"/>
    <w:rsid w:val="002F48A3"/>
    <w:rsid w:val="002F4A1B"/>
    <w:rsid w:val="002F4A4A"/>
    <w:rsid w:val="002F4A55"/>
    <w:rsid w:val="002F4AC6"/>
    <w:rsid w:val="002F4B83"/>
    <w:rsid w:val="002F4BEF"/>
    <w:rsid w:val="002F4CD3"/>
    <w:rsid w:val="002F4DC8"/>
    <w:rsid w:val="002F4F22"/>
    <w:rsid w:val="002F4F3D"/>
    <w:rsid w:val="002F4F5C"/>
    <w:rsid w:val="002F4F6C"/>
    <w:rsid w:val="002F4F93"/>
    <w:rsid w:val="002F4FB0"/>
    <w:rsid w:val="002F5028"/>
    <w:rsid w:val="002F5107"/>
    <w:rsid w:val="002F5218"/>
    <w:rsid w:val="002F5250"/>
    <w:rsid w:val="002F5281"/>
    <w:rsid w:val="002F5321"/>
    <w:rsid w:val="002F535A"/>
    <w:rsid w:val="002F53B2"/>
    <w:rsid w:val="002F53B5"/>
    <w:rsid w:val="002F545F"/>
    <w:rsid w:val="002F5476"/>
    <w:rsid w:val="002F55EA"/>
    <w:rsid w:val="002F5654"/>
    <w:rsid w:val="002F5690"/>
    <w:rsid w:val="002F571C"/>
    <w:rsid w:val="002F5947"/>
    <w:rsid w:val="002F59FF"/>
    <w:rsid w:val="002F5A4C"/>
    <w:rsid w:val="002F5AB2"/>
    <w:rsid w:val="002F5B2E"/>
    <w:rsid w:val="002F5BA2"/>
    <w:rsid w:val="002F5C5D"/>
    <w:rsid w:val="002F5C9B"/>
    <w:rsid w:val="002F5CDF"/>
    <w:rsid w:val="002F5F27"/>
    <w:rsid w:val="002F6003"/>
    <w:rsid w:val="002F6207"/>
    <w:rsid w:val="002F6328"/>
    <w:rsid w:val="002F636A"/>
    <w:rsid w:val="002F6476"/>
    <w:rsid w:val="002F656B"/>
    <w:rsid w:val="002F657D"/>
    <w:rsid w:val="002F6593"/>
    <w:rsid w:val="002F65C7"/>
    <w:rsid w:val="002F6698"/>
    <w:rsid w:val="002F696B"/>
    <w:rsid w:val="002F6A16"/>
    <w:rsid w:val="002F6A19"/>
    <w:rsid w:val="002F6AEA"/>
    <w:rsid w:val="002F6B26"/>
    <w:rsid w:val="002F6BF7"/>
    <w:rsid w:val="002F6C52"/>
    <w:rsid w:val="002F6C9D"/>
    <w:rsid w:val="002F6D68"/>
    <w:rsid w:val="002F6DB6"/>
    <w:rsid w:val="002F6E30"/>
    <w:rsid w:val="002F6EEB"/>
    <w:rsid w:val="002F7054"/>
    <w:rsid w:val="002F705E"/>
    <w:rsid w:val="002F7069"/>
    <w:rsid w:val="002F718C"/>
    <w:rsid w:val="002F7535"/>
    <w:rsid w:val="002F75AD"/>
    <w:rsid w:val="002F75C3"/>
    <w:rsid w:val="002F7634"/>
    <w:rsid w:val="002F763D"/>
    <w:rsid w:val="002F7676"/>
    <w:rsid w:val="002F77D5"/>
    <w:rsid w:val="002F7812"/>
    <w:rsid w:val="002F7836"/>
    <w:rsid w:val="002F78AA"/>
    <w:rsid w:val="002F78F2"/>
    <w:rsid w:val="002F78F3"/>
    <w:rsid w:val="002F7901"/>
    <w:rsid w:val="002F7917"/>
    <w:rsid w:val="002F79E0"/>
    <w:rsid w:val="002F7A8C"/>
    <w:rsid w:val="002F7AC9"/>
    <w:rsid w:val="002F7ADA"/>
    <w:rsid w:val="002F7AF1"/>
    <w:rsid w:val="002F7B43"/>
    <w:rsid w:val="002F7B9E"/>
    <w:rsid w:val="002F7BCE"/>
    <w:rsid w:val="002F7BF6"/>
    <w:rsid w:val="002F7C24"/>
    <w:rsid w:val="002F7D62"/>
    <w:rsid w:val="002F7D70"/>
    <w:rsid w:val="002F7DBF"/>
    <w:rsid w:val="002F7DDC"/>
    <w:rsid w:val="002F7E4B"/>
    <w:rsid w:val="002F7E8D"/>
    <w:rsid w:val="002F7EB8"/>
    <w:rsid w:val="002F7EBD"/>
    <w:rsid w:val="002F7EFF"/>
    <w:rsid w:val="002F7F64"/>
    <w:rsid w:val="002F7F94"/>
    <w:rsid w:val="002F7FD9"/>
    <w:rsid w:val="002F8433"/>
    <w:rsid w:val="003002D6"/>
    <w:rsid w:val="003003E3"/>
    <w:rsid w:val="003005B2"/>
    <w:rsid w:val="00300854"/>
    <w:rsid w:val="00300995"/>
    <w:rsid w:val="003009FB"/>
    <w:rsid w:val="00300A88"/>
    <w:rsid w:val="00300BB8"/>
    <w:rsid w:val="00300E92"/>
    <w:rsid w:val="00300EBE"/>
    <w:rsid w:val="00300EEC"/>
    <w:rsid w:val="00301044"/>
    <w:rsid w:val="00301076"/>
    <w:rsid w:val="00301077"/>
    <w:rsid w:val="003010D0"/>
    <w:rsid w:val="00301166"/>
    <w:rsid w:val="00301173"/>
    <w:rsid w:val="003011A4"/>
    <w:rsid w:val="003012FF"/>
    <w:rsid w:val="00301306"/>
    <w:rsid w:val="00301399"/>
    <w:rsid w:val="00301444"/>
    <w:rsid w:val="0030148E"/>
    <w:rsid w:val="003014FA"/>
    <w:rsid w:val="00301503"/>
    <w:rsid w:val="0030153E"/>
    <w:rsid w:val="0030154A"/>
    <w:rsid w:val="0030162C"/>
    <w:rsid w:val="003016C7"/>
    <w:rsid w:val="003016CD"/>
    <w:rsid w:val="003017C1"/>
    <w:rsid w:val="00301853"/>
    <w:rsid w:val="00301901"/>
    <w:rsid w:val="00301927"/>
    <w:rsid w:val="00301974"/>
    <w:rsid w:val="00301A8F"/>
    <w:rsid w:val="00301AB5"/>
    <w:rsid w:val="00301B74"/>
    <w:rsid w:val="00301BDD"/>
    <w:rsid w:val="00301D0A"/>
    <w:rsid w:val="00301D76"/>
    <w:rsid w:val="00301D8C"/>
    <w:rsid w:val="00301E1B"/>
    <w:rsid w:val="00301E4F"/>
    <w:rsid w:val="00301EB8"/>
    <w:rsid w:val="00301F1F"/>
    <w:rsid w:val="00301F35"/>
    <w:rsid w:val="00301FE8"/>
    <w:rsid w:val="00301FEA"/>
    <w:rsid w:val="00301FF1"/>
    <w:rsid w:val="00302026"/>
    <w:rsid w:val="0030207A"/>
    <w:rsid w:val="00302105"/>
    <w:rsid w:val="00302266"/>
    <w:rsid w:val="003022AF"/>
    <w:rsid w:val="0030239D"/>
    <w:rsid w:val="00302410"/>
    <w:rsid w:val="0030244F"/>
    <w:rsid w:val="0030247A"/>
    <w:rsid w:val="003024A3"/>
    <w:rsid w:val="00302503"/>
    <w:rsid w:val="00302517"/>
    <w:rsid w:val="00302534"/>
    <w:rsid w:val="003025B2"/>
    <w:rsid w:val="003025B8"/>
    <w:rsid w:val="003026D1"/>
    <w:rsid w:val="003027ED"/>
    <w:rsid w:val="0030283C"/>
    <w:rsid w:val="0030283D"/>
    <w:rsid w:val="003028F9"/>
    <w:rsid w:val="003029A2"/>
    <w:rsid w:val="00302AB0"/>
    <w:rsid w:val="00302C3A"/>
    <w:rsid w:val="00302C3B"/>
    <w:rsid w:val="00302C64"/>
    <w:rsid w:val="00302CBF"/>
    <w:rsid w:val="00302CDE"/>
    <w:rsid w:val="00302ECA"/>
    <w:rsid w:val="00302F7B"/>
    <w:rsid w:val="00303005"/>
    <w:rsid w:val="00303045"/>
    <w:rsid w:val="00303062"/>
    <w:rsid w:val="003030A4"/>
    <w:rsid w:val="003031EA"/>
    <w:rsid w:val="00303297"/>
    <w:rsid w:val="003032F8"/>
    <w:rsid w:val="003032FF"/>
    <w:rsid w:val="0030332C"/>
    <w:rsid w:val="0030332D"/>
    <w:rsid w:val="00303352"/>
    <w:rsid w:val="00303380"/>
    <w:rsid w:val="003033FF"/>
    <w:rsid w:val="00303516"/>
    <w:rsid w:val="00303647"/>
    <w:rsid w:val="00303651"/>
    <w:rsid w:val="003037E4"/>
    <w:rsid w:val="00303836"/>
    <w:rsid w:val="00303848"/>
    <w:rsid w:val="00303998"/>
    <w:rsid w:val="003039F7"/>
    <w:rsid w:val="00303A00"/>
    <w:rsid w:val="00303A54"/>
    <w:rsid w:val="00303A8A"/>
    <w:rsid w:val="00303A94"/>
    <w:rsid w:val="00303AF8"/>
    <w:rsid w:val="00303B44"/>
    <w:rsid w:val="00303BA3"/>
    <w:rsid w:val="00303C15"/>
    <w:rsid w:val="00303C65"/>
    <w:rsid w:val="00303CCE"/>
    <w:rsid w:val="00303D4C"/>
    <w:rsid w:val="00303E56"/>
    <w:rsid w:val="00303FBD"/>
    <w:rsid w:val="00303FEE"/>
    <w:rsid w:val="0030400E"/>
    <w:rsid w:val="0030403C"/>
    <w:rsid w:val="00304055"/>
    <w:rsid w:val="00304058"/>
    <w:rsid w:val="00304099"/>
    <w:rsid w:val="003040BD"/>
    <w:rsid w:val="003040EA"/>
    <w:rsid w:val="0030416C"/>
    <w:rsid w:val="003041B2"/>
    <w:rsid w:val="003042B2"/>
    <w:rsid w:val="003042F8"/>
    <w:rsid w:val="0030432E"/>
    <w:rsid w:val="00304331"/>
    <w:rsid w:val="003043A5"/>
    <w:rsid w:val="003043B3"/>
    <w:rsid w:val="00304417"/>
    <w:rsid w:val="00304447"/>
    <w:rsid w:val="0030447F"/>
    <w:rsid w:val="003044DD"/>
    <w:rsid w:val="003044DE"/>
    <w:rsid w:val="003044E4"/>
    <w:rsid w:val="003045F4"/>
    <w:rsid w:val="00304683"/>
    <w:rsid w:val="0030468F"/>
    <w:rsid w:val="003046D0"/>
    <w:rsid w:val="00304751"/>
    <w:rsid w:val="00304788"/>
    <w:rsid w:val="003048F2"/>
    <w:rsid w:val="0030498D"/>
    <w:rsid w:val="003049B1"/>
    <w:rsid w:val="00304A63"/>
    <w:rsid w:val="00304B3B"/>
    <w:rsid w:val="00304B6F"/>
    <w:rsid w:val="00304BB3"/>
    <w:rsid w:val="00304BBE"/>
    <w:rsid w:val="00304BBF"/>
    <w:rsid w:val="00304C4D"/>
    <w:rsid w:val="00304C90"/>
    <w:rsid w:val="00304D7A"/>
    <w:rsid w:val="00304DAE"/>
    <w:rsid w:val="00304EBF"/>
    <w:rsid w:val="00304F30"/>
    <w:rsid w:val="00304FA1"/>
    <w:rsid w:val="00305025"/>
    <w:rsid w:val="00305078"/>
    <w:rsid w:val="00305098"/>
    <w:rsid w:val="00305179"/>
    <w:rsid w:val="003051EB"/>
    <w:rsid w:val="0030522E"/>
    <w:rsid w:val="003052BC"/>
    <w:rsid w:val="003052D2"/>
    <w:rsid w:val="003052ED"/>
    <w:rsid w:val="00305315"/>
    <w:rsid w:val="003054AC"/>
    <w:rsid w:val="0030552A"/>
    <w:rsid w:val="003055D4"/>
    <w:rsid w:val="0030565F"/>
    <w:rsid w:val="003057B8"/>
    <w:rsid w:val="003057BF"/>
    <w:rsid w:val="003057E4"/>
    <w:rsid w:val="00305826"/>
    <w:rsid w:val="003058B5"/>
    <w:rsid w:val="003058FB"/>
    <w:rsid w:val="00305952"/>
    <w:rsid w:val="003059DB"/>
    <w:rsid w:val="003059ED"/>
    <w:rsid w:val="00305A2F"/>
    <w:rsid w:val="00305AC0"/>
    <w:rsid w:val="00305B3A"/>
    <w:rsid w:val="00305C2C"/>
    <w:rsid w:val="00305C56"/>
    <w:rsid w:val="00305C95"/>
    <w:rsid w:val="00305CC5"/>
    <w:rsid w:val="00305DBA"/>
    <w:rsid w:val="00305E93"/>
    <w:rsid w:val="00305F93"/>
    <w:rsid w:val="00305F9B"/>
    <w:rsid w:val="0030600A"/>
    <w:rsid w:val="00306031"/>
    <w:rsid w:val="003060CD"/>
    <w:rsid w:val="003060ED"/>
    <w:rsid w:val="00306177"/>
    <w:rsid w:val="00306210"/>
    <w:rsid w:val="00306266"/>
    <w:rsid w:val="0030627F"/>
    <w:rsid w:val="003062EC"/>
    <w:rsid w:val="00306321"/>
    <w:rsid w:val="0030636D"/>
    <w:rsid w:val="00306445"/>
    <w:rsid w:val="003064F7"/>
    <w:rsid w:val="00306527"/>
    <w:rsid w:val="00306575"/>
    <w:rsid w:val="003065B0"/>
    <w:rsid w:val="00306612"/>
    <w:rsid w:val="003066E3"/>
    <w:rsid w:val="00306729"/>
    <w:rsid w:val="0030672F"/>
    <w:rsid w:val="00306807"/>
    <w:rsid w:val="00306812"/>
    <w:rsid w:val="00306834"/>
    <w:rsid w:val="00306881"/>
    <w:rsid w:val="003068DC"/>
    <w:rsid w:val="00306939"/>
    <w:rsid w:val="003069AC"/>
    <w:rsid w:val="00306A19"/>
    <w:rsid w:val="00306B0D"/>
    <w:rsid w:val="00306B15"/>
    <w:rsid w:val="00306CCD"/>
    <w:rsid w:val="00306D55"/>
    <w:rsid w:val="00306DD3"/>
    <w:rsid w:val="00306E1A"/>
    <w:rsid w:val="00306E65"/>
    <w:rsid w:val="00306E6A"/>
    <w:rsid w:val="00306E92"/>
    <w:rsid w:val="00306F24"/>
    <w:rsid w:val="00306F86"/>
    <w:rsid w:val="0030713F"/>
    <w:rsid w:val="00307156"/>
    <w:rsid w:val="003072B1"/>
    <w:rsid w:val="003072B4"/>
    <w:rsid w:val="003072D4"/>
    <w:rsid w:val="00307443"/>
    <w:rsid w:val="00307495"/>
    <w:rsid w:val="003074F6"/>
    <w:rsid w:val="00307533"/>
    <w:rsid w:val="003075DF"/>
    <w:rsid w:val="003075E1"/>
    <w:rsid w:val="003075E8"/>
    <w:rsid w:val="00307643"/>
    <w:rsid w:val="0030766E"/>
    <w:rsid w:val="0030772F"/>
    <w:rsid w:val="0030791F"/>
    <w:rsid w:val="003079C1"/>
    <w:rsid w:val="003079C7"/>
    <w:rsid w:val="003079DB"/>
    <w:rsid w:val="00307A8F"/>
    <w:rsid w:val="00307E53"/>
    <w:rsid w:val="00307E70"/>
    <w:rsid w:val="00307F39"/>
    <w:rsid w:val="00307F49"/>
    <w:rsid w:val="00307F89"/>
    <w:rsid w:val="00310083"/>
    <w:rsid w:val="003100EA"/>
    <w:rsid w:val="00310101"/>
    <w:rsid w:val="00310106"/>
    <w:rsid w:val="00310112"/>
    <w:rsid w:val="00310209"/>
    <w:rsid w:val="00310360"/>
    <w:rsid w:val="00310365"/>
    <w:rsid w:val="0031037B"/>
    <w:rsid w:val="003103AA"/>
    <w:rsid w:val="003103EE"/>
    <w:rsid w:val="00310422"/>
    <w:rsid w:val="00310433"/>
    <w:rsid w:val="003104B9"/>
    <w:rsid w:val="003104D2"/>
    <w:rsid w:val="00310526"/>
    <w:rsid w:val="003106AC"/>
    <w:rsid w:val="00310787"/>
    <w:rsid w:val="00310797"/>
    <w:rsid w:val="00310830"/>
    <w:rsid w:val="00310867"/>
    <w:rsid w:val="0031096A"/>
    <w:rsid w:val="00310B4B"/>
    <w:rsid w:val="00310B61"/>
    <w:rsid w:val="00310C41"/>
    <w:rsid w:val="00310C4B"/>
    <w:rsid w:val="00310CFA"/>
    <w:rsid w:val="00310DE4"/>
    <w:rsid w:val="00310E16"/>
    <w:rsid w:val="00310E1D"/>
    <w:rsid w:val="00310E8E"/>
    <w:rsid w:val="00310EF4"/>
    <w:rsid w:val="00310F15"/>
    <w:rsid w:val="00310F6A"/>
    <w:rsid w:val="00310FB9"/>
    <w:rsid w:val="00310FE3"/>
    <w:rsid w:val="00310FE4"/>
    <w:rsid w:val="0031110B"/>
    <w:rsid w:val="00311157"/>
    <w:rsid w:val="00311309"/>
    <w:rsid w:val="00311366"/>
    <w:rsid w:val="00311370"/>
    <w:rsid w:val="003113C0"/>
    <w:rsid w:val="003114E5"/>
    <w:rsid w:val="0031152C"/>
    <w:rsid w:val="00311554"/>
    <w:rsid w:val="003116DA"/>
    <w:rsid w:val="003117B1"/>
    <w:rsid w:val="003117D2"/>
    <w:rsid w:val="0031192E"/>
    <w:rsid w:val="0031196C"/>
    <w:rsid w:val="00311996"/>
    <w:rsid w:val="003119A6"/>
    <w:rsid w:val="003119BB"/>
    <w:rsid w:val="003119E6"/>
    <w:rsid w:val="00311A7E"/>
    <w:rsid w:val="00311AEF"/>
    <w:rsid w:val="00311B05"/>
    <w:rsid w:val="00311B23"/>
    <w:rsid w:val="00311BDD"/>
    <w:rsid w:val="00311CE8"/>
    <w:rsid w:val="00311D30"/>
    <w:rsid w:val="00311DBC"/>
    <w:rsid w:val="00311E5C"/>
    <w:rsid w:val="00311F40"/>
    <w:rsid w:val="00311FD8"/>
    <w:rsid w:val="00311FF9"/>
    <w:rsid w:val="0031200E"/>
    <w:rsid w:val="00312137"/>
    <w:rsid w:val="003121B4"/>
    <w:rsid w:val="00312259"/>
    <w:rsid w:val="00312348"/>
    <w:rsid w:val="00312383"/>
    <w:rsid w:val="003123A4"/>
    <w:rsid w:val="00312434"/>
    <w:rsid w:val="00312624"/>
    <w:rsid w:val="00312685"/>
    <w:rsid w:val="00312721"/>
    <w:rsid w:val="0031283E"/>
    <w:rsid w:val="003129FE"/>
    <w:rsid w:val="00312A51"/>
    <w:rsid w:val="00312ABA"/>
    <w:rsid w:val="00312D1A"/>
    <w:rsid w:val="00312E04"/>
    <w:rsid w:val="00312E61"/>
    <w:rsid w:val="00312F05"/>
    <w:rsid w:val="00312F26"/>
    <w:rsid w:val="00312F4C"/>
    <w:rsid w:val="00312FB9"/>
    <w:rsid w:val="0031300F"/>
    <w:rsid w:val="0031301C"/>
    <w:rsid w:val="00313041"/>
    <w:rsid w:val="00313055"/>
    <w:rsid w:val="0031313C"/>
    <w:rsid w:val="00313340"/>
    <w:rsid w:val="00313369"/>
    <w:rsid w:val="0031349F"/>
    <w:rsid w:val="0031364E"/>
    <w:rsid w:val="003136BB"/>
    <w:rsid w:val="00313713"/>
    <w:rsid w:val="0031374E"/>
    <w:rsid w:val="003137E8"/>
    <w:rsid w:val="00313860"/>
    <w:rsid w:val="0031387C"/>
    <w:rsid w:val="003138D3"/>
    <w:rsid w:val="00313999"/>
    <w:rsid w:val="00313B0A"/>
    <w:rsid w:val="00313B6B"/>
    <w:rsid w:val="00313C04"/>
    <w:rsid w:val="00313D22"/>
    <w:rsid w:val="00313DC6"/>
    <w:rsid w:val="00313E86"/>
    <w:rsid w:val="00313EB7"/>
    <w:rsid w:val="00313ED0"/>
    <w:rsid w:val="00313F05"/>
    <w:rsid w:val="003140AC"/>
    <w:rsid w:val="003140AF"/>
    <w:rsid w:val="003141BD"/>
    <w:rsid w:val="00314236"/>
    <w:rsid w:val="003142CC"/>
    <w:rsid w:val="003143AC"/>
    <w:rsid w:val="003144D1"/>
    <w:rsid w:val="0031475B"/>
    <w:rsid w:val="0031477C"/>
    <w:rsid w:val="003147DF"/>
    <w:rsid w:val="00314848"/>
    <w:rsid w:val="00314854"/>
    <w:rsid w:val="00314862"/>
    <w:rsid w:val="0031496D"/>
    <w:rsid w:val="0031497D"/>
    <w:rsid w:val="003149B6"/>
    <w:rsid w:val="003149BC"/>
    <w:rsid w:val="003149FD"/>
    <w:rsid w:val="00314A82"/>
    <w:rsid w:val="00314A96"/>
    <w:rsid w:val="00314B69"/>
    <w:rsid w:val="00314B6C"/>
    <w:rsid w:val="00314BC4"/>
    <w:rsid w:val="00314BFF"/>
    <w:rsid w:val="00314C2F"/>
    <w:rsid w:val="00314D2B"/>
    <w:rsid w:val="00314E6A"/>
    <w:rsid w:val="00314EA7"/>
    <w:rsid w:val="00314F52"/>
    <w:rsid w:val="00314FE6"/>
    <w:rsid w:val="00315065"/>
    <w:rsid w:val="00315170"/>
    <w:rsid w:val="0031517A"/>
    <w:rsid w:val="00315200"/>
    <w:rsid w:val="0031528E"/>
    <w:rsid w:val="00315348"/>
    <w:rsid w:val="003154C4"/>
    <w:rsid w:val="003154D4"/>
    <w:rsid w:val="00315533"/>
    <w:rsid w:val="003155DF"/>
    <w:rsid w:val="003155F2"/>
    <w:rsid w:val="003156BE"/>
    <w:rsid w:val="003156F7"/>
    <w:rsid w:val="00315751"/>
    <w:rsid w:val="00315896"/>
    <w:rsid w:val="003158ED"/>
    <w:rsid w:val="003159C4"/>
    <w:rsid w:val="00315A6F"/>
    <w:rsid w:val="00315BA4"/>
    <w:rsid w:val="00315C6A"/>
    <w:rsid w:val="00315C8B"/>
    <w:rsid w:val="00315CA2"/>
    <w:rsid w:val="00315D62"/>
    <w:rsid w:val="00315D71"/>
    <w:rsid w:val="00315E4F"/>
    <w:rsid w:val="00315E6E"/>
    <w:rsid w:val="00315E77"/>
    <w:rsid w:val="00315E97"/>
    <w:rsid w:val="00315ECF"/>
    <w:rsid w:val="00315F24"/>
    <w:rsid w:val="00315F27"/>
    <w:rsid w:val="00315F9B"/>
    <w:rsid w:val="00315FAF"/>
    <w:rsid w:val="00315FE1"/>
    <w:rsid w:val="0031602B"/>
    <w:rsid w:val="00316080"/>
    <w:rsid w:val="003160C4"/>
    <w:rsid w:val="003160FE"/>
    <w:rsid w:val="003162C7"/>
    <w:rsid w:val="0031630D"/>
    <w:rsid w:val="00316381"/>
    <w:rsid w:val="00316408"/>
    <w:rsid w:val="003164F8"/>
    <w:rsid w:val="00316676"/>
    <w:rsid w:val="00316694"/>
    <w:rsid w:val="00316791"/>
    <w:rsid w:val="00316812"/>
    <w:rsid w:val="003168CE"/>
    <w:rsid w:val="00316950"/>
    <w:rsid w:val="0031697A"/>
    <w:rsid w:val="00316A36"/>
    <w:rsid w:val="00316C7F"/>
    <w:rsid w:val="00316CAF"/>
    <w:rsid w:val="00316CCA"/>
    <w:rsid w:val="00316D3E"/>
    <w:rsid w:val="00316D84"/>
    <w:rsid w:val="00316DCE"/>
    <w:rsid w:val="00316EB7"/>
    <w:rsid w:val="00316FD8"/>
    <w:rsid w:val="003172E9"/>
    <w:rsid w:val="003175C4"/>
    <w:rsid w:val="003175CC"/>
    <w:rsid w:val="003175D2"/>
    <w:rsid w:val="00317606"/>
    <w:rsid w:val="0031760A"/>
    <w:rsid w:val="00317622"/>
    <w:rsid w:val="00317667"/>
    <w:rsid w:val="0031769D"/>
    <w:rsid w:val="00317708"/>
    <w:rsid w:val="0031774C"/>
    <w:rsid w:val="003177E8"/>
    <w:rsid w:val="00317838"/>
    <w:rsid w:val="0031785A"/>
    <w:rsid w:val="003178B8"/>
    <w:rsid w:val="00317924"/>
    <w:rsid w:val="00317972"/>
    <w:rsid w:val="00317A49"/>
    <w:rsid w:val="00317A55"/>
    <w:rsid w:val="00317B8F"/>
    <w:rsid w:val="00317BD5"/>
    <w:rsid w:val="00317F2B"/>
    <w:rsid w:val="0032000E"/>
    <w:rsid w:val="003200DC"/>
    <w:rsid w:val="00320216"/>
    <w:rsid w:val="0032023C"/>
    <w:rsid w:val="003202D2"/>
    <w:rsid w:val="003202FB"/>
    <w:rsid w:val="003203FB"/>
    <w:rsid w:val="00320446"/>
    <w:rsid w:val="003204BB"/>
    <w:rsid w:val="003204C4"/>
    <w:rsid w:val="0032053C"/>
    <w:rsid w:val="003206D8"/>
    <w:rsid w:val="0032076C"/>
    <w:rsid w:val="0032088E"/>
    <w:rsid w:val="0032092E"/>
    <w:rsid w:val="003209F3"/>
    <w:rsid w:val="00320A1F"/>
    <w:rsid w:val="00320A33"/>
    <w:rsid w:val="00320ABB"/>
    <w:rsid w:val="00320ACF"/>
    <w:rsid w:val="00320AF4"/>
    <w:rsid w:val="00320B07"/>
    <w:rsid w:val="00320B9E"/>
    <w:rsid w:val="00320D0D"/>
    <w:rsid w:val="00320D41"/>
    <w:rsid w:val="00320D95"/>
    <w:rsid w:val="00320DA7"/>
    <w:rsid w:val="00320E70"/>
    <w:rsid w:val="00320FD8"/>
    <w:rsid w:val="00321152"/>
    <w:rsid w:val="00321160"/>
    <w:rsid w:val="00321288"/>
    <w:rsid w:val="003212A1"/>
    <w:rsid w:val="003212D6"/>
    <w:rsid w:val="00321330"/>
    <w:rsid w:val="00321334"/>
    <w:rsid w:val="003213B5"/>
    <w:rsid w:val="003213C0"/>
    <w:rsid w:val="003215C4"/>
    <w:rsid w:val="00321606"/>
    <w:rsid w:val="00321632"/>
    <w:rsid w:val="00321663"/>
    <w:rsid w:val="003216AE"/>
    <w:rsid w:val="00321754"/>
    <w:rsid w:val="003217E3"/>
    <w:rsid w:val="00321B7C"/>
    <w:rsid w:val="00321B89"/>
    <w:rsid w:val="00321BD5"/>
    <w:rsid w:val="00321C5F"/>
    <w:rsid w:val="00321D32"/>
    <w:rsid w:val="00321E29"/>
    <w:rsid w:val="00322001"/>
    <w:rsid w:val="00322037"/>
    <w:rsid w:val="003220AA"/>
    <w:rsid w:val="003220E3"/>
    <w:rsid w:val="00322120"/>
    <w:rsid w:val="0032213B"/>
    <w:rsid w:val="003221FE"/>
    <w:rsid w:val="003222E1"/>
    <w:rsid w:val="00322336"/>
    <w:rsid w:val="003223AB"/>
    <w:rsid w:val="003223FA"/>
    <w:rsid w:val="00322432"/>
    <w:rsid w:val="003224CA"/>
    <w:rsid w:val="0032257C"/>
    <w:rsid w:val="003225B7"/>
    <w:rsid w:val="0032264C"/>
    <w:rsid w:val="0032265C"/>
    <w:rsid w:val="00322672"/>
    <w:rsid w:val="00322747"/>
    <w:rsid w:val="003227EA"/>
    <w:rsid w:val="0032281B"/>
    <w:rsid w:val="00322955"/>
    <w:rsid w:val="00322B75"/>
    <w:rsid w:val="00322C1C"/>
    <w:rsid w:val="00322CCA"/>
    <w:rsid w:val="00322D0B"/>
    <w:rsid w:val="00322EAD"/>
    <w:rsid w:val="00322ED7"/>
    <w:rsid w:val="003230FB"/>
    <w:rsid w:val="00323148"/>
    <w:rsid w:val="0032320A"/>
    <w:rsid w:val="0032326B"/>
    <w:rsid w:val="003232F9"/>
    <w:rsid w:val="00323473"/>
    <w:rsid w:val="003234A7"/>
    <w:rsid w:val="003234CB"/>
    <w:rsid w:val="003234CF"/>
    <w:rsid w:val="00323525"/>
    <w:rsid w:val="0032359B"/>
    <w:rsid w:val="003235A9"/>
    <w:rsid w:val="00323622"/>
    <w:rsid w:val="0032363B"/>
    <w:rsid w:val="00323692"/>
    <w:rsid w:val="0032372E"/>
    <w:rsid w:val="003237D9"/>
    <w:rsid w:val="003237F2"/>
    <w:rsid w:val="003239A7"/>
    <w:rsid w:val="003239BA"/>
    <w:rsid w:val="00323AE6"/>
    <w:rsid w:val="00323B28"/>
    <w:rsid w:val="00323B3A"/>
    <w:rsid w:val="00323C06"/>
    <w:rsid w:val="00323C0B"/>
    <w:rsid w:val="00323CA6"/>
    <w:rsid w:val="00323D6E"/>
    <w:rsid w:val="00323E79"/>
    <w:rsid w:val="00323EB4"/>
    <w:rsid w:val="00323EB9"/>
    <w:rsid w:val="00323FDE"/>
    <w:rsid w:val="00324113"/>
    <w:rsid w:val="0032412C"/>
    <w:rsid w:val="00324153"/>
    <w:rsid w:val="00324159"/>
    <w:rsid w:val="00324198"/>
    <w:rsid w:val="00324246"/>
    <w:rsid w:val="0032428E"/>
    <w:rsid w:val="003242CC"/>
    <w:rsid w:val="0032433A"/>
    <w:rsid w:val="003243F9"/>
    <w:rsid w:val="003244DE"/>
    <w:rsid w:val="0032450B"/>
    <w:rsid w:val="0032456D"/>
    <w:rsid w:val="003245DA"/>
    <w:rsid w:val="00324681"/>
    <w:rsid w:val="00324685"/>
    <w:rsid w:val="00324758"/>
    <w:rsid w:val="00324767"/>
    <w:rsid w:val="003247A3"/>
    <w:rsid w:val="003248AC"/>
    <w:rsid w:val="003248BE"/>
    <w:rsid w:val="0032499E"/>
    <w:rsid w:val="003249A8"/>
    <w:rsid w:val="00324CF9"/>
    <w:rsid w:val="00324FCD"/>
    <w:rsid w:val="0032504A"/>
    <w:rsid w:val="003250F3"/>
    <w:rsid w:val="003250F5"/>
    <w:rsid w:val="00325102"/>
    <w:rsid w:val="003251FE"/>
    <w:rsid w:val="0032557B"/>
    <w:rsid w:val="003255AD"/>
    <w:rsid w:val="0032569E"/>
    <w:rsid w:val="003259A0"/>
    <w:rsid w:val="00325A6C"/>
    <w:rsid w:val="00325AC3"/>
    <w:rsid w:val="00325B6A"/>
    <w:rsid w:val="00325C37"/>
    <w:rsid w:val="00325CB6"/>
    <w:rsid w:val="00325CC3"/>
    <w:rsid w:val="00325EB7"/>
    <w:rsid w:val="00325FCD"/>
    <w:rsid w:val="00325FDC"/>
    <w:rsid w:val="0032606E"/>
    <w:rsid w:val="003260D0"/>
    <w:rsid w:val="003261F3"/>
    <w:rsid w:val="003261FB"/>
    <w:rsid w:val="0032621C"/>
    <w:rsid w:val="00326220"/>
    <w:rsid w:val="003262F9"/>
    <w:rsid w:val="00326365"/>
    <w:rsid w:val="0032638C"/>
    <w:rsid w:val="00326458"/>
    <w:rsid w:val="0032645A"/>
    <w:rsid w:val="003264CE"/>
    <w:rsid w:val="00326709"/>
    <w:rsid w:val="0032681F"/>
    <w:rsid w:val="00326850"/>
    <w:rsid w:val="003268BF"/>
    <w:rsid w:val="00326955"/>
    <w:rsid w:val="003269FF"/>
    <w:rsid w:val="00326A09"/>
    <w:rsid w:val="00326A78"/>
    <w:rsid w:val="00326AA7"/>
    <w:rsid w:val="00326B7C"/>
    <w:rsid w:val="00326CF7"/>
    <w:rsid w:val="00326D98"/>
    <w:rsid w:val="00326DF8"/>
    <w:rsid w:val="00326E38"/>
    <w:rsid w:val="00326E95"/>
    <w:rsid w:val="00326EF7"/>
    <w:rsid w:val="00326F84"/>
    <w:rsid w:val="00327003"/>
    <w:rsid w:val="0032707A"/>
    <w:rsid w:val="003271E5"/>
    <w:rsid w:val="003272DF"/>
    <w:rsid w:val="00327541"/>
    <w:rsid w:val="003275AC"/>
    <w:rsid w:val="00327632"/>
    <w:rsid w:val="00327702"/>
    <w:rsid w:val="0032781F"/>
    <w:rsid w:val="003278E7"/>
    <w:rsid w:val="00327A15"/>
    <w:rsid w:val="00327AFA"/>
    <w:rsid w:val="00327B62"/>
    <w:rsid w:val="00327C58"/>
    <w:rsid w:val="00327C80"/>
    <w:rsid w:val="00327E24"/>
    <w:rsid w:val="00327F52"/>
    <w:rsid w:val="00327F5A"/>
    <w:rsid w:val="00327F6C"/>
    <w:rsid w:val="00327FC9"/>
    <w:rsid w:val="0033005E"/>
    <w:rsid w:val="00330242"/>
    <w:rsid w:val="0033030A"/>
    <w:rsid w:val="00330314"/>
    <w:rsid w:val="003304DA"/>
    <w:rsid w:val="0033063C"/>
    <w:rsid w:val="003306DB"/>
    <w:rsid w:val="0033074D"/>
    <w:rsid w:val="003308CE"/>
    <w:rsid w:val="0033099B"/>
    <w:rsid w:val="00330C03"/>
    <w:rsid w:val="00330C9B"/>
    <w:rsid w:val="00330CAB"/>
    <w:rsid w:val="00330DB2"/>
    <w:rsid w:val="00330DD9"/>
    <w:rsid w:val="00330DE1"/>
    <w:rsid w:val="00330F6A"/>
    <w:rsid w:val="00330F88"/>
    <w:rsid w:val="00330F9B"/>
    <w:rsid w:val="00330FB7"/>
    <w:rsid w:val="00330FC3"/>
    <w:rsid w:val="003310AB"/>
    <w:rsid w:val="003310F7"/>
    <w:rsid w:val="0033112A"/>
    <w:rsid w:val="003311B9"/>
    <w:rsid w:val="003312EA"/>
    <w:rsid w:val="0033131A"/>
    <w:rsid w:val="0033137A"/>
    <w:rsid w:val="003313D4"/>
    <w:rsid w:val="00331478"/>
    <w:rsid w:val="00331659"/>
    <w:rsid w:val="0033178C"/>
    <w:rsid w:val="0033184F"/>
    <w:rsid w:val="00331947"/>
    <w:rsid w:val="00331AC1"/>
    <w:rsid w:val="00331ACD"/>
    <w:rsid w:val="00331AE3"/>
    <w:rsid w:val="00331C6D"/>
    <w:rsid w:val="00331D97"/>
    <w:rsid w:val="00331DFD"/>
    <w:rsid w:val="00331E25"/>
    <w:rsid w:val="00331E72"/>
    <w:rsid w:val="00331E9C"/>
    <w:rsid w:val="00331E9F"/>
    <w:rsid w:val="00331EF8"/>
    <w:rsid w:val="00332112"/>
    <w:rsid w:val="0033211D"/>
    <w:rsid w:val="003321AE"/>
    <w:rsid w:val="003324B4"/>
    <w:rsid w:val="0033252D"/>
    <w:rsid w:val="0033255E"/>
    <w:rsid w:val="0033271E"/>
    <w:rsid w:val="00332750"/>
    <w:rsid w:val="0033276A"/>
    <w:rsid w:val="00332783"/>
    <w:rsid w:val="0033280D"/>
    <w:rsid w:val="00332824"/>
    <w:rsid w:val="003328A4"/>
    <w:rsid w:val="00332A2A"/>
    <w:rsid w:val="00332AB6"/>
    <w:rsid w:val="00332B5D"/>
    <w:rsid w:val="00332CB4"/>
    <w:rsid w:val="00332D55"/>
    <w:rsid w:val="00332D96"/>
    <w:rsid w:val="00332DE0"/>
    <w:rsid w:val="00332E13"/>
    <w:rsid w:val="00332E54"/>
    <w:rsid w:val="00332F0F"/>
    <w:rsid w:val="00332F1F"/>
    <w:rsid w:val="00332FA3"/>
    <w:rsid w:val="00332FED"/>
    <w:rsid w:val="00333070"/>
    <w:rsid w:val="00333165"/>
    <w:rsid w:val="0033326A"/>
    <w:rsid w:val="003332CE"/>
    <w:rsid w:val="00333487"/>
    <w:rsid w:val="0033350A"/>
    <w:rsid w:val="003335A4"/>
    <w:rsid w:val="003335A9"/>
    <w:rsid w:val="00333636"/>
    <w:rsid w:val="0033369E"/>
    <w:rsid w:val="00333713"/>
    <w:rsid w:val="00333716"/>
    <w:rsid w:val="00333775"/>
    <w:rsid w:val="0033378F"/>
    <w:rsid w:val="00333950"/>
    <w:rsid w:val="003339EF"/>
    <w:rsid w:val="00333A08"/>
    <w:rsid w:val="00333B27"/>
    <w:rsid w:val="00333B3B"/>
    <w:rsid w:val="00333B8E"/>
    <w:rsid w:val="00333C01"/>
    <w:rsid w:val="00333C58"/>
    <w:rsid w:val="00333C5F"/>
    <w:rsid w:val="00333C80"/>
    <w:rsid w:val="00333CB2"/>
    <w:rsid w:val="00333D21"/>
    <w:rsid w:val="00333D9C"/>
    <w:rsid w:val="00333E9B"/>
    <w:rsid w:val="00333EE4"/>
    <w:rsid w:val="00333F72"/>
    <w:rsid w:val="00333FF3"/>
    <w:rsid w:val="0033403C"/>
    <w:rsid w:val="0033424F"/>
    <w:rsid w:val="00334273"/>
    <w:rsid w:val="00334278"/>
    <w:rsid w:val="00334435"/>
    <w:rsid w:val="003344F4"/>
    <w:rsid w:val="0033452B"/>
    <w:rsid w:val="0033470B"/>
    <w:rsid w:val="00334733"/>
    <w:rsid w:val="0033478A"/>
    <w:rsid w:val="0033485C"/>
    <w:rsid w:val="00334A7A"/>
    <w:rsid w:val="00334A90"/>
    <w:rsid w:val="00334BBC"/>
    <w:rsid w:val="00334C34"/>
    <w:rsid w:val="00334CBB"/>
    <w:rsid w:val="00334DC3"/>
    <w:rsid w:val="00334DC7"/>
    <w:rsid w:val="00334DF6"/>
    <w:rsid w:val="00334E07"/>
    <w:rsid w:val="00334E1E"/>
    <w:rsid w:val="00334E21"/>
    <w:rsid w:val="00334E45"/>
    <w:rsid w:val="00334EB1"/>
    <w:rsid w:val="00334EB3"/>
    <w:rsid w:val="00334ED7"/>
    <w:rsid w:val="00334F79"/>
    <w:rsid w:val="00334F99"/>
    <w:rsid w:val="00335067"/>
    <w:rsid w:val="003351F0"/>
    <w:rsid w:val="00335314"/>
    <w:rsid w:val="00335390"/>
    <w:rsid w:val="0033539E"/>
    <w:rsid w:val="003355BC"/>
    <w:rsid w:val="00335630"/>
    <w:rsid w:val="0033566A"/>
    <w:rsid w:val="003357AE"/>
    <w:rsid w:val="00335813"/>
    <w:rsid w:val="0033588B"/>
    <w:rsid w:val="00335962"/>
    <w:rsid w:val="003359A5"/>
    <w:rsid w:val="003359E1"/>
    <w:rsid w:val="00335B1F"/>
    <w:rsid w:val="00335B45"/>
    <w:rsid w:val="00335D40"/>
    <w:rsid w:val="00335D74"/>
    <w:rsid w:val="00335E2D"/>
    <w:rsid w:val="00335E4C"/>
    <w:rsid w:val="00335EDD"/>
    <w:rsid w:val="00335F17"/>
    <w:rsid w:val="003360DD"/>
    <w:rsid w:val="00336190"/>
    <w:rsid w:val="0033633F"/>
    <w:rsid w:val="003363E1"/>
    <w:rsid w:val="003364B0"/>
    <w:rsid w:val="003364C3"/>
    <w:rsid w:val="00336528"/>
    <w:rsid w:val="00336539"/>
    <w:rsid w:val="00336582"/>
    <w:rsid w:val="00336693"/>
    <w:rsid w:val="003366DF"/>
    <w:rsid w:val="00336719"/>
    <w:rsid w:val="003367DD"/>
    <w:rsid w:val="0033684B"/>
    <w:rsid w:val="00336978"/>
    <w:rsid w:val="00336982"/>
    <w:rsid w:val="003369A3"/>
    <w:rsid w:val="00336A00"/>
    <w:rsid w:val="00336A40"/>
    <w:rsid w:val="00336A59"/>
    <w:rsid w:val="00336A71"/>
    <w:rsid w:val="00336A7B"/>
    <w:rsid w:val="00336C2E"/>
    <w:rsid w:val="00336C6D"/>
    <w:rsid w:val="00336F97"/>
    <w:rsid w:val="00337070"/>
    <w:rsid w:val="00337077"/>
    <w:rsid w:val="003371E5"/>
    <w:rsid w:val="00337311"/>
    <w:rsid w:val="00337432"/>
    <w:rsid w:val="00337438"/>
    <w:rsid w:val="0033743C"/>
    <w:rsid w:val="00337506"/>
    <w:rsid w:val="003375A0"/>
    <w:rsid w:val="003375DA"/>
    <w:rsid w:val="003375FF"/>
    <w:rsid w:val="0033763B"/>
    <w:rsid w:val="00337642"/>
    <w:rsid w:val="0033788A"/>
    <w:rsid w:val="003379DC"/>
    <w:rsid w:val="00337A5C"/>
    <w:rsid w:val="00337A5D"/>
    <w:rsid w:val="00337BE9"/>
    <w:rsid w:val="00337C38"/>
    <w:rsid w:val="00337CCA"/>
    <w:rsid w:val="00337D47"/>
    <w:rsid w:val="00337DD5"/>
    <w:rsid w:val="00337E10"/>
    <w:rsid w:val="00337E2B"/>
    <w:rsid w:val="00337EB3"/>
    <w:rsid w:val="00337F1C"/>
    <w:rsid w:val="00337F4C"/>
    <w:rsid w:val="00337F6A"/>
    <w:rsid w:val="00337F9F"/>
    <w:rsid w:val="00340097"/>
    <w:rsid w:val="003400C9"/>
    <w:rsid w:val="00340112"/>
    <w:rsid w:val="0034015F"/>
    <w:rsid w:val="00340178"/>
    <w:rsid w:val="00340190"/>
    <w:rsid w:val="00340231"/>
    <w:rsid w:val="0034025D"/>
    <w:rsid w:val="003402FA"/>
    <w:rsid w:val="0034033E"/>
    <w:rsid w:val="003403FA"/>
    <w:rsid w:val="0034050A"/>
    <w:rsid w:val="00340669"/>
    <w:rsid w:val="0034066D"/>
    <w:rsid w:val="003406D6"/>
    <w:rsid w:val="003406FF"/>
    <w:rsid w:val="003407FF"/>
    <w:rsid w:val="0034084F"/>
    <w:rsid w:val="00340895"/>
    <w:rsid w:val="003408F2"/>
    <w:rsid w:val="00340A17"/>
    <w:rsid w:val="00340A8D"/>
    <w:rsid w:val="00340BA3"/>
    <w:rsid w:val="00340EC0"/>
    <w:rsid w:val="00341020"/>
    <w:rsid w:val="00341145"/>
    <w:rsid w:val="00341323"/>
    <w:rsid w:val="003413AD"/>
    <w:rsid w:val="00341422"/>
    <w:rsid w:val="003414E8"/>
    <w:rsid w:val="003414F8"/>
    <w:rsid w:val="00341505"/>
    <w:rsid w:val="003415EF"/>
    <w:rsid w:val="0034165D"/>
    <w:rsid w:val="00341706"/>
    <w:rsid w:val="00341788"/>
    <w:rsid w:val="00341799"/>
    <w:rsid w:val="003418BC"/>
    <w:rsid w:val="003418C7"/>
    <w:rsid w:val="00341AA5"/>
    <w:rsid w:val="00341B58"/>
    <w:rsid w:val="00341B6B"/>
    <w:rsid w:val="00341B74"/>
    <w:rsid w:val="00341C0A"/>
    <w:rsid w:val="00341C5E"/>
    <w:rsid w:val="00341CA9"/>
    <w:rsid w:val="00341D0C"/>
    <w:rsid w:val="00341E7C"/>
    <w:rsid w:val="00341FA1"/>
    <w:rsid w:val="0034200E"/>
    <w:rsid w:val="0034206E"/>
    <w:rsid w:val="003420FA"/>
    <w:rsid w:val="00342105"/>
    <w:rsid w:val="0034214E"/>
    <w:rsid w:val="0034225E"/>
    <w:rsid w:val="003422B6"/>
    <w:rsid w:val="0034235B"/>
    <w:rsid w:val="00342375"/>
    <w:rsid w:val="003423E6"/>
    <w:rsid w:val="00342814"/>
    <w:rsid w:val="00342869"/>
    <w:rsid w:val="00342942"/>
    <w:rsid w:val="00342967"/>
    <w:rsid w:val="003429B6"/>
    <w:rsid w:val="003429E7"/>
    <w:rsid w:val="00342A21"/>
    <w:rsid w:val="00342AD0"/>
    <w:rsid w:val="00342B98"/>
    <w:rsid w:val="00342C67"/>
    <w:rsid w:val="00342E9E"/>
    <w:rsid w:val="00342EC1"/>
    <w:rsid w:val="00342F14"/>
    <w:rsid w:val="00342F15"/>
    <w:rsid w:val="00342F4E"/>
    <w:rsid w:val="00342F9E"/>
    <w:rsid w:val="0034301D"/>
    <w:rsid w:val="00343085"/>
    <w:rsid w:val="00343096"/>
    <w:rsid w:val="003430B9"/>
    <w:rsid w:val="00343147"/>
    <w:rsid w:val="00343348"/>
    <w:rsid w:val="003433DC"/>
    <w:rsid w:val="00343566"/>
    <w:rsid w:val="003435A7"/>
    <w:rsid w:val="00343616"/>
    <w:rsid w:val="0034369E"/>
    <w:rsid w:val="003436EF"/>
    <w:rsid w:val="0034373E"/>
    <w:rsid w:val="003437A2"/>
    <w:rsid w:val="003439B5"/>
    <w:rsid w:val="003439FB"/>
    <w:rsid w:val="00343A1A"/>
    <w:rsid w:val="00343A2B"/>
    <w:rsid w:val="00343BA0"/>
    <w:rsid w:val="00343C59"/>
    <w:rsid w:val="00343CA5"/>
    <w:rsid w:val="00343D2B"/>
    <w:rsid w:val="00343D46"/>
    <w:rsid w:val="00343D61"/>
    <w:rsid w:val="00343D74"/>
    <w:rsid w:val="00343DEB"/>
    <w:rsid w:val="00343EA3"/>
    <w:rsid w:val="00343ED5"/>
    <w:rsid w:val="00343F2C"/>
    <w:rsid w:val="00344017"/>
    <w:rsid w:val="0034402B"/>
    <w:rsid w:val="003440BB"/>
    <w:rsid w:val="003440D9"/>
    <w:rsid w:val="00344149"/>
    <w:rsid w:val="00344211"/>
    <w:rsid w:val="003444AA"/>
    <w:rsid w:val="003444EF"/>
    <w:rsid w:val="003445E8"/>
    <w:rsid w:val="0034476B"/>
    <w:rsid w:val="00344805"/>
    <w:rsid w:val="00344816"/>
    <w:rsid w:val="00344869"/>
    <w:rsid w:val="00344951"/>
    <w:rsid w:val="00344966"/>
    <w:rsid w:val="0034497D"/>
    <w:rsid w:val="003449BF"/>
    <w:rsid w:val="00344A31"/>
    <w:rsid w:val="00344AA1"/>
    <w:rsid w:val="00344B5F"/>
    <w:rsid w:val="00344B8B"/>
    <w:rsid w:val="00344BAC"/>
    <w:rsid w:val="00344BD6"/>
    <w:rsid w:val="00344C1F"/>
    <w:rsid w:val="00344D71"/>
    <w:rsid w:val="00344DC7"/>
    <w:rsid w:val="00344E13"/>
    <w:rsid w:val="00344EAD"/>
    <w:rsid w:val="00344EC0"/>
    <w:rsid w:val="00344ED1"/>
    <w:rsid w:val="00344EE6"/>
    <w:rsid w:val="003451A9"/>
    <w:rsid w:val="003451BE"/>
    <w:rsid w:val="003451EF"/>
    <w:rsid w:val="003451FB"/>
    <w:rsid w:val="00345202"/>
    <w:rsid w:val="00345272"/>
    <w:rsid w:val="003452CF"/>
    <w:rsid w:val="0034534A"/>
    <w:rsid w:val="00345669"/>
    <w:rsid w:val="003457F1"/>
    <w:rsid w:val="00345844"/>
    <w:rsid w:val="0034585F"/>
    <w:rsid w:val="0034586C"/>
    <w:rsid w:val="0034588D"/>
    <w:rsid w:val="00345998"/>
    <w:rsid w:val="00345A7D"/>
    <w:rsid w:val="00345AAF"/>
    <w:rsid w:val="00345B40"/>
    <w:rsid w:val="00345B8C"/>
    <w:rsid w:val="00345BD5"/>
    <w:rsid w:val="00345BD9"/>
    <w:rsid w:val="00345C7F"/>
    <w:rsid w:val="00345D26"/>
    <w:rsid w:val="00345E59"/>
    <w:rsid w:val="00345E8E"/>
    <w:rsid w:val="00345EDE"/>
    <w:rsid w:val="00345F63"/>
    <w:rsid w:val="00345F84"/>
    <w:rsid w:val="00346084"/>
    <w:rsid w:val="003460A7"/>
    <w:rsid w:val="003460DA"/>
    <w:rsid w:val="0034623E"/>
    <w:rsid w:val="003463F6"/>
    <w:rsid w:val="00346482"/>
    <w:rsid w:val="003464AC"/>
    <w:rsid w:val="003464C6"/>
    <w:rsid w:val="00346663"/>
    <w:rsid w:val="00346737"/>
    <w:rsid w:val="0034678C"/>
    <w:rsid w:val="003467C2"/>
    <w:rsid w:val="00346850"/>
    <w:rsid w:val="003468BB"/>
    <w:rsid w:val="003468D3"/>
    <w:rsid w:val="003469C9"/>
    <w:rsid w:val="003469E8"/>
    <w:rsid w:val="00346A38"/>
    <w:rsid w:val="00346A8C"/>
    <w:rsid w:val="00346AC5"/>
    <w:rsid w:val="00346B60"/>
    <w:rsid w:val="00346B93"/>
    <w:rsid w:val="00346BF7"/>
    <w:rsid w:val="00346D62"/>
    <w:rsid w:val="00346E76"/>
    <w:rsid w:val="00346EDA"/>
    <w:rsid w:val="00346F0D"/>
    <w:rsid w:val="00346F5B"/>
    <w:rsid w:val="00346FBC"/>
    <w:rsid w:val="00346FCB"/>
    <w:rsid w:val="0034702E"/>
    <w:rsid w:val="00347065"/>
    <w:rsid w:val="00347073"/>
    <w:rsid w:val="00347123"/>
    <w:rsid w:val="003473A5"/>
    <w:rsid w:val="00347438"/>
    <w:rsid w:val="0034749B"/>
    <w:rsid w:val="003474C5"/>
    <w:rsid w:val="00347625"/>
    <w:rsid w:val="0034765B"/>
    <w:rsid w:val="00347676"/>
    <w:rsid w:val="0034769D"/>
    <w:rsid w:val="003476E2"/>
    <w:rsid w:val="003477D7"/>
    <w:rsid w:val="00347A2A"/>
    <w:rsid w:val="00347A2D"/>
    <w:rsid w:val="00347BF9"/>
    <w:rsid w:val="00347CF3"/>
    <w:rsid w:val="00347D55"/>
    <w:rsid w:val="00347D5C"/>
    <w:rsid w:val="00347D80"/>
    <w:rsid w:val="00347DD7"/>
    <w:rsid w:val="00347E3C"/>
    <w:rsid w:val="00347E7E"/>
    <w:rsid w:val="00347F8D"/>
    <w:rsid w:val="00350002"/>
    <w:rsid w:val="0035003A"/>
    <w:rsid w:val="003500EC"/>
    <w:rsid w:val="0035015A"/>
    <w:rsid w:val="00350283"/>
    <w:rsid w:val="0035028E"/>
    <w:rsid w:val="0035030E"/>
    <w:rsid w:val="00350447"/>
    <w:rsid w:val="0035053F"/>
    <w:rsid w:val="003505CB"/>
    <w:rsid w:val="00350634"/>
    <w:rsid w:val="00350706"/>
    <w:rsid w:val="00350901"/>
    <w:rsid w:val="00350A22"/>
    <w:rsid w:val="00350AC4"/>
    <w:rsid w:val="00350AFF"/>
    <w:rsid w:val="00350B5B"/>
    <w:rsid w:val="00350C40"/>
    <w:rsid w:val="00350CD0"/>
    <w:rsid w:val="00350D25"/>
    <w:rsid w:val="00350D61"/>
    <w:rsid w:val="00350DD6"/>
    <w:rsid w:val="00350E76"/>
    <w:rsid w:val="00350E86"/>
    <w:rsid w:val="00350EB4"/>
    <w:rsid w:val="00350F1B"/>
    <w:rsid w:val="00350F33"/>
    <w:rsid w:val="00350F55"/>
    <w:rsid w:val="00351050"/>
    <w:rsid w:val="00351064"/>
    <w:rsid w:val="003510B7"/>
    <w:rsid w:val="003510BE"/>
    <w:rsid w:val="003511A8"/>
    <w:rsid w:val="003511CC"/>
    <w:rsid w:val="003512DE"/>
    <w:rsid w:val="00351386"/>
    <w:rsid w:val="003513C4"/>
    <w:rsid w:val="00351440"/>
    <w:rsid w:val="0035147A"/>
    <w:rsid w:val="003515DA"/>
    <w:rsid w:val="00351614"/>
    <w:rsid w:val="00351624"/>
    <w:rsid w:val="00351767"/>
    <w:rsid w:val="003517C0"/>
    <w:rsid w:val="0035180C"/>
    <w:rsid w:val="00351810"/>
    <w:rsid w:val="00351913"/>
    <w:rsid w:val="003519B4"/>
    <w:rsid w:val="00351A0D"/>
    <w:rsid w:val="00351AB9"/>
    <w:rsid w:val="00351B27"/>
    <w:rsid w:val="00351CCC"/>
    <w:rsid w:val="00351DBE"/>
    <w:rsid w:val="00351E4D"/>
    <w:rsid w:val="00351F18"/>
    <w:rsid w:val="00351F23"/>
    <w:rsid w:val="00351F44"/>
    <w:rsid w:val="00351FA0"/>
    <w:rsid w:val="003520C7"/>
    <w:rsid w:val="003524B8"/>
    <w:rsid w:val="00352513"/>
    <w:rsid w:val="003525DB"/>
    <w:rsid w:val="0035265B"/>
    <w:rsid w:val="003527C3"/>
    <w:rsid w:val="003527EB"/>
    <w:rsid w:val="0035282C"/>
    <w:rsid w:val="00352925"/>
    <w:rsid w:val="00352ADD"/>
    <w:rsid w:val="00352B23"/>
    <w:rsid w:val="00352CDC"/>
    <w:rsid w:val="00352DD1"/>
    <w:rsid w:val="00352E17"/>
    <w:rsid w:val="00352EAC"/>
    <w:rsid w:val="00352F95"/>
    <w:rsid w:val="0035304B"/>
    <w:rsid w:val="0035309B"/>
    <w:rsid w:val="003530F6"/>
    <w:rsid w:val="003531A9"/>
    <w:rsid w:val="0035329E"/>
    <w:rsid w:val="00353316"/>
    <w:rsid w:val="0035346B"/>
    <w:rsid w:val="003534FD"/>
    <w:rsid w:val="00353515"/>
    <w:rsid w:val="003536B4"/>
    <w:rsid w:val="003536CC"/>
    <w:rsid w:val="003536CF"/>
    <w:rsid w:val="00353737"/>
    <w:rsid w:val="0035374E"/>
    <w:rsid w:val="0035376D"/>
    <w:rsid w:val="0035377C"/>
    <w:rsid w:val="00353894"/>
    <w:rsid w:val="0035394B"/>
    <w:rsid w:val="00353A95"/>
    <w:rsid w:val="00353ABC"/>
    <w:rsid w:val="00353C18"/>
    <w:rsid w:val="00353C58"/>
    <w:rsid w:val="00353C78"/>
    <w:rsid w:val="00353D3E"/>
    <w:rsid w:val="00353D6B"/>
    <w:rsid w:val="00353E2C"/>
    <w:rsid w:val="00353EE0"/>
    <w:rsid w:val="00353F8D"/>
    <w:rsid w:val="00353FD2"/>
    <w:rsid w:val="00353FDB"/>
    <w:rsid w:val="00354027"/>
    <w:rsid w:val="00354063"/>
    <w:rsid w:val="003541A7"/>
    <w:rsid w:val="003541E5"/>
    <w:rsid w:val="0035422A"/>
    <w:rsid w:val="00354236"/>
    <w:rsid w:val="003542F2"/>
    <w:rsid w:val="00354381"/>
    <w:rsid w:val="003543BE"/>
    <w:rsid w:val="00354435"/>
    <w:rsid w:val="0035444E"/>
    <w:rsid w:val="0035447D"/>
    <w:rsid w:val="003544B9"/>
    <w:rsid w:val="003544FD"/>
    <w:rsid w:val="00354614"/>
    <w:rsid w:val="0035465C"/>
    <w:rsid w:val="0035467F"/>
    <w:rsid w:val="003546D4"/>
    <w:rsid w:val="003547F8"/>
    <w:rsid w:val="00354880"/>
    <w:rsid w:val="00354930"/>
    <w:rsid w:val="003549A4"/>
    <w:rsid w:val="00354AE1"/>
    <w:rsid w:val="00354B4E"/>
    <w:rsid w:val="00354B82"/>
    <w:rsid w:val="00354D0E"/>
    <w:rsid w:val="00354D1B"/>
    <w:rsid w:val="00354D49"/>
    <w:rsid w:val="00354EAD"/>
    <w:rsid w:val="00354EFA"/>
    <w:rsid w:val="00354FAC"/>
    <w:rsid w:val="0035503F"/>
    <w:rsid w:val="0035504C"/>
    <w:rsid w:val="003551C9"/>
    <w:rsid w:val="003551F7"/>
    <w:rsid w:val="0035535D"/>
    <w:rsid w:val="003553BE"/>
    <w:rsid w:val="00355483"/>
    <w:rsid w:val="003554B9"/>
    <w:rsid w:val="003554D8"/>
    <w:rsid w:val="00355554"/>
    <w:rsid w:val="00355556"/>
    <w:rsid w:val="0035555D"/>
    <w:rsid w:val="003555BE"/>
    <w:rsid w:val="003555EE"/>
    <w:rsid w:val="00355721"/>
    <w:rsid w:val="003557F2"/>
    <w:rsid w:val="003558D3"/>
    <w:rsid w:val="0035592E"/>
    <w:rsid w:val="00355A6E"/>
    <w:rsid w:val="00355B75"/>
    <w:rsid w:val="00355BEE"/>
    <w:rsid w:val="00355C7E"/>
    <w:rsid w:val="00355CC2"/>
    <w:rsid w:val="00355E39"/>
    <w:rsid w:val="00355E4D"/>
    <w:rsid w:val="00355E7F"/>
    <w:rsid w:val="00355F4A"/>
    <w:rsid w:val="00355F73"/>
    <w:rsid w:val="00355FB0"/>
    <w:rsid w:val="00356020"/>
    <w:rsid w:val="003560D3"/>
    <w:rsid w:val="00356138"/>
    <w:rsid w:val="00356304"/>
    <w:rsid w:val="00356330"/>
    <w:rsid w:val="0035635F"/>
    <w:rsid w:val="00356360"/>
    <w:rsid w:val="003563B6"/>
    <w:rsid w:val="003563BA"/>
    <w:rsid w:val="00356430"/>
    <w:rsid w:val="003564A1"/>
    <w:rsid w:val="0035656A"/>
    <w:rsid w:val="003565FB"/>
    <w:rsid w:val="0035660F"/>
    <w:rsid w:val="0035668A"/>
    <w:rsid w:val="0035670F"/>
    <w:rsid w:val="0035678E"/>
    <w:rsid w:val="003567CB"/>
    <w:rsid w:val="003567DD"/>
    <w:rsid w:val="00356864"/>
    <w:rsid w:val="00356926"/>
    <w:rsid w:val="00356936"/>
    <w:rsid w:val="00356937"/>
    <w:rsid w:val="00356AE3"/>
    <w:rsid w:val="00356B9F"/>
    <w:rsid w:val="00356BA0"/>
    <w:rsid w:val="00356BAE"/>
    <w:rsid w:val="00356C89"/>
    <w:rsid w:val="00356E2E"/>
    <w:rsid w:val="00356F34"/>
    <w:rsid w:val="00356FB7"/>
    <w:rsid w:val="00356FF4"/>
    <w:rsid w:val="003570C0"/>
    <w:rsid w:val="0035712C"/>
    <w:rsid w:val="0035723A"/>
    <w:rsid w:val="00357380"/>
    <w:rsid w:val="003573C3"/>
    <w:rsid w:val="0035744B"/>
    <w:rsid w:val="00357451"/>
    <w:rsid w:val="00357498"/>
    <w:rsid w:val="003574B6"/>
    <w:rsid w:val="003574DF"/>
    <w:rsid w:val="003574F5"/>
    <w:rsid w:val="00357528"/>
    <w:rsid w:val="003575BB"/>
    <w:rsid w:val="003576F0"/>
    <w:rsid w:val="00357777"/>
    <w:rsid w:val="00357889"/>
    <w:rsid w:val="003578D9"/>
    <w:rsid w:val="0035794C"/>
    <w:rsid w:val="00357961"/>
    <w:rsid w:val="00357971"/>
    <w:rsid w:val="00357B96"/>
    <w:rsid w:val="00357BAE"/>
    <w:rsid w:val="00357C40"/>
    <w:rsid w:val="00357CB8"/>
    <w:rsid w:val="00357DC3"/>
    <w:rsid w:val="00357E47"/>
    <w:rsid w:val="00357E70"/>
    <w:rsid w:val="00357F39"/>
    <w:rsid w:val="00357FF6"/>
    <w:rsid w:val="00360090"/>
    <w:rsid w:val="00360103"/>
    <w:rsid w:val="00360106"/>
    <w:rsid w:val="0036015C"/>
    <w:rsid w:val="00360290"/>
    <w:rsid w:val="003602C0"/>
    <w:rsid w:val="003603DA"/>
    <w:rsid w:val="003603EF"/>
    <w:rsid w:val="00360407"/>
    <w:rsid w:val="0036047B"/>
    <w:rsid w:val="003604A1"/>
    <w:rsid w:val="00360551"/>
    <w:rsid w:val="003605BF"/>
    <w:rsid w:val="003608E0"/>
    <w:rsid w:val="003608E6"/>
    <w:rsid w:val="003608F2"/>
    <w:rsid w:val="00360924"/>
    <w:rsid w:val="00360956"/>
    <w:rsid w:val="00360981"/>
    <w:rsid w:val="003609B5"/>
    <w:rsid w:val="00360A2A"/>
    <w:rsid w:val="00360A2B"/>
    <w:rsid w:val="00360A59"/>
    <w:rsid w:val="00360ACC"/>
    <w:rsid w:val="00360C81"/>
    <w:rsid w:val="00360C87"/>
    <w:rsid w:val="00360C9F"/>
    <w:rsid w:val="00360CB4"/>
    <w:rsid w:val="00360DAD"/>
    <w:rsid w:val="00360DDF"/>
    <w:rsid w:val="00360EE2"/>
    <w:rsid w:val="00360F15"/>
    <w:rsid w:val="00360F9F"/>
    <w:rsid w:val="0036101D"/>
    <w:rsid w:val="003610B6"/>
    <w:rsid w:val="003610CB"/>
    <w:rsid w:val="0036110F"/>
    <w:rsid w:val="00361118"/>
    <w:rsid w:val="00361121"/>
    <w:rsid w:val="003611CA"/>
    <w:rsid w:val="0036123E"/>
    <w:rsid w:val="003612CD"/>
    <w:rsid w:val="003613E9"/>
    <w:rsid w:val="00361492"/>
    <w:rsid w:val="003614E8"/>
    <w:rsid w:val="003615B4"/>
    <w:rsid w:val="003615C0"/>
    <w:rsid w:val="003615D6"/>
    <w:rsid w:val="003615EA"/>
    <w:rsid w:val="00361652"/>
    <w:rsid w:val="00361677"/>
    <w:rsid w:val="003616A2"/>
    <w:rsid w:val="003616CB"/>
    <w:rsid w:val="00361806"/>
    <w:rsid w:val="00361807"/>
    <w:rsid w:val="0036180A"/>
    <w:rsid w:val="00361823"/>
    <w:rsid w:val="0036183D"/>
    <w:rsid w:val="00361882"/>
    <w:rsid w:val="003619E9"/>
    <w:rsid w:val="00361A3A"/>
    <w:rsid w:val="00361B27"/>
    <w:rsid w:val="00361B69"/>
    <w:rsid w:val="00361D5F"/>
    <w:rsid w:val="00361D9C"/>
    <w:rsid w:val="00361F83"/>
    <w:rsid w:val="00361FFF"/>
    <w:rsid w:val="00362052"/>
    <w:rsid w:val="003620A7"/>
    <w:rsid w:val="003620EC"/>
    <w:rsid w:val="0036213D"/>
    <w:rsid w:val="003622DD"/>
    <w:rsid w:val="003622FA"/>
    <w:rsid w:val="003623E9"/>
    <w:rsid w:val="003624B7"/>
    <w:rsid w:val="00362552"/>
    <w:rsid w:val="00362619"/>
    <w:rsid w:val="003626CB"/>
    <w:rsid w:val="003627A3"/>
    <w:rsid w:val="00362872"/>
    <w:rsid w:val="003628C9"/>
    <w:rsid w:val="0036291B"/>
    <w:rsid w:val="00362931"/>
    <w:rsid w:val="0036295E"/>
    <w:rsid w:val="0036297C"/>
    <w:rsid w:val="00362A56"/>
    <w:rsid w:val="00362B40"/>
    <w:rsid w:val="00362B87"/>
    <w:rsid w:val="00362C59"/>
    <w:rsid w:val="00362C87"/>
    <w:rsid w:val="00362CC3"/>
    <w:rsid w:val="00362CC8"/>
    <w:rsid w:val="00362CDC"/>
    <w:rsid w:val="00362D13"/>
    <w:rsid w:val="00362DB3"/>
    <w:rsid w:val="00362E22"/>
    <w:rsid w:val="00362EA8"/>
    <w:rsid w:val="00362ECC"/>
    <w:rsid w:val="00362FEE"/>
    <w:rsid w:val="00363069"/>
    <w:rsid w:val="00363179"/>
    <w:rsid w:val="00363198"/>
    <w:rsid w:val="003633F7"/>
    <w:rsid w:val="00363401"/>
    <w:rsid w:val="00363524"/>
    <w:rsid w:val="00363594"/>
    <w:rsid w:val="003635EC"/>
    <w:rsid w:val="00363653"/>
    <w:rsid w:val="003636AB"/>
    <w:rsid w:val="003636EA"/>
    <w:rsid w:val="0036374F"/>
    <w:rsid w:val="00363834"/>
    <w:rsid w:val="00363850"/>
    <w:rsid w:val="0036386C"/>
    <w:rsid w:val="00363902"/>
    <w:rsid w:val="00363947"/>
    <w:rsid w:val="003639E3"/>
    <w:rsid w:val="00363A0E"/>
    <w:rsid w:val="00363B06"/>
    <w:rsid w:val="00363B1C"/>
    <w:rsid w:val="00363BA0"/>
    <w:rsid w:val="00363BF4"/>
    <w:rsid w:val="00363DC7"/>
    <w:rsid w:val="00363E39"/>
    <w:rsid w:val="00363FAB"/>
    <w:rsid w:val="00363FC6"/>
    <w:rsid w:val="00363FCB"/>
    <w:rsid w:val="00364003"/>
    <w:rsid w:val="00364013"/>
    <w:rsid w:val="00364083"/>
    <w:rsid w:val="0036411D"/>
    <w:rsid w:val="003641D3"/>
    <w:rsid w:val="0036427D"/>
    <w:rsid w:val="003642AA"/>
    <w:rsid w:val="00364313"/>
    <w:rsid w:val="0036435D"/>
    <w:rsid w:val="00364402"/>
    <w:rsid w:val="00364627"/>
    <w:rsid w:val="00364650"/>
    <w:rsid w:val="003646D0"/>
    <w:rsid w:val="0036471E"/>
    <w:rsid w:val="003647FB"/>
    <w:rsid w:val="00364926"/>
    <w:rsid w:val="003649A5"/>
    <w:rsid w:val="00364A10"/>
    <w:rsid w:val="00364AC8"/>
    <w:rsid w:val="00364B65"/>
    <w:rsid w:val="00364C17"/>
    <w:rsid w:val="00364C84"/>
    <w:rsid w:val="00364D0C"/>
    <w:rsid w:val="00364D18"/>
    <w:rsid w:val="00364E7D"/>
    <w:rsid w:val="00364EAF"/>
    <w:rsid w:val="00364F54"/>
    <w:rsid w:val="00364F6E"/>
    <w:rsid w:val="00364FF0"/>
    <w:rsid w:val="00364FF1"/>
    <w:rsid w:val="00365077"/>
    <w:rsid w:val="00365089"/>
    <w:rsid w:val="003650B8"/>
    <w:rsid w:val="003650E6"/>
    <w:rsid w:val="00365199"/>
    <w:rsid w:val="003651D2"/>
    <w:rsid w:val="0036529D"/>
    <w:rsid w:val="003652A2"/>
    <w:rsid w:val="00365348"/>
    <w:rsid w:val="0036536B"/>
    <w:rsid w:val="0036538E"/>
    <w:rsid w:val="00365394"/>
    <w:rsid w:val="003653D4"/>
    <w:rsid w:val="00365448"/>
    <w:rsid w:val="00365598"/>
    <w:rsid w:val="003655DC"/>
    <w:rsid w:val="00365821"/>
    <w:rsid w:val="00365861"/>
    <w:rsid w:val="003658CD"/>
    <w:rsid w:val="003658D4"/>
    <w:rsid w:val="00365950"/>
    <w:rsid w:val="003659DD"/>
    <w:rsid w:val="003659F9"/>
    <w:rsid w:val="00365ABF"/>
    <w:rsid w:val="00365B18"/>
    <w:rsid w:val="00365C81"/>
    <w:rsid w:val="00365CB5"/>
    <w:rsid w:val="00365D38"/>
    <w:rsid w:val="00365DC4"/>
    <w:rsid w:val="00365EE9"/>
    <w:rsid w:val="00365F5A"/>
    <w:rsid w:val="00365FF6"/>
    <w:rsid w:val="00366053"/>
    <w:rsid w:val="0036606B"/>
    <w:rsid w:val="003661BD"/>
    <w:rsid w:val="00366232"/>
    <w:rsid w:val="00366240"/>
    <w:rsid w:val="00366295"/>
    <w:rsid w:val="00366325"/>
    <w:rsid w:val="00366437"/>
    <w:rsid w:val="0036647F"/>
    <w:rsid w:val="003664FD"/>
    <w:rsid w:val="003665D4"/>
    <w:rsid w:val="00366680"/>
    <w:rsid w:val="003666D3"/>
    <w:rsid w:val="0036676D"/>
    <w:rsid w:val="003667E8"/>
    <w:rsid w:val="0036686F"/>
    <w:rsid w:val="0036689E"/>
    <w:rsid w:val="003669A5"/>
    <w:rsid w:val="003669C8"/>
    <w:rsid w:val="00366A08"/>
    <w:rsid w:val="00366A92"/>
    <w:rsid w:val="00366B05"/>
    <w:rsid w:val="00366BDA"/>
    <w:rsid w:val="00366BF1"/>
    <w:rsid w:val="00366C09"/>
    <w:rsid w:val="00366C89"/>
    <w:rsid w:val="00366DA4"/>
    <w:rsid w:val="00366DDB"/>
    <w:rsid w:val="00366E01"/>
    <w:rsid w:val="00366E72"/>
    <w:rsid w:val="00366EB2"/>
    <w:rsid w:val="00366F16"/>
    <w:rsid w:val="00366FA3"/>
    <w:rsid w:val="0036715A"/>
    <w:rsid w:val="0036718F"/>
    <w:rsid w:val="0036720E"/>
    <w:rsid w:val="00367244"/>
    <w:rsid w:val="00367268"/>
    <w:rsid w:val="003672B6"/>
    <w:rsid w:val="00367386"/>
    <w:rsid w:val="003673F6"/>
    <w:rsid w:val="0036743A"/>
    <w:rsid w:val="0036749A"/>
    <w:rsid w:val="003674D8"/>
    <w:rsid w:val="00367612"/>
    <w:rsid w:val="00367642"/>
    <w:rsid w:val="003676D3"/>
    <w:rsid w:val="003676E1"/>
    <w:rsid w:val="0036776E"/>
    <w:rsid w:val="00367814"/>
    <w:rsid w:val="00367838"/>
    <w:rsid w:val="0036789C"/>
    <w:rsid w:val="003678A5"/>
    <w:rsid w:val="003678A7"/>
    <w:rsid w:val="003678EB"/>
    <w:rsid w:val="003678F3"/>
    <w:rsid w:val="0036796B"/>
    <w:rsid w:val="003679CC"/>
    <w:rsid w:val="00367A1A"/>
    <w:rsid w:val="00367A5E"/>
    <w:rsid w:val="00367A90"/>
    <w:rsid w:val="00367CE8"/>
    <w:rsid w:val="00367CEF"/>
    <w:rsid w:val="00367D10"/>
    <w:rsid w:val="00367D23"/>
    <w:rsid w:val="00367DF7"/>
    <w:rsid w:val="00367E12"/>
    <w:rsid w:val="00367E71"/>
    <w:rsid w:val="00367F04"/>
    <w:rsid w:val="00367F13"/>
    <w:rsid w:val="00367F79"/>
    <w:rsid w:val="0037000A"/>
    <w:rsid w:val="00370070"/>
    <w:rsid w:val="003700AC"/>
    <w:rsid w:val="003700C7"/>
    <w:rsid w:val="00370134"/>
    <w:rsid w:val="00370212"/>
    <w:rsid w:val="0037026E"/>
    <w:rsid w:val="00370287"/>
    <w:rsid w:val="00370292"/>
    <w:rsid w:val="00370427"/>
    <w:rsid w:val="00370698"/>
    <w:rsid w:val="003706C0"/>
    <w:rsid w:val="003707DB"/>
    <w:rsid w:val="00370AAF"/>
    <w:rsid w:val="00370ACA"/>
    <w:rsid w:val="00370AF0"/>
    <w:rsid w:val="00370C3F"/>
    <w:rsid w:val="00370D3B"/>
    <w:rsid w:val="00370E24"/>
    <w:rsid w:val="00370E6A"/>
    <w:rsid w:val="00370E7A"/>
    <w:rsid w:val="00370E87"/>
    <w:rsid w:val="00370EF5"/>
    <w:rsid w:val="00371055"/>
    <w:rsid w:val="003710DA"/>
    <w:rsid w:val="0037122E"/>
    <w:rsid w:val="003712C7"/>
    <w:rsid w:val="003713D6"/>
    <w:rsid w:val="003713E2"/>
    <w:rsid w:val="0037146C"/>
    <w:rsid w:val="00371509"/>
    <w:rsid w:val="00371554"/>
    <w:rsid w:val="003715B3"/>
    <w:rsid w:val="003715E8"/>
    <w:rsid w:val="003716A8"/>
    <w:rsid w:val="00371757"/>
    <w:rsid w:val="003719A1"/>
    <w:rsid w:val="003719CD"/>
    <w:rsid w:val="003719EA"/>
    <w:rsid w:val="00371A45"/>
    <w:rsid w:val="00371A52"/>
    <w:rsid w:val="00371AAE"/>
    <w:rsid w:val="00371AE0"/>
    <w:rsid w:val="00371B61"/>
    <w:rsid w:val="00371B99"/>
    <w:rsid w:val="00371C38"/>
    <w:rsid w:val="00371C73"/>
    <w:rsid w:val="00371CA1"/>
    <w:rsid w:val="00371CB3"/>
    <w:rsid w:val="00371DA7"/>
    <w:rsid w:val="00371DF4"/>
    <w:rsid w:val="00371F49"/>
    <w:rsid w:val="00371F59"/>
    <w:rsid w:val="00371FBD"/>
    <w:rsid w:val="003720CF"/>
    <w:rsid w:val="00372173"/>
    <w:rsid w:val="00372175"/>
    <w:rsid w:val="003721A7"/>
    <w:rsid w:val="003722E1"/>
    <w:rsid w:val="00372336"/>
    <w:rsid w:val="00372350"/>
    <w:rsid w:val="00372365"/>
    <w:rsid w:val="003723D8"/>
    <w:rsid w:val="00372516"/>
    <w:rsid w:val="00372720"/>
    <w:rsid w:val="00372742"/>
    <w:rsid w:val="0037274A"/>
    <w:rsid w:val="00372764"/>
    <w:rsid w:val="003727BC"/>
    <w:rsid w:val="00372897"/>
    <w:rsid w:val="00372994"/>
    <w:rsid w:val="00372A8A"/>
    <w:rsid w:val="00372BB4"/>
    <w:rsid w:val="00372BC6"/>
    <w:rsid w:val="00372C57"/>
    <w:rsid w:val="00372CE8"/>
    <w:rsid w:val="00372CEC"/>
    <w:rsid w:val="00372D34"/>
    <w:rsid w:val="00372D7B"/>
    <w:rsid w:val="00372DD7"/>
    <w:rsid w:val="00372E30"/>
    <w:rsid w:val="00372EB9"/>
    <w:rsid w:val="00372FB8"/>
    <w:rsid w:val="00372FFF"/>
    <w:rsid w:val="00373090"/>
    <w:rsid w:val="00373114"/>
    <w:rsid w:val="003731AD"/>
    <w:rsid w:val="003732C6"/>
    <w:rsid w:val="0037332B"/>
    <w:rsid w:val="003734BE"/>
    <w:rsid w:val="0037359B"/>
    <w:rsid w:val="00373603"/>
    <w:rsid w:val="00373707"/>
    <w:rsid w:val="0037378D"/>
    <w:rsid w:val="00373797"/>
    <w:rsid w:val="003737C9"/>
    <w:rsid w:val="003737F5"/>
    <w:rsid w:val="003737F6"/>
    <w:rsid w:val="00373871"/>
    <w:rsid w:val="0037397E"/>
    <w:rsid w:val="00373A35"/>
    <w:rsid w:val="00373AF4"/>
    <w:rsid w:val="00373B82"/>
    <w:rsid w:val="00373BB6"/>
    <w:rsid w:val="00373D1F"/>
    <w:rsid w:val="00373DA4"/>
    <w:rsid w:val="00373E06"/>
    <w:rsid w:val="00373EB0"/>
    <w:rsid w:val="00373EB3"/>
    <w:rsid w:val="00373FD8"/>
    <w:rsid w:val="003740AB"/>
    <w:rsid w:val="00374155"/>
    <w:rsid w:val="00374161"/>
    <w:rsid w:val="003741CD"/>
    <w:rsid w:val="003741E5"/>
    <w:rsid w:val="0037423D"/>
    <w:rsid w:val="00374411"/>
    <w:rsid w:val="00374451"/>
    <w:rsid w:val="003744FB"/>
    <w:rsid w:val="00374547"/>
    <w:rsid w:val="0037464E"/>
    <w:rsid w:val="00374772"/>
    <w:rsid w:val="003747F4"/>
    <w:rsid w:val="0037484C"/>
    <w:rsid w:val="003748EE"/>
    <w:rsid w:val="003748FF"/>
    <w:rsid w:val="00374942"/>
    <w:rsid w:val="00374999"/>
    <w:rsid w:val="003749D6"/>
    <w:rsid w:val="00374A9B"/>
    <w:rsid w:val="00374B4A"/>
    <w:rsid w:val="00374B79"/>
    <w:rsid w:val="00374CE7"/>
    <w:rsid w:val="00374D3C"/>
    <w:rsid w:val="00374D63"/>
    <w:rsid w:val="00374E34"/>
    <w:rsid w:val="00374E4B"/>
    <w:rsid w:val="00374EE0"/>
    <w:rsid w:val="00374FBE"/>
    <w:rsid w:val="00374FD0"/>
    <w:rsid w:val="00374FDD"/>
    <w:rsid w:val="00374FE9"/>
    <w:rsid w:val="003750A7"/>
    <w:rsid w:val="003750EE"/>
    <w:rsid w:val="003750FF"/>
    <w:rsid w:val="0037519E"/>
    <w:rsid w:val="003751CF"/>
    <w:rsid w:val="00375348"/>
    <w:rsid w:val="00375433"/>
    <w:rsid w:val="003754CA"/>
    <w:rsid w:val="003754D0"/>
    <w:rsid w:val="0037552F"/>
    <w:rsid w:val="003756FF"/>
    <w:rsid w:val="003757C7"/>
    <w:rsid w:val="003757F5"/>
    <w:rsid w:val="00375914"/>
    <w:rsid w:val="00375A51"/>
    <w:rsid w:val="00375A78"/>
    <w:rsid w:val="00375B4E"/>
    <w:rsid w:val="00375B7E"/>
    <w:rsid w:val="00375B9C"/>
    <w:rsid w:val="00375C74"/>
    <w:rsid w:val="00375C93"/>
    <w:rsid w:val="00375CC0"/>
    <w:rsid w:val="00375CEA"/>
    <w:rsid w:val="00375D49"/>
    <w:rsid w:val="00375D57"/>
    <w:rsid w:val="00375D7E"/>
    <w:rsid w:val="00375D80"/>
    <w:rsid w:val="00375DE3"/>
    <w:rsid w:val="00375EE2"/>
    <w:rsid w:val="00375F65"/>
    <w:rsid w:val="00376031"/>
    <w:rsid w:val="003760AD"/>
    <w:rsid w:val="003760C1"/>
    <w:rsid w:val="003761AB"/>
    <w:rsid w:val="003761F8"/>
    <w:rsid w:val="00376271"/>
    <w:rsid w:val="003762D4"/>
    <w:rsid w:val="00376389"/>
    <w:rsid w:val="003763B0"/>
    <w:rsid w:val="003764E9"/>
    <w:rsid w:val="00376524"/>
    <w:rsid w:val="0037652F"/>
    <w:rsid w:val="0037653B"/>
    <w:rsid w:val="0037663F"/>
    <w:rsid w:val="0037667D"/>
    <w:rsid w:val="003766B8"/>
    <w:rsid w:val="00376776"/>
    <w:rsid w:val="003768CD"/>
    <w:rsid w:val="00376911"/>
    <w:rsid w:val="003769FB"/>
    <w:rsid w:val="00376AD9"/>
    <w:rsid w:val="00376B18"/>
    <w:rsid w:val="00376B25"/>
    <w:rsid w:val="00376B2D"/>
    <w:rsid w:val="00376B58"/>
    <w:rsid w:val="00376CD7"/>
    <w:rsid w:val="00376D23"/>
    <w:rsid w:val="00376D5E"/>
    <w:rsid w:val="00376D77"/>
    <w:rsid w:val="00376F61"/>
    <w:rsid w:val="00376F9C"/>
    <w:rsid w:val="00376FD6"/>
    <w:rsid w:val="00376FDB"/>
    <w:rsid w:val="00377008"/>
    <w:rsid w:val="00377059"/>
    <w:rsid w:val="00377104"/>
    <w:rsid w:val="00377192"/>
    <w:rsid w:val="0037719B"/>
    <w:rsid w:val="0037719F"/>
    <w:rsid w:val="003772C1"/>
    <w:rsid w:val="00377307"/>
    <w:rsid w:val="00377327"/>
    <w:rsid w:val="00377355"/>
    <w:rsid w:val="00377399"/>
    <w:rsid w:val="0037748D"/>
    <w:rsid w:val="00377490"/>
    <w:rsid w:val="0037749D"/>
    <w:rsid w:val="00377527"/>
    <w:rsid w:val="0037753C"/>
    <w:rsid w:val="00377586"/>
    <w:rsid w:val="00377670"/>
    <w:rsid w:val="003776D0"/>
    <w:rsid w:val="00377703"/>
    <w:rsid w:val="00377714"/>
    <w:rsid w:val="0037778B"/>
    <w:rsid w:val="003778E2"/>
    <w:rsid w:val="0037792C"/>
    <w:rsid w:val="00377992"/>
    <w:rsid w:val="003779EA"/>
    <w:rsid w:val="00377A2F"/>
    <w:rsid w:val="00377A98"/>
    <w:rsid w:val="00377B93"/>
    <w:rsid w:val="00377BA4"/>
    <w:rsid w:val="00377C3C"/>
    <w:rsid w:val="00377DB2"/>
    <w:rsid w:val="00377E90"/>
    <w:rsid w:val="00377F48"/>
    <w:rsid w:val="00377F79"/>
    <w:rsid w:val="00377FF6"/>
    <w:rsid w:val="003800E8"/>
    <w:rsid w:val="003800F9"/>
    <w:rsid w:val="0038010C"/>
    <w:rsid w:val="0038012D"/>
    <w:rsid w:val="00380143"/>
    <w:rsid w:val="0038032F"/>
    <w:rsid w:val="003803A3"/>
    <w:rsid w:val="003803FA"/>
    <w:rsid w:val="003804AC"/>
    <w:rsid w:val="00380537"/>
    <w:rsid w:val="00380543"/>
    <w:rsid w:val="0038067C"/>
    <w:rsid w:val="00380745"/>
    <w:rsid w:val="0038078E"/>
    <w:rsid w:val="003807FA"/>
    <w:rsid w:val="00380829"/>
    <w:rsid w:val="00380883"/>
    <w:rsid w:val="003808A1"/>
    <w:rsid w:val="00380903"/>
    <w:rsid w:val="003809AE"/>
    <w:rsid w:val="00380A74"/>
    <w:rsid w:val="00380AB4"/>
    <w:rsid w:val="00380AC0"/>
    <w:rsid w:val="00380BAF"/>
    <w:rsid w:val="00380C61"/>
    <w:rsid w:val="00380CB1"/>
    <w:rsid w:val="00380D73"/>
    <w:rsid w:val="00380E03"/>
    <w:rsid w:val="00380E83"/>
    <w:rsid w:val="00380F6A"/>
    <w:rsid w:val="00380F79"/>
    <w:rsid w:val="003810B9"/>
    <w:rsid w:val="003811EC"/>
    <w:rsid w:val="00381277"/>
    <w:rsid w:val="00381354"/>
    <w:rsid w:val="00381370"/>
    <w:rsid w:val="00381456"/>
    <w:rsid w:val="00381465"/>
    <w:rsid w:val="0038148B"/>
    <w:rsid w:val="003814F3"/>
    <w:rsid w:val="0038159A"/>
    <w:rsid w:val="003815C6"/>
    <w:rsid w:val="003815F9"/>
    <w:rsid w:val="003816C2"/>
    <w:rsid w:val="003816FF"/>
    <w:rsid w:val="0038174B"/>
    <w:rsid w:val="003818B9"/>
    <w:rsid w:val="00381941"/>
    <w:rsid w:val="00381968"/>
    <w:rsid w:val="00381975"/>
    <w:rsid w:val="00381A56"/>
    <w:rsid w:val="00381A63"/>
    <w:rsid w:val="00381C41"/>
    <w:rsid w:val="00381CA9"/>
    <w:rsid w:val="00381D4D"/>
    <w:rsid w:val="00381DB2"/>
    <w:rsid w:val="00381E73"/>
    <w:rsid w:val="00381EBF"/>
    <w:rsid w:val="00381F12"/>
    <w:rsid w:val="00381F56"/>
    <w:rsid w:val="00381F7B"/>
    <w:rsid w:val="003820AD"/>
    <w:rsid w:val="00382219"/>
    <w:rsid w:val="00382238"/>
    <w:rsid w:val="003822E7"/>
    <w:rsid w:val="00382427"/>
    <w:rsid w:val="0038246E"/>
    <w:rsid w:val="003824BE"/>
    <w:rsid w:val="003824DB"/>
    <w:rsid w:val="00382556"/>
    <w:rsid w:val="00382569"/>
    <w:rsid w:val="003825AE"/>
    <w:rsid w:val="0038262D"/>
    <w:rsid w:val="00382643"/>
    <w:rsid w:val="0038265C"/>
    <w:rsid w:val="003826B0"/>
    <w:rsid w:val="0038271F"/>
    <w:rsid w:val="00382748"/>
    <w:rsid w:val="003829C2"/>
    <w:rsid w:val="003829FE"/>
    <w:rsid w:val="00382A82"/>
    <w:rsid w:val="00382BC9"/>
    <w:rsid w:val="00382C2C"/>
    <w:rsid w:val="00382D7D"/>
    <w:rsid w:val="00382DCC"/>
    <w:rsid w:val="00382EB1"/>
    <w:rsid w:val="00383013"/>
    <w:rsid w:val="00383079"/>
    <w:rsid w:val="003830A5"/>
    <w:rsid w:val="003830B1"/>
    <w:rsid w:val="00383148"/>
    <w:rsid w:val="00383155"/>
    <w:rsid w:val="003831AB"/>
    <w:rsid w:val="003831E2"/>
    <w:rsid w:val="0038326D"/>
    <w:rsid w:val="00383305"/>
    <w:rsid w:val="003833A4"/>
    <w:rsid w:val="00383427"/>
    <w:rsid w:val="00383582"/>
    <w:rsid w:val="00383594"/>
    <w:rsid w:val="00383609"/>
    <w:rsid w:val="00383622"/>
    <w:rsid w:val="00383886"/>
    <w:rsid w:val="00383915"/>
    <w:rsid w:val="0038394B"/>
    <w:rsid w:val="00383982"/>
    <w:rsid w:val="00383A2E"/>
    <w:rsid w:val="00383A6D"/>
    <w:rsid w:val="00383AD4"/>
    <w:rsid w:val="00383B3E"/>
    <w:rsid w:val="00383C43"/>
    <w:rsid w:val="00383D2B"/>
    <w:rsid w:val="00383D92"/>
    <w:rsid w:val="00383E23"/>
    <w:rsid w:val="00383F49"/>
    <w:rsid w:val="0038400D"/>
    <w:rsid w:val="00384041"/>
    <w:rsid w:val="00384116"/>
    <w:rsid w:val="003841DD"/>
    <w:rsid w:val="003843EA"/>
    <w:rsid w:val="00384446"/>
    <w:rsid w:val="0038450C"/>
    <w:rsid w:val="003845E8"/>
    <w:rsid w:val="0038461B"/>
    <w:rsid w:val="0038462C"/>
    <w:rsid w:val="00384676"/>
    <w:rsid w:val="00384759"/>
    <w:rsid w:val="003848BA"/>
    <w:rsid w:val="00384906"/>
    <w:rsid w:val="003849E9"/>
    <w:rsid w:val="00384A07"/>
    <w:rsid w:val="00384A12"/>
    <w:rsid w:val="00384AB7"/>
    <w:rsid w:val="00384ADD"/>
    <w:rsid w:val="00384B4B"/>
    <w:rsid w:val="00384B57"/>
    <w:rsid w:val="00384C02"/>
    <w:rsid w:val="00384CE0"/>
    <w:rsid w:val="00384E39"/>
    <w:rsid w:val="00384F05"/>
    <w:rsid w:val="00384FFD"/>
    <w:rsid w:val="00385038"/>
    <w:rsid w:val="00385099"/>
    <w:rsid w:val="0038523E"/>
    <w:rsid w:val="003853BD"/>
    <w:rsid w:val="00385448"/>
    <w:rsid w:val="0038547B"/>
    <w:rsid w:val="0038548F"/>
    <w:rsid w:val="003854E1"/>
    <w:rsid w:val="003854F1"/>
    <w:rsid w:val="00385697"/>
    <w:rsid w:val="003856A6"/>
    <w:rsid w:val="003856E2"/>
    <w:rsid w:val="003856EB"/>
    <w:rsid w:val="0038578B"/>
    <w:rsid w:val="003857F1"/>
    <w:rsid w:val="0038589A"/>
    <w:rsid w:val="003858C1"/>
    <w:rsid w:val="003858E9"/>
    <w:rsid w:val="00385919"/>
    <w:rsid w:val="00385928"/>
    <w:rsid w:val="00385A48"/>
    <w:rsid w:val="00385B9C"/>
    <w:rsid w:val="00385C3D"/>
    <w:rsid w:val="00385CEE"/>
    <w:rsid w:val="00385CFF"/>
    <w:rsid w:val="00385D84"/>
    <w:rsid w:val="00385E88"/>
    <w:rsid w:val="00385FF8"/>
    <w:rsid w:val="003860E5"/>
    <w:rsid w:val="003861E8"/>
    <w:rsid w:val="00386284"/>
    <w:rsid w:val="003862A2"/>
    <w:rsid w:val="003862DC"/>
    <w:rsid w:val="00386305"/>
    <w:rsid w:val="00386319"/>
    <w:rsid w:val="00386428"/>
    <w:rsid w:val="003864B8"/>
    <w:rsid w:val="003864F8"/>
    <w:rsid w:val="003865C3"/>
    <w:rsid w:val="0038669C"/>
    <w:rsid w:val="0038674A"/>
    <w:rsid w:val="0038678E"/>
    <w:rsid w:val="003869AB"/>
    <w:rsid w:val="00386B97"/>
    <w:rsid w:val="00386C4F"/>
    <w:rsid w:val="00386EDD"/>
    <w:rsid w:val="003870DE"/>
    <w:rsid w:val="00387182"/>
    <w:rsid w:val="00387241"/>
    <w:rsid w:val="0038726B"/>
    <w:rsid w:val="0038726D"/>
    <w:rsid w:val="00387283"/>
    <w:rsid w:val="003872D5"/>
    <w:rsid w:val="00387359"/>
    <w:rsid w:val="003873A9"/>
    <w:rsid w:val="003873B7"/>
    <w:rsid w:val="0038757A"/>
    <w:rsid w:val="00387588"/>
    <w:rsid w:val="003875B6"/>
    <w:rsid w:val="003875C4"/>
    <w:rsid w:val="003876AA"/>
    <w:rsid w:val="003877B0"/>
    <w:rsid w:val="003879BA"/>
    <w:rsid w:val="003879F7"/>
    <w:rsid w:val="00387A39"/>
    <w:rsid w:val="00387A5C"/>
    <w:rsid w:val="00387AAF"/>
    <w:rsid w:val="00387B26"/>
    <w:rsid w:val="00387B41"/>
    <w:rsid w:val="00387B4A"/>
    <w:rsid w:val="00387BC1"/>
    <w:rsid w:val="00387CD3"/>
    <w:rsid w:val="00387D61"/>
    <w:rsid w:val="00387D6B"/>
    <w:rsid w:val="00387F01"/>
    <w:rsid w:val="00390070"/>
    <w:rsid w:val="0039009F"/>
    <w:rsid w:val="00390182"/>
    <w:rsid w:val="003902C7"/>
    <w:rsid w:val="00390323"/>
    <w:rsid w:val="0039043E"/>
    <w:rsid w:val="003904DB"/>
    <w:rsid w:val="003905A3"/>
    <w:rsid w:val="003905B7"/>
    <w:rsid w:val="00390659"/>
    <w:rsid w:val="003906D8"/>
    <w:rsid w:val="003907A3"/>
    <w:rsid w:val="003907FB"/>
    <w:rsid w:val="00390856"/>
    <w:rsid w:val="0039086E"/>
    <w:rsid w:val="00390874"/>
    <w:rsid w:val="00390921"/>
    <w:rsid w:val="00390935"/>
    <w:rsid w:val="003909D8"/>
    <w:rsid w:val="003909FC"/>
    <w:rsid w:val="00390A78"/>
    <w:rsid w:val="00390B23"/>
    <w:rsid w:val="00390B28"/>
    <w:rsid w:val="00390B88"/>
    <w:rsid w:val="00390C9E"/>
    <w:rsid w:val="00390D5F"/>
    <w:rsid w:val="00391030"/>
    <w:rsid w:val="003910A1"/>
    <w:rsid w:val="003910C8"/>
    <w:rsid w:val="003910CC"/>
    <w:rsid w:val="00391163"/>
    <w:rsid w:val="003912A7"/>
    <w:rsid w:val="003912F0"/>
    <w:rsid w:val="00391390"/>
    <w:rsid w:val="003915E1"/>
    <w:rsid w:val="00391739"/>
    <w:rsid w:val="00391775"/>
    <w:rsid w:val="00391781"/>
    <w:rsid w:val="003917B0"/>
    <w:rsid w:val="003917BA"/>
    <w:rsid w:val="00391818"/>
    <w:rsid w:val="003918E3"/>
    <w:rsid w:val="003918F9"/>
    <w:rsid w:val="003919ED"/>
    <w:rsid w:val="00391AA7"/>
    <w:rsid w:val="00391AB4"/>
    <w:rsid w:val="00391AC4"/>
    <w:rsid w:val="00391B95"/>
    <w:rsid w:val="00391BDE"/>
    <w:rsid w:val="00391C7B"/>
    <w:rsid w:val="00391D09"/>
    <w:rsid w:val="00391D16"/>
    <w:rsid w:val="00391D8E"/>
    <w:rsid w:val="00391DFF"/>
    <w:rsid w:val="00391F6C"/>
    <w:rsid w:val="0039209C"/>
    <w:rsid w:val="003920E9"/>
    <w:rsid w:val="00392100"/>
    <w:rsid w:val="00392178"/>
    <w:rsid w:val="0039229E"/>
    <w:rsid w:val="00392344"/>
    <w:rsid w:val="003923B8"/>
    <w:rsid w:val="003923F4"/>
    <w:rsid w:val="0039243A"/>
    <w:rsid w:val="00392450"/>
    <w:rsid w:val="0039245A"/>
    <w:rsid w:val="003924BC"/>
    <w:rsid w:val="0039250D"/>
    <w:rsid w:val="003925CE"/>
    <w:rsid w:val="00392626"/>
    <w:rsid w:val="00392686"/>
    <w:rsid w:val="003927F5"/>
    <w:rsid w:val="00392809"/>
    <w:rsid w:val="00392944"/>
    <w:rsid w:val="00392961"/>
    <w:rsid w:val="00392B32"/>
    <w:rsid w:val="00392B6C"/>
    <w:rsid w:val="00392C57"/>
    <w:rsid w:val="00392D25"/>
    <w:rsid w:val="00392E08"/>
    <w:rsid w:val="00392E7D"/>
    <w:rsid w:val="00392F2A"/>
    <w:rsid w:val="00392F3B"/>
    <w:rsid w:val="00392F4D"/>
    <w:rsid w:val="00392F67"/>
    <w:rsid w:val="00392FAD"/>
    <w:rsid w:val="00392FBA"/>
    <w:rsid w:val="00392FEB"/>
    <w:rsid w:val="00392FF0"/>
    <w:rsid w:val="0039300B"/>
    <w:rsid w:val="00393026"/>
    <w:rsid w:val="0039307A"/>
    <w:rsid w:val="003930F5"/>
    <w:rsid w:val="00393213"/>
    <w:rsid w:val="00393237"/>
    <w:rsid w:val="0039325B"/>
    <w:rsid w:val="0039328C"/>
    <w:rsid w:val="0039329B"/>
    <w:rsid w:val="003932C6"/>
    <w:rsid w:val="003932FA"/>
    <w:rsid w:val="0039332A"/>
    <w:rsid w:val="00393333"/>
    <w:rsid w:val="00393591"/>
    <w:rsid w:val="003935D6"/>
    <w:rsid w:val="0039362C"/>
    <w:rsid w:val="00393790"/>
    <w:rsid w:val="0039399D"/>
    <w:rsid w:val="003939A2"/>
    <w:rsid w:val="00393A6A"/>
    <w:rsid w:val="00393A8E"/>
    <w:rsid w:val="00393B6F"/>
    <w:rsid w:val="00393B9B"/>
    <w:rsid w:val="00393CD7"/>
    <w:rsid w:val="00393D78"/>
    <w:rsid w:val="00393DD1"/>
    <w:rsid w:val="00393F46"/>
    <w:rsid w:val="00393FDC"/>
    <w:rsid w:val="00394005"/>
    <w:rsid w:val="0039409E"/>
    <w:rsid w:val="003940A5"/>
    <w:rsid w:val="00394169"/>
    <w:rsid w:val="003941FC"/>
    <w:rsid w:val="00394303"/>
    <w:rsid w:val="0039434E"/>
    <w:rsid w:val="003943E6"/>
    <w:rsid w:val="0039441B"/>
    <w:rsid w:val="00394474"/>
    <w:rsid w:val="003944E4"/>
    <w:rsid w:val="00394567"/>
    <w:rsid w:val="00394576"/>
    <w:rsid w:val="003947CD"/>
    <w:rsid w:val="00394976"/>
    <w:rsid w:val="00394991"/>
    <w:rsid w:val="00394BDE"/>
    <w:rsid w:val="00394C56"/>
    <w:rsid w:val="00394D74"/>
    <w:rsid w:val="00394DB4"/>
    <w:rsid w:val="00394DD8"/>
    <w:rsid w:val="00394EAF"/>
    <w:rsid w:val="00394F49"/>
    <w:rsid w:val="00395002"/>
    <w:rsid w:val="00395020"/>
    <w:rsid w:val="00395058"/>
    <w:rsid w:val="0039506E"/>
    <w:rsid w:val="003950DC"/>
    <w:rsid w:val="0039512C"/>
    <w:rsid w:val="003952AB"/>
    <w:rsid w:val="003952D1"/>
    <w:rsid w:val="0039532A"/>
    <w:rsid w:val="0039534D"/>
    <w:rsid w:val="00395395"/>
    <w:rsid w:val="003953E1"/>
    <w:rsid w:val="00395403"/>
    <w:rsid w:val="0039545D"/>
    <w:rsid w:val="003954A8"/>
    <w:rsid w:val="0039551A"/>
    <w:rsid w:val="00395635"/>
    <w:rsid w:val="00395668"/>
    <w:rsid w:val="00395698"/>
    <w:rsid w:val="003956AD"/>
    <w:rsid w:val="003956EE"/>
    <w:rsid w:val="003957F2"/>
    <w:rsid w:val="0039580D"/>
    <w:rsid w:val="0039591D"/>
    <w:rsid w:val="00395977"/>
    <w:rsid w:val="003959C3"/>
    <w:rsid w:val="00395A14"/>
    <w:rsid w:val="00395A57"/>
    <w:rsid w:val="00395B81"/>
    <w:rsid w:val="00395BDF"/>
    <w:rsid w:val="00395C0B"/>
    <w:rsid w:val="00395C41"/>
    <w:rsid w:val="00395D00"/>
    <w:rsid w:val="00395D85"/>
    <w:rsid w:val="00395DC8"/>
    <w:rsid w:val="00395E46"/>
    <w:rsid w:val="00395EAD"/>
    <w:rsid w:val="00395EBE"/>
    <w:rsid w:val="00395F07"/>
    <w:rsid w:val="00395F54"/>
    <w:rsid w:val="00395F86"/>
    <w:rsid w:val="00395FBD"/>
    <w:rsid w:val="0039609E"/>
    <w:rsid w:val="003961F2"/>
    <w:rsid w:val="0039626C"/>
    <w:rsid w:val="003962AA"/>
    <w:rsid w:val="0039635F"/>
    <w:rsid w:val="003964CD"/>
    <w:rsid w:val="00396508"/>
    <w:rsid w:val="0039655D"/>
    <w:rsid w:val="003965FA"/>
    <w:rsid w:val="0039660D"/>
    <w:rsid w:val="003966DA"/>
    <w:rsid w:val="0039675B"/>
    <w:rsid w:val="00396768"/>
    <w:rsid w:val="00396769"/>
    <w:rsid w:val="0039682A"/>
    <w:rsid w:val="0039682D"/>
    <w:rsid w:val="00396859"/>
    <w:rsid w:val="0039686D"/>
    <w:rsid w:val="003969EB"/>
    <w:rsid w:val="00396A35"/>
    <w:rsid w:val="00396A73"/>
    <w:rsid w:val="00396B57"/>
    <w:rsid w:val="00396BAC"/>
    <w:rsid w:val="00396C51"/>
    <w:rsid w:val="00396C5B"/>
    <w:rsid w:val="00396D08"/>
    <w:rsid w:val="00396D38"/>
    <w:rsid w:val="00396D93"/>
    <w:rsid w:val="00396F6F"/>
    <w:rsid w:val="00396F8B"/>
    <w:rsid w:val="00396FC8"/>
    <w:rsid w:val="00397114"/>
    <w:rsid w:val="00397159"/>
    <w:rsid w:val="0039715E"/>
    <w:rsid w:val="00397235"/>
    <w:rsid w:val="00397287"/>
    <w:rsid w:val="0039728F"/>
    <w:rsid w:val="003973F5"/>
    <w:rsid w:val="00397414"/>
    <w:rsid w:val="00397436"/>
    <w:rsid w:val="003976D1"/>
    <w:rsid w:val="00397768"/>
    <w:rsid w:val="0039776D"/>
    <w:rsid w:val="0039778A"/>
    <w:rsid w:val="0039787A"/>
    <w:rsid w:val="00397945"/>
    <w:rsid w:val="0039794A"/>
    <w:rsid w:val="00397954"/>
    <w:rsid w:val="00397A47"/>
    <w:rsid w:val="00397A58"/>
    <w:rsid w:val="00397AA0"/>
    <w:rsid w:val="00397ADE"/>
    <w:rsid w:val="00397B5A"/>
    <w:rsid w:val="00397C65"/>
    <w:rsid w:val="00397D47"/>
    <w:rsid w:val="00397ED8"/>
    <w:rsid w:val="00397EE9"/>
    <w:rsid w:val="003A007E"/>
    <w:rsid w:val="003A00F6"/>
    <w:rsid w:val="003A014F"/>
    <w:rsid w:val="003A03B1"/>
    <w:rsid w:val="003A03D4"/>
    <w:rsid w:val="003A046B"/>
    <w:rsid w:val="003A047C"/>
    <w:rsid w:val="003A04C2"/>
    <w:rsid w:val="003A04C8"/>
    <w:rsid w:val="003A04FF"/>
    <w:rsid w:val="003A056A"/>
    <w:rsid w:val="003A05CA"/>
    <w:rsid w:val="003A071D"/>
    <w:rsid w:val="003A0A1C"/>
    <w:rsid w:val="003A0A48"/>
    <w:rsid w:val="003A0AB8"/>
    <w:rsid w:val="003A0AD7"/>
    <w:rsid w:val="003A0CA9"/>
    <w:rsid w:val="003A0CF8"/>
    <w:rsid w:val="003A0DAF"/>
    <w:rsid w:val="003A0EFF"/>
    <w:rsid w:val="003A0F6E"/>
    <w:rsid w:val="003A1045"/>
    <w:rsid w:val="003A10DE"/>
    <w:rsid w:val="003A10E6"/>
    <w:rsid w:val="003A10E9"/>
    <w:rsid w:val="003A112C"/>
    <w:rsid w:val="003A1155"/>
    <w:rsid w:val="003A1194"/>
    <w:rsid w:val="003A11E2"/>
    <w:rsid w:val="003A136E"/>
    <w:rsid w:val="003A13AE"/>
    <w:rsid w:val="003A13C0"/>
    <w:rsid w:val="003A13C2"/>
    <w:rsid w:val="003A14F4"/>
    <w:rsid w:val="003A1680"/>
    <w:rsid w:val="003A168B"/>
    <w:rsid w:val="003A16CA"/>
    <w:rsid w:val="003A17F4"/>
    <w:rsid w:val="003A1805"/>
    <w:rsid w:val="003A1815"/>
    <w:rsid w:val="003A1907"/>
    <w:rsid w:val="003A1A1E"/>
    <w:rsid w:val="003A1A74"/>
    <w:rsid w:val="003A1B3D"/>
    <w:rsid w:val="003A1CEE"/>
    <w:rsid w:val="003A1D7D"/>
    <w:rsid w:val="003A1DBB"/>
    <w:rsid w:val="003A1E78"/>
    <w:rsid w:val="003A1F10"/>
    <w:rsid w:val="003A1F44"/>
    <w:rsid w:val="003A1F77"/>
    <w:rsid w:val="003A20F8"/>
    <w:rsid w:val="003A21D0"/>
    <w:rsid w:val="003A2234"/>
    <w:rsid w:val="003A2243"/>
    <w:rsid w:val="003A241F"/>
    <w:rsid w:val="003A243A"/>
    <w:rsid w:val="003A2503"/>
    <w:rsid w:val="003A250B"/>
    <w:rsid w:val="003A2525"/>
    <w:rsid w:val="003A2530"/>
    <w:rsid w:val="003A2561"/>
    <w:rsid w:val="003A25B1"/>
    <w:rsid w:val="003A25ED"/>
    <w:rsid w:val="003A267D"/>
    <w:rsid w:val="003A2741"/>
    <w:rsid w:val="003A276A"/>
    <w:rsid w:val="003A279F"/>
    <w:rsid w:val="003A27EF"/>
    <w:rsid w:val="003A2828"/>
    <w:rsid w:val="003A2885"/>
    <w:rsid w:val="003A28D3"/>
    <w:rsid w:val="003A2906"/>
    <w:rsid w:val="003A290B"/>
    <w:rsid w:val="003A2A1F"/>
    <w:rsid w:val="003A2AB4"/>
    <w:rsid w:val="003A2B6D"/>
    <w:rsid w:val="003A2CB0"/>
    <w:rsid w:val="003A2CE9"/>
    <w:rsid w:val="003A2D31"/>
    <w:rsid w:val="003A2D51"/>
    <w:rsid w:val="003A2D61"/>
    <w:rsid w:val="003A2D78"/>
    <w:rsid w:val="003A2EB7"/>
    <w:rsid w:val="003A2F1B"/>
    <w:rsid w:val="003A2F56"/>
    <w:rsid w:val="003A2F5E"/>
    <w:rsid w:val="003A3047"/>
    <w:rsid w:val="003A315D"/>
    <w:rsid w:val="003A3162"/>
    <w:rsid w:val="003A31B8"/>
    <w:rsid w:val="003A31F6"/>
    <w:rsid w:val="003A3206"/>
    <w:rsid w:val="003A32AF"/>
    <w:rsid w:val="003A333F"/>
    <w:rsid w:val="003A335E"/>
    <w:rsid w:val="003A33EA"/>
    <w:rsid w:val="003A35D8"/>
    <w:rsid w:val="003A3649"/>
    <w:rsid w:val="003A373F"/>
    <w:rsid w:val="003A3832"/>
    <w:rsid w:val="003A3840"/>
    <w:rsid w:val="003A3941"/>
    <w:rsid w:val="003A394F"/>
    <w:rsid w:val="003A39AF"/>
    <w:rsid w:val="003A3A55"/>
    <w:rsid w:val="003A3B24"/>
    <w:rsid w:val="003A3B5E"/>
    <w:rsid w:val="003A3BB2"/>
    <w:rsid w:val="003A3C11"/>
    <w:rsid w:val="003A3C73"/>
    <w:rsid w:val="003A3C77"/>
    <w:rsid w:val="003A3C9C"/>
    <w:rsid w:val="003A3CEB"/>
    <w:rsid w:val="003A3D98"/>
    <w:rsid w:val="003A402E"/>
    <w:rsid w:val="003A4030"/>
    <w:rsid w:val="003A4060"/>
    <w:rsid w:val="003A41E5"/>
    <w:rsid w:val="003A421B"/>
    <w:rsid w:val="003A42A5"/>
    <w:rsid w:val="003A4328"/>
    <w:rsid w:val="003A43F8"/>
    <w:rsid w:val="003A43FE"/>
    <w:rsid w:val="003A445B"/>
    <w:rsid w:val="003A4465"/>
    <w:rsid w:val="003A44EF"/>
    <w:rsid w:val="003A4560"/>
    <w:rsid w:val="003A4575"/>
    <w:rsid w:val="003A45AB"/>
    <w:rsid w:val="003A4652"/>
    <w:rsid w:val="003A4686"/>
    <w:rsid w:val="003A4732"/>
    <w:rsid w:val="003A4750"/>
    <w:rsid w:val="003A47AF"/>
    <w:rsid w:val="003A47BD"/>
    <w:rsid w:val="003A47CE"/>
    <w:rsid w:val="003A47F9"/>
    <w:rsid w:val="003A4830"/>
    <w:rsid w:val="003A48B7"/>
    <w:rsid w:val="003A495B"/>
    <w:rsid w:val="003A4A5B"/>
    <w:rsid w:val="003A4B6D"/>
    <w:rsid w:val="003A4D15"/>
    <w:rsid w:val="003A4D28"/>
    <w:rsid w:val="003A4DBA"/>
    <w:rsid w:val="003A4E57"/>
    <w:rsid w:val="003A4E58"/>
    <w:rsid w:val="003A4F47"/>
    <w:rsid w:val="003A4F4B"/>
    <w:rsid w:val="003A4F97"/>
    <w:rsid w:val="003A502A"/>
    <w:rsid w:val="003A5163"/>
    <w:rsid w:val="003A51EB"/>
    <w:rsid w:val="003A529D"/>
    <w:rsid w:val="003A52EF"/>
    <w:rsid w:val="003A52F9"/>
    <w:rsid w:val="003A5313"/>
    <w:rsid w:val="003A53C9"/>
    <w:rsid w:val="003A547A"/>
    <w:rsid w:val="003A54CF"/>
    <w:rsid w:val="003A5597"/>
    <w:rsid w:val="003A567B"/>
    <w:rsid w:val="003A568A"/>
    <w:rsid w:val="003A5712"/>
    <w:rsid w:val="003A574D"/>
    <w:rsid w:val="003A5827"/>
    <w:rsid w:val="003A5915"/>
    <w:rsid w:val="003A5ACB"/>
    <w:rsid w:val="003A5C0E"/>
    <w:rsid w:val="003A5C18"/>
    <w:rsid w:val="003A5D46"/>
    <w:rsid w:val="003A5F33"/>
    <w:rsid w:val="003A5F50"/>
    <w:rsid w:val="003A5FBE"/>
    <w:rsid w:val="003A5FFF"/>
    <w:rsid w:val="003A621D"/>
    <w:rsid w:val="003A6304"/>
    <w:rsid w:val="003A6309"/>
    <w:rsid w:val="003A63E5"/>
    <w:rsid w:val="003A649C"/>
    <w:rsid w:val="003A66EE"/>
    <w:rsid w:val="003A6712"/>
    <w:rsid w:val="003A67A2"/>
    <w:rsid w:val="003A67BF"/>
    <w:rsid w:val="003A67F9"/>
    <w:rsid w:val="003A68C9"/>
    <w:rsid w:val="003A68F0"/>
    <w:rsid w:val="003A69D4"/>
    <w:rsid w:val="003A69FB"/>
    <w:rsid w:val="003A6A52"/>
    <w:rsid w:val="003A6ADC"/>
    <w:rsid w:val="003A6B83"/>
    <w:rsid w:val="003A6BBB"/>
    <w:rsid w:val="003A6BEA"/>
    <w:rsid w:val="003A6C40"/>
    <w:rsid w:val="003A6D3C"/>
    <w:rsid w:val="003A6E2B"/>
    <w:rsid w:val="003A6EC2"/>
    <w:rsid w:val="003A6EEA"/>
    <w:rsid w:val="003A6F24"/>
    <w:rsid w:val="003A7045"/>
    <w:rsid w:val="003A71B9"/>
    <w:rsid w:val="003A71C1"/>
    <w:rsid w:val="003A720B"/>
    <w:rsid w:val="003A723D"/>
    <w:rsid w:val="003A72EC"/>
    <w:rsid w:val="003A7328"/>
    <w:rsid w:val="003A73AD"/>
    <w:rsid w:val="003A73DE"/>
    <w:rsid w:val="003A74D7"/>
    <w:rsid w:val="003A75D0"/>
    <w:rsid w:val="003A7621"/>
    <w:rsid w:val="003A7646"/>
    <w:rsid w:val="003A774C"/>
    <w:rsid w:val="003A7886"/>
    <w:rsid w:val="003A78B8"/>
    <w:rsid w:val="003A78F3"/>
    <w:rsid w:val="003A790A"/>
    <w:rsid w:val="003A7948"/>
    <w:rsid w:val="003A79CF"/>
    <w:rsid w:val="003A7A29"/>
    <w:rsid w:val="003A7B6B"/>
    <w:rsid w:val="003A7BC6"/>
    <w:rsid w:val="003A7BF2"/>
    <w:rsid w:val="003A7C4A"/>
    <w:rsid w:val="003A7D10"/>
    <w:rsid w:val="003A7DBF"/>
    <w:rsid w:val="003A7E8D"/>
    <w:rsid w:val="003A7EC3"/>
    <w:rsid w:val="003A7F11"/>
    <w:rsid w:val="003A7F59"/>
    <w:rsid w:val="003A7FA9"/>
    <w:rsid w:val="003B009A"/>
    <w:rsid w:val="003B00AC"/>
    <w:rsid w:val="003B00C8"/>
    <w:rsid w:val="003B0102"/>
    <w:rsid w:val="003B01A8"/>
    <w:rsid w:val="003B0348"/>
    <w:rsid w:val="003B0449"/>
    <w:rsid w:val="003B04B4"/>
    <w:rsid w:val="003B06AC"/>
    <w:rsid w:val="003B06B0"/>
    <w:rsid w:val="003B07F6"/>
    <w:rsid w:val="003B0AA8"/>
    <w:rsid w:val="003B0AAA"/>
    <w:rsid w:val="003B0AFD"/>
    <w:rsid w:val="003B0B85"/>
    <w:rsid w:val="003B0B93"/>
    <w:rsid w:val="003B0C0F"/>
    <w:rsid w:val="003B0C4F"/>
    <w:rsid w:val="003B0D6E"/>
    <w:rsid w:val="003B0D80"/>
    <w:rsid w:val="003B0E33"/>
    <w:rsid w:val="003B0E91"/>
    <w:rsid w:val="003B0E96"/>
    <w:rsid w:val="003B0EA1"/>
    <w:rsid w:val="003B0ED6"/>
    <w:rsid w:val="003B0F54"/>
    <w:rsid w:val="003B0FA6"/>
    <w:rsid w:val="003B10BA"/>
    <w:rsid w:val="003B10FC"/>
    <w:rsid w:val="003B1230"/>
    <w:rsid w:val="003B12F8"/>
    <w:rsid w:val="003B1446"/>
    <w:rsid w:val="003B1562"/>
    <w:rsid w:val="003B164D"/>
    <w:rsid w:val="003B16E9"/>
    <w:rsid w:val="003B16F7"/>
    <w:rsid w:val="003B1934"/>
    <w:rsid w:val="003B1960"/>
    <w:rsid w:val="003B1A9F"/>
    <w:rsid w:val="003B1AB3"/>
    <w:rsid w:val="003B1B19"/>
    <w:rsid w:val="003B1C44"/>
    <w:rsid w:val="003B1C6D"/>
    <w:rsid w:val="003B1C8F"/>
    <w:rsid w:val="003B1D0E"/>
    <w:rsid w:val="003B1D4B"/>
    <w:rsid w:val="003B1D66"/>
    <w:rsid w:val="003B1E2F"/>
    <w:rsid w:val="003B1E52"/>
    <w:rsid w:val="003B2062"/>
    <w:rsid w:val="003B20E5"/>
    <w:rsid w:val="003B20F8"/>
    <w:rsid w:val="003B21EF"/>
    <w:rsid w:val="003B2238"/>
    <w:rsid w:val="003B2250"/>
    <w:rsid w:val="003B230E"/>
    <w:rsid w:val="003B2329"/>
    <w:rsid w:val="003B2381"/>
    <w:rsid w:val="003B23A0"/>
    <w:rsid w:val="003B24AD"/>
    <w:rsid w:val="003B24F6"/>
    <w:rsid w:val="003B24FA"/>
    <w:rsid w:val="003B2565"/>
    <w:rsid w:val="003B25DE"/>
    <w:rsid w:val="003B266E"/>
    <w:rsid w:val="003B26D7"/>
    <w:rsid w:val="003B2897"/>
    <w:rsid w:val="003B2A97"/>
    <w:rsid w:val="003B2B56"/>
    <w:rsid w:val="003B2C09"/>
    <w:rsid w:val="003B2E2B"/>
    <w:rsid w:val="003B2F7A"/>
    <w:rsid w:val="003B2FDC"/>
    <w:rsid w:val="003B311B"/>
    <w:rsid w:val="003B322B"/>
    <w:rsid w:val="003B329E"/>
    <w:rsid w:val="003B3357"/>
    <w:rsid w:val="003B33D2"/>
    <w:rsid w:val="003B3402"/>
    <w:rsid w:val="003B347F"/>
    <w:rsid w:val="003B35BC"/>
    <w:rsid w:val="003B3642"/>
    <w:rsid w:val="003B368D"/>
    <w:rsid w:val="003B372D"/>
    <w:rsid w:val="003B385A"/>
    <w:rsid w:val="003B3860"/>
    <w:rsid w:val="003B3984"/>
    <w:rsid w:val="003B3AD2"/>
    <w:rsid w:val="003B3AE7"/>
    <w:rsid w:val="003B3B7A"/>
    <w:rsid w:val="003B3BE9"/>
    <w:rsid w:val="003B3BFB"/>
    <w:rsid w:val="003B3C4A"/>
    <w:rsid w:val="003B3CEC"/>
    <w:rsid w:val="003B3D36"/>
    <w:rsid w:val="003B3DCD"/>
    <w:rsid w:val="003B3DD7"/>
    <w:rsid w:val="003B3DF5"/>
    <w:rsid w:val="003B3F3D"/>
    <w:rsid w:val="003B3F71"/>
    <w:rsid w:val="003B40A8"/>
    <w:rsid w:val="003B40AB"/>
    <w:rsid w:val="003B40F3"/>
    <w:rsid w:val="003B42DF"/>
    <w:rsid w:val="003B430C"/>
    <w:rsid w:val="003B4369"/>
    <w:rsid w:val="003B4377"/>
    <w:rsid w:val="003B4473"/>
    <w:rsid w:val="003B4561"/>
    <w:rsid w:val="003B4607"/>
    <w:rsid w:val="003B471C"/>
    <w:rsid w:val="003B4768"/>
    <w:rsid w:val="003B4815"/>
    <w:rsid w:val="003B484A"/>
    <w:rsid w:val="003B48F0"/>
    <w:rsid w:val="003B48F7"/>
    <w:rsid w:val="003B48FE"/>
    <w:rsid w:val="003B4B81"/>
    <w:rsid w:val="003B4B93"/>
    <w:rsid w:val="003B4C09"/>
    <w:rsid w:val="003B4C47"/>
    <w:rsid w:val="003B4C5C"/>
    <w:rsid w:val="003B4D0A"/>
    <w:rsid w:val="003B4D37"/>
    <w:rsid w:val="003B4DFC"/>
    <w:rsid w:val="003B4E23"/>
    <w:rsid w:val="003B4EE0"/>
    <w:rsid w:val="003B4F3D"/>
    <w:rsid w:val="003B4FDA"/>
    <w:rsid w:val="003B5081"/>
    <w:rsid w:val="003B50AE"/>
    <w:rsid w:val="003B50BE"/>
    <w:rsid w:val="003B50DC"/>
    <w:rsid w:val="003B510E"/>
    <w:rsid w:val="003B51A2"/>
    <w:rsid w:val="003B51E5"/>
    <w:rsid w:val="003B52E3"/>
    <w:rsid w:val="003B52F7"/>
    <w:rsid w:val="003B5356"/>
    <w:rsid w:val="003B5422"/>
    <w:rsid w:val="003B54EE"/>
    <w:rsid w:val="003B5528"/>
    <w:rsid w:val="003B56F5"/>
    <w:rsid w:val="003B5752"/>
    <w:rsid w:val="003B58E1"/>
    <w:rsid w:val="003B5901"/>
    <w:rsid w:val="003B5922"/>
    <w:rsid w:val="003B5976"/>
    <w:rsid w:val="003B5A0E"/>
    <w:rsid w:val="003B5C2D"/>
    <w:rsid w:val="003B5C95"/>
    <w:rsid w:val="003B5CA0"/>
    <w:rsid w:val="003B5EAD"/>
    <w:rsid w:val="003B5EDA"/>
    <w:rsid w:val="003B5EE7"/>
    <w:rsid w:val="003B5F0E"/>
    <w:rsid w:val="003B5FCC"/>
    <w:rsid w:val="003B6017"/>
    <w:rsid w:val="003B6018"/>
    <w:rsid w:val="003B62D6"/>
    <w:rsid w:val="003B62F8"/>
    <w:rsid w:val="003B6389"/>
    <w:rsid w:val="003B63AF"/>
    <w:rsid w:val="003B652B"/>
    <w:rsid w:val="003B6612"/>
    <w:rsid w:val="003B66A8"/>
    <w:rsid w:val="003B6700"/>
    <w:rsid w:val="003B6736"/>
    <w:rsid w:val="003B67FA"/>
    <w:rsid w:val="003B6802"/>
    <w:rsid w:val="003B687D"/>
    <w:rsid w:val="003B68B6"/>
    <w:rsid w:val="003B691C"/>
    <w:rsid w:val="003B69F6"/>
    <w:rsid w:val="003B6C04"/>
    <w:rsid w:val="003B6C4C"/>
    <w:rsid w:val="003B6C74"/>
    <w:rsid w:val="003B6C7A"/>
    <w:rsid w:val="003B6DBA"/>
    <w:rsid w:val="003B6E64"/>
    <w:rsid w:val="003B6E6F"/>
    <w:rsid w:val="003B6EE8"/>
    <w:rsid w:val="003B6F55"/>
    <w:rsid w:val="003B6F63"/>
    <w:rsid w:val="003B6F8A"/>
    <w:rsid w:val="003B6FF8"/>
    <w:rsid w:val="003B7010"/>
    <w:rsid w:val="003B703E"/>
    <w:rsid w:val="003B70EF"/>
    <w:rsid w:val="003B7172"/>
    <w:rsid w:val="003B7257"/>
    <w:rsid w:val="003B7287"/>
    <w:rsid w:val="003B72DD"/>
    <w:rsid w:val="003B7308"/>
    <w:rsid w:val="003B73A0"/>
    <w:rsid w:val="003B7406"/>
    <w:rsid w:val="003B7462"/>
    <w:rsid w:val="003B74AD"/>
    <w:rsid w:val="003B74DD"/>
    <w:rsid w:val="003B75A3"/>
    <w:rsid w:val="003B7690"/>
    <w:rsid w:val="003B7692"/>
    <w:rsid w:val="003B7789"/>
    <w:rsid w:val="003B78DE"/>
    <w:rsid w:val="003B78EB"/>
    <w:rsid w:val="003B78ED"/>
    <w:rsid w:val="003B78F1"/>
    <w:rsid w:val="003B79CE"/>
    <w:rsid w:val="003B7A52"/>
    <w:rsid w:val="003B7A9A"/>
    <w:rsid w:val="003B7B1F"/>
    <w:rsid w:val="003B7B34"/>
    <w:rsid w:val="003B7B50"/>
    <w:rsid w:val="003B7B8B"/>
    <w:rsid w:val="003B7C3C"/>
    <w:rsid w:val="003B7D36"/>
    <w:rsid w:val="003B7D84"/>
    <w:rsid w:val="003B7DAA"/>
    <w:rsid w:val="003B7E7C"/>
    <w:rsid w:val="003B7EF1"/>
    <w:rsid w:val="003B7F93"/>
    <w:rsid w:val="003C003A"/>
    <w:rsid w:val="003C0073"/>
    <w:rsid w:val="003C0082"/>
    <w:rsid w:val="003C0097"/>
    <w:rsid w:val="003C00AB"/>
    <w:rsid w:val="003C018B"/>
    <w:rsid w:val="003C01CA"/>
    <w:rsid w:val="003C0243"/>
    <w:rsid w:val="003C02A9"/>
    <w:rsid w:val="003C0370"/>
    <w:rsid w:val="003C039C"/>
    <w:rsid w:val="003C040D"/>
    <w:rsid w:val="003C04D0"/>
    <w:rsid w:val="003C0505"/>
    <w:rsid w:val="003C05FB"/>
    <w:rsid w:val="003C0641"/>
    <w:rsid w:val="003C06A3"/>
    <w:rsid w:val="003C06F7"/>
    <w:rsid w:val="003C070C"/>
    <w:rsid w:val="003C0797"/>
    <w:rsid w:val="003C0895"/>
    <w:rsid w:val="003C08FB"/>
    <w:rsid w:val="003C0900"/>
    <w:rsid w:val="003C0925"/>
    <w:rsid w:val="003C0B92"/>
    <w:rsid w:val="003C0C43"/>
    <w:rsid w:val="003C0C4C"/>
    <w:rsid w:val="003C0C73"/>
    <w:rsid w:val="003C0D2C"/>
    <w:rsid w:val="003C0FE5"/>
    <w:rsid w:val="003C102B"/>
    <w:rsid w:val="003C126D"/>
    <w:rsid w:val="003C1281"/>
    <w:rsid w:val="003C12BD"/>
    <w:rsid w:val="003C14EA"/>
    <w:rsid w:val="003C15F7"/>
    <w:rsid w:val="003C1625"/>
    <w:rsid w:val="003C16FE"/>
    <w:rsid w:val="003C173E"/>
    <w:rsid w:val="003C1824"/>
    <w:rsid w:val="003C1982"/>
    <w:rsid w:val="003C19B7"/>
    <w:rsid w:val="003C1A0D"/>
    <w:rsid w:val="003C1A28"/>
    <w:rsid w:val="003C1A3E"/>
    <w:rsid w:val="003C1B1B"/>
    <w:rsid w:val="003C1B33"/>
    <w:rsid w:val="003C1BAC"/>
    <w:rsid w:val="003C1C4A"/>
    <w:rsid w:val="003C1C87"/>
    <w:rsid w:val="003C1D4B"/>
    <w:rsid w:val="003C1E93"/>
    <w:rsid w:val="003C1EFC"/>
    <w:rsid w:val="003C1FA3"/>
    <w:rsid w:val="003C2070"/>
    <w:rsid w:val="003C209A"/>
    <w:rsid w:val="003C20FE"/>
    <w:rsid w:val="003C22BC"/>
    <w:rsid w:val="003C22D6"/>
    <w:rsid w:val="003C24F0"/>
    <w:rsid w:val="003C261E"/>
    <w:rsid w:val="003C263C"/>
    <w:rsid w:val="003C26C7"/>
    <w:rsid w:val="003C2762"/>
    <w:rsid w:val="003C2783"/>
    <w:rsid w:val="003C2816"/>
    <w:rsid w:val="003C284F"/>
    <w:rsid w:val="003C2892"/>
    <w:rsid w:val="003C28B2"/>
    <w:rsid w:val="003C28CF"/>
    <w:rsid w:val="003C28F7"/>
    <w:rsid w:val="003C2938"/>
    <w:rsid w:val="003C2BB1"/>
    <w:rsid w:val="003C2BDA"/>
    <w:rsid w:val="003C2D09"/>
    <w:rsid w:val="003C2EC7"/>
    <w:rsid w:val="003C2EC9"/>
    <w:rsid w:val="003C2EDC"/>
    <w:rsid w:val="003C2EDD"/>
    <w:rsid w:val="003C2F14"/>
    <w:rsid w:val="003C2F32"/>
    <w:rsid w:val="003C3073"/>
    <w:rsid w:val="003C308C"/>
    <w:rsid w:val="003C30D7"/>
    <w:rsid w:val="003C3105"/>
    <w:rsid w:val="003C32A2"/>
    <w:rsid w:val="003C32BE"/>
    <w:rsid w:val="003C3352"/>
    <w:rsid w:val="003C341A"/>
    <w:rsid w:val="003C3504"/>
    <w:rsid w:val="003C358F"/>
    <w:rsid w:val="003C35FA"/>
    <w:rsid w:val="003C3650"/>
    <w:rsid w:val="003C3666"/>
    <w:rsid w:val="003C3697"/>
    <w:rsid w:val="003C372E"/>
    <w:rsid w:val="003C387B"/>
    <w:rsid w:val="003C3954"/>
    <w:rsid w:val="003C39BE"/>
    <w:rsid w:val="003C3ABF"/>
    <w:rsid w:val="003C3B1A"/>
    <w:rsid w:val="003C3BB8"/>
    <w:rsid w:val="003C3BB9"/>
    <w:rsid w:val="003C3D65"/>
    <w:rsid w:val="003C3DBB"/>
    <w:rsid w:val="003C3E16"/>
    <w:rsid w:val="003C3F1C"/>
    <w:rsid w:val="003C4104"/>
    <w:rsid w:val="003C418B"/>
    <w:rsid w:val="003C41EA"/>
    <w:rsid w:val="003C4208"/>
    <w:rsid w:val="003C4233"/>
    <w:rsid w:val="003C43EE"/>
    <w:rsid w:val="003C4441"/>
    <w:rsid w:val="003C458D"/>
    <w:rsid w:val="003C4620"/>
    <w:rsid w:val="003C472D"/>
    <w:rsid w:val="003C4761"/>
    <w:rsid w:val="003C4775"/>
    <w:rsid w:val="003C482A"/>
    <w:rsid w:val="003C4852"/>
    <w:rsid w:val="003C4878"/>
    <w:rsid w:val="003C4893"/>
    <w:rsid w:val="003C4904"/>
    <w:rsid w:val="003C4989"/>
    <w:rsid w:val="003C49C0"/>
    <w:rsid w:val="003C49E4"/>
    <w:rsid w:val="003C4ADC"/>
    <w:rsid w:val="003C4B01"/>
    <w:rsid w:val="003C4B03"/>
    <w:rsid w:val="003C4B87"/>
    <w:rsid w:val="003C4BE5"/>
    <w:rsid w:val="003C4BEC"/>
    <w:rsid w:val="003C4BF0"/>
    <w:rsid w:val="003C4C3D"/>
    <w:rsid w:val="003C4C5B"/>
    <w:rsid w:val="003C4C73"/>
    <w:rsid w:val="003C4CBD"/>
    <w:rsid w:val="003C4CFC"/>
    <w:rsid w:val="003C4DC6"/>
    <w:rsid w:val="003C4E37"/>
    <w:rsid w:val="003C4F05"/>
    <w:rsid w:val="003C4F44"/>
    <w:rsid w:val="003C4FA5"/>
    <w:rsid w:val="003C5064"/>
    <w:rsid w:val="003C5108"/>
    <w:rsid w:val="003C514A"/>
    <w:rsid w:val="003C517F"/>
    <w:rsid w:val="003C5257"/>
    <w:rsid w:val="003C5358"/>
    <w:rsid w:val="003C541F"/>
    <w:rsid w:val="003C5454"/>
    <w:rsid w:val="003C554C"/>
    <w:rsid w:val="003C5612"/>
    <w:rsid w:val="003C566E"/>
    <w:rsid w:val="003C576E"/>
    <w:rsid w:val="003C57D4"/>
    <w:rsid w:val="003C57FB"/>
    <w:rsid w:val="003C581D"/>
    <w:rsid w:val="003C5950"/>
    <w:rsid w:val="003C5AAA"/>
    <w:rsid w:val="003C5B20"/>
    <w:rsid w:val="003C5B30"/>
    <w:rsid w:val="003C5BB0"/>
    <w:rsid w:val="003C5C05"/>
    <w:rsid w:val="003C5CBA"/>
    <w:rsid w:val="003C5CF4"/>
    <w:rsid w:val="003C5D0F"/>
    <w:rsid w:val="003C5D13"/>
    <w:rsid w:val="003C5DED"/>
    <w:rsid w:val="003C5E6E"/>
    <w:rsid w:val="003C5F5C"/>
    <w:rsid w:val="003C5FB3"/>
    <w:rsid w:val="003C60F1"/>
    <w:rsid w:val="003C6161"/>
    <w:rsid w:val="003C61AA"/>
    <w:rsid w:val="003C61D9"/>
    <w:rsid w:val="003C6474"/>
    <w:rsid w:val="003C65BF"/>
    <w:rsid w:val="003C6620"/>
    <w:rsid w:val="003C662E"/>
    <w:rsid w:val="003C66A5"/>
    <w:rsid w:val="003C66BB"/>
    <w:rsid w:val="003C675F"/>
    <w:rsid w:val="003C6818"/>
    <w:rsid w:val="003C68A5"/>
    <w:rsid w:val="003C68CD"/>
    <w:rsid w:val="003C6930"/>
    <w:rsid w:val="003C69F8"/>
    <w:rsid w:val="003C6B73"/>
    <w:rsid w:val="003C6B77"/>
    <w:rsid w:val="003C6B8A"/>
    <w:rsid w:val="003C6C64"/>
    <w:rsid w:val="003C6D42"/>
    <w:rsid w:val="003C6D4C"/>
    <w:rsid w:val="003C6E8E"/>
    <w:rsid w:val="003C6EFA"/>
    <w:rsid w:val="003C6F3D"/>
    <w:rsid w:val="003C6FDF"/>
    <w:rsid w:val="003C703B"/>
    <w:rsid w:val="003C7082"/>
    <w:rsid w:val="003C710F"/>
    <w:rsid w:val="003C71B4"/>
    <w:rsid w:val="003C7266"/>
    <w:rsid w:val="003C72A5"/>
    <w:rsid w:val="003C72D5"/>
    <w:rsid w:val="003C72E5"/>
    <w:rsid w:val="003C7379"/>
    <w:rsid w:val="003C738C"/>
    <w:rsid w:val="003C7397"/>
    <w:rsid w:val="003C7404"/>
    <w:rsid w:val="003C7459"/>
    <w:rsid w:val="003C754F"/>
    <w:rsid w:val="003C7566"/>
    <w:rsid w:val="003C759E"/>
    <w:rsid w:val="003C7702"/>
    <w:rsid w:val="003C782F"/>
    <w:rsid w:val="003C78DE"/>
    <w:rsid w:val="003C7943"/>
    <w:rsid w:val="003C7989"/>
    <w:rsid w:val="003C7A17"/>
    <w:rsid w:val="003C7B15"/>
    <w:rsid w:val="003C7B55"/>
    <w:rsid w:val="003C7B66"/>
    <w:rsid w:val="003C7B6E"/>
    <w:rsid w:val="003C7BE7"/>
    <w:rsid w:val="003C7BEB"/>
    <w:rsid w:val="003C7CA7"/>
    <w:rsid w:val="003C7CAB"/>
    <w:rsid w:val="003C7CCA"/>
    <w:rsid w:val="003C7F58"/>
    <w:rsid w:val="003C7F5D"/>
    <w:rsid w:val="003CA89B"/>
    <w:rsid w:val="003D005E"/>
    <w:rsid w:val="003D009A"/>
    <w:rsid w:val="003D03A3"/>
    <w:rsid w:val="003D04BA"/>
    <w:rsid w:val="003D04EB"/>
    <w:rsid w:val="003D0560"/>
    <w:rsid w:val="003D05CC"/>
    <w:rsid w:val="003D06D5"/>
    <w:rsid w:val="003D06F6"/>
    <w:rsid w:val="003D07C2"/>
    <w:rsid w:val="003D07EB"/>
    <w:rsid w:val="003D08CF"/>
    <w:rsid w:val="003D0947"/>
    <w:rsid w:val="003D097F"/>
    <w:rsid w:val="003D0989"/>
    <w:rsid w:val="003D0A8E"/>
    <w:rsid w:val="003D0AC2"/>
    <w:rsid w:val="003D0BDB"/>
    <w:rsid w:val="003D0C5D"/>
    <w:rsid w:val="003D0C8D"/>
    <w:rsid w:val="003D0CF0"/>
    <w:rsid w:val="003D0D36"/>
    <w:rsid w:val="003D0D8A"/>
    <w:rsid w:val="003D0DD1"/>
    <w:rsid w:val="003D0F15"/>
    <w:rsid w:val="003D0FF2"/>
    <w:rsid w:val="003D1027"/>
    <w:rsid w:val="003D1037"/>
    <w:rsid w:val="003D1091"/>
    <w:rsid w:val="003D1126"/>
    <w:rsid w:val="003D1130"/>
    <w:rsid w:val="003D116B"/>
    <w:rsid w:val="003D11A1"/>
    <w:rsid w:val="003D120D"/>
    <w:rsid w:val="003D131F"/>
    <w:rsid w:val="003D1342"/>
    <w:rsid w:val="003D1394"/>
    <w:rsid w:val="003D1458"/>
    <w:rsid w:val="003D1472"/>
    <w:rsid w:val="003D14AF"/>
    <w:rsid w:val="003D14C4"/>
    <w:rsid w:val="003D1522"/>
    <w:rsid w:val="003D154F"/>
    <w:rsid w:val="003D1555"/>
    <w:rsid w:val="003D1579"/>
    <w:rsid w:val="003D158B"/>
    <w:rsid w:val="003D162F"/>
    <w:rsid w:val="003D1673"/>
    <w:rsid w:val="003D16CC"/>
    <w:rsid w:val="003D16E1"/>
    <w:rsid w:val="003D1728"/>
    <w:rsid w:val="003D17A5"/>
    <w:rsid w:val="003D1890"/>
    <w:rsid w:val="003D1C0A"/>
    <w:rsid w:val="003D1DF5"/>
    <w:rsid w:val="003D1E3C"/>
    <w:rsid w:val="003D1E5E"/>
    <w:rsid w:val="003D1E85"/>
    <w:rsid w:val="003D1F0D"/>
    <w:rsid w:val="003D1F6F"/>
    <w:rsid w:val="003D1F7F"/>
    <w:rsid w:val="003D2061"/>
    <w:rsid w:val="003D20FE"/>
    <w:rsid w:val="003D22B8"/>
    <w:rsid w:val="003D22D5"/>
    <w:rsid w:val="003D22E1"/>
    <w:rsid w:val="003D2317"/>
    <w:rsid w:val="003D24AB"/>
    <w:rsid w:val="003D2599"/>
    <w:rsid w:val="003D2605"/>
    <w:rsid w:val="003D26FD"/>
    <w:rsid w:val="003D274A"/>
    <w:rsid w:val="003D275F"/>
    <w:rsid w:val="003D2794"/>
    <w:rsid w:val="003D293F"/>
    <w:rsid w:val="003D2A03"/>
    <w:rsid w:val="003D2A17"/>
    <w:rsid w:val="003D2A5E"/>
    <w:rsid w:val="003D2ACE"/>
    <w:rsid w:val="003D2AE5"/>
    <w:rsid w:val="003D2AF9"/>
    <w:rsid w:val="003D2B52"/>
    <w:rsid w:val="003D2B9A"/>
    <w:rsid w:val="003D2BB2"/>
    <w:rsid w:val="003D2C06"/>
    <w:rsid w:val="003D2CDE"/>
    <w:rsid w:val="003D2D7F"/>
    <w:rsid w:val="003D2F24"/>
    <w:rsid w:val="003D2F3F"/>
    <w:rsid w:val="003D2FF5"/>
    <w:rsid w:val="003D30AC"/>
    <w:rsid w:val="003D30AE"/>
    <w:rsid w:val="003D30DB"/>
    <w:rsid w:val="003D3102"/>
    <w:rsid w:val="003D31C5"/>
    <w:rsid w:val="003D3281"/>
    <w:rsid w:val="003D334C"/>
    <w:rsid w:val="003D336A"/>
    <w:rsid w:val="003D339E"/>
    <w:rsid w:val="003D33F2"/>
    <w:rsid w:val="003D3426"/>
    <w:rsid w:val="003D3495"/>
    <w:rsid w:val="003D34A0"/>
    <w:rsid w:val="003D3544"/>
    <w:rsid w:val="003D359D"/>
    <w:rsid w:val="003D35A1"/>
    <w:rsid w:val="003D35D9"/>
    <w:rsid w:val="003D364A"/>
    <w:rsid w:val="003D364E"/>
    <w:rsid w:val="003D393E"/>
    <w:rsid w:val="003D3961"/>
    <w:rsid w:val="003D39DC"/>
    <w:rsid w:val="003D39E2"/>
    <w:rsid w:val="003D3A60"/>
    <w:rsid w:val="003D3A8C"/>
    <w:rsid w:val="003D3AB4"/>
    <w:rsid w:val="003D3B24"/>
    <w:rsid w:val="003D3BF4"/>
    <w:rsid w:val="003D3BFC"/>
    <w:rsid w:val="003D3CA8"/>
    <w:rsid w:val="003D3CFD"/>
    <w:rsid w:val="003D3D56"/>
    <w:rsid w:val="003D3D7C"/>
    <w:rsid w:val="003D3D7D"/>
    <w:rsid w:val="003D3EB6"/>
    <w:rsid w:val="003D3FC6"/>
    <w:rsid w:val="003D4036"/>
    <w:rsid w:val="003D4041"/>
    <w:rsid w:val="003D4063"/>
    <w:rsid w:val="003D4071"/>
    <w:rsid w:val="003D4097"/>
    <w:rsid w:val="003D40F1"/>
    <w:rsid w:val="003D40F4"/>
    <w:rsid w:val="003D4192"/>
    <w:rsid w:val="003D41B5"/>
    <w:rsid w:val="003D4265"/>
    <w:rsid w:val="003D4266"/>
    <w:rsid w:val="003D42AA"/>
    <w:rsid w:val="003D42F9"/>
    <w:rsid w:val="003D432E"/>
    <w:rsid w:val="003D43C9"/>
    <w:rsid w:val="003D455F"/>
    <w:rsid w:val="003D45E7"/>
    <w:rsid w:val="003D4619"/>
    <w:rsid w:val="003D4699"/>
    <w:rsid w:val="003D46C9"/>
    <w:rsid w:val="003D47BC"/>
    <w:rsid w:val="003D4909"/>
    <w:rsid w:val="003D491E"/>
    <w:rsid w:val="003D499A"/>
    <w:rsid w:val="003D4ACB"/>
    <w:rsid w:val="003D4B33"/>
    <w:rsid w:val="003D4B57"/>
    <w:rsid w:val="003D4BE7"/>
    <w:rsid w:val="003D4D23"/>
    <w:rsid w:val="003D4D8F"/>
    <w:rsid w:val="003D4ECC"/>
    <w:rsid w:val="003D4F1F"/>
    <w:rsid w:val="003D4F4A"/>
    <w:rsid w:val="003D4FDB"/>
    <w:rsid w:val="003D501C"/>
    <w:rsid w:val="003D5034"/>
    <w:rsid w:val="003D5048"/>
    <w:rsid w:val="003D51CB"/>
    <w:rsid w:val="003D5260"/>
    <w:rsid w:val="003D5268"/>
    <w:rsid w:val="003D544B"/>
    <w:rsid w:val="003D55DA"/>
    <w:rsid w:val="003D55DF"/>
    <w:rsid w:val="003D55FC"/>
    <w:rsid w:val="003D5680"/>
    <w:rsid w:val="003D57D1"/>
    <w:rsid w:val="003D5885"/>
    <w:rsid w:val="003D58A3"/>
    <w:rsid w:val="003D5B42"/>
    <w:rsid w:val="003D5C1D"/>
    <w:rsid w:val="003D5C24"/>
    <w:rsid w:val="003D5C7A"/>
    <w:rsid w:val="003D5CCF"/>
    <w:rsid w:val="003D5DEC"/>
    <w:rsid w:val="003D5EB5"/>
    <w:rsid w:val="003D5EE2"/>
    <w:rsid w:val="003D5F15"/>
    <w:rsid w:val="003D5F39"/>
    <w:rsid w:val="003D5F3A"/>
    <w:rsid w:val="003D60D5"/>
    <w:rsid w:val="003D610E"/>
    <w:rsid w:val="003D62DE"/>
    <w:rsid w:val="003D6397"/>
    <w:rsid w:val="003D6466"/>
    <w:rsid w:val="003D650A"/>
    <w:rsid w:val="003D656A"/>
    <w:rsid w:val="003D6586"/>
    <w:rsid w:val="003D662B"/>
    <w:rsid w:val="003D6869"/>
    <w:rsid w:val="003D68DD"/>
    <w:rsid w:val="003D69C3"/>
    <w:rsid w:val="003D6A38"/>
    <w:rsid w:val="003D6A9B"/>
    <w:rsid w:val="003D6AA3"/>
    <w:rsid w:val="003D6B59"/>
    <w:rsid w:val="003D6B83"/>
    <w:rsid w:val="003D6BB9"/>
    <w:rsid w:val="003D6CB1"/>
    <w:rsid w:val="003D6D94"/>
    <w:rsid w:val="003D6E75"/>
    <w:rsid w:val="003D6E81"/>
    <w:rsid w:val="003D6E8A"/>
    <w:rsid w:val="003D6E94"/>
    <w:rsid w:val="003D6F0D"/>
    <w:rsid w:val="003D6F6D"/>
    <w:rsid w:val="003D702C"/>
    <w:rsid w:val="003D70E0"/>
    <w:rsid w:val="003D70E8"/>
    <w:rsid w:val="003D717A"/>
    <w:rsid w:val="003D71DE"/>
    <w:rsid w:val="003D722F"/>
    <w:rsid w:val="003D723F"/>
    <w:rsid w:val="003D7391"/>
    <w:rsid w:val="003D749A"/>
    <w:rsid w:val="003D7577"/>
    <w:rsid w:val="003D75AA"/>
    <w:rsid w:val="003D75AE"/>
    <w:rsid w:val="003D7608"/>
    <w:rsid w:val="003D76E2"/>
    <w:rsid w:val="003D7840"/>
    <w:rsid w:val="003D7987"/>
    <w:rsid w:val="003D79C8"/>
    <w:rsid w:val="003D7ADC"/>
    <w:rsid w:val="003D7B40"/>
    <w:rsid w:val="003D7B75"/>
    <w:rsid w:val="003D7B91"/>
    <w:rsid w:val="003D7BCC"/>
    <w:rsid w:val="003D7C15"/>
    <w:rsid w:val="003D7D43"/>
    <w:rsid w:val="003D7D9E"/>
    <w:rsid w:val="003D7DC0"/>
    <w:rsid w:val="003D7E50"/>
    <w:rsid w:val="003D7F56"/>
    <w:rsid w:val="003E00E9"/>
    <w:rsid w:val="003E0226"/>
    <w:rsid w:val="003E02B3"/>
    <w:rsid w:val="003E02C4"/>
    <w:rsid w:val="003E02CF"/>
    <w:rsid w:val="003E0388"/>
    <w:rsid w:val="003E03D0"/>
    <w:rsid w:val="003E0476"/>
    <w:rsid w:val="003E04D6"/>
    <w:rsid w:val="003E053B"/>
    <w:rsid w:val="003E0560"/>
    <w:rsid w:val="003E058A"/>
    <w:rsid w:val="003E05B1"/>
    <w:rsid w:val="003E066E"/>
    <w:rsid w:val="003E06C6"/>
    <w:rsid w:val="003E06F9"/>
    <w:rsid w:val="003E071E"/>
    <w:rsid w:val="003E0765"/>
    <w:rsid w:val="003E07FD"/>
    <w:rsid w:val="003E0867"/>
    <w:rsid w:val="003E0957"/>
    <w:rsid w:val="003E0BB6"/>
    <w:rsid w:val="003E0C84"/>
    <w:rsid w:val="003E0C8B"/>
    <w:rsid w:val="003E0D87"/>
    <w:rsid w:val="003E0E5A"/>
    <w:rsid w:val="003E0F24"/>
    <w:rsid w:val="003E0F55"/>
    <w:rsid w:val="003E0F73"/>
    <w:rsid w:val="003E0F77"/>
    <w:rsid w:val="003E0FAC"/>
    <w:rsid w:val="003E1083"/>
    <w:rsid w:val="003E1328"/>
    <w:rsid w:val="003E1344"/>
    <w:rsid w:val="003E1390"/>
    <w:rsid w:val="003E1444"/>
    <w:rsid w:val="003E1513"/>
    <w:rsid w:val="003E160B"/>
    <w:rsid w:val="003E161A"/>
    <w:rsid w:val="003E163E"/>
    <w:rsid w:val="003E1731"/>
    <w:rsid w:val="003E18F3"/>
    <w:rsid w:val="003E19E8"/>
    <w:rsid w:val="003E19E9"/>
    <w:rsid w:val="003E1B08"/>
    <w:rsid w:val="003E1B17"/>
    <w:rsid w:val="003E1B3B"/>
    <w:rsid w:val="003E1CB2"/>
    <w:rsid w:val="003E1CD3"/>
    <w:rsid w:val="003E1ECA"/>
    <w:rsid w:val="003E1F35"/>
    <w:rsid w:val="003E1F3B"/>
    <w:rsid w:val="003E1F7A"/>
    <w:rsid w:val="003E1FD0"/>
    <w:rsid w:val="003E2016"/>
    <w:rsid w:val="003E20F4"/>
    <w:rsid w:val="003E2237"/>
    <w:rsid w:val="003E2260"/>
    <w:rsid w:val="003E22A6"/>
    <w:rsid w:val="003E2316"/>
    <w:rsid w:val="003E2344"/>
    <w:rsid w:val="003E23E1"/>
    <w:rsid w:val="003E248A"/>
    <w:rsid w:val="003E25A5"/>
    <w:rsid w:val="003E262A"/>
    <w:rsid w:val="003E269C"/>
    <w:rsid w:val="003E2709"/>
    <w:rsid w:val="003E2865"/>
    <w:rsid w:val="003E28D9"/>
    <w:rsid w:val="003E2930"/>
    <w:rsid w:val="003E2AC3"/>
    <w:rsid w:val="003E2BCB"/>
    <w:rsid w:val="003E2C0E"/>
    <w:rsid w:val="003E2CBF"/>
    <w:rsid w:val="003E2D5D"/>
    <w:rsid w:val="003E2DB3"/>
    <w:rsid w:val="003E2DF8"/>
    <w:rsid w:val="003E2E27"/>
    <w:rsid w:val="003E2E2F"/>
    <w:rsid w:val="003E2E4A"/>
    <w:rsid w:val="003E2F97"/>
    <w:rsid w:val="003E2FA2"/>
    <w:rsid w:val="003E3093"/>
    <w:rsid w:val="003E30AA"/>
    <w:rsid w:val="003E311A"/>
    <w:rsid w:val="003E313B"/>
    <w:rsid w:val="003E316F"/>
    <w:rsid w:val="003E3279"/>
    <w:rsid w:val="003E329D"/>
    <w:rsid w:val="003E331B"/>
    <w:rsid w:val="003E33EB"/>
    <w:rsid w:val="003E3597"/>
    <w:rsid w:val="003E3675"/>
    <w:rsid w:val="003E3728"/>
    <w:rsid w:val="003E37B4"/>
    <w:rsid w:val="003E3836"/>
    <w:rsid w:val="003E396F"/>
    <w:rsid w:val="003E39B9"/>
    <w:rsid w:val="003E3A17"/>
    <w:rsid w:val="003E3AD1"/>
    <w:rsid w:val="003E3B13"/>
    <w:rsid w:val="003E3B24"/>
    <w:rsid w:val="003E3D74"/>
    <w:rsid w:val="003E3DFB"/>
    <w:rsid w:val="003E3E97"/>
    <w:rsid w:val="003E3F8C"/>
    <w:rsid w:val="003E3FA7"/>
    <w:rsid w:val="003E4018"/>
    <w:rsid w:val="003E409E"/>
    <w:rsid w:val="003E40CB"/>
    <w:rsid w:val="003E40E3"/>
    <w:rsid w:val="003E4124"/>
    <w:rsid w:val="003E419B"/>
    <w:rsid w:val="003E422D"/>
    <w:rsid w:val="003E4287"/>
    <w:rsid w:val="003E44BB"/>
    <w:rsid w:val="003E452B"/>
    <w:rsid w:val="003E460D"/>
    <w:rsid w:val="003E46C7"/>
    <w:rsid w:val="003E4731"/>
    <w:rsid w:val="003E4734"/>
    <w:rsid w:val="003E4845"/>
    <w:rsid w:val="003E485C"/>
    <w:rsid w:val="003E486A"/>
    <w:rsid w:val="003E486E"/>
    <w:rsid w:val="003E4877"/>
    <w:rsid w:val="003E4879"/>
    <w:rsid w:val="003E48B8"/>
    <w:rsid w:val="003E4911"/>
    <w:rsid w:val="003E4969"/>
    <w:rsid w:val="003E499D"/>
    <w:rsid w:val="003E4A9A"/>
    <w:rsid w:val="003E4AC7"/>
    <w:rsid w:val="003E4C3E"/>
    <w:rsid w:val="003E4CBB"/>
    <w:rsid w:val="003E4E28"/>
    <w:rsid w:val="003E4EAC"/>
    <w:rsid w:val="003E4ED3"/>
    <w:rsid w:val="003E4F3F"/>
    <w:rsid w:val="003E4FB6"/>
    <w:rsid w:val="003E4FE6"/>
    <w:rsid w:val="003E5020"/>
    <w:rsid w:val="003E508D"/>
    <w:rsid w:val="003E518E"/>
    <w:rsid w:val="003E5292"/>
    <w:rsid w:val="003E52A6"/>
    <w:rsid w:val="003E52BF"/>
    <w:rsid w:val="003E52C4"/>
    <w:rsid w:val="003E52CC"/>
    <w:rsid w:val="003E5315"/>
    <w:rsid w:val="003E53AD"/>
    <w:rsid w:val="003E540B"/>
    <w:rsid w:val="003E5485"/>
    <w:rsid w:val="003E54C6"/>
    <w:rsid w:val="003E552F"/>
    <w:rsid w:val="003E5562"/>
    <w:rsid w:val="003E558E"/>
    <w:rsid w:val="003E55F2"/>
    <w:rsid w:val="003E5644"/>
    <w:rsid w:val="003E566F"/>
    <w:rsid w:val="003E5699"/>
    <w:rsid w:val="003E569D"/>
    <w:rsid w:val="003E56CD"/>
    <w:rsid w:val="003E56F2"/>
    <w:rsid w:val="003E57B3"/>
    <w:rsid w:val="003E57E7"/>
    <w:rsid w:val="003E5851"/>
    <w:rsid w:val="003E5871"/>
    <w:rsid w:val="003E58F6"/>
    <w:rsid w:val="003E5ACE"/>
    <w:rsid w:val="003E5C7F"/>
    <w:rsid w:val="003E5D33"/>
    <w:rsid w:val="003E5DD9"/>
    <w:rsid w:val="003E5DF9"/>
    <w:rsid w:val="003E5E8F"/>
    <w:rsid w:val="003E5ED7"/>
    <w:rsid w:val="003E5F29"/>
    <w:rsid w:val="003E5F61"/>
    <w:rsid w:val="003E60F7"/>
    <w:rsid w:val="003E61A9"/>
    <w:rsid w:val="003E62D7"/>
    <w:rsid w:val="003E62DA"/>
    <w:rsid w:val="003E65C8"/>
    <w:rsid w:val="003E680F"/>
    <w:rsid w:val="003E6846"/>
    <w:rsid w:val="003E688C"/>
    <w:rsid w:val="003E6928"/>
    <w:rsid w:val="003E695E"/>
    <w:rsid w:val="003E69DA"/>
    <w:rsid w:val="003E6B0A"/>
    <w:rsid w:val="003E6B2F"/>
    <w:rsid w:val="003E6BD1"/>
    <w:rsid w:val="003E6C2D"/>
    <w:rsid w:val="003E6C42"/>
    <w:rsid w:val="003E6C71"/>
    <w:rsid w:val="003E6DB9"/>
    <w:rsid w:val="003E6DCB"/>
    <w:rsid w:val="003E6DE6"/>
    <w:rsid w:val="003E6DF3"/>
    <w:rsid w:val="003E6F11"/>
    <w:rsid w:val="003E6F18"/>
    <w:rsid w:val="003E701B"/>
    <w:rsid w:val="003E702E"/>
    <w:rsid w:val="003E70F5"/>
    <w:rsid w:val="003E7128"/>
    <w:rsid w:val="003E71CE"/>
    <w:rsid w:val="003E7248"/>
    <w:rsid w:val="003E7497"/>
    <w:rsid w:val="003E753A"/>
    <w:rsid w:val="003E75A1"/>
    <w:rsid w:val="003E75BC"/>
    <w:rsid w:val="003E76E5"/>
    <w:rsid w:val="003E77BE"/>
    <w:rsid w:val="003E77CC"/>
    <w:rsid w:val="003E77FB"/>
    <w:rsid w:val="003E7802"/>
    <w:rsid w:val="003E7908"/>
    <w:rsid w:val="003E790F"/>
    <w:rsid w:val="003E7B49"/>
    <w:rsid w:val="003E7C08"/>
    <w:rsid w:val="003E7C6C"/>
    <w:rsid w:val="003E7C8B"/>
    <w:rsid w:val="003E7CB2"/>
    <w:rsid w:val="003E7D86"/>
    <w:rsid w:val="003E7DA5"/>
    <w:rsid w:val="003E7DEA"/>
    <w:rsid w:val="003E7E03"/>
    <w:rsid w:val="003E7E07"/>
    <w:rsid w:val="003E7E1D"/>
    <w:rsid w:val="003E7E26"/>
    <w:rsid w:val="003E7E9E"/>
    <w:rsid w:val="003F014F"/>
    <w:rsid w:val="003F0180"/>
    <w:rsid w:val="003F0241"/>
    <w:rsid w:val="003F0326"/>
    <w:rsid w:val="003F03C0"/>
    <w:rsid w:val="003F03DF"/>
    <w:rsid w:val="003F0585"/>
    <w:rsid w:val="003F0672"/>
    <w:rsid w:val="003F0675"/>
    <w:rsid w:val="003F06AD"/>
    <w:rsid w:val="003F0712"/>
    <w:rsid w:val="003F0742"/>
    <w:rsid w:val="003F0895"/>
    <w:rsid w:val="003F08EE"/>
    <w:rsid w:val="003F0939"/>
    <w:rsid w:val="003F0A55"/>
    <w:rsid w:val="003F0B02"/>
    <w:rsid w:val="003F0BF0"/>
    <w:rsid w:val="003F0BF5"/>
    <w:rsid w:val="003F0D76"/>
    <w:rsid w:val="003F0EB8"/>
    <w:rsid w:val="003F0F1D"/>
    <w:rsid w:val="003F0F3B"/>
    <w:rsid w:val="003F0F3C"/>
    <w:rsid w:val="003F0F9C"/>
    <w:rsid w:val="003F0FB1"/>
    <w:rsid w:val="003F107C"/>
    <w:rsid w:val="003F10A8"/>
    <w:rsid w:val="003F1101"/>
    <w:rsid w:val="003F1175"/>
    <w:rsid w:val="003F11D5"/>
    <w:rsid w:val="003F1303"/>
    <w:rsid w:val="003F136E"/>
    <w:rsid w:val="003F1479"/>
    <w:rsid w:val="003F1543"/>
    <w:rsid w:val="003F1655"/>
    <w:rsid w:val="003F1670"/>
    <w:rsid w:val="003F1830"/>
    <w:rsid w:val="003F194C"/>
    <w:rsid w:val="003F198A"/>
    <w:rsid w:val="003F19AF"/>
    <w:rsid w:val="003F19C3"/>
    <w:rsid w:val="003F1A48"/>
    <w:rsid w:val="003F1A54"/>
    <w:rsid w:val="003F1A73"/>
    <w:rsid w:val="003F1B9C"/>
    <w:rsid w:val="003F1C74"/>
    <w:rsid w:val="003F1CD0"/>
    <w:rsid w:val="003F1D9E"/>
    <w:rsid w:val="003F1DE8"/>
    <w:rsid w:val="003F1EE5"/>
    <w:rsid w:val="003F2123"/>
    <w:rsid w:val="003F2134"/>
    <w:rsid w:val="003F21DF"/>
    <w:rsid w:val="003F237E"/>
    <w:rsid w:val="003F2469"/>
    <w:rsid w:val="003F24D9"/>
    <w:rsid w:val="003F24EA"/>
    <w:rsid w:val="003F24F3"/>
    <w:rsid w:val="003F250D"/>
    <w:rsid w:val="003F2512"/>
    <w:rsid w:val="003F256D"/>
    <w:rsid w:val="003F25B3"/>
    <w:rsid w:val="003F276C"/>
    <w:rsid w:val="003F283F"/>
    <w:rsid w:val="003F2982"/>
    <w:rsid w:val="003F2B05"/>
    <w:rsid w:val="003F2BAB"/>
    <w:rsid w:val="003F2C57"/>
    <w:rsid w:val="003F2C5F"/>
    <w:rsid w:val="003F2DDA"/>
    <w:rsid w:val="003F2DE2"/>
    <w:rsid w:val="003F2E71"/>
    <w:rsid w:val="003F2EA3"/>
    <w:rsid w:val="003F3031"/>
    <w:rsid w:val="003F3055"/>
    <w:rsid w:val="003F31B4"/>
    <w:rsid w:val="003F31DD"/>
    <w:rsid w:val="003F3228"/>
    <w:rsid w:val="003F32AC"/>
    <w:rsid w:val="003F3307"/>
    <w:rsid w:val="003F332B"/>
    <w:rsid w:val="003F334D"/>
    <w:rsid w:val="003F3463"/>
    <w:rsid w:val="003F365D"/>
    <w:rsid w:val="003F3695"/>
    <w:rsid w:val="003F36AE"/>
    <w:rsid w:val="003F37B4"/>
    <w:rsid w:val="003F3829"/>
    <w:rsid w:val="003F38AE"/>
    <w:rsid w:val="003F391A"/>
    <w:rsid w:val="003F392A"/>
    <w:rsid w:val="003F39ED"/>
    <w:rsid w:val="003F39F0"/>
    <w:rsid w:val="003F3A1B"/>
    <w:rsid w:val="003F3ACA"/>
    <w:rsid w:val="003F3AF7"/>
    <w:rsid w:val="003F3C63"/>
    <w:rsid w:val="003F3CBF"/>
    <w:rsid w:val="003F3D92"/>
    <w:rsid w:val="003F3DEE"/>
    <w:rsid w:val="003F3DF7"/>
    <w:rsid w:val="003F3E10"/>
    <w:rsid w:val="003F3F63"/>
    <w:rsid w:val="003F4177"/>
    <w:rsid w:val="003F41F4"/>
    <w:rsid w:val="003F43ED"/>
    <w:rsid w:val="003F4441"/>
    <w:rsid w:val="003F4482"/>
    <w:rsid w:val="003F44FF"/>
    <w:rsid w:val="003F4530"/>
    <w:rsid w:val="003F4540"/>
    <w:rsid w:val="003F4562"/>
    <w:rsid w:val="003F46EA"/>
    <w:rsid w:val="003F4833"/>
    <w:rsid w:val="003F4930"/>
    <w:rsid w:val="003F4975"/>
    <w:rsid w:val="003F4992"/>
    <w:rsid w:val="003F49CD"/>
    <w:rsid w:val="003F4A9E"/>
    <w:rsid w:val="003F4B1D"/>
    <w:rsid w:val="003F4BBE"/>
    <w:rsid w:val="003F4D2D"/>
    <w:rsid w:val="003F4DC1"/>
    <w:rsid w:val="003F4F19"/>
    <w:rsid w:val="003F4FD7"/>
    <w:rsid w:val="003F4FFF"/>
    <w:rsid w:val="003F50AA"/>
    <w:rsid w:val="003F50C9"/>
    <w:rsid w:val="003F50F7"/>
    <w:rsid w:val="003F51A5"/>
    <w:rsid w:val="003F51BF"/>
    <w:rsid w:val="003F5213"/>
    <w:rsid w:val="003F5256"/>
    <w:rsid w:val="003F525F"/>
    <w:rsid w:val="003F529D"/>
    <w:rsid w:val="003F531B"/>
    <w:rsid w:val="003F53FB"/>
    <w:rsid w:val="003F544F"/>
    <w:rsid w:val="003F5450"/>
    <w:rsid w:val="003F54C0"/>
    <w:rsid w:val="003F5555"/>
    <w:rsid w:val="003F55BD"/>
    <w:rsid w:val="003F5713"/>
    <w:rsid w:val="003F5934"/>
    <w:rsid w:val="003F5A0C"/>
    <w:rsid w:val="003F5A64"/>
    <w:rsid w:val="003F5A8B"/>
    <w:rsid w:val="003F5B1F"/>
    <w:rsid w:val="003F5C98"/>
    <w:rsid w:val="003F5CBB"/>
    <w:rsid w:val="003F5DBB"/>
    <w:rsid w:val="003F5E9C"/>
    <w:rsid w:val="003F5EFF"/>
    <w:rsid w:val="003F5F9F"/>
    <w:rsid w:val="003F5FF3"/>
    <w:rsid w:val="003F61D0"/>
    <w:rsid w:val="003F61F1"/>
    <w:rsid w:val="003F62A3"/>
    <w:rsid w:val="003F6340"/>
    <w:rsid w:val="003F649C"/>
    <w:rsid w:val="003F64E7"/>
    <w:rsid w:val="003F64FE"/>
    <w:rsid w:val="003F6524"/>
    <w:rsid w:val="003F6631"/>
    <w:rsid w:val="003F66E7"/>
    <w:rsid w:val="003F6786"/>
    <w:rsid w:val="003F678C"/>
    <w:rsid w:val="003F67CD"/>
    <w:rsid w:val="003F67CF"/>
    <w:rsid w:val="003F67F6"/>
    <w:rsid w:val="003F6823"/>
    <w:rsid w:val="003F684D"/>
    <w:rsid w:val="003F6888"/>
    <w:rsid w:val="003F68CF"/>
    <w:rsid w:val="003F6A39"/>
    <w:rsid w:val="003F6B33"/>
    <w:rsid w:val="003F6D15"/>
    <w:rsid w:val="003F6D17"/>
    <w:rsid w:val="003F6D7B"/>
    <w:rsid w:val="003F6DB4"/>
    <w:rsid w:val="003F6E56"/>
    <w:rsid w:val="003F6E88"/>
    <w:rsid w:val="003F6EB8"/>
    <w:rsid w:val="003F6EF1"/>
    <w:rsid w:val="003F6F78"/>
    <w:rsid w:val="003F70AE"/>
    <w:rsid w:val="003F70DA"/>
    <w:rsid w:val="003F7200"/>
    <w:rsid w:val="003F7267"/>
    <w:rsid w:val="003F7289"/>
    <w:rsid w:val="003F72AA"/>
    <w:rsid w:val="003F7324"/>
    <w:rsid w:val="003F7474"/>
    <w:rsid w:val="003F74BD"/>
    <w:rsid w:val="003F7548"/>
    <w:rsid w:val="003F7586"/>
    <w:rsid w:val="003F7596"/>
    <w:rsid w:val="003F759F"/>
    <w:rsid w:val="003F763B"/>
    <w:rsid w:val="003F76B5"/>
    <w:rsid w:val="003F7758"/>
    <w:rsid w:val="003F776D"/>
    <w:rsid w:val="003F78ED"/>
    <w:rsid w:val="003F7912"/>
    <w:rsid w:val="003F7930"/>
    <w:rsid w:val="003F7970"/>
    <w:rsid w:val="003F7A25"/>
    <w:rsid w:val="003F7C63"/>
    <w:rsid w:val="003F7CD5"/>
    <w:rsid w:val="003F7D09"/>
    <w:rsid w:val="003F7DCF"/>
    <w:rsid w:val="003F7E84"/>
    <w:rsid w:val="003F7EA5"/>
    <w:rsid w:val="003F7F72"/>
    <w:rsid w:val="003F7FC4"/>
    <w:rsid w:val="00400012"/>
    <w:rsid w:val="00400063"/>
    <w:rsid w:val="004000C4"/>
    <w:rsid w:val="004000EC"/>
    <w:rsid w:val="0040012C"/>
    <w:rsid w:val="004001D9"/>
    <w:rsid w:val="00400209"/>
    <w:rsid w:val="0040024B"/>
    <w:rsid w:val="004002CC"/>
    <w:rsid w:val="004002E7"/>
    <w:rsid w:val="0040044E"/>
    <w:rsid w:val="004004D2"/>
    <w:rsid w:val="0040057F"/>
    <w:rsid w:val="004005E0"/>
    <w:rsid w:val="00400772"/>
    <w:rsid w:val="004007CF"/>
    <w:rsid w:val="0040087F"/>
    <w:rsid w:val="00400880"/>
    <w:rsid w:val="004008AB"/>
    <w:rsid w:val="00400990"/>
    <w:rsid w:val="004009B7"/>
    <w:rsid w:val="004009C1"/>
    <w:rsid w:val="00400A26"/>
    <w:rsid w:val="00400ACB"/>
    <w:rsid w:val="00400B8A"/>
    <w:rsid w:val="00400BA6"/>
    <w:rsid w:val="00400BB9"/>
    <w:rsid w:val="00400CA3"/>
    <w:rsid w:val="00400CD8"/>
    <w:rsid w:val="00400CF2"/>
    <w:rsid w:val="00400D62"/>
    <w:rsid w:val="00400D7E"/>
    <w:rsid w:val="00400DE3"/>
    <w:rsid w:val="00400F91"/>
    <w:rsid w:val="00400F95"/>
    <w:rsid w:val="0040103F"/>
    <w:rsid w:val="004010E0"/>
    <w:rsid w:val="00401138"/>
    <w:rsid w:val="00401252"/>
    <w:rsid w:val="00401423"/>
    <w:rsid w:val="0040143A"/>
    <w:rsid w:val="0040148F"/>
    <w:rsid w:val="004014BE"/>
    <w:rsid w:val="004014EE"/>
    <w:rsid w:val="004015DD"/>
    <w:rsid w:val="0040160D"/>
    <w:rsid w:val="0040166E"/>
    <w:rsid w:val="0040176B"/>
    <w:rsid w:val="0040178D"/>
    <w:rsid w:val="004017AA"/>
    <w:rsid w:val="004017B3"/>
    <w:rsid w:val="004017D1"/>
    <w:rsid w:val="004017E4"/>
    <w:rsid w:val="004018E4"/>
    <w:rsid w:val="0040192E"/>
    <w:rsid w:val="00401C7E"/>
    <w:rsid w:val="00401F2A"/>
    <w:rsid w:val="00401F30"/>
    <w:rsid w:val="00401F8F"/>
    <w:rsid w:val="00401FCC"/>
    <w:rsid w:val="00401FD5"/>
    <w:rsid w:val="00401FD7"/>
    <w:rsid w:val="00402006"/>
    <w:rsid w:val="00402007"/>
    <w:rsid w:val="0040205B"/>
    <w:rsid w:val="0040207B"/>
    <w:rsid w:val="0040207E"/>
    <w:rsid w:val="004022AA"/>
    <w:rsid w:val="0040231B"/>
    <w:rsid w:val="0040231F"/>
    <w:rsid w:val="0040233D"/>
    <w:rsid w:val="004023B9"/>
    <w:rsid w:val="00402488"/>
    <w:rsid w:val="004024D0"/>
    <w:rsid w:val="004024FE"/>
    <w:rsid w:val="00402524"/>
    <w:rsid w:val="00402525"/>
    <w:rsid w:val="0040261E"/>
    <w:rsid w:val="00402717"/>
    <w:rsid w:val="00402742"/>
    <w:rsid w:val="00402748"/>
    <w:rsid w:val="00402750"/>
    <w:rsid w:val="00402767"/>
    <w:rsid w:val="00402840"/>
    <w:rsid w:val="004028B9"/>
    <w:rsid w:val="004028D7"/>
    <w:rsid w:val="0040293F"/>
    <w:rsid w:val="004029FB"/>
    <w:rsid w:val="00402A2C"/>
    <w:rsid w:val="00402A3A"/>
    <w:rsid w:val="00402A7F"/>
    <w:rsid w:val="00402C9C"/>
    <w:rsid w:val="00402CA4"/>
    <w:rsid w:val="00402CE1"/>
    <w:rsid w:val="00402D3C"/>
    <w:rsid w:val="00402D4D"/>
    <w:rsid w:val="00402D70"/>
    <w:rsid w:val="00402D96"/>
    <w:rsid w:val="00402DD9"/>
    <w:rsid w:val="00402E33"/>
    <w:rsid w:val="00402EA4"/>
    <w:rsid w:val="00403093"/>
    <w:rsid w:val="0040311D"/>
    <w:rsid w:val="00403122"/>
    <w:rsid w:val="0040319E"/>
    <w:rsid w:val="004031C6"/>
    <w:rsid w:val="0040328D"/>
    <w:rsid w:val="00403303"/>
    <w:rsid w:val="0040330C"/>
    <w:rsid w:val="00403325"/>
    <w:rsid w:val="0040345D"/>
    <w:rsid w:val="0040346E"/>
    <w:rsid w:val="00403489"/>
    <w:rsid w:val="004034B8"/>
    <w:rsid w:val="0040350C"/>
    <w:rsid w:val="00403518"/>
    <w:rsid w:val="00403532"/>
    <w:rsid w:val="0040357B"/>
    <w:rsid w:val="004035D3"/>
    <w:rsid w:val="00403663"/>
    <w:rsid w:val="0040368F"/>
    <w:rsid w:val="00403693"/>
    <w:rsid w:val="00403694"/>
    <w:rsid w:val="004036ED"/>
    <w:rsid w:val="0040373E"/>
    <w:rsid w:val="00403812"/>
    <w:rsid w:val="00403879"/>
    <w:rsid w:val="00403913"/>
    <w:rsid w:val="00403924"/>
    <w:rsid w:val="00403946"/>
    <w:rsid w:val="00403A9A"/>
    <w:rsid w:val="00403B31"/>
    <w:rsid w:val="00403BD1"/>
    <w:rsid w:val="00403CCD"/>
    <w:rsid w:val="00403CD7"/>
    <w:rsid w:val="00403DDC"/>
    <w:rsid w:val="00403E6E"/>
    <w:rsid w:val="00403FA5"/>
    <w:rsid w:val="00403FE4"/>
    <w:rsid w:val="0040414E"/>
    <w:rsid w:val="004041BB"/>
    <w:rsid w:val="004042A7"/>
    <w:rsid w:val="0040435C"/>
    <w:rsid w:val="00404458"/>
    <w:rsid w:val="0040454A"/>
    <w:rsid w:val="0040464E"/>
    <w:rsid w:val="00404825"/>
    <w:rsid w:val="00404881"/>
    <w:rsid w:val="004048BF"/>
    <w:rsid w:val="004049B9"/>
    <w:rsid w:val="00404B3C"/>
    <w:rsid w:val="00404BBE"/>
    <w:rsid w:val="00404C20"/>
    <w:rsid w:val="00404C74"/>
    <w:rsid w:val="00404CA2"/>
    <w:rsid w:val="00404CBC"/>
    <w:rsid w:val="00404D3D"/>
    <w:rsid w:val="00404EFF"/>
    <w:rsid w:val="00404F0B"/>
    <w:rsid w:val="00404F15"/>
    <w:rsid w:val="00404F7D"/>
    <w:rsid w:val="00405084"/>
    <w:rsid w:val="004050E3"/>
    <w:rsid w:val="0040514D"/>
    <w:rsid w:val="00405154"/>
    <w:rsid w:val="00405268"/>
    <w:rsid w:val="004052B2"/>
    <w:rsid w:val="004052E6"/>
    <w:rsid w:val="00405386"/>
    <w:rsid w:val="0040539D"/>
    <w:rsid w:val="004053F3"/>
    <w:rsid w:val="00405469"/>
    <w:rsid w:val="004054AA"/>
    <w:rsid w:val="004055DC"/>
    <w:rsid w:val="004055E0"/>
    <w:rsid w:val="00405619"/>
    <w:rsid w:val="004056AF"/>
    <w:rsid w:val="00405705"/>
    <w:rsid w:val="00405890"/>
    <w:rsid w:val="00405AA2"/>
    <w:rsid w:val="00405AB8"/>
    <w:rsid w:val="00405BF7"/>
    <w:rsid w:val="00405C7C"/>
    <w:rsid w:val="00405CD1"/>
    <w:rsid w:val="00405CF3"/>
    <w:rsid w:val="00405D1B"/>
    <w:rsid w:val="00405EAF"/>
    <w:rsid w:val="00405EB3"/>
    <w:rsid w:val="00405F25"/>
    <w:rsid w:val="00406044"/>
    <w:rsid w:val="004060BF"/>
    <w:rsid w:val="00406128"/>
    <w:rsid w:val="00406203"/>
    <w:rsid w:val="0040630E"/>
    <w:rsid w:val="0040633D"/>
    <w:rsid w:val="0040635B"/>
    <w:rsid w:val="004063F1"/>
    <w:rsid w:val="00406443"/>
    <w:rsid w:val="00406490"/>
    <w:rsid w:val="004064C9"/>
    <w:rsid w:val="0040660F"/>
    <w:rsid w:val="004066A0"/>
    <w:rsid w:val="004066FA"/>
    <w:rsid w:val="0040671B"/>
    <w:rsid w:val="00406764"/>
    <w:rsid w:val="00406770"/>
    <w:rsid w:val="00406863"/>
    <w:rsid w:val="004068D9"/>
    <w:rsid w:val="00406920"/>
    <w:rsid w:val="00406C88"/>
    <w:rsid w:val="00406CC8"/>
    <w:rsid w:val="00406D60"/>
    <w:rsid w:val="00406DF4"/>
    <w:rsid w:val="00406EE6"/>
    <w:rsid w:val="00406F2F"/>
    <w:rsid w:val="00406F39"/>
    <w:rsid w:val="00406F98"/>
    <w:rsid w:val="00406F9B"/>
    <w:rsid w:val="00407082"/>
    <w:rsid w:val="004070D0"/>
    <w:rsid w:val="004070D4"/>
    <w:rsid w:val="004071B2"/>
    <w:rsid w:val="00407220"/>
    <w:rsid w:val="0040727D"/>
    <w:rsid w:val="004073A5"/>
    <w:rsid w:val="0040745D"/>
    <w:rsid w:val="004074CD"/>
    <w:rsid w:val="00407773"/>
    <w:rsid w:val="004077FE"/>
    <w:rsid w:val="0040782E"/>
    <w:rsid w:val="00407844"/>
    <w:rsid w:val="004078DA"/>
    <w:rsid w:val="0040795D"/>
    <w:rsid w:val="004079B8"/>
    <w:rsid w:val="00407A21"/>
    <w:rsid w:val="00407AA4"/>
    <w:rsid w:val="00407AD1"/>
    <w:rsid w:val="00407AD2"/>
    <w:rsid w:val="00407B20"/>
    <w:rsid w:val="00407BDC"/>
    <w:rsid w:val="00407D60"/>
    <w:rsid w:val="00407D64"/>
    <w:rsid w:val="00407DB3"/>
    <w:rsid w:val="00407F7A"/>
    <w:rsid w:val="00407FA8"/>
    <w:rsid w:val="004100C7"/>
    <w:rsid w:val="004100DA"/>
    <w:rsid w:val="00410257"/>
    <w:rsid w:val="0041025C"/>
    <w:rsid w:val="00410482"/>
    <w:rsid w:val="00410487"/>
    <w:rsid w:val="004104F1"/>
    <w:rsid w:val="0041056E"/>
    <w:rsid w:val="0041057C"/>
    <w:rsid w:val="00410624"/>
    <w:rsid w:val="00410754"/>
    <w:rsid w:val="0041085F"/>
    <w:rsid w:val="00410878"/>
    <w:rsid w:val="004109AA"/>
    <w:rsid w:val="00410A1E"/>
    <w:rsid w:val="00410AAA"/>
    <w:rsid w:val="00410B68"/>
    <w:rsid w:val="00410B6C"/>
    <w:rsid w:val="00410B87"/>
    <w:rsid w:val="00410C10"/>
    <w:rsid w:val="00410C89"/>
    <w:rsid w:val="00410E5C"/>
    <w:rsid w:val="00410FF7"/>
    <w:rsid w:val="004110D6"/>
    <w:rsid w:val="004111AD"/>
    <w:rsid w:val="0041125C"/>
    <w:rsid w:val="004112ED"/>
    <w:rsid w:val="00411375"/>
    <w:rsid w:val="0041144B"/>
    <w:rsid w:val="00411591"/>
    <w:rsid w:val="004115BA"/>
    <w:rsid w:val="004115E1"/>
    <w:rsid w:val="0041171E"/>
    <w:rsid w:val="0041187F"/>
    <w:rsid w:val="00411886"/>
    <w:rsid w:val="004119B5"/>
    <w:rsid w:val="00411AA8"/>
    <w:rsid w:val="00411B20"/>
    <w:rsid w:val="00411E99"/>
    <w:rsid w:val="00411EAD"/>
    <w:rsid w:val="004120D6"/>
    <w:rsid w:val="00412157"/>
    <w:rsid w:val="004121AA"/>
    <w:rsid w:val="004121D5"/>
    <w:rsid w:val="00412275"/>
    <w:rsid w:val="004122CF"/>
    <w:rsid w:val="0041231E"/>
    <w:rsid w:val="00412320"/>
    <w:rsid w:val="004124A3"/>
    <w:rsid w:val="004124F7"/>
    <w:rsid w:val="00412572"/>
    <w:rsid w:val="004125E9"/>
    <w:rsid w:val="0041291E"/>
    <w:rsid w:val="00412942"/>
    <w:rsid w:val="004129B1"/>
    <w:rsid w:val="00412A6A"/>
    <w:rsid w:val="00412ACC"/>
    <w:rsid w:val="00412AED"/>
    <w:rsid w:val="00412B97"/>
    <w:rsid w:val="00412BB4"/>
    <w:rsid w:val="00412C09"/>
    <w:rsid w:val="00412C57"/>
    <w:rsid w:val="00412CB1"/>
    <w:rsid w:val="00412CF2"/>
    <w:rsid w:val="00412D1A"/>
    <w:rsid w:val="00412DFB"/>
    <w:rsid w:val="00412E2F"/>
    <w:rsid w:val="00412E34"/>
    <w:rsid w:val="00412E5D"/>
    <w:rsid w:val="00412FAE"/>
    <w:rsid w:val="00412FEC"/>
    <w:rsid w:val="00412FFA"/>
    <w:rsid w:val="004130BE"/>
    <w:rsid w:val="0041311F"/>
    <w:rsid w:val="00413151"/>
    <w:rsid w:val="0041316F"/>
    <w:rsid w:val="0041323A"/>
    <w:rsid w:val="00413310"/>
    <w:rsid w:val="004134E1"/>
    <w:rsid w:val="00413504"/>
    <w:rsid w:val="00413516"/>
    <w:rsid w:val="0041355F"/>
    <w:rsid w:val="0041364C"/>
    <w:rsid w:val="00413657"/>
    <w:rsid w:val="00413689"/>
    <w:rsid w:val="004136D9"/>
    <w:rsid w:val="00413711"/>
    <w:rsid w:val="004137CB"/>
    <w:rsid w:val="004137E4"/>
    <w:rsid w:val="0041391A"/>
    <w:rsid w:val="004139E1"/>
    <w:rsid w:val="00413AFD"/>
    <w:rsid w:val="00413B96"/>
    <w:rsid w:val="00413C41"/>
    <w:rsid w:val="00413E5C"/>
    <w:rsid w:val="00413EB4"/>
    <w:rsid w:val="00413EDF"/>
    <w:rsid w:val="00414124"/>
    <w:rsid w:val="0041416C"/>
    <w:rsid w:val="004141D4"/>
    <w:rsid w:val="0041424C"/>
    <w:rsid w:val="00414264"/>
    <w:rsid w:val="004142A2"/>
    <w:rsid w:val="004143CD"/>
    <w:rsid w:val="004143F3"/>
    <w:rsid w:val="0041446D"/>
    <w:rsid w:val="00414499"/>
    <w:rsid w:val="0041454A"/>
    <w:rsid w:val="00414768"/>
    <w:rsid w:val="00414997"/>
    <w:rsid w:val="00414B2F"/>
    <w:rsid w:val="00414B99"/>
    <w:rsid w:val="00414C86"/>
    <w:rsid w:val="00414C8A"/>
    <w:rsid w:val="00414CFA"/>
    <w:rsid w:val="00414DC0"/>
    <w:rsid w:val="00414DDC"/>
    <w:rsid w:val="00414E10"/>
    <w:rsid w:val="00414FC1"/>
    <w:rsid w:val="00414FC7"/>
    <w:rsid w:val="00415118"/>
    <w:rsid w:val="00415167"/>
    <w:rsid w:val="00415205"/>
    <w:rsid w:val="0041526E"/>
    <w:rsid w:val="004152C7"/>
    <w:rsid w:val="0041566A"/>
    <w:rsid w:val="0041570C"/>
    <w:rsid w:val="004157C7"/>
    <w:rsid w:val="00415957"/>
    <w:rsid w:val="004159A5"/>
    <w:rsid w:val="00415A54"/>
    <w:rsid w:val="00415A8C"/>
    <w:rsid w:val="00415A95"/>
    <w:rsid w:val="00415C0D"/>
    <w:rsid w:val="00415C2E"/>
    <w:rsid w:val="00415C6F"/>
    <w:rsid w:val="00415C99"/>
    <w:rsid w:val="00415D19"/>
    <w:rsid w:val="00415D48"/>
    <w:rsid w:val="00415DB4"/>
    <w:rsid w:val="00415E0C"/>
    <w:rsid w:val="00415E3B"/>
    <w:rsid w:val="00415FBF"/>
    <w:rsid w:val="0041602B"/>
    <w:rsid w:val="004160A2"/>
    <w:rsid w:val="004160D6"/>
    <w:rsid w:val="004160F7"/>
    <w:rsid w:val="00416226"/>
    <w:rsid w:val="00416346"/>
    <w:rsid w:val="00416414"/>
    <w:rsid w:val="0041641F"/>
    <w:rsid w:val="00416458"/>
    <w:rsid w:val="00416497"/>
    <w:rsid w:val="00416512"/>
    <w:rsid w:val="0041656A"/>
    <w:rsid w:val="00416760"/>
    <w:rsid w:val="004167C2"/>
    <w:rsid w:val="004167F3"/>
    <w:rsid w:val="00416822"/>
    <w:rsid w:val="004168DF"/>
    <w:rsid w:val="00416A3D"/>
    <w:rsid w:val="00416BD0"/>
    <w:rsid w:val="00416C28"/>
    <w:rsid w:val="00416C3A"/>
    <w:rsid w:val="00416C58"/>
    <w:rsid w:val="00416CED"/>
    <w:rsid w:val="00416EF4"/>
    <w:rsid w:val="00416F12"/>
    <w:rsid w:val="00416F53"/>
    <w:rsid w:val="00416F8C"/>
    <w:rsid w:val="00416FF5"/>
    <w:rsid w:val="00416FFF"/>
    <w:rsid w:val="0041710F"/>
    <w:rsid w:val="00417133"/>
    <w:rsid w:val="0041718C"/>
    <w:rsid w:val="004171C4"/>
    <w:rsid w:val="00417477"/>
    <w:rsid w:val="004174F8"/>
    <w:rsid w:val="00417661"/>
    <w:rsid w:val="0041767D"/>
    <w:rsid w:val="004176F9"/>
    <w:rsid w:val="004177A3"/>
    <w:rsid w:val="00417804"/>
    <w:rsid w:val="0041786B"/>
    <w:rsid w:val="004178EF"/>
    <w:rsid w:val="0041795B"/>
    <w:rsid w:val="004179B4"/>
    <w:rsid w:val="004179F3"/>
    <w:rsid w:val="00417A8A"/>
    <w:rsid w:val="00417AE3"/>
    <w:rsid w:val="00417AFC"/>
    <w:rsid w:val="00417B0C"/>
    <w:rsid w:val="00417B88"/>
    <w:rsid w:val="00417B95"/>
    <w:rsid w:val="00417C2E"/>
    <w:rsid w:val="00417C83"/>
    <w:rsid w:val="00417C91"/>
    <w:rsid w:val="00417D5D"/>
    <w:rsid w:val="00417DE3"/>
    <w:rsid w:val="00417DEF"/>
    <w:rsid w:val="00417E5B"/>
    <w:rsid w:val="00417E88"/>
    <w:rsid w:val="00417EAC"/>
    <w:rsid w:val="00420039"/>
    <w:rsid w:val="00420170"/>
    <w:rsid w:val="004201D1"/>
    <w:rsid w:val="00420349"/>
    <w:rsid w:val="004203D0"/>
    <w:rsid w:val="004204CB"/>
    <w:rsid w:val="004204E0"/>
    <w:rsid w:val="00420510"/>
    <w:rsid w:val="00420736"/>
    <w:rsid w:val="00420797"/>
    <w:rsid w:val="0042079A"/>
    <w:rsid w:val="004207A9"/>
    <w:rsid w:val="0042085F"/>
    <w:rsid w:val="00420875"/>
    <w:rsid w:val="0042087A"/>
    <w:rsid w:val="004208E0"/>
    <w:rsid w:val="004209A1"/>
    <w:rsid w:val="004209A2"/>
    <w:rsid w:val="004209A3"/>
    <w:rsid w:val="00420A4D"/>
    <w:rsid w:val="00420B3C"/>
    <w:rsid w:val="00420B5E"/>
    <w:rsid w:val="00420E74"/>
    <w:rsid w:val="00420E7C"/>
    <w:rsid w:val="004210FB"/>
    <w:rsid w:val="00421240"/>
    <w:rsid w:val="0042125C"/>
    <w:rsid w:val="004212BE"/>
    <w:rsid w:val="0042137B"/>
    <w:rsid w:val="004213E1"/>
    <w:rsid w:val="00421450"/>
    <w:rsid w:val="004214BE"/>
    <w:rsid w:val="004215F9"/>
    <w:rsid w:val="0042165D"/>
    <w:rsid w:val="0042170B"/>
    <w:rsid w:val="0042170F"/>
    <w:rsid w:val="00421726"/>
    <w:rsid w:val="004217A8"/>
    <w:rsid w:val="00421913"/>
    <w:rsid w:val="00421965"/>
    <w:rsid w:val="00421A94"/>
    <w:rsid w:val="00421B0F"/>
    <w:rsid w:val="00421B83"/>
    <w:rsid w:val="00421CB2"/>
    <w:rsid w:val="00421CC8"/>
    <w:rsid w:val="00421EBD"/>
    <w:rsid w:val="00421ED5"/>
    <w:rsid w:val="00421EDA"/>
    <w:rsid w:val="00421F1B"/>
    <w:rsid w:val="00421F5C"/>
    <w:rsid w:val="00421FCA"/>
    <w:rsid w:val="00422008"/>
    <w:rsid w:val="004220B8"/>
    <w:rsid w:val="00422180"/>
    <w:rsid w:val="004221CF"/>
    <w:rsid w:val="004221E7"/>
    <w:rsid w:val="00422263"/>
    <w:rsid w:val="004222AB"/>
    <w:rsid w:val="004222D6"/>
    <w:rsid w:val="004222E3"/>
    <w:rsid w:val="004222E9"/>
    <w:rsid w:val="00422339"/>
    <w:rsid w:val="0042235E"/>
    <w:rsid w:val="00422374"/>
    <w:rsid w:val="004223DC"/>
    <w:rsid w:val="00422516"/>
    <w:rsid w:val="00422562"/>
    <w:rsid w:val="0042268A"/>
    <w:rsid w:val="00422776"/>
    <w:rsid w:val="00422793"/>
    <w:rsid w:val="004227F6"/>
    <w:rsid w:val="00422812"/>
    <w:rsid w:val="00422921"/>
    <w:rsid w:val="00422999"/>
    <w:rsid w:val="00422AD1"/>
    <w:rsid w:val="00422BC8"/>
    <w:rsid w:val="00422C97"/>
    <w:rsid w:val="00422D9F"/>
    <w:rsid w:val="00422EA4"/>
    <w:rsid w:val="004230F6"/>
    <w:rsid w:val="004233FD"/>
    <w:rsid w:val="0042345E"/>
    <w:rsid w:val="0042347A"/>
    <w:rsid w:val="00423506"/>
    <w:rsid w:val="00423554"/>
    <w:rsid w:val="004235A7"/>
    <w:rsid w:val="00423602"/>
    <w:rsid w:val="004236C6"/>
    <w:rsid w:val="004236D5"/>
    <w:rsid w:val="004236D8"/>
    <w:rsid w:val="00423743"/>
    <w:rsid w:val="00423750"/>
    <w:rsid w:val="004237E1"/>
    <w:rsid w:val="004237E4"/>
    <w:rsid w:val="00423A78"/>
    <w:rsid w:val="00423A95"/>
    <w:rsid w:val="00423A97"/>
    <w:rsid w:val="00423B07"/>
    <w:rsid w:val="00423C3D"/>
    <w:rsid w:val="00423CFC"/>
    <w:rsid w:val="00423DAE"/>
    <w:rsid w:val="00423E24"/>
    <w:rsid w:val="00423F41"/>
    <w:rsid w:val="00423FB5"/>
    <w:rsid w:val="00423FDA"/>
    <w:rsid w:val="00424107"/>
    <w:rsid w:val="00424170"/>
    <w:rsid w:val="004242AF"/>
    <w:rsid w:val="004243C8"/>
    <w:rsid w:val="004243F4"/>
    <w:rsid w:val="0042443E"/>
    <w:rsid w:val="004244EF"/>
    <w:rsid w:val="0042450E"/>
    <w:rsid w:val="00424750"/>
    <w:rsid w:val="0042478D"/>
    <w:rsid w:val="004247A0"/>
    <w:rsid w:val="004247A9"/>
    <w:rsid w:val="004247AD"/>
    <w:rsid w:val="004247D5"/>
    <w:rsid w:val="00424832"/>
    <w:rsid w:val="004249D6"/>
    <w:rsid w:val="00424A2D"/>
    <w:rsid w:val="00424A90"/>
    <w:rsid w:val="00424AA9"/>
    <w:rsid w:val="00424AD1"/>
    <w:rsid w:val="00424AD3"/>
    <w:rsid w:val="00424AD6"/>
    <w:rsid w:val="00424B01"/>
    <w:rsid w:val="00424B0D"/>
    <w:rsid w:val="00424B1D"/>
    <w:rsid w:val="00424BB7"/>
    <w:rsid w:val="00424BFD"/>
    <w:rsid w:val="00424C07"/>
    <w:rsid w:val="00424C77"/>
    <w:rsid w:val="00424CAA"/>
    <w:rsid w:val="00424D0E"/>
    <w:rsid w:val="00424D22"/>
    <w:rsid w:val="00424E2B"/>
    <w:rsid w:val="00424F2C"/>
    <w:rsid w:val="00424FDB"/>
    <w:rsid w:val="00425092"/>
    <w:rsid w:val="00425123"/>
    <w:rsid w:val="0042516E"/>
    <w:rsid w:val="0042517D"/>
    <w:rsid w:val="004251B5"/>
    <w:rsid w:val="00425260"/>
    <w:rsid w:val="0042531D"/>
    <w:rsid w:val="004253A5"/>
    <w:rsid w:val="004253C3"/>
    <w:rsid w:val="0042542B"/>
    <w:rsid w:val="004254EA"/>
    <w:rsid w:val="00425523"/>
    <w:rsid w:val="004255DD"/>
    <w:rsid w:val="004255FD"/>
    <w:rsid w:val="00425710"/>
    <w:rsid w:val="004257C8"/>
    <w:rsid w:val="00425851"/>
    <w:rsid w:val="00425888"/>
    <w:rsid w:val="004259B2"/>
    <w:rsid w:val="00425A9C"/>
    <w:rsid w:val="00425AA4"/>
    <w:rsid w:val="00425AE7"/>
    <w:rsid w:val="00425BE1"/>
    <w:rsid w:val="00425DBE"/>
    <w:rsid w:val="00425DD7"/>
    <w:rsid w:val="00425DFE"/>
    <w:rsid w:val="00425EA2"/>
    <w:rsid w:val="00425FE5"/>
    <w:rsid w:val="00426017"/>
    <w:rsid w:val="00426044"/>
    <w:rsid w:val="00426101"/>
    <w:rsid w:val="00426228"/>
    <w:rsid w:val="0042629B"/>
    <w:rsid w:val="004262B6"/>
    <w:rsid w:val="0042636A"/>
    <w:rsid w:val="004263D8"/>
    <w:rsid w:val="00426481"/>
    <w:rsid w:val="004264EE"/>
    <w:rsid w:val="0042669B"/>
    <w:rsid w:val="004266CE"/>
    <w:rsid w:val="00426735"/>
    <w:rsid w:val="00426748"/>
    <w:rsid w:val="004267DB"/>
    <w:rsid w:val="00426928"/>
    <w:rsid w:val="004269B5"/>
    <w:rsid w:val="00426A1D"/>
    <w:rsid w:val="00426A33"/>
    <w:rsid w:val="00426ABB"/>
    <w:rsid w:val="00426ADC"/>
    <w:rsid w:val="00426B56"/>
    <w:rsid w:val="00426C50"/>
    <w:rsid w:val="00426C6D"/>
    <w:rsid w:val="00426E71"/>
    <w:rsid w:val="00426E92"/>
    <w:rsid w:val="00426E99"/>
    <w:rsid w:val="00426FDE"/>
    <w:rsid w:val="00427016"/>
    <w:rsid w:val="0042709B"/>
    <w:rsid w:val="004270FD"/>
    <w:rsid w:val="004271A6"/>
    <w:rsid w:val="0042740A"/>
    <w:rsid w:val="00427413"/>
    <w:rsid w:val="0042747F"/>
    <w:rsid w:val="00427493"/>
    <w:rsid w:val="0042753D"/>
    <w:rsid w:val="004275E4"/>
    <w:rsid w:val="0042760E"/>
    <w:rsid w:val="004276BC"/>
    <w:rsid w:val="0042770E"/>
    <w:rsid w:val="0042771D"/>
    <w:rsid w:val="00427995"/>
    <w:rsid w:val="004279DF"/>
    <w:rsid w:val="00427A02"/>
    <w:rsid w:val="00427AB9"/>
    <w:rsid w:val="00427B08"/>
    <w:rsid w:val="00427CC6"/>
    <w:rsid w:val="00427D2C"/>
    <w:rsid w:val="00427E0C"/>
    <w:rsid w:val="00427E2F"/>
    <w:rsid w:val="00427EA7"/>
    <w:rsid w:val="00427EEE"/>
    <w:rsid w:val="00427F89"/>
    <w:rsid w:val="00427FC7"/>
    <w:rsid w:val="00430055"/>
    <w:rsid w:val="004300DE"/>
    <w:rsid w:val="00430124"/>
    <w:rsid w:val="00430192"/>
    <w:rsid w:val="00430263"/>
    <w:rsid w:val="00430363"/>
    <w:rsid w:val="0043040A"/>
    <w:rsid w:val="0043049A"/>
    <w:rsid w:val="004304C0"/>
    <w:rsid w:val="0043050D"/>
    <w:rsid w:val="00430519"/>
    <w:rsid w:val="00430528"/>
    <w:rsid w:val="004305AC"/>
    <w:rsid w:val="004305E8"/>
    <w:rsid w:val="0043060A"/>
    <w:rsid w:val="0043061F"/>
    <w:rsid w:val="00430625"/>
    <w:rsid w:val="00430632"/>
    <w:rsid w:val="004307EB"/>
    <w:rsid w:val="00430A51"/>
    <w:rsid w:val="00430AEA"/>
    <w:rsid w:val="00430B86"/>
    <w:rsid w:val="00430C8B"/>
    <w:rsid w:val="00430CDC"/>
    <w:rsid w:val="00430CE2"/>
    <w:rsid w:val="00430E09"/>
    <w:rsid w:val="00430E23"/>
    <w:rsid w:val="00430E79"/>
    <w:rsid w:val="00430F62"/>
    <w:rsid w:val="00430FE7"/>
    <w:rsid w:val="00431030"/>
    <w:rsid w:val="00431195"/>
    <w:rsid w:val="004311F3"/>
    <w:rsid w:val="0043120D"/>
    <w:rsid w:val="00431234"/>
    <w:rsid w:val="004312C8"/>
    <w:rsid w:val="004313AE"/>
    <w:rsid w:val="00431429"/>
    <w:rsid w:val="0043147A"/>
    <w:rsid w:val="0043188E"/>
    <w:rsid w:val="00431ADF"/>
    <w:rsid w:val="00431B1A"/>
    <w:rsid w:val="00431C8A"/>
    <w:rsid w:val="00431C98"/>
    <w:rsid w:val="00431D6E"/>
    <w:rsid w:val="00431D9F"/>
    <w:rsid w:val="00431E4B"/>
    <w:rsid w:val="00431EB3"/>
    <w:rsid w:val="00431EF7"/>
    <w:rsid w:val="00431FB8"/>
    <w:rsid w:val="0043205A"/>
    <w:rsid w:val="004320E3"/>
    <w:rsid w:val="004321C5"/>
    <w:rsid w:val="00432217"/>
    <w:rsid w:val="00432292"/>
    <w:rsid w:val="004322C5"/>
    <w:rsid w:val="004324FC"/>
    <w:rsid w:val="00432555"/>
    <w:rsid w:val="004325D3"/>
    <w:rsid w:val="0043267E"/>
    <w:rsid w:val="0043270E"/>
    <w:rsid w:val="00432746"/>
    <w:rsid w:val="00432808"/>
    <w:rsid w:val="0043283B"/>
    <w:rsid w:val="0043285E"/>
    <w:rsid w:val="00432880"/>
    <w:rsid w:val="004328A0"/>
    <w:rsid w:val="004328D7"/>
    <w:rsid w:val="004328DC"/>
    <w:rsid w:val="004329F9"/>
    <w:rsid w:val="00432A14"/>
    <w:rsid w:val="00432A46"/>
    <w:rsid w:val="00432A59"/>
    <w:rsid w:val="00432A71"/>
    <w:rsid w:val="00432A87"/>
    <w:rsid w:val="00432B2C"/>
    <w:rsid w:val="00432B3B"/>
    <w:rsid w:val="00432CD0"/>
    <w:rsid w:val="00432D2E"/>
    <w:rsid w:val="00432D88"/>
    <w:rsid w:val="00432DA6"/>
    <w:rsid w:val="00432E76"/>
    <w:rsid w:val="00432EB5"/>
    <w:rsid w:val="00432ECF"/>
    <w:rsid w:val="00432F10"/>
    <w:rsid w:val="00432F9E"/>
    <w:rsid w:val="00433022"/>
    <w:rsid w:val="004330B5"/>
    <w:rsid w:val="004330CD"/>
    <w:rsid w:val="004330E2"/>
    <w:rsid w:val="00433124"/>
    <w:rsid w:val="004331DE"/>
    <w:rsid w:val="00433254"/>
    <w:rsid w:val="00433399"/>
    <w:rsid w:val="0043339C"/>
    <w:rsid w:val="004333AA"/>
    <w:rsid w:val="004334F0"/>
    <w:rsid w:val="00433556"/>
    <w:rsid w:val="00433602"/>
    <w:rsid w:val="00433605"/>
    <w:rsid w:val="004336C6"/>
    <w:rsid w:val="00433818"/>
    <w:rsid w:val="0043388F"/>
    <w:rsid w:val="004338B3"/>
    <w:rsid w:val="004338F1"/>
    <w:rsid w:val="00433912"/>
    <w:rsid w:val="004339AB"/>
    <w:rsid w:val="00433A44"/>
    <w:rsid w:val="00433A47"/>
    <w:rsid w:val="00433A76"/>
    <w:rsid w:val="00433BB6"/>
    <w:rsid w:val="00433BEC"/>
    <w:rsid w:val="00433D3C"/>
    <w:rsid w:val="00433DF9"/>
    <w:rsid w:val="00433FED"/>
    <w:rsid w:val="00434118"/>
    <w:rsid w:val="00434146"/>
    <w:rsid w:val="0043415A"/>
    <w:rsid w:val="00434214"/>
    <w:rsid w:val="004342D9"/>
    <w:rsid w:val="00434451"/>
    <w:rsid w:val="004344EB"/>
    <w:rsid w:val="0043452A"/>
    <w:rsid w:val="00434535"/>
    <w:rsid w:val="00434546"/>
    <w:rsid w:val="0043459C"/>
    <w:rsid w:val="00434620"/>
    <w:rsid w:val="00434628"/>
    <w:rsid w:val="0043464D"/>
    <w:rsid w:val="004346D1"/>
    <w:rsid w:val="004347F6"/>
    <w:rsid w:val="00434818"/>
    <w:rsid w:val="004348BA"/>
    <w:rsid w:val="004349AB"/>
    <w:rsid w:val="00434A47"/>
    <w:rsid w:val="00434A54"/>
    <w:rsid w:val="00434A8B"/>
    <w:rsid w:val="00434C47"/>
    <w:rsid w:val="00434D22"/>
    <w:rsid w:val="00434DC0"/>
    <w:rsid w:val="00434E3D"/>
    <w:rsid w:val="00434F43"/>
    <w:rsid w:val="00434F47"/>
    <w:rsid w:val="00434FFA"/>
    <w:rsid w:val="0043504D"/>
    <w:rsid w:val="0043506A"/>
    <w:rsid w:val="0043509F"/>
    <w:rsid w:val="00435125"/>
    <w:rsid w:val="00435224"/>
    <w:rsid w:val="0043533F"/>
    <w:rsid w:val="0043543F"/>
    <w:rsid w:val="00435463"/>
    <w:rsid w:val="00435673"/>
    <w:rsid w:val="00435702"/>
    <w:rsid w:val="00435716"/>
    <w:rsid w:val="00435771"/>
    <w:rsid w:val="004357EB"/>
    <w:rsid w:val="00435879"/>
    <w:rsid w:val="004358B4"/>
    <w:rsid w:val="004358DF"/>
    <w:rsid w:val="00435909"/>
    <w:rsid w:val="004359B9"/>
    <w:rsid w:val="00435A03"/>
    <w:rsid w:val="00435A37"/>
    <w:rsid w:val="00435B5E"/>
    <w:rsid w:val="00435BFE"/>
    <w:rsid w:val="00435C28"/>
    <w:rsid w:val="00435C3F"/>
    <w:rsid w:val="00435E90"/>
    <w:rsid w:val="00435F58"/>
    <w:rsid w:val="00435F84"/>
    <w:rsid w:val="00435FDE"/>
    <w:rsid w:val="0043603B"/>
    <w:rsid w:val="00436053"/>
    <w:rsid w:val="0043607C"/>
    <w:rsid w:val="0043626F"/>
    <w:rsid w:val="00436295"/>
    <w:rsid w:val="004362E4"/>
    <w:rsid w:val="004362F7"/>
    <w:rsid w:val="00436329"/>
    <w:rsid w:val="00436372"/>
    <w:rsid w:val="004363F0"/>
    <w:rsid w:val="0043641F"/>
    <w:rsid w:val="0043642C"/>
    <w:rsid w:val="0043642F"/>
    <w:rsid w:val="0043643D"/>
    <w:rsid w:val="0043648D"/>
    <w:rsid w:val="00436499"/>
    <w:rsid w:val="0043652D"/>
    <w:rsid w:val="004367A4"/>
    <w:rsid w:val="0043681C"/>
    <w:rsid w:val="00436827"/>
    <w:rsid w:val="00436837"/>
    <w:rsid w:val="0043689A"/>
    <w:rsid w:val="004369D6"/>
    <w:rsid w:val="00436AAD"/>
    <w:rsid w:val="00436B38"/>
    <w:rsid w:val="00436BD3"/>
    <w:rsid w:val="00436C26"/>
    <w:rsid w:val="00436C61"/>
    <w:rsid w:val="00436CB2"/>
    <w:rsid w:val="00436D41"/>
    <w:rsid w:val="00436E2B"/>
    <w:rsid w:val="00436EBE"/>
    <w:rsid w:val="00436EE3"/>
    <w:rsid w:val="00436EE4"/>
    <w:rsid w:val="00436FBA"/>
    <w:rsid w:val="00437032"/>
    <w:rsid w:val="00437076"/>
    <w:rsid w:val="004370CB"/>
    <w:rsid w:val="004370DE"/>
    <w:rsid w:val="00437109"/>
    <w:rsid w:val="0043722A"/>
    <w:rsid w:val="004375D5"/>
    <w:rsid w:val="0043761A"/>
    <w:rsid w:val="0043762C"/>
    <w:rsid w:val="00437665"/>
    <w:rsid w:val="0043770C"/>
    <w:rsid w:val="00437721"/>
    <w:rsid w:val="00437743"/>
    <w:rsid w:val="00437775"/>
    <w:rsid w:val="0043788E"/>
    <w:rsid w:val="004378B6"/>
    <w:rsid w:val="00437990"/>
    <w:rsid w:val="00437995"/>
    <w:rsid w:val="00437A93"/>
    <w:rsid w:val="00437AA3"/>
    <w:rsid w:val="00437AD7"/>
    <w:rsid w:val="00437AFD"/>
    <w:rsid w:val="00437B52"/>
    <w:rsid w:val="00437B78"/>
    <w:rsid w:val="00437CC1"/>
    <w:rsid w:val="00437DA7"/>
    <w:rsid w:val="00437DDD"/>
    <w:rsid w:val="00437DEE"/>
    <w:rsid w:val="00437E01"/>
    <w:rsid w:val="00437E0D"/>
    <w:rsid w:val="00437EAB"/>
    <w:rsid w:val="00437EB1"/>
    <w:rsid w:val="00437EF8"/>
    <w:rsid w:val="00437F16"/>
    <w:rsid w:val="00437F74"/>
    <w:rsid w:val="00440034"/>
    <w:rsid w:val="00440055"/>
    <w:rsid w:val="0044006C"/>
    <w:rsid w:val="004400D0"/>
    <w:rsid w:val="00440186"/>
    <w:rsid w:val="00440252"/>
    <w:rsid w:val="00440262"/>
    <w:rsid w:val="00440298"/>
    <w:rsid w:val="00440387"/>
    <w:rsid w:val="004403D1"/>
    <w:rsid w:val="00440412"/>
    <w:rsid w:val="0044043B"/>
    <w:rsid w:val="004404A6"/>
    <w:rsid w:val="004404F2"/>
    <w:rsid w:val="004405F3"/>
    <w:rsid w:val="00440679"/>
    <w:rsid w:val="00440741"/>
    <w:rsid w:val="00440809"/>
    <w:rsid w:val="0044087E"/>
    <w:rsid w:val="0044088C"/>
    <w:rsid w:val="004408AA"/>
    <w:rsid w:val="004408AB"/>
    <w:rsid w:val="00440A0F"/>
    <w:rsid w:val="00440B59"/>
    <w:rsid w:val="00440BCE"/>
    <w:rsid w:val="00440BEF"/>
    <w:rsid w:val="00440C51"/>
    <w:rsid w:val="00440C60"/>
    <w:rsid w:val="00440C73"/>
    <w:rsid w:val="00440DA2"/>
    <w:rsid w:val="00440E26"/>
    <w:rsid w:val="00440E47"/>
    <w:rsid w:val="00440EEF"/>
    <w:rsid w:val="004410BE"/>
    <w:rsid w:val="004410E3"/>
    <w:rsid w:val="004411C3"/>
    <w:rsid w:val="00441352"/>
    <w:rsid w:val="0044136A"/>
    <w:rsid w:val="00441378"/>
    <w:rsid w:val="00441687"/>
    <w:rsid w:val="00441718"/>
    <w:rsid w:val="0044175E"/>
    <w:rsid w:val="0044194C"/>
    <w:rsid w:val="00441AC3"/>
    <w:rsid w:val="00441AC6"/>
    <w:rsid w:val="00441B02"/>
    <w:rsid w:val="00441B0E"/>
    <w:rsid w:val="00441C03"/>
    <w:rsid w:val="00441C0C"/>
    <w:rsid w:val="00441CB7"/>
    <w:rsid w:val="00441CB8"/>
    <w:rsid w:val="00441DAB"/>
    <w:rsid w:val="00441DDE"/>
    <w:rsid w:val="00441F2A"/>
    <w:rsid w:val="00441F3C"/>
    <w:rsid w:val="00441FDB"/>
    <w:rsid w:val="0044210D"/>
    <w:rsid w:val="004421A6"/>
    <w:rsid w:val="00442303"/>
    <w:rsid w:val="004423AE"/>
    <w:rsid w:val="00442445"/>
    <w:rsid w:val="00442505"/>
    <w:rsid w:val="00442566"/>
    <w:rsid w:val="004425B1"/>
    <w:rsid w:val="0044264F"/>
    <w:rsid w:val="00442777"/>
    <w:rsid w:val="0044286A"/>
    <w:rsid w:val="0044288B"/>
    <w:rsid w:val="00442A7C"/>
    <w:rsid w:val="00442A81"/>
    <w:rsid w:val="00442AC5"/>
    <w:rsid w:val="00442C3C"/>
    <w:rsid w:val="00442C56"/>
    <w:rsid w:val="00442D79"/>
    <w:rsid w:val="00442F93"/>
    <w:rsid w:val="00442FF3"/>
    <w:rsid w:val="00443094"/>
    <w:rsid w:val="004432B8"/>
    <w:rsid w:val="0044333E"/>
    <w:rsid w:val="004433FD"/>
    <w:rsid w:val="0044344A"/>
    <w:rsid w:val="00443464"/>
    <w:rsid w:val="004434B0"/>
    <w:rsid w:val="0044358B"/>
    <w:rsid w:val="004435D6"/>
    <w:rsid w:val="004435DE"/>
    <w:rsid w:val="004435E9"/>
    <w:rsid w:val="00443681"/>
    <w:rsid w:val="004436EE"/>
    <w:rsid w:val="00443783"/>
    <w:rsid w:val="0044379F"/>
    <w:rsid w:val="004437C6"/>
    <w:rsid w:val="004437FA"/>
    <w:rsid w:val="00443816"/>
    <w:rsid w:val="00443832"/>
    <w:rsid w:val="00443938"/>
    <w:rsid w:val="0044399C"/>
    <w:rsid w:val="00443A72"/>
    <w:rsid w:val="00443B50"/>
    <w:rsid w:val="00443BD6"/>
    <w:rsid w:val="00443C04"/>
    <w:rsid w:val="00443D4D"/>
    <w:rsid w:val="00443E2B"/>
    <w:rsid w:val="00443F0E"/>
    <w:rsid w:val="0044401D"/>
    <w:rsid w:val="00444114"/>
    <w:rsid w:val="004441A2"/>
    <w:rsid w:val="004441E8"/>
    <w:rsid w:val="004441F3"/>
    <w:rsid w:val="00444236"/>
    <w:rsid w:val="00444287"/>
    <w:rsid w:val="004442BB"/>
    <w:rsid w:val="00444349"/>
    <w:rsid w:val="004443A1"/>
    <w:rsid w:val="004444AD"/>
    <w:rsid w:val="00444527"/>
    <w:rsid w:val="00444570"/>
    <w:rsid w:val="00444641"/>
    <w:rsid w:val="004447C1"/>
    <w:rsid w:val="0044483D"/>
    <w:rsid w:val="004448A7"/>
    <w:rsid w:val="004448BE"/>
    <w:rsid w:val="004448C5"/>
    <w:rsid w:val="004448D8"/>
    <w:rsid w:val="00444982"/>
    <w:rsid w:val="00444983"/>
    <w:rsid w:val="00444A71"/>
    <w:rsid w:val="00444AA9"/>
    <w:rsid w:val="00444AB0"/>
    <w:rsid w:val="00444B5E"/>
    <w:rsid w:val="00444B71"/>
    <w:rsid w:val="00444BE8"/>
    <w:rsid w:val="00444C4A"/>
    <w:rsid w:val="00444C68"/>
    <w:rsid w:val="00444C7D"/>
    <w:rsid w:val="00444CFC"/>
    <w:rsid w:val="00444D0E"/>
    <w:rsid w:val="00444D47"/>
    <w:rsid w:val="00444D7C"/>
    <w:rsid w:val="00444EFA"/>
    <w:rsid w:val="00444F17"/>
    <w:rsid w:val="00444F66"/>
    <w:rsid w:val="00444F85"/>
    <w:rsid w:val="00444F89"/>
    <w:rsid w:val="00445039"/>
    <w:rsid w:val="00445099"/>
    <w:rsid w:val="004450D0"/>
    <w:rsid w:val="004450FA"/>
    <w:rsid w:val="00445252"/>
    <w:rsid w:val="004452D2"/>
    <w:rsid w:val="00445472"/>
    <w:rsid w:val="0044547F"/>
    <w:rsid w:val="004454BD"/>
    <w:rsid w:val="0044553F"/>
    <w:rsid w:val="0044554D"/>
    <w:rsid w:val="004456FC"/>
    <w:rsid w:val="00445707"/>
    <w:rsid w:val="0044570A"/>
    <w:rsid w:val="0044570B"/>
    <w:rsid w:val="0044581D"/>
    <w:rsid w:val="0044587E"/>
    <w:rsid w:val="00445882"/>
    <w:rsid w:val="00445888"/>
    <w:rsid w:val="0044590E"/>
    <w:rsid w:val="00445917"/>
    <w:rsid w:val="0044594D"/>
    <w:rsid w:val="00445963"/>
    <w:rsid w:val="00445A18"/>
    <w:rsid w:val="00445B26"/>
    <w:rsid w:val="00445B42"/>
    <w:rsid w:val="00445B90"/>
    <w:rsid w:val="00445BB4"/>
    <w:rsid w:val="00445C20"/>
    <w:rsid w:val="00445C4F"/>
    <w:rsid w:val="00445D62"/>
    <w:rsid w:val="00445E4B"/>
    <w:rsid w:val="00445FC2"/>
    <w:rsid w:val="004460BC"/>
    <w:rsid w:val="004462AC"/>
    <w:rsid w:val="00446305"/>
    <w:rsid w:val="0044635D"/>
    <w:rsid w:val="00446397"/>
    <w:rsid w:val="00446495"/>
    <w:rsid w:val="004465BA"/>
    <w:rsid w:val="004466A9"/>
    <w:rsid w:val="004466D8"/>
    <w:rsid w:val="00446B5F"/>
    <w:rsid w:val="00446C49"/>
    <w:rsid w:val="00446E45"/>
    <w:rsid w:val="00447001"/>
    <w:rsid w:val="0044700D"/>
    <w:rsid w:val="00447069"/>
    <w:rsid w:val="0044711F"/>
    <w:rsid w:val="0044718B"/>
    <w:rsid w:val="00447241"/>
    <w:rsid w:val="004472C7"/>
    <w:rsid w:val="004472C8"/>
    <w:rsid w:val="004472D1"/>
    <w:rsid w:val="0044734D"/>
    <w:rsid w:val="004473A5"/>
    <w:rsid w:val="0044745E"/>
    <w:rsid w:val="004474DC"/>
    <w:rsid w:val="004474EB"/>
    <w:rsid w:val="0044750B"/>
    <w:rsid w:val="0044755C"/>
    <w:rsid w:val="0044763D"/>
    <w:rsid w:val="004476AC"/>
    <w:rsid w:val="00447877"/>
    <w:rsid w:val="004478A1"/>
    <w:rsid w:val="00447A17"/>
    <w:rsid w:val="00447AFA"/>
    <w:rsid w:val="00447B4F"/>
    <w:rsid w:val="00447C9F"/>
    <w:rsid w:val="00447CB9"/>
    <w:rsid w:val="00447CF0"/>
    <w:rsid w:val="00447D0D"/>
    <w:rsid w:val="00447D44"/>
    <w:rsid w:val="00447E8A"/>
    <w:rsid w:val="00447E90"/>
    <w:rsid w:val="00447F3D"/>
    <w:rsid w:val="0044EA10"/>
    <w:rsid w:val="00450035"/>
    <w:rsid w:val="00450110"/>
    <w:rsid w:val="00450148"/>
    <w:rsid w:val="004501B1"/>
    <w:rsid w:val="00450227"/>
    <w:rsid w:val="0045027A"/>
    <w:rsid w:val="0045029A"/>
    <w:rsid w:val="004502E5"/>
    <w:rsid w:val="004502EB"/>
    <w:rsid w:val="00450320"/>
    <w:rsid w:val="004503DF"/>
    <w:rsid w:val="004503EC"/>
    <w:rsid w:val="00450435"/>
    <w:rsid w:val="00450436"/>
    <w:rsid w:val="004504AA"/>
    <w:rsid w:val="004504F1"/>
    <w:rsid w:val="004506F5"/>
    <w:rsid w:val="00450724"/>
    <w:rsid w:val="00450749"/>
    <w:rsid w:val="004507D5"/>
    <w:rsid w:val="0045083A"/>
    <w:rsid w:val="0045087E"/>
    <w:rsid w:val="004508F7"/>
    <w:rsid w:val="00450951"/>
    <w:rsid w:val="00450A06"/>
    <w:rsid w:val="00450B29"/>
    <w:rsid w:val="00450DF6"/>
    <w:rsid w:val="00450F78"/>
    <w:rsid w:val="00450F97"/>
    <w:rsid w:val="004510C1"/>
    <w:rsid w:val="00451184"/>
    <w:rsid w:val="00451194"/>
    <w:rsid w:val="004511E2"/>
    <w:rsid w:val="004512D2"/>
    <w:rsid w:val="00451401"/>
    <w:rsid w:val="004515FF"/>
    <w:rsid w:val="00451657"/>
    <w:rsid w:val="00451668"/>
    <w:rsid w:val="004516B0"/>
    <w:rsid w:val="00451766"/>
    <w:rsid w:val="00451767"/>
    <w:rsid w:val="004517E8"/>
    <w:rsid w:val="004517F6"/>
    <w:rsid w:val="004517FF"/>
    <w:rsid w:val="004518F1"/>
    <w:rsid w:val="0045193B"/>
    <w:rsid w:val="0045199C"/>
    <w:rsid w:val="00451B2C"/>
    <w:rsid w:val="00451D00"/>
    <w:rsid w:val="00451D4D"/>
    <w:rsid w:val="00451D97"/>
    <w:rsid w:val="00451DAD"/>
    <w:rsid w:val="00451DB2"/>
    <w:rsid w:val="00451FA6"/>
    <w:rsid w:val="00452005"/>
    <w:rsid w:val="004520BD"/>
    <w:rsid w:val="0045210B"/>
    <w:rsid w:val="0045220E"/>
    <w:rsid w:val="00452281"/>
    <w:rsid w:val="004522A7"/>
    <w:rsid w:val="004523D2"/>
    <w:rsid w:val="00452419"/>
    <w:rsid w:val="00452495"/>
    <w:rsid w:val="00452501"/>
    <w:rsid w:val="00452596"/>
    <w:rsid w:val="00452659"/>
    <w:rsid w:val="0045265B"/>
    <w:rsid w:val="004527C0"/>
    <w:rsid w:val="004527CC"/>
    <w:rsid w:val="00452914"/>
    <w:rsid w:val="0045294C"/>
    <w:rsid w:val="00452960"/>
    <w:rsid w:val="00452982"/>
    <w:rsid w:val="00452995"/>
    <w:rsid w:val="004529DD"/>
    <w:rsid w:val="00452A03"/>
    <w:rsid w:val="00452A29"/>
    <w:rsid w:val="00452AAF"/>
    <w:rsid w:val="00452BAC"/>
    <w:rsid w:val="00452BC6"/>
    <w:rsid w:val="00452C37"/>
    <w:rsid w:val="00452C76"/>
    <w:rsid w:val="00452D1F"/>
    <w:rsid w:val="00452D26"/>
    <w:rsid w:val="00452DC7"/>
    <w:rsid w:val="00452E67"/>
    <w:rsid w:val="00452ECD"/>
    <w:rsid w:val="00452F04"/>
    <w:rsid w:val="00452F67"/>
    <w:rsid w:val="00452FBF"/>
    <w:rsid w:val="00453047"/>
    <w:rsid w:val="004530BD"/>
    <w:rsid w:val="00453110"/>
    <w:rsid w:val="0045313F"/>
    <w:rsid w:val="00453223"/>
    <w:rsid w:val="004532ED"/>
    <w:rsid w:val="00453359"/>
    <w:rsid w:val="0045335E"/>
    <w:rsid w:val="00453363"/>
    <w:rsid w:val="00453468"/>
    <w:rsid w:val="0045348A"/>
    <w:rsid w:val="004534E2"/>
    <w:rsid w:val="004535BB"/>
    <w:rsid w:val="00453633"/>
    <w:rsid w:val="004536CB"/>
    <w:rsid w:val="0045373A"/>
    <w:rsid w:val="004537D9"/>
    <w:rsid w:val="00453820"/>
    <w:rsid w:val="00453866"/>
    <w:rsid w:val="004538D9"/>
    <w:rsid w:val="0045391B"/>
    <w:rsid w:val="00453A5F"/>
    <w:rsid w:val="00453B09"/>
    <w:rsid w:val="00453B70"/>
    <w:rsid w:val="00453B7A"/>
    <w:rsid w:val="00453B9D"/>
    <w:rsid w:val="00453D02"/>
    <w:rsid w:val="00453D89"/>
    <w:rsid w:val="00453EE9"/>
    <w:rsid w:val="00453F5C"/>
    <w:rsid w:val="00453F8F"/>
    <w:rsid w:val="00454002"/>
    <w:rsid w:val="00454156"/>
    <w:rsid w:val="0045416D"/>
    <w:rsid w:val="00454172"/>
    <w:rsid w:val="004541B1"/>
    <w:rsid w:val="0045423E"/>
    <w:rsid w:val="00454266"/>
    <w:rsid w:val="004543E0"/>
    <w:rsid w:val="00454421"/>
    <w:rsid w:val="00454467"/>
    <w:rsid w:val="004544E2"/>
    <w:rsid w:val="004544F4"/>
    <w:rsid w:val="0045456A"/>
    <w:rsid w:val="004545E9"/>
    <w:rsid w:val="00454690"/>
    <w:rsid w:val="004546CB"/>
    <w:rsid w:val="004546E1"/>
    <w:rsid w:val="0045479B"/>
    <w:rsid w:val="004548DE"/>
    <w:rsid w:val="004548E7"/>
    <w:rsid w:val="00454A11"/>
    <w:rsid w:val="00454A31"/>
    <w:rsid w:val="00454BA4"/>
    <w:rsid w:val="00454E1C"/>
    <w:rsid w:val="00454E67"/>
    <w:rsid w:val="00454EE5"/>
    <w:rsid w:val="00454F98"/>
    <w:rsid w:val="00455069"/>
    <w:rsid w:val="00455137"/>
    <w:rsid w:val="0045514A"/>
    <w:rsid w:val="004552E5"/>
    <w:rsid w:val="00455308"/>
    <w:rsid w:val="004553D9"/>
    <w:rsid w:val="004554A1"/>
    <w:rsid w:val="00455508"/>
    <w:rsid w:val="004555B0"/>
    <w:rsid w:val="00455615"/>
    <w:rsid w:val="00455624"/>
    <w:rsid w:val="00455645"/>
    <w:rsid w:val="00455674"/>
    <w:rsid w:val="004556FF"/>
    <w:rsid w:val="004557DD"/>
    <w:rsid w:val="00455817"/>
    <w:rsid w:val="00455901"/>
    <w:rsid w:val="004559F0"/>
    <w:rsid w:val="00455A9F"/>
    <w:rsid w:val="00455ACA"/>
    <w:rsid w:val="00455BB2"/>
    <w:rsid w:val="00455C36"/>
    <w:rsid w:val="00455CB2"/>
    <w:rsid w:val="00455D92"/>
    <w:rsid w:val="00455E7B"/>
    <w:rsid w:val="00455E97"/>
    <w:rsid w:val="00455FB6"/>
    <w:rsid w:val="00456055"/>
    <w:rsid w:val="004561FE"/>
    <w:rsid w:val="00456226"/>
    <w:rsid w:val="0045632A"/>
    <w:rsid w:val="0045635B"/>
    <w:rsid w:val="00456367"/>
    <w:rsid w:val="004563E1"/>
    <w:rsid w:val="00456499"/>
    <w:rsid w:val="004564E9"/>
    <w:rsid w:val="0045675C"/>
    <w:rsid w:val="00456764"/>
    <w:rsid w:val="004567F1"/>
    <w:rsid w:val="00456807"/>
    <w:rsid w:val="00456809"/>
    <w:rsid w:val="00456907"/>
    <w:rsid w:val="004569A6"/>
    <w:rsid w:val="004569BF"/>
    <w:rsid w:val="004569C5"/>
    <w:rsid w:val="00456A0E"/>
    <w:rsid w:val="00456B27"/>
    <w:rsid w:val="00456B6C"/>
    <w:rsid w:val="00456C0B"/>
    <w:rsid w:val="00456C78"/>
    <w:rsid w:val="00456DAF"/>
    <w:rsid w:val="00456F68"/>
    <w:rsid w:val="00456F88"/>
    <w:rsid w:val="00457003"/>
    <w:rsid w:val="0045701E"/>
    <w:rsid w:val="00457142"/>
    <w:rsid w:val="004572F4"/>
    <w:rsid w:val="00457369"/>
    <w:rsid w:val="00457427"/>
    <w:rsid w:val="0045742D"/>
    <w:rsid w:val="004574E7"/>
    <w:rsid w:val="00457514"/>
    <w:rsid w:val="004575F1"/>
    <w:rsid w:val="00457821"/>
    <w:rsid w:val="00457877"/>
    <w:rsid w:val="004578AE"/>
    <w:rsid w:val="004578B0"/>
    <w:rsid w:val="004578D2"/>
    <w:rsid w:val="00457944"/>
    <w:rsid w:val="00457A35"/>
    <w:rsid w:val="00457AA3"/>
    <w:rsid w:val="00457BF9"/>
    <w:rsid w:val="00457C95"/>
    <w:rsid w:val="00457CC5"/>
    <w:rsid w:val="00457CE1"/>
    <w:rsid w:val="00457D20"/>
    <w:rsid w:val="00457D51"/>
    <w:rsid w:val="00457ED0"/>
    <w:rsid w:val="00457F42"/>
    <w:rsid w:val="00457FA7"/>
    <w:rsid w:val="0045D382"/>
    <w:rsid w:val="00460012"/>
    <w:rsid w:val="0046003E"/>
    <w:rsid w:val="00460130"/>
    <w:rsid w:val="004602AE"/>
    <w:rsid w:val="004602F8"/>
    <w:rsid w:val="004602FC"/>
    <w:rsid w:val="00460500"/>
    <w:rsid w:val="0046055E"/>
    <w:rsid w:val="0046057C"/>
    <w:rsid w:val="0046057E"/>
    <w:rsid w:val="00460597"/>
    <w:rsid w:val="00460686"/>
    <w:rsid w:val="00460765"/>
    <w:rsid w:val="004607CF"/>
    <w:rsid w:val="0046081A"/>
    <w:rsid w:val="0046091B"/>
    <w:rsid w:val="00460962"/>
    <w:rsid w:val="00460AB5"/>
    <w:rsid w:val="00460AB9"/>
    <w:rsid w:val="00460AFF"/>
    <w:rsid w:val="00460C4F"/>
    <w:rsid w:val="00460C50"/>
    <w:rsid w:val="00460E50"/>
    <w:rsid w:val="00460EBD"/>
    <w:rsid w:val="00460EED"/>
    <w:rsid w:val="0046107F"/>
    <w:rsid w:val="00461090"/>
    <w:rsid w:val="004610C5"/>
    <w:rsid w:val="00461165"/>
    <w:rsid w:val="00461177"/>
    <w:rsid w:val="004611C3"/>
    <w:rsid w:val="0046131B"/>
    <w:rsid w:val="0046131F"/>
    <w:rsid w:val="004613EA"/>
    <w:rsid w:val="00461419"/>
    <w:rsid w:val="00461618"/>
    <w:rsid w:val="00461625"/>
    <w:rsid w:val="004616B0"/>
    <w:rsid w:val="004616EC"/>
    <w:rsid w:val="00461755"/>
    <w:rsid w:val="004617D2"/>
    <w:rsid w:val="00461899"/>
    <w:rsid w:val="004618A2"/>
    <w:rsid w:val="004618C0"/>
    <w:rsid w:val="004618CA"/>
    <w:rsid w:val="0046193A"/>
    <w:rsid w:val="00461A0D"/>
    <w:rsid w:val="00461AF6"/>
    <w:rsid w:val="00461B8B"/>
    <w:rsid w:val="00461CD4"/>
    <w:rsid w:val="00461D1B"/>
    <w:rsid w:val="00461D81"/>
    <w:rsid w:val="00461E2F"/>
    <w:rsid w:val="00461E91"/>
    <w:rsid w:val="00462016"/>
    <w:rsid w:val="004620A9"/>
    <w:rsid w:val="004621EF"/>
    <w:rsid w:val="0046225D"/>
    <w:rsid w:val="0046227D"/>
    <w:rsid w:val="00462298"/>
    <w:rsid w:val="004622C2"/>
    <w:rsid w:val="004622C6"/>
    <w:rsid w:val="004622E2"/>
    <w:rsid w:val="004623DE"/>
    <w:rsid w:val="00462462"/>
    <w:rsid w:val="00462473"/>
    <w:rsid w:val="00462569"/>
    <w:rsid w:val="004625EF"/>
    <w:rsid w:val="00462643"/>
    <w:rsid w:val="00462650"/>
    <w:rsid w:val="0046266A"/>
    <w:rsid w:val="00462677"/>
    <w:rsid w:val="00462684"/>
    <w:rsid w:val="004626E0"/>
    <w:rsid w:val="0046277A"/>
    <w:rsid w:val="004627A6"/>
    <w:rsid w:val="004627E0"/>
    <w:rsid w:val="004627EE"/>
    <w:rsid w:val="00462A44"/>
    <w:rsid w:val="00462B2C"/>
    <w:rsid w:val="00462CE4"/>
    <w:rsid w:val="00462D37"/>
    <w:rsid w:val="00462E65"/>
    <w:rsid w:val="00462E91"/>
    <w:rsid w:val="00462F05"/>
    <w:rsid w:val="00462F53"/>
    <w:rsid w:val="00462FF2"/>
    <w:rsid w:val="0046300B"/>
    <w:rsid w:val="004631FD"/>
    <w:rsid w:val="004631FE"/>
    <w:rsid w:val="00463200"/>
    <w:rsid w:val="00463240"/>
    <w:rsid w:val="0046328B"/>
    <w:rsid w:val="004632ED"/>
    <w:rsid w:val="00463336"/>
    <w:rsid w:val="0046334C"/>
    <w:rsid w:val="004633AD"/>
    <w:rsid w:val="004633B6"/>
    <w:rsid w:val="004635F5"/>
    <w:rsid w:val="004636A8"/>
    <w:rsid w:val="004636BB"/>
    <w:rsid w:val="0046371E"/>
    <w:rsid w:val="004637BD"/>
    <w:rsid w:val="00463A05"/>
    <w:rsid w:val="00463AF8"/>
    <w:rsid w:val="00463C0A"/>
    <w:rsid w:val="00463D03"/>
    <w:rsid w:val="00463D45"/>
    <w:rsid w:val="00463D6E"/>
    <w:rsid w:val="00463E81"/>
    <w:rsid w:val="00463EAB"/>
    <w:rsid w:val="00463EE5"/>
    <w:rsid w:val="0046409E"/>
    <w:rsid w:val="004640F9"/>
    <w:rsid w:val="004641C7"/>
    <w:rsid w:val="00464366"/>
    <w:rsid w:val="004643D0"/>
    <w:rsid w:val="0046446D"/>
    <w:rsid w:val="004644A3"/>
    <w:rsid w:val="004644B0"/>
    <w:rsid w:val="00464518"/>
    <w:rsid w:val="00464625"/>
    <w:rsid w:val="004646DA"/>
    <w:rsid w:val="0046472C"/>
    <w:rsid w:val="004647DF"/>
    <w:rsid w:val="0046485E"/>
    <w:rsid w:val="004648A5"/>
    <w:rsid w:val="00464918"/>
    <w:rsid w:val="0046499F"/>
    <w:rsid w:val="00464A34"/>
    <w:rsid w:val="00464A5F"/>
    <w:rsid w:val="00464A7C"/>
    <w:rsid w:val="00464BBF"/>
    <w:rsid w:val="00464BC3"/>
    <w:rsid w:val="00464C5B"/>
    <w:rsid w:val="00464C75"/>
    <w:rsid w:val="00464C7F"/>
    <w:rsid w:val="00464CED"/>
    <w:rsid w:val="00464D0C"/>
    <w:rsid w:val="00464D1B"/>
    <w:rsid w:val="00464E66"/>
    <w:rsid w:val="00464F20"/>
    <w:rsid w:val="00464F30"/>
    <w:rsid w:val="00464F7A"/>
    <w:rsid w:val="00464F87"/>
    <w:rsid w:val="0046507F"/>
    <w:rsid w:val="00465125"/>
    <w:rsid w:val="0046513C"/>
    <w:rsid w:val="0046515E"/>
    <w:rsid w:val="00465185"/>
    <w:rsid w:val="004653C3"/>
    <w:rsid w:val="00465498"/>
    <w:rsid w:val="004654A6"/>
    <w:rsid w:val="004654FF"/>
    <w:rsid w:val="004656E3"/>
    <w:rsid w:val="00465752"/>
    <w:rsid w:val="00465799"/>
    <w:rsid w:val="004659EC"/>
    <w:rsid w:val="00465BBE"/>
    <w:rsid w:val="00465BCC"/>
    <w:rsid w:val="00465D67"/>
    <w:rsid w:val="00465EB9"/>
    <w:rsid w:val="00465F46"/>
    <w:rsid w:val="00466058"/>
    <w:rsid w:val="0046624F"/>
    <w:rsid w:val="00466266"/>
    <w:rsid w:val="0046629D"/>
    <w:rsid w:val="004662BB"/>
    <w:rsid w:val="00466402"/>
    <w:rsid w:val="0046646D"/>
    <w:rsid w:val="004664DE"/>
    <w:rsid w:val="004664F3"/>
    <w:rsid w:val="00466546"/>
    <w:rsid w:val="00466575"/>
    <w:rsid w:val="004668CF"/>
    <w:rsid w:val="0046691B"/>
    <w:rsid w:val="0046697E"/>
    <w:rsid w:val="00466A7E"/>
    <w:rsid w:val="00466B0A"/>
    <w:rsid w:val="00466B3F"/>
    <w:rsid w:val="00466C23"/>
    <w:rsid w:val="00466D8B"/>
    <w:rsid w:val="00466DD5"/>
    <w:rsid w:val="00466E01"/>
    <w:rsid w:val="00466E44"/>
    <w:rsid w:val="00466FB6"/>
    <w:rsid w:val="0046709F"/>
    <w:rsid w:val="00467116"/>
    <w:rsid w:val="00467137"/>
    <w:rsid w:val="00467145"/>
    <w:rsid w:val="00467230"/>
    <w:rsid w:val="004673DB"/>
    <w:rsid w:val="004673EB"/>
    <w:rsid w:val="0046741D"/>
    <w:rsid w:val="004674D4"/>
    <w:rsid w:val="00467598"/>
    <w:rsid w:val="0046760A"/>
    <w:rsid w:val="004676C0"/>
    <w:rsid w:val="004676D6"/>
    <w:rsid w:val="0046771B"/>
    <w:rsid w:val="0046773B"/>
    <w:rsid w:val="004677A3"/>
    <w:rsid w:val="004677E7"/>
    <w:rsid w:val="004677F3"/>
    <w:rsid w:val="00467806"/>
    <w:rsid w:val="00467881"/>
    <w:rsid w:val="00467985"/>
    <w:rsid w:val="004679EA"/>
    <w:rsid w:val="00467AFF"/>
    <w:rsid w:val="00467B7C"/>
    <w:rsid w:val="00467BB9"/>
    <w:rsid w:val="00467C0A"/>
    <w:rsid w:val="00467C9D"/>
    <w:rsid w:val="00467CB5"/>
    <w:rsid w:val="00467DA0"/>
    <w:rsid w:val="00467F2D"/>
    <w:rsid w:val="00467F83"/>
    <w:rsid w:val="00467FA5"/>
    <w:rsid w:val="00470214"/>
    <w:rsid w:val="00470287"/>
    <w:rsid w:val="00470461"/>
    <w:rsid w:val="00470598"/>
    <w:rsid w:val="0047070C"/>
    <w:rsid w:val="004707C0"/>
    <w:rsid w:val="004709C1"/>
    <w:rsid w:val="004709EF"/>
    <w:rsid w:val="00470A91"/>
    <w:rsid w:val="00470B91"/>
    <w:rsid w:val="00470CC4"/>
    <w:rsid w:val="00470D57"/>
    <w:rsid w:val="00470D5F"/>
    <w:rsid w:val="00470DC8"/>
    <w:rsid w:val="00470DD0"/>
    <w:rsid w:val="00470E5F"/>
    <w:rsid w:val="00470E98"/>
    <w:rsid w:val="00470E9D"/>
    <w:rsid w:val="00470EC0"/>
    <w:rsid w:val="00470F11"/>
    <w:rsid w:val="0047100A"/>
    <w:rsid w:val="00471049"/>
    <w:rsid w:val="00471091"/>
    <w:rsid w:val="0047112C"/>
    <w:rsid w:val="0047121C"/>
    <w:rsid w:val="0047153B"/>
    <w:rsid w:val="0047155B"/>
    <w:rsid w:val="004715AA"/>
    <w:rsid w:val="004716CF"/>
    <w:rsid w:val="004718B6"/>
    <w:rsid w:val="004718D2"/>
    <w:rsid w:val="0047191F"/>
    <w:rsid w:val="00471935"/>
    <w:rsid w:val="004719DF"/>
    <w:rsid w:val="00471CFB"/>
    <w:rsid w:val="00471D3D"/>
    <w:rsid w:val="00471F4E"/>
    <w:rsid w:val="00471FC2"/>
    <w:rsid w:val="00472067"/>
    <w:rsid w:val="004720FC"/>
    <w:rsid w:val="0047212A"/>
    <w:rsid w:val="004721B5"/>
    <w:rsid w:val="004722D6"/>
    <w:rsid w:val="004722DB"/>
    <w:rsid w:val="0047234A"/>
    <w:rsid w:val="004724C4"/>
    <w:rsid w:val="00472526"/>
    <w:rsid w:val="0047257E"/>
    <w:rsid w:val="00472587"/>
    <w:rsid w:val="0047288D"/>
    <w:rsid w:val="004728F8"/>
    <w:rsid w:val="0047292C"/>
    <w:rsid w:val="0047292E"/>
    <w:rsid w:val="00472930"/>
    <w:rsid w:val="00472955"/>
    <w:rsid w:val="004729F9"/>
    <w:rsid w:val="00472A63"/>
    <w:rsid w:val="00472AC3"/>
    <w:rsid w:val="00472D43"/>
    <w:rsid w:val="00472DAD"/>
    <w:rsid w:val="00472DDD"/>
    <w:rsid w:val="00472E7C"/>
    <w:rsid w:val="00472F75"/>
    <w:rsid w:val="00473065"/>
    <w:rsid w:val="00473076"/>
    <w:rsid w:val="004730A2"/>
    <w:rsid w:val="004730A8"/>
    <w:rsid w:val="00473144"/>
    <w:rsid w:val="00473145"/>
    <w:rsid w:val="00473169"/>
    <w:rsid w:val="00473200"/>
    <w:rsid w:val="00473257"/>
    <w:rsid w:val="00473297"/>
    <w:rsid w:val="004732BC"/>
    <w:rsid w:val="004732CB"/>
    <w:rsid w:val="004732F1"/>
    <w:rsid w:val="00473319"/>
    <w:rsid w:val="00473320"/>
    <w:rsid w:val="00473427"/>
    <w:rsid w:val="0047348C"/>
    <w:rsid w:val="0047359E"/>
    <w:rsid w:val="004735DE"/>
    <w:rsid w:val="004735F6"/>
    <w:rsid w:val="00473658"/>
    <w:rsid w:val="004736FF"/>
    <w:rsid w:val="00473958"/>
    <w:rsid w:val="0047397F"/>
    <w:rsid w:val="00473990"/>
    <w:rsid w:val="004739A4"/>
    <w:rsid w:val="00473AF8"/>
    <w:rsid w:val="00473B9D"/>
    <w:rsid w:val="00473BD4"/>
    <w:rsid w:val="00473BDF"/>
    <w:rsid w:val="00473C38"/>
    <w:rsid w:val="00473C50"/>
    <w:rsid w:val="00473C52"/>
    <w:rsid w:val="00473CAF"/>
    <w:rsid w:val="00473CF0"/>
    <w:rsid w:val="00473D6B"/>
    <w:rsid w:val="00473DC1"/>
    <w:rsid w:val="00473F57"/>
    <w:rsid w:val="0047404E"/>
    <w:rsid w:val="004740D8"/>
    <w:rsid w:val="004741A4"/>
    <w:rsid w:val="004742E1"/>
    <w:rsid w:val="00474352"/>
    <w:rsid w:val="004744C5"/>
    <w:rsid w:val="004744CD"/>
    <w:rsid w:val="004744DB"/>
    <w:rsid w:val="004744F0"/>
    <w:rsid w:val="00474618"/>
    <w:rsid w:val="004746C7"/>
    <w:rsid w:val="004746DB"/>
    <w:rsid w:val="004746DD"/>
    <w:rsid w:val="004746E2"/>
    <w:rsid w:val="004746E9"/>
    <w:rsid w:val="004747A2"/>
    <w:rsid w:val="00474874"/>
    <w:rsid w:val="0047489E"/>
    <w:rsid w:val="004748BF"/>
    <w:rsid w:val="00474A1A"/>
    <w:rsid w:val="00474AC7"/>
    <w:rsid w:val="00474AD7"/>
    <w:rsid w:val="00474C50"/>
    <w:rsid w:val="00474C56"/>
    <w:rsid w:val="00474CDC"/>
    <w:rsid w:val="00474CF7"/>
    <w:rsid w:val="00474D58"/>
    <w:rsid w:val="00474D90"/>
    <w:rsid w:val="00474DA5"/>
    <w:rsid w:val="00474DF3"/>
    <w:rsid w:val="00474E0F"/>
    <w:rsid w:val="00474EB3"/>
    <w:rsid w:val="00474F0E"/>
    <w:rsid w:val="00475053"/>
    <w:rsid w:val="004750F3"/>
    <w:rsid w:val="0047518C"/>
    <w:rsid w:val="0047523F"/>
    <w:rsid w:val="0047532B"/>
    <w:rsid w:val="00475342"/>
    <w:rsid w:val="0047539E"/>
    <w:rsid w:val="00475403"/>
    <w:rsid w:val="00475475"/>
    <w:rsid w:val="00475532"/>
    <w:rsid w:val="00475669"/>
    <w:rsid w:val="004756FA"/>
    <w:rsid w:val="004758DF"/>
    <w:rsid w:val="00475906"/>
    <w:rsid w:val="00475980"/>
    <w:rsid w:val="00475ACD"/>
    <w:rsid w:val="00475B09"/>
    <w:rsid w:val="00475B5B"/>
    <w:rsid w:val="00475BBA"/>
    <w:rsid w:val="00475CBC"/>
    <w:rsid w:val="00475D2C"/>
    <w:rsid w:val="00475D5B"/>
    <w:rsid w:val="00475E60"/>
    <w:rsid w:val="00475E66"/>
    <w:rsid w:val="00475E94"/>
    <w:rsid w:val="00475F0D"/>
    <w:rsid w:val="00475F36"/>
    <w:rsid w:val="00475F37"/>
    <w:rsid w:val="00475FB3"/>
    <w:rsid w:val="0047604A"/>
    <w:rsid w:val="00476160"/>
    <w:rsid w:val="0047630B"/>
    <w:rsid w:val="004764AD"/>
    <w:rsid w:val="004764BA"/>
    <w:rsid w:val="00476505"/>
    <w:rsid w:val="00476528"/>
    <w:rsid w:val="00476559"/>
    <w:rsid w:val="0047663B"/>
    <w:rsid w:val="004766BA"/>
    <w:rsid w:val="00476702"/>
    <w:rsid w:val="00476761"/>
    <w:rsid w:val="0047695B"/>
    <w:rsid w:val="004769B3"/>
    <w:rsid w:val="004769BB"/>
    <w:rsid w:val="004769C8"/>
    <w:rsid w:val="00476ABF"/>
    <w:rsid w:val="00476B11"/>
    <w:rsid w:val="00476C79"/>
    <w:rsid w:val="00476DB0"/>
    <w:rsid w:val="00476DCD"/>
    <w:rsid w:val="00476DD4"/>
    <w:rsid w:val="00476DFA"/>
    <w:rsid w:val="00476E54"/>
    <w:rsid w:val="00476EC7"/>
    <w:rsid w:val="00476EDC"/>
    <w:rsid w:val="00476F7B"/>
    <w:rsid w:val="00476FEF"/>
    <w:rsid w:val="004770E3"/>
    <w:rsid w:val="00477281"/>
    <w:rsid w:val="004772A3"/>
    <w:rsid w:val="004775F8"/>
    <w:rsid w:val="004775FA"/>
    <w:rsid w:val="00477626"/>
    <w:rsid w:val="00477719"/>
    <w:rsid w:val="0047777C"/>
    <w:rsid w:val="00477818"/>
    <w:rsid w:val="00477911"/>
    <w:rsid w:val="0047796B"/>
    <w:rsid w:val="00477A66"/>
    <w:rsid w:val="00477AF3"/>
    <w:rsid w:val="00477AF9"/>
    <w:rsid w:val="00477B47"/>
    <w:rsid w:val="00477B49"/>
    <w:rsid w:val="00477B83"/>
    <w:rsid w:val="00477C25"/>
    <w:rsid w:val="00477D01"/>
    <w:rsid w:val="00477D17"/>
    <w:rsid w:val="00477E1D"/>
    <w:rsid w:val="00477E9E"/>
    <w:rsid w:val="00477EF6"/>
    <w:rsid w:val="00477F15"/>
    <w:rsid w:val="00477F1E"/>
    <w:rsid w:val="00477F47"/>
    <w:rsid w:val="00480034"/>
    <w:rsid w:val="0048003F"/>
    <w:rsid w:val="0048013D"/>
    <w:rsid w:val="00480254"/>
    <w:rsid w:val="0048026E"/>
    <w:rsid w:val="00480275"/>
    <w:rsid w:val="004802F3"/>
    <w:rsid w:val="0048033F"/>
    <w:rsid w:val="00480342"/>
    <w:rsid w:val="004803E3"/>
    <w:rsid w:val="00480460"/>
    <w:rsid w:val="00480466"/>
    <w:rsid w:val="00480468"/>
    <w:rsid w:val="00480510"/>
    <w:rsid w:val="004805E9"/>
    <w:rsid w:val="004806C9"/>
    <w:rsid w:val="0048077D"/>
    <w:rsid w:val="004808C7"/>
    <w:rsid w:val="00480985"/>
    <w:rsid w:val="004809AA"/>
    <w:rsid w:val="00480A2C"/>
    <w:rsid w:val="00480A98"/>
    <w:rsid w:val="00480AFD"/>
    <w:rsid w:val="00480C3B"/>
    <w:rsid w:val="00480D83"/>
    <w:rsid w:val="00480D91"/>
    <w:rsid w:val="00480DFA"/>
    <w:rsid w:val="00480E18"/>
    <w:rsid w:val="00480EAF"/>
    <w:rsid w:val="00480EF0"/>
    <w:rsid w:val="0048105B"/>
    <w:rsid w:val="004810B9"/>
    <w:rsid w:val="00481175"/>
    <w:rsid w:val="00481294"/>
    <w:rsid w:val="00481434"/>
    <w:rsid w:val="0048155D"/>
    <w:rsid w:val="004815FA"/>
    <w:rsid w:val="004816A9"/>
    <w:rsid w:val="004816E5"/>
    <w:rsid w:val="00481721"/>
    <w:rsid w:val="00481954"/>
    <w:rsid w:val="00481974"/>
    <w:rsid w:val="00481992"/>
    <w:rsid w:val="00481CB0"/>
    <w:rsid w:val="00481D42"/>
    <w:rsid w:val="00481D67"/>
    <w:rsid w:val="00481E51"/>
    <w:rsid w:val="00481F12"/>
    <w:rsid w:val="00481FAE"/>
    <w:rsid w:val="0048204C"/>
    <w:rsid w:val="00482069"/>
    <w:rsid w:val="004820E5"/>
    <w:rsid w:val="00482173"/>
    <w:rsid w:val="00482192"/>
    <w:rsid w:val="004821DF"/>
    <w:rsid w:val="004822FB"/>
    <w:rsid w:val="00482317"/>
    <w:rsid w:val="0048232F"/>
    <w:rsid w:val="0048240C"/>
    <w:rsid w:val="00482494"/>
    <w:rsid w:val="004824DC"/>
    <w:rsid w:val="00482543"/>
    <w:rsid w:val="0048254A"/>
    <w:rsid w:val="004825D1"/>
    <w:rsid w:val="00482704"/>
    <w:rsid w:val="0048278F"/>
    <w:rsid w:val="004827CC"/>
    <w:rsid w:val="004828BB"/>
    <w:rsid w:val="004828CC"/>
    <w:rsid w:val="00482905"/>
    <w:rsid w:val="0048298D"/>
    <w:rsid w:val="00482B3F"/>
    <w:rsid w:val="00482C86"/>
    <w:rsid w:val="00482C95"/>
    <w:rsid w:val="00482CD2"/>
    <w:rsid w:val="00482CF5"/>
    <w:rsid w:val="00482D7F"/>
    <w:rsid w:val="00482E32"/>
    <w:rsid w:val="00482F9C"/>
    <w:rsid w:val="00483001"/>
    <w:rsid w:val="004830CD"/>
    <w:rsid w:val="004830D6"/>
    <w:rsid w:val="0048312D"/>
    <w:rsid w:val="004831B1"/>
    <w:rsid w:val="0048324E"/>
    <w:rsid w:val="00483316"/>
    <w:rsid w:val="00483345"/>
    <w:rsid w:val="004834D0"/>
    <w:rsid w:val="004834E0"/>
    <w:rsid w:val="004835D0"/>
    <w:rsid w:val="004835F0"/>
    <w:rsid w:val="0048360E"/>
    <w:rsid w:val="00483641"/>
    <w:rsid w:val="0048367A"/>
    <w:rsid w:val="0048367B"/>
    <w:rsid w:val="004836A3"/>
    <w:rsid w:val="004836C3"/>
    <w:rsid w:val="0048392F"/>
    <w:rsid w:val="00483978"/>
    <w:rsid w:val="00483AE9"/>
    <w:rsid w:val="00483C16"/>
    <w:rsid w:val="00483C32"/>
    <w:rsid w:val="00483E08"/>
    <w:rsid w:val="00483EA0"/>
    <w:rsid w:val="00483ECA"/>
    <w:rsid w:val="004840E4"/>
    <w:rsid w:val="00484101"/>
    <w:rsid w:val="00484105"/>
    <w:rsid w:val="004843F1"/>
    <w:rsid w:val="004843F4"/>
    <w:rsid w:val="00484406"/>
    <w:rsid w:val="0048442F"/>
    <w:rsid w:val="004845C5"/>
    <w:rsid w:val="004845D2"/>
    <w:rsid w:val="004845D6"/>
    <w:rsid w:val="00484616"/>
    <w:rsid w:val="0048467B"/>
    <w:rsid w:val="0048468B"/>
    <w:rsid w:val="004846D1"/>
    <w:rsid w:val="004846FB"/>
    <w:rsid w:val="004847FD"/>
    <w:rsid w:val="00484889"/>
    <w:rsid w:val="004848F0"/>
    <w:rsid w:val="0048491F"/>
    <w:rsid w:val="00484985"/>
    <w:rsid w:val="00484996"/>
    <w:rsid w:val="00484BF2"/>
    <w:rsid w:val="00484CDD"/>
    <w:rsid w:val="00484D8B"/>
    <w:rsid w:val="00484E38"/>
    <w:rsid w:val="00484E60"/>
    <w:rsid w:val="00484EA7"/>
    <w:rsid w:val="00484F41"/>
    <w:rsid w:val="00484FE2"/>
    <w:rsid w:val="00485056"/>
    <w:rsid w:val="00485207"/>
    <w:rsid w:val="00485209"/>
    <w:rsid w:val="0048520E"/>
    <w:rsid w:val="0048522F"/>
    <w:rsid w:val="00485253"/>
    <w:rsid w:val="004852B2"/>
    <w:rsid w:val="0048534E"/>
    <w:rsid w:val="0048552A"/>
    <w:rsid w:val="00485530"/>
    <w:rsid w:val="00485631"/>
    <w:rsid w:val="00485671"/>
    <w:rsid w:val="00485773"/>
    <w:rsid w:val="00485823"/>
    <w:rsid w:val="004858E8"/>
    <w:rsid w:val="00485A2C"/>
    <w:rsid w:val="00485A7A"/>
    <w:rsid w:val="00485AF9"/>
    <w:rsid w:val="00485BFC"/>
    <w:rsid w:val="00485D14"/>
    <w:rsid w:val="00485E54"/>
    <w:rsid w:val="00485EDF"/>
    <w:rsid w:val="00485F92"/>
    <w:rsid w:val="0048603C"/>
    <w:rsid w:val="00486139"/>
    <w:rsid w:val="00486257"/>
    <w:rsid w:val="00486269"/>
    <w:rsid w:val="0048628D"/>
    <w:rsid w:val="00486357"/>
    <w:rsid w:val="004863D6"/>
    <w:rsid w:val="004863DA"/>
    <w:rsid w:val="004863E4"/>
    <w:rsid w:val="00486458"/>
    <w:rsid w:val="00486576"/>
    <w:rsid w:val="004865AD"/>
    <w:rsid w:val="004865BE"/>
    <w:rsid w:val="0048660F"/>
    <w:rsid w:val="004866D3"/>
    <w:rsid w:val="004866E9"/>
    <w:rsid w:val="004867EF"/>
    <w:rsid w:val="0048680D"/>
    <w:rsid w:val="00486950"/>
    <w:rsid w:val="00486A2A"/>
    <w:rsid w:val="00486A98"/>
    <w:rsid w:val="00486B06"/>
    <w:rsid w:val="00486B4D"/>
    <w:rsid w:val="00486B96"/>
    <w:rsid w:val="00486C55"/>
    <w:rsid w:val="00486C80"/>
    <w:rsid w:val="00486CE6"/>
    <w:rsid w:val="00486CF5"/>
    <w:rsid w:val="00486DC0"/>
    <w:rsid w:val="00486EDF"/>
    <w:rsid w:val="00486EF2"/>
    <w:rsid w:val="00486F86"/>
    <w:rsid w:val="004871CC"/>
    <w:rsid w:val="004872CD"/>
    <w:rsid w:val="00487368"/>
    <w:rsid w:val="004873A8"/>
    <w:rsid w:val="00487410"/>
    <w:rsid w:val="00487492"/>
    <w:rsid w:val="0048757E"/>
    <w:rsid w:val="004876B7"/>
    <w:rsid w:val="0048776F"/>
    <w:rsid w:val="004878A2"/>
    <w:rsid w:val="004878E5"/>
    <w:rsid w:val="0048795F"/>
    <w:rsid w:val="00487A36"/>
    <w:rsid w:val="00487A6F"/>
    <w:rsid w:val="00487B56"/>
    <w:rsid w:val="00487BA9"/>
    <w:rsid w:val="00487C47"/>
    <w:rsid w:val="00487CC5"/>
    <w:rsid w:val="00487D06"/>
    <w:rsid w:val="00487DCF"/>
    <w:rsid w:val="00487E1A"/>
    <w:rsid w:val="00487E1F"/>
    <w:rsid w:val="00487E40"/>
    <w:rsid w:val="00487ED9"/>
    <w:rsid w:val="00487EE5"/>
    <w:rsid w:val="00487F60"/>
    <w:rsid w:val="00487FF0"/>
    <w:rsid w:val="004900DD"/>
    <w:rsid w:val="00490119"/>
    <w:rsid w:val="00490186"/>
    <w:rsid w:val="004901AF"/>
    <w:rsid w:val="004901D1"/>
    <w:rsid w:val="0049020B"/>
    <w:rsid w:val="00490229"/>
    <w:rsid w:val="0049038D"/>
    <w:rsid w:val="00490495"/>
    <w:rsid w:val="0049051F"/>
    <w:rsid w:val="00490523"/>
    <w:rsid w:val="00490546"/>
    <w:rsid w:val="004905C4"/>
    <w:rsid w:val="004905CC"/>
    <w:rsid w:val="0049060B"/>
    <w:rsid w:val="0049060F"/>
    <w:rsid w:val="00490626"/>
    <w:rsid w:val="004906D0"/>
    <w:rsid w:val="004906E3"/>
    <w:rsid w:val="00490709"/>
    <w:rsid w:val="00490720"/>
    <w:rsid w:val="00490742"/>
    <w:rsid w:val="004907FD"/>
    <w:rsid w:val="004908A6"/>
    <w:rsid w:val="0049098D"/>
    <w:rsid w:val="004909BB"/>
    <w:rsid w:val="004909C8"/>
    <w:rsid w:val="004909CE"/>
    <w:rsid w:val="00490AA7"/>
    <w:rsid w:val="00490B67"/>
    <w:rsid w:val="00490B96"/>
    <w:rsid w:val="00490C15"/>
    <w:rsid w:val="00490C63"/>
    <w:rsid w:val="00490CC2"/>
    <w:rsid w:val="00490CD8"/>
    <w:rsid w:val="00490CE9"/>
    <w:rsid w:val="00490DB1"/>
    <w:rsid w:val="00490DF7"/>
    <w:rsid w:val="00490DFA"/>
    <w:rsid w:val="00490EA0"/>
    <w:rsid w:val="00490F46"/>
    <w:rsid w:val="00490F71"/>
    <w:rsid w:val="00490F76"/>
    <w:rsid w:val="00490FAC"/>
    <w:rsid w:val="0049100F"/>
    <w:rsid w:val="00491032"/>
    <w:rsid w:val="0049114C"/>
    <w:rsid w:val="0049114E"/>
    <w:rsid w:val="00491196"/>
    <w:rsid w:val="004912C4"/>
    <w:rsid w:val="004913D7"/>
    <w:rsid w:val="0049143A"/>
    <w:rsid w:val="00491514"/>
    <w:rsid w:val="00491566"/>
    <w:rsid w:val="00491645"/>
    <w:rsid w:val="004916BC"/>
    <w:rsid w:val="00491829"/>
    <w:rsid w:val="0049182E"/>
    <w:rsid w:val="0049183A"/>
    <w:rsid w:val="0049187A"/>
    <w:rsid w:val="004918EC"/>
    <w:rsid w:val="00491983"/>
    <w:rsid w:val="0049198A"/>
    <w:rsid w:val="004919A3"/>
    <w:rsid w:val="004919DC"/>
    <w:rsid w:val="00491A4B"/>
    <w:rsid w:val="00491AE0"/>
    <w:rsid w:val="00491B55"/>
    <w:rsid w:val="00491BD1"/>
    <w:rsid w:val="00491C08"/>
    <w:rsid w:val="00491CFA"/>
    <w:rsid w:val="00491D1B"/>
    <w:rsid w:val="00491DBC"/>
    <w:rsid w:val="00491DD9"/>
    <w:rsid w:val="00491DF2"/>
    <w:rsid w:val="00491F40"/>
    <w:rsid w:val="00492033"/>
    <w:rsid w:val="00492070"/>
    <w:rsid w:val="004920A7"/>
    <w:rsid w:val="00492237"/>
    <w:rsid w:val="004922B6"/>
    <w:rsid w:val="004923D7"/>
    <w:rsid w:val="004923F6"/>
    <w:rsid w:val="00492473"/>
    <w:rsid w:val="004924A3"/>
    <w:rsid w:val="00492503"/>
    <w:rsid w:val="0049253E"/>
    <w:rsid w:val="004925C9"/>
    <w:rsid w:val="004925F9"/>
    <w:rsid w:val="0049261E"/>
    <w:rsid w:val="0049262A"/>
    <w:rsid w:val="00492687"/>
    <w:rsid w:val="00492691"/>
    <w:rsid w:val="0049271C"/>
    <w:rsid w:val="00492749"/>
    <w:rsid w:val="004927B1"/>
    <w:rsid w:val="00492814"/>
    <w:rsid w:val="00492901"/>
    <w:rsid w:val="00492976"/>
    <w:rsid w:val="0049298B"/>
    <w:rsid w:val="004929B7"/>
    <w:rsid w:val="00492AC5"/>
    <w:rsid w:val="00492B6E"/>
    <w:rsid w:val="00492BAB"/>
    <w:rsid w:val="00492C13"/>
    <w:rsid w:val="00492C2F"/>
    <w:rsid w:val="00492CF0"/>
    <w:rsid w:val="00492D7E"/>
    <w:rsid w:val="00492E59"/>
    <w:rsid w:val="00492F0A"/>
    <w:rsid w:val="00492F1A"/>
    <w:rsid w:val="00492FAC"/>
    <w:rsid w:val="00492FE3"/>
    <w:rsid w:val="0049313F"/>
    <w:rsid w:val="0049314A"/>
    <w:rsid w:val="0049317B"/>
    <w:rsid w:val="004931AB"/>
    <w:rsid w:val="004931F2"/>
    <w:rsid w:val="004932BE"/>
    <w:rsid w:val="00493320"/>
    <w:rsid w:val="004933F9"/>
    <w:rsid w:val="00493536"/>
    <w:rsid w:val="0049357B"/>
    <w:rsid w:val="004935DD"/>
    <w:rsid w:val="00493611"/>
    <w:rsid w:val="00493628"/>
    <w:rsid w:val="004936AE"/>
    <w:rsid w:val="00493862"/>
    <w:rsid w:val="004939AE"/>
    <w:rsid w:val="004939DD"/>
    <w:rsid w:val="004939EC"/>
    <w:rsid w:val="00493AE4"/>
    <w:rsid w:val="00493B1C"/>
    <w:rsid w:val="00493B30"/>
    <w:rsid w:val="00493B9C"/>
    <w:rsid w:val="00493C3A"/>
    <w:rsid w:val="00493C56"/>
    <w:rsid w:val="00493CBC"/>
    <w:rsid w:val="00493D88"/>
    <w:rsid w:val="00493EB8"/>
    <w:rsid w:val="00493FC0"/>
    <w:rsid w:val="0049400B"/>
    <w:rsid w:val="00494043"/>
    <w:rsid w:val="0049409B"/>
    <w:rsid w:val="00494135"/>
    <w:rsid w:val="004941EE"/>
    <w:rsid w:val="0049420A"/>
    <w:rsid w:val="0049425E"/>
    <w:rsid w:val="004942A8"/>
    <w:rsid w:val="00494347"/>
    <w:rsid w:val="004943D6"/>
    <w:rsid w:val="00494462"/>
    <w:rsid w:val="00494477"/>
    <w:rsid w:val="0049449D"/>
    <w:rsid w:val="004944EB"/>
    <w:rsid w:val="0049452B"/>
    <w:rsid w:val="004945B9"/>
    <w:rsid w:val="004945C3"/>
    <w:rsid w:val="004946B7"/>
    <w:rsid w:val="004946CF"/>
    <w:rsid w:val="0049473E"/>
    <w:rsid w:val="0049476E"/>
    <w:rsid w:val="004947DF"/>
    <w:rsid w:val="00494820"/>
    <w:rsid w:val="00494878"/>
    <w:rsid w:val="0049487E"/>
    <w:rsid w:val="00494890"/>
    <w:rsid w:val="004948A1"/>
    <w:rsid w:val="00494980"/>
    <w:rsid w:val="004949B4"/>
    <w:rsid w:val="00494A5F"/>
    <w:rsid w:val="00494C1B"/>
    <w:rsid w:val="00494CE8"/>
    <w:rsid w:val="00494D1B"/>
    <w:rsid w:val="00494DAF"/>
    <w:rsid w:val="00494E15"/>
    <w:rsid w:val="00494E4A"/>
    <w:rsid w:val="00494FC8"/>
    <w:rsid w:val="004951BA"/>
    <w:rsid w:val="004952D7"/>
    <w:rsid w:val="004952E4"/>
    <w:rsid w:val="00495368"/>
    <w:rsid w:val="00495386"/>
    <w:rsid w:val="004953D3"/>
    <w:rsid w:val="004953D6"/>
    <w:rsid w:val="00495447"/>
    <w:rsid w:val="0049545D"/>
    <w:rsid w:val="00495519"/>
    <w:rsid w:val="0049551B"/>
    <w:rsid w:val="0049554A"/>
    <w:rsid w:val="0049559F"/>
    <w:rsid w:val="004955C0"/>
    <w:rsid w:val="00495609"/>
    <w:rsid w:val="0049563F"/>
    <w:rsid w:val="00495664"/>
    <w:rsid w:val="00495808"/>
    <w:rsid w:val="0049587A"/>
    <w:rsid w:val="004958CA"/>
    <w:rsid w:val="0049591C"/>
    <w:rsid w:val="004959DF"/>
    <w:rsid w:val="00495B36"/>
    <w:rsid w:val="00495BA8"/>
    <w:rsid w:val="00495CFF"/>
    <w:rsid w:val="00495E24"/>
    <w:rsid w:val="00495E8A"/>
    <w:rsid w:val="00495F5F"/>
    <w:rsid w:val="0049610A"/>
    <w:rsid w:val="004961C6"/>
    <w:rsid w:val="004961D3"/>
    <w:rsid w:val="00496275"/>
    <w:rsid w:val="00496317"/>
    <w:rsid w:val="004963FB"/>
    <w:rsid w:val="00496455"/>
    <w:rsid w:val="0049648D"/>
    <w:rsid w:val="00496513"/>
    <w:rsid w:val="0049661F"/>
    <w:rsid w:val="0049667D"/>
    <w:rsid w:val="0049685B"/>
    <w:rsid w:val="004968B8"/>
    <w:rsid w:val="0049690E"/>
    <w:rsid w:val="0049691C"/>
    <w:rsid w:val="00496A51"/>
    <w:rsid w:val="00496A84"/>
    <w:rsid w:val="00496BC7"/>
    <w:rsid w:val="00496BD9"/>
    <w:rsid w:val="00496C08"/>
    <w:rsid w:val="00496C37"/>
    <w:rsid w:val="00496C45"/>
    <w:rsid w:val="00496CE6"/>
    <w:rsid w:val="00496D77"/>
    <w:rsid w:val="00496DA1"/>
    <w:rsid w:val="00496E10"/>
    <w:rsid w:val="00496EAD"/>
    <w:rsid w:val="00496ED9"/>
    <w:rsid w:val="0049705B"/>
    <w:rsid w:val="004970BB"/>
    <w:rsid w:val="00497187"/>
    <w:rsid w:val="0049724A"/>
    <w:rsid w:val="00497333"/>
    <w:rsid w:val="004974D3"/>
    <w:rsid w:val="004975B7"/>
    <w:rsid w:val="00497615"/>
    <w:rsid w:val="00497633"/>
    <w:rsid w:val="0049771A"/>
    <w:rsid w:val="0049790E"/>
    <w:rsid w:val="00497910"/>
    <w:rsid w:val="00497976"/>
    <w:rsid w:val="00497A0F"/>
    <w:rsid w:val="00497B09"/>
    <w:rsid w:val="00497B25"/>
    <w:rsid w:val="00497C09"/>
    <w:rsid w:val="00497C5D"/>
    <w:rsid w:val="00497C63"/>
    <w:rsid w:val="00497C90"/>
    <w:rsid w:val="00497C9E"/>
    <w:rsid w:val="00497D50"/>
    <w:rsid w:val="00497D8B"/>
    <w:rsid w:val="00497D8F"/>
    <w:rsid w:val="00497DED"/>
    <w:rsid w:val="00497E79"/>
    <w:rsid w:val="00497F55"/>
    <w:rsid w:val="00497FD8"/>
    <w:rsid w:val="004A0046"/>
    <w:rsid w:val="004A00BC"/>
    <w:rsid w:val="004A01A1"/>
    <w:rsid w:val="004A01ED"/>
    <w:rsid w:val="004A0213"/>
    <w:rsid w:val="004A0256"/>
    <w:rsid w:val="004A037E"/>
    <w:rsid w:val="004A0383"/>
    <w:rsid w:val="004A04AC"/>
    <w:rsid w:val="004A0585"/>
    <w:rsid w:val="004A05BE"/>
    <w:rsid w:val="004A05F3"/>
    <w:rsid w:val="004A05F4"/>
    <w:rsid w:val="004A061D"/>
    <w:rsid w:val="004A06C0"/>
    <w:rsid w:val="004A075A"/>
    <w:rsid w:val="004A078B"/>
    <w:rsid w:val="004A0882"/>
    <w:rsid w:val="004A08BD"/>
    <w:rsid w:val="004A08D4"/>
    <w:rsid w:val="004A0A10"/>
    <w:rsid w:val="004A0ADE"/>
    <w:rsid w:val="004A0B97"/>
    <w:rsid w:val="004A0C3E"/>
    <w:rsid w:val="004A0D0E"/>
    <w:rsid w:val="004A0E1A"/>
    <w:rsid w:val="004A0EC8"/>
    <w:rsid w:val="004A0F6F"/>
    <w:rsid w:val="004A10EF"/>
    <w:rsid w:val="004A11A5"/>
    <w:rsid w:val="004A120A"/>
    <w:rsid w:val="004A1229"/>
    <w:rsid w:val="004A12DE"/>
    <w:rsid w:val="004A1322"/>
    <w:rsid w:val="004A135C"/>
    <w:rsid w:val="004A138B"/>
    <w:rsid w:val="004A13A9"/>
    <w:rsid w:val="004A13B5"/>
    <w:rsid w:val="004A1456"/>
    <w:rsid w:val="004A151C"/>
    <w:rsid w:val="004A1527"/>
    <w:rsid w:val="004A19CE"/>
    <w:rsid w:val="004A19E2"/>
    <w:rsid w:val="004A1B7B"/>
    <w:rsid w:val="004A1BAA"/>
    <w:rsid w:val="004A1CA3"/>
    <w:rsid w:val="004A1CEC"/>
    <w:rsid w:val="004A1D06"/>
    <w:rsid w:val="004A1D6F"/>
    <w:rsid w:val="004A1E91"/>
    <w:rsid w:val="004A1F2E"/>
    <w:rsid w:val="004A1F93"/>
    <w:rsid w:val="004A1FA9"/>
    <w:rsid w:val="004A1FE9"/>
    <w:rsid w:val="004A1FED"/>
    <w:rsid w:val="004A2058"/>
    <w:rsid w:val="004A20D5"/>
    <w:rsid w:val="004A21C1"/>
    <w:rsid w:val="004A21CF"/>
    <w:rsid w:val="004A21E6"/>
    <w:rsid w:val="004A2285"/>
    <w:rsid w:val="004A22A7"/>
    <w:rsid w:val="004A2321"/>
    <w:rsid w:val="004A23B2"/>
    <w:rsid w:val="004A2414"/>
    <w:rsid w:val="004A243A"/>
    <w:rsid w:val="004A24D7"/>
    <w:rsid w:val="004A2521"/>
    <w:rsid w:val="004A25D7"/>
    <w:rsid w:val="004A2657"/>
    <w:rsid w:val="004A26BA"/>
    <w:rsid w:val="004A270E"/>
    <w:rsid w:val="004A276F"/>
    <w:rsid w:val="004A27B4"/>
    <w:rsid w:val="004A27F8"/>
    <w:rsid w:val="004A280C"/>
    <w:rsid w:val="004A2890"/>
    <w:rsid w:val="004A28CB"/>
    <w:rsid w:val="004A297B"/>
    <w:rsid w:val="004A29AC"/>
    <w:rsid w:val="004A29D8"/>
    <w:rsid w:val="004A2AE9"/>
    <w:rsid w:val="004A2B62"/>
    <w:rsid w:val="004A2B6A"/>
    <w:rsid w:val="004A2CA1"/>
    <w:rsid w:val="004A2D0B"/>
    <w:rsid w:val="004A2DBD"/>
    <w:rsid w:val="004A2DD9"/>
    <w:rsid w:val="004A2EB8"/>
    <w:rsid w:val="004A2EBC"/>
    <w:rsid w:val="004A2EE3"/>
    <w:rsid w:val="004A2EE7"/>
    <w:rsid w:val="004A2F29"/>
    <w:rsid w:val="004A2F83"/>
    <w:rsid w:val="004A30AE"/>
    <w:rsid w:val="004A3128"/>
    <w:rsid w:val="004A3147"/>
    <w:rsid w:val="004A31BE"/>
    <w:rsid w:val="004A32EE"/>
    <w:rsid w:val="004A3358"/>
    <w:rsid w:val="004A336D"/>
    <w:rsid w:val="004A33B9"/>
    <w:rsid w:val="004A33E0"/>
    <w:rsid w:val="004A3457"/>
    <w:rsid w:val="004A351B"/>
    <w:rsid w:val="004A35EA"/>
    <w:rsid w:val="004A3809"/>
    <w:rsid w:val="004A384B"/>
    <w:rsid w:val="004A38E9"/>
    <w:rsid w:val="004A39AF"/>
    <w:rsid w:val="004A39B8"/>
    <w:rsid w:val="004A3A06"/>
    <w:rsid w:val="004A3A85"/>
    <w:rsid w:val="004A3AC5"/>
    <w:rsid w:val="004A3B46"/>
    <w:rsid w:val="004A3B78"/>
    <w:rsid w:val="004A3BDB"/>
    <w:rsid w:val="004A3C84"/>
    <w:rsid w:val="004A3C92"/>
    <w:rsid w:val="004A3C98"/>
    <w:rsid w:val="004A3D32"/>
    <w:rsid w:val="004A3D65"/>
    <w:rsid w:val="004A3D6E"/>
    <w:rsid w:val="004A3D76"/>
    <w:rsid w:val="004A3EF0"/>
    <w:rsid w:val="004A3FC7"/>
    <w:rsid w:val="004A4049"/>
    <w:rsid w:val="004A407C"/>
    <w:rsid w:val="004A4084"/>
    <w:rsid w:val="004A411A"/>
    <w:rsid w:val="004A4198"/>
    <w:rsid w:val="004A42C9"/>
    <w:rsid w:val="004A4460"/>
    <w:rsid w:val="004A4498"/>
    <w:rsid w:val="004A4547"/>
    <w:rsid w:val="004A4556"/>
    <w:rsid w:val="004A4601"/>
    <w:rsid w:val="004A463F"/>
    <w:rsid w:val="004A483B"/>
    <w:rsid w:val="004A48A7"/>
    <w:rsid w:val="004A4911"/>
    <w:rsid w:val="004A4980"/>
    <w:rsid w:val="004A4983"/>
    <w:rsid w:val="004A49B8"/>
    <w:rsid w:val="004A4A0E"/>
    <w:rsid w:val="004A4AA4"/>
    <w:rsid w:val="004A4B16"/>
    <w:rsid w:val="004A4B4C"/>
    <w:rsid w:val="004A4BF4"/>
    <w:rsid w:val="004A4C24"/>
    <w:rsid w:val="004A4C57"/>
    <w:rsid w:val="004A4DE6"/>
    <w:rsid w:val="004A4E0E"/>
    <w:rsid w:val="004A4E2C"/>
    <w:rsid w:val="004A4E9A"/>
    <w:rsid w:val="004A4EF2"/>
    <w:rsid w:val="004A4FC0"/>
    <w:rsid w:val="004A5058"/>
    <w:rsid w:val="004A5096"/>
    <w:rsid w:val="004A50DF"/>
    <w:rsid w:val="004A5147"/>
    <w:rsid w:val="004A5152"/>
    <w:rsid w:val="004A5189"/>
    <w:rsid w:val="004A5218"/>
    <w:rsid w:val="004A525F"/>
    <w:rsid w:val="004A526C"/>
    <w:rsid w:val="004A52E1"/>
    <w:rsid w:val="004A52F5"/>
    <w:rsid w:val="004A53E8"/>
    <w:rsid w:val="004A541B"/>
    <w:rsid w:val="004A5472"/>
    <w:rsid w:val="004A54B4"/>
    <w:rsid w:val="004A54BB"/>
    <w:rsid w:val="004A5574"/>
    <w:rsid w:val="004A5638"/>
    <w:rsid w:val="004A56D4"/>
    <w:rsid w:val="004A56DE"/>
    <w:rsid w:val="004A56EB"/>
    <w:rsid w:val="004A579E"/>
    <w:rsid w:val="004A57D9"/>
    <w:rsid w:val="004A57E6"/>
    <w:rsid w:val="004A57E9"/>
    <w:rsid w:val="004A58A4"/>
    <w:rsid w:val="004A5997"/>
    <w:rsid w:val="004A5A09"/>
    <w:rsid w:val="004A5A3A"/>
    <w:rsid w:val="004A5ACB"/>
    <w:rsid w:val="004A5BC2"/>
    <w:rsid w:val="004A5BCC"/>
    <w:rsid w:val="004A5C0B"/>
    <w:rsid w:val="004A5C3B"/>
    <w:rsid w:val="004A5CB9"/>
    <w:rsid w:val="004A5D7E"/>
    <w:rsid w:val="004A5EE4"/>
    <w:rsid w:val="004A5F8F"/>
    <w:rsid w:val="004A60C7"/>
    <w:rsid w:val="004A60D5"/>
    <w:rsid w:val="004A60FB"/>
    <w:rsid w:val="004A612B"/>
    <w:rsid w:val="004A6155"/>
    <w:rsid w:val="004A616F"/>
    <w:rsid w:val="004A620F"/>
    <w:rsid w:val="004A622A"/>
    <w:rsid w:val="004A6346"/>
    <w:rsid w:val="004A6377"/>
    <w:rsid w:val="004A63B3"/>
    <w:rsid w:val="004A63BC"/>
    <w:rsid w:val="004A644F"/>
    <w:rsid w:val="004A6468"/>
    <w:rsid w:val="004A6475"/>
    <w:rsid w:val="004A64E4"/>
    <w:rsid w:val="004A65AC"/>
    <w:rsid w:val="004A65DD"/>
    <w:rsid w:val="004A65F4"/>
    <w:rsid w:val="004A663E"/>
    <w:rsid w:val="004A6650"/>
    <w:rsid w:val="004A6682"/>
    <w:rsid w:val="004A66E7"/>
    <w:rsid w:val="004A66ED"/>
    <w:rsid w:val="004A66F3"/>
    <w:rsid w:val="004A678F"/>
    <w:rsid w:val="004A67D6"/>
    <w:rsid w:val="004A687B"/>
    <w:rsid w:val="004A6968"/>
    <w:rsid w:val="004A698F"/>
    <w:rsid w:val="004A6A30"/>
    <w:rsid w:val="004A6AB1"/>
    <w:rsid w:val="004A6B14"/>
    <w:rsid w:val="004A6B30"/>
    <w:rsid w:val="004A6B6B"/>
    <w:rsid w:val="004A6BEB"/>
    <w:rsid w:val="004A6C24"/>
    <w:rsid w:val="004A6C54"/>
    <w:rsid w:val="004A6CB7"/>
    <w:rsid w:val="004A6CBE"/>
    <w:rsid w:val="004A6D29"/>
    <w:rsid w:val="004A6E50"/>
    <w:rsid w:val="004A6E70"/>
    <w:rsid w:val="004A6F56"/>
    <w:rsid w:val="004A6FB1"/>
    <w:rsid w:val="004A7059"/>
    <w:rsid w:val="004A70E9"/>
    <w:rsid w:val="004A7118"/>
    <w:rsid w:val="004A7123"/>
    <w:rsid w:val="004A71A5"/>
    <w:rsid w:val="004A721B"/>
    <w:rsid w:val="004A7239"/>
    <w:rsid w:val="004A72BA"/>
    <w:rsid w:val="004A72FE"/>
    <w:rsid w:val="004A733E"/>
    <w:rsid w:val="004A736A"/>
    <w:rsid w:val="004A7458"/>
    <w:rsid w:val="004A74AF"/>
    <w:rsid w:val="004A754C"/>
    <w:rsid w:val="004A7566"/>
    <w:rsid w:val="004A7571"/>
    <w:rsid w:val="004A7582"/>
    <w:rsid w:val="004A763E"/>
    <w:rsid w:val="004A7643"/>
    <w:rsid w:val="004A76A5"/>
    <w:rsid w:val="004A7730"/>
    <w:rsid w:val="004A77E7"/>
    <w:rsid w:val="004A7A1C"/>
    <w:rsid w:val="004A7AD5"/>
    <w:rsid w:val="004A7C1E"/>
    <w:rsid w:val="004A7C2A"/>
    <w:rsid w:val="004A7C5A"/>
    <w:rsid w:val="004A7C74"/>
    <w:rsid w:val="004A7D4C"/>
    <w:rsid w:val="004A7E20"/>
    <w:rsid w:val="004A7EDF"/>
    <w:rsid w:val="004B0015"/>
    <w:rsid w:val="004B00ED"/>
    <w:rsid w:val="004B00F2"/>
    <w:rsid w:val="004B00F9"/>
    <w:rsid w:val="004B0148"/>
    <w:rsid w:val="004B0183"/>
    <w:rsid w:val="004B029F"/>
    <w:rsid w:val="004B02A8"/>
    <w:rsid w:val="004B02AC"/>
    <w:rsid w:val="004B03CC"/>
    <w:rsid w:val="004B0495"/>
    <w:rsid w:val="004B04B3"/>
    <w:rsid w:val="004B055B"/>
    <w:rsid w:val="004B05DC"/>
    <w:rsid w:val="004B0787"/>
    <w:rsid w:val="004B07C4"/>
    <w:rsid w:val="004B0812"/>
    <w:rsid w:val="004B08F3"/>
    <w:rsid w:val="004B096B"/>
    <w:rsid w:val="004B09BC"/>
    <w:rsid w:val="004B0A26"/>
    <w:rsid w:val="004B0AE5"/>
    <w:rsid w:val="004B0B7F"/>
    <w:rsid w:val="004B0B92"/>
    <w:rsid w:val="004B0C5C"/>
    <w:rsid w:val="004B0CB3"/>
    <w:rsid w:val="004B0D23"/>
    <w:rsid w:val="004B0D37"/>
    <w:rsid w:val="004B0D7C"/>
    <w:rsid w:val="004B0E48"/>
    <w:rsid w:val="004B0EFE"/>
    <w:rsid w:val="004B1012"/>
    <w:rsid w:val="004B1067"/>
    <w:rsid w:val="004B1078"/>
    <w:rsid w:val="004B115C"/>
    <w:rsid w:val="004B1249"/>
    <w:rsid w:val="004B12B1"/>
    <w:rsid w:val="004B12E1"/>
    <w:rsid w:val="004B12F7"/>
    <w:rsid w:val="004B136F"/>
    <w:rsid w:val="004B139D"/>
    <w:rsid w:val="004B13E4"/>
    <w:rsid w:val="004B153F"/>
    <w:rsid w:val="004B161E"/>
    <w:rsid w:val="004B161F"/>
    <w:rsid w:val="004B18AC"/>
    <w:rsid w:val="004B190C"/>
    <w:rsid w:val="004B1968"/>
    <w:rsid w:val="004B19BB"/>
    <w:rsid w:val="004B1A11"/>
    <w:rsid w:val="004B1AD8"/>
    <w:rsid w:val="004B1B43"/>
    <w:rsid w:val="004B1B6A"/>
    <w:rsid w:val="004B1BB9"/>
    <w:rsid w:val="004B1C11"/>
    <w:rsid w:val="004B1C1C"/>
    <w:rsid w:val="004B1CBB"/>
    <w:rsid w:val="004B1CF0"/>
    <w:rsid w:val="004B1D5C"/>
    <w:rsid w:val="004B1D68"/>
    <w:rsid w:val="004B1E31"/>
    <w:rsid w:val="004B1E3E"/>
    <w:rsid w:val="004B1EA6"/>
    <w:rsid w:val="004B1F7E"/>
    <w:rsid w:val="004B20B2"/>
    <w:rsid w:val="004B20C6"/>
    <w:rsid w:val="004B21BB"/>
    <w:rsid w:val="004B23AB"/>
    <w:rsid w:val="004B2538"/>
    <w:rsid w:val="004B2557"/>
    <w:rsid w:val="004B255F"/>
    <w:rsid w:val="004B2669"/>
    <w:rsid w:val="004B272D"/>
    <w:rsid w:val="004B2741"/>
    <w:rsid w:val="004B2789"/>
    <w:rsid w:val="004B27E9"/>
    <w:rsid w:val="004B2866"/>
    <w:rsid w:val="004B28B4"/>
    <w:rsid w:val="004B28DF"/>
    <w:rsid w:val="004B295E"/>
    <w:rsid w:val="004B2A15"/>
    <w:rsid w:val="004B2BAE"/>
    <w:rsid w:val="004B2BC0"/>
    <w:rsid w:val="004B2C17"/>
    <w:rsid w:val="004B2CE3"/>
    <w:rsid w:val="004B2DA0"/>
    <w:rsid w:val="004B2DDC"/>
    <w:rsid w:val="004B2E16"/>
    <w:rsid w:val="004B2EA9"/>
    <w:rsid w:val="004B2EC4"/>
    <w:rsid w:val="004B3010"/>
    <w:rsid w:val="004B3033"/>
    <w:rsid w:val="004B307D"/>
    <w:rsid w:val="004B316A"/>
    <w:rsid w:val="004B31CC"/>
    <w:rsid w:val="004B3296"/>
    <w:rsid w:val="004B32AA"/>
    <w:rsid w:val="004B3454"/>
    <w:rsid w:val="004B3512"/>
    <w:rsid w:val="004B352C"/>
    <w:rsid w:val="004B354A"/>
    <w:rsid w:val="004B362C"/>
    <w:rsid w:val="004B3688"/>
    <w:rsid w:val="004B36A0"/>
    <w:rsid w:val="004B3796"/>
    <w:rsid w:val="004B37B7"/>
    <w:rsid w:val="004B37CB"/>
    <w:rsid w:val="004B3898"/>
    <w:rsid w:val="004B3956"/>
    <w:rsid w:val="004B3A23"/>
    <w:rsid w:val="004B3A3E"/>
    <w:rsid w:val="004B3AA6"/>
    <w:rsid w:val="004B3ABF"/>
    <w:rsid w:val="004B3ADE"/>
    <w:rsid w:val="004B3B5A"/>
    <w:rsid w:val="004B3B94"/>
    <w:rsid w:val="004B3BEE"/>
    <w:rsid w:val="004B3C03"/>
    <w:rsid w:val="004B3C52"/>
    <w:rsid w:val="004B3C58"/>
    <w:rsid w:val="004B3C92"/>
    <w:rsid w:val="004B3D2C"/>
    <w:rsid w:val="004B3D9C"/>
    <w:rsid w:val="004B3E25"/>
    <w:rsid w:val="004B40B5"/>
    <w:rsid w:val="004B40CD"/>
    <w:rsid w:val="004B4143"/>
    <w:rsid w:val="004B414B"/>
    <w:rsid w:val="004B4187"/>
    <w:rsid w:val="004B41DE"/>
    <w:rsid w:val="004B4227"/>
    <w:rsid w:val="004B42A3"/>
    <w:rsid w:val="004B42C0"/>
    <w:rsid w:val="004B433A"/>
    <w:rsid w:val="004B43AD"/>
    <w:rsid w:val="004B4492"/>
    <w:rsid w:val="004B4495"/>
    <w:rsid w:val="004B46C1"/>
    <w:rsid w:val="004B4794"/>
    <w:rsid w:val="004B4839"/>
    <w:rsid w:val="004B488C"/>
    <w:rsid w:val="004B4948"/>
    <w:rsid w:val="004B4A24"/>
    <w:rsid w:val="004B4A54"/>
    <w:rsid w:val="004B4C94"/>
    <w:rsid w:val="004B4C9E"/>
    <w:rsid w:val="004B4CD2"/>
    <w:rsid w:val="004B4CDE"/>
    <w:rsid w:val="004B4D7B"/>
    <w:rsid w:val="004B4DD7"/>
    <w:rsid w:val="004B4EA9"/>
    <w:rsid w:val="004B4EF7"/>
    <w:rsid w:val="004B5016"/>
    <w:rsid w:val="004B50F4"/>
    <w:rsid w:val="004B5173"/>
    <w:rsid w:val="004B5265"/>
    <w:rsid w:val="004B527A"/>
    <w:rsid w:val="004B5348"/>
    <w:rsid w:val="004B544F"/>
    <w:rsid w:val="004B5464"/>
    <w:rsid w:val="004B548C"/>
    <w:rsid w:val="004B54A7"/>
    <w:rsid w:val="004B556C"/>
    <w:rsid w:val="004B5693"/>
    <w:rsid w:val="004B569C"/>
    <w:rsid w:val="004B56B6"/>
    <w:rsid w:val="004B56E9"/>
    <w:rsid w:val="004B57DA"/>
    <w:rsid w:val="004B58C7"/>
    <w:rsid w:val="004B59EE"/>
    <w:rsid w:val="004B5A02"/>
    <w:rsid w:val="004B5AA1"/>
    <w:rsid w:val="004B5AA9"/>
    <w:rsid w:val="004B5AAF"/>
    <w:rsid w:val="004B5ABC"/>
    <w:rsid w:val="004B5AF4"/>
    <w:rsid w:val="004B5C41"/>
    <w:rsid w:val="004B5D3F"/>
    <w:rsid w:val="004B5D95"/>
    <w:rsid w:val="004B5DB6"/>
    <w:rsid w:val="004B5E11"/>
    <w:rsid w:val="004B5F0D"/>
    <w:rsid w:val="004B5F54"/>
    <w:rsid w:val="004B601E"/>
    <w:rsid w:val="004B6086"/>
    <w:rsid w:val="004B6156"/>
    <w:rsid w:val="004B61EC"/>
    <w:rsid w:val="004B624F"/>
    <w:rsid w:val="004B6271"/>
    <w:rsid w:val="004B62B0"/>
    <w:rsid w:val="004B63C3"/>
    <w:rsid w:val="004B6465"/>
    <w:rsid w:val="004B64E6"/>
    <w:rsid w:val="004B6521"/>
    <w:rsid w:val="004B66FE"/>
    <w:rsid w:val="004B6728"/>
    <w:rsid w:val="004B677C"/>
    <w:rsid w:val="004B67E3"/>
    <w:rsid w:val="004B6826"/>
    <w:rsid w:val="004B68AD"/>
    <w:rsid w:val="004B694D"/>
    <w:rsid w:val="004B6966"/>
    <w:rsid w:val="004B696E"/>
    <w:rsid w:val="004B697C"/>
    <w:rsid w:val="004B6A6C"/>
    <w:rsid w:val="004B6C67"/>
    <w:rsid w:val="004B6CAE"/>
    <w:rsid w:val="004B6CF5"/>
    <w:rsid w:val="004B6D59"/>
    <w:rsid w:val="004B6DA1"/>
    <w:rsid w:val="004B6DAB"/>
    <w:rsid w:val="004B6E5D"/>
    <w:rsid w:val="004B6F22"/>
    <w:rsid w:val="004B6FFC"/>
    <w:rsid w:val="004B7076"/>
    <w:rsid w:val="004B70B0"/>
    <w:rsid w:val="004B70B1"/>
    <w:rsid w:val="004B71D9"/>
    <w:rsid w:val="004B727B"/>
    <w:rsid w:val="004B736C"/>
    <w:rsid w:val="004B73FB"/>
    <w:rsid w:val="004B7435"/>
    <w:rsid w:val="004B7537"/>
    <w:rsid w:val="004B7741"/>
    <w:rsid w:val="004B77E9"/>
    <w:rsid w:val="004B77FE"/>
    <w:rsid w:val="004B795F"/>
    <w:rsid w:val="004B7989"/>
    <w:rsid w:val="004B79D4"/>
    <w:rsid w:val="004B7A26"/>
    <w:rsid w:val="004B7A34"/>
    <w:rsid w:val="004B7A58"/>
    <w:rsid w:val="004B7A5D"/>
    <w:rsid w:val="004B7B6E"/>
    <w:rsid w:val="004B7BDB"/>
    <w:rsid w:val="004B7BEB"/>
    <w:rsid w:val="004B7CE3"/>
    <w:rsid w:val="004B7D99"/>
    <w:rsid w:val="004B7DF8"/>
    <w:rsid w:val="004B7E70"/>
    <w:rsid w:val="004B7F00"/>
    <w:rsid w:val="004B7F76"/>
    <w:rsid w:val="004B7FE7"/>
    <w:rsid w:val="004B7FFE"/>
    <w:rsid w:val="004BC2A0"/>
    <w:rsid w:val="004BF072"/>
    <w:rsid w:val="004C0029"/>
    <w:rsid w:val="004C0049"/>
    <w:rsid w:val="004C0088"/>
    <w:rsid w:val="004C00F1"/>
    <w:rsid w:val="004C01BF"/>
    <w:rsid w:val="004C02F9"/>
    <w:rsid w:val="004C037F"/>
    <w:rsid w:val="004C0446"/>
    <w:rsid w:val="004C0469"/>
    <w:rsid w:val="004C0494"/>
    <w:rsid w:val="004C0512"/>
    <w:rsid w:val="004C054F"/>
    <w:rsid w:val="004C06A5"/>
    <w:rsid w:val="004C06B5"/>
    <w:rsid w:val="004C0823"/>
    <w:rsid w:val="004C0864"/>
    <w:rsid w:val="004C08D8"/>
    <w:rsid w:val="004C0A34"/>
    <w:rsid w:val="004C0B6A"/>
    <w:rsid w:val="004C0B75"/>
    <w:rsid w:val="004C0B90"/>
    <w:rsid w:val="004C0BD4"/>
    <w:rsid w:val="004C0D2E"/>
    <w:rsid w:val="004C0E03"/>
    <w:rsid w:val="004C0E7A"/>
    <w:rsid w:val="004C0F9F"/>
    <w:rsid w:val="004C0FF3"/>
    <w:rsid w:val="004C1059"/>
    <w:rsid w:val="004C107B"/>
    <w:rsid w:val="004C10D3"/>
    <w:rsid w:val="004C110B"/>
    <w:rsid w:val="004C1129"/>
    <w:rsid w:val="004C11D4"/>
    <w:rsid w:val="004C1257"/>
    <w:rsid w:val="004C12F6"/>
    <w:rsid w:val="004C1331"/>
    <w:rsid w:val="004C13DA"/>
    <w:rsid w:val="004C14F0"/>
    <w:rsid w:val="004C15F3"/>
    <w:rsid w:val="004C17A7"/>
    <w:rsid w:val="004C17C7"/>
    <w:rsid w:val="004C17C9"/>
    <w:rsid w:val="004C1881"/>
    <w:rsid w:val="004C18CB"/>
    <w:rsid w:val="004C19AD"/>
    <w:rsid w:val="004C19E7"/>
    <w:rsid w:val="004C1A5E"/>
    <w:rsid w:val="004C1A61"/>
    <w:rsid w:val="004C1C89"/>
    <w:rsid w:val="004C1CCD"/>
    <w:rsid w:val="004C1DED"/>
    <w:rsid w:val="004C1E13"/>
    <w:rsid w:val="004C1E5C"/>
    <w:rsid w:val="004C1EE5"/>
    <w:rsid w:val="004C1F86"/>
    <w:rsid w:val="004C2032"/>
    <w:rsid w:val="004C2036"/>
    <w:rsid w:val="004C2050"/>
    <w:rsid w:val="004C208B"/>
    <w:rsid w:val="004C2158"/>
    <w:rsid w:val="004C21B8"/>
    <w:rsid w:val="004C2223"/>
    <w:rsid w:val="004C2237"/>
    <w:rsid w:val="004C242E"/>
    <w:rsid w:val="004C2462"/>
    <w:rsid w:val="004C24C5"/>
    <w:rsid w:val="004C2667"/>
    <w:rsid w:val="004C267F"/>
    <w:rsid w:val="004C2762"/>
    <w:rsid w:val="004C27F4"/>
    <w:rsid w:val="004C2875"/>
    <w:rsid w:val="004C28C6"/>
    <w:rsid w:val="004C2A07"/>
    <w:rsid w:val="004C2A2B"/>
    <w:rsid w:val="004C2A50"/>
    <w:rsid w:val="004C2B38"/>
    <w:rsid w:val="004C2B51"/>
    <w:rsid w:val="004C2B94"/>
    <w:rsid w:val="004C2BE7"/>
    <w:rsid w:val="004C2C48"/>
    <w:rsid w:val="004C2C58"/>
    <w:rsid w:val="004C2C69"/>
    <w:rsid w:val="004C2CCF"/>
    <w:rsid w:val="004C2D28"/>
    <w:rsid w:val="004C2D43"/>
    <w:rsid w:val="004C2D5C"/>
    <w:rsid w:val="004C2E02"/>
    <w:rsid w:val="004C2E24"/>
    <w:rsid w:val="004C2EF6"/>
    <w:rsid w:val="004C2FC2"/>
    <w:rsid w:val="004C30C4"/>
    <w:rsid w:val="004C30E1"/>
    <w:rsid w:val="004C30F1"/>
    <w:rsid w:val="004C313F"/>
    <w:rsid w:val="004C3187"/>
    <w:rsid w:val="004C31CF"/>
    <w:rsid w:val="004C326A"/>
    <w:rsid w:val="004C326D"/>
    <w:rsid w:val="004C3572"/>
    <w:rsid w:val="004C35A2"/>
    <w:rsid w:val="004C35A5"/>
    <w:rsid w:val="004C35BD"/>
    <w:rsid w:val="004C3627"/>
    <w:rsid w:val="004C3718"/>
    <w:rsid w:val="004C382A"/>
    <w:rsid w:val="004C38B8"/>
    <w:rsid w:val="004C3A62"/>
    <w:rsid w:val="004C3B07"/>
    <w:rsid w:val="004C3BFA"/>
    <w:rsid w:val="004C3C22"/>
    <w:rsid w:val="004C3CC8"/>
    <w:rsid w:val="004C3D26"/>
    <w:rsid w:val="004C3D30"/>
    <w:rsid w:val="004C3DA1"/>
    <w:rsid w:val="004C3ED7"/>
    <w:rsid w:val="004C415C"/>
    <w:rsid w:val="004C4269"/>
    <w:rsid w:val="004C431A"/>
    <w:rsid w:val="004C4375"/>
    <w:rsid w:val="004C440E"/>
    <w:rsid w:val="004C4432"/>
    <w:rsid w:val="004C4512"/>
    <w:rsid w:val="004C459E"/>
    <w:rsid w:val="004C45C8"/>
    <w:rsid w:val="004C45F6"/>
    <w:rsid w:val="004C462D"/>
    <w:rsid w:val="004C4650"/>
    <w:rsid w:val="004C4776"/>
    <w:rsid w:val="004C4818"/>
    <w:rsid w:val="004C4945"/>
    <w:rsid w:val="004C4971"/>
    <w:rsid w:val="004C4984"/>
    <w:rsid w:val="004C4A3A"/>
    <w:rsid w:val="004C4B01"/>
    <w:rsid w:val="004C4BA1"/>
    <w:rsid w:val="004C4BA2"/>
    <w:rsid w:val="004C4BCA"/>
    <w:rsid w:val="004C4C23"/>
    <w:rsid w:val="004C4C28"/>
    <w:rsid w:val="004C4CCF"/>
    <w:rsid w:val="004C4D37"/>
    <w:rsid w:val="004C4E02"/>
    <w:rsid w:val="004C4F63"/>
    <w:rsid w:val="004C4FB7"/>
    <w:rsid w:val="004C50BE"/>
    <w:rsid w:val="004C5125"/>
    <w:rsid w:val="004C5144"/>
    <w:rsid w:val="004C5247"/>
    <w:rsid w:val="004C52A0"/>
    <w:rsid w:val="004C531E"/>
    <w:rsid w:val="004C5347"/>
    <w:rsid w:val="004C539F"/>
    <w:rsid w:val="004C555F"/>
    <w:rsid w:val="004C55C5"/>
    <w:rsid w:val="004C567F"/>
    <w:rsid w:val="004C56E9"/>
    <w:rsid w:val="004C59ED"/>
    <w:rsid w:val="004C59F2"/>
    <w:rsid w:val="004C5A9E"/>
    <w:rsid w:val="004C5BAD"/>
    <w:rsid w:val="004C5BE5"/>
    <w:rsid w:val="004C5C9C"/>
    <w:rsid w:val="004C5CBD"/>
    <w:rsid w:val="004C5DF7"/>
    <w:rsid w:val="004C5EA9"/>
    <w:rsid w:val="004C5F56"/>
    <w:rsid w:val="004C602E"/>
    <w:rsid w:val="004C604A"/>
    <w:rsid w:val="004C60E4"/>
    <w:rsid w:val="004C60E6"/>
    <w:rsid w:val="004C6131"/>
    <w:rsid w:val="004C6237"/>
    <w:rsid w:val="004C6289"/>
    <w:rsid w:val="004C63DF"/>
    <w:rsid w:val="004C6422"/>
    <w:rsid w:val="004C661B"/>
    <w:rsid w:val="004C6629"/>
    <w:rsid w:val="004C6691"/>
    <w:rsid w:val="004C66EA"/>
    <w:rsid w:val="004C66F1"/>
    <w:rsid w:val="004C6789"/>
    <w:rsid w:val="004C6801"/>
    <w:rsid w:val="004C6857"/>
    <w:rsid w:val="004C691D"/>
    <w:rsid w:val="004C69B3"/>
    <w:rsid w:val="004C6B70"/>
    <w:rsid w:val="004C6B76"/>
    <w:rsid w:val="004C6B92"/>
    <w:rsid w:val="004C6BCD"/>
    <w:rsid w:val="004C6BD7"/>
    <w:rsid w:val="004C6CAB"/>
    <w:rsid w:val="004C6D31"/>
    <w:rsid w:val="004C6DAE"/>
    <w:rsid w:val="004C6F26"/>
    <w:rsid w:val="004C6F77"/>
    <w:rsid w:val="004C6FC7"/>
    <w:rsid w:val="004C70B7"/>
    <w:rsid w:val="004C70BA"/>
    <w:rsid w:val="004C71DD"/>
    <w:rsid w:val="004C7361"/>
    <w:rsid w:val="004C774E"/>
    <w:rsid w:val="004C7776"/>
    <w:rsid w:val="004C77CD"/>
    <w:rsid w:val="004C7828"/>
    <w:rsid w:val="004C7884"/>
    <w:rsid w:val="004C79AF"/>
    <w:rsid w:val="004C79C6"/>
    <w:rsid w:val="004C7A02"/>
    <w:rsid w:val="004C7BD8"/>
    <w:rsid w:val="004C7C76"/>
    <w:rsid w:val="004C7C9E"/>
    <w:rsid w:val="004C7CA0"/>
    <w:rsid w:val="004C7CC0"/>
    <w:rsid w:val="004C7D3C"/>
    <w:rsid w:val="004C7D6C"/>
    <w:rsid w:val="004C7DBB"/>
    <w:rsid w:val="004C7E2C"/>
    <w:rsid w:val="004C7E7A"/>
    <w:rsid w:val="004C7F13"/>
    <w:rsid w:val="004C7F28"/>
    <w:rsid w:val="004C7FD9"/>
    <w:rsid w:val="004CB656"/>
    <w:rsid w:val="004D0023"/>
    <w:rsid w:val="004D00E4"/>
    <w:rsid w:val="004D00EC"/>
    <w:rsid w:val="004D010E"/>
    <w:rsid w:val="004D0122"/>
    <w:rsid w:val="004D0141"/>
    <w:rsid w:val="004D019C"/>
    <w:rsid w:val="004D0208"/>
    <w:rsid w:val="004D021F"/>
    <w:rsid w:val="004D02EF"/>
    <w:rsid w:val="004D02F9"/>
    <w:rsid w:val="004D04F4"/>
    <w:rsid w:val="004D053D"/>
    <w:rsid w:val="004D0629"/>
    <w:rsid w:val="004D06BB"/>
    <w:rsid w:val="004D0759"/>
    <w:rsid w:val="004D079D"/>
    <w:rsid w:val="004D07D6"/>
    <w:rsid w:val="004D07D8"/>
    <w:rsid w:val="004D09DA"/>
    <w:rsid w:val="004D09FD"/>
    <w:rsid w:val="004D0A06"/>
    <w:rsid w:val="004D0AA0"/>
    <w:rsid w:val="004D0AD6"/>
    <w:rsid w:val="004D0ADE"/>
    <w:rsid w:val="004D0B07"/>
    <w:rsid w:val="004D0B56"/>
    <w:rsid w:val="004D0B7C"/>
    <w:rsid w:val="004D0B87"/>
    <w:rsid w:val="004D0C19"/>
    <w:rsid w:val="004D0D3E"/>
    <w:rsid w:val="004D0D5B"/>
    <w:rsid w:val="004D0D9C"/>
    <w:rsid w:val="004D0EC5"/>
    <w:rsid w:val="004D0F85"/>
    <w:rsid w:val="004D1004"/>
    <w:rsid w:val="004D10D4"/>
    <w:rsid w:val="004D116D"/>
    <w:rsid w:val="004D1187"/>
    <w:rsid w:val="004D11EB"/>
    <w:rsid w:val="004D12C6"/>
    <w:rsid w:val="004D131C"/>
    <w:rsid w:val="004D139B"/>
    <w:rsid w:val="004D1461"/>
    <w:rsid w:val="004D1483"/>
    <w:rsid w:val="004D1558"/>
    <w:rsid w:val="004D1599"/>
    <w:rsid w:val="004D16D5"/>
    <w:rsid w:val="004D18A3"/>
    <w:rsid w:val="004D190E"/>
    <w:rsid w:val="004D1960"/>
    <w:rsid w:val="004D1A1F"/>
    <w:rsid w:val="004D1AA2"/>
    <w:rsid w:val="004D1B57"/>
    <w:rsid w:val="004D1B80"/>
    <w:rsid w:val="004D1B9A"/>
    <w:rsid w:val="004D1D24"/>
    <w:rsid w:val="004D1D58"/>
    <w:rsid w:val="004D1D8F"/>
    <w:rsid w:val="004D1DFE"/>
    <w:rsid w:val="004D1E85"/>
    <w:rsid w:val="004D1E86"/>
    <w:rsid w:val="004D1E88"/>
    <w:rsid w:val="004D1EE7"/>
    <w:rsid w:val="004D1F9B"/>
    <w:rsid w:val="004D20AD"/>
    <w:rsid w:val="004D20B3"/>
    <w:rsid w:val="004D226A"/>
    <w:rsid w:val="004D2452"/>
    <w:rsid w:val="004D2534"/>
    <w:rsid w:val="004D263E"/>
    <w:rsid w:val="004D26A6"/>
    <w:rsid w:val="004D2787"/>
    <w:rsid w:val="004D27D8"/>
    <w:rsid w:val="004D297D"/>
    <w:rsid w:val="004D2980"/>
    <w:rsid w:val="004D298F"/>
    <w:rsid w:val="004D2A6C"/>
    <w:rsid w:val="004D2AB3"/>
    <w:rsid w:val="004D2AF7"/>
    <w:rsid w:val="004D2B2C"/>
    <w:rsid w:val="004D2B8C"/>
    <w:rsid w:val="004D2BAD"/>
    <w:rsid w:val="004D2BFF"/>
    <w:rsid w:val="004D2CA1"/>
    <w:rsid w:val="004D2D4D"/>
    <w:rsid w:val="004D2DA4"/>
    <w:rsid w:val="004D2DB8"/>
    <w:rsid w:val="004D2E63"/>
    <w:rsid w:val="004D2E83"/>
    <w:rsid w:val="004D2E9C"/>
    <w:rsid w:val="004D2EC6"/>
    <w:rsid w:val="004D2FCA"/>
    <w:rsid w:val="004D3097"/>
    <w:rsid w:val="004D309D"/>
    <w:rsid w:val="004D3100"/>
    <w:rsid w:val="004D3153"/>
    <w:rsid w:val="004D3155"/>
    <w:rsid w:val="004D318D"/>
    <w:rsid w:val="004D31AF"/>
    <w:rsid w:val="004D3465"/>
    <w:rsid w:val="004D34C5"/>
    <w:rsid w:val="004D34D2"/>
    <w:rsid w:val="004D36EC"/>
    <w:rsid w:val="004D376D"/>
    <w:rsid w:val="004D3849"/>
    <w:rsid w:val="004D386E"/>
    <w:rsid w:val="004D3901"/>
    <w:rsid w:val="004D3952"/>
    <w:rsid w:val="004D3A08"/>
    <w:rsid w:val="004D3A10"/>
    <w:rsid w:val="004D3A96"/>
    <w:rsid w:val="004D3AC0"/>
    <w:rsid w:val="004D3ACD"/>
    <w:rsid w:val="004D3AE2"/>
    <w:rsid w:val="004D3C25"/>
    <w:rsid w:val="004D3D05"/>
    <w:rsid w:val="004D3DA7"/>
    <w:rsid w:val="004D3E78"/>
    <w:rsid w:val="004D3E8A"/>
    <w:rsid w:val="004D3F3D"/>
    <w:rsid w:val="004D3F54"/>
    <w:rsid w:val="004D3F60"/>
    <w:rsid w:val="004D3F6C"/>
    <w:rsid w:val="004D3FED"/>
    <w:rsid w:val="004D404B"/>
    <w:rsid w:val="004D4077"/>
    <w:rsid w:val="004D40FD"/>
    <w:rsid w:val="004D4225"/>
    <w:rsid w:val="004D4263"/>
    <w:rsid w:val="004D42FD"/>
    <w:rsid w:val="004D44D7"/>
    <w:rsid w:val="004D451B"/>
    <w:rsid w:val="004D454D"/>
    <w:rsid w:val="004D458F"/>
    <w:rsid w:val="004D45A7"/>
    <w:rsid w:val="004D4609"/>
    <w:rsid w:val="004D4611"/>
    <w:rsid w:val="004D4643"/>
    <w:rsid w:val="004D468C"/>
    <w:rsid w:val="004D46D3"/>
    <w:rsid w:val="004D48E8"/>
    <w:rsid w:val="004D491C"/>
    <w:rsid w:val="004D4925"/>
    <w:rsid w:val="004D4946"/>
    <w:rsid w:val="004D49F9"/>
    <w:rsid w:val="004D4B2A"/>
    <w:rsid w:val="004D4C4A"/>
    <w:rsid w:val="004D4DC0"/>
    <w:rsid w:val="004D4E2F"/>
    <w:rsid w:val="004D4FDF"/>
    <w:rsid w:val="004D5098"/>
    <w:rsid w:val="004D50D4"/>
    <w:rsid w:val="004D50ED"/>
    <w:rsid w:val="004D5196"/>
    <w:rsid w:val="004D5235"/>
    <w:rsid w:val="004D5433"/>
    <w:rsid w:val="004D54BF"/>
    <w:rsid w:val="004D54E3"/>
    <w:rsid w:val="004D54FE"/>
    <w:rsid w:val="004D5582"/>
    <w:rsid w:val="004D5607"/>
    <w:rsid w:val="004D5647"/>
    <w:rsid w:val="004D5670"/>
    <w:rsid w:val="004D567C"/>
    <w:rsid w:val="004D578B"/>
    <w:rsid w:val="004D57AE"/>
    <w:rsid w:val="004D58EE"/>
    <w:rsid w:val="004D5938"/>
    <w:rsid w:val="004D59A6"/>
    <w:rsid w:val="004D59F2"/>
    <w:rsid w:val="004D59FC"/>
    <w:rsid w:val="004D5A41"/>
    <w:rsid w:val="004D5A4C"/>
    <w:rsid w:val="004D5B19"/>
    <w:rsid w:val="004D5D43"/>
    <w:rsid w:val="004D5D9E"/>
    <w:rsid w:val="004D5DA4"/>
    <w:rsid w:val="004D5DB5"/>
    <w:rsid w:val="004D5E2F"/>
    <w:rsid w:val="004D5FFC"/>
    <w:rsid w:val="004D602D"/>
    <w:rsid w:val="004D61AF"/>
    <w:rsid w:val="004D61DA"/>
    <w:rsid w:val="004D61FD"/>
    <w:rsid w:val="004D6284"/>
    <w:rsid w:val="004D62D5"/>
    <w:rsid w:val="004D6359"/>
    <w:rsid w:val="004D63B5"/>
    <w:rsid w:val="004D64D6"/>
    <w:rsid w:val="004D6515"/>
    <w:rsid w:val="004D6578"/>
    <w:rsid w:val="004D6584"/>
    <w:rsid w:val="004D6802"/>
    <w:rsid w:val="004D688D"/>
    <w:rsid w:val="004D6939"/>
    <w:rsid w:val="004D6946"/>
    <w:rsid w:val="004D6974"/>
    <w:rsid w:val="004D6AA1"/>
    <w:rsid w:val="004D6ACE"/>
    <w:rsid w:val="004D6C16"/>
    <w:rsid w:val="004D6C34"/>
    <w:rsid w:val="004D6C4F"/>
    <w:rsid w:val="004D6C58"/>
    <w:rsid w:val="004D6C73"/>
    <w:rsid w:val="004D6CB7"/>
    <w:rsid w:val="004D6CCC"/>
    <w:rsid w:val="004D6E6E"/>
    <w:rsid w:val="004D6E83"/>
    <w:rsid w:val="004D6E9E"/>
    <w:rsid w:val="004D6EB5"/>
    <w:rsid w:val="004D6F67"/>
    <w:rsid w:val="004D6F84"/>
    <w:rsid w:val="004D6F9F"/>
    <w:rsid w:val="004D71B5"/>
    <w:rsid w:val="004D72A9"/>
    <w:rsid w:val="004D7497"/>
    <w:rsid w:val="004D755D"/>
    <w:rsid w:val="004D756C"/>
    <w:rsid w:val="004D76A6"/>
    <w:rsid w:val="004D76B2"/>
    <w:rsid w:val="004D76F8"/>
    <w:rsid w:val="004D77B3"/>
    <w:rsid w:val="004D7829"/>
    <w:rsid w:val="004D7855"/>
    <w:rsid w:val="004D7886"/>
    <w:rsid w:val="004D78C5"/>
    <w:rsid w:val="004D794E"/>
    <w:rsid w:val="004D7A01"/>
    <w:rsid w:val="004D7A1C"/>
    <w:rsid w:val="004D7A45"/>
    <w:rsid w:val="004D7B8E"/>
    <w:rsid w:val="004D7BEF"/>
    <w:rsid w:val="004D7C28"/>
    <w:rsid w:val="004D7C55"/>
    <w:rsid w:val="004D7C9B"/>
    <w:rsid w:val="004D7D2B"/>
    <w:rsid w:val="004D7DEB"/>
    <w:rsid w:val="004D7E0D"/>
    <w:rsid w:val="004D7E6C"/>
    <w:rsid w:val="004D7F91"/>
    <w:rsid w:val="004D7FD5"/>
    <w:rsid w:val="004D90C6"/>
    <w:rsid w:val="004E0013"/>
    <w:rsid w:val="004E0049"/>
    <w:rsid w:val="004E00F7"/>
    <w:rsid w:val="004E0137"/>
    <w:rsid w:val="004E023B"/>
    <w:rsid w:val="004E0249"/>
    <w:rsid w:val="004E03A0"/>
    <w:rsid w:val="004E0467"/>
    <w:rsid w:val="004E04ED"/>
    <w:rsid w:val="004E04F3"/>
    <w:rsid w:val="004E0606"/>
    <w:rsid w:val="004E0682"/>
    <w:rsid w:val="004E06A6"/>
    <w:rsid w:val="004E06E7"/>
    <w:rsid w:val="004E0710"/>
    <w:rsid w:val="004E078E"/>
    <w:rsid w:val="004E07B2"/>
    <w:rsid w:val="004E0917"/>
    <w:rsid w:val="004E0931"/>
    <w:rsid w:val="004E0992"/>
    <w:rsid w:val="004E0A59"/>
    <w:rsid w:val="004E0C58"/>
    <w:rsid w:val="004E0C62"/>
    <w:rsid w:val="004E0CB1"/>
    <w:rsid w:val="004E0CF2"/>
    <w:rsid w:val="004E0DB2"/>
    <w:rsid w:val="004E0F4D"/>
    <w:rsid w:val="004E0FFB"/>
    <w:rsid w:val="004E1150"/>
    <w:rsid w:val="004E116B"/>
    <w:rsid w:val="004E11A9"/>
    <w:rsid w:val="004E123A"/>
    <w:rsid w:val="004E12BB"/>
    <w:rsid w:val="004E1302"/>
    <w:rsid w:val="004E13B6"/>
    <w:rsid w:val="004E13D8"/>
    <w:rsid w:val="004E1523"/>
    <w:rsid w:val="004E1534"/>
    <w:rsid w:val="004E158E"/>
    <w:rsid w:val="004E16CD"/>
    <w:rsid w:val="004E1829"/>
    <w:rsid w:val="004E1866"/>
    <w:rsid w:val="004E18D6"/>
    <w:rsid w:val="004E19C4"/>
    <w:rsid w:val="004E19F2"/>
    <w:rsid w:val="004E1A38"/>
    <w:rsid w:val="004E1A96"/>
    <w:rsid w:val="004E1A99"/>
    <w:rsid w:val="004E1BB7"/>
    <w:rsid w:val="004E1BF8"/>
    <w:rsid w:val="004E1C28"/>
    <w:rsid w:val="004E1CF6"/>
    <w:rsid w:val="004E1D7B"/>
    <w:rsid w:val="004E1DAC"/>
    <w:rsid w:val="004E1FDF"/>
    <w:rsid w:val="004E21BF"/>
    <w:rsid w:val="004E2247"/>
    <w:rsid w:val="004E2393"/>
    <w:rsid w:val="004E239C"/>
    <w:rsid w:val="004E23D4"/>
    <w:rsid w:val="004E2454"/>
    <w:rsid w:val="004E24A1"/>
    <w:rsid w:val="004E24EA"/>
    <w:rsid w:val="004E2506"/>
    <w:rsid w:val="004E2542"/>
    <w:rsid w:val="004E2564"/>
    <w:rsid w:val="004E25C7"/>
    <w:rsid w:val="004E26B6"/>
    <w:rsid w:val="004E26FD"/>
    <w:rsid w:val="004E273A"/>
    <w:rsid w:val="004E27E0"/>
    <w:rsid w:val="004E27EB"/>
    <w:rsid w:val="004E2812"/>
    <w:rsid w:val="004E2886"/>
    <w:rsid w:val="004E2998"/>
    <w:rsid w:val="004E2A05"/>
    <w:rsid w:val="004E2A33"/>
    <w:rsid w:val="004E2AB6"/>
    <w:rsid w:val="004E2AF5"/>
    <w:rsid w:val="004E2B34"/>
    <w:rsid w:val="004E2BA5"/>
    <w:rsid w:val="004E2C37"/>
    <w:rsid w:val="004E2CE5"/>
    <w:rsid w:val="004E2D7F"/>
    <w:rsid w:val="004E2D96"/>
    <w:rsid w:val="004E2E3C"/>
    <w:rsid w:val="004E2EE9"/>
    <w:rsid w:val="004E2F6D"/>
    <w:rsid w:val="004E2F98"/>
    <w:rsid w:val="004E2FEF"/>
    <w:rsid w:val="004E3086"/>
    <w:rsid w:val="004E312A"/>
    <w:rsid w:val="004E3145"/>
    <w:rsid w:val="004E3178"/>
    <w:rsid w:val="004E3179"/>
    <w:rsid w:val="004E3300"/>
    <w:rsid w:val="004E33D8"/>
    <w:rsid w:val="004E33F4"/>
    <w:rsid w:val="004E34D1"/>
    <w:rsid w:val="004E34EA"/>
    <w:rsid w:val="004E34FA"/>
    <w:rsid w:val="004E3579"/>
    <w:rsid w:val="004E358F"/>
    <w:rsid w:val="004E35B5"/>
    <w:rsid w:val="004E35BF"/>
    <w:rsid w:val="004E389B"/>
    <w:rsid w:val="004E38CE"/>
    <w:rsid w:val="004E38D1"/>
    <w:rsid w:val="004E391B"/>
    <w:rsid w:val="004E39AF"/>
    <w:rsid w:val="004E3ACD"/>
    <w:rsid w:val="004E3BA1"/>
    <w:rsid w:val="004E3BCC"/>
    <w:rsid w:val="004E3C7C"/>
    <w:rsid w:val="004E3C83"/>
    <w:rsid w:val="004E3D19"/>
    <w:rsid w:val="004E3D94"/>
    <w:rsid w:val="004E3DCF"/>
    <w:rsid w:val="004E3E0A"/>
    <w:rsid w:val="004E3F07"/>
    <w:rsid w:val="004E3F6F"/>
    <w:rsid w:val="004E3F7C"/>
    <w:rsid w:val="004E3FDB"/>
    <w:rsid w:val="004E40BD"/>
    <w:rsid w:val="004E4357"/>
    <w:rsid w:val="004E43B7"/>
    <w:rsid w:val="004E4535"/>
    <w:rsid w:val="004E46CF"/>
    <w:rsid w:val="004E46F7"/>
    <w:rsid w:val="004E4791"/>
    <w:rsid w:val="004E479E"/>
    <w:rsid w:val="004E4809"/>
    <w:rsid w:val="004E4868"/>
    <w:rsid w:val="004E4882"/>
    <w:rsid w:val="004E48F5"/>
    <w:rsid w:val="004E49B4"/>
    <w:rsid w:val="004E4A03"/>
    <w:rsid w:val="004E4A22"/>
    <w:rsid w:val="004E4A7E"/>
    <w:rsid w:val="004E4B46"/>
    <w:rsid w:val="004E4BAA"/>
    <w:rsid w:val="004E4C0C"/>
    <w:rsid w:val="004E4D60"/>
    <w:rsid w:val="004E4D71"/>
    <w:rsid w:val="004E4DD2"/>
    <w:rsid w:val="004E4E51"/>
    <w:rsid w:val="004E4EA2"/>
    <w:rsid w:val="004E4F31"/>
    <w:rsid w:val="004E4FFC"/>
    <w:rsid w:val="004E509D"/>
    <w:rsid w:val="004E517B"/>
    <w:rsid w:val="004E51A7"/>
    <w:rsid w:val="004E524A"/>
    <w:rsid w:val="004E54D8"/>
    <w:rsid w:val="004E560F"/>
    <w:rsid w:val="004E5612"/>
    <w:rsid w:val="004E565C"/>
    <w:rsid w:val="004E57BB"/>
    <w:rsid w:val="004E585C"/>
    <w:rsid w:val="004E5884"/>
    <w:rsid w:val="004E5894"/>
    <w:rsid w:val="004E597D"/>
    <w:rsid w:val="004E59E5"/>
    <w:rsid w:val="004E5CC3"/>
    <w:rsid w:val="004E5D58"/>
    <w:rsid w:val="004E5E0C"/>
    <w:rsid w:val="004E5E39"/>
    <w:rsid w:val="004E5ED5"/>
    <w:rsid w:val="004E601B"/>
    <w:rsid w:val="004E6020"/>
    <w:rsid w:val="004E610E"/>
    <w:rsid w:val="004E626D"/>
    <w:rsid w:val="004E630B"/>
    <w:rsid w:val="004E638B"/>
    <w:rsid w:val="004E63E2"/>
    <w:rsid w:val="004E63F2"/>
    <w:rsid w:val="004E6401"/>
    <w:rsid w:val="004E64A8"/>
    <w:rsid w:val="004E6680"/>
    <w:rsid w:val="004E669B"/>
    <w:rsid w:val="004E669C"/>
    <w:rsid w:val="004E66B2"/>
    <w:rsid w:val="004E66F5"/>
    <w:rsid w:val="004E67D8"/>
    <w:rsid w:val="004E6825"/>
    <w:rsid w:val="004E6916"/>
    <w:rsid w:val="004E6953"/>
    <w:rsid w:val="004E6A14"/>
    <w:rsid w:val="004E6ADB"/>
    <w:rsid w:val="004E6B08"/>
    <w:rsid w:val="004E6B39"/>
    <w:rsid w:val="004E6B8B"/>
    <w:rsid w:val="004E6C6D"/>
    <w:rsid w:val="004E6CC7"/>
    <w:rsid w:val="004E6CFC"/>
    <w:rsid w:val="004E6F44"/>
    <w:rsid w:val="004E713B"/>
    <w:rsid w:val="004E7151"/>
    <w:rsid w:val="004E71C2"/>
    <w:rsid w:val="004E7289"/>
    <w:rsid w:val="004E72C9"/>
    <w:rsid w:val="004E7315"/>
    <w:rsid w:val="004E731D"/>
    <w:rsid w:val="004E7386"/>
    <w:rsid w:val="004E73BD"/>
    <w:rsid w:val="004E7698"/>
    <w:rsid w:val="004E76CD"/>
    <w:rsid w:val="004E7712"/>
    <w:rsid w:val="004E7762"/>
    <w:rsid w:val="004E777D"/>
    <w:rsid w:val="004E7782"/>
    <w:rsid w:val="004E77AA"/>
    <w:rsid w:val="004E77DB"/>
    <w:rsid w:val="004E7891"/>
    <w:rsid w:val="004E78CF"/>
    <w:rsid w:val="004E78FD"/>
    <w:rsid w:val="004E79C0"/>
    <w:rsid w:val="004E79C1"/>
    <w:rsid w:val="004E79D8"/>
    <w:rsid w:val="004E79E9"/>
    <w:rsid w:val="004E7A03"/>
    <w:rsid w:val="004E7A5B"/>
    <w:rsid w:val="004E7AD8"/>
    <w:rsid w:val="004E7BE2"/>
    <w:rsid w:val="004E7C65"/>
    <w:rsid w:val="004E7D0F"/>
    <w:rsid w:val="004E7E6E"/>
    <w:rsid w:val="004E7E76"/>
    <w:rsid w:val="004E7EE9"/>
    <w:rsid w:val="004E7F3D"/>
    <w:rsid w:val="004E7F3E"/>
    <w:rsid w:val="004E7F9D"/>
    <w:rsid w:val="004E7FA9"/>
    <w:rsid w:val="004E7FAB"/>
    <w:rsid w:val="004F0083"/>
    <w:rsid w:val="004F0152"/>
    <w:rsid w:val="004F029C"/>
    <w:rsid w:val="004F0489"/>
    <w:rsid w:val="004F04A1"/>
    <w:rsid w:val="004F0501"/>
    <w:rsid w:val="004F050A"/>
    <w:rsid w:val="004F055B"/>
    <w:rsid w:val="004F059D"/>
    <w:rsid w:val="004F05A9"/>
    <w:rsid w:val="004F0698"/>
    <w:rsid w:val="004F06C7"/>
    <w:rsid w:val="004F06F9"/>
    <w:rsid w:val="004F07C7"/>
    <w:rsid w:val="004F07D7"/>
    <w:rsid w:val="004F07E4"/>
    <w:rsid w:val="004F08FD"/>
    <w:rsid w:val="004F0AA6"/>
    <w:rsid w:val="004F0B06"/>
    <w:rsid w:val="004F0C13"/>
    <w:rsid w:val="004F0C78"/>
    <w:rsid w:val="004F0C9F"/>
    <w:rsid w:val="004F0CA1"/>
    <w:rsid w:val="004F0D6E"/>
    <w:rsid w:val="004F0D93"/>
    <w:rsid w:val="004F0EF3"/>
    <w:rsid w:val="004F0FC6"/>
    <w:rsid w:val="004F1002"/>
    <w:rsid w:val="004F10D6"/>
    <w:rsid w:val="004F10F9"/>
    <w:rsid w:val="004F121A"/>
    <w:rsid w:val="004F1305"/>
    <w:rsid w:val="004F169C"/>
    <w:rsid w:val="004F172A"/>
    <w:rsid w:val="004F1873"/>
    <w:rsid w:val="004F18B5"/>
    <w:rsid w:val="004F19CC"/>
    <w:rsid w:val="004F1AD8"/>
    <w:rsid w:val="004F1B89"/>
    <w:rsid w:val="004F1BF3"/>
    <w:rsid w:val="004F1C7E"/>
    <w:rsid w:val="004F1D8F"/>
    <w:rsid w:val="004F1E44"/>
    <w:rsid w:val="004F1EF1"/>
    <w:rsid w:val="004F1F8A"/>
    <w:rsid w:val="004F1FA0"/>
    <w:rsid w:val="004F1FDC"/>
    <w:rsid w:val="004F200B"/>
    <w:rsid w:val="004F204C"/>
    <w:rsid w:val="004F205D"/>
    <w:rsid w:val="004F2101"/>
    <w:rsid w:val="004F2145"/>
    <w:rsid w:val="004F2159"/>
    <w:rsid w:val="004F21D1"/>
    <w:rsid w:val="004F2389"/>
    <w:rsid w:val="004F2391"/>
    <w:rsid w:val="004F23AF"/>
    <w:rsid w:val="004F25CE"/>
    <w:rsid w:val="004F264B"/>
    <w:rsid w:val="004F2700"/>
    <w:rsid w:val="004F27BA"/>
    <w:rsid w:val="004F2818"/>
    <w:rsid w:val="004F294D"/>
    <w:rsid w:val="004F2B06"/>
    <w:rsid w:val="004F2B31"/>
    <w:rsid w:val="004F2BE9"/>
    <w:rsid w:val="004F2C6A"/>
    <w:rsid w:val="004F2CDF"/>
    <w:rsid w:val="004F2CE8"/>
    <w:rsid w:val="004F2DF0"/>
    <w:rsid w:val="004F2E92"/>
    <w:rsid w:val="004F2E9F"/>
    <w:rsid w:val="004F2EC7"/>
    <w:rsid w:val="004F3003"/>
    <w:rsid w:val="004F316E"/>
    <w:rsid w:val="004F31E3"/>
    <w:rsid w:val="004F328F"/>
    <w:rsid w:val="004F3350"/>
    <w:rsid w:val="004F35B0"/>
    <w:rsid w:val="004F367A"/>
    <w:rsid w:val="004F37D7"/>
    <w:rsid w:val="004F37D8"/>
    <w:rsid w:val="004F3861"/>
    <w:rsid w:val="004F39A6"/>
    <w:rsid w:val="004F3A32"/>
    <w:rsid w:val="004F3A3B"/>
    <w:rsid w:val="004F3B9B"/>
    <w:rsid w:val="004F3C4A"/>
    <w:rsid w:val="004F3C84"/>
    <w:rsid w:val="004F3CC6"/>
    <w:rsid w:val="004F3CF1"/>
    <w:rsid w:val="004F3D31"/>
    <w:rsid w:val="004F3DE3"/>
    <w:rsid w:val="004F3E12"/>
    <w:rsid w:val="004F3E25"/>
    <w:rsid w:val="004F3E68"/>
    <w:rsid w:val="004F3EA6"/>
    <w:rsid w:val="004F3F08"/>
    <w:rsid w:val="004F4096"/>
    <w:rsid w:val="004F40AA"/>
    <w:rsid w:val="004F40E7"/>
    <w:rsid w:val="004F4141"/>
    <w:rsid w:val="004F4185"/>
    <w:rsid w:val="004F42CB"/>
    <w:rsid w:val="004F42ED"/>
    <w:rsid w:val="004F42FE"/>
    <w:rsid w:val="004F4329"/>
    <w:rsid w:val="004F4358"/>
    <w:rsid w:val="004F4440"/>
    <w:rsid w:val="004F44A5"/>
    <w:rsid w:val="004F45A4"/>
    <w:rsid w:val="004F45AC"/>
    <w:rsid w:val="004F466E"/>
    <w:rsid w:val="004F46A4"/>
    <w:rsid w:val="004F4799"/>
    <w:rsid w:val="004F47F1"/>
    <w:rsid w:val="004F481C"/>
    <w:rsid w:val="004F4859"/>
    <w:rsid w:val="004F48A3"/>
    <w:rsid w:val="004F4913"/>
    <w:rsid w:val="004F4A1E"/>
    <w:rsid w:val="004F4A80"/>
    <w:rsid w:val="004F4B6A"/>
    <w:rsid w:val="004F4B6E"/>
    <w:rsid w:val="004F4C5B"/>
    <w:rsid w:val="004F4D92"/>
    <w:rsid w:val="004F4DE2"/>
    <w:rsid w:val="004F4E81"/>
    <w:rsid w:val="004F4EE3"/>
    <w:rsid w:val="004F4F5E"/>
    <w:rsid w:val="004F4F60"/>
    <w:rsid w:val="004F4FFC"/>
    <w:rsid w:val="004F506E"/>
    <w:rsid w:val="004F520F"/>
    <w:rsid w:val="004F5292"/>
    <w:rsid w:val="004F52E3"/>
    <w:rsid w:val="004F5397"/>
    <w:rsid w:val="004F5434"/>
    <w:rsid w:val="004F5458"/>
    <w:rsid w:val="004F54DE"/>
    <w:rsid w:val="004F55B1"/>
    <w:rsid w:val="004F5966"/>
    <w:rsid w:val="004F597B"/>
    <w:rsid w:val="004F5994"/>
    <w:rsid w:val="004F59CB"/>
    <w:rsid w:val="004F59D7"/>
    <w:rsid w:val="004F5AC4"/>
    <w:rsid w:val="004F5B3E"/>
    <w:rsid w:val="004F5B97"/>
    <w:rsid w:val="004F5BDD"/>
    <w:rsid w:val="004F5C71"/>
    <w:rsid w:val="004F5D38"/>
    <w:rsid w:val="004F5DE7"/>
    <w:rsid w:val="004F5E12"/>
    <w:rsid w:val="004F5E1F"/>
    <w:rsid w:val="004F5E3A"/>
    <w:rsid w:val="004F609B"/>
    <w:rsid w:val="004F6150"/>
    <w:rsid w:val="004F62A2"/>
    <w:rsid w:val="004F638F"/>
    <w:rsid w:val="004F6410"/>
    <w:rsid w:val="004F646B"/>
    <w:rsid w:val="004F65DB"/>
    <w:rsid w:val="004F6614"/>
    <w:rsid w:val="004F6661"/>
    <w:rsid w:val="004F667C"/>
    <w:rsid w:val="004F66FF"/>
    <w:rsid w:val="004F6770"/>
    <w:rsid w:val="004F678F"/>
    <w:rsid w:val="004F6845"/>
    <w:rsid w:val="004F68EA"/>
    <w:rsid w:val="004F68F5"/>
    <w:rsid w:val="004F69F2"/>
    <w:rsid w:val="004F6AD5"/>
    <w:rsid w:val="004F6B5A"/>
    <w:rsid w:val="004F6BB2"/>
    <w:rsid w:val="004F6C1B"/>
    <w:rsid w:val="004F6C81"/>
    <w:rsid w:val="004F6D65"/>
    <w:rsid w:val="004F6F14"/>
    <w:rsid w:val="004F6F1D"/>
    <w:rsid w:val="004F709F"/>
    <w:rsid w:val="004F70ED"/>
    <w:rsid w:val="004F7241"/>
    <w:rsid w:val="004F72F4"/>
    <w:rsid w:val="004F7374"/>
    <w:rsid w:val="004F7396"/>
    <w:rsid w:val="004F7431"/>
    <w:rsid w:val="004F74E8"/>
    <w:rsid w:val="004F750E"/>
    <w:rsid w:val="004F753B"/>
    <w:rsid w:val="004F758B"/>
    <w:rsid w:val="004F7592"/>
    <w:rsid w:val="004F7672"/>
    <w:rsid w:val="004F7898"/>
    <w:rsid w:val="004F7915"/>
    <w:rsid w:val="004F798A"/>
    <w:rsid w:val="004F79C4"/>
    <w:rsid w:val="004F7A04"/>
    <w:rsid w:val="004F7B29"/>
    <w:rsid w:val="004F7BF0"/>
    <w:rsid w:val="004F7C99"/>
    <w:rsid w:val="004F7CDE"/>
    <w:rsid w:val="004F7CE0"/>
    <w:rsid w:val="004F7D03"/>
    <w:rsid w:val="004F7D61"/>
    <w:rsid w:val="004F7DE3"/>
    <w:rsid w:val="004F7E09"/>
    <w:rsid w:val="004F7E31"/>
    <w:rsid w:val="004F7FAD"/>
    <w:rsid w:val="004F7FD4"/>
    <w:rsid w:val="005001A8"/>
    <w:rsid w:val="005001B0"/>
    <w:rsid w:val="00500250"/>
    <w:rsid w:val="0050044E"/>
    <w:rsid w:val="00500490"/>
    <w:rsid w:val="005004A9"/>
    <w:rsid w:val="005004BD"/>
    <w:rsid w:val="005004EE"/>
    <w:rsid w:val="005004F5"/>
    <w:rsid w:val="00500530"/>
    <w:rsid w:val="005005C8"/>
    <w:rsid w:val="00500662"/>
    <w:rsid w:val="005006CC"/>
    <w:rsid w:val="00500783"/>
    <w:rsid w:val="00500819"/>
    <w:rsid w:val="0050083A"/>
    <w:rsid w:val="00500906"/>
    <w:rsid w:val="0050098D"/>
    <w:rsid w:val="00500994"/>
    <w:rsid w:val="00500A2F"/>
    <w:rsid w:val="00500A75"/>
    <w:rsid w:val="00500C26"/>
    <w:rsid w:val="00500CA4"/>
    <w:rsid w:val="00500D29"/>
    <w:rsid w:val="00500D38"/>
    <w:rsid w:val="00500D4F"/>
    <w:rsid w:val="00500D5A"/>
    <w:rsid w:val="00500DB8"/>
    <w:rsid w:val="00500DFA"/>
    <w:rsid w:val="00501092"/>
    <w:rsid w:val="0050121B"/>
    <w:rsid w:val="0050128B"/>
    <w:rsid w:val="00501340"/>
    <w:rsid w:val="0050147A"/>
    <w:rsid w:val="0050151F"/>
    <w:rsid w:val="0050154A"/>
    <w:rsid w:val="00501597"/>
    <w:rsid w:val="0050169A"/>
    <w:rsid w:val="005017E8"/>
    <w:rsid w:val="00501868"/>
    <w:rsid w:val="005018EB"/>
    <w:rsid w:val="00501913"/>
    <w:rsid w:val="0050198D"/>
    <w:rsid w:val="005019ED"/>
    <w:rsid w:val="00501A1B"/>
    <w:rsid w:val="00501A46"/>
    <w:rsid w:val="00501A59"/>
    <w:rsid w:val="00501A94"/>
    <w:rsid w:val="00501ACF"/>
    <w:rsid w:val="00501AE3"/>
    <w:rsid w:val="00501B29"/>
    <w:rsid w:val="00501BDF"/>
    <w:rsid w:val="00501C75"/>
    <w:rsid w:val="00501D2C"/>
    <w:rsid w:val="00501F59"/>
    <w:rsid w:val="00501FA2"/>
    <w:rsid w:val="0050204B"/>
    <w:rsid w:val="0050204F"/>
    <w:rsid w:val="00502088"/>
    <w:rsid w:val="005021A4"/>
    <w:rsid w:val="0050222B"/>
    <w:rsid w:val="0050223C"/>
    <w:rsid w:val="0050225F"/>
    <w:rsid w:val="00502300"/>
    <w:rsid w:val="005023A7"/>
    <w:rsid w:val="005023FD"/>
    <w:rsid w:val="00502450"/>
    <w:rsid w:val="005024A9"/>
    <w:rsid w:val="005024C7"/>
    <w:rsid w:val="0050254C"/>
    <w:rsid w:val="0050257F"/>
    <w:rsid w:val="0050259C"/>
    <w:rsid w:val="0050259D"/>
    <w:rsid w:val="005026B0"/>
    <w:rsid w:val="005026E4"/>
    <w:rsid w:val="0050271E"/>
    <w:rsid w:val="005028CF"/>
    <w:rsid w:val="0050290E"/>
    <w:rsid w:val="00502921"/>
    <w:rsid w:val="00502943"/>
    <w:rsid w:val="00502A78"/>
    <w:rsid w:val="00502AFE"/>
    <w:rsid w:val="00502BC9"/>
    <w:rsid w:val="00502C0C"/>
    <w:rsid w:val="00502C5A"/>
    <w:rsid w:val="00502D93"/>
    <w:rsid w:val="00502DBE"/>
    <w:rsid w:val="00502DC5"/>
    <w:rsid w:val="00502E1E"/>
    <w:rsid w:val="00502E3C"/>
    <w:rsid w:val="00502E8E"/>
    <w:rsid w:val="00502FE3"/>
    <w:rsid w:val="00503019"/>
    <w:rsid w:val="00503097"/>
    <w:rsid w:val="005031FE"/>
    <w:rsid w:val="005033B8"/>
    <w:rsid w:val="005033E9"/>
    <w:rsid w:val="00503418"/>
    <w:rsid w:val="00503451"/>
    <w:rsid w:val="005034A6"/>
    <w:rsid w:val="00503565"/>
    <w:rsid w:val="005035EB"/>
    <w:rsid w:val="00503722"/>
    <w:rsid w:val="005037E5"/>
    <w:rsid w:val="005037FF"/>
    <w:rsid w:val="00503803"/>
    <w:rsid w:val="0050393C"/>
    <w:rsid w:val="00503AE1"/>
    <w:rsid w:val="00503B6F"/>
    <w:rsid w:val="00503CA3"/>
    <w:rsid w:val="00503D10"/>
    <w:rsid w:val="00503D71"/>
    <w:rsid w:val="00503E01"/>
    <w:rsid w:val="00503FA2"/>
    <w:rsid w:val="00503FD8"/>
    <w:rsid w:val="00504032"/>
    <w:rsid w:val="00504076"/>
    <w:rsid w:val="0050411E"/>
    <w:rsid w:val="005041BC"/>
    <w:rsid w:val="005041D2"/>
    <w:rsid w:val="00504435"/>
    <w:rsid w:val="0050446B"/>
    <w:rsid w:val="00504488"/>
    <w:rsid w:val="0050481F"/>
    <w:rsid w:val="0050491D"/>
    <w:rsid w:val="00504957"/>
    <w:rsid w:val="00504964"/>
    <w:rsid w:val="005049C3"/>
    <w:rsid w:val="00504A83"/>
    <w:rsid w:val="00504A8E"/>
    <w:rsid w:val="00504A98"/>
    <w:rsid w:val="00504AD1"/>
    <w:rsid w:val="00504BC6"/>
    <w:rsid w:val="00504BD7"/>
    <w:rsid w:val="00504CF9"/>
    <w:rsid w:val="00504D66"/>
    <w:rsid w:val="00504D83"/>
    <w:rsid w:val="00504E23"/>
    <w:rsid w:val="00504E47"/>
    <w:rsid w:val="00504E95"/>
    <w:rsid w:val="00504EE9"/>
    <w:rsid w:val="00504F68"/>
    <w:rsid w:val="00504FD5"/>
    <w:rsid w:val="005050C4"/>
    <w:rsid w:val="005051AD"/>
    <w:rsid w:val="00505280"/>
    <w:rsid w:val="005052CF"/>
    <w:rsid w:val="00505367"/>
    <w:rsid w:val="00505437"/>
    <w:rsid w:val="005055C3"/>
    <w:rsid w:val="005056EE"/>
    <w:rsid w:val="00505733"/>
    <w:rsid w:val="00505783"/>
    <w:rsid w:val="005057A2"/>
    <w:rsid w:val="005057B4"/>
    <w:rsid w:val="005057D5"/>
    <w:rsid w:val="00505893"/>
    <w:rsid w:val="005058CA"/>
    <w:rsid w:val="0050593C"/>
    <w:rsid w:val="00505A63"/>
    <w:rsid w:val="00505ABE"/>
    <w:rsid w:val="00505B19"/>
    <w:rsid w:val="00505B43"/>
    <w:rsid w:val="00505BC6"/>
    <w:rsid w:val="00505C48"/>
    <w:rsid w:val="00505D2B"/>
    <w:rsid w:val="00505F98"/>
    <w:rsid w:val="00505FD1"/>
    <w:rsid w:val="005060C7"/>
    <w:rsid w:val="005060FF"/>
    <w:rsid w:val="005062B6"/>
    <w:rsid w:val="005062ED"/>
    <w:rsid w:val="0050638F"/>
    <w:rsid w:val="00506430"/>
    <w:rsid w:val="00506486"/>
    <w:rsid w:val="005064D2"/>
    <w:rsid w:val="005065A9"/>
    <w:rsid w:val="005065BE"/>
    <w:rsid w:val="00506642"/>
    <w:rsid w:val="005066BD"/>
    <w:rsid w:val="005068CC"/>
    <w:rsid w:val="005069FD"/>
    <w:rsid w:val="00506A43"/>
    <w:rsid w:val="00506AE8"/>
    <w:rsid w:val="00506B51"/>
    <w:rsid w:val="00506CC6"/>
    <w:rsid w:val="00506E2D"/>
    <w:rsid w:val="00506E7D"/>
    <w:rsid w:val="00506E9E"/>
    <w:rsid w:val="00506EB4"/>
    <w:rsid w:val="00506EFC"/>
    <w:rsid w:val="00506F4C"/>
    <w:rsid w:val="00507061"/>
    <w:rsid w:val="00507073"/>
    <w:rsid w:val="005070BF"/>
    <w:rsid w:val="005070F2"/>
    <w:rsid w:val="00507263"/>
    <w:rsid w:val="00507298"/>
    <w:rsid w:val="00507358"/>
    <w:rsid w:val="005073F8"/>
    <w:rsid w:val="0050740A"/>
    <w:rsid w:val="0050741D"/>
    <w:rsid w:val="005074B9"/>
    <w:rsid w:val="005075A5"/>
    <w:rsid w:val="0050761B"/>
    <w:rsid w:val="005077E6"/>
    <w:rsid w:val="00507821"/>
    <w:rsid w:val="005078AA"/>
    <w:rsid w:val="005078FB"/>
    <w:rsid w:val="00507919"/>
    <w:rsid w:val="0050794C"/>
    <w:rsid w:val="0050795D"/>
    <w:rsid w:val="00507A10"/>
    <w:rsid w:val="00507B88"/>
    <w:rsid w:val="00507C10"/>
    <w:rsid w:val="00507C11"/>
    <w:rsid w:val="00507E96"/>
    <w:rsid w:val="00507FB1"/>
    <w:rsid w:val="00510237"/>
    <w:rsid w:val="00510285"/>
    <w:rsid w:val="005102FA"/>
    <w:rsid w:val="0051038E"/>
    <w:rsid w:val="005103A3"/>
    <w:rsid w:val="00510414"/>
    <w:rsid w:val="00510415"/>
    <w:rsid w:val="005104D5"/>
    <w:rsid w:val="00510541"/>
    <w:rsid w:val="005105A3"/>
    <w:rsid w:val="005106BE"/>
    <w:rsid w:val="005107CD"/>
    <w:rsid w:val="005107FB"/>
    <w:rsid w:val="0051084B"/>
    <w:rsid w:val="005108E9"/>
    <w:rsid w:val="00510952"/>
    <w:rsid w:val="00510A68"/>
    <w:rsid w:val="00510A96"/>
    <w:rsid w:val="00510AAD"/>
    <w:rsid w:val="00510B6D"/>
    <w:rsid w:val="00510BE3"/>
    <w:rsid w:val="00510C12"/>
    <w:rsid w:val="00510CB4"/>
    <w:rsid w:val="00510D14"/>
    <w:rsid w:val="00510FB5"/>
    <w:rsid w:val="005110F7"/>
    <w:rsid w:val="00511123"/>
    <w:rsid w:val="005111FE"/>
    <w:rsid w:val="0051123A"/>
    <w:rsid w:val="005112D0"/>
    <w:rsid w:val="0051136A"/>
    <w:rsid w:val="00511501"/>
    <w:rsid w:val="00511507"/>
    <w:rsid w:val="005115D3"/>
    <w:rsid w:val="00511668"/>
    <w:rsid w:val="0051182C"/>
    <w:rsid w:val="00511872"/>
    <w:rsid w:val="005118BE"/>
    <w:rsid w:val="005118C1"/>
    <w:rsid w:val="005119BA"/>
    <w:rsid w:val="005119E1"/>
    <w:rsid w:val="005119EE"/>
    <w:rsid w:val="005119F4"/>
    <w:rsid w:val="00511A4A"/>
    <w:rsid w:val="00511AB4"/>
    <w:rsid w:val="00511C99"/>
    <w:rsid w:val="00511D6C"/>
    <w:rsid w:val="00511E21"/>
    <w:rsid w:val="00511EAE"/>
    <w:rsid w:val="00511F0B"/>
    <w:rsid w:val="00511F86"/>
    <w:rsid w:val="005122B5"/>
    <w:rsid w:val="005122CB"/>
    <w:rsid w:val="0051236D"/>
    <w:rsid w:val="00512422"/>
    <w:rsid w:val="0051246E"/>
    <w:rsid w:val="005124A8"/>
    <w:rsid w:val="005125BA"/>
    <w:rsid w:val="0051260E"/>
    <w:rsid w:val="0051261A"/>
    <w:rsid w:val="005127D5"/>
    <w:rsid w:val="005128B7"/>
    <w:rsid w:val="00512B2F"/>
    <w:rsid w:val="00512B3B"/>
    <w:rsid w:val="00512B55"/>
    <w:rsid w:val="00512B69"/>
    <w:rsid w:val="00512C2A"/>
    <w:rsid w:val="00512C2F"/>
    <w:rsid w:val="00512C78"/>
    <w:rsid w:val="00512C99"/>
    <w:rsid w:val="00512E75"/>
    <w:rsid w:val="00512F9B"/>
    <w:rsid w:val="00513092"/>
    <w:rsid w:val="0051324B"/>
    <w:rsid w:val="0051324F"/>
    <w:rsid w:val="00513345"/>
    <w:rsid w:val="005134A7"/>
    <w:rsid w:val="00513531"/>
    <w:rsid w:val="005135DC"/>
    <w:rsid w:val="005135F2"/>
    <w:rsid w:val="00513608"/>
    <w:rsid w:val="0051361B"/>
    <w:rsid w:val="0051369F"/>
    <w:rsid w:val="0051370D"/>
    <w:rsid w:val="0051371A"/>
    <w:rsid w:val="005137D5"/>
    <w:rsid w:val="005138B4"/>
    <w:rsid w:val="00513926"/>
    <w:rsid w:val="005139B0"/>
    <w:rsid w:val="005139BB"/>
    <w:rsid w:val="00513A42"/>
    <w:rsid w:val="00513C6C"/>
    <w:rsid w:val="00513D7F"/>
    <w:rsid w:val="00513D93"/>
    <w:rsid w:val="00513E2D"/>
    <w:rsid w:val="00513EA0"/>
    <w:rsid w:val="00514036"/>
    <w:rsid w:val="00514105"/>
    <w:rsid w:val="0051418E"/>
    <w:rsid w:val="00514234"/>
    <w:rsid w:val="00514254"/>
    <w:rsid w:val="005142CD"/>
    <w:rsid w:val="005143B9"/>
    <w:rsid w:val="0051442C"/>
    <w:rsid w:val="00514551"/>
    <w:rsid w:val="00514557"/>
    <w:rsid w:val="00514576"/>
    <w:rsid w:val="00514671"/>
    <w:rsid w:val="00514693"/>
    <w:rsid w:val="00514759"/>
    <w:rsid w:val="005147D2"/>
    <w:rsid w:val="005147DE"/>
    <w:rsid w:val="00514855"/>
    <w:rsid w:val="00514885"/>
    <w:rsid w:val="005148A0"/>
    <w:rsid w:val="005149A4"/>
    <w:rsid w:val="005149AC"/>
    <w:rsid w:val="00514A87"/>
    <w:rsid w:val="00514A9D"/>
    <w:rsid w:val="00514AA0"/>
    <w:rsid w:val="00514B46"/>
    <w:rsid w:val="00514B63"/>
    <w:rsid w:val="00514B64"/>
    <w:rsid w:val="00514D98"/>
    <w:rsid w:val="00514DEC"/>
    <w:rsid w:val="00514FE2"/>
    <w:rsid w:val="005150A9"/>
    <w:rsid w:val="00515299"/>
    <w:rsid w:val="0051531F"/>
    <w:rsid w:val="00515384"/>
    <w:rsid w:val="00515387"/>
    <w:rsid w:val="005153FA"/>
    <w:rsid w:val="005154B9"/>
    <w:rsid w:val="0051552E"/>
    <w:rsid w:val="0051561B"/>
    <w:rsid w:val="005156E2"/>
    <w:rsid w:val="0051570B"/>
    <w:rsid w:val="005157AB"/>
    <w:rsid w:val="00515938"/>
    <w:rsid w:val="005159C7"/>
    <w:rsid w:val="005159D2"/>
    <w:rsid w:val="00515A5B"/>
    <w:rsid w:val="00515A87"/>
    <w:rsid w:val="00515A9F"/>
    <w:rsid w:val="00515AA2"/>
    <w:rsid w:val="00515BFE"/>
    <w:rsid w:val="00515C19"/>
    <w:rsid w:val="00515C9F"/>
    <w:rsid w:val="00515CD6"/>
    <w:rsid w:val="00515E19"/>
    <w:rsid w:val="00516032"/>
    <w:rsid w:val="005161D8"/>
    <w:rsid w:val="005162DD"/>
    <w:rsid w:val="005163C1"/>
    <w:rsid w:val="0051663F"/>
    <w:rsid w:val="00516645"/>
    <w:rsid w:val="00516746"/>
    <w:rsid w:val="00516795"/>
    <w:rsid w:val="005167DB"/>
    <w:rsid w:val="005167FC"/>
    <w:rsid w:val="0051682A"/>
    <w:rsid w:val="00516971"/>
    <w:rsid w:val="00516A9B"/>
    <w:rsid w:val="00516AC9"/>
    <w:rsid w:val="00516E8A"/>
    <w:rsid w:val="00516EB4"/>
    <w:rsid w:val="00516EE5"/>
    <w:rsid w:val="00517185"/>
    <w:rsid w:val="00517187"/>
    <w:rsid w:val="005171F9"/>
    <w:rsid w:val="005172AE"/>
    <w:rsid w:val="005172C5"/>
    <w:rsid w:val="005172E4"/>
    <w:rsid w:val="00517323"/>
    <w:rsid w:val="0051732C"/>
    <w:rsid w:val="00517376"/>
    <w:rsid w:val="005173B3"/>
    <w:rsid w:val="0051740A"/>
    <w:rsid w:val="00517528"/>
    <w:rsid w:val="005175FF"/>
    <w:rsid w:val="00517649"/>
    <w:rsid w:val="0051779B"/>
    <w:rsid w:val="00517826"/>
    <w:rsid w:val="0051787D"/>
    <w:rsid w:val="00517895"/>
    <w:rsid w:val="005178C7"/>
    <w:rsid w:val="00517927"/>
    <w:rsid w:val="00517AB4"/>
    <w:rsid w:val="00517AF8"/>
    <w:rsid w:val="00517B00"/>
    <w:rsid w:val="00517B2F"/>
    <w:rsid w:val="00517B3F"/>
    <w:rsid w:val="00517C11"/>
    <w:rsid w:val="00517C40"/>
    <w:rsid w:val="00517C9F"/>
    <w:rsid w:val="00517D06"/>
    <w:rsid w:val="00517D3C"/>
    <w:rsid w:val="00517EDB"/>
    <w:rsid w:val="00517EE4"/>
    <w:rsid w:val="00517F0A"/>
    <w:rsid w:val="00517F77"/>
    <w:rsid w:val="00517FC2"/>
    <w:rsid w:val="00517FEA"/>
    <w:rsid w:val="00520012"/>
    <w:rsid w:val="00520013"/>
    <w:rsid w:val="0052006E"/>
    <w:rsid w:val="005200A8"/>
    <w:rsid w:val="00520106"/>
    <w:rsid w:val="00520169"/>
    <w:rsid w:val="0052023C"/>
    <w:rsid w:val="005202A3"/>
    <w:rsid w:val="005202C7"/>
    <w:rsid w:val="005202EB"/>
    <w:rsid w:val="005202FE"/>
    <w:rsid w:val="005203B6"/>
    <w:rsid w:val="005203D9"/>
    <w:rsid w:val="00520448"/>
    <w:rsid w:val="005204EF"/>
    <w:rsid w:val="0052053D"/>
    <w:rsid w:val="00520564"/>
    <w:rsid w:val="00520671"/>
    <w:rsid w:val="005207AD"/>
    <w:rsid w:val="0052085B"/>
    <w:rsid w:val="005208C3"/>
    <w:rsid w:val="0052092B"/>
    <w:rsid w:val="00520933"/>
    <w:rsid w:val="00520AE3"/>
    <w:rsid w:val="00520B2A"/>
    <w:rsid w:val="00520BE4"/>
    <w:rsid w:val="00520D63"/>
    <w:rsid w:val="00520DE8"/>
    <w:rsid w:val="00520EAD"/>
    <w:rsid w:val="00520F46"/>
    <w:rsid w:val="00520FF8"/>
    <w:rsid w:val="00521038"/>
    <w:rsid w:val="005210C8"/>
    <w:rsid w:val="0052115A"/>
    <w:rsid w:val="00521253"/>
    <w:rsid w:val="005212FC"/>
    <w:rsid w:val="00521356"/>
    <w:rsid w:val="00521385"/>
    <w:rsid w:val="005213C5"/>
    <w:rsid w:val="00521593"/>
    <w:rsid w:val="005215DD"/>
    <w:rsid w:val="0052165E"/>
    <w:rsid w:val="0052186C"/>
    <w:rsid w:val="005218DA"/>
    <w:rsid w:val="005218F4"/>
    <w:rsid w:val="00521AD4"/>
    <w:rsid w:val="00521BA5"/>
    <w:rsid w:val="00521BE3"/>
    <w:rsid w:val="00521C33"/>
    <w:rsid w:val="00521C38"/>
    <w:rsid w:val="00521C9E"/>
    <w:rsid w:val="00521D87"/>
    <w:rsid w:val="00521E9C"/>
    <w:rsid w:val="00521ED3"/>
    <w:rsid w:val="00521EF6"/>
    <w:rsid w:val="0052207C"/>
    <w:rsid w:val="0052212D"/>
    <w:rsid w:val="00522140"/>
    <w:rsid w:val="005221ED"/>
    <w:rsid w:val="005222A1"/>
    <w:rsid w:val="0052238D"/>
    <w:rsid w:val="0052258A"/>
    <w:rsid w:val="00522653"/>
    <w:rsid w:val="0052271F"/>
    <w:rsid w:val="00522785"/>
    <w:rsid w:val="005227EE"/>
    <w:rsid w:val="0052292D"/>
    <w:rsid w:val="00522A60"/>
    <w:rsid w:val="00522A89"/>
    <w:rsid w:val="00522B8B"/>
    <w:rsid w:val="00522C18"/>
    <w:rsid w:val="00522C3F"/>
    <w:rsid w:val="00522C58"/>
    <w:rsid w:val="00522CDF"/>
    <w:rsid w:val="00522D71"/>
    <w:rsid w:val="00522DD8"/>
    <w:rsid w:val="00522E50"/>
    <w:rsid w:val="00522E62"/>
    <w:rsid w:val="00522F2A"/>
    <w:rsid w:val="00522FF5"/>
    <w:rsid w:val="0052303E"/>
    <w:rsid w:val="00523072"/>
    <w:rsid w:val="0052308C"/>
    <w:rsid w:val="005230DB"/>
    <w:rsid w:val="005231FC"/>
    <w:rsid w:val="0052323D"/>
    <w:rsid w:val="0052331A"/>
    <w:rsid w:val="00523385"/>
    <w:rsid w:val="005233A8"/>
    <w:rsid w:val="005233CF"/>
    <w:rsid w:val="00523437"/>
    <w:rsid w:val="00523474"/>
    <w:rsid w:val="00523491"/>
    <w:rsid w:val="00523551"/>
    <w:rsid w:val="0052361E"/>
    <w:rsid w:val="00523639"/>
    <w:rsid w:val="00523645"/>
    <w:rsid w:val="0052365E"/>
    <w:rsid w:val="00523678"/>
    <w:rsid w:val="005236D3"/>
    <w:rsid w:val="005236DC"/>
    <w:rsid w:val="0052371B"/>
    <w:rsid w:val="0052372A"/>
    <w:rsid w:val="00523746"/>
    <w:rsid w:val="00523752"/>
    <w:rsid w:val="005237C4"/>
    <w:rsid w:val="00523810"/>
    <w:rsid w:val="0052381E"/>
    <w:rsid w:val="00523855"/>
    <w:rsid w:val="0052397F"/>
    <w:rsid w:val="005239A7"/>
    <w:rsid w:val="005239B1"/>
    <w:rsid w:val="00523BF0"/>
    <w:rsid w:val="00523C07"/>
    <w:rsid w:val="00523C80"/>
    <w:rsid w:val="00523CB7"/>
    <w:rsid w:val="00523EE3"/>
    <w:rsid w:val="00523F4A"/>
    <w:rsid w:val="00523FB2"/>
    <w:rsid w:val="00523FF6"/>
    <w:rsid w:val="00524117"/>
    <w:rsid w:val="0052434F"/>
    <w:rsid w:val="0052436F"/>
    <w:rsid w:val="0052438F"/>
    <w:rsid w:val="00524432"/>
    <w:rsid w:val="00524457"/>
    <w:rsid w:val="00524497"/>
    <w:rsid w:val="005245C6"/>
    <w:rsid w:val="0052469D"/>
    <w:rsid w:val="005246B4"/>
    <w:rsid w:val="00524943"/>
    <w:rsid w:val="00524966"/>
    <w:rsid w:val="005249C2"/>
    <w:rsid w:val="00524A0F"/>
    <w:rsid w:val="00524BE6"/>
    <w:rsid w:val="00524C71"/>
    <w:rsid w:val="00524F02"/>
    <w:rsid w:val="00524F06"/>
    <w:rsid w:val="00524F64"/>
    <w:rsid w:val="00525071"/>
    <w:rsid w:val="0052529B"/>
    <w:rsid w:val="005252FB"/>
    <w:rsid w:val="0052531A"/>
    <w:rsid w:val="005253AA"/>
    <w:rsid w:val="005253F9"/>
    <w:rsid w:val="0052542A"/>
    <w:rsid w:val="0052542D"/>
    <w:rsid w:val="0052546F"/>
    <w:rsid w:val="005254A0"/>
    <w:rsid w:val="00525510"/>
    <w:rsid w:val="0052558E"/>
    <w:rsid w:val="005255A1"/>
    <w:rsid w:val="005255FC"/>
    <w:rsid w:val="0052560E"/>
    <w:rsid w:val="0052569E"/>
    <w:rsid w:val="005258F6"/>
    <w:rsid w:val="00525908"/>
    <w:rsid w:val="0052595D"/>
    <w:rsid w:val="005259CE"/>
    <w:rsid w:val="00525A3C"/>
    <w:rsid w:val="00525B7E"/>
    <w:rsid w:val="00525B8F"/>
    <w:rsid w:val="00525BB6"/>
    <w:rsid w:val="00525C46"/>
    <w:rsid w:val="00525CA9"/>
    <w:rsid w:val="00525DF5"/>
    <w:rsid w:val="00525E26"/>
    <w:rsid w:val="00525E45"/>
    <w:rsid w:val="00525F43"/>
    <w:rsid w:val="00525F4D"/>
    <w:rsid w:val="00525FC1"/>
    <w:rsid w:val="00526026"/>
    <w:rsid w:val="00526044"/>
    <w:rsid w:val="00526087"/>
    <w:rsid w:val="005260F4"/>
    <w:rsid w:val="005261E1"/>
    <w:rsid w:val="00526242"/>
    <w:rsid w:val="00526358"/>
    <w:rsid w:val="00526456"/>
    <w:rsid w:val="005265EA"/>
    <w:rsid w:val="0052660E"/>
    <w:rsid w:val="00526668"/>
    <w:rsid w:val="005266B3"/>
    <w:rsid w:val="005267AD"/>
    <w:rsid w:val="005267FD"/>
    <w:rsid w:val="00526876"/>
    <w:rsid w:val="00526912"/>
    <w:rsid w:val="00526949"/>
    <w:rsid w:val="00526A7D"/>
    <w:rsid w:val="00526B75"/>
    <w:rsid w:val="00526B83"/>
    <w:rsid w:val="00526CB7"/>
    <w:rsid w:val="00526DA8"/>
    <w:rsid w:val="00526DAF"/>
    <w:rsid w:val="00526E32"/>
    <w:rsid w:val="00527036"/>
    <w:rsid w:val="00527353"/>
    <w:rsid w:val="0052738C"/>
    <w:rsid w:val="005273CF"/>
    <w:rsid w:val="005273D1"/>
    <w:rsid w:val="005273F0"/>
    <w:rsid w:val="00527431"/>
    <w:rsid w:val="005274FA"/>
    <w:rsid w:val="0052763C"/>
    <w:rsid w:val="0052765E"/>
    <w:rsid w:val="00527760"/>
    <w:rsid w:val="00527ADD"/>
    <w:rsid w:val="00527B00"/>
    <w:rsid w:val="00527BE6"/>
    <w:rsid w:val="00527C9C"/>
    <w:rsid w:val="00527DD8"/>
    <w:rsid w:val="00527ED5"/>
    <w:rsid w:val="00527F1F"/>
    <w:rsid w:val="00527F5F"/>
    <w:rsid w:val="00527F82"/>
    <w:rsid w:val="00527FB9"/>
    <w:rsid w:val="00530186"/>
    <w:rsid w:val="00530234"/>
    <w:rsid w:val="00530250"/>
    <w:rsid w:val="00530261"/>
    <w:rsid w:val="00530356"/>
    <w:rsid w:val="0053041D"/>
    <w:rsid w:val="0053048D"/>
    <w:rsid w:val="00530510"/>
    <w:rsid w:val="005305E6"/>
    <w:rsid w:val="0053062D"/>
    <w:rsid w:val="00530634"/>
    <w:rsid w:val="00530643"/>
    <w:rsid w:val="005306E2"/>
    <w:rsid w:val="00530719"/>
    <w:rsid w:val="00530743"/>
    <w:rsid w:val="005307A4"/>
    <w:rsid w:val="005307BA"/>
    <w:rsid w:val="0053088F"/>
    <w:rsid w:val="00530A4C"/>
    <w:rsid w:val="00530A98"/>
    <w:rsid w:val="00530AF8"/>
    <w:rsid w:val="00530B07"/>
    <w:rsid w:val="00530B2F"/>
    <w:rsid w:val="00530C60"/>
    <w:rsid w:val="00530D30"/>
    <w:rsid w:val="00530DEB"/>
    <w:rsid w:val="00530E34"/>
    <w:rsid w:val="00530E88"/>
    <w:rsid w:val="00530F5E"/>
    <w:rsid w:val="00530F83"/>
    <w:rsid w:val="00530FDD"/>
    <w:rsid w:val="00531006"/>
    <w:rsid w:val="00531026"/>
    <w:rsid w:val="0053108D"/>
    <w:rsid w:val="00531258"/>
    <w:rsid w:val="005312A9"/>
    <w:rsid w:val="0053131C"/>
    <w:rsid w:val="005313B8"/>
    <w:rsid w:val="00531430"/>
    <w:rsid w:val="00531468"/>
    <w:rsid w:val="00531504"/>
    <w:rsid w:val="00531598"/>
    <w:rsid w:val="00531733"/>
    <w:rsid w:val="0053174C"/>
    <w:rsid w:val="005317C1"/>
    <w:rsid w:val="00531818"/>
    <w:rsid w:val="005319C3"/>
    <w:rsid w:val="00531AF7"/>
    <w:rsid w:val="00531B33"/>
    <w:rsid w:val="00531B38"/>
    <w:rsid w:val="00531B47"/>
    <w:rsid w:val="00531B95"/>
    <w:rsid w:val="00531B96"/>
    <w:rsid w:val="00531BA8"/>
    <w:rsid w:val="00531BE8"/>
    <w:rsid w:val="00531BF7"/>
    <w:rsid w:val="00531C09"/>
    <w:rsid w:val="00531D77"/>
    <w:rsid w:val="00531F56"/>
    <w:rsid w:val="00531F6A"/>
    <w:rsid w:val="00531FB8"/>
    <w:rsid w:val="0053203A"/>
    <w:rsid w:val="00532046"/>
    <w:rsid w:val="005320E4"/>
    <w:rsid w:val="00532142"/>
    <w:rsid w:val="005321E4"/>
    <w:rsid w:val="00532292"/>
    <w:rsid w:val="005322FB"/>
    <w:rsid w:val="00532395"/>
    <w:rsid w:val="0053247A"/>
    <w:rsid w:val="0053248C"/>
    <w:rsid w:val="0053251A"/>
    <w:rsid w:val="00532577"/>
    <w:rsid w:val="005325CA"/>
    <w:rsid w:val="0053260F"/>
    <w:rsid w:val="00532688"/>
    <w:rsid w:val="005326C5"/>
    <w:rsid w:val="00532923"/>
    <w:rsid w:val="00532928"/>
    <w:rsid w:val="00532948"/>
    <w:rsid w:val="0053294E"/>
    <w:rsid w:val="00532952"/>
    <w:rsid w:val="00532970"/>
    <w:rsid w:val="005329C7"/>
    <w:rsid w:val="00532A1F"/>
    <w:rsid w:val="00532B41"/>
    <w:rsid w:val="00532B96"/>
    <w:rsid w:val="00532BDE"/>
    <w:rsid w:val="00532CBE"/>
    <w:rsid w:val="00532DEB"/>
    <w:rsid w:val="00532E5E"/>
    <w:rsid w:val="00532E94"/>
    <w:rsid w:val="00532EAC"/>
    <w:rsid w:val="00532EEC"/>
    <w:rsid w:val="00532F1A"/>
    <w:rsid w:val="00532F24"/>
    <w:rsid w:val="00532F25"/>
    <w:rsid w:val="00533038"/>
    <w:rsid w:val="00533055"/>
    <w:rsid w:val="0053308D"/>
    <w:rsid w:val="005330D6"/>
    <w:rsid w:val="0053312D"/>
    <w:rsid w:val="00533146"/>
    <w:rsid w:val="00533162"/>
    <w:rsid w:val="00533186"/>
    <w:rsid w:val="005331A4"/>
    <w:rsid w:val="00533210"/>
    <w:rsid w:val="0053322F"/>
    <w:rsid w:val="0053325A"/>
    <w:rsid w:val="00533267"/>
    <w:rsid w:val="005332C3"/>
    <w:rsid w:val="005332E6"/>
    <w:rsid w:val="00533334"/>
    <w:rsid w:val="00533349"/>
    <w:rsid w:val="005333C8"/>
    <w:rsid w:val="005333D5"/>
    <w:rsid w:val="00533467"/>
    <w:rsid w:val="00533476"/>
    <w:rsid w:val="005335C9"/>
    <w:rsid w:val="005335D5"/>
    <w:rsid w:val="00533639"/>
    <w:rsid w:val="00533769"/>
    <w:rsid w:val="00533798"/>
    <w:rsid w:val="005337A7"/>
    <w:rsid w:val="005337FA"/>
    <w:rsid w:val="00533854"/>
    <w:rsid w:val="0053392F"/>
    <w:rsid w:val="0053397C"/>
    <w:rsid w:val="0053398A"/>
    <w:rsid w:val="00533A56"/>
    <w:rsid w:val="00533ABB"/>
    <w:rsid w:val="00533AC3"/>
    <w:rsid w:val="00533B50"/>
    <w:rsid w:val="00533D77"/>
    <w:rsid w:val="00533DFC"/>
    <w:rsid w:val="00533F35"/>
    <w:rsid w:val="0053403D"/>
    <w:rsid w:val="00534084"/>
    <w:rsid w:val="0053408D"/>
    <w:rsid w:val="00534119"/>
    <w:rsid w:val="005341E8"/>
    <w:rsid w:val="0053421A"/>
    <w:rsid w:val="0053425F"/>
    <w:rsid w:val="005342C6"/>
    <w:rsid w:val="0053444F"/>
    <w:rsid w:val="00534536"/>
    <w:rsid w:val="0053454B"/>
    <w:rsid w:val="00534570"/>
    <w:rsid w:val="00534682"/>
    <w:rsid w:val="005346A1"/>
    <w:rsid w:val="005346BD"/>
    <w:rsid w:val="005346EE"/>
    <w:rsid w:val="0053471D"/>
    <w:rsid w:val="00534791"/>
    <w:rsid w:val="005347D2"/>
    <w:rsid w:val="005347E5"/>
    <w:rsid w:val="005347EC"/>
    <w:rsid w:val="0053496F"/>
    <w:rsid w:val="005349A3"/>
    <w:rsid w:val="005349E3"/>
    <w:rsid w:val="00534A0E"/>
    <w:rsid w:val="00534A6F"/>
    <w:rsid w:val="00534B0F"/>
    <w:rsid w:val="00534BC5"/>
    <w:rsid w:val="00534E1A"/>
    <w:rsid w:val="00534E48"/>
    <w:rsid w:val="00534E4A"/>
    <w:rsid w:val="00534EF2"/>
    <w:rsid w:val="00535045"/>
    <w:rsid w:val="0053528B"/>
    <w:rsid w:val="00535362"/>
    <w:rsid w:val="00535388"/>
    <w:rsid w:val="005353D3"/>
    <w:rsid w:val="005353F1"/>
    <w:rsid w:val="0053543B"/>
    <w:rsid w:val="00535662"/>
    <w:rsid w:val="00535695"/>
    <w:rsid w:val="00535721"/>
    <w:rsid w:val="0053576C"/>
    <w:rsid w:val="00535785"/>
    <w:rsid w:val="005357D9"/>
    <w:rsid w:val="00535874"/>
    <w:rsid w:val="00535897"/>
    <w:rsid w:val="005358B2"/>
    <w:rsid w:val="00535908"/>
    <w:rsid w:val="005359CD"/>
    <w:rsid w:val="00535C1B"/>
    <w:rsid w:val="00535D03"/>
    <w:rsid w:val="00535DE7"/>
    <w:rsid w:val="00535F25"/>
    <w:rsid w:val="0053604B"/>
    <w:rsid w:val="00536097"/>
    <w:rsid w:val="005360A2"/>
    <w:rsid w:val="005360BF"/>
    <w:rsid w:val="0053614C"/>
    <w:rsid w:val="005361AC"/>
    <w:rsid w:val="00536352"/>
    <w:rsid w:val="00536462"/>
    <w:rsid w:val="00536489"/>
    <w:rsid w:val="005364AA"/>
    <w:rsid w:val="005364F4"/>
    <w:rsid w:val="00536537"/>
    <w:rsid w:val="005365E3"/>
    <w:rsid w:val="0053663D"/>
    <w:rsid w:val="00536643"/>
    <w:rsid w:val="0053674A"/>
    <w:rsid w:val="00536819"/>
    <w:rsid w:val="0053683F"/>
    <w:rsid w:val="0053695E"/>
    <w:rsid w:val="00536A71"/>
    <w:rsid w:val="00536A94"/>
    <w:rsid w:val="00536B15"/>
    <w:rsid w:val="00536B84"/>
    <w:rsid w:val="00536BA6"/>
    <w:rsid w:val="00536D3B"/>
    <w:rsid w:val="00536D8B"/>
    <w:rsid w:val="00536DD5"/>
    <w:rsid w:val="00536DD8"/>
    <w:rsid w:val="00536EE0"/>
    <w:rsid w:val="00536F0F"/>
    <w:rsid w:val="00536F78"/>
    <w:rsid w:val="00536FCF"/>
    <w:rsid w:val="00536FEA"/>
    <w:rsid w:val="0053722F"/>
    <w:rsid w:val="00537293"/>
    <w:rsid w:val="005372E7"/>
    <w:rsid w:val="0053730C"/>
    <w:rsid w:val="00537351"/>
    <w:rsid w:val="005373A7"/>
    <w:rsid w:val="00537410"/>
    <w:rsid w:val="0053743E"/>
    <w:rsid w:val="0053744B"/>
    <w:rsid w:val="005374C3"/>
    <w:rsid w:val="005374CA"/>
    <w:rsid w:val="0053750E"/>
    <w:rsid w:val="00537576"/>
    <w:rsid w:val="005376DE"/>
    <w:rsid w:val="005376E6"/>
    <w:rsid w:val="00537749"/>
    <w:rsid w:val="005377E1"/>
    <w:rsid w:val="0053781E"/>
    <w:rsid w:val="00537A92"/>
    <w:rsid w:val="00537AF1"/>
    <w:rsid w:val="00537B4D"/>
    <w:rsid w:val="00537B9C"/>
    <w:rsid w:val="00537B9E"/>
    <w:rsid w:val="00537BD2"/>
    <w:rsid w:val="00537C43"/>
    <w:rsid w:val="00537D20"/>
    <w:rsid w:val="00537D62"/>
    <w:rsid w:val="00537D6E"/>
    <w:rsid w:val="00537DA5"/>
    <w:rsid w:val="00537E32"/>
    <w:rsid w:val="00537E7D"/>
    <w:rsid w:val="00537ECB"/>
    <w:rsid w:val="00540085"/>
    <w:rsid w:val="0054011A"/>
    <w:rsid w:val="0054011B"/>
    <w:rsid w:val="00540131"/>
    <w:rsid w:val="00540191"/>
    <w:rsid w:val="0054021F"/>
    <w:rsid w:val="00540249"/>
    <w:rsid w:val="00540252"/>
    <w:rsid w:val="005402D5"/>
    <w:rsid w:val="00540417"/>
    <w:rsid w:val="00540550"/>
    <w:rsid w:val="005405C3"/>
    <w:rsid w:val="00540631"/>
    <w:rsid w:val="005406BF"/>
    <w:rsid w:val="005406F3"/>
    <w:rsid w:val="005406FC"/>
    <w:rsid w:val="0054078B"/>
    <w:rsid w:val="005407CB"/>
    <w:rsid w:val="00540843"/>
    <w:rsid w:val="0054096E"/>
    <w:rsid w:val="005409C6"/>
    <w:rsid w:val="005409CA"/>
    <w:rsid w:val="00540A5A"/>
    <w:rsid w:val="00540A7E"/>
    <w:rsid w:val="00540B09"/>
    <w:rsid w:val="00540B52"/>
    <w:rsid w:val="00540C7E"/>
    <w:rsid w:val="00540C88"/>
    <w:rsid w:val="00540CEE"/>
    <w:rsid w:val="00540D69"/>
    <w:rsid w:val="00540D6B"/>
    <w:rsid w:val="00540E52"/>
    <w:rsid w:val="00540E85"/>
    <w:rsid w:val="00540ED3"/>
    <w:rsid w:val="00540EFC"/>
    <w:rsid w:val="00540F53"/>
    <w:rsid w:val="00541077"/>
    <w:rsid w:val="0054125C"/>
    <w:rsid w:val="00541338"/>
    <w:rsid w:val="0054135E"/>
    <w:rsid w:val="005413A2"/>
    <w:rsid w:val="0054146E"/>
    <w:rsid w:val="0054149E"/>
    <w:rsid w:val="005414E3"/>
    <w:rsid w:val="005414F4"/>
    <w:rsid w:val="0054155A"/>
    <w:rsid w:val="005415F1"/>
    <w:rsid w:val="00541626"/>
    <w:rsid w:val="00541628"/>
    <w:rsid w:val="0054173A"/>
    <w:rsid w:val="005417AF"/>
    <w:rsid w:val="005417C6"/>
    <w:rsid w:val="005417E5"/>
    <w:rsid w:val="00541965"/>
    <w:rsid w:val="005419AB"/>
    <w:rsid w:val="005419E3"/>
    <w:rsid w:val="00541A7C"/>
    <w:rsid w:val="00541C1B"/>
    <w:rsid w:val="00541CE5"/>
    <w:rsid w:val="00541D65"/>
    <w:rsid w:val="00541DF3"/>
    <w:rsid w:val="00541E15"/>
    <w:rsid w:val="00541F30"/>
    <w:rsid w:val="00541F9E"/>
    <w:rsid w:val="00542061"/>
    <w:rsid w:val="0054209E"/>
    <w:rsid w:val="0054212A"/>
    <w:rsid w:val="00542249"/>
    <w:rsid w:val="005422A0"/>
    <w:rsid w:val="005422F2"/>
    <w:rsid w:val="0054232F"/>
    <w:rsid w:val="005423B7"/>
    <w:rsid w:val="00542436"/>
    <w:rsid w:val="005424F8"/>
    <w:rsid w:val="0054255E"/>
    <w:rsid w:val="005425F0"/>
    <w:rsid w:val="005426B7"/>
    <w:rsid w:val="00542719"/>
    <w:rsid w:val="0054284C"/>
    <w:rsid w:val="0054289E"/>
    <w:rsid w:val="005428AE"/>
    <w:rsid w:val="005428E0"/>
    <w:rsid w:val="0054295D"/>
    <w:rsid w:val="00542984"/>
    <w:rsid w:val="00542992"/>
    <w:rsid w:val="005429EA"/>
    <w:rsid w:val="005429F9"/>
    <w:rsid w:val="00542AC6"/>
    <w:rsid w:val="00542B1F"/>
    <w:rsid w:val="00542C1E"/>
    <w:rsid w:val="00542C35"/>
    <w:rsid w:val="00542C7C"/>
    <w:rsid w:val="00542C9D"/>
    <w:rsid w:val="00542EF4"/>
    <w:rsid w:val="00542F6A"/>
    <w:rsid w:val="00543006"/>
    <w:rsid w:val="005431FA"/>
    <w:rsid w:val="005433F3"/>
    <w:rsid w:val="00543487"/>
    <w:rsid w:val="00543491"/>
    <w:rsid w:val="0054350B"/>
    <w:rsid w:val="00543553"/>
    <w:rsid w:val="005436D9"/>
    <w:rsid w:val="00543732"/>
    <w:rsid w:val="00543756"/>
    <w:rsid w:val="005437E4"/>
    <w:rsid w:val="0054383E"/>
    <w:rsid w:val="00543841"/>
    <w:rsid w:val="00543897"/>
    <w:rsid w:val="00543940"/>
    <w:rsid w:val="005439BF"/>
    <w:rsid w:val="00543A60"/>
    <w:rsid w:val="00543A73"/>
    <w:rsid w:val="00543A83"/>
    <w:rsid w:val="00543B7F"/>
    <w:rsid w:val="00543BB8"/>
    <w:rsid w:val="00543BEF"/>
    <w:rsid w:val="00543C37"/>
    <w:rsid w:val="00543CB5"/>
    <w:rsid w:val="00543DD2"/>
    <w:rsid w:val="0054408F"/>
    <w:rsid w:val="00544142"/>
    <w:rsid w:val="005441BF"/>
    <w:rsid w:val="00544202"/>
    <w:rsid w:val="0054429F"/>
    <w:rsid w:val="0054435B"/>
    <w:rsid w:val="00544405"/>
    <w:rsid w:val="005444D0"/>
    <w:rsid w:val="005444DE"/>
    <w:rsid w:val="005446BA"/>
    <w:rsid w:val="005449E0"/>
    <w:rsid w:val="00544A0B"/>
    <w:rsid w:val="00544BE5"/>
    <w:rsid w:val="00544C53"/>
    <w:rsid w:val="00544CF7"/>
    <w:rsid w:val="00544E62"/>
    <w:rsid w:val="00544ECB"/>
    <w:rsid w:val="00544F6C"/>
    <w:rsid w:val="00544FF3"/>
    <w:rsid w:val="005450A8"/>
    <w:rsid w:val="0054514A"/>
    <w:rsid w:val="00545182"/>
    <w:rsid w:val="00545188"/>
    <w:rsid w:val="00545193"/>
    <w:rsid w:val="005451EA"/>
    <w:rsid w:val="00545273"/>
    <w:rsid w:val="005452F6"/>
    <w:rsid w:val="00545316"/>
    <w:rsid w:val="00545325"/>
    <w:rsid w:val="005454E2"/>
    <w:rsid w:val="0054564A"/>
    <w:rsid w:val="005456A5"/>
    <w:rsid w:val="005456C4"/>
    <w:rsid w:val="005458B2"/>
    <w:rsid w:val="00545920"/>
    <w:rsid w:val="00545967"/>
    <w:rsid w:val="0054596C"/>
    <w:rsid w:val="005459DD"/>
    <w:rsid w:val="00545B03"/>
    <w:rsid w:val="00545B1D"/>
    <w:rsid w:val="00545BB0"/>
    <w:rsid w:val="00545CBF"/>
    <w:rsid w:val="00545CF8"/>
    <w:rsid w:val="00545D2E"/>
    <w:rsid w:val="00545E29"/>
    <w:rsid w:val="00545E6F"/>
    <w:rsid w:val="00545F1B"/>
    <w:rsid w:val="00545FDA"/>
    <w:rsid w:val="0054607B"/>
    <w:rsid w:val="005460BF"/>
    <w:rsid w:val="005460D5"/>
    <w:rsid w:val="0054615C"/>
    <w:rsid w:val="00546198"/>
    <w:rsid w:val="005462D3"/>
    <w:rsid w:val="0054630C"/>
    <w:rsid w:val="00546322"/>
    <w:rsid w:val="0054635D"/>
    <w:rsid w:val="00546389"/>
    <w:rsid w:val="005463B5"/>
    <w:rsid w:val="00546405"/>
    <w:rsid w:val="0054641F"/>
    <w:rsid w:val="005464DF"/>
    <w:rsid w:val="005464F3"/>
    <w:rsid w:val="005467AA"/>
    <w:rsid w:val="00546870"/>
    <w:rsid w:val="005469C5"/>
    <w:rsid w:val="00546B79"/>
    <w:rsid w:val="00546B9D"/>
    <w:rsid w:val="00546BBD"/>
    <w:rsid w:val="00546BBF"/>
    <w:rsid w:val="00546BCD"/>
    <w:rsid w:val="00546BEC"/>
    <w:rsid w:val="00546C5C"/>
    <w:rsid w:val="00546EDF"/>
    <w:rsid w:val="00546EE9"/>
    <w:rsid w:val="00546F31"/>
    <w:rsid w:val="00546F37"/>
    <w:rsid w:val="00547131"/>
    <w:rsid w:val="00547177"/>
    <w:rsid w:val="005471A8"/>
    <w:rsid w:val="005472C9"/>
    <w:rsid w:val="0054736A"/>
    <w:rsid w:val="0054738A"/>
    <w:rsid w:val="0054740F"/>
    <w:rsid w:val="0054741D"/>
    <w:rsid w:val="00547442"/>
    <w:rsid w:val="0054755B"/>
    <w:rsid w:val="00547584"/>
    <w:rsid w:val="00547882"/>
    <w:rsid w:val="005478DF"/>
    <w:rsid w:val="0054793C"/>
    <w:rsid w:val="0054794B"/>
    <w:rsid w:val="00547954"/>
    <w:rsid w:val="005479D6"/>
    <w:rsid w:val="00547A75"/>
    <w:rsid w:val="00547AA1"/>
    <w:rsid w:val="00547AC9"/>
    <w:rsid w:val="00547AE0"/>
    <w:rsid w:val="00547BD2"/>
    <w:rsid w:val="00547BEE"/>
    <w:rsid w:val="00547D4F"/>
    <w:rsid w:val="00547EDD"/>
    <w:rsid w:val="005500F0"/>
    <w:rsid w:val="00550165"/>
    <w:rsid w:val="00550258"/>
    <w:rsid w:val="005502DE"/>
    <w:rsid w:val="00550522"/>
    <w:rsid w:val="0055054D"/>
    <w:rsid w:val="005505C9"/>
    <w:rsid w:val="00550662"/>
    <w:rsid w:val="0055069C"/>
    <w:rsid w:val="005506AD"/>
    <w:rsid w:val="005506D8"/>
    <w:rsid w:val="00550771"/>
    <w:rsid w:val="005507C7"/>
    <w:rsid w:val="0055084F"/>
    <w:rsid w:val="00550973"/>
    <w:rsid w:val="005509D3"/>
    <w:rsid w:val="00550A70"/>
    <w:rsid w:val="00550A79"/>
    <w:rsid w:val="00550B46"/>
    <w:rsid w:val="00550CF3"/>
    <w:rsid w:val="00550E33"/>
    <w:rsid w:val="00550ECF"/>
    <w:rsid w:val="00550EE8"/>
    <w:rsid w:val="00550EF9"/>
    <w:rsid w:val="00550F3E"/>
    <w:rsid w:val="005510A3"/>
    <w:rsid w:val="005511D0"/>
    <w:rsid w:val="005511E6"/>
    <w:rsid w:val="005512DC"/>
    <w:rsid w:val="00551374"/>
    <w:rsid w:val="0055141E"/>
    <w:rsid w:val="0055142B"/>
    <w:rsid w:val="00551445"/>
    <w:rsid w:val="00551446"/>
    <w:rsid w:val="0055159B"/>
    <w:rsid w:val="00551707"/>
    <w:rsid w:val="00551806"/>
    <w:rsid w:val="005519AD"/>
    <w:rsid w:val="00551A02"/>
    <w:rsid w:val="00551BBA"/>
    <w:rsid w:val="00551E13"/>
    <w:rsid w:val="00551E99"/>
    <w:rsid w:val="00551EEE"/>
    <w:rsid w:val="00551F10"/>
    <w:rsid w:val="00551FCC"/>
    <w:rsid w:val="00551FF0"/>
    <w:rsid w:val="00552176"/>
    <w:rsid w:val="0055217B"/>
    <w:rsid w:val="00552193"/>
    <w:rsid w:val="005521DD"/>
    <w:rsid w:val="0055225F"/>
    <w:rsid w:val="005522AB"/>
    <w:rsid w:val="005522DF"/>
    <w:rsid w:val="0055236F"/>
    <w:rsid w:val="005523B6"/>
    <w:rsid w:val="00552405"/>
    <w:rsid w:val="00552505"/>
    <w:rsid w:val="00552664"/>
    <w:rsid w:val="005526B0"/>
    <w:rsid w:val="00552728"/>
    <w:rsid w:val="00552745"/>
    <w:rsid w:val="0055274F"/>
    <w:rsid w:val="0055282B"/>
    <w:rsid w:val="00552867"/>
    <w:rsid w:val="0055289B"/>
    <w:rsid w:val="00552A2D"/>
    <w:rsid w:val="00552A4D"/>
    <w:rsid w:val="00552A85"/>
    <w:rsid w:val="00552B34"/>
    <w:rsid w:val="00552BF7"/>
    <w:rsid w:val="00552C0C"/>
    <w:rsid w:val="00552C1F"/>
    <w:rsid w:val="00552C40"/>
    <w:rsid w:val="00552CFD"/>
    <w:rsid w:val="00552D17"/>
    <w:rsid w:val="00552D34"/>
    <w:rsid w:val="00552E40"/>
    <w:rsid w:val="00552F63"/>
    <w:rsid w:val="00553117"/>
    <w:rsid w:val="0055312D"/>
    <w:rsid w:val="00553146"/>
    <w:rsid w:val="00553155"/>
    <w:rsid w:val="005531BE"/>
    <w:rsid w:val="005531FF"/>
    <w:rsid w:val="0055320A"/>
    <w:rsid w:val="00553319"/>
    <w:rsid w:val="00553414"/>
    <w:rsid w:val="00553421"/>
    <w:rsid w:val="00553473"/>
    <w:rsid w:val="005534A1"/>
    <w:rsid w:val="005535DC"/>
    <w:rsid w:val="005535F5"/>
    <w:rsid w:val="00553633"/>
    <w:rsid w:val="005536BD"/>
    <w:rsid w:val="00553706"/>
    <w:rsid w:val="005537BD"/>
    <w:rsid w:val="005539A6"/>
    <w:rsid w:val="005539B0"/>
    <w:rsid w:val="005539C2"/>
    <w:rsid w:val="005539E1"/>
    <w:rsid w:val="00553BE6"/>
    <w:rsid w:val="00553C10"/>
    <w:rsid w:val="00553D2B"/>
    <w:rsid w:val="00553D92"/>
    <w:rsid w:val="00553DB1"/>
    <w:rsid w:val="00553E52"/>
    <w:rsid w:val="00553E7C"/>
    <w:rsid w:val="00553E8D"/>
    <w:rsid w:val="00553F2A"/>
    <w:rsid w:val="00553F2D"/>
    <w:rsid w:val="00553F77"/>
    <w:rsid w:val="00554050"/>
    <w:rsid w:val="00554236"/>
    <w:rsid w:val="0055427E"/>
    <w:rsid w:val="0055434B"/>
    <w:rsid w:val="00554363"/>
    <w:rsid w:val="00554365"/>
    <w:rsid w:val="00554395"/>
    <w:rsid w:val="00554491"/>
    <w:rsid w:val="005544B3"/>
    <w:rsid w:val="005544CA"/>
    <w:rsid w:val="005546C8"/>
    <w:rsid w:val="005546EB"/>
    <w:rsid w:val="00554789"/>
    <w:rsid w:val="0055479C"/>
    <w:rsid w:val="005547BD"/>
    <w:rsid w:val="005547CE"/>
    <w:rsid w:val="00554834"/>
    <w:rsid w:val="0055489E"/>
    <w:rsid w:val="005548A1"/>
    <w:rsid w:val="005548D9"/>
    <w:rsid w:val="0055499E"/>
    <w:rsid w:val="005549C8"/>
    <w:rsid w:val="00554A4E"/>
    <w:rsid w:val="00554B29"/>
    <w:rsid w:val="00554B5B"/>
    <w:rsid w:val="00554C11"/>
    <w:rsid w:val="00554C65"/>
    <w:rsid w:val="00554CAE"/>
    <w:rsid w:val="00554D40"/>
    <w:rsid w:val="00554DB3"/>
    <w:rsid w:val="00554DBE"/>
    <w:rsid w:val="00554E47"/>
    <w:rsid w:val="00554E4F"/>
    <w:rsid w:val="00554E70"/>
    <w:rsid w:val="00554F4F"/>
    <w:rsid w:val="00554F71"/>
    <w:rsid w:val="00554F73"/>
    <w:rsid w:val="00554FCA"/>
    <w:rsid w:val="00554FF2"/>
    <w:rsid w:val="005550E5"/>
    <w:rsid w:val="00555118"/>
    <w:rsid w:val="00555277"/>
    <w:rsid w:val="00555290"/>
    <w:rsid w:val="0055547B"/>
    <w:rsid w:val="005554C1"/>
    <w:rsid w:val="005554D7"/>
    <w:rsid w:val="00555642"/>
    <w:rsid w:val="005556D5"/>
    <w:rsid w:val="005556DA"/>
    <w:rsid w:val="00555738"/>
    <w:rsid w:val="00555768"/>
    <w:rsid w:val="00555928"/>
    <w:rsid w:val="00555B19"/>
    <w:rsid w:val="00555BE9"/>
    <w:rsid w:val="00555C2B"/>
    <w:rsid w:val="00555C47"/>
    <w:rsid w:val="00555D65"/>
    <w:rsid w:val="00555D9B"/>
    <w:rsid w:val="00555F37"/>
    <w:rsid w:val="00555F4B"/>
    <w:rsid w:val="00555F9C"/>
    <w:rsid w:val="00556100"/>
    <w:rsid w:val="0055620C"/>
    <w:rsid w:val="005562AE"/>
    <w:rsid w:val="00556332"/>
    <w:rsid w:val="00556351"/>
    <w:rsid w:val="00556420"/>
    <w:rsid w:val="00556422"/>
    <w:rsid w:val="00556475"/>
    <w:rsid w:val="0055647D"/>
    <w:rsid w:val="0055648D"/>
    <w:rsid w:val="005564C6"/>
    <w:rsid w:val="005564DE"/>
    <w:rsid w:val="005564FC"/>
    <w:rsid w:val="0055655A"/>
    <w:rsid w:val="0055656E"/>
    <w:rsid w:val="005566DA"/>
    <w:rsid w:val="0055673D"/>
    <w:rsid w:val="0055677F"/>
    <w:rsid w:val="00556792"/>
    <w:rsid w:val="00556929"/>
    <w:rsid w:val="00556A19"/>
    <w:rsid w:val="00556A64"/>
    <w:rsid w:val="00556AB2"/>
    <w:rsid w:val="00556BA9"/>
    <w:rsid w:val="00556BAA"/>
    <w:rsid w:val="00556BE0"/>
    <w:rsid w:val="00556C1A"/>
    <w:rsid w:val="00556C4C"/>
    <w:rsid w:val="00556DCF"/>
    <w:rsid w:val="00556DE2"/>
    <w:rsid w:val="00556E0B"/>
    <w:rsid w:val="00556E90"/>
    <w:rsid w:val="00557054"/>
    <w:rsid w:val="005570DE"/>
    <w:rsid w:val="00557155"/>
    <w:rsid w:val="00557214"/>
    <w:rsid w:val="0055733B"/>
    <w:rsid w:val="00557392"/>
    <w:rsid w:val="0055740B"/>
    <w:rsid w:val="00557411"/>
    <w:rsid w:val="00557416"/>
    <w:rsid w:val="0055747F"/>
    <w:rsid w:val="0055752E"/>
    <w:rsid w:val="00557652"/>
    <w:rsid w:val="005576FB"/>
    <w:rsid w:val="005577A4"/>
    <w:rsid w:val="005577AE"/>
    <w:rsid w:val="0055780D"/>
    <w:rsid w:val="005578E4"/>
    <w:rsid w:val="0055793A"/>
    <w:rsid w:val="0055795F"/>
    <w:rsid w:val="00557AC6"/>
    <w:rsid w:val="00557AFF"/>
    <w:rsid w:val="00557BF3"/>
    <w:rsid w:val="00557C3E"/>
    <w:rsid w:val="00557CDD"/>
    <w:rsid w:val="00557E5E"/>
    <w:rsid w:val="00557EF1"/>
    <w:rsid w:val="00557F31"/>
    <w:rsid w:val="00557FAB"/>
    <w:rsid w:val="0056006A"/>
    <w:rsid w:val="005600EA"/>
    <w:rsid w:val="00560111"/>
    <w:rsid w:val="00560151"/>
    <w:rsid w:val="005601B2"/>
    <w:rsid w:val="005601E6"/>
    <w:rsid w:val="0056021E"/>
    <w:rsid w:val="0056028C"/>
    <w:rsid w:val="00560299"/>
    <w:rsid w:val="005602DD"/>
    <w:rsid w:val="005603F2"/>
    <w:rsid w:val="00560429"/>
    <w:rsid w:val="005605C1"/>
    <w:rsid w:val="005605EF"/>
    <w:rsid w:val="0056063A"/>
    <w:rsid w:val="005607F4"/>
    <w:rsid w:val="005608B8"/>
    <w:rsid w:val="005608EB"/>
    <w:rsid w:val="00560A03"/>
    <w:rsid w:val="00560A2C"/>
    <w:rsid w:val="00560A66"/>
    <w:rsid w:val="00560B7B"/>
    <w:rsid w:val="00560C49"/>
    <w:rsid w:val="00560C6D"/>
    <w:rsid w:val="00560D42"/>
    <w:rsid w:val="00560DD8"/>
    <w:rsid w:val="00560E22"/>
    <w:rsid w:val="00560E61"/>
    <w:rsid w:val="00560FA1"/>
    <w:rsid w:val="00561011"/>
    <w:rsid w:val="00561076"/>
    <w:rsid w:val="005610F3"/>
    <w:rsid w:val="00561167"/>
    <w:rsid w:val="00561186"/>
    <w:rsid w:val="00561236"/>
    <w:rsid w:val="00561245"/>
    <w:rsid w:val="00561343"/>
    <w:rsid w:val="00561392"/>
    <w:rsid w:val="005613E4"/>
    <w:rsid w:val="005613E9"/>
    <w:rsid w:val="005614C2"/>
    <w:rsid w:val="005614D7"/>
    <w:rsid w:val="0056155F"/>
    <w:rsid w:val="005615EA"/>
    <w:rsid w:val="005615FD"/>
    <w:rsid w:val="00561607"/>
    <w:rsid w:val="00561620"/>
    <w:rsid w:val="005616AE"/>
    <w:rsid w:val="005616BF"/>
    <w:rsid w:val="005616C5"/>
    <w:rsid w:val="005616DF"/>
    <w:rsid w:val="00561738"/>
    <w:rsid w:val="00561784"/>
    <w:rsid w:val="0056182E"/>
    <w:rsid w:val="0056194C"/>
    <w:rsid w:val="00561B18"/>
    <w:rsid w:val="00561C2F"/>
    <w:rsid w:val="00561C46"/>
    <w:rsid w:val="00561D5F"/>
    <w:rsid w:val="00561DA1"/>
    <w:rsid w:val="00561F6E"/>
    <w:rsid w:val="0056202E"/>
    <w:rsid w:val="00562071"/>
    <w:rsid w:val="005620B7"/>
    <w:rsid w:val="00562115"/>
    <w:rsid w:val="00562121"/>
    <w:rsid w:val="00562123"/>
    <w:rsid w:val="005621D7"/>
    <w:rsid w:val="005622C2"/>
    <w:rsid w:val="00562312"/>
    <w:rsid w:val="00562374"/>
    <w:rsid w:val="005623A9"/>
    <w:rsid w:val="005623CA"/>
    <w:rsid w:val="00562451"/>
    <w:rsid w:val="00562465"/>
    <w:rsid w:val="005626D1"/>
    <w:rsid w:val="00562717"/>
    <w:rsid w:val="005627EF"/>
    <w:rsid w:val="005627FD"/>
    <w:rsid w:val="005628FC"/>
    <w:rsid w:val="00562A1C"/>
    <w:rsid w:val="00562A20"/>
    <w:rsid w:val="00562A5B"/>
    <w:rsid w:val="00562A9E"/>
    <w:rsid w:val="00562BCD"/>
    <w:rsid w:val="00562D1D"/>
    <w:rsid w:val="00562D90"/>
    <w:rsid w:val="00562E9C"/>
    <w:rsid w:val="00562EFB"/>
    <w:rsid w:val="00563086"/>
    <w:rsid w:val="00563093"/>
    <w:rsid w:val="005631EF"/>
    <w:rsid w:val="0056326C"/>
    <w:rsid w:val="005632CF"/>
    <w:rsid w:val="00563327"/>
    <w:rsid w:val="00563454"/>
    <w:rsid w:val="005634B8"/>
    <w:rsid w:val="0056357E"/>
    <w:rsid w:val="00563583"/>
    <w:rsid w:val="00563585"/>
    <w:rsid w:val="005636C6"/>
    <w:rsid w:val="005636DC"/>
    <w:rsid w:val="005636FB"/>
    <w:rsid w:val="00563710"/>
    <w:rsid w:val="0056386D"/>
    <w:rsid w:val="00563878"/>
    <w:rsid w:val="00563A78"/>
    <w:rsid w:val="00563B42"/>
    <w:rsid w:val="00563C8D"/>
    <w:rsid w:val="00563CAF"/>
    <w:rsid w:val="00563D07"/>
    <w:rsid w:val="00563E4E"/>
    <w:rsid w:val="00563FF7"/>
    <w:rsid w:val="0056407F"/>
    <w:rsid w:val="005640E8"/>
    <w:rsid w:val="005641C9"/>
    <w:rsid w:val="00564202"/>
    <w:rsid w:val="00564218"/>
    <w:rsid w:val="00564223"/>
    <w:rsid w:val="0056426C"/>
    <w:rsid w:val="005642C6"/>
    <w:rsid w:val="00564403"/>
    <w:rsid w:val="00564451"/>
    <w:rsid w:val="00564473"/>
    <w:rsid w:val="0056447E"/>
    <w:rsid w:val="00564517"/>
    <w:rsid w:val="0056464E"/>
    <w:rsid w:val="00564673"/>
    <w:rsid w:val="00564695"/>
    <w:rsid w:val="0056469C"/>
    <w:rsid w:val="005646BA"/>
    <w:rsid w:val="005646DF"/>
    <w:rsid w:val="0056476B"/>
    <w:rsid w:val="0056485B"/>
    <w:rsid w:val="00564867"/>
    <w:rsid w:val="00564962"/>
    <w:rsid w:val="00564A82"/>
    <w:rsid w:val="00564B67"/>
    <w:rsid w:val="00564D2E"/>
    <w:rsid w:val="00564D64"/>
    <w:rsid w:val="00564E1E"/>
    <w:rsid w:val="00564E89"/>
    <w:rsid w:val="00565008"/>
    <w:rsid w:val="00565014"/>
    <w:rsid w:val="00565021"/>
    <w:rsid w:val="00565045"/>
    <w:rsid w:val="00565056"/>
    <w:rsid w:val="00565196"/>
    <w:rsid w:val="00565272"/>
    <w:rsid w:val="00565388"/>
    <w:rsid w:val="005653FE"/>
    <w:rsid w:val="0056544B"/>
    <w:rsid w:val="00565481"/>
    <w:rsid w:val="00565544"/>
    <w:rsid w:val="005655EA"/>
    <w:rsid w:val="005655F5"/>
    <w:rsid w:val="0056563C"/>
    <w:rsid w:val="0056571B"/>
    <w:rsid w:val="00565977"/>
    <w:rsid w:val="005659BC"/>
    <w:rsid w:val="00565A39"/>
    <w:rsid w:val="00565A58"/>
    <w:rsid w:val="00565B4B"/>
    <w:rsid w:val="00565B52"/>
    <w:rsid w:val="00565BCB"/>
    <w:rsid w:val="00565CB0"/>
    <w:rsid w:val="00565CBE"/>
    <w:rsid w:val="00565CE9"/>
    <w:rsid w:val="00565D1C"/>
    <w:rsid w:val="00565FD4"/>
    <w:rsid w:val="00566068"/>
    <w:rsid w:val="00566217"/>
    <w:rsid w:val="00566265"/>
    <w:rsid w:val="005663BF"/>
    <w:rsid w:val="00566571"/>
    <w:rsid w:val="0056669F"/>
    <w:rsid w:val="00566702"/>
    <w:rsid w:val="00566743"/>
    <w:rsid w:val="005667F8"/>
    <w:rsid w:val="005668F6"/>
    <w:rsid w:val="00566923"/>
    <w:rsid w:val="005669E4"/>
    <w:rsid w:val="00566A41"/>
    <w:rsid w:val="00566A53"/>
    <w:rsid w:val="00566AE1"/>
    <w:rsid w:val="00566B23"/>
    <w:rsid w:val="00566B3D"/>
    <w:rsid w:val="00566B9A"/>
    <w:rsid w:val="00566C18"/>
    <w:rsid w:val="00566C1E"/>
    <w:rsid w:val="00566CF2"/>
    <w:rsid w:val="00566EDD"/>
    <w:rsid w:val="00566F0C"/>
    <w:rsid w:val="00566F49"/>
    <w:rsid w:val="00566F62"/>
    <w:rsid w:val="00567056"/>
    <w:rsid w:val="0056714F"/>
    <w:rsid w:val="00567249"/>
    <w:rsid w:val="005672A2"/>
    <w:rsid w:val="00567360"/>
    <w:rsid w:val="0056746A"/>
    <w:rsid w:val="0056751D"/>
    <w:rsid w:val="00567523"/>
    <w:rsid w:val="00567578"/>
    <w:rsid w:val="00567605"/>
    <w:rsid w:val="00567661"/>
    <w:rsid w:val="00567758"/>
    <w:rsid w:val="00567779"/>
    <w:rsid w:val="00567784"/>
    <w:rsid w:val="005677EA"/>
    <w:rsid w:val="00567812"/>
    <w:rsid w:val="00567A9D"/>
    <w:rsid w:val="00567ACF"/>
    <w:rsid w:val="00567B27"/>
    <w:rsid w:val="00567B9A"/>
    <w:rsid w:val="00567BA6"/>
    <w:rsid w:val="00567BAD"/>
    <w:rsid w:val="00567CDB"/>
    <w:rsid w:val="00567D61"/>
    <w:rsid w:val="00567DAD"/>
    <w:rsid w:val="00567ED2"/>
    <w:rsid w:val="00567F13"/>
    <w:rsid w:val="005701CF"/>
    <w:rsid w:val="005701E6"/>
    <w:rsid w:val="00570217"/>
    <w:rsid w:val="005702FC"/>
    <w:rsid w:val="0057038D"/>
    <w:rsid w:val="005703E2"/>
    <w:rsid w:val="0057042F"/>
    <w:rsid w:val="00570470"/>
    <w:rsid w:val="00570501"/>
    <w:rsid w:val="005706CC"/>
    <w:rsid w:val="005707C4"/>
    <w:rsid w:val="005707D8"/>
    <w:rsid w:val="00570877"/>
    <w:rsid w:val="00570890"/>
    <w:rsid w:val="0057091B"/>
    <w:rsid w:val="00570995"/>
    <w:rsid w:val="00570AA8"/>
    <w:rsid w:val="00570AD9"/>
    <w:rsid w:val="00570AEF"/>
    <w:rsid w:val="00570B16"/>
    <w:rsid w:val="00570B93"/>
    <w:rsid w:val="00570BB7"/>
    <w:rsid w:val="00570C31"/>
    <w:rsid w:val="00570C8C"/>
    <w:rsid w:val="00570CE4"/>
    <w:rsid w:val="00570D6D"/>
    <w:rsid w:val="00570E95"/>
    <w:rsid w:val="0057102C"/>
    <w:rsid w:val="005710B3"/>
    <w:rsid w:val="005710F7"/>
    <w:rsid w:val="00571381"/>
    <w:rsid w:val="005713BF"/>
    <w:rsid w:val="005713EE"/>
    <w:rsid w:val="00571564"/>
    <w:rsid w:val="00571582"/>
    <w:rsid w:val="0057159A"/>
    <w:rsid w:val="005715BD"/>
    <w:rsid w:val="00571678"/>
    <w:rsid w:val="005716DF"/>
    <w:rsid w:val="0057177A"/>
    <w:rsid w:val="005717A9"/>
    <w:rsid w:val="00571866"/>
    <w:rsid w:val="005718B7"/>
    <w:rsid w:val="0057193B"/>
    <w:rsid w:val="00571953"/>
    <w:rsid w:val="00571A34"/>
    <w:rsid w:val="00571A48"/>
    <w:rsid w:val="00571AE6"/>
    <w:rsid w:val="00571B35"/>
    <w:rsid w:val="00571B97"/>
    <w:rsid w:val="00571CDE"/>
    <w:rsid w:val="00571CFC"/>
    <w:rsid w:val="00571D85"/>
    <w:rsid w:val="00571E63"/>
    <w:rsid w:val="00571F56"/>
    <w:rsid w:val="00571F97"/>
    <w:rsid w:val="00571FF2"/>
    <w:rsid w:val="005720E0"/>
    <w:rsid w:val="0057217A"/>
    <w:rsid w:val="00572301"/>
    <w:rsid w:val="00572366"/>
    <w:rsid w:val="00572402"/>
    <w:rsid w:val="00572456"/>
    <w:rsid w:val="00572483"/>
    <w:rsid w:val="005724FD"/>
    <w:rsid w:val="00572502"/>
    <w:rsid w:val="00572507"/>
    <w:rsid w:val="0057250D"/>
    <w:rsid w:val="00572540"/>
    <w:rsid w:val="005725BC"/>
    <w:rsid w:val="005725EC"/>
    <w:rsid w:val="00572630"/>
    <w:rsid w:val="005726AA"/>
    <w:rsid w:val="005726B9"/>
    <w:rsid w:val="00572786"/>
    <w:rsid w:val="005727CF"/>
    <w:rsid w:val="0057281B"/>
    <w:rsid w:val="0057288B"/>
    <w:rsid w:val="005729B9"/>
    <w:rsid w:val="005729EF"/>
    <w:rsid w:val="00572A5F"/>
    <w:rsid w:val="00572C26"/>
    <w:rsid w:val="00572D33"/>
    <w:rsid w:val="00572E61"/>
    <w:rsid w:val="00572E8F"/>
    <w:rsid w:val="00572EDB"/>
    <w:rsid w:val="00572EFA"/>
    <w:rsid w:val="00572FBC"/>
    <w:rsid w:val="00573058"/>
    <w:rsid w:val="005731C3"/>
    <w:rsid w:val="005731D1"/>
    <w:rsid w:val="00573204"/>
    <w:rsid w:val="005732A8"/>
    <w:rsid w:val="005732E9"/>
    <w:rsid w:val="0057332E"/>
    <w:rsid w:val="00573340"/>
    <w:rsid w:val="00573474"/>
    <w:rsid w:val="0057349E"/>
    <w:rsid w:val="005734C8"/>
    <w:rsid w:val="005734E6"/>
    <w:rsid w:val="00573657"/>
    <w:rsid w:val="00573691"/>
    <w:rsid w:val="00573698"/>
    <w:rsid w:val="005736C3"/>
    <w:rsid w:val="005737C0"/>
    <w:rsid w:val="005737F5"/>
    <w:rsid w:val="00573866"/>
    <w:rsid w:val="005738A5"/>
    <w:rsid w:val="005738C2"/>
    <w:rsid w:val="0057397C"/>
    <w:rsid w:val="005739E7"/>
    <w:rsid w:val="00573A4E"/>
    <w:rsid w:val="00573BB5"/>
    <w:rsid w:val="00573C74"/>
    <w:rsid w:val="00573D41"/>
    <w:rsid w:val="00573E08"/>
    <w:rsid w:val="00573E1F"/>
    <w:rsid w:val="00573F37"/>
    <w:rsid w:val="00573F6E"/>
    <w:rsid w:val="00573FF2"/>
    <w:rsid w:val="005740A2"/>
    <w:rsid w:val="005740EB"/>
    <w:rsid w:val="00574176"/>
    <w:rsid w:val="0057421C"/>
    <w:rsid w:val="0057435C"/>
    <w:rsid w:val="00574397"/>
    <w:rsid w:val="005743A6"/>
    <w:rsid w:val="00574401"/>
    <w:rsid w:val="00574419"/>
    <w:rsid w:val="00574474"/>
    <w:rsid w:val="00574538"/>
    <w:rsid w:val="00574560"/>
    <w:rsid w:val="0057459D"/>
    <w:rsid w:val="005746D3"/>
    <w:rsid w:val="005747E4"/>
    <w:rsid w:val="00574803"/>
    <w:rsid w:val="00574825"/>
    <w:rsid w:val="005749D0"/>
    <w:rsid w:val="00574A25"/>
    <w:rsid w:val="00574A37"/>
    <w:rsid w:val="00574A88"/>
    <w:rsid w:val="00574B60"/>
    <w:rsid w:val="00574C3A"/>
    <w:rsid w:val="00574CB4"/>
    <w:rsid w:val="00574CC0"/>
    <w:rsid w:val="00574CF8"/>
    <w:rsid w:val="00574D85"/>
    <w:rsid w:val="00574DE3"/>
    <w:rsid w:val="00574E71"/>
    <w:rsid w:val="00574F9C"/>
    <w:rsid w:val="0057515D"/>
    <w:rsid w:val="00575182"/>
    <w:rsid w:val="005751DA"/>
    <w:rsid w:val="00575449"/>
    <w:rsid w:val="00575468"/>
    <w:rsid w:val="00575484"/>
    <w:rsid w:val="00575539"/>
    <w:rsid w:val="00575775"/>
    <w:rsid w:val="005757BA"/>
    <w:rsid w:val="005757D9"/>
    <w:rsid w:val="005758FA"/>
    <w:rsid w:val="00575936"/>
    <w:rsid w:val="00575982"/>
    <w:rsid w:val="005759A7"/>
    <w:rsid w:val="005759EB"/>
    <w:rsid w:val="00575A10"/>
    <w:rsid w:val="00575A4E"/>
    <w:rsid w:val="00575AFB"/>
    <w:rsid w:val="00575BC5"/>
    <w:rsid w:val="00575D45"/>
    <w:rsid w:val="00575D7B"/>
    <w:rsid w:val="00575DD5"/>
    <w:rsid w:val="00575F01"/>
    <w:rsid w:val="00575F5E"/>
    <w:rsid w:val="005760B0"/>
    <w:rsid w:val="005761F2"/>
    <w:rsid w:val="005761F8"/>
    <w:rsid w:val="0057628B"/>
    <w:rsid w:val="005762B9"/>
    <w:rsid w:val="005762C9"/>
    <w:rsid w:val="0057641D"/>
    <w:rsid w:val="005764A8"/>
    <w:rsid w:val="005765ED"/>
    <w:rsid w:val="00576613"/>
    <w:rsid w:val="00576665"/>
    <w:rsid w:val="00576685"/>
    <w:rsid w:val="005766C1"/>
    <w:rsid w:val="0057670A"/>
    <w:rsid w:val="005768C1"/>
    <w:rsid w:val="005768DF"/>
    <w:rsid w:val="00576905"/>
    <w:rsid w:val="00576A3A"/>
    <w:rsid w:val="00576A45"/>
    <w:rsid w:val="00576B37"/>
    <w:rsid w:val="00576B4F"/>
    <w:rsid w:val="00576BDD"/>
    <w:rsid w:val="00576BF8"/>
    <w:rsid w:val="00576C26"/>
    <w:rsid w:val="00576C3F"/>
    <w:rsid w:val="00576D31"/>
    <w:rsid w:val="00576DBB"/>
    <w:rsid w:val="00576DCB"/>
    <w:rsid w:val="00576E3C"/>
    <w:rsid w:val="00576E6C"/>
    <w:rsid w:val="00577000"/>
    <w:rsid w:val="005770C5"/>
    <w:rsid w:val="005770F6"/>
    <w:rsid w:val="0057714B"/>
    <w:rsid w:val="00577156"/>
    <w:rsid w:val="00577167"/>
    <w:rsid w:val="0057718C"/>
    <w:rsid w:val="0057723F"/>
    <w:rsid w:val="00577290"/>
    <w:rsid w:val="0057740D"/>
    <w:rsid w:val="0057742A"/>
    <w:rsid w:val="005774B9"/>
    <w:rsid w:val="005774E3"/>
    <w:rsid w:val="0057750C"/>
    <w:rsid w:val="005775A2"/>
    <w:rsid w:val="0057765C"/>
    <w:rsid w:val="005776D4"/>
    <w:rsid w:val="00577728"/>
    <w:rsid w:val="00577805"/>
    <w:rsid w:val="00577856"/>
    <w:rsid w:val="005778F1"/>
    <w:rsid w:val="005778F8"/>
    <w:rsid w:val="00577943"/>
    <w:rsid w:val="00577A86"/>
    <w:rsid w:val="00577A90"/>
    <w:rsid w:val="00577AD6"/>
    <w:rsid w:val="00577BA8"/>
    <w:rsid w:val="00577BF9"/>
    <w:rsid w:val="00577BFE"/>
    <w:rsid w:val="00577CC1"/>
    <w:rsid w:val="00577D71"/>
    <w:rsid w:val="00577E19"/>
    <w:rsid w:val="00577FDA"/>
    <w:rsid w:val="0058005C"/>
    <w:rsid w:val="0058006E"/>
    <w:rsid w:val="00580195"/>
    <w:rsid w:val="005801AC"/>
    <w:rsid w:val="005801C8"/>
    <w:rsid w:val="005801FC"/>
    <w:rsid w:val="00580201"/>
    <w:rsid w:val="00580248"/>
    <w:rsid w:val="0058029D"/>
    <w:rsid w:val="005802A6"/>
    <w:rsid w:val="005802CD"/>
    <w:rsid w:val="0058035A"/>
    <w:rsid w:val="0058048A"/>
    <w:rsid w:val="00580500"/>
    <w:rsid w:val="005805B4"/>
    <w:rsid w:val="0058072E"/>
    <w:rsid w:val="005807B3"/>
    <w:rsid w:val="005807B5"/>
    <w:rsid w:val="005807EF"/>
    <w:rsid w:val="0058080C"/>
    <w:rsid w:val="0058084A"/>
    <w:rsid w:val="00580885"/>
    <w:rsid w:val="00580950"/>
    <w:rsid w:val="00580B25"/>
    <w:rsid w:val="00580BC3"/>
    <w:rsid w:val="00580CBC"/>
    <w:rsid w:val="00580D25"/>
    <w:rsid w:val="00580DD7"/>
    <w:rsid w:val="00580DFF"/>
    <w:rsid w:val="00580E25"/>
    <w:rsid w:val="00580F70"/>
    <w:rsid w:val="00580FAE"/>
    <w:rsid w:val="00580FD8"/>
    <w:rsid w:val="005810F6"/>
    <w:rsid w:val="00581131"/>
    <w:rsid w:val="0058116A"/>
    <w:rsid w:val="0058118C"/>
    <w:rsid w:val="00581191"/>
    <w:rsid w:val="005811F8"/>
    <w:rsid w:val="005811FA"/>
    <w:rsid w:val="0058147A"/>
    <w:rsid w:val="0058160D"/>
    <w:rsid w:val="005817A4"/>
    <w:rsid w:val="0058182B"/>
    <w:rsid w:val="00581892"/>
    <w:rsid w:val="00581A11"/>
    <w:rsid w:val="00581A48"/>
    <w:rsid w:val="00581B51"/>
    <w:rsid w:val="00581B62"/>
    <w:rsid w:val="00581BBF"/>
    <w:rsid w:val="00581BFA"/>
    <w:rsid w:val="00581D64"/>
    <w:rsid w:val="00581E48"/>
    <w:rsid w:val="00581FFA"/>
    <w:rsid w:val="00582001"/>
    <w:rsid w:val="00582040"/>
    <w:rsid w:val="00582071"/>
    <w:rsid w:val="00582107"/>
    <w:rsid w:val="0058219D"/>
    <w:rsid w:val="005821A0"/>
    <w:rsid w:val="0058220F"/>
    <w:rsid w:val="00582251"/>
    <w:rsid w:val="00582260"/>
    <w:rsid w:val="005822F7"/>
    <w:rsid w:val="0058231D"/>
    <w:rsid w:val="0058244F"/>
    <w:rsid w:val="0058246D"/>
    <w:rsid w:val="005824A0"/>
    <w:rsid w:val="005824FF"/>
    <w:rsid w:val="005825C3"/>
    <w:rsid w:val="0058262F"/>
    <w:rsid w:val="005826CA"/>
    <w:rsid w:val="00582724"/>
    <w:rsid w:val="005828C6"/>
    <w:rsid w:val="005828CB"/>
    <w:rsid w:val="005828E8"/>
    <w:rsid w:val="00582979"/>
    <w:rsid w:val="00582992"/>
    <w:rsid w:val="00582A28"/>
    <w:rsid w:val="00582AE3"/>
    <w:rsid w:val="00582B8A"/>
    <w:rsid w:val="00582BE3"/>
    <w:rsid w:val="00582C0D"/>
    <w:rsid w:val="00582C10"/>
    <w:rsid w:val="00582C64"/>
    <w:rsid w:val="00582C70"/>
    <w:rsid w:val="00582CA8"/>
    <w:rsid w:val="00582CAF"/>
    <w:rsid w:val="00582EB6"/>
    <w:rsid w:val="00582F13"/>
    <w:rsid w:val="00582F54"/>
    <w:rsid w:val="00582FFC"/>
    <w:rsid w:val="0058302B"/>
    <w:rsid w:val="0058308C"/>
    <w:rsid w:val="00583315"/>
    <w:rsid w:val="0058339F"/>
    <w:rsid w:val="00583403"/>
    <w:rsid w:val="0058343A"/>
    <w:rsid w:val="0058350E"/>
    <w:rsid w:val="005835A3"/>
    <w:rsid w:val="005835B8"/>
    <w:rsid w:val="00583604"/>
    <w:rsid w:val="00583742"/>
    <w:rsid w:val="00583756"/>
    <w:rsid w:val="0058388C"/>
    <w:rsid w:val="0058394A"/>
    <w:rsid w:val="00583955"/>
    <w:rsid w:val="00583A16"/>
    <w:rsid w:val="00583A22"/>
    <w:rsid w:val="00583A6D"/>
    <w:rsid w:val="00583B06"/>
    <w:rsid w:val="00583BBB"/>
    <w:rsid w:val="00583C2A"/>
    <w:rsid w:val="00583C33"/>
    <w:rsid w:val="00583C68"/>
    <w:rsid w:val="00583D1F"/>
    <w:rsid w:val="00583DD2"/>
    <w:rsid w:val="00583DF9"/>
    <w:rsid w:val="00583E28"/>
    <w:rsid w:val="00583E4A"/>
    <w:rsid w:val="00583F1B"/>
    <w:rsid w:val="00583F1F"/>
    <w:rsid w:val="00584050"/>
    <w:rsid w:val="00584067"/>
    <w:rsid w:val="00584104"/>
    <w:rsid w:val="0058419E"/>
    <w:rsid w:val="005842F7"/>
    <w:rsid w:val="0058430A"/>
    <w:rsid w:val="0058438F"/>
    <w:rsid w:val="005843A2"/>
    <w:rsid w:val="00584476"/>
    <w:rsid w:val="00584482"/>
    <w:rsid w:val="005844E1"/>
    <w:rsid w:val="005845F9"/>
    <w:rsid w:val="00584603"/>
    <w:rsid w:val="00584689"/>
    <w:rsid w:val="0058478B"/>
    <w:rsid w:val="0058478C"/>
    <w:rsid w:val="005847B7"/>
    <w:rsid w:val="005847CC"/>
    <w:rsid w:val="005848E9"/>
    <w:rsid w:val="005848F2"/>
    <w:rsid w:val="005849A3"/>
    <w:rsid w:val="005849BD"/>
    <w:rsid w:val="00584A2E"/>
    <w:rsid w:val="00584A54"/>
    <w:rsid w:val="00584A77"/>
    <w:rsid w:val="00584A8F"/>
    <w:rsid w:val="00584AEB"/>
    <w:rsid w:val="00584B34"/>
    <w:rsid w:val="00584B77"/>
    <w:rsid w:val="00584C0F"/>
    <w:rsid w:val="00584C97"/>
    <w:rsid w:val="00584CA4"/>
    <w:rsid w:val="00584DCD"/>
    <w:rsid w:val="0058500B"/>
    <w:rsid w:val="00585013"/>
    <w:rsid w:val="0058501D"/>
    <w:rsid w:val="00585042"/>
    <w:rsid w:val="00585157"/>
    <w:rsid w:val="00585193"/>
    <w:rsid w:val="00585203"/>
    <w:rsid w:val="005854F4"/>
    <w:rsid w:val="00585593"/>
    <w:rsid w:val="005855DC"/>
    <w:rsid w:val="005855FA"/>
    <w:rsid w:val="00585696"/>
    <w:rsid w:val="005856E9"/>
    <w:rsid w:val="005857B8"/>
    <w:rsid w:val="005857FE"/>
    <w:rsid w:val="00585832"/>
    <w:rsid w:val="0058589E"/>
    <w:rsid w:val="005859F6"/>
    <w:rsid w:val="00585ABE"/>
    <w:rsid w:val="00585AE5"/>
    <w:rsid w:val="00585B75"/>
    <w:rsid w:val="00585BA1"/>
    <w:rsid w:val="00585BBC"/>
    <w:rsid w:val="00585CF1"/>
    <w:rsid w:val="00585E4A"/>
    <w:rsid w:val="00585E65"/>
    <w:rsid w:val="00585E78"/>
    <w:rsid w:val="00585EEC"/>
    <w:rsid w:val="00585F87"/>
    <w:rsid w:val="005861C4"/>
    <w:rsid w:val="0058626D"/>
    <w:rsid w:val="00586295"/>
    <w:rsid w:val="005862B2"/>
    <w:rsid w:val="00586354"/>
    <w:rsid w:val="00586506"/>
    <w:rsid w:val="005865EB"/>
    <w:rsid w:val="0058660C"/>
    <w:rsid w:val="005866B6"/>
    <w:rsid w:val="005866B8"/>
    <w:rsid w:val="00586716"/>
    <w:rsid w:val="0058694B"/>
    <w:rsid w:val="00586A52"/>
    <w:rsid w:val="00586B2C"/>
    <w:rsid w:val="00586B4C"/>
    <w:rsid w:val="00586D98"/>
    <w:rsid w:val="00586E22"/>
    <w:rsid w:val="00586FBF"/>
    <w:rsid w:val="00587168"/>
    <w:rsid w:val="0058717A"/>
    <w:rsid w:val="005871BD"/>
    <w:rsid w:val="005871C9"/>
    <w:rsid w:val="005871EF"/>
    <w:rsid w:val="00587254"/>
    <w:rsid w:val="0058726B"/>
    <w:rsid w:val="005872C4"/>
    <w:rsid w:val="0058730E"/>
    <w:rsid w:val="00587433"/>
    <w:rsid w:val="005876AD"/>
    <w:rsid w:val="00587705"/>
    <w:rsid w:val="0058774C"/>
    <w:rsid w:val="005877FF"/>
    <w:rsid w:val="00587994"/>
    <w:rsid w:val="00587B3C"/>
    <w:rsid w:val="00587BC4"/>
    <w:rsid w:val="00587BF3"/>
    <w:rsid w:val="00587D0F"/>
    <w:rsid w:val="00587D5F"/>
    <w:rsid w:val="00587D71"/>
    <w:rsid w:val="00587D83"/>
    <w:rsid w:val="00587FB5"/>
    <w:rsid w:val="0059006B"/>
    <w:rsid w:val="0059010E"/>
    <w:rsid w:val="00590214"/>
    <w:rsid w:val="005902E9"/>
    <w:rsid w:val="0059031F"/>
    <w:rsid w:val="0059035D"/>
    <w:rsid w:val="00590386"/>
    <w:rsid w:val="00590456"/>
    <w:rsid w:val="00590477"/>
    <w:rsid w:val="0059059E"/>
    <w:rsid w:val="0059073A"/>
    <w:rsid w:val="0059084C"/>
    <w:rsid w:val="005908D6"/>
    <w:rsid w:val="005909A0"/>
    <w:rsid w:val="005909D5"/>
    <w:rsid w:val="005909F7"/>
    <w:rsid w:val="00590C2C"/>
    <w:rsid w:val="00590C96"/>
    <w:rsid w:val="00590DA1"/>
    <w:rsid w:val="00590DAF"/>
    <w:rsid w:val="00590E17"/>
    <w:rsid w:val="00590E23"/>
    <w:rsid w:val="00590E25"/>
    <w:rsid w:val="00590EAA"/>
    <w:rsid w:val="00590F1A"/>
    <w:rsid w:val="00591081"/>
    <w:rsid w:val="00591211"/>
    <w:rsid w:val="005912BE"/>
    <w:rsid w:val="00591384"/>
    <w:rsid w:val="0059138F"/>
    <w:rsid w:val="005913CE"/>
    <w:rsid w:val="005914BB"/>
    <w:rsid w:val="00591527"/>
    <w:rsid w:val="005915BC"/>
    <w:rsid w:val="00591674"/>
    <w:rsid w:val="005918F7"/>
    <w:rsid w:val="00591967"/>
    <w:rsid w:val="00591970"/>
    <w:rsid w:val="00591B2E"/>
    <w:rsid w:val="00591B91"/>
    <w:rsid w:val="00591C8A"/>
    <w:rsid w:val="00591CC4"/>
    <w:rsid w:val="00591CEE"/>
    <w:rsid w:val="00591D6F"/>
    <w:rsid w:val="00591FF4"/>
    <w:rsid w:val="0059209F"/>
    <w:rsid w:val="00592124"/>
    <w:rsid w:val="00592151"/>
    <w:rsid w:val="0059225C"/>
    <w:rsid w:val="00592337"/>
    <w:rsid w:val="005923C6"/>
    <w:rsid w:val="0059246A"/>
    <w:rsid w:val="005924BC"/>
    <w:rsid w:val="005924F7"/>
    <w:rsid w:val="0059255A"/>
    <w:rsid w:val="00592572"/>
    <w:rsid w:val="00592580"/>
    <w:rsid w:val="0059258D"/>
    <w:rsid w:val="005925CA"/>
    <w:rsid w:val="00592620"/>
    <w:rsid w:val="00592648"/>
    <w:rsid w:val="00592831"/>
    <w:rsid w:val="00592840"/>
    <w:rsid w:val="0059285D"/>
    <w:rsid w:val="00592934"/>
    <w:rsid w:val="0059295D"/>
    <w:rsid w:val="00592962"/>
    <w:rsid w:val="005929F9"/>
    <w:rsid w:val="00592A9D"/>
    <w:rsid w:val="00592B3B"/>
    <w:rsid w:val="00592B9A"/>
    <w:rsid w:val="00592C3D"/>
    <w:rsid w:val="00592E3C"/>
    <w:rsid w:val="00592E66"/>
    <w:rsid w:val="00592E7E"/>
    <w:rsid w:val="00592F45"/>
    <w:rsid w:val="00592F80"/>
    <w:rsid w:val="00592F8F"/>
    <w:rsid w:val="0059303D"/>
    <w:rsid w:val="00593103"/>
    <w:rsid w:val="00593117"/>
    <w:rsid w:val="0059311B"/>
    <w:rsid w:val="00593179"/>
    <w:rsid w:val="00593195"/>
    <w:rsid w:val="005931EC"/>
    <w:rsid w:val="0059325F"/>
    <w:rsid w:val="005932BE"/>
    <w:rsid w:val="005933D1"/>
    <w:rsid w:val="0059350D"/>
    <w:rsid w:val="0059357F"/>
    <w:rsid w:val="0059360D"/>
    <w:rsid w:val="00593619"/>
    <w:rsid w:val="00593656"/>
    <w:rsid w:val="00593665"/>
    <w:rsid w:val="0059366B"/>
    <w:rsid w:val="00593728"/>
    <w:rsid w:val="00593730"/>
    <w:rsid w:val="00593780"/>
    <w:rsid w:val="0059378A"/>
    <w:rsid w:val="005937FB"/>
    <w:rsid w:val="005938EA"/>
    <w:rsid w:val="005939A1"/>
    <w:rsid w:val="005939FE"/>
    <w:rsid w:val="00593B0C"/>
    <w:rsid w:val="00593BBF"/>
    <w:rsid w:val="00593C2C"/>
    <w:rsid w:val="00593DC9"/>
    <w:rsid w:val="00593EF5"/>
    <w:rsid w:val="00593F89"/>
    <w:rsid w:val="0059401A"/>
    <w:rsid w:val="00594022"/>
    <w:rsid w:val="00594096"/>
    <w:rsid w:val="00594115"/>
    <w:rsid w:val="005941C6"/>
    <w:rsid w:val="005941DF"/>
    <w:rsid w:val="0059425B"/>
    <w:rsid w:val="0059429B"/>
    <w:rsid w:val="005943A9"/>
    <w:rsid w:val="00594410"/>
    <w:rsid w:val="005946FB"/>
    <w:rsid w:val="005947E1"/>
    <w:rsid w:val="0059485F"/>
    <w:rsid w:val="005948A2"/>
    <w:rsid w:val="00594939"/>
    <w:rsid w:val="005949A4"/>
    <w:rsid w:val="005949B1"/>
    <w:rsid w:val="005949E8"/>
    <w:rsid w:val="00594B13"/>
    <w:rsid w:val="00594B23"/>
    <w:rsid w:val="00594B2E"/>
    <w:rsid w:val="00594B7D"/>
    <w:rsid w:val="00594C86"/>
    <w:rsid w:val="00594CAC"/>
    <w:rsid w:val="00594DCD"/>
    <w:rsid w:val="00594E0A"/>
    <w:rsid w:val="00594E19"/>
    <w:rsid w:val="00594EC9"/>
    <w:rsid w:val="00594F9E"/>
    <w:rsid w:val="00594FAE"/>
    <w:rsid w:val="00594FDF"/>
    <w:rsid w:val="00594FF8"/>
    <w:rsid w:val="0059500C"/>
    <w:rsid w:val="0059502B"/>
    <w:rsid w:val="00595042"/>
    <w:rsid w:val="00595157"/>
    <w:rsid w:val="005951EA"/>
    <w:rsid w:val="00595255"/>
    <w:rsid w:val="00595282"/>
    <w:rsid w:val="00595470"/>
    <w:rsid w:val="0059547A"/>
    <w:rsid w:val="0059549E"/>
    <w:rsid w:val="005954A9"/>
    <w:rsid w:val="00595504"/>
    <w:rsid w:val="00595597"/>
    <w:rsid w:val="005956EC"/>
    <w:rsid w:val="005956FA"/>
    <w:rsid w:val="0059583E"/>
    <w:rsid w:val="0059584A"/>
    <w:rsid w:val="00595969"/>
    <w:rsid w:val="005959E6"/>
    <w:rsid w:val="00595A4A"/>
    <w:rsid w:val="00595A60"/>
    <w:rsid w:val="00595B3D"/>
    <w:rsid w:val="00595B55"/>
    <w:rsid w:val="00595B87"/>
    <w:rsid w:val="00595BC3"/>
    <w:rsid w:val="00595C29"/>
    <w:rsid w:val="00595C6C"/>
    <w:rsid w:val="00595D2F"/>
    <w:rsid w:val="00595E14"/>
    <w:rsid w:val="00595F03"/>
    <w:rsid w:val="00596070"/>
    <w:rsid w:val="0059614F"/>
    <w:rsid w:val="005961FC"/>
    <w:rsid w:val="00596248"/>
    <w:rsid w:val="0059664E"/>
    <w:rsid w:val="00596692"/>
    <w:rsid w:val="00596777"/>
    <w:rsid w:val="00596778"/>
    <w:rsid w:val="005968B5"/>
    <w:rsid w:val="005968E9"/>
    <w:rsid w:val="005969F9"/>
    <w:rsid w:val="00596A24"/>
    <w:rsid w:val="00596A34"/>
    <w:rsid w:val="00596A36"/>
    <w:rsid w:val="00596B9A"/>
    <w:rsid w:val="00596C68"/>
    <w:rsid w:val="00596C80"/>
    <w:rsid w:val="00596DFB"/>
    <w:rsid w:val="00596E03"/>
    <w:rsid w:val="00596EEB"/>
    <w:rsid w:val="00596FA6"/>
    <w:rsid w:val="00597003"/>
    <w:rsid w:val="0059704C"/>
    <w:rsid w:val="00597253"/>
    <w:rsid w:val="005972A5"/>
    <w:rsid w:val="005972B1"/>
    <w:rsid w:val="005972C4"/>
    <w:rsid w:val="00597354"/>
    <w:rsid w:val="00597416"/>
    <w:rsid w:val="00597427"/>
    <w:rsid w:val="0059742B"/>
    <w:rsid w:val="00597470"/>
    <w:rsid w:val="00597599"/>
    <w:rsid w:val="005975AE"/>
    <w:rsid w:val="005975D5"/>
    <w:rsid w:val="005976AE"/>
    <w:rsid w:val="00597843"/>
    <w:rsid w:val="00597881"/>
    <w:rsid w:val="005978C4"/>
    <w:rsid w:val="005978D4"/>
    <w:rsid w:val="00597961"/>
    <w:rsid w:val="0059797A"/>
    <w:rsid w:val="00597A92"/>
    <w:rsid w:val="00597AAC"/>
    <w:rsid w:val="00597AFB"/>
    <w:rsid w:val="00597BB9"/>
    <w:rsid w:val="00597C8D"/>
    <w:rsid w:val="00597D08"/>
    <w:rsid w:val="00597D25"/>
    <w:rsid w:val="00597D39"/>
    <w:rsid w:val="00597DBA"/>
    <w:rsid w:val="00597DE2"/>
    <w:rsid w:val="00597E23"/>
    <w:rsid w:val="00597E30"/>
    <w:rsid w:val="00597E79"/>
    <w:rsid w:val="00597EA7"/>
    <w:rsid w:val="00597EF1"/>
    <w:rsid w:val="00597F1E"/>
    <w:rsid w:val="00597FDF"/>
    <w:rsid w:val="0059E481"/>
    <w:rsid w:val="005A0045"/>
    <w:rsid w:val="005A0125"/>
    <w:rsid w:val="005A0153"/>
    <w:rsid w:val="005A0164"/>
    <w:rsid w:val="005A01B6"/>
    <w:rsid w:val="005A01CF"/>
    <w:rsid w:val="005A022A"/>
    <w:rsid w:val="005A02E1"/>
    <w:rsid w:val="005A0320"/>
    <w:rsid w:val="005A0347"/>
    <w:rsid w:val="005A0367"/>
    <w:rsid w:val="005A037A"/>
    <w:rsid w:val="005A0568"/>
    <w:rsid w:val="005A05D8"/>
    <w:rsid w:val="005A0602"/>
    <w:rsid w:val="005A0625"/>
    <w:rsid w:val="005A07F4"/>
    <w:rsid w:val="005A0843"/>
    <w:rsid w:val="005A0871"/>
    <w:rsid w:val="005A0889"/>
    <w:rsid w:val="005A08A2"/>
    <w:rsid w:val="005A08BD"/>
    <w:rsid w:val="005A09AE"/>
    <w:rsid w:val="005A09D5"/>
    <w:rsid w:val="005A09E4"/>
    <w:rsid w:val="005A0BAE"/>
    <w:rsid w:val="005A0BF6"/>
    <w:rsid w:val="005A0C8C"/>
    <w:rsid w:val="005A0D03"/>
    <w:rsid w:val="005A0E0B"/>
    <w:rsid w:val="005A0E21"/>
    <w:rsid w:val="005A0E49"/>
    <w:rsid w:val="005A0E5D"/>
    <w:rsid w:val="005A1030"/>
    <w:rsid w:val="005A103E"/>
    <w:rsid w:val="005A10BB"/>
    <w:rsid w:val="005A112E"/>
    <w:rsid w:val="005A11C0"/>
    <w:rsid w:val="005A11DE"/>
    <w:rsid w:val="005A12D2"/>
    <w:rsid w:val="005A1352"/>
    <w:rsid w:val="005A1377"/>
    <w:rsid w:val="005A14A9"/>
    <w:rsid w:val="005A153B"/>
    <w:rsid w:val="005A1654"/>
    <w:rsid w:val="005A1685"/>
    <w:rsid w:val="005A172D"/>
    <w:rsid w:val="005A17B8"/>
    <w:rsid w:val="005A17FD"/>
    <w:rsid w:val="005A18CC"/>
    <w:rsid w:val="005A1933"/>
    <w:rsid w:val="005A19B4"/>
    <w:rsid w:val="005A1A40"/>
    <w:rsid w:val="005A1B09"/>
    <w:rsid w:val="005A1BF9"/>
    <w:rsid w:val="005A1C0B"/>
    <w:rsid w:val="005A1C19"/>
    <w:rsid w:val="005A1C3C"/>
    <w:rsid w:val="005A1C91"/>
    <w:rsid w:val="005A1CF9"/>
    <w:rsid w:val="005A1E43"/>
    <w:rsid w:val="005A1EAE"/>
    <w:rsid w:val="005A1ECB"/>
    <w:rsid w:val="005A1F23"/>
    <w:rsid w:val="005A1F4C"/>
    <w:rsid w:val="005A1F6B"/>
    <w:rsid w:val="005A1FE3"/>
    <w:rsid w:val="005A2050"/>
    <w:rsid w:val="005A206F"/>
    <w:rsid w:val="005A212A"/>
    <w:rsid w:val="005A21D6"/>
    <w:rsid w:val="005A232B"/>
    <w:rsid w:val="005A2338"/>
    <w:rsid w:val="005A2376"/>
    <w:rsid w:val="005A239B"/>
    <w:rsid w:val="005A23B2"/>
    <w:rsid w:val="005A2489"/>
    <w:rsid w:val="005A24BC"/>
    <w:rsid w:val="005A24C5"/>
    <w:rsid w:val="005A2595"/>
    <w:rsid w:val="005A2668"/>
    <w:rsid w:val="005A2673"/>
    <w:rsid w:val="005A26C0"/>
    <w:rsid w:val="005A27C0"/>
    <w:rsid w:val="005A27C3"/>
    <w:rsid w:val="005A280E"/>
    <w:rsid w:val="005A2891"/>
    <w:rsid w:val="005A28B3"/>
    <w:rsid w:val="005A28DE"/>
    <w:rsid w:val="005A2950"/>
    <w:rsid w:val="005A29C3"/>
    <w:rsid w:val="005A2B31"/>
    <w:rsid w:val="005A2BFA"/>
    <w:rsid w:val="005A2C1D"/>
    <w:rsid w:val="005A2C9B"/>
    <w:rsid w:val="005A2D00"/>
    <w:rsid w:val="005A2D30"/>
    <w:rsid w:val="005A2D48"/>
    <w:rsid w:val="005A2D6B"/>
    <w:rsid w:val="005A2E5E"/>
    <w:rsid w:val="005A2FD5"/>
    <w:rsid w:val="005A3050"/>
    <w:rsid w:val="005A311B"/>
    <w:rsid w:val="005A3286"/>
    <w:rsid w:val="005A33CF"/>
    <w:rsid w:val="005A3422"/>
    <w:rsid w:val="005A34C9"/>
    <w:rsid w:val="005A3514"/>
    <w:rsid w:val="005A352E"/>
    <w:rsid w:val="005A3542"/>
    <w:rsid w:val="005A3709"/>
    <w:rsid w:val="005A383C"/>
    <w:rsid w:val="005A3921"/>
    <w:rsid w:val="005A394D"/>
    <w:rsid w:val="005A3953"/>
    <w:rsid w:val="005A395E"/>
    <w:rsid w:val="005A39B6"/>
    <w:rsid w:val="005A39EC"/>
    <w:rsid w:val="005A3ABF"/>
    <w:rsid w:val="005A3B08"/>
    <w:rsid w:val="005A3B73"/>
    <w:rsid w:val="005A3BF8"/>
    <w:rsid w:val="005A3C7E"/>
    <w:rsid w:val="005A3CA7"/>
    <w:rsid w:val="005A3E01"/>
    <w:rsid w:val="005A3EA5"/>
    <w:rsid w:val="005A4004"/>
    <w:rsid w:val="005A40CA"/>
    <w:rsid w:val="005A426A"/>
    <w:rsid w:val="005A437C"/>
    <w:rsid w:val="005A4390"/>
    <w:rsid w:val="005A441F"/>
    <w:rsid w:val="005A4484"/>
    <w:rsid w:val="005A44C3"/>
    <w:rsid w:val="005A4503"/>
    <w:rsid w:val="005A453C"/>
    <w:rsid w:val="005A4547"/>
    <w:rsid w:val="005A454A"/>
    <w:rsid w:val="005A45AD"/>
    <w:rsid w:val="005A4645"/>
    <w:rsid w:val="005A46E9"/>
    <w:rsid w:val="005A4768"/>
    <w:rsid w:val="005A49A7"/>
    <w:rsid w:val="005A49AC"/>
    <w:rsid w:val="005A4A08"/>
    <w:rsid w:val="005A4A1A"/>
    <w:rsid w:val="005A4A87"/>
    <w:rsid w:val="005A4C78"/>
    <w:rsid w:val="005A4CE8"/>
    <w:rsid w:val="005A4F39"/>
    <w:rsid w:val="005A506E"/>
    <w:rsid w:val="005A5188"/>
    <w:rsid w:val="005A5193"/>
    <w:rsid w:val="005A52F7"/>
    <w:rsid w:val="005A531A"/>
    <w:rsid w:val="005A53AE"/>
    <w:rsid w:val="005A540E"/>
    <w:rsid w:val="005A54C4"/>
    <w:rsid w:val="005A54DE"/>
    <w:rsid w:val="005A54E0"/>
    <w:rsid w:val="005A55B2"/>
    <w:rsid w:val="005A563F"/>
    <w:rsid w:val="005A5687"/>
    <w:rsid w:val="005A56B6"/>
    <w:rsid w:val="005A5727"/>
    <w:rsid w:val="005A57B6"/>
    <w:rsid w:val="005A57C9"/>
    <w:rsid w:val="005A5861"/>
    <w:rsid w:val="005A58E5"/>
    <w:rsid w:val="005A58EA"/>
    <w:rsid w:val="005A5932"/>
    <w:rsid w:val="005A5964"/>
    <w:rsid w:val="005A598F"/>
    <w:rsid w:val="005A5A97"/>
    <w:rsid w:val="005A5AF8"/>
    <w:rsid w:val="005A5B6C"/>
    <w:rsid w:val="005A5C72"/>
    <w:rsid w:val="005A5C74"/>
    <w:rsid w:val="005A5D03"/>
    <w:rsid w:val="005A5E1D"/>
    <w:rsid w:val="005A5FCB"/>
    <w:rsid w:val="005A5FE2"/>
    <w:rsid w:val="005A608D"/>
    <w:rsid w:val="005A60B8"/>
    <w:rsid w:val="005A6297"/>
    <w:rsid w:val="005A62A1"/>
    <w:rsid w:val="005A649F"/>
    <w:rsid w:val="005A64D8"/>
    <w:rsid w:val="005A64F7"/>
    <w:rsid w:val="005A656D"/>
    <w:rsid w:val="005A66C5"/>
    <w:rsid w:val="005A674B"/>
    <w:rsid w:val="005A6796"/>
    <w:rsid w:val="005A67B3"/>
    <w:rsid w:val="005A67BC"/>
    <w:rsid w:val="005A680B"/>
    <w:rsid w:val="005A68D0"/>
    <w:rsid w:val="005A68FD"/>
    <w:rsid w:val="005A690D"/>
    <w:rsid w:val="005A697C"/>
    <w:rsid w:val="005A6A1D"/>
    <w:rsid w:val="005A6BAB"/>
    <w:rsid w:val="005A6BE2"/>
    <w:rsid w:val="005A6C71"/>
    <w:rsid w:val="005A6E5C"/>
    <w:rsid w:val="005A6E7D"/>
    <w:rsid w:val="005A6EA6"/>
    <w:rsid w:val="005A72D0"/>
    <w:rsid w:val="005A72EC"/>
    <w:rsid w:val="005A7441"/>
    <w:rsid w:val="005A7595"/>
    <w:rsid w:val="005A75DC"/>
    <w:rsid w:val="005A7603"/>
    <w:rsid w:val="005A7734"/>
    <w:rsid w:val="005A775F"/>
    <w:rsid w:val="005A78E7"/>
    <w:rsid w:val="005A79D0"/>
    <w:rsid w:val="005A79E3"/>
    <w:rsid w:val="005A7A1C"/>
    <w:rsid w:val="005A7A93"/>
    <w:rsid w:val="005A7B37"/>
    <w:rsid w:val="005A7B58"/>
    <w:rsid w:val="005A7B5C"/>
    <w:rsid w:val="005A7B61"/>
    <w:rsid w:val="005A7C1A"/>
    <w:rsid w:val="005A7C5D"/>
    <w:rsid w:val="005A7D28"/>
    <w:rsid w:val="005A7E04"/>
    <w:rsid w:val="005A7E09"/>
    <w:rsid w:val="005A7F05"/>
    <w:rsid w:val="005A7FDA"/>
    <w:rsid w:val="005B008D"/>
    <w:rsid w:val="005B0195"/>
    <w:rsid w:val="005B0373"/>
    <w:rsid w:val="005B0414"/>
    <w:rsid w:val="005B046E"/>
    <w:rsid w:val="005B07CC"/>
    <w:rsid w:val="005B08A3"/>
    <w:rsid w:val="005B08E0"/>
    <w:rsid w:val="005B0AAA"/>
    <w:rsid w:val="005B0AD2"/>
    <w:rsid w:val="005B0AF4"/>
    <w:rsid w:val="005B0BCF"/>
    <w:rsid w:val="005B0CAE"/>
    <w:rsid w:val="005B0D46"/>
    <w:rsid w:val="005B0D79"/>
    <w:rsid w:val="005B0DD2"/>
    <w:rsid w:val="005B0DDD"/>
    <w:rsid w:val="005B0E2D"/>
    <w:rsid w:val="005B0E44"/>
    <w:rsid w:val="005B0E80"/>
    <w:rsid w:val="005B0E92"/>
    <w:rsid w:val="005B0F22"/>
    <w:rsid w:val="005B0F50"/>
    <w:rsid w:val="005B0F6C"/>
    <w:rsid w:val="005B0F8A"/>
    <w:rsid w:val="005B1036"/>
    <w:rsid w:val="005B110F"/>
    <w:rsid w:val="005B12C6"/>
    <w:rsid w:val="005B13B9"/>
    <w:rsid w:val="005B13BA"/>
    <w:rsid w:val="005B1453"/>
    <w:rsid w:val="005B14A3"/>
    <w:rsid w:val="005B171C"/>
    <w:rsid w:val="005B175E"/>
    <w:rsid w:val="005B17A0"/>
    <w:rsid w:val="005B17F8"/>
    <w:rsid w:val="005B1879"/>
    <w:rsid w:val="005B18A3"/>
    <w:rsid w:val="005B18DA"/>
    <w:rsid w:val="005B18FD"/>
    <w:rsid w:val="005B1980"/>
    <w:rsid w:val="005B19A9"/>
    <w:rsid w:val="005B1A1E"/>
    <w:rsid w:val="005B1A21"/>
    <w:rsid w:val="005B1AED"/>
    <w:rsid w:val="005B1B78"/>
    <w:rsid w:val="005B1B7F"/>
    <w:rsid w:val="005B1B9B"/>
    <w:rsid w:val="005B1B9D"/>
    <w:rsid w:val="005B1D0A"/>
    <w:rsid w:val="005B1E00"/>
    <w:rsid w:val="005B1E6A"/>
    <w:rsid w:val="005B1E6F"/>
    <w:rsid w:val="005B1E79"/>
    <w:rsid w:val="005B1EB0"/>
    <w:rsid w:val="005B1F24"/>
    <w:rsid w:val="005B1F28"/>
    <w:rsid w:val="005B1F60"/>
    <w:rsid w:val="005B20AB"/>
    <w:rsid w:val="005B20F6"/>
    <w:rsid w:val="005B2190"/>
    <w:rsid w:val="005B231F"/>
    <w:rsid w:val="005B2327"/>
    <w:rsid w:val="005B239C"/>
    <w:rsid w:val="005B23D3"/>
    <w:rsid w:val="005B2549"/>
    <w:rsid w:val="005B2559"/>
    <w:rsid w:val="005B257F"/>
    <w:rsid w:val="005B27E0"/>
    <w:rsid w:val="005B28AE"/>
    <w:rsid w:val="005B28E7"/>
    <w:rsid w:val="005B2975"/>
    <w:rsid w:val="005B2987"/>
    <w:rsid w:val="005B29AD"/>
    <w:rsid w:val="005B2A24"/>
    <w:rsid w:val="005B2AA1"/>
    <w:rsid w:val="005B2ABE"/>
    <w:rsid w:val="005B2ADF"/>
    <w:rsid w:val="005B2B49"/>
    <w:rsid w:val="005B2CA2"/>
    <w:rsid w:val="005B2CF6"/>
    <w:rsid w:val="005B2D22"/>
    <w:rsid w:val="005B2D4D"/>
    <w:rsid w:val="005B2E1D"/>
    <w:rsid w:val="005B2E38"/>
    <w:rsid w:val="005B2E74"/>
    <w:rsid w:val="005B2EA0"/>
    <w:rsid w:val="005B2F55"/>
    <w:rsid w:val="005B300C"/>
    <w:rsid w:val="005B3048"/>
    <w:rsid w:val="005B30DA"/>
    <w:rsid w:val="005B3119"/>
    <w:rsid w:val="005B3137"/>
    <w:rsid w:val="005B315A"/>
    <w:rsid w:val="005B319A"/>
    <w:rsid w:val="005B34B8"/>
    <w:rsid w:val="005B3604"/>
    <w:rsid w:val="005B3663"/>
    <w:rsid w:val="005B3720"/>
    <w:rsid w:val="005B3888"/>
    <w:rsid w:val="005B399F"/>
    <w:rsid w:val="005B3A35"/>
    <w:rsid w:val="005B3A54"/>
    <w:rsid w:val="005B3AC5"/>
    <w:rsid w:val="005B3ADD"/>
    <w:rsid w:val="005B3AE4"/>
    <w:rsid w:val="005B3B9B"/>
    <w:rsid w:val="005B3C2C"/>
    <w:rsid w:val="005B3D0E"/>
    <w:rsid w:val="005B3D5E"/>
    <w:rsid w:val="005B3E6F"/>
    <w:rsid w:val="005B3E92"/>
    <w:rsid w:val="005B3F5A"/>
    <w:rsid w:val="005B41FC"/>
    <w:rsid w:val="005B42D4"/>
    <w:rsid w:val="005B46DB"/>
    <w:rsid w:val="005B46DE"/>
    <w:rsid w:val="005B474F"/>
    <w:rsid w:val="005B476E"/>
    <w:rsid w:val="005B4887"/>
    <w:rsid w:val="005B48B0"/>
    <w:rsid w:val="005B4A54"/>
    <w:rsid w:val="005B4AE9"/>
    <w:rsid w:val="005B4AF0"/>
    <w:rsid w:val="005B4BE2"/>
    <w:rsid w:val="005B4C5F"/>
    <w:rsid w:val="005B4DE4"/>
    <w:rsid w:val="005B4DE9"/>
    <w:rsid w:val="005B4F24"/>
    <w:rsid w:val="005B4F53"/>
    <w:rsid w:val="005B4FB1"/>
    <w:rsid w:val="005B51EC"/>
    <w:rsid w:val="005B52DE"/>
    <w:rsid w:val="005B5385"/>
    <w:rsid w:val="005B5401"/>
    <w:rsid w:val="005B5407"/>
    <w:rsid w:val="005B541D"/>
    <w:rsid w:val="005B5438"/>
    <w:rsid w:val="005B54D4"/>
    <w:rsid w:val="005B552D"/>
    <w:rsid w:val="005B5533"/>
    <w:rsid w:val="005B55C4"/>
    <w:rsid w:val="005B5623"/>
    <w:rsid w:val="005B562A"/>
    <w:rsid w:val="005B5736"/>
    <w:rsid w:val="005B574E"/>
    <w:rsid w:val="005B578A"/>
    <w:rsid w:val="005B589E"/>
    <w:rsid w:val="005B5986"/>
    <w:rsid w:val="005B59B8"/>
    <w:rsid w:val="005B59BF"/>
    <w:rsid w:val="005B5BAE"/>
    <w:rsid w:val="005B5BCE"/>
    <w:rsid w:val="005B5BF2"/>
    <w:rsid w:val="005B5C10"/>
    <w:rsid w:val="005B5C37"/>
    <w:rsid w:val="005B5CBF"/>
    <w:rsid w:val="005B5CCD"/>
    <w:rsid w:val="005B5D00"/>
    <w:rsid w:val="005B5EEF"/>
    <w:rsid w:val="005B5F13"/>
    <w:rsid w:val="005B5F42"/>
    <w:rsid w:val="005B5FF6"/>
    <w:rsid w:val="005B601A"/>
    <w:rsid w:val="005B605C"/>
    <w:rsid w:val="005B60A9"/>
    <w:rsid w:val="005B60D9"/>
    <w:rsid w:val="005B6287"/>
    <w:rsid w:val="005B62BF"/>
    <w:rsid w:val="005B6388"/>
    <w:rsid w:val="005B63D4"/>
    <w:rsid w:val="005B6465"/>
    <w:rsid w:val="005B6555"/>
    <w:rsid w:val="005B6677"/>
    <w:rsid w:val="005B66AA"/>
    <w:rsid w:val="005B66F1"/>
    <w:rsid w:val="005B6706"/>
    <w:rsid w:val="005B675C"/>
    <w:rsid w:val="005B67D8"/>
    <w:rsid w:val="005B68A5"/>
    <w:rsid w:val="005B68AA"/>
    <w:rsid w:val="005B68DE"/>
    <w:rsid w:val="005B69C1"/>
    <w:rsid w:val="005B6A83"/>
    <w:rsid w:val="005B6BAC"/>
    <w:rsid w:val="005B6C87"/>
    <w:rsid w:val="005B6DBC"/>
    <w:rsid w:val="005B7137"/>
    <w:rsid w:val="005B7253"/>
    <w:rsid w:val="005B72D5"/>
    <w:rsid w:val="005B72FC"/>
    <w:rsid w:val="005B738F"/>
    <w:rsid w:val="005B739F"/>
    <w:rsid w:val="005B73E8"/>
    <w:rsid w:val="005B747E"/>
    <w:rsid w:val="005B7486"/>
    <w:rsid w:val="005B755F"/>
    <w:rsid w:val="005B7567"/>
    <w:rsid w:val="005B7592"/>
    <w:rsid w:val="005B767E"/>
    <w:rsid w:val="005B7699"/>
    <w:rsid w:val="005B7729"/>
    <w:rsid w:val="005B7806"/>
    <w:rsid w:val="005B791C"/>
    <w:rsid w:val="005B794C"/>
    <w:rsid w:val="005B7976"/>
    <w:rsid w:val="005B79C8"/>
    <w:rsid w:val="005B79C9"/>
    <w:rsid w:val="005B7AA7"/>
    <w:rsid w:val="005B7B26"/>
    <w:rsid w:val="005B7C04"/>
    <w:rsid w:val="005B7C20"/>
    <w:rsid w:val="005B7C44"/>
    <w:rsid w:val="005B7CA1"/>
    <w:rsid w:val="005B7D29"/>
    <w:rsid w:val="005B7EA4"/>
    <w:rsid w:val="005B7F0A"/>
    <w:rsid w:val="005B7F1F"/>
    <w:rsid w:val="005B7F81"/>
    <w:rsid w:val="005B7FA3"/>
    <w:rsid w:val="005B7FF8"/>
    <w:rsid w:val="005C006B"/>
    <w:rsid w:val="005C00AA"/>
    <w:rsid w:val="005C01A8"/>
    <w:rsid w:val="005C01B7"/>
    <w:rsid w:val="005C01D1"/>
    <w:rsid w:val="005C01DF"/>
    <w:rsid w:val="005C021F"/>
    <w:rsid w:val="005C028C"/>
    <w:rsid w:val="005C02A0"/>
    <w:rsid w:val="005C02B7"/>
    <w:rsid w:val="005C0302"/>
    <w:rsid w:val="005C035C"/>
    <w:rsid w:val="005C048F"/>
    <w:rsid w:val="005C04A5"/>
    <w:rsid w:val="005C04B7"/>
    <w:rsid w:val="005C05C9"/>
    <w:rsid w:val="005C0667"/>
    <w:rsid w:val="005C068C"/>
    <w:rsid w:val="005C06CB"/>
    <w:rsid w:val="005C074B"/>
    <w:rsid w:val="005C0891"/>
    <w:rsid w:val="005C08E1"/>
    <w:rsid w:val="005C09BB"/>
    <w:rsid w:val="005C0A65"/>
    <w:rsid w:val="005C0C03"/>
    <w:rsid w:val="005C0C08"/>
    <w:rsid w:val="005C0C42"/>
    <w:rsid w:val="005C0C4C"/>
    <w:rsid w:val="005C0C4F"/>
    <w:rsid w:val="005C0CFD"/>
    <w:rsid w:val="005C0E0B"/>
    <w:rsid w:val="005C0E62"/>
    <w:rsid w:val="005C0F22"/>
    <w:rsid w:val="005C0FA6"/>
    <w:rsid w:val="005C1032"/>
    <w:rsid w:val="005C104B"/>
    <w:rsid w:val="005C1245"/>
    <w:rsid w:val="005C130F"/>
    <w:rsid w:val="005C13A2"/>
    <w:rsid w:val="005C13E0"/>
    <w:rsid w:val="005C144A"/>
    <w:rsid w:val="005C1472"/>
    <w:rsid w:val="005C14BB"/>
    <w:rsid w:val="005C1663"/>
    <w:rsid w:val="005C16EA"/>
    <w:rsid w:val="005C17B4"/>
    <w:rsid w:val="005C1809"/>
    <w:rsid w:val="005C19B5"/>
    <w:rsid w:val="005C19CE"/>
    <w:rsid w:val="005C1A06"/>
    <w:rsid w:val="005C1A26"/>
    <w:rsid w:val="005C1B44"/>
    <w:rsid w:val="005C1C2F"/>
    <w:rsid w:val="005C1D23"/>
    <w:rsid w:val="005C1E29"/>
    <w:rsid w:val="005C1ED0"/>
    <w:rsid w:val="005C1ED8"/>
    <w:rsid w:val="005C1F55"/>
    <w:rsid w:val="005C1FEF"/>
    <w:rsid w:val="005C2072"/>
    <w:rsid w:val="005C20FB"/>
    <w:rsid w:val="005C212A"/>
    <w:rsid w:val="005C217F"/>
    <w:rsid w:val="005C21E9"/>
    <w:rsid w:val="005C21F1"/>
    <w:rsid w:val="005C22A2"/>
    <w:rsid w:val="005C22D0"/>
    <w:rsid w:val="005C22DB"/>
    <w:rsid w:val="005C22EB"/>
    <w:rsid w:val="005C233C"/>
    <w:rsid w:val="005C23EC"/>
    <w:rsid w:val="005C241E"/>
    <w:rsid w:val="005C2512"/>
    <w:rsid w:val="005C2546"/>
    <w:rsid w:val="005C2586"/>
    <w:rsid w:val="005C25E4"/>
    <w:rsid w:val="005C2644"/>
    <w:rsid w:val="005C2661"/>
    <w:rsid w:val="005C268A"/>
    <w:rsid w:val="005C26E0"/>
    <w:rsid w:val="005C26FE"/>
    <w:rsid w:val="005C2729"/>
    <w:rsid w:val="005C2732"/>
    <w:rsid w:val="005C277B"/>
    <w:rsid w:val="005C27CF"/>
    <w:rsid w:val="005C28DC"/>
    <w:rsid w:val="005C2914"/>
    <w:rsid w:val="005C2985"/>
    <w:rsid w:val="005C29B4"/>
    <w:rsid w:val="005C2A76"/>
    <w:rsid w:val="005C2AB9"/>
    <w:rsid w:val="005C2AE9"/>
    <w:rsid w:val="005C2B11"/>
    <w:rsid w:val="005C2C6E"/>
    <w:rsid w:val="005C2C92"/>
    <w:rsid w:val="005C2D61"/>
    <w:rsid w:val="005C2DB7"/>
    <w:rsid w:val="005C2E06"/>
    <w:rsid w:val="005C2E25"/>
    <w:rsid w:val="005C2EB9"/>
    <w:rsid w:val="005C2FCF"/>
    <w:rsid w:val="005C3092"/>
    <w:rsid w:val="005C3161"/>
    <w:rsid w:val="005C3245"/>
    <w:rsid w:val="005C32E9"/>
    <w:rsid w:val="005C339C"/>
    <w:rsid w:val="005C33F4"/>
    <w:rsid w:val="005C342D"/>
    <w:rsid w:val="005C345F"/>
    <w:rsid w:val="005C3462"/>
    <w:rsid w:val="005C349A"/>
    <w:rsid w:val="005C34CF"/>
    <w:rsid w:val="005C34E9"/>
    <w:rsid w:val="005C35E4"/>
    <w:rsid w:val="005C364B"/>
    <w:rsid w:val="005C36B4"/>
    <w:rsid w:val="005C36BF"/>
    <w:rsid w:val="005C3704"/>
    <w:rsid w:val="005C3750"/>
    <w:rsid w:val="005C3837"/>
    <w:rsid w:val="005C3878"/>
    <w:rsid w:val="005C3948"/>
    <w:rsid w:val="005C3ACA"/>
    <w:rsid w:val="005C3B8C"/>
    <w:rsid w:val="005C3BF5"/>
    <w:rsid w:val="005C3C72"/>
    <w:rsid w:val="005C3C80"/>
    <w:rsid w:val="005C3D08"/>
    <w:rsid w:val="005C3D25"/>
    <w:rsid w:val="005C3E26"/>
    <w:rsid w:val="005C3E4C"/>
    <w:rsid w:val="005C3F19"/>
    <w:rsid w:val="005C3F28"/>
    <w:rsid w:val="005C3F2F"/>
    <w:rsid w:val="005C3F6E"/>
    <w:rsid w:val="005C3FC9"/>
    <w:rsid w:val="005C3FFD"/>
    <w:rsid w:val="005C402A"/>
    <w:rsid w:val="005C408B"/>
    <w:rsid w:val="005C4117"/>
    <w:rsid w:val="005C411C"/>
    <w:rsid w:val="005C4138"/>
    <w:rsid w:val="005C4196"/>
    <w:rsid w:val="005C423A"/>
    <w:rsid w:val="005C42ED"/>
    <w:rsid w:val="005C4323"/>
    <w:rsid w:val="005C433B"/>
    <w:rsid w:val="005C4398"/>
    <w:rsid w:val="005C45B3"/>
    <w:rsid w:val="005C45E3"/>
    <w:rsid w:val="005C4678"/>
    <w:rsid w:val="005C46E5"/>
    <w:rsid w:val="005C478E"/>
    <w:rsid w:val="005C47A9"/>
    <w:rsid w:val="005C482F"/>
    <w:rsid w:val="005C4836"/>
    <w:rsid w:val="005C491F"/>
    <w:rsid w:val="005C49FE"/>
    <w:rsid w:val="005C4A44"/>
    <w:rsid w:val="005C4AB2"/>
    <w:rsid w:val="005C4AF6"/>
    <w:rsid w:val="005C4B06"/>
    <w:rsid w:val="005C4BDD"/>
    <w:rsid w:val="005C4C0F"/>
    <w:rsid w:val="005C4D2C"/>
    <w:rsid w:val="005C4D9B"/>
    <w:rsid w:val="005C4E14"/>
    <w:rsid w:val="005C4E76"/>
    <w:rsid w:val="005C4EBF"/>
    <w:rsid w:val="005C4F22"/>
    <w:rsid w:val="005C4FC9"/>
    <w:rsid w:val="005C50CD"/>
    <w:rsid w:val="005C50EB"/>
    <w:rsid w:val="005C523C"/>
    <w:rsid w:val="005C5392"/>
    <w:rsid w:val="005C5498"/>
    <w:rsid w:val="005C5697"/>
    <w:rsid w:val="005C5761"/>
    <w:rsid w:val="005C581A"/>
    <w:rsid w:val="005C5847"/>
    <w:rsid w:val="005C5912"/>
    <w:rsid w:val="005C5958"/>
    <w:rsid w:val="005C5A15"/>
    <w:rsid w:val="005C5A27"/>
    <w:rsid w:val="005C5AE8"/>
    <w:rsid w:val="005C5BE5"/>
    <w:rsid w:val="005C5C2E"/>
    <w:rsid w:val="005C5C5C"/>
    <w:rsid w:val="005C5D0F"/>
    <w:rsid w:val="005C5D44"/>
    <w:rsid w:val="005C5E39"/>
    <w:rsid w:val="005C5E44"/>
    <w:rsid w:val="005C5EFA"/>
    <w:rsid w:val="005C5FCC"/>
    <w:rsid w:val="005C6032"/>
    <w:rsid w:val="005C6051"/>
    <w:rsid w:val="005C61F2"/>
    <w:rsid w:val="005C621B"/>
    <w:rsid w:val="005C6366"/>
    <w:rsid w:val="005C63ED"/>
    <w:rsid w:val="005C649E"/>
    <w:rsid w:val="005C64FB"/>
    <w:rsid w:val="005C659B"/>
    <w:rsid w:val="005C65C3"/>
    <w:rsid w:val="005C65F4"/>
    <w:rsid w:val="005C6624"/>
    <w:rsid w:val="005C664F"/>
    <w:rsid w:val="005C6672"/>
    <w:rsid w:val="005C66C5"/>
    <w:rsid w:val="005C66D1"/>
    <w:rsid w:val="005C66E0"/>
    <w:rsid w:val="005C66EE"/>
    <w:rsid w:val="005C67FD"/>
    <w:rsid w:val="005C683F"/>
    <w:rsid w:val="005C68F2"/>
    <w:rsid w:val="005C693A"/>
    <w:rsid w:val="005C6943"/>
    <w:rsid w:val="005C6A86"/>
    <w:rsid w:val="005C6B32"/>
    <w:rsid w:val="005C6C22"/>
    <w:rsid w:val="005C6D10"/>
    <w:rsid w:val="005C6D22"/>
    <w:rsid w:val="005C6DD8"/>
    <w:rsid w:val="005C6E3B"/>
    <w:rsid w:val="005C6F22"/>
    <w:rsid w:val="005C6FE6"/>
    <w:rsid w:val="005C7010"/>
    <w:rsid w:val="005C7033"/>
    <w:rsid w:val="005C7043"/>
    <w:rsid w:val="005C716A"/>
    <w:rsid w:val="005C716F"/>
    <w:rsid w:val="005C7250"/>
    <w:rsid w:val="005C7270"/>
    <w:rsid w:val="005C72E5"/>
    <w:rsid w:val="005C7305"/>
    <w:rsid w:val="005C73A6"/>
    <w:rsid w:val="005C755E"/>
    <w:rsid w:val="005C75D4"/>
    <w:rsid w:val="005C75E3"/>
    <w:rsid w:val="005C766C"/>
    <w:rsid w:val="005C76F8"/>
    <w:rsid w:val="005C7788"/>
    <w:rsid w:val="005C787A"/>
    <w:rsid w:val="005C79CF"/>
    <w:rsid w:val="005C7B58"/>
    <w:rsid w:val="005C7B8F"/>
    <w:rsid w:val="005C7CAE"/>
    <w:rsid w:val="005C7CC5"/>
    <w:rsid w:val="005C7D1A"/>
    <w:rsid w:val="005C7D20"/>
    <w:rsid w:val="005C7D58"/>
    <w:rsid w:val="005C7E78"/>
    <w:rsid w:val="005C7E7E"/>
    <w:rsid w:val="005C7EBF"/>
    <w:rsid w:val="005C7F6B"/>
    <w:rsid w:val="005C7FB5"/>
    <w:rsid w:val="005D0031"/>
    <w:rsid w:val="005D01B2"/>
    <w:rsid w:val="005D027A"/>
    <w:rsid w:val="005D02E1"/>
    <w:rsid w:val="005D0368"/>
    <w:rsid w:val="005D03A0"/>
    <w:rsid w:val="005D04C5"/>
    <w:rsid w:val="005D0502"/>
    <w:rsid w:val="005D0515"/>
    <w:rsid w:val="005D0537"/>
    <w:rsid w:val="005D05C1"/>
    <w:rsid w:val="005D067E"/>
    <w:rsid w:val="005D0753"/>
    <w:rsid w:val="005D078F"/>
    <w:rsid w:val="005D08A5"/>
    <w:rsid w:val="005D09DC"/>
    <w:rsid w:val="005D09FE"/>
    <w:rsid w:val="005D0A10"/>
    <w:rsid w:val="005D0A87"/>
    <w:rsid w:val="005D0A8C"/>
    <w:rsid w:val="005D0B8C"/>
    <w:rsid w:val="005D0C63"/>
    <w:rsid w:val="005D0C6B"/>
    <w:rsid w:val="005D0CB8"/>
    <w:rsid w:val="005D0CEE"/>
    <w:rsid w:val="005D0D46"/>
    <w:rsid w:val="005D0D94"/>
    <w:rsid w:val="005D0D9D"/>
    <w:rsid w:val="005D0DA4"/>
    <w:rsid w:val="005D0E53"/>
    <w:rsid w:val="005D131D"/>
    <w:rsid w:val="005D1401"/>
    <w:rsid w:val="005D1466"/>
    <w:rsid w:val="005D14A4"/>
    <w:rsid w:val="005D14B5"/>
    <w:rsid w:val="005D14E9"/>
    <w:rsid w:val="005D1790"/>
    <w:rsid w:val="005D17EB"/>
    <w:rsid w:val="005D1835"/>
    <w:rsid w:val="005D1890"/>
    <w:rsid w:val="005D189D"/>
    <w:rsid w:val="005D1904"/>
    <w:rsid w:val="005D197B"/>
    <w:rsid w:val="005D19DB"/>
    <w:rsid w:val="005D1A4B"/>
    <w:rsid w:val="005D1A84"/>
    <w:rsid w:val="005D1B09"/>
    <w:rsid w:val="005D1B68"/>
    <w:rsid w:val="005D1B6C"/>
    <w:rsid w:val="005D1B8E"/>
    <w:rsid w:val="005D1BD9"/>
    <w:rsid w:val="005D1CC6"/>
    <w:rsid w:val="005D1D5D"/>
    <w:rsid w:val="005D1D92"/>
    <w:rsid w:val="005D1DC4"/>
    <w:rsid w:val="005D1DFA"/>
    <w:rsid w:val="005D1F8A"/>
    <w:rsid w:val="005D1FE6"/>
    <w:rsid w:val="005D209F"/>
    <w:rsid w:val="005D224E"/>
    <w:rsid w:val="005D22B4"/>
    <w:rsid w:val="005D22E2"/>
    <w:rsid w:val="005D236C"/>
    <w:rsid w:val="005D238B"/>
    <w:rsid w:val="005D239A"/>
    <w:rsid w:val="005D23AD"/>
    <w:rsid w:val="005D24E6"/>
    <w:rsid w:val="005D2568"/>
    <w:rsid w:val="005D2601"/>
    <w:rsid w:val="005D2646"/>
    <w:rsid w:val="005D264A"/>
    <w:rsid w:val="005D26AC"/>
    <w:rsid w:val="005D26B3"/>
    <w:rsid w:val="005D26D3"/>
    <w:rsid w:val="005D2926"/>
    <w:rsid w:val="005D2ADF"/>
    <w:rsid w:val="005D2AFE"/>
    <w:rsid w:val="005D2C83"/>
    <w:rsid w:val="005D2D44"/>
    <w:rsid w:val="005D2DCC"/>
    <w:rsid w:val="005D2F68"/>
    <w:rsid w:val="005D2F9E"/>
    <w:rsid w:val="005D3008"/>
    <w:rsid w:val="005D30E6"/>
    <w:rsid w:val="005D32F0"/>
    <w:rsid w:val="005D3332"/>
    <w:rsid w:val="005D3415"/>
    <w:rsid w:val="005D3599"/>
    <w:rsid w:val="005D3656"/>
    <w:rsid w:val="005D36E8"/>
    <w:rsid w:val="005D373B"/>
    <w:rsid w:val="005D3764"/>
    <w:rsid w:val="005D376A"/>
    <w:rsid w:val="005D37A0"/>
    <w:rsid w:val="005D3818"/>
    <w:rsid w:val="005D3888"/>
    <w:rsid w:val="005D39ED"/>
    <w:rsid w:val="005D3AAC"/>
    <w:rsid w:val="005D3B5A"/>
    <w:rsid w:val="005D3B65"/>
    <w:rsid w:val="005D3C70"/>
    <w:rsid w:val="005D3CAA"/>
    <w:rsid w:val="005D3CD4"/>
    <w:rsid w:val="005D3D88"/>
    <w:rsid w:val="005D3DF6"/>
    <w:rsid w:val="005D3E4B"/>
    <w:rsid w:val="005D3E9E"/>
    <w:rsid w:val="005D3EC5"/>
    <w:rsid w:val="005D410C"/>
    <w:rsid w:val="005D4116"/>
    <w:rsid w:val="005D4164"/>
    <w:rsid w:val="005D42E7"/>
    <w:rsid w:val="005D4322"/>
    <w:rsid w:val="005D43A1"/>
    <w:rsid w:val="005D4488"/>
    <w:rsid w:val="005D45FB"/>
    <w:rsid w:val="005D468B"/>
    <w:rsid w:val="005D46B0"/>
    <w:rsid w:val="005D47B7"/>
    <w:rsid w:val="005D4824"/>
    <w:rsid w:val="005D486E"/>
    <w:rsid w:val="005D4918"/>
    <w:rsid w:val="005D492C"/>
    <w:rsid w:val="005D4960"/>
    <w:rsid w:val="005D4A40"/>
    <w:rsid w:val="005D4ACA"/>
    <w:rsid w:val="005D4B91"/>
    <w:rsid w:val="005D4BA4"/>
    <w:rsid w:val="005D4BCE"/>
    <w:rsid w:val="005D4C17"/>
    <w:rsid w:val="005D4C78"/>
    <w:rsid w:val="005D4D95"/>
    <w:rsid w:val="005D4E7E"/>
    <w:rsid w:val="005D4E95"/>
    <w:rsid w:val="005D4F31"/>
    <w:rsid w:val="005D4F32"/>
    <w:rsid w:val="005D4F69"/>
    <w:rsid w:val="005D5223"/>
    <w:rsid w:val="005D5244"/>
    <w:rsid w:val="005D52D7"/>
    <w:rsid w:val="005D5490"/>
    <w:rsid w:val="005D5550"/>
    <w:rsid w:val="005D557C"/>
    <w:rsid w:val="005D55AA"/>
    <w:rsid w:val="005D5630"/>
    <w:rsid w:val="005D566E"/>
    <w:rsid w:val="005D5723"/>
    <w:rsid w:val="005D59C5"/>
    <w:rsid w:val="005D59FD"/>
    <w:rsid w:val="005D5A04"/>
    <w:rsid w:val="005D5A0A"/>
    <w:rsid w:val="005D5A4A"/>
    <w:rsid w:val="005D5AE9"/>
    <w:rsid w:val="005D5BF5"/>
    <w:rsid w:val="005D5C8D"/>
    <w:rsid w:val="005D5CB3"/>
    <w:rsid w:val="005D5DCB"/>
    <w:rsid w:val="005D5E96"/>
    <w:rsid w:val="005D5F27"/>
    <w:rsid w:val="005D5F76"/>
    <w:rsid w:val="005D5FB3"/>
    <w:rsid w:val="005D60D7"/>
    <w:rsid w:val="005D6104"/>
    <w:rsid w:val="005D61A5"/>
    <w:rsid w:val="005D61D1"/>
    <w:rsid w:val="005D6225"/>
    <w:rsid w:val="005D6328"/>
    <w:rsid w:val="005D644E"/>
    <w:rsid w:val="005D6494"/>
    <w:rsid w:val="005D64AB"/>
    <w:rsid w:val="005D64D6"/>
    <w:rsid w:val="005D650A"/>
    <w:rsid w:val="005D650D"/>
    <w:rsid w:val="005D6553"/>
    <w:rsid w:val="005D6560"/>
    <w:rsid w:val="005D656B"/>
    <w:rsid w:val="005D65C9"/>
    <w:rsid w:val="005D6666"/>
    <w:rsid w:val="005D67D8"/>
    <w:rsid w:val="005D6903"/>
    <w:rsid w:val="005D6967"/>
    <w:rsid w:val="005D6A32"/>
    <w:rsid w:val="005D6AFB"/>
    <w:rsid w:val="005D6BAE"/>
    <w:rsid w:val="005D6BEF"/>
    <w:rsid w:val="005D6CC7"/>
    <w:rsid w:val="005D6D15"/>
    <w:rsid w:val="005D6D69"/>
    <w:rsid w:val="005D6DA1"/>
    <w:rsid w:val="005D6E2E"/>
    <w:rsid w:val="005D6EE6"/>
    <w:rsid w:val="005D6EEE"/>
    <w:rsid w:val="005D6F48"/>
    <w:rsid w:val="005D6F57"/>
    <w:rsid w:val="005D6F70"/>
    <w:rsid w:val="005D6FD1"/>
    <w:rsid w:val="005D7076"/>
    <w:rsid w:val="005D709C"/>
    <w:rsid w:val="005D714E"/>
    <w:rsid w:val="005D722D"/>
    <w:rsid w:val="005D7256"/>
    <w:rsid w:val="005D72AE"/>
    <w:rsid w:val="005D730C"/>
    <w:rsid w:val="005D7389"/>
    <w:rsid w:val="005D757F"/>
    <w:rsid w:val="005D76D0"/>
    <w:rsid w:val="005D7705"/>
    <w:rsid w:val="005D776D"/>
    <w:rsid w:val="005D77AF"/>
    <w:rsid w:val="005D7850"/>
    <w:rsid w:val="005D790D"/>
    <w:rsid w:val="005D794B"/>
    <w:rsid w:val="005D7BDF"/>
    <w:rsid w:val="005D7CB7"/>
    <w:rsid w:val="005D7D24"/>
    <w:rsid w:val="005D7DA9"/>
    <w:rsid w:val="005D7E06"/>
    <w:rsid w:val="005D7E18"/>
    <w:rsid w:val="005D7F2A"/>
    <w:rsid w:val="005D7F3D"/>
    <w:rsid w:val="005E00B4"/>
    <w:rsid w:val="005E0130"/>
    <w:rsid w:val="005E015F"/>
    <w:rsid w:val="005E0171"/>
    <w:rsid w:val="005E01C4"/>
    <w:rsid w:val="005E0286"/>
    <w:rsid w:val="005E0296"/>
    <w:rsid w:val="005E033A"/>
    <w:rsid w:val="005E0389"/>
    <w:rsid w:val="005E039F"/>
    <w:rsid w:val="005E03A2"/>
    <w:rsid w:val="005E043A"/>
    <w:rsid w:val="005E0448"/>
    <w:rsid w:val="005E0508"/>
    <w:rsid w:val="005E0525"/>
    <w:rsid w:val="005E0756"/>
    <w:rsid w:val="005E079E"/>
    <w:rsid w:val="005E084D"/>
    <w:rsid w:val="005E08F1"/>
    <w:rsid w:val="005E0916"/>
    <w:rsid w:val="005E0944"/>
    <w:rsid w:val="005E09B0"/>
    <w:rsid w:val="005E0AA6"/>
    <w:rsid w:val="005E0B07"/>
    <w:rsid w:val="005E0C48"/>
    <w:rsid w:val="005E0C6B"/>
    <w:rsid w:val="005E0C8D"/>
    <w:rsid w:val="005E0DA1"/>
    <w:rsid w:val="005E0DCC"/>
    <w:rsid w:val="005E0F0D"/>
    <w:rsid w:val="005E0F92"/>
    <w:rsid w:val="005E0FAC"/>
    <w:rsid w:val="005E0FCD"/>
    <w:rsid w:val="005E10A1"/>
    <w:rsid w:val="005E11A1"/>
    <w:rsid w:val="005E11E9"/>
    <w:rsid w:val="005E11F9"/>
    <w:rsid w:val="005E12AC"/>
    <w:rsid w:val="005E12ED"/>
    <w:rsid w:val="005E1309"/>
    <w:rsid w:val="005E1412"/>
    <w:rsid w:val="005E14F8"/>
    <w:rsid w:val="005E1500"/>
    <w:rsid w:val="005E1518"/>
    <w:rsid w:val="005E1595"/>
    <w:rsid w:val="005E15D2"/>
    <w:rsid w:val="005E162F"/>
    <w:rsid w:val="005E1726"/>
    <w:rsid w:val="005E175A"/>
    <w:rsid w:val="005E1781"/>
    <w:rsid w:val="005E19C5"/>
    <w:rsid w:val="005E19E8"/>
    <w:rsid w:val="005E1A33"/>
    <w:rsid w:val="005E1B19"/>
    <w:rsid w:val="005E1C1F"/>
    <w:rsid w:val="005E1C43"/>
    <w:rsid w:val="005E1CAA"/>
    <w:rsid w:val="005E1CD3"/>
    <w:rsid w:val="005E1D09"/>
    <w:rsid w:val="005E1DA9"/>
    <w:rsid w:val="005E1DCE"/>
    <w:rsid w:val="005E1DFF"/>
    <w:rsid w:val="005E1E52"/>
    <w:rsid w:val="005E1EE6"/>
    <w:rsid w:val="005E1F12"/>
    <w:rsid w:val="005E2087"/>
    <w:rsid w:val="005E21D0"/>
    <w:rsid w:val="005E21D5"/>
    <w:rsid w:val="005E21DE"/>
    <w:rsid w:val="005E22FF"/>
    <w:rsid w:val="005E2313"/>
    <w:rsid w:val="005E2357"/>
    <w:rsid w:val="005E2363"/>
    <w:rsid w:val="005E2443"/>
    <w:rsid w:val="005E24CD"/>
    <w:rsid w:val="005E2508"/>
    <w:rsid w:val="005E259E"/>
    <w:rsid w:val="005E25A1"/>
    <w:rsid w:val="005E263A"/>
    <w:rsid w:val="005E2678"/>
    <w:rsid w:val="005E2732"/>
    <w:rsid w:val="005E2855"/>
    <w:rsid w:val="005E28DE"/>
    <w:rsid w:val="005E298F"/>
    <w:rsid w:val="005E29AB"/>
    <w:rsid w:val="005E29B5"/>
    <w:rsid w:val="005E29D0"/>
    <w:rsid w:val="005E2A45"/>
    <w:rsid w:val="005E2A6B"/>
    <w:rsid w:val="005E2AA8"/>
    <w:rsid w:val="005E2B37"/>
    <w:rsid w:val="005E2B3E"/>
    <w:rsid w:val="005E2B46"/>
    <w:rsid w:val="005E2BC7"/>
    <w:rsid w:val="005E2C02"/>
    <w:rsid w:val="005E2CD9"/>
    <w:rsid w:val="005E2D31"/>
    <w:rsid w:val="005E2D67"/>
    <w:rsid w:val="005E2DA7"/>
    <w:rsid w:val="005E2DA9"/>
    <w:rsid w:val="005E2DBC"/>
    <w:rsid w:val="005E2E4D"/>
    <w:rsid w:val="005E303A"/>
    <w:rsid w:val="005E3085"/>
    <w:rsid w:val="005E30C2"/>
    <w:rsid w:val="005E30D4"/>
    <w:rsid w:val="005E3115"/>
    <w:rsid w:val="005E3128"/>
    <w:rsid w:val="005E31C7"/>
    <w:rsid w:val="005E3210"/>
    <w:rsid w:val="005E323A"/>
    <w:rsid w:val="005E3266"/>
    <w:rsid w:val="005E32BE"/>
    <w:rsid w:val="005E33A3"/>
    <w:rsid w:val="005E3402"/>
    <w:rsid w:val="005E34AC"/>
    <w:rsid w:val="005E34DB"/>
    <w:rsid w:val="005E34E3"/>
    <w:rsid w:val="005E356D"/>
    <w:rsid w:val="005E359F"/>
    <w:rsid w:val="005E35EC"/>
    <w:rsid w:val="005E36B3"/>
    <w:rsid w:val="005E36B8"/>
    <w:rsid w:val="005E3711"/>
    <w:rsid w:val="005E3840"/>
    <w:rsid w:val="005E38AA"/>
    <w:rsid w:val="005E395A"/>
    <w:rsid w:val="005E39C8"/>
    <w:rsid w:val="005E3A59"/>
    <w:rsid w:val="005E3A60"/>
    <w:rsid w:val="005E3ABC"/>
    <w:rsid w:val="005E3B0C"/>
    <w:rsid w:val="005E3B70"/>
    <w:rsid w:val="005E3C6A"/>
    <w:rsid w:val="005E3DC3"/>
    <w:rsid w:val="005E3EBB"/>
    <w:rsid w:val="005E3EE1"/>
    <w:rsid w:val="005E4030"/>
    <w:rsid w:val="005E405D"/>
    <w:rsid w:val="005E41CE"/>
    <w:rsid w:val="005E42EC"/>
    <w:rsid w:val="005E43D1"/>
    <w:rsid w:val="005E43FD"/>
    <w:rsid w:val="005E4474"/>
    <w:rsid w:val="005E4539"/>
    <w:rsid w:val="005E4804"/>
    <w:rsid w:val="005E480A"/>
    <w:rsid w:val="005E48AB"/>
    <w:rsid w:val="005E48CF"/>
    <w:rsid w:val="005E4963"/>
    <w:rsid w:val="005E4A6E"/>
    <w:rsid w:val="005E4C4C"/>
    <w:rsid w:val="005E4C50"/>
    <w:rsid w:val="005E4E44"/>
    <w:rsid w:val="005E4E52"/>
    <w:rsid w:val="005E4F7A"/>
    <w:rsid w:val="005E5044"/>
    <w:rsid w:val="005E50E5"/>
    <w:rsid w:val="005E510E"/>
    <w:rsid w:val="005E510F"/>
    <w:rsid w:val="005E512E"/>
    <w:rsid w:val="005E518F"/>
    <w:rsid w:val="005E5210"/>
    <w:rsid w:val="005E5211"/>
    <w:rsid w:val="005E529E"/>
    <w:rsid w:val="005E5311"/>
    <w:rsid w:val="005E53F6"/>
    <w:rsid w:val="005E5601"/>
    <w:rsid w:val="005E57A1"/>
    <w:rsid w:val="005E57FC"/>
    <w:rsid w:val="005E598E"/>
    <w:rsid w:val="005E5999"/>
    <w:rsid w:val="005E5A37"/>
    <w:rsid w:val="005E5B94"/>
    <w:rsid w:val="005E5BFE"/>
    <w:rsid w:val="005E5C64"/>
    <w:rsid w:val="005E5CC4"/>
    <w:rsid w:val="005E5D01"/>
    <w:rsid w:val="005E5E64"/>
    <w:rsid w:val="005E5E9A"/>
    <w:rsid w:val="005E5F22"/>
    <w:rsid w:val="005E5F90"/>
    <w:rsid w:val="005E5FCC"/>
    <w:rsid w:val="005E602E"/>
    <w:rsid w:val="005E608B"/>
    <w:rsid w:val="005E60A1"/>
    <w:rsid w:val="005E60EA"/>
    <w:rsid w:val="005E6237"/>
    <w:rsid w:val="005E6329"/>
    <w:rsid w:val="005E6347"/>
    <w:rsid w:val="005E634E"/>
    <w:rsid w:val="005E6439"/>
    <w:rsid w:val="005E66AA"/>
    <w:rsid w:val="005E66B3"/>
    <w:rsid w:val="005E66C3"/>
    <w:rsid w:val="005E67EA"/>
    <w:rsid w:val="005E67F8"/>
    <w:rsid w:val="005E67FA"/>
    <w:rsid w:val="005E6874"/>
    <w:rsid w:val="005E68BC"/>
    <w:rsid w:val="005E6940"/>
    <w:rsid w:val="005E6966"/>
    <w:rsid w:val="005E69D9"/>
    <w:rsid w:val="005E6DC0"/>
    <w:rsid w:val="005E6DC9"/>
    <w:rsid w:val="005E6E6F"/>
    <w:rsid w:val="005E6F04"/>
    <w:rsid w:val="005E6F6C"/>
    <w:rsid w:val="005E6F8B"/>
    <w:rsid w:val="005E6FEE"/>
    <w:rsid w:val="005E71AE"/>
    <w:rsid w:val="005E7226"/>
    <w:rsid w:val="005E7292"/>
    <w:rsid w:val="005E732B"/>
    <w:rsid w:val="005E73D7"/>
    <w:rsid w:val="005E7402"/>
    <w:rsid w:val="005E753E"/>
    <w:rsid w:val="005E769D"/>
    <w:rsid w:val="005E76B1"/>
    <w:rsid w:val="005E76D1"/>
    <w:rsid w:val="005E789C"/>
    <w:rsid w:val="005E78E4"/>
    <w:rsid w:val="005E7998"/>
    <w:rsid w:val="005E7A62"/>
    <w:rsid w:val="005E7AAB"/>
    <w:rsid w:val="005E7AED"/>
    <w:rsid w:val="005E7AF5"/>
    <w:rsid w:val="005E7B50"/>
    <w:rsid w:val="005E7BFF"/>
    <w:rsid w:val="005E7D55"/>
    <w:rsid w:val="005E7D79"/>
    <w:rsid w:val="005E7DD6"/>
    <w:rsid w:val="005E7E76"/>
    <w:rsid w:val="005E7EDB"/>
    <w:rsid w:val="005E7FE7"/>
    <w:rsid w:val="005EF0D7"/>
    <w:rsid w:val="005F000D"/>
    <w:rsid w:val="005F0036"/>
    <w:rsid w:val="005F00A6"/>
    <w:rsid w:val="005F00C7"/>
    <w:rsid w:val="005F03E0"/>
    <w:rsid w:val="005F04A6"/>
    <w:rsid w:val="005F04AA"/>
    <w:rsid w:val="005F06BC"/>
    <w:rsid w:val="005F0713"/>
    <w:rsid w:val="005F071D"/>
    <w:rsid w:val="005F072D"/>
    <w:rsid w:val="005F0779"/>
    <w:rsid w:val="005F07F5"/>
    <w:rsid w:val="005F0876"/>
    <w:rsid w:val="005F08A3"/>
    <w:rsid w:val="005F092F"/>
    <w:rsid w:val="005F09FD"/>
    <w:rsid w:val="005F0B44"/>
    <w:rsid w:val="005F0B88"/>
    <w:rsid w:val="005F0BD8"/>
    <w:rsid w:val="005F0C4F"/>
    <w:rsid w:val="005F0CCC"/>
    <w:rsid w:val="005F0DBC"/>
    <w:rsid w:val="005F0DC8"/>
    <w:rsid w:val="005F0DD8"/>
    <w:rsid w:val="005F0E09"/>
    <w:rsid w:val="005F0E6D"/>
    <w:rsid w:val="005F0EF1"/>
    <w:rsid w:val="005F0F5E"/>
    <w:rsid w:val="005F1078"/>
    <w:rsid w:val="005F10A2"/>
    <w:rsid w:val="005F1188"/>
    <w:rsid w:val="005F119C"/>
    <w:rsid w:val="005F123D"/>
    <w:rsid w:val="005F12F4"/>
    <w:rsid w:val="005F1345"/>
    <w:rsid w:val="005F139A"/>
    <w:rsid w:val="005F13CD"/>
    <w:rsid w:val="005F143C"/>
    <w:rsid w:val="005F1500"/>
    <w:rsid w:val="005F151F"/>
    <w:rsid w:val="005F1576"/>
    <w:rsid w:val="005F1578"/>
    <w:rsid w:val="005F16BA"/>
    <w:rsid w:val="005F1771"/>
    <w:rsid w:val="005F1823"/>
    <w:rsid w:val="005F1A0A"/>
    <w:rsid w:val="005F1AEB"/>
    <w:rsid w:val="005F1BB3"/>
    <w:rsid w:val="005F1C9B"/>
    <w:rsid w:val="005F1CF5"/>
    <w:rsid w:val="005F1D35"/>
    <w:rsid w:val="005F1DB4"/>
    <w:rsid w:val="005F1E1B"/>
    <w:rsid w:val="005F1E66"/>
    <w:rsid w:val="005F1FC9"/>
    <w:rsid w:val="005F20E6"/>
    <w:rsid w:val="005F21AB"/>
    <w:rsid w:val="005F21C4"/>
    <w:rsid w:val="005F221B"/>
    <w:rsid w:val="005F2241"/>
    <w:rsid w:val="005F2252"/>
    <w:rsid w:val="005F2290"/>
    <w:rsid w:val="005F2346"/>
    <w:rsid w:val="005F2353"/>
    <w:rsid w:val="005F23E6"/>
    <w:rsid w:val="005F2435"/>
    <w:rsid w:val="005F2462"/>
    <w:rsid w:val="005F249F"/>
    <w:rsid w:val="005F24BD"/>
    <w:rsid w:val="005F252B"/>
    <w:rsid w:val="005F2552"/>
    <w:rsid w:val="005F255A"/>
    <w:rsid w:val="005F25EF"/>
    <w:rsid w:val="005F2612"/>
    <w:rsid w:val="005F2650"/>
    <w:rsid w:val="005F26B5"/>
    <w:rsid w:val="005F291D"/>
    <w:rsid w:val="005F2970"/>
    <w:rsid w:val="005F298F"/>
    <w:rsid w:val="005F29B8"/>
    <w:rsid w:val="005F2B4E"/>
    <w:rsid w:val="005F2BA2"/>
    <w:rsid w:val="005F2BD6"/>
    <w:rsid w:val="005F2C11"/>
    <w:rsid w:val="005F2C94"/>
    <w:rsid w:val="005F2CE5"/>
    <w:rsid w:val="005F2D61"/>
    <w:rsid w:val="005F2DA9"/>
    <w:rsid w:val="005F2DBD"/>
    <w:rsid w:val="005F2E70"/>
    <w:rsid w:val="005F2FA1"/>
    <w:rsid w:val="005F3056"/>
    <w:rsid w:val="005F3075"/>
    <w:rsid w:val="005F30DB"/>
    <w:rsid w:val="005F3172"/>
    <w:rsid w:val="005F3274"/>
    <w:rsid w:val="005F328B"/>
    <w:rsid w:val="005F33AB"/>
    <w:rsid w:val="005F340B"/>
    <w:rsid w:val="005F3561"/>
    <w:rsid w:val="005F3566"/>
    <w:rsid w:val="005F3573"/>
    <w:rsid w:val="005F3597"/>
    <w:rsid w:val="005F35F6"/>
    <w:rsid w:val="005F3620"/>
    <w:rsid w:val="005F3634"/>
    <w:rsid w:val="005F36D8"/>
    <w:rsid w:val="005F37A3"/>
    <w:rsid w:val="005F37E9"/>
    <w:rsid w:val="005F37EB"/>
    <w:rsid w:val="005F397F"/>
    <w:rsid w:val="005F39E4"/>
    <w:rsid w:val="005F3A1B"/>
    <w:rsid w:val="005F3AE0"/>
    <w:rsid w:val="005F3B2C"/>
    <w:rsid w:val="005F3C88"/>
    <w:rsid w:val="005F3D79"/>
    <w:rsid w:val="005F3D8F"/>
    <w:rsid w:val="005F3DAA"/>
    <w:rsid w:val="005F3DC8"/>
    <w:rsid w:val="005F3E3E"/>
    <w:rsid w:val="005F3EF5"/>
    <w:rsid w:val="005F3F3B"/>
    <w:rsid w:val="005F4037"/>
    <w:rsid w:val="005F41C9"/>
    <w:rsid w:val="005F4211"/>
    <w:rsid w:val="005F42CF"/>
    <w:rsid w:val="005F42F5"/>
    <w:rsid w:val="005F437F"/>
    <w:rsid w:val="005F4394"/>
    <w:rsid w:val="005F4397"/>
    <w:rsid w:val="005F44A4"/>
    <w:rsid w:val="005F452E"/>
    <w:rsid w:val="005F4612"/>
    <w:rsid w:val="005F462D"/>
    <w:rsid w:val="005F469A"/>
    <w:rsid w:val="005F4762"/>
    <w:rsid w:val="005F47F1"/>
    <w:rsid w:val="005F481C"/>
    <w:rsid w:val="005F49DA"/>
    <w:rsid w:val="005F4A2F"/>
    <w:rsid w:val="005F4A51"/>
    <w:rsid w:val="005F4AD4"/>
    <w:rsid w:val="005F4B15"/>
    <w:rsid w:val="005F4B78"/>
    <w:rsid w:val="005F4CF4"/>
    <w:rsid w:val="005F4D09"/>
    <w:rsid w:val="005F4D2D"/>
    <w:rsid w:val="005F4E72"/>
    <w:rsid w:val="005F4EBD"/>
    <w:rsid w:val="005F509E"/>
    <w:rsid w:val="005F50DB"/>
    <w:rsid w:val="005F5333"/>
    <w:rsid w:val="005F5395"/>
    <w:rsid w:val="005F53F9"/>
    <w:rsid w:val="005F5517"/>
    <w:rsid w:val="005F5518"/>
    <w:rsid w:val="005F55D8"/>
    <w:rsid w:val="005F5604"/>
    <w:rsid w:val="005F5666"/>
    <w:rsid w:val="005F5763"/>
    <w:rsid w:val="005F5793"/>
    <w:rsid w:val="005F5797"/>
    <w:rsid w:val="005F57A0"/>
    <w:rsid w:val="005F58E7"/>
    <w:rsid w:val="005F5928"/>
    <w:rsid w:val="005F5947"/>
    <w:rsid w:val="005F59DE"/>
    <w:rsid w:val="005F59E5"/>
    <w:rsid w:val="005F5A86"/>
    <w:rsid w:val="005F5B63"/>
    <w:rsid w:val="005F5CA1"/>
    <w:rsid w:val="005F5DF4"/>
    <w:rsid w:val="005F5E58"/>
    <w:rsid w:val="005F5F4C"/>
    <w:rsid w:val="005F5F78"/>
    <w:rsid w:val="005F608C"/>
    <w:rsid w:val="005F60AA"/>
    <w:rsid w:val="005F60DF"/>
    <w:rsid w:val="005F60E6"/>
    <w:rsid w:val="005F61C8"/>
    <w:rsid w:val="005F6251"/>
    <w:rsid w:val="005F626A"/>
    <w:rsid w:val="005F62BC"/>
    <w:rsid w:val="005F62F8"/>
    <w:rsid w:val="005F63F7"/>
    <w:rsid w:val="005F6413"/>
    <w:rsid w:val="005F6475"/>
    <w:rsid w:val="005F64A4"/>
    <w:rsid w:val="005F654D"/>
    <w:rsid w:val="005F657A"/>
    <w:rsid w:val="005F66B9"/>
    <w:rsid w:val="005F6744"/>
    <w:rsid w:val="005F6760"/>
    <w:rsid w:val="005F6966"/>
    <w:rsid w:val="005F6ABF"/>
    <w:rsid w:val="005F6B6A"/>
    <w:rsid w:val="005F6C10"/>
    <w:rsid w:val="005F6C57"/>
    <w:rsid w:val="005F6C5D"/>
    <w:rsid w:val="005F6CAC"/>
    <w:rsid w:val="005F6E66"/>
    <w:rsid w:val="005F6F1B"/>
    <w:rsid w:val="005F6F88"/>
    <w:rsid w:val="005F7020"/>
    <w:rsid w:val="005F705E"/>
    <w:rsid w:val="005F70AC"/>
    <w:rsid w:val="005F7150"/>
    <w:rsid w:val="005F7177"/>
    <w:rsid w:val="005F7249"/>
    <w:rsid w:val="005F729B"/>
    <w:rsid w:val="005F73AD"/>
    <w:rsid w:val="005F741D"/>
    <w:rsid w:val="005F749D"/>
    <w:rsid w:val="005F74CD"/>
    <w:rsid w:val="005F754D"/>
    <w:rsid w:val="005F7616"/>
    <w:rsid w:val="005F76BB"/>
    <w:rsid w:val="005F773C"/>
    <w:rsid w:val="005F77C0"/>
    <w:rsid w:val="005F77F7"/>
    <w:rsid w:val="005F7820"/>
    <w:rsid w:val="005F7839"/>
    <w:rsid w:val="005F7887"/>
    <w:rsid w:val="005F78C8"/>
    <w:rsid w:val="005F78E8"/>
    <w:rsid w:val="005F790D"/>
    <w:rsid w:val="005F7A51"/>
    <w:rsid w:val="005F7A6A"/>
    <w:rsid w:val="005F7B29"/>
    <w:rsid w:val="005F7B87"/>
    <w:rsid w:val="005F7BBF"/>
    <w:rsid w:val="005F7BFF"/>
    <w:rsid w:val="005F7CA2"/>
    <w:rsid w:val="005F7CAF"/>
    <w:rsid w:val="005F7DA7"/>
    <w:rsid w:val="005F7E10"/>
    <w:rsid w:val="005F7F92"/>
    <w:rsid w:val="005F7F9E"/>
    <w:rsid w:val="005F8DE6"/>
    <w:rsid w:val="0060004B"/>
    <w:rsid w:val="00600087"/>
    <w:rsid w:val="00600162"/>
    <w:rsid w:val="00600168"/>
    <w:rsid w:val="00600197"/>
    <w:rsid w:val="006001BF"/>
    <w:rsid w:val="006001FB"/>
    <w:rsid w:val="00600214"/>
    <w:rsid w:val="00600243"/>
    <w:rsid w:val="00600287"/>
    <w:rsid w:val="006002C1"/>
    <w:rsid w:val="00600428"/>
    <w:rsid w:val="00600498"/>
    <w:rsid w:val="006004D3"/>
    <w:rsid w:val="00600601"/>
    <w:rsid w:val="006006F9"/>
    <w:rsid w:val="00600703"/>
    <w:rsid w:val="006007E8"/>
    <w:rsid w:val="006007EF"/>
    <w:rsid w:val="00600820"/>
    <w:rsid w:val="00600966"/>
    <w:rsid w:val="00600976"/>
    <w:rsid w:val="006009B1"/>
    <w:rsid w:val="00600A12"/>
    <w:rsid w:val="00600A33"/>
    <w:rsid w:val="00600A5F"/>
    <w:rsid w:val="00600ACC"/>
    <w:rsid w:val="00600AD2"/>
    <w:rsid w:val="00600B6E"/>
    <w:rsid w:val="00600B8A"/>
    <w:rsid w:val="00600BBC"/>
    <w:rsid w:val="00600BD7"/>
    <w:rsid w:val="00600C1D"/>
    <w:rsid w:val="00600C7C"/>
    <w:rsid w:val="00600D11"/>
    <w:rsid w:val="00600D87"/>
    <w:rsid w:val="00600D8E"/>
    <w:rsid w:val="0060102F"/>
    <w:rsid w:val="0060104C"/>
    <w:rsid w:val="00601072"/>
    <w:rsid w:val="0060109F"/>
    <w:rsid w:val="006011FC"/>
    <w:rsid w:val="006012D4"/>
    <w:rsid w:val="00601398"/>
    <w:rsid w:val="006013AB"/>
    <w:rsid w:val="00601424"/>
    <w:rsid w:val="00601428"/>
    <w:rsid w:val="006014CE"/>
    <w:rsid w:val="00601554"/>
    <w:rsid w:val="00601677"/>
    <w:rsid w:val="00601767"/>
    <w:rsid w:val="0060179A"/>
    <w:rsid w:val="0060180E"/>
    <w:rsid w:val="0060191A"/>
    <w:rsid w:val="00601985"/>
    <w:rsid w:val="00601ACC"/>
    <w:rsid w:val="00601BAA"/>
    <w:rsid w:val="00601C41"/>
    <w:rsid w:val="00601D9B"/>
    <w:rsid w:val="00601E2D"/>
    <w:rsid w:val="00601EB3"/>
    <w:rsid w:val="00601EF1"/>
    <w:rsid w:val="00601F59"/>
    <w:rsid w:val="0060206C"/>
    <w:rsid w:val="00602153"/>
    <w:rsid w:val="00602155"/>
    <w:rsid w:val="00602205"/>
    <w:rsid w:val="00602224"/>
    <w:rsid w:val="006022AC"/>
    <w:rsid w:val="006022CE"/>
    <w:rsid w:val="006022D4"/>
    <w:rsid w:val="00602334"/>
    <w:rsid w:val="0060234D"/>
    <w:rsid w:val="00602382"/>
    <w:rsid w:val="006023EC"/>
    <w:rsid w:val="006023EE"/>
    <w:rsid w:val="0060245D"/>
    <w:rsid w:val="006024DE"/>
    <w:rsid w:val="00602527"/>
    <w:rsid w:val="0060254E"/>
    <w:rsid w:val="006026EA"/>
    <w:rsid w:val="00602777"/>
    <w:rsid w:val="006027FA"/>
    <w:rsid w:val="0060288C"/>
    <w:rsid w:val="00602A5A"/>
    <w:rsid w:val="00602AB2"/>
    <w:rsid w:val="00602B32"/>
    <w:rsid w:val="00602B3C"/>
    <w:rsid w:val="00602B70"/>
    <w:rsid w:val="00602BEA"/>
    <w:rsid w:val="00602D54"/>
    <w:rsid w:val="00603006"/>
    <w:rsid w:val="00603030"/>
    <w:rsid w:val="00603051"/>
    <w:rsid w:val="00603089"/>
    <w:rsid w:val="006030F4"/>
    <w:rsid w:val="006032E7"/>
    <w:rsid w:val="00603312"/>
    <w:rsid w:val="0060342A"/>
    <w:rsid w:val="006034BA"/>
    <w:rsid w:val="00603519"/>
    <w:rsid w:val="00603708"/>
    <w:rsid w:val="00603788"/>
    <w:rsid w:val="00603984"/>
    <w:rsid w:val="00603998"/>
    <w:rsid w:val="00603A25"/>
    <w:rsid w:val="00603B50"/>
    <w:rsid w:val="00603C19"/>
    <w:rsid w:val="00603C84"/>
    <w:rsid w:val="00603CFD"/>
    <w:rsid w:val="00603D4C"/>
    <w:rsid w:val="00603D5E"/>
    <w:rsid w:val="00603DCF"/>
    <w:rsid w:val="00603F82"/>
    <w:rsid w:val="00603F9D"/>
    <w:rsid w:val="00603FA6"/>
    <w:rsid w:val="00603FCF"/>
    <w:rsid w:val="0060419C"/>
    <w:rsid w:val="006041E9"/>
    <w:rsid w:val="0060424E"/>
    <w:rsid w:val="00604283"/>
    <w:rsid w:val="006042C4"/>
    <w:rsid w:val="006043BC"/>
    <w:rsid w:val="00604530"/>
    <w:rsid w:val="00604549"/>
    <w:rsid w:val="0060456C"/>
    <w:rsid w:val="006045FD"/>
    <w:rsid w:val="0060460B"/>
    <w:rsid w:val="00604765"/>
    <w:rsid w:val="006047AC"/>
    <w:rsid w:val="0060483C"/>
    <w:rsid w:val="00604860"/>
    <w:rsid w:val="00604906"/>
    <w:rsid w:val="00604946"/>
    <w:rsid w:val="006049DE"/>
    <w:rsid w:val="006049E2"/>
    <w:rsid w:val="00604A17"/>
    <w:rsid w:val="00604AA7"/>
    <w:rsid w:val="00604AE5"/>
    <w:rsid w:val="00604AFA"/>
    <w:rsid w:val="00604B58"/>
    <w:rsid w:val="00604B66"/>
    <w:rsid w:val="00604BFB"/>
    <w:rsid w:val="00604C44"/>
    <w:rsid w:val="00604C5F"/>
    <w:rsid w:val="00604CAF"/>
    <w:rsid w:val="00604CCC"/>
    <w:rsid w:val="00604D9F"/>
    <w:rsid w:val="00604F3C"/>
    <w:rsid w:val="00604F7C"/>
    <w:rsid w:val="00604FBE"/>
    <w:rsid w:val="00604FF0"/>
    <w:rsid w:val="00605035"/>
    <w:rsid w:val="0060511F"/>
    <w:rsid w:val="00605233"/>
    <w:rsid w:val="006053D2"/>
    <w:rsid w:val="006053D4"/>
    <w:rsid w:val="00605619"/>
    <w:rsid w:val="00605626"/>
    <w:rsid w:val="006056D4"/>
    <w:rsid w:val="00605822"/>
    <w:rsid w:val="0060590D"/>
    <w:rsid w:val="0060594F"/>
    <w:rsid w:val="006059A7"/>
    <w:rsid w:val="006059D5"/>
    <w:rsid w:val="00605A37"/>
    <w:rsid w:val="00605A3C"/>
    <w:rsid w:val="00605A91"/>
    <w:rsid w:val="00605B84"/>
    <w:rsid w:val="00605C03"/>
    <w:rsid w:val="00605C2C"/>
    <w:rsid w:val="00605C32"/>
    <w:rsid w:val="00605CAB"/>
    <w:rsid w:val="00605D9D"/>
    <w:rsid w:val="00605E91"/>
    <w:rsid w:val="00605F59"/>
    <w:rsid w:val="00606099"/>
    <w:rsid w:val="0060616A"/>
    <w:rsid w:val="006062E5"/>
    <w:rsid w:val="00606352"/>
    <w:rsid w:val="00606417"/>
    <w:rsid w:val="006065C7"/>
    <w:rsid w:val="006066E7"/>
    <w:rsid w:val="00606710"/>
    <w:rsid w:val="00606733"/>
    <w:rsid w:val="0060674A"/>
    <w:rsid w:val="006067AC"/>
    <w:rsid w:val="006067B6"/>
    <w:rsid w:val="00606809"/>
    <w:rsid w:val="0060692D"/>
    <w:rsid w:val="00606950"/>
    <w:rsid w:val="0060698C"/>
    <w:rsid w:val="006069A2"/>
    <w:rsid w:val="006069F7"/>
    <w:rsid w:val="00606A16"/>
    <w:rsid w:val="00606A37"/>
    <w:rsid w:val="00606A81"/>
    <w:rsid w:val="00606AA4"/>
    <w:rsid w:val="00606AB2"/>
    <w:rsid w:val="00606AE7"/>
    <w:rsid w:val="00606B01"/>
    <w:rsid w:val="00606C6C"/>
    <w:rsid w:val="00606D30"/>
    <w:rsid w:val="00606E03"/>
    <w:rsid w:val="00606E64"/>
    <w:rsid w:val="00606E7A"/>
    <w:rsid w:val="00606F4B"/>
    <w:rsid w:val="00606F8B"/>
    <w:rsid w:val="00607070"/>
    <w:rsid w:val="0060709C"/>
    <w:rsid w:val="006070DA"/>
    <w:rsid w:val="00607168"/>
    <w:rsid w:val="006071A3"/>
    <w:rsid w:val="006071EE"/>
    <w:rsid w:val="00607204"/>
    <w:rsid w:val="006072BD"/>
    <w:rsid w:val="006073C6"/>
    <w:rsid w:val="006074AE"/>
    <w:rsid w:val="0060751D"/>
    <w:rsid w:val="00607523"/>
    <w:rsid w:val="0060752F"/>
    <w:rsid w:val="0060762B"/>
    <w:rsid w:val="0060762D"/>
    <w:rsid w:val="0060762F"/>
    <w:rsid w:val="0060763C"/>
    <w:rsid w:val="0060764F"/>
    <w:rsid w:val="00607660"/>
    <w:rsid w:val="00607696"/>
    <w:rsid w:val="00607719"/>
    <w:rsid w:val="00607780"/>
    <w:rsid w:val="00607781"/>
    <w:rsid w:val="006077E3"/>
    <w:rsid w:val="00607946"/>
    <w:rsid w:val="00607B5E"/>
    <w:rsid w:val="00607B74"/>
    <w:rsid w:val="00607C9A"/>
    <w:rsid w:val="00607EB6"/>
    <w:rsid w:val="00607F85"/>
    <w:rsid w:val="00609416"/>
    <w:rsid w:val="006100F2"/>
    <w:rsid w:val="006100F6"/>
    <w:rsid w:val="00610236"/>
    <w:rsid w:val="0061025C"/>
    <w:rsid w:val="006103C2"/>
    <w:rsid w:val="00610408"/>
    <w:rsid w:val="006105AC"/>
    <w:rsid w:val="006105DB"/>
    <w:rsid w:val="006105F0"/>
    <w:rsid w:val="006106E1"/>
    <w:rsid w:val="00610700"/>
    <w:rsid w:val="0061082B"/>
    <w:rsid w:val="006108B1"/>
    <w:rsid w:val="006108BD"/>
    <w:rsid w:val="0061099E"/>
    <w:rsid w:val="0061099F"/>
    <w:rsid w:val="00610A9D"/>
    <w:rsid w:val="00610AC2"/>
    <w:rsid w:val="00610AC7"/>
    <w:rsid w:val="00610AE2"/>
    <w:rsid w:val="00610B64"/>
    <w:rsid w:val="00610BAF"/>
    <w:rsid w:val="00610CAC"/>
    <w:rsid w:val="00610CC7"/>
    <w:rsid w:val="00610CF1"/>
    <w:rsid w:val="00610D03"/>
    <w:rsid w:val="00610D04"/>
    <w:rsid w:val="00610D99"/>
    <w:rsid w:val="00610E01"/>
    <w:rsid w:val="00610E2C"/>
    <w:rsid w:val="00610FD4"/>
    <w:rsid w:val="006110C9"/>
    <w:rsid w:val="00611137"/>
    <w:rsid w:val="00611225"/>
    <w:rsid w:val="0061126B"/>
    <w:rsid w:val="0061128A"/>
    <w:rsid w:val="0061133B"/>
    <w:rsid w:val="006116C4"/>
    <w:rsid w:val="006116D5"/>
    <w:rsid w:val="0061170D"/>
    <w:rsid w:val="00611738"/>
    <w:rsid w:val="0061174C"/>
    <w:rsid w:val="006117A5"/>
    <w:rsid w:val="0061182E"/>
    <w:rsid w:val="006118E6"/>
    <w:rsid w:val="00611907"/>
    <w:rsid w:val="006119DF"/>
    <w:rsid w:val="00611AAA"/>
    <w:rsid w:val="00611B73"/>
    <w:rsid w:val="00611BE5"/>
    <w:rsid w:val="00611C2E"/>
    <w:rsid w:val="00611D2A"/>
    <w:rsid w:val="00611D57"/>
    <w:rsid w:val="00611F21"/>
    <w:rsid w:val="00611F26"/>
    <w:rsid w:val="006120EE"/>
    <w:rsid w:val="00612169"/>
    <w:rsid w:val="006121A0"/>
    <w:rsid w:val="006122CD"/>
    <w:rsid w:val="00612332"/>
    <w:rsid w:val="00612336"/>
    <w:rsid w:val="006123B7"/>
    <w:rsid w:val="006123F8"/>
    <w:rsid w:val="00612454"/>
    <w:rsid w:val="006125AA"/>
    <w:rsid w:val="00612629"/>
    <w:rsid w:val="006126C6"/>
    <w:rsid w:val="006128BC"/>
    <w:rsid w:val="006128C3"/>
    <w:rsid w:val="0061295E"/>
    <w:rsid w:val="0061298A"/>
    <w:rsid w:val="00612ACF"/>
    <w:rsid w:val="00612AEA"/>
    <w:rsid w:val="00612B22"/>
    <w:rsid w:val="00612B84"/>
    <w:rsid w:val="00612C81"/>
    <w:rsid w:val="00612CD1"/>
    <w:rsid w:val="00612CE8"/>
    <w:rsid w:val="00612E80"/>
    <w:rsid w:val="00612EEA"/>
    <w:rsid w:val="00612EFA"/>
    <w:rsid w:val="00612F2A"/>
    <w:rsid w:val="00612F96"/>
    <w:rsid w:val="00612FC2"/>
    <w:rsid w:val="00613085"/>
    <w:rsid w:val="00613189"/>
    <w:rsid w:val="00613194"/>
    <w:rsid w:val="006131CE"/>
    <w:rsid w:val="006132F9"/>
    <w:rsid w:val="00613362"/>
    <w:rsid w:val="00613439"/>
    <w:rsid w:val="00613473"/>
    <w:rsid w:val="0061351E"/>
    <w:rsid w:val="006135CA"/>
    <w:rsid w:val="00613762"/>
    <w:rsid w:val="00613807"/>
    <w:rsid w:val="006138BC"/>
    <w:rsid w:val="006138E7"/>
    <w:rsid w:val="00613995"/>
    <w:rsid w:val="00613A1C"/>
    <w:rsid w:val="00613AB1"/>
    <w:rsid w:val="00613AE5"/>
    <w:rsid w:val="00613B4D"/>
    <w:rsid w:val="00613BF6"/>
    <w:rsid w:val="00613CEC"/>
    <w:rsid w:val="00613E7B"/>
    <w:rsid w:val="00613E9B"/>
    <w:rsid w:val="00613EFD"/>
    <w:rsid w:val="00613FEC"/>
    <w:rsid w:val="0061402A"/>
    <w:rsid w:val="0061409C"/>
    <w:rsid w:val="006140CF"/>
    <w:rsid w:val="00614153"/>
    <w:rsid w:val="00614197"/>
    <w:rsid w:val="0061419E"/>
    <w:rsid w:val="0061422E"/>
    <w:rsid w:val="0061438E"/>
    <w:rsid w:val="006143CE"/>
    <w:rsid w:val="006143E5"/>
    <w:rsid w:val="0061445C"/>
    <w:rsid w:val="006144C1"/>
    <w:rsid w:val="00614547"/>
    <w:rsid w:val="006145F1"/>
    <w:rsid w:val="00614663"/>
    <w:rsid w:val="006146CD"/>
    <w:rsid w:val="0061478B"/>
    <w:rsid w:val="00614865"/>
    <w:rsid w:val="006149DA"/>
    <w:rsid w:val="006149E1"/>
    <w:rsid w:val="00614AA1"/>
    <w:rsid w:val="00614AB2"/>
    <w:rsid w:val="00614B7C"/>
    <w:rsid w:val="00614BF9"/>
    <w:rsid w:val="00614C12"/>
    <w:rsid w:val="00614C51"/>
    <w:rsid w:val="00614C82"/>
    <w:rsid w:val="00614CBF"/>
    <w:rsid w:val="00614DB7"/>
    <w:rsid w:val="00614EAD"/>
    <w:rsid w:val="00614F5E"/>
    <w:rsid w:val="00615194"/>
    <w:rsid w:val="0061519F"/>
    <w:rsid w:val="006151B4"/>
    <w:rsid w:val="006152E0"/>
    <w:rsid w:val="00615396"/>
    <w:rsid w:val="00615454"/>
    <w:rsid w:val="006154AE"/>
    <w:rsid w:val="006154CD"/>
    <w:rsid w:val="006155EC"/>
    <w:rsid w:val="00615613"/>
    <w:rsid w:val="0061563E"/>
    <w:rsid w:val="0061572D"/>
    <w:rsid w:val="00615811"/>
    <w:rsid w:val="00615878"/>
    <w:rsid w:val="00615898"/>
    <w:rsid w:val="006158BC"/>
    <w:rsid w:val="006158C2"/>
    <w:rsid w:val="006158DD"/>
    <w:rsid w:val="00615A61"/>
    <w:rsid w:val="00615AC5"/>
    <w:rsid w:val="00615ADC"/>
    <w:rsid w:val="00615B06"/>
    <w:rsid w:val="00615C05"/>
    <w:rsid w:val="00615C86"/>
    <w:rsid w:val="00615D31"/>
    <w:rsid w:val="00615DFC"/>
    <w:rsid w:val="00615E88"/>
    <w:rsid w:val="00615F12"/>
    <w:rsid w:val="00615F55"/>
    <w:rsid w:val="00615FF9"/>
    <w:rsid w:val="00616015"/>
    <w:rsid w:val="00616017"/>
    <w:rsid w:val="00616051"/>
    <w:rsid w:val="00616075"/>
    <w:rsid w:val="00616102"/>
    <w:rsid w:val="0061614E"/>
    <w:rsid w:val="006161A9"/>
    <w:rsid w:val="006161AC"/>
    <w:rsid w:val="006161F9"/>
    <w:rsid w:val="0061624B"/>
    <w:rsid w:val="006164AA"/>
    <w:rsid w:val="006164FE"/>
    <w:rsid w:val="006165FF"/>
    <w:rsid w:val="0061661D"/>
    <w:rsid w:val="006166F2"/>
    <w:rsid w:val="0061670B"/>
    <w:rsid w:val="00616730"/>
    <w:rsid w:val="00616764"/>
    <w:rsid w:val="00616A51"/>
    <w:rsid w:val="00616B60"/>
    <w:rsid w:val="00616C56"/>
    <w:rsid w:val="00616C72"/>
    <w:rsid w:val="00616C7B"/>
    <w:rsid w:val="00616D89"/>
    <w:rsid w:val="00616DFD"/>
    <w:rsid w:val="00616E2A"/>
    <w:rsid w:val="00616F50"/>
    <w:rsid w:val="00616F7C"/>
    <w:rsid w:val="00616F8A"/>
    <w:rsid w:val="00617080"/>
    <w:rsid w:val="00617122"/>
    <w:rsid w:val="0061721B"/>
    <w:rsid w:val="00617291"/>
    <w:rsid w:val="00617294"/>
    <w:rsid w:val="00617364"/>
    <w:rsid w:val="00617382"/>
    <w:rsid w:val="006173DD"/>
    <w:rsid w:val="00617461"/>
    <w:rsid w:val="006174D3"/>
    <w:rsid w:val="006175FA"/>
    <w:rsid w:val="0061765A"/>
    <w:rsid w:val="0061766A"/>
    <w:rsid w:val="00617894"/>
    <w:rsid w:val="006178AA"/>
    <w:rsid w:val="006178AB"/>
    <w:rsid w:val="00617994"/>
    <w:rsid w:val="00617AF0"/>
    <w:rsid w:val="00617B41"/>
    <w:rsid w:val="00617BD2"/>
    <w:rsid w:val="00617BE4"/>
    <w:rsid w:val="00617D4E"/>
    <w:rsid w:val="00617DE9"/>
    <w:rsid w:val="00617E7F"/>
    <w:rsid w:val="00617EBD"/>
    <w:rsid w:val="00617EEE"/>
    <w:rsid w:val="00617FB9"/>
    <w:rsid w:val="006200C7"/>
    <w:rsid w:val="0062014C"/>
    <w:rsid w:val="00620245"/>
    <w:rsid w:val="00620287"/>
    <w:rsid w:val="0062028A"/>
    <w:rsid w:val="006202CC"/>
    <w:rsid w:val="00620341"/>
    <w:rsid w:val="006203DE"/>
    <w:rsid w:val="00620452"/>
    <w:rsid w:val="0062048B"/>
    <w:rsid w:val="00620492"/>
    <w:rsid w:val="0062064D"/>
    <w:rsid w:val="00620663"/>
    <w:rsid w:val="00620664"/>
    <w:rsid w:val="006206E1"/>
    <w:rsid w:val="006207CD"/>
    <w:rsid w:val="00620857"/>
    <w:rsid w:val="006208C0"/>
    <w:rsid w:val="006208DD"/>
    <w:rsid w:val="00620996"/>
    <w:rsid w:val="006209AE"/>
    <w:rsid w:val="00620ABD"/>
    <w:rsid w:val="00620B6D"/>
    <w:rsid w:val="00620CBA"/>
    <w:rsid w:val="00620DAF"/>
    <w:rsid w:val="00620E14"/>
    <w:rsid w:val="00620E71"/>
    <w:rsid w:val="00620EA2"/>
    <w:rsid w:val="00620F8D"/>
    <w:rsid w:val="00620FA5"/>
    <w:rsid w:val="006210D6"/>
    <w:rsid w:val="0062124A"/>
    <w:rsid w:val="0062126B"/>
    <w:rsid w:val="00621348"/>
    <w:rsid w:val="006213C2"/>
    <w:rsid w:val="006213DD"/>
    <w:rsid w:val="00621400"/>
    <w:rsid w:val="0062148E"/>
    <w:rsid w:val="00621550"/>
    <w:rsid w:val="006215B9"/>
    <w:rsid w:val="00621612"/>
    <w:rsid w:val="0062187A"/>
    <w:rsid w:val="00621BA6"/>
    <w:rsid w:val="00621CE5"/>
    <w:rsid w:val="00621D59"/>
    <w:rsid w:val="00621DEA"/>
    <w:rsid w:val="00621E09"/>
    <w:rsid w:val="00621ED6"/>
    <w:rsid w:val="00621F23"/>
    <w:rsid w:val="00621F34"/>
    <w:rsid w:val="00621FD5"/>
    <w:rsid w:val="00622002"/>
    <w:rsid w:val="00622013"/>
    <w:rsid w:val="00622017"/>
    <w:rsid w:val="00622080"/>
    <w:rsid w:val="006220FE"/>
    <w:rsid w:val="00622181"/>
    <w:rsid w:val="0062220A"/>
    <w:rsid w:val="0062223A"/>
    <w:rsid w:val="00622253"/>
    <w:rsid w:val="006222B2"/>
    <w:rsid w:val="006223D0"/>
    <w:rsid w:val="00622465"/>
    <w:rsid w:val="00622486"/>
    <w:rsid w:val="006224F2"/>
    <w:rsid w:val="0062253C"/>
    <w:rsid w:val="00622567"/>
    <w:rsid w:val="00622572"/>
    <w:rsid w:val="006225DE"/>
    <w:rsid w:val="00622697"/>
    <w:rsid w:val="0062276D"/>
    <w:rsid w:val="006227A6"/>
    <w:rsid w:val="00622841"/>
    <w:rsid w:val="006228CD"/>
    <w:rsid w:val="0062292F"/>
    <w:rsid w:val="00622996"/>
    <w:rsid w:val="006229C5"/>
    <w:rsid w:val="006229E4"/>
    <w:rsid w:val="00622A80"/>
    <w:rsid w:val="00622B10"/>
    <w:rsid w:val="00622B26"/>
    <w:rsid w:val="00622B9F"/>
    <w:rsid w:val="00622C0B"/>
    <w:rsid w:val="00622CA5"/>
    <w:rsid w:val="00622CF6"/>
    <w:rsid w:val="00622DD6"/>
    <w:rsid w:val="00622E44"/>
    <w:rsid w:val="00622F36"/>
    <w:rsid w:val="00622F6D"/>
    <w:rsid w:val="00622F9D"/>
    <w:rsid w:val="006230AD"/>
    <w:rsid w:val="006230B9"/>
    <w:rsid w:val="006230EF"/>
    <w:rsid w:val="0062312B"/>
    <w:rsid w:val="0062314A"/>
    <w:rsid w:val="0062315D"/>
    <w:rsid w:val="006231C2"/>
    <w:rsid w:val="00623284"/>
    <w:rsid w:val="006232AA"/>
    <w:rsid w:val="0062336B"/>
    <w:rsid w:val="006233AE"/>
    <w:rsid w:val="006233CA"/>
    <w:rsid w:val="00623458"/>
    <w:rsid w:val="006234CA"/>
    <w:rsid w:val="006235FD"/>
    <w:rsid w:val="00623643"/>
    <w:rsid w:val="00623764"/>
    <w:rsid w:val="00623850"/>
    <w:rsid w:val="00623955"/>
    <w:rsid w:val="00623962"/>
    <w:rsid w:val="006239E7"/>
    <w:rsid w:val="00623A77"/>
    <w:rsid w:val="00623C68"/>
    <w:rsid w:val="00623E64"/>
    <w:rsid w:val="00623E9D"/>
    <w:rsid w:val="00623F90"/>
    <w:rsid w:val="00624056"/>
    <w:rsid w:val="006241F9"/>
    <w:rsid w:val="0062421E"/>
    <w:rsid w:val="0062422B"/>
    <w:rsid w:val="006242CE"/>
    <w:rsid w:val="00624350"/>
    <w:rsid w:val="00624366"/>
    <w:rsid w:val="006243FB"/>
    <w:rsid w:val="00624439"/>
    <w:rsid w:val="0062463C"/>
    <w:rsid w:val="0062467B"/>
    <w:rsid w:val="006247EA"/>
    <w:rsid w:val="00624859"/>
    <w:rsid w:val="0062489E"/>
    <w:rsid w:val="00624912"/>
    <w:rsid w:val="006249A9"/>
    <w:rsid w:val="00624A27"/>
    <w:rsid w:val="00624A68"/>
    <w:rsid w:val="00624B57"/>
    <w:rsid w:val="00624B62"/>
    <w:rsid w:val="00624BE9"/>
    <w:rsid w:val="00624BFF"/>
    <w:rsid w:val="00624CB7"/>
    <w:rsid w:val="00624D46"/>
    <w:rsid w:val="00624E0D"/>
    <w:rsid w:val="00624E32"/>
    <w:rsid w:val="00624EA6"/>
    <w:rsid w:val="00624EF5"/>
    <w:rsid w:val="00624FB9"/>
    <w:rsid w:val="00625042"/>
    <w:rsid w:val="0062505E"/>
    <w:rsid w:val="006250E4"/>
    <w:rsid w:val="006250E9"/>
    <w:rsid w:val="0062515A"/>
    <w:rsid w:val="006251B0"/>
    <w:rsid w:val="00625255"/>
    <w:rsid w:val="00625394"/>
    <w:rsid w:val="006253D8"/>
    <w:rsid w:val="00625527"/>
    <w:rsid w:val="0062564C"/>
    <w:rsid w:val="0062568B"/>
    <w:rsid w:val="00625754"/>
    <w:rsid w:val="006257B0"/>
    <w:rsid w:val="006258E2"/>
    <w:rsid w:val="006258F4"/>
    <w:rsid w:val="00625902"/>
    <w:rsid w:val="0062590F"/>
    <w:rsid w:val="006259A6"/>
    <w:rsid w:val="006259CD"/>
    <w:rsid w:val="00625A33"/>
    <w:rsid w:val="00625A94"/>
    <w:rsid w:val="00625B63"/>
    <w:rsid w:val="00625B65"/>
    <w:rsid w:val="00625B6A"/>
    <w:rsid w:val="00625B75"/>
    <w:rsid w:val="00625C2A"/>
    <w:rsid w:val="00625C3F"/>
    <w:rsid w:val="00625DE1"/>
    <w:rsid w:val="00625E80"/>
    <w:rsid w:val="00625F57"/>
    <w:rsid w:val="00625FFD"/>
    <w:rsid w:val="0062608D"/>
    <w:rsid w:val="006261CC"/>
    <w:rsid w:val="00626309"/>
    <w:rsid w:val="00626335"/>
    <w:rsid w:val="00626375"/>
    <w:rsid w:val="006263F7"/>
    <w:rsid w:val="006265DA"/>
    <w:rsid w:val="00626611"/>
    <w:rsid w:val="0062663A"/>
    <w:rsid w:val="00626660"/>
    <w:rsid w:val="00626698"/>
    <w:rsid w:val="006266C9"/>
    <w:rsid w:val="006266D3"/>
    <w:rsid w:val="006266F3"/>
    <w:rsid w:val="00626711"/>
    <w:rsid w:val="0062676D"/>
    <w:rsid w:val="00626770"/>
    <w:rsid w:val="00626796"/>
    <w:rsid w:val="00626798"/>
    <w:rsid w:val="006267E6"/>
    <w:rsid w:val="006268DE"/>
    <w:rsid w:val="00626911"/>
    <w:rsid w:val="00626976"/>
    <w:rsid w:val="006269EB"/>
    <w:rsid w:val="00626A0A"/>
    <w:rsid w:val="00626B78"/>
    <w:rsid w:val="00626B7C"/>
    <w:rsid w:val="00626B84"/>
    <w:rsid w:val="00626BBD"/>
    <w:rsid w:val="00626C18"/>
    <w:rsid w:val="00626C9A"/>
    <w:rsid w:val="00626DCB"/>
    <w:rsid w:val="00626DD5"/>
    <w:rsid w:val="00626E18"/>
    <w:rsid w:val="00626EFD"/>
    <w:rsid w:val="00626FB7"/>
    <w:rsid w:val="00626FFF"/>
    <w:rsid w:val="006270F5"/>
    <w:rsid w:val="0062716E"/>
    <w:rsid w:val="0062722B"/>
    <w:rsid w:val="00627459"/>
    <w:rsid w:val="00627472"/>
    <w:rsid w:val="0062758A"/>
    <w:rsid w:val="006275F7"/>
    <w:rsid w:val="00627724"/>
    <w:rsid w:val="00627748"/>
    <w:rsid w:val="0062780A"/>
    <w:rsid w:val="006278CD"/>
    <w:rsid w:val="006278EE"/>
    <w:rsid w:val="00627983"/>
    <w:rsid w:val="0062799C"/>
    <w:rsid w:val="00627ACE"/>
    <w:rsid w:val="00627AE2"/>
    <w:rsid w:val="00627B24"/>
    <w:rsid w:val="00627B4D"/>
    <w:rsid w:val="00627BB1"/>
    <w:rsid w:val="00627BF0"/>
    <w:rsid w:val="00627C83"/>
    <w:rsid w:val="00627CB4"/>
    <w:rsid w:val="00627CFA"/>
    <w:rsid w:val="00627D44"/>
    <w:rsid w:val="00627E04"/>
    <w:rsid w:val="00627E33"/>
    <w:rsid w:val="00627F91"/>
    <w:rsid w:val="00630005"/>
    <w:rsid w:val="006300F6"/>
    <w:rsid w:val="00630137"/>
    <w:rsid w:val="006301B2"/>
    <w:rsid w:val="00630278"/>
    <w:rsid w:val="00630280"/>
    <w:rsid w:val="00630300"/>
    <w:rsid w:val="006303CB"/>
    <w:rsid w:val="00630451"/>
    <w:rsid w:val="00630480"/>
    <w:rsid w:val="00630553"/>
    <w:rsid w:val="0063059D"/>
    <w:rsid w:val="006305FF"/>
    <w:rsid w:val="0063060E"/>
    <w:rsid w:val="0063081D"/>
    <w:rsid w:val="00630881"/>
    <w:rsid w:val="006308F3"/>
    <w:rsid w:val="00630997"/>
    <w:rsid w:val="00630A63"/>
    <w:rsid w:val="00630AFA"/>
    <w:rsid w:val="00630B39"/>
    <w:rsid w:val="00630B60"/>
    <w:rsid w:val="00630BDA"/>
    <w:rsid w:val="00630BF0"/>
    <w:rsid w:val="00630E0A"/>
    <w:rsid w:val="00630E42"/>
    <w:rsid w:val="00630EE2"/>
    <w:rsid w:val="00630EF0"/>
    <w:rsid w:val="00630F10"/>
    <w:rsid w:val="00630F7A"/>
    <w:rsid w:val="006311D6"/>
    <w:rsid w:val="00631255"/>
    <w:rsid w:val="00631312"/>
    <w:rsid w:val="00631319"/>
    <w:rsid w:val="00631363"/>
    <w:rsid w:val="00631364"/>
    <w:rsid w:val="006313CE"/>
    <w:rsid w:val="0063141B"/>
    <w:rsid w:val="0063147A"/>
    <w:rsid w:val="00631508"/>
    <w:rsid w:val="00631514"/>
    <w:rsid w:val="0063152C"/>
    <w:rsid w:val="00631693"/>
    <w:rsid w:val="006316A6"/>
    <w:rsid w:val="0063173D"/>
    <w:rsid w:val="0063180D"/>
    <w:rsid w:val="0063189C"/>
    <w:rsid w:val="006319FE"/>
    <w:rsid w:val="00631A01"/>
    <w:rsid w:val="00631AC5"/>
    <w:rsid w:val="00631BD8"/>
    <w:rsid w:val="00631BE5"/>
    <w:rsid w:val="00631C1D"/>
    <w:rsid w:val="00631C9F"/>
    <w:rsid w:val="00631CFF"/>
    <w:rsid w:val="00631D76"/>
    <w:rsid w:val="00631DE4"/>
    <w:rsid w:val="00631E5F"/>
    <w:rsid w:val="00631E63"/>
    <w:rsid w:val="00631E8B"/>
    <w:rsid w:val="00631F3A"/>
    <w:rsid w:val="006320F3"/>
    <w:rsid w:val="00632117"/>
    <w:rsid w:val="006321F8"/>
    <w:rsid w:val="00632211"/>
    <w:rsid w:val="00632238"/>
    <w:rsid w:val="006322E3"/>
    <w:rsid w:val="00632348"/>
    <w:rsid w:val="00632584"/>
    <w:rsid w:val="00632876"/>
    <w:rsid w:val="006328F9"/>
    <w:rsid w:val="006329F1"/>
    <w:rsid w:val="00632AF2"/>
    <w:rsid w:val="00632C48"/>
    <w:rsid w:val="00632C4E"/>
    <w:rsid w:val="00632C67"/>
    <w:rsid w:val="00632C8D"/>
    <w:rsid w:val="00632D03"/>
    <w:rsid w:val="00632E29"/>
    <w:rsid w:val="00632F65"/>
    <w:rsid w:val="006330AA"/>
    <w:rsid w:val="006331A5"/>
    <w:rsid w:val="006331B5"/>
    <w:rsid w:val="006333A5"/>
    <w:rsid w:val="006333DA"/>
    <w:rsid w:val="006334B9"/>
    <w:rsid w:val="006334ED"/>
    <w:rsid w:val="0063365D"/>
    <w:rsid w:val="006336C9"/>
    <w:rsid w:val="00633719"/>
    <w:rsid w:val="00633747"/>
    <w:rsid w:val="006337FD"/>
    <w:rsid w:val="0063385F"/>
    <w:rsid w:val="0063388C"/>
    <w:rsid w:val="00633921"/>
    <w:rsid w:val="00633986"/>
    <w:rsid w:val="00633A8E"/>
    <w:rsid w:val="00633B7F"/>
    <w:rsid w:val="00633C8C"/>
    <w:rsid w:val="00633DB0"/>
    <w:rsid w:val="00633DDE"/>
    <w:rsid w:val="00633EBC"/>
    <w:rsid w:val="00633EC4"/>
    <w:rsid w:val="00633F1B"/>
    <w:rsid w:val="00634116"/>
    <w:rsid w:val="0063415B"/>
    <w:rsid w:val="006341B7"/>
    <w:rsid w:val="006341C8"/>
    <w:rsid w:val="006342B0"/>
    <w:rsid w:val="006342B7"/>
    <w:rsid w:val="0063436A"/>
    <w:rsid w:val="006343D2"/>
    <w:rsid w:val="00634420"/>
    <w:rsid w:val="00634424"/>
    <w:rsid w:val="006344A0"/>
    <w:rsid w:val="006346E0"/>
    <w:rsid w:val="006347A9"/>
    <w:rsid w:val="00634915"/>
    <w:rsid w:val="0063494D"/>
    <w:rsid w:val="00634970"/>
    <w:rsid w:val="006349C7"/>
    <w:rsid w:val="006349FE"/>
    <w:rsid w:val="00634A94"/>
    <w:rsid w:val="00634B9D"/>
    <w:rsid w:val="00634BDE"/>
    <w:rsid w:val="00634C04"/>
    <w:rsid w:val="00634C4D"/>
    <w:rsid w:val="00634D78"/>
    <w:rsid w:val="00634D82"/>
    <w:rsid w:val="00634DBA"/>
    <w:rsid w:val="00634DC6"/>
    <w:rsid w:val="00634EEE"/>
    <w:rsid w:val="00634F05"/>
    <w:rsid w:val="00634F08"/>
    <w:rsid w:val="00634F66"/>
    <w:rsid w:val="00634F8E"/>
    <w:rsid w:val="00634F91"/>
    <w:rsid w:val="00634FA8"/>
    <w:rsid w:val="006350D0"/>
    <w:rsid w:val="0063512B"/>
    <w:rsid w:val="0063528C"/>
    <w:rsid w:val="006352AC"/>
    <w:rsid w:val="0063535D"/>
    <w:rsid w:val="006353E3"/>
    <w:rsid w:val="006353EA"/>
    <w:rsid w:val="0063542E"/>
    <w:rsid w:val="00635432"/>
    <w:rsid w:val="00635497"/>
    <w:rsid w:val="00635563"/>
    <w:rsid w:val="00635573"/>
    <w:rsid w:val="00635661"/>
    <w:rsid w:val="0063577A"/>
    <w:rsid w:val="006357AE"/>
    <w:rsid w:val="00635895"/>
    <w:rsid w:val="006358C8"/>
    <w:rsid w:val="00635979"/>
    <w:rsid w:val="006359A6"/>
    <w:rsid w:val="006359C8"/>
    <w:rsid w:val="006359F3"/>
    <w:rsid w:val="00635AE3"/>
    <w:rsid w:val="00635C68"/>
    <w:rsid w:val="00635C91"/>
    <w:rsid w:val="00635C9E"/>
    <w:rsid w:val="00635D49"/>
    <w:rsid w:val="00635D80"/>
    <w:rsid w:val="00635DEE"/>
    <w:rsid w:val="00635DF2"/>
    <w:rsid w:val="00635E1B"/>
    <w:rsid w:val="00635F22"/>
    <w:rsid w:val="00635F2F"/>
    <w:rsid w:val="00635F3C"/>
    <w:rsid w:val="00635F91"/>
    <w:rsid w:val="00635F93"/>
    <w:rsid w:val="00636014"/>
    <w:rsid w:val="0063601F"/>
    <w:rsid w:val="00636060"/>
    <w:rsid w:val="0063610B"/>
    <w:rsid w:val="0063610E"/>
    <w:rsid w:val="00636224"/>
    <w:rsid w:val="00636271"/>
    <w:rsid w:val="00636375"/>
    <w:rsid w:val="006363B8"/>
    <w:rsid w:val="006363F1"/>
    <w:rsid w:val="006364FE"/>
    <w:rsid w:val="0063654F"/>
    <w:rsid w:val="00636585"/>
    <w:rsid w:val="00636595"/>
    <w:rsid w:val="0063663E"/>
    <w:rsid w:val="0063664B"/>
    <w:rsid w:val="0063672A"/>
    <w:rsid w:val="00636781"/>
    <w:rsid w:val="00636845"/>
    <w:rsid w:val="006368B6"/>
    <w:rsid w:val="006369D9"/>
    <w:rsid w:val="00636AA0"/>
    <w:rsid w:val="00636B12"/>
    <w:rsid w:val="00636B1D"/>
    <w:rsid w:val="00636C5A"/>
    <w:rsid w:val="00636DA9"/>
    <w:rsid w:val="00636E01"/>
    <w:rsid w:val="00636E65"/>
    <w:rsid w:val="00636FB2"/>
    <w:rsid w:val="0063707E"/>
    <w:rsid w:val="00637102"/>
    <w:rsid w:val="0063711A"/>
    <w:rsid w:val="006372B0"/>
    <w:rsid w:val="006372CC"/>
    <w:rsid w:val="00637320"/>
    <w:rsid w:val="006373B7"/>
    <w:rsid w:val="006373F0"/>
    <w:rsid w:val="006375B5"/>
    <w:rsid w:val="006375DE"/>
    <w:rsid w:val="00637623"/>
    <w:rsid w:val="0063762C"/>
    <w:rsid w:val="00637A05"/>
    <w:rsid w:val="00637AD6"/>
    <w:rsid w:val="00637B07"/>
    <w:rsid w:val="00637C23"/>
    <w:rsid w:val="00637D1F"/>
    <w:rsid w:val="00637D20"/>
    <w:rsid w:val="00637D9F"/>
    <w:rsid w:val="00637E53"/>
    <w:rsid w:val="00637E93"/>
    <w:rsid w:val="00637F46"/>
    <w:rsid w:val="0064004C"/>
    <w:rsid w:val="006400D0"/>
    <w:rsid w:val="00640107"/>
    <w:rsid w:val="006401F1"/>
    <w:rsid w:val="00640255"/>
    <w:rsid w:val="00640335"/>
    <w:rsid w:val="00640351"/>
    <w:rsid w:val="006403BF"/>
    <w:rsid w:val="006403FA"/>
    <w:rsid w:val="00640410"/>
    <w:rsid w:val="00640414"/>
    <w:rsid w:val="00640492"/>
    <w:rsid w:val="00640630"/>
    <w:rsid w:val="00640659"/>
    <w:rsid w:val="0064065B"/>
    <w:rsid w:val="006406DC"/>
    <w:rsid w:val="0064079D"/>
    <w:rsid w:val="006409DB"/>
    <w:rsid w:val="00640C2F"/>
    <w:rsid w:val="00640C84"/>
    <w:rsid w:val="00640D26"/>
    <w:rsid w:val="00640D31"/>
    <w:rsid w:val="00640DE3"/>
    <w:rsid w:val="00640EC0"/>
    <w:rsid w:val="00640FCB"/>
    <w:rsid w:val="0064101C"/>
    <w:rsid w:val="006410AD"/>
    <w:rsid w:val="0064129E"/>
    <w:rsid w:val="00641373"/>
    <w:rsid w:val="006414A1"/>
    <w:rsid w:val="00641509"/>
    <w:rsid w:val="006416BA"/>
    <w:rsid w:val="00641757"/>
    <w:rsid w:val="00641782"/>
    <w:rsid w:val="006417CD"/>
    <w:rsid w:val="00641815"/>
    <w:rsid w:val="00641834"/>
    <w:rsid w:val="00641860"/>
    <w:rsid w:val="0064187F"/>
    <w:rsid w:val="006418AF"/>
    <w:rsid w:val="00641912"/>
    <w:rsid w:val="00641932"/>
    <w:rsid w:val="00641987"/>
    <w:rsid w:val="0064199E"/>
    <w:rsid w:val="006419E2"/>
    <w:rsid w:val="00641AC1"/>
    <w:rsid w:val="00641AD2"/>
    <w:rsid w:val="00641AE6"/>
    <w:rsid w:val="00641B1A"/>
    <w:rsid w:val="00641B3D"/>
    <w:rsid w:val="00641BAC"/>
    <w:rsid w:val="00641BC8"/>
    <w:rsid w:val="00641C09"/>
    <w:rsid w:val="00641C48"/>
    <w:rsid w:val="00641D18"/>
    <w:rsid w:val="00641EC0"/>
    <w:rsid w:val="00641FEE"/>
    <w:rsid w:val="00642332"/>
    <w:rsid w:val="0064239F"/>
    <w:rsid w:val="006423C0"/>
    <w:rsid w:val="00642589"/>
    <w:rsid w:val="00642628"/>
    <w:rsid w:val="006426FD"/>
    <w:rsid w:val="0064272B"/>
    <w:rsid w:val="00642848"/>
    <w:rsid w:val="006429A7"/>
    <w:rsid w:val="006429A8"/>
    <w:rsid w:val="00642A5E"/>
    <w:rsid w:val="00642AA7"/>
    <w:rsid w:val="00642C36"/>
    <w:rsid w:val="00642D57"/>
    <w:rsid w:val="00642DAD"/>
    <w:rsid w:val="00642E15"/>
    <w:rsid w:val="00642EFE"/>
    <w:rsid w:val="00642F49"/>
    <w:rsid w:val="00643004"/>
    <w:rsid w:val="00643073"/>
    <w:rsid w:val="0064319A"/>
    <w:rsid w:val="00643234"/>
    <w:rsid w:val="0064324F"/>
    <w:rsid w:val="0064329D"/>
    <w:rsid w:val="006433B1"/>
    <w:rsid w:val="006434AB"/>
    <w:rsid w:val="00643548"/>
    <w:rsid w:val="00643588"/>
    <w:rsid w:val="0064374D"/>
    <w:rsid w:val="006437B2"/>
    <w:rsid w:val="00643854"/>
    <w:rsid w:val="00643863"/>
    <w:rsid w:val="006438ED"/>
    <w:rsid w:val="006439D5"/>
    <w:rsid w:val="00643A40"/>
    <w:rsid w:val="00643AB1"/>
    <w:rsid w:val="00643AB6"/>
    <w:rsid w:val="00643AFC"/>
    <w:rsid w:val="00643B25"/>
    <w:rsid w:val="00643B6B"/>
    <w:rsid w:val="00643C0A"/>
    <w:rsid w:val="00643C62"/>
    <w:rsid w:val="00643DFE"/>
    <w:rsid w:val="00643E6E"/>
    <w:rsid w:val="00643EA1"/>
    <w:rsid w:val="00643F9F"/>
    <w:rsid w:val="00643FBB"/>
    <w:rsid w:val="0064404F"/>
    <w:rsid w:val="00644214"/>
    <w:rsid w:val="006442A2"/>
    <w:rsid w:val="00644307"/>
    <w:rsid w:val="0064432A"/>
    <w:rsid w:val="00644384"/>
    <w:rsid w:val="00644403"/>
    <w:rsid w:val="0064444C"/>
    <w:rsid w:val="006444A8"/>
    <w:rsid w:val="006444A9"/>
    <w:rsid w:val="006444BB"/>
    <w:rsid w:val="006444F3"/>
    <w:rsid w:val="006445C9"/>
    <w:rsid w:val="0064477B"/>
    <w:rsid w:val="00644795"/>
    <w:rsid w:val="00644847"/>
    <w:rsid w:val="006448B2"/>
    <w:rsid w:val="00644993"/>
    <w:rsid w:val="006449B1"/>
    <w:rsid w:val="006449FF"/>
    <w:rsid w:val="00644A8F"/>
    <w:rsid w:val="00644B13"/>
    <w:rsid w:val="00644B5A"/>
    <w:rsid w:val="00644BC9"/>
    <w:rsid w:val="00644C77"/>
    <w:rsid w:val="00644D3F"/>
    <w:rsid w:val="00644DFB"/>
    <w:rsid w:val="00644E37"/>
    <w:rsid w:val="00644E7E"/>
    <w:rsid w:val="00644F70"/>
    <w:rsid w:val="00644F7A"/>
    <w:rsid w:val="00644F8C"/>
    <w:rsid w:val="00644F97"/>
    <w:rsid w:val="00644FB2"/>
    <w:rsid w:val="00644FD4"/>
    <w:rsid w:val="00645007"/>
    <w:rsid w:val="00645008"/>
    <w:rsid w:val="0064504B"/>
    <w:rsid w:val="00645063"/>
    <w:rsid w:val="006450A2"/>
    <w:rsid w:val="00645138"/>
    <w:rsid w:val="00645275"/>
    <w:rsid w:val="006453A3"/>
    <w:rsid w:val="0064547D"/>
    <w:rsid w:val="00645694"/>
    <w:rsid w:val="00645800"/>
    <w:rsid w:val="0064584E"/>
    <w:rsid w:val="00645913"/>
    <w:rsid w:val="00645993"/>
    <w:rsid w:val="006459DD"/>
    <w:rsid w:val="00645AE3"/>
    <w:rsid w:val="00645B99"/>
    <w:rsid w:val="00645C61"/>
    <w:rsid w:val="00645D7F"/>
    <w:rsid w:val="00645E3B"/>
    <w:rsid w:val="00645E9A"/>
    <w:rsid w:val="00645F7C"/>
    <w:rsid w:val="00646040"/>
    <w:rsid w:val="00646121"/>
    <w:rsid w:val="006461A2"/>
    <w:rsid w:val="006461DF"/>
    <w:rsid w:val="00646217"/>
    <w:rsid w:val="00646248"/>
    <w:rsid w:val="006462ED"/>
    <w:rsid w:val="0064636D"/>
    <w:rsid w:val="006463FC"/>
    <w:rsid w:val="0064644B"/>
    <w:rsid w:val="00646496"/>
    <w:rsid w:val="00646526"/>
    <w:rsid w:val="006465BB"/>
    <w:rsid w:val="00646606"/>
    <w:rsid w:val="006466CB"/>
    <w:rsid w:val="006466F3"/>
    <w:rsid w:val="006467F6"/>
    <w:rsid w:val="00646862"/>
    <w:rsid w:val="00646A89"/>
    <w:rsid w:val="00646B2F"/>
    <w:rsid w:val="00646BF2"/>
    <w:rsid w:val="00646C0F"/>
    <w:rsid w:val="00646D1F"/>
    <w:rsid w:val="00646DD1"/>
    <w:rsid w:val="00646F02"/>
    <w:rsid w:val="00646FB0"/>
    <w:rsid w:val="0064704E"/>
    <w:rsid w:val="0064705D"/>
    <w:rsid w:val="006471AF"/>
    <w:rsid w:val="006472AC"/>
    <w:rsid w:val="006473A7"/>
    <w:rsid w:val="00647480"/>
    <w:rsid w:val="0064749D"/>
    <w:rsid w:val="00647554"/>
    <w:rsid w:val="006477CC"/>
    <w:rsid w:val="00647828"/>
    <w:rsid w:val="006478B7"/>
    <w:rsid w:val="0064793F"/>
    <w:rsid w:val="00647943"/>
    <w:rsid w:val="00647ACD"/>
    <w:rsid w:val="00647AE4"/>
    <w:rsid w:val="00647C3F"/>
    <w:rsid w:val="00647CEC"/>
    <w:rsid w:val="00647D73"/>
    <w:rsid w:val="00647EB7"/>
    <w:rsid w:val="00647F6B"/>
    <w:rsid w:val="00647FD5"/>
    <w:rsid w:val="00650102"/>
    <w:rsid w:val="0065010A"/>
    <w:rsid w:val="006502A8"/>
    <w:rsid w:val="006502BC"/>
    <w:rsid w:val="0065031C"/>
    <w:rsid w:val="00650329"/>
    <w:rsid w:val="006504BD"/>
    <w:rsid w:val="0065053D"/>
    <w:rsid w:val="00650589"/>
    <w:rsid w:val="0065078A"/>
    <w:rsid w:val="006507D0"/>
    <w:rsid w:val="006508C0"/>
    <w:rsid w:val="00650938"/>
    <w:rsid w:val="00650954"/>
    <w:rsid w:val="0065099A"/>
    <w:rsid w:val="00650A50"/>
    <w:rsid w:val="00650AA4"/>
    <w:rsid w:val="00650BAC"/>
    <w:rsid w:val="00650BBF"/>
    <w:rsid w:val="00650BF3"/>
    <w:rsid w:val="00650CCF"/>
    <w:rsid w:val="00650D21"/>
    <w:rsid w:val="00650D99"/>
    <w:rsid w:val="00650DE1"/>
    <w:rsid w:val="00650E37"/>
    <w:rsid w:val="00651093"/>
    <w:rsid w:val="006510BF"/>
    <w:rsid w:val="006510D4"/>
    <w:rsid w:val="00651178"/>
    <w:rsid w:val="00651278"/>
    <w:rsid w:val="006513C1"/>
    <w:rsid w:val="00651402"/>
    <w:rsid w:val="00651403"/>
    <w:rsid w:val="00651498"/>
    <w:rsid w:val="00651553"/>
    <w:rsid w:val="006515DB"/>
    <w:rsid w:val="00651641"/>
    <w:rsid w:val="00651724"/>
    <w:rsid w:val="0065174F"/>
    <w:rsid w:val="00651985"/>
    <w:rsid w:val="00651AAF"/>
    <w:rsid w:val="00651AD9"/>
    <w:rsid w:val="00651AF4"/>
    <w:rsid w:val="00651BD7"/>
    <w:rsid w:val="00651BE7"/>
    <w:rsid w:val="00651C00"/>
    <w:rsid w:val="00651C31"/>
    <w:rsid w:val="00651C88"/>
    <w:rsid w:val="00651D6F"/>
    <w:rsid w:val="00651D93"/>
    <w:rsid w:val="00651E9A"/>
    <w:rsid w:val="00651EF2"/>
    <w:rsid w:val="00651F55"/>
    <w:rsid w:val="00651F7C"/>
    <w:rsid w:val="00651F9F"/>
    <w:rsid w:val="006520BB"/>
    <w:rsid w:val="006520DD"/>
    <w:rsid w:val="00652129"/>
    <w:rsid w:val="00652252"/>
    <w:rsid w:val="0065226D"/>
    <w:rsid w:val="0065236E"/>
    <w:rsid w:val="0065247C"/>
    <w:rsid w:val="006524C6"/>
    <w:rsid w:val="006524E1"/>
    <w:rsid w:val="006525A4"/>
    <w:rsid w:val="006525BB"/>
    <w:rsid w:val="006525FC"/>
    <w:rsid w:val="0065271A"/>
    <w:rsid w:val="006527B8"/>
    <w:rsid w:val="00652892"/>
    <w:rsid w:val="00652921"/>
    <w:rsid w:val="0065299B"/>
    <w:rsid w:val="0065299D"/>
    <w:rsid w:val="00652A24"/>
    <w:rsid w:val="00652A42"/>
    <w:rsid w:val="00652BEA"/>
    <w:rsid w:val="00652D07"/>
    <w:rsid w:val="00652E48"/>
    <w:rsid w:val="00652EAC"/>
    <w:rsid w:val="00652FBB"/>
    <w:rsid w:val="00652FEA"/>
    <w:rsid w:val="006530E3"/>
    <w:rsid w:val="00653150"/>
    <w:rsid w:val="00653191"/>
    <w:rsid w:val="00653233"/>
    <w:rsid w:val="00653245"/>
    <w:rsid w:val="00653254"/>
    <w:rsid w:val="0065330F"/>
    <w:rsid w:val="00653345"/>
    <w:rsid w:val="00653358"/>
    <w:rsid w:val="00653380"/>
    <w:rsid w:val="006533D8"/>
    <w:rsid w:val="00653429"/>
    <w:rsid w:val="0065345D"/>
    <w:rsid w:val="00653482"/>
    <w:rsid w:val="0065349C"/>
    <w:rsid w:val="006534BD"/>
    <w:rsid w:val="00653540"/>
    <w:rsid w:val="00653545"/>
    <w:rsid w:val="0065355B"/>
    <w:rsid w:val="00653722"/>
    <w:rsid w:val="00653750"/>
    <w:rsid w:val="006538AE"/>
    <w:rsid w:val="00653924"/>
    <w:rsid w:val="00653A5B"/>
    <w:rsid w:val="00653A86"/>
    <w:rsid w:val="00653B71"/>
    <w:rsid w:val="00653BB8"/>
    <w:rsid w:val="00653BE4"/>
    <w:rsid w:val="00653C2C"/>
    <w:rsid w:val="00653E64"/>
    <w:rsid w:val="00653F13"/>
    <w:rsid w:val="00653F7D"/>
    <w:rsid w:val="00653F92"/>
    <w:rsid w:val="00653FDC"/>
    <w:rsid w:val="00654070"/>
    <w:rsid w:val="0065440A"/>
    <w:rsid w:val="00654503"/>
    <w:rsid w:val="006545F2"/>
    <w:rsid w:val="00654690"/>
    <w:rsid w:val="0065472B"/>
    <w:rsid w:val="006547E2"/>
    <w:rsid w:val="006547EC"/>
    <w:rsid w:val="0065487D"/>
    <w:rsid w:val="00654A5B"/>
    <w:rsid w:val="00654A72"/>
    <w:rsid w:val="00654A82"/>
    <w:rsid w:val="00654B06"/>
    <w:rsid w:val="00654BF4"/>
    <w:rsid w:val="00654BFC"/>
    <w:rsid w:val="00654C1A"/>
    <w:rsid w:val="00654C9F"/>
    <w:rsid w:val="00654D67"/>
    <w:rsid w:val="00654D81"/>
    <w:rsid w:val="00654EA1"/>
    <w:rsid w:val="00654EEF"/>
    <w:rsid w:val="00654F10"/>
    <w:rsid w:val="006550AF"/>
    <w:rsid w:val="006550B5"/>
    <w:rsid w:val="00655114"/>
    <w:rsid w:val="00655160"/>
    <w:rsid w:val="00655298"/>
    <w:rsid w:val="006553D5"/>
    <w:rsid w:val="00655451"/>
    <w:rsid w:val="006555A4"/>
    <w:rsid w:val="00655620"/>
    <w:rsid w:val="006557CD"/>
    <w:rsid w:val="0065587D"/>
    <w:rsid w:val="0065589C"/>
    <w:rsid w:val="006558BE"/>
    <w:rsid w:val="006558CB"/>
    <w:rsid w:val="0065592E"/>
    <w:rsid w:val="006559D4"/>
    <w:rsid w:val="006559DB"/>
    <w:rsid w:val="00655A65"/>
    <w:rsid w:val="00655AFF"/>
    <w:rsid w:val="00655BAD"/>
    <w:rsid w:val="00655CF4"/>
    <w:rsid w:val="00655E15"/>
    <w:rsid w:val="00655EDD"/>
    <w:rsid w:val="00655EED"/>
    <w:rsid w:val="00656004"/>
    <w:rsid w:val="006561E6"/>
    <w:rsid w:val="00656292"/>
    <w:rsid w:val="00656353"/>
    <w:rsid w:val="0065638F"/>
    <w:rsid w:val="006564AB"/>
    <w:rsid w:val="006564BF"/>
    <w:rsid w:val="00656755"/>
    <w:rsid w:val="0065677C"/>
    <w:rsid w:val="00656940"/>
    <w:rsid w:val="006569A4"/>
    <w:rsid w:val="006569B1"/>
    <w:rsid w:val="00656AE6"/>
    <w:rsid w:val="00656B85"/>
    <w:rsid w:val="00656CB9"/>
    <w:rsid w:val="00656D28"/>
    <w:rsid w:val="00656DEC"/>
    <w:rsid w:val="00656DF5"/>
    <w:rsid w:val="00656F92"/>
    <w:rsid w:val="00656FAC"/>
    <w:rsid w:val="00656FE6"/>
    <w:rsid w:val="00657031"/>
    <w:rsid w:val="0065705E"/>
    <w:rsid w:val="00657088"/>
    <w:rsid w:val="006570FE"/>
    <w:rsid w:val="00657119"/>
    <w:rsid w:val="00657131"/>
    <w:rsid w:val="0065713A"/>
    <w:rsid w:val="006571AD"/>
    <w:rsid w:val="006573B5"/>
    <w:rsid w:val="006573F1"/>
    <w:rsid w:val="0065740F"/>
    <w:rsid w:val="006574D3"/>
    <w:rsid w:val="006575B9"/>
    <w:rsid w:val="0065764C"/>
    <w:rsid w:val="00657684"/>
    <w:rsid w:val="00657692"/>
    <w:rsid w:val="00657694"/>
    <w:rsid w:val="0065784F"/>
    <w:rsid w:val="00657850"/>
    <w:rsid w:val="00657870"/>
    <w:rsid w:val="00657884"/>
    <w:rsid w:val="00657991"/>
    <w:rsid w:val="00657AFD"/>
    <w:rsid w:val="00657CD1"/>
    <w:rsid w:val="00657E2D"/>
    <w:rsid w:val="00657E64"/>
    <w:rsid w:val="00657F4B"/>
    <w:rsid w:val="00657F7D"/>
    <w:rsid w:val="00657FEE"/>
    <w:rsid w:val="00660157"/>
    <w:rsid w:val="0066020C"/>
    <w:rsid w:val="0066027D"/>
    <w:rsid w:val="006602F1"/>
    <w:rsid w:val="0066036F"/>
    <w:rsid w:val="006603BC"/>
    <w:rsid w:val="00660532"/>
    <w:rsid w:val="00660545"/>
    <w:rsid w:val="00660567"/>
    <w:rsid w:val="0066066B"/>
    <w:rsid w:val="00660728"/>
    <w:rsid w:val="006607C8"/>
    <w:rsid w:val="006607FB"/>
    <w:rsid w:val="00660807"/>
    <w:rsid w:val="00660832"/>
    <w:rsid w:val="0066085F"/>
    <w:rsid w:val="0066088A"/>
    <w:rsid w:val="006608A2"/>
    <w:rsid w:val="00660967"/>
    <w:rsid w:val="00660999"/>
    <w:rsid w:val="00660A91"/>
    <w:rsid w:val="00660ACB"/>
    <w:rsid w:val="00660AF3"/>
    <w:rsid w:val="00660AFA"/>
    <w:rsid w:val="00660B10"/>
    <w:rsid w:val="00660B77"/>
    <w:rsid w:val="00660C86"/>
    <w:rsid w:val="00660D63"/>
    <w:rsid w:val="00660DB2"/>
    <w:rsid w:val="00660DEC"/>
    <w:rsid w:val="00660E34"/>
    <w:rsid w:val="00660E44"/>
    <w:rsid w:val="00660F97"/>
    <w:rsid w:val="00660FB1"/>
    <w:rsid w:val="00661016"/>
    <w:rsid w:val="0066111F"/>
    <w:rsid w:val="006611DD"/>
    <w:rsid w:val="006611DF"/>
    <w:rsid w:val="00661391"/>
    <w:rsid w:val="006613E2"/>
    <w:rsid w:val="006614CB"/>
    <w:rsid w:val="0066152D"/>
    <w:rsid w:val="0066153F"/>
    <w:rsid w:val="00661545"/>
    <w:rsid w:val="006615DC"/>
    <w:rsid w:val="006615F0"/>
    <w:rsid w:val="00661610"/>
    <w:rsid w:val="0066164E"/>
    <w:rsid w:val="0066169D"/>
    <w:rsid w:val="00661748"/>
    <w:rsid w:val="00661765"/>
    <w:rsid w:val="0066176C"/>
    <w:rsid w:val="0066181D"/>
    <w:rsid w:val="00661869"/>
    <w:rsid w:val="00661921"/>
    <w:rsid w:val="0066194D"/>
    <w:rsid w:val="00661A4D"/>
    <w:rsid w:val="00661AF2"/>
    <w:rsid w:val="00661B1C"/>
    <w:rsid w:val="00661BA3"/>
    <w:rsid w:val="00661C34"/>
    <w:rsid w:val="00661E36"/>
    <w:rsid w:val="00661E40"/>
    <w:rsid w:val="00661E6B"/>
    <w:rsid w:val="00661E86"/>
    <w:rsid w:val="00661FF5"/>
    <w:rsid w:val="00662040"/>
    <w:rsid w:val="00662048"/>
    <w:rsid w:val="0066208F"/>
    <w:rsid w:val="0066211B"/>
    <w:rsid w:val="006621F2"/>
    <w:rsid w:val="00662223"/>
    <w:rsid w:val="00662252"/>
    <w:rsid w:val="00662272"/>
    <w:rsid w:val="006622C5"/>
    <w:rsid w:val="0066230A"/>
    <w:rsid w:val="00662476"/>
    <w:rsid w:val="0066256B"/>
    <w:rsid w:val="00662693"/>
    <w:rsid w:val="0066270D"/>
    <w:rsid w:val="00662759"/>
    <w:rsid w:val="006628A2"/>
    <w:rsid w:val="00662AE7"/>
    <w:rsid w:val="00662B1E"/>
    <w:rsid w:val="00662BA4"/>
    <w:rsid w:val="00662C67"/>
    <w:rsid w:val="00662D9F"/>
    <w:rsid w:val="00662F39"/>
    <w:rsid w:val="00662F64"/>
    <w:rsid w:val="0066303E"/>
    <w:rsid w:val="00663059"/>
    <w:rsid w:val="006630E0"/>
    <w:rsid w:val="00663151"/>
    <w:rsid w:val="00663195"/>
    <w:rsid w:val="006631AA"/>
    <w:rsid w:val="0066332A"/>
    <w:rsid w:val="0066332D"/>
    <w:rsid w:val="00663383"/>
    <w:rsid w:val="0066339B"/>
    <w:rsid w:val="00663441"/>
    <w:rsid w:val="006634A6"/>
    <w:rsid w:val="006634E8"/>
    <w:rsid w:val="0066359C"/>
    <w:rsid w:val="006635EF"/>
    <w:rsid w:val="0066366E"/>
    <w:rsid w:val="0066369E"/>
    <w:rsid w:val="0066373D"/>
    <w:rsid w:val="00663877"/>
    <w:rsid w:val="00663BD6"/>
    <w:rsid w:val="00663C04"/>
    <w:rsid w:val="00663D4E"/>
    <w:rsid w:val="00663E07"/>
    <w:rsid w:val="00663E47"/>
    <w:rsid w:val="00663F4D"/>
    <w:rsid w:val="00663FF2"/>
    <w:rsid w:val="006640CC"/>
    <w:rsid w:val="006641CA"/>
    <w:rsid w:val="00664283"/>
    <w:rsid w:val="00664324"/>
    <w:rsid w:val="00664371"/>
    <w:rsid w:val="00664392"/>
    <w:rsid w:val="00664457"/>
    <w:rsid w:val="00664465"/>
    <w:rsid w:val="006644CD"/>
    <w:rsid w:val="006644FC"/>
    <w:rsid w:val="00664594"/>
    <w:rsid w:val="006645DB"/>
    <w:rsid w:val="00664677"/>
    <w:rsid w:val="006646F6"/>
    <w:rsid w:val="00664742"/>
    <w:rsid w:val="0066479B"/>
    <w:rsid w:val="006647B5"/>
    <w:rsid w:val="00664845"/>
    <w:rsid w:val="00664A84"/>
    <w:rsid w:val="00664A91"/>
    <w:rsid w:val="00664C29"/>
    <w:rsid w:val="00664C5A"/>
    <w:rsid w:val="00664C6F"/>
    <w:rsid w:val="00664C83"/>
    <w:rsid w:val="00664D8C"/>
    <w:rsid w:val="00664EB2"/>
    <w:rsid w:val="00664F11"/>
    <w:rsid w:val="00664F2E"/>
    <w:rsid w:val="00664FD3"/>
    <w:rsid w:val="006651A9"/>
    <w:rsid w:val="006651BF"/>
    <w:rsid w:val="00665338"/>
    <w:rsid w:val="00665355"/>
    <w:rsid w:val="0066535B"/>
    <w:rsid w:val="006653D8"/>
    <w:rsid w:val="006654C4"/>
    <w:rsid w:val="0066568D"/>
    <w:rsid w:val="006656D2"/>
    <w:rsid w:val="0066572A"/>
    <w:rsid w:val="006657B6"/>
    <w:rsid w:val="00665876"/>
    <w:rsid w:val="0066592B"/>
    <w:rsid w:val="006659CC"/>
    <w:rsid w:val="00665AA8"/>
    <w:rsid w:val="00665B41"/>
    <w:rsid w:val="00665B5F"/>
    <w:rsid w:val="00665B75"/>
    <w:rsid w:val="00665BB6"/>
    <w:rsid w:val="00665C09"/>
    <w:rsid w:val="00665C72"/>
    <w:rsid w:val="00665CB4"/>
    <w:rsid w:val="00665D21"/>
    <w:rsid w:val="00665EAB"/>
    <w:rsid w:val="00665EB2"/>
    <w:rsid w:val="00666013"/>
    <w:rsid w:val="00666034"/>
    <w:rsid w:val="0066606D"/>
    <w:rsid w:val="0066606E"/>
    <w:rsid w:val="00666086"/>
    <w:rsid w:val="00666171"/>
    <w:rsid w:val="00666213"/>
    <w:rsid w:val="00666281"/>
    <w:rsid w:val="00666346"/>
    <w:rsid w:val="006663EE"/>
    <w:rsid w:val="006663F9"/>
    <w:rsid w:val="00666405"/>
    <w:rsid w:val="00666462"/>
    <w:rsid w:val="00666484"/>
    <w:rsid w:val="006664E3"/>
    <w:rsid w:val="0066652F"/>
    <w:rsid w:val="00666691"/>
    <w:rsid w:val="006666F0"/>
    <w:rsid w:val="00666788"/>
    <w:rsid w:val="006667E8"/>
    <w:rsid w:val="00666859"/>
    <w:rsid w:val="00666884"/>
    <w:rsid w:val="00666886"/>
    <w:rsid w:val="006668F6"/>
    <w:rsid w:val="0066692D"/>
    <w:rsid w:val="00666A00"/>
    <w:rsid w:val="00666C14"/>
    <w:rsid w:val="00666C5C"/>
    <w:rsid w:val="00666C92"/>
    <w:rsid w:val="00666C9D"/>
    <w:rsid w:val="00666CB9"/>
    <w:rsid w:val="00666DD5"/>
    <w:rsid w:val="00666EDE"/>
    <w:rsid w:val="00666F26"/>
    <w:rsid w:val="00666F2C"/>
    <w:rsid w:val="00666F5C"/>
    <w:rsid w:val="006670CC"/>
    <w:rsid w:val="006671C9"/>
    <w:rsid w:val="006672CF"/>
    <w:rsid w:val="006672F5"/>
    <w:rsid w:val="00667310"/>
    <w:rsid w:val="0066739C"/>
    <w:rsid w:val="00667578"/>
    <w:rsid w:val="00667589"/>
    <w:rsid w:val="0066758C"/>
    <w:rsid w:val="0066775C"/>
    <w:rsid w:val="00667771"/>
    <w:rsid w:val="0066779A"/>
    <w:rsid w:val="006677E4"/>
    <w:rsid w:val="00667892"/>
    <w:rsid w:val="0066791E"/>
    <w:rsid w:val="00667B27"/>
    <w:rsid w:val="00667B86"/>
    <w:rsid w:val="00667BA3"/>
    <w:rsid w:val="00667C7D"/>
    <w:rsid w:val="00667CC8"/>
    <w:rsid w:val="00667CD4"/>
    <w:rsid w:val="00667DF7"/>
    <w:rsid w:val="00667DFD"/>
    <w:rsid w:val="00667E25"/>
    <w:rsid w:val="00667E58"/>
    <w:rsid w:val="00667E8F"/>
    <w:rsid w:val="00667F45"/>
    <w:rsid w:val="00667F65"/>
    <w:rsid w:val="00667F95"/>
    <w:rsid w:val="00667FB7"/>
    <w:rsid w:val="00667FF5"/>
    <w:rsid w:val="0066AA86"/>
    <w:rsid w:val="00670099"/>
    <w:rsid w:val="006700B3"/>
    <w:rsid w:val="006700FE"/>
    <w:rsid w:val="00670173"/>
    <w:rsid w:val="006701B9"/>
    <w:rsid w:val="00670255"/>
    <w:rsid w:val="0067029B"/>
    <w:rsid w:val="006702AF"/>
    <w:rsid w:val="00670512"/>
    <w:rsid w:val="00670564"/>
    <w:rsid w:val="0067056D"/>
    <w:rsid w:val="0067061B"/>
    <w:rsid w:val="0067064E"/>
    <w:rsid w:val="00670725"/>
    <w:rsid w:val="00670738"/>
    <w:rsid w:val="006708B3"/>
    <w:rsid w:val="00670902"/>
    <w:rsid w:val="00670AB2"/>
    <w:rsid w:val="00670ACA"/>
    <w:rsid w:val="00670AD6"/>
    <w:rsid w:val="00670BFD"/>
    <w:rsid w:val="00670C8F"/>
    <w:rsid w:val="00670EB2"/>
    <w:rsid w:val="00670F48"/>
    <w:rsid w:val="00670F9B"/>
    <w:rsid w:val="006710D7"/>
    <w:rsid w:val="006711D7"/>
    <w:rsid w:val="006712B8"/>
    <w:rsid w:val="006712E9"/>
    <w:rsid w:val="006713DE"/>
    <w:rsid w:val="0067158A"/>
    <w:rsid w:val="006715B7"/>
    <w:rsid w:val="00671673"/>
    <w:rsid w:val="00671961"/>
    <w:rsid w:val="006719D8"/>
    <w:rsid w:val="00671A94"/>
    <w:rsid w:val="00671CF5"/>
    <w:rsid w:val="00671E53"/>
    <w:rsid w:val="00671EE3"/>
    <w:rsid w:val="00671F6D"/>
    <w:rsid w:val="00671F8E"/>
    <w:rsid w:val="00672013"/>
    <w:rsid w:val="00672092"/>
    <w:rsid w:val="00672108"/>
    <w:rsid w:val="00672143"/>
    <w:rsid w:val="006721FB"/>
    <w:rsid w:val="0067235B"/>
    <w:rsid w:val="006723E5"/>
    <w:rsid w:val="0067241A"/>
    <w:rsid w:val="006724C5"/>
    <w:rsid w:val="0067255D"/>
    <w:rsid w:val="00672592"/>
    <w:rsid w:val="0067268A"/>
    <w:rsid w:val="006726F4"/>
    <w:rsid w:val="00672729"/>
    <w:rsid w:val="0067277B"/>
    <w:rsid w:val="006728B0"/>
    <w:rsid w:val="00672B39"/>
    <w:rsid w:val="00672BB7"/>
    <w:rsid w:val="00672C34"/>
    <w:rsid w:val="00672C76"/>
    <w:rsid w:val="00672C87"/>
    <w:rsid w:val="00672CAA"/>
    <w:rsid w:val="00672D19"/>
    <w:rsid w:val="00672D1E"/>
    <w:rsid w:val="00672D4C"/>
    <w:rsid w:val="00672D6C"/>
    <w:rsid w:val="00672E27"/>
    <w:rsid w:val="00672E6F"/>
    <w:rsid w:val="00672EDE"/>
    <w:rsid w:val="00672F1B"/>
    <w:rsid w:val="00673016"/>
    <w:rsid w:val="00673069"/>
    <w:rsid w:val="00673085"/>
    <w:rsid w:val="006730BB"/>
    <w:rsid w:val="00673111"/>
    <w:rsid w:val="006732E9"/>
    <w:rsid w:val="00673326"/>
    <w:rsid w:val="00673415"/>
    <w:rsid w:val="006734BB"/>
    <w:rsid w:val="00673526"/>
    <w:rsid w:val="0067352B"/>
    <w:rsid w:val="0067352D"/>
    <w:rsid w:val="00673640"/>
    <w:rsid w:val="006736BA"/>
    <w:rsid w:val="006736E9"/>
    <w:rsid w:val="00673701"/>
    <w:rsid w:val="0067376A"/>
    <w:rsid w:val="00673812"/>
    <w:rsid w:val="00673849"/>
    <w:rsid w:val="00673850"/>
    <w:rsid w:val="006738C2"/>
    <w:rsid w:val="006738FF"/>
    <w:rsid w:val="0067396F"/>
    <w:rsid w:val="00673AEE"/>
    <w:rsid w:val="00673DBF"/>
    <w:rsid w:val="00673E02"/>
    <w:rsid w:val="00673F97"/>
    <w:rsid w:val="00673FB1"/>
    <w:rsid w:val="00674055"/>
    <w:rsid w:val="00674057"/>
    <w:rsid w:val="006740B8"/>
    <w:rsid w:val="006740CE"/>
    <w:rsid w:val="00674233"/>
    <w:rsid w:val="00674249"/>
    <w:rsid w:val="00674250"/>
    <w:rsid w:val="006742DF"/>
    <w:rsid w:val="006743EA"/>
    <w:rsid w:val="00674462"/>
    <w:rsid w:val="0067446B"/>
    <w:rsid w:val="0067447C"/>
    <w:rsid w:val="0067457F"/>
    <w:rsid w:val="0067459A"/>
    <w:rsid w:val="0067459D"/>
    <w:rsid w:val="00674650"/>
    <w:rsid w:val="00674701"/>
    <w:rsid w:val="00674760"/>
    <w:rsid w:val="006748BE"/>
    <w:rsid w:val="006748F5"/>
    <w:rsid w:val="00674A66"/>
    <w:rsid w:val="00674AA5"/>
    <w:rsid w:val="00674B91"/>
    <w:rsid w:val="00674BA0"/>
    <w:rsid w:val="00674C07"/>
    <w:rsid w:val="00674C22"/>
    <w:rsid w:val="00674CFF"/>
    <w:rsid w:val="00674DD7"/>
    <w:rsid w:val="00674E35"/>
    <w:rsid w:val="00674EC1"/>
    <w:rsid w:val="00674F3E"/>
    <w:rsid w:val="00674FDF"/>
    <w:rsid w:val="0067504D"/>
    <w:rsid w:val="0067518D"/>
    <w:rsid w:val="006751F6"/>
    <w:rsid w:val="00675280"/>
    <w:rsid w:val="00675303"/>
    <w:rsid w:val="00675438"/>
    <w:rsid w:val="0067546D"/>
    <w:rsid w:val="0067547B"/>
    <w:rsid w:val="00675486"/>
    <w:rsid w:val="0067553A"/>
    <w:rsid w:val="006755C6"/>
    <w:rsid w:val="006756F2"/>
    <w:rsid w:val="006756F8"/>
    <w:rsid w:val="0067570A"/>
    <w:rsid w:val="00675738"/>
    <w:rsid w:val="00675892"/>
    <w:rsid w:val="006758D7"/>
    <w:rsid w:val="00675970"/>
    <w:rsid w:val="00675B25"/>
    <w:rsid w:val="00675B2A"/>
    <w:rsid w:val="00675C48"/>
    <w:rsid w:val="00675D59"/>
    <w:rsid w:val="00675E94"/>
    <w:rsid w:val="00675EBB"/>
    <w:rsid w:val="00675F1D"/>
    <w:rsid w:val="00676000"/>
    <w:rsid w:val="00676002"/>
    <w:rsid w:val="00676031"/>
    <w:rsid w:val="00676069"/>
    <w:rsid w:val="00676110"/>
    <w:rsid w:val="00676111"/>
    <w:rsid w:val="00676133"/>
    <w:rsid w:val="00676137"/>
    <w:rsid w:val="006763CA"/>
    <w:rsid w:val="00676446"/>
    <w:rsid w:val="0067652F"/>
    <w:rsid w:val="006766DB"/>
    <w:rsid w:val="0067686E"/>
    <w:rsid w:val="00676873"/>
    <w:rsid w:val="00676A54"/>
    <w:rsid w:val="00676A75"/>
    <w:rsid w:val="00676B24"/>
    <w:rsid w:val="00676B3D"/>
    <w:rsid w:val="00676C10"/>
    <w:rsid w:val="00676C5A"/>
    <w:rsid w:val="00676CAE"/>
    <w:rsid w:val="00676D93"/>
    <w:rsid w:val="00676DD7"/>
    <w:rsid w:val="00676E15"/>
    <w:rsid w:val="00676E20"/>
    <w:rsid w:val="00676E48"/>
    <w:rsid w:val="00676F0C"/>
    <w:rsid w:val="00676FC9"/>
    <w:rsid w:val="0067706B"/>
    <w:rsid w:val="006770E8"/>
    <w:rsid w:val="00677198"/>
    <w:rsid w:val="00677209"/>
    <w:rsid w:val="006773D0"/>
    <w:rsid w:val="006774AD"/>
    <w:rsid w:val="0067750E"/>
    <w:rsid w:val="0067751E"/>
    <w:rsid w:val="00677545"/>
    <w:rsid w:val="00677548"/>
    <w:rsid w:val="006775FF"/>
    <w:rsid w:val="0067760A"/>
    <w:rsid w:val="00677677"/>
    <w:rsid w:val="00677685"/>
    <w:rsid w:val="0067792D"/>
    <w:rsid w:val="0067793A"/>
    <w:rsid w:val="006779DE"/>
    <w:rsid w:val="00677B3B"/>
    <w:rsid w:val="00677B52"/>
    <w:rsid w:val="00677BF3"/>
    <w:rsid w:val="00677C1F"/>
    <w:rsid w:val="00677CB6"/>
    <w:rsid w:val="00677DD7"/>
    <w:rsid w:val="00677DDA"/>
    <w:rsid w:val="00677F8C"/>
    <w:rsid w:val="00677FA1"/>
    <w:rsid w:val="0067DD6F"/>
    <w:rsid w:val="006800B3"/>
    <w:rsid w:val="00680152"/>
    <w:rsid w:val="00680178"/>
    <w:rsid w:val="00680380"/>
    <w:rsid w:val="0068038E"/>
    <w:rsid w:val="006803FE"/>
    <w:rsid w:val="0068048C"/>
    <w:rsid w:val="006805A7"/>
    <w:rsid w:val="006805FB"/>
    <w:rsid w:val="006806E9"/>
    <w:rsid w:val="00680930"/>
    <w:rsid w:val="00680A2A"/>
    <w:rsid w:val="00680B4F"/>
    <w:rsid w:val="00680B7F"/>
    <w:rsid w:val="00680C76"/>
    <w:rsid w:val="00680D4D"/>
    <w:rsid w:val="00680D88"/>
    <w:rsid w:val="00680E58"/>
    <w:rsid w:val="00680E7E"/>
    <w:rsid w:val="00680F38"/>
    <w:rsid w:val="00680F3C"/>
    <w:rsid w:val="00680F5A"/>
    <w:rsid w:val="00680F63"/>
    <w:rsid w:val="0068105D"/>
    <w:rsid w:val="006810C9"/>
    <w:rsid w:val="006811D0"/>
    <w:rsid w:val="006811D7"/>
    <w:rsid w:val="00681276"/>
    <w:rsid w:val="00681351"/>
    <w:rsid w:val="00681397"/>
    <w:rsid w:val="006813CC"/>
    <w:rsid w:val="00681449"/>
    <w:rsid w:val="006815EA"/>
    <w:rsid w:val="00681632"/>
    <w:rsid w:val="006816C4"/>
    <w:rsid w:val="0068180D"/>
    <w:rsid w:val="006818D7"/>
    <w:rsid w:val="006818D8"/>
    <w:rsid w:val="0068190A"/>
    <w:rsid w:val="006819A0"/>
    <w:rsid w:val="006819B3"/>
    <w:rsid w:val="006819FB"/>
    <w:rsid w:val="00681A6A"/>
    <w:rsid w:val="00681A8C"/>
    <w:rsid w:val="00681A8D"/>
    <w:rsid w:val="00681ADE"/>
    <w:rsid w:val="00681C6C"/>
    <w:rsid w:val="00681D10"/>
    <w:rsid w:val="00681D74"/>
    <w:rsid w:val="00681EC1"/>
    <w:rsid w:val="00681EF6"/>
    <w:rsid w:val="00681FB0"/>
    <w:rsid w:val="006820C9"/>
    <w:rsid w:val="00682156"/>
    <w:rsid w:val="0068219B"/>
    <w:rsid w:val="006821F7"/>
    <w:rsid w:val="00682215"/>
    <w:rsid w:val="006822F9"/>
    <w:rsid w:val="006823F8"/>
    <w:rsid w:val="00682497"/>
    <w:rsid w:val="006825E1"/>
    <w:rsid w:val="00682611"/>
    <w:rsid w:val="00682704"/>
    <w:rsid w:val="0068278B"/>
    <w:rsid w:val="006827E1"/>
    <w:rsid w:val="00682871"/>
    <w:rsid w:val="00682882"/>
    <w:rsid w:val="006828AE"/>
    <w:rsid w:val="006829DB"/>
    <w:rsid w:val="006829FD"/>
    <w:rsid w:val="006829FF"/>
    <w:rsid w:val="00682AD4"/>
    <w:rsid w:val="00682B23"/>
    <w:rsid w:val="00682B42"/>
    <w:rsid w:val="00682B88"/>
    <w:rsid w:val="00682C87"/>
    <w:rsid w:val="00682CE6"/>
    <w:rsid w:val="00682D0C"/>
    <w:rsid w:val="00682D58"/>
    <w:rsid w:val="00682E55"/>
    <w:rsid w:val="00682EB3"/>
    <w:rsid w:val="00682EEA"/>
    <w:rsid w:val="0068300D"/>
    <w:rsid w:val="0068306F"/>
    <w:rsid w:val="00683284"/>
    <w:rsid w:val="00683291"/>
    <w:rsid w:val="006832A4"/>
    <w:rsid w:val="006832CF"/>
    <w:rsid w:val="00683332"/>
    <w:rsid w:val="00683391"/>
    <w:rsid w:val="00683489"/>
    <w:rsid w:val="006834C8"/>
    <w:rsid w:val="00683503"/>
    <w:rsid w:val="00683628"/>
    <w:rsid w:val="00683807"/>
    <w:rsid w:val="0068394F"/>
    <w:rsid w:val="00683969"/>
    <w:rsid w:val="00683987"/>
    <w:rsid w:val="006839A6"/>
    <w:rsid w:val="00683A26"/>
    <w:rsid w:val="00683A67"/>
    <w:rsid w:val="00683CCA"/>
    <w:rsid w:val="00683CF9"/>
    <w:rsid w:val="00683D17"/>
    <w:rsid w:val="00683D37"/>
    <w:rsid w:val="00683D44"/>
    <w:rsid w:val="00683E40"/>
    <w:rsid w:val="00683E42"/>
    <w:rsid w:val="00684135"/>
    <w:rsid w:val="00684149"/>
    <w:rsid w:val="0068417E"/>
    <w:rsid w:val="0068419E"/>
    <w:rsid w:val="006842BB"/>
    <w:rsid w:val="00684419"/>
    <w:rsid w:val="006844BB"/>
    <w:rsid w:val="0068459B"/>
    <w:rsid w:val="006845E8"/>
    <w:rsid w:val="006845E9"/>
    <w:rsid w:val="00684600"/>
    <w:rsid w:val="00684627"/>
    <w:rsid w:val="00684632"/>
    <w:rsid w:val="006846A2"/>
    <w:rsid w:val="00684726"/>
    <w:rsid w:val="0068482C"/>
    <w:rsid w:val="006848CF"/>
    <w:rsid w:val="006849BE"/>
    <w:rsid w:val="00684A1E"/>
    <w:rsid w:val="00684AAF"/>
    <w:rsid w:val="00684B3C"/>
    <w:rsid w:val="00684B59"/>
    <w:rsid w:val="00684C51"/>
    <w:rsid w:val="00684C5B"/>
    <w:rsid w:val="00684D81"/>
    <w:rsid w:val="00684DCE"/>
    <w:rsid w:val="00684E67"/>
    <w:rsid w:val="00684EA0"/>
    <w:rsid w:val="00684EE0"/>
    <w:rsid w:val="006850B4"/>
    <w:rsid w:val="006850E4"/>
    <w:rsid w:val="00685110"/>
    <w:rsid w:val="00685223"/>
    <w:rsid w:val="006852AB"/>
    <w:rsid w:val="006852AF"/>
    <w:rsid w:val="006853A4"/>
    <w:rsid w:val="006855E6"/>
    <w:rsid w:val="006856A2"/>
    <w:rsid w:val="006856C4"/>
    <w:rsid w:val="006856E4"/>
    <w:rsid w:val="006856E8"/>
    <w:rsid w:val="0068573C"/>
    <w:rsid w:val="006858BF"/>
    <w:rsid w:val="00685927"/>
    <w:rsid w:val="0068592C"/>
    <w:rsid w:val="00685943"/>
    <w:rsid w:val="00685945"/>
    <w:rsid w:val="0068596C"/>
    <w:rsid w:val="00685A94"/>
    <w:rsid w:val="00685ABB"/>
    <w:rsid w:val="00685BCA"/>
    <w:rsid w:val="00685BCD"/>
    <w:rsid w:val="00685C3F"/>
    <w:rsid w:val="00685CCA"/>
    <w:rsid w:val="00685D17"/>
    <w:rsid w:val="00685D93"/>
    <w:rsid w:val="00685DE9"/>
    <w:rsid w:val="00685E45"/>
    <w:rsid w:val="00685F6F"/>
    <w:rsid w:val="00686010"/>
    <w:rsid w:val="00686028"/>
    <w:rsid w:val="00686107"/>
    <w:rsid w:val="0068612E"/>
    <w:rsid w:val="00686138"/>
    <w:rsid w:val="0068621B"/>
    <w:rsid w:val="00686243"/>
    <w:rsid w:val="0068628C"/>
    <w:rsid w:val="0068637B"/>
    <w:rsid w:val="006863AC"/>
    <w:rsid w:val="00686503"/>
    <w:rsid w:val="0068661F"/>
    <w:rsid w:val="006868C1"/>
    <w:rsid w:val="00686991"/>
    <w:rsid w:val="006869DC"/>
    <w:rsid w:val="006869E4"/>
    <w:rsid w:val="00686A0A"/>
    <w:rsid w:val="00686AC5"/>
    <w:rsid w:val="00686B26"/>
    <w:rsid w:val="00686D2C"/>
    <w:rsid w:val="00686DC3"/>
    <w:rsid w:val="00686F32"/>
    <w:rsid w:val="00686F64"/>
    <w:rsid w:val="006871C7"/>
    <w:rsid w:val="006871FC"/>
    <w:rsid w:val="00687231"/>
    <w:rsid w:val="00687471"/>
    <w:rsid w:val="006874B9"/>
    <w:rsid w:val="006874CC"/>
    <w:rsid w:val="00687564"/>
    <w:rsid w:val="006876F9"/>
    <w:rsid w:val="006877FC"/>
    <w:rsid w:val="0068781F"/>
    <w:rsid w:val="006879AC"/>
    <w:rsid w:val="006879C9"/>
    <w:rsid w:val="00687A56"/>
    <w:rsid w:val="00687A58"/>
    <w:rsid w:val="00687ACB"/>
    <w:rsid w:val="00687B8E"/>
    <w:rsid w:val="00687C32"/>
    <w:rsid w:val="00687CB9"/>
    <w:rsid w:val="00687D49"/>
    <w:rsid w:val="00687D61"/>
    <w:rsid w:val="00687D8F"/>
    <w:rsid w:val="00687DE8"/>
    <w:rsid w:val="00687DEF"/>
    <w:rsid w:val="00687F8F"/>
    <w:rsid w:val="006901DB"/>
    <w:rsid w:val="006901DE"/>
    <w:rsid w:val="00690296"/>
    <w:rsid w:val="006902E8"/>
    <w:rsid w:val="00690314"/>
    <w:rsid w:val="0069033C"/>
    <w:rsid w:val="006903D7"/>
    <w:rsid w:val="0069043D"/>
    <w:rsid w:val="00690518"/>
    <w:rsid w:val="00690553"/>
    <w:rsid w:val="00690654"/>
    <w:rsid w:val="006906EB"/>
    <w:rsid w:val="00690750"/>
    <w:rsid w:val="006907D9"/>
    <w:rsid w:val="0069090D"/>
    <w:rsid w:val="00690A1C"/>
    <w:rsid w:val="00690A3C"/>
    <w:rsid w:val="00690A96"/>
    <w:rsid w:val="00690BAD"/>
    <w:rsid w:val="00690BCA"/>
    <w:rsid w:val="00690C98"/>
    <w:rsid w:val="00690CE0"/>
    <w:rsid w:val="00690DC7"/>
    <w:rsid w:val="00690DE8"/>
    <w:rsid w:val="00690DEC"/>
    <w:rsid w:val="00690DF3"/>
    <w:rsid w:val="00690E04"/>
    <w:rsid w:val="00690E6D"/>
    <w:rsid w:val="00690E7F"/>
    <w:rsid w:val="00690EA9"/>
    <w:rsid w:val="00690F5F"/>
    <w:rsid w:val="00690F67"/>
    <w:rsid w:val="00691081"/>
    <w:rsid w:val="006911D8"/>
    <w:rsid w:val="006912FB"/>
    <w:rsid w:val="006913AF"/>
    <w:rsid w:val="006914AF"/>
    <w:rsid w:val="006914D3"/>
    <w:rsid w:val="00691542"/>
    <w:rsid w:val="00691573"/>
    <w:rsid w:val="0069177B"/>
    <w:rsid w:val="00691807"/>
    <w:rsid w:val="00691868"/>
    <w:rsid w:val="006919AE"/>
    <w:rsid w:val="00691AA5"/>
    <w:rsid w:val="00691AD3"/>
    <w:rsid w:val="00691B0A"/>
    <w:rsid w:val="00691C75"/>
    <w:rsid w:val="00691D24"/>
    <w:rsid w:val="00691D4C"/>
    <w:rsid w:val="00691DB5"/>
    <w:rsid w:val="00691E60"/>
    <w:rsid w:val="00691F66"/>
    <w:rsid w:val="00691F92"/>
    <w:rsid w:val="00691F9C"/>
    <w:rsid w:val="00691FA4"/>
    <w:rsid w:val="00691FA9"/>
    <w:rsid w:val="00691FD8"/>
    <w:rsid w:val="00692085"/>
    <w:rsid w:val="0069212E"/>
    <w:rsid w:val="00692363"/>
    <w:rsid w:val="006923DB"/>
    <w:rsid w:val="00692674"/>
    <w:rsid w:val="0069267F"/>
    <w:rsid w:val="00692785"/>
    <w:rsid w:val="00692864"/>
    <w:rsid w:val="006929DF"/>
    <w:rsid w:val="00692A20"/>
    <w:rsid w:val="00692A27"/>
    <w:rsid w:val="00692A53"/>
    <w:rsid w:val="00692A60"/>
    <w:rsid w:val="00692AB3"/>
    <w:rsid w:val="00692B74"/>
    <w:rsid w:val="00692BC9"/>
    <w:rsid w:val="00692BEE"/>
    <w:rsid w:val="00692C1E"/>
    <w:rsid w:val="00692C35"/>
    <w:rsid w:val="00692DB7"/>
    <w:rsid w:val="00692E53"/>
    <w:rsid w:val="00692E68"/>
    <w:rsid w:val="00692E8A"/>
    <w:rsid w:val="00692EE2"/>
    <w:rsid w:val="00692F2E"/>
    <w:rsid w:val="00692F72"/>
    <w:rsid w:val="00692FD5"/>
    <w:rsid w:val="006930A2"/>
    <w:rsid w:val="006931C9"/>
    <w:rsid w:val="006931EA"/>
    <w:rsid w:val="006931FB"/>
    <w:rsid w:val="006932F0"/>
    <w:rsid w:val="0069332E"/>
    <w:rsid w:val="0069346D"/>
    <w:rsid w:val="006934F3"/>
    <w:rsid w:val="00693508"/>
    <w:rsid w:val="0069368B"/>
    <w:rsid w:val="006936D9"/>
    <w:rsid w:val="00693891"/>
    <w:rsid w:val="006939BE"/>
    <w:rsid w:val="00693AC5"/>
    <w:rsid w:val="00693B36"/>
    <w:rsid w:val="00693B77"/>
    <w:rsid w:val="00693C2F"/>
    <w:rsid w:val="00693CA8"/>
    <w:rsid w:val="00693CCF"/>
    <w:rsid w:val="00693CFD"/>
    <w:rsid w:val="00693E29"/>
    <w:rsid w:val="00693E95"/>
    <w:rsid w:val="00693F81"/>
    <w:rsid w:val="00694154"/>
    <w:rsid w:val="006941A6"/>
    <w:rsid w:val="006941B4"/>
    <w:rsid w:val="006941F1"/>
    <w:rsid w:val="00694201"/>
    <w:rsid w:val="00694272"/>
    <w:rsid w:val="0069428A"/>
    <w:rsid w:val="006942C8"/>
    <w:rsid w:val="00694318"/>
    <w:rsid w:val="00694377"/>
    <w:rsid w:val="006944EF"/>
    <w:rsid w:val="006944FF"/>
    <w:rsid w:val="0069466B"/>
    <w:rsid w:val="0069468A"/>
    <w:rsid w:val="006946C2"/>
    <w:rsid w:val="006947F5"/>
    <w:rsid w:val="00694826"/>
    <w:rsid w:val="006948D5"/>
    <w:rsid w:val="006948F9"/>
    <w:rsid w:val="00694903"/>
    <w:rsid w:val="006949C2"/>
    <w:rsid w:val="00694A12"/>
    <w:rsid w:val="00694A50"/>
    <w:rsid w:val="00694A54"/>
    <w:rsid w:val="00694A74"/>
    <w:rsid w:val="00694A8C"/>
    <w:rsid w:val="00694AA3"/>
    <w:rsid w:val="00694ACE"/>
    <w:rsid w:val="00694B7E"/>
    <w:rsid w:val="00694BA4"/>
    <w:rsid w:val="00694BCD"/>
    <w:rsid w:val="00694C7B"/>
    <w:rsid w:val="00694C9C"/>
    <w:rsid w:val="00694CAB"/>
    <w:rsid w:val="00694DB0"/>
    <w:rsid w:val="00694E15"/>
    <w:rsid w:val="00694E62"/>
    <w:rsid w:val="00694EEC"/>
    <w:rsid w:val="00694F71"/>
    <w:rsid w:val="00694F94"/>
    <w:rsid w:val="00694FAD"/>
    <w:rsid w:val="00695131"/>
    <w:rsid w:val="006951B4"/>
    <w:rsid w:val="00695253"/>
    <w:rsid w:val="00695324"/>
    <w:rsid w:val="0069559B"/>
    <w:rsid w:val="006955E4"/>
    <w:rsid w:val="0069584A"/>
    <w:rsid w:val="0069589E"/>
    <w:rsid w:val="006958D6"/>
    <w:rsid w:val="00695995"/>
    <w:rsid w:val="00695A31"/>
    <w:rsid w:val="00695A69"/>
    <w:rsid w:val="00695B30"/>
    <w:rsid w:val="00695B93"/>
    <w:rsid w:val="00695BFC"/>
    <w:rsid w:val="00695CAD"/>
    <w:rsid w:val="00695CEC"/>
    <w:rsid w:val="00695D5D"/>
    <w:rsid w:val="00695D80"/>
    <w:rsid w:val="00695E0B"/>
    <w:rsid w:val="00695E11"/>
    <w:rsid w:val="00695E22"/>
    <w:rsid w:val="00695EAE"/>
    <w:rsid w:val="00695EC5"/>
    <w:rsid w:val="00695F31"/>
    <w:rsid w:val="00695F8D"/>
    <w:rsid w:val="00695F93"/>
    <w:rsid w:val="00695FB5"/>
    <w:rsid w:val="00695FFC"/>
    <w:rsid w:val="006960B2"/>
    <w:rsid w:val="0069610C"/>
    <w:rsid w:val="006961AA"/>
    <w:rsid w:val="006961EB"/>
    <w:rsid w:val="00696247"/>
    <w:rsid w:val="0069634C"/>
    <w:rsid w:val="0069636F"/>
    <w:rsid w:val="00696375"/>
    <w:rsid w:val="006963DE"/>
    <w:rsid w:val="00696446"/>
    <w:rsid w:val="0069656C"/>
    <w:rsid w:val="006967C5"/>
    <w:rsid w:val="006967F7"/>
    <w:rsid w:val="006968D1"/>
    <w:rsid w:val="00696938"/>
    <w:rsid w:val="00696A9E"/>
    <w:rsid w:val="00696AB5"/>
    <w:rsid w:val="00696B62"/>
    <w:rsid w:val="00696B87"/>
    <w:rsid w:val="00696BFF"/>
    <w:rsid w:val="00696C66"/>
    <w:rsid w:val="00696C81"/>
    <w:rsid w:val="00696DCE"/>
    <w:rsid w:val="00696E0B"/>
    <w:rsid w:val="00696E1A"/>
    <w:rsid w:val="00696E1F"/>
    <w:rsid w:val="00696EFD"/>
    <w:rsid w:val="00696F2B"/>
    <w:rsid w:val="00696F68"/>
    <w:rsid w:val="00696F86"/>
    <w:rsid w:val="00696FCB"/>
    <w:rsid w:val="0069701A"/>
    <w:rsid w:val="00697165"/>
    <w:rsid w:val="006972EB"/>
    <w:rsid w:val="006973B1"/>
    <w:rsid w:val="006973D1"/>
    <w:rsid w:val="0069740F"/>
    <w:rsid w:val="00697410"/>
    <w:rsid w:val="00697463"/>
    <w:rsid w:val="00697476"/>
    <w:rsid w:val="00697516"/>
    <w:rsid w:val="00697530"/>
    <w:rsid w:val="00697615"/>
    <w:rsid w:val="00697794"/>
    <w:rsid w:val="006977DE"/>
    <w:rsid w:val="0069782F"/>
    <w:rsid w:val="00697891"/>
    <w:rsid w:val="006979B5"/>
    <w:rsid w:val="00697D48"/>
    <w:rsid w:val="00697D7C"/>
    <w:rsid w:val="00697D98"/>
    <w:rsid w:val="00697E24"/>
    <w:rsid w:val="00697E73"/>
    <w:rsid w:val="00697F28"/>
    <w:rsid w:val="00697FBD"/>
    <w:rsid w:val="006A005E"/>
    <w:rsid w:val="006A0109"/>
    <w:rsid w:val="006A0271"/>
    <w:rsid w:val="006A0278"/>
    <w:rsid w:val="006A039E"/>
    <w:rsid w:val="006A03BC"/>
    <w:rsid w:val="006A03DC"/>
    <w:rsid w:val="006A0414"/>
    <w:rsid w:val="006A044C"/>
    <w:rsid w:val="006A05A9"/>
    <w:rsid w:val="006A0622"/>
    <w:rsid w:val="006A06A1"/>
    <w:rsid w:val="006A06F3"/>
    <w:rsid w:val="006A077A"/>
    <w:rsid w:val="006A07C3"/>
    <w:rsid w:val="006A08C6"/>
    <w:rsid w:val="006A0988"/>
    <w:rsid w:val="006A09AB"/>
    <w:rsid w:val="006A0CDA"/>
    <w:rsid w:val="006A0CF1"/>
    <w:rsid w:val="006A0CF3"/>
    <w:rsid w:val="006A0CF5"/>
    <w:rsid w:val="006A0E34"/>
    <w:rsid w:val="006A0E48"/>
    <w:rsid w:val="006A10EC"/>
    <w:rsid w:val="006A111E"/>
    <w:rsid w:val="006A11DC"/>
    <w:rsid w:val="006A11E8"/>
    <w:rsid w:val="006A1246"/>
    <w:rsid w:val="006A1474"/>
    <w:rsid w:val="006A1491"/>
    <w:rsid w:val="006A149A"/>
    <w:rsid w:val="006A1588"/>
    <w:rsid w:val="006A1641"/>
    <w:rsid w:val="006A16DD"/>
    <w:rsid w:val="006A1831"/>
    <w:rsid w:val="006A186B"/>
    <w:rsid w:val="006A18B6"/>
    <w:rsid w:val="006A18F7"/>
    <w:rsid w:val="006A1985"/>
    <w:rsid w:val="006A19B8"/>
    <w:rsid w:val="006A1A3A"/>
    <w:rsid w:val="006A1A5F"/>
    <w:rsid w:val="006A1AD6"/>
    <w:rsid w:val="006A1AFC"/>
    <w:rsid w:val="006A1B51"/>
    <w:rsid w:val="006A1B7B"/>
    <w:rsid w:val="006A1BF4"/>
    <w:rsid w:val="006A1BFA"/>
    <w:rsid w:val="006A1C36"/>
    <w:rsid w:val="006A1C43"/>
    <w:rsid w:val="006A1C90"/>
    <w:rsid w:val="006A1E2F"/>
    <w:rsid w:val="006A1EEB"/>
    <w:rsid w:val="006A1EED"/>
    <w:rsid w:val="006A1F0B"/>
    <w:rsid w:val="006A1FC3"/>
    <w:rsid w:val="006A207A"/>
    <w:rsid w:val="006A2150"/>
    <w:rsid w:val="006A21C0"/>
    <w:rsid w:val="006A222F"/>
    <w:rsid w:val="006A225E"/>
    <w:rsid w:val="006A238A"/>
    <w:rsid w:val="006A23BF"/>
    <w:rsid w:val="006A2482"/>
    <w:rsid w:val="006A2543"/>
    <w:rsid w:val="006A25F1"/>
    <w:rsid w:val="006A268B"/>
    <w:rsid w:val="006A26E1"/>
    <w:rsid w:val="006A26F9"/>
    <w:rsid w:val="006A272F"/>
    <w:rsid w:val="006A287B"/>
    <w:rsid w:val="006A29A4"/>
    <w:rsid w:val="006A29C1"/>
    <w:rsid w:val="006A2A0C"/>
    <w:rsid w:val="006A2A15"/>
    <w:rsid w:val="006A2AB7"/>
    <w:rsid w:val="006A2B61"/>
    <w:rsid w:val="006A2B78"/>
    <w:rsid w:val="006A2C5E"/>
    <w:rsid w:val="006A2C62"/>
    <w:rsid w:val="006A2C87"/>
    <w:rsid w:val="006A2CBF"/>
    <w:rsid w:val="006A2DAD"/>
    <w:rsid w:val="006A2E00"/>
    <w:rsid w:val="006A2E49"/>
    <w:rsid w:val="006A2EFF"/>
    <w:rsid w:val="006A2F87"/>
    <w:rsid w:val="006A3034"/>
    <w:rsid w:val="006A3147"/>
    <w:rsid w:val="006A338C"/>
    <w:rsid w:val="006A338F"/>
    <w:rsid w:val="006A3483"/>
    <w:rsid w:val="006A3772"/>
    <w:rsid w:val="006A3827"/>
    <w:rsid w:val="006A3891"/>
    <w:rsid w:val="006A3925"/>
    <w:rsid w:val="006A3964"/>
    <w:rsid w:val="006A3985"/>
    <w:rsid w:val="006A3B69"/>
    <w:rsid w:val="006A3B85"/>
    <w:rsid w:val="006A3BD3"/>
    <w:rsid w:val="006A3BF1"/>
    <w:rsid w:val="006A3BF6"/>
    <w:rsid w:val="006A3C26"/>
    <w:rsid w:val="006A3C56"/>
    <w:rsid w:val="006A3CDD"/>
    <w:rsid w:val="006A3D1B"/>
    <w:rsid w:val="006A3D2A"/>
    <w:rsid w:val="006A3D62"/>
    <w:rsid w:val="006A3E35"/>
    <w:rsid w:val="006A3E59"/>
    <w:rsid w:val="006A3F0A"/>
    <w:rsid w:val="006A3F21"/>
    <w:rsid w:val="006A3F3F"/>
    <w:rsid w:val="006A3FD1"/>
    <w:rsid w:val="006A404F"/>
    <w:rsid w:val="006A4069"/>
    <w:rsid w:val="006A40F1"/>
    <w:rsid w:val="006A419C"/>
    <w:rsid w:val="006A4342"/>
    <w:rsid w:val="006A44B9"/>
    <w:rsid w:val="006A4681"/>
    <w:rsid w:val="006A46B7"/>
    <w:rsid w:val="006A46DC"/>
    <w:rsid w:val="006A4737"/>
    <w:rsid w:val="006A4859"/>
    <w:rsid w:val="006A4866"/>
    <w:rsid w:val="006A4895"/>
    <w:rsid w:val="006A48EC"/>
    <w:rsid w:val="006A48FC"/>
    <w:rsid w:val="006A4991"/>
    <w:rsid w:val="006A4A49"/>
    <w:rsid w:val="006A4A66"/>
    <w:rsid w:val="006A4A92"/>
    <w:rsid w:val="006A4CC4"/>
    <w:rsid w:val="006A4E1D"/>
    <w:rsid w:val="006A4E2F"/>
    <w:rsid w:val="006A5096"/>
    <w:rsid w:val="006A50A7"/>
    <w:rsid w:val="006A5136"/>
    <w:rsid w:val="006A5157"/>
    <w:rsid w:val="006A5184"/>
    <w:rsid w:val="006A518C"/>
    <w:rsid w:val="006A5198"/>
    <w:rsid w:val="006A51BB"/>
    <w:rsid w:val="006A5208"/>
    <w:rsid w:val="006A52DD"/>
    <w:rsid w:val="006A52F7"/>
    <w:rsid w:val="006A535D"/>
    <w:rsid w:val="006A543A"/>
    <w:rsid w:val="006A546D"/>
    <w:rsid w:val="006A547E"/>
    <w:rsid w:val="006A556A"/>
    <w:rsid w:val="006A5578"/>
    <w:rsid w:val="006A564D"/>
    <w:rsid w:val="006A5712"/>
    <w:rsid w:val="006A575D"/>
    <w:rsid w:val="006A594F"/>
    <w:rsid w:val="006A595A"/>
    <w:rsid w:val="006A598C"/>
    <w:rsid w:val="006A59A3"/>
    <w:rsid w:val="006A59D1"/>
    <w:rsid w:val="006A5A08"/>
    <w:rsid w:val="006A5A8B"/>
    <w:rsid w:val="006A5B20"/>
    <w:rsid w:val="006A5C30"/>
    <w:rsid w:val="006A5CAD"/>
    <w:rsid w:val="006A5F5B"/>
    <w:rsid w:val="006A5FC4"/>
    <w:rsid w:val="006A5FFE"/>
    <w:rsid w:val="006A6058"/>
    <w:rsid w:val="006A60BA"/>
    <w:rsid w:val="006A6335"/>
    <w:rsid w:val="006A633F"/>
    <w:rsid w:val="006A639B"/>
    <w:rsid w:val="006A63EF"/>
    <w:rsid w:val="006A64E5"/>
    <w:rsid w:val="006A64F2"/>
    <w:rsid w:val="006A6543"/>
    <w:rsid w:val="006A6599"/>
    <w:rsid w:val="006A6640"/>
    <w:rsid w:val="006A66D4"/>
    <w:rsid w:val="006A675C"/>
    <w:rsid w:val="006A6816"/>
    <w:rsid w:val="006A6A43"/>
    <w:rsid w:val="006A6BC4"/>
    <w:rsid w:val="006A6C35"/>
    <w:rsid w:val="006A6C54"/>
    <w:rsid w:val="006A6E23"/>
    <w:rsid w:val="006A6E87"/>
    <w:rsid w:val="006A6F0C"/>
    <w:rsid w:val="006A6F3E"/>
    <w:rsid w:val="006A6F91"/>
    <w:rsid w:val="006A6F9F"/>
    <w:rsid w:val="006A7026"/>
    <w:rsid w:val="006A70F1"/>
    <w:rsid w:val="006A72C8"/>
    <w:rsid w:val="006A72DF"/>
    <w:rsid w:val="006A72E3"/>
    <w:rsid w:val="006A7329"/>
    <w:rsid w:val="006A738A"/>
    <w:rsid w:val="006A7399"/>
    <w:rsid w:val="006A73F9"/>
    <w:rsid w:val="006A74AE"/>
    <w:rsid w:val="006A74C4"/>
    <w:rsid w:val="006A74CA"/>
    <w:rsid w:val="006A74F8"/>
    <w:rsid w:val="006A753C"/>
    <w:rsid w:val="006A7559"/>
    <w:rsid w:val="006A757F"/>
    <w:rsid w:val="006A7750"/>
    <w:rsid w:val="006A7908"/>
    <w:rsid w:val="006A7929"/>
    <w:rsid w:val="006A79C6"/>
    <w:rsid w:val="006A7B1B"/>
    <w:rsid w:val="006A7D82"/>
    <w:rsid w:val="006A7DDC"/>
    <w:rsid w:val="006A7EDF"/>
    <w:rsid w:val="006A7EF6"/>
    <w:rsid w:val="006A7F09"/>
    <w:rsid w:val="006A7FAC"/>
    <w:rsid w:val="006B0036"/>
    <w:rsid w:val="006B0100"/>
    <w:rsid w:val="006B0137"/>
    <w:rsid w:val="006B01A8"/>
    <w:rsid w:val="006B01BA"/>
    <w:rsid w:val="006B01C4"/>
    <w:rsid w:val="006B0267"/>
    <w:rsid w:val="006B02DA"/>
    <w:rsid w:val="006B02ED"/>
    <w:rsid w:val="006B03DB"/>
    <w:rsid w:val="006B045B"/>
    <w:rsid w:val="006B04EB"/>
    <w:rsid w:val="006B05E0"/>
    <w:rsid w:val="006B05FA"/>
    <w:rsid w:val="006B062B"/>
    <w:rsid w:val="006B0665"/>
    <w:rsid w:val="006B074C"/>
    <w:rsid w:val="006B0794"/>
    <w:rsid w:val="006B08B2"/>
    <w:rsid w:val="006B0914"/>
    <w:rsid w:val="006B0917"/>
    <w:rsid w:val="006B09AE"/>
    <w:rsid w:val="006B0B66"/>
    <w:rsid w:val="006B0CF1"/>
    <w:rsid w:val="006B0DDB"/>
    <w:rsid w:val="006B0DDD"/>
    <w:rsid w:val="006B0E07"/>
    <w:rsid w:val="006B0E26"/>
    <w:rsid w:val="006B0E51"/>
    <w:rsid w:val="006B0E5D"/>
    <w:rsid w:val="006B0ED7"/>
    <w:rsid w:val="006B0F00"/>
    <w:rsid w:val="006B1037"/>
    <w:rsid w:val="006B1063"/>
    <w:rsid w:val="006B10B2"/>
    <w:rsid w:val="006B1211"/>
    <w:rsid w:val="006B12CE"/>
    <w:rsid w:val="006B12E4"/>
    <w:rsid w:val="006B130B"/>
    <w:rsid w:val="006B1388"/>
    <w:rsid w:val="006B14B6"/>
    <w:rsid w:val="006B151C"/>
    <w:rsid w:val="006B157D"/>
    <w:rsid w:val="006B15D5"/>
    <w:rsid w:val="006B1765"/>
    <w:rsid w:val="006B180E"/>
    <w:rsid w:val="006B186A"/>
    <w:rsid w:val="006B1883"/>
    <w:rsid w:val="006B1969"/>
    <w:rsid w:val="006B19CB"/>
    <w:rsid w:val="006B1B67"/>
    <w:rsid w:val="006B1C7A"/>
    <w:rsid w:val="006B1C7E"/>
    <w:rsid w:val="006B1C8E"/>
    <w:rsid w:val="006B1CB2"/>
    <w:rsid w:val="006B1DE9"/>
    <w:rsid w:val="006B1E28"/>
    <w:rsid w:val="006B1E2B"/>
    <w:rsid w:val="006B1E2D"/>
    <w:rsid w:val="006B1E83"/>
    <w:rsid w:val="006B1E8D"/>
    <w:rsid w:val="006B1EAC"/>
    <w:rsid w:val="006B1F71"/>
    <w:rsid w:val="006B1FD3"/>
    <w:rsid w:val="006B2008"/>
    <w:rsid w:val="006B203B"/>
    <w:rsid w:val="006B20A4"/>
    <w:rsid w:val="006B20B9"/>
    <w:rsid w:val="006B2106"/>
    <w:rsid w:val="006B2231"/>
    <w:rsid w:val="006B22C6"/>
    <w:rsid w:val="006B240D"/>
    <w:rsid w:val="006B2677"/>
    <w:rsid w:val="006B26AA"/>
    <w:rsid w:val="006B26B1"/>
    <w:rsid w:val="006B26D1"/>
    <w:rsid w:val="006B2717"/>
    <w:rsid w:val="006B2847"/>
    <w:rsid w:val="006B296A"/>
    <w:rsid w:val="006B298A"/>
    <w:rsid w:val="006B2A17"/>
    <w:rsid w:val="006B2A8C"/>
    <w:rsid w:val="006B2B19"/>
    <w:rsid w:val="006B2C3F"/>
    <w:rsid w:val="006B2C47"/>
    <w:rsid w:val="006B2C72"/>
    <w:rsid w:val="006B2D22"/>
    <w:rsid w:val="006B2D91"/>
    <w:rsid w:val="006B2DE6"/>
    <w:rsid w:val="006B2E0A"/>
    <w:rsid w:val="006B2E93"/>
    <w:rsid w:val="006B300E"/>
    <w:rsid w:val="006B3086"/>
    <w:rsid w:val="006B30F5"/>
    <w:rsid w:val="006B320B"/>
    <w:rsid w:val="006B3292"/>
    <w:rsid w:val="006B3294"/>
    <w:rsid w:val="006B32A3"/>
    <w:rsid w:val="006B3389"/>
    <w:rsid w:val="006B3393"/>
    <w:rsid w:val="006B34BD"/>
    <w:rsid w:val="006B3525"/>
    <w:rsid w:val="006B35A6"/>
    <w:rsid w:val="006B3601"/>
    <w:rsid w:val="006B3730"/>
    <w:rsid w:val="006B3780"/>
    <w:rsid w:val="006B385B"/>
    <w:rsid w:val="006B38C9"/>
    <w:rsid w:val="006B3949"/>
    <w:rsid w:val="006B39B9"/>
    <w:rsid w:val="006B39EE"/>
    <w:rsid w:val="006B3B2F"/>
    <w:rsid w:val="006B3C40"/>
    <w:rsid w:val="006B3CF3"/>
    <w:rsid w:val="006B3D81"/>
    <w:rsid w:val="006B3E41"/>
    <w:rsid w:val="006B3E80"/>
    <w:rsid w:val="006B3EAC"/>
    <w:rsid w:val="006B3ECD"/>
    <w:rsid w:val="006B3F56"/>
    <w:rsid w:val="006B3F93"/>
    <w:rsid w:val="006B3FFF"/>
    <w:rsid w:val="006B4018"/>
    <w:rsid w:val="006B408E"/>
    <w:rsid w:val="006B40DF"/>
    <w:rsid w:val="006B40F5"/>
    <w:rsid w:val="006B418B"/>
    <w:rsid w:val="006B41BA"/>
    <w:rsid w:val="006B4228"/>
    <w:rsid w:val="006B4281"/>
    <w:rsid w:val="006B428E"/>
    <w:rsid w:val="006B42E1"/>
    <w:rsid w:val="006B4352"/>
    <w:rsid w:val="006B465E"/>
    <w:rsid w:val="006B46C0"/>
    <w:rsid w:val="006B46C2"/>
    <w:rsid w:val="006B4725"/>
    <w:rsid w:val="006B48C9"/>
    <w:rsid w:val="006B48D3"/>
    <w:rsid w:val="006B4A15"/>
    <w:rsid w:val="006B4A76"/>
    <w:rsid w:val="006B4AE8"/>
    <w:rsid w:val="006B4B30"/>
    <w:rsid w:val="006B4C01"/>
    <w:rsid w:val="006B4CF0"/>
    <w:rsid w:val="006B4D1D"/>
    <w:rsid w:val="006B4DD1"/>
    <w:rsid w:val="006B4E24"/>
    <w:rsid w:val="006B4ED8"/>
    <w:rsid w:val="006B4FE7"/>
    <w:rsid w:val="006B503B"/>
    <w:rsid w:val="006B50B0"/>
    <w:rsid w:val="006B50BF"/>
    <w:rsid w:val="006B5398"/>
    <w:rsid w:val="006B539B"/>
    <w:rsid w:val="006B53B5"/>
    <w:rsid w:val="006B53FC"/>
    <w:rsid w:val="006B54F8"/>
    <w:rsid w:val="006B5544"/>
    <w:rsid w:val="006B5673"/>
    <w:rsid w:val="006B567D"/>
    <w:rsid w:val="006B5979"/>
    <w:rsid w:val="006B59B9"/>
    <w:rsid w:val="006B5B3C"/>
    <w:rsid w:val="006B5B75"/>
    <w:rsid w:val="006B5BF0"/>
    <w:rsid w:val="006B5CB5"/>
    <w:rsid w:val="006B5DC2"/>
    <w:rsid w:val="006B5E58"/>
    <w:rsid w:val="006B5FDE"/>
    <w:rsid w:val="006B5FF6"/>
    <w:rsid w:val="006B600C"/>
    <w:rsid w:val="006B6072"/>
    <w:rsid w:val="006B60B3"/>
    <w:rsid w:val="006B6241"/>
    <w:rsid w:val="006B6279"/>
    <w:rsid w:val="006B63D0"/>
    <w:rsid w:val="006B63F6"/>
    <w:rsid w:val="006B6409"/>
    <w:rsid w:val="006B6492"/>
    <w:rsid w:val="006B6527"/>
    <w:rsid w:val="006B6568"/>
    <w:rsid w:val="006B656E"/>
    <w:rsid w:val="006B65C8"/>
    <w:rsid w:val="006B6644"/>
    <w:rsid w:val="006B6662"/>
    <w:rsid w:val="006B6681"/>
    <w:rsid w:val="006B67F6"/>
    <w:rsid w:val="006B68D1"/>
    <w:rsid w:val="006B6945"/>
    <w:rsid w:val="006B6950"/>
    <w:rsid w:val="006B6980"/>
    <w:rsid w:val="006B699D"/>
    <w:rsid w:val="006B69F5"/>
    <w:rsid w:val="006B6A7D"/>
    <w:rsid w:val="006B6B41"/>
    <w:rsid w:val="006B6BC2"/>
    <w:rsid w:val="006B6C27"/>
    <w:rsid w:val="006B6C74"/>
    <w:rsid w:val="006B6CD0"/>
    <w:rsid w:val="006B6CF8"/>
    <w:rsid w:val="006B6E3E"/>
    <w:rsid w:val="006B6E4F"/>
    <w:rsid w:val="006B6E76"/>
    <w:rsid w:val="006B6EEB"/>
    <w:rsid w:val="006B7039"/>
    <w:rsid w:val="006B70AC"/>
    <w:rsid w:val="006B70EB"/>
    <w:rsid w:val="006B7137"/>
    <w:rsid w:val="006B721E"/>
    <w:rsid w:val="006B726A"/>
    <w:rsid w:val="006B726D"/>
    <w:rsid w:val="006B727C"/>
    <w:rsid w:val="006B72A5"/>
    <w:rsid w:val="006B72CA"/>
    <w:rsid w:val="006B739C"/>
    <w:rsid w:val="006B73A8"/>
    <w:rsid w:val="006B73D6"/>
    <w:rsid w:val="006B74E8"/>
    <w:rsid w:val="006B7598"/>
    <w:rsid w:val="006B763D"/>
    <w:rsid w:val="006B773D"/>
    <w:rsid w:val="006B7754"/>
    <w:rsid w:val="006B77E5"/>
    <w:rsid w:val="006B780C"/>
    <w:rsid w:val="006B7A18"/>
    <w:rsid w:val="006B7A95"/>
    <w:rsid w:val="006B7AB6"/>
    <w:rsid w:val="006B7AE0"/>
    <w:rsid w:val="006B7B2F"/>
    <w:rsid w:val="006B7B9F"/>
    <w:rsid w:val="006B7C42"/>
    <w:rsid w:val="006B7DBA"/>
    <w:rsid w:val="006B7DC9"/>
    <w:rsid w:val="006B7E09"/>
    <w:rsid w:val="006B7E36"/>
    <w:rsid w:val="006B7E88"/>
    <w:rsid w:val="006C00BE"/>
    <w:rsid w:val="006C00ED"/>
    <w:rsid w:val="006C01B5"/>
    <w:rsid w:val="006C01E5"/>
    <w:rsid w:val="006C0400"/>
    <w:rsid w:val="006C0484"/>
    <w:rsid w:val="006C0523"/>
    <w:rsid w:val="006C0562"/>
    <w:rsid w:val="006C05BA"/>
    <w:rsid w:val="006C05F0"/>
    <w:rsid w:val="006C0643"/>
    <w:rsid w:val="006C0952"/>
    <w:rsid w:val="006C0995"/>
    <w:rsid w:val="006C09EF"/>
    <w:rsid w:val="006C0A5E"/>
    <w:rsid w:val="006C0C2B"/>
    <w:rsid w:val="006C0DCD"/>
    <w:rsid w:val="006C0E36"/>
    <w:rsid w:val="006C0E73"/>
    <w:rsid w:val="006C0F4A"/>
    <w:rsid w:val="006C0F8A"/>
    <w:rsid w:val="006C1126"/>
    <w:rsid w:val="006C11E5"/>
    <w:rsid w:val="006C1226"/>
    <w:rsid w:val="006C12EE"/>
    <w:rsid w:val="006C1313"/>
    <w:rsid w:val="006C135E"/>
    <w:rsid w:val="006C14B7"/>
    <w:rsid w:val="006C1641"/>
    <w:rsid w:val="006C1656"/>
    <w:rsid w:val="006C170D"/>
    <w:rsid w:val="006C17C6"/>
    <w:rsid w:val="006C1864"/>
    <w:rsid w:val="006C187F"/>
    <w:rsid w:val="006C18DD"/>
    <w:rsid w:val="006C1986"/>
    <w:rsid w:val="006C19CF"/>
    <w:rsid w:val="006C1A00"/>
    <w:rsid w:val="006C1A5E"/>
    <w:rsid w:val="006C1BA0"/>
    <w:rsid w:val="006C1BB8"/>
    <w:rsid w:val="006C1CC2"/>
    <w:rsid w:val="006C1D32"/>
    <w:rsid w:val="006C1D7D"/>
    <w:rsid w:val="006C1D8C"/>
    <w:rsid w:val="006C1E09"/>
    <w:rsid w:val="006C1E12"/>
    <w:rsid w:val="006C1E90"/>
    <w:rsid w:val="006C1F18"/>
    <w:rsid w:val="006C1F31"/>
    <w:rsid w:val="006C1F83"/>
    <w:rsid w:val="006C2042"/>
    <w:rsid w:val="006C20CB"/>
    <w:rsid w:val="006C22C0"/>
    <w:rsid w:val="006C2313"/>
    <w:rsid w:val="006C235C"/>
    <w:rsid w:val="006C2555"/>
    <w:rsid w:val="006C256A"/>
    <w:rsid w:val="006C2584"/>
    <w:rsid w:val="006C2590"/>
    <w:rsid w:val="006C25F4"/>
    <w:rsid w:val="006C267D"/>
    <w:rsid w:val="006C2681"/>
    <w:rsid w:val="006C2699"/>
    <w:rsid w:val="006C26C4"/>
    <w:rsid w:val="006C2706"/>
    <w:rsid w:val="006C27DB"/>
    <w:rsid w:val="006C2819"/>
    <w:rsid w:val="006C2860"/>
    <w:rsid w:val="006C2953"/>
    <w:rsid w:val="006C2956"/>
    <w:rsid w:val="006C2A1C"/>
    <w:rsid w:val="006C2A64"/>
    <w:rsid w:val="006C2AA0"/>
    <w:rsid w:val="006C2B1E"/>
    <w:rsid w:val="006C2C42"/>
    <w:rsid w:val="006C2D13"/>
    <w:rsid w:val="006C2DC8"/>
    <w:rsid w:val="006C2E03"/>
    <w:rsid w:val="006C2E95"/>
    <w:rsid w:val="006C3068"/>
    <w:rsid w:val="006C30A2"/>
    <w:rsid w:val="006C3159"/>
    <w:rsid w:val="006C317F"/>
    <w:rsid w:val="006C338D"/>
    <w:rsid w:val="006C3545"/>
    <w:rsid w:val="006C35E5"/>
    <w:rsid w:val="006C3740"/>
    <w:rsid w:val="006C3840"/>
    <w:rsid w:val="006C3911"/>
    <w:rsid w:val="006C3937"/>
    <w:rsid w:val="006C3A58"/>
    <w:rsid w:val="006C3B4A"/>
    <w:rsid w:val="006C3C26"/>
    <w:rsid w:val="006C3E7C"/>
    <w:rsid w:val="006C3EBC"/>
    <w:rsid w:val="006C3EBE"/>
    <w:rsid w:val="006C3EF0"/>
    <w:rsid w:val="006C3F7D"/>
    <w:rsid w:val="006C40D3"/>
    <w:rsid w:val="006C4166"/>
    <w:rsid w:val="006C41A8"/>
    <w:rsid w:val="006C41B3"/>
    <w:rsid w:val="006C4220"/>
    <w:rsid w:val="006C4266"/>
    <w:rsid w:val="006C4362"/>
    <w:rsid w:val="006C43CD"/>
    <w:rsid w:val="006C43CE"/>
    <w:rsid w:val="006C4523"/>
    <w:rsid w:val="006C4537"/>
    <w:rsid w:val="006C463E"/>
    <w:rsid w:val="006C4711"/>
    <w:rsid w:val="006C4927"/>
    <w:rsid w:val="006C4992"/>
    <w:rsid w:val="006C4A36"/>
    <w:rsid w:val="006C4C10"/>
    <w:rsid w:val="006C4C66"/>
    <w:rsid w:val="006C4C7F"/>
    <w:rsid w:val="006C4D13"/>
    <w:rsid w:val="006C4D14"/>
    <w:rsid w:val="006C4D37"/>
    <w:rsid w:val="006C4DB1"/>
    <w:rsid w:val="006C4E15"/>
    <w:rsid w:val="006C4E78"/>
    <w:rsid w:val="006C4FA2"/>
    <w:rsid w:val="006C4FF2"/>
    <w:rsid w:val="006C5091"/>
    <w:rsid w:val="006C50CB"/>
    <w:rsid w:val="006C5150"/>
    <w:rsid w:val="006C51A4"/>
    <w:rsid w:val="006C51AD"/>
    <w:rsid w:val="006C522E"/>
    <w:rsid w:val="006C5258"/>
    <w:rsid w:val="006C5293"/>
    <w:rsid w:val="006C52C3"/>
    <w:rsid w:val="006C52C4"/>
    <w:rsid w:val="006C530B"/>
    <w:rsid w:val="006C5332"/>
    <w:rsid w:val="006C5382"/>
    <w:rsid w:val="006C53B9"/>
    <w:rsid w:val="006C54A9"/>
    <w:rsid w:val="006C54CE"/>
    <w:rsid w:val="006C551A"/>
    <w:rsid w:val="006C5533"/>
    <w:rsid w:val="006C568D"/>
    <w:rsid w:val="006C5705"/>
    <w:rsid w:val="006C5746"/>
    <w:rsid w:val="006C577C"/>
    <w:rsid w:val="006C5813"/>
    <w:rsid w:val="006C5819"/>
    <w:rsid w:val="006C5841"/>
    <w:rsid w:val="006C5929"/>
    <w:rsid w:val="006C5A14"/>
    <w:rsid w:val="006C5A8E"/>
    <w:rsid w:val="006C5AA0"/>
    <w:rsid w:val="006C5AE7"/>
    <w:rsid w:val="006C5CCA"/>
    <w:rsid w:val="006C5D05"/>
    <w:rsid w:val="006C5DCD"/>
    <w:rsid w:val="006C5EF0"/>
    <w:rsid w:val="006C5F12"/>
    <w:rsid w:val="006C5F5A"/>
    <w:rsid w:val="006C600E"/>
    <w:rsid w:val="006C6010"/>
    <w:rsid w:val="006C614B"/>
    <w:rsid w:val="006C61D0"/>
    <w:rsid w:val="006C61FE"/>
    <w:rsid w:val="006C6207"/>
    <w:rsid w:val="006C62E7"/>
    <w:rsid w:val="006C6380"/>
    <w:rsid w:val="006C63E4"/>
    <w:rsid w:val="006C6466"/>
    <w:rsid w:val="006C64A4"/>
    <w:rsid w:val="006C66EA"/>
    <w:rsid w:val="006C671F"/>
    <w:rsid w:val="006C6775"/>
    <w:rsid w:val="006C679C"/>
    <w:rsid w:val="006C680F"/>
    <w:rsid w:val="006C6833"/>
    <w:rsid w:val="006C683A"/>
    <w:rsid w:val="006C6842"/>
    <w:rsid w:val="006C693A"/>
    <w:rsid w:val="006C699D"/>
    <w:rsid w:val="006C6A01"/>
    <w:rsid w:val="006C6A97"/>
    <w:rsid w:val="006C6B5D"/>
    <w:rsid w:val="006C6B73"/>
    <w:rsid w:val="006C6BC3"/>
    <w:rsid w:val="006C6C7C"/>
    <w:rsid w:val="006C6CC5"/>
    <w:rsid w:val="006C6D97"/>
    <w:rsid w:val="006C6DD5"/>
    <w:rsid w:val="006C6DD8"/>
    <w:rsid w:val="006C6DEF"/>
    <w:rsid w:val="006C6E00"/>
    <w:rsid w:val="006C7017"/>
    <w:rsid w:val="006C712B"/>
    <w:rsid w:val="006C7165"/>
    <w:rsid w:val="006C722C"/>
    <w:rsid w:val="006C7259"/>
    <w:rsid w:val="006C728A"/>
    <w:rsid w:val="006C72A9"/>
    <w:rsid w:val="006C7373"/>
    <w:rsid w:val="006C73A2"/>
    <w:rsid w:val="006C7404"/>
    <w:rsid w:val="006C759F"/>
    <w:rsid w:val="006C75D1"/>
    <w:rsid w:val="006C762D"/>
    <w:rsid w:val="006C76F7"/>
    <w:rsid w:val="006C781D"/>
    <w:rsid w:val="006C78D4"/>
    <w:rsid w:val="006C78D7"/>
    <w:rsid w:val="006C79DC"/>
    <w:rsid w:val="006C79E9"/>
    <w:rsid w:val="006C7A57"/>
    <w:rsid w:val="006C7A94"/>
    <w:rsid w:val="006C7A99"/>
    <w:rsid w:val="006C7AA4"/>
    <w:rsid w:val="006C7B68"/>
    <w:rsid w:val="006C7BF5"/>
    <w:rsid w:val="006C7C2D"/>
    <w:rsid w:val="006C7C72"/>
    <w:rsid w:val="006C7CA1"/>
    <w:rsid w:val="006C7CFB"/>
    <w:rsid w:val="006C7D01"/>
    <w:rsid w:val="006C7D6A"/>
    <w:rsid w:val="006C7D6E"/>
    <w:rsid w:val="006C7D8A"/>
    <w:rsid w:val="006C7D9D"/>
    <w:rsid w:val="006C7E1D"/>
    <w:rsid w:val="006D018D"/>
    <w:rsid w:val="006D0472"/>
    <w:rsid w:val="006D0562"/>
    <w:rsid w:val="006D05D7"/>
    <w:rsid w:val="006D05F4"/>
    <w:rsid w:val="006D065F"/>
    <w:rsid w:val="006D06F7"/>
    <w:rsid w:val="006D074F"/>
    <w:rsid w:val="006D07C7"/>
    <w:rsid w:val="006D07CF"/>
    <w:rsid w:val="006D0843"/>
    <w:rsid w:val="006D0859"/>
    <w:rsid w:val="006D08A4"/>
    <w:rsid w:val="006D0953"/>
    <w:rsid w:val="006D09CF"/>
    <w:rsid w:val="006D0AC8"/>
    <w:rsid w:val="006D0B00"/>
    <w:rsid w:val="006D0B3C"/>
    <w:rsid w:val="006D0B40"/>
    <w:rsid w:val="006D0B42"/>
    <w:rsid w:val="006D0BE2"/>
    <w:rsid w:val="006D0C2C"/>
    <w:rsid w:val="006D0D94"/>
    <w:rsid w:val="006D0E86"/>
    <w:rsid w:val="006D0EC7"/>
    <w:rsid w:val="006D0F51"/>
    <w:rsid w:val="006D0F76"/>
    <w:rsid w:val="006D0F8B"/>
    <w:rsid w:val="006D0FED"/>
    <w:rsid w:val="006D0FF9"/>
    <w:rsid w:val="006D105B"/>
    <w:rsid w:val="006D108D"/>
    <w:rsid w:val="006D1098"/>
    <w:rsid w:val="006D1157"/>
    <w:rsid w:val="006D119D"/>
    <w:rsid w:val="006D1296"/>
    <w:rsid w:val="006D1377"/>
    <w:rsid w:val="006D142C"/>
    <w:rsid w:val="006D148A"/>
    <w:rsid w:val="006D1558"/>
    <w:rsid w:val="006D1585"/>
    <w:rsid w:val="006D1587"/>
    <w:rsid w:val="006D1610"/>
    <w:rsid w:val="006D1699"/>
    <w:rsid w:val="006D1745"/>
    <w:rsid w:val="006D18B8"/>
    <w:rsid w:val="006D18BF"/>
    <w:rsid w:val="006D1924"/>
    <w:rsid w:val="006D1943"/>
    <w:rsid w:val="006D197F"/>
    <w:rsid w:val="006D199E"/>
    <w:rsid w:val="006D1A32"/>
    <w:rsid w:val="006D1A73"/>
    <w:rsid w:val="006D1AF9"/>
    <w:rsid w:val="006D1B8B"/>
    <w:rsid w:val="006D1C18"/>
    <w:rsid w:val="006D1CAA"/>
    <w:rsid w:val="006D1CC7"/>
    <w:rsid w:val="006D1DAF"/>
    <w:rsid w:val="006D1EB0"/>
    <w:rsid w:val="006D1F1B"/>
    <w:rsid w:val="006D2022"/>
    <w:rsid w:val="006D2024"/>
    <w:rsid w:val="006D2042"/>
    <w:rsid w:val="006D20B6"/>
    <w:rsid w:val="006D2144"/>
    <w:rsid w:val="006D21F3"/>
    <w:rsid w:val="006D2229"/>
    <w:rsid w:val="006D22D1"/>
    <w:rsid w:val="006D22D6"/>
    <w:rsid w:val="006D237E"/>
    <w:rsid w:val="006D23B6"/>
    <w:rsid w:val="006D23EC"/>
    <w:rsid w:val="006D23FE"/>
    <w:rsid w:val="006D2420"/>
    <w:rsid w:val="006D24DD"/>
    <w:rsid w:val="006D258F"/>
    <w:rsid w:val="006D26D6"/>
    <w:rsid w:val="006D2734"/>
    <w:rsid w:val="006D2807"/>
    <w:rsid w:val="006D29B4"/>
    <w:rsid w:val="006D29C1"/>
    <w:rsid w:val="006D2AAC"/>
    <w:rsid w:val="006D2AD2"/>
    <w:rsid w:val="006D2C00"/>
    <w:rsid w:val="006D2D3A"/>
    <w:rsid w:val="006D2DF7"/>
    <w:rsid w:val="006D2E11"/>
    <w:rsid w:val="006D2E8C"/>
    <w:rsid w:val="006D2E9F"/>
    <w:rsid w:val="006D2F21"/>
    <w:rsid w:val="006D3014"/>
    <w:rsid w:val="006D309C"/>
    <w:rsid w:val="006D311E"/>
    <w:rsid w:val="006D32D2"/>
    <w:rsid w:val="006D333D"/>
    <w:rsid w:val="006D336E"/>
    <w:rsid w:val="006D337B"/>
    <w:rsid w:val="006D33F5"/>
    <w:rsid w:val="006D3482"/>
    <w:rsid w:val="006D34D6"/>
    <w:rsid w:val="006D353C"/>
    <w:rsid w:val="006D3581"/>
    <w:rsid w:val="006D362D"/>
    <w:rsid w:val="006D36A8"/>
    <w:rsid w:val="006D375D"/>
    <w:rsid w:val="006D37B2"/>
    <w:rsid w:val="006D393E"/>
    <w:rsid w:val="006D3949"/>
    <w:rsid w:val="006D39BD"/>
    <w:rsid w:val="006D3A15"/>
    <w:rsid w:val="006D3A77"/>
    <w:rsid w:val="006D3AAA"/>
    <w:rsid w:val="006D3ADE"/>
    <w:rsid w:val="006D3BE4"/>
    <w:rsid w:val="006D3CDC"/>
    <w:rsid w:val="006D3D22"/>
    <w:rsid w:val="006D3D8E"/>
    <w:rsid w:val="006D3E14"/>
    <w:rsid w:val="006D3E4A"/>
    <w:rsid w:val="006D3E55"/>
    <w:rsid w:val="006D3F03"/>
    <w:rsid w:val="006D3FAF"/>
    <w:rsid w:val="006D4102"/>
    <w:rsid w:val="006D41C7"/>
    <w:rsid w:val="006D426D"/>
    <w:rsid w:val="006D4309"/>
    <w:rsid w:val="006D44A3"/>
    <w:rsid w:val="006D4571"/>
    <w:rsid w:val="006D45D8"/>
    <w:rsid w:val="006D4629"/>
    <w:rsid w:val="006D465D"/>
    <w:rsid w:val="006D46DD"/>
    <w:rsid w:val="006D46F1"/>
    <w:rsid w:val="006D474A"/>
    <w:rsid w:val="006D4751"/>
    <w:rsid w:val="006D47A1"/>
    <w:rsid w:val="006D4936"/>
    <w:rsid w:val="006D49CE"/>
    <w:rsid w:val="006D4A20"/>
    <w:rsid w:val="006D4BB5"/>
    <w:rsid w:val="006D4BEF"/>
    <w:rsid w:val="006D4D29"/>
    <w:rsid w:val="006D4D84"/>
    <w:rsid w:val="006D4DC4"/>
    <w:rsid w:val="006D4E80"/>
    <w:rsid w:val="006D4E92"/>
    <w:rsid w:val="006D5005"/>
    <w:rsid w:val="006D5019"/>
    <w:rsid w:val="006D503C"/>
    <w:rsid w:val="006D50C1"/>
    <w:rsid w:val="006D50C4"/>
    <w:rsid w:val="006D5199"/>
    <w:rsid w:val="006D51F0"/>
    <w:rsid w:val="006D5256"/>
    <w:rsid w:val="006D5270"/>
    <w:rsid w:val="006D52EF"/>
    <w:rsid w:val="006D5308"/>
    <w:rsid w:val="006D5428"/>
    <w:rsid w:val="006D54DD"/>
    <w:rsid w:val="006D5566"/>
    <w:rsid w:val="006D55DD"/>
    <w:rsid w:val="006D55FF"/>
    <w:rsid w:val="006D5619"/>
    <w:rsid w:val="006D564A"/>
    <w:rsid w:val="006D5693"/>
    <w:rsid w:val="006D591F"/>
    <w:rsid w:val="006D596C"/>
    <w:rsid w:val="006D5970"/>
    <w:rsid w:val="006D59B7"/>
    <w:rsid w:val="006D59D4"/>
    <w:rsid w:val="006D5A4A"/>
    <w:rsid w:val="006D5BB3"/>
    <w:rsid w:val="006D5C3D"/>
    <w:rsid w:val="006D5CBF"/>
    <w:rsid w:val="006D5D3D"/>
    <w:rsid w:val="006D5DA3"/>
    <w:rsid w:val="006D5EC6"/>
    <w:rsid w:val="006D6062"/>
    <w:rsid w:val="006D6109"/>
    <w:rsid w:val="006D613F"/>
    <w:rsid w:val="006D6190"/>
    <w:rsid w:val="006D619F"/>
    <w:rsid w:val="006D6274"/>
    <w:rsid w:val="006D6366"/>
    <w:rsid w:val="006D63C0"/>
    <w:rsid w:val="006D63ED"/>
    <w:rsid w:val="006D64B5"/>
    <w:rsid w:val="006D65B0"/>
    <w:rsid w:val="006D65E4"/>
    <w:rsid w:val="006D663A"/>
    <w:rsid w:val="006D6752"/>
    <w:rsid w:val="006D67D2"/>
    <w:rsid w:val="006D6956"/>
    <w:rsid w:val="006D69B9"/>
    <w:rsid w:val="006D6AB0"/>
    <w:rsid w:val="006D6C07"/>
    <w:rsid w:val="006D6C42"/>
    <w:rsid w:val="006D6C50"/>
    <w:rsid w:val="006D6C80"/>
    <w:rsid w:val="006D6CAA"/>
    <w:rsid w:val="006D6CE5"/>
    <w:rsid w:val="006D6E76"/>
    <w:rsid w:val="006D6EBB"/>
    <w:rsid w:val="006D6EC8"/>
    <w:rsid w:val="006D6FE9"/>
    <w:rsid w:val="006D70AB"/>
    <w:rsid w:val="006D7141"/>
    <w:rsid w:val="006D7365"/>
    <w:rsid w:val="006D739C"/>
    <w:rsid w:val="006D73B8"/>
    <w:rsid w:val="006D73C2"/>
    <w:rsid w:val="006D73EE"/>
    <w:rsid w:val="006D7439"/>
    <w:rsid w:val="006D7574"/>
    <w:rsid w:val="006D76A5"/>
    <w:rsid w:val="006D7754"/>
    <w:rsid w:val="006D78D8"/>
    <w:rsid w:val="006D794E"/>
    <w:rsid w:val="006D7A6D"/>
    <w:rsid w:val="006D7BF2"/>
    <w:rsid w:val="006D7C24"/>
    <w:rsid w:val="006D7C32"/>
    <w:rsid w:val="006D7C69"/>
    <w:rsid w:val="006D7D2C"/>
    <w:rsid w:val="006D7D4B"/>
    <w:rsid w:val="006D7D5C"/>
    <w:rsid w:val="006D7E29"/>
    <w:rsid w:val="006D7E2A"/>
    <w:rsid w:val="006D7F52"/>
    <w:rsid w:val="006E008E"/>
    <w:rsid w:val="006E00A9"/>
    <w:rsid w:val="006E00D5"/>
    <w:rsid w:val="006E011D"/>
    <w:rsid w:val="006E014E"/>
    <w:rsid w:val="006E018D"/>
    <w:rsid w:val="006E01AC"/>
    <w:rsid w:val="006E02AC"/>
    <w:rsid w:val="006E02E3"/>
    <w:rsid w:val="006E03F6"/>
    <w:rsid w:val="006E03FF"/>
    <w:rsid w:val="006E0516"/>
    <w:rsid w:val="006E065C"/>
    <w:rsid w:val="006E075E"/>
    <w:rsid w:val="006E0767"/>
    <w:rsid w:val="006E081F"/>
    <w:rsid w:val="006E08F3"/>
    <w:rsid w:val="006E09D6"/>
    <w:rsid w:val="006E0A0E"/>
    <w:rsid w:val="006E0A3A"/>
    <w:rsid w:val="006E0ACC"/>
    <w:rsid w:val="006E0B7D"/>
    <w:rsid w:val="006E0BD7"/>
    <w:rsid w:val="006E0C05"/>
    <w:rsid w:val="006E0C06"/>
    <w:rsid w:val="006E0C2A"/>
    <w:rsid w:val="006E0C9E"/>
    <w:rsid w:val="006E0CD2"/>
    <w:rsid w:val="006E0CDD"/>
    <w:rsid w:val="006E0D23"/>
    <w:rsid w:val="006E0D28"/>
    <w:rsid w:val="006E0D69"/>
    <w:rsid w:val="006E0D89"/>
    <w:rsid w:val="006E0E3D"/>
    <w:rsid w:val="006E0EA3"/>
    <w:rsid w:val="006E0FF0"/>
    <w:rsid w:val="006E1097"/>
    <w:rsid w:val="006E1292"/>
    <w:rsid w:val="006E1322"/>
    <w:rsid w:val="006E13C3"/>
    <w:rsid w:val="006E1432"/>
    <w:rsid w:val="006E1551"/>
    <w:rsid w:val="006E1593"/>
    <w:rsid w:val="006E166D"/>
    <w:rsid w:val="006E17A6"/>
    <w:rsid w:val="006E17AB"/>
    <w:rsid w:val="006E180A"/>
    <w:rsid w:val="006E1908"/>
    <w:rsid w:val="006E191F"/>
    <w:rsid w:val="006E19C8"/>
    <w:rsid w:val="006E1A01"/>
    <w:rsid w:val="006E1AAC"/>
    <w:rsid w:val="006E1AC5"/>
    <w:rsid w:val="006E1AF5"/>
    <w:rsid w:val="006E1B4F"/>
    <w:rsid w:val="006E1B83"/>
    <w:rsid w:val="006E1BB1"/>
    <w:rsid w:val="006E1BBE"/>
    <w:rsid w:val="006E1C8A"/>
    <w:rsid w:val="006E1D0F"/>
    <w:rsid w:val="006E1D96"/>
    <w:rsid w:val="006E1E2D"/>
    <w:rsid w:val="006E1E3F"/>
    <w:rsid w:val="006E1E78"/>
    <w:rsid w:val="006E1F80"/>
    <w:rsid w:val="006E205C"/>
    <w:rsid w:val="006E20C7"/>
    <w:rsid w:val="006E217B"/>
    <w:rsid w:val="006E2387"/>
    <w:rsid w:val="006E2460"/>
    <w:rsid w:val="006E2617"/>
    <w:rsid w:val="006E266F"/>
    <w:rsid w:val="006E2675"/>
    <w:rsid w:val="006E272D"/>
    <w:rsid w:val="006E2880"/>
    <w:rsid w:val="006E288F"/>
    <w:rsid w:val="006E28C7"/>
    <w:rsid w:val="006E291A"/>
    <w:rsid w:val="006E2951"/>
    <w:rsid w:val="006E29F4"/>
    <w:rsid w:val="006E2A0E"/>
    <w:rsid w:val="006E2B4A"/>
    <w:rsid w:val="006E2BC0"/>
    <w:rsid w:val="006E2CF4"/>
    <w:rsid w:val="006E2D76"/>
    <w:rsid w:val="006E2D79"/>
    <w:rsid w:val="006E2DF1"/>
    <w:rsid w:val="006E2EFD"/>
    <w:rsid w:val="006E2F14"/>
    <w:rsid w:val="006E300E"/>
    <w:rsid w:val="006E3055"/>
    <w:rsid w:val="006E3151"/>
    <w:rsid w:val="006E31EC"/>
    <w:rsid w:val="006E3264"/>
    <w:rsid w:val="006E32A6"/>
    <w:rsid w:val="006E33A3"/>
    <w:rsid w:val="006E341C"/>
    <w:rsid w:val="006E3457"/>
    <w:rsid w:val="006E34B7"/>
    <w:rsid w:val="006E34C4"/>
    <w:rsid w:val="006E353A"/>
    <w:rsid w:val="006E35BE"/>
    <w:rsid w:val="006E3745"/>
    <w:rsid w:val="006E37B3"/>
    <w:rsid w:val="006E37B5"/>
    <w:rsid w:val="006E380A"/>
    <w:rsid w:val="006E3836"/>
    <w:rsid w:val="006E39DA"/>
    <w:rsid w:val="006E39FF"/>
    <w:rsid w:val="006E3ADF"/>
    <w:rsid w:val="006E3B18"/>
    <w:rsid w:val="006E3D14"/>
    <w:rsid w:val="006E3D1C"/>
    <w:rsid w:val="006E3DD0"/>
    <w:rsid w:val="006E3F56"/>
    <w:rsid w:val="006E3FAB"/>
    <w:rsid w:val="006E3FE4"/>
    <w:rsid w:val="006E4252"/>
    <w:rsid w:val="006E42DC"/>
    <w:rsid w:val="006E43FC"/>
    <w:rsid w:val="006E4418"/>
    <w:rsid w:val="006E4458"/>
    <w:rsid w:val="006E4494"/>
    <w:rsid w:val="006E44DA"/>
    <w:rsid w:val="006E458D"/>
    <w:rsid w:val="006E4631"/>
    <w:rsid w:val="006E46A6"/>
    <w:rsid w:val="006E46C3"/>
    <w:rsid w:val="006E4729"/>
    <w:rsid w:val="006E474A"/>
    <w:rsid w:val="006E4753"/>
    <w:rsid w:val="006E4775"/>
    <w:rsid w:val="006E47BD"/>
    <w:rsid w:val="006E4899"/>
    <w:rsid w:val="006E4A5F"/>
    <w:rsid w:val="006E4B1C"/>
    <w:rsid w:val="006E4CCA"/>
    <w:rsid w:val="006E4D01"/>
    <w:rsid w:val="006E4D17"/>
    <w:rsid w:val="006E4D53"/>
    <w:rsid w:val="006E4D78"/>
    <w:rsid w:val="006E4E7A"/>
    <w:rsid w:val="006E503E"/>
    <w:rsid w:val="006E5098"/>
    <w:rsid w:val="006E50DF"/>
    <w:rsid w:val="006E50F2"/>
    <w:rsid w:val="006E5196"/>
    <w:rsid w:val="006E51F7"/>
    <w:rsid w:val="006E5499"/>
    <w:rsid w:val="006E561B"/>
    <w:rsid w:val="006E574A"/>
    <w:rsid w:val="006E5786"/>
    <w:rsid w:val="006E57D0"/>
    <w:rsid w:val="006E584D"/>
    <w:rsid w:val="006E5867"/>
    <w:rsid w:val="006E593E"/>
    <w:rsid w:val="006E59D1"/>
    <w:rsid w:val="006E59D6"/>
    <w:rsid w:val="006E5A53"/>
    <w:rsid w:val="006E5A79"/>
    <w:rsid w:val="006E5ACC"/>
    <w:rsid w:val="006E5C60"/>
    <w:rsid w:val="006E5CEE"/>
    <w:rsid w:val="006E5D75"/>
    <w:rsid w:val="006E60EC"/>
    <w:rsid w:val="006E60FE"/>
    <w:rsid w:val="006E61E0"/>
    <w:rsid w:val="006E6273"/>
    <w:rsid w:val="006E6280"/>
    <w:rsid w:val="006E62CC"/>
    <w:rsid w:val="006E62FC"/>
    <w:rsid w:val="006E6310"/>
    <w:rsid w:val="006E643C"/>
    <w:rsid w:val="006E6445"/>
    <w:rsid w:val="006E64B1"/>
    <w:rsid w:val="006E6682"/>
    <w:rsid w:val="006E66B8"/>
    <w:rsid w:val="006E66F0"/>
    <w:rsid w:val="006E675C"/>
    <w:rsid w:val="006E6843"/>
    <w:rsid w:val="006E684C"/>
    <w:rsid w:val="006E6901"/>
    <w:rsid w:val="006E6930"/>
    <w:rsid w:val="006E699A"/>
    <w:rsid w:val="006E6C1C"/>
    <w:rsid w:val="006E6DCE"/>
    <w:rsid w:val="006E6EBB"/>
    <w:rsid w:val="006E6EC8"/>
    <w:rsid w:val="006E7095"/>
    <w:rsid w:val="006E71EC"/>
    <w:rsid w:val="006E7272"/>
    <w:rsid w:val="006E755A"/>
    <w:rsid w:val="006E75D8"/>
    <w:rsid w:val="006E764F"/>
    <w:rsid w:val="006E76E8"/>
    <w:rsid w:val="006E7728"/>
    <w:rsid w:val="006E7780"/>
    <w:rsid w:val="006E7918"/>
    <w:rsid w:val="006E7A59"/>
    <w:rsid w:val="006E7CE5"/>
    <w:rsid w:val="006E7F34"/>
    <w:rsid w:val="006F0000"/>
    <w:rsid w:val="006F00F6"/>
    <w:rsid w:val="006F010D"/>
    <w:rsid w:val="006F012A"/>
    <w:rsid w:val="006F014E"/>
    <w:rsid w:val="006F0209"/>
    <w:rsid w:val="006F023B"/>
    <w:rsid w:val="006F02F9"/>
    <w:rsid w:val="006F0360"/>
    <w:rsid w:val="006F036A"/>
    <w:rsid w:val="006F039C"/>
    <w:rsid w:val="006F03C4"/>
    <w:rsid w:val="006F0440"/>
    <w:rsid w:val="006F0512"/>
    <w:rsid w:val="006F053C"/>
    <w:rsid w:val="006F056F"/>
    <w:rsid w:val="006F05C3"/>
    <w:rsid w:val="006F05EF"/>
    <w:rsid w:val="006F06A7"/>
    <w:rsid w:val="006F0839"/>
    <w:rsid w:val="006F0889"/>
    <w:rsid w:val="006F08AE"/>
    <w:rsid w:val="006F0941"/>
    <w:rsid w:val="006F0B28"/>
    <w:rsid w:val="006F0B99"/>
    <w:rsid w:val="006F0C3C"/>
    <w:rsid w:val="006F0CC0"/>
    <w:rsid w:val="006F0D32"/>
    <w:rsid w:val="006F0D47"/>
    <w:rsid w:val="006F0E15"/>
    <w:rsid w:val="006F0EE8"/>
    <w:rsid w:val="006F124D"/>
    <w:rsid w:val="006F127B"/>
    <w:rsid w:val="006F12E7"/>
    <w:rsid w:val="006F130E"/>
    <w:rsid w:val="006F13A4"/>
    <w:rsid w:val="006F13D4"/>
    <w:rsid w:val="006F13F7"/>
    <w:rsid w:val="006F1422"/>
    <w:rsid w:val="006F145A"/>
    <w:rsid w:val="006F14A9"/>
    <w:rsid w:val="006F14BB"/>
    <w:rsid w:val="006F14E1"/>
    <w:rsid w:val="006F15DD"/>
    <w:rsid w:val="006F15F6"/>
    <w:rsid w:val="006F16EB"/>
    <w:rsid w:val="006F1790"/>
    <w:rsid w:val="006F17B6"/>
    <w:rsid w:val="006F17F5"/>
    <w:rsid w:val="006F186E"/>
    <w:rsid w:val="006F18C6"/>
    <w:rsid w:val="006F18F2"/>
    <w:rsid w:val="006F194D"/>
    <w:rsid w:val="006F199A"/>
    <w:rsid w:val="006F1A62"/>
    <w:rsid w:val="006F1A9B"/>
    <w:rsid w:val="006F1AFE"/>
    <w:rsid w:val="006F1B24"/>
    <w:rsid w:val="006F1B2F"/>
    <w:rsid w:val="006F1B81"/>
    <w:rsid w:val="006F1CCB"/>
    <w:rsid w:val="006F1D11"/>
    <w:rsid w:val="006F1D9B"/>
    <w:rsid w:val="006F1DF0"/>
    <w:rsid w:val="006F1E14"/>
    <w:rsid w:val="006F1E49"/>
    <w:rsid w:val="006F1E5D"/>
    <w:rsid w:val="006F1E71"/>
    <w:rsid w:val="006F1E96"/>
    <w:rsid w:val="006F1EC7"/>
    <w:rsid w:val="006F1FAD"/>
    <w:rsid w:val="006F1FC5"/>
    <w:rsid w:val="006F2035"/>
    <w:rsid w:val="006F2057"/>
    <w:rsid w:val="006F2059"/>
    <w:rsid w:val="006F2088"/>
    <w:rsid w:val="006F20B8"/>
    <w:rsid w:val="006F20BB"/>
    <w:rsid w:val="006F2304"/>
    <w:rsid w:val="006F2377"/>
    <w:rsid w:val="006F2389"/>
    <w:rsid w:val="006F2402"/>
    <w:rsid w:val="006F250C"/>
    <w:rsid w:val="006F254F"/>
    <w:rsid w:val="006F2582"/>
    <w:rsid w:val="006F268A"/>
    <w:rsid w:val="006F2772"/>
    <w:rsid w:val="006F28AC"/>
    <w:rsid w:val="006F28BB"/>
    <w:rsid w:val="006F2938"/>
    <w:rsid w:val="006F295B"/>
    <w:rsid w:val="006F2BB9"/>
    <w:rsid w:val="006F2CBE"/>
    <w:rsid w:val="006F2D9A"/>
    <w:rsid w:val="006F2DE1"/>
    <w:rsid w:val="006F2DFD"/>
    <w:rsid w:val="006F2ECF"/>
    <w:rsid w:val="006F2F41"/>
    <w:rsid w:val="006F2F86"/>
    <w:rsid w:val="006F2FA4"/>
    <w:rsid w:val="006F2FCE"/>
    <w:rsid w:val="006F303B"/>
    <w:rsid w:val="006F3160"/>
    <w:rsid w:val="006F3173"/>
    <w:rsid w:val="006F3286"/>
    <w:rsid w:val="006F33D5"/>
    <w:rsid w:val="006F341C"/>
    <w:rsid w:val="006F341D"/>
    <w:rsid w:val="006F3420"/>
    <w:rsid w:val="006F3423"/>
    <w:rsid w:val="006F345A"/>
    <w:rsid w:val="006F375B"/>
    <w:rsid w:val="006F3875"/>
    <w:rsid w:val="006F3890"/>
    <w:rsid w:val="006F38A2"/>
    <w:rsid w:val="006F38AB"/>
    <w:rsid w:val="006F390C"/>
    <w:rsid w:val="006F3929"/>
    <w:rsid w:val="006F394B"/>
    <w:rsid w:val="006F3A04"/>
    <w:rsid w:val="006F3AC4"/>
    <w:rsid w:val="006F3B32"/>
    <w:rsid w:val="006F3B7D"/>
    <w:rsid w:val="006F3BB6"/>
    <w:rsid w:val="006F3BEE"/>
    <w:rsid w:val="006F3C61"/>
    <w:rsid w:val="006F3C81"/>
    <w:rsid w:val="006F3EEF"/>
    <w:rsid w:val="006F3F35"/>
    <w:rsid w:val="006F3FC2"/>
    <w:rsid w:val="006F40CD"/>
    <w:rsid w:val="006F4121"/>
    <w:rsid w:val="006F418B"/>
    <w:rsid w:val="006F4334"/>
    <w:rsid w:val="006F4352"/>
    <w:rsid w:val="006F4448"/>
    <w:rsid w:val="006F44DA"/>
    <w:rsid w:val="006F45CC"/>
    <w:rsid w:val="006F467C"/>
    <w:rsid w:val="006F4687"/>
    <w:rsid w:val="006F46CE"/>
    <w:rsid w:val="006F479B"/>
    <w:rsid w:val="006F479D"/>
    <w:rsid w:val="006F47B0"/>
    <w:rsid w:val="006F4994"/>
    <w:rsid w:val="006F4A40"/>
    <w:rsid w:val="006F4A7C"/>
    <w:rsid w:val="006F4B36"/>
    <w:rsid w:val="006F4B88"/>
    <w:rsid w:val="006F4BE0"/>
    <w:rsid w:val="006F4C70"/>
    <w:rsid w:val="006F4CFB"/>
    <w:rsid w:val="006F4DA6"/>
    <w:rsid w:val="006F4DBE"/>
    <w:rsid w:val="006F4DE7"/>
    <w:rsid w:val="006F5004"/>
    <w:rsid w:val="006F5131"/>
    <w:rsid w:val="006F5165"/>
    <w:rsid w:val="006F5383"/>
    <w:rsid w:val="006F5525"/>
    <w:rsid w:val="006F5554"/>
    <w:rsid w:val="006F56BC"/>
    <w:rsid w:val="006F56DA"/>
    <w:rsid w:val="006F5737"/>
    <w:rsid w:val="006F57A6"/>
    <w:rsid w:val="006F59AD"/>
    <w:rsid w:val="006F5A16"/>
    <w:rsid w:val="006F5B93"/>
    <w:rsid w:val="006F5C8F"/>
    <w:rsid w:val="006F5E5E"/>
    <w:rsid w:val="006F5EB4"/>
    <w:rsid w:val="006F5F4B"/>
    <w:rsid w:val="006F5F87"/>
    <w:rsid w:val="006F60DF"/>
    <w:rsid w:val="006F61C2"/>
    <w:rsid w:val="006F6298"/>
    <w:rsid w:val="006F62A2"/>
    <w:rsid w:val="006F6344"/>
    <w:rsid w:val="006F63E7"/>
    <w:rsid w:val="006F63ED"/>
    <w:rsid w:val="006F644C"/>
    <w:rsid w:val="006F6496"/>
    <w:rsid w:val="006F658C"/>
    <w:rsid w:val="006F65CF"/>
    <w:rsid w:val="006F6617"/>
    <w:rsid w:val="006F661F"/>
    <w:rsid w:val="006F6777"/>
    <w:rsid w:val="006F678A"/>
    <w:rsid w:val="006F6876"/>
    <w:rsid w:val="006F6884"/>
    <w:rsid w:val="006F6927"/>
    <w:rsid w:val="006F6989"/>
    <w:rsid w:val="006F6A19"/>
    <w:rsid w:val="006F6A48"/>
    <w:rsid w:val="006F6A57"/>
    <w:rsid w:val="006F6A6A"/>
    <w:rsid w:val="006F6B7B"/>
    <w:rsid w:val="006F6C5E"/>
    <w:rsid w:val="006F6CBC"/>
    <w:rsid w:val="006F6D0D"/>
    <w:rsid w:val="006F6D64"/>
    <w:rsid w:val="006F6DC0"/>
    <w:rsid w:val="006F6DD7"/>
    <w:rsid w:val="006F6FAB"/>
    <w:rsid w:val="006F6FE9"/>
    <w:rsid w:val="006F700C"/>
    <w:rsid w:val="006F705C"/>
    <w:rsid w:val="006F706A"/>
    <w:rsid w:val="006F7072"/>
    <w:rsid w:val="006F70ED"/>
    <w:rsid w:val="006F7220"/>
    <w:rsid w:val="006F728B"/>
    <w:rsid w:val="006F7350"/>
    <w:rsid w:val="006F7531"/>
    <w:rsid w:val="006F75EC"/>
    <w:rsid w:val="006F7601"/>
    <w:rsid w:val="006F768B"/>
    <w:rsid w:val="006F77CF"/>
    <w:rsid w:val="006F79AD"/>
    <w:rsid w:val="006F7A00"/>
    <w:rsid w:val="006F7A97"/>
    <w:rsid w:val="006F7AED"/>
    <w:rsid w:val="006F7BE0"/>
    <w:rsid w:val="006F7C09"/>
    <w:rsid w:val="006F7DA4"/>
    <w:rsid w:val="006F7E23"/>
    <w:rsid w:val="006F7E88"/>
    <w:rsid w:val="006F7F73"/>
    <w:rsid w:val="006F7FE6"/>
    <w:rsid w:val="007000FE"/>
    <w:rsid w:val="00700126"/>
    <w:rsid w:val="0070017D"/>
    <w:rsid w:val="00700184"/>
    <w:rsid w:val="00700380"/>
    <w:rsid w:val="0070038D"/>
    <w:rsid w:val="007003D0"/>
    <w:rsid w:val="00700422"/>
    <w:rsid w:val="00700426"/>
    <w:rsid w:val="007004B3"/>
    <w:rsid w:val="00700636"/>
    <w:rsid w:val="00700637"/>
    <w:rsid w:val="00700642"/>
    <w:rsid w:val="00700684"/>
    <w:rsid w:val="00700719"/>
    <w:rsid w:val="007007AE"/>
    <w:rsid w:val="007007BB"/>
    <w:rsid w:val="007008FA"/>
    <w:rsid w:val="0070098B"/>
    <w:rsid w:val="00700A47"/>
    <w:rsid w:val="00700B06"/>
    <w:rsid w:val="00700B1B"/>
    <w:rsid w:val="00700B69"/>
    <w:rsid w:val="00700BE2"/>
    <w:rsid w:val="00700BF4"/>
    <w:rsid w:val="00700C1E"/>
    <w:rsid w:val="00700C47"/>
    <w:rsid w:val="00700D16"/>
    <w:rsid w:val="00700D32"/>
    <w:rsid w:val="00700DBD"/>
    <w:rsid w:val="00700E9B"/>
    <w:rsid w:val="00700F7C"/>
    <w:rsid w:val="00700FE8"/>
    <w:rsid w:val="007011DE"/>
    <w:rsid w:val="007011F2"/>
    <w:rsid w:val="0070124A"/>
    <w:rsid w:val="0070134E"/>
    <w:rsid w:val="00701355"/>
    <w:rsid w:val="007013AA"/>
    <w:rsid w:val="0070142F"/>
    <w:rsid w:val="0070147F"/>
    <w:rsid w:val="00701781"/>
    <w:rsid w:val="0070179F"/>
    <w:rsid w:val="007017A8"/>
    <w:rsid w:val="00701887"/>
    <w:rsid w:val="00701B5B"/>
    <w:rsid w:val="00701BB9"/>
    <w:rsid w:val="00701CCC"/>
    <w:rsid w:val="00701CDD"/>
    <w:rsid w:val="00701CE1"/>
    <w:rsid w:val="00701D02"/>
    <w:rsid w:val="00701D3E"/>
    <w:rsid w:val="00701D63"/>
    <w:rsid w:val="00701DA1"/>
    <w:rsid w:val="00701DB5"/>
    <w:rsid w:val="00701DF5"/>
    <w:rsid w:val="00701DF8"/>
    <w:rsid w:val="00701DFC"/>
    <w:rsid w:val="00701F44"/>
    <w:rsid w:val="00701F55"/>
    <w:rsid w:val="00702038"/>
    <w:rsid w:val="00702083"/>
    <w:rsid w:val="007020B1"/>
    <w:rsid w:val="00702197"/>
    <w:rsid w:val="007021CF"/>
    <w:rsid w:val="007021F5"/>
    <w:rsid w:val="00702230"/>
    <w:rsid w:val="00702391"/>
    <w:rsid w:val="00702510"/>
    <w:rsid w:val="00702529"/>
    <w:rsid w:val="00702540"/>
    <w:rsid w:val="007026A2"/>
    <w:rsid w:val="007027AD"/>
    <w:rsid w:val="00702838"/>
    <w:rsid w:val="00702841"/>
    <w:rsid w:val="0070287B"/>
    <w:rsid w:val="007029CB"/>
    <w:rsid w:val="00702B09"/>
    <w:rsid w:val="00702B30"/>
    <w:rsid w:val="00702BE0"/>
    <w:rsid w:val="00702C91"/>
    <w:rsid w:val="00702CD1"/>
    <w:rsid w:val="00702E20"/>
    <w:rsid w:val="00702EED"/>
    <w:rsid w:val="00702EFC"/>
    <w:rsid w:val="00702F73"/>
    <w:rsid w:val="0070301F"/>
    <w:rsid w:val="0070302F"/>
    <w:rsid w:val="00703032"/>
    <w:rsid w:val="00703053"/>
    <w:rsid w:val="00703054"/>
    <w:rsid w:val="007030EE"/>
    <w:rsid w:val="0070317B"/>
    <w:rsid w:val="00703203"/>
    <w:rsid w:val="007032A6"/>
    <w:rsid w:val="00703383"/>
    <w:rsid w:val="007033C1"/>
    <w:rsid w:val="007033DA"/>
    <w:rsid w:val="007034B4"/>
    <w:rsid w:val="00703580"/>
    <w:rsid w:val="00703611"/>
    <w:rsid w:val="00703621"/>
    <w:rsid w:val="007036FC"/>
    <w:rsid w:val="00703721"/>
    <w:rsid w:val="0070375C"/>
    <w:rsid w:val="007037CC"/>
    <w:rsid w:val="00703932"/>
    <w:rsid w:val="0070398F"/>
    <w:rsid w:val="00703A75"/>
    <w:rsid w:val="00703AB2"/>
    <w:rsid w:val="00703B22"/>
    <w:rsid w:val="00703BA8"/>
    <w:rsid w:val="00703BAB"/>
    <w:rsid w:val="00703C11"/>
    <w:rsid w:val="00703C8A"/>
    <w:rsid w:val="00703C8B"/>
    <w:rsid w:val="00703D71"/>
    <w:rsid w:val="00703DAE"/>
    <w:rsid w:val="00703DEE"/>
    <w:rsid w:val="00703E06"/>
    <w:rsid w:val="00703EF7"/>
    <w:rsid w:val="00703F11"/>
    <w:rsid w:val="00703FF2"/>
    <w:rsid w:val="0070402E"/>
    <w:rsid w:val="0070418D"/>
    <w:rsid w:val="00704202"/>
    <w:rsid w:val="00704209"/>
    <w:rsid w:val="0070424A"/>
    <w:rsid w:val="00704253"/>
    <w:rsid w:val="00704255"/>
    <w:rsid w:val="00704347"/>
    <w:rsid w:val="007044C9"/>
    <w:rsid w:val="00704502"/>
    <w:rsid w:val="0070461D"/>
    <w:rsid w:val="0070485B"/>
    <w:rsid w:val="007048A4"/>
    <w:rsid w:val="007048C7"/>
    <w:rsid w:val="00704916"/>
    <w:rsid w:val="0070494E"/>
    <w:rsid w:val="00704964"/>
    <w:rsid w:val="007049BD"/>
    <w:rsid w:val="00704A7C"/>
    <w:rsid w:val="00704B55"/>
    <w:rsid w:val="00704BD3"/>
    <w:rsid w:val="00704D65"/>
    <w:rsid w:val="00704D73"/>
    <w:rsid w:val="00704D85"/>
    <w:rsid w:val="00704DBB"/>
    <w:rsid w:val="00704FDA"/>
    <w:rsid w:val="00705020"/>
    <w:rsid w:val="007050ED"/>
    <w:rsid w:val="007050F3"/>
    <w:rsid w:val="0070525F"/>
    <w:rsid w:val="0070526A"/>
    <w:rsid w:val="0070535B"/>
    <w:rsid w:val="007053F7"/>
    <w:rsid w:val="007054A0"/>
    <w:rsid w:val="007054D0"/>
    <w:rsid w:val="00705533"/>
    <w:rsid w:val="007056D2"/>
    <w:rsid w:val="007056F5"/>
    <w:rsid w:val="0070579D"/>
    <w:rsid w:val="00705862"/>
    <w:rsid w:val="00705877"/>
    <w:rsid w:val="0070588B"/>
    <w:rsid w:val="007058B1"/>
    <w:rsid w:val="007058DA"/>
    <w:rsid w:val="00705910"/>
    <w:rsid w:val="00705957"/>
    <w:rsid w:val="0070596A"/>
    <w:rsid w:val="007059E3"/>
    <w:rsid w:val="00705CCC"/>
    <w:rsid w:val="00705CDA"/>
    <w:rsid w:val="00705D56"/>
    <w:rsid w:val="00705DA6"/>
    <w:rsid w:val="00705DB6"/>
    <w:rsid w:val="00705E21"/>
    <w:rsid w:val="0070607F"/>
    <w:rsid w:val="007060F1"/>
    <w:rsid w:val="0070615E"/>
    <w:rsid w:val="007062BF"/>
    <w:rsid w:val="007062F1"/>
    <w:rsid w:val="0070632A"/>
    <w:rsid w:val="00706353"/>
    <w:rsid w:val="00706503"/>
    <w:rsid w:val="007067DD"/>
    <w:rsid w:val="00706839"/>
    <w:rsid w:val="007068E6"/>
    <w:rsid w:val="00706A92"/>
    <w:rsid w:val="00706B5A"/>
    <w:rsid w:val="00706BED"/>
    <w:rsid w:val="00706CBF"/>
    <w:rsid w:val="00706CFF"/>
    <w:rsid w:val="00706D0A"/>
    <w:rsid w:val="00706DB3"/>
    <w:rsid w:val="00706DC7"/>
    <w:rsid w:val="00706DEB"/>
    <w:rsid w:val="00706E47"/>
    <w:rsid w:val="00706E54"/>
    <w:rsid w:val="0070700E"/>
    <w:rsid w:val="007070CF"/>
    <w:rsid w:val="007070E4"/>
    <w:rsid w:val="00707119"/>
    <w:rsid w:val="00707166"/>
    <w:rsid w:val="0070716B"/>
    <w:rsid w:val="0070717A"/>
    <w:rsid w:val="00707219"/>
    <w:rsid w:val="0070724B"/>
    <w:rsid w:val="007072BD"/>
    <w:rsid w:val="00707334"/>
    <w:rsid w:val="007073B8"/>
    <w:rsid w:val="007073D4"/>
    <w:rsid w:val="007073D7"/>
    <w:rsid w:val="00707436"/>
    <w:rsid w:val="00707507"/>
    <w:rsid w:val="00707532"/>
    <w:rsid w:val="0070762A"/>
    <w:rsid w:val="0070764F"/>
    <w:rsid w:val="00707676"/>
    <w:rsid w:val="007077C0"/>
    <w:rsid w:val="00707899"/>
    <w:rsid w:val="007078A7"/>
    <w:rsid w:val="007079F1"/>
    <w:rsid w:val="00707A01"/>
    <w:rsid w:val="00707A8D"/>
    <w:rsid w:val="00707AF7"/>
    <w:rsid w:val="00707C51"/>
    <w:rsid w:val="00707C81"/>
    <w:rsid w:val="00707E2B"/>
    <w:rsid w:val="00707EDC"/>
    <w:rsid w:val="00707FF6"/>
    <w:rsid w:val="0070B6AB"/>
    <w:rsid w:val="0071002D"/>
    <w:rsid w:val="0071005A"/>
    <w:rsid w:val="0071008B"/>
    <w:rsid w:val="0071008F"/>
    <w:rsid w:val="007100E0"/>
    <w:rsid w:val="00710125"/>
    <w:rsid w:val="0071013F"/>
    <w:rsid w:val="00710200"/>
    <w:rsid w:val="00710217"/>
    <w:rsid w:val="0071027D"/>
    <w:rsid w:val="007102F2"/>
    <w:rsid w:val="0071032B"/>
    <w:rsid w:val="0071038C"/>
    <w:rsid w:val="007105CE"/>
    <w:rsid w:val="007105E8"/>
    <w:rsid w:val="0071063F"/>
    <w:rsid w:val="0071069E"/>
    <w:rsid w:val="0071073D"/>
    <w:rsid w:val="007108A1"/>
    <w:rsid w:val="007108B1"/>
    <w:rsid w:val="00710A2F"/>
    <w:rsid w:val="00710A87"/>
    <w:rsid w:val="00710B6D"/>
    <w:rsid w:val="00710B94"/>
    <w:rsid w:val="00710B9F"/>
    <w:rsid w:val="00710C32"/>
    <w:rsid w:val="00710C38"/>
    <w:rsid w:val="00710C7D"/>
    <w:rsid w:val="00710C9A"/>
    <w:rsid w:val="00710CE6"/>
    <w:rsid w:val="00710DA4"/>
    <w:rsid w:val="00710EB3"/>
    <w:rsid w:val="00710EC5"/>
    <w:rsid w:val="00711064"/>
    <w:rsid w:val="007110DB"/>
    <w:rsid w:val="00711104"/>
    <w:rsid w:val="00711108"/>
    <w:rsid w:val="00711111"/>
    <w:rsid w:val="00711182"/>
    <w:rsid w:val="00711277"/>
    <w:rsid w:val="0071128E"/>
    <w:rsid w:val="007112AB"/>
    <w:rsid w:val="007112BB"/>
    <w:rsid w:val="007112E4"/>
    <w:rsid w:val="0071130A"/>
    <w:rsid w:val="0071131D"/>
    <w:rsid w:val="00711347"/>
    <w:rsid w:val="007113C1"/>
    <w:rsid w:val="00711510"/>
    <w:rsid w:val="00711663"/>
    <w:rsid w:val="0071188E"/>
    <w:rsid w:val="00711A2A"/>
    <w:rsid w:val="00711A48"/>
    <w:rsid w:val="00711A94"/>
    <w:rsid w:val="00711AF8"/>
    <w:rsid w:val="00711B9B"/>
    <w:rsid w:val="00711BCD"/>
    <w:rsid w:val="00711BFE"/>
    <w:rsid w:val="00711CD2"/>
    <w:rsid w:val="00711CFF"/>
    <w:rsid w:val="00711D30"/>
    <w:rsid w:val="00711D79"/>
    <w:rsid w:val="00711DA6"/>
    <w:rsid w:val="00711E16"/>
    <w:rsid w:val="00711E21"/>
    <w:rsid w:val="00711E5C"/>
    <w:rsid w:val="00711EBE"/>
    <w:rsid w:val="00711ED4"/>
    <w:rsid w:val="00711EEA"/>
    <w:rsid w:val="00711F16"/>
    <w:rsid w:val="00711F18"/>
    <w:rsid w:val="0071203F"/>
    <w:rsid w:val="0071209F"/>
    <w:rsid w:val="007120D1"/>
    <w:rsid w:val="00712114"/>
    <w:rsid w:val="007121CA"/>
    <w:rsid w:val="007122D9"/>
    <w:rsid w:val="0071233D"/>
    <w:rsid w:val="00712381"/>
    <w:rsid w:val="00712495"/>
    <w:rsid w:val="00712517"/>
    <w:rsid w:val="007125F2"/>
    <w:rsid w:val="00712602"/>
    <w:rsid w:val="00712645"/>
    <w:rsid w:val="00712936"/>
    <w:rsid w:val="0071297C"/>
    <w:rsid w:val="00712987"/>
    <w:rsid w:val="007129E5"/>
    <w:rsid w:val="00712ABE"/>
    <w:rsid w:val="00712AC6"/>
    <w:rsid w:val="00712AFD"/>
    <w:rsid w:val="00712B02"/>
    <w:rsid w:val="00712B6C"/>
    <w:rsid w:val="00712C37"/>
    <w:rsid w:val="00712D97"/>
    <w:rsid w:val="00712EA6"/>
    <w:rsid w:val="00712F18"/>
    <w:rsid w:val="00712F8A"/>
    <w:rsid w:val="00713001"/>
    <w:rsid w:val="00713041"/>
    <w:rsid w:val="00713094"/>
    <w:rsid w:val="007130B9"/>
    <w:rsid w:val="0071310E"/>
    <w:rsid w:val="007131FD"/>
    <w:rsid w:val="0071322E"/>
    <w:rsid w:val="007132AA"/>
    <w:rsid w:val="007132BA"/>
    <w:rsid w:val="007133C9"/>
    <w:rsid w:val="00713507"/>
    <w:rsid w:val="0071352E"/>
    <w:rsid w:val="0071355C"/>
    <w:rsid w:val="00713634"/>
    <w:rsid w:val="00713667"/>
    <w:rsid w:val="0071368F"/>
    <w:rsid w:val="007136A4"/>
    <w:rsid w:val="007136A9"/>
    <w:rsid w:val="007136E2"/>
    <w:rsid w:val="00713746"/>
    <w:rsid w:val="0071380A"/>
    <w:rsid w:val="00713851"/>
    <w:rsid w:val="007138AF"/>
    <w:rsid w:val="0071393A"/>
    <w:rsid w:val="007139B4"/>
    <w:rsid w:val="007139ED"/>
    <w:rsid w:val="00713A33"/>
    <w:rsid w:val="00713A99"/>
    <w:rsid w:val="00713B0E"/>
    <w:rsid w:val="00713B24"/>
    <w:rsid w:val="00713B69"/>
    <w:rsid w:val="00713C84"/>
    <w:rsid w:val="00713CBF"/>
    <w:rsid w:val="00713CD0"/>
    <w:rsid w:val="00713CF6"/>
    <w:rsid w:val="00713D69"/>
    <w:rsid w:val="00713D72"/>
    <w:rsid w:val="00713E36"/>
    <w:rsid w:val="00713EE7"/>
    <w:rsid w:val="00713EFA"/>
    <w:rsid w:val="00713F1B"/>
    <w:rsid w:val="00713F70"/>
    <w:rsid w:val="00714059"/>
    <w:rsid w:val="007140B7"/>
    <w:rsid w:val="007141BC"/>
    <w:rsid w:val="00714200"/>
    <w:rsid w:val="0071422A"/>
    <w:rsid w:val="007143BD"/>
    <w:rsid w:val="007143F4"/>
    <w:rsid w:val="0071449B"/>
    <w:rsid w:val="007144A8"/>
    <w:rsid w:val="00714619"/>
    <w:rsid w:val="0071465F"/>
    <w:rsid w:val="00714719"/>
    <w:rsid w:val="0071471D"/>
    <w:rsid w:val="007147F2"/>
    <w:rsid w:val="00714824"/>
    <w:rsid w:val="007149AF"/>
    <w:rsid w:val="00714A2F"/>
    <w:rsid w:val="00714A86"/>
    <w:rsid w:val="00714B0A"/>
    <w:rsid w:val="00714BE6"/>
    <w:rsid w:val="00714C0C"/>
    <w:rsid w:val="00714D2D"/>
    <w:rsid w:val="00714DA3"/>
    <w:rsid w:val="00714DC6"/>
    <w:rsid w:val="00714E85"/>
    <w:rsid w:val="00714E95"/>
    <w:rsid w:val="00714EC2"/>
    <w:rsid w:val="00714EF3"/>
    <w:rsid w:val="00714F16"/>
    <w:rsid w:val="00714FA8"/>
    <w:rsid w:val="0071508E"/>
    <w:rsid w:val="007150A6"/>
    <w:rsid w:val="007152AB"/>
    <w:rsid w:val="007152B9"/>
    <w:rsid w:val="007152E3"/>
    <w:rsid w:val="0071545E"/>
    <w:rsid w:val="00715531"/>
    <w:rsid w:val="0071555A"/>
    <w:rsid w:val="007156F6"/>
    <w:rsid w:val="00715721"/>
    <w:rsid w:val="00715724"/>
    <w:rsid w:val="00715762"/>
    <w:rsid w:val="00715773"/>
    <w:rsid w:val="0071589B"/>
    <w:rsid w:val="00715956"/>
    <w:rsid w:val="007159DB"/>
    <w:rsid w:val="00715A9B"/>
    <w:rsid w:val="00715AA9"/>
    <w:rsid w:val="00715ABC"/>
    <w:rsid w:val="00715B70"/>
    <w:rsid w:val="00715C75"/>
    <w:rsid w:val="00715CFD"/>
    <w:rsid w:val="00715D92"/>
    <w:rsid w:val="00715DB3"/>
    <w:rsid w:val="00715E6D"/>
    <w:rsid w:val="00715F2D"/>
    <w:rsid w:val="00715F6F"/>
    <w:rsid w:val="00716003"/>
    <w:rsid w:val="00716083"/>
    <w:rsid w:val="00716325"/>
    <w:rsid w:val="007163F2"/>
    <w:rsid w:val="0071640B"/>
    <w:rsid w:val="00716454"/>
    <w:rsid w:val="00716494"/>
    <w:rsid w:val="0071649B"/>
    <w:rsid w:val="0071666D"/>
    <w:rsid w:val="00716675"/>
    <w:rsid w:val="007166B6"/>
    <w:rsid w:val="00716716"/>
    <w:rsid w:val="007169A2"/>
    <w:rsid w:val="00716A69"/>
    <w:rsid w:val="00716A7C"/>
    <w:rsid w:val="00716B28"/>
    <w:rsid w:val="00716BAA"/>
    <w:rsid w:val="00716C0D"/>
    <w:rsid w:val="00716C8B"/>
    <w:rsid w:val="00716CF4"/>
    <w:rsid w:val="00716D71"/>
    <w:rsid w:val="00716F6B"/>
    <w:rsid w:val="00716FF6"/>
    <w:rsid w:val="00717194"/>
    <w:rsid w:val="007171A7"/>
    <w:rsid w:val="007172C2"/>
    <w:rsid w:val="00717487"/>
    <w:rsid w:val="00717513"/>
    <w:rsid w:val="0071754A"/>
    <w:rsid w:val="007175B3"/>
    <w:rsid w:val="007175C4"/>
    <w:rsid w:val="0071769A"/>
    <w:rsid w:val="007176FB"/>
    <w:rsid w:val="0071780B"/>
    <w:rsid w:val="007179BA"/>
    <w:rsid w:val="00717A2C"/>
    <w:rsid w:val="00717AD5"/>
    <w:rsid w:val="00717B5C"/>
    <w:rsid w:val="00717BB1"/>
    <w:rsid w:val="00717C19"/>
    <w:rsid w:val="00717C50"/>
    <w:rsid w:val="00717CAA"/>
    <w:rsid w:val="00717D6C"/>
    <w:rsid w:val="00717DCC"/>
    <w:rsid w:val="00717DD0"/>
    <w:rsid w:val="00717EB0"/>
    <w:rsid w:val="00717ED1"/>
    <w:rsid w:val="00717F74"/>
    <w:rsid w:val="00717F85"/>
    <w:rsid w:val="00717FAC"/>
    <w:rsid w:val="00720031"/>
    <w:rsid w:val="007201D1"/>
    <w:rsid w:val="00720286"/>
    <w:rsid w:val="007202DC"/>
    <w:rsid w:val="007203C4"/>
    <w:rsid w:val="00720430"/>
    <w:rsid w:val="0072045D"/>
    <w:rsid w:val="007204A6"/>
    <w:rsid w:val="007204EF"/>
    <w:rsid w:val="00720516"/>
    <w:rsid w:val="0072056D"/>
    <w:rsid w:val="007205D5"/>
    <w:rsid w:val="00720649"/>
    <w:rsid w:val="0072066A"/>
    <w:rsid w:val="007206D0"/>
    <w:rsid w:val="00720766"/>
    <w:rsid w:val="007207DC"/>
    <w:rsid w:val="00720816"/>
    <w:rsid w:val="00720885"/>
    <w:rsid w:val="00720990"/>
    <w:rsid w:val="00720A06"/>
    <w:rsid w:val="00720A53"/>
    <w:rsid w:val="00720A8C"/>
    <w:rsid w:val="00720AF0"/>
    <w:rsid w:val="00720B00"/>
    <w:rsid w:val="00720B0D"/>
    <w:rsid w:val="00720B99"/>
    <w:rsid w:val="00720BAB"/>
    <w:rsid w:val="00720C7F"/>
    <w:rsid w:val="00720CA3"/>
    <w:rsid w:val="00720CCE"/>
    <w:rsid w:val="00720D12"/>
    <w:rsid w:val="00720D7B"/>
    <w:rsid w:val="00720DA9"/>
    <w:rsid w:val="00720DAF"/>
    <w:rsid w:val="00720E38"/>
    <w:rsid w:val="00720E68"/>
    <w:rsid w:val="00720EC2"/>
    <w:rsid w:val="00720F68"/>
    <w:rsid w:val="00720FC0"/>
    <w:rsid w:val="00720FF1"/>
    <w:rsid w:val="007210EE"/>
    <w:rsid w:val="007210F0"/>
    <w:rsid w:val="0072111C"/>
    <w:rsid w:val="00721233"/>
    <w:rsid w:val="00721282"/>
    <w:rsid w:val="00721346"/>
    <w:rsid w:val="0072136D"/>
    <w:rsid w:val="007214C0"/>
    <w:rsid w:val="007215B5"/>
    <w:rsid w:val="00721626"/>
    <w:rsid w:val="0072172A"/>
    <w:rsid w:val="007217A1"/>
    <w:rsid w:val="00721801"/>
    <w:rsid w:val="00721842"/>
    <w:rsid w:val="007218AC"/>
    <w:rsid w:val="00721904"/>
    <w:rsid w:val="007219B3"/>
    <w:rsid w:val="007219EE"/>
    <w:rsid w:val="00721A2F"/>
    <w:rsid w:val="00721AAC"/>
    <w:rsid w:val="00721AB7"/>
    <w:rsid w:val="00721AC3"/>
    <w:rsid w:val="00721C85"/>
    <w:rsid w:val="00721CB4"/>
    <w:rsid w:val="00721D13"/>
    <w:rsid w:val="00721D36"/>
    <w:rsid w:val="00721DC8"/>
    <w:rsid w:val="00721DF4"/>
    <w:rsid w:val="00721E4F"/>
    <w:rsid w:val="00721F40"/>
    <w:rsid w:val="00721F81"/>
    <w:rsid w:val="00721FAA"/>
    <w:rsid w:val="00722062"/>
    <w:rsid w:val="0072206E"/>
    <w:rsid w:val="00722172"/>
    <w:rsid w:val="00722182"/>
    <w:rsid w:val="007221EE"/>
    <w:rsid w:val="0072230C"/>
    <w:rsid w:val="00722379"/>
    <w:rsid w:val="007223AA"/>
    <w:rsid w:val="00722483"/>
    <w:rsid w:val="00722567"/>
    <w:rsid w:val="0072267D"/>
    <w:rsid w:val="007226A7"/>
    <w:rsid w:val="007227C7"/>
    <w:rsid w:val="007227E2"/>
    <w:rsid w:val="007228A8"/>
    <w:rsid w:val="007229B1"/>
    <w:rsid w:val="007229D3"/>
    <w:rsid w:val="00722AC4"/>
    <w:rsid w:val="00722AE1"/>
    <w:rsid w:val="00722B05"/>
    <w:rsid w:val="00722B44"/>
    <w:rsid w:val="00722BF5"/>
    <w:rsid w:val="00722C88"/>
    <w:rsid w:val="00722D1E"/>
    <w:rsid w:val="00722D7F"/>
    <w:rsid w:val="00722E3D"/>
    <w:rsid w:val="00722E6B"/>
    <w:rsid w:val="00722E78"/>
    <w:rsid w:val="00722F67"/>
    <w:rsid w:val="007230AE"/>
    <w:rsid w:val="007230D2"/>
    <w:rsid w:val="007230EC"/>
    <w:rsid w:val="007231E6"/>
    <w:rsid w:val="00723278"/>
    <w:rsid w:val="00723295"/>
    <w:rsid w:val="007232CE"/>
    <w:rsid w:val="007233B3"/>
    <w:rsid w:val="0072346C"/>
    <w:rsid w:val="00723482"/>
    <w:rsid w:val="007234DB"/>
    <w:rsid w:val="007234F4"/>
    <w:rsid w:val="00723622"/>
    <w:rsid w:val="007237BD"/>
    <w:rsid w:val="00723822"/>
    <w:rsid w:val="007238E7"/>
    <w:rsid w:val="00723924"/>
    <w:rsid w:val="00723938"/>
    <w:rsid w:val="007239DE"/>
    <w:rsid w:val="00723C1B"/>
    <w:rsid w:val="00723C5A"/>
    <w:rsid w:val="00723D9A"/>
    <w:rsid w:val="00723E23"/>
    <w:rsid w:val="00723F1C"/>
    <w:rsid w:val="00723F1F"/>
    <w:rsid w:val="00724004"/>
    <w:rsid w:val="0072411C"/>
    <w:rsid w:val="00724283"/>
    <w:rsid w:val="0072436A"/>
    <w:rsid w:val="0072438D"/>
    <w:rsid w:val="007243DB"/>
    <w:rsid w:val="007244CD"/>
    <w:rsid w:val="007245A9"/>
    <w:rsid w:val="007245DC"/>
    <w:rsid w:val="00724643"/>
    <w:rsid w:val="00724668"/>
    <w:rsid w:val="007246EB"/>
    <w:rsid w:val="00724788"/>
    <w:rsid w:val="00724AF7"/>
    <w:rsid w:val="00724B07"/>
    <w:rsid w:val="00724B92"/>
    <w:rsid w:val="00724BDF"/>
    <w:rsid w:val="00724BF1"/>
    <w:rsid w:val="00724C75"/>
    <w:rsid w:val="00724C8E"/>
    <w:rsid w:val="00724D47"/>
    <w:rsid w:val="00724D69"/>
    <w:rsid w:val="00724EEF"/>
    <w:rsid w:val="00724F32"/>
    <w:rsid w:val="00724F7A"/>
    <w:rsid w:val="00724FBD"/>
    <w:rsid w:val="00725017"/>
    <w:rsid w:val="0072503F"/>
    <w:rsid w:val="0072510E"/>
    <w:rsid w:val="0072512E"/>
    <w:rsid w:val="00725302"/>
    <w:rsid w:val="0072533A"/>
    <w:rsid w:val="00725376"/>
    <w:rsid w:val="00725515"/>
    <w:rsid w:val="00725643"/>
    <w:rsid w:val="00725648"/>
    <w:rsid w:val="00725715"/>
    <w:rsid w:val="00725739"/>
    <w:rsid w:val="0072577F"/>
    <w:rsid w:val="00725801"/>
    <w:rsid w:val="0072592E"/>
    <w:rsid w:val="00725978"/>
    <w:rsid w:val="00725983"/>
    <w:rsid w:val="007259CE"/>
    <w:rsid w:val="00725A13"/>
    <w:rsid w:val="00725A8D"/>
    <w:rsid w:val="00725ADB"/>
    <w:rsid w:val="00725B3B"/>
    <w:rsid w:val="00725B74"/>
    <w:rsid w:val="00725C1E"/>
    <w:rsid w:val="00725C94"/>
    <w:rsid w:val="00725EF2"/>
    <w:rsid w:val="00725F70"/>
    <w:rsid w:val="00725FC8"/>
    <w:rsid w:val="00725FF8"/>
    <w:rsid w:val="00726211"/>
    <w:rsid w:val="00726251"/>
    <w:rsid w:val="007262CF"/>
    <w:rsid w:val="00726396"/>
    <w:rsid w:val="007263EC"/>
    <w:rsid w:val="0072640F"/>
    <w:rsid w:val="00726440"/>
    <w:rsid w:val="00726499"/>
    <w:rsid w:val="0072654D"/>
    <w:rsid w:val="0072664A"/>
    <w:rsid w:val="007266C5"/>
    <w:rsid w:val="00726760"/>
    <w:rsid w:val="00726761"/>
    <w:rsid w:val="00726812"/>
    <w:rsid w:val="00726956"/>
    <w:rsid w:val="00726B71"/>
    <w:rsid w:val="00726B9B"/>
    <w:rsid w:val="00726BBC"/>
    <w:rsid w:val="00726CD7"/>
    <w:rsid w:val="00726CEE"/>
    <w:rsid w:val="00726E79"/>
    <w:rsid w:val="00726E80"/>
    <w:rsid w:val="00726EDD"/>
    <w:rsid w:val="00727080"/>
    <w:rsid w:val="00727139"/>
    <w:rsid w:val="007271D6"/>
    <w:rsid w:val="007271EE"/>
    <w:rsid w:val="00727201"/>
    <w:rsid w:val="0072720B"/>
    <w:rsid w:val="00727220"/>
    <w:rsid w:val="00727240"/>
    <w:rsid w:val="007272B3"/>
    <w:rsid w:val="00727391"/>
    <w:rsid w:val="007273A7"/>
    <w:rsid w:val="007273E7"/>
    <w:rsid w:val="00727432"/>
    <w:rsid w:val="0072744F"/>
    <w:rsid w:val="007274F3"/>
    <w:rsid w:val="00727556"/>
    <w:rsid w:val="00727560"/>
    <w:rsid w:val="007275FA"/>
    <w:rsid w:val="00727639"/>
    <w:rsid w:val="0072768A"/>
    <w:rsid w:val="00727732"/>
    <w:rsid w:val="0072773A"/>
    <w:rsid w:val="00727776"/>
    <w:rsid w:val="007277F5"/>
    <w:rsid w:val="00727821"/>
    <w:rsid w:val="0072787C"/>
    <w:rsid w:val="007278CB"/>
    <w:rsid w:val="007278E9"/>
    <w:rsid w:val="00727987"/>
    <w:rsid w:val="00727A6F"/>
    <w:rsid w:val="00727AEE"/>
    <w:rsid w:val="00727B19"/>
    <w:rsid w:val="00727BC1"/>
    <w:rsid w:val="00727BD6"/>
    <w:rsid w:val="00727C20"/>
    <w:rsid w:val="00727C5C"/>
    <w:rsid w:val="00727D89"/>
    <w:rsid w:val="00727E73"/>
    <w:rsid w:val="00727FFC"/>
    <w:rsid w:val="00730017"/>
    <w:rsid w:val="0073012D"/>
    <w:rsid w:val="00730189"/>
    <w:rsid w:val="0073027B"/>
    <w:rsid w:val="00730363"/>
    <w:rsid w:val="007303AE"/>
    <w:rsid w:val="00730416"/>
    <w:rsid w:val="00730426"/>
    <w:rsid w:val="0073043C"/>
    <w:rsid w:val="00730484"/>
    <w:rsid w:val="00730518"/>
    <w:rsid w:val="00730567"/>
    <w:rsid w:val="00730573"/>
    <w:rsid w:val="00730714"/>
    <w:rsid w:val="0073071C"/>
    <w:rsid w:val="00730802"/>
    <w:rsid w:val="00730866"/>
    <w:rsid w:val="00730ADD"/>
    <w:rsid w:val="00730B01"/>
    <w:rsid w:val="00730BEE"/>
    <w:rsid w:val="00730C05"/>
    <w:rsid w:val="00730C09"/>
    <w:rsid w:val="00730D49"/>
    <w:rsid w:val="00730E98"/>
    <w:rsid w:val="00731000"/>
    <w:rsid w:val="00731046"/>
    <w:rsid w:val="0073104B"/>
    <w:rsid w:val="00731154"/>
    <w:rsid w:val="0073117F"/>
    <w:rsid w:val="00731191"/>
    <w:rsid w:val="00731199"/>
    <w:rsid w:val="007311AA"/>
    <w:rsid w:val="007311D0"/>
    <w:rsid w:val="00731220"/>
    <w:rsid w:val="00731238"/>
    <w:rsid w:val="00731283"/>
    <w:rsid w:val="00731291"/>
    <w:rsid w:val="0073147C"/>
    <w:rsid w:val="007314A8"/>
    <w:rsid w:val="007314B2"/>
    <w:rsid w:val="007314D9"/>
    <w:rsid w:val="00731500"/>
    <w:rsid w:val="0073157B"/>
    <w:rsid w:val="00731593"/>
    <w:rsid w:val="007315AA"/>
    <w:rsid w:val="007316EB"/>
    <w:rsid w:val="0073178C"/>
    <w:rsid w:val="00731809"/>
    <w:rsid w:val="0073182A"/>
    <w:rsid w:val="007318AC"/>
    <w:rsid w:val="007318AD"/>
    <w:rsid w:val="007318F5"/>
    <w:rsid w:val="00731980"/>
    <w:rsid w:val="007319C2"/>
    <w:rsid w:val="00731A12"/>
    <w:rsid w:val="00731B0C"/>
    <w:rsid w:val="00731B38"/>
    <w:rsid w:val="00731B80"/>
    <w:rsid w:val="00731BAE"/>
    <w:rsid w:val="00731C2C"/>
    <w:rsid w:val="00731C7D"/>
    <w:rsid w:val="00731CA2"/>
    <w:rsid w:val="00731CD1"/>
    <w:rsid w:val="00731D21"/>
    <w:rsid w:val="00731D93"/>
    <w:rsid w:val="00731DA2"/>
    <w:rsid w:val="00731EAB"/>
    <w:rsid w:val="00731EBC"/>
    <w:rsid w:val="00731F0C"/>
    <w:rsid w:val="00731F10"/>
    <w:rsid w:val="00731FD7"/>
    <w:rsid w:val="00732193"/>
    <w:rsid w:val="007321F0"/>
    <w:rsid w:val="0073225C"/>
    <w:rsid w:val="00732287"/>
    <w:rsid w:val="0073228E"/>
    <w:rsid w:val="007322AB"/>
    <w:rsid w:val="007322B8"/>
    <w:rsid w:val="007322F1"/>
    <w:rsid w:val="00732322"/>
    <w:rsid w:val="00732347"/>
    <w:rsid w:val="00732393"/>
    <w:rsid w:val="0073245D"/>
    <w:rsid w:val="0073246C"/>
    <w:rsid w:val="00732517"/>
    <w:rsid w:val="0073270C"/>
    <w:rsid w:val="0073271C"/>
    <w:rsid w:val="00732742"/>
    <w:rsid w:val="0073276C"/>
    <w:rsid w:val="007327F7"/>
    <w:rsid w:val="00732823"/>
    <w:rsid w:val="0073291F"/>
    <w:rsid w:val="00732A0C"/>
    <w:rsid w:val="00732AE5"/>
    <w:rsid w:val="00732BB0"/>
    <w:rsid w:val="00732BB3"/>
    <w:rsid w:val="00732C1A"/>
    <w:rsid w:val="00732C65"/>
    <w:rsid w:val="00732CCE"/>
    <w:rsid w:val="00732DDF"/>
    <w:rsid w:val="00732E02"/>
    <w:rsid w:val="00732E19"/>
    <w:rsid w:val="00732E66"/>
    <w:rsid w:val="00732E8F"/>
    <w:rsid w:val="007330BC"/>
    <w:rsid w:val="0073314D"/>
    <w:rsid w:val="00733199"/>
    <w:rsid w:val="0073321A"/>
    <w:rsid w:val="007333F0"/>
    <w:rsid w:val="00733466"/>
    <w:rsid w:val="00733469"/>
    <w:rsid w:val="0073346C"/>
    <w:rsid w:val="007335C0"/>
    <w:rsid w:val="00733673"/>
    <w:rsid w:val="00733750"/>
    <w:rsid w:val="007337EA"/>
    <w:rsid w:val="00733816"/>
    <w:rsid w:val="00733827"/>
    <w:rsid w:val="007338F0"/>
    <w:rsid w:val="0073397D"/>
    <w:rsid w:val="00733A12"/>
    <w:rsid w:val="00733A81"/>
    <w:rsid w:val="00733B1C"/>
    <w:rsid w:val="00733B22"/>
    <w:rsid w:val="00733B3A"/>
    <w:rsid w:val="00733BA0"/>
    <w:rsid w:val="00733CC8"/>
    <w:rsid w:val="00733D4C"/>
    <w:rsid w:val="00733DCC"/>
    <w:rsid w:val="00733DDF"/>
    <w:rsid w:val="00733F8E"/>
    <w:rsid w:val="00733FB9"/>
    <w:rsid w:val="00733FF4"/>
    <w:rsid w:val="00734093"/>
    <w:rsid w:val="00734097"/>
    <w:rsid w:val="007340FF"/>
    <w:rsid w:val="00734144"/>
    <w:rsid w:val="007341A7"/>
    <w:rsid w:val="007342EF"/>
    <w:rsid w:val="007343FE"/>
    <w:rsid w:val="007344C8"/>
    <w:rsid w:val="007344EA"/>
    <w:rsid w:val="0073456E"/>
    <w:rsid w:val="007345D0"/>
    <w:rsid w:val="007346AB"/>
    <w:rsid w:val="007346F9"/>
    <w:rsid w:val="007347B9"/>
    <w:rsid w:val="007347D2"/>
    <w:rsid w:val="007347FA"/>
    <w:rsid w:val="00734833"/>
    <w:rsid w:val="00734887"/>
    <w:rsid w:val="007348C3"/>
    <w:rsid w:val="00734984"/>
    <w:rsid w:val="00734A07"/>
    <w:rsid w:val="00734A26"/>
    <w:rsid w:val="00734A41"/>
    <w:rsid w:val="00734A8B"/>
    <w:rsid w:val="00734B18"/>
    <w:rsid w:val="00734C0A"/>
    <w:rsid w:val="00734C1B"/>
    <w:rsid w:val="00734E3C"/>
    <w:rsid w:val="00734F52"/>
    <w:rsid w:val="00734F55"/>
    <w:rsid w:val="00734F9C"/>
    <w:rsid w:val="007350D0"/>
    <w:rsid w:val="0073527C"/>
    <w:rsid w:val="0073538D"/>
    <w:rsid w:val="007354A1"/>
    <w:rsid w:val="007354C2"/>
    <w:rsid w:val="007354C9"/>
    <w:rsid w:val="007355E9"/>
    <w:rsid w:val="007355ED"/>
    <w:rsid w:val="0073561E"/>
    <w:rsid w:val="00735630"/>
    <w:rsid w:val="00735696"/>
    <w:rsid w:val="007356CE"/>
    <w:rsid w:val="00735708"/>
    <w:rsid w:val="00735736"/>
    <w:rsid w:val="00735775"/>
    <w:rsid w:val="007357B8"/>
    <w:rsid w:val="00735816"/>
    <w:rsid w:val="00735864"/>
    <w:rsid w:val="0073588F"/>
    <w:rsid w:val="00735899"/>
    <w:rsid w:val="00735952"/>
    <w:rsid w:val="00735975"/>
    <w:rsid w:val="007359BC"/>
    <w:rsid w:val="007359FD"/>
    <w:rsid w:val="00735A1A"/>
    <w:rsid w:val="00735ABC"/>
    <w:rsid w:val="00735AC7"/>
    <w:rsid w:val="00735BBB"/>
    <w:rsid w:val="00735C96"/>
    <w:rsid w:val="00735D5F"/>
    <w:rsid w:val="00735D6B"/>
    <w:rsid w:val="00735DAA"/>
    <w:rsid w:val="00735DF9"/>
    <w:rsid w:val="00735E5E"/>
    <w:rsid w:val="00735E8B"/>
    <w:rsid w:val="00735EE5"/>
    <w:rsid w:val="00735EF8"/>
    <w:rsid w:val="00735F3C"/>
    <w:rsid w:val="00735FCE"/>
    <w:rsid w:val="00735FF5"/>
    <w:rsid w:val="007360C8"/>
    <w:rsid w:val="007361ED"/>
    <w:rsid w:val="00736252"/>
    <w:rsid w:val="0073625E"/>
    <w:rsid w:val="0073629F"/>
    <w:rsid w:val="00736406"/>
    <w:rsid w:val="00736408"/>
    <w:rsid w:val="007364F0"/>
    <w:rsid w:val="0073657E"/>
    <w:rsid w:val="007365D6"/>
    <w:rsid w:val="0073661F"/>
    <w:rsid w:val="00736684"/>
    <w:rsid w:val="007366EC"/>
    <w:rsid w:val="00736806"/>
    <w:rsid w:val="00736911"/>
    <w:rsid w:val="0073693D"/>
    <w:rsid w:val="0073694D"/>
    <w:rsid w:val="00736AC2"/>
    <w:rsid w:val="00736BEB"/>
    <w:rsid w:val="00736C66"/>
    <w:rsid w:val="00736C98"/>
    <w:rsid w:val="00736D64"/>
    <w:rsid w:val="00736E63"/>
    <w:rsid w:val="00736F0C"/>
    <w:rsid w:val="00736F2F"/>
    <w:rsid w:val="00736F79"/>
    <w:rsid w:val="00736FB7"/>
    <w:rsid w:val="00736FE9"/>
    <w:rsid w:val="00737010"/>
    <w:rsid w:val="0073703D"/>
    <w:rsid w:val="0073703F"/>
    <w:rsid w:val="007370C6"/>
    <w:rsid w:val="007370DC"/>
    <w:rsid w:val="0073710E"/>
    <w:rsid w:val="0073716D"/>
    <w:rsid w:val="00737220"/>
    <w:rsid w:val="0073733C"/>
    <w:rsid w:val="007373A2"/>
    <w:rsid w:val="007373E6"/>
    <w:rsid w:val="0073751C"/>
    <w:rsid w:val="00737609"/>
    <w:rsid w:val="00737703"/>
    <w:rsid w:val="007377BE"/>
    <w:rsid w:val="00737880"/>
    <w:rsid w:val="0073799F"/>
    <w:rsid w:val="00737A21"/>
    <w:rsid w:val="00737A28"/>
    <w:rsid w:val="00737A67"/>
    <w:rsid w:val="00737B5B"/>
    <w:rsid w:val="00737E6F"/>
    <w:rsid w:val="00737EED"/>
    <w:rsid w:val="00737F0C"/>
    <w:rsid w:val="00737F66"/>
    <w:rsid w:val="00737F6E"/>
    <w:rsid w:val="00737FDF"/>
    <w:rsid w:val="007401EF"/>
    <w:rsid w:val="00740314"/>
    <w:rsid w:val="00740375"/>
    <w:rsid w:val="0074043D"/>
    <w:rsid w:val="007404B2"/>
    <w:rsid w:val="007405C1"/>
    <w:rsid w:val="00740609"/>
    <w:rsid w:val="007406D2"/>
    <w:rsid w:val="007407F5"/>
    <w:rsid w:val="00740827"/>
    <w:rsid w:val="0074094E"/>
    <w:rsid w:val="00740AD5"/>
    <w:rsid w:val="00740C2B"/>
    <w:rsid w:val="00740C2F"/>
    <w:rsid w:val="00740C30"/>
    <w:rsid w:val="00740C8E"/>
    <w:rsid w:val="00740D0D"/>
    <w:rsid w:val="00740DAC"/>
    <w:rsid w:val="00740E47"/>
    <w:rsid w:val="00740E4E"/>
    <w:rsid w:val="00740F36"/>
    <w:rsid w:val="00740F6D"/>
    <w:rsid w:val="00740FB3"/>
    <w:rsid w:val="00740FF6"/>
    <w:rsid w:val="00741015"/>
    <w:rsid w:val="00741017"/>
    <w:rsid w:val="00741099"/>
    <w:rsid w:val="007410AE"/>
    <w:rsid w:val="00741111"/>
    <w:rsid w:val="00741117"/>
    <w:rsid w:val="00741251"/>
    <w:rsid w:val="007412EF"/>
    <w:rsid w:val="00741312"/>
    <w:rsid w:val="00741398"/>
    <w:rsid w:val="00741430"/>
    <w:rsid w:val="00741457"/>
    <w:rsid w:val="0074146F"/>
    <w:rsid w:val="0074149F"/>
    <w:rsid w:val="007414C1"/>
    <w:rsid w:val="0074164D"/>
    <w:rsid w:val="007416BE"/>
    <w:rsid w:val="007417B3"/>
    <w:rsid w:val="0074193F"/>
    <w:rsid w:val="00741A9B"/>
    <w:rsid w:val="00741B29"/>
    <w:rsid w:val="00741CBA"/>
    <w:rsid w:val="00741CCF"/>
    <w:rsid w:val="00741D61"/>
    <w:rsid w:val="00741E0B"/>
    <w:rsid w:val="00741F40"/>
    <w:rsid w:val="00742084"/>
    <w:rsid w:val="007420D5"/>
    <w:rsid w:val="00742366"/>
    <w:rsid w:val="00742377"/>
    <w:rsid w:val="00742493"/>
    <w:rsid w:val="007424A4"/>
    <w:rsid w:val="0074250D"/>
    <w:rsid w:val="0074257F"/>
    <w:rsid w:val="007425D3"/>
    <w:rsid w:val="00742606"/>
    <w:rsid w:val="007426F2"/>
    <w:rsid w:val="007426FD"/>
    <w:rsid w:val="0074284B"/>
    <w:rsid w:val="007428F0"/>
    <w:rsid w:val="007428F4"/>
    <w:rsid w:val="0074290C"/>
    <w:rsid w:val="00742A2D"/>
    <w:rsid w:val="00742C61"/>
    <w:rsid w:val="00742CA0"/>
    <w:rsid w:val="00742D09"/>
    <w:rsid w:val="00742DC3"/>
    <w:rsid w:val="00742E7C"/>
    <w:rsid w:val="00742EE5"/>
    <w:rsid w:val="00743002"/>
    <w:rsid w:val="00743085"/>
    <w:rsid w:val="007432C8"/>
    <w:rsid w:val="00743368"/>
    <w:rsid w:val="00743414"/>
    <w:rsid w:val="00743436"/>
    <w:rsid w:val="0074343F"/>
    <w:rsid w:val="007435C5"/>
    <w:rsid w:val="00743652"/>
    <w:rsid w:val="00743661"/>
    <w:rsid w:val="00743666"/>
    <w:rsid w:val="00743949"/>
    <w:rsid w:val="00743A0C"/>
    <w:rsid w:val="00743D20"/>
    <w:rsid w:val="00743D50"/>
    <w:rsid w:val="00743E00"/>
    <w:rsid w:val="00744055"/>
    <w:rsid w:val="0074407B"/>
    <w:rsid w:val="0074411B"/>
    <w:rsid w:val="0074416F"/>
    <w:rsid w:val="007441A8"/>
    <w:rsid w:val="007441FD"/>
    <w:rsid w:val="00744210"/>
    <w:rsid w:val="00744227"/>
    <w:rsid w:val="0074427C"/>
    <w:rsid w:val="007443BE"/>
    <w:rsid w:val="007443C4"/>
    <w:rsid w:val="007443FB"/>
    <w:rsid w:val="0074444C"/>
    <w:rsid w:val="007444DC"/>
    <w:rsid w:val="00744512"/>
    <w:rsid w:val="0074452B"/>
    <w:rsid w:val="00744758"/>
    <w:rsid w:val="007447D6"/>
    <w:rsid w:val="007449C7"/>
    <w:rsid w:val="007449DC"/>
    <w:rsid w:val="00744A2D"/>
    <w:rsid w:val="00744A34"/>
    <w:rsid w:val="00744A50"/>
    <w:rsid w:val="00744C7B"/>
    <w:rsid w:val="00744C90"/>
    <w:rsid w:val="00744D13"/>
    <w:rsid w:val="00744DA9"/>
    <w:rsid w:val="00744DB5"/>
    <w:rsid w:val="00744EF4"/>
    <w:rsid w:val="0074500E"/>
    <w:rsid w:val="00745011"/>
    <w:rsid w:val="0074506E"/>
    <w:rsid w:val="007450D7"/>
    <w:rsid w:val="007451A3"/>
    <w:rsid w:val="00745252"/>
    <w:rsid w:val="0074534C"/>
    <w:rsid w:val="0074539E"/>
    <w:rsid w:val="0074541D"/>
    <w:rsid w:val="0074546F"/>
    <w:rsid w:val="007454B9"/>
    <w:rsid w:val="007455AB"/>
    <w:rsid w:val="00745630"/>
    <w:rsid w:val="00745653"/>
    <w:rsid w:val="0074569A"/>
    <w:rsid w:val="007456B8"/>
    <w:rsid w:val="00745795"/>
    <w:rsid w:val="007457C9"/>
    <w:rsid w:val="007458A1"/>
    <w:rsid w:val="00745C7D"/>
    <w:rsid w:val="00745D7E"/>
    <w:rsid w:val="00745E91"/>
    <w:rsid w:val="00745EA9"/>
    <w:rsid w:val="00746015"/>
    <w:rsid w:val="00746020"/>
    <w:rsid w:val="00746271"/>
    <w:rsid w:val="00746380"/>
    <w:rsid w:val="0074638F"/>
    <w:rsid w:val="007463CE"/>
    <w:rsid w:val="007463E3"/>
    <w:rsid w:val="00746426"/>
    <w:rsid w:val="007464C9"/>
    <w:rsid w:val="00746583"/>
    <w:rsid w:val="0074666F"/>
    <w:rsid w:val="007466C6"/>
    <w:rsid w:val="007467EB"/>
    <w:rsid w:val="007468B2"/>
    <w:rsid w:val="0074691A"/>
    <w:rsid w:val="00746A22"/>
    <w:rsid w:val="00746A8E"/>
    <w:rsid w:val="00746AFD"/>
    <w:rsid w:val="00746B34"/>
    <w:rsid w:val="00746B9F"/>
    <w:rsid w:val="00746BDC"/>
    <w:rsid w:val="00746BE5"/>
    <w:rsid w:val="00746D13"/>
    <w:rsid w:val="00746D68"/>
    <w:rsid w:val="00746D6F"/>
    <w:rsid w:val="00746D83"/>
    <w:rsid w:val="00746FF0"/>
    <w:rsid w:val="0074708A"/>
    <w:rsid w:val="007470E9"/>
    <w:rsid w:val="00747192"/>
    <w:rsid w:val="0074719F"/>
    <w:rsid w:val="00747323"/>
    <w:rsid w:val="007473CD"/>
    <w:rsid w:val="007474AC"/>
    <w:rsid w:val="0074756D"/>
    <w:rsid w:val="007475B3"/>
    <w:rsid w:val="007475BE"/>
    <w:rsid w:val="00747696"/>
    <w:rsid w:val="00747798"/>
    <w:rsid w:val="007477AB"/>
    <w:rsid w:val="00747891"/>
    <w:rsid w:val="00747908"/>
    <w:rsid w:val="0074791D"/>
    <w:rsid w:val="00747937"/>
    <w:rsid w:val="00747968"/>
    <w:rsid w:val="00747A2A"/>
    <w:rsid w:val="00747A35"/>
    <w:rsid w:val="00747A53"/>
    <w:rsid w:val="00747A56"/>
    <w:rsid w:val="00747A66"/>
    <w:rsid w:val="00747A8E"/>
    <w:rsid w:val="00747B3C"/>
    <w:rsid w:val="00747BD9"/>
    <w:rsid w:val="00747C0D"/>
    <w:rsid w:val="00747C53"/>
    <w:rsid w:val="00747C63"/>
    <w:rsid w:val="00747CC3"/>
    <w:rsid w:val="00747CC8"/>
    <w:rsid w:val="00747D0F"/>
    <w:rsid w:val="00747D5B"/>
    <w:rsid w:val="00747DB7"/>
    <w:rsid w:val="00747E7B"/>
    <w:rsid w:val="00747F10"/>
    <w:rsid w:val="00747F5E"/>
    <w:rsid w:val="00747F94"/>
    <w:rsid w:val="00747F99"/>
    <w:rsid w:val="00747FC0"/>
    <w:rsid w:val="0075005F"/>
    <w:rsid w:val="00750063"/>
    <w:rsid w:val="007500C3"/>
    <w:rsid w:val="007500D5"/>
    <w:rsid w:val="00750104"/>
    <w:rsid w:val="00750108"/>
    <w:rsid w:val="00750122"/>
    <w:rsid w:val="007501CE"/>
    <w:rsid w:val="00750249"/>
    <w:rsid w:val="007503AF"/>
    <w:rsid w:val="007503C3"/>
    <w:rsid w:val="0075053E"/>
    <w:rsid w:val="0075064B"/>
    <w:rsid w:val="0075067C"/>
    <w:rsid w:val="00750683"/>
    <w:rsid w:val="00750684"/>
    <w:rsid w:val="007508E1"/>
    <w:rsid w:val="00750980"/>
    <w:rsid w:val="007509F6"/>
    <w:rsid w:val="00750A53"/>
    <w:rsid w:val="00750A6B"/>
    <w:rsid w:val="00750A9D"/>
    <w:rsid w:val="00750B1D"/>
    <w:rsid w:val="00750BB4"/>
    <w:rsid w:val="00750C36"/>
    <w:rsid w:val="00750C74"/>
    <w:rsid w:val="00750D01"/>
    <w:rsid w:val="00750DDE"/>
    <w:rsid w:val="00750E03"/>
    <w:rsid w:val="00750ED1"/>
    <w:rsid w:val="00750F57"/>
    <w:rsid w:val="00750F84"/>
    <w:rsid w:val="0075106E"/>
    <w:rsid w:val="00751392"/>
    <w:rsid w:val="007513A8"/>
    <w:rsid w:val="007513D1"/>
    <w:rsid w:val="00751460"/>
    <w:rsid w:val="007514A0"/>
    <w:rsid w:val="007515C7"/>
    <w:rsid w:val="007515D2"/>
    <w:rsid w:val="0075161E"/>
    <w:rsid w:val="007516B9"/>
    <w:rsid w:val="007516F9"/>
    <w:rsid w:val="0075176E"/>
    <w:rsid w:val="007518C6"/>
    <w:rsid w:val="00751925"/>
    <w:rsid w:val="00751988"/>
    <w:rsid w:val="00751993"/>
    <w:rsid w:val="007519C3"/>
    <w:rsid w:val="00751A3C"/>
    <w:rsid w:val="00751A47"/>
    <w:rsid w:val="00751A84"/>
    <w:rsid w:val="00751AC5"/>
    <w:rsid w:val="00751B79"/>
    <w:rsid w:val="00751CE6"/>
    <w:rsid w:val="00751CF5"/>
    <w:rsid w:val="00751DB6"/>
    <w:rsid w:val="00751E80"/>
    <w:rsid w:val="00751E9E"/>
    <w:rsid w:val="00751F1C"/>
    <w:rsid w:val="00751F94"/>
    <w:rsid w:val="00751FC9"/>
    <w:rsid w:val="00752024"/>
    <w:rsid w:val="00752136"/>
    <w:rsid w:val="0075215C"/>
    <w:rsid w:val="0075220B"/>
    <w:rsid w:val="0075225A"/>
    <w:rsid w:val="00752276"/>
    <w:rsid w:val="0075227F"/>
    <w:rsid w:val="00752351"/>
    <w:rsid w:val="0075242F"/>
    <w:rsid w:val="00752459"/>
    <w:rsid w:val="00752493"/>
    <w:rsid w:val="00752576"/>
    <w:rsid w:val="00752626"/>
    <w:rsid w:val="007526AD"/>
    <w:rsid w:val="007526EA"/>
    <w:rsid w:val="00752722"/>
    <w:rsid w:val="00752732"/>
    <w:rsid w:val="00752824"/>
    <w:rsid w:val="00752843"/>
    <w:rsid w:val="007528A2"/>
    <w:rsid w:val="007528A5"/>
    <w:rsid w:val="007528C8"/>
    <w:rsid w:val="007528E4"/>
    <w:rsid w:val="007529A5"/>
    <w:rsid w:val="007529EE"/>
    <w:rsid w:val="00752A14"/>
    <w:rsid w:val="00752A69"/>
    <w:rsid w:val="00752B07"/>
    <w:rsid w:val="00752B20"/>
    <w:rsid w:val="00752C22"/>
    <w:rsid w:val="00752C9C"/>
    <w:rsid w:val="00752CBD"/>
    <w:rsid w:val="00752CF6"/>
    <w:rsid w:val="00752D13"/>
    <w:rsid w:val="00752FC7"/>
    <w:rsid w:val="00753031"/>
    <w:rsid w:val="0075307C"/>
    <w:rsid w:val="00753138"/>
    <w:rsid w:val="00753238"/>
    <w:rsid w:val="00753266"/>
    <w:rsid w:val="007532F5"/>
    <w:rsid w:val="0075337E"/>
    <w:rsid w:val="00753518"/>
    <w:rsid w:val="0075351C"/>
    <w:rsid w:val="00753541"/>
    <w:rsid w:val="0075354D"/>
    <w:rsid w:val="0075359B"/>
    <w:rsid w:val="007535E8"/>
    <w:rsid w:val="007535FF"/>
    <w:rsid w:val="007536D6"/>
    <w:rsid w:val="0075371E"/>
    <w:rsid w:val="00753751"/>
    <w:rsid w:val="0075382B"/>
    <w:rsid w:val="00753846"/>
    <w:rsid w:val="007538FE"/>
    <w:rsid w:val="0075398C"/>
    <w:rsid w:val="007539A0"/>
    <w:rsid w:val="00753AB2"/>
    <w:rsid w:val="00753AB6"/>
    <w:rsid w:val="00753C2A"/>
    <w:rsid w:val="00753CD4"/>
    <w:rsid w:val="00753D3D"/>
    <w:rsid w:val="00753DFB"/>
    <w:rsid w:val="00753F5F"/>
    <w:rsid w:val="00753F61"/>
    <w:rsid w:val="00753FB0"/>
    <w:rsid w:val="0075409B"/>
    <w:rsid w:val="007540A9"/>
    <w:rsid w:val="007540C9"/>
    <w:rsid w:val="007540E5"/>
    <w:rsid w:val="007540F3"/>
    <w:rsid w:val="0075411F"/>
    <w:rsid w:val="00754121"/>
    <w:rsid w:val="00754125"/>
    <w:rsid w:val="00754145"/>
    <w:rsid w:val="00754169"/>
    <w:rsid w:val="00754182"/>
    <w:rsid w:val="007541EB"/>
    <w:rsid w:val="007542BF"/>
    <w:rsid w:val="007543DB"/>
    <w:rsid w:val="00754422"/>
    <w:rsid w:val="0075453A"/>
    <w:rsid w:val="007545D2"/>
    <w:rsid w:val="007546E5"/>
    <w:rsid w:val="00754722"/>
    <w:rsid w:val="00754778"/>
    <w:rsid w:val="00754781"/>
    <w:rsid w:val="0075478B"/>
    <w:rsid w:val="00754820"/>
    <w:rsid w:val="0075487B"/>
    <w:rsid w:val="00754882"/>
    <w:rsid w:val="00754925"/>
    <w:rsid w:val="00754A50"/>
    <w:rsid w:val="00754B01"/>
    <w:rsid w:val="00754C7E"/>
    <w:rsid w:val="00754C97"/>
    <w:rsid w:val="00754D52"/>
    <w:rsid w:val="00755151"/>
    <w:rsid w:val="00755300"/>
    <w:rsid w:val="007554E8"/>
    <w:rsid w:val="007554F0"/>
    <w:rsid w:val="00755549"/>
    <w:rsid w:val="0075561B"/>
    <w:rsid w:val="00755704"/>
    <w:rsid w:val="00755799"/>
    <w:rsid w:val="00755852"/>
    <w:rsid w:val="00755919"/>
    <w:rsid w:val="00755A1C"/>
    <w:rsid w:val="00755AEB"/>
    <w:rsid w:val="00755B6C"/>
    <w:rsid w:val="00755B97"/>
    <w:rsid w:val="00755BB3"/>
    <w:rsid w:val="00755C25"/>
    <w:rsid w:val="00755C48"/>
    <w:rsid w:val="00755D20"/>
    <w:rsid w:val="00755D7E"/>
    <w:rsid w:val="00755DE6"/>
    <w:rsid w:val="00755E56"/>
    <w:rsid w:val="00755E57"/>
    <w:rsid w:val="00755E8D"/>
    <w:rsid w:val="00755EBE"/>
    <w:rsid w:val="00755EC5"/>
    <w:rsid w:val="00755ED0"/>
    <w:rsid w:val="00755F87"/>
    <w:rsid w:val="00756017"/>
    <w:rsid w:val="00756123"/>
    <w:rsid w:val="007561BD"/>
    <w:rsid w:val="007562B7"/>
    <w:rsid w:val="007563C8"/>
    <w:rsid w:val="007563D4"/>
    <w:rsid w:val="00756496"/>
    <w:rsid w:val="0075665A"/>
    <w:rsid w:val="0075666B"/>
    <w:rsid w:val="007567A9"/>
    <w:rsid w:val="00756910"/>
    <w:rsid w:val="007569E0"/>
    <w:rsid w:val="00756A65"/>
    <w:rsid w:val="00756B24"/>
    <w:rsid w:val="00756B5A"/>
    <w:rsid w:val="00756BC6"/>
    <w:rsid w:val="00756C11"/>
    <w:rsid w:val="00756C25"/>
    <w:rsid w:val="00756C6F"/>
    <w:rsid w:val="00756D11"/>
    <w:rsid w:val="00756E44"/>
    <w:rsid w:val="00756FD2"/>
    <w:rsid w:val="00756FE9"/>
    <w:rsid w:val="007570E1"/>
    <w:rsid w:val="00757153"/>
    <w:rsid w:val="00757157"/>
    <w:rsid w:val="0075717A"/>
    <w:rsid w:val="007571F6"/>
    <w:rsid w:val="007572DE"/>
    <w:rsid w:val="007572E0"/>
    <w:rsid w:val="00757381"/>
    <w:rsid w:val="00757398"/>
    <w:rsid w:val="007574B2"/>
    <w:rsid w:val="007574E6"/>
    <w:rsid w:val="00757582"/>
    <w:rsid w:val="00757600"/>
    <w:rsid w:val="00757640"/>
    <w:rsid w:val="007576ED"/>
    <w:rsid w:val="00757914"/>
    <w:rsid w:val="007579A4"/>
    <w:rsid w:val="007579CB"/>
    <w:rsid w:val="00757A7D"/>
    <w:rsid w:val="00757BF9"/>
    <w:rsid w:val="00757C89"/>
    <w:rsid w:val="00757CED"/>
    <w:rsid w:val="00757D43"/>
    <w:rsid w:val="00757D51"/>
    <w:rsid w:val="00757F10"/>
    <w:rsid w:val="00757FA3"/>
    <w:rsid w:val="00757FF2"/>
    <w:rsid w:val="007600F2"/>
    <w:rsid w:val="0076013E"/>
    <w:rsid w:val="00760179"/>
    <w:rsid w:val="00760219"/>
    <w:rsid w:val="00760289"/>
    <w:rsid w:val="007602F6"/>
    <w:rsid w:val="00760373"/>
    <w:rsid w:val="007604F2"/>
    <w:rsid w:val="00760519"/>
    <w:rsid w:val="0076053E"/>
    <w:rsid w:val="0076061D"/>
    <w:rsid w:val="00760722"/>
    <w:rsid w:val="0076072A"/>
    <w:rsid w:val="00760784"/>
    <w:rsid w:val="0076079F"/>
    <w:rsid w:val="00760819"/>
    <w:rsid w:val="0076089B"/>
    <w:rsid w:val="007608B1"/>
    <w:rsid w:val="007608FF"/>
    <w:rsid w:val="00760A0D"/>
    <w:rsid w:val="00760B60"/>
    <w:rsid w:val="00760B7C"/>
    <w:rsid w:val="00760BE5"/>
    <w:rsid w:val="00760C9C"/>
    <w:rsid w:val="00760CF2"/>
    <w:rsid w:val="00760DF5"/>
    <w:rsid w:val="00760E2C"/>
    <w:rsid w:val="00760F27"/>
    <w:rsid w:val="00760F6E"/>
    <w:rsid w:val="00760FE0"/>
    <w:rsid w:val="00761026"/>
    <w:rsid w:val="007611CD"/>
    <w:rsid w:val="00761317"/>
    <w:rsid w:val="007613F3"/>
    <w:rsid w:val="00761485"/>
    <w:rsid w:val="007614D8"/>
    <w:rsid w:val="00761657"/>
    <w:rsid w:val="0076166D"/>
    <w:rsid w:val="00761704"/>
    <w:rsid w:val="007617AE"/>
    <w:rsid w:val="0076187F"/>
    <w:rsid w:val="007618F0"/>
    <w:rsid w:val="0076191A"/>
    <w:rsid w:val="00761A14"/>
    <w:rsid w:val="00761A33"/>
    <w:rsid w:val="00761A59"/>
    <w:rsid w:val="00761A91"/>
    <w:rsid w:val="00761A9B"/>
    <w:rsid w:val="00761B99"/>
    <w:rsid w:val="00761C7D"/>
    <w:rsid w:val="00761CF0"/>
    <w:rsid w:val="00761D1E"/>
    <w:rsid w:val="00761D86"/>
    <w:rsid w:val="00761DD9"/>
    <w:rsid w:val="00761E28"/>
    <w:rsid w:val="00761E9C"/>
    <w:rsid w:val="00761EBB"/>
    <w:rsid w:val="00761F96"/>
    <w:rsid w:val="00761FB7"/>
    <w:rsid w:val="0076200A"/>
    <w:rsid w:val="007621C4"/>
    <w:rsid w:val="00762384"/>
    <w:rsid w:val="00762469"/>
    <w:rsid w:val="0076250F"/>
    <w:rsid w:val="00762545"/>
    <w:rsid w:val="00762605"/>
    <w:rsid w:val="0076260E"/>
    <w:rsid w:val="00762678"/>
    <w:rsid w:val="007626D7"/>
    <w:rsid w:val="00762873"/>
    <w:rsid w:val="007628CA"/>
    <w:rsid w:val="00762A09"/>
    <w:rsid w:val="00762A5F"/>
    <w:rsid w:val="00762AB6"/>
    <w:rsid w:val="00762B1D"/>
    <w:rsid w:val="00762B55"/>
    <w:rsid w:val="00762BF3"/>
    <w:rsid w:val="00762D81"/>
    <w:rsid w:val="00762D97"/>
    <w:rsid w:val="00762DA1"/>
    <w:rsid w:val="00762E16"/>
    <w:rsid w:val="00762E91"/>
    <w:rsid w:val="00762F63"/>
    <w:rsid w:val="007630BB"/>
    <w:rsid w:val="007630DB"/>
    <w:rsid w:val="00763245"/>
    <w:rsid w:val="0076327D"/>
    <w:rsid w:val="00763383"/>
    <w:rsid w:val="00763438"/>
    <w:rsid w:val="0076344A"/>
    <w:rsid w:val="00763536"/>
    <w:rsid w:val="00763554"/>
    <w:rsid w:val="007635DB"/>
    <w:rsid w:val="007635E5"/>
    <w:rsid w:val="007635F2"/>
    <w:rsid w:val="00763605"/>
    <w:rsid w:val="00763622"/>
    <w:rsid w:val="007636FE"/>
    <w:rsid w:val="00763700"/>
    <w:rsid w:val="00763851"/>
    <w:rsid w:val="00763856"/>
    <w:rsid w:val="0076395A"/>
    <w:rsid w:val="007639A1"/>
    <w:rsid w:val="007639E9"/>
    <w:rsid w:val="00763A21"/>
    <w:rsid w:val="00763A41"/>
    <w:rsid w:val="00763ADD"/>
    <w:rsid w:val="00763AE3"/>
    <w:rsid w:val="00763B74"/>
    <w:rsid w:val="00763C6D"/>
    <w:rsid w:val="00763C9D"/>
    <w:rsid w:val="00763D4E"/>
    <w:rsid w:val="00763DAB"/>
    <w:rsid w:val="00763EE5"/>
    <w:rsid w:val="00763F04"/>
    <w:rsid w:val="00763FA3"/>
    <w:rsid w:val="00764072"/>
    <w:rsid w:val="007640FE"/>
    <w:rsid w:val="0076412D"/>
    <w:rsid w:val="0076420D"/>
    <w:rsid w:val="007642C5"/>
    <w:rsid w:val="00764417"/>
    <w:rsid w:val="00764471"/>
    <w:rsid w:val="007644A2"/>
    <w:rsid w:val="007644AA"/>
    <w:rsid w:val="00764509"/>
    <w:rsid w:val="0076453E"/>
    <w:rsid w:val="0076458F"/>
    <w:rsid w:val="0076461B"/>
    <w:rsid w:val="00764707"/>
    <w:rsid w:val="0076470D"/>
    <w:rsid w:val="007647A4"/>
    <w:rsid w:val="0076487C"/>
    <w:rsid w:val="00764893"/>
    <w:rsid w:val="007648EE"/>
    <w:rsid w:val="0076491F"/>
    <w:rsid w:val="007649BF"/>
    <w:rsid w:val="00764CC2"/>
    <w:rsid w:val="00764D2A"/>
    <w:rsid w:val="00764D5F"/>
    <w:rsid w:val="00764D7B"/>
    <w:rsid w:val="00764DEE"/>
    <w:rsid w:val="00764E05"/>
    <w:rsid w:val="00764E67"/>
    <w:rsid w:val="00764E83"/>
    <w:rsid w:val="00764F2D"/>
    <w:rsid w:val="00764F4A"/>
    <w:rsid w:val="007650E1"/>
    <w:rsid w:val="00765188"/>
    <w:rsid w:val="00765266"/>
    <w:rsid w:val="00765377"/>
    <w:rsid w:val="00765404"/>
    <w:rsid w:val="00765440"/>
    <w:rsid w:val="00765479"/>
    <w:rsid w:val="007655A5"/>
    <w:rsid w:val="007655EF"/>
    <w:rsid w:val="00765624"/>
    <w:rsid w:val="007656CA"/>
    <w:rsid w:val="00765720"/>
    <w:rsid w:val="00765754"/>
    <w:rsid w:val="007657FF"/>
    <w:rsid w:val="007658C3"/>
    <w:rsid w:val="0076599F"/>
    <w:rsid w:val="007659B0"/>
    <w:rsid w:val="007659EE"/>
    <w:rsid w:val="00765A01"/>
    <w:rsid w:val="00765CCA"/>
    <w:rsid w:val="00765CF9"/>
    <w:rsid w:val="00765D4D"/>
    <w:rsid w:val="00765D51"/>
    <w:rsid w:val="00765D8F"/>
    <w:rsid w:val="00765E2D"/>
    <w:rsid w:val="00765FA2"/>
    <w:rsid w:val="00765FB6"/>
    <w:rsid w:val="00765FFA"/>
    <w:rsid w:val="00766167"/>
    <w:rsid w:val="00766217"/>
    <w:rsid w:val="00766225"/>
    <w:rsid w:val="00766261"/>
    <w:rsid w:val="007662F9"/>
    <w:rsid w:val="0076637F"/>
    <w:rsid w:val="007663A6"/>
    <w:rsid w:val="007663B6"/>
    <w:rsid w:val="00766451"/>
    <w:rsid w:val="0076647B"/>
    <w:rsid w:val="007664D4"/>
    <w:rsid w:val="007664E2"/>
    <w:rsid w:val="00766546"/>
    <w:rsid w:val="00766693"/>
    <w:rsid w:val="007666A2"/>
    <w:rsid w:val="007666AD"/>
    <w:rsid w:val="007666DF"/>
    <w:rsid w:val="007666E1"/>
    <w:rsid w:val="007667E5"/>
    <w:rsid w:val="00766809"/>
    <w:rsid w:val="0076693C"/>
    <w:rsid w:val="00766A3A"/>
    <w:rsid w:val="00766A5E"/>
    <w:rsid w:val="00766B70"/>
    <w:rsid w:val="00766BC0"/>
    <w:rsid w:val="00766C50"/>
    <w:rsid w:val="00766CDD"/>
    <w:rsid w:val="00766D76"/>
    <w:rsid w:val="00766D90"/>
    <w:rsid w:val="00766D9D"/>
    <w:rsid w:val="00766DBF"/>
    <w:rsid w:val="00766DD5"/>
    <w:rsid w:val="00766DFF"/>
    <w:rsid w:val="00766F79"/>
    <w:rsid w:val="00766FD1"/>
    <w:rsid w:val="0076707B"/>
    <w:rsid w:val="0076707E"/>
    <w:rsid w:val="0076716E"/>
    <w:rsid w:val="00767220"/>
    <w:rsid w:val="0076728A"/>
    <w:rsid w:val="00767291"/>
    <w:rsid w:val="0076730C"/>
    <w:rsid w:val="007673C0"/>
    <w:rsid w:val="00767530"/>
    <w:rsid w:val="007675FA"/>
    <w:rsid w:val="007676C5"/>
    <w:rsid w:val="007676D6"/>
    <w:rsid w:val="007676F4"/>
    <w:rsid w:val="00767793"/>
    <w:rsid w:val="0076789F"/>
    <w:rsid w:val="007678F7"/>
    <w:rsid w:val="00767930"/>
    <w:rsid w:val="00767A43"/>
    <w:rsid w:val="00767C9B"/>
    <w:rsid w:val="00767D0E"/>
    <w:rsid w:val="00767EAF"/>
    <w:rsid w:val="00767EEB"/>
    <w:rsid w:val="00767EF8"/>
    <w:rsid w:val="00770006"/>
    <w:rsid w:val="007700C0"/>
    <w:rsid w:val="007700FA"/>
    <w:rsid w:val="007700FC"/>
    <w:rsid w:val="007702ED"/>
    <w:rsid w:val="007703E9"/>
    <w:rsid w:val="00770400"/>
    <w:rsid w:val="007704D9"/>
    <w:rsid w:val="0077053E"/>
    <w:rsid w:val="0077055D"/>
    <w:rsid w:val="007705FC"/>
    <w:rsid w:val="00770750"/>
    <w:rsid w:val="0077076E"/>
    <w:rsid w:val="00770876"/>
    <w:rsid w:val="0077089B"/>
    <w:rsid w:val="007708DF"/>
    <w:rsid w:val="00770906"/>
    <w:rsid w:val="0077093F"/>
    <w:rsid w:val="0077096B"/>
    <w:rsid w:val="007709B7"/>
    <w:rsid w:val="007709DF"/>
    <w:rsid w:val="00770A53"/>
    <w:rsid w:val="00770A9B"/>
    <w:rsid w:val="00770B14"/>
    <w:rsid w:val="00770B46"/>
    <w:rsid w:val="00770B9C"/>
    <w:rsid w:val="00770C29"/>
    <w:rsid w:val="00770C86"/>
    <w:rsid w:val="00770D5F"/>
    <w:rsid w:val="00770DF0"/>
    <w:rsid w:val="00770E8B"/>
    <w:rsid w:val="00770EE3"/>
    <w:rsid w:val="0077105B"/>
    <w:rsid w:val="0077109E"/>
    <w:rsid w:val="00771105"/>
    <w:rsid w:val="00771136"/>
    <w:rsid w:val="007711B5"/>
    <w:rsid w:val="0077120C"/>
    <w:rsid w:val="00771286"/>
    <w:rsid w:val="0077129A"/>
    <w:rsid w:val="0077141E"/>
    <w:rsid w:val="007715F2"/>
    <w:rsid w:val="0077165D"/>
    <w:rsid w:val="007716C2"/>
    <w:rsid w:val="007716D3"/>
    <w:rsid w:val="00771722"/>
    <w:rsid w:val="007717D6"/>
    <w:rsid w:val="0077185E"/>
    <w:rsid w:val="00771892"/>
    <w:rsid w:val="007718DF"/>
    <w:rsid w:val="00771905"/>
    <w:rsid w:val="00771AB8"/>
    <w:rsid w:val="00771B67"/>
    <w:rsid w:val="00771B97"/>
    <w:rsid w:val="00771E5E"/>
    <w:rsid w:val="00771ED2"/>
    <w:rsid w:val="00771EDC"/>
    <w:rsid w:val="00771F04"/>
    <w:rsid w:val="00771F54"/>
    <w:rsid w:val="00771FC5"/>
    <w:rsid w:val="00772069"/>
    <w:rsid w:val="007720AE"/>
    <w:rsid w:val="00772120"/>
    <w:rsid w:val="007722E5"/>
    <w:rsid w:val="007722EF"/>
    <w:rsid w:val="00772442"/>
    <w:rsid w:val="0077246C"/>
    <w:rsid w:val="00772471"/>
    <w:rsid w:val="0077256F"/>
    <w:rsid w:val="007725B4"/>
    <w:rsid w:val="0077264C"/>
    <w:rsid w:val="007726AC"/>
    <w:rsid w:val="007726C6"/>
    <w:rsid w:val="007726D7"/>
    <w:rsid w:val="007727B3"/>
    <w:rsid w:val="0077298E"/>
    <w:rsid w:val="007729C2"/>
    <w:rsid w:val="007729F7"/>
    <w:rsid w:val="00772A4F"/>
    <w:rsid w:val="00772AB9"/>
    <w:rsid w:val="00772BC6"/>
    <w:rsid w:val="00772C2A"/>
    <w:rsid w:val="00772C80"/>
    <w:rsid w:val="00772CF7"/>
    <w:rsid w:val="00772D51"/>
    <w:rsid w:val="00772DBE"/>
    <w:rsid w:val="00772DFB"/>
    <w:rsid w:val="00772E6D"/>
    <w:rsid w:val="00772F39"/>
    <w:rsid w:val="00772FBA"/>
    <w:rsid w:val="00773004"/>
    <w:rsid w:val="00773175"/>
    <w:rsid w:val="00773216"/>
    <w:rsid w:val="0077322F"/>
    <w:rsid w:val="007732F4"/>
    <w:rsid w:val="00773577"/>
    <w:rsid w:val="0077364F"/>
    <w:rsid w:val="00773661"/>
    <w:rsid w:val="007736C6"/>
    <w:rsid w:val="007736D4"/>
    <w:rsid w:val="007736FA"/>
    <w:rsid w:val="00773834"/>
    <w:rsid w:val="00773988"/>
    <w:rsid w:val="007739C3"/>
    <w:rsid w:val="00773A2D"/>
    <w:rsid w:val="00773ADB"/>
    <w:rsid w:val="00773B0F"/>
    <w:rsid w:val="00773BFC"/>
    <w:rsid w:val="00773D11"/>
    <w:rsid w:val="00773D2C"/>
    <w:rsid w:val="00773E09"/>
    <w:rsid w:val="00773E59"/>
    <w:rsid w:val="00773F53"/>
    <w:rsid w:val="00773F59"/>
    <w:rsid w:val="00773FAE"/>
    <w:rsid w:val="0077404E"/>
    <w:rsid w:val="00774146"/>
    <w:rsid w:val="0077420B"/>
    <w:rsid w:val="007742C7"/>
    <w:rsid w:val="00774600"/>
    <w:rsid w:val="0077462A"/>
    <w:rsid w:val="00774689"/>
    <w:rsid w:val="0077478D"/>
    <w:rsid w:val="007749B3"/>
    <w:rsid w:val="007749D8"/>
    <w:rsid w:val="00774AA1"/>
    <w:rsid w:val="00774B06"/>
    <w:rsid w:val="00774C94"/>
    <w:rsid w:val="00774D2C"/>
    <w:rsid w:val="00774D71"/>
    <w:rsid w:val="00774DCD"/>
    <w:rsid w:val="00774E6D"/>
    <w:rsid w:val="00774E98"/>
    <w:rsid w:val="00774F8A"/>
    <w:rsid w:val="00775047"/>
    <w:rsid w:val="00775194"/>
    <w:rsid w:val="00775298"/>
    <w:rsid w:val="007752D3"/>
    <w:rsid w:val="007752EF"/>
    <w:rsid w:val="0077531C"/>
    <w:rsid w:val="00775343"/>
    <w:rsid w:val="00775357"/>
    <w:rsid w:val="0077540B"/>
    <w:rsid w:val="007754F7"/>
    <w:rsid w:val="007754FD"/>
    <w:rsid w:val="00775533"/>
    <w:rsid w:val="0077553A"/>
    <w:rsid w:val="0077559F"/>
    <w:rsid w:val="007755E1"/>
    <w:rsid w:val="0077560F"/>
    <w:rsid w:val="0077563B"/>
    <w:rsid w:val="00775755"/>
    <w:rsid w:val="007759A3"/>
    <w:rsid w:val="00775A7A"/>
    <w:rsid w:val="00775CC3"/>
    <w:rsid w:val="00775D36"/>
    <w:rsid w:val="00775E02"/>
    <w:rsid w:val="00775EA5"/>
    <w:rsid w:val="00775EEE"/>
    <w:rsid w:val="00775F22"/>
    <w:rsid w:val="00775F49"/>
    <w:rsid w:val="00775F51"/>
    <w:rsid w:val="00776029"/>
    <w:rsid w:val="0077603E"/>
    <w:rsid w:val="0077608B"/>
    <w:rsid w:val="007760AE"/>
    <w:rsid w:val="00776137"/>
    <w:rsid w:val="0077620F"/>
    <w:rsid w:val="0077621D"/>
    <w:rsid w:val="00776342"/>
    <w:rsid w:val="00776357"/>
    <w:rsid w:val="00776379"/>
    <w:rsid w:val="007763DA"/>
    <w:rsid w:val="00776504"/>
    <w:rsid w:val="0077658F"/>
    <w:rsid w:val="007765E8"/>
    <w:rsid w:val="007765F4"/>
    <w:rsid w:val="007765FE"/>
    <w:rsid w:val="007766FB"/>
    <w:rsid w:val="007766FD"/>
    <w:rsid w:val="00776944"/>
    <w:rsid w:val="007769D4"/>
    <w:rsid w:val="007769DC"/>
    <w:rsid w:val="00776B9F"/>
    <w:rsid w:val="00776C5B"/>
    <w:rsid w:val="00776D6A"/>
    <w:rsid w:val="00776DC7"/>
    <w:rsid w:val="00776E08"/>
    <w:rsid w:val="00776E56"/>
    <w:rsid w:val="00776F11"/>
    <w:rsid w:val="007770DD"/>
    <w:rsid w:val="007770F1"/>
    <w:rsid w:val="00777201"/>
    <w:rsid w:val="00777286"/>
    <w:rsid w:val="007772A9"/>
    <w:rsid w:val="007772C5"/>
    <w:rsid w:val="007774E1"/>
    <w:rsid w:val="007775AA"/>
    <w:rsid w:val="007775F7"/>
    <w:rsid w:val="00777644"/>
    <w:rsid w:val="0077766B"/>
    <w:rsid w:val="00777719"/>
    <w:rsid w:val="00777856"/>
    <w:rsid w:val="0077788F"/>
    <w:rsid w:val="007779F0"/>
    <w:rsid w:val="00777AD3"/>
    <w:rsid w:val="00777B50"/>
    <w:rsid w:val="00777B8C"/>
    <w:rsid w:val="00777BFC"/>
    <w:rsid w:val="00777C58"/>
    <w:rsid w:val="00777E46"/>
    <w:rsid w:val="00777E64"/>
    <w:rsid w:val="00777E69"/>
    <w:rsid w:val="00777ED3"/>
    <w:rsid w:val="0078008F"/>
    <w:rsid w:val="00780090"/>
    <w:rsid w:val="00780163"/>
    <w:rsid w:val="007801C8"/>
    <w:rsid w:val="007801E6"/>
    <w:rsid w:val="007802D1"/>
    <w:rsid w:val="007803A6"/>
    <w:rsid w:val="007804F0"/>
    <w:rsid w:val="0078052B"/>
    <w:rsid w:val="0078056C"/>
    <w:rsid w:val="007805D2"/>
    <w:rsid w:val="00780636"/>
    <w:rsid w:val="007807BC"/>
    <w:rsid w:val="007809D6"/>
    <w:rsid w:val="00780A0D"/>
    <w:rsid w:val="00780A53"/>
    <w:rsid w:val="00780A8D"/>
    <w:rsid w:val="00780B75"/>
    <w:rsid w:val="00780BBB"/>
    <w:rsid w:val="00780BEA"/>
    <w:rsid w:val="00780C0F"/>
    <w:rsid w:val="00780CB5"/>
    <w:rsid w:val="00780CB9"/>
    <w:rsid w:val="00780D17"/>
    <w:rsid w:val="00780D46"/>
    <w:rsid w:val="00780E75"/>
    <w:rsid w:val="00780E96"/>
    <w:rsid w:val="00780EB0"/>
    <w:rsid w:val="00780ED4"/>
    <w:rsid w:val="00780F61"/>
    <w:rsid w:val="00780F92"/>
    <w:rsid w:val="00780F95"/>
    <w:rsid w:val="00780FA9"/>
    <w:rsid w:val="00780FB9"/>
    <w:rsid w:val="00780FC5"/>
    <w:rsid w:val="00780FF8"/>
    <w:rsid w:val="0078101C"/>
    <w:rsid w:val="00781023"/>
    <w:rsid w:val="007811B8"/>
    <w:rsid w:val="0078134F"/>
    <w:rsid w:val="007814DB"/>
    <w:rsid w:val="0078159C"/>
    <w:rsid w:val="007816CC"/>
    <w:rsid w:val="007817C8"/>
    <w:rsid w:val="007817ED"/>
    <w:rsid w:val="007817FB"/>
    <w:rsid w:val="007818F9"/>
    <w:rsid w:val="007819C7"/>
    <w:rsid w:val="00781A35"/>
    <w:rsid w:val="00781A3B"/>
    <w:rsid w:val="00781A8A"/>
    <w:rsid w:val="00781AD1"/>
    <w:rsid w:val="00781AD5"/>
    <w:rsid w:val="00781B81"/>
    <w:rsid w:val="00781BDA"/>
    <w:rsid w:val="00781BFC"/>
    <w:rsid w:val="00781DE6"/>
    <w:rsid w:val="00781E1A"/>
    <w:rsid w:val="00781E23"/>
    <w:rsid w:val="00781E46"/>
    <w:rsid w:val="00781E51"/>
    <w:rsid w:val="00781ECA"/>
    <w:rsid w:val="00782124"/>
    <w:rsid w:val="00782154"/>
    <w:rsid w:val="00782173"/>
    <w:rsid w:val="00782180"/>
    <w:rsid w:val="00782181"/>
    <w:rsid w:val="0078220A"/>
    <w:rsid w:val="00782392"/>
    <w:rsid w:val="00782426"/>
    <w:rsid w:val="0078246E"/>
    <w:rsid w:val="0078257C"/>
    <w:rsid w:val="0078260B"/>
    <w:rsid w:val="00782613"/>
    <w:rsid w:val="0078268E"/>
    <w:rsid w:val="00782765"/>
    <w:rsid w:val="00782859"/>
    <w:rsid w:val="007828DA"/>
    <w:rsid w:val="0078293B"/>
    <w:rsid w:val="007829A2"/>
    <w:rsid w:val="007829FD"/>
    <w:rsid w:val="00782BA6"/>
    <w:rsid w:val="00782C07"/>
    <w:rsid w:val="00782CA2"/>
    <w:rsid w:val="00782E4D"/>
    <w:rsid w:val="00782E8F"/>
    <w:rsid w:val="00782E95"/>
    <w:rsid w:val="00782EAE"/>
    <w:rsid w:val="00782EE0"/>
    <w:rsid w:val="00782F72"/>
    <w:rsid w:val="00783016"/>
    <w:rsid w:val="0078313B"/>
    <w:rsid w:val="00783141"/>
    <w:rsid w:val="007831D5"/>
    <w:rsid w:val="00783304"/>
    <w:rsid w:val="0078338D"/>
    <w:rsid w:val="007834A7"/>
    <w:rsid w:val="0078366B"/>
    <w:rsid w:val="00783676"/>
    <w:rsid w:val="0078386D"/>
    <w:rsid w:val="007838DC"/>
    <w:rsid w:val="00783910"/>
    <w:rsid w:val="00783A05"/>
    <w:rsid w:val="00783A38"/>
    <w:rsid w:val="00783A48"/>
    <w:rsid w:val="00783AEF"/>
    <w:rsid w:val="00783B92"/>
    <w:rsid w:val="00783BE0"/>
    <w:rsid w:val="00783C08"/>
    <w:rsid w:val="00783C63"/>
    <w:rsid w:val="00783E1D"/>
    <w:rsid w:val="00783FC5"/>
    <w:rsid w:val="0078405C"/>
    <w:rsid w:val="0078426A"/>
    <w:rsid w:val="00784358"/>
    <w:rsid w:val="00784368"/>
    <w:rsid w:val="0078439F"/>
    <w:rsid w:val="0078450F"/>
    <w:rsid w:val="00784528"/>
    <w:rsid w:val="0078455C"/>
    <w:rsid w:val="00784566"/>
    <w:rsid w:val="0078457E"/>
    <w:rsid w:val="00784610"/>
    <w:rsid w:val="007846D6"/>
    <w:rsid w:val="00784739"/>
    <w:rsid w:val="0078476E"/>
    <w:rsid w:val="0078482F"/>
    <w:rsid w:val="0078494C"/>
    <w:rsid w:val="00784975"/>
    <w:rsid w:val="00784B73"/>
    <w:rsid w:val="00784B9D"/>
    <w:rsid w:val="00784C5A"/>
    <w:rsid w:val="00784DA2"/>
    <w:rsid w:val="00784DCB"/>
    <w:rsid w:val="00784DF9"/>
    <w:rsid w:val="00784E13"/>
    <w:rsid w:val="00784F2A"/>
    <w:rsid w:val="00785176"/>
    <w:rsid w:val="007851EB"/>
    <w:rsid w:val="0078522B"/>
    <w:rsid w:val="007852A9"/>
    <w:rsid w:val="007852B8"/>
    <w:rsid w:val="00785318"/>
    <w:rsid w:val="00785348"/>
    <w:rsid w:val="007853C3"/>
    <w:rsid w:val="0078540B"/>
    <w:rsid w:val="00785638"/>
    <w:rsid w:val="00785773"/>
    <w:rsid w:val="0078587C"/>
    <w:rsid w:val="00785885"/>
    <w:rsid w:val="00785896"/>
    <w:rsid w:val="007858C3"/>
    <w:rsid w:val="00785B27"/>
    <w:rsid w:val="00785B8B"/>
    <w:rsid w:val="00785BCC"/>
    <w:rsid w:val="00785BE1"/>
    <w:rsid w:val="00785BE5"/>
    <w:rsid w:val="00785C1F"/>
    <w:rsid w:val="00785C75"/>
    <w:rsid w:val="00785D87"/>
    <w:rsid w:val="00785DFC"/>
    <w:rsid w:val="00785E25"/>
    <w:rsid w:val="00785E7E"/>
    <w:rsid w:val="00785EAC"/>
    <w:rsid w:val="00785EEC"/>
    <w:rsid w:val="00785F56"/>
    <w:rsid w:val="00786003"/>
    <w:rsid w:val="0078602F"/>
    <w:rsid w:val="00786117"/>
    <w:rsid w:val="007861F4"/>
    <w:rsid w:val="00786266"/>
    <w:rsid w:val="0078627E"/>
    <w:rsid w:val="0078630C"/>
    <w:rsid w:val="00786395"/>
    <w:rsid w:val="007863ED"/>
    <w:rsid w:val="0078643F"/>
    <w:rsid w:val="0078668A"/>
    <w:rsid w:val="00786713"/>
    <w:rsid w:val="00786767"/>
    <w:rsid w:val="007867D5"/>
    <w:rsid w:val="007867E7"/>
    <w:rsid w:val="00786838"/>
    <w:rsid w:val="007869C2"/>
    <w:rsid w:val="00786AA4"/>
    <w:rsid w:val="00786C64"/>
    <w:rsid w:val="00786CDF"/>
    <w:rsid w:val="00786D0E"/>
    <w:rsid w:val="00786D1B"/>
    <w:rsid w:val="00786D80"/>
    <w:rsid w:val="00786DB0"/>
    <w:rsid w:val="00786DC2"/>
    <w:rsid w:val="0078706F"/>
    <w:rsid w:val="007871B3"/>
    <w:rsid w:val="0078737B"/>
    <w:rsid w:val="0078749C"/>
    <w:rsid w:val="0078755C"/>
    <w:rsid w:val="00787594"/>
    <w:rsid w:val="007875F5"/>
    <w:rsid w:val="0078764F"/>
    <w:rsid w:val="00787718"/>
    <w:rsid w:val="007877CC"/>
    <w:rsid w:val="007877ED"/>
    <w:rsid w:val="00787962"/>
    <w:rsid w:val="0078797C"/>
    <w:rsid w:val="007879A9"/>
    <w:rsid w:val="00787A84"/>
    <w:rsid w:val="00787B43"/>
    <w:rsid w:val="00787B63"/>
    <w:rsid w:val="00787D65"/>
    <w:rsid w:val="00787EFA"/>
    <w:rsid w:val="00787F37"/>
    <w:rsid w:val="00787F54"/>
    <w:rsid w:val="00787F84"/>
    <w:rsid w:val="00787F8C"/>
    <w:rsid w:val="00787FDA"/>
    <w:rsid w:val="00790119"/>
    <w:rsid w:val="0079034F"/>
    <w:rsid w:val="00790494"/>
    <w:rsid w:val="007904BD"/>
    <w:rsid w:val="00790503"/>
    <w:rsid w:val="007905B1"/>
    <w:rsid w:val="007905D6"/>
    <w:rsid w:val="0079068B"/>
    <w:rsid w:val="007906A8"/>
    <w:rsid w:val="00790728"/>
    <w:rsid w:val="0079077F"/>
    <w:rsid w:val="007907E8"/>
    <w:rsid w:val="0079084C"/>
    <w:rsid w:val="007908A6"/>
    <w:rsid w:val="00790988"/>
    <w:rsid w:val="00790A1C"/>
    <w:rsid w:val="00790AA8"/>
    <w:rsid w:val="00790AD6"/>
    <w:rsid w:val="00790AED"/>
    <w:rsid w:val="00790B14"/>
    <w:rsid w:val="00790B2B"/>
    <w:rsid w:val="00790B44"/>
    <w:rsid w:val="00790C4C"/>
    <w:rsid w:val="00790CDB"/>
    <w:rsid w:val="00790E78"/>
    <w:rsid w:val="00790E7B"/>
    <w:rsid w:val="00790E88"/>
    <w:rsid w:val="00790E91"/>
    <w:rsid w:val="00790EB0"/>
    <w:rsid w:val="00790F79"/>
    <w:rsid w:val="00790FC9"/>
    <w:rsid w:val="0079106F"/>
    <w:rsid w:val="00791168"/>
    <w:rsid w:val="007911B3"/>
    <w:rsid w:val="007911F0"/>
    <w:rsid w:val="0079120B"/>
    <w:rsid w:val="00791491"/>
    <w:rsid w:val="007914CC"/>
    <w:rsid w:val="007915B3"/>
    <w:rsid w:val="0079172E"/>
    <w:rsid w:val="00791796"/>
    <w:rsid w:val="007917A0"/>
    <w:rsid w:val="007917D4"/>
    <w:rsid w:val="0079186A"/>
    <w:rsid w:val="007918AB"/>
    <w:rsid w:val="00791919"/>
    <w:rsid w:val="00791A25"/>
    <w:rsid w:val="00791BB0"/>
    <w:rsid w:val="00791C35"/>
    <w:rsid w:val="00791C76"/>
    <w:rsid w:val="00791C9D"/>
    <w:rsid w:val="00791CA4"/>
    <w:rsid w:val="00791E3F"/>
    <w:rsid w:val="00791E84"/>
    <w:rsid w:val="00791EB5"/>
    <w:rsid w:val="00791F24"/>
    <w:rsid w:val="00791F37"/>
    <w:rsid w:val="00791F5E"/>
    <w:rsid w:val="00791F6D"/>
    <w:rsid w:val="00791F86"/>
    <w:rsid w:val="00791FA3"/>
    <w:rsid w:val="00792025"/>
    <w:rsid w:val="00792049"/>
    <w:rsid w:val="0079204C"/>
    <w:rsid w:val="007920B2"/>
    <w:rsid w:val="0079211C"/>
    <w:rsid w:val="00792193"/>
    <w:rsid w:val="007921AB"/>
    <w:rsid w:val="0079224C"/>
    <w:rsid w:val="0079225F"/>
    <w:rsid w:val="007923B0"/>
    <w:rsid w:val="00792428"/>
    <w:rsid w:val="0079246A"/>
    <w:rsid w:val="007924CB"/>
    <w:rsid w:val="00792551"/>
    <w:rsid w:val="007925E3"/>
    <w:rsid w:val="007925E9"/>
    <w:rsid w:val="0079272A"/>
    <w:rsid w:val="00792777"/>
    <w:rsid w:val="007927A8"/>
    <w:rsid w:val="007927F5"/>
    <w:rsid w:val="00792914"/>
    <w:rsid w:val="00792918"/>
    <w:rsid w:val="00792971"/>
    <w:rsid w:val="00792A3F"/>
    <w:rsid w:val="00792A54"/>
    <w:rsid w:val="00792A86"/>
    <w:rsid w:val="00792AF1"/>
    <w:rsid w:val="00792B4B"/>
    <w:rsid w:val="00792C6F"/>
    <w:rsid w:val="00792CEA"/>
    <w:rsid w:val="00792D1A"/>
    <w:rsid w:val="00792E13"/>
    <w:rsid w:val="00792EAE"/>
    <w:rsid w:val="0079303A"/>
    <w:rsid w:val="007931E9"/>
    <w:rsid w:val="00793222"/>
    <w:rsid w:val="00793267"/>
    <w:rsid w:val="007932A7"/>
    <w:rsid w:val="007932AC"/>
    <w:rsid w:val="007933D7"/>
    <w:rsid w:val="0079349C"/>
    <w:rsid w:val="0079351E"/>
    <w:rsid w:val="00793534"/>
    <w:rsid w:val="00793546"/>
    <w:rsid w:val="00793570"/>
    <w:rsid w:val="007935BE"/>
    <w:rsid w:val="007935BF"/>
    <w:rsid w:val="007935D7"/>
    <w:rsid w:val="00793727"/>
    <w:rsid w:val="00793741"/>
    <w:rsid w:val="007937B6"/>
    <w:rsid w:val="00793814"/>
    <w:rsid w:val="00793947"/>
    <w:rsid w:val="007939C1"/>
    <w:rsid w:val="00793A10"/>
    <w:rsid w:val="00793A2A"/>
    <w:rsid w:val="00793A55"/>
    <w:rsid w:val="00793A74"/>
    <w:rsid w:val="00793A84"/>
    <w:rsid w:val="00793A89"/>
    <w:rsid w:val="00793A96"/>
    <w:rsid w:val="00793B01"/>
    <w:rsid w:val="00793B52"/>
    <w:rsid w:val="00793B9F"/>
    <w:rsid w:val="00793BB8"/>
    <w:rsid w:val="00793E42"/>
    <w:rsid w:val="00793E79"/>
    <w:rsid w:val="00793EC5"/>
    <w:rsid w:val="00793EE3"/>
    <w:rsid w:val="00793F36"/>
    <w:rsid w:val="00793F6A"/>
    <w:rsid w:val="00793F7C"/>
    <w:rsid w:val="00793FF5"/>
    <w:rsid w:val="0079419B"/>
    <w:rsid w:val="007941A2"/>
    <w:rsid w:val="007941CD"/>
    <w:rsid w:val="007941F7"/>
    <w:rsid w:val="00794242"/>
    <w:rsid w:val="007942BD"/>
    <w:rsid w:val="00794363"/>
    <w:rsid w:val="00794456"/>
    <w:rsid w:val="007944AD"/>
    <w:rsid w:val="007944AE"/>
    <w:rsid w:val="0079452E"/>
    <w:rsid w:val="00794530"/>
    <w:rsid w:val="00794541"/>
    <w:rsid w:val="007945CD"/>
    <w:rsid w:val="007945F5"/>
    <w:rsid w:val="007946D2"/>
    <w:rsid w:val="0079475B"/>
    <w:rsid w:val="007947A5"/>
    <w:rsid w:val="007947F0"/>
    <w:rsid w:val="00794860"/>
    <w:rsid w:val="0079494E"/>
    <w:rsid w:val="00794A34"/>
    <w:rsid w:val="00794AA0"/>
    <w:rsid w:val="00794AC0"/>
    <w:rsid w:val="00794BB7"/>
    <w:rsid w:val="00794C1A"/>
    <w:rsid w:val="00794C33"/>
    <w:rsid w:val="00794DD0"/>
    <w:rsid w:val="00794DE8"/>
    <w:rsid w:val="00794E01"/>
    <w:rsid w:val="00794E4E"/>
    <w:rsid w:val="00794EEE"/>
    <w:rsid w:val="00794F78"/>
    <w:rsid w:val="00794FA8"/>
    <w:rsid w:val="00794FC9"/>
    <w:rsid w:val="00794FF4"/>
    <w:rsid w:val="00795062"/>
    <w:rsid w:val="007950EF"/>
    <w:rsid w:val="00795105"/>
    <w:rsid w:val="0079518F"/>
    <w:rsid w:val="0079519F"/>
    <w:rsid w:val="0079528F"/>
    <w:rsid w:val="007952E3"/>
    <w:rsid w:val="007954FB"/>
    <w:rsid w:val="00795596"/>
    <w:rsid w:val="00795621"/>
    <w:rsid w:val="00795715"/>
    <w:rsid w:val="00795719"/>
    <w:rsid w:val="007957BD"/>
    <w:rsid w:val="00795853"/>
    <w:rsid w:val="007958E4"/>
    <w:rsid w:val="00795968"/>
    <w:rsid w:val="00795971"/>
    <w:rsid w:val="007959C3"/>
    <w:rsid w:val="007959E6"/>
    <w:rsid w:val="00795A37"/>
    <w:rsid w:val="00795AC9"/>
    <w:rsid w:val="00795BA2"/>
    <w:rsid w:val="00795BC6"/>
    <w:rsid w:val="00795BC9"/>
    <w:rsid w:val="00795C30"/>
    <w:rsid w:val="00795C5D"/>
    <w:rsid w:val="00795CD7"/>
    <w:rsid w:val="00795CF4"/>
    <w:rsid w:val="00795D16"/>
    <w:rsid w:val="00795D39"/>
    <w:rsid w:val="00795DD9"/>
    <w:rsid w:val="00795DFB"/>
    <w:rsid w:val="00795DFD"/>
    <w:rsid w:val="00795E3A"/>
    <w:rsid w:val="00795EF2"/>
    <w:rsid w:val="00795F4E"/>
    <w:rsid w:val="0079605B"/>
    <w:rsid w:val="00796204"/>
    <w:rsid w:val="007963D4"/>
    <w:rsid w:val="0079648F"/>
    <w:rsid w:val="007964B7"/>
    <w:rsid w:val="00796507"/>
    <w:rsid w:val="00796521"/>
    <w:rsid w:val="0079655E"/>
    <w:rsid w:val="00796683"/>
    <w:rsid w:val="007966DB"/>
    <w:rsid w:val="007966E4"/>
    <w:rsid w:val="00796853"/>
    <w:rsid w:val="00796911"/>
    <w:rsid w:val="0079694C"/>
    <w:rsid w:val="007969EA"/>
    <w:rsid w:val="00796A26"/>
    <w:rsid w:val="00796AD9"/>
    <w:rsid w:val="00796B32"/>
    <w:rsid w:val="00796B69"/>
    <w:rsid w:val="00796BE4"/>
    <w:rsid w:val="00796CC3"/>
    <w:rsid w:val="00796FDE"/>
    <w:rsid w:val="0079706E"/>
    <w:rsid w:val="0079709C"/>
    <w:rsid w:val="007970A8"/>
    <w:rsid w:val="00797277"/>
    <w:rsid w:val="00797460"/>
    <w:rsid w:val="007974D2"/>
    <w:rsid w:val="007976A4"/>
    <w:rsid w:val="007976AA"/>
    <w:rsid w:val="0079770B"/>
    <w:rsid w:val="0079770F"/>
    <w:rsid w:val="0079771F"/>
    <w:rsid w:val="0079777C"/>
    <w:rsid w:val="0079780F"/>
    <w:rsid w:val="0079799F"/>
    <w:rsid w:val="007979D7"/>
    <w:rsid w:val="00797B0A"/>
    <w:rsid w:val="00797BB2"/>
    <w:rsid w:val="00797C6E"/>
    <w:rsid w:val="00797D91"/>
    <w:rsid w:val="00797DDF"/>
    <w:rsid w:val="00797E43"/>
    <w:rsid w:val="00799EDB"/>
    <w:rsid w:val="0079EAFD"/>
    <w:rsid w:val="007A0075"/>
    <w:rsid w:val="007A008C"/>
    <w:rsid w:val="007A00B9"/>
    <w:rsid w:val="007A00EA"/>
    <w:rsid w:val="007A019A"/>
    <w:rsid w:val="007A0221"/>
    <w:rsid w:val="007A026D"/>
    <w:rsid w:val="007A0368"/>
    <w:rsid w:val="007A039C"/>
    <w:rsid w:val="007A03F5"/>
    <w:rsid w:val="007A0468"/>
    <w:rsid w:val="007A04EF"/>
    <w:rsid w:val="007A06E4"/>
    <w:rsid w:val="007A0822"/>
    <w:rsid w:val="007A0835"/>
    <w:rsid w:val="007A093C"/>
    <w:rsid w:val="007A0A9E"/>
    <w:rsid w:val="007A0B18"/>
    <w:rsid w:val="007A0B6B"/>
    <w:rsid w:val="007A0B7C"/>
    <w:rsid w:val="007A0BF2"/>
    <w:rsid w:val="007A0C7C"/>
    <w:rsid w:val="007A0C9C"/>
    <w:rsid w:val="007A0CB9"/>
    <w:rsid w:val="007A0CE7"/>
    <w:rsid w:val="007A0D5A"/>
    <w:rsid w:val="007A0D78"/>
    <w:rsid w:val="007A0E90"/>
    <w:rsid w:val="007A0F4C"/>
    <w:rsid w:val="007A0F99"/>
    <w:rsid w:val="007A0FEC"/>
    <w:rsid w:val="007A10C9"/>
    <w:rsid w:val="007A10E5"/>
    <w:rsid w:val="007A1154"/>
    <w:rsid w:val="007A11EB"/>
    <w:rsid w:val="007A1220"/>
    <w:rsid w:val="007A129A"/>
    <w:rsid w:val="007A12CC"/>
    <w:rsid w:val="007A130F"/>
    <w:rsid w:val="007A134F"/>
    <w:rsid w:val="007A13AA"/>
    <w:rsid w:val="007A13BC"/>
    <w:rsid w:val="007A13FC"/>
    <w:rsid w:val="007A140B"/>
    <w:rsid w:val="007A154B"/>
    <w:rsid w:val="007A154F"/>
    <w:rsid w:val="007A1591"/>
    <w:rsid w:val="007A16D9"/>
    <w:rsid w:val="007A16F1"/>
    <w:rsid w:val="007A17AB"/>
    <w:rsid w:val="007A17FD"/>
    <w:rsid w:val="007A187F"/>
    <w:rsid w:val="007A18C5"/>
    <w:rsid w:val="007A18DA"/>
    <w:rsid w:val="007A18F3"/>
    <w:rsid w:val="007A19DF"/>
    <w:rsid w:val="007A1A37"/>
    <w:rsid w:val="007A1B4A"/>
    <w:rsid w:val="007A1CD9"/>
    <w:rsid w:val="007A1CF5"/>
    <w:rsid w:val="007A1F57"/>
    <w:rsid w:val="007A2033"/>
    <w:rsid w:val="007A213F"/>
    <w:rsid w:val="007A2151"/>
    <w:rsid w:val="007A224E"/>
    <w:rsid w:val="007A234C"/>
    <w:rsid w:val="007A23BB"/>
    <w:rsid w:val="007A23DF"/>
    <w:rsid w:val="007A2499"/>
    <w:rsid w:val="007A2506"/>
    <w:rsid w:val="007A25BF"/>
    <w:rsid w:val="007A26B9"/>
    <w:rsid w:val="007A28CC"/>
    <w:rsid w:val="007A2A28"/>
    <w:rsid w:val="007A2A97"/>
    <w:rsid w:val="007A2AA0"/>
    <w:rsid w:val="007A2B58"/>
    <w:rsid w:val="007A2BEA"/>
    <w:rsid w:val="007A2C2C"/>
    <w:rsid w:val="007A2C65"/>
    <w:rsid w:val="007A2D13"/>
    <w:rsid w:val="007A2D99"/>
    <w:rsid w:val="007A2DFC"/>
    <w:rsid w:val="007A2FC5"/>
    <w:rsid w:val="007A2FD8"/>
    <w:rsid w:val="007A3021"/>
    <w:rsid w:val="007A3049"/>
    <w:rsid w:val="007A3100"/>
    <w:rsid w:val="007A3119"/>
    <w:rsid w:val="007A31B6"/>
    <w:rsid w:val="007A31D9"/>
    <w:rsid w:val="007A324C"/>
    <w:rsid w:val="007A32FE"/>
    <w:rsid w:val="007A331C"/>
    <w:rsid w:val="007A3323"/>
    <w:rsid w:val="007A334E"/>
    <w:rsid w:val="007A33F1"/>
    <w:rsid w:val="007A3457"/>
    <w:rsid w:val="007A35CD"/>
    <w:rsid w:val="007A367F"/>
    <w:rsid w:val="007A375F"/>
    <w:rsid w:val="007A3794"/>
    <w:rsid w:val="007A398C"/>
    <w:rsid w:val="007A3A25"/>
    <w:rsid w:val="007A3C2F"/>
    <w:rsid w:val="007A3C37"/>
    <w:rsid w:val="007A3DC3"/>
    <w:rsid w:val="007A3E90"/>
    <w:rsid w:val="007A3F3A"/>
    <w:rsid w:val="007A3FAC"/>
    <w:rsid w:val="007A4151"/>
    <w:rsid w:val="007A418F"/>
    <w:rsid w:val="007A41DC"/>
    <w:rsid w:val="007A434A"/>
    <w:rsid w:val="007A4440"/>
    <w:rsid w:val="007A4678"/>
    <w:rsid w:val="007A46B3"/>
    <w:rsid w:val="007A4756"/>
    <w:rsid w:val="007A4811"/>
    <w:rsid w:val="007A4816"/>
    <w:rsid w:val="007A4820"/>
    <w:rsid w:val="007A4883"/>
    <w:rsid w:val="007A4935"/>
    <w:rsid w:val="007A49C4"/>
    <w:rsid w:val="007A49CC"/>
    <w:rsid w:val="007A4A5C"/>
    <w:rsid w:val="007A4AB7"/>
    <w:rsid w:val="007A4CF6"/>
    <w:rsid w:val="007A4D45"/>
    <w:rsid w:val="007A4D54"/>
    <w:rsid w:val="007A4DDE"/>
    <w:rsid w:val="007A4E69"/>
    <w:rsid w:val="007A4F4A"/>
    <w:rsid w:val="007A5013"/>
    <w:rsid w:val="007A507B"/>
    <w:rsid w:val="007A5087"/>
    <w:rsid w:val="007A50C0"/>
    <w:rsid w:val="007A52AB"/>
    <w:rsid w:val="007A52E1"/>
    <w:rsid w:val="007A535D"/>
    <w:rsid w:val="007A5393"/>
    <w:rsid w:val="007A53BB"/>
    <w:rsid w:val="007A53C0"/>
    <w:rsid w:val="007A5422"/>
    <w:rsid w:val="007A54BF"/>
    <w:rsid w:val="007A54C4"/>
    <w:rsid w:val="007A54CA"/>
    <w:rsid w:val="007A54D0"/>
    <w:rsid w:val="007A54D2"/>
    <w:rsid w:val="007A551D"/>
    <w:rsid w:val="007A5563"/>
    <w:rsid w:val="007A55E2"/>
    <w:rsid w:val="007A560F"/>
    <w:rsid w:val="007A5885"/>
    <w:rsid w:val="007A5951"/>
    <w:rsid w:val="007A59BD"/>
    <w:rsid w:val="007A5AF4"/>
    <w:rsid w:val="007A5AF8"/>
    <w:rsid w:val="007A5B46"/>
    <w:rsid w:val="007A5B5D"/>
    <w:rsid w:val="007A5BB3"/>
    <w:rsid w:val="007A5BE5"/>
    <w:rsid w:val="007A5D2E"/>
    <w:rsid w:val="007A5DFE"/>
    <w:rsid w:val="007A603C"/>
    <w:rsid w:val="007A60C9"/>
    <w:rsid w:val="007A61EA"/>
    <w:rsid w:val="007A629E"/>
    <w:rsid w:val="007A641F"/>
    <w:rsid w:val="007A64DC"/>
    <w:rsid w:val="007A6676"/>
    <w:rsid w:val="007A66BF"/>
    <w:rsid w:val="007A66EB"/>
    <w:rsid w:val="007A6744"/>
    <w:rsid w:val="007A6788"/>
    <w:rsid w:val="007A6852"/>
    <w:rsid w:val="007A68E5"/>
    <w:rsid w:val="007A68FF"/>
    <w:rsid w:val="007A6948"/>
    <w:rsid w:val="007A696B"/>
    <w:rsid w:val="007A69B0"/>
    <w:rsid w:val="007A6A18"/>
    <w:rsid w:val="007A6AA6"/>
    <w:rsid w:val="007A6AE1"/>
    <w:rsid w:val="007A6AFF"/>
    <w:rsid w:val="007A6BD9"/>
    <w:rsid w:val="007A6C98"/>
    <w:rsid w:val="007A6CD2"/>
    <w:rsid w:val="007A6D52"/>
    <w:rsid w:val="007A6D9E"/>
    <w:rsid w:val="007A6DB3"/>
    <w:rsid w:val="007A6E79"/>
    <w:rsid w:val="007A6F59"/>
    <w:rsid w:val="007A6FD0"/>
    <w:rsid w:val="007A6FEC"/>
    <w:rsid w:val="007A705C"/>
    <w:rsid w:val="007A7106"/>
    <w:rsid w:val="007A7234"/>
    <w:rsid w:val="007A745B"/>
    <w:rsid w:val="007A759B"/>
    <w:rsid w:val="007A75E9"/>
    <w:rsid w:val="007A7664"/>
    <w:rsid w:val="007A766D"/>
    <w:rsid w:val="007A77EC"/>
    <w:rsid w:val="007A77F8"/>
    <w:rsid w:val="007A7883"/>
    <w:rsid w:val="007A78FD"/>
    <w:rsid w:val="007A7969"/>
    <w:rsid w:val="007A7987"/>
    <w:rsid w:val="007A7996"/>
    <w:rsid w:val="007A79C7"/>
    <w:rsid w:val="007A7A48"/>
    <w:rsid w:val="007A7A7F"/>
    <w:rsid w:val="007A7B43"/>
    <w:rsid w:val="007A7B84"/>
    <w:rsid w:val="007A7C3E"/>
    <w:rsid w:val="007A7C4A"/>
    <w:rsid w:val="007A7E57"/>
    <w:rsid w:val="007A7EA1"/>
    <w:rsid w:val="007A7F64"/>
    <w:rsid w:val="007B000A"/>
    <w:rsid w:val="007B0033"/>
    <w:rsid w:val="007B0225"/>
    <w:rsid w:val="007B026D"/>
    <w:rsid w:val="007B033D"/>
    <w:rsid w:val="007B0357"/>
    <w:rsid w:val="007B0399"/>
    <w:rsid w:val="007B046B"/>
    <w:rsid w:val="007B04FD"/>
    <w:rsid w:val="007B057F"/>
    <w:rsid w:val="007B062C"/>
    <w:rsid w:val="007B070F"/>
    <w:rsid w:val="007B0785"/>
    <w:rsid w:val="007B07FA"/>
    <w:rsid w:val="007B084E"/>
    <w:rsid w:val="007B0922"/>
    <w:rsid w:val="007B093D"/>
    <w:rsid w:val="007B0970"/>
    <w:rsid w:val="007B09D5"/>
    <w:rsid w:val="007B09E6"/>
    <w:rsid w:val="007B0A89"/>
    <w:rsid w:val="007B0A98"/>
    <w:rsid w:val="007B0AE8"/>
    <w:rsid w:val="007B0AF6"/>
    <w:rsid w:val="007B0B67"/>
    <w:rsid w:val="007B0B9F"/>
    <w:rsid w:val="007B0CED"/>
    <w:rsid w:val="007B0D07"/>
    <w:rsid w:val="007B0D48"/>
    <w:rsid w:val="007B0E03"/>
    <w:rsid w:val="007B0E7B"/>
    <w:rsid w:val="007B0E90"/>
    <w:rsid w:val="007B0F26"/>
    <w:rsid w:val="007B0FA9"/>
    <w:rsid w:val="007B1069"/>
    <w:rsid w:val="007B10B4"/>
    <w:rsid w:val="007B10E7"/>
    <w:rsid w:val="007B1135"/>
    <w:rsid w:val="007B116F"/>
    <w:rsid w:val="007B11D2"/>
    <w:rsid w:val="007B1252"/>
    <w:rsid w:val="007B12B5"/>
    <w:rsid w:val="007B12CE"/>
    <w:rsid w:val="007B12D3"/>
    <w:rsid w:val="007B13B5"/>
    <w:rsid w:val="007B13BC"/>
    <w:rsid w:val="007B13CB"/>
    <w:rsid w:val="007B1548"/>
    <w:rsid w:val="007B1585"/>
    <w:rsid w:val="007B15C4"/>
    <w:rsid w:val="007B15D7"/>
    <w:rsid w:val="007B1675"/>
    <w:rsid w:val="007B17AD"/>
    <w:rsid w:val="007B183B"/>
    <w:rsid w:val="007B1862"/>
    <w:rsid w:val="007B18E6"/>
    <w:rsid w:val="007B195D"/>
    <w:rsid w:val="007B19A0"/>
    <w:rsid w:val="007B1AFC"/>
    <w:rsid w:val="007B1B81"/>
    <w:rsid w:val="007B1BAE"/>
    <w:rsid w:val="007B1CB4"/>
    <w:rsid w:val="007B1CC4"/>
    <w:rsid w:val="007B1F3B"/>
    <w:rsid w:val="007B1F77"/>
    <w:rsid w:val="007B2113"/>
    <w:rsid w:val="007B2178"/>
    <w:rsid w:val="007B21DC"/>
    <w:rsid w:val="007B2242"/>
    <w:rsid w:val="007B2483"/>
    <w:rsid w:val="007B25D6"/>
    <w:rsid w:val="007B27CF"/>
    <w:rsid w:val="007B27E5"/>
    <w:rsid w:val="007B280B"/>
    <w:rsid w:val="007B280F"/>
    <w:rsid w:val="007B2836"/>
    <w:rsid w:val="007B284F"/>
    <w:rsid w:val="007B2879"/>
    <w:rsid w:val="007B2917"/>
    <w:rsid w:val="007B298C"/>
    <w:rsid w:val="007B29A8"/>
    <w:rsid w:val="007B29C4"/>
    <w:rsid w:val="007B29DB"/>
    <w:rsid w:val="007B29EA"/>
    <w:rsid w:val="007B2A1D"/>
    <w:rsid w:val="007B2B8C"/>
    <w:rsid w:val="007B2C73"/>
    <w:rsid w:val="007B2E04"/>
    <w:rsid w:val="007B2E22"/>
    <w:rsid w:val="007B2EC5"/>
    <w:rsid w:val="007B2F49"/>
    <w:rsid w:val="007B2F4D"/>
    <w:rsid w:val="007B3074"/>
    <w:rsid w:val="007B30EB"/>
    <w:rsid w:val="007B3100"/>
    <w:rsid w:val="007B3157"/>
    <w:rsid w:val="007B31CC"/>
    <w:rsid w:val="007B3246"/>
    <w:rsid w:val="007B3295"/>
    <w:rsid w:val="007B32C1"/>
    <w:rsid w:val="007B352D"/>
    <w:rsid w:val="007B35AE"/>
    <w:rsid w:val="007B35C1"/>
    <w:rsid w:val="007B3655"/>
    <w:rsid w:val="007B36A6"/>
    <w:rsid w:val="007B36F5"/>
    <w:rsid w:val="007B381F"/>
    <w:rsid w:val="007B3847"/>
    <w:rsid w:val="007B3923"/>
    <w:rsid w:val="007B3957"/>
    <w:rsid w:val="007B3978"/>
    <w:rsid w:val="007B3991"/>
    <w:rsid w:val="007B39A2"/>
    <w:rsid w:val="007B3A01"/>
    <w:rsid w:val="007B3A49"/>
    <w:rsid w:val="007B3B01"/>
    <w:rsid w:val="007B3C0F"/>
    <w:rsid w:val="007B3C14"/>
    <w:rsid w:val="007B3C67"/>
    <w:rsid w:val="007B3CBE"/>
    <w:rsid w:val="007B3D72"/>
    <w:rsid w:val="007B3DA9"/>
    <w:rsid w:val="007B3E2E"/>
    <w:rsid w:val="007B3E72"/>
    <w:rsid w:val="007B410F"/>
    <w:rsid w:val="007B4245"/>
    <w:rsid w:val="007B445A"/>
    <w:rsid w:val="007B44E1"/>
    <w:rsid w:val="007B4548"/>
    <w:rsid w:val="007B459F"/>
    <w:rsid w:val="007B45F0"/>
    <w:rsid w:val="007B471E"/>
    <w:rsid w:val="007B477A"/>
    <w:rsid w:val="007B47FA"/>
    <w:rsid w:val="007B4804"/>
    <w:rsid w:val="007B48C3"/>
    <w:rsid w:val="007B4912"/>
    <w:rsid w:val="007B4964"/>
    <w:rsid w:val="007B4A84"/>
    <w:rsid w:val="007B4A8D"/>
    <w:rsid w:val="007B4B23"/>
    <w:rsid w:val="007B4D1A"/>
    <w:rsid w:val="007B4DD9"/>
    <w:rsid w:val="007B4E4F"/>
    <w:rsid w:val="007B4F9B"/>
    <w:rsid w:val="007B5096"/>
    <w:rsid w:val="007B509C"/>
    <w:rsid w:val="007B5180"/>
    <w:rsid w:val="007B51D1"/>
    <w:rsid w:val="007B5203"/>
    <w:rsid w:val="007B528C"/>
    <w:rsid w:val="007B5376"/>
    <w:rsid w:val="007B5495"/>
    <w:rsid w:val="007B54FC"/>
    <w:rsid w:val="007B5535"/>
    <w:rsid w:val="007B561F"/>
    <w:rsid w:val="007B5762"/>
    <w:rsid w:val="007B579B"/>
    <w:rsid w:val="007B581B"/>
    <w:rsid w:val="007B5838"/>
    <w:rsid w:val="007B586A"/>
    <w:rsid w:val="007B5A04"/>
    <w:rsid w:val="007B5B00"/>
    <w:rsid w:val="007B5B7A"/>
    <w:rsid w:val="007B5D02"/>
    <w:rsid w:val="007B5DEF"/>
    <w:rsid w:val="007B5F02"/>
    <w:rsid w:val="007B5F4A"/>
    <w:rsid w:val="007B5F5D"/>
    <w:rsid w:val="007B603E"/>
    <w:rsid w:val="007B60A2"/>
    <w:rsid w:val="007B60DD"/>
    <w:rsid w:val="007B60E0"/>
    <w:rsid w:val="007B6160"/>
    <w:rsid w:val="007B6194"/>
    <w:rsid w:val="007B6250"/>
    <w:rsid w:val="007B641E"/>
    <w:rsid w:val="007B6463"/>
    <w:rsid w:val="007B65A8"/>
    <w:rsid w:val="007B668D"/>
    <w:rsid w:val="007B672E"/>
    <w:rsid w:val="007B675B"/>
    <w:rsid w:val="007B67E4"/>
    <w:rsid w:val="007B68B2"/>
    <w:rsid w:val="007B68C0"/>
    <w:rsid w:val="007B6946"/>
    <w:rsid w:val="007B69CB"/>
    <w:rsid w:val="007B6A9C"/>
    <w:rsid w:val="007B6AAC"/>
    <w:rsid w:val="007B6ADF"/>
    <w:rsid w:val="007B6B7C"/>
    <w:rsid w:val="007B6B9F"/>
    <w:rsid w:val="007B6BC0"/>
    <w:rsid w:val="007B6CB3"/>
    <w:rsid w:val="007B6CCF"/>
    <w:rsid w:val="007B6D27"/>
    <w:rsid w:val="007B6D59"/>
    <w:rsid w:val="007B6E0D"/>
    <w:rsid w:val="007B6E61"/>
    <w:rsid w:val="007B6FC3"/>
    <w:rsid w:val="007B7134"/>
    <w:rsid w:val="007B7159"/>
    <w:rsid w:val="007B71A3"/>
    <w:rsid w:val="007B7233"/>
    <w:rsid w:val="007B7255"/>
    <w:rsid w:val="007B72F8"/>
    <w:rsid w:val="007B72FF"/>
    <w:rsid w:val="007B7322"/>
    <w:rsid w:val="007B7358"/>
    <w:rsid w:val="007B738C"/>
    <w:rsid w:val="007B74FC"/>
    <w:rsid w:val="007B7530"/>
    <w:rsid w:val="007B75C5"/>
    <w:rsid w:val="007B7618"/>
    <w:rsid w:val="007B781F"/>
    <w:rsid w:val="007B787E"/>
    <w:rsid w:val="007B7943"/>
    <w:rsid w:val="007B7944"/>
    <w:rsid w:val="007B79A0"/>
    <w:rsid w:val="007B7A55"/>
    <w:rsid w:val="007B7A9B"/>
    <w:rsid w:val="007B7D1C"/>
    <w:rsid w:val="007B7DEB"/>
    <w:rsid w:val="007B7DFB"/>
    <w:rsid w:val="007B7E9D"/>
    <w:rsid w:val="007B7EAA"/>
    <w:rsid w:val="007B7EDC"/>
    <w:rsid w:val="007B7F2E"/>
    <w:rsid w:val="007B7F4E"/>
    <w:rsid w:val="007B7FA5"/>
    <w:rsid w:val="007B7FB0"/>
    <w:rsid w:val="007C0007"/>
    <w:rsid w:val="007C0045"/>
    <w:rsid w:val="007C007C"/>
    <w:rsid w:val="007C01E4"/>
    <w:rsid w:val="007C026C"/>
    <w:rsid w:val="007C03C3"/>
    <w:rsid w:val="007C046E"/>
    <w:rsid w:val="007C04AA"/>
    <w:rsid w:val="007C04E0"/>
    <w:rsid w:val="007C051C"/>
    <w:rsid w:val="007C054E"/>
    <w:rsid w:val="007C0568"/>
    <w:rsid w:val="007C0600"/>
    <w:rsid w:val="007C06A3"/>
    <w:rsid w:val="007C06D6"/>
    <w:rsid w:val="007C06E2"/>
    <w:rsid w:val="007C075B"/>
    <w:rsid w:val="007C078C"/>
    <w:rsid w:val="007C07AE"/>
    <w:rsid w:val="007C07B4"/>
    <w:rsid w:val="007C080C"/>
    <w:rsid w:val="007C0831"/>
    <w:rsid w:val="007C085A"/>
    <w:rsid w:val="007C0887"/>
    <w:rsid w:val="007C08FD"/>
    <w:rsid w:val="007C09C2"/>
    <w:rsid w:val="007C0B13"/>
    <w:rsid w:val="007C0B8A"/>
    <w:rsid w:val="007C0DE9"/>
    <w:rsid w:val="007C0E03"/>
    <w:rsid w:val="007C0E94"/>
    <w:rsid w:val="007C0EE7"/>
    <w:rsid w:val="007C0F10"/>
    <w:rsid w:val="007C1076"/>
    <w:rsid w:val="007C114B"/>
    <w:rsid w:val="007C1164"/>
    <w:rsid w:val="007C1178"/>
    <w:rsid w:val="007C12DB"/>
    <w:rsid w:val="007C14CD"/>
    <w:rsid w:val="007C150E"/>
    <w:rsid w:val="007C1574"/>
    <w:rsid w:val="007C160C"/>
    <w:rsid w:val="007C1708"/>
    <w:rsid w:val="007C17D2"/>
    <w:rsid w:val="007C17EF"/>
    <w:rsid w:val="007C18BA"/>
    <w:rsid w:val="007C19C9"/>
    <w:rsid w:val="007C1A70"/>
    <w:rsid w:val="007C1B88"/>
    <w:rsid w:val="007C1BF1"/>
    <w:rsid w:val="007C1C70"/>
    <w:rsid w:val="007C1CC0"/>
    <w:rsid w:val="007C1D25"/>
    <w:rsid w:val="007C1D27"/>
    <w:rsid w:val="007C1D30"/>
    <w:rsid w:val="007C1DE5"/>
    <w:rsid w:val="007C1E04"/>
    <w:rsid w:val="007C1EB6"/>
    <w:rsid w:val="007C1EBB"/>
    <w:rsid w:val="007C1EE8"/>
    <w:rsid w:val="007C1F54"/>
    <w:rsid w:val="007C1F5D"/>
    <w:rsid w:val="007C1F5E"/>
    <w:rsid w:val="007C1F97"/>
    <w:rsid w:val="007C1FAE"/>
    <w:rsid w:val="007C2013"/>
    <w:rsid w:val="007C2030"/>
    <w:rsid w:val="007C20C0"/>
    <w:rsid w:val="007C20DB"/>
    <w:rsid w:val="007C2152"/>
    <w:rsid w:val="007C2256"/>
    <w:rsid w:val="007C2287"/>
    <w:rsid w:val="007C22EC"/>
    <w:rsid w:val="007C24A2"/>
    <w:rsid w:val="007C2502"/>
    <w:rsid w:val="007C252B"/>
    <w:rsid w:val="007C260F"/>
    <w:rsid w:val="007C2610"/>
    <w:rsid w:val="007C269E"/>
    <w:rsid w:val="007C2750"/>
    <w:rsid w:val="007C27F4"/>
    <w:rsid w:val="007C2818"/>
    <w:rsid w:val="007C29C8"/>
    <w:rsid w:val="007C29CF"/>
    <w:rsid w:val="007C2A53"/>
    <w:rsid w:val="007C2A73"/>
    <w:rsid w:val="007C2AFF"/>
    <w:rsid w:val="007C2B67"/>
    <w:rsid w:val="007C2BA5"/>
    <w:rsid w:val="007C2BDC"/>
    <w:rsid w:val="007C2E56"/>
    <w:rsid w:val="007C2EFD"/>
    <w:rsid w:val="007C2EFF"/>
    <w:rsid w:val="007C2F36"/>
    <w:rsid w:val="007C2FA7"/>
    <w:rsid w:val="007C2FE9"/>
    <w:rsid w:val="007C2FF7"/>
    <w:rsid w:val="007C304C"/>
    <w:rsid w:val="007C3061"/>
    <w:rsid w:val="007C30A4"/>
    <w:rsid w:val="007C30BD"/>
    <w:rsid w:val="007C3119"/>
    <w:rsid w:val="007C312D"/>
    <w:rsid w:val="007C3179"/>
    <w:rsid w:val="007C3204"/>
    <w:rsid w:val="007C32F0"/>
    <w:rsid w:val="007C32F8"/>
    <w:rsid w:val="007C330C"/>
    <w:rsid w:val="007C347C"/>
    <w:rsid w:val="007C3521"/>
    <w:rsid w:val="007C354E"/>
    <w:rsid w:val="007C3551"/>
    <w:rsid w:val="007C3560"/>
    <w:rsid w:val="007C356C"/>
    <w:rsid w:val="007C366D"/>
    <w:rsid w:val="007C3675"/>
    <w:rsid w:val="007C3748"/>
    <w:rsid w:val="007C3782"/>
    <w:rsid w:val="007C37D5"/>
    <w:rsid w:val="007C38C5"/>
    <w:rsid w:val="007C3948"/>
    <w:rsid w:val="007C39AF"/>
    <w:rsid w:val="007C39CD"/>
    <w:rsid w:val="007C3A23"/>
    <w:rsid w:val="007C3A25"/>
    <w:rsid w:val="007C3A69"/>
    <w:rsid w:val="007C3A78"/>
    <w:rsid w:val="007C3B67"/>
    <w:rsid w:val="007C3B7D"/>
    <w:rsid w:val="007C3C9D"/>
    <w:rsid w:val="007C3D25"/>
    <w:rsid w:val="007C3D77"/>
    <w:rsid w:val="007C3DE6"/>
    <w:rsid w:val="007C3E10"/>
    <w:rsid w:val="007C3E62"/>
    <w:rsid w:val="007C3ED9"/>
    <w:rsid w:val="007C3F3C"/>
    <w:rsid w:val="007C3FD6"/>
    <w:rsid w:val="007C402A"/>
    <w:rsid w:val="007C4038"/>
    <w:rsid w:val="007C41E8"/>
    <w:rsid w:val="007C4281"/>
    <w:rsid w:val="007C438B"/>
    <w:rsid w:val="007C44C2"/>
    <w:rsid w:val="007C44F5"/>
    <w:rsid w:val="007C4559"/>
    <w:rsid w:val="007C45E6"/>
    <w:rsid w:val="007C45FE"/>
    <w:rsid w:val="007C4626"/>
    <w:rsid w:val="007C4640"/>
    <w:rsid w:val="007C4703"/>
    <w:rsid w:val="007C4725"/>
    <w:rsid w:val="007C475A"/>
    <w:rsid w:val="007C47B0"/>
    <w:rsid w:val="007C48A2"/>
    <w:rsid w:val="007C492F"/>
    <w:rsid w:val="007C4945"/>
    <w:rsid w:val="007C4972"/>
    <w:rsid w:val="007C49FB"/>
    <w:rsid w:val="007C4C08"/>
    <w:rsid w:val="007C4C17"/>
    <w:rsid w:val="007C4C62"/>
    <w:rsid w:val="007C4CB0"/>
    <w:rsid w:val="007C4CE1"/>
    <w:rsid w:val="007C4D9B"/>
    <w:rsid w:val="007C4DAB"/>
    <w:rsid w:val="007C4DDE"/>
    <w:rsid w:val="007C4DEF"/>
    <w:rsid w:val="007C4E43"/>
    <w:rsid w:val="007C4ED7"/>
    <w:rsid w:val="007C4F13"/>
    <w:rsid w:val="007C4F39"/>
    <w:rsid w:val="007C4F95"/>
    <w:rsid w:val="007C4F98"/>
    <w:rsid w:val="007C50A2"/>
    <w:rsid w:val="007C50FF"/>
    <w:rsid w:val="007C515E"/>
    <w:rsid w:val="007C5207"/>
    <w:rsid w:val="007C5341"/>
    <w:rsid w:val="007C546D"/>
    <w:rsid w:val="007C5527"/>
    <w:rsid w:val="007C55E0"/>
    <w:rsid w:val="007C5600"/>
    <w:rsid w:val="007C561B"/>
    <w:rsid w:val="007C574A"/>
    <w:rsid w:val="007C57BB"/>
    <w:rsid w:val="007C57C6"/>
    <w:rsid w:val="007C5896"/>
    <w:rsid w:val="007C5B11"/>
    <w:rsid w:val="007C5B9A"/>
    <w:rsid w:val="007C5BD6"/>
    <w:rsid w:val="007C5C21"/>
    <w:rsid w:val="007C5C69"/>
    <w:rsid w:val="007C5C82"/>
    <w:rsid w:val="007C5CA6"/>
    <w:rsid w:val="007C5CDB"/>
    <w:rsid w:val="007C5D3A"/>
    <w:rsid w:val="007C5D50"/>
    <w:rsid w:val="007C5DE2"/>
    <w:rsid w:val="007C5E73"/>
    <w:rsid w:val="007C5EBB"/>
    <w:rsid w:val="007C60E3"/>
    <w:rsid w:val="007C61F2"/>
    <w:rsid w:val="007C61F4"/>
    <w:rsid w:val="007C62CB"/>
    <w:rsid w:val="007C631A"/>
    <w:rsid w:val="007C6401"/>
    <w:rsid w:val="007C648D"/>
    <w:rsid w:val="007C64E8"/>
    <w:rsid w:val="007C6572"/>
    <w:rsid w:val="007C6596"/>
    <w:rsid w:val="007C66C2"/>
    <w:rsid w:val="007C66D5"/>
    <w:rsid w:val="007C67B2"/>
    <w:rsid w:val="007C693F"/>
    <w:rsid w:val="007C6B00"/>
    <w:rsid w:val="007C6BD8"/>
    <w:rsid w:val="007C6C74"/>
    <w:rsid w:val="007C6E10"/>
    <w:rsid w:val="007C6E65"/>
    <w:rsid w:val="007C6E87"/>
    <w:rsid w:val="007C6EFF"/>
    <w:rsid w:val="007C6F4A"/>
    <w:rsid w:val="007C6FC8"/>
    <w:rsid w:val="007C703A"/>
    <w:rsid w:val="007C707B"/>
    <w:rsid w:val="007C7083"/>
    <w:rsid w:val="007C70AC"/>
    <w:rsid w:val="007C7158"/>
    <w:rsid w:val="007C71E3"/>
    <w:rsid w:val="007C7239"/>
    <w:rsid w:val="007C72D0"/>
    <w:rsid w:val="007C733A"/>
    <w:rsid w:val="007C7341"/>
    <w:rsid w:val="007C7379"/>
    <w:rsid w:val="007C73E4"/>
    <w:rsid w:val="007C745D"/>
    <w:rsid w:val="007C74FE"/>
    <w:rsid w:val="007C750C"/>
    <w:rsid w:val="007C7514"/>
    <w:rsid w:val="007C753C"/>
    <w:rsid w:val="007C754B"/>
    <w:rsid w:val="007C75C1"/>
    <w:rsid w:val="007C7630"/>
    <w:rsid w:val="007C76FF"/>
    <w:rsid w:val="007C7702"/>
    <w:rsid w:val="007C77B4"/>
    <w:rsid w:val="007C77BB"/>
    <w:rsid w:val="007C785B"/>
    <w:rsid w:val="007C78E3"/>
    <w:rsid w:val="007C7932"/>
    <w:rsid w:val="007C7B2D"/>
    <w:rsid w:val="007C7C28"/>
    <w:rsid w:val="007C7E10"/>
    <w:rsid w:val="007C7EC1"/>
    <w:rsid w:val="007C7F17"/>
    <w:rsid w:val="007C7F3D"/>
    <w:rsid w:val="007C7F5E"/>
    <w:rsid w:val="007C7F9B"/>
    <w:rsid w:val="007C7FE9"/>
    <w:rsid w:val="007D0095"/>
    <w:rsid w:val="007D009A"/>
    <w:rsid w:val="007D009F"/>
    <w:rsid w:val="007D0259"/>
    <w:rsid w:val="007D0263"/>
    <w:rsid w:val="007D0282"/>
    <w:rsid w:val="007D055A"/>
    <w:rsid w:val="007D0644"/>
    <w:rsid w:val="007D07CF"/>
    <w:rsid w:val="007D0845"/>
    <w:rsid w:val="007D09AA"/>
    <w:rsid w:val="007D09CD"/>
    <w:rsid w:val="007D0A12"/>
    <w:rsid w:val="007D0AC2"/>
    <w:rsid w:val="007D0B28"/>
    <w:rsid w:val="007D0B55"/>
    <w:rsid w:val="007D0BA9"/>
    <w:rsid w:val="007D0BAF"/>
    <w:rsid w:val="007D0BF5"/>
    <w:rsid w:val="007D0C1E"/>
    <w:rsid w:val="007D0C75"/>
    <w:rsid w:val="007D0CE5"/>
    <w:rsid w:val="007D0D36"/>
    <w:rsid w:val="007D0D98"/>
    <w:rsid w:val="007D0FAE"/>
    <w:rsid w:val="007D0FC3"/>
    <w:rsid w:val="007D1022"/>
    <w:rsid w:val="007D1041"/>
    <w:rsid w:val="007D108A"/>
    <w:rsid w:val="007D10F8"/>
    <w:rsid w:val="007D1109"/>
    <w:rsid w:val="007D115C"/>
    <w:rsid w:val="007D127A"/>
    <w:rsid w:val="007D127B"/>
    <w:rsid w:val="007D1284"/>
    <w:rsid w:val="007D14BF"/>
    <w:rsid w:val="007D150E"/>
    <w:rsid w:val="007D155B"/>
    <w:rsid w:val="007D1659"/>
    <w:rsid w:val="007D1664"/>
    <w:rsid w:val="007D1683"/>
    <w:rsid w:val="007D1726"/>
    <w:rsid w:val="007D1772"/>
    <w:rsid w:val="007D17E1"/>
    <w:rsid w:val="007D1813"/>
    <w:rsid w:val="007D189A"/>
    <w:rsid w:val="007D1945"/>
    <w:rsid w:val="007D1ABB"/>
    <w:rsid w:val="007D1B4F"/>
    <w:rsid w:val="007D1BA8"/>
    <w:rsid w:val="007D1C58"/>
    <w:rsid w:val="007D1DD6"/>
    <w:rsid w:val="007D1DEA"/>
    <w:rsid w:val="007D1E31"/>
    <w:rsid w:val="007D1E43"/>
    <w:rsid w:val="007D1EDC"/>
    <w:rsid w:val="007D1F83"/>
    <w:rsid w:val="007D1FB8"/>
    <w:rsid w:val="007D1FF8"/>
    <w:rsid w:val="007D20A4"/>
    <w:rsid w:val="007D20F3"/>
    <w:rsid w:val="007D217A"/>
    <w:rsid w:val="007D21C4"/>
    <w:rsid w:val="007D21EA"/>
    <w:rsid w:val="007D2301"/>
    <w:rsid w:val="007D2317"/>
    <w:rsid w:val="007D242A"/>
    <w:rsid w:val="007D2545"/>
    <w:rsid w:val="007D26F1"/>
    <w:rsid w:val="007D27A4"/>
    <w:rsid w:val="007D2872"/>
    <w:rsid w:val="007D28BE"/>
    <w:rsid w:val="007D28D2"/>
    <w:rsid w:val="007D28E4"/>
    <w:rsid w:val="007D2A61"/>
    <w:rsid w:val="007D2A8F"/>
    <w:rsid w:val="007D2A91"/>
    <w:rsid w:val="007D2AE9"/>
    <w:rsid w:val="007D2B94"/>
    <w:rsid w:val="007D2B98"/>
    <w:rsid w:val="007D2C38"/>
    <w:rsid w:val="007D2C94"/>
    <w:rsid w:val="007D2CF2"/>
    <w:rsid w:val="007D2D1E"/>
    <w:rsid w:val="007D2D27"/>
    <w:rsid w:val="007D2F4B"/>
    <w:rsid w:val="007D2FFF"/>
    <w:rsid w:val="007D3094"/>
    <w:rsid w:val="007D3191"/>
    <w:rsid w:val="007D31D0"/>
    <w:rsid w:val="007D3221"/>
    <w:rsid w:val="007D32BE"/>
    <w:rsid w:val="007D331A"/>
    <w:rsid w:val="007D3384"/>
    <w:rsid w:val="007D33D0"/>
    <w:rsid w:val="007D35B4"/>
    <w:rsid w:val="007D3691"/>
    <w:rsid w:val="007D3937"/>
    <w:rsid w:val="007D398B"/>
    <w:rsid w:val="007D39BB"/>
    <w:rsid w:val="007D3AE0"/>
    <w:rsid w:val="007D3B21"/>
    <w:rsid w:val="007D3C36"/>
    <w:rsid w:val="007D3C47"/>
    <w:rsid w:val="007D3CAE"/>
    <w:rsid w:val="007D3D02"/>
    <w:rsid w:val="007D3DBD"/>
    <w:rsid w:val="007D3E13"/>
    <w:rsid w:val="007D3E41"/>
    <w:rsid w:val="007D3E94"/>
    <w:rsid w:val="007D402E"/>
    <w:rsid w:val="007D40EA"/>
    <w:rsid w:val="007D4134"/>
    <w:rsid w:val="007D42E8"/>
    <w:rsid w:val="007D4543"/>
    <w:rsid w:val="007D4552"/>
    <w:rsid w:val="007D45AA"/>
    <w:rsid w:val="007D4627"/>
    <w:rsid w:val="007D4679"/>
    <w:rsid w:val="007D46BE"/>
    <w:rsid w:val="007D4714"/>
    <w:rsid w:val="007D4893"/>
    <w:rsid w:val="007D49C4"/>
    <w:rsid w:val="007D49E2"/>
    <w:rsid w:val="007D4A9D"/>
    <w:rsid w:val="007D4C28"/>
    <w:rsid w:val="007D4C3F"/>
    <w:rsid w:val="007D4C7F"/>
    <w:rsid w:val="007D4D23"/>
    <w:rsid w:val="007D4F1D"/>
    <w:rsid w:val="007D4F6E"/>
    <w:rsid w:val="007D5052"/>
    <w:rsid w:val="007D5053"/>
    <w:rsid w:val="007D5098"/>
    <w:rsid w:val="007D50E3"/>
    <w:rsid w:val="007D51A0"/>
    <w:rsid w:val="007D5200"/>
    <w:rsid w:val="007D52CE"/>
    <w:rsid w:val="007D5359"/>
    <w:rsid w:val="007D554B"/>
    <w:rsid w:val="007D554D"/>
    <w:rsid w:val="007D55C6"/>
    <w:rsid w:val="007D55D6"/>
    <w:rsid w:val="007D5746"/>
    <w:rsid w:val="007D57C4"/>
    <w:rsid w:val="007D57C6"/>
    <w:rsid w:val="007D57D4"/>
    <w:rsid w:val="007D57ED"/>
    <w:rsid w:val="007D5800"/>
    <w:rsid w:val="007D5868"/>
    <w:rsid w:val="007D58DE"/>
    <w:rsid w:val="007D59D0"/>
    <w:rsid w:val="007D59D7"/>
    <w:rsid w:val="007D5A3A"/>
    <w:rsid w:val="007D5A64"/>
    <w:rsid w:val="007D5AB5"/>
    <w:rsid w:val="007D5B12"/>
    <w:rsid w:val="007D5BBB"/>
    <w:rsid w:val="007D5C27"/>
    <w:rsid w:val="007D5C4F"/>
    <w:rsid w:val="007D5CEC"/>
    <w:rsid w:val="007D5E2D"/>
    <w:rsid w:val="007D5ECE"/>
    <w:rsid w:val="007D6014"/>
    <w:rsid w:val="007D602A"/>
    <w:rsid w:val="007D614C"/>
    <w:rsid w:val="007D6253"/>
    <w:rsid w:val="007D630F"/>
    <w:rsid w:val="007D633F"/>
    <w:rsid w:val="007D6366"/>
    <w:rsid w:val="007D64FA"/>
    <w:rsid w:val="007D6628"/>
    <w:rsid w:val="007D671A"/>
    <w:rsid w:val="007D6725"/>
    <w:rsid w:val="007D672D"/>
    <w:rsid w:val="007D6797"/>
    <w:rsid w:val="007D67B2"/>
    <w:rsid w:val="007D684D"/>
    <w:rsid w:val="007D688C"/>
    <w:rsid w:val="007D6928"/>
    <w:rsid w:val="007D6951"/>
    <w:rsid w:val="007D6B3B"/>
    <w:rsid w:val="007D6C28"/>
    <w:rsid w:val="007D6CA3"/>
    <w:rsid w:val="007D6CF1"/>
    <w:rsid w:val="007D6DBD"/>
    <w:rsid w:val="007D6DBF"/>
    <w:rsid w:val="007D6FB2"/>
    <w:rsid w:val="007D707F"/>
    <w:rsid w:val="007D70FB"/>
    <w:rsid w:val="007D7121"/>
    <w:rsid w:val="007D7142"/>
    <w:rsid w:val="007D71F1"/>
    <w:rsid w:val="007D72CA"/>
    <w:rsid w:val="007D72DC"/>
    <w:rsid w:val="007D75A1"/>
    <w:rsid w:val="007D7650"/>
    <w:rsid w:val="007D76F3"/>
    <w:rsid w:val="007D775F"/>
    <w:rsid w:val="007D77B2"/>
    <w:rsid w:val="007D77B4"/>
    <w:rsid w:val="007D77EC"/>
    <w:rsid w:val="007D78E1"/>
    <w:rsid w:val="007D78F4"/>
    <w:rsid w:val="007D795A"/>
    <w:rsid w:val="007D79D4"/>
    <w:rsid w:val="007D79DD"/>
    <w:rsid w:val="007D79E1"/>
    <w:rsid w:val="007D7C3E"/>
    <w:rsid w:val="007D7D38"/>
    <w:rsid w:val="007D7EA0"/>
    <w:rsid w:val="007D7F15"/>
    <w:rsid w:val="007D7FD8"/>
    <w:rsid w:val="007E00F7"/>
    <w:rsid w:val="007E011F"/>
    <w:rsid w:val="007E0156"/>
    <w:rsid w:val="007E0228"/>
    <w:rsid w:val="007E02EE"/>
    <w:rsid w:val="007E02F0"/>
    <w:rsid w:val="007E0320"/>
    <w:rsid w:val="007E0346"/>
    <w:rsid w:val="007E0363"/>
    <w:rsid w:val="007E040D"/>
    <w:rsid w:val="007E041D"/>
    <w:rsid w:val="007E0461"/>
    <w:rsid w:val="007E04FC"/>
    <w:rsid w:val="007E05A0"/>
    <w:rsid w:val="007E05C3"/>
    <w:rsid w:val="007E0725"/>
    <w:rsid w:val="007E07FF"/>
    <w:rsid w:val="007E0811"/>
    <w:rsid w:val="007E0887"/>
    <w:rsid w:val="007E0951"/>
    <w:rsid w:val="007E09C2"/>
    <w:rsid w:val="007E0A90"/>
    <w:rsid w:val="007E0A9B"/>
    <w:rsid w:val="007E0BBB"/>
    <w:rsid w:val="007E0C65"/>
    <w:rsid w:val="007E0C7B"/>
    <w:rsid w:val="007E0C92"/>
    <w:rsid w:val="007E0C9E"/>
    <w:rsid w:val="007E0D1A"/>
    <w:rsid w:val="007E0DA1"/>
    <w:rsid w:val="007E0DCA"/>
    <w:rsid w:val="007E0E6D"/>
    <w:rsid w:val="007E0EE6"/>
    <w:rsid w:val="007E0F98"/>
    <w:rsid w:val="007E106B"/>
    <w:rsid w:val="007E10CE"/>
    <w:rsid w:val="007E1197"/>
    <w:rsid w:val="007E126B"/>
    <w:rsid w:val="007E133F"/>
    <w:rsid w:val="007E145A"/>
    <w:rsid w:val="007E149F"/>
    <w:rsid w:val="007E152A"/>
    <w:rsid w:val="007E1538"/>
    <w:rsid w:val="007E15B0"/>
    <w:rsid w:val="007E1661"/>
    <w:rsid w:val="007E16D3"/>
    <w:rsid w:val="007E1703"/>
    <w:rsid w:val="007E186D"/>
    <w:rsid w:val="007E1882"/>
    <w:rsid w:val="007E1993"/>
    <w:rsid w:val="007E19BC"/>
    <w:rsid w:val="007E1A3E"/>
    <w:rsid w:val="007E1A7A"/>
    <w:rsid w:val="007E1AAD"/>
    <w:rsid w:val="007E1AD2"/>
    <w:rsid w:val="007E1B50"/>
    <w:rsid w:val="007E1E3E"/>
    <w:rsid w:val="007E1E7D"/>
    <w:rsid w:val="007E1EAC"/>
    <w:rsid w:val="007E212E"/>
    <w:rsid w:val="007E22DF"/>
    <w:rsid w:val="007E2300"/>
    <w:rsid w:val="007E2323"/>
    <w:rsid w:val="007E2393"/>
    <w:rsid w:val="007E23AC"/>
    <w:rsid w:val="007E23BA"/>
    <w:rsid w:val="007E24D0"/>
    <w:rsid w:val="007E2539"/>
    <w:rsid w:val="007E2595"/>
    <w:rsid w:val="007E25C0"/>
    <w:rsid w:val="007E26E4"/>
    <w:rsid w:val="007E288C"/>
    <w:rsid w:val="007E28CD"/>
    <w:rsid w:val="007E28E5"/>
    <w:rsid w:val="007E2918"/>
    <w:rsid w:val="007E291B"/>
    <w:rsid w:val="007E295A"/>
    <w:rsid w:val="007E29F5"/>
    <w:rsid w:val="007E2A75"/>
    <w:rsid w:val="007E2A76"/>
    <w:rsid w:val="007E2A89"/>
    <w:rsid w:val="007E2B22"/>
    <w:rsid w:val="007E2B5D"/>
    <w:rsid w:val="007E2C58"/>
    <w:rsid w:val="007E2CC2"/>
    <w:rsid w:val="007E2CE7"/>
    <w:rsid w:val="007E2DEA"/>
    <w:rsid w:val="007E2E77"/>
    <w:rsid w:val="007E2EE4"/>
    <w:rsid w:val="007E2F80"/>
    <w:rsid w:val="007E2F9D"/>
    <w:rsid w:val="007E30BC"/>
    <w:rsid w:val="007E3108"/>
    <w:rsid w:val="007E313E"/>
    <w:rsid w:val="007E329E"/>
    <w:rsid w:val="007E32A7"/>
    <w:rsid w:val="007E32CA"/>
    <w:rsid w:val="007E32CB"/>
    <w:rsid w:val="007E32DE"/>
    <w:rsid w:val="007E345F"/>
    <w:rsid w:val="007E356B"/>
    <w:rsid w:val="007E3582"/>
    <w:rsid w:val="007E3601"/>
    <w:rsid w:val="007E36F2"/>
    <w:rsid w:val="007E37FC"/>
    <w:rsid w:val="007E3980"/>
    <w:rsid w:val="007E3983"/>
    <w:rsid w:val="007E398F"/>
    <w:rsid w:val="007E3991"/>
    <w:rsid w:val="007E39B6"/>
    <w:rsid w:val="007E39BC"/>
    <w:rsid w:val="007E3A81"/>
    <w:rsid w:val="007E3BF3"/>
    <w:rsid w:val="007E3C24"/>
    <w:rsid w:val="007E3C2C"/>
    <w:rsid w:val="007E3C9E"/>
    <w:rsid w:val="007E3CEC"/>
    <w:rsid w:val="007E3DD3"/>
    <w:rsid w:val="007E3DF1"/>
    <w:rsid w:val="007E3E02"/>
    <w:rsid w:val="007E3E11"/>
    <w:rsid w:val="007E3E21"/>
    <w:rsid w:val="007E4057"/>
    <w:rsid w:val="007E4151"/>
    <w:rsid w:val="007E415E"/>
    <w:rsid w:val="007E4213"/>
    <w:rsid w:val="007E42AB"/>
    <w:rsid w:val="007E442A"/>
    <w:rsid w:val="007E4541"/>
    <w:rsid w:val="007E46C7"/>
    <w:rsid w:val="007E46E2"/>
    <w:rsid w:val="007E479D"/>
    <w:rsid w:val="007E47E8"/>
    <w:rsid w:val="007E4815"/>
    <w:rsid w:val="007E49FB"/>
    <w:rsid w:val="007E4A02"/>
    <w:rsid w:val="007E4A66"/>
    <w:rsid w:val="007E4ACF"/>
    <w:rsid w:val="007E4AE1"/>
    <w:rsid w:val="007E4B97"/>
    <w:rsid w:val="007E4BA0"/>
    <w:rsid w:val="007E4D76"/>
    <w:rsid w:val="007E4EE1"/>
    <w:rsid w:val="007E4F4D"/>
    <w:rsid w:val="007E4FD8"/>
    <w:rsid w:val="007E508E"/>
    <w:rsid w:val="007E50FF"/>
    <w:rsid w:val="007E5188"/>
    <w:rsid w:val="007E51AD"/>
    <w:rsid w:val="007E5207"/>
    <w:rsid w:val="007E5213"/>
    <w:rsid w:val="007E5231"/>
    <w:rsid w:val="007E52B8"/>
    <w:rsid w:val="007E52EA"/>
    <w:rsid w:val="007E5302"/>
    <w:rsid w:val="007E541B"/>
    <w:rsid w:val="007E544D"/>
    <w:rsid w:val="007E5470"/>
    <w:rsid w:val="007E5562"/>
    <w:rsid w:val="007E5612"/>
    <w:rsid w:val="007E5700"/>
    <w:rsid w:val="007E5799"/>
    <w:rsid w:val="007E579B"/>
    <w:rsid w:val="007E57AB"/>
    <w:rsid w:val="007E57C3"/>
    <w:rsid w:val="007E57DC"/>
    <w:rsid w:val="007E5952"/>
    <w:rsid w:val="007E59B1"/>
    <w:rsid w:val="007E59DA"/>
    <w:rsid w:val="007E59F3"/>
    <w:rsid w:val="007E5A65"/>
    <w:rsid w:val="007E5DCA"/>
    <w:rsid w:val="007E5DDE"/>
    <w:rsid w:val="007E5E1E"/>
    <w:rsid w:val="007E5E27"/>
    <w:rsid w:val="007E5EC8"/>
    <w:rsid w:val="007E5F3E"/>
    <w:rsid w:val="007E5FDF"/>
    <w:rsid w:val="007E600E"/>
    <w:rsid w:val="007E601D"/>
    <w:rsid w:val="007E62EA"/>
    <w:rsid w:val="007E6397"/>
    <w:rsid w:val="007E63CE"/>
    <w:rsid w:val="007E643F"/>
    <w:rsid w:val="007E64AA"/>
    <w:rsid w:val="007E64D7"/>
    <w:rsid w:val="007E64E7"/>
    <w:rsid w:val="007E657D"/>
    <w:rsid w:val="007E658F"/>
    <w:rsid w:val="007E65BF"/>
    <w:rsid w:val="007E66AE"/>
    <w:rsid w:val="007E66F6"/>
    <w:rsid w:val="007E673F"/>
    <w:rsid w:val="007E67B6"/>
    <w:rsid w:val="007E690F"/>
    <w:rsid w:val="007E695A"/>
    <w:rsid w:val="007E69A2"/>
    <w:rsid w:val="007E69BB"/>
    <w:rsid w:val="007E69C7"/>
    <w:rsid w:val="007E69CF"/>
    <w:rsid w:val="007E69F7"/>
    <w:rsid w:val="007E6A6C"/>
    <w:rsid w:val="007E6B52"/>
    <w:rsid w:val="007E6C73"/>
    <w:rsid w:val="007E6C77"/>
    <w:rsid w:val="007E6DAF"/>
    <w:rsid w:val="007E6FBC"/>
    <w:rsid w:val="007E7005"/>
    <w:rsid w:val="007E70A4"/>
    <w:rsid w:val="007E70AD"/>
    <w:rsid w:val="007E717A"/>
    <w:rsid w:val="007E72F9"/>
    <w:rsid w:val="007E7383"/>
    <w:rsid w:val="007E73AE"/>
    <w:rsid w:val="007E73F3"/>
    <w:rsid w:val="007E74C0"/>
    <w:rsid w:val="007E74F2"/>
    <w:rsid w:val="007E752B"/>
    <w:rsid w:val="007E7546"/>
    <w:rsid w:val="007E75C5"/>
    <w:rsid w:val="007E75E8"/>
    <w:rsid w:val="007E775C"/>
    <w:rsid w:val="007E7790"/>
    <w:rsid w:val="007E77A9"/>
    <w:rsid w:val="007E7810"/>
    <w:rsid w:val="007E781C"/>
    <w:rsid w:val="007E785B"/>
    <w:rsid w:val="007E78B6"/>
    <w:rsid w:val="007E799D"/>
    <w:rsid w:val="007E7A1D"/>
    <w:rsid w:val="007E7A2C"/>
    <w:rsid w:val="007E7A59"/>
    <w:rsid w:val="007E7A70"/>
    <w:rsid w:val="007E7A80"/>
    <w:rsid w:val="007E7AA2"/>
    <w:rsid w:val="007E7AED"/>
    <w:rsid w:val="007E7B0D"/>
    <w:rsid w:val="007E7BF1"/>
    <w:rsid w:val="007E7CA9"/>
    <w:rsid w:val="007E7DE8"/>
    <w:rsid w:val="007E7E06"/>
    <w:rsid w:val="007E7E0D"/>
    <w:rsid w:val="007E7EF5"/>
    <w:rsid w:val="007E7FB5"/>
    <w:rsid w:val="007F001D"/>
    <w:rsid w:val="007F0070"/>
    <w:rsid w:val="007F01CC"/>
    <w:rsid w:val="007F0256"/>
    <w:rsid w:val="007F0260"/>
    <w:rsid w:val="007F033D"/>
    <w:rsid w:val="007F0388"/>
    <w:rsid w:val="007F0412"/>
    <w:rsid w:val="007F044C"/>
    <w:rsid w:val="007F055A"/>
    <w:rsid w:val="007F05E7"/>
    <w:rsid w:val="007F06A3"/>
    <w:rsid w:val="007F06AF"/>
    <w:rsid w:val="007F0856"/>
    <w:rsid w:val="007F085C"/>
    <w:rsid w:val="007F08B6"/>
    <w:rsid w:val="007F0937"/>
    <w:rsid w:val="007F09C3"/>
    <w:rsid w:val="007F0A48"/>
    <w:rsid w:val="007F0A96"/>
    <w:rsid w:val="007F0AA1"/>
    <w:rsid w:val="007F0CFD"/>
    <w:rsid w:val="007F0D06"/>
    <w:rsid w:val="007F0D45"/>
    <w:rsid w:val="007F0DF1"/>
    <w:rsid w:val="007F0F0B"/>
    <w:rsid w:val="007F103C"/>
    <w:rsid w:val="007F116C"/>
    <w:rsid w:val="007F11D5"/>
    <w:rsid w:val="007F123E"/>
    <w:rsid w:val="007F12D5"/>
    <w:rsid w:val="007F12DE"/>
    <w:rsid w:val="007F13DA"/>
    <w:rsid w:val="007F1455"/>
    <w:rsid w:val="007F14C7"/>
    <w:rsid w:val="007F1549"/>
    <w:rsid w:val="007F15DB"/>
    <w:rsid w:val="007F1657"/>
    <w:rsid w:val="007F1683"/>
    <w:rsid w:val="007F16B3"/>
    <w:rsid w:val="007F174F"/>
    <w:rsid w:val="007F1758"/>
    <w:rsid w:val="007F1836"/>
    <w:rsid w:val="007F1879"/>
    <w:rsid w:val="007F1992"/>
    <w:rsid w:val="007F1A6D"/>
    <w:rsid w:val="007F1BBA"/>
    <w:rsid w:val="007F1BC1"/>
    <w:rsid w:val="007F1BF4"/>
    <w:rsid w:val="007F1C95"/>
    <w:rsid w:val="007F1C9B"/>
    <w:rsid w:val="007F1CF6"/>
    <w:rsid w:val="007F1D69"/>
    <w:rsid w:val="007F1DD7"/>
    <w:rsid w:val="007F1E10"/>
    <w:rsid w:val="007F1E1D"/>
    <w:rsid w:val="007F1E45"/>
    <w:rsid w:val="007F1F14"/>
    <w:rsid w:val="007F1FEE"/>
    <w:rsid w:val="007F1FF3"/>
    <w:rsid w:val="007F1FFE"/>
    <w:rsid w:val="007F2004"/>
    <w:rsid w:val="007F20E1"/>
    <w:rsid w:val="007F20ED"/>
    <w:rsid w:val="007F2135"/>
    <w:rsid w:val="007F2156"/>
    <w:rsid w:val="007F21C9"/>
    <w:rsid w:val="007F22B3"/>
    <w:rsid w:val="007F22CC"/>
    <w:rsid w:val="007F230F"/>
    <w:rsid w:val="007F2313"/>
    <w:rsid w:val="007F2332"/>
    <w:rsid w:val="007F247D"/>
    <w:rsid w:val="007F24F8"/>
    <w:rsid w:val="007F271A"/>
    <w:rsid w:val="007F281E"/>
    <w:rsid w:val="007F28B1"/>
    <w:rsid w:val="007F28F1"/>
    <w:rsid w:val="007F2945"/>
    <w:rsid w:val="007F2983"/>
    <w:rsid w:val="007F2A88"/>
    <w:rsid w:val="007F2AAB"/>
    <w:rsid w:val="007F2B6A"/>
    <w:rsid w:val="007F2D62"/>
    <w:rsid w:val="007F2DAF"/>
    <w:rsid w:val="007F2DF2"/>
    <w:rsid w:val="007F2E28"/>
    <w:rsid w:val="007F2EC1"/>
    <w:rsid w:val="007F3008"/>
    <w:rsid w:val="007F3043"/>
    <w:rsid w:val="007F3048"/>
    <w:rsid w:val="007F307C"/>
    <w:rsid w:val="007F30AD"/>
    <w:rsid w:val="007F30EA"/>
    <w:rsid w:val="007F3195"/>
    <w:rsid w:val="007F328C"/>
    <w:rsid w:val="007F334D"/>
    <w:rsid w:val="007F3378"/>
    <w:rsid w:val="007F3399"/>
    <w:rsid w:val="007F35B6"/>
    <w:rsid w:val="007F35ED"/>
    <w:rsid w:val="007F3701"/>
    <w:rsid w:val="007F3704"/>
    <w:rsid w:val="007F370D"/>
    <w:rsid w:val="007F376F"/>
    <w:rsid w:val="007F3806"/>
    <w:rsid w:val="007F3810"/>
    <w:rsid w:val="007F3855"/>
    <w:rsid w:val="007F3937"/>
    <w:rsid w:val="007F3B05"/>
    <w:rsid w:val="007F3B1F"/>
    <w:rsid w:val="007F3B8A"/>
    <w:rsid w:val="007F3C78"/>
    <w:rsid w:val="007F3CC2"/>
    <w:rsid w:val="007F3CFB"/>
    <w:rsid w:val="007F3DB3"/>
    <w:rsid w:val="007F3F37"/>
    <w:rsid w:val="007F3F76"/>
    <w:rsid w:val="007F3F8B"/>
    <w:rsid w:val="007F3FB7"/>
    <w:rsid w:val="007F3FB8"/>
    <w:rsid w:val="007F4154"/>
    <w:rsid w:val="007F4155"/>
    <w:rsid w:val="007F41EE"/>
    <w:rsid w:val="007F42BB"/>
    <w:rsid w:val="007F42FD"/>
    <w:rsid w:val="007F434B"/>
    <w:rsid w:val="007F438B"/>
    <w:rsid w:val="007F467C"/>
    <w:rsid w:val="007F47A5"/>
    <w:rsid w:val="007F48AE"/>
    <w:rsid w:val="007F48B0"/>
    <w:rsid w:val="007F4903"/>
    <w:rsid w:val="007F4938"/>
    <w:rsid w:val="007F49D6"/>
    <w:rsid w:val="007F4ACA"/>
    <w:rsid w:val="007F4B19"/>
    <w:rsid w:val="007F4CF2"/>
    <w:rsid w:val="007F4D64"/>
    <w:rsid w:val="007F4D6E"/>
    <w:rsid w:val="007F4ED8"/>
    <w:rsid w:val="007F4F7E"/>
    <w:rsid w:val="007F501C"/>
    <w:rsid w:val="007F50B5"/>
    <w:rsid w:val="007F51FD"/>
    <w:rsid w:val="007F521F"/>
    <w:rsid w:val="007F529B"/>
    <w:rsid w:val="007F52EB"/>
    <w:rsid w:val="007F530A"/>
    <w:rsid w:val="007F5340"/>
    <w:rsid w:val="007F545A"/>
    <w:rsid w:val="007F5465"/>
    <w:rsid w:val="007F5549"/>
    <w:rsid w:val="007F5596"/>
    <w:rsid w:val="007F566E"/>
    <w:rsid w:val="007F56AC"/>
    <w:rsid w:val="007F56F8"/>
    <w:rsid w:val="007F57F8"/>
    <w:rsid w:val="007F5906"/>
    <w:rsid w:val="007F592F"/>
    <w:rsid w:val="007F59C3"/>
    <w:rsid w:val="007F5A4A"/>
    <w:rsid w:val="007F5A86"/>
    <w:rsid w:val="007F5AB2"/>
    <w:rsid w:val="007F5AB9"/>
    <w:rsid w:val="007F5AFB"/>
    <w:rsid w:val="007F5B4A"/>
    <w:rsid w:val="007F5BD5"/>
    <w:rsid w:val="007F5C7C"/>
    <w:rsid w:val="007F5CC4"/>
    <w:rsid w:val="007F5DF6"/>
    <w:rsid w:val="007F5EE1"/>
    <w:rsid w:val="007F5F11"/>
    <w:rsid w:val="007F5F56"/>
    <w:rsid w:val="007F5F99"/>
    <w:rsid w:val="007F6036"/>
    <w:rsid w:val="007F61DA"/>
    <w:rsid w:val="007F6251"/>
    <w:rsid w:val="007F6787"/>
    <w:rsid w:val="007F683B"/>
    <w:rsid w:val="007F68DD"/>
    <w:rsid w:val="007F68FB"/>
    <w:rsid w:val="007F691C"/>
    <w:rsid w:val="007F692A"/>
    <w:rsid w:val="007F6A04"/>
    <w:rsid w:val="007F6A16"/>
    <w:rsid w:val="007F6AA6"/>
    <w:rsid w:val="007F6B70"/>
    <w:rsid w:val="007F6B80"/>
    <w:rsid w:val="007F6B8A"/>
    <w:rsid w:val="007F6D15"/>
    <w:rsid w:val="007F6D28"/>
    <w:rsid w:val="007F6D59"/>
    <w:rsid w:val="007F6FA4"/>
    <w:rsid w:val="007F70B4"/>
    <w:rsid w:val="007F7151"/>
    <w:rsid w:val="007F7185"/>
    <w:rsid w:val="007F71BC"/>
    <w:rsid w:val="007F71C0"/>
    <w:rsid w:val="007F71EC"/>
    <w:rsid w:val="007F7243"/>
    <w:rsid w:val="007F7362"/>
    <w:rsid w:val="007F738B"/>
    <w:rsid w:val="007F73D8"/>
    <w:rsid w:val="007F7407"/>
    <w:rsid w:val="007F74D7"/>
    <w:rsid w:val="007F751E"/>
    <w:rsid w:val="007F752E"/>
    <w:rsid w:val="007F75CA"/>
    <w:rsid w:val="007F76E3"/>
    <w:rsid w:val="007F7755"/>
    <w:rsid w:val="007F7772"/>
    <w:rsid w:val="007F7784"/>
    <w:rsid w:val="007F77F7"/>
    <w:rsid w:val="007F7874"/>
    <w:rsid w:val="007F79AB"/>
    <w:rsid w:val="007F7AF0"/>
    <w:rsid w:val="007F7BE6"/>
    <w:rsid w:val="007F7BF0"/>
    <w:rsid w:val="007F7CD0"/>
    <w:rsid w:val="007F7EF1"/>
    <w:rsid w:val="007F7F89"/>
    <w:rsid w:val="00800139"/>
    <w:rsid w:val="008001AE"/>
    <w:rsid w:val="00800246"/>
    <w:rsid w:val="00800256"/>
    <w:rsid w:val="0080035C"/>
    <w:rsid w:val="008004CF"/>
    <w:rsid w:val="0080050A"/>
    <w:rsid w:val="00800554"/>
    <w:rsid w:val="0080057E"/>
    <w:rsid w:val="0080079E"/>
    <w:rsid w:val="0080081B"/>
    <w:rsid w:val="0080082D"/>
    <w:rsid w:val="00800867"/>
    <w:rsid w:val="008008A8"/>
    <w:rsid w:val="00800AF1"/>
    <w:rsid w:val="00800B98"/>
    <w:rsid w:val="00800BBC"/>
    <w:rsid w:val="00800C30"/>
    <w:rsid w:val="00800CF7"/>
    <w:rsid w:val="00800D1C"/>
    <w:rsid w:val="00800D82"/>
    <w:rsid w:val="00800E64"/>
    <w:rsid w:val="00800E88"/>
    <w:rsid w:val="00800F37"/>
    <w:rsid w:val="00800F3F"/>
    <w:rsid w:val="00801038"/>
    <w:rsid w:val="00801075"/>
    <w:rsid w:val="008010C3"/>
    <w:rsid w:val="00801108"/>
    <w:rsid w:val="008011A5"/>
    <w:rsid w:val="008011FE"/>
    <w:rsid w:val="008012EC"/>
    <w:rsid w:val="00801534"/>
    <w:rsid w:val="00801603"/>
    <w:rsid w:val="00801676"/>
    <w:rsid w:val="008016DC"/>
    <w:rsid w:val="00801735"/>
    <w:rsid w:val="008017D6"/>
    <w:rsid w:val="008018A6"/>
    <w:rsid w:val="008018D0"/>
    <w:rsid w:val="008018E3"/>
    <w:rsid w:val="008019CE"/>
    <w:rsid w:val="008019FA"/>
    <w:rsid w:val="00801A51"/>
    <w:rsid w:val="00801A93"/>
    <w:rsid w:val="00801B29"/>
    <w:rsid w:val="00801CA2"/>
    <w:rsid w:val="00801CFA"/>
    <w:rsid w:val="00801D01"/>
    <w:rsid w:val="00801D0A"/>
    <w:rsid w:val="00801DEF"/>
    <w:rsid w:val="00801E90"/>
    <w:rsid w:val="00801E92"/>
    <w:rsid w:val="00801F03"/>
    <w:rsid w:val="00801F78"/>
    <w:rsid w:val="00801F8A"/>
    <w:rsid w:val="00801FC7"/>
    <w:rsid w:val="00802021"/>
    <w:rsid w:val="0080206F"/>
    <w:rsid w:val="008021E0"/>
    <w:rsid w:val="008022E3"/>
    <w:rsid w:val="0080256C"/>
    <w:rsid w:val="0080259B"/>
    <w:rsid w:val="008025BF"/>
    <w:rsid w:val="008025C2"/>
    <w:rsid w:val="00802656"/>
    <w:rsid w:val="008026B0"/>
    <w:rsid w:val="008027E8"/>
    <w:rsid w:val="00802869"/>
    <w:rsid w:val="0080299C"/>
    <w:rsid w:val="00802A2E"/>
    <w:rsid w:val="00802ABC"/>
    <w:rsid w:val="00802AE6"/>
    <w:rsid w:val="00802B8D"/>
    <w:rsid w:val="00802CC4"/>
    <w:rsid w:val="00802CFF"/>
    <w:rsid w:val="00802D13"/>
    <w:rsid w:val="00802D34"/>
    <w:rsid w:val="00802DC6"/>
    <w:rsid w:val="00802ED1"/>
    <w:rsid w:val="00802F74"/>
    <w:rsid w:val="00803045"/>
    <w:rsid w:val="008031C6"/>
    <w:rsid w:val="008031E3"/>
    <w:rsid w:val="0080327B"/>
    <w:rsid w:val="008033E0"/>
    <w:rsid w:val="00803407"/>
    <w:rsid w:val="00803442"/>
    <w:rsid w:val="00803532"/>
    <w:rsid w:val="00803578"/>
    <w:rsid w:val="00803691"/>
    <w:rsid w:val="00803693"/>
    <w:rsid w:val="008036B6"/>
    <w:rsid w:val="008036F2"/>
    <w:rsid w:val="00803744"/>
    <w:rsid w:val="0080377B"/>
    <w:rsid w:val="008037E0"/>
    <w:rsid w:val="0080382C"/>
    <w:rsid w:val="008038DE"/>
    <w:rsid w:val="00803A0F"/>
    <w:rsid w:val="00803AA3"/>
    <w:rsid w:val="00803BD7"/>
    <w:rsid w:val="00803DB0"/>
    <w:rsid w:val="00803E0C"/>
    <w:rsid w:val="00803E1B"/>
    <w:rsid w:val="00803EB9"/>
    <w:rsid w:val="00803F3F"/>
    <w:rsid w:val="00803FC3"/>
    <w:rsid w:val="0080402D"/>
    <w:rsid w:val="0080404C"/>
    <w:rsid w:val="008040F9"/>
    <w:rsid w:val="00804123"/>
    <w:rsid w:val="0080415E"/>
    <w:rsid w:val="00804166"/>
    <w:rsid w:val="0080423B"/>
    <w:rsid w:val="0080435F"/>
    <w:rsid w:val="008043C8"/>
    <w:rsid w:val="008043CC"/>
    <w:rsid w:val="00804567"/>
    <w:rsid w:val="008045A2"/>
    <w:rsid w:val="008045B4"/>
    <w:rsid w:val="00804673"/>
    <w:rsid w:val="00804690"/>
    <w:rsid w:val="00804693"/>
    <w:rsid w:val="008046A3"/>
    <w:rsid w:val="008046CA"/>
    <w:rsid w:val="00804739"/>
    <w:rsid w:val="0080488B"/>
    <w:rsid w:val="0080495E"/>
    <w:rsid w:val="00804A3C"/>
    <w:rsid w:val="00804A51"/>
    <w:rsid w:val="00804B73"/>
    <w:rsid w:val="00804C0A"/>
    <w:rsid w:val="00804C0F"/>
    <w:rsid w:val="00804DB5"/>
    <w:rsid w:val="00804E2E"/>
    <w:rsid w:val="00804EE0"/>
    <w:rsid w:val="00804F37"/>
    <w:rsid w:val="00804F8D"/>
    <w:rsid w:val="00804FA4"/>
    <w:rsid w:val="0080502A"/>
    <w:rsid w:val="0080523F"/>
    <w:rsid w:val="00805256"/>
    <w:rsid w:val="00805264"/>
    <w:rsid w:val="008052C2"/>
    <w:rsid w:val="008052EC"/>
    <w:rsid w:val="00805338"/>
    <w:rsid w:val="00805400"/>
    <w:rsid w:val="00805407"/>
    <w:rsid w:val="00805713"/>
    <w:rsid w:val="00805865"/>
    <w:rsid w:val="00805890"/>
    <w:rsid w:val="008058E6"/>
    <w:rsid w:val="008059B6"/>
    <w:rsid w:val="00805B2B"/>
    <w:rsid w:val="00805B64"/>
    <w:rsid w:val="00805C6D"/>
    <w:rsid w:val="00805C80"/>
    <w:rsid w:val="00805CC2"/>
    <w:rsid w:val="00805D3D"/>
    <w:rsid w:val="00805D44"/>
    <w:rsid w:val="00805D4A"/>
    <w:rsid w:val="00805E4F"/>
    <w:rsid w:val="00805ED4"/>
    <w:rsid w:val="00805F81"/>
    <w:rsid w:val="00806027"/>
    <w:rsid w:val="008060C3"/>
    <w:rsid w:val="00806149"/>
    <w:rsid w:val="0080617B"/>
    <w:rsid w:val="00806182"/>
    <w:rsid w:val="00806212"/>
    <w:rsid w:val="0080621A"/>
    <w:rsid w:val="0080622E"/>
    <w:rsid w:val="00806257"/>
    <w:rsid w:val="008062B2"/>
    <w:rsid w:val="0080630E"/>
    <w:rsid w:val="008064BD"/>
    <w:rsid w:val="0080659C"/>
    <w:rsid w:val="008065C9"/>
    <w:rsid w:val="008065DF"/>
    <w:rsid w:val="0080664E"/>
    <w:rsid w:val="00806737"/>
    <w:rsid w:val="008068B4"/>
    <w:rsid w:val="00806949"/>
    <w:rsid w:val="0080694F"/>
    <w:rsid w:val="008069CD"/>
    <w:rsid w:val="00806A0F"/>
    <w:rsid w:val="00806A41"/>
    <w:rsid w:val="00806A75"/>
    <w:rsid w:val="00806AAC"/>
    <w:rsid w:val="00806BF6"/>
    <w:rsid w:val="00806D56"/>
    <w:rsid w:val="00806E22"/>
    <w:rsid w:val="00806EBA"/>
    <w:rsid w:val="00806F0E"/>
    <w:rsid w:val="00806F81"/>
    <w:rsid w:val="0080705B"/>
    <w:rsid w:val="008070A3"/>
    <w:rsid w:val="008070A9"/>
    <w:rsid w:val="0080722A"/>
    <w:rsid w:val="00807275"/>
    <w:rsid w:val="00807324"/>
    <w:rsid w:val="0080756A"/>
    <w:rsid w:val="008075FA"/>
    <w:rsid w:val="0080761E"/>
    <w:rsid w:val="0080764B"/>
    <w:rsid w:val="0080764D"/>
    <w:rsid w:val="00807695"/>
    <w:rsid w:val="008076A7"/>
    <w:rsid w:val="008076C0"/>
    <w:rsid w:val="00807790"/>
    <w:rsid w:val="008077B8"/>
    <w:rsid w:val="008077FD"/>
    <w:rsid w:val="00807800"/>
    <w:rsid w:val="0080788D"/>
    <w:rsid w:val="0080790C"/>
    <w:rsid w:val="00807950"/>
    <w:rsid w:val="00807976"/>
    <w:rsid w:val="00807B1C"/>
    <w:rsid w:val="00807B46"/>
    <w:rsid w:val="00807C46"/>
    <w:rsid w:val="00807D4D"/>
    <w:rsid w:val="00807D74"/>
    <w:rsid w:val="00807D84"/>
    <w:rsid w:val="00807E0A"/>
    <w:rsid w:val="00807E39"/>
    <w:rsid w:val="00807E91"/>
    <w:rsid w:val="00807E99"/>
    <w:rsid w:val="00807F29"/>
    <w:rsid w:val="00807FDE"/>
    <w:rsid w:val="00810039"/>
    <w:rsid w:val="00810071"/>
    <w:rsid w:val="00810120"/>
    <w:rsid w:val="008101A2"/>
    <w:rsid w:val="008101E1"/>
    <w:rsid w:val="0081028D"/>
    <w:rsid w:val="0081035A"/>
    <w:rsid w:val="008103EB"/>
    <w:rsid w:val="00810677"/>
    <w:rsid w:val="00810770"/>
    <w:rsid w:val="008107EF"/>
    <w:rsid w:val="0081095F"/>
    <w:rsid w:val="00810A23"/>
    <w:rsid w:val="00810AD0"/>
    <w:rsid w:val="00810AD4"/>
    <w:rsid w:val="00810B06"/>
    <w:rsid w:val="00810B10"/>
    <w:rsid w:val="00810D2C"/>
    <w:rsid w:val="00810D5D"/>
    <w:rsid w:val="00810E1E"/>
    <w:rsid w:val="00810E44"/>
    <w:rsid w:val="00810E7B"/>
    <w:rsid w:val="00810EEA"/>
    <w:rsid w:val="00810FFA"/>
    <w:rsid w:val="008110F2"/>
    <w:rsid w:val="0081114A"/>
    <w:rsid w:val="00811174"/>
    <w:rsid w:val="008111B1"/>
    <w:rsid w:val="0081125C"/>
    <w:rsid w:val="00811286"/>
    <w:rsid w:val="008112AF"/>
    <w:rsid w:val="008112D2"/>
    <w:rsid w:val="008113B0"/>
    <w:rsid w:val="008114DD"/>
    <w:rsid w:val="00811592"/>
    <w:rsid w:val="0081165A"/>
    <w:rsid w:val="008116DF"/>
    <w:rsid w:val="008116F7"/>
    <w:rsid w:val="00811774"/>
    <w:rsid w:val="00811890"/>
    <w:rsid w:val="008118A4"/>
    <w:rsid w:val="008119BD"/>
    <w:rsid w:val="00811ABC"/>
    <w:rsid w:val="00811AE0"/>
    <w:rsid w:val="00811C5E"/>
    <w:rsid w:val="00811C8C"/>
    <w:rsid w:val="00811C9A"/>
    <w:rsid w:val="00811CAF"/>
    <w:rsid w:val="00811EA1"/>
    <w:rsid w:val="0081202A"/>
    <w:rsid w:val="00812050"/>
    <w:rsid w:val="008120BB"/>
    <w:rsid w:val="00812139"/>
    <w:rsid w:val="008122AE"/>
    <w:rsid w:val="008122E7"/>
    <w:rsid w:val="00812363"/>
    <w:rsid w:val="008123B0"/>
    <w:rsid w:val="00812419"/>
    <w:rsid w:val="008124E4"/>
    <w:rsid w:val="00812553"/>
    <w:rsid w:val="00812698"/>
    <w:rsid w:val="008126D5"/>
    <w:rsid w:val="00812713"/>
    <w:rsid w:val="00812723"/>
    <w:rsid w:val="00812796"/>
    <w:rsid w:val="008127B9"/>
    <w:rsid w:val="0081283B"/>
    <w:rsid w:val="00812887"/>
    <w:rsid w:val="008128AC"/>
    <w:rsid w:val="0081296B"/>
    <w:rsid w:val="00812987"/>
    <w:rsid w:val="00812C05"/>
    <w:rsid w:val="00812D95"/>
    <w:rsid w:val="00812F5A"/>
    <w:rsid w:val="008130B1"/>
    <w:rsid w:val="00813151"/>
    <w:rsid w:val="0081316C"/>
    <w:rsid w:val="008131E6"/>
    <w:rsid w:val="0081327A"/>
    <w:rsid w:val="008132E8"/>
    <w:rsid w:val="00813359"/>
    <w:rsid w:val="008133A6"/>
    <w:rsid w:val="008133C6"/>
    <w:rsid w:val="008134C8"/>
    <w:rsid w:val="008135B2"/>
    <w:rsid w:val="008135FB"/>
    <w:rsid w:val="00813644"/>
    <w:rsid w:val="0081369E"/>
    <w:rsid w:val="008136B3"/>
    <w:rsid w:val="008136B6"/>
    <w:rsid w:val="008136D3"/>
    <w:rsid w:val="00813873"/>
    <w:rsid w:val="008139EC"/>
    <w:rsid w:val="008139ED"/>
    <w:rsid w:val="00813A59"/>
    <w:rsid w:val="00813A89"/>
    <w:rsid w:val="00813B94"/>
    <w:rsid w:val="00813BEA"/>
    <w:rsid w:val="00813C5B"/>
    <w:rsid w:val="00813C6C"/>
    <w:rsid w:val="00813F4A"/>
    <w:rsid w:val="00813FCB"/>
    <w:rsid w:val="0081407B"/>
    <w:rsid w:val="0081413C"/>
    <w:rsid w:val="008141F3"/>
    <w:rsid w:val="008142DB"/>
    <w:rsid w:val="008142F1"/>
    <w:rsid w:val="008142FD"/>
    <w:rsid w:val="00814414"/>
    <w:rsid w:val="008144AA"/>
    <w:rsid w:val="008144C2"/>
    <w:rsid w:val="00814593"/>
    <w:rsid w:val="0081460A"/>
    <w:rsid w:val="0081461F"/>
    <w:rsid w:val="0081471E"/>
    <w:rsid w:val="0081473E"/>
    <w:rsid w:val="0081475E"/>
    <w:rsid w:val="008148EF"/>
    <w:rsid w:val="0081491B"/>
    <w:rsid w:val="0081491F"/>
    <w:rsid w:val="0081494E"/>
    <w:rsid w:val="00814970"/>
    <w:rsid w:val="00814B5A"/>
    <w:rsid w:val="00814BAE"/>
    <w:rsid w:val="00814C25"/>
    <w:rsid w:val="00814E36"/>
    <w:rsid w:val="00814EA7"/>
    <w:rsid w:val="00814F37"/>
    <w:rsid w:val="00815021"/>
    <w:rsid w:val="00815061"/>
    <w:rsid w:val="0081516F"/>
    <w:rsid w:val="00815179"/>
    <w:rsid w:val="00815250"/>
    <w:rsid w:val="008152F1"/>
    <w:rsid w:val="008153BA"/>
    <w:rsid w:val="008153C2"/>
    <w:rsid w:val="0081548E"/>
    <w:rsid w:val="008154BE"/>
    <w:rsid w:val="008154DE"/>
    <w:rsid w:val="008156C6"/>
    <w:rsid w:val="0081584A"/>
    <w:rsid w:val="0081589E"/>
    <w:rsid w:val="00815A1C"/>
    <w:rsid w:val="00815A2C"/>
    <w:rsid w:val="00815A52"/>
    <w:rsid w:val="00815B55"/>
    <w:rsid w:val="00815B9B"/>
    <w:rsid w:val="00815BAC"/>
    <w:rsid w:val="00815BE5"/>
    <w:rsid w:val="00815C34"/>
    <w:rsid w:val="00815DF2"/>
    <w:rsid w:val="00815E2B"/>
    <w:rsid w:val="00815E68"/>
    <w:rsid w:val="00815E9F"/>
    <w:rsid w:val="00815F09"/>
    <w:rsid w:val="00815F6A"/>
    <w:rsid w:val="00816164"/>
    <w:rsid w:val="008161A0"/>
    <w:rsid w:val="008161D8"/>
    <w:rsid w:val="00816210"/>
    <w:rsid w:val="00816267"/>
    <w:rsid w:val="008162B1"/>
    <w:rsid w:val="0081634B"/>
    <w:rsid w:val="008163A9"/>
    <w:rsid w:val="008163B1"/>
    <w:rsid w:val="0081645E"/>
    <w:rsid w:val="008164DF"/>
    <w:rsid w:val="00816566"/>
    <w:rsid w:val="00816758"/>
    <w:rsid w:val="008167F6"/>
    <w:rsid w:val="008168AB"/>
    <w:rsid w:val="008168DF"/>
    <w:rsid w:val="0081691F"/>
    <w:rsid w:val="00816A83"/>
    <w:rsid w:val="00816AEE"/>
    <w:rsid w:val="00816B13"/>
    <w:rsid w:val="00816C4D"/>
    <w:rsid w:val="00816CAF"/>
    <w:rsid w:val="00816CE6"/>
    <w:rsid w:val="00816D3F"/>
    <w:rsid w:val="00816D8F"/>
    <w:rsid w:val="00816D95"/>
    <w:rsid w:val="00816E08"/>
    <w:rsid w:val="00816EC4"/>
    <w:rsid w:val="00816F76"/>
    <w:rsid w:val="00816F97"/>
    <w:rsid w:val="00816FDA"/>
    <w:rsid w:val="0081702E"/>
    <w:rsid w:val="0081708E"/>
    <w:rsid w:val="008170A3"/>
    <w:rsid w:val="00817110"/>
    <w:rsid w:val="0081719B"/>
    <w:rsid w:val="008171AF"/>
    <w:rsid w:val="008171F4"/>
    <w:rsid w:val="0081729D"/>
    <w:rsid w:val="00817319"/>
    <w:rsid w:val="0081739E"/>
    <w:rsid w:val="00817413"/>
    <w:rsid w:val="0081744A"/>
    <w:rsid w:val="00817493"/>
    <w:rsid w:val="008176D0"/>
    <w:rsid w:val="008176DF"/>
    <w:rsid w:val="0081770D"/>
    <w:rsid w:val="00817843"/>
    <w:rsid w:val="0081788B"/>
    <w:rsid w:val="008178F5"/>
    <w:rsid w:val="008178FF"/>
    <w:rsid w:val="0081791B"/>
    <w:rsid w:val="00817935"/>
    <w:rsid w:val="00817943"/>
    <w:rsid w:val="008179D5"/>
    <w:rsid w:val="00817BBC"/>
    <w:rsid w:val="00817C89"/>
    <w:rsid w:val="00817CD7"/>
    <w:rsid w:val="00817D07"/>
    <w:rsid w:val="00817DE5"/>
    <w:rsid w:val="00817E93"/>
    <w:rsid w:val="00817EA0"/>
    <w:rsid w:val="00817EFA"/>
    <w:rsid w:val="00817FC0"/>
    <w:rsid w:val="00817FC2"/>
    <w:rsid w:val="0081B736"/>
    <w:rsid w:val="0082007F"/>
    <w:rsid w:val="008200EB"/>
    <w:rsid w:val="0082010A"/>
    <w:rsid w:val="00820138"/>
    <w:rsid w:val="00820289"/>
    <w:rsid w:val="0082032E"/>
    <w:rsid w:val="0082037B"/>
    <w:rsid w:val="00820481"/>
    <w:rsid w:val="008204B9"/>
    <w:rsid w:val="008204D4"/>
    <w:rsid w:val="008205A9"/>
    <w:rsid w:val="00820617"/>
    <w:rsid w:val="00820692"/>
    <w:rsid w:val="0082079A"/>
    <w:rsid w:val="008209D3"/>
    <w:rsid w:val="00820A6B"/>
    <w:rsid w:val="00820ABA"/>
    <w:rsid w:val="00820AEC"/>
    <w:rsid w:val="00820B4E"/>
    <w:rsid w:val="00820B6F"/>
    <w:rsid w:val="00820BCA"/>
    <w:rsid w:val="00820BDF"/>
    <w:rsid w:val="00820BEB"/>
    <w:rsid w:val="00820C44"/>
    <w:rsid w:val="00820C7C"/>
    <w:rsid w:val="00820CDE"/>
    <w:rsid w:val="00820DA2"/>
    <w:rsid w:val="00820DF9"/>
    <w:rsid w:val="00820E21"/>
    <w:rsid w:val="00820E2D"/>
    <w:rsid w:val="00820F14"/>
    <w:rsid w:val="00821019"/>
    <w:rsid w:val="0082107C"/>
    <w:rsid w:val="00821096"/>
    <w:rsid w:val="008210DE"/>
    <w:rsid w:val="0082127E"/>
    <w:rsid w:val="00821325"/>
    <w:rsid w:val="008214BC"/>
    <w:rsid w:val="0082152A"/>
    <w:rsid w:val="00821538"/>
    <w:rsid w:val="0082161F"/>
    <w:rsid w:val="0082166E"/>
    <w:rsid w:val="00821677"/>
    <w:rsid w:val="008216B1"/>
    <w:rsid w:val="00821797"/>
    <w:rsid w:val="008217DB"/>
    <w:rsid w:val="008217E9"/>
    <w:rsid w:val="00821B4E"/>
    <w:rsid w:val="00821C90"/>
    <w:rsid w:val="00821F7F"/>
    <w:rsid w:val="00821FE8"/>
    <w:rsid w:val="008221D6"/>
    <w:rsid w:val="008221FE"/>
    <w:rsid w:val="008222D4"/>
    <w:rsid w:val="0082232F"/>
    <w:rsid w:val="0082235E"/>
    <w:rsid w:val="0082237A"/>
    <w:rsid w:val="0082250A"/>
    <w:rsid w:val="00822561"/>
    <w:rsid w:val="0082261A"/>
    <w:rsid w:val="008226AE"/>
    <w:rsid w:val="008226C8"/>
    <w:rsid w:val="008226E8"/>
    <w:rsid w:val="00822726"/>
    <w:rsid w:val="00822943"/>
    <w:rsid w:val="00822AE5"/>
    <w:rsid w:val="00822AF6"/>
    <w:rsid w:val="00822C70"/>
    <w:rsid w:val="00822CAF"/>
    <w:rsid w:val="00822D66"/>
    <w:rsid w:val="00822D84"/>
    <w:rsid w:val="00822D8C"/>
    <w:rsid w:val="00822DFA"/>
    <w:rsid w:val="00822F40"/>
    <w:rsid w:val="00823131"/>
    <w:rsid w:val="008231B1"/>
    <w:rsid w:val="0082322C"/>
    <w:rsid w:val="008232ED"/>
    <w:rsid w:val="008233D5"/>
    <w:rsid w:val="0082348D"/>
    <w:rsid w:val="00823495"/>
    <w:rsid w:val="008235BC"/>
    <w:rsid w:val="008235CF"/>
    <w:rsid w:val="008237AC"/>
    <w:rsid w:val="008237B3"/>
    <w:rsid w:val="00823831"/>
    <w:rsid w:val="008239C3"/>
    <w:rsid w:val="00823A0A"/>
    <w:rsid w:val="00823A7C"/>
    <w:rsid w:val="00823AE6"/>
    <w:rsid w:val="00823B44"/>
    <w:rsid w:val="00823BC4"/>
    <w:rsid w:val="00823BE0"/>
    <w:rsid w:val="00823C19"/>
    <w:rsid w:val="00823E19"/>
    <w:rsid w:val="00824076"/>
    <w:rsid w:val="008240CA"/>
    <w:rsid w:val="00824127"/>
    <w:rsid w:val="008241B8"/>
    <w:rsid w:val="00824203"/>
    <w:rsid w:val="008243EA"/>
    <w:rsid w:val="00824498"/>
    <w:rsid w:val="008244BA"/>
    <w:rsid w:val="008244D0"/>
    <w:rsid w:val="008244D3"/>
    <w:rsid w:val="00824512"/>
    <w:rsid w:val="0082452F"/>
    <w:rsid w:val="008245AA"/>
    <w:rsid w:val="0082477A"/>
    <w:rsid w:val="008247A5"/>
    <w:rsid w:val="008247DA"/>
    <w:rsid w:val="008247EC"/>
    <w:rsid w:val="00824808"/>
    <w:rsid w:val="00824848"/>
    <w:rsid w:val="00824865"/>
    <w:rsid w:val="008248DB"/>
    <w:rsid w:val="00824A4D"/>
    <w:rsid w:val="00824BCD"/>
    <w:rsid w:val="00824C2C"/>
    <w:rsid w:val="00824CF2"/>
    <w:rsid w:val="00824D4D"/>
    <w:rsid w:val="00824DD8"/>
    <w:rsid w:val="00824DF7"/>
    <w:rsid w:val="00824E11"/>
    <w:rsid w:val="00824E55"/>
    <w:rsid w:val="00824E67"/>
    <w:rsid w:val="00824EE3"/>
    <w:rsid w:val="00824F35"/>
    <w:rsid w:val="008251B8"/>
    <w:rsid w:val="00825205"/>
    <w:rsid w:val="008252B4"/>
    <w:rsid w:val="008252C7"/>
    <w:rsid w:val="008252ED"/>
    <w:rsid w:val="00825317"/>
    <w:rsid w:val="0082544D"/>
    <w:rsid w:val="00825579"/>
    <w:rsid w:val="00825582"/>
    <w:rsid w:val="00825683"/>
    <w:rsid w:val="00825703"/>
    <w:rsid w:val="00825786"/>
    <w:rsid w:val="008258F4"/>
    <w:rsid w:val="00825977"/>
    <w:rsid w:val="00825995"/>
    <w:rsid w:val="008259D1"/>
    <w:rsid w:val="00825A7A"/>
    <w:rsid w:val="00825B05"/>
    <w:rsid w:val="00825B08"/>
    <w:rsid w:val="00825C5A"/>
    <w:rsid w:val="00825C99"/>
    <w:rsid w:val="00825C9C"/>
    <w:rsid w:val="00825F9D"/>
    <w:rsid w:val="0082613E"/>
    <w:rsid w:val="008261E9"/>
    <w:rsid w:val="00826231"/>
    <w:rsid w:val="0082630A"/>
    <w:rsid w:val="0082662C"/>
    <w:rsid w:val="0082664B"/>
    <w:rsid w:val="00826766"/>
    <w:rsid w:val="008268AB"/>
    <w:rsid w:val="008269CA"/>
    <w:rsid w:val="00826ACB"/>
    <w:rsid w:val="00826AE2"/>
    <w:rsid w:val="00826AF0"/>
    <w:rsid w:val="00826AFA"/>
    <w:rsid w:val="00826B16"/>
    <w:rsid w:val="00826C21"/>
    <w:rsid w:val="00826C61"/>
    <w:rsid w:val="00826C9D"/>
    <w:rsid w:val="00826D70"/>
    <w:rsid w:val="00826D83"/>
    <w:rsid w:val="00826FCD"/>
    <w:rsid w:val="00826FD7"/>
    <w:rsid w:val="008270C4"/>
    <w:rsid w:val="008270CC"/>
    <w:rsid w:val="0082716F"/>
    <w:rsid w:val="00827189"/>
    <w:rsid w:val="0082721B"/>
    <w:rsid w:val="0082722F"/>
    <w:rsid w:val="0082723D"/>
    <w:rsid w:val="008272FB"/>
    <w:rsid w:val="00827382"/>
    <w:rsid w:val="00827467"/>
    <w:rsid w:val="00827484"/>
    <w:rsid w:val="008275A0"/>
    <w:rsid w:val="008275A1"/>
    <w:rsid w:val="008275B1"/>
    <w:rsid w:val="008275E3"/>
    <w:rsid w:val="008275E4"/>
    <w:rsid w:val="008275F8"/>
    <w:rsid w:val="0082760D"/>
    <w:rsid w:val="00827660"/>
    <w:rsid w:val="00827663"/>
    <w:rsid w:val="0082769A"/>
    <w:rsid w:val="0082791B"/>
    <w:rsid w:val="008279F5"/>
    <w:rsid w:val="00827A52"/>
    <w:rsid w:val="00827BDF"/>
    <w:rsid w:val="00827C5D"/>
    <w:rsid w:val="00827F51"/>
    <w:rsid w:val="0082CE20"/>
    <w:rsid w:val="008300B1"/>
    <w:rsid w:val="008300F5"/>
    <w:rsid w:val="008301EF"/>
    <w:rsid w:val="00830406"/>
    <w:rsid w:val="0083042A"/>
    <w:rsid w:val="0083047A"/>
    <w:rsid w:val="00830635"/>
    <w:rsid w:val="0083066D"/>
    <w:rsid w:val="0083069C"/>
    <w:rsid w:val="0083069D"/>
    <w:rsid w:val="008306BC"/>
    <w:rsid w:val="00830815"/>
    <w:rsid w:val="0083085E"/>
    <w:rsid w:val="00830892"/>
    <w:rsid w:val="008308A2"/>
    <w:rsid w:val="00830954"/>
    <w:rsid w:val="00830A5B"/>
    <w:rsid w:val="00830A78"/>
    <w:rsid w:val="00830A84"/>
    <w:rsid w:val="00830A91"/>
    <w:rsid w:val="00830AEC"/>
    <w:rsid w:val="00830B40"/>
    <w:rsid w:val="00830C0B"/>
    <w:rsid w:val="00830CC1"/>
    <w:rsid w:val="00830D2F"/>
    <w:rsid w:val="00830D75"/>
    <w:rsid w:val="00830F4D"/>
    <w:rsid w:val="00830FC8"/>
    <w:rsid w:val="00830FF9"/>
    <w:rsid w:val="00831003"/>
    <w:rsid w:val="0083108D"/>
    <w:rsid w:val="0083118E"/>
    <w:rsid w:val="008311CB"/>
    <w:rsid w:val="00831220"/>
    <w:rsid w:val="00831346"/>
    <w:rsid w:val="00831447"/>
    <w:rsid w:val="008314E5"/>
    <w:rsid w:val="008315E6"/>
    <w:rsid w:val="0083161D"/>
    <w:rsid w:val="00831693"/>
    <w:rsid w:val="0083178A"/>
    <w:rsid w:val="0083178D"/>
    <w:rsid w:val="00831796"/>
    <w:rsid w:val="008317EA"/>
    <w:rsid w:val="00831916"/>
    <w:rsid w:val="008319B2"/>
    <w:rsid w:val="008319BA"/>
    <w:rsid w:val="00831A3A"/>
    <w:rsid w:val="00831A9E"/>
    <w:rsid w:val="00831ACA"/>
    <w:rsid w:val="00831AF8"/>
    <w:rsid w:val="00831B5B"/>
    <w:rsid w:val="00831C48"/>
    <w:rsid w:val="00831DB7"/>
    <w:rsid w:val="00831DC8"/>
    <w:rsid w:val="00831F0B"/>
    <w:rsid w:val="00831F70"/>
    <w:rsid w:val="0083203B"/>
    <w:rsid w:val="008320A4"/>
    <w:rsid w:val="008321D9"/>
    <w:rsid w:val="0083222E"/>
    <w:rsid w:val="008322CC"/>
    <w:rsid w:val="0083243B"/>
    <w:rsid w:val="00832468"/>
    <w:rsid w:val="00832482"/>
    <w:rsid w:val="008324C0"/>
    <w:rsid w:val="008324F0"/>
    <w:rsid w:val="00832716"/>
    <w:rsid w:val="00832877"/>
    <w:rsid w:val="008328C4"/>
    <w:rsid w:val="0083295E"/>
    <w:rsid w:val="00832A01"/>
    <w:rsid w:val="00832A2F"/>
    <w:rsid w:val="00832A9C"/>
    <w:rsid w:val="00832AB3"/>
    <w:rsid w:val="00832B01"/>
    <w:rsid w:val="00832BA9"/>
    <w:rsid w:val="00832C11"/>
    <w:rsid w:val="00832C5C"/>
    <w:rsid w:val="00832C7D"/>
    <w:rsid w:val="00832D2C"/>
    <w:rsid w:val="00832D77"/>
    <w:rsid w:val="00832DDE"/>
    <w:rsid w:val="00832E66"/>
    <w:rsid w:val="00832E68"/>
    <w:rsid w:val="00832F59"/>
    <w:rsid w:val="00832FB8"/>
    <w:rsid w:val="00833067"/>
    <w:rsid w:val="008330C2"/>
    <w:rsid w:val="008330DD"/>
    <w:rsid w:val="00833110"/>
    <w:rsid w:val="0083320E"/>
    <w:rsid w:val="008332A0"/>
    <w:rsid w:val="0083338D"/>
    <w:rsid w:val="008333DB"/>
    <w:rsid w:val="008334AA"/>
    <w:rsid w:val="008334EB"/>
    <w:rsid w:val="0083350C"/>
    <w:rsid w:val="0083360E"/>
    <w:rsid w:val="0083369C"/>
    <w:rsid w:val="008336C5"/>
    <w:rsid w:val="0083377F"/>
    <w:rsid w:val="0083383B"/>
    <w:rsid w:val="00833982"/>
    <w:rsid w:val="0083399D"/>
    <w:rsid w:val="008339B6"/>
    <w:rsid w:val="00833A94"/>
    <w:rsid w:val="00833B9E"/>
    <w:rsid w:val="00833C33"/>
    <w:rsid w:val="00833C81"/>
    <w:rsid w:val="00833C88"/>
    <w:rsid w:val="00833D07"/>
    <w:rsid w:val="00833D39"/>
    <w:rsid w:val="00833D70"/>
    <w:rsid w:val="00833E49"/>
    <w:rsid w:val="00833EC0"/>
    <w:rsid w:val="00833ED2"/>
    <w:rsid w:val="00833F2D"/>
    <w:rsid w:val="00833F9E"/>
    <w:rsid w:val="00833FB8"/>
    <w:rsid w:val="00833FED"/>
    <w:rsid w:val="008340ED"/>
    <w:rsid w:val="0083421C"/>
    <w:rsid w:val="00834250"/>
    <w:rsid w:val="00834252"/>
    <w:rsid w:val="0083432A"/>
    <w:rsid w:val="008343A1"/>
    <w:rsid w:val="0083455E"/>
    <w:rsid w:val="00834654"/>
    <w:rsid w:val="0083467C"/>
    <w:rsid w:val="00834697"/>
    <w:rsid w:val="008346B3"/>
    <w:rsid w:val="008346FF"/>
    <w:rsid w:val="00834762"/>
    <w:rsid w:val="00834768"/>
    <w:rsid w:val="00834806"/>
    <w:rsid w:val="00834882"/>
    <w:rsid w:val="008348C9"/>
    <w:rsid w:val="00834933"/>
    <w:rsid w:val="00834A96"/>
    <w:rsid w:val="00834AC8"/>
    <w:rsid w:val="00834C63"/>
    <w:rsid w:val="00834C9A"/>
    <w:rsid w:val="00834CF7"/>
    <w:rsid w:val="00834D09"/>
    <w:rsid w:val="00834DB9"/>
    <w:rsid w:val="00834DDC"/>
    <w:rsid w:val="00834E04"/>
    <w:rsid w:val="00834E30"/>
    <w:rsid w:val="00834E54"/>
    <w:rsid w:val="00834EC6"/>
    <w:rsid w:val="00834F65"/>
    <w:rsid w:val="00834FA8"/>
    <w:rsid w:val="00834FE9"/>
    <w:rsid w:val="0083502C"/>
    <w:rsid w:val="00835094"/>
    <w:rsid w:val="008350A8"/>
    <w:rsid w:val="008350D8"/>
    <w:rsid w:val="00835103"/>
    <w:rsid w:val="0083511F"/>
    <w:rsid w:val="0083513F"/>
    <w:rsid w:val="0083515B"/>
    <w:rsid w:val="0083522D"/>
    <w:rsid w:val="0083529C"/>
    <w:rsid w:val="008352C9"/>
    <w:rsid w:val="008352DB"/>
    <w:rsid w:val="00835324"/>
    <w:rsid w:val="0083538D"/>
    <w:rsid w:val="008353C2"/>
    <w:rsid w:val="00835490"/>
    <w:rsid w:val="00835509"/>
    <w:rsid w:val="008355A7"/>
    <w:rsid w:val="0083565B"/>
    <w:rsid w:val="0083576B"/>
    <w:rsid w:val="00835854"/>
    <w:rsid w:val="00835860"/>
    <w:rsid w:val="0083593C"/>
    <w:rsid w:val="00835958"/>
    <w:rsid w:val="008359B5"/>
    <w:rsid w:val="00835AC3"/>
    <w:rsid w:val="00835B95"/>
    <w:rsid w:val="00835C4E"/>
    <w:rsid w:val="00835C51"/>
    <w:rsid w:val="00835C82"/>
    <w:rsid w:val="00835DF0"/>
    <w:rsid w:val="00835E38"/>
    <w:rsid w:val="00835EB3"/>
    <w:rsid w:val="00836076"/>
    <w:rsid w:val="008360E3"/>
    <w:rsid w:val="0083610A"/>
    <w:rsid w:val="0083621B"/>
    <w:rsid w:val="0083621E"/>
    <w:rsid w:val="008362B5"/>
    <w:rsid w:val="008363E6"/>
    <w:rsid w:val="008363F2"/>
    <w:rsid w:val="00836450"/>
    <w:rsid w:val="008365F5"/>
    <w:rsid w:val="00836670"/>
    <w:rsid w:val="008366D9"/>
    <w:rsid w:val="00836785"/>
    <w:rsid w:val="0083679E"/>
    <w:rsid w:val="008367BB"/>
    <w:rsid w:val="0083687E"/>
    <w:rsid w:val="008368B4"/>
    <w:rsid w:val="00836968"/>
    <w:rsid w:val="00836BEA"/>
    <w:rsid w:val="00836C4B"/>
    <w:rsid w:val="00836C76"/>
    <w:rsid w:val="00836CA6"/>
    <w:rsid w:val="00836CB5"/>
    <w:rsid w:val="00836DF6"/>
    <w:rsid w:val="00836E21"/>
    <w:rsid w:val="00836ECC"/>
    <w:rsid w:val="00836F01"/>
    <w:rsid w:val="00836F32"/>
    <w:rsid w:val="00836F39"/>
    <w:rsid w:val="00836F43"/>
    <w:rsid w:val="0083707B"/>
    <w:rsid w:val="0083708C"/>
    <w:rsid w:val="008370F6"/>
    <w:rsid w:val="00837124"/>
    <w:rsid w:val="008371A7"/>
    <w:rsid w:val="008372A5"/>
    <w:rsid w:val="0083730F"/>
    <w:rsid w:val="00837486"/>
    <w:rsid w:val="008374C7"/>
    <w:rsid w:val="008374CC"/>
    <w:rsid w:val="008374E0"/>
    <w:rsid w:val="00837500"/>
    <w:rsid w:val="00837728"/>
    <w:rsid w:val="00837794"/>
    <w:rsid w:val="00837808"/>
    <w:rsid w:val="0083781F"/>
    <w:rsid w:val="0083782E"/>
    <w:rsid w:val="00837860"/>
    <w:rsid w:val="00837999"/>
    <w:rsid w:val="00837AA9"/>
    <w:rsid w:val="00837C97"/>
    <w:rsid w:val="00837D74"/>
    <w:rsid w:val="00837D83"/>
    <w:rsid w:val="00837E3F"/>
    <w:rsid w:val="00837EA0"/>
    <w:rsid w:val="00837F19"/>
    <w:rsid w:val="00837F64"/>
    <w:rsid w:val="0084004B"/>
    <w:rsid w:val="008400CA"/>
    <w:rsid w:val="008401DC"/>
    <w:rsid w:val="008401E8"/>
    <w:rsid w:val="008402AA"/>
    <w:rsid w:val="00840328"/>
    <w:rsid w:val="00840379"/>
    <w:rsid w:val="00840438"/>
    <w:rsid w:val="0084047C"/>
    <w:rsid w:val="008405EE"/>
    <w:rsid w:val="00840610"/>
    <w:rsid w:val="0084061C"/>
    <w:rsid w:val="00840685"/>
    <w:rsid w:val="0084078F"/>
    <w:rsid w:val="008407E5"/>
    <w:rsid w:val="00840828"/>
    <w:rsid w:val="00840863"/>
    <w:rsid w:val="00840940"/>
    <w:rsid w:val="0084095F"/>
    <w:rsid w:val="00840973"/>
    <w:rsid w:val="00840979"/>
    <w:rsid w:val="00840980"/>
    <w:rsid w:val="008409F0"/>
    <w:rsid w:val="00840A30"/>
    <w:rsid w:val="00840A96"/>
    <w:rsid w:val="00840B7E"/>
    <w:rsid w:val="00840E0A"/>
    <w:rsid w:val="00840E89"/>
    <w:rsid w:val="00840FE3"/>
    <w:rsid w:val="0084104A"/>
    <w:rsid w:val="0084110F"/>
    <w:rsid w:val="008411FA"/>
    <w:rsid w:val="0084124B"/>
    <w:rsid w:val="0084126A"/>
    <w:rsid w:val="008412A4"/>
    <w:rsid w:val="008412B4"/>
    <w:rsid w:val="008412D4"/>
    <w:rsid w:val="008412DB"/>
    <w:rsid w:val="0084135A"/>
    <w:rsid w:val="0084136E"/>
    <w:rsid w:val="008413DE"/>
    <w:rsid w:val="008413FE"/>
    <w:rsid w:val="00841478"/>
    <w:rsid w:val="0084154F"/>
    <w:rsid w:val="00841662"/>
    <w:rsid w:val="00841731"/>
    <w:rsid w:val="00841742"/>
    <w:rsid w:val="00841808"/>
    <w:rsid w:val="00841838"/>
    <w:rsid w:val="008418AE"/>
    <w:rsid w:val="0084190F"/>
    <w:rsid w:val="00841B59"/>
    <w:rsid w:val="00841B95"/>
    <w:rsid w:val="00841C59"/>
    <w:rsid w:val="00841D07"/>
    <w:rsid w:val="00841D27"/>
    <w:rsid w:val="00841D36"/>
    <w:rsid w:val="00841D74"/>
    <w:rsid w:val="00841ECE"/>
    <w:rsid w:val="00841EE8"/>
    <w:rsid w:val="00841F79"/>
    <w:rsid w:val="00841F9F"/>
    <w:rsid w:val="00842012"/>
    <w:rsid w:val="008421BD"/>
    <w:rsid w:val="0084221A"/>
    <w:rsid w:val="0084234D"/>
    <w:rsid w:val="00842491"/>
    <w:rsid w:val="008424FF"/>
    <w:rsid w:val="00842604"/>
    <w:rsid w:val="00842614"/>
    <w:rsid w:val="008426BD"/>
    <w:rsid w:val="00842752"/>
    <w:rsid w:val="0084276D"/>
    <w:rsid w:val="008429A0"/>
    <w:rsid w:val="00842A58"/>
    <w:rsid w:val="00842AB8"/>
    <w:rsid w:val="00842B9D"/>
    <w:rsid w:val="00842BBA"/>
    <w:rsid w:val="00842BC1"/>
    <w:rsid w:val="00842C13"/>
    <w:rsid w:val="00842CA4"/>
    <w:rsid w:val="00842D78"/>
    <w:rsid w:val="00842E6F"/>
    <w:rsid w:val="00842E8E"/>
    <w:rsid w:val="00842EB1"/>
    <w:rsid w:val="00842F1D"/>
    <w:rsid w:val="00842F65"/>
    <w:rsid w:val="0084302D"/>
    <w:rsid w:val="008430B7"/>
    <w:rsid w:val="00843100"/>
    <w:rsid w:val="0084313B"/>
    <w:rsid w:val="0084316E"/>
    <w:rsid w:val="00843338"/>
    <w:rsid w:val="00843343"/>
    <w:rsid w:val="00843383"/>
    <w:rsid w:val="008433EA"/>
    <w:rsid w:val="008433FB"/>
    <w:rsid w:val="008434CD"/>
    <w:rsid w:val="0084355C"/>
    <w:rsid w:val="00843565"/>
    <w:rsid w:val="00843570"/>
    <w:rsid w:val="00843610"/>
    <w:rsid w:val="008436AF"/>
    <w:rsid w:val="00843915"/>
    <w:rsid w:val="008439B0"/>
    <w:rsid w:val="00843A1A"/>
    <w:rsid w:val="00843A44"/>
    <w:rsid w:val="00843AE3"/>
    <w:rsid w:val="00843B51"/>
    <w:rsid w:val="00843B6E"/>
    <w:rsid w:val="00843BFB"/>
    <w:rsid w:val="00843C3B"/>
    <w:rsid w:val="00843C43"/>
    <w:rsid w:val="00843C67"/>
    <w:rsid w:val="00843C93"/>
    <w:rsid w:val="00843CDC"/>
    <w:rsid w:val="00843D0A"/>
    <w:rsid w:val="00843D59"/>
    <w:rsid w:val="00843DDF"/>
    <w:rsid w:val="00843E3B"/>
    <w:rsid w:val="00843E48"/>
    <w:rsid w:val="00843E4A"/>
    <w:rsid w:val="00843E83"/>
    <w:rsid w:val="00843E9B"/>
    <w:rsid w:val="00844022"/>
    <w:rsid w:val="00844145"/>
    <w:rsid w:val="00844167"/>
    <w:rsid w:val="008441F2"/>
    <w:rsid w:val="0084421B"/>
    <w:rsid w:val="008442AB"/>
    <w:rsid w:val="008442C2"/>
    <w:rsid w:val="0084432C"/>
    <w:rsid w:val="008443FA"/>
    <w:rsid w:val="00844432"/>
    <w:rsid w:val="008444A1"/>
    <w:rsid w:val="008445BE"/>
    <w:rsid w:val="008446D6"/>
    <w:rsid w:val="00844705"/>
    <w:rsid w:val="0084470A"/>
    <w:rsid w:val="0084491A"/>
    <w:rsid w:val="0084491E"/>
    <w:rsid w:val="008449D2"/>
    <w:rsid w:val="008449FF"/>
    <w:rsid w:val="00844A0A"/>
    <w:rsid w:val="00844A2E"/>
    <w:rsid w:val="00844A88"/>
    <w:rsid w:val="00844B84"/>
    <w:rsid w:val="00844BA8"/>
    <w:rsid w:val="00844C22"/>
    <w:rsid w:val="00844C35"/>
    <w:rsid w:val="00844CFE"/>
    <w:rsid w:val="00844D20"/>
    <w:rsid w:val="00844EF2"/>
    <w:rsid w:val="00844EFB"/>
    <w:rsid w:val="00845062"/>
    <w:rsid w:val="00845090"/>
    <w:rsid w:val="00845500"/>
    <w:rsid w:val="0084550C"/>
    <w:rsid w:val="00845697"/>
    <w:rsid w:val="008456E0"/>
    <w:rsid w:val="008456E1"/>
    <w:rsid w:val="00845736"/>
    <w:rsid w:val="0084579C"/>
    <w:rsid w:val="008457B6"/>
    <w:rsid w:val="0084584F"/>
    <w:rsid w:val="00845929"/>
    <w:rsid w:val="00845A07"/>
    <w:rsid w:val="00845A96"/>
    <w:rsid w:val="00845C27"/>
    <w:rsid w:val="00845D4C"/>
    <w:rsid w:val="00845DC4"/>
    <w:rsid w:val="00845E2C"/>
    <w:rsid w:val="00845E4F"/>
    <w:rsid w:val="00845E51"/>
    <w:rsid w:val="00845EE4"/>
    <w:rsid w:val="00845F3E"/>
    <w:rsid w:val="00845FB9"/>
    <w:rsid w:val="00845FFB"/>
    <w:rsid w:val="0084601C"/>
    <w:rsid w:val="00846112"/>
    <w:rsid w:val="0084618F"/>
    <w:rsid w:val="008461CB"/>
    <w:rsid w:val="0084634A"/>
    <w:rsid w:val="008463D2"/>
    <w:rsid w:val="00846402"/>
    <w:rsid w:val="00846419"/>
    <w:rsid w:val="00846433"/>
    <w:rsid w:val="00846434"/>
    <w:rsid w:val="008465C6"/>
    <w:rsid w:val="008465D2"/>
    <w:rsid w:val="008465E1"/>
    <w:rsid w:val="008466A2"/>
    <w:rsid w:val="008466A3"/>
    <w:rsid w:val="00846713"/>
    <w:rsid w:val="0084674E"/>
    <w:rsid w:val="0084678D"/>
    <w:rsid w:val="00846858"/>
    <w:rsid w:val="008468E8"/>
    <w:rsid w:val="00846913"/>
    <w:rsid w:val="00846ABE"/>
    <w:rsid w:val="00846B06"/>
    <w:rsid w:val="00846BE4"/>
    <w:rsid w:val="00846C12"/>
    <w:rsid w:val="00846D59"/>
    <w:rsid w:val="00846DA2"/>
    <w:rsid w:val="00846E3C"/>
    <w:rsid w:val="00846E4D"/>
    <w:rsid w:val="00846E88"/>
    <w:rsid w:val="00846EB8"/>
    <w:rsid w:val="00846EDB"/>
    <w:rsid w:val="0084716F"/>
    <w:rsid w:val="00847314"/>
    <w:rsid w:val="0084731C"/>
    <w:rsid w:val="00847405"/>
    <w:rsid w:val="0084744C"/>
    <w:rsid w:val="00847483"/>
    <w:rsid w:val="008474F4"/>
    <w:rsid w:val="00847572"/>
    <w:rsid w:val="00847683"/>
    <w:rsid w:val="008477FC"/>
    <w:rsid w:val="0084789F"/>
    <w:rsid w:val="0084794E"/>
    <w:rsid w:val="0084798C"/>
    <w:rsid w:val="008479BD"/>
    <w:rsid w:val="00847B5C"/>
    <w:rsid w:val="00847B64"/>
    <w:rsid w:val="00847BA7"/>
    <w:rsid w:val="00847BA9"/>
    <w:rsid w:val="00847DE3"/>
    <w:rsid w:val="00847E2F"/>
    <w:rsid w:val="00847EA4"/>
    <w:rsid w:val="00847F77"/>
    <w:rsid w:val="00847FE3"/>
    <w:rsid w:val="00850018"/>
    <w:rsid w:val="00850023"/>
    <w:rsid w:val="00850041"/>
    <w:rsid w:val="00850109"/>
    <w:rsid w:val="008501E6"/>
    <w:rsid w:val="0085020F"/>
    <w:rsid w:val="0085028A"/>
    <w:rsid w:val="008503B7"/>
    <w:rsid w:val="00850491"/>
    <w:rsid w:val="008504DC"/>
    <w:rsid w:val="00850583"/>
    <w:rsid w:val="008505F5"/>
    <w:rsid w:val="00850657"/>
    <w:rsid w:val="0085065D"/>
    <w:rsid w:val="00850693"/>
    <w:rsid w:val="008506AB"/>
    <w:rsid w:val="0085076A"/>
    <w:rsid w:val="008507B2"/>
    <w:rsid w:val="00850834"/>
    <w:rsid w:val="008509DB"/>
    <w:rsid w:val="008509FE"/>
    <w:rsid w:val="00850A8B"/>
    <w:rsid w:val="00850AED"/>
    <w:rsid w:val="00850BD7"/>
    <w:rsid w:val="00850BF0"/>
    <w:rsid w:val="00850C3C"/>
    <w:rsid w:val="00850C49"/>
    <w:rsid w:val="00850D07"/>
    <w:rsid w:val="00850D16"/>
    <w:rsid w:val="00850D45"/>
    <w:rsid w:val="00850DE4"/>
    <w:rsid w:val="00850DE7"/>
    <w:rsid w:val="00850FF6"/>
    <w:rsid w:val="0085106F"/>
    <w:rsid w:val="00851074"/>
    <w:rsid w:val="00851075"/>
    <w:rsid w:val="008510A7"/>
    <w:rsid w:val="008510C5"/>
    <w:rsid w:val="008510CD"/>
    <w:rsid w:val="008511CF"/>
    <w:rsid w:val="00851228"/>
    <w:rsid w:val="00851278"/>
    <w:rsid w:val="00851285"/>
    <w:rsid w:val="00851316"/>
    <w:rsid w:val="008513B6"/>
    <w:rsid w:val="00851405"/>
    <w:rsid w:val="0085143E"/>
    <w:rsid w:val="00851450"/>
    <w:rsid w:val="0085147E"/>
    <w:rsid w:val="0085152E"/>
    <w:rsid w:val="008515BE"/>
    <w:rsid w:val="00851680"/>
    <w:rsid w:val="00851694"/>
    <w:rsid w:val="0085169C"/>
    <w:rsid w:val="0085172D"/>
    <w:rsid w:val="00851992"/>
    <w:rsid w:val="008519EB"/>
    <w:rsid w:val="00851A0C"/>
    <w:rsid w:val="00851A1B"/>
    <w:rsid w:val="00851AB8"/>
    <w:rsid w:val="00851B31"/>
    <w:rsid w:val="00851B38"/>
    <w:rsid w:val="00851BD8"/>
    <w:rsid w:val="00851C15"/>
    <w:rsid w:val="00851C70"/>
    <w:rsid w:val="00851CBF"/>
    <w:rsid w:val="00851D9E"/>
    <w:rsid w:val="00851E43"/>
    <w:rsid w:val="00851EAD"/>
    <w:rsid w:val="00851ED6"/>
    <w:rsid w:val="00851F04"/>
    <w:rsid w:val="00851F47"/>
    <w:rsid w:val="00851F6E"/>
    <w:rsid w:val="00852047"/>
    <w:rsid w:val="008520D9"/>
    <w:rsid w:val="00852277"/>
    <w:rsid w:val="00852290"/>
    <w:rsid w:val="008522A3"/>
    <w:rsid w:val="0085236F"/>
    <w:rsid w:val="0085238F"/>
    <w:rsid w:val="0085245D"/>
    <w:rsid w:val="0085247C"/>
    <w:rsid w:val="00852763"/>
    <w:rsid w:val="00852853"/>
    <w:rsid w:val="00852AD0"/>
    <w:rsid w:val="00852B81"/>
    <w:rsid w:val="00852BA1"/>
    <w:rsid w:val="00852C47"/>
    <w:rsid w:val="00852D90"/>
    <w:rsid w:val="00852EAD"/>
    <w:rsid w:val="00852F2D"/>
    <w:rsid w:val="00852F6C"/>
    <w:rsid w:val="00852F7B"/>
    <w:rsid w:val="00853016"/>
    <w:rsid w:val="008530E2"/>
    <w:rsid w:val="008530F7"/>
    <w:rsid w:val="00853182"/>
    <w:rsid w:val="008531AA"/>
    <w:rsid w:val="00853293"/>
    <w:rsid w:val="00853300"/>
    <w:rsid w:val="00853318"/>
    <w:rsid w:val="00853394"/>
    <w:rsid w:val="008533C5"/>
    <w:rsid w:val="00853400"/>
    <w:rsid w:val="00853460"/>
    <w:rsid w:val="0085354B"/>
    <w:rsid w:val="0085355B"/>
    <w:rsid w:val="008535DD"/>
    <w:rsid w:val="0085367A"/>
    <w:rsid w:val="00853719"/>
    <w:rsid w:val="00853816"/>
    <w:rsid w:val="00853831"/>
    <w:rsid w:val="00853868"/>
    <w:rsid w:val="008538B5"/>
    <w:rsid w:val="008538E7"/>
    <w:rsid w:val="0085390E"/>
    <w:rsid w:val="008539E5"/>
    <w:rsid w:val="008539F6"/>
    <w:rsid w:val="00853A55"/>
    <w:rsid w:val="00853A60"/>
    <w:rsid w:val="00853A6A"/>
    <w:rsid w:val="00853AB6"/>
    <w:rsid w:val="00853ADD"/>
    <w:rsid w:val="00853B16"/>
    <w:rsid w:val="00853BBA"/>
    <w:rsid w:val="00853BD2"/>
    <w:rsid w:val="00853D1B"/>
    <w:rsid w:val="00853D2A"/>
    <w:rsid w:val="00853F5D"/>
    <w:rsid w:val="00853F8F"/>
    <w:rsid w:val="00854045"/>
    <w:rsid w:val="00854071"/>
    <w:rsid w:val="00854079"/>
    <w:rsid w:val="008540F2"/>
    <w:rsid w:val="008541A4"/>
    <w:rsid w:val="00854352"/>
    <w:rsid w:val="0085438C"/>
    <w:rsid w:val="008543C3"/>
    <w:rsid w:val="008543DB"/>
    <w:rsid w:val="008544A9"/>
    <w:rsid w:val="00854601"/>
    <w:rsid w:val="00854771"/>
    <w:rsid w:val="00854AD6"/>
    <w:rsid w:val="00854ADC"/>
    <w:rsid w:val="00854CBC"/>
    <w:rsid w:val="00854CE9"/>
    <w:rsid w:val="00854D1F"/>
    <w:rsid w:val="00854E68"/>
    <w:rsid w:val="008550F4"/>
    <w:rsid w:val="0085510A"/>
    <w:rsid w:val="00855121"/>
    <w:rsid w:val="0085517A"/>
    <w:rsid w:val="0085520A"/>
    <w:rsid w:val="00855255"/>
    <w:rsid w:val="008552E8"/>
    <w:rsid w:val="008552FE"/>
    <w:rsid w:val="00855358"/>
    <w:rsid w:val="008553DD"/>
    <w:rsid w:val="00855441"/>
    <w:rsid w:val="0085553E"/>
    <w:rsid w:val="00855626"/>
    <w:rsid w:val="0085566A"/>
    <w:rsid w:val="0085566F"/>
    <w:rsid w:val="0085568E"/>
    <w:rsid w:val="008556B6"/>
    <w:rsid w:val="008556FF"/>
    <w:rsid w:val="0085579D"/>
    <w:rsid w:val="00855870"/>
    <w:rsid w:val="008558F5"/>
    <w:rsid w:val="0085592E"/>
    <w:rsid w:val="008559AC"/>
    <w:rsid w:val="008559EF"/>
    <w:rsid w:val="00855BB9"/>
    <w:rsid w:val="00855C78"/>
    <w:rsid w:val="00855CBB"/>
    <w:rsid w:val="00855E7D"/>
    <w:rsid w:val="00855EEA"/>
    <w:rsid w:val="00855F39"/>
    <w:rsid w:val="0085609A"/>
    <w:rsid w:val="00856154"/>
    <w:rsid w:val="0085622C"/>
    <w:rsid w:val="00856343"/>
    <w:rsid w:val="008563A7"/>
    <w:rsid w:val="008563E1"/>
    <w:rsid w:val="008563FA"/>
    <w:rsid w:val="0085641F"/>
    <w:rsid w:val="008564A8"/>
    <w:rsid w:val="00856536"/>
    <w:rsid w:val="0085653A"/>
    <w:rsid w:val="008565F8"/>
    <w:rsid w:val="008565FF"/>
    <w:rsid w:val="00856616"/>
    <w:rsid w:val="00856653"/>
    <w:rsid w:val="008566E4"/>
    <w:rsid w:val="00856718"/>
    <w:rsid w:val="0085672E"/>
    <w:rsid w:val="00856730"/>
    <w:rsid w:val="00856767"/>
    <w:rsid w:val="00856820"/>
    <w:rsid w:val="0085695C"/>
    <w:rsid w:val="00856969"/>
    <w:rsid w:val="00856C25"/>
    <w:rsid w:val="00856CD4"/>
    <w:rsid w:val="00856EDE"/>
    <w:rsid w:val="00856EF2"/>
    <w:rsid w:val="00856F24"/>
    <w:rsid w:val="00856F3F"/>
    <w:rsid w:val="0085727C"/>
    <w:rsid w:val="008573DA"/>
    <w:rsid w:val="008573EF"/>
    <w:rsid w:val="0085745E"/>
    <w:rsid w:val="008574A8"/>
    <w:rsid w:val="008574F0"/>
    <w:rsid w:val="0085753F"/>
    <w:rsid w:val="008575A2"/>
    <w:rsid w:val="008575B8"/>
    <w:rsid w:val="008575E0"/>
    <w:rsid w:val="008575F4"/>
    <w:rsid w:val="00857648"/>
    <w:rsid w:val="0085768E"/>
    <w:rsid w:val="0085775B"/>
    <w:rsid w:val="00857872"/>
    <w:rsid w:val="0085787A"/>
    <w:rsid w:val="0085789B"/>
    <w:rsid w:val="0085792F"/>
    <w:rsid w:val="00857962"/>
    <w:rsid w:val="0085796B"/>
    <w:rsid w:val="008579FB"/>
    <w:rsid w:val="00857AE5"/>
    <w:rsid w:val="00857B16"/>
    <w:rsid w:val="00857B88"/>
    <w:rsid w:val="00857C9F"/>
    <w:rsid w:val="00857D7E"/>
    <w:rsid w:val="00857DFD"/>
    <w:rsid w:val="00857E99"/>
    <w:rsid w:val="00857F02"/>
    <w:rsid w:val="00857F56"/>
    <w:rsid w:val="00857F71"/>
    <w:rsid w:val="00857F99"/>
    <w:rsid w:val="00857FE0"/>
    <w:rsid w:val="0086007A"/>
    <w:rsid w:val="00860098"/>
    <w:rsid w:val="008600F0"/>
    <w:rsid w:val="00860102"/>
    <w:rsid w:val="00860112"/>
    <w:rsid w:val="00860167"/>
    <w:rsid w:val="008601BE"/>
    <w:rsid w:val="0086020A"/>
    <w:rsid w:val="00860214"/>
    <w:rsid w:val="0086033E"/>
    <w:rsid w:val="0086036C"/>
    <w:rsid w:val="0086044B"/>
    <w:rsid w:val="0086047D"/>
    <w:rsid w:val="0086068F"/>
    <w:rsid w:val="0086073E"/>
    <w:rsid w:val="008607B2"/>
    <w:rsid w:val="00860839"/>
    <w:rsid w:val="00860A2F"/>
    <w:rsid w:val="00860B1A"/>
    <w:rsid w:val="00860B9C"/>
    <w:rsid w:val="00860C10"/>
    <w:rsid w:val="00860CF1"/>
    <w:rsid w:val="00860D26"/>
    <w:rsid w:val="00860D77"/>
    <w:rsid w:val="00860E95"/>
    <w:rsid w:val="00860EDC"/>
    <w:rsid w:val="00860EDE"/>
    <w:rsid w:val="00860F8D"/>
    <w:rsid w:val="00860FF9"/>
    <w:rsid w:val="0086113A"/>
    <w:rsid w:val="00861199"/>
    <w:rsid w:val="008611B3"/>
    <w:rsid w:val="00861289"/>
    <w:rsid w:val="0086144A"/>
    <w:rsid w:val="008614C2"/>
    <w:rsid w:val="00861652"/>
    <w:rsid w:val="0086165B"/>
    <w:rsid w:val="00861682"/>
    <w:rsid w:val="008616E5"/>
    <w:rsid w:val="0086192B"/>
    <w:rsid w:val="008619B3"/>
    <w:rsid w:val="00861AAC"/>
    <w:rsid w:val="00861BEB"/>
    <w:rsid w:val="00861C24"/>
    <w:rsid w:val="00861CCC"/>
    <w:rsid w:val="00861D7D"/>
    <w:rsid w:val="00861EE9"/>
    <w:rsid w:val="00861F28"/>
    <w:rsid w:val="00861FB9"/>
    <w:rsid w:val="00861FF9"/>
    <w:rsid w:val="00861FFF"/>
    <w:rsid w:val="008620D4"/>
    <w:rsid w:val="008621AD"/>
    <w:rsid w:val="008621C0"/>
    <w:rsid w:val="00862270"/>
    <w:rsid w:val="00862297"/>
    <w:rsid w:val="008622C4"/>
    <w:rsid w:val="008623DC"/>
    <w:rsid w:val="0086250C"/>
    <w:rsid w:val="0086266C"/>
    <w:rsid w:val="00862690"/>
    <w:rsid w:val="008626B8"/>
    <w:rsid w:val="008626E9"/>
    <w:rsid w:val="0086280F"/>
    <w:rsid w:val="00862838"/>
    <w:rsid w:val="00862841"/>
    <w:rsid w:val="008628C2"/>
    <w:rsid w:val="00862923"/>
    <w:rsid w:val="008629B6"/>
    <w:rsid w:val="00862A65"/>
    <w:rsid w:val="00862A88"/>
    <w:rsid w:val="00862A8F"/>
    <w:rsid w:val="00862BCB"/>
    <w:rsid w:val="00862C72"/>
    <w:rsid w:val="00862D3E"/>
    <w:rsid w:val="00862D53"/>
    <w:rsid w:val="00862D5C"/>
    <w:rsid w:val="00862DBD"/>
    <w:rsid w:val="00862DC3"/>
    <w:rsid w:val="0086304E"/>
    <w:rsid w:val="008632D5"/>
    <w:rsid w:val="008633B6"/>
    <w:rsid w:val="008633D5"/>
    <w:rsid w:val="00863432"/>
    <w:rsid w:val="0086343B"/>
    <w:rsid w:val="008634C7"/>
    <w:rsid w:val="008634E9"/>
    <w:rsid w:val="00863554"/>
    <w:rsid w:val="0086359B"/>
    <w:rsid w:val="008635CA"/>
    <w:rsid w:val="00863630"/>
    <w:rsid w:val="00863632"/>
    <w:rsid w:val="0086363E"/>
    <w:rsid w:val="0086364F"/>
    <w:rsid w:val="00863701"/>
    <w:rsid w:val="00863754"/>
    <w:rsid w:val="00863755"/>
    <w:rsid w:val="0086378D"/>
    <w:rsid w:val="008637A8"/>
    <w:rsid w:val="00863855"/>
    <w:rsid w:val="00863891"/>
    <w:rsid w:val="008638B0"/>
    <w:rsid w:val="00863997"/>
    <w:rsid w:val="00863A93"/>
    <w:rsid w:val="00863B0B"/>
    <w:rsid w:val="00863B3B"/>
    <w:rsid w:val="00863B52"/>
    <w:rsid w:val="00863B54"/>
    <w:rsid w:val="00863CDD"/>
    <w:rsid w:val="00863D87"/>
    <w:rsid w:val="00863DBD"/>
    <w:rsid w:val="00863E64"/>
    <w:rsid w:val="00863F87"/>
    <w:rsid w:val="00864018"/>
    <w:rsid w:val="00864035"/>
    <w:rsid w:val="00864057"/>
    <w:rsid w:val="00864105"/>
    <w:rsid w:val="0086415C"/>
    <w:rsid w:val="008641B3"/>
    <w:rsid w:val="008641B7"/>
    <w:rsid w:val="008641B8"/>
    <w:rsid w:val="008641E1"/>
    <w:rsid w:val="00864243"/>
    <w:rsid w:val="008642CC"/>
    <w:rsid w:val="00864360"/>
    <w:rsid w:val="0086447A"/>
    <w:rsid w:val="00864525"/>
    <w:rsid w:val="008645E5"/>
    <w:rsid w:val="00864797"/>
    <w:rsid w:val="0086486A"/>
    <w:rsid w:val="00864885"/>
    <w:rsid w:val="00864956"/>
    <w:rsid w:val="00864963"/>
    <w:rsid w:val="008649CB"/>
    <w:rsid w:val="008649DE"/>
    <w:rsid w:val="00864A16"/>
    <w:rsid w:val="00864AEB"/>
    <w:rsid w:val="00864B9B"/>
    <w:rsid w:val="00864C1C"/>
    <w:rsid w:val="00864C72"/>
    <w:rsid w:val="00864C88"/>
    <w:rsid w:val="00864C95"/>
    <w:rsid w:val="00864CF6"/>
    <w:rsid w:val="00864E64"/>
    <w:rsid w:val="00864E73"/>
    <w:rsid w:val="00864EB9"/>
    <w:rsid w:val="00865191"/>
    <w:rsid w:val="00865218"/>
    <w:rsid w:val="00865345"/>
    <w:rsid w:val="00865412"/>
    <w:rsid w:val="0086557B"/>
    <w:rsid w:val="00865584"/>
    <w:rsid w:val="00865615"/>
    <w:rsid w:val="00865722"/>
    <w:rsid w:val="0086577D"/>
    <w:rsid w:val="00865789"/>
    <w:rsid w:val="00865940"/>
    <w:rsid w:val="008659A0"/>
    <w:rsid w:val="00865A9E"/>
    <w:rsid w:val="00865BB2"/>
    <w:rsid w:val="00865C41"/>
    <w:rsid w:val="00865CC7"/>
    <w:rsid w:val="00865D60"/>
    <w:rsid w:val="00865DD1"/>
    <w:rsid w:val="00865F3F"/>
    <w:rsid w:val="00865F4F"/>
    <w:rsid w:val="00866093"/>
    <w:rsid w:val="00866107"/>
    <w:rsid w:val="00866209"/>
    <w:rsid w:val="00866268"/>
    <w:rsid w:val="00866284"/>
    <w:rsid w:val="008662FC"/>
    <w:rsid w:val="008663CE"/>
    <w:rsid w:val="0086646C"/>
    <w:rsid w:val="00866521"/>
    <w:rsid w:val="00866529"/>
    <w:rsid w:val="008665BE"/>
    <w:rsid w:val="0086666A"/>
    <w:rsid w:val="0086666C"/>
    <w:rsid w:val="0086691A"/>
    <w:rsid w:val="00866998"/>
    <w:rsid w:val="008669F0"/>
    <w:rsid w:val="008669F3"/>
    <w:rsid w:val="00866A22"/>
    <w:rsid w:val="00866A38"/>
    <w:rsid w:val="00866A7E"/>
    <w:rsid w:val="00866BFF"/>
    <w:rsid w:val="00866C46"/>
    <w:rsid w:val="00866C72"/>
    <w:rsid w:val="00866D15"/>
    <w:rsid w:val="00866DFE"/>
    <w:rsid w:val="00866E3E"/>
    <w:rsid w:val="00866E67"/>
    <w:rsid w:val="00866ED9"/>
    <w:rsid w:val="00866F86"/>
    <w:rsid w:val="00867077"/>
    <w:rsid w:val="008670D2"/>
    <w:rsid w:val="00867169"/>
    <w:rsid w:val="008671C4"/>
    <w:rsid w:val="00867221"/>
    <w:rsid w:val="0086722E"/>
    <w:rsid w:val="008672C5"/>
    <w:rsid w:val="00867423"/>
    <w:rsid w:val="00867426"/>
    <w:rsid w:val="00867455"/>
    <w:rsid w:val="0086755D"/>
    <w:rsid w:val="0086757A"/>
    <w:rsid w:val="00867684"/>
    <w:rsid w:val="008676CA"/>
    <w:rsid w:val="008677B2"/>
    <w:rsid w:val="008677EC"/>
    <w:rsid w:val="00867914"/>
    <w:rsid w:val="00867981"/>
    <w:rsid w:val="008679F4"/>
    <w:rsid w:val="00867AA1"/>
    <w:rsid w:val="00867B18"/>
    <w:rsid w:val="00867B3C"/>
    <w:rsid w:val="00867B62"/>
    <w:rsid w:val="00867F16"/>
    <w:rsid w:val="00867F5D"/>
    <w:rsid w:val="00867FBF"/>
    <w:rsid w:val="00867FDA"/>
    <w:rsid w:val="00867FE5"/>
    <w:rsid w:val="008700EF"/>
    <w:rsid w:val="00870311"/>
    <w:rsid w:val="0087037F"/>
    <w:rsid w:val="00870391"/>
    <w:rsid w:val="0087058A"/>
    <w:rsid w:val="00870688"/>
    <w:rsid w:val="008706C8"/>
    <w:rsid w:val="00870701"/>
    <w:rsid w:val="00870729"/>
    <w:rsid w:val="00870912"/>
    <w:rsid w:val="00870A19"/>
    <w:rsid w:val="00870B03"/>
    <w:rsid w:val="00870BF1"/>
    <w:rsid w:val="00870C75"/>
    <w:rsid w:val="00870C99"/>
    <w:rsid w:val="00870CAA"/>
    <w:rsid w:val="00870D36"/>
    <w:rsid w:val="00870DC5"/>
    <w:rsid w:val="00870EA0"/>
    <w:rsid w:val="00870F4D"/>
    <w:rsid w:val="00870FAF"/>
    <w:rsid w:val="00870FFD"/>
    <w:rsid w:val="00871026"/>
    <w:rsid w:val="00871033"/>
    <w:rsid w:val="0087109B"/>
    <w:rsid w:val="008710D8"/>
    <w:rsid w:val="008712E7"/>
    <w:rsid w:val="008716FB"/>
    <w:rsid w:val="00871843"/>
    <w:rsid w:val="00871854"/>
    <w:rsid w:val="008718F1"/>
    <w:rsid w:val="00871968"/>
    <w:rsid w:val="00871A3A"/>
    <w:rsid w:val="00871A83"/>
    <w:rsid w:val="00871B52"/>
    <w:rsid w:val="00871BBA"/>
    <w:rsid w:val="00871D9B"/>
    <w:rsid w:val="00871DA8"/>
    <w:rsid w:val="00871DBA"/>
    <w:rsid w:val="00871E46"/>
    <w:rsid w:val="00871E6A"/>
    <w:rsid w:val="00871E77"/>
    <w:rsid w:val="00871E9D"/>
    <w:rsid w:val="00871F08"/>
    <w:rsid w:val="00871F2C"/>
    <w:rsid w:val="00871F2E"/>
    <w:rsid w:val="0087206E"/>
    <w:rsid w:val="0087208F"/>
    <w:rsid w:val="0087218F"/>
    <w:rsid w:val="00872220"/>
    <w:rsid w:val="0087226B"/>
    <w:rsid w:val="00872312"/>
    <w:rsid w:val="00872344"/>
    <w:rsid w:val="0087240A"/>
    <w:rsid w:val="0087240D"/>
    <w:rsid w:val="0087241F"/>
    <w:rsid w:val="00872432"/>
    <w:rsid w:val="0087243A"/>
    <w:rsid w:val="00872659"/>
    <w:rsid w:val="0087266D"/>
    <w:rsid w:val="00872709"/>
    <w:rsid w:val="00872748"/>
    <w:rsid w:val="0087285D"/>
    <w:rsid w:val="00872871"/>
    <w:rsid w:val="00872B4E"/>
    <w:rsid w:val="00872BAD"/>
    <w:rsid w:val="00872C36"/>
    <w:rsid w:val="00872C91"/>
    <w:rsid w:val="00872CD8"/>
    <w:rsid w:val="00872D89"/>
    <w:rsid w:val="00872F23"/>
    <w:rsid w:val="00872F6D"/>
    <w:rsid w:val="00873070"/>
    <w:rsid w:val="00873095"/>
    <w:rsid w:val="00873146"/>
    <w:rsid w:val="00873187"/>
    <w:rsid w:val="0087323E"/>
    <w:rsid w:val="008732BE"/>
    <w:rsid w:val="008732D3"/>
    <w:rsid w:val="008732EF"/>
    <w:rsid w:val="008732FF"/>
    <w:rsid w:val="00873309"/>
    <w:rsid w:val="00873319"/>
    <w:rsid w:val="0087350D"/>
    <w:rsid w:val="00873520"/>
    <w:rsid w:val="00873529"/>
    <w:rsid w:val="0087355F"/>
    <w:rsid w:val="0087360F"/>
    <w:rsid w:val="0087372D"/>
    <w:rsid w:val="00873755"/>
    <w:rsid w:val="008737CD"/>
    <w:rsid w:val="00873858"/>
    <w:rsid w:val="008738C6"/>
    <w:rsid w:val="008738D1"/>
    <w:rsid w:val="008738F4"/>
    <w:rsid w:val="0087390C"/>
    <w:rsid w:val="00873976"/>
    <w:rsid w:val="008739CD"/>
    <w:rsid w:val="00873A28"/>
    <w:rsid w:val="00873A97"/>
    <w:rsid w:val="00873AB7"/>
    <w:rsid w:val="00873AC5"/>
    <w:rsid w:val="00873B53"/>
    <w:rsid w:val="00873C03"/>
    <w:rsid w:val="00873C48"/>
    <w:rsid w:val="00873C88"/>
    <w:rsid w:val="00873CFA"/>
    <w:rsid w:val="00873D2C"/>
    <w:rsid w:val="00873DBB"/>
    <w:rsid w:val="00873E6C"/>
    <w:rsid w:val="00873FE6"/>
    <w:rsid w:val="008740C8"/>
    <w:rsid w:val="00874175"/>
    <w:rsid w:val="00874265"/>
    <w:rsid w:val="0087433D"/>
    <w:rsid w:val="008745DD"/>
    <w:rsid w:val="008746CB"/>
    <w:rsid w:val="008746E8"/>
    <w:rsid w:val="00874793"/>
    <w:rsid w:val="0087481A"/>
    <w:rsid w:val="00874847"/>
    <w:rsid w:val="008748BD"/>
    <w:rsid w:val="00874A95"/>
    <w:rsid w:val="00874AB8"/>
    <w:rsid w:val="00874B61"/>
    <w:rsid w:val="00874BC1"/>
    <w:rsid w:val="00874BD5"/>
    <w:rsid w:val="00874C22"/>
    <w:rsid w:val="00874C3C"/>
    <w:rsid w:val="00874C6E"/>
    <w:rsid w:val="00874DEA"/>
    <w:rsid w:val="00874E7D"/>
    <w:rsid w:val="00874E8C"/>
    <w:rsid w:val="00874FA5"/>
    <w:rsid w:val="00874FD5"/>
    <w:rsid w:val="008750BE"/>
    <w:rsid w:val="0087510E"/>
    <w:rsid w:val="00875158"/>
    <w:rsid w:val="008751A7"/>
    <w:rsid w:val="008751B1"/>
    <w:rsid w:val="00875219"/>
    <w:rsid w:val="008752C5"/>
    <w:rsid w:val="008753CB"/>
    <w:rsid w:val="008753D7"/>
    <w:rsid w:val="008753E0"/>
    <w:rsid w:val="00875419"/>
    <w:rsid w:val="008754B6"/>
    <w:rsid w:val="008754DB"/>
    <w:rsid w:val="008755B0"/>
    <w:rsid w:val="008755F0"/>
    <w:rsid w:val="00875663"/>
    <w:rsid w:val="00875669"/>
    <w:rsid w:val="0087577E"/>
    <w:rsid w:val="00875851"/>
    <w:rsid w:val="00875897"/>
    <w:rsid w:val="008758E5"/>
    <w:rsid w:val="00875957"/>
    <w:rsid w:val="00875AC9"/>
    <w:rsid w:val="00875B07"/>
    <w:rsid w:val="00875B2F"/>
    <w:rsid w:val="00875C0D"/>
    <w:rsid w:val="00875C3E"/>
    <w:rsid w:val="00875C86"/>
    <w:rsid w:val="00875CD7"/>
    <w:rsid w:val="00875E8B"/>
    <w:rsid w:val="00876049"/>
    <w:rsid w:val="008761DC"/>
    <w:rsid w:val="00876248"/>
    <w:rsid w:val="0087624E"/>
    <w:rsid w:val="0087629C"/>
    <w:rsid w:val="008762D4"/>
    <w:rsid w:val="008763D2"/>
    <w:rsid w:val="008763DB"/>
    <w:rsid w:val="00876421"/>
    <w:rsid w:val="0087651B"/>
    <w:rsid w:val="0087655D"/>
    <w:rsid w:val="0087660F"/>
    <w:rsid w:val="0087669B"/>
    <w:rsid w:val="00876814"/>
    <w:rsid w:val="00876816"/>
    <w:rsid w:val="00876868"/>
    <w:rsid w:val="00876871"/>
    <w:rsid w:val="008769B8"/>
    <w:rsid w:val="008769F5"/>
    <w:rsid w:val="00876A18"/>
    <w:rsid w:val="00876A5C"/>
    <w:rsid w:val="00876AC7"/>
    <w:rsid w:val="00876AEF"/>
    <w:rsid w:val="00876C43"/>
    <w:rsid w:val="00876C81"/>
    <w:rsid w:val="00876CD6"/>
    <w:rsid w:val="00876DB7"/>
    <w:rsid w:val="00876E01"/>
    <w:rsid w:val="00876EE1"/>
    <w:rsid w:val="00876F36"/>
    <w:rsid w:val="00876F91"/>
    <w:rsid w:val="00876FC8"/>
    <w:rsid w:val="00876FD7"/>
    <w:rsid w:val="008770D8"/>
    <w:rsid w:val="00877212"/>
    <w:rsid w:val="0087733D"/>
    <w:rsid w:val="00877345"/>
    <w:rsid w:val="00877460"/>
    <w:rsid w:val="008774F4"/>
    <w:rsid w:val="00877645"/>
    <w:rsid w:val="00877745"/>
    <w:rsid w:val="00877770"/>
    <w:rsid w:val="008777AD"/>
    <w:rsid w:val="0087783D"/>
    <w:rsid w:val="00877872"/>
    <w:rsid w:val="00877928"/>
    <w:rsid w:val="008779D7"/>
    <w:rsid w:val="008779FE"/>
    <w:rsid w:val="00877AF0"/>
    <w:rsid w:val="00877AFC"/>
    <w:rsid w:val="00877B74"/>
    <w:rsid w:val="00877BD8"/>
    <w:rsid w:val="00877C6F"/>
    <w:rsid w:val="00877CAF"/>
    <w:rsid w:val="00877CB2"/>
    <w:rsid w:val="00877DD0"/>
    <w:rsid w:val="0088002F"/>
    <w:rsid w:val="0088003E"/>
    <w:rsid w:val="008800BB"/>
    <w:rsid w:val="0088010C"/>
    <w:rsid w:val="0088012A"/>
    <w:rsid w:val="0088013A"/>
    <w:rsid w:val="008802E1"/>
    <w:rsid w:val="00880345"/>
    <w:rsid w:val="0088037B"/>
    <w:rsid w:val="008803CB"/>
    <w:rsid w:val="0088041D"/>
    <w:rsid w:val="00880442"/>
    <w:rsid w:val="0088049F"/>
    <w:rsid w:val="008804F7"/>
    <w:rsid w:val="008805A0"/>
    <w:rsid w:val="008805C3"/>
    <w:rsid w:val="00880627"/>
    <w:rsid w:val="00880748"/>
    <w:rsid w:val="0088079E"/>
    <w:rsid w:val="008807A9"/>
    <w:rsid w:val="008807AE"/>
    <w:rsid w:val="00880835"/>
    <w:rsid w:val="008808BD"/>
    <w:rsid w:val="008808D2"/>
    <w:rsid w:val="00880A18"/>
    <w:rsid w:val="00880B44"/>
    <w:rsid w:val="00880C31"/>
    <w:rsid w:val="00880C80"/>
    <w:rsid w:val="00880D31"/>
    <w:rsid w:val="00880DE4"/>
    <w:rsid w:val="00880E01"/>
    <w:rsid w:val="00880E35"/>
    <w:rsid w:val="00880E9C"/>
    <w:rsid w:val="00880ECE"/>
    <w:rsid w:val="00880F62"/>
    <w:rsid w:val="00880FF7"/>
    <w:rsid w:val="00881031"/>
    <w:rsid w:val="008810BD"/>
    <w:rsid w:val="008810CC"/>
    <w:rsid w:val="00881138"/>
    <w:rsid w:val="0088114F"/>
    <w:rsid w:val="008812AE"/>
    <w:rsid w:val="008813B7"/>
    <w:rsid w:val="00881472"/>
    <w:rsid w:val="00881816"/>
    <w:rsid w:val="008818A7"/>
    <w:rsid w:val="008818D3"/>
    <w:rsid w:val="008818E6"/>
    <w:rsid w:val="00881903"/>
    <w:rsid w:val="008819E3"/>
    <w:rsid w:val="008819FC"/>
    <w:rsid w:val="00881A4C"/>
    <w:rsid w:val="00881AD2"/>
    <w:rsid w:val="00881B0D"/>
    <w:rsid w:val="00881BAA"/>
    <w:rsid w:val="00881C5F"/>
    <w:rsid w:val="00881D1D"/>
    <w:rsid w:val="00881D74"/>
    <w:rsid w:val="00881DA7"/>
    <w:rsid w:val="00881DD9"/>
    <w:rsid w:val="00881E16"/>
    <w:rsid w:val="00881EB1"/>
    <w:rsid w:val="00882017"/>
    <w:rsid w:val="00882041"/>
    <w:rsid w:val="008820D8"/>
    <w:rsid w:val="00882262"/>
    <w:rsid w:val="008822E3"/>
    <w:rsid w:val="0088235E"/>
    <w:rsid w:val="0088238B"/>
    <w:rsid w:val="00882478"/>
    <w:rsid w:val="008824C3"/>
    <w:rsid w:val="0088269A"/>
    <w:rsid w:val="008826C7"/>
    <w:rsid w:val="00882709"/>
    <w:rsid w:val="00882781"/>
    <w:rsid w:val="008827BA"/>
    <w:rsid w:val="008827C1"/>
    <w:rsid w:val="008827D8"/>
    <w:rsid w:val="00882B54"/>
    <w:rsid w:val="00882C51"/>
    <w:rsid w:val="00882C76"/>
    <w:rsid w:val="00882D15"/>
    <w:rsid w:val="00882D83"/>
    <w:rsid w:val="00882DFE"/>
    <w:rsid w:val="00882E2C"/>
    <w:rsid w:val="00882E6E"/>
    <w:rsid w:val="00882FA1"/>
    <w:rsid w:val="008830FC"/>
    <w:rsid w:val="0088325D"/>
    <w:rsid w:val="008832D7"/>
    <w:rsid w:val="008832EF"/>
    <w:rsid w:val="00883344"/>
    <w:rsid w:val="0088338B"/>
    <w:rsid w:val="008833D1"/>
    <w:rsid w:val="0088364F"/>
    <w:rsid w:val="0088370E"/>
    <w:rsid w:val="00883715"/>
    <w:rsid w:val="0088378F"/>
    <w:rsid w:val="008837F8"/>
    <w:rsid w:val="0088381B"/>
    <w:rsid w:val="00883925"/>
    <w:rsid w:val="008839CD"/>
    <w:rsid w:val="008839DE"/>
    <w:rsid w:val="00883A08"/>
    <w:rsid w:val="00883AE5"/>
    <w:rsid w:val="00883C50"/>
    <w:rsid w:val="00883F9A"/>
    <w:rsid w:val="008840AD"/>
    <w:rsid w:val="008841E1"/>
    <w:rsid w:val="00884273"/>
    <w:rsid w:val="00884298"/>
    <w:rsid w:val="008842EF"/>
    <w:rsid w:val="008842FD"/>
    <w:rsid w:val="0088445C"/>
    <w:rsid w:val="00884644"/>
    <w:rsid w:val="008846CF"/>
    <w:rsid w:val="008846FB"/>
    <w:rsid w:val="0088483E"/>
    <w:rsid w:val="008848B8"/>
    <w:rsid w:val="00884901"/>
    <w:rsid w:val="008849CD"/>
    <w:rsid w:val="00884A06"/>
    <w:rsid w:val="00884B08"/>
    <w:rsid w:val="00884B22"/>
    <w:rsid w:val="00884B39"/>
    <w:rsid w:val="00884C1D"/>
    <w:rsid w:val="00884D0F"/>
    <w:rsid w:val="00884D35"/>
    <w:rsid w:val="00884D77"/>
    <w:rsid w:val="00884DD1"/>
    <w:rsid w:val="00884E7A"/>
    <w:rsid w:val="00884ED9"/>
    <w:rsid w:val="00884F2E"/>
    <w:rsid w:val="00884F55"/>
    <w:rsid w:val="00884F6F"/>
    <w:rsid w:val="00884FDB"/>
    <w:rsid w:val="00884FE8"/>
    <w:rsid w:val="0088503F"/>
    <w:rsid w:val="00885040"/>
    <w:rsid w:val="0088504A"/>
    <w:rsid w:val="008850DB"/>
    <w:rsid w:val="008850F3"/>
    <w:rsid w:val="00885194"/>
    <w:rsid w:val="008852A4"/>
    <w:rsid w:val="008852CA"/>
    <w:rsid w:val="00885378"/>
    <w:rsid w:val="0088540A"/>
    <w:rsid w:val="008854D8"/>
    <w:rsid w:val="00885558"/>
    <w:rsid w:val="0088555F"/>
    <w:rsid w:val="008856A8"/>
    <w:rsid w:val="00885C5C"/>
    <w:rsid w:val="00885C9C"/>
    <w:rsid w:val="00885CCC"/>
    <w:rsid w:val="00885D48"/>
    <w:rsid w:val="00885DB3"/>
    <w:rsid w:val="00885E12"/>
    <w:rsid w:val="00885FA8"/>
    <w:rsid w:val="0088603C"/>
    <w:rsid w:val="008860E6"/>
    <w:rsid w:val="008862DA"/>
    <w:rsid w:val="00886301"/>
    <w:rsid w:val="008863E7"/>
    <w:rsid w:val="00886460"/>
    <w:rsid w:val="0088657F"/>
    <w:rsid w:val="008867DE"/>
    <w:rsid w:val="0088688F"/>
    <w:rsid w:val="0088698B"/>
    <w:rsid w:val="008869FB"/>
    <w:rsid w:val="00886A10"/>
    <w:rsid w:val="00886A8F"/>
    <w:rsid w:val="00886ADB"/>
    <w:rsid w:val="00886C47"/>
    <w:rsid w:val="00886CE5"/>
    <w:rsid w:val="00886D54"/>
    <w:rsid w:val="00886E00"/>
    <w:rsid w:val="00886F66"/>
    <w:rsid w:val="00887042"/>
    <w:rsid w:val="008870AB"/>
    <w:rsid w:val="00887104"/>
    <w:rsid w:val="00887133"/>
    <w:rsid w:val="00887217"/>
    <w:rsid w:val="00887336"/>
    <w:rsid w:val="0088735B"/>
    <w:rsid w:val="008873C0"/>
    <w:rsid w:val="008873D9"/>
    <w:rsid w:val="00887491"/>
    <w:rsid w:val="00887508"/>
    <w:rsid w:val="008875F3"/>
    <w:rsid w:val="00887626"/>
    <w:rsid w:val="008876DF"/>
    <w:rsid w:val="008876F9"/>
    <w:rsid w:val="0088785B"/>
    <w:rsid w:val="00887A6D"/>
    <w:rsid w:val="00887A86"/>
    <w:rsid w:val="00887C33"/>
    <w:rsid w:val="00887CA9"/>
    <w:rsid w:val="00887CDF"/>
    <w:rsid w:val="00887D02"/>
    <w:rsid w:val="00887D30"/>
    <w:rsid w:val="00887D3C"/>
    <w:rsid w:val="00887DC3"/>
    <w:rsid w:val="00887E1F"/>
    <w:rsid w:val="00887E53"/>
    <w:rsid w:val="00887E7B"/>
    <w:rsid w:val="00887F22"/>
    <w:rsid w:val="00887F97"/>
    <w:rsid w:val="0089005D"/>
    <w:rsid w:val="008900B0"/>
    <w:rsid w:val="0089011D"/>
    <w:rsid w:val="0089011F"/>
    <w:rsid w:val="00890132"/>
    <w:rsid w:val="00890245"/>
    <w:rsid w:val="00890452"/>
    <w:rsid w:val="00890619"/>
    <w:rsid w:val="0089062D"/>
    <w:rsid w:val="00890669"/>
    <w:rsid w:val="00890702"/>
    <w:rsid w:val="0089070E"/>
    <w:rsid w:val="00890720"/>
    <w:rsid w:val="00890743"/>
    <w:rsid w:val="008907C9"/>
    <w:rsid w:val="00890925"/>
    <w:rsid w:val="0089092C"/>
    <w:rsid w:val="008909BE"/>
    <w:rsid w:val="00890B95"/>
    <w:rsid w:val="00890BBB"/>
    <w:rsid w:val="00890BF3"/>
    <w:rsid w:val="00890C2C"/>
    <w:rsid w:val="00890C43"/>
    <w:rsid w:val="00890DF1"/>
    <w:rsid w:val="00890FA4"/>
    <w:rsid w:val="00890FF0"/>
    <w:rsid w:val="008910A3"/>
    <w:rsid w:val="008910F7"/>
    <w:rsid w:val="0089112E"/>
    <w:rsid w:val="0089116C"/>
    <w:rsid w:val="00891181"/>
    <w:rsid w:val="00891183"/>
    <w:rsid w:val="0089120B"/>
    <w:rsid w:val="0089141A"/>
    <w:rsid w:val="00891546"/>
    <w:rsid w:val="0089157D"/>
    <w:rsid w:val="0089163E"/>
    <w:rsid w:val="008916C4"/>
    <w:rsid w:val="008916EC"/>
    <w:rsid w:val="0089171E"/>
    <w:rsid w:val="0089176B"/>
    <w:rsid w:val="008917BF"/>
    <w:rsid w:val="00891907"/>
    <w:rsid w:val="00891A1C"/>
    <w:rsid w:val="00891A9B"/>
    <w:rsid w:val="00891AD1"/>
    <w:rsid w:val="00891C10"/>
    <w:rsid w:val="00891CA9"/>
    <w:rsid w:val="00891CF4"/>
    <w:rsid w:val="00891D1C"/>
    <w:rsid w:val="00891DFA"/>
    <w:rsid w:val="00891EF6"/>
    <w:rsid w:val="00891F05"/>
    <w:rsid w:val="00891F32"/>
    <w:rsid w:val="00891F8B"/>
    <w:rsid w:val="00891FA4"/>
    <w:rsid w:val="00891FC2"/>
    <w:rsid w:val="00891FD5"/>
    <w:rsid w:val="0089203F"/>
    <w:rsid w:val="00892051"/>
    <w:rsid w:val="00892063"/>
    <w:rsid w:val="0089213B"/>
    <w:rsid w:val="00892204"/>
    <w:rsid w:val="0089222F"/>
    <w:rsid w:val="00892410"/>
    <w:rsid w:val="00892529"/>
    <w:rsid w:val="0089253B"/>
    <w:rsid w:val="0089256A"/>
    <w:rsid w:val="0089265E"/>
    <w:rsid w:val="00892716"/>
    <w:rsid w:val="0089275E"/>
    <w:rsid w:val="00892760"/>
    <w:rsid w:val="0089276B"/>
    <w:rsid w:val="0089278E"/>
    <w:rsid w:val="008927DF"/>
    <w:rsid w:val="00892929"/>
    <w:rsid w:val="0089292A"/>
    <w:rsid w:val="00892997"/>
    <w:rsid w:val="008929A3"/>
    <w:rsid w:val="00892B1F"/>
    <w:rsid w:val="00892B46"/>
    <w:rsid w:val="00892B70"/>
    <w:rsid w:val="00892B8F"/>
    <w:rsid w:val="00892BB1"/>
    <w:rsid w:val="00892C5B"/>
    <w:rsid w:val="00892DBE"/>
    <w:rsid w:val="00892EAA"/>
    <w:rsid w:val="00892EBD"/>
    <w:rsid w:val="00892FCC"/>
    <w:rsid w:val="00893146"/>
    <w:rsid w:val="00893190"/>
    <w:rsid w:val="008931A6"/>
    <w:rsid w:val="00893200"/>
    <w:rsid w:val="00893222"/>
    <w:rsid w:val="00893256"/>
    <w:rsid w:val="00893291"/>
    <w:rsid w:val="008932B1"/>
    <w:rsid w:val="008932DF"/>
    <w:rsid w:val="00893305"/>
    <w:rsid w:val="0089338D"/>
    <w:rsid w:val="0089342C"/>
    <w:rsid w:val="008934D6"/>
    <w:rsid w:val="008935FD"/>
    <w:rsid w:val="00893768"/>
    <w:rsid w:val="00893A06"/>
    <w:rsid w:val="00893A52"/>
    <w:rsid w:val="00893A8C"/>
    <w:rsid w:val="00893B4C"/>
    <w:rsid w:val="00893B97"/>
    <w:rsid w:val="00893BA3"/>
    <w:rsid w:val="00893CFA"/>
    <w:rsid w:val="00893DE8"/>
    <w:rsid w:val="00893E38"/>
    <w:rsid w:val="00893EA5"/>
    <w:rsid w:val="00893FF3"/>
    <w:rsid w:val="0089409F"/>
    <w:rsid w:val="008940F4"/>
    <w:rsid w:val="008940F7"/>
    <w:rsid w:val="00894101"/>
    <w:rsid w:val="00894117"/>
    <w:rsid w:val="00894325"/>
    <w:rsid w:val="0089436B"/>
    <w:rsid w:val="008943EE"/>
    <w:rsid w:val="00894470"/>
    <w:rsid w:val="0089450B"/>
    <w:rsid w:val="00894596"/>
    <w:rsid w:val="00894651"/>
    <w:rsid w:val="0089470B"/>
    <w:rsid w:val="0089478E"/>
    <w:rsid w:val="00894899"/>
    <w:rsid w:val="008948A3"/>
    <w:rsid w:val="00894A81"/>
    <w:rsid w:val="00894AB5"/>
    <w:rsid w:val="00894BA1"/>
    <w:rsid w:val="00894BE3"/>
    <w:rsid w:val="00894C53"/>
    <w:rsid w:val="00894C70"/>
    <w:rsid w:val="00894C9E"/>
    <w:rsid w:val="00894CD8"/>
    <w:rsid w:val="00894D1A"/>
    <w:rsid w:val="00894D2A"/>
    <w:rsid w:val="00894D5A"/>
    <w:rsid w:val="00894D61"/>
    <w:rsid w:val="00894E72"/>
    <w:rsid w:val="00894F4D"/>
    <w:rsid w:val="00894F51"/>
    <w:rsid w:val="0089514C"/>
    <w:rsid w:val="008952C9"/>
    <w:rsid w:val="0089535E"/>
    <w:rsid w:val="0089538F"/>
    <w:rsid w:val="008953CF"/>
    <w:rsid w:val="00895426"/>
    <w:rsid w:val="0089549A"/>
    <w:rsid w:val="00895504"/>
    <w:rsid w:val="0089568A"/>
    <w:rsid w:val="0089574C"/>
    <w:rsid w:val="00895916"/>
    <w:rsid w:val="00895B75"/>
    <w:rsid w:val="00895BBE"/>
    <w:rsid w:val="00895BD5"/>
    <w:rsid w:val="00895C32"/>
    <w:rsid w:val="00895D43"/>
    <w:rsid w:val="00895DB1"/>
    <w:rsid w:val="00895DBD"/>
    <w:rsid w:val="00895E2C"/>
    <w:rsid w:val="00895E8C"/>
    <w:rsid w:val="00895F83"/>
    <w:rsid w:val="00895FBF"/>
    <w:rsid w:val="00895FD1"/>
    <w:rsid w:val="00895FDB"/>
    <w:rsid w:val="00896067"/>
    <w:rsid w:val="008960AD"/>
    <w:rsid w:val="0089614B"/>
    <w:rsid w:val="008961A6"/>
    <w:rsid w:val="0089628D"/>
    <w:rsid w:val="008962F2"/>
    <w:rsid w:val="0089642E"/>
    <w:rsid w:val="008965D9"/>
    <w:rsid w:val="008966B4"/>
    <w:rsid w:val="00896707"/>
    <w:rsid w:val="00896754"/>
    <w:rsid w:val="00896769"/>
    <w:rsid w:val="00896812"/>
    <w:rsid w:val="00896824"/>
    <w:rsid w:val="0089685C"/>
    <w:rsid w:val="008968B3"/>
    <w:rsid w:val="00896AB4"/>
    <w:rsid w:val="00896B8E"/>
    <w:rsid w:val="00896B9A"/>
    <w:rsid w:val="00896BF0"/>
    <w:rsid w:val="00896BFB"/>
    <w:rsid w:val="00896E57"/>
    <w:rsid w:val="00896E73"/>
    <w:rsid w:val="0089700F"/>
    <w:rsid w:val="008970FC"/>
    <w:rsid w:val="00897167"/>
    <w:rsid w:val="00897279"/>
    <w:rsid w:val="008972D5"/>
    <w:rsid w:val="008972E6"/>
    <w:rsid w:val="00897307"/>
    <w:rsid w:val="0089734D"/>
    <w:rsid w:val="008974E8"/>
    <w:rsid w:val="00897508"/>
    <w:rsid w:val="00897524"/>
    <w:rsid w:val="00897544"/>
    <w:rsid w:val="0089760F"/>
    <w:rsid w:val="0089765C"/>
    <w:rsid w:val="008976F2"/>
    <w:rsid w:val="0089787F"/>
    <w:rsid w:val="008978B1"/>
    <w:rsid w:val="00897909"/>
    <w:rsid w:val="008979F1"/>
    <w:rsid w:val="00897A2B"/>
    <w:rsid w:val="00897ABD"/>
    <w:rsid w:val="00897B66"/>
    <w:rsid w:val="00897C0A"/>
    <w:rsid w:val="00897C30"/>
    <w:rsid w:val="00897EB9"/>
    <w:rsid w:val="00897F8F"/>
    <w:rsid w:val="008A0066"/>
    <w:rsid w:val="008A00BF"/>
    <w:rsid w:val="008A00C3"/>
    <w:rsid w:val="008A00EC"/>
    <w:rsid w:val="008A0202"/>
    <w:rsid w:val="008A0251"/>
    <w:rsid w:val="008A0308"/>
    <w:rsid w:val="008A0479"/>
    <w:rsid w:val="008A059A"/>
    <w:rsid w:val="008A0658"/>
    <w:rsid w:val="008A069D"/>
    <w:rsid w:val="008A07FD"/>
    <w:rsid w:val="008A0886"/>
    <w:rsid w:val="008A0A12"/>
    <w:rsid w:val="008A0A48"/>
    <w:rsid w:val="008A0AC2"/>
    <w:rsid w:val="008A0B28"/>
    <w:rsid w:val="008A0BDA"/>
    <w:rsid w:val="008A0D45"/>
    <w:rsid w:val="008A0DB3"/>
    <w:rsid w:val="008A0EDE"/>
    <w:rsid w:val="008A0F16"/>
    <w:rsid w:val="008A0F97"/>
    <w:rsid w:val="008A1010"/>
    <w:rsid w:val="008A1034"/>
    <w:rsid w:val="008A106A"/>
    <w:rsid w:val="008A10F8"/>
    <w:rsid w:val="008A1280"/>
    <w:rsid w:val="008A1298"/>
    <w:rsid w:val="008A12D1"/>
    <w:rsid w:val="008A1393"/>
    <w:rsid w:val="008A14A6"/>
    <w:rsid w:val="008A165E"/>
    <w:rsid w:val="008A1683"/>
    <w:rsid w:val="008A17EC"/>
    <w:rsid w:val="008A183D"/>
    <w:rsid w:val="008A1876"/>
    <w:rsid w:val="008A18DB"/>
    <w:rsid w:val="008A19E8"/>
    <w:rsid w:val="008A1A20"/>
    <w:rsid w:val="008A1C51"/>
    <w:rsid w:val="008A1C63"/>
    <w:rsid w:val="008A1C6B"/>
    <w:rsid w:val="008A1CC4"/>
    <w:rsid w:val="008A1D5F"/>
    <w:rsid w:val="008A1E33"/>
    <w:rsid w:val="008A1EC2"/>
    <w:rsid w:val="008A1F28"/>
    <w:rsid w:val="008A1F5D"/>
    <w:rsid w:val="008A2094"/>
    <w:rsid w:val="008A210F"/>
    <w:rsid w:val="008A212E"/>
    <w:rsid w:val="008A21A3"/>
    <w:rsid w:val="008A21BE"/>
    <w:rsid w:val="008A21E1"/>
    <w:rsid w:val="008A2272"/>
    <w:rsid w:val="008A2280"/>
    <w:rsid w:val="008A2331"/>
    <w:rsid w:val="008A2474"/>
    <w:rsid w:val="008A2503"/>
    <w:rsid w:val="008A25FB"/>
    <w:rsid w:val="008A25FC"/>
    <w:rsid w:val="008A2658"/>
    <w:rsid w:val="008A2670"/>
    <w:rsid w:val="008A286A"/>
    <w:rsid w:val="008A293C"/>
    <w:rsid w:val="008A2D11"/>
    <w:rsid w:val="008A2D89"/>
    <w:rsid w:val="008A2E4D"/>
    <w:rsid w:val="008A2E6F"/>
    <w:rsid w:val="008A2EF3"/>
    <w:rsid w:val="008A2F32"/>
    <w:rsid w:val="008A3040"/>
    <w:rsid w:val="008A30AE"/>
    <w:rsid w:val="008A30EA"/>
    <w:rsid w:val="008A3144"/>
    <w:rsid w:val="008A31DA"/>
    <w:rsid w:val="008A3275"/>
    <w:rsid w:val="008A33D9"/>
    <w:rsid w:val="008A3433"/>
    <w:rsid w:val="008A3539"/>
    <w:rsid w:val="008A3586"/>
    <w:rsid w:val="008A359E"/>
    <w:rsid w:val="008A3665"/>
    <w:rsid w:val="008A3677"/>
    <w:rsid w:val="008A368A"/>
    <w:rsid w:val="008A3695"/>
    <w:rsid w:val="008A36E9"/>
    <w:rsid w:val="008A376E"/>
    <w:rsid w:val="008A378E"/>
    <w:rsid w:val="008A3794"/>
    <w:rsid w:val="008A380A"/>
    <w:rsid w:val="008A3895"/>
    <w:rsid w:val="008A3912"/>
    <w:rsid w:val="008A3C96"/>
    <w:rsid w:val="008A3CD9"/>
    <w:rsid w:val="008A3D74"/>
    <w:rsid w:val="008A3DDC"/>
    <w:rsid w:val="008A3E60"/>
    <w:rsid w:val="008A3ED3"/>
    <w:rsid w:val="008A3F5F"/>
    <w:rsid w:val="008A3FB9"/>
    <w:rsid w:val="008A3FDD"/>
    <w:rsid w:val="008A4048"/>
    <w:rsid w:val="008A40CB"/>
    <w:rsid w:val="008A4224"/>
    <w:rsid w:val="008A4406"/>
    <w:rsid w:val="008A447B"/>
    <w:rsid w:val="008A44B5"/>
    <w:rsid w:val="008A44F0"/>
    <w:rsid w:val="008A45EE"/>
    <w:rsid w:val="008A4648"/>
    <w:rsid w:val="008A46BF"/>
    <w:rsid w:val="008A46C0"/>
    <w:rsid w:val="008A4799"/>
    <w:rsid w:val="008A48CB"/>
    <w:rsid w:val="008A4954"/>
    <w:rsid w:val="008A4996"/>
    <w:rsid w:val="008A4CB8"/>
    <w:rsid w:val="008A4E18"/>
    <w:rsid w:val="008A4E72"/>
    <w:rsid w:val="008A4F21"/>
    <w:rsid w:val="008A4F41"/>
    <w:rsid w:val="008A4F50"/>
    <w:rsid w:val="008A508A"/>
    <w:rsid w:val="008A51EB"/>
    <w:rsid w:val="008A51F0"/>
    <w:rsid w:val="008A52A1"/>
    <w:rsid w:val="008A52C0"/>
    <w:rsid w:val="008A535C"/>
    <w:rsid w:val="008A538F"/>
    <w:rsid w:val="008A5395"/>
    <w:rsid w:val="008A54C8"/>
    <w:rsid w:val="008A54D2"/>
    <w:rsid w:val="008A55A1"/>
    <w:rsid w:val="008A5739"/>
    <w:rsid w:val="008A573C"/>
    <w:rsid w:val="008A5762"/>
    <w:rsid w:val="008A57A6"/>
    <w:rsid w:val="008A5877"/>
    <w:rsid w:val="008A59B1"/>
    <w:rsid w:val="008A5A48"/>
    <w:rsid w:val="008A5B2F"/>
    <w:rsid w:val="008A5D95"/>
    <w:rsid w:val="008A5DCD"/>
    <w:rsid w:val="008A5E3D"/>
    <w:rsid w:val="008A5F6E"/>
    <w:rsid w:val="008A5FBD"/>
    <w:rsid w:val="008A5FE5"/>
    <w:rsid w:val="008A604E"/>
    <w:rsid w:val="008A62ED"/>
    <w:rsid w:val="008A630C"/>
    <w:rsid w:val="008A634D"/>
    <w:rsid w:val="008A6362"/>
    <w:rsid w:val="008A6409"/>
    <w:rsid w:val="008A6485"/>
    <w:rsid w:val="008A649A"/>
    <w:rsid w:val="008A64FC"/>
    <w:rsid w:val="008A654A"/>
    <w:rsid w:val="008A65F9"/>
    <w:rsid w:val="008A6607"/>
    <w:rsid w:val="008A6651"/>
    <w:rsid w:val="008A66F2"/>
    <w:rsid w:val="008A6715"/>
    <w:rsid w:val="008A6790"/>
    <w:rsid w:val="008A680E"/>
    <w:rsid w:val="008A6924"/>
    <w:rsid w:val="008A6976"/>
    <w:rsid w:val="008A6992"/>
    <w:rsid w:val="008A6A65"/>
    <w:rsid w:val="008A6C3A"/>
    <w:rsid w:val="008A6CAD"/>
    <w:rsid w:val="008A6EB8"/>
    <w:rsid w:val="008A6EBF"/>
    <w:rsid w:val="008A6F3E"/>
    <w:rsid w:val="008A6FD9"/>
    <w:rsid w:val="008A6FEC"/>
    <w:rsid w:val="008A6FEF"/>
    <w:rsid w:val="008A70E2"/>
    <w:rsid w:val="008A714F"/>
    <w:rsid w:val="008A71B7"/>
    <w:rsid w:val="008A7318"/>
    <w:rsid w:val="008A743E"/>
    <w:rsid w:val="008A745D"/>
    <w:rsid w:val="008A74C8"/>
    <w:rsid w:val="008A7517"/>
    <w:rsid w:val="008A752C"/>
    <w:rsid w:val="008A75A8"/>
    <w:rsid w:val="008A75D8"/>
    <w:rsid w:val="008A75EE"/>
    <w:rsid w:val="008A7624"/>
    <w:rsid w:val="008A7646"/>
    <w:rsid w:val="008A77E2"/>
    <w:rsid w:val="008A7850"/>
    <w:rsid w:val="008A79C3"/>
    <w:rsid w:val="008A7AB0"/>
    <w:rsid w:val="008A7C25"/>
    <w:rsid w:val="008A7D66"/>
    <w:rsid w:val="008A7D68"/>
    <w:rsid w:val="008A7DFD"/>
    <w:rsid w:val="008A7E59"/>
    <w:rsid w:val="008A7E69"/>
    <w:rsid w:val="008B00D6"/>
    <w:rsid w:val="008B0114"/>
    <w:rsid w:val="008B023D"/>
    <w:rsid w:val="008B02A1"/>
    <w:rsid w:val="008B02E2"/>
    <w:rsid w:val="008B03EC"/>
    <w:rsid w:val="008B03EE"/>
    <w:rsid w:val="008B04D2"/>
    <w:rsid w:val="008B04EF"/>
    <w:rsid w:val="008B0536"/>
    <w:rsid w:val="008B0563"/>
    <w:rsid w:val="008B05E2"/>
    <w:rsid w:val="008B063D"/>
    <w:rsid w:val="008B071E"/>
    <w:rsid w:val="008B0803"/>
    <w:rsid w:val="008B0825"/>
    <w:rsid w:val="008B08C6"/>
    <w:rsid w:val="008B096D"/>
    <w:rsid w:val="008B0A4F"/>
    <w:rsid w:val="008B0B92"/>
    <w:rsid w:val="008B0BEB"/>
    <w:rsid w:val="008B0CD0"/>
    <w:rsid w:val="008B0CF9"/>
    <w:rsid w:val="008B0DCF"/>
    <w:rsid w:val="008B0E18"/>
    <w:rsid w:val="008B0EB6"/>
    <w:rsid w:val="008B0F5A"/>
    <w:rsid w:val="008B12AB"/>
    <w:rsid w:val="008B1300"/>
    <w:rsid w:val="008B1309"/>
    <w:rsid w:val="008B134A"/>
    <w:rsid w:val="008B1389"/>
    <w:rsid w:val="008B1401"/>
    <w:rsid w:val="008B1443"/>
    <w:rsid w:val="008B149F"/>
    <w:rsid w:val="008B154E"/>
    <w:rsid w:val="008B15AF"/>
    <w:rsid w:val="008B167A"/>
    <w:rsid w:val="008B16C8"/>
    <w:rsid w:val="008B16E2"/>
    <w:rsid w:val="008B182C"/>
    <w:rsid w:val="008B18D8"/>
    <w:rsid w:val="008B1999"/>
    <w:rsid w:val="008B1A34"/>
    <w:rsid w:val="008B1A88"/>
    <w:rsid w:val="008B1AA0"/>
    <w:rsid w:val="008B1AE0"/>
    <w:rsid w:val="008B1BC7"/>
    <w:rsid w:val="008B1C6A"/>
    <w:rsid w:val="008B1C85"/>
    <w:rsid w:val="008B1C8E"/>
    <w:rsid w:val="008B1DFC"/>
    <w:rsid w:val="008B1F11"/>
    <w:rsid w:val="008B1F44"/>
    <w:rsid w:val="008B1FCC"/>
    <w:rsid w:val="008B2026"/>
    <w:rsid w:val="008B2063"/>
    <w:rsid w:val="008B20D5"/>
    <w:rsid w:val="008B2130"/>
    <w:rsid w:val="008B22AF"/>
    <w:rsid w:val="008B22C6"/>
    <w:rsid w:val="008B22FA"/>
    <w:rsid w:val="008B2319"/>
    <w:rsid w:val="008B234D"/>
    <w:rsid w:val="008B2371"/>
    <w:rsid w:val="008B23F0"/>
    <w:rsid w:val="008B2460"/>
    <w:rsid w:val="008B24A4"/>
    <w:rsid w:val="008B24A9"/>
    <w:rsid w:val="008B2507"/>
    <w:rsid w:val="008B254C"/>
    <w:rsid w:val="008B255A"/>
    <w:rsid w:val="008B256B"/>
    <w:rsid w:val="008B25AE"/>
    <w:rsid w:val="008B25E5"/>
    <w:rsid w:val="008B276C"/>
    <w:rsid w:val="008B27FF"/>
    <w:rsid w:val="008B2831"/>
    <w:rsid w:val="008B28B4"/>
    <w:rsid w:val="008B28BE"/>
    <w:rsid w:val="008B28F3"/>
    <w:rsid w:val="008B2969"/>
    <w:rsid w:val="008B29C6"/>
    <w:rsid w:val="008B29FE"/>
    <w:rsid w:val="008B2B5F"/>
    <w:rsid w:val="008B2B83"/>
    <w:rsid w:val="008B2BC7"/>
    <w:rsid w:val="008B2C03"/>
    <w:rsid w:val="008B2CE5"/>
    <w:rsid w:val="008B2D53"/>
    <w:rsid w:val="008B2DBD"/>
    <w:rsid w:val="008B2F08"/>
    <w:rsid w:val="008B2F2D"/>
    <w:rsid w:val="008B2F47"/>
    <w:rsid w:val="008B2F5A"/>
    <w:rsid w:val="008B2F8D"/>
    <w:rsid w:val="008B2FA3"/>
    <w:rsid w:val="008B3134"/>
    <w:rsid w:val="008B3225"/>
    <w:rsid w:val="008B3283"/>
    <w:rsid w:val="008B333B"/>
    <w:rsid w:val="008B34D1"/>
    <w:rsid w:val="008B3583"/>
    <w:rsid w:val="008B3586"/>
    <w:rsid w:val="008B358B"/>
    <w:rsid w:val="008B35E6"/>
    <w:rsid w:val="008B35EB"/>
    <w:rsid w:val="008B35FF"/>
    <w:rsid w:val="008B36E9"/>
    <w:rsid w:val="008B36FF"/>
    <w:rsid w:val="008B37B6"/>
    <w:rsid w:val="008B3828"/>
    <w:rsid w:val="008B3888"/>
    <w:rsid w:val="008B38AD"/>
    <w:rsid w:val="008B38EF"/>
    <w:rsid w:val="008B3B19"/>
    <w:rsid w:val="008B3B35"/>
    <w:rsid w:val="008B3B84"/>
    <w:rsid w:val="008B3CD1"/>
    <w:rsid w:val="008B3D68"/>
    <w:rsid w:val="008B3E50"/>
    <w:rsid w:val="008B3E69"/>
    <w:rsid w:val="008B3EF8"/>
    <w:rsid w:val="008B4002"/>
    <w:rsid w:val="008B409D"/>
    <w:rsid w:val="008B40D0"/>
    <w:rsid w:val="008B40FB"/>
    <w:rsid w:val="008B41A1"/>
    <w:rsid w:val="008B41BD"/>
    <w:rsid w:val="008B41DF"/>
    <w:rsid w:val="008B420D"/>
    <w:rsid w:val="008B42B9"/>
    <w:rsid w:val="008B42E7"/>
    <w:rsid w:val="008B438A"/>
    <w:rsid w:val="008B43EE"/>
    <w:rsid w:val="008B441D"/>
    <w:rsid w:val="008B444D"/>
    <w:rsid w:val="008B4461"/>
    <w:rsid w:val="008B446A"/>
    <w:rsid w:val="008B44F6"/>
    <w:rsid w:val="008B464B"/>
    <w:rsid w:val="008B4680"/>
    <w:rsid w:val="008B46C6"/>
    <w:rsid w:val="008B4727"/>
    <w:rsid w:val="008B4785"/>
    <w:rsid w:val="008B478D"/>
    <w:rsid w:val="008B4899"/>
    <w:rsid w:val="008B48B1"/>
    <w:rsid w:val="008B48CF"/>
    <w:rsid w:val="008B4996"/>
    <w:rsid w:val="008B4C26"/>
    <w:rsid w:val="008B4C9A"/>
    <w:rsid w:val="008B4D45"/>
    <w:rsid w:val="008B4D50"/>
    <w:rsid w:val="008B4DB0"/>
    <w:rsid w:val="008B4E52"/>
    <w:rsid w:val="008B4EBC"/>
    <w:rsid w:val="008B4F4D"/>
    <w:rsid w:val="008B4FB1"/>
    <w:rsid w:val="008B4FB2"/>
    <w:rsid w:val="008B4FBA"/>
    <w:rsid w:val="008B4FCF"/>
    <w:rsid w:val="008B500C"/>
    <w:rsid w:val="008B5018"/>
    <w:rsid w:val="008B5093"/>
    <w:rsid w:val="008B50EF"/>
    <w:rsid w:val="008B5148"/>
    <w:rsid w:val="008B5245"/>
    <w:rsid w:val="008B5490"/>
    <w:rsid w:val="008B5532"/>
    <w:rsid w:val="008B565D"/>
    <w:rsid w:val="008B56BA"/>
    <w:rsid w:val="008B56CF"/>
    <w:rsid w:val="008B56D3"/>
    <w:rsid w:val="008B57C2"/>
    <w:rsid w:val="008B57D9"/>
    <w:rsid w:val="008B57F8"/>
    <w:rsid w:val="008B57FB"/>
    <w:rsid w:val="008B585C"/>
    <w:rsid w:val="008B5B0F"/>
    <w:rsid w:val="008B5B36"/>
    <w:rsid w:val="008B5B7B"/>
    <w:rsid w:val="008B5B9C"/>
    <w:rsid w:val="008B5C3B"/>
    <w:rsid w:val="008B5CA5"/>
    <w:rsid w:val="008B5CF9"/>
    <w:rsid w:val="008B5D07"/>
    <w:rsid w:val="008B5D69"/>
    <w:rsid w:val="008B5D6B"/>
    <w:rsid w:val="008B5D9C"/>
    <w:rsid w:val="008B5DBF"/>
    <w:rsid w:val="008B603F"/>
    <w:rsid w:val="008B60C1"/>
    <w:rsid w:val="008B60E4"/>
    <w:rsid w:val="008B6131"/>
    <w:rsid w:val="008B6178"/>
    <w:rsid w:val="008B61AE"/>
    <w:rsid w:val="008B61C8"/>
    <w:rsid w:val="008B6291"/>
    <w:rsid w:val="008B629F"/>
    <w:rsid w:val="008B6412"/>
    <w:rsid w:val="008B64B8"/>
    <w:rsid w:val="008B66E6"/>
    <w:rsid w:val="008B67DC"/>
    <w:rsid w:val="008B6906"/>
    <w:rsid w:val="008B69A7"/>
    <w:rsid w:val="008B69B1"/>
    <w:rsid w:val="008B69CB"/>
    <w:rsid w:val="008B6AC2"/>
    <w:rsid w:val="008B6AE7"/>
    <w:rsid w:val="008B6C5E"/>
    <w:rsid w:val="008B6C92"/>
    <w:rsid w:val="008B6D5A"/>
    <w:rsid w:val="008B6D7F"/>
    <w:rsid w:val="008B6DA8"/>
    <w:rsid w:val="008B6ED6"/>
    <w:rsid w:val="008B6F48"/>
    <w:rsid w:val="008B6FC8"/>
    <w:rsid w:val="008B6FCA"/>
    <w:rsid w:val="008B6FDF"/>
    <w:rsid w:val="008B7011"/>
    <w:rsid w:val="008B70C3"/>
    <w:rsid w:val="008B71BF"/>
    <w:rsid w:val="008B72A3"/>
    <w:rsid w:val="008B7334"/>
    <w:rsid w:val="008B73DF"/>
    <w:rsid w:val="008B740E"/>
    <w:rsid w:val="008B7466"/>
    <w:rsid w:val="008B748E"/>
    <w:rsid w:val="008B74C1"/>
    <w:rsid w:val="008B74D1"/>
    <w:rsid w:val="008B75DD"/>
    <w:rsid w:val="008B7797"/>
    <w:rsid w:val="008B7851"/>
    <w:rsid w:val="008B7857"/>
    <w:rsid w:val="008B792E"/>
    <w:rsid w:val="008B7A5E"/>
    <w:rsid w:val="008B7AAA"/>
    <w:rsid w:val="008B7B1F"/>
    <w:rsid w:val="008B7BE3"/>
    <w:rsid w:val="008B7C05"/>
    <w:rsid w:val="008B7C16"/>
    <w:rsid w:val="008B7C2D"/>
    <w:rsid w:val="008B7C4E"/>
    <w:rsid w:val="008B7CAD"/>
    <w:rsid w:val="008B7E3E"/>
    <w:rsid w:val="008B7F9F"/>
    <w:rsid w:val="008C0065"/>
    <w:rsid w:val="008C00D2"/>
    <w:rsid w:val="008C012C"/>
    <w:rsid w:val="008C01B5"/>
    <w:rsid w:val="008C0227"/>
    <w:rsid w:val="008C0259"/>
    <w:rsid w:val="008C0270"/>
    <w:rsid w:val="008C02C0"/>
    <w:rsid w:val="008C0330"/>
    <w:rsid w:val="008C033F"/>
    <w:rsid w:val="008C0380"/>
    <w:rsid w:val="008C03DE"/>
    <w:rsid w:val="008C040B"/>
    <w:rsid w:val="008C0421"/>
    <w:rsid w:val="008C0431"/>
    <w:rsid w:val="008C043F"/>
    <w:rsid w:val="008C048D"/>
    <w:rsid w:val="008C04A6"/>
    <w:rsid w:val="008C06B9"/>
    <w:rsid w:val="008C06D4"/>
    <w:rsid w:val="008C06EB"/>
    <w:rsid w:val="008C0980"/>
    <w:rsid w:val="008C09B5"/>
    <w:rsid w:val="008C09E7"/>
    <w:rsid w:val="008C0A47"/>
    <w:rsid w:val="008C0B51"/>
    <w:rsid w:val="008C0B6B"/>
    <w:rsid w:val="008C0B6C"/>
    <w:rsid w:val="008C0BE1"/>
    <w:rsid w:val="008C0C17"/>
    <w:rsid w:val="008C0C30"/>
    <w:rsid w:val="008C0CE4"/>
    <w:rsid w:val="008C0D18"/>
    <w:rsid w:val="008C0DD3"/>
    <w:rsid w:val="008C0E0B"/>
    <w:rsid w:val="008C0E40"/>
    <w:rsid w:val="008C1003"/>
    <w:rsid w:val="008C1028"/>
    <w:rsid w:val="008C1047"/>
    <w:rsid w:val="008C1151"/>
    <w:rsid w:val="008C122D"/>
    <w:rsid w:val="008C1261"/>
    <w:rsid w:val="008C127A"/>
    <w:rsid w:val="008C12E8"/>
    <w:rsid w:val="008C1438"/>
    <w:rsid w:val="008C15B2"/>
    <w:rsid w:val="008C1772"/>
    <w:rsid w:val="008C182F"/>
    <w:rsid w:val="008C1902"/>
    <w:rsid w:val="008C19C9"/>
    <w:rsid w:val="008C1A5B"/>
    <w:rsid w:val="008C1AE6"/>
    <w:rsid w:val="008C1AFD"/>
    <w:rsid w:val="008C1B33"/>
    <w:rsid w:val="008C1C6C"/>
    <w:rsid w:val="008C1D77"/>
    <w:rsid w:val="008C1E36"/>
    <w:rsid w:val="008C1EB1"/>
    <w:rsid w:val="008C1EC9"/>
    <w:rsid w:val="008C1F81"/>
    <w:rsid w:val="008C2013"/>
    <w:rsid w:val="008C204F"/>
    <w:rsid w:val="008C20BE"/>
    <w:rsid w:val="008C20C6"/>
    <w:rsid w:val="008C20D5"/>
    <w:rsid w:val="008C212E"/>
    <w:rsid w:val="008C2136"/>
    <w:rsid w:val="008C21ED"/>
    <w:rsid w:val="008C2225"/>
    <w:rsid w:val="008C2459"/>
    <w:rsid w:val="008C24A6"/>
    <w:rsid w:val="008C2579"/>
    <w:rsid w:val="008C2599"/>
    <w:rsid w:val="008C25D7"/>
    <w:rsid w:val="008C2668"/>
    <w:rsid w:val="008C2673"/>
    <w:rsid w:val="008C269B"/>
    <w:rsid w:val="008C2758"/>
    <w:rsid w:val="008C27A1"/>
    <w:rsid w:val="008C28BF"/>
    <w:rsid w:val="008C28F1"/>
    <w:rsid w:val="008C2900"/>
    <w:rsid w:val="008C29A2"/>
    <w:rsid w:val="008C29A3"/>
    <w:rsid w:val="008C2A68"/>
    <w:rsid w:val="008C2A6D"/>
    <w:rsid w:val="008C2ABE"/>
    <w:rsid w:val="008C2C49"/>
    <w:rsid w:val="008C2C80"/>
    <w:rsid w:val="008C2CB6"/>
    <w:rsid w:val="008C2CD8"/>
    <w:rsid w:val="008C2E61"/>
    <w:rsid w:val="008C2EBF"/>
    <w:rsid w:val="008C301E"/>
    <w:rsid w:val="008C3036"/>
    <w:rsid w:val="008C30A9"/>
    <w:rsid w:val="008C31DC"/>
    <w:rsid w:val="008C3296"/>
    <w:rsid w:val="008C337F"/>
    <w:rsid w:val="008C33E5"/>
    <w:rsid w:val="008C33EF"/>
    <w:rsid w:val="008C33FD"/>
    <w:rsid w:val="008C3431"/>
    <w:rsid w:val="008C345B"/>
    <w:rsid w:val="008C3485"/>
    <w:rsid w:val="008C35AD"/>
    <w:rsid w:val="008C37E4"/>
    <w:rsid w:val="008C3820"/>
    <w:rsid w:val="008C387E"/>
    <w:rsid w:val="008C3A16"/>
    <w:rsid w:val="008C3A9A"/>
    <w:rsid w:val="008C3AC9"/>
    <w:rsid w:val="008C3C17"/>
    <w:rsid w:val="008C3C7E"/>
    <w:rsid w:val="008C3CC4"/>
    <w:rsid w:val="008C3DA7"/>
    <w:rsid w:val="008C3E98"/>
    <w:rsid w:val="008C3F11"/>
    <w:rsid w:val="008C3F90"/>
    <w:rsid w:val="008C4050"/>
    <w:rsid w:val="008C4059"/>
    <w:rsid w:val="008C40C5"/>
    <w:rsid w:val="008C40E6"/>
    <w:rsid w:val="008C4203"/>
    <w:rsid w:val="008C42CC"/>
    <w:rsid w:val="008C430C"/>
    <w:rsid w:val="008C4339"/>
    <w:rsid w:val="008C4344"/>
    <w:rsid w:val="008C434E"/>
    <w:rsid w:val="008C43B9"/>
    <w:rsid w:val="008C4464"/>
    <w:rsid w:val="008C4483"/>
    <w:rsid w:val="008C44D6"/>
    <w:rsid w:val="008C4518"/>
    <w:rsid w:val="008C470E"/>
    <w:rsid w:val="008C4792"/>
    <w:rsid w:val="008C4828"/>
    <w:rsid w:val="008C490A"/>
    <w:rsid w:val="008C496F"/>
    <w:rsid w:val="008C49D6"/>
    <w:rsid w:val="008C4B29"/>
    <w:rsid w:val="008C4B88"/>
    <w:rsid w:val="008C4CD2"/>
    <w:rsid w:val="008C4CD3"/>
    <w:rsid w:val="008C4D83"/>
    <w:rsid w:val="008C4DD8"/>
    <w:rsid w:val="008C4E7B"/>
    <w:rsid w:val="008C4E95"/>
    <w:rsid w:val="008C4EC0"/>
    <w:rsid w:val="008C4F6D"/>
    <w:rsid w:val="008C4F94"/>
    <w:rsid w:val="008C4FB1"/>
    <w:rsid w:val="008C500B"/>
    <w:rsid w:val="008C5083"/>
    <w:rsid w:val="008C50D3"/>
    <w:rsid w:val="008C50D5"/>
    <w:rsid w:val="008C5144"/>
    <w:rsid w:val="008C52C9"/>
    <w:rsid w:val="008C52F5"/>
    <w:rsid w:val="008C533B"/>
    <w:rsid w:val="008C5354"/>
    <w:rsid w:val="008C5355"/>
    <w:rsid w:val="008C547F"/>
    <w:rsid w:val="008C549A"/>
    <w:rsid w:val="008C54BF"/>
    <w:rsid w:val="008C54C1"/>
    <w:rsid w:val="008C550C"/>
    <w:rsid w:val="008C554E"/>
    <w:rsid w:val="008C5583"/>
    <w:rsid w:val="008C5693"/>
    <w:rsid w:val="008C56FC"/>
    <w:rsid w:val="008C5734"/>
    <w:rsid w:val="008C5755"/>
    <w:rsid w:val="008C585D"/>
    <w:rsid w:val="008C58BE"/>
    <w:rsid w:val="008C58F9"/>
    <w:rsid w:val="008C58FD"/>
    <w:rsid w:val="008C596C"/>
    <w:rsid w:val="008C5A62"/>
    <w:rsid w:val="008C5ABB"/>
    <w:rsid w:val="008C5AC0"/>
    <w:rsid w:val="008C5B9F"/>
    <w:rsid w:val="008C5BC8"/>
    <w:rsid w:val="008C5D3B"/>
    <w:rsid w:val="008C5E31"/>
    <w:rsid w:val="008C5F3A"/>
    <w:rsid w:val="008C5F57"/>
    <w:rsid w:val="008C6027"/>
    <w:rsid w:val="008C6136"/>
    <w:rsid w:val="008C6146"/>
    <w:rsid w:val="008C61F6"/>
    <w:rsid w:val="008C62E1"/>
    <w:rsid w:val="008C6424"/>
    <w:rsid w:val="008C6431"/>
    <w:rsid w:val="008C6456"/>
    <w:rsid w:val="008C6476"/>
    <w:rsid w:val="008C64D7"/>
    <w:rsid w:val="008C6585"/>
    <w:rsid w:val="008C659E"/>
    <w:rsid w:val="008C66DE"/>
    <w:rsid w:val="008C6729"/>
    <w:rsid w:val="008C67C3"/>
    <w:rsid w:val="008C67E0"/>
    <w:rsid w:val="008C681D"/>
    <w:rsid w:val="008C6888"/>
    <w:rsid w:val="008C6932"/>
    <w:rsid w:val="008C6953"/>
    <w:rsid w:val="008C6AB9"/>
    <w:rsid w:val="008C6B58"/>
    <w:rsid w:val="008C6CA0"/>
    <w:rsid w:val="008C6CAE"/>
    <w:rsid w:val="008C6CF9"/>
    <w:rsid w:val="008C6D63"/>
    <w:rsid w:val="008C6E2E"/>
    <w:rsid w:val="008C6F78"/>
    <w:rsid w:val="008C7004"/>
    <w:rsid w:val="008C7130"/>
    <w:rsid w:val="008C7159"/>
    <w:rsid w:val="008C7258"/>
    <w:rsid w:val="008C7271"/>
    <w:rsid w:val="008C73A4"/>
    <w:rsid w:val="008C740A"/>
    <w:rsid w:val="008C7478"/>
    <w:rsid w:val="008C76A9"/>
    <w:rsid w:val="008C76B2"/>
    <w:rsid w:val="008C773F"/>
    <w:rsid w:val="008C77DF"/>
    <w:rsid w:val="008C78F8"/>
    <w:rsid w:val="008C791B"/>
    <w:rsid w:val="008C7B0B"/>
    <w:rsid w:val="008C7C8F"/>
    <w:rsid w:val="008C7CA6"/>
    <w:rsid w:val="008C7D08"/>
    <w:rsid w:val="008C7D0E"/>
    <w:rsid w:val="008C7D73"/>
    <w:rsid w:val="008C7E3D"/>
    <w:rsid w:val="008D0009"/>
    <w:rsid w:val="008D0071"/>
    <w:rsid w:val="008D0077"/>
    <w:rsid w:val="008D017C"/>
    <w:rsid w:val="008D031A"/>
    <w:rsid w:val="008D037C"/>
    <w:rsid w:val="008D03B2"/>
    <w:rsid w:val="008D03BC"/>
    <w:rsid w:val="008D03D6"/>
    <w:rsid w:val="008D046A"/>
    <w:rsid w:val="008D0564"/>
    <w:rsid w:val="008D0647"/>
    <w:rsid w:val="008D066A"/>
    <w:rsid w:val="008D0680"/>
    <w:rsid w:val="008D07D9"/>
    <w:rsid w:val="008D086E"/>
    <w:rsid w:val="008D0A1D"/>
    <w:rsid w:val="008D0A2F"/>
    <w:rsid w:val="008D0ADD"/>
    <w:rsid w:val="008D0B04"/>
    <w:rsid w:val="008D0B49"/>
    <w:rsid w:val="008D0BF0"/>
    <w:rsid w:val="008D0D4D"/>
    <w:rsid w:val="008D0D82"/>
    <w:rsid w:val="008D0E21"/>
    <w:rsid w:val="008D0E22"/>
    <w:rsid w:val="008D0E27"/>
    <w:rsid w:val="008D0E44"/>
    <w:rsid w:val="008D0F0B"/>
    <w:rsid w:val="008D0F2C"/>
    <w:rsid w:val="008D1036"/>
    <w:rsid w:val="008D10C9"/>
    <w:rsid w:val="008D11D0"/>
    <w:rsid w:val="008D11DD"/>
    <w:rsid w:val="008D13CD"/>
    <w:rsid w:val="008D13DD"/>
    <w:rsid w:val="008D13FA"/>
    <w:rsid w:val="008D1439"/>
    <w:rsid w:val="008D154A"/>
    <w:rsid w:val="008D156A"/>
    <w:rsid w:val="008D1645"/>
    <w:rsid w:val="008D168C"/>
    <w:rsid w:val="008D16C1"/>
    <w:rsid w:val="008D17DE"/>
    <w:rsid w:val="008D197B"/>
    <w:rsid w:val="008D1990"/>
    <w:rsid w:val="008D1A76"/>
    <w:rsid w:val="008D1B75"/>
    <w:rsid w:val="008D1BEA"/>
    <w:rsid w:val="008D1CDA"/>
    <w:rsid w:val="008D1D5F"/>
    <w:rsid w:val="008D1E4A"/>
    <w:rsid w:val="008D1EAC"/>
    <w:rsid w:val="008D1F47"/>
    <w:rsid w:val="008D1F7C"/>
    <w:rsid w:val="008D1F98"/>
    <w:rsid w:val="008D1F9C"/>
    <w:rsid w:val="008D1FC6"/>
    <w:rsid w:val="008D1FED"/>
    <w:rsid w:val="008D20E7"/>
    <w:rsid w:val="008D214B"/>
    <w:rsid w:val="008D23BF"/>
    <w:rsid w:val="008D251F"/>
    <w:rsid w:val="008D2549"/>
    <w:rsid w:val="008D25AF"/>
    <w:rsid w:val="008D2674"/>
    <w:rsid w:val="008D26AB"/>
    <w:rsid w:val="008D278E"/>
    <w:rsid w:val="008D27BB"/>
    <w:rsid w:val="008D288F"/>
    <w:rsid w:val="008D299A"/>
    <w:rsid w:val="008D29EA"/>
    <w:rsid w:val="008D2A20"/>
    <w:rsid w:val="008D2A94"/>
    <w:rsid w:val="008D2D36"/>
    <w:rsid w:val="008D2D49"/>
    <w:rsid w:val="008D2ED9"/>
    <w:rsid w:val="008D2EDA"/>
    <w:rsid w:val="008D2F27"/>
    <w:rsid w:val="008D2F29"/>
    <w:rsid w:val="008D300A"/>
    <w:rsid w:val="008D314B"/>
    <w:rsid w:val="008D31E1"/>
    <w:rsid w:val="008D338C"/>
    <w:rsid w:val="008D346B"/>
    <w:rsid w:val="008D346F"/>
    <w:rsid w:val="008D3639"/>
    <w:rsid w:val="008D365C"/>
    <w:rsid w:val="008D384B"/>
    <w:rsid w:val="008D3860"/>
    <w:rsid w:val="008D38FA"/>
    <w:rsid w:val="008D3B4B"/>
    <w:rsid w:val="008D3BFF"/>
    <w:rsid w:val="008D3CF6"/>
    <w:rsid w:val="008D3D20"/>
    <w:rsid w:val="008D3D9B"/>
    <w:rsid w:val="008D3DC2"/>
    <w:rsid w:val="008D3DCC"/>
    <w:rsid w:val="008D3E28"/>
    <w:rsid w:val="008D3E31"/>
    <w:rsid w:val="008D3E6A"/>
    <w:rsid w:val="008D3E73"/>
    <w:rsid w:val="008D3FE1"/>
    <w:rsid w:val="008D4108"/>
    <w:rsid w:val="008D410D"/>
    <w:rsid w:val="008D4110"/>
    <w:rsid w:val="008D420A"/>
    <w:rsid w:val="008D4210"/>
    <w:rsid w:val="008D4314"/>
    <w:rsid w:val="008D4470"/>
    <w:rsid w:val="008D44B8"/>
    <w:rsid w:val="008D459A"/>
    <w:rsid w:val="008D464C"/>
    <w:rsid w:val="008D4743"/>
    <w:rsid w:val="008D474C"/>
    <w:rsid w:val="008D4777"/>
    <w:rsid w:val="008D4787"/>
    <w:rsid w:val="008D4813"/>
    <w:rsid w:val="008D488B"/>
    <w:rsid w:val="008D4A41"/>
    <w:rsid w:val="008D4A89"/>
    <w:rsid w:val="008D4B2D"/>
    <w:rsid w:val="008D4BF7"/>
    <w:rsid w:val="008D4C0B"/>
    <w:rsid w:val="008D4C6E"/>
    <w:rsid w:val="008D4C7E"/>
    <w:rsid w:val="008D4CB8"/>
    <w:rsid w:val="008D4CC9"/>
    <w:rsid w:val="008D4D1A"/>
    <w:rsid w:val="008D4D3B"/>
    <w:rsid w:val="008D4E88"/>
    <w:rsid w:val="008D4ED9"/>
    <w:rsid w:val="008D4F0B"/>
    <w:rsid w:val="008D5011"/>
    <w:rsid w:val="008D5064"/>
    <w:rsid w:val="008D507E"/>
    <w:rsid w:val="008D51A5"/>
    <w:rsid w:val="008D51B9"/>
    <w:rsid w:val="008D51BD"/>
    <w:rsid w:val="008D5260"/>
    <w:rsid w:val="008D52BA"/>
    <w:rsid w:val="008D530D"/>
    <w:rsid w:val="008D53AC"/>
    <w:rsid w:val="008D54A6"/>
    <w:rsid w:val="008D56CF"/>
    <w:rsid w:val="008D5798"/>
    <w:rsid w:val="008D57A0"/>
    <w:rsid w:val="008D57BA"/>
    <w:rsid w:val="008D5956"/>
    <w:rsid w:val="008D5A28"/>
    <w:rsid w:val="008D5B5B"/>
    <w:rsid w:val="008D5C0E"/>
    <w:rsid w:val="008D5E35"/>
    <w:rsid w:val="008D5E92"/>
    <w:rsid w:val="008D6000"/>
    <w:rsid w:val="008D62B2"/>
    <w:rsid w:val="008D6434"/>
    <w:rsid w:val="008D64CF"/>
    <w:rsid w:val="008D6578"/>
    <w:rsid w:val="008D65C0"/>
    <w:rsid w:val="008D6688"/>
    <w:rsid w:val="008D6690"/>
    <w:rsid w:val="008D6774"/>
    <w:rsid w:val="008D6830"/>
    <w:rsid w:val="008D69EB"/>
    <w:rsid w:val="008D6A06"/>
    <w:rsid w:val="008D6A8C"/>
    <w:rsid w:val="008D6B09"/>
    <w:rsid w:val="008D6B92"/>
    <w:rsid w:val="008D6B95"/>
    <w:rsid w:val="008D6BAF"/>
    <w:rsid w:val="008D6BD4"/>
    <w:rsid w:val="008D6C6D"/>
    <w:rsid w:val="008D6CDC"/>
    <w:rsid w:val="008D6D84"/>
    <w:rsid w:val="008D6E5B"/>
    <w:rsid w:val="008D6E6A"/>
    <w:rsid w:val="008D6E6C"/>
    <w:rsid w:val="008D6E7D"/>
    <w:rsid w:val="008D71A7"/>
    <w:rsid w:val="008D720D"/>
    <w:rsid w:val="008D72CF"/>
    <w:rsid w:val="008D731D"/>
    <w:rsid w:val="008D732A"/>
    <w:rsid w:val="008D73A5"/>
    <w:rsid w:val="008D74A3"/>
    <w:rsid w:val="008D757F"/>
    <w:rsid w:val="008D75D8"/>
    <w:rsid w:val="008D762A"/>
    <w:rsid w:val="008D7683"/>
    <w:rsid w:val="008D774E"/>
    <w:rsid w:val="008D784A"/>
    <w:rsid w:val="008D792E"/>
    <w:rsid w:val="008D7B0B"/>
    <w:rsid w:val="008D7BCE"/>
    <w:rsid w:val="008D7C2B"/>
    <w:rsid w:val="008D7C89"/>
    <w:rsid w:val="008D7E24"/>
    <w:rsid w:val="008D7E45"/>
    <w:rsid w:val="008D7E81"/>
    <w:rsid w:val="008D7EBE"/>
    <w:rsid w:val="008D7EFA"/>
    <w:rsid w:val="008D7FCF"/>
    <w:rsid w:val="008D7FE5"/>
    <w:rsid w:val="008D98F3"/>
    <w:rsid w:val="008E04EC"/>
    <w:rsid w:val="008E0555"/>
    <w:rsid w:val="008E05EC"/>
    <w:rsid w:val="008E05F6"/>
    <w:rsid w:val="008E07D7"/>
    <w:rsid w:val="008E081E"/>
    <w:rsid w:val="008E083C"/>
    <w:rsid w:val="008E08A2"/>
    <w:rsid w:val="008E094B"/>
    <w:rsid w:val="008E0A94"/>
    <w:rsid w:val="008E0B1E"/>
    <w:rsid w:val="008E0B76"/>
    <w:rsid w:val="008E0BE9"/>
    <w:rsid w:val="008E0C46"/>
    <w:rsid w:val="008E0CB1"/>
    <w:rsid w:val="008E0E71"/>
    <w:rsid w:val="008E0F81"/>
    <w:rsid w:val="008E115A"/>
    <w:rsid w:val="008E11CE"/>
    <w:rsid w:val="008E120E"/>
    <w:rsid w:val="008E12BF"/>
    <w:rsid w:val="008E131E"/>
    <w:rsid w:val="008E1340"/>
    <w:rsid w:val="008E136C"/>
    <w:rsid w:val="008E1398"/>
    <w:rsid w:val="008E13CA"/>
    <w:rsid w:val="008E13E7"/>
    <w:rsid w:val="008E155C"/>
    <w:rsid w:val="008E1719"/>
    <w:rsid w:val="008E1730"/>
    <w:rsid w:val="008E187D"/>
    <w:rsid w:val="008E1936"/>
    <w:rsid w:val="008E198E"/>
    <w:rsid w:val="008E1A4E"/>
    <w:rsid w:val="008E1AB4"/>
    <w:rsid w:val="008E1AE7"/>
    <w:rsid w:val="008E1BF5"/>
    <w:rsid w:val="008E1C5A"/>
    <w:rsid w:val="008E1C80"/>
    <w:rsid w:val="008E1D6B"/>
    <w:rsid w:val="008E1F98"/>
    <w:rsid w:val="008E1FD3"/>
    <w:rsid w:val="008E1FDE"/>
    <w:rsid w:val="008E20B7"/>
    <w:rsid w:val="008E20CB"/>
    <w:rsid w:val="008E20D1"/>
    <w:rsid w:val="008E2184"/>
    <w:rsid w:val="008E22D9"/>
    <w:rsid w:val="008E230E"/>
    <w:rsid w:val="008E2327"/>
    <w:rsid w:val="008E2436"/>
    <w:rsid w:val="008E2487"/>
    <w:rsid w:val="008E251E"/>
    <w:rsid w:val="008E256D"/>
    <w:rsid w:val="008E26D2"/>
    <w:rsid w:val="008E26FD"/>
    <w:rsid w:val="008E282D"/>
    <w:rsid w:val="008E286B"/>
    <w:rsid w:val="008E28AE"/>
    <w:rsid w:val="008E28D6"/>
    <w:rsid w:val="008E2919"/>
    <w:rsid w:val="008E2921"/>
    <w:rsid w:val="008E296C"/>
    <w:rsid w:val="008E29D3"/>
    <w:rsid w:val="008E2C73"/>
    <w:rsid w:val="008E2CF3"/>
    <w:rsid w:val="008E2DE9"/>
    <w:rsid w:val="008E2E49"/>
    <w:rsid w:val="008E2EB9"/>
    <w:rsid w:val="008E2ECA"/>
    <w:rsid w:val="008E3059"/>
    <w:rsid w:val="008E30F8"/>
    <w:rsid w:val="008E3186"/>
    <w:rsid w:val="008E329C"/>
    <w:rsid w:val="008E3319"/>
    <w:rsid w:val="008E33C5"/>
    <w:rsid w:val="008E33D2"/>
    <w:rsid w:val="008E3408"/>
    <w:rsid w:val="008E3481"/>
    <w:rsid w:val="008E34BA"/>
    <w:rsid w:val="008E34D8"/>
    <w:rsid w:val="008E35E3"/>
    <w:rsid w:val="008E3689"/>
    <w:rsid w:val="008E3966"/>
    <w:rsid w:val="008E3968"/>
    <w:rsid w:val="008E3970"/>
    <w:rsid w:val="008E3B5E"/>
    <w:rsid w:val="008E3BB2"/>
    <w:rsid w:val="008E3C74"/>
    <w:rsid w:val="008E3D26"/>
    <w:rsid w:val="008E3DD2"/>
    <w:rsid w:val="008E3E3A"/>
    <w:rsid w:val="008E3EBA"/>
    <w:rsid w:val="008E3EC6"/>
    <w:rsid w:val="008E3EDA"/>
    <w:rsid w:val="008E3F89"/>
    <w:rsid w:val="008E3FFC"/>
    <w:rsid w:val="008E410A"/>
    <w:rsid w:val="008E41F9"/>
    <w:rsid w:val="008E441F"/>
    <w:rsid w:val="008E448D"/>
    <w:rsid w:val="008E44BF"/>
    <w:rsid w:val="008E44F7"/>
    <w:rsid w:val="008E454A"/>
    <w:rsid w:val="008E473B"/>
    <w:rsid w:val="008E4746"/>
    <w:rsid w:val="008E4762"/>
    <w:rsid w:val="008E4953"/>
    <w:rsid w:val="008E499D"/>
    <w:rsid w:val="008E4AD5"/>
    <w:rsid w:val="008E4E58"/>
    <w:rsid w:val="008E4E84"/>
    <w:rsid w:val="008E4EBC"/>
    <w:rsid w:val="008E4EC8"/>
    <w:rsid w:val="008E4EFC"/>
    <w:rsid w:val="008E4F35"/>
    <w:rsid w:val="008E4FB8"/>
    <w:rsid w:val="008E4FD5"/>
    <w:rsid w:val="008E4FE1"/>
    <w:rsid w:val="008E5007"/>
    <w:rsid w:val="008E51A8"/>
    <w:rsid w:val="008E5230"/>
    <w:rsid w:val="008E53AE"/>
    <w:rsid w:val="008E5401"/>
    <w:rsid w:val="008E5463"/>
    <w:rsid w:val="008E5532"/>
    <w:rsid w:val="008E5580"/>
    <w:rsid w:val="008E56DA"/>
    <w:rsid w:val="008E56E3"/>
    <w:rsid w:val="008E571A"/>
    <w:rsid w:val="008E574D"/>
    <w:rsid w:val="008E57EE"/>
    <w:rsid w:val="008E582A"/>
    <w:rsid w:val="008E5868"/>
    <w:rsid w:val="008E58E4"/>
    <w:rsid w:val="008E59A9"/>
    <w:rsid w:val="008E59C8"/>
    <w:rsid w:val="008E59DF"/>
    <w:rsid w:val="008E5A03"/>
    <w:rsid w:val="008E5A5C"/>
    <w:rsid w:val="008E5AA6"/>
    <w:rsid w:val="008E5AC5"/>
    <w:rsid w:val="008E5ADD"/>
    <w:rsid w:val="008E5BDF"/>
    <w:rsid w:val="008E5C80"/>
    <w:rsid w:val="008E5D08"/>
    <w:rsid w:val="008E5D3C"/>
    <w:rsid w:val="008E5DBE"/>
    <w:rsid w:val="008E5E98"/>
    <w:rsid w:val="008E5EF4"/>
    <w:rsid w:val="008E5FD3"/>
    <w:rsid w:val="008E602E"/>
    <w:rsid w:val="008E60C4"/>
    <w:rsid w:val="008E60E5"/>
    <w:rsid w:val="008E629D"/>
    <w:rsid w:val="008E62FB"/>
    <w:rsid w:val="008E63C9"/>
    <w:rsid w:val="008E64D6"/>
    <w:rsid w:val="008E665F"/>
    <w:rsid w:val="008E687A"/>
    <w:rsid w:val="008E68E1"/>
    <w:rsid w:val="008E691D"/>
    <w:rsid w:val="008E6A6A"/>
    <w:rsid w:val="008E6CFE"/>
    <w:rsid w:val="008E6E01"/>
    <w:rsid w:val="008E6F0E"/>
    <w:rsid w:val="008E6F6D"/>
    <w:rsid w:val="008E6FE8"/>
    <w:rsid w:val="008E71D6"/>
    <w:rsid w:val="008E722B"/>
    <w:rsid w:val="008E731D"/>
    <w:rsid w:val="008E73B0"/>
    <w:rsid w:val="008E7544"/>
    <w:rsid w:val="008E75AB"/>
    <w:rsid w:val="008E75D4"/>
    <w:rsid w:val="008E760C"/>
    <w:rsid w:val="008E7664"/>
    <w:rsid w:val="008E76B4"/>
    <w:rsid w:val="008E76CA"/>
    <w:rsid w:val="008E76E6"/>
    <w:rsid w:val="008E7773"/>
    <w:rsid w:val="008E78F6"/>
    <w:rsid w:val="008E7980"/>
    <w:rsid w:val="008E7AD8"/>
    <w:rsid w:val="008E7B4B"/>
    <w:rsid w:val="008E7B87"/>
    <w:rsid w:val="008E7B98"/>
    <w:rsid w:val="008E7C94"/>
    <w:rsid w:val="008E7CB7"/>
    <w:rsid w:val="008E7E6E"/>
    <w:rsid w:val="008E7F34"/>
    <w:rsid w:val="008E7F42"/>
    <w:rsid w:val="008EA9C4"/>
    <w:rsid w:val="008F0112"/>
    <w:rsid w:val="008F015B"/>
    <w:rsid w:val="008F0182"/>
    <w:rsid w:val="008F0236"/>
    <w:rsid w:val="008F0257"/>
    <w:rsid w:val="008F0265"/>
    <w:rsid w:val="008F0343"/>
    <w:rsid w:val="008F03DB"/>
    <w:rsid w:val="008F0410"/>
    <w:rsid w:val="008F04E5"/>
    <w:rsid w:val="008F0516"/>
    <w:rsid w:val="008F05D8"/>
    <w:rsid w:val="008F06BE"/>
    <w:rsid w:val="008F07B4"/>
    <w:rsid w:val="008F07D3"/>
    <w:rsid w:val="008F07E2"/>
    <w:rsid w:val="008F080B"/>
    <w:rsid w:val="008F0927"/>
    <w:rsid w:val="008F09B1"/>
    <w:rsid w:val="008F0A83"/>
    <w:rsid w:val="008F0B99"/>
    <w:rsid w:val="008F0BE7"/>
    <w:rsid w:val="008F0C9C"/>
    <w:rsid w:val="008F0CB7"/>
    <w:rsid w:val="008F0D1A"/>
    <w:rsid w:val="008F0D21"/>
    <w:rsid w:val="008F0E55"/>
    <w:rsid w:val="008F0E84"/>
    <w:rsid w:val="008F0F0F"/>
    <w:rsid w:val="008F0F4E"/>
    <w:rsid w:val="008F1147"/>
    <w:rsid w:val="008F11BC"/>
    <w:rsid w:val="008F11EE"/>
    <w:rsid w:val="008F1567"/>
    <w:rsid w:val="008F1621"/>
    <w:rsid w:val="008F17BD"/>
    <w:rsid w:val="008F187F"/>
    <w:rsid w:val="008F1942"/>
    <w:rsid w:val="008F195A"/>
    <w:rsid w:val="008F1A09"/>
    <w:rsid w:val="008F1A2F"/>
    <w:rsid w:val="008F1BCD"/>
    <w:rsid w:val="008F1DBE"/>
    <w:rsid w:val="008F1E26"/>
    <w:rsid w:val="008F1E5F"/>
    <w:rsid w:val="008F1F38"/>
    <w:rsid w:val="008F1F49"/>
    <w:rsid w:val="008F1FBD"/>
    <w:rsid w:val="008F2014"/>
    <w:rsid w:val="008F2065"/>
    <w:rsid w:val="008F20F9"/>
    <w:rsid w:val="008F21CA"/>
    <w:rsid w:val="008F21D4"/>
    <w:rsid w:val="008F2302"/>
    <w:rsid w:val="008F2358"/>
    <w:rsid w:val="008F2428"/>
    <w:rsid w:val="008F2442"/>
    <w:rsid w:val="008F249C"/>
    <w:rsid w:val="008F24CC"/>
    <w:rsid w:val="008F256F"/>
    <w:rsid w:val="008F263B"/>
    <w:rsid w:val="008F2652"/>
    <w:rsid w:val="008F26DC"/>
    <w:rsid w:val="008F26F6"/>
    <w:rsid w:val="008F2764"/>
    <w:rsid w:val="008F27C5"/>
    <w:rsid w:val="008F27FB"/>
    <w:rsid w:val="008F2816"/>
    <w:rsid w:val="008F289E"/>
    <w:rsid w:val="008F28B6"/>
    <w:rsid w:val="008F28F0"/>
    <w:rsid w:val="008F2927"/>
    <w:rsid w:val="008F29C1"/>
    <w:rsid w:val="008F2A6B"/>
    <w:rsid w:val="008F2BB5"/>
    <w:rsid w:val="008F2D2A"/>
    <w:rsid w:val="008F2DB4"/>
    <w:rsid w:val="008F2E3E"/>
    <w:rsid w:val="008F2E8B"/>
    <w:rsid w:val="008F2F5B"/>
    <w:rsid w:val="008F312C"/>
    <w:rsid w:val="008F3169"/>
    <w:rsid w:val="008F3223"/>
    <w:rsid w:val="008F3248"/>
    <w:rsid w:val="008F3283"/>
    <w:rsid w:val="008F32A4"/>
    <w:rsid w:val="008F3347"/>
    <w:rsid w:val="008F338F"/>
    <w:rsid w:val="008F33D9"/>
    <w:rsid w:val="008F3480"/>
    <w:rsid w:val="008F348D"/>
    <w:rsid w:val="008F34C2"/>
    <w:rsid w:val="008F3527"/>
    <w:rsid w:val="008F359A"/>
    <w:rsid w:val="008F35B7"/>
    <w:rsid w:val="008F3672"/>
    <w:rsid w:val="008F37AF"/>
    <w:rsid w:val="008F390F"/>
    <w:rsid w:val="008F397A"/>
    <w:rsid w:val="008F3A2C"/>
    <w:rsid w:val="008F3B70"/>
    <w:rsid w:val="008F3B86"/>
    <w:rsid w:val="008F3BB5"/>
    <w:rsid w:val="008F3BF9"/>
    <w:rsid w:val="008F3C39"/>
    <w:rsid w:val="008F3D0E"/>
    <w:rsid w:val="008F3D43"/>
    <w:rsid w:val="008F3D94"/>
    <w:rsid w:val="008F3DBC"/>
    <w:rsid w:val="008F4022"/>
    <w:rsid w:val="008F404A"/>
    <w:rsid w:val="008F4069"/>
    <w:rsid w:val="008F42F0"/>
    <w:rsid w:val="008F438C"/>
    <w:rsid w:val="008F43C4"/>
    <w:rsid w:val="008F43F6"/>
    <w:rsid w:val="008F4482"/>
    <w:rsid w:val="008F44CD"/>
    <w:rsid w:val="008F44CE"/>
    <w:rsid w:val="008F44DD"/>
    <w:rsid w:val="008F4602"/>
    <w:rsid w:val="008F4629"/>
    <w:rsid w:val="008F46A7"/>
    <w:rsid w:val="008F4755"/>
    <w:rsid w:val="008F47A8"/>
    <w:rsid w:val="008F47E8"/>
    <w:rsid w:val="008F48CE"/>
    <w:rsid w:val="008F4930"/>
    <w:rsid w:val="008F4935"/>
    <w:rsid w:val="008F49CC"/>
    <w:rsid w:val="008F49FF"/>
    <w:rsid w:val="008F4BB7"/>
    <w:rsid w:val="008F4BFB"/>
    <w:rsid w:val="008F4C2F"/>
    <w:rsid w:val="008F4D03"/>
    <w:rsid w:val="008F4D17"/>
    <w:rsid w:val="008F4D5F"/>
    <w:rsid w:val="008F4DAB"/>
    <w:rsid w:val="008F4E33"/>
    <w:rsid w:val="008F4EA7"/>
    <w:rsid w:val="008F4F71"/>
    <w:rsid w:val="008F4F76"/>
    <w:rsid w:val="008F506A"/>
    <w:rsid w:val="008F512C"/>
    <w:rsid w:val="008F515A"/>
    <w:rsid w:val="008F51B3"/>
    <w:rsid w:val="008F51B4"/>
    <w:rsid w:val="008F51C8"/>
    <w:rsid w:val="008F51E2"/>
    <w:rsid w:val="008F51F3"/>
    <w:rsid w:val="008F524F"/>
    <w:rsid w:val="008F52CE"/>
    <w:rsid w:val="008F539D"/>
    <w:rsid w:val="008F53A5"/>
    <w:rsid w:val="008F53DF"/>
    <w:rsid w:val="008F53EC"/>
    <w:rsid w:val="008F5416"/>
    <w:rsid w:val="008F550A"/>
    <w:rsid w:val="008F5546"/>
    <w:rsid w:val="008F558A"/>
    <w:rsid w:val="008F55CA"/>
    <w:rsid w:val="008F5611"/>
    <w:rsid w:val="008F5639"/>
    <w:rsid w:val="008F56B4"/>
    <w:rsid w:val="008F56B6"/>
    <w:rsid w:val="008F57D9"/>
    <w:rsid w:val="008F595A"/>
    <w:rsid w:val="008F5A61"/>
    <w:rsid w:val="008F5B6C"/>
    <w:rsid w:val="008F5C48"/>
    <w:rsid w:val="008F5C4F"/>
    <w:rsid w:val="008F5C68"/>
    <w:rsid w:val="008F5CBF"/>
    <w:rsid w:val="008F5CEA"/>
    <w:rsid w:val="008F5DDD"/>
    <w:rsid w:val="008F5E38"/>
    <w:rsid w:val="008F5EA6"/>
    <w:rsid w:val="008F5EAE"/>
    <w:rsid w:val="008F60AB"/>
    <w:rsid w:val="008F60B1"/>
    <w:rsid w:val="008F60CB"/>
    <w:rsid w:val="008F60FA"/>
    <w:rsid w:val="008F614B"/>
    <w:rsid w:val="008F6168"/>
    <w:rsid w:val="008F649C"/>
    <w:rsid w:val="008F64C5"/>
    <w:rsid w:val="008F64CE"/>
    <w:rsid w:val="008F64D1"/>
    <w:rsid w:val="008F653F"/>
    <w:rsid w:val="008F655F"/>
    <w:rsid w:val="008F668B"/>
    <w:rsid w:val="008F66F5"/>
    <w:rsid w:val="008F6709"/>
    <w:rsid w:val="008F6779"/>
    <w:rsid w:val="008F68D5"/>
    <w:rsid w:val="008F696B"/>
    <w:rsid w:val="008F69B1"/>
    <w:rsid w:val="008F69C0"/>
    <w:rsid w:val="008F6A8F"/>
    <w:rsid w:val="008F6ADE"/>
    <w:rsid w:val="008F6C13"/>
    <w:rsid w:val="008F6EC2"/>
    <w:rsid w:val="008F6F1B"/>
    <w:rsid w:val="008F6F56"/>
    <w:rsid w:val="008F6FDA"/>
    <w:rsid w:val="008F7032"/>
    <w:rsid w:val="008F70DD"/>
    <w:rsid w:val="008F71F7"/>
    <w:rsid w:val="008F7246"/>
    <w:rsid w:val="008F726C"/>
    <w:rsid w:val="008F727F"/>
    <w:rsid w:val="008F72AB"/>
    <w:rsid w:val="008F72B4"/>
    <w:rsid w:val="008F7305"/>
    <w:rsid w:val="008F732F"/>
    <w:rsid w:val="008F733E"/>
    <w:rsid w:val="008F738E"/>
    <w:rsid w:val="008F746E"/>
    <w:rsid w:val="008F751C"/>
    <w:rsid w:val="008F7547"/>
    <w:rsid w:val="008F7602"/>
    <w:rsid w:val="008F7674"/>
    <w:rsid w:val="008F7686"/>
    <w:rsid w:val="008F779B"/>
    <w:rsid w:val="008F7A04"/>
    <w:rsid w:val="008F7B27"/>
    <w:rsid w:val="008F7B70"/>
    <w:rsid w:val="008F7BCA"/>
    <w:rsid w:val="008F7BD2"/>
    <w:rsid w:val="008F7BD9"/>
    <w:rsid w:val="008F7C87"/>
    <w:rsid w:val="008F7CD5"/>
    <w:rsid w:val="008F7D06"/>
    <w:rsid w:val="008F7DA3"/>
    <w:rsid w:val="008F7DB8"/>
    <w:rsid w:val="008F7EEF"/>
    <w:rsid w:val="008F7F29"/>
    <w:rsid w:val="008FB8A7"/>
    <w:rsid w:val="009000D3"/>
    <w:rsid w:val="00900157"/>
    <w:rsid w:val="009003C0"/>
    <w:rsid w:val="009003CF"/>
    <w:rsid w:val="009003F8"/>
    <w:rsid w:val="00900433"/>
    <w:rsid w:val="00900478"/>
    <w:rsid w:val="00900564"/>
    <w:rsid w:val="009005B8"/>
    <w:rsid w:val="009005C1"/>
    <w:rsid w:val="00900618"/>
    <w:rsid w:val="00900683"/>
    <w:rsid w:val="0090085B"/>
    <w:rsid w:val="00900926"/>
    <w:rsid w:val="0090097C"/>
    <w:rsid w:val="00900998"/>
    <w:rsid w:val="009009CD"/>
    <w:rsid w:val="009009E9"/>
    <w:rsid w:val="00900A0E"/>
    <w:rsid w:val="00900B6C"/>
    <w:rsid w:val="00900B78"/>
    <w:rsid w:val="00900CA9"/>
    <w:rsid w:val="00900CC4"/>
    <w:rsid w:val="00900D08"/>
    <w:rsid w:val="00900EBC"/>
    <w:rsid w:val="00900F46"/>
    <w:rsid w:val="00901024"/>
    <w:rsid w:val="0090102A"/>
    <w:rsid w:val="009011F3"/>
    <w:rsid w:val="0090127D"/>
    <w:rsid w:val="009013F6"/>
    <w:rsid w:val="00901469"/>
    <w:rsid w:val="009014EA"/>
    <w:rsid w:val="009014F8"/>
    <w:rsid w:val="00901557"/>
    <w:rsid w:val="00901682"/>
    <w:rsid w:val="0090170B"/>
    <w:rsid w:val="00901A5F"/>
    <w:rsid w:val="00901A99"/>
    <w:rsid w:val="00901AC7"/>
    <w:rsid w:val="00901B30"/>
    <w:rsid w:val="00901E69"/>
    <w:rsid w:val="00901F34"/>
    <w:rsid w:val="00901F57"/>
    <w:rsid w:val="00901F8C"/>
    <w:rsid w:val="0090205F"/>
    <w:rsid w:val="00902065"/>
    <w:rsid w:val="00902119"/>
    <w:rsid w:val="0090225D"/>
    <w:rsid w:val="0090228D"/>
    <w:rsid w:val="009022C4"/>
    <w:rsid w:val="009022E5"/>
    <w:rsid w:val="009022EA"/>
    <w:rsid w:val="0090241E"/>
    <w:rsid w:val="009024C7"/>
    <w:rsid w:val="00902506"/>
    <w:rsid w:val="0090250E"/>
    <w:rsid w:val="0090258E"/>
    <w:rsid w:val="0090263F"/>
    <w:rsid w:val="0090264C"/>
    <w:rsid w:val="0090267D"/>
    <w:rsid w:val="00902770"/>
    <w:rsid w:val="00902804"/>
    <w:rsid w:val="00902910"/>
    <w:rsid w:val="0090298F"/>
    <w:rsid w:val="009029B5"/>
    <w:rsid w:val="009029DF"/>
    <w:rsid w:val="00902BCD"/>
    <w:rsid w:val="00902CB0"/>
    <w:rsid w:val="00902D0B"/>
    <w:rsid w:val="00902D3A"/>
    <w:rsid w:val="00902D44"/>
    <w:rsid w:val="00902DE1"/>
    <w:rsid w:val="00902DE3"/>
    <w:rsid w:val="00902DF9"/>
    <w:rsid w:val="00902E2D"/>
    <w:rsid w:val="00902E73"/>
    <w:rsid w:val="00903116"/>
    <w:rsid w:val="00903117"/>
    <w:rsid w:val="0090313F"/>
    <w:rsid w:val="00903158"/>
    <w:rsid w:val="009031F2"/>
    <w:rsid w:val="0090334E"/>
    <w:rsid w:val="009034F1"/>
    <w:rsid w:val="0090351F"/>
    <w:rsid w:val="00903534"/>
    <w:rsid w:val="0090357C"/>
    <w:rsid w:val="00903686"/>
    <w:rsid w:val="00903756"/>
    <w:rsid w:val="009037C2"/>
    <w:rsid w:val="00903906"/>
    <w:rsid w:val="009039C5"/>
    <w:rsid w:val="009039C7"/>
    <w:rsid w:val="00903A0F"/>
    <w:rsid w:val="00903A3D"/>
    <w:rsid w:val="00903A86"/>
    <w:rsid w:val="00903BC0"/>
    <w:rsid w:val="00903C18"/>
    <w:rsid w:val="00903CEB"/>
    <w:rsid w:val="00903D64"/>
    <w:rsid w:val="00903F50"/>
    <w:rsid w:val="00904044"/>
    <w:rsid w:val="0090409F"/>
    <w:rsid w:val="009040AA"/>
    <w:rsid w:val="009040CF"/>
    <w:rsid w:val="00904224"/>
    <w:rsid w:val="0090431A"/>
    <w:rsid w:val="00904384"/>
    <w:rsid w:val="009043E6"/>
    <w:rsid w:val="00904405"/>
    <w:rsid w:val="00904417"/>
    <w:rsid w:val="00904477"/>
    <w:rsid w:val="0090452C"/>
    <w:rsid w:val="009045EF"/>
    <w:rsid w:val="0090476A"/>
    <w:rsid w:val="0090488C"/>
    <w:rsid w:val="009048DA"/>
    <w:rsid w:val="009049B4"/>
    <w:rsid w:val="00904A6F"/>
    <w:rsid w:val="00904A98"/>
    <w:rsid w:val="00904B7C"/>
    <w:rsid w:val="00904BC9"/>
    <w:rsid w:val="00904C4C"/>
    <w:rsid w:val="00904DAE"/>
    <w:rsid w:val="00904DB4"/>
    <w:rsid w:val="00904E0C"/>
    <w:rsid w:val="00904EBE"/>
    <w:rsid w:val="00904FC2"/>
    <w:rsid w:val="00905113"/>
    <w:rsid w:val="0090515D"/>
    <w:rsid w:val="009051D9"/>
    <w:rsid w:val="0090521E"/>
    <w:rsid w:val="0090522E"/>
    <w:rsid w:val="009052DE"/>
    <w:rsid w:val="009052E7"/>
    <w:rsid w:val="00905406"/>
    <w:rsid w:val="00905477"/>
    <w:rsid w:val="009054AA"/>
    <w:rsid w:val="00905562"/>
    <w:rsid w:val="009055D3"/>
    <w:rsid w:val="009055DE"/>
    <w:rsid w:val="00905652"/>
    <w:rsid w:val="0090567A"/>
    <w:rsid w:val="009056B8"/>
    <w:rsid w:val="009056BF"/>
    <w:rsid w:val="00905785"/>
    <w:rsid w:val="009057B1"/>
    <w:rsid w:val="0090582D"/>
    <w:rsid w:val="0090583C"/>
    <w:rsid w:val="009058CD"/>
    <w:rsid w:val="009058FB"/>
    <w:rsid w:val="00905A05"/>
    <w:rsid w:val="00905A64"/>
    <w:rsid w:val="00905B2A"/>
    <w:rsid w:val="00905E4A"/>
    <w:rsid w:val="0090605F"/>
    <w:rsid w:val="00906142"/>
    <w:rsid w:val="00906274"/>
    <w:rsid w:val="0090629A"/>
    <w:rsid w:val="009062C5"/>
    <w:rsid w:val="00906438"/>
    <w:rsid w:val="00906570"/>
    <w:rsid w:val="00906578"/>
    <w:rsid w:val="00906711"/>
    <w:rsid w:val="0090673B"/>
    <w:rsid w:val="00906855"/>
    <w:rsid w:val="0090687F"/>
    <w:rsid w:val="00906889"/>
    <w:rsid w:val="009068B6"/>
    <w:rsid w:val="009068F4"/>
    <w:rsid w:val="009068F6"/>
    <w:rsid w:val="00906A50"/>
    <w:rsid w:val="00906A8A"/>
    <w:rsid w:val="00906AD5"/>
    <w:rsid w:val="00906C30"/>
    <w:rsid w:val="00906CF3"/>
    <w:rsid w:val="00906D76"/>
    <w:rsid w:val="00906D82"/>
    <w:rsid w:val="00906E03"/>
    <w:rsid w:val="00906E32"/>
    <w:rsid w:val="00906ECA"/>
    <w:rsid w:val="00906F20"/>
    <w:rsid w:val="00906F6E"/>
    <w:rsid w:val="00906FAD"/>
    <w:rsid w:val="0090700A"/>
    <w:rsid w:val="0090701B"/>
    <w:rsid w:val="00907115"/>
    <w:rsid w:val="0090725F"/>
    <w:rsid w:val="00907305"/>
    <w:rsid w:val="0090747F"/>
    <w:rsid w:val="009074D7"/>
    <w:rsid w:val="00907520"/>
    <w:rsid w:val="00907524"/>
    <w:rsid w:val="0090757F"/>
    <w:rsid w:val="009076A7"/>
    <w:rsid w:val="009076F6"/>
    <w:rsid w:val="00907737"/>
    <w:rsid w:val="009077BD"/>
    <w:rsid w:val="009077D5"/>
    <w:rsid w:val="00907831"/>
    <w:rsid w:val="0090786E"/>
    <w:rsid w:val="009078EF"/>
    <w:rsid w:val="00907932"/>
    <w:rsid w:val="009079AB"/>
    <w:rsid w:val="009079AF"/>
    <w:rsid w:val="00907A7C"/>
    <w:rsid w:val="00907AEB"/>
    <w:rsid w:val="00907B2C"/>
    <w:rsid w:val="00907BD4"/>
    <w:rsid w:val="00907C1A"/>
    <w:rsid w:val="00907C5D"/>
    <w:rsid w:val="00907CAA"/>
    <w:rsid w:val="00907DFD"/>
    <w:rsid w:val="00907F3D"/>
    <w:rsid w:val="00907F98"/>
    <w:rsid w:val="009100AB"/>
    <w:rsid w:val="00910111"/>
    <w:rsid w:val="00910119"/>
    <w:rsid w:val="0091031E"/>
    <w:rsid w:val="00910320"/>
    <w:rsid w:val="0091048D"/>
    <w:rsid w:val="009104E4"/>
    <w:rsid w:val="00910568"/>
    <w:rsid w:val="0091059E"/>
    <w:rsid w:val="0091061E"/>
    <w:rsid w:val="0091063E"/>
    <w:rsid w:val="0091067B"/>
    <w:rsid w:val="00910692"/>
    <w:rsid w:val="009106E5"/>
    <w:rsid w:val="009107D7"/>
    <w:rsid w:val="00910848"/>
    <w:rsid w:val="00910853"/>
    <w:rsid w:val="00910945"/>
    <w:rsid w:val="009109C8"/>
    <w:rsid w:val="00910AF1"/>
    <w:rsid w:val="00910BD9"/>
    <w:rsid w:val="00910C17"/>
    <w:rsid w:val="00910C2A"/>
    <w:rsid w:val="00910CBB"/>
    <w:rsid w:val="00910DA1"/>
    <w:rsid w:val="00910DF1"/>
    <w:rsid w:val="00910E54"/>
    <w:rsid w:val="00910EF0"/>
    <w:rsid w:val="00910F02"/>
    <w:rsid w:val="00911052"/>
    <w:rsid w:val="0091105E"/>
    <w:rsid w:val="00911074"/>
    <w:rsid w:val="00911119"/>
    <w:rsid w:val="009111D5"/>
    <w:rsid w:val="009111DA"/>
    <w:rsid w:val="0091127E"/>
    <w:rsid w:val="009112FB"/>
    <w:rsid w:val="009112FF"/>
    <w:rsid w:val="00911353"/>
    <w:rsid w:val="009114C9"/>
    <w:rsid w:val="00911577"/>
    <w:rsid w:val="00911596"/>
    <w:rsid w:val="009115BB"/>
    <w:rsid w:val="009115F2"/>
    <w:rsid w:val="0091166B"/>
    <w:rsid w:val="009116B2"/>
    <w:rsid w:val="00911766"/>
    <w:rsid w:val="00911A11"/>
    <w:rsid w:val="00911A48"/>
    <w:rsid w:val="00911A82"/>
    <w:rsid w:val="00911AEE"/>
    <w:rsid w:val="00911B51"/>
    <w:rsid w:val="00911B6E"/>
    <w:rsid w:val="00911DA0"/>
    <w:rsid w:val="00911E32"/>
    <w:rsid w:val="00911E7D"/>
    <w:rsid w:val="00911EF5"/>
    <w:rsid w:val="00911F1B"/>
    <w:rsid w:val="00911F32"/>
    <w:rsid w:val="00911F7B"/>
    <w:rsid w:val="00911FB4"/>
    <w:rsid w:val="00911FCE"/>
    <w:rsid w:val="00912093"/>
    <w:rsid w:val="00912096"/>
    <w:rsid w:val="009120F9"/>
    <w:rsid w:val="00912108"/>
    <w:rsid w:val="0091212B"/>
    <w:rsid w:val="0091218F"/>
    <w:rsid w:val="009121FA"/>
    <w:rsid w:val="00912279"/>
    <w:rsid w:val="00912306"/>
    <w:rsid w:val="0091230F"/>
    <w:rsid w:val="00912338"/>
    <w:rsid w:val="00912457"/>
    <w:rsid w:val="0091250F"/>
    <w:rsid w:val="0091264B"/>
    <w:rsid w:val="009126B6"/>
    <w:rsid w:val="009126B7"/>
    <w:rsid w:val="00912754"/>
    <w:rsid w:val="009127F8"/>
    <w:rsid w:val="009128A7"/>
    <w:rsid w:val="009129F8"/>
    <w:rsid w:val="00912A4C"/>
    <w:rsid w:val="00912A83"/>
    <w:rsid w:val="00912BFB"/>
    <w:rsid w:val="00912C57"/>
    <w:rsid w:val="00912C6C"/>
    <w:rsid w:val="00912CB5"/>
    <w:rsid w:val="00912CE4"/>
    <w:rsid w:val="00912D27"/>
    <w:rsid w:val="00912D34"/>
    <w:rsid w:val="00912D75"/>
    <w:rsid w:val="00912E34"/>
    <w:rsid w:val="00912E44"/>
    <w:rsid w:val="00912EDE"/>
    <w:rsid w:val="00912F07"/>
    <w:rsid w:val="00912F91"/>
    <w:rsid w:val="00912FB6"/>
    <w:rsid w:val="0091306C"/>
    <w:rsid w:val="009130E0"/>
    <w:rsid w:val="0091316F"/>
    <w:rsid w:val="009132D0"/>
    <w:rsid w:val="0091336F"/>
    <w:rsid w:val="00913421"/>
    <w:rsid w:val="0091351C"/>
    <w:rsid w:val="009135A3"/>
    <w:rsid w:val="009135D0"/>
    <w:rsid w:val="0091360F"/>
    <w:rsid w:val="0091367F"/>
    <w:rsid w:val="00913765"/>
    <w:rsid w:val="009138AC"/>
    <w:rsid w:val="009139E8"/>
    <w:rsid w:val="00913A78"/>
    <w:rsid w:val="00913B07"/>
    <w:rsid w:val="00913B11"/>
    <w:rsid w:val="00913BC2"/>
    <w:rsid w:val="00913C0D"/>
    <w:rsid w:val="00913C90"/>
    <w:rsid w:val="00913E02"/>
    <w:rsid w:val="00913E2A"/>
    <w:rsid w:val="00913EE7"/>
    <w:rsid w:val="0091402A"/>
    <w:rsid w:val="0091410E"/>
    <w:rsid w:val="00914170"/>
    <w:rsid w:val="00914174"/>
    <w:rsid w:val="0091419D"/>
    <w:rsid w:val="009141D5"/>
    <w:rsid w:val="009141FB"/>
    <w:rsid w:val="0091423F"/>
    <w:rsid w:val="00914252"/>
    <w:rsid w:val="0091426F"/>
    <w:rsid w:val="00914280"/>
    <w:rsid w:val="00914356"/>
    <w:rsid w:val="009143A9"/>
    <w:rsid w:val="009143C8"/>
    <w:rsid w:val="009143E7"/>
    <w:rsid w:val="009144CB"/>
    <w:rsid w:val="009145AC"/>
    <w:rsid w:val="00914685"/>
    <w:rsid w:val="009146B2"/>
    <w:rsid w:val="0091484C"/>
    <w:rsid w:val="00914957"/>
    <w:rsid w:val="00914AB5"/>
    <w:rsid w:val="00914B27"/>
    <w:rsid w:val="00914B31"/>
    <w:rsid w:val="00914B8F"/>
    <w:rsid w:val="00914C48"/>
    <w:rsid w:val="00914C7A"/>
    <w:rsid w:val="00914CD0"/>
    <w:rsid w:val="00914D49"/>
    <w:rsid w:val="00914D53"/>
    <w:rsid w:val="00914F16"/>
    <w:rsid w:val="00914FEB"/>
    <w:rsid w:val="0091503B"/>
    <w:rsid w:val="00915053"/>
    <w:rsid w:val="0091509A"/>
    <w:rsid w:val="00915234"/>
    <w:rsid w:val="0091527D"/>
    <w:rsid w:val="0091544D"/>
    <w:rsid w:val="00915748"/>
    <w:rsid w:val="00915811"/>
    <w:rsid w:val="00915821"/>
    <w:rsid w:val="009158BD"/>
    <w:rsid w:val="0091595D"/>
    <w:rsid w:val="00915975"/>
    <w:rsid w:val="00915A7A"/>
    <w:rsid w:val="00915B2E"/>
    <w:rsid w:val="00915E2D"/>
    <w:rsid w:val="00915E5A"/>
    <w:rsid w:val="00915E8D"/>
    <w:rsid w:val="00916068"/>
    <w:rsid w:val="00916098"/>
    <w:rsid w:val="0091609D"/>
    <w:rsid w:val="00916116"/>
    <w:rsid w:val="00916117"/>
    <w:rsid w:val="0091612A"/>
    <w:rsid w:val="009161B7"/>
    <w:rsid w:val="0091623D"/>
    <w:rsid w:val="0091637B"/>
    <w:rsid w:val="0091640D"/>
    <w:rsid w:val="00916568"/>
    <w:rsid w:val="00916590"/>
    <w:rsid w:val="0091659A"/>
    <w:rsid w:val="009165F5"/>
    <w:rsid w:val="0091665A"/>
    <w:rsid w:val="00916776"/>
    <w:rsid w:val="009167B8"/>
    <w:rsid w:val="0091691C"/>
    <w:rsid w:val="0091696C"/>
    <w:rsid w:val="00916974"/>
    <w:rsid w:val="009169D5"/>
    <w:rsid w:val="00916A42"/>
    <w:rsid w:val="00916A6B"/>
    <w:rsid w:val="00916AA6"/>
    <w:rsid w:val="00916BC2"/>
    <w:rsid w:val="00916C07"/>
    <w:rsid w:val="00916CCA"/>
    <w:rsid w:val="00916CE2"/>
    <w:rsid w:val="00916D00"/>
    <w:rsid w:val="00916D07"/>
    <w:rsid w:val="00916D62"/>
    <w:rsid w:val="00916DD0"/>
    <w:rsid w:val="00916E22"/>
    <w:rsid w:val="00916E69"/>
    <w:rsid w:val="00917059"/>
    <w:rsid w:val="00917067"/>
    <w:rsid w:val="00917158"/>
    <w:rsid w:val="0091720B"/>
    <w:rsid w:val="00917245"/>
    <w:rsid w:val="0091724E"/>
    <w:rsid w:val="00917382"/>
    <w:rsid w:val="00917454"/>
    <w:rsid w:val="00917471"/>
    <w:rsid w:val="00917490"/>
    <w:rsid w:val="009174D5"/>
    <w:rsid w:val="00917623"/>
    <w:rsid w:val="0091774A"/>
    <w:rsid w:val="0091784B"/>
    <w:rsid w:val="009178DC"/>
    <w:rsid w:val="009178DD"/>
    <w:rsid w:val="00917936"/>
    <w:rsid w:val="009179E8"/>
    <w:rsid w:val="00917A6F"/>
    <w:rsid w:val="00917B03"/>
    <w:rsid w:val="00917B9C"/>
    <w:rsid w:val="00917BDA"/>
    <w:rsid w:val="00917BE6"/>
    <w:rsid w:val="00917BF2"/>
    <w:rsid w:val="00917CB6"/>
    <w:rsid w:val="00917D7B"/>
    <w:rsid w:val="00917F8E"/>
    <w:rsid w:val="0092010C"/>
    <w:rsid w:val="0092011D"/>
    <w:rsid w:val="00920164"/>
    <w:rsid w:val="009201A4"/>
    <w:rsid w:val="00920309"/>
    <w:rsid w:val="0092039D"/>
    <w:rsid w:val="00920418"/>
    <w:rsid w:val="0092044A"/>
    <w:rsid w:val="009204DB"/>
    <w:rsid w:val="00920542"/>
    <w:rsid w:val="00920546"/>
    <w:rsid w:val="0092056D"/>
    <w:rsid w:val="009205F5"/>
    <w:rsid w:val="00920621"/>
    <w:rsid w:val="009206B6"/>
    <w:rsid w:val="009208B2"/>
    <w:rsid w:val="00920912"/>
    <w:rsid w:val="00920930"/>
    <w:rsid w:val="00920952"/>
    <w:rsid w:val="009209CD"/>
    <w:rsid w:val="00920ACC"/>
    <w:rsid w:val="00920B00"/>
    <w:rsid w:val="00920B27"/>
    <w:rsid w:val="00920BC8"/>
    <w:rsid w:val="00920C08"/>
    <w:rsid w:val="00920C2C"/>
    <w:rsid w:val="00920C4D"/>
    <w:rsid w:val="00920CA1"/>
    <w:rsid w:val="00920EB4"/>
    <w:rsid w:val="00920EF0"/>
    <w:rsid w:val="0092108B"/>
    <w:rsid w:val="0092109A"/>
    <w:rsid w:val="009210BF"/>
    <w:rsid w:val="009210EB"/>
    <w:rsid w:val="009211C5"/>
    <w:rsid w:val="0092121B"/>
    <w:rsid w:val="0092123F"/>
    <w:rsid w:val="00921244"/>
    <w:rsid w:val="00921333"/>
    <w:rsid w:val="00921506"/>
    <w:rsid w:val="009216A9"/>
    <w:rsid w:val="009216C8"/>
    <w:rsid w:val="0092186C"/>
    <w:rsid w:val="009218AF"/>
    <w:rsid w:val="009218C6"/>
    <w:rsid w:val="00921A4B"/>
    <w:rsid w:val="00921AD3"/>
    <w:rsid w:val="00921BC2"/>
    <w:rsid w:val="00921BD7"/>
    <w:rsid w:val="00921C56"/>
    <w:rsid w:val="00921C7A"/>
    <w:rsid w:val="00921D0F"/>
    <w:rsid w:val="00921D6A"/>
    <w:rsid w:val="00921E97"/>
    <w:rsid w:val="00921E99"/>
    <w:rsid w:val="00921EA8"/>
    <w:rsid w:val="00921EE1"/>
    <w:rsid w:val="00921F3D"/>
    <w:rsid w:val="00922139"/>
    <w:rsid w:val="009221F0"/>
    <w:rsid w:val="0092225D"/>
    <w:rsid w:val="009222AA"/>
    <w:rsid w:val="00922320"/>
    <w:rsid w:val="00922427"/>
    <w:rsid w:val="00922453"/>
    <w:rsid w:val="00922472"/>
    <w:rsid w:val="00922593"/>
    <w:rsid w:val="009225BF"/>
    <w:rsid w:val="009225CA"/>
    <w:rsid w:val="00922659"/>
    <w:rsid w:val="00922814"/>
    <w:rsid w:val="0092281D"/>
    <w:rsid w:val="00922948"/>
    <w:rsid w:val="009229D5"/>
    <w:rsid w:val="00922C60"/>
    <w:rsid w:val="00922C6B"/>
    <w:rsid w:val="00922C78"/>
    <w:rsid w:val="00922CE3"/>
    <w:rsid w:val="00922D6D"/>
    <w:rsid w:val="00922D99"/>
    <w:rsid w:val="00922E18"/>
    <w:rsid w:val="00922F6D"/>
    <w:rsid w:val="00922FF4"/>
    <w:rsid w:val="00923017"/>
    <w:rsid w:val="009230AE"/>
    <w:rsid w:val="009230B0"/>
    <w:rsid w:val="009230D0"/>
    <w:rsid w:val="0092315E"/>
    <w:rsid w:val="00923210"/>
    <w:rsid w:val="009232FD"/>
    <w:rsid w:val="0092336E"/>
    <w:rsid w:val="00923464"/>
    <w:rsid w:val="0092347E"/>
    <w:rsid w:val="00923551"/>
    <w:rsid w:val="009237AA"/>
    <w:rsid w:val="00923831"/>
    <w:rsid w:val="00923847"/>
    <w:rsid w:val="00923885"/>
    <w:rsid w:val="00923925"/>
    <w:rsid w:val="00923943"/>
    <w:rsid w:val="009239B3"/>
    <w:rsid w:val="00923AC5"/>
    <w:rsid w:val="00923AE7"/>
    <w:rsid w:val="00923B84"/>
    <w:rsid w:val="00923C4E"/>
    <w:rsid w:val="00923C87"/>
    <w:rsid w:val="00923CAB"/>
    <w:rsid w:val="00923CB5"/>
    <w:rsid w:val="00923D6B"/>
    <w:rsid w:val="00923D97"/>
    <w:rsid w:val="00923DBE"/>
    <w:rsid w:val="00923DF5"/>
    <w:rsid w:val="00923EDF"/>
    <w:rsid w:val="0092404E"/>
    <w:rsid w:val="009240F9"/>
    <w:rsid w:val="00924136"/>
    <w:rsid w:val="0092416D"/>
    <w:rsid w:val="00924176"/>
    <w:rsid w:val="00924196"/>
    <w:rsid w:val="00924212"/>
    <w:rsid w:val="009243B9"/>
    <w:rsid w:val="009244C1"/>
    <w:rsid w:val="009244D7"/>
    <w:rsid w:val="009244ED"/>
    <w:rsid w:val="0092454C"/>
    <w:rsid w:val="009245A2"/>
    <w:rsid w:val="00924613"/>
    <w:rsid w:val="009246EE"/>
    <w:rsid w:val="0092475A"/>
    <w:rsid w:val="0092483C"/>
    <w:rsid w:val="0092487D"/>
    <w:rsid w:val="00924972"/>
    <w:rsid w:val="00924A18"/>
    <w:rsid w:val="00924A5E"/>
    <w:rsid w:val="00924B84"/>
    <w:rsid w:val="00924BB8"/>
    <w:rsid w:val="00924C50"/>
    <w:rsid w:val="00924D24"/>
    <w:rsid w:val="00924D33"/>
    <w:rsid w:val="00924D35"/>
    <w:rsid w:val="00924D54"/>
    <w:rsid w:val="00924D56"/>
    <w:rsid w:val="00924DD6"/>
    <w:rsid w:val="00924E32"/>
    <w:rsid w:val="00924EBD"/>
    <w:rsid w:val="00924FFB"/>
    <w:rsid w:val="0092502D"/>
    <w:rsid w:val="009250E4"/>
    <w:rsid w:val="009251A1"/>
    <w:rsid w:val="009251CA"/>
    <w:rsid w:val="0092523A"/>
    <w:rsid w:val="009252B6"/>
    <w:rsid w:val="00925328"/>
    <w:rsid w:val="00925524"/>
    <w:rsid w:val="009255BE"/>
    <w:rsid w:val="00925782"/>
    <w:rsid w:val="009257AD"/>
    <w:rsid w:val="00925938"/>
    <w:rsid w:val="009259D1"/>
    <w:rsid w:val="00925AA9"/>
    <w:rsid w:val="00925AF1"/>
    <w:rsid w:val="00925B12"/>
    <w:rsid w:val="00925B2C"/>
    <w:rsid w:val="00925B53"/>
    <w:rsid w:val="00925BB5"/>
    <w:rsid w:val="00925CC2"/>
    <w:rsid w:val="00925CFA"/>
    <w:rsid w:val="00925D98"/>
    <w:rsid w:val="00925DF6"/>
    <w:rsid w:val="00925E48"/>
    <w:rsid w:val="00925E49"/>
    <w:rsid w:val="00925EBB"/>
    <w:rsid w:val="00925ED3"/>
    <w:rsid w:val="00925F76"/>
    <w:rsid w:val="00926072"/>
    <w:rsid w:val="00926126"/>
    <w:rsid w:val="009261FA"/>
    <w:rsid w:val="00926265"/>
    <w:rsid w:val="0092627E"/>
    <w:rsid w:val="009262F8"/>
    <w:rsid w:val="009263BA"/>
    <w:rsid w:val="009263C0"/>
    <w:rsid w:val="009263F8"/>
    <w:rsid w:val="0092643A"/>
    <w:rsid w:val="00926479"/>
    <w:rsid w:val="0092647E"/>
    <w:rsid w:val="009264BB"/>
    <w:rsid w:val="0092658C"/>
    <w:rsid w:val="009265C8"/>
    <w:rsid w:val="009265E6"/>
    <w:rsid w:val="009266B4"/>
    <w:rsid w:val="0092676C"/>
    <w:rsid w:val="00926775"/>
    <w:rsid w:val="009267FB"/>
    <w:rsid w:val="0092682C"/>
    <w:rsid w:val="00926951"/>
    <w:rsid w:val="00926A6E"/>
    <w:rsid w:val="00926AA8"/>
    <w:rsid w:val="00926AFD"/>
    <w:rsid w:val="00926BEC"/>
    <w:rsid w:val="00926BEF"/>
    <w:rsid w:val="00926C0E"/>
    <w:rsid w:val="00926C7D"/>
    <w:rsid w:val="00926D41"/>
    <w:rsid w:val="00926E36"/>
    <w:rsid w:val="00926EA8"/>
    <w:rsid w:val="00926F52"/>
    <w:rsid w:val="00927041"/>
    <w:rsid w:val="00927054"/>
    <w:rsid w:val="00927166"/>
    <w:rsid w:val="00927220"/>
    <w:rsid w:val="009272A7"/>
    <w:rsid w:val="00927322"/>
    <w:rsid w:val="0092738C"/>
    <w:rsid w:val="00927469"/>
    <w:rsid w:val="0092746F"/>
    <w:rsid w:val="0092751C"/>
    <w:rsid w:val="00927700"/>
    <w:rsid w:val="0092778B"/>
    <w:rsid w:val="009277EC"/>
    <w:rsid w:val="00927806"/>
    <w:rsid w:val="009278EB"/>
    <w:rsid w:val="00927952"/>
    <w:rsid w:val="009279B8"/>
    <w:rsid w:val="00927A38"/>
    <w:rsid w:val="00927ABA"/>
    <w:rsid w:val="00927AD8"/>
    <w:rsid w:val="00927B10"/>
    <w:rsid w:val="00927B93"/>
    <w:rsid w:val="00927C06"/>
    <w:rsid w:val="00927CF7"/>
    <w:rsid w:val="00927D4A"/>
    <w:rsid w:val="00927D66"/>
    <w:rsid w:val="00927DA0"/>
    <w:rsid w:val="00927DD7"/>
    <w:rsid w:val="00927EDC"/>
    <w:rsid w:val="0093007A"/>
    <w:rsid w:val="0093008E"/>
    <w:rsid w:val="0093016C"/>
    <w:rsid w:val="009301C1"/>
    <w:rsid w:val="00930297"/>
    <w:rsid w:val="009302EE"/>
    <w:rsid w:val="00930353"/>
    <w:rsid w:val="009303E3"/>
    <w:rsid w:val="009303E9"/>
    <w:rsid w:val="0093048D"/>
    <w:rsid w:val="009305A5"/>
    <w:rsid w:val="00930682"/>
    <w:rsid w:val="009307BC"/>
    <w:rsid w:val="009307FE"/>
    <w:rsid w:val="00930846"/>
    <w:rsid w:val="00930848"/>
    <w:rsid w:val="00930947"/>
    <w:rsid w:val="00930949"/>
    <w:rsid w:val="00930A41"/>
    <w:rsid w:val="00930B60"/>
    <w:rsid w:val="00930B87"/>
    <w:rsid w:val="00930B95"/>
    <w:rsid w:val="00930D5B"/>
    <w:rsid w:val="00930D86"/>
    <w:rsid w:val="00930DEE"/>
    <w:rsid w:val="00930E65"/>
    <w:rsid w:val="0093116B"/>
    <w:rsid w:val="0093119E"/>
    <w:rsid w:val="009311E0"/>
    <w:rsid w:val="0093126C"/>
    <w:rsid w:val="009312F9"/>
    <w:rsid w:val="009312FA"/>
    <w:rsid w:val="00931370"/>
    <w:rsid w:val="0093137E"/>
    <w:rsid w:val="0093138F"/>
    <w:rsid w:val="009313CB"/>
    <w:rsid w:val="00931454"/>
    <w:rsid w:val="009314C9"/>
    <w:rsid w:val="009315AC"/>
    <w:rsid w:val="00931630"/>
    <w:rsid w:val="0093166A"/>
    <w:rsid w:val="0093166D"/>
    <w:rsid w:val="009317C9"/>
    <w:rsid w:val="009317FB"/>
    <w:rsid w:val="0093181E"/>
    <w:rsid w:val="009318C7"/>
    <w:rsid w:val="009318E3"/>
    <w:rsid w:val="009319A1"/>
    <w:rsid w:val="00931A5F"/>
    <w:rsid w:val="00931A95"/>
    <w:rsid w:val="00931ACC"/>
    <w:rsid w:val="00931B3E"/>
    <w:rsid w:val="00931BAC"/>
    <w:rsid w:val="00931C8E"/>
    <w:rsid w:val="00931CE8"/>
    <w:rsid w:val="00931D48"/>
    <w:rsid w:val="00931E22"/>
    <w:rsid w:val="00931EDC"/>
    <w:rsid w:val="0093201D"/>
    <w:rsid w:val="0093201F"/>
    <w:rsid w:val="0093204B"/>
    <w:rsid w:val="00932135"/>
    <w:rsid w:val="0093222A"/>
    <w:rsid w:val="00932233"/>
    <w:rsid w:val="00932299"/>
    <w:rsid w:val="009322DB"/>
    <w:rsid w:val="0093234B"/>
    <w:rsid w:val="00932470"/>
    <w:rsid w:val="00932492"/>
    <w:rsid w:val="00932555"/>
    <w:rsid w:val="0093257B"/>
    <w:rsid w:val="009326E5"/>
    <w:rsid w:val="009326ED"/>
    <w:rsid w:val="0093272D"/>
    <w:rsid w:val="00932815"/>
    <w:rsid w:val="00932941"/>
    <w:rsid w:val="0093295F"/>
    <w:rsid w:val="009329D9"/>
    <w:rsid w:val="00932AAE"/>
    <w:rsid w:val="00932BAE"/>
    <w:rsid w:val="00932C21"/>
    <w:rsid w:val="00932C79"/>
    <w:rsid w:val="00932D98"/>
    <w:rsid w:val="00932DD7"/>
    <w:rsid w:val="00932E20"/>
    <w:rsid w:val="00932E25"/>
    <w:rsid w:val="00932E9D"/>
    <w:rsid w:val="00932F4E"/>
    <w:rsid w:val="00932FB9"/>
    <w:rsid w:val="00933041"/>
    <w:rsid w:val="0093306A"/>
    <w:rsid w:val="009330A8"/>
    <w:rsid w:val="009331BD"/>
    <w:rsid w:val="0093320B"/>
    <w:rsid w:val="00933288"/>
    <w:rsid w:val="0093341C"/>
    <w:rsid w:val="0093341D"/>
    <w:rsid w:val="0093342C"/>
    <w:rsid w:val="00933437"/>
    <w:rsid w:val="00933450"/>
    <w:rsid w:val="009334A4"/>
    <w:rsid w:val="00933601"/>
    <w:rsid w:val="00933603"/>
    <w:rsid w:val="00933611"/>
    <w:rsid w:val="0093368C"/>
    <w:rsid w:val="00933751"/>
    <w:rsid w:val="009338E3"/>
    <w:rsid w:val="00933903"/>
    <w:rsid w:val="0093399F"/>
    <w:rsid w:val="009339BF"/>
    <w:rsid w:val="009339C7"/>
    <w:rsid w:val="009339F6"/>
    <w:rsid w:val="009339F7"/>
    <w:rsid w:val="00933A06"/>
    <w:rsid w:val="00933A4D"/>
    <w:rsid w:val="00933A76"/>
    <w:rsid w:val="00933B07"/>
    <w:rsid w:val="00933B7A"/>
    <w:rsid w:val="00933B8F"/>
    <w:rsid w:val="00933B9C"/>
    <w:rsid w:val="00933BE3"/>
    <w:rsid w:val="00933BF4"/>
    <w:rsid w:val="00933C3F"/>
    <w:rsid w:val="00933C43"/>
    <w:rsid w:val="00933D02"/>
    <w:rsid w:val="00933D3A"/>
    <w:rsid w:val="00933E65"/>
    <w:rsid w:val="00933E68"/>
    <w:rsid w:val="00933E69"/>
    <w:rsid w:val="00933E7E"/>
    <w:rsid w:val="00933F03"/>
    <w:rsid w:val="00933F58"/>
    <w:rsid w:val="00934096"/>
    <w:rsid w:val="009340EF"/>
    <w:rsid w:val="00934147"/>
    <w:rsid w:val="009341A4"/>
    <w:rsid w:val="0093429B"/>
    <w:rsid w:val="00934309"/>
    <w:rsid w:val="00934362"/>
    <w:rsid w:val="00934385"/>
    <w:rsid w:val="00934509"/>
    <w:rsid w:val="009345F6"/>
    <w:rsid w:val="0093472A"/>
    <w:rsid w:val="0093472C"/>
    <w:rsid w:val="00934795"/>
    <w:rsid w:val="009347B5"/>
    <w:rsid w:val="00934879"/>
    <w:rsid w:val="0093489E"/>
    <w:rsid w:val="009348A7"/>
    <w:rsid w:val="009348D7"/>
    <w:rsid w:val="009348E9"/>
    <w:rsid w:val="00934909"/>
    <w:rsid w:val="00934998"/>
    <w:rsid w:val="00934A15"/>
    <w:rsid w:val="00934B0E"/>
    <w:rsid w:val="00934B4B"/>
    <w:rsid w:val="00934C15"/>
    <w:rsid w:val="00934CCC"/>
    <w:rsid w:val="00934D98"/>
    <w:rsid w:val="00934DA6"/>
    <w:rsid w:val="00934DD4"/>
    <w:rsid w:val="0093503B"/>
    <w:rsid w:val="0093507F"/>
    <w:rsid w:val="009350B8"/>
    <w:rsid w:val="009350F0"/>
    <w:rsid w:val="009351C5"/>
    <w:rsid w:val="00935222"/>
    <w:rsid w:val="009352E7"/>
    <w:rsid w:val="00935307"/>
    <w:rsid w:val="009353DE"/>
    <w:rsid w:val="00935608"/>
    <w:rsid w:val="0093571E"/>
    <w:rsid w:val="00935846"/>
    <w:rsid w:val="0093590D"/>
    <w:rsid w:val="00935953"/>
    <w:rsid w:val="00935A8C"/>
    <w:rsid w:val="00935B19"/>
    <w:rsid w:val="00935C3D"/>
    <w:rsid w:val="00935C79"/>
    <w:rsid w:val="00935ED6"/>
    <w:rsid w:val="00935EE5"/>
    <w:rsid w:val="00935F59"/>
    <w:rsid w:val="00935F7E"/>
    <w:rsid w:val="009360DD"/>
    <w:rsid w:val="0093614E"/>
    <w:rsid w:val="009362CF"/>
    <w:rsid w:val="009363B7"/>
    <w:rsid w:val="009364DD"/>
    <w:rsid w:val="00936508"/>
    <w:rsid w:val="0093653D"/>
    <w:rsid w:val="0093654C"/>
    <w:rsid w:val="009365A8"/>
    <w:rsid w:val="00936607"/>
    <w:rsid w:val="00936816"/>
    <w:rsid w:val="00936860"/>
    <w:rsid w:val="009369EB"/>
    <w:rsid w:val="00936A03"/>
    <w:rsid w:val="00936AE1"/>
    <w:rsid w:val="00936B0B"/>
    <w:rsid w:val="00936BA6"/>
    <w:rsid w:val="00936CA0"/>
    <w:rsid w:val="00936CF4"/>
    <w:rsid w:val="00936F96"/>
    <w:rsid w:val="00937087"/>
    <w:rsid w:val="00937153"/>
    <w:rsid w:val="00937223"/>
    <w:rsid w:val="0093729F"/>
    <w:rsid w:val="0093730F"/>
    <w:rsid w:val="0093741C"/>
    <w:rsid w:val="00937460"/>
    <w:rsid w:val="009374DB"/>
    <w:rsid w:val="00937535"/>
    <w:rsid w:val="00937618"/>
    <w:rsid w:val="009376A5"/>
    <w:rsid w:val="00937803"/>
    <w:rsid w:val="00937813"/>
    <w:rsid w:val="009378D9"/>
    <w:rsid w:val="00937911"/>
    <w:rsid w:val="00937923"/>
    <w:rsid w:val="00937956"/>
    <w:rsid w:val="009379EF"/>
    <w:rsid w:val="00937AA3"/>
    <w:rsid w:val="00937ACA"/>
    <w:rsid w:val="00937AF3"/>
    <w:rsid w:val="00937B17"/>
    <w:rsid w:val="00937B6E"/>
    <w:rsid w:val="00937C49"/>
    <w:rsid w:val="00937CF1"/>
    <w:rsid w:val="00937D03"/>
    <w:rsid w:val="00937D3E"/>
    <w:rsid w:val="00937F37"/>
    <w:rsid w:val="00937F5F"/>
    <w:rsid w:val="00937FEE"/>
    <w:rsid w:val="00940086"/>
    <w:rsid w:val="00940107"/>
    <w:rsid w:val="00940163"/>
    <w:rsid w:val="0094018E"/>
    <w:rsid w:val="009401B4"/>
    <w:rsid w:val="009401C0"/>
    <w:rsid w:val="009401C3"/>
    <w:rsid w:val="0094021D"/>
    <w:rsid w:val="009402F8"/>
    <w:rsid w:val="00940345"/>
    <w:rsid w:val="00940346"/>
    <w:rsid w:val="00940348"/>
    <w:rsid w:val="009403C7"/>
    <w:rsid w:val="00940476"/>
    <w:rsid w:val="009404FE"/>
    <w:rsid w:val="0094055F"/>
    <w:rsid w:val="009405A0"/>
    <w:rsid w:val="009407D4"/>
    <w:rsid w:val="00940968"/>
    <w:rsid w:val="009409A0"/>
    <w:rsid w:val="00940A28"/>
    <w:rsid w:val="00940AAE"/>
    <w:rsid w:val="00940B18"/>
    <w:rsid w:val="00940B1E"/>
    <w:rsid w:val="00940BAB"/>
    <w:rsid w:val="00940D12"/>
    <w:rsid w:val="00940D2F"/>
    <w:rsid w:val="00940D8A"/>
    <w:rsid w:val="00940DA3"/>
    <w:rsid w:val="00940ED1"/>
    <w:rsid w:val="00940F11"/>
    <w:rsid w:val="00940F67"/>
    <w:rsid w:val="00940FCD"/>
    <w:rsid w:val="00940FF2"/>
    <w:rsid w:val="009410E8"/>
    <w:rsid w:val="0094120C"/>
    <w:rsid w:val="00941214"/>
    <w:rsid w:val="00941275"/>
    <w:rsid w:val="009412B3"/>
    <w:rsid w:val="009412C0"/>
    <w:rsid w:val="00941315"/>
    <w:rsid w:val="009413D0"/>
    <w:rsid w:val="009415DF"/>
    <w:rsid w:val="00941623"/>
    <w:rsid w:val="009417B0"/>
    <w:rsid w:val="0094183B"/>
    <w:rsid w:val="009418B0"/>
    <w:rsid w:val="0094192B"/>
    <w:rsid w:val="009419AE"/>
    <w:rsid w:val="009419E4"/>
    <w:rsid w:val="00941B0E"/>
    <w:rsid w:val="00941CE5"/>
    <w:rsid w:val="00941D19"/>
    <w:rsid w:val="00941D64"/>
    <w:rsid w:val="00941DC2"/>
    <w:rsid w:val="00941F03"/>
    <w:rsid w:val="00941F73"/>
    <w:rsid w:val="00941FB6"/>
    <w:rsid w:val="00941FD4"/>
    <w:rsid w:val="00941FD7"/>
    <w:rsid w:val="0094204E"/>
    <w:rsid w:val="0094208A"/>
    <w:rsid w:val="009420DB"/>
    <w:rsid w:val="00942143"/>
    <w:rsid w:val="00942172"/>
    <w:rsid w:val="00942183"/>
    <w:rsid w:val="0094223B"/>
    <w:rsid w:val="009422A0"/>
    <w:rsid w:val="009422D8"/>
    <w:rsid w:val="00942334"/>
    <w:rsid w:val="00942535"/>
    <w:rsid w:val="00942575"/>
    <w:rsid w:val="00942593"/>
    <w:rsid w:val="00942624"/>
    <w:rsid w:val="00942851"/>
    <w:rsid w:val="009428E7"/>
    <w:rsid w:val="009428ED"/>
    <w:rsid w:val="00942A57"/>
    <w:rsid w:val="00942B24"/>
    <w:rsid w:val="00942B2A"/>
    <w:rsid w:val="00942C30"/>
    <w:rsid w:val="00942D1A"/>
    <w:rsid w:val="00942D41"/>
    <w:rsid w:val="00942E79"/>
    <w:rsid w:val="00942EA4"/>
    <w:rsid w:val="00942EA9"/>
    <w:rsid w:val="00942F80"/>
    <w:rsid w:val="00942FBD"/>
    <w:rsid w:val="00942FBE"/>
    <w:rsid w:val="00943004"/>
    <w:rsid w:val="00943039"/>
    <w:rsid w:val="00943073"/>
    <w:rsid w:val="00943097"/>
    <w:rsid w:val="0094317E"/>
    <w:rsid w:val="009431B7"/>
    <w:rsid w:val="0094372B"/>
    <w:rsid w:val="00943738"/>
    <w:rsid w:val="00943866"/>
    <w:rsid w:val="00943980"/>
    <w:rsid w:val="00943989"/>
    <w:rsid w:val="00943A17"/>
    <w:rsid w:val="00943A42"/>
    <w:rsid w:val="00943A54"/>
    <w:rsid w:val="00943A9B"/>
    <w:rsid w:val="00943AE9"/>
    <w:rsid w:val="00943B18"/>
    <w:rsid w:val="00943B22"/>
    <w:rsid w:val="00943BBE"/>
    <w:rsid w:val="00943C67"/>
    <w:rsid w:val="00943CB4"/>
    <w:rsid w:val="00943CBC"/>
    <w:rsid w:val="00943CC0"/>
    <w:rsid w:val="00943D58"/>
    <w:rsid w:val="00943D64"/>
    <w:rsid w:val="00943E51"/>
    <w:rsid w:val="00943EA9"/>
    <w:rsid w:val="00943F6E"/>
    <w:rsid w:val="00943F71"/>
    <w:rsid w:val="00943F7D"/>
    <w:rsid w:val="0094410F"/>
    <w:rsid w:val="009442DC"/>
    <w:rsid w:val="00944302"/>
    <w:rsid w:val="0094436B"/>
    <w:rsid w:val="0094440C"/>
    <w:rsid w:val="0094450B"/>
    <w:rsid w:val="009445A9"/>
    <w:rsid w:val="009445B0"/>
    <w:rsid w:val="009446C4"/>
    <w:rsid w:val="00944769"/>
    <w:rsid w:val="009447A6"/>
    <w:rsid w:val="00944813"/>
    <w:rsid w:val="00944843"/>
    <w:rsid w:val="009448B2"/>
    <w:rsid w:val="009448ED"/>
    <w:rsid w:val="0094492C"/>
    <w:rsid w:val="0094495D"/>
    <w:rsid w:val="009449C0"/>
    <w:rsid w:val="00944A78"/>
    <w:rsid w:val="00944BC5"/>
    <w:rsid w:val="00944BE1"/>
    <w:rsid w:val="00944C99"/>
    <w:rsid w:val="00944CBE"/>
    <w:rsid w:val="00944D49"/>
    <w:rsid w:val="00944D80"/>
    <w:rsid w:val="00944F5A"/>
    <w:rsid w:val="00944F9A"/>
    <w:rsid w:val="0094512E"/>
    <w:rsid w:val="009451C1"/>
    <w:rsid w:val="009451CA"/>
    <w:rsid w:val="009451DA"/>
    <w:rsid w:val="009452E1"/>
    <w:rsid w:val="00945352"/>
    <w:rsid w:val="009453CA"/>
    <w:rsid w:val="0094541A"/>
    <w:rsid w:val="0094553A"/>
    <w:rsid w:val="00945631"/>
    <w:rsid w:val="009456A4"/>
    <w:rsid w:val="009457EE"/>
    <w:rsid w:val="009458FA"/>
    <w:rsid w:val="00945A65"/>
    <w:rsid w:val="00945A74"/>
    <w:rsid w:val="00945AA8"/>
    <w:rsid w:val="00945BD4"/>
    <w:rsid w:val="00945BF6"/>
    <w:rsid w:val="00945BFE"/>
    <w:rsid w:val="00945C17"/>
    <w:rsid w:val="00945C94"/>
    <w:rsid w:val="00945D77"/>
    <w:rsid w:val="00945E4E"/>
    <w:rsid w:val="00945EA8"/>
    <w:rsid w:val="00945F04"/>
    <w:rsid w:val="00945FE6"/>
    <w:rsid w:val="009460A3"/>
    <w:rsid w:val="0094610B"/>
    <w:rsid w:val="00946141"/>
    <w:rsid w:val="00946180"/>
    <w:rsid w:val="00946192"/>
    <w:rsid w:val="00946195"/>
    <w:rsid w:val="00946284"/>
    <w:rsid w:val="009462AC"/>
    <w:rsid w:val="009462D3"/>
    <w:rsid w:val="009463B7"/>
    <w:rsid w:val="009463F3"/>
    <w:rsid w:val="0094643D"/>
    <w:rsid w:val="009464C8"/>
    <w:rsid w:val="009464D6"/>
    <w:rsid w:val="00946526"/>
    <w:rsid w:val="00946555"/>
    <w:rsid w:val="009465D4"/>
    <w:rsid w:val="009466FF"/>
    <w:rsid w:val="0094670B"/>
    <w:rsid w:val="009467F8"/>
    <w:rsid w:val="009468AA"/>
    <w:rsid w:val="009468B2"/>
    <w:rsid w:val="00946919"/>
    <w:rsid w:val="00946947"/>
    <w:rsid w:val="00946A00"/>
    <w:rsid w:val="00946A76"/>
    <w:rsid w:val="00946A99"/>
    <w:rsid w:val="00946BE2"/>
    <w:rsid w:val="00946C76"/>
    <w:rsid w:val="00946D1C"/>
    <w:rsid w:val="00946D4E"/>
    <w:rsid w:val="00946DAE"/>
    <w:rsid w:val="00946E75"/>
    <w:rsid w:val="00946E8A"/>
    <w:rsid w:val="00946EB5"/>
    <w:rsid w:val="00946ED3"/>
    <w:rsid w:val="00946ED6"/>
    <w:rsid w:val="00946F02"/>
    <w:rsid w:val="00946F84"/>
    <w:rsid w:val="0094708E"/>
    <w:rsid w:val="009470EC"/>
    <w:rsid w:val="009471BE"/>
    <w:rsid w:val="009471C3"/>
    <w:rsid w:val="009472CC"/>
    <w:rsid w:val="00947312"/>
    <w:rsid w:val="009473AD"/>
    <w:rsid w:val="009473D1"/>
    <w:rsid w:val="009473D4"/>
    <w:rsid w:val="009473E5"/>
    <w:rsid w:val="00947475"/>
    <w:rsid w:val="00947495"/>
    <w:rsid w:val="009474D1"/>
    <w:rsid w:val="00947532"/>
    <w:rsid w:val="009475B0"/>
    <w:rsid w:val="009475E2"/>
    <w:rsid w:val="009476CA"/>
    <w:rsid w:val="0094774A"/>
    <w:rsid w:val="009478D0"/>
    <w:rsid w:val="009478E9"/>
    <w:rsid w:val="009478FC"/>
    <w:rsid w:val="009479AD"/>
    <w:rsid w:val="009479B9"/>
    <w:rsid w:val="009479C1"/>
    <w:rsid w:val="009479CA"/>
    <w:rsid w:val="009479D8"/>
    <w:rsid w:val="00947A5F"/>
    <w:rsid w:val="00947A76"/>
    <w:rsid w:val="00947C0F"/>
    <w:rsid w:val="00947CD6"/>
    <w:rsid w:val="00947CF5"/>
    <w:rsid w:val="00947E9E"/>
    <w:rsid w:val="00947EA1"/>
    <w:rsid w:val="0095000D"/>
    <w:rsid w:val="00950075"/>
    <w:rsid w:val="00950076"/>
    <w:rsid w:val="00950167"/>
    <w:rsid w:val="00950195"/>
    <w:rsid w:val="00950198"/>
    <w:rsid w:val="009501EF"/>
    <w:rsid w:val="0095042D"/>
    <w:rsid w:val="009504D1"/>
    <w:rsid w:val="009504DB"/>
    <w:rsid w:val="009506D9"/>
    <w:rsid w:val="00950736"/>
    <w:rsid w:val="009507D8"/>
    <w:rsid w:val="009508ED"/>
    <w:rsid w:val="0095098E"/>
    <w:rsid w:val="00950A0E"/>
    <w:rsid w:val="00950A26"/>
    <w:rsid w:val="00950A84"/>
    <w:rsid w:val="00950B3F"/>
    <w:rsid w:val="00950C40"/>
    <w:rsid w:val="00950C41"/>
    <w:rsid w:val="00950CAD"/>
    <w:rsid w:val="00950CB4"/>
    <w:rsid w:val="00950DCA"/>
    <w:rsid w:val="00950DD7"/>
    <w:rsid w:val="00950E04"/>
    <w:rsid w:val="00950E32"/>
    <w:rsid w:val="00950EDF"/>
    <w:rsid w:val="009510E2"/>
    <w:rsid w:val="009511CD"/>
    <w:rsid w:val="00951209"/>
    <w:rsid w:val="00951270"/>
    <w:rsid w:val="00951273"/>
    <w:rsid w:val="009512B3"/>
    <w:rsid w:val="00951371"/>
    <w:rsid w:val="009514E7"/>
    <w:rsid w:val="009517D0"/>
    <w:rsid w:val="0095187E"/>
    <w:rsid w:val="009518B8"/>
    <w:rsid w:val="0095190F"/>
    <w:rsid w:val="00951968"/>
    <w:rsid w:val="009519D4"/>
    <w:rsid w:val="00951A12"/>
    <w:rsid w:val="00951A95"/>
    <w:rsid w:val="00951C9F"/>
    <w:rsid w:val="00951CBF"/>
    <w:rsid w:val="00951D21"/>
    <w:rsid w:val="00951D3E"/>
    <w:rsid w:val="00951D65"/>
    <w:rsid w:val="00951DA8"/>
    <w:rsid w:val="00951DE7"/>
    <w:rsid w:val="00951DF2"/>
    <w:rsid w:val="00951FA4"/>
    <w:rsid w:val="0095202F"/>
    <w:rsid w:val="0095222B"/>
    <w:rsid w:val="00952334"/>
    <w:rsid w:val="009523CE"/>
    <w:rsid w:val="009523D1"/>
    <w:rsid w:val="009523D7"/>
    <w:rsid w:val="009524EB"/>
    <w:rsid w:val="009525B7"/>
    <w:rsid w:val="00952712"/>
    <w:rsid w:val="00952868"/>
    <w:rsid w:val="00952889"/>
    <w:rsid w:val="009528AB"/>
    <w:rsid w:val="009528AC"/>
    <w:rsid w:val="0095292A"/>
    <w:rsid w:val="00952B30"/>
    <w:rsid w:val="00952B4F"/>
    <w:rsid w:val="00952B5E"/>
    <w:rsid w:val="00952BDE"/>
    <w:rsid w:val="00952DDC"/>
    <w:rsid w:val="00952E05"/>
    <w:rsid w:val="00952EE7"/>
    <w:rsid w:val="00952FCE"/>
    <w:rsid w:val="00953004"/>
    <w:rsid w:val="0095301C"/>
    <w:rsid w:val="00953093"/>
    <w:rsid w:val="009530B5"/>
    <w:rsid w:val="00953159"/>
    <w:rsid w:val="00953260"/>
    <w:rsid w:val="00953479"/>
    <w:rsid w:val="009534D1"/>
    <w:rsid w:val="00953513"/>
    <w:rsid w:val="00953549"/>
    <w:rsid w:val="00953588"/>
    <w:rsid w:val="00953605"/>
    <w:rsid w:val="009537E5"/>
    <w:rsid w:val="00953826"/>
    <w:rsid w:val="00953827"/>
    <w:rsid w:val="00953837"/>
    <w:rsid w:val="00953840"/>
    <w:rsid w:val="0095389C"/>
    <w:rsid w:val="00953903"/>
    <w:rsid w:val="0095391C"/>
    <w:rsid w:val="0095396A"/>
    <w:rsid w:val="0095396B"/>
    <w:rsid w:val="0095399A"/>
    <w:rsid w:val="009539F2"/>
    <w:rsid w:val="00953A3B"/>
    <w:rsid w:val="00953A9B"/>
    <w:rsid w:val="00953B1C"/>
    <w:rsid w:val="00953B4A"/>
    <w:rsid w:val="00953B6B"/>
    <w:rsid w:val="00953B76"/>
    <w:rsid w:val="00953B9F"/>
    <w:rsid w:val="00953D2D"/>
    <w:rsid w:val="00953EA6"/>
    <w:rsid w:val="00953EA7"/>
    <w:rsid w:val="00954018"/>
    <w:rsid w:val="00954044"/>
    <w:rsid w:val="009540EF"/>
    <w:rsid w:val="0095413A"/>
    <w:rsid w:val="009541DC"/>
    <w:rsid w:val="0095420D"/>
    <w:rsid w:val="00954243"/>
    <w:rsid w:val="009542B0"/>
    <w:rsid w:val="00954388"/>
    <w:rsid w:val="00954398"/>
    <w:rsid w:val="00954411"/>
    <w:rsid w:val="009544A7"/>
    <w:rsid w:val="0095454C"/>
    <w:rsid w:val="009545CB"/>
    <w:rsid w:val="00954627"/>
    <w:rsid w:val="00954697"/>
    <w:rsid w:val="00954719"/>
    <w:rsid w:val="0095472D"/>
    <w:rsid w:val="009547B0"/>
    <w:rsid w:val="00954819"/>
    <w:rsid w:val="00954919"/>
    <w:rsid w:val="0095494C"/>
    <w:rsid w:val="00954998"/>
    <w:rsid w:val="00954A25"/>
    <w:rsid w:val="00954A8D"/>
    <w:rsid w:val="00954C2E"/>
    <w:rsid w:val="00954C65"/>
    <w:rsid w:val="00954CFC"/>
    <w:rsid w:val="00954D67"/>
    <w:rsid w:val="00954D99"/>
    <w:rsid w:val="00954DDE"/>
    <w:rsid w:val="00954E51"/>
    <w:rsid w:val="00954EB5"/>
    <w:rsid w:val="00954F3A"/>
    <w:rsid w:val="00954FE1"/>
    <w:rsid w:val="0095502D"/>
    <w:rsid w:val="00955093"/>
    <w:rsid w:val="009550B1"/>
    <w:rsid w:val="00955134"/>
    <w:rsid w:val="009551C9"/>
    <w:rsid w:val="009552CC"/>
    <w:rsid w:val="0095548A"/>
    <w:rsid w:val="009555A9"/>
    <w:rsid w:val="009556D7"/>
    <w:rsid w:val="00955701"/>
    <w:rsid w:val="0095578C"/>
    <w:rsid w:val="009557CF"/>
    <w:rsid w:val="00955822"/>
    <w:rsid w:val="0095593D"/>
    <w:rsid w:val="00955988"/>
    <w:rsid w:val="00955A0E"/>
    <w:rsid w:val="00955A34"/>
    <w:rsid w:val="00955A4D"/>
    <w:rsid w:val="00955A6E"/>
    <w:rsid w:val="00955BD4"/>
    <w:rsid w:val="00955CC0"/>
    <w:rsid w:val="00955CDB"/>
    <w:rsid w:val="00955CFD"/>
    <w:rsid w:val="00955D44"/>
    <w:rsid w:val="00955D7F"/>
    <w:rsid w:val="00955E3B"/>
    <w:rsid w:val="00955E42"/>
    <w:rsid w:val="00955E52"/>
    <w:rsid w:val="00955FAD"/>
    <w:rsid w:val="00955FCE"/>
    <w:rsid w:val="0095625E"/>
    <w:rsid w:val="009562FC"/>
    <w:rsid w:val="0095633F"/>
    <w:rsid w:val="00956387"/>
    <w:rsid w:val="009563AF"/>
    <w:rsid w:val="009564D7"/>
    <w:rsid w:val="00956607"/>
    <w:rsid w:val="0095669E"/>
    <w:rsid w:val="0095676E"/>
    <w:rsid w:val="00956823"/>
    <w:rsid w:val="00956826"/>
    <w:rsid w:val="00956949"/>
    <w:rsid w:val="009569CC"/>
    <w:rsid w:val="00956A33"/>
    <w:rsid w:val="00956A77"/>
    <w:rsid w:val="00956A87"/>
    <w:rsid w:val="00956BF6"/>
    <w:rsid w:val="00956D12"/>
    <w:rsid w:val="00956E0F"/>
    <w:rsid w:val="00956E63"/>
    <w:rsid w:val="00956EB0"/>
    <w:rsid w:val="00956F42"/>
    <w:rsid w:val="00956FDA"/>
    <w:rsid w:val="00957015"/>
    <w:rsid w:val="009570B7"/>
    <w:rsid w:val="009570ED"/>
    <w:rsid w:val="00957401"/>
    <w:rsid w:val="0095742A"/>
    <w:rsid w:val="00957541"/>
    <w:rsid w:val="00957718"/>
    <w:rsid w:val="009577EB"/>
    <w:rsid w:val="00957814"/>
    <w:rsid w:val="009578E2"/>
    <w:rsid w:val="00957941"/>
    <w:rsid w:val="00957978"/>
    <w:rsid w:val="00957A14"/>
    <w:rsid w:val="00957B16"/>
    <w:rsid w:val="00957BC6"/>
    <w:rsid w:val="00957BF7"/>
    <w:rsid w:val="00957C1D"/>
    <w:rsid w:val="00957CA8"/>
    <w:rsid w:val="00957D5A"/>
    <w:rsid w:val="00957DD2"/>
    <w:rsid w:val="00957F8E"/>
    <w:rsid w:val="00957FA6"/>
    <w:rsid w:val="00960103"/>
    <w:rsid w:val="00960411"/>
    <w:rsid w:val="0096042B"/>
    <w:rsid w:val="00960592"/>
    <w:rsid w:val="00960593"/>
    <w:rsid w:val="00960649"/>
    <w:rsid w:val="0096066F"/>
    <w:rsid w:val="009607D7"/>
    <w:rsid w:val="00960982"/>
    <w:rsid w:val="009609BA"/>
    <w:rsid w:val="00960B1C"/>
    <w:rsid w:val="00960B64"/>
    <w:rsid w:val="00960BB6"/>
    <w:rsid w:val="00960DB2"/>
    <w:rsid w:val="00960DD8"/>
    <w:rsid w:val="00960E9E"/>
    <w:rsid w:val="00960EA8"/>
    <w:rsid w:val="00961074"/>
    <w:rsid w:val="0096107E"/>
    <w:rsid w:val="0096110B"/>
    <w:rsid w:val="00961133"/>
    <w:rsid w:val="00961297"/>
    <w:rsid w:val="009613B7"/>
    <w:rsid w:val="00961464"/>
    <w:rsid w:val="0096155A"/>
    <w:rsid w:val="009615AC"/>
    <w:rsid w:val="0096169B"/>
    <w:rsid w:val="00961749"/>
    <w:rsid w:val="0096182F"/>
    <w:rsid w:val="0096188C"/>
    <w:rsid w:val="009618DF"/>
    <w:rsid w:val="009618E9"/>
    <w:rsid w:val="00961A10"/>
    <w:rsid w:val="00961BAE"/>
    <w:rsid w:val="00961C52"/>
    <w:rsid w:val="00961C59"/>
    <w:rsid w:val="00961CB0"/>
    <w:rsid w:val="00961D1E"/>
    <w:rsid w:val="00961E33"/>
    <w:rsid w:val="00961E53"/>
    <w:rsid w:val="00961E8C"/>
    <w:rsid w:val="00961F55"/>
    <w:rsid w:val="00961F8C"/>
    <w:rsid w:val="0096200A"/>
    <w:rsid w:val="00962069"/>
    <w:rsid w:val="009621AE"/>
    <w:rsid w:val="009622C4"/>
    <w:rsid w:val="009622C8"/>
    <w:rsid w:val="009622E8"/>
    <w:rsid w:val="0096236B"/>
    <w:rsid w:val="009623C0"/>
    <w:rsid w:val="00962451"/>
    <w:rsid w:val="00962484"/>
    <w:rsid w:val="0096250D"/>
    <w:rsid w:val="00962588"/>
    <w:rsid w:val="009626B9"/>
    <w:rsid w:val="009627A4"/>
    <w:rsid w:val="009627B4"/>
    <w:rsid w:val="00962842"/>
    <w:rsid w:val="00962853"/>
    <w:rsid w:val="009629AB"/>
    <w:rsid w:val="009629CD"/>
    <w:rsid w:val="009629DB"/>
    <w:rsid w:val="00962A18"/>
    <w:rsid w:val="00962AAE"/>
    <w:rsid w:val="00962B25"/>
    <w:rsid w:val="00962B2E"/>
    <w:rsid w:val="00962B89"/>
    <w:rsid w:val="00962BCC"/>
    <w:rsid w:val="00962C39"/>
    <w:rsid w:val="00962E1D"/>
    <w:rsid w:val="00962EED"/>
    <w:rsid w:val="00962F2F"/>
    <w:rsid w:val="00962F78"/>
    <w:rsid w:val="00962FCB"/>
    <w:rsid w:val="00962FEC"/>
    <w:rsid w:val="00963099"/>
    <w:rsid w:val="00963111"/>
    <w:rsid w:val="00963134"/>
    <w:rsid w:val="00963141"/>
    <w:rsid w:val="00963157"/>
    <w:rsid w:val="009631F5"/>
    <w:rsid w:val="00963290"/>
    <w:rsid w:val="009632F5"/>
    <w:rsid w:val="00963343"/>
    <w:rsid w:val="00963384"/>
    <w:rsid w:val="0096340F"/>
    <w:rsid w:val="009635B4"/>
    <w:rsid w:val="00963661"/>
    <w:rsid w:val="00963770"/>
    <w:rsid w:val="009638A0"/>
    <w:rsid w:val="00963925"/>
    <w:rsid w:val="00963931"/>
    <w:rsid w:val="00963A4C"/>
    <w:rsid w:val="00963A4F"/>
    <w:rsid w:val="00963B68"/>
    <w:rsid w:val="00963B94"/>
    <w:rsid w:val="00963CAB"/>
    <w:rsid w:val="00963CFA"/>
    <w:rsid w:val="00963D53"/>
    <w:rsid w:val="00963E35"/>
    <w:rsid w:val="00963E72"/>
    <w:rsid w:val="00963EE9"/>
    <w:rsid w:val="00963F75"/>
    <w:rsid w:val="00963FDA"/>
    <w:rsid w:val="00963FDC"/>
    <w:rsid w:val="009641B0"/>
    <w:rsid w:val="009641E4"/>
    <w:rsid w:val="009641EF"/>
    <w:rsid w:val="009641F5"/>
    <w:rsid w:val="00964225"/>
    <w:rsid w:val="0096428D"/>
    <w:rsid w:val="00964369"/>
    <w:rsid w:val="009643D3"/>
    <w:rsid w:val="00964466"/>
    <w:rsid w:val="00964527"/>
    <w:rsid w:val="00964601"/>
    <w:rsid w:val="0096460D"/>
    <w:rsid w:val="0096461F"/>
    <w:rsid w:val="00964641"/>
    <w:rsid w:val="009646E9"/>
    <w:rsid w:val="0096470B"/>
    <w:rsid w:val="00964740"/>
    <w:rsid w:val="00964747"/>
    <w:rsid w:val="009647CB"/>
    <w:rsid w:val="009647DA"/>
    <w:rsid w:val="00964884"/>
    <w:rsid w:val="009648CB"/>
    <w:rsid w:val="009648EA"/>
    <w:rsid w:val="0096495E"/>
    <w:rsid w:val="00964989"/>
    <w:rsid w:val="00964A31"/>
    <w:rsid w:val="00964B71"/>
    <w:rsid w:val="00964C22"/>
    <w:rsid w:val="00964C45"/>
    <w:rsid w:val="00964C61"/>
    <w:rsid w:val="00964CFB"/>
    <w:rsid w:val="00964CFE"/>
    <w:rsid w:val="009650B8"/>
    <w:rsid w:val="0096516D"/>
    <w:rsid w:val="009651BB"/>
    <w:rsid w:val="00965378"/>
    <w:rsid w:val="0096546E"/>
    <w:rsid w:val="0096552F"/>
    <w:rsid w:val="009656AA"/>
    <w:rsid w:val="0096574D"/>
    <w:rsid w:val="0096578A"/>
    <w:rsid w:val="00965796"/>
    <w:rsid w:val="009657B7"/>
    <w:rsid w:val="009657C4"/>
    <w:rsid w:val="0096581A"/>
    <w:rsid w:val="00965871"/>
    <w:rsid w:val="00965887"/>
    <w:rsid w:val="00965960"/>
    <w:rsid w:val="00965A3A"/>
    <w:rsid w:val="00965B1A"/>
    <w:rsid w:val="00965B29"/>
    <w:rsid w:val="00965B9F"/>
    <w:rsid w:val="00965C19"/>
    <w:rsid w:val="00965C29"/>
    <w:rsid w:val="00965CBF"/>
    <w:rsid w:val="00965D9C"/>
    <w:rsid w:val="00965DB4"/>
    <w:rsid w:val="00965E2B"/>
    <w:rsid w:val="00965EB2"/>
    <w:rsid w:val="00965EDE"/>
    <w:rsid w:val="00965F06"/>
    <w:rsid w:val="00965F66"/>
    <w:rsid w:val="00965FF6"/>
    <w:rsid w:val="0096601C"/>
    <w:rsid w:val="009660BF"/>
    <w:rsid w:val="009660E8"/>
    <w:rsid w:val="00966176"/>
    <w:rsid w:val="00966193"/>
    <w:rsid w:val="009661F9"/>
    <w:rsid w:val="0096623F"/>
    <w:rsid w:val="00966255"/>
    <w:rsid w:val="00966282"/>
    <w:rsid w:val="0096628E"/>
    <w:rsid w:val="00966303"/>
    <w:rsid w:val="00966492"/>
    <w:rsid w:val="00966567"/>
    <w:rsid w:val="0096658A"/>
    <w:rsid w:val="009665A4"/>
    <w:rsid w:val="00966648"/>
    <w:rsid w:val="009666EB"/>
    <w:rsid w:val="00966709"/>
    <w:rsid w:val="0096677E"/>
    <w:rsid w:val="00966799"/>
    <w:rsid w:val="009667DB"/>
    <w:rsid w:val="00966812"/>
    <w:rsid w:val="009668B0"/>
    <w:rsid w:val="009669D9"/>
    <w:rsid w:val="009669E8"/>
    <w:rsid w:val="00966A49"/>
    <w:rsid w:val="00966BD1"/>
    <w:rsid w:val="00966C26"/>
    <w:rsid w:val="00966CD8"/>
    <w:rsid w:val="00966CF6"/>
    <w:rsid w:val="00966CFB"/>
    <w:rsid w:val="00966D13"/>
    <w:rsid w:val="00966EE3"/>
    <w:rsid w:val="00966EF0"/>
    <w:rsid w:val="00966F05"/>
    <w:rsid w:val="00966FC9"/>
    <w:rsid w:val="0096705A"/>
    <w:rsid w:val="009670D0"/>
    <w:rsid w:val="0096711E"/>
    <w:rsid w:val="00967136"/>
    <w:rsid w:val="0096717A"/>
    <w:rsid w:val="0096717C"/>
    <w:rsid w:val="009672E2"/>
    <w:rsid w:val="00967348"/>
    <w:rsid w:val="009673F1"/>
    <w:rsid w:val="0096747A"/>
    <w:rsid w:val="00967494"/>
    <w:rsid w:val="00967497"/>
    <w:rsid w:val="00967540"/>
    <w:rsid w:val="00967577"/>
    <w:rsid w:val="009676D5"/>
    <w:rsid w:val="0096770F"/>
    <w:rsid w:val="00967768"/>
    <w:rsid w:val="0096778D"/>
    <w:rsid w:val="00967936"/>
    <w:rsid w:val="00967951"/>
    <w:rsid w:val="00967A3A"/>
    <w:rsid w:val="00967A62"/>
    <w:rsid w:val="00967AEF"/>
    <w:rsid w:val="00967B13"/>
    <w:rsid w:val="00967B8A"/>
    <w:rsid w:val="00967CCA"/>
    <w:rsid w:val="00967D5E"/>
    <w:rsid w:val="00967DBB"/>
    <w:rsid w:val="00967E96"/>
    <w:rsid w:val="00967EB5"/>
    <w:rsid w:val="00967EE0"/>
    <w:rsid w:val="00970124"/>
    <w:rsid w:val="009701F4"/>
    <w:rsid w:val="009702DE"/>
    <w:rsid w:val="00970322"/>
    <w:rsid w:val="009704D2"/>
    <w:rsid w:val="009704DA"/>
    <w:rsid w:val="0097059D"/>
    <w:rsid w:val="0097065B"/>
    <w:rsid w:val="00970687"/>
    <w:rsid w:val="00970773"/>
    <w:rsid w:val="009707D1"/>
    <w:rsid w:val="00970A0B"/>
    <w:rsid w:val="00970A3B"/>
    <w:rsid w:val="00970A8A"/>
    <w:rsid w:val="00970B34"/>
    <w:rsid w:val="00970B5F"/>
    <w:rsid w:val="00970B96"/>
    <w:rsid w:val="00970CC7"/>
    <w:rsid w:val="00970D5A"/>
    <w:rsid w:val="00970DCD"/>
    <w:rsid w:val="00970E41"/>
    <w:rsid w:val="00970E8A"/>
    <w:rsid w:val="00970EA1"/>
    <w:rsid w:val="00970ED2"/>
    <w:rsid w:val="00970ED3"/>
    <w:rsid w:val="00971093"/>
    <w:rsid w:val="009710EA"/>
    <w:rsid w:val="0097131D"/>
    <w:rsid w:val="0097134D"/>
    <w:rsid w:val="0097135E"/>
    <w:rsid w:val="00971377"/>
    <w:rsid w:val="0097145F"/>
    <w:rsid w:val="00971462"/>
    <w:rsid w:val="00971464"/>
    <w:rsid w:val="00971485"/>
    <w:rsid w:val="009714A1"/>
    <w:rsid w:val="00971572"/>
    <w:rsid w:val="009715FE"/>
    <w:rsid w:val="00971689"/>
    <w:rsid w:val="009716BF"/>
    <w:rsid w:val="0097171F"/>
    <w:rsid w:val="00971772"/>
    <w:rsid w:val="00971782"/>
    <w:rsid w:val="009717EE"/>
    <w:rsid w:val="009717F9"/>
    <w:rsid w:val="00971807"/>
    <w:rsid w:val="0097182B"/>
    <w:rsid w:val="009719D7"/>
    <w:rsid w:val="00971A50"/>
    <w:rsid w:val="00971A94"/>
    <w:rsid w:val="00971AB1"/>
    <w:rsid w:val="00971B1D"/>
    <w:rsid w:val="00971B50"/>
    <w:rsid w:val="00971BDF"/>
    <w:rsid w:val="00971C05"/>
    <w:rsid w:val="00971C6B"/>
    <w:rsid w:val="00971CB9"/>
    <w:rsid w:val="00971CFD"/>
    <w:rsid w:val="00971E8F"/>
    <w:rsid w:val="00971E94"/>
    <w:rsid w:val="00971F6E"/>
    <w:rsid w:val="00971F8C"/>
    <w:rsid w:val="00971FA1"/>
    <w:rsid w:val="00971FEA"/>
    <w:rsid w:val="0097202E"/>
    <w:rsid w:val="0097208C"/>
    <w:rsid w:val="009720D3"/>
    <w:rsid w:val="00972130"/>
    <w:rsid w:val="009722A4"/>
    <w:rsid w:val="009722AF"/>
    <w:rsid w:val="009723B5"/>
    <w:rsid w:val="009723C8"/>
    <w:rsid w:val="00972428"/>
    <w:rsid w:val="0097249A"/>
    <w:rsid w:val="0097269A"/>
    <w:rsid w:val="0097271B"/>
    <w:rsid w:val="0097272F"/>
    <w:rsid w:val="0097279C"/>
    <w:rsid w:val="009727A2"/>
    <w:rsid w:val="00972881"/>
    <w:rsid w:val="009728ED"/>
    <w:rsid w:val="00972927"/>
    <w:rsid w:val="00972A0C"/>
    <w:rsid w:val="00972A57"/>
    <w:rsid w:val="00972B5C"/>
    <w:rsid w:val="00972B8C"/>
    <w:rsid w:val="00972BF6"/>
    <w:rsid w:val="00972C67"/>
    <w:rsid w:val="00972C74"/>
    <w:rsid w:val="00972D62"/>
    <w:rsid w:val="00972D6F"/>
    <w:rsid w:val="00972D88"/>
    <w:rsid w:val="00972DB2"/>
    <w:rsid w:val="00973015"/>
    <w:rsid w:val="00973025"/>
    <w:rsid w:val="0097306A"/>
    <w:rsid w:val="00973074"/>
    <w:rsid w:val="009730D3"/>
    <w:rsid w:val="00973136"/>
    <w:rsid w:val="0097317C"/>
    <w:rsid w:val="00973424"/>
    <w:rsid w:val="009735B1"/>
    <w:rsid w:val="009735F4"/>
    <w:rsid w:val="0097364B"/>
    <w:rsid w:val="00973691"/>
    <w:rsid w:val="009736A7"/>
    <w:rsid w:val="00973791"/>
    <w:rsid w:val="009737CF"/>
    <w:rsid w:val="009738A7"/>
    <w:rsid w:val="00973A1F"/>
    <w:rsid w:val="00973A20"/>
    <w:rsid w:val="00973A84"/>
    <w:rsid w:val="00973AB8"/>
    <w:rsid w:val="00973B07"/>
    <w:rsid w:val="00973B3A"/>
    <w:rsid w:val="00973B6B"/>
    <w:rsid w:val="00973BB8"/>
    <w:rsid w:val="00973C5B"/>
    <w:rsid w:val="00973D4C"/>
    <w:rsid w:val="00973D74"/>
    <w:rsid w:val="00973D76"/>
    <w:rsid w:val="00973D77"/>
    <w:rsid w:val="00973D7E"/>
    <w:rsid w:val="00973DC3"/>
    <w:rsid w:val="00973E18"/>
    <w:rsid w:val="00973E1E"/>
    <w:rsid w:val="00973ECA"/>
    <w:rsid w:val="00973F05"/>
    <w:rsid w:val="00973F0F"/>
    <w:rsid w:val="00973F47"/>
    <w:rsid w:val="00973FD7"/>
    <w:rsid w:val="00973FDA"/>
    <w:rsid w:val="0097400E"/>
    <w:rsid w:val="00974012"/>
    <w:rsid w:val="00974021"/>
    <w:rsid w:val="00974040"/>
    <w:rsid w:val="00974216"/>
    <w:rsid w:val="00974367"/>
    <w:rsid w:val="0097449D"/>
    <w:rsid w:val="009745A9"/>
    <w:rsid w:val="0097470A"/>
    <w:rsid w:val="0097472B"/>
    <w:rsid w:val="009747AC"/>
    <w:rsid w:val="009747E9"/>
    <w:rsid w:val="00974808"/>
    <w:rsid w:val="00974A62"/>
    <w:rsid w:val="00974AEF"/>
    <w:rsid w:val="00974B06"/>
    <w:rsid w:val="00974B44"/>
    <w:rsid w:val="00974B86"/>
    <w:rsid w:val="00974CAD"/>
    <w:rsid w:val="00974CB1"/>
    <w:rsid w:val="00974CFA"/>
    <w:rsid w:val="00974DD8"/>
    <w:rsid w:val="00974ED3"/>
    <w:rsid w:val="00974F24"/>
    <w:rsid w:val="00974FEB"/>
    <w:rsid w:val="00975006"/>
    <w:rsid w:val="009750BE"/>
    <w:rsid w:val="009750CF"/>
    <w:rsid w:val="009751A7"/>
    <w:rsid w:val="009752C0"/>
    <w:rsid w:val="0097530D"/>
    <w:rsid w:val="00975327"/>
    <w:rsid w:val="00975471"/>
    <w:rsid w:val="009754AE"/>
    <w:rsid w:val="00975524"/>
    <w:rsid w:val="00975546"/>
    <w:rsid w:val="009755B9"/>
    <w:rsid w:val="009755BA"/>
    <w:rsid w:val="00975680"/>
    <w:rsid w:val="009756AB"/>
    <w:rsid w:val="0097570E"/>
    <w:rsid w:val="00975728"/>
    <w:rsid w:val="00975751"/>
    <w:rsid w:val="00975754"/>
    <w:rsid w:val="009757C5"/>
    <w:rsid w:val="009757F6"/>
    <w:rsid w:val="00975894"/>
    <w:rsid w:val="00975935"/>
    <w:rsid w:val="009759CE"/>
    <w:rsid w:val="00975A93"/>
    <w:rsid w:val="00975B8D"/>
    <w:rsid w:val="00975BA4"/>
    <w:rsid w:val="00975BD1"/>
    <w:rsid w:val="00975BF3"/>
    <w:rsid w:val="00975C1B"/>
    <w:rsid w:val="00975C7D"/>
    <w:rsid w:val="00975DF1"/>
    <w:rsid w:val="00975E77"/>
    <w:rsid w:val="00975E90"/>
    <w:rsid w:val="00975EF1"/>
    <w:rsid w:val="00975F46"/>
    <w:rsid w:val="009760DA"/>
    <w:rsid w:val="009761AA"/>
    <w:rsid w:val="00976380"/>
    <w:rsid w:val="009763DB"/>
    <w:rsid w:val="00976400"/>
    <w:rsid w:val="00976401"/>
    <w:rsid w:val="00976437"/>
    <w:rsid w:val="00976487"/>
    <w:rsid w:val="009764FB"/>
    <w:rsid w:val="00976535"/>
    <w:rsid w:val="00976548"/>
    <w:rsid w:val="0097658E"/>
    <w:rsid w:val="009765D1"/>
    <w:rsid w:val="0097663D"/>
    <w:rsid w:val="0097695B"/>
    <w:rsid w:val="009769D3"/>
    <w:rsid w:val="009769E4"/>
    <w:rsid w:val="00976A29"/>
    <w:rsid w:val="00976ABA"/>
    <w:rsid w:val="00976AF7"/>
    <w:rsid w:val="00976B72"/>
    <w:rsid w:val="00976CD0"/>
    <w:rsid w:val="00976D52"/>
    <w:rsid w:val="00976D89"/>
    <w:rsid w:val="00976E34"/>
    <w:rsid w:val="00976E9E"/>
    <w:rsid w:val="00976EBD"/>
    <w:rsid w:val="00976F3F"/>
    <w:rsid w:val="00976F4F"/>
    <w:rsid w:val="00976F83"/>
    <w:rsid w:val="00976FD8"/>
    <w:rsid w:val="00977047"/>
    <w:rsid w:val="009770BD"/>
    <w:rsid w:val="009770CB"/>
    <w:rsid w:val="009770EA"/>
    <w:rsid w:val="00977138"/>
    <w:rsid w:val="00977254"/>
    <w:rsid w:val="009772C3"/>
    <w:rsid w:val="00977337"/>
    <w:rsid w:val="0097736C"/>
    <w:rsid w:val="00977412"/>
    <w:rsid w:val="0097743D"/>
    <w:rsid w:val="0097744F"/>
    <w:rsid w:val="009774F2"/>
    <w:rsid w:val="0097754D"/>
    <w:rsid w:val="0097759B"/>
    <w:rsid w:val="00977604"/>
    <w:rsid w:val="0097766F"/>
    <w:rsid w:val="00977688"/>
    <w:rsid w:val="0097789E"/>
    <w:rsid w:val="009778E6"/>
    <w:rsid w:val="009778E7"/>
    <w:rsid w:val="009778F9"/>
    <w:rsid w:val="00977992"/>
    <w:rsid w:val="00977A7D"/>
    <w:rsid w:val="00977A8B"/>
    <w:rsid w:val="00977B86"/>
    <w:rsid w:val="00977B8E"/>
    <w:rsid w:val="00977BA0"/>
    <w:rsid w:val="00977C3D"/>
    <w:rsid w:val="00977D67"/>
    <w:rsid w:val="00977D7E"/>
    <w:rsid w:val="00977D9D"/>
    <w:rsid w:val="00977DF7"/>
    <w:rsid w:val="00977EC8"/>
    <w:rsid w:val="00977EFA"/>
    <w:rsid w:val="00977FA4"/>
    <w:rsid w:val="00977FFD"/>
    <w:rsid w:val="00980088"/>
    <w:rsid w:val="009800A3"/>
    <w:rsid w:val="009800D9"/>
    <w:rsid w:val="009800EF"/>
    <w:rsid w:val="00980141"/>
    <w:rsid w:val="009801B1"/>
    <w:rsid w:val="0098027E"/>
    <w:rsid w:val="00980429"/>
    <w:rsid w:val="009804A2"/>
    <w:rsid w:val="009804CF"/>
    <w:rsid w:val="0098050C"/>
    <w:rsid w:val="0098053B"/>
    <w:rsid w:val="0098056C"/>
    <w:rsid w:val="0098060D"/>
    <w:rsid w:val="00980636"/>
    <w:rsid w:val="00980640"/>
    <w:rsid w:val="0098065E"/>
    <w:rsid w:val="0098073E"/>
    <w:rsid w:val="00980777"/>
    <w:rsid w:val="00980886"/>
    <w:rsid w:val="009808C3"/>
    <w:rsid w:val="00980AEB"/>
    <w:rsid w:val="00980B5B"/>
    <w:rsid w:val="00980E07"/>
    <w:rsid w:val="00980E13"/>
    <w:rsid w:val="00980E19"/>
    <w:rsid w:val="00980E69"/>
    <w:rsid w:val="00980EB0"/>
    <w:rsid w:val="00980EC2"/>
    <w:rsid w:val="00980FA1"/>
    <w:rsid w:val="00981014"/>
    <w:rsid w:val="0098109B"/>
    <w:rsid w:val="0098111D"/>
    <w:rsid w:val="00981190"/>
    <w:rsid w:val="00981206"/>
    <w:rsid w:val="00981282"/>
    <w:rsid w:val="0098129C"/>
    <w:rsid w:val="009812E4"/>
    <w:rsid w:val="009812EA"/>
    <w:rsid w:val="009812F3"/>
    <w:rsid w:val="00981369"/>
    <w:rsid w:val="009813A7"/>
    <w:rsid w:val="0098140B"/>
    <w:rsid w:val="0098150B"/>
    <w:rsid w:val="00981756"/>
    <w:rsid w:val="00981855"/>
    <w:rsid w:val="009819FB"/>
    <w:rsid w:val="00981A2E"/>
    <w:rsid w:val="00981CDE"/>
    <w:rsid w:val="00981D28"/>
    <w:rsid w:val="00981DF1"/>
    <w:rsid w:val="00981E3C"/>
    <w:rsid w:val="00981E98"/>
    <w:rsid w:val="0098207A"/>
    <w:rsid w:val="00982091"/>
    <w:rsid w:val="009820A4"/>
    <w:rsid w:val="009820BE"/>
    <w:rsid w:val="00982220"/>
    <w:rsid w:val="0098228E"/>
    <w:rsid w:val="009822B5"/>
    <w:rsid w:val="009822FF"/>
    <w:rsid w:val="0098230C"/>
    <w:rsid w:val="0098237F"/>
    <w:rsid w:val="00982405"/>
    <w:rsid w:val="00982490"/>
    <w:rsid w:val="00982573"/>
    <w:rsid w:val="0098262B"/>
    <w:rsid w:val="00982817"/>
    <w:rsid w:val="0098281C"/>
    <w:rsid w:val="00982A47"/>
    <w:rsid w:val="00982D60"/>
    <w:rsid w:val="00982DBC"/>
    <w:rsid w:val="00982F6C"/>
    <w:rsid w:val="00982F98"/>
    <w:rsid w:val="00983044"/>
    <w:rsid w:val="009830C8"/>
    <w:rsid w:val="0098311E"/>
    <w:rsid w:val="0098315A"/>
    <w:rsid w:val="00983248"/>
    <w:rsid w:val="00983355"/>
    <w:rsid w:val="0098336C"/>
    <w:rsid w:val="009833C8"/>
    <w:rsid w:val="00983619"/>
    <w:rsid w:val="00983681"/>
    <w:rsid w:val="00983683"/>
    <w:rsid w:val="009836DC"/>
    <w:rsid w:val="009836FF"/>
    <w:rsid w:val="009837A6"/>
    <w:rsid w:val="009837E7"/>
    <w:rsid w:val="0098380F"/>
    <w:rsid w:val="00983831"/>
    <w:rsid w:val="0098386F"/>
    <w:rsid w:val="009838A8"/>
    <w:rsid w:val="009838FB"/>
    <w:rsid w:val="00983928"/>
    <w:rsid w:val="00983989"/>
    <w:rsid w:val="0098399D"/>
    <w:rsid w:val="009839E3"/>
    <w:rsid w:val="00983A24"/>
    <w:rsid w:val="00983AA3"/>
    <w:rsid w:val="00983B32"/>
    <w:rsid w:val="00983B70"/>
    <w:rsid w:val="00983C51"/>
    <w:rsid w:val="00983C7C"/>
    <w:rsid w:val="00983C94"/>
    <w:rsid w:val="00983CA1"/>
    <w:rsid w:val="00983CA3"/>
    <w:rsid w:val="00983CFF"/>
    <w:rsid w:val="00983D0C"/>
    <w:rsid w:val="00983D13"/>
    <w:rsid w:val="00983D2B"/>
    <w:rsid w:val="00983DEC"/>
    <w:rsid w:val="00983E07"/>
    <w:rsid w:val="00983E54"/>
    <w:rsid w:val="00983FF8"/>
    <w:rsid w:val="00984009"/>
    <w:rsid w:val="009840A1"/>
    <w:rsid w:val="009840FC"/>
    <w:rsid w:val="0098414E"/>
    <w:rsid w:val="0098416E"/>
    <w:rsid w:val="009841F1"/>
    <w:rsid w:val="009841FA"/>
    <w:rsid w:val="0098421D"/>
    <w:rsid w:val="0098422E"/>
    <w:rsid w:val="009842C2"/>
    <w:rsid w:val="00984307"/>
    <w:rsid w:val="009843EC"/>
    <w:rsid w:val="009843F7"/>
    <w:rsid w:val="00984446"/>
    <w:rsid w:val="009844B2"/>
    <w:rsid w:val="009846C2"/>
    <w:rsid w:val="0098476F"/>
    <w:rsid w:val="00984791"/>
    <w:rsid w:val="009847D8"/>
    <w:rsid w:val="009847E0"/>
    <w:rsid w:val="009847FA"/>
    <w:rsid w:val="0098484C"/>
    <w:rsid w:val="009849D0"/>
    <w:rsid w:val="00984A00"/>
    <w:rsid w:val="00984A16"/>
    <w:rsid w:val="00984A4F"/>
    <w:rsid w:val="00984B0B"/>
    <w:rsid w:val="00984B33"/>
    <w:rsid w:val="00984D51"/>
    <w:rsid w:val="00984DFD"/>
    <w:rsid w:val="00984F2D"/>
    <w:rsid w:val="00984FD6"/>
    <w:rsid w:val="00985013"/>
    <w:rsid w:val="00985055"/>
    <w:rsid w:val="00985101"/>
    <w:rsid w:val="0098519E"/>
    <w:rsid w:val="00985229"/>
    <w:rsid w:val="0098523B"/>
    <w:rsid w:val="0098527C"/>
    <w:rsid w:val="009852B4"/>
    <w:rsid w:val="009852C3"/>
    <w:rsid w:val="00985306"/>
    <w:rsid w:val="00985312"/>
    <w:rsid w:val="00985445"/>
    <w:rsid w:val="009854F8"/>
    <w:rsid w:val="0098560F"/>
    <w:rsid w:val="009856D8"/>
    <w:rsid w:val="00985780"/>
    <w:rsid w:val="00985785"/>
    <w:rsid w:val="00985797"/>
    <w:rsid w:val="0098591F"/>
    <w:rsid w:val="0098598D"/>
    <w:rsid w:val="00985A0B"/>
    <w:rsid w:val="00985A2E"/>
    <w:rsid w:val="00985A46"/>
    <w:rsid w:val="00985AB6"/>
    <w:rsid w:val="00985B86"/>
    <w:rsid w:val="00985B9B"/>
    <w:rsid w:val="00985BC7"/>
    <w:rsid w:val="00985BF4"/>
    <w:rsid w:val="00985D51"/>
    <w:rsid w:val="00985D90"/>
    <w:rsid w:val="00985E8F"/>
    <w:rsid w:val="00985EFE"/>
    <w:rsid w:val="00985F17"/>
    <w:rsid w:val="00985F3D"/>
    <w:rsid w:val="00985F56"/>
    <w:rsid w:val="009860B0"/>
    <w:rsid w:val="009860D3"/>
    <w:rsid w:val="009860FD"/>
    <w:rsid w:val="009861CF"/>
    <w:rsid w:val="0098624E"/>
    <w:rsid w:val="009862C4"/>
    <w:rsid w:val="00986524"/>
    <w:rsid w:val="009865DA"/>
    <w:rsid w:val="009865FF"/>
    <w:rsid w:val="00986600"/>
    <w:rsid w:val="0098661A"/>
    <w:rsid w:val="00986641"/>
    <w:rsid w:val="009866B9"/>
    <w:rsid w:val="00986719"/>
    <w:rsid w:val="009867E1"/>
    <w:rsid w:val="0098681E"/>
    <w:rsid w:val="00986930"/>
    <w:rsid w:val="00986983"/>
    <w:rsid w:val="00986B37"/>
    <w:rsid w:val="00986D49"/>
    <w:rsid w:val="00986FB6"/>
    <w:rsid w:val="00986FC2"/>
    <w:rsid w:val="00986FFA"/>
    <w:rsid w:val="0098716A"/>
    <w:rsid w:val="00987200"/>
    <w:rsid w:val="00987205"/>
    <w:rsid w:val="0098726C"/>
    <w:rsid w:val="009872D0"/>
    <w:rsid w:val="009872EB"/>
    <w:rsid w:val="00987338"/>
    <w:rsid w:val="009873B8"/>
    <w:rsid w:val="00987566"/>
    <w:rsid w:val="0098759B"/>
    <w:rsid w:val="0098761F"/>
    <w:rsid w:val="0098774A"/>
    <w:rsid w:val="009877ED"/>
    <w:rsid w:val="00987836"/>
    <w:rsid w:val="0098785E"/>
    <w:rsid w:val="0098785F"/>
    <w:rsid w:val="0098786A"/>
    <w:rsid w:val="00987886"/>
    <w:rsid w:val="0098791F"/>
    <w:rsid w:val="00987955"/>
    <w:rsid w:val="009879D5"/>
    <w:rsid w:val="009879DF"/>
    <w:rsid w:val="00987AAA"/>
    <w:rsid w:val="00987AD1"/>
    <w:rsid w:val="00987AFD"/>
    <w:rsid w:val="00987B42"/>
    <w:rsid w:val="00987D6F"/>
    <w:rsid w:val="00987DC4"/>
    <w:rsid w:val="00987DF5"/>
    <w:rsid w:val="00987E0D"/>
    <w:rsid w:val="00987E63"/>
    <w:rsid w:val="00987EEC"/>
    <w:rsid w:val="00987F1C"/>
    <w:rsid w:val="0099013B"/>
    <w:rsid w:val="0099013C"/>
    <w:rsid w:val="00990144"/>
    <w:rsid w:val="00990197"/>
    <w:rsid w:val="0099019C"/>
    <w:rsid w:val="00990246"/>
    <w:rsid w:val="00990312"/>
    <w:rsid w:val="009903E8"/>
    <w:rsid w:val="0099044E"/>
    <w:rsid w:val="00990481"/>
    <w:rsid w:val="0099060B"/>
    <w:rsid w:val="00990705"/>
    <w:rsid w:val="00990893"/>
    <w:rsid w:val="009908A2"/>
    <w:rsid w:val="00990913"/>
    <w:rsid w:val="009909D5"/>
    <w:rsid w:val="00990AA5"/>
    <w:rsid w:val="00990B2C"/>
    <w:rsid w:val="00990B31"/>
    <w:rsid w:val="00990BE3"/>
    <w:rsid w:val="00990C2A"/>
    <w:rsid w:val="00990D53"/>
    <w:rsid w:val="00990D70"/>
    <w:rsid w:val="00990DFA"/>
    <w:rsid w:val="00990E11"/>
    <w:rsid w:val="00990E3C"/>
    <w:rsid w:val="00990E6E"/>
    <w:rsid w:val="00990F6F"/>
    <w:rsid w:val="00990F86"/>
    <w:rsid w:val="00991014"/>
    <w:rsid w:val="00991056"/>
    <w:rsid w:val="009910A5"/>
    <w:rsid w:val="009910F7"/>
    <w:rsid w:val="00991118"/>
    <w:rsid w:val="00991253"/>
    <w:rsid w:val="0099141A"/>
    <w:rsid w:val="0099143E"/>
    <w:rsid w:val="009914DC"/>
    <w:rsid w:val="00991527"/>
    <w:rsid w:val="009915E7"/>
    <w:rsid w:val="009915E9"/>
    <w:rsid w:val="0099171C"/>
    <w:rsid w:val="00991742"/>
    <w:rsid w:val="009917A7"/>
    <w:rsid w:val="00991867"/>
    <w:rsid w:val="0099187A"/>
    <w:rsid w:val="00991896"/>
    <w:rsid w:val="00991930"/>
    <w:rsid w:val="0099196F"/>
    <w:rsid w:val="00991ABE"/>
    <w:rsid w:val="00991AC7"/>
    <w:rsid w:val="00991B22"/>
    <w:rsid w:val="00991B72"/>
    <w:rsid w:val="00991C4D"/>
    <w:rsid w:val="00991D5B"/>
    <w:rsid w:val="00991D65"/>
    <w:rsid w:val="00991EB1"/>
    <w:rsid w:val="00991F04"/>
    <w:rsid w:val="00991F2C"/>
    <w:rsid w:val="00991FBD"/>
    <w:rsid w:val="009920FA"/>
    <w:rsid w:val="00992106"/>
    <w:rsid w:val="0099217A"/>
    <w:rsid w:val="00992204"/>
    <w:rsid w:val="009922A7"/>
    <w:rsid w:val="009922D5"/>
    <w:rsid w:val="009922EF"/>
    <w:rsid w:val="00992385"/>
    <w:rsid w:val="009924DD"/>
    <w:rsid w:val="00992554"/>
    <w:rsid w:val="00992599"/>
    <w:rsid w:val="009925D9"/>
    <w:rsid w:val="0099262B"/>
    <w:rsid w:val="00992719"/>
    <w:rsid w:val="009927EB"/>
    <w:rsid w:val="00992825"/>
    <w:rsid w:val="00992894"/>
    <w:rsid w:val="00992978"/>
    <w:rsid w:val="00992999"/>
    <w:rsid w:val="00992B94"/>
    <w:rsid w:val="00992BFD"/>
    <w:rsid w:val="00992C3E"/>
    <w:rsid w:val="00992CAA"/>
    <w:rsid w:val="00992CB4"/>
    <w:rsid w:val="00992D11"/>
    <w:rsid w:val="00992DA7"/>
    <w:rsid w:val="00992E2D"/>
    <w:rsid w:val="00992E72"/>
    <w:rsid w:val="00992ECB"/>
    <w:rsid w:val="00992FA2"/>
    <w:rsid w:val="00992FB4"/>
    <w:rsid w:val="00993031"/>
    <w:rsid w:val="0099306C"/>
    <w:rsid w:val="00993109"/>
    <w:rsid w:val="00993158"/>
    <w:rsid w:val="0099318B"/>
    <w:rsid w:val="00993223"/>
    <w:rsid w:val="00993234"/>
    <w:rsid w:val="0099325E"/>
    <w:rsid w:val="009932B9"/>
    <w:rsid w:val="00993445"/>
    <w:rsid w:val="009934DB"/>
    <w:rsid w:val="009935FA"/>
    <w:rsid w:val="0099366C"/>
    <w:rsid w:val="009936A5"/>
    <w:rsid w:val="00993703"/>
    <w:rsid w:val="00993737"/>
    <w:rsid w:val="0099374E"/>
    <w:rsid w:val="00993767"/>
    <w:rsid w:val="0099391C"/>
    <w:rsid w:val="00993945"/>
    <w:rsid w:val="009939DA"/>
    <w:rsid w:val="00993A81"/>
    <w:rsid w:val="00993B6A"/>
    <w:rsid w:val="00993CEE"/>
    <w:rsid w:val="00993D8A"/>
    <w:rsid w:val="00993E6D"/>
    <w:rsid w:val="00993F18"/>
    <w:rsid w:val="00994020"/>
    <w:rsid w:val="0099402E"/>
    <w:rsid w:val="009941A8"/>
    <w:rsid w:val="00994296"/>
    <w:rsid w:val="00994328"/>
    <w:rsid w:val="00994401"/>
    <w:rsid w:val="009944F8"/>
    <w:rsid w:val="0099451F"/>
    <w:rsid w:val="00994531"/>
    <w:rsid w:val="00994604"/>
    <w:rsid w:val="0099460B"/>
    <w:rsid w:val="00994659"/>
    <w:rsid w:val="0099465D"/>
    <w:rsid w:val="00994664"/>
    <w:rsid w:val="0099469D"/>
    <w:rsid w:val="00994705"/>
    <w:rsid w:val="00994875"/>
    <w:rsid w:val="0099489D"/>
    <w:rsid w:val="00994902"/>
    <w:rsid w:val="0099495A"/>
    <w:rsid w:val="00994A7D"/>
    <w:rsid w:val="00994AFF"/>
    <w:rsid w:val="00994B8A"/>
    <w:rsid w:val="00994B8B"/>
    <w:rsid w:val="00994BB4"/>
    <w:rsid w:val="00994C75"/>
    <w:rsid w:val="00994C97"/>
    <w:rsid w:val="00994D0D"/>
    <w:rsid w:val="00994D9D"/>
    <w:rsid w:val="00994DAC"/>
    <w:rsid w:val="00994F54"/>
    <w:rsid w:val="00994F61"/>
    <w:rsid w:val="009950AC"/>
    <w:rsid w:val="00995263"/>
    <w:rsid w:val="009952B0"/>
    <w:rsid w:val="009953C8"/>
    <w:rsid w:val="0099552E"/>
    <w:rsid w:val="00995554"/>
    <w:rsid w:val="009956E1"/>
    <w:rsid w:val="009957BE"/>
    <w:rsid w:val="009957FA"/>
    <w:rsid w:val="009958AA"/>
    <w:rsid w:val="0099592D"/>
    <w:rsid w:val="00995977"/>
    <w:rsid w:val="009959BB"/>
    <w:rsid w:val="00995A01"/>
    <w:rsid w:val="00995AC0"/>
    <w:rsid w:val="00995BEB"/>
    <w:rsid w:val="00995BFA"/>
    <w:rsid w:val="00995C23"/>
    <w:rsid w:val="00995D6B"/>
    <w:rsid w:val="00995E2B"/>
    <w:rsid w:val="00995F5B"/>
    <w:rsid w:val="00995F7B"/>
    <w:rsid w:val="00995F82"/>
    <w:rsid w:val="00995F8B"/>
    <w:rsid w:val="00995F8C"/>
    <w:rsid w:val="009961AC"/>
    <w:rsid w:val="009961FA"/>
    <w:rsid w:val="00996270"/>
    <w:rsid w:val="00996280"/>
    <w:rsid w:val="0099634E"/>
    <w:rsid w:val="009963E9"/>
    <w:rsid w:val="00996534"/>
    <w:rsid w:val="009966E4"/>
    <w:rsid w:val="009967C0"/>
    <w:rsid w:val="00996805"/>
    <w:rsid w:val="00996869"/>
    <w:rsid w:val="009969A2"/>
    <w:rsid w:val="00996A4D"/>
    <w:rsid w:val="00996A62"/>
    <w:rsid w:val="00996ABD"/>
    <w:rsid w:val="00996CCE"/>
    <w:rsid w:val="00996EF2"/>
    <w:rsid w:val="00996F3B"/>
    <w:rsid w:val="00996FA8"/>
    <w:rsid w:val="00996FAF"/>
    <w:rsid w:val="0099701A"/>
    <w:rsid w:val="0099725A"/>
    <w:rsid w:val="0099726F"/>
    <w:rsid w:val="009972AA"/>
    <w:rsid w:val="009972CC"/>
    <w:rsid w:val="009972EF"/>
    <w:rsid w:val="0099737B"/>
    <w:rsid w:val="00997441"/>
    <w:rsid w:val="009974AC"/>
    <w:rsid w:val="009974E8"/>
    <w:rsid w:val="00997523"/>
    <w:rsid w:val="00997570"/>
    <w:rsid w:val="00997684"/>
    <w:rsid w:val="00997B26"/>
    <w:rsid w:val="00997B2D"/>
    <w:rsid w:val="00997C64"/>
    <w:rsid w:val="00997C93"/>
    <w:rsid w:val="00997E22"/>
    <w:rsid w:val="00997FB0"/>
    <w:rsid w:val="009A016A"/>
    <w:rsid w:val="009A0191"/>
    <w:rsid w:val="009A02CD"/>
    <w:rsid w:val="009A0334"/>
    <w:rsid w:val="009A034D"/>
    <w:rsid w:val="009A037F"/>
    <w:rsid w:val="009A03AD"/>
    <w:rsid w:val="009A07D7"/>
    <w:rsid w:val="009A0883"/>
    <w:rsid w:val="009A097A"/>
    <w:rsid w:val="009A09CB"/>
    <w:rsid w:val="009A0A09"/>
    <w:rsid w:val="009A0A64"/>
    <w:rsid w:val="009A0A8D"/>
    <w:rsid w:val="009A0B98"/>
    <w:rsid w:val="009A0BA6"/>
    <w:rsid w:val="009A0CB0"/>
    <w:rsid w:val="009A0D01"/>
    <w:rsid w:val="009A0DA5"/>
    <w:rsid w:val="009A0E80"/>
    <w:rsid w:val="009A0EAA"/>
    <w:rsid w:val="009A0EBA"/>
    <w:rsid w:val="009A0EF1"/>
    <w:rsid w:val="009A0F47"/>
    <w:rsid w:val="009A105D"/>
    <w:rsid w:val="009A1159"/>
    <w:rsid w:val="009A11C8"/>
    <w:rsid w:val="009A125C"/>
    <w:rsid w:val="009A1274"/>
    <w:rsid w:val="009A12FF"/>
    <w:rsid w:val="009A13E5"/>
    <w:rsid w:val="009A13FF"/>
    <w:rsid w:val="009A14A9"/>
    <w:rsid w:val="009A1595"/>
    <w:rsid w:val="009A16F2"/>
    <w:rsid w:val="009A16F4"/>
    <w:rsid w:val="009A1701"/>
    <w:rsid w:val="009A1746"/>
    <w:rsid w:val="009A175E"/>
    <w:rsid w:val="009A17FD"/>
    <w:rsid w:val="009A18BB"/>
    <w:rsid w:val="009A1A2C"/>
    <w:rsid w:val="009A1AAB"/>
    <w:rsid w:val="009A1BCC"/>
    <w:rsid w:val="009A1CD3"/>
    <w:rsid w:val="009A1D7A"/>
    <w:rsid w:val="009A1DD2"/>
    <w:rsid w:val="009A1E4E"/>
    <w:rsid w:val="009A1E56"/>
    <w:rsid w:val="009A1EB4"/>
    <w:rsid w:val="009A1EE3"/>
    <w:rsid w:val="009A1F47"/>
    <w:rsid w:val="009A1FE1"/>
    <w:rsid w:val="009A2009"/>
    <w:rsid w:val="009A20B6"/>
    <w:rsid w:val="009A20FC"/>
    <w:rsid w:val="009A2104"/>
    <w:rsid w:val="009A217F"/>
    <w:rsid w:val="009A21DE"/>
    <w:rsid w:val="009A223A"/>
    <w:rsid w:val="009A224E"/>
    <w:rsid w:val="009A22AF"/>
    <w:rsid w:val="009A2330"/>
    <w:rsid w:val="009A2416"/>
    <w:rsid w:val="009A25ED"/>
    <w:rsid w:val="009A25FD"/>
    <w:rsid w:val="009A262C"/>
    <w:rsid w:val="009A2691"/>
    <w:rsid w:val="009A2787"/>
    <w:rsid w:val="009A278F"/>
    <w:rsid w:val="009A27A4"/>
    <w:rsid w:val="009A285F"/>
    <w:rsid w:val="009A28A9"/>
    <w:rsid w:val="009A2907"/>
    <w:rsid w:val="009A29AE"/>
    <w:rsid w:val="009A29BE"/>
    <w:rsid w:val="009A2C2A"/>
    <w:rsid w:val="009A2D36"/>
    <w:rsid w:val="009A2DFD"/>
    <w:rsid w:val="009A2E81"/>
    <w:rsid w:val="009A2F62"/>
    <w:rsid w:val="009A2F88"/>
    <w:rsid w:val="009A2FEB"/>
    <w:rsid w:val="009A3068"/>
    <w:rsid w:val="009A3083"/>
    <w:rsid w:val="009A30AD"/>
    <w:rsid w:val="009A312F"/>
    <w:rsid w:val="009A31A5"/>
    <w:rsid w:val="009A3205"/>
    <w:rsid w:val="009A3242"/>
    <w:rsid w:val="009A329F"/>
    <w:rsid w:val="009A32D7"/>
    <w:rsid w:val="009A33F5"/>
    <w:rsid w:val="009A3578"/>
    <w:rsid w:val="009A358F"/>
    <w:rsid w:val="009A3603"/>
    <w:rsid w:val="009A3610"/>
    <w:rsid w:val="009A365D"/>
    <w:rsid w:val="009A369C"/>
    <w:rsid w:val="009A39F4"/>
    <w:rsid w:val="009A3A4B"/>
    <w:rsid w:val="009A3A9F"/>
    <w:rsid w:val="009A3B24"/>
    <w:rsid w:val="009A3B71"/>
    <w:rsid w:val="009A3B9B"/>
    <w:rsid w:val="009A3BD3"/>
    <w:rsid w:val="009A3CAB"/>
    <w:rsid w:val="009A3CD6"/>
    <w:rsid w:val="009A3D61"/>
    <w:rsid w:val="009A3D70"/>
    <w:rsid w:val="009A3DEB"/>
    <w:rsid w:val="009A3F10"/>
    <w:rsid w:val="009A3F13"/>
    <w:rsid w:val="009A3F1B"/>
    <w:rsid w:val="009A3FD7"/>
    <w:rsid w:val="009A4058"/>
    <w:rsid w:val="009A41D4"/>
    <w:rsid w:val="009A41ED"/>
    <w:rsid w:val="009A429F"/>
    <w:rsid w:val="009A42C4"/>
    <w:rsid w:val="009A4332"/>
    <w:rsid w:val="009A4359"/>
    <w:rsid w:val="009A444E"/>
    <w:rsid w:val="009A45B8"/>
    <w:rsid w:val="009A45CF"/>
    <w:rsid w:val="009A45E8"/>
    <w:rsid w:val="009A45F4"/>
    <w:rsid w:val="009A4768"/>
    <w:rsid w:val="009A47F5"/>
    <w:rsid w:val="009A48EA"/>
    <w:rsid w:val="009A4988"/>
    <w:rsid w:val="009A4B90"/>
    <w:rsid w:val="009A4BE2"/>
    <w:rsid w:val="009A4CC3"/>
    <w:rsid w:val="009A4D5C"/>
    <w:rsid w:val="009A4DA7"/>
    <w:rsid w:val="009A4DB3"/>
    <w:rsid w:val="009A4DF2"/>
    <w:rsid w:val="009A4E2A"/>
    <w:rsid w:val="009A4EE0"/>
    <w:rsid w:val="009A4FA9"/>
    <w:rsid w:val="009A501D"/>
    <w:rsid w:val="009A5091"/>
    <w:rsid w:val="009A50B9"/>
    <w:rsid w:val="009A5167"/>
    <w:rsid w:val="009A5196"/>
    <w:rsid w:val="009A5207"/>
    <w:rsid w:val="009A52F4"/>
    <w:rsid w:val="009A5381"/>
    <w:rsid w:val="009A53DB"/>
    <w:rsid w:val="009A5410"/>
    <w:rsid w:val="009A5479"/>
    <w:rsid w:val="009A54B6"/>
    <w:rsid w:val="009A54DF"/>
    <w:rsid w:val="009A5691"/>
    <w:rsid w:val="009A56F1"/>
    <w:rsid w:val="009A57A2"/>
    <w:rsid w:val="009A5845"/>
    <w:rsid w:val="009A58EA"/>
    <w:rsid w:val="009A5930"/>
    <w:rsid w:val="009A5939"/>
    <w:rsid w:val="009A5B7E"/>
    <w:rsid w:val="009A5B81"/>
    <w:rsid w:val="009A5BDE"/>
    <w:rsid w:val="009A5C08"/>
    <w:rsid w:val="009A5C56"/>
    <w:rsid w:val="009A5C74"/>
    <w:rsid w:val="009A5D08"/>
    <w:rsid w:val="009A5E9A"/>
    <w:rsid w:val="009A5F3D"/>
    <w:rsid w:val="009A61CC"/>
    <w:rsid w:val="009A6297"/>
    <w:rsid w:val="009A629E"/>
    <w:rsid w:val="009A62B3"/>
    <w:rsid w:val="009A62DD"/>
    <w:rsid w:val="009A63CC"/>
    <w:rsid w:val="009A6416"/>
    <w:rsid w:val="009A648D"/>
    <w:rsid w:val="009A653B"/>
    <w:rsid w:val="009A654D"/>
    <w:rsid w:val="009A6637"/>
    <w:rsid w:val="009A6678"/>
    <w:rsid w:val="009A684E"/>
    <w:rsid w:val="009A6867"/>
    <w:rsid w:val="009A6A00"/>
    <w:rsid w:val="009A6AF7"/>
    <w:rsid w:val="009A6B83"/>
    <w:rsid w:val="009A6C1F"/>
    <w:rsid w:val="009A6C3B"/>
    <w:rsid w:val="009A6C64"/>
    <w:rsid w:val="009A6C75"/>
    <w:rsid w:val="009A6CD3"/>
    <w:rsid w:val="009A6D2F"/>
    <w:rsid w:val="009A6D33"/>
    <w:rsid w:val="009A6DAC"/>
    <w:rsid w:val="009A6E05"/>
    <w:rsid w:val="009A727C"/>
    <w:rsid w:val="009A7317"/>
    <w:rsid w:val="009A7369"/>
    <w:rsid w:val="009A7488"/>
    <w:rsid w:val="009A74E8"/>
    <w:rsid w:val="009A7826"/>
    <w:rsid w:val="009A7865"/>
    <w:rsid w:val="009A78FF"/>
    <w:rsid w:val="009A7940"/>
    <w:rsid w:val="009A7A4D"/>
    <w:rsid w:val="009A7B32"/>
    <w:rsid w:val="009A7C4D"/>
    <w:rsid w:val="009A7D1D"/>
    <w:rsid w:val="009A7D89"/>
    <w:rsid w:val="009B0020"/>
    <w:rsid w:val="009B00FD"/>
    <w:rsid w:val="009B0116"/>
    <w:rsid w:val="009B0272"/>
    <w:rsid w:val="009B0279"/>
    <w:rsid w:val="009B02DF"/>
    <w:rsid w:val="009B0341"/>
    <w:rsid w:val="009B0361"/>
    <w:rsid w:val="009B03A8"/>
    <w:rsid w:val="009B03E3"/>
    <w:rsid w:val="009B0482"/>
    <w:rsid w:val="009B04B5"/>
    <w:rsid w:val="009B0530"/>
    <w:rsid w:val="009B0606"/>
    <w:rsid w:val="009B083E"/>
    <w:rsid w:val="009B09A7"/>
    <w:rsid w:val="009B0A0E"/>
    <w:rsid w:val="009B0A56"/>
    <w:rsid w:val="009B0B2F"/>
    <w:rsid w:val="009B0ED7"/>
    <w:rsid w:val="009B0EF2"/>
    <w:rsid w:val="009B0F63"/>
    <w:rsid w:val="009B0FFB"/>
    <w:rsid w:val="009B1052"/>
    <w:rsid w:val="009B11C9"/>
    <w:rsid w:val="009B11EA"/>
    <w:rsid w:val="009B1214"/>
    <w:rsid w:val="009B1346"/>
    <w:rsid w:val="009B138B"/>
    <w:rsid w:val="009B13B0"/>
    <w:rsid w:val="009B1405"/>
    <w:rsid w:val="009B14AA"/>
    <w:rsid w:val="009B1533"/>
    <w:rsid w:val="009B15C0"/>
    <w:rsid w:val="009B15CA"/>
    <w:rsid w:val="009B1619"/>
    <w:rsid w:val="009B177B"/>
    <w:rsid w:val="009B1821"/>
    <w:rsid w:val="009B1829"/>
    <w:rsid w:val="009B1830"/>
    <w:rsid w:val="009B187A"/>
    <w:rsid w:val="009B1B6D"/>
    <w:rsid w:val="009B1BF3"/>
    <w:rsid w:val="009B1C7D"/>
    <w:rsid w:val="009B1C98"/>
    <w:rsid w:val="009B1D0A"/>
    <w:rsid w:val="009B1E65"/>
    <w:rsid w:val="009B1EBA"/>
    <w:rsid w:val="009B1F14"/>
    <w:rsid w:val="009B2004"/>
    <w:rsid w:val="009B20A9"/>
    <w:rsid w:val="009B20B1"/>
    <w:rsid w:val="009B20D9"/>
    <w:rsid w:val="009B2129"/>
    <w:rsid w:val="009B223A"/>
    <w:rsid w:val="009B23AE"/>
    <w:rsid w:val="009B23B0"/>
    <w:rsid w:val="009B2586"/>
    <w:rsid w:val="009B25CE"/>
    <w:rsid w:val="009B26C5"/>
    <w:rsid w:val="009B2803"/>
    <w:rsid w:val="009B2884"/>
    <w:rsid w:val="009B2914"/>
    <w:rsid w:val="009B2966"/>
    <w:rsid w:val="009B2AAB"/>
    <w:rsid w:val="009B2B78"/>
    <w:rsid w:val="009B2BB0"/>
    <w:rsid w:val="009B2BD3"/>
    <w:rsid w:val="009B2C17"/>
    <w:rsid w:val="009B2DFF"/>
    <w:rsid w:val="009B2E84"/>
    <w:rsid w:val="009B2ED6"/>
    <w:rsid w:val="009B2F58"/>
    <w:rsid w:val="009B3013"/>
    <w:rsid w:val="009B3022"/>
    <w:rsid w:val="009B3082"/>
    <w:rsid w:val="009B308E"/>
    <w:rsid w:val="009B30EB"/>
    <w:rsid w:val="009B30F0"/>
    <w:rsid w:val="009B30F6"/>
    <w:rsid w:val="009B3159"/>
    <w:rsid w:val="009B31FF"/>
    <w:rsid w:val="009B325D"/>
    <w:rsid w:val="009B332C"/>
    <w:rsid w:val="009B338F"/>
    <w:rsid w:val="009B3419"/>
    <w:rsid w:val="009B341E"/>
    <w:rsid w:val="009B3533"/>
    <w:rsid w:val="009B3566"/>
    <w:rsid w:val="009B3703"/>
    <w:rsid w:val="009B3709"/>
    <w:rsid w:val="009B374E"/>
    <w:rsid w:val="009B3754"/>
    <w:rsid w:val="009B37ED"/>
    <w:rsid w:val="009B3844"/>
    <w:rsid w:val="009B38E6"/>
    <w:rsid w:val="009B3941"/>
    <w:rsid w:val="009B39C5"/>
    <w:rsid w:val="009B3A63"/>
    <w:rsid w:val="009B3A6B"/>
    <w:rsid w:val="009B3AB6"/>
    <w:rsid w:val="009B3BBF"/>
    <w:rsid w:val="009B3C2A"/>
    <w:rsid w:val="009B3C53"/>
    <w:rsid w:val="009B3CAE"/>
    <w:rsid w:val="009B3DCC"/>
    <w:rsid w:val="009B3E2B"/>
    <w:rsid w:val="009B3E7B"/>
    <w:rsid w:val="009B3F38"/>
    <w:rsid w:val="009B3FA0"/>
    <w:rsid w:val="009B3FC7"/>
    <w:rsid w:val="009B4041"/>
    <w:rsid w:val="009B40C9"/>
    <w:rsid w:val="009B415D"/>
    <w:rsid w:val="009B4280"/>
    <w:rsid w:val="009B4317"/>
    <w:rsid w:val="009B439A"/>
    <w:rsid w:val="009B43A9"/>
    <w:rsid w:val="009B4406"/>
    <w:rsid w:val="009B445F"/>
    <w:rsid w:val="009B44BE"/>
    <w:rsid w:val="009B4507"/>
    <w:rsid w:val="009B459C"/>
    <w:rsid w:val="009B4613"/>
    <w:rsid w:val="009B461A"/>
    <w:rsid w:val="009B4658"/>
    <w:rsid w:val="009B46FE"/>
    <w:rsid w:val="009B4722"/>
    <w:rsid w:val="009B48DB"/>
    <w:rsid w:val="009B48F1"/>
    <w:rsid w:val="009B495D"/>
    <w:rsid w:val="009B4A23"/>
    <w:rsid w:val="009B4A44"/>
    <w:rsid w:val="009B4BB9"/>
    <w:rsid w:val="009B4BD8"/>
    <w:rsid w:val="009B4C14"/>
    <w:rsid w:val="009B4C4E"/>
    <w:rsid w:val="009B4CE2"/>
    <w:rsid w:val="009B4DA4"/>
    <w:rsid w:val="009B4E62"/>
    <w:rsid w:val="009B4F99"/>
    <w:rsid w:val="009B4FFD"/>
    <w:rsid w:val="009B500F"/>
    <w:rsid w:val="009B502B"/>
    <w:rsid w:val="009B5056"/>
    <w:rsid w:val="009B50C5"/>
    <w:rsid w:val="009B51AC"/>
    <w:rsid w:val="009B51BF"/>
    <w:rsid w:val="009B51C5"/>
    <w:rsid w:val="009B526F"/>
    <w:rsid w:val="009B5293"/>
    <w:rsid w:val="009B52F4"/>
    <w:rsid w:val="009B53AC"/>
    <w:rsid w:val="009B53C4"/>
    <w:rsid w:val="009B53E9"/>
    <w:rsid w:val="009B5404"/>
    <w:rsid w:val="009B541E"/>
    <w:rsid w:val="009B5581"/>
    <w:rsid w:val="009B5791"/>
    <w:rsid w:val="009B57A2"/>
    <w:rsid w:val="009B57F2"/>
    <w:rsid w:val="009B5A3F"/>
    <w:rsid w:val="009B5ACF"/>
    <w:rsid w:val="009B5DA2"/>
    <w:rsid w:val="009B5DCB"/>
    <w:rsid w:val="009B5E24"/>
    <w:rsid w:val="009B5EB4"/>
    <w:rsid w:val="009B5F05"/>
    <w:rsid w:val="009B5F1B"/>
    <w:rsid w:val="009B5FED"/>
    <w:rsid w:val="009B61EE"/>
    <w:rsid w:val="009B629A"/>
    <w:rsid w:val="009B62B4"/>
    <w:rsid w:val="009B6462"/>
    <w:rsid w:val="009B6506"/>
    <w:rsid w:val="009B6510"/>
    <w:rsid w:val="009B651B"/>
    <w:rsid w:val="009B6543"/>
    <w:rsid w:val="009B6560"/>
    <w:rsid w:val="009B65F5"/>
    <w:rsid w:val="009B65F7"/>
    <w:rsid w:val="009B6865"/>
    <w:rsid w:val="009B687F"/>
    <w:rsid w:val="009B68A4"/>
    <w:rsid w:val="009B696F"/>
    <w:rsid w:val="009B69B1"/>
    <w:rsid w:val="009B69BF"/>
    <w:rsid w:val="009B6A02"/>
    <w:rsid w:val="009B6ACC"/>
    <w:rsid w:val="009B6AD1"/>
    <w:rsid w:val="009B6AE9"/>
    <w:rsid w:val="009B6B2E"/>
    <w:rsid w:val="009B6B81"/>
    <w:rsid w:val="009B6BB3"/>
    <w:rsid w:val="009B6C2C"/>
    <w:rsid w:val="009B6C31"/>
    <w:rsid w:val="009B6CE0"/>
    <w:rsid w:val="009B6CE3"/>
    <w:rsid w:val="009B6DB4"/>
    <w:rsid w:val="009B6DDB"/>
    <w:rsid w:val="009B6EF6"/>
    <w:rsid w:val="009B6F8D"/>
    <w:rsid w:val="009B6FD9"/>
    <w:rsid w:val="009B70E7"/>
    <w:rsid w:val="009B7182"/>
    <w:rsid w:val="009B729B"/>
    <w:rsid w:val="009B7476"/>
    <w:rsid w:val="009B7544"/>
    <w:rsid w:val="009B7563"/>
    <w:rsid w:val="009B75B4"/>
    <w:rsid w:val="009B768A"/>
    <w:rsid w:val="009B780C"/>
    <w:rsid w:val="009B7812"/>
    <w:rsid w:val="009B7843"/>
    <w:rsid w:val="009B78F5"/>
    <w:rsid w:val="009B79A3"/>
    <w:rsid w:val="009B7A4F"/>
    <w:rsid w:val="009B7AC2"/>
    <w:rsid w:val="009B7AE0"/>
    <w:rsid w:val="009B7AEE"/>
    <w:rsid w:val="009B7B04"/>
    <w:rsid w:val="009B7B7B"/>
    <w:rsid w:val="009B7B7D"/>
    <w:rsid w:val="009B7E41"/>
    <w:rsid w:val="009B7EFA"/>
    <w:rsid w:val="009B7FE2"/>
    <w:rsid w:val="009C0018"/>
    <w:rsid w:val="009C004F"/>
    <w:rsid w:val="009C0075"/>
    <w:rsid w:val="009C0098"/>
    <w:rsid w:val="009C00A7"/>
    <w:rsid w:val="009C00F7"/>
    <w:rsid w:val="009C01A5"/>
    <w:rsid w:val="009C01DF"/>
    <w:rsid w:val="009C02DB"/>
    <w:rsid w:val="009C0351"/>
    <w:rsid w:val="009C0366"/>
    <w:rsid w:val="009C03F9"/>
    <w:rsid w:val="009C0442"/>
    <w:rsid w:val="009C04C2"/>
    <w:rsid w:val="009C0507"/>
    <w:rsid w:val="009C063F"/>
    <w:rsid w:val="009C064F"/>
    <w:rsid w:val="009C067F"/>
    <w:rsid w:val="009C0733"/>
    <w:rsid w:val="009C074F"/>
    <w:rsid w:val="009C07CE"/>
    <w:rsid w:val="009C082C"/>
    <w:rsid w:val="009C08D2"/>
    <w:rsid w:val="009C093A"/>
    <w:rsid w:val="009C0940"/>
    <w:rsid w:val="009C096C"/>
    <w:rsid w:val="009C09C1"/>
    <w:rsid w:val="009C0A17"/>
    <w:rsid w:val="009C0B07"/>
    <w:rsid w:val="009C0BD2"/>
    <w:rsid w:val="009C0C40"/>
    <w:rsid w:val="009C0CB4"/>
    <w:rsid w:val="009C0D61"/>
    <w:rsid w:val="009C0E16"/>
    <w:rsid w:val="009C0EA2"/>
    <w:rsid w:val="009C0EAB"/>
    <w:rsid w:val="009C0EAC"/>
    <w:rsid w:val="009C0EF2"/>
    <w:rsid w:val="009C0F03"/>
    <w:rsid w:val="009C0F18"/>
    <w:rsid w:val="009C1007"/>
    <w:rsid w:val="009C108B"/>
    <w:rsid w:val="009C10A5"/>
    <w:rsid w:val="009C10F0"/>
    <w:rsid w:val="009C1242"/>
    <w:rsid w:val="009C12A2"/>
    <w:rsid w:val="009C1468"/>
    <w:rsid w:val="009C14AC"/>
    <w:rsid w:val="009C16E8"/>
    <w:rsid w:val="009C1774"/>
    <w:rsid w:val="009C1964"/>
    <w:rsid w:val="009C1A03"/>
    <w:rsid w:val="009C1AB3"/>
    <w:rsid w:val="009C1B2C"/>
    <w:rsid w:val="009C1B67"/>
    <w:rsid w:val="009C1D7A"/>
    <w:rsid w:val="009C1E62"/>
    <w:rsid w:val="009C1EE7"/>
    <w:rsid w:val="009C1F24"/>
    <w:rsid w:val="009C1FCA"/>
    <w:rsid w:val="009C20AD"/>
    <w:rsid w:val="009C210E"/>
    <w:rsid w:val="009C2148"/>
    <w:rsid w:val="009C229E"/>
    <w:rsid w:val="009C2354"/>
    <w:rsid w:val="009C237C"/>
    <w:rsid w:val="009C2453"/>
    <w:rsid w:val="009C2464"/>
    <w:rsid w:val="009C2470"/>
    <w:rsid w:val="009C24A5"/>
    <w:rsid w:val="009C2659"/>
    <w:rsid w:val="009C2670"/>
    <w:rsid w:val="009C27C4"/>
    <w:rsid w:val="009C289B"/>
    <w:rsid w:val="009C295D"/>
    <w:rsid w:val="009C2A37"/>
    <w:rsid w:val="009C2ACA"/>
    <w:rsid w:val="009C2ACC"/>
    <w:rsid w:val="009C2AEE"/>
    <w:rsid w:val="009C2B3E"/>
    <w:rsid w:val="009C2BBE"/>
    <w:rsid w:val="009C2BD1"/>
    <w:rsid w:val="009C2CB0"/>
    <w:rsid w:val="009C2CFB"/>
    <w:rsid w:val="009C2D06"/>
    <w:rsid w:val="009C2E21"/>
    <w:rsid w:val="009C2ED6"/>
    <w:rsid w:val="009C2FF3"/>
    <w:rsid w:val="009C30C8"/>
    <w:rsid w:val="009C3136"/>
    <w:rsid w:val="009C31BE"/>
    <w:rsid w:val="009C322C"/>
    <w:rsid w:val="009C3312"/>
    <w:rsid w:val="009C3322"/>
    <w:rsid w:val="009C33F2"/>
    <w:rsid w:val="009C345B"/>
    <w:rsid w:val="009C3465"/>
    <w:rsid w:val="009C3482"/>
    <w:rsid w:val="009C3489"/>
    <w:rsid w:val="009C35C6"/>
    <w:rsid w:val="009C360E"/>
    <w:rsid w:val="009C36E8"/>
    <w:rsid w:val="009C3756"/>
    <w:rsid w:val="009C386A"/>
    <w:rsid w:val="009C3878"/>
    <w:rsid w:val="009C39E8"/>
    <w:rsid w:val="009C3A24"/>
    <w:rsid w:val="009C3A6A"/>
    <w:rsid w:val="009C3B6E"/>
    <w:rsid w:val="009C3C07"/>
    <w:rsid w:val="009C3C86"/>
    <w:rsid w:val="009C3C99"/>
    <w:rsid w:val="009C3D0D"/>
    <w:rsid w:val="009C3D2C"/>
    <w:rsid w:val="009C3E3C"/>
    <w:rsid w:val="009C3E7E"/>
    <w:rsid w:val="009C3E81"/>
    <w:rsid w:val="009C3EAF"/>
    <w:rsid w:val="009C3EEB"/>
    <w:rsid w:val="009C4009"/>
    <w:rsid w:val="009C4112"/>
    <w:rsid w:val="009C439A"/>
    <w:rsid w:val="009C43EF"/>
    <w:rsid w:val="009C43F9"/>
    <w:rsid w:val="009C4534"/>
    <w:rsid w:val="009C45EF"/>
    <w:rsid w:val="009C474D"/>
    <w:rsid w:val="009C47BE"/>
    <w:rsid w:val="009C47D4"/>
    <w:rsid w:val="009C48C9"/>
    <w:rsid w:val="009C4905"/>
    <w:rsid w:val="009C494A"/>
    <w:rsid w:val="009C49C0"/>
    <w:rsid w:val="009C4ABA"/>
    <w:rsid w:val="009C4AEC"/>
    <w:rsid w:val="009C4B53"/>
    <w:rsid w:val="009C4B97"/>
    <w:rsid w:val="009C4C30"/>
    <w:rsid w:val="009C4D3D"/>
    <w:rsid w:val="009C4D8A"/>
    <w:rsid w:val="009C4DE7"/>
    <w:rsid w:val="009C4E2D"/>
    <w:rsid w:val="009C4F64"/>
    <w:rsid w:val="009C4F90"/>
    <w:rsid w:val="009C4FEF"/>
    <w:rsid w:val="009C5017"/>
    <w:rsid w:val="009C5020"/>
    <w:rsid w:val="009C502C"/>
    <w:rsid w:val="009C5032"/>
    <w:rsid w:val="009C5130"/>
    <w:rsid w:val="009C5288"/>
    <w:rsid w:val="009C52AA"/>
    <w:rsid w:val="009C530D"/>
    <w:rsid w:val="009C536E"/>
    <w:rsid w:val="009C53F4"/>
    <w:rsid w:val="009C540E"/>
    <w:rsid w:val="009C5463"/>
    <w:rsid w:val="009C54FD"/>
    <w:rsid w:val="009C5558"/>
    <w:rsid w:val="009C5566"/>
    <w:rsid w:val="009C5589"/>
    <w:rsid w:val="009C56C1"/>
    <w:rsid w:val="009C56EE"/>
    <w:rsid w:val="009C5743"/>
    <w:rsid w:val="009C5751"/>
    <w:rsid w:val="009C5787"/>
    <w:rsid w:val="009C57E5"/>
    <w:rsid w:val="009C582C"/>
    <w:rsid w:val="009C583F"/>
    <w:rsid w:val="009C5986"/>
    <w:rsid w:val="009C59E1"/>
    <w:rsid w:val="009C5A64"/>
    <w:rsid w:val="009C5C4D"/>
    <w:rsid w:val="009C5D3F"/>
    <w:rsid w:val="009C5D50"/>
    <w:rsid w:val="009C5D53"/>
    <w:rsid w:val="009C5D77"/>
    <w:rsid w:val="009C5DA8"/>
    <w:rsid w:val="009C5E62"/>
    <w:rsid w:val="009C5FB1"/>
    <w:rsid w:val="009C6024"/>
    <w:rsid w:val="009C613C"/>
    <w:rsid w:val="009C61BA"/>
    <w:rsid w:val="009C61C3"/>
    <w:rsid w:val="009C6266"/>
    <w:rsid w:val="009C6320"/>
    <w:rsid w:val="009C6405"/>
    <w:rsid w:val="009C6461"/>
    <w:rsid w:val="009C64C4"/>
    <w:rsid w:val="009C6509"/>
    <w:rsid w:val="009C6513"/>
    <w:rsid w:val="009C666C"/>
    <w:rsid w:val="009C6674"/>
    <w:rsid w:val="009C6692"/>
    <w:rsid w:val="009C674E"/>
    <w:rsid w:val="009C676A"/>
    <w:rsid w:val="009C6782"/>
    <w:rsid w:val="009C67F6"/>
    <w:rsid w:val="009C6933"/>
    <w:rsid w:val="009C6A2C"/>
    <w:rsid w:val="009C6A79"/>
    <w:rsid w:val="009C6AD0"/>
    <w:rsid w:val="009C6AE9"/>
    <w:rsid w:val="009C6B99"/>
    <w:rsid w:val="009C6BE6"/>
    <w:rsid w:val="009C6C18"/>
    <w:rsid w:val="009C6C32"/>
    <w:rsid w:val="009C6C4E"/>
    <w:rsid w:val="009C6D7D"/>
    <w:rsid w:val="009C6DEC"/>
    <w:rsid w:val="009C6DEE"/>
    <w:rsid w:val="009C6E36"/>
    <w:rsid w:val="009C70A8"/>
    <w:rsid w:val="009C715D"/>
    <w:rsid w:val="009C71EB"/>
    <w:rsid w:val="009C71FE"/>
    <w:rsid w:val="009C7278"/>
    <w:rsid w:val="009C727C"/>
    <w:rsid w:val="009C7312"/>
    <w:rsid w:val="009C7384"/>
    <w:rsid w:val="009C7447"/>
    <w:rsid w:val="009C745D"/>
    <w:rsid w:val="009C7494"/>
    <w:rsid w:val="009C74D3"/>
    <w:rsid w:val="009C7670"/>
    <w:rsid w:val="009C773E"/>
    <w:rsid w:val="009C7754"/>
    <w:rsid w:val="009C77B2"/>
    <w:rsid w:val="009C7870"/>
    <w:rsid w:val="009C78BA"/>
    <w:rsid w:val="009C799A"/>
    <w:rsid w:val="009C79BF"/>
    <w:rsid w:val="009C7A73"/>
    <w:rsid w:val="009C7AD9"/>
    <w:rsid w:val="009C7C7D"/>
    <w:rsid w:val="009C7C80"/>
    <w:rsid w:val="009C7D35"/>
    <w:rsid w:val="009C7E21"/>
    <w:rsid w:val="009C7E55"/>
    <w:rsid w:val="009C7EBF"/>
    <w:rsid w:val="009C7FCF"/>
    <w:rsid w:val="009D0014"/>
    <w:rsid w:val="009D00D2"/>
    <w:rsid w:val="009D0142"/>
    <w:rsid w:val="009D0188"/>
    <w:rsid w:val="009D02A3"/>
    <w:rsid w:val="009D03AD"/>
    <w:rsid w:val="009D03EE"/>
    <w:rsid w:val="009D071F"/>
    <w:rsid w:val="009D076F"/>
    <w:rsid w:val="009D0796"/>
    <w:rsid w:val="009D0799"/>
    <w:rsid w:val="009D07A7"/>
    <w:rsid w:val="009D0887"/>
    <w:rsid w:val="009D08C7"/>
    <w:rsid w:val="009D0907"/>
    <w:rsid w:val="009D0917"/>
    <w:rsid w:val="009D0994"/>
    <w:rsid w:val="009D09E2"/>
    <w:rsid w:val="009D0A6B"/>
    <w:rsid w:val="009D0B0B"/>
    <w:rsid w:val="009D0B13"/>
    <w:rsid w:val="009D0B7C"/>
    <w:rsid w:val="009D0CDF"/>
    <w:rsid w:val="009D0D77"/>
    <w:rsid w:val="009D0D98"/>
    <w:rsid w:val="009D0E0E"/>
    <w:rsid w:val="009D0E3A"/>
    <w:rsid w:val="009D0EB5"/>
    <w:rsid w:val="009D0F34"/>
    <w:rsid w:val="009D1138"/>
    <w:rsid w:val="009D11F0"/>
    <w:rsid w:val="009D1217"/>
    <w:rsid w:val="009D122A"/>
    <w:rsid w:val="009D12EC"/>
    <w:rsid w:val="009D131D"/>
    <w:rsid w:val="009D13E8"/>
    <w:rsid w:val="009D1515"/>
    <w:rsid w:val="009D1575"/>
    <w:rsid w:val="009D1673"/>
    <w:rsid w:val="009D179E"/>
    <w:rsid w:val="009D189E"/>
    <w:rsid w:val="009D18C3"/>
    <w:rsid w:val="009D195E"/>
    <w:rsid w:val="009D19A3"/>
    <w:rsid w:val="009D19D3"/>
    <w:rsid w:val="009D19E5"/>
    <w:rsid w:val="009D19F2"/>
    <w:rsid w:val="009D1A36"/>
    <w:rsid w:val="009D1BE8"/>
    <w:rsid w:val="009D1CAA"/>
    <w:rsid w:val="009D1CC1"/>
    <w:rsid w:val="009D1CE4"/>
    <w:rsid w:val="009D1D0E"/>
    <w:rsid w:val="009D1DE5"/>
    <w:rsid w:val="009D1E00"/>
    <w:rsid w:val="009D1E7A"/>
    <w:rsid w:val="009D1EFE"/>
    <w:rsid w:val="009D1FB1"/>
    <w:rsid w:val="009D1FB6"/>
    <w:rsid w:val="009D1FBD"/>
    <w:rsid w:val="009D2008"/>
    <w:rsid w:val="009D2012"/>
    <w:rsid w:val="009D2341"/>
    <w:rsid w:val="009D23CD"/>
    <w:rsid w:val="009D23D1"/>
    <w:rsid w:val="009D2428"/>
    <w:rsid w:val="009D2436"/>
    <w:rsid w:val="009D251A"/>
    <w:rsid w:val="009D259E"/>
    <w:rsid w:val="009D25BB"/>
    <w:rsid w:val="009D266E"/>
    <w:rsid w:val="009D2677"/>
    <w:rsid w:val="009D2682"/>
    <w:rsid w:val="009D2773"/>
    <w:rsid w:val="009D295C"/>
    <w:rsid w:val="009D2A46"/>
    <w:rsid w:val="009D2A6D"/>
    <w:rsid w:val="009D2ABE"/>
    <w:rsid w:val="009D2B4D"/>
    <w:rsid w:val="009D2BAA"/>
    <w:rsid w:val="009D2C43"/>
    <w:rsid w:val="009D2C73"/>
    <w:rsid w:val="009D2C83"/>
    <w:rsid w:val="009D2CFD"/>
    <w:rsid w:val="009D2D73"/>
    <w:rsid w:val="009D2DF9"/>
    <w:rsid w:val="009D2EAD"/>
    <w:rsid w:val="009D2EC8"/>
    <w:rsid w:val="009D2FED"/>
    <w:rsid w:val="009D2FFC"/>
    <w:rsid w:val="009D3139"/>
    <w:rsid w:val="009D31D6"/>
    <w:rsid w:val="009D31E8"/>
    <w:rsid w:val="009D3304"/>
    <w:rsid w:val="009D3467"/>
    <w:rsid w:val="009D349A"/>
    <w:rsid w:val="009D3602"/>
    <w:rsid w:val="009D3886"/>
    <w:rsid w:val="009D38FF"/>
    <w:rsid w:val="009D39CD"/>
    <w:rsid w:val="009D3A19"/>
    <w:rsid w:val="009D3A3B"/>
    <w:rsid w:val="009D3B75"/>
    <w:rsid w:val="009D3C09"/>
    <w:rsid w:val="009D3C18"/>
    <w:rsid w:val="009D3DA9"/>
    <w:rsid w:val="009D3DD7"/>
    <w:rsid w:val="009D3E08"/>
    <w:rsid w:val="009D3EA4"/>
    <w:rsid w:val="009D3EEA"/>
    <w:rsid w:val="009D3F09"/>
    <w:rsid w:val="009D3F8C"/>
    <w:rsid w:val="009D3FA7"/>
    <w:rsid w:val="009D3FEE"/>
    <w:rsid w:val="009D40EB"/>
    <w:rsid w:val="009D425D"/>
    <w:rsid w:val="009D426F"/>
    <w:rsid w:val="009D42CD"/>
    <w:rsid w:val="009D434F"/>
    <w:rsid w:val="009D44FF"/>
    <w:rsid w:val="009D4508"/>
    <w:rsid w:val="009D4552"/>
    <w:rsid w:val="009D4557"/>
    <w:rsid w:val="009D4581"/>
    <w:rsid w:val="009D45B7"/>
    <w:rsid w:val="009D45CC"/>
    <w:rsid w:val="009D45D2"/>
    <w:rsid w:val="009D460D"/>
    <w:rsid w:val="009D463D"/>
    <w:rsid w:val="009D4660"/>
    <w:rsid w:val="009D4678"/>
    <w:rsid w:val="009D46AA"/>
    <w:rsid w:val="009D46AF"/>
    <w:rsid w:val="009D4747"/>
    <w:rsid w:val="009D478C"/>
    <w:rsid w:val="009D47A5"/>
    <w:rsid w:val="009D47DD"/>
    <w:rsid w:val="009D47FB"/>
    <w:rsid w:val="009D4804"/>
    <w:rsid w:val="009D486C"/>
    <w:rsid w:val="009D4875"/>
    <w:rsid w:val="009D493E"/>
    <w:rsid w:val="009D49DF"/>
    <w:rsid w:val="009D4A40"/>
    <w:rsid w:val="009D4A71"/>
    <w:rsid w:val="009D4CE5"/>
    <w:rsid w:val="009D4D41"/>
    <w:rsid w:val="009D4FA7"/>
    <w:rsid w:val="009D5008"/>
    <w:rsid w:val="009D509A"/>
    <w:rsid w:val="009D51F4"/>
    <w:rsid w:val="009D52F9"/>
    <w:rsid w:val="009D531F"/>
    <w:rsid w:val="009D5326"/>
    <w:rsid w:val="009D5390"/>
    <w:rsid w:val="009D548C"/>
    <w:rsid w:val="009D5542"/>
    <w:rsid w:val="009D55DA"/>
    <w:rsid w:val="009D5662"/>
    <w:rsid w:val="009D5738"/>
    <w:rsid w:val="009D57ED"/>
    <w:rsid w:val="009D59DE"/>
    <w:rsid w:val="009D5A3B"/>
    <w:rsid w:val="009D5B5A"/>
    <w:rsid w:val="009D5C44"/>
    <w:rsid w:val="009D5C5F"/>
    <w:rsid w:val="009D5C66"/>
    <w:rsid w:val="009D5CA4"/>
    <w:rsid w:val="009D5CE8"/>
    <w:rsid w:val="009D5D1E"/>
    <w:rsid w:val="009D5E7E"/>
    <w:rsid w:val="009D5F34"/>
    <w:rsid w:val="009D6093"/>
    <w:rsid w:val="009D60EE"/>
    <w:rsid w:val="009D60FE"/>
    <w:rsid w:val="009D6116"/>
    <w:rsid w:val="009D61BC"/>
    <w:rsid w:val="009D624A"/>
    <w:rsid w:val="009D62D4"/>
    <w:rsid w:val="009D62F1"/>
    <w:rsid w:val="009D6304"/>
    <w:rsid w:val="009D634B"/>
    <w:rsid w:val="009D634E"/>
    <w:rsid w:val="009D635B"/>
    <w:rsid w:val="009D63C1"/>
    <w:rsid w:val="009D63CA"/>
    <w:rsid w:val="009D64E7"/>
    <w:rsid w:val="009D6601"/>
    <w:rsid w:val="009D663A"/>
    <w:rsid w:val="009D6646"/>
    <w:rsid w:val="009D66A0"/>
    <w:rsid w:val="009D67D8"/>
    <w:rsid w:val="009D67F0"/>
    <w:rsid w:val="009D6890"/>
    <w:rsid w:val="009D68B7"/>
    <w:rsid w:val="009D6936"/>
    <w:rsid w:val="009D6A4E"/>
    <w:rsid w:val="009D6CE7"/>
    <w:rsid w:val="009D6D02"/>
    <w:rsid w:val="009D6DE7"/>
    <w:rsid w:val="009D6E14"/>
    <w:rsid w:val="009D6E65"/>
    <w:rsid w:val="009D6EBF"/>
    <w:rsid w:val="009D7068"/>
    <w:rsid w:val="009D7078"/>
    <w:rsid w:val="009D707B"/>
    <w:rsid w:val="009D709A"/>
    <w:rsid w:val="009D70C1"/>
    <w:rsid w:val="009D7142"/>
    <w:rsid w:val="009D71F4"/>
    <w:rsid w:val="009D720F"/>
    <w:rsid w:val="009D734F"/>
    <w:rsid w:val="009D7370"/>
    <w:rsid w:val="009D738E"/>
    <w:rsid w:val="009D742B"/>
    <w:rsid w:val="009D756D"/>
    <w:rsid w:val="009D765C"/>
    <w:rsid w:val="009D76BA"/>
    <w:rsid w:val="009D76D4"/>
    <w:rsid w:val="009D76E7"/>
    <w:rsid w:val="009D7760"/>
    <w:rsid w:val="009D77FD"/>
    <w:rsid w:val="009D7803"/>
    <w:rsid w:val="009D786D"/>
    <w:rsid w:val="009D7876"/>
    <w:rsid w:val="009D7924"/>
    <w:rsid w:val="009D7964"/>
    <w:rsid w:val="009D7976"/>
    <w:rsid w:val="009D7A52"/>
    <w:rsid w:val="009D7B5D"/>
    <w:rsid w:val="009D7B5E"/>
    <w:rsid w:val="009D7B6C"/>
    <w:rsid w:val="009D7B75"/>
    <w:rsid w:val="009D7CA3"/>
    <w:rsid w:val="009D7D02"/>
    <w:rsid w:val="009D7EAA"/>
    <w:rsid w:val="009D7EC5"/>
    <w:rsid w:val="009D7EDD"/>
    <w:rsid w:val="009D7F22"/>
    <w:rsid w:val="009D7FAC"/>
    <w:rsid w:val="009E013D"/>
    <w:rsid w:val="009E016A"/>
    <w:rsid w:val="009E02DC"/>
    <w:rsid w:val="009E035A"/>
    <w:rsid w:val="009E0393"/>
    <w:rsid w:val="009E03A6"/>
    <w:rsid w:val="009E03E6"/>
    <w:rsid w:val="009E047F"/>
    <w:rsid w:val="009E04A1"/>
    <w:rsid w:val="009E06A0"/>
    <w:rsid w:val="009E06A1"/>
    <w:rsid w:val="009E06D7"/>
    <w:rsid w:val="009E077F"/>
    <w:rsid w:val="009E090D"/>
    <w:rsid w:val="009E09D8"/>
    <w:rsid w:val="009E0AA8"/>
    <w:rsid w:val="009E0ACB"/>
    <w:rsid w:val="009E0AF8"/>
    <w:rsid w:val="009E0BC3"/>
    <w:rsid w:val="009E0C89"/>
    <w:rsid w:val="009E0D73"/>
    <w:rsid w:val="009E0E1A"/>
    <w:rsid w:val="009E0E1E"/>
    <w:rsid w:val="009E0F52"/>
    <w:rsid w:val="009E0FDF"/>
    <w:rsid w:val="009E1020"/>
    <w:rsid w:val="009E1021"/>
    <w:rsid w:val="009E116C"/>
    <w:rsid w:val="009E119A"/>
    <w:rsid w:val="009E119F"/>
    <w:rsid w:val="009E11C8"/>
    <w:rsid w:val="009E124F"/>
    <w:rsid w:val="009E132C"/>
    <w:rsid w:val="009E1369"/>
    <w:rsid w:val="009E1402"/>
    <w:rsid w:val="009E1471"/>
    <w:rsid w:val="009E14F6"/>
    <w:rsid w:val="009E15F9"/>
    <w:rsid w:val="009E1674"/>
    <w:rsid w:val="009E1728"/>
    <w:rsid w:val="009E17A1"/>
    <w:rsid w:val="009E1A48"/>
    <w:rsid w:val="009E1A52"/>
    <w:rsid w:val="009E1A70"/>
    <w:rsid w:val="009E1B45"/>
    <w:rsid w:val="009E1DE6"/>
    <w:rsid w:val="009E1E0A"/>
    <w:rsid w:val="009E1FB0"/>
    <w:rsid w:val="009E1FF8"/>
    <w:rsid w:val="009E2282"/>
    <w:rsid w:val="009E23D9"/>
    <w:rsid w:val="009E2538"/>
    <w:rsid w:val="009E253B"/>
    <w:rsid w:val="009E2577"/>
    <w:rsid w:val="009E267A"/>
    <w:rsid w:val="009E2685"/>
    <w:rsid w:val="009E27A3"/>
    <w:rsid w:val="009E27BB"/>
    <w:rsid w:val="009E281B"/>
    <w:rsid w:val="009E2825"/>
    <w:rsid w:val="009E286C"/>
    <w:rsid w:val="009E28CC"/>
    <w:rsid w:val="009E2911"/>
    <w:rsid w:val="009E29BA"/>
    <w:rsid w:val="009E2A1E"/>
    <w:rsid w:val="009E2AB6"/>
    <w:rsid w:val="009E2B8C"/>
    <w:rsid w:val="009E2B9C"/>
    <w:rsid w:val="009E2BC8"/>
    <w:rsid w:val="009E2C17"/>
    <w:rsid w:val="009E2D05"/>
    <w:rsid w:val="009E2DFD"/>
    <w:rsid w:val="009E2E88"/>
    <w:rsid w:val="009E2E8C"/>
    <w:rsid w:val="009E2E90"/>
    <w:rsid w:val="009E2F07"/>
    <w:rsid w:val="009E2F5C"/>
    <w:rsid w:val="009E3077"/>
    <w:rsid w:val="009E307D"/>
    <w:rsid w:val="009E3173"/>
    <w:rsid w:val="009E3191"/>
    <w:rsid w:val="009E31CD"/>
    <w:rsid w:val="009E322B"/>
    <w:rsid w:val="009E325D"/>
    <w:rsid w:val="009E3407"/>
    <w:rsid w:val="009E344E"/>
    <w:rsid w:val="009E3467"/>
    <w:rsid w:val="009E34D0"/>
    <w:rsid w:val="009E354C"/>
    <w:rsid w:val="009E355E"/>
    <w:rsid w:val="009E36E7"/>
    <w:rsid w:val="009E370C"/>
    <w:rsid w:val="009E3712"/>
    <w:rsid w:val="009E373A"/>
    <w:rsid w:val="009E374B"/>
    <w:rsid w:val="009E374C"/>
    <w:rsid w:val="009E3770"/>
    <w:rsid w:val="009E37AB"/>
    <w:rsid w:val="009E37EA"/>
    <w:rsid w:val="009E37F9"/>
    <w:rsid w:val="009E384A"/>
    <w:rsid w:val="009E38CD"/>
    <w:rsid w:val="009E38F6"/>
    <w:rsid w:val="009E3916"/>
    <w:rsid w:val="009E3932"/>
    <w:rsid w:val="009E394C"/>
    <w:rsid w:val="009E3A27"/>
    <w:rsid w:val="009E3AE6"/>
    <w:rsid w:val="009E3B8E"/>
    <w:rsid w:val="009E3C04"/>
    <w:rsid w:val="009E3CAF"/>
    <w:rsid w:val="009E3CB2"/>
    <w:rsid w:val="009E3D4E"/>
    <w:rsid w:val="009E3ED7"/>
    <w:rsid w:val="009E3F19"/>
    <w:rsid w:val="009E3F87"/>
    <w:rsid w:val="009E40E1"/>
    <w:rsid w:val="009E411B"/>
    <w:rsid w:val="009E43AA"/>
    <w:rsid w:val="009E43B1"/>
    <w:rsid w:val="009E43C9"/>
    <w:rsid w:val="009E4414"/>
    <w:rsid w:val="009E4419"/>
    <w:rsid w:val="009E4464"/>
    <w:rsid w:val="009E44B7"/>
    <w:rsid w:val="009E44D0"/>
    <w:rsid w:val="009E4543"/>
    <w:rsid w:val="009E461B"/>
    <w:rsid w:val="009E46C1"/>
    <w:rsid w:val="009E47D4"/>
    <w:rsid w:val="009E4831"/>
    <w:rsid w:val="009E48B8"/>
    <w:rsid w:val="009E4960"/>
    <w:rsid w:val="009E4961"/>
    <w:rsid w:val="009E4978"/>
    <w:rsid w:val="009E4984"/>
    <w:rsid w:val="009E4A45"/>
    <w:rsid w:val="009E4B81"/>
    <w:rsid w:val="009E4C74"/>
    <w:rsid w:val="009E4CC4"/>
    <w:rsid w:val="009E4D3D"/>
    <w:rsid w:val="009E4D40"/>
    <w:rsid w:val="009E4DA6"/>
    <w:rsid w:val="009E4DCB"/>
    <w:rsid w:val="009E4DF1"/>
    <w:rsid w:val="009E4E48"/>
    <w:rsid w:val="009E4EB4"/>
    <w:rsid w:val="009E4FEB"/>
    <w:rsid w:val="009E5093"/>
    <w:rsid w:val="009E50A4"/>
    <w:rsid w:val="009E50D5"/>
    <w:rsid w:val="009E5134"/>
    <w:rsid w:val="009E5238"/>
    <w:rsid w:val="009E52A3"/>
    <w:rsid w:val="009E52E1"/>
    <w:rsid w:val="009E52E4"/>
    <w:rsid w:val="009E5366"/>
    <w:rsid w:val="009E560E"/>
    <w:rsid w:val="009E5792"/>
    <w:rsid w:val="009E581E"/>
    <w:rsid w:val="009E5823"/>
    <w:rsid w:val="009E583D"/>
    <w:rsid w:val="009E5854"/>
    <w:rsid w:val="009E5906"/>
    <w:rsid w:val="009E5A30"/>
    <w:rsid w:val="009E5B81"/>
    <w:rsid w:val="009E5BB8"/>
    <w:rsid w:val="009E5CF3"/>
    <w:rsid w:val="009E5CF5"/>
    <w:rsid w:val="009E5E26"/>
    <w:rsid w:val="009E5E87"/>
    <w:rsid w:val="009E6007"/>
    <w:rsid w:val="009E604D"/>
    <w:rsid w:val="009E608F"/>
    <w:rsid w:val="009E61D7"/>
    <w:rsid w:val="009E6214"/>
    <w:rsid w:val="009E6232"/>
    <w:rsid w:val="009E623C"/>
    <w:rsid w:val="009E6277"/>
    <w:rsid w:val="009E62F7"/>
    <w:rsid w:val="009E6488"/>
    <w:rsid w:val="009E64CE"/>
    <w:rsid w:val="009E654F"/>
    <w:rsid w:val="009E6555"/>
    <w:rsid w:val="009E65D0"/>
    <w:rsid w:val="009E66BF"/>
    <w:rsid w:val="009E67C3"/>
    <w:rsid w:val="009E685B"/>
    <w:rsid w:val="009E6864"/>
    <w:rsid w:val="009E6879"/>
    <w:rsid w:val="009E6A32"/>
    <w:rsid w:val="009E6A98"/>
    <w:rsid w:val="009E6AA7"/>
    <w:rsid w:val="009E6B5A"/>
    <w:rsid w:val="009E6D69"/>
    <w:rsid w:val="009E6E8B"/>
    <w:rsid w:val="009E70AE"/>
    <w:rsid w:val="009E70DF"/>
    <w:rsid w:val="009E70FA"/>
    <w:rsid w:val="009E7194"/>
    <w:rsid w:val="009E724F"/>
    <w:rsid w:val="009E728E"/>
    <w:rsid w:val="009E7440"/>
    <w:rsid w:val="009E745A"/>
    <w:rsid w:val="009E7462"/>
    <w:rsid w:val="009E7502"/>
    <w:rsid w:val="009E7586"/>
    <w:rsid w:val="009E7702"/>
    <w:rsid w:val="009E7754"/>
    <w:rsid w:val="009E77C6"/>
    <w:rsid w:val="009E7819"/>
    <w:rsid w:val="009E7A6F"/>
    <w:rsid w:val="009E7AA5"/>
    <w:rsid w:val="009E7C12"/>
    <w:rsid w:val="009E7C8D"/>
    <w:rsid w:val="009E7D64"/>
    <w:rsid w:val="009E7D72"/>
    <w:rsid w:val="009E7D82"/>
    <w:rsid w:val="009E7DF3"/>
    <w:rsid w:val="009E7EB0"/>
    <w:rsid w:val="009F00A6"/>
    <w:rsid w:val="009F00D5"/>
    <w:rsid w:val="009F01A0"/>
    <w:rsid w:val="009F0207"/>
    <w:rsid w:val="009F0228"/>
    <w:rsid w:val="009F0288"/>
    <w:rsid w:val="009F033F"/>
    <w:rsid w:val="009F0343"/>
    <w:rsid w:val="009F0352"/>
    <w:rsid w:val="009F0375"/>
    <w:rsid w:val="009F03D6"/>
    <w:rsid w:val="009F03F3"/>
    <w:rsid w:val="009F0455"/>
    <w:rsid w:val="009F04C9"/>
    <w:rsid w:val="009F04CA"/>
    <w:rsid w:val="009F0500"/>
    <w:rsid w:val="009F05E8"/>
    <w:rsid w:val="009F0698"/>
    <w:rsid w:val="009F06AA"/>
    <w:rsid w:val="009F078C"/>
    <w:rsid w:val="009F07B9"/>
    <w:rsid w:val="009F08CA"/>
    <w:rsid w:val="009F09ED"/>
    <w:rsid w:val="009F0A88"/>
    <w:rsid w:val="009F0ABF"/>
    <w:rsid w:val="009F0C8B"/>
    <w:rsid w:val="009F0CD7"/>
    <w:rsid w:val="009F0CF0"/>
    <w:rsid w:val="009F0D54"/>
    <w:rsid w:val="009F0DEC"/>
    <w:rsid w:val="009F0F35"/>
    <w:rsid w:val="009F1002"/>
    <w:rsid w:val="009F1056"/>
    <w:rsid w:val="009F107D"/>
    <w:rsid w:val="009F1082"/>
    <w:rsid w:val="009F110A"/>
    <w:rsid w:val="009F112E"/>
    <w:rsid w:val="009F1138"/>
    <w:rsid w:val="009F11DD"/>
    <w:rsid w:val="009F1230"/>
    <w:rsid w:val="009F1232"/>
    <w:rsid w:val="009F124D"/>
    <w:rsid w:val="009F126A"/>
    <w:rsid w:val="009F1283"/>
    <w:rsid w:val="009F1396"/>
    <w:rsid w:val="009F1412"/>
    <w:rsid w:val="009F1428"/>
    <w:rsid w:val="009F145F"/>
    <w:rsid w:val="009F14B8"/>
    <w:rsid w:val="009F1612"/>
    <w:rsid w:val="009F1618"/>
    <w:rsid w:val="009F17A3"/>
    <w:rsid w:val="009F1827"/>
    <w:rsid w:val="009F187C"/>
    <w:rsid w:val="009F189F"/>
    <w:rsid w:val="009F1951"/>
    <w:rsid w:val="009F1988"/>
    <w:rsid w:val="009F19FE"/>
    <w:rsid w:val="009F1ADE"/>
    <w:rsid w:val="009F1BBC"/>
    <w:rsid w:val="009F1BDA"/>
    <w:rsid w:val="009F1CB0"/>
    <w:rsid w:val="009F1D9B"/>
    <w:rsid w:val="009F1F52"/>
    <w:rsid w:val="009F1F7B"/>
    <w:rsid w:val="009F1FEA"/>
    <w:rsid w:val="009F20DA"/>
    <w:rsid w:val="009F21E3"/>
    <w:rsid w:val="009F220A"/>
    <w:rsid w:val="009F22CC"/>
    <w:rsid w:val="009F243E"/>
    <w:rsid w:val="009F249F"/>
    <w:rsid w:val="009F24A0"/>
    <w:rsid w:val="009F2506"/>
    <w:rsid w:val="009F2535"/>
    <w:rsid w:val="009F26A6"/>
    <w:rsid w:val="009F26D6"/>
    <w:rsid w:val="009F26F5"/>
    <w:rsid w:val="009F275B"/>
    <w:rsid w:val="009F27A7"/>
    <w:rsid w:val="009F27B1"/>
    <w:rsid w:val="009F2874"/>
    <w:rsid w:val="009F28CB"/>
    <w:rsid w:val="009F2916"/>
    <w:rsid w:val="009F298D"/>
    <w:rsid w:val="009F2AA1"/>
    <w:rsid w:val="009F2B8B"/>
    <w:rsid w:val="009F2B9F"/>
    <w:rsid w:val="009F2C7B"/>
    <w:rsid w:val="009F2D05"/>
    <w:rsid w:val="009F2D23"/>
    <w:rsid w:val="009F2D7A"/>
    <w:rsid w:val="009F2D92"/>
    <w:rsid w:val="009F2E94"/>
    <w:rsid w:val="009F2F25"/>
    <w:rsid w:val="009F2FA5"/>
    <w:rsid w:val="009F3162"/>
    <w:rsid w:val="009F31F9"/>
    <w:rsid w:val="009F3387"/>
    <w:rsid w:val="009F340E"/>
    <w:rsid w:val="009F3552"/>
    <w:rsid w:val="009F359A"/>
    <w:rsid w:val="009F363A"/>
    <w:rsid w:val="009F3694"/>
    <w:rsid w:val="009F374D"/>
    <w:rsid w:val="009F3869"/>
    <w:rsid w:val="009F3975"/>
    <w:rsid w:val="009F3A55"/>
    <w:rsid w:val="009F3A6C"/>
    <w:rsid w:val="009F3B8A"/>
    <w:rsid w:val="009F3BBF"/>
    <w:rsid w:val="009F3BE0"/>
    <w:rsid w:val="009F3C3F"/>
    <w:rsid w:val="009F3D9C"/>
    <w:rsid w:val="009F3E90"/>
    <w:rsid w:val="009F3FCA"/>
    <w:rsid w:val="009F3FD8"/>
    <w:rsid w:val="009F4115"/>
    <w:rsid w:val="009F41A0"/>
    <w:rsid w:val="009F42D1"/>
    <w:rsid w:val="009F4309"/>
    <w:rsid w:val="009F4318"/>
    <w:rsid w:val="009F43F4"/>
    <w:rsid w:val="009F4532"/>
    <w:rsid w:val="009F45AB"/>
    <w:rsid w:val="009F4601"/>
    <w:rsid w:val="009F464A"/>
    <w:rsid w:val="009F467E"/>
    <w:rsid w:val="009F46EA"/>
    <w:rsid w:val="009F46F4"/>
    <w:rsid w:val="009F478C"/>
    <w:rsid w:val="009F484B"/>
    <w:rsid w:val="009F4991"/>
    <w:rsid w:val="009F49B5"/>
    <w:rsid w:val="009F49C2"/>
    <w:rsid w:val="009F4A43"/>
    <w:rsid w:val="009F4AA7"/>
    <w:rsid w:val="009F4B0A"/>
    <w:rsid w:val="009F4BD6"/>
    <w:rsid w:val="009F4CA0"/>
    <w:rsid w:val="009F4CEC"/>
    <w:rsid w:val="009F4E8E"/>
    <w:rsid w:val="009F4F16"/>
    <w:rsid w:val="009F4F97"/>
    <w:rsid w:val="009F4FFE"/>
    <w:rsid w:val="009F5023"/>
    <w:rsid w:val="009F5117"/>
    <w:rsid w:val="009F51CE"/>
    <w:rsid w:val="009F5220"/>
    <w:rsid w:val="009F52D5"/>
    <w:rsid w:val="009F53F4"/>
    <w:rsid w:val="009F54DD"/>
    <w:rsid w:val="009F552B"/>
    <w:rsid w:val="009F5647"/>
    <w:rsid w:val="009F566A"/>
    <w:rsid w:val="009F574D"/>
    <w:rsid w:val="009F5751"/>
    <w:rsid w:val="009F5866"/>
    <w:rsid w:val="009F5951"/>
    <w:rsid w:val="009F596A"/>
    <w:rsid w:val="009F59A3"/>
    <w:rsid w:val="009F59A5"/>
    <w:rsid w:val="009F59AA"/>
    <w:rsid w:val="009F5B04"/>
    <w:rsid w:val="009F5C23"/>
    <w:rsid w:val="009F5CAD"/>
    <w:rsid w:val="009F5CC1"/>
    <w:rsid w:val="009F5DA7"/>
    <w:rsid w:val="009F5E00"/>
    <w:rsid w:val="009F5E05"/>
    <w:rsid w:val="009F5E5D"/>
    <w:rsid w:val="009F5E6A"/>
    <w:rsid w:val="009F5E9D"/>
    <w:rsid w:val="009F5EA0"/>
    <w:rsid w:val="009F6159"/>
    <w:rsid w:val="009F6280"/>
    <w:rsid w:val="009F6307"/>
    <w:rsid w:val="009F6352"/>
    <w:rsid w:val="009F63E8"/>
    <w:rsid w:val="009F6510"/>
    <w:rsid w:val="009F6512"/>
    <w:rsid w:val="009F658E"/>
    <w:rsid w:val="009F65C7"/>
    <w:rsid w:val="009F660C"/>
    <w:rsid w:val="009F663C"/>
    <w:rsid w:val="009F6724"/>
    <w:rsid w:val="009F672F"/>
    <w:rsid w:val="009F6809"/>
    <w:rsid w:val="009F6840"/>
    <w:rsid w:val="009F6861"/>
    <w:rsid w:val="009F6893"/>
    <w:rsid w:val="009F697A"/>
    <w:rsid w:val="009F698E"/>
    <w:rsid w:val="009F6992"/>
    <w:rsid w:val="009F69AF"/>
    <w:rsid w:val="009F6A60"/>
    <w:rsid w:val="009F6A69"/>
    <w:rsid w:val="009F6A6E"/>
    <w:rsid w:val="009F6C12"/>
    <w:rsid w:val="009F6C54"/>
    <w:rsid w:val="009F6C79"/>
    <w:rsid w:val="009F6CBB"/>
    <w:rsid w:val="009F6DA7"/>
    <w:rsid w:val="009F6DDD"/>
    <w:rsid w:val="009F6E76"/>
    <w:rsid w:val="009F6ED0"/>
    <w:rsid w:val="009F6F42"/>
    <w:rsid w:val="009F6F57"/>
    <w:rsid w:val="009F6F67"/>
    <w:rsid w:val="009F6FF9"/>
    <w:rsid w:val="009F7062"/>
    <w:rsid w:val="009F70ED"/>
    <w:rsid w:val="009F718C"/>
    <w:rsid w:val="009F7197"/>
    <w:rsid w:val="009F71A0"/>
    <w:rsid w:val="009F727C"/>
    <w:rsid w:val="009F7286"/>
    <w:rsid w:val="009F72A3"/>
    <w:rsid w:val="009F72ED"/>
    <w:rsid w:val="009F7396"/>
    <w:rsid w:val="009F742D"/>
    <w:rsid w:val="009F7445"/>
    <w:rsid w:val="009F74FA"/>
    <w:rsid w:val="009F76B2"/>
    <w:rsid w:val="009F7737"/>
    <w:rsid w:val="009F77B3"/>
    <w:rsid w:val="009F77E2"/>
    <w:rsid w:val="009F7B0A"/>
    <w:rsid w:val="009F7B15"/>
    <w:rsid w:val="009F7B47"/>
    <w:rsid w:val="009F7C23"/>
    <w:rsid w:val="009F7D67"/>
    <w:rsid w:val="009F7E43"/>
    <w:rsid w:val="009F7E52"/>
    <w:rsid w:val="009F7E71"/>
    <w:rsid w:val="009F7FA2"/>
    <w:rsid w:val="00A000AA"/>
    <w:rsid w:val="00A000EA"/>
    <w:rsid w:val="00A0010D"/>
    <w:rsid w:val="00A00153"/>
    <w:rsid w:val="00A001DA"/>
    <w:rsid w:val="00A00249"/>
    <w:rsid w:val="00A002F3"/>
    <w:rsid w:val="00A00336"/>
    <w:rsid w:val="00A003C4"/>
    <w:rsid w:val="00A003CE"/>
    <w:rsid w:val="00A003D1"/>
    <w:rsid w:val="00A0040C"/>
    <w:rsid w:val="00A00458"/>
    <w:rsid w:val="00A00519"/>
    <w:rsid w:val="00A00532"/>
    <w:rsid w:val="00A00685"/>
    <w:rsid w:val="00A006A4"/>
    <w:rsid w:val="00A00800"/>
    <w:rsid w:val="00A008B9"/>
    <w:rsid w:val="00A00925"/>
    <w:rsid w:val="00A0092B"/>
    <w:rsid w:val="00A0096D"/>
    <w:rsid w:val="00A00B46"/>
    <w:rsid w:val="00A00C1B"/>
    <w:rsid w:val="00A00D08"/>
    <w:rsid w:val="00A00E6A"/>
    <w:rsid w:val="00A00F9A"/>
    <w:rsid w:val="00A01033"/>
    <w:rsid w:val="00A01073"/>
    <w:rsid w:val="00A0107F"/>
    <w:rsid w:val="00A010F6"/>
    <w:rsid w:val="00A01138"/>
    <w:rsid w:val="00A0121F"/>
    <w:rsid w:val="00A01286"/>
    <w:rsid w:val="00A01290"/>
    <w:rsid w:val="00A012D7"/>
    <w:rsid w:val="00A01320"/>
    <w:rsid w:val="00A01384"/>
    <w:rsid w:val="00A013E9"/>
    <w:rsid w:val="00A013EF"/>
    <w:rsid w:val="00A013FB"/>
    <w:rsid w:val="00A01443"/>
    <w:rsid w:val="00A01598"/>
    <w:rsid w:val="00A015F9"/>
    <w:rsid w:val="00A0174B"/>
    <w:rsid w:val="00A0174E"/>
    <w:rsid w:val="00A017AD"/>
    <w:rsid w:val="00A017D1"/>
    <w:rsid w:val="00A018E1"/>
    <w:rsid w:val="00A0190A"/>
    <w:rsid w:val="00A019A4"/>
    <w:rsid w:val="00A01AD4"/>
    <w:rsid w:val="00A01AEC"/>
    <w:rsid w:val="00A01B27"/>
    <w:rsid w:val="00A01B2A"/>
    <w:rsid w:val="00A01BB6"/>
    <w:rsid w:val="00A01C34"/>
    <w:rsid w:val="00A01CE3"/>
    <w:rsid w:val="00A01CFF"/>
    <w:rsid w:val="00A01D50"/>
    <w:rsid w:val="00A01D6C"/>
    <w:rsid w:val="00A01F31"/>
    <w:rsid w:val="00A02225"/>
    <w:rsid w:val="00A0228D"/>
    <w:rsid w:val="00A02291"/>
    <w:rsid w:val="00A02341"/>
    <w:rsid w:val="00A0236E"/>
    <w:rsid w:val="00A023D5"/>
    <w:rsid w:val="00A024A5"/>
    <w:rsid w:val="00A02531"/>
    <w:rsid w:val="00A025BC"/>
    <w:rsid w:val="00A025E4"/>
    <w:rsid w:val="00A02688"/>
    <w:rsid w:val="00A026B7"/>
    <w:rsid w:val="00A0278E"/>
    <w:rsid w:val="00A02793"/>
    <w:rsid w:val="00A027DD"/>
    <w:rsid w:val="00A02875"/>
    <w:rsid w:val="00A0298C"/>
    <w:rsid w:val="00A029FC"/>
    <w:rsid w:val="00A02A25"/>
    <w:rsid w:val="00A02AAC"/>
    <w:rsid w:val="00A02C05"/>
    <w:rsid w:val="00A02C3C"/>
    <w:rsid w:val="00A02C87"/>
    <w:rsid w:val="00A02C91"/>
    <w:rsid w:val="00A02CCC"/>
    <w:rsid w:val="00A02D76"/>
    <w:rsid w:val="00A02DA4"/>
    <w:rsid w:val="00A02DB8"/>
    <w:rsid w:val="00A02E19"/>
    <w:rsid w:val="00A02EDC"/>
    <w:rsid w:val="00A02F2E"/>
    <w:rsid w:val="00A03001"/>
    <w:rsid w:val="00A030C2"/>
    <w:rsid w:val="00A03114"/>
    <w:rsid w:val="00A0322F"/>
    <w:rsid w:val="00A0324B"/>
    <w:rsid w:val="00A032A2"/>
    <w:rsid w:val="00A03302"/>
    <w:rsid w:val="00A033EA"/>
    <w:rsid w:val="00A0341E"/>
    <w:rsid w:val="00A03439"/>
    <w:rsid w:val="00A03596"/>
    <w:rsid w:val="00A036BA"/>
    <w:rsid w:val="00A036C7"/>
    <w:rsid w:val="00A03701"/>
    <w:rsid w:val="00A03712"/>
    <w:rsid w:val="00A03764"/>
    <w:rsid w:val="00A0383F"/>
    <w:rsid w:val="00A039A4"/>
    <w:rsid w:val="00A039BE"/>
    <w:rsid w:val="00A03ABC"/>
    <w:rsid w:val="00A03ADF"/>
    <w:rsid w:val="00A03BD1"/>
    <w:rsid w:val="00A03BF1"/>
    <w:rsid w:val="00A03C9D"/>
    <w:rsid w:val="00A03CDB"/>
    <w:rsid w:val="00A03DA0"/>
    <w:rsid w:val="00A03DB9"/>
    <w:rsid w:val="00A03EE3"/>
    <w:rsid w:val="00A03FAA"/>
    <w:rsid w:val="00A03FB0"/>
    <w:rsid w:val="00A03FB6"/>
    <w:rsid w:val="00A03FFB"/>
    <w:rsid w:val="00A04037"/>
    <w:rsid w:val="00A040AE"/>
    <w:rsid w:val="00A040CA"/>
    <w:rsid w:val="00A0411E"/>
    <w:rsid w:val="00A04165"/>
    <w:rsid w:val="00A041F0"/>
    <w:rsid w:val="00A0425B"/>
    <w:rsid w:val="00A04293"/>
    <w:rsid w:val="00A042BF"/>
    <w:rsid w:val="00A04329"/>
    <w:rsid w:val="00A04338"/>
    <w:rsid w:val="00A043A7"/>
    <w:rsid w:val="00A0441E"/>
    <w:rsid w:val="00A04470"/>
    <w:rsid w:val="00A045FF"/>
    <w:rsid w:val="00A04663"/>
    <w:rsid w:val="00A04999"/>
    <w:rsid w:val="00A049CD"/>
    <w:rsid w:val="00A04A07"/>
    <w:rsid w:val="00A04AD0"/>
    <w:rsid w:val="00A04BBC"/>
    <w:rsid w:val="00A04C7C"/>
    <w:rsid w:val="00A04CE3"/>
    <w:rsid w:val="00A04ED7"/>
    <w:rsid w:val="00A05007"/>
    <w:rsid w:val="00A050E3"/>
    <w:rsid w:val="00A05120"/>
    <w:rsid w:val="00A0517C"/>
    <w:rsid w:val="00A051E8"/>
    <w:rsid w:val="00A051EA"/>
    <w:rsid w:val="00A05387"/>
    <w:rsid w:val="00A053B2"/>
    <w:rsid w:val="00A05415"/>
    <w:rsid w:val="00A05501"/>
    <w:rsid w:val="00A05532"/>
    <w:rsid w:val="00A0559C"/>
    <w:rsid w:val="00A056C0"/>
    <w:rsid w:val="00A056F0"/>
    <w:rsid w:val="00A05830"/>
    <w:rsid w:val="00A05A6C"/>
    <w:rsid w:val="00A05AAA"/>
    <w:rsid w:val="00A05B29"/>
    <w:rsid w:val="00A05B65"/>
    <w:rsid w:val="00A05B79"/>
    <w:rsid w:val="00A05BA5"/>
    <w:rsid w:val="00A05CBB"/>
    <w:rsid w:val="00A05DDF"/>
    <w:rsid w:val="00A05F08"/>
    <w:rsid w:val="00A0610A"/>
    <w:rsid w:val="00A06130"/>
    <w:rsid w:val="00A0644C"/>
    <w:rsid w:val="00A06656"/>
    <w:rsid w:val="00A06702"/>
    <w:rsid w:val="00A06760"/>
    <w:rsid w:val="00A067A9"/>
    <w:rsid w:val="00A06871"/>
    <w:rsid w:val="00A06921"/>
    <w:rsid w:val="00A0696A"/>
    <w:rsid w:val="00A069BA"/>
    <w:rsid w:val="00A06A5C"/>
    <w:rsid w:val="00A06AAD"/>
    <w:rsid w:val="00A06AB5"/>
    <w:rsid w:val="00A06AF1"/>
    <w:rsid w:val="00A06B07"/>
    <w:rsid w:val="00A06BAB"/>
    <w:rsid w:val="00A06C5B"/>
    <w:rsid w:val="00A06CEA"/>
    <w:rsid w:val="00A06D25"/>
    <w:rsid w:val="00A06D45"/>
    <w:rsid w:val="00A06E0B"/>
    <w:rsid w:val="00A06F1E"/>
    <w:rsid w:val="00A06F30"/>
    <w:rsid w:val="00A06F5B"/>
    <w:rsid w:val="00A06F6F"/>
    <w:rsid w:val="00A07005"/>
    <w:rsid w:val="00A07017"/>
    <w:rsid w:val="00A0701D"/>
    <w:rsid w:val="00A0707E"/>
    <w:rsid w:val="00A07124"/>
    <w:rsid w:val="00A0713D"/>
    <w:rsid w:val="00A071A6"/>
    <w:rsid w:val="00A0722D"/>
    <w:rsid w:val="00A0734F"/>
    <w:rsid w:val="00A07351"/>
    <w:rsid w:val="00A07353"/>
    <w:rsid w:val="00A073C6"/>
    <w:rsid w:val="00A07432"/>
    <w:rsid w:val="00A0755F"/>
    <w:rsid w:val="00A07674"/>
    <w:rsid w:val="00A07697"/>
    <w:rsid w:val="00A077D1"/>
    <w:rsid w:val="00A078A6"/>
    <w:rsid w:val="00A078C5"/>
    <w:rsid w:val="00A078DD"/>
    <w:rsid w:val="00A07A9E"/>
    <w:rsid w:val="00A07B29"/>
    <w:rsid w:val="00A07B7A"/>
    <w:rsid w:val="00A07DEF"/>
    <w:rsid w:val="00A07F5D"/>
    <w:rsid w:val="00A1005A"/>
    <w:rsid w:val="00A100FB"/>
    <w:rsid w:val="00A10158"/>
    <w:rsid w:val="00A10212"/>
    <w:rsid w:val="00A10262"/>
    <w:rsid w:val="00A10327"/>
    <w:rsid w:val="00A10375"/>
    <w:rsid w:val="00A10397"/>
    <w:rsid w:val="00A103A8"/>
    <w:rsid w:val="00A103EC"/>
    <w:rsid w:val="00A1047B"/>
    <w:rsid w:val="00A104BE"/>
    <w:rsid w:val="00A1050A"/>
    <w:rsid w:val="00A10527"/>
    <w:rsid w:val="00A10627"/>
    <w:rsid w:val="00A10660"/>
    <w:rsid w:val="00A106FD"/>
    <w:rsid w:val="00A10825"/>
    <w:rsid w:val="00A1083B"/>
    <w:rsid w:val="00A108B8"/>
    <w:rsid w:val="00A109BE"/>
    <w:rsid w:val="00A10A42"/>
    <w:rsid w:val="00A10A90"/>
    <w:rsid w:val="00A10AD9"/>
    <w:rsid w:val="00A10B77"/>
    <w:rsid w:val="00A10BEE"/>
    <w:rsid w:val="00A10C1A"/>
    <w:rsid w:val="00A10C57"/>
    <w:rsid w:val="00A10C60"/>
    <w:rsid w:val="00A10C7A"/>
    <w:rsid w:val="00A11025"/>
    <w:rsid w:val="00A110F7"/>
    <w:rsid w:val="00A11188"/>
    <w:rsid w:val="00A11225"/>
    <w:rsid w:val="00A11310"/>
    <w:rsid w:val="00A1135C"/>
    <w:rsid w:val="00A11360"/>
    <w:rsid w:val="00A113C8"/>
    <w:rsid w:val="00A113F1"/>
    <w:rsid w:val="00A11526"/>
    <w:rsid w:val="00A115E4"/>
    <w:rsid w:val="00A116A9"/>
    <w:rsid w:val="00A11736"/>
    <w:rsid w:val="00A11792"/>
    <w:rsid w:val="00A11872"/>
    <w:rsid w:val="00A1199B"/>
    <w:rsid w:val="00A119D3"/>
    <w:rsid w:val="00A119D5"/>
    <w:rsid w:val="00A11ABC"/>
    <w:rsid w:val="00A11AF1"/>
    <w:rsid w:val="00A11B71"/>
    <w:rsid w:val="00A11B99"/>
    <w:rsid w:val="00A11C11"/>
    <w:rsid w:val="00A11C67"/>
    <w:rsid w:val="00A11D0F"/>
    <w:rsid w:val="00A11D5E"/>
    <w:rsid w:val="00A11F0C"/>
    <w:rsid w:val="00A11F8A"/>
    <w:rsid w:val="00A12090"/>
    <w:rsid w:val="00A1216B"/>
    <w:rsid w:val="00A122A6"/>
    <w:rsid w:val="00A12365"/>
    <w:rsid w:val="00A12454"/>
    <w:rsid w:val="00A124FE"/>
    <w:rsid w:val="00A12509"/>
    <w:rsid w:val="00A12597"/>
    <w:rsid w:val="00A1259A"/>
    <w:rsid w:val="00A1265D"/>
    <w:rsid w:val="00A12777"/>
    <w:rsid w:val="00A127C9"/>
    <w:rsid w:val="00A12884"/>
    <w:rsid w:val="00A12888"/>
    <w:rsid w:val="00A128AC"/>
    <w:rsid w:val="00A1299F"/>
    <w:rsid w:val="00A129B3"/>
    <w:rsid w:val="00A12A01"/>
    <w:rsid w:val="00A12A1D"/>
    <w:rsid w:val="00A12BC5"/>
    <w:rsid w:val="00A12C23"/>
    <w:rsid w:val="00A12D5C"/>
    <w:rsid w:val="00A12DF0"/>
    <w:rsid w:val="00A12DFE"/>
    <w:rsid w:val="00A12E75"/>
    <w:rsid w:val="00A12F35"/>
    <w:rsid w:val="00A130E4"/>
    <w:rsid w:val="00A1310D"/>
    <w:rsid w:val="00A131BE"/>
    <w:rsid w:val="00A13252"/>
    <w:rsid w:val="00A13258"/>
    <w:rsid w:val="00A1327F"/>
    <w:rsid w:val="00A132A2"/>
    <w:rsid w:val="00A1331D"/>
    <w:rsid w:val="00A13324"/>
    <w:rsid w:val="00A13384"/>
    <w:rsid w:val="00A13490"/>
    <w:rsid w:val="00A1355A"/>
    <w:rsid w:val="00A13706"/>
    <w:rsid w:val="00A1376E"/>
    <w:rsid w:val="00A137D7"/>
    <w:rsid w:val="00A137DD"/>
    <w:rsid w:val="00A137E6"/>
    <w:rsid w:val="00A13802"/>
    <w:rsid w:val="00A13812"/>
    <w:rsid w:val="00A1382B"/>
    <w:rsid w:val="00A13874"/>
    <w:rsid w:val="00A138A5"/>
    <w:rsid w:val="00A139CA"/>
    <w:rsid w:val="00A13B4E"/>
    <w:rsid w:val="00A13BD1"/>
    <w:rsid w:val="00A13BEA"/>
    <w:rsid w:val="00A13C89"/>
    <w:rsid w:val="00A13D0D"/>
    <w:rsid w:val="00A13DB2"/>
    <w:rsid w:val="00A13E03"/>
    <w:rsid w:val="00A13EC9"/>
    <w:rsid w:val="00A13FAC"/>
    <w:rsid w:val="00A13FE7"/>
    <w:rsid w:val="00A14006"/>
    <w:rsid w:val="00A140D4"/>
    <w:rsid w:val="00A140D8"/>
    <w:rsid w:val="00A140DE"/>
    <w:rsid w:val="00A14164"/>
    <w:rsid w:val="00A14253"/>
    <w:rsid w:val="00A142AB"/>
    <w:rsid w:val="00A144B7"/>
    <w:rsid w:val="00A144FB"/>
    <w:rsid w:val="00A1455B"/>
    <w:rsid w:val="00A1455F"/>
    <w:rsid w:val="00A14645"/>
    <w:rsid w:val="00A146C1"/>
    <w:rsid w:val="00A1474F"/>
    <w:rsid w:val="00A147A5"/>
    <w:rsid w:val="00A14860"/>
    <w:rsid w:val="00A148F1"/>
    <w:rsid w:val="00A148FB"/>
    <w:rsid w:val="00A149A5"/>
    <w:rsid w:val="00A149C0"/>
    <w:rsid w:val="00A14A40"/>
    <w:rsid w:val="00A14A90"/>
    <w:rsid w:val="00A14B14"/>
    <w:rsid w:val="00A14C13"/>
    <w:rsid w:val="00A14C66"/>
    <w:rsid w:val="00A14CA2"/>
    <w:rsid w:val="00A14CBC"/>
    <w:rsid w:val="00A14CBD"/>
    <w:rsid w:val="00A14DA4"/>
    <w:rsid w:val="00A14E08"/>
    <w:rsid w:val="00A14EE9"/>
    <w:rsid w:val="00A14F62"/>
    <w:rsid w:val="00A15171"/>
    <w:rsid w:val="00A1519B"/>
    <w:rsid w:val="00A15375"/>
    <w:rsid w:val="00A1543C"/>
    <w:rsid w:val="00A1545E"/>
    <w:rsid w:val="00A15463"/>
    <w:rsid w:val="00A154E8"/>
    <w:rsid w:val="00A1555B"/>
    <w:rsid w:val="00A1555D"/>
    <w:rsid w:val="00A15632"/>
    <w:rsid w:val="00A15683"/>
    <w:rsid w:val="00A156F6"/>
    <w:rsid w:val="00A15A74"/>
    <w:rsid w:val="00A15AAF"/>
    <w:rsid w:val="00A15B22"/>
    <w:rsid w:val="00A15B32"/>
    <w:rsid w:val="00A15D9A"/>
    <w:rsid w:val="00A15DAF"/>
    <w:rsid w:val="00A15DDB"/>
    <w:rsid w:val="00A15FE2"/>
    <w:rsid w:val="00A1612F"/>
    <w:rsid w:val="00A161DD"/>
    <w:rsid w:val="00A16214"/>
    <w:rsid w:val="00A162E3"/>
    <w:rsid w:val="00A162F9"/>
    <w:rsid w:val="00A1635B"/>
    <w:rsid w:val="00A16398"/>
    <w:rsid w:val="00A1640C"/>
    <w:rsid w:val="00A164DF"/>
    <w:rsid w:val="00A16533"/>
    <w:rsid w:val="00A16569"/>
    <w:rsid w:val="00A16577"/>
    <w:rsid w:val="00A16598"/>
    <w:rsid w:val="00A16609"/>
    <w:rsid w:val="00A167F7"/>
    <w:rsid w:val="00A168B4"/>
    <w:rsid w:val="00A16922"/>
    <w:rsid w:val="00A16932"/>
    <w:rsid w:val="00A16964"/>
    <w:rsid w:val="00A16B43"/>
    <w:rsid w:val="00A16B9D"/>
    <w:rsid w:val="00A16C00"/>
    <w:rsid w:val="00A16CE7"/>
    <w:rsid w:val="00A16D6A"/>
    <w:rsid w:val="00A16D79"/>
    <w:rsid w:val="00A16DAA"/>
    <w:rsid w:val="00A17029"/>
    <w:rsid w:val="00A17218"/>
    <w:rsid w:val="00A17255"/>
    <w:rsid w:val="00A172A5"/>
    <w:rsid w:val="00A172EF"/>
    <w:rsid w:val="00A17345"/>
    <w:rsid w:val="00A173D0"/>
    <w:rsid w:val="00A17417"/>
    <w:rsid w:val="00A1743E"/>
    <w:rsid w:val="00A174B6"/>
    <w:rsid w:val="00A174BB"/>
    <w:rsid w:val="00A17504"/>
    <w:rsid w:val="00A1760C"/>
    <w:rsid w:val="00A17611"/>
    <w:rsid w:val="00A17738"/>
    <w:rsid w:val="00A17895"/>
    <w:rsid w:val="00A17897"/>
    <w:rsid w:val="00A17A6F"/>
    <w:rsid w:val="00A17B71"/>
    <w:rsid w:val="00A17BA8"/>
    <w:rsid w:val="00A17C66"/>
    <w:rsid w:val="00A17DCA"/>
    <w:rsid w:val="00A17DDD"/>
    <w:rsid w:val="00A17E82"/>
    <w:rsid w:val="00A17EFF"/>
    <w:rsid w:val="00A20001"/>
    <w:rsid w:val="00A20183"/>
    <w:rsid w:val="00A20199"/>
    <w:rsid w:val="00A201C0"/>
    <w:rsid w:val="00A201F5"/>
    <w:rsid w:val="00A2023E"/>
    <w:rsid w:val="00A20556"/>
    <w:rsid w:val="00A20720"/>
    <w:rsid w:val="00A2072F"/>
    <w:rsid w:val="00A2073C"/>
    <w:rsid w:val="00A207B4"/>
    <w:rsid w:val="00A20809"/>
    <w:rsid w:val="00A20880"/>
    <w:rsid w:val="00A2089B"/>
    <w:rsid w:val="00A208AD"/>
    <w:rsid w:val="00A208D0"/>
    <w:rsid w:val="00A209BF"/>
    <w:rsid w:val="00A209F6"/>
    <w:rsid w:val="00A209FF"/>
    <w:rsid w:val="00A20AB5"/>
    <w:rsid w:val="00A20AFE"/>
    <w:rsid w:val="00A20C1B"/>
    <w:rsid w:val="00A20CAA"/>
    <w:rsid w:val="00A20D4A"/>
    <w:rsid w:val="00A20DB6"/>
    <w:rsid w:val="00A20DC3"/>
    <w:rsid w:val="00A20FE1"/>
    <w:rsid w:val="00A20FFE"/>
    <w:rsid w:val="00A210C3"/>
    <w:rsid w:val="00A211DB"/>
    <w:rsid w:val="00A2120B"/>
    <w:rsid w:val="00A21226"/>
    <w:rsid w:val="00A2129F"/>
    <w:rsid w:val="00A21326"/>
    <w:rsid w:val="00A21362"/>
    <w:rsid w:val="00A213A4"/>
    <w:rsid w:val="00A213F1"/>
    <w:rsid w:val="00A21444"/>
    <w:rsid w:val="00A2149E"/>
    <w:rsid w:val="00A214A5"/>
    <w:rsid w:val="00A21509"/>
    <w:rsid w:val="00A21551"/>
    <w:rsid w:val="00A21583"/>
    <w:rsid w:val="00A2161C"/>
    <w:rsid w:val="00A216B6"/>
    <w:rsid w:val="00A216D4"/>
    <w:rsid w:val="00A2176D"/>
    <w:rsid w:val="00A218A8"/>
    <w:rsid w:val="00A218E6"/>
    <w:rsid w:val="00A21AC4"/>
    <w:rsid w:val="00A21AEE"/>
    <w:rsid w:val="00A21B19"/>
    <w:rsid w:val="00A21BD0"/>
    <w:rsid w:val="00A21BFE"/>
    <w:rsid w:val="00A21C08"/>
    <w:rsid w:val="00A21D11"/>
    <w:rsid w:val="00A21D60"/>
    <w:rsid w:val="00A21DC2"/>
    <w:rsid w:val="00A21EB8"/>
    <w:rsid w:val="00A21F44"/>
    <w:rsid w:val="00A21F87"/>
    <w:rsid w:val="00A21F90"/>
    <w:rsid w:val="00A220E1"/>
    <w:rsid w:val="00A221A6"/>
    <w:rsid w:val="00A222E0"/>
    <w:rsid w:val="00A2238E"/>
    <w:rsid w:val="00A223E8"/>
    <w:rsid w:val="00A2244A"/>
    <w:rsid w:val="00A22456"/>
    <w:rsid w:val="00A227FA"/>
    <w:rsid w:val="00A22803"/>
    <w:rsid w:val="00A22824"/>
    <w:rsid w:val="00A228AA"/>
    <w:rsid w:val="00A22A13"/>
    <w:rsid w:val="00A22A9C"/>
    <w:rsid w:val="00A22AE8"/>
    <w:rsid w:val="00A22BE9"/>
    <w:rsid w:val="00A22C13"/>
    <w:rsid w:val="00A22C5D"/>
    <w:rsid w:val="00A22C61"/>
    <w:rsid w:val="00A2308A"/>
    <w:rsid w:val="00A230E2"/>
    <w:rsid w:val="00A23134"/>
    <w:rsid w:val="00A23174"/>
    <w:rsid w:val="00A23180"/>
    <w:rsid w:val="00A2319C"/>
    <w:rsid w:val="00A23263"/>
    <w:rsid w:val="00A23266"/>
    <w:rsid w:val="00A2328C"/>
    <w:rsid w:val="00A232FE"/>
    <w:rsid w:val="00A23349"/>
    <w:rsid w:val="00A23502"/>
    <w:rsid w:val="00A2351B"/>
    <w:rsid w:val="00A2357E"/>
    <w:rsid w:val="00A23669"/>
    <w:rsid w:val="00A23788"/>
    <w:rsid w:val="00A237C2"/>
    <w:rsid w:val="00A23808"/>
    <w:rsid w:val="00A23875"/>
    <w:rsid w:val="00A23893"/>
    <w:rsid w:val="00A238B4"/>
    <w:rsid w:val="00A2399C"/>
    <w:rsid w:val="00A239B6"/>
    <w:rsid w:val="00A23A86"/>
    <w:rsid w:val="00A23B96"/>
    <w:rsid w:val="00A23C19"/>
    <w:rsid w:val="00A23C66"/>
    <w:rsid w:val="00A23CBF"/>
    <w:rsid w:val="00A23D3B"/>
    <w:rsid w:val="00A23D3C"/>
    <w:rsid w:val="00A23E5F"/>
    <w:rsid w:val="00A23F46"/>
    <w:rsid w:val="00A23FA1"/>
    <w:rsid w:val="00A23FA9"/>
    <w:rsid w:val="00A23FE6"/>
    <w:rsid w:val="00A24033"/>
    <w:rsid w:val="00A24039"/>
    <w:rsid w:val="00A2411C"/>
    <w:rsid w:val="00A24138"/>
    <w:rsid w:val="00A24178"/>
    <w:rsid w:val="00A241CF"/>
    <w:rsid w:val="00A2428C"/>
    <w:rsid w:val="00A2428F"/>
    <w:rsid w:val="00A242EF"/>
    <w:rsid w:val="00A243CA"/>
    <w:rsid w:val="00A243DB"/>
    <w:rsid w:val="00A24445"/>
    <w:rsid w:val="00A2445C"/>
    <w:rsid w:val="00A244D1"/>
    <w:rsid w:val="00A2451A"/>
    <w:rsid w:val="00A2457A"/>
    <w:rsid w:val="00A24639"/>
    <w:rsid w:val="00A24649"/>
    <w:rsid w:val="00A24692"/>
    <w:rsid w:val="00A24737"/>
    <w:rsid w:val="00A2484F"/>
    <w:rsid w:val="00A24882"/>
    <w:rsid w:val="00A249CE"/>
    <w:rsid w:val="00A249F4"/>
    <w:rsid w:val="00A24A15"/>
    <w:rsid w:val="00A24A1D"/>
    <w:rsid w:val="00A24A49"/>
    <w:rsid w:val="00A24F1B"/>
    <w:rsid w:val="00A24FEF"/>
    <w:rsid w:val="00A2500D"/>
    <w:rsid w:val="00A25032"/>
    <w:rsid w:val="00A250DD"/>
    <w:rsid w:val="00A25131"/>
    <w:rsid w:val="00A2524A"/>
    <w:rsid w:val="00A2539E"/>
    <w:rsid w:val="00A253A6"/>
    <w:rsid w:val="00A25521"/>
    <w:rsid w:val="00A255BF"/>
    <w:rsid w:val="00A255E7"/>
    <w:rsid w:val="00A25652"/>
    <w:rsid w:val="00A2573B"/>
    <w:rsid w:val="00A25896"/>
    <w:rsid w:val="00A258D8"/>
    <w:rsid w:val="00A25933"/>
    <w:rsid w:val="00A25956"/>
    <w:rsid w:val="00A25970"/>
    <w:rsid w:val="00A25A3D"/>
    <w:rsid w:val="00A25C22"/>
    <w:rsid w:val="00A25CBB"/>
    <w:rsid w:val="00A25D82"/>
    <w:rsid w:val="00A25DBB"/>
    <w:rsid w:val="00A25DF1"/>
    <w:rsid w:val="00A26080"/>
    <w:rsid w:val="00A2611B"/>
    <w:rsid w:val="00A261C4"/>
    <w:rsid w:val="00A261C9"/>
    <w:rsid w:val="00A2634A"/>
    <w:rsid w:val="00A2636D"/>
    <w:rsid w:val="00A263C2"/>
    <w:rsid w:val="00A263F8"/>
    <w:rsid w:val="00A264CE"/>
    <w:rsid w:val="00A264CF"/>
    <w:rsid w:val="00A26558"/>
    <w:rsid w:val="00A2664F"/>
    <w:rsid w:val="00A2674A"/>
    <w:rsid w:val="00A2674B"/>
    <w:rsid w:val="00A267CE"/>
    <w:rsid w:val="00A26867"/>
    <w:rsid w:val="00A268E7"/>
    <w:rsid w:val="00A26937"/>
    <w:rsid w:val="00A2696C"/>
    <w:rsid w:val="00A26989"/>
    <w:rsid w:val="00A269C4"/>
    <w:rsid w:val="00A26A02"/>
    <w:rsid w:val="00A26A75"/>
    <w:rsid w:val="00A26AEE"/>
    <w:rsid w:val="00A26AFE"/>
    <w:rsid w:val="00A26B56"/>
    <w:rsid w:val="00A26BA7"/>
    <w:rsid w:val="00A26BB8"/>
    <w:rsid w:val="00A26C71"/>
    <w:rsid w:val="00A26CBD"/>
    <w:rsid w:val="00A26D01"/>
    <w:rsid w:val="00A26D7C"/>
    <w:rsid w:val="00A26DF3"/>
    <w:rsid w:val="00A26E57"/>
    <w:rsid w:val="00A26E97"/>
    <w:rsid w:val="00A26ED3"/>
    <w:rsid w:val="00A26F26"/>
    <w:rsid w:val="00A26F76"/>
    <w:rsid w:val="00A2701A"/>
    <w:rsid w:val="00A27040"/>
    <w:rsid w:val="00A270BF"/>
    <w:rsid w:val="00A2710E"/>
    <w:rsid w:val="00A27171"/>
    <w:rsid w:val="00A27184"/>
    <w:rsid w:val="00A273A2"/>
    <w:rsid w:val="00A2742F"/>
    <w:rsid w:val="00A2752A"/>
    <w:rsid w:val="00A27588"/>
    <w:rsid w:val="00A2762C"/>
    <w:rsid w:val="00A276FF"/>
    <w:rsid w:val="00A27754"/>
    <w:rsid w:val="00A27791"/>
    <w:rsid w:val="00A27816"/>
    <w:rsid w:val="00A27916"/>
    <w:rsid w:val="00A27AB9"/>
    <w:rsid w:val="00A27AC3"/>
    <w:rsid w:val="00A27B60"/>
    <w:rsid w:val="00A27B99"/>
    <w:rsid w:val="00A27BA5"/>
    <w:rsid w:val="00A27C4C"/>
    <w:rsid w:val="00A27E9A"/>
    <w:rsid w:val="00A27EB9"/>
    <w:rsid w:val="00A27EF5"/>
    <w:rsid w:val="00A27FDF"/>
    <w:rsid w:val="00A2A4B5"/>
    <w:rsid w:val="00A300F7"/>
    <w:rsid w:val="00A3013D"/>
    <w:rsid w:val="00A30144"/>
    <w:rsid w:val="00A301D1"/>
    <w:rsid w:val="00A3024D"/>
    <w:rsid w:val="00A30277"/>
    <w:rsid w:val="00A302D2"/>
    <w:rsid w:val="00A30377"/>
    <w:rsid w:val="00A30390"/>
    <w:rsid w:val="00A303A2"/>
    <w:rsid w:val="00A303C6"/>
    <w:rsid w:val="00A3047C"/>
    <w:rsid w:val="00A304BC"/>
    <w:rsid w:val="00A3051C"/>
    <w:rsid w:val="00A30543"/>
    <w:rsid w:val="00A306B1"/>
    <w:rsid w:val="00A306B7"/>
    <w:rsid w:val="00A307FF"/>
    <w:rsid w:val="00A30900"/>
    <w:rsid w:val="00A3091B"/>
    <w:rsid w:val="00A30927"/>
    <w:rsid w:val="00A309A8"/>
    <w:rsid w:val="00A309BD"/>
    <w:rsid w:val="00A30AB5"/>
    <w:rsid w:val="00A30B09"/>
    <w:rsid w:val="00A30B56"/>
    <w:rsid w:val="00A30C2D"/>
    <w:rsid w:val="00A30D32"/>
    <w:rsid w:val="00A30D9F"/>
    <w:rsid w:val="00A30E29"/>
    <w:rsid w:val="00A30EB5"/>
    <w:rsid w:val="00A30ED7"/>
    <w:rsid w:val="00A30F0F"/>
    <w:rsid w:val="00A30F19"/>
    <w:rsid w:val="00A30F32"/>
    <w:rsid w:val="00A30FE5"/>
    <w:rsid w:val="00A31098"/>
    <w:rsid w:val="00A3112F"/>
    <w:rsid w:val="00A3126F"/>
    <w:rsid w:val="00A31367"/>
    <w:rsid w:val="00A31408"/>
    <w:rsid w:val="00A31482"/>
    <w:rsid w:val="00A31495"/>
    <w:rsid w:val="00A31538"/>
    <w:rsid w:val="00A3158D"/>
    <w:rsid w:val="00A31604"/>
    <w:rsid w:val="00A31654"/>
    <w:rsid w:val="00A3170A"/>
    <w:rsid w:val="00A31735"/>
    <w:rsid w:val="00A31781"/>
    <w:rsid w:val="00A317B5"/>
    <w:rsid w:val="00A317EE"/>
    <w:rsid w:val="00A317EF"/>
    <w:rsid w:val="00A3186E"/>
    <w:rsid w:val="00A318CA"/>
    <w:rsid w:val="00A3197B"/>
    <w:rsid w:val="00A31988"/>
    <w:rsid w:val="00A31AE7"/>
    <w:rsid w:val="00A31B27"/>
    <w:rsid w:val="00A31C25"/>
    <w:rsid w:val="00A31C3C"/>
    <w:rsid w:val="00A31C97"/>
    <w:rsid w:val="00A31CAF"/>
    <w:rsid w:val="00A31CC2"/>
    <w:rsid w:val="00A31CF7"/>
    <w:rsid w:val="00A31D4A"/>
    <w:rsid w:val="00A31D4B"/>
    <w:rsid w:val="00A31D54"/>
    <w:rsid w:val="00A31D8B"/>
    <w:rsid w:val="00A31E05"/>
    <w:rsid w:val="00A31F78"/>
    <w:rsid w:val="00A31F8B"/>
    <w:rsid w:val="00A32029"/>
    <w:rsid w:val="00A32039"/>
    <w:rsid w:val="00A32062"/>
    <w:rsid w:val="00A3206B"/>
    <w:rsid w:val="00A3206E"/>
    <w:rsid w:val="00A32120"/>
    <w:rsid w:val="00A32233"/>
    <w:rsid w:val="00A322DB"/>
    <w:rsid w:val="00A3238E"/>
    <w:rsid w:val="00A3239D"/>
    <w:rsid w:val="00A32618"/>
    <w:rsid w:val="00A3262E"/>
    <w:rsid w:val="00A32633"/>
    <w:rsid w:val="00A326F7"/>
    <w:rsid w:val="00A3275A"/>
    <w:rsid w:val="00A3275E"/>
    <w:rsid w:val="00A328C1"/>
    <w:rsid w:val="00A328FD"/>
    <w:rsid w:val="00A3295B"/>
    <w:rsid w:val="00A329AE"/>
    <w:rsid w:val="00A32ACB"/>
    <w:rsid w:val="00A32AFD"/>
    <w:rsid w:val="00A32C3D"/>
    <w:rsid w:val="00A32C61"/>
    <w:rsid w:val="00A32C64"/>
    <w:rsid w:val="00A32D28"/>
    <w:rsid w:val="00A32E03"/>
    <w:rsid w:val="00A32E85"/>
    <w:rsid w:val="00A32E98"/>
    <w:rsid w:val="00A32EC0"/>
    <w:rsid w:val="00A32F36"/>
    <w:rsid w:val="00A32F3D"/>
    <w:rsid w:val="00A32FBD"/>
    <w:rsid w:val="00A3316F"/>
    <w:rsid w:val="00A3319B"/>
    <w:rsid w:val="00A331A7"/>
    <w:rsid w:val="00A332A6"/>
    <w:rsid w:val="00A33335"/>
    <w:rsid w:val="00A334F9"/>
    <w:rsid w:val="00A335AE"/>
    <w:rsid w:val="00A3367D"/>
    <w:rsid w:val="00A336A8"/>
    <w:rsid w:val="00A336D8"/>
    <w:rsid w:val="00A33779"/>
    <w:rsid w:val="00A33859"/>
    <w:rsid w:val="00A339A0"/>
    <w:rsid w:val="00A33ABC"/>
    <w:rsid w:val="00A33AE9"/>
    <w:rsid w:val="00A33B85"/>
    <w:rsid w:val="00A33CA2"/>
    <w:rsid w:val="00A33D02"/>
    <w:rsid w:val="00A33D8B"/>
    <w:rsid w:val="00A33DB2"/>
    <w:rsid w:val="00A33DF3"/>
    <w:rsid w:val="00A33E05"/>
    <w:rsid w:val="00A33E1A"/>
    <w:rsid w:val="00A33E4B"/>
    <w:rsid w:val="00A33E8E"/>
    <w:rsid w:val="00A33EA4"/>
    <w:rsid w:val="00A33F77"/>
    <w:rsid w:val="00A33FDB"/>
    <w:rsid w:val="00A340B7"/>
    <w:rsid w:val="00A340D8"/>
    <w:rsid w:val="00A3412D"/>
    <w:rsid w:val="00A34285"/>
    <w:rsid w:val="00A3436F"/>
    <w:rsid w:val="00A3442F"/>
    <w:rsid w:val="00A34511"/>
    <w:rsid w:val="00A34620"/>
    <w:rsid w:val="00A34693"/>
    <w:rsid w:val="00A34776"/>
    <w:rsid w:val="00A347DA"/>
    <w:rsid w:val="00A347FD"/>
    <w:rsid w:val="00A34A6E"/>
    <w:rsid w:val="00A34AF9"/>
    <w:rsid w:val="00A34B3B"/>
    <w:rsid w:val="00A34B99"/>
    <w:rsid w:val="00A34E94"/>
    <w:rsid w:val="00A35023"/>
    <w:rsid w:val="00A351A8"/>
    <w:rsid w:val="00A351D7"/>
    <w:rsid w:val="00A353B4"/>
    <w:rsid w:val="00A35412"/>
    <w:rsid w:val="00A35414"/>
    <w:rsid w:val="00A3549B"/>
    <w:rsid w:val="00A354AF"/>
    <w:rsid w:val="00A354BC"/>
    <w:rsid w:val="00A355D2"/>
    <w:rsid w:val="00A356B1"/>
    <w:rsid w:val="00A35802"/>
    <w:rsid w:val="00A35AC8"/>
    <w:rsid w:val="00A35B5A"/>
    <w:rsid w:val="00A35C42"/>
    <w:rsid w:val="00A35C5D"/>
    <w:rsid w:val="00A35C83"/>
    <w:rsid w:val="00A35E30"/>
    <w:rsid w:val="00A35E88"/>
    <w:rsid w:val="00A35ED3"/>
    <w:rsid w:val="00A35EDD"/>
    <w:rsid w:val="00A35EE5"/>
    <w:rsid w:val="00A35F6B"/>
    <w:rsid w:val="00A35FB3"/>
    <w:rsid w:val="00A3608E"/>
    <w:rsid w:val="00A360A9"/>
    <w:rsid w:val="00A36271"/>
    <w:rsid w:val="00A362C1"/>
    <w:rsid w:val="00A363AE"/>
    <w:rsid w:val="00A36424"/>
    <w:rsid w:val="00A3647B"/>
    <w:rsid w:val="00A365C7"/>
    <w:rsid w:val="00A365CF"/>
    <w:rsid w:val="00A366D0"/>
    <w:rsid w:val="00A366F6"/>
    <w:rsid w:val="00A36759"/>
    <w:rsid w:val="00A36788"/>
    <w:rsid w:val="00A367BC"/>
    <w:rsid w:val="00A368B7"/>
    <w:rsid w:val="00A368BA"/>
    <w:rsid w:val="00A368C3"/>
    <w:rsid w:val="00A3698E"/>
    <w:rsid w:val="00A369E7"/>
    <w:rsid w:val="00A36A25"/>
    <w:rsid w:val="00A36ABA"/>
    <w:rsid w:val="00A36B94"/>
    <w:rsid w:val="00A36BC9"/>
    <w:rsid w:val="00A36C86"/>
    <w:rsid w:val="00A36D75"/>
    <w:rsid w:val="00A36F2B"/>
    <w:rsid w:val="00A36F71"/>
    <w:rsid w:val="00A36FE6"/>
    <w:rsid w:val="00A36FFD"/>
    <w:rsid w:val="00A370CB"/>
    <w:rsid w:val="00A370FF"/>
    <w:rsid w:val="00A3710C"/>
    <w:rsid w:val="00A37148"/>
    <w:rsid w:val="00A3717A"/>
    <w:rsid w:val="00A371C5"/>
    <w:rsid w:val="00A372F8"/>
    <w:rsid w:val="00A372FA"/>
    <w:rsid w:val="00A3735C"/>
    <w:rsid w:val="00A373BB"/>
    <w:rsid w:val="00A37480"/>
    <w:rsid w:val="00A374C7"/>
    <w:rsid w:val="00A37504"/>
    <w:rsid w:val="00A37519"/>
    <w:rsid w:val="00A3757E"/>
    <w:rsid w:val="00A375DA"/>
    <w:rsid w:val="00A37643"/>
    <w:rsid w:val="00A3766C"/>
    <w:rsid w:val="00A3771D"/>
    <w:rsid w:val="00A37760"/>
    <w:rsid w:val="00A377BF"/>
    <w:rsid w:val="00A377CE"/>
    <w:rsid w:val="00A3798C"/>
    <w:rsid w:val="00A37A04"/>
    <w:rsid w:val="00A37A09"/>
    <w:rsid w:val="00A37A2E"/>
    <w:rsid w:val="00A37AFB"/>
    <w:rsid w:val="00A37C62"/>
    <w:rsid w:val="00A37D24"/>
    <w:rsid w:val="00A37D84"/>
    <w:rsid w:val="00A37E0E"/>
    <w:rsid w:val="00A37E89"/>
    <w:rsid w:val="00A37E9B"/>
    <w:rsid w:val="00A40010"/>
    <w:rsid w:val="00A4006A"/>
    <w:rsid w:val="00A4007C"/>
    <w:rsid w:val="00A400B0"/>
    <w:rsid w:val="00A400B6"/>
    <w:rsid w:val="00A40204"/>
    <w:rsid w:val="00A402A3"/>
    <w:rsid w:val="00A40382"/>
    <w:rsid w:val="00A403C6"/>
    <w:rsid w:val="00A40442"/>
    <w:rsid w:val="00A40514"/>
    <w:rsid w:val="00A4054C"/>
    <w:rsid w:val="00A4063B"/>
    <w:rsid w:val="00A40659"/>
    <w:rsid w:val="00A406CB"/>
    <w:rsid w:val="00A407D2"/>
    <w:rsid w:val="00A4080E"/>
    <w:rsid w:val="00A40857"/>
    <w:rsid w:val="00A40861"/>
    <w:rsid w:val="00A408A5"/>
    <w:rsid w:val="00A4090B"/>
    <w:rsid w:val="00A40C6C"/>
    <w:rsid w:val="00A40E0A"/>
    <w:rsid w:val="00A40E71"/>
    <w:rsid w:val="00A40EBE"/>
    <w:rsid w:val="00A40EDE"/>
    <w:rsid w:val="00A40F09"/>
    <w:rsid w:val="00A40F13"/>
    <w:rsid w:val="00A40F86"/>
    <w:rsid w:val="00A40FAD"/>
    <w:rsid w:val="00A40FE1"/>
    <w:rsid w:val="00A4104B"/>
    <w:rsid w:val="00A410C8"/>
    <w:rsid w:val="00A410CC"/>
    <w:rsid w:val="00A410D2"/>
    <w:rsid w:val="00A41135"/>
    <w:rsid w:val="00A411AB"/>
    <w:rsid w:val="00A41238"/>
    <w:rsid w:val="00A412B6"/>
    <w:rsid w:val="00A41341"/>
    <w:rsid w:val="00A4141F"/>
    <w:rsid w:val="00A41488"/>
    <w:rsid w:val="00A414A8"/>
    <w:rsid w:val="00A414AA"/>
    <w:rsid w:val="00A415B4"/>
    <w:rsid w:val="00A41667"/>
    <w:rsid w:val="00A41721"/>
    <w:rsid w:val="00A41759"/>
    <w:rsid w:val="00A4186D"/>
    <w:rsid w:val="00A418F9"/>
    <w:rsid w:val="00A41907"/>
    <w:rsid w:val="00A419B5"/>
    <w:rsid w:val="00A41AA4"/>
    <w:rsid w:val="00A41AED"/>
    <w:rsid w:val="00A41AF8"/>
    <w:rsid w:val="00A41B28"/>
    <w:rsid w:val="00A41BAC"/>
    <w:rsid w:val="00A41BF4"/>
    <w:rsid w:val="00A41C08"/>
    <w:rsid w:val="00A41D68"/>
    <w:rsid w:val="00A41D7C"/>
    <w:rsid w:val="00A41E07"/>
    <w:rsid w:val="00A41E3C"/>
    <w:rsid w:val="00A41ED7"/>
    <w:rsid w:val="00A41F2B"/>
    <w:rsid w:val="00A420F9"/>
    <w:rsid w:val="00A4214D"/>
    <w:rsid w:val="00A421C9"/>
    <w:rsid w:val="00A42284"/>
    <w:rsid w:val="00A42349"/>
    <w:rsid w:val="00A42436"/>
    <w:rsid w:val="00A42454"/>
    <w:rsid w:val="00A42496"/>
    <w:rsid w:val="00A424D4"/>
    <w:rsid w:val="00A42503"/>
    <w:rsid w:val="00A4263A"/>
    <w:rsid w:val="00A4265D"/>
    <w:rsid w:val="00A4265F"/>
    <w:rsid w:val="00A42798"/>
    <w:rsid w:val="00A42799"/>
    <w:rsid w:val="00A42A09"/>
    <w:rsid w:val="00A42B73"/>
    <w:rsid w:val="00A42BD6"/>
    <w:rsid w:val="00A42C30"/>
    <w:rsid w:val="00A42CDA"/>
    <w:rsid w:val="00A42E73"/>
    <w:rsid w:val="00A42EB6"/>
    <w:rsid w:val="00A4309F"/>
    <w:rsid w:val="00A430B1"/>
    <w:rsid w:val="00A430E8"/>
    <w:rsid w:val="00A4310B"/>
    <w:rsid w:val="00A4315C"/>
    <w:rsid w:val="00A43183"/>
    <w:rsid w:val="00A431B8"/>
    <w:rsid w:val="00A43212"/>
    <w:rsid w:val="00A43236"/>
    <w:rsid w:val="00A432FB"/>
    <w:rsid w:val="00A43366"/>
    <w:rsid w:val="00A433F9"/>
    <w:rsid w:val="00A43408"/>
    <w:rsid w:val="00A43448"/>
    <w:rsid w:val="00A4344B"/>
    <w:rsid w:val="00A434F6"/>
    <w:rsid w:val="00A43553"/>
    <w:rsid w:val="00A43563"/>
    <w:rsid w:val="00A43581"/>
    <w:rsid w:val="00A436A9"/>
    <w:rsid w:val="00A437D6"/>
    <w:rsid w:val="00A43828"/>
    <w:rsid w:val="00A438B1"/>
    <w:rsid w:val="00A438C2"/>
    <w:rsid w:val="00A43987"/>
    <w:rsid w:val="00A439A0"/>
    <w:rsid w:val="00A439AD"/>
    <w:rsid w:val="00A439B8"/>
    <w:rsid w:val="00A439E7"/>
    <w:rsid w:val="00A439ED"/>
    <w:rsid w:val="00A43A16"/>
    <w:rsid w:val="00A43A60"/>
    <w:rsid w:val="00A43A9E"/>
    <w:rsid w:val="00A43AC9"/>
    <w:rsid w:val="00A43B03"/>
    <w:rsid w:val="00A43B1F"/>
    <w:rsid w:val="00A43B26"/>
    <w:rsid w:val="00A43B48"/>
    <w:rsid w:val="00A43B56"/>
    <w:rsid w:val="00A43BFD"/>
    <w:rsid w:val="00A43C02"/>
    <w:rsid w:val="00A43C1D"/>
    <w:rsid w:val="00A43C53"/>
    <w:rsid w:val="00A43C83"/>
    <w:rsid w:val="00A43C9E"/>
    <w:rsid w:val="00A43CDC"/>
    <w:rsid w:val="00A43CEE"/>
    <w:rsid w:val="00A43E63"/>
    <w:rsid w:val="00A43E80"/>
    <w:rsid w:val="00A43EBB"/>
    <w:rsid w:val="00A43F00"/>
    <w:rsid w:val="00A43F63"/>
    <w:rsid w:val="00A43F8D"/>
    <w:rsid w:val="00A43FB6"/>
    <w:rsid w:val="00A4401F"/>
    <w:rsid w:val="00A4409B"/>
    <w:rsid w:val="00A440AE"/>
    <w:rsid w:val="00A441FC"/>
    <w:rsid w:val="00A44230"/>
    <w:rsid w:val="00A44280"/>
    <w:rsid w:val="00A44291"/>
    <w:rsid w:val="00A442EE"/>
    <w:rsid w:val="00A44373"/>
    <w:rsid w:val="00A443B6"/>
    <w:rsid w:val="00A4451B"/>
    <w:rsid w:val="00A44589"/>
    <w:rsid w:val="00A44695"/>
    <w:rsid w:val="00A447A4"/>
    <w:rsid w:val="00A4482D"/>
    <w:rsid w:val="00A4483C"/>
    <w:rsid w:val="00A449DE"/>
    <w:rsid w:val="00A44A3A"/>
    <w:rsid w:val="00A44B3F"/>
    <w:rsid w:val="00A44BB1"/>
    <w:rsid w:val="00A44C05"/>
    <w:rsid w:val="00A44DA8"/>
    <w:rsid w:val="00A44F54"/>
    <w:rsid w:val="00A45091"/>
    <w:rsid w:val="00A450E5"/>
    <w:rsid w:val="00A45106"/>
    <w:rsid w:val="00A4537A"/>
    <w:rsid w:val="00A45425"/>
    <w:rsid w:val="00A4549A"/>
    <w:rsid w:val="00A45540"/>
    <w:rsid w:val="00A4555B"/>
    <w:rsid w:val="00A4555D"/>
    <w:rsid w:val="00A45664"/>
    <w:rsid w:val="00A456D2"/>
    <w:rsid w:val="00A45768"/>
    <w:rsid w:val="00A457A6"/>
    <w:rsid w:val="00A457CD"/>
    <w:rsid w:val="00A45840"/>
    <w:rsid w:val="00A45AF3"/>
    <w:rsid w:val="00A45B14"/>
    <w:rsid w:val="00A45B32"/>
    <w:rsid w:val="00A45B5D"/>
    <w:rsid w:val="00A45BB3"/>
    <w:rsid w:val="00A45BC1"/>
    <w:rsid w:val="00A45C3F"/>
    <w:rsid w:val="00A45C43"/>
    <w:rsid w:val="00A45C6A"/>
    <w:rsid w:val="00A45DA9"/>
    <w:rsid w:val="00A45DE5"/>
    <w:rsid w:val="00A45E78"/>
    <w:rsid w:val="00A45E8C"/>
    <w:rsid w:val="00A46089"/>
    <w:rsid w:val="00A46091"/>
    <w:rsid w:val="00A460A2"/>
    <w:rsid w:val="00A46136"/>
    <w:rsid w:val="00A46197"/>
    <w:rsid w:val="00A461D6"/>
    <w:rsid w:val="00A46206"/>
    <w:rsid w:val="00A46286"/>
    <w:rsid w:val="00A46305"/>
    <w:rsid w:val="00A463AB"/>
    <w:rsid w:val="00A463B0"/>
    <w:rsid w:val="00A464A5"/>
    <w:rsid w:val="00A465F9"/>
    <w:rsid w:val="00A46604"/>
    <w:rsid w:val="00A4671C"/>
    <w:rsid w:val="00A46917"/>
    <w:rsid w:val="00A4694F"/>
    <w:rsid w:val="00A4697B"/>
    <w:rsid w:val="00A46A91"/>
    <w:rsid w:val="00A46B33"/>
    <w:rsid w:val="00A46CE8"/>
    <w:rsid w:val="00A46D0F"/>
    <w:rsid w:val="00A46D4C"/>
    <w:rsid w:val="00A46E5E"/>
    <w:rsid w:val="00A470B2"/>
    <w:rsid w:val="00A47193"/>
    <w:rsid w:val="00A472B9"/>
    <w:rsid w:val="00A473FB"/>
    <w:rsid w:val="00A47431"/>
    <w:rsid w:val="00A4748C"/>
    <w:rsid w:val="00A474DE"/>
    <w:rsid w:val="00A47560"/>
    <w:rsid w:val="00A475C1"/>
    <w:rsid w:val="00A47609"/>
    <w:rsid w:val="00A476BB"/>
    <w:rsid w:val="00A477AE"/>
    <w:rsid w:val="00A478F0"/>
    <w:rsid w:val="00A47934"/>
    <w:rsid w:val="00A47961"/>
    <w:rsid w:val="00A4796E"/>
    <w:rsid w:val="00A479BB"/>
    <w:rsid w:val="00A479C7"/>
    <w:rsid w:val="00A479EC"/>
    <w:rsid w:val="00A47A34"/>
    <w:rsid w:val="00A47E08"/>
    <w:rsid w:val="00A47E7B"/>
    <w:rsid w:val="00A47FD8"/>
    <w:rsid w:val="00A500E3"/>
    <w:rsid w:val="00A500EB"/>
    <w:rsid w:val="00A50130"/>
    <w:rsid w:val="00A5017E"/>
    <w:rsid w:val="00A50180"/>
    <w:rsid w:val="00A501B7"/>
    <w:rsid w:val="00A501BB"/>
    <w:rsid w:val="00A501C1"/>
    <w:rsid w:val="00A502C4"/>
    <w:rsid w:val="00A5033C"/>
    <w:rsid w:val="00A5035E"/>
    <w:rsid w:val="00A50387"/>
    <w:rsid w:val="00A50441"/>
    <w:rsid w:val="00A504A8"/>
    <w:rsid w:val="00A50590"/>
    <w:rsid w:val="00A505F4"/>
    <w:rsid w:val="00A5062D"/>
    <w:rsid w:val="00A50702"/>
    <w:rsid w:val="00A50844"/>
    <w:rsid w:val="00A508E7"/>
    <w:rsid w:val="00A50948"/>
    <w:rsid w:val="00A50960"/>
    <w:rsid w:val="00A50976"/>
    <w:rsid w:val="00A50AEE"/>
    <w:rsid w:val="00A50B17"/>
    <w:rsid w:val="00A50B23"/>
    <w:rsid w:val="00A50B54"/>
    <w:rsid w:val="00A50B96"/>
    <w:rsid w:val="00A50C18"/>
    <w:rsid w:val="00A50D31"/>
    <w:rsid w:val="00A50DB7"/>
    <w:rsid w:val="00A50E67"/>
    <w:rsid w:val="00A50E9F"/>
    <w:rsid w:val="00A50F6E"/>
    <w:rsid w:val="00A50FCD"/>
    <w:rsid w:val="00A50FFD"/>
    <w:rsid w:val="00A51049"/>
    <w:rsid w:val="00A51105"/>
    <w:rsid w:val="00A51138"/>
    <w:rsid w:val="00A51151"/>
    <w:rsid w:val="00A511E0"/>
    <w:rsid w:val="00A5127B"/>
    <w:rsid w:val="00A51287"/>
    <w:rsid w:val="00A512B8"/>
    <w:rsid w:val="00A512E3"/>
    <w:rsid w:val="00A512E9"/>
    <w:rsid w:val="00A5133B"/>
    <w:rsid w:val="00A51359"/>
    <w:rsid w:val="00A51368"/>
    <w:rsid w:val="00A514F1"/>
    <w:rsid w:val="00A51563"/>
    <w:rsid w:val="00A515A7"/>
    <w:rsid w:val="00A515BD"/>
    <w:rsid w:val="00A515C2"/>
    <w:rsid w:val="00A51827"/>
    <w:rsid w:val="00A51852"/>
    <w:rsid w:val="00A5186A"/>
    <w:rsid w:val="00A51874"/>
    <w:rsid w:val="00A51AB6"/>
    <w:rsid w:val="00A51B0E"/>
    <w:rsid w:val="00A51B44"/>
    <w:rsid w:val="00A51C59"/>
    <w:rsid w:val="00A51C7F"/>
    <w:rsid w:val="00A51D52"/>
    <w:rsid w:val="00A51DB5"/>
    <w:rsid w:val="00A51E58"/>
    <w:rsid w:val="00A51E65"/>
    <w:rsid w:val="00A51E6E"/>
    <w:rsid w:val="00A51F1A"/>
    <w:rsid w:val="00A521C0"/>
    <w:rsid w:val="00A5223B"/>
    <w:rsid w:val="00A52243"/>
    <w:rsid w:val="00A52447"/>
    <w:rsid w:val="00A5252B"/>
    <w:rsid w:val="00A5256D"/>
    <w:rsid w:val="00A52594"/>
    <w:rsid w:val="00A525C6"/>
    <w:rsid w:val="00A525EA"/>
    <w:rsid w:val="00A5265F"/>
    <w:rsid w:val="00A526B2"/>
    <w:rsid w:val="00A527BF"/>
    <w:rsid w:val="00A52822"/>
    <w:rsid w:val="00A528E4"/>
    <w:rsid w:val="00A52A33"/>
    <w:rsid w:val="00A52BE5"/>
    <w:rsid w:val="00A52D08"/>
    <w:rsid w:val="00A52E75"/>
    <w:rsid w:val="00A52EE3"/>
    <w:rsid w:val="00A52F1F"/>
    <w:rsid w:val="00A52F30"/>
    <w:rsid w:val="00A52F43"/>
    <w:rsid w:val="00A52FA0"/>
    <w:rsid w:val="00A530F0"/>
    <w:rsid w:val="00A532E7"/>
    <w:rsid w:val="00A53318"/>
    <w:rsid w:val="00A53359"/>
    <w:rsid w:val="00A533A2"/>
    <w:rsid w:val="00A534AE"/>
    <w:rsid w:val="00A535FE"/>
    <w:rsid w:val="00A5369A"/>
    <w:rsid w:val="00A536AF"/>
    <w:rsid w:val="00A53770"/>
    <w:rsid w:val="00A53784"/>
    <w:rsid w:val="00A5379B"/>
    <w:rsid w:val="00A5381E"/>
    <w:rsid w:val="00A538D3"/>
    <w:rsid w:val="00A5399A"/>
    <w:rsid w:val="00A53A0B"/>
    <w:rsid w:val="00A53AF0"/>
    <w:rsid w:val="00A53AF8"/>
    <w:rsid w:val="00A53BD0"/>
    <w:rsid w:val="00A53C9B"/>
    <w:rsid w:val="00A53CC3"/>
    <w:rsid w:val="00A53D2F"/>
    <w:rsid w:val="00A53D8B"/>
    <w:rsid w:val="00A53DC7"/>
    <w:rsid w:val="00A53F11"/>
    <w:rsid w:val="00A53F61"/>
    <w:rsid w:val="00A53F6E"/>
    <w:rsid w:val="00A5406B"/>
    <w:rsid w:val="00A54082"/>
    <w:rsid w:val="00A5409E"/>
    <w:rsid w:val="00A540F2"/>
    <w:rsid w:val="00A54125"/>
    <w:rsid w:val="00A541D6"/>
    <w:rsid w:val="00A541F6"/>
    <w:rsid w:val="00A5430E"/>
    <w:rsid w:val="00A54338"/>
    <w:rsid w:val="00A54339"/>
    <w:rsid w:val="00A5433D"/>
    <w:rsid w:val="00A5437A"/>
    <w:rsid w:val="00A54395"/>
    <w:rsid w:val="00A543EE"/>
    <w:rsid w:val="00A54420"/>
    <w:rsid w:val="00A54431"/>
    <w:rsid w:val="00A5456D"/>
    <w:rsid w:val="00A546B5"/>
    <w:rsid w:val="00A54735"/>
    <w:rsid w:val="00A54745"/>
    <w:rsid w:val="00A5483B"/>
    <w:rsid w:val="00A54856"/>
    <w:rsid w:val="00A5498B"/>
    <w:rsid w:val="00A54A09"/>
    <w:rsid w:val="00A54A51"/>
    <w:rsid w:val="00A54A87"/>
    <w:rsid w:val="00A54A88"/>
    <w:rsid w:val="00A54B7A"/>
    <w:rsid w:val="00A54C2C"/>
    <w:rsid w:val="00A54C34"/>
    <w:rsid w:val="00A54C4A"/>
    <w:rsid w:val="00A54D81"/>
    <w:rsid w:val="00A54E3A"/>
    <w:rsid w:val="00A54FC1"/>
    <w:rsid w:val="00A550A6"/>
    <w:rsid w:val="00A551FD"/>
    <w:rsid w:val="00A55292"/>
    <w:rsid w:val="00A55293"/>
    <w:rsid w:val="00A552BA"/>
    <w:rsid w:val="00A552D4"/>
    <w:rsid w:val="00A5537E"/>
    <w:rsid w:val="00A55419"/>
    <w:rsid w:val="00A554E5"/>
    <w:rsid w:val="00A55545"/>
    <w:rsid w:val="00A555FC"/>
    <w:rsid w:val="00A55728"/>
    <w:rsid w:val="00A558DE"/>
    <w:rsid w:val="00A55AD8"/>
    <w:rsid w:val="00A55AF3"/>
    <w:rsid w:val="00A55AF4"/>
    <w:rsid w:val="00A55B13"/>
    <w:rsid w:val="00A55C2A"/>
    <w:rsid w:val="00A55C4B"/>
    <w:rsid w:val="00A55D81"/>
    <w:rsid w:val="00A55DE7"/>
    <w:rsid w:val="00A55E00"/>
    <w:rsid w:val="00A55E66"/>
    <w:rsid w:val="00A55EE5"/>
    <w:rsid w:val="00A55EFB"/>
    <w:rsid w:val="00A55FF0"/>
    <w:rsid w:val="00A5603A"/>
    <w:rsid w:val="00A56093"/>
    <w:rsid w:val="00A561E2"/>
    <w:rsid w:val="00A5627C"/>
    <w:rsid w:val="00A56310"/>
    <w:rsid w:val="00A563D0"/>
    <w:rsid w:val="00A564E8"/>
    <w:rsid w:val="00A56522"/>
    <w:rsid w:val="00A56565"/>
    <w:rsid w:val="00A565AF"/>
    <w:rsid w:val="00A56628"/>
    <w:rsid w:val="00A5664F"/>
    <w:rsid w:val="00A567D1"/>
    <w:rsid w:val="00A56814"/>
    <w:rsid w:val="00A56889"/>
    <w:rsid w:val="00A568A8"/>
    <w:rsid w:val="00A568B0"/>
    <w:rsid w:val="00A56908"/>
    <w:rsid w:val="00A56968"/>
    <w:rsid w:val="00A56A81"/>
    <w:rsid w:val="00A56B2E"/>
    <w:rsid w:val="00A56B4F"/>
    <w:rsid w:val="00A56BBF"/>
    <w:rsid w:val="00A56BFE"/>
    <w:rsid w:val="00A56C23"/>
    <w:rsid w:val="00A56CD5"/>
    <w:rsid w:val="00A56CDF"/>
    <w:rsid w:val="00A56D4D"/>
    <w:rsid w:val="00A56D77"/>
    <w:rsid w:val="00A56DE9"/>
    <w:rsid w:val="00A56DFE"/>
    <w:rsid w:val="00A56EA5"/>
    <w:rsid w:val="00A56EE5"/>
    <w:rsid w:val="00A56F86"/>
    <w:rsid w:val="00A57200"/>
    <w:rsid w:val="00A57272"/>
    <w:rsid w:val="00A572B5"/>
    <w:rsid w:val="00A57304"/>
    <w:rsid w:val="00A57494"/>
    <w:rsid w:val="00A5760A"/>
    <w:rsid w:val="00A57639"/>
    <w:rsid w:val="00A57682"/>
    <w:rsid w:val="00A576B7"/>
    <w:rsid w:val="00A576C2"/>
    <w:rsid w:val="00A576ED"/>
    <w:rsid w:val="00A57796"/>
    <w:rsid w:val="00A5783E"/>
    <w:rsid w:val="00A57857"/>
    <w:rsid w:val="00A5788C"/>
    <w:rsid w:val="00A57A01"/>
    <w:rsid w:val="00A57A03"/>
    <w:rsid w:val="00A57A91"/>
    <w:rsid w:val="00A57B10"/>
    <w:rsid w:val="00A57DCC"/>
    <w:rsid w:val="00A60224"/>
    <w:rsid w:val="00A60238"/>
    <w:rsid w:val="00A602A0"/>
    <w:rsid w:val="00A602D4"/>
    <w:rsid w:val="00A60315"/>
    <w:rsid w:val="00A60467"/>
    <w:rsid w:val="00A60563"/>
    <w:rsid w:val="00A606D0"/>
    <w:rsid w:val="00A606EF"/>
    <w:rsid w:val="00A6077E"/>
    <w:rsid w:val="00A608E1"/>
    <w:rsid w:val="00A608E3"/>
    <w:rsid w:val="00A60988"/>
    <w:rsid w:val="00A609CF"/>
    <w:rsid w:val="00A60A4A"/>
    <w:rsid w:val="00A60A70"/>
    <w:rsid w:val="00A60AC3"/>
    <w:rsid w:val="00A60B77"/>
    <w:rsid w:val="00A60C72"/>
    <w:rsid w:val="00A60C87"/>
    <w:rsid w:val="00A60CD1"/>
    <w:rsid w:val="00A60D9E"/>
    <w:rsid w:val="00A60DCF"/>
    <w:rsid w:val="00A60E83"/>
    <w:rsid w:val="00A60EDA"/>
    <w:rsid w:val="00A60FEA"/>
    <w:rsid w:val="00A61043"/>
    <w:rsid w:val="00A610BC"/>
    <w:rsid w:val="00A611D6"/>
    <w:rsid w:val="00A612B5"/>
    <w:rsid w:val="00A612D0"/>
    <w:rsid w:val="00A612DE"/>
    <w:rsid w:val="00A6136E"/>
    <w:rsid w:val="00A613E1"/>
    <w:rsid w:val="00A613E7"/>
    <w:rsid w:val="00A61479"/>
    <w:rsid w:val="00A615F8"/>
    <w:rsid w:val="00A6160D"/>
    <w:rsid w:val="00A616DE"/>
    <w:rsid w:val="00A61787"/>
    <w:rsid w:val="00A61806"/>
    <w:rsid w:val="00A61815"/>
    <w:rsid w:val="00A61868"/>
    <w:rsid w:val="00A6196C"/>
    <w:rsid w:val="00A619E3"/>
    <w:rsid w:val="00A61A51"/>
    <w:rsid w:val="00A61AE9"/>
    <w:rsid w:val="00A61B5C"/>
    <w:rsid w:val="00A61BF6"/>
    <w:rsid w:val="00A61C96"/>
    <w:rsid w:val="00A61D42"/>
    <w:rsid w:val="00A61D45"/>
    <w:rsid w:val="00A61DA0"/>
    <w:rsid w:val="00A61E3A"/>
    <w:rsid w:val="00A61EB4"/>
    <w:rsid w:val="00A61EBF"/>
    <w:rsid w:val="00A61EC4"/>
    <w:rsid w:val="00A62013"/>
    <w:rsid w:val="00A6204F"/>
    <w:rsid w:val="00A6208C"/>
    <w:rsid w:val="00A620E8"/>
    <w:rsid w:val="00A6211B"/>
    <w:rsid w:val="00A621D4"/>
    <w:rsid w:val="00A62270"/>
    <w:rsid w:val="00A62282"/>
    <w:rsid w:val="00A62290"/>
    <w:rsid w:val="00A622BC"/>
    <w:rsid w:val="00A62307"/>
    <w:rsid w:val="00A6246F"/>
    <w:rsid w:val="00A62471"/>
    <w:rsid w:val="00A6247E"/>
    <w:rsid w:val="00A624DC"/>
    <w:rsid w:val="00A625E5"/>
    <w:rsid w:val="00A6266E"/>
    <w:rsid w:val="00A62678"/>
    <w:rsid w:val="00A62697"/>
    <w:rsid w:val="00A626A2"/>
    <w:rsid w:val="00A62885"/>
    <w:rsid w:val="00A6298E"/>
    <w:rsid w:val="00A62994"/>
    <w:rsid w:val="00A629F3"/>
    <w:rsid w:val="00A62C20"/>
    <w:rsid w:val="00A62C5E"/>
    <w:rsid w:val="00A62D1D"/>
    <w:rsid w:val="00A62D42"/>
    <w:rsid w:val="00A62D80"/>
    <w:rsid w:val="00A62DBB"/>
    <w:rsid w:val="00A62DD1"/>
    <w:rsid w:val="00A62DDA"/>
    <w:rsid w:val="00A62DF3"/>
    <w:rsid w:val="00A62FE5"/>
    <w:rsid w:val="00A62FE9"/>
    <w:rsid w:val="00A6301A"/>
    <w:rsid w:val="00A63060"/>
    <w:rsid w:val="00A63131"/>
    <w:rsid w:val="00A633A2"/>
    <w:rsid w:val="00A63445"/>
    <w:rsid w:val="00A634E5"/>
    <w:rsid w:val="00A635C4"/>
    <w:rsid w:val="00A635F0"/>
    <w:rsid w:val="00A6362B"/>
    <w:rsid w:val="00A6362E"/>
    <w:rsid w:val="00A63649"/>
    <w:rsid w:val="00A6367C"/>
    <w:rsid w:val="00A6371C"/>
    <w:rsid w:val="00A63791"/>
    <w:rsid w:val="00A63797"/>
    <w:rsid w:val="00A637E8"/>
    <w:rsid w:val="00A6380F"/>
    <w:rsid w:val="00A6392A"/>
    <w:rsid w:val="00A63A11"/>
    <w:rsid w:val="00A63C39"/>
    <w:rsid w:val="00A63DA1"/>
    <w:rsid w:val="00A64156"/>
    <w:rsid w:val="00A64215"/>
    <w:rsid w:val="00A64230"/>
    <w:rsid w:val="00A64238"/>
    <w:rsid w:val="00A64300"/>
    <w:rsid w:val="00A64360"/>
    <w:rsid w:val="00A6443A"/>
    <w:rsid w:val="00A6445B"/>
    <w:rsid w:val="00A644D8"/>
    <w:rsid w:val="00A64505"/>
    <w:rsid w:val="00A6460E"/>
    <w:rsid w:val="00A6470A"/>
    <w:rsid w:val="00A647D0"/>
    <w:rsid w:val="00A648E1"/>
    <w:rsid w:val="00A6492B"/>
    <w:rsid w:val="00A649EC"/>
    <w:rsid w:val="00A64A07"/>
    <w:rsid w:val="00A64AB0"/>
    <w:rsid w:val="00A64AF1"/>
    <w:rsid w:val="00A64B05"/>
    <w:rsid w:val="00A64B24"/>
    <w:rsid w:val="00A64BFC"/>
    <w:rsid w:val="00A64C67"/>
    <w:rsid w:val="00A64C8C"/>
    <w:rsid w:val="00A64CE1"/>
    <w:rsid w:val="00A64E08"/>
    <w:rsid w:val="00A64E10"/>
    <w:rsid w:val="00A64E2D"/>
    <w:rsid w:val="00A64E88"/>
    <w:rsid w:val="00A64EE7"/>
    <w:rsid w:val="00A64F08"/>
    <w:rsid w:val="00A64F9C"/>
    <w:rsid w:val="00A65065"/>
    <w:rsid w:val="00A6510E"/>
    <w:rsid w:val="00A6514C"/>
    <w:rsid w:val="00A65245"/>
    <w:rsid w:val="00A65289"/>
    <w:rsid w:val="00A652C6"/>
    <w:rsid w:val="00A65346"/>
    <w:rsid w:val="00A6534B"/>
    <w:rsid w:val="00A653D1"/>
    <w:rsid w:val="00A65494"/>
    <w:rsid w:val="00A654B9"/>
    <w:rsid w:val="00A6552A"/>
    <w:rsid w:val="00A655B8"/>
    <w:rsid w:val="00A657AE"/>
    <w:rsid w:val="00A657BB"/>
    <w:rsid w:val="00A65884"/>
    <w:rsid w:val="00A658CA"/>
    <w:rsid w:val="00A65955"/>
    <w:rsid w:val="00A659C5"/>
    <w:rsid w:val="00A65B1B"/>
    <w:rsid w:val="00A65BE8"/>
    <w:rsid w:val="00A65BEE"/>
    <w:rsid w:val="00A65BF3"/>
    <w:rsid w:val="00A65CEA"/>
    <w:rsid w:val="00A65CFA"/>
    <w:rsid w:val="00A65D7E"/>
    <w:rsid w:val="00A65E49"/>
    <w:rsid w:val="00A65EE4"/>
    <w:rsid w:val="00A65F59"/>
    <w:rsid w:val="00A65F7D"/>
    <w:rsid w:val="00A65FB4"/>
    <w:rsid w:val="00A65FE3"/>
    <w:rsid w:val="00A6605E"/>
    <w:rsid w:val="00A660A5"/>
    <w:rsid w:val="00A6636B"/>
    <w:rsid w:val="00A6637B"/>
    <w:rsid w:val="00A66380"/>
    <w:rsid w:val="00A663DF"/>
    <w:rsid w:val="00A66458"/>
    <w:rsid w:val="00A664AD"/>
    <w:rsid w:val="00A664C7"/>
    <w:rsid w:val="00A66500"/>
    <w:rsid w:val="00A665B3"/>
    <w:rsid w:val="00A665DE"/>
    <w:rsid w:val="00A66676"/>
    <w:rsid w:val="00A666D3"/>
    <w:rsid w:val="00A666DE"/>
    <w:rsid w:val="00A667AF"/>
    <w:rsid w:val="00A667FB"/>
    <w:rsid w:val="00A6689A"/>
    <w:rsid w:val="00A668D3"/>
    <w:rsid w:val="00A668E0"/>
    <w:rsid w:val="00A668E5"/>
    <w:rsid w:val="00A6697B"/>
    <w:rsid w:val="00A669B0"/>
    <w:rsid w:val="00A669C4"/>
    <w:rsid w:val="00A66A42"/>
    <w:rsid w:val="00A66B5E"/>
    <w:rsid w:val="00A66D25"/>
    <w:rsid w:val="00A66EBC"/>
    <w:rsid w:val="00A66ECC"/>
    <w:rsid w:val="00A66F48"/>
    <w:rsid w:val="00A66FC9"/>
    <w:rsid w:val="00A670AB"/>
    <w:rsid w:val="00A6711E"/>
    <w:rsid w:val="00A6717C"/>
    <w:rsid w:val="00A671BB"/>
    <w:rsid w:val="00A67226"/>
    <w:rsid w:val="00A67230"/>
    <w:rsid w:val="00A67242"/>
    <w:rsid w:val="00A67254"/>
    <w:rsid w:val="00A67356"/>
    <w:rsid w:val="00A67399"/>
    <w:rsid w:val="00A6743E"/>
    <w:rsid w:val="00A674F5"/>
    <w:rsid w:val="00A675E6"/>
    <w:rsid w:val="00A67623"/>
    <w:rsid w:val="00A67636"/>
    <w:rsid w:val="00A6768C"/>
    <w:rsid w:val="00A676B6"/>
    <w:rsid w:val="00A676C7"/>
    <w:rsid w:val="00A676D4"/>
    <w:rsid w:val="00A6771F"/>
    <w:rsid w:val="00A677B5"/>
    <w:rsid w:val="00A67859"/>
    <w:rsid w:val="00A67C87"/>
    <w:rsid w:val="00A67CF9"/>
    <w:rsid w:val="00A67D3F"/>
    <w:rsid w:val="00A67D7B"/>
    <w:rsid w:val="00A67EB8"/>
    <w:rsid w:val="00A67EBF"/>
    <w:rsid w:val="00A67EE7"/>
    <w:rsid w:val="00A67F23"/>
    <w:rsid w:val="00A67F96"/>
    <w:rsid w:val="00A67FD6"/>
    <w:rsid w:val="00A67FEA"/>
    <w:rsid w:val="00A6E0F3"/>
    <w:rsid w:val="00A70026"/>
    <w:rsid w:val="00A700E2"/>
    <w:rsid w:val="00A70298"/>
    <w:rsid w:val="00A702FA"/>
    <w:rsid w:val="00A70323"/>
    <w:rsid w:val="00A70435"/>
    <w:rsid w:val="00A7054C"/>
    <w:rsid w:val="00A70596"/>
    <w:rsid w:val="00A705AF"/>
    <w:rsid w:val="00A706AB"/>
    <w:rsid w:val="00A7075A"/>
    <w:rsid w:val="00A708AC"/>
    <w:rsid w:val="00A708D3"/>
    <w:rsid w:val="00A708E4"/>
    <w:rsid w:val="00A7093D"/>
    <w:rsid w:val="00A70961"/>
    <w:rsid w:val="00A7097B"/>
    <w:rsid w:val="00A70997"/>
    <w:rsid w:val="00A709E7"/>
    <w:rsid w:val="00A70A1C"/>
    <w:rsid w:val="00A70A5E"/>
    <w:rsid w:val="00A70A6F"/>
    <w:rsid w:val="00A70A81"/>
    <w:rsid w:val="00A70AEB"/>
    <w:rsid w:val="00A70B23"/>
    <w:rsid w:val="00A70BA4"/>
    <w:rsid w:val="00A70C91"/>
    <w:rsid w:val="00A70CCC"/>
    <w:rsid w:val="00A70CF5"/>
    <w:rsid w:val="00A70D75"/>
    <w:rsid w:val="00A70EB2"/>
    <w:rsid w:val="00A70FDD"/>
    <w:rsid w:val="00A70FF1"/>
    <w:rsid w:val="00A71005"/>
    <w:rsid w:val="00A710A5"/>
    <w:rsid w:val="00A71287"/>
    <w:rsid w:val="00A712AE"/>
    <w:rsid w:val="00A712F1"/>
    <w:rsid w:val="00A712F2"/>
    <w:rsid w:val="00A7132A"/>
    <w:rsid w:val="00A714AF"/>
    <w:rsid w:val="00A71523"/>
    <w:rsid w:val="00A715E9"/>
    <w:rsid w:val="00A71633"/>
    <w:rsid w:val="00A71654"/>
    <w:rsid w:val="00A717FE"/>
    <w:rsid w:val="00A7187D"/>
    <w:rsid w:val="00A71950"/>
    <w:rsid w:val="00A71985"/>
    <w:rsid w:val="00A719F3"/>
    <w:rsid w:val="00A71B19"/>
    <w:rsid w:val="00A71BFB"/>
    <w:rsid w:val="00A71C96"/>
    <w:rsid w:val="00A71D47"/>
    <w:rsid w:val="00A71D6B"/>
    <w:rsid w:val="00A71DC1"/>
    <w:rsid w:val="00A71E9C"/>
    <w:rsid w:val="00A71EB0"/>
    <w:rsid w:val="00A71FA9"/>
    <w:rsid w:val="00A71FB5"/>
    <w:rsid w:val="00A7201E"/>
    <w:rsid w:val="00A7208E"/>
    <w:rsid w:val="00A722B7"/>
    <w:rsid w:val="00A722CC"/>
    <w:rsid w:val="00A72323"/>
    <w:rsid w:val="00A72347"/>
    <w:rsid w:val="00A72372"/>
    <w:rsid w:val="00A723E0"/>
    <w:rsid w:val="00A72533"/>
    <w:rsid w:val="00A72535"/>
    <w:rsid w:val="00A72538"/>
    <w:rsid w:val="00A725B4"/>
    <w:rsid w:val="00A72602"/>
    <w:rsid w:val="00A72630"/>
    <w:rsid w:val="00A726DB"/>
    <w:rsid w:val="00A72719"/>
    <w:rsid w:val="00A7274D"/>
    <w:rsid w:val="00A72761"/>
    <w:rsid w:val="00A727C7"/>
    <w:rsid w:val="00A727FA"/>
    <w:rsid w:val="00A7282C"/>
    <w:rsid w:val="00A7285C"/>
    <w:rsid w:val="00A72916"/>
    <w:rsid w:val="00A72A83"/>
    <w:rsid w:val="00A72A91"/>
    <w:rsid w:val="00A72C04"/>
    <w:rsid w:val="00A72C8F"/>
    <w:rsid w:val="00A72C92"/>
    <w:rsid w:val="00A72CD7"/>
    <w:rsid w:val="00A72E78"/>
    <w:rsid w:val="00A72EC1"/>
    <w:rsid w:val="00A73034"/>
    <w:rsid w:val="00A731AC"/>
    <w:rsid w:val="00A73295"/>
    <w:rsid w:val="00A735A4"/>
    <w:rsid w:val="00A735F2"/>
    <w:rsid w:val="00A736FE"/>
    <w:rsid w:val="00A73817"/>
    <w:rsid w:val="00A738A9"/>
    <w:rsid w:val="00A73A69"/>
    <w:rsid w:val="00A73B0D"/>
    <w:rsid w:val="00A73B6D"/>
    <w:rsid w:val="00A73BD2"/>
    <w:rsid w:val="00A73DFC"/>
    <w:rsid w:val="00A73E0C"/>
    <w:rsid w:val="00A73F21"/>
    <w:rsid w:val="00A73F3D"/>
    <w:rsid w:val="00A740E5"/>
    <w:rsid w:val="00A740F1"/>
    <w:rsid w:val="00A74111"/>
    <w:rsid w:val="00A741EF"/>
    <w:rsid w:val="00A7424E"/>
    <w:rsid w:val="00A742BD"/>
    <w:rsid w:val="00A7433C"/>
    <w:rsid w:val="00A744EE"/>
    <w:rsid w:val="00A74568"/>
    <w:rsid w:val="00A745F4"/>
    <w:rsid w:val="00A74636"/>
    <w:rsid w:val="00A74649"/>
    <w:rsid w:val="00A7488B"/>
    <w:rsid w:val="00A7496D"/>
    <w:rsid w:val="00A749E5"/>
    <w:rsid w:val="00A74AC1"/>
    <w:rsid w:val="00A74B1B"/>
    <w:rsid w:val="00A74C75"/>
    <w:rsid w:val="00A74CCD"/>
    <w:rsid w:val="00A74CF5"/>
    <w:rsid w:val="00A74DCC"/>
    <w:rsid w:val="00A74E6D"/>
    <w:rsid w:val="00A74EA7"/>
    <w:rsid w:val="00A74F2C"/>
    <w:rsid w:val="00A74FE5"/>
    <w:rsid w:val="00A75025"/>
    <w:rsid w:val="00A750CF"/>
    <w:rsid w:val="00A750EA"/>
    <w:rsid w:val="00A7514E"/>
    <w:rsid w:val="00A751FF"/>
    <w:rsid w:val="00A753A5"/>
    <w:rsid w:val="00A753C3"/>
    <w:rsid w:val="00A75474"/>
    <w:rsid w:val="00A754BA"/>
    <w:rsid w:val="00A754BE"/>
    <w:rsid w:val="00A754D1"/>
    <w:rsid w:val="00A754D7"/>
    <w:rsid w:val="00A75547"/>
    <w:rsid w:val="00A75671"/>
    <w:rsid w:val="00A756A7"/>
    <w:rsid w:val="00A7577E"/>
    <w:rsid w:val="00A757B5"/>
    <w:rsid w:val="00A757D6"/>
    <w:rsid w:val="00A757F2"/>
    <w:rsid w:val="00A757F3"/>
    <w:rsid w:val="00A7581D"/>
    <w:rsid w:val="00A7598C"/>
    <w:rsid w:val="00A759E6"/>
    <w:rsid w:val="00A75A78"/>
    <w:rsid w:val="00A75B78"/>
    <w:rsid w:val="00A75CE5"/>
    <w:rsid w:val="00A75D35"/>
    <w:rsid w:val="00A75D50"/>
    <w:rsid w:val="00A75F4A"/>
    <w:rsid w:val="00A75F76"/>
    <w:rsid w:val="00A75FFB"/>
    <w:rsid w:val="00A7609F"/>
    <w:rsid w:val="00A760FB"/>
    <w:rsid w:val="00A76236"/>
    <w:rsid w:val="00A7623A"/>
    <w:rsid w:val="00A7629E"/>
    <w:rsid w:val="00A7634D"/>
    <w:rsid w:val="00A76454"/>
    <w:rsid w:val="00A764BF"/>
    <w:rsid w:val="00A764CD"/>
    <w:rsid w:val="00A7662E"/>
    <w:rsid w:val="00A7663A"/>
    <w:rsid w:val="00A76789"/>
    <w:rsid w:val="00A76868"/>
    <w:rsid w:val="00A768D8"/>
    <w:rsid w:val="00A76992"/>
    <w:rsid w:val="00A769A2"/>
    <w:rsid w:val="00A76A54"/>
    <w:rsid w:val="00A76A6E"/>
    <w:rsid w:val="00A76B24"/>
    <w:rsid w:val="00A76B26"/>
    <w:rsid w:val="00A76B33"/>
    <w:rsid w:val="00A76B77"/>
    <w:rsid w:val="00A76BE7"/>
    <w:rsid w:val="00A76C08"/>
    <w:rsid w:val="00A76D88"/>
    <w:rsid w:val="00A76EF4"/>
    <w:rsid w:val="00A76F78"/>
    <w:rsid w:val="00A76F85"/>
    <w:rsid w:val="00A7713E"/>
    <w:rsid w:val="00A77179"/>
    <w:rsid w:val="00A771AC"/>
    <w:rsid w:val="00A77392"/>
    <w:rsid w:val="00A773F7"/>
    <w:rsid w:val="00A7746B"/>
    <w:rsid w:val="00A77473"/>
    <w:rsid w:val="00A774A5"/>
    <w:rsid w:val="00A7755B"/>
    <w:rsid w:val="00A777D9"/>
    <w:rsid w:val="00A777F5"/>
    <w:rsid w:val="00A778E2"/>
    <w:rsid w:val="00A77920"/>
    <w:rsid w:val="00A7798A"/>
    <w:rsid w:val="00A77A92"/>
    <w:rsid w:val="00A77B6F"/>
    <w:rsid w:val="00A77BC8"/>
    <w:rsid w:val="00A77C19"/>
    <w:rsid w:val="00A77C5F"/>
    <w:rsid w:val="00A77C99"/>
    <w:rsid w:val="00A77D2B"/>
    <w:rsid w:val="00A77F16"/>
    <w:rsid w:val="00A77F55"/>
    <w:rsid w:val="00A801C7"/>
    <w:rsid w:val="00A802EA"/>
    <w:rsid w:val="00A803D5"/>
    <w:rsid w:val="00A803DE"/>
    <w:rsid w:val="00A80514"/>
    <w:rsid w:val="00A80650"/>
    <w:rsid w:val="00A806BF"/>
    <w:rsid w:val="00A8072B"/>
    <w:rsid w:val="00A80789"/>
    <w:rsid w:val="00A8080A"/>
    <w:rsid w:val="00A80964"/>
    <w:rsid w:val="00A80977"/>
    <w:rsid w:val="00A80A94"/>
    <w:rsid w:val="00A80BCC"/>
    <w:rsid w:val="00A80C17"/>
    <w:rsid w:val="00A80C1C"/>
    <w:rsid w:val="00A80C22"/>
    <w:rsid w:val="00A80D19"/>
    <w:rsid w:val="00A80D2B"/>
    <w:rsid w:val="00A80D57"/>
    <w:rsid w:val="00A80E45"/>
    <w:rsid w:val="00A80E68"/>
    <w:rsid w:val="00A80EB2"/>
    <w:rsid w:val="00A80FD2"/>
    <w:rsid w:val="00A81067"/>
    <w:rsid w:val="00A810A5"/>
    <w:rsid w:val="00A810CF"/>
    <w:rsid w:val="00A81152"/>
    <w:rsid w:val="00A81194"/>
    <w:rsid w:val="00A811F5"/>
    <w:rsid w:val="00A81217"/>
    <w:rsid w:val="00A812C2"/>
    <w:rsid w:val="00A812E5"/>
    <w:rsid w:val="00A8147D"/>
    <w:rsid w:val="00A814C5"/>
    <w:rsid w:val="00A8150B"/>
    <w:rsid w:val="00A815F6"/>
    <w:rsid w:val="00A8169F"/>
    <w:rsid w:val="00A8176D"/>
    <w:rsid w:val="00A81794"/>
    <w:rsid w:val="00A8181F"/>
    <w:rsid w:val="00A81842"/>
    <w:rsid w:val="00A8191D"/>
    <w:rsid w:val="00A81922"/>
    <w:rsid w:val="00A81973"/>
    <w:rsid w:val="00A81996"/>
    <w:rsid w:val="00A81AF8"/>
    <w:rsid w:val="00A81B5F"/>
    <w:rsid w:val="00A81B94"/>
    <w:rsid w:val="00A81C65"/>
    <w:rsid w:val="00A81C82"/>
    <w:rsid w:val="00A81D65"/>
    <w:rsid w:val="00A81D82"/>
    <w:rsid w:val="00A81E49"/>
    <w:rsid w:val="00A81E79"/>
    <w:rsid w:val="00A81FCC"/>
    <w:rsid w:val="00A81FE5"/>
    <w:rsid w:val="00A81FEF"/>
    <w:rsid w:val="00A81FF6"/>
    <w:rsid w:val="00A821C0"/>
    <w:rsid w:val="00A82260"/>
    <w:rsid w:val="00A823F2"/>
    <w:rsid w:val="00A8241E"/>
    <w:rsid w:val="00A82488"/>
    <w:rsid w:val="00A826D8"/>
    <w:rsid w:val="00A82770"/>
    <w:rsid w:val="00A82798"/>
    <w:rsid w:val="00A82882"/>
    <w:rsid w:val="00A828C4"/>
    <w:rsid w:val="00A82959"/>
    <w:rsid w:val="00A8295B"/>
    <w:rsid w:val="00A829AF"/>
    <w:rsid w:val="00A829D9"/>
    <w:rsid w:val="00A82A2B"/>
    <w:rsid w:val="00A82A56"/>
    <w:rsid w:val="00A82C09"/>
    <w:rsid w:val="00A82D30"/>
    <w:rsid w:val="00A82D70"/>
    <w:rsid w:val="00A82DE5"/>
    <w:rsid w:val="00A82EA9"/>
    <w:rsid w:val="00A82F77"/>
    <w:rsid w:val="00A830AC"/>
    <w:rsid w:val="00A830B2"/>
    <w:rsid w:val="00A830BD"/>
    <w:rsid w:val="00A83215"/>
    <w:rsid w:val="00A832F8"/>
    <w:rsid w:val="00A833F8"/>
    <w:rsid w:val="00A83518"/>
    <w:rsid w:val="00A8351D"/>
    <w:rsid w:val="00A83522"/>
    <w:rsid w:val="00A83660"/>
    <w:rsid w:val="00A836AF"/>
    <w:rsid w:val="00A8372E"/>
    <w:rsid w:val="00A83772"/>
    <w:rsid w:val="00A8378A"/>
    <w:rsid w:val="00A837DB"/>
    <w:rsid w:val="00A8385E"/>
    <w:rsid w:val="00A8387B"/>
    <w:rsid w:val="00A83889"/>
    <w:rsid w:val="00A83919"/>
    <w:rsid w:val="00A83959"/>
    <w:rsid w:val="00A839CC"/>
    <w:rsid w:val="00A83A36"/>
    <w:rsid w:val="00A83AFC"/>
    <w:rsid w:val="00A83B72"/>
    <w:rsid w:val="00A83C53"/>
    <w:rsid w:val="00A83C61"/>
    <w:rsid w:val="00A83D3C"/>
    <w:rsid w:val="00A83E41"/>
    <w:rsid w:val="00A83E69"/>
    <w:rsid w:val="00A83ED0"/>
    <w:rsid w:val="00A83F24"/>
    <w:rsid w:val="00A83F48"/>
    <w:rsid w:val="00A841D5"/>
    <w:rsid w:val="00A841D8"/>
    <w:rsid w:val="00A8423B"/>
    <w:rsid w:val="00A84273"/>
    <w:rsid w:val="00A842C1"/>
    <w:rsid w:val="00A842DC"/>
    <w:rsid w:val="00A842F4"/>
    <w:rsid w:val="00A8454A"/>
    <w:rsid w:val="00A8457B"/>
    <w:rsid w:val="00A845A2"/>
    <w:rsid w:val="00A845EC"/>
    <w:rsid w:val="00A84633"/>
    <w:rsid w:val="00A84725"/>
    <w:rsid w:val="00A84973"/>
    <w:rsid w:val="00A849A1"/>
    <w:rsid w:val="00A84ADE"/>
    <w:rsid w:val="00A84B05"/>
    <w:rsid w:val="00A84B4A"/>
    <w:rsid w:val="00A84B51"/>
    <w:rsid w:val="00A84B65"/>
    <w:rsid w:val="00A84B80"/>
    <w:rsid w:val="00A84C2F"/>
    <w:rsid w:val="00A84C7C"/>
    <w:rsid w:val="00A84D0F"/>
    <w:rsid w:val="00A84D3A"/>
    <w:rsid w:val="00A84D56"/>
    <w:rsid w:val="00A84D65"/>
    <w:rsid w:val="00A84E51"/>
    <w:rsid w:val="00A84EA4"/>
    <w:rsid w:val="00A84FAB"/>
    <w:rsid w:val="00A85035"/>
    <w:rsid w:val="00A850DC"/>
    <w:rsid w:val="00A85163"/>
    <w:rsid w:val="00A8516F"/>
    <w:rsid w:val="00A851F5"/>
    <w:rsid w:val="00A85216"/>
    <w:rsid w:val="00A8537C"/>
    <w:rsid w:val="00A85410"/>
    <w:rsid w:val="00A85657"/>
    <w:rsid w:val="00A856E9"/>
    <w:rsid w:val="00A85722"/>
    <w:rsid w:val="00A8574E"/>
    <w:rsid w:val="00A85755"/>
    <w:rsid w:val="00A85969"/>
    <w:rsid w:val="00A85981"/>
    <w:rsid w:val="00A85CFB"/>
    <w:rsid w:val="00A85E05"/>
    <w:rsid w:val="00A85E79"/>
    <w:rsid w:val="00A85F12"/>
    <w:rsid w:val="00A85F19"/>
    <w:rsid w:val="00A85F7D"/>
    <w:rsid w:val="00A85FA7"/>
    <w:rsid w:val="00A85FD7"/>
    <w:rsid w:val="00A86066"/>
    <w:rsid w:val="00A86110"/>
    <w:rsid w:val="00A86171"/>
    <w:rsid w:val="00A861C5"/>
    <w:rsid w:val="00A8625A"/>
    <w:rsid w:val="00A8631A"/>
    <w:rsid w:val="00A86401"/>
    <w:rsid w:val="00A86460"/>
    <w:rsid w:val="00A864B4"/>
    <w:rsid w:val="00A864DA"/>
    <w:rsid w:val="00A8656A"/>
    <w:rsid w:val="00A865AC"/>
    <w:rsid w:val="00A865B7"/>
    <w:rsid w:val="00A86625"/>
    <w:rsid w:val="00A86631"/>
    <w:rsid w:val="00A866AB"/>
    <w:rsid w:val="00A867F0"/>
    <w:rsid w:val="00A867FA"/>
    <w:rsid w:val="00A8687B"/>
    <w:rsid w:val="00A86882"/>
    <w:rsid w:val="00A868EF"/>
    <w:rsid w:val="00A86B29"/>
    <w:rsid w:val="00A86B91"/>
    <w:rsid w:val="00A86BEA"/>
    <w:rsid w:val="00A86CCA"/>
    <w:rsid w:val="00A86D06"/>
    <w:rsid w:val="00A86E49"/>
    <w:rsid w:val="00A86FDF"/>
    <w:rsid w:val="00A86FEC"/>
    <w:rsid w:val="00A86FFC"/>
    <w:rsid w:val="00A87003"/>
    <w:rsid w:val="00A8702F"/>
    <w:rsid w:val="00A870E4"/>
    <w:rsid w:val="00A8714E"/>
    <w:rsid w:val="00A87185"/>
    <w:rsid w:val="00A871BA"/>
    <w:rsid w:val="00A871DE"/>
    <w:rsid w:val="00A871F5"/>
    <w:rsid w:val="00A87299"/>
    <w:rsid w:val="00A872CC"/>
    <w:rsid w:val="00A8732B"/>
    <w:rsid w:val="00A8733C"/>
    <w:rsid w:val="00A87399"/>
    <w:rsid w:val="00A87461"/>
    <w:rsid w:val="00A8749D"/>
    <w:rsid w:val="00A874AE"/>
    <w:rsid w:val="00A874D3"/>
    <w:rsid w:val="00A87597"/>
    <w:rsid w:val="00A875C3"/>
    <w:rsid w:val="00A87606"/>
    <w:rsid w:val="00A8774C"/>
    <w:rsid w:val="00A8774F"/>
    <w:rsid w:val="00A8779A"/>
    <w:rsid w:val="00A877C3"/>
    <w:rsid w:val="00A879A3"/>
    <w:rsid w:val="00A879E3"/>
    <w:rsid w:val="00A87A75"/>
    <w:rsid w:val="00A87AA7"/>
    <w:rsid w:val="00A87B60"/>
    <w:rsid w:val="00A87B92"/>
    <w:rsid w:val="00A87BA9"/>
    <w:rsid w:val="00A87C13"/>
    <w:rsid w:val="00A87C53"/>
    <w:rsid w:val="00A87CDC"/>
    <w:rsid w:val="00A87D10"/>
    <w:rsid w:val="00A87D1E"/>
    <w:rsid w:val="00A87D3C"/>
    <w:rsid w:val="00A87D85"/>
    <w:rsid w:val="00A87DB0"/>
    <w:rsid w:val="00A87DF6"/>
    <w:rsid w:val="00A87E10"/>
    <w:rsid w:val="00A87E56"/>
    <w:rsid w:val="00A87EA7"/>
    <w:rsid w:val="00A87F75"/>
    <w:rsid w:val="00A87FAB"/>
    <w:rsid w:val="00A89865"/>
    <w:rsid w:val="00A90065"/>
    <w:rsid w:val="00A90079"/>
    <w:rsid w:val="00A9007A"/>
    <w:rsid w:val="00A900B1"/>
    <w:rsid w:val="00A900BE"/>
    <w:rsid w:val="00A901C9"/>
    <w:rsid w:val="00A901EE"/>
    <w:rsid w:val="00A90262"/>
    <w:rsid w:val="00A90293"/>
    <w:rsid w:val="00A903CF"/>
    <w:rsid w:val="00A90596"/>
    <w:rsid w:val="00A905DC"/>
    <w:rsid w:val="00A9063B"/>
    <w:rsid w:val="00A906A4"/>
    <w:rsid w:val="00A906D4"/>
    <w:rsid w:val="00A90809"/>
    <w:rsid w:val="00A90845"/>
    <w:rsid w:val="00A908C3"/>
    <w:rsid w:val="00A90923"/>
    <w:rsid w:val="00A90944"/>
    <w:rsid w:val="00A90A1B"/>
    <w:rsid w:val="00A90A25"/>
    <w:rsid w:val="00A90A78"/>
    <w:rsid w:val="00A90B43"/>
    <w:rsid w:val="00A90C1D"/>
    <w:rsid w:val="00A90C60"/>
    <w:rsid w:val="00A90CD5"/>
    <w:rsid w:val="00A90CDD"/>
    <w:rsid w:val="00A90D56"/>
    <w:rsid w:val="00A90DE8"/>
    <w:rsid w:val="00A90E86"/>
    <w:rsid w:val="00A90EAD"/>
    <w:rsid w:val="00A90F62"/>
    <w:rsid w:val="00A90F9F"/>
    <w:rsid w:val="00A91035"/>
    <w:rsid w:val="00A91126"/>
    <w:rsid w:val="00A91147"/>
    <w:rsid w:val="00A9116F"/>
    <w:rsid w:val="00A91413"/>
    <w:rsid w:val="00A914CB"/>
    <w:rsid w:val="00A916D2"/>
    <w:rsid w:val="00A91707"/>
    <w:rsid w:val="00A917B7"/>
    <w:rsid w:val="00A918BC"/>
    <w:rsid w:val="00A918E6"/>
    <w:rsid w:val="00A91955"/>
    <w:rsid w:val="00A91999"/>
    <w:rsid w:val="00A91B7B"/>
    <w:rsid w:val="00A91B9C"/>
    <w:rsid w:val="00A91C57"/>
    <w:rsid w:val="00A91CC6"/>
    <w:rsid w:val="00A91D84"/>
    <w:rsid w:val="00A91DF7"/>
    <w:rsid w:val="00A91E82"/>
    <w:rsid w:val="00A91EC9"/>
    <w:rsid w:val="00A91EF7"/>
    <w:rsid w:val="00A91F34"/>
    <w:rsid w:val="00A92082"/>
    <w:rsid w:val="00A920B1"/>
    <w:rsid w:val="00A920DD"/>
    <w:rsid w:val="00A92147"/>
    <w:rsid w:val="00A92174"/>
    <w:rsid w:val="00A9217B"/>
    <w:rsid w:val="00A92183"/>
    <w:rsid w:val="00A921DD"/>
    <w:rsid w:val="00A921E6"/>
    <w:rsid w:val="00A922A9"/>
    <w:rsid w:val="00A9230B"/>
    <w:rsid w:val="00A9234F"/>
    <w:rsid w:val="00A923F3"/>
    <w:rsid w:val="00A92534"/>
    <w:rsid w:val="00A925CB"/>
    <w:rsid w:val="00A92716"/>
    <w:rsid w:val="00A92718"/>
    <w:rsid w:val="00A9272D"/>
    <w:rsid w:val="00A927F6"/>
    <w:rsid w:val="00A92872"/>
    <w:rsid w:val="00A928C7"/>
    <w:rsid w:val="00A928FC"/>
    <w:rsid w:val="00A92929"/>
    <w:rsid w:val="00A9292D"/>
    <w:rsid w:val="00A92948"/>
    <w:rsid w:val="00A92A1D"/>
    <w:rsid w:val="00A92ABB"/>
    <w:rsid w:val="00A92B26"/>
    <w:rsid w:val="00A92B6D"/>
    <w:rsid w:val="00A92C5A"/>
    <w:rsid w:val="00A92D01"/>
    <w:rsid w:val="00A92EC0"/>
    <w:rsid w:val="00A92FD7"/>
    <w:rsid w:val="00A93036"/>
    <w:rsid w:val="00A930A2"/>
    <w:rsid w:val="00A931B5"/>
    <w:rsid w:val="00A931E3"/>
    <w:rsid w:val="00A931E6"/>
    <w:rsid w:val="00A931EA"/>
    <w:rsid w:val="00A93348"/>
    <w:rsid w:val="00A933FD"/>
    <w:rsid w:val="00A93497"/>
    <w:rsid w:val="00A93527"/>
    <w:rsid w:val="00A935DF"/>
    <w:rsid w:val="00A93705"/>
    <w:rsid w:val="00A9372A"/>
    <w:rsid w:val="00A93756"/>
    <w:rsid w:val="00A9378B"/>
    <w:rsid w:val="00A937CA"/>
    <w:rsid w:val="00A937E9"/>
    <w:rsid w:val="00A937F2"/>
    <w:rsid w:val="00A938D4"/>
    <w:rsid w:val="00A938E9"/>
    <w:rsid w:val="00A9390C"/>
    <w:rsid w:val="00A939CD"/>
    <w:rsid w:val="00A939ED"/>
    <w:rsid w:val="00A93A31"/>
    <w:rsid w:val="00A93A89"/>
    <w:rsid w:val="00A93C3A"/>
    <w:rsid w:val="00A93C67"/>
    <w:rsid w:val="00A93DA6"/>
    <w:rsid w:val="00A94053"/>
    <w:rsid w:val="00A940E3"/>
    <w:rsid w:val="00A941B6"/>
    <w:rsid w:val="00A94201"/>
    <w:rsid w:val="00A94209"/>
    <w:rsid w:val="00A94268"/>
    <w:rsid w:val="00A94297"/>
    <w:rsid w:val="00A9437B"/>
    <w:rsid w:val="00A94402"/>
    <w:rsid w:val="00A94502"/>
    <w:rsid w:val="00A94526"/>
    <w:rsid w:val="00A94754"/>
    <w:rsid w:val="00A94756"/>
    <w:rsid w:val="00A947B7"/>
    <w:rsid w:val="00A947C8"/>
    <w:rsid w:val="00A94835"/>
    <w:rsid w:val="00A9483C"/>
    <w:rsid w:val="00A94842"/>
    <w:rsid w:val="00A948E0"/>
    <w:rsid w:val="00A94901"/>
    <w:rsid w:val="00A9492B"/>
    <w:rsid w:val="00A94958"/>
    <w:rsid w:val="00A94994"/>
    <w:rsid w:val="00A94A8B"/>
    <w:rsid w:val="00A94AA0"/>
    <w:rsid w:val="00A94AAC"/>
    <w:rsid w:val="00A94AD8"/>
    <w:rsid w:val="00A94B2A"/>
    <w:rsid w:val="00A94BA2"/>
    <w:rsid w:val="00A94C1C"/>
    <w:rsid w:val="00A94C56"/>
    <w:rsid w:val="00A94C6B"/>
    <w:rsid w:val="00A94D11"/>
    <w:rsid w:val="00A94D8F"/>
    <w:rsid w:val="00A94DED"/>
    <w:rsid w:val="00A94E58"/>
    <w:rsid w:val="00A94EAD"/>
    <w:rsid w:val="00A94EB1"/>
    <w:rsid w:val="00A94F06"/>
    <w:rsid w:val="00A94F76"/>
    <w:rsid w:val="00A94F98"/>
    <w:rsid w:val="00A9503A"/>
    <w:rsid w:val="00A95176"/>
    <w:rsid w:val="00A95291"/>
    <w:rsid w:val="00A952DF"/>
    <w:rsid w:val="00A952E9"/>
    <w:rsid w:val="00A952EA"/>
    <w:rsid w:val="00A95311"/>
    <w:rsid w:val="00A95400"/>
    <w:rsid w:val="00A95442"/>
    <w:rsid w:val="00A9544C"/>
    <w:rsid w:val="00A955B0"/>
    <w:rsid w:val="00A955C9"/>
    <w:rsid w:val="00A955D9"/>
    <w:rsid w:val="00A9561F"/>
    <w:rsid w:val="00A95648"/>
    <w:rsid w:val="00A9564B"/>
    <w:rsid w:val="00A95675"/>
    <w:rsid w:val="00A95681"/>
    <w:rsid w:val="00A956EB"/>
    <w:rsid w:val="00A95758"/>
    <w:rsid w:val="00A957C1"/>
    <w:rsid w:val="00A957C5"/>
    <w:rsid w:val="00A95858"/>
    <w:rsid w:val="00A958AA"/>
    <w:rsid w:val="00A958F3"/>
    <w:rsid w:val="00A95A7C"/>
    <w:rsid w:val="00A95AC9"/>
    <w:rsid w:val="00A95B01"/>
    <w:rsid w:val="00A95B81"/>
    <w:rsid w:val="00A95BA0"/>
    <w:rsid w:val="00A95BAF"/>
    <w:rsid w:val="00A95BE5"/>
    <w:rsid w:val="00A95C00"/>
    <w:rsid w:val="00A95C6A"/>
    <w:rsid w:val="00A95CB5"/>
    <w:rsid w:val="00A95D14"/>
    <w:rsid w:val="00A95D3F"/>
    <w:rsid w:val="00A95D5D"/>
    <w:rsid w:val="00A95D65"/>
    <w:rsid w:val="00A95E3A"/>
    <w:rsid w:val="00A95E41"/>
    <w:rsid w:val="00A95F64"/>
    <w:rsid w:val="00A95FDC"/>
    <w:rsid w:val="00A96052"/>
    <w:rsid w:val="00A960FF"/>
    <w:rsid w:val="00A96126"/>
    <w:rsid w:val="00A961C8"/>
    <w:rsid w:val="00A961E8"/>
    <w:rsid w:val="00A9625E"/>
    <w:rsid w:val="00A96347"/>
    <w:rsid w:val="00A9644A"/>
    <w:rsid w:val="00A96457"/>
    <w:rsid w:val="00A964AB"/>
    <w:rsid w:val="00A964DE"/>
    <w:rsid w:val="00A9652E"/>
    <w:rsid w:val="00A9657D"/>
    <w:rsid w:val="00A9659C"/>
    <w:rsid w:val="00A965AA"/>
    <w:rsid w:val="00A96720"/>
    <w:rsid w:val="00A967E0"/>
    <w:rsid w:val="00A9686E"/>
    <w:rsid w:val="00A96892"/>
    <w:rsid w:val="00A96909"/>
    <w:rsid w:val="00A969C1"/>
    <w:rsid w:val="00A969FB"/>
    <w:rsid w:val="00A96A14"/>
    <w:rsid w:val="00A96A68"/>
    <w:rsid w:val="00A96B8F"/>
    <w:rsid w:val="00A96CBE"/>
    <w:rsid w:val="00A96D4D"/>
    <w:rsid w:val="00A96E54"/>
    <w:rsid w:val="00A96E91"/>
    <w:rsid w:val="00A9722C"/>
    <w:rsid w:val="00A97288"/>
    <w:rsid w:val="00A972FD"/>
    <w:rsid w:val="00A97366"/>
    <w:rsid w:val="00A973A0"/>
    <w:rsid w:val="00A97419"/>
    <w:rsid w:val="00A974B6"/>
    <w:rsid w:val="00A974EA"/>
    <w:rsid w:val="00A976CF"/>
    <w:rsid w:val="00A977D7"/>
    <w:rsid w:val="00A97871"/>
    <w:rsid w:val="00A978AE"/>
    <w:rsid w:val="00A97910"/>
    <w:rsid w:val="00A979AD"/>
    <w:rsid w:val="00A979CB"/>
    <w:rsid w:val="00A97BA0"/>
    <w:rsid w:val="00A97BF0"/>
    <w:rsid w:val="00A97D5F"/>
    <w:rsid w:val="00A97DB7"/>
    <w:rsid w:val="00A97E18"/>
    <w:rsid w:val="00A97E78"/>
    <w:rsid w:val="00A97F87"/>
    <w:rsid w:val="00AA0008"/>
    <w:rsid w:val="00AA005D"/>
    <w:rsid w:val="00AA018E"/>
    <w:rsid w:val="00AA01EB"/>
    <w:rsid w:val="00AA028E"/>
    <w:rsid w:val="00AA058A"/>
    <w:rsid w:val="00AA05DC"/>
    <w:rsid w:val="00AA05E1"/>
    <w:rsid w:val="00AA062D"/>
    <w:rsid w:val="00AA0660"/>
    <w:rsid w:val="00AA0683"/>
    <w:rsid w:val="00AA06AC"/>
    <w:rsid w:val="00AA0706"/>
    <w:rsid w:val="00AA0714"/>
    <w:rsid w:val="00AA0771"/>
    <w:rsid w:val="00AA07D3"/>
    <w:rsid w:val="00AA0824"/>
    <w:rsid w:val="00AA0858"/>
    <w:rsid w:val="00AA0861"/>
    <w:rsid w:val="00AA08D6"/>
    <w:rsid w:val="00AA08F0"/>
    <w:rsid w:val="00AA09D7"/>
    <w:rsid w:val="00AA09E7"/>
    <w:rsid w:val="00AA0A2D"/>
    <w:rsid w:val="00AA0AAD"/>
    <w:rsid w:val="00AA0B87"/>
    <w:rsid w:val="00AA0BBF"/>
    <w:rsid w:val="00AA0BEB"/>
    <w:rsid w:val="00AA0CE2"/>
    <w:rsid w:val="00AA0DAF"/>
    <w:rsid w:val="00AA0DF1"/>
    <w:rsid w:val="00AA0E62"/>
    <w:rsid w:val="00AA0E76"/>
    <w:rsid w:val="00AA0F28"/>
    <w:rsid w:val="00AA0FA6"/>
    <w:rsid w:val="00AA0FB1"/>
    <w:rsid w:val="00AA1022"/>
    <w:rsid w:val="00AA103F"/>
    <w:rsid w:val="00AA10E6"/>
    <w:rsid w:val="00AA1142"/>
    <w:rsid w:val="00AA11DC"/>
    <w:rsid w:val="00AA1252"/>
    <w:rsid w:val="00AA136C"/>
    <w:rsid w:val="00AA1377"/>
    <w:rsid w:val="00AA13D5"/>
    <w:rsid w:val="00AA14BD"/>
    <w:rsid w:val="00AA14C6"/>
    <w:rsid w:val="00AA14FA"/>
    <w:rsid w:val="00AA15DB"/>
    <w:rsid w:val="00AA1693"/>
    <w:rsid w:val="00AA16C5"/>
    <w:rsid w:val="00AA16CE"/>
    <w:rsid w:val="00AA1735"/>
    <w:rsid w:val="00AA1765"/>
    <w:rsid w:val="00AA1930"/>
    <w:rsid w:val="00AA19D0"/>
    <w:rsid w:val="00AA1ABC"/>
    <w:rsid w:val="00AA1AD9"/>
    <w:rsid w:val="00AA1CA1"/>
    <w:rsid w:val="00AA1CAB"/>
    <w:rsid w:val="00AA1D2E"/>
    <w:rsid w:val="00AA1DEE"/>
    <w:rsid w:val="00AA20A4"/>
    <w:rsid w:val="00AA2106"/>
    <w:rsid w:val="00AA221C"/>
    <w:rsid w:val="00AA2297"/>
    <w:rsid w:val="00AA233D"/>
    <w:rsid w:val="00AA24A4"/>
    <w:rsid w:val="00AA251D"/>
    <w:rsid w:val="00AA25E4"/>
    <w:rsid w:val="00AA2649"/>
    <w:rsid w:val="00AA26A4"/>
    <w:rsid w:val="00AA26B4"/>
    <w:rsid w:val="00AA26F8"/>
    <w:rsid w:val="00AA2723"/>
    <w:rsid w:val="00AA2745"/>
    <w:rsid w:val="00AA27DC"/>
    <w:rsid w:val="00AA2826"/>
    <w:rsid w:val="00AA28BF"/>
    <w:rsid w:val="00AA28F6"/>
    <w:rsid w:val="00AA2941"/>
    <w:rsid w:val="00AA2A15"/>
    <w:rsid w:val="00AA2AAE"/>
    <w:rsid w:val="00AA2ABE"/>
    <w:rsid w:val="00AA2B4C"/>
    <w:rsid w:val="00AA2B79"/>
    <w:rsid w:val="00AA2B88"/>
    <w:rsid w:val="00AA2B98"/>
    <w:rsid w:val="00AA2C33"/>
    <w:rsid w:val="00AA2C5C"/>
    <w:rsid w:val="00AA2C8A"/>
    <w:rsid w:val="00AA2C98"/>
    <w:rsid w:val="00AA2D88"/>
    <w:rsid w:val="00AA2E16"/>
    <w:rsid w:val="00AA2E53"/>
    <w:rsid w:val="00AA2F25"/>
    <w:rsid w:val="00AA2F56"/>
    <w:rsid w:val="00AA2FDE"/>
    <w:rsid w:val="00AA300E"/>
    <w:rsid w:val="00AA3202"/>
    <w:rsid w:val="00AA322C"/>
    <w:rsid w:val="00AA3314"/>
    <w:rsid w:val="00AA3320"/>
    <w:rsid w:val="00AA3323"/>
    <w:rsid w:val="00AA333E"/>
    <w:rsid w:val="00AA344C"/>
    <w:rsid w:val="00AA34D6"/>
    <w:rsid w:val="00AA3682"/>
    <w:rsid w:val="00AA376C"/>
    <w:rsid w:val="00AA3848"/>
    <w:rsid w:val="00AA388D"/>
    <w:rsid w:val="00AA3935"/>
    <w:rsid w:val="00AA3988"/>
    <w:rsid w:val="00AA3995"/>
    <w:rsid w:val="00AA3A9D"/>
    <w:rsid w:val="00AA3AE0"/>
    <w:rsid w:val="00AA3B28"/>
    <w:rsid w:val="00AA3BE5"/>
    <w:rsid w:val="00AA3C55"/>
    <w:rsid w:val="00AA3D22"/>
    <w:rsid w:val="00AA3D58"/>
    <w:rsid w:val="00AA3DAE"/>
    <w:rsid w:val="00AA3E30"/>
    <w:rsid w:val="00AA3EF2"/>
    <w:rsid w:val="00AA3F72"/>
    <w:rsid w:val="00AA3F84"/>
    <w:rsid w:val="00AA3FCC"/>
    <w:rsid w:val="00AA3FE3"/>
    <w:rsid w:val="00AA40C3"/>
    <w:rsid w:val="00AA40D2"/>
    <w:rsid w:val="00AA41A6"/>
    <w:rsid w:val="00AA428F"/>
    <w:rsid w:val="00AA438C"/>
    <w:rsid w:val="00AA4394"/>
    <w:rsid w:val="00AA43B5"/>
    <w:rsid w:val="00AA4461"/>
    <w:rsid w:val="00AA4499"/>
    <w:rsid w:val="00AA44D3"/>
    <w:rsid w:val="00AA44DA"/>
    <w:rsid w:val="00AA44EA"/>
    <w:rsid w:val="00AA45CE"/>
    <w:rsid w:val="00AA4724"/>
    <w:rsid w:val="00AA474B"/>
    <w:rsid w:val="00AA47F3"/>
    <w:rsid w:val="00AA48B3"/>
    <w:rsid w:val="00AA4927"/>
    <w:rsid w:val="00AA496F"/>
    <w:rsid w:val="00AA49A9"/>
    <w:rsid w:val="00AA4AA9"/>
    <w:rsid w:val="00AA4AAB"/>
    <w:rsid w:val="00AA4ADF"/>
    <w:rsid w:val="00AA4C03"/>
    <w:rsid w:val="00AA4C06"/>
    <w:rsid w:val="00AA4C8E"/>
    <w:rsid w:val="00AA4CB5"/>
    <w:rsid w:val="00AA4CF1"/>
    <w:rsid w:val="00AA4D75"/>
    <w:rsid w:val="00AA4DE4"/>
    <w:rsid w:val="00AA4EF4"/>
    <w:rsid w:val="00AA4F0A"/>
    <w:rsid w:val="00AA4FB1"/>
    <w:rsid w:val="00AA507D"/>
    <w:rsid w:val="00AA5210"/>
    <w:rsid w:val="00AA5223"/>
    <w:rsid w:val="00AA529C"/>
    <w:rsid w:val="00AA53BA"/>
    <w:rsid w:val="00AA5401"/>
    <w:rsid w:val="00AA5449"/>
    <w:rsid w:val="00AA5548"/>
    <w:rsid w:val="00AA559A"/>
    <w:rsid w:val="00AA55CC"/>
    <w:rsid w:val="00AA55F1"/>
    <w:rsid w:val="00AA56CB"/>
    <w:rsid w:val="00AA588A"/>
    <w:rsid w:val="00AA5908"/>
    <w:rsid w:val="00AA59A4"/>
    <w:rsid w:val="00AA5A0A"/>
    <w:rsid w:val="00AA5A0D"/>
    <w:rsid w:val="00AA5A0F"/>
    <w:rsid w:val="00AA5AAC"/>
    <w:rsid w:val="00AA5B1B"/>
    <w:rsid w:val="00AA5C64"/>
    <w:rsid w:val="00AA5CA1"/>
    <w:rsid w:val="00AA5E9F"/>
    <w:rsid w:val="00AA5F0E"/>
    <w:rsid w:val="00AA5FA7"/>
    <w:rsid w:val="00AA5FBD"/>
    <w:rsid w:val="00AA6000"/>
    <w:rsid w:val="00AA605D"/>
    <w:rsid w:val="00AA6076"/>
    <w:rsid w:val="00AA6094"/>
    <w:rsid w:val="00AA60A6"/>
    <w:rsid w:val="00AA6117"/>
    <w:rsid w:val="00AA6216"/>
    <w:rsid w:val="00AA621D"/>
    <w:rsid w:val="00AA622F"/>
    <w:rsid w:val="00AA6260"/>
    <w:rsid w:val="00AA6279"/>
    <w:rsid w:val="00AA62A3"/>
    <w:rsid w:val="00AA62A7"/>
    <w:rsid w:val="00AA635A"/>
    <w:rsid w:val="00AA63C8"/>
    <w:rsid w:val="00AA63EA"/>
    <w:rsid w:val="00AA643C"/>
    <w:rsid w:val="00AA652A"/>
    <w:rsid w:val="00AA6557"/>
    <w:rsid w:val="00AA6584"/>
    <w:rsid w:val="00AA6589"/>
    <w:rsid w:val="00AA65A5"/>
    <w:rsid w:val="00AA6692"/>
    <w:rsid w:val="00AA679E"/>
    <w:rsid w:val="00AA67B9"/>
    <w:rsid w:val="00AA67EB"/>
    <w:rsid w:val="00AA6818"/>
    <w:rsid w:val="00AA6840"/>
    <w:rsid w:val="00AA6847"/>
    <w:rsid w:val="00AA6883"/>
    <w:rsid w:val="00AA6885"/>
    <w:rsid w:val="00AA690F"/>
    <w:rsid w:val="00AA69CF"/>
    <w:rsid w:val="00AA6A48"/>
    <w:rsid w:val="00AA6A54"/>
    <w:rsid w:val="00AA6B49"/>
    <w:rsid w:val="00AA6B6C"/>
    <w:rsid w:val="00AA6BB0"/>
    <w:rsid w:val="00AA6DAE"/>
    <w:rsid w:val="00AA6DD3"/>
    <w:rsid w:val="00AA6EB3"/>
    <w:rsid w:val="00AA6F13"/>
    <w:rsid w:val="00AA6FB5"/>
    <w:rsid w:val="00AA70B0"/>
    <w:rsid w:val="00AA70BB"/>
    <w:rsid w:val="00AA70FB"/>
    <w:rsid w:val="00AA713F"/>
    <w:rsid w:val="00AA723D"/>
    <w:rsid w:val="00AA7250"/>
    <w:rsid w:val="00AA72BA"/>
    <w:rsid w:val="00AA739E"/>
    <w:rsid w:val="00AA7429"/>
    <w:rsid w:val="00AA74FF"/>
    <w:rsid w:val="00AA7500"/>
    <w:rsid w:val="00AA7595"/>
    <w:rsid w:val="00AA75E2"/>
    <w:rsid w:val="00AA76B4"/>
    <w:rsid w:val="00AA76D0"/>
    <w:rsid w:val="00AA78D0"/>
    <w:rsid w:val="00AA7934"/>
    <w:rsid w:val="00AA7A99"/>
    <w:rsid w:val="00AA7AED"/>
    <w:rsid w:val="00AA7AF3"/>
    <w:rsid w:val="00AA7B16"/>
    <w:rsid w:val="00AA7C3D"/>
    <w:rsid w:val="00AA7D78"/>
    <w:rsid w:val="00AA7D93"/>
    <w:rsid w:val="00AA7DBA"/>
    <w:rsid w:val="00AA7F3F"/>
    <w:rsid w:val="00AA7FAB"/>
    <w:rsid w:val="00AA7FB0"/>
    <w:rsid w:val="00AB0020"/>
    <w:rsid w:val="00AB005C"/>
    <w:rsid w:val="00AB006B"/>
    <w:rsid w:val="00AB0283"/>
    <w:rsid w:val="00AB037F"/>
    <w:rsid w:val="00AB03DF"/>
    <w:rsid w:val="00AB0406"/>
    <w:rsid w:val="00AB059E"/>
    <w:rsid w:val="00AB0614"/>
    <w:rsid w:val="00AB067A"/>
    <w:rsid w:val="00AB0690"/>
    <w:rsid w:val="00AB06E3"/>
    <w:rsid w:val="00AB076E"/>
    <w:rsid w:val="00AB0801"/>
    <w:rsid w:val="00AB0807"/>
    <w:rsid w:val="00AB0824"/>
    <w:rsid w:val="00AB0864"/>
    <w:rsid w:val="00AB096E"/>
    <w:rsid w:val="00AB0A8C"/>
    <w:rsid w:val="00AB0BB4"/>
    <w:rsid w:val="00AB0DA6"/>
    <w:rsid w:val="00AB0DC0"/>
    <w:rsid w:val="00AB0F7C"/>
    <w:rsid w:val="00AB0FAD"/>
    <w:rsid w:val="00AB0FF5"/>
    <w:rsid w:val="00AB10D1"/>
    <w:rsid w:val="00AB1234"/>
    <w:rsid w:val="00AB1269"/>
    <w:rsid w:val="00AB12C1"/>
    <w:rsid w:val="00AB131A"/>
    <w:rsid w:val="00AB143D"/>
    <w:rsid w:val="00AB14D7"/>
    <w:rsid w:val="00AB1571"/>
    <w:rsid w:val="00AB15BE"/>
    <w:rsid w:val="00AB1628"/>
    <w:rsid w:val="00AB1803"/>
    <w:rsid w:val="00AB18D4"/>
    <w:rsid w:val="00AB192D"/>
    <w:rsid w:val="00AB1A41"/>
    <w:rsid w:val="00AB1B16"/>
    <w:rsid w:val="00AB1B8F"/>
    <w:rsid w:val="00AB1BD1"/>
    <w:rsid w:val="00AB1C74"/>
    <w:rsid w:val="00AB1CD0"/>
    <w:rsid w:val="00AB1D1F"/>
    <w:rsid w:val="00AB1D9C"/>
    <w:rsid w:val="00AB1E35"/>
    <w:rsid w:val="00AB1EA4"/>
    <w:rsid w:val="00AB1ED6"/>
    <w:rsid w:val="00AB1EF1"/>
    <w:rsid w:val="00AB1FA6"/>
    <w:rsid w:val="00AB208C"/>
    <w:rsid w:val="00AB214C"/>
    <w:rsid w:val="00AB22A2"/>
    <w:rsid w:val="00AB22D2"/>
    <w:rsid w:val="00AB24FF"/>
    <w:rsid w:val="00AB25B8"/>
    <w:rsid w:val="00AB25FA"/>
    <w:rsid w:val="00AB2706"/>
    <w:rsid w:val="00AB2768"/>
    <w:rsid w:val="00AB2781"/>
    <w:rsid w:val="00AB27AE"/>
    <w:rsid w:val="00AB28E2"/>
    <w:rsid w:val="00AB28FA"/>
    <w:rsid w:val="00AB2971"/>
    <w:rsid w:val="00AB2AAD"/>
    <w:rsid w:val="00AB2B67"/>
    <w:rsid w:val="00AB2B7C"/>
    <w:rsid w:val="00AB2BB9"/>
    <w:rsid w:val="00AB2C17"/>
    <w:rsid w:val="00AB2C24"/>
    <w:rsid w:val="00AB2C51"/>
    <w:rsid w:val="00AB2CB4"/>
    <w:rsid w:val="00AB2D3F"/>
    <w:rsid w:val="00AB2E68"/>
    <w:rsid w:val="00AB2EAE"/>
    <w:rsid w:val="00AB2F27"/>
    <w:rsid w:val="00AB2FCE"/>
    <w:rsid w:val="00AB2FFF"/>
    <w:rsid w:val="00AB305B"/>
    <w:rsid w:val="00AB3070"/>
    <w:rsid w:val="00AB313C"/>
    <w:rsid w:val="00AB31AD"/>
    <w:rsid w:val="00AB3299"/>
    <w:rsid w:val="00AB33B8"/>
    <w:rsid w:val="00AB344C"/>
    <w:rsid w:val="00AB34AD"/>
    <w:rsid w:val="00AB3536"/>
    <w:rsid w:val="00AB3559"/>
    <w:rsid w:val="00AB35DA"/>
    <w:rsid w:val="00AB35E0"/>
    <w:rsid w:val="00AB35F8"/>
    <w:rsid w:val="00AB366A"/>
    <w:rsid w:val="00AB36CF"/>
    <w:rsid w:val="00AB370D"/>
    <w:rsid w:val="00AB379B"/>
    <w:rsid w:val="00AB38C5"/>
    <w:rsid w:val="00AB38D9"/>
    <w:rsid w:val="00AB38EC"/>
    <w:rsid w:val="00AB38FD"/>
    <w:rsid w:val="00AB3950"/>
    <w:rsid w:val="00AB3B56"/>
    <w:rsid w:val="00AB3BE3"/>
    <w:rsid w:val="00AB3C3A"/>
    <w:rsid w:val="00AB3C81"/>
    <w:rsid w:val="00AB3C9F"/>
    <w:rsid w:val="00AB3CD6"/>
    <w:rsid w:val="00AB3DAD"/>
    <w:rsid w:val="00AB3DFF"/>
    <w:rsid w:val="00AB3E00"/>
    <w:rsid w:val="00AB3E01"/>
    <w:rsid w:val="00AB3EB5"/>
    <w:rsid w:val="00AB3F18"/>
    <w:rsid w:val="00AB3F3F"/>
    <w:rsid w:val="00AB3F68"/>
    <w:rsid w:val="00AB40A2"/>
    <w:rsid w:val="00AB40DC"/>
    <w:rsid w:val="00AB40E0"/>
    <w:rsid w:val="00AB4102"/>
    <w:rsid w:val="00AB42DD"/>
    <w:rsid w:val="00AB430C"/>
    <w:rsid w:val="00AB434A"/>
    <w:rsid w:val="00AB4395"/>
    <w:rsid w:val="00AB4410"/>
    <w:rsid w:val="00AB4493"/>
    <w:rsid w:val="00AB4509"/>
    <w:rsid w:val="00AB4638"/>
    <w:rsid w:val="00AB4644"/>
    <w:rsid w:val="00AB4710"/>
    <w:rsid w:val="00AB475D"/>
    <w:rsid w:val="00AB476A"/>
    <w:rsid w:val="00AB47E1"/>
    <w:rsid w:val="00AB489C"/>
    <w:rsid w:val="00AB48A0"/>
    <w:rsid w:val="00AB48A7"/>
    <w:rsid w:val="00AB49D8"/>
    <w:rsid w:val="00AB4AA0"/>
    <w:rsid w:val="00AB4B75"/>
    <w:rsid w:val="00AB4BC6"/>
    <w:rsid w:val="00AB4C18"/>
    <w:rsid w:val="00AB4E2C"/>
    <w:rsid w:val="00AB4E57"/>
    <w:rsid w:val="00AB4E67"/>
    <w:rsid w:val="00AB4E92"/>
    <w:rsid w:val="00AB4EAB"/>
    <w:rsid w:val="00AB4FE5"/>
    <w:rsid w:val="00AB5180"/>
    <w:rsid w:val="00AB5205"/>
    <w:rsid w:val="00AB529E"/>
    <w:rsid w:val="00AB52BE"/>
    <w:rsid w:val="00AB5301"/>
    <w:rsid w:val="00AB545E"/>
    <w:rsid w:val="00AB546D"/>
    <w:rsid w:val="00AB5478"/>
    <w:rsid w:val="00AB54D9"/>
    <w:rsid w:val="00AB550F"/>
    <w:rsid w:val="00AB5593"/>
    <w:rsid w:val="00AB56EB"/>
    <w:rsid w:val="00AB570B"/>
    <w:rsid w:val="00AB5793"/>
    <w:rsid w:val="00AB57A8"/>
    <w:rsid w:val="00AB584A"/>
    <w:rsid w:val="00AB59B0"/>
    <w:rsid w:val="00AB5A15"/>
    <w:rsid w:val="00AB5A7E"/>
    <w:rsid w:val="00AB5AA1"/>
    <w:rsid w:val="00AB5AB4"/>
    <w:rsid w:val="00AB5B47"/>
    <w:rsid w:val="00AB5B98"/>
    <w:rsid w:val="00AB5D4E"/>
    <w:rsid w:val="00AB5D69"/>
    <w:rsid w:val="00AB5E3F"/>
    <w:rsid w:val="00AB5E75"/>
    <w:rsid w:val="00AB616D"/>
    <w:rsid w:val="00AB6181"/>
    <w:rsid w:val="00AB62BE"/>
    <w:rsid w:val="00AB6367"/>
    <w:rsid w:val="00AB643F"/>
    <w:rsid w:val="00AB65B1"/>
    <w:rsid w:val="00AB65DF"/>
    <w:rsid w:val="00AB6630"/>
    <w:rsid w:val="00AB66CA"/>
    <w:rsid w:val="00AB6714"/>
    <w:rsid w:val="00AB68B6"/>
    <w:rsid w:val="00AB695C"/>
    <w:rsid w:val="00AB69CC"/>
    <w:rsid w:val="00AB6A5E"/>
    <w:rsid w:val="00AB6AC9"/>
    <w:rsid w:val="00AB6B8F"/>
    <w:rsid w:val="00AB6C27"/>
    <w:rsid w:val="00AB6C39"/>
    <w:rsid w:val="00AB6CB5"/>
    <w:rsid w:val="00AB6D19"/>
    <w:rsid w:val="00AB6D1A"/>
    <w:rsid w:val="00AB6D20"/>
    <w:rsid w:val="00AB6DCE"/>
    <w:rsid w:val="00AB6E23"/>
    <w:rsid w:val="00AB6E2F"/>
    <w:rsid w:val="00AB6E58"/>
    <w:rsid w:val="00AB6F1A"/>
    <w:rsid w:val="00AB6FB5"/>
    <w:rsid w:val="00AB706E"/>
    <w:rsid w:val="00AB72B3"/>
    <w:rsid w:val="00AB73BE"/>
    <w:rsid w:val="00AB73E0"/>
    <w:rsid w:val="00AB73F6"/>
    <w:rsid w:val="00AB7461"/>
    <w:rsid w:val="00AB754C"/>
    <w:rsid w:val="00AB75AE"/>
    <w:rsid w:val="00AB7682"/>
    <w:rsid w:val="00AB7710"/>
    <w:rsid w:val="00AB77A0"/>
    <w:rsid w:val="00AB7857"/>
    <w:rsid w:val="00AB78A3"/>
    <w:rsid w:val="00AB78E6"/>
    <w:rsid w:val="00AB78FA"/>
    <w:rsid w:val="00AB790D"/>
    <w:rsid w:val="00AB7951"/>
    <w:rsid w:val="00AB79C4"/>
    <w:rsid w:val="00AB7A8A"/>
    <w:rsid w:val="00AB7A9D"/>
    <w:rsid w:val="00AB7AEB"/>
    <w:rsid w:val="00AB7B3F"/>
    <w:rsid w:val="00AB7BC9"/>
    <w:rsid w:val="00AB7BDE"/>
    <w:rsid w:val="00AB7BE5"/>
    <w:rsid w:val="00AB7C92"/>
    <w:rsid w:val="00AB7D2C"/>
    <w:rsid w:val="00AB7E3C"/>
    <w:rsid w:val="00AB7E6A"/>
    <w:rsid w:val="00AB7EDD"/>
    <w:rsid w:val="00AB7FCB"/>
    <w:rsid w:val="00AC0183"/>
    <w:rsid w:val="00AC0220"/>
    <w:rsid w:val="00AC02B3"/>
    <w:rsid w:val="00AC033F"/>
    <w:rsid w:val="00AC0340"/>
    <w:rsid w:val="00AC03F6"/>
    <w:rsid w:val="00AC043C"/>
    <w:rsid w:val="00AC0458"/>
    <w:rsid w:val="00AC05A1"/>
    <w:rsid w:val="00AC05FD"/>
    <w:rsid w:val="00AC0610"/>
    <w:rsid w:val="00AC07E8"/>
    <w:rsid w:val="00AC08ED"/>
    <w:rsid w:val="00AC0915"/>
    <w:rsid w:val="00AC091E"/>
    <w:rsid w:val="00AC0B69"/>
    <w:rsid w:val="00AC0B73"/>
    <w:rsid w:val="00AC0B7C"/>
    <w:rsid w:val="00AC0BB5"/>
    <w:rsid w:val="00AC0CA2"/>
    <w:rsid w:val="00AC0E45"/>
    <w:rsid w:val="00AC0F08"/>
    <w:rsid w:val="00AC0F0E"/>
    <w:rsid w:val="00AC1172"/>
    <w:rsid w:val="00AC129A"/>
    <w:rsid w:val="00AC137A"/>
    <w:rsid w:val="00AC1429"/>
    <w:rsid w:val="00AC14E7"/>
    <w:rsid w:val="00AC15E3"/>
    <w:rsid w:val="00AC1670"/>
    <w:rsid w:val="00AC1688"/>
    <w:rsid w:val="00AC16B8"/>
    <w:rsid w:val="00AC1720"/>
    <w:rsid w:val="00AC1788"/>
    <w:rsid w:val="00AC182A"/>
    <w:rsid w:val="00AC189E"/>
    <w:rsid w:val="00AC18B4"/>
    <w:rsid w:val="00AC190B"/>
    <w:rsid w:val="00AC195A"/>
    <w:rsid w:val="00AC1986"/>
    <w:rsid w:val="00AC199B"/>
    <w:rsid w:val="00AC19F0"/>
    <w:rsid w:val="00AC1A02"/>
    <w:rsid w:val="00AC1A7E"/>
    <w:rsid w:val="00AC1AB5"/>
    <w:rsid w:val="00AC1C01"/>
    <w:rsid w:val="00AC1DF5"/>
    <w:rsid w:val="00AC1E66"/>
    <w:rsid w:val="00AC1E7B"/>
    <w:rsid w:val="00AC1EBF"/>
    <w:rsid w:val="00AC1F0B"/>
    <w:rsid w:val="00AC1FD2"/>
    <w:rsid w:val="00AC2004"/>
    <w:rsid w:val="00AC2006"/>
    <w:rsid w:val="00AC2039"/>
    <w:rsid w:val="00AC20E5"/>
    <w:rsid w:val="00AC2159"/>
    <w:rsid w:val="00AC222B"/>
    <w:rsid w:val="00AC22C7"/>
    <w:rsid w:val="00AC22FC"/>
    <w:rsid w:val="00AC23D6"/>
    <w:rsid w:val="00AC24EC"/>
    <w:rsid w:val="00AC25AC"/>
    <w:rsid w:val="00AC25C3"/>
    <w:rsid w:val="00AC261E"/>
    <w:rsid w:val="00AC2659"/>
    <w:rsid w:val="00AC26ED"/>
    <w:rsid w:val="00AC27C3"/>
    <w:rsid w:val="00AC283D"/>
    <w:rsid w:val="00AC289C"/>
    <w:rsid w:val="00AC28A6"/>
    <w:rsid w:val="00AC28F5"/>
    <w:rsid w:val="00AC2912"/>
    <w:rsid w:val="00AC2A08"/>
    <w:rsid w:val="00AC2A62"/>
    <w:rsid w:val="00AC2B67"/>
    <w:rsid w:val="00AC2BC5"/>
    <w:rsid w:val="00AC2C5C"/>
    <w:rsid w:val="00AC2CA5"/>
    <w:rsid w:val="00AC2D6F"/>
    <w:rsid w:val="00AC2DBA"/>
    <w:rsid w:val="00AC2E92"/>
    <w:rsid w:val="00AC2F20"/>
    <w:rsid w:val="00AC302E"/>
    <w:rsid w:val="00AC3112"/>
    <w:rsid w:val="00AC315E"/>
    <w:rsid w:val="00AC326E"/>
    <w:rsid w:val="00AC3345"/>
    <w:rsid w:val="00AC3416"/>
    <w:rsid w:val="00AC34A2"/>
    <w:rsid w:val="00AC358D"/>
    <w:rsid w:val="00AC35B4"/>
    <w:rsid w:val="00AC361A"/>
    <w:rsid w:val="00AC3625"/>
    <w:rsid w:val="00AC36AB"/>
    <w:rsid w:val="00AC36D4"/>
    <w:rsid w:val="00AC36DD"/>
    <w:rsid w:val="00AC376D"/>
    <w:rsid w:val="00AC3880"/>
    <w:rsid w:val="00AC397D"/>
    <w:rsid w:val="00AC39A9"/>
    <w:rsid w:val="00AC39B7"/>
    <w:rsid w:val="00AC3A23"/>
    <w:rsid w:val="00AC3A52"/>
    <w:rsid w:val="00AC3A9C"/>
    <w:rsid w:val="00AC3AD0"/>
    <w:rsid w:val="00AC3AE0"/>
    <w:rsid w:val="00AC3B5F"/>
    <w:rsid w:val="00AC3C40"/>
    <w:rsid w:val="00AC3CFC"/>
    <w:rsid w:val="00AC3D97"/>
    <w:rsid w:val="00AC3DE8"/>
    <w:rsid w:val="00AC3E2A"/>
    <w:rsid w:val="00AC3F22"/>
    <w:rsid w:val="00AC3FF2"/>
    <w:rsid w:val="00AC3FF9"/>
    <w:rsid w:val="00AC40B6"/>
    <w:rsid w:val="00AC40F8"/>
    <w:rsid w:val="00AC413E"/>
    <w:rsid w:val="00AC41BF"/>
    <w:rsid w:val="00AC42B6"/>
    <w:rsid w:val="00AC43BA"/>
    <w:rsid w:val="00AC43C5"/>
    <w:rsid w:val="00AC43F0"/>
    <w:rsid w:val="00AC44A8"/>
    <w:rsid w:val="00AC4702"/>
    <w:rsid w:val="00AC47AD"/>
    <w:rsid w:val="00AC4894"/>
    <w:rsid w:val="00AC490D"/>
    <w:rsid w:val="00AC49A2"/>
    <w:rsid w:val="00AC49E8"/>
    <w:rsid w:val="00AC4A47"/>
    <w:rsid w:val="00AC4A74"/>
    <w:rsid w:val="00AC4C36"/>
    <w:rsid w:val="00AC4C45"/>
    <w:rsid w:val="00AC4C75"/>
    <w:rsid w:val="00AC4DC9"/>
    <w:rsid w:val="00AC4DFC"/>
    <w:rsid w:val="00AC4E99"/>
    <w:rsid w:val="00AC4F6C"/>
    <w:rsid w:val="00AC4FD0"/>
    <w:rsid w:val="00AC506D"/>
    <w:rsid w:val="00AC50DF"/>
    <w:rsid w:val="00AC50E2"/>
    <w:rsid w:val="00AC51C6"/>
    <w:rsid w:val="00AC5216"/>
    <w:rsid w:val="00AC52F6"/>
    <w:rsid w:val="00AC5319"/>
    <w:rsid w:val="00AC531B"/>
    <w:rsid w:val="00AC5330"/>
    <w:rsid w:val="00AC5362"/>
    <w:rsid w:val="00AC5392"/>
    <w:rsid w:val="00AC53A6"/>
    <w:rsid w:val="00AC53AF"/>
    <w:rsid w:val="00AC5430"/>
    <w:rsid w:val="00AC580C"/>
    <w:rsid w:val="00AC58D6"/>
    <w:rsid w:val="00AC593F"/>
    <w:rsid w:val="00AC59D4"/>
    <w:rsid w:val="00AC5A8D"/>
    <w:rsid w:val="00AC5A91"/>
    <w:rsid w:val="00AC5B44"/>
    <w:rsid w:val="00AC5BA4"/>
    <w:rsid w:val="00AC5D3B"/>
    <w:rsid w:val="00AC5E48"/>
    <w:rsid w:val="00AC5ED0"/>
    <w:rsid w:val="00AC5F06"/>
    <w:rsid w:val="00AC609E"/>
    <w:rsid w:val="00AC60A8"/>
    <w:rsid w:val="00AC6120"/>
    <w:rsid w:val="00AC61E3"/>
    <w:rsid w:val="00AC62F9"/>
    <w:rsid w:val="00AC6410"/>
    <w:rsid w:val="00AC6436"/>
    <w:rsid w:val="00AC645E"/>
    <w:rsid w:val="00AC6580"/>
    <w:rsid w:val="00AC666C"/>
    <w:rsid w:val="00AC670C"/>
    <w:rsid w:val="00AC6711"/>
    <w:rsid w:val="00AC671F"/>
    <w:rsid w:val="00AC6893"/>
    <w:rsid w:val="00AC68B0"/>
    <w:rsid w:val="00AC6909"/>
    <w:rsid w:val="00AC6913"/>
    <w:rsid w:val="00AC6975"/>
    <w:rsid w:val="00AC6B35"/>
    <w:rsid w:val="00AC6BE4"/>
    <w:rsid w:val="00AC6C19"/>
    <w:rsid w:val="00AC6E8B"/>
    <w:rsid w:val="00AC6EA9"/>
    <w:rsid w:val="00AC6F76"/>
    <w:rsid w:val="00AC6F7B"/>
    <w:rsid w:val="00AC7075"/>
    <w:rsid w:val="00AC7078"/>
    <w:rsid w:val="00AC70CF"/>
    <w:rsid w:val="00AC70E3"/>
    <w:rsid w:val="00AC7117"/>
    <w:rsid w:val="00AC7120"/>
    <w:rsid w:val="00AC716A"/>
    <w:rsid w:val="00AC71A9"/>
    <w:rsid w:val="00AC71C7"/>
    <w:rsid w:val="00AC71F8"/>
    <w:rsid w:val="00AC7231"/>
    <w:rsid w:val="00AC7245"/>
    <w:rsid w:val="00AC72BB"/>
    <w:rsid w:val="00AC7309"/>
    <w:rsid w:val="00AC7310"/>
    <w:rsid w:val="00AC732B"/>
    <w:rsid w:val="00AC73D8"/>
    <w:rsid w:val="00AC7403"/>
    <w:rsid w:val="00AC7498"/>
    <w:rsid w:val="00AC75E5"/>
    <w:rsid w:val="00AC76E3"/>
    <w:rsid w:val="00AC7733"/>
    <w:rsid w:val="00AC77A8"/>
    <w:rsid w:val="00AC77DF"/>
    <w:rsid w:val="00AC780B"/>
    <w:rsid w:val="00AC7815"/>
    <w:rsid w:val="00AC7827"/>
    <w:rsid w:val="00AC7834"/>
    <w:rsid w:val="00AC78A5"/>
    <w:rsid w:val="00AC794C"/>
    <w:rsid w:val="00AC79EC"/>
    <w:rsid w:val="00AC7A42"/>
    <w:rsid w:val="00AC7A9E"/>
    <w:rsid w:val="00AC7B8D"/>
    <w:rsid w:val="00AC7C48"/>
    <w:rsid w:val="00AC7CB9"/>
    <w:rsid w:val="00AC7D77"/>
    <w:rsid w:val="00AC7DB6"/>
    <w:rsid w:val="00AC7E62"/>
    <w:rsid w:val="00AC7FCF"/>
    <w:rsid w:val="00AC7FDF"/>
    <w:rsid w:val="00AD0099"/>
    <w:rsid w:val="00AD00AA"/>
    <w:rsid w:val="00AD00B0"/>
    <w:rsid w:val="00AD00C1"/>
    <w:rsid w:val="00AD0111"/>
    <w:rsid w:val="00AD0339"/>
    <w:rsid w:val="00AD034D"/>
    <w:rsid w:val="00AD0356"/>
    <w:rsid w:val="00AD0366"/>
    <w:rsid w:val="00AD045F"/>
    <w:rsid w:val="00AD048C"/>
    <w:rsid w:val="00AD0496"/>
    <w:rsid w:val="00AD053C"/>
    <w:rsid w:val="00AD0578"/>
    <w:rsid w:val="00AD066C"/>
    <w:rsid w:val="00AD0945"/>
    <w:rsid w:val="00AD095C"/>
    <w:rsid w:val="00AD0AAC"/>
    <w:rsid w:val="00AD0B62"/>
    <w:rsid w:val="00AD0BA5"/>
    <w:rsid w:val="00AD0C12"/>
    <w:rsid w:val="00AD0C1A"/>
    <w:rsid w:val="00AD0C7D"/>
    <w:rsid w:val="00AD0DFB"/>
    <w:rsid w:val="00AD0E00"/>
    <w:rsid w:val="00AD0EDA"/>
    <w:rsid w:val="00AD1015"/>
    <w:rsid w:val="00AD1042"/>
    <w:rsid w:val="00AD1068"/>
    <w:rsid w:val="00AD10A6"/>
    <w:rsid w:val="00AD10B4"/>
    <w:rsid w:val="00AD110B"/>
    <w:rsid w:val="00AD1252"/>
    <w:rsid w:val="00AD1325"/>
    <w:rsid w:val="00AD1377"/>
    <w:rsid w:val="00AD13E3"/>
    <w:rsid w:val="00AD14C7"/>
    <w:rsid w:val="00AD1549"/>
    <w:rsid w:val="00AD1572"/>
    <w:rsid w:val="00AD1614"/>
    <w:rsid w:val="00AD16A0"/>
    <w:rsid w:val="00AD16F9"/>
    <w:rsid w:val="00AD175E"/>
    <w:rsid w:val="00AD179D"/>
    <w:rsid w:val="00AD186F"/>
    <w:rsid w:val="00AD192E"/>
    <w:rsid w:val="00AD1AC2"/>
    <w:rsid w:val="00AD1AFE"/>
    <w:rsid w:val="00AD1B52"/>
    <w:rsid w:val="00AD1B9E"/>
    <w:rsid w:val="00AD1BE9"/>
    <w:rsid w:val="00AD1BF6"/>
    <w:rsid w:val="00AD1C21"/>
    <w:rsid w:val="00AD1CA3"/>
    <w:rsid w:val="00AD1D0A"/>
    <w:rsid w:val="00AD1DB9"/>
    <w:rsid w:val="00AD1DEC"/>
    <w:rsid w:val="00AD1FD1"/>
    <w:rsid w:val="00AD2058"/>
    <w:rsid w:val="00AD21EA"/>
    <w:rsid w:val="00AD2226"/>
    <w:rsid w:val="00AD225F"/>
    <w:rsid w:val="00AD22D8"/>
    <w:rsid w:val="00AD22EB"/>
    <w:rsid w:val="00AD2317"/>
    <w:rsid w:val="00AD2361"/>
    <w:rsid w:val="00AD23B9"/>
    <w:rsid w:val="00AD2539"/>
    <w:rsid w:val="00AD26A5"/>
    <w:rsid w:val="00AD26F4"/>
    <w:rsid w:val="00AD271C"/>
    <w:rsid w:val="00AD271F"/>
    <w:rsid w:val="00AD272A"/>
    <w:rsid w:val="00AD2870"/>
    <w:rsid w:val="00AD28AF"/>
    <w:rsid w:val="00AD28B7"/>
    <w:rsid w:val="00AD2943"/>
    <w:rsid w:val="00AD2B1E"/>
    <w:rsid w:val="00AD2C57"/>
    <w:rsid w:val="00AD2CC0"/>
    <w:rsid w:val="00AD2D53"/>
    <w:rsid w:val="00AD2D97"/>
    <w:rsid w:val="00AD3030"/>
    <w:rsid w:val="00AD303D"/>
    <w:rsid w:val="00AD307B"/>
    <w:rsid w:val="00AD3191"/>
    <w:rsid w:val="00AD31D1"/>
    <w:rsid w:val="00AD32AE"/>
    <w:rsid w:val="00AD340A"/>
    <w:rsid w:val="00AD353A"/>
    <w:rsid w:val="00AD355E"/>
    <w:rsid w:val="00AD35A4"/>
    <w:rsid w:val="00AD360F"/>
    <w:rsid w:val="00AD3760"/>
    <w:rsid w:val="00AD3776"/>
    <w:rsid w:val="00AD37CA"/>
    <w:rsid w:val="00AD3950"/>
    <w:rsid w:val="00AD396A"/>
    <w:rsid w:val="00AD399B"/>
    <w:rsid w:val="00AD39E5"/>
    <w:rsid w:val="00AD3A5E"/>
    <w:rsid w:val="00AD3A9C"/>
    <w:rsid w:val="00AD3B3F"/>
    <w:rsid w:val="00AD3DE1"/>
    <w:rsid w:val="00AD3DF3"/>
    <w:rsid w:val="00AD3E6D"/>
    <w:rsid w:val="00AD3ECE"/>
    <w:rsid w:val="00AD3FBA"/>
    <w:rsid w:val="00AD4012"/>
    <w:rsid w:val="00AD406C"/>
    <w:rsid w:val="00AD4089"/>
    <w:rsid w:val="00AD4164"/>
    <w:rsid w:val="00AD416E"/>
    <w:rsid w:val="00AD4452"/>
    <w:rsid w:val="00AD45E1"/>
    <w:rsid w:val="00AD473D"/>
    <w:rsid w:val="00AD476C"/>
    <w:rsid w:val="00AD47AB"/>
    <w:rsid w:val="00AD4931"/>
    <w:rsid w:val="00AD4B12"/>
    <w:rsid w:val="00AD4B2E"/>
    <w:rsid w:val="00AD4B31"/>
    <w:rsid w:val="00AD4BD9"/>
    <w:rsid w:val="00AD4CCF"/>
    <w:rsid w:val="00AD4CE4"/>
    <w:rsid w:val="00AD4CF5"/>
    <w:rsid w:val="00AD4E41"/>
    <w:rsid w:val="00AD4E93"/>
    <w:rsid w:val="00AD4F90"/>
    <w:rsid w:val="00AD4FD8"/>
    <w:rsid w:val="00AD5015"/>
    <w:rsid w:val="00AD5125"/>
    <w:rsid w:val="00AD5190"/>
    <w:rsid w:val="00AD5592"/>
    <w:rsid w:val="00AD5603"/>
    <w:rsid w:val="00AD5619"/>
    <w:rsid w:val="00AD5703"/>
    <w:rsid w:val="00AD5716"/>
    <w:rsid w:val="00AD5729"/>
    <w:rsid w:val="00AD574C"/>
    <w:rsid w:val="00AD577A"/>
    <w:rsid w:val="00AD577C"/>
    <w:rsid w:val="00AD57A9"/>
    <w:rsid w:val="00AD57E4"/>
    <w:rsid w:val="00AD58F3"/>
    <w:rsid w:val="00AD5AAB"/>
    <w:rsid w:val="00AD5AC5"/>
    <w:rsid w:val="00AD5B4F"/>
    <w:rsid w:val="00AD5B5F"/>
    <w:rsid w:val="00AD5B8F"/>
    <w:rsid w:val="00AD5C23"/>
    <w:rsid w:val="00AD5C4D"/>
    <w:rsid w:val="00AD5C8B"/>
    <w:rsid w:val="00AD5D9A"/>
    <w:rsid w:val="00AD5DA7"/>
    <w:rsid w:val="00AD5DCC"/>
    <w:rsid w:val="00AD5DD2"/>
    <w:rsid w:val="00AD5DEB"/>
    <w:rsid w:val="00AD5E71"/>
    <w:rsid w:val="00AD5F23"/>
    <w:rsid w:val="00AD5FD8"/>
    <w:rsid w:val="00AD6031"/>
    <w:rsid w:val="00AD6077"/>
    <w:rsid w:val="00AD6123"/>
    <w:rsid w:val="00AD6195"/>
    <w:rsid w:val="00AD62A9"/>
    <w:rsid w:val="00AD6312"/>
    <w:rsid w:val="00AD6356"/>
    <w:rsid w:val="00AD63DE"/>
    <w:rsid w:val="00AD6449"/>
    <w:rsid w:val="00AD6491"/>
    <w:rsid w:val="00AD64AD"/>
    <w:rsid w:val="00AD64E9"/>
    <w:rsid w:val="00AD6504"/>
    <w:rsid w:val="00AD6542"/>
    <w:rsid w:val="00AD6595"/>
    <w:rsid w:val="00AD664D"/>
    <w:rsid w:val="00AD6654"/>
    <w:rsid w:val="00AD666C"/>
    <w:rsid w:val="00AD67E5"/>
    <w:rsid w:val="00AD6817"/>
    <w:rsid w:val="00AD6855"/>
    <w:rsid w:val="00AD6879"/>
    <w:rsid w:val="00AD6890"/>
    <w:rsid w:val="00AD6939"/>
    <w:rsid w:val="00AD69CC"/>
    <w:rsid w:val="00AD6A1D"/>
    <w:rsid w:val="00AD6C1C"/>
    <w:rsid w:val="00AD6CFD"/>
    <w:rsid w:val="00AD6D4B"/>
    <w:rsid w:val="00AD6E1E"/>
    <w:rsid w:val="00AD6EB3"/>
    <w:rsid w:val="00AD6F0C"/>
    <w:rsid w:val="00AD6F30"/>
    <w:rsid w:val="00AD6FDE"/>
    <w:rsid w:val="00AD7035"/>
    <w:rsid w:val="00AD703E"/>
    <w:rsid w:val="00AD7054"/>
    <w:rsid w:val="00AD7079"/>
    <w:rsid w:val="00AD70C9"/>
    <w:rsid w:val="00AD717E"/>
    <w:rsid w:val="00AD71A2"/>
    <w:rsid w:val="00AD71FF"/>
    <w:rsid w:val="00AD739B"/>
    <w:rsid w:val="00AD73B0"/>
    <w:rsid w:val="00AD7758"/>
    <w:rsid w:val="00AD777C"/>
    <w:rsid w:val="00AD77FA"/>
    <w:rsid w:val="00AD78CE"/>
    <w:rsid w:val="00AD7921"/>
    <w:rsid w:val="00AD79C2"/>
    <w:rsid w:val="00AD79CE"/>
    <w:rsid w:val="00AD7AAD"/>
    <w:rsid w:val="00AD7B55"/>
    <w:rsid w:val="00AD7C54"/>
    <w:rsid w:val="00AD7CE8"/>
    <w:rsid w:val="00AD7FC0"/>
    <w:rsid w:val="00AD7FEA"/>
    <w:rsid w:val="00AE00C1"/>
    <w:rsid w:val="00AE0109"/>
    <w:rsid w:val="00AE018F"/>
    <w:rsid w:val="00AE028D"/>
    <w:rsid w:val="00AE0295"/>
    <w:rsid w:val="00AE02C0"/>
    <w:rsid w:val="00AE0360"/>
    <w:rsid w:val="00AE049C"/>
    <w:rsid w:val="00AE05E1"/>
    <w:rsid w:val="00AE061C"/>
    <w:rsid w:val="00AE0760"/>
    <w:rsid w:val="00AE07D6"/>
    <w:rsid w:val="00AE07D8"/>
    <w:rsid w:val="00AE08B8"/>
    <w:rsid w:val="00AE08C6"/>
    <w:rsid w:val="00AE08FF"/>
    <w:rsid w:val="00AE0916"/>
    <w:rsid w:val="00AE0962"/>
    <w:rsid w:val="00AE0985"/>
    <w:rsid w:val="00AE0986"/>
    <w:rsid w:val="00AE0994"/>
    <w:rsid w:val="00AE09E7"/>
    <w:rsid w:val="00AE0BAF"/>
    <w:rsid w:val="00AE0C72"/>
    <w:rsid w:val="00AE0DA9"/>
    <w:rsid w:val="00AE0DEF"/>
    <w:rsid w:val="00AE0E9A"/>
    <w:rsid w:val="00AE0FF5"/>
    <w:rsid w:val="00AE1085"/>
    <w:rsid w:val="00AE10A7"/>
    <w:rsid w:val="00AE116C"/>
    <w:rsid w:val="00AE11E5"/>
    <w:rsid w:val="00AE1209"/>
    <w:rsid w:val="00AE1226"/>
    <w:rsid w:val="00AE129F"/>
    <w:rsid w:val="00AE12AC"/>
    <w:rsid w:val="00AE12C8"/>
    <w:rsid w:val="00AE12CD"/>
    <w:rsid w:val="00AE131A"/>
    <w:rsid w:val="00AE135E"/>
    <w:rsid w:val="00AE13AA"/>
    <w:rsid w:val="00AE148F"/>
    <w:rsid w:val="00AE14F4"/>
    <w:rsid w:val="00AE158E"/>
    <w:rsid w:val="00AE166A"/>
    <w:rsid w:val="00AE16E2"/>
    <w:rsid w:val="00AE1707"/>
    <w:rsid w:val="00AE1748"/>
    <w:rsid w:val="00AE180C"/>
    <w:rsid w:val="00AE182A"/>
    <w:rsid w:val="00AE1881"/>
    <w:rsid w:val="00AE1A43"/>
    <w:rsid w:val="00AE1A74"/>
    <w:rsid w:val="00AE1B48"/>
    <w:rsid w:val="00AE1B52"/>
    <w:rsid w:val="00AE1C0E"/>
    <w:rsid w:val="00AE1C52"/>
    <w:rsid w:val="00AE1C89"/>
    <w:rsid w:val="00AE1CE9"/>
    <w:rsid w:val="00AE1D25"/>
    <w:rsid w:val="00AE1D53"/>
    <w:rsid w:val="00AE1EC6"/>
    <w:rsid w:val="00AE1EDD"/>
    <w:rsid w:val="00AE1F6D"/>
    <w:rsid w:val="00AE2002"/>
    <w:rsid w:val="00AE20DB"/>
    <w:rsid w:val="00AE2174"/>
    <w:rsid w:val="00AE21C2"/>
    <w:rsid w:val="00AE2237"/>
    <w:rsid w:val="00AE228B"/>
    <w:rsid w:val="00AE2295"/>
    <w:rsid w:val="00AE22DC"/>
    <w:rsid w:val="00AE2384"/>
    <w:rsid w:val="00AE24B6"/>
    <w:rsid w:val="00AE2542"/>
    <w:rsid w:val="00AE25A0"/>
    <w:rsid w:val="00AE25BA"/>
    <w:rsid w:val="00AE25E9"/>
    <w:rsid w:val="00AE2644"/>
    <w:rsid w:val="00AE2743"/>
    <w:rsid w:val="00AE2748"/>
    <w:rsid w:val="00AE2766"/>
    <w:rsid w:val="00AE276F"/>
    <w:rsid w:val="00AE289D"/>
    <w:rsid w:val="00AE293F"/>
    <w:rsid w:val="00AE2979"/>
    <w:rsid w:val="00AE29B6"/>
    <w:rsid w:val="00AE2B50"/>
    <w:rsid w:val="00AE2C0C"/>
    <w:rsid w:val="00AE2CB0"/>
    <w:rsid w:val="00AE2D9C"/>
    <w:rsid w:val="00AE2DA8"/>
    <w:rsid w:val="00AE2DCB"/>
    <w:rsid w:val="00AE2DFC"/>
    <w:rsid w:val="00AE2E30"/>
    <w:rsid w:val="00AE2E3E"/>
    <w:rsid w:val="00AE2F6A"/>
    <w:rsid w:val="00AE2FAC"/>
    <w:rsid w:val="00AE2FC2"/>
    <w:rsid w:val="00AE3068"/>
    <w:rsid w:val="00AE3081"/>
    <w:rsid w:val="00AE30B1"/>
    <w:rsid w:val="00AE30B4"/>
    <w:rsid w:val="00AE30D6"/>
    <w:rsid w:val="00AE31D6"/>
    <w:rsid w:val="00AE3212"/>
    <w:rsid w:val="00AE3283"/>
    <w:rsid w:val="00AE32CF"/>
    <w:rsid w:val="00AE33B2"/>
    <w:rsid w:val="00AE346D"/>
    <w:rsid w:val="00AE34BD"/>
    <w:rsid w:val="00AE34FA"/>
    <w:rsid w:val="00AE3590"/>
    <w:rsid w:val="00AE35E0"/>
    <w:rsid w:val="00AE36A4"/>
    <w:rsid w:val="00AE37C5"/>
    <w:rsid w:val="00AE37E3"/>
    <w:rsid w:val="00AE37F2"/>
    <w:rsid w:val="00AE39AC"/>
    <w:rsid w:val="00AE39FA"/>
    <w:rsid w:val="00AE3A29"/>
    <w:rsid w:val="00AE3A63"/>
    <w:rsid w:val="00AE3B75"/>
    <w:rsid w:val="00AE3B7C"/>
    <w:rsid w:val="00AE3D0C"/>
    <w:rsid w:val="00AE3D42"/>
    <w:rsid w:val="00AE3DC4"/>
    <w:rsid w:val="00AE3E4B"/>
    <w:rsid w:val="00AE3E7D"/>
    <w:rsid w:val="00AE3E92"/>
    <w:rsid w:val="00AE4141"/>
    <w:rsid w:val="00AE425F"/>
    <w:rsid w:val="00AE4298"/>
    <w:rsid w:val="00AE430F"/>
    <w:rsid w:val="00AE4315"/>
    <w:rsid w:val="00AE435C"/>
    <w:rsid w:val="00AE4364"/>
    <w:rsid w:val="00AE43B2"/>
    <w:rsid w:val="00AE43C4"/>
    <w:rsid w:val="00AE43CF"/>
    <w:rsid w:val="00AE44D9"/>
    <w:rsid w:val="00AE4501"/>
    <w:rsid w:val="00AE45E4"/>
    <w:rsid w:val="00AE46A7"/>
    <w:rsid w:val="00AE46B5"/>
    <w:rsid w:val="00AE4705"/>
    <w:rsid w:val="00AE485F"/>
    <w:rsid w:val="00AE486F"/>
    <w:rsid w:val="00AE48CD"/>
    <w:rsid w:val="00AE4911"/>
    <w:rsid w:val="00AE4938"/>
    <w:rsid w:val="00AE493E"/>
    <w:rsid w:val="00AE4977"/>
    <w:rsid w:val="00AE49CA"/>
    <w:rsid w:val="00AE4A27"/>
    <w:rsid w:val="00AE4AA3"/>
    <w:rsid w:val="00AE4B4C"/>
    <w:rsid w:val="00AE4C23"/>
    <w:rsid w:val="00AE4C69"/>
    <w:rsid w:val="00AE4C9F"/>
    <w:rsid w:val="00AE4CD0"/>
    <w:rsid w:val="00AE4E31"/>
    <w:rsid w:val="00AE4EAA"/>
    <w:rsid w:val="00AE4EE8"/>
    <w:rsid w:val="00AE4F45"/>
    <w:rsid w:val="00AE4F48"/>
    <w:rsid w:val="00AE519D"/>
    <w:rsid w:val="00AE5235"/>
    <w:rsid w:val="00AE523C"/>
    <w:rsid w:val="00AE52DA"/>
    <w:rsid w:val="00AE5326"/>
    <w:rsid w:val="00AE5363"/>
    <w:rsid w:val="00AE5389"/>
    <w:rsid w:val="00AE5397"/>
    <w:rsid w:val="00AE5592"/>
    <w:rsid w:val="00AE5644"/>
    <w:rsid w:val="00AE56D6"/>
    <w:rsid w:val="00AE574D"/>
    <w:rsid w:val="00AE57C5"/>
    <w:rsid w:val="00AE5871"/>
    <w:rsid w:val="00AE58BB"/>
    <w:rsid w:val="00AE58C1"/>
    <w:rsid w:val="00AE58ED"/>
    <w:rsid w:val="00AE5A45"/>
    <w:rsid w:val="00AE5A74"/>
    <w:rsid w:val="00AE5A9B"/>
    <w:rsid w:val="00AE5AB0"/>
    <w:rsid w:val="00AE5B6A"/>
    <w:rsid w:val="00AE5C06"/>
    <w:rsid w:val="00AE5C37"/>
    <w:rsid w:val="00AE5CBA"/>
    <w:rsid w:val="00AE5CCF"/>
    <w:rsid w:val="00AE5CD5"/>
    <w:rsid w:val="00AE5D86"/>
    <w:rsid w:val="00AE5E6C"/>
    <w:rsid w:val="00AE5E7C"/>
    <w:rsid w:val="00AE5EC6"/>
    <w:rsid w:val="00AE5EC9"/>
    <w:rsid w:val="00AE5EE1"/>
    <w:rsid w:val="00AE5FA0"/>
    <w:rsid w:val="00AE5FF1"/>
    <w:rsid w:val="00AE5FFB"/>
    <w:rsid w:val="00AE606C"/>
    <w:rsid w:val="00AE60FD"/>
    <w:rsid w:val="00AE6148"/>
    <w:rsid w:val="00AE618A"/>
    <w:rsid w:val="00AE62F3"/>
    <w:rsid w:val="00AE638E"/>
    <w:rsid w:val="00AE63E1"/>
    <w:rsid w:val="00AE65B7"/>
    <w:rsid w:val="00AE660A"/>
    <w:rsid w:val="00AE6661"/>
    <w:rsid w:val="00AE66CA"/>
    <w:rsid w:val="00AE66E8"/>
    <w:rsid w:val="00AE66EB"/>
    <w:rsid w:val="00AE6797"/>
    <w:rsid w:val="00AE67B9"/>
    <w:rsid w:val="00AE67F5"/>
    <w:rsid w:val="00AE6806"/>
    <w:rsid w:val="00AE6850"/>
    <w:rsid w:val="00AE68B3"/>
    <w:rsid w:val="00AE6937"/>
    <w:rsid w:val="00AE6974"/>
    <w:rsid w:val="00AE6A5C"/>
    <w:rsid w:val="00AE6B02"/>
    <w:rsid w:val="00AE6C3E"/>
    <w:rsid w:val="00AE6CAE"/>
    <w:rsid w:val="00AE6D91"/>
    <w:rsid w:val="00AE6DFB"/>
    <w:rsid w:val="00AE6E41"/>
    <w:rsid w:val="00AE6E67"/>
    <w:rsid w:val="00AE6F31"/>
    <w:rsid w:val="00AE7008"/>
    <w:rsid w:val="00AE7010"/>
    <w:rsid w:val="00AE7023"/>
    <w:rsid w:val="00AE70E8"/>
    <w:rsid w:val="00AE7167"/>
    <w:rsid w:val="00AE722F"/>
    <w:rsid w:val="00AE7302"/>
    <w:rsid w:val="00AE7317"/>
    <w:rsid w:val="00AE74C6"/>
    <w:rsid w:val="00AE7526"/>
    <w:rsid w:val="00AE75D8"/>
    <w:rsid w:val="00AE76B2"/>
    <w:rsid w:val="00AE77A0"/>
    <w:rsid w:val="00AE7865"/>
    <w:rsid w:val="00AE7913"/>
    <w:rsid w:val="00AE7988"/>
    <w:rsid w:val="00AE79A0"/>
    <w:rsid w:val="00AE79E8"/>
    <w:rsid w:val="00AE7A9F"/>
    <w:rsid w:val="00AE7B4F"/>
    <w:rsid w:val="00AE7B5E"/>
    <w:rsid w:val="00AE7B62"/>
    <w:rsid w:val="00AE7C4D"/>
    <w:rsid w:val="00AE7CFD"/>
    <w:rsid w:val="00AE7D53"/>
    <w:rsid w:val="00AE7DC7"/>
    <w:rsid w:val="00AE7FFB"/>
    <w:rsid w:val="00AF0000"/>
    <w:rsid w:val="00AF001E"/>
    <w:rsid w:val="00AF0059"/>
    <w:rsid w:val="00AF005C"/>
    <w:rsid w:val="00AF00F0"/>
    <w:rsid w:val="00AF0655"/>
    <w:rsid w:val="00AF0672"/>
    <w:rsid w:val="00AF070B"/>
    <w:rsid w:val="00AF0715"/>
    <w:rsid w:val="00AF07BD"/>
    <w:rsid w:val="00AF07C0"/>
    <w:rsid w:val="00AF0838"/>
    <w:rsid w:val="00AF0896"/>
    <w:rsid w:val="00AF08E0"/>
    <w:rsid w:val="00AF08EA"/>
    <w:rsid w:val="00AF0944"/>
    <w:rsid w:val="00AF0948"/>
    <w:rsid w:val="00AF09F6"/>
    <w:rsid w:val="00AF0B53"/>
    <w:rsid w:val="00AF0EBD"/>
    <w:rsid w:val="00AF0EF2"/>
    <w:rsid w:val="00AF0F16"/>
    <w:rsid w:val="00AF100E"/>
    <w:rsid w:val="00AF1036"/>
    <w:rsid w:val="00AF1230"/>
    <w:rsid w:val="00AF1277"/>
    <w:rsid w:val="00AF12A4"/>
    <w:rsid w:val="00AF12C8"/>
    <w:rsid w:val="00AF13CD"/>
    <w:rsid w:val="00AF145C"/>
    <w:rsid w:val="00AF148C"/>
    <w:rsid w:val="00AF14D6"/>
    <w:rsid w:val="00AF14F3"/>
    <w:rsid w:val="00AF14FE"/>
    <w:rsid w:val="00AF1553"/>
    <w:rsid w:val="00AF1563"/>
    <w:rsid w:val="00AF162D"/>
    <w:rsid w:val="00AF16FD"/>
    <w:rsid w:val="00AF1738"/>
    <w:rsid w:val="00AF1742"/>
    <w:rsid w:val="00AF17F0"/>
    <w:rsid w:val="00AF1811"/>
    <w:rsid w:val="00AF1902"/>
    <w:rsid w:val="00AF1994"/>
    <w:rsid w:val="00AF1A4D"/>
    <w:rsid w:val="00AF1AC0"/>
    <w:rsid w:val="00AF1C63"/>
    <w:rsid w:val="00AF1CB3"/>
    <w:rsid w:val="00AF1E14"/>
    <w:rsid w:val="00AF1E61"/>
    <w:rsid w:val="00AF1FA4"/>
    <w:rsid w:val="00AF207A"/>
    <w:rsid w:val="00AF2151"/>
    <w:rsid w:val="00AF237D"/>
    <w:rsid w:val="00AF23A3"/>
    <w:rsid w:val="00AF240A"/>
    <w:rsid w:val="00AF260D"/>
    <w:rsid w:val="00AF262A"/>
    <w:rsid w:val="00AF264B"/>
    <w:rsid w:val="00AF2821"/>
    <w:rsid w:val="00AF28C4"/>
    <w:rsid w:val="00AF28E9"/>
    <w:rsid w:val="00AF29B3"/>
    <w:rsid w:val="00AF29C7"/>
    <w:rsid w:val="00AF29CD"/>
    <w:rsid w:val="00AF2A70"/>
    <w:rsid w:val="00AF2AC4"/>
    <w:rsid w:val="00AF2B17"/>
    <w:rsid w:val="00AF2C1E"/>
    <w:rsid w:val="00AF2CED"/>
    <w:rsid w:val="00AF2DDA"/>
    <w:rsid w:val="00AF2E06"/>
    <w:rsid w:val="00AF2E40"/>
    <w:rsid w:val="00AF2E64"/>
    <w:rsid w:val="00AF2ECF"/>
    <w:rsid w:val="00AF2FB3"/>
    <w:rsid w:val="00AF2FC9"/>
    <w:rsid w:val="00AF3039"/>
    <w:rsid w:val="00AF3094"/>
    <w:rsid w:val="00AF3096"/>
    <w:rsid w:val="00AF30E5"/>
    <w:rsid w:val="00AF319B"/>
    <w:rsid w:val="00AF331B"/>
    <w:rsid w:val="00AF3325"/>
    <w:rsid w:val="00AF3371"/>
    <w:rsid w:val="00AF33E1"/>
    <w:rsid w:val="00AF3467"/>
    <w:rsid w:val="00AF351B"/>
    <w:rsid w:val="00AF353A"/>
    <w:rsid w:val="00AF3573"/>
    <w:rsid w:val="00AF3586"/>
    <w:rsid w:val="00AF358C"/>
    <w:rsid w:val="00AF36C3"/>
    <w:rsid w:val="00AF373C"/>
    <w:rsid w:val="00AF3748"/>
    <w:rsid w:val="00AF3750"/>
    <w:rsid w:val="00AF3842"/>
    <w:rsid w:val="00AF386F"/>
    <w:rsid w:val="00AF3927"/>
    <w:rsid w:val="00AF3937"/>
    <w:rsid w:val="00AF3A01"/>
    <w:rsid w:val="00AF3A09"/>
    <w:rsid w:val="00AF3B0D"/>
    <w:rsid w:val="00AF3BA7"/>
    <w:rsid w:val="00AF3BF3"/>
    <w:rsid w:val="00AF3C79"/>
    <w:rsid w:val="00AF3CCA"/>
    <w:rsid w:val="00AF3CDF"/>
    <w:rsid w:val="00AF3D26"/>
    <w:rsid w:val="00AF3D95"/>
    <w:rsid w:val="00AF3DD3"/>
    <w:rsid w:val="00AF3F18"/>
    <w:rsid w:val="00AF3FC2"/>
    <w:rsid w:val="00AF3FE8"/>
    <w:rsid w:val="00AF3FFF"/>
    <w:rsid w:val="00AF41E7"/>
    <w:rsid w:val="00AF4255"/>
    <w:rsid w:val="00AF430A"/>
    <w:rsid w:val="00AF436F"/>
    <w:rsid w:val="00AF439C"/>
    <w:rsid w:val="00AF4411"/>
    <w:rsid w:val="00AF44A6"/>
    <w:rsid w:val="00AF44D6"/>
    <w:rsid w:val="00AF44F7"/>
    <w:rsid w:val="00AF45C0"/>
    <w:rsid w:val="00AF462B"/>
    <w:rsid w:val="00AF4698"/>
    <w:rsid w:val="00AF473F"/>
    <w:rsid w:val="00AF4914"/>
    <w:rsid w:val="00AF49C7"/>
    <w:rsid w:val="00AF49DC"/>
    <w:rsid w:val="00AF4B3B"/>
    <w:rsid w:val="00AF4B8D"/>
    <w:rsid w:val="00AF4BCA"/>
    <w:rsid w:val="00AF4C00"/>
    <w:rsid w:val="00AF4CF0"/>
    <w:rsid w:val="00AF4D56"/>
    <w:rsid w:val="00AF4D8F"/>
    <w:rsid w:val="00AF4E4C"/>
    <w:rsid w:val="00AF4F47"/>
    <w:rsid w:val="00AF5005"/>
    <w:rsid w:val="00AF508F"/>
    <w:rsid w:val="00AF516B"/>
    <w:rsid w:val="00AF519A"/>
    <w:rsid w:val="00AF52AA"/>
    <w:rsid w:val="00AF5430"/>
    <w:rsid w:val="00AF5488"/>
    <w:rsid w:val="00AF55D4"/>
    <w:rsid w:val="00AF55E9"/>
    <w:rsid w:val="00AF564A"/>
    <w:rsid w:val="00AF5677"/>
    <w:rsid w:val="00AF56E5"/>
    <w:rsid w:val="00AF5718"/>
    <w:rsid w:val="00AF573B"/>
    <w:rsid w:val="00AF582E"/>
    <w:rsid w:val="00AF589B"/>
    <w:rsid w:val="00AF58AA"/>
    <w:rsid w:val="00AF58B8"/>
    <w:rsid w:val="00AF5990"/>
    <w:rsid w:val="00AF5A2F"/>
    <w:rsid w:val="00AF5A4D"/>
    <w:rsid w:val="00AF5AF5"/>
    <w:rsid w:val="00AF5BD9"/>
    <w:rsid w:val="00AF5D25"/>
    <w:rsid w:val="00AF5D7B"/>
    <w:rsid w:val="00AF5E9C"/>
    <w:rsid w:val="00AF5F7E"/>
    <w:rsid w:val="00AF6128"/>
    <w:rsid w:val="00AF6209"/>
    <w:rsid w:val="00AF62C9"/>
    <w:rsid w:val="00AF6330"/>
    <w:rsid w:val="00AF639D"/>
    <w:rsid w:val="00AF6540"/>
    <w:rsid w:val="00AF65C0"/>
    <w:rsid w:val="00AF6619"/>
    <w:rsid w:val="00AF6688"/>
    <w:rsid w:val="00AF676D"/>
    <w:rsid w:val="00AF6809"/>
    <w:rsid w:val="00AF68C4"/>
    <w:rsid w:val="00AF6913"/>
    <w:rsid w:val="00AF69FE"/>
    <w:rsid w:val="00AF6A1E"/>
    <w:rsid w:val="00AF6A40"/>
    <w:rsid w:val="00AF6AF2"/>
    <w:rsid w:val="00AF6C02"/>
    <w:rsid w:val="00AF6C04"/>
    <w:rsid w:val="00AF6C6F"/>
    <w:rsid w:val="00AF6D3B"/>
    <w:rsid w:val="00AF6D74"/>
    <w:rsid w:val="00AF6DAF"/>
    <w:rsid w:val="00AF6DCD"/>
    <w:rsid w:val="00AF6E45"/>
    <w:rsid w:val="00AF6E60"/>
    <w:rsid w:val="00AF6FD6"/>
    <w:rsid w:val="00AF703A"/>
    <w:rsid w:val="00AF70FC"/>
    <w:rsid w:val="00AF710E"/>
    <w:rsid w:val="00AF71A0"/>
    <w:rsid w:val="00AF71B7"/>
    <w:rsid w:val="00AF71BA"/>
    <w:rsid w:val="00AF71DC"/>
    <w:rsid w:val="00AF729D"/>
    <w:rsid w:val="00AF72B1"/>
    <w:rsid w:val="00AF7352"/>
    <w:rsid w:val="00AF73EC"/>
    <w:rsid w:val="00AF7426"/>
    <w:rsid w:val="00AF7467"/>
    <w:rsid w:val="00AF7582"/>
    <w:rsid w:val="00AF7587"/>
    <w:rsid w:val="00AF7793"/>
    <w:rsid w:val="00AF7802"/>
    <w:rsid w:val="00AF78A0"/>
    <w:rsid w:val="00AF792B"/>
    <w:rsid w:val="00AF7941"/>
    <w:rsid w:val="00AF79A4"/>
    <w:rsid w:val="00AF79BA"/>
    <w:rsid w:val="00AF79DE"/>
    <w:rsid w:val="00AF7B1D"/>
    <w:rsid w:val="00AF7B62"/>
    <w:rsid w:val="00AF7B81"/>
    <w:rsid w:val="00AF7BB7"/>
    <w:rsid w:val="00AF7CAC"/>
    <w:rsid w:val="00AF7D49"/>
    <w:rsid w:val="00AF7F02"/>
    <w:rsid w:val="00AF7FED"/>
    <w:rsid w:val="00B00026"/>
    <w:rsid w:val="00B00123"/>
    <w:rsid w:val="00B0012D"/>
    <w:rsid w:val="00B001C1"/>
    <w:rsid w:val="00B001FD"/>
    <w:rsid w:val="00B00216"/>
    <w:rsid w:val="00B002A3"/>
    <w:rsid w:val="00B003F7"/>
    <w:rsid w:val="00B004AA"/>
    <w:rsid w:val="00B00505"/>
    <w:rsid w:val="00B00580"/>
    <w:rsid w:val="00B005DB"/>
    <w:rsid w:val="00B007B0"/>
    <w:rsid w:val="00B00837"/>
    <w:rsid w:val="00B00853"/>
    <w:rsid w:val="00B00873"/>
    <w:rsid w:val="00B00875"/>
    <w:rsid w:val="00B008B4"/>
    <w:rsid w:val="00B008DA"/>
    <w:rsid w:val="00B0093F"/>
    <w:rsid w:val="00B00A00"/>
    <w:rsid w:val="00B00AE6"/>
    <w:rsid w:val="00B00AEB"/>
    <w:rsid w:val="00B00AFE"/>
    <w:rsid w:val="00B00B3F"/>
    <w:rsid w:val="00B00B9B"/>
    <w:rsid w:val="00B00D0C"/>
    <w:rsid w:val="00B00D5A"/>
    <w:rsid w:val="00B00D7B"/>
    <w:rsid w:val="00B00DA1"/>
    <w:rsid w:val="00B00E0B"/>
    <w:rsid w:val="00B00EC8"/>
    <w:rsid w:val="00B010C4"/>
    <w:rsid w:val="00B01105"/>
    <w:rsid w:val="00B0128D"/>
    <w:rsid w:val="00B012D4"/>
    <w:rsid w:val="00B01317"/>
    <w:rsid w:val="00B01329"/>
    <w:rsid w:val="00B01383"/>
    <w:rsid w:val="00B01408"/>
    <w:rsid w:val="00B01437"/>
    <w:rsid w:val="00B01562"/>
    <w:rsid w:val="00B015C4"/>
    <w:rsid w:val="00B015D8"/>
    <w:rsid w:val="00B01606"/>
    <w:rsid w:val="00B0160B"/>
    <w:rsid w:val="00B0160F"/>
    <w:rsid w:val="00B01750"/>
    <w:rsid w:val="00B01755"/>
    <w:rsid w:val="00B01A27"/>
    <w:rsid w:val="00B01A92"/>
    <w:rsid w:val="00B01AF3"/>
    <w:rsid w:val="00B01AFD"/>
    <w:rsid w:val="00B01B20"/>
    <w:rsid w:val="00B01B91"/>
    <w:rsid w:val="00B01BCF"/>
    <w:rsid w:val="00B01D33"/>
    <w:rsid w:val="00B01DCA"/>
    <w:rsid w:val="00B01DD2"/>
    <w:rsid w:val="00B01F3B"/>
    <w:rsid w:val="00B01F74"/>
    <w:rsid w:val="00B01FA5"/>
    <w:rsid w:val="00B020C0"/>
    <w:rsid w:val="00B020F3"/>
    <w:rsid w:val="00B021D9"/>
    <w:rsid w:val="00B02400"/>
    <w:rsid w:val="00B024C0"/>
    <w:rsid w:val="00B02531"/>
    <w:rsid w:val="00B02557"/>
    <w:rsid w:val="00B025AB"/>
    <w:rsid w:val="00B025F0"/>
    <w:rsid w:val="00B02623"/>
    <w:rsid w:val="00B02639"/>
    <w:rsid w:val="00B02803"/>
    <w:rsid w:val="00B028B1"/>
    <w:rsid w:val="00B02947"/>
    <w:rsid w:val="00B02971"/>
    <w:rsid w:val="00B029A6"/>
    <w:rsid w:val="00B029B3"/>
    <w:rsid w:val="00B02A57"/>
    <w:rsid w:val="00B02A9A"/>
    <w:rsid w:val="00B02BD9"/>
    <w:rsid w:val="00B02CE8"/>
    <w:rsid w:val="00B02D5E"/>
    <w:rsid w:val="00B02DF9"/>
    <w:rsid w:val="00B02E77"/>
    <w:rsid w:val="00B02EC8"/>
    <w:rsid w:val="00B02F1A"/>
    <w:rsid w:val="00B02F20"/>
    <w:rsid w:val="00B030BC"/>
    <w:rsid w:val="00B03146"/>
    <w:rsid w:val="00B03154"/>
    <w:rsid w:val="00B0316C"/>
    <w:rsid w:val="00B0318F"/>
    <w:rsid w:val="00B032DB"/>
    <w:rsid w:val="00B03327"/>
    <w:rsid w:val="00B0342F"/>
    <w:rsid w:val="00B03445"/>
    <w:rsid w:val="00B034B5"/>
    <w:rsid w:val="00B035DE"/>
    <w:rsid w:val="00B0360E"/>
    <w:rsid w:val="00B036F7"/>
    <w:rsid w:val="00B0372A"/>
    <w:rsid w:val="00B0378F"/>
    <w:rsid w:val="00B037DA"/>
    <w:rsid w:val="00B038B9"/>
    <w:rsid w:val="00B0395A"/>
    <w:rsid w:val="00B03964"/>
    <w:rsid w:val="00B03C01"/>
    <w:rsid w:val="00B03C0E"/>
    <w:rsid w:val="00B03CB4"/>
    <w:rsid w:val="00B03D12"/>
    <w:rsid w:val="00B03DA1"/>
    <w:rsid w:val="00B03DB5"/>
    <w:rsid w:val="00B03E40"/>
    <w:rsid w:val="00B04039"/>
    <w:rsid w:val="00B04077"/>
    <w:rsid w:val="00B04148"/>
    <w:rsid w:val="00B0417C"/>
    <w:rsid w:val="00B04224"/>
    <w:rsid w:val="00B04256"/>
    <w:rsid w:val="00B0426E"/>
    <w:rsid w:val="00B04380"/>
    <w:rsid w:val="00B043EF"/>
    <w:rsid w:val="00B04442"/>
    <w:rsid w:val="00B044EE"/>
    <w:rsid w:val="00B0455B"/>
    <w:rsid w:val="00B045A1"/>
    <w:rsid w:val="00B0463A"/>
    <w:rsid w:val="00B04754"/>
    <w:rsid w:val="00B0477F"/>
    <w:rsid w:val="00B047A1"/>
    <w:rsid w:val="00B047A9"/>
    <w:rsid w:val="00B048A6"/>
    <w:rsid w:val="00B048DD"/>
    <w:rsid w:val="00B048F4"/>
    <w:rsid w:val="00B048FA"/>
    <w:rsid w:val="00B049A1"/>
    <w:rsid w:val="00B049B0"/>
    <w:rsid w:val="00B04A38"/>
    <w:rsid w:val="00B04A6E"/>
    <w:rsid w:val="00B04ADF"/>
    <w:rsid w:val="00B04C79"/>
    <w:rsid w:val="00B04CDE"/>
    <w:rsid w:val="00B04CFB"/>
    <w:rsid w:val="00B04DB4"/>
    <w:rsid w:val="00B05067"/>
    <w:rsid w:val="00B05285"/>
    <w:rsid w:val="00B052DA"/>
    <w:rsid w:val="00B053E3"/>
    <w:rsid w:val="00B05521"/>
    <w:rsid w:val="00B05534"/>
    <w:rsid w:val="00B0555A"/>
    <w:rsid w:val="00B055A5"/>
    <w:rsid w:val="00B0563F"/>
    <w:rsid w:val="00B05656"/>
    <w:rsid w:val="00B056BF"/>
    <w:rsid w:val="00B0572F"/>
    <w:rsid w:val="00B05762"/>
    <w:rsid w:val="00B05765"/>
    <w:rsid w:val="00B05773"/>
    <w:rsid w:val="00B057FE"/>
    <w:rsid w:val="00B05821"/>
    <w:rsid w:val="00B058B5"/>
    <w:rsid w:val="00B05990"/>
    <w:rsid w:val="00B059B1"/>
    <w:rsid w:val="00B05A48"/>
    <w:rsid w:val="00B05A84"/>
    <w:rsid w:val="00B05AC4"/>
    <w:rsid w:val="00B05B6C"/>
    <w:rsid w:val="00B05C72"/>
    <w:rsid w:val="00B05C8E"/>
    <w:rsid w:val="00B05D00"/>
    <w:rsid w:val="00B05D2D"/>
    <w:rsid w:val="00B05D2E"/>
    <w:rsid w:val="00B060ED"/>
    <w:rsid w:val="00B06126"/>
    <w:rsid w:val="00B06181"/>
    <w:rsid w:val="00B061D0"/>
    <w:rsid w:val="00B06383"/>
    <w:rsid w:val="00B06497"/>
    <w:rsid w:val="00B0649E"/>
    <w:rsid w:val="00B06511"/>
    <w:rsid w:val="00B06603"/>
    <w:rsid w:val="00B06646"/>
    <w:rsid w:val="00B066E8"/>
    <w:rsid w:val="00B0674E"/>
    <w:rsid w:val="00B06790"/>
    <w:rsid w:val="00B069BF"/>
    <w:rsid w:val="00B069F8"/>
    <w:rsid w:val="00B06B8E"/>
    <w:rsid w:val="00B06BCE"/>
    <w:rsid w:val="00B06C41"/>
    <w:rsid w:val="00B06CE3"/>
    <w:rsid w:val="00B06D81"/>
    <w:rsid w:val="00B07034"/>
    <w:rsid w:val="00B07071"/>
    <w:rsid w:val="00B07079"/>
    <w:rsid w:val="00B070DD"/>
    <w:rsid w:val="00B071BF"/>
    <w:rsid w:val="00B071E5"/>
    <w:rsid w:val="00B0724F"/>
    <w:rsid w:val="00B073FB"/>
    <w:rsid w:val="00B0750E"/>
    <w:rsid w:val="00B0760A"/>
    <w:rsid w:val="00B0770F"/>
    <w:rsid w:val="00B077CC"/>
    <w:rsid w:val="00B077EE"/>
    <w:rsid w:val="00B07830"/>
    <w:rsid w:val="00B07A6F"/>
    <w:rsid w:val="00B07AA8"/>
    <w:rsid w:val="00B07B5A"/>
    <w:rsid w:val="00B07B5E"/>
    <w:rsid w:val="00B07CD6"/>
    <w:rsid w:val="00B07D51"/>
    <w:rsid w:val="00B07DE8"/>
    <w:rsid w:val="00B07E37"/>
    <w:rsid w:val="00B07E5D"/>
    <w:rsid w:val="00B07F75"/>
    <w:rsid w:val="00B07FFB"/>
    <w:rsid w:val="00B101F2"/>
    <w:rsid w:val="00B10281"/>
    <w:rsid w:val="00B1033D"/>
    <w:rsid w:val="00B104B6"/>
    <w:rsid w:val="00B10513"/>
    <w:rsid w:val="00B10546"/>
    <w:rsid w:val="00B105E5"/>
    <w:rsid w:val="00B1068C"/>
    <w:rsid w:val="00B10724"/>
    <w:rsid w:val="00B1075F"/>
    <w:rsid w:val="00B10893"/>
    <w:rsid w:val="00B108C6"/>
    <w:rsid w:val="00B10989"/>
    <w:rsid w:val="00B109C4"/>
    <w:rsid w:val="00B109FD"/>
    <w:rsid w:val="00B10B66"/>
    <w:rsid w:val="00B10B77"/>
    <w:rsid w:val="00B10BDF"/>
    <w:rsid w:val="00B10C57"/>
    <w:rsid w:val="00B10C6D"/>
    <w:rsid w:val="00B10CC7"/>
    <w:rsid w:val="00B10D93"/>
    <w:rsid w:val="00B10D9D"/>
    <w:rsid w:val="00B10EEC"/>
    <w:rsid w:val="00B10F14"/>
    <w:rsid w:val="00B10FB1"/>
    <w:rsid w:val="00B10FBD"/>
    <w:rsid w:val="00B10FC9"/>
    <w:rsid w:val="00B10FF0"/>
    <w:rsid w:val="00B1103A"/>
    <w:rsid w:val="00B110D6"/>
    <w:rsid w:val="00B11134"/>
    <w:rsid w:val="00B111E6"/>
    <w:rsid w:val="00B11220"/>
    <w:rsid w:val="00B1123D"/>
    <w:rsid w:val="00B112C5"/>
    <w:rsid w:val="00B112DA"/>
    <w:rsid w:val="00B112DB"/>
    <w:rsid w:val="00B114C7"/>
    <w:rsid w:val="00B115A6"/>
    <w:rsid w:val="00B115EF"/>
    <w:rsid w:val="00B117B3"/>
    <w:rsid w:val="00B1186D"/>
    <w:rsid w:val="00B118B9"/>
    <w:rsid w:val="00B118DD"/>
    <w:rsid w:val="00B11958"/>
    <w:rsid w:val="00B119A1"/>
    <w:rsid w:val="00B11A52"/>
    <w:rsid w:val="00B11AA4"/>
    <w:rsid w:val="00B11B0D"/>
    <w:rsid w:val="00B11BF4"/>
    <w:rsid w:val="00B11C27"/>
    <w:rsid w:val="00B11C3B"/>
    <w:rsid w:val="00B11C49"/>
    <w:rsid w:val="00B11C86"/>
    <w:rsid w:val="00B11CB1"/>
    <w:rsid w:val="00B11D85"/>
    <w:rsid w:val="00B11DB5"/>
    <w:rsid w:val="00B11E1A"/>
    <w:rsid w:val="00B11E4E"/>
    <w:rsid w:val="00B11EBC"/>
    <w:rsid w:val="00B11F8B"/>
    <w:rsid w:val="00B120ED"/>
    <w:rsid w:val="00B1212C"/>
    <w:rsid w:val="00B12170"/>
    <w:rsid w:val="00B1218A"/>
    <w:rsid w:val="00B1258C"/>
    <w:rsid w:val="00B125B2"/>
    <w:rsid w:val="00B12654"/>
    <w:rsid w:val="00B1265D"/>
    <w:rsid w:val="00B126EC"/>
    <w:rsid w:val="00B1274D"/>
    <w:rsid w:val="00B128AF"/>
    <w:rsid w:val="00B128E3"/>
    <w:rsid w:val="00B1291D"/>
    <w:rsid w:val="00B12948"/>
    <w:rsid w:val="00B12985"/>
    <w:rsid w:val="00B1299D"/>
    <w:rsid w:val="00B129FB"/>
    <w:rsid w:val="00B12A72"/>
    <w:rsid w:val="00B12B3A"/>
    <w:rsid w:val="00B12B6C"/>
    <w:rsid w:val="00B12B9F"/>
    <w:rsid w:val="00B12C51"/>
    <w:rsid w:val="00B12D5A"/>
    <w:rsid w:val="00B12DBF"/>
    <w:rsid w:val="00B12DD1"/>
    <w:rsid w:val="00B12EE0"/>
    <w:rsid w:val="00B13097"/>
    <w:rsid w:val="00B130AA"/>
    <w:rsid w:val="00B130CF"/>
    <w:rsid w:val="00B133E0"/>
    <w:rsid w:val="00B133FC"/>
    <w:rsid w:val="00B13642"/>
    <w:rsid w:val="00B1383E"/>
    <w:rsid w:val="00B138CF"/>
    <w:rsid w:val="00B139CE"/>
    <w:rsid w:val="00B13AA0"/>
    <w:rsid w:val="00B13ABC"/>
    <w:rsid w:val="00B13AC2"/>
    <w:rsid w:val="00B13B75"/>
    <w:rsid w:val="00B13BA0"/>
    <w:rsid w:val="00B13C06"/>
    <w:rsid w:val="00B13C0A"/>
    <w:rsid w:val="00B13C61"/>
    <w:rsid w:val="00B13CF5"/>
    <w:rsid w:val="00B13D05"/>
    <w:rsid w:val="00B13D0B"/>
    <w:rsid w:val="00B13D0C"/>
    <w:rsid w:val="00B13EDD"/>
    <w:rsid w:val="00B13F94"/>
    <w:rsid w:val="00B13FEE"/>
    <w:rsid w:val="00B140AD"/>
    <w:rsid w:val="00B14120"/>
    <w:rsid w:val="00B14138"/>
    <w:rsid w:val="00B141DE"/>
    <w:rsid w:val="00B142B8"/>
    <w:rsid w:val="00B14405"/>
    <w:rsid w:val="00B14581"/>
    <w:rsid w:val="00B145E2"/>
    <w:rsid w:val="00B14621"/>
    <w:rsid w:val="00B14637"/>
    <w:rsid w:val="00B1473F"/>
    <w:rsid w:val="00B1475E"/>
    <w:rsid w:val="00B1496F"/>
    <w:rsid w:val="00B14A35"/>
    <w:rsid w:val="00B14AE0"/>
    <w:rsid w:val="00B14BE2"/>
    <w:rsid w:val="00B14BE9"/>
    <w:rsid w:val="00B14C1A"/>
    <w:rsid w:val="00B14D28"/>
    <w:rsid w:val="00B14D80"/>
    <w:rsid w:val="00B14D93"/>
    <w:rsid w:val="00B14DB8"/>
    <w:rsid w:val="00B14E4C"/>
    <w:rsid w:val="00B14F21"/>
    <w:rsid w:val="00B14F71"/>
    <w:rsid w:val="00B1501B"/>
    <w:rsid w:val="00B15051"/>
    <w:rsid w:val="00B15075"/>
    <w:rsid w:val="00B1507D"/>
    <w:rsid w:val="00B1511A"/>
    <w:rsid w:val="00B151D9"/>
    <w:rsid w:val="00B153AF"/>
    <w:rsid w:val="00B15412"/>
    <w:rsid w:val="00B1558F"/>
    <w:rsid w:val="00B155B8"/>
    <w:rsid w:val="00B156BE"/>
    <w:rsid w:val="00B15715"/>
    <w:rsid w:val="00B1574E"/>
    <w:rsid w:val="00B15750"/>
    <w:rsid w:val="00B15771"/>
    <w:rsid w:val="00B158FC"/>
    <w:rsid w:val="00B158FE"/>
    <w:rsid w:val="00B159CD"/>
    <w:rsid w:val="00B15A77"/>
    <w:rsid w:val="00B15B02"/>
    <w:rsid w:val="00B15EC5"/>
    <w:rsid w:val="00B15F6E"/>
    <w:rsid w:val="00B15F71"/>
    <w:rsid w:val="00B16006"/>
    <w:rsid w:val="00B16081"/>
    <w:rsid w:val="00B160FF"/>
    <w:rsid w:val="00B16180"/>
    <w:rsid w:val="00B1620F"/>
    <w:rsid w:val="00B16375"/>
    <w:rsid w:val="00B163ED"/>
    <w:rsid w:val="00B163F6"/>
    <w:rsid w:val="00B1641D"/>
    <w:rsid w:val="00B1664E"/>
    <w:rsid w:val="00B166C4"/>
    <w:rsid w:val="00B16794"/>
    <w:rsid w:val="00B16883"/>
    <w:rsid w:val="00B1692B"/>
    <w:rsid w:val="00B169F5"/>
    <w:rsid w:val="00B16AA0"/>
    <w:rsid w:val="00B16AB9"/>
    <w:rsid w:val="00B16BB5"/>
    <w:rsid w:val="00B16BB8"/>
    <w:rsid w:val="00B16BE7"/>
    <w:rsid w:val="00B16CD0"/>
    <w:rsid w:val="00B16E15"/>
    <w:rsid w:val="00B16E94"/>
    <w:rsid w:val="00B16EBD"/>
    <w:rsid w:val="00B16EBE"/>
    <w:rsid w:val="00B16F83"/>
    <w:rsid w:val="00B16FD6"/>
    <w:rsid w:val="00B16FE5"/>
    <w:rsid w:val="00B17038"/>
    <w:rsid w:val="00B1707B"/>
    <w:rsid w:val="00B170E0"/>
    <w:rsid w:val="00B17282"/>
    <w:rsid w:val="00B1728E"/>
    <w:rsid w:val="00B172D5"/>
    <w:rsid w:val="00B173A0"/>
    <w:rsid w:val="00B174A7"/>
    <w:rsid w:val="00B174E3"/>
    <w:rsid w:val="00B17521"/>
    <w:rsid w:val="00B17552"/>
    <w:rsid w:val="00B176B0"/>
    <w:rsid w:val="00B176CA"/>
    <w:rsid w:val="00B177C5"/>
    <w:rsid w:val="00B177D0"/>
    <w:rsid w:val="00B177D5"/>
    <w:rsid w:val="00B17873"/>
    <w:rsid w:val="00B178B4"/>
    <w:rsid w:val="00B1791B"/>
    <w:rsid w:val="00B17975"/>
    <w:rsid w:val="00B17A28"/>
    <w:rsid w:val="00B17B93"/>
    <w:rsid w:val="00B17BA1"/>
    <w:rsid w:val="00B17BE3"/>
    <w:rsid w:val="00B17D9B"/>
    <w:rsid w:val="00B17E51"/>
    <w:rsid w:val="00B17E85"/>
    <w:rsid w:val="00B17E8B"/>
    <w:rsid w:val="00B17F1F"/>
    <w:rsid w:val="00B17FCC"/>
    <w:rsid w:val="00B17FEB"/>
    <w:rsid w:val="00B2000F"/>
    <w:rsid w:val="00B200E3"/>
    <w:rsid w:val="00B201A1"/>
    <w:rsid w:val="00B201D1"/>
    <w:rsid w:val="00B20215"/>
    <w:rsid w:val="00B202D8"/>
    <w:rsid w:val="00B20351"/>
    <w:rsid w:val="00B20373"/>
    <w:rsid w:val="00B2041E"/>
    <w:rsid w:val="00B2054E"/>
    <w:rsid w:val="00B2059C"/>
    <w:rsid w:val="00B205E7"/>
    <w:rsid w:val="00B205EE"/>
    <w:rsid w:val="00B20663"/>
    <w:rsid w:val="00B206ED"/>
    <w:rsid w:val="00B207FE"/>
    <w:rsid w:val="00B20863"/>
    <w:rsid w:val="00B208AA"/>
    <w:rsid w:val="00B208DE"/>
    <w:rsid w:val="00B2097A"/>
    <w:rsid w:val="00B20AAA"/>
    <w:rsid w:val="00B20B32"/>
    <w:rsid w:val="00B20B7F"/>
    <w:rsid w:val="00B20C1E"/>
    <w:rsid w:val="00B20C5A"/>
    <w:rsid w:val="00B20C75"/>
    <w:rsid w:val="00B20CC6"/>
    <w:rsid w:val="00B20D90"/>
    <w:rsid w:val="00B20E4A"/>
    <w:rsid w:val="00B20E4B"/>
    <w:rsid w:val="00B20F72"/>
    <w:rsid w:val="00B20FAD"/>
    <w:rsid w:val="00B20FF9"/>
    <w:rsid w:val="00B21003"/>
    <w:rsid w:val="00B21117"/>
    <w:rsid w:val="00B21148"/>
    <w:rsid w:val="00B2118A"/>
    <w:rsid w:val="00B2123C"/>
    <w:rsid w:val="00B212B6"/>
    <w:rsid w:val="00B213CC"/>
    <w:rsid w:val="00B213D3"/>
    <w:rsid w:val="00B215FD"/>
    <w:rsid w:val="00B2161C"/>
    <w:rsid w:val="00B2167D"/>
    <w:rsid w:val="00B216A2"/>
    <w:rsid w:val="00B216D1"/>
    <w:rsid w:val="00B217FC"/>
    <w:rsid w:val="00B2187F"/>
    <w:rsid w:val="00B218B5"/>
    <w:rsid w:val="00B218F7"/>
    <w:rsid w:val="00B21901"/>
    <w:rsid w:val="00B21964"/>
    <w:rsid w:val="00B219CC"/>
    <w:rsid w:val="00B21A9C"/>
    <w:rsid w:val="00B21B94"/>
    <w:rsid w:val="00B21BB8"/>
    <w:rsid w:val="00B21E0B"/>
    <w:rsid w:val="00B21EDE"/>
    <w:rsid w:val="00B21F76"/>
    <w:rsid w:val="00B21F90"/>
    <w:rsid w:val="00B22059"/>
    <w:rsid w:val="00B221BF"/>
    <w:rsid w:val="00B22261"/>
    <w:rsid w:val="00B222C7"/>
    <w:rsid w:val="00B22432"/>
    <w:rsid w:val="00B224DF"/>
    <w:rsid w:val="00B2258B"/>
    <w:rsid w:val="00B225D6"/>
    <w:rsid w:val="00B22664"/>
    <w:rsid w:val="00B227CD"/>
    <w:rsid w:val="00B2293E"/>
    <w:rsid w:val="00B2294A"/>
    <w:rsid w:val="00B2296B"/>
    <w:rsid w:val="00B22A0A"/>
    <w:rsid w:val="00B22ACD"/>
    <w:rsid w:val="00B22B49"/>
    <w:rsid w:val="00B22CDA"/>
    <w:rsid w:val="00B22D5B"/>
    <w:rsid w:val="00B22E29"/>
    <w:rsid w:val="00B22F4A"/>
    <w:rsid w:val="00B23019"/>
    <w:rsid w:val="00B230C7"/>
    <w:rsid w:val="00B230C8"/>
    <w:rsid w:val="00B23258"/>
    <w:rsid w:val="00B232AE"/>
    <w:rsid w:val="00B232F3"/>
    <w:rsid w:val="00B236DA"/>
    <w:rsid w:val="00B2375D"/>
    <w:rsid w:val="00B23760"/>
    <w:rsid w:val="00B23764"/>
    <w:rsid w:val="00B23803"/>
    <w:rsid w:val="00B23819"/>
    <w:rsid w:val="00B23892"/>
    <w:rsid w:val="00B23893"/>
    <w:rsid w:val="00B23A06"/>
    <w:rsid w:val="00B23A08"/>
    <w:rsid w:val="00B23A95"/>
    <w:rsid w:val="00B23CE1"/>
    <w:rsid w:val="00B23E5C"/>
    <w:rsid w:val="00B23ED9"/>
    <w:rsid w:val="00B24053"/>
    <w:rsid w:val="00B24093"/>
    <w:rsid w:val="00B24096"/>
    <w:rsid w:val="00B2413D"/>
    <w:rsid w:val="00B24163"/>
    <w:rsid w:val="00B24170"/>
    <w:rsid w:val="00B24203"/>
    <w:rsid w:val="00B24283"/>
    <w:rsid w:val="00B2428D"/>
    <w:rsid w:val="00B242D7"/>
    <w:rsid w:val="00B2439C"/>
    <w:rsid w:val="00B24409"/>
    <w:rsid w:val="00B244FC"/>
    <w:rsid w:val="00B24553"/>
    <w:rsid w:val="00B24696"/>
    <w:rsid w:val="00B2470F"/>
    <w:rsid w:val="00B24742"/>
    <w:rsid w:val="00B2476D"/>
    <w:rsid w:val="00B247FC"/>
    <w:rsid w:val="00B2486A"/>
    <w:rsid w:val="00B248A5"/>
    <w:rsid w:val="00B24915"/>
    <w:rsid w:val="00B249AF"/>
    <w:rsid w:val="00B24A1A"/>
    <w:rsid w:val="00B24AF4"/>
    <w:rsid w:val="00B24CE0"/>
    <w:rsid w:val="00B24D8A"/>
    <w:rsid w:val="00B24DF0"/>
    <w:rsid w:val="00B25105"/>
    <w:rsid w:val="00B2514E"/>
    <w:rsid w:val="00B252E9"/>
    <w:rsid w:val="00B2536F"/>
    <w:rsid w:val="00B25379"/>
    <w:rsid w:val="00B25477"/>
    <w:rsid w:val="00B2547B"/>
    <w:rsid w:val="00B254CC"/>
    <w:rsid w:val="00B25553"/>
    <w:rsid w:val="00B25729"/>
    <w:rsid w:val="00B257FD"/>
    <w:rsid w:val="00B258A7"/>
    <w:rsid w:val="00B25A2C"/>
    <w:rsid w:val="00B25A4B"/>
    <w:rsid w:val="00B25B1B"/>
    <w:rsid w:val="00B25B68"/>
    <w:rsid w:val="00B25B98"/>
    <w:rsid w:val="00B25B9A"/>
    <w:rsid w:val="00B25BE6"/>
    <w:rsid w:val="00B25CBD"/>
    <w:rsid w:val="00B25CC3"/>
    <w:rsid w:val="00B25D9A"/>
    <w:rsid w:val="00B25DAB"/>
    <w:rsid w:val="00B25E1A"/>
    <w:rsid w:val="00B25E32"/>
    <w:rsid w:val="00B25E63"/>
    <w:rsid w:val="00B25E8C"/>
    <w:rsid w:val="00B25ECF"/>
    <w:rsid w:val="00B260B5"/>
    <w:rsid w:val="00B260EC"/>
    <w:rsid w:val="00B26156"/>
    <w:rsid w:val="00B2619A"/>
    <w:rsid w:val="00B26365"/>
    <w:rsid w:val="00B263C7"/>
    <w:rsid w:val="00B26426"/>
    <w:rsid w:val="00B2649D"/>
    <w:rsid w:val="00B264CB"/>
    <w:rsid w:val="00B2650E"/>
    <w:rsid w:val="00B265FE"/>
    <w:rsid w:val="00B26672"/>
    <w:rsid w:val="00B26674"/>
    <w:rsid w:val="00B2668E"/>
    <w:rsid w:val="00B2673B"/>
    <w:rsid w:val="00B2673D"/>
    <w:rsid w:val="00B267E1"/>
    <w:rsid w:val="00B267FE"/>
    <w:rsid w:val="00B2688A"/>
    <w:rsid w:val="00B2689C"/>
    <w:rsid w:val="00B26917"/>
    <w:rsid w:val="00B269EE"/>
    <w:rsid w:val="00B26A68"/>
    <w:rsid w:val="00B26AA8"/>
    <w:rsid w:val="00B26C4B"/>
    <w:rsid w:val="00B26CA1"/>
    <w:rsid w:val="00B26D79"/>
    <w:rsid w:val="00B26E53"/>
    <w:rsid w:val="00B26E62"/>
    <w:rsid w:val="00B26E6C"/>
    <w:rsid w:val="00B26E6F"/>
    <w:rsid w:val="00B26F69"/>
    <w:rsid w:val="00B27082"/>
    <w:rsid w:val="00B270A6"/>
    <w:rsid w:val="00B2718E"/>
    <w:rsid w:val="00B2719B"/>
    <w:rsid w:val="00B27231"/>
    <w:rsid w:val="00B27315"/>
    <w:rsid w:val="00B27353"/>
    <w:rsid w:val="00B27400"/>
    <w:rsid w:val="00B274F2"/>
    <w:rsid w:val="00B27668"/>
    <w:rsid w:val="00B2767E"/>
    <w:rsid w:val="00B276BF"/>
    <w:rsid w:val="00B276E6"/>
    <w:rsid w:val="00B2780D"/>
    <w:rsid w:val="00B27835"/>
    <w:rsid w:val="00B27853"/>
    <w:rsid w:val="00B2786E"/>
    <w:rsid w:val="00B2789A"/>
    <w:rsid w:val="00B27A32"/>
    <w:rsid w:val="00B27A7F"/>
    <w:rsid w:val="00B27B8A"/>
    <w:rsid w:val="00B27B8C"/>
    <w:rsid w:val="00B27BF9"/>
    <w:rsid w:val="00B27CB5"/>
    <w:rsid w:val="00B27CF7"/>
    <w:rsid w:val="00B27E39"/>
    <w:rsid w:val="00B27F20"/>
    <w:rsid w:val="00B27F77"/>
    <w:rsid w:val="00B30207"/>
    <w:rsid w:val="00B30357"/>
    <w:rsid w:val="00B3047E"/>
    <w:rsid w:val="00B304D9"/>
    <w:rsid w:val="00B30519"/>
    <w:rsid w:val="00B3057A"/>
    <w:rsid w:val="00B305BF"/>
    <w:rsid w:val="00B30647"/>
    <w:rsid w:val="00B306D6"/>
    <w:rsid w:val="00B306FF"/>
    <w:rsid w:val="00B30711"/>
    <w:rsid w:val="00B3077C"/>
    <w:rsid w:val="00B307A9"/>
    <w:rsid w:val="00B307E9"/>
    <w:rsid w:val="00B30832"/>
    <w:rsid w:val="00B308CC"/>
    <w:rsid w:val="00B308CD"/>
    <w:rsid w:val="00B3093C"/>
    <w:rsid w:val="00B30949"/>
    <w:rsid w:val="00B30A31"/>
    <w:rsid w:val="00B30A76"/>
    <w:rsid w:val="00B30B67"/>
    <w:rsid w:val="00B30F37"/>
    <w:rsid w:val="00B31119"/>
    <w:rsid w:val="00B311A8"/>
    <w:rsid w:val="00B311FC"/>
    <w:rsid w:val="00B31247"/>
    <w:rsid w:val="00B31319"/>
    <w:rsid w:val="00B31351"/>
    <w:rsid w:val="00B314CF"/>
    <w:rsid w:val="00B314EA"/>
    <w:rsid w:val="00B315B1"/>
    <w:rsid w:val="00B3162C"/>
    <w:rsid w:val="00B31634"/>
    <w:rsid w:val="00B3163F"/>
    <w:rsid w:val="00B31785"/>
    <w:rsid w:val="00B31848"/>
    <w:rsid w:val="00B318C8"/>
    <w:rsid w:val="00B3197A"/>
    <w:rsid w:val="00B31A9C"/>
    <w:rsid w:val="00B31ACA"/>
    <w:rsid w:val="00B31B1D"/>
    <w:rsid w:val="00B31B4B"/>
    <w:rsid w:val="00B31B9A"/>
    <w:rsid w:val="00B31BA6"/>
    <w:rsid w:val="00B31E08"/>
    <w:rsid w:val="00B31E76"/>
    <w:rsid w:val="00B31E80"/>
    <w:rsid w:val="00B31EFF"/>
    <w:rsid w:val="00B31F24"/>
    <w:rsid w:val="00B32090"/>
    <w:rsid w:val="00B320B2"/>
    <w:rsid w:val="00B320B6"/>
    <w:rsid w:val="00B320D9"/>
    <w:rsid w:val="00B32145"/>
    <w:rsid w:val="00B321BD"/>
    <w:rsid w:val="00B321CA"/>
    <w:rsid w:val="00B32228"/>
    <w:rsid w:val="00B3254C"/>
    <w:rsid w:val="00B325AB"/>
    <w:rsid w:val="00B32702"/>
    <w:rsid w:val="00B3270F"/>
    <w:rsid w:val="00B327B5"/>
    <w:rsid w:val="00B327E7"/>
    <w:rsid w:val="00B328D0"/>
    <w:rsid w:val="00B32914"/>
    <w:rsid w:val="00B3295F"/>
    <w:rsid w:val="00B32A6B"/>
    <w:rsid w:val="00B32AEC"/>
    <w:rsid w:val="00B32C18"/>
    <w:rsid w:val="00B32D0D"/>
    <w:rsid w:val="00B32D12"/>
    <w:rsid w:val="00B32D3E"/>
    <w:rsid w:val="00B32D6A"/>
    <w:rsid w:val="00B32D82"/>
    <w:rsid w:val="00B32DFA"/>
    <w:rsid w:val="00B32E21"/>
    <w:rsid w:val="00B32EDB"/>
    <w:rsid w:val="00B32EF6"/>
    <w:rsid w:val="00B32F2C"/>
    <w:rsid w:val="00B32F40"/>
    <w:rsid w:val="00B32F51"/>
    <w:rsid w:val="00B32FFF"/>
    <w:rsid w:val="00B330DC"/>
    <w:rsid w:val="00B33210"/>
    <w:rsid w:val="00B332A8"/>
    <w:rsid w:val="00B333C3"/>
    <w:rsid w:val="00B3354C"/>
    <w:rsid w:val="00B33555"/>
    <w:rsid w:val="00B33570"/>
    <w:rsid w:val="00B33662"/>
    <w:rsid w:val="00B3366E"/>
    <w:rsid w:val="00B33682"/>
    <w:rsid w:val="00B336E6"/>
    <w:rsid w:val="00B33858"/>
    <w:rsid w:val="00B3394C"/>
    <w:rsid w:val="00B339A9"/>
    <w:rsid w:val="00B33B1C"/>
    <w:rsid w:val="00B33C78"/>
    <w:rsid w:val="00B33D0E"/>
    <w:rsid w:val="00B33DD5"/>
    <w:rsid w:val="00B33DDA"/>
    <w:rsid w:val="00B33E18"/>
    <w:rsid w:val="00B33E9C"/>
    <w:rsid w:val="00B33F2D"/>
    <w:rsid w:val="00B3407E"/>
    <w:rsid w:val="00B3408F"/>
    <w:rsid w:val="00B3412F"/>
    <w:rsid w:val="00B34143"/>
    <w:rsid w:val="00B3423A"/>
    <w:rsid w:val="00B34256"/>
    <w:rsid w:val="00B34366"/>
    <w:rsid w:val="00B343D1"/>
    <w:rsid w:val="00B346A3"/>
    <w:rsid w:val="00B3480D"/>
    <w:rsid w:val="00B348CF"/>
    <w:rsid w:val="00B34934"/>
    <w:rsid w:val="00B349AE"/>
    <w:rsid w:val="00B349D6"/>
    <w:rsid w:val="00B349F9"/>
    <w:rsid w:val="00B34A99"/>
    <w:rsid w:val="00B34B77"/>
    <w:rsid w:val="00B34BB6"/>
    <w:rsid w:val="00B34D34"/>
    <w:rsid w:val="00B34D42"/>
    <w:rsid w:val="00B34D6C"/>
    <w:rsid w:val="00B34EEE"/>
    <w:rsid w:val="00B34F24"/>
    <w:rsid w:val="00B34FDF"/>
    <w:rsid w:val="00B34FEA"/>
    <w:rsid w:val="00B35064"/>
    <w:rsid w:val="00B35086"/>
    <w:rsid w:val="00B350A3"/>
    <w:rsid w:val="00B35122"/>
    <w:rsid w:val="00B3513F"/>
    <w:rsid w:val="00B351FF"/>
    <w:rsid w:val="00B35247"/>
    <w:rsid w:val="00B3524A"/>
    <w:rsid w:val="00B35332"/>
    <w:rsid w:val="00B353FF"/>
    <w:rsid w:val="00B354AE"/>
    <w:rsid w:val="00B3556E"/>
    <w:rsid w:val="00B3557E"/>
    <w:rsid w:val="00B3557F"/>
    <w:rsid w:val="00B355CB"/>
    <w:rsid w:val="00B35624"/>
    <w:rsid w:val="00B35647"/>
    <w:rsid w:val="00B35693"/>
    <w:rsid w:val="00B356A1"/>
    <w:rsid w:val="00B357AF"/>
    <w:rsid w:val="00B3590F"/>
    <w:rsid w:val="00B35926"/>
    <w:rsid w:val="00B35A1D"/>
    <w:rsid w:val="00B35A2C"/>
    <w:rsid w:val="00B35A41"/>
    <w:rsid w:val="00B35B3A"/>
    <w:rsid w:val="00B35C83"/>
    <w:rsid w:val="00B35CC6"/>
    <w:rsid w:val="00B35DD7"/>
    <w:rsid w:val="00B35DEE"/>
    <w:rsid w:val="00B35EB4"/>
    <w:rsid w:val="00B35FED"/>
    <w:rsid w:val="00B36040"/>
    <w:rsid w:val="00B36059"/>
    <w:rsid w:val="00B360DC"/>
    <w:rsid w:val="00B362F7"/>
    <w:rsid w:val="00B36305"/>
    <w:rsid w:val="00B36398"/>
    <w:rsid w:val="00B363C1"/>
    <w:rsid w:val="00B363C9"/>
    <w:rsid w:val="00B36425"/>
    <w:rsid w:val="00B36453"/>
    <w:rsid w:val="00B36492"/>
    <w:rsid w:val="00B364FC"/>
    <w:rsid w:val="00B3658C"/>
    <w:rsid w:val="00B3664F"/>
    <w:rsid w:val="00B36751"/>
    <w:rsid w:val="00B36847"/>
    <w:rsid w:val="00B36872"/>
    <w:rsid w:val="00B368D8"/>
    <w:rsid w:val="00B36A0B"/>
    <w:rsid w:val="00B36B06"/>
    <w:rsid w:val="00B36BA3"/>
    <w:rsid w:val="00B36C0C"/>
    <w:rsid w:val="00B36C25"/>
    <w:rsid w:val="00B36D2B"/>
    <w:rsid w:val="00B36DD5"/>
    <w:rsid w:val="00B36E77"/>
    <w:rsid w:val="00B36EB4"/>
    <w:rsid w:val="00B36EC9"/>
    <w:rsid w:val="00B36FA2"/>
    <w:rsid w:val="00B36FC8"/>
    <w:rsid w:val="00B37007"/>
    <w:rsid w:val="00B3715C"/>
    <w:rsid w:val="00B371B6"/>
    <w:rsid w:val="00B37307"/>
    <w:rsid w:val="00B37316"/>
    <w:rsid w:val="00B373D2"/>
    <w:rsid w:val="00B3745D"/>
    <w:rsid w:val="00B37464"/>
    <w:rsid w:val="00B374F1"/>
    <w:rsid w:val="00B37543"/>
    <w:rsid w:val="00B3758D"/>
    <w:rsid w:val="00B37637"/>
    <w:rsid w:val="00B37685"/>
    <w:rsid w:val="00B377DA"/>
    <w:rsid w:val="00B37870"/>
    <w:rsid w:val="00B3791B"/>
    <w:rsid w:val="00B3796C"/>
    <w:rsid w:val="00B37A38"/>
    <w:rsid w:val="00B37A7A"/>
    <w:rsid w:val="00B37AE3"/>
    <w:rsid w:val="00B37AEC"/>
    <w:rsid w:val="00B37C3E"/>
    <w:rsid w:val="00B37C8F"/>
    <w:rsid w:val="00B37CBB"/>
    <w:rsid w:val="00B37CD9"/>
    <w:rsid w:val="00B37D04"/>
    <w:rsid w:val="00B37D17"/>
    <w:rsid w:val="00B37E80"/>
    <w:rsid w:val="00B37F81"/>
    <w:rsid w:val="00B37F89"/>
    <w:rsid w:val="00B4005E"/>
    <w:rsid w:val="00B400F2"/>
    <w:rsid w:val="00B400F4"/>
    <w:rsid w:val="00B40291"/>
    <w:rsid w:val="00B4036C"/>
    <w:rsid w:val="00B403C4"/>
    <w:rsid w:val="00B40412"/>
    <w:rsid w:val="00B40443"/>
    <w:rsid w:val="00B404C7"/>
    <w:rsid w:val="00B4062B"/>
    <w:rsid w:val="00B4080E"/>
    <w:rsid w:val="00B408F6"/>
    <w:rsid w:val="00B4093C"/>
    <w:rsid w:val="00B40989"/>
    <w:rsid w:val="00B40A03"/>
    <w:rsid w:val="00B40A4B"/>
    <w:rsid w:val="00B40B0B"/>
    <w:rsid w:val="00B40B22"/>
    <w:rsid w:val="00B40B63"/>
    <w:rsid w:val="00B40BA8"/>
    <w:rsid w:val="00B40BD2"/>
    <w:rsid w:val="00B40C63"/>
    <w:rsid w:val="00B40D28"/>
    <w:rsid w:val="00B40D50"/>
    <w:rsid w:val="00B40D51"/>
    <w:rsid w:val="00B40DB6"/>
    <w:rsid w:val="00B40DD4"/>
    <w:rsid w:val="00B40F1D"/>
    <w:rsid w:val="00B40F30"/>
    <w:rsid w:val="00B40F35"/>
    <w:rsid w:val="00B40F4C"/>
    <w:rsid w:val="00B4103C"/>
    <w:rsid w:val="00B410AF"/>
    <w:rsid w:val="00B4119A"/>
    <w:rsid w:val="00B411C7"/>
    <w:rsid w:val="00B41307"/>
    <w:rsid w:val="00B4139A"/>
    <w:rsid w:val="00B413C0"/>
    <w:rsid w:val="00B414DD"/>
    <w:rsid w:val="00B4152F"/>
    <w:rsid w:val="00B415D6"/>
    <w:rsid w:val="00B416FD"/>
    <w:rsid w:val="00B41701"/>
    <w:rsid w:val="00B41868"/>
    <w:rsid w:val="00B41920"/>
    <w:rsid w:val="00B41A73"/>
    <w:rsid w:val="00B41AB3"/>
    <w:rsid w:val="00B41B0D"/>
    <w:rsid w:val="00B41B21"/>
    <w:rsid w:val="00B41CA4"/>
    <w:rsid w:val="00B41CAC"/>
    <w:rsid w:val="00B41CE8"/>
    <w:rsid w:val="00B41D92"/>
    <w:rsid w:val="00B41DAD"/>
    <w:rsid w:val="00B41E05"/>
    <w:rsid w:val="00B41EC3"/>
    <w:rsid w:val="00B41F26"/>
    <w:rsid w:val="00B41F94"/>
    <w:rsid w:val="00B42098"/>
    <w:rsid w:val="00B420BA"/>
    <w:rsid w:val="00B4229F"/>
    <w:rsid w:val="00B4234A"/>
    <w:rsid w:val="00B423FF"/>
    <w:rsid w:val="00B4241E"/>
    <w:rsid w:val="00B42851"/>
    <w:rsid w:val="00B428EC"/>
    <w:rsid w:val="00B429C2"/>
    <w:rsid w:val="00B42AFA"/>
    <w:rsid w:val="00B42B43"/>
    <w:rsid w:val="00B42D1F"/>
    <w:rsid w:val="00B42D4B"/>
    <w:rsid w:val="00B42D76"/>
    <w:rsid w:val="00B42E6B"/>
    <w:rsid w:val="00B42EEB"/>
    <w:rsid w:val="00B42F8F"/>
    <w:rsid w:val="00B42FE0"/>
    <w:rsid w:val="00B430BE"/>
    <w:rsid w:val="00B4327B"/>
    <w:rsid w:val="00B4331A"/>
    <w:rsid w:val="00B43391"/>
    <w:rsid w:val="00B43413"/>
    <w:rsid w:val="00B43453"/>
    <w:rsid w:val="00B43484"/>
    <w:rsid w:val="00B43486"/>
    <w:rsid w:val="00B43616"/>
    <w:rsid w:val="00B43682"/>
    <w:rsid w:val="00B436B7"/>
    <w:rsid w:val="00B43727"/>
    <w:rsid w:val="00B4372D"/>
    <w:rsid w:val="00B4373F"/>
    <w:rsid w:val="00B43955"/>
    <w:rsid w:val="00B43B54"/>
    <w:rsid w:val="00B43C2D"/>
    <w:rsid w:val="00B43D3F"/>
    <w:rsid w:val="00B43D88"/>
    <w:rsid w:val="00B43E7E"/>
    <w:rsid w:val="00B43E97"/>
    <w:rsid w:val="00B43FA6"/>
    <w:rsid w:val="00B43FD7"/>
    <w:rsid w:val="00B4405C"/>
    <w:rsid w:val="00B44143"/>
    <w:rsid w:val="00B4419B"/>
    <w:rsid w:val="00B4419F"/>
    <w:rsid w:val="00B4422F"/>
    <w:rsid w:val="00B4427A"/>
    <w:rsid w:val="00B44323"/>
    <w:rsid w:val="00B4432E"/>
    <w:rsid w:val="00B4432F"/>
    <w:rsid w:val="00B44417"/>
    <w:rsid w:val="00B44454"/>
    <w:rsid w:val="00B44461"/>
    <w:rsid w:val="00B444AA"/>
    <w:rsid w:val="00B444AD"/>
    <w:rsid w:val="00B444CC"/>
    <w:rsid w:val="00B445CE"/>
    <w:rsid w:val="00B44623"/>
    <w:rsid w:val="00B446D6"/>
    <w:rsid w:val="00B447BB"/>
    <w:rsid w:val="00B447D2"/>
    <w:rsid w:val="00B44A63"/>
    <w:rsid w:val="00B44A6D"/>
    <w:rsid w:val="00B44A7F"/>
    <w:rsid w:val="00B44ABA"/>
    <w:rsid w:val="00B44AC6"/>
    <w:rsid w:val="00B44B92"/>
    <w:rsid w:val="00B44BBA"/>
    <w:rsid w:val="00B44C00"/>
    <w:rsid w:val="00B44C45"/>
    <w:rsid w:val="00B44C79"/>
    <w:rsid w:val="00B44D4C"/>
    <w:rsid w:val="00B44D7F"/>
    <w:rsid w:val="00B44D88"/>
    <w:rsid w:val="00B44E0B"/>
    <w:rsid w:val="00B44E72"/>
    <w:rsid w:val="00B44ED5"/>
    <w:rsid w:val="00B44EFE"/>
    <w:rsid w:val="00B44FFA"/>
    <w:rsid w:val="00B450DE"/>
    <w:rsid w:val="00B451AF"/>
    <w:rsid w:val="00B453F7"/>
    <w:rsid w:val="00B45405"/>
    <w:rsid w:val="00B4543A"/>
    <w:rsid w:val="00B45440"/>
    <w:rsid w:val="00B454EC"/>
    <w:rsid w:val="00B455B6"/>
    <w:rsid w:val="00B456CA"/>
    <w:rsid w:val="00B4579D"/>
    <w:rsid w:val="00B4597D"/>
    <w:rsid w:val="00B45A8B"/>
    <w:rsid w:val="00B45B38"/>
    <w:rsid w:val="00B45C38"/>
    <w:rsid w:val="00B45CCB"/>
    <w:rsid w:val="00B45CF4"/>
    <w:rsid w:val="00B45DE0"/>
    <w:rsid w:val="00B45E82"/>
    <w:rsid w:val="00B45FEB"/>
    <w:rsid w:val="00B4603B"/>
    <w:rsid w:val="00B46115"/>
    <w:rsid w:val="00B461A2"/>
    <w:rsid w:val="00B461D4"/>
    <w:rsid w:val="00B461E2"/>
    <w:rsid w:val="00B46313"/>
    <w:rsid w:val="00B4656E"/>
    <w:rsid w:val="00B465A4"/>
    <w:rsid w:val="00B465C9"/>
    <w:rsid w:val="00B46643"/>
    <w:rsid w:val="00B46759"/>
    <w:rsid w:val="00B467F0"/>
    <w:rsid w:val="00B4687F"/>
    <w:rsid w:val="00B46975"/>
    <w:rsid w:val="00B46AD0"/>
    <w:rsid w:val="00B46CD1"/>
    <w:rsid w:val="00B46DED"/>
    <w:rsid w:val="00B46E55"/>
    <w:rsid w:val="00B46EE3"/>
    <w:rsid w:val="00B46F21"/>
    <w:rsid w:val="00B46F63"/>
    <w:rsid w:val="00B46FDE"/>
    <w:rsid w:val="00B471ED"/>
    <w:rsid w:val="00B47201"/>
    <w:rsid w:val="00B47295"/>
    <w:rsid w:val="00B4734D"/>
    <w:rsid w:val="00B473DB"/>
    <w:rsid w:val="00B473E2"/>
    <w:rsid w:val="00B47455"/>
    <w:rsid w:val="00B474D0"/>
    <w:rsid w:val="00B474DE"/>
    <w:rsid w:val="00B47510"/>
    <w:rsid w:val="00B4759D"/>
    <w:rsid w:val="00B47650"/>
    <w:rsid w:val="00B47700"/>
    <w:rsid w:val="00B4776F"/>
    <w:rsid w:val="00B477EF"/>
    <w:rsid w:val="00B4788B"/>
    <w:rsid w:val="00B478A3"/>
    <w:rsid w:val="00B478B7"/>
    <w:rsid w:val="00B478C8"/>
    <w:rsid w:val="00B47923"/>
    <w:rsid w:val="00B47A50"/>
    <w:rsid w:val="00B47ACF"/>
    <w:rsid w:val="00B47B58"/>
    <w:rsid w:val="00B47BF3"/>
    <w:rsid w:val="00B47C2B"/>
    <w:rsid w:val="00B47C4C"/>
    <w:rsid w:val="00B47CAC"/>
    <w:rsid w:val="00B47DB1"/>
    <w:rsid w:val="00B47DB4"/>
    <w:rsid w:val="00B47DE2"/>
    <w:rsid w:val="00B47DE8"/>
    <w:rsid w:val="00B47F45"/>
    <w:rsid w:val="00B47FF4"/>
    <w:rsid w:val="00B4E0D6"/>
    <w:rsid w:val="00B50024"/>
    <w:rsid w:val="00B50055"/>
    <w:rsid w:val="00B5011C"/>
    <w:rsid w:val="00B50138"/>
    <w:rsid w:val="00B5013D"/>
    <w:rsid w:val="00B50148"/>
    <w:rsid w:val="00B501A5"/>
    <w:rsid w:val="00B501F7"/>
    <w:rsid w:val="00B5022C"/>
    <w:rsid w:val="00B50266"/>
    <w:rsid w:val="00B50351"/>
    <w:rsid w:val="00B5037B"/>
    <w:rsid w:val="00B504D0"/>
    <w:rsid w:val="00B504F4"/>
    <w:rsid w:val="00B5075B"/>
    <w:rsid w:val="00B50797"/>
    <w:rsid w:val="00B507E2"/>
    <w:rsid w:val="00B50850"/>
    <w:rsid w:val="00B508D4"/>
    <w:rsid w:val="00B509D6"/>
    <w:rsid w:val="00B509E3"/>
    <w:rsid w:val="00B50AC8"/>
    <w:rsid w:val="00B50B5C"/>
    <w:rsid w:val="00B50B7A"/>
    <w:rsid w:val="00B50BCF"/>
    <w:rsid w:val="00B50BD8"/>
    <w:rsid w:val="00B50C72"/>
    <w:rsid w:val="00B50C98"/>
    <w:rsid w:val="00B50CEA"/>
    <w:rsid w:val="00B50E26"/>
    <w:rsid w:val="00B50E41"/>
    <w:rsid w:val="00B50E50"/>
    <w:rsid w:val="00B50E64"/>
    <w:rsid w:val="00B50F95"/>
    <w:rsid w:val="00B5104B"/>
    <w:rsid w:val="00B5109F"/>
    <w:rsid w:val="00B510CE"/>
    <w:rsid w:val="00B510F0"/>
    <w:rsid w:val="00B5115A"/>
    <w:rsid w:val="00B51224"/>
    <w:rsid w:val="00B51237"/>
    <w:rsid w:val="00B5126C"/>
    <w:rsid w:val="00B51289"/>
    <w:rsid w:val="00B5128D"/>
    <w:rsid w:val="00B512BB"/>
    <w:rsid w:val="00B512C1"/>
    <w:rsid w:val="00B51307"/>
    <w:rsid w:val="00B5135F"/>
    <w:rsid w:val="00B513B5"/>
    <w:rsid w:val="00B513CA"/>
    <w:rsid w:val="00B51436"/>
    <w:rsid w:val="00B5143E"/>
    <w:rsid w:val="00B5144B"/>
    <w:rsid w:val="00B51545"/>
    <w:rsid w:val="00B51553"/>
    <w:rsid w:val="00B516A5"/>
    <w:rsid w:val="00B516B5"/>
    <w:rsid w:val="00B517DF"/>
    <w:rsid w:val="00B51805"/>
    <w:rsid w:val="00B5181D"/>
    <w:rsid w:val="00B51867"/>
    <w:rsid w:val="00B51877"/>
    <w:rsid w:val="00B518C2"/>
    <w:rsid w:val="00B518CB"/>
    <w:rsid w:val="00B51932"/>
    <w:rsid w:val="00B51B06"/>
    <w:rsid w:val="00B51B1C"/>
    <w:rsid w:val="00B51B37"/>
    <w:rsid w:val="00B51BEA"/>
    <w:rsid w:val="00B51C57"/>
    <w:rsid w:val="00B51CA5"/>
    <w:rsid w:val="00B51CC8"/>
    <w:rsid w:val="00B51D2F"/>
    <w:rsid w:val="00B51EEB"/>
    <w:rsid w:val="00B51FA4"/>
    <w:rsid w:val="00B51FCE"/>
    <w:rsid w:val="00B5210D"/>
    <w:rsid w:val="00B5216F"/>
    <w:rsid w:val="00B5221F"/>
    <w:rsid w:val="00B522C4"/>
    <w:rsid w:val="00B522D3"/>
    <w:rsid w:val="00B522F8"/>
    <w:rsid w:val="00B523A0"/>
    <w:rsid w:val="00B524DC"/>
    <w:rsid w:val="00B5256D"/>
    <w:rsid w:val="00B525A1"/>
    <w:rsid w:val="00B525A9"/>
    <w:rsid w:val="00B525BB"/>
    <w:rsid w:val="00B527E7"/>
    <w:rsid w:val="00B528BE"/>
    <w:rsid w:val="00B52911"/>
    <w:rsid w:val="00B52ABC"/>
    <w:rsid w:val="00B52AD6"/>
    <w:rsid w:val="00B52BDA"/>
    <w:rsid w:val="00B52C80"/>
    <w:rsid w:val="00B52C9B"/>
    <w:rsid w:val="00B52D60"/>
    <w:rsid w:val="00B52DCB"/>
    <w:rsid w:val="00B52E1D"/>
    <w:rsid w:val="00B52E61"/>
    <w:rsid w:val="00B52F5A"/>
    <w:rsid w:val="00B52FB5"/>
    <w:rsid w:val="00B52FD9"/>
    <w:rsid w:val="00B530AC"/>
    <w:rsid w:val="00B53110"/>
    <w:rsid w:val="00B53132"/>
    <w:rsid w:val="00B5328E"/>
    <w:rsid w:val="00B532B4"/>
    <w:rsid w:val="00B532D1"/>
    <w:rsid w:val="00B532FB"/>
    <w:rsid w:val="00B53350"/>
    <w:rsid w:val="00B53357"/>
    <w:rsid w:val="00B5337D"/>
    <w:rsid w:val="00B53553"/>
    <w:rsid w:val="00B535DB"/>
    <w:rsid w:val="00B53679"/>
    <w:rsid w:val="00B53770"/>
    <w:rsid w:val="00B53847"/>
    <w:rsid w:val="00B538D3"/>
    <w:rsid w:val="00B5392F"/>
    <w:rsid w:val="00B53946"/>
    <w:rsid w:val="00B539D4"/>
    <w:rsid w:val="00B53A1D"/>
    <w:rsid w:val="00B53C23"/>
    <w:rsid w:val="00B53C6E"/>
    <w:rsid w:val="00B53CB6"/>
    <w:rsid w:val="00B53E3F"/>
    <w:rsid w:val="00B53E73"/>
    <w:rsid w:val="00B53F05"/>
    <w:rsid w:val="00B53F42"/>
    <w:rsid w:val="00B540CE"/>
    <w:rsid w:val="00B541EE"/>
    <w:rsid w:val="00B542C3"/>
    <w:rsid w:val="00B54321"/>
    <w:rsid w:val="00B54652"/>
    <w:rsid w:val="00B5466A"/>
    <w:rsid w:val="00B54715"/>
    <w:rsid w:val="00B54757"/>
    <w:rsid w:val="00B54773"/>
    <w:rsid w:val="00B549B0"/>
    <w:rsid w:val="00B54A05"/>
    <w:rsid w:val="00B54A93"/>
    <w:rsid w:val="00B54AFF"/>
    <w:rsid w:val="00B54BB2"/>
    <w:rsid w:val="00B54CA7"/>
    <w:rsid w:val="00B54CCD"/>
    <w:rsid w:val="00B54CE3"/>
    <w:rsid w:val="00B54D42"/>
    <w:rsid w:val="00B54D44"/>
    <w:rsid w:val="00B54D54"/>
    <w:rsid w:val="00B54D71"/>
    <w:rsid w:val="00B54ECD"/>
    <w:rsid w:val="00B54F4F"/>
    <w:rsid w:val="00B5504E"/>
    <w:rsid w:val="00B55157"/>
    <w:rsid w:val="00B551E8"/>
    <w:rsid w:val="00B5527C"/>
    <w:rsid w:val="00B552B3"/>
    <w:rsid w:val="00B552DA"/>
    <w:rsid w:val="00B55347"/>
    <w:rsid w:val="00B55376"/>
    <w:rsid w:val="00B555F8"/>
    <w:rsid w:val="00B55684"/>
    <w:rsid w:val="00B556DD"/>
    <w:rsid w:val="00B5574E"/>
    <w:rsid w:val="00B557A9"/>
    <w:rsid w:val="00B55865"/>
    <w:rsid w:val="00B559BF"/>
    <w:rsid w:val="00B55A1D"/>
    <w:rsid w:val="00B55C50"/>
    <w:rsid w:val="00B55C78"/>
    <w:rsid w:val="00B55D79"/>
    <w:rsid w:val="00B55DD2"/>
    <w:rsid w:val="00B55DDA"/>
    <w:rsid w:val="00B55E02"/>
    <w:rsid w:val="00B55E3B"/>
    <w:rsid w:val="00B55E90"/>
    <w:rsid w:val="00B55F19"/>
    <w:rsid w:val="00B55F62"/>
    <w:rsid w:val="00B56134"/>
    <w:rsid w:val="00B56137"/>
    <w:rsid w:val="00B56173"/>
    <w:rsid w:val="00B561EC"/>
    <w:rsid w:val="00B56258"/>
    <w:rsid w:val="00B5629E"/>
    <w:rsid w:val="00B5631D"/>
    <w:rsid w:val="00B563B8"/>
    <w:rsid w:val="00B56420"/>
    <w:rsid w:val="00B564C0"/>
    <w:rsid w:val="00B5663E"/>
    <w:rsid w:val="00B566A5"/>
    <w:rsid w:val="00B566D9"/>
    <w:rsid w:val="00B56999"/>
    <w:rsid w:val="00B569C3"/>
    <w:rsid w:val="00B56A9B"/>
    <w:rsid w:val="00B56AB5"/>
    <w:rsid w:val="00B56C44"/>
    <w:rsid w:val="00B56CC1"/>
    <w:rsid w:val="00B56CC3"/>
    <w:rsid w:val="00B56CFA"/>
    <w:rsid w:val="00B56DC7"/>
    <w:rsid w:val="00B56E0E"/>
    <w:rsid w:val="00B56E8C"/>
    <w:rsid w:val="00B56F7D"/>
    <w:rsid w:val="00B56FC7"/>
    <w:rsid w:val="00B5700C"/>
    <w:rsid w:val="00B57034"/>
    <w:rsid w:val="00B57097"/>
    <w:rsid w:val="00B570E0"/>
    <w:rsid w:val="00B57113"/>
    <w:rsid w:val="00B571C0"/>
    <w:rsid w:val="00B57215"/>
    <w:rsid w:val="00B57276"/>
    <w:rsid w:val="00B57329"/>
    <w:rsid w:val="00B573BC"/>
    <w:rsid w:val="00B573CF"/>
    <w:rsid w:val="00B57442"/>
    <w:rsid w:val="00B574D5"/>
    <w:rsid w:val="00B5755F"/>
    <w:rsid w:val="00B57586"/>
    <w:rsid w:val="00B575A5"/>
    <w:rsid w:val="00B57680"/>
    <w:rsid w:val="00B5772C"/>
    <w:rsid w:val="00B5773E"/>
    <w:rsid w:val="00B5774C"/>
    <w:rsid w:val="00B57938"/>
    <w:rsid w:val="00B57986"/>
    <w:rsid w:val="00B579EF"/>
    <w:rsid w:val="00B57A90"/>
    <w:rsid w:val="00B57ACE"/>
    <w:rsid w:val="00B57B43"/>
    <w:rsid w:val="00B57C89"/>
    <w:rsid w:val="00B57D37"/>
    <w:rsid w:val="00B57D6D"/>
    <w:rsid w:val="00B57E25"/>
    <w:rsid w:val="00B57E32"/>
    <w:rsid w:val="00B57F09"/>
    <w:rsid w:val="00B57F81"/>
    <w:rsid w:val="00B60096"/>
    <w:rsid w:val="00B60140"/>
    <w:rsid w:val="00B60152"/>
    <w:rsid w:val="00B60195"/>
    <w:rsid w:val="00B60212"/>
    <w:rsid w:val="00B602E5"/>
    <w:rsid w:val="00B60322"/>
    <w:rsid w:val="00B603AC"/>
    <w:rsid w:val="00B603C5"/>
    <w:rsid w:val="00B60519"/>
    <w:rsid w:val="00B6066E"/>
    <w:rsid w:val="00B60679"/>
    <w:rsid w:val="00B606DA"/>
    <w:rsid w:val="00B6071D"/>
    <w:rsid w:val="00B607CA"/>
    <w:rsid w:val="00B608CB"/>
    <w:rsid w:val="00B608DC"/>
    <w:rsid w:val="00B60916"/>
    <w:rsid w:val="00B60967"/>
    <w:rsid w:val="00B609E9"/>
    <w:rsid w:val="00B60A31"/>
    <w:rsid w:val="00B60A81"/>
    <w:rsid w:val="00B60AAF"/>
    <w:rsid w:val="00B60B0F"/>
    <w:rsid w:val="00B60B40"/>
    <w:rsid w:val="00B60B95"/>
    <w:rsid w:val="00B60B97"/>
    <w:rsid w:val="00B60BAB"/>
    <w:rsid w:val="00B60BD9"/>
    <w:rsid w:val="00B60CA5"/>
    <w:rsid w:val="00B60D3D"/>
    <w:rsid w:val="00B60D68"/>
    <w:rsid w:val="00B60E16"/>
    <w:rsid w:val="00B60E88"/>
    <w:rsid w:val="00B60EE1"/>
    <w:rsid w:val="00B60FCC"/>
    <w:rsid w:val="00B61010"/>
    <w:rsid w:val="00B6108B"/>
    <w:rsid w:val="00B610F0"/>
    <w:rsid w:val="00B6114C"/>
    <w:rsid w:val="00B6120C"/>
    <w:rsid w:val="00B61227"/>
    <w:rsid w:val="00B61260"/>
    <w:rsid w:val="00B61261"/>
    <w:rsid w:val="00B61310"/>
    <w:rsid w:val="00B61340"/>
    <w:rsid w:val="00B6136C"/>
    <w:rsid w:val="00B613B0"/>
    <w:rsid w:val="00B613D1"/>
    <w:rsid w:val="00B6147A"/>
    <w:rsid w:val="00B614B0"/>
    <w:rsid w:val="00B6154C"/>
    <w:rsid w:val="00B6156C"/>
    <w:rsid w:val="00B615A3"/>
    <w:rsid w:val="00B61664"/>
    <w:rsid w:val="00B616FF"/>
    <w:rsid w:val="00B61711"/>
    <w:rsid w:val="00B617CD"/>
    <w:rsid w:val="00B617D2"/>
    <w:rsid w:val="00B61992"/>
    <w:rsid w:val="00B61A23"/>
    <w:rsid w:val="00B61B53"/>
    <w:rsid w:val="00B61B7D"/>
    <w:rsid w:val="00B61BDF"/>
    <w:rsid w:val="00B61BF6"/>
    <w:rsid w:val="00B61C89"/>
    <w:rsid w:val="00B61CE2"/>
    <w:rsid w:val="00B61D03"/>
    <w:rsid w:val="00B61D2D"/>
    <w:rsid w:val="00B61D4F"/>
    <w:rsid w:val="00B61D67"/>
    <w:rsid w:val="00B61DD0"/>
    <w:rsid w:val="00B61DE7"/>
    <w:rsid w:val="00B61DEE"/>
    <w:rsid w:val="00B61EAC"/>
    <w:rsid w:val="00B61F0D"/>
    <w:rsid w:val="00B61FCE"/>
    <w:rsid w:val="00B62035"/>
    <w:rsid w:val="00B62082"/>
    <w:rsid w:val="00B6213D"/>
    <w:rsid w:val="00B62141"/>
    <w:rsid w:val="00B62149"/>
    <w:rsid w:val="00B62169"/>
    <w:rsid w:val="00B6218F"/>
    <w:rsid w:val="00B62201"/>
    <w:rsid w:val="00B6231F"/>
    <w:rsid w:val="00B62322"/>
    <w:rsid w:val="00B62336"/>
    <w:rsid w:val="00B6233F"/>
    <w:rsid w:val="00B62482"/>
    <w:rsid w:val="00B6255C"/>
    <w:rsid w:val="00B6265D"/>
    <w:rsid w:val="00B62895"/>
    <w:rsid w:val="00B628B0"/>
    <w:rsid w:val="00B628F5"/>
    <w:rsid w:val="00B6298F"/>
    <w:rsid w:val="00B62A64"/>
    <w:rsid w:val="00B62B01"/>
    <w:rsid w:val="00B62B26"/>
    <w:rsid w:val="00B62B94"/>
    <w:rsid w:val="00B62C13"/>
    <w:rsid w:val="00B62CAE"/>
    <w:rsid w:val="00B62CAF"/>
    <w:rsid w:val="00B62CB0"/>
    <w:rsid w:val="00B62DA8"/>
    <w:rsid w:val="00B62DB1"/>
    <w:rsid w:val="00B62E17"/>
    <w:rsid w:val="00B62F6A"/>
    <w:rsid w:val="00B62FD5"/>
    <w:rsid w:val="00B6309C"/>
    <w:rsid w:val="00B63160"/>
    <w:rsid w:val="00B631D0"/>
    <w:rsid w:val="00B63228"/>
    <w:rsid w:val="00B63271"/>
    <w:rsid w:val="00B63595"/>
    <w:rsid w:val="00B636ED"/>
    <w:rsid w:val="00B63758"/>
    <w:rsid w:val="00B6375C"/>
    <w:rsid w:val="00B637F4"/>
    <w:rsid w:val="00B6380C"/>
    <w:rsid w:val="00B639E3"/>
    <w:rsid w:val="00B63A03"/>
    <w:rsid w:val="00B63A16"/>
    <w:rsid w:val="00B63A76"/>
    <w:rsid w:val="00B63AB1"/>
    <w:rsid w:val="00B63B2C"/>
    <w:rsid w:val="00B63B52"/>
    <w:rsid w:val="00B63B57"/>
    <w:rsid w:val="00B63B5E"/>
    <w:rsid w:val="00B63B88"/>
    <w:rsid w:val="00B63C17"/>
    <w:rsid w:val="00B63CBA"/>
    <w:rsid w:val="00B63D5D"/>
    <w:rsid w:val="00B63D66"/>
    <w:rsid w:val="00B63D71"/>
    <w:rsid w:val="00B63DB1"/>
    <w:rsid w:val="00B63DEB"/>
    <w:rsid w:val="00B63E05"/>
    <w:rsid w:val="00B63E91"/>
    <w:rsid w:val="00B63EB1"/>
    <w:rsid w:val="00B63ECE"/>
    <w:rsid w:val="00B63FC4"/>
    <w:rsid w:val="00B63FEF"/>
    <w:rsid w:val="00B640C9"/>
    <w:rsid w:val="00B640CA"/>
    <w:rsid w:val="00B642C0"/>
    <w:rsid w:val="00B6443D"/>
    <w:rsid w:val="00B644C1"/>
    <w:rsid w:val="00B644EC"/>
    <w:rsid w:val="00B646F2"/>
    <w:rsid w:val="00B64773"/>
    <w:rsid w:val="00B647A2"/>
    <w:rsid w:val="00B6480A"/>
    <w:rsid w:val="00B648D8"/>
    <w:rsid w:val="00B649DC"/>
    <w:rsid w:val="00B64A6A"/>
    <w:rsid w:val="00B64AB9"/>
    <w:rsid w:val="00B64B5A"/>
    <w:rsid w:val="00B64BA3"/>
    <w:rsid w:val="00B64C3D"/>
    <w:rsid w:val="00B64CA2"/>
    <w:rsid w:val="00B64D1F"/>
    <w:rsid w:val="00B64D5E"/>
    <w:rsid w:val="00B64D60"/>
    <w:rsid w:val="00B64EC4"/>
    <w:rsid w:val="00B64F24"/>
    <w:rsid w:val="00B64FAB"/>
    <w:rsid w:val="00B6500A"/>
    <w:rsid w:val="00B6504A"/>
    <w:rsid w:val="00B650BD"/>
    <w:rsid w:val="00B650C1"/>
    <w:rsid w:val="00B650D8"/>
    <w:rsid w:val="00B65149"/>
    <w:rsid w:val="00B65165"/>
    <w:rsid w:val="00B6518D"/>
    <w:rsid w:val="00B651EB"/>
    <w:rsid w:val="00B6522C"/>
    <w:rsid w:val="00B65394"/>
    <w:rsid w:val="00B653FF"/>
    <w:rsid w:val="00B65423"/>
    <w:rsid w:val="00B65665"/>
    <w:rsid w:val="00B656C3"/>
    <w:rsid w:val="00B65856"/>
    <w:rsid w:val="00B6585B"/>
    <w:rsid w:val="00B65900"/>
    <w:rsid w:val="00B65924"/>
    <w:rsid w:val="00B6592D"/>
    <w:rsid w:val="00B65936"/>
    <w:rsid w:val="00B65B0D"/>
    <w:rsid w:val="00B65B67"/>
    <w:rsid w:val="00B65C2C"/>
    <w:rsid w:val="00B65CBA"/>
    <w:rsid w:val="00B65D35"/>
    <w:rsid w:val="00B65E28"/>
    <w:rsid w:val="00B65E45"/>
    <w:rsid w:val="00B65EC5"/>
    <w:rsid w:val="00B65F14"/>
    <w:rsid w:val="00B65FF5"/>
    <w:rsid w:val="00B66002"/>
    <w:rsid w:val="00B6607A"/>
    <w:rsid w:val="00B660DC"/>
    <w:rsid w:val="00B66157"/>
    <w:rsid w:val="00B66178"/>
    <w:rsid w:val="00B66214"/>
    <w:rsid w:val="00B66266"/>
    <w:rsid w:val="00B66270"/>
    <w:rsid w:val="00B66381"/>
    <w:rsid w:val="00B66413"/>
    <w:rsid w:val="00B664D8"/>
    <w:rsid w:val="00B6653B"/>
    <w:rsid w:val="00B6656C"/>
    <w:rsid w:val="00B66716"/>
    <w:rsid w:val="00B668B4"/>
    <w:rsid w:val="00B6695A"/>
    <w:rsid w:val="00B66993"/>
    <w:rsid w:val="00B669C7"/>
    <w:rsid w:val="00B66B02"/>
    <w:rsid w:val="00B66B3A"/>
    <w:rsid w:val="00B66B4C"/>
    <w:rsid w:val="00B66DF7"/>
    <w:rsid w:val="00B66DFF"/>
    <w:rsid w:val="00B66E04"/>
    <w:rsid w:val="00B66E8D"/>
    <w:rsid w:val="00B66ECA"/>
    <w:rsid w:val="00B66F1F"/>
    <w:rsid w:val="00B66F24"/>
    <w:rsid w:val="00B66F95"/>
    <w:rsid w:val="00B67074"/>
    <w:rsid w:val="00B670EC"/>
    <w:rsid w:val="00B67104"/>
    <w:rsid w:val="00B6717D"/>
    <w:rsid w:val="00B671F3"/>
    <w:rsid w:val="00B672E3"/>
    <w:rsid w:val="00B673E8"/>
    <w:rsid w:val="00B674B4"/>
    <w:rsid w:val="00B674F2"/>
    <w:rsid w:val="00B67545"/>
    <w:rsid w:val="00B67558"/>
    <w:rsid w:val="00B675B4"/>
    <w:rsid w:val="00B67697"/>
    <w:rsid w:val="00B67767"/>
    <w:rsid w:val="00B67787"/>
    <w:rsid w:val="00B6782A"/>
    <w:rsid w:val="00B67832"/>
    <w:rsid w:val="00B67855"/>
    <w:rsid w:val="00B678A6"/>
    <w:rsid w:val="00B67986"/>
    <w:rsid w:val="00B67A09"/>
    <w:rsid w:val="00B67A75"/>
    <w:rsid w:val="00B67AFB"/>
    <w:rsid w:val="00B67B96"/>
    <w:rsid w:val="00B67BF5"/>
    <w:rsid w:val="00B67BFE"/>
    <w:rsid w:val="00B67C55"/>
    <w:rsid w:val="00B67C57"/>
    <w:rsid w:val="00B67DF5"/>
    <w:rsid w:val="00B67F94"/>
    <w:rsid w:val="00B70003"/>
    <w:rsid w:val="00B7002F"/>
    <w:rsid w:val="00B700EB"/>
    <w:rsid w:val="00B7025C"/>
    <w:rsid w:val="00B70292"/>
    <w:rsid w:val="00B70295"/>
    <w:rsid w:val="00B7036A"/>
    <w:rsid w:val="00B70372"/>
    <w:rsid w:val="00B70387"/>
    <w:rsid w:val="00B703D5"/>
    <w:rsid w:val="00B704BE"/>
    <w:rsid w:val="00B7057F"/>
    <w:rsid w:val="00B70593"/>
    <w:rsid w:val="00B70686"/>
    <w:rsid w:val="00B70779"/>
    <w:rsid w:val="00B7088D"/>
    <w:rsid w:val="00B708F8"/>
    <w:rsid w:val="00B7094F"/>
    <w:rsid w:val="00B709C6"/>
    <w:rsid w:val="00B709EF"/>
    <w:rsid w:val="00B70A88"/>
    <w:rsid w:val="00B70AA0"/>
    <w:rsid w:val="00B70AC5"/>
    <w:rsid w:val="00B70AD9"/>
    <w:rsid w:val="00B70BDB"/>
    <w:rsid w:val="00B70CC7"/>
    <w:rsid w:val="00B70DCB"/>
    <w:rsid w:val="00B70DF1"/>
    <w:rsid w:val="00B70E6C"/>
    <w:rsid w:val="00B70ED9"/>
    <w:rsid w:val="00B70F05"/>
    <w:rsid w:val="00B70F50"/>
    <w:rsid w:val="00B71027"/>
    <w:rsid w:val="00B71064"/>
    <w:rsid w:val="00B71083"/>
    <w:rsid w:val="00B7120B"/>
    <w:rsid w:val="00B71272"/>
    <w:rsid w:val="00B71286"/>
    <w:rsid w:val="00B7131F"/>
    <w:rsid w:val="00B713DF"/>
    <w:rsid w:val="00B713EC"/>
    <w:rsid w:val="00B7146B"/>
    <w:rsid w:val="00B715AC"/>
    <w:rsid w:val="00B715B2"/>
    <w:rsid w:val="00B715FA"/>
    <w:rsid w:val="00B7165E"/>
    <w:rsid w:val="00B71664"/>
    <w:rsid w:val="00B71789"/>
    <w:rsid w:val="00B7178C"/>
    <w:rsid w:val="00B7179F"/>
    <w:rsid w:val="00B717BD"/>
    <w:rsid w:val="00B717E9"/>
    <w:rsid w:val="00B71815"/>
    <w:rsid w:val="00B71833"/>
    <w:rsid w:val="00B71A9C"/>
    <w:rsid w:val="00B71B62"/>
    <w:rsid w:val="00B71C70"/>
    <w:rsid w:val="00B71CEA"/>
    <w:rsid w:val="00B71D35"/>
    <w:rsid w:val="00B71DE0"/>
    <w:rsid w:val="00B71F2A"/>
    <w:rsid w:val="00B71F80"/>
    <w:rsid w:val="00B71FAE"/>
    <w:rsid w:val="00B71FC8"/>
    <w:rsid w:val="00B71FEE"/>
    <w:rsid w:val="00B720EA"/>
    <w:rsid w:val="00B7215B"/>
    <w:rsid w:val="00B72351"/>
    <w:rsid w:val="00B72398"/>
    <w:rsid w:val="00B723AA"/>
    <w:rsid w:val="00B72432"/>
    <w:rsid w:val="00B725F7"/>
    <w:rsid w:val="00B72619"/>
    <w:rsid w:val="00B7280C"/>
    <w:rsid w:val="00B728B0"/>
    <w:rsid w:val="00B728DA"/>
    <w:rsid w:val="00B728EC"/>
    <w:rsid w:val="00B72A86"/>
    <w:rsid w:val="00B72A88"/>
    <w:rsid w:val="00B72A99"/>
    <w:rsid w:val="00B72BA9"/>
    <w:rsid w:val="00B72BCB"/>
    <w:rsid w:val="00B72C14"/>
    <w:rsid w:val="00B72C83"/>
    <w:rsid w:val="00B72E39"/>
    <w:rsid w:val="00B73032"/>
    <w:rsid w:val="00B731B4"/>
    <w:rsid w:val="00B73285"/>
    <w:rsid w:val="00B732F4"/>
    <w:rsid w:val="00B7334F"/>
    <w:rsid w:val="00B73408"/>
    <w:rsid w:val="00B734DB"/>
    <w:rsid w:val="00B73577"/>
    <w:rsid w:val="00B735C6"/>
    <w:rsid w:val="00B735E3"/>
    <w:rsid w:val="00B736F2"/>
    <w:rsid w:val="00B73758"/>
    <w:rsid w:val="00B737F8"/>
    <w:rsid w:val="00B7382E"/>
    <w:rsid w:val="00B73830"/>
    <w:rsid w:val="00B73857"/>
    <w:rsid w:val="00B73862"/>
    <w:rsid w:val="00B739BB"/>
    <w:rsid w:val="00B739E6"/>
    <w:rsid w:val="00B73A4D"/>
    <w:rsid w:val="00B73A87"/>
    <w:rsid w:val="00B73BC3"/>
    <w:rsid w:val="00B73CB1"/>
    <w:rsid w:val="00B73CE9"/>
    <w:rsid w:val="00B73D1E"/>
    <w:rsid w:val="00B73E13"/>
    <w:rsid w:val="00B73EDD"/>
    <w:rsid w:val="00B73F61"/>
    <w:rsid w:val="00B73F6D"/>
    <w:rsid w:val="00B73F97"/>
    <w:rsid w:val="00B73FE9"/>
    <w:rsid w:val="00B74144"/>
    <w:rsid w:val="00B74222"/>
    <w:rsid w:val="00B7429F"/>
    <w:rsid w:val="00B742FF"/>
    <w:rsid w:val="00B7433D"/>
    <w:rsid w:val="00B74392"/>
    <w:rsid w:val="00B74457"/>
    <w:rsid w:val="00B74482"/>
    <w:rsid w:val="00B7451E"/>
    <w:rsid w:val="00B74524"/>
    <w:rsid w:val="00B747DE"/>
    <w:rsid w:val="00B74824"/>
    <w:rsid w:val="00B74866"/>
    <w:rsid w:val="00B748AF"/>
    <w:rsid w:val="00B7493D"/>
    <w:rsid w:val="00B749BC"/>
    <w:rsid w:val="00B74A59"/>
    <w:rsid w:val="00B74A87"/>
    <w:rsid w:val="00B74DB9"/>
    <w:rsid w:val="00B74DF1"/>
    <w:rsid w:val="00B74E4E"/>
    <w:rsid w:val="00B74E8E"/>
    <w:rsid w:val="00B74ED3"/>
    <w:rsid w:val="00B74F7F"/>
    <w:rsid w:val="00B74F94"/>
    <w:rsid w:val="00B7506D"/>
    <w:rsid w:val="00B7514D"/>
    <w:rsid w:val="00B751DF"/>
    <w:rsid w:val="00B75316"/>
    <w:rsid w:val="00B75327"/>
    <w:rsid w:val="00B753B5"/>
    <w:rsid w:val="00B7544F"/>
    <w:rsid w:val="00B75502"/>
    <w:rsid w:val="00B7553B"/>
    <w:rsid w:val="00B75550"/>
    <w:rsid w:val="00B755CE"/>
    <w:rsid w:val="00B7562E"/>
    <w:rsid w:val="00B756D3"/>
    <w:rsid w:val="00B756F7"/>
    <w:rsid w:val="00B756FA"/>
    <w:rsid w:val="00B7579E"/>
    <w:rsid w:val="00B757CF"/>
    <w:rsid w:val="00B757E7"/>
    <w:rsid w:val="00B75826"/>
    <w:rsid w:val="00B75995"/>
    <w:rsid w:val="00B759D8"/>
    <w:rsid w:val="00B75A08"/>
    <w:rsid w:val="00B75A3C"/>
    <w:rsid w:val="00B75A67"/>
    <w:rsid w:val="00B75AED"/>
    <w:rsid w:val="00B75B84"/>
    <w:rsid w:val="00B75BFB"/>
    <w:rsid w:val="00B75C5B"/>
    <w:rsid w:val="00B75CF6"/>
    <w:rsid w:val="00B75EC7"/>
    <w:rsid w:val="00B75EE0"/>
    <w:rsid w:val="00B75FFF"/>
    <w:rsid w:val="00B76031"/>
    <w:rsid w:val="00B7607F"/>
    <w:rsid w:val="00B760B9"/>
    <w:rsid w:val="00B76165"/>
    <w:rsid w:val="00B761E2"/>
    <w:rsid w:val="00B762A3"/>
    <w:rsid w:val="00B76316"/>
    <w:rsid w:val="00B76319"/>
    <w:rsid w:val="00B76363"/>
    <w:rsid w:val="00B76472"/>
    <w:rsid w:val="00B7647D"/>
    <w:rsid w:val="00B7654D"/>
    <w:rsid w:val="00B7656E"/>
    <w:rsid w:val="00B76593"/>
    <w:rsid w:val="00B7660E"/>
    <w:rsid w:val="00B7668D"/>
    <w:rsid w:val="00B766EE"/>
    <w:rsid w:val="00B7670D"/>
    <w:rsid w:val="00B7684B"/>
    <w:rsid w:val="00B76884"/>
    <w:rsid w:val="00B768C9"/>
    <w:rsid w:val="00B768E8"/>
    <w:rsid w:val="00B7691C"/>
    <w:rsid w:val="00B7695A"/>
    <w:rsid w:val="00B76993"/>
    <w:rsid w:val="00B76B44"/>
    <w:rsid w:val="00B76B81"/>
    <w:rsid w:val="00B76C45"/>
    <w:rsid w:val="00B76CFA"/>
    <w:rsid w:val="00B76D12"/>
    <w:rsid w:val="00B76D82"/>
    <w:rsid w:val="00B76ED3"/>
    <w:rsid w:val="00B771C7"/>
    <w:rsid w:val="00B77429"/>
    <w:rsid w:val="00B77491"/>
    <w:rsid w:val="00B774B5"/>
    <w:rsid w:val="00B774F5"/>
    <w:rsid w:val="00B77694"/>
    <w:rsid w:val="00B776AB"/>
    <w:rsid w:val="00B776AD"/>
    <w:rsid w:val="00B77789"/>
    <w:rsid w:val="00B777B4"/>
    <w:rsid w:val="00B77865"/>
    <w:rsid w:val="00B77A6D"/>
    <w:rsid w:val="00B77B1B"/>
    <w:rsid w:val="00B77B60"/>
    <w:rsid w:val="00B77C63"/>
    <w:rsid w:val="00B77C8F"/>
    <w:rsid w:val="00B77CA7"/>
    <w:rsid w:val="00B77CBD"/>
    <w:rsid w:val="00B77F50"/>
    <w:rsid w:val="00B77FC2"/>
    <w:rsid w:val="00B77FF3"/>
    <w:rsid w:val="00B80057"/>
    <w:rsid w:val="00B8007D"/>
    <w:rsid w:val="00B800BF"/>
    <w:rsid w:val="00B800C0"/>
    <w:rsid w:val="00B80139"/>
    <w:rsid w:val="00B80179"/>
    <w:rsid w:val="00B801AF"/>
    <w:rsid w:val="00B801C6"/>
    <w:rsid w:val="00B801EB"/>
    <w:rsid w:val="00B80316"/>
    <w:rsid w:val="00B80512"/>
    <w:rsid w:val="00B805B1"/>
    <w:rsid w:val="00B805E1"/>
    <w:rsid w:val="00B805FA"/>
    <w:rsid w:val="00B8061A"/>
    <w:rsid w:val="00B806A7"/>
    <w:rsid w:val="00B8080C"/>
    <w:rsid w:val="00B808FE"/>
    <w:rsid w:val="00B80947"/>
    <w:rsid w:val="00B8094B"/>
    <w:rsid w:val="00B809C8"/>
    <w:rsid w:val="00B80ACC"/>
    <w:rsid w:val="00B80B33"/>
    <w:rsid w:val="00B80C9F"/>
    <w:rsid w:val="00B80CCB"/>
    <w:rsid w:val="00B80D21"/>
    <w:rsid w:val="00B80D50"/>
    <w:rsid w:val="00B80E5E"/>
    <w:rsid w:val="00B80EB9"/>
    <w:rsid w:val="00B80EF1"/>
    <w:rsid w:val="00B80FD4"/>
    <w:rsid w:val="00B8107F"/>
    <w:rsid w:val="00B81087"/>
    <w:rsid w:val="00B810B2"/>
    <w:rsid w:val="00B81207"/>
    <w:rsid w:val="00B81332"/>
    <w:rsid w:val="00B8140D"/>
    <w:rsid w:val="00B81453"/>
    <w:rsid w:val="00B8157D"/>
    <w:rsid w:val="00B81689"/>
    <w:rsid w:val="00B81691"/>
    <w:rsid w:val="00B817E7"/>
    <w:rsid w:val="00B81937"/>
    <w:rsid w:val="00B81976"/>
    <w:rsid w:val="00B819C2"/>
    <w:rsid w:val="00B819D4"/>
    <w:rsid w:val="00B81A09"/>
    <w:rsid w:val="00B81AB9"/>
    <w:rsid w:val="00B81AC5"/>
    <w:rsid w:val="00B81B63"/>
    <w:rsid w:val="00B81B9B"/>
    <w:rsid w:val="00B81BB5"/>
    <w:rsid w:val="00B81C38"/>
    <w:rsid w:val="00B81D2F"/>
    <w:rsid w:val="00B81E61"/>
    <w:rsid w:val="00B81ED5"/>
    <w:rsid w:val="00B81FE8"/>
    <w:rsid w:val="00B82009"/>
    <w:rsid w:val="00B8203D"/>
    <w:rsid w:val="00B820AD"/>
    <w:rsid w:val="00B82126"/>
    <w:rsid w:val="00B82206"/>
    <w:rsid w:val="00B823DF"/>
    <w:rsid w:val="00B8251B"/>
    <w:rsid w:val="00B82536"/>
    <w:rsid w:val="00B8259C"/>
    <w:rsid w:val="00B825D6"/>
    <w:rsid w:val="00B8261A"/>
    <w:rsid w:val="00B8273E"/>
    <w:rsid w:val="00B8276E"/>
    <w:rsid w:val="00B8278D"/>
    <w:rsid w:val="00B827FE"/>
    <w:rsid w:val="00B82AD2"/>
    <w:rsid w:val="00B82ADB"/>
    <w:rsid w:val="00B82B64"/>
    <w:rsid w:val="00B82B93"/>
    <w:rsid w:val="00B82CFC"/>
    <w:rsid w:val="00B82D39"/>
    <w:rsid w:val="00B82D4D"/>
    <w:rsid w:val="00B82DD2"/>
    <w:rsid w:val="00B82DED"/>
    <w:rsid w:val="00B82E28"/>
    <w:rsid w:val="00B82E7E"/>
    <w:rsid w:val="00B82F16"/>
    <w:rsid w:val="00B82FA1"/>
    <w:rsid w:val="00B83023"/>
    <w:rsid w:val="00B8309C"/>
    <w:rsid w:val="00B83141"/>
    <w:rsid w:val="00B83172"/>
    <w:rsid w:val="00B832A7"/>
    <w:rsid w:val="00B832C0"/>
    <w:rsid w:val="00B832C5"/>
    <w:rsid w:val="00B83312"/>
    <w:rsid w:val="00B834DD"/>
    <w:rsid w:val="00B83549"/>
    <w:rsid w:val="00B8361B"/>
    <w:rsid w:val="00B836D4"/>
    <w:rsid w:val="00B83708"/>
    <w:rsid w:val="00B837E3"/>
    <w:rsid w:val="00B838B9"/>
    <w:rsid w:val="00B83989"/>
    <w:rsid w:val="00B839F2"/>
    <w:rsid w:val="00B83A04"/>
    <w:rsid w:val="00B83AFD"/>
    <w:rsid w:val="00B83B5C"/>
    <w:rsid w:val="00B83B9B"/>
    <w:rsid w:val="00B83C10"/>
    <w:rsid w:val="00B83C9A"/>
    <w:rsid w:val="00B83DC7"/>
    <w:rsid w:val="00B83DF8"/>
    <w:rsid w:val="00B83F48"/>
    <w:rsid w:val="00B83F4C"/>
    <w:rsid w:val="00B83F69"/>
    <w:rsid w:val="00B83FBC"/>
    <w:rsid w:val="00B8404A"/>
    <w:rsid w:val="00B840A8"/>
    <w:rsid w:val="00B840E3"/>
    <w:rsid w:val="00B8413E"/>
    <w:rsid w:val="00B8413F"/>
    <w:rsid w:val="00B84189"/>
    <w:rsid w:val="00B8436B"/>
    <w:rsid w:val="00B843B0"/>
    <w:rsid w:val="00B843D4"/>
    <w:rsid w:val="00B84506"/>
    <w:rsid w:val="00B84572"/>
    <w:rsid w:val="00B8458E"/>
    <w:rsid w:val="00B8459C"/>
    <w:rsid w:val="00B847AE"/>
    <w:rsid w:val="00B847CC"/>
    <w:rsid w:val="00B84858"/>
    <w:rsid w:val="00B848A4"/>
    <w:rsid w:val="00B848CA"/>
    <w:rsid w:val="00B84B60"/>
    <w:rsid w:val="00B84BD1"/>
    <w:rsid w:val="00B84C3B"/>
    <w:rsid w:val="00B84CC8"/>
    <w:rsid w:val="00B84CEC"/>
    <w:rsid w:val="00B84D88"/>
    <w:rsid w:val="00B84EFC"/>
    <w:rsid w:val="00B84F6D"/>
    <w:rsid w:val="00B850B9"/>
    <w:rsid w:val="00B850D1"/>
    <w:rsid w:val="00B85156"/>
    <w:rsid w:val="00B85282"/>
    <w:rsid w:val="00B85303"/>
    <w:rsid w:val="00B85307"/>
    <w:rsid w:val="00B8532A"/>
    <w:rsid w:val="00B8535A"/>
    <w:rsid w:val="00B853D4"/>
    <w:rsid w:val="00B8545B"/>
    <w:rsid w:val="00B8546A"/>
    <w:rsid w:val="00B8547F"/>
    <w:rsid w:val="00B85484"/>
    <w:rsid w:val="00B854A4"/>
    <w:rsid w:val="00B8563F"/>
    <w:rsid w:val="00B856C8"/>
    <w:rsid w:val="00B856D1"/>
    <w:rsid w:val="00B85713"/>
    <w:rsid w:val="00B85717"/>
    <w:rsid w:val="00B85765"/>
    <w:rsid w:val="00B8586E"/>
    <w:rsid w:val="00B85880"/>
    <w:rsid w:val="00B8593E"/>
    <w:rsid w:val="00B85966"/>
    <w:rsid w:val="00B85ACA"/>
    <w:rsid w:val="00B85AD4"/>
    <w:rsid w:val="00B85ADB"/>
    <w:rsid w:val="00B85B71"/>
    <w:rsid w:val="00B85BF8"/>
    <w:rsid w:val="00B85C22"/>
    <w:rsid w:val="00B85C27"/>
    <w:rsid w:val="00B85C9D"/>
    <w:rsid w:val="00B85CF4"/>
    <w:rsid w:val="00B85D24"/>
    <w:rsid w:val="00B85D78"/>
    <w:rsid w:val="00B85E96"/>
    <w:rsid w:val="00B85EBD"/>
    <w:rsid w:val="00B860CF"/>
    <w:rsid w:val="00B86102"/>
    <w:rsid w:val="00B8619C"/>
    <w:rsid w:val="00B8620A"/>
    <w:rsid w:val="00B86233"/>
    <w:rsid w:val="00B862BA"/>
    <w:rsid w:val="00B8635A"/>
    <w:rsid w:val="00B8635B"/>
    <w:rsid w:val="00B86387"/>
    <w:rsid w:val="00B864A2"/>
    <w:rsid w:val="00B8656D"/>
    <w:rsid w:val="00B865C5"/>
    <w:rsid w:val="00B86604"/>
    <w:rsid w:val="00B8677A"/>
    <w:rsid w:val="00B8682E"/>
    <w:rsid w:val="00B868D8"/>
    <w:rsid w:val="00B868E0"/>
    <w:rsid w:val="00B86905"/>
    <w:rsid w:val="00B8699C"/>
    <w:rsid w:val="00B86A69"/>
    <w:rsid w:val="00B86C5A"/>
    <w:rsid w:val="00B86DA4"/>
    <w:rsid w:val="00B86DC0"/>
    <w:rsid w:val="00B86DF2"/>
    <w:rsid w:val="00B86E6E"/>
    <w:rsid w:val="00B86E93"/>
    <w:rsid w:val="00B86EBD"/>
    <w:rsid w:val="00B86EE9"/>
    <w:rsid w:val="00B86F61"/>
    <w:rsid w:val="00B86F92"/>
    <w:rsid w:val="00B86FAD"/>
    <w:rsid w:val="00B86FF3"/>
    <w:rsid w:val="00B87190"/>
    <w:rsid w:val="00B87214"/>
    <w:rsid w:val="00B87229"/>
    <w:rsid w:val="00B87288"/>
    <w:rsid w:val="00B8745B"/>
    <w:rsid w:val="00B87478"/>
    <w:rsid w:val="00B8749D"/>
    <w:rsid w:val="00B874DD"/>
    <w:rsid w:val="00B874EE"/>
    <w:rsid w:val="00B8754F"/>
    <w:rsid w:val="00B87645"/>
    <w:rsid w:val="00B87706"/>
    <w:rsid w:val="00B877F5"/>
    <w:rsid w:val="00B87882"/>
    <w:rsid w:val="00B878E2"/>
    <w:rsid w:val="00B87ADE"/>
    <w:rsid w:val="00B87BBE"/>
    <w:rsid w:val="00B87D8E"/>
    <w:rsid w:val="00B87DD7"/>
    <w:rsid w:val="00B87DF3"/>
    <w:rsid w:val="00B87DFD"/>
    <w:rsid w:val="00B87E05"/>
    <w:rsid w:val="00B87E52"/>
    <w:rsid w:val="00B87EBE"/>
    <w:rsid w:val="00B90032"/>
    <w:rsid w:val="00B90057"/>
    <w:rsid w:val="00B90095"/>
    <w:rsid w:val="00B90134"/>
    <w:rsid w:val="00B90229"/>
    <w:rsid w:val="00B90234"/>
    <w:rsid w:val="00B90269"/>
    <w:rsid w:val="00B90351"/>
    <w:rsid w:val="00B904E6"/>
    <w:rsid w:val="00B9060E"/>
    <w:rsid w:val="00B9066B"/>
    <w:rsid w:val="00B90683"/>
    <w:rsid w:val="00B906CF"/>
    <w:rsid w:val="00B906F7"/>
    <w:rsid w:val="00B9070F"/>
    <w:rsid w:val="00B90717"/>
    <w:rsid w:val="00B9073B"/>
    <w:rsid w:val="00B907C4"/>
    <w:rsid w:val="00B908BB"/>
    <w:rsid w:val="00B90972"/>
    <w:rsid w:val="00B90A9F"/>
    <w:rsid w:val="00B90AB6"/>
    <w:rsid w:val="00B90BA2"/>
    <w:rsid w:val="00B90BE0"/>
    <w:rsid w:val="00B90C11"/>
    <w:rsid w:val="00B90C61"/>
    <w:rsid w:val="00B90EC5"/>
    <w:rsid w:val="00B90F66"/>
    <w:rsid w:val="00B90F96"/>
    <w:rsid w:val="00B9101A"/>
    <w:rsid w:val="00B9112C"/>
    <w:rsid w:val="00B91161"/>
    <w:rsid w:val="00B911C5"/>
    <w:rsid w:val="00B911DE"/>
    <w:rsid w:val="00B9138D"/>
    <w:rsid w:val="00B91460"/>
    <w:rsid w:val="00B914C8"/>
    <w:rsid w:val="00B9151A"/>
    <w:rsid w:val="00B91598"/>
    <w:rsid w:val="00B91614"/>
    <w:rsid w:val="00B9167E"/>
    <w:rsid w:val="00B91691"/>
    <w:rsid w:val="00B916FD"/>
    <w:rsid w:val="00B91762"/>
    <w:rsid w:val="00B917F9"/>
    <w:rsid w:val="00B9189A"/>
    <w:rsid w:val="00B918B8"/>
    <w:rsid w:val="00B91965"/>
    <w:rsid w:val="00B919C7"/>
    <w:rsid w:val="00B919D6"/>
    <w:rsid w:val="00B91A3D"/>
    <w:rsid w:val="00B91AD6"/>
    <w:rsid w:val="00B91BC6"/>
    <w:rsid w:val="00B91BCF"/>
    <w:rsid w:val="00B91BF3"/>
    <w:rsid w:val="00B91BF8"/>
    <w:rsid w:val="00B91C00"/>
    <w:rsid w:val="00B91C06"/>
    <w:rsid w:val="00B91D19"/>
    <w:rsid w:val="00B91DCF"/>
    <w:rsid w:val="00B91EC0"/>
    <w:rsid w:val="00B91F36"/>
    <w:rsid w:val="00B91FFF"/>
    <w:rsid w:val="00B92017"/>
    <w:rsid w:val="00B920A3"/>
    <w:rsid w:val="00B920F0"/>
    <w:rsid w:val="00B92190"/>
    <w:rsid w:val="00B92429"/>
    <w:rsid w:val="00B92462"/>
    <w:rsid w:val="00B92483"/>
    <w:rsid w:val="00B924B5"/>
    <w:rsid w:val="00B9253B"/>
    <w:rsid w:val="00B92561"/>
    <w:rsid w:val="00B9258B"/>
    <w:rsid w:val="00B925BC"/>
    <w:rsid w:val="00B92741"/>
    <w:rsid w:val="00B92797"/>
    <w:rsid w:val="00B927D7"/>
    <w:rsid w:val="00B927F7"/>
    <w:rsid w:val="00B9281B"/>
    <w:rsid w:val="00B9284A"/>
    <w:rsid w:val="00B9287B"/>
    <w:rsid w:val="00B92898"/>
    <w:rsid w:val="00B929D0"/>
    <w:rsid w:val="00B929EE"/>
    <w:rsid w:val="00B92A29"/>
    <w:rsid w:val="00B92A65"/>
    <w:rsid w:val="00B92AAF"/>
    <w:rsid w:val="00B92B4C"/>
    <w:rsid w:val="00B92CD7"/>
    <w:rsid w:val="00B92D2D"/>
    <w:rsid w:val="00B92D64"/>
    <w:rsid w:val="00B92DAC"/>
    <w:rsid w:val="00B92DBE"/>
    <w:rsid w:val="00B92F56"/>
    <w:rsid w:val="00B92FA5"/>
    <w:rsid w:val="00B92FB4"/>
    <w:rsid w:val="00B93044"/>
    <w:rsid w:val="00B930E8"/>
    <w:rsid w:val="00B930ED"/>
    <w:rsid w:val="00B9318D"/>
    <w:rsid w:val="00B932C4"/>
    <w:rsid w:val="00B9332F"/>
    <w:rsid w:val="00B9334F"/>
    <w:rsid w:val="00B93375"/>
    <w:rsid w:val="00B93381"/>
    <w:rsid w:val="00B93427"/>
    <w:rsid w:val="00B93555"/>
    <w:rsid w:val="00B9356C"/>
    <w:rsid w:val="00B935FB"/>
    <w:rsid w:val="00B93704"/>
    <w:rsid w:val="00B93784"/>
    <w:rsid w:val="00B937CF"/>
    <w:rsid w:val="00B93812"/>
    <w:rsid w:val="00B93827"/>
    <w:rsid w:val="00B938C0"/>
    <w:rsid w:val="00B938EB"/>
    <w:rsid w:val="00B93ACE"/>
    <w:rsid w:val="00B93BBF"/>
    <w:rsid w:val="00B93CB6"/>
    <w:rsid w:val="00B93CC0"/>
    <w:rsid w:val="00B93CCE"/>
    <w:rsid w:val="00B93DB2"/>
    <w:rsid w:val="00B93E33"/>
    <w:rsid w:val="00B93E87"/>
    <w:rsid w:val="00B93EF6"/>
    <w:rsid w:val="00B93FBF"/>
    <w:rsid w:val="00B93FFB"/>
    <w:rsid w:val="00B940BC"/>
    <w:rsid w:val="00B9414D"/>
    <w:rsid w:val="00B94194"/>
    <w:rsid w:val="00B94203"/>
    <w:rsid w:val="00B94229"/>
    <w:rsid w:val="00B9431C"/>
    <w:rsid w:val="00B94384"/>
    <w:rsid w:val="00B9439E"/>
    <w:rsid w:val="00B9443B"/>
    <w:rsid w:val="00B945CD"/>
    <w:rsid w:val="00B94652"/>
    <w:rsid w:val="00B9467C"/>
    <w:rsid w:val="00B94696"/>
    <w:rsid w:val="00B94710"/>
    <w:rsid w:val="00B94768"/>
    <w:rsid w:val="00B94826"/>
    <w:rsid w:val="00B948EA"/>
    <w:rsid w:val="00B948FA"/>
    <w:rsid w:val="00B9496C"/>
    <w:rsid w:val="00B94983"/>
    <w:rsid w:val="00B949F6"/>
    <w:rsid w:val="00B94A85"/>
    <w:rsid w:val="00B94A9F"/>
    <w:rsid w:val="00B94B08"/>
    <w:rsid w:val="00B94BEB"/>
    <w:rsid w:val="00B94CC4"/>
    <w:rsid w:val="00B94DAA"/>
    <w:rsid w:val="00B94E9A"/>
    <w:rsid w:val="00B94EA7"/>
    <w:rsid w:val="00B94EE4"/>
    <w:rsid w:val="00B94F04"/>
    <w:rsid w:val="00B950FB"/>
    <w:rsid w:val="00B95132"/>
    <w:rsid w:val="00B95224"/>
    <w:rsid w:val="00B952EB"/>
    <w:rsid w:val="00B95349"/>
    <w:rsid w:val="00B95438"/>
    <w:rsid w:val="00B9543E"/>
    <w:rsid w:val="00B95440"/>
    <w:rsid w:val="00B95472"/>
    <w:rsid w:val="00B954B6"/>
    <w:rsid w:val="00B954C1"/>
    <w:rsid w:val="00B954C7"/>
    <w:rsid w:val="00B954D5"/>
    <w:rsid w:val="00B95588"/>
    <w:rsid w:val="00B95593"/>
    <w:rsid w:val="00B95692"/>
    <w:rsid w:val="00B95740"/>
    <w:rsid w:val="00B9579A"/>
    <w:rsid w:val="00B95888"/>
    <w:rsid w:val="00B958DB"/>
    <w:rsid w:val="00B95A50"/>
    <w:rsid w:val="00B95A98"/>
    <w:rsid w:val="00B95B2D"/>
    <w:rsid w:val="00B95B41"/>
    <w:rsid w:val="00B95C87"/>
    <w:rsid w:val="00B95D2D"/>
    <w:rsid w:val="00B95D60"/>
    <w:rsid w:val="00B95E57"/>
    <w:rsid w:val="00B95F99"/>
    <w:rsid w:val="00B95FBC"/>
    <w:rsid w:val="00B9617D"/>
    <w:rsid w:val="00B961EA"/>
    <w:rsid w:val="00B96229"/>
    <w:rsid w:val="00B96259"/>
    <w:rsid w:val="00B96290"/>
    <w:rsid w:val="00B96389"/>
    <w:rsid w:val="00B96397"/>
    <w:rsid w:val="00B9639B"/>
    <w:rsid w:val="00B96429"/>
    <w:rsid w:val="00B9648D"/>
    <w:rsid w:val="00B9649D"/>
    <w:rsid w:val="00B965BF"/>
    <w:rsid w:val="00B965DC"/>
    <w:rsid w:val="00B96604"/>
    <w:rsid w:val="00B96632"/>
    <w:rsid w:val="00B96645"/>
    <w:rsid w:val="00B96657"/>
    <w:rsid w:val="00B967BF"/>
    <w:rsid w:val="00B968C1"/>
    <w:rsid w:val="00B969D6"/>
    <w:rsid w:val="00B96A20"/>
    <w:rsid w:val="00B96BEB"/>
    <w:rsid w:val="00B96C47"/>
    <w:rsid w:val="00B96CBA"/>
    <w:rsid w:val="00B96CFA"/>
    <w:rsid w:val="00B96D3E"/>
    <w:rsid w:val="00B96D9B"/>
    <w:rsid w:val="00B96DAF"/>
    <w:rsid w:val="00B96DD0"/>
    <w:rsid w:val="00B96E5C"/>
    <w:rsid w:val="00B96EF4"/>
    <w:rsid w:val="00B96F06"/>
    <w:rsid w:val="00B96F08"/>
    <w:rsid w:val="00B96FD8"/>
    <w:rsid w:val="00B96FFF"/>
    <w:rsid w:val="00B9702F"/>
    <w:rsid w:val="00B97187"/>
    <w:rsid w:val="00B97248"/>
    <w:rsid w:val="00B9730B"/>
    <w:rsid w:val="00B97390"/>
    <w:rsid w:val="00B973E2"/>
    <w:rsid w:val="00B97410"/>
    <w:rsid w:val="00B97433"/>
    <w:rsid w:val="00B974B9"/>
    <w:rsid w:val="00B974C0"/>
    <w:rsid w:val="00B97617"/>
    <w:rsid w:val="00B97662"/>
    <w:rsid w:val="00B97751"/>
    <w:rsid w:val="00B97813"/>
    <w:rsid w:val="00B978C9"/>
    <w:rsid w:val="00B97973"/>
    <w:rsid w:val="00B97A3B"/>
    <w:rsid w:val="00B97AD3"/>
    <w:rsid w:val="00B97BAB"/>
    <w:rsid w:val="00B97D0E"/>
    <w:rsid w:val="00B97DAB"/>
    <w:rsid w:val="00B97E0D"/>
    <w:rsid w:val="00B97EAC"/>
    <w:rsid w:val="00B97F8E"/>
    <w:rsid w:val="00B984FE"/>
    <w:rsid w:val="00BA00D1"/>
    <w:rsid w:val="00BA00E7"/>
    <w:rsid w:val="00BA0109"/>
    <w:rsid w:val="00BA0225"/>
    <w:rsid w:val="00BA0266"/>
    <w:rsid w:val="00BA029B"/>
    <w:rsid w:val="00BA02AB"/>
    <w:rsid w:val="00BA02B5"/>
    <w:rsid w:val="00BA02EF"/>
    <w:rsid w:val="00BA0320"/>
    <w:rsid w:val="00BA0347"/>
    <w:rsid w:val="00BA034A"/>
    <w:rsid w:val="00BA04D1"/>
    <w:rsid w:val="00BA04E1"/>
    <w:rsid w:val="00BA0646"/>
    <w:rsid w:val="00BA06C5"/>
    <w:rsid w:val="00BA06C8"/>
    <w:rsid w:val="00BA06F1"/>
    <w:rsid w:val="00BA0741"/>
    <w:rsid w:val="00BA07E9"/>
    <w:rsid w:val="00BA08E6"/>
    <w:rsid w:val="00BA09F6"/>
    <w:rsid w:val="00BA0AA2"/>
    <w:rsid w:val="00BA0AAE"/>
    <w:rsid w:val="00BA0ABF"/>
    <w:rsid w:val="00BA0C42"/>
    <w:rsid w:val="00BA0CBE"/>
    <w:rsid w:val="00BA0D15"/>
    <w:rsid w:val="00BA0D26"/>
    <w:rsid w:val="00BA0D53"/>
    <w:rsid w:val="00BA0EB4"/>
    <w:rsid w:val="00BA0F0C"/>
    <w:rsid w:val="00BA0F22"/>
    <w:rsid w:val="00BA0FDA"/>
    <w:rsid w:val="00BA1063"/>
    <w:rsid w:val="00BA108E"/>
    <w:rsid w:val="00BA1122"/>
    <w:rsid w:val="00BA1124"/>
    <w:rsid w:val="00BA1155"/>
    <w:rsid w:val="00BA11AB"/>
    <w:rsid w:val="00BA11D3"/>
    <w:rsid w:val="00BA127E"/>
    <w:rsid w:val="00BA12EE"/>
    <w:rsid w:val="00BA1322"/>
    <w:rsid w:val="00BA1413"/>
    <w:rsid w:val="00BA145F"/>
    <w:rsid w:val="00BA146D"/>
    <w:rsid w:val="00BA148B"/>
    <w:rsid w:val="00BA14C6"/>
    <w:rsid w:val="00BA14CE"/>
    <w:rsid w:val="00BA15D1"/>
    <w:rsid w:val="00BA16B0"/>
    <w:rsid w:val="00BA1748"/>
    <w:rsid w:val="00BA17B8"/>
    <w:rsid w:val="00BA17C0"/>
    <w:rsid w:val="00BA17E6"/>
    <w:rsid w:val="00BA184B"/>
    <w:rsid w:val="00BA191C"/>
    <w:rsid w:val="00BA1A39"/>
    <w:rsid w:val="00BA1A46"/>
    <w:rsid w:val="00BA1A5D"/>
    <w:rsid w:val="00BA1A71"/>
    <w:rsid w:val="00BA1B09"/>
    <w:rsid w:val="00BA1BB8"/>
    <w:rsid w:val="00BA1BE3"/>
    <w:rsid w:val="00BA1C81"/>
    <w:rsid w:val="00BA1CBC"/>
    <w:rsid w:val="00BA1D6E"/>
    <w:rsid w:val="00BA1DD9"/>
    <w:rsid w:val="00BA1E01"/>
    <w:rsid w:val="00BA1EA1"/>
    <w:rsid w:val="00BA1F61"/>
    <w:rsid w:val="00BA204F"/>
    <w:rsid w:val="00BA20D5"/>
    <w:rsid w:val="00BA2189"/>
    <w:rsid w:val="00BA228E"/>
    <w:rsid w:val="00BA22CA"/>
    <w:rsid w:val="00BA2331"/>
    <w:rsid w:val="00BA2371"/>
    <w:rsid w:val="00BA24AD"/>
    <w:rsid w:val="00BA2532"/>
    <w:rsid w:val="00BA25C2"/>
    <w:rsid w:val="00BA266F"/>
    <w:rsid w:val="00BA26B9"/>
    <w:rsid w:val="00BA273E"/>
    <w:rsid w:val="00BA27BC"/>
    <w:rsid w:val="00BA2823"/>
    <w:rsid w:val="00BA2824"/>
    <w:rsid w:val="00BA2A1C"/>
    <w:rsid w:val="00BA2A46"/>
    <w:rsid w:val="00BA2A57"/>
    <w:rsid w:val="00BA2A69"/>
    <w:rsid w:val="00BA2A94"/>
    <w:rsid w:val="00BA2CEA"/>
    <w:rsid w:val="00BA2D57"/>
    <w:rsid w:val="00BA2E96"/>
    <w:rsid w:val="00BA2EAD"/>
    <w:rsid w:val="00BA2EC7"/>
    <w:rsid w:val="00BA2ED3"/>
    <w:rsid w:val="00BA2FCE"/>
    <w:rsid w:val="00BA3038"/>
    <w:rsid w:val="00BA30BD"/>
    <w:rsid w:val="00BA30C5"/>
    <w:rsid w:val="00BA325B"/>
    <w:rsid w:val="00BA3321"/>
    <w:rsid w:val="00BA3356"/>
    <w:rsid w:val="00BA33B9"/>
    <w:rsid w:val="00BA33C3"/>
    <w:rsid w:val="00BA3429"/>
    <w:rsid w:val="00BA34D6"/>
    <w:rsid w:val="00BA36EC"/>
    <w:rsid w:val="00BA3754"/>
    <w:rsid w:val="00BA37A7"/>
    <w:rsid w:val="00BA37F8"/>
    <w:rsid w:val="00BA389A"/>
    <w:rsid w:val="00BA3920"/>
    <w:rsid w:val="00BA3963"/>
    <w:rsid w:val="00BA3A08"/>
    <w:rsid w:val="00BA3B3F"/>
    <w:rsid w:val="00BA3CAB"/>
    <w:rsid w:val="00BA3D0C"/>
    <w:rsid w:val="00BA3D2E"/>
    <w:rsid w:val="00BA3DAB"/>
    <w:rsid w:val="00BA3E52"/>
    <w:rsid w:val="00BA3F04"/>
    <w:rsid w:val="00BA3F32"/>
    <w:rsid w:val="00BA3F3B"/>
    <w:rsid w:val="00BA3F93"/>
    <w:rsid w:val="00BA3FBA"/>
    <w:rsid w:val="00BA4015"/>
    <w:rsid w:val="00BA4084"/>
    <w:rsid w:val="00BA4093"/>
    <w:rsid w:val="00BA4095"/>
    <w:rsid w:val="00BA4116"/>
    <w:rsid w:val="00BA41C2"/>
    <w:rsid w:val="00BA4234"/>
    <w:rsid w:val="00BA4249"/>
    <w:rsid w:val="00BA4289"/>
    <w:rsid w:val="00BA42CA"/>
    <w:rsid w:val="00BA4362"/>
    <w:rsid w:val="00BA43AF"/>
    <w:rsid w:val="00BA43F6"/>
    <w:rsid w:val="00BA44D9"/>
    <w:rsid w:val="00BA454C"/>
    <w:rsid w:val="00BA46A8"/>
    <w:rsid w:val="00BA490B"/>
    <w:rsid w:val="00BA49C0"/>
    <w:rsid w:val="00BA49F4"/>
    <w:rsid w:val="00BA4A0A"/>
    <w:rsid w:val="00BA4A73"/>
    <w:rsid w:val="00BA4ACF"/>
    <w:rsid w:val="00BA4AF2"/>
    <w:rsid w:val="00BA4B7B"/>
    <w:rsid w:val="00BA4C0B"/>
    <w:rsid w:val="00BA4C1A"/>
    <w:rsid w:val="00BA4C1E"/>
    <w:rsid w:val="00BA4C58"/>
    <w:rsid w:val="00BA4D21"/>
    <w:rsid w:val="00BA4D25"/>
    <w:rsid w:val="00BA4D58"/>
    <w:rsid w:val="00BA4DDC"/>
    <w:rsid w:val="00BA4DE1"/>
    <w:rsid w:val="00BA4DF4"/>
    <w:rsid w:val="00BA4F1A"/>
    <w:rsid w:val="00BA50C2"/>
    <w:rsid w:val="00BA5145"/>
    <w:rsid w:val="00BA527A"/>
    <w:rsid w:val="00BA52B4"/>
    <w:rsid w:val="00BA5343"/>
    <w:rsid w:val="00BA535C"/>
    <w:rsid w:val="00BA53A3"/>
    <w:rsid w:val="00BA55D7"/>
    <w:rsid w:val="00BA562D"/>
    <w:rsid w:val="00BA5638"/>
    <w:rsid w:val="00BA56CB"/>
    <w:rsid w:val="00BA5767"/>
    <w:rsid w:val="00BA5786"/>
    <w:rsid w:val="00BA57DA"/>
    <w:rsid w:val="00BA57EF"/>
    <w:rsid w:val="00BA5861"/>
    <w:rsid w:val="00BA5918"/>
    <w:rsid w:val="00BA59F2"/>
    <w:rsid w:val="00BA5A99"/>
    <w:rsid w:val="00BA5ADC"/>
    <w:rsid w:val="00BA5B44"/>
    <w:rsid w:val="00BA5C72"/>
    <w:rsid w:val="00BA5C91"/>
    <w:rsid w:val="00BA5C97"/>
    <w:rsid w:val="00BA5D41"/>
    <w:rsid w:val="00BA5DA8"/>
    <w:rsid w:val="00BA5E04"/>
    <w:rsid w:val="00BA5F16"/>
    <w:rsid w:val="00BA5F74"/>
    <w:rsid w:val="00BA5FF2"/>
    <w:rsid w:val="00BA60AB"/>
    <w:rsid w:val="00BA60E2"/>
    <w:rsid w:val="00BA6180"/>
    <w:rsid w:val="00BA618F"/>
    <w:rsid w:val="00BA61BE"/>
    <w:rsid w:val="00BA6267"/>
    <w:rsid w:val="00BA62B7"/>
    <w:rsid w:val="00BA6435"/>
    <w:rsid w:val="00BA6441"/>
    <w:rsid w:val="00BA6472"/>
    <w:rsid w:val="00BA649B"/>
    <w:rsid w:val="00BA64B8"/>
    <w:rsid w:val="00BA64F7"/>
    <w:rsid w:val="00BA662A"/>
    <w:rsid w:val="00BA663E"/>
    <w:rsid w:val="00BA675A"/>
    <w:rsid w:val="00BA68DF"/>
    <w:rsid w:val="00BA693F"/>
    <w:rsid w:val="00BA6999"/>
    <w:rsid w:val="00BA69C8"/>
    <w:rsid w:val="00BA6A82"/>
    <w:rsid w:val="00BA6B0F"/>
    <w:rsid w:val="00BA6B65"/>
    <w:rsid w:val="00BA6BD7"/>
    <w:rsid w:val="00BA6BF8"/>
    <w:rsid w:val="00BA6E5F"/>
    <w:rsid w:val="00BA6FAC"/>
    <w:rsid w:val="00BA701B"/>
    <w:rsid w:val="00BA7054"/>
    <w:rsid w:val="00BA70F1"/>
    <w:rsid w:val="00BA7134"/>
    <w:rsid w:val="00BA7166"/>
    <w:rsid w:val="00BA718D"/>
    <w:rsid w:val="00BA721D"/>
    <w:rsid w:val="00BA7360"/>
    <w:rsid w:val="00BA73A6"/>
    <w:rsid w:val="00BA7412"/>
    <w:rsid w:val="00BA7420"/>
    <w:rsid w:val="00BA7430"/>
    <w:rsid w:val="00BA748E"/>
    <w:rsid w:val="00BA7536"/>
    <w:rsid w:val="00BA755B"/>
    <w:rsid w:val="00BA7589"/>
    <w:rsid w:val="00BA7609"/>
    <w:rsid w:val="00BA762A"/>
    <w:rsid w:val="00BA7727"/>
    <w:rsid w:val="00BA778D"/>
    <w:rsid w:val="00BA7AAD"/>
    <w:rsid w:val="00BA7BC8"/>
    <w:rsid w:val="00BA7C49"/>
    <w:rsid w:val="00BA7C65"/>
    <w:rsid w:val="00BA7CB0"/>
    <w:rsid w:val="00BA7CE3"/>
    <w:rsid w:val="00BA7D18"/>
    <w:rsid w:val="00BA7D36"/>
    <w:rsid w:val="00BA7D55"/>
    <w:rsid w:val="00BA7E27"/>
    <w:rsid w:val="00BA7FCF"/>
    <w:rsid w:val="00BB00C8"/>
    <w:rsid w:val="00BB00CC"/>
    <w:rsid w:val="00BB01D1"/>
    <w:rsid w:val="00BB0225"/>
    <w:rsid w:val="00BB027B"/>
    <w:rsid w:val="00BB0287"/>
    <w:rsid w:val="00BB032C"/>
    <w:rsid w:val="00BB03E5"/>
    <w:rsid w:val="00BB0448"/>
    <w:rsid w:val="00BB04AB"/>
    <w:rsid w:val="00BB056B"/>
    <w:rsid w:val="00BB057A"/>
    <w:rsid w:val="00BB05D7"/>
    <w:rsid w:val="00BB05FC"/>
    <w:rsid w:val="00BB0697"/>
    <w:rsid w:val="00BB06C2"/>
    <w:rsid w:val="00BB07E6"/>
    <w:rsid w:val="00BB07E7"/>
    <w:rsid w:val="00BB07F1"/>
    <w:rsid w:val="00BB0851"/>
    <w:rsid w:val="00BB0878"/>
    <w:rsid w:val="00BB088F"/>
    <w:rsid w:val="00BB08D9"/>
    <w:rsid w:val="00BB0ADD"/>
    <w:rsid w:val="00BB0AE6"/>
    <w:rsid w:val="00BB0AF7"/>
    <w:rsid w:val="00BB0B0F"/>
    <w:rsid w:val="00BB0B73"/>
    <w:rsid w:val="00BB0CCE"/>
    <w:rsid w:val="00BB0CE7"/>
    <w:rsid w:val="00BB0CFB"/>
    <w:rsid w:val="00BB0D5D"/>
    <w:rsid w:val="00BB0D70"/>
    <w:rsid w:val="00BB0E8D"/>
    <w:rsid w:val="00BB0ED0"/>
    <w:rsid w:val="00BB106E"/>
    <w:rsid w:val="00BB10FE"/>
    <w:rsid w:val="00BB1147"/>
    <w:rsid w:val="00BB119A"/>
    <w:rsid w:val="00BB122F"/>
    <w:rsid w:val="00BB125D"/>
    <w:rsid w:val="00BB12BB"/>
    <w:rsid w:val="00BB1351"/>
    <w:rsid w:val="00BB13FF"/>
    <w:rsid w:val="00BB14ED"/>
    <w:rsid w:val="00BB151B"/>
    <w:rsid w:val="00BB1543"/>
    <w:rsid w:val="00BB154A"/>
    <w:rsid w:val="00BB15C2"/>
    <w:rsid w:val="00BB1654"/>
    <w:rsid w:val="00BB165B"/>
    <w:rsid w:val="00BB1766"/>
    <w:rsid w:val="00BB1795"/>
    <w:rsid w:val="00BB1877"/>
    <w:rsid w:val="00BB19DC"/>
    <w:rsid w:val="00BB1A3A"/>
    <w:rsid w:val="00BB1B4B"/>
    <w:rsid w:val="00BB1BB3"/>
    <w:rsid w:val="00BB1BC7"/>
    <w:rsid w:val="00BB1BDB"/>
    <w:rsid w:val="00BB1CE2"/>
    <w:rsid w:val="00BB1D07"/>
    <w:rsid w:val="00BB1E5D"/>
    <w:rsid w:val="00BB1F1A"/>
    <w:rsid w:val="00BB2041"/>
    <w:rsid w:val="00BB2212"/>
    <w:rsid w:val="00BB2257"/>
    <w:rsid w:val="00BB22CD"/>
    <w:rsid w:val="00BB22EC"/>
    <w:rsid w:val="00BB2318"/>
    <w:rsid w:val="00BB24D3"/>
    <w:rsid w:val="00BB24E1"/>
    <w:rsid w:val="00BB25C3"/>
    <w:rsid w:val="00BB25E2"/>
    <w:rsid w:val="00BB25F9"/>
    <w:rsid w:val="00BB28E4"/>
    <w:rsid w:val="00BB2949"/>
    <w:rsid w:val="00BB2AA4"/>
    <w:rsid w:val="00BB2AD4"/>
    <w:rsid w:val="00BB2B3E"/>
    <w:rsid w:val="00BB2B55"/>
    <w:rsid w:val="00BB2B60"/>
    <w:rsid w:val="00BB2B9A"/>
    <w:rsid w:val="00BB2C06"/>
    <w:rsid w:val="00BB2EA6"/>
    <w:rsid w:val="00BB2F41"/>
    <w:rsid w:val="00BB2FBE"/>
    <w:rsid w:val="00BB2FD6"/>
    <w:rsid w:val="00BB31E5"/>
    <w:rsid w:val="00BB3234"/>
    <w:rsid w:val="00BB341F"/>
    <w:rsid w:val="00BB34B0"/>
    <w:rsid w:val="00BB3664"/>
    <w:rsid w:val="00BB36FA"/>
    <w:rsid w:val="00BB372F"/>
    <w:rsid w:val="00BB3788"/>
    <w:rsid w:val="00BB37B0"/>
    <w:rsid w:val="00BB382A"/>
    <w:rsid w:val="00BB38A0"/>
    <w:rsid w:val="00BB38DD"/>
    <w:rsid w:val="00BB390B"/>
    <w:rsid w:val="00BB39C0"/>
    <w:rsid w:val="00BB3B15"/>
    <w:rsid w:val="00BB3B5C"/>
    <w:rsid w:val="00BB3BC1"/>
    <w:rsid w:val="00BB3BE0"/>
    <w:rsid w:val="00BB3D26"/>
    <w:rsid w:val="00BB3DB9"/>
    <w:rsid w:val="00BB3DC8"/>
    <w:rsid w:val="00BB3E63"/>
    <w:rsid w:val="00BB4120"/>
    <w:rsid w:val="00BB416C"/>
    <w:rsid w:val="00BB4207"/>
    <w:rsid w:val="00BB4271"/>
    <w:rsid w:val="00BB4282"/>
    <w:rsid w:val="00BB430A"/>
    <w:rsid w:val="00BB430E"/>
    <w:rsid w:val="00BB438C"/>
    <w:rsid w:val="00BB4452"/>
    <w:rsid w:val="00BB44ED"/>
    <w:rsid w:val="00BB4578"/>
    <w:rsid w:val="00BB45EB"/>
    <w:rsid w:val="00BB47BD"/>
    <w:rsid w:val="00BB47EA"/>
    <w:rsid w:val="00BB4962"/>
    <w:rsid w:val="00BB4A78"/>
    <w:rsid w:val="00BB4BC0"/>
    <w:rsid w:val="00BB4C08"/>
    <w:rsid w:val="00BB4C95"/>
    <w:rsid w:val="00BB4E12"/>
    <w:rsid w:val="00BB4E24"/>
    <w:rsid w:val="00BB4F12"/>
    <w:rsid w:val="00BB4F4A"/>
    <w:rsid w:val="00BB4F5C"/>
    <w:rsid w:val="00BB4F80"/>
    <w:rsid w:val="00BB4FD9"/>
    <w:rsid w:val="00BB5042"/>
    <w:rsid w:val="00BB5070"/>
    <w:rsid w:val="00BB5081"/>
    <w:rsid w:val="00BB5090"/>
    <w:rsid w:val="00BB50B7"/>
    <w:rsid w:val="00BB50BF"/>
    <w:rsid w:val="00BB5109"/>
    <w:rsid w:val="00BB5150"/>
    <w:rsid w:val="00BB525F"/>
    <w:rsid w:val="00BB52ED"/>
    <w:rsid w:val="00BB52F5"/>
    <w:rsid w:val="00BB5308"/>
    <w:rsid w:val="00BB53A1"/>
    <w:rsid w:val="00BB541C"/>
    <w:rsid w:val="00BB547C"/>
    <w:rsid w:val="00BB54A3"/>
    <w:rsid w:val="00BB54FE"/>
    <w:rsid w:val="00BB5570"/>
    <w:rsid w:val="00BB55C7"/>
    <w:rsid w:val="00BB565D"/>
    <w:rsid w:val="00BB5711"/>
    <w:rsid w:val="00BB57D3"/>
    <w:rsid w:val="00BB58E7"/>
    <w:rsid w:val="00BB58F9"/>
    <w:rsid w:val="00BB58FC"/>
    <w:rsid w:val="00BB592D"/>
    <w:rsid w:val="00BB5A5C"/>
    <w:rsid w:val="00BB5B19"/>
    <w:rsid w:val="00BB5B77"/>
    <w:rsid w:val="00BB5B87"/>
    <w:rsid w:val="00BB5BC3"/>
    <w:rsid w:val="00BB5C6E"/>
    <w:rsid w:val="00BB5C9B"/>
    <w:rsid w:val="00BB5C9F"/>
    <w:rsid w:val="00BB5D48"/>
    <w:rsid w:val="00BB5D55"/>
    <w:rsid w:val="00BB5DD5"/>
    <w:rsid w:val="00BB5FBC"/>
    <w:rsid w:val="00BB603E"/>
    <w:rsid w:val="00BB61FF"/>
    <w:rsid w:val="00BB6204"/>
    <w:rsid w:val="00BB645F"/>
    <w:rsid w:val="00BB64B2"/>
    <w:rsid w:val="00BB64D6"/>
    <w:rsid w:val="00BB656C"/>
    <w:rsid w:val="00BB6594"/>
    <w:rsid w:val="00BB65BF"/>
    <w:rsid w:val="00BB66B5"/>
    <w:rsid w:val="00BB670F"/>
    <w:rsid w:val="00BB6799"/>
    <w:rsid w:val="00BB67A2"/>
    <w:rsid w:val="00BB67D9"/>
    <w:rsid w:val="00BB6818"/>
    <w:rsid w:val="00BB685E"/>
    <w:rsid w:val="00BB6861"/>
    <w:rsid w:val="00BB68EB"/>
    <w:rsid w:val="00BB6911"/>
    <w:rsid w:val="00BB6989"/>
    <w:rsid w:val="00BB69BA"/>
    <w:rsid w:val="00BB6B1F"/>
    <w:rsid w:val="00BB6B27"/>
    <w:rsid w:val="00BB6BDD"/>
    <w:rsid w:val="00BB6C0A"/>
    <w:rsid w:val="00BB6DDA"/>
    <w:rsid w:val="00BB6E8B"/>
    <w:rsid w:val="00BB6EC9"/>
    <w:rsid w:val="00BB6F69"/>
    <w:rsid w:val="00BB7075"/>
    <w:rsid w:val="00BB7123"/>
    <w:rsid w:val="00BB713A"/>
    <w:rsid w:val="00BB71AC"/>
    <w:rsid w:val="00BB7208"/>
    <w:rsid w:val="00BB720B"/>
    <w:rsid w:val="00BB7258"/>
    <w:rsid w:val="00BB72B6"/>
    <w:rsid w:val="00BB73FD"/>
    <w:rsid w:val="00BB7473"/>
    <w:rsid w:val="00BB74C6"/>
    <w:rsid w:val="00BB750B"/>
    <w:rsid w:val="00BB75BF"/>
    <w:rsid w:val="00BB75CB"/>
    <w:rsid w:val="00BB75DB"/>
    <w:rsid w:val="00BB75EB"/>
    <w:rsid w:val="00BB7633"/>
    <w:rsid w:val="00BB7651"/>
    <w:rsid w:val="00BB7787"/>
    <w:rsid w:val="00BB77B8"/>
    <w:rsid w:val="00BB7878"/>
    <w:rsid w:val="00BB78A3"/>
    <w:rsid w:val="00BB791B"/>
    <w:rsid w:val="00BB795A"/>
    <w:rsid w:val="00BB7A00"/>
    <w:rsid w:val="00BB7A28"/>
    <w:rsid w:val="00BB7B39"/>
    <w:rsid w:val="00BB7BEB"/>
    <w:rsid w:val="00BB7C1D"/>
    <w:rsid w:val="00BB7C3B"/>
    <w:rsid w:val="00BB7CD9"/>
    <w:rsid w:val="00BB7E7D"/>
    <w:rsid w:val="00BB7EAE"/>
    <w:rsid w:val="00BC017D"/>
    <w:rsid w:val="00BC026A"/>
    <w:rsid w:val="00BC0353"/>
    <w:rsid w:val="00BC0389"/>
    <w:rsid w:val="00BC0390"/>
    <w:rsid w:val="00BC03DE"/>
    <w:rsid w:val="00BC048B"/>
    <w:rsid w:val="00BC0509"/>
    <w:rsid w:val="00BC055D"/>
    <w:rsid w:val="00BC07FC"/>
    <w:rsid w:val="00BC094D"/>
    <w:rsid w:val="00BC0970"/>
    <w:rsid w:val="00BC09C1"/>
    <w:rsid w:val="00BC0B2A"/>
    <w:rsid w:val="00BC0C91"/>
    <w:rsid w:val="00BC0D64"/>
    <w:rsid w:val="00BC0E1F"/>
    <w:rsid w:val="00BC101B"/>
    <w:rsid w:val="00BC10CF"/>
    <w:rsid w:val="00BC10ED"/>
    <w:rsid w:val="00BC1166"/>
    <w:rsid w:val="00BC1167"/>
    <w:rsid w:val="00BC117C"/>
    <w:rsid w:val="00BC11D2"/>
    <w:rsid w:val="00BC11EE"/>
    <w:rsid w:val="00BC1251"/>
    <w:rsid w:val="00BC12C3"/>
    <w:rsid w:val="00BC1359"/>
    <w:rsid w:val="00BC143D"/>
    <w:rsid w:val="00BC146A"/>
    <w:rsid w:val="00BC14D2"/>
    <w:rsid w:val="00BC159B"/>
    <w:rsid w:val="00BC15EC"/>
    <w:rsid w:val="00BC163B"/>
    <w:rsid w:val="00BC16FD"/>
    <w:rsid w:val="00BC17AB"/>
    <w:rsid w:val="00BC186E"/>
    <w:rsid w:val="00BC19C4"/>
    <w:rsid w:val="00BC19FB"/>
    <w:rsid w:val="00BC19FF"/>
    <w:rsid w:val="00BC1A5D"/>
    <w:rsid w:val="00BC1AE4"/>
    <w:rsid w:val="00BC1C2E"/>
    <w:rsid w:val="00BC1C88"/>
    <w:rsid w:val="00BC1CBA"/>
    <w:rsid w:val="00BC1D5F"/>
    <w:rsid w:val="00BC1F0C"/>
    <w:rsid w:val="00BC1FA1"/>
    <w:rsid w:val="00BC202F"/>
    <w:rsid w:val="00BC2078"/>
    <w:rsid w:val="00BC20D7"/>
    <w:rsid w:val="00BC2147"/>
    <w:rsid w:val="00BC215C"/>
    <w:rsid w:val="00BC21E2"/>
    <w:rsid w:val="00BC2209"/>
    <w:rsid w:val="00BC2221"/>
    <w:rsid w:val="00BC2315"/>
    <w:rsid w:val="00BC234B"/>
    <w:rsid w:val="00BC235C"/>
    <w:rsid w:val="00BC2408"/>
    <w:rsid w:val="00BC26AF"/>
    <w:rsid w:val="00BC2735"/>
    <w:rsid w:val="00BC27F4"/>
    <w:rsid w:val="00BC27F5"/>
    <w:rsid w:val="00BC29BC"/>
    <w:rsid w:val="00BC29C1"/>
    <w:rsid w:val="00BC2AF0"/>
    <w:rsid w:val="00BC2B47"/>
    <w:rsid w:val="00BC2B9B"/>
    <w:rsid w:val="00BC2CC6"/>
    <w:rsid w:val="00BC2CE2"/>
    <w:rsid w:val="00BC2D28"/>
    <w:rsid w:val="00BC2D2B"/>
    <w:rsid w:val="00BC2D70"/>
    <w:rsid w:val="00BC2E58"/>
    <w:rsid w:val="00BC2E9F"/>
    <w:rsid w:val="00BC316F"/>
    <w:rsid w:val="00BC31CE"/>
    <w:rsid w:val="00BC3210"/>
    <w:rsid w:val="00BC321B"/>
    <w:rsid w:val="00BC3272"/>
    <w:rsid w:val="00BC32F6"/>
    <w:rsid w:val="00BC33C7"/>
    <w:rsid w:val="00BC3461"/>
    <w:rsid w:val="00BC349B"/>
    <w:rsid w:val="00BC34A7"/>
    <w:rsid w:val="00BC35B3"/>
    <w:rsid w:val="00BC35E5"/>
    <w:rsid w:val="00BC35F9"/>
    <w:rsid w:val="00BC3650"/>
    <w:rsid w:val="00BC36FF"/>
    <w:rsid w:val="00BC3776"/>
    <w:rsid w:val="00BC37D8"/>
    <w:rsid w:val="00BC3858"/>
    <w:rsid w:val="00BC3953"/>
    <w:rsid w:val="00BC39D0"/>
    <w:rsid w:val="00BC3BFA"/>
    <w:rsid w:val="00BC3C06"/>
    <w:rsid w:val="00BC3C28"/>
    <w:rsid w:val="00BC3C30"/>
    <w:rsid w:val="00BC3C4F"/>
    <w:rsid w:val="00BC3D35"/>
    <w:rsid w:val="00BC3D9B"/>
    <w:rsid w:val="00BC3E12"/>
    <w:rsid w:val="00BC3F0B"/>
    <w:rsid w:val="00BC3FD5"/>
    <w:rsid w:val="00BC4037"/>
    <w:rsid w:val="00BC40C0"/>
    <w:rsid w:val="00BC4185"/>
    <w:rsid w:val="00BC4189"/>
    <w:rsid w:val="00BC42BF"/>
    <w:rsid w:val="00BC4312"/>
    <w:rsid w:val="00BC43A0"/>
    <w:rsid w:val="00BC43C3"/>
    <w:rsid w:val="00BC441B"/>
    <w:rsid w:val="00BC441F"/>
    <w:rsid w:val="00BC4482"/>
    <w:rsid w:val="00BC448C"/>
    <w:rsid w:val="00BC44E8"/>
    <w:rsid w:val="00BC4554"/>
    <w:rsid w:val="00BC45AE"/>
    <w:rsid w:val="00BC45C8"/>
    <w:rsid w:val="00BC4683"/>
    <w:rsid w:val="00BC469E"/>
    <w:rsid w:val="00BC46B9"/>
    <w:rsid w:val="00BC46E0"/>
    <w:rsid w:val="00BC46EA"/>
    <w:rsid w:val="00BC4740"/>
    <w:rsid w:val="00BC47E9"/>
    <w:rsid w:val="00BC4896"/>
    <w:rsid w:val="00BC492C"/>
    <w:rsid w:val="00BC4967"/>
    <w:rsid w:val="00BC496D"/>
    <w:rsid w:val="00BC4971"/>
    <w:rsid w:val="00BC4B05"/>
    <w:rsid w:val="00BC4C1E"/>
    <w:rsid w:val="00BC4C6E"/>
    <w:rsid w:val="00BC4C86"/>
    <w:rsid w:val="00BC4D5D"/>
    <w:rsid w:val="00BC4E27"/>
    <w:rsid w:val="00BC4EA8"/>
    <w:rsid w:val="00BC4EBE"/>
    <w:rsid w:val="00BC4ED5"/>
    <w:rsid w:val="00BC4EF3"/>
    <w:rsid w:val="00BC4F2F"/>
    <w:rsid w:val="00BC4FB4"/>
    <w:rsid w:val="00BC5022"/>
    <w:rsid w:val="00BC5032"/>
    <w:rsid w:val="00BC507D"/>
    <w:rsid w:val="00BC50AC"/>
    <w:rsid w:val="00BC5139"/>
    <w:rsid w:val="00BC5196"/>
    <w:rsid w:val="00BC52DE"/>
    <w:rsid w:val="00BC5322"/>
    <w:rsid w:val="00BC53FF"/>
    <w:rsid w:val="00BC545B"/>
    <w:rsid w:val="00BC5496"/>
    <w:rsid w:val="00BC553A"/>
    <w:rsid w:val="00BC55E3"/>
    <w:rsid w:val="00BC5693"/>
    <w:rsid w:val="00BC57BD"/>
    <w:rsid w:val="00BC57F5"/>
    <w:rsid w:val="00BC58DB"/>
    <w:rsid w:val="00BC5987"/>
    <w:rsid w:val="00BC59E0"/>
    <w:rsid w:val="00BC5B9B"/>
    <w:rsid w:val="00BC5C7E"/>
    <w:rsid w:val="00BC5CF7"/>
    <w:rsid w:val="00BC5D37"/>
    <w:rsid w:val="00BC5D76"/>
    <w:rsid w:val="00BC5D8C"/>
    <w:rsid w:val="00BC5E12"/>
    <w:rsid w:val="00BC5E52"/>
    <w:rsid w:val="00BC5E98"/>
    <w:rsid w:val="00BC5EDA"/>
    <w:rsid w:val="00BC6256"/>
    <w:rsid w:val="00BC627C"/>
    <w:rsid w:val="00BC62C1"/>
    <w:rsid w:val="00BC62EE"/>
    <w:rsid w:val="00BC6304"/>
    <w:rsid w:val="00BC6351"/>
    <w:rsid w:val="00BC6482"/>
    <w:rsid w:val="00BC6626"/>
    <w:rsid w:val="00BC6629"/>
    <w:rsid w:val="00BC6657"/>
    <w:rsid w:val="00BC66B2"/>
    <w:rsid w:val="00BC66F7"/>
    <w:rsid w:val="00BC6763"/>
    <w:rsid w:val="00BC678B"/>
    <w:rsid w:val="00BC67EB"/>
    <w:rsid w:val="00BC6839"/>
    <w:rsid w:val="00BC6888"/>
    <w:rsid w:val="00BC6942"/>
    <w:rsid w:val="00BC69FD"/>
    <w:rsid w:val="00BC6B4E"/>
    <w:rsid w:val="00BC6B53"/>
    <w:rsid w:val="00BC6BEC"/>
    <w:rsid w:val="00BC6C3F"/>
    <w:rsid w:val="00BC6CCC"/>
    <w:rsid w:val="00BC6D71"/>
    <w:rsid w:val="00BC6DD6"/>
    <w:rsid w:val="00BC6DDF"/>
    <w:rsid w:val="00BC6F0B"/>
    <w:rsid w:val="00BC6F39"/>
    <w:rsid w:val="00BC6F5A"/>
    <w:rsid w:val="00BC6FAE"/>
    <w:rsid w:val="00BC70B7"/>
    <w:rsid w:val="00BC70F3"/>
    <w:rsid w:val="00BC710C"/>
    <w:rsid w:val="00BC711D"/>
    <w:rsid w:val="00BC7190"/>
    <w:rsid w:val="00BC7297"/>
    <w:rsid w:val="00BC72DA"/>
    <w:rsid w:val="00BC739A"/>
    <w:rsid w:val="00BC74C0"/>
    <w:rsid w:val="00BC757D"/>
    <w:rsid w:val="00BC7824"/>
    <w:rsid w:val="00BC787A"/>
    <w:rsid w:val="00BC78CA"/>
    <w:rsid w:val="00BC790E"/>
    <w:rsid w:val="00BC7A41"/>
    <w:rsid w:val="00BC7BB1"/>
    <w:rsid w:val="00BC7CAD"/>
    <w:rsid w:val="00BC7CC1"/>
    <w:rsid w:val="00BC7D51"/>
    <w:rsid w:val="00BC7E7A"/>
    <w:rsid w:val="00BC7F29"/>
    <w:rsid w:val="00BD0011"/>
    <w:rsid w:val="00BD0038"/>
    <w:rsid w:val="00BD0048"/>
    <w:rsid w:val="00BD004E"/>
    <w:rsid w:val="00BD014B"/>
    <w:rsid w:val="00BD01F5"/>
    <w:rsid w:val="00BD0273"/>
    <w:rsid w:val="00BD0284"/>
    <w:rsid w:val="00BD0440"/>
    <w:rsid w:val="00BD048E"/>
    <w:rsid w:val="00BD04A3"/>
    <w:rsid w:val="00BD0508"/>
    <w:rsid w:val="00BD06F8"/>
    <w:rsid w:val="00BD0ADC"/>
    <w:rsid w:val="00BD0C2B"/>
    <w:rsid w:val="00BD0CF8"/>
    <w:rsid w:val="00BD0DDA"/>
    <w:rsid w:val="00BD0EA5"/>
    <w:rsid w:val="00BD0EEC"/>
    <w:rsid w:val="00BD0F69"/>
    <w:rsid w:val="00BD0F7A"/>
    <w:rsid w:val="00BD0FDB"/>
    <w:rsid w:val="00BD115E"/>
    <w:rsid w:val="00BD1200"/>
    <w:rsid w:val="00BD1230"/>
    <w:rsid w:val="00BD1298"/>
    <w:rsid w:val="00BD1392"/>
    <w:rsid w:val="00BD1476"/>
    <w:rsid w:val="00BD14F3"/>
    <w:rsid w:val="00BD14FF"/>
    <w:rsid w:val="00BD1549"/>
    <w:rsid w:val="00BD1558"/>
    <w:rsid w:val="00BD15E9"/>
    <w:rsid w:val="00BD1675"/>
    <w:rsid w:val="00BD1846"/>
    <w:rsid w:val="00BD186F"/>
    <w:rsid w:val="00BD1898"/>
    <w:rsid w:val="00BD1933"/>
    <w:rsid w:val="00BD1ABF"/>
    <w:rsid w:val="00BD1BA2"/>
    <w:rsid w:val="00BD1BE3"/>
    <w:rsid w:val="00BD1C2D"/>
    <w:rsid w:val="00BD1CAD"/>
    <w:rsid w:val="00BD1D81"/>
    <w:rsid w:val="00BD1E1A"/>
    <w:rsid w:val="00BD1E88"/>
    <w:rsid w:val="00BD1FC1"/>
    <w:rsid w:val="00BD1FF1"/>
    <w:rsid w:val="00BD200E"/>
    <w:rsid w:val="00BD202B"/>
    <w:rsid w:val="00BD2049"/>
    <w:rsid w:val="00BD2112"/>
    <w:rsid w:val="00BD2148"/>
    <w:rsid w:val="00BD21C7"/>
    <w:rsid w:val="00BD23E4"/>
    <w:rsid w:val="00BD23EB"/>
    <w:rsid w:val="00BD24C0"/>
    <w:rsid w:val="00BD24DB"/>
    <w:rsid w:val="00BD2515"/>
    <w:rsid w:val="00BD2569"/>
    <w:rsid w:val="00BD266A"/>
    <w:rsid w:val="00BD26B2"/>
    <w:rsid w:val="00BD2707"/>
    <w:rsid w:val="00BD281B"/>
    <w:rsid w:val="00BD2AB9"/>
    <w:rsid w:val="00BD2BD7"/>
    <w:rsid w:val="00BD2C7E"/>
    <w:rsid w:val="00BD2D37"/>
    <w:rsid w:val="00BD2D75"/>
    <w:rsid w:val="00BD2E07"/>
    <w:rsid w:val="00BD2E4B"/>
    <w:rsid w:val="00BD2E59"/>
    <w:rsid w:val="00BD2E8A"/>
    <w:rsid w:val="00BD2E9E"/>
    <w:rsid w:val="00BD2EDB"/>
    <w:rsid w:val="00BD2EEC"/>
    <w:rsid w:val="00BD2F56"/>
    <w:rsid w:val="00BD2FEA"/>
    <w:rsid w:val="00BD3053"/>
    <w:rsid w:val="00BD30B8"/>
    <w:rsid w:val="00BD3148"/>
    <w:rsid w:val="00BD3177"/>
    <w:rsid w:val="00BD32F8"/>
    <w:rsid w:val="00BD3322"/>
    <w:rsid w:val="00BD33F5"/>
    <w:rsid w:val="00BD374D"/>
    <w:rsid w:val="00BD37DB"/>
    <w:rsid w:val="00BD37E4"/>
    <w:rsid w:val="00BD383C"/>
    <w:rsid w:val="00BD3844"/>
    <w:rsid w:val="00BD397C"/>
    <w:rsid w:val="00BD39BA"/>
    <w:rsid w:val="00BD39C0"/>
    <w:rsid w:val="00BD3A29"/>
    <w:rsid w:val="00BD3A39"/>
    <w:rsid w:val="00BD3AC3"/>
    <w:rsid w:val="00BD3AD5"/>
    <w:rsid w:val="00BD3BFD"/>
    <w:rsid w:val="00BD3CA5"/>
    <w:rsid w:val="00BD3CC6"/>
    <w:rsid w:val="00BD3D2F"/>
    <w:rsid w:val="00BD3D5F"/>
    <w:rsid w:val="00BD3D69"/>
    <w:rsid w:val="00BD3D88"/>
    <w:rsid w:val="00BD3E02"/>
    <w:rsid w:val="00BD3FBD"/>
    <w:rsid w:val="00BD4003"/>
    <w:rsid w:val="00BD4199"/>
    <w:rsid w:val="00BD41F8"/>
    <w:rsid w:val="00BD4297"/>
    <w:rsid w:val="00BD42D0"/>
    <w:rsid w:val="00BD42F1"/>
    <w:rsid w:val="00BD4329"/>
    <w:rsid w:val="00BD4384"/>
    <w:rsid w:val="00BD43BD"/>
    <w:rsid w:val="00BD43E3"/>
    <w:rsid w:val="00BD447E"/>
    <w:rsid w:val="00BD4565"/>
    <w:rsid w:val="00BD45C5"/>
    <w:rsid w:val="00BD4667"/>
    <w:rsid w:val="00BD46FC"/>
    <w:rsid w:val="00BD47A5"/>
    <w:rsid w:val="00BD47FB"/>
    <w:rsid w:val="00BD486C"/>
    <w:rsid w:val="00BD48AB"/>
    <w:rsid w:val="00BD48DD"/>
    <w:rsid w:val="00BD493A"/>
    <w:rsid w:val="00BD493B"/>
    <w:rsid w:val="00BD4972"/>
    <w:rsid w:val="00BD49C4"/>
    <w:rsid w:val="00BD4A8B"/>
    <w:rsid w:val="00BD4C2D"/>
    <w:rsid w:val="00BD4D1A"/>
    <w:rsid w:val="00BD4D77"/>
    <w:rsid w:val="00BD4D80"/>
    <w:rsid w:val="00BD4ED6"/>
    <w:rsid w:val="00BD4F5F"/>
    <w:rsid w:val="00BD4FB9"/>
    <w:rsid w:val="00BD5043"/>
    <w:rsid w:val="00BD505B"/>
    <w:rsid w:val="00BD5062"/>
    <w:rsid w:val="00BD5082"/>
    <w:rsid w:val="00BD50C0"/>
    <w:rsid w:val="00BD50F0"/>
    <w:rsid w:val="00BD527F"/>
    <w:rsid w:val="00BD52FA"/>
    <w:rsid w:val="00BD539A"/>
    <w:rsid w:val="00BD53E3"/>
    <w:rsid w:val="00BD540E"/>
    <w:rsid w:val="00BD54A8"/>
    <w:rsid w:val="00BD5574"/>
    <w:rsid w:val="00BD55B0"/>
    <w:rsid w:val="00BD561A"/>
    <w:rsid w:val="00BD56B2"/>
    <w:rsid w:val="00BD56C2"/>
    <w:rsid w:val="00BD5705"/>
    <w:rsid w:val="00BD589D"/>
    <w:rsid w:val="00BD5907"/>
    <w:rsid w:val="00BD590A"/>
    <w:rsid w:val="00BD59BF"/>
    <w:rsid w:val="00BD5A06"/>
    <w:rsid w:val="00BD5A49"/>
    <w:rsid w:val="00BD5A70"/>
    <w:rsid w:val="00BD5A99"/>
    <w:rsid w:val="00BD5AF7"/>
    <w:rsid w:val="00BD5C3A"/>
    <w:rsid w:val="00BD5CA3"/>
    <w:rsid w:val="00BD5D08"/>
    <w:rsid w:val="00BD5DF9"/>
    <w:rsid w:val="00BD5F94"/>
    <w:rsid w:val="00BD5FB8"/>
    <w:rsid w:val="00BD5FED"/>
    <w:rsid w:val="00BD6231"/>
    <w:rsid w:val="00BD624C"/>
    <w:rsid w:val="00BD625C"/>
    <w:rsid w:val="00BD6269"/>
    <w:rsid w:val="00BD62E8"/>
    <w:rsid w:val="00BD6306"/>
    <w:rsid w:val="00BD630D"/>
    <w:rsid w:val="00BD6362"/>
    <w:rsid w:val="00BD63BB"/>
    <w:rsid w:val="00BD6404"/>
    <w:rsid w:val="00BD644D"/>
    <w:rsid w:val="00BD64D0"/>
    <w:rsid w:val="00BD6515"/>
    <w:rsid w:val="00BD65F3"/>
    <w:rsid w:val="00BD6693"/>
    <w:rsid w:val="00BD66CD"/>
    <w:rsid w:val="00BD66E2"/>
    <w:rsid w:val="00BD674A"/>
    <w:rsid w:val="00BD6795"/>
    <w:rsid w:val="00BD67C8"/>
    <w:rsid w:val="00BD681B"/>
    <w:rsid w:val="00BD6961"/>
    <w:rsid w:val="00BD6A0F"/>
    <w:rsid w:val="00BD6A62"/>
    <w:rsid w:val="00BD6AB8"/>
    <w:rsid w:val="00BD6DCF"/>
    <w:rsid w:val="00BD6E14"/>
    <w:rsid w:val="00BD6E20"/>
    <w:rsid w:val="00BD6F34"/>
    <w:rsid w:val="00BD6FE8"/>
    <w:rsid w:val="00BD709E"/>
    <w:rsid w:val="00BD70C2"/>
    <w:rsid w:val="00BD7100"/>
    <w:rsid w:val="00BD7151"/>
    <w:rsid w:val="00BD7171"/>
    <w:rsid w:val="00BD7349"/>
    <w:rsid w:val="00BD7357"/>
    <w:rsid w:val="00BD73DD"/>
    <w:rsid w:val="00BD74D4"/>
    <w:rsid w:val="00BD74D9"/>
    <w:rsid w:val="00BD74DD"/>
    <w:rsid w:val="00BD7614"/>
    <w:rsid w:val="00BD769C"/>
    <w:rsid w:val="00BD77BC"/>
    <w:rsid w:val="00BD7885"/>
    <w:rsid w:val="00BD78B6"/>
    <w:rsid w:val="00BD78BF"/>
    <w:rsid w:val="00BD7950"/>
    <w:rsid w:val="00BD7AE5"/>
    <w:rsid w:val="00BD7B45"/>
    <w:rsid w:val="00BD7B79"/>
    <w:rsid w:val="00BD7D18"/>
    <w:rsid w:val="00BD7D4A"/>
    <w:rsid w:val="00BD7D5A"/>
    <w:rsid w:val="00BD7D68"/>
    <w:rsid w:val="00BD7D78"/>
    <w:rsid w:val="00BD7D82"/>
    <w:rsid w:val="00BD7DB2"/>
    <w:rsid w:val="00BD7DC1"/>
    <w:rsid w:val="00BD7DC3"/>
    <w:rsid w:val="00BD7E37"/>
    <w:rsid w:val="00BD7E4A"/>
    <w:rsid w:val="00BD7E72"/>
    <w:rsid w:val="00BD7EA2"/>
    <w:rsid w:val="00BD7FA5"/>
    <w:rsid w:val="00BDC424"/>
    <w:rsid w:val="00BE0061"/>
    <w:rsid w:val="00BE009C"/>
    <w:rsid w:val="00BE00D2"/>
    <w:rsid w:val="00BE018F"/>
    <w:rsid w:val="00BE01AA"/>
    <w:rsid w:val="00BE02C8"/>
    <w:rsid w:val="00BE039C"/>
    <w:rsid w:val="00BE03BF"/>
    <w:rsid w:val="00BE043B"/>
    <w:rsid w:val="00BE04CF"/>
    <w:rsid w:val="00BE0504"/>
    <w:rsid w:val="00BE058B"/>
    <w:rsid w:val="00BE05CA"/>
    <w:rsid w:val="00BE062E"/>
    <w:rsid w:val="00BE0644"/>
    <w:rsid w:val="00BE066E"/>
    <w:rsid w:val="00BE06CE"/>
    <w:rsid w:val="00BE07D3"/>
    <w:rsid w:val="00BE081F"/>
    <w:rsid w:val="00BE090A"/>
    <w:rsid w:val="00BE090E"/>
    <w:rsid w:val="00BE091D"/>
    <w:rsid w:val="00BE0970"/>
    <w:rsid w:val="00BE09CA"/>
    <w:rsid w:val="00BE0AE1"/>
    <w:rsid w:val="00BE0D08"/>
    <w:rsid w:val="00BE0DA4"/>
    <w:rsid w:val="00BE0E00"/>
    <w:rsid w:val="00BE0E50"/>
    <w:rsid w:val="00BE0E83"/>
    <w:rsid w:val="00BE1058"/>
    <w:rsid w:val="00BE113C"/>
    <w:rsid w:val="00BE1158"/>
    <w:rsid w:val="00BE115F"/>
    <w:rsid w:val="00BE1175"/>
    <w:rsid w:val="00BE11F1"/>
    <w:rsid w:val="00BE12A3"/>
    <w:rsid w:val="00BE12AB"/>
    <w:rsid w:val="00BE12D7"/>
    <w:rsid w:val="00BE1524"/>
    <w:rsid w:val="00BE1614"/>
    <w:rsid w:val="00BE1675"/>
    <w:rsid w:val="00BE1796"/>
    <w:rsid w:val="00BE17C8"/>
    <w:rsid w:val="00BE186C"/>
    <w:rsid w:val="00BE1878"/>
    <w:rsid w:val="00BE1933"/>
    <w:rsid w:val="00BE1A7E"/>
    <w:rsid w:val="00BE1B30"/>
    <w:rsid w:val="00BE1C48"/>
    <w:rsid w:val="00BE1C4B"/>
    <w:rsid w:val="00BE1CD0"/>
    <w:rsid w:val="00BE1D71"/>
    <w:rsid w:val="00BE1DC0"/>
    <w:rsid w:val="00BE1E08"/>
    <w:rsid w:val="00BE1E6F"/>
    <w:rsid w:val="00BE1F47"/>
    <w:rsid w:val="00BE1F9C"/>
    <w:rsid w:val="00BE1FA5"/>
    <w:rsid w:val="00BE1FE2"/>
    <w:rsid w:val="00BE202B"/>
    <w:rsid w:val="00BE209F"/>
    <w:rsid w:val="00BE20EB"/>
    <w:rsid w:val="00BE2259"/>
    <w:rsid w:val="00BE2274"/>
    <w:rsid w:val="00BE22FF"/>
    <w:rsid w:val="00BE231A"/>
    <w:rsid w:val="00BE23FC"/>
    <w:rsid w:val="00BE2679"/>
    <w:rsid w:val="00BE26A4"/>
    <w:rsid w:val="00BE26BD"/>
    <w:rsid w:val="00BE28A5"/>
    <w:rsid w:val="00BE28D1"/>
    <w:rsid w:val="00BE28DA"/>
    <w:rsid w:val="00BE2B6E"/>
    <w:rsid w:val="00BE2BC1"/>
    <w:rsid w:val="00BE2C68"/>
    <w:rsid w:val="00BE2D0A"/>
    <w:rsid w:val="00BE2DB3"/>
    <w:rsid w:val="00BE2DE5"/>
    <w:rsid w:val="00BE2ED1"/>
    <w:rsid w:val="00BE2F25"/>
    <w:rsid w:val="00BE2F26"/>
    <w:rsid w:val="00BE2F4E"/>
    <w:rsid w:val="00BE2F9E"/>
    <w:rsid w:val="00BE305A"/>
    <w:rsid w:val="00BE3103"/>
    <w:rsid w:val="00BE315D"/>
    <w:rsid w:val="00BE3172"/>
    <w:rsid w:val="00BE3247"/>
    <w:rsid w:val="00BE3303"/>
    <w:rsid w:val="00BE3326"/>
    <w:rsid w:val="00BE3352"/>
    <w:rsid w:val="00BE33DD"/>
    <w:rsid w:val="00BE3437"/>
    <w:rsid w:val="00BE34C5"/>
    <w:rsid w:val="00BE3520"/>
    <w:rsid w:val="00BE3562"/>
    <w:rsid w:val="00BE3650"/>
    <w:rsid w:val="00BE372E"/>
    <w:rsid w:val="00BE3774"/>
    <w:rsid w:val="00BE3829"/>
    <w:rsid w:val="00BE3853"/>
    <w:rsid w:val="00BE3977"/>
    <w:rsid w:val="00BE3A2B"/>
    <w:rsid w:val="00BE3A34"/>
    <w:rsid w:val="00BE3AEB"/>
    <w:rsid w:val="00BE3B8F"/>
    <w:rsid w:val="00BE3BC2"/>
    <w:rsid w:val="00BE3BFD"/>
    <w:rsid w:val="00BE3C4B"/>
    <w:rsid w:val="00BE3C86"/>
    <w:rsid w:val="00BE3E75"/>
    <w:rsid w:val="00BE3EF0"/>
    <w:rsid w:val="00BE3F1F"/>
    <w:rsid w:val="00BE3F73"/>
    <w:rsid w:val="00BE3FD2"/>
    <w:rsid w:val="00BE40DE"/>
    <w:rsid w:val="00BE419B"/>
    <w:rsid w:val="00BE41D4"/>
    <w:rsid w:val="00BE41FD"/>
    <w:rsid w:val="00BE4396"/>
    <w:rsid w:val="00BE4519"/>
    <w:rsid w:val="00BE456A"/>
    <w:rsid w:val="00BE4571"/>
    <w:rsid w:val="00BE4575"/>
    <w:rsid w:val="00BE45B4"/>
    <w:rsid w:val="00BE4630"/>
    <w:rsid w:val="00BE468F"/>
    <w:rsid w:val="00BE47AA"/>
    <w:rsid w:val="00BE47AD"/>
    <w:rsid w:val="00BE4876"/>
    <w:rsid w:val="00BE48D0"/>
    <w:rsid w:val="00BE4A55"/>
    <w:rsid w:val="00BE4B6E"/>
    <w:rsid w:val="00BE4B70"/>
    <w:rsid w:val="00BE4B91"/>
    <w:rsid w:val="00BE4BA4"/>
    <w:rsid w:val="00BE4C41"/>
    <w:rsid w:val="00BE4CCE"/>
    <w:rsid w:val="00BE4CE9"/>
    <w:rsid w:val="00BE4DFB"/>
    <w:rsid w:val="00BE4EE4"/>
    <w:rsid w:val="00BE4EFE"/>
    <w:rsid w:val="00BE50F6"/>
    <w:rsid w:val="00BE5140"/>
    <w:rsid w:val="00BE518B"/>
    <w:rsid w:val="00BE51E1"/>
    <w:rsid w:val="00BE5203"/>
    <w:rsid w:val="00BE545C"/>
    <w:rsid w:val="00BE54E1"/>
    <w:rsid w:val="00BE55C5"/>
    <w:rsid w:val="00BE5717"/>
    <w:rsid w:val="00BE5790"/>
    <w:rsid w:val="00BE580E"/>
    <w:rsid w:val="00BE5842"/>
    <w:rsid w:val="00BE5938"/>
    <w:rsid w:val="00BE596A"/>
    <w:rsid w:val="00BE5970"/>
    <w:rsid w:val="00BE59C8"/>
    <w:rsid w:val="00BE5A11"/>
    <w:rsid w:val="00BE5AF3"/>
    <w:rsid w:val="00BE5B07"/>
    <w:rsid w:val="00BE5B98"/>
    <w:rsid w:val="00BE5C68"/>
    <w:rsid w:val="00BE5CC1"/>
    <w:rsid w:val="00BE5EFE"/>
    <w:rsid w:val="00BE5F6F"/>
    <w:rsid w:val="00BE5FA5"/>
    <w:rsid w:val="00BE5FEA"/>
    <w:rsid w:val="00BE6139"/>
    <w:rsid w:val="00BE6163"/>
    <w:rsid w:val="00BE617B"/>
    <w:rsid w:val="00BE621A"/>
    <w:rsid w:val="00BE624B"/>
    <w:rsid w:val="00BE62B1"/>
    <w:rsid w:val="00BE636F"/>
    <w:rsid w:val="00BE640A"/>
    <w:rsid w:val="00BE6483"/>
    <w:rsid w:val="00BE64A0"/>
    <w:rsid w:val="00BE64A2"/>
    <w:rsid w:val="00BE653D"/>
    <w:rsid w:val="00BE6676"/>
    <w:rsid w:val="00BE6831"/>
    <w:rsid w:val="00BE68B5"/>
    <w:rsid w:val="00BE69FA"/>
    <w:rsid w:val="00BE6CED"/>
    <w:rsid w:val="00BE6D27"/>
    <w:rsid w:val="00BE6D41"/>
    <w:rsid w:val="00BE6DB0"/>
    <w:rsid w:val="00BE6E23"/>
    <w:rsid w:val="00BE6E2E"/>
    <w:rsid w:val="00BE6F00"/>
    <w:rsid w:val="00BE6F78"/>
    <w:rsid w:val="00BE703D"/>
    <w:rsid w:val="00BE7106"/>
    <w:rsid w:val="00BE71F5"/>
    <w:rsid w:val="00BE7226"/>
    <w:rsid w:val="00BE723C"/>
    <w:rsid w:val="00BE723E"/>
    <w:rsid w:val="00BE732A"/>
    <w:rsid w:val="00BE7416"/>
    <w:rsid w:val="00BE74D9"/>
    <w:rsid w:val="00BE74EB"/>
    <w:rsid w:val="00BE7555"/>
    <w:rsid w:val="00BE76EF"/>
    <w:rsid w:val="00BE77B6"/>
    <w:rsid w:val="00BE7893"/>
    <w:rsid w:val="00BE7957"/>
    <w:rsid w:val="00BE79B2"/>
    <w:rsid w:val="00BE7A04"/>
    <w:rsid w:val="00BE7A4F"/>
    <w:rsid w:val="00BE7AB1"/>
    <w:rsid w:val="00BE7B3D"/>
    <w:rsid w:val="00BE7B66"/>
    <w:rsid w:val="00BE7BE9"/>
    <w:rsid w:val="00BE7C75"/>
    <w:rsid w:val="00BE7C91"/>
    <w:rsid w:val="00BE7D0E"/>
    <w:rsid w:val="00BE7DFA"/>
    <w:rsid w:val="00BE7E88"/>
    <w:rsid w:val="00BE7E91"/>
    <w:rsid w:val="00BE7EAC"/>
    <w:rsid w:val="00BF0115"/>
    <w:rsid w:val="00BF0191"/>
    <w:rsid w:val="00BF021B"/>
    <w:rsid w:val="00BF0348"/>
    <w:rsid w:val="00BF046D"/>
    <w:rsid w:val="00BF048C"/>
    <w:rsid w:val="00BF04C0"/>
    <w:rsid w:val="00BF0539"/>
    <w:rsid w:val="00BF057E"/>
    <w:rsid w:val="00BF059D"/>
    <w:rsid w:val="00BF06D0"/>
    <w:rsid w:val="00BF0720"/>
    <w:rsid w:val="00BF0734"/>
    <w:rsid w:val="00BF0737"/>
    <w:rsid w:val="00BF07D1"/>
    <w:rsid w:val="00BF082E"/>
    <w:rsid w:val="00BF097C"/>
    <w:rsid w:val="00BF09B7"/>
    <w:rsid w:val="00BF0A04"/>
    <w:rsid w:val="00BF0AA7"/>
    <w:rsid w:val="00BF0BDF"/>
    <w:rsid w:val="00BF0C89"/>
    <w:rsid w:val="00BF10CF"/>
    <w:rsid w:val="00BF10DE"/>
    <w:rsid w:val="00BF1105"/>
    <w:rsid w:val="00BF1145"/>
    <w:rsid w:val="00BF115B"/>
    <w:rsid w:val="00BF11C6"/>
    <w:rsid w:val="00BF135D"/>
    <w:rsid w:val="00BF13D8"/>
    <w:rsid w:val="00BF15B6"/>
    <w:rsid w:val="00BF16AB"/>
    <w:rsid w:val="00BF173A"/>
    <w:rsid w:val="00BF17A5"/>
    <w:rsid w:val="00BF17B0"/>
    <w:rsid w:val="00BF183E"/>
    <w:rsid w:val="00BF19BB"/>
    <w:rsid w:val="00BF19E6"/>
    <w:rsid w:val="00BF1A09"/>
    <w:rsid w:val="00BF1B3A"/>
    <w:rsid w:val="00BF1B58"/>
    <w:rsid w:val="00BF1D09"/>
    <w:rsid w:val="00BF1E37"/>
    <w:rsid w:val="00BF1E3B"/>
    <w:rsid w:val="00BF1E60"/>
    <w:rsid w:val="00BF1EAF"/>
    <w:rsid w:val="00BF200B"/>
    <w:rsid w:val="00BF2019"/>
    <w:rsid w:val="00BF2120"/>
    <w:rsid w:val="00BF2140"/>
    <w:rsid w:val="00BF2161"/>
    <w:rsid w:val="00BF216E"/>
    <w:rsid w:val="00BF21B9"/>
    <w:rsid w:val="00BF2224"/>
    <w:rsid w:val="00BF22AC"/>
    <w:rsid w:val="00BF22FE"/>
    <w:rsid w:val="00BF231B"/>
    <w:rsid w:val="00BF236C"/>
    <w:rsid w:val="00BF2425"/>
    <w:rsid w:val="00BF257B"/>
    <w:rsid w:val="00BF2642"/>
    <w:rsid w:val="00BF2742"/>
    <w:rsid w:val="00BF2783"/>
    <w:rsid w:val="00BF2823"/>
    <w:rsid w:val="00BF28F4"/>
    <w:rsid w:val="00BF29AE"/>
    <w:rsid w:val="00BF29EF"/>
    <w:rsid w:val="00BF2BE3"/>
    <w:rsid w:val="00BF2D95"/>
    <w:rsid w:val="00BF2E13"/>
    <w:rsid w:val="00BF2F5D"/>
    <w:rsid w:val="00BF2FB7"/>
    <w:rsid w:val="00BF30CF"/>
    <w:rsid w:val="00BF30E1"/>
    <w:rsid w:val="00BF32B0"/>
    <w:rsid w:val="00BF32D1"/>
    <w:rsid w:val="00BF32E3"/>
    <w:rsid w:val="00BF33B8"/>
    <w:rsid w:val="00BF35DF"/>
    <w:rsid w:val="00BF36A1"/>
    <w:rsid w:val="00BF37BA"/>
    <w:rsid w:val="00BF38EF"/>
    <w:rsid w:val="00BF38FB"/>
    <w:rsid w:val="00BF3A32"/>
    <w:rsid w:val="00BF3A7B"/>
    <w:rsid w:val="00BF3B7B"/>
    <w:rsid w:val="00BF3BC5"/>
    <w:rsid w:val="00BF3BF5"/>
    <w:rsid w:val="00BF3BFB"/>
    <w:rsid w:val="00BF3C2B"/>
    <w:rsid w:val="00BF3C37"/>
    <w:rsid w:val="00BF3C5A"/>
    <w:rsid w:val="00BF3CBF"/>
    <w:rsid w:val="00BF3D08"/>
    <w:rsid w:val="00BF3D1E"/>
    <w:rsid w:val="00BF3D2B"/>
    <w:rsid w:val="00BF3D51"/>
    <w:rsid w:val="00BF3E9D"/>
    <w:rsid w:val="00BF3EB8"/>
    <w:rsid w:val="00BF3EF4"/>
    <w:rsid w:val="00BF3F0C"/>
    <w:rsid w:val="00BF3FC0"/>
    <w:rsid w:val="00BF4063"/>
    <w:rsid w:val="00BF407D"/>
    <w:rsid w:val="00BF4096"/>
    <w:rsid w:val="00BF40A3"/>
    <w:rsid w:val="00BF4100"/>
    <w:rsid w:val="00BF41FB"/>
    <w:rsid w:val="00BF421A"/>
    <w:rsid w:val="00BF42E9"/>
    <w:rsid w:val="00BF42EB"/>
    <w:rsid w:val="00BF42FB"/>
    <w:rsid w:val="00BF43B1"/>
    <w:rsid w:val="00BF4426"/>
    <w:rsid w:val="00BF4634"/>
    <w:rsid w:val="00BF4676"/>
    <w:rsid w:val="00BF4691"/>
    <w:rsid w:val="00BF46CB"/>
    <w:rsid w:val="00BF46D5"/>
    <w:rsid w:val="00BF4864"/>
    <w:rsid w:val="00BF48DA"/>
    <w:rsid w:val="00BF49AE"/>
    <w:rsid w:val="00BF4A8E"/>
    <w:rsid w:val="00BF4AAE"/>
    <w:rsid w:val="00BF4B45"/>
    <w:rsid w:val="00BF4BDF"/>
    <w:rsid w:val="00BF4BE2"/>
    <w:rsid w:val="00BF4C99"/>
    <w:rsid w:val="00BF4CFC"/>
    <w:rsid w:val="00BF4D2E"/>
    <w:rsid w:val="00BF4D51"/>
    <w:rsid w:val="00BF4D52"/>
    <w:rsid w:val="00BF4E83"/>
    <w:rsid w:val="00BF4F11"/>
    <w:rsid w:val="00BF4FBB"/>
    <w:rsid w:val="00BF5059"/>
    <w:rsid w:val="00BF508C"/>
    <w:rsid w:val="00BF509B"/>
    <w:rsid w:val="00BF50FA"/>
    <w:rsid w:val="00BF5274"/>
    <w:rsid w:val="00BF528C"/>
    <w:rsid w:val="00BF52F0"/>
    <w:rsid w:val="00BF5345"/>
    <w:rsid w:val="00BF534C"/>
    <w:rsid w:val="00BF538E"/>
    <w:rsid w:val="00BF542F"/>
    <w:rsid w:val="00BF5532"/>
    <w:rsid w:val="00BF5562"/>
    <w:rsid w:val="00BF5588"/>
    <w:rsid w:val="00BF5597"/>
    <w:rsid w:val="00BF56F6"/>
    <w:rsid w:val="00BF56FF"/>
    <w:rsid w:val="00BF582C"/>
    <w:rsid w:val="00BF5845"/>
    <w:rsid w:val="00BF58EA"/>
    <w:rsid w:val="00BF58F0"/>
    <w:rsid w:val="00BF59C0"/>
    <w:rsid w:val="00BF5A0C"/>
    <w:rsid w:val="00BF5A95"/>
    <w:rsid w:val="00BF5ACD"/>
    <w:rsid w:val="00BF5B86"/>
    <w:rsid w:val="00BF5C84"/>
    <w:rsid w:val="00BF5CE8"/>
    <w:rsid w:val="00BF5E6F"/>
    <w:rsid w:val="00BF5ED7"/>
    <w:rsid w:val="00BF5F28"/>
    <w:rsid w:val="00BF5FB7"/>
    <w:rsid w:val="00BF5FC7"/>
    <w:rsid w:val="00BF5FCA"/>
    <w:rsid w:val="00BF5FE8"/>
    <w:rsid w:val="00BF6032"/>
    <w:rsid w:val="00BF604D"/>
    <w:rsid w:val="00BF6177"/>
    <w:rsid w:val="00BF6214"/>
    <w:rsid w:val="00BF6283"/>
    <w:rsid w:val="00BF62E2"/>
    <w:rsid w:val="00BF6393"/>
    <w:rsid w:val="00BF63AE"/>
    <w:rsid w:val="00BF63BB"/>
    <w:rsid w:val="00BF64EF"/>
    <w:rsid w:val="00BF651D"/>
    <w:rsid w:val="00BF656F"/>
    <w:rsid w:val="00BF6592"/>
    <w:rsid w:val="00BF65D6"/>
    <w:rsid w:val="00BF672A"/>
    <w:rsid w:val="00BF6791"/>
    <w:rsid w:val="00BF683A"/>
    <w:rsid w:val="00BF683E"/>
    <w:rsid w:val="00BF68CC"/>
    <w:rsid w:val="00BF6A5D"/>
    <w:rsid w:val="00BF6A8D"/>
    <w:rsid w:val="00BF6AE5"/>
    <w:rsid w:val="00BF6BA8"/>
    <w:rsid w:val="00BF6C64"/>
    <w:rsid w:val="00BF6D1F"/>
    <w:rsid w:val="00BF6D9D"/>
    <w:rsid w:val="00BF6DBA"/>
    <w:rsid w:val="00BF6DCE"/>
    <w:rsid w:val="00BF6E15"/>
    <w:rsid w:val="00BF6E94"/>
    <w:rsid w:val="00BF6F15"/>
    <w:rsid w:val="00BF6F78"/>
    <w:rsid w:val="00BF6F8E"/>
    <w:rsid w:val="00BF7234"/>
    <w:rsid w:val="00BF7252"/>
    <w:rsid w:val="00BF72B9"/>
    <w:rsid w:val="00BF7311"/>
    <w:rsid w:val="00BF737C"/>
    <w:rsid w:val="00BF73F9"/>
    <w:rsid w:val="00BF7457"/>
    <w:rsid w:val="00BF75D5"/>
    <w:rsid w:val="00BF7600"/>
    <w:rsid w:val="00BF76B7"/>
    <w:rsid w:val="00BF76F3"/>
    <w:rsid w:val="00BF7747"/>
    <w:rsid w:val="00BF7775"/>
    <w:rsid w:val="00BF7805"/>
    <w:rsid w:val="00BF7829"/>
    <w:rsid w:val="00BF785F"/>
    <w:rsid w:val="00BF786C"/>
    <w:rsid w:val="00BF7870"/>
    <w:rsid w:val="00BF78C0"/>
    <w:rsid w:val="00BF78C4"/>
    <w:rsid w:val="00BF7A16"/>
    <w:rsid w:val="00BF7A8E"/>
    <w:rsid w:val="00BF7ABE"/>
    <w:rsid w:val="00BF7B1E"/>
    <w:rsid w:val="00BF7B3C"/>
    <w:rsid w:val="00BF7C7A"/>
    <w:rsid w:val="00BF7DD6"/>
    <w:rsid w:val="00BF7DFB"/>
    <w:rsid w:val="00BF7E18"/>
    <w:rsid w:val="00BF7FAB"/>
    <w:rsid w:val="00BF7FEF"/>
    <w:rsid w:val="00BF9AD5"/>
    <w:rsid w:val="00C00042"/>
    <w:rsid w:val="00C0006F"/>
    <w:rsid w:val="00C0022C"/>
    <w:rsid w:val="00C003C0"/>
    <w:rsid w:val="00C003D2"/>
    <w:rsid w:val="00C004D2"/>
    <w:rsid w:val="00C004E6"/>
    <w:rsid w:val="00C00597"/>
    <w:rsid w:val="00C00662"/>
    <w:rsid w:val="00C006BC"/>
    <w:rsid w:val="00C00762"/>
    <w:rsid w:val="00C00794"/>
    <w:rsid w:val="00C007AA"/>
    <w:rsid w:val="00C0093F"/>
    <w:rsid w:val="00C0095D"/>
    <w:rsid w:val="00C0099A"/>
    <w:rsid w:val="00C009A5"/>
    <w:rsid w:val="00C00A27"/>
    <w:rsid w:val="00C00D04"/>
    <w:rsid w:val="00C00E50"/>
    <w:rsid w:val="00C00E6B"/>
    <w:rsid w:val="00C00E77"/>
    <w:rsid w:val="00C00F2C"/>
    <w:rsid w:val="00C00FFD"/>
    <w:rsid w:val="00C01079"/>
    <w:rsid w:val="00C010E1"/>
    <w:rsid w:val="00C01140"/>
    <w:rsid w:val="00C01257"/>
    <w:rsid w:val="00C01270"/>
    <w:rsid w:val="00C0127E"/>
    <w:rsid w:val="00C013F2"/>
    <w:rsid w:val="00C01418"/>
    <w:rsid w:val="00C017C3"/>
    <w:rsid w:val="00C0185A"/>
    <w:rsid w:val="00C0190E"/>
    <w:rsid w:val="00C01977"/>
    <w:rsid w:val="00C01A13"/>
    <w:rsid w:val="00C01AE8"/>
    <w:rsid w:val="00C01BA6"/>
    <w:rsid w:val="00C01C04"/>
    <w:rsid w:val="00C01DC5"/>
    <w:rsid w:val="00C01DF3"/>
    <w:rsid w:val="00C01E44"/>
    <w:rsid w:val="00C01FE3"/>
    <w:rsid w:val="00C01FE5"/>
    <w:rsid w:val="00C01FFA"/>
    <w:rsid w:val="00C0210F"/>
    <w:rsid w:val="00C02121"/>
    <w:rsid w:val="00C021F3"/>
    <w:rsid w:val="00C021F5"/>
    <w:rsid w:val="00C02293"/>
    <w:rsid w:val="00C022FB"/>
    <w:rsid w:val="00C02321"/>
    <w:rsid w:val="00C0237B"/>
    <w:rsid w:val="00C023DD"/>
    <w:rsid w:val="00C02416"/>
    <w:rsid w:val="00C02476"/>
    <w:rsid w:val="00C0249C"/>
    <w:rsid w:val="00C0261D"/>
    <w:rsid w:val="00C02661"/>
    <w:rsid w:val="00C026AE"/>
    <w:rsid w:val="00C02710"/>
    <w:rsid w:val="00C027EF"/>
    <w:rsid w:val="00C0283B"/>
    <w:rsid w:val="00C02848"/>
    <w:rsid w:val="00C02868"/>
    <w:rsid w:val="00C02971"/>
    <w:rsid w:val="00C02988"/>
    <w:rsid w:val="00C029D5"/>
    <w:rsid w:val="00C02A00"/>
    <w:rsid w:val="00C02A38"/>
    <w:rsid w:val="00C02A60"/>
    <w:rsid w:val="00C02AC3"/>
    <w:rsid w:val="00C02B44"/>
    <w:rsid w:val="00C02B6E"/>
    <w:rsid w:val="00C02BA0"/>
    <w:rsid w:val="00C02C1D"/>
    <w:rsid w:val="00C02C4D"/>
    <w:rsid w:val="00C02C6A"/>
    <w:rsid w:val="00C02C77"/>
    <w:rsid w:val="00C02CA1"/>
    <w:rsid w:val="00C02CB5"/>
    <w:rsid w:val="00C02CC4"/>
    <w:rsid w:val="00C02ED4"/>
    <w:rsid w:val="00C02F0B"/>
    <w:rsid w:val="00C02F1D"/>
    <w:rsid w:val="00C0300E"/>
    <w:rsid w:val="00C0302D"/>
    <w:rsid w:val="00C0306D"/>
    <w:rsid w:val="00C030A2"/>
    <w:rsid w:val="00C03142"/>
    <w:rsid w:val="00C0316D"/>
    <w:rsid w:val="00C0316E"/>
    <w:rsid w:val="00C0321A"/>
    <w:rsid w:val="00C03258"/>
    <w:rsid w:val="00C032CF"/>
    <w:rsid w:val="00C033ED"/>
    <w:rsid w:val="00C03473"/>
    <w:rsid w:val="00C0352A"/>
    <w:rsid w:val="00C0352E"/>
    <w:rsid w:val="00C0353A"/>
    <w:rsid w:val="00C0362A"/>
    <w:rsid w:val="00C0366D"/>
    <w:rsid w:val="00C036A1"/>
    <w:rsid w:val="00C03760"/>
    <w:rsid w:val="00C038B7"/>
    <w:rsid w:val="00C038FA"/>
    <w:rsid w:val="00C039BE"/>
    <w:rsid w:val="00C03B15"/>
    <w:rsid w:val="00C03B4C"/>
    <w:rsid w:val="00C03C64"/>
    <w:rsid w:val="00C03CD3"/>
    <w:rsid w:val="00C03D62"/>
    <w:rsid w:val="00C03D68"/>
    <w:rsid w:val="00C03D91"/>
    <w:rsid w:val="00C03E0C"/>
    <w:rsid w:val="00C03E3C"/>
    <w:rsid w:val="00C03E50"/>
    <w:rsid w:val="00C03EF9"/>
    <w:rsid w:val="00C03F75"/>
    <w:rsid w:val="00C04217"/>
    <w:rsid w:val="00C04227"/>
    <w:rsid w:val="00C042C1"/>
    <w:rsid w:val="00C0431E"/>
    <w:rsid w:val="00C0432F"/>
    <w:rsid w:val="00C04450"/>
    <w:rsid w:val="00C04577"/>
    <w:rsid w:val="00C045C0"/>
    <w:rsid w:val="00C04614"/>
    <w:rsid w:val="00C0461F"/>
    <w:rsid w:val="00C046ED"/>
    <w:rsid w:val="00C047BA"/>
    <w:rsid w:val="00C048F5"/>
    <w:rsid w:val="00C04AB9"/>
    <w:rsid w:val="00C04B50"/>
    <w:rsid w:val="00C04BD4"/>
    <w:rsid w:val="00C04C11"/>
    <w:rsid w:val="00C04C40"/>
    <w:rsid w:val="00C04C6D"/>
    <w:rsid w:val="00C04DA0"/>
    <w:rsid w:val="00C04E58"/>
    <w:rsid w:val="00C04E5E"/>
    <w:rsid w:val="00C04F28"/>
    <w:rsid w:val="00C04F93"/>
    <w:rsid w:val="00C051AB"/>
    <w:rsid w:val="00C051E6"/>
    <w:rsid w:val="00C0540D"/>
    <w:rsid w:val="00C0542F"/>
    <w:rsid w:val="00C0545A"/>
    <w:rsid w:val="00C05495"/>
    <w:rsid w:val="00C05503"/>
    <w:rsid w:val="00C0551E"/>
    <w:rsid w:val="00C055A1"/>
    <w:rsid w:val="00C055E9"/>
    <w:rsid w:val="00C0566F"/>
    <w:rsid w:val="00C056CF"/>
    <w:rsid w:val="00C05767"/>
    <w:rsid w:val="00C057C2"/>
    <w:rsid w:val="00C057EF"/>
    <w:rsid w:val="00C0580A"/>
    <w:rsid w:val="00C05831"/>
    <w:rsid w:val="00C05A84"/>
    <w:rsid w:val="00C05B5E"/>
    <w:rsid w:val="00C05D09"/>
    <w:rsid w:val="00C05DBE"/>
    <w:rsid w:val="00C05DF1"/>
    <w:rsid w:val="00C05E5C"/>
    <w:rsid w:val="00C05EA2"/>
    <w:rsid w:val="00C05F19"/>
    <w:rsid w:val="00C05F49"/>
    <w:rsid w:val="00C05F83"/>
    <w:rsid w:val="00C05FF4"/>
    <w:rsid w:val="00C061D8"/>
    <w:rsid w:val="00C0620A"/>
    <w:rsid w:val="00C0622E"/>
    <w:rsid w:val="00C0627D"/>
    <w:rsid w:val="00C06289"/>
    <w:rsid w:val="00C06293"/>
    <w:rsid w:val="00C062D3"/>
    <w:rsid w:val="00C062ED"/>
    <w:rsid w:val="00C06399"/>
    <w:rsid w:val="00C063D6"/>
    <w:rsid w:val="00C063EA"/>
    <w:rsid w:val="00C064BB"/>
    <w:rsid w:val="00C065F3"/>
    <w:rsid w:val="00C065F7"/>
    <w:rsid w:val="00C06648"/>
    <w:rsid w:val="00C066DF"/>
    <w:rsid w:val="00C0687E"/>
    <w:rsid w:val="00C068D3"/>
    <w:rsid w:val="00C06943"/>
    <w:rsid w:val="00C0698D"/>
    <w:rsid w:val="00C06A3A"/>
    <w:rsid w:val="00C06A5B"/>
    <w:rsid w:val="00C06BE1"/>
    <w:rsid w:val="00C06C5F"/>
    <w:rsid w:val="00C06CDE"/>
    <w:rsid w:val="00C06D06"/>
    <w:rsid w:val="00C06D38"/>
    <w:rsid w:val="00C06DB2"/>
    <w:rsid w:val="00C06E60"/>
    <w:rsid w:val="00C06EEC"/>
    <w:rsid w:val="00C06F17"/>
    <w:rsid w:val="00C06F6F"/>
    <w:rsid w:val="00C06FB0"/>
    <w:rsid w:val="00C06FED"/>
    <w:rsid w:val="00C06FF2"/>
    <w:rsid w:val="00C071D9"/>
    <w:rsid w:val="00C0730C"/>
    <w:rsid w:val="00C074A4"/>
    <w:rsid w:val="00C07767"/>
    <w:rsid w:val="00C077A0"/>
    <w:rsid w:val="00C07871"/>
    <w:rsid w:val="00C078E2"/>
    <w:rsid w:val="00C07938"/>
    <w:rsid w:val="00C0795A"/>
    <w:rsid w:val="00C07966"/>
    <w:rsid w:val="00C0798D"/>
    <w:rsid w:val="00C079E1"/>
    <w:rsid w:val="00C07A6A"/>
    <w:rsid w:val="00C07ABB"/>
    <w:rsid w:val="00C07AD9"/>
    <w:rsid w:val="00C07C67"/>
    <w:rsid w:val="00C07C70"/>
    <w:rsid w:val="00C07C9D"/>
    <w:rsid w:val="00C07EC7"/>
    <w:rsid w:val="00C07FEF"/>
    <w:rsid w:val="00C10018"/>
    <w:rsid w:val="00C10074"/>
    <w:rsid w:val="00C10087"/>
    <w:rsid w:val="00C1015C"/>
    <w:rsid w:val="00C101D2"/>
    <w:rsid w:val="00C101F1"/>
    <w:rsid w:val="00C1023E"/>
    <w:rsid w:val="00C10331"/>
    <w:rsid w:val="00C10400"/>
    <w:rsid w:val="00C1040B"/>
    <w:rsid w:val="00C1042A"/>
    <w:rsid w:val="00C104A2"/>
    <w:rsid w:val="00C104A6"/>
    <w:rsid w:val="00C104EA"/>
    <w:rsid w:val="00C10582"/>
    <w:rsid w:val="00C10584"/>
    <w:rsid w:val="00C105EC"/>
    <w:rsid w:val="00C10665"/>
    <w:rsid w:val="00C106E6"/>
    <w:rsid w:val="00C10996"/>
    <w:rsid w:val="00C109F8"/>
    <w:rsid w:val="00C10A10"/>
    <w:rsid w:val="00C10ACF"/>
    <w:rsid w:val="00C10B60"/>
    <w:rsid w:val="00C10C26"/>
    <w:rsid w:val="00C10C38"/>
    <w:rsid w:val="00C10C43"/>
    <w:rsid w:val="00C10CB8"/>
    <w:rsid w:val="00C10D35"/>
    <w:rsid w:val="00C10DC4"/>
    <w:rsid w:val="00C10E33"/>
    <w:rsid w:val="00C10E74"/>
    <w:rsid w:val="00C10E77"/>
    <w:rsid w:val="00C10ED5"/>
    <w:rsid w:val="00C10F40"/>
    <w:rsid w:val="00C10FA7"/>
    <w:rsid w:val="00C11054"/>
    <w:rsid w:val="00C11065"/>
    <w:rsid w:val="00C110B9"/>
    <w:rsid w:val="00C11198"/>
    <w:rsid w:val="00C11228"/>
    <w:rsid w:val="00C11332"/>
    <w:rsid w:val="00C1140D"/>
    <w:rsid w:val="00C114DB"/>
    <w:rsid w:val="00C114E2"/>
    <w:rsid w:val="00C114FB"/>
    <w:rsid w:val="00C1154B"/>
    <w:rsid w:val="00C1157C"/>
    <w:rsid w:val="00C115F5"/>
    <w:rsid w:val="00C1168B"/>
    <w:rsid w:val="00C116E6"/>
    <w:rsid w:val="00C11770"/>
    <w:rsid w:val="00C117D7"/>
    <w:rsid w:val="00C11898"/>
    <w:rsid w:val="00C11ABA"/>
    <w:rsid w:val="00C11B97"/>
    <w:rsid w:val="00C11C99"/>
    <w:rsid w:val="00C11DEA"/>
    <w:rsid w:val="00C11E13"/>
    <w:rsid w:val="00C11E77"/>
    <w:rsid w:val="00C1203B"/>
    <w:rsid w:val="00C120B5"/>
    <w:rsid w:val="00C12138"/>
    <w:rsid w:val="00C12165"/>
    <w:rsid w:val="00C1225D"/>
    <w:rsid w:val="00C122B7"/>
    <w:rsid w:val="00C12368"/>
    <w:rsid w:val="00C123A8"/>
    <w:rsid w:val="00C123C0"/>
    <w:rsid w:val="00C123F7"/>
    <w:rsid w:val="00C12453"/>
    <w:rsid w:val="00C12490"/>
    <w:rsid w:val="00C12498"/>
    <w:rsid w:val="00C125C5"/>
    <w:rsid w:val="00C127C8"/>
    <w:rsid w:val="00C127EA"/>
    <w:rsid w:val="00C12835"/>
    <w:rsid w:val="00C12974"/>
    <w:rsid w:val="00C129D7"/>
    <w:rsid w:val="00C12A90"/>
    <w:rsid w:val="00C12AA3"/>
    <w:rsid w:val="00C12B49"/>
    <w:rsid w:val="00C12BDA"/>
    <w:rsid w:val="00C12BE7"/>
    <w:rsid w:val="00C12CAC"/>
    <w:rsid w:val="00C12D35"/>
    <w:rsid w:val="00C12D62"/>
    <w:rsid w:val="00C12D9F"/>
    <w:rsid w:val="00C12DB6"/>
    <w:rsid w:val="00C12DD1"/>
    <w:rsid w:val="00C12EA0"/>
    <w:rsid w:val="00C12F34"/>
    <w:rsid w:val="00C12F61"/>
    <w:rsid w:val="00C13058"/>
    <w:rsid w:val="00C1314A"/>
    <w:rsid w:val="00C131DF"/>
    <w:rsid w:val="00C132F8"/>
    <w:rsid w:val="00C1339E"/>
    <w:rsid w:val="00C13568"/>
    <w:rsid w:val="00C135A2"/>
    <w:rsid w:val="00C135BE"/>
    <w:rsid w:val="00C1366E"/>
    <w:rsid w:val="00C136D7"/>
    <w:rsid w:val="00C139C0"/>
    <w:rsid w:val="00C13BD8"/>
    <w:rsid w:val="00C13C5E"/>
    <w:rsid w:val="00C13CDA"/>
    <w:rsid w:val="00C13F06"/>
    <w:rsid w:val="00C13F2C"/>
    <w:rsid w:val="00C1410A"/>
    <w:rsid w:val="00C1410B"/>
    <w:rsid w:val="00C1417E"/>
    <w:rsid w:val="00C14227"/>
    <w:rsid w:val="00C143A4"/>
    <w:rsid w:val="00C1444E"/>
    <w:rsid w:val="00C1451E"/>
    <w:rsid w:val="00C1454C"/>
    <w:rsid w:val="00C14679"/>
    <w:rsid w:val="00C146CC"/>
    <w:rsid w:val="00C146EC"/>
    <w:rsid w:val="00C149D4"/>
    <w:rsid w:val="00C149D5"/>
    <w:rsid w:val="00C14ABA"/>
    <w:rsid w:val="00C14ADF"/>
    <w:rsid w:val="00C14B12"/>
    <w:rsid w:val="00C14B3F"/>
    <w:rsid w:val="00C14B70"/>
    <w:rsid w:val="00C14B8C"/>
    <w:rsid w:val="00C14D3A"/>
    <w:rsid w:val="00C14D7E"/>
    <w:rsid w:val="00C15037"/>
    <w:rsid w:val="00C1530B"/>
    <w:rsid w:val="00C15477"/>
    <w:rsid w:val="00C15527"/>
    <w:rsid w:val="00C1560C"/>
    <w:rsid w:val="00C1565F"/>
    <w:rsid w:val="00C1571D"/>
    <w:rsid w:val="00C1574B"/>
    <w:rsid w:val="00C157DE"/>
    <w:rsid w:val="00C1585C"/>
    <w:rsid w:val="00C15884"/>
    <w:rsid w:val="00C158F6"/>
    <w:rsid w:val="00C15A2C"/>
    <w:rsid w:val="00C15ADB"/>
    <w:rsid w:val="00C15BA1"/>
    <w:rsid w:val="00C15C39"/>
    <w:rsid w:val="00C15C68"/>
    <w:rsid w:val="00C15CC0"/>
    <w:rsid w:val="00C15D40"/>
    <w:rsid w:val="00C15D85"/>
    <w:rsid w:val="00C15D8A"/>
    <w:rsid w:val="00C15DB5"/>
    <w:rsid w:val="00C15E28"/>
    <w:rsid w:val="00C15F4B"/>
    <w:rsid w:val="00C16071"/>
    <w:rsid w:val="00C160F8"/>
    <w:rsid w:val="00C1610D"/>
    <w:rsid w:val="00C161CA"/>
    <w:rsid w:val="00C162AE"/>
    <w:rsid w:val="00C162ED"/>
    <w:rsid w:val="00C16365"/>
    <w:rsid w:val="00C16489"/>
    <w:rsid w:val="00C164B6"/>
    <w:rsid w:val="00C16644"/>
    <w:rsid w:val="00C16646"/>
    <w:rsid w:val="00C1664E"/>
    <w:rsid w:val="00C166BB"/>
    <w:rsid w:val="00C166D1"/>
    <w:rsid w:val="00C167A7"/>
    <w:rsid w:val="00C168C5"/>
    <w:rsid w:val="00C16956"/>
    <w:rsid w:val="00C1695B"/>
    <w:rsid w:val="00C169EF"/>
    <w:rsid w:val="00C16A22"/>
    <w:rsid w:val="00C16A88"/>
    <w:rsid w:val="00C16C2C"/>
    <w:rsid w:val="00C16E01"/>
    <w:rsid w:val="00C16E57"/>
    <w:rsid w:val="00C16FDF"/>
    <w:rsid w:val="00C16FED"/>
    <w:rsid w:val="00C17076"/>
    <w:rsid w:val="00C1725F"/>
    <w:rsid w:val="00C1739D"/>
    <w:rsid w:val="00C17412"/>
    <w:rsid w:val="00C1749D"/>
    <w:rsid w:val="00C174B5"/>
    <w:rsid w:val="00C17530"/>
    <w:rsid w:val="00C17569"/>
    <w:rsid w:val="00C1757E"/>
    <w:rsid w:val="00C175A3"/>
    <w:rsid w:val="00C176A6"/>
    <w:rsid w:val="00C176C0"/>
    <w:rsid w:val="00C176D2"/>
    <w:rsid w:val="00C176D6"/>
    <w:rsid w:val="00C17759"/>
    <w:rsid w:val="00C17896"/>
    <w:rsid w:val="00C178C9"/>
    <w:rsid w:val="00C17912"/>
    <w:rsid w:val="00C17954"/>
    <w:rsid w:val="00C17A4E"/>
    <w:rsid w:val="00C17AB5"/>
    <w:rsid w:val="00C17ACD"/>
    <w:rsid w:val="00C17BCB"/>
    <w:rsid w:val="00C17BF8"/>
    <w:rsid w:val="00C17C70"/>
    <w:rsid w:val="00C17CCA"/>
    <w:rsid w:val="00C17D18"/>
    <w:rsid w:val="00C17D65"/>
    <w:rsid w:val="00C17D6C"/>
    <w:rsid w:val="00C17D9A"/>
    <w:rsid w:val="00C17E9A"/>
    <w:rsid w:val="00C17F8F"/>
    <w:rsid w:val="00C17F97"/>
    <w:rsid w:val="00C17FB2"/>
    <w:rsid w:val="00C2018C"/>
    <w:rsid w:val="00C20253"/>
    <w:rsid w:val="00C202F2"/>
    <w:rsid w:val="00C203AD"/>
    <w:rsid w:val="00C203E3"/>
    <w:rsid w:val="00C20417"/>
    <w:rsid w:val="00C204A8"/>
    <w:rsid w:val="00C204EC"/>
    <w:rsid w:val="00C206EB"/>
    <w:rsid w:val="00C20768"/>
    <w:rsid w:val="00C20804"/>
    <w:rsid w:val="00C20857"/>
    <w:rsid w:val="00C20891"/>
    <w:rsid w:val="00C208E8"/>
    <w:rsid w:val="00C208FE"/>
    <w:rsid w:val="00C2093B"/>
    <w:rsid w:val="00C20994"/>
    <w:rsid w:val="00C20B3C"/>
    <w:rsid w:val="00C20C97"/>
    <w:rsid w:val="00C20CE9"/>
    <w:rsid w:val="00C20CF1"/>
    <w:rsid w:val="00C20E80"/>
    <w:rsid w:val="00C20E93"/>
    <w:rsid w:val="00C20F20"/>
    <w:rsid w:val="00C20F4A"/>
    <w:rsid w:val="00C20F78"/>
    <w:rsid w:val="00C210CB"/>
    <w:rsid w:val="00C211F6"/>
    <w:rsid w:val="00C21383"/>
    <w:rsid w:val="00C2138A"/>
    <w:rsid w:val="00C21405"/>
    <w:rsid w:val="00C21478"/>
    <w:rsid w:val="00C21665"/>
    <w:rsid w:val="00C216FC"/>
    <w:rsid w:val="00C21857"/>
    <w:rsid w:val="00C21868"/>
    <w:rsid w:val="00C21899"/>
    <w:rsid w:val="00C219E0"/>
    <w:rsid w:val="00C21A08"/>
    <w:rsid w:val="00C21B17"/>
    <w:rsid w:val="00C21B96"/>
    <w:rsid w:val="00C21C2D"/>
    <w:rsid w:val="00C21C9A"/>
    <w:rsid w:val="00C21D48"/>
    <w:rsid w:val="00C21DFD"/>
    <w:rsid w:val="00C21E55"/>
    <w:rsid w:val="00C21ED8"/>
    <w:rsid w:val="00C21F34"/>
    <w:rsid w:val="00C2214B"/>
    <w:rsid w:val="00C2230D"/>
    <w:rsid w:val="00C22405"/>
    <w:rsid w:val="00C2243F"/>
    <w:rsid w:val="00C22468"/>
    <w:rsid w:val="00C22477"/>
    <w:rsid w:val="00C224D8"/>
    <w:rsid w:val="00C22665"/>
    <w:rsid w:val="00C22678"/>
    <w:rsid w:val="00C226F1"/>
    <w:rsid w:val="00C228F0"/>
    <w:rsid w:val="00C22940"/>
    <w:rsid w:val="00C22951"/>
    <w:rsid w:val="00C22A10"/>
    <w:rsid w:val="00C22A17"/>
    <w:rsid w:val="00C22A49"/>
    <w:rsid w:val="00C22A87"/>
    <w:rsid w:val="00C22A9A"/>
    <w:rsid w:val="00C22ABD"/>
    <w:rsid w:val="00C22AED"/>
    <w:rsid w:val="00C22BC1"/>
    <w:rsid w:val="00C22C73"/>
    <w:rsid w:val="00C22CDB"/>
    <w:rsid w:val="00C22D43"/>
    <w:rsid w:val="00C22D74"/>
    <w:rsid w:val="00C22DCB"/>
    <w:rsid w:val="00C22E4E"/>
    <w:rsid w:val="00C23045"/>
    <w:rsid w:val="00C230BE"/>
    <w:rsid w:val="00C230FC"/>
    <w:rsid w:val="00C231A6"/>
    <w:rsid w:val="00C231B4"/>
    <w:rsid w:val="00C231BC"/>
    <w:rsid w:val="00C23234"/>
    <w:rsid w:val="00C2326D"/>
    <w:rsid w:val="00C23298"/>
    <w:rsid w:val="00C232F9"/>
    <w:rsid w:val="00C233A6"/>
    <w:rsid w:val="00C233CD"/>
    <w:rsid w:val="00C2344C"/>
    <w:rsid w:val="00C23541"/>
    <w:rsid w:val="00C235C4"/>
    <w:rsid w:val="00C235D4"/>
    <w:rsid w:val="00C235E7"/>
    <w:rsid w:val="00C23687"/>
    <w:rsid w:val="00C236B8"/>
    <w:rsid w:val="00C23728"/>
    <w:rsid w:val="00C23791"/>
    <w:rsid w:val="00C237C5"/>
    <w:rsid w:val="00C237D6"/>
    <w:rsid w:val="00C237DE"/>
    <w:rsid w:val="00C239F3"/>
    <w:rsid w:val="00C23B98"/>
    <w:rsid w:val="00C23C0F"/>
    <w:rsid w:val="00C23C6D"/>
    <w:rsid w:val="00C23CAC"/>
    <w:rsid w:val="00C23CE2"/>
    <w:rsid w:val="00C23E8B"/>
    <w:rsid w:val="00C23EB3"/>
    <w:rsid w:val="00C23F05"/>
    <w:rsid w:val="00C23FA1"/>
    <w:rsid w:val="00C24069"/>
    <w:rsid w:val="00C2413E"/>
    <w:rsid w:val="00C24140"/>
    <w:rsid w:val="00C2415A"/>
    <w:rsid w:val="00C241A5"/>
    <w:rsid w:val="00C2421D"/>
    <w:rsid w:val="00C24280"/>
    <w:rsid w:val="00C24321"/>
    <w:rsid w:val="00C2437A"/>
    <w:rsid w:val="00C243AD"/>
    <w:rsid w:val="00C243D0"/>
    <w:rsid w:val="00C2440B"/>
    <w:rsid w:val="00C2445C"/>
    <w:rsid w:val="00C24534"/>
    <w:rsid w:val="00C2457E"/>
    <w:rsid w:val="00C245C8"/>
    <w:rsid w:val="00C246F5"/>
    <w:rsid w:val="00C247A2"/>
    <w:rsid w:val="00C247CE"/>
    <w:rsid w:val="00C24838"/>
    <w:rsid w:val="00C24842"/>
    <w:rsid w:val="00C248D2"/>
    <w:rsid w:val="00C24968"/>
    <w:rsid w:val="00C24AE4"/>
    <w:rsid w:val="00C24B22"/>
    <w:rsid w:val="00C24B78"/>
    <w:rsid w:val="00C24DFE"/>
    <w:rsid w:val="00C24E25"/>
    <w:rsid w:val="00C24E5D"/>
    <w:rsid w:val="00C24F36"/>
    <w:rsid w:val="00C24F66"/>
    <w:rsid w:val="00C24FA7"/>
    <w:rsid w:val="00C24FF0"/>
    <w:rsid w:val="00C25107"/>
    <w:rsid w:val="00C25198"/>
    <w:rsid w:val="00C251A1"/>
    <w:rsid w:val="00C251BA"/>
    <w:rsid w:val="00C2529C"/>
    <w:rsid w:val="00C2531F"/>
    <w:rsid w:val="00C2548A"/>
    <w:rsid w:val="00C25597"/>
    <w:rsid w:val="00C255AF"/>
    <w:rsid w:val="00C255DA"/>
    <w:rsid w:val="00C255ED"/>
    <w:rsid w:val="00C255F3"/>
    <w:rsid w:val="00C256A3"/>
    <w:rsid w:val="00C257DF"/>
    <w:rsid w:val="00C258A8"/>
    <w:rsid w:val="00C258E4"/>
    <w:rsid w:val="00C25932"/>
    <w:rsid w:val="00C25C89"/>
    <w:rsid w:val="00C25C8C"/>
    <w:rsid w:val="00C25D31"/>
    <w:rsid w:val="00C25D88"/>
    <w:rsid w:val="00C25E57"/>
    <w:rsid w:val="00C25EAD"/>
    <w:rsid w:val="00C25F60"/>
    <w:rsid w:val="00C25F8D"/>
    <w:rsid w:val="00C25FEB"/>
    <w:rsid w:val="00C2600F"/>
    <w:rsid w:val="00C260F3"/>
    <w:rsid w:val="00C2610B"/>
    <w:rsid w:val="00C2613F"/>
    <w:rsid w:val="00C261B6"/>
    <w:rsid w:val="00C261EA"/>
    <w:rsid w:val="00C2629C"/>
    <w:rsid w:val="00C262DA"/>
    <w:rsid w:val="00C26343"/>
    <w:rsid w:val="00C26368"/>
    <w:rsid w:val="00C26375"/>
    <w:rsid w:val="00C263A7"/>
    <w:rsid w:val="00C263B2"/>
    <w:rsid w:val="00C263EF"/>
    <w:rsid w:val="00C26419"/>
    <w:rsid w:val="00C26434"/>
    <w:rsid w:val="00C264B7"/>
    <w:rsid w:val="00C264E0"/>
    <w:rsid w:val="00C26557"/>
    <w:rsid w:val="00C265A9"/>
    <w:rsid w:val="00C266FF"/>
    <w:rsid w:val="00C26813"/>
    <w:rsid w:val="00C268BA"/>
    <w:rsid w:val="00C268DE"/>
    <w:rsid w:val="00C26966"/>
    <w:rsid w:val="00C26A56"/>
    <w:rsid w:val="00C26B62"/>
    <w:rsid w:val="00C26BD4"/>
    <w:rsid w:val="00C26C26"/>
    <w:rsid w:val="00C26C4C"/>
    <w:rsid w:val="00C26C64"/>
    <w:rsid w:val="00C26DCA"/>
    <w:rsid w:val="00C26DF6"/>
    <w:rsid w:val="00C26E44"/>
    <w:rsid w:val="00C26E4E"/>
    <w:rsid w:val="00C26E81"/>
    <w:rsid w:val="00C26EB0"/>
    <w:rsid w:val="00C26EF4"/>
    <w:rsid w:val="00C26FF1"/>
    <w:rsid w:val="00C27022"/>
    <w:rsid w:val="00C270B1"/>
    <w:rsid w:val="00C270C6"/>
    <w:rsid w:val="00C2714B"/>
    <w:rsid w:val="00C2716C"/>
    <w:rsid w:val="00C2717C"/>
    <w:rsid w:val="00C272DB"/>
    <w:rsid w:val="00C275BC"/>
    <w:rsid w:val="00C276E8"/>
    <w:rsid w:val="00C277C6"/>
    <w:rsid w:val="00C278CA"/>
    <w:rsid w:val="00C278EA"/>
    <w:rsid w:val="00C27A24"/>
    <w:rsid w:val="00C27C55"/>
    <w:rsid w:val="00C27CB0"/>
    <w:rsid w:val="00C27D82"/>
    <w:rsid w:val="00C27DC8"/>
    <w:rsid w:val="00C27E3C"/>
    <w:rsid w:val="00C27EFC"/>
    <w:rsid w:val="00C300B1"/>
    <w:rsid w:val="00C300F8"/>
    <w:rsid w:val="00C302CC"/>
    <w:rsid w:val="00C3043F"/>
    <w:rsid w:val="00C3048C"/>
    <w:rsid w:val="00C306B9"/>
    <w:rsid w:val="00C306F7"/>
    <w:rsid w:val="00C3072E"/>
    <w:rsid w:val="00C307D3"/>
    <w:rsid w:val="00C307F8"/>
    <w:rsid w:val="00C30809"/>
    <w:rsid w:val="00C3088D"/>
    <w:rsid w:val="00C3090C"/>
    <w:rsid w:val="00C30973"/>
    <w:rsid w:val="00C30988"/>
    <w:rsid w:val="00C30A7B"/>
    <w:rsid w:val="00C30AB5"/>
    <w:rsid w:val="00C30AE6"/>
    <w:rsid w:val="00C30B49"/>
    <w:rsid w:val="00C30C6F"/>
    <w:rsid w:val="00C30CF5"/>
    <w:rsid w:val="00C30D41"/>
    <w:rsid w:val="00C30EB5"/>
    <w:rsid w:val="00C30F36"/>
    <w:rsid w:val="00C30F40"/>
    <w:rsid w:val="00C31097"/>
    <w:rsid w:val="00C311A1"/>
    <w:rsid w:val="00C31221"/>
    <w:rsid w:val="00C31225"/>
    <w:rsid w:val="00C312AA"/>
    <w:rsid w:val="00C31354"/>
    <w:rsid w:val="00C313AA"/>
    <w:rsid w:val="00C31442"/>
    <w:rsid w:val="00C3155D"/>
    <w:rsid w:val="00C31747"/>
    <w:rsid w:val="00C31765"/>
    <w:rsid w:val="00C317BF"/>
    <w:rsid w:val="00C317F3"/>
    <w:rsid w:val="00C31849"/>
    <w:rsid w:val="00C31878"/>
    <w:rsid w:val="00C319AB"/>
    <w:rsid w:val="00C319B3"/>
    <w:rsid w:val="00C31A04"/>
    <w:rsid w:val="00C31B0B"/>
    <w:rsid w:val="00C31BA8"/>
    <w:rsid w:val="00C31BAF"/>
    <w:rsid w:val="00C31C27"/>
    <w:rsid w:val="00C31C57"/>
    <w:rsid w:val="00C31CAA"/>
    <w:rsid w:val="00C31CD7"/>
    <w:rsid w:val="00C31DB8"/>
    <w:rsid w:val="00C31DBD"/>
    <w:rsid w:val="00C31DC0"/>
    <w:rsid w:val="00C31DD4"/>
    <w:rsid w:val="00C31E51"/>
    <w:rsid w:val="00C31E5F"/>
    <w:rsid w:val="00C31F3F"/>
    <w:rsid w:val="00C31FE8"/>
    <w:rsid w:val="00C32001"/>
    <w:rsid w:val="00C32006"/>
    <w:rsid w:val="00C32067"/>
    <w:rsid w:val="00C320A2"/>
    <w:rsid w:val="00C32308"/>
    <w:rsid w:val="00C32376"/>
    <w:rsid w:val="00C32383"/>
    <w:rsid w:val="00C32385"/>
    <w:rsid w:val="00C32396"/>
    <w:rsid w:val="00C323D4"/>
    <w:rsid w:val="00C324CE"/>
    <w:rsid w:val="00C32643"/>
    <w:rsid w:val="00C32686"/>
    <w:rsid w:val="00C326EB"/>
    <w:rsid w:val="00C3276A"/>
    <w:rsid w:val="00C327B5"/>
    <w:rsid w:val="00C32814"/>
    <w:rsid w:val="00C3282C"/>
    <w:rsid w:val="00C32863"/>
    <w:rsid w:val="00C32867"/>
    <w:rsid w:val="00C32990"/>
    <w:rsid w:val="00C32ADA"/>
    <w:rsid w:val="00C32B36"/>
    <w:rsid w:val="00C32BA3"/>
    <w:rsid w:val="00C32C0D"/>
    <w:rsid w:val="00C32C17"/>
    <w:rsid w:val="00C32C50"/>
    <w:rsid w:val="00C32C6D"/>
    <w:rsid w:val="00C32CBF"/>
    <w:rsid w:val="00C32D99"/>
    <w:rsid w:val="00C32DDB"/>
    <w:rsid w:val="00C3307C"/>
    <w:rsid w:val="00C330BF"/>
    <w:rsid w:val="00C330D9"/>
    <w:rsid w:val="00C3314E"/>
    <w:rsid w:val="00C33279"/>
    <w:rsid w:val="00C332A3"/>
    <w:rsid w:val="00C332DC"/>
    <w:rsid w:val="00C332E3"/>
    <w:rsid w:val="00C332F6"/>
    <w:rsid w:val="00C3337E"/>
    <w:rsid w:val="00C33643"/>
    <w:rsid w:val="00C336A6"/>
    <w:rsid w:val="00C3370F"/>
    <w:rsid w:val="00C3397C"/>
    <w:rsid w:val="00C339D9"/>
    <w:rsid w:val="00C33A2A"/>
    <w:rsid w:val="00C33A84"/>
    <w:rsid w:val="00C33A9D"/>
    <w:rsid w:val="00C33BAF"/>
    <w:rsid w:val="00C33C1F"/>
    <w:rsid w:val="00C33C75"/>
    <w:rsid w:val="00C33C77"/>
    <w:rsid w:val="00C33D3D"/>
    <w:rsid w:val="00C33DF9"/>
    <w:rsid w:val="00C33E49"/>
    <w:rsid w:val="00C33E89"/>
    <w:rsid w:val="00C33EA8"/>
    <w:rsid w:val="00C33F32"/>
    <w:rsid w:val="00C33F42"/>
    <w:rsid w:val="00C34029"/>
    <w:rsid w:val="00C3409A"/>
    <w:rsid w:val="00C3413A"/>
    <w:rsid w:val="00C34156"/>
    <w:rsid w:val="00C341A0"/>
    <w:rsid w:val="00C341D0"/>
    <w:rsid w:val="00C3421A"/>
    <w:rsid w:val="00C34243"/>
    <w:rsid w:val="00C3430F"/>
    <w:rsid w:val="00C34349"/>
    <w:rsid w:val="00C34465"/>
    <w:rsid w:val="00C34552"/>
    <w:rsid w:val="00C34586"/>
    <w:rsid w:val="00C3458B"/>
    <w:rsid w:val="00C34594"/>
    <w:rsid w:val="00C346F6"/>
    <w:rsid w:val="00C3470F"/>
    <w:rsid w:val="00C3485C"/>
    <w:rsid w:val="00C34879"/>
    <w:rsid w:val="00C3488A"/>
    <w:rsid w:val="00C34905"/>
    <w:rsid w:val="00C34934"/>
    <w:rsid w:val="00C34970"/>
    <w:rsid w:val="00C34A76"/>
    <w:rsid w:val="00C34ADF"/>
    <w:rsid w:val="00C34AFE"/>
    <w:rsid w:val="00C34B6A"/>
    <w:rsid w:val="00C34B88"/>
    <w:rsid w:val="00C34BCE"/>
    <w:rsid w:val="00C34C3C"/>
    <w:rsid w:val="00C34C48"/>
    <w:rsid w:val="00C34DC1"/>
    <w:rsid w:val="00C34FF1"/>
    <w:rsid w:val="00C3503A"/>
    <w:rsid w:val="00C35206"/>
    <w:rsid w:val="00C3536B"/>
    <w:rsid w:val="00C35385"/>
    <w:rsid w:val="00C35505"/>
    <w:rsid w:val="00C3550A"/>
    <w:rsid w:val="00C3557D"/>
    <w:rsid w:val="00C3559B"/>
    <w:rsid w:val="00C35616"/>
    <w:rsid w:val="00C356AF"/>
    <w:rsid w:val="00C357C1"/>
    <w:rsid w:val="00C357CF"/>
    <w:rsid w:val="00C35827"/>
    <w:rsid w:val="00C3582A"/>
    <w:rsid w:val="00C3583A"/>
    <w:rsid w:val="00C3588C"/>
    <w:rsid w:val="00C358D8"/>
    <w:rsid w:val="00C35944"/>
    <w:rsid w:val="00C35A31"/>
    <w:rsid w:val="00C35B76"/>
    <w:rsid w:val="00C35B7F"/>
    <w:rsid w:val="00C35BEE"/>
    <w:rsid w:val="00C35E50"/>
    <w:rsid w:val="00C35F4D"/>
    <w:rsid w:val="00C3604E"/>
    <w:rsid w:val="00C36083"/>
    <w:rsid w:val="00C360C0"/>
    <w:rsid w:val="00C360CE"/>
    <w:rsid w:val="00C363FD"/>
    <w:rsid w:val="00C36421"/>
    <w:rsid w:val="00C36664"/>
    <w:rsid w:val="00C36667"/>
    <w:rsid w:val="00C368E9"/>
    <w:rsid w:val="00C369A8"/>
    <w:rsid w:val="00C369C0"/>
    <w:rsid w:val="00C369EB"/>
    <w:rsid w:val="00C36A2F"/>
    <w:rsid w:val="00C36AF3"/>
    <w:rsid w:val="00C36BE9"/>
    <w:rsid w:val="00C36C38"/>
    <w:rsid w:val="00C36C41"/>
    <w:rsid w:val="00C36CAF"/>
    <w:rsid w:val="00C36D43"/>
    <w:rsid w:val="00C36D56"/>
    <w:rsid w:val="00C36E4B"/>
    <w:rsid w:val="00C36EF6"/>
    <w:rsid w:val="00C36FA6"/>
    <w:rsid w:val="00C36FBE"/>
    <w:rsid w:val="00C37050"/>
    <w:rsid w:val="00C37066"/>
    <w:rsid w:val="00C370C9"/>
    <w:rsid w:val="00C3711C"/>
    <w:rsid w:val="00C374AB"/>
    <w:rsid w:val="00C376B8"/>
    <w:rsid w:val="00C376E9"/>
    <w:rsid w:val="00C3778E"/>
    <w:rsid w:val="00C377E1"/>
    <w:rsid w:val="00C37883"/>
    <w:rsid w:val="00C378E7"/>
    <w:rsid w:val="00C37940"/>
    <w:rsid w:val="00C3795D"/>
    <w:rsid w:val="00C379FB"/>
    <w:rsid w:val="00C37A18"/>
    <w:rsid w:val="00C37AB9"/>
    <w:rsid w:val="00C37B59"/>
    <w:rsid w:val="00C37CED"/>
    <w:rsid w:val="00C37D43"/>
    <w:rsid w:val="00C37DBA"/>
    <w:rsid w:val="00C37E4E"/>
    <w:rsid w:val="00C37F61"/>
    <w:rsid w:val="00C40065"/>
    <w:rsid w:val="00C401C4"/>
    <w:rsid w:val="00C40201"/>
    <w:rsid w:val="00C40253"/>
    <w:rsid w:val="00C4030C"/>
    <w:rsid w:val="00C40328"/>
    <w:rsid w:val="00C4032E"/>
    <w:rsid w:val="00C40386"/>
    <w:rsid w:val="00C40407"/>
    <w:rsid w:val="00C40492"/>
    <w:rsid w:val="00C404E5"/>
    <w:rsid w:val="00C4052A"/>
    <w:rsid w:val="00C40603"/>
    <w:rsid w:val="00C4081A"/>
    <w:rsid w:val="00C4081B"/>
    <w:rsid w:val="00C4085A"/>
    <w:rsid w:val="00C40863"/>
    <w:rsid w:val="00C408A2"/>
    <w:rsid w:val="00C408A7"/>
    <w:rsid w:val="00C40932"/>
    <w:rsid w:val="00C409A2"/>
    <w:rsid w:val="00C40A7C"/>
    <w:rsid w:val="00C40AF0"/>
    <w:rsid w:val="00C40AF6"/>
    <w:rsid w:val="00C40B7F"/>
    <w:rsid w:val="00C40B90"/>
    <w:rsid w:val="00C40BA0"/>
    <w:rsid w:val="00C40D7A"/>
    <w:rsid w:val="00C40D9B"/>
    <w:rsid w:val="00C40E1E"/>
    <w:rsid w:val="00C40EA7"/>
    <w:rsid w:val="00C40EC9"/>
    <w:rsid w:val="00C40F35"/>
    <w:rsid w:val="00C40F43"/>
    <w:rsid w:val="00C40F5D"/>
    <w:rsid w:val="00C40F77"/>
    <w:rsid w:val="00C40FFA"/>
    <w:rsid w:val="00C410BB"/>
    <w:rsid w:val="00C410EE"/>
    <w:rsid w:val="00C4110E"/>
    <w:rsid w:val="00C41150"/>
    <w:rsid w:val="00C41190"/>
    <w:rsid w:val="00C4119D"/>
    <w:rsid w:val="00C4123D"/>
    <w:rsid w:val="00C4129F"/>
    <w:rsid w:val="00C412C2"/>
    <w:rsid w:val="00C4133D"/>
    <w:rsid w:val="00C4135B"/>
    <w:rsid w:val="00C4137C"/>
    <w:rsid w:val="00C4138D"/>
    <w:rsid w:val="00C413BB"/>
    <w:rsid w:val="00C413C7"/>
    <w:rsid w:val="00C413E7"/>
    <w:rsid w:val="00C414C3"/>
    <w:rsid w:val="00C41507"/>
    <w:rsid w:val="00C4152F"/>
    <w:rsid w:val="00C417A3"/>
    <w:rsid w:val="00C4183B"/>
    <w:rsid w:val="00C418F2"/>
    <w:rsid w:val="00C41919"/>
    <w:rsid w:val="00C41925"/>
    <w:rsid w:val="00C41ACA"/>
    <w:rsid w:val="00C41B12"/>
    <w:rsid w:val="00C41B76"/>
    <w:rsid w:val="00C41BCF"/>
    <w:rsid w:val="00C41CC0"/>
    <w:rsid w:val="00C41D5B"/>
    <w:rsid w:val="00C41E63"/>
    <w:rsid w:val="00C41E96"/>
    <w:rsid w:val="00C41EDA"/>
    <w:rsid w:val="00C41F36"/>
    <w:rsid w:val="00C41F69"/>
    <w:rsid w:val="00C41FB7"/>
    <w:rsid w:val="00C42015"/>
    <w:rsid w:val="00C4204A"/>
    <w:rsid w:val="00C4207A"/>
    <w:rsid w:val="00C42086"/>
    <w:rsid w:val="00C4208D"/>
    <w:rsid w:val="00C420AD"/>
    <w:rsid w:val="00C42154"/>
    <w:rsid w:val="00C42208"/>
    <w:rsid w:val="00C4220A"/>
    <w:rsid w:val="00C4221E"/>
    <w:rsid w:val="00C4222B"/>
    <w:rsid w:val="00C4229A"/>
    <w:rsid w:val="00C422C4"/>
    <w:rsid w:val="00C42316"/>
    <w:rsid w:val="00C42333"/>
    <w:rsid w:val="00C423C4"/>
    <w:rsid w:val="00C42452"/>
    <w:rsid w:val="00C424B0"/>
    <w:rsid w:val="00C424D3"/>
    <w:rsid w:val="00C424EA"/>
    <w:rsid w:val="00C424F0"/>
    <w:rsid w:val="00C42583"/>
    <w:rsid w:val="00C425EA"/>
    <w:rsid w:val="00C42663"/>
    <w:rsid w:val="00C42702"/>
    <w:rsid w:val="00C42715"/>
    <w:rsid w:val="00C42723"/>
    <w:rsid w:val="00C427EF"/>
    <w:rsid w:val="00C42898"/>
    <w:rsid w:val="00C428FE"/>
    <w:rsid w:val="00C4296D"/>
    <w:rsid w:val="00C429BD"/>
    <w:rsid w:val="00C429C8"/>
    <w:rsid w:val="00C42AC9"/>
    <w:rsid w:val="00C42C35"/>
    <w:rsid w:val="00C42C4C"/>
    <w:rsid w:val="00C42D2C"/>
    <w:rsid w:val="00C42DD4"/>
    <w:rsid w:val="00C42E50"/>
    <w:rsid w:val="00C42E52"/>
    <w:rsid w:val="00C42EF7"/>
    <w:rsid w:val="00C430CB"/>
    <w:rsid w:val="00C430F8"/>
    <w:rsid w:val="00C431FF"/>
    <w:rsid w:val="00C4325C"/>
    <w:rsid w:val="00C432AB"/>
    <w:rsid w:val="00C432FE"/>
    <w:rsid w:val="00C4332F"/>
    <w:rsid w:val="00C43371"/>
    <w:rsid w:val="00C433C9"/>
    <w:rsid w:val="00C434AD"/>
    <w:rsid w:val="00C43553"/>
    <w:rsid w:val="00C43672"/>
    <w:rsid w:val="00C436BA"/>
    <w:rsid w:val="00C437C1"/>
    <w:rsid w:val="00C43865"/>
    <w:rsid w:val="00C43866"/>
    <w:rsid w:val="00C438F6"/>
    <w:rsid w:val="00C43A26"/>
    <w:rsid w:val="00C43AB9"/>
    <w:rsid w:val="00C43AE8"/>
    <w:rsid w:val="00C43C55"/>
    <w:rsid w:val="00C43CF6"/>
    <w:rsid w:val="00C43D9E"/>
    <w:rsid w:val="00C43E85"/>
    <w:rsid w:val="00C43F06"/>
    <w:rsid w:val="00C43F14"/>
    <w:rsid w:val="00C443EA"/>
    <w:rsid w:val="00C4446E"/>
    <w:rsid w:val="00C44495"/>
    <w:rsid w:val="00C4451F"/>
    <w:rsid w:val="00C445A3"/>
    <w:rsid w:val="00C445CB"/>
    <w:rsid w:val="00C44722"/>
    <w:rsid w:val="00C447FE"/>
    <w:rsid w:val="00C4485C"/>
    <w:rsid w:val="00C448F0"/>
    <w:rsid w:val="00C44955"/>
    <w:rsid w:val="00C44958"/>
    <w:rsid w:val="00C44987"/>
    <w:rsid w:val="00C44A76"/>
    <w:rsid w:val="00C44AF9"/>
    <w:rsid w:val="00C44BE1"/>
    <w:rsid w:val="00C44C89"/>
    <w:rsid w:val="00C44D33"/>
    <w:rsid w:val="00C44D4A"/>
    <w:rsid w:val="00C44DF2"/>
    <w:rsid w:val="00C44E86"/>
    <w:rsid w:val="00C4503F"/>
    <w:rsid w:val="00C451C2"/>
    <w:rsid w:val="00C45231"/>
    <w:rsid w:val="00C45235"/>
    <w:rsid w:val="00C45246"/>
    <w:rsid w:val="00C45456"/>
    <w:rsid w:val="00C4546C"/>
    <w:rsid w:val="00C456AE"/>
    <w:rsid w:val="00C456BB"/>
    <w:rsid w:val="00C45753"/>
    <w:rsid w:val="00C457DC"/>
    <w:rsid w:val="00C458E6"/>
    <w:rsid w:val="00C4596D"/>
    <w:rsid w:val="00C4596E"/>
    <w:rsid w:val="00C45A15"/>
    <w:rsid w:val="00C45A8D"/>
    <w:rsid w:val="00C45A97"/>
    <w:rsid w:val="00C45AA8"/>
    <w:rsid w:val="00C45B1F"/>
    <w:rsid w:val="00C45B6B"/>
    <w:rsid w:val="00C45BCF"/>
    <w:rsid w:val="00C45BE5"/>
    <w:rsid w:val="00C45C9E"/>
    <w:rsid w:val="00C45D27"/>
    <w:rsid w:val="00C45D3D"/>
    <w:rsid w:val="00C45E50"/>
    <w:rsid w:val="00C45EBC"/>
    <w:rsid w:val="00C45EEE"/>
    <w:rsid w:val="00C45F6B"/>
    <w:rsid w:val="00C45FFB"/>
    <w:rsid w:val="00C46079"/>
    <w:rsid w:val="00C460F2"/>
    <w:rsid w:val="00C4632F"/>
    <w:rsid w:val="00C464BC"/>
    <w:rsid w:val="00C464E4"/>
    <w:rsid w:val="00C4651D"/>
    <w:rsid w:val="00C465AD"/>
    <w:rsid w:val="00C466DB"/>
    <w:rsid w:val="00C46738"/>
    <w:rsid w:val="00C467A1"/>
    <w:rsid w:val="00C467AA"/>
    <w:rsid w:val="00C467F2"/>
    <w:rsid w:val="00C467FA"/>
    <w:rsid w:val="00C46AC6"/>
    <w:rsid w:val="00C46AF2"/>
    <w:rsid w:val="00C46B4D"/>
    <w:rsid w:val="00C46B95"/>
    <w:rsid w:val="00C46C6A"/>
    <w:rsid w:val="00C46C94"/>
    <w:rsid w:val="00C46CD5"/>
    <w:rsid w:val="00C46DEE"/>
    <w:rsid w:val="00C46E01"/>
    <w:rsid w:val="00C46EAC"/>
    <w:rsid w:val="00C46F28"/>
    <w:rsid w:val="00C46F64"/>
    <w:rsid w:val="00C46F85"/>
    <w:rsid w:val="00C46F91"/>
    <w:rsid w:val="00C47074"/>
    <w:rsid w:val="00C47159"/>
    <w:rsid w:val="00C471BB"/>
    <w:rsid w:val="00C47293"/>
    <w:rsid w:val="00C472DA"/>
    <w:rsid w:val="00C47341"/>
    <w:rsid w:val="00C4744A"/>
    <w:rsid w:val="00C474A6"/>
    <w:rsid w:val="00C474C9"/>
    <w:rsid w:val="00C474D5"/>
    <w:rsid w:val="00C474E2"/>
    <w:rsid w:val="00C47511"/>
    <w:rsid w:val="00C4751A"/>
    <w:rsid w:val="00C47583"/>
    <w:rsid w:val="00C47596"/>
    <w:rsid w:val="00C4761D"/>
    <w:rsid w:val="00C4769E"/>
    <w:rsid w:val="00C476DF"/>
    <w:rsid w:val="00C476EC"/>
    <w:rsid w:val="00C47756"/>
    <w:rsid w:val="00C477B3"/>
    <w:rsid w:val="00C477C7"/>
    <w:rsid w:val="00C47854"/>
    <w:rsid w:val="00C47898"/>
    <w:rsid w:val="00C478CF"/>
    <w:rsid w:val="00C47A1E"/>
    <w:rsid w:val="00C47A85"/>
    <w:rsid w:val="00C47AC9"/>
    <w:rsid w:val="00C47AD5"/>
    <w:rsid w:val="00C47ADD"/>
    <w:rsid w:val="00C47CA2"/>
    <w:rsid w:val="00C47D5C"/>
    <w:rsid w:val="00C47D76"/>
    <w:rsid w:val="00C47D77"/>
    <w:rsid w:val="00C47E9A"/>
    <w:rsid w:val="00C47ED6"/>
    <w:rsid w:val="00C47FCB"/>
    <w:rsid w:val="00C500E8"/>
    <w:rsid w:val="00C5019F"/>
    <w:rsid w:val="00C501B0"/>
    <w:rsid w:val="00C501B4"/>
    <w:rsid w:val="00C50200"/>
    <w:rsid w:val="00C502A9"/>
    <w:rsid w:val="00C50334"/>
    <w:rsid w:val="00C503DB"/>
    <w:rsid w:val="00C50492"/>
    <w:rsid w:val="00C504F8"/>
    <w:rsid w:val="00C5053D"/>
    <w:rsid w:val="00C50553"/>
    <w:rsid w:val="00C505A2"/>
    <w:rsid w:val="00C505DB"/>
    <w:rsid w:val="00C505FF"/>
    <w:rsid w:val="00C5063D"/>
    <w:rsid w:val="00C50659"/>
    <w:rsid w:val="00C5066D"/>
    <w:rsid w:val="00C507D6"/>
    <w:rsid w:val="00C507FA"/>
    <w:rsid w:val="00C5087B"/>
    <w:rsid w:val="00C50A26"/>
    <w:rsid w:val="00C50B33"/>
    <w:rsid w:val="00C50BF9"/>
    <w:rsid w:val="00C50FE5"/>
    <w:rsid w:val="00C50FF8"/>
    <w:rsid w:val="00C51030"/>
    <w:rsid w:val="00C5105E"/>
    <w:rsid w:val="00C5119B"/>
    <w:rsid w:val="00C51322"/>
    <w:rsid w:val="00C5134F"/>
    <w:rsid w:val="00C51398"/>
    <w:rsid w:val="00C51543"/>
    <w:rsid w:val="00C515D7"/>
    <w:rsid w:val="00C516FA"/>
    <w:rsid w:val="00C51733"/>
    <w:rsid w:val="00C517B8"/>
    <w:rsid w:val="00C518C2"/>
    <w:rsid w:val="00C518CA"/>
    <w:rsid w:val="00C518D9"/>
    <w:rsid w:val="00C5191F"/>
    <w:rsid w:val="00C5199D"/>
    <w:rsid w:val="00C519A0"/>
    <w:rsid w:val="00C519AB"/>
    <w:rsid w:val="00C51B51"/>
    <w:rsid w:val="00C51BAD"/>
    <w:rsid w:val="00C51CEF"/>
    <w:rsid w:val="00C51DA9"/>
    <w:rsid w:val="00C51DEB"/>
    <w:rsid w:val="00C51DEC"/>
    <w:rsid w:val="00C51ED2"/>
    <w:rsid w:val="00C52112"/>
    <w:rsid w:val="00C52122"/>
    <w:rsid w:val="00C52270"/>
    <w:rsid w:val="00C52281"/>
    <w:rsid w:val="00C522FE"/>
    <w:rsid w:val="00C5232B"/>
    <w:rsid w:val="00C523A6"/>
    <w:rsid w:val="00C523EF"/>
    <w:rsid w:val="00C523F2"/>
    <w:rsid w:val="00C523F3"/>
    <w:rsid w:val="00C523F7"/>
    <w:rsid w:val="00C52428"/>
    <w:rsid w:val="00C52491"/>
    <w:rsid w:val="00C52502"/>
    <w:rsid w:val="00C5264B"/>
    <w:rsid w:val="00C526DE"/>
    <w:rsid w:val="00C52758"/>
    <w:rsid w:val="00C5278D"/>
    <w:rsid w:val="00C52928"/>
    <w:rsid w:val="00C5295A"/>
    <w:rsid w:val="00C52969"/>
    <w:rsid w:val="00C52A90"/>
    <w:rsid w:val="00C52AF8"/>
    <w:rsid w:val="00C52B45"/>
    <w:rsid w:val="00C52B6F"/>
    <w:rsid w:val="00C52BCC"/>
    <w:rsid w:val="00C52CD5"/>
    <w:rsid w:val="00C52CD9"/>
    <w:rsid w:val="00C52D16"/>
    <w:rsid w:val="00C52E0A"/>
    <w:rsid w:val="00C52E80"/>
    <w:rsid w:val="00C52E95"/>
    <w:rsid w:val="00C52FAC"/>
    <w:rsid w:val="00C52FF3"/>
    <w:rsid w:val="00C530D1"/>
    <w:rsid w:val="00C5310C"/>
    <w:rsid w:val="00C53138"/>
    <w:rsid w:val="00C53151"/>
    <w:rsid w:val="00C531D6"/>
    <w:rsid w:val="00C53226"/>
    <w:rsid w:val="00C532DA"/>
    <w:rsid w:val="00C53351"/>
    <w:rsid w:val="00C53393"/>
    <w:rsid w:val="00C533C4"/>
    <w:rsid w:val="00C53456"/>
    <w:rsid w:val="00C5346C"/>
    <w:rsid w:val="00C534E5"/>
    <w:rsid w:val="00C53534"/>
    <w:rsid w:val="00C5357E"/>
    <w:rsid w:val="00C535B5"/>
    <w:rsid w:val="00C535BC"/>
    <w:rsid w:val="00C53744"/>
    <w:rsid w:val="00C53749"/>
    <w:rsid w:val="00C5375B"/>
    <w:rsid w:val="00C5377B"/>
    <w:rsid w:val="00C537A0"/>
    <w:rsid w:val="00C537E9"/>
    <w:rsid w:val="00C538A8"/>
    <w:rsid w:val="00C53948"/>
    <w:rsid w:val="00C5398D"/>
    <w:rsid w:val="00C539BE"/>
    <w:rsid w:val="00C53AD4"/>
    <w:rsid w:val="00C53AF3"/>
    <w:rsid w:val="00C53BA4"/>
    <w:rsid w:val="00C53BC1"/>
    <w:rsid w:val="00C53C7F"/>
    <w:rsid w:val="00C53CFB"/>
    <w:rsid w:val="00C53D5D"/>
    <w:rsid w:val="00C53DDD"/>
    <w:rsid w:val="00C53DFD"/>
    <w:rsid w:val="00C53F99"/>
    <w:rsid w:val="00C53FCA"/>
    <w:rsid w:val="00C540A4"/>
    <w:rsid w:val="00C54132"/>
    <w:rsid w:val="00C541DD"/>
    <w:rsid w:val="00C5422C"/>
    <w:rsid w:val="00C54332"/>
    <w:rsid w:val="00C5438F"/>
    <w:rsid w:val="00C54453"/>
    <w:rsid w:val="00C5446A"/>
    <w:rsid w:val="00C544C4"/>
    <w:rsid w:val="00C545A8"/>
    <w:rsid w:val="00C545B0"/>
    <w:rsid w:val="00C54624"/>
    <w:rsid w:val="00C54728"/>
    <w:rsid w:val="00C54790"/>
    <w:rsid w:val="00C548B4"/>
    <w:rsid w:val="00C548F6"/>
    <w:rsid w:val="00C5494E"/>
    <w:rsid w:val="00C549A1"/>
    <w:rsid w:val="00C549FB"/>
    <w:rsid w:val="00C54B05"/>
    <w:rsid w:val="00C54BF0"/>
    <w:rsid w:val="00C54C1E"/>
    <w:rsid w:val="00C54C8F"/>
    <w:rsid w:val="00C54D06"/>
    <w:rsid w:val="00C54E33"/>
    <w:rsid w:val="00C54E6F"/>
    <w:rsid w:val="00C54F41"/>
    <w:rsid w:val="00C54F94"/>
    <w:rsid w:val="00C54FC7"/>
    <w:rsid w:val="00C5501F"/>
    <w:rsid w:val="00C55146"/>
    <w:rsid w:val="00C55211"/>
    <w:rsid w:val="00C55255"/>
    <w:rsid w:val="00C5540B"/>
    <w:rsid w:val="00C5541F"/>
    <w:rsid w:val="00C55434"/>
    <w:rsid w:val="00C554FC"/>
    <w:rsid w:val="00C55549"/>
    <w:rsid w:val="00C55626"/>
    <w:rsid w:val="00C557D4"/>
    <w:rsid w:val="00C558B7"/>
    <w:rsid w:val="00C558C4"/>
    <w:rsid w:val="00C55A27"/>
    <w:rsid w:val="00C55A70"/>
    <w:rsid w:val="00C55AA0"/>
    <w:rsid w:val="00C55AAA"/>
    <w:rsid w:val="00C55AAF"/>
    <w:rsid w:val="00C55AC3"/>
    <w:rsid w:val="00C55B80"/>
    <w:rsid w:val="00C55B97"/>
    <w:rsid w:val="00C55C07"/>
    <w:rsid w:val="00C55C36"/>
    <w:rsid w:val="00C55D4A"/>
    <w:rsid w:val="00C55D87"/>
    <w:rsid w:val="00C55F00"/>
    <w:rsid w:val="00C55F07"/>
    <w:rsid w:val="00C55F59"/>
    <w:rsid w:val="00C55F74"/>
    <w:rsid w:val="00C55FF9"/>
    <w:rsid w:val="00C55FFB"/>
    <w:rsid w:val="00C5627E"/>
    <w:rsid w:val="00C562CA"/>
    <w:rsid w:val="00C56436"/>
    <w:rsid w:val="00C5645A"/>
    <w:rsid w:val="00C5647A"/>
    <w:rsid w:val="00C566E1"/>
    <w:rsid w:val="00C5688F"/>
    <w:rsid w:val="00C5693D"/>
    <w:rsid w:val="00C5696E"/>
    <w:rsid w:val="00C56A01"/>
    <w:rsid w:val="00C56A21"/>
    <w:rsid w:val="00C56AD4"/>
    <w:rsid w:val="00C56AE6"/>
    <w:rsid w:val="00C56B08"/>
    <w:rsid w:val="00C56B61"/>
    <w:rsid w:val="00C56BCE"/>
    <w:rsid w:val="00C56D04"/>
    <w:rsid w:val="00C56DCE"/>
    <w:rsid w:val="00C56EA6"/>
    <w:rsid w:val="00C56F28"/>
    <w:rsid w:val="00C56F33"/>
    <w:rsid w:val="00C56F48"/>
    <w:rsid w:val="00C56F7C"/>
    <w:rsid w:val="00C56FAC"/>
    <w:rsid w:val="00C56FE6"/>
    <w:rsid w:val="00C57075"/>
    <w:rsid w:val="00C57096"/>
    <w:rsid w:val="00C5711C"/>
    <w:rsid w:val="00C57155"/>
    <w:rsid w:val="00C5718B"/>
    <w:rsid w:val="00C571DB"/>
    <w:rsid w:val="00C57211"/>
    <w:rsid w:val="00C57298"/>
    <w:rsid w:val="00C5730F"/>
    <w:rsid w:val="00C5739D"/>
    <w:rsid w:val="00C573A2"/>
    <w:rsid w:val="00C57484"/>
    <w:rsid w:val="00C57510"/>
    <w:rsid w:val="00C576A2"/>
    <w:rsid w:val="00C576AB"/>
    <w:rsid w:val="00C577FA"/>
    <w:rsid w:val="00C578C3"/>
    <w:rsid w:val="00C579DC"/>
    <w:rsid w:val="00C57A53"/>
    <w:rsid w:val="00C57A7F"/>
    <w:rsid w:val="00C57A81"/>
    <w:rsid w:val="00C57BA5"/>
    <w:rsid w:val="00C57BB3"/>
    <w:rsid w:val="00C57C49"/>
    <w:rsid w:val="00C57CEA"/>
    <w:rsid w:val="00C57D4B"/>
    <w:rsid w:val="00C57E03"/>
    <w:rsid w:val="00C60017"/>
    <w:rsid w:val="00C60032"/>
    <w:rsid w:val="00C60153"/>
    <w:rsid w:val="00C601BE"/>
    <w:rsid w:val="00C602D3"/>
    <w:rsid w:val="00C60464"/>
    <w:rsid w:val="00C60501"/>
    <w:rsid w:val="00C6051C"/>
    <w:rsid w:val="00C60807"/>
    <w:rsid w:val="00C60917"/>
    <w:rsid w:val="00C60A04"/>
    <w:rsid w:val="00C60BBF"/>
    <w:rsid w:val="00C60C8A"/>
    <w:rsid w:val="00C60CE7"/>
    <w:rsid w:val="00C60D7C"/>
    <w:rsid w:val="00C60E23"/>
    <w:rsid w:val="00C60E6C"/>
    <w:rsid w:val="00C60EBD"/>
    <w:rsid w:val="00C60F15"/>
    <w:rsid w:val="00C61130"/>
    <w:rsid w:val="00C61228"/>
    <w:rsid w:val="00C6129A"/>
    <w:rsid w:val="00C612B1"/>
    <w:rsid w:val="00C612F8"/>
    <w:rsid w:val="00C613C7"/>
    <w:rsid w:val="00C61424"/>
    <w:rsid w:val="00C61505"/>
    <w:rsid w:val="00C61516"/>
    <w:rsid w:val="00C615FE"/>
    <w:rsid w:val="00C61621"/>
    <w:rsid w:val="00C6162A"/>
    <w:rsid w:val="00C61655"/>
    <w:rsid w:val="00C6169A"/>
    <w:rsid w:val="00C61743"/>
    <w:rsid w:val="00C61898"/>
    <w:rsid w:val="00C61976"/>
    <w:rsid w:val="00C61982"/>
    <w:rsid w:val="00C619C7"/>
    <w:rsid w:val="00C61AE4"/>
    <w:rsid w:val="00C61DEB"/>
    <w:rsid w:val="00C61E56"/>
    <w:rsid w:val="00C61F11"/>
    <w:rsid w:val="00C61F21"/>
    <w:rsid w:val="00C61FFA"/>
    <w:rsid w:val="00C620FC"/>
    <w:rsid w:val="00C621C2"/>
    <w:rsid w:val="00C62256"/>
    <w:rsid w:val="00C62283"/>
    <w:rsid w:val="00C623AC"/>
    <w:rsid w:val="00C62486"/>
    <w:rsid w:val="00C6248E"/>
    <w:rsid w:val="00C624AB"/>
    <w:rsid w:val="00C62574"/>
    <w:rsid w:val="00C6267B"/>
    <w:rsid w:val="00C62692"/>
    <w:rsid w:val="00C626DB"/>
    <w:rsid w:val="00C626EA"/>
    <w:rsid w:val="00C627B4"/>
    <w:rsid w:val="00C627DC"/>
    <w:rsid w:val="00C627E7"/>
    <w:rsid w:val="00C6280C"/>
    <w:rsid w:val="00C62914"/>
    <w:rsid w:val="00C629B8"/>
    <w:rsid w:val="00C629FC"/>
    <w:rsid w:val="00C62A4B"/>
    <w:rsid w:val="00C62A55"/>
    <w:rsid w:val="00C62ABC"/>
    <w:rsid w:val="00C62AD8"/>
    <w:rsid w:val="00C62B6E"/>
    <w:rsid w:val="00C62B84"/>
    <w:rsid w:val="00C62C9E"/>
    <w:rsid w:val="00C62CDA"/>
    <w:rsid w:val="00C62D3D"/>
    <w:rsid w:val="00C62E60"/>
    <w:rsid w:val="00C62F0D"/>
    <w:rsid w:val="00C6303B"/>
    <w:rsid w:val="00C63094"/>
    <w:rsid w:val="00C6317F"/>
    <w:rsid w:val="00C631C0"/>
    <w:rsid w:val="00C6320C"/>
    <w:rsid w:val="00C63261"/>
    <w:rsid w:val="00C63324"/>
    <w:rsid w:val="00C63330"/>
    <w:rsid w:val="00C63365"/>
    <w:rsid w:val="00C634A4"/>
    <w:rsid w:val="00C63565"/>
    <w:rsid w:val="00C635F0"/>
    <w:rsid w:val="00C63653"/>
    <w:rsid w:val="00C63673"/>
    <w:rsid w:val="00C637C7"/>
    <w:rsid w:val="00C63900"/>
    <w:rsid w:val="00C63A05"/>
    <w:rsid w:val="00C63A1A"/>
    <w:rsid w:val="00C63B08"/>
    <w:rsid w:val="00C63BF7"/>
    <w:rsid w:val="00C63C6E"/>
    <w:rsid w:val="00C63D1D"/>
    <w:rsid w:val="00C63D2B"/>
    <w:rsid w:val="00C63D54"/>
    <w:rsid w:val="00C63DCC"/>
    <w:rsid w:val="00C63EC0"/>
    <w:rsid w:val="00C63EDF"/>
    <w:rsid w:val="00C64047"/>
    <w:rsid w:val="00C64061"/>
    <w:rsid w:val="00C642A6"/>
    <w:rsid w:val="00C64316"/>
    <w:rsid w:val="00C6455F"/>
    <w:rsid w:val="00C64572"/>
    <w:rsid w:val="00C645DB"/>
    <w:rsid w:val="00C6464B"/>
    <w:rsid w:val="00C646AB"/>
    <w:rsid w:val="00C646DD"/>
    <w:rsid w:val="00C64937"/>
    <w:rsid w:val="00C6495F"/>
    <w:rsid w:val="00C649A1"/>
    <w:rsid w:val="00C649C6"/>
    <w:rsid w:val="00C64B13"/>
    <w:rsid w:val="00C64B49"/>
    <w:rsid w:val="00C64BC8"/>
    <w:rsid w:val="00C64D5E"/>
    <w:rsid w:val="00C64DBA"/>
    <w:rsid w:val="00C64EA3"/>
    <w:rsid w:val="00C65049"/>
    <w:rsid w:val="00C651E2"/>
    <w:rsid w:val="00C651F6"/>
    <w:rsid w:val="00C652B2"/>
    <w:rsid w:val="00C653FC"/>
    <w:rsid w:val="00C65435"/>
    <w:rsid w:val="00C654E2"/>
    <w:rsid w:val="00C65570"/>
    <w:rsid w:val="00C65582"/>
    <w:rsid w:val="00C65599"/>
    <w:rsid w:val="00C65676"/>
    <w:rsid w:val="00C6578E"/>
    <w:rsid w:val="00C65863"/>
    <w:rsid w:val="00C6593D"/>
    <w:rsid w:val="00C659B4"/>
    <w:rsid w:val="00C65AA4"/>
    <w:rsid w:val="00C65AAB"/>
    <w:rsid w:val="00C65ABF"/>
    <w:rsid w:val="00C65B75"/>
    <w:rsid w:val="00C65BDF"/>
    <w:rsid w:val="00C65D05"/>
    <w:rsid w:val="00C65D7F"/>
    <w:rsid w:val="00C65DBE"/>
    <w:rsid w:val="00C65E16"/>
    <w:rsid w:val="00C65EC9"/>
    <w:rsid w:val="00C65ECB"/>
    <w:rsid w:val="00C6619C"/>
    <w:rsid w:val="00C661CE"/>
    <w:rsid w:val="00C661DA"/>
    <w:rsid w:val="00C661E4"/>
    <w:rsid w:val="00C6623D"/>
    <w:rsid w:val="00C66255"/>
    <w:rsid w:val="00C6627A"/>
    <w:rsid w:val="00C6633F"/>
    <w:rsid w:val="00C66350"/>
    <w:rsid w:val="00C6635C"/>
    <w:rsid w:val="00C664E9"/>
    <w:rsid w:val="00C664FF"/>
    <w:rsid w:val="00C66557"/>
    <w:rsid w:val="00C66582"/>
    <w:rsid w:val="00C665B1"/>
    <w:rsid w:val="00C66746"/>
    <w:rsid w:val="00C6674C"/>
    <w:rsid w:val="00C66858"/>
    <w:rsid w:val="00C668C2"/>
    <w:rsid w:val="00C668C4"/>
    <w:rsid w:val="00C66A32"/>
    <w:rsid w:val="00C66A3C"/>
    <w:rsid w:val="00C66B75"/>
    <w:rsid w:val="00C66C42"/>
    <w:rsid w:val="00C66CC4"/>
    <w:rsid w:val="00C66D5F"/>
    <w:rsid w:val="00C66DFB"/>
    <w:rsid w:val="00C66EA5"/>
    <w:rsid w:val="00C66EC1"/>
    <w:rsid w:val="00C66F84"/>
    <w:rsid w:val="00C66F92"/>
    <w:rsid w:val="00C67093"/>
    <w:rsid w:val="00C67171"/>
    <w:rsid w:val="00C671EC"/>
    <w:rsid w:val="00C67360"/>
    <w:rsid w:val="00C673F0"/>
    <w:rsid w:val="00C67590"/>
    <w:rsid w:val="00C675EC"/>
    <w:rsid w:val="00C675F3"/>
    <w:rsid w:val="00C6767A"/>
    <w:rsid w:val="00C676FD"/>
    <w:rsid w:val="00C67785"/>
    <w:rsid w:val="00C678AB"/>
    <w:rsid w:val="00C678F1"/>
    <w:rsid w:val="00C67A3C"/>
    <w:rsid w:val="00C67A86"/>
    <w:rsid w:val="00C67AE2"/>
    <w:rsid w:val="00C67B03"/>
    <w:rsid w:val="00C67B10"/>
    <w:rsid w:val="00C67B28"/>
    <w:rsid w:val="00C67B46"/>
    <w:rsid w:val="00C67BA4"/>
    <w:rsid w:val="00C67BC0"/>
    <w:rsid w:val="00C67BE6"/>
    <w:rsid w:val="00C67C4B"/>
    <w:rsid w:val="00C67D05"/>
    <w:rsid w:val="00C67DB1"/>
    <w:rsid w:val="00C67E31"/>
    <w:rsid w:val="00C67E96"/>
    <w:rsid w:val="00C67F7B"/>
    <w:rsid w:val="00C67FB6"/>
    <w:rsid w:val="00C67FE9"/>
    <w:rsid w:val="00C70038"/>
    <w:rsid w:val="00C70058"/>
    <w:rsid w:val="00C701A3"/>
    <w:rsid w:val="00C7024F"/>
    <w:rsid w:val="00C70277"/>
    <w:rsid w:val="00C702A9"/>
    <w:rsid w:val="00C703D9"/>
    <w:rsid w:val="00C70401"/>
    <w:rsid w:val="00C70544"/>
    <w:rsid w:val="00C705F2"/>
    <w:rsid w:val="00C70601"/>
    <w:rsid w:val="00C70643"/>
    <w:rsid w:val="00C7076F"/>
    <w:rsid w:val="00C7079B"/>
    <w:rsid w:val="00C707DB"/>
    <w:rsid w:val="00C70846"/>
    <w:rsid w:val="00C70855"/>
    <w:rsid w:val="00C70857"/>
    <w:rsid w:val="00C70AE6"/>
    <w:rsid w:val="00C70B16"/>
    <w:rsid w:val="00C70B83"/>
    <w:rsid w:val="00C70BA7"/>
    <w:rsid w:val="00C70BB1"/>
    <w:rsid w:val="00C70BCA"/>
    <w:rsid w:val="00C70C2E"/>
    <w:rsid w:val="00C70CE4"/>
    <w:rsid w:val="00C70CF1"/>
    <w:rsid w:val="00C70D0C"/>
    <w:rsid w:val="00C70EB7"/>
    <w:rsid w:val="00C70FEA"/>
    <w:rsid w:val="00C71026"/>
    <w:rsid w:val="00C710E7"/>
    <w:rsid w:val="00C7116B"/>
    <w:rsid w:val="00C712FC"/>
    <w:rsid w:val="00C714F7"/>
    <w:rsid w:val="00C71821"/>
    <w:rsid w:val="00C71883"/>
    <w:rsid w:val="00C719A3"/>
    <w:rsid w:val="00C71A05"/>
    <w:rsid w:val="00C71AA1"/>
    <w:rsid w:val="00C71CC5"/>
    <w:rsid w:val="00C71D43"/>
    <w:rsid w:val="00C71DD3"/>
    <w:rsid w:val="00C71E42"/>
    <w:rsid w:val="00C71EDD"/>
    <w:rsid w:val="00C720CA"/>
    <w:rsid w:val="00C7216C"/>
    <w:rsid w:val="00C721E9"/>
    <w:rsid w:val="00C721FE"/>
    <w:rsid w:val="00C7232A"/>
    <w:rsid w:val="00C72343"/>
    <w:rsid w:val="00C72378"/>
    <w:rsid w:val="00C723DC"/>
    <w:rsid w:val="00C724D9"/>
    <w:rsid w:val="00C7257B"/>
    <w:rsid w:val="00C7265B"/>
    <w:rsid w:val="00C726BC"/>
    <w:rsid w:val="00C72730"/>
    <w:rsid w:val="00C727F4"/>
    <w:rsid w:val="00C72868"/>
    <w:rsid w:val="00C728A9"/>
    <w:rsid w:val="00C72942"/>
    <w:rsid w:val="00C72946"/>
    <w:rsid w:val="00C729E6"/>
    <w:rsid w:val="00C72B1B"/>
    <w:rsid w:val="00C72BC5"/>
    <w:rsid w:val="00C72BD0"/>
    <w:rsid w:val="00C72D21"/>
    <w:rsid w:val="00C72D63"/>
    <w:rsid w:val="00C72DD1"/>
    <w:rsid w:val="00C72E15"/>
    <w:rsid w:val="00C72E9F"/>
    <w:rsid w:val="00C72F60"/>
    <w:rsid w:val="00C7310D"/>
    <w:rsid w:val="00C731C9"/>
    <w:rsid w:val="00C731E9"/>
    <w:rsid w:val="00C73219"/>
    <w:rsid w:val="00C7325A"/>
    <w:rsid w:val="00C73275"/>
    <w:rsid w:val="00C7333D"/>
    <w:rsid w:val="00C734CA"/>
    <w:rsid w:val="00C73583"/>
    <w:rsid w:val="00C735E0"/>
    <w:rsid w:val="00C735EF"/>
    <w:rsid w:val="00C7370F"/>
    <w:rsid w:val="00C73810"/>
    <w:rsid w:val="00C73853"/>
    <w:rsid w:val="00C73878"/>
    <w:rsid w:val="00C738A1"/>
    <w:rsid w:val="00C73991"/>
    <w:rsid w:val="00C739F2"/>
    <w:rsid w:val="00C73AF2"/>
    <w:rsid w:val="00C73B2D"/>
    <w:rsid w:val="00C73CD0"/>
    <w:rsid w:val="00C73EF3"/>
    <w:rsid w:val="00C73F7F"/>
    <w:rsid w:val="00C73FA9"/>
    <w:rsid w:val="00C740CC"/>
    <w:rsid w:val="00C741E8"/>
    <w:rsid w:val="00C7426A"/>
    <w:rsid w:val="00C742AB"/>
    <w:rsid w:val="00C742F4"/>
    <w:rsid w:val="00C743E1"/>
    <w:rsid w:val="00C74431"/>
    <w:rsid w:val="00C744A1"/>
    <w:rsid w:val="00C744FD"/>
    <w:rsid w:val="00C745BD"/>
    <w:rsid w:val="00C74628"/>
    <w:rsid w:val="00C7464C"/>
    <w:rsid w:val="00C74683"/>
    <w:rsid w:val="00C74732"/>
    <w:rsid w:val="00C74758"/>
    <w:rsid w:val="00C7475E"/>
    <w:rsid w:val="00C747B7"/>
    <w:rsid w:val="00C747EB"/>
    <w:rsid w:val="00C74895"/>
    <w:rsid w:val="00C74916"/>
    <w:rsid w:val="00C7496C"/>
    <w:rsid w:val="00C74987"/>
    <w:rsid w:val="00C7498D"/>
    <w:rsid w:val="00C74A41"/>
    <w:rsid w:val="00C74AC5"/>
    <w:rsid w:val="00C74B69"/>
    <w:rsid w:val="00C74B81"/>
    <w:rsid w:val="00C74BE6"/>
    <w:rsid w:val="00C74C5E"/>
    <w:rsid w:val="00C74C6A"/>
    <w:rsid w:val="00C74CB9"/>
    <w:rsid w:val="00C74D70"/>
    <w:rsid w:val="00C74DB9"/>
    <w:rsid w:val="00C74DBE"/>
    <w:rsid w:val="00C74EFA"/>
    <w:rsid w:val="00C74F56"/>
    <w:rsid w:val="00C7500F"/>
    <w:rsid w:val="00C750EA"/>
    <w:rsid w:val="00C751BC"/>
    <w:rsid w:val="00C7521F"/>
    <w:rsid w:val="00C75241"/>
    <w:rsid w:val="00C75319"/>
    <w:rsid w:val="00C75337"/>
    <w:rsid w:val="00C753FD"/>
    <w:rsid w:val="00C754C6"/>
    <w:rsid w:val="00C754D3"/>
    <w:rsid w:val="00C75504"/>
    <w:rsid w:val="00C75560"/>
    <w:rsid w:val="00C7558E"/>
    <w:rsid w:val="00C755F3"/>
    <w:rsid w:val="00C756A4"/>
    <w:rsid w:val="00C756DE"/>
    <w:rsid w:val="00C75764"/>
    <w:rsid w:val="00C75790"/>
    <w:rsid w:val="00C758A8"/>
    <w:rsid w:val="00C75909"/>
    <w:rsid w:val="00C75916"/>
    <w:rsid w:val="00C75998"/>
    <w:rsid w:val="00C75B1E"/>
    <w:rsid w:val="00C75BEE"/>
    <w:rsid w:val="00C75CC6"/>
    <w:rsid w:val="00C75D23"/>
    <w:rsid w:val="00C75E53"/>
    <w:rsid w:val="00C75E90"/>
    <w:rsid w:val="00C75F18"/>
    <w:rsid w:val="00C75F9A"/>
    <w:rsid w:val="00C75FCA"/>
    <w:rsid w:val="00C75FDA"/>
    <w:rsid w:val="00C76078"/>
    <w:rsid w:val="00C76086"/>
    <w:rsid w:val="00C76167"/>
    <w:rsid w:val="00C761B3"/>
    <w:rsid w:val="00C761F3"/>
    <w:rsid w:val="00C7621E"/>
    <w:rsid w:val="00C76433"/>
    <w:rsid w:val="00C764F3"/>
    <w:rsid w:val="00C7663B"/>
    <w:rsid w:val="00C76767"/>
    <w:rsid w:val="00C76826"/>
    <w:rsid w:val="00C76957"/>
    <w:rsid w:val="00C76986"/>
    <w:rsid w:val="00C769E4"/>
    <w:rsid w:val="00C76A85"/>
    <w:rsid w:val="00C76B89"/>
    <w:rsid w:val="00C76BB2"/>
    <w:rsid w:val="00C76D9E"/>
    <w:rsid w:val="00C76DCA"/>
    <w:rsid w:val="00C76DFD"/>
    <w:rsid w:val="00C76E01"/>
    <w:rsid w:val="00C76E53"/>
    <w:rsid w:val="00C76E73"/>
    <w:rsid w:val="00C76EBB"/>
    <w:rsid w:val="00C76F30"/>
    <w:rsid w:val="00C7708F"/>
    <w:rsid w:val="00C77108"/>
    <w:rsid w:val="00C77156"/>
    <w:rsid w:val="00C77290"/>
    <w:rsid w:val="00C77309"/>
    <w:rsid w:val="00C77587"/>
    <w:rsid w:val="00C7758A"/>
    <w:rsid w:val="00C77718"/>
    <w:rsid w:val="00C7777C"/>
    <w:rsid w:val="00C7779B"/>
    <w:rsid w:val="00C777F5"/>
    <w:rsid w:val="00C77AFD"/>
    <w:rsid w:val="00C77BA2"/>
    <w:rsid w:val="00C77BAE"/>
    <w:rsid w:val="00C77C0E"/>
    <w:rsid w:val="00C77D4A"/>
    <w:rsid w:val="00C77E5E"/>
    <w:rsid w:val="00C77EA7"/>
    <w:rsid w:val="00C77F31"/>
    <w:rsid w:val="00C80246"/>
    <w:rsid w:val="00C8028D"/>
    <w:rsid w:val="00C8029C"/>
    <w:rsid w:val="00C8032C"/>
    <w:rsid w:val="00C803F3"/>
    <w:rsid w:val="00C80432"/>
    <w:rsid w:val="00C80478"/>
    <w:rsid w:val="00C80650"/>
    <w:rsid w:val="00C80678"/>
    <w:rsid w:val="00C806A4"/>
    <w:rsid w:val="00C806D0"/>
    <w:rsid w:val="00C80793"/>
    <w:rsid w:val="00C807AF"/>
    <w:rsid w:val="00C80855"/>
    <w:rsid w:val="00C80955"/>
    <w:rsid w:val="00C809D3"/>
    <w:rsid w:val="00C80A45"/>
    <w:rsid w:val="00C80A4C"/>
    <w:rsid w:val="00C80A73"/>
    <w:rsid w:val="00C80AB7"/>
    <w:rsid w:val="00C80B5C"/>
    <w:rsid w:val="00C80B9B"/>
    <w:rsid w:val="00C80C13"/>
    <w:rsid w:val="00C80C52"/>
    <w:rsid w:val="00C80CAB"/>
    <w:rsid w:val="00C80DB4"/>
    <w:rsid w:val="00C80FFB"/>
    <w:rsid w:val="00C8106F"/>
    <w:rsid w:val="00C811A5"/>
    <w:rsid w:val="00C81255"/>
    <w:rsid w:val="00C812AD"/>
    <w:rsid w:val="00C816C6"/>
    <w:rsid w:val="00C81727"/>
    <w:rsid w:val="00C817EA"/>
    <w:rsid w:val="00C818B8"/>
    <w:rsid w:val="00C818DE"/>
    <w:rsid w:val="00C818EF"/>
    <w:rsid w:val="00C81936"/>
    <w:rsid w:val="00C81961"/>
    <w:rsid w:val="00C81999"/>
    <w:rsid w:val="00C81A16"/>
    <w:rsid w:val="00C81A91"/>
    <w:rsid w:val="00C81AB5"/>
    <w:rsid w:val="00C81B51"/>
    <w:rsid w:val="00C81BDC"/>
    <w:rsid w:val="00C81C07"/>
    <w:rsid w:val="00C81C64"/>
    <w:rsid w:val="00C81D80"/>
    <w:rsid w:val="00C81FB1"/>
    <w:rsid w:val="00C81FB6"/>
    <w:rsid w:val="00C8200F"/>
    <w:rsid w:val="00C8210F"/>
    <w:rsid w:val="00C8214D"/>
    <w:rsid w:val="00C82192"/>
    <w:rsid w:val="00C821F4"/>
    <w:rsid w:val="00C8222F"/>
    <w:rsid w:val="00C82246"/>
    <w:rsid w:val="00C82264"/>
    <w:rsid w:val="00C822A5"/>
    <w:rsid w:val="00C823E4"/>
    <w:rsid w:val="00C8244C"/>
    <w:rsid w:val="00C82487"/>
    <w:rsid w:val="00C82521"/>
    <w:rsid w:val="00C8252E"/>
    <w:rsid w:val="00C82644"/>
    <w:rsid w:val="00C82646"/>
    <w:rsid w:val="00C826A1"/>
    <w:rsid w:val="00C826F5"/>
    <w:rsid w:val="00C82956"/>
    <w:rsid w:val="00C82A49"/>
    <w:rsid w:val="00C82AA9"/>
    <w:rsid w:val="00C82BB5"/>
    <w:rsid w:val="00C82BB8"/>
    <w:rsid w:val="00C82BBD"/>
    <w:rsid w:val="00C82CB2"/>
    <w:rsid w:val="00C82CB6"/>
    <w:rsid w:val="00C82D09"/>
    <w:rsid w:val="00C82D46"/>
    <w:rsid w:val="00C82DC0"/>
    <w:rsid w:val="00C82E8A"/>
    <w:rsid w:val="00C82F65"/>
    <w:rsid w:val="00C82FCF"/>
    <w:rsid w:val="00C83033"/>
    <w:rsid w:val="00C8305E"/>
    <w:rsid w:val="00C830FF"/>
    <w:rsid w:val="00C8312C"/>
    <w:rsid w:val="00C831EC"/>
    <w:rsid w:val="00C8329E"/>
    <w:rsid w:val="00C8335C"/>
    <w:rsid w:val="00C833E0"/>
    <w:rsid w:val="00C835E7"/>
    <w:rsid w:val="00C835EB"/>
    <w:rsid w:val="00C83625"/>
    <w:rsid w:val="00C836C2"/>
    <w:rsid w:val="00C8375B"/>
    <w:rsid w:val="00C83801"/>
    <w:rsid w:val="00C83898"/>
    <w:rsid w:val="00C838B6"/>
    <w:rsid w:val="00C838DA"/>
    <w:rsid w:val="00C83922"/>
    <w:rsid w:val="00C839F6"/>
    <w:rsid w:val="00C83A55"/>
    <w:rsid w:val="00C83A7F"/>
    <w:rsid w:val="00C83AA8"/>
    <w:rsid w:val="00C83AFA"/>
    <w:rsid w:val="00C83B33"/>
    <w:rsid w:val="00C83BFB"/>
    <w:rsid w:val="00C83C24"/>
    <w:rsid w:val="00C83C2D"/>
    <w:rsid w:val="00C83E1D"/>
    <w:rsid w:val="00C83E9F"/>
    <w:rsid w:val="00C83FE5"/>
    <w:rsid w:val="00C842EB"/>
    <w:rsid w:val="00C8434E"/>
    <w:rsid w:val="00C844FE"/>
    <w:rsid w:val="00C8450B"/>
    <w:rsid w:val="00C84580"/>
    <w:rsid w:val="00C84719"/>
    <w:rsid w:val="00C84793"/>
    <w:rsid w:val="00C847AC"/>
    <w:rsid w:val="00C84847"/>
    <w:rsid w:val="00C8485C"/>
    <w:rsid w:val="00C848B3"/>
    <w:rsid w:val="00C84AB1"/>
    <w:rsid w:val="00C84AC0"/>
    <w:rsid w:val="00C84B1F"/>
    <w:rsid w:val="00C84BF7"/>
    <w:rsid w:val="00C84C3E"/>
    <w:rsid w:val="00C84CD3"/>
    <w:rsid w:val="00C84D39"/>
    <w:rsid w:val="00C84D45"/>
    <w:rsid w:val="00C85155"/>
    <w:rsid w:val="00C85193"/>
    <w:rsid w:val="00C851A4"/>
    <w:rsid w:val="00C851E9"/>
    <w:rsid w:val="00C852B2"/>
    <w:rsid w:val="00C8534A"/>
    <w:rsid w:val="00C85360"/>
    <w:rsid w:val="00C853AD"/>
    <w:rsid w:val="00C853F0"/>
    <w:rsid w:val="00C85547"/>
    <w:rsid w:val="00C8568E"/>
    <w:rsid w:val="00C856ED"/>
    <w:rsid w:val="00C858C2"/>
    <w:rsid w:val="00C85901"/>
    <w:rsid w:val="00C85A2D"/>
    <w:rsid w:val="00C85CBC"/>
    <w:rsid w:val="00C85D6F"/>
    <w:rsid w:val="00C85DFF"/>
    <w:rsid w:val="00C85E11"/>
    <w:rsid w:val="00C85E24"/>
    <w:rsid w:val="00C85E78"/>
    <w:rsid w:val="00C85E93"/>
    <w:rsid w:val="00C85F18"/>
    <w:rsid w:val="00C86091"/>
    <w:rsid w:val="00C86137"/>
    <w:rsid w:val="00C8615F"/>
    <w:rsid w:val="00C86187"/>
    <w:rsid w:val="00C861AE"/>
    <w:rsid w:val="00C86239"/>
    <w:rsid w:val="00C86356"/>
    <w:rsid w:val="00C86374"/>
    <w:rsid w:val="00C86483"/>
    <w:rsid w:val="00C865B1"/>
    <w:rsid w:val="00C865B8"/>
    <w:rsid w:val="00C865CA"/>
    <w:rsid w:val="00C86650"/>
    <w:rsid w:val="00C866B2"/>
    <w:rsid w:val="00C866C2"/>
    <w:rsid w:val="00C86764"/>
    <w:rsid w:val="00C867E8"/>
    <w:rsid w:val="00C86803"/>
    <w:rsid w:val="00C86843"/>
    <w:rsid w:val="00C86928"/>
    <w:rsid w:val="00C8692C"/>
    <w:rsid w:val="00C8697A"/>
    <w:rsid w:val="00C869C0"/>
    <w:rsid w:val="00C86AEC"/>
    <w:rsid w:val="00C86CEE"/>
    <w:rsid w:val="00C86D62"/>
    <w:rsid w:val="00C86D7E"/>
    <w:rsid w:val="00C86E15"/>
    <w:rsid w:val="00C86E2A"/>
    <w:rsid w:val="00C86E47"/>
    <w:rsid w:val="00C8703C"/>
    <w:rsid w:val="00C87186"/>
    <w:rsid w:val="00C871FC"/>
    <w:rsid w:val="00C87255"/>
    <w:rsid w:val="00C872E7"/>
    <w:rsid w:val="00C8730A"/>
    <w:rsid w:val="00C87351"/>
    <w:rsid w:val="00C8744C"/>
    <w:rsid w:val="00C87474"/>
    <w:rsid w:val="00C87498"/>
    <w:rsid w:val="00C874F2"/>
    <w:rsid w:val="00C8753A"/>
    <w:rsid w:val="00C8758D"/>
    <w:rsid w:val="00C8759A"/>
    <w:rsid w:val="00C875E2"/>
    <w:rsid w:val="00C87607"/>
    <w:rsid w:val="00C877D8"/>
    <w:rsid w:val="00C877F2"/>
    <w:rsid w:val="00C87838"/>
    <w:rsid w:val="00C87847"/>
    <w:rsid w:val="00C87894"/>
    <w:rsid w:val="00C878AA"/>
    <w:rsid w:val="00C879B1"/>
    <w:rsid w:val="00C87A67"/>
    <w:rsid w:val="00C87B3F"/>
    <w:rsid w:val="00C87B79"/>
    <w:rsid w:val="00C87B9D"/>
    <w:rsid w:val="00C87BB6"/>
    <w:rsid w:val="00C87D45"/>
    <w:rsid w:val="00C87D72"/>
    <w:rsid w:val="00C87E39"/>
    <w:rsid w:val="00C87E92"/>
    <w:rsid w:val="00C87F6B"/>
    <w:rsid w:val="00C8E48E"/>
    <w:rsid w:val="00C90059"/>
    <w:rsid w:val="00C900A8"/>
    <w:rsid w:val="00C9012A"/>
    <w:rsid w:val="00C9016B"/>
    <w:rsid w:val="00C901A8"/>
    <w:rsid w:val="00C90226"/>
    <w:rsid w:val="00C90300"/>
    <w:rsid w:val="00C90362"/>
    <w:rsid w:val="00C90505"/>
    <w:rsid w:val="00C9062B"/>
    <w:rsid w:val="00C906F2"/>
    <w:rsid w:val="00C90744"/>
    <w:rsid w:val="00C9087D"/>
    <w:rsid w:val="00C90915"/>
    <w:rsid w:val="00C909B5"/>
    <w:rsid w:val="00C909F2"/>
    <w:rsid w:val="00C90C2B"/>
    <w:rsid w:val="00C90C8C"/>
    <w:rsid w:val="00C90D65"/>
    <w:rsid w:val="00C90D67"/>
    <w:rsid w:val="00C90FBE"/>
    <w:rsid w:val="00C91215"/>
    <w:rsid w:val="00C91290"/>
    <w:rsid w:val="00C91398"/>
    <w:rsid w:val="00C913AA"/>
    <w:rsid w:val="00C913BB"/>
    <w:rsid w:val="00C9144D"/>
    <w:rsid w:val="00C9146D"/>
    <w:rsid w:val="00C914A3"/>
    <w:rsid w:val="00C914FE"/>
    <w:rsid w:val="00C91591"/>
    <w:rsid w:val="00C915C3"/>
    <w:rsid w:val="00C91608"/>
    <w:rsid w:val="00C9165B"/>
    <w:rsid w:val="00C91666"/>
    <w:rsid w:val="00C917BC"/>
    <w:rsid w:val="00C917C1"/>
    <w:rsid w:val="00C917E0"/>
    <w:rsid w:val="00C9181E"/>
    <w:rsid w:val="00C9184F"/>
    <w:rsid w:val="00C91881"/>
    <w:rsid w:val="00C918F6"/>
    <w:rsid w:val="00C9191A"/>
    <w:rsid w:val="00C91955"/>
    <w:rsid w:val="00C91B43"/>
    <w:rsid w:val="00C91D5A"/>
    <w:rsid w:val="00C91D83"/>
    <w:rsid w:val="00C91DC4"/>
    <w:rsid w:val="00C91EE6"/>
    <w:rsid w:val="00C92085"/>
    <w:rsid w:val="00C920F7"/>
    <w:rsid w:val="00C92115"/>
    <w:rsid w:val="00C92141"/>
    <w:rsid w:val="00C9215B"/>
    <w:rsid w:val="00C921DC"/>
    <w:rsid w:val="00C92218"/>
    <w:rsid w:val="00C9225E"/>
    <w:rsid w:val="00C92373"/>
    <w:rsid w:val="00C92379"/>
    <w:rsid w:val="00C923EE"/>
    <w:rsid w:val="00C9244B"/>
    <w:rsid w:val="00C924C2"/>
    <w:rsid w:val="00C924DE"/>
    <w:rsid w:val="00C92507"/>
    <w:rsid w:val="00C92514"/>
    <w:rsid w:val="00C925F0"/>
    <w:rsid w:val="00C926C1"/>
    <w:rsid w:val="00C926C2"/>
    <w:rsid w:val="00C926EB"/>
    <w:rsid w:val="00C9273C"/>
    <w:rsid w:val="00C92800"/>
    <w:rsid w:val="00C9281D"/>
    <w:rsid w:val="00C9290F"/>
    <w:rsid w:val="00C9293A"/>
    <w:rsid w:val="00C92966"/>
    <w:rsid w:val="00C9296E"/>
    <w:rsid w:val="00C92A98"/>
    <w:rsid w:val="00C92B17"/>
    <w:rsid w:val="00C92B24"/>
    <w:rsid w:val="00C92B57"/>
    <w:rsid w:val="00C92D2E"/>
    <w:rsid w:val="00C92DF5"/>
    <w:rsid w:val="00C92E00"/>
    <w:rsid w:val="00C92E8A"/>
    <w:rsid w:val="00C92EE2"/>
    <w:rsid w:val="00C93029"/>
    <w:rsid w:val="00C9303D"/>
    <w:rsid w:val="00C93084"/>
    <w:rsid w:val="00C930B4"/>
    <w:rsid w:val="00C930D6"/>
    <w:rsid w:val="00C930FF"/>
    <w:rsid w:val="00C9313B"/>
    <w:rsid w:val="00C9316E"/>
    <w:rsid w:val="00C931C8"/>
    <w:rsid w:val="00C93295"/>
    <w:rsid w:val="00C932CD"/>
    <w:rsid w:val="00C93335"/>
    <w:rsid w:val="00C933C8"/>
    <w:rsid w:val="00C933D7"/>
    <w:rsid w:val="00C933EF"/>
    <w:rsid w:val="00C93425"/>
    <w:rsid w:val="00C9344E"/>
    <w:rsid w:val="00C93487"/>
    <w:rsid w:val="00C93519"/>
    <w:rsid w:val="00C936F4"/>
    <w:rsid w:val="00C937EF"/>
    <w:rsid w:val="00C93892"/>
    <w:rsid w:val="00C938FB"/>
    <w:rsid w:val="00C939CF"/>
    <w:rsid w:val="00C939F7"/>
    <w:rsid w:val="00C93AC3"/>
    <w:rsid w:val="00C93B1E"/>
    <w:rsid w:val="00C93CA0"/>
    <w:rsid w:val="00C93D13"/>
    <w:rsid w:val="00C93D46"/>
    <w:rsid w:val="00C93E67"/>
    <w:rsid w:val="00C93EAB"/>
    <w:rsid w:val="00C93F14"/>
    <w:rsid w:val="00C93F3F"/>
    <w:rsid w:val="00C93F82"/>
    <w:rsid w:val="00C93FB3"/>
    <w:rsid w:val="00C94053"/>
    <w:rsid w:val="00C940E0"/>
    <w:rsid w:val="00C9410F"/>
    <w:rsid w:val="00C9412D"/>
    <w:rsid w:val="00C94257"/>
    <w:rsid w:val="00C94265"/>
    <w:rsid w:val="00C94315"/>
    <w:rsid w:val="00C9447F"/>
    <w:rsid w:val="00C94545"/>
    <w:rsid w:val="00C9456A"/>
    <w:rsid w:val="00C94581"/>
    <w:rsid w:val="00C945D3"/>
    <w:rsid w:val="00C94838"/>
    <w:rsid w:val="00C94856"/>
    <w:rsid w:val="00C94915"/>
    <w:rsid w:val="00C9497D"/>
    <w:rsid w:val="00C94A32"/>
    <w:rsid w:val="00C94B9B"/>
    <w:rsid w:val="00C94B9F"/>
    <w:rsid w:val="00C94BC7"/>
    <w:rsid w:val="00C94C45"/>
    <w:rsid w:val="00C94CED"/>
    <w:rsid w:val="00C94D11"/>
    <w:rsid w:val="00C94D4D"/>
    <w:rsid w:val="00C94D7C"/>
    <w:rsid w:val="00C94E41"/>
    <w:rsid w:val="00C94F10"/>
    <w:rsid w:val="00C950FC"/>
    <w:rsid w:val="00C952AB"/>
    <w:rsid w:val="00C95437"/>
    <w:rsid w:val="00C95503"/>
    <w:rsid w:val="00C95534"/>
    <w:rsid w:val="00C95605"/>
    <w:rsid w:val="00C9568D"/>
    <w:rsid w:val="00C956F6"/>
    <w:rsid w:val="00C956FB"/>
    <w:rsid w:val="00C957F1"/>
    <w:rsid w:val="00C95851"/>
    <w:rsid w:val="00C958CC"/>
    <w:rsid w:val="00C95923"/>
    <w:rsid w:val="00C95A08"/>
    <w:rsid w:val="00C95AA9"/>
    <w:rsid w:val="00C95B09"/>
    <w:rsid w:val="00C95BD2"/>
    <w:rsid w:val="00C95CAD"/>
    <w:rsid w:val="00C95CE6"/>
    <w:rsid w:val="00C95E42"/>
    <w:rsid w:val="00C95E67"/>
    <w:rsid w:val="00C95F2B"/>
    <w:rsid w:val="00C95FB0"/>
    <w:rsid w:val="00C95FE5"/>
    <w:rsid w:val="00C96097"/>
    <w:rsid w:val="00C960A9"/>
    <w:rsid w:val="00C9613E"/>
    <w:rsid w:val="00C96155"/>
    <w:rsid w:val="00C961B3"/>
    <w:rsid w:val="00C961E3"/>
    <w:rsid w:val="00C96281"/>
    <w:rsid w:val="00C9633D"/>
    <w:rsid w:val="00C96357"/>
    <w:rsid w:val="00C96360"/>
    <w:rsid w:val="00C96378"/>
    <w:rsid w:val="00C96438"/>
    <w:rsid w:val="00C96545"/>
    <w:rsid w:val="00C96611"/>
    <w:rsid w:val="00C96656"/>
    <w:rsid w:val="00C9668A"/>
    <w:rsid w:val="00C9672A"/>
    <w:rsid w:val="00C96899"/>
    <w:rsid w:val="00C9690C"/>
    <w:rsid w:val="00C969BE"/>
    <w:rsid w:val="00C96A06"/>
    <w:rsid w:val="00C96AF3"/>
    <w:rsid w:val="00C96B00"/>
    <w:rsid w:val="00C96B71"/>
    <w:rsid w:val="00C96CAA"/>
    <w:rsid w:val="00C96DC5"/>
    <w:rsid w:val="00C96DDA"/>
    <w:rsid w:val="00C96E3D"/>
    <w:rsid w:val="00C96FB9"/>
    <w:rsid w:val="00C97019"/>
    <w:rsid w:val="00C970F1"/>
    <w:rsid w:val="00C971B2"/>
    <w:rsid w:val="00C971C7"/>
    <w:rsid w:val="00C9725F"/>
    <w:rsid w:val="00C972D6"/>
    <w:rsid w:val="00C972ED"/>
    <w:rsid w:val="00C97312"/>
    <w:rsid w:val="00C97325"/>
    <w:rsid w:val="00C9740A"/>
    <w:rsid w:val="00C97412"/>
    <w:rsid w:val="00C97497"/>
    <w:rsid w:val="00C9752F"/>
    <w:rsid w:val="00C975E4"/>
    <w:rsid w:val="00C9760F"/>
    <w:rsid w:val="00C97627"/>
    <w:rsid w:val="00C97650"/>
    <w:rsid w:val="00C97652"/>
    <w:rsid w:val="00C977AC"/>
    <w:rsid w:val="00C978D2"/>
    <w:rsid w:val="00C978FB"/>
    <w:rsid w:val="00C97AF1"/>
    <w:rsid w:val="00C97B14"/>
    <w:rsid w:val="00C97E2B"/>
    <w:rsid w:val="00CA0004"/>
    <w:rsid w:val="00CA0038"/>
    <w:rsid w:val="00CA00E7"/>
    <w:rsid w:val="00CA0143"/>
    <w:rsid w:val="00CA0152"/>
    <w:rsid w:val="00CA0244"/>
    <w:rsid w:val="00CA02A1"/>
    <w:rsid w:val="00CA0319"/>
    <w:rsid w:val="00CA0498"/>
    <w:rsid w:val="00CA05BF"/>
    <w:rsid w:val="00CA0601"/>
    <w:rsid w:val="00CA0608"/>
    <w:rsid w:val="00CA062E"/>
    <w:rsid w:val="00CA0660"/>
    <w:rsid w:val="00CA06EE"/>
    <w:rsid w:val="00CA0729"/>
    <w:rsid w:val="00CA07A0"/>
    <w:rsid w:val="00CA07AE"/>
    <w:rsid w:val="00CA07D6"/>
    <w:rsid w:val="00CA081D"/>
    <w:rsid w:val="00CA093E"/>
    <w:rsid w:val="00CA095D"/>
    <w:rsid w:val="00CA09A0"/>
    <w:rsid w:val="00CA09FD"/>
    <w:rsid w:val="00CA0B13"/>
    <w:rsid w:val="00CA0B59"/>
    <w:rsid w:val="00CA0CCD"/>
    <w:rsid w:val="00CA0E06"/>
    <w:rsid w:val="00CA0FAB"/>
    <w:rsid w:val="00CA111D"/>
    <w:rsid w:val="00CA129C"/>
    <w:rsid w:val="00CA1455"/>
    <w:rsid w:val="00CA1560"/>
    <w:rsid w:val="00CA15DA"/>
    <w:rsid w:val="00CA1661"/>
    <w:rsid w:val="00CA170F"/>
    <w:rsid w:val="00CA171B"/>
    <w:rsid w:val="00CA17B9"/>
    <w:rsid w:val="00CA1874"/>
    <w:rsid w:val="00CA18E3"/>
    <w:rsid w:val="00CA18F6"/>
    <w:rsid w:val="00CA1A5B"/>
    <w:rsid w:val="00CA1A8B"/>
    <w:rsid w:val="00CA1AB1"/>
    <w:rsid w:val="00CA1B13"/>
    <w:rsid w:val="00CA1CD9"/>
    <w:rsid w:val="00CA1D87"/>
    <w:rsid w:val="00CA1DB7"/>
    <w:rsid w:val="00CA1DBC"/>
    <w:rsid w:val="00CA1F25"/>
    <w:rsid w:val="00CA20A1"/>
    <w:rsid w:val="00CA2259"/>
    <w:rsid w:val="00CA2268"/>
    <w:rsid w:val="00CA231E"/>
    <w:rsid w:val="00CA2390"/>
    <w:rsid w:val="00CA23B6"/>
    <w:rsid w:val="00CA2425"/>
    <w:rsid w:val="00CA2452"/>
    <w:rsid w:val="00CA24B0"/>
    <w:rsid w:val="00CA25A8"/>
    <w:rsid w:val="00CA26CA"/>
    <w:rsid w:val="00CA276B"/>
    <w:rsid w:val="00CA2857"/>
    <w:rsid w:val="00CA28D9"/>
    <w:rsid w:val="00CA2937"/>
    <w:rsid w:val="00CA29C5"/>
    <w:rsid w:val="00CA2BEA"/>
    <w:rsid w:val="00CA2C03"/>
    <w:rsid w:val="00CA2CCB"/>
    <w:rsid w:val="00CA2D65"/>
    <w:rsid w:val="00CA2D7F"/>
    <w:rsid w:val="00CA2D8F"/>
    <w:rsid w:val="00CA2DF9"/>
    <w:rsid w:val="00CA2F74"/>
    <w:rsid w:val="00CA3020"/>
    <w:rsid w:val="00CA30B4"/>
    <w:rsid w:val="00CA30C9"/>
    <w:rsid w:val="00CA30D8"/>
    <w:rsid w:val="00CA3137"/>
    <w:rsid w:val="00CA31DC"/>
    <w:rsid w:val="00CA3387"/>
    <w:rsid w:val="00CA348E"/>
    <w:rsid w:val="00CA34F6"/>
    <w:rsid w:val="00CA3588"/>
    <w:rsid w:val="00CA35DB"/>
    <w:rsid w:val="00CA35E5"/>
    <w:rsid w:val="00CA381D"/>
    <w:rsid w:val="00CA3943"/>
    <w:rsid w:val="00CA3970"/>
    <w:rsid w:val="00CA3B65"/>
    <w:rsid w:val="00CA3B77"/>
    <w:rsid w:val="00CA3DC7"/>
    <w:rsid w:val="00CA3DFB"/>
    <w:rsid w:val="00CA3EAD"/>
    <w:rsid w:val="00CA3F9A"/>
    <w:rsid w:val="00CA3FBC"/>
    <w:rsid w:val="00CA3FFB"/>
    <w:rsid w:val="00CA4007"/>
    <w:rsid w:val="00CA403C"/>
    <w:rsid w:val="00CA4060"/>
    <w:rsid w:val="00CA4102"/>
    <w:rsid w:val="00CA4173"/>
    <w:rsid w:val="00CA41C3"/>
    <w:rsid w:val="00CA4211"/>
    <w:rsid w:val="00CA4260"/>
    <w:rsid w:val="00CA448B"/>
    <w:rsid w:val="00CA4506"/>
    <w:rsid w:val="00CA4524"/>
    <w:rsid w:val="00CA452C"/>
    <w:rsid w:val="00CA4770"/>
    <w:rsid w:val="00CA47CE"/>
    <w:rsid w:val="00CA481B"/>
    <w:rsid w:val="00CA485B"/>
    <w:rsid w:val="00CA489C"/>
    <w:rsid w:val="00CA4A47"/>
    <w:rsid w:val="00CA4ACA"/>
    <w:rsid w:val="00CA4B78"/>
    <w:rsid w:val="00CA4BB6"/>
    <w:rsid w:val="00CA4C34"/>
    <w:rsid w:val="00CA4CD2"/>
    <w:rsid w:val="00CA4D11"/>
    <w:rsid w:val="00CA4D33"/>
    <w:rsid w:val="00CA4D6C"/>
    <w:rsid w:val="00CA4F20"/>
    <w:rsid w:val="00CA50F4"/>
    <w:rsid w:val="00CA5164"/>
    <w:rsid w:val="00CA516A"/>
    <w:rsid w:val="00CA51C0"/>
    <w:rsid w:val="00CA52BF"/>
    <w:rsid w:val="00CA5437"/>
    <w:rsid w:val="00CA5582"/>
    <w:rsid w:val="00CA55DA"/>
    <w:rsid w:val="00CA5676"/>
    <w:rsid w:val="00CA56C2"/>
    <w:rsid w:val="00CA572B"/>
    <w:rsid w:val="00CA57EE"/>
    <w:rsid w:val="00CA58B4"/>
    <w:rsid w:val="00CA5978"/>
    <w:rsid w:val="00CA5A7F"/>
    <w:rsid w:val="00CA5A91"/>
    <w:rsid w:val="00CA5C61"/>
    <w:rsid w:val="00CA5C9C"/>
    <w:rsid w:val="00CA5CAF"/>
    <w:rsid w:val="00CA5CB4"/>
    <w:rsid w:val="00CA5CC5"/>
    <w:rsid w:val="00CA5CEA"/>
    <w:rsid w:val="00CA5D2D"/>
    <w:rsid w:val="00CA5D71"/>
    <w:rsid w:val="00CA5D7A"/>
    <w:rsid w:val="00CA5E72"/>
    <w:rsid w:val="00CA5F26"/>
    <w:rsid w:val="00CA5FCD"/>
    <w:rsid w:val="00CA602F"/>
    <w:rsid w:val="00CA611A"/>
    <w:rsid w:val="00CA6223"/>
    <w:rsid w:val="00CA62A4"/>
    <w:rsid w:val="00CA6358"/>
    <w:rsid w:val="00CA63BE"/>
    <w:rsid w:val="00CA63C9"/>
    <w:rsid w:val="00CA6454"/>
    <w:rsid w:val="00CA6466"/>
    <w:rsid w:val="00CA6585"/>
    <w:rsid w:val="00CA658E"/>
    <w:rsid w:val="00CA65B0"/>
    <w:rsid w:val="00CA6666"/>
    <w:rsid w:val="00CA6677"/>
    <w:rsid w:val="00CA66F1"/>
    <w:rsid w:val="00CA6745"/>
    <w:rsid w:val="00CA67C6"/>
    <w:rsid w:val="00CA67F2"/>
    <w:rsid w:val="00CA6920"/>
    <w:rsid w:val="00CA6A1A"/>
    <w:rsid w:val="00CA6A5A"/>
    <w:rsid w:val="00CA6B42"/>
    <w:rsid w:val="00CA6B4D"/>
    <w:rsid w:val="00CA6B75"/>
    <w:rsid w:val="00CA6BFC"/>
    <w:rsid w:val="00CA6C8B"/>
    <w:rsid w:val="00CA6CEB"/>
    <w:rsid w:val="00CA6D1B"/>
    <w:rsid w:val="00CA6D5B"/>
    <w:rsid w:val="00CA6D98"/>
    <w:rsid w:val="00CA6DD5"/>
    <w:rsid w:val="00CA6E09"/>
    <w:rsid w:val="00CA6E7A"/>
    <w:rsid w:val="00CA6FA6"/>
    <w:rsid w:val="00CA70D4"/>
    <w:rsid w:val="00CA70F4"/>
    <w:rsid w:val="00CA71C0"/>
    <w:rsid w:val="00CA71E4"/>
    <w:rsid w:val="00CA72AF"/>
    <w:rsid w:val="00CA7484"/>
    <w:rsid w:val="00CA74C8"/>
    <w:rsid w:val="00CA754D"/>
    <w:rsid w:val="00CA7578"/>
    <w:rsid w:val="00CA768B"/>
    <w:rsid w:val="00CA76A0"/>
    <w:rsid w:val="00CA76BF"/>
    <w:rsid w:val="00CA7727"/>
    <w:rsid w:val="00CA77D4"/>
    <w:rsid w:val="00CA77FD"/>
    <w:rsid w:val="00CA780F"/>
    <w:rsid w:val="00CA7875"/>
    <w:rsid w:val="00CA7898"/>
    <w:rsid w:val="00CA78CF"/>
    <w:rsid w:val="00CA796A"/>
    <w:rsid w:val="00CA796B"/>
    <w:rsid w:val="00CA7999"/>
    <w:rsid w:val="00CA79E2"/>
    <w:rsid w:val="00CA7A2F"/>
    <w:rsid w:val="00CA7B62"/>
    <w:rsid w:val="00CA7C15"/>
    <w:rsid w:val="00CA7CE0"/>
    <w:rsid w:val="00CA7CF3"/>
    <w:rsid w:val="00CA7EE8"/>
    <w:rsid w:val="00CA7FB6"/>
    <w:rsid w:val="00CADC2E"/>
    <w:rsid w:val="00CB0062"/>
    <w:rsid w:val="00CB0100"/>
    <w:rsid w:val="00CB0108"/>
    <w:rsid w:val="00CB010E"/>
    <w:rsid w:val="00CB01D1"/>
    <w:rsid w:val="00CB01F0"/>
    <w:rsid w:val="00CB033D"/>
    <w:rsid w:val="00CB033F"/>
    <w:rsid w:val="00CB042D"/>
    <w:rsid w:val="00CB047F"/>
    <w:rsid w:val="00CB0511"/>
    <w:rsid w:val="00CB051B"/>
    <w:rsid w:val="00CB0657"/>
    <w:rsid w:val="00CB07E5"/>
    <w:rsid w:val="00CB0815"/>
    <w:rsid w:val="00CB09B8"/>
    <w:rsid w:val="00CB09BA"/>
    <w:rsid w:val="00CB09EC"/>
    <w:rsid w:val="00CB0A10"/>
    <w:rsid w:val="00CB0A46"/>
    <w:rsid w:val="00CB0A47"/>
    <w:rsid w:val="00CB0AE1"/>
    <w:rsid w:val="00CB0B25"/>
    <w:rsid w:val="00CB0CD1"/>
    <w:rsid w:val="00CB0EA8"/>
    <w:rsid w:val="00CB0EAD"/>
    <w:rsid w:val="00CB10A8"/>
    <w:rsid w:val="00CB1125"/>
    <w:rsid w:val="00CB1266"/>
    <w:rsid w:val="00CB127A"/>
    <w:rsid w:val="00CB12BB"/>
    <w:rsid w:val="00CB12CE"/>
    <w:rsid w:val="00CB12D7"/>
    <w:rsid w:val="00CB1479"/>
    <w:rsid w:val="00CB1503"/>
    <w:rsid w:val="00CB1543"/>
    <w:rsid w:val="00CB1673"/>
    <w:rsid w:val="00CB16EA"/>
    <w:rsid w:val="00CB18CB"/>
    <w:rsid w:val="00CB18CD"/>
    <w:rsid w:val="00CB1977"/>
    <w:rsid w:val="00CB1A97"/>
    <w:rsid w:val="00CB1B32"/>
    <w:rsid w:val="00CB1B77"/>
    <w:rsid w:val="00CB1C0D"/>
    <w:rsid w:val="00CB1CD2"/>
    <w:rsid w:val="00CB1CDC"/>
    <w:rsid w:val="00CB1CE8"/>
    <w:rsid w:val="00CB1D55"/>
    <w:rsid w:val="00CB1DA9"/>
    <w:rsid w:val="00CB1DD1"/>
    <w:rsid w:val="00CB1E7D"/>
    <w:rsid w:val="00CB1EA4"/>
    <w:rsid w:val="00CB1EEC"/>
    <w:rsid w:val="00CB1EF1"/>
    <w:rsid w:val="00CB1F52"/>
    <w:rsid w:val="00CB2082"/>
    <w:rsid w:val="00CB2093"/>
    <w:rsid w:val="00CB2350"/>
    <w:rsid w:val="00CB23C9"/>
    <w:rsid w:val="00CB23E0"/>
    <w:rsid w:val="00CB23F0"/>
    <w:rsid w:val="00CB2408"/>
    <w:rsid w:val="00CB24D4"/>
    <w:rsid w:val="00CB25BA"/>
    <w:rsid w:val="00CB25E5"/>
    <w:rsid w:val="00CB263C"/>
    <w:rsid w:val="00CB275B"/>
    <w:rsid w:val="00CB27BD"/>
    <w:rsid w:val="00CB2AA9"/>
    <w:rsid w:val="00CB2B22"/>
    <w:rsid w:val="00CB2B32"/>
    <w:rsid w:val="00CB2B3A"/>
    <w:rsid w:val="00CB2B5C"/>
    <w:rsid w:val="00CB2B70"/>
    <w:rsid w:val="00CB2CAE"/>
    <w:rsid w:val="00CB2CCF"/>
    <w:rsid w:val="00CB2DFE"/>
    <w:rsid w:val="00CB2E73"/>
    <w:rsid w:val="00CB2E96"/>
    <w:rsid w:val="00CB2ED2"/>
    <w:rsid w:val="00CB2F12"/>
    <w:rsid w:val="00CB2F41"/>
    <w:rsid w:val="00CB2F89"/>
    <w:rsid w:val="00CB2FBE"/>
    <w:rsid w:val="00CB310E"/>
    <w:rsid w:val="00CB31D4"/>
    <w:rsid w:val="00CB322F"/>
    <w:rsid w:val="00CB3278"/>
    <w:rsid w:val="00CB3336"/>
    <w:rsid w:val="00CB3428"/>
    <w:rsid w:val="00CB342D"/>
    <w:rsid w:val="00CB34CD"/>
    <w:rsid w:val="00CB34E9"/>
    <w:rsid w:val="00CB3660"/>
    <w:rsid w:val="00CB3756"/>
    <w:rsid w:val="00CB37AC"/>
    <w:rsid w:val="00CB37DB"/>
    <w:rsid w:val="00CB3843"/>
    <w:rsid w:val="00CB3A27"/>
    <w:rsid w:val="00CB3B01"/>
    <w:rsid w:val="00CB3B45"/>
    <w:rsid w:val="00CB3B90"/>
    <w:rsid w:val="00CB3E60"/>
    <w:rsid w:val="00CB3F11"/>
    <w:rsid w:val="00CB4024"/>
    <w:rsid w:val="00CB404B"/>
    <w:rsid w:val="00CB4064"/>
    <w:rsid w:val="00CB4151"/>
    <w:rsid w:val="00CB4162"/>
    <w:rsid w:val="00CB41F7"/>
    <w:rsid w:val="00CB428E"/>
    <w:rsid w:val="00CB429F"/>
    <w:rsid w:val="00CB433B"/>
    <w:rsid w:val="00CB44FB"/>
    <w:rsid w:val="00CB4555"/>
    <w:rsid w:val="00CB4556"/>
    <w:rsid w:val="00CB4579"/>
    <w:rsid w:val="00CB45BB"/>
    <w:rsid w:val="00CB4624"/>
    <w:rsid w:val="00CB490A"/>
    <w:rsid w:val="00CB4B4A"/>
    <w:rsid w:val="00CB4BFC"/>
    <w:rsid w:val="00CB4C5E"/>
    <w:rsid w:val="00CB4CFF"/>
    <w:rsid w:val="00CB4D69"/>
    <w:rsid w:val="00CB4D94"/>
    <w:rsid w:val="00CB4F05"/>
    <w:rsid w:val="00CB5047"/>
    <w:rsid w:val="00CB506E"/>
    <w:rsid w:val="00CB50A0"/>
    <w:rsid w:val="00CB50CF"/>
    <w:rsid w:val="00CB52A3"/>
    <w:rsid w:val="00CB5395"/>
    <w:rsid w:val="00CB53AE"/>
    <w:rsid w:val="00CB5418"/>
    <w:rsid w:val="00CB549F"/>
    <w:rsid w:val="00CB54AB"/>
    <w:rsid w:val="00CB55EC"/>
    <w:rsid w:val="00CB5707"/>
    <w:rsid w:val="00CB576D"/>
    <w:rsid w:val="00CB57A9"/>
    <w:rsid w:val="00CB5872"/>
    <w:rsid w:val="00CB5B21"/>
    <w:rsid w:val="00CB5BA4"/>
    <w:rsid w:val="00CB5C1C"/>
    <w:rsid w:val="00CB5D0B"/>
    <w:rsid w:val="00CB5D1F"/>
    <w:rsid w:val="00CB5D73"/>
    <w:rsid w:val="00CB5ECC"/>
    <w:rsid w:val="00CB5EFE"/>
    <w:rsid w:val="00CB5FBF"/>
    <w:rsid w:val="00CB60C0"/>
    <w:rsid w:val="00CB60C2"/>
    <w:rsid w:val="00CB6147"/>
    <w:rsid w:val="00CB6157"/>
    <w:rsid w:val="00CB618C"/>
    <w:rsid w:val="00CB62FD"/>
    <w:rsid w:val="00CB6314"/>
    <w:rsid w:val="00CB63A8"/>
    <w:rsid w:val="00CB63CA"/>
    <w:rsid w:val="00CB645D"/>
    <w:rsid w:val="00CB6482"/>
    <w:rsid w:val="00CB651D"/>
    <w:rsid w:val="00CB6541"/>
    <w:rsid w:val="00CB6554"/>
    <w:rsid w:val="00CB656F"/>
    <w:rsid w:val="00CB65F7"/>
    <w:rsid w:val="00CB6690"/>
    <w:rsid w:val="00CB66FC"/>
    <w:rsid w:val="00CB6718"/>
    <w:rsid w:val="00CB674C"/>
    <w:rsid w:val="00CB6805"/>
    <w:rsid w:val="00CB682E"/>
    <w:rsid w:val="00CB6844"/>
    <w:rsid w:val="00CB6868"/>
    <w:rsid w:val="00CB6875"/>
    <w:rsid w:val="00CB6952"/>
    <w:rsid w:val="00CB6988"/>
    <w:rsid w:val="00CB69C3"/>
    <w:rsid w:val="00CB6A25"/>
    <w:rsid w:val="00CB6A81"/>
    <w:rsid w:val="00CB6AD9"/>
    <w:rsid w:val="00CB6AF1"/>
    <w:rsid w:val="00CB6B00"/>
    <w:rsid w:val="00CB6BC8"/>
    <w:rsid w:val="00CB6D3A"/>
    <w:rsid w:val="00CB6E2F"/>
    <w:rsid w:val="00CB6EBE"/>
    <w:rsid w:val="00CB6F01"/>
    <w:rsid w:val="00CB6F2E"/>
    <w:rsid w:val="00CB6F31"/>
    <w:rsid w:val="00CB6F3F"/>
    <w:rsid w:val="00CB6F40"/>
    <w:rsid w:val="00CB6FA8"/>
    <w:rsid w:val="00CB7005"/>
    <w:rsid w:val="00CB702E"/>
    <w:rsid w:val="00CB708A"/>
    <w:rsid w:val="00CB70AF"/>
    <w:rsid w:val="00CB7133"/>
    <w:rsid w:val="00CB71C3"/>
    <w:rsid w:val="00CB7235"/>
    <w:rsid w:val="00CB724F"/>
    <w:rsid w:val="00CB72D9"/>
    <w:rsid w:val="00CB7315"/>
    <w:rsid w:val="00CB73A8"/>
    <w:rsid w:val="00CB7414"/>
    <w:rsid w:val="00CB752F"/>
    <w:rsid w:val="00CB753B"/>
    <w:rsid w:val="00CB755C"/>
    <w:rsid w:val="00CB7764"/>
    <w:rsid w:val="00CB77A2"/>
    <w:rsid w:val="00CB77F5"/>
    <w:rsid w:val="00CB7915"/>
    <w:rsid w:val="00CB79A0"/>
    <w:rsid w:val="00CB79B8"/>
    <w:rsid w:val="00CB7A93"/>
    <w:rsid w:val="00CB7AEF"/>
    <w:rsid w:val="00CB7B7E"/>
    <w:rsid w:val="00CB7BA0"/>
    <w:rsid w:val="00CB7C37"/>
    <w:rsid w:val="00CB7C71"/>
    <w:rsid w:val="00CB7D3D"/>
    <w:rsid w:val="00CB7D75"/>
    <w:rsid w:val="00CB7D85"/>
    <w:rsid w:val="00CB7E50"/>
    <w:rsid w:val="00CB7EA8"/>
    <w:rsid w:val="00CB7EB0"/>
    <w:rsid w:val="00CB7EE7"/>
    <w:rsid w:val="00CB7EED"/>
    <w:rsid w:val="00CB7FB1"/>
    <w:rsid w:val="00CC00AC"/>
    <w:rsid w:val="00CC015B"/>
    <w:rsid w:val="00CC01C8"/>
    <w:rsid w:val="00CC0296"/>
    <w:rsid w:val="00CC032D"/>
    <w:rsid w:val="00CC034B"/>
    <w:rsid w:val="00CC03A5"/>
    <w:rsid w:val="00CC041A"/>
    <w:rsid w:val="00CC054B"/>
    <w:rsid w:val="00CC090B"/>
    <w:rsid w:val="00CC0991"/>
    <w:rsid w:val="00CC09A5"/>
    <w:rsid w:val="00CC0A9E"/>
    <w:rsid w:val="00CC0B3F"/>
    <w:rsid w:val="00CC0D56"/>
    <w:rsid w:val="00CC0D80"/>
    <w:rsid w:val="00CC0F40"/>
    <w:rsid w:val="00CC0F93"/>
    <w:rsid w:val="00CC1113"/>
    <w:rsid w:val="00CC121E"/>
    <w:rsid w:val="00CC1236"/>
    <w:rsid w:val="00CC1379"/>
    <w:rsid w:val="00CC137D"/>
    <w:rsid w:val="00CC13C6"/>
    <w:rsid w:val="00CC13FB"/>
    <w:rsid w:val="00CC1453"/>
    <w:rsid w:val="00CC1674"/>
    <w:rsid w:val="00CC1679"/>
    <w:rsid w:val="00CC1869"/>
    <w:rsid w:val="00CC1975"/>
    <w:rsid w:val="00CC197A"/>
    <w:rsid w:val="00CC1A25"/>
    <w:rsid w:val="00CC1C35"/>
    <w:rsid w:val="00CC1CC6"/>
    <w:rsid w:val="00CC1EAB"/>
    <w:rsid w:val="00CC1F9D"/>
    <w:rsid w:val="00CC1F9F"/>
    <w:rsid w:val="00CC1FD5"/>
    <w:rsid w:val="00CC2001"/>
    <w:rsid w:val="00CC2182"/>
    <w:rsid w:val="00CC21D5"/>
    <w:rsid w:val="00CC21E6"/>
    <w:rsid w:val="00CC22C7"/>
    <w:rsid w:val="00CC23B2"/>
    <w:rsid w:val="00CC23D1"/>
    <w:rsid w:val="00CC23FB"/>
    <w:rsid w:val="00CC2407"/>
    <w:rsid w:val="00CC241B"/>
    <w:rsid w:val="00CC255D"/>
    <w:rsid w:val="00CC260A"/>
    <w:rsid w:val="00CC267D"/>
    <w:rsid w:val="00CC268C"/>
    <w:rsid w:val="00CC26E2"/>
    <w:rsid w:val="00CC26FF"/>
    <w:rsid w:val="00CC2734"/>
    <w:rsid w:val="00CC278F"/>
    <w:rsid w:val="00CC27BB"/>
    <w:rsid w:val="00CC280D"/>
    <w:rsid w:val="00CC28D3"/>
    <w:rsid w:val="00CC2A2A"/>
    <w:rsid w:val="00CC2A45"/>
    <w:rsid w:val="00CC2A51"/>
    <w:rsid w:val="00CC2AE9"/>
    <w:rsid w:val="00CC2B26"/>
    <w:rsid w:val="00CC2B98"/>
    <w:rsid w:val="00CC2BCB"/>
    <w:rsid w:val="00CC2CCD"/>
    <w:rsid w:val="00CC2CE7"/>
    <w:rsid w:val="00CC2CF1"/>
    <w:rsid w:val="00CC2D65"/>
    <w:rsid w:val="00CC2DEF"/>
    <w:rsid w:val="00CC2EFE"/>
    <w:rsid w:val="00CC2F56"/>
    <w:rsid w:val="00CC30FF"/>
    <w:rsid w:val="00CC311B"/>
    <w:rsid w:val="00CC3126"/>
    <w:rsid w:val="00CC318B"/>
    <w:rsid w:val="00CC319D"/>
    <w:rsid w:val="00CC31A8"/>
    <w:rsid w:val="00CC31B1"/>
    <w:rsid w:val="00CC323F"/>
    <w:rsid w:val="00CC3242"/>
    <w:rsid w:val="00CC3283"/>
    <w:rsid w:val="00CC336F"/>
    <w:rsid w:val="00CC3370"/>
    <w:rsid w:val="00CC34D9"/>
    <w:rsid w:val="00CC36B5"/>
    <w:rsid w:val="00CC36D4"/>
    <w:rsid w:val="00CC37CD"/>
    <w:rsid w:val="00CC3814"/>
    <w:rsid w:val="00CC384D"/>
    <w:rsid w:val="00CC38A4"/>
    <w:rsid w:val="00CC39CF"/>
    <w:rsid w:val="00CC3A5D"/>
    <w:rsid w:val="00CC3BFF"/>
    <w:rsid w:val="00CC3CAD"/>
    <w:rsid w:val="00CC3DD0"/>
    <w:rsid w:val="00CC3DE7"/>
    <w:rsid w:val="00CC3E52"/>
    <w:rsid w:val="00CC3EEB"/>
    <w:rsid w:val="00CC3EF8"/>
    <w:rsid w:val="00CC3F10"/>
    <w:rsid w:val="00CC3F1B"/>
    <w:rsid w:val="00CC4049"/>
    <w:rsid w:val="00CC4080"/>
    <w:rsid w:val="00CC41F5"/>
    <w:rsid w:val="00CC423F"/>
    <w:rsid w:val="00CC42B5"/>
    <w:rsid w:val="00CC42E0"/>
    <w:rsid w:val="00CC4321"/>
    <w:rsid w:val="00CC44F2"/>
    <w:rsid w:val="00CC453F"/>
    <w:rsid w:val="00CC457A"/>
    <w:rsid w:val="00CC45B0"/>
    <w:rsid w:val="00CC46D7"/>
    <w:rsid w:val="00CC46D8"/>
    <w:rsid w:val="00CC477D"/>
    <w:rsid w:val="00CC4886"/>
    <w:rsid w:val="00CC4902"/>
    <w:rsid w:val="00CC4923"/>
    <w:rsid w:val="00CC499F"/>
    <w:rsid w:val="00CC49BC"/>
    <w:rsid w:val="00CC49C0"/>
    <w:rsid w:val="00CC4C48"/>
    <w:rsid w:val="00CC4C9A"/>
    <w:rsid w:val="00CC4F80"/>
    <w:rsid w:val="00CC4FA3"/>
    <w:rsid w:val="00CC5009"/>
    <w:rsid w:val="00CC504E"/>
    <w:rsid w:val="00CC50A5"/>
    <w:rsid w:val="00CC50AD"/>
    <w:rsid w:val="00CC50CC"/>
    <w:rsid w:val="00CC5109"/>
    <w:rsid w:val="00CC51EA"/>
    <w:rsid w:val="00CC5331"/>
    <w:rsid w:val="00CC5420"/>
    <w:rsid w:val="00CC5489"/>
    <w:rsid w:val="00CC5547"/>
    <w:rsid w:val="00CC55B1"/>
    <w:rsid w:val="00CC5643"/>
    <w:rsid w:val="00CC56AB"/>
    <w:rsid w:val="00CC56CE"/>
    <w:rsid w:val="00CC5829"/>
    <w:rsid w:val="00CC583D"/>
    <w:rsid w:val="00CC5917"/>
    <w:rsid w:val="00CC5977"/>
    <w:rsid w:val="00CC5978"/>
    <w:rsid w:val="00CC5ACB"/>
    <w:rsid w:val="00CC5C39"/>
    <w:rsid w:val="00CC5C83"/>
    <w:rsid w:val="00CC5D96"/>
    <w:rsid w:val="00CC5E9A"/>
    <w:rsid w:val="00CC5ECC"/>
    <w:rsid w:val="00CC5F37"/>
    <w:rsid w:val="00CC5F44"/>
    <w:rsid w:val="00CC60EA"/>
    <w:rsid w:val="00CC6198"/>
    <w:rsid w:val="00CC6451"/>
    <w:rsid w:val="00CC64BE"/>
    <w:rsid w:val="00CC64C8"/>
    <w:rsid w:val="00CC6520"/>
    <w:rsid w:val="00CC656D"/>
    <w:rsid w:val="00CC66E3"/>
    <w:rsid w:val="00CC675C"/>
    <w:rsid w:val="00CC676C"/>
    <w:rsid w:val="00CC6802"/>
    <w:rsid w:val="00CC6861"/>
    <w:rsid w:val="00CC6938"/>
    <w:rsid w:val="00CC6940"/>
    <w:rsid w:val="00CC6A63"/>
    <w:rsid w:val="00CC6B21"/>
    <w:rsid w:val="00CC6C7B"/>
    <w:rsid w:val="00CC6E04"/>
    <w:rsid w:val="00CC6EF1"/>
    <w:rsid w:val="00CC70C0"/>
    <w:rsid w:val="00CC70C4"/>
    <w:rsid w:val="00CC7209"/>
    <w:rsid w:val="00CC725A"/>
    <w:rsid w:val="00CC72E6"/>
    <w:rsid w:val="00CC72FB"/>
    <w:rsid w:val="00CC73AF"/>
    <w:rsid w:val="00CC73F5"/>
    <w:rsid w:val="00CC7453"/>
    <w:rsid w:val="00CC7498"/>
    <w:rsid w:val="00CC7559"/>
    <w:rsid w:val="00CC75C3"/>
    <w:rsid w:val="00CC75F7"/>
    <w:rsid w:val="00CC7683"/>
    <w:rsid w:val="00CC7688"/>
    <w:rsid w:val="00CC769A"/>
    <w:rsid w:val="00CC76BA"/>
    <w:rsid w:val="00CC7708"/>
    <w:rsid w:val="00CC77CF"/>
    <w:rsid w:val="00CC7845"/>
    <w:rsid w:val="00CC785B"/>
    <w:rsid w:val="00CC78D9"/>
    <w:rsid w:val="00CC78F9"/>
    <w:rsid w:val="00CC7A38"/>
    <w:rsid w:val="00CC7ACF"/>
    <w:rsid w:val="00CC7AF0"/>
    <w:rsid w:val="00CC7B11"/>
    <w:rsid w:val="00CC7B1F"/>
    <w:rsid w:val="00CC7CD6"/>
    <w:rsid w:val="00CC7CF7"/>
    <w:rsid w:val="00CC7E9F"/>
    <w:rsid w:val="00CC7ECE"/>
    <w:rsid w:val="00CC7F12"/>
    <w:rsid w:val="00CC7FC8"/>
    <w:rsid w:val="00CD0057"/>
    <w:rsid w:val="00CD01BB"/>
    <w:rsid w:val="00CD021C"/>
    <w:rsid w:val="00CD025D"/>
    <w:rsid w:val="00CD02C3"/>
    <w:rsid w:val="00CD047F"/>
    <w:rsid w:val="00CD05E5"/>
    <w:rsid w:val="00CD08B1"/>
    <w:rsid w:val="00CD0A87"/>
    <w:rsid w:val="00CD0C72"/>
    <w:rsid w:val="00CD0C8F"/>
    <w:rsid w:val="00CD0CD7"/>
    <w:rsid w:val="00CD0CE1"/>
    <w:rsid w:val="00CD0CF0"/>
    <w:rsid w:val="00CD0D2B"/>
    <w:rsid w:val="00CD0DC7"/>
    <w:rsid w:val="00CD0EDD"/>
    <w:rsid w:val="00CD0F0A"/>
    <w:rsid w:val="00CD0F67"/>
    <w:rsid w:val="00CD1013"/>
    <w:rsid w:val="00CD11DC"/>
    <w:rsid w:val="00CD1236"/>
    <w:rsid w:val="00CD1259"/>
    <w:rsid w:val="00CD12B0"/>
    <w:rsid w:val="00CD138D"/>
    <w:rsid w:val="00CD13E2"/>
    <w:rsid w:val="00CD1574"/>
    <w:rsid w:val="00CD15EC"/>
    <w:rsid w:val="00CD165E"/>
    <w:rsid w:val="00CD171F"/>
    <w:rsid w:val="00CD17BF"/>
    <w:rsid w:val="00CD18FE"/>
    <w:rsid w:val="00CD19D7"/>
    <w:rsid w:val="00CD1A52"/>
    <w:rsid w:val="00CD1A53"/>
    <w:rsid w:val="00CD1A68"/>
    <w:rsid w:val="00CD1A85"/>
    <w:rsid w:val="00CD1B02"/>
    <w:rsid w:val="00CD1BFC"/>
    <w:rsid w:val="00CD1CD8"/>
    <w:rsid w:val="00CD1D92"/>
    <w:rsid w:val="00CD1E16"/>
    <w:rsid w:val="00CD1E44"/>
    <w:rsid w:val="00CD1F12"/>
    <w:rsid w:val="00CD1F7D"/>
    <w:rsid w:val="00CD2002"/>
    <w:rsid w:val="00CD2038"/>
    <w:rsid w:val="00CD2051"/>
    <w:rsid w:val="00CD2061"/>
    <w:rsid w:val="00CD206D"/>
    <w:rsid w:val="00CD20BC"/>
    <w:rsid w:val="00CD20F7"/>
    <w:rsid w:val="00CD21EB"/>
    <w:rsid w:val="00CD2246"/>
    <w:rsid w:val="00CD2276"/>
    <w:rsid w:val="00CD22BB"/>
    <w:rsid w:val="00CD232F"/>
    <w:rsid w:val="00CD23DD"/>
    <w:rsid w:val="00CD23FD"/>
    <w:rsid w:val="00CD2419"/>
    <w:rsid w:val="00CD246C"/>
    <w:rsid w:val="00CD2512"/>
    <w:rsid w:val="00CD263A"/>
    <w:rsid w:val="00CD2713"/>
    <w:rsid w:val="00CD2816"/>
    <w:rsid w:val="00CD29BE"/>
    <w:rsid w:val="00CD2A5B"/>
    <w:rsid w:val="00CD2A90"/>
    <w:rsid w:val="00CD2AFA"/>
    <w:rsid w:val="00CD2B2C"/>
    <w:rsid w:val="00CD2B60"/>
    <w:rsid w:val="00CD2CBE"/>
    <w:rsid w:val="00CD2D43"/>
    <w:rsid w:val="00CD2DC6"/>
    <w:rsid w:val="00CD2E0A"/>
    <w:rsid w:val="00CD2E2C"/>
    <w:rsid w:val="00CD2F98"/>
    <w:rsid w:val="00CD2FA0"/>
    <w:rsid w:val="00CD3013"/>
    <w:rsid w:val="00CD302A"/>
    <w:rsid w:val="00CD3090"/>
    <w:rsid w:val="00CD3275"/>
    <w:rsid w:val="00CD32F5"/>
    <w:rsid w:val="00CD3374"/>
    <w:rsid w:val="00CD3386"/>
    <w:rsid w:val="00CD33C4"/>
    <w:rsid w:val="00CD357E"/>
    <w:rsid w:val="00CD3641"/>
    <w:rsid w:val="00CD3677"/>
    <w:rsid w:val="00CD36CD"/>
    <w:rsid w:val="00CD3848"/>
    <w:rsid w:val="00CD390A"/>
    <w:rsid w:val="00CD390E"/>
    <w:rsid w:val="00CD395A"/>
    <w:rsid w:val="00CD39FA"/>
    <w:rsid w:val="00CD3A25"/>
    <w:rsid w:val="00CD3A8E"/>
    <w:rsid w:val="00CD3B68"/>
    <w:rsid w:val="00CD3C2A"/>
    <w:rsid w:val="00CD3CAE"/>
    <w:rsid w:val="00CD3DE2"/>
    <w:rsid w:val="00CD3FA8"/>
    <w:rsid w:val="00CD3FF2"/>
    <w:rsid w:val="00CD4056"/>
    <w:rsid w:val="00CD4111"/>
    <w:rsid w:val="00CD4233"/>
    <w:rsid w:val="00CD4271"/>
    <w:rsid w:val="00CD4321"/>
    <w:rsid w:val="00CD4369"/>
    <w:rsid w:val="00CD43FC"/>
    <w:rsid w:val="00CD44D1"/>
    <w:rsid w:val="00CD4595"/>
    <w:rsid w:val="00CD4740"/>
    <w:rsid w:val="00CD4A04"/>
    <w:rsid w:val="00CD4A0A"/>
    <w:rsid w:val="00CD4A55"/>
    <w:rsid w:val="00CD4A9A"/>
    <w:rsid w:val="00CD4B58"/>
    <w:rsid w:val="00CD4B98"/>
    <w:rsid w:val="00CD4C24"/>
    <w:rsid w:val="00CD4E11"/>
    <w:rsid w:val="00CD4EA7"/>
    <w:rsid w:val="00CD4F49"/>
    <w:rsid w:val="00CD5015"/>
    <w:rsid w:val="00CD504F"/>
    <w:rsid w:val="00CD5153"/>
    <w:rsid w:val="00CD5336"/>
    <w:rsid w:val="00CD540B"/>
    <w:rsid w:val="00CD54BF"/>
    <w:rsid w:val="00CD55A1"/>
    <w:rsid w:val="00CD5730"/>
    <w:rsid w:val="00CD57CB"/>
    <w:rsid w:val="00CD582B"/>
    <w:rsid w:val="00CD5909"/>
    <w:rsid w:val="00CD5933"/>
    <w:rsid w:val="00CD593C"/>
    <w:rsid w:val="00CD5944"/>
    <w:rsid w:val="00CD5A33"/>
    <w:rsid w:val="00CD5ADC"/>
    <w:rsid w:val="00CD5B99"/>
    <w:rsid w:val="00CD5C86"/>
    <w:rsid w:val="00CD5CB1"/>
    <w:rsid w:val="00CD5D46"/>
    <w:rsid w:val="00CD604B"/>
    <w:rsid w:val="00CD6087"/>
    <w:rsid w:val="00CD6151"/>
    <w:rsid w:val="00CD6262"/>
    <w:rsid w:val="00CD626F"/>
    <w:rsid w:val="00CD632B"/>
    <w:rsid w:val="00CD6333"/>
    <w:rsid w:val="00CD63A6"/>
    <w:rsid w:val="00CD63FA"/>
    <w:rsid w:val="00CD6439"/>
    <w:rsid w:val="00CD6458"/>
    <w:rsid w:val="00CD6501"/>
    <w:rsid w:val="00CD6523"/>
    <w:rsid w:val="00CD655F"/>
    <w:rsid w:val="00CD6604"/>
    <w:rsid w:val="00CD66DC"/>
    <w:rsid w:val="00CD677F"/>
    <w:rsid w:val="00CD69AC"/>
    <w:rsid w:val="00CD6A62"/>
    <w:rsid w:val="00CD6AF3"/>
    <w:rsid w:val="00CD6B61"/>
    <w:rsid w:val="00CD6BF5"/>
    <w:rsid w:val="00CD6C27"/>
    <w:rsid w:val="00CD6D21"/>
    <w:rsid w:val="00CD6E00"/>
    <w:rsid w:val="00CD6F1B"/>
    <w:rsid w:val="00CD6F50"/>
    <w:rsid w:val="00CD6F58"/>
    <w:rsid w:val="00CD6F80"/>
    <w:rsid w:val="00CD6FD8"/>
    <w:rsid w:val="00CD70AE"/>
    <w:rsid w:val="00CD717E"/>
    <w:rsid w:val="00CD7186"/>
    <w:rsid w:val="00CD7258"/>
    <w:rsid w:val="00CD7382"/>
    <w:rsid w:val="00CD73A8"/>
    <w:rsid w:val="00CD74AB"/>
    <w:rsid w:val="00CD7511"/>
    <w:rsid w:val="00CD7521"/>
    <w:rsid w:val="00CD7555"/>
    <w:rsid w:val="00CD7607"/>
    <w:rsid w:val="00CD760F"/>
    <w:rsid w:val="00CD7694"/>
    <w:rsid w:val="00CD76E6"/>
    <w:rsid w:val="00CD793B"/>
    <w:rsid w:val="00CD7A59"/>
    <w:rsid w:val="00CD7A90"/>
    <w:rsid w:val="00CD7A93"/>
    <w:rsid w:val="00CD7B27"/>
    <w:rsid w:val="00CD7D4B"/>
    <w:rsid w:val="00CD7F0D"/>
    <w:rsid w:val="00CD7F73"/>
    <w:rsid w:val="00CE0048"/>
    <w:rsid w:val="00CE0087"/>
    <w:rsid w:val="00CE0148"/>
    <w:rsid w:val="00CE01F3"/>
    <w:rsid w:val="00CE01F9"/>
    <w:rsid w:val="00CE0275"/>
    <w:rsid w:val="00CE027D"/>
    <w:rsid w:val="00CE029E"/>
    <w:rsid w:val="00CE02BE"/>
    <w:rsid w:val="00CE02C6"/>
    <w:rsid w:val="00CE0469"/>
    <w:rsid w:val="00CE0523"/>
    <w:rsid w:val="00CE0627"/>
    <w:rsid w:val="00CE06F9"/>
    <w:rsid w:val="00CE0701"/>
    <w:rsid w:val="00CE07AA"/>
    <w:rsid w:val="00CE07F7"/>
    <w:rsid w:val="00CE0822"/>
    <w:rsid w:val="00CE0824"/>
    <w:rsid w:val="00CE0927"/>
    <w:rsid w:val="00CE09CC"/>
    <w:rsid w:val="00CE0A92"/>
    <w:rsid w:val="00CE0B84"/>
    <w:rsid w:val="00CE0B98"/>
    <w:rsid w:val="00CE0C96"/>
    <w:rsid w:val="00CE0E79"/>
    <w:rsid w:val="00CE0F00"/>
    <w:rsid w:val="00CE0F03"/>
    <w:rsid w:val="00CE10D9"/>
    <w:rsid w:val="00CE10FB"/>
    <w:rsid w:val="00CE128D"/>
    <w:rsid w:val="00CE12D2"/>
    <w:rsid w:val="00CE12E5"/>
    <w:rsid w:val="00CE1343"/>
    <w:rsid w:val="00CE13B5"/>
    <w:rsid w:val="00CE147C"/>
    <w:rsid w:val="00CE148D"/>
    <w:rsid w:val="00CE14C1"/>
    <w:rsid w:val="00CE14E0"/>
    <w:rsid w:val="00CE153C"/>
    <w:rsid w:val="00CE1596"/>
    <w:rsid w:val="00CE15C6"/>
    <w:rsid w:val="00CE1608"/>
    <w:rsid w:val="00CE1627"/>
    <w:rsid w:val="00CE16D1"/>
    <w:rsid w:val="00CE1733"/>
    <w:rsid w:val="00CE1793"/>
    <w:rsid w:val="00CE17F0"/>
    <w:rsid w:val="00CE184C"/>
    <w:rsid w:val="00CE19B4"/>
    <w:rsid w:val="00CE19C9"/>
    <w:rsid w:val="00CE19EA"/>
    <w:rsid w:val="00CE1A47"/>
    <w:rsid w:val="00CE1B96"/>
    <w:rsid w:val="00CE1C80"/>
    <w:rsid w:val="00CE1C87"/>
    <w:rsid w:val="00CE1D3F"/>
    <w:rsid w:val="00CE1D6A"/>
    <w:rsid w:val="00CE1D83"/>
    <w:rsid w:val="00CE1D9A"/>
    <w:rsid w:val="00CE1F59"/>
    <w:rsid w:val="00CE1F9D"/>
    <w:rsid w:val="00CE1FA2"/>
    <w:rsid w:val="00CE1FB5"/>
    <w:rsid w:val="00CE1FD3"/>
    <w:rsid w:val="00CE2003"/>
    <w:rsid w:val="00CE204C"/>
    <w:rsid w:val="00CE207C"/>
    <w:rsid w:val="00CE20A5"/>
    <w:rsid w:val="00CE2131"/>
    <w:rsid w:val="00CE21B0"/>
    <w:rsid w:val="00CE223B"/>
    <w:rsid w:val="00CE2278"/>
    <w:rsid w:val="00CE2338"/>
    <w:rsid w:val="00CE2366"/>
    <w:rsid w:val="00CE261E"/>
    <w:rsid w:val="00CE2631"/>
    <w:rsid w:val="00CE2758"/>
    <w:rsid w:val="00CE275D"/>
    <w:rsid w:val="00CE27D2"/>
    <w:rsid w:val="00CE2819"/>
    <w:rsid w:val="00CE29A1"/>
    <w:rsid w:val="00CE29A7"/>
    <w:rsid w:val="00CE29F4"/>
    <w:rsid w:val="00CE2AE7"/>
    <w:rsid w:val="00CE2B82"/>
    <w:rsid w:val="00CE2C2D"/>
    <w:rsid w:val="00CE2C4B"/>
    <w:rsid w:val="00CE2CB0"/>
    <w:rsid w:val="00CE2E71"/>
    <w:rsid w:val="00CE30A5"/>
    <w:rsid w:val="00CE3130"/>
    <w:rsid w:val="00CE313B"/>
    <w:rsid w:val="00CE3197"/>
    <w:rsid w:val="00CE32CA"/>
    <w:rsid w:val="00CE32D5"/>
    <w:rsid w:val="00CE333D"/>
    <w:rsid w:val="00CE3365"/>
    <w:rsid w:val="00CE3492"/>
    <w:rsid w:val="00CE357D"/>
    <w:rsid w:val="00CE35E4"/>
    <w:rsid w:val="00CE367A"/>
    <w:rsid w:val="00CE36A3"/>
    <w:rsid w:val="00CE37E4"/>
    <w:rsid w:val="00CE393D"/>
    <w:rsid w:val="00CE3948"/>
    <w:rsid w:val="00CE3956"/>
    <w:rsid w:val="00CE3975"/>
    <w:rsid w:val="00CE3A14"/>
    <w:rsid w:val="00CE3A38"/>
    <w:rsid w:val="00CE3B1C"/>
    <w:rsid w:val="00CE3B33"/>
    <w:rsid w:val="00CE3B50"/>
    <w:rsid w:val="00CE3B82"/>
    <w:rsid w:val="00CE3B8A"/>
    <w:rsid w:val="00CE3BAE"/>
    <w:rsid w:val="00CE3BB5"/>
    <w:rsid w:val="00CE3BEE"/>
    <w:rsid w:val="00CE3C98"/>
    <w:rsid w:val="00CE3C9A"/>
    <w:rsid w:val="00CE3D12"/>
    <w:rsid w:val="00CE3D40"/>
    <w:rsid w:val="00CE3DAA"/>
    <w:rsid w:val="00CE3DB7"/>
    <w:rsid w:val="00CE3E20"/>
    <w:rsid w:val="00CE3E70"/>
    <w:rsid w:val="00CE3F00"/>
    <w:rsid w:val="00CE3FA4"/>
    <w:rsid w:val="00CE400A"/>
    <w:rsid w:val="00CE40C4"/>
    <w:rsid w:val="00CE411D"/>
    <w:rsid w:val="00CE4124"/>
    <w:rsid w:val="00CE4154"/>
    <w:rsid w:val="00CE41A6"/>
    <w:rsid w:val="00CE42F3"/>
    <w:rsid w:val="00CE42FC"/>
    <w:rsid w:val="00CE43AC"/>
    <w:rsid w:val="00CE43DC"/>
    <w:rsid w:val="00CE4497"/>
    <w:rsid w:val="00CE44EA"/>
    <w:rsid w:val="00CE4510"/>
    <w:rsid w:val="00CE455A"/>
    <w:rsid w:val="00CE4604"/>
    <w:rsid w:val="00CE4622"/>
    <w:rsid w:val="00CE4828"/>
    <w:rsid w:val="00CE4918"/>
    <w:rsid w:val="00CE49F9"/>
    <w:rsid w:val="00CE49FB"/>
    <w:rsid w:val="00CE4A2D"/>
    <w:rsid w:val="00CE4AA1"/>
    <w:rsid w:val="00CE4AEA"/>
    <w:rsid w:val="00CE4B7D"/>
    <w:rsid w:val="00CE4BBF"/>
    <w:rsid w:val="00CE4C2B"/>
    <w:rsid w:val="00CE4E63"/>
    <w:rsid w:val="00CE4E77"/>
    <w:rsid w:val="00CE4EFD"/>
    <w:rsid w:val="00CE5037"/>
    <w:rsid w:val="00CE5069"/>
    <w:rsid w:val="00CE511D"/>
    <w:rsid w:val="00CE51CC"/>
    <w:rsid w:val="00CE51FD"/>
    <w:rsid w:val="00CE5278"/>
    <w:rsid w:val="00CE5286"/>
    <w:rsid w:val="00CE52DF"/>
    <w:rsid w:val="00CE5330"/>
    <w:rsid w:val="00CE5380"/>
    <w:rsid w:val="00CE5415"/>
    <w:rsid w:val="00CE5480"/>
    <w:rsid w:val="00CE5511"/>
    <w:rsid w:val="00CE5579"/>
    <w:rsid w:val="00CE55A3"/>
    <w:rsid w:val="00CE55A5"/>
    <w:rsid w:val="00CE56AC"/>
    <w:rsid w:val="00CE56E3"/>
    <w:rsid w:val="00CE56F8"/>
    <w:rsid w:val="00CE58B7"/>
    <w:rsid w:val="00CE58D0"/>
    <w:rsid w:val="00CE59E8"/>
    <w:rsid w:val="00CE5A1D"/>
    <w:rsid w:val="00CE5A8F"/>
    <w:rsid w:val="00CE5B2C"/>
    <w:rsid w:val="00CE5B49"/>
    <w:rsid w:val="00CE5B7C"/>
    <w:rsid w:val="00CE5BDA"/>
    <w:rsid w:val="00CE5BE2"/>
    <w:rsid w:val="00CE5C2F"/>
    <w:rsid w:val="00CE5C38"/>
    <w:rsid w:val="00CE5C7B"/>
    <w:rsid w:val="00CE5CB0"/>
    <w:rsid w:val="00CE5DCB"/>
    <w:rsid w:val="00CE5E06"/>
    <w:rsid w:val="00CE5E7E"/>
    <w:rsid w:val="00CE5EFB"/>
    <w:rsid w:val="00CE6164"/>
    <w:rsid w:val="00CE618F"/>
    <w:rsid w:val="00CE61D8"/>
    <w:rsid w:val="00CE6201"/>
    <w:rsid w:val="00CE6313"/>
    <w:rsid w:val="00CE63E2"/>
    <w:rsid w:val="00CE63E4"/>
    <w:rsid w:val="00CE6465"/>
    <w:rsid w:val="00CE657C"/>
    <w:rsid w:val="00CE65B5"/>
    <w:rsid w:val="00CE660B"/>
    <w:rsid w:val="00CE665A"/>
    <w:rsid w:val="00CE6690"/>
    <w:rsid w:val="00CE674D"/>
    <w:rsid w:val="00CE67DE"/>
    <w:rsid w:val="00CE6807"/>
    <w:rsid w:val="00CE699B"/>
    <w:rsid w:val="00CE6A08"/>
    <w:rsid w:val="00CE6A3D"/>
    <w:rsid w:val="00CE6A7A"/>
    <w:rsid w:val="00CE6A9D"/>
    <w:rsid w:val="00CE6AAF"/>
    <w:rsid w:val="00CE6AC3"/>
    <w:rsid w:val="00CE6B5D"/>
    <w:rsid w:val="00CE6C10"/>
    <w:rsid w:val="00CE6C35"/>
    <w:rsid w:val="00CE6CF1"/>
    <w:rsid w:val="00CE6D1E"/>
    <w:rsid w:val="00CE6D8B"/>
    <w:rsid w:val="00CE6DD4"/>
    <w:rsid w:val="00CE6E03"/>
    <w:rsid w:val="00CE6FA4"/>
    <w:rsid w:val="00CE6FDE"/>
    <w:rsid w:val="00CE7001"/>
    <w:rsid w:val="00CE7043"/>
    <w:rsid w:val="00CE70B5"/>
    <w:rsid w:val="00CE70CD"/>
    <w:rsid w:val="00CE7108"/>
    <w:rsid w:val="00CE7114"/>
    <w:rsid w:val="00CE7270"/>
    <w:rsid w:val="00CE736C"/>
    <w:rsid w:val="00CE74BC"/>
    <w:rsid w:val="00CE7533"/>
    <w:rsid w:val="00CE75C5"/>
    <w:rsid w:val="00CE7618"/>
    <w:rsid w:val="00CE762E"/>
    <w:rsid w:val="00CE7647"/>
    <w:rsid w:val="00CE76A3"/>
    <w:rsid w:val="00CE76A9"/>
    <w:rsid w:val="00CE76D1"/>
    <w:rsid w:val="00CE782F"/>
    <w:rsid w:val="00CE7860"/>
    <w:rsid w:val="00CE7885"/>
    <w:rsid w:val="00CE799F"/>
    <w:rsid w:val="00CE79AE"/>
    <w:rsid w:val="00CE7A5E"/>
    <w:rsid w:val="00CE7A83"/>
    <w:rsid w:val="00CE7AC5"/>
    <w:rsid w:val="00CE7AEC"/>
    <w:rsid w:val="00CE7B00"/>
    <w:rsid w:val="00CE7B68"/>
    <w:rsid w:val="00CE7B7F"/>
    <w:rsid w:val="00CE7BCC"/>
    <w:rsid w:val="00CE7C0B"/>
    <w:rsid w:val="00CE7CA1"/>
    <w:rsid w:val="00CE7D1D"/>
    <w:rsid w:val="00CE7D3B"/>
    <w:rsid w:val="00CE7E8A"/>
    <w:rsid w:val="00CE7FEF"/>
    <w:rsid w:val="00CF0016"/>
    <w:rsid w:val="00CF0189"/>
    <w:rsid w:val="00CF0258"/>
    <w:rsid w:val="00CF0267"/>
    <w:rsid w:val="00CF027B"/>
    <w:rsid w:val="00CF0280"/>
    <w:rsid w:val="00CF029D"/>
    <w:rsid w:val="00CF05E3"/>
    <w:rsid w:val="00CF0644"/>
    <w:rsid w:val="00CF06E9"/>
    <w:rsid w:val="00CF0748"/>
    <w:rsid w:val="00CF07A8"/>
    <w:rsid w:val="00CF0818"/>
    <w:rsid w:val="00CF08F7"/>
    <w:rsid w:val="00CF091E"/>
    <w:rsid w:val="00CF093A"/>
    <w:rsid w:val="00CF097D"/>
    <w:rsid w:val="00CF0A22"/>
    <w:rsid w:val="00CF0A3B"/>
    <w:rsid w:val="00CF0B0A"/>
    <w:rsid w:val="00CF0B3F"/>
    <w:rsid w:val="00CF0D67"/>
    <w:rsid w:val="00CF0D81"/>
    <w:rsid w:val="00CF0DC1"/>
    <w:rsid w:val="00CF0DC8"/>
    <w:rsid w:val="00CF0DDF"/>
    <w:rsid w:val="00CF0E43"/>
    <w:rsid w:val="00CF0E48"/>
    <w:rsid w:val="00CF0E7D"/>
    <w:rsid w:val="00CF0EB9"/>
    <w:rsid w:val="00CF0EFC"/>
    <w:rsid w:val="00CF0F26"/>
    <w:rsid w:val="00CF0F91"/>
    <w:rsid w:val="00CF1034"/>
    <w:rsid w:val="00CF108F"/>
    <w:rsid w:val="00CF10B0"/>
    <w:rsid w:val="00CF11F5"/>
    <w:rsid w:val="00CF124C"/>
    <w:rsid w:val="00CF125C"/>
    <w:rsid w:val="00CF1262"/>
    <w:rsid w:val="00CF1326"/>
    <w:rsid w:val="00CF1342"/>
    <w:rsid w:val="00CF1385"/>
    <w:rsid w:val="00CF13EC"/>
    <w:rsid w:val="00CF1478"/>
    <w:rsid w:val="00CF168B"/>
    <w:rsid w:val="00CF16B1"/>
    <w:rsid w:val="00CF16C7"/>
    <w:rsid w:val="00CF177A"/>
    <w:rsid w:val="00CF1780"/>
    <w:rsid w:val="00CF1923"/>
    <w:rsid w:val="00CF192F"/>
    <w:rsid w:val="00CF197B"/>
    <w:rsid w:val="00CF1A07"/>
    <w:rsid w:val="00CF1A7E"/>
    <w:rsid w:val="00CF1ABC"/>
    <w:rsid w:val="00CF1AD4"/>
    <w:rsid w:val="00CF1B1B"/>
    <w:rsid w:val="00CF1B37"/>
    <w:rsid w:val="00CF1C3D"/>
    <w:rsid w:val="00CF1C56"/>
    <w:rsid w:val="00CF1CA8"/>
    <w:rsid w:val="00CF1CB3"/>
    <w:rsid w:val="00CF1CBD"/>
    <w:rsid w:val="00CF1DA2"/>
    <w:rsid w:val="00CF1E65"/>
    <w:rsid w:val="00CF1ECA"/>
    <w:rsid w:val="00CF1F16"/>
    <w:rsid w:val="00CF1F30"/>
    <w:rsid w:val="00CF1F9E"/>
    <w:rsid w:val="00CF2022"/>
    <w:rsid w:val="00CF2047"/>
    <w:rsid w:val="00CF2149"/>
    <w:rsid w:val="00CF21DB"/>
    <w:rsid w:val="00CF230C"/>
    <w:rsid w:val="00CF24E4"/>
    <w:rsid w:val="00CF24EE"/>
    <w:rsid w:val="00CF267B"/>
    <w:rsid w:val="00CF27F3"/>
    <w:rsid w:val="00CF28D1"/>
    <w:rsid w:val="00CF28D9"/>
    <w:rsid w:val="00CF28E1"/>
    <w:rsid w:val="00CF2A0F"/>
    <w:rsid w:val="00CF2AE4"/>
    <w:rsid w:val="00CF2AED"/>
    <w:rsid w:val="00CF2B2C"/>
    <w:rsid w:val="00CF2B71"/>
    <w:rsid w:val="00CF2B8A"/>
    <w:rsid w:val="00CF2BCF"/>
    <w:rsid w:val="00CF2C21"/>
    <w:rsid w:val="00CF2C2B"/>
    <w:rsid w:val="00CF2C64"/>
    <w:rsid w:val="00CF2CE3"/>
    <w:rsid w:val="00CF2E36"/>
    <w:rsid w:val="00CF2EE6"/>
    <w:rsid w:val="00CF2F0F"/>
    <w:rsid w:val="00CF2F28"/>
    <w:rsid w:val="00CF2F6B"/>
    <w:rsid w:val="00CF2FB9"/>
    <w:rsid w:val="00CF2FFA"/>
    <w:rsid w:val="00CF3057"/>
    <w:rsid w:val="00CF3075"/>
    <w:rsid w:val="00CF3086"/>
    <w:rsid w:val="00CF30CA"/>
    <w:rsid w:val="00CF30E7"/>
    <w:rsid w:val="00CF3107"/>
    <w:rsid w:val="00CF3134"/>
    <w:rsid w:val="00CF31A7"/>
    <w:rsid w:val="00CF31BF"/>
    <w:rsid w:val="00CF321B"/>
    <w:rsid w:val="00CF3242"/>
    <w:rsid w:val="00CF3291"/>
    <w:rsid w:val="00CF32C5"/>
    <w:rsid w:val="00CF32E7"/>
    <w:rsid w:val="00CF3320"/>
    <w:rsid w:val="00CF345A"/>
    <w:rsid w:val="00CF3619"/>
    <w:rsid w:val="00CF38B3"/>
    <w:rsid w:val="00CF39A2"/>
    <w:rsid w:val="00CF3A37"/>
    <w:rsid w:val="00CF3A6E"/>
    <w:rsid w:val="00CF3B0A"/>
    <w:rsid w:val="00CF3B40"/>
    <w:rsid w:val="00CF3BF8"/>
    <w:rsid w:val="00CF3C50"/>
    <w:rsid w:val="00CF3C9B"/>
    <w:rsid w:val="00CF3D0A"/>
    <w:rsid w:val="00CF3D46"/>
    <w:rsid w:val="00CF3D78"/>
    <w:rsid w:val="00CF3E0A"/>
    <w:rsid w:val="00CF3F32"/>
    <w:rsid w:val="00CF3F95"/>
    <w:rsid w:val="00CF4078"/>
    <w:rsid w:val="00CF4240"/>
    <w:rsid w:val="00CF42D2"/>
    <w:rsid w:val="00CF42E5"/>
    <w:rsid w:val="00CF42EC"/>
    <w:rsid w:val="00CF43D5"/>
    <w:rsid w:val="00CF44BB"/>
    <w:rsid w:val="00CF4521"/>
    <w:rsid w:val="00CF468E"/>
    <w:rsid w:val="00CF474E"/>
    <w:rsid w:val="00CF47A3"/>
    <w:rsid w:val="00CF47ED"/>
    <w:rsid w:val="00CF4A2C"/>
    <w:rsid w:val="00CF4AC3"/>
    <w:rsid w:val="00CF4B51"/>
    <w:rsid w:val="00CF4BFF"/>
    <w:rsid w:val="00CF4C1D"/>
    <w:rsid w:val="00CF4C8B"/>
    <w:rsid w:val="00CF4DB2"/>
    <w:rsid w:val="00CF4E49"/>
    <w:rsid w:val="00CF4EA8"/>
    <w:rsid w:val="00CF4EB6"/>
    <w:rsid w:val="00CF5035"/>
    <w:rsid w:val="00CF508B"/>
    <w:rsid w:val="00CF513E"/>
    <w:rsid w:val="00CF5167"/>
    <w:rsid w:val="00CF5324"/>
    <w:rsid w:val="00CF535E"/>
    <w:rsid w:val="00CF5441"/>
    <w:rsid w:val="00CF54D1"/>
    <w:rsid w:val="00CF54EE"/>
    <w:rsid w:val="00CF55E1"/>
    <w:rsid w:val="00CF5652"/>
    <w:rsid w:val="00CF56B9"/>
    <w:rsid w:val="00CF571F"/>
    <w:rsid w:val="00CF574E"/>
    <w:rsid w:val="00CF5821"/>
    <w:rsid w:val="00CF5867"/>
    <w:rsid w:val="00CF58AA"/>
    <w:rsid w:val="00CF59C3"/>
    <w:rsid w:val="00CF5AA1"/>
    <w:rsid w:val="00CF5AF1"/>
    <w:rsid w:val="00CF5B0B"/>
    <w:rsid w:val="00CF5B1D"/>
    <w:rsid w:val="00CF5B22"/>
    <w:rsid w:val="00CF5B7D"/>
    <w:rsid w:val="00CF5B9D"/>
    <w:rsid w:val="00CF5BBA"/>
    <w:rsid w:val="00CF5BC5"/>
    <w:rsid w:val="00CF5D00"/>
    <w:rsid w:val="00CF5D99"/>
    <w:rsid w:val="00CF5E6C"/>
    <w:rsid w:val="00CF5E79"/>
    <w:rsid w:val="00CF5EC8"/>
    <w:rsid w:val="00CF603A"/>
    <w:rsid w:val="00CF612D"/>
    <w:rsid w:val="00CF6148"/>
    <w:rsid w:val="00CF615A"/>
    <w:rsid w:val="00CF6279"/>
    <w:rsid w:val="00CF6289"/>
    <w:rsid w:val="00CF62B3"/>
    <w:rsid w:val="00CF6369"/>
    <w:rsid w:val="00CF63B0"/>
    <w:rsid w:val="00CF6465"/>
    <w:rsid w:val="00CF655A"/>
    <w:rsid w:val="00CF6562"/>
    <w:rsid w:val="00CF6593"/>
    <w:rsid w:val="00CF65BA"/>
    <w:rsid w:val="00CF65E1"/>
    <w:rsid w:val="00CF65F5"/>
    <w:rsid w:val="00CF665B"/>
    <w:rsid w:val="00CF66CD"/>
    <w:rsid w:val="00CF6880"/>
    <w:rsid w:val="00CF6B9A"/>
    <w:rsid w:val="00CF6D6B"/>
    <w:rsid w:val="00CF6E62"/>
    <w:rsid w:val="00CF704A"/>
    <w:rsid w:val="00CF713D"/>
    <w:rsid w:val="00CF71D8"/>
    <w:rsid w:val="00CF72CE"/>
    <w:rsid w:val="00CF7303"/>
    <w:rsid w:val="00CF7339"/>
    <w:rsid w:val="00CF7385"/>
    <w:rsid w:val="00CF74C1"/>
    <w:rsid w:val="00CF767E"/>
    <w:rsid w:val="00CF7702"/>
    <w:rsid w:val="00CF773B"/>
    <w:rsid w:val="00CF7758"/>
    <w:rsid w:val="00CF7772"/>
    <w:rsid w:val="00CF7784"/>
    <w:rsid w:val="00CF7822"/>
    <w:rsid w:val="00CF78A1"/>
    <w:rsid w:val="00CF79AD"/>
    <w:rsid w:val="00CF7A50"/>
    <w:rsid w:val="00CF7CCB"/>
    <w:rsid w:val="00CF7D16"/>
    <w:rsid w:val="00CF7E85"/>
    <w:rsid w:val="00CF7F1F"/>
    <w:rsid w:val="00CF7F4C"/>
    <w:rsid w:val="00CF7F5F"/>
    <w:rsid w:val="00CF7F74"/>
    <w:rsid w:val="00CF7F96"/>
    <w:rsid w:val="00CF7FCB"/>
    <w:rsid w:val="00CF9BA3"/>
    <w:rsid w:val="00CFDE0D"/>
    <w:rsid w:val="00D0000E"/>
    <w:rsid w:val="00D00067"/>
    <w:rsid w:val="00D0024B"/>
    <w:rsid w:val="00D0028D"/>
    <w:rsid w:val="00D00325"/>
    <w:rsid w:val="00D0038B"/>
    <w:rsid w:val="00D0038C"/>
    <w:rsid w:val="00D00573"/>
    <w:rsid w:val="00D0064C"/>
    <w:rsid w:val="00D00666"/>
    <w:rsid w:val="00D0067F"/>
    <w:rsid w:val="00D0069D"/>
    <w:rsid w:val="00D00759"/>
    <w:rsid w:val="00D00775"/>
    <w:rsid w:val="00D0080B"/>
    <w:rsid w:val="00D00957"/>
    <w:rsid w:val="00D00974"/>
    <w:rsid w:val="00D00995"/>
    <w:rsid w:val="00D00AED"/>
    <w:rsid w:val="00D00B4B"/>
    <w:rsid w:val="00D00B5E"/>
    <w:rsid w:val="00D00C94"/>
    <w:rsid w:val="00D00CA2"/>
    <w:rsid w:val="00D00DC8"/>
    <w:rsid w:val="00D00DC9"/>
    <w:rsid w:val="00D00DF8"/>
    <w:rsid w:val="00D00E1D"/>
    <w:rsid w:val="00D00E20"/>
    <w:rsid w:val="00D00E37"/>
    <w:rsid w:val="00D00E9B"/>
    <w:rsid w:val="00D00EAA"/>
    <w:rsid w:val="00D00FC6"/>
    <w:rsid w:val="00D00FD0"/>
    <w:rsid w:val="00D00FEC"/>
    <w:rsid w:val="00D00FF2"/>
    <w:rsid w:val="00D01004"/>
    <w:rsid w:val="00D01149"/>
    <w:rsid w:val="00D011B4"/>
    <w:rsid w:val="00D011EE"/>
    <w:rsid w:val="00D0121A"/>
    <w:rsid w:val="00D0123D"/>
    <w:rsid w:val="00D0124A"/>
    <w:rsid w:val="00D0124B"/>
    <w:rsid w:val="00D01294"/>
    <w:rsid w:val="00D01381"/>
    <w:rsid w:val="00D014DD"/>
    <w:rsid w:val="00D014EE"/>
    <w:rsid w:val="00D015EB"/>
    <w:rsid w:val="00D0177A"/>
    <w:rsid w:val="00D0180F"/>
    <w:rsid w:val="00D0182E"/>
    <w:rsid w:val="00D019BA"/>
    <w:rsid w:val="00D019C3"/>
    <w:rsid w:val="00D01B9E"/>
    <w:rsid w:val="00D01C01"/>
    <w:rsid w:val="00D01CC6"/>
    <w:rsid w:val="00D01D17"/>
    <w:rsid w:val="00D01D46"/>
    <w:rsid w:val="00D01D73"/>
    <w:rsid w:val="00D01D86"/>
    <w:rsid w:val="00D01EC5"/>
    <w:rsid w:val="00D01F9A"/>
    <w:rsid w:val="00D02000"/>
    <w:rsid w:val="00D02078"/>
    <w:rsid w:val="00D022E0"/>
    <w:rsid w:val="00D02370"/>
    <w:rsid w:val="00D02371"/>
    <w:rsid w:val="00D023F1"/>
    <w:rsid w:val="00D024FD"/>
    <w:rsid w:val="00D02590"/>
    <w:rsid w:val="00D025C2"/>
    <w:rsid w:val="00D025E2"/>
    <w:rsid w:val="00D0260A"/>
    <w:rsid w:val="00D02636"/>
    <w:rsid w:val="00D026BF"/>
    <w:rsid w:val="00D0274A"/>
    <w:rsid w:val="00D027A8"/>
    <w:rsid w:val="00D02808"/>
    <w:rsid w:val="00D02887"/>
    <w:rsid w:val="00D029B3"/>
    <w:rsid w:val="00D029C7"/>
    <w:rsid w:val="00D029E3"/>
    <w:rsid w:val="00D02A32"/>
    <w:rsid w:val="00D02A4D"/>
    <w:rsid w:val="00D02B99"/>
    <w:rsid w:val="00D02C51"/>
    <w:rsid w:val="00D02CF4"/>
    <w:rsid w:val="00D02EF2"/>
    <w:rsid w:val="00D02F11"/>
    <w:rsid w:val="00D02F8D"/>
    <w:rsid w:val="00D030B5"/>
    <w:rsid w:val="00D03155"/>
    <w:rsid w:val="00D03189"/>
    <w:rsid w:val="00D03246"/>
    <w:rsid w:val="00D03283"/>
    <w:rsid w:val="00D032B3"/>
    <w:rsid w:val="00D032ED"/>
    <w:rsid w:val="00D032EF"/>
    <w:rsid w:val="00D032F0"/>
    <w:rsid w:val="00D03432"/>
    <w:rsid w:val="00D0353A"/>
    <w:rsid w:val="00D0355E"/>
    <w:rsid w:val="00D035BB"/>
    <w:rsid w:val="00D035CD"/>
    <w:rsid w:val="00D036CB"/>
    <w:rsid w:val="00D03813"/>
    <w:rsid w:val="00D0382A"/>
    <w:rsid w:val="00D0388C"/>
    <w:rsid w:val="00D038EB"/>
    <w:rsid w:val="00D03AA6"/>
    <w:rsid w:val="00D03B51"/>
    <w:rsid w:val="00D03BB2"/>
    <w:rsid w:val="00D03C18"/>
    <w:rsid w:val="00D03C1B"/>
    <w:rsid w:val="00D03C50"/>
    <w:rsid w:val="00D03C92"/>
    <w:rsid w:val="00D03CB6"/>
    <w:rsid w:val="00D03D14"/>
    <w:rsid w:val="00D03D17"/>
    <w:rsid w:val="00D03DF1"/>
    <w:rsid w:val="00D03E70"/>
    <w:rsid w:val="00D03F02"/>
    <w:rsid w:val="00D03F45"/>
    <w:rsid w:val="00D0412D"/>
    <w:rsid w:val="00D0413D"/>
    <w:rsid w:val="00D04183"/>
    <w:rsid w:val="00D04211"/>
    <w:rsid w:val="00D04219"/>
    <w:rsid w:val="00D04289"/>
    <w:rsid w:val="00D044F4"/>
    <w:rsid w:val="00D04548"/>
    <w:rsid w:val="00D04554"/>
    <w:rsid w:val="00D046BE"/>
    <w:rsid w:val="00D047AF"/>
    <w:rsid w:val="00D04842"/>
    <w:rsid w:val="00D048C0"/>
    <w:rsid w:val="00D04A7D"/>
    <w:rsid w:val="00D04B6E"/>
    <w:rsid w:val="00D04BAC"/>
    <w:rsid w:val="00D04BC5"/>
    <w:rsid w:val="00D04C50"/>
    <w:rsid w:val="00D04CB9"/>
    <w:rsid w:val="00D04CD2"/>
    <w:rsid w:val="00D04D4A"/>
    <w:rsid w:val="00D04D79"/>
    <w:rsid w:val="00D04DC8"/>
    <w:rsid w:val="00D04E1D"/>
    <w:rsid w:val="00D04ECF"/>
    <w:rsid w:val="00D04ED5"/>
    <w:rsid w:val="00D04F22"/>
    <w:rsid w:val="00D0502C"/>
    <w:rsid w:val="00D0505C"/>
    <w:rsid w:val="00D051BF"/>
    <w:rsid w:val="00D05367"/>
    <w:rsid w:val="00D054ED"/>
    <w:rsid w:val="00D05504"/>
    <w:rsid w:val="00D055C1"/>
    <w:rsid w:val="00D05753"/>
    <w:rsid w:val="00D057CC"/>
    <w:rsid w:val="00D05877"/>
    <w:rsid w:val="00D05889"/>
    <w:rsid w:val="00D059C1"/>
    <w:rsid w:val="00D05A11"/>
    <w:rsid w:val="00D05A59"/>
    <w:rsid w:val="00D05A71"/>
    <w:rsid w:val="00D05AA3"/>
    <w:rsid w:val="00D05B68"/>
    <w:rsid w:val="00D05B73"/>
    <w:rsid w:val="00D05C71"/>
    <w:rsid w:val="00D05CDA"/>
    <w:rsid w:val="00D05D46"/>
    <w:rsid w:val="00D06005"/>
    <w:rsid w:val="00D06023"/>
    <w:rsid w:val="00D06033"/>
    <w:rsid w:val="00D060A5"/>
    <w:rsid w:val="00D060B0"/>
    <w:rsid w:val="00D060F2"/>
    <w:rsid w:val="00D061BF"/>
    <w:rsid w:val="00D06250"/>
    <w:rsid w:val="00D063FC"/>
    <w:rsid w:val="00D06449"/>
    <w:rsid w:val="00D0651B"/>
    <w:rsid w:val="00D06536"/>
    <w:rsid w:val="00D065FC"/>
    <w:rsid w:val="00D06691"/>
    <w:rsid w:val="00D06718"/>
    <w:rsid w:val="00D06739"/>
    <w:rsid w:val="00D06762"/>
    <w:rsid w:val="00D067AC"/>
    <w:rsid w:val="00D067BC"/>
    <w:rsid w:val="00D06967"/>
    <w:rsid w:val="00D069C2"/>
    <w:rsid w:val="00D069C6"/>
    <w:rsid w:val="00D06A67"/>
    <w:rsid w:val="00D06A75"/>
    <w:rsid w:val="00D06A87"/>
    <w:rsid w:val="00D06ACC"/>
    <w:rsid w:val="00D06AE6"/>
    <w:rsid w:val="00D06B9D"/>
    <w:rsid w:val="00D06BDE"/>
    <w:rsid w:val="00D06C07"/>
    <w:rsid w:val="00D06C52"/>
    <w:rsid w:val="00D06C66"/>
    <w:rsid w:val="00D06CE0"/>
    <w:rsid w:val="00D06D2D"/>
    <w:rsid w:val="00D06D93"/>
    <w:rsid w:val="00D06D96"/>
    <w:rsid w:val="00D06D99"/>
    <w:rsid w:val="00D06E90"/>
    <w:rsid w:val="00D06E99"/>
    <w:rsid w:val="00D06F05"/>
    <w:rsid w:val="00D06F48"/>
    <w:rsid w:val="00D0718B"/>
    <w:rsid w:val="00D071CC"/>
    <w:rsid w:val="00D071D9"/>
    <w:rsid w:val="00D07256"/>
    <w:rsid w:val="00D073D3"/>
    <w:rsid w:val="00D0740D"/>
    <w:rsid w:val="00D07425"/>
    <w:rsid w:val="00D07504"/>
    <w:rsid w:val="00D07688"/>
    <w:rsid w:val="00D076B2"/>
    <w:rsid w:val="00D076D3"/>
    <w:rsid w:val="00D076E4"/>
    <w:rsid w:val="00D076F8"/>
    <w:rsid w:val="00D07855"/>
    <w:rsid w:val="00D078E2"/>
    <w:rsid w:val="00D0796C"/>
    <w:rsid w:val="00D079A2"/>
    <w:rsid w:val="00D07A4B"/>
    <w:rsid w:val="00D07B8F"/>
    <w:rsid w:val="00D07C46"/>
    <w:rsid w:val="00D07CA2"/>
    <w:rsid w:val="00D07CB6"/>
    <w:rsid w:val="00D07CE5"/>
    <w:rsid w:val="00D07E78"/>
    <w:rsid w:val="00D07EB8"/>
    <w:rsid w:val="00D07FAF"/>
    <w:rsid w:val="00D10169"/>
    <w:rsid w:val="00D101CA"/>
    <w:rsid w:val="00D10252"/>
    <w:rsid w:val="00D10275"/>
    <w:rsid w:val="00D102CD"/>
    <w:rsid w:val="00D104A8"/>
    <w:rsid w:val="00D106FA"/>
    <w:rsid w:val="00D106FB"/>
    <w:rsid w:val="00D1074F"/>
    <w:rsid w:val="00D10827"/>
    <w:rsid w:val="00D10844"/>
    <w:rsid w:val="00D1088B"/>
    <w:rsid w:val="00D10A55"/>
    <w:rsid w:val="00D10A59"/>
    <w:rsid w:val="00D10A5F"/>
    <w:rsid w:val="00D10B1D"/>
    <w:rsid w:val="00D10B58"/>
    <w:rsid w:val="00D10C03"/>
    <w:rsid w:val="00D10C2A"/>
    <w:rsid w:val="00D10CDB"/>
    <w:rsid w:val="00D10D05"/>
    <w:rsid w:val="00D10D41"/>
    <w:rsid w:val="00D10D96"/>
    <w:rsid w:val="00D10DCB"/>
    <w:rsid w:val="00D10E1C"/>
    <w:rsid w:val="00D10E2D"/>
    <w:rsid w:val="00D10EBD"/>
    <w:rsid w:val="00D11043"/>
    <w:rsid w:val="00D1104D"/>
    <w:rsid w:val="00D11293"/>
    <w:rsid w:val="00D11377"/>
    <w:rsid w:val="00D11389"/>
    <w:rsid w:val="00D11486"/>
    <w:rsid w:val="00D1154E"/>
    <w:rsid w:val="00D11564"/>
    <w:rsid w:val="00D115FF"/>
    <w:rsid w:val="00D1160C"/>
    <w:rsid w:val="00D11631"/>
    <w:rsid w:val="00D11786"/>
    <w:rsid w:val="00D11920"/>
    <w:rsid w:val="00D11969"/>
    <w:rsid w:val="00D11A75"/>
    <w:rsid w:val="00D11A96"/>
    <w:rsid w:val="00D11AAD"/>
    <w:rsid w:val="00D11B43"/>
    <w:rsid w:val="00D11BA9"/>
    <w:rsid w:val="00D11BFC"/>
    <w:rsid w:val="00D11D6A"/>
    <w:rsid w:val="00D11F05"/>
    <w:rsid w:val="00D11F2A"/>
    <w:rsid w:val="00D12012"/>
    <w:rsid w:val="00D12085"/>
    <w:rsid w:val="00D120D4"/>
    <w:rsid w:val="00D1217C"/>
    <w:rsid w:val="00D121AF"/>
    <w:rsid w:val="00D121E3"/>
    <w:rsid w:val="00D1231E"/>
    <w:rsid w:val="00D12378"/>
    <w:rsid w:val="00D12429"/>
    <w:rsid w:val="00D1249D"/>
    <w:rsid w:val="00D124D7"/>
    <w:rsid w:val="00D125D6"/>
    <w:rsid w:val="00D1273B"/>
    <w:rsid w:val="00D127B0"/>
    <w:rsid w:val="00D129B2"/>
    <w:rsid w:val="00D129D6"/>
    <w:rsid w:val="00D129F0"/>
    <w:rsid w:val="00D12A18"/>
    <w:rsid w:val="00D12A88"/>
    <w:rsid w:val="00D12AB1"/>
    <w:rsid w:val="00D12BCC"/>
    <w:rsid w:val="00D12C0A"/>
    <w:rsid w:val="00D12CBD"/>
    <w:rsid w:val="00D12DEA"/>
    <w:rsid w:val="00D12F34"/>
    <w:rsid w:val="00D12F6F"/>
    <w:rsid w:val="00D13087"/>
    <w:rsid w:val="00D13165"/>
    <w:rsid w:val="00D13188"/>
    <w:rsid w:val="00D1332D"/>
    <w:rsid w:val="00D133ED"/>
    <w:rsid w:val="00D133EE"/>
    <w:rsid w:val="00D133F9"/>
    <w:rsid w:val="00D133FB"/>
    <w:rsid w:val="00D13429"/>
    <w:rsid w:val="00D13477"/>
    <w:rsid w:val="00D134DE"/>
    <w:rsid w:val="00D134E1"/>
    <w:rsid w:val="00D134EA"/>
    <w:rsid w:val="00D13700"/>
    <w:rsid w:val="00D1376B"/>
    <w:rsid w:val="00D138EA"/>
    <w:rsid w:val="00D138F2"/>
    <w:rsid w:val="00D139B4"/>
    <w:rsid w:val="00D13A65"/>
    <w:rsid w:val="00D13AA4"/>
    <w:rsid w:val="00D13ADB"/>
    <w:rsid w:val="00D13AF7"/>
    <w:rsid w:val="00D13B3B"/>
    <w:rsid w:val="00D13BCC"/>
    <w:rsid w:val="00D13C03"/>
    <w:rsid w:val="00D13D36"/>
    <w:rsid w:val="00D13D37"/>
    <w:rsid w:val="00D13DD5"/>
    <w:rsid w:val="00D13E22"/>
    <w:rsid w:val="00D13F19"/>
    <w:rsid w:val="00D1406A"/>
    <w:rsid w:val="00D14095"/>
    <w:rsid w:val="00D1411F"/>
    <w:rsid w:val="00D1440B"/>
    <w:rsid w:val="00D1440C"/>
    <w:rsid w:val="00D14444"/>
    <w:rsid w:val="00D14468"/>
    <w:rsid w:val="00D144DD"/>
    <w:rsid w:val="00D1453C"/>
    <w:rsid w:val="00D145B1"/>
    <w:rsid w:val="00D14744"/>
    <w:rsid w:val="00D147C1"/>
    <w:rsid w:val="00D1483F"/>
    <w:rsid w:val="00D1487A"/>
    <w:rsid w:val="00D14968"/>
    <w:rsid w:val="00D14973"/>
    <w:rsid w:val="00D149CA"/>
    <w:rsid w:val="00D149E3"/>
    <w:rsid w:val="00D14A9E"/>
    <w:rsid w:val="00D14AA4"/>
    <w:rsid w:val="00D14B26"/>
    <w:rsid w:val="00D14B77"/>
    <w:rsid w:val="00D14BD8"/>
    <w:rsid w:val="00D14BF9"/>
    <w:rsid w:val="00D14C0C"/>
    <w:rsid w:val="00D14C65"/>
    <w:rsid w:val="00D14CC8"/>
    <w:rsid w:val="00D14D15"/>
    <w:rsid w:val="00D14D16"/>
    <w:rsid w:val="00D14D60"/>
    <w:rsid w:val="00D14EDA"/>
    <w:rsid w:val="00D14F2C"/>
    <w:rsid w:val="00D15014"/>
    <w:rsid w:val="00D150CB"/>
    <w:rsid w:val="00D15148"/>
    <w:rsid w:val="00D152BC"/>
    <w:rsid w:val="00D152F7"/>
    <w:rsid w:val="00D15327"/>
    <w:rsid w:val="00D1532B"/>
    <w:rsid w:val="00D15440"/>
    <w:rsid w:val="00D155FD"/>
    <w:rsid w:val="00D15600"/>
    <w:rsid w:val="00D15601"/>
    <w:rsid w:val="00D1567E"/>
    <w:rsid w:val="00D156DF"/>
    <w:rsid w:val="00D156E8"/>
    <w:rsid w:val="00D156F5"/>
    <w:rsid w:val="00D1572D"/>
    <w:rsid w:val="00D1577B"/>
    <w:rsid w:val="00D15810"/>
    <w:rsid w:val="00D1592D"/>
    <w:rsid w:val="00D15A7F"/>
    <w:rsid w:val="00D15BFD"/>
    <w:rsid w:val="00D15C22"/>
    <w:rsid w:val="00D15C7D"/>
    <w:rsid w:val="00D15C83"/>
    <w:rsid w:val="00D15C89"/>
    <w:rsid w:val="00D15D02"/>
    <w:rsid w:val="00D15E59"/>
    <w:rsid w:val="00D15EA7"/>
    <w:rsid w:val="00D15F37"/>
    <w:rsid w:val="00D15F5F"/>
    <w:rsid w:val="00D160C2"/>
    <w:rsid w:val="00D16170"/>
    <w:rsid w:val="00D161AF"/>
    <w:rsid w:val="00D163A0"/>
    <w:rsid w:val="00D163D9"/>
    <w:rsid w:val="00D163FE"/>
    <w:rsid w:val="00D16404"/>
    <w:rsid w:val="00D16589"/>
    <w:rsid w:val="00D1669E"/>
    <w:rsid w:val="00D16749"/>
    <w:rsid w:val="00D167AB"/>
    <w:rsid w:val="00D167B7"/>
    <w:rsid w:val="00D1681D"/>
    <w:rsid w:val="00D16916"/>
    <w:rsid w:val="00D16968"/>
    <w:rsid w:val="00D169A3"/>
    <w:rsid w:val="00D16A74"/>
    <w:rsid w:val="00D16AED"/>
    <w:rsid w:val="00D16B51"/>
    <w:rsid w:val="00D16B59"/>
    <w:rsid w:val="00D16C2E"/>
    <w:rsid w:val="00D16C65"/>
    <w:rsid w:val="00D16C80"/>
    <w:rsid w:val="00D16C86"/>
    <w:rsid w:val="00D16CB2"/>
    <w:rsid w:val="00D16CE0"/>
    <w:rsid w:val="00D16D30"/>
    <w:rsid w:val="00D16DAC"/>
    <w:rsid w:val="00D16DCB"/>
    <w:rsid w:val="00D16DED"/>
    <w:rsid w:val="00D16EA7"/>
    <w:rsid w:val="00D16FFF"/>
    <w:rsid w:val="00D17007"/>
    <w:rsid w:val="00D1713F"/>
    <w:rsid w:val="00D172F6"/>
    <w:rsid w:val="00D1732A"/>
    <w:rsid w:val="00D17340"/>
    <w:rsid w:val="00D17388"/>
    <w:rsid w:val="00D173A3"/>
    <w:rsid w:val="00D1741E"/>
    <w:rsid w:val="00D17491"/>
    <w:rsid w:val="00D174BA"/>
    <w:rsid w:val="00D1758E"/>
    <w:rsid w:val="00D176AB"/>
    <w:rsid w:val="00D177C6"/>
    <w:rsid w:val="00D177FE"/>
    <w:rsid w:val="00D1780C"/>
    <w:rsid w:val="00D178CD"/>
    <w:rsid w:val="00D1793E"/>
    <w:rsid w:val="00D17973"/>
    <w:rsid w:val="00D179A2"/>
    <w:rsid w:val="00D179A5"/>
    <w:rsid w:val="00D17A05"/>
    <w:rsid w:val="00D17A16"/>
    <w:rsid w:val="00D17A35"/>
    <w:rsid w:val="00D17AE8"/>
    <w:rsid w:val="00D17AF5"/>
    <w:rsid w:val="00D17BD0"/>
    <w:rsid w:val="00D17E98"/>
    <w:rsid w:val="00D17EDF"/>
    <w:rsid w:val="00D17F95"/>
    <w:rsid w:val="00D2005B"/>
    <w:rsid w:val="00D20097"/>
    <w:rsid w:val="00D201D5"/>
    <w:rsid w:val="00D2030D"/>
    <w:rsid w:val="00D2031B"/>
    <w:rsid w:val="00D2035C"/>
    <w:rsid w:val="00D203A8"/>
    <w:rsid w:val="00D203E3"/>
    <w:rsid w:val="00D20559"/>
    <w:rsid w:val="00D20614"/>
    <w:rsid w:val="00D206DD"/>
    <w:rsid w:val="00D20797"/>
    <w:rsid w:val="00D2089B"/>
    <w:rsid w:val="00D2095C"/>
    <w:rsid w:val="00D209D9"/>
    <w:rsid w:val="00D20C30"/>
    <w:rsid w:val="00D20C8C"/>
    <w:rsid w:val="00D20C96"/>
    <w:rsid w:val="00D20D8A"/>
    <w:rsid w:val="00D20E57"/>
    <w:rsid w:val="00D20EC9"/>
    <w:rsid w:val="00D20ED8"/>
    <w:rsid w:val="00D21068"/>
    <w:rsid w:val="00D210A4"/>
    <w:rsid w:val="00D210F3"/>
    <w:rsid w:val="00D2125D"/>
    <w:rsid w:val="00D2125F"/>
    <w:rsid w:val="00D21277"/>
    <w:rsid w:val="00D212B6"/>
    <w:rsid w:val="00D212FE"/>
    <w:rsid w:val="00D21334"/>
    <w:rsid w:val="00D21396"/>
    <w:rsid w:val="00D213EC"/>
    <w:rsid w:val="00D214A2"/>
    <w:rsid w:val="00D214FD"/>
    <w:rsid w:val="00D2155D"/>
    <w:rsid w:val="00D2157E"/>
    <w:rsid w:val="00D215FA"/>
    <w:rsid w:val="00D216BC"/>
    <w:rsid w:val="00D218FB"/>
    <w:rsid w:val="00D2191E"/>
    <w:rsid w:val="00D21923"/>
    <w:rsid w:val="00D21963"/>
    <w:rsid w:val="00D219C1"/>
    <w:rsid w:val="00D219F6"/>
    <w:rsid w:val="00D21BA8"/>
    <w:rsid w:val="00D21BBB"/>
    <w:rsid w:val="00D21BCC"/>
    <w:rsid w:val="00D21C51"/>
    <w:rsid w:val="00D21C68"/>
    <w:rsid w:val="00D21C86"/>
    <w:rsid w:val="00D21CCF"/>
    <w:rsid w:val="00D21D35"/>
    <w:rsid w:val="00D21EBB"/>
    <w:rsid w:val="00D21F6B"/>
    <w:rsid w:val="00D21FB7"/>
    <w:rsid w:val="00D220D1"/>
    <w:rsid w:val="00D22127"/>
    <w:rsid w:val="00D22146"/>
    <w:rsid w:val="00D2216D"/>
    <w:rsid w:val="00D221F5"/>
    <w:rsid w:val="00D221FC"/>
    <w:rsid w:val="00D22219"/>
    <w:rsid w:val="00D2223B"/>
    <w:rsid w:val="00D22296"/>
    <w:rsid w:val="00D222DA"/>
    <w:rsid w:val="00D223A4"/>
    <w:rsid w:val="00D2243E"/>
    <w:rsid w:val="00D22446"/>
    <w:rsid w:val="00D22488"/>
    <w:rsid w:val="00D224AD"/>
    <w:rsid w:val="00D22580"/>
    <w:rsid w:val="00D225B0"/>
    <w:rsid w:val="00D225EC"/>
    <w:rsid w:val="00D22612"/>
    <w:rsid w:val="00D22669"/>
    <w:rsid w:val="00D22701"/>
    <w:rsid w:val="00D227B4"/>
    <w:rsid w:val="00D228DF"/>
    <w:rsid w:val="00D229C9"/>
    <w:rsid w:val="00D22AEC"/>
    <w:rsid w:val="00D22B5F"/>
    <w:rsid w:val="00D22C56"/>
    <w:rsid w:val="00D22CAA"/>
    <w:rsid w:val="00D22F0D"/>
    <w:rsid w:val="00D22F4F"/>
    <w:rsid w:val="00D22FCA"/>
    <w:rsid w:val="00D23081"/>
    <w:rsid w:val="00D2308C"/>
    <w:rsid w:val="00D23144"/>
    <w:rsid w:val="00D231D8"/>
    <w:rsid w:val="00D234AF"/>
    <w:rsid w:val="00D23578"/>
    <w:rsid w:val="00D235D6"/>
    <w:rsid w:val="00D235E1"/>
    <w:rsid w:val="00D235ED"/>
    <w:rsid w:val="00D23695"/>
    <w:rsid w:val="00D23703"/>
    <w:rsid w:val="00D23868"/>
    <w:rsid w:val="00D23A7D"/>
    <w:rsid w:val="00D23AFC"/>
    <w:rsid w:val="00D23B78"/>
    <w:rsid w:val="00D23CEF"/>
    <w:rsid w:val="00D23FA6"/>
    <w:rsid w:val="00D2401C"/>
    <w:rsid w:val="00D2404B"/>
    <w:rsid w:val="00D24077"/>
    <w:rsid w:val="00D240A7"/>
    <w:rsid w:val="00D24235"/>
    <w:rsid w:val="00D242D9"/>
    <w:rsid w:val="00D243F6"/>
    <w:rsid w:val="00D24459"/>
    <w:rsid w:val="00D244D5"/>
    <w:rsid w:val="00D24525"/>
    <w:rsid w:val="00D245CE"/>
    <w:rsid w:val="00D245D1"/>
    <w:rsid w:val="00D24772"/>
    <w:rsid w:val="00D24796"/>
    <w:rsid w:val="00D248F8"/>
    <w:rsid w:val="00D24ACB"/>
    <w:rsid w:val="00D24B37"/>
    <w:rsid w:val="00D24C59"/>
    <w:rsid w:val="00D24CFE"/>
    <w:rsid w:val="00D24E3F"/>
    <w:rsid w:val="00D24EBA"/>
    <w:rsid w:val="00D24ED6"/>
    <w:rsid w:val="00D24FB6"/>
    <w:rsid w:val="00D2506C"/>
    <w:rsid w:val="00D25207"/>
    <w:rsid w:val="00D25256"/>
    <w:rsid w:val="00D2538B"/>
    <w:rsid w:val="00D253A8"/>
    <w:rsid w:val="00D253F6"/>
    <w:rsid w:val="00D25429"/>
    <w:rsid w:val="00D25487"/>
    <w:rsid w:val="00D25508"/>
    <w:rsid w:val="00D256A0"/>
    <w:rsid w:val="00D2577B"/>
    <w:rsid w:val="00D2581C"/>
    <w:rsid w:val="00D25845"/>
    <w:rsid w:val="00D258B2"/>
    <w:rsid w:val="00D25930"/>
    <w:rsid w:val="00D25A2F"/>
    <w:rsid w:val="00D25AC5"/>
    <w:rsid w:val="00D25B67"/>
    <w:rsid w:val="00D25B88"/>
    <w:rsid w:val="00D25BB6"/>
    <w:rsid w:val="00D25BCA"/>
    <w:rsid w:val="00D25C30"/>
    <w:rsid w:val="00D25DAF"/>
    <w:rsid w:val="00D25EC5"/>
    <w:rsid w:val="00D25F4B"/>
    <w:rsid w:val="00D26083"/>
    <w:rsid w:val="00D260F1"/>
    <w:rsid w:val="00D26119"/>
    <w:rsid w:val="00D26197"/>
    <w:rsid w:val="00D26205"/>
    <w:rsid w:val="00D2629E"/>
    <w:rsid w:val="00D262F9"/>
    <w:rsid w:val="00D26341"/>
    <w:rsid w:val="00D26375"/>
    <w:rsid w:val="00D263BB"/>
    <w:rsid w:val="00D263D4"/>
    <w:rsid w:val="00D2645E"/>
    <w:rsid w:val="00D2648B"/>
    <w:rsid w:val="00D26513"/>
    <w:rsid w:val="00D2651A"/>
    <w:rsid w:val="00D26530"/>
    <w:rsid w:val="00D2655E"/>
    <w:rsid w:val="00D2656A"/>
    <w:rsid w:val="00D2657E"/>
    <w:rsid w:val="00D265FC"/>
    <w:rsid w:val="00D266C8"/>
    <w:rsid w:val="00D266DB"/>
    <w:rsid w:val="00D267AA"/>
    <w:rsid w:val="00D268E7"/>
    <w:rsid w:val="00D2690E"/>
    <w:rsid w:val="00D269ED"/>
    <w:rsid w:val="00D269EF"/>
    <w:rsid w:val="00D26B73"/>
    <w:rsid w:val="00D26D95"/>
    <w:rsid w:val="00D26E17"/>
    <w:rsid w:val="00D26E78"/>
    <w:rsid w:val="00D26E9E"/>
    <w:rsid w:val="00D26F5F"/>
    <w:rsid w:val="00D26FB4"/>
    <w:rsid w:val="00D27016"/>
    <w:rsid w:val="00D2710F"/>
    <w:rsid w:val="00D27331"/>
    <w:rsid w:val="00D27377"/>
    <w:rsid w:val="00D273B8"/>
    <w:rsid w:val="00D273BD"/>
    <w:rsid w:val="00D27478"/>
    <w:rsid w:val="00D274C0"/>
    <w:rsid w:val="00D27599"/>
    <w:rsid w:val="00D27613"/>
    <w:rsid w:val="00D27632"/>
    <w:rsid w:val="00D2764F"/>
    <w:rsid w:val="00D27676"/>
    <w:rsid w:val="00D276AD"/>
    <w:rsid w:val="00D27832"/>
    <w:rsid w:val="00D27844"/>
    <w:rsid w:val="00D27958"/>
    <w:rsid w:val="00D2797E"/>
    <w:rsid w:val="00D279C3"/>
    <w:rsid w:val="00D27A1B"/>
    <w:rsid w:val="00D27A68"/>
    <w:rsid w:val="00D27AEE"/>
    <w:rsid w:val="00D27E4F"/>
    <w:rsid w:val="00D27EFF"/>
    <w:rsid w:val="00D27F04"/>
    <w:rsid w:val="00D27F4D"/>
    <w:rsid w:val="00D27F76"/>
    <w:rsid w:val="00D27FAC"/>
    <w:rsid w:val="00D28F12"/>
    <w:rsid w:val="00D2A650"/>
    <w:rsid w:val="00D30089"/>
    <w:rsid w:val="00D30091"/>
    <w:rsid w:val="00D30140"/>
    <w:rsid w:val="00D301BE"/>
    <w:rsid w:val="00D30255"/>
    <w:rsid w:val="00D30259"/>
    <w:rsid w:val="00D30349"/>
    <w:rsid w:val="00D3036F"/>
    <w:rsid w:val="00D30585"/>
    <w:rsid w:val="00D3085E"/>
    <w:rsid w:val="00D30A69"/>
    <w:rsid w:val="00D30A8D"/>
    <w:rsid w:val="00D30B6D"/>
    <w:rsid w:val="00D30B8D"/>
    <w:rsid w:val="00D30BEC"/>
    <w:rsid w:val="00D30C5D"/>
    <w:rsid w:val="00D30C9D"/>
    <w:rsid w:val="00D30DE9"/>
    <w:rsid w:val="00D30E86"/>
    <w:rsid w:val="00D30EB1"/>
    <w:rsid w:val="00D30F19"/>
    <w:rsid w:val="00D3112A"/>
    <w:rsid w:val="00D312A9"/>
    <w:rsid w:val="00D313CA"/>
    <w:rsid w:val="00D313EF"/>
    <w:rsid w:val="00D3143F"/>
    <w:rsid w:val="00D314A0"/>
    <w:rsid w:val="00D314B2"/>
    <w:rsid w:val="00D3162B"/>
    <w:rsid w:val="00D316A1"/>
    <w:rsid w:val="00D316BD"/>
    <w:rsid w:val="00D316F8"/>
    <w:rsid w:val="00D31853"/>
    <w:rsid w:val="00D318F8"/>
    <w:rsid w:val="00D31A0B"/>
    <w:rsid w:val="00D31ACA"/>
    <w:rsid w:val="00D31B2E"/>
    <w:rsid w:val="00D31B86"/>
    <w:rsid w:val="00D31C5E"/>
    <w:rsid w:val="00D31D48"/>
    <w:rsid w:val="00D31D55"/>
    <w:rsid w:val="00D31F7A"/>
    <w:rsid w:val="00D31F94"/>
    <w:rsid w:val="00D32043"/>
    <w:rsid w:val="00D32061"/>
    <w:rsid w:val="00D32081"/>
    <w:rsid w:val="00D3211E"/>
    <w:rsid w:val="00D3216A"/>
    <w:rsid w:val="00D32193"/>
    <w:rsid w:val="00D3223C"/>
    <w:rsid w:val="00D32284"/>
    <w:rsid w:val="00D3235E"/>
    <w:rsid w:val="00D3236B"/>
    <w:rsid w:val="00D325A0"/>
    <w:rsid w:val="00D32606"/>
    <w:rsid w:val="00D32613"/>
    <w:rsid w:val="00D32640"/>
    <w:rsid w:val="00D3268F"/>
    <w:rsid w:val="00D327A4"/>
    <w:rsid w:val="00D327EC"/>
    <w:rsid w:val="00D32803"/>
    <w:rsid w:val="00D32935"/>
    <w:rsid w:val="00D329FB"/>
    <w:rsid w:val="00D32AA9"/>
    <w:rsid w:val="00D32C04"/>
    <w:rsid w:val="00D32C2A"/>
    <w:rsid w:val="00D32C3F"/>
    <w:rsid w:val="00D32C9A"/>
    <w:rsid w:val="00D32CCB"/>
    <w:rsid w:val="00D32D6A"/>
    <w:rsid w:val="00D32E1F"/>
    <w:rsid w:val="00D32E65"/>
    <w:rsid w:val="00D32ED8"/>
    <w:rsid w:val="00D33122"/>
    <w:rsid w:val="00D3321E"/>
    <w:rsid w:val="00D3325F"/>
    <w:rsid w:val="00D33260"/>
    <w:rsid w:val="00D33283"/>
    <w:rsid w:val="00D332EC"/>
    <w:rsid w:val="00D3331B"/>
    <w:rsid w:val="00D33322"/>
    <w:rsid w:val="00D333EB"/>
    <w:rsid w:val="00D333EC"/>
    <w:rsid w:val="00D33442"/>
    <w:rsid w:val="00D3347F"/>
    <w:rsid w:val="00D33799"/>
    <w:rsid w:val="00D33924"/>
    <w:rsid w:val="00D3397A"/>
    <w:rsid w:val="00D339C7"/>
    <w:rsid w:val="00D339D3"/>
    <w:rsid w:val="00D339D4"/>
    <w:rsid w:val="00D33ABB"/>
    <w:rsid w:val="00D33CF3"/>
    <w:rsid w:val="00D33D09"/>
    <w:rsid w:val="00D33D73"/>
    <w:rsid w:val="00D33DA2"/>
    <w:rsid w:val="00D33DC0"/>
    <w:rsid w:val="00D33F37"/>
    <w:rsid w:val="00D33F6E"/>
    <w:rsid w:val="00D33FC1"/>
    <w:rsid w:val="00D33FFE"/>
    <w:rsid w:val="00D34039"/>
    <w:rsid w:val="00D34074"/>
    <w:rsid w:val="00D3422F"/>
    <w:rsid w:val="00D34247"/>
    <w:rsid w:val="00D34305"/>
    <w:rsid w:val="00D3439B"/>
    <w:rsid w:val="00D34407"/>
    <w:rsid w:val="00D344DF"/>
    <w:rsid w:val="00D34518"/>
    <w:rsid w:val="00D34552"/>
    <w:rsid w:val="00D34717"/>
    <w:rsid w:val="00D34760"/>
    <w:rsid w:val="00D34851"/>
    <w:rsid w:val="00D348EE"/>
    <w:rsid w:val="00D34986"/>
    <w:rsid w:val="00D34998"/>
    <w:rsid w:val="00D34AE9"/>
    <w:rsid w:val="00D34B34"/>
    <w:rsid w:val="00D34BC8"/>
    <w:rsid w:val="00D34C83"/>
    <w:rsid w:val="00D34D6C"/>
    <w:rsid w:val="00D34DE4"/>
    <w:rsid w:val="00D34E04"/>
    <w:rsid w:val="00D34F05"/>
    <w:rsid w:val="00D34F61"/>
    <w:rsid w:val="00D350D0"/>
    <w:rsid w:val="00D35181"/>
    <w:rsid w:val="00D351DF"/>
    <w:rsid w:val="00D352C6"/>
    <w:rsid w:val="00D35326"/>
    <w:rsid w:val="00D3538B"/>
    <w:rsid w:val="00D35449"/>
    <w:rsid w:val="00D354B6"/>
    <w:rsid w:val="00D354EC"/>
    <w:rsid w:val="00D354F2"/>
    <w:rsid w:val="00D3555A"/>
    <w:rsid w:val="00D3559A"/>
    <w:rsid w:val="00D35665"/>
    <w:rsid w:val="00D35717"/>
    <w:rsid w:val="00D3576A"/>
    <w:rsid w:val="00D3582C"/>
    <w:rsid w:val="00D358C9"/>
    <w:rsid w:val="00D35935"/>
    <w:rsid w:val="00D3598B"/>
    <w:rsid w:val="00D359FE"/>
    <w:rsid w:val="00D35A62"/>
    <w:rsid w:val="00D35ABC"/>
    <w:rsid w:val="00D35B3F"/>
    <w:rsid w:val="00D35BC6"/>
    <w:rsid w:val="00D35BE0"/>
    <w:rsid w:val="00D35CBB"/>
    <w:rsid w:val="00D35CE3"/>
    <w:rsid w:val="00D35D04"/>
    <w:rsid w:val="00D35D22"/>
    <w:rsid w:val="00D35D81"/>
    <w:rsid w:val="00D35D90"/>
    <w:rsid w:val="00D35D9D"/>
    <w:rsid w:val="00D35E1B"/>
    <w:rsid w:val="00D35E6C"/>
    <w:rsid w:val="00D35E82"/>
    <w:rsid w:val="00D35E89"/>
    <w:rsid w:val="00D35F03"/>
    <w:rsid w:val="00D35F27"/>
    <w:rsid w:val="00D35FBF"/>
    <w:rsid w:val="00D35FDE"/>
    <w:rsid w:val="00D36026"/>
    <w:rsid w:val="00D36094"/>
    <w:rsid w:val="00D360D9"/>
    <w:rsid w:val="00D361AF"/>
    <w:rsid w:val="00D361C2"/>
    <w:rsid w:val="00D362C6"/>
    <w:rsid w:val="00D362F8"/>
    <w:rsid w:val="00D36308"/>
    <w:rsid w:val="00D3636C"/>
    <w:rsid w:val="00D363B4"/>
    <w:rsid w:val="00D363CE"/>
    <w:rsid w:val="00D3652A"/>
    <w:rsid w:val="00D36605"/>
    <w:rsid w:val="00D366DE"/>
    <w:rsid w:val="00D36741"/>
    <w:rsid w:val="00D367D6"/>
    <w:rsid w:val="00D36964"/>
    <w:rsid w:val="00D369AD"/>
    <w:rsid w:val="00D36AC5"/>
    <w:rsid w:val="00D36B25"/>
    <w:rsid w:val="00D36B48"/>
    <w:rsid w:val="00D36D71"/>
    <w:rsid w:val="00D36EDE"/>
    <w:rsid w:val="00D37009"/>
    <w:rsid w:val="00D37098"/>
    <w:rsid w:val="00D370CC"/>
    <w:rsid w:val="00D3718B"/>
    <w:rsid w:val="00D3721D"/>
    <w:rsid w:val="00D37272"/>
    <w:rsid w:val="00D37273"/>
    <w:rsid w:val="00D372CE"/>
    <w:rsid w:val="00D3736B"/>
    <w:rsid w:val="00D37379"/>
    <w:rsid w:val="00D373DF"/>
    <w:rsid w:val="00D37430"/>
    <w:rsid w:val="00D37455"/>
    <w:rsid w:val="00D374ED"/>
    <w:rsid w:val="00D37655"/>
    <w:rsid w:val="00D37678"/>
    <w:rsid w:val="00D376FC"/>
    <w:rsid w:val="00D3773C"/>
    <w:rsid w:val="00D37770"/>
    <w:rsid w:val="00D37854"/>
    <w:rsid w:val="00D37865"/>
    <w:rsid w:val="00D37925"/>
    <w:rsid w:val="00D379D7"/>
    <w:rsid w:val="00D37A32"/>
    <w:rsid w:val="00D37AC2"/>
    <w:rsid w:val="00D37D04"/>
    <w:rsid w:val="00D37D15"/>
    <w:rsid w:val="00D37D18"/>
    <w:rsid w:val="00D37DB6"/>
    <w:rsid w:val="00D37DE7"/>
    <w:rsid w:val="00D37E8C"/>
    <w:rsid w:val="00D37F96"/>
    <w:rsid w:val="00D40032"/>
    <w:rsid w:val="00D4005D"/>
    <w:rsid w:val="00D40084"/>
    <w:rsid w:val="00D40168"/>
    <w:rsid w:val="00D40253"/>
    <w:rsid w:val="00D402E2"/>
    <w:rsid w:val="00D402FD"/>
    <w:rsid w:val="00D40327"/>
    <w:rsid w:val="00D4040B"/>
    <w:rsid w:val="00D404C8"/>
    <w:rsid w:val="00D405B2"/>
    <w:rsid w:val="00D405F7"/>
    <w:rsid w:val="00D4070A"/>
    <w:rsid w:val="00D4072B"/>
    <w:rsid w:val="00D40776"/>
    <w:rsid w:val="00D407BB"/>
    <w:rsid w:val="00D407C9"/>
    <w:rsid w:val="00D4094F"/>
    <w:rsid w:val="00D40A08"/>
    <w:rsid w:val="00D40A88"/>
    <w:rsid w:val="00D40B02"/>
    <w:rsid w:val="00D40B35"/>
    <w:rsid w:val="00D40BA0"/>
    <w:rsid w:val="00D40C53"/>
    <w:rsid w:val="00D40CE7"/>
    <w:rsid w:val="00D40D92"/>
    <w:rsid w:val="00D41004"/>
    <w:rsid w:val="00D41058"/>
    <w:rsid w:val="00D41167"/>
    <w:rsid w:val="00D41253"/>
    <w:rsid w:val="00D41320"/>
    <w:rsid w:val="00D41363"/>
    <w:rsid w:val="00D41439"/>
    <w:rsid w:val="00D4143B"/>
    <w:rsid w:val="00D41469"/>
    <w:rsid w:val="00D414ED"/>
    <w:rsid w:val="00D417A9"/>
    <w:rsid w:val="00D41845"/>
    <w:rsid w:val="00D41868"/>
    <w:rsid w:val="00D418B4"/>
    <w:rsid w:val="00D4192F"/>
    <w:rsid w:val="00D419F8"/>
    <w:rsid w:val="00D41B55"/>
    <w:rsid w:val="00D41B8D"/>
    <w:rsid w:val="00D41BAB"/>
    <w:rsid w:val="00D41BCA"/>
    <w:rsid w:val="00D41D1B"/>
    <w:rsid w:val="00D41E16"/>
    <w:rsid w:val="00D41E8C"/>
    <w:rsid w:val="00D42062"/>
    <w:rsid w:val="00D4206A"/>
    <w:rsid w:val="00D42124"/>
    <w:rsid w:val="00D42253"/>
    <w:rsid w:val="00D42280"/>
    <w:rsid w:val="00D423C5"/>
    <w:rsid w:val="00D423E4"/>
    <w:rsid w:val="00D4259C"/>
    <w:rsid w:val="00D425E1"/>
    <w:rsid w:val="00D4273E"/>
    <w:rsid w:val="00D4281B"/>
    <w:rsid w:val="00D42902"/>
    <w:rsid w:val="00D4299D"/>
    <w:rsid w:val="00D429B7"/>
    <w:rsid w:val="00D429C4"/>
    <w:rsid w:val="00D42AC3"/>
    <w:rsid w:val="00D42BB9"/>
    <w:rsid w:val="00D42C99"/>
    <w:rsid w:val="00D42DDB"/>
    <w:rsid w:val="00D42F41"/>
    <w:rsid w:val="00D42F4C"/>
    <w:rsid w:val="00D430A4"/>
    <w:rsid w:val="00D4332B"/>
    <w:rsid w:val="00D4335E"/>
    <w:rsid w:val="00D4342E"/>
    <w:rsid w:val="00D434EC"/>
    <w:rsid w:val="00D43580"/>
    <w:rsid w:val="00D4364A"/>
    <w:rsid w:val="00D4365A"/>
    <w:rsid w:val="00D43669"/>
    <w:rsid w:val="00D436DB"/>
    <w:rsid w:val="00D43721"/>
    <w:rsid w:val="00D438B0"/>
    <w:rsid w:val="00D438C3"/>
    <w:rsid w:val="00D43934"/>
    <w:rsid w:val="00D4393B"/>
    <w:rsid w:val="00D43A94"/>
    <w:rsid w:val="00D43B2B"/>
    <w:rsid w:val="00D43C6C"/>
    <w:rsid w:val="00D43C8A"/>
    <w:rsid w:val="00D43D25"/>
    <w:rsid w:val="00D43E8F"/>
    <w:rsid w:val="00D43EEF"/>
    <w:rsid w:val="00D43FD3"/>
    <w:rsid w:val="00D43FDC"/>
    <w:rsid w:val="00D4402A"/>
    <w:rsid w:val="00D44115"/>
    <w:rsid w:val="00D4425E"/>
    <w:rsid w:val="00D4426B"/>
    <w:rsid w:val="00D44289"/>
    <w:rsid w:val="00D443D8"/>
    <w:rsid w:val="00D44445"/>
    <w:rsid w:val="00D44454"/>
    <w:rsid w:val="00D444FE"/>
    <w:rsid w:val="00D446CF"/>
    <w:rsid w:val="00D446E8"/>
    <w:rsid w:val="00D44730"/>
    <w:rsid w:val="00D4477C"/>
    <w:rsid w:val="00D44794"/>
    <w:rsid w:val="00D4479D"/>
    <w:rsid w:val="00D44869"/>
    <w:rsid w:val="00D448A0"/>
    <w:rsid w:val="00D44929"/>
    <w:rsid w:val="00D4492A"/>
    <w:rsid w:val="00D4499A"/>
    <w:rsid w:val="00D449E7"/>
    <w:rsid w:val="00D44A13"/>
    <w:rsid w:val="00D44A77"/>
    <w:rsid w:val="00D44AFB"/>
    <w:rsid w:val="00D44B1B"/>
    <w:rsid w:val="00D44B5A"/>
    <w:rsid w:val="00D44B5F"/>
    <w:rsid w:val="00D44BA9"/>
    <w:rsid w:val="00D44BB9"/>
    <w:rsid w:val="00D44BC3"/>
    <w:rsid w:val="00D44CD7"/>
    <w:rsid w:val="00D44D92"/>
    <w:rsid w:val="00D44ED3"/>
    <w:rsid w:val="00D44F5E"/>
    <w:rsid w:val="00D44F75"/>
    <w:rsid w:val="00D44FBD"/>
    <w:rsid w:val="00D4500E"/>
    <w:rsid w:val="00D45035"/>
    <w:rsid w:val="00D451CF"/>
    <w:rsid w:val="00D451FD"/>
    <w:rsid w:val="00D45361"/>
    <w:rsid w:val="00D453EE"/>
    <w:rsid w:val="00D4546E"/>
    <w:rsid w:val="00D45640"/>
    <w:rsid w:val="00D45658"/>
    <w:rsid w:val="00D457D5"/>
    <w:rsid w:val="00D457F8"/>
    <w:rsid w:val="00D457FB"/>
    <w:rsid w:val="00D45858"/>
    <w:rsid w:val="00D4592A"/>
    <w:rsid w:val="00D45992"/>
    <w:rsid w:val="00D459AB"/>
    <w:rsid w:val="00D459BC"/>
    <w:rsid w:val="00D45AEF"/>
    <w:rsid w:val="00D45B29"/>
    <w:rsid w:val="00D45B52"/>
    <w:rsid w:val="00D45B63"/>
    <w:rsid w:val="00D45C07"/>
    <w:rsid w:val="00D45D18"/>
    <w:rsid w:val="00D45D2F"/>
    <w:rsid w:val="00D45D49"/>
    <w:rsid w:val="00D45DFA"/>
    <w:rsid w:val="00D45E4F"/>
    <w:rsid w:val="00D45E74"/>
    <w:rsid w:val="00D45F17"/>
    <w:rsid w:val="00D45F4B"/>
    <w:rsid w:val="00D45F4F"/>
    <w:rsid w:val="00D45F92"/>
    <w:rsid w:val="00D45FAA"/>
    <w:rsid w:val="00D46170"/>
    <w:rsid w:val="00D461B6"/>
    <w:rsid w:val="00D4622F"/>
    <w:rsid w:val="00D46230"/>
    <w:rsid w:val="00D4629F"/>
    <w:rsid w:val="00D462F6"/>
    <w:rsid w:val="00D46399"/>
    <w:rsid w:val="00D46409"/>
    <w:rsid w:val="00D46428"/>
    <w:rsid w:val="00D4647A"/>
    <w:rsid w:val="00D46586"/>
    <w:rsid w:val="00D467B8"/>
    <w:rsid w:val="00D46800"/>
    <w:rsid w:val="00D46832"/>
    <w:rsid w:val="00D469B0"/>
    <w:rsid w:val="00D46AF9"/>
    <w:rsid w:val="00D46BE6"/>
    <w:rsid w:val="00D46C3F"/>
    <w:rsid w:val="00D46C4E"/>
    <w:rsid w:val="00D46C58"/>
    <w:rsid w:val="00D46C9F"/>
    <w:rsid w:val="00D46D0C"/>
    <w:rsid w:val="00D46E08"/>
    <w:rsid w:val="00D46E41"/>
    <w:rsid w:val="00D46EC8"/>
    <w:rsid w:val="00D47307"/>
    <w:rsid w:val="00D47334"/>
    <w:rsid w:val="00D475E6"/>
    <w:rsid w:val="00D475F4"/>
    <w:rsid w:val="00D47772"/>
    <w:rsid w:val="00D47786"/>
    <w:rsid w:val="00D477FD"/>
    <w:rsid w:val="00D4786E"/>
    <w:rsid w:val="00D4789C"/>
    <w:rsid w:val="00D47A22"/>
    <w:rsid w:val="00D47A42"/>
    <w:rsid w:val="00D47AEB"/>
    <w:rsid w:val="00D47B46"/>
    <w:rsid w:val="00D47BA1"/>
    <w:rsid w:val="00D47BA3"/>
    <w:rsid w:val="00D47C11"/>
    <w:rsid w:val="00D47C7B"/>
    <w:rsid w:val="00D47CE4"/>
    <w:rsid w:val="00D47DA2"/>
    <w:rsid w:val="00D47F11"/>
    <w:rsid w:val="00D47F57"/>
    <w:rsid w:val="00D47F93"/>
    <w:rsid w:val="00D4AD1B"/>
    <w:rsid w:val="00D50075"/>
    <w:rsid w:val="00D500C9"/>
    <w:rsid w:val="00D50190"/>
    <w:rsid w:val="00D50210"/>
    <w:rsid w:val="00D50245"/>
    <w:rsid w:val="00D50351"/>
    <w:rsid w:val="00D503E8"/>
    <w:rsid w:val="00D5053D"/>
    <w:rsid w:val="00D505E2"/>
    <w:rsid w:val="00D50601"/>
    <w:rsid w:val="00D507F4"/>
    <w:rsid w:val="00D50878"/>
    <w:rsid w:val="00D5087F"/>
    <w:rsid w:val="00D508C5"/>
    <w:rsid w:val="00D508F3"/>
    <w:rsid w:val="00D508F7"/>
    <w:rsid w:val="00D509AD"/>
    <w:rsid w:val="00D509C3"/>
    <w:rsid w:val="00D509DF"/>
    <w:rsid w:val="00D50A02"/>
    <w:rsid w:val="00D50A87"/>
    <w:rsid w:val="00D50A9C"/>
    <w:rsid w:val="00D50ABB"/>
    <w:rsid w:val="00D50B29"/>
    <w:rsid w:val="00D50B73"/>
    <w:rsid w:val="00D50BB3"/>
    <w:rsid w:val="00D50BBC"/>
    <w:rsid w:val="00D50BC4"/>
    <w:rsid w:val="00D50BDE"/>
    <w:rsid w:val="00D50BFE"/>
    <w:rsid w:val="00D50C00"/>
    <w:rsid w:val="00D50C98"/>
    <w:rsid w:val="00D50D1B"/>
    <w:rsid w:val="00D50E4E"/>
    <w:rsid w:val="00D50EA6"/>
    <w:rsid w:val="00D50EA7"/>
    <w:rsid w:val="00D50EDF"/>
    <w:rsid w:val="00D50EED"/>
    <w:rsid w:val="00D51094"/>
    <w:rsid w:val="00D510B6"/>
    <w:rsid w:val="00D510E3"/>
    <w:rsid w:val="00D51131"/>
    <w:rsid w:val="00D511B9"/>
    <w:rsid w:val="00D511DA"/>
    <w:rsid w:val="00D51200"/>
    <w:rsid w:val="00D51236"/>
    <w:rsid w:val="00D5137B"/>
    <w:rsid w:val="00D513E0"/>
    <w:rsid w:val="00D5143B"/>
    <w:rsid w:val="00D51444"/>
    <w:rsid w:val="00D5149E"/>
    <w:rsid w:val="00D514D0"/>
    <w:rsid w:val="00D5154A"/>
    <w:rsid w:val="00D51695"/>
    <w:rsid w:val="00D516A7"/>
    <w:rsid w:val="00D51739"/>
    <w:rsid w:val="00D518AC"/>
    <w:rsid w:val="00D5192F"/>
    <w:rsid w:val="00D51959"/>
    <w:rsid w:val="00D51A10"/>
    <w:rsid w:val="00D51A70"/>
    <w:rsid w:val="00D51AE3"/>
    <w:rsid w:val="00D51B21"/>
    <w:rsid w:val="00D51C5E"/>
    <w:rsid w:val="00D51C8E"/>
    <w:rsid w:val="00D51CCF"/>
    <w:rsid w:val="00D51D9C"/>
    <w:rsid w:val="00D51EBC"/>
    <w:rsid w:val="00D51EC0"/>
    <w:rsid w:val="00D51F08"/>
    <w:rsid w:val="00D51FA8"/>
    <w:rsid w:val="00D51FCF"/>
    <w:rsid w:val="00D51FD8"/>
    <w:rsid w:val="00D52007"/>
    <w:rsid w:val="00D520C0"/>
    <w:rsid w:val="00D52130"/>
    <w:rsid w:val="00D5216C"/>
    <w:rsid w:val="00D521BE"/>
    <w:rsid w:val="00D5220C"/>
    <w:rsid w:val="00D522E6"/>
    <w:rsid w:val="00D522E7"/>
    <w:rsid w:val="00D52452"/>
    <w:rsid w:val="00D52480"/>
    <w:rsid w:val="00D524FC"/>
    <w:rsid w:val="00D52508"/>
    <w:rsid w:val="00D5256E"/>
    <w:rsid w:val="00D52588"/>
    <w:rsid w:val="00D526BB"/>
    <w:rsid w:val="00D527CA"/>
    <w:rsid w:val="00D5284F"/>
    <w:rsid w:val="00D5286F"/>
    <w:rsid w:val="00D52899"/>
    <w:rsid w:val="00D528C8"/>
    <w:rsid w:val="00D52997"/>
    <w:rsid w:val="00D52A9D"/>
    <w:rsid w:val="00D52B2E"/>
    <w:rsid w:val="00D52C6A"/>
    <w:rsid w:val="00D52C7C"/>
    <w:rsid w:val="00D52CBA"/>
    <w:rsid w:val="00D52D91"/>
    <w:rsid w:val="00D52E57"/>
    <w:rsid w:val="00D52E9D"/>
    <w:rsid w:val="00D52EAD"/>
    <w:rsid w:val="00D52FF7"/>
    <w:rsid w:val="00D531BB"/>
    <w:rsid w:val="00D531DA"/>
    <w:rsid w:val="00D53411"/>
    <w:rsid w:val="00D534ED"/>
    <w:rsid w:val="00D534F5"/>
    <w:rsid w:val="00D5350D"/>
    <w:rsid w:val="00D53575"/>
    <w:rsid w:val="00D53635"/>
    <w:rsid w:val="00D53641"/>
    <w:rsid w:val="00D5371D"/>
    <w:rsid w:val="00D53764"/>
    <w:rsid w:val="00D53779"/>
    <w:rsid w:val="00D5387C"/>
    <w:rsid w:val="00D538AA"/>
    <w:rsid w:val="00D5394C"/>
    <w:rsid w:val="00D5394F"/>
    <w:rsid w:val="00D53A70"/>
    <w:rsid w:val="00D53BBF"/>
    <w:rsid w:val="00D53BFC"/>
    <w:rsid w:val="00D53C29"/>
    <w:rsid w:val="00D53C2D"/>
    <w:rsid w:val="00D53CD2"/>
    <w:rsid w:val="00D53CE2"/>
    <w:rsid w:val="00D53DC0"/>
    <w:rsid w:val="00D53DCF"/>
    <w:rsid w:val="00D53DE0"/>
    <w:rsid w:val="00D53E29"/>
    <w:rsid w:val="00D53F6E"/>
    <w:rsid w:val="00D53FA2"/>
    <w:rsid w:val="00D5408C"/>
    <w:rsid w:val="00D541C1"/>
    <w:rsid w:val="00D54218"/>
    <w:rsid w:val="00D5423A"/>
    <w:rsid w:val="00D542B8"/>
    <w:rsid w:val="00D5431B"/>
    <w:rsid w:val="00D54348"/>
    <w:rsid w:val="00D54377"/>
    <w:rsid w:val="00D543F5"/>
    <w:rsid w:val="00D543FF"/>
    <w:rsid w:val="00D54416"/>
    <w:rsid w:val="00D5448D"/>
    <w:rsid w:val="00D544F5"/>
    <w:rsid w:val="00D54588"/>
    <w:rsid w:val="00D5479E"/>
    <w:rsid w:val="00D547A8"/>
    <w:rsid w:val="00D547AD"/>
    <w:rsid w:val="00D54895"/>
    <w:rsid w:val="00D548AF"/>
    <w:rsid w:val="00D549B7"/>
    <w:rsid w:val="00D54A6A"/>
    <w:rsid w:val="00D54AEE"/>
    <w:rsid w:val="00D54B87"/>
    <w:rsid w:val="00D54BB9"/>
    <w:rsid w:val="00D54BDB"/>
    <w:rsid w:val="00D54DE3"/>
    <w:rsid w:val="00D54EEA"/>
    <w:rsid w:val="00D54F39"/>
    <w:rsid w:val="00D54F47"/>
    <w:rsid w:val="00D54F79"/>
    <w:rsid w:val="00D54FB5"/>
    <w:rsid w:val="00D55077"/>
    <w:rsid w:val="00D550D9"/>
    <w:rsid w:val="00D551C0"/>
    <w:rsid w:val="00D55216"/>
    <w:rsid w:val="00D55246"/>
    <w:rsid w:val="00D55264"/>
    <w:rsid w:val="00D5544C"/>
    <w:rsid w:val="00D5550B"/>
    <w:rsid w:val="00D55595"/>
    <w:rsid w:val="00D5563B"/>
    <w:rsid w:val="00D55768"/>
    <w:rsid w:val="00D557D0"/>
    <w:rsid w:val="00D557FD"/>
    <w:rsid w:val="00D55818"/>
    <w:rsid w:val="00D558A0"/>
    <w:rsid w:val="00D558AD"/>
    <w:rsid w:val="00D559E6"/>
    <w:rsid w:val="00D55BF9"/>
    <w:rsid w:val="00D55C11"/>
    <w:rsid w:val="00D55CA1"/>
    <w:rsid w:val="00D55CBE"/>
    <w:rsid w:val="00D55D71"/>
    <w:rsid w:val="00D55E0A"/>
    <w:rsid w:val="00D55E88"/>
    <w:rsid w:val="00D55E8E"/>
    <w:rsid w:val="00D55F43"/>
    <w:rsid w:val="00D55F67"/>
    <w:rsid w:val="00D55F6E"/>
    <w:rsid w:val="00D55F9F"/>
    <w:rsid w:val="00D55FD8"/>
    <w:rsid w:val="00D56047"/>
    <w:rsid w:val="00D56173"/>
    <w:rsid w:val="00D56206"/>
    <w:rsid w:val="00D56273"/>
    <w:rsid w:val="00D5631F"/>
    <w:rsid w:val="00D563D1"/>
    <w:rsid w:val="00D56447"/>
    <w:rsid w:val="00D56662"/>
    <w:rsid w:val="00D566CE"/>
    <w:rsid w:val="00D56759"/>
    <w:rsid w:val="00D567AB"/>
    <w:rsid w:val="00D56978"/>
    <w:rsid w:val="00D56ABA"/>
    <w:rsid w:val="00D56ACC"/>
    <w:rsid w:val="00D56B6E"/>
    <w:rsid w:val="00D56C35"/>
    <w:rsid w:val="00D56C8B"/>
    <w:rsid w:val="00D56C99"/>
    <w:rsid w:val="00D56D00"/>
    <w:rsid w:val="00D56DBA"/>
    <w:rsid w:val="00D56DBE"/>
    <w:rsid w:val="00D56DF0"/>
    <w:rsid w:val="00D56E8F"/>
    <w:rsid w:val="00D56FBA"/>
    <w:rsid w:val="00D570A5"/>
    <w:rsid w:val="00D570B6"/>
    <w:rsid w:val="00D570FC"/>
    <w:rsid w:val="00D57150"/>
    <w:rsid w:val="00D5723E"/>
    <w:rsid w:val="00D57247"/>
    <w:rsid w:val="00D572F6"/>
    <w:rsid w:val="00D573BD"/>
    <w:rsid w:val="00D5743E"/>
    <w:rsid w:val="00D57497"/>
    <w:rsid w:val="00D57504"/>
    <w:rsid w:val="00D57606"/>
    <w:rsid w:val="00D57643"/>
    <w:rsid w:val="00D57679"/>
    <w:rsid w:val="00D57689"/>
    <w:rsid w:val="00D57807"/>
    <w:rsid w:val="00D57855"/>
    <w:rsid w:val="00D578E9"/>
    <w:rsid w:val="00D57A5D"/>
    <w:rsid w:val="00D57A80"/>
    <w:rsid w:val="00D57BA0"/>
    <w:rsid w:val="00D57F12"/>
    <w:rsid w:val="00D57FA6"/>
    <w:rsid w:val="00D6001A"/>
    <w:rsid w:val="00D60070"/>
    <w:rsid w:val="00D600DB"/>
    <w:rsid w:val="00D60118"/>
    <w:rsid w:val="00D602B2"/>
    <w:rsid w:val="00D602BD"/>
    <w:rsid w:val="00D60477"/>
    <w:rsid w:val="00D604D7"/>
    <w:rsid w:val="00D60558"/>
    <w:rsid w:val="00D606C8"/>
    <w:rsid w:val="00D60878"/>
    <w:rsid w:val="00D608D4"/>
    <w:rsid w:val="00D608E4"/>
    <w:rsid w:val="00D608F0"/>
    <w:rsid w:val="00D609A9"/>
    <w:rsid w:val="00D60A53"/>
    <w:rsid w:val="00D60A66"/>
    <w:rsid w:val="00D60A94"/>
    <w:rsid w:val="00D60AEC"/>
    <w:rsid w:val="00D60AF6"/>
    <w:rsid w:val="00D60AFD"/>
    <w:rsid w:val="00D60B9A"/>
    <w:rsid w:val="00D60BB0"/>
    <w:rsid w:val="00D60C9B"/>
    <w:rsid w:val="00D60D3C"/>
    <w:rsid w:val="00D60E24"/>
    <w:rsid w:val="00D60E4C"/>
    <w:rsid w:val="00D60F4D"/>
    <w:rsid w:val="00D60F55"/>
    <w:rsid w:val="00D60F73"/>
    <w:rsid w:val="00D60F79"/>
    <w:rsid w:val="00D6100D"/>
    <w:rsid w:val="00D6110B"/>
    <w:rsid w:val="00D611D9"/>
    <w:rsid w:val="00D61240"/>
    <w:rsid w:val="00D612A6"/>
    <w:rsid w:val="00D6133B"/>
    <w:rsid w:val="00D61344"/>
    <w:rsid w:val="00D614B6"/>
    <w:rsid w:val="00D614F8"/>
    <w:rsid w:val="00D61565"/>
    <w:rsid w:val="00D6160F"/>
    <w:rsid w:val="00D61668"/>
    <w:rsid w:val="00D616E9"/>
    <w:rsid w:val="00D616F3"/>
    <w:rsid w:val="00D61828"/>
    <w:rsid w:val="00D6191A"/>
    <w:rsid w:val="00D6195E"/>
    <w:rsid w:val="00D619AD"/>
    <w:rsid w:val="00D61ABB"/>
    <w:rsid w:val="00D61ABC"/>
    <w:rsid w:val="00D61B21"/>
    <w:rsid w:val="00D61B52"/>
    <w:rsid w:val="00D61B73"/>
    <w:rsid w:val="00D61C84"/>
    <w:rsid w:val="00D61CE1"/>
    <w:rsid w:val="00D621EA"/>
    <w:rsid w:val="00D621F2"/>
    <w:rsid w:val="00D62217"/>
    <w:rsid w:val="00D622B8"/>
    <w:rsid w:val="00D62412"/>
    <w:rsid w:val="00D62476"/>
    <w:rsid w:val="00D6248A"/>
    <w:rsid w:val="00D62555"/>
    <w:rsid w:val="00D625D0"/>
    <w:rsid w:val="00D62669"/>
    <w:rsid w:val="00D626CB"/>
    <w:rsid w:val="00D62712"/>
    <w:rsid w:val="00D62718"/>
    <w:rsid w:val="00D6271D"/>
    <w:rsid w:val="00D627BB"/>
    <w:rsid w:val="00D6283A"/>
    <w:rsid w:val="00D6285A"/>
    <w:rsid w:val="00D62A83"/>
    <w:rsid w:val="00D62A9F"/>
    <w:rsid w:val="00D62B8C"/>
    <w:rsid w:val="00D62BF2"/>
    <w:rsid w:val="00D62BFA"/>
    <w:rsid w:val="00D62CE0"/>
    <w:rsid w:val="00D62D6F"/>
    <w:rsid w:val="00D62E45"/>
    <w:rsid w:val="00D62E4D"/>
    <w:rsid w:val="00D62E93"/>
    <w:rsid w:val="00D62E96"/>
    <w:rsid w:val="00D62FC9"/>
    <w:rsid w:val="00D63182"/>
    <w:rsid w:val="00D631A4"/>
    <w:rsid w:val="00D63316"/>
    <w:rsid w:val="00D633EF"/>
    <w:rsid w:val="00D633F7"/>
    <w:rsid w:val="00D634A1"/>
    <w:rsid w:val="00D6362F"/>
    <w:rsid w:val="00D63665"/>
    <w:rsid w:val="00D63684"/>
    <w:rsid w:val="00D63809"/>
    <w:rsid w:val="00D63907"/>
    <w:rsid w:val="00D639C3"/>
    <w:rsid w:val="00D63A1D"/>
    <w:rsid w:val="00D63AB4"/>
    <w:rsid w:val="00D63B00"/>
    <w:rsid w:val="00D63B7C"/>
    <w:rsid w:val="00D63BB2"/>
    <w:rsid w:val="00D63E3E"/>
    <w:rsid w:val="00D63F9C"/>
    <w:rsid w:val="00D64097"/>
    <w:rsid w:val="00D6413C"/>
    <w:rsid w:val="00D642B6"/>
    <w:rsid w:val="00D642DF"/>
    <w:rsid w:val="00D642FE"/>
    <w:rsid w:val="00D643C4"/>
    <w:rsid w:val="00D643EA"/>
    <w:rsid w:val="00D6444D"/>
    <w:rsid w:val="00D6445F"/>
    <w:rsid w:val="00D64482"/>
    <w:rsid w:val="00D644CA"/>
    <w:rsid w:val="00D644DC"/>
    <w:rsid w:val="00D6456E"/>
    <w:rsid w:val="00D64656"/>
    <w:rsid w:val="00D64743"/>
    <w:rsid w:val="00D647D8"/>
    <w:rsid w:val="00D64908"/>
    <w:rsid w:val="00D649C4"/>
    <w:rsid w:val="00D64BC6"/>
    <w:rsid w:val="00D64C0C"/>
    <w:rsid w:val="00D64CD9"/>
    <w:rsid w:val="00D64D8E"/>
    <w:rsid w:val="00D64D9C"/>
    <w:rsid w:val="00D64E62"/>
    <w:rsid w:val="00D64E82"/>
    <w:rsid w:val="00D64E91"/>
    <w:rsid w:val="00D651B2"/>
    <w:rsid w:val="00D65278"/>
    <w:rsid w:val="00D652DC"/>
    <w:rsid w:val="00D653AC"/>
    <w:rsid w:val="00D653F1"/>
    <w:rsid w:val="00D654F3"/>
    <w:rsid w:val="00D6578C"/>
    <w:rsid w:val="00D6581A"/>
    <w:rsid w:val="00D6589C"/>
    <w:rsid w:val="00D658A7"/>
    <w:rsid w:val="00D658C2"/>
    <w:rsid w:val="00D659AD"/>
    <w:rsid w:val="00D659EC"/>
    <w:rsid w:val="00D65B24"/>
    <w:rsid w:val="00D65B82"/>
    <w:rsid w:val="00D65BFA"/>
    <w:rsid w:val="00D65C2E"/>
    <w:rsid w:val="00D65CBB"/>
    <w:rsid w:val="00D65D53"/>
    <w:rsid w:val="00D65E37"/>
    <w:rsid w:val="00D65EAD"/>
    <w:rsid w:val="00D65F07"/>
    <w:rsid w:val="00D65F49"/>
    <w:rsid w:val="00D65F76"/>
    <w:rsid w:val="00D65F97"/>
    <w:rsid w:val="00D660C6"/>
    <w:rsid w:val="00D660F0"/>
    <w:rsid w:val="00D66124"/>
    <w:rsid w:val="00D66253"/>
    <w:rsid w:val="00D66293"/>
    <w:rsid w:val="00D662AC"/>
    <w:rsid w:val="00D66409"/>
    <w:rsid w:val="00D664EC"/>
    <w:rsid w:val="00D6650B"/>
    <w:rsid w:val="00D665A7"/>
    <w:rsid w:val="00D6670C"/>
    <w:rsid w:val="00D66745"/>
    <w:rsid w:val="00D6676B"/>
    <w:rsid w:val="00D6681F"/>
    <w:rsid w:val="00D668AC"/>
    <w:rsid w:val="00D668FF"/>
    <w:rsid w:val="00D669F2"/>
    <w:rsid w:val="00D669F7"/>
    <w:rsid w:val="00D66AA0"/>
    <w:rsid w:val="00D66B16"/>
    <w:rsid w:val="00D66BC6"/>
    <w:rsid w:val="00D66C8D"/>
    <w:rsid w:val="00D66D19"/>
    <w:rsid w:val="00D66D9D"/>
    <w:rsid w:val="00D66E83"/>
    <w:rsid w:val="00D66F67"/>
    <w:rsid w:val="00D6701E"/>
    <w:rsid w:val="00D6702A"/>
    <w:rsid w:val="00D67035"/>
    <w:rsid w:val="00D6705B"/>
    <w:rsid w:val="00D670D4"/>
    <w:rsid w:val="00D67151"/>
    <w:rsid w:val="00D671E8"/>
    <w:rsid w:val="00D671FA"/>
    <w:rsid w:val="00D67365"/>
    <w:rsid w:val="00D6738F"/>
    <w:rsid w:val="00D674EC"/>
    <w:rsid w:val="00D67510"/>
    <w:rsid w:val="00D67616"/>
    <w:rsid w:val="00D67643"/>
    <w:rsid w:val="00D677B3"/>
    <w:rsid w:val="00D677BE"/>
    <w:rsid w:val="00D67911"/>
    <w:rsid w:val="00D67A22"/>
    <w:rsid w:val="00D67A94"/>
    <w:rsid w:val="00D67C37"/>
    <w:rsid w:val="00D67C4A"/>
    <w:rsid w:val="00D67C7A"/>
    <w:rsid w:val="00D67CE6"/>
    <w:rsid w:val="00D67D2C"/>
    <w:rsid w:val="00D67D88"/>
    <w:rsid w:val="00D67D96"/>
    <w:rsid w:val="00D67DE9"/>
    <w:rsid w:val="00D67E63"/>
    <w:rsid w:val="00D67E80"/>
    <w:rsid w:val="00D67EAD"/>
    <w:rsid w:val="00D67EBD"/>
    <w:rsid w:val="00D67F08"/>
    <w:rsid w:val="00D67F61"/>
    <w:rsid w:val="00D6D9EE"/>
    <w:rsid w:val="00D700F7"/>
    <w:rsid w:val="00D701B7"/>
    <w:rsid w:val="00D701E2"/>
    <w:rsid w:val="00D70324"/>
    <w:rsid w:val="00D704E8"/>
    <w:rsid w:val="00D70504"/>
    <w:rsid w:val="00D70590"/>
    <w:rsid w:val="00D705C4"/>
    <w:rsid w:val="00D70644"/>
    <w:rsid w:val="00D70662"/>
    <w:rsid w:val="00D7069F"/>
    <w:rsid w:val="00D70832"/>
    <w:rsid w:val="00D70861"/>
    <w:rsid w:val="00D70960"/>
    <w:rsid w:val="00D70B20"/>
    <w:rsid w:val="00D70B66"/>
    <w:rsid w:val="00D70BBF"/>
    <w:rsid w:val="00D70BEC"/>
    <w:rsid w:val="00D70C17"/>
    <w:rsid w:val="00D70CD6"/>
    <w:rsid w:val="00D70D13"/>
    <w:rsid w:val="00D70D79"/>
    <w:rsid w:val="00D70E69"/>
    <w:rsid w:val="00D70E9B"/>
    <w:rsid w:val="00D70EAA"/>
    <w:rsid w:val="00D70FBF"/>
    <w:rsid w:val="00D70FDC"/>
    <w:rsid w:val="00D71023"/>
    <w:rsid w:val="00D7102D"/>
    <w:rsid w:val="00D71033"/>
    <w:rsid w:val="00D7104D"/>
    <w:rsid w:val="00D710D3"/>
    <w:rsid w:val="00D71116"/>
    <w:rsid w:val="00D7117B"/>
    <w:rsid w:val="00D7120A"/>
    <w:rsid w:val="00D713C0"/>
    <w:rsid w:val="00D71402"/>
    <w:rsid w:val="00D714C7"/>
    <w:rsid w:val="00D7154A"/>
    <w:rsid w:val="00D715C5"/>
    <w:rsid w:val="00D715D9"/>
    <w:rsid w:val="00D7166C"/>
    <w:rsid w:val="00D71697"/>
    <w:rsid w:val="00D71851"/>
    <w:rsid w:val="00D71961"/>
    <w:rsid w:val="00D71A4C"/>
    <w:rsid w:val="00D71A53"/>
    <w:rsid w:val="00D71A71"/>
    <w:rsid w:val="00D71ADD"/>
    <w:rsid w:val="00D71B0E"/>
    <w:rsid w:val="00D71BB2"/>
    <w:rsid w:val="00D71BBC"/>
    <w:rsid w:val="00D71BC7"/>
    <w:rsid w:val="00D71BF9"/>
    <w:rsid w:val="00D71C29"/>
    <w:rsid w:val="00D71C88"/>
    <w:rsid w:val="00D71CA2"/>
    <w:rsid w:val="00D71D3A"/>
    <w:rsid w:val="00D71E3B"/>
    <w:rsid w:val="00D71F48"/>
    <w:rsid w:val="00D72008"/>
    <w:rsid w:val="00D72034"/>
    <w:rsid w:val="00D72037"/>
    <w:rsid w:val="00D7211C"/>
    <w:rsid w:val="00D72192"/>
    <w:rsid w:val="00D721E8"/>
    <w:rsid w:val="00D7234F"/>
    <w:rsid w:val="00D723D0"/>
    <w:rsid w:val="00D72503"/>
    <w:rsid w:val="00D7266E"/>
    <w:rsid w:val="00D7287B"/>
    <w:rsid w:val="00D72910"/>
    <w:rsid w:val="00D729D5"/>
    <w:rsid w:val="00D72A2F"/>
    <w:rsid w:val="00D72A82"/>
    <w:rsid w:val="00D72B40"/>
    <w:rsid w:val="00D72BBF"/>
    <w:rsid w:val="00D72BE5"/>
    <w:rsid w:val="00D72C1B"/>
    <w:rsid w:val="00D72C30"/>
    <w:rsid w:val="00D72D1B"/>
    <w:rsid w:val="00D72D47"/>
    <w:rsid w:val="00D72D94"/>
    <w:rsid w:val="00D72DFB"/>
    <w:rsid w:val="00D72F04"/>
    <w:rsid w:val="00D72F4D"/>
    <w:rsid w:val="00D72FF5"/>
    <w:rsid w:val="00D731B0"/>
    <w:rsid w:val="00D73214"/>
    <w:rsid w:val="00D732B0"/>
    <w:rsid w:val="00D73340"/>
    <w:rsid w:val="00D733A0"/>
    <w:rsid w:val="00D73488"/>
    <w:rsid w:val="00D735C4"/>
    <w:rsid w:val="00D735DB"/>
    <w:rsid w:val="00D735FD"/>
    <w:rsid w:val="00D7363E"/>
    <w:rsid w:val="00D73838"/>
    <w:rsid w:val="00D73855"/>
    <w:rsid w:val="00D73882"/>
    <w:rsid w:val="00D739A6"/>
    <w:rsid w:val="00D739FF"/>
    <w:rsid w:val="00D73A50"/>
    <w:rsid w:val="00D73AF8"/>
    <w:rsid w:val="00D73AFC"/>
    <w:rsid w:val="00D73B42"/>
    <w:rsid w:val="00D73BA5"/>
    <w:rsid w:val="00D73C30"/>
    <w:rsid w:val="00D73C96"/>
    <w:rsid w:val="00D73CBB"/>
    <w:rsid w:val="00D73CC9"/>
    <w:rsid w:val="00D73D0E"/>
    <w:rsid w:val="00D73D3E"/>
    <w:rsid w:val="00D73D42"/>
    <w:rsid w:val="00D73EAD"/>
    <w:rsid w:val="00D73EE0"/>
    <w:rsid w:val="00D73F95"/>
    <w:rsid w:val="00D7404C"/>
    <w:rsid w:val="00D7406C"/>
    <w:rsid w:val="00D74093"/>
    <w:rsid w:val="00D740EC"/>
    <w:rsid w:val="00D7413D"/>
    <w:rsid w:val="00D741FE"/>
    <w:rsid w:val="00D74310"/>
    <w:rsid w:val="00D7449C"/>
    <w:rsid w:val="00D74535"/>
    <w:rsid w:val="00D7457B"/>
    <w:rsid w:val="00D745E6"/>
    <w:rsid w:val="00D74690"/>
    <w:rsid w:val="00D746EF"/>
    <w:rsid w:val="00D7485B"/>
    <w:rsid w:val="00D74949"/>
    <w:rsid w:val="00D74B04"/>
    <w:rsid w:val="00D74B76"/>
    <w:rsid w:val="00D74C4C"/>
    <w:rsid w:val="00D74CB0"/>
    <w:rsid w:val="00D74E13"/>
    <w:rsid w:val="00D74E1D"/>
    <w:rsid w:val="00D74EB4"/>
    <w:rsid w:val="00D74EE0"/>
    <w:rsid w:val="00D74EEB"/>
    <w:rsid w:val="00D74F51"/>
    <w:rsid w:val="00D7508D"/>
    <w:rsid w:val="00D75142"/>
    <w:rsid w:val="00D751F6"/>
    <w:rsid w:val="00D75210"/>
    <w:rsid w:val="00D75327"/>
    <w:rsid w:val="00D75443"/>
    <w:rsid w:val="00D75462"/>
    <w:rsid w:val="00D75504"/>
    <w:rsid w:val="00D75542"/>
    <w:rsid w:val="00D7555B"/>
    <w:rsid w:val="00D7557E"/>
    <w:rsid w:val="00D755CB"/>
    <w:rsid w:val="00D755EA"/>
    <w:rsid w:val="00D75651"/>
    <w:rsid w:val="00D756BF"/>
    <w:rsid w:val="00D756C3"/>
    <w:rsid w:val="00D7578A"/>
    <w:rsid w:val="00D757BE"/>
    <w:rsid w:val="00D757E3"/>
    <w:rsid w:val="00D75855"/>
    <w:rsid w:val="00D75942"/>
    <w:rsid w:val="00D75A70"/>
    <w:rsid w:val="00D75AB4"/>
    <w:rsid w:val="00D75ACB"/>
    <w:rsid w:val="00D75AD2"/>
    <w:rsid w:val="00D75AD4"/>
    <w:rsid w:val="00D75B04"/>
    <w:rsid w:val="00D75BD7"/>
    <w:rsid w:val="00D75C1A"/>
    <w:rsid w:val="00D75C20"/>
    <w:rsid w:val="00D75C23"/>
    <w:rsid w:val="00D75CFE"/>
    <w:rsid w:val="00D75D92"/>
    <w:rsid w:val="00D75DB8"/>
    <w:rsid w:val="00D76015"/>
    <w:rsid w:val="00D76117"/>
    <w:rsid w:val="00D7614F"/>
    <w:rsid w:val="00D762D9"/>
    <w:rsid w:val="00D76346"/>
    <w:rsid w:val="00D76365"/>
    <w:rsid w:val="00D7639E"/>
    <w:rsid w:val="00D7644B"/>
    <w:rsid w:val="00D7651B"/>
    <w:rsid w:val="00D7652B"/>
    <w:rsid w:val="00D765E1"/>
    <w:rsid w:val="00D766D4"/>
    <w:rsid w:val="00D766D8"/>
    <w:rsid w:val="00D766E9"/>
    <w:rsid w:val="00D766F8"/>
    <w:rsid w:val="00D768F7"/>
    <w:rsid w:val="00D769A9"/>
    <w:rsid w:val="00D76A1C"/>
    <w:rsid w:val="00D76A55"/>
    <w:rsid w:val="00D76A81"/>
    <w:rsid w:val="00D76AD2"/>
    <w:rsid w:val="00D76AF6"/>
    <w:rsid w:val="00D76BD7"/>
    <w:rsid w:val="00D76C33"/>
    <w:rsid w:val="00D76CFA"/>
    <w:rsid w:val="00D76D50"/>
    <w:rsid w:val="00D76D54"/>
    <w:rsid w:val="00D76D90"/>
    <w:rsid w:val="00D7704A"/>
    <w:rsid w:val="00D77058"/>
    <w:rsid w:val="00D770B4"/>
    <w:rsid w:val="00D77101"/>
    <w:rsid w:val="00D7721E"/>
    <w:rsid w:val="00D7722F"/>
    <w:rsid w:val="00D772D7"/>
    <w:rsid w:val="00D77301"/>
    <w:rsid w:val="00D7739F"/>
    <w:rsid w:val="00D77401"/>
    <w:rsid w:val="00D77597"/>
    <w:rsid w:val="00D77643"/>
    <w:rsid w:val="00D77748"/>
    <w:rsid w:val="00D777A8"/>
    <w:rsid w:val="00D777E3"/>
    <w:rsid w:val="00D7786E"/>
    <w:rsid w:val="00D77903"/>
    <w:rsid w:val="00D77946"/>
    <w:rsid w:val="00D7797F"/>
    <w:rsid w:val="00D779D5"/>
    <w:rsid w:val="00D779E5"/>
    <w:rsid w:val="00D77A47"/>
    <w:rsid w:val="00D77B0B"/>
    <w:rsid w:val="00D77B84"/>
    <w:rsid w:val="00D77C62"/>
    <w:rsid w:val="00D77C77"/>
    <w:rsid w:val="00D77CA6"/>
    <w:rsid w:val="00D77CDC"/>
    <w:rsid w:val="00D77DCB"/>
    <w:rsid w:val="00D77E42"/>
    <w:rsid w:val="00D77E57"/>
    <w:rsid w:val="00D77EFB"/>
    <w:rsid w:val="00D77F5D"/>
    <w:rsid w:val="00D80008"/>
    <w:rsid w:val="00D800B2"/>
    <w:rsid w:val="00D800C6"/>
    <w:rsid w:val="00D8011D"/>
    <w:rsid w:val="00D8018E"/>
    <w:rsid w:val="00D801AE"/>
    <w:rsid w:val="00D801BC"/>
    <w:rsid w:val="00D801DD"/>
    <w:rsid w:val="00D80287"/>
    <w:rsid w:val="00D8031B"/>
    <w:rsid w:val="00D804C2"/>
    <w:rsid w:val="00D80503"/>
    <w:rsid w:val="00D80510"/>
    <w:rsid w:val="00D8063A"/>
    <w:rsid w:val="00D80714"/>
    <w:rsid w:val="00D807E6"/>
    <w:rsid w:val="00D807FB"/>
    <w:rsid w:val="00D8087F"/>
    <w:rsid w:val="00D808BC"/>
    <w:rsid w:val="00D80AC0"/>
    <w:rsid w:val="00D80BCA"/>
    <w:rsid w:val="00D80C22"/>
    <w:rsid w:val="00D80C7B"/>
    <w:rsid w:val="00D80DBE"/>
    <w:rsid w:val="00D8105D"/>
    <w:rsid w:val="00D81111"/>
    <w:rsid w:val="00D81273"/>
    <w:rsid w:val="00D812A4"/>
    <w:rsid w:val="00D81327"/>
    <w:rsid w:val="00D813A6"/>
    <w:rsid w:val="00D813EB"/>
    <w:rsid w:val="00D81411"/>
    <w:rsid w:val="00D81517"/>
    <w:rsid w:val="00D81577"/>
    <w:rsid w:val="00D8161B"/>
    <w:rsid w:val="00D81729"/>
    <w:rsid w:val="00D8172D"/>
    <w:rsid w:val="00D817AD"/>
    <w:rsid w:val="00D8184D"/>
    <w:rsid w:val="00D8185C"/>
    <w:rsid w:val="00D819B0"/>
    <w:rsid w:val="00D81A13"/>
    <w:rsid w:val="00D81A54"/>
    <w:rsid w:val="00D81A73"/>
    <w:rsid w:val="00D81AB8"/>
    <w:rsid w:val="00D81AE6"/>
    <w:rsid w:val="00D81C2A"/>
    <w:rsid w:val="00D81DB1"/>
    <w:rsid w:val="00D81EFF"/>
    <w:rsid w:val="00D81F40"/>
    <w:rsid w:val="00D81F60"/>
    <w:rsid w:val="00D81F9F"/>
    <w:rsid w:val="00D81FE3"/>
    <w:rsid w:val="00D81FE4"/>
    <w:rsid w:val="00D8201A"/>
    <w:rsid w:val="00D82093"/>
    <w:rsid w:val="00D8209C"/>
    <w:rsid w:val="00D820BB"/>
    <w:rsid w:val="00D82219"/>
    <w:rsid w:val="00D82232"/>
    <w:rsid w:val="00D82255"/>
    <w:rsid w:val="00D822E7"/>
    <w:rsid w:val="00D823A2"/>
    <w:rsid w:val="00D823C1"/>
    <w:rsid w:val="00D82469"/>
    <w:rsid w:val="00D8246C"/>
    <w:rsid w:val="00D824A1"/>
    <w:rsid w:val="00D82532"/>
    <w:rsid w:val="00D82547"/>
    <w:rsid w:val="00D825A8"/>
    <w:rsid w:val="00D82635"/>
    <w:rsid w:val="00D8275C"/>
    <w:rsid w:val="00D82765"/>
    <w:rsid w:val="00D827D5"/>
    <w:rsid w:val="00D8282F"/>
    <w:rsid w:val="00D82841"/>
    <w:rsid w:val="00D828F7"/>
    <w:rsid w:val="00D82963"/>
    <w:rsid w:val="00D82AAB"/>
    <w:rsid w:val="00D82BDA"/>
    <w:rsid w:val="00D82C1C"/>
    <w:rsid w:val="00D82C87"/>
    <w:rsid w:val="00D82C9E"/>
    <w:rsid w:val="00D82CC3"/>
    <w:rsid w:val="00D82DE6"/>
    <w:rsid w:val="00D82DEE"/>
    <w:rsid w:val="00D82E40"/>
    <w:rsid w:val="00D82F5F"/>
    <w:rsid w:val="00D830EC"/>
    <w:rsid w:val="00D83127"/>
    <w:rsid w:val="00D83168"/>
    <w:rsid w:val="00D83184"/>
    <w:rsid w:val="00D83368"/>
    <w:rsid w:val="00D83399"/>
    <w:rsid w:val="00D834E1"/>
    <w:rsid w:val="00D8352C"/>
    <w:rsid w:val="00D835CC"/>
    <w:rsid w:val="00D837EF"/>
    <w:rsid w:val="00D838D0"/>
    <w:rsid w:val="00D8397B"/>
    <w:rsid w:val="00D83995"/>
    <w:rsid w:val="00D83B30"/>
    <w:rsid w:val="00D83C0B"/>
    <w:rsid w:val="00D83C86"/>
    <w:rsid w:val="00D83CCF"/>
    <w:rsid w:val="00D83CDD"/>
    <w:rsid w:val="00D83DC7"/>
    <w:rsid w:val="00D83F0A"/>
    <w:rsid w:val="00D83F82"/>
    <w:rsid w:val="00D83FE4"/>
    <w:rsid w:val="00D8402C"/>
    <w:rsid w:val="00D840DF"/>
    <w:rsid w:val="00D84242"/>
    <w:rsid w:val="00D842E1"/>
    <w:rsid w:val="00D8447B"/>
    <w:rsid w:val="00D84598"/>
    <w:rsid w:val="00D846D3"/>
    <w:rsid w:val="00D846F9"/>
    <w:rsid w:val="00D847A7"/>
    <w:rsid w:val="00D847C9"/>
    <w:rsid w:val="00D8482E"/>
    <w:rsid w:val="00D84891"/>
    <w:rsid w:val="00D848B4"/>
    <w:rsid w:val="00D848F6"/>
    <w:rsid w:val="00D84A35"/>
    <w:rsid w:val="00D84A45"/>
    <w:rsid w:val="00D84B16"/>
    <w:rsid w:val="00D84B42"/>
    <w:rsid w:val="00D84BCB"/>
    <w:rsid w:val="00D84C95"/>
    <w:rsid w:val="00D84EF4"/>
    <w:rsid w:val="00D85073"/>
    <w:rsid w:val="00D8513A"/>
    <w:rsid w:val="00D85146"/>
    <w:rsid w:val="00D85171"/>
    <w:rsid w:val="00D851F1"/>
    <w:rsid w:val="00D8523F"/>
    <w:rsid w:val="00D85295"/>
    <w:rsid w:val="00D852CA"/>
    <w:rsid w:val="00D85301"/>
    <w:rsid w:val="00D8534D"/>
    <w:rsid w:val="00D85352"/>
    <w:rsid w:val="00D8555A"/>
    <w:rsid w:val="00D85577"/>
    <w:rsid w:val="00D855FD"/>
    <w:rsid w:val="00D857BF"/>
    <w:rsid w:val="00D8584B"/>
    <w:rsid w:val="00D8586F"/>
    <w:rsid w:val="00D858A8"/>
    <w:rsid w:val="00D858B5"/>
    <w:rsid w:val="00D858E3"/>
    <w:rsid w:val="00D85951"/>
    <w:rsid w:val="00D85980"/>
    <w:rsid w:val="00D859F4"/>
    <w:rsid w:val="00D85AC4"/>
    <w:rsid w:val="00D85B94"/>
    <w:rsid w:val="00D85CC9"/>
    <w:rsid w:val="00D85D42"/>
    <w:rsid w:val="00D85E39"/>
    <w:rsid w:val="00D86010"/>
    <w:rsid w:val="00D860DD"/>
    <w:rsid w:val="00D8610A"/>
    <w:rsid w:val="00D86249"/>
    <w:rsid w:val="00D862AE"/>
    <w:rsid w:val="00D862BD"/>
    <w:rsid w:val="00D86313"/>
    <w:rsid w:val="00D8635C"/>
    <w:rsid w:val="00D863A1"/>
    <w:rsid w:val="00D8646A"/>
    <w:rsid w:val="00D864C4"/>
    <w:rsid w:val="00D864F4"/>
    <w:rsid w:val="00D86579"/>
    <w:rsid w:val="00D86607"/>
    <w:rsid w:val="00D8662A"/>
    <w:rsid w:val="00D86723"/>
    <w:rsid w:val="00D86766"/>
    <w:rsid w:val="00D8686F"/>
    <w:rsid w:val="00D86876"/>
    <w:rsid w:val="00D86917"/>
    <w:rsid w:val="00D8697A"/>
    <w:rsid w:val="00D86A75"/>
    <w:rsid w:val="00D86AB4"/>
    <w:rsid w:val="00D86B78"/>
    <w:rsid w:val="00D86E39"/>
    <w:rsid w:val="00D86E80"/>
    <w:rsid w:val="00D86E82"/>
    <w:rsid w:val="00D86E8B"/>
    <w:rsid w:val="00D86FB2"/>
    <w:rsid w:val="00D86FB9"/>
    <w:rsid w:val="00D8708F"/>
    <w:rsid w:val="00D87108"/>
    <w:rsid w:val="00D87126"/>
    <w:rsid w:val="00D87278"/>
    <w:rsid w:val="00D872B6"/>
    <w:rsid w:val="00D8744E"/>
    <w:rsid w:val="00D8745A"/>
    <w:rsid w:val="00D87495"/>
    <w:rsid w:val="00D874E6"/>
    <w:rsid w:val="00D87518"/>
    <w:rsid w:val="00D8763B"/>
    <w:rsid w:val="00D876AE"/>
    <w:rsid w:val="00D876B4"/>
    <w:rsid w:val="00D876B5"/>
    <w:rsid w:val="00D87798"/>
    <w:rsid w:val="00D878FD"/>
    <w:rsid w:val="00D879D9"/>
    <w:rsid w:val="00D87A54"/>
    <w:rsid w:val="00D87A57"/>
    <w:rsid w:val="00D87A87"/>
    <w:rsid w:val="00D87B94"/>
    <w:rsid w:val="00D87BF4"/>
    <w:rsid w:val="00D87C2B"/>
    <w:rsid w:val="00D87C3F"/>
    <w:rsid w:val="00D87D19"/>
    <w:rsid w:val="00D87DE8"/>
    <w:rsid w:val="00D87DEF"/>
    <w:rsid w:val="00D87E54"/>
    <w:rsid w:val="00D87ED4"/>
    <w:rsid w:val="00D87FBC"/>
    <w:rsid w:val="00D87FF7"/>
    <w:rsid w:val="00D900FE"/>
    <w:rsid w:val="00D9014C"/>
    <w:rsid w:val="00D90175"/>
    <w:rsid w:val="00D901E5"/>
    <w:rsid w:val="00D9027C"/>
    <w:rsid w:val="00D90351"/>
    <w:rsid w:val="00D9038E"/>
    <w:rsid w:val="00D904C0"/>
    <w:rsid w:val="00D904FF"/>
    <w:rsid w:val="00D90678"/>
    <w:rsid w:val="00D90816"/>
    <w:rsid w:val="00D908B3"/>
    <w:rsid w:val="00D90912"/>
    <w:rsid w:val="00D9091B"/>
    <w:rsid w:val="00D909E9"/>
    <w:rsid w:val="00D90A87"/>
    <w:rsid w:val="00D90B10"/>
    <w:rsid w:val="00D90C1B"/>
    <w:rsid w:val="00D90C5D"/>
    <w:rsid w:val="00D90D96"/>
    <w:rsid w:val="00D90E5E"/>
    <w:rsid w:val="00D90E96"/>
    <w:rsid w:val="00D90EAE"/>
    <w:rsid w:val="00D90EF2"/>
    <w:rsid w:val="00D90F6F"/>
    <w:rsid w:val="00D90FB0"/>
    <w:rsid w:val="00D90FDD"/>
    <w:rsid w:val="00D91045"/>
    <w:rsid w:val="00D91049"/>
    <w:rsid w:val="00D9104D"/>
    <w:rsid w:val="00D91138"/>
    <w:rsid w:val="00D91182"/>
    <w:rsid w:val="00D911A8"/>
    <w:rsid w:val="00D913EE"/>
    <w:rsid w:val="00D91437"/>
    <w:rsid w:val="00D914E2"/>
    <w:rsid w:val="00D9151A"/>
    <w:rsid w:val="00D915B9"/>
    <w:rsid w:val="00D9164E"/>
    <w:rsid w:val="00D9169B"/>
    <w:rsid w:val="00D916EA"/>
    <w:rsid w:val="00D916FD"/>
    <w:rsid w:val="00D91900"/>
    <w:rsid w:val="00D91912"/>
    <w:rsid w:val="00D91946"/>
    <w:rsid w:val="00D919F2"/>
    <w:rsid w:val="00D91B53"/>
    <w:rsid w:val="00D91B84"/>
    <w:rsid w:val="00D91C0F"/>
    <w:rsid w:val="00D91C4E"/>
    <w:rsid w:val="00D91C9A"/>
    <w:rsid w:val="00D91D03"/>
    <w:rsid w:val="00D91D2A"/>
    <w:rsid w:val="00D91D8F"/>
    <w:rsid w:val="00D91DA8"/>
    <w:rsid w:val="00D91E8C"/>
    <w:rsid w:val="00D91ED6"/>
    <w:rsid w:val="00D91FBC"/>
    <w:rsid w:val="00D92062"/>
    <w:rsid w:val="00D92479"/>
    <w:rsid w:val="00D9258A"/>
    <w:rsid w:val="00D92755"/>
    <w:rsid w:val="00D92791"/>
    <w:rsid w:val="00D927D4"/>
    <w:rsid w:val="00D9289A"/>
    <w:rsid w:val="00D928AA"/>
    <w:rsid w:val="00D92973"/>
    <w:rsid w:val="00D9299E"/>
    <w:rsid w:val="00D92A59"/>
    <w:rsid w:val="00D92A92"/>
    <w:rsid w:val="00D92AF5"/>
    <w:rsid w:val="00D92B58"/>
    <w:rsid w:val="00D92C4A"/>
    <w:rsid w:val="00D92CAB"/>
    <w:rsid w:val="00D92DDE"/>
    <w:rsid w:val="00D92F18"/>
    <w:rsid w:val="00D92F1C"/>
    <w:rsid w:val="00D92F4C"/>
    <w:rsid w:val="00D92FB5"/>
    <w:rsid w:val="00D92FD2"/>
    <w:rsid w:val="00D93051"/>
    <w:rsid w:val="00D9309B"/>
    <w:rsid w:val="00D932CA"/>
    <w:rsid w:val="00D932D2"/>
    <w:rsid w:val="00D93398"/>
    <w:rsid w:val="00D933B4"/>
    <w:rsid w:val="00D93406"/>
    <w:rsid w:val="00D93460"/>
    <w:rsid w:val="00D9352A"/>
    <w:rsid w:val="00D93573"/>
    <w:rsid w:val="00D935FE"/>
    <w:rsid w:val="00D93606"/>
    <w:rsid w:val="00D936A6"/>
    <w:rsid w:val="00D936D1"/>
    <w:rsid w:val="00D936D5"/>
    <w:rsid w:val="00D936E5"/>
    <w:rsid w:val="00D936F6"/>
    <w:rsid w:val="00D937FF"/>
    <w:rsid w:val="00D93887"/>
    <w:rsid w:val="00D9393F"/>
    <w:rsid w:val="00D939E2"/>
    <w:rsid w:val="00D939EF"/>
    <w:rsid w:val="00D93A09"/>
    <w:rsid w:val="00D93A31"/>
    <w:rsid w:val="00D93A4A"/>
    <w:rsid w:val="00D93B3A"/>
    <w:rsid w:val="00D93B7D"/>
    <w:rsid w:val="00D93C1F"/>
    <w:rsid w:val="00D93C4E"/>
    <w:rsid w:val="00D93C52"/>
    <w:rsid w:val="00D93CDB"/>
    <w:rsid w:val="00D93CFB"/>
    <w:rsid w:val="00D93D24"/>
    <w:rsid w:val="00D93DFA"/>
    <w:rsid w:val="00D93E79"/>
    <w:rsid w:val="00D93E81"/>
    <w:rsid w:val="00D93EAC"/>
    <w:rsid w:val="00D93F08"/>
    <w:rsid w:val="00D93F85"/>
    <w:rsid w:val="00D94071"/>
    <w:rsid w:val="00D940DE"/>
    <w:rsid w:val="00D94151"/>
    <w:rsid w:val="00D942E4"/>
    <w:rsid w:val="00D9438B"/>
    <w:rsid w:val="00D943D7"/>
    <w:rsid w:val="00D94406"/>
    <w:rsid w:val="00D94456"/>
    <w:rsid w:val="00D94461"/>
    <w:rsid w:val="00D944F2"/>
    <w:rsid w:val="00D94527"/>
    <w:rsid w:val="00D945B4"/>
    <w:rsid w:val="00D945E0"/>
    <w:rsid w:val="00D94844"/>
    <w:rsid w:val="00D9496E"/>
    <w:rsid w:val="00D94AAD"/>
    <w:rsid w:val="00D94AD2"/>
    <w:rsid w:val="00D94C0B"/>
    <w:rsid w:val="00D94D33"/>
    <w:rsid w:val="00D94D96"/>
    <w:rsid w:val="00D94DCA"/>
    <w:rsid w:val="00D94E0D"/>
    <w:rsid w:val="00D94E3D"/>
    <w:rsid w:val="00D94E7B"/>
    <w:rsid w:val="00D94F72"/>
    <w:rsid w:val="00D94F74"/>
    <w:rsid w:val="00D94F84"/>
    <w:rsid w:val="00D94F89"/>
    <w:rsid w:val="00D94FBA"/>
    <w:rsid w:val="00D95035"/>
    <w:rsid w:val="00D9511F"/>
    <w:rsid w:val="00D952EE"/>
    <w:rsid w:val="00D9538D"/>
    <w:rsid w:val="00D953DE"/>
    <w:rsid w:val="00D953FE"/>
    <w:rsid w:val="00D954FC"/>
    <w:rsid w:val="00D95559"/>
    <w:rsid w:val="00D95597"/>
    <w:rsid w:val="00D955FD"/>
    <w:rsid w:val="00D956B4"/>
    <w:rsid w:val="00D956BB"/>
    <w:rsid w:val="00D95747"/>
    <w:rsid w:val="00D9585F"/>
    <w:rsid w:val="00D9589B"/>
    <w:rsid w:val="00D95A77"/>
    <w:rsid w:val="00D95ADE"/>
    <w:rsid w:val="00D95B14"/>
    <w:rsid w:val="00D95B2B"/>
    <w:rsid w:val="00D95B88"/>
    <w:rsid w:val="00D95BFC"/>
    <w:rsid w:val="00D95C84"/>
    <w:rsid w:val="00D95C8B"/>
    <w:rsid w:val="00D95D3D"/>
    <w:rsid w:val="00D95F39"/>
    <w:rsid w:val="00D960CE"/>
    <w:rsid w:val="00D960EC"/>
    <w:rsid w:val="00D96178"/>
    <w:rsid w:val="00D9619D"/>
    <w:rsid w:val="00D961C5"/>
    <w:rsid w:val="00D96218"/>
    <w:rsid w:val="00D963A0"/>
    <w:rsid w:val="00D963FB"/>
    <w:rsid w:val="00D964B0"/>
    <w:rsid w:val="00D965B7"/>
    <w:rsid w:val="00D965FC"/>
    <w:rsid w:val="00D96619"/>
    <w:rsid w:val="00D96647"/>
    <w:rsid w:val="00D966AB"/>
    <w:rsid w:val="00D966E1"/>
    <w:rsid w:val="00D967A7"/>
    <w:rsid w:val="00D96833"/>
    <w:rsid w:val="00D9687E"/>
    <w:rsid w:val="00D968EA"/>
    <w:rsid w:val="00D96935"/>
    <w:rsid w:val="00D969A2"/>
    <w:rsid w:val="00D969CA"/>
    <w:rsid w:val="00D96A58"/>
    <w:rsid w:val="00D96A71"/>
    <w:rsid w:val="00D96B0F"/>
    <w:rsid w:val="00D96B9C"/>
    <w:rsid w:val="00D96CAF"/>
    <w:rsid w:val="00D96CEF"/>
    <w:rsid w:val="00D96DE6"/>
    <w:rsid w:val="00D96DFE"/>
    <w:rsid w:val="00D96E6A"/>
    <w:rsid w:val="00D96E73"/>
    <w:rsid w:val="00D96E7F"/>
    <w:rsid w:val="00D96F02"/>
    <w:rsid w:val="00D970D9"/>
    <w:rsid w:val="00D9710F"/>
    <w:rsid w:val="00D97132"/>
    <w:rsid w:val="00D97196"/>
    <w:rsid w:val="00D9728A"/>
    <w:rsid w:val="00D97386"/>
    <w:rsid w:val="00D973E9"/>
    <w:rsid w:val="00D97635"/>
    <w:rsid w:val="00D97655"/>
    <w:rsid w:val="00D97666"/>
    <w:rsid w:val="00D97677"/>
    <w:rsid w:val="00D97734"/>
    <w:rsid w:val="00D977CA"/>
    <w:rsid w:val="00D97A49"/>
    <w:rsid w:val="00D97AED"/>
    <w:rsid w:val="00D97C6E"/>
    <w:rsid w:val="00D97D0E"/>
    <w:rsid w:val="00D97D17"/>
    <w:rsid w:val="00D97D1A"/>
    <w:rsid w:val="00D97E68"/>
    <w:rsid w:val="00D97E6A"/>
    <w:rsid w:val="00D97E80"/>
    <w:rsid w:val="00DA00B0"/>
    <w:rsid w:val="00DA01D3"/>
    <w:rsid w:val="00DA0229"/>
    <w:rsid w:val="00DA0314"/>
    <w:rsid w:val="00DA0319"/>
    <w:rsid w:val="00DA047E"/>
    <w:rsid w:val="00DA0511"/>
    <w:rsid w:val="00DA0608"/>
    <w:rsid w:val="00DA062F"/>
    <w:rsid w:val="00DA0680"/>
    <w:rsid w:val="00DA06CD"/>
    <w:rsid w:val="00DA0749"/>
    <w:rsid w:val="00DA0889"/>
    <w:rsid w:val="00DA089D"/>
    <w:rsid w:val="00DA0A6F"/>
    <w:rsid w:val="00DA0A7F"/>
    <w:rsid w:val="00DA0B27"/>
    <w:rsid w:val="00DA0B57"/>
    <w:rsid w:val="00DA0C06"/>
    <w:rsid w:val="00DA0C14"/>
    <w:rsid w:val="00DA0C15"/>
    <w:rsid w:val="00DA0CD3"/>
    <w:rsid w:val="00DA0D68"/>
    <w:rsid w:val="00DA0DAB"/>
    <w:rsid w:val="00DA0DCE"/>
    <w:rsid w:val="00DA0DDB"/>
    <w:rsid w:val="00DA0E12"/>
    <w:rsid w:val="00DA13A1"/>
    <w:rsid w:val="00DA13A3"/>
    <w:rsid w:val="00DA1476"/>
    <w:rsid w:val="00DA147F"/>
    <w:rsid w:val="00DA155F"/>
    <w:rsid w:val="00DA15A3"/>
    <w:rsid w:val="00DA15C2"/>
    <w:rsid w:val="00DA164C"/>
    <w:rsid w:val="00DA1657"/>
    <w:rsid w:val="00DA17F2"/>
    <w:rsid w:val="00DA1806"/>
    <w:rsid w:val="00DA18BF"/>
    <w:rsid w:val="00DA18E5"/>
    <w:rsid w:val="00DA1992"/>
    <w:rsid w:val="00DA1A08"/>
    <w:rsid w:val="00DA1AC0"/>
    <w:rsid w:val="00DA1B02"/>
    <w:rsid w:val="00DA1B2D"/>
    <w:rsid w:val="00DA1B34"/>
    <w:rsid w:val="00DA1B84"/>
    <w:rsid w:val="00DA1CA7"/>
    <w:rsid w:val="00DA1CD9"/>
    <w:rsid w:val="00DA1D6C"/>
    <w:rsid w:val="00DA1DEA"/>
    <w:rsid w:val="00DA1DF9"/>
    <w:rsid w:val="00DA1E0E"/>
    <w:rsid w:val="00DA1E6C"/>
    <w:rsid w:val="00DA1EDE"/>
    <w:rsid w:val="00DA1FD9"/>
    <w:rsid w:val="00DA2052"/>
    <w:rsid w:val="00DA20CE"/>
    <w:rsid w:val="00DA21AD"/>
    <w:rsid w:val="00DA2221"/>
    <w:rsid w:val="00DA2245"/>
    <w:rsid w:val="00DA226F"/>
    <w:rsid w:val="00DA2348"/>
    <w:rsid w:val="00DA2427"/>
    <w:rsid w:val="00DA2489"/>
    <w:rsid w:val="00DA24A7"/>
    <w:rsid w:val="00DA25FB"/>
    <w:rsid w:val="00DA278F"/>
    <w:rsid w:val="00DA27B8"/>
    <w:rsid w:val="00DA27F4"/>
    <w:rsid w:val="00DA283E"/>
    <w:rsid w:val="00DA29CE"/>
    <w:rsid w:val="00DA2A65"/>
    <w:rsid w:val="00DA2A9C"/>
    <w:rsid w:val="00DA2AE1"/>
    <w:rsid w:val="00DA2B25"/>
    <w:rsid w:val="00DA2B28"/>
    <w:rsid w:val="00DA2BBC"/>
    <w:rsid w:val="00DA2C2F"/>
    <w:rsid w:val="00DA2C48"/>
    <w:rsid w:val="00DA2CAD"/>
    <w:rsid w:val="00DA2D36"/>
    <w:rsid w:val="00DA2D8F"/>
    <w:rsid w:val="00DA2FDA"/>
    <w:rsid w:val="00DA3015"/>
    <w:rsid w:val="00DA3081"/>
    <w:rsid w:val="00DA30D4"/>
    <w:rsid w:val="00DA30E2"/>
    <w:rsid w:val="00DA3163"/>
    <w:rsid w:val="00DA31E3"/>
    <w:rsid w:val="00DA33A5"/>
    <w:rsid w:val="00DA3459"/>
    <w:rsid w:val="00DA34C1"/>
    <w:rsid w:val="00DA34DB"/>
    <w:rsid w:val="00DA34F4"/>
    <w:rsid w:val="00DA3532"/>
    <w:rsid w:val="00DA3550"/>
    <w:rsid w:val="00DA3661"/>
    <w:rsid w:val="00DA371E"/>
    <w:rsid w:val="00DA3822"/>
    <w:rsid w:val="00DA3859"/>
    <w:rsid w:val="00DA393D"/>
    <w:rsid w:val="00DA39E4"/>
    <w:rsid w:val="00DA3A0A"/>
    <w:rsid w:val="00DA3A31"/>
    <w:rsid w:val="00DA3A52"/>
    <w:rsid w:val="00DA3A5C"/>
    <w:rsid w:val="00DA3B11"/>
    <w:rsid w:val="00DA3C94"/>
    <w:rsid w:val="00DA3CB2"/>
    <w:rsid w:val="00DA3D4C"/>
    <w:rsid w:val="00DA3D62"/>
    <w:rsid w:val="00DA3DB8"/>
    <w:rsid w:val="00DA3F92"/>
    <w:rsid w:val="00DA411A"/>
    <w:rsid w:val="00DA4120"/>
    <w:rsid w:val="00DA41C6"/>
    <w:rsid w:val="00DA4267"/>
    <w:rsid w:val="00DA4284"/>
    <w:rsid w:val="00DA4371"/>
    <w:rsid w:val="00DA43DE"/>
    <w:rsid w:val="00DA443F"/>
    <w:rsid w:val="00DA4572"/>
    <w:rsid w:val="00DA45D1"/>
    <w:rsid w:val="00DA45D3"/>
    <w:rsid w:val="00DA46E4"/>
    <w:rsid w:val="00DA4898"/>
    <w:rsid w:val="00DA48A8"/>
    <w:rsid w:val="00DA4912"/>
    <w:rsid w:val="00DA49BA"/>
    <w:rsid w:val="00DA4A48"/>
    <w:rsid w:val="00DA4A99"/>
    <w:rsid w:val="00DA4AFD"/>
    <w:rsid w:val="00DA4B22"/>
    <w:rsid w:val="00DA4B87"/>
    <w:rsid w:val="00DA4C1E"/>
    <w:rsid w:val="00DA4C51"/>
    <w:rsid w:val="00DA4CCE"/>
    <w:rsid w:val="00DA4D17"/>
    <w:rsid w:val="00DA4ECC"/>
    <w:rsid w:val="00DA4F1D"/>
    <w:rsid w:val="00DA5152"/>
    <w:rsid w:val="00DA5161"/>
    <w:rsid w:val="00DA522C"/>
    <w:rsid w:val="00DA5255"/>
    <w:rsid w:val="00DA5305"/>
    <w:rsid w:val="00DA5416"/>
    <w:rsid w:val="00DA54FC"/>
    <w:rsid w:val="00DA565E"/>
    <w:rsid w:val="00DA56B7"/>
    <w:rsid w:val="00DA56EF"/>
    <w:rsid w:val="00DA5702"/>
    <w:rsid w:val="00DA58F4"/>
    <w:rsid w:val="00DA598F"/>
    <w:rsid w:val="00DA59C4"/>
    <w:rsid w:val="00DA59FB"/>
    <w:rsid w:val="00DA5A56"/>
    <w:rsid w:val="00DA5A60"/>
    <w:rsid w:val="00DA5DF4"/>
    <w:rsid w:val="00DA5E45"/>
    <w:rsid w:val="00DA5ED8"/>
    <w:rsid w:val="00DA5F8B"/>
    <w:rsid w:val="00DA5FA7"/>
    <w:rsid w:val="00DA6070"/>
    <w:rsid w:val="00DA608A"/>
    <w:rsid w:val="00DA60F5"/>
    <w:rsid w:val="00DA6112"/>
    <w:rsid w:val="00DA619B"/>
    <w:rsid w:val="00DA6324"/>
    <w:rsid w:val="00DA6591"/>
    <w:rsid w:val="00DA659B"/>
    <w:rsid w:val="00DA66C8"/>
    <w:rsid w:val="00DA6736"/>
    <w:rsid w:val="00DA67E4"/>
    <w:rsid w:val="00DA688F"/>
    <w:rsid w:val="00DA68FA"/>
    <w:rsid w:val="00DA697A"/>
    <w:rsid w:val="00DA6A51"/>
    <w:rsid w:val="00DA6A5D"/>
    <w:rsid w:val="00DA6AC7"/>
    <w:rsid w:val="00DA6B01"/>
    <w:rsid w:val="00DA6CDC"/>
    <w:rsid w:val="00DA6D4A"/>
    <w:rsid w:val="00DA6DFB"/>
    <w:rsid w:val="00DA6E00"/>
    <w:rsid w:val="00DA6E0B"/>
    <w:rsid w:val="00DA6EDE"/>
    <w:rsid w:val="00DA6F04"/>
    <w:rsid w:val="00DA7036"/>
    <w:rsid w:val="00DA71A7"/>
    <w:rsid w:val="00DA733E"/>
    <w:rsid w:val="00DA7342"/>
    <w:rsid w:val="00DA7354"/>
    <w:rsid w:val="00DA739D"/>
    <w:rsid w:val="00DA73C0"/>
    <w:rsid w:val="00DA7555"/>
    <w:rsid w:val="00DA762C"/>
    <w:rsid w:val="00DA7709"/>
    <w:rsid w:val="00DA772D"/>
    <w:rsid w:val="00DA77D4"/>
    <w:rsid w:val="00DA78C1"/>
    <w:rsid w:val="00DA7927"/>
    <w:rsid w:val="00DA7929"/>
    <w:rsid w:val="00DA7ADB"/>
    <w:rsid w:val="00DA7C2E"/>
    <w:rsid w:val="00DA7C5D"/>
    <w:rsid w:val="00DA7CBE"/>
    <w:rsid w:val="00DA7DA8"/>
    <w:rsid w:val="00DA7DCA"/>
    <w:rsid w:val="00DA7E67"/>
    <w:rsid w:val="00DA7E7B"/>
    <w:rsid w:val="00DA7ECE"/>
    <w:rsid w:val="00DA7FB2"/>
    <w:rsid w:val="00DA7FE3"/>
    <w:rsid w:val="00DAC15F"/>
    <w:rsid w:val="00DB0055"/>
    <w:rsid w:val="00DB018D"/>
    <w:rsid w:val="00DB01BB"/>
    <w:rsid w:val="00DB01DB"/>
    <w:rsid w:val="00DB0223"/>
    <w:rsid w:val="00DB02C2"/>
    <w:rsid w:val="00DB0311"/>
    <w:rsid w:val="00DB0396"/>
    <w:rsid w:val="00DB03AB"/>
    <w:rsid w:val="00DB0437"/>
    <w:rsid w:val="00DB04C2"/>
    <w:rsid w:val="00DB0513"/>
    <w:rsid w:val="00DB0621"/>
    <w:rsid w:val="00DB063F"/>
    <w:rsid w:val="00DB06A9"/>
    <w:rsid w:val="00DB074B"/>
    <w:rsid w:val="00DB07C5"/>
    <w:rsid w:val="00DB0842"/>
    <w:rsid w:val="00DB0895"/>
    <w:rsid w:val="00DB08C6"/>
    <w:rsid w:val="00DB08DA"/>
    <w:rsid w:val="00DB08F8"/>
    <w:rsid w:val="00DB08FD"/>
    <w:rsid w:val="00DB097B"/>
    <w:rsid w:val="00DB09E3"/>
    <w:rsid w:val="00DB0B2B"/>
    <w:rsid w:val="00DB0CB2"/>
    <w:rsid w:val="00DB0CC7"/>
    <w:rsid w:val="00DB0D31"/>
    <w:rsid w:val="00DB0D62"/>
    <w:rsid w:val="00DB0D8C"/>
    <w:rsid w:val="00DB0DB3"/>
    <w:rsid w:val="00DB0EF7"/>
    <w:rsid w:val="00DB1055"/>
    <w:rsid w:val="00DB105D"/>
    <w:rsid w:val="00DB1117"/>
    <w:rsid w:val="00DB1272"/>
    <w:rsid w:val="00DB12C2"/>
    <w:rsid w:val="00DB1324"/>
    <w:rsid w:val="00DB1391"/>
    <w:rsid w:val="00DB13B7"/>
    <w:rsid w:val="00DB1440"/>
    <w:rsid w:val="00DB1446"/>
    <w:rsid w:val="00DB14D8"/>
    <w:rsid w:val="00DB154C"/>
    <w:rsid w:val="00DB1553"/>
    <w:rsid w:val="00DB155F"/>
    <w:rsid w:val="00DB15F0"/>
    <w:rsid w:val="00DB166B"/>
    <w:rsid w:val="00DB166F"/>
    <w:rsid w:val="00DB17BB"/>
    <w:rsid w:val="00DB18F9"/>
    <w:rsid w:val="00DB1958"/>
    <w:rsid w:val="00DB19F8"/>
    <w:rsid w:val="00DB1A36"/>
    <w:rsid w:val="00DB1A6F"/>
    <w:rsid w:val="00DB1C3E"/>
    <w:rsid w:val="00DB1CB2"/>
    <w:rsid w:val="00DB1D21"/>
    <w:rsid w:val="00DB1D46"/>
    <w:rsid w:val="00DB1DAD"/>
    <w:rsid w:val="00DB1E09"/>
    <w:rsid w:val="00DB1E32"/>
    <w:rsid w:val="00DB1E49"/>
    <w:rsid w:val="00DB1E4F"/>
    <w:rsid w:val="00DB1E70"/>
    <w:rsid w:val="00DB1F04"/>
    <w:rsid w:val="00DB203B"/>
    <w:rsid w:val="00DB2165"/>
    <w:rsid w:val="00DB2189"/>
    <w:rsid w:val="00DB221A"/>
    <w:rsid w:val="00DB2220"/>
    <w:rsid w:val="00DB222A"/>
    <w:rsid w:val="00DB2250"/>
    <w:rsid w:val="00DB2354"/>
    <w:rsid w:val="00DB238B"/>
    <w:rsid w:val="00DB2465"/>
    <w:rsid w:val="00DB24A8"/>
    <w:rsid w:val="00DB24AF"/>
    <w:rsid w:val="00DB259A"/>
    <w:rsid w:val="00DB25A5"/>
    <w:rsid w:val="00DB25D2"/>
    <w:rsid w:val="00DB2605"/>
    <w:rsid w:val="00DB26C7"/>
    <w:rsid w:val="00DB2731"/>
    <w:rsid w:val="00DB2739"/>
    <w:rsid w:val="00DB27AE"/>
    <w:rsid w:val="00DB27B3"/>
    <w:rsid w:val="00DB29C9"/>
    <w:rsid w:val="00DB29E3"/>
    <w:rsid w:val="00DB2A52"/>
    <w:rsid w:val="00DB2A88"/>
    <w:rsid w:val="00DB2AC6"/>
    <w:rsid w:val="00DB2AFA"/>
    <w:rsid w:val="00DB2B1B"/>
    <w:rsid w:val="00DB2B2F"/>
    <w:rsid w:val="00DB2B41"/>
    <w:rsid w:val="00DB2B6C"/>
    <w:rsid w:val="00DB2BA2"/>
    <w:rsid w:val="00DB2BA8"/>
    <w:rsid w:val="00DB2C07"/>
    <w:rsid w:val="00DB2D4F"/>
    <w:rsid w:val="00DB2D69"/>
    <w:rsid w:val="00DB2E84"/>
    <w:rsid w:val="00DB2EE9"/>
    <w:rsid w:val="00DB3260"/>
    <w:rsid w:val="00DB329E"/>
    <w:rsid w:val="00DB3379"/>
    <w:rsid w:val="00DB3437"/>
    <w:rsid w:val="00DB343F"/>
    <w:rsid w:val="00DB3446"/>
    <w:rsid w:val="00DB346C"/>
    <w:rsid w:val="00DB35ED"/>
    <w:rsid w:val="00DB35F9"/>
    <w:rsid w:val="00DB363D"/>
    <w:rsid w:val="00DB36D1"/>
    <w:rsid w:val="00DB3825"/>
    <w:rsid w:val="00DB3837"/>
    <w:rsid w:val="00DB3C5B"/>
    <w:rsid w:val="00DB3CCD"/>
    <w:rsid w:val="00DB3CEE"/>
    <w:rsid w:val="00DB3D3F"/>
    <w:rsid w:val="00DB3DB3"/>
    <w:rsid w:val="00DB3DF3"/>
    <w:rsid w:val="00DB3E71"/>
    <w:rsid w:val="00DB3EE2"/>
    <w:rsid w:val="00DB3F32"/>
    <w:rsid w:val="00DB4068"/>
    <w:rsid w:val="00DB4128"/>
    <w:rsid w:val="00DB4147"/>
    <w:rsid w:val="00DB41DF"/>
    <w:rsid w:val="00DB42C5"/>
    <w:rsid w:val="00DB42DF"/>
    <w:rsid w:val="00DB4376"/>
    <w:rsid w:val="00DB43B1"/>
    <w:rsid w:val="00DB440B"/>
    <w:rsid w:val="00DB442B"/>
    <w:rsid w:val="00DB4440"/>
    <w:rsid w:val="00DB44AF"/>
    <w:rsid w:val="00DB44C2"/>
    <w:rsid w:val="00DB44C3"/>
    <w:rsid w:val="00DB4527"/>
    <w:rsid w:val="00DB4534"/>
    <w:rsid w:val="00DB455B"/>
    <w:rsid w:val="00DB45DC"/>
    <w:rsid w:val="00DB465A"/>
    <w:rsid w:val="00DB4672"/>
    <w:rsid w:val="00DB4733"/>
    <w:rsid w:val="00DB4735"/>
    <w:rsid w:val="00DB4799"/>
    <w:rsid w:val="00DB4802"/>
    <w:rsid w:val="00DB4928"/>
    <w:rsid w:val="00DB493B"/>
    <w:rsid w:val="00DB4955"/>
    <w:rsid w:val="00DB49BD"/>
    <w:rsid w:val="00DB4A27"/>
    <w:rsid w:val="00DB4CA8"/>
    <w:rsid w:val="00DB4D14"/>
    <w:rsid w:val="00DB4D41"/>
    <w:rsid w:val="00DB4E59"/>
    <w:rsid w:val="00DB4E89"/>
    <w:rsid w:val="00DB4EA6"/>
    <w:rsid w:val="00DB4F60"/>
    <w:rsid w:val="00DB4F73"/>
    <w:rsid w:val="00DB4FB3"/>
    <w:rsid w:val="00DB5019"/>
    <w:rsid w:val="00DB5119"/>
    <w:rsid w:val="00DB5177"/>
    <w:rsid w:val="00DB51BB"/>
    <w:rsid w:val="00DB51F3"/>
    <w:rsid w:val="00DB535E"/>
    <w:rsid w:val="00DB5484"/>
    <w:rsid w:val="00DB55F1"/>
    <w:rsid w:val="00DB565B"/>
    <w:rsid w:val="00DB56BF"/>
    <w:rsid w:val="00DB56DB"/>
    <w:rsid w:val="00DB5756"/>
    <w:rsid w:val="00DB57B9"/>
    <w:rsid w:val="00DB5941"/>
    <w:rsid w:val="00DB59F9"/>
    <w:rsid w:val="00DB5A0C"/>
    <w:rsid w:val="00DB5A13"/>
    <w:rsid w:val="00DB5A38"/>
    <w:rsid w:val="00DB5ADC"/>
    <w:rsid w:val="00DB5C5E"/>
    <w:rsid w:val="00DB5D59"/>
    <w:rsid w:val="00DB5E15"/>
    <w:rsid w:val="00DB5E63"/>
    <w:rsid w:val="00DB5E6E"/>
    <w:rsid w:val="00DB5E77"/>
    <w:rsid w:val="00DB5EBC"/>
    <w:rsid w:val="00DB5F09"/>
    <w:rsid w:val="00DB5F4A"/>
    <w:rsid w:val="00DB5F7E"/>
    <w:rsid w:val="00DB5FD8"/>
    <w:rsid w:val="00DB6041"/>
    <w:rsid w:val="00DB6043"/>
    <w:rsid w:val="00DB6173"/>
    <w:rsid w:val="00DB61E9"/>
    <w:rsid w:val="00DB6290"/>
    <w:rsid w:val="00DB62D3"/>
    <w:rsid w:val="00DB630E"/>
    <w:rsid w:val="00DB63DD"/>
    <w:rsid w:val="00DB64E1"/>
    <w:rsid w:val="00DB6656"/>
    <w:rsid w:val="00DB6765"/>
    <w:rsid w:val="00DB68B5"/>
    <w:rsid w:val="00DB694E"/>
    <w:rsid w:val="00DB69DD"/>
    <w:rsid w:val="00DB6A2B"/>
    <w:rsid w:val="00DB6A78"/>
    <w:rsid w:val="00DB6B84"/>
    <w:rsid w:val="00DB6C30"/>
    <w:rsid w:val="00DB6C76"/>
    <w:rsid w:val="00DB6C86"/>
    <w:rsid w:val="00DB6D83"/>
    <w:rsid w:val="00DB6F93"/>
    <w:rsid w:val="00DB6FED"/>
    <w:rsid w:val="00DB6FFA"/>
    <w:rsid w:val="00DB6FFC"/>
    <w:rsid w:val="00DB7056"/>
    <w:rsid w:val="00DB70AD"/>
    <w:rsid w:val="00DB7108"/>
    <w:rsid w:val="00DB7118"/>
    <w:rsid w:val="00DB7196"/>
    <w:rsid w:val="00DB7289"/>
    <w:rsid w:val="00DB738B"/>
    <w:rsid w:val="00DB7473"/>
    <w:rsid w:val="00DB7503"/>
    <w:rsid w:val="00DB750C"/>
    <w:rsid w:val="00DB75A7"/>
    <w:rsid w:val="00DB7632"/>
    <w:rsid w:val="00DB767A"/>
    <w:rsid w:val="00DB7759"/>
    <w:rsid w:val="00DB7767"/>
    <w:rsid w:val="00DB779C"/>
    <w:rsid w:val="00DB7868"/>
    <w:rsid w:val="00DB78F3"/>
    <w:rsid w:val="00DB792F"/>
    <w:rsid w:val="00DB7991"/>
    <w:rsid w:val="00DB79F7"/>
    <w:rsid w:val="00DB7A50"/>
    <w:rsid w:val="00DB7B35"/>
    <w:rsid w:val="00DB7B5A"/>
    <w:rsid w:val="00DB7BE7"/>
    <w:rsid w:val="00DB7D50"/>
    <w:rsid w:val="00DB7D69"/>
    <w:rsid w:val="00DB7DBC"/>
    <w:rsid w:val="00DB7E18"/>
    <w:rsid w:val="00DB7EC7"/>
    <w:rsid w:val="00DB7FB7"/>
    <w:rsid w:val="00DB7FF7"/>
    <w:rsid w:val="00DC0028"/>
    <w:rsid w:val="00DC00D8"/>
    <w:rsid w:val="00DC01FF"/>
    <w:rsid w:val="00DC0326"/>
    <w:rsid w:val="00DC03BA"/>
    <w:rsid w:val="00DC03E1"/>
    <w:rsid w:val="00DC04B4"/>
    <w:rsid w:val="00DC0501"/>
    <w:rsid w:val="00DC0630"/>
    <w:rsid w:val="00DC0654"/>
    <w:rsid w:val="00DC06D8"/>
    <w:rsid w:val="00DC071F"/>
    <w:rsid w:val="00DC075C"/>
    <w:rsid w:val="00DC0762"/>
    <w:rsid w:val="00DC0781"/>
    <w:rsid w:val="00DC0783"/>
    <w:rsid w:val="00DC07D5"/>
    <w:rsid w:val="00DC08A2"/>
    <w:rsid w:val="00DC0A28"/>
    <w:rsid w:val="00DC0A88"/>
    <w:rsid w:val="00DC0B55"/>
    <w:rsid w:val="00DC0B80"/>
    <w:rsid w:val="00DC0B96"/>
    <w:rsid w:val="00DC0BD9"/>
    <w:rsid w:val="00DC0C90"/>
    <w:rsid w:val="00DC0CB0"/>
    <w:rsid w:val="00DC0D94"/>
    <w:rsid w:val="00DC0D96"/>
    <w:rsid w:val="00DC0E05"/>
    <w:rsid w:val="00DC0E06"/>
    <w:rsid w:val="00DC0EC9"/>
    <w:rsid w:val="00DC0EED"/>
    <w:rsid w:val="00DC0F36"/>
    <w:rsid w:val="00DC0F9B"/>
    <w:rsid w:val="00DC103E"/>
    <w:rsid w:val="00DC110B"/>
    <w:rsid w:val="00DC1113"/>
    <w:rsid w:val="00DC1148"/>
    <w:rsid w:val="00DC11FA"/>
    <w:rsid w:val="00DC1241"/>
    <w:rsid w:val="00DC1261"/>
    <w:rsid w:val="00DC128E"/>
    <w:rsid w:val="00DC1291"/>
    <w:rsid w:val="00DC12D3"/>
    <w:rsid w:val="00DC12FA"/>
    <w:rsid w:val="00DC1356"/>
    <w:rsid w:val="00DC13D8"/>
    <w:rsid w:val="00DC151E"/>
    <w:rsid w:val="00DC163F"/>
    <w:rsid w:val="00DC16F4"/>
    <w:rsid w:val="00DC1760"/>
    <w:rsid w:val="00DC177B"/>
    <w:rsid w:val="00DC183F"/>
    <w:rsid w:val="00DC184B"/>
    <w:rsid w:val="00DC1868"/>
    <w:rsid w:val="00DC1885"/>
    <w:rsid w:val="00DC1923"/>
    <w:rsid w:val="00DC1B3A"/>
    <w:rsid w:val="00DC1B4E"/>
    <w:rsid w:val="00DC1B64"/>
    <w:rsid w:val="00DC1C3A"/>
    <w:rsid w:val="00DC1CA3"/>
    <w:rsid w:val="00DC1CC7"/>
    <w:rsid w:val="00DC1FF1"/>
    <w:rsid w:val="00DC201F"/>
    <w:rsid w:val="00DC20C2"/>
    <w:rsid w:val="00DC21BF"/>
    <w:rsid w:val="00DC23A1"/>
    <w:rsid w:val="00DC23AD"/>
    <w:rsid w:val="00DC23D0"/>
    <w:rsid w:val="00DC23F3"/>
    <w:rsid w:val="00DC2425"/>
    <w:rsid w:val="00DC24A4"/>
    <w:rsid w:val="00DC24CE"/>
    <w:rsid w:val="00DC24E0"/>
    <w:rsid w:val="00DC24F4"/>
    <w:rsid w:val="00DC2578"/>
    <w:rsid w:val="00DC270B"/>
    <w:rsid w:val="00DC2887"/>
    <w:rsid w:val="00DC2951"/>
    <w:rsid w:val="00DC2956"/>
    <w:rsid w:val="00DC29D8"/>
    <w:rsid w:val="00DC2A7E"/>
    <w:rsid w:val="00DC2A8A"/>
    <w:rsid w:val="00DC2A8F"/>
    <w:rsid w:val="00DC2AF5"/>
    <w:rsid w:val="00DC2B44"/>
    <w:rsid w:val="00DC2B58"/>
    <w:rsid w:val="00DC2B7B"/>
    <w:rsid w:val="00DC2C24"/>
    <w:rsid w:val="00DC2C48"/>
    <w:rsid w:val="00DC2CD8"/>
    <w:rsid w:val="00DC2CDE"/>
    <w:rsid w:val="00DC2D0D"/>
    <w:rsid w:val="00DC2DE6"/>
    <w:rsid w:val="00DC2DF8"/>
    <w:rsid w:val="00DC2E03"/>
    <w:rsid w:val="00DC2E88"/>
    <w:rsid w:val="00DC2EA3"/>
    <w:rsid w:val="00DC2F3D"/>
    <w:rsid w:val="00DC3092"/>
    <w:rsid w:val="00DC3205"/>
    <w:rsid w:val="00DC3344"/>
    <w:rsid w:val="00DC334A"/>
    <w:rsid w:val="00DC3440"/>
    <w:rsid w:val="00DC353B"/>
    <w:rsid w:val="00DC35C3"/>
    <w:rsid w:val="00DC3624"/>
    <w:rsid w:val="00DC36B8"/>
    <w:rsid w:val="00DC36F7"/>
    <w:rsid w:val="00DC36F9"/>
    <w:rsid w:val="00DC37AE"/>
    <w:rsid w:val="00DC3991"/>
    <w:rsid w:val="00DC3A5B"/>
    <w:rsid w:val="00DC3CC0"/>
    <w:rsid w:val="00DC3CDF"/>
    <w:rsid w:val="00DC3CFB"/>
    <w:rsid w:val="00DC3DD2"/>
    <w:rsid w:val="00DC3DDD"/>
    <w:rsid w:val="00DC3E13"/>
    <w:rsid w:val="00DC3F2E"/>
    <w:rsid w:val="00DC405F"/>
    <w:rsid w:val="00DC40B5"/>
    <w:rsid w:val="00DC4106"/>
    <w:rsid w:val="00DC4144"/>
    <w:rsid w:val="00DC414A"/>
    <w:rsid w:val="00DC4160"/>
    <w:rsid w:val="00DC41CF"/>
    <w:rsid w:val="00DC4225"/>
    <w:rsid w:val="00DC4249"/>
    <w:rsid w:val="00DC42EE"/>
    <w:rsid w:val="00DC45A1"/>
    <w:rsid w:val="00DC45EE"/>
    <w:rsid w:val="00DC45F0"/>
    <w:rsid w:val="00DC4820"/>
    <w:rsid w:val="00DC4841"/>
    <w:rsid w:val="00DC4926"/>
    <w:rsid w:val="00DC492B"/>
    <w:rsid w:val="00DC4946"/>
    <w:rsid w:val="00DC4A96"/>
    <w:rsid w:val="00DC4B8B"/>
    <w:rsid w:val="00DC4C17"/>
    <w:rsid w:val="00DC4C66"/>
    <w:rsid w:val="00DC4C7D"/>
    <w:rsid w:val="00DC4CFD"/>
    <w:rsid w:val="00DC4DAB"/>
    <w:rsid w:val="00DC4DCD"/>
    <w:rsid w:val="00DC4E08"/>
    <w:rsid w:val="00DC4E40"/>
    <w:rsid w:val="00DC4F23"/>
    <w:rsid w:val="00DC4FC7"/>
    <w:rsid w:val="00DC4FC9"/>
    <w:rsid w:val="00DC4FDB"/>
    <w:rsid w:val="00DC5006"/>
    <w:rsid w:val="00DC50B2"/>
    <w:rsid w:val="00DC50CB"/>
    <w:rsid w:val="00DC517D"/>
    <w:rsid w:val="00DC53E3"/>
    <w:rsid w:val="00DC54E6"/>
    <w:rsid w:val="00DC5513"/>
    <w:rsid w:val="00DC551E"/>
    <w:rsid w:val="00DC5544"/>
    <w:rsid w:val="00DC5566"/>
    <w:rsid w:val="00DC56F2"/>
    <w:rsid w:val="00DC57B5"/>
    <w:rsid w:val="00DC5990"/>
    <w:rsid w:val="00DC59FB"/>
    <w:rsid w:val="00DC5AC8"/>
    <w:rsid w:val="00DC5B90"/>
    <w:rsid w:val="00DC5BC7"/>
    <w:rsid w:val="00DC5C4C"/>
    <w:rsid w:val="00DC5CCA"/>
    <w:rsid w:val="00DC5EE4"/>
    <w:rsid w:val="00DC6003"/>
    <w:rsid w:val="00DC6037"/>
    <w:rsid w:val="00DC603E"/>
    <w:rsid w:val="00DC60E3"/>
    <w:rsid w:val="00DC611A"/>
    <w:rsid w:val="00DC6165"/>
    <w:rsid w:val="00DC647F"/>
    <w:rsid w:val="00DC657B"/>
    <w:rsid w:val="00DC662D"/>
    <w:rsid w:val="00DC6637"/>
    <w:rsid w:val="00DC6671"/>
    <w:rsid w:val="00DC66D2"/>
    <w:rsid w:val="00DC6705"/>
    <w:rsid w:val="00DC676A"/>
    <w:rsid w:val="00DC69FE"/>
    <w:rsid w:val="00DC6A13"/>
    <w:rsid w:val="00DC6A4E"/>
    <w:rsid w:val="00DC6AD0"/>
    <w:rsid w:val="00DC6AE8"/>
    <w:rsid w:val="00DC6C6F"/>
    <w:rsid w:val="00DC6CA1"/>
    <w:rsid w:val="00DC6D6F"/>
    <w:rsid w:val="00DC6E51"/>
    <w:rsid w:val="00DC70FD"/>
    <w:rsid w:val="00DC7121"/>
    <w:rsid w:val="00DC7168"/>
    <w:rsid w:val="00DC7303"/>
    <w:rsid w:val="00DC7313"/>
    <w:rsid w:val="00DC7401"/>
    <w:rsid w:val="00DC764E"/>
    <w:rsid w:val="00DC7717"/>
    <w:rsid w:val="00DC7736"/>
    <w:rsid w:val="00DC77EA"/>
    <w:rsid w:val="00DC78FA"/>
    <w:rsid w:val="00DC7A2B"/>
    <w:rsid w:val="00DC7B1D"/>
    <w:rsid w:val="00DC7B7C"/>
    <w:rsid w:val="00DC7C8D"/>
    <w:rsid w:val="00DC7D0A"/>
    <w:rsid w:val="00DC7D25"/>
    <w:rsid w:val="00DC7D31"/>
    <w:rsid w:val="00DC7D9A"/>
    <w:rsid w:val="00DC7D9D"/>
    <w:rsid w:val="00DC7DAC"/>
    <w:rsid w:val="00DC7DF5"/>
    <w:rsid w:val="00DC7E60"/>
    <w:rsid w:val="00DC7EA9"/>
    <w:rsid w:val="00DC7EB5"/>
    <w:rsid w:val="00DC7F4C"/>
    <w:rsid w:val="00DCBCFA"/>
    <w:rsid w:val="00DCCCDC"/>
    <w:rsid w:val="00DD0084"/>
    <w:rsid w:val="00DD008D"/>
    <w:rsid w:val="00DD0117"/>
    <w:rsid w:val="00DD01F2"/>
    <w:rsid w:val="00DD0253"/>
    <w:rsid w:val="00DD025D"/>
    <w:rsid w:val="00DD027B"/>
    <w:rsid w:val="00DD027D"/>
    <w:rsid w:val="00DD02A1"/>
    <w:rsid w:val="00DD03E8"/>
    <w:rsid w:val="00DD0425"/>
    <w:rsid w:val="00DD0537"/>
    <w:rsid w:val="00DD05E0"/>
    <w:rsid w:val="00DD061F"/>
    <w:rsid w:val="00DD0654"/>
    <w:rsid w:val="00DD07BC"/>
    <w:rsid w:val="00DD07C6"/>
    <w:rsid w:val="00DD091C"/>
    <w:rsid w:val="00DD0931"/>
    <w:rsid w:val="00DD09D0"/>
    <w:rsid w:val="00DD0A01"/>
    <w:rsid w:val="00DD0B18"/>
    <w:rsid w:val="00DD0B86"/>
    <w:rsid w:val="00DD0B98"/>
    <w:rsid w:val="00DD0BFD"/>
    <w:rsid w:val="00DD0C56"/>
    <w:rsid w:val="00DD0D70"/>
    <w:rsid w:val="00DD0E37"/>
    <w:rsid w:val="00DD0ECD"/>
    <w:rsid w:val="00DD0EE0"/>
    <w:rsid w:val="00DD0EE2"/>
    <w:rsid w:val="00DD0F9A"/>
    <w:rsid w:val="00DD0FBA"/>
    <w:rsid w:val="00DD1019"/>
    <w:rsid w:val="00DD101A"/>
    <w:rsid w:val="00DD10B1"/>
    <w:rsid w:val="00DD10B5"/>
    <w:rsid w:val="00DD1155"/>
    <w:rsid w:val="00DD117B"/>
    <w:rsid w:val="00DD11D2"/>
    <w:rsid w:val="00DD1275"/>
    <w:rsid w:val="00DD12D7"/>
    <w:rsid w:val="00DD15A4"/>
    <w:rsid w:val="00DD15F3"/>
    <w:rsid w:val="00DD173C"/>
    <w:rsid w:val="00DD1754"/>
    <w:rsid w:val="00DD177B"/>
    <w:rsid w:val="00DD1879"/>
    <w:rsid w:val="00DD1999"/>
    <w:rsid w:val="00DD19AB"/>
    <w:rsid w:val="00DD1A4F"/>
    <w:rsid w:val="00DD1A9C"/>
    <w:rsid w:val="00DD1B2C"/>
    <w:rsid w:val="00DD1BEE"/>
    <w:rsid w:val="00DD1C7B"/>
    <w:rsid w:val="00DD1CB9"/>
    <w:rsid w:val="00DD1E3B"/>
    <w:rsid w:val="00DD1ED4"/>
    <w:rsid w:val="00DD1F60"/>
    <w:rsid w:val="00DD1FB1"/>
    <w:rsid w:val="00DD1FC9"/>
    <w:rsid w:val="00DD2021"/>
    <w:rsid w:val="00DD219C"/>
    <w:rsid w:val="00DD219D"/>
    <w:rsid w:val="00DD21AC"/>
    <w:rsid w:val="00DD2227"/>
    <w:rsid w:val="00DD2325"/>
    <w:rsid w:val="00DD2330"/>
    <w:rsid w:val="00DD23CF"/>
    <w:rsid w:val="00DD2568"/>
    <w:rsid w:val="00DD2590"/>
    <w:rsid w:val="00DD25FB"/>
    <w:rsid w:val="00DD2647"/>
    <w:rsid w:val="00DD26B2"/>
    <w:rsid w:val="00DD2782"/>
    <w:rsid w:val="00DD2845"/>
    <w:rsid w:val="00DD2873"/>
    <w:rsid w:val="00DD2900"/>
    <w:rsid w:val="00DD2906"/>
    <w:rsid w:val="00DD2922"/>
    <w:rsid w:val="00DD2A1F"/>
    <w:rsid w:val="00DD2A66"/>
    <w:rsid w:val="00DD2AF8"/>
    <w:rsid w:val="00DD2BCD"/>
    <w:rsid w:val="00DD2C08"/>
    <w:rsid w:val="00DD2C0C"/>
    <w:rsid w:val="00DD2CE9"/>
    <w:rsid w:val="00DD2D1B"/>
    <w:rsid w:val="00DD2DF5"/>
    <w:rsid w:val="00DD2DFC"/>
    <w:rsid w:val="00DD2E00"/>
    <w:rsid w:val="00DD2E0F"/>
    <w:rsid w:val="00DD2E39"/>
    <w:rsid w:val="00DD2EDE"/>
    <w:rsid w:val="00DD2F6E"/>
    <w:rsid w:val="00DD3189"/>
    <w:rsid w:val="00DD31AB"/>
    <w:rsid w:val="00DD3254"/>
    <w:rsid w:val="00DD32E1"/>
    <w:rsid w:val="00DD3319"/>
    <w:rsid w:val="00DD33A1"/>
    <w:rsid w:val="00DD33A8"/>
    <w:rsid w:val="00DD33D3"/>
    <w:rsid w:val="00DD33F0"/>
    <w:rsid w:val="00DD346C"/>
    <w:rsid w:val="00DD3572"/>
    <w:rsid w:val="00DD359B"/>
    <w:rsid w:val="00DD3602"/>
    <w:rsid w:val="00DD36E4"/>
    <w:rsid w:val="00DD3714"/>
    <w:rsid w:val="00DD3AC1"/>
    <w:rsid w:val="00DD3AFF"/>
    <w:rsid w:val="00DD3B10"/>
    <w:rsid w:val="00DD3BD9"/>
    <w:rsid w:val="00DD3D2E"/>
    <w:rsid w:val="00DD3D2F"/>
    <w:rsid w:val="00DD3DC0"/>
    <w:rsid w:val="00DD3E4E"/>
    <w:rsid w:val="00DD3E87"/>
    <w:rsid w:val="00DD3EF8"/>
    <w:rsid w:val="00DD3F2F"/>
    <w:rsid w:val="00DD40FB"/>
    <w:rsid w:val="00DD4153"/>
    <w:rsid w:val="00DD4231"/>
    <w:rsid w:val="00DD4277"/>
    <w:rsid w:val="00DD4301"/>
    <w:rsid w:val="00DD4366"/>
    <w:rsid w:val="00DD439A"/>
    <w:rsid w:val="00DD43D8"/>
    <w:rsid w:val="00DD43E9"/>
    <w:rsid w:val="00DD4433"/>
    <w:rsid w:val="00DD4439"/>
    <w:rsid w:val="00DD4447"/>
    <w:rsid w:val="00DD4464"/>
    <w:rsid w:val="00DD44D8"/>
    <w:rsid w:val="00DD44E9"/>
    <w:rsid w:val="00DD45A7"/>
    <w:rsid w:val="00DD45F1"/>
    <w:rsid w:val="00DD4693"/>
    <w:rsid w:val="00DD46AC"/>
    <w:rsid w:val="00DD46FE"/>
    <w:rsid w:val="00DD4700"/>
    <w:rsid w:val="00DD4962"/>
    <w:rsid w:val="00DD49E2"/>
    <w:rsid w:val="00DD49F4"/>
    <w:rsid w:val="00DD4A5F"/>
    <w:rsid w:val="00DD4D0A"/>
    <w:rsid w:val="00DD4D2E"/>
    <w:rsid w:val="00DD4E54"/>
    <w:rsid w:val="00DD503F"/>
    <w:rsid w:val="00DD505A"/>
    <w:rsid w:val="00DD505D"/>
    <w:rsid w:val="00DD507F"/>
    <w:rsid w:val="00DD50DF"/>
    <w:rsid w:val="00DD5260"/>
    <w:rsid w:val="00DD52CD"/>
    <w:rsid w:val="00DD5341"/>
    <w:rsid w:val="00DD5360"/>
    <w:rsid w:val="00DD53D0"/>
    <w:rsid w:val="00DD5409"/>
    <w:rsid w:val="00DD554B"/>
    <w:rsid w:val="00DD557B"/>
    <w:rsid w:val="00DD55A5"/>
    <w:rsid w:val="00DD55EF"/>
    <w:rsid w:val="00DD55FF"/>
    <w:rsid w:val="00DD56D0"/>
    <w:rsid w:val="00DD56DD"/>
    <w:rsid w:val="00DD5788"/>
    <w:rsid w:val="00DD57BD"/>
    <w:rsid w:val="00DD5802"/>
    <w:rsid w:val="00DD5827"/>
    <w:rsid w:val="00DD5850"/>
    <w:rsid w:val="00DD58A5"/>
    <w:rsid w:val="00DD59D8"/>
    <w:rsid w:val="00DD5A0D"/>
    <w:rsid w:val="00DD5A10"/>
    <w:rsid w:val="00DD5A6C"/>
    <w:rsid w:val="00DD5AA9"/>
    <w:rsid w:val="00DD5B0F"/>
    <w:rsid w:val="00DD5B6C"/>
    <w:rsid w:val="00DD5C1C"/>
    <w:rsid w:val="00DD5C50"/>
    <w:rsid w:val="00DD5D06"/>
    <w:rsid w:val="00DD5D16"/>
    <w:rsid w:val="00DD5D50"/>
    <w:rsid w:val="00DD5DC1"/>
    <w:rsid w:val="00DD6273"/>
    <w:rsid w:val="00DD629D"/>
    <w:rsid w:val="00DD6390"/>
    <w:rsid w:val="00DD6498"/>
    <w:rsid w:val="00DD64F7"/>
    <w:rsid w:val="00DD650C"/>
    <w:rsid w:val="00DD65D7"/>
    <w:rsid w:val="00DD6600"/>
    <w:rsid w:val="00DD666B"/>
    <w:rsid w:val="00DD66B5"/>
    <w:rsid w:val="00DD66F9"/>
    <w:rsid w:val="00DD6857"/>
    <w:rsid w:val="00DD6903"/>
    <w:rsid w:val="00DD6931"/>
    <w:rsid w:val="00DD696C"/>
    <w:rsid w:val="00DD6977"/>
    <w:rsid w:val="00DD69B0"/>
    <w:rsid w:val="00DD6A49"/>
    <w:rsid w:val="00DD6A74"/>
    <w:rsid w:val="00DD6AF8"/>
    <w:rsid w:val="00DD6C16"/>
    <w:rsid w:val="00DD6C7D"/>
    <w:rsid w:val="00DD6D07"/>
    <w:rsid w:val="00DD6DE9"/>
    <w:rsid w:val="00DD6E93"/>
    <w:rsid w:val="00DD6EE9"/>
    <w:rsid w:val="00DD6F0E"/>
    <w:rsid w:val="00DD6F96"/>
    <w:rsid w:val="00DD6FBA"/>
    <w:rsid w:val="00DD7037"/>
    <w:rsid w:val="00DD7113"/>
    <w:rsid w:val="00DD725D"/>
    <w:rsid w:val="00DD7373"/>
    <w:rsid w:val="00DD73F2"/>
    <w:rsid w:val="00DD747E"/>
    <w:rsid w:val="00DD76A9"/>
    <w:rsid w:val="00DD77AB"/>
    <w:rsid w:val="00DD77E5"/>
    <w:rsid w:val="00DD796D"/>
    <w:rsid w:val="00DD79D3"/>
    <w:rsid w:val="00DD7AB2"/>
    <w:rsid w:val="00DD7B4B"/>
    <w:rsid w:val="00DD7C0E"/>
    <w:rsid w:val="00DD7C20"/>
    <w:rsid w:val="00DD7CCB"/>
    <w:rsid w:val="00DD7E91"/>
    <w:rsid w:val="00DD7EC2"/>
    <w:rsid w:val="00DD7FAB"/>
    <w:rsid w:val="00DD7FAE"/>
    <w:rsid w:val="00DE0044"/>
    <w:rsid w:val="00DE0072"/>
    <w:rsid w:val="00DE01CA"/>
    <w:rsid w:val="00DE02B1"/>
    <w:rsid w:val="00DE030A"/>
    <w:rsid w:val="00DE038E"/>
    <w:rsid w:val="00DE0468"/>
    <w:rsid w:val="00DE04F2"/>
    <w:rsid w:val="00DE04F3"/>
    <w:rsid w:val="00DE051D"/>
    <w:rsid w:val="00DE0567"/>
    <w:rsid w:val="00DE05DD"/>
    <w:rsid w:val="00DE067D"/>
    <w:rsid w:val="00DE069C"/>
    <w:rsid w:val="00DE0792"/>
    <w:rsid w:val="00DE07EC"/>
    <w:rsid w:val="00DE0857"/>
    <w:rsid w:val="00DE08BB"/>
    <w:rsid w:val="00DE08DA"/>
    <w:rsid w:val="00DE094D"/>
    <w:rsid w:val="00DE097D"/>
    <w:rsid w:val="00DE0A04"/>
    <w:rsid w:val="00DE0A1D"/>
    <w:rsid w:val="00DE0A4F"/>
    <w:rsid w:val="00DE0A8D"/>
    <w:rsid w:val="00DE0E9D"/>
    <w:rsid w:val="00DE0EB8"/>
    <w:rsid w:val="00DE0F1E"/>
    <w:rsid w:val="00DE1047"/>
    <w:rsid w:val="00DE109A"/>
    <w:rsid w:val="00DE10A6"/>
    <w:rsid w:val="00DE1262"/>
    <w:rsid w:val="00DE127D"/>
    <w:rsid w:val="00DE12BF"/>
    <w:rsid w:val="00DE12F0"/>
    <w:rsid w:val="00DE1395"/>
    <w:rsid w:val="00DE13BD"/>
    <w:rsid w:val="00DE1465"/>
    <w:rsid w:val="00DE148D"/>
    <w:rsid w:val="00DE14D5"/>
    <w:rsid w:val="00DE150F"/>
    <w:rsid w:val="00DE185D"/>
    <w:rsid w:val="00DE1907"/>
    <w:rsid w:val="00DE19DF"/>
    <w:rsid w:val="00DE1A4C"/>
    <w:rsid w:val="00DE1A5C"/>
    <w:rsid w:val="00DE1A69"/>
    <w:rsid w:val="00DE1B4C"/>
    <w:rsid w:val="00DE1B7D"/>
    <w:rsid w:val="00DE1B8F"/>
    <w:rsid w:val="00DE1BC1"/>
    <w:rsid w:val="00DE1DF8"/>
    <w:rsid w:val="00DE1E4D"/>
    <w:rsid w:val="00DE1F18"/>
    <w:rsid w:val="00DE1F40"/>
    <w:rsid w:val="00DE1F5E"/>
    <w:rsid w:val="00DE1FBC"/>
    <w:rsid w:val="00DE1FEF"/>
    <w:rsid w:val="00DE20C4"/>
    <w:rsid w:val="00DE20E6"/>
    <w:rsid w:val="00DE22F2"/>
    <w:rsid w:val="00DE2470"/>
    <w:rsid w:val="00DE24C9"/>
    <w:rsid w:val="00DE24CB"/>
    <w:rsid w:val="00DE2528"/>
    <w:rsid w:val="00DE2678"/>
    <w:rsid w:val="00DE2729"/>
    <w:rsid w:val="00DE274F"/>
    <w:rsid w:val="00DE289A"/>
    <w:rsid w:val="00DE2A2B"/>
    <w:rsid w:val="00DE2B06"/>
    <w:rsid w:val="00DE2B15"/>
    <w:rsid w:val="00DE2C63"/>
    <w:rsid w:val="00DE2DA5"/>
    <w:rsid w:val="00DE2ECB"/>
    <w:rsid w:val="00DE2FF6"/>
    <w:rsid w:val="00DE3035"/>
    <w:rsid w:val="00DE321D"/>
    <w:rsid w:val="00DE3255"/>
    <w:rsid w:val="00DE32F5"/>
    <w:rsid w:val="00DE33D6"/>
    <w:rsid w:val="00DE33E7"/>
    <w:rsid w:val="00DE33EC"/>
    <w:rsid w:val="00DE3400"/>
    <w:rsid w:val="00DE3476"/>
    <w:rsid w:val="00DE34B5"/>
    <w:rsid w:val="00DE34DF"/>
    <w:rsid w:val="00DE3594"/>
    <w:rsid w:val="00DE35D5"/>
    <w:rsid w:val="00DE35D8"/>
    <w:rsid w:val="00DE3625"/>
    <w:rsid w:val="00DE3668"/>
    <w:rsid w:val="00DE36A9"/>
    <w:rsid w:val="00DE36CB"/>
    <w:rsid w:val="00DE36F1"/>
    <w:rsid w:val="00DE373B"/>
    <w:rsid w:val="00DE3753"/>
    <w:rsid w:val="00DE379F"/>
    <w:rsid w:val="00DE37C6"/>
    <w:rsid w:val="00DE3833"/>
    <w:rsid w:val="00DE39AB"/>
    <w:rsid w:val="00DE39CC"/>
    <w:rsid w:val="00DE3A93"/>
    <w:rsid w:val="00DE3B05"/>
    <w:rsid w:val="00DE3B1D"/>
    <w:rsid w:val="00DE3C25"/>
    <w:rsid w:val="00DE3C5A"/>
    <w:rsid w:val="00DE3C79"/>
    <w:rsid w:val="00DE3CCE"/>
    <w:rsid w:val="00DE3CEC"/>
    <w:rsid w:val="00DE3E45"/>
    <w:rsid w:val="00DE3E8F"/>
    <w:rsid w:val="00DE3E9B"/>
    <w:rsid w:val="00DE3FB1"/>
    <w:rsid w:val="00DE3FC8"/>
    <w:rsid w:val="00DE40C7"/>
    <w:rsid w:val="00DE40D5"/>
    <w:rsid w:val="00DE418B"/>
    <w:rsid w:val="00DE423A"/>
    <w:rsid w:val="00DE4405"/>
    <w:rsid w:val="00DE443D"/>
    <w:rsid w:val="00DE446A"/>
    <w:rsid w:val="00DE4540"/>
    <w:rsid w:val="00DE4574"/>
    <w:rsid w:val="00DE45B2"/>
    <w:rsid w:val="00DE4634"/>
    <w:rsid w:val="00DE4732"/>
    <w:rsid w:val="00DE47E9"/>
    <w:rsid w:val="00DE486C"/>
    <w:rsid w:val="00DE489C"/>
    <w:rsid w:val="00DE4A34"/>
    <w:rsid w:val="00DE4CF5"/>
    <w:rsid w:val="00DE4D19"/>
    <w:rsid w:val="00DE4E80"/>
    <w:rsid w:val="00DE4F5A"/>
    <w:rsid w:val="00DE4FF6"/>
    <w:rsid w:val="00DE5000"/>
    <w:rsid w:val="00DE504D"/>
    <w:rsid w:val="00DE504F"/>
    <w:rsid w:val="00DE50C5"/>
    <w:rsid w:val="00DE50CB"/>
    <w:rsid w:val="00DE50FF"/>
    <w:rsid w:val="00DE5130"/>
    <w:rsid w:val="00DE5159"/>
    <w:rsid w:val="00DE51B1"/>
    <w:rsid w:val="00DE526D"/>
    <w:rsid w:val="00DE5340"/>
    <w:rsid w:val="00DE53F6"/>
    <w:rsid w:val="00DE54A8"/>
    <w:rsid w:val="00DE5556"/>
    <w:rsid w:val="00DE56CD"/>
    <w:rsid w:val="00DE5779"/>
    <w:rsid w:val="00DE57A4"/>
    <w:rsid w:val="00DE5871"/>
    <w:rsid w:val="00DE587E"/>
    <w:rsid w:val="00DE58A0"/>
    <w:rsid w:val="00DE58A5"/>
    <w:rsid w:val="00DE58C0"/>
    <w:rsid w:val="00DE596D"/>
    <w:rsid w:val="00DE59EE"/>
    <w:rsid w:val="00DE5A55"/>
    <w:rsid w:val="00DE5B50"/>
    <w:rsid w:val="00DE5BB7"/>
    <w:rsid w:val="00DE5D1C"/>
    <w:rsid w:val="00DE5D9F"/>
    <w:rsid w:val="00DE5E62"/>
    <w:rsid w:val="00DE5E89"/>
    <w:rsid w:val="00DE5EB7"/>
    <w:rsid w:val="00DE6077"/>
    <w:rsid w:val="00DE6085"/>
    <w:rsid w:val="00DE60A4"/>
    <w:rsid w:val="00DE60B3"/>
    <w:rsid w:val="00DE60FB"/>
    <w:rsid w:val="00DE610A"/>
    <w:rsid w:val="00DE6117"/>
    <w:rsid w:val="00DE6155"/>
    <w:rsid w:val="00DE6334"/>
    <w:rsid w:val="00DE63E0"/>
    <w:rsid w:val="00DE646D"/>
    <w:rsid w:val="00DE6553"/>
    <w:rsid w:val="00DE6572"/>
    <w:rsid w:val="00DE65A4"/>
    <w:rsid w:val="00DE6661"/>
    <w:rsid w:val="00DE668B"/>
    <w:rsid w:val="00DE670A"/>
    <w:rsid w:val="00DE671B"/>
    <w:rsid w:val="00DE673F"/>
    <w:rsid w:val="00DE6760"/>
    <w:rsid w:val="00DE6850"/>
    <w:rsid w:val="00DE68C0"/>
    <w:rsid w:val="00DE68CE"/>
    <w:rsid w:val="00DE68EC"/>
    <w:rsid w:val="00DE690E"/>
    <w:rsid w:val="00DE693A"/>
    <w:rsid w:val="00DE6941"/>
    <w:rsid w:val="00DE6979"/>
    <w:rsid w:val="00DE6AB9"/>
    <w:rsid w:val="00DE6AD2"/>
    <w:rsid w:val="00DE6BE6"/>
    <w:rsid w:val="00DE6BEF"/>
    <w:rsid w:val="00DE6D09"/>
    <w:rsid w:val="00DE6D28"/>
    <w:rsid w:val="00DE6DA3"/>
    <w:rsid w:val="00DE6E2B"/>
    <w:rsid w:val="00DE6E3D"/>
    <w:rsid w:val="00DE6E61"/>
    <w:rsid w:val="00DE6E6D"/>
    <w:rsid w:val="00DE6EB7"/>
    <w:rsid w:val="00DE6F04"/>
    <w:rsid w:val="00DE6F13"/>
    <w:rsid w:val="00DE6F24"/>
    <w:rsid w:val="00DE7067"/>
    <w:rsid w:val="00DE709D"/>
    <w:rsid w:val="00DE7179"/>
    <w:rsid w:val="00DE724C"/>
    <w:rsid w:val="00DE727A"/>
    <w:rsid w:val="00DE7291"/>
    <w:rsid w:val="00DE747B"/>
    <w:rsid w:val="00DE757C"/>
    <w:rsid w:val="00DE76BD"/>
    <w:rsid w:val="00DE76F9"/>
    <w:rsid w:val="00DE78C8"/>
    <w:rsid w:val="00DE79B4"/>
    <w:rsid w:val="00DE7B51"/>
    <w:rsid w:val="00DE7B94"/>
    <w:rsid w:val="00DE7C61"/>
    <w:rsid w:val="00DE7C98"/>
    <w:rsid w:val="00DE7CFB"/>
    <w:rsid w:val="00DE7D1E"/>
    <w:rsid w:val="00DE7D7B"/>
    <w:rsid w:val="00DE7DAC"/>
    <w:rsid w:val="00DE7DEE"/>
    <w:rsid w:val="00DE7FBD"/>
    <w:rsid w:val="00DE7FCD"/>
    <w:rsid w:val="00DE8FC7"/>
    <w:rsid w:val="00DF00D1"/>
    <w:rsid w:val="00DF00EA"/>
    <w:rsid w:val="00DF015F"/>
    <w:rsid w:val="00DF0161"/>
    <w:rsid w:val="00DF018E"/>
    <w:rsid w:val="00DF01AC"/>
    <w:rsid w:val="00DF01C6"/>
    <w:rsid w:val="00DF025C"/>
    <w:rsid w:val="00DF03A6"/>
    <w:rsid w:val="00DF03CF"/>
    <w:rsid w:val="00DF0428"/>
    <w:rsid w:val="00DF059D"/>
    <w:rsid w:val="00DF0643"/>
    <w:rsid w:val="00DF06B5"/>
    <w:rsid w:val="00DF06F6"/>
    <w:rsid w:val="00DF0803"/>
    <w:rsid w:val="00DF0872"/>
    <w:rsid w:val="00DF08EE"/>
    <w:rsid w:val="00DF09A8"/>
    <w:rsid w:val="00DF09EB"/>
    <w:rsid w:val="00DF0A05"/>
    <w:rsid w:val="00DF0AC5"/>
    <w:rsid w:val="00DF0C3E"/>
    <w:rsid w:val="00DF0D18"/>
    <w:rsid w:val="00DF0D35"/>
    <w:rsid w:val="00DF0E26"/>
    <w:rsid w:val="00DF0F07"/>
    <w:rsid w:val="00DF0F5B"/>
    <w:rsid w:val="00DF0FE5"/>
    <w:rsid w:val="00DF106C"/>
    <w:rsid w:val="00DF10C6"/>
    <w:rsid w:val="00DF11B8"/>
    <w:rsid w:val="00DF1292"/>
    <w:rsid w:val="00DF12DE"/>
    <w:rsid w:val="00DF12EA"/>
    <w:rsid w:val="00DF1386"/>
    <w:rsid w:val="00DF13DA"/>
    <w:rsid w:val="00DF1440"/>
    <w:rsid w:val="00DF144B"/>
    <w:rsid w:val="00DF14CA"/>
    <w:rsid w:val="00DF1557"/>
    <w:rsid w:val="00DF1699"/>
    <w:rsid w:val="00DF16C9"/>
    <w:rsid w:val="00DF16DC"/>
    <w:rsid w:val="00DF17AA"/>
    <w:rsid w:val="00DF17F8"/>
    <w:rsid w:val="00DF18BE"/>
    <w:rsid w:val="00DF1AFE"/>
    <w:rsid w:val="00DF1C7D"/>
    <w:rsid w:val="00DF1D65"/>
    <w:rsid w:val="00DF1E13"/>
    <w:rsid w:val="00DF1E42"/>
    <w:rsid w:val="00DF1EBD"/>
    <w:rsid w:val="00DF1F1D"/>
    <w:rsid w:val="00DF1F6C"/>
    <w:rsid w:val="00DF1FBE"/>
    <w:rsid w:val="00DF2015"/>
    <w:rsid w:val="00DF2031"/>
    <w:rsid w:val="00DF203F"/>
    <w:rsid w:val="00DF2041"/>
    <w:rsid w:val="00DF2052"/>
    <w:rsid w:val="00DF241B"/>
    <w:rsid w:val="00DF2549"/>
    <w:rsid w:val="00DF254C"/>
    <w:rsid w:val="00DF25E8"/>
    <w:rsid w:val="00DF2661"/>
    <w:rsid w:val="00DF271A"/>
    <w:rsid w:val="00DF272C"/>
    <w:rsid w:val="00DF2783"/>
    <w:rsid w:val="00DF27F8"/>
    <w:rsid w:val="00DF2913"/>
    <w:rsid w:val="00DF29CE"/>
    <w:rsid w:val="00DF29F2"/>
    <w:rsid w:val="00DF2B15"/>
    <w:rsid w:val="00DF2B42"/>
    <w:rsid w:val="00DF2B7D"/>
    <w:rsid w:val="00DF2B8C"/>
    <w:rsid w:val="00DF2C77"/>
    <w:rsid w:val="00DF2CA3"/>
    <w:rsid w:val="00DF2CA4"/>
    <w:rsid w:val="00DF2D71"/>
    <w:rsid w:val="00DF2DC8"/>
    <w:rsid w:val="00DF2DD1"/>
    <w:rsid w:val="00DF2ED0"/>
    <w:rsid w:val="00DF30BF"/>
    <w:rsid w:val="00DF32D6"/>
    <w:rsid w:val="00DF32F9"/>
    <w:rsid w:val="00DF335C"/>
    <w:rsid w:val="00DF33F9"/>
    <w:rsid w:val="00DF34EF"/>
    <w:rsid w:val="00DF363E"/>
    <w:rsid w:val="00DF369D"/>
    <w:rsid w:val="00DF3782"/>
    <w:rsid w:val="00DF37D4"/>
    <w:rsid w:val="00DF3809"/>
    <w:rsid w:val="00DF3890"/>
    <w:rsid w:val="00DF38AA"/>
    <w:rsid w:val="00DF38D8"/>
    <w:rsid w:val="00DF393F"/>
    <w:rsid w:val="00DF396E"/>
    <w:rsid w:val="00DF3BDB"/>
    <w:rsid w:val="00DF3C41"/>
    <w:rsid w:val="00DF3D9F"/>
    <w:rsid w:val="00DF3DE1"/>
    <w:rsid w:val="00DF3E0A"/>
    <w:rsid w:val="00DF4015"/>
    <w:rsid w:val="00DF417D"/>
    <w:rsid w:val="00DF41BB"/>
    <w:rsid w:val="00DF4214"/>
    <w:rsid w:val="00DF4294"/>
    <w:rsid w:val="00DF42A1"/>
    <w:rsid w:val="00DF446C"/>
    <w:rsid w:val="00DF47C8"/>
    <w:rsid w:val="00DF4868"/>
    <w:rsid w:val="00DF4917"/>
    <w:rsid w:val="00DF497B"/>
    <w:rsid w:val="00DF49EA"/>
    <w:rsid w:val="00DF4A37"/>
    <w:rsid w:val="00DF4A48"/>
    <w:rsid w:val="00DF4A63"/>
    <w:rsid w:val="00DF4A71"/>
    <w:rsid w:val="00DF4E86"/>
    <w:rsid w:val="00DF4EEF"/>
    <w:rsid w:val="00DF4F78"/>
    <w:rsid w:val="00DF4F7F"/>
    <w:rsid w:val="00DF5108"/>
    <w:rsid w:val="00DF528C"/>
    <w:rsid w:val="00DF5430"/>
    <w:rsid w:val="00DF554A"/>
    <w:rsid w:val="00DF558C"/>
    <w:rsid w:val="00DF574D"/>
    <w:rsid w:val="00DF5765"/>
    <w:rsid w:val="00DF5873"/>
    <w:rsid w:val="00DF5881"/>
    <w:rsid w:val="00DF5939"/>
    <w:rsid w:val="00DF5998"/>
    <w:rsid w:val="00DF59DF"/>
    <w:rsid w:val="00DF5A71"/>
    <w:rsid w:val="00DF5A94"/>
    <w:rsid w:val="00DF5ABA"/>
    <w:rsid w:val="00DF5AC9"/>
    <w:rsid w:val="00DF5AF6"/>
    <w:rsid w:val="00DF5B6D"/>
    <w:rsid w:val="00DF5C60"/>
    <w:rsid w:val="00DF5C85"/>
    <w:rsid w:val="00DF5CD6"/>
    <w:rsid w:val="00DF5D19"/>
    <w:rsid w:val="00DF5D71"/>
    <w:rsid w:val="00DF5E47"/>
    <w:rsid w:val="00DF5E74"/>
    <w:rsid w:val="00DF601D"/>
    <w:rsid w:val="00DF6182"/>
    <w:rsid w:val="00DF61EE"/>
    <w:rsid w:val="00DF61FD"/>
    <w:rsid w:val="00DF622F"/>
    <w:rsid w:val="00DF634A"/>
    <w:rsid w:val="00DF63A5"/>
    <w:rsid w:val="00DF63E2"/>
    <w:rsid w:val="00DF64DD"/>
    <w:rsid w:val="00DF6501"/>
    <w:rsid w:val="00DF6505"/>
    <w:rsid w:val="00DF652C"/>
    <w:rsid w:val="00DF6568"/>
    <w:rsid w:val="00DF6572"/>
    <w:rsid w:val="00DF65D1"/>
    <w:rsid w:val="00DF673A"/>
    <w:rsid w:val="00DF685B"/>
    <w:rsid w:val="00DF6875"/>
    <w:rsid w:val="00DF68B3"/>
    <w:rsid w:val="00DF690F"/>
    <w:rsid w:val="00DF6938"/>
    <w:rsid w:val="00DF6952"/>
    <w:rsid w:val="00DF6C5A"/>
    <w:rsid w:val="00DF6C60"/>
    <w:rsid w:val="00DF6D16"/>
    <w:rsid w:val="00DF6E83"/>
    <w:rsid w:val="00DF6EB1"/>
    <w:rsid w:val="00DF6EE8"/>
    <w:rsid w:val="00DF6F3C"/>
    <w:rsid w:val="00DF6FB7"/>
    <w:rsid w:val="00DF705D"/>
    <w:rsid w:val="00DF706B"/>
    <w:rsid w:val="00DF70F2"/>
    <w:rsid w:val="00DF7192"/>
    <w:rsid w:val="00DF71B8"/>
    <w:rsid w:val="00DF726B"/>
    <w:rsid w:val="00DF731C"/>
    <w:rsid w:val="00DF734C"/>
    <w:rsid w:val="00DF7356"/>
    <w:rsid w:val="00DF7363"/>
    <w:rsid w:val="00DF736F"/>
    <w:rsid w:val="00DF74AB"/>
    <w:rsid w:val="00DF74F1"/>
    <w:rsid w:val="00DF75FE"/>
    <w:rsid w:val="00DF7609"/>
    <w:rsid w:val="00DF7653"/>
    <w:rsid w:val="00DF766D"/>
    <w:rsid w:val="00DF76E1"/>
    <w:rsid w:val="00DF7AD6"/>
    <w:rsid w:val="00DF7B50"/>
    <w:rsid w:val="00DF7B89"/>
    <w:rsid w:val="00DF7C11"/>
    <w:rsid w:val="00DF7C13"/>
    <w:rsid w:val="00DF7C79"/>
    <w:rsid w:val="00DF7CD2"/>
    <w:rsid w:val="00DF7CDD"/>
    <w:rsid w:val="00DF7E52"/>
    <w:rsid w:val="00DF7E97"/>
    <w:rsid w:val="00DF7EA4"/>
    <w:rsid w:val="00DF7F17"/>
    <w:rsid w:val="00DF7FC5"/>
    <w:rsid w:val="00DF7FD4"/>
    <w:rsid w:val="00DF7FE5"/>
    <w:rsid w:val="00E00034"/>
    <w:rsid w:val="00E00055"/>
    <w:rsid w:val="00E00073"/>
    <w:rsid w:val="00E00110"/>
    <w:rsid w:val="00E00143"/>
    <w:rsid w:val="00E001CA"/>
    <w:rsid w:val="00E00217"/>
    <w:rsid w:val="00E00285"/>
    <w:rsid w:val="00E00322"/>
    <w:rsid w:val="00E003D2"/>
    <w:rsid w:val="00E003DC"/>
    <w:rsid w:val="00E003F9"/>
    <w:rsid w:val="00E00406"/>
    <w:rsid w:val="00E00425"/>
    <w:rsid w:val="00E00621"/>
    <w:rsid w:val="00E0064A"/>
    <w:rsid w:val="00E006AE"/>
    <w:rsid w:val="00E007BE"/>
    <w:rsid w:val="00E007DC"/>
    <w:rsid w:val="00E00803"/>
    <w:rsid w:val="00E0097D"/>
    <w:rsid w:val="00E00A47"/>
    <w:rsid w:val="00E00A52"/>
    <w:rsid w:val="00E00AB5"/>
    <w:rsid w:val="00E00BFD"/>
    <w:rsid w:val="00E00C1B"/>
    <w:rsid w:val="00E00CAF"/>
    <w:rsid w:val="00E00D11"/>
    <w:rsid w:val="00E00D35"/>
    <w:rsid w:val="00E00D5C"/>
    <w:rsid w:val="00E00E19"/>
    <w:rsid w:val="00E00E3E"/>
    <w:rsid w:val="00E00E9D"/>
    <w:rsid w:val="00E00F0D"/>
    <w:rsid w:val="00E00F34"/>
    <w:rsid w:val="00E00F7B"/>
    <w:rsid w:val="00E01049"/>
    <w:rsid w:val="00E01067"/>
    <w:rsid w:val="00E01250"/>
    <w:rsid w:val="00E012A4"/>
    <w:rsid w:val="00E012AA"/>
    <w:rsid w:val="00E012C2"/>
    <w:rsid w:val="00E01341"/>
    <w:rsid w:val="00E01572"/>
    <w:rsid w:val="00E015F3"/>
    <w:rsid w:val="00E01601"/>
    <w:rsid w:val="00E01665"/>
    <w:rsid w:val="00E01729"/>
    <w:rsid w:val="00E0178F"/>
    <w:rsid w:val="00E017FE"/>
    <w:rsid w:val="00E01859"/>
    <w:rsid w:val="00E01863"/>
    <w:rsid w:val="00E0195C"/>
    <w:rsid w:val="00E019CE"/>
    <w:rsid w:val="00E01A0E"/>
    <w:rsid w:val="00E01A16"/>
    <w:rsid w:val="00E01B11"/>
    <w:rsid w:val="00E01B22"/>
    <w:rsid w:val="00E01B52"/>
    <w:rsid w:val="00E01BB5"/>
    <w:rsid w:val="00E01C49"/>
    <w:rsid w:val="00E01DBD"/>
    <w:rsid w:val="00E01E22"/>
    <w:rsid w:val="00E01F1C"/>
    <w:rsid w:val="00E01F1E"/>
    <w:rsid w:val="00E01F3C"/>
    <w:rsid w:val="00E01F73"/>
    <w:rsid w:val="00E01F95"/>
    <w:rsid w:val="00E02061"/>
    <w:rsid w:val="00E02114"/>
    <w:rsid w:val="00E02196"/>
    <w:rsid w:val="00E021DA"/>
    <w:rsid w:val="00E021E9"/>
    <w:rsid w:val="00E022AA"/>
    <w:rsid w:val="00E023B4"/>
    <w:rsid w:val="00E023E3"/>
    <w:rsid w:val="00E0245D"/>
    <w:rsid w:val="00E02487"/>
    <w:rsid w:val="00E0248E"/>
    <w:rsid w:val="00E02504"/>
    <w:rsid w:val="00E0251F"/>
    <w:rsid w:val="00E02561"/>
    <w:rsid w:val="00E0266A"/>
    <w:rsid w:val="00E026E0"/>
    <w:rsid w:val="00E0273F"/>
    <w:rsid w:val="00E02781"/>
    <w:rsid w:val="00E027F2"/>
    <w:rsid w:val="00E0283A"/>
    <w:rsid w:val="00E02853"/>
    <w:rsid w:val="00E02855"/>
    <w:rsid w:val="00E02862"/>
    <w:rsid w:val="00E02A09"/>
    <w:rsid w:val="00E02AB0"/>
    <w:rsid w:val="00E02CBA"/>
    <w:rsid w:val="00E02CE9"/>
    <w:rsid w:val="00E02CF2"/>
    <w:rsid w:val="00E02D7F"/>
    <w:rsid w:val="00E02DBD"/>
    <w:rsid w:val="00E02E89"/>
    <w:rsid w:val="00E03021"/>
    <w:rsid w:val="00E03148"/>
    <w:rsid w:val="00E031E3"/>
    <w:rsid w:val="00E0324F"/>
    <w:rsid w:val="00E0345F"/>
    <w:rsid w:val="00E0350A"/>
    <w:rsid w:val="00E0365C"/>
    <w:rsid w:val="00E036EF"/>
    <w:rsid w:val="00E03774"/>
    <w:rsid w:val="00E037B1"/>
    <w:rsid w:val="00E037B8"/>
    <w:rsid w:val="00E038BE"/>
    <w:rsid w:val="00E03956"/>
    <w:rsid w:val="00E039AE"/>
    <w:rsid w:val="00E039DE"/>
    <w:rsid w:val="00E03ACA"/>
    <w:rsid w:val="00E03AEE"/>
    <w:rsid w:val="00E03B17"/>
    <w:rsid w:val="00E03BF6"/>
    <w:rsid w:val="00E03C7C"/>
    <w:rsid w:val="00E03D96"/>
    <w:rsid w:val="00E03DAC"/>
    <w:rsid w:val="00E03DC2"/>
    <w:rsid w:val="00E03EDB"/>
    <w:rsid w:val="00E03F3C"/>
    <w:rsid w:val="00E03F6A"/>
    <w:rsid w:val="00E03FD5"/>
    <w:rsid w:val="00E03FE5"/>
    <w:rsid w:val="00E04060"/>
    <w:rsid w:val="00E04079"/>
    <w:rsid w:val="00E040A2"/>
    <w:rsid w:val="00E040E5"/>
    <w:rsid w:val="00E0424C"/>
    <w:rsid w:val="00E04298"/>
    <w:rsid w:val="00E042C7"/>
    <w:rsid w:val="00E042DC"/>
    <w:rsid w:val="00E0431A"/>
    <w:rsid w:val="00E043F8"/>
    <w:rsid w:val="00E045AA"/>
    <w:rsid w:val="00E04643"/>
    <w:rsid w:val="00E047A7"/>
    <w:rsid w:val="00E0480B"/>
    <w:rsid w:val="00E04864"/>
    <w:rsid w:val="00E0488F"/>
    <w:rsid w:val="00E048D7"/>
    <w:rsid w:val="00E04952"/>
    <w:rsid w:val="00E04954"/>
    <w:rsid w:val="00E0497B"/>
    <w:rsid w:val="00E04B15"/>
    <w:rsid w:val="00E04CBD"/>
    <w:rsid w:val="00E04CD2"/>
    <w:rsid w:val="00E04D66"/>
    <w:rsid w:val="00E04DBC"/>
    <w:rsid w:val="00E04E1D"/>
    <w:rsid w:val="00E04E6E"/>
    <w:rsid w:val="00E04EA6"/>
    <w:rsid w:val="00E051EA"/>
    <w:rsid w:val="00E05260"/>
    <w:rsid w:val="00E05280"/>
    <w:rsid w:val="00E05288"/>
    <w:rsid w:val="00E05382"/>
    <w:rsid w:val="00E05393"/>
    <w:rsid w:val="00E053A9"/>
    <w:rsid w:val="00E054BA"/>
    <w:rsid w:val="00E054CD"/>
    <w:rsid w:val="00E0551A"/>
    <w:rsid w:val="00E05549"/>
    <w:rsid w:val="00E05620"/>
    <w:rsid w:val="00E0566C"/>
    <w:rsid w:val="00E056BE"/>
    <w:rsid w:val="00E05855"/>
    <w:rsid w:val="00E059D1"/>
    <w:rsid w:val="00E05AA9"/>
    <w:rsid w:val="00E05AC6"/>
    <w:rsid w:val="00E05ADD"/>
    <w:rsid w:val="00E05B61"/>
    <w:rsid w:val="00E05BF8"/>
    <w:rsid w:val="00E05C39"/>
    <w:rsid w:val="00E05C78"/>
    <w:rsid w:val="00E05CA8"/>
    <w:rsid w:val="00E05CFF"/>
    <w:rsid w:val="00E05EED"/>
    <w:rsid w:val="00E05F04"/>
    <w:rsid w:val="00E0614F"/>
    <w:rsid w:val="00E061A4"/>
    <w:rsid w:val="00E061E4"/>
    <w:rsid w:val="00E06235"/>
    <w:rsid w:val="00E06274"/>
    <w:rsid w:val="00E062A2"/>
    <w:rsid w:val="00E062D9"/>
    <w:rsid w:val="00E06434"/>
    <w:rsid w:val="00E06598"/>
    <w:rsid w:val="00E065D2"/>
    <w:rsid w:val="00E065DB"/>
    <w:rsid w:val="00E0668C"/>
    <w:rsid w:val="00E06829"/>
    <w:rsid w:val="00E06832"/>
    <w:rsid w:val="00E06836"/>
    <w:rsid w:val="00E068EA"/>
    <w:rsid w:val="00E0694A"/>
    <w:rsid w:val="00E06967"/>
    <w:rsid w:val="00E06972"/>
    <w:rsid w:val="00E06A4F"/>
    <w:rsid w:val="00E06AA4"/>
    <w:rsid w:val="00E06AE4"/>
    <w:rsid w:val="00E06AF2"/>
    <w:rsid w:val="00E06C53"/>
    <w:rsid w:val="00E06C8E"/>
    <w:rsid w:val="00E06CF2"/>
    <w:rsid w:val="00E06D54"/>
    <w:rsid w:val="00E06E3E"/>
    <w:rsid w:val="00E06E56"/>
    <w:rsid w:val="00E06E6D"/>
    <w:rsid w:val="00E06EF5"/>
    <w:rsid w:val="00E06FB4"/>
    <w:rsid w:val="00E07082"/>
    <w:rsid w:val="00E0711E"/>
    <w:rsid w:val="00E0729F"/>
    <w:rsid w:val="00E07327"/>
    <w:rsid w:val="00E073C1"/>
    <w:rsid w:val="00E0749C"/>
    <w:rsid w:val="00E07598"/>
    <w:rsid w:val="00E075E4"/>
    <w:rsid w:val="00E07618"/>
    <w:rsid w:val="00E076C3"/>
    <w:rsid w:val="00E07705"/>
    <w:rsid w:val="00E0777E"/>
    <w:rsid w:val="00E07ACC"/>
    <w:rsid w:val="00E07B87"/>
    <w:rsid w:val="00E07C2C"/>
    <w:rsid w:val="00E07C2E"/>
    <w:rsid w:val="00E07C46"/>
    <w:rsid w:val="00E07C8C"/>
    <w:rsid w:val="00E07CA1"/>
    <w:rsid w:val="00E07CB1"/>
    <w:rsid w:val="00E07CB3"/>
    <w:rsid w:val="00E07CC9"/>
    <w:rsid w:val="00E10010"/>
    <w:rsid w:val="00E1003A"/>
    <w:rsid w:val="00E1007F"/>
    <w:rsid w:val="00E101D1"/>
    <w:rsid w:val="00E10373"/>
    <w:rsid w:val="00E1039D"/>
    <w:rsid w:val="00E103BD"/>
    <w:rsid w:val="00E103DC"/>
    <w:rsid w:val="00E10408"/>
    <w:rsid w:val="00E1046B"/>
    <w:rsid w:val="00E10519"/>
    <w:rsid w:val="00E1059D"/>
    <w:rsid w:val="00E105DA"/>
    <w:rsid w:val="00E10600"/>
    <w:rsid w:val="00E106C0"/>
    <w:rsid w:val="00E10718"/>
    <w:rsid w:val="00E10768"/>
    <w:rsid w:val="00E1076D"/>
    <w:rsid w:val="00E107BC"/>
    <w:rsid w:val="00E107E4"/>
    <w:rsid w:val="00E10827"/>
    <w:rsid w:val="00E1086A"/>
    <w:rsid w:val="00E10871"/>
    <w:rsid w:val="00E10875"/>
    <w:rsid w:val="00E10963"/>
    <w:rsid w:val="00E109D9"/>
    <w:rsid w:val="00E109E0"/>
    <w:rsid w:val="00E10A77"/>
    <w:rsid w:val="00E10AAA"/>
    <w:rsid w:val="00E10B36"/>
    <w:rsid w:val="00E10B98"/>
    <w:rsid w:val="00E10BCD"/>
    <w:rsid w:val="00E10C11"/>
    <w:rsid w:val="00E10C16"/>
    <w:rsid w:val="00E10C21"/>
    <w:rsid w:val="00E10C56"/>
    <w:rsid w:val="00E10C84"/>
    <w:rsid w:val="00E10D84"/>
    <w:rsid w:val="00E10D8D"/>
    <w:rsid w:val="00E10E2C"/>
    <w:rsid w:val="00E10EE3"/>
    <w:rsid w:val="00E10F05"/>
    <w:rsid w:val="00E10F2A"/>
    <w:rsid w:val="00E10FBE"/>
    <w:rsid w:val="00E11033"/>
    <w:rsid w:val="00E110DD"/>
    <w:rsid w:val="00E11120"/>
    <w:rsid w:val="00E11160"/>
    <w:rsid w:val="00E111D7"/>
    <w:rsid w:val="00E11215"/>
    <w:rsid w:val="00E1131E"/>
    <w:rsid w:val="00E113E3"/>
    <w:rsid w:val="00E1144A"/>
    <w:rsid w:val="00E114C0"/>
    <w:rsid w:val="00E114E4"/>
    <w:rsid w:val="00E11609"/>
    <w:rsid w:val="00E1161B"/>
    <w:rsid w:val="00E116C7"/>
    <w:rsid w:val="00E116E0"/>
    <w:rsid w:val="00E1181A"/>
    <w:rsid w:val="00E11977"/>
    <w:rsid w:val="00E11994"/>
    <w:rsid w:val="00E11A50"/>
    <w:rsid w:val="00E11A94"/>
    <w:rsid w:val="00E11AFD"/>
    <w:rsid w:val="00E11B76"/>
    <w:rsid w:val="00E11C39"/>
    <w:rsid w:val="00E11D07"/>
    <w:rsid w:val="00E11E55"/>
    <w:rsid w:val="00E11EE7"/>
    <w:rsid w:val="00E11F26"/>
    <w:rsid w:val="00E11F48"/>
    <w:rsid w:val="00E1210A"/>
    <w:rsid w:val="00E1214F"/>
    <w:rsid w:val="00E12274"/>
    <w:rsid w:val="00E12284"/>
    <w:rsid w:val="00E12319"/>
    <w:rsid w:val="00E1240F"/>
    <w:rsid w:val="00E12453"/>
    <w:rsid w:val="00E12571"/>
    <w:rsid w:val="00E1257F"/>
    <w:rsid w:val="00E1261F"/>
    <w:rsid w:val="00E12622"/>
    <w:rsid w:val="00E12682"/>
    <w:rsid w:val="00E12691"/>
    <w:rsid w:val="00E12721"/>
    <w:rsid w:val="00E1273B"/>
    <w:rsid w:val="00E127D2"/>
    <w:rsid w:val="00E127D4"/>
    <w:rsid w:val="00E127F6"/>
    <w:rsid w:val="00E12842"/>
    <w:rsid w:val="00E128E4"/>
    <w:rsid w:val="00E1296B"/>
    <w:rsid w:val="00E129A0"/>
    <w:rsid w:val="00E12A9B"/>
    <w:rsid w:val="00E12DBD"/>
    <w:rsid w:val="00E13067"/>
    <w:rsid w:val="00E1318F"/>
    <w:rsid w:val="00E131DB"/>
    <w:rsid w:val="00E13318"/>
    <w:rsid w:val="00E133D2"/>
    <w:rsid w:val="00E133E5"/>
    <w:rsid w:val="00E133F7"/>
    <w:rsid w:val="00E134B6"/>
    <w:rsid w:val="00E13585"/>
    <w:rsid w:val="00E135DE"/>
    <w:rsid w:val="00E1367F"/>
    <w:rsid w:val="00E1376D"/>
    <w:rsid w:val="00E1378D"/>
    <w:rsid w:val="00E137DB"/>
    <w:rsid w:val="00E13800"/>
    <w:rsid w:val="00E13898"/>
    <w:rsid w:val="00E138BE"/>
    <w:rsid w:val="00E138EE"/>
    <w:rsid w:val="00E1390E"/>
    <w:rsid w:val="00E1395C"/>
    <w:rsid w:val="00E13B07"/>
    <w:rsid w:val="00E13B08"/>
    <w:rsid w:val="00E13CC1"/>
    <w:rsid w:val="00E13CE1"/>
    <w:rsid w:val="00E13CED"/>
    <w:rsid w:val="00E13DD8"/>
    <w:rsid w:val="00E13DFF"/>
    <w:rsid w:val="00E13F00"/>
    <w:rsid w:val="00E1404E"/>
    <w:rsid w:val="00E1408D"/>
    <w:rsid w:val="00E14126"/>
    <w:rsid w:val="00E141BF"/>
    <w:rsid w:val="00E14217"/>
    <w:rsid w:val="00E1425C"/>
    <w:rsid w:val="00E142D9"/>
    <w:rsid w:val="00E142F3"/>
    <w:rsid w:val="00E14310"/>
    <w:rsid w:val="00E14351"/>
    <w:rsid w:val="00E143E8"/>
    <w:rsid w:val="00E14585"/>
    <w:rsid w:val="00E1458E"/>
    <w:rsid w:val="00E1461F"/>
    <w:rsid w:val="00E146A1"/>
    <w:rsid w:val="00E146CD"/>
    <w:rsid w:val="00E14753"/>
    <w:rsid w:val="00E1485D"/>
    <w:rsid w:val="00E148FE"/>
    <w:rsid w:val="00E14956"/>
    <w:rsid w:val="00E149A6"/>
    <w:rsid w:val="00E149C1"/>
    <w:rsid w:val="00E14BA8"/>
    <w:rsid w:val="00E14C7D"/>
    <w:rsid w:val="00E14E56"/>
    <w:rsid w:val="00E14E64"/>
    <w:rsid w:val="00E14FCA"/>
    <w:rsid w:val="00E15050"/>
    <w:rsid w:val="00E15180"/>
    <w:rsid w:val="00E15184"/>
    <w:rsid w:val="00E1518C"/>
    <w:rsid w:val="00E1523B"/>
    <w:rsid w:val="00E1525D"/>
    <w:rsid w:val="00E152FA"/>
    <w:rsid w:val="00E153AD"/>
    <w:rsid w:val="00E1559B"/>
    <w:rsid w:val="00E1577E"/>
    <w:rsid w:val="00E1593F"/>
    <w:rsid w:val="00E1598C"/>
    <w:rsid w:val="00E15991"/>
    <w:rsid w:val="00E159B7"/>
    <w:rsid w:val="00E15A89"/>
    <w:rsid w:val="00E15C79"/>
    <w:rsid w:val="00E15CB9"/>
    <w:rsid w:val="00E15CC5"/>
    <w:rsid w:val="00E15CCB"/>
    <w:rsid w:val="00E15D18"/>
    <w:rsid w:val="00E15DDA"/>
    <w:rsid w:val="00E15E06"/>
    <w:rsid w:val="00E15E5D"/>
    <w:rsid w:val="00E15F01"/>
    <w:rsid w:val="00E15FF9"/>
    <w:rsid w:val="00E16034"/>
    <w:rsid w:val="00E1606B"/>
    <w:rsid w:val="00E16143"/>
    <w:rsid w:val="00E16199"/>
    <w:rsid w:val="00E161FB"/>
    <w:rsid w:val="00E1630C"/>
    <w:rsid w:val="00E1632D"/>
    <w:rsid w:val="00E1632E"/>
    <w:rsid w:val="00E16382"/>
    <w:rsid w:val="00E164DC"/>
    <w:rsid w:val="00E16519"/>
    <w:rsid w:val="00E16576"/>
    <w:rsid w:val="00E16599"/>
    <w:rsid w:val="00E165B6"/>
    <w:rsid w:val="00E165B8"/>
    <w:rsid w:val="00E1661E"/>
    <w:rsid w:val="00E16714"/>
    <w:rsid w:val="00E1672C"/>
    <w:rsid w:val="00E1672E"/>
    <w:rsid w:val="00E16750"/>
    <w:rsid w:val="00E1677C"/>
    <w:rsid w:val="00E16834"/>
    <w:rsid w:val="00E16987"/>
    <w:rsid w:val="00E169D3"/>
    <w:rsid w:val="00E16C29"/>
    <w:rsid w:val="00E16C58"/>
    <w:rsid w:val="00E16D07"/>
    <w:rsid w:val="00E16D5A"/>
    <w:rsid w:val="00E16DEC"/>
    <w:rsid w:val="00E16E2C"/>
    <w:rsid w:val="00E16F0A"/>
    <w:rsid w:val="00E16F45"/>
    <w:rsid w:val="00E16F83"/>
    <w:rsid w:val="00E17036"/>
    <w:rsid w:val="00E17086"/>
    <w:rsid w:val="00E1709B"/>
    <w:rsid w:val="00E171FE"/>
    <w:rsid w:val="00E1720E"/>
    <w:rsid w:val="00E17215"/>
    <w:rsid w:val="00E1728F"/>
    <w:rsid w:val="00E1736A"/>
    <w:rsid w:val="00E173EA"/>
    <w:rsid w:val="00E1740B"/>
    <w:rsid w:val="00E17455"/>
    <w:rsid w:val="00E1746C"/>
    <w:rsid w:val="00E1747E"/>
    <w:rsid w:val="00E174D3"/>
    <w:rsid w:val="00E1751C"/>
    <w:rsid w:val="00E175F7"/>
    <w:rsid w:val="00E176F4"/>
    <w:rsid w:val="00E1774E"/>
    <w:rsid w:val="00E17911"/>
    <w:rsid w:val="00E179F7"/>
    <w:rsid w:val="00E17B19"/>
    <w:rsid w:val="00E17C55"/>
    <w:rsid w:val="00E17C74"/>
    <w:rsid w:val="00E17D4B"/>
    <w:rsid w:val="00E17FCB"/>
    <w:rsid w:val="00E1FCE0"/>
    <w:rsid w:val="00E20067"/>
    <w:rsid w:val="00E20082"/>
    <w:rsid w:val="00E20111"/>
    <w:rsid w:val="00E20206"/>
    <w:rsid w:val="00E2026B"/>
    <w:rsid w:val="00E2031B"/>
    <w:rsid w:val="00E2031D"/>
    <w:rsid w:val="00E20338"/>
    <w:rsid w:val="00E203EE"/>
    <w:rsid w:val="00E20451"/>
    <w:rsid w:val="00E2046F"/>
    <w:rsid w:val="00E204DD"/>
    <w:rsid w:val="00E20526"/>
    <w:rsid w:val="00E206F4"/>
    <w:rsid w:val="00E2087D"/>
    <w:rsid w:val="00E20899"/>
    <w:rsid w:val="00E208EC"/>
    <w:rsid w:val="00E208FF"/>
    <w:rsid w:val="00E209BA"/>
    <w:rsid w:val="00E209F3"/>
    <w:rsid w:val="00E20A0F"/>
    <w:rsid w:val="00E20A18"/>
    <w:rsid w:val="00E20A7F"/>
    <w:rsid w:val="00E20AE2"/>
    <w:rsid w:val="00E20B8C"/>
    <w:rsid w:val="00E20C5D"/>
    <w:rsid w:val="00E20C74"/>
    <w:rsid w:val="00E20C94"/>
    <w:rsid w:val="00E20CA5"/>
    <w:rsid w:val="00E20DC2"/>
    <w:rsid w:val="00E20E40"/>
    <w:rsid w:val="00E20F83"/>
    <w:rsid w:val="00E20F96"/>
    <w:rsid w:val="00E21084"/>
    <w:rsid w:val="00E21126"/>
    <w:rsid w:val="00E21147"/>
    <w:rsid w:val="00E2118D"/>
    <w:rsid w:val="00E211CA"/>
    <w:rsid w:val="00E211D9"/>
    <w:rsid w:val="00E2131C"/>
    <w:rsid w:val="00E21363"/>
    <w:rsid w:val="00E214C5"/>
    <w:rsid w:val="00E21593"/>
    <w:rsid w:val="00E2161D"/>
    <w:rsid w:val="00E21621"/>
    <w:rsid w:val="00E21649"/>
    <w:rsid w:val="00E21789"/>
    <w:rsid w:val="00E217B8"/>
    <w:rsid w:val="00E2188E"/>
    <w:rsid w:val="00E219A6"/>
    <w:rsid w:val="00E219D4"/>
    <w:rsid w:val="00E219F1"/>
    <w:rsid w:val="00E21A2F"/>
    <w:rsid w:val="00E21A73"/>
    <w:rsid w:val="00E21B2F"/>
    <w:rsid w:val="00E21BB5"/>
    <w:rsid w:val="00E21CBB"/>
    <w:rsid w:val="00E21DAC"/>
    <w:rsid w:val="00E21F42"/>
    <w:rsid w:val="00E2201B"/>
    <w:rsid w:val="00E22279"/>
    <w:rsid w:val="00E225A4"/>
    <w:rsid w:val="00E22648"/>
    <w:rsid w:val="00E226CF"/>
    <w:rsid w:val="00E2276F"/>
    <w:rsid w:val="00E2292E"/>
    <w:rsid w:val="00E22988"/>
    <w:rsid w:val="00E22A3B"/>
    <w:rsid w:val="00E22A56"/>
    <w:rsid w:val="00E22A6E"/>
    <w:rsid w:val="00E22BA4"/>
    <w:rsid w:val="00E22D0E"/>
    <w:rsid w:val="00E22D5A"/>
    <w:rsid w:val="00E22E64"/>
    <w:rsid w:val="00E22EDA"/>
    <w:rsid w:val="00E22F61"/>
    <w:rsid w:val="00E22FFA"/>
    <w:rsid w:val="00E23002"/>
    <w:rsid w:val="00E23133"/>
    <w:rsid w:val="00E2316A"/>
    <w:rsid w:val="00E231E0"/>
    <w:rsid w:val="00E231F3"/>
    <w:rsid w:val="00E2329B"/>
    <w:rsid w:val="00E232BF"/>
    <w:rsid w:val="00E232CE"/>
    <w:rsid w:val="00E2335C"/>
    <w:rsid w:val="00E23421"/>
    <w:rsid w:val="00E234D3"/>
    <w:rsid w:val="00E2355F"/>
    <w:rsid w:val="00E2358A"/>
    <w:rsid w:val="00E235D0"/>
    <w:rsid w:val="00E235F1"/>
    <w:rsid w:val="00E23609"/>
    <w:rsid w:val="00E23808"/>
    <w:rsid w:val="00E23956"/>
    <w:rsid w:val="00E239AE"/>
    <w:rsid w:val="00E23A12"/>
    <w:rsid w:val="00E23A72"/>
    <w:rsid w:val="00E23B24"/>
    <w:rsid w:val="00E23B50"/>
    <w:rsid w:val="00E23BCC"/>
    <w:rsid w:val="00E23C4E"/>
    <w:rsid w:val="00E23C6C"/>
    <w:rsid w:val="00E23F36"/>
    <w:rsid w:val="00E240C9"/>
    <w:rsid w:val="00E240E1"/>
    <w:rsid w:val="00E2411B"/>
    <w:rsid w:val="00E24129"/>
    <w:rsid w:val="00E241A0"/>
    <w:rsid w:val="00E241B7"/>
    <w:rsid w:val="00E24242"/>
    <w:rsid w:val="00E2424E"/>
    <w:rsid w:val="00E242B1"/>
    <w:rsid w:val="00E243B4"/>
    <w:rsid w:val="00E246B8"/>
    <w:rsid w:val="00E246C2"/>
    <w:rsid w:val="00E247D9"/>
    <w:rsid w:val="00E247FC"/>
    <w:rsid w:val="00E2488A"/>
    <w:rsid w:val="00E248D2"/>
    <w:rsid w:val="00E24917"/>
    <w:rsid w:val="00E24A47"/>
    <w:rsid w:val="00E24A98"/>
    <w:rsid w:val="00E24B66"/>
    <w:rsid w:val="00E24C0D"/>
    <w:rsid w:val="00E24C82"/>
    <w:rsid w:val="00E24C84"/>
    <w:rsid w:val="00E24D59"/>
    <w:rsid w:val="00E24D8E"/>
    <w:rsid w:val="00E24E72"/>
    <w:rsid w:val="00E24E7B"/>
    <w:rsid w:val="00E25099"/>
    <w:rsid w:val="00E2509D"/>
    <w:rsid w:val="00E250A2"/>
    <w:rsid w:val="00E250EE"/>
    <w:rsid w:val="00E2532E"/>
    <w:rsid w:val="00E25339"/>
    <w:rsid w:val="00E253ED"/>
    <w:rsid w:val="00E25650"/>
    <w:rsid w:val="00E2580A"/>
    <w:rsid w:val="00E2598B"/>
    <w:rsid w:val="00E259E0"/>
    <w:rsid w:val="00E259E4"/>
    <w:rsid w:val="00E25A33"/>
    <w:rsid w:val="00E25B5E"/>
    <w:rsid w:val="00E25BD9"/>
    <w:rsid w:val="00E25C0C"/>
    <w:rsid w:val="00E25D1F"/>
    <w:rsid w:val="00E25DA2"/>
    <w:rsid w:val="00E25E1A"/>
    <w:rsid w:val="00E25E64"/>
    <w:rsid w:val="00E25E69"/>
    <w:rsid w:val="00E25E98"/>
    <w:rsid w:val="00E25EDE"/>
    <w:rsid w:val="00E25EFA"/>
    <w:rsid w:val="00E25F02"/>
    <w:rsid w:val="00E25F2C"/>
    <w:rsid w:val="00E25F67"/>
    <w:rsid w:val="00E2611A"/>
    <w:rsid w:val="00E26154"/>
    <w:rsid w:val="00E26169"/>
    <w:rsid w:val="00E26208"/>
    <w:rsid w:val="00E26209"/>
    <w:rsid w:val="00E26259"/>
    <w:rsid w:val="00E26279"/>
    <w:rsid w:val="00E2629B"/>
    <w:rsid w:val="00E2630A"/>
    <w:rsid w:val="00E26312"/>
    <w:rsid w:val="00E2633B"/>
    <w:rsid w:val="00E26361"/>
    <w:rsid w:val="00E263AA"/>
    <w:rsid w:val="00E2643F"/>
    <w:rsid w:val="00E26486"/>
    <w:rsid w:val="00E2664A"/>
    <w:rsid w:val="00E2665B"/>
    <w:rsid w:val="00E2665C"/>
    <w:rsid w:val="00E266CB"/>
    <w:rsid w:val="00E26714"/>
    <w:rsid w:val="00E26770"/>
    <w:rsid w:val="00E26779"/>
    <w:rsid w:val="00E26790"/>
    <w:rsid w:val="00E26825"/>
    <w:rsid w:val="00E2690F"/>
    <w:rsid w:val="00E26A0E"/>
    <w:rsid w:val="00E26A5C"/>
    <w:rsid w:val="00E26A95"/>
    <w:rsid w:val="00E26A97"/>
    <w:rsid w:val="00E26B4C"/>
    <w:rsid w:val="00E26B54"/>
    <w:rsid w:val="00E26C39"/>
    <w:rsid w:val="00E26DD4"/>
    <w:rsid w:val="00E26F50"/>
    <w:rsid w:val="00E27065"/>
    <w:rsid w:val="00E270D2"/>
    <w:rsid w:val="00E2711A"/>
    <w:rsid w:val="00E271CF"/>
    <w:rsid w:val="00E27289"/>
    <w:rsid w:val="00E272B4"/>
    <w:rsid w:val="00E2739E"/>
    <w:rsid w:val="00E273A3"/>
    <w:rsid w:val="00E2743E"/>
    <w:rsid w:val="00E2754D"/>
    <w:rsid w:val="00E27554"/>
    <w:rsid w:val="00E275D7"/>
    <w:rsid w:val="00E2760D"/>
    <w:rsid w:val="00E2775F"/>
    <w:rsid w:val="00E27778"/>
    <w:rsid w:val="00E2777F"/>
    <w:rsid w:val="00E27799"/>
    <w:rsid w:val="00E277A9"/>
    <w:rsid w:val="00E277AC"/>
    <w:rsid w:val="00E277D7"/>
    <w:rsid w:val="00E27869"/>
    <w:rsid w:val="00E2792F"/>
    <w:rsid w:val="00E27940"/>
    <w:rsid w:val="00E279AC"/>
    <w:rsid w:val="00E279B5"/>
    <w:rsid w:val="00E27ADA"/>
    <w:rsid w:val="00E27B00"/>
    <w:rsid w:val="00E27B0E"/>
    <w:rsid w:val="00E27BC8"/>
    <w:rsid w:val="00E27BEC"/>
    <w:rsid w:val="00E27C14"/>
    <w:rsid w:val="00E27C19"/>
    <w:rsid w:val="00E27C90"/>
    <w:rsid w:val="00E27CC9"/>
    <w:rsid w:val="00E27CDD"/>
    <w:rsid w:val="00E27D4C"/>
    <w:rsid w:val="00E27DD0"/>
    <w:rsid w:val="00E27DE4"/>
    <w:rsid w:val="00E27DEF"/>
    <w:rsid w:val="00E27E31"/>
    <w:rsid w:val="00E27F6B"/>
    <w:rsid w:val="00E27FB4"/>
    <w:rsid w:val="00E28CCE"/>
    <w:rsid w:val="00E2EA30"/>
    <w:rsid w:val="00E3005B"/>
    <w:rsid w:val="00E30165"/>
    <w:rsid w:val="00E302DE"/>
    <w:rsid w:val="00E303A0"/>
    <w:rsid w:val="00E304EA"/>
    <w:rsid w:val="00E30593"/>
    <w:rsid w:val="00E3060A"/>
    <w:rsid w:val="00E30613"/>
    <w:rsid w:val="00E30632"/>
    <w:rsid w:val="00E30664"/>
    <w:rsid w:val="00E306BB"/>
    <w:rsid w:val="00E30723"/>
    <w:rsid w:val="00E3079F"/>
    <w:rsid w:val="00E308AE"/>
    <w:rsid w:val="00E30966"/>
    <w:rsid w:val="00E309C9"/>
    <w:rsid w:val="00E309E8"/>
    <w:rsid w:val="00E30A6E"/>
    <w:rsid w:val="00E30A90"/>
    <w:rsid w:val="00E30B9D"/>
    <w:rsid w:val="00E30BA8"/>
    <w:rsid w:val="00E30C43"/>
    <w:rsid w:val="00E30C47"/>
    <w:rsid w:val="00E30C63"/>
    <w:rsid w:val="00E30CC7"/>
    <w:rsid w:val="00E30CEA"/>
    <w:rsid w:val="00E30D28"/>
    <w:rsid w:val="00E30D6C"/>
    <w:rsid w:val="00E30DEE"/>
    <w:rsid w:val="00E30E1C"/>
    <w:rsid w:val="00E30E82"/>
    <w:rsid w:val="00E30E88"/>
    <w:rsid w:val="00E30EC9"/>
    <w:rsid w:val="00E30F80"/>
    <w:rsid w:val="00E310B7"/>
    <w:rsid w:val="00E3138E"/>
    <w:rsid w:val="00E313BB"/>
    <w:rsid w:val="00E3149A"/>
    <w:rsid w:val="00E314D6"/>
    <w:rsid w:val="00E314FC"/>
    <w:rsid w:val="00E3153D"/>
    <w:rsid w:val="00E31630"/>
    <w:rsid w:val="00E316C2"/>
    <w:rsid w:val="00E316EB"/>
    <w:rsid w:val="00E3172D"/>
    <w:rsid w:val="00E31778"/>
    <w:rsid w:val="00E31843"/>
    <w:rsid w:val="00E31901"/>
    <w:rsid w:val="00E31AB4"/>
    <w:rsid w:val="00E31BB4"/>
    <w:rsid w:val="00E31BC8"/>
    <w:rsid w:val="00E31C43"/>
    <w:rsid w:val="00E31CCB"/>
    <w:rsid w:val="00E31D4B"/>
    <w:rsid w:val="00E31DA7"/>
    <w:rsid w:val="00E31DC1"/>
    <w:rsid w:val="00E31F0D"/>
    <w:rsid w:val="00E31F11"/>
    <w:rsid w:val="00E31F32"/>
    <w:rsid w:val="00E320A6"/>
    <w:rsid w:val="00E3215B"/>
    <w:rsid w:val="00E32251"/>
    <w:rsid w:val="00E32391"/>
    <w:rsid w:val="00E323C7"/>
    <w:rsid w:val="00E32421"/>
    <w:rsid w:val="00E3244A"/>
    <w:rsid w:val="00E32489"/>
    <w:rsid w:val="00E32580"/>
    <w:rsid w:val="00E325FA"/>
    <w:rsid w:val="00E32871"/>
    <w:rsid w:val="00E328DE"/>
    <w:rsid w:val="00E32985"/>
    <w:rsid w:val="00E32995"/>
    <w:rsid w:val="00E329A9"/>
    <w:rsid w:val="00E32A00"/>
    <w:rsid w:val="00E32BB2"/>
    <w:rsid w:val="00E32C18"/>
    <w:rsid w:val="00E32CAF"/>
    <w:rsid w:val="00E32D3D"/>
    <w:rsid w:val="00E32E46"/>
    <w:rsid w:val="00E32EF1"/>
    <w:rsid w:val="00E3305D"/>
    <w:rsid w:val="00E33089"/>
    <w:rsid w:val="00E33101"/>
    <w:rsid w:val="00E331CF"/>
    <w:rsid w:val="00E33208"/>
    <w:rsid w:val="00E33247"/>
    <w:rsid w:val="00E3332C"/>
    <w:rsid w:val="00E3333D"/>
    <w:rsid w:val="00E3340E"/>
    <w:rsid w:val="00E33504"/>
    <w:rsid w:val="00E33576"/>
    <w:rsid w:val="00E335B9"/>
    <w:rsid w:val="00E335C8"/>
    <w:rsid w:val="00E337BE"/>
    <w:rsid w:val="00E33896"/>
    <w:rsid w:val="00E338EF"/>
    <w:rsid w:val="00E338F1"/>
    <w:rsid w:val="00E3391B"/>
    <w:rsid w:val="00E33963"/>
    <w:rsid w:val="00E33996"/>
    <w:rsid w:val="00E33A12"/>
    <w:rsid w:val="00E33A8F"/>
    <w:rsid w:val="00E33AB9"/>
    <w:rsid w:val="00E33BD9"/>
    <w:rsid w:val="00E33BFC"/>
    <w:rsid w:val="00E33CA2"/>
    <w:rsid w:val="00E33CC4"/>
    <w:rsid w:val="00E33D9C"/>
    <w:rsid w:val="00E33DF2"/>
    <w:rsid w:val="00E33E13"/>
    <w:rsid w:val="00E33E54"/>
    <w:rsid w:val="00E33E78"/>
    <w:rsid w:val="00E33E80"/>
    <w:rsid w:val="00E33EC2"/>
    <w:rsid w:val="00E33ECF"/>
    <w:rsid w:val="00E33FAE"/>
    <w:rsid w:val="00E33FB7"/>
    <w:rsid w:val="00E340C8"/>
    <w:rsid w:val="00E3429D"/>
    <w:rsid w:val="00E3430B"/>
    <w:rsid w:val="00E3446B"/>
    <w:rsid w:val="00E3455A"/>
    <w:rsid w:val="00E347B6"/>
    <w:rsid w:val="00E3481A"/>
    <w:rsid w:val="00E34821"/>
    <w:rsid w:val="00E34837"/>
    <w:rsid w:val="00E3489C"/>
    <w:rsid w:val="00E348A9"/>
    <w:rsid w:val="00E348D7"/>
    <w:rsid w:val="00E3490B"/>
    <w:rsid w:val="00E34AB2"/>
    <w:rsid w:val="00E34BD2"/>
    <w:rsid w:val="00E34E0F"/>
    <w:rsid w:val="00E34E83"/>
    <w:rsid w:val="00E34F0A"/>
    <w:rsid w:val="00E34F53"/>
    <w:rsid w:val="00E34F5A"/>
    <w:rsid w:val="00E3500C"/>
    <w:rsid w:val="00E35080"/>
    <w:rsid w:val="00E350C3"/>
    <w:rsid w:val="00E350D5"/>
    <w:rsid w:val="00E3520D"/>
    <w:rsid w:val="00E35301"/>
    <w:rsid w:val="00E35469"/>
    <w:rsid w:val="00E3548C"/>
    <w:rsid w:val="00E354EA"/>
    <w:rsid w:val="00E35514"/>
    <w:rsid w:val="00E3558B"/>
    <w:rsid w:val="00E3562A"/>
    <w:rsid w:val="00E356D8"/>
    <w:rsid w:val="00E357BA"/>
    <w:rsid w:val="00E35881"/>
    <w:rsid w:val="00E35883"/>
    <w:rsid w:val="00E35909"/>
    <w:rsid w:val="00E3592E"/>
    <w:rsid w:val="00E359A3"/>
    <w:rsid w:val="00E35B09"/>
    <w:rsid w:val="00E35B3C"/>
    <w:rsid w:val="00E35B75"/>
    <w:rsid w:val="00E35C00"/>
    <w:rsid w:val="00E35CE2"/>
    <w:rsid w:val="00E35D0E"/>
    <w:rsid w:val="00E35E31"/>
    <w:rsid w:val="00E35E81"/>
    <w:rsid w:val="00E35ED2"/>
    <w:rsid w:val="00E35EDD"/>
    <w:rsid w:val="00E35F4B"/>
    <w:rsid w:val="00E361B3"/>
    <w:rsid w:val="00E36280"/>
    <w:rsid w:val="00E362B2"/>
    <w:rsid w:val="00E36342"/>
    <w:rsid w:val="00E363C0"/>
    <w:rsid w:val="00E3640A"/>
    <w:rsid w:val="00E3645E"/>
    <w:rsid w:val="00E364D0"/>
    <w:rsid w:val="00E36519"/>
    <w:rsid w:val="00E3654E"/>
    <w:rsid w:val="00E36621"/>
    <w:rsid w:val="00E36646"/>
    <w:rsid w:val="00E36671"/>
    <w:rsid w:val="00E36681"/>
    <w:rsid w:val="00E36734"/>
    <w:rsid w:val="00E36742"/>
    <w:rsid w:val="00E36749"/>
    <w:rsid w:val="00E3677C"/>
    <w:rsid w:val="00E367AD"/>
    <w:rsid w:val="00E36973"/>
    <w:rsid w:val="00E36986"/>
    <w:rsid w:val="00E36997"/>
    <w:rsid w:val="00E36A8F"/>
    <w:rsid w:val="00E36ADA"/>
    <w:rsid w:val="00E36B92"/>
    <w:rsid w:val="00E36C77"/>
    <w:rsid w:val="00E36CF5"/>
    <w:rsid w:val="00E36D73"/>
    <w:rsid w:val="00E36E9E"/>
    <w:rsid w:val="00E36EF5"/>
    <w:rsid w:val="00E36F19"/>
    <w:rsid w:val="00E36F30"/>
    <w:rsid w:val="00E36F35"/>
    <w:rsid w:val="00E36F4F"/>
    <w:rsid w:val="00E36F69"/>
    <w:rsid w:val="00E3704F"/>
    <w:rsid w:val="00E37082"/>
    <w:rsid w:val="00E370D2"/>
    <w:rsid w:val="00E370F9"/>
    <w:rsid w:val="00E37142"/>
    <w:rsid w:val="00E37464"/>
    <w:rsid w:val="00E3750E"/>
    <w:rsid w:val="00E37522"/>
    <w:rsid w:val="00E377A6"/>
    <w:rsid w:val="00E377C6"/>
    <w:rsid w:val="00E37819"/>
    <w:rsid w:val="00E378A0"/>
    <w:rsid w:val="00E37914"/>
    <w:rsid w:val="00E379E7"/>
    <w:rsid w:val="00E37AC8"/>
    <w:rsid w:val="00E37AF2"/>
    <w:rsid w:val="00E37B19"/>
    <w:rsid w:val="00E37B7C"/>
    <w:rsid w:val="00E37BBB"/>
    <w:rsid w:val="00E37BE5"/>
    <w:rsid w:val="00E37BF1"/>
    <w:rsid w:val="00E37C6D"/>
    <w:rsid w:val="00E37CDF"/>
    <w:rsid w:val="00E37DE3"/>
    <w:rsid w:val="00E37E00"/>
    <w:rsid w:val="00E37EAA"/>
    <w:rsid w:val="00E37EB4"/>
    <w:rsid w:val="00E37F02"/>
    <w:rsid w:val="00E40015"/>
    <w:rsid w:val="00E400A4"/>
    <w:rsid w:val="00E40153"/>
    <w:rsid w:val="00E4027B"/>
    <w:rsid w:val="00E40484"/>
    <w:rsid w:val="00E40535"/>
    <w:rsid w:val="00E40692"/>
    <w:rsid w:val="00E406A4"/>
    <w:rsid w:val="00E406B9"/>
    <w:rsid w:val="00E406C3"/>
    <w:rsid w:val="00E406C7"/>
    <w:rsid w:val="00E40756"/>
    <w:rsid w:val="00E40762"/>
    <w:rsid w:val="00E40771"/>
    <w:rsid w:val="00E40789"/>
    <w:rsid w:val="00E407D3"/>
    <w:rsid w:val="00E4080F"/>
    <w:rsid w:val="00E40841"/>
    <w:rsid w:val="00E40869"/>
    <w:rsid w:val="00E4086F"/>
    <w:rsid w:val="00E40917"/>
    <w:rsid w:val="00E409A6"/>
    <w:rsid w:val="00E409A9"/>
    <w:rsid w:val="00E40A0C"/>
    <w:rsid w:val="00E40B0B"/>
    <w:rsid w:val="00E40C26"/>
    <w:rsid w:val="00E40CCE"/>
    <w:rsid w:val="00E40D70"/>
    <w:rsid w:val="00E40D7D"/>
    <w:rsid w:val="00E40E15"/>
    <w:rsid w:val="00E40E67"/>
    <w:rsid w:val="00E40F9D"/>
    <w:rsid w:val="00E40FD6"/>
    <w:rsid w:val="00E4108C"/>
    <w:rsid w:val="00E410CA"/>
    <w:rsid w:val="00E4114D"/>
    <w:rsid w:val="00E4115B"/>
    <w:rsid w:val="00E4127F"/>
    <w:rsid w:val="00E412B6"/>
    <w:rsid w:val="00E414D5"/>
    <w:rsid w:val="00E41648"/>
    <w:rsid w:val="00E416D5"/>
    <w:rsid w:val="00E41718"/>
    <w:rsid w:val="00E41741"/>
    <w:rsid w:val="00E4174E"/>
    <w:rsid w:val="00E4174F"/>
    <w:rsid w:val="00E41855"/>
    <w:rsid w:val="00E4189F"/>
    <w:rsid w:val="00E41A1A"/>
    <w:rsid w:val="00E41A30"/>
    <w:rsid w:val="00E41A45"/>
    <w:rsid w:val="00E41B90"/>
    <w:rsid w:val="00E41BFC"/>
    <w:rsid w:val="00E41C8F"/>
    <w:rsid w:val="00E41D6E"/>
    <w:rsid w:val="00E41D7F"/>
    <w:rsid w:val="00E41DE7"/>
    <w:rsid w:val="00E41E15"/>
    <w:rsid w:val="00E41E2D"/>
    <w:rsid w:val="00E41E54"/>
    <w:rsid w:val="00E41EBE"/>
    <w:rsid w:val="00E420C2"/>
    <w:rsid w:val="00E42237"/>
    <w:rsid w:val="00E42296"/>
    <w:rsid w:val="00E422A8"/>
    <w:rsid w:val="00E422B4"/>
    <w:rsid w:val="00E422E5"/>
    <w:rsid w:val="00E42359"/>
    <w:rsid w:val="00E423C0"/>
    <w:rsid w:val="00E4243A"/>
    <w:rsid w:val="00E4256E"/>
    <w:rsid w:val="00E42605"/>
    <w:rsid w:val="00E42608"/>
    <w:rsid w:val="00E4262B"/>
    <w:rsid w:val="00E426B3"/>
    <w:rsid w:val="00E4273B"/>
    <w:rsid w:val="00E4288F"/>
    <w:rsid w:val="00E4291C"/>
    <w:rsid w:val="00E4298F"/>
    <w:rsid w:val="00E42A05"/>
    <w:rsid w:val="00E42A1A"/>
    <w:rsid w:val="00E42B54"/>
    <w:rsid w:val="00E42B77"/>
    <w:rsid w:val="00E42BCC"/>
    <w:rsid w:val="00E42BE3"/>
    <w:rsid w:val="00E42C04"/>
    <w:rsid w:val="00E42C75"/>
    <w:rsid w:val="00E42C81"/>
    <w:rsid w:val="00E42D89"/>
    <w:rsid w:val="00E42DED"/>
    <w:rsid w:val="00E42E19"/>
    <w:rsid w:val="00E42F71"/>
    <w:rsid w:val="00E430BD"/>
    <w:rsid w:val="00E430FD"/>
    <w:rsid w:val="00E43153"/>
    <w:rsid w:val="00E43245"/>
    <w:rsid w:val="00E432E2"/>
    <w:rsid w:val="00E43318"/>
    <w:rsid w:val="00E43349"/>
    <w:rsid w:val="00E435B4"/>
    <w:rsid w:val="00E435F9"/>
    <w:rsid w:val="00E43700"/>
    <w:rsid w:val="00E4384E"/>
    <w:rsid w:val="00E438AB"/>
    <w:rsid w:val="00E4392E"/>
    <w:rsid w:val="00E43936"/>
    <w:rsid w:val="00E43A34"/>
    <w:rsid w:val="00E43A83"/>
    <w:rsid w:val="00E43ABF"/>
    <w:rsid w:val="00E43AC1"/>
    <w:rsid w:val="00E43ADA"/>
    <w:rsid w:val="00E43AE2"/>
    <w:rsid w:val="00E43BAE"/>
    <w:rsid w:val="00E43C38"/>
    <w:rsid w:val="00E43C47"/>
    <w:rsid w:val="00E43C54"/>
    <w:rsid w:val="00E43D0D"/>
    <w:rsid w:val="00E43D29"/>
    <w:rsid w:val="00E43E73"/>
    <w:rsid w:val="00E43F7C"/>
    <w:rsid w:val="00E43F7D"/>
    <w:rsid w:val="00E44017"/>
    <w:rsid w:val="00E4402A"/>
    <w:rsid w:val="00E4408D"/>
    <w:rsid w:val="00E440D9"/>
    <w:rsid w:val="00E4427E"/>
    <w:rsid w:val="00E442F9"/>
    <w:rsid w:val="00E443DA"/>
    <w:rsid w:val="00E443EA"/>
    <w:rsid w:val="00E44498"/>
    <w:rsid w:val="00E444EC"/>
    <w:rsid w:val="00E44585"/>
    <w:rsid w:val="00E44605"/>
    <w:rsid w:val="00E446C2"/>
    <w:rsid w:val="00E44B66"/>
    <w:rsid w:val="00E44B77"/>
    <w:rsid w:val="00E44B9C"/>
    <w:rsid w:val="00E44DE7"/>
    <w:rsid w:val="00E44E02"/>
    <w:rsid w:val="00E44E53"/>
    <w:rsid w:val="00E44E72"/>
    <w:rsid w:val="00E44E73"/>
    <w:rsid w:val="00E44F74"/>
    <w:rsid w:val="00E44FD5"/>
    <w:rsid w:val="00E44FEA"/>
    <w:rsid w:val="00E450A5"/>
    <w:rsid w:val="00E45113"/>
    <w:rsid w:val="00E451D0"/>
    <w:rsid w:val="00E4538B"/>
    <w:rsid w:val="00E45393"/>
    <w:rsid w:val="00E453DF"/>
    <w:rsid w:val="00E455E4"/>
    <w:rsid w:val="00E45625"/>
    <w:rsid w:val="00E4569F"/>
    <w:rsid w:val="00E456A1"/>
    <w:rsid w:val="00E456CE"/>
    <w:rsid w:val="00E4574F"/>
    <w:rsid w:val="00E458C2"/>
    <w:rsid w:val="00E4590F"/>
    <w:rsid w:val="00E45914"/>
    <w:rsid w:val="00E459FA"/>
    <w:rsid w:val="00E45A02"/>
    <w:rsid w:val="00E45A1C"/>
    <w:rsid w:val="00E45A38"/>
    <w:rsid w:val="00E45BCD"/>
    <w:rsid w:val="00E45BF4"/>
    <w:rsid w:val="00E45C6E"/>
    <w:rsid w:val="00E45C8D"/>
    <w:rsid w:val="00E45D59"/>
    <w:rsid w:val="00E45E8E"/>
    <w:rsid w:val="00E45EE9"/>
    <w:rsid w:val="00E45EFC"/>
    <w:rsid w:val="00E45F47"/>
    <w:rsid w:val="00E45F77"/>
    <w:rsid w:val="00E45F85"/>
    <w:rsid w:val="00E4604F"/>
    <w:rsid w:val="00E46074"/>
    <w:rsid w:val="00E46249"/>
    <w:rsid w:val="00E4630D"/>
    <w:rsid w:val="00E464EA"/>
    <w:rsid w:val="00E4650B"/>
    <w:rsid w:val="00E46571"/>
    <w:rsid w:val="00E46612"/>
    <w:rsid w:val="00E46613"/>
    <w:rsid w:val="00E4662C"/>
    <w:rsid w:val="00E466BC"/>
    <w:rsid w:val="00E467D3"/>
    <w:rsid w:val="00E467D6"/>
    <w:rsid w:val="00E467F2"/>
    <w:rsid w:val="00E46802"/>
    <w:rsid w:val="00E4685B"/>
    <w:rsid w:val="00E46905"/>
    <w:rsid w:val="00E46955"/>
    <w:rsid w:val="00E469D6"/>
    <w:rsid w:val="00E46A20"/>
    <w:rsid w:val="00E46A3C"/>
    <w:rsid w:val="00E46A4C"/>
    <w:rsid w:val="00E46A56"/>
    <w:rsid w:val="00E46B56"/>
    <w:rsid w:val="00E46B8D"/>
    <w:rsid w:val="00E46C5B"/>
    <w:rsid w:val="00E46CAF"/>
    <w:rsid w:val="00E46F0F"/>
    <w:rsid w:val="00E46FDB"/>
    <w:rsid w:val="00E46FE5"/>
    <w:rsid w:val="00E4714A"/>
    <w:rsid w:val="00E4720B"/>
    <w:rsid w:val="00E47225"/>
    <w:rsid w:val="00E4725F"/>
    <w:rsid w:val="00E47265"/>
    <w:rsid w:val="00E472F3"/>
    <w:rsid w:val="00E47320"/>
    <w:rsid w:val="00E47349"/>
    <w:rsid w:val="00E47382"/>
    <w:rsid w:val="00E47417"/>
    <w:rsid w:val="00E474EC"/>
    <w:rsid w:val="00E47516"/>
    <w:rsid w:val="00E475A0"/>
    <w:rsid w:val="00E475AF"/>
    <w:rsid w:val="00E47712"/>
    <w:rsid w:val="00E477FD"/>
    <w:rsid w:val="00E47806"/>
    <w:rsid w:val="00E4781D"/>
    <w:rsid w:val="00E47854"/>
    <w:rsid w:val="00E47861"/>
    <w:rsid w:val="00E47880"/>
    <w:rsid w:val="00E47913"/>
    <w:rsid w:val="00E47932"/>
    <w:rsid w:val="00E479DC"/>
    <w:rsid w:val="00E47A04"/>
    <w:rsid w:val="00E47A14"/>
    <w:rsid w:val="00E47B5B"/>
    <w:rsid w:val="00E47B7F"/>
    <w:rsid w:val="00E47D13"/>
    <w:rsid w:val="00E47DFA"/>
    <w:rsid w:val="00E47EA7"/>
    <w:rsid w:val="00E47EBC"/>
    <w:rsid w:val="00E47F05"/>
    <w:rsid w:val="00E47F67"/>
    <w:rsid w:val="00E47F7E"/>
    <w:rsid w:val="00E50087"/>
    <w:rsid w:val="00E500D2"/>
    <w:rsid w:val="00E5012F"/>
    <w:rsid w:val="00E5015E"/>
    <w:rsid w:val="00E501B3"/>
    <w:rsid w:val="00E501D6"/>
    <w:rsid w:val="00E50216"/>
    <w:rsid w:val="00E50265"/>
    <w:rsid w:val="00E50295"/>
    <w:rsid w:val="00E50395"/>
    <w:rsid w:val="00E503F8"/>
    <w:rsid w:val="00E5040A"/>
    <w:rsid w:val="00E50509"/>
    <w:rsid w:val="00E5052A"/>
    <w:rsid w:val="00E50579"/>
    <w:rsid w:val="00E5066D"/>
    <w:rsid w:val="00E506B3"/>
    <w:rsid w:val="00E50736"/>
    <w:rsid w:val="00E50750"/>
    <w:rsid w:val="00E50782"/>
    <w:rsid w:val="00E507BA"/>
    <w:rsid w:val="00E507CF"/>
    <w:rsid w:val="00E507E7"/>
    <w:rsid w:val="00E50885"/>
    <w:rsid w:val="00E50988"/>
    <w:rsid w:val="00E50A76"/>
    <w:rsid w:val="00E50A97"/>
    <w:rsid w:val="00E50ABB"/>
    <w:rsid w:val="00E50B5B"/>
    <w:rsid w:val="00E50C24"/>
    <w:rsid w:val="00E50CFA"/>
    <w:rsid w:val="00E50EA7"/>
    <w:rsid w:val="00E50EE3"/>
    <w:rsid w:val="00E50F02"/>
    <w:rsid w:val="00E50F17"/>
    <w:rsid w:val="00E50F67"/>
    <w:rsid w:val="00E50F75"/>
    <w:rsid w:val="00E50FDE"/>
    <w:rsid w:val="00E510B0"/>
    <w:rsid w:val="00E510B4"/>
    <w:rsid w:val="00E510D5"/>
    <w:rsid w:val="00E51171"/>
    <w:rsid w:val="00E511BF"/>
    <w:rsid w:val="00E512E3"/>
    <w:rsid w:val="00E513AD"/>
    <w:rsid w:val="00E51457"/>
    <w:rsid w:val="00E51495"/>
    <w:rsid w:val="00E5156B"/>
    <w:rsid w:val="00E5157F"/>
    <w:rsid w:val="00E515E6"/>
    <w:rsid w:val="00E5165C"/>
    <w:rsid w:val="00E5165E"/>
    <w:rsid w:val="00E5179D"/>
    <w:rsid w:val="00E517A3"/>
    <w:rsid w:val="00E517E3"/>
    <w:rsid w:val="00E518BA"/>
    <w:rsid w:val="00E51954"/>
    <w:rsid w:val="00E519A2"/>
    <w:rsid w:val="00E51A05"/>
    <w:rsid w:val="00E51AB6"/>
    <w:rsid w:val="00E51B4B"/>
    <w:rsid w:val="00E51B9B"/>
    <w:rsid w:val="00E51BA5"/>
    <w:rsid w:val="00E51BC4"/>
    <w:rsid w:val="00E51BCA"/>
    <w:rsid w:val="00E51C4D"/>
    <w:rsid w:val="00E51C55"/>
    <w:rsid w:val="00E51D65"/>
    <w:rsid w:val="00E51DD6"/>
    <w:rsid w:val="00E51E29"/>
    <w:rsid w:val="00E51E67"/>
    <w:rsid w:val="00E51FA2"/>
    <w:rsid w:val="00E51FCD"/>
    <w:rsid w:val="00E51FDD"/>
    <w:rsid w:val="00E52152"/>
    <w:rsid w:val="00E52185"/>
    <w:rsid w:val="00E521B4"/>
    <w:rsid w:val="00E521D1"/>
    <w:rsid w:val="00E5222F"/>
    <w:rsid w:val="00E522A5"/>
    <w:rsid w:val="00E5234E"/>
    <w:rsid w:val="00E52475"/>
    <w:rsid w:val="00E524B6"/>
    <w:rsid w:val="00E52513"/>
    <w:rsid w:val="00E5258C"/>
    <w:rsid w:val="00E52698"/>
    <w:rsid w:val="00E52748"/>
    <w:rsid w:val="00E52791"/>
    <w:rsid w:val="00E527D8"/>
    <w:rsid w:val="00E5280B"/>
    <w:rsid w:val="00E528D2"/>
    <w:rsid w:val="00E52971"/>
    <w:rsid w:val="00E529BE"/>
    <w:rsid w:val="00E529BF"/>
    <w:rsid w:val="00E529EA"/>
    <w:rsid w:val="00E52A30"/>
    <w:rsid w:val="00E52AB7"/>
    <w:rsid w:val="00E52B25"/>
    <w:rsid w:val="00E52D00"/>
    <w:rsid w:val="00E52D05"/>
    <w:rsid w:val="00E52DB4"/>
    <w:rsid w:val="00E52E9C"/>
    <w:rsid w:val="00E52F16"/>
    <w:rsid w:val="00E5300E"/>
    <w:rsid w:val="00E53064"/>
    <w:rsid w:val="00E5308C"/>
    <w:rsid w:val="00E530C2"/>
    <w:rsid w:val="00E5318A"/>
    <w:rsid w:val="00E531C7"/>
    <w:rsid w:val="00E532F1"/>
    <w:rsid w:val="00E53396"/>
    <w:rsid w:val="00E534EF"/>
    <w:rsid w:val="00E53525"/>
    <w:rsid w:val="00E53542"/>
    <w:rsid w:val="00E535DC"/>
    <w:rsid w:val="00E5376D"/>
    <w:rsid w:val="00E5377C"/>
    <w:rsid w:val="00E5387A"/>
    <w:rsid w:val="00E5395C"/>
    <w:rsid w:val="00E539AB"/>
    <w:rsid w:val="00E53A9F"/>
    <w:rsid w:val="00E53B04"/>
    <w:rsid w:val="00E53BE4"/>
    <w:rsid w:val="00E53EDA"/>
    <w:rsid w:val="00E53FAC"/>
    <w:rsid w:val="00E53FCE"/>
    <w:rsid w:val="00E5407B"/>
    <w:rsid w:val="00E540C2"/>
    <w:rsid w:val="00E540D4"/>
    <w:rsid w:val="00E54102"/>
    <w:rsid w:val="00E542C5"/>
    <w:rsid w:val="00E54325"/>
    <w:rsid w:val="00E5439F"/>
    <w:rsid w:val="00E543B9"/>
    <w:rsid w:val="00E54584"/>
    <w:rsid w:val="00E5465E"/>
    <w:rsid w:val="00E54770"/>
    <w:rsid w:val="00E547CB"/>
    <w:rsid w:val="00E547D2"/>
    <w:rsid w:val="00E54890"/>
    <w:rsid w:val="00E548CC"/>
    <w:rsid w:val="00E54B68"/>
    <w:rsid w:val="00E54B92"/>
    <w:rsid w:val="00E54DA1"/>
    <w:rsid w:val="00E54E39"/>
    <w:rsid w:val="00E54E90"/>
    <w:rsid w:val="00E54F24"/>
    <w:rsid w:val="00E54FD3"/>
    <w:rsid w:val="00E54FD7"/>
    <w:rsid w:val="00E550BD"/>
    <w:rsid w:val="00E550BF"/>
    <w:rsid w:val="00E552FB"/>
    <w:rsid w:val="00E5533A"/>
    <w:rsid w:val="00E553CA"/>
    <w:rsid w:val="00E55495"/>
    <w:rsid w:val="00E5560A"/>
    <w:rsid w:val="00E5585C"/>
    <w:rsid w:val="00E558A8"/>
    <w:rsid w:val="00E558FB"/>
    <w:rsid w:val="00E55940"/>
    <w:rsid w:val="00E55A5B"/>
    <w:rsid w:val="00E55B55"/>
    <w:rsid w:val="00E55B7B"/>
    <w:rsid w:val="00E55D8F"/>
    <w:rsid w:val="00E55E74"/>
    <w:rsid w:val="00E56020"/>
    <w:rsid w:val="00E56058"/>
    <w:rsid w:val="00E56072"/>
    <w:rsid w:val="00E561BB"/>
    <w:rsid w:val="00E56205"/>
    <w:rsid w:val="00E563BE"/>
    <w:rsid w:val="00E56643"/>
    <w:rsid w:val="00E566C9"/>
    <w:rsid w:val="00E567EA"/>
    <w:rsid w:val="00E5681C"/>
    <w:rsid w:val="00E56850"/>
    <w:rsid w:val="00E568DC"/>
    <w:rsid w:val="00E568F8"/>
    <w:rsid w:val="00E56998"/>
    <w:rsid w:val="00E56A9A"/>
    <w:rsid w:val="00E56AB3"/>
    <w:rsid w:val="00E56BE3"/>
    <w:rsid w:val="00E56C42"/>
    <w:rsid w:val="00E56D39"/>
    <w:rsid w:val="00E56E3C"/>
    <w:rsid w:val="00E56E89"/>
    <w:rsid w:val="00E56EA9"/>
    <w:rsid w:val="00E56EB3"/>
    <w:rsid w:val="00E56F42"/>
    <w:rsid w:val="00E56FF3"/>
    <w:rsid w:val="00E57073"/>
    <w:rsid w:val="00E5714D"/>
    <w:rsid w:val="00E57183"/>
    <w:rsid w:val="00E571A1"/>
    <w:rsid w:val="00E571BE"/>
    <w:rsid w:val="00E571E0"/>
    <w:rsid w:val="00E5731E"/>
    <w:rsid w:val="00E57377"/>
    <w:rsid w:val="00E57441"/>
    <w:rsid w:val="00E574AF"/>
    <w:rsid w:val="00E574B6"/>
    <w:rsid w:val="00E57592"/>
    <w:rsid w:val="00E576C2"/>
    <w:rsid w:val="00E578FD"/>
    <w:rsid w:val="00E57922"/>
    <w:rsid w:val="00E57946"/>
    <w:rsid w:val="00E579A2"/>
    <w:rsid w:val="00E579BD"/>
    <w:rsid w:val="00E579D2"/>
    <w:rsid w:val="00E579F0"/>
    <w:rsid w:val="00E57A67"/>
    <w:rsid w:val="00E57B38"/>
    <w:rsid w:val="00E57B54"/>
    <w:rsid w:val="00E57B74"/>
    <w:rsid w:val="00E57BF2"/>
    <w:rsid w:val="00E57CCB"/>
    <w:rsid w:val="00E57D4C"/>
    <w:rsid w:val="00E57DA7"/>
    <w:rsid w:val="00E57E6D"/>
    <w:rsid w:val="00E57EA6"/>
    <w:rsid w:val="00E5FA41"/>
    <w:rsid w:val="00E6003D"/>
    <w:rsid w:val="00E60048"/>
    <w:rsid w:val="00E600C0"/>
    <w:rsid w:val="00E602A5"/>
    <w:rsid w:val="00E60330"/>
    <w:rsid w:val="00E60351"/>
    <w:rsid w:val="00E603E3"/>
    <w:rsid w:val="00E603E9"/>
    <w:rsid w:val="00E604D8"/>
    <w:rsid w:val="00E605FE"/>
    <w:rsid w:val="00E60625"/>
    <w:rsid w:val="00E606DB"/>
    <w:rsid w:val="00E60740"/>
    <w:rsid w:val="00E6085D"/>
    <w:rsid w:val="00E60885"/>
    <w:rsid w:val="00E6094C"/>
    <w:rsid w:val="00E60A35"/>
    <w:rsid w:val="00E60A5D"/>
    <w:rsid w:val="00E60B9C"/>
    <w:rsid w:val="00E60C25"/>
    <w:rsid w:val="00E60C56"/>
    <w:rsid w:val="00E60CAB"/>
    <w:rsid w:val="00E60CBC"/>
    <w:rsid w:val="00E60CCE"/>
    <w:rsid w:val="00E60D0D"/>
    <w:rsid w:val="00E60F52"/>
    <w:rsid w:val="00E60FA7"/>
    <w:rsid w:val="00E60FEE"/>
    <w:rsid w:val="00E60FFC"/>
    <w:rsid w:val="00E61076"/>
    <w:rsid w:val="00E610A0"/>
    <w:rsid w:val="00E61180"/>
    <w:rsid w:val="00E6119B"/>
    <w:rsid w:val="00E611D6"/>
    <w:rsid w:val="00E61305"/>
    <w:rsid w:val="00E61353"/>
    <w:rsid w:val="00E61544"/>
    <w:rsid w:val="00E615A3"/>
    <w:rsid w:val="00E6165C"/>
    <w:rsid w:val="00E61707"/>
    <w:rsid w:val="00E61717"/>
    <w:rsid w:val="00E617E1"/>
    <w:rsid w:val="00E617F1"/>
    <w:rsid w:val="00E617FE"/>
    <w:rsid w:val="00E61808"/>
    <w:rsid w:val="00E6184D"/>
    <w:rsid w:val="00E618AE"/>
    <w:rsid w:val="00E61974"/>
    <w:rsid w:val="00E6199D"/>
    <w:rsid w:val="00E61ACB"/>
    <w:rsid w:val="00E61ADE"/>
    <w:rsid w:val="00E61B49"/>
    <w:rsid w:val="00E61CB9"/>
    <w:rsid w:val="00E61D3E"/>
    <w:rsid w:val="00E61D48"/>
    <w:rsid w:val="00E61EB9"/>
    <w:rsid w:val="00E62042"/>
    <w:rsid w:val="00E6213A"/>
    <w:rsid w:val="00E6215C"/>
    <w:rsid w:val="00E621A3"/>
    <w:rsid w:val="00E621CA"/>
    <w:rsid w:val="00E621CE"/>
    <w:rsid w:val="00E622D2"/>
    <w:rsid w:val="00E62341"/>
    <w:rsid w:val="00E62381"/>
    <w:rsid w:val="00E624F4"/>
    <w:rsid w:val="00E62592"/>
    <w:rsid w:val="00E627B4"/>
    <w:rsid w:val="00E627F4"/>
    <w:rsid w:val="00E62885"/>
    <w:rsid w:val="00E62901"/>
    <w:rsid w:val="00E6299A"/>
    <w:rsid w:val="00E62A9D"/>
    <w:rsid w:val="00E62AA9"/>
    <w:rsid w:val="00E62B2B"/>
    <w:rsid w:val="00E62C18"/>
    <w:rsid w:val="00E62C66"/>
    <w:rsid w:val="00E62C73"/>
    <w:rsid w:val="00E62C89"/>
    <w:rsid w:val="00E62D51"/>
    <w:rsid w:val="00E62D5C"/>
    <w:rsid w:val="00E62D64"/>
    <w:rsid w:val="00E62D84"/>
    <w:rsid w:val="00E62DC6"/>
    <w:rsid w:val="00E62E2F"/>
    <w:rsid w:val="00E62F8E"/>
    <w:rsid w:val="00E63045"/>
    <w:rsid w:val="00E63087"/>
    <w:rsid w:val="00E63098"/>
    <w:rsid w:val="00E630B5"/>
    <w:rsid w:val="00E630F0"/>
    <w:rsid w:val="00E63108"/>
    <w:rsid w:val="00E63177"/>
    <w:rsid w:val="00E6321F"/>
    <w:rsid w:val="00E6327A"/>
    <w:rsid w:val="00E632BF"/>
    <w:rsid w:val="00E633FF"/>
    <w:rsid w:val="00E6351C"/>
    <w:rsid w:val="00E6361A"/>
    <w:rsid w:val="00E6376C"/>
    <w:rsid w:val="00E63805"/>
    <w:rsid w:val="00E63820"/>
    <w:rsid w:val="00E6383E"/>
    <w:rsid w:val="00E6384E"/>
    <w:rsid w:val="00E639DE"/>
    <w:rsid w:val="00E639E2"/>
    <w:rsid w:val="00E63AC5"/>
    <w:rsid w:val="00E63AEA"/>
    <w:rsid w:val="00E63BFC"/>
    <w:rsid w:val="00E63C14"/>
    <w:rsid w:val="00E63C17"/>
    <w:rsid w:val="00E63CD6"/>
    <w:rsid w:val="00E63CEC"/>
    <w:rsid w:val="00E63D9A"/>
    <w:rsid w:val="00E63E06"/>
    <w:rsid w:val="00E63E22"/>
    <w:rsid w:val="00E63E31"/>
    <w:rsid w:val="00E63E44"/>
    <w:rsid w:val="00E63E79"/>
    <w:rsid w:val="00E63FB9"/>
    <w:rsid w:val="00E6402E"/>
    <w:rsid w:val="00E64152"/>
    <w:rsid w:val="00E6416D"/>
    <w:rsid w:val="00E6419F"/>
    <w:rsid w:val="00E64238"/>
    <w:rsid w:val="00E642CB"/>
    <w:rsid w:val="00E6438F"/>
    <w:rsid w:val="00E64457"/>
    <w:rsid w:val="00E644A1"/>
    <w:rsid w:val="00E64533"/>
    <w:rsid w:val="00E6457A"/>
    <w:rsid w:val="00E6458B"/>
    <w:rsid w:val="00E645B7"/>
    <w:rsid w:val="00E645D9"/>
    <w:rsid w:val="00E646F9"/>
    <w:rsid w:val="00E64777"/>
    <w:rsid w:val="00E649D3"/>
    <w:rsid w:val="00E64A8C"/>
    <w:rsid w:val="00E64B37"/>
    <w:rsid w:val="00E64C05"/>
    <w:rsid w:val="00E64C1F"/>
    <w:rsid w:val="00E64CBB"/>
    <w:rsid w:val="00E64CC9"/>
    <w:rsid w:val="00E64D4B"/>
    <w:rsid w:val="00E64EC8"/>
    <w:rsid w:val="00E64F26"/>
    <w:rsid w:val="00E650CB"/>
    <w:rsid w:val="00E650E9"/>
    <w:rsid w:val="00E65130"/>
    <w:rsid w:val="00E651B3"/>
    <w:rsid w:val="00E65205"/>
    <w:rsid w:val="00E6522A"/>
    <w:rsid w:val="00E652B1"/>
    <w:rsid w:val="00E652E0"/>
    <w:rsid w:val="00E65324"/>
    <w:rsid w:val="00E653A6"/>
    <w:rsid w:val="00E65408"/>
    <w:rsid w:val="00E65533"/>
    <w:rsid w:val="00E655F5"/>
    <w:rsid w:val="00E65626"/>
    <w:rsid w:val="00E65712"/>
    <w:rsid w:val="00E657BA"/>
    <w:rsid w:val="00E65812"/>
    <w:rsid w:val="00E65830"/>
    <w:rsid w:val="00E65881"/>
    <w:rsid w:val="00E6591B"/>
    <w:rsid w:val="00E6591F"/>
    <w:rsid w:val="00E65967"/>
    <w:rsid w:val="00E65A2F"/>
    <w:rsid w:val="00E65A5D"/>
    <w:rsid w:val="00E65A66"/>
    <w:rsid w:val="00E65AF5"/>
    <w:rsid w:val="00E65B71"/>
    <w:rsid w:val="00E65D15"/>
    <w:rsid w:val="00E65D9D"/>
    <w:rsid w:val="00E65DFD"/>
    <w:rsid w:val="00E65F8D"/>
    <w:rsid w:val="00E6600B"/>
    <w:rsid w:val="00E66013"/>
    <w:rsid w:val="00E660E6"/>
    <w:rsid w:val="00E66107"/>
    <w:rsid w:val="00E66199"/>
    <w:rsid w:val="00E662D0"/>
    <w:rsid w:val="00E6631B"/>
    <w:rsid w:val="00E664A8"/>
    <w:rsid w:val="00E664BF"/>
    <w:rsid w:val="00E664D3"/>
    <w:rsid w:val="00E6655B"/>
    <w:rsid w:val="00E665C3"/>
    <w:rsid w:val="00E6668A"/>
    <w:rsid w:val="00E666AB"/>
    <w:rsid w:val="00E666BC"/>
    <w:rsid w:val="00E666F0"/>
    <w:rsid w:val="00E666F6"/>
    <w:rsid w:val="00E66869"/>
    <w:rsid w:val="00E66934"/>
    <w:rsid w:val="00E66A70"/>
    <w:rsid w:val="00E66B98"/>
    <w:rsid w:val="00E66C25"/>
    <w:rsid w:val="00E66C6A"/>
    <w:rsid w:val="00E66C95"/>
    <w:rsid w:val="00E66D80"/>
    <w:rsid w:val="00E66DC9"/>
    <w:rsid w:val="00E66E24"/>
    <w:rsid w:val="00E66E3D"/>
    <w:rsid w:val="00E66F00"/>
    <w:rsid w:val="00E66F29"/>
    <w:rsid w:val="00E67050"/>
    <w:rsid w:val="00E6718D"/>
    <w:rsid w:val="00E671BF"/>
    <w:rsid w:val="00E671E7"/>
    <w:rsid w:val="00E67223"/>
    <w:rsid w:val="00E67354"/>
    <w:rsid w:val="00E673EF"/>
    <w:rsid w:val="00E674BA"/>
    <w:rsid w:val="00E674DC"/>
    <w:rsid w:val="00E6752C"/>
    <w:rsid w:val="00E6754F"/>
    <w:rsid w:val="00E6757B"/>
    <w:rsid w:val="00E67708"/>
    <w:rsid w:val="00E67766"/>
    <w:rsid w:val="00E677D5"/>
    <w:rsid w:val="00E6787C"/>
    <w:rsid w:val="00E6787D"/>
    <w:rsid w:val="00E679AD"/>
    <w:rsid w:val="00E67A37"/>
    <w:rsid w:val="00E67A4D"/>
    <w:rsid w:val="00E67AD4"/>
    <w:rsid w:val="00E67B25"/>
    <w:rsid w:val="00E67B38"/>
    <w:rsid w:val="00E67C75"/>
    <w:rsid w:val="00E67C76"/>
    <w:rsid w:val="00E67CC3"/>
    <w:rsid w:val="00E67E1C"/>
    <w:rsid w:val="00E67F84"/>
    <w:rsid w:val="00E7004B"/>
    <w:rsid w:val="00E7008C"/>
    <w:rsid w:val="00E70101"/>
    <w:rsid w:val="00E7010B"/>
    <w:rsid w:val="00E70142"/>
    <w:rsid w:val="00E701D4"/>
    <w:rsid w:val="00E7026C"/>
    <w:rsid w:val="00E70314"/>
    <w:rsid w:val="00E70485"/>
    <w:rsid w:val="00E704B9"/>
    <w:rsid w:val="00E7057E"/>
    <w:rsid w:val="00E705BC"/>
    <w:rsid w:val="00E705EB"/>
    <w:rsid w:val="00E70867"/>
    <w:rsid w:val="00E70905"/>
    <w:rsid w:val="00E7097F"/>
    <w:rsid w:val="00E709F0"/>
    <w:rsid w:val="00E70A03"/>
    <w:rsid w:val="00E70AAE"/>
    <w:rsid w:val="00E70AE7"/>
    <w:rsid w:val="00E70B38"/>
    <w:rsid w:val="00E70B57"/>
    <w:rsid w:val="00E70B81"/>
    <w:rsid w:val="00E70C52"/>
    <w:rsid w:val="00E70C6C"/>
    <w:rsid w:val="00E70C7C"/>
    <w:rsid w:val="00E70CB7"/>
    <w:rsid w:val="00E70D13"/>
    <w:rsid w:val="00E70D3B"/>
    <w:rsid w:val="00E70D6D"/>
    <w:rsid w:val="00E70E22"/>
    <w:rsid w:val="00E70E6F"/>
    <w:rsid w:val="00E70F34"/>
    <w:rsid w:val="00E71189"/>
    <w:rsid w:val="00E71196"/>
    <w:rsid w:val="00E71238"/>
    <w:rsid w:val="00E71239"/>
    <w:rsid w:val="00E712E0"/>
    <w:rsid w:val="00E7136F"/>
    <w:rsid w:val="00E7141A"/>
    <w:rsid w:val="00E71523"/>
    <w:rsid w:val="00E7152C"/>
    <w:rsid w:val="00E7165C"/>
    <w:rsid w:val="00E7169D"/>
    <w:rsid w:val="00E716EA"/>
    <w:rsid w:val="00E7176A"/>
    <w:rsid w:val="00E71830"/>
    <w:rsid w:val="00E71968"/>
    <w:rsid w:val="00E7197B"/>
    <w:rsid w:val="00E719D7"/>
    <w:rsid w:val="00E71B12"/>
    <w:rsid w:val="00E71B1B"/>
    <w:rsid w:val="00E71B55"/>
    <w:rsid w:val="00E71BBA"/>
    <w:rsid w:val="00E71C49"/>
    <w:rsid w:val="00E71CAB"/>
    <w:rsid w:val="00E71DAB"/>
    <w:rsid w:val="00E71DB1"/>
    <w:rsid w:val="00E71E00"/>
    <w:rsid w:val="00E71F19"/>
    <w:rsid w:val="00E71FBD"/>
    <w:rsid w:val="00E71FF9"/>
    <w:rsid w:val="00E7206F"/>
    <w:rsid w:val="00E7209F"/>
    <w:rsid w:val="00E72252"/>
    <w:rsid w:val="00E723D9"/>
    <w:rsid w:val="00E7243F"/>
    <w:rsid w:val="00E72460"/>
    <w:rsid w:val="00E72660"/>
    <w:rsid w:val="00E72685"/>
    <w:rsid w:val="00E7272F"/>
    <w:rsid w:val="00E728ED"/>
    <w:rsid w:val="00E72962"/>
    <w:rsid w:val="00E729B0"/>
    <w:rsid w:val="00E72A2D"/>
    <w:rsid w:val="00E72A52"/>
    <w:rsid w:val="00E72BE8"/>
    <w:rsid w:val="00E72BFF"/>
    <w:rsid w:val="00E72C68"/>
    <w:rsid w:val="00E72C70"/>
    <w:rsid w:val="00E72E24"/>
    <w:rsid w:val="00E72E77"/>
    <w:rsid w:val="00E72FE8"/>
    <w:rsid w:val="00E73006"/>
    <w:rsid w:val="00E7300E"/>
    <w:rsid w:val="00E73024"/>
    <w:rsid w:val="00E7302B"/>
    <w:rsid w:val="00E73040"/>
    <w:rsid w:val="00E73110"/>
    <w:rsid w:val="00E7323F"/>
    <w:rsid w:val="00E732A5"/>
    <w:rsid w:val="00E732C9"/>
    <w:rsid w:val="00E73310"/>
    <w:rsid w:val="00E733C1"/>
    <w:rsid w:val="00E733F9"/>
    <w:rsid w:val="00E73409"/>
    <w:rsid w:val="00E73440"/>
    <w:rsid w:val="00E734C2"/>
    <w:rsid w:val="00E7352D"/>
    <w:rsid w:val="00E73535"/>
    <w:rsid w:val="00E736B0"/>
    <w:rsid w:val="00E73760"/>
    <w:rsid w:val="00E73769"/>
    <w:rsid w:val="00E73849"/>
    <w:rsid w:val="00E738CD"/>
    <w:rsid w:val="00E73A7D"/>
    <w:rsid w:val="00E73AEF"/>
    <w:rsid w:val="00E73B85"/>
    <w:rsid w:val="00E73C69"/>
    <w:rsid w:val="00E73CB3"/>
    <w:rsid w:val="00E73EF6"/>
    <w:rsid w:val="00E73F9F"/>
    <w:rsid w:val="00E74025"/>
    <w:rsid w:val="00E741AB"/>
    <w:rsid w:val="00E7431E"/>
    <w:rsid w:val="00E74366"/>
    <w:rsid w:val="00E74412"/>
    <w:rsid w:val="00E7446F"/>
    <w:rsid w:val="00E7453C"/>
    <w:rsid w:val="00E745F5"/>
    <w:rsid w:val="00E74612"/>
    <w:rsid w:val="00E74621"/>
    <w:rsid w:val="00E74758"/>
    <w:rsid w:val="00E74788"/>
    <w:rsid w:val="00E747F3"/>
    <w:rsid w:val="00E74812"/>
    <w:rsid w:val="00E74813"/>
    <w:rsid w:val="00E74832"/>
    <w:rsid w:val="00E748B6"/>
    <w:rsid w:val="00E748E3"/>
    <w:rsid w:val="00E74925"/>
    <w:rsid w:val="00E749E4"/>
    <w:rsid w:val="00E749E6"/>
    <w:rsid w:val="00E74A5E"/>
    <w:rsid w:val="00E74A6C"/>
    <w:rsid w:val="00E74A7A"/>
    <w:rsid w:val="00E74A83"/>
    <w:rsid w:val="00E74AB4"/>
    <w:rsid w:val="00E74B87"/>
    <w:rsid w:val="00E74BA8"/>
    <w:rsid w:val="00E74BD0"/>
    <w:rsid w:val="00E74C2D"/>
    <w:rsid w:val="00E74C5C"/>
    <w:rsid w:val="00E74E5D"/>
    <w:rsid w:val="00E74E5E"/>
    <w:rsid w:val="00E74E6B"/>
    <w:rsid w:val="00E74EBE"/>
    <w:rsid w:val="00E750BA"/>
    <w:rsid w:val="00E7513E"/>
    <w:rsid w:val="00E7523F"/>
    <w:rsid w:val="00E75258"/>
    <w:rsid w:val="00E75262"/>
    <w:rsid w:val="00E75448"/>
    <w:rsid w:val="00E754A6"/>
    <w:rsid w:val="00E754E3"/>
    <w:rsid w:val="00E75504"/>
    <w:rsid w:val="00E75563"/>
    <w:rsid w:val="00E7578E"/>
    <w:rsid w:val="00E757B7"/>
    <w:rsid w:val="00E758A7"/>
    <w:rsid w:val="00E758F0"/>
    <w:rsid w:val="00E75914"/>
    <w:rsid w:val="00E75962"/>
    <w:rsid w:val="00E7598E"/>
    <w:rsid w:val="00E759A6"/>
    <w:rsid w:val="00E75A18"/>
    <w:rsid w:val="00E75AAF"/>
    <w:rsid w:val="00E75ABC"/>
    <w:rsid w:val="00E75ABD"/>
    <w:rsid w:val="00E75B15"/>
    <w:rsid w:val="00E75BFA"/>
    <w:rsid w:val="00E75C25"/>
    <w:rsid w:val="00E75C2D"/>
    <w:rsid w:val="00E75CB9"/>
    <w:rsid w:val="00E75D05"/>
    <w:rsid w:val="00E75D4C"/>
    <w:rsid w:val="00E75DBB"/>
    <w:rsid w:val="00E75E94"/>
    <w:rsid w:val="00E75ED7"/>
    <w:rsid w:val="00E76029"/>
    <w:rsid w:val="00E76165"/>
    <w:rsid w:val="00E76297"/>
    <w:rsid w:val="00E762B2"/>
    <w:rsid w:val="00E762DB"/>
    <w:rsid w:val="00E762E0"/>
    <w:rsid w:val="00E7636B"/>
    <w:rsid w:val="00E763F8"/>
    <w:rsid w:val="00E7642A"/>
    <w:rsid w:val="00E764F7"/>
    <w:rsid w:val="00E767AA"/>
    <w:rsid w:val="00E76832"/>
    <w:rsid w:val="00E76935"/>
    <w:rsid w:val="00E769DE"/>
    <w:rsid w:val="00E76A91"/>
    <w:rsid w:val="00E76BAC"/>
    <w:rsid w:val="00E76C00"/>
    <w:rsid w:val="00E76C2E"/>
    <w:rsid w:val="00E76C8E"/>
    <w:rsid w:val="00E76CC9"/>
    <w:rsid w:val="00E76D1A"/>
    <w:rsid w:val="00E76DB5"/>
    <w:rsid w:val="00E76EEF"/>
    <w:rsid w:val="00E76EF1"/>
    <w:rsid w:val="00E76F93"/>
    <w:rsid w:val="00E76FB3"/>
    <w:rsid w:val="00E76FC5"/>
    <w:rsid w:val="00E7702A"/>
    <w:rsid w:val="00E7702E"/>
    <w:rsid w:val="00E77091"/>
    <w:rsid w:val="00E77123"/>
    <w:rsid w:val="00E77135"/>
    <w:rsid w:val="00E77357"/>
    <w:rsid w:val="00E774EA"/>
    <w:rsid w:val="00E775D5"/>
    <w:rsid w:val="00E776FA"/>
    <w:rsid w:val="00E777E1"/>
    <w:rsid w:val="00E777EC"/>
    <w:rsid w:val="00E7790A"/>
    <w:rsid w:val="00E77A07"/>
    <w:rsid w:val="00E77AC3"/>
    <w:rsid w:val="00E77B9C"/>
    <w:rsid w:val="00E77BEE"/>
    <w:rsid w:val="00E77CC2"/>
    <w:rsid w:val="00E77CDB"/>
    <w:rsid w:val="00E77D4E"/>
    <w:rsid w:val="00E77DB1"/>
    <w:rsid w:val="00E77EBD"/>
    <w:rsid w:val="00E77EED"/>
    <w:rsid w:val="00E7848C"/>
    <w:rsid w:val="00E8003A"/>
    <w:rsid w:val="00E804E6"/>
    <w:rsid w:val="00E8068B"/>
    <w:rsid w:val="00E806B7"/>
    <w:rsid w:val="00E806FF"/>
    <w:rsid w:val="00E80781"/>
    <w:rsid w:val="00E807E3"/>
    <w:rsid w:val="00E80862"/>
    <w:rsid w:val="00E8088C"/>
    <w:rsid w:val="00E80B30"/>
    <w:rsid w:val="00E80B49"/>
    <w:rsid w:val="00E80BB7"/>
    <w:rsid w:val="00E80CB4"/>
    <w:rsid w:val="00E80D16"/>
    <w:rsid w:val="00E80D54"/>
    <w:rsid w:val="00E80F93"/>
    <w:rsid w:val="00E81050"/>
    <w:rsid w:val="00E810A1"/>
    <w:rsid w:val="00E8115C"/>
    <w:rsid w:val="00E811B3"/>
    <w:rsid w:val="00E8135C"/>
    <w:rsid w:val="00E81395"/>
    <w:rsid w:val="00E813BB"/>
    <w:rsid w:val="00E813F1"/>
    <w:rsid w:val="00E81408"/>
    <w:rsid w:val="00E814CC"/>
    <w:rsid w:val="00E81732"/>
    <w:rsid w:val="00E81808"/>
    <w:rsid w:val="00E81819"/>
    <w:rsid w:val="00E818B5"/>
    <w:rsid w:val="00E818D8"/>
    <w:rsid w:val="00E818E9"/>
    <w:rsid w:val="00E8194B"/>
    <w:rsid w:val="00E81A39"/>
    <w:rsid w:val="00E81A6D"/>
    <w:rsid w:val="00E81A72"/>
    <w:rsid w:val="00E81AA3"/>
    <w:rsid w:val="00E81AE8"/>
    <w:rsid w:val="00E81AEC"/>
    <w:rsid w:val="00E81BC7"/>
    <w:rsid w:val="00E81C2B"/>
    <w:rsid w:val="00E81D08"/>
    <w:rsid w:val="00E81D93"/>
    <w:rsid w:val="00E81D98"/>
    <w:rsid w:val="00E81D9A"/>
    <w:rsid w:val="00E81DBD"/>
    <w:rsid w:val="00E81DF2"/>
    <w:rsid w:val="00E8218B"/>
    <w:rsid w:val="00E8221F"/>
    <w:rsid w:val="00E822C5"/>
    <w:rsid w:val="00E8243B"/>
    <w:rsid w:val="00E8244F"/>
    <w:rsid w:val="00E824A0"/>
    <w:rsid w:val="00E824EB"/>
    <w:rsid w:val="00E82519"/>
    <w:rsid w:val="00E8253F"/>
    <w:rsid w:val="00E8255F"/>
    <w:rsid w:val="00E825C8"/>
    <w:rsid w:val="00E825E1"/>
    <w:rsid w:val="00E825E3"/>
    <w:rsid w:val="00E825FC"/>
    <w:rsid w:val="00E82613"/>
    <w:rsid w:val="00E82663"/>
    <w:rsid w:val="00E82771"/>
    <w:rsid w:val="00E8291C"/>
    <w:rsid w:val="00E82996"/>
    <w:rsid w:val="00E829A2"/>
    <w:rsid w:val="00E829A9"/>
    <w:rsid w:val="00E829D5"/>
    <w:rsid w:val="00E82A1F"/>
    <w:rsid w:val="00E82B60"/>
    <w:rsid w:val="00E82BAE"/>
    <w:rsid w:val="00E82BEC"/>
    <w:rsid w:val="00E82C63"/>
    <w:rsid w:val="00E82C95"/>
    <w:rsid w:val="00E82D58"/>
    <w:rsid w:val="00E82DA0"/>
    <w:rsid w:val="00E82DFF"/>
    <w:rsid w:val="00E82EE8"/>
    <w:rsid w:val="00E82F73"/>
    <w:rsid w:val="00E8303B"/>
    <w:rsid w:val="00E83130"/>
    <w:rsid w:val="00E83263"/>
    <w:rsid w:val="00E8328C"/>
    <w:rsid w:val="00E8333C"/>
    <w:rsid w:val="00E83353"/>
    <w:rsid w:val="00E83372"/>
    <w:rsid w:val="00E83428"/>
    <w:rsid w:val="00E83474"/>
    <w:rsid w:val="00E834D3"/>
    <w:rsid w:val="00E834F6"/>
    <w:rsid w:val="00E83531"/>
    <w:rsid w:val="00E83598"/>
    <w:rsid w:val="00E835E8"/>
    <w:rsid w:val="00E83908"/>
    <w:rsid w:val="00E839A2"/>
    <w:rsid w:val="00E83A21"/>
    <w:rsid w:val="00E83A32"/>
    <w:rsid w:val="00E83A3E"/>
    <w:rsid w:val="00E83C25"/>
    <w:rsid w:val="00E83C4A"/>
    <w:rsid w:val="00E83DDB"/>
    <w:rsid w:val="00E83E26"/>
    <w:rsid w:val="00E83EAF"/>
    <w:rsid w:val="00E83F10"/>
    <w:rsid w:val="00E83F61"/>
    <w:rsid w:val="00E83F8F"/>
    <w:rsid w:val="00E83FBD"/>
    <w:rsid w:val="00E84172"/>
    <w:rsid w:val="00E843F7"/>
    <w:rsid w:val="00E844AB"/>
    <w:rsid w:val="00E84568"/>
    <w:rsid w:val="00E8458E"/>
    <w:rsid w:val="00E845D4"/>
    <w:rsid w:val="00E845E9"/>
    <w:rsid w:val="00E84857"/>
    <w:rsid w:val="00E848F3"/>
    <w:rsid w:val="00E849A5"/>
    <w:rsid w:val="00E84A64"/>
    <w:rsid w:val="00E84ACE"/>
    <w:rsid w:val="00E84AFC"/>
    <w:rsid w:val="00E84B9C"/>
    <w:rsid w:val="00E84C0C"/>
    <w:rsid w:val="00E84C6F"/>
    <w:rsid w:val="00E84E91"/>
    <w:rsid w:val="00E84F5B"/>
    <w:rsid w:val="00E84F6A"/>
    <w:rsid w:val="00E84F86"/>
    <w:rsid w:val="00E850B5"/>
    <w:rsid w:val="00E8532A"/>
    <w:rsid w:val="00E85337"/>
    <w:rsid w:val="00E8534B"/>
    <w:rsid w:val="00E8536C"/>
    <w:rsid w:val="00E853FB"/>
    <w:rsid w:val="00E85466"/>
    <w:rsid w:val="00E85557"/>
    <w:rsid w:val="00E855C7"/>
    <w:rsid w:val="00E8571E"/>
    <w:rsid w:val="00E85745"/>
    <w:rsid w:val="00E85752"/>
    <w:rsid w:val="00E857B9"/>
    <w:rsid w:val="00E8580B"/>
    <w:rsid w:val="00E858BB"/>
    <w:rsid w:val="00E858FF"/>
    <w:rsid w:val="00E859C9"/>
    <w:rsid w:val="00E859CC"/>
    <w:rsid w:val="00E85A01"/>
    <w:rsid w:val="00E85A2E"/>
    <w:rsid w:val="00E85A8B"/>
    <w:rsid w:val="00E85AF3"/>
    <w:rsid w:val="00E85B13"/>
    <w:rsid w:val="00E85B9C"/>
    <w:rsid w:val="00E85BEA"/>
    <w:rsid w:val="00E85C97"/>
    <w:rsid w:val="00E85DAA"/>
    <w:rsid w:val="00E85DC1"/>
    <w:rsid w:val="00E85E96"/>
    <w:rsid w:val="00E85EDF"/>
    <w:rsid w:val="00E86001"/>
    <w:rsid w:val="00E86059"/>
    <w:rsid w:val="00E861A8"/>
    <w:rsid w:val="00E86283"/>
    <w:rsid w:val="00E862D0"/>
    <w:rsid w:val="00E8632E"/>
    <w:rsid w:val="00E8641C"/>
    <w:rsid w:val="00E8649A"/>
    <w:rsid w:val="00E864A1"/>
    <w:rsid w:val="00E864A4"/>
    <w:rsid w:val="00E864C1"/>
    <w:rsid w:val="00E86507"/>
    <w:rsid w:val="00E86537"/>
    <w:rsid w:val="00E8653E"/>
    <w:rsid w:val="00E865CA"/>
    <w:rsid w:val="00E86635"/>
    <w:rsid w:val="00E86782"/>
    <w:rsid w:val="00E8683D"/>
    <w:rsid w:val="00E8684F"/>
    <w:rsid w:val="00E8692A"/>
    <w:rsid w:val="00E869B6"/>
    <w:rsid w:val="00E86A5B"/>
    <w:rsid w:val="00E86A98"/>
    <w:rsid w:val="00E86AE0"/>
    <w:rsid w:val="00E86BCA"/>
    <w:rsid w:val="00E86BCC"/>
    <w:rsid w:val="00E86D49"/>
    <w:rsid w:val="00E86DE0"/>
    <w:rsid w:val="00E86DEC"/>
    <w:rsid w:val="00E86DEE"/>
    <w:rsid w:val="00E86E83"/>
    <w:rsid w:val="00E86ED3"/>
    <w:rsid w:val="00E87038"/>
    <w:rsid w:val="00E87073"/>
    <w:rsid w:val="00E872AD"/>
    <w:rsid w:val="00E872BF"/>
    <w:rsid w:val="00E872D1"/>
    <w:rsid w:val="00E8734A"/>
    <w:rsid w:val="00E8735C"/>
    <w:rsid w:val="00E87630"/>
    <w:rsid w:val="00E877AD"/>
    <w:rsid w:val="00E87843"/>
    <w:rsid w:val="00E87986"/>
    <w:rsid w:val="00E879B3"/>
    <w:rsid w:val="00E879E1"/>
    <w:rsid w:val="00E87AA2"/>
    <w:rsid w:val="00E87B02"/>
    <w:rsid w:val="00E87BD1"/>
    <w:rsid w:val="00E87C8E"/>
    <w:rsid w:val="00E87D21"/>
    <w:rsid w:val="00E87F37"/>
    <w:rsid w:val="00E87F43"/>
    <w:rsid w:val="00E87FBE"/>
    <w:rsid w:val="00E87FE1"/>
    <w:rsid w:val="00E90027"/>
    <w:rsid w:val="00E901A4"/>
    <w:rsid w:val="00E903AC"/>
    <w:rsid w:val="00E903BC"/>
    <w:rsid w:val="00E904B4"/>
    <w:rsid w:val="00E904C3"/>
    <w:rsid w:val="00E9061C"/>
    <w:rsid w:val="00E906BB"/>
    <w:rsid w:val="00E90728"/>
    <w:rsid w:val="00E9076A"/>
    <w:rsid w:val="00E9079D"/>
    <w:rsid w:val="00E90886"/>
    <w:rsid w:val="00E908E8"/>
    <w:rsid w:val="00E908F2"/>
    <w:rsid w:val="00E90910"/>
    <w:rsid w:val="00E90947"/>
    <w:rsid w:val="00E90964"/>
    <w:rsid w:val="00E909DA"/>
    <w:rsid w:val="00E90A33"/>
    <w:rsid w:val="00E90CBB"/>
    <w:rsid w:val="00E90D35"/>
    <w:rsid w:val="00E90E48"/>
    <w:rsid w:val="00E90F0E"/>
    <w:rsid w:val="00E90F2C"/>
    <w:rsid w:val="00E90FCE"/>
    <w:rsid w:val="00E9102F"/>
    <w:rsid w:val="00E91096"/>
    <w:rsid w:val="00E91099"/>
    <w:rsid w:val="00E910BB"/>
    <w:rsid w:val="00E910D0"/>
    <w:rsid w:val="00E911BA"/>
    <w:rsid w:val="00E91349"/>
    <w:rsid w:val="00E915BD"/>
    <w:rsid w:val="00E915D9"/>
    <w:rsid w:val="00E91618"/>
    <w:rsid w:val="00E91652"/>
    <w:rsid w:val="00E91700"/>
    <w:rsid w:val="00E9181D"/>
    <w:rsid w:val="00E9185A"/>
    <w:rsid w:val="00E918E9"/>
    <w:rsid w:val="00E91908"/>
    <w:rsid w:val="00E9199E"/>
    <w:rsid w:val="00E91A3D"/>
    <w:rsid w:val="00E91A46"/>
    <w:rsid w:val="00E91AA4"/>
    <w:rsid w:val="00E91AB9"/>
    <w:rsid w:val="00E91AC4"/>
    <w:rsid w:val="00E91B27"/>
    <w:rsid w:val="00E91B5A"/>
    <w:rsid w:val="00E91BA8"/>
    <w:rsid w:val="00E91F23"/>
    <w:rsid w:val="00E91FD0"/>
    <w:rsid w:val="00E91FF1"/>
    <w:rsid w:val="00E91FFD"/>
    <w:rsid w:val="00E9215D"/>
    <w:rsid w:val="00E921CD"/>
    <w:rsid w:val="00E92200"/>
    <w:rsid w:val="00E9222F"/>
    <w:rsid w:val="00E9225B"/>
    <w:rsid w:val="00E9232E"/>
    <w:rsid w:val="00E92350"/>
    <w:rsid w:val="00E923DA"/>
    <w:rsid w:val="00E92411"/>
    <w:rsid w:val="00E9244B"/>
    <w:rsid w:val="00E925DF"/>
    <w:rsid w:val="00E92619"/>
    <w:rsid w:val="00E92779"/>
    <w:rsid w:val="00E9280A"/>
    <w:rsid w:val="00E92818"/>
    <w:rsid w:val="00E9289F"/>
    <w:rsid w:val="00E928D1"/>
    <w:rsid w:val="00E92959"/>
    <w:rsid w:val="00E9297C"/>
    <w:rsid w:val="00E92AC4"/>
    <w:rsid w:val="00E92ADE"/>
    <w:rsid w:val="00E92D33"/>
    <w:rsid w:val="00E92D81"/>
    <w:rsid w:val="00E92D98"/>
    <w:rsid w:val="00E92DD0"/>
    <w:rsid w:val="00E92E0C"/>
    <w:rsid w:val="00E92EA9"/>
    <w:rsid w:val="00E92EC6"/>
    <w:rsid w:val="00E92F51"/>
    <w:rsid w:val="00E92FC5"/>
    <w:rsid w:val="00E931B3"/>
    <w:rsid w:val="00E9327A"/>
    <w:rsid w:val="00E9327B"/>
    <w:rsid w:val="00E9327E"/>
    <w:rsid w:val="00E932F7"/>
    <w:rsid w:val="00E933E9"/>
    <w:rsid w:val="00E93454"/>
    <w:rsid w:val="00E934AE"/>
    <w:rsid w:val="00E93595"/>
    <w:rsid w:val="00E936EF"/>
    <w:rsid w:val="00E93767"/>
    <w:rsid w:val="00E937CF"/>
    <w:rsid w:val="00E938BA"/>
    <w:rsid w:val="00E9393D"/>
    <w:rsid w:val="00E93A7B"/>
    <w:rsid w:val="00E93AC9"/>
    <w:rsid w:val="00E93B59"/>
    <w:rsid w:val="00E93B8B"/>
    <w:rsid w:val="00E93CD4"/>
    <w:rsid w:val="00E93CDC"/>
    <w:rsid w:val="00E93D0A"/>
    <w:rsid w:val="00E93D12"/>
    <w:rsid w:val="00E93D62"/>
    <w:rsid w:val="00E93DC7"/>
    <w:rsid w:val="00E93DEC"/>
    <w:rsid w:val="00E93EA2"/>
    <w:rsid w:val="00E93F6C"/>
    <w:rsid w:val="00E93F95"/>
    <w:rsid w:val="00E93FCE"/>
    <w:rsid w:val="00E940EB"/>
    <w:rsid w:val="00E9410B"/>
    <w:rsid w:val="00E9410D"/>
    <w:rsid w:val="00E9422E"/>
    <w:rsid w:val="00E9430A"/>
    <w:rsid w:val="00E9435A"/>
    <w:rsid w:val="00E9436B"/>
    <w:rsid w:val="00E943FC"/>
    <w:rsid w:val="00E944BD"/>
    <w:rsid w:val="00E946F0"/>
    <w:rsid w:val="00E9479B"/>
    <w:rsid w:val="00E947B7"/>
    <w:rsid w:val="00E94854"/>
    <w:rsid w:val="00E94894"/>
    <w:rsid w:val="00E94B6F"/>
    <w:rsid w:val="00E94C2B"/>
    <w:rsid w:val="00E94CC4"/>
    <w:rsid w:val="00E94D81"/>
    <w:rsid w:val="00E94E6E"/>
    <w:rsid w:val="00E94EEA"/>
    <w:rsid w:val="00E95044"/>
    <w:rsid w:val="00E9504D"/>
    <w:rsid w:val="00E950CD"/>
    <w:rsid w:val="00E9510A"/>
    <w:rsid w:val="00E95112"/>
    <w:rsid w:val="00E9512F"/>
    <w:rsid w:val="00E951AF"/>
    <w:rsid w:val="00E952DB"/>
    <w:rsid w:val="00E952F7"/>
    <w:rsid w:val="00E953DE"/>
    <w:rsid w:val="00E95497"/>
    <w:rsid w:val="00E9550A"/>
    <w:rsid w:val="00E95520"/>
    <w:rsid w:val="00E9566B"/>
    <w:rsid w:val="00E95681"/>
    <w:rsid w:val="00E9568D"/>
    <w:rsid w:val="00E956F0"/>
    <w:rsid w:val="00E95848"/>
    <w:rsid w:val="00E95857"/>
    <w:rsid w:val="00E958A0"/>
    <w:rsid w:val="00E95A45"/>
    <w:rsid w:val="00E95ADB"/>
    <w:rsid w:val="00E95AF4"/>
    <w:rsid w:val="00E95B3B"/>
    <w:rsid w:val="00E95BA2"/>
    <w:rsid w:val="00E95BC6"/>
    <w:rsid w:val="00E95CAB"/>
    <w:rsid w:val="00E95CE6"/>
    <w:rsid w:val="00E95D1E"/>
    <w:rsid w:val="00E95E58"/>
    <w:rsid w:val="00E95F7A"/>
    <w:rsid w:val="00E96015"/>
    <w:rsid w:val="00E9601A"/>
    <w:rsid w:val="00E96073"/>
    <w:rsid w:val="00E9607A"/>
    <w:rsid w:val="00E960DC"/>
    <w:rsid w:val="00E9610F"/>
    <w:rsid w:val="00E96165"/>
    <w:rsid w:val="00E96275"/>
    <w:rsid w:val="00E96283"/>
    <w:rsid w:val="00E9633A"/>
    <w:rsid w:val="00E96393"/>
    <w:rsid w:val="00E9643A"/>
    <w:rsid w:val="00E96490"/>
    <w:rsid w:val="00E964A3"/>
    <w:rsid w:val="00E964D8"/>
    <w:rsid w:val="00E96513"/>
    <w:rsid w:val="00E96542"/>
    <w:rsid w:val="00E965DC"/>
    <w:rsid w:val="00E96690"/>
    <w:rsid w:val="00E9669F"/>
    <w:rsid w:val="00E96709"/>
    <w:rsid w:val="00E96766"/>
    <w:rsid w:val="00E967AA"/>
    <w:rsid w:val="00E96872"/>
    <w:rsid w:val="00E96879"/>
    <w:rsid w:val="00E96967"/>
    <w:rsid w:val="00E96AE9"/>
    <w:rsid w:val="00E96B94"/>
    <w:rsid w:val="00E96BF9"/>
    <w:rsid w:val="00E96C24"/>
    <w:rsid w:val="00E96C4B"/>
    <w:rsid w:val="00E96CA9"/>
    <w:rsid w:val="00E96ED7"/>
    <w:rsid w:val="00E96F28"/>
    <w:rsid w:val="00E97009"/>
    <w:rsid w:val="00E97012"/>
    <w:rsid w:val="00E970DE"/>
    <w:rsid w:val="00E971FF"/>
    <w:rsid w:val="00E97332"/>
    <w:rsid w:val="00E97437"/>
    <w:rsid w:val="00E97458"/>
    <w:rsid w:val="00E97525"/>
    <w:rsid w:val="00E9755B"/>
    <w:rsid w:val="00E9763B"/>
    <w:rsid w:val="00E976CE"/>
    <w:rsid w:val="00E97721"/>
    <w:rsid w:val="00E977E2"/>
    <w:rsid w:val="00E978E5"/>
    <w:rsid w:val="00E978F2"/>
    <w:rsid w:val="00E97A21"/>
    <w:rsid w:val="00E97A43"/>
    <w:rsid w:val="00E97AD8"/>
    <w:rsid w:val="00E97B04"/>
    <w:rsid w:val="00E97B53"/>
    <w:rsid w:val="00E97B70"/>
    <w:rsid w:val="00E97B80"/>
    <w:rsid w:val="00E97BA7"/>
    <w:rsid w:val="00E97C1C"/>
    <w:rsid w:val="00E97C49"/>
    <w:rsid w:val="00E97E2D"/>
    <w:rsid w:val="00E97E39"/>
    <w:rsid w:val="00E97E9B"/>
    <w:rsid w:val="00E97EC8"/>
    <w:rsid w:val="00E97FAE"/>
    <w:rsid w:val="00E97FF2"/>
    <w:rsid w:val="00EA0005"/>
    <w:rsid w:val="00EA0089"/>
    <w:rsid w:val="00EA008E"/>
    <w:rsid w:val="00EA0135"/>
    <w:rsid w:val="00EA014C"/>
    <w:rsid w:val="00EA01DA"/>
    <w:rsid w:val="00EA0245"/>
    <w:rsid w:val="00EA025A"/>
    <w:rsid w:val="00EA02CA"/>
    <w:rsid w:val="00EA02FC"/>
    <w:rsid w:val="00EA0395"/>
    <w:rsid w:val="00EA04B5"/>
    <w:rsid w:val="00EA04CE"/>
    <w:rsid w:val="00EA057E"/>
    <w:rsid w:val="00EA058B"/>
    <w:rsid w:val="00EA0698"/>
    <w:rsid w:val="00EA06D8"/>
    <w:rsid w:val="00EA0702"/>
    <w:rsid w:val="00EA0777"/>
    <w:rsid w:val="00EA0805"/>
    <w:rsid w:val="00EA08D6"/>
    <w:rsid w:val="00EA08E1"/>
    <w:rsid w:val="00EA08EE"/>
    <w:rsid w:val="00EA0978"/>
    <w:rsid w:val="00EA098C"/>
    <w:rsid w:val="00EA09AD"/>
    <w:rsid w:val="00EA0ACE"/>
    <w:rsid w:val="00EA0C16"/>
    <w:rsid w:val="00EA0C18"/>
    <w:rsid w:val="00EA0CD2"/>
    <w:rsid w:val="00EA0CE7"/>
    <w:rsid w:val="00EA0D0D"/>
    <w:rsid w:val="00EA0D9E"/>
    <w:rsid w:val="00EA0DFA"/>
    <w:rsid w:val="00EA0E89"/>
    <w:rsid w:val="00EA0EAB"/>
    <w:rsid w:val="00EA0F77"/>
    <w:rsid w:val="00EA1017"/>
    <w:rsid w:val="00EA1109"/>
    <w:rsid w:val="00EA113A"/>
    <w:rsid w:val="00EA118F"/>
    <w:rsid w:val="00EA119B"/>
    <w:rsid w:val="00EA12FA"/>
    <w:rsid w:val="00EA133B"/>
    <w:rsid w:val="00EA139A"/>
    <w:rsid w:val="00EA139D"/>
    <w:rsid w:val="00EA1400"/>
    <w:rsid w:val="00EA1414"/>
    <w:rsid w:val="00EA1487"/>
    <w:rsid w:val="00EA1545"/>
    <w:rsid w:val="00EA159A"/>
    <w:rsid w:val="00EA17E0"/>
    <w:rsid w:val="00EA1851"/>
    <w:rsid w:val="00EA18BE"/>
    <w:rsid w:val="00EA18E8"/>
    <w:rsid w:val="00EA195A"/>
    <w:rsid w:val="00EA196B"/>
    <w:rsid w:val="00EA19A2"/>
    <w:rsid w:val="00EA19D9"/>
    <w:rsid w:val="00EA1AAE"/>
    <w:rsid w:val="00EA1B47"/>
    <w:rsid w:val="00EA1B83"/>
    <w:rsid w:val="00EA1BB3"/>
    <w:rsid w:val="00EA1C1C"/>
    <w:rsid w:val="00EA1C2B"/>
    <w:rsid w:val="00EA1D29"/>
    <w:rsid w:val="00EA1DAE"/>
    <w:rsid w:val="00EA1E63"/>
    <w:rsid w:val="00EA205C"/>
    <w:rsid w:val="00EA2061"/>
    <w:rsid w:val="00EA217B"/>
    <w:rsid w:val="00EA21F2"/>
    <w:rsid w:val="00EA228B"/>
    <w:rsid w:val="00EA234C"/>
    <w:rsid w:val="00EA235D"/>
    <w:rsid w:val="00EA23B1"/>
    <w:rsid w:val="00EA241A"/>
    <w:rsid w:val="00EA2466"/>
    <w:rsid w:val="00EA255B"/>
    <w:rsid w:val="00EA2568"/>
    <w:rsid w:val="00EA25A7"/>
    <w:rsid w:val="00EA2674"/>
    <w:rsid w:val="00EA2702"/>
    <w:rsid w:val="00EA27C2"/>
    <w:rsid w:val="00EA2840"/>
    <w:rsid w:val="00EA286A"/>
    <w:rsid w:val="00EA2871"/>
    <w:rsid w:val="00EA2A0A"/>
    <w:rsid w:val="00EA2A3D"/>
    <w:rsid w:val="00EA2A83"/>
    <w:rsid w:val="00EA2B01"/>
    <w:rsid w:val="00EA2B55"/>
    <w:rsid w:val="00EA2BF5"/>
    <w:rsid w:val="00EA2C9B"/>
    <w:rsid w:val="00EA2D78"/>
    <w:rsid w:val="00EA2D8C"/>
    <w:rsid w:val="00EA2E7A"/>
    <w:rsid w:val="00EA2FA7"/>
    <w:rsid w:val="00EA305F"/>
    <w:rsid w:val="00EA306F"/>
    <w:rsid w:val="00EA3076"/>
    <w:rsid w:val="00EA310F"/>
    <w:rsid w:val="00EA315A"/>
    <w:rsid w:val="00EA31D1"/>
    <w:rsid w:val="00EA31D6"/>
    <w:rsid w:val="00EA3267"/>
    <w:rsid w:val="00EA3301"/>
    <w:rsid w:val="00EA333E"/>
    <w:rsid w:val="00EA33AD"/>
    <w:rsid w:val="00EA342C"/>
    <w:rsid w:val="00EA348E"/>
    <w:rsid w:val="00EA3508"/>
    <w:rsid w:val="00EA358F"/>
    <w:rsid w:val="00EA35EA"/>
    <w:rsid w:val="00EA3649"/>
    <w:rsid w:val="00EA369D"/>
    <w:rsid w:val="00EA36E1"/>
    <w:rsid w:val="00EA3771"/>
    <w:rsid w:val="00EA38A9"/>
    <w:rsid w:val="00EA38E6"/>
    <w:rsid w:val="00EA3A10"/>
    <w:rsid w:val="00EA3A1D"/>
    <w:rsid w:val="00EA3A66"/>
    <w:rsid w:val="00EA3A95"/>
    <w:rsid w:val="00EA3A96"/>
    <w:rsid w:val="00EA3AA6"/>
    <w:rsid w:val="00EA3BD9"/>
    <w:rsid w:val="00EA3D33"/>
    <w:rsid w:val="00EA3DE9"/>
    <w:rsid w:val="00EA3F2C"/>
    <w:rsid w:val="00EA4019"/>
    <w:rsid w:val="00EA4100"/>
    <w:rsid w:val="00EA41AF"/>
    <w:rsid w:val="00EA420C"/>
    <w:rsid w:val="00EA423A"/>
    <w:rsid w:val="00EA4241"/>
    <w:rsid w:val="00EA4333"/>
    <w:rsid w:val="00EA4378"/>
    <w:rsid w:val="00EA43C0"/>
    <w:rsid w:val="00EA44E0"/>
    <w:rsid w:val="00EA452A"/>
    <w:rsid w:val="00EA452E"/>
    <w:rsid w:val="00EA454B"/>
    <w:rsid w:val="00EA45F6"/>
    <w:rsid w:val="00EA46C4"/>
    <w:rsid w:val="00EA46D3"/>
    <w:rsid w:val="00EA4733"/>
    <w:rsid w:val="00EA475B"/>
    <w:rsid w:val="00EA4795"/>
    <w:rsid w:val="00EA4866"/>
    <w:rsid w:val="00EA49C6"/>
    <w:rsid w:val="00EA4BB3"/>
    <w:rsid w:val="00EA4CDE"/>
    <w:rsid w:val="00EA4F17"/>
    <w:rsid w:val="00EA4F3C"/>
    <w:rsid w:val="00EA4F51"/>
    <w:rsid w:val="00EA4FD7"/>
    <w:rsid w:val="00EA4FF5"/>
    <w:rsid w:val="00EA500C"/>
    <w:rsid w:val="00EA5013"/>
    <w:rsid w:val="00EA5014"/>
    <w:rsid w:val="00EA5147"/>
    <w:rsid w:val="00EA5174"/>
    <w:rsid w:val="00EA517E"/>
    <w:rsid w:val="00EA51D3"/>
    <w:rsid w:val="00EA5370"/>
    <w:rsid w:val="00EA546E"/>
    <w:rsid w:val="00EA54EF"/>
    <w:rsid w:val="00EA558D"/>
    <w:rsid w:val="00EA5730"/>
    <w:rsid w:val="00EA577B"/>
    <w:rsid w:val="00EA5792"/>
    <w:rsid w:val="00EA57A0"/>
    <w:rsid w:val="00EA57C7"/>
    <w:rsid w:val="00EA5849"/>
    <w:rsid w:val="00EA584A"/>
    <w:rsid w:val="00EA5996"/>
    <w:rsid w:val="00EA5A33"/>
    <w:rsid w:val="00EA5B74"/>
    <w:rsid w:val="00EA5C10"/>
    <w:rsid w:val="00EA5C39"/>
    <w:rsid w:val="00EA5C3A"/>
    <w:rsid w:val="00EA5C4C"/>
    <w:rsid w:val="00EA5D90"/>
    <w:rsid w:val="00EA5DEC"/>
    <w:rsid w:val="00EA5E2D"/>
    <w:rsid w:val="00EA5EE4"/>
    <w:rsid w:val="00EA6084"/>
    <w:rsid w:val="00EA609F"/>
    <w:rsid w:val="00EA61D1"/>
    <w:rsid w:val="00EA63FD"/>
    <w:rsid w:val="00EA649A"/>
    <w:rsid w:val="00EA64AF"/>
    <w:rsid w:val="00EA64C3"/>
    <w:rsid w:val="00EA66B7"/>
    <w:rsid w:val="00EA66D3"/>
    <w:rsid w:val="00EA6737"/>
    <w:rsid w:val="00EA6805"/>
    <w:rsid w:val="00EA684D"/>
    <w:rsid w:val="00EA687F"/>
    <w:rsid w:val="00EA6881"/>
    <w:rsid w:val="00EA68C6"/>
    <w:rsid w:val="00EA69ED"/>
    <w:rsid w:val="00EA6AD7"/>
    <w:rsid w:val="00EA6AEE"/>
    <w:rsid w:val="00EA6AF4"/>
    <w:rsid w:val="00EA6B52"/>
    <w:rsid w:val="00EA6BED"/>
    <w:rsid w:val="00EA6D46"/>
    <w:rsid w:val="00EA6DE7"/>
    <w:rsid w:val="00EA6E56"/>
    <w:rsid w:val="00EA6F3D"/>
    <w:rsid w:val="00EA7060"/>
    <w:rsid w:val="00EA7121"/>
    <w:rsid w:val="00EA7182"/>
    <w:rsid w:val="00EA71CC"/>
    <w:rsid w:val="00EA71D2"/>
    <w:rsid w:val="00EA71EF"/>
    <w:rsid w:val="00EA7301"/>
    <w:rsid w:val="00EA73F7"/>
    <w:rsid w:val="00EA7499"/>
    <w:rsid w:val="00EA74C0"/>
    <w:rsid w:val="00EA74C5"/>
    <w:rsid w:val="00EA75AF"/>
    <w:rsid w:val="00EA7632"/>
    <w:rsid w:val="00EA7647"/>
    <w:rsid w:val="00EA764F"/>
    <w:rsid w:val="00EA765C"/>
    <w:rsid w:val="00EA76E0"/>
    <w:rsid w:val="00EA7725"/>
    <w:rsid w:val="00EA7742"/>
    <w:rsid w:val="00EA7793"/>
    <w:rsid w:val="00EA77B7"/>
    <w:rsid w:val="00EA77BC"/>
    <w:rsid w:val="00EA77EC"/>
    <w:rsid w:val="00EA78B3"/>
    <w:rsid w:val="00EA78CA"/>
    <w:rsid w:val="00EA78E9"/>
    <w:rsid w:val="00EA7B39"/>
    <w:rsid w:val="00EA7C34"/>
    <w:rsid w:val="00EA7C42"/>
    <w:rsid w:val="00EA7D89"/>
    <w:rsid w:val="00EA7DA3"/>
    <w:rsid w:val="00EA7DBE"/>
    <w:rsid w:val="00EA7E29"/>
    <w:rsid w:val="00EA7F87"/>
    <w:rsid w:val="00EA7FB0"/>
    <w:rsid w:val="00EB0082"/>
    <w:rsid w:val="00EB0230"/>
    <w:rsid w:val="00EB0238"/>
    <w:rsid w:val="00EB02B2"/>
    <w:rsid w:val="00EB02BE"/>
    <w:rsid w:val="00EB031A"/>
    <w:rsid w:val="00EB0384"/>
    <w:rsid w:val="00EB0466"/>
    <w:rsid w:val="00EB04C6"/>
    <w:rsid w:val="00EB0502"/>
    <w:rsid w:val="00EB05FC"/>
    <w:rsid w:val="00EB060C"/>
    <w:rsid w:val="00EB0677"/>
    <w:rsid w:val="00EB0749"/>
    <w:rsid w:val="00EB07D7"/>
    <w:rsid w:val="00EB07E8"/>
    <w:rsid w:val="00EB07FF"/>
    <w:rsid w:val="00EB082F"/>
    <w:rsid w:val="00EB0846"/>
    <w:rsid w:val="00EB08BD"/>
    <w:rsid w:val="00EB08C6"/>
    <w:rsid w:val="00EB094C"/>
    <w:rsid w:val="00EB09FE"/>
    <w:rsid w:val="00EB0A38"/>
    <w:rsid w:val="00EB0B5D"/>
    <w:rsid w:val="00EB0B65"/>
    <w:rsid w:val="00EB0B86"/>
    <w:rsid w:val="00EB0B9A"/>
    <w:rsid w:val="00EB0BFC"/>
    <w:rsid w:val="00EB0C28"/>
    <w:rsid w:val="00EB0C38"/>
    <w:rsid w:val="00EB0C67"/>
    <w:rsid w:val="00EB0CCD"/>
    <w:rsid w:val="00EB0D42"/>
    <w:rsid w:val="00EB0E76"/>
    <w:rsid w:val="00EB0E7D"/>
    <w:rsid w:val="00EB0EAA"/>
    <w:rsid w:val="00EB0EE8"/>
    <w:rsid w:val="00EB0FCD"/>
    <w:rsid w:val="00EB10E3"/>
    <w:rsid w:val="00EB1268"/>
    <w:rsid w:val="00EB12F1"/>
    <w:rsid w:val="00EB1357"/>
    <w:rsid w:val="00EB13E4"/>
    <w:rsid w:val="00EB1404"/>
    <w:rsid w:val="00EB154C"/>
    <w:rsid w:val="00EB173A"/>
    <w:rsid w:val="00EB175B"/>
    <w:rsid w:val="00EB17A9"/>
    <w:rsid w:val="00EB17B6"/>
    <w:rsid w:val="00EB17D8"/>
    <w:rsid w:val="00EB1849"/>
    <w:rsid w:val="00EB18B9"/>
    <w:rsid w:val="00EB18F3"/>
    <w:rsid w:val="00EB19BD"/>
    <w:rsid w:val="00EB1AF6"/>
    <w:rsid w:val="00EB1B66"/>
    <w:rsid w:val="00EB1BC9"/>
    <w:rsid w:val="00EB1C97"/>
    <w:rsid w:val="00EB1CA1"/>
    <w:rsid w:val="00EB1CA5"/>
    <w:rsid w:val="00EB1D78"/>
    <w:rsid w:val="00EB1DB0"/>
    <w:rsid w:val="00EB1DC7"/>
    <w:rsid w:val="00EB1DFF"/>
    <w:rsid w:val="00EB1F30"/>
    <w:rsid w:val="00EB1F88"/>
    <w:rsid w:val="00EB1F8E"/>
    <w:rsid w:val="00EB1FB3"/>
    <w:rsid w:val="00EB2073"/>
    <w:rsid w:val="00EB20D1"/>
    <w:rsid w:val="00EB214E"/>
    <w:rsid w:val="00EB21BF"/>
    <w:rsid w:val="00EB2220"/>
    <w:rsid w:val="00EB223E"/>
    <w:rsid w:val="00EB2338"/>
    <w:rsid w:val="00EB23A3"/>
    <w:rsid w:val="00EB23B3"/>
    <w:rsid w:val="00EB23C4"/>
    <w:rsid w:val="00EB23FE"/>
    <w:rsid w:val="00EB2428"/>
    <w:rsid w:val="00EB2499"/>
    <w:rsid w:val="00EB2504"/>
    <w:rsid w:val="00EB263A"/>
    <w:rsid w:val="00EB271E"/>
    <w:rsid w:val="00EB2724"/>
    <w:rsid w:val="00EB275A"/>
    <w:rsid w:val="00EB2765"/>
    <w:rsid w:val="00EB28F6"/>
    <w:rsid w:val="00EB2988"/>
    <w:rsid w:val="00EB2A15"/>
    <w:rsid w:val="00EB2A3D"/>
    <w:rsid w:val="00EB2BB3"/>
    <w:rsid w:val="00EB2C24"/>
    <w:rsid w:val="00EB2C89"/>
    <w:rsid w:val="00EB2C96"/>
    <w:rsid w:val="00EB2CE8"/>
    <w:rsid w:val="00EB2DE6"/>
    <w:rsid w:val="00EB2E53"/>
    <w:rsid w:val="00EB2EF6"/>
    <w:rsid w:val="00EB2F76"/>
    <w:rsid w:val="00EB30F8"/>
    <w:rsid w:val="00EB3118"/>
    <w:rsid w:val="00EB32B8"/>
    <w:rsid w:val="00EB335D"/>
    <w:rsid w:val="00EB3498"/>
    <w:rsid w:val="00EB34BD"/>
    <w:rsid w:val="00EB34D9"/>
    <w:rsid w:val="00EB3531"/>
    <w:rsid w:val="00EB3677"/>
    <w:rsid w:val="00EB3717"/>
    <w:rsid w:val="00EB3866"/>
    <w:rsid w:val="00EB396B"/>
    <w:rsid w:val="00EB3994"/>
    <w:rsid w:val="00EB3A80"/>
    <w:rsid w:val="00EB3A9C"/>
    <w:rsid w:val="00EB3AAD"/>
    <w:rsid w:val="00EB3ADA"/>
    <w:rsid w:val="00EB3B06"/>
    <w:rsid w:val="00EB3B39"/>
    <w:rsid w:val="00EB3B49"/>
    <w:rsid w:val="00EB3B4D"/>
    <w:rsid w:val="00EB3B9C"/>
    <w:rsid w:val="00EB3C7E"/>
    <w:rsid w:val="00EB3DC9"/>
    <w:rsid w:val="00EB3DCA"/>
    <w:rsid w:val="00EB3DDB"/>
    <w:rsid w:val="00EB3FAF"/>
    <w:rsid w:val="00EB3FB2"/>
    <w:rsid w:val="00EB4007"/>
    <w:rsid w:val="00EB401A"/>
    <w:rsid w:val="00EB409A"/>
    <w:rsid w:val="00EB416A"/>
    <w:rsid w:val="00EB4173"/>
    <w:rsid w:val="00EB4194"/>
    <w:rsid w:val="00EB4246"/>
    <w:rsid w:val="00EB4267"/>
    <w:rsid w:val="00EB4271"/>
    <w:rsid w:val="00EB428A"/>
    <w:rsid w:val="00EB429F"/>
    <w:rsid w:val="00EB42C3"/>
    <w:rsid w:val="00EB43B2"/>
    <w:rsid w:val="00EB4491"/>
    <w:rsid w:val="00EB461C"/>
    <w:rsid w:val="00EB4648"/>
    <w:rsid w:val="00EB471A"/>
    <w:rsid w:val="00EB47A9"/>
    <w:rsid w:val="00EB48FE"/>
    <w:rsid w:val="00EB493B"/>
    <w:rsid w:val="00EB4A1A"/>
    <w:rsid w:val="00EB4A23"/>
    <w:rsid w:val="00EB4A65"/>
    <w:rsid w:val="00EB4AA1"/>
    <w:rsid w:val="00EB4CE4"/>
    <w:rsid w:val="00EB4CED"/>
    <w:rsid w:val="00EB4DAE"/>
    <w:rsid w:val="00EB4DC1"/>
    <w:rsid w:val="00EB4EE9"/>
    <w:rsid w:val="00EB4F06"/>
    <w:rsid w:val="00EB4F10"/>
    <w:rsid w:val="00EB4FF4"/>
    <w:rsid w:val="00EB4FFD"/>
    <w:rsid w:val="00EB5116"/>
    <w:rsid w:val="00EB512B"/>
    <w:rsid w:val="00EB518C"/>
    <w:rsid w:val="00EB52D9"/>
    <w:rsid w:val="00EB531C"/>
    <w:rsid w:val="00EB5364"/>
    <w:rsid w:val="00EB543F"/>
    <w:rsid w:val="00EB5616"/>
    <w:rsid w:val="00EB56EA"/>
    <w:rsid w:val="00EB573B"/>
    <w:rsid w:val="00EB5785"/>
    <w:rsid w:val="00EB5899"/>
    <w:rsid w:val="00EB591A"/>
    <w:rsid w:val="00EB5920"/>
    <w:rsid w:val="00EB59DA"/>
    <w:rsid w:val="00EB59F0"/>
    <w:rsid w:val="00EB5A0B"/>
    <w:rsid w:val="00EB5AAE"/>
    <w:rsid w:val="00EB5B42"/>
    <w:rsid w:val="00EB5B7C"/>
    <w:rsid w:val="00EB5C1E"/>
    <w:rsid w:val="00EB5C8E"/>
    <w:rsid w:val="00EB5C8F"/>
    <w:rsid w:val="00EB5CBE"/>
    <w:rsid w:val="00EB5D76"/>
    <w:rsid w:val="00EB5E7A"/>
    <w:rsid w:val="00EB5F1E"/>
    <w:rsid w:val="00EB5F5F"/>
    <w:rsid w:val="00EB5F75"/>
    <w:rsid w:val="00EB5FD6"/>
    <w:rsid w:val="00EB5FDD"/>
    <w:rsid w:val="00EB5FFD"/>
    <w:rsid w:val="00EB609F"/>
    <w:rsid w:val="00EB60D3"/>
    <w:rsid w:val="00EB619D"/>
    <w:rsid w:val="00EB61BF"/>
    <w:rsid w:val="00EB6279"/>
    <w:rsid w:val="00EB62A5"/>
    <w:rsid w:val="00EB62EA"/>
    <w:rsid w:val="00EB6358"/>
    <w:rsid w:val="00EB645E"/>
    <w:rsid w:val="00EB64D0"/>
    <w:rsid w:val="00EB6668"/>
    <w:rsid w:val="00EB6738"/>
    <w:rsid w:val="00EB6753"/>
    <w:rsid w:val="00EB675D"/>
    <w:rsid w:val="00EB6797"/>
    <w:rsid w:val="00EB680D"/>
    <w:rsid w:val="00EB6810"/>
    <w:rsid w:val="00EB6907"/>
    <w:rsid w:val="00EB6912"/>
    <w:rsid w:val="00EB695E"/>
    <w:rsid w:val="00EB69CE"/>
    <w:rsid w:val="00EB69E4"/>
    <w:rsid w:val="00EB6AD0"/>
    <w:rsid w:val="00EB6B6B"/>
    <w:rsid w:val="00EB6BD9"/>
    <w:rsid w:val="00EB6C85"/>
    <w:rsid w:val="00EB6D17"/>
    <w:rsid w:val="00EB6D24"/>
    <w:rsid w:val="00EB6D8F"/>
    <w:rsid w:val="00EB6E72"/>
    <w:rsid w:val="00EB6FC0"/>
    <w:rsid w:val="00EB7177"/>
    <w:rsid w:val="00EB7180"/>
    <w:rsid w:val="00EB71C7"/>
    <w:rsid w:val="00EB7215"/>
    <w:rsid w:val="00EB7473"/>
    <w:rsid w:val="00EB7560"/>
    <w:rsid w:val="00EB75CF"/>
    <w:rsid w:val="00EB76A5"/>
    <w:rsid w:val="00EB76A7"/>
    <w:rsid w:val="00EB7782"/>
    <w:rsid w:val="00EB7885"/>
    <w:rsid w:val="00EB78AD"/>
    <w:rsid w:val="00EB78B4"/>
    <w:rsid w:val="00EB78EF"/>
    <w:rsid w:val="00EB7A71"/>
    <w:rsid w:val="00EB7ACE"/>
    <w:rsid w:val="00EB7B36"/>
    <w:rsid w:val="00EB7B3B"/>
    <w:rsid w:val="00EB7B8C"/>
    <w:rsid w:val="00EB7D03"/>
    <w:rsid w:val="00EB7D1E"/>
    <w:rsid w:val="00EB7E03"/>
    <w:rsid w:val="00EB7E79"/>
    <w:rsid w:val="00EB7F16"/>
    <w:rsid w:val="00EB7F5B"/>
    <w:rsid w:val="00EC0020"/>
    <w:rsid w:val="00EC00C2"/>
    <w:rsid w:val="00EC01D5"/>
    <w:rsid w:val="00EC01EB"/>
    <w:rsid w:val="00EC028A"/>
    <w:rsid w:val="00EC032D"/>
    <w:rsid w:val="00EC043E"/>
    <w:rsid w:val="00EC0491"/>
    <w:rsid w:val="00EC04D5"/>
    <w:rsid w:val="00EC055F"/>
    <w:rsid w:val="00EC062E"/>
    <w:rsid w:val="00EC064B"/>
    <w:rsid w:val="00EC067E"/>
    <w:rsid w:val="00EC07AC"/>
    <w:rsid w:val="00EC07C0"/>
    <w:rsid w:val="00EC0807"/>
    <w:rsid w:val="00EC0960"/>
    <w:rsid w:val="00EC0A9C"/>
    <w:rsid w:val="00EC0B37"/>
    <w:rsid w:val="00EC0B94"/>
    <w:rsid w:val="00EC0CAD"/>
    <w:rsid w:val="00EC0D50"/>
    <w:rsid w:val="00EC0E95"/>
    <w:rsid w:val="00EC0E9F"/>
    <w:rsid w:val="00EC0FE1"/>
    <w:rsid w:val="00EC110A"/>
    <w:rsid w:val="00EC11AA"/>
    <w:rsid w:val="00EC11C1"/>
    <w:rsid w:val="00EC11FD"/>
    <w:rsid w:val="00EC1298"/>
    <w:rsid w:val="00EC1326"/>
    <w:rsid w:val="00EC1356"/>
    <w:rsid w:val="00EC13B4"/>
    <w:rsid w:val="00EC13C8"/>
    <w:rsid w:val="00EC13F6"/>
    <w:rsid w:val="00EC146F"/>
    <w:rsid w:val="00EC1547"/>
    <w:rsid w:val="00EC1576"/>
    <w:rsid w:val="00EC1604"/>
    <w:rsid w:val="00EC1644"/>
    <w:rsid w:val="00EC1690"/>
    <w:rsid w:val="00EC16E2"/>
    <w:rsid w:val="00EC179D"/>
    <w:rsid w:val="00EC181D"/>
    <w:rsid w:val="00EC1A21"/>
    <w:rsid w:val="00EC1D3C"/>
    <w:rsid w:val="00EC1D8A"/>
    <w:rsid w:val="00EC1E77"/>
    <w:rsid w:val="00EC1F52"/>
    <w:rsid w:val="00EC1FCF"/>
    <w:rsid w:val="00EC1FDE"/>
    <w:rsid w:val="00EC20AE"/>
    <w:rsid w:val="00EC20E7"/>
    <w:rsid w:val="00EC2163"/>
    <w:rsid w:val="00EC21BF"/>
    <w:rsid w:val="00EC2202"/>
    <w:rsid w:val="00EC222F"/>
    <w:rsid w:val="00EC22B0"/>
    <w:rsid w:val="00EC22EE"/>
    <w:rsid w:val="00EC2397"/>
    <w:rsid w:val="00EC25B8"/>
    <w:rsid w:val="00EC2742"/>
    <w:rsid w:val="00EC28EA"/>
    <w:rsid w:val="00EC2995"/>
    <w:rsid w:val="00EC29D8"/>
    <w:rsid w:val="00EC2A5A"/>
    <w:rsid w:val="00EC2A89"/>
    <w:rsid w:val="00EC2ADA"/>
    <w:rsid w:val="00EC2AF4"/>
    <w:rsid w:val="00EC2B8B"/>
    <w:rsid w:val="00EC2BDA"/>
    <w:rsid w:val="00EC2C09"/>
    <w:rsid w:val="00EC2CCA"/>
    <w:rsid w:val="00EC2CEC"/>
    <w:rsid w:val="00EC2D46"/>
    <w:rsid w:val="00EC2F1B"/>
    <w:rsid w:val="00EC2F22"/>
    <w:rsid w:val="00EC2F99"/>
    <w:rsid w:val="00EC2FCE"/>
    <w:rsid w:val="00EC2FF6"/>
    <w:rsid w:val="00EC30AD"/>
    <w:rsid w:val="00EC315B"/>
    <w:rsid w:val="00EC3268"/>
    <w:rsid w:val="00EC3281"/>
    <w:rsid w:val="00EC3294"/>
    <w:rsid w:val="00EC32FD"/>
    <w:rsid w:val="00EC33C8"/>
    <w:rsid w:val="00EC3417"/>
    <w:rsid w:val="00EC369C"/>
    <w:rsid w:val="00EC36E7"/>
    <w:rsid w:val="00EC3856"/>
    <w:rsid w:val="00EC3915"/>
    <w:rsid w:val="00EC3960"/>
    <w:rsid w:val="00EC39C3"/>
    <w:rsid w:val="00EC3A6A"/>
    <w:rsid w:val="00EC3A9B"/>
    <w:rsid w:val="00EC3AF1"/>
    <w:rsid w:val="00EC3B7D"/>
    <w:rsid w:val="00EC3C14"/>
    <w:rsid w:val="00EC3D75"/>
    <w:rsid w:val="00EC3E49"/>
    <w:rsid w:val="00EC3E4D"/>
    <w:rsid w:val="00EC3E5B"/>
    <w:rsid w:val="00EC3F91"/>
    <w:rsid w:val="00EC406F"/>
    <w:rsid w:val="00EC4075"/>
    <w:rsid w:val="00EC40D5"/>
    <w:rsid w:val="00EC41A7"/>
    <w:rsid w:val="00EC421F"/>
    <w:rsid w:val="00EC42DF"/>
    <w:rsid w:val="00EC433A"/>
    <w:rsid w:val="00EC4562"/>
    <w:rsid w:val="00EC45F5"/>
    <w:rsid w:val="00EC4678"/>
    <w:rsid w:val="00EC4735"/>
    <w:rsid w:val="00EC4778"/>
    <w:rsid w:val="00EC4842"/>
    <w:rsid w:val="00EC4888"/>
    <w:rsid w:val="00EC492F"/>
    <w:rsid w:val="00EC497F"/>
    <w:rsid w:val="00EC49FB"/>
    <w:rsid w:val="00EC49FE"/>
    <w:rsid w:val="00EC4C30"/>
    <w:rsid w:val="00EC4C52"/>
    <w:rsid w:val="00EC4D6B"/>
    <w:rsid w:val="00EC4DCE"/>
    <w:rsid w:val="00EC4EC1"/>
    <w:rsid w:val="00EC4F85"/>
    <w:rsid w:val="00EC501C"/>
    <w:rsid w:val="00EC5045"/>
    <w:rsid w:val="00EC5187"/>
    <w:rsid w:val="00EC52B8"/>
    <w:rsid w:val="00EC535F"/>
    <w:rsid w:val="00EC53B1"/>
    <w:rsid w:val="00EC54E1"/>
    <w:rsid w:val="00EC56D1"/>
    <w:rsid w:val="00EC5723"/>
    <w:rsid w:val="00EC57FE"/>
    <w:rsid w:val="00EC5818"/>
    <w:rsid w:val="00EC5836"/>
    <w:rsid w:val="00EC5863"/>
    <w:rsid w:val="00EC592B"/>
    <w:rsid w:val="00EC5948"/>
    <w:rsid w:val="00EC59FD"/>
    <w:rsid w:val="00EC5A09"/>
    <w:rsid w:val="00EC5A50"/>
    <w:rsid w:val="00EC5A8D"/>
    <w:rsid w:val="00EC5AA8"/>
    <w:rsid w:val="00EC5B68"/>
    <w:rsid w:val="00EC5BA8"/>
    <w:rsid w:val="00EC5C21"/>
    <w:rsid w:val="00EC5D0B"/>
    <w:rsid w:val="00EC5D5E"/>
    <w:rsid w:val="00EC5D7A"/>
    <w:rsid w:val="00EC5E10"/>
    <w:rsid w:val="00EC5F35"/>
    <w:rsid w:val="00EC5F6C"/>
    <w:rsid w:val="00EC5FA7"/>
    <w:rsid w:val="00EC5FCB"/>
    <w:rsid w:val="00EC5FF7"/>
    <w:rsid w:val="00EC6170"/>
    <w:rsid w:val="00EC6192"/>
    <w:rsid w:val="00EC624F"/>
    <w:rsid w:val="00EC632C"/>
    <w:rsid w:val="00EC6363"/>
    <w:rsid w:val="00EC6454"/>
    <w:rsid w:val="00EC6459"/>
    <w:rsid w:val="00EC6481"/>
    <w:rsid w:val="00EC64BF"/>
    <w:rsid w:val="00EC6528"/>
    <w:rsid w:val="00EC659F"/>
    <w:rsid w:val="00EC65A0"/>
    <w:rsid w:val="00EC65CD"/>
    <w:rsid w:val="00EC6706"/>
    <w:rsid w:val="00EC6825"/>
    <w:rsid w:val="00EC6829"/>
    <w:rsid w:val="00EC6853"/>
    <w:rsid w:val="00EC6940"/>
    <w:rsid w:val="00EC6965"/>
    <w:rsid w:val="00EC6A79"/>
    <w:rsid w:val="00EC6A9D"/>
    <w:rsid w:val="00EC6B62"/>
    <w:rsid w:val="00EC6C1F"/>
    <w:rsid w:val="00EC6C9D"/>
    <w:rsid w:val="00EC6D14"/>
    <w:rsid w:val="00EC6D1A"/>
    <w:rsid w:val="00EC6D49"/>
    <w:rsid w:val="00EC6D7A"/>
    <w:rsid w:val="00EC6E8F"/>
    <w:rsid w:val="00EC6F62"/>
    <w:rsid w:val="00EC6FEF"/>
    <w:rsid w:val="00EC7058"/>
    <w:rsid w:val="00EC70B0"/>
    <w:rsid w:val="00EC70BD"/>
    <w:rsid w:val="00EC7144"/>
    <w:rsid w:val="00EC7377"/>
    <w:rsid w:val="00EC737D"/>
    <w:rsid w:val="00EC7380"/>
    <w:rsid w:val="00EC7482"/>
    <w:rsid w:val="00EC74B3"/>
    <w:rsid w:val="00EC74DB"/>
    <w:rsid w:val="00EC74FB"/>
    <w:rsid w:val="00EC7529"/>
    <w:rsid w:val="00EC7544"/>
    <w:rsid w:val="00EC763B"/>
    <w:rsid w:val="00EC7644"/>
    <w:rsid w:val="00EC767C"/>
    <w:rsid w:val="00EC7696"/>
    <w:rsid w:val="00EC76B6"/>
    <w:rsid w:val="00EC77E5"/>
    <w:rsid w:val="00EC77F2"/>
    <w:rsid w:val="00EC787B"/>
    <w:rsid w:val="00EC78E9"/>
    <w:rsid w:val="00EC7953"/>
    <w:rsid w:val="00EC7C41"/>
    <w:rsid w:val="00EC7DBD"/>
    <w:rsid w:val="00EC7DE6"/>
    <w:rsid w:val="00EC7E58"/>
    <w:rsid w:val="00ED0054"/>
    <w:rsid w:val="00ED0160"/>
    <w:rsid w:val="00ED0163"/>
    <w:rsid w:val="00ED0177"/>
    <w:rsid w:val="00ED01A2"/>
    <w:rsid w:val="00ED025D"/>
    <w:rsid w:val="00ED02CE"/>
    <w:rsid w:val="00ED0369"/>
    <w:rsid w:val="00ED036B"/>
    <w:rsid w:val="00ED04BA"/>
    <w:rsid w:val="00ED05CA"/>
    <w:rsid w:val="00ED05CF"/>
    <w:rsid w:val="00ED068E"/>
    <w:rsid w:val="00ED07AC"/>
    <w:rsid w:val="00ED0818"/>
    <w:rsid w:val="00ED0857"/>
    <w:rsid w:val="00ED0943"/>
    <w:rsid w:val="00ED09BA"/>
    <w:rsid w:val="00ED0AB7"/>
    <w:rsid w:val="00ED0AEE"/>
    <w:rsid w:val="00ED0B02"/>
    <w:rsid w:val="00ED0BD4"/>
    <w:rsid w:val="00ED0C6A"/>
    <w:rsid w:val="00ED0C84"/>
    <w:rsid w:val="00ED0D84"/>
    <w:rsid w:val="00ED0E1F"/>
    <w:rsid w:val="00ED0EA9"/>
    <w:rsid w:val="00ED1007"/>
    <w:rsid w:val="00ED1041"/>
    <w:rsid w:val="00ED1083"/>
    <w:rsid w:val="00ED109D"/>
    <w:rsid w:val="00ED11B2"/>
    <w:rsid w:val="00ED1341"/>
    <w:rsid w:val="00ED14E7"/>
    <w:rsid w:val="00ED1641"/>
    <w:rsid w:val="00ED164D"/>
    <w:rsid w:val="00ED1651"/>
    <w:rsid w:val="00ED16BC"/>
    <w:rsid w:val="00ED18A5"/>
    <w:rsid w:val="00ED1967"/>
    <w:rsid w:val="00ED19CD"/>
    <w:rsid w:val="00ED1A4C"/>
    <w:rsid w:val="00ED1A97"/>
    <w:rsid w:val="00ED1AD8"/>
    <w:rsid w:val="00ED1BAF"/>
    <w:rsid w:val="00ED1D4C"/>
    <w:rsid w:val="00ED1EB7"/>
    <w:rsid w:val="00ED1ED3"/>
    <w:rsid w:val="00ED2024"/>
    <w:rsid w:val="00ED2025"/>
    <w:rsid w:val="00ED2078"/>
    <w:rsid w:val="00ED2101"/>
    <w:rsid w:val="00ED2143"/>
    <w:rsid w:val="00ED2378"/>
    <w:rsid w:val="00ED2471"/>
    <w:rsid w:val="00ED249E"/>
    <w:rsid w:val="00ED24BE"/>
    <w:rsid w:val="00ED25E3"/>
    <w:rsid w:val="00ED25FA"/>
    <w:rsid w:val="00ED2682"/>
    <w:rsid w:val="00ED269D"/>
    <w:rsid w:val="00ED26B6"/>
    <w:rsid w:val="00ED26EA"/>
    <w:rsid w:val="00ED2788"/>
    <w:rsid w:val="00ED27C1"/>
    <w:rsid w:val="00ED2828"/>
    <w:rsid w:val="00ED283B"/>
    <w:rsid w:val="00ED283E"/>
    <w:rsid w:val="00ED2893"/>
    <w:rsid w:val="00ED28C5"/>
    <w:rsid w:val="00ED2959"/>
    <w:rsid w:val="00ED29F9"/>
    <w:rsid w:val="00ED2A6F"/>
    <w:rsid w:val="00ED2B7E"/>
    <w:rsid w:val="00ED2BB4"/>
    <w:rsid w:val="00ED2BC2"/>
    <w:rsid w:val="00ED2C58"/>
    <w:rsid w:val="00ED2D09"/>
    <w:rsid w:val="00ED2F10"/>
    <w:rsid w:val="00ED2FE0"/>
    <w:rsid w:val="00ED300A"/>
    <w:rsid w:val="00ED302E"/>
    <w:rsid w:val="00ED308D"/>
    <w:rsid w:val="00ED3103"/>
    <w:rsid w:val="00ED312A"/>
    <w:rsid w:val="00ED32AA"/>
    <w:rsid w:val="00ED32F5"/>
    <w:rsid w:val="00ED33B6"/>
    <w:rsid w:val="00ED33DF"/>
    <w:rsid w:val="00ED3454"/>
    <w:rsid w:val="00ED349C"/>
    <w:rsid w:val="00ED3541"/>
    <w:rsid w:val="00ED3552"/>
    <w:rsid w:val="00ED355D"/>
    <w:rsid w:val="00ED3607"/>
    <w:rsid w:val="00ED362A"/>
    <w:rsid w:val="00ED3CA5"/>
    <w:rsid w:val="00ED3D2A"/>
    <w:rsid w:val="00ED3D5E"/>
    <w:rsid w:val="00ED3DA3"/>
    <w:rsid w:val="00ED3DBF"/>
    <w:rsid w:val="00ED3DD4"/>
    <w:rsid w:val="00ED3E14"/>
    <w:rsid w:val="00ED3E1D"/>
    <w:rsid w:val="00ED3E80"/>
    <w:rsid w:val="00ED3FDF"/>
    <w:rsid w:val="00ED3FEA"/>
    <w:rsid w:val="00ED4040"/>
    <w:rsid w:val="00ED4071"/>
    <w:rsid w:val="00ED4184"/>
    <w:rsid w:val="00ED4271"/>
    <w:rsid w:val="00ED42C6"/>
    <w:rsid w:val="00ED42FD"/>
    <w:rsid w:val="00ED43C2"/>
    <w:rsid w:val="00ED43C7"/>
    <w:rsid w:val="00ED43E3"/>
    <w:rsid w:val="00ED443F"/>
    <w:rsid w:val="00ED44A9"/>
    <w:rsid w:val="00ED4734"/>
    <w:rsid w:val="00ED4745"/>
    <w:rsid w:val="00ED47DC"/>
    <w:rsid w:val="00ED47FC"/>
    <w:rsid w:val="00ED48FA"/>
    <w:rsid w:val="00ED492F"/>
    <w:rsid w:val="00ED497C"/>
    <w:rsid w:val="00ED499B"/>
    <w:rsid w:val="00ED49CE"/>
    <w:rsid w:val="00ED49F5"/>
    <w:rsid w:val="00ED4ABE"/>
    <w:rsid w:val="00ED4AF3"/>
    <w:rsid w:val="00ED4C8D"/>
    <w:rsid w:val="00ED4CCD"/>
    <w:rsid w:val="00ED4D45"/>
    <w:rsid w:val="00ED4ED6"/>
    <w:rsid w:val="00ED4F47"/>
    <w:rsid w:val="00ED4FBD"/>
    <w:rsid w:val="00ED5043"/>
    <w:rsid w:val="00ED50EF"/>
    <w:rsid w:val="00ED51DD"/>
    <w:rsid w:val="00ED51E1"/>
    <w:rsid w:val="00ED5234"/>
    <w:rsid w:val="00ED532A"/>
    <w:rsid w:val="00ED5335"/>
    <w:rsid w:val="00ED548F"/>
    <w:rsid w:val="00ED551D"/>
    <w:rsid w:val="00ED55AB"/>
    <w:rsid w:val="00ED5710"/>
    <w:rsid w:val="00ED57DB"/>
    <w:rsid w:val="00ED5A77"/>
    <w:rsid w:val="00ED5AC6"/>
    <w:rsid w:val="00ED5B6A"/>
    <w:rsid w:val="00ED5CBE"/>
    <w:rsid w:val="00ED5D42"/>
    <w:rsid w:val="00ED5D4E"/>
    <w:rsid w:val="00ED5D60"/>
    <w:rsid w:val="00ED5DB2"/>
    <w:rsid w:val="00ED5DFE"/>
    <w:rsid w:val="00ED5EE8"/>
    <w:rsid w:val="00ED5F59"/>
    <w:rsid w:val="00ED6027"/>
    <w:rsid w:val="00ED6053"/>
    <w:rsid w:val="00ED6225"/>
    <w:rsid w:val="00ED627F"/>
    <w:rsid w:val="00ED6460"/>
    <w:rsid w:val="00ED64D7"/>
    <w:rsid w:val="00ED65A4"/>
    <w:rsid w:val="00ED65EB"/>
    <w:rsid w:val="00ED6665"/>
    <w:rsid w:val="00ED6812"/>
    <w:rsid w:val="00ED682D"/>
    <w:rsid w:val="00ED69E9"/>
    <w:rsid w:val="00ED6A28"/>
    <w:rsid w:val="00ED6B83"/>
    <w:rsid w:val="00ED6DF6"/>
    <w:rsid w:val="00ED6E4B"/>
    <w:rsid w:val="00ED6F2B"/>
    <w:rsid w:val="00ED6FB9"/>
    <w:rsid w:val="00ED70D0"/>
    <w:rsid w:val="00ED767C"/>
    <w:rsid w:val="00ED7699"/>
    <w:rsid w:val="00ED76DE"/>
    <w:rsid w:val="00ED78AD"/>
    <w:rsid w:val="00ED78E1"/>
    <w:rsid w:val="00ED7917"/>
    <w:rsid w:val="00ED79DF"/>
    <w:rsid w:val="00ED79E7"/>
    <w:rsid w:val="00ED79FA"/>
    <w:rsid w:val="00ED7AA8"/>
    <w:rsid w:val="00ED7AB4"/>
    <w:rsid w:val="00ED7AC9"/>
    <w:rsid w:val="00ED7B77"/>
    <w:rsid w:val="00ED7BF9"/>
    <w:rsid w:val="00ED7DE6"/>
    <w:rsid w:val="00ED7F60"/>
    <w:rsid w:val="00ED7F71"/>
    <w:rsid w:val="00ED7FBF"/>
    <w:rsid w:val="00EDD0FF"/>
    <w:rsid w:val="00EE0084"/>
    <w:rsid w:val="00EE00DF"/>
    <w:rsid w:val="00EE013B"/>
    <w:rsid w:val="00EE0193"/>
    <w:rsid w:val="00EE0196"/>
    <w:rsid w:val="00EE022E"/>
    <w:rsid w:val="00EE02E7"/>
    <w:rsid w:val="00EE04D1"/>
    <w:rsid w:val="00EE0680"/>
    <w:rsid w:val="00EE06E0"/>
    <w:rsid w:val="00EE0863"/>
    <w:rsid w:val="00EE08A0"/>
    <w:rsid w:val="00EE08E0"/>
    <w:rsid w:val="00EE0926"/>
    <w:rsid w:val="00EE09AF"/>
    <w:rsid w:val="00EE0B80"/>
    <w:rsid w:val="00EE0BF9"/>
    <w:rsid w:val="00EE0C5E"/>
    <w:rsid w:val="00EE0D34"/>
    <w:rsid w:val="00EE0D4F"/>
    <w:rsid w:val="00EE0F0B"/>
    <w:rsid w:val="00EE0FE0"/>
    <w:rsid w:val="00EE1057"/>
    <w:rsid w:val="00EE10D7"/>
    <w:rsid w:val="00EE1152"/>
    <w:rsid w:val="00EE1197"/>
    <w:rsid w:val="00EE11DD"/>
    <w:rsid w:val="00EE12C7"/>
    <w:rsid w:val="00EE1389"/>
    <w:rsid w:val="00EE1448"/>
    <w:rsid w:val="00EE1531"/>
    <w:rsid w:val="00EE1633"/>
    <w:rsid w:val="00EE1679"/>
    <w:rsid w:val="00EE1729"/>
    <w:rsid w:val="00EE180A"/>
    <w:rsid w:val="00EE198A"/>
    <w:rsid w:val="00EE1A63"/>
    <w:rsid w:val="00EE1A7D"/>
    <w:rsid w:val="00EE1AD8"/>
    <w:rsid w:val="00EE1ADD"/>
    <w:rsid w:val="00EE1C1D"/>
    <w:rsid w:val="00EE1C4D"/>
    <w:rsid w:val="00EE1DBD"/>
    <w:rsid w:val="00EE1E38"/>
    <w:rsid w:val="00EE1E7A"/>
    <w:rsid w:val="00EE1E96"/>
    <w:rsid w:val="00EE1F2A"/>
    <w:rsid w:val="00EE1F3F"/>
    <w:rsid w:val="00EE1F49"/>
    <w:rsid w:val="00EE1FE4"/>
    <w:rsid w:val="00EE2066"/>
    <w:rsid w:val="00EE20F5"/>
    <w:rsid w:val="00EE212C"/>
    <w:rsid w:val="00EE2177"/>
    <w:rsid w:val="00EE21F0"/>
    <w:rsid w:val="00EE2263"/>
    <w:rsid w:val="00EE2282"/>
    <w:rsid w:val="00EE229F"/>
    <w:rsid w:val="00EE22FF"/>
    <w:rsid w:val="00EE2347"/>
    <w:rsid w:val="00EE236F"/>
    <w:rsid w:val="00EE23C9"/>
    <w:rsid w:val="00EE2523"/>
    <w:rsid w:val="00EE257C"/>
    <w:rsid w:val="00EE269A"/>
    <w:rsid w:val="00EE2837"/>
    <w:rsid w:val="00EE2894"/>
    <w:rsid w:val="00EE28A1"/>
    <w:rsid w:val="00EE28E5"/>
    <w:rsid w:val="00EE2962"/>
    <w:rsid w:val="00EE2AA4"/>
    <w:rsid w:val="00EE2C1A"/>
    <w:rsid w:val="00EE2C44"/>
    <w:rsid w:val="00EE2C47"/>
    <w:rsid w:val="00EE2C70"/>
    <w:rsid w:val="00EE2E04"/>
    <w:rsid w:val="00EE2E2B"/>
    <w:rsid w:val="00EE2E61"/>
    <w:rsid w:val="00EE2E85"/>
    <w:rsid w:val="00EE2ED8"/>
    <w:rsid w:val="00EE2F10"/>
    <w:rsid w:val="00EE2F80"/>
    <w:rsid w:val="00EE2FA0"/>
    <w:rsid w:val="00EE2FAE"/>
    <w:rsid w:val="00EE2FF2"/>
    <w:rsid w:val="00EE3061"/>
    <w:rsid w:val="00EE3080"/>
    <w:rsid w:val="00EE30F4"/>
    <w:rsid w:val="00EE3176"/>
    <w:rsid w:val="00EE31F4"/>
    <w:rsid w:val="00EE3253"/>
    <w:rsid w:val="00EE3302"/>
    <w:rsid w:val="00EE33DB"/>
    <w:rsid w:val="00EE33F6"/>
    <w:rsid w:val="00EE34FF"/>
    <w:rsid w:val="00EE3535"/>
    <w:rsid w:val="00EE363E"/>
    <w:rsid w:val="00EE3640"/>
    <w:rsid w:val="00EE3723"/>
    <w:rsid w:val="00EE385A"/>
    <w:rsid w:val="00EE3871"/>
    <w:rsid w:val="00EE38CA"/>
    <w:rsid w:val="00EE38D0"/>
    <w:rsid w:val="00EE398F"/>
    <w:rsid w:val="00EE39CF"/>
    <w:rsid w:val="00EE3B39"/>
    <w:rsid w:val="00EE3B99"/>
    <w:rsid w:val="00EE3D67"/>
    <w:rsid w:val="00EE3D8D"/>
    <w:rsid w:val="00EE3DCB"/>
    <w:rsid w:val="00EE3DFF"/>
    <w:rsid w:val="00EE3EA0"/>
    <w:rsid w:val="00EE3F4F"/>
    <w:rsid w:val="00EE3F62"/>
    <w:rsid w:val="00EE3FA0"/>
    <w:rsid w:val="00EE3FD8"/>
    <w:rsid w:val="00EE4093"/>
    <w:rsid w:val="00EE4176"/>
    <w:rsid w:val="00EE42CB"/>
    <w:rsid w:val="00EE433C"/>
    <w:rsid w:val="00EE43B7"/>
    <w:rsid w:val="00EE43D2"/>
    <w:rsid w:val="00EE43DD"/>
    <w:rsid w:val="00EE4473"/>
    <w:rsid w:val="00EE44F9"/>
    <w:rsid w:val="00EE4551"/>
    <w:rsid w:val="00EE45E1"/>
    <w:rsid w:val="00EE4752"/>
    <w:rsid w:val="00EE47E3"/>
    <w:rsid w:val="00EE48B2"/>
    <w:rsid w:val="00EE48C1"/>
    <w:rsid w:val="00EE4906"/>
    <w:rsid w:val="00EE4943"/>
    <w:rsid w:val="00EE494A"/>
    <w:rsid w:val="00EE49B9"/>
    <w:rsid w:val="00EE49F5"/>
    <w:rsid w:val="00EE49FC"/>
    <w:rsid w:val="00EE4A76"/>
    <w:rsid w:val="00EE4A8C"/>
    <w:rsid w:val="00EE4B7E"/>
    <w:rsid w:val="00EE4C50"/>
    <w:rsid w:val="00EE4C8C"/>
    <w:rsid w:val="00EE4D73"/>
    <w:rsid w:val="00EE4D99"/>
    <w:rsid w:val="00EE4DBE"/>
    <w:rsid w:val="00EE4E5E"/>
    <w:rsid w:val="00EE4E86"/>
    <w:rsid w:val="00EE5064"/>
    <w:rsid w:val="00EE50B3"/>
    <w:rsid w:val="00EE5109"/>
    <w:rsid w:val="00EE52A5"/>
    <w:rsid w:val="00EE53C4"/>
    <w:rsid w:val="00EE56E6"/>
    <w:rsid w:val="00EE57BE"/>
    <w:rsid w:val="00EE5885"/>
    <w:rsid w:val="00EE591D"/>
    <w:rsid w:val="00EE59D7"/>
    <w:rsid w:val="00EE59EC"/>
    <w:rsid w:val="00EE5A44"/>
    <w:rsid w:val="00EE5AB0"/>
    <w:rsid w:val="00EE5B21"/>
    <w:rsid w:val="00EE5B9D"/>
    <w:rsid w:val="00EE5CC8"/>
    <w:rsid w:val="00EE5D0F"/>
    <w:rsid w:val="00EE5D45"/>
    <w:rsid w:val="00EE5EDA"/>
    <w:rsid w:val="00EE5EDC"/>
    <w:rsid w:val="00EE5FDD"/>
    <w:rsid w:val="00EE5FF8"/>
    <w:rsid w:val="00EE60A9"/>
    <w:rsid w:val="00EE60AF"/>
    <w:rsid w:val="00EE60D2"/>
    <w:rsid w:val="00EE60FA"/>
    <w:rsid w:val="00EE6256"/>
    <w:rsid w:val="00EE63D6"/>
    <w:rsid w:val="00EE6621"/>
    <w:rsid w:val="00EE6625"/>
    <w:rsid w:val="00EE6737"/>
    <w:rsid w:val="00EE67AF"/>
    <w:rsid w:val="00EE67CA"/>
    <w:rsid w:val="00EE684B"/>
    <w:rsid w:val="00EE6899"/>
    <w:rsid w:val="00EE6A4C"/>
    <w:rsid w:val="00EE6A64"/>
    <w:rsid w:val="00EE6B43"/>
    <w:rsid w:val="00EE6B66"/>
    <w:rsid w:val="00EE6BB6"/>
    <w:rsid w:val="00EE6D99"/>
    <w:rsid w:val="00EE6E55"/>
    <w:rsid w:val="00EE6FAB"/>
    <w:rsid w:val="00EE7065"/>
    <w:rsid w:val="00EE706A"/>
    <w:rsid w:val="00EE7097"/>
    <w:rsid w:val="00EE70EE"/>
    <w:rsid w:val="00EE71D7"/>
    <w:rsid w:val="00EE7219"/>
    <w:rsid w:val="00EE729B"/>
    <w:rsid w:val="00EE730E"/>
    <w:rsid w:val="00EE736A"/>
    <w:rsid w:val="00EE73FA"/>
    <w:rsid w:val="00EE745E"/>
    <w:rsid w:val="00EE7506"/>
    <w:rsid w:val="00EE7594"/>
    <w:rsid w:val="00EE759E"/>
    <w:rsid w:val="00EE75A0"/>
    <w:rsid w:val="00EE75CE"/>
    <w:rsid w:val="00EE76AD"/>
    <w:rsid w:val="00EE7711"/>
    <w:rsid w:val="00EE7767"/>
    <w:rsid w:val="00EE7809"/>
    <w:rsid w:val="00EE787D"/>
    <w:rsid w:val="00EE7994"/>
    <w:rsid w:val="00EE79D0"/>
    <w:rsid w:val="00EE79FF"/>
    <w:rsid w:val="00EE7A03"/>
    <w:rsid w:val="00EE7A61"/>
    <w:rsid w:val="00EE7AA7"/>
    <w:rsid w:val="00EE7B6C"/>
    <w:rsid w:val="00EE7B79"/>
    <w:rsid w:val="00EE7C3B"/>
    <w:rsid w:val="00EE7C86"/>
    <w:rsid w:val="00EE7CFF"/>
    <w:rsid w:val="00EE7D3A"/>
    <w:rsid w:val="00EE7F93"/>
    <w:rsid w:val="00EE7FF3"/>
    <w:rsid w:val="00EF008A"/>
    <w:rsid w:val="00EF0190"/>
    <w:rsid w:val="00EF020F"/>
    <w:rsid w:val="00EF0248"/>
    <w:rsid w:val="00EF0293"/>
    <w:rsid w:val="00EF02CD"/>
    <w:rsid w:val="00EF02E8"/>
    <w:rsid w:val="00EF02F0"/>
    <w:rsid w:val="00EF02FF"/>
    <w:rsid w:val="00EF0512"/>
    <w:rsid w:val="00EF0666"/>
    <w:rsid w:val="00EF06FB"/>
    <w:rsid w:val="00EF086B"/>
    <w:rsid w:val="00EF08A7"/>
    <w:rsid w:val="00EF0983"/>
    <w:rsid w:val="00EF0993"/>
    <w:rsid w:val="00EF0A40"/>
    <w:rsid w:val="00EF0A47"/>
    <w:rsid w:val="00EF0BA2"/>
    <w:rsid w:val="00EF0BFF"/>
    <w:rsid w:val="00EF0C63"/>
    <w:rsid w:val="00EF0D22"/>
    <w:rsid w:val="00EF0D70"/>
    <w:rsid w:val="00EF0DAB"/>
    <w:rsid w:val="00EF0E34"/>
    <w:rsid w:val="00EF0E62"/>
    <w:rsid w:val="00EF0EA2"/>
    <w:rsid w:val="00EF104A"/>
    <w:rsid w:val="00EF1236"/>
    <w:rsid w:val="00EF123F"/>
    <w:rsid w:val="00EF12A8"/>
    <w:rsid w:val="00EF12E5"/>
    <w:rsid w:val="00EF1303"/>
    <w:rsid w:val="00EF14D9"/>
    <w:rsid w:val="00EF150A"/>
    <w:rsid w:val="00EF153D"/>
    <w:rsid w:val="00EF158F"/>
    <w:rsid w:val="00EF15C2"/>
    <w:rsid w:val="00EF169F"/>
    <w:rsid w:val="00EF1776"/>
    <w:rsid w:val="00EF17FD"/>
    <w:rsid w:val="00EF18AA"/>
    <w:rsid w:val="00EF19FD"/>
    <w:rsid w:val="00EF1A6D"/>
    <w:rsid w:val="00EF1B21"/>
    <w:rsid w:val="00EF1B60"/>
    <w:rsid w:val="00EF1C18"/>
    <w:rsid w:val="00EF1CC7"/>
    <w:rsid w:val="00EF1CCA"/>
    <w:rsid w:val="00EF1D7D"/>
    <w:rsid w:val="00EF1DAD"/>
    <w:rsid w:val="00EF1DB8"/>
    <w:rsid w:val="00EF1DBA"/>
    <w:rsid w:val="00EF1DF8"/>
    <w:rsid w:val="00EF1E84"/>
    <w:rsid w:val="00EF1EC1"/>
    <w:rsid w:val="00EF1EE2"/>
    <w:rsid w:val="00EF1FE1"/>
    <w:rsid w:val="00EF2022"/>
    <w:rsid w:val="00EF20BE"/>
    <w:rsid w:val="00EF2129"/>
    <w:rsid w:val="00EF214E"/>
    <w:rsid w:val="00EF21BC"/>
    <w:rsid w:val="00EF2249"/>
    <w:rsid w:val="00EF2385"/>
    <w:rsid w:val="00EF241C"/>
    <w:rsid w:val="00EF2486"/>
    <w:rsid w:val="00EF24C2"/>
    <w:rsid w:val="00EF2532"/>
    <w:rsid w:val="00EF2551"/>
    <w:rsid w:val="00EF261E"/>
    <w:rsid w:val="00EF262C"/>
    <w:rsid w:val="00EF2758"/>
    <w:rsid w:val="00EF2793"/>
    <w:rsid w:val="00EF27D3"/>
    <w:rsid w:val="00EF283D"/>
    <w:rsid w:val="00EF28AB"/>
    <w:rsid w:val="00EF293B"/>
    <w:rsid w:val="00EF29DF"/>
    <w:rsid w:val="00EF2A07"/>
    <w:rsid w:val="00EF2A33"/>
    <w:rsid w:val="00EF2A5C"/>
    <w:rsid w:val="00EF2A7A"/>
    <w:rsid w:val="00EF2ACF"/>
    <w:rsid w:val="00EF2BA4"/>
    <w:rsid w:val="00EF2BB2"/>
    <w:rsid w:val="00EF2BD8"/>
    <w:rsid w:val="00EF2C74"/>
    <w:rsid w:val="00EF2CCF"/>
    <w:rsid w:val="00EF2D89"/>
    <w:rsid w:val="00EF2DBC"/>
    <w:rsid w:val="00EF2E54"/>
    <w:rsid w:val="00EF2E61"/>
    <w:rsid w:val="00EF2E97"/>
    <w:rsid w:val="00EF2EEA"/>
    <w:rsid w:val="00EF2EF7"/>
    <w:rsid w:val="00EF2FFE"/>
    <w:rsid w:val="00EF3042"/>
    <w:rsid w:val="00EF310A"/>
    <w:rsid w:val="00EF31BC"/>
    <w:rsid w:val="00EF329B"/>
    <w:rsid w:val="00EF32EC"/>
    <w:rsid w:val="00EF32F7"/>
    <w:rsid w:val="00EF3380"/>
    <w:rsid w:val="00EF3550"/>
    <w:rsid w:val="00EF3584"/>
    <w:rsid w:val="00EF359E"/>
    <w:rsid w:val="00EF35DA"/>
    <w:rsid w:val="00EF3694"/>
    <w:rsid w:val="00EF3A0D"/>
    <w:rsid w:val="00EF3B8D"/>
    <w:rsid w:val="00EF3BF3"/>
    <w:rsid w:val="00EF3C8E"/>
    <w:rsid w:val="00EF3D0F"/>
    <w:rsid w:val="00EF3E0C"/>
    <w:rsid w:val="00EF3E40"/>
    <w:rsid w:val="00EF3E67"/>
    <w:rsid w:val="00EF3EEA"/>
    <w:rsid w:val="00EF3EF0"/>
    <w:rsid w:val="00EF3FD0"/>
    <w:rsid w:val="00EF402A"/>
    <w:rsid w:val="00EF4042"/>
    <w:rsid w:val="00EF41DC"/>
    <w:rsid w:val="00EF4254"/>
    <w:rsid w:val="00EF4353"/>
    <w:rsid w:val="00EF4453"/>
    <w:rsid w:val="00EF4459"/>
    <w:rsid w:val="00EF446B"/>
    <w:rsid w:val="00EF44A7"/>
    <w:rsid w:val="00EF44CA"/>
    <w:rsid w:val="00EF4503"/>
    <w:rsid w:val="00EF4548"/>
    <w:rsid w:val="00EF45AB"/>
    <w:rsid w:val="00EF4681"/>
    <w:rsid w:val="00EF46E0"/>
    <w:rsid w:val="00EF4702"/>
    <w:rsid w:val="00EF4743"/>
    <w:rsid w:val="00EF477B"/>
    <w:rsid w:val="00EF48C2"/>
    <w:rsid w:val="00EF492D"/>
    <w:rsid w:val="00EF4C66"/>
    <w:rsid w:val="00EF4C92"/>
    <w:rsid w:val="00EF4CBE"/>
    <w:rsid w:val="00EF4CF8"/>
    <w:rsid w:val="00EF4DA5"/>
    <w:rsid w:val="00EF4DB6"/>
    <w:rsid w:val="00EF4EA9"/>
    <w:rsid w:val="00EF4F62"/>
    <w:rsid w:val="00EF4F73"/>
    <w:rsid w:val="00EF4F88"/>
    <w:rsid w:val="00EF503B"/>
    <w:rsid w:val="00EF507A"/>
    <w:rsid w:val="00EF50B5"/>
    <w:rsid w:val="00EF5110"/>
    <w:rsid w:val="00EF516A"/>
    <w:rsid w:val="00EF51AA"/>
    <w:rsid w:val="00EF524B"/>
    <w:rsid w:val="00EF5268"/>
    <w:rsid w:val="00EF538F"/>
    <w:rsid w:val="00EF5421"/>
    <w:rsid w:val="00EF549D"/>
    <w:rsid w:val="00EF5572"/>
    <w:rsid w:val="00EF55DD"/>
    <w:rsid w:val="00EF561C"/>
    <w:rsid w:val="00EF5660"/>
    <w:rsid w:val="00EF56AE"/>
    <w:rsid w:val="00EF56E5"/>
    <w:rsid w:val="00EF576F"/>
    <w:rsid w:val="00EF5797"/>
    <w:rsid w:val="00EF5801"/>
    <w:rsid w:val="00EF5842"/>
    <w:rsid w:val="00EF592E"/>
    <w:rsid w:val="00EF5954"/>
    <w:rsid w:val="00EF5A0E"/>
    <w:rsid w:val="00EF5B27"/>
    <w:rsid w:val="00EF5B3F"/>
    <w:rsid w:val="00EF5CB0"/>
    <w:rsid w:val="00EF5E33"/>
    <w:rsid w:val="00EF5EF0"/>
    <w:rsid w:val="00EF60A6"/>
    <w:rsid w:val="00EF61D4"/>
    <w:rsid w:val="00EF6201"/>
    <w:rsid w:val="00EF62BB"/>
    <w:rsid w:val="00EF6317"/>
    <w:rsid w:val="00EF6330"/>
    <w:rsid w:val="00EF63C1"/>
    <w:rsid w:val="00EF6422"/>
    <w:rsid w:val="00EF642C"/>
    <w:rsid w:val="00EF6444"/>
    <w:rsid w:val="00EF6493"/>
    <w:rsid w:val="00EF64C9"/>
    <w:rsid w:val="00EF64E2"/>
    <w:rsid w:val="00EF6569"/>
    <w:rsid w:val="00EF662E"/>
    <w:rsid w:val="00EF6656"/>
    <w:rsid w:val="00EF666C"/>
    <w:rsid w:val="00EF67F4"/>
    <w:rsid w:val="00EF6890"/>
    <w:rsid w:val="00EF69B0"/>
    <w:rsid w:val="00EF69B9"/>
    <w:rsid w:val="00EF6A55"/>
    <w:rsid w:val="00EF6A68"/>
    <w:rsid w:val="00EF6A92"/>
    <w:rsid w:val="00EF6AE9"/>
    <w:rsid w:val="00EF6AF7"/>
    <w:rsid w:val="00EF6B8A"/>
    <w:rsid w:val="00EF6BC9"/>
    <w:rsid w:val="00EF6C1F"/>
    <w:rsid w:val="00EF6DB2"/>
    <w:rsid w:val="00EF6E5D"/>
    <w:rsid w:val="00EF6E64"/>
    <w:rsid w:val="00EF6E82"/>
    <w:rsid w:val="00EF6E8C"/>
    <w:rsid w:val="00EF6F02"/>
    <w:rsid w:val="00EF6F33"/>
    <w:rsid w:val="00EF6F4C"/>
    <w:rsid w:val="00EF7240"/>
    <w:rsid w:val="00EF72E6"/>
    <w:rsid w:val="00EF749F"/>
    <w:rsid w:val="00EF7506"/>
    <w:rsid w:val="00EF7556"/>
    <w:rsid w:val="00EF7729"/>
    <w:rsid w:val="00EF7744"/>
    <w:rsid w:val="00EF775C"/>
    <w:rsid w:val="00EF7846"/>
    <w:rsid w:val="00EF7860"/>
    <w:rsid w:val="00EF7896"/>
    <w:rsid w:val="00EF78B7"/>
    <w:rsid w:val="00EF78F7"/>
    <w:rsid w:val="00EF7B15"/>
    <w:rsid w:val="00EF7B50"/>
    <w:rsid w:val="00EF7B58"/>
    <w:rsid w:val="00EF7BD9"/>
    <w:rsid w:val="00EF7C3F"/>
    <w:rsid w:val="00EF7CB6"/>
    <w:rsid w:val="00EF7D7B"/>
    <w:rsid w:val="00EF7EBC"/>
    <w:rsid w:val="00EF7ECC"/>
    <w:rsid w:val="00EF7F6D"/>
    <w:rsid w:val="00EF7FB1"/>
    <w:rsid w:val="00EF7FE4"/>
    <w:rsid w:val="00F0005E"/>
    <w:rsid w:val="00F0021A"/>
    <w:rsid w:val="00F003EA"/>
    <w:rsid w:val="00F00445"/>
    <w:rsid w:val="00F00566"/>
    <w:rsid w:val="00F005B0"/>
    <w:rsid w:val="00F005D9"/>
    <w:rsid w:val="00F006E0"/>
    <w:rsid w:val="00F0079F"/>
    <w:rsid w:val="00F008CB"/>
    <w:rsid w:val="00F00901"/>
    <w:rsid w:val="00F00936"/>
    <w:rsid w:val="00F00A14"/>
    <w:rsid w:val="00F00A78"/>
    <w:rsid w:val="00F00AF5"/>
    <w:rsid w:val="00F00BA9"/>
    <w:rsid w:val="00F00CD6"/>
    <w:rsid w:val="00F00D1D"/>
    <w:rsid w:val="00F00D8A"/>
    <w:rsid w:val="00F00E7D"/>
    <w:rsid w:val="00F00E8A"/>
    <w:rsid w:val="00F00EBF"/>
    <w:rsid w:val="00F00F3E"/>
    <w:rsid w:val="00F0107F"/>
    <w:rsid w:val="00F01110"/>
    <w:rsid w:val="00F01147"/>
    <w:rsid w:val="00F011F1"/>
    <w:rsid w:val="00F0121B"/>
    <w:rsid w:val="00F01289"/>
    <w:rsid w:val="00F01298"/>
    <w:rsid w:val="00F01301"/>
    <w:rsid w:val="00F0131F"/>
    <w:rsid w:val="00F01441"/>
    <w:rsid w:val="00F0152A"/>
    <w:rsid w:val="00F0162E"/>
    <w:rsid w:val="00F017A5"/>
    <w:rsid w:val="00F017FF"/>
    <w:rsid w:val="00F01906"/>
    <w:rsid w:val="00F01941"/>
    <w:rsid w:val="00F01952"/>
    <w:rsid w:val="00F019AA"/>
    <w:rsid w:val="00F01AB7"/>
    <w:rsid w:val="00F01C2D"/>
    <w:rsid w:val="00F01C94"/>
    <w:rsid w:val="00F01D09"/>
    <w:rsid w:val="00F01D5C"/>
    <w:rsid w:val="00F01DBA"/>
    <w:rsid w:val="00F01DCB"/>
    <w:rsid w:val="00F01DE4"/>
    <w:rsid w:val="00F01E42"/>
    <w:rsid w:val="00F01EDA"/>
    <w:rsid w:val="00F01F81"/>
    <w:rsid w:val="00F01FAA"/>
    <w:rsid w:val="00F02016"/>
    <w:rsid w:val="00F02039"/>
    <w:rsid w:val="00F021E8"/>
    <w:rsid w:val="00F0225A"/>
    <w:rsid w:val="00F022AD"/>
    <w:rsid w:val="00F024C4"/>
    <w:rsid w:val="00F024D3"/>
    <w:rsid w:val="00F025F6"/>
    <w:rsid w:val="00F027A0"/>
    <w:rsid w:val="00F027C5"/>
    <w:rsid w:val="00F02889"/>
    <w:rsid w:val="00F02891"/>
    <w:rsid w:val="00F0293B"/>
    <w:rsid w:val="00F0294F"/>
    <w:rsid w:val="00F02A36"/>
    <w:rsid w:val="00F02A6F"/>
    <w:rsid w:val="00F02AF5"/>
    <w:rsid w:val="00F02C2C"/>
    <w:rsid w:val="00F02DF8"/>
    <w:rsid w:val="00F02E8E"/>
    <w:rsid w:val="00F02EAE"/>
    <w:rsid w:val="00F03080"/>
    <w:rsid w:val="00F0312A"/>
    <w:rsid w:val="00F03160"/>
    <w:rsid w:val="00F03187"/>
    <w:rsid w:val="00F0318B"/>
    <w:rsid w:val="00F031EF"/>
    <w:rsid w:val="00F0325D"/>
    <w:rsid w:val="00F03267"/>
    <w:rsid w:val="00F0328B"/>
    <w:rsid w:val="00F032BC"/>
    <w:rsid w:val="00F03338"/>
    <w:rsid w:val="00F033D3"/>
    <w:rsid w:val="00F03427"/>
    <w:rsid w:val="00F0343B"/>
    <w:rsid w:val="00F034E0"/>
    <w:rsid w:val="00F0351E"/>
    <w:rsid w:val="00F03587"/>
    <w:rsid w:val="00F03636"/>
    <w:rsid w:val="00F03679"/>
    <w:rsid w:val="00F036E0"/>
    <w:rsid w:val="00F036F2"/>
    <w:rsid w:val="00F037D4"/>
    <w:rsid w:val="00F03803"/>
    <w:rsid w:val="00F03981"/>
    <w:rsid w:val="00F03985"/>
    <w:rsid w:val="00F03A4A"/>
    <w:rsid w:val="00F03A94"/>
    <w:rsid w:val="00F03AFE"/>
    <w:rsid w:val="00F03B12"/>
    <w:rsid w:val="00F03D59"/>
    <w:rsid w:val="00F03D66"/>
    <w:rsid w:val="00F03E95"/>
    <w:rsid w:val="00F03EE1"/>
    <w:rsid w:val="00F03F75"/>
    <w:rsid w:val="00F03FA2"/>
    <w:rsid w:val="00F040D4"/>
    <w:rsid w:val="00F04105"/>
    <w:rsid w:val="00F0411A"/>
    <w:rsid w:val="00F04279"/>
    <w:rsid w:val="00F04281"/>
    <w:rsid w:val="00F04319"/>
    <w:rsid w:val="00F04339"/>
    <w:rsid w:val="00F043BF"/>
    <w:rsid w:val="00F043E5"/>
    <w:rsid w:val="00F04436"/>
    <w:rsid w:val="00F04458"/>
    <w:rsid w:val="00F044CA"/>
    <w:rsid w:val="00F044D4"/>
    <w:rsid w:val="00F04549"/>
    <w:rsid w:val="00F045AF"/>
    <w:rsid w:val="00F04617"/>
    <w:rsid w:val="00F047C7"/>
    <w:rsid w:val="00F047D8"/>
    <w:rsid w:val="00F0481D"/>
    <w:rsid w:val="00F04839"/>
    <w:rsid w:val="00F04898"/>
    <w:rsid w:val="00F0494D"/>
    <w:rsid w:val="00F04A46"/>
    <w:rsid w:val="00F04B58"/>
    <w:rsid w:val="00F04BD4"/>
    <w:rsid w:val="00F04C51"/>
    <w:rsid w:val="00F04C6C"/>
    <w:rsid w:val="00F04C89"/>
    <w:rsid w:val="00F04CBD"/>
    <w:rsid w:val="00F04CED"/>
    <w:rsid w:val="00F04D4B"/>
    <w:rsid w:val="00F04D56"/>
    <w:rsid w:val="00F04E0B"/>
    <w:rsid w:val="00F04ECF"/>
    <w:rsid w:val="00F04FF5"/>
    <w:rsid w:val="00F0504B"/>
    <w:rsid w:val="00F0514D"/>
    <w:rsid w:val="00F051FA"/>
    <w:rsid w:val="00F05286"/>
    <w:rsid w:val="00F05353"/>
    <w:rsid w:val="00F0541F"/>
    <w:rsid w:val="00F05543"/>
    <w:rsid w:val="00F05658"/>
    <w:rsid w:val="00F056BF"/>
    <w:rsid w:val="00F057C7"/>
    <w:rsid w:val="00F057DE"/>
    <w:rsid w:val="00F057E6"/>
    <w:rsid w:val="00F057EF"/>
    <w:rsid w:val="00F05826"/>
    <w:rsid w:val="00F05827"/>
    <w:rsid w:val="00F0587E"/>
    <w:rsid w:val="00F05881"/>
    <w:rsid w:val="00F058E2"/>
    <w:rsid w:val="00F0590B"/>
    <w:rsid w:val="00F0598E"/>
    <w:rsid w:val="00F05A6B"/>
    <w:rsid w:val="00F05AB0"/>
    <w:rsid w:val="00F05AF0"/>
    <w:rsid w:val="00F05B09"/>
    <w:rsid w:val="00F05B70"/>
    <w:rsid w:val="00F05BCB"/>
    <w:rsid w:val="00F05C5F"/>
    <w:rsid w:val="00F05C71"/>
    <w:rsid w:val="00F05C75"/>
    <w:rsid w:val="00F05CA2"/>
    <w:rsid w:val="00F05CAB"/>
    <w:rsid w:val="00F05CE8"/>
    <w:rsid w:val="00F05D7D"/>
    <w:rsid w:val="00F05E37"/>
    <w:rsid w:val="00F05E69"/>
    <w:rsid w:val="00F05EE2"/>
    <w:rsid w:val="00F05F14"/>
    <w:rsid w:val="00F05F23"/>
    <w:rsid w:val="00F05F91"/>
    <w:rsid w:val="00F060B1"/>
    <w:rsid w:val="00F0615A"/>
    <w:rsid w:val="00F0618F"/>
    <w:rsid w:val="00F062A4"/>
    <w:rsid w:val="00F062E5"/>
    <w:rsid w:val="00F06389"/>
    <w:rsid w:val="00F064CF"/>
    <w:rsid w:val="00F064E0"/>
    <w:rsid w:val="00F06508"/>
    <w:rsid w:val="00F06588"/>
    <w:rsid w:val="00F0671C"/>
    <w:rsid w:val="00F06794"/>
    <w:rsid w:val="00F067AF"/>
    <w:rsid w:val="00F068A3"/>
    <w:rsid w:val="00F069AD"/>
    <w:rsid w:val="00F06AB6"/>
    <w:rsid w:val="00F06BDF"/>
    <w:rsid w:val="00F06BF1"/>
    <w:rsid w:val="00F06C6F"/>
    <w:rsid w:val="00F06E1A"/>
    <w:rsid w:val="00F06F44"/>
    <w:rsid w:val="00F06F86"/>
    <w:rsid w:val="00F06F89"/>
    <w:rsid w:val="00F0734D"/>
    <w:rsid w:val="00F073AC"/>
    <w:rsid w:val="00F07422"/>
    <w:rsid w:val="00F07579"/>
    <w:rsid w:val="00F07591"/>
    <w:rsid w:val="00F07592"/>
    <w:rsid w:val="00F075A3"/>
    <w:rsid w:val="00F075CE"/>
    <w:rsid w:val="00F0761A"/>
    <w:rsid w:val="00F077D0"/>
    <w:rsid w:val="00F07817"/>
    <w:rsid w:val="00F07872"/>
    <w:rsid w:val="00F0787D"/>
    <w:rsid w:val="00F0789A"/>
    <w:rsid w:val="00F078B8"/>
    <w:rsid w:val="00F07A68"/>
    <w:rsid w:val="00F07ABD"/>
    <w:rsid w:val="00F07AFF"/>
    <w:rsid w:val="00F07BC1"/>
    <w:rsid w:val="00F07C1B"/>
    <w:rsid w:val="00F07C2B"/>
    <w:rsid w:val="00F07CF8"/>
    <w:rsid w:val="00F07CFD"/>
    <w:rsid w:val="00F07DC4"/>
    <w:rsid w:val="00F07DF5"/>
    <w:rsid w:val="00F07E08"/>
    <w:rsid w:val="00F07F08"/>
    <w:rsid w:val="00F07FB4"/>
    <w:rsid w:val="00F100DD"/>
    <w:rsid w:val="00F100F3"/>
    <w:rsid w:val="00F10125"/>
    <w:rsid w:val="00F1029C"/>
    <w:rsid w:val="00F102F6"/>
    <w:rsid w:val="00F103E2"/>
    <w:rsid w:val="00F10437"/>
    <w:rsid w:val="00F1048B"/>
    <w:rsid w:val="00F104B3"/>
    <w:rsid w:val="00F104E2"/>
    <w:rsid w:val="00F10502"/>
    <w:rsid w:val="00F10558"/>
    <w:rsid w:val="00F10637"/>
    <w:rsid w:val="00F10680"/>
    <w:rsid w:val="00F10709"/>
    <w:rsid w:val="00F10733"/>
    <w:rsid w:val="00F10861"/>
    <w:rsid w:val="00F108D7"/>
    <w:rsid w:val="00F109B4"/>
    <w:rsid w:val="00F109C9"/>
    <w:rsid w:val="00F10A67"/>
    <w:rsid w:val="00F10A95"/>
    <w:rsid w:val="00F10B28"/>
    <w:rsid w:val="00F10B6E"/>
    <w:rsid w:val="00F10BE8"/>
    <w:rsid w:val="00F10C06"/>
    <w:rsid w:val="00F10C19"/>
    <w:rsid w:val="00F10D2C"/>
    <w:rsid w:val="00F10D38"/>
    <w:rsid w:val="00F10DAD"/>
    <w:rsid w:val="00F10E02"/>
    <w:rsid w:val="00F10E35"/>
    <w:rsid w:val="00F10E66"/>
    <w:rsid w:val="00F10F2B"/>
    <w:rsid w:val="00F10F31"/>
    <w:rsid w:val="00F10F46"/>
    <w:rsid w:val="00F10F68"/>
    <w:rsid w:val="00F10FC3"/>
    <w:rsid w:val="00F10FD4"/>
    <w:rsid w:val="00F11078"/>
    <w:rsid w:val="00F1107A"/>
    <w:rsid w:val="00F11085"/>
    <w:rsid w:val="00F1116A"/>
    <w:rsid w:val="00F1118A"/>
    <w:rsid w:val="00F1132C"/>
    <w:rsid w:val="00F114DC"/>
    <w:rsid w:val="00F11514"/>
    <w:rsid w:val="00F115B8"/>
    <w:rsid w:val="00F11754"/>
    <w:rsid w:val="00F11906"/>
    <w:rsid w:val="00F119AD"/>
    <w:rsid w:val="00F119F2"/>
    <w:rsid w:val="00F11B04"/>
    <w:rsid w:val="00F11B56"/>
    <w:rsid w:val="00F11BBC"/>
    <w:rsid w:val="00F11BEB"/>
    <w:rsid w:val="00F11CD0"/>
    <w:rsid w:val="00F11CD5"/>
    <w:rsid w:val="00F11D91"/>
    <w:rsid w:val="00F11DEE"/>
    <w:rsid w:val="00F11E12"/>
    <w:rsid w:val="00F11EBA"/>
    <w:rsid w:val="00F11EED"/>
    <w:rsid w:val="00F11F3F"/>
    <w:rsid w:val="00F120CE"/>
    <w:rsid w:val="00F1212F"/>
    <w:rsid w:val="00F121A8"/>
    <w:rsid w:val="00F121CF"/>
    <w:rsid w:val="00F121D7"/>
    <w:rsid w:val="00F1235B"/>
    <w:rsid w:val="00F12419"/>
    <w:rsid w:val="00F124D0"/>
    <w:rsid w:val="00F12514"/>
    <w:rsid w:val="00F12584"/>
    <w:rsid w:val="00F125B5"/>
    <w:rsid w:val="00F1269C"/>
    <w:rsid w:val="00F126B3"/>
    <w:rsid w:val="00F1275B"/>
    <w:rsid w:val="00F127A5"/>
    <w:rsid w:val="00F128BC"/>
    <w:rsid w:val="00F129FD"/>
    <w:rsid w:val="00F12A19"/>
    <w:rsid w:val="00F12A8A"/>
    <w:rsid w:val="00F12B66"/>
    <w:rsid w:val="00F12B89"/>
    <w:rsid w:val="00F12BCA"/>
    <w:rsid w:val="00F12BE8"/>
    <w:rsid w:val="00F12BF2"/>
    <w:rsid w:val="00F12E50"/>
    <w:rsid w:val="00F12E81"/>
    <w:rsid w:val="00F12F34"/>
    <w:rsid w:val="00F12F58"/>
    <w:rsid w:val="00F12FFB"/>
    <w:rsid w:val="00F130E1"/>
    <w:rsid w:val="00F13170"/>
    <w:rsid w:val="00F13182"/>
    <w:rsid w:val="00F13185"/>
    <w:rsid w:val="00F13197"/>
    <w:rsid w:val="00F131AA"/>
    <w:rsid w:val="00F13222"/>
    <w:rsid w:val="00F1328C"/>
    <w:rsid w:val="00F132B1"/>
    <w:rsid w:val="00F132B3"/>
    <w:rsid w:val="00F132EF"/>
    <w:rsid w:val="00F13376"/>
    <w:rsid w:val="00F1341C"/>
    <w:rsid w:val="00F1345F"/>
    <w:rsid w:val="00F13463"/>
    <w:rsid w:val="00F1353D"/>
    <w:rsid w:val="00F135A7"/>
    <w:rsid w:val="00F13606"/>
    <w:rsid w:val="00F136E7"/>
    <w:rsid w:val="00F136F9"/>
    <w:rsid w:val="00F13705"/>
    <w:rsid w:val="00F1381C"/>
    <w:rsid w:val="00F1384C"/>
    <w:rsid w:val="00F13938"/>
    <w:rsid w:val="00F13985"/>
    <w:rsid w:val="00F139EE"/>
    <w:rsid w:val="00F13A5E"/>
    <w:rsid w:val="00F13AA5"/>
    <w:rsid w:val="00F13B5B"/>
    <w:rsid w:val="00F13C47"/>
    <w:rsid w:val="00F13CA3"/>
    <w:rsid w:val="00F13CB8"/>
    <w:rsid w:val="00F13DB1"/>
    <w:rsid w:val="00F13DDF"/>
    <w:rsid w:val="00F13FD2"/>
    <w:rsid w:val="00F1405F"/>
    <w:rsid w:val="00F1415E"/>
    <w:rsid w:val="00F141DF"/>
    <w:rsid w:val="00F14281"/>
    <w:rsid w:val="00F142CA"/>
    <w:rsid w:val="00F14349"/>
    <w:rsid w:val="00F143B4"/>
    <w:rsid w:val="00F144CE"/>
    <w:rsid w:val="00F14572"/>
    <w:rsid w:val="00F14578"/>
    <w:rsid w:val="00F14587"/>
    <w:rsid w:val="00F145EE"/>
    <w:rsid w:val="00F14762"/>
    <w:rsid w:val="00F14829"/>
    <w:rsid w:val="00F1485D"/>
    <w:rsid w:val="00F14871"/>
    <w:rsid w:val="00F148E6"/>
    <w:rsid w:val="00F14911"/>
    <w:rsid w:val="00F14938"/>
    <w:rsid w:val="00F1494C"/>
    <w:rsid w:val="00F14964"/>
    <w:rsid w:val="00F14975"/>
    <w:rsid w:val="00F14A9A"/>
    <w:rsid w:val="00F14B28"/>
    <w:rsid w:val="00F14BAD"/>
    <w:rsid w:val="00F14C6B"/>
    <w:rsid w:val="00F14C93"/>
    <w:rsid w:val="00F14D6F"/>
    <w:rsid w:val="00F14EDD"/>
    <w:rsid w:val="00F14F55"/>
    <w:rsid w:val="00F15022"/>
    <w:rsid w:val="00F150EB"/>
    <w:rsid w:val="00F1516F"/>
    <w:rsid w:val="00F1525E"/>
    <w:rsid w:val="00F152B1"/>
    <w:rsid w:val="00F152E6"/>
    <w:rsid w:val="00F1537D"/>
    <w:rsid w:val="00F1543F"/>
    <w:rsid w:val="00F1545C"/>
    <w:rsid w:val="00F154A7"/>
    <w:rsid w:val="00F154B2"/>
    <w:rsid w:val="00F154C5"/>
    <w:rsid w:val="00F1550D"/>
    <w:rsid w:val="00F15513"/>
    <w:rsid w:val="00F1553C"/>
    <w:rsid w:val="00F156D4"/>
    <w:rsid w:val="00F15709"/>
    <w:rsid w:val="00F1591B"/>
    <w:rsid w:val="00F1593C"/>
    <w:rsid w:val="00F159B0"/>
    <w:rsid w:val="00F15A83"/>
    <w:rsid w:val="00F15A9C"/>
    <w:rsid w:val="00F15C0C"/>
    <w:rsid w:val="00F15D15"/>
    <w:rsid w:val="00F15D1D"/>
    <w:rsid w:val="00F15D69"/>
    <w:rsid w:val="00F15D71"/>
    <w:rsid w:val="00F15F50"/>
    <w:rsid w:val="00F15F76"/>
    <w:rsid w:val="00F15F86"/>
    <w:rsid w:val="00F15F8E"/>
    <w:rsid w:val="00F15FCB"/>
    <w:rsid w:val="00F15FEB"/>
    <w:rsid w:val="00F16026"/>
    <w:rsid w:val="00F16032"/>
    <w:rsid w:val="00F1608D"/>
    <w:rsid w:val="00F160C7"/>
    <w:rsid w:val="00F16197"/>
    <w:rsid w:val="00F162F4"/>
    <w:rsid w:val="00F1636B"/>
    <w:rsid w:val="00F16447"/>
    <w:rsid w:val="00F165C9"/>
    <w:rsid w:val="00F166F5"/>
    <w:rsid w:val="00F16735"/>
    <w:rsid w:val="00F1684F"/>
    <w:rsid w:val="00F16872"/>
    <w:rsid w:val="00F16978"/>
    <w:rsid w:val="00F169FB"/>
    <w:rsid w:val="00F16C62"/>
    <w:rsid w:val="00F16CDC"/>
    <w:rsid w:val="00F16E17"/>
    <w:rsid w:val="00F16F31"/>
    <w:rsid w:val="00F16F70"/>
    <w:rsid w:val="00F16FFC"/>
    <w:rsid w:val="00F170CA"/>
    <w:rsid w:val="00F170E5"/>
    <w:rsid w:val="00F1713A"/>
    <w:rsid w:val="00F171D9"/>
    <w:rsid w:val="00F171DE"/>
    <w:rsid w:val="00F1728A"/>
    <w:rsid w:val="00F172A5"/>
    <w:rsid w:val="00F172AC"/>
    <w:rsid w:val="00F17340"/>
    <w:rsid w:val="00F173A4"/>
    <w:rsid w:val="00F173ED"/>
    <w:rsid w:val="00F1740A"/>
    <w:rsid w:val="00F17448"/>
    <w:rsid w:val="00F17482"/>
    <w:rsid w:val="00F1752C"/>
    <w:rsid w:val="00F17643"/>
    <w:rsid w:val="00F176CD"/>
    <w:rsid w:val="00F17777"/>
    <w:rsid w:val="00F177E6"/>
    <w:rsid w:val="00F1799D"/>
    <w:rsid w:val="00F17A5B"/>
    <w:rsid w:val="00F17A68"/>
    <w:rsid w:val="00F17AC6"/>
    <w:rsid w:val="00F17B2E"/>
    <w:rsid w:val="00F17B5B"/>
    <w:rsid w:val="00F17BBB"/>
    <w:rsid w:val="00F17C02"/>
    <w:rsid w:val="00F17C09"/>
    <w:rsid w:val="00F17F6B"/>
    <w:rsid w:val="00F17F75"/>
    <w:rsid w:val="00F17FE4"/>
    <w:rsid w:val="00F2002A"/>
    <w:rsid w:val="00F201AB"/>
    <w:rsid w:val="00F202C0"/>
    <w:rsid w:val="00F202D9"/>
    <w:rsid w:val="00F2032F"/>
    <w:rsid w:val="00F2039C"/>
    <w:rsid w:val="00F20448"/>
    <w:rsid w:val="00F20562"/>
    <w:rsid w:val="00F2062F"/>
    <w:rsid w:val="00F20776"/>
    <w:rsid w:val="00F208A0"/>
    <w:rsid w:val="00F209C5"/>
    <w:rsid w:val="00F209DD"/>
    <w:rsid w:val="00F20AC5"/>
    <w:rsid w:val="00F20AE3"/>
    <w:rsid w:val="00F20B88"/>
    <w:rsid w:val="00F20C78"/>
    <w:rsid w:val="00F20CB1"/>
    <w:rsid w:val="00F20DC0"/>
    <w:rsid w:val="00F20EE0"/>
    <w:rsid w:val="00F2103B"/>
    <w:rsid w:val="00F2111E"/>
    <w:rsid w:val="00F2119C"/>
    <w:rsid w:val="00F21243"/>
    <w:rsid w:val="00F21266"/>
    <w:rsid w:val="00F212AB"/>
    <w:rsid w:val="00F21316"/>
    <w:rsid w:val="00F21382"/>
    <w:rsid w:val="00F21401"/>
    <w:rsid w:val="00F2144B"/>
    <w:rsid w:val="00F2153B"/>
    <w:rsid w:val="00F217CD"/>
    <w:rsid w:val="00F218F6"/>
    <w:rsid w:val="00F21967"/>
    <w:rsid w:val="00F21969"/>
    <w:rsid w:val="00F21A21"/>
    <w:rsid w:val="00F21A85"/>
    <w:rsid w:val="00F21AE1"/>
    <w:rsid w:val="00F21AF8"/>
    <w:rsid w:val="00F21B16"/>
    <w:rsid w:val="00F21B40"/>
    <w:rsid w:val="00F21BC6"/>
    <w:rsid w:val="00F21C64"/>
    <w:rsid w:val="00F21C8F"/>
    <w:rsid w:val="00F21CED"/>
    <w:rsid w:val="00F21D42"/>
    <w:rsid w:val="00F21E58"/>
    <w:rsid w:val="00F21EDB"/>
    <w:rsid w:val="00F21FEE"/>
    <w:rsid w:val="00F22012"/>
    <w:rsid w:val="00F22058"/>
    <w:rsid w:val="00F220EC"/>
    <w:rsid w:val="00F22100"/>
    <w:rsid w:val="00F222DA"/>
    <w:rsid w:val="00F222FD"/>
    <w:rsid w:val="00F22391"/>
    <w:rsid w:val="00F223A8"/>
    <w:rsid w:val="00F22466"/>
    <w:rsid w:val="00F22498"/>
    <w:rsid w:val="00F22522"/>
    <w:rsid w:val="00F225A5"/>
    <w:rsid w:val="00F2261F"/>
    <w:rsid w:val="00F2280F"/>
    <w:rsid w:val="00F228DB"/>
    <w:rsid w:val="00F22928"/>
    <w:rsid w:val="00F2292C"/>
    <w:rsid w:val="00F2295D"/>
    <w:rsid w:val="00F22992"/>
    <w:rsid w:val="00F2299F"/>
    <w:rsid w:val="00F22A20"/>
    <w:rsid w:val="00F22A40"/>
    <w:rsid w:val="00F22A78"/>
    <w:rsid w:val="00F22B2C"/>
    <w:rsid w:val="00F22B31"/>
    <w:rsid w:val="00F22D21"/>
    <w:rsid w:val="00F22D95"/>
    <w:rsid w:val="00F22DE1"/>
    <w:rsid w:val="00F22E62"/>
    <w:rsid w:val="00F22E7E"/>
    <w:rsid w:val="00F22ECC"/>
    <w:rsid w:val="00F22F58"/>
    <w:rsid w:val="00F2301F"/>
    <w:rsid w:val="00F23093"/>
    <w:rsid w:val="00F230EB"/>
    <w:rsid w:val="00F23129"/>
    <w:rsid w:val="00F23146"/>
    <w:rsid w:val="00F23186"/>
    <w:rsid w:val="00F231F8"/>
    <w:rsid w:val="00F232D4"/>
    <w:rsid w:val="00F23367"/>
    <w:rsid w:val="00F233DB"/>
    <w:rsid w:val="00F2341D"/>
    <w:rsid w:val="00F23482"/>
    <w:rsid w:val="00F2365C"/>
    <w:rsid w:val="00F23705"/>
    <w:rsid w:val="00F2376E"/>
    <w:rsid w:val="00F238F9"/>
    <w:rsid w:val="00F23951"/>
    <w:rsid w:val="00F23A7E"/>
    <w:rsid w:val="00F23AA4"/>
    <w:rsid w:val="00F23AD4"/>
    <w:rsid w:val="00F23BA1"/>
    <w:rsid w:val="00F23CDA"/>
    <w:rsid w:val="00F23DC3"/>
    <w:rsid w:val="00F23EB8"/>
    <w:rsid w:val="00F23F33"/>
    <w:rsid w:val="00F23FAF"/>
    <w:rsid w:val="00F240AB"/>
    <w:rsid w:val="00F24140"/>
    <w:rsid w:val="00F2429D"/>
    <w:rsid w:val="00F2430C"/>
    <w:rsid w:val="00F24320"/>
    <w:rsid w:val="00F2437E"/>
    <w:rsid w:val="00F24394"/>
    <w:rsid w:val="00F243F3"/>
    <w:rsid w:val="00F2443A"/>
    <w:rsid w:val="00F24494"/>
    <w:rsid w:val="00F244B7"/>
    <w:rsid w:val="00F244DA"/>
    <w:rsid w:val="00F24501"/>
    <w:rsid w:val="00F24539"/>
    <w:rsid w:val="00F24570"/>
    <w:rsid w:val="00F24579"/>
    <w:rsid w:val="00F245EC"/>
    <w:rsid w:val="00F2463C"/>
    <w:rsid w:val="00F246B1"/>
    <w:rsid w:val="00F246C0"/>
    <w:rsid w:val="00F247F2"/>
    <w:rsid w:val="00F24865"/>
    <w:rsid w:val="00F248E1"/>
    <w:rsid w:val="00F24914"/>
    <w:rsid w:val="00F24955"/>
    <w:rsid w:val="00F249CC"/>
    <w:rsid w:val="00F24A46"/>
    <w:rsid w:val="00F24A55"/>
    <w:rsid w:val="00F24A94"/>
    <w:rsid w:val="00F24AE3"/>
    <w:rsid w:val="00F24AE4"/>
    <w:rsid w:val="00F24B11"/>
    <w:rsid w:val="00F24C60"/>
    <w:rsid w:val="00F24EE7"/>
    <w:rsid w:val="00F24F03"/>
    <w:rsid w:val="00F24F17"/>
    <w:rsid w:val="00F24F8E"/>
    <w:rsid w:val="00F24FFF"/>
    <w:rsid w:val="00F250AC"/>
    <w:rsid w:val="00F250CA"/>
    <w:rsid w:val="00F25113"/>
    <w:rsid w:val="00F2512E"/>
    <w:rsid w:val="00F251B2"/>
    <w:rsid w:val="00F2524A"/>
    <w:rsid w:val="00F252FC"/>
    <w:rsid w:val="00F2531C"/>
    <w:rsid w:val="00F253B2"/>
    <w:rsid w:val="00F2544E"/>
    <w:rsid w:val="00F254A7"/>
    <w:rsid w:val="00F254AC"/>
    <w:rsid w:val="00F256BD"/>
    <w:rsid w:val="00F2573E"/>
    <w:rsid w:val="00F25748"/>
    <w:rsid w:val="00F2578D"/>
    <w:rsid w:val="00F257F0"/>
    <w:rsid w:val="00F258C5"/>
    <w:rsid w:val="00F258DC"/>
    <w:rsid w:val="00F25A3B"/>
    <w:rsid w:val="00F25A91"/>
    <w:rsid w:val="00F25AD1"/>
    <w:rsid w:val="00F25B09"/>
    <w:rsid w:val="00F25B84"/>
    <w:rsid w:val="00F25C79"/>
    <w:rsid w:val="00F25D88"/>
    <w:rsid w:val="00F25DAC"/>
    <w:rsid w:val="00F25DE3"/>
    <w:rsid w:val="00F25EA7"/>
    <w:rsid w:val="00F25EB2"/>
    <w:rsid w:val="00F25FB9"/>
    <w:rsid w:val="00F25FD5"/>
    <w:rsid w:val="00F25FE4"/>
    <w:rsid w:val="00F26014"/>
    <w:rsid w:val="00F2614E"/>
    <w:rsid w:val="00F2615D"/>
    <w:rsid w:val="00F261B6"/>
    <w:rsid w:val="00F261F3"/>
    <w:rsid w:val="00F2625D"/>
    <w:rsid w:val="00F262F3"/>
    <w:rsid w:val="00F26338"/>
    <w:rsid w:val="00F26545"/>
    <w:rsid w:val="00F2657D"/>
    <w:rsid w:val="00F265BB"/>
    <w:rsid w:val="00F26608"/>
    <w:rsid w:val="00F2664E"/>
    <w:rsid w:val="00F26A0A"/>
    <w:rsid w:val="00F26A60"/>
    <w:rsid w:val="00F26A75"/>
    <w:rsid w:val="00F26B38"/>
    <w:rsid w:val="00F26BD5"/>
    <w:rsid w:val="00F26BF3"/>
    <w:rsid w:val="00F26C1F"/>
    <w:rsid w:val="00F26C50"/>
    <w:rsid w:val="00F26C5B"/>
    <w:rsid w:val="00F26CA1"/>
    <w:rsid w:val="00F26CBC"/>
    <w:rsid w:val="00F26E84"/>
    <w:rsid w:val="00F26EA4"/>
    <w:rsid w:val="00F26F01"/>
    <w:rsid w:val="00F26F79"/>
    <w:rsid w:val="00F27059"/>
    <w:rsid w:val="00F270A3"/>
    <w:rsid w:val="00F27183"/>
    <w:rsid w:val="00F27291"/>
    <w:rsid w:val="00F272F8"/>
    <w:rsid w:val="00F27303"/>
    <w:rsid w:val="00F2737C"/>
    <w:rsid w:val="00F27380"/>
    <w:rsid w:val="00F2742B"/>
    <w:rsid w:val="00F2742E"/>
    <w:rsid w:val="00F2743F"/>
    <w:rsid w:val="00F27554"/>
    <w:rsid w:val="00F276E3"/>
    <w:rsid w:val="00F27743"/>
    <w:rsid w:val="00F27764"/>
    <w:rsid w:val="00F27819"/>
    <w:rsid w:val="00F2781D"/>
    <w:rsid w:val="00F2784D"/>
    <w:rsid w:val="00F2797C"/>
    <w:rsid w:val="00F279EF"/>
    <w:rsid w:val="00F27A5F"/>
    <w:rsid w:val="00F27B5F"/>
    <w:rsid w:val="00F27B6A"/>
    <w:rsid w:val="00F27BC0"/>
    <w:rsid w:val="00F27BD0"/>
    <w:rsid w:val="00F27C2D"/>
    <w:rsid w:val="00F27C5C"/>
    <w:rsid w:val="00F27C6B"/>
    <w:rsid w:val="00F27CE7"/>
    <w:rsid w:val="00F27D89"/>
    <w:rsid w:val="00F27D97"/>
    <w:rsid w:val="00F27DAD"/>
    <w:rsid w:val="00F27F85"/>
    <w:rsid w:val="00F27FA0"/>
    <w:rsid w:val="00F300D4"/>
    <w:rsid w:val="00F30171"/>
    <w:rsid w:val="00F30285"/>
    <w:rsid w:val="00F30355"/>
    <w:rsid w:val="00F30365"/>
    <w:rsid w:val="00F303D4"/>
    <w:rsid w:val="00F3042D"/>
    <w:rsid w:val="00F3043F"/>
    <w:rsid w:val="00F304E2"/>
    <w:rsid w:val="00F30592"/>
    <w:rsid w:val="00F305B8"/>
    <w:rsid w:val="00F305D8"/>
    <w:rsid w:val="00F305EB"/>
    <w:rsid w:val="00F30660"/>
    <w:rsid w:val="00F30671"/>
    <w:rsid w:val="00F306DE"/>
    <w:rsid w:val="00F30715"/>
    <w:rsid w:val="00F3076E"/>
    <w:rsid w:val="00F3079C"/>
    <w:rsid w:val="00F308ED"/>
    <w:rsid w:val="00F30949"/>
    <w:rsid w:val="00F30A46"/>
    <w:rsid w:val="00F30A66"/>
    <w:rsid w:val="00F30A68"/>
    <w:rsid w:val="00F30ABD"/>
    <w:rsid w:val="00F30C62"/>
    <w:rsid w:val="00F30CA3"/>
    <w:rsid w:val="00F30CA9"/>
    <w:rsid w:val="00F30DDE"/>
    <w:rsid w:val="00F30E9E"/>
    <w:rsid w:val="00F30F79"/>
    <w:rsid w:val="00F310FE"/>
    <w:rsid w:val="00F3110A"/>
    <w:rsid w:val="00F31122"/>
    <w:rsid w:val="00F3114E"/>
    <w:rsid w:val="00F31194"/>
    <w:rsid w:val="00F3119F"/>
    <w:rsid w:val="00F311F3"/>
    <w:rsid w:val="00F31333"/>
    <w:rsid w:val="00F3136F"/>
    <w:rsid w:val="00F313DD"/>
    <w:rsid w:val="00F314FC"/>
    <w:rsid w:val="00F3151C"/>
    <w:rsid w:val="00F31576"/>
    <w:rsid w:val="00F31616"/>
    <w:rsid w:val="00F3181C"/>
    <w:rsid w:val="00F31915"/>
    <w:rsid w:val="00F319A4"/>
    <w:rsid w:val="00F31A2D"/>
    <w:rsid w:val="00F31B54"/>
    <w:rsid w:val="00F31BC0"/>
    <w:rsid w:val="00F31BFC"/>
    <w:rsid w:val="00F31C96"/>
    <w:rsid w:val="00F31DC7"/>
    <w:rsid w:val="00F31F07"/>
    <w:rsid w:val="00F31F62"/>
    <w:rsid w:val="00F31F97"/>
    <w:rsid w:val="00F31F9C"/>
    <w:rsid w:val="00F320A0"/>
    <w:rsid w:val="00F320B5"/>
    <w:rsid w:val="00F321F2"/>
    <w:rsid w:val="00F32236"/>
    <w:rsid w:val="00F3225D"/>
    <w:rsid w:val="00F32313"/>
    <w:rsid w:val="00F3231B"/>
    <w:rsid w:val="00F3231E"/>
    <w:rsid w:val="00F32340"/>
    <w:rsid w:val="00F32342"/>
    <w:rsid w:val="00F323A8"/>
    <w:rsid w:val="00F323CA"/>
    <w:rsid w:val="00F32423"/>
    <w:rsid w:val="00F324EC"/>
    <w:rsid w:val="00F32500"/>
    <w:rsid w:val="00F3252A"/>
    <w:rsid w:val="00F32556"/>
    <w:rsid w:val="00F32563"/>
    <w:rsid w:val="00F3257A"/>
    <w:rsid w:val="00F32662"/>
    <w:rsid w:val="00F326B5"/>
    <w:rsid w:val="00F32726"/>
    <w:rsid w:val="00F3273C"/>
    <w:rsid w:val="00F327BB"/>
    <w:rsid w:val="00F32808"/>
    <w:rsid w:val="00F32909"/>
    <w:rsid w:val="00F3292C"/>
    <w:rsid w:val="00F3297B"/>
    <w:rsid w:val="00F329DD"/>
    <w:rsid w:val="00F32A27"/>
    <w:rsid w:val="00F32A2B"/>
    <w:rsid w:val="00F32AE5"/>
    <w:rsid w:val="00F32C48"/>
    <w:rsid w:val="00F32C8D"/>
    <w:rsid w:val="00F32CDD"/>
    <w:rsid w:val="00F32CE8"/>
    <w:rsid w:val="00F32D43"/>
    <w:rsid w:val="00F32D5B"/>
    <w:rsid w:val="00F32EB0"/>
    <w:rsid w:val="00F32F3D"/>
    <w:rsid w:val="00F32F97"/>
    <w:rsid w:val="00F32FAF"/>
    <w:rsid w:val="00F33034"/>
    <w:rsid w:val="00F3314E"/>
    <w:rsid w:val="00F3315C"/>
    <w:rsid w:val="00F3316F"/>
    <w:rsid w:val="00F333ED"/>
    <w:rsid w:val="00F334E5"/>
    <w:rsid w:val="00F335E7"/>
    <w:rsid w:val="00F33666"/>
    <w:rsid w:val="00F337A2"/>
    <w:rsid w:val="00F337D3"/>
    <w:rsid w:val="00F33905"/>
    <w:rsid w:val="00F33911"/>
    <w:rsid w:val="00F339B4"/>
    <w:rsid w:val="00F33A18"/>
    <w:rsid w:val="00F33A3F"/>
    <w:rsid w:val="00F33A4B"/>
    <w:rsid w:val="00F33A90"/>
    <w:rsid w:val="00F33AB6"/>
    <w:rsid w:val="00F33B17"/>
    <w:rsid w:val="00F33B64"/>
    <w:rsid w:val="00F33B81"/>
    <w:rsid w:val="00F33BAC"/>
    <w:rsid w:val="00F33C82"/>
    <w:rsid w:val="00F33D7E"/>
    <w:rsid w:val="00F33DD5"/>
    <w:rsid w:val="00F33DF3"/>
    <w:rsid w:val="00F33E50"/>
    <w:rsid w:val="00F33FD8"/>
    <w:rsid w:val="00F3405E"/>
    <w:rsid w:val="00F34162"/>
    <w:rsid w:val="00F34195"/>
    <w:rsid w:val="00F341E8"/>
    <w:rsid w:val="00F34270"/>
    <w:rsid w:val="00F34277"/>
    <w:rsid w:val="00F34291"/>
    <w:rsid w:val="00F342C2"/>
    <w:rsid w:val="00F34398"/>
    <w:rsid w:val="00F343E0"/>
    <w:rsid w:val="00F343E3"/>
    <w:rsid w:val="00F344A2"/>
    <w:rsid w:val="00F344FC"/>
    <w:rsid w:val="00F3454F"/>
    <w:rsid w:val="00F3460F"/>
    <w:rsid w:val="00F34675"/>
    <w:rsid w:val="00F3467E"/>
    <w:rsid w:val="00F34735"/>
    <w:rsid w:val="00F34744"/>
    <w:rsid w:val="00F347A5"/>
    <w:rsid w:val="00F34887"/>
    <w:rsid w:val="00F348D6"/>
    <w:rsid w:val="00F348D7"/>
    <w:rsid w:val="00F3495C"/>
    <w:rsid w:val="00F34A2E"/>
    <w:rsid w:val="00F34BBE"/>
    <w:rsid w:val="00F34C51"/>
    <w:rsid w:val="00F34D80"/>
    <w:rsid w:val="00F34ECD"/>
    <w:rsid w:val="00F34EF9"/>
    <w:rsid w:val="00F34F07"/>
    <w:rsid w:val="00F34F61"/>
    <w:rsid w:val="00F35110"/>
    <w:rsid w:val="00F3522E"/>
    <w:rsid w:val="00F35260"/>
    <w:rsid w:val="00F35362"/>
    <w:rsid w:val="00F3552E"/>
    <w:rsid w:val="00F3556F"/>
    <w:rsid w:val="00F355F5"/>
    <w:rsid w:val="00F3569D"/>
    <w:rsid w:val="00F356A4"/>
    <w:rsid w:val="00F35788"/>
    <w:rsid w:val="00F3579A"/>
    <w:rsid w:val="00F357CF"/>
    <w:rsid w:val="00F357EC"/>
    <w:rsid w:val="00F35844"/>
    <w:rsid w:val="00F3584D"/>
    <w:rsid w:val="00F35887"/>
    <w:rsid w:val="00F3589B"/>
    <w:rsid w:val="00F3589D"/>
    <w:rsid w:val="00F35916"/>
    <w:rsid w:val="00F359F1"/>
    <w:rsid w:val="00F35A24"/>
    <w:rsid w:val="00F35B0A"/>
    <w:rsid w:val="00F35B67"/>
    <w:rsid w:val="00F35BFA"/>
    <w:rsid w:val="00F35C21"/>
    <w:rsid w:val="00F35C37"/>
    <w:rsid w:val="00F35D40"/>
    <w:rsid w:val="00F35D7F"/>
    <w:rsid w:val="00F35F40"/>
    <w:rsid w:val="00F36118"/>
    <w:rsid w:val="00F3613A"/>
    <w:rsid w:val="00F36212"/>
    <w:rsid w:val="00F3626A"/>
    <w:rsid w:val="00F36289"/>
    <w:rsid w:val="00F36333"/>
    <w:rsid w:val="00F3639A"/>
    <w:rsid w:val="00F36562"/>
    <w:rsid w:val="00F3657C"/>
    <w:rsid w:val="00F365AA"/>
    <w:rsid w:val="00F365B4"/>
    <w:rsid w:val="00F365C5"/>
    <w:rsid w:val="00F365C9"/>
    <w:rsid w:val="00F365D7"/>
    <w:rsid w:val="00F3664E"/>
    <w:rsid w:val="00F366ED"/>
    <w:rsid w:val="00F36716"/>
    <w:rsid w:val="00F367AF"/>
    <w:rsid w:val="00F3681D"/>
    <w:rsid w:val="00F368DA"/>
    <w:rsid w:val="00F369DF"/>
    <w:rsid w:val="00F36A2E"/>
    <w:rsid w:val="00F36B02"/>
    <w:rsid w:val="00F36C01"/>
    <w:rsid w:val="00F36E81"/>
    <w:rsid w:val="00F36EE9"/>
    <w:rsid w:val="00F36F01"/>
    <w:rsid w:val="00F36F61"/>
    <w:rsid w:val="00F37063"/>
    <w:rsid w:val="00F37076"/>
    <w:rsid w:val="00F370A2"/>
    <w:rsid w:val="00F371F0"/>
    <w:rsid w:val="00F37256"/>
    <w:rsid w:val="00F372B7"/>
    <w:rsid w:val="00F373DA"/>
    <w:rsid w:val="00F37420"/>
    <w:rsid w:val="00F37435"/>
    <w:rsid w:val="00F37481"/>
    <w:rsid w:val="00F374E9"/>
    <w:rsid w:val="00F3755B"/>
    <w:rsid w:val="00F3762C"/>
    <w:rsid w:val="00F376F3"/>
    <w:rsid w:val="00F37714"/>
    <w:rsid w:val="00F37745"/>
    <w:rsid w:val="00F37790"/>
    <w:rsid w:val="00F37822"/>
    <w:rsid w:val="00F378AA"/>
    <w:rsid w:val="00F379AF"/>
    <w:rsid w:val="00F37A04"/>
    <w:rsid w:val="00F37AAD"/>
    <w:rsid w:val="00F37B35"/>
    <w:rsid w:val="00F37B39"/>
    <w:rsid w:val="00F37BD9"/>
    <w:rsid w:val="00F37CFC"/>
    <w:rsid w:val="00F37DC9"/>
    <w:rsid w:val="00F37F61"/>
    <w:rsid w:val="00F37FB0"/>
    <w:rsid w:val="00F40032"/>
    <w:rsid w:val="00F40066"/>
    <w:rsid w:val="00F400AF"/>
    <w:rsid w:val="00F40114"/>
    <w:rsid w:val="00F401EF"/>
    <w:rsid w:val="00F4038F"/>
    <w:rsid w:val="00F403AB"/>
    <w:rsid w:val="00F40405"/>
    <w:rsid w:val="00F4040B"/>
    <w:rsid w:val="00F404ED"/>
    <w:rsid w:val="00F40501"/>
    <w:rsid w:val="00F4056D"/>
    <w:rsid w:val="00F40702"/>
    <w:rsid w:val="00F40785"/>
    <w:rsid w:val="00F40826"/>
    <w:rsid w:val="00F40913"/>
    <w:rsid w:val="00F4095D"/>
    <w:rsid w:val="00F409EA"/>
    <w:rsid w:val="00F40BC9"/>
    <w:rsid w:val="00F40D8A"/>
    <w:rsid w:val="00F40DF6"/>
    <w:rsid w:val="00F40E73"/>
    <w:rsid w:val="00F40EDC"/>
    <w:rsid w:val="00F40EF1"/>
    <w:rsid w:val="00F41036"/>
    <w:rsid w:val="00F411DE"/>
    <w:rsid w:val="00F41359"/>
    <w:rsid w:val="00F413E5"/>
    <w:rsid w:val="00F4160B"/>
    <w:rsid w:val="00F416C1"/>
    <w:rsid w:val="00F416CE"/>
    <w:rsid w:val="00F41794"/>
    <w:rsid w:val="00F417BC"/>
    <w:rsid w:val="00F4185E"/>
    <w:rsid w:val="00F41877"/>
    <w:rsid w:val="00F419BD"/>
    <w:rsid w:val="00F419DF"/>
    <w:rsid w:val="00F41B4E"/>
    <w:rsid w:val="00F41C6A"/>
    <w:rsid w:val="00F41CC8"/>
    <w:rsid w:val="00F41CE5"/>
    <w:rsid w:val="00F41CE9"/>
    <w:rsid w:val="00F41D95"/>
    <w:rsid w:val="00F41DE2"/>
    <w:rsid w:val="00F41E93"/>
    <w:rsid w:val="00F41F45"/>
    <w:rsid w:val="00F41F6B"/>
    <w:rsid w:val="00F42095"/>
    <w:rsid w:val="00F420F8"/>
    <w:rsid w:val="00F421B4"/>
    <w:rsid w:val="00F42207"/>
    <w:rsid w:val="00F422A9"/>
    <w:rsid w:val="00F42304"/>
    <w:rsid w:val="00F423A7"/>
    <w:rsid w:val="00F423FD"/>
    <w:rsid w:val="00F424B2"/>
    <w:rsid w:val="00F424EF"/>
    <w:rsid w:val="00F4250D"/>
    <w:rsid w:val="00F4251E"/>
    <w:rsid w:val="00F42557"/>
    <w:rsid w:val="00F425DE"/>
    <w:rsid w:val="00F42677"/>
    <w:rsid w:val="00F427F2"/>
    <w:rsid w:val="00F4280F"/>
    <w:rsid w:val="00F428C5"/>
    <w:rsid w:val="00F42950"/>
    <w:rsid w:val="00F42955"/>
    <w:rsid w:val="00F42967"/>
    <w:rsid w:val="00F42A4B"/>
    <w:rsid w:val="00F42C08"/>
    <w:rsid w:val="00F42D19"/>
    <w:rsid w:val="00F42D4F"/>
    <w:rsid w:val="00F42D85"/>
    <w:rsid w:val="00F42DBD"/>
    <w:rsid w:val="00F42EDB"/>
    <w:rsid w:val="00F42EE9"/>
    <w:rsid w:val="00F42FEC"/>
    <w:rsid w:val="00F4316C"/>
    <w:rsid w:val="00F431E4"/>
    <w:rsid w:val="00F43244"/>
    <w:rsid w:val="00F43247"/>
    <w:rsid w:val="00F4324F"/>
    <w:rsid w:val="00F43302"/>
    <w:rsid w:val="00F434C4"/>
    <w:rsid w:val="00F4350F"/>
    <w:rsid w:val="00F435F1"/>
    <w:rsid w:val="00F437FF"/>
    <w:rsid w:val="00F43824"/>
    <w:rsid w:val="00F43930"/>
    <w:rsid w:val="00F43957"/>
    <w:rsid w:val="00F4397C"/>
    <w:rsid w:val="00F43A0C"/>
    <w:rsid w:val="00F43A2F"/>
    <w:rsid w:val="00F43A7B"/>
    <w:rsid w:val="00F43BE9"/>
    <w:rsid w:val="00F43C1B"/>
    <w:rsid w:val="00F43C58"/>
    <w:rsid w:val="00F43CB6"/>
    <w:rsid w:val="00F43F36"/>
    <w:rsid w:val="00F44043"/>
    <w:rsid w:val="00F440E5"/>
    <w:rsid w:val="00F441EC"/>
    <w:rsid w:val="00F44216"/>
    <w:rsid w:val="00F4431C"/>
    <w:rsid w:val="00F44377"/>
    <w:rsid w:val="00F4453F"/>
    <w:rsid w:val="00F44547"/>
    <w:rsid w:val="00F4464E"/>
    <w:rsid w:val="00F44661"/>
    <w:rsid w:val="00F44674"/>
    <w:rsid w:val="00F446E4"/>
    <w:rsid w:val="00F447D5"/>
    <w:rsid w:val="00F44816"/>
    <w:rsid w:val="00F4487F"/>
    <w:rsid w:val="00F448B8"/>
    <w:rsid w:val="00F448BD"/>
    <w:rsid w:val="00F449CB"/>
    <w:rsid w:val="00F44AD8"/>
    <w:rsid w:val="00F44AF2"/>
    <w:rsid w:val="00F44C23"/>
    <w:rsid w:val="00F44C78"/>
    <w:rsid w:val="00F44C8D"/>
    <w:rsid w:val="00F44CBA"/>
    <w:rsid w:val="00F44DC7"/>
    <w:rsid w:val="00F44E28"/>
    <w:rsid w:val="00F44E3B"/>
    <w:rsid w:val="00F44F0A"/>
    <w:rsid w:val="00F45032"/>
    <w:rsid w:val="00F45147"/>
    <w:rsid w:val="00F4515B"/>
    <w:rsid w:val="00F4515C"/>
    <w:rsid w:val="00F4518A"/>
    <w:rsid w:val="00F4520D"/>
    <w:rsid w:val="00F45257"/>
    <w:rsid w:val="00F452D5"/>
    <w:rsid w:val="00F45356"/>
    <w:rsid w:val="00F4537B"/>
    <w:rsid w:val="00F453F4"/>
    <w:rsid w:val="00F4548E"/>
    <w:rsid w:val="00F454B1"/>
    <w:rsid w:val="00F455B5"/>
    <w:rsid w:val="00F455FA"/>
    <w:rsid w:val="00F455FB"/>
    <w:rsid w:val="00F45735"/>
    <w:rsid w:val="00F45821"/>
    <w:rsid w:val="00F45833"/>
    <w:rsid w:val="00F458B5"/>
    <w:rsid w:val="00F458DE"/>
    <w:rsid w:val="00F459CE"/>
    <w:rsid w:val="00F45A16"/>
    <w:rsid w:val="00F45A61"/>
    <w:rsid w:val="00F45B40"/>
    <w:rsid w:val="00F45D1E"/>
    <w:rsid w:val="00F45E65"/>
    <w:rsid w:val="00F45F6E"/>
    <w:rsid w:val="00F45FE7"/>
    <w:rsid w:val="00F45FF5"/>
    <w:rsid w:val="00F460F9"/>
    <w:rsid w:val="00F4618B"/>
    <w:rsid w:val="00F4619F"/>
    <w:rsid w:val="00F461DA"/>
    <w:rsid w:val="00F46209"/>
    <w:rsid w:val="00F462EF"/>
    <w:rsid w:val="00F46353"/>
    <w:rsid w:val="00F46403"/>
    <w:rsid w:val="00F4650C"/>
    <w:rsid w:val="00F4653D"/>
    <w:rsid w:val="00F465C2"/>
    <w:rsid w:val="00F466E4"/>
    <w:rsid w:val="00F46773"/>
    <w:rsid w:val="00F467D5"/>
    <w:rsid w:val="00F46822"/>
    <w:rsid w:val="00F4686B"/>
    <w:rsid w:val="00F46912"/>
    <w:rsid w:val="00F469F3"/>
    <w:rsid w:val="00F46C6A"/>
    <w:rsid w:val="00F46CAC"/>
    <w:rsid w:val="00F46D2D"/>
    <w:rsid w:val="00F46D43"/>
    <w:rsid w:val="00F46D46"/>
    <w:rsid w:val="00F46E03"/>
    <w:rsid w:val="00F46EF2"/>
    <w:rsid w:val="00F46F7C"/>
    <w:rsid w:val="00F4702B"/>
    <w:rsid w:val="00F47278"/>
    <w:rsid w:val="00F4728D"/>
    <w:rsid w:val="00F47447"/>
    <w:rsid w:val="00F47508"/>
    <w:rsid w:val="00F475F4"/>
    <w:rsid w:val="00F4780E"/>
    <w:rsid w:val="00F47860"/>
    <w:rsid w:val="00F478A7"/>
    <w:rsid w:val="00F47AC2"/>
    <w:rsid w:val="00F47BB0"/>
    <w:rsid w:val="00F47BEB"/>
    <w:rsid w:val="00F47CBF"/>
    <w:rsid w:val="00F47D87"/>
    <w:rsid w:val="00F47DA8"/>
    <w:rsid w:val="00F47E58"/>
    <w:rsid w:val="00F47E95"/>
    <w:rsid w:val="00F47F87"/>
    <w:rsid w:val="00F47FC3"/>
    <w:rsid w:val="00F47FF2"/>
    <w:rsid w:val="00F50004"/>
    <w:rsid w:val="00F500C3"/>
    <w:rsid w:val="00F50152"/>
    <w:rsid w:val="00F50188"/>
    <w:rsid w:val="00F50190"/>
    <w:rsid w:val="00F501A9"/>
    <w:rsid w:val="00F501C0"/>
    <w:rsid w:val="00F501E2"/>
    <w:rsid w:val="00F50219"/>
    <w:rsid w:val="00F502DF"/>
    <w:rsid w:val="00F50368"/>
    <w:rsid w:val="00F5036C"/>
    <w:rsid w:val="00F503F5"/>
    <w:rsid w:val="00F50426"/>
    <w:rsid w:val="00F50451"/>
    <w:rsid w:val="00F504CD"/>
    <w:rsid w:val="00F5057B"/>
    <w:rsid w:val="00F5072C"/>
    <w:rsid w:val="00F50998"/>
    <w:rsid w:val="00F509D9"/>
    <w:rsid w:val="00F50A0B"/>
    <w:rsid w:val="00F50A46"/>
    <w:rsid w:val="00F50A65"/>
    <w:rsid w:val="00F50B0C"/>
    <w:rsid w:val="00F50BC3"/>
    <w:rsid w:val="00F50BF5"/>
    <w:rsid w:val="00F50D7A"/>
    <w:rsid w:val="00F50D80"/>
    <w:rsid w:val="00F50D8B"/>
    <w:rsid w:val="00F50DB5"/>
    <w:rsid w:val="00F50DD1"/>
    <w:rsid w:val="00F50E0F"/>
    <w:rsid w:val="00F50F7A"/>
    <w:rsid w:val="00F51024"/>
    <w:rsid w:val="00F510A3"/>
    <w:rsid w:val="00F510D0"/>
    <w:rsid w:val="00F51131"/>
    <w:rsid w:val="00F5114E"/>
    <w:rsid w:val="00F5117B"/>
    <w:rsid w:val="00F5117C"/>
    <w:rsid w:val="00F5124B"/>
    <w:rsid w:val="00F5128A"/>
    <w:rsid w:val="00F51343"/>
    <w:rsid w:val="00F51374"/>
    <w:rsid w:val="00F513BF"/>
    <w:rsid w:val="00F513C8"/>
    <w:rsid w:val="00F51557"/>
    <w:rsid w:val="00F51567"/>
    <w:rsid w:val="00F5162B"/>
    <w:rsid w:val="00F516AF"/>
    <w:rsid w:val="00F516EF"/>
    <w:rsid w:val="00F5172E"/>
    <w:rsid w:val="00F51770"/>
    <w:rsid w:val="00F517E0"/>
    <w:rsid w:val="00F51906"/>
    <w:rsid w:val="00F5193A"/>
    <w:rsid w:val="00F519F1"/>
    <w:rsid w:val="00F51A67"/>
    <w:rsid w:val="00F51AC1"/>
    <w:rsid w:val="00F51AD3"/>
    <w:rsid w:val="00F51BFC"/>
    <w:rsid w:val="00F51C0E"/>
    <w:rsid w:val="00F51C1C"/>
    <w:rsid w:val="00F51C20"/>
    <w:rsid w:val="00F51D0F"/>
    <w:rsid w:val="00F51DDC"/>
    <w:rsid w:val="00F51E78"/>
    <w:rsid w:val="00F51EAB"/>
    <w:rsid w:val="00F51FAA"/>
    <w:rsid w:val="00F52038"/>
    <w:rsid w:val="00F5242B"/>
    <w:rsid w:val="00F52456"/>
    <w:rsid w:val="00F524E4"/>
    <w:rsid w:val="00F52559"/>
    <w:rsid w:val="00F525D9"/>
    <w:rsid w:val="00F525EB"/>
    <w:rsid w:val="00F52931"/>
    <w:rsid w:val="00F52960"/>
    <w:rsid w:val="00F52989"/>
    <w:rsid w:val="00F52A1F"/>
    <w:rsid w:val="00F52A37"/>
    <w:rsid w:val="00F52ABE"/>
    <w:rsid w:val="00F52B35"/>
    <w:rsid w:val="00F52C83"/>
    <w:rsid w:val="00F52CD7"/>
    <w:rsid w:val="00F52D75"/>
    <w:rsid w:val="00F52DB0"/>
    <w:rsid w:val="00F52DE8"/>
    <w:rsid w:val="00F52E0B"/>
    <w:rsid w:val="00F52E23"/>
    <w:rsid w:val="00F52E7A"/>
    <w:rsid w:val="00F530D4"/>
    <w:rsid w:val="00F5311A"/>
    <w:rsid w:val="00F53135"/>
    <w:rsid w:val="00F53187"/>
    <w:rsid w:val="00F53264"/>
    <w:rsid w:val="00F53399"/>
    <w:rsid w:val="00F53585"/>
    <w:rsid w:val="00F5358F"/>
    <w:rsid w:val="00F535DE"/>
    <w:rsid w:val="00F5364B"/>
    <w:rsid w:val="00F53668"/>
    <w:rsid w:val="00F53671"/>
    <w:rsid w:val="00F536B9"/>
    <w:rsid w:val="00F53720"/>
    <w:rsid w:val="00F53743"/>
    <w:rsid w:val="00F5375A"/>
    <w:rsid w:val="00F53789"/>
    <w:rsid w:val="00F53971"/>
    <w:rsid w:val="00F539A2"/>
    <w:rsid w:val="00F539E4"/>
    <w:rsid w:val="00F53A14"/>
    <w:rsid w:val="00F53A33"/>
    <w:rsid w:val="00F53B1C"/>
    <w:rsid w:val="00F53B65"/>
    <w:rsid w:val="00F53BF3"/>
    <w:rsid w:val="00F53CBB"/>
    <w:rsid w:val="00F53CCE"/>
    <w:rsid w:val="00F53CDE"/>
    <w:rsid w:val="00F53D2F"/>
    <w:rsid w:val="00F53E10"/>
    <w:rsid w:val="00F53EB7"/>
    <w:rsid w:val="00F53F33"/>
    <w:rsid w:val="00F540F3"/>
    <w:rsid w:val="00F5410C"/>
    <w:rsid w:val="00F54223"/>
    <w:rsid w:val="00F54325"/>
    <w:rsid w:val="00F5438E"/>
    <w:rsid w:val="00F543B5"/>
    <w:rsid w:val="00F54440"/>
    <w:rsid w:val="00F54510"/>
    <w:rsid w:val="00F546D3"/>
    <w:rsid w:val="00F54702"/>
    <w:rsid w:val="00F5472A"/>
    <w:rsid w:val="00F5478A"/>
    <w:rsid w:val="00F54890"/>
    <w:rsid w:val="00F548EE"/>
    <w:rsid w:val="00F548F0"/>
    <w:rsid w:val="00F5496C"/>
    <w:rsid w:val="00F54BDA"/>
    <w:rsid w:val="00F54C20"/>
    <w:rsid w:val="00F54C3D"/>
    <w:rsid w:val="00F54E2F"/>
    <w:rsid w:val="00F54E85"/>
    <w:rsid w:val="00F55003"/>
    <w:rsid w:val="00F55083"/>
    <w:rsid w:val="00F55084"/>
    <w:rsid w:val="00F550A0"/>
    <w:rsid w:val="00F55175"/>
    <w:rsid w:val="00F55210"/>
    <w:rsid w:val="00F5524F"/>
    <w:rsid w:val="00F5531A"/>
    <w:rsid w:val="00F5533B"/>
    <w:rsid w:val="00F5537A"/>
    <w:rsid w:val="00F553D0"/>
    <w:rsid w:val="00F55466"/>
    <w:rsid w:val="00F55472"/>
    <w:rsid w:val="00F55542"/>
    <w:rsid w:val="00F55572"/>
    <w:rsid w:val="00F555BE"/>
    <w:rsid w:val="00F556A6"/>
    <w:rsid w:val="00F556AD"/>
    <w:rsid w:val="00F5573D"/>
    <w:rsid w:val="00F55792"/>
    <w:rsid w:val="00F557C6"/>
    <w:rsid w:val="00F5585D"/>
    <w:rsid w:val="00F558E6"/>
    <w:rsid w:val="00F55949"/>
    <w:rsid w:val="00F55A46"/>
    <w:rsid w:val="00F55B1E"/>
    <w:rsid w:val="00F55BF8"/>
    <w:rsid w:val="00F55C02"/>
    <w:rsid w:val="00F55C67"/>
    <w:rsid w:val="00F55C7D"/>
    <w:rsid w:val="00F55E3B"/>
    <w:rsid w:val="00F5600D"/>
    <w:rsid w:val="00F5620D"/>
    <w:rsid w:val="00F5627E"/>
    <w:rsid w:val="00F562DD"/>
    <w:rsid w:val="00F564CC"/>
    <w:rsid w:val="00F56507"/>
    <w:rsid w:val="00F56540"/>
    <w:rsid w:val="00F56571"/>
    <w:rsid w:val="00F565A1"/>
    <w:rsid w:val="00F5664A"/>
    <w:rsid w:val="00F567A0"/>
    <w:rsid w:val="00F56823"/>
    <w:rsid w:val="00F56901"/>
    <w:rsid w:val="00F56959"/>
    <w:rsid w:val="00F56A27"/>
    <w:rsid w:val="00F56AC7"/>
    <w:rsid w:val="00F56B20"/>
    <w:rsid w:val="00F56B43"/>
    <w:rsid w:val="00F56BF1"/>
    <w:rsid w:val="00F56C10"/>
    <w:rsid w:val="00F56E5D"/>
    <w:rsid w:val="00F56EA3"/>
    <w:rsid w:val="00F56EB8"/>
    <w:rsid w:val="00F56F68"/>
    <w:rsid w:val="00F56F77"/>
    <w:rsid w:val="00F56FC9"/>
    <w:rsid w:val="00F570C3"/>
    <w:rsid w:val="00F57210"/>
    <w:rsid w:val="00F573ED"/>
    <w:rsid w:val="00F5742E"/>
    <w:rsid w:val="00F574A4"/>
    <w:rsid w:val="00F57519"/>
    <w:rsid w:val="00F5779E"/>
    <w:rsid w:val="00F577AE"/>
    <w:rsid w:val="00F57805"/>
    <w:rsid w:val="00F57853"/>
    <w:rsid w:val="00F5787A"/>
    <w:rsid w:val="00F5788A"/>
    <w:rsid w:val="00F578D5"/>
    <w:rsid w:val="00F5793D"/>
    <w:rsid w:val="00F579AD"/>
    <w:rsid w:val="00F57B43"/>
    <w:rsid w:val="00F57C26"/>
    <w:rsid w:val="00F57CB5"/>
    <w:rsid w:val="00F57D00"/>
    <w:rsid w:val="00F57D57"/>
    <w:rsid w:val="00F57D9B"/>
    <w:rsid w:val="00F57DA3"/>
    <w:rsid w:val="00F57DC8"/>
    <w:rsid w:val="00F57DEC"/>
    <w:rsid w:val="00F57E21"/>
    <w:rsid w:val="00F57ED8"/>
    <w:rsid w:val="00F57F8B"/>
    <w:rsid w:val="00F57F95"/>
    <w:rsid w:val="00F5D293"/>
    <w:rsid w:val="00F6012A"/>
    <w:rsid w:val="00F603EE"/>
    <w:rsid w:val="00F60405"/>
    <w:rsid w:val="00F604A4"/>
    <w:rsid w:val="00F604CF"/>
    <w:rsid w:val="00F604F9"/>
    <w:rsid w:val="00F60579"/>
    <w:rsid w:val="00F605F8"/>
    <w:rsid w:val="00F60605"/>
    <w:rsid w:val="00F60634"/>
    <w:rsid w:val="00F6082C"/>
    <w:rsid w:val="00F608F6"/>
    <w:rsid w:val="00F6096F"/>
    <w:rsid w:val="00F609F1"/>
    <w:rsid w:val="00F60A06"/>
    <w:rsid w:val="00F60A51"/>
    <w:rsid w:val="00F60AE7"/>
    <w:rsid w:val="00F60BAB"/>
    <w:rsid w:val="00F60BDF"/>
    <w:rsid w:val="00F60C34"/>
    <w:rsid w:val="00F60C3D"/>
    <w:rsid w:val="00F60D3F"/>
    <w:rsid w:val="00F60D5A"/>
    <w:rsid w:val="00F60D96"/>
    <w:rsid w:val="00F60D97"/>
    <w:rsid w:val="00F60DAD"/>
    <w:rsid w:val="00F60E55"/>
    <w:rsid w:val="00F60E74"/>
    <w:rsid w:val="00F60EE6"/>
    <w:rsid w:val="00F60FCF"/>
    <w:rsid w:val="00F61207"/>
    <w:rsid w:val="00F6126E"/>
    <w:rsid w:val="00F6128A"/>
    <w:rsid w:val="00F6137D"/>
    <w:rsid w:val="00F61421"/>
    <w:rsid w:val="00F61467"/>
    <w:rsid w:val="00F615AA"/>
    <w:rsid w:val="00F615D1"/>
    <w:rsid w:val="00F6163D"/>
    <w:rsid w:val="00F61663"/>
    <w:rsid w:val="00F6180C"/>
    <w:rsid w:val="00F61820"/>
    <w:rsid w:val="00F61897"/>
    <w:rsid w:val="00F618B9"/>
    <w:rsid w:val="00F618E9"/>
    <w:rsid w:val="00F618F8"/>
    <w:rsid w:val="00F6196C"/>
    <w:rsid w:val="00F6197D"/>
    <w:rsid w:val="00F619CF"/>
    <w:rsid w:val="00F61AA9"/>
    <w:rsid w:val="00F61ADF"/>
    <w:rsid w:val="00F61B37"/>
    <w:rsid w:val="00F61B9C"/>
    <w:rsid w:val="00F61C31"/>
    <w:rsid w:val="00F61CC9"/>
    <w:rsid w:val="00F61CD9"/>
    <w:rsid w:val="00F61D36"/>
    <w:rsid w:val="00F61E43"/>
    <w:rsid w:val="00F61EF4"/>
    <w:rsid w:val="00F61F0E"/>
    <w:rsid w:val="00F61F31"/>
    <w:rsid w:val="00F61FD1"/>
    <w:rsid w:val="00F61FDF"/>
    <w:rsid w:val="00F6212C"/>
    <w:rsid w:val="00F6222A"/>
    <w:rsid w:val="00F62342"/>
    <w:rsid w:val="00F623DA"/>
    <w:rsid w:val="00F62402"/>
    <w:rsid w:val="00F6244A"/>
    <w:rsid w:val="00F624BC"/>
    <w:rsid w:val="00F62562"/>
    <w:rsid w:val="00F62576"/>
    <w:rsid w:val="00F625DB"/>
    <w:rsid w:val="00F625E1"/>
    <w:rsid w:val="00F6269C"/>
    <w:rsid w:val="00F6274B"/>
    <w:rsid w:val="00F6275E"/>
    <w:rsid w:val="00F62783"/>
    <w:rsid w:val="00F627AC"/>
    <w:rsid w:val="00F627BD"/>
    <w:rsid w:val="00F627C8"/>
    <w:rsid w:val="00F62805"/>
    <w:rsid w:val="00F62A34"/>
    <w:rsid w:val="00F62A76"/>
    <w:rsid w:val="00F62B65"/>
    <w:rsid w:val="00F62BAF"/>
    <w:rsid w:val="00F62F20"/>
    <w:rsid w:val="00F62F5B"/>
    <w:rsid w:val="00F63176"/>
    <w:rsid w:val="00F6317F"/>
    <w:rsid w:val="00F631DD"/>
    <w:rsid w:val="00F6336A"/>
    <w:rsid w:val="00F63422"/>
    <w:rsid w:val="00F634D0"/>
    <w:rsid w:val="00F636E4"/>
    <w:rsid w:val="00F63718"/>
    <w:rsid w:val="00F63775"/>
    <w:rsid w:val="00F63830"/>
    <w:rsid w:val="00F63871"/>
    <w:rsid w:val="00F638E4"/>
    <w:rsid w:val="00F6398A"/>
    <w:rsid w:val="00F63A55"/>
    <w:rsid w:val="00F63BB7"/>
    <w:rsid w:val="00F63C5A"/>
    <w:rsid w:val="00F63DB7"/>
    <w:rsid w:val="00F63DDF"/>
    <w:rsid w:val="00F63E13"/>
    <w:rsid w:val="00F63E2B"/>
    <w:rsid w:val="00F63E42"/>
    <w:rsid w:val="00F63E71"/>
    <w:rsid w:val="00F63E82"/>
    <w:rsid w:val="00F63F1F"/>
    <w:rsid w:val="00F64016"/>
    <w:rsid w:val="00F6409A"/>
    <w:rsid w:val="00F640A3"/>
    <w:rsid w:val="00F640A6"/>
    <w:rsid w:val="00F640E4"/>
    <w:rsid w:val="00F6412F"/>
    <w:rsid w:val="00F64182"/>
    <w:rsid w:val="00F641A3"/>
    <w:rsid w:val="00F64404"/>
    <w:rsid w:val="00F64453"/>
    <w:rsid w:val="00F64454"/>
    <w:rsid w:val="00F64461"/>
    <w:rsid w:val="00F644C3"/>
    <w:rsid w:val="00F644EA"/>
    <w:rsid w:val="00F64567"/>
    <w:rsid w:val="00F6463A"/>
    <w:rsid w:val="00F6467A"/>
    <w:rsid w:val="00F646B9"/>
    <w:rsid w:val="00F64731"/>
    <w:rsid w:val="00F64732"/>
    <w:rsid w:val="00F64759"/>
    <w:rsid w:val="00F64793"/>
    <w:rsid w:val="00F64809"/>
    <w:rsid w:val="00F648CD"/>
    <w:rsid w:val="00F6491F"/>
    <w:rsid w:val="00F6495B"/>
    <w:rsid w:val="00F64AC6"/>
    <w:rsid w:val="00F64ACD"/>
    <w:rsid w:val="00F64B6C"/>
    <w:rsid w:val="00F64B72"/>
    <w:rsid w:val="00F64B88"/>
    <w:rsid w:val="00F64CA9"/>
    <w:rsid w:val="00F64CF8"/>
    <w:rsid w:val="00F64E95"/>
    <w:rsid w:val="00F64FD0"/>
    <w:rsid w:val="00F650E4"/>
    <w:rsid w:val="00F65141"/>
    <w:rsid w:val="00F65182"/>
    <w:rsid w:val="00F651BA"/>
    <w:rsid w:val="00F651DB"/>
    <w:rsid w:val="00F65291"/>
    <w:rsid w:val="00F652BD"/>
    <w:rsid w:val="00F65300"/>
    <w:rsid w:val="00F65512"/>
    <w:rsid w:val="00F6551E"/>
    <w:rsid w:val="00F6558C"/>
    <w:rsid w:val="00F65682"/>
    <w:rsid w:val="00F656F8"/>
    <w:rsid w:val="00F6571B"/>
    <w:rsid w:val="00F65867"/>
    <w:rsid w:val="00F6586F"/>
    <w:rsid w:val="00F65A0F"/>
    <w:rsid w:val="00F65A3D"/>
    <w:rsid w:val="00F65A64"/>
    <w:rsid w:val="00F65B36"/>
    <w:rsid w:val="00F65BFB"/>
    <w:rsid w:val="00F65D17"/>
    <w:rsid w:val="00F65D61"/>
    <w:rsid w:val="00F65EE0"/>
    <w:rsid w:val="00F65F0F"/>
    <w:rsid w:val="00F65F1D"/>
    <w:rsid w:val="00F65F36"/>
    <w:rsid w:val="00F6607C"/>
    <w:rsid w:val="00F660A0"/>
    <w:rsid w:val="00F66151"/>
    <w:rsid w:val="00F66323"/>
    <w:rsid w:val="00F6638A"/>
    <w:rsid w:val="00F663BE"/>
    <w:rsid w:val="00F66481"/>
    <w:rsid w:val="00F66497"/>
    <w:rsid w:val="00F66518"/>
    <w:rsid w:val="00F6656E"/>
    <w:rsid w:val="00F6663C"/>
    <w:rsid w:val="00F6666C"/>
    <w:rsid w:val="00F667FA"/>
    <w:rsid w:val="00F66903"/>
    <w:rsid w:val="00F6696E"/>
    <w:rsid w:val="00F6699C"/>
    <w:rsid w:val="00F66B34"/>
    <w:rsid w:val="00F66DCC"/>
    <w:rsid w:val="00F66DEB"/>
    <w:rsid w:val="00F66E66"/>
    <w:rsid w:val="00F66E90"/>
    <w:rsid w:val="00F66FB5"/>
    <w:rsid w:val="00F6709D"/>
    <w:rsid w:val="00F670F6"/>
    <w:rsid w:val="00F67224"/>
    <w:rsid w:val="00F67248"/>
    <w:rsid w:val="00F67272"/>
    <w:rsid w:val="00F6735A"/>
    <w:rsid w:val="00F6737A"/>
    <w:rsid w:val="00F673B3"/>
    <w:rsid w:val="00F67449"/>
    <w:rsid w:val="00F6746D"/>
    <w:rsid w:val="00F674FE"/>
    <w:rsid w:val="00F67521"/>
    <w:rsid w:val="00F67656"/>
    <w:rsid w:val="00F67686"/>
    <w:rsid w:val="00F67699"/>
    <w:rsid w:val="00F676F7"/>
    <w:rsid w:val="00F67764"/>
    <w:rsid w:val="00F6797C"/>
    <w:rsid w:val="00F679B7"/>
    <w:rsid w:val="00F679F5"/>
    <w:rsid w:val="00F67A14"/>
    <w:rsid w:val="00F67A68"/>
    <w:rsid w:val="00F67ABA"/>
    <w:rsid w:val="00F67AD7"/>
    <w:rsid w:val="00F67B0B"/>
    <w:rsid w:val="00F67B45"/>
    <w:rsid w:val="00F67BFA"/>
    <w:rsid w:val="00F67CEA"/>
    <w:rsid w:val="00F67E07"/>
    <w:rsid w:val="00F67F40"/>
    <w:rsid w:val="00F70044"/>
    <w:rsid w:val="00F700BD"/>
    <w:rsid w:val="00F702A1"/>
    <w:rsid w:val="00F70316"/>
    <w:rsid w:val="00F7046D"/>
    <w:rsid w:val="00F70596"/>
    <w:rsid w:val="00F70640"/>
    <w:rsid w:val="00F70733"/>
    <w:rsid w:val="00F70829"/>
    <w:rsid w:val="00F7086D"/>
    <w:rsid w:val="00F708B3"/>
    <w:rsid w:val="00F70960"/>
    <w:rsid w:val="00F709CC"/>
    <w:rsid w:val="00F709D4"/>
    <w:rsid w:val="00F70CB8"/>
    <w:rsid w:val="00F70CC3"/>
    <w:rsid w:val="00F70D04"/>
    <w:rsid w:val="00F70D94"/>
    <w:rsid w:val="00F70E39"/>
    <w:rsid w:val="00F70F7B"/>
    <w:rsid w:val="00F70F7C"/>
    <w:rsid w:val="00F710A6"/>
    <w:rsid w:val="00F71272"/>
    <w:rsid w:val="00F712DB"/>
    <w:rsid w:val="00F7132C"/>
    <w:rsid w:val="00F71335"/>
    <w:rsid w:val="00F7144D"/>
    <w:rsid w:val="00F7150B"/>
    <w:rsid w:val="00F71636"/>
    <w:rsid w:val="00F7169C"/>
    <w:rsid w:val="00F71702"/>
    <w:rsid w:val="00F7174B"/>
    <w:rsid w:val="00F717CA"/>
    <w:rsid w:val="00F717D3"/>
    <w:rsid w:val="00F717D6"/>
    <w:rsid w:val="00F7180F"/>
    <w:rsid w:val="00F71892"/>
    <w:rsid w:val="00F71902"/>
    <w:rsid w:val="00F71913"/>
    <w:rsid w:val="00F719B1"/>
    <w:rsid w:val="00F719FF"/>
    <w:rsid w:val="00F71A3F"/>
    <w:rsid w:val="00F71AC7"/>
    <w:rsid w:val="00F71ACC"/>
    <w:rsid w:val="00F71AF1"/>
    <w:rsid w:val="00F71B40"/>
    <w:rsid w:val="00F71C63"/>
    <w:rsid w:val="00F71CD8"/>
    <w:rsid w:val="00F71DFB"/>
    <w:rsid w:val="00F71EA2"/>
    <w:rsid w:val="00F71EBF"/>
    <w:rsid w:val="00F71EC3"/>
    <w:rsid w:val="00F71FD9"/>
    <w:rsid w:val="00F7204B"/>
    <w:rsid w:val="00F720AC"/>
    <w:rsid w:val="00F720C6"/>
    <w:rsid w:val="00F72206"/>
    <w:rsid w:val="00F722C1"/>
    <w:rsid w:val="00F723A2"/>
    <w:rsid w:val="00F724B4"/>
    <w:rsid w:val="00F724E3"/>
    <w:rsid w:val="00F72521"/>
    <w:rsid w:val="00F725F5"/>
    <w:rsid w:val="00F72671"/>
    <w:rsid w:val="00F7267C"/>
    <w:rsid w:val="00F72725"/>
    <w:rsid w:val="00F727D3"/>
    <w:rsid w:val="00F72892"/>
    <w:rsid w:val="00F72A76"/>
    <w:rsid w:val="00F72AD0"/>
    <w:rsid w:val="00F72AE5"/>
    <w:rsid w:val="00F72BAF"/>
    <w:rsid w:val="00F72BBF"/>
    <w:rsid w:val="00F72C47"/>
    <w:rsid w:val="00F72CC4"/>
    <w:rsid w:val="00F72CF9"/>
    <w:rsid w:val="00F72DDC"/>
    <w:rsid w:val="00F72E5E"/>
    <w:rsid w:val="00F72FE7"/>
    <w:rsid w:val="00F72FF8"/>
    <w:rsid w:val="00F73052"/>
    <w:rsid w:val="00F73149"/>
    <w:rsid w:val="00F731DD"/>
    <w:rsid w:val="00F73296"/>
    <w:rsid w:val="00F732BD"/>
    <w:rsid w:val="00F73490"/>
    <w:rsid w:val="00F7350F"/>
    <w:rsid w:val="00F7353D"/>
    <w:rsid w:val="00F7357E"/>
    <w:rsid w:val="00F7368C"/>
    <w:rsid w:val="00F736A7"/>
    <w:rsid w:val="00F73720"/>
    <w:rsid w:val="00F73788"/>
    <w:rsid w:val="00F7380A"/>
    <w:rsid w:val="00F73877"/>
    <w:rsid w:val="00F7391E"/>
    <w:rsid w:val="00F7399A"/>
    <w:rsid w:val="00F739E1"/>
    <w:rsid w:val="00F73A89"/>
    <w:rsid w:val="00F73B0B"/>
    <w:rsid w:val="00F73B26"/>
    <w:rsid w:val="00F73B30"/>
    <w:rsid w:val="00F73B78"/>
    <w:rsid w:val="00F73C2B"/>
    <w:rsid w:val="00F73D83"/>
    <w:rsid w:val="00F73DD9"/>
    <w:rsid w:val="00F73E10"/>
    <w:rsid w:val="00F73EB3"/>
    <w:rsid w:val="00F73F44"/>
    <w:rsid w:val="00F73F63"/>
    <w:rsid w:val="00F73FC0"/>
    <w:rsid w:val="00F74011"/>
    <w:rsid w:val="00F74222"/>
    <w:rsid w:val="00F7433D"/>
    <w:rsid w:val="00F743AC"/>
    <w:rsid w:val="00F7443D"/>
    <w:rsid w:val="00F744B8"/>
    <w:rsid w:val="00F745B6"/>
    <w:rsid w:val="00F7479A"/>
    <w:rsid w:val="00F748E7"/>
    <w:rsid w:val="00F74944"/>
    <w:rsid w:val="00F74957"/>
    <w:rsid w:val="00F7498A"/>
    <w:rsid w:val="00F749E3"/>
    <w:rsid w:val="00F749F1"/>
    <w:rsid w:val="00F74A26"/>
    <w:rsid w:val="00F74A3D"/>
    <w:rsid w:val="00F74A58"/>
    <w:rsid w:val="00F74ABD"/>
    <w:rsid w:val="00F74BF8"/>
    <w:rsid w:val="00F74BF9"/>
    <w:rsid w:val="00F74C45"/>
    <w:rsid w:val="00F74C50"/>
    <w:rsid w:val="00F74CB7"/>
    <w:rsid w:val="00F74D1E"/>
    <w:rsid w:val="00F74D8A"/>
    <w:rsid w:val="00F74E24"/>
    <w:rsid w:val="00F74E85"/>
    <w:rsid w:val="00F74F18"/>
    <w:rsid w:val="00F75014"/>
    <w:rsid w:val="00F7502E"/>
    <w:rsid w:val="00F75076"/>
    <w:rsid w:val="00F750D6"/>
    <w:rsid w:val="00F750E0"/>
    <w:rsid w:val="00F7515E"/>
    <w:rsid w:val="00F75201"/>
    <w:rsid w:val="00F7523B"/>
    <w:rsid w:val="00F7523F"/>
    <w:rsid w:val="00F7538A"/>
    <w:rsid w:val="00F753A3"/>
    <w:rsid w:val="00F753C4"/>
    <w:rsid w:val="00F754BD"/>
    <w:rsid w:val="00F7558C"/>
    <w:rsid w:val="00F755E0"/>
    <w:rsid w:val="00F7560E"/>
    <w:rsid w:val="00F75646"/>
    <w:rsid w:val="00F75686"/>
    <w:rsid w:val="00F7578A"/>
    <w:rsid w:val="00F75811"/>
    <w:rsid w:val="00F758A3"/>
    <w:rsid w:val="00F759F5"/>
    <w:rsid w:val="00F75BBE"/>
    <w:rsid w:val="00F75C86"/>
    <w:rsid w:val="00F75CCF"/>
    <w:rsid w:val="00F75CEB"/>
    <w:rsid w:val="00F75D34"/>
    <w:rsid w:val="00F75D48"/>
    <w:rsid w:val="00F75DD1"/>
    <w:rsid w:val="00F75DE7"/>
    <w:rsid w:val="00F75E71"/>
    <w:rsid w:val="00F75ECA"/>
    <w:rsid w:val="00F75EF9"/>
    <w:rsid w:val="00F75F35"/>
    <w:rsid w:val="00F75F90"/>
    <w:rsid w:val="00F75FBD"/>
    <w:rsid w:val="00F75FE2"/>
    <w:rsid w:val="00F76013"/>
    <w:rsid w:val="00F76171"/>
    <w:rsid w:val="00F761F5"/>
    <w:rsid w:val="00F76230"/>
    <w:rsid w:val="00F7624A"/>
    <w:rsid w:val="00F7631B"/>
    <w:rsid w:val="00F7633B"/>
    <w:rsid w:val="00F76478"/>
    <w:rsid w:val="00F76536"/>
    <w:rsid w:val="00F76557"/>
    <w:rsid w:val="00F76561"/>
    <w:rsid w:val="00F765C4"/>
    <w:rsid w:val="00F765D8"/>
    <w:rsid w:val="00F765DC"/>
    <w:rsid w:val="00F7668C"/>
    <w:rsid w:val="00F76820"/>
    <w:rsid w:val="00F7689E"/>
    <w:rsid w:val="00F76915"/>
    <w:rsid w:val="00F76972"/>
    <w:rsid w:val="00F76A1B"/>
    <w:rsid w:val="00F76A62"/>
    <w:rsid w:val="00F76AB2"/>
    <w:rsid w:val="00F76B19"/>
    <w:rsid w:val="00F76C14"/>
    <w:rsid w:val="00F76C9D"/>
    <w:rsid w:val="00F76DC2"/>
    <w:rsid w:val="00F76E1F"/>
    <w:rsid w:val="00F76E57"/>
    <w:rsid w:val="00F76FCB"/>
    <w:rsid w:val="00F76FE1"/>
    <w:rsid w:val="00F76FE3"/>
    <w:rsid w:val="00F7700F"/>
    <w:rsid w:val="00F77234"/>
    <w:rsid w:val="00F772E3"/>
    <w:rsid w:val="00F773C9"/>
    <w:rsid w:val="00F7748F"/>
    <w:rsid w:val="00F774DA"/>
    <w:rsid w:val="00F774EE"/>
    <w:rsid w:val="00F7753A"/>
    <w:rsid w:val="00F7753C"/>
    <w:rsid w:val="00F775BB"/>
    <w:rsid w:val="00F7761E"/>
    <w:rsid w:val="00F776F0"/>
    <w:rsid w:val="00F776F6"/>
    <w:rsid w:val="00F7778D"/>
    <w:rsid w:val="00F7788C"/>
    <w:rsid w:val="00F778D4"/>
    <w:rsid w:val="00F77900"/>
    <w:rsid w:val="00F7793E"/>
    <w:rsid w:val="00F77991"/>
    <w:rsid w:val="00F77A15"/>
    <w:rsid w:val="00F77C02"/>
    <w:rsid w:val="00F77D5F"/>
    <w:rsid w:val="00F77D6C"/>
    <w:rsid w:val="00F77E51"/>
    <w:rsid w:val="00F77FA2"/>
    <w:rsid w:val="00F77FAE"/>
    <w:rsid w:val="00F80029"/>
    <w:rsid w:val="00F8025B"/>
    <w:rsid w:val="00F80307"/>
    <w:rsid w:val="00F8042E"/>
    <w:rsid w:val="00F804A6"/>
    <w:rsid w:val="00F805CE"/>
    <w:rsid w:val="00F8067A"/>
    <w:rsid w:val="00F806E1"/>
    <w:rsid w:val="00F807CC"/>
    <w:rsid w:val="00F8080B"/>
    <w:rsid w:val="00F80816"/>
    <w:rsid w:val="00F80952"/>
    <w:rsid w:val="00F8098E"/>
    <w:rsid w:val="00F80992"/>
    <w:rsid w:val="00F8099B"/>
    <w:rsid w:val="00F809EA"/>
    <w:rsid w:val="00F80AE9"/>
    <w:rsid w:val="00F80BAC"/>
    <w:rsid w:val="00F80BE7"/>
    <w:rsid w:val="00F80C48"/>
    <w:rsid w:val="00F80C8D"/>
    <w:rsid w:val="00F80CBA"/>
    <w:rsid w:val="00F80CF3"/>
    <w:rsid w:val="00F80D5F"/>
    <w:rsid w:val="00F80DC0"/>
    <w:rsid w:val="00F80DC6"/>
    <w:rsid w:val="00F80E39"/>
    <w:rsid w:val="00F80F3A"/>
    <w:rsid w:val="00F81027"/>
    <w:rsid w:val="00F8107E"/>
    <w:rsid w:val="00F81227"/>
    <w:rsid w:val="00F812D4"/>
    <w:rsid w:val="00F8131F"/>
    <w:rsid w:val="00F81392"/>
    <w:rsid w:val="00F813A1"/>
    <w:rsid w:val="00F814EA"/>
    <w:rsid w:val="00F8150F"/>
    <w:rsid w:val="00F81542"/>
    <w:rsid w:val="00F8156A"/>
    <w:rsid w:val="00F8159C"/>
    <w:rsid w:val="00F815B4"/>
    <w:rsid w:val="00F815EB"/>
    <w:rsid w:val="00F8167C"/>
    <w:rsid w:val="00F816A3"/>
    <w:rsid w:val="00F817A7"/>
    <w:rsid w:val="00F817F3"/>
    <w:rsid w:val="00F81819"/>
    <w:rsid w:val="00F81931"/>
    <w:rsid w:val="00F819CD"/>
    <w:rsid w:val="00F81A02"/>
    <w:rsid w:val="00F81A39"/>
    <w:rsid w:val="00F81A3A"/>
    <w:rsid w:val="00F81B6A"/>
    <w:rsid w:val="00F81BB1"/>
    <w:rsid w:val="00F81C82"/>
    <w:rsid w:val="00F81C9B"/>
    <w:rsid w:val="00F81CC9"/>
    <w:rsid w:val="00F81D5D"/>
    <w:rsid w:val="00F81D72"/>
    <w:rsid w:val="00F81E91"/>
    <w:rsid w:val="00F82040"/>
    <w:rsid w:val="00F82062"/>
    <w:rsid w:val="00F821CD"/>
    <w:rsid w:val="00F82207"/>
    <w:rsid w:val="00F82210"/>
    <w:rsid w:val="00F82394"/>
    <w:rsid w:val="00F82432"/>
    <w:rsid w:val="00F824C9"/>
    <w:rsid w:val="00F824FC"/>
    <w:rsid w:val="00F82562"/>
    <w:rsid w:val="00F8258B"/>
    <w:rsid w:val="00F82669"/>
    <w:rsid w:val="00F82797"/>
    <w:rsid w:val="00F8286E"/>
    <w:rsid w:val="00F828D8"/>
    <w:rsid w:val="00F829E7"/>
    <w:rsid w:val="00F82A1D"/>
    <w:rsid w:val="00F82A46"/>
    <w:rsid w:val="00F82A53"/>
    <w:rsid w:val="00F82AAE"/>
    <w:rsid w:val="00F82B07"/>
    <w:rsid w:val="00F82C5C"/>
    <w:rsid w:val="00F82D02"/>
    <w:rsid w:val="00F82DCE"/>
    <w:rsid w:val="00F82DD5"/>
    <w:rsid w:val="00F82E5F"/>
    <w:rsid w:val="00F82FBC"/>
    <w:rsid w:val="00F82FC7"/>
    <w:rsid w:val="00F82FCD"/>
    <w:rsid w:val="00F83224"/>
    <w:rsid w:val="00F8322C"/>
    <w:rsid w:val="00F83285"/>
    <w:rsid w:val="00F83395"/>
    <w:rsid w:val="00F83407"/>
    <w:rsid w:val="00F83448"/>
    <w:rsid w:val="00F83562"/>
    <w:rsid w:val="00F835BC"/>
    <w:rsid w:val="00F83676"/>
    <w:rsid w:val="00F836A3"/>
    <w:rsid w:val="00F83A17"/>
    <w:rsid w:val="00F83B01"/>
    <w:rsid w:val="00F83B0F"/>
    <w:rsid w:val="00F83B25"/>
    <w:rsid w:val="00F83B9A"/>
    <w:rsid w:val="00F83BDF"/>
    <w:rsid w:val="00F83C06"/>
    <w:rsid w:val="00F83C4D"/>
    <w:rsid w:val="00F83C50"/>
    <w:rsid w:val="00F83C9A"/>
    <w:rsid w:val="00F83CA3"/>
    <w:rsid w:val="00F83D41"/>
    <w:rsid w:val="00F83DBC"/>
    <w:rsid w:val="00F83E06"/>
    <w:rsid w:val="00F83EB8"/>
    <w:rsid w:val="00F83EEE"/>
    <w:rsid w:val="00F83F12"/>
    <w:rsid w:val="00F840AC"/>
    <w:rsid w:val="00F840F6"/>
    <w:rsid w:val="00F84102"/>
    <w:rsid w:val="00F8414B"/>
    <w:rsid w:val="00F84153"/>
    <w:rsid w:val="00F8418B"/>
    <w:rsid w:val="00F84192"/>
    <w:rsid w:val="00F841AC"/>
    <w:rsid w:val="00F842BB"/>
    <w:rsid w:val="00F842D6"/>
    <w:rsid w:val="00F8431D"/>
    <w:rsid w:val="00F84322"/>
    <w:rsid w:val="00F84461"/>
    <w:rsid w:val="00F844CA"/>
    <w:rsid w:val="00F8451B"/>
    <w:rsid w:val="00F8452D"/>
    <w:rsid w:val="00F84717"/>
    <w:rsid w:val="00F8474C"/>
    <w:rsid w:val="00F847E1"/>
    <w:rsid w:val="00F847F4"/>
    <w:rsid w:val="00F8482E"/>
    <w:rsid w:val="00F8486F"/>
    <w:rsid w:val="00F84883"/>
    <w:rsid w:val="00F848BD"/>
    <w:rsid w:val="00F84969"/>
    <w:rsid w:val="00F849D3"/>
    <w:rsid w:val="00F84A55"/>
    <w:rsid w:val="00F84A8D"/>
    <w:rsid w:val="00F84B52"/>
    <w:rsid w:val="00F84C18"/>
    <w:rsid w:val="00F84D0C"/>
    <w:rsid w:val="00F84D2F"/>
    <w:rsid w:val="00F84D74"/>
    <w:rsid w:val="00F84E29"/>
    <w:rsid w:val="00F84F4D"/>
    <w:rsid w:val="00F84F63"/>
    <w:rsid w:val="00F8501D"/>
    <w:rsid w:val="00F8505D"/>
    <w:rsid w:val="00F850EE"/>
    <w:rsid w:val="00F851DD"/>
    <w:rsid w:val="00F85236"/>
    <w:rsid w:val="00F852E2"/>
    <w:rsid w:val="00F852E3"/>
    <w:rsid w:val="00F8538E"/>
    <w:rsid w:val="00F85413"/>
    <w:rsid w:val="00F854B9"/>
    <w:rsid w:val="00F85534"/>
    <w:rsid w:val="00F85564"/>
    <w:rsid w:val="00F855AE"/>
    <w:rsid w:val="00F8564A"/>
    <w:rsid w:val="00F856D5"/>
    <w:rsid w:val="00F8572E"/>
    <w:rsid w:val="00F8579D"/>
    <w:rsid w:val="00F857E1"/>
    <w:rsid w:val="00F85825"/>
    <w:rsid w:val="00F85842"/>
    <w:rsid w:val="00F858C7"/>
    <w:rsid w:val="00F85934"/>
    <w:rsid w:val="00F859DA"/>
    <w:rsid w:val="00F859EE"/>
    <w:rsid w:val="00F859FE"/>
    <w:rsid w:val="00F85A27"/>
    <w:rsid w:val="00F85A53"/>
    <w:rsid w:val="00F85C06"/>
    <w:rsid w:val="00F85C16"/>
    <w:rsid w:val="00F85C44"/>
    <w:rsid w:val="00F85C86"/>
    <w:rsid w:val="00F85D33"/>
    <w:rsid w:val="00F85D55"/>
    <w:rsid w:val="00F85D66"/>
    <w:rsid w:val="00F85D90"/>
    <w:rsid w:val="00F85D99"/>
    <w:rsid w:val="00F85DB9"/>
    <w:rsid w:val="00F85DDF"/>
    <w:rsid w:val="00F85DE1"/>
    <w:rsid w:val="00F85DFC"/>
    <w:rsid w:val="00F85EA1"/>
    <w:rsid w:val="00F85ED3"/>
    <w:rsid w:val="00F85ED9"/>
    <w:rsid w:val="00F85F2F"/>
    <w:rsid w:val="00F85F4D"/>
    <w:rsid w:val="00F85F53"/>
    <w:rsid w:val="00F85F7B"/>
    <w:rsid w:val="00F85FAF"/>
    <w:rsid w:val="00F85FF7"/>
    <w:rsid w:val="00F86127"/>
    <w:rsid w:val="00F861DC"/>
    <w:rsid w:val="00F86269"/>
    <w:rsid w:val="00F862A3"/>
    <w:rsid w:val="00F86309"/>
    <w:rsid w:val="00F863A2"/>
    <w:rsid w:val="00F863AB"/>
    <w:rsid w:val="00F86400"/>
    <w:rsid w:val="00F864DB"/>
    <w:rsid w:val="00F86540"/>
    <w:rsid w:val="00F86561"/>
    <w:rsid w:val="00F86586"/>
    <w:rsid w:val="00F865FB"/>
    <w:rsid w:val="00F86726"/>
    <w:rsid w:val="00F867B2"/>
    <w:rsid w:val="00F867B6"/>
    <w:rsid w:val="00F867D8"/>
    <w:rsid w:val="00F86A84"/>
    <w:rsid w:val="00F86B3B"/>
    <w:rsid w:val="00F86BC5"/>
    <w:rsid w:val="00F86C57"/>
    <w:rsid w:val="00F86CC2"/>
    <w:rsid w:val="00F86D82"/>
    <w:rsid w:val="00F86DB8"/>
    <w:rsid w:val="00F86E45"/>
    <w:rsid w:val="00F86E7C"/>
    <w:rsid w:val="00F86EF9"/>
    <w:rsid w:val="00F86FA0"/>
    <w:rsid w:val="00F8703F"/>
    <w:rsid w:val="00F870A4"/>
    <w:rsid w:val="00F871BC"/>
    <w:rsid w:val="00F87284"/>
    <w:rsid w:val="00F872BE"/>
    <w:rsid w:val="00F872FF"/>
    <w:rsid w:val="00F8730E"/>
    <w:rsid w:val="00F8733B"/>
    <w:rsid w:val="00F87341"/>
    <w:rsid w:val="00F8752D"/>
    <w:rsid w:val="00F87571"/>
    <w:rsid w:val="00F87580"/>
    <w:rsid w:val="00F87590"/>
    <w:rsid w:val="00F87724"/>
    <w:rsid w:val="00F87825"/>
    <w:rsid w:val="00F8790A"/>
    <w:rsid w:val="00F87964"/>
    <w:rsid w:val="00F87971"/>
    <w:rsid w:val="00F879AD"/>
    <w:rsid w:val="00F87B4A"/>
    <w:rsid w:val="00F87B8B"/>
    <w:rsid w:val="00F87BC8"/>
    <w:rsid w:val="00F87C10"/>
    <w:rsid w:val="00F87C1C"/>
    <w:rsid w:val="00F87C99"/>
    <w:rsid w:val="00F87C9A"/>
    <w:rsid w:val="00F87D92"/>
    <w:rsid w:val="00F87DD3"/>
    <w:rsid w:val="00F87E0E"/>
    <w:rsid w:val="00F87E9A"/>
    <w:rsid w:val="00F87EC3"/>
    <w:rsid w:val="00F8DC7C"/>
    <w:rsid w:val="00F90022"/>
    <w:rsid w:val="00F90029"/>
    <w:rsid w:val="00F90030"/>
    <w:rsid w:val="00F90031"/>
    <w:rsid w:val="00F9019A"/>
    <w:rsid w:val="00F905BB"/>
    <w:rsid w:val="00F90617"/>
    <w:rsid w:val="00F9067F"/>
    <w:rsid w:val="00F907F6"/>
    <w:rsid w:val="00F90832"/>
    <w:rsid w:val="00F9083E"/>
    <w:rsid w:val="00F90896"/>
    <w:rsid w:val="00F9090D"/>
    <w:rsid w:val="00F9092B"/>
    <w:rsid w:val="00F9096D"/>
    <w:rsid w:val="00F90C6C"/>
    <w:rsid w:val="00F90D9D"/>
    <w:rsid w:val="00F90DB8"/>
    <w:rsid w:val="00F90E2C"/>
    <w:rsid w:val="00F90E2F"/>
    <w:rsid w:val="00F90E48"/>
    <w:rsid w:val="00F90E57"/>
    <w:rsid w:val="00F90EEB"/>
    <w:rsid w:val="00F9102F"/>
    <w:rsid w:val="00F910AD"/>
    <w:rsid w:val="00F91133"/>
    <w:rsid w:val="00F911F6"/>
    <w:rsid w:val="00F9120E"/>
    <w:rsid w:val="00F912BD"/>
    <w:rsid w:val="00F913FD"/>
    <w:rsid w:val="00F91426"/>
    <w:rsid w:val="00F91607"/>
    <w:rsid w:val="00F9161F"/>
    <w:rsid w:val="00F91687"/>
    <w:rsid w:val="00F916A7"/>
    <w:rsid w:val="00F916A8"/>
    <w:rsid w:val="00F9173A"/>
    <w:rsid w:val="00F91748"/>
    <w:rsid w:val="00F91797"/>
    <w:rsid w:val="00F91946"/>
    <w:rsid w:val="00F919F7"/>
    <w:rsid w:val="00F91A08"/>
    <w:rsid w:val="00F91A1C"/>
    <w:rsid w:val="00F91A87"/>
    <w:rsid w:val="00F91B26"/>
    <w:rsid w:val="00F91C11"/>
    <w:rsid w:val="00F91C2F"/>
    <w:rsid w:val="00F91CB2"/>
    <w:rsid w:val="00F91DB8"/>
    <w:rsid w:val="00F91E73"/>
    <w:rsid w:val="00F91F5D"/>
    <w:rsid w:val="00F91FD5"/>
    <w:rsid w:val="00F9200C"/>
    <w:rsid w:val="00F92025"/>
    <w:rsid w:val="00F920B0"/>
    <w:rsid w:val="00F920E9"/>
    <w:rsid w:val="00F9211A"/>
    <w:rsid w:val="00F92170"/>
    <w:rsid w:val="00F92198"/>
    <w:rsid w:val="00F921A0"/>
    <w:rsid w:val="00F921BB"/>
    <w:rsid w:val="00F92257"/>
    <w:rsid w:val="00F92336"/>
    <w:rsid w:val="00F92389"/>
    <w:rsid w:val="00F923A4"/>
    <w:rsid w:val="00F925A4"/>
    <w:rsid w:val="00F925C7"/>
    <w:rsid w:val="00F925EA"/>
    <w:rsid w:val="00F926C0"/>
    <w:rsid w:val="00F92701"/>
    <w:rsid w:val="00F92836"/>
    <w:rsid w:val="00F92891"/>
    <w:rsid w:val="00F929ED"/>
    <w:rsid w:val="00F92A35"/>
    <w:rsid w:val="00F92A48"/>
    <w:rsid w:val="00F92B26"/>
    <w:rsid w:val="00F92B54"/>
    <w:rsid w:val="00F92B64"/>
    <w:rsid w:val="00F92BA1"/>
    <w:rsid w:val="00F92BF6"/>
    <w:rsid w:val="00F92CBD"/>
    <w:rsid w:val="00F92CC4"/>
    <w:rsid w:val="00F92D00"/>
    <w:rsid w:val="00F92DD7"/>
    <w:rsid w:val="00F92E32"/>
    <w:rsid w:val="00F92E83"/>
    <w:rsid w:val="00F92E8A"/>
    <w:rsid w:val="00F92F6D"/>
    <w:rsid w:val="00F92FFC"/>
    <w:rsid w:val="00F930F0"/>
    <w:rsid w:val="00F93264"/>
    <w:rsid w:val="00F933A0"/>
    <w:rsid w:val="00F933B2"/>
    <w:rsid w:val="00F933FD"/>
    <w:rsid w:val="00F93451"/>
    <w:rsid w:val="00F93456"/>
    <w:rsid w:val="00F93484"/>
    <w:rsid w:val="00F934F2"/>
    <w:rsid w:val="00F936AF"/>
    <w:rsid w:val="00F936C0"/>
    <w:rsid w:val="00F93765"/>
    <w:rsid w:val="00F9387F"/>
    <w:rsid w:val="00F938E0"/>
    <w:rsid w:val="00F93948"/>
    <w:rsid w:val="00F939E5"/>
    <w:rsid w:val="00F93A3D"/>
    <w:rsid w:val="00F93B2C"/>
    <w:rsid w:val="00F93B43"/>
    <w:rsid w:val="00F93B76"/>
    <w:rsid w:val="00F93BB8"/>
    <w:rsid w:val="00F93C0D"/>
    <w:rsid w:val="00F93C69"/>
    <w:rsid w:val="00F93CB2"/>
    <w:rsid w:val="00F93CC0"/>
    <w:rsid w:val="00F93D92"/>
    <w:rsid w:val="00F93DB2"/>
    <w:rsid w:val="00F93E82"/>
    <w:rsid w:val="00F93F19"/>
    <w:rsid w:val="00F94021"/>
    <w:rsid w:val="00F94086"/>
    <w:rsid w:val="00F94509"/>
    <w:rsid w:val="00F9455F"/>
    <w:rsid w:val="00F94600"/>
    <w:rsid w:val="00F94629"/>
    <w:rsid w:val="00F9469D"/>
    <w:rsid w:val="00F94771"/>
    <w:rsid w:val="00F947B2"/>
    <w:rsid w:val="00F947BB"/>
    <w:rsid w:val="00F94906"/>
    <w:rsid w:val="00F9496C"/>
    <w:rsid w:val="00F94A02"/>
    <w:rsid w:val="00F94A09"/>
    <w:rsid w:val="00F94A4A"/>
    <w:rsid w:val="00F94AAB"/>
    <w:rsid w:val="00F94B3C"/>
    <w:rsid w:val="00F94B62"/>
    <w:rsid w:val="00F94B71"/>
    <w:rsid w:val="00F94BAC"/>
    <w:rsid w:val="00F94BEE"/>
    <w:rsid w:val="00F94CD8"/>
    <w:rsid w:val="00F94D5D"/>
    <w:rsid w:val="00F94D80"/>
    <w:rsid w:val="00F94DDB"/>
    <w:rsid w:val="00F94DE2"/>
    <w:rsid w:val="00F94E31"/>
    <w:rsid w:val="00F94E7C"/>
    <w:rsid w:val="00F95140"/>
    <w:rsid w:val="00F95226"/>
    <w:rsid w:val="00F952B3"/>
    <w:rsid w:val="00F952DA"/>
    <w:rsid w:val="00F95401"/>
    <w:rsid w:val="00F95479"/>
    <w:rsid w:val="00F95499"/>
    <w:rsid w:val="00F954ED"/>
    <w:rsid w:val="00F954F7"/>
    <w:rsid w:val="00F955C0"/>
    <w:rsid w:val="00F955CA"/>
    <w:rsid w:val="00F95662"/>
    <w:rsid w:val="00F956E7"/>
    <w:rsid w:val="00F95755"/>
    <w:rsid w:val="00F957BC"/>
    <w:rsid w:val="00F957D7"/>
    <w:rsid w:val="00F957E6"/>
    <w:rsid w:val="00F95857"/>
    <w:rsid w:val="00F958BD"/>
    <w:rsid w:val="00F958CD"/>
    <w:rsid w:val="00F9595A"/>
    <w:rsid w:val="00F959A9"/>
    <w:rsid w:val="00F959ED"/>
    <w:rsid w:val="00F95A7D"/>
    <w:rsid w:val="00F95AE1"/>
    <w:rsid w:val="00F95B33"/>
    <w:rsid w:val="00F95B60"/>
    <w:rsid w:val="00F95B9D"/>
    <w:rsid w:val="00F95BC6"/>
    <w:rsid w:val="00F95BCD"/>
    <w:rsid w:val="00F95CF7"/>
    <w:rsid w:val="00F95CFA"/>
    <w:rsid w:val="00F95DA8"/>
    <w:rsid w:val="00F95DE1"/>
    <w:rsid w:val="00F95E06"/>
    <w:rsid w:val="00F95E43"/>
    <w:rsid w:val="00F95EA5"/>
    <w:rsid w:val="00F95F03"/>
    <w:rsid w:val="00F95FE9"/>
    <w:rsid w:val="00F96049"/>
    <w:rsid w:val="00F960A7"/>
    <w:rsid w:val="00F96126"/>
    <w:rsid w:val="00F9612C"/>
    <w:rsid w:val="00F96249"/>
    <w:rsid w:val="00F963BC"/>
    <w:rsid w:val="00F9646B"/>
    <w:rsid w:val="00F964BA"/>
    <w:rsid w:val="00F96594"/>
    <w:rsid w:val="00F965F7"/>
    <w:rsid w:val="00F9661C"/>
    <w:rsid w:val="00F966CB"/>
    <w:rsid w:val="00F96703"/>
    <w:rsid w:val="00F96707"/>
    <w:rsid w:val="00F967F4"/>
    <w:rsid w:val="00F9692A"/>
    <w:rsid w:val="00F96991"/>
    <w:rsid w:val="00F969CE"/>
    <w:rsid w:val="00F96A87"/>
    <w:rsid w:val="00F96AEE"/>
    <w:rsid w:val="00F96CA5"/>
    <w:rsid w:val="00F96CAD"/>
    <w:rsid w:val="00F96D10"/>
    <w:rsid w:val="00F96DA3"/>
    <w:rsid w:val="00F96E8A"/>
    <w:rsid w:val="00F96EE5"/>
    <w:rsid w:val="00F96EF8"/>
    <w:rsid w:val="00F96F0E"/>
    <w:rsid w:val="00F9704C"/>
    <w:rsid w:val="00F970A2"/>
    <w:rsid w:val="00F97243"/>
    <w:rsid w:val="00F9727B"/>
    <w:rsid w:val="00F97309"/>
    <w:rsid w:val="00F9732C"/>
    <w:rsid w:val="00F973EF"/>
    <w:rsid w:val="00F97414"/>
    <w:rsid w:val="00F97427"/>
    <w:rsid w:val="00F97580"/>
    <w:rsid w:val="00F97698"/>
    <w:rsid w:val="00F97761"/>
    <w:rsid w:val="00F977F0"/>
    <w:rsid w:val="00F97882"/>
    <w:rsid w:val="00F97952"/>
    <w:rsid w:val="00F97995"/>
    <w:rsid w:val="00F979B9"/>
    <w:rsid w:val="00F979EC"/>
    <w:rsid w:val="00F97AAF"/>
    <w:rsid w:val="00F97B0E"/>
    <w:rsid w:val="00F97B56"/>
    <w:rsid w:val="00F97C73"/>
    <w:rsid w:val="00F97CE7"/>
    <w:rsid w:val="00F97E90"/>
    <w:rsid w:val="00F97F6C"/>
    <w:rsid w:val="00FA001B"/>
    <w:rsid w:val="00FA046A"/>
    <w:rsid w:val="00FA056E"/>
    <w:rsid w:val="00FA05D4"/>
    <w:rsid w:val="00FA0624"/>
    <w:rsid w:val="00FA062A"/>
    <w:rsid w:val="00FA0697"/>
    <w:rsid w:val="00FA06B1"/>
    <w:rsid w:val="00FA06D7"/>
    <w:rsid w:val="00FA0740"/>
    <w:rsid w:val="00FA07AF"/>
    <w:rsid w:val="00FA07F7"/>
    <w:rsid w:val="00FA080B"/>
    <w:rsid w:val="00FA0849"/>
    <w:rsid w:val="00FA08C0"/>
    <w:rsid w:val="00FA08FB"/>
    <w:rsid w:val="00FA09A1"/>
    <w:rsid w:val="00FA0AEF"/>
    <w:rsid w:val="00FA0B57"/>
    <w:rsid w:val="00FA0D57"/>
    <w:rsid w:val="00FA0D9F"/>
    <w:rsid w:val="00FA0E41"/>
    <w:rsid w:val="00FA0F93"/>
    <w:rsid w:val="00FA1002"/>
    <w:rsid w:val="00FA1093"/>
    <w:rsid w:val="00FA1159"/>
    <w:rsid w:val="00FA115B"/>
    <w:rsid w:val="00FA11A3"/>
    <w:rsid w:val="00FA11CD"/>
    <w:rsid w:val="00FA1228"/>
    <w:rsid w:val="00FA1350"/>
    <w:rsid w:val="00FA140C"/>
    <w:rsid w:val="00FA141D"/>
    <w:rsid w:val="00FA146E"/>
    <w:rsid w:val="00FA1473"/>
    <w:rsid w:val="00FA14DF"/>
    <w:rsid w:val="00FA14EF"/>
    <w:rsid w:val="00FA1677"/>
    <w:rsid w:val="00FA16CB"/>
    <w:rsid w:val="00FA16D7"/>
    <w:rsid w:val="00FA17B8"/>
    <w:rsid w:val="00FA183D"/>
    <w:rsid w:val="00FA1873"/>
    <w:rsid w:val="00FA1A3C"/>
    <w:rsid w:val="00FA1A9C"/>
    <w:rsid w:val="00FA1AEA"/>
    <w:rsid w:val="00FA1B67"/>
    <w:rsid w:val="00FA1C6C"/>
    <w:rsid w:val="00FA1CE9"/>
    <w:rsid w:val="00FA1D0D"/>
    <w:rsid w:val="00FA1DFB"/>
    <w:rsid w:val="00FA1E03"/>
    <w:rsid w:val="00FA1E10"/>
    <w:rsid w:val="00FA1E57"/>
    <w:rsid w:val="00FA1FF1"/>
    <w:rsid w:val="00FA217F"/>
    <w:rsid w:val="00FA2282"/>
    <w:rsid w:val="00FA24B3"/>
    <w:rsid w:val="00FA24D6"/>
    <w:rsid w:val="00FA266C"/>
    <w:rsid w:val="00FA26E2"/>
    <w:rsid w:val="00FA2726"/>
    <w:rsid w:val="00FA2733"/>
    <w:rsid w:val="00FA2B6C"/>
    <w:rsid w:val="00FA2B85"/>
    <w:rsid w:val="00FA2B86"/>
    <w:rsid w:val="00FA2BAC"/>
    <w:rsid w:val="00FA2C13"/>
    <w:rsid w:val="00FA2D6B"/>
    <w:rsid w:val="00FA2F4B"/>
    <w:rsid w:val="00FA2FAE"/>
    <w:rsid w:val="00FA303B"/>
    <w:rsid w:val="00FA307D"/>
    <w:rsid w:val="00FA30B1"/>
    <w:rsid w:val="00FA33D0"/>
    <w:rsid w:val="00FA33FF"/>
    <w:rsid w:val="00FA3444"/>
    <w:rsid w:val="00FA34C0"/>
    <w:rsid w:val="00FA3599"/>
    <w:rsid w:val="00FA35C4"/>
    <w:rsid w:val="00FA3638"/>
    <w:rsid w:val="00FA3696"/>
    <w:rsid w:val="00FA36CA"/>
    <w:rsid w:val="00FA36F5"/>
    <w:rsid w:val="00FA3827"/>
    <w:rsid w:val="00FA3844"/>
    <w:rsid w:val="00FA3892"/>
    <w:rsid w:val="00FA38F6"/>
    <w:rsid w:val="00FA39CE"/>
    <w:rsid w:val="00FA3AD5"/>
    <w:rsid w:val="00FA3BCD"/>
    <w:rsid w:val="00FA3C3E"/>
    <w:rsid w:val="00FA3D1C"/>
    <w:rsid w:val="00FA3DB1"/>
    <w:rsid w:val="00FA3DC0"/>
    <w:rsid w:val="00FA4034"/>
    <w:rsid w:val="00FA4076"/>
    <w:rsid w:val="00FA4226"/>
    <w:rsid w:val="00FA426B"/>
    <w:rsid w:val="00FA427F"/>
    <w:rsid w:val="00FA4401"/>
    <w:rsid w:val="00FA441B"/>
    <w:rsid w:val="00FA4447"/>
    <w:rsid w:val="00FA44A8"/>
    <w:rsid w:val="00FA4540"/>
    <w:rsid w:val="00FA4598"/>
    <w:rsid w:val="00FA4688"/>
    <w:rsid w:val="00FA46C2"/>
    <w:rsid w:val="00FA476A"/>
    <w:rsid w:val="00FA4794"/>
    <w:rsid w:val="00FA47FC"/>
    <w:rsid w:val="00FA480E"/>
    <w:rsid w:val="00FA483F"/>
    <w:rsid w:val="00FA48AA"/>
    <w:rsid w:val="00FA48AB"/>
    <w:rsid w:val="00FA4A5A"/>
    <w:rsid w:val="00FA4B0E"/>
    <w:rsid w:val="00FA4B49"/>
    <w:rsid w:val="00FA4B8A"/>
    <w:rsid w:val="00FA4D76"/>
    <w:rsid w:val="00FA4D9C"/>
    <w:rsid w:val="00FA4E43"/>
    <w:rsid w:val="00FA4E6F"/>
    <w:rsid w:val="00FA4F35"/>
    <w:rsid w:val="00FA4F53"/>
    <w:rsid w:val="00FA4FBD"/>
    <w:rsid w:val="00FA4FF1"/>
    <w:rsid w:val="00FA50BE"/>
    <w:rsid w:val="00FA514D"/>
    <w:rsid w:val="00FA515A"/>
    <w:rsid w:val="00FA5183"/>
    <w:rsid w:val="00FA518D"/>
    <w:rsid w:val="00FA519E"/>
    <w:rsid w:val="00FA5241"/>
    <w:rsid w:val="00FA5266"/>
    <w:rsid w:val="00FA53B4"/>
    <w:rsid w:val="00FA53B5"/>
    <w:rsid w:val="00FA53DC"/>
    <w:rsid w:val="00FA546C"/>
    <w:rsid w:val="00FA54DF"/>
    <w:rsid w:val="00FA5552"/>
    <w:rsid w:val="00FA5560"/>
    <w:rsid w:val="00FA556D"/>
    <w:rsid w:val="00FA5581"/>
    <w:rsid w:val="00FA559C"/>
    <w:rsid w:val="00FA55AB"/>
    <w:rsid w:val="00FA565B"/>
    <w:rsid w:val="00FA56F9"/>
    <w:rsid w:val="00FA5744"/>
    <w:rsid w:val="00FA579F"/>
    <w:rsid w:val="00FA5864"/>
    <w:rsid w:val="00FA58AE"/>
    <w:rsid w:val="00FA58BE"/>
    <w:rsid w:val="00FA58D2"/>
    <w:rsid w:val="00FA58D9"/>
    <w:rsid w:val="00FA5A55"/>
    <w:rsid w:val="00FA5B09"/>
    <w:rsid w:val="00FA5B20"/>
    <w:rsid w:val="00FA5C87"/>
    <w:rsid w:val="00FA5D9E"/>
    <w:rsid w:val="00FA5DAA"/>
    <w:rsid w:val="00FA5E2F"/>
    <w:rsid w:val="00FA5EDC"/>
    <w:rsid w:val="00FA61D9"/>
    <w:rsid w:val="00FA620D"/>
    <w:rsid w:val="00FA6361"/>
    <w:rsid w:val="00FA640E"/>
    <w:rsid w:val="00FA6532"/>
    <w:rsid w:val="00FA6571"/>
    <w:rsid w:val="00FA6661"/>
    <w:rsid w:val="00FA670F"/>
    <w:rsid w:val="00FA6A11"/>
    <w:rsid w:val="00FA6BB7"/>
    <w:rsid w:val="00FA6C8E"/>
    <w:rsid w:val="00FA6CBE"/>
    <w:rsid w:val="00FA6CFB"/>
    <w:rsid w:val="00FA6D21"/>
    <w:rsid w:val="00FA6D27"/>
    <w:rsid w:val="00FA6DBA"/>
    <w:rsid w:val="00FA6DE1"/>
    <w:rsid w:val="00FA6E99"/>
    <w:rsid w:val="00FA6FEF"/>
    <w:rsid w:val="00FA7064"/>
    <w:rsid w:val="00FA70D3"/>
    <w:rsid w:val="00FA718D"/>
    <w:rsid w:val="00FA719A"/>
    <w:rsid w:val="00FA7295"/>
    <w:rsid w:val="00FA72D4"/>
    <w:rsid w:val="00FA7331"/>
    <w:rsid w:val="00FA73C1"/>
    <w:rsid w:val="00FA73C3"/>
    <w:rsid w:val="00FA73F1"/>
    <w:rsid w:val="00FA7482"/>
    <w:rsid w:val="00FA749F"/>
    <w:rsid w:val="00FA755F"/>
    <w:rsid w:val="00FA7574"/>
    <w:rsid w:val="00FA78A2"/>
    <w:rsid w:val="00FA78E2"/>
    <w:rsid w:val="00FA7912"/>
    <w:rsid w:val="00FA792A"/>
    <w:rsid w:val="00FA798C"/>
    <w:rsid w:val="00FA7A47"/>
    <w:rsid w:val="00FA7BC4"/>
    <w:rsid w:val="00FA7C6C"/>
    <w:rsid w:val="00FA7CF0"/>
    <w:rsid w:val="00FA7D4A"/>
    <w:rsid w:val="00FA7DB3"/>
    <w:rsid w:val="00FA7DD8"/>
    <w:rsid w:val="00FA7F3C"/>
    <w:rsid w:val="00FA7F5E"/>
    <w:rsid w:val="00FB0027"/>
    <w:rsid w:val="00FB003F"/>
    <w:rsid w:val="00FB0100"/>
    <w:rsid w:val="00FB02E2"/>
    <w:rsid w:val="00FB02EE"/>
    <w:rsid w:val="00FB0422"/>
    <w:rsid w:val="00FB05A7"/>
    <w:rsid w:val="00FB05FD"/>
    <w:rsid w:val="00FB0775"/>
    <w:rsid w:val="00FB0776"/>
    <w:rsid w:val="00FB0809"/>
    <w:rsid w:val="00FB08D5"/>
    <w:rsid w:val="00FB0912"/>
    <w:rsid w:val="00FB0918"/>
    <w:rsid w:val="00FB0942"/>
    <w:rsid w:val="00FB0A5E"/>
    <w:rsid w:val="00FB0C0C"/>
    <w:rsid w:val="00FB0CF0"/>
    <w:rsid w:val="00FB0D34"/>
    <w:rsid w:val="00FB0D65"/>
    <w:rsid w:val="00FB0D7D"/>
    <w:rsid w:val="00FB0E00"/>
    <w:rsid w:val="00FB0EBC"/>
    <w:rsid w:val="00FB0F4E"/>
    <w:rsid w:val="00FB1014"/>
    <w:rsid w:val="00FB1078"/>
    <w:rsid w:val="00FB1082"/>
    <w:rsid w:val="00FB108F"/>
    <w:rsid w:val="00FB10C2"/>
    <w:rsid w:val="00FB123A"/>
    <w:rsid w:val="00FB1255"/>
    <w:rsid w:val="00FB12EA"/>
    <w:rsid w:val="00FB12F8"/>
    <w:rsid w:val="00FB12FE"/>
    <w:rsid w:val="00FB13FA"/>
    <w:rsid w:val="00FB14C2"/>
    <w:rsid w:val="00FB14C3"/>
    <w:rsid w:val="00FB1587"/>
    <w:rsid w:val="00FB1647"/>
    <w:rsid w:val="00FB16F5"/>
    <w:rsid w:val="00FB174A"/>
    <w:rsid w:val="00FB1838"/>
    <w:rsid w:val="00FB183F"/>
    <w:rsid w:val="00FB1853"/>
    <w:rsid w:val="00FB18A0"/>
    <w:rsid w:val="00FB18B9"/>
    <w:rsid w:val="00FB18D2"/>
    <w:rsid w:val="00FB19ED"/>
    <w:rsid w:val="00FB1A0F"/>
    <w:rsid w:val="00FB1A58"/>
    <w:rsid w:val="00FB1B52"/>
    <w:rsid w:val="00FB1BBE"/>
    <w:rsid w:val="00FB1C31"/>
    <w:rsid w:val="00FB1C3C"/>
    <w:rsid w:val="00FB1C80"/>
    <w:rsid w:val="00FB1C92"/>
    <w:rsid w:val="00FB1CA2"/>
    <w:rsid w:val="00FB1CD4"/>
    <w:rsid w:val="00FB1E34"/>
    <w:rsid w:val="00FB1F13"/>
    <w:rsid w:val="00FB1FF8"/>
    <w:rsid w:val="00FB208A"/>
    <w:rsid w:val="00FB20F7"/>
    <w:rsid w:val="00FB2102"/>
    <w:rsid w:val="00FB2119"/>
    <w:rsid w:val="00FB219C"/>
    <w:rsid w:val="00FB21D3"/>
    <w:rsid w:val="00FB22AD"/>
    <w:rsid w:val="00FB2301"/>
    <w:rsid w:val="00FB2382"/>
    <w:rsid w:val="00FB23D9"/>
    <w:rsid w:val="00FB2412"/>
    <w:rsid w:val="00FB2419"/>
    <w:rsid w:val="00FB248F"/>
    <w:rsid w:val="00FB24A9"/>
    <w:rsid w:val="00FB2579"/>
    <w:rsid w:val="00FB25EC"/>
    <w:rsid w:val="00FB25FF"/>
    <w:rsid w:val="00FB26A3"/>
    <w:rsid w:val="00FB276F"/>
    <w:rsid w:val="00FB2881"/>
    <w:rsid w:val="00FB2A35"/>
    <w:rsid w:val="00FB2AB4"/>
    <w:rsid w:val="00FB2B9D"/>
    <w:rsid w:val="00FB2C1B"/>
    <w:rsid w:val="00FB2D25"/>
    <w:rsid w:val="00FB2D2D"/>
    <w:rsid w:val="00FB2D42"/>
    <w:rsid w:val="00FB2DB6"/>
    <w:rsid w:val="00FB2DFB"/>
    <w:rsid w:val="00FB2E15"/>
    <w:rsid w:val="00FB2E7B"/>
    <w:rsid w:val="00FB2EB1"/>
    <w:rsid w:val="00FB2EE9"/>
    <w:rsid w:val="00FB2F3B"/>
    <w:rsid w:val="00FB2F6F"/>
    <w:rsid w:val="00FB2FAA"/>
    <w:rsid w:val="00FB2FAB"/>
    <w:rsid w:val="00FB3021"/>
    <w:rsid w:val="00FB303A"/>
    <w:rsid w:val="00FB3075"/>
    <w:rsid w:val="00FB3152"/>
    <w:rsid w:val="00FB32D0"/>
    <w:rsid w:val="00FB3324"/>
    <w:rsid w:val="00FB3392"/>
    <w:rsid w:val="00FB3472"/>
    <w:rsid w:val="00FB34DF"/>
    <w:rsid w:val="00FB351A"/>
    <w:rsid w:val="00FB3575"/>
    <w:rsid w:val="00FB357F"/>
    <w:rsid w:val="00FB358E"/>
    <w:rsid w:val="00FB359A"/>
    <w:rsid w:val="00FB3648"/>
    <w:rsid w:val="00FB36AC"/>
    <w:rsid w:val="00FB36BC"/>
    <w:rsid w:val="00FB3914"/>
    <w:rsid w:val="00FB397F"/>
    <w:rsid w:val="00FB39BD"/>
    <w:rsid w:val="00FB3A46"/>
    <w:rsid w:val="00FB3AB6"/>
    <w:rsid w:val="00FB3B29"/>
    <w:rsid w:val="00FB3C20"/>
    <w:rsid w:val="00FB3CC0"/>
    <w:rsid w:val="00FB3DCA"/>
    <w:rsid w:val="00FB3E54"/>
    <w:rsid w:val="00FB3F68"/>
    <w:rsid w:val="00FB401A"/>
    <w:rsid w:val="00FB4032"/>
    <w:rsid w:val="00FB409A"/>
    <w:rsid w:val="00FB40AF"/>
    <w:rsid w:val="00FB4263"/>
    <w:rsid w:val="00FB42C1"/>
    <w:rsid w:val="00FB437E"/>
    <w:rsid w:val="00FB43D1"/>
    <w:rsid w:val="00FB446C"/>
    <w:rsid w:val="00FB4566"/>
    <w:rsid w:val="00FB458D"/>
    <w:rsid w:val="00FB46D2"/>
    <w:rsid w:val="00FB46FF"/>
    <w:rsid w:val="00FB4719"/>
    <w:rsid w:val="00FB477B"/>
    <w:rsid w:val="00FB47EB"/>
    <w:rsid w:val="00FB488F"/>
    <w:rsid w:val="00FB49FD"/>
    <w:rsid w:val="00FB4A83"/>
    <w:rsid w:val="00FB4AD8"/>
    <w:rsid w:val="00FB4BA7"/>
    <w:rsid w:val="00FB4C97"/>
    <w:rsid w:val="00FB4DFB"/>
    <w:rsid w:val="00FB4E35"/>
    <w:rsid w:val="00FB4FB3"/>
    <w:rsid w:val="00FB4FE5"/>
    <w:rsid w:val="00FB5073"/>
    <w:rsid w:val="00FB50D5"/>
    <w:rsid w:val="00FB50F9"/>
    <w:rsid w:val="00FB512D"/>
    <w:rsid w:val="00FB525B"/>
    <w:rsid w:val="00FB5307"/>
    <w:rsid w:val="00FB539D"/>
    <w:rsid w:val="00FB54BC"/>
    <w:rsid w:val="00FB54C1"/>
    <w:rsid w:val="00FB54F8"/>
    <w:rsid w:val="00FB567D"/>
    <w:rsid w:val="00FB569F"/>
    <w:rsid w:val="00FB57DB"/>
    <w:rsid w:val="00FB5803"/>
    <w:rsid w:val="00FB581C"/>
    <w:rsid w:val="00FB589E"/>
    <w:rsid w:val="00FB5936"/>
    <w:rsid w:val="00FB5971"/>
    <w:rsid w:val="00FB5B31"/>
    <w:rsid w:val="00FB5B95"/>
    <w:rsid w:val="00FB5BAA"/>
    <w:rsid w:val="00FB5BEA"/>
    <w:rsid w:val="00FB5C29"/>
    <w:rsid w:val="00FB5C2B"/>
    <w:rsid w:val="00FB5C6F"/>
    <w:rsid w:val="00FB5C73"/>
    <w:rsid w:val="00FB5CDA"/>
    <w:rsid w:val="00FB5CE4"/>
    <w:rsid w:val="00FB5CF7"/>
    <w:rsid w:val="00FB5E80"/>
    <w:rsid w:val="00FB5F75"/>
    <w:rsid w:val="00FB5F95"/>
    <w:rsid w:val="00FB6025"/>
    <w:rsid w:val="00FB6065"/>
    <w:rsid w:val="00FB6080"/>
    <w:rsid w:val="00FB60FD"/>
    <w:rsid w:val="00FB6110"/>
    <w:rsid w:val="00FB612A"/>
    <w:rsid w:val="00FB6191"/>
    <w:rsid w:val="00FB624D"/>
    <w:rsid w:val="00FB6429"/>
    <w:rsid w:val="00FB662B"/>
    <w:rsid w:val="00FB6687"/>
    <w:rsid w:val="00FB66B6"/>
    <w:rsid w:val="00FB6776"/>
    <w:rsid w:val="00FB6799"/>
    <w:rsid w:val="00FB6844"/>
    <w:rsid w:val="00FB6878"/>
    <w:rsid w:val="00FB68BF"/>
    <w:rsid w:val="00FB68E3"/>
    <w:rsid w:val="00FB690E"/>
    <w:rsid w:val="00FB6919"/>
    <w:rsid w:val="00FB691A"/>
    <w:rsid w:val="00FB6959"/>
    <w:rsid w:val="00FB6AFC"/>
    <w:rsid w:val="00FB6BE3"/>
    <w:rsid w:val="00FB6C9D"/>
    <w:rsid w:val="00FB6CE5"/>
    <w:rsid w:val="00FB6D7F"/>
    <w:rsid w:val="00FB6D9C"/>
    <w:rsid w:val="00FB6DEB"/>
    <w:rsid w:val="00FB6E59"/>
    <w:rsid w:val="00FB707F"/>
    <w:rsid w:val="00FB70B9"/>
    <w:rsid w:val="00FB70C3"/>
    <w:rsid w:val="00FB7150"/>
    <w:rsid w:val="00FB71B7"/>
    <w:rsid w:val="00FB71DA"/>
    <w:rsid w:val="00FB71E7"/>
    <w:rsid w:val="00FB7225"/>
    <w:rsid w:val="00FB7271"/>
    <w:rsid w:val="00FB733E"/>
    <w:rsid w:val="00FB73BD"/>
    <w:rsid w:val="00FB74C1"/>
    <w:rsid w:val="00FB7572"/>
    <w:rsid w:val="00FB7748"/>
    <w:rsid w:val="00FB785B"/>
    <w:rsid w:val="00FB78D6"/>
    <w:rsid w:val="00FB7941"/>
    <w:rsid w:val="00FB7971"/>
    <w:rsid w:val="00FB7A0C"/>
    <w:rsid w:val="00FB7AFE"/>
    <w:rsid w:val="00FB7B8E"/>
    <w:rsid w:val="00FB7BFF"/>
    <w:rsid w:val="00FB7D67"/>
    <w:rsid w:val="00FB7D83"/>
    <w:rsid w:val="00FC00BD"/>
    <w:rsid w:val="00FC00E4"/>
    <w:rsid w:val="00FC00FF"/>
    <w:rsid w:val="00FC025C"/>
    <w:rsid w:val="00FC0296"/>
    <w:rsid w:val="00FC0300"/>
    <w:rsid w:val="00FC03C2"/>
    <w:rsid w:val="00FC043B"/>
    <w:rsid w:val="00FC04AF"/>
    <w:rsid w:val="00FC0561"/>
    <w:rsid w:val="00FC062A"/>
    <w:rsid w:val="00FC06EF"/>
    <w:rsid w:val="00FC07A4"/>
    <w:rsid w:val="00FC080A"/>
    <w:rsid w:val="00FC083A"/>
    <w:rsid w:val="00FC0918"/>
    <w:rsid w:val="00FC09E3"/>
    <w:rsid w:val="00FC0B36"/>
    <w:rsid w:val="00FC0CF8"/>
    <w:rsid w:val="00FC0D40"/>
    <w:rsid w:val="00FC0D84"/>
    <w:rsid w:val="00FC0FD7"/>
    <w:rsid w:val="00FC10A5"/>
    <w:rsid w:val="00FC10BF"/>
    <w:rsid w:val="00FC127D"/>
    <w:rsid w:val="00FC1398"/>
    <w:rsid w:val="00FC13F6"/>
    <w:rsid w:val="00FC1408"/>
    <w:rsid w:val="00FC1581"/>
    <w:rsid w:val="00FC167D"/>
    <w:rsid w:val="00FC1680"/>
    <w:rsid w:val="00FC173B"/>
    <w:rsid w:val="00FC1764"/>
    <w:rsid w:val="00FC17E2"/>
    <w:rsid w:val="00FC1915"/>
    <w:rsid w:val="00FC1AAF"/>
    <w:rsid w:val="00FC1AE4"/>
    <w:rsid w:val="00FC1AF3"/>
    <w:rsid w:val="00FC1C14"/>
    <w:rsid w:val="00FC1E9E"/>
    <w:rsid w:val="00FC1F17"/>
    <w:rsid w:val="00FC208F"/>
    <w:rsid w:val="00FC21CD"/>
    <w:rsid w:val="00FC22B1"/>
    <w:rsid w:val="00FC22C6"/>
    <w:rsid w:val="00FC22F4"/>
    <w:rsid w:val="00FC2335"/>
    <w:rsid w:val="00FC23D5"/>
    <w:rsid w:val="00FC2410"/>
    <w:rsid w:val="00FC26EA"/>
    <w:rsid w:val="00FC2707"/>
    <w:rsid w:val="00FC272A"/>
    <w:rsid w:val="00FC272E"/>
    <w:rsid w:val="00FC2746"/>
    <w:rsid w:val="00FC2801"/>
    <w:rsid w:val="00FC2822"/>
    <w:rsid w:val="00FC29A0"/>
    <w:rsid w:val="00FC2A06"/>
    <w:rsid w:val="00FC2AD7"/>
    <w:rsid w:val="00FC2C80"/>
    <w:rsid w:val="00FC2D0C"/>
    <w:rsid w:val="00FC2DBB"/>
    <w:rsid w:val="00FC2DDC"/>
    <w:rsid w:val="00FC2E0F"/>
    <w:rsid w:val="00FC2EC3"/>
    <w:rsid w:val="00FC2F00"/>
    <w:rsid w:val="00FC2F1C"/>
    <w:rsid w:val="00FC2F3F"/>
    <w:rsid w:val="00FC300A"/>
    <w:rsid w:val="00FC30D6"/>
    <w:rsid w:val="00FC3110"/>
    <w:rsid w:val="00FC318B"/>
    <w:rsid w:val="00FC31A7"/>
    <w:rsid w:val="00FC3331"/>
    <w:rsid w:val="00FC347F"/>
    <w:rsid w:val="00FC3603"/>
    <w:rsid w:val="00FC3609"/>
    <w:rsid w:val="00FC3713"/>
    <w:rsid w:val="00FC3756"/>
    <w:rsid w:val="00FC37FD"/>
    <w:rsid w:val="00FC3832"/>
    <w:rsid w:val="00FC38A8"/>
    <w:rsid w:val="00FC39F2"/>
    <w:rsid w:val="00FC3BB8"/>
    <w:rsid w:val="00FC3C2C"/>
    <w:rsid w:val="00FC3D2D"/>
    <w:rsid w:val="00FC3D42"/>
    <w:rsid w:val="00FC3DB4"/>
    <w:rsid w:val="00FC3F6D"/>
    <w:rsid w:val="00FC3F76"/>
    <w:rsid w:val="00FC3F7B"/>
    <w:rsid w:val="00FC4082"/>
    <w:rsid w:val="00FC409A"/>
    <w:rsid w:val="00FC40E4"/>
    <w:rsid w:val="00FC4191"/>
    <w:rsid w:val="00FC4283"/>
    <w:rsid w:val="00FC431A"/>
    <w:rsid w:val="00FC4404"/>
    <w:rsid w:val="00FC44F4"/>
    <w:rsid w:val="00FC4588"/>
    <w:rsid w:val="00FC4595"/>
    <w:rsid w:val="00FC4630"/>
    <w:rsid w:val="00FC4654"/>
    <w:rsid w:val="00FC466D"/>
    <w:rsid w:val="00FC46D0"/>
    <w:rsid w:val="00FC46ED"/>
    <w:rsid w:val="00FC46F9"/>
    <w:rsid w:val="00FC4742"/>
    <w:rsid w:val="00FC48F4"/>
    <w:rsid w:val="00FC4AA6"/>
    <w:rsid w:val="00FC4AFC"/>
    <w:rsid w:val="00FC4B11"/>
    <w:rsid w:val="00FC4B43"/>
    <w:rsid w:val="00FC4BF6"/>
    <w:rsid w:val="00FC4D41"/>
    <w:rsid w:val="00FC4ECD"/>
    <w:rsid w:val="00FC4F25"/>
    <w:rsid w:val="00FC4FAF"/>
    <w:rsid w:val="00FC505B"/>
    <w:rsid w:val="00FC5213"/>
    <w:rsid w:val="00FC5251"/>
    <w:rsid w:val="00FC5294"/>
    <w:rsid w:val="00FC52A8"/>
    <w:rsid w:val="00FC52CC"/>
    <w:rsid w:val="00FC5343"/>
    <w:rsid w:val="00FC53A7"/>
    <w:rsid w:val="00FC53FF"/>
    <w:rsid w:val="00FC5556"/>
    <w:rsid w:val="00FC55DF"/>
    <w:rsid w:val="00FC55FB"/>
    <w:rsid w:val="00FC5624"/>
    <w:rsid w:val="00FC563C"/>
    <w:rsid w:val="00FC5677"/>
    <w:rsid w:val="00FC56E3"/>
    <w:rsid w:val="00FC5731"/>
    <w:rsid w:val="00FC57DE"/>
    <w:rsid w:val="00FC584E"/>
    <w:rsid w:val="00FC5B3B"/>
    <w:rsid w:val="00FC5BB1"/>
    <w:rsid w:val="00FC5BD4"/>
    <w:rsid w:val="00FC5C10"/>
    <w:rsid w:val="00FC5D88"/>
    <w:rsid w:val="00FC5DE7"/>
    <w:rsid w:val="00FC5F32"/>
    <w:rsid w:val="00FC5F9F"/>
    <w:rsid w:val="00FC61C1"/>
    <w:rsid w:val="00FC6243"/>
    <w:rsid w:val="00FC6285"/>
    <w:rsid w:val="00FC62AE"/>
    <w:rsid w:val="00FC62D8"/>
    <w:rsid w:val="00FC6322"/>
    <w:rsid w:val="00FC63D6"/>
    <w:rsid w:val="00FC63FA"/>
    <w:rsid w:val="00FC64A5"/>
    <w:rsid w:val="00FC64D7"/>
    <w:rsid w:val="00FC64F0"/>
    <w:rsid w:val="00FC655A"/>
    <w:rsid w:val="00FC655D"/>
    <w:rsid w:val="00FC657C"/>
    <w:rsid w:val="00FC65DD"/>
    <w:rsid w:val="00FC6614"/>
    <w:rsid w:val="00FC66A8"/>
    <w:rsid w:val="00FC6708"/>
    <w:rsid w:val="00FC671E"/>
    <w:rsid w:val="00FC6739"/>
    <w:rsid w:val="00FC67F5"/>
    <w:rsid w:val="00FC67FB"/>
    <w:rsid w:val="00FC6848"/>
    <w:rsid w:val="00FC684B"/>
    <w:rsid w:val="00FC68F4"/>
    <w:rsid w:val="00FC6A80"/>
    <w:rsid w:val="00FC6B0E"/>
    <w:rsid w:val="00FC6F19"/>
    <w:rsid w:val="00FC6F53"/>
    <w:rsid w:val="00FC700F"/>
    <w:rsid w:val="00FC707B"/>
    <w:rsid w:val="00FC7180"/>
    <w:rsid w:val="00FC718D"/>
    <w:rsid w:val="00FC730E"/>
    <w:rsid w:val="00FC7329"/>
    <w:rsid w:val="00FC73D6"/>
    <w:rsid w:val="00FC74AA"/>
    <w:rsid w:val="00FC74DF"/>
    <w:rsid w:val="00FC751D"/>
    <w:rsid w:val="00FC7569"/>
    <w:rsid w:val="00FC7574"/>
    <w:rsid w:val="00FC7579"/>
    <w:rsid w:val="00FC760A"/>
    <w:rsid w:val="00FC76B5"/>
    <w:rsid w:val="00FC7726"/>
    <w:rsid w:val="00FC7761"/>
    <w:rsid w:val="00FC77E6"/>
    <w:rsid w:val="00FC7965"/>
    <w:rsid w:val="00FC79BA"/>
    <w:rsid w:val="00FC79D3"/>
    <w:rsid w:val="00FC7B48"/>
    <w:rsid w:val="00FC7B78"/>
    <w:rsid w:val="00FC7C17"/>
    <w:rsid w:val="00FC7CBD"/>
    <w:rsid w:val="00FC7DF9"/>
    <w:rsid w:val="00FC7E05"/>
    <w:rsid w:val="00FC7E40"/>
    <w:rsid w:val="00FD00B5"/>
    <w:rsid w:val="00FD00E0"/>
    <w:rsid w:val="00FD01B6"/>
    <w:rsid w:val="00FD021B"/>
    <w:rsid w:val="00FD0227"/>
    <w:rsid w:val="00FD0256"/>
    <w:rsid w:val="00FD02D4"/>
    <w:rsid w:val="00FD033F"/>
    <w:rsid w:val="00FD0369"/>
    <w:rsid w:val="00FD037E"/>
    <w:rsid w:val="00FD03AF"/>
    <w:rsid w:val="00FD03E3"/>
    <w:rsid w:val="00FD04FC"/>
    <w:rsid w:val="00FD0556"/>
    <w:rsid w:val="00FD0580"/>
    <w:rsid w:val="00FD0632"/>
    <w:rsid w:val="00FD06AE"/>
    <w:rsid w:val="00FD06D5"/>
    <w:rsid w:val="00FD06E9"/>
    <w:rsid w:val="00FD075F"/>
    <w:rsid w:val="00FD08DC"/>
    <w:rsid w:val="00FD0927"/>
    <w:rsid w:val="00FD0943"/>
    <w:rsid w:val="00FD09CC"/>
    <w:rsid w:val="00FD0B53"/>
    <w:rsid w:val="00FD0D04"/>
    <w:rsid w:val="00FD0DD4"/>
    <w:rsid w:val="00FD0E8D"/>
    <w:rsid w:val="00FD0F50"/>
    <w:rsid w:val="00FD0F80"/>
    <w:rsid w:val="00FD0FA6"/>
    <w:rsid w:val="00FD0FEC"/>
    <w:rsid w:val="00FD10BD"/>
    <w:rsid w:val="00FD10C9"/>
    <w:rsid w:val="00FD1220"/>
    <w:rsid w:val="00FD1436"/>
    <w:rsid w:val="00FD146A"/>
    <w:rsid w:val="00FD14A8"/>
    <w:rsid w:val="00FD1656"/>
    <w:rsid w:val="00FD17A2"/>
    <w:rsid w:val="00FD1939"/>
    <w:rsid w:val="00FD1A40"/>
    <w:rsid w:val="00FD1B7C"/>
    <w:rsid w:val="00FD1BA7"/>
    <w:rsid w:val="00FD1C73"/>
    <w:rsid w:val="00FD1CCC"/>
    <w:rsid w:val="00FD1D04"/>
    <w:rsid w:val="00FD1DD0"/>
    <w:rsid w:val="00FD1E0F"/>
    <w:rsid w:val="00FD1E9F"/>
    <w:rsid w:val="00FD1F27"/>
    <w:rsid w:val="00FD1FAF"/>
    <w:rsid w:val="00FD1FC4"/>
    <w:rsid w:val="00FD1FE1"/>
    <w:rsid w:val="00FD2021"/>
    <w:rsid w:val="00FD2127"/>
    <w:rsid w:val="00FD2146"/>
    <w:rsid w:val="00FD215B"/>
    <w:rsid w:val="00FD2175"/>
    <w:rsid w:val="00FD2188"/>
    <w:rsid w:val="00FD2189"/>
    <w:rsid w:val="00FD2373"/>
    <w:rsid w:val="00FD23B7"/>
    <w:rsid w:val="00FD23EA"/>
    <w:rsid w:val="00FD24BC"/>
    <w:rsid w:val="00FD2522"/>
    <w:rsid w:val="00FD25AF"/>
    <w:rsid w:val="00FD25D5"/>
    <w:rsid w:val="00FD275B"/>
    <w:rsid w:val="00FD2783"/>
    <w:rsid w:val="00FD27B1"/>
    <w:rsid w:val="00FD2849"/>
    <w:rsid w:val="00FD29BB"/>
    <w:rsid w:val="00FD2A48"/>
    <w:rsid w:val="00FD2A8C"/>
    <w:rsid w:val="00FD2C0D"/>
    <w:rsid w:val="00FD2C69"/>
    <w:rsid w:val="00FD2E64"/>
    <w:rsid w:val="00FD2EE2"/>
    <w:rsid w:val="00FD2F47"/>
    <w:rsid w:val="00FD2FDE"/>
    <w:rsid w:val="00FD3001"/>
    <w:rsid w:val="00FD3183"/>
    <w:rsid w:val="00FD338D"/>
    <w:rsid w:val="00FD346E"/>
    <w:rsid w:val="00FD34A8"/>
    <w:rsid w:val="00FD3507"/>
    <w:rsid w:val="00FD35BA"/>
    <w:rsid w:val="00FD361A"/>
    <w:rsid w:val="00FD3682"/>
    <w:rsid w:val="00FD36F3"/>
    <w:rsid w:val="00FD36FA"/>
    <w:rsid w:val="00FD3750"/>
    <w:rsid w:val="00FD380F"/>
    <w:rsid w:val="00FD3812"/>
    <w:rsid w:val="00FD384E"/>
    <w:rsid w:val="00FD3919"/>
    <w:rsid w:val="00FD3947"/>
    <w:rsid w:val="00FD39BD"/>
    <w:rsid w:val="00FD3A94"/>
    <w:rsid w:val="00FD3B09"/>
    <w:rsid w:val="00FD3BF7"/>
    <w:rsid w:val="00FD3C67"/>
    <w:rsid w:val="00FD3CBC"/>
    <w:rsid w:val="00FD3CC7"/>
    <w:rsid w:val="00FD3DA2"/>
    <w:rsid w:val="00FD3DEA"/>
    <w:rsid w:val="00FD3E48"/>
    <w:rsid w:val="00FD3E5E"/>
    <w:rsid w:val="00FD3FF4"/>
    <w:rsid w:val="00FD404D"/>
    <w:rsid w:val="00FD4055"/>
    <w:rsid w:val="00FD4068"/>
    <w:rsid w:val="00FD4084"/>
    <w:rsid w:val="00FD4131"/>
    <w:rsid w:val="00FD41D7"/>
    <w:rsid w:val="00FD4208"/>
    <w:rsid w:val="00FD431B"/>
    <w:rsid w:val="00FD4364"/>
    <w:rsid w:val="00FD43DE"/>
    <w:rsid w:val="00FD4442"/>
    <w:rsid w:val="00FD4468"/>
    <w:rsid w:val="00FD4539"/>
    <w:rsid w:val="00FD454F"/>
    <w:rsid w:val="00FD4560"/>
    <w:rsid w:val="00FD4590"/>
    <w:rsid w:val="00FD45AF"/>
    <w:rsid w:val="00FD4626"/>
    <w:rsid w:val="00FD470B"/>
    <w:rsid w:val="00FD4861"/>
    <w:rsid w:val="00FD48AA"/>
    <w:rsid w:val="00FD4917"/>
    <w:rsid w:val="00FD4935"/>
    <w:rsid w:val="00FD49A6"/>
    <w:rsid w:val="00FD4A74"/>
    <w:rsid w:val="00FD4A9E"/>
    <w:rsid w:val="00FD4AE8"/>
    <w:rsid w:val="00FD4B01"/>
    <w:rsid w:val="00FD4B5C"/>
    <w:rsid w:val="00FD4C3C"/>
    <w:rsid w:val="00FD4C7A"/>
    <w:rsid w:val="00FD4DB5"/>
    <w:rsid w:val="00FD4E11"/>
    <w:rsid w:val="00FD4ED4"/>
    <w:rsid w:val="00FD4F1F"/>
    <w:rsid w:val="00FD4F86"/>
    <w:rsid w:val="00FD50A8"/>
    <w:rsid w:val="00FD50E7"/>
    <w:rsid w:val="00FD5122"/>
    <w:rsid w:val="00FD5210"/>
    <w:rsid w:val="00FD5217"/>
    <w:rsid w:val="00FD527D"/>
    <w:rsid w:val="00FD52F5"/>
    <w:rsid w:val="00FD5486"/>
    <w:rsid w:val="00FD54BF"/>
    <w:rsid w:val="00FD54E6"/>
    <w:rsid w:val="00FD558C"/>
    <w:rsid w:val="00FD576C"/>
    <w:rsid w:val="00FD577C"/>
    <w:rsid w:val="00FD5830"/>
    <w:rsid w:val="00FD597C"/>
    <w:rsid w:val="00FD5ABB"/>
    <w:rsid w:val="00FD5AF6"/>
    <w:rsid w:val="00FD5B45"/>
    <w:rsid w:val="00FD5BBF"/>
    <w:rsid w:val="00FD5BC1"/>
    <w:rsid w:val="00FD5BEA"/>
    <w:rsid w:val="00FD5C0D"/>
    <w:rsid w:val="00FD5CA4"/>
    <w:rsid w:val="00FD5DC9"/>
    <w:rsid w:val="00FD5E80"/>
    <w:rsid w:val="00FD5F00"/>
    <w:rsid w:val="00FD5F0E"/>
    <w:rsid w:val="00FD5F4D"/>
    <w:rsid w:val="00FD6034"/>
    <w:rsid w:val="00FD607F"/>
    <w:rsid w:val="00FD6177"/>
    <w:rsid w:val="00FD6251"/>
    <w:rsid w:val="00FD62ED"/>
    <w:rsid w:val="00FD63B3"/>
    <w:rsid w:val="00FD64B6"/>
    <w:rsid w:val="00FD65AC"/>
    <w:rsid w:val="00FD65CC"/>
    <w:rsid w:val="00FD66AB"/>
    <w:rsid w:val="00FD6729"/>
    <w:rsid w:val="00FD67D3"/>
    <w:rsid w:val="00FD6811"/>
    <w:rsid w:val="00FD6847"/>
    <w:rsid w:val="00FD6868"/>
    <w:rsid w:val="00FD6889"/>
    <w:rsid w:val="00FD688F"/>
    <w:rsid w:val="00FD68FB"/>
    <w:rsid w:val="00FD6903"/>
    <w:rsid w:val="00FD698C"/>
    <w:rsid w:val="00FD69A2"/>
    <w:rsid w:val="00FD69E1"/>
    <w:rsid w:val="00FD6A1C"/>
    <w:rsid w:val="00FD6B6B"/>
    <w:rsid w:val="00FD6C2F"/>
    <w:rsid w:val="00FD6C39"/>
    <w:rsid w:val="00FD6C41"/>
    <w:rsid w:val="00FD6C96"/>
    <w:rsid w:val="00FD6D61"/>
    <w:rsid w:val="00FD6E54"/>
    <w:rsid w:val="00FD6E5B"/>
    <w:rsid w:val="00FD6E78"/>
    <w:rsid w:val="00FD6E81"/>
    <w:rsid w:val="00FD6F09"/>
    <w:rsid w:val="00FD706A"/>
    <w:rsid w:val="00FD7180"/>
    <w:rsid w:val="00FD71BC"/>
    <w:rsid w:val="00FD72DC"/>
    <w:rsid w:val="00FD731B"/>
    <w:rsid w:val="00FD740B"/>
    <w:rsid w:val="00FD752F"/>
    <w:rsid w:val="00FD777C"/>
    <w:rsid w:val="00FD7970"/>
    <w:rsid w:val="00FD79DA"/>
    <w:rsid w:val="00FD7A1C"/>
    <w:rsid w:val="00FD7B2D"/>
    <w:rsid w:val="00FD7BBB"/>
    <w:rsid w:val="00FD7C13"/>
    <w:rsid w:val="00FD7C18"/>
    <w:rsid w:val="00FD7C56"/>
    <w:rsid w:val="00FD7CAD"/>
    <w:rsid w:val="00FD7D1A"/>
    <w:rsid w:val="00FD7D30"/>
    <w:rsid w:val="00FD7D3C"/>
    <w:rsid w:val="00FD7E36"/>
    <w:rsid w:val="00FD7EA1"/>
    <w:rsid w:val="00FD7EAA"/>
    <w:rsid w:val="00FD7EFF"/>
    <w:rsid w:val="00FE0033"/>
    <w:rsid w:val="00FE01F1"/>
    <w:rsid w:val="00FE0232"/>
    <w:rsid w:val="00FE0275"/>
    <w:rsid w:val="00FE0298"/>
    <w:rsid w:val="00FE02C6"/>
    <w:rsid w:val="00FE02F5"/>
    <w:rsid w:val="00FE0313"/>
    <w:rsid w:val="00FE0331"/>
    <w:rsid w:val="00FE03A3"/>
    <w:rsid w:val="00FE03F8"/>
    <w:rsid w:val="00FE0468"/>
    <w:rsid w:val="00FE060F"/>
    <w:rsid w:val="00FE06F2"/>
    <w:rsid w:val="00FE073E"/>
    <w:rsid w:val="00FE0830"/>
    <w:rsid w:val="00FE083F"/>
    <w:rsid w:val="00FE084F"/>
    <w:rsid w:val="00FE08ED"/>
    <w:rsid w:val="00FE0916"/>
    <w:rsid w:val="00FE098C"/>
    <w:rsid w:val="00FE09BF"/>
    <w:rsid w:val="00FE09F0"/>
    <w:rsid w:val="00FE0A62"/>
    <w:rsid w:val="00FE0AD4"/>
    <w:rsid w:val="00FE0B0D"/>
    <w:rsid w:val="00FE0D31"/>
    <w:rsid w:val="00FE0D32"/>
    <w:rsid w:val="00FE0D76"/>
    <w:rsid w:val="00FE0E15"/>
    <w:rsid w:val="00FE0E20"/>
    <w:rsid w:val="00FE0F06"/>
    <w:rsid w:val="00FE0FC7"/>
    <w:rsid w:val="00FE100E"/>
    <w:rsid w:val="00FE10C0"/>
    <w:rsid w:val="00FE10EE"/>
    <w:rsid w:val="00FE114F"/>
    <w:rsid w:val="00FE11B9"/>
    <w:rsid w:val="00FE1275"/>
    <w:rsid w:val="00FE1337"/>
    <w:rsid w:val="00FE1400"/>
    <w:rsid w:val="00FE1463"/>
    <w:rsid w:val="00FE152D"/>
    <w:rsid w:val="00FE154C"/>
    <w:rsid w:val="00FE1614"/>
    <w:rsid w:val="00FE1668"/>
    <w:rsid w:val="00FE16A1"/>
    <w:rsid w:val="00FE1740"/>
    <w:rsid w:val="00FE1812"/>
    <w:rsid w:val="00FE1898"/>
    <w:rsid w:val="00FE191D"/>
    <w:rsid w:val="00FE19C9"/>
    <w:rsid w:val="00FE1B0C"/>
    <w:rsid w:val="00FE1B35"/>
    <w:rsid w:val="00FE1BC2"/>
    <w:rsid w:val="00FE1BC8"/>
    <w:rsid w:val="00FE1C78"/>
    <w:rsid w:val="00FE1CB4"/>
    <w:rsid w:val="00FE1D83"/>
    <w:rsid w:val="00FE1DCF"/>
    <w:rsid w:val="00FE1E34"/>
    <w:rsid w:val="00FE1E56"/>
    <w:rsid w:val="00FE1E70"/>
    <w:rsid w:val="00FE1E7A"/>
    <w:rsid w:val="00FE1EC2"/>
    <w:rsid w:val="00FE1ECF"/>
    <w:rsid w:val="00FE2021"/>
    <w:rsid w:val="00FE2071"/>
    <w:rsid w:val="00FE21E9"/>
    <w:rsid w:val="00FE21F6"/>
    <w:rsid w:val="00FE2261"/>
    <w:rsid w:val="00FE229C"/>
    <w:rsid w:val="00FE22D5"/>
    <w:rsid w:val="00FE2334"/>
    <w:rsid w:val="00FE234C"/>
    <w:rsid w:val="00FE23DD"/>
    <w:rsid w:val="00FE2447"/>
    <w:rsid w:val="00FE24EB"/>
    <w:rsid w:val="00FE250B"/>
    <w:rsid w:val="00FE25A0"/>
    <w:rsid w:val="00FE2604"/>
    <w:rsid w:val="00FE26A1"/>
    <w:rsid w:val="00FE2762"/>
    <w:rsid w:val="00FE27A1"/>
    <w:rsid w:val="00FE27A3"/>
    <w:rsid w:val="00FE2936"/>
    <w:rsid w:val="00FE297A"/>
    <w:rsid w:val="00FE29E4"/>
    <w:rsid w:val="00FE2A92"/>
    <w:rsid w:val="00FE2AE2"/>
    <w:rsid w:val="00FE2B26"/>
    <w:rsid w:val="00FE2B4F"/>
    <w:rsid w:val="00FE2B9E"/>
    <w:rsid w:val="00FE2C10"/>
    <w:rsid w:val="00FE2D7C"/>
    <w:rsid w:val="00FE2E16"/>
    <w:rsid w:val="00FE2E22"/>
    <w:rsid w:val="00FE2EC3"/>
    <w:rsid w:val="00FE2EFE"/>
    <w:rsid w:val="00FE2F0D"/>
    <w:rsid w:val="00FE300F"/>
    <w:rsid w:val="00FE319B"/>
    <w:rsid w:val="00FE3337"/>
    <w:rsid w:val="00FE33DA"/>
    <w:rsid w:val="00FE33E4"/>
    <w:rsid w:val="00FE3549"/>
    <w:rsid w:val="00FE3639"/>
    <w:rsid w:val="00FE3642"/>
    <w:rsid w:val="00FE3690"/>
    <w:rsid w:val="00FE36D6"/>
    <w:rsid w:val="00FE36E5"/>
    <w:rsid w:val="00FE3852"/>
    <w:rsid w:val="00FE3888"/>
    <w:rsid w:val="00FE3917"/>
    <w:rsid w:val="00FE3A38"/>
    <w:rsid w:val="00FE3A61"/>
    <w:rsid w:val="00FE3A64"/>
    <w:rsid w:val="00FE3AC4"/>
    <w:rsid w:val="00FE3B2D"/>
    <w:rsid w:val="00FE3BBA"/>
    <w:rsid w:val="00FE3BDD"/>
    <w:rsid w:val="00FE3C29"/>
    <w:rsid w:val="00FE3E2F"/>
    <w:rsid w:val="00FE3F9A"/>
    <w:rsid w:val="00FE41F7"/>
    <w:rsid w:val="00FE4299"/>
    <w:rsid w:val="00FE436A"/>
    <w:rsid w:val="00FE4455"/>
    <w:rsid w:val="00FE4539"/>
    <w:rsid w:val="00FE4590"/>
    <w:rsid w:val="00FE45B7"/>
    <w:rsid w:val="00FE468B"/>
    <w:rsid w:val="00FE46D1"/>
    <w:rsid w:val="00FE47D4"/>
    <w:rsid w:val="00FE4811"/>
    <w:rsid w:val="00FE499B"/>
    <w:rsid w:val="00FE49A3"/>
    <w:rsid w:val="00FE4A7E"/>
    <w:rsid w:val="00FE4C5E"/>
    <w:rsid w:val="00FE4D00"/>
    <w:rsid w:val="00FE4D21"/>
    <w:rsid w:val="00FE4DA8"/>
    <w:rsid w:val="00FE4F45"/>
    <w:rsid w:val="00FE4FC6"/>
    <w:rsid w:val="00FE4FC9"/>
    <w:rsid w:val="00FE4FDE"/>
    <w:rsid w:val="00FE50C2"/>
    <w:rsid w:val="00FE512F"/>
    <w:rsid w:val="00FE527C"/>
    <w:rsid w:val="00FE5317"/>
    <w:rsid w:val="00FE5336"/>
    <w:rsid w:val="00FE5368"/>
    <w:rsid w:val="00FE5456"/>
    <w:rsid w:val="00FE54B6"/>
    <w:rsid w:val="00FE553A"/>
    <w:rsid w:val="00FE560B"/>
    <w:rsid w:val="00FE5622"/>
    <w:rsid w:val="00FE56FB"/>
    <w:rsid w:val="00FE5793"/>
    <w:rsid w:val="00FE5809"/>
    <w:rsid w:val="00FE58AB"/>
    <w:rsid w:val="00FE58F4"/>
    <w:rsid w:val="00FE5919"/>
    <w:rsid w:val="00FE5963"/>
    <w:rsid w:val="00FE5A1C"/>
    <w:rsid w:val="00FE5A3F"/>
    <w:rsid w:val="00FE5AD5"/>
    <w:rsid w:val="00FE5AE8"/>
    <w:rsid w:val="00FE5B84"/>
    <w:rsid w:val="00FE5CFD"/>
    <w:rsid w:val="00FE5D2A"/>
    <w:rsid w:val="00FE5E2F"/>
    <w:rsid w:val="00FE5EB2"/>
    <w:rsid w:val="00FE5F2B"/>
    <w:rsid w:val="00FE60D6"/>
    <w:rsid w:val="00FE630B"/>
    <w:rsid w:val="00FE630E"/>
    <w:rsid w:val="00FE6330"/>
    <w:rsid w:val="00FE645B"/>
    <w:rsid w:val="00FE65C3"/>
    <w:rsid w:val="00FE685D"/>
    <w:rsid w:val="00FE68C7"/>
    <w:rsid w:val="00FE68F2"/>
    <w:rsid w:val="00FE69A1"/>
    <w:rsid w:val="00FE6A0A"/>
    <w:rsid w:val="00FE6A0E"/>
    <w:rsid w:val="00FE6B0C"/>
    <w:rsid w:val="00FE6B97"/>
    <w:rsid w:val="00FE6C73"/>
    <w:rsid w:val="00FE6CA0"/>
    <w:rsid w:val="00FE6D69"/>
    <w:rsid w:val="00FE6DDC"/>
    <w:rsid w:val="00FE6ECF"/>
    <w:rsid w:val="00FE6F4E"/>
    <w:rsid w:val="00FE7003"/>
    <w:rsid w:val="00FE7097"/>
    <w:rsid w:val="00FE70A5"/>
    <w:rsid w:val="00FE7149"/>
    <w:rsid w:val="00FE725C"/>
    <w:rsid w:val="00FE725D"/>
    <w:rsid w:val="00FE72E9"/>
    <w:rsid w:val="00FE730B"/>
    <w:rsid w:val="00FE73AB"/>
    <w:rsid w:val="00FE7414"/>
    <w:rsid w:val="00FE74B6"/>
    <w:rsid w:val="00FE74DC"/>
    <w:rsid w:val="00FE758A"/>
    <w:rsid w:val="00FE776A"/>
    <w:rsid w:val="00FE77C7"/>
    <w:rsid w:val="00FE7830"/>
    <w:rsid w:val="00FE78AB"/>
    <w:rsid w:val="00FE7A7B"/>
    <w:rsid w:val="00FE7AD8"/>
    <w:rsid w:val="00FE7B4F"/>
    <w:rsid w:val="00FE7B90"/>
    <w:rsid w:val="00FE7BB3"/>
    <w:rsid w:val="00FE7BCA"/>
    <w:rsid w:val="00FE7DF7"/>
    <w:rsid w:val="00FE7E07"/>
    <w:rsid w:val="00FE7E13"/>
    <w:rsid w:val="00FE7FA1"/>
    <w:rsid w:val="00FF000D"/>
    <w:rsid w:val="00FF008F"/>
    <w:rsid w:val="00FF011B"/>
    <w:rsid w:val="00FF0150"/>
    <w:rsid w:val="00FF0164"/>
    <w:rsid w:val="00FF018A"/>
    <w:rsid w:val="00FF0259"/>
    <w:rsid w:val="00FF0263"/>
    <w:rsid w:val="00FF03EC"/>
    <w:rsid w:val="00FF0476"/>
    <w:rsid w:val="00FF04A1"/>
    <w:rsid w:val="00FF05E9"/>
    <w:rsid w:val="00FF0647"/>
    <w:rsid w:val="00FF0687"/>
    <w:rsid w:val="00FF06F4"/>
    <w:rsid w:val="00FF0808"/>
    <w:rsid w:val="00FF0A56"/>
    <w:rsid w:val="00FF0BD0"/>
    <w:rsid w:val="00FF0D05"/>
    <w:rsid w:val="00FF0D22"/>
    <w:rsid w:val="00FF0DE4"/>
    <w:rsid w:val="00FF0E45"/>
    <w:rsid w:val="00FF0ED0"/>
    <w:rsid w:val="00FF0EF4"/>
    <w:rsid w:val="00FF0F19"/>
    <w:rsid w:val="00FF0F3C"/>
    <w:rsid w:val="00FF0FE3"/>
    <w:rsid w:val="00FF102F"/>
    <w:rsid w:val="00FF115B"/>
    <w:rsid w:val="00FF1203"/>
    <w:rsid w:val="00FF1212"/>
    <w:rsid w:val="00FF1357"/>
    <w:rsid w:val="00FF13E6"/>
    <w:rsid w:val="00FF1409"/>
    <w:rsid w:val="00FF14A2"/>
    <w:rsid w:val="00FF14AE"/>
    <w:rsid w:val="00FF14D2"/>
    <w:rsid w:val="00FF14D4"/>
    <w:rsid w:val="00FF14FB"/>
    <w:rsid w:val="00FF1540"/>
    <w:rsid w:val="00FF1612"/>
    <w:rsid w:val="00FF1640"/>
    <w:rsid w:val="00FF16B3"/>
    <w:rsid w:val="00FF16E3"/>
    <w:rsid w:val="00FF1712"/>
    <w:rsid w:val="00FF1788"/>
    <w:rsid w:val="00FF187B"/>
    <w:rsid w:val="00FF18C9"/>
    <w:rsid w:val="00FF18FC"/>
    <w:rsid w:val="00FF1912"/>
    <w:rsid w:val="00FF1983"/>
    <w:rsid w:val="00FF1B19"/>
    <w:rsid w:val="00FF1B26"/>
    <w:rsid w:val="00FF1B2A"/>
    <w:rsid w:val="00FF1BCD"/>
    <w:rsid w:val="00FF1BD2"/>
    <w:rsid w:val="00FF1C62"/>
    <w:rsid w:val="00FF1CEE"/>
    <w:rsid w:val="00FF1DF6"/>
    <w:rsid w:val="00FF1EB1"/>
    <w:rsid w:val="00FF1ED3"/>
    <w:rsid w:val="00FF1FC0"/>
    <w:rsid w:val="00FF2164"/>
    <w:rsid w:val="00FF22AC"/>
    <w:rsid w:val="00FF2372"/>
    <w:rsid w:val="00FF24B3"/>
    <w:rsid w:val="00FF24BE"/>
    <w:rsid w:val="00FF25FC"/>
    <w:rsid w:val="00FF2652"/>
    <w:rsid w:val="00FF2681"/>
    <w:rsid w:val="00FF2710"/>
    <w:rsid w:val="00FF27BC"/>
    <w:rsid w:val="00FF27EF"/>
    <w:rsid w:val="00FF28AB"/>
    <w:rsid w:val="00FF292E"/>
    <w:rsid w:val="00FF2A12"/>
    <w:rsid w:val="00FF2A7C"/>
    <w:rsid w:val="00FF2A99"/>
    <w:rsid w:val="00FF2BBA"/>
    <w:rsid w:val="00FF2CD7"/>
    <w:rsid w:val="00FF2D78"/>
    <w:rsid w:val="00FF2DB7"/>
    <w:rsid w:val="00FF2E35"/>
    <w:rsid w:val="00FF2FB9"/>
    <w:rsid w:val="00FF3043"/>
    <w:rsid w:val="00FF3099"/>
    <w:rsid w:val="00FF3101"/>
    <w:rsid w:val="00FF3118"/>
    <w:rsid w:val="00FF3127"/>
    <w:rsid w:val="00FF31F2"/>
    <w:rsid w:val="00FF324C"/>
    <w:rsid w:val="00FF336E"/>
    <w:rsid w:val="00FF33F7"/>
    <w:rsid w:val="00FF3425"/>
    <w:rsid w:val="00FF34CD"/>
    <w:rsid w:val="00FF359E"/>
    <w:rsid w:val="00FF35E0"/>
    <w:rsid w:val="00FF3735"/>
    <w:rsid w:val="00FF3750"/>
    <w:rsid w:val="00FF381E"/>
    <w:rsid w:val="00FF381F"/>
    <w:rsid w:val="00FF38C1"/>
    <w:rsid w:val="00FF39A7"/>
    <w:rsid w:val="00FF3A09"/>
    <w:rsid w:val="00FF3A3F"/>
    <w:rsid w:val="00FF3A52"/>
    <w:rsid w:val="00FF3A7F"/>
    <w:rsid w:val="00FF3A84"/>
    <w:rsid w:val="00FF3A8C"/>
    <w:rsid w:val="00FF3BAB"/>
    <w:rsid w:val="00FF3BE9"/>
    <w:rsid w:val="00FF3C04"/>
    <w:rsid w:val="00FF3DC3"/>
    <w:rsid w:val="00FF3DCD"/>
    <w:rsid w:val="00FF3E2A"/>
    <w:rsid w:val="00FF3F1F"/>
    <w:rsid w:val="00FF4009"/>
    <w:rsid w:val="00FF402B"/>
    <w:rsid w:val="00FF4088"/>
    <w:rsid w:val="00FF417D"/>
    <w:rsid w:val="00FF41CD"/>
    <w:rsid w:val="00FF4256"/>
    <w:rsid w:val="00FF4278"/>
    <w:rsid w:val="00FF4374"/>
    <w:rsid w:val="00FF43AD"/>
    <w:rsid w:val="00FF446E"/>
    <w:rsid w:val="00FF4479"/>
    <w:rsid w:val="00FF458D"/>
    <w:rsid w:val="00FF45A4"/>
    <w:rsid w:val="00FF45A6"/>
    <w:rsid w:val="00FF45C1"/>
    <w:rsid w:val="00FF45F1"/>
    <w:rsid w:val="00FF4680"/>
    <w:rsid w:val="00FF4684"/>
    <w:rsid w:val="00FF46C1"/>
    <w:rsid w:val="00FF4720"/>
    <w:rsid w:val="00FF4725"/>
    <w:rsid w:val="00FF47DB"/>
    <w:rsid w:val="00FF482C"/>
    <w:rsid w:val="00FF4A4B"/>
    <w:rsid w:val="00FF4A92"/>
    <w:rsid w:val="00FF4AB6"/>
    <w:rsid w:val="00FF4BE4"/>
    <w:rsid w:val="00FF4CCF"/>
    <w:rsid w:val="00FF4E09"/>
    <w:rsid w:val="00FF4ED9"/>
    <w:rsid w:val="00FF4EEE"/>
    <w:rsid w:val="00FF4FA1"/>
    <w:rsid w:val="00FF4FFC"/>
    <w:rsid w:val="00FF5017"/>
    <w:rsid w:val="00FF50A8"/>
    <w:rsid w:val="00FF50B2"/>
    <w:rsid w:val="00FF519B"/>
    <w:rsid w:val="00FF5397"/>
    <w:rsid w:val="00FF53BD"/>
    <w:rsid w:val="00FF53BE"/>
    <w:rsid w:val="00FF53F2"/>
    <w:rsid w:val="00FF54BE"/>
    <w:rsid w:val="00FF54DA"/>
    <w:rsid w:val="00FF54E8"/>
    <w:rsid w:val="00FF5529"/>
    <w:rsid w:val="00FF556E"/>
    <w:rsid w:val="00FF57BA"/>
    <w:rsid w:val="00FF582A"/>
    <w:rsid w:val="00FF58F6"/>
    <w:rsid w:val="00FF590B"/>
    <w:rsid w:val="00FF5A20"/>
    <w:rsid w:val="00FF5AA7"/>
    <w:rsid w:val="00FF5AE9"/>
    <w:rsid w:val="00FF5B02"/>
    <w:rsid w:val="00FF5B24"/>
    <w:rsid w:val="00FF5B48"/>
    <w:rsid w:val="00FF5B6B"/>
    <w:rsid w:val="00FF5D7D"/>
    <w:rsid w:val="00FF5E07"/>
    <w:rsid w:val="00FF5E11"/>
    <w:rsid w:val="00FF5E22"/>
    <w:rsid w:val="00FF5FF1"/>
    <w:rsid w:val="00FF6049"/>
    <w:rsid w:val="00FF6051"/>
    <w:rsid w:val="00FF60B8"/>
    <w:rsid w:val="00FF60C5"/>
    <w:rsid w:val="00FF62A2"/>
    <w:rsid w:val="00FF635F"/>
    <w:rsid w:val="00FF6364"/>
    <w:rsid w:val="00FF63C2"/>
    <w:rsid w:val="00FF63D7"/>
    <w:rsid w:val="00FF6480"/>
    <w:rsid w:val="00FF660E"/>
    <w:rsid w:val="00FF6736"/>
    <w:rsid w:val="00FF67A9"/>
    <w:rsid w:val="00FF67F3"/>
    <w:rsid w:val="00FF68F9"/>
    <w:rsid w:val="00FF6983"/>
    <w:rsid w:val="00FF6A13"/>
    <w:rsid w:val="00FF6A2C"/>
    <w:rsid w:val="00FF6ADE"/>
    <w:rsid w:val="00FF6BFD"/>
    <w:rsid w:val="00FF6CBD"/>
    <w:rsid w:val="00FF6CE6"/>
    <w:rsid w:val="00FF6D2E"/>
    <w:rsid w:val="00FF6DE3"/>
    <w:rsid w:val="00FF6E1B"/>
    <w:rsid w:val="00FF6E33"/>
    <w:rsid w:val="00FF6E57"/>
    <w:rsid w:val="00FF6EC6"/>
    <w:rsid w:val="00FF6F69"/>
    <w:rsid w:val="00FF7270"/>
    <w:rsid w:val="00FF72A5"/>
    <w:rsid w:val="00FF7333"/>
    <w:rsid w:val="00FF73D0"/>
    <w:rsid w:val="00FF7481"/>
    <w:rsid w:val="00FF7589"/>
    <w:rsid w:val="00FF768F"/>
    <w:rsid w:val="00FF7698"/>
    <w:rsid w:val="00FF77F0"/>
    <w:rsid w:val="00FF783E"/>
    <w:rsid w:val="00FF7A7F"/>
    <w:rsid w:val="00FF7D89"/>
    <w:rsid w:val="00FF7DEA"/>
    <w:rsid w:val="00FF7E1A"/>
    <w:rsid w:val="00FF7E81"/>
    <w:rsid w:val="00FF7F9C"/>
    <w:rsid w:val="00FF7FA1"/>
    <w:rsid w:val="00FF7FC1"/>
    <w:rsid w:val="0105EC22"/>
    <w:rsid w:val="010A0BC7"/>
    <w:rsid w:val="010FA7E5"/>
    <w:rsid w:val="011211E9"/>
    <w:rsid w:val="0116EB49"/>
    <w:rsid w:val="0118C491"/>
    <w:rsid w:val="0118F4FF"/>
    <w:rsid w:val="011A8B10"/>
    <w:rsid w:val="011C7E13"/>
    <w:rsid w:val="011D8DB0"/>
    <w:rsid w:val="01215D1C"/>
    <w:rsid w:val="0127A5B3"/>
    <w:rsid w:val="012C5B28"/>
    <w:rsid w:val="01317100"/>
    <w:rsid w:val="01346AAD"/>
    <w:rsid w:val="0136CA55"/>
    <w:rsid w:val="01388138"/>
    <w:rsid w:val="0139974B"/>
    <w:rsid w:val="013A5C2C"/>
    <w:rsid w:val="014931DB"/>
    <w:rsid w:val="015179BE"/>
    <w:rsid w:val="0151F19B"/>
    <w:rsid w:val="015352CC"/>
    <w:rsid w:val="01561AA2"/>
    <w:rsid w:val="015766FF"/>
    <w:rsid w:val="0162CB1C"/>
    <w:rsid w:val="01655A56"/>
    <w:rsid w:val="0166B200"/>
    <w:rsid w:val="0168EBF6"/>
    <w:rsid w:val="0169D687"/>
    <w:rsid w:val="016A5402"/>
    <w:rsid w:val="016BEA51"/>
    <w:rsid w:val="01709F60"/>
    <w:rsid w:val="0172126C"/>
    <w:rsid w:val="0174DF64"/>
    <w:rsid w:val="017DE5E5"/>
    <w:rsid w:val="017F9902"/>
    <w:rsid w:val="01811FF0"/>
    <w:rsid w:val="01829188"/>
    <w:rsid w:val="01848816"/>
    <w:rsid w:val="01876D63"/>
    <w:rsid w:val="0188119E"/>
    <w:rsid w:val="018890FD"/>
    <w:rsid w:val="01894BFC"/>
    <w:rsid w:val="018D5443"/>
    <w:rsid w:val="018E3E63"/>
    <w:rsid w:val="019317F9"/>
    <w:rsid w:val="019403B2"/>
    <w:rsid w:val="0194B5B7"/>
    <w:rsid w:val="0194C4DC"/>
    <w:rsid w:val="01982785"/>
    <w:rsid w:val="019ACC57"/>
    <w:rsid w:val="019AD900"/>
    <w:rsid w:val="019E743E"/>
    <w:rsid w:val="01A26AD9"/>
    <w:rsid w:val="01A286F9"/>
    <w:rsid w:val="01A3E3B7"/>
    <w:rsid w:val="01A62F84"/>
    <w:rsid w:val="01A8C376"/>
    <w:rsid w:val="01AB31B3"/>
    <w:rsid w:val="01AFC379"/>
    <w:rsid w:val="01B17FB6"/>
    <w:rsid w:val="01B36FD8"/>
    <w:rsid w:val="01B70A9E"/>
    <w:rsid w:val="01B7BD1C"/>
    <w:rsid w:val="01BA2F58"/>
    <w:rsid w:val="01BCA29B"/>
    <w:rsid w:val="01BFAFA9"/>
    <w:rsid w:val="01C47CF4"/>
    <w:rsid w:val="01C90D49"/>
    <w:rsid w:val="01CB91D5"/>
    <w:rsid w:val="01CE9056"/>
    <w:rsid w:val="01D58B97"/>
    <w:rsid w:val="01D94D21"/>
    <w:rsid w:val="01DF8D1D"/>
    <w:rsid w:val="01E01469"/>
    <w:rsid w:val="01E4F1E6"/>
    <w:rsid w:val="01E51822"/>
    <w:rsid w:val="01E65657"/>
    <w:rsid w:val="01EBD178"/>
    <w:rsid w:val="01F2D70B"/>
    <w:rsid w:val="01F45ECA"/>
    <w:rsid w:val="0200676E"/>
    <w:rsid w:val="0204D8F0"/>
    <w:rsid w:val="0206CFAC"/>
    <w:rsid w:val="02075EF1"/>
    <w:rsid w:val="020B17F5"/>
    <w:rsid w:val="020B8AA9"/>
    <w:rsid w:val="021B7001"/>
    <w:rsid w:val="021E0388"/>
    <w:rsid w:val="021F88D2"/>
    <w:rsid w:val="0220AC61"/>
    <w:rsid w:val="022660A9"/>
    <w:rsid w:val="022778F4"/>
    <w:rsid w:val="02313243"/>
    <w:rsid w:val="023702B3"/>
    <w:rsid w:val="023A6965"/>
    <w:rsid w:val="023A8CB0"/>
    <w:rsid w:val="023BABDC"/>
    <w:rsid w:val="023BBBBF"/>
    <w:rsid w:val="023C2E88"/>
    <w:rsid w:val="023FE9EF"/>
    <w:rsid w:val="0240848C"/>
    <w:rsid w:val="024096DF"/>
    <w:rsid w:val="02412389"/>
    <w:rsid w:val="024305F6"/>
    <w:rsid w:val="0243F67F"/>
    <w:rsid w:val="02454D58"/>
    <w:rsid w:val="0256172E"/>
    <w:rsid w:val="025DDA43"/>
    <w:rsid w:val="025F4AEF"/>
    <w:rsid w:val="02621255"/>
    <w:rsid w:val="026248B3"/>
    <w:rsid w:val="0264A75B"/>
    <w:rsid w:val="0264B84C"/>
    <w:rsid w:val="0268525E"/>
    <w:rsid w:val="026F34DE"/>
    <w:rsid w:val="026F9FA0"/>
    <w:rsid w:val="0274F2CB"/>
    <w:rsid w:val="027E97E1"/>
    <w:rsid w:val="027F0457"/>
    <w:rsid w:val="02806538"/>
    <w:rsid w:val="02851C6D"/>
    <w:rsid w:val="0285BA81"/>
    <w:rsid w:val="0296EAED"/>
    <w:rsid w:val="029918CE"/>
    <w:rsid w:val="029A05D4"/>
    <w:rsid w:val="029AC918"/>
    <w:rsid w:val="029AD58D"/>
    <w:rsid w:val="029CF4B7"/>
    <w:rsid w:val="02A05CC7"/>
    <w:rsid w:val="02AA1A44"/>
    <w:rsid w:val="02AF2333"/>
    <w:rsid w:val="02B2FD25"/>
    <w:rsid w:val="02B36878"/>
    <w:rsid w:val="02B59935"/>
    <w:rsid w:val="02B6A31B"/>
    <w:rsid w:val="02B7401A"/>
    <w:rsid w:val="02B7B857"/>
    <w:rsid w:val="02BFC6B4"/>
    <w:rsid w:val="02C1BC9C"/>
    <w:rsid w:val="02C2E48A"/>
    <w:rsid w:val="02CA7EB8"/>
    <w:rsid w:val="02CDF22A"/>
    <w:rsid w:val="02D15078"/>
    <w:rsid w:val="02D1FF72"/>
    <w:rsid w:val="02D257D5"/>
    <w:rsid w:val="02D40E8F"/>
    <w:rsid w:val="02D5FBD8"/>
    <w:rsid w:val="02D66F78"/>
    <w:rsid w:val="02D6AD2F"/>
    <w:rsid w:val="02D6EC80"/>
    <w:rsid w:val="02E2DCB3"/>
    <w:rsid w:val="02E5E11C"/>
    <w:rsid w:val="02E93895"/>
    <w:rsid w:val="02EB7CC8"/>
    <w:rsid w:val="02EBDFF9"/>
    <w:rsid w:val="02EFD3E0"/>
    <w:rsid w:val="02F591E3"/>
    <w:rsid w:val="02F76754"/>
    <w:rsid w:val="02F7BDD3"/>
    <w:rsid w:val="02FEB86D"/>
    <w:rsid w:val="0301C490"/>
    <w:rsid w:val="0309A7A9"/>
    <w:rsid w:val="030B0828"/>
    <w:rsid w:val="030D7166"/>
    <w:rsid w:val="03107B1D"/>
    <w:rsid w:val="0319C677"/>
    <w:rsid w:val="0319FA7B"/>
    <w:rsid w:val="031C16AE"/>
    <w:rsid w:val="0321F028"/>
    <w:rsid w:val="0321FE5C"/>
    <w:rsid w:val="032799BB"/>
    <w:rsid w:val="032B6C74"/>
    <w:rsid w:val="032C0E1D"/>
    <w:rsid w:val="0330A239"/>
    <w:rsid w:val="0334029A"/>
    <w:rsid w:val="03374468"/>
    <w:rsid w:val="033748F0"/>
    <w:rsid w:val="03403290"/>
    <w:rsid w:val="03407E24"/>
    <w:rsid w:val="0343998B"/>
    <w:rsid w:val="03462CB2"/>
    <w:rsid w:val="0346B81C"/>
    <w:rsid w:val="03494B19"/>
    <w:rsid w:val="03494F1A"/>
    <w:rsid w:val="0349831B"/>
    <w:rsid w:val="034A16B4"/>
    <w:rsid w:val="034CBA34"/>
    <w:rsid w:val="034D4A35"/>
    <w:rsid w:val="035A4440"/>
    <w:rsid w:val="035D55C9"/>
    <w:rsid w:val="035FB34D"/>
    <w:rsid w:val="035FB5A7"/>
    <w:rsid w:val="03632DD7"/>
    <w:rsid w:val="036372FC"/>
    <w:rsid w:val="0364884F"/>
    <w:rsid w:val="03665D1D"/>
    <w:rsid w:val="0367712E"/>
    <w:rsid w:val="0367C45E"/>
    <w:rsid w:val="0369C626"/>
    <w:rsid w:val="036A9F5B"/>
    <w:rsid w:val="036E1D3D"/>
    <w:rsid w:val="036F1F77"/>
    <w:rsid w:val="036F2DC5"/>
    <w:rsid w:val="03718BC6"/>
    <w:rsid w:val="0375E77F"/>
    <w:rsid w:val="0376F5D1"/>
    <w:rsid w:val="037A97B8"/>
    <w:rsid w:val="037CA083"/>
    <w:rsid w:val="037D6EAE"/>
    <w:rsid w:val="037FB8FC"/>
    <w:rsid w:val="0381C9F5"/>
    <w:rsid w:val="0391A6E9"/>
    <w:rsid w:val="0398FD7B"/>
    <w:rsid w:val="039A4599"/>
    <w:rsid w:val="039CC9A7"/>
    <w:rsid w:val="039CF6C8"/>
    <w:rsid w:val="039E02CF"/>
    <w:rsid w:val="03A10784"/>
    <w:rsid w:val="03A2B37B"/>
    <w:rsid w:val="03AB2096"/>
    <w:rsid w:val="03AB21EE"/>
    <w:rsid w:val="03ADC763"/>
    <w:rsid w:val="03B03C36"/>
    <w:rsid w:val="03B2DC09"/>
    <w:rsid w:val="03B45744"/>
    <w:rsid w:val="03B739A3"/>
    <w:rsid w:val="03BA640D"/>
    <w:rsid w:val="03BD626E"/>
    <w:rsid w:val="03C17E65"/>
    <w:rsid w:val="03C189D5"/>
    <w:rsid w:val="03C1B0DA"/>
    <w:rsid w:val="03C2E551"/>
    <w:rsid w:val="03C54AAD"/>
    <w:rsid w:val="03C68A42"/>
    <w:rsid w:val="03C6C61E"/>
    <w:rsid w:val="03C73A43"/>
    <w:rsid w:val="03C98018"/>
    <w:rsid w:val="03D0DFEC"/>
    <w:rsid w:val="03D234CD"/>
    <w:rsid w:val="03D6E407"/>
    <w:rsid w:val="03D84F47"/>
    <w:rsid w:val="03D9052E"/>
    <w:rsid w:val="03DACF66"/>
    <w:rsid w:val="03DF3D24"/>
    <w:rsid w:val="03E6C24E"/>
    <w:rsid w:val="03EC5E5C"/>
    <w:rsid w:val="03F17004"/>
    <w:rsid w:val="03F28D26"/>
    <w:rsid w:val="03F79E32"/>
    <w:rsid w:val="03F94342"/>
    <w:rsid w:val="03FD85B7"/>
    <w:rsid w:val="0400314D"/>
    <w:rsid w:val="04005CD8"/>
    <w:rsid w:val="0407FC42"/>
    <w:rsid w:val="0407FF28"/>
    <w:rsid w:val="0408AABB"/>
    <w:rsid w:val="040A6CDA"/>
    <w:rsid w:val="0415F33E"/>
    <w:rsid w:val="041645B6"/>
    <w:rsid w:val="0419B0D5"/>
    <w:rsid w:val="041A3325"/>
    <w:rsid w:val="041BB741"/>
    <w:rsid w:val="041D047C"/>
    <w:rsid w:val="041E4E5A"/>
    <w:rsid w:val="041F02E9"/>
    <w:rsid w:val="041FC0C9"/>
    <w:rsid w:val="04204810"/>
    <w:rsid w:val="042234DC"/>
    <w:rsid w:val="04261E65"/>
    <w:rsid w:val="04265CB4"/>
    <w:rsid w:val="042D70E8"/>
    <w:rsid w:val="042D8BEF"/>
    <w:rsid w:val="042E9ECE"/>
    <w:rsid w:val="0430FD76"/>
    <w:rsid w:val="043128D9"/>
    <w:rsid w:val="0434F953"/>
    <w:rsid w:val="0435C87F"/>
    <w:rsid w:val="04373F7E"/>
    <w:rsid w:val="04377254"/>
    <w:rsid w:val="04393EFD"/>
    <w:rsid w:val="043FB1DB"/>
    <w:rsid w:val="04410EF2"/>
    <w:rsid w:val="044441CA"/>
    <w:rsid w:val="04481698"/>
    <w:rsid w:val="044DEC10"/>
    <w:rsid w:val="044FBF83"/>
    <w:rsid w:val="0452BF3B"/>
    <w:rsid w:val="045449FA"/>
    <w:rsid w:val="0457C8D5"/>
    <w:rsid w:val="0459A393"/>
    <w:rsid w:val="045E0A0A"/>
    <w:rsid w:val="04619CBF"/>
    <w:rsid w:val="0463E5FF"/>
    <w:rsid w:val="0464C17A"/>
    <w:rsid w:val="04666898"/>
    <w:rsid w:val="04726AD3"/>
    <w:rsid w:val="0472D2E3"/>
    <w:rsid w:val="047390E9"/>
    <w:rsid w:val="0474EE9D"/>
    <w:rsid w:val="0479B826"/>
    <w:rsid w:val="047CD7F7"/>
    <w:rsid w:val="047FBA1E"/>
    <w:rsid w:val="048BE8A0"/>
    <w:rsid w:val="048CA764"/>
    <w:rsid w:val="048CB03A"/>
    <w:rsid w:val="049391FE"/>
    <w:rsid w:val="04970FCF"/>
    <w:rsid w:val="04976553"/>
    <w:rsid w:val="04991DE5"/>
    <w:rsid w:val="0499C496"/>
    <w:rsid w:val="049AAA01"/>
    <w:rsid w:val="049CBD3C"/>
    <w:rsid w:val="04A2278A"/>
    <w:rsid w:val="04A635FB"/>
    <w:rsid w:val="04A78021"/>
    <w:rsid w:val="04A96C98"/>
    <w:rsid w:val="04AADF0E"/>
    <w:rsid w:val="04AB3241"/>
    <w:rsid w:val="04AF5856"/>
    <w:rsid w:val="04B63624"/>
    <w:rsid w:val="04B66F6A"/>
    <w:rsid w:val="04B72E89"/>
    <w:rsid w:val="04B8B6C2"/>
    <w:rsid w:val="04BFE873"/>
    <w:rsid w:val="04C670F8"/>
    <w:rsid w:val="04C6B3FA"/>
    <w:rsid w:val="04C8B3DB"/>
    <w:rsid w:val="04CB1F0A"/>
    <w:rsid w:val="04CC0A9A"/>
    <w:rsid w:val="04D2340C"/>
    <w:rsid w:val="04E022EE"/>
    <w:rsid w:val="04E09B10"/>
    <w:rsid w:val="04E0DC87"/>
    <w:rsid w:val="04E4DD3A"/>
    <w:rsid w:val="04E51D8A"/>
    <w:rsid w:val="04E58688"/>
    <w:rsid w:val="04E87328"/>
    <w:rsid w:val="04EFF604"/>
    <w:rsid w:val="04F7A950"/>
    <w:rsid w:val="04F7C6C7"/>
    <w:rsid w:val="04FA2CD7"/>
    <w:rsid w:val="04FB3692"/>
    <w:rsid w:val="05045C42"/>
    <w:rsid w:val="05059821"/>
    <w:rsid w:val="050992A3"/>
    <w:rsid w:val="050B69A8"/>
    <w:rsid w:val="050D279E"/>
    <w:rsid w:val="050E34AC"/>
    <w:rsid w:val="05109B07"/>
    <w:rsid w:val="05130FB7"/>
    <w:rsid w:val="051802DD"/>
    <w:rsid w:val="051A9BE8"/>
    <w:rsid w:val="052287AB"/>
    <w:rsid w:val="052B99A5"/>
    <w:rsid w:val="052DD818"/>
    <w:rsid w:val="05318D55"/>
    <w:rsid w:val="05328D29"/>
    <w:rsid w:val="05379271"/>
    <w:rsid w:val="053CEFCA"/>
    <w:rsid w:val="053E289D"/>
    <w:rsid w:val="054084A7"/>
    <w:rsid w:val="0544D917"/>
    <w:rsid w:val="05484559"/>
    <w:rsid w:val="05484FF4"/>
    <w:rsid w:val="054A6E74"/>
    <w:rsid w:val="054A9E5D"/>
    <w:rsid w:val="054C0C4F"/>
    <w:rsid w:val="055396AF"/>
    <w:rsid w:val="0554E793"/>
    <w:rsid w:val="05561BC5"/>
    <w:rsid w:val="05595061"/>
    <w:rsid w:val="055A8385"/>
    <w:rsid w:val="0568659A"/>
    <w:rsid w:val="0568F601"/>
    <w:rsid w:val="05694991"/>
    <w:rsid w:val="056C97A9"/>
    <w:rsid w:val="05711765"/>
    <w:rsid w:val="0579E925"/>
    <w:rsid w:val="057A94B6"/>
    <w:rsid w:val="057C48CF"/>
    <w:rsid w:val="057D4171"/>
    <w:rsid w:val="057E1314"/>
    <w:rsid w:val="057EDFF2"/>
    <w:rsid w:val="05806FF5"/>
    <w:rsid w:val="0583091A"/>
    <w:rsid w:val="05867B14"/>
    <w:rsid w:val="05873DF7"/>
    <w:rsid w:val="05884B5E"/>
    <w:rsid w:val="058B9D77"/>
    <w:rsid w:val="058E4963"/>
    <w:rsid w:val="05926440"/>
    <w:rsid w:val="0592D871"/>
    <w:rsid w:val="0593A2C8"/>
    <w:rsid w:val="05962C6E"/>
    <w:rsid w:val="0596B9A7"/>
    <w:rsid w:val="059A5859"/>
    <w:rsid w:val="059B4BFE"/>
    <w:rsid w:val="059CDAF8"/>
    <w:rsid w:val="059F019E"/>
    <w:rsid w:val="05A173A2"/>
    <w:rsid w:val="05A97819"/>
    <w:rsid w:val="05AC8DEC"/>
    <w:rsid w:val="05ADBA2E"/>
    <w:rsid w:val="05B05036"/>
    <w:rsid w:val="05B5986D"/>
    <w:rsid w:val="05B74955"/>
    <w:rsid w:val="05BD4A1E"/>
    <w:rsid w:val="05BD9202"/>
    <w:rsid w:val="05C25742"/>
    <w:rsid w:val="05C3C7FE"/>
    <w:rsid w:val="05C3DA12"/>
    <w:rsid w:val="05C56936"/>
    <w:rsid w:val="05C90AC2"/>
    <w:rsid w:val="05C9E2AD"/>
    <w:rsid w:val="05CFB7C7"/>
    <w:rsid w:val="05CFCA2D"/>
    <w:rsid w:val="05D544CF"/>
    <w:rsid w:val="05D87067"/>
    <w:rsid w:val="05D93839"/>
    <w:rsid w:val="05D9C709"/>
    <w:rsid w:val="05DB93B2"/>
    <w:rsid w:val="05DE7301"/>
    <w:rsid w:val="05E0EB21"/>
    <w:rsid w:val="05E3EFE4"/>
    <w:rsid w:val="05EA6FA5"/>
    <w:rsid w:val="05ED21AE"/>
    <w:rsid w:val="05F4C7B1"/>
    <w:rsid w:val="05F67AC0"/>
    <w:rsid w:val="05F9224D"/>
    <w:rsid w:val="05FB88CD"/>
    <w:rsid w:val="0600E091"/>
    <w:rsid w:val="0602F632"/>
    <w:rsid w:val="06093A22"/>
    <w:rsid w:val="060A1F8B"/>
    <w:rsid w:val="061028EB"/>
    <w:rsid w:val="06171C50"/>
    <w:rsid w:val="061AEA53"/>
    <w:rsid w:val="061E0D99"/>
    <w:rsid w:val="06226D18"/>
    <w:rsid w:val="0623C4A7"/>
    <w:rsid w:val="062656FB"/>
    <w:rsid w:val="06302BF2"/>
    <w:rsid w:val="06323EA2"/>
    <w:rsid w:val="06355795"/>
    <w:rsid w:val="06367C83"/>
    <w:rsid w:val="0637F567"/>
    <w:rsid w:val="0640E99C"/>
    <w:rsid w:val="0644E3FD"/>
    <w:rsid w:val="0647E9DD"/>
    <w:rsid w:val="06491B2D"/>
    <w:rsid w:val="064B19E6"/>
    <w:rsid w:val="064D3EAA"/>
    <w:rsid w:val="064EDF6E"/>
    <w:rsid w:val="065750AD"/>
    <w:rsid w:val="0657BC7D"/>
    <w:rsid w:val="065D6623"/>
    <w:rsid w:val="0663F4AD"/>
    <w:rsid w:val="06659B85"/>
    <w:rsid w:val="0668B648"/>
    <w:rsid w:val="066B3461"/>
    <w:rsid w:val="066C3119"/>
    <w:rsid w:val="06710639"/>
    <w:rsid w:val="0671D6DD"/>
    <w:rsid w:val="06770E83"/>
    <w:rsid w:val="0678688D"/>
    <w:rsid w:val="067C6034"/>
    <w:rsid w:val="067D50CE"/>
    <w:rsid w:val="067D5B07"/>
    <w:rsid w:val="0681D4F7"/>
    <w:rsid w:val="0681F803"/>
    <w:rsid w:val="06821D1A"/>
    <w:rsid w:val="0685B354"/>
    <w:rsid w:val="068C0430"/>
    <w:rsid w:val="068ED2ED"/>
    <w:rsid w:val="068F4BEA"/>
    <w:rsid w:val="0691DFBD"/>
    <w:rsid w:val="06965CB6"/>
    <w:rsid w:val="06987E52"/>
    <w:rsid w:val="06999933"/>
    <w:rsid w:val="069A4528"/>
    <w:rsid w:val="069A536B"/>
    <w:rsid w:val="069D834E"/>
    <w:rsid w:val="069DA9B4"/>
    <w:rsid w:val="069DCC16"/>
    <w:rsid w:val="069F0E49"/>
    <w:rsid w:val="06A02F8F"/>
    <w:rsid w:val="06A269A0"/>
    <w:rsid w:val="06A2D670"/>
    <w:rsid w:val="06A71395"/>
    <w:rsid w:val="06A89C38"/>
    <w:rsid w:val="06AA2521"/>
    <w:rsid w:val="06AE0F74"/>
    <w:rsid w:val="06B7BA02"/>
    <w:rsid w:val="06BA483C"/>
    <w:rsid w:val="06BF2894"/>
    <w:rsid w:val="06C25FE4"/>
    <w:rsid w:val="06C54B44"/>
    <w:rsid w:val="06C7345E"/>
    <w:rsid w:val="06C96B28"/>
    <w:rsid w:val="06D0362F"/>
    <w:rsid w:val="06D1E421"/>
    <w:rsid w:val="06D488BF"/>
    <w:rsid w:val="06D6C0B3"/>
    <w:rsid w:val="06DEDC40"/>
    <w:rsid w:val="06DFFFE9"/>
    <w:rsid w:val="06E17F89"/>
    <w:rsid w:val="06E569AF"/>
    <w:rsid w:val="06E97C31"/>
    <w:rsid w:val="06EC1668"/>
    <w:rsid w:val="06EC42C5"/>
    <w:rsid w:val="06EC96DE"/>
    <w:rsid w:val="06F19F53"/>
    <w:rsid w:val="06F5AC08"/>
    <w:rsid w:val="06F7BF11"/>
    <w:rsid w:val="06F7E5AA"/>
    <w:rsid w:val="06F993CD"/>
    <w:rsid w:val="06FC2586"/>
    <w:rsid w:val="06FC891A"/>
    <w:rsid w:val="06FD1254"/>
    <w:rsid w:val="06FD18D3"/>
    <w:rsid w:val="06FD943F"/>
    <w:rsid w:val="0702A2F9"/>
    <w:rsid w:val="07043A6A"/>
    <w:rsid w:val="070447FC"/>
    <w:rsid w:val="07055494"/>
    <w:rsid w:val="070577FB"/>
    <w:rsid w:val="07076803"/>
    <w:rsid w:val="07081663"/>
    <w:rsid w:val="070830CA"/>
    <w:rsid w:val="070CE0BD"/>
    <w:rsid w:val="07147912"/>
    <w:rsid w:val="0714B11C"/>
    <w:rsid w:val="07156F49"/>
    <w:rsid w:val="0723AD4D"/>
    <w:rsid w:val="0724F82D"/>
    <w:rsid w:val="07259B70"/>
    <w:rsid w:val="072DB832"/>
    <w:rsid w:val="072E86C6"/>
    <w:rsid w:val="072FC329"/>
    <w:rsid w:val="07316928"/>
    <w:rsid w:val="07367B47"/>
    <w:rsid w:val="07368C64"/>
    <w:rsid w:val="073FC87F"/>
    <w:rsid w:val="0743DA6A"/>
    <w:rsid w:val="07455DB5"/>
    <w:rsid w:val="0745A9E0"/>
    <w:rsid w:val="07461733"/>
    <w:rsid w:val="074700AF"/>
    <w:rsid w:val="074828B1"/>
    <w:rsid w:val="0748BDEC"/>
    <w:rsid w:val="074CD0A8"/>
    <w:rsid w:val="07511FB9"/>
    <w:rsid w:val="0759B074"/>
    <w:rsid w:val="075D2FFB"/>
    <w:rsid w:val="075DEC12"/>
    <w:rsid w:val="075FAE66"/>
    <w:rsid w:val="0765306D"/>
    <w:rsid w:val="0768F605"/>
    <w:rsid w:val="076B2B10"/>
    <w:rsid w:val="076B92DC"/>
    <w:rsid w:val="077091A7"/>
    <w:rsid w:val="0771CC64"/>
    <w:rsid w:val="0774D17D"/>
    <w:rsid w:val="07872892"/>
    <w:rsid w:val="078A9610"/>
    <w:rsid w:val="078FBC91"/>
    <w:rsid w:val="0790CBEE"/>
    <w:rsid w:val="07913B57"/>
    <w:rsid w:val="0795A3BE"/>
    <w:rsid w:val="07962083"/>
    <w:rsid w:val="0796D703"/>
    <w:rsid w:val="07999B59"/>
    <w:rsid w:val="079D400D"/>
    <w:rsid w:val="079EE45F"/>
    <w:rsid w:val="07A31E2E"/>
    <w:rsid w:val="07A37692"/>
    <w:rsid w:val="07A8A9A1"/>
    <w:rsid w:val="07A92321"/>
    <w:rsid w:val="07A9EDC2"/>
    <w:rsid w:val="07AD520F"/>
    <w:rsid w:val="07AEB4AD"/>
    <w:rsid w:val="07AEB851"/>
    <w:rsid w:val="07B3C38D"/>
    <w:rsid w:val="07BA9202"/>
    <w:rsid w:val="07BBBBAD"/>
    <w:rsid w:val="07BD797F"/>
    <w:rsid w:val="07BDD841"/>
    <w:rsid w:val="07C4575D"/>
    <w:rsid w:val="07C7B731"/>
    <w:rsid w:val="07C9CCFD"/>
    <w:rsid w:val="07CA3592"/>
    <w:rsid w:val="07D0B887"/>
    <w:rsid w:val="07D8808D"/>
    <w:rsid w:val="07D9EE88"/>
    <w:rsid w:val="07DEDD82"/>
    <w:rsid w:val="07DFAC63"/>
    <w:rsid w:val="07E9362E"/>
    <w:rsid w:val="07EB8340"/>
    <w:rsid w:val="07ED881D"/>
    <w:rsid w:val="07F07DCF"/>
    <w:rsid w:val="07F55E39"/>
    <w:rsid w:val="07F5E6BB"/>
    <w:rsid w:val="07F6AFA3"/>
    <w:rsid w:val="07FB8001"/>
    <w:rsid w:val="07FC4FFE"/>
    <w:rsid w:val="07FCBA9C"/>
    <w:rsid w:val="07FDE1F9"/>
    <w:rsid w:val="07FE2367"/>
    <w:rsid w:val="07FE4CD7"/>
    <w:rsid w:val="0801DE53"/>
    <w:rsid w:val="080278BC"/>
    <w:rsid w:val="0802DD20"/>
    <w:rsid w:val="08040F5D"/>
    <w:rsid w:val="080449D5"/>
    <w:rsid w:val="08046173"/>
    <w:rsid w:val="080A7FED"/>
    <w:rsid w:val="08105F8E"/>
    <w:rsid w:val="0810644A"/>
    <w:rsid w:val="08123263"/>
    <w:rsid w:val="0814CB91"/>
    <w:rsid w:val="0819C706"/>
    <w:rsid w:val="081D3A7D"/>
    <w:rsid w:val="081D41BF"/>
    <w:rsid w:val="081D83BD"/>
    <w:rsid w:val="0820B6CA"/>
    <w:rsid w:val="0823A0F1"/>
    <w:rsid w:val="08243DA5"/>
    <w:rsid w:val="08307945"/>
    <w:rsid w:val="08314598"/>
    <w:rsid w:val="08336AEC"/>
    <w:rsid w:val="0834F404"/>
    <w:rsid w:val="0838596D"/>
    <w:rsid w:val="083A5ACF"/>
    <w:rsid w:val="083AE270"/>
    <w:rsid w:val="083CEFA9"/>
    <w:rsid w:val="083D775F"/>
    <w:rsid w:val="0844FEDA"/>
    <w:rsid w:val="0846D158"/>
    <w:rsid w:val="08486BB6"/>
    <w:rsid w:val="084CDEE7"/>
    <w:rsid w:val="085047FD"/>
    <w:rsid w:val="08504C32"/>
    <w:rsid w:val="085115A5"/>
    <w:rsid w:val="08562717"/>
    <w:rsid w:val="08564C41"/>
    <w:rsid w:val="0858F3E2"/>
    <w:rsid w:val="085B6D86"/>
    <w:rsid w:val="085D73D7"/>
    <w:rsid w:val="085E466B"/>
    <w:rsid w:val="08630C80"/>
    <w:rsid w:val="086E8BBD"/>
    <w:rsid w:val="086EFB4E"/>
    <w:rsid w:val="0871DE94"/>
    <w:rsid w:val="087292ED"/>
    <w:rsid w:val="0879F42C"/>
    <w:rsid w:val="087B8DAE"/>
    <w:rsid w:val="087DC476"/>
    <w:rsid w:val="08834177"/>
    <w:rsid w:val="08875C39"/>
    <w:rsid w:val="088BAEB8"/>
    <w:rsid w:val="08910F8B"/>
    <w:rsid w:val="08939131"/>
    <w:rsid w:val="089653D1"/>
    <w:rsid w:val="0898FFB6"/>
    <w:rsid w:val="08991F60"/>
    <w:rsid w:val="089C0D38"/>
    <w:rsid w:val="089C3191"/>
    <w:rsid w:val="089DCADB"/>
    <w:rsid w:val="08A31E7B"/>
    <w:rsid w:val="08A548B9"/>
    <w:rsid w:val="08A54A85"/>
    <w:rsid w:val="08A5EE21"/>
    <w:rsid w:val="08ADAA09"/>
    <w:rsid w:val="08B04BCB"/>
    <w:rsid w:val="08B2F6B1"/>
    <w:rsid w:val="08B365D1"/>
    <w:rsid w:val="08B3737F"/>
    <w:rsid w:val="08B45E88"/>
    <w:rsid w:val="08B763EF"/>
    <w:rsid w:val="08B965EA"/>
    <w:rsid w:val="08BA5F8C"/>
    <w:rsid w:val="08BB6855"/>
    <w:rsid w:val="08C1CB0A"/>
    <w:rsid w:val="08CB1DEC"/>
    <w:rsid w:val="08CC5777"/>
    <w:rsid w:val="08CC9979"/>
    <w:rsid w:val="08CCAA26"/>
    <w:rsid w:val="08CE91B9"/>
    <w:rsid w:val="08D1311C"/>
    <w:rsid w:val="08D39D5F"/>
    <w:rsid w:val="08DD999B"/>
    <w:rsid w:val="08DE75AF"/>
    <w:rsid w:val="08DF3028"/>
    <w:rsid w:val="08E16250"/>
    <w:rsid w:val="08E1DA7D"/>
    <w:rsid w:val="08E4742F"/>
    <w:rsid w:val="08E4D00C"/>
    <w:rsid w:val="08E50AFC"/>
    <w:rsid w:val="08E8EFF0"/>
    <w:rsid w:val="08E8F926"/>
    <w:rsid w:val="08ED45B0"/>
    <w:rsid w:val="08F23F49"/>
    <w:rsid w:val="08F44BC7"/>
    <w:rsid w:val="08F6DAA7"/>
    <w:rsid w:val="08F94DF6"/>
    <w:rsid w:val="08FECA27"/>
    <w:rsid w:val="090556B6"/>
    <w:rsid w:val="090D2CA6"/>
    <w:rsid w:val="090D3C8D"/>
    <w:rsid w:val="090DD366"/>
    <w:rsid w:val="091144A6"/>
    <w:rsid w:val="0916123C"/>
    <w:rsid w:val="0917BCBB"/>
    <w:rsid w:val="09189FDD"/>
    <w:rsid w:val="09194DC0"/>
    <w:rsid w:val="0919E325"/>
    <w:rsid w:val="091AC8ED"/>
    <w:rsid w:val="091AF8E2"/>
    <w:rsid w:val="091EBDDC"/>
    <w:rsid w:val="0926371F"/>
    <w:rsid w:val="0927D6AE"/>
    <w:rsid w:val="09296B85"/>
    <w:rsid w:val="092B837D"/>
    <w:rsid w:val="092BD9B0"/>
    <w:rsid w:val="092F82E4"/>
    <w:rsid w:val="092F9699"/>
    <w:rsid w:val="0931DC71"/>
    <w:rsid w:val="093276F0"/>
    <w:rsid w:val="0932D714"/>
    <w:rsid w:val="093336A6"/>
    <w:rsid w:val="0933CD10"/>
    <w:rsid w:val="0935ADE7"/>
    <w:rsid w:val="0936652E"/>
    <w:rsid w:val="09392F1A"/>
    <w:rsid w:val="0939BF5D"/>
    <w:rsid w:val="093A69AF"/>
    <w:rsid w:val="093BF765"/>
    <w:rsid w:val="0941CF7C"/>
    <w:rsid w:val="09420F1A"/>
    <w:rsid w:val="094717EE"/>
    <w:rsid w:val="094759DC"/>
    <w:rsid w:val="094C17D1"/>
    <w:rsid w:val="094E2DA5"/>
    <w:rsid w:val="094F5CD2"/>
    <w:rsid w:val="094FFC34"/>
    <w:rsid w:val="0958EF2F"/>
    <w:rsid w:val="095C7B13"/>
    <w:rsid w:val="095EB26A"/>
    <w:rsid w:val="096878F4"/>
    <w:rsid w:val="096F7E0E"/>
    <w:rsid w:val="09705886"/>
    <w:rsid w:val="0975BEB8"/>
    <w:rsid w:val="097A20D9"/>
    <w:rsid w:val="097C1BA6"/>
    <w:rsid w:val="097D2063"/>
    <w:rsid w:val="097D9B5B"/>
    <w:rsid w:val="0980A46F"/>
    <w:rsid w:val="0986454A"/>
    <w:rsid w:val="09869D60"/>
    <w:rsid w:val="09899363"/>
    <w:rsid w:val="098A5C8E"/>
    <w:rsid w:val="098C6331"/>
    <w:rsid w:val="09902356"/>
    <w:rsid w:val="0995CEF0"/>
    <w:rsid w:val="099764C7"/>
    <w:rsid w:val="099CD784"/>
    <w:rsid w:val="099D4EE0"/>
    <w:rsid w:val="09A3DED1"/>
    <w:rsid w:val="09ACB4CA"/>
    <w:rsid w:val="09AEA325"/>
    <w:rsid w:val="09B0E754"/>
    <w:rsid w:val="09B32755"/>
    <w:rsid w:val="09B68D5B"/>
    <w:rsid w:val="09B7D7AD"/>
    <w:rsid w:val="09BC527D"/>
    <w:rsid w:val="09BEC044"/>
    <w:rsid w:val="09C1EA29"/>
    <w:rsid w:val="09C2218D"/>
    <w:rsid w:val="09C43FD0"/>
    <w:rsid w:val="09C5C63D"/>
    <w:rsid w:val="09C6E3A0"/>
    <w:rsid w:val="09C7E9BE"/>
    <w:rsid w:val="09CAA2E6"/>
    <w:rsid w:val="09CC801F"/>
    <w:rsid w:val="09CE8313"/>
    <w:rsid w:val="09D03884"/>
    <w:rsid w:val="09D3689E"/>
    <w:rsid w:val="09D58A44"/>
    <w:rsid w:val="09D8CC45"/>
    <w:rsid w:val="09D9F05D"/>
    <w:rsid w:val="09DB7DBF"/>
    <w:rsid w:val="09DB7F21"/>
    <w:rsid w:val="09DCD8CB"/>
    <w:rsid w:val="09E0F092"/>
    <w:rsid w:val="09E2FDF0"/>
    <w:rsid w:val="09E39DCC"/>
    <w:rsid w:val="09E57245"/>
    <w:rsid w:val="09E5B3D4"/>
    <w:rsid w:val="09E73EEE"/>
    <w:rsid w:val="09F1C2DF"/>
    <w:rsid w:val="09F3DA61"/>
    <w:rsid w:val="09F58C6D"/>
    <w:rsid w:val="09F8D4AB"/>
    <w:rsid w:val="09FE6684"/>
    <w:rsid w:val="0A01AA0F"/>
    <w:rsid w:val="0A02E6F2"/>
    <w:rsid w:val="0A07DC71"/>
    <w:rsid w:val="0A098D1B"/>
    <w:rsid w:val="0A0C478A"/>
    <w:rsid w:val="0A101923"/>
    <w:rsid w:val="0A1482EC"/>
    <w:rsid w:val="0A1BED62"/>
    <w:rsid w:val="0A1F3D06"/>
    <w:rsid w:val="0A1FFB59"/>
    <w:rsid w:val="0A23B914"/>
    <w:rsid w:val="0A24AC05"/>
    <w:rsid w:val="0A2B0B7B"/>
    <w:rsid w:val="0A2B1A5E"/>
    <w:rsid w:val="0A2BC3C6"/>
    <w:rsid w:val="0A2C17B0"/>
    <w:rsid w:val="0A2D2182"/>
    <w:rsid w:val="0A33B4DE"/>
    <w:rsid w:val="0A3578EF"/>
    <w:rsid w:val="0A368E2E"/>
    <w:rsid w:val="0A3A438E"/>
    <w:rsid w:val="0A3B0B95"/>
    <w:rsid w:val="0A3D99A7"/>
    <w:rsid w:val="0A3E0821"/>
    <w:rsid w:val="0A407E08"/>
    <w:rsid w:val="0A477CE9"/>
    <w:rsid w:val="0A47BB16"/>
    <w:rsid w:val="0A48C835"/>
    <w:rsid w:val="0A497975"/>
    <w:rsid w:val="0A4F4FBC"/>
    <w:rsid w:val="0A533557"/>
    <w:rsid w:val="0A57BE3C"/>
    <w:rsid w:val="0A5FE256"/>
    <w:rsid w:val="0A634511"/>
    <w:rsid w:val="0A6BFD97"/>
    <w:rsid w:val="0A6CFF90"/>
    <w:rsid w:val="0A6D5DFF"/>
    <w:rsid w:val="0A6DB77E"/>
    <w:rsid w:val="0A714DA7"/>
    <w:rsid w:val="0A71BB8A"/>
    <w:rsid w:val="0A720448"/>
    <w:rsid w:val="0A773A6F"/>
    <w:rsid w:val="0A7BCCA0"/>
    <w:rsid w:val="0A7C3E71"/>
    <w:rsid w:val="0A7C8E9F"/>
    <w:rsid w:val="0A7F2DB1"/>
    <w:rsid w:val="0A7FB28B"/>
    <w:rsid w:val="0A8168E6"/>
    <w:rsid w:val="0A827035"/>
    <w:rsid w:val="0A83747B"/>
    <w:rsid w:val="0A86E394"/>
    <w:rsid w:val="0A88E0DF"/>
    <w:rsid w:val="0A89EA62"/>
    <w:rsid w:val="0A8B09B3"/>
    <w:rsid w:val="0A964632"/>
    <w:rsid w:val="0A97A48F"/>
    <w:rsid w:val="0A989C8D"/>
    <w:rsid w:val="0A98ECE0"/>
    <w:rsid w:val="0A9B7CEB"/>
    <w:rsid w:val="0A9D1BDD"/>
    <w:rsid w:val="0AA533FE"/>
    <w:rsid w:val="0AA82D8E"/>
    <w:rsid w:val="0AA906C7"/>
    <w:rsid w:val="0AAC70BA"/>
    <w:rsid w:val="0AB3B8EC"/>
    <w:rsid w:val="0AB5F4AB"/>
    <w:rsid w:val="0AB75BD8"/>
    <w:rsid w:val="0AB849E3"/>
    <w:rsid w:val="0AB9151B"/>
    <w:rsid w:val="0AB9F1C5"/>
    <w:rsid w:val="0ABAFCC9"/>
    <w:rsid w:val="0ABB3EC0"/>
    <w:rsid w:val="0ACC9AB4"/>
    <w:rsid w:val="0ACE8626"/>
    <w:rsid w:val="0ACF7866"/>
    <w:rsid w:val="0AD9615A"/>
    <w:rsid w:val="0AE025AA"/>
    <w:rsid w:val="0AE3DF7E"/>
    <w:rsid w:val="0AE3F058"/>
    <w:rsid w:val="0AE433AE"/>
    <w:rsid w:val="0AE8ED0E"/>
    <w:rsid w:val="0AF14F1C"/>
    <w:rsid w:val="0AF1EAA7"/>
    <w:rsid w:val="0AF40BB1"/>
    <w:rsid w:val="0AF41DBA"/>
    <w:rsid w:val="0AF4570B"/>
    <w:rsid w:val="0AF51F18"/>
    <w:rsid w:val="0B025407"/>
    <w:rsid w:val="0B06AA28"/>
    <w:rsid w:val="0B082C15"/>
    <w:rsid w:val="0B084F37"/>
    <w:rsid w:val="0B0A803A"/>
    <w:rsid w:val="0B0BA017"/>
    <w:rsid w:val="0B0BDE43"/>
    <w:rsid w:val="0B0E932E"/>
    <w:rsid w:val="0B0FB692"/>
    <w:rsid w:val="0B0FE734"/>
    <w:rsid w:val="0B109066"/>
    <w:rsid w:val="0B1151B4"/>
    <w:rsid w:val="0B185F1E"/>
    <w:rsid w:val="0B18925D"/>
    <w:rsid w:val="0B1B3811"/>
    <w:rsid w:val="0B1BB6CC"/>
    <w:rsid w:val="0B200028"/>
    <w:rsid w:val="0B211429"/>
    <w:rsid w:val="0B263545"/>
    <w:rsid w:val="0B290234"/>
    <w:rsid w:val="0B29739A"/>
    <w:rsid w:val="0B29AAE3"/>
    <w:rsid w:val="0B2C9925"/>
    <w:rsid w:val="0B38C623"/>
    <w:rsid w:val="0B39308E"/>
    <w:rsid w:val="0B3A0C95"/>
    <w:rsid w:val="0B3A989C"/>
    <w:rsid w:val="0B3CA904"/>
    <w:rsid w:val="0B3D4366"/>
    <w:rsid w:val="0B3D5DAB"/>
    <w:rsid w:val="0B3FCCFD"/>
    <w:rsid w:val="0B47E843"/>
    <w:rsid w:val="0B48F4B1"/>
    <w:rsid w:val="0B4AA0C5"/>
    <w:rsid w:val="0B4BFDC5"/>
    <w:rsid w:val="0B4E5B3D"/>
    <w:rsid w:val="0B500734"/>
    <w:rsid w:val="0B567150"/>
    <w:rsid w:val="0B6443CD"/>
    <w:rsid w:val="0B64856A"/>
    <w:rsid w:val="0B64CED3"/>
    <w:rsid w:val="0B66C90E"/>
    <w:rsid w:val="0B69D917"/>
    <w:rsid w:val="0B6AA1CE"/>
    <w:rsid w:val="0B6DFF5E"/>
    <w:rsid w:val="0B705768"/>
    <w:rsid w:val="0B7290B9"/>
    <w:rsid w:val="0B733B94"/>
    <w:rsid w:val="0B7C1A4B"/>
    <w:rsid w:val="0B7FB50C"/>
    <w:rsid w:val="0B7FD3CE"/>
    <w:rsid w:val="0B822CC0"/>
    <w:rsid w:val="0B89A5D6"/>
    <w:rsid w:val="0B8B52A0"/>
    <w:rsid w:val="0B8C9F01"/>
    <w:rsid w:val="0B92113F"/>
    <w:rsid w:val="0B92E378"/>
    <w:rsid w:val="0B95DC09"/>
    <w:rsid w:val="0B95F8A6"/>
    <w:rsid w:val="0B988E79"/>
    <w:rsid w:val="0B9B11E9"/>
    <w:rsid w:val="0BA2AAB7"/>
    <w:rsid w:val="0BA54A20"/>
    <w:rsid w:val="0BA5CAB9"/>
    <w:rsid w:val="0BA85776"/>
    <w:rsid w:val="0BAAEA56"/>
    <w:rsid w:val="0BAC487B"/>
    <w:rsid w:val="0BAF874B"/>
    <w:rsid w:val="0BB2E660"/>
    <w:rsid w:val="0BB395D8"/>
    <w:rsid w:val="0BB4088B"/>
    <w:rsid w:val="0BB4152F"/>
    <w:rsid w:val="0BB8C22C"/>
    <w:rsid w:val="0BBBC30E"/>
    <w:rsid w:val="0BBD2A3B"/>
    <w:rsid w:val="0BC47E6A"/>
    <w:rsid w:val="0BC7AE4D"/>
    <w:rsid w:val="0BC8568C"/>
    <w:rsid w:val="0BCBBAFC"/>
    <w:rsid w:val="0BD47CC0"/>
    <w:rsid w:val="0BE07819"/>
    <w:rsid w:val="0BEC78C9"/>
    <w:rsid w:val="0BEE1D64"/>
    <w:rsid w:val="0BEF3E29"/>
    <w:rsid w:val="0BF298BF"/>
    <w:rsid w:val="0BF6FD4D"/>
    <w:rsid w:val="0BFC7998"/>
    <w:rsid w:val="0C043EF9"/>
    <w:rsid w:val="0C065F9D"/>
    <w:rsid w:val="0C0876B8"/>
    <w:rsid w:val="0C089574"/>
    <w:rsid w:val="0C0A4C52"/>
    <w:rsid w:val="0C0ECC33"/>
    <w:rsid w:val="0C105B93"/>
    <w:rsid w:val="0C13B2E2"/>
    <w:rsid w:val="0C15236E"/>
    <w:rsid w:val="0C169188"/>
    <w:rsid w:val="0C1B137B"/>
    <w:rsid w:val="0C1BC660"/>
    <w:rsid w:val="0C1C6F17"/>
    <w:rsid w:val="0C21E8CD"/>
    <w:rsid w:val="0C22129B"/>
    <w:rsid w:val="0C25D60B"/>
    <w:rsid w:val="0C2AEFB9"/>
    <w:rsid w:val="0C2B944E"/>
    <w:rsid w:val="0C2D1F0E"/>
    <w:rsid w:val="0C2DE3C6"/>
    <w:rsid w:val="0C311385"/>
    <w:rsid w:val="0C3718E3"/>
    <w:rsid w:val="0C37D5CA"/>
    <w:rsid w:val="0C3A19DA"/>
    <w:rsid w:val="0C3C9C6A"/>
    <w:rsid w:val="0C3FA5E3"/>
    <w:rsid w:val="0C3FE472"/>
    <w:rsid w:val="0C437CA9"/>
    <w:rsid w:val="0C4DCA98"/>
    <w:rsid w:val="0C54BF31"/>
    <w:rsid w:val="0C5A01AD"/>
    <w:rsid w:val="0C5A02C5"/>
    <w:rsid w:val="0C5A4B59"/>
    <w:rsid w:val="0C604016"/>
    <w:rsid w:val="0C61E81B"/>
    <w:rsid w:val="0C629379"/>
    <w:rsid w:val="0C64F582"/>
    <w:rsid w:val="0C651250"/>
    <w:rsid w:val="0C6782CB"/>
    <w:rsid w:val="0C68ADE2"/>
    <w:rsid w:val="0C69A640"/>
    <w:rsid w:val="0C78F72D"/>
    <w:rsid w:val="0C7F691D"/>
    <w:rsid w:val="0C7FC1ED"/>
    <w:rsid w:val="0C809EAA"/>
    <w:rsid w:val="0C86A5EB"/>
    <w:rsid w:val="0C87B731"/>
    <w:rsid w:val="0C88C678"/>
    <w:rsid w:val="0C892E78"/>
    <w:rsid w:val="0C8C6C30"/>
    <w:rsid w:val="0C8CFFC4"/>
    <w:rsid w:val="0C8E1381"/>
    <w:rsid w:val="0C95E397"/>
    <w:rsid w:val="0C98667C"/>
    <w:rsid w:val="0C98B286"/>
    <w:rsid w:val="0C9995A8"/>
    <w:rsid w:val="0C9B582E"/>
    <w:rsid w:val="0C9FCC1C"/>
    <w:rsid w:val="0CA05886"/>
    <w:rsid w:val="0CA22E93"/>
    <w:rsid w:val="0CA2AD41"/>
    <w:rsid w:val="0CA31385"/>
    <w:rsid w:val="0CA4813F"/>
    <w:rsid w:val="0CAB9C91"/>
    <w:rsid w:val="0CAD9CAD"/>
    <w:rsid w:val="0CADAA97"/>
    <w:rsid w:val="0CAEF57E"/>
    <w:rsid w:val="0CAF413A"/>
    <w:rsid w:val="0CB35941"/>
    <w:rsid w:val="0CBA8592"/>
    <w:rsid w:val="0CBFB489"/>
    <w:rsid w:val="0CC06C08"/>
    <w:rsid w:val="0CC54756"/>
    <w:rsid w:val="0CC70834"/>
    <w:rsid w:val="0CCA1E64"/>
    <w:rsid w:val="0CCCED51"/>
    <w:rsid w:val="0CCCF5EC"/>
    <w:rsid w:val="0CCE86DD"/>
    <w:rsid w:val="0CDA2BA0"/>
    <w:rsid w:val="0CE32ADB"/>
    <w:rsid w:val="0CEC9A70"/>
    <w:rsid w:val="0CEEA56E"/>
    <w:rsid w:val="0CF31FB7"/>
    <w:rsid w:val="0CF5CEFD"/>
    <w:rsid w:val="0CF5F7BD"/>
    <w:rsid w:val="0CF85510"/>
    <w:rsid w:val="0CF961EE"/>
    <w:rsid w:val="0CFA3CBC"/>
    <w:rsid w:val="0CFDCCE3"/>
    <w:rsid w:val="0CFE1729"/>
    <w:rsid w:val="0D0247D9"/>
    <w:rsid w:val="0D087112"/>
    <w:rsid w:val="0D09AD7F"/>
    <w:rsid w:val="0D0BCEDA"/>
    <w:rsid w:val="0D1002C1"/>
    <w:rsid w:val="0D10C5A4"/>
    <w:rsid w:val="0D145F74"/>
    <w:rsid w:val="0D14F8B0"/>
    <w:rsid w:val="0D17604D"/>
    <w:rsid w:val="0D17C004"/>
    <w:rsid w:val="0D18AA8D"/>
    <w:rsid w:val="0D1CFE95"/>
    <w:rsid w:val="0D1EE317"/>
    <w:rsid w:val="0D201323"/>
    <w:rsid w:val="0D236E38"/>
    <w:rsid w:val="0D242EF7"/>
    <w:rsid w:val="0D2966C2"/>
    <w:rsid w:val="0D2CF09F"/>
    <w:rsid w:val="0D2D31F5"/>
    <w:rsid w:val="0D39D561"/>
    <w:rsid w:val="0D3A4D24"/>
    <w:rsid w:val="0D3C90A6"/>
    <w:rsid w:val="0D3D7044"/>
    <w:rsid w:val="0D3DCA92"/>
    <w:rsid w:val="0D414B14"/>
    <w:rsid w:val="0D44B46D"/>
    <w:rsid w:val="0D4920AD"/>
    <w:rsid w:val="0D4A9A5F"/>
    <w:rsid w:val="0D4E5902"/>
    <w:rsid w:val="0D5263EB"/>
    <w:rsid w:val="0D544463"/>
    <w:rsid w:val="0D54BF3C"/>
    <w:rsid w:val="0D582085"/>
    <w:rsid w:val="0D6249BD"/>
    <w:rsid w:val="0D64A181"/>
    <w:rsid w:val="0D6899E1"/>
    <w:rsid w:val="0D6AB130"/>
    <w:rsid w:val="0D6B9F6E"/>
    <w:rsid w:val="0D74B7ED"/>
    <w:rsid w:val="0D757187"/>
    <w:rsid w:val="0D75B203"/>
    <w:rsid w:val="0D7B1CC6"/>
    <w:rsid w:val="0D7EAE3F"/>
    <w:rsid w:val="0D85F5E1"/>
    <w:rsid w:val="0D863C5D"/>
    <w:rsid w:val="0D89C412"/>
    <w:rsid w:val="0D8AD322"/>
    <w:rsid w:val="0D8BA9F7"/>
    <w:rsid w:val="0D8CFCCC"/>
    <w:rsid w:val="0D8DEE93"/>
    <w:rsid w:val="0D947860"/>
    <w:rsid w:val="0D989B98"/>
    <w:rsid w:val="0D9987B5"/>
    <w:rsid w:val="0D9DEFDB"/>
    <w:rsid w:val="0D9F2B43"/>
    <w:rsid w:val="0DA452CF"/>
    <w:rsid w:val="0DA4CAC1"/>
    <w:rsid w:val="0DA82280"/>
    <w:rsid w:val="0DAA0B17"/>
    <w:rsid w:val="0DAE2F61"/>
    <w:rsid w:val="0DAFF144"/>
    <w:rsid w:val="0DB12844"/>
    <w:rsid w:val="0DB5C155"/>
    <w:rsid w:val="0DB7B641"/>
    <w:rsid w:val="0DB8C8FA"/>
    <w:rsid w:val="0DB9639B"/>
    <w:rsid w:val="0DBCD5D7"/>
    <w:rsid w:val="0DC188B7"/>
    <w:rsid w:val="0DC266BE"/>
    <w:rsid w:val="0DC474CD"/>
    <w:rsid w:val="0DC69ADA"/>
    <w:rsid w:val="0DD4580F"/>
    <w:rsid w:val="0DDA0B95"/>
    <w:rsid w:val="0DE05816"/>
    <w:rsid w:val="0DE2B7E2"/>
    <w:rsid w:val="0DE52141"/>
    <w:rsid w:val="0DEC0139"/>
    <w:rsid w:val="0DEE366D"/>
    <w:rsid w:val="0DF1EF5A"/>
    <w:rsid w:val="0DF316DA"/>
    <w:rsid w:val="0DF6A5D7"/>
    <w:rsid w:val="0DFA80FD"/>
    <w:rsid w:val="0DFCA333"/>
    <w:rsid w:val="0E027F2F"/>
    <w:rsid w:val="0E035D4E"/>
    <w:rsid w:val="0E069899"/>
    <w:rsid w:val="0E0D9E3F"/>
    <w:rsid w:val="0E0EAB1B"/>
    <w:rsid w:val="0E0EDD6A"/>
    <w:rsid w:val="0E10AF9F"/>
    <w:rsid w:val="0E1223DE"/>
    <w:rsid w:val="0E12E4E6"/>
    <w:rsid w:val="0E13892C"/>
    <w:rsid w:val="0E143BA6"/>
    <w:rsid w:val="0E16921D"/>
    <w:rsid w:val="0E1AA0E0"/>
    <w:rsid w:val="0E1BE353"/>
    <w:rsid w:val="0E1CB806"/>
    <w:rsid w:val="0E1E21A8"/>
    <w:rsid w:val="0E233D81"/>
    <w:rsid w:val="0E23488E"/>
    <w:rsid w:val="0E23C681"/>
    <w:rsid w:val="0E26FEB4"/>
    <w:rsid w:val="0E28D78E"/>
    <w:rsid w:val="0E2991DB"/>
    <w:rsid w:val="0E29973A"/>
    <w:rsid w:val="0E2F1E77"/>
    <w:rsid w:val="0E335567"/>
    <w:rsid w:val="0E360761"/>
    <w:rsid w:val="0E3651B2"/>
    <w:rsid w:val="0E3E27C6"/>
    <w:rsid w:val="0E3E45DA"/>
    <w:rsid w:val="0E4103E7"/>
    <w:rsid w:val="0E418A02"/>
    <w:rsid w:val="0E447484"/>
    <w:rsid w:val="0E4CA462"/>
    <w:rsid w:val="0E4D8D6A"/>
    <w:rsid w:val="0E4E2473"/>
    <w:rsid w:val="0E4EA0BA"/>
    <w:rsid w:val="0E57DFBD"/>
    <w:rsid w:val="0E5CA733"/>
    <w:rsid w:val="0E5D6F1D"/>
    <w:rsid w:val="0E627BB0"/>
    <w:rsid w:val="0E655DEB"/>
    <w:rsid w:val="0E699ABA"/>
    <w:rsid w:val="0E69DEAB"/>
    <w:rsid w:val="0E6AD73F"/>
    <w:rsid w:val="0E6CC707"/>
    <w:rsid w:val="0E716541"/>
    <w:rsid w:val="0E75B922"/>
    <w:rsid w:val="0E766D3A"/>
    <w:rsid w:val="0E7D7726"/>
    <w:rsid w:val="0E829076"/>
    <w:rsid w:val="0E85881C"/>
    <w:rsid w:val="0E85D99C"/>
    <w:rsid w:val="0E877E25"/>
    <w:rsid w:val="0E8BA668"/>
    <w:rsid w:val="0E8D6A63"/>
    <w:rsid w:val="0E90E3B6"/>
    <w:rsid w:val="0E92EA12"/>
    <w:rsid w:val="0E988A6E"/>
    <w:rsid w:val="0E9F8525"/>
    <w:rsid w:val="0EA2EDD2"/>
    <w:rsid w:val="0EA41F6C"/>
    <w:rsid w:val="0EAA52F4"/>
    <w:rsid w:val="0EACD68A"/>
    <w:rsid w:val="0EACFAF5"/>
    <w:rsid w:val="0EAE62F6"/>
    <w:rsid w:val="0EBA78FD"/>
    <w:rsid w:val="0EBAD201"/>
    <w:rsid w:val="0EBCF400"/>
    <w:rsid w:val="0ED37A80"/>
    <w:rsid w:val="0ED3D622"/>
    <w:rsid w:val="0ED46B35"/>
    <w:rsid w:val="0EDAF60E"/>
    <w:rsid w:val="0EDDCC0B"/>
    <w:rsid w:val="0EDE5CE9"/>
    <w:rsid w:val="0EDEBF6C"/>
    <w:rsid w:val="0EDFF24F"/>
    <w:rsid w:val="0EE2101C"/>
    <w:rsid w:val="0EE6924E"/>
    <w:rsid w:val="0EE792CB"/>
    <w:rsid w:val="0EE82A3A"/>
    <w:rsid w:val="0EE88975"/>
    <w:rsid w:val="0EEEA019"/>
    <w:rsid w:val="0EEEE6C8"/>
    <w:rsid w:val="0EF024CA"/>
    <w:rsid w:val="0EF14B93"/>
    <w:rsid w:val="0EF3FB64"/>
    <w:rsid w:val="0EFEA817"/>
    <w:rsid w:val="0F01E51D"/>
    <w:rsid w:val="0F02267F"/>
    <w:rsid w:val="0F0402EF"/>
    <w:rsid w:val="0F066AE5"/>
    <w:rsid w:val="0F0856AC"/>
    <w:rsid w:val="0F0C6883"/>
    <w:rsid w:val="0F0D8948"/>
    <w:rsid w:val="0F0D9220"/>
    <w:rsid w:val="0F0F14CB"/>
    <w:rsid w:val="0F1185C0"/>
    <w:rsid w:val="0F1D9004"/>
    <w:rsid w:val="0F1E6212"/>
    <w:rsid w:val="0F24E339"/>
    <w:rsid w:val="0F269F0B"/>
    <w:rsid w:val="0F2908CD"/>
    <w:rsid w:val="0F2B802A"/>
    <w:rsid w:val="0F2E23DC"/>
    <w:rsid w:val="0F2EB4BD"/>
    <w:rsid w:val="0F30D691"/>
    <w:rsid w:val="0F319A1D"/>
    <w:rsid w:val="0F35692D"/>
    <w:rsid w:val="0F3BDFE8"/>
    <w:rsid w:val="0F40AF81"/>
    <w:rsid w:val="0F447419"/>
    <w:rsid w:val="0F46E97F"/>
    <w:rsid w:val="0F4AE33D"/>
    <w:rsid w:val="0F4C8E7E"/>
    <w:rsid w:val="0F4D2604"/>
    <w:rsid w:val="0F505A56"/>
    <w:rsid w:val="0F517127"/>
    <w:rsid w:val="0F5196DA"/>
    <w:rsid w:val="0F51D3C2"/>
    <w:rsid w:val="0F54E178"/>
    <w:rsid w:val="0F553832"/>
    <w:rsid w:val="0F5C3434"/>
    <w:rsid w:val="0F5E8242"/>
    <w:rsid w:val="0F5F4DC7"/>
    <w:rsid w:val="0F5F8425"/>
    <w:rsid w:val="0F6072FD"/>
    <w:rsid w:val="0F6140F0"/>
    <w:rsid w:val="0F643EA6"/>
    <w:rsid w:val="0F65B5B7"/>
    <w:rsid w:val="0F6793D2"/>
    <w:rsid w:val="0F6FA924"/>
    <w:rsid w:val="0F7057F6"/>
    <w:rsid w:val="0F72D4D8"/>
    <w:rsid w:val="0F761451"/>
    <w:rsid w:val="0F77B6E0"/>
    <w:rsid w:val="0F7916C4"/>
    <w:rsid w:val="0F7E0BEA"/>
    <w:rsid w:val="0F82D244"/>
    <w:rsid w:val="0F87EA78"/>
    <w:rsid w:val="0F88496F"/>
    <w:rsid w:val="0F896050"/>
    <w:rsid w:val="0F8CE95B"/>
    <w:rsid w:val="0F8D28C3"/>
    <w:rsid w:val="0F8DE5B5"/>
    <w:rsid w:val="0F8F0D31"/>
    <w:rsid w:val="0F902D7A"/>
    <w:rsid w:val="0F926C00"/>
    <w:rsid w:val="0FA102FD"/>
    <w:rsid w:val="0FA42DE9"/>
    <w:rsid w:val="0FA8E553"/>
    <w:rsid w:val="0FAF2BDF"/>
    <w:rsid w:val="0FAFFB51"/>
    <w:rsid w:val="0FB150AD"/>
    <w:rsid w:val="0FB2D0D4"/>
    <w:rsid w:val="0FB47024"/>
    <w:rsid w:val="0FB67481"/>
    <w:rsid w:val="0FB6C107"/>
    <w:rsid w:val="0FB8321E"/>
    <w:rsid w:val="0FBBD47B"/>
    <w:rsid w:val="0FBF3DAA"/>
    <w:rsid w:val="0FBFD73A"/>
    <w:rsid w:val="0FC7F705"/>
    <w:rsid w:val="0FC85807"/>
    <w:rsid w:val="0FD0BA5B"/>
    <w:rsid w:val="0FD9293C"/>
    <w:rsid w:val="0FD93D03"/>
    <w:rsid w:val="0FD9E9E6"/>
    <w:rsid w:val="0FDB9626"/>
    <w:rsid w:val="0FE4136B"/>
    <w:rsid w:val="0FE4C6FF"/>
    <w:rsid w:val="0FE4D2D9"/>
    <w:rsid w:val="0FE6EEB6"/>
    <w:rsid w:val="0FED4A86"/>
    <w:rsid w:val="0FF25159"/>
    <w:rsid w:val="0FF8605B"/>
    <w:rsid w:val="0FF9E130"/>
    <w:rsid w:val="0FFBC4FB"/>
    <w:rsid w:val="0FFCC12F"/>
    <w:rsid w:val="1000B243"/>
    <w:rsid w:val="1002E638"/>
    <w:rsid w:val="100354FA"/>
    <w:rsid w:val="1004D354"/>
    <w:rsid w:val="1008F656"/>
    <w:rsid w:val="1009CAC6"/>
    <w:rsid w:val="1010E040"/>
    <w:rsid w:val="1010EEB7"/>
    <w:rsid w:val="10138C16"/>
    <w:rsid w:val="1013A6C4"/>
    <w:rsid w:val="10141DDD"/>
    <w:rsid w:val="101732A4"/>
    <w:rsid w:val="101CF6C2"/>
    <w:rsid w:val="101D2AB0"/>
    <w:rsid w:val="101EB66E"/>
    <w:rsid w:val="1021E2C6"/>
    <w:rsid w:val="10227D4C"/>
    <w:rsid w:val="10235C1D"/>
    <w:rsid w:val="10268CC9"/>
    <w:rsid w:val="1026A520"/>
    <w:rsid w:val="1027DEA2"/>
    <w:rsid w:val="1029811F"/>
    <w:rsid w:val="102A5010"/>
    <w:rsid w:val="102F0EF2"/>
    <w:rsid w:val="1030ABCF"/>
    <w:rsid w:val="1031E7FB"/>
    <w:rsid w:val="1038BD09"/>
    <w:rsid w:val="103B1387"/>
    <w:rsid w:val="1040198D"/>
    <w:rsid w:val="10407EB6"/>
    <w:rsid w:val="104D789D"/>
    <w:rsid w:val="104D89EE"/>
    <w:rsid w:val="104E3BCA"/>
    <w:rsid w:val="10500BB2"/>
    <w:rsid w:val="1050E669"/>
    <w:rsid w:val="1056E340"/>
    <w:rsid w:val="10586AD8"/>
    <w:rsid w:val="1059B317"/>
    <w:rsid w:val="105A5507"/>
    <w:rsid w:val="105B0E87"/>
    <w:rsid w:val="105BA305"/>
    <w:rsid w:val="105D9D95"/>
    <w:rsid w:val="10657039"/>
    <w:rsid w:val="1067873C"/>
    <w:rsid w:val="10685CE9"/>
    <w:rsid w:val="1068F7B2"/>
    <w:rsid w:val="106CC002"/>
    <w:rsid w:val="106ED847"/>
    <w:rsid w:val="1074CA49"/>
    <w:rsid w:val="107942C4"/>
    <w:rsid w:val="107AD3CD"/>
    <w:rsid w:val="108006D8"/>
    <w:rsid w:val="1087569F"/>
    <w:rsid w:val="108A6EFF"/>
    <w:rsid w:val="108AE6AB"/>
    <w:rsid w:val="108B5BA3"/>
    <w:rsid w:val="108B6420"/>
    <w:rsid w:val="108C0455"/>
    <w:rsid w:val="108C2E36"/>
    <w:rsid w:val="108CEFC7"/>
    <w:rsid w:val="108DAF37"/>
    <w:rsid w:val="108F26DE"/>
    <w:rsid w:val="10915FB7"/>
    <w:rsid w:val="1095163D"/>
    <w:rsid w:val="109D43EF"/>
    <w:rsid w:val="10A11560"/>
    <w:rsid w:val="10A728EE"/>
    <w:rsid w:val="10AA42A6"/>
    <w:rsid w:val="10AB8451"/>
    <w:rsid w:val="10AFB2B9"/>
    <w:rsid w:val="10B18405"/>
    <w:rsid w:val="10B4F134"/>
    <w:rsid w:val="10B53DF5"/>
    <w:rsid w:val="10B927DD"/>
    <w:rsid w:val="10BB6394"/>
    <w:rsid w:val="10C85E2C"/>
    <w:rsid w:val="10CBBE2B"/>
    <w:rsid w:val="10CDB23E"/>
    <w:rsid w:val="10D00660"/>
    <w:rsid w:val="10D77025"/>
    <w:rsid w:val="10D8CB33"/>
    <w:rsid w:val="10D950B8"/>
    <w:rsid w:val="10DE8466"/>
    <w:rsid w:val="10E0657C"/>
    <w:rsid w:val="10E6F3F6"/>
    <w:rsid w:val="10F69671"/>
    <w:rsid w:val="10F8752E"/>
    <w:rsid w:val="10FB8A8A"/>
    <w:rsid w:val="10FBD6D1"/>
    <w:rsid w:val="10FC5A28"/>
    <w:rsid w:val="10FF03C6"/>
    <w:rsid w:val="1101B96B"/>
    <w:rsid w:val="1101F9D0"/>
    <w:rsid w:val="110339F0"/>
    <w:rsid w:val="11060845"/>
    <w:rsid w:val="1109AA78"/>
    <w:rsid w:val="110C091B"/>
    <w:rsid w:val="110CF560"/>
    <w:rsid w:val="1118F7B9"/>
    <w:rsid w:val="1119391D"/>
    <w:rsid w:val="111B4B9B"/>
    <w:rsid w:val="111E33CE"/>
    <w:rsid w:val="11206138"/>
    <w:rsid w:val="11241AE5"/>
    <w:rsid w:val="1125661C"/>
    <w:rsid w:val="112A36C3"/>
    <w:rsid w:val="112B01D4"/>
    <w:rsid w:val="112C633D"/>
    <w:rsid w:val="112DD606"/>
    <w:rsid w:val="112F36B6"/>
    <w:rsid w:val="1130A267"/>
    <w:rsid w:val="11335FC5"/>
    <w:rsid w:val="11361E65"/>
    <w:rsid w:val="113BE634"/>
    <w:rsid w:val="113F117C"/>
    <w:rsid w:val="11411AD0"/>
    <w:rsid w:val="11424131"/>
    <w:rsid w:val="1145F9ED"/>
    <w:rsid w:val="114B6A53"/>
    <w:rsid w:val="114B85D0"/>
    <w:rsid w:val="114CF7B8"/>
    <w:rsid w:val="11554D8C"/>
    <w:rsid w:val="1156694A"/>
    <w:rsid w:val="1156D00E"/>
    <w:rsid w:val="1157D413"/>
    <w:rsid w:val="1157F66B"/>
    <w:rsid w:val="115B36CD"/>
    <w:rsid w:val="115B8AEF"/>
    <w:rsid w:val="115D737D"/>
    <w:rsid w:val="115EA6A5"/>
    <w:rsid w:val="115F76C5"/>
    <w:rsid w:val="115FFB86"/>
    <w:rsid w:val="1166B656"/>
    <w:rsid w:val="1167307C"/>
    <w:rsid w:val="116B842E"/>
    <w:rsid w:val="116EA9B4"/>
    <w:rsid w:val="116F1A8F"/>
    <w:rsid w:val="1170799C"/>
    <w:rsid w:val="1172CAFE"/>
    <w:rsid w:val="117440D1"/>
    <w:rsid w:val="11758973"/>
    <w:rsid w:val="1182880A"/>
    <w:rsid w:val="11892453"/>
    <w:rsid w:val="1189F537"/>
    <w:rsid w:val="1190DEAD"/>
    <w:rsid w:val="1192136B"/>
    <w:rsid w:val="119D657F"/>
    <w:rsid w:val="119F3E55"/>
    <w:rsid w:val="11A04F02"/>
    <w:rsid w:val="11A276FC"/>
    <w:rsid w:val="11A47AE9"/>
    <w:rsid w:val="11A60056"/>
    <w:rsid w:val="11B99C60"/>
    <w:rsid w:val="11BACE02"/>
    <w:rsid w:val="11BC026E"/>
    <w:rsid w:val="11C0B6EA"/>
    <w:rsid w:val="11C53D81"/>
    <w:rsid w:val="11C56E3F"/>
    <w:rsid w:val="11C869C8"/>
    <w:rsid w:val="11CA0AF9"/>
    <w:rsid w:val="11CD8AD7"/>
    <w:rsid w:val="11D10BF5"/>
    <w:rsid w:val="11D1DD39"/>
    <w:rsid w:val="11D40A57"/>
    <w:rsid w:val="11D4954E"/>
    <w:rsid w:val="11D4D077"/>
    <w:rsid w:val="11D58D77"/>
    <w:rsid w:val="11DA33EC"/>
    <w:rsid w:val="11E0A42D"/>
    <w:rsid w:val="11E3C1D1"/>
    <w:rsid w:val="11E627E9"/>
    <w:rsid w:val="11E87C94"/>
    <w:rsid w:val="11E97585"/>
    <w:rsid w:val="11ECCB82"/>
    <w:rsid w:val="11ED231E"/>
    <w:rsid w:val="11EF0276"/>
    <w:rsid w:val="11F0EC87"/>
    <w:rsid w:val="11FA7FF4"/>
    <w:rsid w:val="11FAF68A"/>
    <w:rsid w:val="11FD5FC6"/>
    <w:rsid w:val="11FFA5A0"/>
    <w:rsid w:val="1200359B"/>
    <w:rsid w:val="12031C4F"/>
    <w:rsid w:val="1203E140"/>
    <w:rsid w:val="12076A44"/>
    <w:rsid w:val="1209B8C4"/>
    <w:rsid w:val="120FAB60"/>
    <w:rsid w:val="12111851"/>
    <w:rsid w:val="12133FD1"/>
    <w:rsid w:val="12144E2B"/>
    <w:rsid w:val="1216C3A2"/>
    <w:rsid w:val="1217CA47"/>
    <w:rsid w:val="121C1A8C"/>
    <w:rsid w:val="121FB2FC"/>
    <w:rsid w:val="1220FC77"/>
    <w:rsid w:val="1222BF5F"/>
    <w:rsid w:val="122B3D7A"/>
    <w:rsid w:val="122C6A38"/>
    <w:rsid w:val="122D2090"/>
    <w:rsid w:val="122FC0E0"/>
    <w:rsid w:val="122FD2B0"/>
    <w:rsid w:val="12319836"/>
    <w:rsid w:val="12353DE7"/>
    <w:rsid w:val="123664BC"/>
    <w:rsid w:val="12374FC6"/>
    <w:rsid w:val="123BD6C5"/>
    <w:rsid w:val="123BDF66"/>
    <w:rsid w:val="123CFB66"/>
    <w:rsid w:val="1240E628"/>
    <w:rsid w:val="1242F1F7"/>
    <w:rsid w:val="1243DE58"/>
    <w:rsid w:val="124497CB"/>
    <w:rsid w:val="1246A26C"/>
    <w:rsid w:val="1247AF2F"/>
    <w:rsid w:val="1248AC7C"/>
    <w:rsid w:val="124AC3AB"/>
    <w:rsid w:val="124C0ACA"/>
    <w:rsid w:val="1250A590"/>
    <w:rsid w:val="1253136F"/>
    <w:rsid w:val="1255938F"/>
    <w:rsid w:val="125807E7"/>
    <w:rsid w:val="125C6204"/>
    <w:rsid w:val="1260E0B7"/>
    <w:rsid w:val="12617528"/>
    <w:rsid w:val="1278914E"/>
    <w:rsid w:val="1279EB85"/>
    <w:rsid w:val="128287CC"/>
    <w:rsid w:val="1288A4A5"/>
    <w:rsid w:val="128D047E"/>
    <w:rsid w:val="1294836E"/>
    <w:rsid w:val="12965A23"/>
    <w:rsid w:val="129EA5C9"/>
    <w:rsid w:val="12A13CD7"/>
    <w:rsid w:val="12A2AF5F"/>
    <w:rsid w:val="12A33ABB"/>
    <w:rsid w:val="12AB4A26"/>
    <w:rsid w:val="12AC2026"/>
    <w:rsid w:val="12AF02C7"/>
    <w:rsid w:val="12B3F37F"/>
    <w:rsid w:val="12B5BB99"/>
    <w:rsid w:val="12B9A7BD"/>
    <w:rsid w:val="12C0FC3B"/>
    <w:rsid w:val="12C3E481"/>
    <w:rsid w:val="12C7273E"/>
    <w:rsid w:val="12C813EA"/>
    <w:rsid w:val="12C826E9"/>
    <w:rsid w:val="12CB4F40"/>
    <w:rsid w:val="12CCA14A"/>
    <w:rsid w:val="12CE9549"/>
    <w:rsid w:val="12D26115"/>
    <w:rsid w:val="12D50E43"/>
    <w:rsid w:val="12E30A38"/>
    <w:rsid w:val="12E52C94"/>
    <w:rsid w:val="12E74D5F"/>
    <w:rsid w:val="12E9DD2C"/>
    <w:rsid w:val="12EBAD4A"/>
    <w:rsid w:val="12F0E154"/>
    <w:rsid w:val="12F2BBD8"/>
    <w:rsid w:val="12F4F258"/>
    <w:rsid w:val="12F5A79D"/>
    <w:rsid w:val="12F5FC8C"/>
    <w:rsid w:val="12F7A04A"/>
    <w:rsid w:val="12FFC8E5"/>
    <w:rsid w:val="13008E12"/>
    <w:rsid w:val="1300A095"/>
    <w:rsid w:val="1300F1B4"/>
    <w:rsid w:val="13061AC4"/>
    <w:rsid w:val="13123294"/>
    <w:rsid w:val="131F5A92"/>
    <w:rsid w:val="131F5C44"/>
    <w:rsid w:val="13257154"/>
    <w:rsid w:val="1326808A"/>
    <w:rsid w:val="132D00F2"/>
    <w:rsid w:val="133082C2"/>
    <w:rsid w:val="1331F166"/>
    <w:rsid w:val="13370F51"/>
    <w:rsid w:val="1338C014"/>
    <w:rsid w:val="133C1BDF"/>
    <w:rsid w:val="1344B602"/>
    <w:rsid w:val="1344F400"/>
    <w:rsid w:val="134A5F00"/>
    <w:rsid w:val="134BB106"/>
    <w:rsid w:val="134D9659"/>
    <w:rsid w:val="134E6300"/>
    <w:rsid w:val="134ED7BD"/>
    <w:rsid w:val="13505D39"/>
    <w:rsid w:val="1350CF0F"/>
    <w:rsid w:val="13510CAC"/>
    <w:rsid w:val="13597313"/>
    <w:rsid w:val="135FDA37"/>
    <w:rsid w:val="1362230C"/>
    <w:rsid w:val="136AC51D"/>
    <w:rsid w:val="136DD741"/>
    <w:rsid w:val="1372251F"/>
    <w:rsid w:val="1373AA6F"/>
    <w:rsid w:val="1375CED4"/>
    <w:rsid w:val="137957B6"/>
    <w:rsid w:val="137D49BD"/>
    <w:rsid w:val="1381F961"/>
    <w:rsid w:val="13835100"/>
    <w:rsid w:val="13853855"/>
    <w:rsid w:val="13891882"/>
    <w:rsid w:val="138C304E"/>
    <w:rsid w:val="138FCBD0"/>
    <w:rsid w:val="13935F38"/>
    <w:rsid w:val="1394CB98"/>
    <w:rsid w:val="13957D57"/>
    <w:rsid w:val="1398B032"/>
    <w:rsid w:val="13990BE9"/>
    <w:rsid w:val="13992CFB"/>
    <w:rsid w:val="139D8272"/>
    <w:rsid w:val="13A1113D"/>
    <w:rsid w:val="13A2A469"/>
    <w:rsid w:val="13A3704E"/>
    <w:rsid w:val="13B74978"/>
    <w:rsid w:val="13B8777E"/>
    <w:rsid w:val="13BFB6AD"/>
    <w:rsid w:val="13C2F447"/>
    <w:rsid w:val="13C43FAD"/>
    <w:rsid w:val="13C4C003"/>
    <w:rsid w:val="13C502DC"/>
    <w:rsid w:val="13C716DA"/>
    <w:rsid w:val="13C850C8"/>
    <w:rsid w:val="13D400B8"/>
    <w:rsid w:val="13DAA1DB"/>
    <w:rsid w:val="13DC3368"/>
    <w:rsid w:val="13DFEBF2"/>
    <w:rsid w:val="13E00B51"/>
    <w:rsid w:val="13E66E83"/>
    <w:rsid w:val="13E983FC"/>
    <w:rsid w:val="13EEEF7A"/>
    <w:rsid w:val="13F15BF3"/>
    <w:rsid w:val="13F1BD36"/>
    <w:rsid w:val="13F9B769"/>
    <w:rsid w:val="13FA27B7"/>
    <w:rsid w:val="13FE939A"/>
    <w:rsid w:val="1402DB67"/>
    <w:rsid w:val="1403E697"/>
    <w:rsid w:val="140A8E15"/>
    <w:rsid w:val="140DA6A2"/>
    <w:rsid w:val="1410DDFD"/>
    <w:rsid w:val="1411DAE7"/>
    <w:rsid w:val="1416B9EA"/>
    <w:rsid w:val="141E665B"/>
    <w:rsid w:val="141FC118"/>
    <w:rsid w:val="142350C2"/>
    <w:rsid w:val="1425272F"/>
    <w:rsid w:val="1425F8E2"/>
    <w:rsid w:val="1427D86C"/>
    <w:rsid w:val="142CD2F3"/>
    <w:rsid w:val="14302AFA"/>
    <w:rsid w:val="1431AAAF"/>
    <w:rsid w:val="14336CD5"/>
    <w:rsid w:val="14350B62"/>
    <w:rsid w:val="143614F8"/>
    <w:rsid w:val="143B0076"/>
    <w:rsid w:val="144ADFCD"/>
    <w:rsid w:val="145253F7"/>
    <w:rsid w:val="1455D0F9"/>
    <w:rsid w:val="145A4093"/>
    <w:rsid w:val="145C2E39"/>
    <w:rsid w:val="145EE9CC"/>
    <w:rsid w:val="14663A16"/>
    <w:rsid w:val="1468EA62"/>
    <w:rsid w:val="146CD8DF"/>
    <w:rsid w:val="146F3C2E"/>
    <w:rsid w:val="14716F47"/>
    <w:rsid w:val="14751568"/>
    <w:rsid w:val="147539B6"/>
    <w:rsid w:val="14793645"/>
    <w:rsid w:val="147FAB06"/>
    <w:rsid w:val="1481A0B8"/>
    <w:rsid w:val="14821AE0"/>
    <w:rsid w:val="14877C80"/>
    <w:rsid w:val="14890B0C"/>
    <w:rsid w:val="1489D6C2"/>
    <w:rsid w:val="148A4055"/>
    <w:rsid w:val="148DEE1E"/>
    <w:rsid w:val="1492EEB5"/>
    <w:rsid w:val="14944BC6"/>
    <w:rsid w:val="14958DB2"/>
    <w:rsid w:val="14968227"/>
    <w:rsid w:val="1497D290"/>
    <w:rsid w:val="149B7C24"/>
    <w:rsid w:val="14A5B7F4"/>
    <w:rsid w:val="14A7FD1E"/>
    <w:rsid w:val="14A9C551"/>
    <w:rsid w:val="14AFD81A"/>
    <w:rsid w:val="14B1CE79"/>
    <w:rsid w:val="14BE8568"/>
    <w:rsid w:val="14C5531C"/>
    <w:rsid w:val="14C8D56F"/>
    <w:rsid w:val="14CD0AFD"/>
    <w:rsid w:val="14D2BC90"/>
    <w:rsid w:val="14D515F5"/>
    <w:rsid w:val="14DEF5DF"/>
    <w:rsid w:val="14E0D60C"/>
    <w:rsid w:val="14E4FBA0"/>
    <w:rsid w:val="14E86DEA"/>
    <w:rsid w:val="14ECDC7D"/>
    <w:rsid w:val="14F27EC7"/>
    <w:rsid w:val="14F5CA9B"/>
    <w:rsid w:val="14F9C16B"/>
    <w:rsid w:val="14FBC4A2"/>
    <w:rsid w:val="14FDF7A0"/>
    <w:rsid w:val="14FF1A76"/>
    <w:rsid w:val="15020A4D"/>
    <w:rsid w:val="15040980"/>
    <w:rsid w:val="15051E92"/>
    <w:rsid w:val="15055F3F"/>
    <w:rsid w:val="150850AF"/>
    <w:rsid w:val="150C5F66"/>
    <w:rsid w:val="150D8322"/>
    <w:rsid w:val="150F3DA1"/>
    <w:rsid w:val="1511C200"/>
    <w:rsid w:val="151473FF"/>
    <w:rsid w:val="1514D9B2"/>
    <w:rsid w:val="15181FDD"/>
    <w:rsid w:val="152517A5"/>
    <w:rsid w:val="1525CEA0"/>
    <w:rsid w:val="152ABC8B"/>
    <w:rsid w:val="152DBD6F"/>
    <w:rsid w:val="152EAD40"/>
    <w:rsid w:val="1531DADB"/>
    <w:rsid w:val="153EF5AA"/>
    <w:rsid w:val="153F347C"/>
    <w:rsid w:val="15411D31"/>
    <w:rsid w:val="1542B628"/>
    <w:rsid w:val="154452EA"/>
    <w:rsid w:val="15451396"/>
    <w:rsid w:val="154DBFFF"/>
    <w:rsid w:val="1550E1FE"/>
    <w:rsid w:val="1553C415"/>
    <w:rsid w:val="15540618"/>
    <w:rsid w:val="1556D443"/>
    <w:rsid w:val="15579CF0"/>
    <w:rsid w:val="15595247"/>
    <w:rsid w:val="15596349"/>
    <w:rsid w:val="155A24EA"/>
    <w:rsid w:val="155ABBDB"/>
    <w:rsid w:val="155D0556"/>
    <w:rsid w:val="155DCDFB"/>
    <w:rsid w:val="155E0694"/>
    <w:rsid w:val="155F80A4"/>
    <w:rsid w:val="155F877E"/>
    <w:rsid w:val="156E62C9"/>
    <w:rsid w:val="1571FD31"/>
    <w:rsid w:val="1574240D"/>
    <w:rsid w:val="1575EFF5"/>
    <w:rsid w:val="1577F72E"/>
    <w:rsid w:val="157D180E"/>
    <w:rsid w:val="157E4066"/>
    <w:rsid w:val="15844CE8"/>
    <w:rsid w:val="1588EB11"/>
    <w:rsid w:val="158A5D63"/>
    <w:rsid w:val="1593F370"/>
    <w:rsid w:val="1595F47E"/>
    <w:rsid w:val="1596C6A8"/>
    <w:rsid w:val="15970BA8"/>
    <w:rsid w:val="159DB3FA"/>
    <w:rsid w:val="159E092C"/>
    <w:rsid w:val="15A0C9E1"/>
    <w:rsid w:val="15A2C3A7"/>
    <w:rsid w:val="15A5E128"/>
    <w:rsid w:val="15A6DBBE"/>
    <w:rsid w:val="15A94EAA"/>
    <w:rsid w:val="15A97DB2"/>
    <w:rsid w:val="15B16700"/>
    <w:rsid w:val="15B26B26"/>
    <w:rsid w:val="15B433CB"/>
    <w:rsid w:val="15BC108B"/>
    <w:rsid w:val="15BDD182"/>
    <w:rsid w:val="15C196F7"/>
    <w:rsid w:val="15C31597"/>
    <w:rsid w:val="15C5B6AF"/>
    <w:rsid w:val="15C76D5D"/>
    <w:rsid w:val="15C9ECAE"/>
    <w:rsid w:val="15CBDB92"/>
    <w:rsid w:val="15CF6833"/>
    <w:rsid w:val="15CF7C4C"/>
    <w:rsid w:val="15CFB4F5"/>
    <w:rsid w:val="15D02084"/>
    <w:rsid w:val="15D25A07"/>
    <w:rsid w:val="15DAA555"/>
    <w:rsid w:val="15DAA9AB"/>
    <w:rsid w:val="15E47E99"/>
    <w:rsid w:val="15E4C6E1"/>
    <w:rsid w:val="15E514A3"/>
    <w:rsid w:val="15E5D04E"/>
    <w:rsid w:val="15EF12B2"/>
    <w:rsid w:val="15F05F1F"/>
    <w:rsid w:val="15F73C1B"/>
    <w:rsid w:val="15F76603"/>
    <w:rsid w:val="15F7892E"/>
    <w:rsid w:val="15F85ECB"/>
    <w:rsid w:val="15FDAF70"/>
    <w:rsid w:val="1602D55A"/>
    <w:rsid w:val="1604499E"/>
    <w:rsid w:val="160DE072"/>
    <w:rsid w:val="160E0FD0"/>
    <w:rsid w:val="1612EEC2"/>
    <w:rsid w:val="16155077"/>
    <w:rsid w:val="161945A6"/>
    <w:rsid w:val="161C1AC6"/>
    <w:rsid w:val="161E7FE4"/>
    <w:rsid w:val="16213C9F"/>
    <w:rsid w:val="1621F68A"/>
    <w:rsid w:val="162272BB"/>
    <w:rsid w:val="162CD086"/>
    <w:rsid w:val="162ED9C3"/>
    <w:rsid w:val="163257F7"/>
    <w:rsid w:val="16369C2F"/>
    <w:rsid w:val="1639939E"/>
    <w:rsid w:val="163EBFD2"/>
    <w:rsid w:val="163EC828"/>
    <w:rsid w:val="163F6B82"/>
    <w:rsid w:val="1643E22C"/>
    <w:rsid w:val="16451CEE"/>
    <w:rsid w:val="164CEB17"/>
    <w:rsid w:val="164DB15E"/>
    <w:rsid w:val="164DEEC2"/>
    <w:rsid w:val="164E55E9"/>
    <w:rsid w:val="164EAAC0"/>
    <w:rsid w:val="164F8E65"/>
    <w:rsid w:val="16572DE3"/>
    <w:rsid w:val="1657729B"/>
    <w:rsid w:val="165B7E7F"/>
    <w:rsid w:val="165DFECE"/>
    <w:rsid w:val="165FDC0B"/>
    <w:rsid w:val="16687A85"/>
    <w:rsid w:val="166A8298"/>
    <w:rsid w:val="166FE3B6"/>
    <w:rsid w:val="16705BEE"/>
    <w:rsid w:val="16725893"/>
    <w:rsid w:val="16741256"/>
    <w:rsid w:val="1675B05B"/>
    <w:rsid w:val="167AA61A"/>
    <w:rsid w:val="167CF09F"/>
    <w:rsid w:val="167DCFAF"/>
    <w:rsid w:val="167EB947"/>
    <w:rsid w:val="167F6778"/>
    <w:rsid w:val="167FC557"/>
    <w:rsid w:val="1685AED2"/>
    <w:rsid w:val="16887C01"/>
    <w:rsid w:val="1688EC48"/>
    <w:rsid w:val="168B2501"/>
    <w:rsid w:val="168D5E7D"/>
    <w:rsid w:val="168DA609"/>
    <w:rsid w:val="168DFBFF"/>
    <w:rsid w:val="168E8138"/>
    <w:rsid w:val="16919E20"/>
    <w:rsid w:val="1693D0CD"/>
    <w:rsid w:val="169CC817"/>
    <w:rsid w:val="169DF129"/>
    <w:rsid w:val="16A21F10"/>
    <w:rsid w:val="16A340C2"/>
    <w:rsid w:val="16A43B9F"/>
    <w:rsid w:val="16AE19FF"/>
    <w:rsid w:val="16B231E0"/>
    <w:rsid w:val="16B395B3"/>
    <w:rsid w:val="16B3E42D"/>
    <w:rsid w:val="16B3F95D"/>
    <w:rsid w:val="16C19F86"/>
    <w:rsid w:val="16C5681E"/>
    <w:rsid w:val="16C5E042"/>
    <w:rsid w:val="16CD037F"/>
    <w:rsid w:val="16CD9C39"/>
    <w:rsid w:val="16D785B4"/>
    <w:rsid w:val="16D86D95"/>
    <w:rsid w:val="16DDD531"/>
    <w:rsid w:val="16DF2368"/>
    <w:rsid w:val="16E090DF"/>
    <w:rsid w:val="16E18DB2"/>
    <w:rsid w:val="16E2B46E"/>
    <w:rsid w:val="16E3942A"/>
    <w:rsid w:val="16E6EE71"/>
    <w:rsid w:val="16E78DD3"/>
    <w:rsid w:val="16E82EAF"/>
    <w:rsid w:val="16E889D6"/>
    <w:rsid w:val="16ED70B3"/>
    <w:rsid w:val="16F3D0A9"/>
    <w:rsid w:val="16F522FA"/>
    <w:rsid w:val="16F7883E"/>
    <w:rsid w:val="16F9BF0D"/>
    <w:rsid w:val="16FAC1AB"/>
    <w:rsid w:val="16FAEB21"/>
    <w:rsid w:val="16FB3F0B"/>
    <w:rsid w:val="16FC4E6B"/>
    <w:rsid w:val="17001750"/>
    <w:rsid w:val="170271D6"/>
    <w:rsid w:val="1705A3F8"/>
    <w:rsid w:val="1705EB59"/>
    <w:rsid w:val="17060F10"/>
    <w:rsid w:val="1706CD7E"/>
    <w:rsid w:val="1709AA92"/>
    <w:rsid w:val="170B0773"/>
    <w:rsid w:val="17122D23"/>
    <w:rsid w:val="17187EA8"/>
    <w:rsid w:val="171BF357"/>
    <w:rsid w:val="171DB0A2"/>
    <w:rsid w:val="17275AB7"/>
    <w:rsid w:val="1727FE25"/>
    <w:rsid w:val="17280C3A"/>
    <w:rsid w:val="1728EE4A"/>
    <w:rsid w:val="172F03E8"/>
    <w:rsid w:val="172F1A61"/>
    <w:rsid w:val="172F64DB"/>
    <w:rsid w:val="1731E678"/>
    <w:rsid w:val="17322AF4"/>
    <w:rsid w:val="17367396"/>
    <w:rsid w:val="1737D349"/>
    <w:rsid w:val="1739CDB4"/>
    <w:rsid w:val="173B4536"/>
    <w:rsid w:val="173D4212"/>
    <w:rsid w:val="1740A2CF"/>
    <w:rsid w:val="1743D938"/>
    <w:rsid w:val="1744EAC0"/>
    <w:rsid w:val="17457DAE"/>
    <w:rsid w:val="1747C08F"/>
    <w:rsid w:val="17480BD3"/>
    <w:rsid w:val="174ACC7A"/>
    <w:rsid w:val="174DAD3A"/>
    <w:rsid w:val="1751BA47"/>
    <w:rsid w:val="17520F2B"/>
    <w:rsid w:val="17566F2E"/>
    <w:rsid w:val="1758F98E"/>
    <w:rsid w:val="175B4B34"/>
    <w:rsid w:val="175CE5A7"/>
    <w:rsid w:val="175CEBB5"/>
    <w:rsid w:val="175D50E2"/>
    <w:rsid w:val="175FF290"/>
    <w:rsid w:val="1760CF63"/>
    <w:rsid w:val="1762ABCE"/>
    <w:rsid w:val="17635838"/>
    <w:rsid w:val="176798FD"/>
    <w:rsid w:val="176943BF"/>
    <w:rsid w:val="176A3CE2"/>
    <w:rsid w:val="17700E05"/>
    <w:rsid w:val="17741518"/>
    <w:rsid w:val="177639E3"/>
    <w:rsid w:val="17764EDA"/>
    <w:rsid w:val="177771C0"/>
    <w:rsid w:val="177905D6"/>
    <w:rsid w:val="177A4DF0"/>
    <w:rsid w:val="17812232"/>
    <w:rsid w:val="178332AC"/>
    <w:rsid w:val="178C39C5"/>
    <w:rsid w:val="178C42CB"/>
    <w:rsid w:val="178E4D7B"/>
    <w:rsid w:val="178E7E62"/>
    <w:rsid w:val="1797786E"/>
    <w:rsid w:val="17991EAC"/>
    <w:rsid w:val="179C7DFD"/>
    <w:rsid w:val="179F8C4B"/>
    <w:rsid w:val="179FADAA"/>
    <w:rsid w:val="17A4BE35"/>
    <w:rsid w:val="17A4D69C"/>
    <w:rsid w:val="17A7C3F5"/>
    <w:rsid w:val="17B01CC2"/>
    <w:rsid w:val="17B3139A"/>
    <w:rsid w:val="17B71D4E"/>
    <w:rsid w:val="17B7BBB0"/>
    <w:rsid w:val="17B91028"/>
    <w:rsid w:val="17B95BCC"/>
    <w:rsid w:val="17B9DA16"/>
    <w:rsid w:val="17BF29DA"/>
    <w:rsid w:val="17BF9D21"/>
    <w:rsid w:val="17C10135"/>
    <w:rsid w:val="17C8E1CE"/>
    <w:rsid w:val="17CBF2EB"/>
    <w:rsid w:val="17D01FB9"/>
    <w:rsid w:val="17D16505"/>
    <w:rsid w:val="17D172A7"/>
    <w:rsid w:val="17D21B3F"/>
    <w:rsid w:val="17D490C1"/>
    <w:rsid w:val="17D62E96"/>
    <w:rsid w:val="17D8355F"/>
    <w:rsid w:val="17E5B1A7"/>
    <w:rsid w:val="17E624FF"/>
    <w:rsid w:val="17EF74E0"/>
    <w:rsid w:val="17F28E0B"/>
    <w:rsid w:val="17F307CD"/>
    <w:rsid w:val="17F374B9"/>
    <w:rsid w:val="17F826AD"/>
    <w:rsid w:val="17F8AFA6"/>
    <w:rsid w:val="17FCD9AD"/>
    <w:rsid w:val="17FCE4BB"/>
    <w:rsid w:val="17FDB8F7"/>
    <w:rsid w:val="180A49C4"/>
    <w:rsid w:val="18101E32"/>
    <w:rsid w:val="1814035A"/>
    <w:rsid w:val="181C7B2B"/>
    <w:rsid w:val="181CC8C4"/>
    <w:rsid w:val="1820B507"/>
    <w:rsid w:val="1821D7DF"/>
    <w:rsid w:val="1823FCC2"/>
    <w:rsid w:val="18278B44"/>
    <w:rsid w:val="182AD894"/>
    <w:rsid w:val="182BD6A1"/>
    <w:rsid w:val="182DAF60"/>
    <w:rsid w:val="18342DE1"/>
    <w:rsid w:val="18387154"/>
    <w:rsid w:val="1839B3F5"/>
    <w:rsid w:val="1839E5CB"/>
    <w:rsid w:val="183B2738"/>
    <w:rsid w:val="18456C01"/>
    <w:rsid w:val="1845968A"/>
    <w:rsid w:val="18467628"/>
    <w:rsid w:val="1848135A"/>
    <w:rsid w:val="18497AC5"/>
    <w:rsid w:val="184C5010"/>
    <w:rsid w:val="184C5A47"/>
    <w:rsid w:val="184C9BD6"/>
    <w:rsid w:val="184E8449"/>
    <w:rsid w:val="1853CD5B"/>
    <w:rsid w:val="18562D61"/>
    <w:rsid w:val="1856B074"/>
    <w:rsid w:val="1856DF9E"/>
    <w:rsid w:val="1858BE3B"/>
    <w:rsid w:val="185B228E"/>
    <w:rsid w:val="185E3260"/>
    <w:rsid w:val="185E3480"/>
    <w:rsid w:val="1862BD57"/>
    <w:rsid w:val="1867BEF5"/>
    <w:rsid w:val="186D89C3"/>
    <w:rsid w:val="187202E5"/>
    <w:rsid w:val="1878402E"/>
    <w:rsid w:val="18794027"/>
    <w:rsid w:val="187C6FEB"/>
    <w:rsid w:val="18828901"/>
    <w:rsid w:val="1882B0B1"/>
    <w:rsid w:val="1883C8D0"/>
    <w:rsid w:val="18850D84"/>
    <w:rsid w:val="188749BB"/>
    <w:rsid w:val="188B7518"/>
    <w:rsid w:val="188D1347"/>
    <w:rsid w:val="1891C69B"/>
    <w:rsid w:val="189684B7"/>
    <w:rsid w:val="189C6DA9"/>
    <w:rsid w:val="189DC2C9"/>
    <w:rsid w:val="189FD1F1"/>
    <w:rsid w:val="18A5A42C"/>
    <w:rsid w:val="18AC2654"/>
    <w:rsid w:val="18B10CA8"/>
    <w:rsid w:val="18B1D5F0"/>
    <w:rsid w:val="18B34896"/>
    <w:rsid w:val="18B77D0C"/>
    <w:rsid w:val="18B7C95D"/>
    <w:rsid w:val="18B8E2C4"/>
    <w:rsid w:val="18BA5AB8"/>
    <w:rsid w:val="18BC5E89"/>
    <w:rsid w:val="18BE8D1A"/>
    <w:rsid w:val="18BEAAE9"/>
    <w:rsid w:val="18C312B4"/>
    <w:rsid w:val="18C37324"/>
    <w:rsid w:val="18C4F513"/>
    <w:rsid w:val="18C52CC4"/>
    <w:rsid w:val="18C6EE4A"/>
    <w:rsid w:val="18C73853"/>
    <w:rsid w:val="18C7FB4D"/>
    <w:rsid w:val="18CAC8BF"/>
    <w:rsid w:val="18CF3011"/>
    <w:rsid w:val="18D86BE7"/>
    <w:rsid w:val="18E66E00"/>
    <w:rsid w:val="18E6A148"/>
    <w:rsid w:val="18E7BD16"/>
    <w:rsid w:val="18E8781A"/>
    <w:rsid w:val="18ED2228"/>
    <w:rsid w:val="18EDF72B"/>
    <w:rsid w:val="18F3C640"/>
    <w:rsid w:val="18F96D6A"/>
    <w:rsid w:val="18FCF451"/>
    <w:rsid w:val="18FF7AEC"/>
    <w:rsid w:val="1902D09F"/>
    <w:rsid w:val="1903C9F8"/>
    <w:rsid w:val="19082D34"/>
    <w:rsid w:val="190D6192"/>
    <w:rsid w:val="190D8E49"/>
    <w:rsid w:val="1913C089"/>
    <w:rsid w:val="1913ED69"/>
    <w:rsid w:val="191409EE"/>
    <w:rsid w:val="19197BAE"/>
    <w:rsid w:val="191A51F2"/>
    <w:rsid w:val="191ABE3F"/>
    <w:rsid w:val="191DC476"/>
    <w:rsid w:val="1920E17D"/>
    <w:rsid w:val="19214AD0"/>
    <w:rsid w:val="19256A9F"/>
    <w:rsid w:val="19263926"/>
    <w:rsid w:val="192D005C"/>
    <w:rsid w:val="19335C4D"/>
    <w:rsid w:val="19373755"/>
    <w:rsid w:val="1937B744"/>
    <w:rsid w:val="193C8791"/>
    <w:rsid w:val="193E82AF"/>
    <w:rsid w:val="19423B3F"/>
    <w:rsid w:val="1942C93F"/>
    <w:rsid w:val="1946ADEA"/>
    <w:rsid w:val="19474008"/>
    <w:rsid w:val="1950AE2B"/>
    <w:rsid w:val="19546DF3"/>
    <w:rsid w:val="1958E568"/>
    <w:rsid w:val="1959959B"/>
    <w:rsid w:val="19607254"/>
    <w:rsid w:val="196163DE"/>
    <w:rsid w:val="1964F2C1"/>
    <w:rsid w:val="1971B1AA"/>
    <w:rsid w:val="19720C52"/>
    <w:rsid w:val="19724C7C"/>
    <w:rsid w:val="197302EE"/>
    <w:rsid w:val="197431FC"/>
    <w:rsid w:val="19766350"/>
    <w:rsid w:val="19832456"/>
    <w:rsid w:val="19845CA2"/>
    <w:rsid w:val="19857622"/>
    <w:rsid w:val="198C5A2A"/>
    <w:rsid w:val="198CF3AA"/>
    <w:rsid w:val="198D6B9E"/>
    <w:rsid w:val="198E4630"/>
    <w:rsid w:val="1991250F"/>
    <w:rsid w:val="19954032"/>
    <w:rsid w:val="1999BA8A"/>
    <w:rsid w:val="199A3D6C"/>
    <w:rsid w:val="19A02C13"/>
    <w:rsid w:val="19A64B5A"/>
    <w:rsid w:val="19AC9331"/>
    <w:rsid w:val="19AE96CF"/>
    <w:rsid w:val="19AE9DF3"/>
    <w:rsid w:val="19AEE253"/>
    <w:rsid w:val="19B1EB4D"/>
    <w:rsid w:val="19B2A497"/>
    <w:rsid w:val="19B31604"/>
    <w:rsid w:val="19B9757A"/>
    <w:rsid w:val="19BA5391"/>
    <w:rsid w:val="19BC2A6C"/>
    <w:rsid w:val="19BE2EA5"/>
    <w:rsid w:val="19C6B87B"/>
    <w:rsid w:val="19C6C527"/>
    <w:rsid w:val="19CA074F"/>
    <w:rsid w:val="19D40EE4"/>
    <w:rsid w:val="19DB8306"/>
    <w:rsid w:val="19DD3DEB"/>
    <w:rsid w:val="19DDD307"/>
    <w:rsid w:val="19DFB875"/>
    <w:rsid w:val="19E35BB0"/>
    <w:rsid w:val="19E7F9F1"/>
    <w:rsid w:val="19E8AFC0"/>
    <w:rsid w:val="19ED8AC3"/>
    <w:rsid w:val="19EEA35A"/>
    <w:rsid w:val="19F1AA95"/>
    <w:rsid w:val="19F2384B"/>
    <w:rsid w:val="19F296A6"/>
    <w:rsid w:val="19F2D7CC"/>
    <w:rsid w:val="19F57D12"/>
    <w:rsid w:val="19F6D421"/>
    <w:rsid w:val="19FBFA9D"/>
    <w:rsid w:val="19FCCB33"/>
    <w:rsid w:val="1A01B8C2"/>
    <w:rsid w:val="1A02DAFD"/>
    <w:rsid w:val="1A037D85"/>
    <w:rsid w:val="1A03CB7A"/>
    <w:rsid w:val="1A08B4A3"/>
    <w:rsid w:val="1A0A673B"/>
    <w:rsid w:val="1A0D0D33"/>
    <w:rsid w:val="1A11AB3B"/>
    <w:rsid w:val="1A13481B"/>
    <w:rsid w:val="1A15B325"/>
    <w:rsid w:val="1A197D5F"/>
    <w:rsid w:val="1A1F19E7"/>
    <w:rsid w:val="1A1F9867"/>
    <w:rsid w:val="1A2107D6"/>
    <w:rsid w:val="1A26898E"/>
    <w:rsid w:val="1A28E3A8"/>
    <w:rsid w:val="1A29BC95"/>
    <w:rsid w:val="1A2E9FAB"/>
    <w:rsid w:val="1A34DD5A"/>
    <w:rsid w:val="1A3572B7"/>
    <w:rsid w:val="1A35BF5F"/>
    <w:rsid w:val="1A3680E1"/>
    <w:rsid w:val="1A3AE89B"/>
    <w:rsid w:val="1A3E42F1"/>
    <w:rsid w:val="1A3F2DA4"/>
    <w:rsid w:val="1A43501C"/>
    <w:rsid w:val="1A461A57"/>
    <w:rsid w:val="1A4909D8"/>
    <w:rsid w:val="1A4C516E"/>
    <w:rsid w:val="1A51FB75"/>
    <w:rsid w:val="1A53EF6A"/>
    <w:rsid w:val="1A632C94"/>
    <w:rsid w:val="1A65276F"/>
    <w:rsid w:val="1A685186"/>
    <w:rsid w:val="1A6BBF23"/>
    <w:rsid w:val="1A6D30F0"/>
    <w:rsid w:val="1A6D5D04"/>
    <w:rsid w:val="1A732032"/>
    <w:rsid w:val="1A7E5E2B"/>
    <w:rsid w:val="1A880984"/>
    <w:rsid w:val="1A8AD637"/>
    <w:rsid w:val="1A8B7EE2"/>
    <w:rsid w:val="1A8CF9CC"/>
    <w:rsid w:val="1A8EC2D2"/>
    <w:rsid w:val="1A8F7D12"/>
    <w:rsid w:val="1A93CC1E"/>
    <w:rsid w:val="1A972900"/>
    <w:rsid w:val="1A97E480"/>
    <w:rsid w:val="1A9B8DCC"/>
    <w:rsid w:val="1AA04E83"/>
    <w:rsid w:val="1AA80CF3"/>
    <w:rsid w:val="1AAED289"/>
    <w:rsid w:val="1AB50E4A"/>
    <w:rsid w:val="1AB58D67"/>
    <w:rsid w:val="1AB61887"/>
    <w:rsid w:val="1AB86BE3"/>
    <w:rsid w:val="1AB96D0F"/>
    <w:rsid w:val="1AB9DA89"/>
    <w:rsid w:val="1ABCE6FC"/>
    <w:rsid w:val="1ABDF901"/>
    <w:rsid w:val="1AC6F195"/>
    <w:rsid w:val="1AC787F2"/>
    <w:rsid w:val="1ACA5C88"/>
    <w:rsid w:val="1ACE2304"/>
    <w:rsid w:val="1ACF8130"/>
    <w:rsid w:val="1AD709C7"/>
    <w:rsid w:val="1AD75BFF"/>
    <w:rsid w:val="1ADA21B1"/>
    <w:rsid w:val="1ADB7596"/>
    <w:rsid w:val="1ADB77CB"/>
    <w:rsid w:val="1ADFFAF2"/>
    <w:rsid w:val="1AE678BF"/>
    <w:rsid w:val="1AE9D6FC"/>
    <w:rsid w:val="1AEB023C"/>
    <w:rsid w:val="1AED564E"/>
    <w:rsid w:val="1AFC7294"/>
    <w:rsid w:val="1AFE499F"/>
    <w:rsid w:val="1AFF7E15"/>
    <w:rsid w:val="1B06D94C"/>
    <w:rsid w:val="1B0706F4"/>
    <w:rsid w:val="1B0BFFE8"/>
    <w:rsid w:val="1B16DD15"/>
    <w:rsid w:val="1B16EDB0"/>
    <w:rsid w:val="1B2166B7"/>
    <w:rsid w:val="1B23C4D6"/>
    <w:rsid w:val="1B27887E"/>
    <w:rsid w:val="1B2AA88F"/>
    <w:rsid w:val="1B2C7709"/>
    <w:rsid w:val="1B366FF9"/>
    <w:rsid w:val="1B378164"/>
    <w:rsid w:val="1B3CD2DD"/>
    <w:rsid w:val="1B446881"/>
    <w:rsid w:val="1B453437"/>
    <w:rsid w:val="1B45674C"/>
    <w:rsid w:val="1B4B990A"/>
    <w:rsid w:val="1B4C48F1"/>
    <w:rsid w:val="1B4D46F2"/>
    <w:rsid w:val="1B508C33"/>
    <w:rsid w:val="1B50ABC5"/>
    <w:rsid w:val="1B6858F0"/>
    <w:rsid w:val="1B69B73C"/>
    <w:rsid w:val="1B73EC9C"/>
    <w:rsid w:val="1B7661BC"/>
    <w:rsid w:val="1B7810DF"/>
    <w:rsid w:val="1B821BF8"/>
    <w:rsid w:val="1B83E35A"/>
    <w:rsid w:val="1B8B50B2"/>
    <w:rsid w:val="1B8CD15E"/>
    <w:rsid w:val="1B8DE2BC"/>
    <w:rsid w:val="1B8FDF45"/>
    <w:rsid w:val="1B93D942"/>
    <w:rsid w:val="1B941DDC"/>
    <w:rsid w:val="1B94BA2C"/>
    <w:rsid w:val="1B9D9089"/>
    <w:rsid w:val="1BA3935B"/>
    <w:rsid w:val="1BA57097"/>
    <w:rsid w:val="1BA91223"/>
    <w:rsid w:val="1BA93880"/>
    <w:rsid w:val="1BACB0C6"/>
    <w:rsid w:val="1BACFC0B"/>
    <w:rsid w:val="1BADA502"/>
    <w:rsid w:val="1BB1411C"/>
    <w:rsid w:val="1BB182D0"/>
    <w:rsid w:val="1BBAB307"/>
    <w:rsid w:val="1BC664E1"/>
    <w:rsid w:val="1BC6A9C5"/>
    <w:rsid w:val="1BC6F8A7"/>
    <w:rsid w:val="1BC865D2"/>
    <w:rsid w:val="1BCA821A"/>
    <w:rsid w:val="1BCE5FB5"/>
    <w:rsid w:val="1BD21BF9"/>
    <w:rsid w:val="1BD240F0"/>
    <w:rsid w:val="1BD25873"/>
    <w:rsid w:val="1BD43087"/>
    <w:rsid w:val="1BD55A7D"/>
    <w:rsid w:val="1BDBEE67"/>
    <w:rsid w:val="1BDC55C8"/>
    <w:rsid w:val="1BE0A671"/>
    <w:rsid w:val="1BECEE2E"/>
    <w:rsid w:val="1BEED36F"/>
    <w:rsid w:val="1BF3962E"/>
    <w:rsid w:val="1BF51CCC"/>
    <w:rsid w:val="1BF60CFE"/>
    <w:rsid w:val="1BF74402"/>
    <w:rsid w:val="1BFAED17"/>
    <w:rsid w:val="1BFD7641"/>
    <w:rsid w:val="1BFDFAC6"/>
    <w:rsid w:val="1BFFB1A7"/>
    <w:rsid w:val="1BFFC441"/>
    <w:rsid w:val="1C07EE86"/>
    <w:rsid w:val="1C087D68"/>
    <w:rsid w:val="1C091E95"/>
    <w:rsid w:val="1C0B9CAC"/>
    <w:rsid w:val="1C0C9D00"/>
    <w:rsid w:val="1C122D4B"/>
    <w:rsid w:val="1C145F79"/>
    <w:rsid w:val="1C1568DE"/>
    <w:rsid w:val="1C1B0A58"/>
    <w:rsid w:val="1C1B963D"/>
    <w:rsid w:val="1C1C472B"/>
    <w:rsid w:val="1C1E126F"/>
    <w:rsid w:val="1C20A988"/>
    <w:rsid w:val="1C20ACCC"/>
    <w:rsid w:val="1C20EBD1"/>
    <w:rsid w:val="1C20F177"/>
    <w:rsid w:val="1C261B4E"/>
    <w:rsid w:val="1C2626AB"/>
    <w:rsid w:val="1C2681C3"/>
    <w:rsid w:val="1C2828B9"/>
    <w:rsid w:val="1C294D02"/>
    <w:rsid w:val="1C297030"/>
    <w:rsid w:val="1C2A0E54"/>
    <w:rsid w:val="1C2EF53E"/>
    <w:rsid w:val="1C313394"/>
    <w:rsid w:val="1C36053F"/>
    <w:rsid w:val="1C3A6CD2"/>
    <w:rsid w:val="1C3AA3FE"/>
    <w:rsid w:val="1C3D1816"/>
    <w:rsid w:val="1C4072F2"/>
    <w:rsid w:val="1C4744E4"/>
    <w:rsid w:val="1C4C0FF0"/>
    <w:rsid w:val="1C4DA8C8"/>
    <w:rsid w:val="1C4E0F22"/>
    <w:rsid w:val="1C53EB90"/>
    <w:rsid w:val="1C558D15"/>
    <w:rsid w:val="1C561460"/>
    <w:rsid w:val="1C56689C"/>
    <w:rsid w:val="1C5822A1"/>
    <w:rsid w:val="1C591862"/>
    <w:rsid w:val="1C5D33C6"/>
    <w:rsid w:val="1C5F355B"/>
    <w:rsid w:val="1C637FEE"/>
    <w:rsid w:val="1C653579"/>
    <w:rsid w:val="1C663826"/>
    <w:rsid w:val="1C678EBE"/>
    <w:rsid w:val="1C67FEAA"/>
    <w:rsid w:val="1C6B05C2"/>
    <w:rsid w:val="1C6D2D00"/>
    <w:rsid w:val="1C7368EC"/>
    <w:rsid w:val="1C79870C"/>
    <w:rsid w:val="1C7ABE41"/>
    <w:rsid w:val="1C7AFA8B"/>
    <w:rsid w:val="1C7BB69A"/>
    <w:rsid w:val="1C7E2FFF"/>
    <w:rsid w:val="1C7EBD14"/>
    <w:rsid w:val="1C810F18"/>
    <w:rsid w:val="1C83DCBA"/>
    <w:rsid w:val="1C8434EA"/>
    <w:rsid w:val="1C8498BF"/>
    <w:rsid w:val="1C898F8F"/>
    <w:rsid w:val="1C8C1074"/>
    <w:rsid w:val="1C974828"/>
    <w:rsid w:val="1C9FE1AB"/>
    <w:rsid w:val="1CA2BDCE"/>
    <w:rsid w:val="1CA2D4DB"/>
    <w:rsid w:val="1CAB3FD9"/>
    <w:rsid w:val="1CAB5DC9"/>
    <w:rsid w:val="1CAEECB2"/>
    <w:rsid w:val="1CB53C80"/>
    <w:rsid w:val="1CB92F7A"/>
    <w:rsid w:val="1CB98B00"/>
    <w:rsid w:val="1CBAF88E"/>
    <w:rsid w:val="1CBAFDD4"/>
    <w:rsid w:val="1CC1D733"/>
    <w:rsid w:val="1CC892E0"/>
    <w:rsid w:val="1CC95FAA"/>
    <w:rsid w:val="1CD2141D"/>
    <w:rsid w:val="1CD58583"/>
    <w:rsid w:val="1CD9CD6A"/>
    <w:rsid w:val="1CDC2235"/>
    <w:rsid w:val="1CDDE798"/>
    <w:rsid w:val="1CDFCF8B"/>
    <w:rsid w:val="1CE34F06"/>
    <w:rsid w:val="1CE4E2B0"/>
    <w:rsid w:val="1CEA44F0"/>
    <w:rsid w:val="1CEC6567"/>
    <w:rsid w:val="1CEECD61"/>
    <w:rsid w:val="1CF21A6B"/>
    <w:rsid w:val="1CF2BA76"/>
    <w:rsid w:val="1CF51033"/>
    <w:rsid w:val="1CF54CA6"/>
    <w:rsid w:val="1CF7FD40"/>
    <w:rsid w:val="1CF80BD0"/>
    <w:rsid w:val="1CFC13E6"/>
    <w:rsid w:val="1CFDEDB2"/>
    <w:rsid w:val="1CFE89C9"/>
    <w:rsid w:val="1CFED131"/>
    <w:rsid w:val="1D004F41"/>
    <w:rsid w:val="1D04DB44"/>
    <w:rsid w:val="1D05B035"/>
    <w:rsid w:val="1D0C6632"/>
    <w:rsid w:val="1D0F430E"/>
    <w:rsid w:val="1D11F033"/>
    <w:rsid w:val="1D1258D3"/>
    <w:rsid w:val="1D14CD52"/>
    <w:rsid w:val="1D152964"/>
    <w:rsid w:val="1D22935A"/>
    <w:rsid w:val="1D26A307"/>
    <w:rsid w:val="1D296EEB"/>
    <w:rsid w:val="1D2B27F9"/>
    <w:rsid w:val="1D2BBFBA"/>
    <w:rsid w:val="1D313CE7"/>
    <w:rsid w:val="1D32D97C"/>
    <w:rsid w:val="1D3309F4"/>
    <w:rsid w:val="1D342E99"/>
    <w:rsid w:val="1D3544E9"/>
    <w:rsid w:val="1D35FD62"/>
    <w:rsid w:val="1D3BBBF1"/>
    <w:rsid w:val="1D3BDC42"/>
    <w:rsid w:val="1D3CB534"/>
    <w:rsid w:val="1D4157D5"/>
    <w:rsid w:val="1D43B8F2"/>
    <w:rsid w:val="1D4FB690"/>
    <w:rsid w:val="1D537EF1"/>
    <w:rsid w:val="1D54CC7A"/>
    <w:rsid w:val="1D577033"/>
    <w:rsid w:val="1D584479"/>
    <w:rsid w:val="1D5AFFF8"/>
    <w:rsid w:val="1D5B1156"/>
    <w:rsid w:val="1D5F8644"/>
    <w:rsid w:val="1D5FEC3F"/>
    <w:rsid w:val="1D6686EE"/>
    <w:rsid w:val="1D675462"/>
    <w:rsid w:val="1D6B7EBD"/>
    <w:rsid w:val="1D6F00C6"/>
    <w:rsid w:val="1D7121EE"/>
    <w:rsid w:val="1D73EE6A"/>
    <w:rsid w:val="1D74DAC8"/>
    <w:rsid w:val="1D7927C4"/>
    <w:rsid w:val="1D7C5D8B"/>
    <w:rsid w:val="1D7FDF0D"/>
    <w:rsid w:val="1D84B7BC"/>
    <w:rsid w:val="1D8B6584"/>
    <w:rsid w:val="1D8C0EEE"/>
    <w:rsid w:val="1D951979"/>
    <w:rsid w:val="1D96066C"/>
    <w:rsid w:val="1D9889E4"/>
    <w:rsid w:val="1D9B2F5C"/>
    <w:rsid w:val="1D9B4907"/>
    <w:rsid w:val="1D9BEBB6"/>
    <w:rsid w:val="1D9DE063"/>
    <w:rsid w:val="1DA34787"/>
    <w:rsid w:val="1DA44AA3"/>
    <w:rsid w:val="1DAC4E98"/>
    <w:rsid w:val="1DB9F157"/>
    <w:rsid w:val="1DBB5C9F"/>
    <w:rsid w:val="1DBE5808"/>
    <w:rsid w:val="1DC6B35C"/>
    <w:rsid w:val="1DC7AF5F"/>
    <w:rsid w:val="1DC9673C"/>
    <w:rsid w:val="1DCB63BC"/>
    <w:rsid w:val="1DCCD323"/>
    <w:rsid w:val="1DCF81B3"/>
    <w:rsid w:val="1DD12B61"/>
    <w:rsid w:val="1DD473F2"/>
    <w:rsid w:val="1DD5D672"/>
    <w:rsid w:val="1DDA49E0"/>
    <w:rsid w:val="1DDD4909"/>
    <w:rsid w:val="1DE3BFCE"/>
    <w:rsid w:val="1DEAB542"/>
    <w:rsid w:val="1DECCD63"/>
    <w:rsid w:val="1DED2288"/>
    <w:rsid w:val="1DF07365"/>
    <w:rsid w:val="1DF3B427"/>
    <w:rsid w:val="1DF431D4"/>
    <w:rsid w:val="1DF8E15B"/>
    <w:rsid w:val="1DFB980C"/>
    <w:rsid w:val="1DFC6394"/>
    <w:rsid w:val="1DFD971C"/>
    <w:rsid w:val="1E0067C1"/>
    <w:rsid w:val="1E0094B2"/>
    <w:rsid w:val="1E00A503"/>
    <w:rsid w:val="1E00EC1C"/>
    <w:rsid w:val="1E089BAF"/>
    <w:rsid w:val="1E08CEDE"/>
    <w:rsid w:val="1E09A177"/>
    <w:rsid w:val="1E09C853"/>
    <w:rsid w:val="1E0D3062"/>
    <w:rsid w:val="1E1255CA"/>
    <w:rsid w:val="1E14E690"/>
    <w:rsid w:val="1E15F6CA"/>
    <w:rsid w:val="1E180287"/>
    <w:rsid w:val="1E1CE5F0"/>
    <w:rsid w:val="1E1D78F0"/>
    <w:rsid w:val="1E20363F"/>
    <w:rsid w:val="1E255AE2"/>
    <w:rsid w:val="1E264F68"/>
    <w:rsid w:val="1E26CE35"/>
    <w:rsid w:val="1E29BA14"/>
    <w:rsid w:val="1E306FF6"/>
    <w:rsid w:val="1E33CD7A"/>
    <w:rsid w:val="1E38B3DC"/>
    <w:rsid w:val="1E40A86E"/>
    <w:rsid w:val="1E41E1E1"/>
    <w:rsid w:val="1E44E964"/>
    <w:rsid w:val="1E4909B9"/>
    <w:rsid w:val="1E4C1020"/>
    <w:rsid w:val="1E4C13C4"/>
    <w:rsid w:val="1E4C6A75"/>
    <w:rsid w:val="1E4F13BA"/>
    <w:rsid w:val="1E513CEE"/>
    <w:rsid w:val="1E59EF75"/>
    <w:rsid w:val="1E5A850F"/>
    <w:rsid w:val="1E61D3C4"/>
    <w:rsid w:val="1E6230A5"/>
    <w:rsid w:val="1E653594"/>
    <w:rsid w:val="1E69D8DB"/>
    <w:rsid w:val="1E6D3903"/>
    <w:rsid w:val="1E6ECF26"/>
    <w:rsid w:val="1E75050C"/>
    <w:rsid w:val="1E79EDC5"/>
    <w:rsid w:val="1E7E855C"/>
    <w:rsid w:val="1E7EE10B"/>
    <w:rsid w:val="1E820E59"/>
    <w:rsid w:val="1E844DF8"/>
    <w:rsid w:val="1E88CB44"/>
    <w:rsid w:val="1E8CBD31"/>
    <w:rsid w:val="1E8D6501"/>
    <w:rsid w:val="1E8F9871"/>
    <w:rsid w:val="1E9D9D96"/>
    <w:rsid w:val="1E9EC2B8"/>
    <w:rsid w:val="1EA94BAF"/>
    <w:rsid w:val="1EAA500E"/>
    <w:rsid w:val="1EACE990"/>
    <w:rsid w:val="1EADBA85"/>
    <w:rsid w:val="1EADF6CA"/>
    <w:rsid w:val="1EB2F13F"/>
    <w:rsid w:val="1EB4DE30"/>
    <w:rsid w:val="1EB519CE"/>
    <w:rsid w:val="1EB80C48"/>
    <w:rsid w:val="1EBC3871"/>
    <w:rsid w:val="1EBF27FD"/>
    <w:rsid w:val="1EBFEEA0"/>
    <w:rsid w:val="1EC18828"/>
    <w:rsid w:val="1EC1F35E"/>
    <w:rsid w:val="1EC8FDA2"/>
    <w:rsid w:val="1ECCECB9"/>
    <w:rsid w:val="1ECE96D7"/>
    <w:rsid w:val="1ECF6086"/>
    <w:rsid w:val="1ED7208C"/>
    <w:rsid w:val="1ED86A3E"/>
    <w:rsid w:val="1ED9D8F4"/>
    <w:rsid w:val="1EDB614B"/>
    <w:rsid w:val="1EDC7BBC"/>
    <w:rsid w:val="1EDC89A4"/>
    <w:rsid w:val="1EDDAF30"/>
    <w:rsid w:val="1EE43A9E"/>
    <w:rsid w:val="1EE84950"/>
    <w:rsid w:val="1EE8F66B"/>
    <w:rsid w:val="1EE9D6F8"/>
    <w:rsid w:val="1EE9F1EA"/>
    <w:rsid w:val="1EEA7908"/>
    <w:rsid w:val="1EEDBFA8"/>
    <w:rsid w:val="1EEE5079"/>
    <w:rsid w:val="1EF34094"/>
    <w:rsid w:val="1EF8788C"/>
    <w:rsid w:val="1EFE8D61"/>
    <w:rsid w:val="1EFF65D0"/>
    <w:rsid w:val="1F01D2DE"/>
    <w:rsid w:val="1F06DCC0"/>
    <w:rsid w:val="1F0AD830"/>
    <w:rsid w:val="1F0B2BBF"/>
    <w:rsid w:val="1F0D15B5"/>
    <w:rsid w:val="1F0D5838"/>
    <w:rsid w:val="1F0ECBF4"/>
    <w:rsid w:val="1F0F705B"/>
    <w:rsid w:val="1F0FED5F"/>
    <w:rsid w:val="1F100A04"/>
    <w:rsid w:val="1F1427F6"/>
    <w:rsid w:val="1F1606F5"/>
    <w:rsid w:val="1F1D6606"/>
    <w:rsid w:val="1F1E53A6"/>
    <w:rsid w:val="1F1FA945"/>
    <w:rsid w:val="1F295084"/>
    <w:rsid w:val="1F299D16"/>
    <w:rsid w:val="1F29C353"/>
    <w:rsid w:val="1F2B5420"/>
    <w:rsid w:val="1F2D91B0"/>
    <w:rsid w:val="1F31CA3D"/>
    <w:rsid w:val="1F3C52C1"/>
    <w:rsid w:val="1F3EAA0F"/>
    <w:rsid w:val="1F3FA69E"/>
    <w:rsid w:val="1F420C1E"/>
    <w:rsid w:val="1F481356"/>
    <w:rsid w:val="1F4BB031"/>
    <w:rsid w:val="1F4C3382"/>
    <w:rsid w:val="1F4EF268"/>
    <w:rsid w:val="1F562514"/>
    <w:rsid w:val="1F56700D"/>
    <w:rsid w:val="1F56AC23"/>
    <w:rsid w:val="1F5BD3FB"/>
    <w:rsid w:val="1F5C314D"/>
    <w:rsid w:val="1F5F4188"/>
    <w:rsid w:val="1F5FB55D"/>
    <w:rsid w:val="1F605B85"/>
    <w:rsid w:val="1F60C124"/>
    <w:rsid w:val="1F63FA72"/>
    <w:rsid w:val="1F69843A"/>
    <w:rsid w:val="1F699A77"/>
    <w:rsid w:val="1F6DBC36"/>
    <w:rsid w:val="1F6EBF98"/>
    <w:rsid w:val="1F7115F0"/>
    <w:rsid w:val="1F743169"/>
    <w:rsid w:val="1F756654"/>
    <w:rsid w:val="1F7EE5F2"/>
    <w:rsid w:val="1F8331C4"/>
    <w:rsid w:val="1F83DFCB"/>
    <w:rsid w:val="1F8633DE"/>
    <w:rsid w:val="1F8C3A79"/>
    <w:rsid w:val="1F8D24A8"/>
    <w:rsid w:val="1F91E9CA"/>
    <w:rsid w:val="1FA11610"/>
    <w:rsid w:val="1FA66DE0"/>
    <w:rsid w:val="1FA7BF38"/>
    <w:rsid w:val="1FA7F21A"/>
    <w:rsid w:val="1FA8871B"/>
    <w:rsid w:val="1FAFC080"/>
    <w:rsid w:val="1FAFF1BF"/>
    <w:rsid w:val="1FB23B14"/>
    <w:rsid w:val="1FB2C657"/>
    <w:rsid w:val="1FB328DE"/>
    <w:rsid w:val="1FB3AE63"/>
    <w:rsid w:val="1FB589D4"/>
    <w:rsid w:val="1FB6C8D3"/>
    <w:rsid w:val="1FB6D822"/>
    <w:rsid w:val="1FB724B1"/>
    <w:rsid w:val="1FB74E4B"/>
    <w:rsid w:val="1FB80D34"/>
    <w:rsid w:val="1FBCF290"/>
    <w:rsid w:val="1FBE1E14"/>
    <w:rsid w:val="1FBEA385"/>
    <w:rsid w:val="1FC36455"/>
    <w:rsid w:val="1FC59D85"/>
    <w:rsid w:val="1FC8BE3C"/>
    <w:rsid w:val="1FD4A6B9"/>
    <w:rsid w:val="1FD5F17A"/>
    <w:rsid w:val="1FD810F9"/>
    <w:rsid w:val="1FDC17D2"/>
    <w:rsid w:val="1FDD9AB7"/>
    <w:rsid w:val="1FE050B9"/>
    <w:rsid w:val="1FE48C81"/>
    <w:rsid w:val="1FEF4651"/>
    <w:rsid w:val="1FEFCE4E"/>
    <w:rsid w:val="1FF0BA4B"/>
    <w:rsid w:val="1FF25862"/>
    <w:rsid w:val="1FF42613"/>
    <w:rsid w:val="1FF79528"/>
    <w:rsid w:val="1FFDB763"/>
    <w:rsid w:val="20002DEB"/>
    <w:rsid w:val="2006B184"/>
    <w:rsid w:val="200BE7A5"/>
    <w:rsid w:val="200E04B6"/>
    <w:rsid w:val="20107F7B"/>
    <w:rsid w:val="20129E84"/>
    <w:rsid w:val="2013AACE"/>
    <w:rsid w:val="2016B89F"/>
    <w:rsid w:val="2016F415"/>
    <w:rsid w:val="201AE187"/>
    <w:rsid w:val="201F11FA"/>
    <w:rsid w:val="201F5C69"/>
    <w:rsid w:val="20232FD8"/>
    <w:rsid w:val="20233BAE"/>
    <w:rsid w:val="20257248"/>
    <w:rsid w:val="2025AF2A"/>
    <w:rsid w:val="202C19BD"/>
    <w:rsid w:val="202E5A18"/>
    <w:rsid w:val="20339DA1"/>
    <w:rsid w:val="2034F3E8"/>
    <w:rsid w:val="203CA065"/>
    <w:rsid w:val="20417BE2"/>
    <w:rsid w:val="20451783"/>
    <w:rsid w:val="2045618D"/>
    <w:rsid w:val="2045F6FC"/>
    <w:rsid w:val="2048F769"/>
    <w:rsid w:val="204BEC71"/>
    <w:rsid w:val="204D5EA5"/>
    <w:rsid w:val="204FCDC7"/>
    <w:rsid w:val="2053C63D"/>
    <w:rsid w:val="205AF553"/>
    <w:rsid w:val="205B5BD9"/>
    <w:rsid w:val="20600B60"/>
    <w:rsid w:val="206CB3C9"/>
    <w:rsid w:val="20719072"/>
    <w:rsid w:val="2072763D"/>
    <w:rsid w:val="20758FA9"/>
    <w:rsid w:val="2075BAB8"/>
    <w:rsid w:val="20789FC1"/>
    <w:rsid w:val="20795838"/>
    <w:rsid w:val="20822DFE"/>
    <w:rsid w:val="2082831F"/>
    <w:rsid w:val="2082E1C8"/>
    <w:rsid w:val="2084ACB5"/>
    <w:rsid w:val="2085D03E"/>
    <w:rsid w:val="208625A5"/>
    <w:rsid w:val="2086B1F7"/>
    <w:rsid w:val="2088F177"/>
    <w:rsid w:val="208CA2A4"/>
    <w:rsid w:val="208DF07C"/>
    <w:rsid w:val="208E3D52"/>
    <w:rsid w:val="208E9D36"/>
    <w:rsid w:val="20922EF7"/>
    <w:rsid w:val="20969FBA"/>
    <w:rsid w:val="20999F1A"/>
    <w:rsid w:val="209D8138"/>
    <w:rsid w:val="209F611F"/>
    <w:rsid w:val="20A14C2B"/>
    <w:rsid w:val="20A15D7E"/>
    <w:rsid w:val="20A1AD59"/>
    <w:rsid w:val="20A581DC"/>
    <w:rsid w:val="20ACB671"/>
    <w:rsid w:val="20ACDDF6"/>
    <w:rsid w:val="20AE90CD"/>
    <w:rsid w:val="20B3ABA2"/>
    <w:rsid w:val="20B44E06"/>
    <w:rsid w:val="20B839CE"/>
    <w:rsid w:val="20C7E538"/>
    <w:rsid w:val="20CD4F3E"/>
    <w:rsid w:val="20D20923"/>
    <w:rsid w:val="20D5AC21"/>
    <w:rsid w:val="20DBC474"/>
    <w:rsid w:val="20DD59ED"/>
    <w:rsid w:val="20E36403"/>
    <w:rsid w:val="20E5462E"/>
    <w:rsid w:val="20E80290"/>
    <w:rsid w:val="20EC2689"/>
    <w:rsid w:val="20EC35C2"/>
    <w:rsid w:val="20ECAF7A"/>
    <w:rsid w:val="20EE9B27"/>
    <w:rsid w:val="20EEAEDA"/>
    <w:rsid w:val="20F0041E"/>
    <w:rsid w:val="20F1DA27"/>
    <w:rsid w:val="20F1EB17"/>
    <w:rsid w:val="20F237A3"/>
    <w:rsid w:val="21003B52"/>
    <w:rsid w:val="2115B33D"/>
    <w:rsid w:val="21173BCC"/>
    <w:rsid w:val="211747AC"/>
    <w:rsid w:val="2117D8D2"/>
    <w:rsid w:val="2118E2A7"/>
    <w:rsid w:val="211970B6"/>
    <w:rsid w:val="211A5CD2"/>
    <w:rsid w:val="2121036E"/>
    <w:rsid w:val="21246DA7"/>
    <w:rsid w:val="212874C4"/>
    <w:rsid w:val="212B2127"/>
    <w:rsid w:val="212B2205"/>
    <w:rsid w:val="212B4096"/>
    <w:rsid w:val="212E038A"/>
    <w:rsid w:val="21315A57"/>
    <w:rsid w:val="2134FE51"/>
    <w:rsid w:val="21350657"/>
    <w:rsid w:val="21383FAB"/>
    <w:rsid w:val="213B21F0"/>
    <w:rsid w:val="213C6D65"/>
    <w:rsid w:val="213E860D"/>
    <w:rsid w:val="213F4630"/>
    <w:rsid w:val="21425B37"/>
    <w:rsid w:val="2142A5C3"/>
    <w:rsid w:val="214AD7BB"/>
    <w:rsid w:val="214EDABB"/>
    <w:rsid w:val="2152AD3E"/>
    <w:rsid w:val="215432A2"/>
    <w:rsid w:val="2156052E"/>
    <w:rsid w:val="215B3506"/>
    <w:rsid w:val="215C101D"/>
    <w:rsid w:val="215C9989"/>
    <w:rsid w:val="215EB3E2"/>
    <w:rsid w:val="2161C0D0"/>
    <w:rsid w:val="21646CAE"/>
    <w:rsid w:val="216685A5"/>
    <w:rsid w:val="216774AE"/>
    <w:rsid w:val="2167AEBC"/>
    <w:rsid w:val="216D35E2"/>
    <w:rsid w:val="216F6BA6"/>
    <w:rsid w:val="2175C133"/>
    <w:rsid w:val="21775378"/>
    <w:rsid w:val="2177D216"/>
    <w:rsid w:val="21797E2B"/>
    <w:rsid w:val="217E1BA3"/>
    <w:rsid w:val="217EDA96"/>
    <w:rsid w:val="2181C5ED"/>
    <w:rsid w:val="2183FB71"/>
    <w:rsid w:val="218CBCEA"/>
    <w:rsid w:val="218D48E4"/>
    <w:rsid w:val="21904AC9"/>
    <w:rsid w:val="219165D5"/>
    <w:rsid w:val="2191D335"/>
    <w:rsid w:val="2194D3B7"/>
    <w:rsid w:val="2198445D"/>
    <w:rsid w:val="219D9246"/>
    <w:rsid w:val="21A25CEF"/>
    <w:rsid w:val="21A35BB2"/>
    <w:rsid w:val="21AE9A2A"/>
    <w:rsid w:val="21B24291"/>
    <w:rsid w:val="21B3EB31"/>
    <w:rsid w:val="21B6AE62"/>
    <w:rsid w:val="21BCEFEC"/>
    <w:rsid w:val="21C5AB0A"/>
    <w:rsid w:val="21CA93E0"/>
    <w:rsid w:val="21CB9640"/>
    <w:rsid w:val="21CBD51A"/>
    <w:rsid w:val="21D26638"/>
    <w:rsid w:val="21D3CE3F"/>
    <w:rsid w:val="21D574B5"/>
    <w:rsid w:val="21D68269"/>
    <w:rsid w:val="21D72B0C"/>
    <w:rsid w:val="21D8D1CB"/>
    <w:rsid w:val="21DA4B4F"/>
    <w:rsid w:val="21DB6E49"/>
    <w:rsid w:val="21DCA50D"/>
    <w:rsid w:val="21E2AB9E"/>
    <w:rsid w:val="21E85478"/>
    <w:rsid w:val="21E8D06F"/>
    <w:rsid w:val="21E9D2D3"/>
    <w:rsid w:val="21EA9201"/>
    <w:rsid w:val="21F15382"/>
    <w:rsid w:val="21F2C567"/>
    <w:rsid w:val="21F31128"/>
    <w:rsid w:val="21F7FDF0"/>
    <w:rsid w:val="21FCC9DE"/>
    <w:rsid w:val="21FE7201"/>
    <w:rsid w:val="21FF6265"/>
    <w:rsid w:val="22076473"/>
    <w:rsid w:val="220BD2D8"/>
    <w:rsid w:val="220C783E"/>
    <w:rsid w:val="220E5547"/>
    <w:rsid w:val="221391DF"/>
    <w:rsid w:val="2214ABCB"/>
    <w:rsid w:val="22152E4A"/>
    <w:rsid w:val="22167ED2"/>
    <w:rsid w:val="2216A2F4"/>
    <w:rsid w:val="22197F73"/>
    <w:rsid w:val="221D901F"/>
    <w:rsid w:val="221E159C"/>
    <w:rsid w:val="222085AA"/>
    <w:rsid w:val="2227308D"/>
    <w:rsid w:val="2227F2D1"/>
    <w:rsid w:val="2229D82B"/>
    <w:rsid w:val="222BE2CE"/>
    <w:rsid w:val="222C3152"/>
    <w:rsid w:val="223040DA"/>
    <w:rsid w:val="2233AD3D"/>
    <w:rsid w:val="2234D6CD"/>
    <w:rsid w:val="22402DAA"/>
    <w:rsid w:val="2245750B"/>
    <w:rsid w:val="224B3364"/>
    <w:rsid w:val="224BA14A"/>
    <w:rsid w:val="224CA78B"/>
    <w:rsid w:val="224E850B"/>
    <w:rsid w:val="225460A5"/>
    <w:rsid w:val="2254CAF4"/>
    <w:rsid w:val="2256E853"/>
    <w:rsid w:val="22585037"/>
    <w:rsid w:val="22610AC9"/>
    <w:rsid w:val="22678B1A"/>
    <w:rsid w:val="226B21F0"/>
    <w:rsid w:val="226C1D70"/>
    <w:rsid w:val="226CF49D"/>
    <w:rsid w:val="226D05A4"/>
    <w:rsid w:val="22713789"/>
    <w:rsid w:val="22736753"/>
    <w:rsid w:val="22747D6D"/>
    <w:rsid w:val="22768AE6"/>
    <w:rsid w:val="2279F373"/>
    <w:rsid w:val="227AB250"/>
    <w:rsid w:val="22822E5B"/>
    <w:rsid w:val="228E3542"/>
    <w:rsid w:val="2292CAE3"/>
    <w:rsid w:val="22A0954F"/>
    <w:rsid w:val="22A38613"/>
    <w:rsid w:val="22A785D4"/>
    <w:rsid w:val="22AAC823"/>
    <w:rsid w:val="22AAC8A6"/>
    <w:rsid w:val="22AACBAD"/>
    <w:rsid w:val="22ACA360"/>
    <w:rsid w:val="22AF35D3"/>
    <w:rsid w:val="22B16B30"/>
    <w:rsid w:val="22B6C2CB"/>
    <w:rsid w:val="22B6DAEF"/>
    <w:rsid w:val="22B78B06"/>
    <w:rsid w:val="22B7AB58"/>
    <w:rsid w:val="22B8D597"/>
    <w:rsid w:val="22C61939"/>
    <w:rsid w:val="22C85882"/>
    <w:rsid w:val="22C99C36"/>
    <w:rsid w:val="22C9D160"/>
    <w:rsid w:val="22CAB7E0"/>
    <w:rsid w:val="22CAF71E"/>
    <w:rsid w:val="22CBF9CE"/>
    <w:rsid w:val="22CD58C3"/>
    <w:rsid w:val="22CDCD58"/>
    <w:rsid w:val="22CF9F28"/>
    <w:rsid w:val="22D2817D"/>
    <w:rsid w:val="22D3C6F0"/>
    <w:rsid w:val="22D8E436"/>
    <w:rsid w:val="22D94FDA"/>
    <w:rsid w:val="22DE6405"/>
    <w:rsid w:val="22E18FA6"/>
    <w:rsid w:val="22E30901"/>
    <w:rsid w:val="22E55229"/>
    <w:rsid w:val="22E8AB46"/>
    <w:rsid w:val="22F3F758"/>
    <w:rsid w:val="22F42FEC"/>
    <w:rsid w:val="22F7AEC0"/>
    <w:rsid w:val="22F9A3A1"/>
    <w:rsid w:val="22FB5E4B"/>
    <w:rsid w:val="2305FECD"/>
    <w:rsid w:val="23083711"/>
    <w:rsid w:val="230B9629"/>
    <w:rsid w:val="230D0B57"/>
    <w:rsid w:val="230EC09F"/>
    <w:rsid w:val="23124F2A"/>
    <w:rsid w:val="23167477"/>
    <w:rsid w:val="2319E662"/>
    <w:rsid w:val="231D1D2D"/>
    <w:rsid w:val="231E6D48"/>
    <w:rsid w:val="2320B277"/>
    <w:rsid w:val="23250AD2"/>
    <w:rsid w:val="232A2AA8"/>
    <w:rsid w:val="232A8FA0"/>
    <w:rsid w:val="232DFAF6"/>
    <w:rsid w:val="232FC4DB"/>
    <w:rsid w:val="233641B7"/>
    <w:rsid w:val="2336ECAC"/>
    <w:rsid w:val="23389C24"/>
    <w:rsid w:val="23394853"/>
    <w:rsid w:val="233C8310"/>
    <w:rsid w:val="233F3E18"/>
    <w:rsid w:val="233F4B4D"/>
    <w:rsid w:val="23410430"/>
    <w:rsid w:val="234A792D"/>
    <w:rsid w:val="234ADCF5"/>
    <w:rsid w:val="234CB2E1"/>
    <w:rsid w:val="234CBA66"/>
    <w:rsid w:val="234F3AC8"/>
    <w:rsid w:val="23510296"/>
    <w:rsid w:val="2352782B"/>
    <w:rsid w:val="23560006"/>
    <w:rsid w:val="235A10B3"/>
    <w:rsid w:val="235CDC1E"/>
    <w:rsid w:val="235D8776"/>
    <w:rsid w:val="2360E0F7"/>
    <w:rsid w:val="2362FC4F"/>
    <w:rsid w:val="23650AF3"/>
    <w:rsid w:val="23653B5D"/>
    <w:rsid w:val="23658F9F"/>
    <w:rsid w:val="2368F49E"/>
    <w:rsid w:val="2369AAE3"/>
    <w:rsid w:val="236C347E"/>
    <w:rsid w:val="236ED7B1"/>
    <w:rsid w:val="236ED92A"/>
    <w:rsid w:val="23723B2E"/>
    <w:rsid w:val="23724C81"/>
    <w:rsid w:val="23758372"/>
    <w:rsid w:val="237D3EA6"/>
    <w:rsid w:val="2384BF5F"/>
    <w:rsid w:val="2385544E"/>
    <w:rsid w:val="2385F65B"/>
    <w:rsid w:val="238A5CAA"/>
    <w:rsid w:val="23911FBC"/>
    <w:rsid w:val="23935DD8"/>
    <w:rsid w:val="2393BCDA"/>
    <w:rsid w:val="23943E16"/>
    <w:rsid w:val="2399AB97"/>
    <w:rsid w:val="239E1CF0"/>
    <w:rsid w:val="239EF344"/>
    <w:rsid w:val="23A1A3D6"/>
    <w:rsid w:val="23A2010A"/>
    <w:rsid w:val="23A24451"/>
    <w:rsid w:val="23A4BBD3"/>
    <w:rsid w:val="23A50092"/>
    <w:rsid w:val="23A66112"/>
    <w:rsid w:val="23AD0C46"/>
    <w:rsid w:val="23B0DC5B"/>
    <w:rsid w:val="23BAA01F"/>
    <w:rsid w:val="23BB87A4"/>
    <w:rsid w:val="23C0D88B"/>
    <w:rsid w:val="23C38E5A"/>
    <w:rsid w:val="23C43CC4"/>
    <w:rsid w:val="23C5DD13"/>
    <w:rsid w:val="23C5ECA7"/>
    <w:rsid w:val="23C74180"/>
    <w:rsid w:val="23CBF53F"/>
    <w:rsid w:val="23CC6C4B"/>
    <w:rsid w:val="23CC98AD"/>
    <w:rsid w:val="23CF451E"/>
    <w:rsid w:val="23CFBFA5"/>
    <w:rsid w:val="23D234E9"/>
    <w:rsid w:val="23DAF04F"/>
    <w:rsid w:val="23DFBA2F"/>
    <w:rsid w:val="23E2B215"/>
    <w:rsid w:val="23E5B37E"/>
    <w:rsid w:val="23E70BDE"/>
    <w:rsid w:val="23EB34B1"/>
    <w:rsid w:val="23EF2737"/>
    <w:rsid w:val="23F71CEF"/>
    <w:rsid w:val="23FC93FB"/>
    <w:rsid w:val="2404689C"/>
    <w:rsid w:val="240506AC"/>
    <w:rsid w:val="24051857"/>
    <w:rsid w:val="24060E14"/>
    <w:rsid w:val="2408151E"/>
    <w:rsid w:val="240C0BA5"/>
    <w:rsid w:val="240D5343"/>
    <w:rsid w:val="2412FD5F"/>
    <w:rsid w:val="2413DA86"/>
    <w:rsid w:val="24144889"/>
    <w:rsid w:val="241ABF4E"/>
    <w:rsid w:val="241B9D36"/>
    <w:rsid w:val="241BA5D6"/>
    <w:rsid w:val="241FC1F5"/>
    <w:rsid w:val="241FEF54"/>
    <w:rsid w:val="24219799"/>
    <w:rsid w:val="2429AFFD"/>
    <w:rsid w:val="2429FB6D"/>
    <w:rsid w:val="242A5E3E"/>
    <w:rsid w:val="242ACDA3"/>
    <w:rsid w:val="242C5F05"/>
    <w:rsid w:val="242D04C9"/>
    <w:rsid w:val="242F966A"/>
    <w:rsid w:val="242FDE09"/>
    <w:rsid w:val="24447C93"/>
    <w:rsid w:val="24478325"/>
    <w:rsid w:val="2447DB3F"/>
    <w:rsid w:val="2448D305"/>
    <w:rsid w:val="244ACC91"/>
    <w:rsid w:val="2450B4FA"/>
    <w:rsid w:val="24513DAF"/>
    <w:rsid w:val="2451593B"/>
    <w:rsid w:val="2453875B"/>
    <w:rsid w:val="245514D3"/>
    <w:rsid w:val="2455FC85"/>
    <w:rsid w:val="2456744C"/>
    <w:rsid w:val="24584116"/>
    <w:rsid w:val="245F2EC1"/>
    <w:rsid w:val="24628702"/>
    <w:rsid w:val="2467194A"/>
    <w:rsid w:val="246A4F1B"/>
    <w:rsid w:val="246CB688"/>
    <w:rsid w:val="246FC399"/>
    <w:rsid w:val="247225C8"/>
    <w:rsid w:val="2478D411"/>
    <w:rsid w:val="247916EB"/>
    <w:rsid w:val="247A6CA0"/>
    <w:rsid w:val="247EB1C2"/>
    <w:rsid w:val="248071D7"/>
    <w:rsid w:val="2484D342"/>
    <w:rsid w:val="24869295"/>
    <w:rsid w:val="248A14A9"/>
    <w:rsid w:val="248B2B36"/>
    <w:rsid w:val="248B5882"/>
    <w:rsid w:val="248B843C"/>
    <w:rsid w:val="248F28E4"/>
    <w:rsid w:val="249122F5"/>
    <w:rsid w:val="2492BED3"/>
    <w:rsid w:val="249553C0"/>
    <w:rsid w:val="2495A2C7"/>
    <w:rsid w:val="249C16A9"/>
    <w:rsid w:val="249DF1FF"/>
    <w:rsid w:val="24A0AB1F"/>
    <w:rsid w:val="24A21A14"/>
    <w:rsid w:val="24AA4E34"/>
    <w:rsid w:val="24AC6E96"/>
    <w:rsid w:val="24AE70C7"/>
    <w:rsid w:val="24B00EFF"/>
    <w:rsid w:val="24B45896"/>
    <w:rsid w:val="24B57821"/>
    <w:rsid w:val="24B985AF"/>
    <w:rsid w:val="24BBBCDF"/>
    <w:rsid w:val="24BBC29C"/>
    <w:rsid w:val="24BEA36E"/>
    <w:rsid w:val="24BF44DE"/>
    <w:rsid w:val="24C58522"/>
    <w:rsid w:val="24CD1D1D"/>
    <w:rsid w:val="24CF3808"/>
    <w:rsid w:val="24CFD345"/>
    <w:rsid w:val="24D024FD"/>
    <w:rsid w:val="24D10C06"/>
    <w:rsid w:val="24D72198"/>
    <w:rsid w:val="24D97BC4"/>
    <w:rsid w:val="24DA206A"/>
    <w:rsid w:val="24DB6892"/>
    <w:rsid w:val="24DCF3BB"/>
    <w:rsid w:val="24DFE34C"/>
    <w:rsid w:val="24E01950"/>
    <w:rsid w:val="24E32EDE"/>
    <w:rsid w:val="24E683C4"/>
    <w:rsid w:val="24EA7920"/>
    <w:rsid w:val="24ECAF88"/>
    <w:rsid w:val="24ECBAC0"/>
    <w:rsid w:val="24F03341"/>
    <w:rsid w:val="24F05BA3"/>
    <w:rsid w:val="24FE1A7A"/>
    <w:rsid w:val="250256ED"/>
    <w:rsid w:val="25030CDB"/>
    <w:rsid w:val="250A4C8B"/>
    <w:rsid w:val="250B1618"/>
    <w:rsid w:val="250DBF8F"/>
    <w:rsid w:val="250EBCEA"/>
    <w:rsid w:val="250FA30D"/>
    <w:rsid w:val="25100849"/>
    <w:rsid w:val="2510AF49"/>
    <w:rsid w:val="25123CB9"/>
    <w:rsid w:val="25154CAE"/>
    <w:rsid w:val="25169485"/>
    <w:rsid w:val="2516D200"/>
    <w:rsid w:val="25191A23"/>
    <w:rsid w:val="251B8B34"/>
    <w:rsid w:val="252603CB"/>
    <w:rsid w:val="25272697"/>
    <w:rsid w:val="2527962C"/>
    <w:rsid w:val="252BAB35"/>
    <w:rsid w:val="252EF37E"/>
    <w:rsid w:val="25333056"/>
    <w:rsid w:val="2535103F"/>
    <w:rsid w:val="2535CCCC"/>
    <w:rsid w:val="253FC5C3"/>
    <w:rsid w:val="2541EDA0"/>
    <w:rsid w:val="25461091"/>
    <w:rsid w:val="254BD433"/>
    <w:rsid w:val="254C10E4"/>
    <w:rsid w:val="254DEE5E"/>
    <w:rsid w:val="254E20F8"/>
    <w:rsid w:val="2551881C"/>
    <w:rsid w:val="255401EA"/>
    <w:rsid w:val="25571152"/>
    <w:rsid w:val="2558B14B"/>
    <w:rsid w:val="2565C62F"/>
    <w:rsid w:val="2566F4C8"/>
    <w:rsid w:val="257098D3"/>
    <w:rsid w:val="2574D7FE"/>
    <w:rsid w:val="257689E7"/>
    <w:rsid w:val="2578B8EE"/>
    <w:rsid w:val="25797115"/>
    <w:rsid w:val="257D6589"/>
    <w:rsid w:val="257DF5B7"/>
    <w:rsid w:val="257FAB99"/>
    <w:rsid w:val="2584FF81"/>
    <w:rsid w:val="258C5436"/>
    <w:rsid w:val="258CB347"/>
    <w:rsid w:val="258F2F5F"/>
    <w:rsid w:val="25931A1E"/>
    <w:rsid w:val="2596FEEB"/>
    <w:rsid w:val="2597122D"/>
    <w:rsid w:val="2598B371"/>
    <w:rsid w:val="259B755C"/>
    <w:rsid w:val="259C8FCC"/>
    <w:rsid w:val="25A0FB44"/>
    <w:rsid w:val="25A8775D"/>
    <w:rsid w:val="25B559F6"/>
    <w:rsid w:val="25BB11E1"/>
    <w:rsid w:val="25BC983E"/>
    <w:rsid w:val="25BD1AE5"/>
    <w:rsid w:val="25C727D0"/>
    <w:rsid w:val="25C7BD8A"/>
    <w:rsid w:val="25CAD4A9"/>
    <w:rsid w:val="25CD9D87"/>
    <w:rsid w:val="25CFF524"/>
    <w:rsid w:val="25D02FE2"/>
    <w:rsid w:val="25D32872"/>
    <w:rsid w:val="25D50F11"/>
    <w:rsid w:val="25D83449"/>
    <w:rsid w:val="25DC679F"/>
    <w:rsid w:val="25E1894D"/>
    <w:rsid w:val="25E28DDA"/>
    <w:rsid w:val="25E3CBA0"/>
    <w:rsid w:val="25EA7298"/>
    <w:rsid w:val="25EAAFBC"/>
    <w:rsid w:val="25ED04B4"/>
    <w:rsid w:val="25EDD095"/>
    <w:rsid w:val="25F09114"/>
    <w:rsid w:val="25F21544"/>
    <w:rsid w:val="25F27B18"/>
    <w:rsid w:val="25F5D88D"/>
    <w:rsid w:val="25F6BA03"/>
    <w:rsid w:val="25F714A4"/>
    <w:rsid w:val="25F81888"/>
    <w:rsid w:val="2608DFC1"/>
    <w:rsid w:val="260A1481"/>
    <w:rsid w:val="2611834E"/>
    <w:rsid w:val="2612AEF7"/>
    <w:rsid w:val="2617DB5F"/>
    <w:rsid w:val="261AEB42"/>
    <w:rsid w:val="2620A8A5"/>
    <w:rsid w:val="2621DB6F"/>
    <w:rsid w:val="2624E9AD"/>
    <w:rsid w:val="2625C368"/>
    <w:rsid w:val="262883F3"/>
    <w:rsid w:val="262B2C46"/>
    <w:rsid w:val="262D1FCC"/>
    <w:rsid w:val="262FDD26"/>
    <w:rsid w:val="2631DC48"/>
    <w:rsid w:val="2634195F"/>
    <w:rsid w:val="263526EA"/>
    <w:rsid w:val="26407310"/>
    <w:rsid w:val="2643C955"/>
    <w:rsid w:val="2644B286"/>
    <w:rsid w:val="264970F8"/>
    <w:rsid w:val="264E26EB"/>
    <w:rsid w:val="2651D463"/>
    <w:rsid w:val="2653D6D0"/>
    <w:rsid w:val="26555EF7"/>
    <w:rsid w:val="2656A3F6"/>
    <w:rsid w:val="2657A51E"/>
    <w:rsid w:val="26654A1C"/>
    <w:rsid w:val="2667433A"/>
    <w:rsid w:val="26690B29"/>
    <w:rsid w:val="267657D2"/>
    <w:rsid w:val="26771094"/>
    <w:rsid w:val="2677FAFE"/>
    <w:rsid w:val="267C0984"/>
    <w:rsid w:val="26827645"/>
    <w:rsid w:val="26838D0D"/>
    <w:rsid w:val="2686C802"/>
    <w:rsid w:val="26883C50"/>
    <w:rsid w:val="26895AD8"/>
    <w:rsid w:val="26896DFB"/>
    <w:rsid w:val="268CFE99"/>
    <w:rsid w:val="268E82AE"/>
    <w:rsid w:val="2692C015"/>
    <w:rsid w:val="26937A01"/>
    <w:rsid w:val="2696F038"/>
    <w:rsid w:val="26999687"/>
    <w:rsid w:val="269A59E2"/>
    <w:rsid w:val="269F9714"/>
    <w:rsid w:val="26A04952"/>
    <w:rsid w:val="26A3503B"/>
    <w:rsid w:val="26A3A8E9"/>
    <w:rsid w:val="26A58696"/>
    <w:rsid w:val="26A597BB"/>
    <w:rsid w:val="26A66CC1"/>
    <w:rsid w:val="26A82611"/>
    <w:rsid w:val="26A972A8"/>
    <w:rsid w:val="26AB2BF5"/>
    <w:rsid w:val="26AD28BE"/>
    <w:rsid w:val="26AFD36E"/>
    <w:rsid w:val="26B094BC"/>
    <w:rsid w:val="26B0E2CF"/>
    <w:rsid w:val="26B1731D"/>
    <w:rsid w:val="26BAC3AA"/>
    <w:rsid w:val="26BC9B2E"/>
    <w:rsid w:val="26BDF268"/>
    <w:rsid w:val="26C137F0"/>
    <w:rsid w:val="26C29D26"/>
    <w:rsid w:val="26C39404"/>
    <w:rsid w:val="26C39F17"/>
    <w:rsid w:val="26C5BFDB"/>
    <w:rsid w:val="26C5ED77"/>
    <w:rsid w:val="26C63285"/>
    <w:rsid w:val="26CA20CB"/>
    <w:rsid w:val="26CD6A9E"/>
    <w:rsid w:val="26CE07C2"/>
    <w:rsid w:val="26CECA9F"/>
    <w:rsid w:val="26D1F641"/>
    <w:rsid w:val="26D3AD13"/>
    <w:rsid w:val="26D4BED1"/>
    <w:rsid w:val="26DB8C6C"/>
    <w:rsid w:val="26DDE372"/>
    <w:rsid w:val="26DE0102"/>
    <w:rsid w:val="26DECC9C"/>
    <w:rsid w:val="26E069C5"/>
    <w:rsid w:val="26E74E44"/>
    <w:rsid w:val="26EBA8C4"/>
    <w:rsid w:val="26EC7674"/>
    <w:rsid w:val="26F133AB"/>
    <w:rsid w:val="26F31606"/>
    <w:rsid w:val="26F457DD"/>
    <w:rsid w:val="26F74743"/>
    <w:rsid w:val="26F7D996"/>
    <w:rsid w:val="26F838D1"/>
    <w:rsid w:val="2703AF27"/>
    <w:rsid w:val="27099412"/>
    <w:rsid w:val="270BE04A"/>
    <w:rsid w:val="270DD1B5"/>
    <w:rsid w:val="270E082E"/>
    <w:rsid w:val="270EEE55"/>
    <w:rsid w:val="270F8A09"/>
    <w:rsid w:val="270FDF4F"/>
    <w:rsid w:val="27102C8D"/>
    <w:rsid w:val="27120549"/>
    <w:rsid w:val="27165D70"/>
    <w:rsid w:val="27178C02"/>
    <w:rsid w:val="2717BCAB"/>
    <w:rsid w:val="2718E140"/>
    <w:rsid w:val="271D10B7"/>
    <w:rsid w:val="271E5219"/>
    <w:rsid w:val="271F0ECB"/>
    <w:rsid w:val="27226B0C"/>
    <w:rsid w:val="2722CF91"/>
    <w:rsid w:val="2725A8A4"/>
    <w:rsid w:val="27264315"/>
    <w:rsid w:val="2726F547"/>
    <w:rsid w:val="272AE686"/>
    <w:rsid w:val="272DFE5B"/>
    <w:rsid w:val="27308482"/>
    <w:rsid w:val="2732730F"/>
    <w:rsid w:val="27359007"/>
    <w:rsid w:val="27381F7A"/>
    <w:rsid w:val="273E5B77"/>
    <w:rsid w:val="2742B044"/>
    <w:rsid w:val="27469D79"/>
    <w:rsid w:val="2747806F"/>
    <w:rsid w:val="274887F4"/>
    <w:rsid w:val="2749FA74"/>
    <w:rsid w:val="274C5357"/>
    <w:rsid w:val="274D19C3"/>
    <w:rsid w:val="274D6B58"/>
    <w:rsid w:val="274E4BC2"/>
    <w:rsid w:val="2750FA2C"/>
    <w:rsid w:val="2759C394"/>
    <w:rsid w:val="275A2646"/>
    <w:rsid w:val="275CB44B"/>
    <w:rsid w:val="275F24AB"/>
    <w:rsid w:val="2769B58F"/>
    <w:rsid w:val="276A2028"/>
    <w:rsid w:val="276B3904"/>
    <w:rsid w:val="276C00BE"/>
    <w:rsid w:val="276D4D71"/>
    <w:rsid w:val="2777595A"/>
    <w:rsid w:val="277954A1"/>
    <w:rsid w:val="277BDF83"/>
    <w:rsid w:val="277C71A9"/>
    <w:rsid w:val="2789188E"/>
    <w:rsid w:val="278F9825"/>
    <w:rsid w:val="27912CD2"/>
    <w:rsid w:val="2793B592"/>
    <w:rsid w:val="27954003"/>
    <w:rsid w:val="2795A8B5"/>
    <w:rsid w:val="27965D71"/>
    <w:rsid w:val="279A3A85"/>
    <w:rsid w:val="279B446C"/>
    <w:rsid w:val="279BB0EA"/>
    <w:rsid w:val="279D1E88"/>
    <w:rsid w:val="27A2FAE0"/>
    <w:rsid w:val="27A33A3A"/>
    <w:rsid w:val="27A4FEBE"/>
    <w:rsid w:val="27A66CB2"/>
    <w:rsid w:val="27A728B7"/>
    <w:rsid w:val="27A89F65"/>
    <w:rsid w:val="27AC62EF"/>
    <w:rsid w:val="27AD3958"/>
    <w:rsid w:val="27AE06EB"/>
    <w:rsid w:val="27AE3AC9"/>
    <w:rsid w:val="27AFFAA6"/>
    <w:rsid w:val="27B0C24D"/>
    <w:rsid w:val="27B0E950"/>
    <w:rsid w:val="27B11E52"/>
    <w:rsid w:val="27B1797F"/>
    <w:rsid w:val="27B2BBFE"/>
    <w:rsid w:val="27BB14BA"/>
    <w:rsid w:val="27BBA6CD"/>
    <w:rsid w:val="27BC793E"/>
    <w:rsid w:val="27BD62F3"/>
    <w:rsid w:val="27BDE0E3"/>
    <w:rsid w:val="27BFFDA7"/>
    <w:rsid w:val="27C107E7"/>
    <w:rsid w:val="27C3421C"/>
    <w:rsid w:val="27C384C2"/>
    <w:rsid w:val="27C3EFA4"/>
    <w:rsid w:val="27C81E6A"/>
    <w:rsid w:val="27C85807"/>
    <w:rsid w:val="27C88907"/>
    <w:rsid w:val="27D15A93"/>
    <w:rsid w:val="27D42F12"/>
    <w:rsid w:val="27D7631F"/>
    <w:rsid w:val="27DA5FC6"/>
    <w:rsid w:val="27DCD28F"/>
    <w:rsid w:val="27DF5685"/>
    <w:rsid w:val="27DFF6FF"/>
    <w:rsid w:val="27E2FDC3"/>
    <w:rsid w:val="27E4A7E9"/>
    <w:rsid w:val="27EB18F1"/>
    <w:rsid w:val="27EC02EB"/>
    <w:rsid w:val="27ECADA6"/>
    <w:rsid w:val="27F0E376"/>
    <w:rsid w:val="27F1B836"/>
    <w:rsid w:val="27F967D9"/>
    <w:rsid w:val="2800D8E8"/>
    <w:rsid w:val="2806FDB0"/>
    <w:rsid w:val="280C5893"/>
    <w:rsid w:val="280DF3B1"/>
    <w:rsid w:val="280EDF40"/>
    <w:rsid w:val="2813BA85"/>
    <w:rsid w:val="281765E4"/>
    <w:rsid w:val="28183951"/>
    <w:rsid w:val="28246D66"/>
    <w:rsid w:val="282E8626"/>
    <w:rsid w:val="283098FF"/>
    <w:rsid w:val="28392FA8"/>
    <w:rsid w:val="283D9110"/>
    <w:rsid w:val="283E2F5E"/>
    <w:rsid w:val="283E3D7B"/>
    <w:rsid w:val="283EAE01"/>
    <w:rsid w:val="28426380"/>
    <w:rsid w:val="284D4EFA"/>
    <w:rsid w:val="28509F15"/>
    <w:rsid w:val="2851AC9B"/>
    <w:rsid w:val="285234C8"/>
    <w:rsid w:val="28581F09"/>
    <w:rsid w:val="28587EA6"/>
    <w:rsid w:val="2858F817"/>
    <w:rsid w:val="285E7275"/>
    <w:rsid w:val="28611EFA"/>
    <w:rsid w:val="28633B0A"/>
    <w:rsid w:val="28633FC9"/>
    <w:rsid w:val="2867518C"/>
    <w:rsid w:val="286B957E"/>
    <w:rsid w:val="2870F46D"/>
    <w:rsid w:val="287508CE"/>
    <w:rsid w:val="2878976C"/>
    <w:rsid w:val="287C03BA"/>
    <w:rsid w:val="287E1E39"/>
    <w:rsid w:val="287EB6D7"/>
    <w:rsid w:val="28810034"/>
    <w:rsid w:val="288384D8"/>
    <w:rsid w:val="2883D015"/>
    <w:rsid w:val="2884C012"/>
    <w:rsid w:val="2885C4A6"/>
    <w:rsid w:val="288724B3"/>
    <w:rsid w:val="2888FB98"/>
    <w:rsid w:val="28953B5F"/>
    <w:rsid w:val="28955639"/>
    <w:rsid w:val="2899FBD0"/>
    <w:rsid w:val="289AA1C7"/>
    <w:rsid w:val="289AEECA"/>
    <w:rsid w:val="289B9235"/>
    <w:rsid w:val="28A074BE"/>
    <w:rsid w:val="28A10124"/>
    <w:rsid w:val="28A10812"/>
    <w:rsid w:val="28A7D3AC"/>
    <w:rsid w:val="28A90610"/>
    <w:rsid w:val="28ABBF08"/>
    <w:rsid w:val="28AC162E"/>
    <w:rsid w:val="28AF646B"/>
    <w:rsid w:val="28B01806"/>
    <w:rsid w:val="28B185B4"/>
    <w:rsid w:val="28B29DDE"/>
    <w:rsid w:val="28B92717"/>
    <w:rsid w:val="28B9F9B8"/>
    <w:rsid w:val="28BBB46C"/>
    <w:rsid w:val="28BBEDD4"/>
    <w:rsid w:val="28BD6CA3"/>
    <w:rsid w:val="28C8E036"/>
    <w:rsid w:val="28CA74BC"/>
    <w:rsid w:val="28CA9B3F"/>
    <w:rsid w:val="28CBE560"/>
    <w:rsid w:val="28D0E1B8"/>
    <w:rsid w:val="28E0EA18"/>
    <w:rsid w:val="28E946CF"/>
    <w:rsid w:val="28ECE0B4"/>
    <w:rsid w:val="28EDB887"/>
    <w:rsid w:val="28F0D205"/>
    <w:rsid w:val="28F25DEA"/>
    <w:rsid w:val="28F40AE9"/>
    <w:rsid w:val="28F68458"/>
    <w:rsid w:val="28FFA1D2"/>
    <w:rsid w:val="290A9980"/>
    <w:rsid w:val="290E275A"/>
    <w:rsid w:val="2915E70C"/>
    <w:rsid w:val="291F6BFB"/>
    <w:rsid w:val="2920BC78"/>
    <w:rsid w:val="29297CE4"/>
    <w:rsid w:val="292BCD2F"/>
    <w:rsid w:val="292D3057"/>
    <w:rsid w:val="2939355F"/>
    <w:rsid w:val="29393FDC"/>
    <w:rsid w:val="29395533"/>
    <w:rsid w:val="293BEA33"/>
    <w:rsid w:val="29401588"/>
    <w:rsid w:val="2944E92D"/>
    <w:rsid w:val="2947F298"/>
    <w:rsid w:val="29482CCA"/>
    <w:rsid w:val="294854E1"/>
    <w:rsid w:val="294CE1AE"/>
    <w:rsid w:val="29508236"/>
    <w:rsid w:val="29532270"/>
    <w:rsid w:val="295503AE"/>
    <w:rsid w:val="29578384"/>
    <w:rsid w:val="2961B4E8"/>
    <w:rsid w:val="29642B44"/>
    <w:rsid w:val="2967FE6F"/>
    <w:rsid w:val="2968A55F"/>
    <w:rsid w:val="296DDA99"/>
    <w:rsid w:val="296EDBA1"/>
    <w:rsid w:val="29718B27"/>
    <w:rsid w:val="29742832"/>
    <w:rsid w:val="2974EB44"/>
    <w:rsid w:val="297AB1F2"/>
    <w:rsid w:val="297D5A26"/>
    <w:rsid w:val="297DC29B"/>
    <w:rsid w:val="297FC048"/>
    <w:rsid w:val="2983B284"/>
    <w:rsid w:val="298C9B1E"/>
    <w:rsid w:val="298DCE11"/>
    <w:rsid w:val="29932976"/>
    <w:rsid w:val="2993D425"/>
    <w:rsid w:val="299496D4"/>
    <w:rsid w:val="29960E02"/>
    <w:rsid w:val="29964CA5"/>
    <w:rsid w:val="29970519"/>
    <w:rsid w:val="299CCB9E"/>
    <w:rsid w:val="299D96D8"/>
    <w:rsid w:val="299DB732"/>
    <w:rsid w:val="299F3F25"/>
    <w:rsid w:val="299FC01C"/>
    <w:rsid w:val="29A174E5"/>
    <w:rsid w:val="29A76B23"/>
    <w:rsid w:val="29A8F50E"/>
    <w:rsid w:val="29A93641"/>
    <w:rsid w:val="29AB8614"/>
    <w:rsid w:val="29AE28C1"/>
    <w:rsid w:val="29B1493E"/>
    <w:rsid w:val="29B86674"/>
    <w:rsid w:val="29C5998F"/>
    <w:rsid w:val="29C65D28"/>
    <w:rsid w:val="29C6A11F"/>
    <w:rsid w:val="29C7E8FA"/>
    <w:rsid w:val="29C9C144"/>
    <w:rsid w:val="29CF9C69"/>
    <w:rsid w:val="29CFE799"/>
    <w:rsid w:val="29D1E2A2"/>
    <w:rsid w:val="29D4EBE9"/>
    <w:rsid w:val="29D6E1E4"/>
    <w:rsid w:val="29D7C561"/>
    <w:rsid w:val="29DD551A"/>
    <w:rsid w:val="29E2B5A1"/>
    <w:rsid w:val="29E7542E"/>
    <w:rsid w:val="29EB3CAE"/>
    <w:rsid w:val="29EBC889"/>
    <w:rsid w:val="29EEDD96"/>
    <w:rsid w:val="29F004F5"/>
    <w:rsid w:val="29F19619"/>
    <w:rsid w:val="29F3AC71"/>
    <w:rsid w:val="29F8B3ED"/>
    <w:rsid w:val="29FB5E9E"/>
    <w:rsid w:val="29FDE2C8"/>
    <w:rsid w:val="29FEC2BE"/>
    <w:rsid w:val="2A00B29B"/>
    <w:rsid w:val="2A0334AE"/>
    <w:rsid w:val="2A08344B"/>
    <w:rsid w:val="2A0EF365"/>
    <w:rsid w:val="2A10A973"/>
    <w:rsid w:val="2A145863"/>
    <w:rsid w:val="2A15E73A"/>
    <w:rsid w:val="2A19F779"/>
    <w:rsid w:val="2A1B6ABA"/>
    <w:rsid w:val="2A1C5BC8"/>
    <w:rsid w:val="2A1F8996"/>
    <w:rsid w:val="2A21CDD9"/>
    <w:rsid w:val="2A24132A"/>
    <w:rsid w:val="2A264D71"/>
    <w:rsid w:val="2A284F95"/>
    <w:rsid w:val="2A2869C4"/>
    <w:rsid w:val="2A31CE60"/>
    <w:rsid w:val="2A332348"/>
    <w:rsid w:val="2A34CD4E"/>
    <w:rsid w:val="2A37985F"/>
    <w:rsid w:val="2A38ACF5"/>
    <w:rsid w:val="2A3A93D4"/>
    <w:rsid w:val="2A3BA279"/>
    <w:rsid w:val="2A3EC2A9"/>
    <w:rsid w:val="2A3F1D1F"/>
    <w:rsid w:val="2A45F3C1"/>
    <w:rsid w:val="2A543406"/>
    <w:rsid w:val="2A598B53"/>
    <w:rsid w:val="2A5E7F63"/>
    <w:rsid w:val="2A5E88EB"/>
    <w:rsid w:val="2A61AD52"/>
    <w:rsid w:val="2A624891"/>
    <w:rsid w:val="2A681222"/>
    <w:rsid w:val="2A69F178"/>
    <w:rsid w:val="2A6A6FD3"/>
    <w:rsid w:val="2A6AD56A"/>
    <w:rsid w:val="2A6B7845"/>
    <w:rsid w:val="2A71A9CA"/>
    <w:rsid w:val="2A725F6E"/>
    <w:rsid w:val="2A76F356"/>
    <w:rsid w:val="2A778964"/>
    <w:rsid w:val="2A7C7227"/>
    <w:rsid w:val="2A7DBFD5"/>
    <w:rsid w:val="2A834C8E"/>
    <w:rsid w:val="2A8B8904"/>
    <w:rsid w:val="2A8C2DDA"/>
    <w:rsid w:val="2A8D8F82"/>
    <w:rsid w:val="2A946267"/>
    <w:rsid w:val="2A95BD29"/>
    <w:rsid w:val="2A97FE94"/>
    <w:rsid w:val="2A9C0E05"/>
    <w:rsid w:val="2A9D474B"/>
    <w:rsid w:val="2A9D6E41"/>
    <w:rsid w:val="2AA2CDFA"/>
    <w:rsid w:val="2AA445ED"/>
    <w:rsid w:val="2AA89D58"/>
    <w:rsid w:val="2AAB2403"/>
    <w:rsid w:val="2AB5C92E"/>
    <w:rsid w:val="2AB773B2"/>
    <w:rsid w:val="2AB7DC25"/>
    <w:rsid w:val="2ABECB7D"/>
    <w:rsid w:val="2ABF1460"/>
    <w:rsid w:val="2AC0D5F4"/>
    <w:rsid w:val="2AC10DF1"/>
    <w:rsid w:val="2AC398CF"/>
    <w:rsid w:val="2AC45E53"/>
    <w:rsid w:val="2AC5F735"/>
    <w:rsid w:val="2AC9395F"/>
    <w:rsid w:val="2ACDD756"/>
    <w:rsid w:val="2ACEA0F2"/>
    <w:rsid w:val="2ACF2499"/>
    <w:rsid w:val="2AD0F3B6"/>
    <w:rsid w:val="2AD168FD"/>
    <w:rsid w:val="2AD48DC2"/>
    <w:rsid w:val="2ADA231B"/>
    <w:rsid w:val="2ADB1E44"/>
    <w:rsid w:val="2ADB58E9"/>
    <w:rsid w:val="2ADD1DDD"/>
    <w:rsid w:val="2AE2568A"/>
    <w:rsid w:val="2AE3E014"/>
    <w:rsid w:val="2AE53942"/>
    <w:rsid w:val="2AE53D1C"/>
    <w:rsid w:val="2AEA21D9"/>
    <w:rsid w:val="2AEEE099"/>
    <w:rsid w:val="2AF149DA"/>
    <w:rsid w:val="2AFA5390"/>
    <w:rsid w:val="2AFEF3FC"/>
    <w:rsid w:val="2B034E54"/>
    <w:rsid w:val="2B057C79"/>
    <w:rsid w:val="2B08FFF8"/>
    <w:rsid w:val="2B09445A"/>
    <w:rsid w:val="2B114694"/>
    <w:rsid w:val="2B117762"/>
    <w:rsid w:val="2B124C0E"/>
    <w:rsid w:val="2B1331F6"/>
    <w:rsid w:val="2B14862C"/>
    <w:rsid w:val="2B14EF7A"/>
    <w:rsid w:val="2B16F273"/>
    <w:rsid w:val="2B21292C"/>
    <w:rsid w:val="2B226F7F"/>
    <w:rsid w:val="2B288D12"/>
    <w:rsid w:val="2B32ECFB"/>
    <w:rsid w:val="2B336921"/>
    <w:rsid w:val="2B3EC4DB"/>
    <w:rsid w:val="2B40132E"/>
    <w:rsid w:val="2B4095AF"/>
    <w:rsid w:val="2B426D04"/>
    <w:rsid w:val="2B44ACD1"/>
    <w:rsid w:val="2B46A395"/>
    <w:rsid w:val="2B46BA59"/>
    <w:rsid w:val="2B5B4A8D"/>
    <w:rsid w:val="2B5D9A32"/>
    <w:rsid w:val="2B61B5AA"/>
    <w:rsid w:val="2B620887"/>
    <w:rsid w:val="2B656E68"/>
    <w:rsid w:val="2B6A3C7C"/>
    <w:rsid w:val="2B6BFD66"/>
    <w:rsid w:val="2B7194A2"/>
    <w:rsid w:val="2B763ED3"/>
    <w:rsid w:val="2B76B6A7"/>
    <w:rsid w:val="2B77E1D3"/>
    <w:rsid w:val="2B7AD161"/>
    <w:rsid w:val="2B829A92"/>
    <w:rsid w:val="2B8A579D"/>
    <w:rsid w:val="2B8E7974"/>
    <w:rsid w:val="2B915030"/>
    <w:rsid w:val="2B91E430"/>
    <w:rsid w:val="2B92D4D1"/>
    <w:rsid w:val="2B961A8D"/>
    <w:rsid w:val="2B96D22A"/>
    <w:rsid w:val="2B9DE0D2"/>
    <w:rsid w:val="2B9EAD20"/>
    <w:rsid w:val="2BA06594"/>
    <w:rsid w:val="2BA3787E"/>
    <w:rsid w:val="2BA821F0"/>
    <w:rsid w:val="2BABE28D"/>
    <w:rsid w:val="2BACCC19"/>
    <w:rsid w:val="2BADED71"/>
    <w:rsid w:val="2BAE8C14"/>
    <w:rsid w:val="2BBA0898"/>
    <w:rsid w:val="2BBE436E"/>
    <w:rsid w:val="2BC6FAF8"/>
    <w:rsid w:val="2BC8349C"/>
    <w:rsid w:val="2BCC904B"/>
    <w:rsid w:val="2BD1E953"/>
    <w:rsid w:val="2BD3B3BC"/>
    <w:rsid w:val="2BD5A198"/>
    <w:rsid w:val="2BD8EECB"/>
    <w:rsid w:val="2BD9407D"/>
    <w:rsid w:val="2BDCFA69"/>
    <w:rsid w:val="2BDE92A6"/>
    <w:rsid w:val="2BDF9BDF"/>
    <w:rsid w:val="2BDFB483"/>
    <w:rsid w:val="2BE35FE1"/>
    <w:rsid w:val="2BE4A9D4"/>
    <w:rsid w:val="2BE50702"/>
    <w:rsid w:val="2BE54B66"/>
    <w:rsid w:val="2BE58CBE"/>
    <w:rsid w:val="2BEA6D22"/>
    <w:rsid w:val="2BEEA0B7"/>
    <w:rsid w:val="2BEF3227"/>
    <w:rsid w:val="2BF2B334"/>
    <w:rsid w:val="2BF2E5A0"/>
    <w:rsid w:val="2BF9A27A"/>
    <w:rsid w:val="2BF9DB00"/>
    <w:rsid w:val="2BFF0032"/>
    <w:rsid w:val="2C0208A0"/>
    <w:rsid w:val="2C03027C"/>
    <w:rsid w:val="2C032772"/>
    <w:rsid w:val="2C090B89"/>
    <w:rsid w:val="2C090FE6"/>
    <w:rsid w:val="2C0F9727"/>
    <w:rsid w:val="2C14FF71"/>
    <w:rsid w:val="2C182723"/>
    <w:rsid w:val="2C18DC85"/>
    <w:rsid w:val="2C246380"/>
    <w:rsid w:val="2C268943"/>
    <w:rsid w:val="2C27E0D5"/>
    <w:rsid w:val="2C2AAD37"/>
    <w:rsid w:val="2C2EDB28"/>
    <w:rsid w:val="2C2FCF85"/>
    <w:rsid w:val="2C315520"/>
    <w:rsid w:val="2C321350"/>
    <w:rsid w:val="2C321568"/>
    <w:rsid w:val="2C330C28"/>
    <w:rsid w:val="2C346D1F"/>
    <w:rsid w:val="2C377820"/>
    <w:rsid w:val="2C3A3543"/>
    <w:rsid w:val="2C3BDDD3"/>
    <w:rsid w:val="2C3C6C92"/>
    <w:rsid w:val="2C3FA31E"/>
    <w:rsid w:val="2C437FF7"/>
    <w:rsid w:val="2C44F964"/>
    <w:rsid w:val="2C47E0CD"/>
    <w:rsid w:val="2C4916AF"/>
    <w:rsid w:val="2C4D4C7B"/>
    <w:rsid w:val="2C501E41"/>
    <w:rsid w:val="2C586382"/>
    <w:rsid w:val="2C5ABCCA"/>
    <w:rsid w:val="2C5CDBDE"/>
    <w:rsid w:val="2C63B691"/>
    <w:rsid w:val="2C645332"/>
    <w:rsid w:val="2C669A0A"/>
    <w:rsid w:val="2C75D7FB"/>
    <w:rsid w:val="2C76B533"/>
    <w:rsid w:val="2C809796"/>
    <w:rsid w:val="2C81495F"/>
    <w:rsid w:val="2C841718"/>
    <w:rsid w:val="2C8667A6"/>
    <w:rsid w:val="2C890A83"/>
    <w:rsid w:val="2C8A8348"/>
    <w:rsid w:val="2C8F3D4B"/>
    <w:rsid w:val="2C91F620"/>
    <w:rsid w:val="2C9444DB"/>
    <w:rsid w:val="2C978DB2"/>
    <w:rsid w:val="2C988CB3"/>
    <w:rsid w:val="2C9C46CF"/>
    <w:rsid w:val="2C9DE721"/>
    <w:rsid w:val="2CA64925"/>
    <w:rsid w:val="2CAFEBBA"/>
    <w:rsid w:val="2CB06ED2"/>
    <w:rsid w:val="2CB1278B"/>
    <w:rsid w:val="2CB1C15B"/>
    <w:rsid w:val="2CB3C592"/>
    <w:rsid w:val="2CB3D443"/>
    <w:rsid w:val="2CB82366"/>
    <w:rsid w:val="2CBE6AF2"/>
    <w:rsid w:val="2CC055C6"/>
    <w:rsid w:val="2CC0E4E8"/>
    <w:rsid w:val="2CC10DDC"/>
    <w:rsid w:val="2CC18623"/>
    <w:rsid w:val="2CC1EB6F"/>
    <w:rsid w:val="2CCAD2AD"/>
    <w:rsid w:val="2CCCE0CF"/>
    <w:rsid w:val="2CCD1E65"/>
    <w:rsid w:val="2CCF752C"/>
    <w:rsid w:val="2CD11AA1"/>
    <w:rsid w:val="2CD29659"/>
    <w:rsid w:val="2CD3BCE9"/>
    <w:rsid w:val="2CD4FD05"/>
    <w:rsid w:val="2CD5AA8B"/>
    <w:rsid w:val="2CD5C918"/>
    <w:rsid w:val="2CDDCBD0"/>
    <w:rsid w:val="2CE28BB9"/>
    <w:rsid w:val="2CE3F5B8"/>
    <w:rsid w:val="2CE53516"/>
    <w:rsid w:val="2CE5BA61"/>
    <w:rsid w:val="2CE77E29"/>
    <w:rsid w:val="2CEB7585"/>
    <w:rsid w:val="2CECC7C0"/>
    <w:rsid w:val="2CF0688F"/>
    <w:rsid w:val="2CF1C7E7"/>
    <w:rsid w:val="2CF5881A"/>
    <w:rsid w:val="2CF6A514"/>
    <w:rsid w:val="2CF9AFE7"/>
    <w:rsid w:val="2CFB5D06"/>
    <w:rsid w:val="2D00C0E9"/>
    <w:rsid w:val="2D02203B"/>
    <w:rsid w:val="2D024FCB"/>
    <w:rsid w:val="2D033D5B"/>
    <w:rsid w:val="2D06A8D7"/>
    <w:rsid w:val="2D09D434"/>
    <w:rsid w:val="2D0DC5C4"/>
    <w:rsid w:val="2D0ED5ED"/>
    <w:rsid w:val="2D106FFE"/>
    <w:rsid w:val="2D10CFAB"/>
    <w:rsid w:val="2D12F9BF"/>
    <w:rsid w:val="2D148E8E"/>
    <w:rsid w:val="2D15BFA9"/>
    <w:rsid w:val="2D15F070"/>
    <w:rsid w:val="2D1D0415"/>
    <w:rsid w:val="2D22A110"/>
    <w:rsid w:val="2D237918"/>
    <w:rsid w:val="2D2A7F97"/>
    <w:rsid w:val="2D2BBE7F"/>
    <w:rsid w:val="2D2C471A"/>
    <w:rsid w:val="2D32DF65"/>
    <w:rsid w:val="2D380040"/>
    <w:rsid w:val="2D3A4660"/>
    <w:rsid w:val="2D420182"/>
    <w:rsid w:val="2D467260"/>
    <w:rsid w:val="2D47276F"/>
    <w:rsid w:val="2D47EAB4"/>
    <w:rsid w:val="2D49C1EC"/>
    <w:rsid w:val="2D49F81C"/>
    <w:rsid w:val="2D4E729C"/>
    <w:rsid w:val="2D4FDC70"/>
    <w:rsid w:val="2D500A5F"/>
    <w:rsid w:val="2D51FF9D"/>
    <w:rsid w:val="2D62AFCC"/>
    <w:rsid w:val="2D6586B2"/>
    <w:rsid w:val="2D65A7E2"/>
    <w:rsid w:val="2D65B6FC"/>
    <w:rsid w:val="2D6A7756"/>
    <w:rsid w:val="2D70F18F"/>
    <w:rsid w:val="2D72CB85"/>
    <w:rsid w:val="2D758183"/>
    <w:rsid w:val="2D765B0A"/>
    <w:rsid w:val="2D7A8F4F"/>
    <w:rsid w:val="2D7BFA27"/>
    <w:rsid w:val="2D7FF9C1"/>
    <w:rsid w:val="2D872829"/>
    <w:rsid w:val="2D88F3F3"/>
    <w:rsid w:val="2D89A448"/>
    <w:rsid w:val="2D8A80E7"/>
    <w:rsid w:val="2D8AE8DA"/>
    <w:rsid w:val="2D8CAB59"/>
    <w:rsid w:val="2D8CFA27"/>
    <w:rsid w:val="2D8DD1A9"/>
    <w:rsid w:val="2D94F327"/>
    <w:rsid w:val="2D9E044E"/>
    <w:rsid w:val="2D9EC653"/>
    <w:rsid w:val="2DA18956"/>
    <w:rsid w:val="2DA451BC"/>
    <w:rsid w:val="2DA4770F"/>
    <w:rsid w:val="2DA6BD08"/>
    <w:rsid w:val="2DA9BD53"/>
    <w:rsid w:val="2DAD9105"/>
    <w:rsid w:val="2DADE829"/>
    <w:rsid w:val="2DB43EF9"/>
    <w:rsid w:val="2DB84105"/>
    <w:rsid w:val="2DBA3FAB"/>
    <w:rsid w:val="2DBD2D56"/>
    <w:rsid w:val="2DBFAA9D"/>
    <w:rsid w:val="2DC04E87"/>
    <w:rsid w:val="2DC06BCC"/>
    <w:rsid w:val="2DC1DE87"/>
    <w:rsid w:val="2DC94890"/>
    <w:rsid w:val="2DC9C110"/>
    <w:rsid w:val="2DCBC99A"/>
    <w:rsid w:val="2DCC4DED"/>
    <w:rsid w:val="2DD61D29"/>
    <w:rsid w:val="2DD68106"/>
    <w:rsid w:val="2DDD47E2"/>
    <w:rsid w:val="2DDE83AE"/>
    <w:rsid w:val="2DE05327"/>
    <w:rsid w:val="2DE0C130"/>
    <w:rsid w:val="2DE5BC5C"/>
    <w:rsid w:val="2DEA1EDF"/>
    <w:rsid w:val="2DEAA5F0"/>
    <w:rsid w:val="2DEB01CC"/>
    <w:rsid w:val="2DEB6BDB"/>
    <w:rsid w:val="2DEDB149"/>
    <w:rsid w:val="2DF31E47"/>
    <w:rsid w:val="2DFE80C1"/>
    <w:rsid w:val="2DFFB7D1"/>
    <w:rsid w:val="2E007A7B"/>
    <w:rsid w:val="2E021A07"/>
    <w:rsid w:val="2E026711"/>
    <w:rsid w:val="2E071E4C"/>
    <w:rsid w:val="2E07907F"/>
    <w:rsid w:val="2E0AFF29"/>
    <w:rsid w:val="2E0C2F6C"/>
    <w:rsid w:val="2E0D53FD"/>
    <w:rsid w:val="2E0D937E"/>
    <w:rsid w:val="2E0F542A"/>
    <w:rsid w:val="2E101BC8"/>
    <w:rsid w:val="2E11E2FA"/>
    <w:rsid w:val="2E18F426"/>
    <w:rsid w:val="2E1C140D"/>
    <w:rsid w:val="2E1C7862"/>
    <w:rsid w:val="2E1E8EE1"/>
    <w:rsid w:val="2E208A9C"/>
    <w:rsid w:val="2E20A63F"/>
    <w:rsid w:val="2E2189F6"/>
    <w:rsid w:val="2E287845"/>
    <w:rsid w:val="2E2BA66E"/>
    <w:rsid w:val="2E2F7105"/>
    <w:rsid w:val="2E320CE9"/>
    <w:rsid w:val="2E36240F"/>
    <w:rsid w:val="2E39BE2B"/>
    <w:rsid w:val="2E3E733E"/>
    <w:rsid w:val="2E3E8F61"/>
    <w:rsid w:val="2E40DD51"/>
    <w:rsid w:val="2E450BCD"/>
    <w:rsid w:val="2E486DE0"/>
    <w:rsid w:val="2E4902CB"/>
    <w:rsid w:val="2E497262"/>
    <w:rsid w:val="2E4A1FAE"/>
    <w:rsid w:val="2E4EDB93"/>
    <w:rsid w:val="2E541E8C"/>
    <w:rsid w:val="2E55E118"/>
    <w:rsid w:val="2E57B302"/>
    <w:rsid w:val="2E588ACA"/>
    <w:rsid w:val="2E5A2E1A"/>
    <w:rsid w:val="2E5ACF81"/>
    <w:rsid w:val="2E5EEB39"/>
    <w:rsid w:val="2E5EF4E4"/>
    <w:rsid w:val="2E60CC44"/>
    <w:rsid w:val="2E63D644"/>
    <w:rsid w:val="2E64D165"/>
    <w:rsid w:val="2E68CC9E"/>
    <w:rsid w:val="2E6E03A7"/>
    <w:rsid w:val="2E73D711"/>
    <w:rsid w:val="2E74D0C6"/>
    <w:rsid w:val="2E771026"/>
    <w:rsid w:val="2E795F58"/>
    <w:rsid w:val="2E7A6DAC"/>
    <w:rsid w:val="2E8B7F6C"/>
    <w:rsid w:val="2E8C2200"/>
    <w:rsid w:val="2E8FDE9D"/>
    <w:rsid w:val="2E923897"/>
    <w:rsid w:val="2E938F3F"/>
    <w:rsid w:val="2E94BAA4"/>
    <w:rsid w:val="2E95D83C"/>
    <w:rsid w:val="2E96DB9F"/>
    <w:rsid w:val="2E9825A5"/>
    <w:rsid w:val="2E9D0DFC"/>
    <w:rsid w:val="2EA22903"/>
    <w:rsid w:val="2EA26D75"/>
    <w:rsid w:val="2EA62B16"/>
    <w:rsid w:val="2EA71F40"/>
    <w:rsid w:val="2EA86297"/>
    <w:rsid w:val="2EAC9304"/>
    <w:rsid w:val="2EB4EBB1"/>
    <w:rsid w:val="2EBEAA83"/>
    <w:rsid w:val="2EC0F04F"/>
    <w:rsid w:val="2EC2AAD8"/>
    <w:rsid w:val="2EC8FF1B"/>
    <w:rsid w:val="2ED15C36"/>
    <w:rsid w:val="2ED27FCD"/>
    <w:rsid w:val="2ED7608C"/>
    <w:rsid w:val="2ED9EF2A"/>
    <w:rsid w:val="2EDA7F56"/>
    <w:rsid w:val="2EDD2CD1"/>
    <w:rsid w:val="2EDEADB4"/>
    <w:rsid w:val="2EDFEC89"/>
    <w:rsid w:val="2EE06CAD"/>
    <w:rsid w:val="2EE4248E"/>
    <w:rsid w:val="2EE86B80"/>
    <w:rsid w:val="2EE90A54"/>
    <w:rsid w:val="2EEC58E5"/>
    <w:rsid w:val="2EED9655"/>
    <w:rsid w:val="2EEF91FC"/>
    <w:rsid w:val="2EF06F8F"/>
    <w:rsid w:val="2EF1C43A"/>
    <w:rsid w:val="2EF24DC3"/>
    <w:rsid w:val="2EF8F1CA"/>
    <w:rsid w:val="2EFBFCCD"/>
    <w:rsid w:val="2F07F91E"/>
    <w:rsid w:val="2F094140"/>
    <w:rsid w:val="2F099276"/>
    <w:rsid w:val="2F0B9060"/>
    <w:rsid w:val="2F0E064E"/>
    <w:rsid w:val="2F0F2954"/>
    <w:rsid w:val="2F1073CE"/>
    <w:rsid w:val="2F126E7C"/>
    <w:rsid w:val="2F1288D8"/>
    <w:rsid w:val="2F139B14"/>
    <w:rsid w:val="2F172BE9"/>
    <w:rsid w:val="2F17E2BC"/>
    <w:rsid w:val="2F17E3C4"/>
    <w:rsid w:val="2F1E4B37"/>
    <w:rsid w:val="2F1FBDC5"/>
    <w:rsid w:val="2F201CE4"/>
    <w:rsid w:val="2F2168AE"/>
    <w:rsid w:val="2F23D504"/>
    <w:rsid w:val="2F2429DB"/>
    <w:rsid w:val="2F2AB021"/>
    <w:rsid w:val="2F2D92A3"/>
    <w:rsid w:val="2F2EB955"/>
    <w:rsid w:val="2F2EC820"/>
    <w:rsid w:val="2F310FD8"/>
    <w:rsid w:val="2F31EDED"/>
    <w:rsid w:val="2F32F4CF"/>
    <w:rsid w:val="2F32FCD9"/>
    <w:rsid w:val="2F3AF5E9"/>
    <w:rsid w:val="2F425F02"/>
    <w:rsid w:val="2F4346CE"/>
    <w:rsid w:val="2F484FD2"/>
    <w:rsid w:val="2F5CBF7A"/>
    <w:rsid w:val="2F5E73E3"/>
    <w:rsid w:val="2F5F47D1"/>
    <w:rsid w:val="2F61CF7B"/>
    <w:rsid w:val="2F64EFDA"/>
    <w:rsid w:val="2F653DE8"/>
    <w:rsid w:val="2F6B163A"/>
    <w:rsid w:val="2F7105EC"/>
    <w:rsid w:val="2F724D54"/>
    <w:rsid w:val="2F743232"/>
    <w:rsid w:val="2F747135"/>
    <w:rsid w:val="2F7926F9"/>
    <w:rsid w:val="2F799D91"/>
    <w:rsid w:val="2F7C9770"/>
    <w:rsid w:val="2F8226DA"/>
    <w:rsid w:val="2F8852ED"/>
    <w:rsid w:val="2F8D6AF1"/>
    <w:rsid w:val="2F97086F"/>
    <w:rsid w:val="2F98E11C"/>
    <w:rsid w:val="2F9DBA5C"/>
    <w:rsid w:val="2FA9F6A8"/>
    <w:rsid w:val="2FAE49AA"/>
    <w:rsid w:val="2FAE531D"/>
    <w:rsid w:val="2FAFF8C7"/>
    <w:rsid w:val="2FB00040"/>
    <w:rsid w:val="2FB2B1BE"/>
    <w:rsid w:val="2FB60B14"/>
    <w:rsid w:val="2FB83C6D"/>
    <w:rsid w:val="2FB9F140"/>
    <w:rsid w:val="2FC06250"/>
    <w:rsid w:val="2FC2F691"/>
    <w:rsid w:val="2FC356FA"/>
    <w:rsid w:val="2FC45F17"/>
    <w:rsid w:val="2FC778BF"/>
    <w:rsid w:val="2FD75B75"/>
    <w:rsid w:val="2FDB6E89"/>
    <w:rsid w:val="2FDD8120"/>
    <w:rsid w:val="2FDE3EE0"/>
    <w:rsid w:val="2FDE60B3"/>
    <w:rsid w:val="2FE053F4"/>
    <w:rsid w:val="2FE4A9EF"/>
    <w:rsid w:val="2FE8932C"/>
    <w:rsid w:val="2FEC1421"/>
    <w:rsid w:val="2FF2322F"/>
    <w:rsid w:val="2FF8D3F0"/>
    <w:rsid w:val="3000506E"/>
    <w:rsid w:val="300081E8"/>
    <w:rsid w:val="3004D1D0"/>
    <w:rsid w:val="300A1610"/>
    <w:rsid w:val="300D3D8D"/>
    <w:rsid w:val="30106A87"/>
    <w:rsid w:val="30130552"/>
    <w:rsid w:val="3013EAA8"/>
    <w:rsid w:val="30153D56"/>
    <w:rsid w:val="3015A5CC"/>
    <w:rsid w:val="3018164E"/>
    <w:rsid w:val="3018C619"/>
    <w:rsid w:val="301DFAD1"/>
    <w:rsid w:val="302C1A9B"/>
    <w:rsid w:val="302E41B3"/>
    <w:rsid w:val="302E4CF8"/>
    <w:rsid w:val="302E98C4"/>
    <w:rsid w:val="30300C8C"/>
    <w:rsid w:val="3030232F"/>
    <w:rsid w:val="30354EB3"/>
    <w:rsid w:val="30367BA6"/>
    <w:rsid w:val="3036FEA1"/>
    <w:rsid w:val="3037C0C8"/>
    <w:rsid w:val="303A2826"/>
    <w:rsid w:val="303B8FC9"/>
    <w:rsid w:val="303FF572"/>
    <w:rsid w:val="30407BB6"/>
    <w:rsid w:val="3040F3CD"/>
    <w:rsid w:val="3042BF60"/>
    <w:rsid w:val="304491E3"/>
    <w:rsid w:val="3047CB34"/>
    <w:rsid w:val="30488839"/>
    <w:rsid w:val="3049E75E"/>
    <w:rsid w:val="304E2B28"/>
    <w:rsid w:val="3051B3B0"/>
    <w:rsid w:val="30565748"/>
    <w:rsid w:val="305AF5FA"/>
    <w:rsid w:val="30602728"/>
    <w:rsid w:val="3060BB0F"/>
    <w:rsid w:val="30617C14"/>
    <w:rsid w:val="30645354"/>
    <w:rsid w:val="3066EAB4"/>
    <w:rsid w:val="30700EC8"/>
    <w:rsid w:val="307265F9"/>
    <w:rsid w:val="307365E3"/>
    <w:rsid w:val="3076F671"/>
    <w:rsid w:val="307D82BB"/>
    <w:rsid w:val="307E976F"/>
    <w:rsid w:val="30814347"/>
    <w:rsid w:val="30820BC7"/>
    <w:rsid w:val="308A34C0"/>
    <w:rsid w:val="308A7F68"/>
    <w:rsid w:val="308B5363"/>
    <w:rsid w:val="308CC716"/>
    <w:rsid w:val="308F6029"/>
    <w:rsid w:val="309107EC"/>
    <w:rsid w:val="30928168"/>
    <w:rsid w:val="3094266A"/>
    <w:rsid w:val="30949E59"/>
    <w:rsid w:val="3098C245"/>
    <w:rsid w:val="309FB721"/>
    <w:rsid w:val="30A1DC99"/>
    <w:rsid w:val="30A89EB1"/>
    <w:rsid w:val="30AA2437"/>
    <w:rsid w:val="30ABC197"/>
    <w:rsid w:val="30AD100E"/>
    <w:rsid w:val="30AFFE76"/>
    <w:rsid w:val="30B0A182"/>
    <w:rsid w:val="30B1A8F9"/>
    <w:rsid w:val="30B1DD3F"/>
    <w:rsid w:val="30B1F05A"/>
    <w:rsid w:val="30C049D9"/>
    <w:rsid w:val="30C2D5FA"/>
    <w:rsid w:val="30C46909"/>
    <w:rsid w:val="30C57EFA"/>
    <w:rsid w:val="30C5D8BB"/>
    <w:rsid w:val="30C7656C"/>
    <w:rsid w:val="30C8F8A4"/>
    <w:rsid w:val="30C98069"/>
    <w:rsid w:val="30CBC774"/>
    <w:rsid w:val="30CD332D"/>
    <w:rsid w:val="30CDA846"/>
    <w:rsid w:val="30D384A8"/>
    <w:rsid w:val="30D88516"/>
    <w:rsid w:val="30D8870B"/>
    <w:rsid w:val="30DA888E"/>
    <w:rsid w:val="30DADBC5"/>
    <w:rsid w:val="30DB4068"/>
    <w:rsid w:val="30DDDCDF"/>
    <w:rsid w:val="30E3133E"/>
    <w:rsid w:val="30E4884B"/>
    <w:rsid w:val="30E4BC18"/>
    <w:rsid w:val="30E4D624"/>
    <w:rsid w:val="30EAF8CD"/>
    <w:rsid w:val="30EBD17B"/>
    <w:rsid w:val="30ED50F9"/>
    <w:rsid w:val="30EDDDD7"/>
    <w:rsid w:val="30F030E7"/>
    <w:rsid w:val="30F1A205"/>
    <w:rsid w:val="30F1C1FB"/>
    <w:rsid w:val="30F2B81D"/>
    <w:rsid w:val="30F379FD"/>
    <w:rsid w:val="30F4DCB4"/>
    <w:rsid w:val="30F504C9"/>
    <w:rsid w:val="30F8173C"/>
    <w:rsid w:val="30FC4876"/>
    <w:rsid w:val="30FCBDA1"/>
    <w:rsid w:val="30FDBA86"/>
    <w:rsid w:val="31018662"/>
    <w:rsid w:val="3101924E"/>
    <w:rsid w:val="31048C71"/>
    <w:rsid w:val="310988FB"/>
    <w:rsid w:val="310ED762"/>
    <w:rsid w:val="31108632"/>
    <w:rsid w:val="3111B596"/>
    <w:rsid w:val="3119E80A"/>
    <w:rsid w:val="311B822B"/>
    <w:rsid w:val="311E8FBB"/>
    <w:rsid w:val="311FE4EF"/>
    <w:rsid w:val="31218F5D"/>
    <w:rsid w:val="312236A0"/>
    <w:rsid w:val="3123FC0D"/>
    <w:rsid w:val="31287C93"/>
    <w:rsid w:val="312A8F55"/>
    <w:rsid w:val="312CF767"/>
    <w:rsid w:val="312E683D"/>
    <w:rsid w:val="3130D17E"/>
    <w:rsid w:val="31329000"/>
    <w:rsid w:val="313B3F91"/>
    <w:rsid w:val="313D760C"/>
    <w:rsid w:val="313FA7B3"/>
    <w:rsid w:val="31440EA1"/>
    <w:rsid w:val="314543E7"/>
    <w:rsid w:val="31461234"/>
    <w:rsid w:val="314A48A1"/>
    <w:rsid w:val="314CF450"/>
    <w:rsid w:val="314DA690"/>
    <w:rsid w:val="314DDA01"/>
    <w:rsid w:val="314E8AF8"/>
    <w:rsid w:val="314FDBFD"/>
    <w:rsid w:val="3151195B"/>
    <w:rsid w:val="31556CE7"/>
    <w:rsid w:val="315682CB"/>
    <w:rsid w:val="31581B96"/>
    <w:rsid w:val="315A9981"/>
    <w:rsid w:val="315BC7C7"/>
    <w:rsid w:val="315E07DF"/>
    <w:rsid w:val="315E412D"/>
    <w:rsid w:val="315EE207"/>
    <w:rsid w:val="315FD553"/>
    <w:rsid w:val="31600EA1"/>
    <w:rsid w:val="31601446"/>
    <w:rsid w:val="31607C89"/>
    <w:rsid w:val="3163572F"/>
    <w:rsid w:val="3166943A"/>
    <w:rsid w:val="316708D9"/>
    <w:rsid w:val="316726FB"/>
    <w:rsid w:val="3168C6B1"/>
    <w:rsid w:val="31691FE5"/>
    <w:rsid w:val="316A454D"/>
    <w:rsid w:val="316FA08C"/>
    <w:rsid w:val="3177947A"/>
    <w:rsid w:val="317E37FD"/>
    <w:rsid w:val="3183971A"/>
    <w:rsid w:val="31855E6A"/>
    <w:rsid w:val="318777AD"/>
    <w:rsid w:val="318792C3"/>
    <w:rsid w:val="318895EE"/>
    <w:rsid w:val="31900E85"/>
    <w:rsid w:val="31905AE5"/>
    <w:rsid w:val="3190FC05"/>
    <w:rsid w:val="31911931"/>
    <w:rsid w:val="319954C7"/>
    <w:rsid w:val="319D70F1"/>
    <w:rsid w:val="319EE3B4"/>
    <w:rsid w:val="31A10AD5"/>
    <w:rsid w:val="31A21B99"/>
    <w:rsid w:val="31A6DD46"/>
    <w:rsid w:val="31AB7698"/>
    <w:rsid w:val="31ABCF7A"/>
    <w:rsid w:val="31ADF16C"/>
    <w:rsid w:val="31AFBF3C"/>
    <w:rsid w:val="31B4377B"/>
    <w:rsid w:val="31B5870F"/>
    <w:rsid w:val="31B60854"/>
    <w:rsid w:val="31BF5BF0"/>
    <w:rsid w:val="31C1B523"/>
    <w:rsid w:val="31C2A6B2"/>
    <w:rsid w:val="31C3BF58"/>
    <w:rsid w:val="31C6E2DF"/>
    <w:rsid w:val="31C8D4B4"/>
    <w:rsid w:val="31C8DF38"/>
    <w:rsid w:val="31CF1354"/>
    <w:rsid w:val="31D725B3"/>
    <w:rsid w:val="31E11348"/>
    <w:rsid w:val="31E1B701"/>
    <w:rsid w:val="31E81014"/>
    <w:rsid w:val="31EA108C"/>
    <w:rsid w:val="31ED2A52"/>
    <w:rsid w:val="31EFA7FB"/>
    <w:rsid w:val="31F471FD"/>
    <w:rsid w:val="31F48608"/>
    <w:rsid w:val="31F4864D"/>
    <w:rsid w:val="31F822A3"/>
    <w:rsid w:val="32000342"/>
    <w:rsid w:val="32016E15"/>
    <w:rsid w:val="320559CB"/>
    <w:rsid w:val="3205B26F"/>
    <w:rsid w:val="32060C81"/>
    <w:rsid w:val="3206D75A"/>
    <w:rsid w:val="320AB174"/>
    <w:rsid w:val="320B4619"/>
    <w:rsid w:val="320E48F1"/>
    <w:rsid w:val="32110DBC"/>
    <w:rsid w:val="32111746"/>
    <w:rsid w:val="3215A58A"/>
    <w:rsid w:val="32187AD2"/>
    <w:rsid w:val="321D6108"/>
    <w:rsid w:val="321E501B"/>
    <w:rsid w:val="3220F71E"/>
    <w:rsid w:val="32215C90"/>
    <w:rsid w:val="322386B6"/>
    <w:rsid w:val="3224F401"/>
    <w:rsid w:val="32316FD7"/>
    <w:rsid w:val="3231A16D"/>
    <w:rsid w:val="32338E74"/>
    <w:rsid w:val="32339FCA"/>
    <w:rsid w:val="3239B927"/>
    <w:rsid w:val="323DF773"/>
    <w:rsid w:val="32403703"/>
    <w:rsid w:val="32407CFA"/>
    <w:rsid w:val="32408BFA"/>
    <w:rsid w:val="3240FB4E"/>
    <w:rsid w:val="3243AAF9"/>
    <w:rsid w:val="3243B27A"/>
    <w:rsid w:val="324E0173"/>
    <w:rsid w:val="3250B17C"/>
    <w:rsid w:val="3259DCFA"/>
    <w:rsid w:val="325AFBC7"/>
    <w:rsid w:val="325BB8C4"/>
    <w:rsid w:val="32603198"/>
    <w:rsid w:val="3273A56B"/>
    <w:rsid w:val="32756D1A"/>
    <w:rsid w:val="32821194"/>
    <w:rsid w:val="328293B9"/>
    <w:rsid w:val="328426DF"/>
    <w:rsid w:val="32882580"/>
    <w:rsid w:val="328DE998"/>
    <w:rsid w:val="328E0777"/>
    <w:rsid w:val="328E1974"/>
    <w:rsid w:val="328E5219"/>
    <w:rsid w:val="3295784F"/>
    <w:rsid w:val="32963AA0"/>
    <w:rsid w:val="329D2C25"/>
    <w:rsid w:val="329FEFE9"/>
    <w:rsid w:val="32A90C27"/>
    <w:rsid w:val="32A9EDD4"/>
    <w:rsid w:val="32ADDD66"/>
    <w:rsid w:val="32AF5549"/>
    <w:rsid w:val="32B031E5"/>
    <w:rsid w:val="32B12763"/>
    <w:rsid w:val="32B3E70D"/>
    <w:rsid w:val="32B663AA"/>
    <w:rsid w:val="32B859D9"/>
    <w:rsid w:val="32BA32FC"/>
    <w:rsid w:val="32BDF290"/>
    <w:rsid w:val="32BEF7D3"/>
    <w:rsid w:val="32C1594B"/>
    <w:rsid w:val="32C6EED9"/>
    <w:rsid w:val="32CA2A20"/>
    <w:rsid w:val="32CE4EAF"/>
    <w:rsid w:val="32CF41D8"/>
    <w:rsid w:val="32CF41F8"/>
    <w:rsid w:val="32D140EB"/>
    <w:rsid w:val="32D14483"/>
    <w:rsid w:val="32D24754"/>
    <w:rsid w:val="32D78EC4"/>
    <w:rsid w:val="32D9D51D"/>
    <w:rsid w:val="32DA51B5"/>
    <w:rsid w:val="32DB8114"/>
    <w:rsid w:val="32E11B6B"/>
    <w:rsid w:val="32E52D33"/>
    <w:rsid w:val="32E56680"/>
    <w:rsid w:val="32E8188D"/>
    <w:rsid w:val="32E95258"/>
    <w:rsid w:val="32EA4499"/>
    <w:rsid w:val="32F009AF"/>
    <w:rsid w:val="32F1C198"/>
    <w:rsid w:val="32F31C3A"/>
    <w:rsid w:val="32F64E60"/>
    <w:rsid w:val="32F65E55"/>
    <w:rsid w:val="32FAC96F"/>
    <w:rsid w:val="32FD53FA"/>
    <w:rsid w:val="32FDA846"/>
    <w:rsid w:val="33027892"/>
    <w:rsid w:val="33029758"/>
    <w:rsid w:val="3304F65B"/>
    <w:rsid w:val="330532DB"/>
    <w:rsid w:val="3306C83D"/>
    <w:rsid w:val="3307426F"/>
    <w:rsid w:val="3308CC82"/>
    <w:rsid w:val="330FA4CB"/>
    <w:rsid w:val="3316DED2"/>
    <w:rsid w:val="331AB2F1"/>
    <w:rsid w:val="331B73E0"/>
    <w:rsid w:val="331B7F38"/>
    <w:rsid w:val="33239243"/>
    <w:rsid w:val="3326819B"/>
    <w:rsid w:val="3326B99A"/>
    <w:rsid w:val="332A5B0B"/>
    <w:rsid w:val="332A6CB8"/>
    <w:rsid w:val="3333C57C"/>
    <w:rsid w:val="33387D17"/>
    <w:rsid w:val="333CA7B1"/>
    <w:rsid w:val="33425910"/>
    <w:rsid w:val="334465CA"/>
    <w:rsid w:val="3344CDEB"/>
    <w:rsid w:val="3349A76B"/>
    <w:rsid w:val="334C3C86"/>
    <w:rsid w:val="33500ED8"/>
    <w:rsid w:val="33535869"/>
    <w:rsid w:val="335964BC"/>
    <w:rsid w:val="3360D14E"/>
    <w:rsid w:val="3367EE68"/>
    <w:rsid w:val="3368516B"/>
    <w:rsid w:val="336E2642"/>
    <w:rsid w:val="33712C04"/>
    <w:rsid w:val="337470CF"/>
    <w:rsid w:val="33747B71"/>
    <w:rsid w:val="3374DA61"/>
    <w:rsid w:val="33783D27"/>
    <w:rsid w:val="337851E3"/>
    <w:rsid w:val="33807289"/>
    <w:rsid w:val="3380A1CD"/>
    <w:rsid w:val="338717AF"/>
    <w:rsid w:val="33919DD2"/>
    <w:rsid w:val="3391F9E2"/>
    <w:rsid w:val="3394E854"/>
    <w:rsid w:val="33952A82"/>
    <w:rsid w:val="3398FEC3"/>
    <w:rsid w:val="339ADF4F"/>
    <w:rsid w:val="339D8E28"/>
    <w:rsid w:val="339FC9F2"/>
    <w:rsid w:val="33A31FA1"/>
    <w:rsid w:val="33A34485"/>
    <w:rsid w:val="33AC7023"/>
    <w:rsid w:val="33B21C47"/>
    <w:rsid w:val="33B2FDB8"/>
    <w:rsid w:val="33B35558"/>
    <w:rsid w:val="33B3A916"/>
    <w:rsid w:val="33B3DA02"/>
    <w:rsid w:val="33B5E70C"/>
    <w:rsid w:val="33B5FD09"/>
    <w:rsid w:val="33B6732A"/>
    <w:rsid w:val="33B969EF"/>
    <w:rsid w:val="33BF1AF9"/>
    <w:rsid w:val="33BF82FC"/>
    <w:rsid w:val="33C113B8"/>
    <w:rsid w:val="33C1ACF8"/>
    <w:rsid w:val="33C3E07F"/>
    <w:rsid w:val="33C3E657"/>
    <w:rsid w:val="33C4FBB6"/>
    <w:rsid w:val="33C51D11"/>
    <w:rsid w:val="33C5D8E5"/>
    <w:rsid w:val="33CB8AC9"/>
    <w:rsid w:val="33CE51D3"/>
    <w:rsid w:val="33D2A950"/>
    <w:rsid w:val="33D33F71"/>
    <w:rsid w:val="33D3DC46"/>
    <w:rsid w:val="33D53E4B"/>
    <w:rsid w:val="33D57183"/>
    <w:rsid w:val="33DA1610"/>
    <w:rsid w:val="33DFAFB2"/>
    <w:rsid w:val="33E714D3"/>
    <w:rsid w:val="33E8C6F4"/>
    <w:rsid w:val="33EB1EAB"/>
    <w:rsid w:val="33F2CAE0"/>
    <w:rsid w:val="33F63C06"/>
    <w:rsid w:val="33FF3B8E"/>
    <w:rsid w:val="33FFFD8E"/>
    <w:rsid w:val="34053620"/>
    <w:rsid w:val="34070B85"/>
    <w:rsid w:val="34079C5A"/>
    <w:rsid w:val="34093A98"/>
    <w:rsid w:val="340F1E89"/>
    <w:rsid w:val="3410EB35"/>
    <w:rsid w:val="341203A7"/>
    <w:rsid w:val="34123A7B"/>
    <w:rsid w:val="3413271E"/>
    <w:rsid w:val="3413DA13"/>
    <w:rsid w:val="3413DBE8"/>
    <w:rsid w:val="3415EE7C"/>
    <w:rsid w:val="341647DA"/>
    <w:rsid w:val="341B8A29"/>
    <w:rsid w:val="341BA52B"/>
    <w:rsid w:val="341F1852"/>
    <w:rsid w:val="3420C2B0"/>
    <w:rsid w:val="342363D0"/>
    <w:rsid w:val="343152CD"/>
    <w:rsid w:val="34320E28"/>
    <w:rsid w:val="3432C9AA"/>
    <w:rsid w:val="343315B8"/>
    <w:rsid w:val="34369C9B"/>
    <w:rsid w:val="34370462"/>
    <w:rsid w:val="3437541B"/>
    <w:rsid w:val="343B6FE5"/>
    <w:rsid w:val="343C8A69"/>
    <w:rsid w:val="343E3CEC"/>
    <w:rsid w:val="344051A2"/>
    <w:rsid w:val="34412EAA"/>
    <w:rsid w:val="3441A229"/>
    <w:rsid w:val="3441F436"/>
    <w:rsid w:val="3443AE75"/>
    <w:rsid w:val="3443C10A"/>
    <w:rsid w:val="34506DA7"/>
    <w:rsid w:val="3450F7AF"/>
    <w:rsid w:val="345607EA"/>
    <w:rsid w:val="345E63B9"/>
    <w:rsid w:val="345EF040"/>
    <w:rsid w:val="346C786F"/>
    <w:rsid w:val="346D883E"/>
    <w:rsid w:val="347262F0"/>
    <w:rsid w:val="347CEBCC"/>
    <w:rsid w:val="348139B1"/>
    <w:rsid w:val="3482C4ED"/>
    <w:rsid w:val="34836655"/>
    <w:rsid w:val="34875FDA"/>
    <w:rsid w:val="3489BBAC"/>
    <w:rsid w:val="348CBFA2"/>
    <w:rsid w:val="348F3C5A"/>
    <w:rsid w:val="349899CF"/>
    <w:rsid w:val="349BAC92"/>
    <w:rsid w:val="349C2B97"/>
    <w:rsid w:val="349C4C84"/>
    <w:rsid w:val="349D119A"/>
    <w:rsid w:val="349D2E16"/>
    <w:rsid w:val="349EA588"/>
    <w:rsid w:val="34A3498C"/>
    <w:rsid w:val="34A58FCF"/>
    <w:rsid w:val="34A9A5F2"/>
    <w:rsid w:val="34ABB4DF"/>
    <w:rsid w:val="34B0C151"/>
    <w:rsid w:val="34B369D6"/>
    <w:rsid w:val="34B51DBB"/>
    <w:rsid w:val="34B57AE9"/>
    <w:rsid w:val="34B7A7D6"/>
    <w:rsid w:val="34BA0CF5"/>
    <w:rsid w:val="34BE4654"/>
    <w:rsid w:val="34C0A368"/>
    <w:rsid w:val="34C57DA4"/>
    <w:rsid w:val="34C6C92E"/>
    <w:rsid w:val="34C6CD72"/>
    <w:rsid w:val="34CD2D2E"/>
    <w:rsid w:val="34CD5D0C"/>
    <w:rsid w:val="34D05924"/>
    <w:rsid w:val="34D38933"/>
    <w:rsid w:val="34D39836"/>
    <w:rsid w:val="34D52F68"/>
    <w:rsid w:val="34DAA77F"/>
    <w:rsid w:val="34E7500C"/>
    <w:rsid w:val="34ECDECD"/>
    <w:rsid w:val="34EF3619"/>
    <w:rsid w:val="34F6CF85"/>
    <w:rsid w:val="34FCD440"/>
    <w:rsid w:val="34FD6933"/>
    <w:rsid w:val="3505AFA3"/>
    <w:rsid w:val="350716FF"/>
    <w:rsid w:val="35072F25"/>
    <w:rsid w:val="350B2F3D"/>
    <w:rsid w:val="350B99A5"/>
    <w:rsid w:val="350C31D7"/>
    <w:rsid w:val="350F09AC"/>
    <w:rsid w:val="350F68A1"/>
    <w:rsid w:val="350F9CD8"/>
    <w:rsid w:val="3512EBEA"/>
    <w:rsid w:val="3514779D"/>
    <w:rsid w:val="35178259"/>
    <w:rsid w:val="351CE0F6"/>
    <w:rsid w:val="3521946A"/>
    <w:rsid w:val="3521F335"/>
    <w:rsid w:val="3527D8F9"/>
    <w:rsid w:val="352ADC16"/>
    <w:rsid w:val="352C270F"/>
    <w:rsid w:val="352E0521"/>
    <w:rsid w:val="352EEED4"/>
    <w:rsid w:val="3539C8E5"/>
    <w:rsid w:val="353B4A1B"/>
    <w:rsid w:val="353F29EF"/>
    <w:rsid w:val="353F6FFC"/>
    <w:rsid w:val="353FF0D4"/>
    <w:rsid w:val="3542844E"/>
    <w:rsid w:val="35449174"/>
    <w:rsid w:val="3549A507"/>
    <w:rsid w:val="354CFF6C"/>
    <w:rsid w:val="354E7950"/>
    <w:rsid w:val="354E9DA1"/>
    <w:rsid w:val="3550E6EC"/>
    <w:rsid w:val="35598187"/>
    <w:rsid w:val="355BAC29"/>
    <w:rsid w:val="355E80E4"/>
    <w:rsid w:val="355F82E4"/>
    <w:rsid w:val="356106A4"/>
    <w:rsid w:val="3561577A"/>
    <w:rsid w:val="35618737"/>
    <w:rsid w:val="3561E716"/>
    <w:rsid w:val="3563F59F"/>
    <w:rsid w:val="356A6B41"/>
    <w:rsid w:val="356B4134"/>
    <w:rsid w:val="356D1B21"/>
    <w:rsid w:val="3571AA25"/>
    <w:rsid w:val="3574A237"/>
    <w:rsid w:val="357DB228"/>
    <w:rsid w:val="357E8826"/>
    <w:rsid w:val="358811AD"/>
    <w:rsid w:val="3589DAA6"/>
    <w:rsid w:val="358AB819"/>
    <w:rsid w:val="358C65B9"/>
    <w:rsid w:val="358CBD61"/>
    <w:rsid w:val="35907772"/>
    <w:rsid w:val="3591DC60"/>
    <w:rsid w:val="3595CC59"/>
    <w:rsid w:val="359C93C3"/>
    <w:rsid w:val="359F191D"/>
    <w:rsid w:val="35A1B5F7"/>
    <w:rsid w:val="35A3EE57"/>
    <w:rsid w:val="35A44B44"/>
    <w:rsid w:val="35A8696C"/>
    <w:rsid w:val="35AA7127"/>
    <w:rsid w:val="35ACA749"/>
    <w:rsid w:val="35AD3C66"/>
    <w:rsid w:val="35AEE00C"/>
    <w:rsid w:val="35AF56FC"/>
    <w:rsid w:val="35B1B13A"/>
    <w:rsid w:val="35B49212"/>
    <w:rsid w:val="35B78D38"/>
    <w:rsid w:val="35BA56A2"/>
    <w:rsid w:val="35BDBBC4"/>
    <w:rsid w:val="35C048EA"/>
    <w:rsid w:val="35C06CF0"/>
    <w:rsid w:val="35C1F6C0"/>
    <w:rsid w:val="35C3D08A"/>
    <w:rsid w:val="35C5AA2E"/>
    <w:rsid w:val="35C5FA10"/>
    <w:rsid w:val="35C93958"/>
    <w:rsid w:val="35D39F11"/>
    <w:rsid w:val="35D6A63A"/>
    <w:rsid w:val="35D99F46"/>
    <w:rsid w:val="35DF232C"/>
    <w:rsid w:val="35E1CC56"/>
    <w:rsid w:val="35E2E5CB"/>
    <w:rsid w:val="35E5EC2B"/>
    <w:rsid w:val="35E62AE9"/>
    <w:rsid w:val="35E93285"/>
    <w:rsid w:val="35E950F8"/>
    <w:rsid w:val="35E9E488"/>
    <w:rsid w:val="35ECBAF3"/>
    <w:rsid w:val="35F33BD4"/>
    <w:rsid w:val="35F3ABFF"/>
    <w:rsid w:val="35F85AF1"/>
    <w:rsid w:val="35FC8EFD"/>
    <w:rsid w:val="35FD0B2E"/>
    <w:rsid w:val="36000A00"/>
    <w:rsid w:val="36037107"/>
    <w:rsid w:val="3604BF45"/>
    <w:rsid w:val="3605EFBF"/>
    <w:rsid w:val="36085414"/>
    <w:rsid w:val="3609CBD4"/>
    <w:rsid w:val="3609F169"/>
    <w:rsid w:val="360D40F1"/>
    <w:rsid w:val="360ED2FE"/>
    <w:rsid w:val="36113415"/>
    <w:rsid w:val="3611EAD9"/>
    <w:rsid w:val="36129D94"/>
    <w:rsid w:val="36130A44"/>
    <w:rsid w:val="3613E293"/>
    <w:rsid w:val="36156CFB"/>
    <w:rsid w:val="36185414"/>
    <w:rsid w:val="361AB80B"/>
    <w:rsid w:val="361B02D6"/>
    <w:rsid w:val="361B78AB"/>
    <w:rsid w:val="361CAEF5"/>
    <w:rsid w:val="361DCB3A"/>
    <w:rsid w:val="361DF88E"/>
    <w:rsid w:val="361E07B8"/>
    <w:rsid w:val="361FE052"/>
    <w:rsid w:val="362180DC"/>
    <w:rsid w:val="3624A029"/>
    <w:rsid w:val="3626662B"/>
    <w:rsid w:val="362C28EA"/>
    <w:rsid w:val="3631D7BE"/>
    <w:rsid w:val="36320EDF"/>
    <w:rsid w:val="36363166"/>
    <w:rsid w:val="3637238A"/>
    <w:rsid w:val="363819DA"/>
    <w:rsid w:val="3638CEAE"/>
    <w:rsid w:val="36399433"/>
    <w:rsid w:val="3639B73C"/>
    <w:rsid w:val="363F24D1"/>
    <w:rsid w:val="3641066D"/>
    <w:rsid w:val="36411CAE"/>
    <w:rsid w:val="3645C4E6"/>
    <w:rsid w:val="364A6C64"/>
    <w:rsid w:val="364AA5C6"/>
    <w:rsid w:val="3651C071"/>
    <w:rsid w:val="3653ED9B"/>
    <w:rsid w:val="3658A50E"/>
    <w:rsid w:val="365A2339"/>
    <w:rsid w:val="365C46F0"/>
    <w:rsid w:val="365C9C9A"/>
    <w:rsid w:val="365D3F55"/>
    <w:rsid w:val="365DC710"/>
    <w:rsid w:val="3661941D"/>
    <w:rsid w:val="3661A4DA"/>
    <w:rsid w:val="3662C2BA"/>
    <w:rsid w:val="36632296"/>
    <w:rsid w:val="36661820"/>
    <w:rsid w:val="3670C095"/>
    <w:rsid w:val="367218C1"/>
    <w:rsid w:val="3672B604"/>
    <w:rsid w:val="3672C638"/>
    <w:rsid w:val="3677C360"/>
    <w:rsid w:val="36782479"/>
    <w:rsid w:val="367E30DE"/>
    <w:rsid w:val="368017C7"/>
    <w:rsid w:val="3680540E"/>
    <w:rsid w:val="3683B4A4"/>
    <w:rsid w:val="3683BDBF"/>
    <w:rsid w:val="3689A8DC"/>
    <w:rsid w:val="368D5F86"/>
    <w:rsid w:val="368E840F"/>
    <w:rsid w:val="369CB88C"/>
    <w:rsid w:val="36A001B6"/>
    <w:rsid w:val="36AB7C91"/>
    <w:rsid w:val="36AF107C"/>
    <w:rsid w:val="36B0C129"/>
    <w:rsid w:val="36BB5BDB"/>
    <w:rsid w:val="36BD4BF8"/>
    <w:rsid w:val="36BE2595"/>
    <w:rsid w:val="36BF5213"/>
    <w:rsid w:val="36C3860D"/>
    <w:rsid w:val="36C7D293"/>
    <w:rsid w:val="36C7F146"/>
    <w:rsid w:val="36C81B89"/>
    <w:rsid w:val="36C9B08A"/>
    <w:rsid w:val="36CBB3CD"/>
    <w:rsid w:val="36DD0ED2"/>
    <w:rsid w:val="36DEA640"/>
    <w:rsid w:val="36EE301A"/>
    <w:rsid w:val="36F27A2C"/>
    <w:rsid w:val="36F3CEA7"/>
    <w:rsid w:val="36F436DE"/>
    <w:rsid w:val="36F4383F"/>
    <w:rsid w:val="36F4FA18"/>
    <w:rsid w:val="36F7E306"/>
    <w:rsid w:val="36F94F0C"/>
    <w:rsid w:val="36FF8AA1"/>
    <w:rsid w:val="37067097"/>
    <w:rsid w:val="3708904D"/>
    <w:rsid w:val="370B1A7B"/>
    <w:rsid w:val="37106889"/>
    <w:rsid w:val="3710747B"/>
    <w:rsid w:val="3711B8AC"/>
    <w:rsid w:val="3711C33E"/>
    <w:rsid w:val="37135847"/>
    <w:rsid w:val="371612F9"/>
    <w:rsid w:val="371CA713"/>
    <w:rsid w:val="3722356F"/>
    <w:rsid w:val="372471FF"/>
    <w:rsid w:val="37252052"/>
    <w:rsid w:val="37286A58"/>
    <w:rsid w:val="372AE60D"/>
    <w:rsid w:val="372E08BD"/>
    <w:rsid w:val="372E66A0"/>
    <w:rsid w:val="3733F34D"/>
    <w:rsid w:val="373D74BB"/>
    <w:rsid w:val="373F70EF"/>
    <w:rsid w:val="37401742"/>
    <w:rsid w:val="37419F28"/>
    <w:rsid w:val="37426FBD"/>
    <w:rsid w:val="37427726"/>
    <w:rsid w:val="37447CD9"/>
    <w:rsid w:val="374787FD"/>
    <w:rsid w:val="3749B0B3"/>
    <w:rsid w:val="374CCEAA"/>
    <w:rsid w:val="37546C2E"/>
    <w:rsid w:val="375548DB"/>
    <w:rsid w:val="37575980"/>
    <w:rsid w:val="3757911C"/>
    <w:rsid w:val="37580940"/>
    <w:rsid w:val="375F4C29"/>
    <w:rsid w:val="3763AB4E"/>
    <w:rsid w:val="376696B5"/>
    <w:rsid w:val="3766D940"/>
    <w:rsid w:val="376CBA61"/>
    <w:rsid w:val="37751D8E"/>
    <w:rsid w:val="377643D2"/>
    <w:rsid w:val="3781C035"/>
    <w:rsid w:val="3782FFE4"/>
    <w:rsid w:val="37875FAD"/>
    <w:rsid w:val="37883AA2"/>
    <w:rsid w:val="3789317F"/>
    <w:rsid w:val="3789B630"/>
    <w:rsid w:val="378BFA92"/>
    <w:rsid w:val="378F4D18"/>
    <w:rsid w:val="3791B1D2"/>
    <w:rsid w:val="37931FC5"/>
    <w:rsid w:val="3794673C"/>
    <w:rsid w:val="37967CAA"/>
    <w:rsid w:val="379C4A6C"/>
    <w:rsid w:val="37A14BD6"/>
    <w:rsid w:val="37A1F84F"/>
    <w:rsid w:val="37A6AC23"/>
    <w:rsid w:val="37A9A879"/>
    <w:rsid w:val="37AA4795"/>
    <w:rsid w:val="37AB4019"/>
    <w:rsid w:val="37AB4213"/>
    <w:rsid w:val="37B432DB"/>
    <w:rsid w:val="37B56A48"/>
    <w:rsid w:val="37B9E66F"/>
    <w:rsid w:val="37BBD060"/>
    <w:rsid w:val="37BD6981"/>
    <w:rsid w:val="37BF2396"/>
    <w:rsid w:val="37C055FD"/>
    <w:rsid w:val="37C2017B"/>
    <w:rsid w:val="37C3FC98"/>
    <w:rsid w:val="37C75CD9"/>
    <w:rsid w:val="37CD5A5A"/>
    <w:rsid w:val="37D0260C"/>
    <w:rsid w:val="37D2AEE2"/>
    <w:rsid w:val="37D6F103"/>
    <w:rsid w:val="37D77FB5"/>
    <w:rsid w:val="37DB9EF7"/>
    <w:rsid w:val="37DBE6B9"/>
    <w:rsid w:val="37DCEFE8"/>
    <w:rsid w:val="37DEE2B8"/>
    <w:rsid w:val="37E0AE50"/>
    <w:rsid w:val="37E0D65A"/>
    <w:rsid w:val="37E20743"/>
    <w:rsid w:val="37E4355D"/>
    <w:rsid w:val="37E54988"/>
    <w:rsid w:val="37E78770"/>
    <w:rsid w:val="37E8B834"/>
    <w:rsid w:val="37E99AAE"/>
    <w:rsid w:val="37EEE902"/>
    <w:rsid w:val="37F4CF4F"/>
    <w:rsid w:val="37F61B02"/>
    <w:rsid w:val="37F631EA"/>
    <w:rsid w:val="37F7BC47"/>
    <w:rsid w:val="37F98D4F"/>
    <w:rsid w:val="37FBC1BA"/>
    <w:rsid w:val="37FC46FA"/>
    <w:rsid w:val="37FD6AF9"/>
    <w:rsid w:val="38120F96"/>
    <w:rsid w:val="3815633E"/>
    <w:rsid w:val="3816FEBE"/>
    <w:rsid w:val="381A9F20"/>
    <w:rsid w:val="381BB3CF"/>
    <w:rsid w:val="381F2EFB"/>
    <w:rsid w:val="3822ED5B"/>
    <w:rsid w:val="38243CBC"/>
    <w:rsid w:val="382E7591"/>
    <w:rsid w:val="382EDD6D"/>
    <w:rsid w:val="382FAE40"/>
    <w:rsid w:val="38308E5A"/>
    <w:rsid w:val="3836658C"/>
    <w:rsid w:val="383A6E17"/>
    <w:rsid w:val="383EF322"/>
    <w:rsid w:val="38401F88"/>
    <w:rsid w:val="38441669"/>
    <w:rsid w:val="3845A318"/>
    <w:rsid w:val="384BF76C"/>
    <w:rsid w:val="384D07C5"/>
    <w:rsid w:val="384DC35F"/>
    <w:rsid w:val="38506858"/>
    <w:rsid w:val="3852C861"/>
    <w:rsid w:val="385700FA"/>
    <w:rsid w:val="3857451A"/>
    <w:rsid w:val="385F38A5"/>
    <w:rsid w:val="385F6426"/>
    <w:rsid w:val="3862E899"/>
    <w:rsid w:val="3865D3C6"/>
    <w:rsid w:val="3866A7CC"/>
    <w:rsid w:val="386C08B8"/>
    <w:rsid w:val="386CC393"/>
    <w:rsid w:val="386D6F81"/>
    <w:rsid w:val="386F36B8"/>
    <w:rsid w:val="387004A1"/>
    <w:rsid w:val="38707C6F"/>
    <w:rsid w:val="3871B9AB"/>
    <w:rsid w:val="38754EBA"/>
    <w:rsid w:val="3879050D"/>
    <w:rsid w:val="3879102D"/>
    <w:rsid w:val="387A27B8"/>
    <w:rsid w:val="387CA9AC"/>
    <w:rsid w:val="388569AC"/>
    <w:rsid w:val="38889F88"/>
    <w:rsid w:val="38895F6C"/>
    <w:rsid w:val="388B4494"/>
    <w:rsid w:val="388D4690"/>
    <w:rsid w:val="38917B09"/>
    <w:rsid w:val="389B05BE"/>
    <w:rsid w:val="389CE346"/>
    <w:rsid w:val="38A1692A"/>
    <w:rsid w:val="38A1E8E3"/>
    <w:rsid w:val="38A5D0CC"/>
    <w:rsid w:val="38A62748"/>
    <w:rsid w:val="38A68856"/>
    <w:rsid w:val="38AB4552"/>
    <w:rsid w:val="38AC271B"/>
    <w:rsid w:val="38ACD292"/>
    <w:rsid w:val="38B1302E"/>
    <w:rsid w:val="38B24C7E"/>
    <w:rsid w:val="38B9CAFE"/>
    <w:rsid w:val="38BA4315"/>
    <w:rsid w:val="38BA57CC"/>
    <w:rsid w:val="38BDC34A"/>
    <w:rsid w:val="38BE1EAB"/>
    <w:rsid w:val="38C464DA"/>
    <w:rsid w:val="38C5C65C"/>
    <w:rsid w:val="38CA60F8"/>
    <w:rsid w:val="38CB795C"/>
    <w:rsid w:val="38CDCF86"/>
    <w:rsid w:val="38D28E00"/>
    <w:rsid w:val="38D370B3"/>
    <w:rsid w:val="38D373DA"/>
    <w:rsid w:val="38D3D58B"/>
    <w:rsid w:val="38D48F51"/>
    <w:rsid w:val="38D8179F"/>
    <w:rsid w:val="38E2A414"/>
    <w:rsid w:val="38E3F0E0"/>
    <w:rsid w:val="38E57CA3"/>
    <w:rsid w:val="38E96E3A"/>
    <w:rsid w:val="38EA2A9A"/>
    <w:rsid w:val="38ED5FEF"/>
    <w:rsid w:val="38F475DE"/>
    <w:rsid w:val="38F4B40F"/>
    <w:rsid w:val="38F7FCF3"/>
    <w:rsid w:val="38F83651"/>
    <w:rsid w:val="38FD3161"/>
    <w:rsid w:val="390394C9"/>
    <w:rsid w:val="3905B52E"/>
    <w:rsid w:val="390898E1"/>
    <w:rsid w:val="390B3660"/>
    <w:rsid w:val="390B82B2"/>
    <w:rsid w:val="390BD433"/>
    <w:rsid w:val="390BE00C"/>
    <w:rsid w:val="390C524A"/>
    <w:rsid w:val="390F6BC0"/>
    <w:rsid w:val="39132C82"/>
    <w:rsid w:val="391BDE63"/>
    <w:rsid w:val="391DE27E"/>
    <w:rsid w:val="391EC8A6"/>
    <w:rsid w:val="39228B8B"/>
    <w:rsid w:val="39236BC7"/>
    <w:rsid w:val="3927672D"/>
    <w:rsid w:val="3929987A"/>
    <w:rsid w:val="3930F8B4"/>
    <w:rsid w:val="39316939"/>
    <w:rsid w:val="393379C2"/>
    <w:rsid w:val="393C0358"/>
    <w:rsid w:val="393EA74D"/>
    <w:rsid w:val="393EB616"/>
    <w:rsid w:val="3947A423"/>
    <w:rsid w:val="394881E0"/>
    <w:rsid w:val="394BFA31"/>
    <w:rsid w:val="394D4ECD"/>
    <w:rsid w:val="394EB9A8"/>
    <w:rsid w:val="3950B1C6"/>
    <w:rsid w:val="3950E3D1"/>
    <w:rsid w:val="39555FB5"/>
    <w:rsid w:val="3955741C"/>
    <w:rsid w:val="3956036C"/>
    <w:rsid w:val="3958C2D3"/>
    <w:rsid w:val="39599873"/>
    <w:rsid w:val="395A89EE"/>
    <w:rsid w:val="395BA6EB"/>
    <w:rsid w:val="3965997C"/>
    <w:rsid w:val="3967236C"/>
    <w:rsid w:val="396992BA"/>
    <w:rsid w:val="396C30F0"/>
    <w:rsid w:val="39704F46"/>
    <w:rsid w:val="3970D0EA"/>
    <w:rsid w:val="39776D02"/>
    <w:rsid w:val="397AECA3"/>
    <w:rsid w:val="397BC4F1"/>
    <w:rsid w:val="397CED77"/>
    <w:rsid w:val="397F6A58"/>
    <w:rsid w:val="3980E493"/>
    <w:rsid w:val="3982F1E9"/>
    <w:rsid w:val="39868E66"/>
    <w:rsid w:val="3989D273"/>
    <w:rsid w:val="398A1F14"/>
    <w:rsid w:val="398AF1F6"/>
    <w:rsid w:val="398C4041"/>
    <w:rsid w:val="398D994C"/>
    <w:rsid w:val="398E9FE5"/>
    <w:rsid w:val="3993901A"/>
    <w:rsid w:val="3995468F"/>
    <w:rsid w:val="3997D567"/>
    <w:rsid w:val="399A90E3"/>
    <w:rsid w:val="399BC86C"/>
    <w:rsid w:val="399BD66E"/>
    <w:rsid w:val="399CE280"/>
    <w:rsid w:val="399F3ABF"/>
    <w:rsid w:val="39A2478C"/>
    <w:rsid w:val="39A3BF5A"/>
    <w:rsid w:val="39A73246"/>
    <w:rsid w:val="39A80E4A"/>
    <w:rsid w:val="39A8CFB9"/>
    <w:rsid w:val="39AAC03F"/>
    <w:rsid w:val="39ABE1B2"/>
    <w:rsid w:val="39AF2640"/>
    <w:rsid w:val="39AF88CE"/>
    <w:rsid w:val="39B42930"/>
    <w:rsid w:val="39B62648"/>
    <w:rsid w:val="39BE0B33"/>
    <w:rsid w:val="39BE40EF"/>
    <w:rsid w:val="39C96FAD"/>
    <w:rsid w:val="39CE7E1F"/>
    <w:rsid w:val="39CEFC11"/>
    <w:rsid w:val="39CF9CC9"/>
    <w:rsid w:val="39D091EB"/>
    <w:rsid w:val="39D2B561"/>
    <w:rsid w:val="39D6AE43"/>
    <w:rsid w:val="39D6BAA3"/>
    <w:rsid w:val="39DA5E58"/>
    <w:rsid w:val="39DAAF3C"/>
    <w:rsid w:val="39DB30DA"/>
    <w:rsid w:val="39DBAEB4"/>
    <w:rsid w:val="39DEB133"/>
    <w:rsid w:val="39E148D4"/>
    <w:rsid w:val="39E2EBA3"/>
    <w:rsid w:val="39E3BACF"/>
    <w:rsid w:val="39E6E0CD"/>
    <w:rsid w:val="39E756E6"/>
    <w:rsid w:val="39ED8F51"/>
    <w:rsid w:val="39F18A2E"/>
    <w:rsid w:val="39F4D6E8"/>
    <w:rsid w:val="39FAB807"/>
    <w:rsid w:val="39FBBE15"/>
    <w:rsid w:val="39FE2AB9"/>
    <w:rsid w:val="3A0076CE"/>
    <w:rsid w:val="3A0279BD"/>
    <w:rsid w:val="3A09F640"/>
    <w:rsid w:val="3A0BF20E"/>
    <w:rsid w:val="3A0EE012"/>
    <w:rsid w:val="3A14DD8F"/>
    <w:rsid w:val="3A156C1D"/>
    <w:rsid w:val="3A1AF477"/>
    <w:rsid w:val="3A231F50"/>
    <w:rsid w:val="3A264FD1"/>
    <w:rsid w:val="3A2665D7"/>
    <w:rsid w:val="3A2A4826"/>
    <w:rsid w:val="3A2BF23D"/>
    <w:rsid w:val="3A2E2ACC"/>
    <w:rsid w:val="3A2E8EC9"/>
    <w:rsid w:val="3A33E6EF"/>
    <w:rsid w:val="3A351AB3"/>
    <w:rsid w:val="3A386BC4"/>
    <w:rsid w:val="3A391668"/>
    <w:rsid w:val="3A39E539"/>
    <w:rsid w:val="3A3A5FC5"/>
    <w:rsid w:val="3A3EA9A7"/>
    <w:rsid w:val="3A3FC2D8"/>
    <w:rsid w:val="3A40240F"/>
    <w:rsid w:val="3A4298A5"/>
    <w:rsid w:val="3A4327BD"/>
    <w:rsid w:val="3A46027C"/>
    <w:rsid w:val="3A528D23"/>
    <w:rsid w:val="3A535CCB"/>
    <w:rsid w:val="3A5D89CC"/>
    <w:rsid w:val="3A5DE954"/>
    <w:rsid w:val="3A65CA6F"/>
    <w:rsid w:val="3A68F661"/>
    <w:rsid w:val="3A69FBA6"/>
    <w:rsid w:val="3A701CB3"/>
    <w:rsid w:val="3A726555"/>
    <w:rsid w:val="3A768635"/>
    <w:rsid w:val="3A798FF1"/>
    <w:rsid w:val="3A7BF27B"/>
    <w:rsid w:val="3A7C783B"/>
    <w:rsid w:val="3A801F32"/>
    <w:rsid w:val="3A80E397"/>
    <w:rsid w:val="3A858290"/>
    <w:rsid w:val="3A88B150"/>
    <w:rsid w:val="3A8F0404"/>
    <w:rsid w:val="3A91673D"/>
    <w:rsid w:val="3A952C9E"/>
    <w:rsid w:val="3A983BA2"/>
    <w:rsid w:val="3A9889EB"/>
    <w:rsid w:val="3A9BEDB4"/>
    <w:rsid w:val="3AA4CDFC"/>
    <w:rsid w:val="3AACC504"/>
    <w:rsid w:val="3AB42DB1"/>
    <w:rsid w:val="3AB889B1"/>
    <w:rsid w:val="3ABC1132"/>
    <w:rsid w:val="3AC0B833"/>
    <w:rsid w:val="3AC1982D"/>
    <w:rsid w:val="3AC2C9B4"/>
    <w:rsid w:val="3AC2F024"/>
    <w:rsid w:val="3ACB238A"/>
    <w:rsid w:val="3ACD557B"/>
    <w:rsid w:val="3ACEDAD8"/>
    <w:rsid w:val="3AD1E286"/>
    <w:rsid w:val="3AD49ED5"/>
    <w:rsid w:val="3AD9737A"/>
    <w:rsid w:val="3ADD9B30"/>
    <w:rsid w:val="3ADF2E74"/>
    <w:rsid w:val="3AE01D57"/>
    <w:rsid w:val="3AE1AA7F"/>
    <w:rsid w:val="3AE471D5"/>
    <w:rsid w:val="3AE9AFB9"/>
    <w:rsid w:val="3AEC20D8"/>
    <w:rsid w:val="3AECA557"/>
    <w:rsid w:val="3AF5351F"/>
    <w:rsid w:val="3AFC5126"/>
    <w:rsid w:val="3AFD239D"/>
    <w:rsid w:val="3B01D14A"/>
    <w:rsid w:val="3B025AAB"/>
    <w:rsid w:val="3B03DC8D"/>
    <w:rsid w:val="3B0529AF"/>
    <w:rsid w:val="3B16C193"/>
    <w:rsid w:val="3B18CB06"/>
    <w:rsid w:val="3B1B3875"/>
    <w:rsid w:val="3B1B8978"/>
    <w:rsid w:val="3B1F2F82"/>
    <w:rsid w:val="3B216374"/>
    <w:rsid w:val="3B275F41"/>
    <w:rsid w:val="3B28F721"/>
    <w:rsid w:val="3B296771"/>
    <w:rsid w:val="3B29F66A"/>
    <w:rsid w:val="3B2B6EA8"/>
    <w:rsid w:val="3B2DCAE2"/>
    <w:rsid w:val="3B301698"/>
    <w:rsid w:val="3B30A88E"/>
    <w:rsid w:val="3B31CA20"/>
    <w:rsid w:val="3B350540"/>
    <w:rsid w:val="3B3B4E80"/>
    <w:rsid w:val="3B3C27BA"/>
    <w:rsid w:val="3B3CEB37"/>
    <w:rsid w:val="3B4165FE"/>
    <w:rsid w:val="3B417E92"/>
    <w:rsid w:val="3B4C765C"/>
    <w:rsid w:val="3B4C7990"/>
    <w:rsid w:val="3B4CCA78"/>
    <w:rsid w:val="3B4D439A"/>
    <w:rsid w:val="3B52F2E4"/>
    <w:rsid w:val="3B54BEB5"/>
    <w:rsid w:val="3B58490E"/>
    <w:rsid w:val="3B5927C2"/>
    <w:rsid w:val="3B5C0434"/>
    <w:rsid w:val="3B5D0D1C"/>
    <w:rsid w:val="3B5E3D4B"/>
    <w:rsid w:val="3B60EF4D"/>
    <w:rsid w:val="3B658A5E"/>
    <w:rsid w:val="3B6BC504"/>
    <w:rsid w:val="3B6EA438"/>
    <w:rsid w:val="3B70835F"/>
    <w:rsid w:val="3B7474C3"/>
    <w:rsid w:val="3B78ECDD"/>
    <w:rsid w:val="3B7D6282"/>
    <w:rsid w:val="3B7EACD6"/>
    <w:rsid w:val="3B7F49AD"/>
    <w:rsid w:val="3B8772B4"/>
    <w:rsid w:val="3B88FFBC"/>
    <w:rsid w:val="3B891556"/>
    <w:rsid w:val="3B8930D7"/>
    <w:rsid w:val="3B898CFE"/>
    <w:rsid w:val="3B8C3CED"/>
    <w:rsid w:val="3B92AE01"/>
    <w:rsid w:val="3B931966"/>
    <w:rsid w:val="3B93D9E4"/>
    <w:rsid w:val="3B9705A5"/>
    <w:rsid w:val="3B9C2ADD"/>
    <w:rsid w:val="3B9C7490"/>
    <w:rsid w:val="3B9F1613"/>
    <w:rsid w:val="3B9F5EAD"/>
    <w:rsid w:val="3BA389CA"/>
    <w:rsid w:val="3BA39834"/>
    <w:rsid w:val="3BA6EF43"/>
    <w:rsid w:val="3BAA1FEC"/>
    <w:rsid w:val="3BAC0EB9"/>
    <w:rsid w:val="3BAF6D17"/>
    <w:rsid w:val="3BB05FB5"/>
    <w:rsid w:val="3BB1DDB9"/>
    <w:rsid w:val="3BBA003F"/>
    <w:rsid w:val="3BBA3933"/>
    <w:rsid w:val="3BBCADB3"/>
    <w:rsid w:val="3BBD1E6B"/>
    <w:rsid w:val="3BBD58FE"/>
    <w:rsid w:val="3BBFD477"/>
    <w:rsid w:val="3BC1FD1F"/>
    <w:rsid w:val="3BC220AE"/>
    <w:rsid w:val="3BC5B736"/>
    <w:rsid w:val="3BC6E7E3"/>
    <w:rsid w:val="3BCEAD88"/>
    <w:rsid w:val="3BCEFB4B"/>
    <w:rsid w:val="3BD080CE"/>
    <w:rsid w:val="3BD4044C"/>
    <w:rsid w:val="3BD5C3FD"/>
    <w:rsid w:val="3BD9C21F"/>
    <w:rsid w:val="3BDFF043"/>
    <w:rsid w:val="3BE04250"/>
    <w:rsid w:val="3BE3A6F0"/>
    <w:rsid w:val="3BE7E7C2"/>
    <w:rsid w:val="3BE86B53"/>
    <w:rsid w:val="3BEAE8AE"/>
    <w:rsid w:val="3BEB22E6"/>
    <w:rsid w:val="3BF15C71"/>
    <w:rsid w:val="3BF183CA"/>
    <w:rsid w:val="3C0000DB"/>
    <w:rsid w:val="3C028FA0"/>
    <w:rsid w:val="3C034F1B"/>
    <w:rsid w:val="3C041050"/>
    <w:rsid w:val="3C0579BF"/>
    <w:rsid w:val="3C07BF55"/>
    <w:rsid w:val="3C0AA7EB"/>
    <w:rsid w:val="3C0B06CC"/>
    <w:rsid w:val="3C0B3F31"/>
    <w:rsid w:val="3C0E23F5"/>
    <w:rsid w:val="3C14B9D9"/>
    <w:rsid w:val="3C1986C0"/>
    <w:rsid w:val="3C20DC62"/>
    <w:rsid w:val="3C20FD15"/>
    <w:rsid w:val="3C235D94"/>
    <w:rsid w:val="3C27643B"/>
    <w:rsid w:val="3C2C9CCF"/>
    <w:rsid w:val="3C2EBED7"/>
    <w:rsid w:val="3C30D054"/>
    <w:rsid w:val="3C314502"/>
    <w:rsid w:val="3C3235D3"/>
    <w:rsid w:val="3C3404B3"/>
    <w:rsid w:val="3C3786C8"/>
    <w:rsid w:val="3C3888D3"/>
    <w:rsid w:val="3C38FE5B"/>
    <w:rsid w:val="3C405BF6"/>
    <w:rsid w:val="3C41B45A"/>
    <w:rsid w:val="3C41C943"/>
    <w:rsid w:val="3C4517B9"/>
    <w:rsid w:val="3C4527C3"/>
    <w:rsid w:val="3C58BDF2"/>
    <w:rsid w:val="3C5A8415"/>
    <w:rsid w:val="3C5D9766"/>
    <w:rsid w:val="3C64C991"/>
    <w:rsid w:val="3C67136F"/>
    <w:rsid w:val="3C6A4569"/>
    <w:rsid w:val="3C6BEDAE"/>
    <w:rsid w:val="3C6C6ECD"/>
    <w:rsid w:val="3C72E6C8"/>
    <w:rsid w:val="3C74C91E"/>
    <w:rsid w:val="3C7BA842"/>
    <w:rsid w:val="3C7C3EC6"/>
    <w:rsid w:val="3C7F0ADC"/>
    <w:rsid w:val="3C7F56FB"/>
    <w:rsid w:val="3C83B9BC"/>
    <w:rsid w:val="3C83C5B8"/>
    <w:rsid w:val="3C83E439"/>
    <w:rsid w:val="3C8458D1"/>
    <w:rsid w:val="3C8667F1"/>
    <w:rsid w:val="3C8A706A"/>
    <w:rsid w:val="3C8B9515"/>
    <w:rsid w:val="3C8DDBD6"/>
    <w:rsid w:val="3C926BB5"/>
    <w:rsid w:val="3C92FF29"/>
    <w:rsid w:val="3C945894"/>
    <w:rsid w:val="3C983B4C"/>
    <w:rsid w:val="3C9AAD6D"/>
    <w:rsid w:val="3C9C505B"/>
    <w:rsid w:val="3C9DD24A"/>
    <w:rsid w:val="3C9E4EC7"/>
    <w:rsid w:val="3CA76EB7"/>
    <w:rsid w:val="3CB3A00D"/>
    <w:rsid w:val="3CB41F11"/>
    <w:rsid w:val="3CB95590"/>
    <w:rsid w:val="3CC16C38"/>
    <w:rsid w:val="3CC21C8F"/>
    <w:rsid w:val="3CC4755F"/>
    <w:rsid w:val="3CC4AE26"/>
    <w:rsid w:val="3CC56325"/>
    <w:rsid w:val="3CC93364"/>
    <w:rsid w:val="3CCADD30"/>
    <w:rsid w:val="3CCB1504"/>
    <w:rsid w:val="3CCC2FC3"/>
    <w:rsid w:val="3CCDB9D1"/>
    <w:rsid w:val="3CCEE8AA"/>
    <w:rsid w:val="3CCF173F"/>
    <w:rsid w:val="3CCFEB26"/>
    <w:rsid w:val="3CD1F6B3"/>
    <w:rsid w:val="3CD41201"/>
    <w:rsid w:val="3CD473B5"/>
    <w:rsid w:val="3CD67F9F"/>
    <w:rsid w:val="3CDA5ED2"/>
    <w:rsid w:val="3CDAAC99"/>
    <w:rsid w:val="3CDEAD1F"/>
    <w:rsid w:val="3CE31FA0"/>
    <w:rsid w:val="3CE3D968"/>
    <w:rsid w:val="3CE4C033"/>
    <w:rsid w:val="3CE8B1EC"/>
    <w:rsid w:val="3CEA7CF2"/>
    <w:rsid w:val="3CF42CA2"/>
    <w:rsid w:val="3CF44447"/>
    <w:rsid w:val="3CF6138D"/>
    <w:rsid w:val="3CF999E9"/>
    <w:rsid w:val="3D0364B5"/>
    <w:rsid w:val="3D04D388"/>
    <w:rsid w:val="3D09525A"/>
    <w:rsid w:val="3D0A92B5"/>
    <w:rsid w:val="3D109B74"/>
    <w:rsid w:val="3D13F5AE"/>
    <w:rsid w:val="3D145946"/>
    <w:rsid w:val="3D18462C"/>
    <w:rsid w:val="3D1E0AFE"/>
    <w:rsid w:val="3D1F2A11"/>
    <w:rsid w:val="3D201936"/>
    <w:rsid w:val="3D2070D9"/>
    <w:rsid w:val="3D24D8E8"/>
    <w:rsid w:val="3D25F134"/>
    <w:rsid w:val="3D2E73C9"/>
    <w:rsid w:val="3D2F6F8A"/>
    <w:rsid w:val="3D32B143"/>
    <w:rsid w:val="3D354A88"/>
    <w:rsid w:val="3D354C5D"/>
    <w:rsid w:val="3D3620B5"/>
    <w:rsid w:val="3D36DD26"/>
    <w:rsid w:val="3D3B261A"/>
    <w:rsid w:val="3D3B75F6"/>
    <w:rsid w:val="3D43891A"/>
    <w:rsid w:val="3D49565D"/>
    <w:rsid w:val="3D4B12CF"/>
    <w:rsid w:val="3D4B20C9"/>
    <w:rsid w:val="3D4D49F1"/>
    <w:rsid w:val="3D4DE90A"/>
    <w:rsid w:val="3D4FF6FE"/>
    <w:rsid w:val="3D513473"/>
    <w:rsid w:val="3D548358"/>
    <w:rsid w:val="3D5AEE23"/>
    <w:rsid w:val="3D5C02C5"/>
    <w:rsid w:val="3D5E1379"/>
    <w:rsid w:val="3D616A20"/>
    <w:rsid w:val="3D6562DA"/>
    <w:rsid w:val="3D6B0D18"/>
    <w:rsid w:val="3D6C5688"/>
    <w:rsid w:val="3D6FA204"/>
    <w:rsid w:val="3D750BEC"/>
    <w:rsid w:val="3D766BE4"/>
    <w:rsid w:val="3D78A367"/>
    <w:rsid w:val="3D7901AC"/>
    <w:rsid w:val="3D7A5682"/>
    <w:rsid w:val="3D7C5A72"/>
    <w:rsid w:val="3D82D37B"/>
    <w:rsid w:val="3D85BD30"/>
    <w:rsid w:val="3D8AB797"/>
    <w:rsid w:val="3D8D6EC3"/>
    <w:rsid w:val="3D926DB7"/>
    <w:rsid w:val="3D9BF0E2"/>
    <w:rsid w:val="3DA0AAFA"/>
    <w:rsid w:val="3DA0AF0B"/>
    <w:rsid w:val="3DA23DDB"/>
    <w:rsid w:val="3DA6718E"/>
    <w:rsid w:val="3DA6AD5E"/>
    <w:rsid w:val="3DA83A55"/>
    <w:rsid w:val="3DAE9640"/>
    <w:rsid w:val="3DB1374D"/>
    <w:rsid w:val="3DB18CE8"/>
    <w:rsid w:val="3DB4461E"/>
    <w:rsid w:val="3DB625C0"/>
    <w:rsid w:val="3DBCE6EE"/>
    <w:rsid w:val="3DBF64EB"/>
    <w:rsid w:val="3DBFB8A1"/>
    <w:rsid w:val="3DBFD3E6"/>
    <w:rsid w:val="3DC973B8"/>
    <w:rsid w:val="3DC9B040"/>
    <w:rsid w:val="3DC9FA34"/>
    <w:rsid w:val="3DD688C7"/>
    <w:rsid w:val="3DD76E43"/>
    <w:rsid w:val="3DD885B5"/>
    <w:rsid w:val="3DD9B7BA"/>
    <w:rsid w:val="3DDF9001"/>
    <w:rsid w:val="3DE479D9"/>
    <w:rsid w:val="3DE51249"/>
    <w:rsid w:val="3DE6B789"/>
    <w:rsid w:val="3DF5C324"/>
    <w:rsid w:val="3DF7DCAA"/>
    <w:rsid w:val="3DFA9F8F"/>
    <w:rsid w:val="3DFBE1E2"/>
    <w:rsid w:val="3DFF5B0E"/>
    <w:rsid w:val="3E01B1A6"/>
    <w:rsid w:val="3E03DE88"/>
    <w:rsid w:val="3E053A93"/>
    <w:rsid w:val="3E0BABF0"/>
    <w:rsid w:val="3E10687C"/>
    <w:rsid w:val="3E110AFA"/>
    <w:rsid w:val="3E11BDC7"/>
    <w:rsid w:val="3E12CC60"/>
    <w:rsid w:val="3E1323C1"/>
    <w:rsid w:val="3E16991C"/>
    <w:rsid w:val="3E1CDB6B"/>
    <w:rsid w:val="3E1F9192"/>
    <w:rsid w:val="3E206D58"/>
    <w:rsid w:val="3E21D284"/>
    <w:rsid w:val="3E246D0E"/>
    <w:rsid w:val="3E2C2896"/>
    <w:rsid w:val="3E2C4EF9"/>
    <w:rsid w:val="3E2E5B3F"/>
    <w:rsid w:val="3E2EACE4"/>
    <w:rsid w:val="3E39B571"/>
    <w:rsid w:val="3E3A4759"/>
    <w:rsid w:val="3E3B1138"/>
    <w:rsid w:val="3E3C9079"/>
    <w:rsid w:val="3E407DE6"/>
    <w:rsid w:val="3E4135D1"/>
    <w:rsid w:val="3E41E407"/>
    <w:rsid w:val="3E4439B9"/>
    <w:rsid w:val="3E4574CB"/>
    <w:rsid w:val="3E46EE57"/>
    <w:rsid w:val="3E485BFB"/>
    <w:rsid w:val="3E49F285"/>
    <w:rsid w:val="3E4CC30D"/>
    <w:rsid w:val="3E4E2546"/>
    <w:rsid w:val="3E563DF8"/>
    <w:rsid w:val="3E57E592"/>
    <w:rsid w:val="3E58BC6E"/>
    <w:rsid w:val="3E59C521"/>
    <w:rsid w:val="3E611EC2"/>
    <w:rsid w:val="3E62839E"/>
    <w:rsid w:val="3E629B77"/>
    <w:rsid w:val="3E629E8B"/>
    <w:rsid w:val="3E65E201"/>
    <w:rsid w:val="3E67AD6E"/>
    <w:rsid w:val="3E691E46"/>
    <w:rsid w:val="3E6CF711"/>
    <w:rsid w:val="3E707AD5"/>
    <w:rsid w:val="3E713E49"/>
    <w:rsid w:val="3E7749FA"/>
    <w:rsid w:val="3E776776"/>
    <w:rsid w:val="3E7AFF3A"/>
    <w:rsid w:val="3E7F7479"/>
    <w:rsid w:val="3E7F8833"/>
    <w:rsid w:val="3E86FC7E"/>
    <w:rsid w:val="3E870153"/>
    <w:rsid w:val="3E88641F"/>
    <w:rsid w:val="3E89DB4F"/>
    <w:rsid w:val="3E8B6619"/>
    <w:rsid w:val="3E8BE3E2"/>
    <w:rsid w:val="3E9045E1"/>
    <w:rsid w:val="3E925681"/>
    <w:rsid w:val="3E928589"/>
    <w:rsid w:val="3E9394A0"/>
    <w:rsid w:val="3E959F39"/>
    <w:rsid w:val="3E975A79"/>
    <w:rsid w:val="3E9FB6E6"/>
    <w:rsid w:val="3EA12A89"/>
    <w:rsid w:val="3EA37A35"/>
    <w:rsid w:val="3EA79379"/>
    <w:rsid w:val="3EA8258A"/>
    <w:rsid w:val="3EA8A544"/>
    <w:rsid w:val="3EABFB96"/>
    <w:rsid w:val="3EACD16B"/>
    <w:rsid w:val="3EADE961"/>
    <w:rsid w:val="3EAE098B"/>
    <w:rsid w:val="3EB988CA"/>
    <w:rsid w:val="3EBC61EE"/>
    <w:rsid w:val="3EBD2746"/>
    <w:rsid w:val="3EC116A5"/>
    <w:rsid w:val="3EC2BAFE"/>
    <w:rsid w:val="3ECB698A"/>
    <w:rsid w:val="3ECB6ED0"/>
    <w:rsid w:val="3ECCBD5A"/>
    <w:rsid w:val="3ECEB708"/>
    <w:rsid w:val="3ED16E9B"/>
    <w:rsid w:val="3ED3681D"/>
    <w:rsid w:val="3ED410A1"/>
    <w:rsid w:val="3ED413DD"/>
    <w:rsid w:val="3ED4999B"/>
    <w:rsid w:val="3ED680CC"/>
    <w:rsid w:val="3ED96C42"/>
    <w:rsid w:val="3EDC808D"/>
    <w:rsid w:val="3EDF68CC"/>
    <w:rsid w:val="3EE95351"/>
    <w:rsid w:val="3EE9552B"/>
    <w:rsid w:val="3EE9FCA5"/>
    <w:rsid w:val="3EEB2B8D"/>
    <w:rsid w:val="3EEDFD7F"/>
    <w:rsid w:val="3EF42334"/>
    <w:rsid w:val="3EF43BFF"/>
    <w:rsid w:val="3EFC927C"/>
    <w:rsid w:val="3F02AB42"/>
    <w:rsid w:val="3F0A6138"/>
    <w:rsid w:val="3F0E59F5"/>
    <w:rsid w:val="3F13FB0E"/>
    <w:rsid w:val="3F156AC0"/>
    <w:rsid w:val="3F1D00EA"/>
    <w:rsid w:val="3F1F4964"/>
    <w:rsid w:val="3F1FD3E3"/>
    <w:rsid w:val="3F2181C3"/>
    <w:rsid w:val="3F240C02"/>
    <w:rsid w:val="3F27EDE2"/>
    <w:rsid w:val="3F2910C5"/>
    <w:rsid w:val="3F2B8F80"/>
    <w:rsid w:val="3F2D6BA1"/>
    <w:rsid w:val="3F332C7A"/>
    <w:rsid w:val="3F387957"/>
    <w:rsid w:val="3F388739"/>
    <w:rsid w:val="3F3D82DB"/>
    <w:rsid w:val="3F3DBF7B"/>
    <w:rsid w:val="3F3FBEFE"/>
    <w:rsid w:val="3F421AF6"/>
    <w:rsid w:val="3F474160"/>
    <w:rsid w:val="3F485BE2"/>
    <w:rsid w:val="3F4D7ACB"/>
    <w:rsid w:val="3F4F2EB2"/>
    <w:rsid w:val="3F50ACC0"/>
    <w:rsid w:val="3F5B602F"/>
    <w:rsid w:val="3F5D0E9E"/>
    <w:rsid w:val="3F62A506"/>
    <w:rsid w:val="3F6E8C94"/>
    <w:rsid w:val="3F6F18C0"/>
    <w:rsid w:val="3F6F9765"/>
    <w:rsid w:val="3F707923"/>
    <w:rsid w:val="3F7F6530"/>
    <w:rsid w:val="3F82F796"/>
    <w:rsid w:val="3F832039"/>
    <w:rsid w:val="3F84FB75"/>
    <w:rsid w:val="3F87077C"/>
    <w:rsid w:val="3F88A4B6"/>
    <w:rsid w:val="3F88E27B"/>
    <w:rsid w:val="3F8A83B3"/>
    <w:rsid w:val="3F8C8219"/>
    <w:rsid w:val="3F8ED843"/>
    <w:rsid w:val="3F909B88"/>
    <w:rsid w:val="3F9669BD"/>
    <w:rsid w:val="3F979859"/>
    <w:rsid w:val="3F9A5C72"/>
    <w:rsid w:val="3F9B08BC"/>
    <w:rsid w:val="3FA2BC20"/>
    <w:rsid w:val="3FA40ABC"/>
    <w:rsid w:val="3FA781D5"/>
    <w:rsid w:val="3FAB0133"/>
    <w:rsid w:val="3FABEB96"/>
    <w:rsid w:val="3FB23E31"/>
    <w:rsid w:val="3FB74560"/>
    <w:rsid w:val="3FB7E2F8"/>
    <w:rsid w:val="3FBE18F7"/>
    <w:rsid w:val="3FBEA246"/>
    <w:rsid w:val="3FC18409"/>
    <w:rsid w:val="3FC2F114"/>
    <w:rsid w:val="3FC56569"/>
    <w:rsid w:val="3FC6AFBE"/>
    <w:rsid w:val="3FC8D0EC"/>
    <w:rsid w:val="3FC8F089"/>
    <w:rsid w:val="3FC93891"/>
    <w:rsid w:val="3FCA5E0E"/>
    <w:rsid w:val="3FCCE5A7"/>
    <w:rsid w:val="3FD1D9BA"/>
    <w:rsid w:val="3FD36156"/>
    <w:rsid w:val="3FD3F175"/>
    <w:rsid w:val="3FD73E84"/>
    <w:rsid w:val="3FD97FA3"/>
    <w:rsid w:val="3FDE3737"/>
    <w:rsid w:val="3FDF107F"/>
    <w:rsid w:val="3FE12F6F"/>
    <w:rsid w:val="3FE50744"/>
    <w:rsid w:val="3FEBE50E"/>
    <w:rsid w:val="3FED0B82"/>
    <w:rsid w:val="3FEE2168"/>
    <w:rsid w:val="3FEF4E06"/>
    <w:rsid w:val="3FF0181D"/>
    <w:rsid w:val="3FF18E79"/>
    <w:rsid w:val="3FF40A90"/>
    <w:rsid w:val="3FF5D8A0"/>
    <w:rsid w:val="3FFBAE81"/>
    <w:rsid w:val="3FFC4181"/>
    <w:rsid w:val="4002C5A7"/>
    <w:rsid w:val="4004BE1F"/>
    <w:rsid w:val="40091591"/>
    <w:rsid w:val="40098082"/>
    <w:rsid w:val="400A06FB"/>
    <w:rsid w:val="400CC3B9"/>
    <w:rsid w:val="40103893"/>
    <w:rsid w:val="401089FB"/>
    <w:rsid w:val="4012C01F"/>
    <w:rsid w:val="4015708C"/>
    <w:rsid w:val="4015D855"/>
    <w:rsid w:val="401B107E"/>
    <w:rsid w:val="401CF145"/>
    <w:rsid w:val="40209E80"/>
    <w:rsid w:val="4020F2D9"/>
    <w:rsid w:val="4028885F"/>
    <w:rsid w:val="4029F27C"/>
    <w:rsid w:val="402C4DA9"/>
    <w:rsid w:val="402D595E"/>
    <w:rsid w:val="402F314E"/>
    <w:rsid w:val="403AD463"/>
    <w:rsid w:val="4040830D"/>
    <w:rsid w:val="404476CD"/>
    <w:rsid w:val="404494DC"/>
    <w:rsid w:val="404FCB00"/>
    <w:rsid w:val="4050AA25"/>
    <w:rsid w:val="40517909"/>
    <w:rsid w:val="4052A6A7"/>
    <w:rsid w:val="40585810"/>
    <w:rsid w:val="405AD181"/>
    <w:rsid w:val="4062ECC1"/>
    <w:rsid w:val="40637ED5"/>
    <w:rsid w:val="40652A32"/>
    <w:rsid w:val="40654D91"/>
    <w:rsid w:val="40656E2A"/>
    <w:rsid w:val="4065F65E"/>
    <w:rsid w:val="40668F29"/>
    <w:rsid w:val="4068D1A3"/>
    <w:rsid w:val="406C91FF"/>
    <w:rsid w:val="406D2B90"/>
    <w:rsid w:val="4073EF45"/>
    <w:rsid w:val="407AFBFD"/>
    <w:rsid w:val="407D23C7"/>
    <w:rsid w:val="408138EA"/>
    <w:rsid w:val="4081A5F8"/>
    <w:rsid w:val="4086940B"/>
    <w:rsid w:val="4088F5AA"/>
    <w:rsid w:val="409303C1"/>
    <w:rsid w:val="4093085A"/>
    <w:rsid w:val="4093668D"/>
    <w:rsid w:val="4093B098"/>
    <w:rsid w:val="40977B09"/>
    <w:rsid w:val="4098C977"/>
    <w:rsid w:val="409DD766"/>
    <w:rsid w:val="409E4A7F"/>
    <w:rsid w:val="409F8D26"/>
    <w:rsid w:val="409FB5F1"/>
    <w:rsid w:val="40A15238"/>
    <w:rsid w:val="40A22368"/>
    <w:rsid w:val="40A4B20F"/>
    <w:rsid w:val="40AD5235"/>
    <w:rsid w:val="40AD86BE"/>
    <w:rsid w:val="40B05F8A"/>
    <w:rsid w:val="40B73EAC"/>
    <w:rsid w:val="40BA1464"/>
    <w:rsid w:val="40BCA501"/>
    <w:rsid w:val="40C17866"/>
    <w:rsid w:val="40C1AC6B"/>
    <w:rsid w:val="40C4DFA3"/>
    <w:rsid w:val="40CB9369"/>
    <w:rsid w:val="40CF12F3"/>
    <w:rsid w:val="40CF38D6"/>
    <w:rsid w:val="40D3F0F2"/>
    <w:rsid w:val="40D646A3"/>
    <w:rsid w:val="40D88515"/>
    <w:rsid w:val="40D9778D"/>
    <w:rsid w:val="40D9C74D"/>
    <w:rsid w:val="40DF410C"/>
    <w:rsid w:val="40E20851"/>
    <w:rsid w:val="40E501C3"/>
    <w:rsid w:val="40E53A26"/>
    <w:rsid w:val="40E6C743"/>
    <w:rsid w:val="40EB8BC9"/>
    <w:rsid w:val="40EE8456"/>
    <w:rsid w:val="40F0CCA2"/>
    <w:rsid w:val="40F424E2"/>
    <w:rsid w:val="40FA43B1"/>
    <w:rsid w:val="410109A0"/>
    <w:rsid w:val="4103479B"/>
    <w:rsid w:val="41072A4E"/>
    <w:rsid w:val="41132306"/>
    <w:rsid w:val="4113A9AB"/>
    <w:rsid w:val="411AA99B"/>
    <w:rsid w:val="411BBB31"/>
    <w:rsid w:val="411C2A44"/>
    <w:rsid w:val="411EA4E6"/>
    <w:rsid w:val="411F43C2"/>
    <w:rsid w:val="41220CA1"/>
    <w:rsid w:val="41220F13"/>
    <w:rsid w:val="41222A52"/>
    <w:rsid w:val="4122F414"/>
    <w:rsid w:val="41269522"/>
    <w:rsid w:val="412B9C97"/>
    <w:rsid w:val="412CE2C1"/>
    <w:rsid w:val="412F7FB5"/>
    <w:rsid w:val="4132560F"/>
    <w:rsid w:val="4139CF02"/>
    <w:rsid w:val="413B7262"/>
    <w:rsid w:val="413D73AF"/>
    <w:rsid w:val="4143FB3D"/>
    <w:rsid w:val="41498ED5"/>
    <w:rsid w:val="414A3BC7"/>
    <w:rsid w:val="414A54A6"/>
    <w:rsid w:val="414C0E86"/>
    <w:rsid w:val="414FF11E"/>
    <w:rsid w:val="4152034B"/>
    <w:rsid w:val="415E1AFB"/>
    <w:rsid w:val="41618756"/>
    <w:rsid w:val="4162811B"/>
    <w:rsid w:val="41651932"/>
    <w:rsid w:val="416AEFB7"/>
    <w:rsid w:val="41701F06"/>
    <w:rsid w:val="41711531"/>
    <w:rsid w:val="41711AE4"/>
    <w:rsid w:val="41735214"/>
    <w:rsid w:val="41737FBD"/>
    <w:rsid w:val="417B2941"/>
    <w:rsid w:val="417B5820"/>
    <w:rsid w:val="417D7047"/>
    <w:rsid w:val="418487B4"/>
    <w:rsid w:val="4185FE69"/>
    <w:rsid w:val="4188E04A"/>
    <w:rsid w:val="418BEB87"/>
    <w:rsid w:val="418D5090"/>
    <w:rsid w:val="41918BA2"/>
    <w:rsid w:val="419199E2"/>
    <w:rsid w:val="41953EAA"/>
    <w:rsid w:val="4196BE2D"/>
    <w:rsid w:val="41978E66"/>
    <w:rsid w:val="419B4B5E"/>
    <w:rsid w:val="419B5029"/>
    <w:rsid w:val="419B9706"/>
    <w:rsid w:val="419CE3B0"/>
    <w:rsid w:val="41A185C1"/>
    <w:rsid w:val="41A201D3"/>
    <w:rsid w:val="41A242E8"/>
    <w:rsid w:val="41A27AEA"/>
    <w:rsid w:val="41A42724"/>
    <w:rsid w:val="41A522E0"/>
    <w:rsid w:val="41A739D4"/>
    <w:rsid w:val="41ABE68F"/>
    <w:rsid w:val="41ABF034"/>
    <w:rsid w:val="41AC579B"/>
    <w:rsid w:val="41B16218"/>
    <w:rsid w:val="41B498A6"/>
    <w:rsid w:val="41BB8497"/>
    <w:rsid w:val="41BC477A"/>
    <w:rsid w:val="41C13D24"/>
    <w:rsid w:val="41C6386B"/>
    <w:rsid w:val="41C6B886"/>
    <w:rsid w:val="41C72237"/>
    <w:rsid w:val="41C746D8"/>
    <w:rsid w:val="41C9388B"/>
    <w:rsid w:val="41C9BEB1"/>
    <w:rsid w:val="41CE6907"/>
    <w:rsid w:val="41CF7E0D"/>
    <w:rsid w:val="41D01DA6"/>
    <w:rsid w:val="41D01DD3"/>
    <w:rsid w:val="41D57F62"/>
    <w:rsid w:val="41D59B18"/>
    <w:rsid w:val="41D912A5"/>
    <w:rsid w:val="41DC635D"/>
    <w:rsid w:val="41E000BE"/>
    <w:rsid w:val="41E117C3"/>
    <w:rsid w:val="41E5119E"/>
    <w:rsid w:val="41E6BF9E"/>
    <w:rsid w:val="41E83B91"/>
    <w:rsid w:val="41F4B6AA"/>
    <w:rsid w:val="41F78476"/>
    <w:rsid w:val="41FBF82F"/>
    <w:rsid w:val="41FF6648"/>
    <w:rsid w:val="420123C0"/>
    <w:rsid w:val="42047A05"/>
    <w:rsid w:val="420846D9"/>
    <w:rsid w:val="4209F7DD"/>
    <w:rsid w:val="420B497E"/>
    <w:rsid w:val="420BEFA4"/>
    <w:rsid w:val="420C25C7"/>
    <w:rsid w:val="420D9F6F"/>
    <w:rsid w:val="420E5F5E"/>
    <w:rsid w:val="4214E652"/>
    <w:rsid w:val="4216D1C7"/>
    <w:rsid w:val="421A40D2"/>
    <w:rsid w:val="421AD75E"/>
    <w:rsid w:val="4225FE63"/>
    <w:rsid w:val="42262AB6"/>
    <w:rsid w:val="422AC4E5"/>
    <w:rsid w:val="4239FB81"/>
    <w:rsid w:val="423BEC48"/>
    <w:rsid w:val="423E8FC9"/>
    <w:rsid w:val="423F5711"/>
    <w:rsid w:val="423FFAEF"/>
    <w:rsid w:val="4242D2E1"/>
    <w:rsid w:val="4248EAE7"/>
    <w:rsid w:val="424A1EE7"/>
    <w:rsid w:val="424E8DF6"/>
    <w:rsid w:val="424F8E02"/>
    <w:rsid w:val="42570309"/>
    <w:rsid w:val="4258C9A9"/>
    <w:rsid w:val="425FC1EC"/>
    <w:rsid w:val="42603E85"/>
    <w:rsid w:val="42762A5F"/>
    <w:rsid w:val="427810E8"/>
    <w:rsid w:val="427C6763"/>
    <w:rsid w:val="427FA249"/>
    <w:rsid w:val="4285B2D0"/>
    <w:rsid w:val="4287C3A0"/>
    <w:rsid w:val="4287D7B7"/>
    <w:rsid w:val="4289D1BB"/>
    <w:rsid w:val="429028B8"/>
    <w:rsid w:val="42929F18"/>
    <w:rsid w:val="429346DA"/>
    <w:rsid w:val="4295B533"/>
    <w:rsid w:val="429750DA"/>
    <w:rsid w:val="4297E52E"/>
    <w:rsid w:val="429C3B49"/>
    <w:rsid w:val="429C8EEE"/>
    <w:rsid w:val="42A35E8D"/>
    <w:rsid w:val="42ABB7D4"/>
    <w:rsid w:val="42AD2832"/>
    <w:rsid w:val="42ADA396"/>
    <w:rsid w:val="42AE8E43"/>
    <w:rsid w:val="42B13A00"/>
    <w:rsid w:val="42B13B24"/>
    <w:rsid w:val="42B8254A"/>
    <w:rsid w:val="42B88791"/>
    <w:rsid w:val="42B94FD5"/>
    <w:rsid w:val="42BD2B77"/>
    <w:rsid w:val="42BD9A17"/>
    <w:rsid w:val="42BE5328"/>
    <w:rsid w:val="42BFF004"/>
    <w:rsid w:val="42C61A26"/>
    <w:rsid w:val="42C622C9"/>
    <w:rsid w:val="42C63C72"/>
    <w:rsid w:val="42C6D5CB"/>
    <w:rsid w:val="42C72CC0"/>
    <w:rsid w:val="42C74278"/>
    <w:rsid w:val="42C962D4"/>
    <w:rsid w:val="42CB3EE3"/>
    <w:rsid w:val="42CEEFD9"/>
    <w:rsid w:val="42D27E5E"/>
    <w:rsid w:val="42D5389F"/>
    <w:rsid w:val="42D5575D"/>
    <w:rsid w:val="42D9B938"/>
    <w:rsid w:val="42DC7A6E"/>
    <w:rsid w:val="42E13F5A"/>
    <w:rsid w:val="42E1BD6D"/>
    <w:rsid w:val="42E263AF"/>
    <w:rsid w:val="42E49CF3"/>
    <w:rsid w:val="42E6C78D"/>
    <w:rsid w:val="42E70C8B"/>
    <w:rsid w:val="42E84E78"/>
    <w:rsid w:val="42EA9D4F"/>
    <w:rsid w:val="42EC9765"/>
    <w:rsid w:val="42ED9F65"/>
    <w:rsid w:val="42EDB107"/>
    <w:rsid w:val="42F483A5"/>
    <w:rsid w:val="42F81CEF"/>
    <w:rsid w:val="42FA58BA"/>
    <w:rsid w:val="42FB6B3B"/>
    <w:rsid w:val="4301965A"/>
    <w:rsid w:val="43024CCC"/>
    <w:rsid w:val="4306D3A4"/>
    <w:rsid w:val="430B87BE"/>
    <w:rsid w:val="430C10AF"/>
    <w:rsid w:val="430C144A"/>
    <w:rsid w:val="430E2794"/>
    <w:rsid w:val="43142CA4"/>
    <w:rsid w:val="4317A057"/>
    <w:rsid w:val="431A6601"/>
    <w:rsid w:val="431CF512"/>
    <w:rsid w:val="431ECFA8"/>
    <w:rsid w:val="43232CFA"/>
    <w:rsid w:val="43249114"/>
    <w:rsid w:val="432825A2"/>
    <w:rsid w:val="43283B8F"/>
    <w:rsid w:val="432AB606"/>
    <w:rsid w:val="432CFC0D"/>
    <w:rsid w:val="432E9477"/>
    <w:rsid w:val="432FEC35"/>
    <w:rsid w:val="4334A50B"/>
    <w:rsid w:val="4337F9D5"/>
    <w:rsid w:val="433AFA41"/>
    <w:rsid w:val="433E689B"/>
    <w:rsid w:val="433F6543"/>
    <w:rsid w:val="43415287"/>
    <w:rsid w:val="434393A0"/>
    <w:rsid w:val="434E92CF"/>
    <w:rsid w:val="434FB38E"/>
    <w:rsid w:val="435095E4"/>
    <w:rsid w:val="43519E95"/>
    <w:rsid w:val="43532028"/>
    <w:rsid w:val="435804FF"/>
    <w:rsid w:val="435DCB3A"/>
    <w:rsid w:val="4367961D"/>
    <w:rsid w:val="436A6CEF"/>
    <w:rsid w:val="4371B38F"/>
    <w:rsid w:val="437CCB04"/>
    <w:rsid w:val="437D3BAD"/>
    <w:rsid w:val="437F2C68"/>
    <w:rsid w:val="438050F1"/>
    <w:rsid w:val="4382D7A1"/>
    <w:rsid w:val="43838489"/>
    <w:rsid w:val="4389C253"/>
    <w:rsid w:val="438A20E7"/>
    <w:rsid w:val="438AF0F2"/>
    <w:rsid w:val="4391020C"/>
    <w:rsid w:val="43934344"/>
    <w:rsid w:val="439675D0"/>
    <w:rsid w:val="439808AF"/>
    <w:rsid w:val="4398857A"/>
    <w:rsid w:val="439A1F8B"/>
    <w:rsid w:val="439F2B93"/>
    <w:rsid w:val="43A06130"/>
    <w:rsid w:val="43A255EB"/>
    <w:rsid w:val="43A5E482"/>
    <w:rsid w:val="43AA726D"/>
    <w:rsid w:val="43B5825B"/>
    <w:rsid w:val="43B98EAB"/>
    <w:rsid w:val="43BB8FCB"/>
    <w:rsid w:val="43C5B0BF"/>
    <w:rsid w:val="43C5FCB5"/>
    <w:rsid w:val="43C6C99D"/>
    <w:rsid w:val="43C9F155"/>
    <w:rsid w:val="43CAABDB"/>
    <w:rsid w:val="43CCEA1B"/>
    <w:rsid w:val="43CF3388"/>
    <w:rsid w:val="43D040DB"/>
    <w:rsid w:val="43D093EB"/>
    <w:rsid w:val="43D8003B"/>
    <w:rsid w:val="43DD4682"/>
    <w:rsid w:val="43DD5DFA"/>
    <w:rsid w:val="43E232CE"/>
    <w:rsid w:val="43E5C71C"/>
    <w:rsid w:val="43EC3D13"/>
    <w:rsid w:val="43ED2323"/>
    <w:rsid w:val="43F001D4"/>
    <w:rsid w:val="43F3015E"/>
    <w:rsid w:val="43F3A1FC"/>
    <w:rsid w:val="43F6A5B3"/>
    <w:rsid w:val="43F95EC4"/>
    <w:rsid w:val="43FF2D66"/>
    <w:rsid w:val="43FFFA8B"/>
    <w:rsid w:val="440003AE"/>
    <w:rsid w:val="44030BE7"/>
    <w:rsid w:val="4404867D"/>
    <w:rsid w:val="44051EAB"/>
    <w:rsid w:val="440E2C91"/>
    <w:rsid w:val="4410B34B"/>
    <w:rsid w:val="441B9B66"/>
    <w:rsid w:val="441D7C89"/>
    <w:rsid w:val="441EA228"/>
    <w:rsid w:val="44235B3D"/>
    <w:rsid w:val="44245E08"/>
    <w:rsid w:val="44264AC4"/>
    <w:rsid w:val="442A4E10"/>
    <w:rsid w:val="442B505C"/>
    <w:rsid w:val="442BFEB0"/>
    <w:rsid w:val="442FBE3C"/>
    <w:rsid w:val="443095DC"/>
    <w:rsid w:val="4432EFBC"/>
    <w:rsid w:val="4435CD93"/>
    <w:rsid w:val="44379B1A"/>
    <w:rsid w:val="443D5040"/>
    <w:rsid w:val="443DAF68"/>
    <w:rsid w:val="44450BD4"/>
    <w:rsid w:val="444915DE"/>
    <w:rsid w:val="444C85F2"/>
    <w:rsid w:val="444CD4CA"/>
    <w:rsid w:val="44547822"/>
    <w:rsid w:val="44596CE5"/>
    <w:rsid w:val="44598366"/>
    <w:rsid w:val="445996DB"/>
    <w:rsid w:val="4459D12D"/>
    <w:rsid w:val="446161C0"/>
    <w:rsid w:val="4469F239"/>
    <w:rsid w:val="446AA787"/>
    <w:rsid w:val="446AEC84"/>
    <w:rsid w:val="44706800"/>
    <w:rsid w:val="4472CD9A"/>
    <w:rsid w:val="4474A6A1"/>
    <w:rsid w:val="447767C1"/>
    <w:rsid w:val="447AA1CC"/>
    <w:rsid w:val="447B4198"/>
    <w:rsid w:val="447F9A00"/>
    <w:rsid w:val="4480985D"/>
    <w:rsid w:val="4482ABF1"/>
    <w:rsid w:val="448318CA"/>
    <w:rsid w:val="44847C6C"/>
    <w:rsid w:val="4485941D"/>
    <w:rsid w:val="4485F3EF"/>
    <w:rsid w:val="4487A11D"/>
    <w:rsid w:val="448B072C"/>
    <w:rsid w:val="448B4FC5"/>
    <w:rsid w:val="448E90C8"/>
    <w:rsid w:val="44969594"/>
    <w:rsid w:val="4496B3B4"/>
    <w:rsid w:val="4498A1AE"/>
    <w:rsid w:val="449914F2"/>
    <w:rsid w:val="449B305C"/>
    <w:rsid w:val="449D8D8C"/>
    <w:rsid w:val="449DCD93"/>
    <w:rsid w:val="44A5B34C"/>
    <w:rsid w:val="44A83476"/>
    <w:rsid w:val="44A95435"/>
    <w:rsid w:val="44A998A4"/>
    <w:rsid w:val="44ACC289"/>
    <w:rsid w:val="44B0B24F"/>
    <w:rsid w:val="44B4A25E"/>
    <w:rsid w:val="44B52592"/>
    <w:rsid w:val="44B83EB2"/>
    <w:rsid w:val="44B84308"/>
    <w:rsid w:val="44B8C9DB"/>
    <w:rsid w:val="44BCC744"/>
    <w:rsid w:val="44C003C1"/>
    <w:rsid w:val="44C0D982"/>
    <w:rsid w:val="44C44E87"/>
    <w:rsid w:val="44C9E81D"/>
    <w:rsid w:val="44C9F0EA"/>
    <w:rsid w:val="44D0589E"/>
    <w:rsid w:val="44D05CE7"/>
    <w:rsid w:val="44D0E69C"/>
    <w:rsid w:val="44D19866"/>
    <w:rsid w:val="44DE8EC4"/>
    <w:rsid w:val="44E0C174"/>
    <w:rsid w:val="44E3830B"/>
    <w:rsid w:val="44E43AF1"/>
    <w:rsid w:val="44E54E6D"/>
    <w:rsid w:val="44E7C32A"/>
    <w:rsid w:val="44E7E108"/>
    <w:rsid w:val="44ECB9C3"/>
    <w:rsid w:val="44EE19AA"/>
    <w:rsid w:val="44F02986"/>
    <w:rsid w:val="44F08FF1"/>
    <w:rsid w:val="44F1DB3E"/>
    <w:rsid w:val="4501850F"/>
    <w:rsid w:val="45049C63"/>
    <w:rsid w:val="450A7FCC"/>
    <w:rsid w:val="450ADFCE"/>
    <w:rsid w:val="450DB1E3"/>
    <w:rsid w:val="450DEB47"/>
    <w:rsid w:val="4511B2AE"/>
    <w:rsid w:val="4517198A"/>
    <w:rsid w:val="451759E8"/>
    <w:rsid w:val="451CCAEE"/>
    <w:rsid w:val="451DEE16"/>
    <w:rsid w:val="451E51FA"/>
    <w:rsid w:val="451E9D02"/>
    <w:rsid w:val="45233C24"/>
    <w:rsid w:val="45278099"/>
    <w:rsid w:val="452BD787"/>
    <w:rsid w:val="452EDD4C"/>
    <w:rsid w:val="452F6E2D"/>
    <w:rsid w:val="4532FC22"/>
    <w:rsid w:val="4536FD26"/>
    <w:rsid w:val="4537E045"/>
    <w:rsid w:val="45389F6A"/>
    <w:rsid w:val="4538FF4A"/>
    <w:rsid w:val="4539ED1D"/>
    <w:rsid w:val="453A1BA6"/>
    <w:rsid w:val="453AF644"/>
    <w:rsid w:val="453BD6BE"/>
    <w:rsid w:val="453D4BAD"/>
    <w:rsid w:val="453FE028"/>
    <w:rsid w:val="453FE6F6"/>
    <w:rsid w:val="45415796"/>
    <w:rsid w:val="45435561"/>
    <w:rsid w:val="4544269D"/>
    <w:rsid w:val="45459AA3"/>
    <w:rsid w:val="454C8645"/>
    <w:rsid w:val="45500735"/>
    <w:rsid w:val="45545D8C"/>
    <w:rsid w:val="45554A9E"/>
    <w:rsid w:val="45587F9C"/>
    <w:rsid w:val="455C54C5"/>
    <w:rsid w:val="455D369D"/>
    <w:rsid w:val="455E48AF"/>
    <w:rsid w:val="4569816D"/>
    <w:rsid w:val="456ED8BC"/>
    <w:rsid w:val="456EF5E2"/>
    <w:rsid w:val="45736B8B"/>
    <w:rsid w:val="457787CA"/>
    <w:rsid w:val="457972A7"/>
    <w:rsid w:val="457BB5E0"/>
    <w:rsid w:val="45861B47"/>
    <w:rsid w:val="45879B35"/>
    <w:rsid w:val="45879E1F"/>
    <w:rsid w:val="4587DD84"/>
    <w:rsid w:val="458894ED"/>
    <w:rsid w:val="458947E4"/>
    <w:rsid w:val="4589A93F"/>
    <w:rsid w:val="458F867A"/>
    <w:rsid w:val="45906A92"/>
    <w:rsid w:val="45919402"/>
    <w:rsid w:val="4594121A"/>
    <w:rsid w:val="4594F49B"/>
    <w:rsid w:val="4596256F"/>
    <w:rsid w:val="459BE470"/>
    <w:rsid w:val="459C646A"/>
    <w:rsid w:val="459CD63C"/>
    <w:rsid w:val="45ABA754"/>
    <w:rsid w:val="45B4DE22"/>
    <w:rsid w:val="45B63B59"/>
    <w:rsid w:val="45BA016B"/>
    <w:rsid w:val="45BB0D4D"/>
    <w:rsid w:val="45BB787B"/>
    <w:rsid w:val="45BBF568"/>
    <w:rsid w:val="45BC78AB"/>
    <w:rsid w:val="45BD2418"/>
    <w:rsid w:val="45BF94DA"/>
    <w:rsid w:val="45C6EE58"/>
    <w:rsid w:val="45C78B7B"/>
    <w:rsid w:val="45C84550"/>
    <w:rsid w:val="45CC705A"/>
    <w:rsid w:val="45CC75F9"/>
    <w:rsid w:val="45CE785B"/>
    <w:rsid w:val="45D14EBD"/>
    <w:rsid w:val="45D1ACFE"/>
    <w:rsid w:val="45DD6E9F"/>
    <w:rsid w:val="45DE1F67"/>
    <w:rsid w:val="45E04DAD"/>
    <w:rsid w:val="45E366F4"/>
    <w:rsid w:val="45E385AA"/>
    <w:rsid w:val="45E3BA3B"/>
    <w:rsid w:val="45E8FC7D"/>
    <w:rsid w:val="45E9004B"/>
    <w:rsid w:val="45EA44FF"/>
    <w:rsid w:val="45F1E684"/>
    <w:rsid w:val="45F2D125"/>
    <w:rsid w:val="45F5F41C"/>
    <w:rsid w:val="45F6E44F"/>
    <w:rsid w:val="45F7CEB5"/>
    <w:rsid w:val="45FB7CC6"/>
    <w:rsid w:val="45FB9C10"/>
    <w:rsid w:val="45FCF8A3"/>
    <w:rsid w:val="45FFC9C2"/>
    <w:rsid w:val="460313A3"/>
    <w:rsid w:val="46084941"/>
    <w:rsid w:val="460A8920"/>
    <w:rsid w:val="460AC5AD"/>
    <w:rsid w:val="460BDB43"/>
    <w:rsid w:val="460DB898"/>
    <w:rsid w:val="460E3A94"/>
    <w:rsid w:val="460FD0E5"/>
    <w:rsid w:val="46147813"/>
    <w:rsid w:val="4614E30A"/>
    <w:rsid w:val="4618EC44"/>
    <w:rsid w:val="461D8651"/>
    <w:rsid w:val="461F3DE2"/>
    <w:rsid w:val="462B8872"/>
    <w:rsid w:val="462E82BE"/>
    <w:rsid w:val="462FAF99"/>
    <w:rsid w:val="462FC341"/>
    <w:rsid w:val="4630104F"/>
    <w:rsid w:val="463351A9"/>
    <w:rsid w:val="46342135"/>
    <w:rsid w:val="463555D4"/>
    <w:rsid w:val="46358499"/>
    <w:rsid w:val="46364706"/>
    <w:rsid w:val="463792AE"/>
    <w:rsid w:val="463B470F"/>
    <w:rsid w:val="464543E7"/>
    <w:rsid w:val="46485E96"/>
    <w:rsid w:val="46497FA7"/>
    <w:rsid w:val="464C4FE3"/>
    <w:rsid w:val="464CE77D"/>
    <w:rsid w:val="464D6986"/>
    <w:rsid w:val="464FE521"/>
    <w:rsid w:val="465263C2"/>
    <w:rsid w:val="4654D6C4"/>
    <w:rsid w:val="465B0A86"/>
    <w:rsid w:val="465EB476"/>
    <w:rsid w:val="465FA455"/>
    <w:rsid w:val="4660B834"/>
    <w:rsid w:val="46646781"/>
    <w:rsid w:val="4665B199"/>
    <w:rsid w:val="46660A91"/>
    <w:rsid w:val="4668E8A9"/>
    <w:rsid w:val="46696ED6"/>
    <w:rsid w:val="466B02A6"/>
    <w:rsid w:val="466EBBF5"/>
    <w:rsid w:val="466FF191"/>
    <w:rsid w:val="46714628"/>
    <w:rsid w:val="4673A48F"/>
    <w:rsid w:val="46741FF6"/>
    <w:rsid w:val="4679472C"/>
    <w:rsid w:val="467EFE12"/>
    <w:rsid w:val="467FC362"/>
    <w:rsid w:val="46820629"/>
    <w:rsid w:val="4684B487"/>
    <w:rsid w:val="4687A02C"/>
    <w:rsid w:val="4688FA8E"/>
    <w:rsid w:val="468D3DDA"/>
    <w:rsid w:val="468E132A"/>
    <w:rsid w:val="4692F2FE"/>
    <w:rsid w:val="4698387E"/>
    <w:rsid w:val="4698F82A"/>
    <w:rsid w:val="4699F7B7"/>
    <w:rsid w:val="469FC5FB"/>
    <w:rsid w:val="46A2F61B"/>
    <w:rsid w:val="46A706A4"/>
    <w:rsid w:val="46A7135A"/>
    <w:rsid w:val="46A9F1F2"/>
    <w:rsid w:val="46AD0F7D"/>
    <w:rsid w:val="46ADABA8"/>
    <w:rsid w:val="46B23777"/>
    <w:rsid w:val="46B767F7"/>
    <w:rsid w:val="46B88644"/>
    <w:rsid w:val="46BAB338"/>
    <w:rsid w:val="46BAD505"/>
    <w:rsid w:val="46BE0F4D"/>
    <w:rsid w:val="46C68BE8"/>
    <w:rsid w:val="46C7AD0E"/>
    <w:rsid w:val="46CEDC64"/>
    <w:rsid w:val="46CF8C35"/>
    <w:rsid w:val="46D6A6E3"/>
    <w:rsid w:val="46DAAB37"/>
    <w:rsid w:val="46DC1526"/>
    <w:rsid w:val="46DFCD6E"/>
    <w:rsid w:val="46E18008"/>
    <w:rsid w:val="46E18031"/>
    <w:rsid w:val="46E465C7"/>
    <w:rsid w:val="46E523B6"/>
    <w:rsid w:val="46ED4D5E"/>
    <w:rsid w:val="46EF2106"/>
    <w:rsid w:val="46F004C0"/>
    <w:rsid w:val="46F1E5FD"/>
    <w:rsid w:val="46F3B287"/>
    <w:rsid w:val="46F55836"/>
    <w:rsid w:val="46FD7D81"/>
    <w:rsid w:val="46FFAC60"/>
    <w:rsid w:val="4703C59D"/>
    <w:rsid w:val="4703D212"/>
    <w:rsid w:val="47054F73"/>
    <w:rsid w:val="4707CE59"/>
    <w:rsid w:val="470B8830"/>
    <w:rsid w:val="470EFEEA"/>
    <w:rsid w:val="47114107"/>
    <w:rsid w:val="4711AA8F"/>
    <w:rsid w:val="47125C57"/>
    <w:rsid w:val="47168DBA"/>
    <w:rsid w:val="4717A628"/>
    <w:rsid w:val="471F8733"/>
    <w:rsid w:val="471F9EDD"/>
    <w:rsid w:val="4724702D"/>
    <w:rsid w:val="4724D891"/>
    <w:rsid w:val="47278BD8"/>
    <w:rsid w:val="47300D84"/>
    <w:rsid w:val="4733A975"/>
    <w:rsid w:val="47344483"/>
    <w:rsid w:val="4735D5C2"/>
    <w:rsid w:val="474074E4"/>
    <w:rsid w:val="4740B75C"/>
    <w:rsid w:val="47421B27"/>
    <w:rsid w:val="4748852A"/>
    <w:rsid w:val="474A3A39"/>
    <w:rsid w:val="474B7AE3"/>
    <w:rsid w:val="474CC31F"/>
    <w:rsid w:val="474F329A"/>
    <w:rsid w:val="47503293"/>
    <w:rsid w:val="4750A94C"/>
    <w:rsid w:val="475501A4"/>
    <w:rsid w:val="475A2F8B"/>
    <w:rsid w:val="475A3BE0"/>
    <w:rsid w:val="475B0765"/>
    <w:rsid w:val="475BE23F"/>
    <w:rsid w:val="475C78A3"/>
    <w:rsid w:val="475FA836"/>
    <w:rsid w:val="4762ACE1"/>
    <w:rsid w:val="47635F98"/>
    <w:rsid w:val="4768110F"/>
    <w:rsid w:val="476BCEE5"/>
    <w:rsid w:val="4771A3BE"/>
    <w:rsid w:val="4771FF34"/>
    <w:rsid w:val="47752D40"/>
    <w:rsid w:val="47765FAE"/>
    <w:rsid w:val="4779ECC0"/>
    <w:rsid w:val="477A4BB7"/>
    <w:rsid w:val="477D26DE"/>
    <w:rsid w:val="477D8DB9"/>
    <w:rsid w:val="47846493"/>
    <w:rsid w:val="478865C8"/>
    <w:rsid w:val="478B887D"/>
    <w:rsid w:val="478C162E"/>
    <w:rsid w:val="478D6553"/>
    <w:rsid w:val="478DC26C"/>
    <w:rsid w:val="47922E17"/>
    <w:rsid w:val="47929DD7"/>
    <w:rsid w:val="479740E5"/>
    <w:rsid w:val="4799445E"/>
    <w:rsid w:val="479D7256"/>
    <w:rsid w:val="479DF72C"/>
    <w:rsid w:val="479FBB7C"/>
    <w:rsid w:val="47A1F344"/>
    <w:rsid w:val="47A521E5"/>
    <w:rsid w:val="47A61085"/>
    <w:rsid w:val="47A85516"/>
    <w:rsid w:val="47B45C18"/>
    <w:rsid w:val="47B76976"/>
    <w:rsid w:val="47B9AB65"/>
    <w:rsid w:val="47BF0A80"/>
    <w:rsid w:val="47C0FADA"/>
    <w:rsid w:val="47C1C210"/>
    <w:rsid w:val="47C20580"/>
    <w:rsid w:val="47C41B02"/>
    <w:rsid w:val="47C525C6"/>
    <w:rsid w:val="47C61136"/>
    <w:rsid w:val="47C8C322"/>
    <w:rsid w:val="47CF3535"/>
    <w:rsid w:val="47D2BD0C"/>
    <w:rsid w:val="47D51D63"/>
    <w:rsid w:val="47D5E130"/>
    <w:rsid w:val="47D68D94"/>
    <w:rsid w:val="47D7E59C"/>
    <w:rsid w:val="47D93F32"/>
    <w:rsid w:val="47DA6178"/>
    <w:rsid w:val="47DAE31F"/>
    <w:rsid w:val="47DE68ED"/>
    <w:rsid w:val="47E014AC"/>
    <w:rsid w:val="47E01F8A"/>
    <w:rsid w:val="47E3EACF"/>
    <w:rsid w:val="47E566DA"/>
    <w:rsid w:val="47E9B9D2"/>
    <w:rsid w:val="47EB6B04"/>
    <w:rsid w:val="47F2ADD2"/>
    <w:rsid w:val="47F5BEBD"/>
    <w:rsid w:val="47FC65F3"/>
    <w:rsid w:val="47FF281D"/>
    <w:rsid w:val="48094143"/>
    <w:rsid w:val="480B3701"/>
    <w:rsid w:val="480ED7DD"/>
    <w:rsid w:val="480EEB26"/>
    <w:rsid w:val="4810D429"/>
    <w:rsid w:val="481242DC"/>
    <w:rsid w:val="48137188"/>
    <w:rsid w:val="48139EEB"/>
    <w:rsid w:val="4814C654"/>
    <w:rsid w:val="481B2F08"/>
    <w:rsid w:val="481B680E"/>
    <w:rsid w:val="481C41F2"/>
    <w:rsid w:val="481DA23D"/>
    <w:rsid w:val="4821E6A9"/>
    <w:rsid w:val="48242DE0"/>
    <w:rsid w:val="482686BF"/>
    <w:rsid w:val="48273D66"/>
    <w:rsid w:val="48273DE1"/>
    <w:rsid w:val="48309DAA"/>
    <w:rsid w:val="4830C39A"/>
    <w:rsid w:val="48318415"/>
    <w:rsid w:val="4833DE48"/>
    <w:rsid w:val="483652ED"/>
    <w:rsid w:val="48385992"/>
    <w:rsid w:val="483B43C1"/>
    <w:rsid w:val="483B9E32"/>
    <w:rsid w:val="483FE233"/>
    <w:rsid w:val="4841D61F"/>
    <w:rsid w:val="4842BC49"/>
    <w:rsid w:val="48459A29"/>
    <w:rsid w:val="48473537"/>
    <w:rsid w:val="48476244"/>
    <w:rsid w:val="48477877"/>
    <w:rsid w:val="4849CED5"/>
    <w:rsid w:val="4851339B"/>
    <w:rsid w:val="485189C4"/>
    <w:rsid w:val="4852914C"/>
    <w:rsid w:val="4854D472"/>
    <w:rsid w:val="485D1EB7"/>
    <w:rsid w:val="48607C76"/>
    <w:rsid w:val="4862DAF8"/>
    <w:rsid w:val="4864EBFF"/>
    <w:rsid w:val="486C6A3C"/>
    <w:rsid w:val="486E3866"/>
    <w:rsid w:val="487FC69B"/>
    <w:rsid w:val="4884BB28"/>
    <w:rsid w:val="4884E3C9"/>
    <w:rsid w:val="4885A8FA"/>
    <w:rsid w:val="488E679C"/>
    <w:rsid w:val="4891FCC8"/>
    <w:rsid w:val="489593DD"/>
    <w:rsid w:val="489D84EE"/>
    <w:rsid w:val="489ED6E5"/>
    <w:rsid w:val="48A54AEE"/>
    <w:rsid w:val="48A5A718"/>
    <w:rsid w:val="48AAC0E7"/>
    <w:rsid w:val="48AAEAFC"/>
    <w:rsid w:val="48B0C7A0"/>
    <w:rsid w:val="48B292F8"/>
    <w:rsid w:val="48B64796"/>
    <w:rsid w:val="48BAAD61"/>
    <w:rsid w:val="48BBF8C4"/>
    <w:rsid w:val="48BDCC7F"/>
    <w:rsid w:val="48BF73E3"/>
    <w:rsid w:val="48C62BE6"/>
    <w:rsid w:val="48C6717D"/>
    <w:rsid w:val="48CB0B8A"/>
    <w:rsid w:val="48CD4FAB"/>
    <w:rsid w:val="48CF2CFF"/>
    <w:rsid w:val="48CFE9BE"/>
    <w:rsid w:val="48D12C2E"/>
    <w:rsid w:val="48D355CF"/>
    <w:rsid w:val="48D3C22F"/>
    <w:rsid w:val="48D94770"/>
    <w:rsid w:val="48D9B09D"/>
    <w:rsid w:val="48DD516F"/>
    <w:rsid w:val="48DD9FE6"/>
    <w:rsid w:val="48DDD730"/>
    <w:rsid w:val="48DE805F"/>
    <w:rsid w:val="48DF0DFD"/>
    <w:rsid w:val="48E0E8C8"/>
    <w:rsid w:val="48E3F434"/>
    <w:rsid w:val="48E6C7BD"/>
    <w:rsid w:val="48E6C88C"/>
    <w:rsid w:val="48E8C6DB"/>
    <w:rsid w:val="48ECA311"/>
    <w:rsid w:val="48FD7B46"/>
    <w:rsid w:val="49006BEC"/>
    <w:rsid w:val="49020BCD"/>
    <w:rsid w:val="4907362C"/>
    <w:rsid w:val="4907F4A0"/>
    <w:rsid w:val="4909A013"/>
    <w:rsid w:val="4909B5DF"/>
    <w:rsid w:val="490D303E"/>
    <w:rsid w:val="490FB037"/>
    <w:rsid w:val="4911F65F"/>
    <w:rsid w:val="49121831"/>
    <w:rsid w:val="4913767D"/>
    <w:rsid w:val="4914FD64"/>
    <w:rsid w:val="491BF862"/>
    <w:rsid w:val="4920FE37"/>
    <w:rsid w:val="49246514"/>
    <w:rsid w:val="4925611F"/>
    <w:rsid w:val="492FE3D9"/>
    <w:rsid w:val="493188F1"/>
    <w:rsid w:val="49369762"/>
    <w:rsid w:val="493F882A"/>
    <w:rsid w:val="493FDF7F"/>
    <w:rsid w:val="494732CE"/>
    <w:rsid w:val="4948586D"/>
    <w:rsid w:val="494A7F63"/>
    <w:rsid w:val="494C6800"/>
    <w:rsid w:val="49509410"/>
    <w:rsid w:val="4951F237"/>
    <w:rsid w:val="4954925C"/>
    <w:rsid w:val="4956FADE"/>
    <w:rsid w:val="495AC35C"/>
    <w:rsid w:val="496813CF"/>
    <w:rsid w:val="496BB50E"/>
    <w:rsid w:val="496D7EBD"/>
    <w:rsid w:val="4974004A"/>
    <w:rsid w:val="497401D5"/>
    <w:rsid w:val="49798C50"/>
    <w:rsid w:val="4983D8E3"/>
    <w:rsid w:val="4986BDB0"/>
    <w:rsid w:val="4988565C"/>
    <w:rsid w:val="4989BE31"/>
    <w:rsid w:val="498DC166"/>
    <w:rsid w:val="4992185D"/>
    <w:rsid w:val="49984002"/>
    <w:rsid w:val="499AA249"/>
    <w:rsid w:val="49A31D92"/>
    <w:rsid w:val="49A3584F"/>
    <w:rsid w:val="49A420F7"/>
    <w:rsid w:val="49A6A022"/>
    <w:rsid w:val="49A88B52"/>
    <w:rsid w:val="49A8F28A"/>
    <w:rsid w:val="49AEDDDC"/>
    <w:rsid w:val="49AF03B3"/>
    <w:rsid w:val="49AFFBA4"/>
    <w:rsid w:val="49B034CE"/>
    <w:rsid w:val="49B29605"/>
    <w:rsid w:val="49B713C8"/>
    <w:rsid w:val="49B7A6A0"/>
    <w:rsid w:val="49BBEC82"/>
    <w:rsid w:val="49BBF6CC"/>
    <w:rsid w:val="49BCC99F"/>
    <w:rsid w:val="49BDB5B7"/>
    <w:rsid w:val="49BE635E"/>
    <w:rsid w:val="49BF0D5E"/>
    <w:rsid w:val="49C166DE"/>
    <w:rsid w:val="49C22D6B"/>
    <w:rsid w:val="49C45EDB"/>
    <w:rsid w:val="49C48C86"/>
    <w:rsid w:val="49C4C7F3"/>
    <w:rsid w:val="49C4F2B3"/>
    <w:rsid w:val="49C5DDA1"/>
    <w:rsid w:val="49C7DA8E"/>
    <w:rsid w:val="49CAE207"/>
    <w:rsid w:val="49CB4D00"/>
    <w:rsid w:val="49CFA0EA"/>
    <w:rsid w:val="49D45920"/>
    <w:rsid w:val="49D45F2F"/>
    <w:rsid w:val="49D6CD4E"/>
    <w:rsid w:val="49D7BF04"/>
    <w:rsid w:val="49DA10BC"/>
    <w:rsid w:val="49DF1893"/>
    <w:rsid w:val="49E3A261"/>
    <w:rsid w:val="49E58D14"/>
    <w:rsid w:val="49E5DD31"/>
    <w:rsid w:val="49E5FC29"/>
    <w:rsid w:val="49E90DF0"/>
    <w:rsid w:val="49ED22AE"/>
    <w:rsid w:val="49EE140B"/>
    <w:rsid w:val="49F59826"/>
    <w:rsid w:val="49F6CD1B"/>
    <w:rsid w:val="49F6DB98"/>
    <w:rsid w:val="49F7462E"/>
    <w:rsid w:val="49F8BD2C"/>
    <w:rsid w:val="49F99806"/>
    <w:rsid w:val="4A00DFC6"/>
    <w:rsid w:val="4A0183A4"/>
    <w:rsid w:val="4A048B49"/>
    <w:rsid w:val="4A04D18D"/>
    <w:rsid w:val="4A0F6D9D"/>
    <w:rsid w:val="4A0F6DA6"/>
    <w:rsid w:val="4A136957"/>
    <w:rsid w:val="4A150643"/>
    <w:rsid w:val="4A16E0F1"/>
    <w:rsid w:val="4A175D93"/>
    <w:rsid w:val="4A1BB862"/>
    <w:rsid w:val="4A243709"/>
    <w:rsid w:val="4A260FD3"/>
    <w:rsid w:val="4A266FAB"/>
    <w:rsid w:val="4A28AD34"/>
    <w:rsid w:val="4A2A4F82"/>
    <w:rsid w:val="4A2E8723"/>
    <w:rsid w:val="4A2FBC10"/>
    <w:rsid w:val="4A302EBE"/>
    <w:rsid w:val="4A32F6DE"/>
    <w:rsid w:val="4A3BE917"/>
    <w:rsid w:val="4A3CB638"/>
    <w:rsid w:val="4A3F2FED"/>
    <w:rsid w:val="4A3F6F1B"/>
    <w:rsid w:val="4A416B36"/>
    <w:rsid w:val="4A447F27"/>
    <w:rsid w:val="4A48AF46"/>
    <w:rsid w:val="4A490BD0"/>
    <w:rsid w:val="4A4B28B3"/>
    <w:rsid w:val="4A4EFE00"/>
    <w:rsid w:val="4A548778"/>
    <w:rsid w:val="4A54A603"/>
    <w:rsid w:val="4A57520E"/>
    <w:rsid w:val="4A600B02"/>
    <w:rsid w:val="4A62353F"/>
    <w:rsid w:val="4A635E53"/>
    <w:rsid w:val="4A67E443"/>
    <w:rsid w:val="4A747571"/>
    <w:rsid w:val="4A78A73F"/>
    <w:rsid w:val="4A862DD8"/>
    <w:rsid w:val="4A87B2D2"/>
    <w:rsid w:val="4A886DDD"/>
    <w:rsid w:val="4A8B94D9"/>
    <w:rsid w:val="4A8BBAE5"/>
    <w:rsid w:val="4A8D12A3"/>
    <w:rsid w:val="4A95847D"/>
    <w:rsid w:val="4A97408D"/>
    <w:rsid w:val="4A98653E"/>
    <w:rsid w:val="4A99D1EE"/>
    <w:rsid w:val="4A9A830F"/>
    <w:rsid w:val="4A9D37F0"/>
    <w:rsid w:val="4AA050E3"/>
    <w:rsid w:val="4AA0BE29"/>
    <w:rsid w:val="4AA1ACC0"/>
    <w:rsid w:val="4AA1C336"/>
    <w:rsid w:val="4AA1E9FC"/>
    <w:rsid w:val="4AA250DE"/>
    <w:rsid w:val="4AA73C02"/>
    <w:rsid w:val="4AA9FDBB"/>
    <w:rsid w:val="4AAF0610"/>
    <w:rsid w:val="4AAF77BE"/>
    <w:rsid w:val="4AB07D32"/>
    <w:rsid w:val="4AB31F34"/>
    <w:rsid w:val="4AB7B83E"/>
    <w:rsid w:val="4AB93AE7"/>
    <w:rsid w:val="4ABFFB1D"/>
    <w:rsid w:val="4AC29D10"/>
    <w:rsid w:val="4AC44C04"/>
    <w:rsid w:val="4AC520CB"/>
    <w:rsid w:val="4AC6A3E8"/>
    <w:rsid w:val="4ACAA8E9"/>
    <w:rsid w:val="4ACAEB89"/>
    <w:rsid w:val="4ACF5DC1"/>
    <w:rsid w:val="4AD035D0"/>
    <w:rsid w:val="4AD29E0B"/>
    <w:rsid w:val="4AD407BF"/>
    <w:rsid w:val="4AD56709"/>
    <w:rsid w:val="4AD581B6"/>
    <w:rsid w:val="4AD6DF11"/>
    <w:rsid w:val="4AD7626F"/>
    <w:rsid w:val="4AD7EB56"/>
    <w:rsid w:val="4AE0B323"/>
    <w:rsid w:val="4AE61E56"/>
    <w:rsid w:val="4AE94910"/>
    <w:rsid w:val="4AED4B44"/>
    <w:rsid w:val="4AF8F87E"/>
    <w:rsid w:val="4AFB2668"/>
    <w:rsid w:val="4AFC30E9"/>
    <w:rsid w:val="4AFF89A5"/>
    <w:rsid w:val="4B01429A"/>
    <w:rsid w:val="4B02A1F4"/>
    <w:rsid w:val="4B02DA12"/>
    <w:rsid w:val="4B06A1D3"/>
    <w:rsid w:val="4B06C2E7"/>
    <w:rsid w:val="4B08ACFC"/>
    <w:rsid w:val="4B0C607A"/>
    <w:rsid w:val="4B0E2C49"/>
    <w:rsid w:val="4B169817"/>
    <w:rsid w:val="4B175C61"/>
    <w:rsid w:val="4B17C242"/>
    <w:rsid w:val="4B1CA6A6"/>
    <w:rsid w:val="4B1CDD26"/>
    <w:rsid w:val="4B221717"/>
    <w:rsid w:val="4B2A0AF6"/>
    <w:rsid w:val="4B2A9115"/>
    <w:rsid w:val="4B2CE2DB"/>
    <w:rsid w:val="4B2F8FD6"/>
    <w:rsid w:val="4B3109ED"/>
    <w:rsid w:val="4B31AD9B"/>
    <w:rsid w:val="4B33150E"/>
    <w:rsid w:val="4B341B6F"/>
    <w:rsid w:val="4B38FFDA"/>
    <w:rsid w:val="4B448A84"/>
    <w:rsid w:val="4B468E7F"/>
    <w:rsid w:val="4B4821B2"/>
    <w:rsid w:val="4B491A05"/>
    <w:rsid w:val="4B4EFF94"/>
    <w:rsid w:val="4B4F0732"/>
    <w:rsid w:val="4B526CAE"/>
    <w:rsid w:val="4B538C67"/>
    <w:rsid w:val="4B54EBDB"/>
    <w:rsid w:val="4B59C6D9"/>
    <w:rsid w:val="4B5E3766"/>
    <w:rsid w:val="4B5F3E90"/>
    <w:rsid w:val="4B64258F"/>
    <w:rsid w:val="4B66ECD3"/>
    <w:rsid w:val="4B67F8B1"/>
    <w:rsid w:val="4B69022E"/>
    <w:rsid w:val="4B6AE9A1"/>
    <w:rsid w:val="4B6AED42"/>
    <w:rsid w:val="4B6B1040"/>
    <w:rsid w:val="4B7468AF"/>
    <w:rsid w:val="4B76DEFA"/>
    <w:rsid w:val="4B77FC39"/>
    <w:rsid w:val="4B79113C"/>
    <w:rsid w:val="4B7C0AB5"/>
    <w:rsid w:val="4B7CF3BB"/>
    <w:rsid w:val="4B80AF9A"/>
    <w:rsid w:val="4B8531D7"/>
    <w:rsid w:val="4B9363FF"/>
    <w:rsid w:val="4B937DA0"/>
    <w:rsid w:val="4B945F1C"/>
    <w:rsid w:val="4B95ABAB"/>
    <w:rsid w:val="4B9A3CB4"/>
    <w:rsid w:val="4B9C8CC1"/>
    <w:rsid w:val="4B9CCC6F"/>
    <w:rsid w:val="4B9D8D66"/>
    <w:rsid w:val="4BAA3BED"/>
    <w:rsid w:val="4BAB0E30"/>
    <w:rsid w:val="4BADD0B0"/>
    <w:rsid w:val="4BAFBDA3"/>
    <w:rsid w:val="4BB85082"/>
    <w:rsid w:val="4BB85261"/>
    <w:rsid w:val="4BB8E29B"/>
    <w:rsid w:val="4BBB0BF6"/>
    <w:rsid w:val="4BBEB0FC"/>
    <w:rsid w:val="4BC1729B"/>
    <w:rsid w:val="4BC56BBC"/>
    <w:rsid w:val="4BC9C059"/>
    <w:rsid w:val="4BCA4586"/>
    <w:rsid w:val="4BCC3ABF"/>
    <w:rsid w:val="4BDCF6F2"/>
    <w:rsid w:val="4BDEBED1"/>
    <w:rsid w:val="4BE094CD"/>
    <w:rsid w:val="4BE81A2D"/>
    <w:rsid w:val="4BEC920C"/>
    <w:rsid w:val="4BECA163"/>
    <w:rsid w:val="4BF0EC62"/>
    <w:rsid w:val="4BF2F95B"/>
    <w:rsid w:val="4BF33D64"/>
    <w:rsid w:val="4BF367D6"/>
    <w:rsid w:val="4BF9CE3D"/>
    <w:rsid w:val="4C0388B7"/>
    <w:rsid w:val="4C03A219"/>
    <w:rsid w:val="4C0997A3"/>
    <w:rsid w:val="4C0ED8E3"/>
    <w:rsid w:val="4C17517A"/>
    <w:rsid w:val="4C1C6765"/>
    <w:rsid w:val="4C1D969D"/>
    <w:rsid w:val="4C1F727F"/>
    <w:rsid w:val="4C27B5A6"/>
    <w:rsid w:val="4C2809DA"/>
    <w:rsid w:val="4C2901C2"/>
    <w:rsid w:val="4C2C8204"/>
    <w:rsid w:val="4C2E391C"/>
    <w:rsid w:val="4C2EDA1B"/>
    <w:rsid w:val="4C2EE7B6"/>
    <w:rsid w:val="4C2F67A1"/>
    <w:rsid w:val="4C30154C"/>
    <w:rsid w:val="4C328D88"/>
    <w:rsid w:val="4C33F9CF"/>
    <w:rsid w:val="4C36BE74"/>
    <w:rsid w:val="4C40C1A9"/>
    <w:rsid w:val="4C4A595A"/>
    <w:rsid w:val="4C4B38CB"/>
    <w:rsid w:val="4C4CE23A"/>
    <w:rsid w:val="4C4DABEF"/>
    <w:rsid w:val="4C4E0A79"/>
    <w:rsid w:val="4C4E602C"/>
    <w:rsid w:val="4C4EE039"/>
    <w:rsid w:val="4C508543"/>
    <w:rsid w:val="4C5299EB"/>
    <w:rsid w:val="4C5765E0"/>
    <w:rsid w:val="4C577F35"/>
    <w:rsid w:val="4C5D7FD4"/>
    <w:rsid w:val="4C5DDC01"/>
    <w:rsid w:val="4C607686"/>
    <w:rsid w:val="4C646E9D"/>
    <w:rsid w:val="4C65010A"/>
    <w:rsid w:val="4C660746"/>
    <w:rsid w:val="4C6C4A49"/>
    <w:rsid w:val="4C73FB9F"/>
    <w:rsid w:val="4C7A7205"/>
    <w:rsid w:val="4C7DEABA"/>
    <w:rsid w:val="4C7E32B9"/>
    <w:rsid w:val="4C84EC97"/>
    <w:rsid w:val="4C85C4BF"/>
    <w:rsid w:val="4C89A38A"/>
    <w:rsid w:val="4C940C8E"/>
    <w:rsid w:val="4C9455D7"/>
    <w:rsid w:val="4C972DE5"/>
    <w:rsid w:val="4C979971"/>
    <w:rsid w:val="4C9B7427"/>
    <w:rsid w:val="4C9C90F5"/>
    <w:rsid w:val="4C9D5B6C"/>
    <w:rsid w:val="4C9E7255"/>
    <w:rsid w:val="4CA0BF9A"/>
    <w:rsid w:val="4CA1592C"/>
    <w:rsid w:val="4CAA0D69"/>
    <w:rsid w:val="4CAB2C80"/>
    <w:rsid w:val="4CAC6EFB"/>
    <w:rsid w:val="4CB2D916"/>
    <w:rsid w:val="4CB3262B"/>
    <w:rsid w:val="4CB4CDAB"/>
    <w:rsid w:val="4CB50131"/>
    <w:rsid w:val="4CB60B3B"/>
    <w:rsid w:val="4CB85118"/>
    <w:rsid w:val="4CBC2561"/>
    <w:rsid w:val="4CBE0792"/>
    <w:rsid w:val="4CC05B67"/>
    <w:rsid w:val="4CC0E062"/>
    <w:rsid w:val="4CC90953"/>
    <w:rsid w:val="4CCB73AD"/>
    <w:rsid w:val="4CCDF5DB"/>
    <w:rsid w:val="4CD142E7"/>
    <w:rsid w:val="4CD67266"/>
    <w:rsid w:val="4CD90626"/>
    <w:rsid w:val="4CDB6DDD"/>
    <w:rsid w:val="4CDEDB4D"/>
    <w:rsid w:val="4CE4F742"/>
    <w:rsid w:val="4CE7107C"/>
    <w:rsid w:val="4CED7750"/>
    <w:rsid w:val="4CEFA261"/>
    <w:rsid w:val="4CF03892"/>
    <w:rsid w:val="4CF350C7"/>
    <w:rsid w:val="4CF67B53"/>
    <w:rsid w:val="4CF6F04C"/>
    <w:rsid w:val="4CF808CE"/>
    <w:rsid w:val="4CFA07D3"/>
    <w:rsid w:val="4CFA0877"/>
    <w:rsid w:val="4CFB2EA7"/>
    <w:rsid w:val="4CFFEA91"/>
    <w:rsid w:val="4D05EB7E"/>
    <w:rsid w:val="4D07A223"/>
    <w:rsid w:val="4D09E521"/>
    <w:rsid w:val="4D0AC813"/>
    <w:rsid w:val="4D0B64F9"/>
    <w:rsid w:val="4D0D9D37"/>
    <w:rsid w:val="4D12FAB8"/>
    <w:rsid w:val="4D175384"/>
    <w:rsid w:val="4D1893DF"/>
    <w:rsid w:val="4D1ECAAD"/>
    <w:rsid w:val="4D23D046"/>
    <w:rsid w:val="4D23FC08"/>
    <w:rsid w:val="4D260A82"/>
    <w:rsid w:val="4D28EAB0"/>
    <w:rsid w:val="4D2A234C"/>
    <w:rsid w:val="4D2D9BDB"/>
    <w:rsid w:val="4D2F54BF"/>
    <w:rsid w:val="4D316C5C"/>
    <w:rsid w:val="4D373D36"/>
    <w:rsid w:val="4D41E5DB"/>
    <w:rsid w:val="4D470313"/>
    <w:rsid w:val="4D471E60"/>
    <w:rsid w:val="4D47E0CF"/>
    <w:rsid w:val="4D47F753"/>
    <w:rsid w:val="4D4A32E9"/>
    <w:rsid w:val="4D4D0919"/>
    <w:rsid w:val="4D51B6AD"/>
    <w:rsid w:val="4D52D862"/>
    <w:rsid w:val="4D584272"/>
    <w:rsid w:val="4D58B6D2"/>
    <w:rsid w:val="4D5DC10E"/>
    <w:rsid w:val="4D5E568C"/>
    <w:rsid w:val="4D5F8038"/>
    <w:rsid w:val="4D600EF1"/>
    <w:rsid w:val="4D62A225"/>
    <w:rsid w:val="4D6619F9"/>
    <w:rsid w:val="4D662E40"/>
    <w:rsid w:val="4D6762B3"/>
    <w:rsid w:val="4D6A1D8F"/>
    <w:rsid w:val="4D6B008E"/>
    <w:rsid w:val="4D6B397F"/>
    <w:rsid w:val="4D6D44FE"/>
    <w:rsid w:val="4D6DE32D"/>
    <w:rsid w:val="4D74086B"/>
    <w:rsid w:val="4D7452E0"/>
    <w:rsid w:val="4D7778D1"/>
    <w:rsid w:val="4D79833A"/>
    <w:rsid w:val="4D7CD3C5"/>
    <w:rsid w:val="4D7E472D"/>
    <w:rsid w:val="4D7F9D08"/>
    <w:rsid w:val="4D81A660"/>
    <w:rsid w:val="4D86AC7C"/>
    <w:rsid w:val="4D887EF0"/>
    <w:rsid w:val="4D93080E"/>
    <w:rsid w:val="4D94AF3D"/>
    <w:rsid w:val="4D952C2D"/>
    <w:rsid w:val="4D96A646"/>
    <w:rsid w:val="4D988716"/>
    <w:rsid w:val="4D9BE1E5"/>
    <w:rsid w:val="4D9E776B"/>
    <w:rsid w:val="4DA0412A"/>
    <w:rsid w:val="4DA0BD37"/>
    <w:rsid w:val="4DA24BA0"/>
    <w:rsid w:val="4DA25F6B"/>
    <w:rsid w:val="4DA348D7"/>
    <w:rsid w:val="4DA66E7D"/>
    <w:rsid w:val="4DABD017"/>
    <w:rsid w:val="4DB1D5C5"/>
    <w:rsid w:val="4DB3849F"/>
    <w:rsid w:val="4DB3936A"/>
    <w:rsid w:val="4DB4B49B"/>
    <w:rsid w:val="4DB6C413"/>
    <w:rsid w:val="4DB6C74F"/>
    <w:rsid w:val="4DB72F95"/>
    <w:rsid w:val="4DB78213"/>
    <w:rsid w:val="4DB9B54F"/>
    <w:rsid w:val="4DBC52D8"/>
    <w:rsid w:val="4DC2A807"/>
    <w:rsid w:val="4DC8CA17"/>
    <w:rsid w:val="4DC9B13E"/>
    <w:rsid w:val="4DD1313C"/>
    <w:rsid w:val="4DD23EBD"/>
    <w:rsid w:val="4DD2D2DD"/>
    <w:rsid w:val="4DD487EB"/>
    <w:rsid w:val="4DDA66BB"/>
    <w:rsid w:val="4DDE67A1"/>
    <w:rsid w:val="4DE1CAC2"/>
    <w:rsid w:val="4DE3270E"/>
    <w:rsid w:val="4DE46FBB"/>
    <w:rsid w:val="4DE5564E"/>
    <w:rsid w:val="4DE63DE6"/>
    <w:rsid w:val="4DE810DA"/>
    <w:rsid w:val="4DE83328"/>
    <w:rsid w:val="4DE8D75D"/>
    <w:rsid w:val="4DEC3893"/>
    <w:rsid w:val="4DEDC386"/>
    <w:rsid w:val="4DF00438"/>
    <w:rsid w:val="4DF0059A"/>
    <w:rsid w:val="4DF1BE6A"/>
    <w:rsid w:val="4DF24FE9"/>
    <w:rsid w:val="4DF2D481"/>
    <w:rsid w:val="4DF9D0F0"/>
    <w:rsid w:val="4DFC52F9"/>
    <w:rsid w:val="4DFD1651"/>
    <w:rsid w:val="4DFDB9C3"/>
    <w:rsid w:val="4E051420"/>
    <w:rsid w:val="4E07E5AA"/>
    <w:rsid w:val="4E083066"/>
    <w:rsid w:val="4E0848C3"/>
    <w:rsid w:val="4E0D7288"/>
    <w:rsid w:val="4E108C77"/>
    <w:rsid w:val="4E15C2E4"/>
    <w:rsid w:val="4E17FB07"/>
    <w:rsid w:val="4E192A57"/>
    <w:rsid w:val="4E19C402"/>
    <w:rsid w:val="4E1B0534"/>
    <w:rsid w:val="4E1B0F32"/>
    <w:rsid w:val="4E1D4A02"/>
    <w:rsid w:val="4E20DD9A"/>
    <w:rsid w:val="4E232A00"/>
    <w:rsid w:val="4E255027"/>
    <w:rsid w:val="4E264CE1"/>
    <w:rsid w:val="4E2817CC"/>
    <w:rsid w:val="4E28C066"/>
    <w:rsid w:val="4E28E811"/>
    <w:rsid w:val="4E28FC2F"/>
    <w:rsid w:val="4E2C245C"/>
    <w:rsid w:val="4E2D97AB"/>
    <w:rsid w:val="4E2EC4A5"/>
    <w:rsid w:val="4E302AC2"/>
    <w:rsid w:val="4E30D9B6"/>
    <w:rsid w:val="4E35A8C8"/>
    <w:rsid w:val="4E395647"/>
    <w:rsid w:val="4E3C1458"/>
    <w:rsid w:val="4E3C8BAC"/>
    <w:rsid w:val="4E3D1A66"/>
    <w:rsid w:val="4E453394"/>
    <w:rsid w:val="4E458D91"/>
    <w:rsid w:val="4E48F1F7"/>
    <w:rsid w:val="4E4B57B7"/>
    <w:rsid w:val="4E4E4B0A"/>
    <w:rsid w:val="4E50FBE3"/>
    <w:rsid w:val="4E51683B"/>
    <w:rsid w:val="4E54B3C1"/>
    <w:rsid w:val="4E5556E0"/>
    <w:rsid w:val="4E561133"/>
    <w:rsid w:val="4E5CABBD"/>
    <w:rsid w:val="4E5DECC4"/>
    <w:rsid w:val="4E614692"/>
    <w:rsid w:val="4E63DFFF"/>
    <w:rsid w:val="4E654384"/>
    <w:rsid w:val="4E65458F"/>
    <w:rsid w:val="4E6B46F9"/>
    <w:rsid w:val="4E6C4903"/>
    <w:rsid w:val="4E6EECDF"/>
    <w:rsid w:val="4E6F26AA"/>
    <w:rsid w:val="4E72564C"/>
    <w:rsid w:val="4E72A585"/>
    <w:rsid w:val="4E736819"/>
    <w:rsid w:val="4E74F115"/>
    <w:rsid w:val="4E7C4B1E"/>
    <w:rsid w:val="4E7CB13A"/>
    <w:rsid w:val="4E7E13F6"/>
    <w:rsid w:val="4E7F7839"/>
    <w:rsid w:val="4E831E41"/>
    <w:rsid w:val="4E913AAF"/>
    <w:rsid w:val="4E92DF6B"/>
    <w:rsid w:val="4E96ACCD"/>
    <w:rsid w:val="4E9A44D0"/>
    <w:rsid w:val="4E9E6C42"/>
    <w:rsid w:val="4E9EBFA1"/>
    <w:rsid w:val="4EA06AB0"/>
    <w:rsid w:val="4EA0B010"/>
    <w:rsid w:val="4EA34763"/>
    <w:rsid w:val="4EA3D16B"/>
    <w:rsid w:val="4EA9985E"/>
    <w:rsid w:val="4EAA69B4"/>
    <w:rsid w:val="4EB1E09B"/>
    <w:rsid w:val="4EB54FC7"/>
    <w:rsid w:val="4EB921F6"/>
    <w:rsid w:val="4EC185AB"/>
    <w:rsid w:val="4EC1FFD6"/>
    <w:rsid w:val="4EC39A15"/>
    <w:rsid w:val="4EC99F5D"/>
    <w:rsid w:val="4EC9CD76"/>
    <w:rsid w:val="4ED187BD"/>
    <w:rsid w:val="4ED74BC3"/>
    <w:rsid w:val="4EE0D716"/>
    <w:rsid w:val="4EE47DE2"/>
    <w:rsid w:val="4EE7A2FC"/>
    <w:rsid w:val="4EE96AAB"/>
    <w:rsid w:val="4EF41274"/>
    <w:rsid w:val="4EF50F84"/>
    <w:rsid w:val="4EF5321E"/>
    <w:rsid w:val="4EF5540B"/>
    <w:rsid w:val="4EF95540"/>
    <w:rsid w:val="4EF9AE9E"/>
    <w:rsid w:val="4EFE84BD"/>
    <w:rsid w:val="4EFED2D2"/>
    <w:rsid w:val="4F096429"/>
    <w:rsid w:val="4F0A902F"/>
    <w:rsid w:val="4F0AF516"/>
    <w:rsid w:val="4F10A5C8"/>
    <w:rsid w:val="4F10BB24"/>
    <w:rsid w:val="4F10E21A"/>
    <w:rsid w:val="4F145300"/>
    <w:rsid w:val="4F15198C"/>
    <w:rsid w:val="4F16E677"/>
    <w:rsid w:val="4F1796D3"/>
    <w:rsid w:val="4F189CC0"/>
    <w:rsid w:val="4F1AAF17"/>
    <w:rsid w:val="4F1B8C9F"/>
    <w:rsid w:val="4F1D25DA"/>
    <w:rsid w:val="4F20D224"/>
    <w:rsid w:val="4F2321C7"/>
    <w:rsid w:val="4F24CE7E"/>
    <w:rsid w:val="4F262E9E"/>
    <w:rsid w:val="4F2C78DC"/>
    <w:rsid w:val="4F2CCE58"/>
    <w:rsid w:val="4F2EB0E0"/>
    <w:rsid w:val="4F2F411A"/>
    <w:rsid w:val="4F2F7C37"/>
    <w:rsid w:val="4F309C3D"/>
    <w:rsid w:val="4F3127F4"/>
    <w:rsid w:val="4F334E47"/>
    <w:rsid w:val="4F351D37"/>
    <w:rsid w:val="4F387942"/>
    <w:rsid w:val="4F3EFA17"/>
    <w:rsid w:val="4F403DF1"/>
    <w:rsid w:val="4F451E7B"/>
    <w:rsid w:val="4F45B519"/>
    <w:rsid w:val="4F497DE3"/>
    <w:rsid w:val="4F49BABE"/>
    <w:rsid w:val="4F4EB90A"/>
    <w:rsid w:val="4F518C9E"/>
    <w:rsid w:val="4F53F403"/>
    <w:rsid w:val="4F589735"/>
    <w:rsid w:val="4F59DA49"/>
    <w:rsid w:val="4F61F291"/>
    <w:rsid w:val="4F6A38DD"/>
    <w:rsid w:val="4F6D6B5D"/>
    <w:rsid w:val="4F6DAE78"/>
    <w:rsid w:val="4F70AF01"/>
    <w:rsid w:val="4F7BC958"/>
    <w:rsid w:val="4F7BFD05"/>
    <w:rsid w:val="4F7CBF1A"/>
    <w:rsid w:val="4F7CF51D"/>
    <w:rsid w:val="4F7D293C"/>
    <w:rsid w:val="4F85A08A"/>
    <w:rsid w:val="4F8848A7"/>
    <w:rsid w:val="4F89028E"/>
    <w:rsid w:val="4F8CF610"/>
    <w:rsid w:val="4F9275E1"/>
    <w:rsid w:val="4F933B5D"/>
    <w:rsid w:val="4F99710B"/>
    <w:rsid w:val="4FA34CB5"/>
    <w:rsid w:val="4FA455C8"/>
    <w:rsid w:val="4FA5A310"/>
    <w:rsid w:val="4FA5D63D"/>
    <w:rsid w:val="4FA67E10"/>
    <w:rsid w:val="4FA77469"/>
    <w:rsid w:val="4FAA2CB9"/>
    <w:rsid w:val="4FAAC730"/>
    <w:rsid w:val="4FABB4C9"/>
    <w:rsid w:val="4FABD681"/>
    <w:rsid w:val="4FABF4A9"/>
    <w:rsid w:val="4FB202C9"/>
    <w:rsid w:val="4FB2F70C"/>
    <w:rsid w:val="4FB8EAE3"/>
    <w:rsid w:val="4FBE1E82"/>
    <w:rsid w:val="4FBFE1DA"/>
    <w:rsid w:val="4FC34E01"/>
    <w:rsid w:val="4FC728EA"/>
    <w:rsid w:val="4FCD3C46"/>
    <w:rsid w:val="4FCE9E55"/>
    <w:rsid w:val="4FD001E3"/>
    <w:rsid w:val="4FD4E702"/>
    <w:rsid w:val="4FD68853"/>
    <w:rsid w:val="4FD68B09"/>
    <w:rsid w:val="4FDB3626"/>
    <w:rsid w:val="4FE00CF6"/>
    <w:rsid w:val="4FE0925F"/>
    <w:rsid w:val="4FE1F45A"/>
    <w:rsid w:val="4FE30A75"/>
    <w:rsid w:val="4FE9FBF8"/>
    <w:rsid w:val="4FEAE929"/>
    <w:rsid w:val="4FED9AE9"/>
    <w:rsid w:val="4FF3526B"/>
    <w:rsid w:val="4FF37BCD"/>
    <w:rsid w:val="4FF435CD"/>
    <w:rsid w:val="4FF48D1E"/>
    <w:rsid w:val="4FF5E7AE"/>
    <w:rsid w:val="4FF6218E"/>
    <w:rsid w:val="4FF67CE8"/>
    <w:rsid w:val="4FFAFE09"/>
    <w:rsid w:val="4FFB3994"/>
    <w:rsid w:val="4FFB6338"/>
    <w:rsid w:val="4FFBF0A4"/>
    <w:rsid w:val="4FFDECC5"/>
    <w:rsid w:val="4FFE57BB"/>
    <w:rsid w:val="4FFFF338"/>
    <w:rsid w:val="5008B44C"/>
    <w:rsid w:val="50097725"/>
    <w:rsid w:val="500CE5C2"/>
    <w:rsid w:val="500E0B8B"/>
    <w:rsid w:val="50119807"/>
    <w:rsid w:val="501B20B0"/>
    <w:rsid w:val="501E8C47"/>
    <w:rsid w:val="50235CB5"/>
    <w:rsid w:val="50248A2B"/>
    <w:rsid w:val="5027DED1"/>
    <w:rsid w:val="502B401E"/>
    <w:rsid w:val="502D50FA"/>
    <w:rsid w:val="50303A43"/>
    <w:rsid w:val="503093FA"/>
    <w:rsid w:val="5033BAF2"/>
    <w:rsid w:val="5034FEFD"/>
    <w:rsid w:val="5035CA91"/>
    <w:rsid w:val="50378ECD"/>
    <w:rsid w:val="503A85FE"/>
    <w:rsid w:val="503AD868"/>
    <w:rsid w:val="503D2E44"/>
    <w:rsid w:val="50420E33"/>
    <w:rsid w:val="5042C101"/>
    <w:rsid w:val="50437F11"/>
    <w:rsid w:val="50475CC4"/>
    <w:rsid w:val="5047D41A"/>
    <w:rsid w:val="50496586"/>
    <w:rsid w:val="5049D229"/>
    <w:rsid w:val="504E4C09"/>
    <w:rsid w:val="504EA4F9"/>
    <w:rsid w:val="5054B3F3"/>
    <w:rsid w:val="50555757"/>
    <w:rsid w:val="5056487A"/>
    <w:rsid w:val="5056FA4E"/>
    <w:rsid w:val="505BC1B4"/>
    <w:rsid w:val="505C28D9"/>
    <w:rsid w:val="505DE206"/>
    <w:rsid w:val="505DF218"/>
    <w:rsid w:val="50634361"/>
    <w:rsid w:val="506A15C4"/>
    <w:rsid w:val="506CF295"/>
    <w:rsid w:val="506D7DDD"/>
    <w:rsid w:val="5072590D"/>
    <w:rsid w:val="50754AC9"/>
    <w:rsid w:val="50784959"/>
    <w:rsid w:val="50792B14"/>
    <w:rsid w:val="5079C592"/>
    <w:rsid w:val="5079EA67"/>
    <w:rsid w:val="507A6C09"/>
    <w:rsid w:val="507AB9AF"/>
    <w:rsid w:val="507BD8E9"/>
    <w:rsid w:val="5083ED49"/>
    <w:rsid w:val="50864736"/>
    <w:rsid w:val="508746BB"/>
    <w:rsid w:val="5089D45F"/>
    <w:rsid w:val="508BCEA0"/>
    <w:rsid w:val="50955D70"/>
    <w:rsid w:val="509642ED"/>
    <w:rsid w:val="509DF75F"/>
    <w:rsid w:val="50A06324"/>
    <w:rsid w:val="50A22479"/>
    <w:rsid w:val="50A28855"/>
    <w:rsid w:val="50A38D07"/>
    <w:rsid w:val="50A700B9"/>
    <w:rsid w:val="50A75FD0"/>
    <w:rsid w:val="50AAAFC8"/>
    <w:rsid w:val="50AB313A"/>
    <w:rsid w:val="50B04139"/>
    <w:rsid w:val="50B601D5"/>
    <w:rsid w:val="50BA167A"/>
    <w:rsid w:val="50BAB3A6"/>
    <w:rsid w:val="50BED07D"/>
    <w:rsid w:val="50C3E35F"/>
    <w:rsid w:val="50C6B316"/>
    <w:rsid w:val="50C8865E"/>
    <w:rsid w:val="50C8EDD3"/>
    <w:rsid w:val="50CCA505"/>
    <w:rsid w:val="50CDE046"/>
    <w:rsid w:val="50CDED5A"/>
    <w:rsid w:val="50CDF605"/>
    <w:rsid w:val="50D04DDB"/>
    <w:rsid w:val="50D47E1C"/>
    <w:rsid w:val="50DCBFBE"/>
    <w:rsid w:val="50DCCC00"/>
    <w:rsid w:val="50DE1860"/>
    <w:rsid w:val="50E51FE6"/>
    <w:rsid w:val="50E7B215"/>
    <w:rsid w:val="50EFFFEB"/>
    <w:rsid w:val="50F2B66B"/>
    <w:rsid w:val="50F48387"/>
    <w:rsid w:val="50F91F48"/>
    <w:rsid w:val="50F95D69"/>
    <w:rsid w:val="50F975B1"/>
    <w:rsid w:val="50F9D8D5"/>
    <w:rsid w:val="50FDB46D"/>
    <w:rsid w:val="50FDDC40"/>
    <w:rsid w:val="51069B5A"/>
    <w:rsid w:val="510AEF6B"/>
    <w:rsid w:val="51108FA9"/>
    <w:rsid w:val="51178F60"/>
    <w:rsid w:val="5118DE0B"/>
    <w:rsid w:val="511A83C4"/>
    <w:rsid w:val="51211378"/>
    <w:rsid w:val="5128ADAD"/>
    <w:rsid w:val="5130EBD6"/>
    <w:rsid w:val="5130FAA7"/>
    <w:rsid w:val="5132AB56"/>
    <w:rsid w:val="51498284"/>
    <w:rsid w:val="5149EC2B"/>
    <w:rsid w:val="51516430"/>
    <w:rsid w:val="5158473D"/>
    <w:rsid w:val="515AC34C"/>
    <w:rsid w:val="515AE498"/>
    <w:rsid w:val="515D8EE3"/>
    <w:rsid w:val="515E02F4"/>
    <w:rsid w:val="516089C9"/>
    <w:rsid w:val="5161F43A"/>
    <w:rsid w:val="51637950"/>
    <w:rsid w:val="5164325D"/>
    <w:rsid w:val="5165EFA6"/>
    <w:rsid w:val="51682FBC"/>
    <w:rsid w:val="516B416A"/>
    <w:rsid w:val="516EEA62"/>
    <w:rsid w:val="516F3B55"/>
    <w:rsid w:val="5174AE28"/>
    <w:rsid w:val="5175C638"/>
    <w:rsid w:val="517A4A68"/>
    <w:rsid w:val="517B12FE"/>
    <w:rsid w:val="517CC799"/>
    <w:rsid w:val="517EDB99"/>
    <w:rsid w:val="5181255E"/>
    <w:rsid w:val="5184C1E6"/>
    <w:rsid w:val="518796B2"/>
    <w:rsid w:val="518AAD1B"/>
    <w:rsid w:val="518C3BE8"/>
    <w:rsid w:val="518C4A8E"/>
    <w:rsid w:val="518C6EA7"/>
    <w:rsid w:val="5191770B"/>
    <w:rsid w:val="51936817"/>
    <w:rsid w:val="5194EBE3"/>
    <w:rsid w:val="51957D77"/>
    <w:rsid w:val="5196EFF7"/>
    <w:rsid w:val="51995243"/>
    <w:rsid w:val="519A9F6E"/>
    <w:rsid w:val="519B924B"/>
    <w:rsid w:val="519BA442"/>
    <w:rsid w:val="519D51AC"/>
    <w:rsid w:val="519D933B"/>
    <w:rsid w:val="51A0887A"/>
    <w:rsid w:val="51A36B3B"/>
    <w:rsid w:val="51A59A51"/>
    <w:rsid w:val="51A9C4B4"/>
    <w:rsid w:val="51AB387F"/>
    <w:rsid w:val="51B25C6F"/>
    <w:rsid w:val="51B32F66"/>
    <w:rsid w:val="51B4DE53"/>
    <w:rsid w:val="51B60470"/>
    <w:rsid w:val="51B65F8B"/>
    <w:rsid w:val="51C2F119"/>
    <w:rsid w:val="51C763A1"/>
    <w:rsid w:val="51D1D684"/>
    <w:rsid w:val="51D20C94"/>
    <w:rsid w:val="51D2887F"/>
    <w:rsid w:val="51D2C1EE"/>
    <w:rsid w:val="51D314D3"/>
    <w:rsid w:val="51D6C23A"/>
    <w:rsid w:val="51DE9BB0"/>
    <w:rsid w:val="51DECFE8"/>
    <w:rsid w:val="51DF9825"/>
    <w:rsid w:val="51E1213C"/>
    <w:rsid w:val="51E2500F"/>
    <w:rsid w:val="51E2F238"/>
    <w:rsid w:val="51E51D9C"/>
    <w:rsid w:val="51E8164E"/>
    <w:rsid w:val="51E9F307"/>
    <w:rsid w:val="51EDD4CE"/>
    <w:rsid w:val="51F0DCF6"/>
    <w:rsid w:val="51F4EF9F"/>
    <w:rsid w:val="51F5ADB9"/>
    <w:rsid w:val="51F62922"/>
    <w:rsid w:val="51F86770"/>
    <w:rsid w:val="51F915CC"/>
    <w:rsid w:val="52049670"/>
    <w:rsid w:val="5204E7A1"/>
    <w:rsid w:val="5208ED00"/>
    <w:rsid w:val="520AA4F2"/>
    <w:rsid w:val="520B4A62"/>
    <w:rsid w:val="5210FA80"/>
    <w:rsid w:val="52166CBD"/>
    <w:rsid w:val="521B6F0E"/>
    <w:rsid w:val="521C6670"/>
    <w:rsid w:val="521C87F0"/>
    <w:rsid w:val="521D218C"/>
    <w:rsid w:val="521D3CCA"/>
    <w:rsid w:val="521E6F3A"/>
    <w:rsid w:val="5222E5E5"/>
    <w:rsid w:val="5229B733"/>
    <w:rsid w:val="5229D179"/>
    <w:rsid w:val="522A1FFE"/>
    <w:rsid w:val="522B77A3"/>
    <w:rsid w:val="5231D285"/>
    <w:rsid w:val="52348120"/>
    <w:rsid w:val="5236C64E"/>
    <w:rsid w:val="52376494"/>
    <w:rsid w:val="52378A7C"/>
    <w:rsid w:val="5238193E"/>
    <w:rsid w:val="523A2D90"/>
    <w:rsid w:val="523B8561"/>
    <w:rsid w:val="523C777F"/>
    <w:rsid w:val="523CBD49"/>
    <w:rsid w:val="523F8FB6"/>
    <w:rsid w:val="5241AA1B"/>
    <w:rsid w:val="52445F03"/>
    <w:rsid w:val="524FCF48"/>
    <w:rsid w:val="5252BB53"/>
    <w:rsid w:val="5255945B"/>
    <w:rsid w:val="5257C63E"/>
    <w:rsid w:val="52586A6C"/>
    <w:rsid w:val="5259917B"/>
    <w:rsid w:val="525B4E4A"/>
    <w:rsid w:val="525D0C80"/>
    <w:rsid w:val="525EC29F"/>
    <w:rsid w:val="5262DF1B"/>
    <w:rsid w:val="52656020"/>
    <w:rsid w:val="52661663"/>
    <w:rsid w:val="5269E0E3"/>
    <w:rsid w:val="5269E820"/>
    <w:rsid w:val="526DDCE8"/>
    <w:rsid w:val="52736F8B"/>
    <w:rsid w:val="5279EA4C"/>
    <w:rsid w:val="527BAD0B"/>
    <w:rsid w:val="527D6DE9"/>
    <w:rsid w:val="527F6478"/>
    <w:rsid w:val="5282CD62"/>
    <w:rsid w:val="5283ABDB"/>
    <w:rsid w:val="5283F07A"/>
    <w:rsid w:val="5286A4F2"/>
    <w:rsid w:val="5286AD3B"/>
    <w:rsid w:val="5288C94B"/>
    <w:rsid w:val="5289F442"/>
    <w:rsid w:val="528C370B"/>
    <w:rsid w:val="528ED7C5"/>
    <w:rsid w:val="52946536"/>
    <w:rsid w:val="52946F5A"/>
    <w:rsid w:val="529533E7"/>
    <w:rsid w:val="5297593E"/>
    <w:rsid w:val="529BB3AB"/>
    <w:rsid w:val="529BCC9A"/>
    <w:rsid w:val="529EB1DF"/>
    <w:rsid w:val="52A25902"/>
    <w:rsid w:val="52A9BD99"/>
    <w:rsid w:val="52ABCFF7"/>
    <w:rsid w:val="52AEBB2E"/>
    <w:rsid w:val="52B0B8C1"/>
    <w:rsid w:val="52B1DEF0"/>
    <w:rsid w:val="52B53CA8"/>
    <w:rsid w:val="52BAF61C"/>
    <w:rsid w:val="52BB2524"/>
    <w:rsid w:val="52BBB6DB"/>
    <w:rsid w:val="52BE17F1"/>
    <w:rsid w:val="52BE7891"/>
    <w:rsid w:val="52C07DE8"/>
    <w:rsid w:val="52C1E4A9"/>
    <w:rsid w:val="52C6DA77"/>
    <w:rsid w:val="52C9882C"/>
    <w:rsid w:val="52CBA454"/>
    <w:rsid w:val="52CC83B7"/>
    <w:rsid w:val="52CD6D0D"/>
    <w:rsid w:val="52CED74C"/>
    <w:rsid w:val="52D3A234"/>
    <w:rsid w:val="52D3E6E4"/>
    <w:rsid w:val="52D64EF4"/>
    <w:rsid w:val="52D7D6E2"/>
    <w:rsid w:val="52DC70FD"/>
    <w:rsid w:val="52DD9B47"/>
    <w:rsid w:val="52E3C2D0"/>
    <w:rsid w:val="52E4AE23"/>
    <w:rsid w:val="52E574D0"/>
    <w:rsid w:val="52E586EE"/>
    <w:rsid w:val="52EC3BB0"/>
    <w:rsid w:val="52F08F60"/>
    <w:rsid w:val="52F63775"/>
    <w:rsid w:val="52F77EB9"/>
    <w:rsid w:val="52FA1F11"/>
    <w:rsid w:val="52FC7326"/>
    <w:rsid w:val="52FCE44D"/>
    <w:rsid w:val="52FD6F50"/>
    <w:rsid w:val="5302E18C"/>
    <w:rsid w:val="53033BF8"/>
    <w:rsid w:val="5306D4D3"/>
    <w:rsid w:val="530936A1"/>
    <w:rsid w:val="530C424B"/>
    <w:rsid w:val="530C5483"/>
    <w:rsid w:val="530D006D"/>
    <w:rsid w:val="530F71D5"/>
    <w:rsid w:val="530FFC87"/>
    <w:rsid w:val="5311ADA1"/>
    <w:rsid w:val="53164EBF"/>
    <w:rsid w:val="53170A2E"/>
    <w:rsid w:val="53176120"/>
    <w:rsid w:val="531C362A"/>
    <w:rsid w:val="5322398D"/>
    <w:rsid w:val="5324C5AD"/>
    <w:rsid w:val="5328BE06"/>
    <w:rsid w:val="5333E3E4"/>
    <w:rsid w:val="53353E1D"/>
    <w:rsid w:val="533D0E74"/>
    <w:rsid w:val="533D1EEB"/>
    <w:rsid w:val="533FD66B"/>
    <w:rsid w:val="5342FE72"/>
    <w:rsid w:val="5347A7FE"/>
    <w:rsid w:val="534B6847"/>
    <w:rsid w:val="534D006D"/>
    <w:rsid w:val="534F430D"/>
    <w:rsid w:val="534FA9B8"/>
    <w:rsid w:val="535B1D85"/>
    <w:rsid w:val="536A7206"/>
    <w:rsid w:val="536D2101"/>
    <w:rsid w:val="536F7446"/>
    <w:rsid w:val="5375E1E9"/>
    <w:rsid w:val="5375F6A3"/>
    <w:rsid w:val="5379B8B9"/>
    <w:rsid w:val="537D8639"/>
    <w:rsid w:val="537F5259"/>
    <w:rsid w:val="53807EAC"/>
    <w:rsid w:val="5385BA35"/>
    <w:rsid w:val="53863144"/>
    <w:rsid w:val="538CCB24"/>
    <w:rsid w:val="538CE906"/>
    <w:rsid w:val="5391D570"/>
    <w:rsid w:val="5394FEB4"/>
    <w:rsid w:val="53958DC6"/>
    <w:rsid w:val="53994FFB"/>
    <w:rsid w:val="539CFEA8"/>
    <w:rsid w:val="53A11027"/>
    <w:rsid w:val="53A49CDE"/>
    <w:rsid w:val="53A9B230"/>
    <w:rsid w:val="53ACC949"/>
    <w:rsid w:val="53AEED1A"/>
    <w:rsid w:val="53B1FE0F"/>
    <w:rsid w:val="53B223D9"/>
    <w:rsid w:val="53B3496E"/>
    <w:rsid w:val="53B44A78"/>
    <w:rsid w:val="53B862F2"/>
    <w:rsid w:val="53BC17CC"/>
    <w:rsid w:val="53BF7C4E"/>
    <w:rsid w:val="53C171B8"/>
    <w:rsid w:val="53C23FCB"/>
    <w:rsid w:val="53C366AA"/>
    <w:rsid w:val="53C8A7FB"/>
    <w:rsid w:val="53CC918F"/>
    <w:rsid w:val="53CFD021"/>
    <w:rsid w:val="53D04F14"/>
    <w:rsid w:val="53D49303"/>
    <w:rsid w:val="53E18039"/>
    <w:rsid w:val="53E3646D"/>
    <w:rsid w:val="53E44F86"/>
    <w:rsid w:val="53E47453"/>
    <w:rsid w:val="53E50221"/>
    <w:rsid w:val="53E5D7D3"/>
    <w:rsid w:val="53E5DFC2"/>
    <w:rsid w:val="53EE877D"/>
    <w:rsid w:val="53EFB784"/>
    <w:rsid w:val="53F5FDA0"/>
    <w:rsid w:val="53F71851"/>
    <w:rsid w:val="53F9DB13"/>
    <w:rsid w:val="53FB8D2A"/>
    <w:rsid w:val="540561BF"/>
    <w:rsid w:val="54060738"/>
    <w:rsid w:val="5409EC03"/>
    <w:rsid w:val="540BC5FA"/>
    <w:rsid w:val="540DB343"/>
    <w:rsid w:val="540E85F3"/>
    <w:rsid w:val="541067DA"/>
    <w:rsid w:val="541A6BD3"/>
    <w:rsid w:val="541E7B28"/>
    <w:rsid w:val="54238BF3"/>
    <w:rsid w:val="5424DCF8"/>
    <w:rsid w:val="54253452"/>
    <w:rsid w:val="542A3D6E"/>
    <w:rsid w:val="542ABD35"/>
    <w:rsid w:val="5432A2D5"/>
    <w:rsid w:val="5432C4F8"/>
    <w:rsid w:val="54338261"/>
    <w:rsid w:val="543B6378"/>
    <w:rsid w:val="543BDEA3"/>
    <w:rsid w:val="543FAEBB"/>
    <w:rsid w:val="5441FD11"/>
    <w:rsid w:val="54443E35"/>
    <w:rsid w:val="544DBE0B"/>
    <w:rsid w:val="5451C113"/>
    <w:rsid w:val="54522787"/>
    <w:rsid w:val="5454C4DC"/>
    <w:rsid w:val="5458717A"/>
    <w:rsid w:val="54589416"/>
    <w:rsid w:val="545C8E64"/>
    <w:rsid w:val="545C903C"/>
    <w:rsid w:val="54647109"/>
    <w:rsid w:val="5465AE4E"/>
    <w:rsid w:val="546A130F"/>
    <w:rsid w:val="546CD5D9"/>
    <w:rsid w:val="54721430"/>
    <w:rsid w:val="5472C203"/>
    <w:rsid w:val="5479BB17"/>
    <w:rsid w:val="547A173A"/>
    <w:rsid w:val="547CC421"/>
    <w:rsid w:val="5481D521"/>
    <w:rsid w:val="5484C8FB"/>
    <w:rsid w:val="548824CC"/>
    <w:rsid w:val="548C061D"/>
    <w:rsid w:val="5490656D"/>
    <w:rsid w:val="5496AB4F"/>
    <w:rsid w:val="549CFE9E"/>
    <w:rsid w:val="549E5CF5"/>
    <w:rsid w:val="549F1443"/>
    <w:rsid w:val="54A030BB"/>
    <w:rsid w:val="54A06917"/>
    <w:rsid w:val="54A23DD5"/>
    <w:rsid w:val="54AA6F96"/>
    <w:rsid w:val="54AB3CD0"/>
    <w:rsid w:val="54AEB9D4"/>
    <w:rsid w:val="54AFB370"/>
    <w:rsid w:val="54B33BA6"/>
    <w:rsid w:val="54B4E85C"/>
    <w:rsid w:val="54B630A5"/>
    <w:rsid w:val="54B9DD9F"/>
    <w:rsid w:val="54BD0D14"/>
    <w:rsid w:val="54BD1379"/>
    <w:rsid w:val="54BE6E89"/>
    <w:rsid w:val="54BE902A"/>
    <w:rsid w:val="54BF74E0"/>
    <w:rsid w:val="54C88C67"/>
    <w:rsid w:val="54CE27F1"/>
    <w:rsid w:val="54CEFAF8"/>
    <w:rsid w:val="54D0AA1C"/>
    <w:rsid w:val="54D483A2"/>
    <w:rsid w:val="54D7743C"/>
    <w:rsid w:val="54D857D4"/>
    <w:rsid w:val="54D9BFC5"/>
    <w:rsid w:val="54D9CFCE"/>
    <w:rsid w:val="54DC97B7"/>
    <w:rsid w:val="54DDC930"/>
    <w:rsid w:val="54DFF897"/>
    <w:rsid w:val="54E27807"/>
    <w:rsid w:val="54E3BBDF"/>
    <w:rsid w:val="54E4A019"/>
    <w:rsid w:val="54E50623"/>
    <w:rsid w:val="54E661F9"/>
    <w:rsid w:val="54E71DF3"/>
    <w:rsid w:val="54E8F6D6"/>
    <w:rsid w:val="54E95DED"/>
    <w:rsid w:val="54EEF9A0"/>
    <w:rsid w:val="54F07D28"/>
    <w:rsid w:val="54F17243"/>
    <w:rsid w:val="54F222C9"/>
    <w:rsid w:val="54F772CC"/>
    <w:rsid w:val="54FBC9A4"/>
    <w:rsid w:val="54FC814D"/>
    <w:rsid w:val="54FEAA4E"/>
    <w:rsid w:val="54FF1C5E"/>
    <w:rsid w:val="5501784E"/>
    <w:rsid w:val="55057182"/>
    <w:rsid w:val="55059066"/>
    <w:rsid w:val="55061DC9"/>
    <w:rsid w:val="55077FBC"/>
    <w:rsid w:val="55095D12"/>
    <w:rsid w:val="550A9237"/>
    <w:rsid w:val="550AF632"/>
    <w:rsid w:val="550B2974"/>
    <w:rsid w:val="550F5C20"/>
    <w:rsid w:val="551218B0"/>
    <w:rsid w:val="551C5689"/>
    <w:rsid w:val="55228435"/>
    <w:rsid w:val="55233D8E"/>
    <w:rsid w:val="55235A9E"/>
    <w:rsid w:val="55238203"/>
    <w:rsid w:val="5523E2C7"/>
    <w:rsid w:val="5524E187"/>
    <w:rsid w:val="552819B3"/>
    <w:rsid w:val="552877F3"/>
    <w:rsid w:val="552A71C1"/>
    <w:rsid w:val="552A9DB4"/>
    <w:rsid w:val="552C52E7"/>
    <w:rsid w:val="552F299A"/>
    <w:rsid w:val="55331E5D"/>
    <w:rsid w:val="5537357A"/>
    <w:rsid w:val="553B1B1E"/>
    <w:rsid w:val="553C88B4"/>
    <w:rsid w:val="5540635D"/>
    <w:rsid w:val="55410A27"/>
    <w:rsid w:val="5541195A"/>
    <w:rsid w:val="5548C9F5"/>
    <w:rsid w:val="55497F8E"/>
    <w:rsid w:val="554B0FD0"/>
    <w:rsid w:val="554C04A8"/>
    <w:rsid w:val="554EB826"/>
    <w:rsid w:val="5553CE8B"/>
    <w:rsid w:val="5558ED0A"/>
    <w:rsid w:val="555D7F5A"/>
    <w:rsid w:val="555E4121"/>
    <w:rsid w:val="5561004A"/>
    <w:rsid w:val="5561DE11"/>
    <w:rsid w:val="5563B29E"/>
    <w:rsid w:val="5563CD46"/>
    <w:rsid w:val="5567A8D7"/>
    <w:rsid w:val="55689364"/>
    <w:rsid w:val="556A960D"/>
    <w:rsid w:val="556B5B76"/>
    <w:rsid w:val="556DD305"/>
    <w:rsid w:val="5574DC53"/>
    <w:rsid w:val="5576771F"/>
    <w:rsid w:val="5576CF59"/>
    <w:rsid w:val="55781057"/>
    <w:rsid w:val="55785A7E"/>
    <w:rsid w:val="5579B61B"/>
    <w:rsid w:val="557B72B0"/>
    <w:rsid w:val="557CB743"/>
    <w:rsid w:val="557E6D04"/>
    <w:rsid w:val="557EBFCE"/>
    <w:rsid w:val="55878449"/>
    <w:rsid w:val="558A6825"/>
    <w:rsid w:val="558A8C81"/>
    <w:rsid w:val="558BFEF8"/>
    <w:rsid w:val="558EF924"/>
    <w:rsid w:val="558FA81D"/>
    <w:rsid w:val="55924F1E"/>
    <w:rsid w:val="55939EAB"/>
    <w:rsid w:val="559506CB"/>
    <w:rsid w:val="5596CB18"/>
    <w:rsid w:val="55976E9F"/>
    <w:rsid w:val="55981F67"/>
    <w:rsid w:val="55A76075"/>
    <w:rsid w:val="55AECEDF"/>
    <w:rsid w:val="55B266F4"/>
    <w:rsid w:val="55BBEE95"/>
    <w:rsid w:val="55BE69CD"/>
    <w:rsid w:val="55C0BCD8"/>
    <w:rsid w:val="55C3BFD4"/>
    <w:rsid w:val="55C4A378"/>
    <w:rsid w:val="55C535D8"/>
    <w:rsid w:val="55C56D8A"/>
    <w:rsid w:val="55C7AE7C"/>
    <w:rsid w:val="55C845F9"/>
    <w:rsid w:val="55C9EDE5"/>
    <w:rsid w:val="55CA91E0"/>
    <w:rsid w:val="55CD242E"/>
    <w:rsid w:val="55CD965A"/>
    <w:rsid w:val="55CECF79"/>
    <w:rsid w:val="55D585EB"/>
    <w:rsid w:val="55D6401E"/>
    <w:rsid w:val="55DC3517"/>
    <w:rsid w:val="55E04F54"/>
    <w:rsid w:val="55E1B264"/>
    <w:rsid w:val="55E2299E"/>
    <w:rsid w:val="55E45A5C"/>
    <w:rsid w:val="55E4C433"/>
    <w:rsid w:val="55E57F4E"/>
    <w:rsid w:val="55E71BF1"/>
    <w:rsid w:val="55E7A159"/>
    <w:rsid w:val="55E97AE2"/>
    <w:rsid w:val="55E9C1BE"/>
    <w:rsid w:val="55EF441D"/>
    <w:rsid w:val="55F3F82C"/>
    <w:rsid w:val="55F65ABB"/>
    <w:rsid w:val="55F6C833"/>
    <w:rsid w:val="55F88E1C"/>
    <w:rsid w:val="55F90BCF"/>
    <w:rsid w:val="55F9D98E"/>
    <w:rsid w:val="55FA71AA"/>
    <w:rsid w:val="55FC6F75"/>
    <w:rsid w:val="55FCA201"/>
    <w:rsid w:val="55FCE0BA"/>
    <w:rsid w:val="55FD6DC9"/>
    <w:rsid w:val="56000DCB"/>
    <w:rsid w:val="56030FF7"/>
    <w:rsid w:val="5604E745"/>
    <w:rsid w:val="560A67F6"/>
    <w:rsid w:val="560EF2E2"/>
    <w:rsid w:val="560F42A1"/>
    <w:rsid w:val="5610815A"/>
    <w:rsid w:val="56108CB5"/>
    <w:rsid w:val="561BD0A0"/>
    <w:rsid w:val="561E2842"/>
    <w:rsid w:val="56213260"/>
    <w:rsid w:val="5625BC29"/>
    <w:rsid w:val="5632451E"/>
    <w:rsid w:val="563278DE"/>
    <w:rsid w:val="5635AF56"/>
    <w:rsid w:val="56360BE8"/>
    <w:rsid w:val="5638919B"/>
    <w:rsid w:val="563DC5C3"/>
    <w:rsid w:val="56409037"/>
    <w:rsid w:val="564CC236"/>
    <w:rsid w:val="564D7CE1"/>
    <w:rsid w:val="564DB05E"/>
    <w:rsid w:val="56519CD4"/>
    <w:rsid w:val="5657C5EC"/>
    <w:rsid w:val="5657C666"/>
    <w:rsid w:val="5659926F"/>
    <w:rsid w:val="5660CC08"/>
    <w:rsid w:val="56623419"/>
    <w:rsid w:val="5663691E"/>
    <w:rsid w:val="56692C58"/>
    <w:rsid w:val="5669B1FC"/>
    <w:rsid w:val="566A9DAA"/>
    <w:rsid w:val="566BFB05"/>
    <w:rsid w:val="5672281D"/>
    <w:rsid w:val="5673ECC0"/>
    <w:rsid w:val="56749469"/>
    <w:rsid w:val="5675B97C"/>
    <w:rsid w:val="5677A0D5"/>
    <w:rsid w:val="5677BA78"/>
    <w:rsid w:val="5677F1CB"/>
    <w:rsid w:val="568218DE"/>
    <w:rsid w:val="56878E0E"/>
    <w:rsid w:val="568A725B"/>
    <w:rsid w:val="569150E7"/>
    <w:rsid w:val="56995C33"/>
    <w:rsid w:val="5699DA79"/>
    <w:rsid w:val="569EA328"/>
    <w:rsid w:val="56A33F17"/>
    <w:rsid w:val="56A6BE60"/>
    <w:rsid w:val="56AA86C2"/>
    <w:rsid w:val="56AAB69E"/>
    <w:rsid w:val="56ABBC1A"/>
    <w:rsid w:val="56AF45E6"/>
    <w:rsid w:val="56B0856E"/>
    <w:rsid w:val="56B2C50B"/>
    <w:rsid w:val="56B65375"/>
    <w:rsid w:val="56BB2E1E"/>
    <w:rsid w:val="56C3AF78"/>
    <w:rsid w:val="56C3D52B"/>
    <w:rsid w:val="56C41D32"/>
    <w:rsid w:val="56D0F78D"/>
    <w:rsid w:val="56D30380"/>
    <w:rsid w:val="56D98264"/>
    <w:rsid w:val="56DF2D44"/>
    <w:rsid w:val="56DFC287"/>
    <w:rsid w:val="56E02C07"/>
    <w:rsid w:val="56EA04E7"/>
    <w:rsid w:val="56EAD593"/>
    <w:rsid w:val="56EBFE7C"/>
    <w:rsid w:val="56F051F5"/>
    <w:rsid w:val="56F469D8"/>
    <w:rsid w:val="56F5FD32"/>
    <w:rsid w:val="56F6D484"/>
    <w:rsid w:val="56F9E03F"/>
    <w:rsid w:val="56FA360E"/>
    <w:rsid w:val="56FE3D01"/>
    <w:rsid w:val="56FEF93F"/>
    <w:rsid w:val="57002C84"/>
    <w:rsid w:val="570EB280"/>
    <w:rsid w:val="57177EC9"/>
    <w:rsid w:val="571A4A5D"/>
    <w:rsid w:val="571B1720"/>
    <w:rsid w:val="57249830"/>
    <w:rsid w:val="57268646"/>
    <w:rsid w:val="57278BDD"/>
    <w:rsid w:val="5728F797"/>
    <w:rsid w:val="572AEFD8"/>
    <w:rsid w:val="5731DAE8"/>
    <w:rsid w:val="5732CCFD"/>
    <w:rsid w:val="5734998A"/>
    <w:rsid w:val="573718D8"/>
    <w:rsid w:val="5737C081"/>
    <w:rsid w:val="573AB297"/>
    <w:rsid w:val="573B89FC"/>
    <w:rsid w:val="573DFEA4"/>
    <w:rsid w:val="573EDD2E"/>
    <w:rsid w:val="573F7EAB"/>
    <w:rsid w:val="57411FF1"/>
    <w:rsid w:val="574294CF"/>
    <w:rsid w:val="5742DB58"/>
    <w:rsid w:val="57496F39"/>
    <w:rsid w:val="574BAAA4"/>
    <w:rsid w:val="575047E5"/>
    <w:rsid w:val="5751E8CA"/>
    <w:rsid w:val="5753E5C0"/>
    <w:rsid w:val="575BAADB"/>
    <w:rsid w:val="575BD8B2"/>
    <w:rsid w:val="575D6C09"/>
    <w:rsid w:val="575DC844"/>
    <w:rsid w:val="575FAA6D"/>
    <w:rsid w:val="57608BA7"/>
    <w:rsid w:val="5762BE73"/>
    <w:rsid w:val="576470E3"/>
    <w:rsid w:val="57651052"/>
    <w:rsid w:val="5768FB1F"/>
    <w:rsid w:val="576B7F93"/>
    <w:rsid w:val="576CBB56"/>
    <w:rsid w:val="577868AE"/>
    <w:rsid w:val="57788CC5"/>
    <w:rsid w:val="5779A174"/>
    <w:rsid w:val="577AFFF6"/>
    <w:rsid w:val="577FE19B"/>
    <w:rsid w:val="578917B8"/>
    <w:rsid w:val="578AA826"/>
    <w:rsid w:val="578C2D60"/>
    <w:rsid w:val="578E42AA"/>
    <w:rsid w:val="57919447"/>
    <w:rsid w:val="5793C378"/>
    <w:rsid w:val="57973CBE"/>
    <w:rsid w:val="5798EEFF"/>
    <w:rsid w:val="579A3F5E"/>
    <w:rsid w:val="57A1A416"/>
    <w:rsid w:val="57A36639"/>
    <w:rsid w:val="57A50428"/>
    <w:rsid w:val="57A58E60"/>
    <w:rsid w:val="57AA826B"/>
    <w:rsid w:val="57AA8CEC"/>
    <w:rsid w:val="57AB390D"/>
    <w:rsid w:val="57AC7997"/>
    <w:rsid w:val="57B79660"/>
    <w:rsid w:val="57B8DAAC"/>
    <w:rsid w:val="57BD58B3"/>
    <w:rsid w:val="57C6B258"/>
    <w:rsid w:val="57C7009C"/>
    <w:rsid w:val="57C89D8D"/>
    <w:rsid w:val="57CAABB5"/>
    <w:rsid w:val="57CAF5BF"/>
    <w:rsid w:val="57CDC512"/>
    <w:rsid w:val="57CEC9CD"/>
    <w:rsid w:val="57CF898A"/>
    <w:rsid w:val="57D6C720"/>
    <w:rsid w:val="57DB9624"/>
    <w:rsid w:val="57DC0768"/>
    <w:rsid w:val="57DF1864"/>
    <w:rsid w:val="57E1CE5D"/>
    <w:rsid w:val="57E2EEAF"/>
    <w:rsid w:val="57E38F96"/>
    <w:rsid w:val="57E644C7"/>
    <w:rsid w:val="57E73CA2"/>
    <w:rsid w:val="57EA4093"/>
    <w:rsid w:val="57ED5DC4"/>
    <w:rsid w:val="57EF0445"/>
    <w:rsid w:val="57F0EAD0"/>
    <w:rsid w:val="57F36FF3"/>
    <w:rsid w:val="57F96E84"/>
    <w:rsid w:val="57FCDC12"/>
    <w:rsid w:val="57FDE2A6"/>
    <w:rsid w:val="57FE1790"/>
    <w:rsid w:val="58025EC8"/>
    <w:rsid w:val="58053495"/>
    <w:rsid w:val="5806874B"/>
    <w:rsid w:val="5808CC24"/>
    <w:rsid w:val="580D1F01"/>
    <w:rsid w:val="580D8090"/>
    <w:rsid w:val="580EA2DF"/>
    <w:rsid w:val="580F4AF6"/>
    <w:rsid w:val="5814F59F"/>
    <w:rsid w:val="58161A48"/>
    <w:rsid w:val="58176E71"/>
    <w:rsid w:val="581CF861"/>
    <w:rsid w:val="581E0945"/>
    <w:rsid w:val="581E4CB3"/>
    <w:rsid w:val="5820A59A"/>
    <w:rsid w:val="582214CA"/>
    <w:rsid w:val="58268622"/>
    <w:rsid w:val="58284014"/>
    <w:rsid w:val="582B2032"/>
    <w:rsid w:val="582CD9FB"/>
    <w:rsid w:val="58327AEB"/>
    <w:rsid w:val="583DF845"/>
    <w:rsid w:val="583F7BAE"/>
    <w:rsid w:val="58405D88"/>
    <w:rsid w:val="584116CA"/>
    <w:rsid w:val="58413A14"/>
    <w:rsid w:val="584717DD"/>
    <w:rsid w:val="58474890"/>
    <w:rsid w:val="584A4E1D"/>
    <w:rsid w:val="5852EEA9"/>
    <w:rsid w:val="5856A068"/>
    <w:rsid w:val="5857AFD8"/>
    <w:rsid w:val="585B6377"/>
    <w:rsid w:val="585F00E7"/>
    <w:rsid w:val="5861D745"/>
    <w:rsid w:val="5863E37F"/>
    <w:rsid w:val="58649B61"/>
    <w:rsid w:val="5866F10E"/>
    <w:rsid w:val="5869CA1B"/>
    <w:rsid w:val="586AAD22"/>
    <w:rsid w:val="586C271C"/>
    <w:rsid w:val="586C6C70"/>
    <w:rsid w:val="586F2234"/>
    <w:rsid w:val="58754FB2"/>
    <w:rsid w:val="5875DE3F"/>
    <w:rsid w:val="587BAAA2"/>
    <w:rsid w:val="58837A5B"/>
    <w:rsid w:val="588905C5"/>
    <w:rsid w:val="5889C9DB"/>
    <w:rsid w:val="588AEDCE"/>
    <w:rsid w:val="588CD706"/>
    <w:rsid w:val="5895EF28"/>
    <w:rsid w:val="5897CFC6"/>
    <w:rsid w:val="58A6863D"/>
    <w:rsid w:val="58A7FC01"/>
    <w:rsid w:val="58A8491F"/>
    <w:rsid w:val="58AA4728"/>
    <w:rsid w:val="58AA8934"/>
    <w:rsid w:val="58AACC4D"/>
    <w:rsid w:val="58AB7C6F"/>
    <w:rsid w:val="58B1EBD7"/>
    <w:rsid w:val="58B4634B"/>
    <w:rsid w:val="58BB46DB"/>
    <w:rsid w:val="58BBFD17"/>
    <w:rsid w:val="58C145A8"/>
    <w:rsid w:val="58C19749"/>
    <w:rsid w:val="58C5ED07"/>
    <w:rsid w:val="58C77672"/>
    <w:rsid w:val="58C9422A"/>
    <w:rsid w:val="58CE4464"/>
    <w:rsid w:val="58D16C3A"/>
    <w:rsid w:val="58D4F04F"/>
    <w:rsid w:val="58D4FF3F"/>
    <w:rsid w:val="58D69C04"/>
    <w:rsid w:val="58D8A78E"/>
    <w:rsid w:val="58DDDC2F"/>
    <w:rsid w:val="58E4871F"/>
    <w:rsid w:val="58E68D4D"/>
    <w:rsid w:val="58E6E8AA"/>
    <w:rsid w:val="58E95B52"/>
    <w:rsid w:val="58EF9468"/>
    <w:rsid w:val="58F0DB37"/>
    <w:rsid w:val="58F1825B"/>
    <w:rsid w:val="58F21C4C"/>
    <w:rsid w:val="58F36212"/>
    <w:rsid w:val="58F6F0A0"/>
    <w:rsid w:val="58F98537"/>
    <w:rsid w:val="58FC2B85"/>
    <w:rsid w:val="58FC9B42"/>
    <w:rsid w:val="590226F7"/>
    <w:rsid w:val="590380FF"/>
    <w:rsid w:val="59047031"/>
    <w:rsid w:val="5906FA49"/>
    <w:rsid w:val="590A61AE"/>
    <w:rsid w:val="590ADCBF"/>
    <w:rsid w:val="591A0913"/>
    <w:rsid w:val="591A2441"/>
    <w:rsid w:val="591D0546"/>
    <w:rsid w:val="591F95C2"/>
    <w:rsid w:val="592A8008"/>
    <w:rsid w:val="592FC88C"/>
    <w:rsid w:val="5939A1B5"/>
    <w:rsid w:val="5939A64A"/>
    <w:rsid w:val="59404982"/>
    <w:rsid w:val="59424D53"/>
    <w:rsid w:val="5945455F"/>
    <w:rsid w:val="59466150"/>
    <w:rsid w:val="5947C062"/>
    <w:rsid w:val="594EE089"/>
    <w:rsid w:val="5952B742"/>
    <w:rsid w:val="59546B98"/>
    <w:rsid w:val="595509AB"/>
    <w:rsid w:val="595B78B9"/>
    <w:rsid w:val="595DA1D5"/>
    <w:rsid w:val="596201BD"/>
    <w:rsid w:val="59624F60"/>
    <w:rsid w:val="5962FC48"/>
    <w:rsid w:val="59657A4D"/>
    <w:rsid w:val="59681819"/>
    <w:rsid w:val="596A27BA"/>
    <w:rsid w:val="59712660"/>
    <w:rsid w:val="59749F16"/>
    <w:rsid w:val="597B362E"/>
    <w:rsid w:val="597DC3C6"/>
    <w:rsid w:val="597DE45F"/>
    <w:rsid w:val="59872811"/>
    <w:rsid w:val="598A2CBF"/>
    <w:rsid w:val="5992122E"/>
    <w:rsid w:val="59953EE9"/>
    <w:rsid w:val="5996D2C9"/>
    <w:rsid w:val="5996F1FC"/>
    <w:rsid w:val="599944E8"/>
    <w:rsid w:val="599B6C57"/>
    <w:rsid w:val="599C1A4D"/>
    <w:rsid w:val="59A06B37"/>
    <w:rsid w:val="59A350CB"/>
    <w:rsid w:val="59A51EAE"/>
    <w:rsid w:val="59B26374"/>
    <w:rsid w:val="59B2F685"/>
    <w:rsid w:val="59B60C2F"/>
    <w:rsid w:val="59B6B319"/>
    <w:rsid w:val="59BD8C37"/>
    <w:rsid w:val="59BE487D"/>
    <w:rsid w:val="59BECC64"/>
    <w:rsid w:val="59C0F5EB"/>
    <w:rsid w:val="59C6DA93"/>
    <w:rsid w:val="59C93C62"/>
    <w:rsid w:val="59CE1D12"/>
    <w:rsid w:val="59CFA47C"/>
    <w:rsid w:val="59D10C71"/>
    <w:rsid w:val="59D37BCB"/>
    <w:rsid w:val="59DA947C"/>
    <w:rsid w:val="59DAD8A8"/>
    <w:rsid w:val="59DE1CA2"/>
    <w:rsid w:val="59E03608"/>
    <w:rsid w:val="59E33548"/>
    <w:rsid w:val="59EB8537"/>
    <w:rsid w:val="59F060BD"/>
    <w:rsid w:val="59F12B0B"/>
    <w:rsid w:val="59F2CAAA"/>
    <w:rsid w:val="5A02A0A0"/>
    <w:rsid w:val="5A0B46F1"/>
    <w:rsid w:val="5A0BB6E9"/>
    <w:rsid w:val="5A0BC9A1"/>
    <w:rsid w:val="5A0E3B80"/>
    <w:rsid w:val="5A0F2C88"/>
    <w:rsid w:val="5A10F648"/>
    <w:rsid w:val="5A122A0E"/>
    <w:rsid w:val="5A15ECDE"/>
    <w:rsid w:val="5A16CDB6"/>
    <w:rsid w:val="5A17B7B8"/>
    <w:rsid w:val="5A18AFD2"/>
    <w:rsid w:val="5A1A71F7"/>
    <w:rsid w:val="5A1C26ED"/>
    <w:rsid w:val="5A1C8B25"/>
    <w:rsid w:val="5A1CC2CC"/>
    <w:rsid w:val="5A1CD6D5"/>
    <w:rsid w:val="5A1D2F76"/>
    <w:rsid w:val="5A1ED9E6"/>
    <w:rsid w:val="5A255B25"/>
    <w:rsid w:val="5A270455"/>
    <w:rsid w:val="5A272B9C"/>
    <w:rsid w:val="5A2F25FA"/>
    <w:rsid w:val="5A3018BE"/>
    <w:rsid w:val="5A328D57"/>
    <w:rsid w:val="5A33AE4C"/>
    <w:rsid w:val="5A33C9DB"/>
    <w:rsid w:val="5A3515C4"/>
    <w:rsid w:val="5A35DA99"/>
    <w:rsid w:val="5A376F6C"/>
    <w:rsid w:val="5A38BDB8"/>
    <w:rsid w:val="5A3EAA71"/>
    <w:rsid w:val="5A414CCE"/>
    <w:rsid w:val="5A480401"/>
    <w:rsid w:val="5A48FF79"/>
    <w:rsid w:val="5A496C0C"/>
    <w:rsid w:val="5A4A181C"/>
    <w:rsid w:val="5A4DA4B2"/>
    <w:rsid w:val="5A4F01FD"/>
    <w:rsid w:val="5A548B09"/>
    <w:rsid w:val="5A62B6BB"/>
    <w:rsid w:val="5A65D6C9"/>
    <w:rsid w:val="5A65EF6F"/>
    <w:rsid w:val="5A6AD369"/>
    <w:rsid w:val="5A703566"/>
    <w:rsid w:val="5A71347C"/>
    <w:rsid w:val="5A7C032E"/>
    <w:rsid w:val="5A7FA426"/>
    <w:rsid w:val="5A8663D2"/>
    <w:rsid w:val="5A8990A9"/>
    <w:rsid w:val="5A8C98F6"/>
    <w:rsid w:val="5A8CD3D8"/>
    <w:rsid w:val="5A8DCC7E"/>
    <w:rsid w:val="5A8F00BC"/>
    <w:rsid w:val="5A916820"/>
    <w:rsid w:val="5A9254BE"/>
    <w:rsid w:val="5A949340"/>
    <w:rsid w:val="5A95FC6B"/>
    <w:rsid w:val="5A98882F"/>
    <w:rsid w:val="5A9DCF2E"/>
    <w:rsid w:val="5AA76B7D"/>
    <w:rsid w:val="5AA999E0"/>
    <w:rsid w:val="5AB29B5A"/>
    <w:rsid w:val="5AB44541"/>
    <w:rsid w:val="5ABE88D6"/>
    <w:rsid w:val="5ABED88D"/>
    <w:rsid w:val="5ACA4796"/>
    <w:rsid w:val="5AD17D08"/>
    <w:rsid w:val="5AD2D5F4"/>
    <w:rsid w:val="5ADE60D3"/>
    <w:rsid w:val="5ADF2FD9"/>
    <w:rsid w:val="5AE3A49B"/>
    <w:rsid w:val="5AE5E28B"/>
    <w:rsid w:val="5AE6375B"/>
    <w:rsid w:val="5AE6927E"/>
    <w:rsid w:val="5AE740AF"/>
    <w:rsid w:val="5AED807E"/>
    <w:rsid w:val="5AEF3388"/>
    <w:rsid w:val="5AEF6F11"/>
    <w:rsid w:val="5AF24A62"/>
    <w:rsid w:val="5AF3CD81"/>
    <w:rsid w:val="5AFEF532"/>
    <w:rsid w:val="5B00AB8A"/>
    <w:rsid w:val="5B018C23"/>
    <w:rsid w:val="5B0735E4"/>
    <w:rsid w:val="5B07D46E"/>
    <w:rsid w:val="5B0AD44B"/>
    <w:rsid w:val="5B0BBAD6"/>
    <w:rsid w:val="5B0EE3CF"/>
    <w:rsid w:val="5B11E8CF"/>
    <w:rsid w:val="5B180BC1"/>
    <w:rsid w:val="5B194DE3"/>
    <w:rsid w:val="5B19914E"/>
    <w:rsid w:val="5B19ECA4"/>
    <w:rsid w:val="5B1A8B7B"/>
    <w:rsid w:val="5B1C9A4C"/>
    <w:rsid w:val="5B1CFC12"/>
    <w:rsid w:val="5B1ED7D0"/>
    <w:rsid w:val="5B220899"/>
    <w:rsid w:val="5B2358E2"/>
    <w:rsid w:val="5B24B56E"/>
    <w:rsid w:val="5B24EBAD"/>
    <w:rsid w:val="5B251DFB"/>
    <w:rsid w:val="5B2545BC"/>
    <w:rsid w:val="5B264514"/>
    <w:rsid w:val="5B28ED8C"/>
    <w:rsid w:val="5B2B1DAC"/>
    <w:rsid w:val="5B2B30FF"/>
    <w:rsid w:val="5B2B3A79"/>
    <w:rsid w:val="5B2C403F"/>
    <w:rsid w:val="5B2CA72E"/>
    <w:rsid w:val="5B2E44DA"/>
    <w:rsid w:val="5B34D866"/>
    <w:rsid w:val="5B35F607"/>
    <w:rsid w:val="5B3729E7"/>
    <w:rsid w:val="5B37554D"/>
    <w:rsid w:val="5B38C7C3"/>
    <w:rsid w:val="5B404515"/>
    <w:rsid w:val="5B42C4E8"/>
    <w:rsid w:val="5B4A1DCC"/>
    <w:rsid w:val="5B4AC91C"/>
    <w:rsid w:val="5B4D8660"/>
    <w:rsid w:val="5B528A69"/>
    <w:rsid w:val="5B53A9B3"/>
    <w:rsid w:val="5B543D3E"/>
    <w:rsid w:val="5B5B861C"/>
    <w:rsid w:val="5B5C6695"/>
    <w:rsid w:val="5B5DD4B8"/>
    <w:rsid w:val="5B6084C4"/>
    <w:rsid w:val="5B655643"/>
    <w:rsid w:val="5B67EC63"/>
    <w:rsid w:val="5B69454D"/>
    <w:rsid w:val="5B6CB3BA"/>
    <w:rsid w:val="5B708855"/>
    <w:rsid w:val="5B7196AA"/>
    <w:rsid w:val="5B737399"/>
    <w:rsid w:val="5B768424"/>
    <w:rsid w:val="5B7CB56B"/>
    <w:rsid w:val="5B816BE2"/>
    <w:rsid w:val="5B817211"/>
    <w:rsid w:val="5B832100"/>
    <w:rsid w:val="5B86722D"/>
    <w:rsid w:val="5B8740F9"/>
    <w:rsid w:val="5B8973AF"/>
    <w:rsid w:val="5B90AF48"/>
    <w:rsid w:val="5B95476F"/>
    <w:rsid w:val="5B97B42E"/>
    <w:rsid w:val="5B97E8DA"/>
    <w:rsid w:val="5B994D5D"/>
    <w:rsid w:val="5B9C72D4"/>
    <w:rsid w:val="5B9E2BA8"/>
    <w:rsid w:val="5B9EE16F"/>
    <w:rsid w:val="5BA59B5F"/>
    <w:rsid w:val="5BAE4A87"/>
    <w:rsid w:val="5BAEFD70"/>
    <w:rsid w:val="5BB4B47E"/>
    <w:rsid w:val="5BB7BAB7"/>
    <w:rsid w:val="5BB8BBC8"/>
    <w:rsid w:val="5BC4B77B"/>
    <w:rsid w:val="5BCA12AA"/>
    <w:rsid w:val="5BCE6A02"/>
    <w:rsid w:val="5BD00BD9"/>
    <w:rsid w:val="5BD16FD8"/>
    <w:rsid w:val="5BD5F6B2"/>
    <w:rsid w:val="5BD785DD"/>
    <w:rsid w:val="5BD9CBF8"/>
    <w:rsid w:val="5BDCA888"/>
    <w:rsid w:val="5BDFF7FC"/>
    <w:rsid w:val="5BE58575"/>
    <w:rsid w:val="5BE68422"/>
    <w:rsid w:val="5BF1651D"/>
    <w:rsid w:val="5BF3DDD7"/>
    <w:rsid w:val="5BF46740"/>
    <w:rsid w:val="5BF8EA0B"/>
    <w:rsid w:val="5BF95ACD"/>
    <w:rsid w:val="5BFAC424"/>
    <w:rsid w:val="5BFD6631"/>
    <w:rsid w:val="5C027D64"/>
    <w:rsid w:val="5C050DD4"/>
    <w:rsid w:val="5C07CBC8"/>
    <w:rsid w:val="5C07FCF8"/>
    <w:rsid w:val="5C0E477A"/>
    <w:rsid w:val="5C11D99C"/>
    <w:rsid w:val="5C123CF5"/>
    <w:rsid w:val="5C144FA0"/>
    <w:rsid w:val="5C185654"/>
    <w:rsid w:val="5C220A70"/>
    <w:rsid w:val="5C2CDCB6"/>
    <w:rsid w:val="5C2F1D26"/>
    <w:rsid w:val="5C321FBE"/>
    <w:rsid w:val="5C32BDFE"/>
    <w:rsid w:val="5C3433CF"/>
    <w:rsid w:val="5C378F8D"/>
    <w:rsid w:val="5C38AB79"/>
    <w:rsid w:val="5C394099"/>
    <w:rsid w:val="5C3B2371"/>
    <w:rsid w:val="5C3F78E7"/>
    <w:rsid w:val="5C44DFC9"/>
    <w:rsid w:val="5C45174A"/>
    <w:rsid w:val="5C4726B6"/>
    <w:rsid w:val="5C48F2C4"/>
    <w:rsid w:val="5C4B0266"/>
    <w:rsid w:val="5C4DCCDF"/>
    <w:rsid w:val="5C4E1AEB"/>
    <w:rsid w:val="5C4E596B"/>
    <w:rsid w:val="5C4F680A"/>
    <w:rsid w:val="5C51CA84"/>
    <w:rsid w:val="5C51D9F5"/>
    <w:rsid w:val="5C526A19"/>
    <w:rsid w:val="5C52CFD9"/>
    <w:rsid w:val="5C530468"/>
    <w:rsid w:val="5C5320EB"/>
    <w:rsid w:val="5C53495F"/>
    <w:rsid w:val="5C57E8EA"/>
    <w:rsid w:val="5C5A1906"/>
    <w:rsid w:val="5C5AB636"/>
    <w:rsid w:val="5C5E0BDB"/>
    <w:rsid w:val="5C6212C8"/>
    <w:rsid w:val="5C634629"/>
    <w:rsid w:val="5C635B71"/>
    <w:rsid w:val="5C652C75"/>
    <w:rsid w:val="5C65B319"/>
    <w:rsid w:val="5C683982"/>
    <w:rsid w:val="5C7672BC"/>
    <w:rsid w:val="5C78CFF9"/>
    <w:rsid w:val="5C8B9873"/>
    <w:rsid w:val="5C8CBA41"/>
    <w:rsid w:val="5C8CEB1A"/>
    <w:rsid w:val="5C8F94D8"/>
    <w:rsid w:val="5C9097AC"/>
    <w:rsid w:val="5C92D633"/>
    <w:rsid w:val="5C978166"/>
    <w:rsid w:val="5C988076"/>
    <w:rsid w:val="5C9D2F45"/>
    <w:rsid w:val="5C9D4B91"/>
    <w:rsid w:val="5CA04BB8"/>
    <w:rsid w:val="5CA0D96D"/>
    <w:rsid w:val="5CA32477"/>
    <w:rsid w:val="5CA54015"/>
    <w:rsid w:val="5CA682CE"/>
    <w:rsid w:val="5CA85628"/>
    <w:rsid w:val="5CA8669D"/>
    <w:rsid w:val="5CAA3FCE"/>
    <w:rsid w:val="5CAA5BD5"/>
    <w:rsid w:val="5CAA912E"/>
    <w:rsid w:val="5CAABCFF"/>
    <w:rsid w:val="5CAD753E"/>
    <w:rsid w:val="5CAE2690"/>
    <w:rsid w:val="5CAE4F8B"/>
    <w:rsid w:val="5CB03261"/>
    <w:rsid w:val="5CC0A928"/>
    <w:rsid w:val="5CC0FB03"/>
    <w:rsid w:val="5CC119B4"/>
    <w:rsid w:val="5CC8B81D"/>
    <w:rsid w:val="5CCBB161"/>
    <w:rsid w:val="5CCE5977"/>
    <w:rsid w:val="5CCE9236"/>
    <w:rsid w:val="5CCF48A8"/>
    <w:rsid w:val="5CCFE5C5"/>
    <w:rsid w:val="5CD2822B"/>
    <w:rsid w:val="5CD287F9"/>
    <w:rsid w:val="5CD31186"/>
    <w:rsid w:val="5CD965C5"/>
    <w:rsid w:val="5CE10763"/>
    <w:rsid w:val="5CE65564"/>
    <w:rsid w:val="5CE6EA1E"/>
    <w:rsid w:val="5CE9AD08"/>
    <w:rsid w:val="5CEA3F14"/>
    <w:rsid w:val="5CEE9CCE"/>
    <w:rsid w:val="5CF070A0"/>
    <w:rsid w:val="5CF12EA6"/>
    <w:rsid w:val="5CF2C80B"/>
    <w:rsid w:val="5CF4629D"/>
    <w:rsid w:val="5CF5C268"/>
    <w:rsid w:val="5CF66C36"/>
    <w:rsid w:val="5CF98FB2"/>
    <w:rsid w:val="5CFCDEB6"/>
    <w:rsid w:val="5D03F86A"/>
    <w:rsid w:val="5D0AFC08"/>
    <w:rsid w:val="5D0D30A9"/>
    <w:rsid w:val="5D0EFE62"/>
    <w:rsid w:val="5D0F61C0"/>
    <w:rsid w:val="5D0FBBDC"/>
    <w:rsid w:val="5D10D0A1"/>
    <w:rsid w:val="5D12F002"/>
    <w:rsid w:val="5D13A64D"/>
    <w:rsid w:val="5D163BBA"/>
    <w:rsid w:val="5D166213"/>
    <w:rsid w:val="5D1B3BCA"/>
    <w:rsid w:val="5D1CE540"/>
    <w:rsid w:val="5D1F39CA"/>
    <w:rsid w:val="5D218771"/>
    <w:rsid w:val="5D255105"/>
    <w:rsid w:val="5D27905B"/>
    <w:rsid w:val="5D2B679F"/>
    <w:rsid w:val="5D2D726E"/>
    <w:rsid w:val="5D2F61B4"/>
    <w:rsid w:val="5D31A31C"/>
    <w:rsid w:val="5D327237"/>
    <w:rsid w:val="5D345880"/>
    <w:rsid w:val="5D34C672"/>
    <w:rsid w:val="5D357DEA"/>
    <w:rsid w:val="5D365592"/>
    <w:rsid w:val="5D3A71C3"/>
    <w:rsid w:val="5D3CFE54"/>
    <w:rsid w:val="5D413000"/>
    <w:rsid w:val="5D41AF48"/>
    <w:rsid w:val="5D439D54"/>
    <w:rsid w:val="5D43F9D8"/>
    <w:rsid w:val="5D44EDC7"/>
    <w:rsid w:val="5D45F940"/>
    <w:rsid w:val="5D49E9DE"/>
    <w:rsid w:val="5D4E2F18"/>
    <w:rsid w:val="5D4F24AB"/>
    <w:rsid w:val="5D50E9BD"/>
    <w:rsid w:val="5D55D5E7"/>
    <w:rsid w:val="5D571400"/>
    <w:rsid w:val="5D57B279"/>
    <w:rsid w:val="5D580E20"/>
    <w:rsid w:val="5D5D7910"/>
    <w:rsid w:val="5D60FA48"/>
    <w:rsid w:val="5D647446"/>
    <w:rsid w:val="5D6BED39"/>
    <w:rsid w:val="5D70ACB3"/>
    <w:rsid w:val="5D72C74C"/>
    <w:rsid w:val="5D76E32D"/>
    <w:rsid w:val="5D781A1E"/>
    <w:rsid w:val="5D796E80"/>
    <w:rsid w:val="5D7D1B68"/>
    <w:rsid w:val="5D7F08C2"/>
    <w:rsid w:val="5D82884C"/>
    <w:rsid w:val="5D87090A"/>
    <w:rsid w:val="5D8BC116"/>
    <w:rsid w:val="5D919FCF"/>
    <w:rsid w:val="5D91BBF8"/>
    <w:rsid w:val="5D93D3D3"/>
    <w:rsid w:val="5D93DAF6"/>
    <w:rsid w:val="5D93DC6C"/>
    <w:rsid w:val="5D9659AB"/>
    <w:rsid w:val="5D9ACA9C"/>
    <w:rsid w:val="5D9ADF29"/>
    <w:rsid w:val="5D9CBC38"/>
    <w:rsid w:val="5D9DCFC5"/>
    <w:rsid w:val="5D9E26E2"/>
    <w:rsid w:val="5DA17FC7"/>
    <w:rsid w:val="5DA304BA"/>
    <w:rsid w:val="5DA382A0"/>
    <w:rsid w:val="5DAD50D3"/>
    <w:rsid w:val="5DAF20C5"/>
    <w:rsid w:val="5DAFA039"/>
    <w:rsid w:val="5DB5FE75"/>
    <w:rsid w:val="5DBC026C"/>
    <w:rsid w:val="5DBCA7F9"/>
    <w:rsid w:val="5DBEE23B"/>
    <w:rsid w:val="5DD3E86E"/>
    <w:rsid w:val="5DD40CEF"/>
    <w:rsid w:val="5DD5E65F"/>
    <w:rsid w:val="5DDB2E57"/>
    <w:rsid w:val="5DDC488F"/>
    <w:rsid w:val="5DDD54DC"/>
    <w:rsid w:val="5DDD76D2"/>
    <w:rsid w:val="5DDE63F7"/>
    <w:rsid w:val="5DE3D906"/>
    <w:rsid w:val="5DE6C4A5"/>
    <w:rsid w:val="5DE9F295"/>
    <w:rsid w:val="5DEA9183"/>
    <w:rsid w:val="5DEC9942"/>
    <w:rsid w:val="5DEF33E4"/>
    <w:rsid w:val="5DF264FE"/>
    <w:rsid w:val="5DF5E8C7"/>
    <w:rsid w:val="5DF9A7F6"/>
    <w:rsid w:val="5E020691"/>
    <w:rsid w:val="5E02314E"/>
    <w:rsid w:val="5E042232"/>
    <w:rsid w:val="5E06FE27"/>
    <w:rsid w:val="5E079655"/>
    <w:rsid w:val="5E09C5F5"/>
    <w:rsid w:val="5E0F137B"/>
    <w:rsid w:val="5E13A3E6"/>
    <w:rsid w:val="5E18D92B"/>
    <w:rsid w:val="5E193136"/>
    <w:rsid w:val="5E1AC63A"/>
    <w:rsid w:val="5E1DAA4C"/>
    <w:rsid w:val="5E1F55FE"/>
    <w:rsid w:val="5E22CD69"/>
    <w:rsid w:val="5E2DD32E"/>
    <w:rsid w:val="5E39D945"/>
    <w:rsid w:val="5E3B1EC9"/>
    <w:rsid w:val="5E411076"/>
    <w:rsid w:val="5E425AFD"/>
    <w:rsid w:val="5E438633"/>
    <w:rsid w:val="5E45F862"/>
    <w:rsid w:val="5E488C6A"/>
    <w:rsid w:val="5E49313A"/>
    <w:rsid w:val="5E4A326F"/>
    <w:rsid w:val="5E4A37AE"/>
    <w:rsid w:val="5E4C946C"/>
    <w:rsid w:val="5E4D0027"/>
    <w:rsid w:val="5E54B64B"/>
    <w:rsid w:val="5E54C989"/>
    <w:rsid w:val="5E5A5FCF"/>
    <w:rsid w:val="5E5AC0C3"/>
    <w:rsid w:val="5E5DFFC8"/>
    <w:rsid w:val="5E5F4249"/>
    <w:rsid w:val="5E5FC9C4"/>
    <w:rsid w:val="5E60CA34"/>
    <w:rsid w:val="5E64C7CD"/>
    <w:rsid w:val="5E6AA21D"/>
    <w:rsid w:val="5E6AE2E6"/>
    <w:rsid w:val="5E6B4AE8"/>
    <w:rsid w:val="5E6BC5C9"/>
    <w:rsid w:val="5E6ECD53"/>
    <w:rsid w:val="5E71F462"/>
    <w:rsid w:val="5E727F7D"/>
    <w:rsid w:val="5E72EA65"/>
    <w:rsid w:val="5E7964D6"/>
    <w:rsid w:val="5E7C8250"/>
    <w:rsid w:val="5E7E9808"/>
    <w:rsid w:val="5E7F07A5"/>
    <w:rsid w:val="5E8263AD"/>
    <w:rsid w:val="5E8B4DED"/>
    <w:rsid w:val="5E8D03AC"/>
    <w:rsid w:val="5E8D0EBD"/>
    <w:rsid w:val="5E8DAD6E"/>
    <w:rsid w:val="5E8DF2E6"/>
    <w:rsid w:val="5E967839"/>
    <w:rsid w:val="5E9AE509"/>
    <w:rsid w:val="5E9B7265"/>
    <w:rsid w:val="5E9F8D8D"/>
    <w:rsid w:val="5EA2EED5"/>
    <w:rsid w:val="5EA39210"/>
    <w:rsid w:val="5EA83869"/>
    <w:rsid w:val="5EA8E41A"/>
    <w:rsid w:val="5EA901B7"/>
    <w:rsid w:val="5EA9255E"/>
    <w:rsid w:val="5EAAC530"/>
    <w:rsid w:val="5EAB8D8C"/>
    <w:rsid w:val="5EAC198E"/>
    <w:rsid w:val="5EAFB09D"/>
    <w:rsid w:val="5EB336BA"/>
    <w:rsid w:val="5EB38C69"/>
    <w:rsid w:val="5EB5D32B"/>
    <w:rsid w:val="5EC0D8A8"/>
    <w:rsid w:val="5EC2A2F5"/>
    <w:rsid w:val="5EC74A28"/>
    <w:rsid w:val="5ECB2618"/>
    <w:rsid w:val="5ECFDA84"/>
    <w:rsid w:val="5ED203F7"/>
    <w:rsid w:val="5ED2469E"/>
    <w:rsid w:val="5ED44F0F"/>
    <w:rsid w:val="5EDADF43"/>
    <w:rsid w:val="5EDBD75A"/>
    <w:rsid w:val="5EDD2BB2"/>
    <w:rsid w:val="5EDE7FFE"/>
    <w:rsid w:val="5EDF0FF7"/>
    <w:rsid w:val="5EE071FF"/>
    <w:rsid w:val="5EEA021C"/>
    <w:rsid w:val="5EEA5D64"/>
    <w:rsid w:val="5EEF4732"/>
    <w:rsid w:val="5EF10B6A"/>
    <w:rsid w:val="5EF11B39"/>
    <w:rsid w:val="5EF19CD2"/>
    <w:rsid w:val="5EF5DE41"/>
    <w:rsid w:val="5EF60ADC"/>
    <w:rsid w:val="5EF89A4F"/>
    <w:rsid w:val="5EFA173E"/>
    <w:rsid w:val="5EFA4E05"/>
    <w:rsid w:val="5F0ABCCB"/>
    <w:rsid w:val="5F0E0FB2"/>
    <w:rsid w:val="5F108DEA"/>
    <w:rsid w:val="5F128348"/>
    <w:rsid w:val="5F183F8B"/>
    <w:rsid w:val="5F18F0CD"/>
    <w:rsid w:val="5F21C1F4"/>
    <w:rsid w:val="5F228887"/>
    <w:rsid w:val="5F228C83"/>
    <w:rsid w:val="5F27FFFE"/>
    <w:rsid w:val="5F2A9306"/>
    <w:rsid w:val="5F2BFAC6"/>
    <w:rsid w:val="5F2CAD0F"/>
    <w:rsid w:val="5F2E482E"/>
    <w:rsid w:val="5F307CE2"/>
    <w:rsid w:val="5F30A4A1"/>
    <w:rsid w:val="5F3555C9"/>
    <w:rsid w:val="5F3B6652"/>
    <w:rsid w:val="5F3F49DB"/>
    <w:rsid w:val="5F45D472"/>
    <w:rsid w:val="5F471C78"/>
    <w:rsid w:val="5F4778E7"/>
    <w:rsid w:val="5F48C173"/>
    <w:rsid w:val="5F493B4B"/>
    <w:rsid w:val="5F498D5E"/>
    <w:rsid w:val="5F49C131"/>
    <w:rsid w:val="5F4B622F"/>
    <w:rsid w:val="5F4CA95F"/>
    <w:rsid w:val="5F50184B"/>
    <w:rsid w:val="5F597540"/>
    <w:rsid w:val="5F609317"/>
    <w:rsid w:val="5F61E14E"/>
    <w:rsid w:val="5F64DC1C"/>
    <w:rsid w:val="5F6AF05F"/>
    <w:rsid w:val="5F6CAE73"/>
    <w:rsid w:val="5F6D1A19"/>
    <w:rsid w:val="5F6EEE2A"/>
    <w:rsid w:val="5F7281D6"/>
    <w:rsid w:val="5F763944"/>
    <w:rsid w:val="5F775E71"/>
    <w:rsid w:val="5F7CA264"/>
    <w:rsid w:val="5F7EF0AF"/>
    <w:rsid w:val="5F831DD5"/>
    <w:rsid w:val="5F86C013"/>
    <w:rsid w:val="5F88024D"/>
    <w:rsid w:val="5F8858DE"/>
    <w:rsid w:val="5F890D8F"/>
    <w:rsid w:val="5F8923C3"/>
    <w:rsid w:val="5F8D6D11"/>
    <w:rsid w:val="5F8F2EB7"/>
    <w:rsid w:val="5F8FFD5D"/>
    <w:rsid w:val="5F90BEFE"/>
    <w:rsid w:val="5F95E91C"/>
    <w:rsid w:val="5F982F22"/>
    <w:rsid w:val="5FA55496"/>
    <w:rsid w:val="5FAA5D93"/>
    <w:rsid w:val="5FABA6B6"/>
    <w:rsid w:val="5FABF140"/>
    <w:rsid w:val="5FAD9E01"/>
    <w:rsid w:val="5FAE4435"/>
    <w:rsid w:val="5FAF010E"/>
    <w:rsid w:val="5FB13954"/>
    <w:rsid w:val="5FB2210F"/>
    <w:rsid w:val="5FB2411D"/>
    <w:rsid w:val="5FB28AF5"/>
    <w:rsid w:val="5FB5F7E5"/>
    <w:rsid w:val="5FB7D8FF"/>
    <w:rsid w:val="5FB7DA38"/>
    <w:rsid w:val="5FBC88D6"/>
    <w:rsid w:val="5FBE160A"/>
    <w:rsid w:val="5FC0079B"/>
    <w:rsid w:val="5FC2CBC6"/>
    <w:rsid w:val="5FC8BF3A"/>
    <w:rsid w:val="5FCBEC2D"/>
    <w:rsid w:val="5FCCD3E3"/>
    <w:rsid w:val="5FD61D6C"/>
    <w:rsid w:val="5FDE202D"/>
    <w:rsid w:val="5FDF5CDC"/>
    <w:rsid w:val="5FDF61D8"/>
    <w:rsid w:val="5FEB47FE"/>
    <w:rsid w:val="5FEE8657"/>
    <w:rsid w:val="5FF335C9"/>
    <w:rsid w:val="5FF8A079"/>
    <w:rsid w:val="5FFB182A"/>
    <w:rsid w:val="5FFCE57A"/>
    <w:rsid w:val="60020130"/>
    <w:rsid w:val="60020D64"/>
    <w:rsid w:val="60060FE9"/>
    <w:rsid w:val="6006BDB9"/>
    <w:rsid w:val="6008ECC2"/>
    <w:rsid w:val="600A216F"/>
    <w:rsid w:val="600A5FFA"/>
    <w:rsid w:val="600AEB9C"/>
    <w:rsid w:val="600F7826"/>
    <w:rsid w:val="60108BC3"/>
    <w:rsid w:val="60134F5A"/>
    <w:rsid w:val="6014B121"/>
    <w:rsid w:val="6016B7B4"/>
    <w:rsid w:val="60180FB7"/>
    <w:rsid w:val="601A654D"/>
    <w:rsid w:val="601D5F47"/>
    <w:rsid w:val="601DCABA"/>
    <w:rsid w:val="601E7A38"/>
    <w:rsid w:val="601EB64D"/>
    <w:rsid w:val="60299191"/>
    <w:rsid w:val="602D584D"/>
    <w:rsid w:val="602D9E91"/>
    <w:rsid w:val="602DB1EA"/>
    <w:rsid w:val="602EBDFC"/>
    <w:rsid w:val="603C6DC4"/>
    <w:rsid w:val="603D00F9"/>
    <w:rsid w:val="603F208C"/>
    <w:rsid w:val="60441521"/>
    <w:rsid w:val="60465721"/>
    <w:rsid w:val="604A765C"/>
    <w:rsid w:val="604AD2A8"/>
    <w:rsid w:val="604C3F9E"/>
    <w:rsid w:val="605082CE"/>
    <w:rsid w:val="60514216"/>
    <w:rsid w:val="6051C661"/>
    <w:rsid w:val="6052297E"/>
    <w:rsid w:val="60526131"/>
    <w:rsid w:val="60538EE3"/>
    <w:rsid w:val="60549389"/>
    <w:rsid w:val="6055C376"/>
    <w:rsid w:val="606025F5"/>
    <w:rsid w:val="606231E2"/>
    <w:rsid w:val="60681940"/>
    <w:rsid w:val="60682A9B"/>
    <w:rsid w:val="60686C76"/>
    <w:rsid w:val="60690C66"/>
    <w:rsid w:val="606D865B"/>
    <w:rsid w:val="606E596F"/>
    <w:rsid w:val="606FCCC2"/>
    <w:rsid w:val="60711669"/>
    <w:rsid w:val="60730E62"/>
    <w:rsid w:val="60768658"/>
    <w:rsid w:val="60792D5F"/>
    <w:rsid w:val="607953D2"/>
    <w:rsid w:val="60811D67"/>
    <w:rsid w:val="608387D8"/>
    <w:rsid w:val="6085BB92"/>
    <w:rsid w:val="608623C8"/>
    <w:rsid w:val="60878088"/>
    <w:rsid w:val="608DAA38"/>
    <w:rsid w:val="608F9862"/>
    <w:rsid w:val="6093D067"/>
    <w:rsid w:val="609703B2"/>
    <w:rsid w:val="6098FBBD"/>
    <w:rsid w:val="609BEDE7"/>
    <w:rsid w:val="609CCF14"/>
    <w:rsid w:val="60A290B5"/>
    <w:rsid w:val="60A49EDF"/>
    <w:rsid w:val="60A7379D"/>
    <w:rsid w:val="60A9927F"/>
    <w:rsid w:val="60B1745A"/>
    <w:rsid w:val="60B6E88A"/>
    <w:rsid w:val="60B9339C"/>
    <w:rsid w:val="60BE40BB"/>
    <w:rsid w:val="60C8EEBE"/>
    <w:rsid w:val="60CA3075"/>
    <w:rsid w:val="60CB7ABE"/>
    <w:rsid w:val="60CD6AD1"/>
    <w:rsid w:val="60CDB6A8"/>
    <w:rsid w:val="60D19DE8"/>
    <w:rsid w:val="60D29C05"/>
    <w:rsid w:val="60D479F9"/>
    <w:rsid w:val="60D4E3F4"/>
    <w:rsid w:val="60D95B7A"/>
    <w:rsid w:val="60DE384F"/>
    <w:rsid w:val="60EBEE1B"/>
    <w:rsid w:val="60EE8D91"/>
    <w:rsid w:val="60F02E3A"/>
    <w:rsid w:val="60F59D17"/>
    <w:rsid w:val="60F6E72B"/>
    <w:rsid w:val="60F78D07"/>
    <w:rsid w:val="60F931F2"/>
    <w:rsid w:val="60FB3B75"/>
    <w:rsid w:val="60FBAB13"/>
    <w:rsid w:val="610053B3"/>
    <w:rsid w:val="6103B45D"/>
    <w:rsid w:val="6103BFF1"/>
    <w:rsid w:val="61087B2E"/>
    <w:rsid w:val="6108E14D"/>
    <w:rsid w:val="6109BBF1"/>
    <w:rsid w:val="611181C5"/>
    <w:rsid w:val="6112009B"/>
    <w:rsid w:val="61127033"/>
    <w:rsid w:val="61150F7D"/>
    <w:rsid w:val="6115E96D"/>
    <w:rsid w:val="61195EAC"/>
    <w:rsid w:val="6119F6D8"/>
    <w:rsid w:val="611A2815"/>
    <w:rsid w:val="611BDD00"/>
    <w:rsid w:val="611E8023"/>
    <w:rsid w:val="6120209C"/>
    <w:rsid w:val="6121F0D3"/>
    <w:rsid w:val="612259F6"/>
    <w:rsid w:val="61283027"/>
    <w:rsid w:val="612CE23D"/>
    <w:rsid w:val="612E0EDF"/>
    <w:rsid w:val="612F41D6"/>
    <w:rsid w:val="612FE66F"/>
    <w:rsid w:val="612FE8B8"/>
    <w:rsid w:val="61312EA8"/>
    <w:rsid w:val="613E911A"/>
    <w:rsid w:val="6140D9F6"/>
    <w:rsid w:val="61426902"/>
    <w:rsid w:val="6143D495"/>
    <w:rsid w:val="6143D5B6"/>
    <w:rsid w:val="6144182F"/>
    <w:rsid w:val="6147F4FD"/>
    <w:rsid w:val="614DA6FE"/>
    <w:rsid w:val="614DDCD7"/>
    <w:rsid w:val="614E1BF0"/>
    <w:rsid w:val="614F2B00"/>
    <w:rsid w:val="615017C3"/>
    <w:rsid w:val="615023C1"/>
    <w:rsid w:val="61507374"/>
    <w:rsid w:val="6151FBAD"/>
    <w:rsid w:val="6155AA8F"/>
    <w:rsid w:val="615816E9"/>
    <w:rsid w:val="615B4A37"/>
    <w:rsid w:val="615D1F45"/>
    <w:rsid w:val="615E5543"/>
    <w:rsid w:val="615F2A42"/>
    <w:rsid w:val="615F773B"/>
    <w:rsid w:val="61690EB7"/>
    <w:rsid w:val="6169259D"/>
    <w:rsid w:val="617556BB"/>
    <w:rsid w:val="61769829"/>
    <w:rsid w:val="617E200B"/>
    <w:rsid w:val="61858364"/>
    <w:rsid w:val="61868B9E"/>
    <w:rsid w:val="61870328"/>
    <w:rsid w:val="6188975C"/>
    <w:rsid w:val="618B8A0B"/>
    <w:rsid w:val="618C0F6F"/>
    <w:rsid w:val="618C63E9"/>
    <w:rsid w:val="618E4BB6"/>
    <w:rsid w:val="61902D50"/>
    <w:rsid w:val="6191F2D6"/>
    <w:rsid w:val="619457CF"/>
    <w:rsid w:val="61AAC145"/>
    <w:rsid w:val="61AE7176"/>
    <w:rsid w:val="61AFCC4C"/>
    <w:rsid w:val="61B38B28"/>
    <w:rsid w:val="61B4AF74"/>
    <w:rsid w:val="61B7719C"/>
    <w:rsid w:val="61BD7F11"/>
    <w:rsid w:val="61BE861C"/>
    <w:rsid w:val="61C89929"/>
    <w:rsid w:val="61C94B2F"/>
    <w:rsid w:val="61CBF645"/>
    <w:rsid w:val="61D275EE"/>
    <w:rsid w:val="61D44A44"/>
    <w:rsid w:val="61D490B8"/>
    <w:rsid w:val="61D7186C"/>
    <w:rsid w:val="61DCC9E4"/>
    <w:rsid w:val="61DD1C2E"/>
    <w:rsid w:val="61E0CDD9"/>
    <w:rsid w:val="61E66AA7"/>
    <w:rsid w:val="61E784C5"/>
    <w:rsid w:val="61E86741"/>
    <w:rsid w:val="61EB1F85"/>
    <w:rsid w:val="61EC9988"/>
    <w:rsid w:val="61EECA30"/>
    <w:rsid w:val="61F1D51B"/>
    <w:rsid w:val="61F24038"/>
    <w:rsid w:val="61F7B41A"/>
    <w:rsid w:val="61FED92C"/>
    <w:rsid w:val="620245ED"/>
    <w:rsid w:val="62045D2B"/>
    <w:rsid w:val="620BBF34"/>
    <w:rsid w:val="620F7A0E"/>
    <w:rsid w:val="62107266"/>
    <w:rsid w:val="62115B62"/>
    <w:rsid w:val="6212A508"/>
    <w:rsid w:val="62176FB5"/>
    <w:rsid w:val="621E0D09"/>
    <w:rsid w:val="6220AB14"/>
    <w:rsid w:val="622328D0"/>
    <w:rsid w:val="6224BC77"/>
    <w:rsid w:val="622CB6EF"/>
    <w:rsid w:val="6232041F"/>
    <w:rsid w:val="62334AB8"/>
    <w:rsid w:val="623C1E6C"/>
    <w:rsid w:val="623E0137"/>
    <w:rsid w:val="623E6884"/>
    <w:rsid w:val="623E7E0D"/>
    <w:rsid w:val="62404F4A"/>
    <w:rsid w:val="62414F94"/>
    <w:rsid w:val="62449ADC"/>
    <w:rsid w:val="62477603"/>
    <w:rsid w:val="624B5104"/>
    <w:rsid w:val="62511191"/>
    <w:rsid w:val="625124BF"/>
    <w:rsid w:val="6252E096"/>
    <w:rsid w:val="62548BC0"/>
    <w:rsid w:val="6254DBC1"/>
    <w:rsid w:val="6255143B"/>
    <w:rsid w:val="62586261"/>
    <w:rsid w:val="6258D0FE"/>
    <w:rsid w:val="625E7924"/>
    <w:rsid w:val="625F7AC6"/>
    <w:rsid w:val="62603947"/>
    <w:rsid w:val="6260722B"/>
    <w:rsid w:val="6260F4CC"/>
    <w:rsid w:val="626396FC"/>
    <w:rsid w:val="626554F9"/>
    <w:rsid w:val="62672414"/>
    <w:rsid w:val="62688F74"/>
    <w:rsid w:val="62689AF7"/>
    <w:rsid w:val="6269445E"/>
    <w:rsid w:val="626E3C98"/>
    <w:rsid w:val="626E5C79"/>
    <w:rsid w:val="62713393"/>
    <w:rsid w:val="6272261E"/>
    <w:rsid w:val="6272CB10"/>
    <w:rsid w:val="6272E552"/>
    <w:rsid w:val="62744DAE"/>
    <w:rsid w:val="62748DDE"/>
    <w:rsid w:val="6277F309"/>
    <w:rsid w:val="627B49D6"/>
    <w:rsid w:val="627DD994"/>
    <w:rsid w:val="627E9822"/>
    <w:rsid w:val="627EF02D"/>
    <w:rsid w:val="627F334B"/>
    <w:rsid w:val="62848EB8"/>
    <w:rsid w:val="62854BC0"/>
    <w:rsid w:val="6288D36A"/>
    <w:rsid w:val="628B851E"/>
    <w:rsid w:val="628D6356"/>
    <w:rsid w:val="628F9782"/>
    <w:rsid w:val="6297F5E0"/>
    <w:rsid w:val="629C7795"/>
    <w:rsid w:val="629E844D"/>
    <w:rsid w:val="62A84CCD"/>
    <w:rsid w:val="62AAFFA1"/>
    <w:rsid w:val="62B44C13"/>
    <w:rsid w:val="62B451BD"/>
    <w:rsid w:val="62B4D173"/>
    <w:rsid w:val="62B52420"/>
    <w:rsid w:val="62B7BDC6"/>
    <w:rsid w:val="62BAB872"/>
    <w:rsid w:val="62BB478F"/>
    <w:rsid w:val="62BFE76C"/>
    <w:rsid w:val="62C4B768"/>
    <w:rsid w:val="62C586A9"/>
    <w:rsid w:val="62CEEE3D"/>
    <w:rsid w:val="62CFD382"/>
    <w:rsid w:val="62D022AB"/>
    <w:rsid w:val="62D2C3CC"/>
    <w:rsid w:val="62D44E19"/>
    <w:rsid w:val="62D92178"/>
    <w:rsid w:val="62E079DB"/>
    <w:rsid w:val="62E4F623"/>
    <w:rsid w:val="62E64B85"/>
    <w:rsid w:val="62EA2F67"/>
    <w:rsid w:val="62ECA2ED"/>
    <w:rsid w:val="62F1033E"/>
    <w:rsid w:val="62F8C8D4"/>
    <w:rsid w:val="62F91048"/>
    <w:rsid w:val="62F9BF70"/>
    <w:rsid w:val="62FA39B0"/>
    <w:rsid w:val="62FCF7BF"/>
    <w:rsid w:val="62FEE7D0"/>
    <w:rsid w:val="630A8D74"/>
    <w:rsid w:val="630E093F"/>
    <w:rsid w:val="6318BAD0"/>
    <w:rsid w:val="63190CEC"/>
    <w:rsid w:val="631CD44F"/>
    <w:rsid w:val="631D080B"/>
    <w:rsid w:val="631E0229"/>
    <w:rsid w:val="6320288C"/>
    <w:rsid w:val="632099B8"/>
    <w:rsid w:val="6331E2BF"/>
    <w:rsid w:val="6331F8B6"/>
    <w:rsid w:val="63320D82"/>
    <w:rsid w:val="6334863C"/>
    <w:rsid w:val="6336ACEB"/>
    <w:rsid w:val="6339CE71"/>
    <w:rsid w:val="633ACDB3"/>
    <w:rsid w:val="633B8856"/>
    <w:rsid w:val="633DB964"/>
    <w:rsid w:val="633E7612"/>
    <w:rsid w:val="633EC09F"/>
    <w:rsid w:val="633FD493"/>
    <w:rsid w:val="634145EA"/>
    <w:rsid w:val="63467CFE"/>
    <w:rsid w:val="634971F9"/>
    <w:rsid w:val="634B8EA9"/>
    <w:rsid w:val="634D337C"/>
    <w:rsid w:val="6350F49C"/>
    <w:rsid w:val="6353229B"/>
    <w:rsid w:val="6356CCB1"/>
    <w:rsid w:val="63571489"/>
    <w:rsid w:val="63593206"/>
    <w:rsid w:val="635B3D7A"/>
    <w:rsid w:val="635F228C"/>
    <w:rsid w:val="63608AD4"/>
    <w:rsid w:val="63609922"/>
    <w:rsid w:val="6361E6A3"/>
    <w:rsid w:val="6365E6B2"/>
    <w:rsid w:val="6366D7A6"/>
    <w:rsid w:val="63691153"/>
    <w:rsid w:val="6369658F"/>
    <w:rsid w:val="636BBE72"/>
    <w:rsid w:val="636D3424"/>
    <w:rsid w:val="636EC8BB"/>
    <w:rsid w:val="6373C3FF"/>
    <w:rsid w:val="6376D501"/>
    <w:rsid w:val="637B93F3"/>
    <w:rsid w:val="637FECE9"/>
    <w:rsid w:val="638021CC"/>
    <w:rsid w:val="6381B807"/>
    <w:rsid w:val="6381C48D"/>
    <w:rsid w:val="6382A073"/>
    <w:rsid w:val="63858F66"/>
    <w:rsid w:val="6385B3D4"/>
    <w:rsid w:val="638BD8CA"/>
    <w:rsid w:val="638D35ED"/>
    <w:rsid w:val="638D7BE7"/>
    <w:rsid w:val="638DB644"/>
    <w:rsid w:val="638E3D8B"/>
    <w:rsid w:val="63910604"/>
    <w:rsid w:val="639775D9"/>
    <w:rsid w:val="6397F392"/>
    <w:rsid w:val="639AAB05"/>
    <w:rsid w:val="639BE6D4"/>
    <w:rsid w:val="63A045A1"/>
    <w:rsid w:val="63A7D724"/>
    <w:rsid w:val="63A7E3FB"/>
    <w:rsid w:val="63B2993F"/>
    <w:rsid w:val="63B39C99"/>
    <w:rsid w:val="63B5CA6B"/>
    <w:rsid w:val="63B73AE1"/>
    <w:rsid w:val="63BD77FB"/>
    <w:rsid w:val="63BF8F67"/>
    <w:rsid w:val="63C39E0F"/>
    <w:rsid w:val="63C55DD6"/>
    <w:rsid w:val="63CADC9A"/>
    <w:rsid w:val="63D7EA2F"/>
    <w:rsid w:val="63DAC009"/>
    <w:rsid w:val="63DD56D9"/>
    <w:rsid w:val="63DEFC31"/>
    <w:rsid w:val="63E07F29"/>
    <w:rsid w:val="63E12226"/>
    <w:rsid w:val="63E2A489"/>
    <w:rsid w:val="63EC170F"/>
    <w:rsid w:val="63EC34CB"/>
    <w:rsid w:val="63ED3E5A"/>
    <w:rsid w:val="63F07458"/>
    <w:rsid w:val="63F4E208"/>
    <w:rsid w:val="63FB1BD6"/>
    <w:rsid w:val="640175F2"/>
    <w:rsid w:val="64025995"/>
    <w:rsid w:val="6402C1B5"/>
    <w:rsid w:val="6403B864"/>
    <w:rsid w:val="64047BF7"/>
    <w:rsid w:val="6408B888"/>
    <w:rsid w:val="640AB4B0"/>
    <w:rsid w:val="640E482D"/>
    <w:rsid w:val="6414F40D"/>
    <w:rsid w:val="64158B26"/>
    <w:rsid w:val="641A5E16"/>
    <w:rsid w:val="641E55A0"/>
    <w:rsid w:val="642338E9"/>
    <w:rsid w:val="6425FA65"/>
    <w:rsid w:val="642A2B0A"/>
    <w:rsid w:val="642B4F37"/>
    <w:rsid w:val="6431E5A7"/>
    <w:rsid w:val="64321117"/>
    <w:rsid w:val="6434F9F4"/>
    <w:rsid w:val="6435BCC7"/>
    <w:rsid w:val="6436FBB4"/>
    <w:rsid w:val="6439B365"/>
    <w:rsid w:val="643ABD08"/>
    <w:rsid w:val="643BDACC"/>
    <w:rsid w:val="643E592E"/>
    <w:rsid w:val="64404A2F"/>
    <w:rsid w:val="64418313"/>
    <w:rsid w:val="6445D45D"/>
    <w:rsid w:val="64470E9A"/>
    <w:rsid w:val="644B7976"/>
    <w:rsid w:val="644E1332"/>
    <w:rsid w:val="644E26A5"/>
    <w:rsid w:val="644E3D4F"/>
    <w:rsid w:val="64501E93"/>
    <w:rsid w:val="64525412"/>
    <w:rsid w:val="64557FC1"/>
    <w:rsid w:val="6456C553"/>
    <w:rsid w:val="64586FBB"/>
    <w:rsid w:val="645B7F89"/>
    <w:rsid w:val="646142F9"/>
    <w:rsid w:val="64617E43"/>
    <w:rsid w:val="6463A056"/>
    <w:rsid w:val="64648ADF"/>
    <w:rsid w:val="646F0FAE"/>
    <w:rsid w:val="647510A2"/>
    <w:rsid w:val="64765685"/>
    <w:rsid w:val="6478C887"/>
    <w:rsid w:val="64795967"/>
    <w:rsid w:val="647D47DB"/>
    <w:rsid w:val="6481FD28"/>
    <w:rsid w:val="64828C5D"/>
    <w:rsid w:val="64832EE0"/>
    <w:rsid w:val="64899A2F"/>
    <w:rsid w:val="648AC833"/>
    <w:rsid w:val="648DD301"/>
    <w:rsid w:val="648E5E70"/>
    <w:rsid w:val="6493CC2E"/>
    <w:rsid w:val="64970070"/>
    <w:rsid w:val="649A2589"/>
    <w:rsid w:val="649AF0BD"/>
    <w:rsid w:val="649E67B7"/>
    <w:rsid w:val="649FF741"/>
    <w:rsid w:val="64A0D053"/>
    <w:rsid w:val="64A20B83"/>
    <w:rsid w:val="64A6CBE3"/>
    <w:rsid w:val="64A864D3"/>
    <w:rsid w:val="64ACAFBD"/>
    <w:rsid w:val="64AE0669"/>
    <w:rsid w:val="64AEDC45"/>
    <w:rsid w:val="64AEE368"/>
    <w:rsid w:val="64B5E48C"/>
    <w:rsid w:val="64B7DC24"/>
    <w:rsid w:val="64BABFF7"/>
    <w:rsid w:val="64BC40A2"/>
    <w:rsid w:val="64BC45E1"/>
    <w:rsid w:val="64BD1272"/>
    <w:rsid w:val="64C13E42"/>
    <w:rsid w:val="64C82354"/>
    <w:rsid w:val="64C8CE8B"/>
    <w:rsid w:val="64CF9F09"/>
    <w:rsid w:val="64D221E9"/>
    <w:rsid w:val="64D70317"/>
    <w:rsid w:val="64E0BF53"/>
    <w:rsid w:val="64E61ED3"/>
    <w:rsid w:val="64E7DA75"/>
    <w:rsid w:val="64E814F0"/>
    <w:rsid w:val="64E8AF94"/>
    <w:rsid w:val="64EB1BDE"/>
    <w:rsid w:val="64EB92C3"/>
    <w:rsid w:val="64EE42F8"/>
    <w:rsid w:val="64EE9F64"/>
    <w:rsid w:val="64EF09A1"/>
    <w:rsid w:val="64F0A76D"/>
    <w:rsid w:val="64F0C608"/>
    <w:rsid w:val="64F80D64"/>
    <w:rsid w:val="64F934BF"/>
    <w:rsid w:val="64F9F0DA"/>
    <w:rsid w:val="64FE4AA2"/>
    <w:rsid w:val="64FF82CA"/>
    <w:rsid w:val="6500C54F"/>
    <w:rsid w:val="6500D5B5"/>
    <w:rsid w:val="6501E144"/>
    <w:rsid w:val="6504CC66"/>
    <w:rsid w:val="65059105"/>
    <w:rsid w:val="6505E1EE"/>
    <w:rsid w:val="6506E030"/>
    <w:rsid w:val="650A1B66"/>
    <w:rsid w:val="65118CBF"/>
    <w:rsid w:val="6512F61B"/>
    <w:rsid w:val="6515725A"/>
    <w:rsid w:val="65168467"/>
    <w:rsid w:val="65173F93"/>
    <w:rsid w:val="6519DFAD"/>
    <w:rsid w:val="65205487"/>
    <w:rsid w:val="65211638"/>
    <w:rsid w:val="65224476"/>
    <w:rsid w:val="65242A1C"/>
    <w:rsid w:val="652903CC"/>
    <w:rsid w:val="65294AB0"/>
    <w:rsid w:val="652B8D4C"/>
    <w:rsid w:val="652EE72A"/>
    <w:rsid w:val="65300AD2"/>
    <w:rsid w:val="6531C833"/>
    <w:rsid w:val="6532373E"/>
    <w:rsid w:val="6539770A"/>
    <w:rsid w:val="653A52B5"/>
    <w:rsid w:val="653A7842"/>
    <w:rsid w:val="654288B7"/>
    <w:rsid w:val="6543D4B6"/>
    <w:rsid w:val="6548AB75"/>
    <w:rsid w:val="6548C099"/>
    <w:rsid w:val="6548D475"/>
    <w:rsid w:val="654ECC3E"/>
    <w:rsid w:val="654FB564"/>
    <w:rsid w:val="6551677A"/>
    <w:rsid w:val="6555F2AB"/>
    <w:rsid w:val="6555FD84"/>
    <w:rsid w:val="6557597C"/>
    <w:rsid w:val="655B5E0D"/>
    <w:rsid w:val="655D2B5C"/>
    <w:rsid w:val="65604B7F"/>
    <w:rsid w:val="656310CB"/>
    <w:rsid w:val="657090E9"/>
    <w:rsid w:val="6572BB6E"/>
    <w:rsid w:val="6576AF44"/>
    <w:rsid w:val="65797008"/>
    <w:rsid w:val="6579CB38"/>
    <w:rsid w:val="657ED55E"/>
    <w:rsid w:val="658009CF"/>
    <w:rsid w:val="65804321"/>
    <w:rsid w:val="6581D914"/>
    <w:rsid w:val="6585BB48"/>
    <w:rsid w:val="6586DEE8"/>
    <w:rsid w:val="6588D786"/>
    <w:rsid w:val="65893762"/>
    <w:rsid w:val="658BDE0B"/>
    <w:rsid w:val="658C96ED"/>
    <w:rsid w:val="658CF887"/>
    <w:rsid w:val="658E85C6"/>
    <w:rsid w:val="65952EC1"/>
    <w:rsid w:val="659A30E9"/>
    <w:rsid w:val="659E678E"/>
    <w:rsid w:val="659E8A21"/>
    <w:rsid w:val="659FCEF3"/>
    <w:rsid w:val="65A05912"/>
    <w:rsid w:val="65A220F8"/>
    <w:rsid w:val="65A40120"/>
    <w:rsid w:val="65A992BB"/>
    <w:rsid w:val="65AE1635"/>
    <w:rsid w:val="65B226ED"/>
    <w:rsid w:val="65B37D96"/>
    <w:rsid w:val="65B52A98"/>
    <w:rsid w:val="65B5EBC8"/>
    <w:rsid w:val="65BB5920"/>
    <w:rsid w:val="65BBF80E"/>
    <w:rsid w:val="65BE42DF"/>
    <w:rsid w:val="65BF76D5"/>
    <w:rsid w:val="65BF7C67"/>
    <w:rsid w:val="65C04BF2"/>
    <w:rsid w:val="65C15D81"/>
    <w:rsid w:val="65C26324"/>
    <w:rsid w:val="65C42A7E"/>
    <w:rsid w:val="65C5CAAA"/>
    <w:rsid w:val="65C7B0E3"/>
    <w:rsid w:val="65CC64FC"/>
    <w:rsid w:val="65CFF303"/>
    <w:rsid w:val="65D515EF"/>
    <w:rsid w:val="65D6CDF4"/>
    <w:rsid w:val="65DB7EE2"/>
    <w:rsid w:val="65E362C4"/>
    <w:rsid w:val="65E57845"/>
    <w:rsid w:val="65E7DFAA"/>
    <w:rsid w:val="65E849DA"/>
    <w:rsid w:val="65E897AD"/>
    <w:rsid w:val="65EB36E7"/>
    <w:rsid w:val="65EFDC7F"/>
    <w:rsid w:val="65F157E3"/>
    <w:rsid w:val="65F36479"/>
    <w:rsid w:val="65F491D4"/>
    <w:rsid w:val="65FEC3E7"/>
    <w:rsid w:val="66019623"/>
    <w:rsid w:val="660A1C29"/>
    <w:rsid w:val="661038EE"/>
    <w:rsid w:val="6613DAA9"/>
    <w:rsid w:val="661A2FD0"/>
    <w:rsid w:val="661DE350"/>
    <w:rsid w:val="661EF628"/>
    <w:rsid w:val="662AF5DB"/>
    <w:rsid w:val="662D79D7"/>
    <w:rsid w:val="662F7D0D"/>
    <w:rsid w:val="66343E1E"/>
    <w:rsid w:val="663B03BD"/>
    <w:rsid w:val="663B0953"/>
    <w:rsid w:val="6640D810"/>
    <w:rsid w:val="66412AC7"/>
    <w:rsid w:val="6642AB12"/>
    <w:rsid w:val="66431C05"/>
    <w:rsid w:val="6643F35B"/>
    <w:rsid w:val="6648D18D"/>
    <w:rsid w:val="6649AA36"/>
    <w:rsid w:val="664A8F20"/>
    <w:rsid w:val="664D0551"/>
    <w:rsid w:val="664E51E2"/>
    <w:rsid w:val="6650B919"/>
    <w:rsid w:val="66521925"/>
    <w:rsid w:val="6652CE02"/>
    <w:rsid w:val="6653CEAF"/>
    <w:rsid w:val="665872F5"/>
    <w:rsid w:val="665D9436"/>
    <w:rsid w:val="666733A2"/>
    <w:rsid w:val="666BE4F3"/>
    <w:rsid w:val="666CE236"/>
    <w:rsid w:val="666EFA87"/>
    <w:rsid w:val="666F8B6B"/>
    <w:rsid w:val="66701796"/>
    <w:rsid w:val="6673EECE"/>
    <w:rsid w:val="66749CA8"/>
    <w:rsid w:val="6677FB5A"/>
    <w:rsid w:val="6678DD3A"/>
    <w:rsid w:val="6685891B"/>
    <w:rsid w:val="668C8493"/>
    <w:rsid w:val="668F5959"/>
    <w:rsid w:val="66912BDE"/>
    <w:rsid w:val="669238FF"/>
    <w:rsid w:val="669A3C84"/>
    <w:rsid w:val="669AE3BF"/>
    <w:rsid w:val="66A59B67"/>
    <w:rsid w:val="66A80051"/>
    <w:rsid w:val="66AB697D"/>
    <w:rsid w:val="66B1914B"/>
    <w:rsid w:val="66B27D90"/>
    <w:rsid w:val="66B6C3AE"/>
    <w:rsid w:val="66BC8558"/>
    <w:rsid w:val="66BD62D5"/>
    <w:rsid w:val="66BE188E"/>
    <w:rsid w:val="66BE3896"/>
    <w:rsid w:val="66C3425F"/>
    <w:rsid w:val="66C5D2A1"/>
    <w:rsid w:val="66CBB122"/>
    <w:rsid w:val="66CE26C6"/>
    <w:rsid w:val="66CF46B2"/>
    <w:rsid w:val="66D87FEC"/>
    <w:rsid w:val="66DCA302"/>
    <w:rsid w:val="66DF0AB7"/>
    <w:rsid w:val="66E0187A"/>
    <w:rsid w:val="66E10F31"/>
    <w:rsid w:val="66E11D9B"/>
    <w:rsid w:val="66E67221"/>
    <w:rsid w:val="66E6C5D3"/>
    <w:rsid w:val="66E8D122"/>
    <w:rsid w:val="66E95ABD"/>
    <w:rsid w:val="66EA0E0E"/>
    <w:rsid w:val="66EC9FBF"/>
    <w:rsid w:val="66EDC725"/>
    <w:rsid w:val="66F28EB9"/>
    <w:rsid w:val="66F4A315"/>
    <w:rsid w:val="66F5A68A"/>
    <w:rsid w:val="66F632E8"/>
    <w:rsid w:val="66FB9F64"/>
    <w:rsid w:val="67005CFF"/>
    <w:rsid w:val="6700C746"/>
    <w:rsid w:val="67046740"/>
    <w:rsid w:val="6705EB0A"/>
    <w:rsid w:val="67079850"/>
    <w:rsid w:val="670A0C6D"/>
    <w:rsid w:val="670D0B10"/>
    <w:rsid w:val="670EA85F"/>
    <w:rsid w:val="670EE6A5"/>
    <w:rsid w:val="671110EC"/>
    <w:rsid w:val="67127B39"/>
    <w:rsid w:val="6717B582"/>
    <w:rsid w:val="671E0412"/>
    <w:rsid w:val="671EDA38"/>
    <w:rsid w:val="67220057"/>
    <w:rsid w:val="67227C3C"/>
    <w:rsid w:val="6726E4AD"/>
    <w:rsid w:val="672B7FAA"/>
    <w:rsid w:val="67326E76"/>
    <w:rsid w:val="6733D77B"/>
    <w:rsid w:val="6734F411"/>
    <w:rsid w:val="67359194"/>
    <w:rsid w:val="67374053"/>
    <w:rsid w:val="6738A7B9"/>
    <w:rsid w:val="673A80BA"/>
    <w:rsid w:val="673B16B6"/>
    <w:rsid w:val="673C8044"/>
    <w:rsid w:val="67403AF3"/>
    <w:rsid w:val="6743093B"/>
    <w:rsid w:val="67432965"/>
    <w:rsid w:val="6744E74E"/>
    <w:rsid w:val="67457424"/>
    <w:rsid w:val="67464F44"/>
    <w:rsid w:val="674CD12A"/>
    <w:rsid w:val="674CD335"/>
    <w:rsid w:val="674D391F"/>
    <w:rsid w:val="67570C5C"/>
    <w:rsid w:val="6759AB55"/>
    <w:rsid w:val="6759C325"/>
    <w:rsid w:val="675E3CF8"/>
    <w:rsid w:val="67603684"/>
    <w:rsid w:val="67609929"/>
    <w:rsid w:val="6763319F"/>
    <w:rsid w:val="676A52DA"/>
    <w:rsid w:val="676CE507"/>
    <w:rsid w:val="676DD14B"/>
    <w:rsid w:val="676F9198"/>
    <w:rsid w:val="67722937"/>
    <w:rsid w:val="6775B0EA"/>
    <w:rsid w:val="6775D5A6"/>
    <w:rsid w:val="67774670"/>
    <w:rsid w:val="677A1E95"/>
    <w:rsid w:val="67800EBA"/>
    <w:rsid w:val="678436B2"/>
    <w:rsid w:val="678570ED"/>
    <w:rsid w:val="678647B7"/>
    <w:rsid w:val="6786E68E"/>
    <w:rsid w:val="6787053D"/>
    <w:rsid w:val="678A7623"/>
    <w:rsid w:val="678CFACE"/>
    <w:rsid w:val="678EF338"/>
    <w:rsid w:val="6791E3A8"/>
    <w:rsid w:val="6793FD77"/>
    <w:rsid w:val="679DBC0E"/>
    <w:rsid w:val="679E3342"/>
    <w:rsid w:val="67A0421F"/>
    <w:rsid w:val="67AC6AC6"/>
    <w:rsid w:val="67B38A6C"/>
    <w:rsid w:val="67BB6D28"/>
    <w:rsid w:val="67BD1D52"/>
    <w:rsid w:val="67BD905E"/>
    <w:rsid w:val="67BDFC35"/>
    <w:rsid w:val="67C24CB1"/>
    <w:rsid w:val="67C37F91"/>
    <w:rsid w:val="67C524F8"/>
    <w:rsid w:val="67C69BBB"/>
    <w:rsid w:val="67C6A405"/>
    <w:rsid w:val="67C81B49"/>
    <w:rsid w:val="67CB6D52"/>
    <w:rsid w:val="67CD7256"/>
    <w:rsid w:val="67CDBC3E"/>
    <w:rsid w:val="67CE31A9"/>
    <w:rsid w:val="67D266D5"/>
    <w:rsid w:val="67D28108"/>
    <w:rsid w:val="67D420EE"/>
    <w:rsid w:val="67D4C75D"/>
    <w:rsid w:val="67D62FF7"/>
    <w:rsid w:val="67D665A6"/>
    <w:rsid w:val="67D79007"/>
    <w:rsid w:val="67D81EFF"/>
    <w:rsid w:val="67DA2453"/>
    <w:rsid w:val="67DBFDB3"/>
    <w:rsid w:val="67E4104D"/>
    <w:rsid w:val="67E789BA"/>
    <w:rsid w:val="67E891AE"/>
    <w:rsid w:val="67EB92D6"/>
    <w:rsid w:val="67EC5157"/>
    <w:rsid w:val="67F0A535"/>
    <w:rsid w:val="67F2D42D"/>
    <w:rsid w:val="67F4FD18"/>
    <w:rsid w:val="67F7B669"/>
    <w:rsid w:val="67FB332A"/>
    <w:rsid w:val="67FBBAC6"/>
    <w:rsid w:val="67FF5026"/>
    <w:rsid w:val="6800D2BF"/>
    <w:rsid w:val="68022F30"/>
    <w:rsid w:val="6806A0F4"/>
    <w:rsid w:val="680811F4"/>
    <w:rsid w:val="68094B48"/>
    <w:rsid w:val="680BF0A3"/>
    <w:rsid w:val="6814228C"/>
    <w:rsid w:val="6816650E"/>
    <w:rsid w:val="6816834F"/>
    <w:rsid w:val="681A7925"/>
    <w:rsid w:val="681B6A1D"/>
    <w:rsid w:val="681F5ED6"/>
    <w:rsid w:val="6821D025"/>
    <w:rsid w:val="68253326"/>
    <w:rsid w:val="68268BCC"/>
    <w:rsid w:val="6829F23D"/>
    <w:rsid w:val="682B5061"/>
    <w:rsid w:val="682F20F3"/>
    <w:rsid w:val="68321C46"/>
    <w:rsid w:val="683AB53A"/>
    <w:rsid w:val="683EB0FF"/>
    <w:rsid w:val="6841E053"/>
    <w:rsid w:val="68455E73"/>
    <w:rsid w:val="6846DA0E"/>
    <w:rsid w:val="6846DA90"/>
    <w:rsid w:val="684DE3EF"/>
    <w:rsid w:val="684EB095"/>
    <w:rsid w:val="684F88C3"/>
    <w:rsid w:val="6850FFB2"/>
    <w:rsid w:val="6853B4F5"/>
    <w:rsid w:val="6859858A"/>
    <w:rsid w:val="685B1879"/>
    <w:rsid w:val="685CB449"/>
    <w:rsid w:val="6860B44A"/>
    <w:rsid w:val="68679D6E"/>
    <w:rsid w:val="686C6AFB"/>
    <w:rsid w:val="686DDCC0"/>
    <w:rsid w:val="68700208"/>
    <w:rsid w:val="687308E2"/>
    <w:rsid w:val="68747B59"/>
    <w:rsid w:val="68783ED8"/>
    <w:rsid w:val="6878AEBB"/>
    <w:rsid w:val="687C4989"/>
    <w:rsid w:val="687D9737"/>
    <w:rsid w:val="687E876C"/>
    <w:rsid w:val="688083F5"/>
    <w:rsid w:val="6883A9AE"/>
    <w:rsid w:val="68854733"/>
    <w:rsid w:val="6888493A"/>
    <w:rsid w:val="68890011"/>
    <w:rsid w:val="68897B2D"/>
    <w:rsid w:val="688A4070"/>
    <w:rsid w:val="688B0B0D"/>
    <w:rsid w:val="688ED235"/>
    <w:rsid w:val="688F737C"/>
    <w:rsid w:val="6890BE84"/>
    <w:rsid w:val="689304F5"/>
    <w:rsid w:val="68944374"/>
    <w:rsid w:val="689814EF"/>
    <w:rsid w:val="689B15CE"/>
    <w:rsid w:val="689CA06D"/>
    <w:rsid w:val="689D4DA8"/>
    <w:rsid w:val="689FA56A"/>
    <w:rsid w:val="68ABC575"/>
    <w:rsid w:val="68AF6DCA"/>
    <w:rsid w:val="68AFE9AF"/>
    <w:rsid w:val="68B03609"/>
    <w:rsid w:val="68B23184"/>
    <w:rsid w:val="68B3CCBB"/>
    <w:rsid w:val="68B54458"/>
    <w:rsid w:val="68B64618"/>
    <w:rsid w:val="68B9A45B"/>
    <w:rsid w:val="68B9DB5E"/>
    <w:rsid w:val="68BBB9AF"/>
    <w:rsid w:val="68C4E4E2"/>
    <w:rsid w:val="68C6E3D0"/>
    <w:rsid w:val="68C8D95F"/>
    <w:rsid w:val="68C90177"/>
    <w:rsid w:val="68CA67C4"/>
    <w:rsid w:val="68CA6F01"/>
    <w:rsid w:val="68D452B8"/>
    <w:rsid w:val="68DC3190"/>
    <w:rsid w:val="68DC9770"/>
    <w:rsid w:val="68DD7323"/>
    <w:rsid w:val="68DE0736"/>
    <w:rsid w:val="68DF15BA"/>
    <w:rsid w:val="68E0564C"/>
    <w:rsid w:val="68E14717"/>
    <w:rsid w:val="68E47577"/>
    <w:rsid w:val="68E4903B"/>
    <w:rsid w:val="68EBAEC9"/>
    <w:rsid w:val="68EED9E4"/>
    <w:rsid w:val="68F4EE0B"/>
    <w:rsid w:val="68F6D283"/>
    <w:rsid w:val="68FA0F48"/>
    <w:rsid w:val="68FCB2F8"/>
    <w:rsid w:val="68FEFA8C"/>
    <w:rsid w:val="69003E6F"/>
    <w:rsid w:val="6907D4CD"/>
    <w:rsid w:val="69091D5C"/>
    <w:rsid w:val="690D751C"/>
    <w:rsid w:val="691340C9"/>
    <w:rsid w:val="691A7941"/>
    <w:rsid w:val="69280692"/>
    <w:rsid w:val="692930DE"/>
    <w:rsid w:val="6929D733"/>
    <w:rsid w:val="693024A7"/>
    <w:rsid w:val="6934B9ED"/>
    <w:rsid w:val="69357069"/>
    <w:rsid w:val="693572F1"/>
    <w:rsid w:val="693D1F7C"/>
    <w:rsid w:val="69428C53"/>
    <w:rsid w:val="6945BF57"/>
    <w:rsid w:val="6948337B"/>
    <w:rsid w:val="694AAE37"/>
    <w:rsid w:val="694D2797"/>
    <w:rsid w:val="6951B8AD"/>
    <w:rsid w:val="6952588C"/>
    <w:rsid w:val="6953CC1C"/>
    <w:rsid w:val="695947E4"/>
    <w:rsid w:val="6959BD55"/>
    <w:rsid w:val="695B6506"/>
    <w:rsid w:val="695EB3B4"/>
    <w:rsid w:val="6963B443"/>
    <w:rsid w:val="696656D1"/>
    <w:rsid w:val="6968A9E2"/>
    <w:rsid w:val="696C0BE0"/>
    <w:rsid w:val="696CE125"/>
    <w:rsid w:val="69730624"/>
    <w:rsid w:val="69772D4A"/>
    <w:rsid w:val="697C0124"/>
    <w:rsid w:val="697F2CDE"/>
    <w:rsid w:val="69833A33"/>
    <w:rsid w:val="6984B766"/>
    <w:rsid w:val="6987E2D8"/>
    <w:rsid w:val="6988A4FE"/>
    <w:rsid w:val="69911A75"/>
    <w:rsid w:val="6993E03E"/>
    <w:rsid w:val="6996A3B8"/>
    <w:rsid w:val="69996693"/>
    <w:rsid w:val="69997CB1"/>
    <w:rsid w:val="699C4096"/>
    <w:rsid w:val="699F8D41"/>
    <w:rsid w:val="69A131EB"/>
    <w:rsid w:val="69A9C3ED"/>
    <w:rsid w:val="69AAA67D"/>
    <w:rsid w:val="69AB1AD7"/>
    <w:rsid w:val="69AFB5AD"/>
    <w:rsid w:val="69B11B28"/>
    <w:rsid w:val="69BB24DA"/>
    <w:rsid w:val="69BCB59B"/>
    <w:rsid w:val="69BE787A"/>
    <w:rsid w:val="69BF72DB"/>
    <w:rsid w:val="69BFA751"/>
    <w:rsid w:val="69C4F4D5"/>
    <w:rsid w:val="69C78A2D"/>
    <w:rsid w:val="69C99DD6"/>
    <w:rsid w:val="69CA62FD"/>
    <w:rsid w:val="69CC9686"/>
    <w:rsid w:val="69CDC7E3"/>
    <w:rsid w:val="69DCBDA7"/>
    <w:rsid w:val="69DDF8ED"/>
    <w:rsid w:val="69E251F2"/>
    <w:rsid w:val="69EB5772"/>
    <w:rsid w:val="69EDC318"/>
    <w:rsid w:val="69EFA626"/>
    <w:rsid w:val="69F3A0EB"/>
    <w:rsid w:val="69F57C33"/>
    <w:rsid w:val="69F74444"/>
    <w:rsid w:val="69F7C73E"/>
    <w:rsid w:val="69FAC60A"/>
    <w:rsid w:val="69FB8556"/>
    <w:rsid w:val="69FBDE7D"/>
    <w:rsid w:val="6A03200E"/>
    <w:rsid w:val="6A036A80"/>
    <w:rsid w:val="6A07A03E"/>
    <w:rsid w:val="6A097560"/>
    <w:rsid w:val="6A0A2B6E"/>
    <w:rsid w:val="6A0A3C94"/>
    <w:rsid w:val="6A0C5427"/>
    <w:rsid w:val="6A10363D"/>
    <w:rsid w:val="6A1257A0"/>
    <w:rsid w:val="6A130EB2"/>
    <w:rsid w:val="6A1DD322"/>
    <w:rsid w:val="6A1F99DE"/>
    <w:rsid w:val="6A209B7C"/>
    <w:rsid w:val="6A278368"/>
    <w:rsid w:val="6A2B0027"/>
    <w:rsid w:val="6A2D77B0"/>
    <w:rsid w:val="6A2DA211"/>
    <w:rsid w:val="6A331B65"/>
    <w:rsid w:val="6A3345A7"/>
    <w:rsid w:val="6A34B5D5"/>
    <w:rsid w:val="6A3A81D7"/>
    <w:rsid w:val="6A3ED998"/>
    <w:rsid w:val="6A3FC1C4"/>
    <w:rsid w:val="6A3FE490"/>
    <w:rsid w:val="6A4036DF"/>
    <w:rsid w:val="6A41F68B"/>
    <w:rsid w:val="6A4233DF"/>
    <w:rsid w:val="6A494869"/>
    <w:rsid w:val="6A51293F"/>
    <w:rsid w:val="6A51DE08"/>
    <w:rsid w:val="6A54A8A8"/>
    <w:rsid w:val="6A5618B9"/>
    <w:rsid w:val="6A59FC59"/>
    <w:rsid w:val="6A5DEC0F"/>
    <w:rsid w:val="6A682890"/>
    <w:rsid w:val="6A693A4D"/>
    <w:rsid w:val="6A6B7048"/>
    <w:rsid w:val="6A6E4A9D"/>
    <w:rsid w:val="6A6F362B"/>
    <w:rsid w:val="6A71C4EF"/>
    <w:rsid w:val="6A775D5D"/>
    <w:rsid w:val="6A78BA78"/>
    <w:rsid w:val="6A7C136B"/>
    <w:rsid w:val="6A7D974A"/>
    <w:rsid w:val="6A89479C"/>
    <w:rsid w:val="6A8E314B"/>
    <w:rsid w:val="6A931A4A"/>
    <w:rsid w:val="6A946041"/>
    <w:rsid w:val="6A96FBE5"/>
    <w:rsid w:val="6A976E7F"/>
    <w:rsid w:val="6A977A66"/>
    <w:rsid w:val="6A98651E"/>
    <w:rsid w:val="6A9AC48F"/>
    <w:rsid w:val="6A9CED19"/>
    <w:rsid w:val="6AA0D997"/>
    <w:rsid w:val="6AA31367"/>
    <w:rsid w:val="6AA32759"/>
    <w:rsid w:val="6AA52F81"/>
    <w:rsid w:val="6AA7EC0F"/>
    <w:rsid w:val="6AAA0F34"/>
    <w:rsid w:val="6AABE94F"/>
    <w:rsid w:val="6AAC38FF"/>
    <w:rsid w:val="6AADEBCD"/>
    <w:rsid w:val="6AAE5528"/>
    <w:rsid w:val="6AB0A902"/>
    <w:rsid w:val="6AB673F1"/>
    <w:rsid w:val="6AC2E7C4"/>
    <w:rsid w:val="6AC79E0A"/>
    <w:rsid w:val="6AC891CF"/>
    <w:rsid w:val="6ACA29E6"/>
    <w:rsid w:val="6ACB0553"/>
    <w:rsid w:val="6ACE5156"/>
    <w:rsid w:val="6AD005BB"/>
    <w:rsid w:val="6AD225E1"/>
    <w:rsid w:val="6AD36CB2"/>
    <w:rsid w:val="6AD62789"/>
    <w:rsid w:val="6AD8C5B9"/>
    <w:rsid w:val="6ADA15C1"/>
    <w:rsid w:val="6ADEBA9B"/>
    <w:rsid w:val="6ADF8AD4"/>
    <w:rsid w:val="6AE16FD5"/>
    <w:rsid w:val="6AE50230"/>
    <w:rsid w:val="6AE90FD3"/>
    <w:rsid w:val="6AEE0985"/>
    <w:rsid w:val="6AF83872"/>
    <w:rsid w:val="6AFAB356"/>
    <w:rsid w:val="6AFC8F4B"/>
    <w:rsid w:val="6AFD8022"/>
    <w:rsid w:val="6AFE2965"/>
    <w:rsid w:val="6AFFC90A"/>
    <w:rsid w:val="6B0338C6"/>
    <w:rsid w:val="6B054A22"/>
    <w:rsid w:val="6B06FACB"/>
    <w:rsid w:val="6B0805D5"/>
    <w:rsid w:val="6B0A18C8"/>
    <w:rsid w:val="6B0B1CCD"/>
    <w:rsid w:val="6B11E3C2"/>
    <w:rsid w:val="6B1300EB"/>
    <w:rsid w:val="6B14BDBC"/>
    <w:rsid w:val="6B19B832"/>
    <w:rsid w:val="6B1AE64E"/>
    <w:rsid w:val="6B1BD70C"/>
    <w:rsid w:val="6B1FB7E2"/>
    <w:rsid w:val="6B2253AC"/>
    <w:rsid w:val="6B22A375"/>
    <w:rsid w:val="6B25E903"/>
    <w:rsid w:val="6B273EC2"/>
    <w:rsid w:val="6B2C605C"/>
    <w:rsid w:val="6B342E91"/>
    <w:rsid w:val="6B3560E6"/>
    <w:rsid w:val="6B390E4F"/>
    <w:rsid w:val="6B3D3DB1"/>
    <w:rsid w:val="6B3E4EB5"/>
    <w:rsid w:val="6B3E4ED7"/>
    <w:rsid w:val="6B3F6E1C"/>
    <w:rsid w:val="6B470C8E"/>
    <w:rsid w:val="6B4759A5"/>
    <w:rsid w:val="6B48E20D"/>
    <w:rsid w:val="6B49DD0C"/>
    <w:rsid w:val="6B4A6F4C"/>
    <w:rsid w:val="6B4ABDC0"/>
    <w:rsid w:val="6B4E3E34"/>
    <w:rsid w:val="6B50A68E"/>
    <w:rsid w:val="6B566BAC"/>
    <w:rsid w:val="6B56C376"/>
    <w:rsid w:val="6B609194"/>
    <w:rsid w:val="6B63E666"/>
    <w:rsid w:val="6B666714"/>
    <w:rsid w:val="6B695EFF"/>
    <w:rsid w:val="6B69C731"/>
    <w:rsid w:val="6B6A9203"/>
    <w:rsid w:val="6B6EE171"/>
    <w:rsid w:val="6B6F6D64"/>
    <w:rsid w:val="6B73116F"/>
    <w:rsid w:val="6B73BA83"/>
    <w:rsid w:val="6B75A9AC"/>
    <w:rsid w:val="6B7909D7"/>
    <w:rsid w:val="6B7FA09A"/>
    <w:rsid w:val="6B84C4BB"/>
    <w:rsid w:val="6B85C36C"/>
    <w:rsid w:val="6B8F5314"/>
    <w:rsid w:val="6B913701"/>
    <w:rsid w:val="6B918D3F"/>
    <w:rsid w:val="6B93C645"/>
    <w:rsid w:val="6B953F6F"/>
    <w:rsid w:val="6B9676C6"/>
    <w:rsid w:val="6B985365"/>
    <w:rsid w:val="6B9AEFE7"/>
    <w:rsid w:val="6BA08E22"/>
    <w:rsid w:val="6BA19F5C"/>
    <w:rsid w:val="6BA1B6F7"/>
    <w:rsid w:val="6BA3450A"/>
    <w:rsid w:val="6BA95284"/>
    <w:rsid w:val="6BAA835A"/>
    <w:rsid w:val="6BABE575"/>
    <w:rsid w:val="6BAC7620"/>
    <w:rsid w:val="6BAFF475"/>
    <w:rsid w:val="6BB1C072"/>
    <w:rsid w:val="6BB7D02A"/>
    <w:rsid w:val="6BB83CBD"/>
    <w:rsid w:val="6BBAA4FC"/>
    <w:rsid w:val="6BBD9250"/>
    <w:rsid w:val="6BC15CD3"/>
    <w:rsid w:val="6BC1BD74"/>
    <w:rsid w:val="6BC6278F"/>
    <w:rsid w:val="6BCCEF23"/>
    <w:rsid w:val="6BCE3186"/>
    <w:rsid w:val="6BD02FBC"/>
    <w:rsid w:val="6BD23080"/>
    <w:rsid w:val="6BDB02B5"/>
    <w:rsid w:val="6BDCDE4D"/>
    <w:rsid w:val="6BE33383"/>
    <w:rsid w:val="6BE34258"/>
    <w:rsid w:val="6BE7959D"/>
    <w:rsid w:val="6BEFA8E1"/>
    <w:rsid w:val="6BF451E2"/>
    <w:rsid w:val="6BF6E379"/>
    <w:rsid w:val="6BF77E0B"/>
    <w:rsid w:val="6BFA31AC"/>
    <w:rsid w:val="6BFDEA69"/>
    <w:rsid w:val="6C038D9D"/>
    <w:rsid w:val="6C06C7A5"/>
    <w:rsid w:val="6C0A2C1C"/>
    <w:rsid w:val="6C0BF7A6"/>
    <w:rsid w:val="6C0E5C6B"/>
    <w:rsid w:val="6C112E63"/>
    <w:rsid w:val="6C12F27D"/>
    <w:rsid w:val="6C159280"/>
    <w:rsid w:val="6C18646D"/>
    <w:rsid w:val="6C19F9E0"/>
    <w:rsid w:val="6C1A379E"/>
    <w:rsid w:val="6C1BEB78"/>
    <w:rsid w:val="6C20490D"/>
    <w:rsid w:val="6C209A32"/>
    <w:rsid w:val="6C23A58B"/>
    <w:rsid w:val="6C2BD532"/>
    <w:rsid w:val="6C2D5B21"/>
    <w:rsid w:val="6C39658C"/>
    <w:rsid w:val="6C3BC06C"/>
    <w:rsid w:val="6C3CA4EC"/>
    <w:rsid w:val="6C3D000D"/>
    <w:rsid w:val="6C3D5A2D"/>
    <w:rsid w:val="6C3E2FCA"/>
    <w:rsid w:val="6C4028E5"/>
    <w:rsid w:val="6C436C34"/>
    <w:rsid w:val="6C437475"/>
    <w:rsid w:val="6C4B3723"/>
    <w:rsid w:val="6C4BAF35"/>
    <w:rsid w:val="6C4F632D"/>
    <w:rsid w:val="6C4F8481"/>
    <w:rsid w:val="6C54F957"/>
    <w:rsid w:val="6C575A74"/>
    <w:rsid w:val="6C5C734E"/>
    <w:rsid w:val="6C5D9344"/>
    <w:rsid w:val="6C5F2B06"/>
    <w:rsid w:val="6C6084A8"/>
    <w:rsid w:val="6C6315E4"/>
    <w:rsid w:val="6C643717"/>
    <w:rsid w:val="6C6698D8"/>
    <w:rsid w:val="6C68353B"/>
    <w:rsid w:val="6C6B572D"/>
    <w:rsid w:val="6C6CE119"/>
    <w:rsid w:val="6C6D2047"/>
    <w:rsid w:val="6C6D4F5D"/>
    <w:rsid w:val="6C6EB23B"/>
    <w:rsid w:val="6C72158B"/>
    <w:rsid w:val="6C728D60"/>
    <w:rsid w:val="6C72FBA0"/>
    <w:rsid w:val="6C732B5E"/>
    <w:rsid w:val="6C744B06"/>
    <w:rsid w:val="6C7E21DA"/>
    <w:rsid w:val="6C865DFA"/>
    <w:rsid w:val="6C8773BB"/>
    <w:rsid w:val="6C8B3069"/>
    <w:rsid w:val="6C8EF6BB"/>
    <w:rsid w:val="6C92F941"/>
    <w:rsid w:val="6C93B915"/>
    <w:rsid w:val="6C989ED3"/>
    <w:rsid w:val="6C9B0EAB"/>
    <w:rsid w:val="6C9D2A7F"/>
    <w:rsid w:val="6C9DF59D"/>
    <w:rsid w:val="6CA1609D"/>
    <w:rsid w:val="6CA3151F"/>
    <w:rsid w:val="6CA8EEFD"/>
    <w:rsid w:val="6CACD885"/>
    <w:rsid w:val="6CB0A321"/>
    <w:rsid w:val="6CB33C69"/>
    <w:rsid w:val="6CB6BCA7"/>
    <w:rsid w:val="6CB99B48"/>
    <w:rsid w:val="6CBA7088"/>
    <w:rsid w:val="6CBBE23D"/>
    <w:rsid w:val="6CBBE297"/>
    <w:rsid w:val="6CBD2AA9"/>
    <w:rsid w:val="6CC1C327"/>
    <w:rsid w:val="6CC241B4"/>
    <w:rsid w:val="6CC4D8FC"/>
    <w:rsid w:val="6CC71217"/>
    <w:rsid w:val="6CC9FCA5"/>
    <w:rsid w:val="6CCB6BC5"/>
    <w:rsid w:val="6CCB90A4"/>
    <w:rsid w:val="6CD05400"/>
    <w:rsid w:val="6CD68620"/>
    <w:rsid w:val="6CDACBFC"/>
    <w:rsid w:val="6CE22EE8"/>
    <w:rsid w:val="6CE6F2E2"/>
    <w:rsid w:val="6CE9C7C3"/>
    <w:rsid w:val="6CEBEB58"/>
    <w:rsid w:val="6CEE4E6D"/>
    <w:rsid w:val="6CEEC113"/>
    <w:rsid w:val="6CEFC574"/>
    <w:rsid w:val="6CF0124D"/>
    <w:rsid w:val="6CF6A9FE"/>
    <w:rsid w:val="6CFB4934"/>
    <w:rsid w:val="6CFF6CCA"/>
    <w:rsid w:val="6CFFB38E"/>
    <w:rsid w:val="6D05431A"/>
    <w:rsid w:val="6D057385"/>
    <w:rsid w:val="6D08F585"/>
    <w:rsid w:val="6D09CEC3"/>
    <w:rsid w:val="6D0B83EC"/>
    <w:rsid w:val="6D0E93C6"/>
    <w:rsid w:val="6D139B60"/>
    <w:rsid w:val="6D13DE97"/>
    <w:rsid w:val="6D17E239"/>
    <w:rsid w:val="6D18BBE8"/>
    <w:rsid w:val="6D234DAF"/>
    <w:rsid w:val="6D259E7D"/>
    <w:rsid w:val="6D28DA73"/>
    <w:rsid w:val="6D2AB673"/>
    <w:rsid w:val="6D2B967E"/>
    <w:rsid w:val="6D2BDD35"/>
    <w:rsid w:val="6D2E2885"/>
    <w:rsid w:val="6D33B2AB"/>
    <w:rsid w:val="6D349EAE"/>
    <w:rsid w:val="6D3878D8"/>
    <w:rsid w:val="6D38A83A"/>
    <w:rsid w:val="6D3A1266"/>
    <w:rsid w:val="6D3AA03D"/>
    <w:rsid w:val="6D3BF82E"/>
    <w:rsid w:val="6D3DCDE0"/>
    <w:rsid w:val="6D3DFF64"/>
    <w:rsid w:val="6D406A40"/>
    <w:rsid w:val="6D418B40"/>
    <w:rsid w:val="6D41DC34"/>
    <w:rsid w:val="6D420098"/>
    <w:rsid w:val="6D459E57"/>
    <w:rsid w:val="6D45E1AA"/>
    <w:rsid w:val="6D478020"/>
    <w:rsid w:val="6D478A87"/>
    <w:rsid w:val="6D4AABA1"/>
    <w:rsid w:val="6D4DD051"/>
    <w:rsid w:val="6D4F3441"/>
    <w:rsid w:val="6D56E851"/>
    <w:rsid w:val="6D57EA7B"/>
    <w:rsid w:val="6D5C5416"/>
    <w:rsid w:val="6D5E765E"/>
    <w:rsid w:val="6D5E93E7"/>
    <w:rsid w:val="6D646097"/>
    <w:rsid w:val="6D64A28D"/>
    <w:rsid w:val="6D6882E7"/>
    <w:rsid w:val="6D7387BA"/>
    <w:rsid w:val="6D76A131"/>
    <w:rsid w:val="6D77DD5C"/>
    <w:rsid w:val="6D80B328"/>
    <w:rsid w:val="6D839505"/>
    <w:rsid w:val="6D85BBC9"/>
    <w:rsid w:val="6D893020"/>
    <w:rsid w:val="6D8B4FD4"/>
    <w:rsid w:val="6D8BA047"/>
    <w:rsid w:val="6D8DFDC4"/>
    <w:rsid w:val="6D8E47F3"/>
    <w:rsid w:val="6D8F78A8"/>
    <w:rsid w:val="6D95F18B"/>
    <w:rsid w:val="6D976338"/>
    <w:rsid w:val="6D9BC1CC"/>
    <w:rsid w:val="6D9C0B62"/>
    <w:rsid w:val="6DA17497"/>
    <w:rsid w:val="6DA32CB0"/>
    <w:rsid w:val="6DA98F11"/>
    <w:rsid w:val="6DA9BD49"/>
    <w:rsid w:val="6DADFD6D"/>
    <w:rsid w:val="6DB40888"/>
    <w:rsid w:val="6DB457C4"/>
    <w:rsid w:val="6DB610BD"/>
    <w:rsid w:val="6DBB6D2B"/>
    <w:rsid w:val="6DBD68B9"/>
    <w:rsid w:val="6DBE9D3D"/>
    <w:rsid w:val="6DC28D06"/>
    <w:rsid w:val="6DC88224"/>
    <w:rsid w:val="6DCAE4E2"/>
    <w:rsid w:val="6DCBB02A"/>
    <w:rsid w:val="6DCE1F14"/>
    <w:rsid w:val="6DCF1CB3"/>
    <w:rsid w:val="6DD39253"/>
    <w:rsid w:val="6DD3F697"/>
    <w:rsid w:val="6DD903AA"/>
    <w:rsid w:val="6DDCDC2A"/>
    <w:rsid w:val="6DE1CF0E"/>
    <w:rsid w:val="6DE25EE4"/>
    <w:rsid w:val="6DE362B0"/>
    <w:rsid w:val="6DE582A4"/>
    <w:rsid w:val="6DE58F89"/>
    <w:rsid w:val="6DE87D4F"/>
    <w:rsid w:val="6DF140F5"/>
    <w:rsid w:val="6DF1719E"/>
    <w:rsid w:val="6E0184C7"/>
    <w:rsid w:val="6E05A773"/>
    <w:rsid w:val="6E07E5AD"/>
    <w:rsid w:val="6E0A31F2"/>
    <w:rsid w:val="6E0DBF74"/>
    <w:rsid w:val="6E0E864F"/>
    <w:rsid w:val="6E180521"/>
    <w:rsid w:val="6E1A752A"/>
    <w:rsid w:val="6E21C2B3"/>
    <w:rsid w:val="6E22D71F"/>
    <w:rsid w:val="6E24A4C6"/>
    <w:rsid w:val="6E2906EB"/>
    <w:rsid w:val="6E2D3984"/>
    <w:rsid w:val="6E2D8C2F"/>
    <w:rsid w:val="6E2DBDEC"/>
    <w:rsid w:val="6E2F62D8"/>
    <w:rsid w:val="6E2FD86C"/>
    <w:rsid w:val="6E32364F"/>
    <w:rsid w:val="6E3645AB"/>
    <w:rsid w:val="6E36FB2B"/>
    <w:rsid w:val="6E3789E1"/>
    <w:rsid w:val="6E3B7962"/>
    <w:rsid w:val="6E3BEBCB"/>
    <w:rsid w:val="6E3DBBA7"/>
    <w:rsid w:val="6E3F009F"/>
    <w:rsid w:val="6E47921F"/>
    <w:rsid w:val="6E4856EC"/>
    <w:rsid w:val="6E4E92A6"/>
    <w:rsid w:val="6E54853C"/>
    <w:rsid w:val="6E54AB90"/>
    <w:rsid w:val="6E55AEC4"/>
    <w:rsid w:val="6E6584C5"/>
    <w:rsid w:val="6E684242"/>
    <w:rsid w:val="6E6896F7"/>
    <w:rsid w:val="6E6D02CB"/>
    <w:rsid w:val="6E6DC8E3"/>
    <w:rsid w:val="6E71E620"/>
    <w:rsid w:val="6E7602A1"/>
    <w:rsid w:val="6E7B1514"/>
    <w:rsid w:val="6E8B94F8"/>
    <w:rsid w:val="6E8D4D62"/>
    <w:rsid w:val="6E9AE914"/>
    <w:rsid w:val="6E9C9928"/>
    <w:rsid w:val="6E9F916A"/>
    <w:rsid w:val="6EA3D7EA"/>
    <w:rsid w:val="6EA55948"/>
    <w:rsid w:val="6EA61515"/>
    <w:rsid w:val="6EA9E070"/>
    <w:rsid w:val="6EAAD389"/>
    <w:rsid w:val="6EAB7C36"/>
    <w:rsid w:val="6EABBD6E"/>
    <w:rsid w:val="6EACED0F"/>
    <w:rsid w:val="6EAFDDF9"/>
    <w:rsid w:val="6EB06769"/>
    <w:rsid w:val="6EB5282B"/>
    <w:rsid w:val="6EB72B30"/>
    <w:rsid w:val="6EB9AB55"/>
    <w:rsid w:val="6EB9DED4"/>
    <w:rsid w:val="6EBE331D"/>
    <w:rsid w:val="6EBEA434"/>
    <w:rsid w:val="6EC20119"/>
    <w:rsid w:val="6EC2B07D"/>
    <w:rsid w:val="6EC59C32"/>
    <w:rsid w:val="6EC6164B"/>
    <w:rsid w:val="6EC8DB12"/>
    <w:rsid w:val="6ECF71C0"/>
    <w:rsid w:val="6ED25C0A"/>
    <w:rsid w:val="6ED43263"/>
    <w:rsid w:val="6ED5AC94"/>
    <w:rsid w:val="6ED67202"/>
    <w:rsid w:val="6ED8604D"/>
    <w:rsid w:val="6ED94641"/>
    <w:rsid w:val="6EDA20FD"/>
    <w:rsid w:val="6EDEB58C"/>
    <w:rsid w:val="6EDFCE0C"/>
    <w:rsid w:val="6EE11633"/>
    <w:rsid w:val="6EE1D05E"/>
    <w:rsid w:val="6EE597A1"/>
    <w:rsid w:val="6EEBD396"/>
    <w:rsid w:val="6EF2977E"/>
    <w:rsid w:val="6EF70C55"/>
    <w:rsid w:val="6EF99AC6"/>
    <w:rsid w:val="6EF9C9D9"/>
    <w:rsid w:val="6EFBE289"/>
    <w:rsid w:val="6F0A3906"/>
    <w:rsid w:val="6F0B10A2"/>
    <w:rsid w:val="6F0F8F5A"/>
    <w:rsid w:val="6F140BF3"/>
    <w:rsid w:val="6F15477C"/>
    <w:rsid w:val="6F1A870B"/>
    <w:rsid w:val="6F1C4B4A"/>
    <w:rsid w:val="6F1DD82E"/>
    <w:rsid w:val="6F20358A"/>
    <w:rsid w:val="6F23296A"/>
    <w:rsid w:val="6F233537"/>
    <w:rsid w:val="6F2393CA"/>
    <w:rsid w:val="6F25F0B3"/>
    <w:rsid w:val="6F299D28"/>
    <w:rsid w:val="6F30133B"/>
    <w:rsid w:val="6F36E5C5"/>
    <w:rsid w:val="6F39D395"/>
    <w:rsid w:val="6F39ED5E"/>
    <w:rsid w:val="6F3B345C"/>
    <w:rsid w:val="6F3CEA73"/>
    <w:rsid w:val="6F3F2335"/>
    <w:rsid w:val="6F3FF381"/>
    <w:rsid w:val="6F415445"/>
    <w:rsid w:val="6F43C365"/>
    <w:rsid w:val="6F44E39F"/>
    <w:rsid w:val="6F44FD48"/>
    <w:rsid w:val="6F486842"/>
    <w:rsid w:val="6F4BCDA9"/>
    <w:rsid w:val="6F4C436E"/>
    <w:rsid w:val="6F4D9EF8"/>
    <w:rsid w:val="6F4F60C2"/>
    <w:rsid w:val="6F5115FD"/>
    <w:rsid w:val="6F521C6C"/>
    <w:rsid w:val="6F53DFD9"/>
    <w:rsid w:val="6F55F1E0"/>
    <w:rsid w:val="6F578EEE"/>
    <w:rsid w:val="6F5855B2"/>
    <w:rsid w:val="6F597ECD"/>
    <w:rsid w:val="6F5F833D"/>
    <w:rsid w:val="6F60ACC7"/>
    <w:rsid w:val="6F665D5B"/>
    <w:rsid w:val="6F66FA7E"/>
    <w:rsid w:val="6F6AAADA"/>
    <w:rsid w:val="6F6CB030"/>
    <w:rsid w:val="6F6CB0C5"/>
    <w:rsid w:val="6F6E4709"/>
    <w:rsid w:val="6F6E86EA"/>
    <w:rsid w:val="6F71AB18"/>
    <w:rsid w:val="6F79DBC7"/>
    <w:rsid w:val="6F805933"/>
    <w:rsid w:val="6F846616"/>
    <w:rsid w:val="6F85BAAE"/>
    <w:rsid w:val="6F8A3A14"/>
    <w:rsid w:val="6F8C1683"/>
    <w:rsid w:val="6F9200FC"/>
    <w:rsid w:val="6F9564F5"/>
    <w:rsid w:val="6F983143"/>
    <w:rsid w:val="6F9A7EF9"/>
    <w:rsid w:val="6F9D5AA3"/>
    <w:rsid w:val="6FA2677E"/>
    <w:rsid w:val="6FA50821"/>
    <w:rsid w:val="6FAA52FF"/>
    <w:rsid w:val="6FAE4938"/>
    <w:rsid w:val="6FB21B24"/>
    <w:rsid w:val="6FB280B9"/>
    <w:rsid w:val="6FB50848"/>
    <w:rsid w:val="6FB812FF"/>
    <w:rsid w:val="6FB9B738"/>
    <w:rsid w:val="6FB9D2DF"/>
    <w:rsid w:val="6FBC17B9"/>
    <w:rsid w:val="6FC02382"/>
    <w:rsid w:val="6FC872F4"/>
    <w:rsid w:val="6FC9955A"/>
    <w:rsid w:val="6FCA61D7"/>
    <w:rsid w:val="6FCA7257"/>
    <w:rsid w:val="6FD4BAC2"/>
    <w:rsid w:val="6FD9177A"/>
    <w:rsid w:val="6FD9D31E"/>
    <w:rsid w:val="6FDB7CC8"/>
    <w:rsid w:val="6FE06677"/>
    <w:rsid w:val="6FE0A02D"/>
    <w:rsid w:val="6FE609F4"/>
    <w:rsid w:val="6FED28C9"/>
    <w:rsid w:val="6FED5B82"/>
    <w:rsid w:val="6FEE39DB"/>
    <w:rsid w:val="6FEF8B1E"/>
    <w:rsid w:val="6FF564EC"/>
    <w:rsid w:val="6FFADE2C"/>
    <w:rsid w:val="6FFB1035"/>
    <w:rsid w:val="6FFB9E9F"/>
    <w:rsid w:val="6FFF0E84"/>
    <w:rsid w:val="70006A03"/>
    <w:rsid w:val="70011B8A"/>
    <w:rsid w:val="7009FAAB"/>
    <w:rsid w:val="700D0950"/>
    <w:rsid w:val="700F53BF"/>
    <w:rsid w:val="70114378"/>
    <w:rsid w:val="7016077D"/>
    <w:rsid w:val="7018CC93"/>
    <w:rsid w:val="701A7D03"/>
    <w:rsid w:val="701BB53C"/>
    <w:rsid w:val="701C6F34"/>
    <w:rsid w:val="701E9CA9"/>
    <w:rsid w:val="701F11A8"/>
    <w:rsid w:val="7021582E"/>
    <w:rsid w:val="7023C7D1"/>
    <w:rsid w:val="7026F5C4"/>
    <w:rsid w:val="7027AC38"/>
    <w:rsid w:val="702A204E"/>
    <w:rsid w:val="702FD9A5"/>
    <w:rsid w:val="70339F9F"/>
    <w:rsid w:val="7033FDAF"/>
    <w:rsid w:val="7037762E"/>
    <w:rsid w:val="7037E687"/>
    <w:rsid w:val="7038CFAB"/>
    <w:rsid w:val="70413ACB"/>
    <w:rsid w:val="7042B9CF"/>
    <w:rsid w:val="7043E147"/>
    <w:rsid w:val="7044B74C"/>
    <w:rsid w:val="704634E3"/>
    <w:rsid w:val="704F6566"/>
    <w:rsid w:val="70525C53"/>
    <w:rsid w:val="705429EB"/>
    <w:rsid w:val="70587A4D"/>
    <w:rsid w:val="705B8390"/>
    <w:rsid w:val="705CE388"/>
    <w:rsid w:val="705CE732"/>
    <w:rsid w:val="70615DC2"/>
    <w:rsid w:val="7063E65A"/>
    <w:rsid w:val="7065B842"/>
    <w:rsid w:val="706FEEB6"/>
    <w:rsid w:val="70746E06"/>
    <w:rsid w:val="707A49E2"/>
    <w:rsid w:val="707B70F1"/>
    <w:rsid w:val="707EC0FD"/>
    <w:rsid w:val="70853D2A"/>
    <w:rsid w:val="7085A262"/>
    <w:rsid w:val="708692D5"/>
    <w:rsid w:val="70876676"/>
    <w:rsid w:val="7089AC7A"/>
    <w:rsid w:val="708A09CE"/>
    <w:rsid w:val="708EACCE"/>
    <w:rsid w:val="708FB074"/>
    <w:rsid w:val="70903E24"/>
    <w:rsid w:val="70928328"/>
    <w:rsid w:val="7099418C"/>
    <w:rsid w:val="709AD1C5"/>
    <w:rsid w:val="70A57B71"/>
    <w:rsid w:val="70A73AD9"/>
    <w:rsid w:val="70AE2857"/>
    <w:rsid w:val="70AE8A08"/>
    <w:rsid w:val="70B0EC54"/>
    <w:rsid w:val="70B34D48"/>
    <w:rsid w:val="70B56310"/>
    <w:rsid w:val="70B7DF42"/>
    <w:rsid w:val="70B7F22A"/>
    <w:rsid w:val="70B94836"/>
    <w:rsid w:val="70BD6DD1"/>
    <w:rsid w:val="70C02116"/>
    <w:rsid w:val="70C3CF6C"/>
    <w:rsid w:val="70C4125D"/>
    <w:rsid w:val="70C69EF9"/>
    <w:rsid w:val="70CB365A"/>
    <w:rsid w:val="70CBB3B5"/>
    <w:rsid w:val="70CC2C09"/>
    <w:rsid w:val="70CE1A3B"/>
    <w:rsid w:val="70CE61BD"/>
    <w:rsid w:val="70CFB885"/>
    <w:rsid w:val="70D84F3F"/>
    <w:rsid w:val="70DAC833"/>
    <w:rsid w:val="70DB520A"/>
    <w:rsid w:val="70DF1DDE"/>
    <w:rsid w:val="70E005EC"/>
    <w:rsid w:val="70E09A4C"/>
    <w:rsid w:val="70E3889A"/>
    <w:rsid w:val="70E521A9"/>
    <w:rsid w:val="70E891B2"/>
    <w:rsid w:val="70E9A731"/>
    <w:rsid w:val="70EE13CE"/>
    <w:rsid w:val="70F769DD"/>
    <w:rsid w:val="70F7718A"/>
    <w:rsid w:val="70F96CEF"/>
    <w:rsid w:val="70FB42BD"/>
    <w:rsid w:val="71041805"/>
    <w:rsid w:val="7105CB3F"/>
    <w:rsid w:val="710791F3"/>
    <w:rsid w:val="710AB690"/>
    <w:rsid w:val="710D5616"/>
    <w:rsid w:val="710F9A7C"/>
    <w:rsid w:val="710FE4A1"/>
    <w:rsid w:val="711125A7"/>
    <w:rsid w:val="7116AFFF"/>
    <w:rsid w:val="7118BE91"/>
    <w:rsid w:val="7118CB77"/>
    <w:rsid w:val="71205A5D"/>
    <w:rsid w:val="71252E14"/>
    <w:rsid w:val="712716CF"/>
    <w:rsid w:val="712934B0"/>
    <w:rsid w:val="712C5802"/>
    <w:rsid w:val="712D1CF3"/>
    <w:rsid w:val="712DBA2F"/>
    <w:rsid w:val="71331759"/>
    <w:rsid w:val="7133B499"/>
    <w:rsid w:val="713B42E5"/>
    <w:rsid w:val="713FBDCF"/>
    <w:rsid w:val="7141C7EC"/>
    <w:rsid w:val="714A4CB5"/>
    <w:rsid w:val="714A8614"/>
    <w:rsid w:val="714C45F8"/>
    <w:rsid w:val="714D53E9"/>
    <w:rsid w:val="714F98C7"/>
    <w:rsid w:val="715040DB"/>
    <w:rsid w:val="71525CD6"/>
    <w:rsid w:val="7155D516"/>
    <w:rsid w:val="71582481"/>
    <w:rsid w:val="7159B84E"/>
    <w:rsid w:val="715E347B"/>
    <w:rsid w:val="716016F9"/>
    <w:rsid w:val="71628E29"/>
    <w:rsid w:val="7162F9E9"/>
    <w:rsid w:val="71687D0F"/>
    <w:rsid w:val="7169B6D1"/>
    <w:rsid w:val="7169E73E"/>
    <w:rsid w:val="716D5865"/>
    <w:rsid w:val="716DB6C7"/>
    <w:rsid w:val="71727F00"/>
    <w:rsid w:val="71751612"/>
    <w:rsid w:val="71771838"/>
    <w:rsid w:val="7177C9F2"/>
    <w:rsid w:val="7177D33C"/>
    <w:rsid w:val="7184D085"/>
    <w:rsid w:val="71858800"/>
    <w:rsid w:val="718C4CBD"/>
    <w:rsid w:val="71927EC8"/>
    <w:rsid w:val="719585BD"/>
    <w:rsid w:val="719675DE"/>
    <w:rsid w:val="7196D18E"/>
    <w:rsid w:val="7197149E"/>
    <w:rsid w:val="71977214"/>
    <w:rsid w:val="7197DA88"/>
    <w:rsid w:val="719C58A2"/>
    <w:rsid w:val="71A13CB1"/>
    <w:rsid w:val="71AAA760"/>
    <w:rsid w:val="71AB5270"/>
    <w:rsid w:val="71B22D7F"/>
    <w:rsid w:val="71B277F3"/>
    <w:rsid w:val="71B2B13B"/>
    <w:rsid w:val="71B7D8BD"/>
    <w:rsid w:val="71B7DF7A"/>
    <w:rsid w:val="71B9B4CA"/>
    <w:rsid w:val="71BF15A3"/>
    <w:rsid w:val="71C027CD"/>
    <w:rsid w:val="71C0F58D"/>
    <w:rsid w:val="71C29D4A"/>
    <w:rsid w:val="71C6144D"/>
    <w:rsid w:val="71CDEA62"/>
    <w:rsid w:val="71CE5D14"/>
    <w:rsid w:val="71CF65F7"/>
    <w:rsid w:val="71D17F1A"/>
    <w:rsid w:val="71DB8EB9"/>
    <w:rsid w:val="71DC514F"/>
    <w:rsid w:val="71DEE235"/>
    <w:rsid w:val="71DF3D11"/>
    <w:rsid w:val="71E4C21E"/>
    <w:rsid w:val="71ECADAF"/>
    <w:rsid w:val="71EEA0E6"/>
    <w:rsid w:val="71F1BF95"/>
    <w:rsid w:val="71F9A6B1"/>
    <w:rsid w:val="71FDBEE4"/>
    <w:rsid w:val="7203C8C4"/>
    <w:rsid w:val="7204B571"/>
    <w:rsid w:val="7206FB4A"/>
    <w:rsid w:val="7209DEFD"/>
    <w:rsid w:val="7217ECAA"/>
    <w:rsid w:val="721A6319"/>
    <w:rsid w:val="72215560"/>
    <w:rsid w:val="722171DA"/>
    <w:rsid w:val="7222BE2A"/>
    <w:rsid w:val="72230893"/>
    <w:rsid w:val="72255D3D"/>
    <w:rsid w:val="7227FD9B"/>
    <w:rsid w:val="722FBD7C"/>
    <w:rsid w:val="72324240"/>
    <w:rsid w:val="72324533"/>
    <w:rsid w:val="72354451"/>
    <w:rsid w:val="7239B854"/>
    <w:rsid w:val="723C73D8"/>
    <w:rsid w:val="723DBD55"/>
    <w:rsid w:val="723EDDFB"/>
    <w:rsid w:val="7240B32E"/>
    <w:rsid w:val="7240DD88"/>
    <w:rsid w:val="72465C7D"/>
    <w:rsid w:val="724670DB"/>
    <w:rsid w:val="7248A418"/>
    <w:rsid w:val="7248E483"/>
    <w:rsid w:val="72522E94"/>
    <w:rsid w:val="725307E8"/>
    <w:rsid w:val="7260CB05"/>
    <w:rsid w:val="726764FF"/>
    <w:rsid w:val="72695BCB"/>
    <w:rsid w:val="726AD77B"/>
    <w:rsid w:val="726DA995"/>
    <w:rsid w:val="7270BB3A"/>
    <w:rsid w:val="72780F0D"/>
    <w:rsid w:val="727F36E1"/>
    <w:rsid w:val="72885947"/>
    <w:rsid w:val="7288851F"/>
    <w:rsid w:val="728DDCCD"/>
    <w:rsid w:val="728E129D"/>
    <w:rsid w:val="728E56DD"/>
    <w:rsid w:val="7293519D"/>
    <w:rsid w:val="7293EA92"/>
    <w:rsid w:val="72942A1E"/>
    <w:rsid w:val="729C9E0A"/>
    <w:rsid w:val="729D41F8"/>
    <w:rsid w:val="72A45EF4"/>
    <w:rsid w:val="72AC38AA"/>
    <w:rsid w:val="72AC7203"/>
    <w:rsid w:val="72AFD35A"/>
    <w:rsid w:val="72B04B83"/>
    <w:rsid w:val="72B340C5"/>
    <w:rsid w:val="72B452DD"/>
    <w:rsid w:val="72B606A7"/>
    <w:rsid w:val="72B626CB"/>
    <w:rsid w:val="72B80B2C"/>
    <w:rsid w:val="72B8DD76"/>
    <w:rsid w:val="72B8F768"/>
    <w:rsid w:val="72BCDF8E"/>
    <w:rsid w:val="72C0F84B"/>
    <w:rsid w:val="72C5CD43"/>
    <w:rsid w:val="72CE0D6D"/>
    <w:rsid w:val="72CFD07A"/>
    <w:rsid w:val="72D2B806"/>
    <w:rsid w:val="72D3F529"/>
    <w:rsid w:val="72D5FA83"/>
    <w:rsid w:val="72D8E4DB"/>
    <w:rsid w:val="72DA4F75"/>
    <w:rsid w:val="72E026B2"/>
    <w:rsid w:val="72E033F3"/>
    <w:rsid w:val="72E04A65"/>
    <w:rsid w:val="72E43761"/>
    <w:rsid w:val="72E55B0E"/>
    <w:rsid w:val="72E8D93C"/>
    <w:rsid w:val="72EAC839"/>
    <w:rsid w:val="72EB943A"/>
    <w:rsid w:val="72EB9A4E"/>
    <w:rsid w:val="72ED0531"/>
    <w:rsid w:val="72ED084F"/>
    <w:rsid w:val="72EEC6D6"/>
    <w:rsid w:val="72EFC2AE"/>
    <w:rsid w:val="72F09EA5"/>
    <w:rsid w:val="72F1C608"/>
    <w:rsid w:val="72F2FDE3"/>
    <w:rsid w:val="72F36C78"/>
    <w:rsid w:val="72F3AD20"/>
    <w:rsid w:val="72F670EB"/>
    <w:rsid w:val="72FCF222"/>
    <w:rsid w:val="72FD9E54"/>
    <w:rsid w:val="73020A9C"/>
    <w:rsid w:val="73031A69"/>
    <w:rsid w:val="7307E917"/>
    <w:rsid w:val="7308D72F"/>
    <w:rsid w:val="730DFBE0"/>
    <w:rsid w:val="73112D47"/>
    <w:rsid w:val="731142A1"/>
    <w:rsid w:val="731167E4"/>
    <w:rsid w:val="731219C0"/>
    <w:rsid w:val="731470C8"/>
    <w:rsid w:val="7316AC0D"/>
    <w:rsid w:val="73173F67"/>
    <w:rsid w:val="731836E0"/>
    <w:rsid w:val="731B771D"/>
    <w:rsid w:val="7321A893"/>
    <w:rsid w:val="73221807"/>
    <w:rsid w:val="73223AB2"/>
    <w:rsid w:val="73268F0F"/>
    <w:rsid w:val="7328EDAC"/>
    <w:rsid w:val="73293C02"/>
    <w:rsid w:val="732AC692"/>
    <w:rsid w:val="732B6EA2"/>
    <w:rsid w:val="732B7D92"/>
    <w:rsid w:val="732B8805"/>
    <w:rsid w:val="732B8F08"/>
    <w:rsid w:val="732BA5AA"/>
    <w:rsid w:val="73322CDD"/>
    <w:rsid w:val="7337BA0E"/>
    <w:rsid w:val="7339B227"/>
    <w:rsid w:val="733AF197"/>
    <w:rsid w:val="733F9456"/>
    <w:rsid w:val="73406C83"/>
    <w:rsid w:val="7345308B"/>
    <w:rsid w:val="73527627"/>
    <w:rsid w:val="7352C651"/>
    <w:rsid w:val="7354591F"/>
    <w:rsid w:val="7354C785"/>
    <w:rsid w:val="7354CA3F"/>
    <w:rsid w:val="7356215B"/>
    <w:rsid w:val="7358FADA"/>
    <w:rsid w:val="735EA9FF"/>
    <w:rsid w:val="735F882C"/>
    <w:rsid w:val="7360C6CC"/>
    <w:rsid w:val="73647D35"/>
    <w:rsid w:val="736CEF5A"/>
    <w:rsid w:val="736DE538"/>
    <w:rsid w:val="736E4EE3"/>
    <w:rsid w:val="73718C2B"/>
    <w:rsid w:val="7376CD00"/>
    <w:rsid w:val="7376E3CD"/>
    <w:rsid w:val="7378F6CE"/>
    <w:rsid w:val="737914EB"/>
    <w:rsid w:val="73792ADB"/>
    <w:rsid w:val="737A4AC0"/>
    <w:rsid w:val="737A6753"/>
    <w:rsid w:val="737D0F83"/>
    <w:rsid w:val="737FE12F"/>
    <w:rsid w:val="738347BF"/>
    <w:rsid w:val="7385CB8F"/>
    <w:rsid w:val="7388DCC5"/>
    <w:rsid w:val="7388E7C1"/>
    <w:rsid w:val="7389194F"/>
    <w:rsid w:val="738A642B"/>
    <w:rsid w:val="738CA5CB"/>
    <w:rsid w:val="738E4B36"/>
    <w:rsid w:val="738E6CB1"/>
    <w:rsid w:val="739153FD"/>
    <w:rsid w:val="7397B8A2"/>
    <w:rsid w:val="739829CA"/>
    <w:rsid w:val="7398B17C"/>
    <w:rsid w:val="739E5D42"/>
    <w:rsid w:val="739E96A7"/>
    <w:rsid w:val="73A282C3"/>
    <w:rsid w:val="73A53E57"/>
    <w:rsid w:val="73A70052"/>
    <w:rsid w:val="73A7F855"/>
    <w:rsid w:val="73AD7612"/>
    <w:rsid w:val="73AEF080"/>
    <w:rsid w:val="73AFBF1D"/>
    <w:rsid w:val="73B04F5C"/>
    <w:rsid w:val="73B0BD30"/>
    <w:rsid w:val="73BAB17C"/>
    <w:rsid w:val="73BC2306"/>
    <w:rsid w:val="73BD0EF0"/>
    <w:rsid w:val="73C11DC4"/>
    <w:rsid w:val="73C2615B"/>
    <w:rsid w:val="73C736D9"/>
    <w:rsid w:val="73C94949"/>
    <w:rsid w:val="73CB355E"/>
    <w:rsid w:val="73CDF015"/>
    <w:rsid w:val="73CE230B"/>
    <w:rsid w:val="73CFF668"/>
    <w:rsid w:val="73D1CDEC"/>
    <w:rsid w:val="73D5B239"/>
    <w:rsid w:val="73D62670"/>
    <w:rsid w:val="73D6F068"/>
    <w:rsid w:val="73DCF4B9"/>
    <w:rsid w:val="73DE343F"/>
    <w:rsid w:val="73E1822E"/>
    <w:rsid w:val="73E2538F"/>
    <w:rsid w:val="73E29BC1"/>
    <w:rsid w:val="73E2E473"/>
    <w:rsid w:val="73E4FAED"/>
    <w:rsid w:val="73E5A925"/>
    <w:rsid w:val="73E669F0"/>
    <w:rsid w:val="73E737C3"/>
    <w:rsid w:val="73E88CAC"/>
    <w:rsid w:val="73EB27B2"/>
    <w:rsid w:val="73EC0039"/>
    <w:rsid w:val="73EFB0BC"/>
    <w:rsid w:val="73F1179D"/>
    <w:rsid w:val="73F19A74"/>
    <w:rsid w:val="73F331EE"/>
    <w:rsid w:val="73F3DE20"/>
    <w:rsid w:val="73F700B3"/>
    <w:rsid w:val="73F7DEAE"/>
    <w:rsid w:val="74022A54"/>
    <w:rsid w:val="7403DEC3"/>
    <w:rsid w:val="74052C2C"/>
    <w:rsid w:val="74059B07"/>
    <w:rsid w:val="7406DB39"/>
    <w:rsid w:val="740A0DC2"/>
    <w:rsid w:val="740B1D09"/>
    <w:rsid w:val="741C6DFD"/>
    <w:rsid w:val="741D80EB"/>
    <w:rsid w:val="741E9FD1"/>
    <w:rsid w:val="741EEE38"/>
    <w:rsid w:val="742583DD"/>
    <w:rsid w:val="7425DD63"/>
    <w:rsid w:val="742C9D1E"/>
    <w:rsid w:val="74311A4B"/>
    <w:rsid w:val="7431DFAE"/>
    <w:rsid w:val="743C38B9"/>
    <w:rsid w:val="743EE681"/>
    <w:rsid w:val="743F528D"/>
    <w:rsid w:val="74408CA7"/>
    <w:rsid w:val="744174DD"/>
    <w:rsid w:val="7443C02D"/>
    <w:rsid w:val="7444A02E"/>
    <w:rsid w:val="74463E0F"/>
    <w:rsid w:val="7448899F"/>
    <w:rsid w:val="7448E467"/>
    <w:rsid w:val="744A89A1"/>
    <w:rsid w:val="744BE88C"/>
    <w:rsid w:val="7455B3CC"/>
    <w:rsid w:val="745A6A87"/>
    <w:rsid w:val="74627D2C"/>
    <w:rsid w:val="74643C04"/>
    <w:rsid w:val="7469C56D"/>
    <w:rsid w:val="746B9141"/>
    <w:rsid w:val="7477060C"/>
    <w:rsid w:val="747B15F1"/>
    <w:rsid w:val="747C7F90"/>
    <w:rsid w:val="747DCB27"/>
    <w:rsid w:val="7480AC69"/>
    <w:rsid w:val="7481AA03"/>
    <w:rsid w:val="74881AAF"/>
    <w:rsid w:val="7488910E"/>
    <w:rsid w:val="748C5AF0"/>
    <w:rsid w:val="748D96A1"/>
    <w:rsid w:val="748F97C3"/>
    <w:rsid w:val="74923493"/>
    <w:rsid w:val="7493418D"/>
    <w:rsid w:val="7493E86C"/>
    <w:rsid w:val="74941EBA"/>
    <w:rsid w:val="7494B5BB"/>
    <w:rsid w:val="7495EBBF"/>
    <w:rsid w:val="74966C17"/>
    <w:rsid w:val="74968EF2"/>
    <w:rsid w:val="74A19DAC"/>
    <w:rsid w:val="74A2BBE0"/>
    <w:rsid w:val="74AC9450"/>
    <w:rsid w:val="74AF4118"/>
    <w:rsid w:val="74B00318"/>
    <w:rsid w:val="74B075DA"/>
    <w:rsid w:val="74B1AC5B"/>
    <w:rsid w:val="74B1D9AA"/>
    <w:rsid w:val="74B3685D"/>
    <w:rsid w:val="74B53899"/>
    <w:rsid w:val="74B65DC7"/>
    <w:rsid w:val="74B72B6E"/>
    <w:rsid w:val="74C1AD27"/>
    <w:rsid w:val="74C2B691"/>
    <w:rsid w:val="74C88B07"/>
    <w:rsid w:val="74CE8AE2"/>
    <w:rsid w:val="74CF4D76"/>
    <w:rsid w:val="74D255EF"/>
    <w:rsid w:val="74D59957"/>
    <w:rsid w:val="74D62076"/>
    <w:rsid w:val="74D8C1A1"/>
    <w:rsid w:val="74D8C2C4"/>
    <w:rsid w:val="74DA0EA3"/>
    <w:rsid w:val="74DA2F3E"/>
    <w:rsid w:val="74DAF1AF"/>
    <w:rsid w:val="74DC0EBB"/>
    <w:rsid w:val="74DD9A72"/>
    <w:rsid w:val="74E22DB7"/>
    <w:rsid w:val="74E3AAC1"/>
    <w:rsid w:val="74E5033F"/>
    <w:rsid w:val="74E54E42"/>
    <w:rsid w:val="74E92CAC"/>
    <w:rsid w:val="74E9438D"/>
    <w:rsid w:val="74EBB26D"/>
    <w:rsid w:val="74EBDC71"/>
    <w:rsid w:val="74F1EA5F"/>
    <w:rsid w:val="74F25DC7"/>
    <w:rsid w:val="74F31315"/>
    <w:rsid w:val="74FADF0D"/>
    <w:rsid w:val="7509402E"/>
    <w:rsid w:val="750AED1E"/>
    <w:rsid w:val="750C7E61"/>
    <w:rsid w:val="750D8FD3"/>
    <w:rsid w:val="750F7CCF"/>
    <w:rsid w:val="751034EB"/>
    <w:rsid w:val="7514F2A1"/>
    <w:rsid w:val="751B7063"/>
    <w:rsid w:val="751BF19F"/>
    <w:rsid w:val="751E6F1C"/>
    <w:rsid w:val="751EB124"/>
    <w:rsid w:val="75204297"/>
    <w:rsid w:val="75225E84"/>
    <w:rsid w:val="75228111"/>
    <w:rsid w:val="75248853"/>
    <w:rsid w:val="752BF786"/>
    <w:rsid w:val="752CF764"/>
    <w:rsid w:val="752F851F"/>
    <w:rsid w:val="7532C48F"/>
    <w:rsid w:val="753391C2"/>
    <w:rsid w:val="75391ACC"/>
    <w:rsid w:val="75398975"/>
    <w:rsid w:val="75399EDA"/>
    <w:rsid w:val="753A4DCE"/>
    <w:rsid w:val="753AB6FD"/>
    <w:rsid w:val="753DF294"/>
    <w:rsid w:val="754019BB"/>
    <w:rsid w:val="7544460B"/>
    <w:rsid w:val="7548A216"/>
    <w:rsid w:val="7549B61E"/>
    <w:rsid w:val="754C09C4"/>
    <w:rsid w:val="755315A2"/>
    <w:rsid w:val="7554259C"/>
    <w:rsid w:val="75542CE0"/>
    <w:rsid w:val="7554422C"/>
    <w:rsid w:val="75561457"/>
    <w:rsid w:val="7559616B"/>
    <w:rsid w:val="755E6B0B"/>
    <w:rsid w:val="755F6C9F"/>
    <w:rsid w:val="7569CD11"/>
    <w:rsid w:val="756A2544"/>
    <w:rsid w:val="756E5FC5"/>
    <w:rsid w:val="7570BD6E"/>
    <w:rsid w:val="757184FD"/>
    <w:rsid w:val="7571C855"/>
    <w:rsid w:val="75724F2D"/>
    <w:rsid w:val="75725DC2"/>
    <w:rsid w:val="757397E4"/>
    <w:rsid w:val="7576A7CE"/>
    <w:rsid w:val="75782138"/>
    <w:rsid w:val="758AF389"/>
    <w:rsid w:val="758B8D3D"/>
    <w:rsid w:val="758F3526"/>
    <w:rsid w:val="75935A32"/>
    <w:rsid w:val="75949F80"/>
    <w:rsid w:val="7595810E"/>
    <w:rsid w:val="7596B5D2"/>
    <w:rsid w:val="75980F4C"/>
    <w:rsid w:val="7598FD33"/>
    <w:rsid w:val="759A4E64"/>
    <w:rsid w:val="759B85E6"/>
    <w:rsid w:val="759BA3D8"/>
    <w:rsid w:val="75A7946E"/>
    <w:rsid w:val="75AA03DB"/>
    <w:rsid w:val="75B34610"/>
    <w:rsid w:val="75BC215B"/>
    <w:rsid w:val="75C547E3"/>
    <w:rsid w:val="75CA63B1"/>
    <w:rsid w:val="75CABCB4"/>
    <w:rsid w:val="75CF2F93"/>
    <w:rsid w:val="75D16928"/>
    <w:rsid w:val="75D17C73"/>
    <w:rsid w:val="75D55D00"/>
    <w:rsid w:val="75D8C263"/>
    <w:rsid w:val="75D92386"/>
    <w:rsid w:val="75DB4FB2"/>
    <w:rsid w:val="75DD2336"/>
    <w:rsid w:val="75E0FFFE"/>
    <w:rsid w:val="75E31736"/>
    <w:rsid w:val="75E48582"/>
    <w:rsid w:val="75E9B400"/>
    <w:rsid w:val="75EAE2DA"/>
    <w:rsid w:val="75ECC65C"/>
    <w:rsid w:val="75ED85BB"/>
    <w:rsid w:val="75F44FE4"/>
    <w:rsid w:val="75F8D988"/>
    <w:rsid w:val="76056887"/>
    <w:rsid w:val="76068199"/>
    <w:rsid w:val="7606A95A"/>
    <w:rsid w:val="760D1A52"/>
    <w:rsid w:val="7610A0C0"/>
    <w:rsid w:val="76125E9E"/>
    <w:rsid w:val="76173178"/>
    <w:rsid w:val="76184899"/>
    <w:rsid w:val="76186CDA"/>
    <w:rsid w:val="761B18E4"/>
    <w:rsid w:val="761EF8A3"/>
    <w:rsid w:val="761F8D8F"/>
    <w:rsid w:val="761FBA05"/>
    <w:rsid w:val="76203B18"/>
    <w:rsid w:val="7620711F"/>
    <w:rsid w:val="762091FE"/>
    <w:rsid w:val="7620F6C8"/>
    <w:rsid w:val="76247355"/>
    <w:rsid w:val="7629AC5C"/>
    <w:rsid w:val="762A6399"/>
    <w:rsid w:val="762BB19A"/>
    <w:rsid w:val="762E1E9D"/>
    <w:rsid w:val="763115A6"/>
    <w:rsid w:val="7637B998"/>
    <w:rsid w:val="763CEBDB"/>
    <w:rsid w:val="763EDAAB"/>
    <w:rsid w:val="763EFE34"/>
    <w:rsid w:val="763F4A48"/>
    <w:rsid w:val="76420EEF"/>
    <w:rsid w:val="76440C13"/>
    <w:rsid w:val="764452A9"/>
    <w:rsid w:val="76448D84"/>
    <w:rsid w:val="76461976"/>
    <w:rsid w:val="7648BEB1"/>
    <w:rsid w:val="764EBFFB"/>
    <w:rsid w:val="76506FC0"/>
    <w:rsid w:val="765111EA"/>
    <w:rsid w:val="765440D3"/>
    <w:rsid w:val="7656AC4A"/>
    <w:rsid w:val="765B55F6"/>
    <w:rsid w:val="7660FF31"/>
    <w:rsid w:val="7661026F"/>
    <w:rsid w:val="7663F2AC"/>
    <w:rsid w:val="766D8EE1"/>
    <w:rsid w:val="76718F40"/>
    <w:rsid w:val="76761277"/>
    <w:rsid w:val="7676611D"/>
    <w:rsid w:val="7677D341"/>
    <w:rsid w:val="7677DB3E"/>
    <w:rsid w:val="767A2CE3"/>
    <w:rsid w:val="767E3D63"/>
    <w:rsid w:val="76824775"/>
    <w:rsid w:val="768451CB"/>
    <w:rsid w:val="7685F538"/>
    <w:rsid w:val="768AB3BB"/>
    <w:rsid w:val="768B4FF8"/>
    <w:rsid w:val="768BCC92"/>
    <w:rsid w:val="768F237F"/>
    <w:rsid w:val="7692EBCC"/>
    <w:rsid w:val="7692F0EB"/>
    <w:rsid w:val="7694B0AA"/>
    <w:rsid w:val="7694E787"/>
    <w:rsid w:val="76950B02"/>
    <w:rsid w:val="76952575"/>
    <w:rsid w:val="7698C47B"/>
    <w:rsid w:val="769911BE"/>
    <w:rsid w:val="769C0308"/>
    <w:rsid w:val="76A0C041"/>
    <w:rsid w:val="76A38D13"/>
    <w:rsid w:val="76A3D150"/>
    <w:rsid w:val="76A4D749"/>
    <w:rsid w:val="76A65C73"/>
    <w:rsid w:val="76A76E24"/>
    <w:rsid w:val="76A7AF47"/>
    <w:rsid w:val="76A90652"/>
    <w:rsid w:val="76A9EEE2"/>
    <w:rsid w:val="76AB6A0C"/>
    <w:rsid w:val="76ABF63A"/>
    <w:rsid w:val="76AC7085"/>
    <w:rsid w:val="76B19D32"/>
    <w:rsid w:val="76B4BBD7"/>
    <w:rsid w:val="76B93F81"/>
    <w:rsid w:val="76BED0B9"/>
    <w:rsid w:val="76BF39D8"/>
    <w:rsid w:val="76C6D124"/>
    <w:rsid w:val="76C83731"/>
    <w:rsid w:val="76C9B17A"/>
    <w:rsid w:val="76CDA150"/>
    <w:rsid w:val="76CE3F46"/>
    <w:rsid w:val="76CFFE91"/>
    <w:rsid w:val="76D0211B"/>
    <w:rsid w:val="76D187B0"/>
    <w:rsid w:val="76D20F57"/>
    <w:rsid w:val="76D7E6CC"/>
    <w:rsid w:val="76D80DA6"/>
    <w:rsid w:val="76DC9E79"/>
    <w:rsid w:val="76DE6BA5"/>
    <w:rsid w:val="76E02801"/>
    <w:rsid w:val="76E0F74B"/>
    <w:rsid w:val="76E3B4E9"/>
    <w:rsid w:val="76E3CF74"/>
    <w:rsid w:val="76E53927"/>
    <w:rsid w:val="76E8E6A7"/>
    <w:rsid w:val="76ED0888"/>
    <w:rsid w:val="76F03160"/>
    <w:rsid w:val="76F6F40D"/>
    <w:rsid w:val="76F7BE20"/>
    <w:rsid w:val="76F95518"/>
    <w:rsid w:val="770213D3"/>
    <w:rsid w:val="7702ECBF"/>
    <w:rsid w:val="7706811F"/>
    <w:rsid w:val="7709A07D"/>
    <w:rsid w:val="770CE695"/>
    <w:rsid w:val="770D3A1A"/>
    <w:rsid w:val="770D8C28"/>
    <w:rsid w:val="770EF0EF"/>
    <w:rsid w:val="77138456"/>
    <w:rsid w:val="771919C5"/>
    <w:rsid w:val="771BAADC"/>
    <w:rsid w:val="771C0066"/>
    <w:rsid w:val="771DACC0"/>
    <w:rsid w:val="771E226C"/>
    <w:rsid w:val="771EC60E"/>
    <w:rsid w:val="7720F7C5"/>
    <w:rsid w:val="77219D02"/>
    <w:rsid w:val="772488EC"/>
    <w:rsid w:val="772915EB"/>
    <w:rsid w:val="77292F3E"/>
    <w:rsid w:val="772BB275"/>
    <w:rsid w:val="772D8415"/>
    <w:rsid w:val="77317C52"/>
    <w:rsid w:val="7731EF5D"/>
    <w:rsid w:val="7734914B"/>
    <w:rsid w:val="773574AA"/>
    <w:rsid w:val="7736648A"/>
    <w:rsid w:val="773C2760"/>
    <w:rsid w:val="773C31B5"/>
    <w:rsid w:val="773E1956"/>
    <w:rsid w:val="773E4ED1"/>
    <w:rsid w:val="77408739"/>
    <w:rsid w:val="77425675"/>
    <w:rsid w:val="7756490B"/>
    <w:rsid w:val="7763ECE6"/>
    <w:rsid w:val="77660E44"/>
    <w:rsid w:val="776A9FA2"/>
    <w:rsid w:val="776C5C7D"/>
    <w:rsid w:val="7771017D"/>
    <w:rsid w:val="7778618B"/>
    <w:rsid w:val="778074BD"/>
    <w:rsid w:val="7780787C"/>
    <w:rsid w:val="7784F13C"/>
    <w:rsid w:val="77878575"/>
    <w:rsid w:val="7788D5AB"/>
    <w:rsid w:val="778A00D8"/>
    <w:rsid w:val="778A5750"/>
    <w:rsid w:val="778DD95D"/>
    <w:rsid w:val="7792126E"/>
    <w:rsid w:val="7793FA50"/>
    <w:rsid w:val="77956E91"/>
    <w:rsid w:val="7797733A"/>
    <w:rsid w:val="779AFCD8"/>
    <w:rsid w:val="779C1654"/>
    <w:rsid w:val="77A0D651"/>
    <w:rsid w:val="77A4B64E"/>
    <w:rsid w:val="77AFFF42"/>
    <w:rsid w:val="77B2A925"/>
    <w:rsid w:val="77B499C5"/>
    <w:rsid w:val="77B61013"/>
    <w:rsid w:val="77B70356"/>
    <w:rsid w:val="77B86F13"/>
    <w:rsid w:val="77B97BDF"/>
    <w:rsid w:val="77BAD67D"/>
    <w:rsid w:val="77BF32A8"/>
    <w:rsid w:val="77C0A6C8"/>
    <w:rsid w:val="77C120AA"/>
    <w:rsid w:val="77C1F315"/>
    <w:rsid w:val="77C4323C"/>
    <w:rsid w:val="77C67F33"/>
    <w:rsid w:val="77C8A8C3"/>
    <w:rsid w:val="77C9CE4B"/>
    <w:rsid w:val="77C9D223"/>
    <w:rsid w:val="77CAA2CF"/>
    <w:rsid w:val="77CAECE5"/>
    <w:rsid w:val="77D09CF9"/>
    <w:rsid w:val="77D20996"/>
    <w:rsid w:val="77D57773"/>
    <w:rsid w:val="77D77804"/>
    <w:rsid w:val="77D7A1C7"/>
    <w:rsid w:val="77DA1A63"/>
    <w:rsid w:val="77DBD5EE"/>
    <w:rsid w:val="77DBD9AA"/>
    <w:rsid w:val="77DD232D"/>
    <w:rsid w:val="77DE4351"/>
    <w:rsid w:val="77DF9D84"/>
    <w:rsid w:val="77E16809"/>
    <w:rsid w:val="77E7C29E"/>
    <w:rsid w:val="77EBD276"/>
    <w:rsid w:val="77EDD5ED"/>
    <w:rsid w:val="77F032D5"/>
    <w:rsid w:val="77F1126D"/>
    <w:rsid w:val="77F614C6"/>
    <w:rsid w:val="77F79054"/>
    <w:rsid w:val="77F7D11C"/>
    <w:rsid w:val="77F9EA21"/>
    <w:rsid w:val="77FE5A23"/>
    <w:rsid w:val="77FF5F53"/>
    <w:rsid w:val="78031D1D"/>
    <w:rsid w:val="780743F9"/>
    <w:rsid w:val="7809A602"/>
    <w:rsid w:val="780A6B06"/>
    <w:rsid w:val="780BECE2"/>
    <w:rsid w:val="780D7744"/>
    <w:rsid w:val="7810E6A2"/>
    <w:rsid w:val="7811109D"/>
    <w:rsid w:val="78133B26"/>
    <w:rsid w:val="7813A501"/>
    <w:rsid w:val="7817169A"/>
    <w:rsid w:val="78184276"/>
    <w:rsid w:val="781C5C05"/>
    <w:rsid w:val="781D0D61"/>
    <w:rsid w:val="781F75F5"/>
    <w:rsid w:val="782295A1"/>
    <w:rsid w:val="78251F4B"/>
    <w:rsid w:val="7825251E"/>
    <w:rsid w:val="78291D8C"/>
    <w:rsid w:val="782EBFDA"/>
    <w:rsid w:val="78337B54"/>
    <w:rsid w:val="783401B4"/>
    <w:rsid w:val="783438F0"/>
    <w:rsid w:val="78353696"/>
    <w:rsid w:val="7835CC34"/>
    <w:rsid w:val="78363183"/>
    <w:rsid w:val="7836AEF2"/>
    <w:rsid w:val="7836C81F"/>
    <w:rsid w:val="783A0080"/>
    <w:rsid w:val="783AE7B5"/>
    <w:rsid w:val="783B7068"/>
    <w:rsid w:val="783CF6FD"/>
    <w:rsid w:val="78400128"/>
    <w:rsid w:val="7840F87B"/>
    <w:rsid w:val="78424018"/>
    <w:rsid w:val="78447D68"/>
    <w:rsid w:val="784531E5"/>
    <w:rsid w:val="7845AA80"/>
    <w:rsid w:val="78464513"/>
    <w:rsid w:val="78485B51"/>
    <w:rsid w:val="784B6CDB"/>
    <w:rsid w:val="784C0371"/>
    <w:rsid w:val="784EF1B4"/>
    <w:rsid w:val="784FF56E"/>
    <w:rsid w:val="78523BE8"/>
    <w:rsid w:val="7854C8DC"/>
    <w:rsid w:val="78555955"/>
    <w:rsid w:val="785B77EB"/>
    <w:rsid w:val="785CB89E"/>
    <w:rsid w:val="785F10CF"/>
    <w:rsid w:val="78637992"/>
    <w:rsid w:val="786603E5"/>
    <w:rsid w:val="7869A545"/>
    <w:rsid w:val="786B69B3"/>
    <w:rsid w:val="786D5526"/>
    <w:rsid w:val="78707800"/>
    <w:rsid w:val="78739A66"/>
    <w:rsid w:val="78740D14"/>
    <w:rsid w:val="78767E09"/>
    <w:rsid w:val="787C0047"/>
    <w:rsid w:val="78804688"/>
    <w:rsid w:val="78831808"/>
    <w:rsid w:val="78842025"/>
    <w:rsid w:val="7889C91E"/>
    <w:rsid w:val="788F702B"/>
    <w:rsid w:val="78934D8F"/>
    <w:rsid w:val="78958216"/>
    <w:rsid w:val="7895864A"/>
    <w:rsid w:val="789B7022"/>
    <w:rsid w:val="789D245D"/>
    <w:rsid w:val="78A2E22C"/>
    <w:rsid w:val="78A3BFCB"/>
    <w:rsid w:val="78A59033"/>
    <w:rsid w:val="78A63EDD"/>
    <w:rsid w:val="78AB1E4C"/>
    <w:rsid w:val="78AE2B01"/>
    <w:rsid w:val="78B9BF73"/>
    <w:rsid w:val="78BB040B"/>
    <w:rsid w:val="78BB3FA0"/>
    <w:rsid w:val="78BC2231"/>
    <w:rsid w:val="78C4996F"/>
    <w:rsid w:val="78C99E45"/>
    <w:rsid w:val="78CE1F33"/>
    <w:rsid w:val="78D04179"/>
    <w:rsid w:val="78D51654"/>
    <w:rsid w:val="78DB387F"/>
    <w:rsid w:val="78E258B1"/>
    <w:rsid w:val="78E2670F"/>
    <w:rsid w:val="78E5A001"/>
    <w:rsid w:val="78E825BA"/>
    <w:rsid w:val="78EA28AB"/>
    <w:rsid w:val="78EA6F1B"/>
    <w:rsid w:val="78F4601C"/>
    <w:rsid w:val="78F59B34"/>
    <w:rsid w:val="78F74CA3"/>
    <w:rsid w:val="78FDB762"/>
    <w:rsid w:val="7900F34D"/>
    <w:rsid w:val="7901E45D"/>
    <w:rsid w:val="79067B92"/>
    <w:rsid w:val="790A64B7"/>
    <w:rsid w:val="790EAB16"/>
    <w:rsid w:val="791181BE"/>
    <w:rsid w:val="7911855C"/>
    <w:rsid w:val="79145ACD"/>
    <w:rsid w:val="79162A39"/>
    <w:rsid w:val="7917A19C"/>
    <w:rsid w:val="7918F0E0"/>
    <w:rsid w:val="791D01F1"/>
    <w:rsid w:val="79216930"/>
    <w:rsid w:val="7924F03C"/>
    <w:rsid w:val="792ECAA1"/>
    <w:rsid w:val="7932E7CA"/>
    <w:rsid w:val="7937BF5F"/>
    <w:rsid w:val="793DCB45"/>
    <w:rsid w:val="7946817D"/>
    <w:rsid w:val="7947B780"/>
    <w:rsid w:val="794D0B55"/>
    <w:rsid w:val="794F9F34"/>
    <w:rsid w:val="79517205"/>
    <w:rsid w:val="7951D339"/>
    <w:rsid w:val="79560598"/>
    <w:rsid w:val="795B2EF9"/>
    <w:rsid w:val="795C4703"/>
    <w:rsid w:val="795F34E6"/>
    <w:rsid w:val="796119CC"/>
    <w:rsid w:val="7962ED01"/>
    <w:rsid w:val="7967A82A"/>
    <w:rsid w:val="796BDB13"/>
    <w:rsid w:val="796CC5EB"/>
    <w:rsid w:val="7976E4E1"/>
    <w:rsid w:val="79780706"/>
    <w:rsid w:val="7978099C"/>
    <w:rsid w:val="797C3051"/>
    <w:rsid w:val="79802821"/>
    <w:rsid w:val="79817923"/>
    <w:rsid w:val="7982F9EB"/>
    <w:rsid w:val="7983FC10"/>
    <w:rsid w:val="79841A4D"/>
    <w:rsid w:val="798510DC"/>
    <w:rsid w:val="79859BC1"/>
    <w:rsid w:val="7986AE88"/>
    <w:rsid w:val="798E042C"/>
    <w:rsid w:val="798F5E8F"/>
    <w:rsid w:val="7993133E"/>
    <w:rsid w:val="7994F5AA"/>
    <w:rsid w:val="79954D7C"/>
    <w:rsid w:val="7999FA05"/>
    <w:rsid w:val="799C2DE0"/>
    <w:rsid w:val="799DF63B"/>
    <w:rsid w:val="79A1371D"/>
    <w:rsid w:val="79A1A555"/>
    <w:rsid w:val="79A310F7"/>
    <w:rsid w:val="79A3F0E0"/>
    <w:rsid w:val="79A4035C"/>
    <w:rsid w:val="79A8A89D"/>
    <w:rsid w:val="79B2FBA9"/>
    <w:rsid w:val="79B5201F"/>
    <w:rsid w:val="79B756D5"/>
    <w:rsid w:val="79B9091A"/>
    <w:rsid w:val="79BAD36F"/>
    <w:rsid w:val="79BBE7B4"/>
    <w:rsid w:val="79BC82CD"/>
    <w:rsid w:val="79BE0987"/>
    <w:rsid w:val="79C339B0"/>
    <w:rsid w:val="79C5F936"/>
    <w:rsid w:val="79CBE9EC"/>
    <w:rsid w:val="79CC120F"/>
    <w:rsid w:val="79CEE4DC"/>
    <w:rsid w:val="79D02083"/>
    <w:rsid w:val="79D1CFE8"/>
    <w:rsid w:val="79D9D7A8"/>
    <w:rsid w:val="79DB3865"/>
    <w:rsid w:val="79DB5203"/>
    <w:rsid w:val="79DEB731"/>
    <w:rsid w:val="79E009C3"/>
    <w:rsid w:val="79E228FD"/>
    <w:rsid w:val="79E303F8"/>
    <w:rsid w:val="79E404C4"/>
    <w:rsid w:val="79E41659"/>
    <w:rsid w:val="79E7BE73"/>
    <w:rsid w:val="79E7D4FB"/>
    <w:rsid w:val="79EBD74C"/>
    <w:rsid w:val="79EDBAF4"/>
    <w:rsid w:val="79F17337"/>
    <w:rsid w:val="79F1D3BA"/>
    <w:rsid w:val="79F27BA7"/>
    <w:rsid w:val="79F36AAF"/>
    <w:rsid w:val="79F3C65A"/>
    <w:rsid w:val="79F494AC"/>
    <w:rsid w:val="79F5A888"/>
    <w:rsid w:val="79F7A682"/>
    <w:rsid w:val="79F7B8C9"/>
    <w:rsid w:val="79FDECF4"/>
    <w:rsid w:val="7A00CEDE"/>
    <w:rsid w:val="7A03217B"/>
    <w:rsid w:val="7A04FC03"/>
    <w:rsid w:val="7A06D3DF"/>
    <w:rsid w:val="7A09F50B"/>
    <w:rsid w:val="7A0A5193"/>
    <w:rsid w:val="7A0DF419"/>
    <w:rsid w:val="7A131924"/>
    <w:rsid w:val="7A15D963"/>
    <w:rsid w:val="7A164655"/>
    <w:rsid w:val="7A1F09D5"/>
    <w:rsid w:val="7A1F8033"/>
    <w:rsid w:val="7A201397"/>
    <w:rsid w:val="7A223D56"/>
    <w:rsid w:val="7A2377AD"/>
    <w:rsid w:val="7A298938"/>
    <w:rsid w:val="7A2FE8DD"/>
    <w:rsid w:val="7A308974"/>
    <w:rsid w:val="7A338141"/>
    <w:rsid w:val="7A35055F"/>
    <w:rsid w:val="7A353D26"/>
    <w:rsid w:val="7A35588C"/>
    <w:rsid w:val="7A3FC6EA"/>
    <w:rsid w:val="7A43C2E8"/>
    <w:rsid w:val="7A44B133"/>
    <w:rsid w:val="7A47B18A"/>
    <w:rsid w:val="7A4BBC59"/>
    <w:rsid w:val="7A4CE95A"/>
    <w:rsid w:val="7A540D38"/>
    <w:rsid w:val="7A550F3E"/>
    <w:rsid w:val="7A5CBDC0"/>
    <w:rsid w:val="7A5EECD1"/>
    <w:rsid w:val="7A617C3D"/>
    <w:rsid w:val="7A620E9D"/>
    <w:rsid w:val="7A63DF43"/>
    <w:rsid w:val="7A6A826F"/>
    <w:rsid w:val="7A6ABF36"/>
    <w:rsid w:val="7A6BA3FD"/>
    <w:rsid w:val="7A71258C"/>
    <w:rsid w:val="7A7410A9"/>
    <w:rsid w:val="7A753115"/>
    <w:rsid w:val="7A75D235"/>
    <w:rsid w:val="7A77B1A2"/>
    <w:rsid w:val="7A7BDF27"/>
    <w:rsid w:val="7A7D2441"/>
    <w:rsid w:val="7A7ED824"/>
    <w:rsid w:val="7A82A24E"/>
    <w:rsid w:val="7A842ED4"/>
    <w:rsid w:val="7A85B75B"/>
    <w:rsid w:val="7A85BFDF"/>
    <w:rsid w:val="7A88F4CA"/>
    <w:rsid w:val="7A892182"/>
    <w:rsid w:val="7A8A9E17"/>
    <w:rsid w:val="7A8DBBBF"/>
    <w:rsid w:val="7A99D60B"/>
    <w:rsid w:val="7A9DB7D1"/>
    <w:rsid w:val="7A9E2235"/>
    <w:rsid w:val="7AA3A956"/>
    <w:rsid w:val="7AA3BEF0"/>
    <w:rsid w:val="7AA67B09"/>
    <w:rsid w:val="7AA8084E"/>
    <w:rsid w:val="7AAE92F5"/>
    <w:rsid w:val="7AB288C9"/>
    <w:rsid w:val="7AB77006"/>
    <w:rsid w:val="7AB931EA"/>
    <w:rsid w:val="7ABA5F02"/>
    <w:rsid w:val="7AC1297F"/>
    <w:rsid w:val="7AC1BCB0"/>
    <w:rsid w:val="7AC401FF"/>
    <w:rsid w:val="7AC65ED1"/>
    <w:rsid w:val="7AC857AD"/>
    <w:rsid w:val="7AD0B581"/>
    <w:rsid w:val="7AD0E67A"/>
    <w:rsid w:val="7AD2339C"/>
    <w:rsid w:val="7AD43047"/>
    <w:rsid w:val="7AD8636F"/>
    <w:rsid w:val="7ADA3A03"/>
    <w:rsid w:val="7ADC9DCF"/>
    <w:rsid w:val="7ADFCDAB"/>
    <w:rsid w:val="7AF02B1E"/>
    <w:rsid w:val="7AF2A799"/>
    <w:rsid w:val="7AF32892"/>
    <w:rsid w:val="7AF3845D"/>
    <w:rsid w:val="7AF7683E"/>
    <w:rsid w:val="7AF7A123"/>
    <w:rsid w:val="7AF8C416"/>
    <w:rsid w:val="7AFDA407"/>
    <w:rsid w:val="7B023155"/>
    <w:rsid w:val="7B02CC84"/>
    <w:rsid w:val="7B032DBA"/>
    <w:rsid w:val="7B04739C"/>
    <w:rsid w:val="7B0749CF"/>
    <w:rsid w:val="7B075E89"/>
    <w:rsid w:val="7B143E3D"/>
    <w:rsid w:val="7B1BABB0"/>
    <w:rsid w:val="7B1D3C48"/>
    <w:rsid w:val="7B205F01"/>
    <w:rsid w:val="7B228FE0"/>
    <w:rsid w:val="7B22C4AD"/>
    <w:rsid w:val="7B24C70E"/>
    <w:rsid w:val="7B2C7BF1"/>
    <w:rsid w:val="7B2CCBB7"/>
    <w:rsid w:val="7B2DCE0C"/>
    <w:rsid w:val="7B35C387"/>
    <w:rsid w:val="7B383DCA"/>
    <w:rsid w:val="7B384363"/>
    <w:rsid w:val="7B396A30"/>
    <w:rsid w:val="7B3AE46B"/>
    <w:rsid w:val="7B3C36C5"/>
    <w:rsid w:val="7B3CF45D"/>
    <w:rsid w:val="7B3D5CB4"/>
    <w:rsid w:val="7B3E2F0D"/>
    <w:rsid w:val="7B3EC765"/>
    <w:rsid w:val="7B3F3D8B"/>
    <w:rsid w:val="7B3F4DFD"/>
    <w:rsid w:val="7B3FBED3"/>
    <w:rsid w:val="7B40BCB7"/>
    <w:rsid w:val="7B40F691"/>
    <w:rsid w:val="7B43840E"/>
    <w:rsid w:val="7B4631A1"/>
    <w:rsid w:val="7B4FBC67"/>
    <w:rsid w:val="7B51CFF2"/>
    <w:rsid w:val="7B57DACF"/>
    <w:rsid w:val="7B5D8457"/>
    <w:rsid w:val="7B5D8F3C"/>
    <w:rsid w:val="7B731B3A"/>
    <w:rsid w:val="7B743FBD"/>
    <w:rsid w:val="7B7A63A7"/>
    <w:rsid w:val="7B7FA1C4"/>
    <w:rsid w:val="7B8934F0"/>
    <w:rsid w:val="7B8C10D9"/>
    <w:rsid w:val="7B902D6D"/>
    <w:rsid w:val="7B931808"/>
    <w:rsid w:val="7B955BA9"/>
    <w:rsid w:val="7B959EA2"/>
    <w:rsid w:val="7B9F6C98"/>
    <w:rsid w:val="7BA04962"/>
    <w:rsid w:val="7BA13D76"/>
    <w:rsid w:val="7BA33DE6"/>
    <w:rsid w:val="7BA834C4"/>
    <w:rsid w:val="7BA87344"/>
    <w:rsid w:val="7BAD5275"/>
    <w:rsid w:val="7BAF92BF"/>
    <w:rsid w:val="7BB1B095"/>
    <w:rsid w:val="7BB3F4DA"/>
    <w:rsid w:val="7BB6FF69"/>
    <w:rsid w:val="7BB85AAB"/>
    <w:rsid w:val="7BB8732F"/>
    <w:rsid w:val="7BB89C09"/>
    <w:rsid w:val="7BBB6AFC"/>
    <w:rsid w:val="7BBDF35D"/>
    <w:rsid w:val="7BBEE5AA"/>
    <w:rsid w:val="7BC27125"/>
    <w:rsid w:val="7BC7AC58"/>
    <w:rsid w:val="7BC9FEAA"/>
    <w:rsid w:val="7BD79D7E"/>
    <w:rsid w:val="7BE654AA"/>
    <w:rsid w:val="7BE68A86"/>
    <w:rsid w:val="7BF095AC"/>
    <w:rsid w:val="7BF20616"/>
    <w:rsid w:val="7BF3C9EC"/>
    <w:rsid w:val="7BF3E150"/>
    <w:rsid w:val="7BF679B6"/>
    <w:rsid w:val="7BF9BF8B"/>
    <w:rsid w:val="7BFA9174"/>
    <w:rsid w:val="7BFC2DE6"/>
    <w:rsid w:val="7BFE4AF1"/>
    <w:rsid w:val="7C028AF5"/>
    <w:rsid w:val="7C045F93"/>
    <w:rsid w:val="7C0515C2"/>
    <w:rsid w:val="7C08E256"/>
    <w:rsid w:val="7C0CF900"/>
    <w:rsid w:val="7C0FF108"/>
    <w:rsid w:val="7C144F7C"/>
    <w:rsid w:val="7C1453E1"/>
    <w:rsid w:val="7C16BB01"/>
    <w:rsid w:val="7C1900E1"/>
    <w:rsid w:val="7C1A7B03"/>
    <w:rsid w:val="7C1DB19E"/>
    <w:rsid w:val="7C1DE9EF"/>
    <w:rsid w:val="7C1DECA6"/>
    <w:rsid w:val="7C215289"/>
    <w:rsid w:val="7C2B9C3A"/>
    <w:rsid w:val="7C2F52F1"/>
    <w:rsid w:val="7C308C4F"/>
    <w:rsid w:val="7C33C71E"/>
    <w:rsid w:val="7C3E5B31"/>
    <w:rsid w:val="7C430227"/>
    <w:rsid w:val="7C43471A"/>
    <w:rsid w:val="7C43A251"/>
    <w:rsid w:val="7C43D937"/>
    <w:rsid w:val="7C4B2091"/>
    <w:rsid w:val="7C54FF3B"/>
    <w:rsid w:val="7C5643DD"/>
    <w:rsid w:val="7C56BD1E"/>
    <w:rsid w:val="7C6545FF"/>
    <w:rsid w:val="7C660C55"/>
    <w:rsid w:val="7C67D076"/>
    <w:rsid w:val="7C7830A6"/>
    <w:rsid w:val="7C78BF21"/>
    <w:rsid w:val="7C79DA03"/>
    <w:rsid w:val="7C88EAD6"/>
    <w:rsid w:val="7C8D1AA8"/>
    <w:rsid w:val="7C907354"/>
    <w:rsid w:val="7C91B271"/>
    <w:rsid w:val="7C93B4D9"/>
    <w:rsid w:val="7C96C2C3"/>
    <w:rsid w:val="7C96F02B"/>
    <w:rsid w:val="7C97578D"/>
    <w:rsid w:val="7C9BA5AF"/>
    <w:rsid w:val="7C9C19AB"/>
    <w:rsid w:val="7CA28956"/>
    <w:rsid w:val="7CA293AB"/>
    <w:rsid w:val="7CAA1146"/>
    <w:rsid w:val="7CADEA8A"/>
    <w:rsid w:val="7CB3F3AB"/>
    <w:rsid w:val="7CB3FE67"/>
    <w:rsid w:val="7CB44FE8"/>
    <w:rsid w:val="7CB489EA"/>
    <w:rsid w:val="7CB4FC48"/>
    <w:rsid w:val="7CB5D98B"/>
    <w:rsid w:val="7CBE3B20"/>
    <w:rsid w:val="7CBE9D1F"/>
    <w:rsid w:val="7CC096B6"/>
    <w:rsid w:val="7CC114BF"/>
    <w:rsid w:val="7CC162E0"/>
    <w:rsid w:val="7CC54500"/>
    <w:rsid w:val="7CCE4266"/>
    <w:rsid w:val="7CD04BCB"/>
    <w:rsid w:val="7CD5BD85"/>
    <w:rsid w:val="7CD7E830"/>
    <w:rsid w:val="7CD8FF1E"/>
    <w:rsid w:val="7CDE7BF2"/>
    <w:rsid w:val="7CE087A1"/>
    <w:rsid w:val="7CE13496"/>
    <w:rsid w:val="7CE496C0"/>
    <w:rsid w:val="7CE89369"/>
    <w:rsid w:val="7CE9DE79"/>
    <w:rsid w:val="7CEF5073"/>
    <w:rsid w:val="7CF0B72E"/>
    <w:rsid w:val="7CF2E1F1"/>
    <w:rsid w:val="7CF30349"/>
    <w:rsid w:val="7CF42979"/>
    <w:rsid w:val="7CF91E9E"/>
    <w:rsid w:val="7CFDE5CB"/>
    <w:rsid w:val="7D000B63"/>
    <w:rsid w:val="7D07CCB5"/>
    <w:rsid w:val="7D0D649E"/>
    <w:rsid w:val="7D1078FE"/>
    <w:rsid w:val="7D176975"/>
    <w:rsid w:val="7D17D41B"/>
    <w:rsid w:val="7D189CF6"/>
    <w:rsid w:val="7D1C8375"/>
    <w:rsid w:val="7D2034F1"/>
    <w:rsid w:val="7D233A49"/>
    <w:rsid w:val="7D23795C"/>
    <w:rsid w:val="7D237BDD"/>
    <w:rsid w:val="7D25FB7E"/>
    <w:rsid w:val="7D274BD2"/>
    <w:rsid w:val="7D29C3FB"/>
    <w:rsid w:val="7D2E31BD"/>
    <w:rsid w:val="7D2E5F52"/>
    <w:rsid w:val="7D378E5D"/>
    <w:rsid w:val="7D39F88F"/>
    <w:rsid w:val="7D3C408A"/>
    <w:rsid w:val="7D3D1ECB"/>
    <w:rsid w:val="7D3FD638"/>
    <w:rsid w:val="7D41DE40"/>
    <w:rsid w:val="7D4245A0"/>
    <w:rsid w:val="7D429C5F"/>
    <w:rsid w:val="7D45B3F0"/>
    <w:rsid w:val="7D4A0D0D"/>
    <w:rsid w:val="7D4EE9C0"/>
    <w:rsid w:val="7D4F146C"/>
    <w:rsid w:val="7D4F1B87"/>
    <w:rsid w:val="7D52281D"/>
    <w:rsid w:val="7D562ABE"/>
    <w:rsid w:val="7D56F60C"/>
    <w:rsid w:val="7D5743F2"/>
    <w:rsid w:val="7D57996F"/>
    <w:rsid w:val="7D57B1A6"/>
    <w:rsid w:val="7D5E1438"/>
    <w:rsid w:val="7D5F338E"/>
    <w:rsid w:val="7D5F3494"/>
    <w:rsid w:val="7D5FA04C"/>
    <w:rsid w:val="7D5FB42A"/>
    <w:rsid w:val="7D5FB868"/>
    <w:rsid w:val="7D604C20"/>
    <w:rsid w:val="7D68C18B"/>
    <w:rsid w:val="7D692B76"/>
    <w:rsid w:val="7D6A4765"/>
    <w:rsid w:val="7D7205B0"/>
    <w:rsid w:val="7D73092F"/>
    <w:rsid w:val="7D7511AF"/>
    <w:rsid w:val="7D79086C"/>
    <w:rsid w:val="7D798BA7"/>
    <w:rsid w:val="7D7C0761"/>
    <w:rsid w:val="7D7EBB37"/>
    <w:rsid w:val="7D7FEBD6"/>
    <w:rsid w:val="7D81BDBF"/>
    <w:rsid w:val="7D827E39"/>
    <w:rsid w:val="7D854785"/>
    <w:rsid w:val="7D85E923"/>
    <w:rsid w:val="7D89BEE2"/>
    <w:rsid w:val="7D89FCF0"/>
    <w:rsid w:val="7D8AABF0"/>
    <w:rsid w:val="7D8C2DB6"/>
    <w:rsid w:val="7D8D95C9"/>
    <w:rsid w:val="7D8FE505"/>
    <w:rsid w:val="7D90DFD5"/>
    <w:rsid w:val="7D91DAF2"/>
    <w:rsid w:val="7D950F9F"/>
    <w:rsid w:val="7D9B0C61"/>
    <w:rsid w:val="7D9FC386"/>
    <w:rsid w:val="7DA23440"/>
    <w:rsid w:val="7DA68BDE"/>
    <w:rsid w:val="7DA7A25E"/>
    <w:rsid w:val="7DA83382"/>
    <w:rsid w:val="7DA905DE"/>
    <w:rsid w:val="7DAD443C"/>
    <w:rsid w:val="7DB02D10"/>
    <w:rsid w:val="7DB30182"/>
    <w:rsid w:val="7DBB47DA"/>
    <w:rsid w:val="7DBB82FD"/>
    <w:rsid w:val="7DBCA87D"/>
    <w:rsid w:val="7DBEA374"/>
    <w:rsid w:val="7DC106B9"/>
    <w:rsid w:val="7DC327E3"/>
    <w:rsid w:val="7DC50C35"/>
    <w:rsid w:val="7DC6D8B8"/>
    <w:rsid w:val="7DC71F36"/>
    <w:rsid w:val="7DCB93B6"/>
    <w:rsid w:val="7DCC4E32"/>
    <w:rsid w:val="7DCC83AD"/>
    <w:rsid w:val="7DCDB6F6"/>
    <w:rsid w:val="7DCE4520"/>
    <w:rsid w:val="7DD01B6B"/>
    <w:rsid w:val="7DD1F466"/>
    <w:rsid w:val="7DD68E76"/>
    <w:rsid w:val="7DDEA6C2"/>
    <w:rsid w:val="7DE1502D"/>
    <w:rsid w:val="7DE36572"/>
    <w:rsid w:val="7DE64A9E"/>
    <w:rsid w:val="7DE961FD"/>
    <w:rsid w:val="7DEB3EC6"/>
    <w:rsid w:val="7DEF609A"/>
    <w:rsid w:val="7DF39318"/>
    <w:rsid w:val="7DF3C665"/>
    <w:rsid w:val="7DF6A0EB"/>
    <w:rsid w:val="7DF8F9D0"/>
    <w:rsid w:val="7DFB0395"/>
    <w:rsid w:val="7E041329"/>
    <w:rsid w:val="7E06BF88"/>
    <w:rsid w:val="7E07BBA7"/>
    <w:rsid w:val="7E08DDF0"/>
    <w:rsid w:val="7E0A1D23"/>
    <w:rsid w:val="7E0E6F49"/>
    <w:rsid w:val="7E14E1F9"/>
    <w:rsid w:val="7E16799E"/>
    <w:rsid w:val="7E1D134D"/>
    <w:rsid w:val="7E1FDB10"/>
    <w:rsid w:val="7E21CD5F"/>
    <w:rsid w:val="7E24EBF7"/>
    <w:rsid w:val="7E26AF6B"/>
    <w:rsid w:val="7E2BDAC6"/>
    <w:rsid w:val="7E3024EF"/>
    <w:rsid w:val="7E33C4A6"/>
    <w:rsid w:val="7E362B74"/>
    <w:rsid w:val="7E388F95"/>
    <w:rsid w:val="7E41AB31"/>
    <w:rsid w:val="7E44245A"/>
    <w:rsid w:val="7E467E6E"/>
    <w:rsid w:val="7E46BD92"/>
    <w:rsid w:val="7E4A1841"/>
    <w:rsid w:val="7E4B19B9"/>
    <w:rsid w:val="7E4CBBE7"/>
    <w:rsid w:val="7E4EA509"/>
    <w:rsid w:val="7E520F6B"/>
    <w:rsid w:val="7E5380C0"/>
    <w:rsid w:val="7E541A5B"/>
    <w:rsid w:val="7E5A357A"/>
    <w:rsid w:val="7E5C88B0"/>
    <w:rsid w:val="7E5C92B1"/>
    <w:rsid w:val="7E5F9A88"/>
    <w:rsid w:val="7E651967"/>
    <w:rsid w:val="7E652DCB"/>
    <w:rsid w:val="7E675AA4"/>
    <w:rsid w:val="7E6BE7F0"/>
    <w:rsid w:val="7E73BB6F"/>
    <w:rsid w:val="7E75261A"/>
    <w:rsid w:val="7E76D439"/>
    <w:rsid w:val="7E773B39"/>
    <w:rsid w:val="7E773BCF"/>
    <w:rsid w:val="7E78C9BE"/>
    <w:rsid w:val="7E78DDBF"/>
    <w:rsid w:val="7E899D38"/>
    <w:rsid w:val="7E8B7E39"/>
    <w:rsid w:val="7E8BDE89"/>
    <w:rsid w:val="7E94EB16"/>
    <w:rsid w:val="7E965908"/>
    <w:rsid w:val="7E967BC4"/>
    <w:rsid w:val="7E96C63F"/>
    <w:rsid w:val="7E980D16"/>
    <w:rsid w:val="7EA1C153"/>
    <w:rsid w:val="7EA79F95"/>
    <w:rsid w:val="7EAA33E6"/>
    <w:rsid w:val="7EACCD5D"/>
    <w:rsid w:val="7EADE565"/>
    <w:rsid w:val="7EAF0D43"/>
    <w:rsid w:val="7EB06AB4"/>
    <w:rsid w:val="7EB1CD2C"/>
    <w:rsid w:val="7EBA7892"/>
    <w:rsid w:val="7EBE6EB5"/>
    <w:rsid w:val="7EC3AF4F"/>
    <w:rsid w:val="7EC5CC2D"/>
    <w:rsid w:val="7EC7C166"/>
    <w:rsid w:val="7ED56015"/>
    <w:rsid w:val="7ED7A8D3"/>
    <w:rsid w:val="7EDB8353"/>
    <w:rsid w:val="7EDC1298"/>
    <w:rsid w:val="7EE1555F"/>
    <w:rsid w:val="7EE15EB5"/>
    <w:rsid w:val="7EE66ACF"/>
    <w:rsid w:val="7EE700E9"/>
    <w:rsid w:val="7EEDA9E7"/>
    <w:rsid w:val="7EF4C46B"/>
    <w:rsid w:val="7EF656C2"/>
    <w:rsid w:val="7F00C368"/>
    <w:rsid w:val="7F0A5393"/>
    <w:rsid w:val="7F10167B"/>
    <w:rsid w:val="7F137FBB"/>
    <w:rsid w:val="7F138C19"/>
    <w:rsid w:val="7F15E46A"/>
    <w:rsid w:val="7F17ED43"/>
    <w:rsid w:val="7F184509"/>
    <w:rsid w:val="7F1CDEA7"/>
    <w:rsid w:val="7F1FD529"/>
    <w:rsid w:val="7F216BE3"/>
    <w:rsid w:val="7F21B5D7"/>
    <w:rsid w:val="7F2316C8"/>
    <w:rsid w:val="7F251D5E"/>
    <w:rsid w:val="7F28A067"/>
    <w:rsid w:val="7F29CEFF"/>
    <w:rsid w:val="7F2B6CAF"/>
    <w:rsid w:val="7F378D47"/>
    <w:rsid w:val="7F38BC3E"/>
    <w:rsid w:val="7F3B423A"/>
    <w:rsid w:val="7F469AB3"/>
    <w:rsid w:val="7F4CFFA7"/>
    <w:rsid w:val="7F51C8B7"/>
    <w:rsid w:val="7F58EA63"/>
    <w:rsid w:val="7F5A8FF5"/>
    <w:rsid w:val="7F5DD2B9"/>
    <w:rsid w:val="7F5F7152"/>
    <w:rsid w:val="7F5F858E"/>
    <w:rsid w:val="7F61E296"/>
    <w:rsid w:val="7F63BC71"/>
    <w:rsid w:val="7F69D6B7"/>
    <w:rsid w:val="7F6A5454"/>
    <w:rsid w:val="7F6C4E25"/>
    <w:rsid w:val="7F6D7779"/>
    <w:rsid w:val="7F6F4ED8"/>
    <w:rsid w:val="7F702286"/>
    <w:rsid w:val="7F733D33"/>
    <w:rsid w:val="7F76F528"/>
    <w:rsid w:val="7F77220C"/>
    <w:rsid w:val="7F7784CC"/>
    <w:rsid w:val="7F78DEA0"/>
    <w:rsid w:val="7F793E48"/>
    <w:rsid w:val="7F7AB56F"/>
    <w:rsid w:val="7F80828C"/>
    <w:rsid w:val="7F841876"/>
    <w:rsid w:val="7F864EF3"/>
    <w:rsid w:val="7F8A86D8"/>
    <w:rsid w:val="7F8DF5A7"/>
    <w:rsid w:val="7F8DFAFA"/>
    <w:rsid w:val="7F914562"/>
    <w:rsid w:val="7F967B65"/>
    <w:rsid w:val="7F98EEDF"/>
    <w:rsid w:val="7F9F42A8"/>
    <w:rsid w:val="7FA056FF"/>
    <w:rsid w:val="7FA8351E"/>
    <w:rsid w:val="7FA905F6"/>
    <w:rsid w:val="7FACB9FC"/>
    <w:rsid w:val="7FAD7B52"/>
    <w:rsid w:val="7FAFC833"/>
    <w:rsid w:val="7FB5E2DF"/>
    <w:rsid w:val="7FB89C74"/>
    <w:rsid w:val="7FB948D2"/>
    <w:rsid w:val="7FBB95C4"/>
    <w:rsid w:val="7FBF58DA"/>
    <w:rsid w:val="7FC3EB77"/>
    <w:rsid w:val="7FC4644D"/>
    <w:rsid w:val="7FC5A5F4"/>
    <w:rsid w:val="7FC7CB20"/>
    <w:rsid w:val="7FC90910"/>
    <w:rsid w:val="7FCC2D34"/>
    <w:rsid w:val="7FCC32DD"/>
    <w:rsid w:val="7FD3561D"/>
    <w:rsid w:val="7FD468AD"/>
    <w:rsid w:val="7FD97C48"/>
    <w:rsid w:val="7FDD35C6"/>
    <w:rsid w:val="7FDF50DA"/>
    <w:rsid w:val="7FDF79A5"/>
    <w:rsid w:val="7FE30662"/>
    <w:rsid w:val="7FE7F85D"/>
    <w:rsid w:val="7FE9A260"/>
    <w:rsid w:val="7FEBA1F9"/>
    <w:rsid w:val="7FED0531"/>
    <w:rsid w:val="7FF76485"/>
    <w:rsid w:val="7FF8951C"/>
    <w:rsid w:val="7FFE4C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05D940"/>
  <w15:docId w15:val="{1D212265-C68F-499E-9459-7F2D74FE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4133D"/>
    <w:rPr>
      <w:rFonts w:ascii="Times New Roman" w:hAnsi="Times New Roman" w:cs="Times New Roman"/>
      <w:sz w:val="24"/>
      <w:lang w:val="et-EE"/>
    </w:rPr>
  </w:style>
  <w:style w:type="paragraph" w:styleId="Pealkiri1">
    <w:name w:val="heading 1"/>
    <w:basedOn w:val="Normaallaad"/>
    <w:link w:val="Pealkiri1Mrk"/>
    <w:uiPriority w:val="9"/>
    <w:qFormat/>
    <w:rsid w:val="00BC787A"/>
    <w:pPr>
      <w:spacing w:before="100" w:beforeAutospacing="1" w:after="100" w:afterAutospacing="1" w:line="240" w:lineRule="auto"/>
      <w:outlineLvl w:val="0"/>
    </w:pPr>
    <w:rPr>
      <w:b/>
      <w:bCs/>
      <w:kern w:val="36"/>
      <w:sz w:val="48"/>
      <w:szCs w:val="48"/>
    </w:rPr>
  </w:style>
  <w:style w:type="paragraph" w:styleId="Pealkiri2">
    <w:name w:val="heading 2"/>
    <w:basedOn w:val="Normaallaad"/>
    <w:link w:val="Pealkiri2Mrk"/>
    <w:uiPriority w:val="9"/>
    <w:qFormat/>
    <w:rsid w:val="00BC787A"/>
    <w:pPr>
      <w:spacing w:before="240" w:after="100" w:afterAutospacing="1" w:line="240" w:lineRule="auto"/>
      <w:outlineLvl w:val="1"/>
    </w:pPr>
    <w:rPr>
      <w:b/>
      <w:bCs/>
      <w:sz w:val="36"/>
      <w:szCs w:val="36"/>
    </w:rPr>
  </w:style>
  <w:style w:type="paragraph" w:styleId="Pealkiri3">
    <w:name w:val="heading 3"/>
    <w:basedOn w:val="Normaallaad"/>
    <w:link w:val="Pealkiri3Mrk"/>
    <w:uiPriority w:val="9"/>
    <w:qFormat/>
    <w:rsid w:val="00BC787A"/>
    <w:pPr>
      <w:spacing w:before="240" w:after="100" w:afterAutospacing="1" w:line="240" w:lineRule="auto"/>
      <w:outlineLvl w:val="2"/>
    </w:pPr>
    <w:rPr>
      <w:b/>
      <w:bCs/>
      <w:sz w:val="27"/>
      <w:szCs w:val="27"/>
    </w:rPr>
  </w:style>
  <w:style w:type="paragraph" w:styleId="Pealkiri4">
    <w:name w:val="heading 4"/>
    <w:basedOn w:val="Normaallaad"/>
    <w:link w:val="Pealkiri4Mrk"/>
    <w:uiPriority w:val="9"/>
    <w:qFormat/>
    <w:rsid w:val="00BC787A"/>
    <w:pPr>
      <w:spacing w:before="240" w:after="100" w:afterAutospacing="1" w:line="240" w:lineRule="auto"/>
      <w:outlineLvl w:val="3"/>
    </w:pPr>
    <w:rPr>
      <w:b/>
      <w:bCs/>
      <w:szCs w:val="24"/>
    </w:rPr>
  </w:style>
  <w:style w:type="paragraph" w:styleId="Pealkiri5">
    <w:name w:val="heading 5"/>
    <w:basedOn w:val="Normaallaad"/>
    <w:link w:val="Pealkiri5Mrk"/>
    <w:uiPriority w:val="9"/>
    <w:qFormat/>
    <w:rsid w:val="00BC787A"/>
    <w:pPr>
      <w:spacing w:before="240" w:after="100" w:afterAutospacing="1" w:line="240" w:lineRule="auto"/>
      <w:outlineLvl w:val="4"/>
    </w:pPr>
    <w:rPr>
      <w:b/>
      <w:bCs/>
      <w:sz w:val="20"/>
      <w:szCs w:val="20"/>
    </w:rPr>
  </w:style>
  <w:style w:type="paragraph" w:styleId="Pealkiri6">
    <w:name w:val="heading 6"/>
    <w:basedOn w:val="Normaallaad"/>
    <w:link w:val="Pealkiri6Mrk"/>
    <w:uiPriority w:val="9"/>
    <w:qFormat/>
    <w:rsid w:val="00BC787A"/>
    <w:pPr>
      <w:spacing w:before="240" w:after="100" w:afterAutospacing="1" w:line="240" w:lineRule="auto"/>
      <w:outlineLvl w:val="5"/>
    </w:pPr>
    <w:rPr>
      <w:b/>
      <w:bCs/>
      <w:sz w:val="15"/>
      <w:szCs w:val="15"/>
    </w:rPr>
  </w:style>
  <w:style w:type="paragraph" w:styleId="Pealkiri7">
    <w:name w:val="heading 7"/>
    <w:basedOn w:val="Normaallaad"/>
    <w:next w:val="Normaallaad"/>
    <w:link w:val="Pealkiri7Mrk"/>
    <w:uiPriority w:val="9"/>
    <w:semiHidden/>
    <w:unhideWhenUsed/>
    <w:qFormat/>
    <w:rsid w:val="00EC29D8"/>
    <w:pPr>
      <w:keepNext/>
      <w:keepLines/>
      <w:spacing w:before="40" w:after="0"/>
      <w:outlineLvl w:val="6"/>
    </w:pPr>
    <w:rPr>
      <w:rFonts w:asciiTheme="minorHAnsi" w:hAnsiTheme="minorHAnsi"/>
      <w:color w:val="595959"/>
      <w:sz w:val="22"/>
      <w:lang w:val="en-US"/>
    </w:rPr>
  </w:style>
  <w:style w:type="paragraph" w:styleId="Pealkiri8">
    <w:name w:val="heading 8"/>
    <w:basedOn w:val="Normaallaad"/>
    <w:next w:val="Normaallaad"/>
    <w:link w:val="Pealkiri8Mrk"/>
    <w:uiPriority w:val="9"/>
    <w:semiHidden/>
    <w:unhideWhenUsed/>
    <w:qFormat/>
    <w:rsid w:val="00EC29D8"/>
    <w:pPr>
      <w:keepNext/>
      <w:keepLines/>
      <w:spacing w:before="40" w:after="0"/>
      <w:outlineLvl w:val="7"/>
    </w:pPr>
    <w:rPr>
      <w:rFonts w:asciiTheme="minorHAnsi" w:hAnsiTheme="minorHAnsi"/>
      <w:i/>
      <w:iCs/>
      <w:color w:val="272727"/>
      <w:sz w:val="22"/>
      <w:lang w:val="en-US"/>
    </w:rPr>
  </w:style>
  <w:style w:type="paragraph" w:styleId="Pealkiri9">
    <w:name w:val="heading 9"/>
    <w:basedOn w:val="Normaallaad"/>
    <w:next w:val="Normaallaad"/>
    <w:link w:val="Pealkiri9Mrk"/>
    <w:uiPriority w:val="9"/>
    <w:semiHidden/>
    <w:unhideWhenUsed/>
    <w:qFormat/>
    <w:rsid w:val="00EC29D8"/>
    <w:pPr>
      <w:keepNext/>
      <w:keepLines/>
      <w:spacing w:before="40" w:after="0"/>
      <w:outlineLvl w:val="8"/>
    </w:pPr>
    <w:rPr>
      <w:rFonts w:asciiTheme="minorHAnsi" w:hAnsiTheme="minorHAnsi"/>
      <w:color w:val="272727"/>
      <w:sz w:val="22"/>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BC787A"/>
    <w:rPr>
      <w:rFonts w:ascii="Times New Roman" w:hAnsi="Times New Roman" w:cs="Times New Roman"/>
      <w:b/>
      <w:bCs/>
      <w:kern w:val="36"/>
      <w:sz w:val="48"/>
      <w:szCs w:val="48"/>
    </w:rPr>
  </w:style>
  <w:style w:type="character" w:customStyle="1" w:styleId="Pealkiri2Mrk">
    <w:name w:val="Pealkiri 2 Märk"/>
    <w:basedOn w:val="Liguvaikefont"/>
    <w:link w:val="Pealkiri2"/>
    <w:uiPriority w:val="9"/>
    <w:locked/>
    <w:rsid w:val="00BC787A"/>
    <w:rPr>
      <w:rFonts w:ascii="Times New Roman" w:hAnsi="Times New Roman" w:cs="Times New Roman"/>
      <w:b/>
      <w:bCs/>
      <w:sz w:val="36"/>
      <w:szCs w:val="36"/>
    </w:rPr>
  </w:style>
  <w:style w:type="character" w:customStyle="1" w:styleId="Pealkiri3Mrk">
    <w:name w:val="Pealkiri 3 Märk"/>
    <w:basedOn w:val="Liguvaikefont"/>
    <w:link w:val="Pealkiri3"/>
    <w:uiPriority w:val="9"/>
    <w:locked/>
    <w:rsid w:val="00BC787A"/>
    <w:rPr>
      <w:rFonts w:ascii="Times New Roman" w:hAnsi="Times New Roman" w:cs="Times New Roman"/>
      <w:b/>
      <w:bCs/>
      <w:sz w:val="27"/>
      <w:szCs w:val="27"/>
    </w:rPr>
  </w:style>
  <w:style w:type="character" w:customStyle="1" w:styleId="Pealkiri4Mrk">
    <w:name w:val="Pealkiri 4 Märk"/>
    <w:basedOn w:val="Liguvaikefont"/>
    <w:link w:val="Pealkiri4"/>
    <w:uiPriority w:val="9"/>
    <w:locked/>
    <w:rsid w:val="00BC787A"/>
    <w:rPr>
      <w:rFonts w:ascii="Times New Roman" w:hAnsi="Times New Roman" w:cs="Times New Roman"/>
      <w:b/>
      <w:bCs/>
      <w:sz w:val="24"/>
      <w:szCs w:val="24"/>
    </w:rPr>
  </w:style>
  <w:style w:type="character" w:customStyle="1" w:styleId="Pealkiri5Mrk">
    <w:name w:val="Pealkiri 5 Märk"/>
    <w:basedOn w:val="Liguvaikefont"/>
    <w:link w:val="Pealkiri5"/>
    <w:uiPriority w:val="9"/>
    <w:locked/>
    <w:rsid w:val="00BC787A"/>
    <w:rPr>
      <w:rFonts w:ascii="Times New Roman" w:hAnsi="Times New Roman" w:cs="Times New Roman"/>
      <w:b/>
      <w:bCs/>
      <w:sz w:val="20"/>
      <w:szCs w:val="20"/>
    </w:rPr>
  </w:style>
  <w:style w:type="character" w:customStyle="1" w:styleId="Pealkiri6Mrk">
    <w:name w:val="Pealkiri 6 Märk"/>
    <w:basedOn w:val="Liguvaikefont"/>
    <w:link w:val="Pealkiri6"/>
    <w:uiPriority w:val="9"/>
    <w:locked/>
    <w:rsid w:val="00BC787A"/>
    <w:rPr>
      <w:rFonts w:ascii="Times New Roman" w:hAnsi="Times New Roman" w:cs="Times New Roman"/>
      <w:b/>
      <w:bCs/>
      <w:sz w:val="15"/>
      <w:szCs w:val="15"/>
    </w:rPr>
  </w:style>
  <w:style w:type="character" w:customStyle="1" w:styleId="HTML-aadressMrk">
    <w:name w:val="HTML-aadress Märk"/>
    <w:basedOn w:val="Liguvaikefont"/>
    <w:link w:val="HTML-aadress"/>
    <w:uiPriority w:val="99"/>
    <w:locked/>
    <w:rsid w:val="00BC787A"/>
    <w:rPr>
      <w:rFonts w:ascii="Times New Roman" w:hAnsi="Times New Roman" w:cs="Times New Roman"/>
      <w:sz w:val="24"/>
      <w:szCs w:val="24"/>
    </w:rPr>
  </w:style>
  <w:style w:type="paragraph" w:styleId="HTML-aadress">
    <w:name w:val="HTML Address"/>
    <w:basedOn w:val="Normaallaad"/>
    <w:link w:val="HTML-aadressMrk"/>
    <w:uiPriority w:val="99"/>
    <w:unhideWhenUsed/>
    <w:rsid w:val="00BC787A"/>
    <w:pPr>
      <w:spacing w:before="240" w:after="0" w:line="240" w:lineRule="auto"/>
    </w:pPr>
    <w:rPr>
      <w:szCs w:val="24"/>
    </w:rPr>
  </w:style>
  <w:style w:type="character" w:customStyle="1" w:styleId="HTMLAddressChar">
    <w:name w:val="HTML Address Char"/>
    <w:basedOn w:val="Liguvaikefont"/>
    <w:uiPriority w:val="99"/>
    <w:semiHidden/>
    <w:rsid w:val="00F00AF5"/>
    <w:rPr>
      <w:rFonts w:ascii="Times New Roman" w:hAnsi="Times New Roman" w:cs="Times New Roman"/>
      <w:i/>
      <w:iCs/>
      <w:sz w:val="24"/>
    </w:rPr>
  </w:style>
  <w:style w:type="character" w:customStyle="1" w:styleId="HTML-aadressMrk1">
    <w:name w:val="HTML-aadress Märk1"/>
    <w:basedOn w:val="Liguvaikefont"/>
    <w:uiPriority w:val="99"/>
    <w:semiHidden/>
    <w:rsid w:val="00F00AF5"/>
    <w:rPr>
      <w:rFonts w:ascii="Times New Roman" w:hAnsi="Times New Roman" w:cs="Times New Roman"/>
      <w:i/>
      <w:iCs/>
      <w:sz w:val="24"/>
    </w:rPr>
  </w:style>
  <w:style w:type="character" w:customStyle="1" w:styleId="HTML-aadressMrk112">
    <w:name w:val="HTML-aadress Märk112"/>
    <w:basedOn w:val="Liguvaikefont"/>
    <w:uiPriority w:val="99"/>
    <w:semiHidden/>
    <w:rsid w:val="00F00AF5"/>
    <w:rPr>
      <w:rFonts w:ascii="Times New Roman" w:hAnsi="Times New Roman" w:cs="Times New Roman"/>
      <w:i/>
      <w:iCs/>
      <w:sz w:val="24"/>
    </w:rPr>
  </w:style>
  <w:style w:type="character" w:customStyle="1" w:styleId="HTML-aadressMrk111">
    <w:name w:val="HTML-aadress Märk111"/>
    <w:basedOn w:val="Liguvaikefont"/>
    <w:uiPriority w:val="99"/>
    <w:semiHidden/>
    <w:rsid w:val="00F00AF5"/>
    <w:rPr>
      <w:rFonts w:ascii="Times New Roman" w:hAnsi="Times New Roman" w:cs="Times New Roman"/>
      <w:i/>
      <w:iCs/>
      <w:sz w:val="24"/>
    </w:rPr>
  </w:style>
  <w:style w:type="character" w:customStyle="1" w:styleId="HTML-aadressMrk110">
    <w:name w:val="HTML-aadress Märk110"/>
    <w:basedOn w:val="Liguvaikefont"/>
    <w:uiPriority w:val="99"/>
    <w:semiHidden/>
    <w:rsid w:val="00F00AF5"/>
    <w:rPr>
      <w:rFonts w:ascii="Times New Roman" w:hAnsi="Times New Roman" w:cs="Times New Roman"/>
      <w:i/>
      <w:iCs/>
      <w:sz w:val="24"/>
    </w:rPr>
  </w:style>
  <w:style w:type="character" w:customStyle="1" w:styleId="HTML-aadressMrk19">
    <w:name w:val="HTML-aadress Märk19"/>
    <w:basedOn w:val="Liguvaikefont"/>
    <w:uiPriority w:val="99"/>
    <w:semiHidden/>
    <w:rsid w:val="00F00AF5"/>
    <w:rPr>
      <w:rFonts w:ascii="Times New Roman" w:hAnsi="Times New Roman" w:cs="Times New Roman"/>
      <w:i/>
      <w:iCs/>
      <w:sz w:val="24"/>
    </w:rPr>
  </w:style>
  <w:style w:type="character" w:customStyle="1" w:styleId="HTML-aadressMrk18">
    <w:name w:val="HTML-aadress Märk18"/>
    <w:basedOn w:val="Liguvaikefont"/>
    <w:uiPriority w:val="99"/>
    <w:semiHidden/>
    <w:rsid w:val="00F00AF5"/>
    <w:rPr>
      <w:rFonts w:ascii="Times New Roman" w:hAnsi="Times New Roman" w:cs="Times New Roman"/>
      <w:i/>
      <w:iCs/>
      <w:sz w:val="24"/>
    </w:rPr>
  </w:style>
  <w:style w:type="character" w:customStyle="1" w:styleId="HTML-aadressMrk17">
    <w:name w:val="HTML-aadress Märk17"/>
    <w:basedOn w:val="Liguvaikefont"/>
    <w:uiPriority w:val="99"/>
    <w:semiHidden/>
    <w:rsid w:val="00F00AF5"/>
    <w:rPr>
      <w:rFonts w:ascii="Times New Roman" w:hAnsi="Times New Roman" w:cs="Times New Roman"/>
      <w:i/>
      <w:iCs/>
      <w:sz w:val="24"/>
    </w:rPr>
  </w:style>
  <w:style w:type="character" w:customStyle="1" w:styleId="HTML-aadressMrk16">
    <w:name w:val="HTML-aadress Märk16"/>
    <w:basedOn w:val="Liguvaikefont"/>
    <w:uiPriority w:val="99"/>
    <w:semiHidden/>
    <w:rsid w:val="00F00AF5"/>
    <w:rPr>
      <w:rFonts w:ascii="Times New Roman" w:hAnsi="Times New Roman" w:cs="Times New Roman"/>
      <w:i/>
      <w:iCs/>
      <w:sz w:val="24"/>
    </w:rPr>
  </w:style>
  <w:style w:type="character" w:customStyle="1" w:styleId="HTML-aadressMrk15">
    <w:name w:val="HTML-aadress Märk15"/>
    <w:basedOn w:val="Liguvaikefont"/>
    <w:uiPriority w:val="99"/>
    <w:semiHidden/>
    <w:rsid w:val="00F00AF5"/>
    <w:rPr>
      <w:rFonts w:ascii="Times New Roman" w:hAnsi="Times New Roman" w:cs="Times New Roman"/>
      <w:i/>
      <w:iCs/>
      <w:sz w:val="24"/>
    </w:rPr>
  </w:style>
  <w:style w:type="character" w:customStyle="1" w:styleId="HTML-aadressMrk14">
    <w:name w:val="HTML-aadress Märk14"/>
    <w:basedOn w:val="Liguvaikefont"/>
    <w:uiPriority w:val="99"/>
    <w:semiHidden/>
    <w:rsid w:val="00F00AF5"/>
    <w:rPr>
      <w:rFonts w:ascii="Times New Roman" w:hAnsi="Times New Roman" w:cs="Times New Roman"/>
      <w:i/>
      <w:iCs/>
      <w:sz w:val="24"/>
    </w:rPr>
  </w:style>
  <w:style w:type="character" w:customStyle="1" w:styleId="HTML-aadressMrk13">
    <w:name w:val="HTML-aadress Märk13"/>
    <w:basedOn w:val="Liguvaikefont"/>
    <w:uiPriority w:val="99"/>
    <w:semiHidden/>
    <w:rsid w:val="00F00AF5"/>
    <w:rPr>
      <w:rFonts w:ascii="Times New Roman" w:hAnsi="Times New Roman" w:cs="Times New Roman"/>
      <w:i/>
      <w:iCs/>
      <w:sz w:val="24"/>
    </w:rPr>
  </w:style>
  <w:style w:type="character" w:customStyle="1" w:styleId="HTML-aadressMrk12">
    <w:name w:val="HTML-aadress Märk12"/>
    <w:basedOn w:val="Liguvaikefont"/>
    <w:uiPriority w:val="99"/>
    <w:semiHidden/>
    <w:rsid w:val="00F00AF5"/>
    <w:rPr>
      <w:rFonts w:ascii="Times New Roman" w:hAnsi="Times New Roman" w:cs="Times New Roman"/>
      <w:i/>
      <w:iCs/>
      <w:sz w:val="24"/>
    </w:rPr>
  </w:style>
  <w:style w:type="character" w:customStyle="1" w:styleId="HTML-aadressMrk11">
    <w:name w:val="HTML-aadress Märk11"/>
    <w:basedOn w:val="Liguvaikefont"/>
    <w:uiPriority w:val="99"/>
    <w:semiHidden/>
    <w:rsid w:val="00F00AF5"/>
    <w:rPr>
      <w:rFonts w:ascii="Times New Roman" w:hAnsi="Times New Roman" w:cs="Times New Roman"/>
      <w:i/>
      <w:iCs/>
      <w:sz w:val="24"/>
    </w:rPr>
  </w:style>
  <w:style w:type="character" w:customStyle="1" w:styleId="HTML-eelvormindatudMrk">
    <w:name w:val="HTML-eelvormindatud Märk"/>
    <w:basedOn w:val="Liguvaikefont"/>
    <w:link w:val="HTML-eelvormindatud"/>
    <w:uiPriority w:val="99"/>
    <w:semiHidden/>
    <w:locked/>
    <w:rsid w:val="00BC787A"/>
    <w:rPr>
      <w:rFonts w:ascii="Courier New" w:hAnsi="Courier New" w:cs="Courier New"/>
      <w:sz w:val="20"/>
      <w:szCs w:val="20"/>
    </w:rPr>
  </w:style>
  <w:style w:type="paragraph" w:styleId="HTML-eelvormindatud">
    <w:name w:val="HTML Preformatted"/>
    <w:basedOn w:val="Normaallaad"/>
    <w:link w:val="HTML-eelvormindatudMrk"/>
    <w:uiPriority w:val="99"/>
    <w:semiHidden/>
    <w:unhideWhenUsed/>
    <w:rsid w:val="00BC7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Liguvaikefont"/>
    <w:uiPriority w:val="99"/>
    <w:semiHidden/>
    <w:rsid w:val="00F00AF5"/>
    <w:rPr>
      <w:rFonts w:ascii="Courier New" w:hAnsi="Courier New" w:cs="Courier New"/>
      <w:sz w:val="20"/>
      <w:szCs w:val="20"/>
    </w:rPr>
  </w:style>
  <w:style w:type="character" w:customStyle="1" w:styleId="HTML-eelvormindatudMrk1">
    <w:name w:val="HTML-eelvormindatud Märk1"/>
    <w:basedOn w:val="Liguvaikefont"/>
    <w:uiPriority w:val="99"/>
    <w:semiHidden/>
    <w:rsid w:val="00F00AF5"/>
    <w:rPr>
      <w:rFonts w:ascii="Courier New" w:hAnsi="Courier New" w:cs="Courier New"/>
      <w:sz w:val="20"/>
      <w:szCs w:val="20"/>
    </w:rPr>
  </w:style>
  <w:style w:type="character" w:customStyle="1" w:styleId="HTML-eelvormindatudMrk112">
    <w:name w:val="HTML-eelvormindatud Märk112"/>
    <w:basedOn w:val="Liguvaikefont"/>
    <w:uiPriority w:val="99"/>
    <w:semiHidden/>
    <w:rsid w:val="00F00AF5"/>
    <w:rPr>
      <w:rFonts w:ascii="Courier New" w:hAnsi="Courier New" w:cs="Courier New"/>
      <w:sz w:val="20"/>
      <w:szCs w:val="20"/>
    </w:rPr>
  </w:style>
  <w:style w:type="character" w:customStyle="1" w:styleId="HTML-eelvormindatudMrk111">
    <w:name w:val="HTML-eelvormindatud Märk111"/>
    <w:basedOn w:val="Liguvaikefont"/>
    <w:uiPriority w:val="99"/>
    <w:semiHidden/>
    <w:rsid w:val="00F00AF5"/>
    <w:rPr>
      <w:rFonts w:ascii="Courier New" w:hAnsi="Courier New" w:cs="Courier New"/>
      <w:sz w:val="20"/>
      <w:szCs w:val="20"/>
    </w:rPr>
  </w:style>
  <w:style w:type="character" w:customStyle="1" w:styleId="HTML-eelvormindatudMrk110">
    <w:name w:val="HTML-eelvormindatud Märk110"/>
    <w:basedOn w:val="Liguvaikefont"/>
    <w:uiPriority w:val="99"/>
    <w:semiHidden/>
    <w:rsid w:val="00F00AF5"/>
    <w:rPr>
      <w:rFonts w:ascii="Courier New" w:hAnsi="Courier New" w:cs="Courier New"/>
      <w:sz w:val="20"/>
      <w:szCs w:val="20"/>
    </w:rPr>
  </w:style>
  <w:style w:type="character" w:customStyle="1" w:styleId="HTML-eelvormindatudMrk19">
    <w:name w:val="HTML-eelvormindatud Märk19"/>
    <w:basedOn w:val="Liguvaikefont"/>
    <w:uiPriority w:val="99"/>
    <w:semiHidden/>
    <w:rsid w:val="00F00AF5"/>
    <w:rPr>
      <w:rFonts w:ascii="Courier New" w:hAnsi="Courier New" w:cs="Courier New"/>
      <w:sz w:val="20"/>
      <w:szCs w:val="20"/>
    </w:rPr>
  </w:style>
  <w:style w:type="character" w:customStyle="1" w:styleId="HTML-eelvormindatudMrk18">
    <w:name w:val="HTML-eelvormindatud Märk18"/>
    <w:basedOn w:val="Liguvaikefont"/>
    <w:uiPriority w:val="99"/>
    <w:semiHidden/>
    <w:rsid w:val="00F00AF5"/>
    <w:rPr>
      <w:rFonts w:ascii="Courier New" w:hAnsi="Courier New" w:cs="Courier New"/>
      <w:sz w:val="20"/>
      <w:szCs w:val="20"/>
    </w:rPr>
  </w:style>
  <w:style w:type="character" w:customStyle="1" w:styleId="HTML-eelvormindatudMrk17">
    <w:name w:val="HTML-eelvormindatud Märk17"/>
    <w:basedOn w:val="Liguvaikefont"/>
    <w:uiPriority w:val="99"/>
    <w:semiHidden/>
    <w:rsid w:val="00F00AF5"/>
    <w:rPr>
      <w:rFonts w:ascii="Courier New" w:hAnsi="Courier New" w:cs="Courier New"/>
      <w:sz w:val="20"/>
      <w:szCs w:val="20"/>
    </w:rPr>
  </w:style>
  <w:style w:type="character" w:customStyle="1" w:styleId="HTML-eelvormindatudMrk16">
    <w:name w:val="HTML-eelvormindatud Märk16"/>
    <w:basedOn w:val="Liguvaikefont"/>
    <w:uiPriority w:val="99"/>
    <w:semiHidden/>
    <w:rsid w:val="00F00AF5"/>
    <w:rPr>
      <w:rFonts w:ascii="Courier New" w:hAnsi="Courier New" w:cs="Courier New"/>
      <w:sz w:val="20"/>
      <w:szCs w:val="20"/>
    </w:rPr>
  </w:style>
  <w:style w:type="character" w:customStyle="1" w:styleId="HTML-eelvormindatudMrk15">
    <w:name w:val="HTML-eelvormindatud Märk15"/>
    <w:basedOn w:val="Liguvaikefont"/>
    <w:uiPriority w:val="99"/>
    <w:semiHidden/>
    <w:rsid w:val="00F00AF5"/>
    <w:rPr>
      <w:rFonts w:ascii="Courier New" w:hAnsi="Courier New" w:cs="Courier New"/>
      <w:sz w:val="20"/>
      <w:szCs w:val="20"/>
    </w:rPr>
  </w:style>
  <w:style w:type="character" w:customStyle="1" w:styleId="HTML-eelvormindatudMrk14">
    <w:name w:val="HTML-eelvormindatud Märk14"/>
    <w:basedOn w:val="Liguvaikefont"/>
    <w:uiPriority w:val="99"/>
    <w:semiHidden/>
    <w:rsid w:val="00F00AF5"/>
    <w:rPr>
      <w:rFonts w:ascii="Courier New" w:hAnsi="Courier New" w:cs="Courier New"/>
      <w:sz w:val="20"/>
      <w:szCs w:val="20"/>
    </w:rPr>
  </w:style>
  <w:style w:type="character" w:customStyle="1" w:styleId="HTML-eelvormindatudMrk13">
    <w:name w:val="HTML-eelvormindatud Märk13"/>
    <w:basedOn w:val="Liguvaikefont"/>
    <w:uiPriority w:val="99"/>
    <w:semiHidden/>
    <w:rsid w:val="00F00AF5"/>
    <w:rPr>
      <w:rFonts w:ascii="Courier New" w:hAnsi="Courier New" w:cs="Courier New"/>
      <w:sz w:val="20"/>
      <w:szCs w:val="20"/>
    </w:rPr>
  </w:style>
  <w:style w:type="character" w:customStyle="1" w:styleId="HTML-eelvormindatudMrk12">
    <w:name w:val="HTML-eelvormindatud Märk12"/>
    <w:basedOn w:val="Liguvaikefont"/>
    <w:uiPriority w:val="99"/>
    <w:semiHidden/>
    <w:rsid w:val="00F00AF5"/>
    <w:rPr>
      <w:rFonts w:ascii="Courier New" w:hAnsi="Courier New" w:cs="Courier New"/>
      <w:sz w:val="20"/>
      <w:szCs w:val="20"/>
    </w:rPr>
  </w:style>
  <w:style w:type="character" w:customStyle="1" w:styleId="HTML-eelvormindatudMrk11">
    <w:name w:val="HTML-eelvormindatud Märk11"/>
    <w:basedOn w:val="Liguvaikefont"/>
    <w:uiPriority w:val="99"/>
    <w:semiHidden/>
    <w:rsid w:val="00F00AF5"/>
    <w:rPr>
      <w:rFonts w:ascii="Courier New" w:hAnsi="Courier New" w:cs="Courier New"/>
      <w:sz w:val="20"/>
      <w:szCs w:val="20"/>
    </w:rPr>
  </w:style>
  <w:style w:type="paragraph" w:customStyle="1" w:styleId="left">
    <w:name w:val="left"/>
    <w:basedOn w:val="Normaallaad"/>
    <w:uiPriority w:val="99"/>
    <w:rsid w:val="00BC787A"/>
    <w:pPr>
      <w:spacing w:before="240" w:after="100" w:afterAutospacing="1" w:line="240" w:lineRule="auto"/>
    </w:pPr>
    <w:rPr>
      <w:szCs w:val="24"/>
    </w:rPr>
  </w:style>
  <w:style w:type="paragraph" w:customStyle="1" w:styleId="right">
    <w:name w:val="right"/>
    <w:basedOn w:val="Normaallaad"/>
    <w:uiPriority w:val="99"/>
    <w:rsid w:val="00BC787A"/>
    <w:pPr>
      <w:spacing w:before="240" w:after="100" w:afterAutospacing="1" w:line="240" w:lineRule="auto"/>
      <w:jc w:val="right"/>
    </w:pPr>
    <w:rPr>
      <w:szCs w:val="24"/>
    </w:rPr>
  </w:style>
  <w:style w:type="paragraph" w:customStyle="1" w:styleId="center">
    <w:name w:val="center"/>
    <w:basedOn w:val="Normaallaad"/>
    <w:uiPriority w:val="99"/>
    <w:rsid w:val="00BC787A"/>
    <w:pPr>
      <w:spacing w:before="240" w:after="100" w:afterAutospacing="1" w:line="240" w:lineRule="auto"/>
      <w:jc w:val="center"/>
    </w:pPr>
    <w:rPr>
      <w:szCs w:val="24"/>
    </w:rPr>
  </w:style>
  <w:style w:type="paragraph" w:customStyle="1" w:styleId="middle">
    <w:name w:val="middle"/>
    <w:basedOn w:val="Normaallaad"/>
    <w:uiPriority w:val="99"/>
    <w:rsid w:val="00BC787A"/>
    <w:pPr>
      <w:spacing w:before="240" w:after="100" w:afterAutospacing="1" w:line="240" w:lineRule="auto"/>
      <w:textAlignment w:val="center"/>
    </w:pPr>
    <w:rPr>
      <w:szCs w:val="24"/>
    </w:rPr>
  </w:style>
  <w:style w:type="paragraph" w:customStyle="1" w:styleId="nomargin">
    <w:name w:val="nomargin"/>
    <w:basedOn w:val="Normaallaad"/>
    <w:uiPriority w:val="99"/>
    <w:rsid w:val="00BC787A"/>
    <w:pPr>
      <w:spacing w:after="0" w:line="240" w:lineRule="auto"/>
    </w:pPr>
    <w:rPr>
      <w:szCs w:val="24"/>
    </w:rPr>
  </w:style>
  <w:style w:type="paragraph" w:customStyle="1" w:styleId="hidden">
    <w:name w:val="hidden"/>
    <w:basedOn w:val="Normaallaad"/>
    <w:uiPriority w:val="99"/>
    <w:rsid w:val="00BC787A"/>
    <w:pPr>
      <w:spacing w:before="240" w:after="100" w:afterAutospacing="1" w:line="240" w:lineRule="auto"/>
    </w:pPr>
    <w:rPr>
      <w:vanish/>
      <w:szCs w:val="24"/>
    </w:rPr>
  </w:style>
  <w:style w:type="paragraph" w:customStyle="1" w:styleId="nowrap">
    <w:name w:val="nowrap"/>
    <w:basedOn w:val="Normaallaad"/>
    <w:uiPriority w:val="99"/>
    <w:rsid w:val="00BC787A"/>
    <w:pPr>
      <w:spacing w:before="240" w:after="100" w:afterAutospacing="1" w:line="240" w:lineRule="auto"/>
    </w:pPr>
    <w:rPr>
      <w:szCs w:val="24"/>
    </w:rPr>
  </w:style>
  <w:style w:type="paragraph" w:customStyle="1" w:styleId="w1p">
    <w:name w:val="w1p"/>
    <w:basedOn w:val="Normaallaad"/>
    <w:uiPriority w:val="99"/>
    <w:rsid w:val="00BC787A"/>
    <w:pPr>
      <w:spacing w:before="240" w:after="100" w:afterAutospacing="1" w:line="240" w:lineRule="auto"/>
    </w:pPr>
    <w:rPr>
      <w:szCs w:val="24"/>
    </w:rPr>
  </w:style>
  <w:style w:type="paragraph" w:customStyle="1" w:styleId="w10p">
    <w:name w:val="w10p"/>
    <w:basedOn w:val="Normaallaad"/>
    <w:uiPriority w:val="99"/>
    <w:rsid w:val="00BC787A"/>
    <w:pPr>
      <w:spacing w:before="240" w:after="100" w:afterAutospacing="1" w:line="240" w:lineRule="auto"/>
    </w:pPr>
    <w:rPr>
      <w:szCs w:val="24"/>
    </w:rPr>
  </w:style>
  <w:style w:type="paragraph" w:customStyle="1" w:styleId="w20p">
    <w:name w:val="w20p"/>
    <w:basedOn w:val="Normaallaad"/>
    <w:uiPriority w:val="99"/>
    <w:rsid w:val="00BC787A"/>
    <w:pPr>
      <w:spacing w:before="240" w:after="100" w:afterAutospacing="1" w:line="240" w:lineRule="auto"/>
    </w:pPr>
    <w:rPr>
      <w:szCs w:val="24"/>
    </w:rPr>
  </w:style>
  <w:style w:type="paragraph" w:customStyle="1" w:styleId="w30p">
    <w:name w:val="w30p"/>
    <w:basedOn w:val="Normaallaad"/>
    <w:uiPriority w:val="99"/>
    <w:rsid w:val="00BC787A"/>
    <w:pPr>
      <w:spacing w:before="240" w:after="100" w:afterAutospacing="1" w:line="240" w:lineRule="auto"/>
    </w:pPr>
    <w:rPr>
      <w:szCs w:val="24"/>
    </w:rPr>
  </w:style>
  <w:style w:type="paragraph" w:customStyle="1" w:styleId="w40p">
    <w:name w:val="w40p"/>
    <w:basedOn w:val="Normaallaad"/>
    <w:uiPriority w:val="99"/>
    <w:rsid w:val="00BC787A"/>
    <w:pPr>
      <w:spacing w:before="240" w:after="100" w:afterAutospacing="1" w:line="240" w:lineRule="auto"/>
    </w:pPr>
    <w:rPr>
      <w:szCs w:val="24"/>
    </w:rPr>
  </w:style>
  <w:style w:type="paragraph" w:customStyle="1" w:styleId="w50p">
    <w:name w:val="w50p"/>
    <w:basedOn w:val="Normaallaad"/>
    <w:uiPriority w:val="99"/>
    <w:rsid w:val="00BC787A"/>
    <w:pPr>
      <w:spacing w:before="240" w:after="100" w:afterAutospacing="1" w:line="240" w:lineRule="auto"/>
    </w:pPr>
    <w:rPr>
      <w:szCs w:val="24"/>
    </w:rPr>
  </w:style>
  <w:style w:type="paragraph" w:customStyle="1" w:styleId="w60p">
    <w:name w:val="w60p"/>
    <w:basedOn w:val="Normaallaad"/>
    <w:uiPriority w:val="99"/>
    <w:rsid w:val="00BC787A"/>
    <w:pPr>
      <w:spacing w:before="240" w:after="100" w:afterAutospacing="1" w:line="240" w:lineRule="auto"/>
    </w:pPr>
    <w:rPr>
      <w:szCs w:val="24"/>
    </w:rPr>
  </w:style>
  <w:style w:type="paragraph" w:customStyle="1" w:styleId="w70p">
    <w:name w:val="w70p"/>
    <w:basedOn w:val="Normaallaad"/>
    <w:uiPriority w:val="99"/>
    <w:rsid w:val="00BC787A"/>
    <w:pPr>
      <w:spacing w:before="240" w:after="100" w:afterAutospacing="1" w:line="240" w:lineRule="auto"/>
    </w:pPr>
    <w:rPr>
      <w:szCs w:val="24"/>
    </w:rPr>
  </w:style>
  <w:style w:type="paragraph" w:customStyle="1" w:styleId="w80p">
    <w:name w:val="w80p"/>
    <w:basedOn w:val="Normaallaad"/>
    <w:uiPriority w:val="99"/>
    <w:rsid w:val="00BC787A"/>
    <w:pPr>
      <w:spacing w:before="240" w:after="100" w:afterAutospacing="1" w:line="240" w:lineRule="auto"/>
    </w:pPr>
    <w:rPr>
      <w:szCs w:val="24"/>
    </w:rPr>
  </w:style>
  <w:style w:type="paragraph" w:customStyle="1" w:styleId="w90p">
    <w:name w:val="w90p"/>
    <w:basedOn w:val="Normaallaad"/>
    <w:uiPriority w:val="99"/>
    <w:rsid w:val="00BC787A"/>
    <w:pPr>
      <w:spacing w:before="240" w:after="100" w:afterAutospacing="1" w:line="240" w:lineRule="auto"/>
    </w:pPr>
    <w:rPr>
      <w:szCs w:val="24"/>
    </w:rPr>
  </w:style>
  <w:style w:type="paragraph" w:customStyle="1" w:styleId="w100p">
    <w:name w:val="w100p"/>
    <w:basedOn w:val="Normaallaad"/>
    <w:uiPriority w:val="99"/>
    <w:rsid w:val="00BC787A"/>
    <w:pPr>
      <w:spacing w:before="240" w:after="100" w:afterAutospacing="1" w:line="240" w:lineRule="auto"/>
    </w:pPr>
    <w:rPr>
      <w:szCs w:val="24"/>
    </w:rPr>
  </w:style>
  <w:style w:type="paragraph" w:customStyle="1" w:styleId="vv">
    <w:name w:val="vv"/>
    <w:basedOn w:val="Normaallaad"/>
    <w:uiPriority w:val="99"/>
    <w:rsid w:val="00BC787A"/>
    <w:pPr>
      <w:spacing w:before="240" w:after="100" w:afterAutospacing="1" w:line="240" w:lineRule="auto"/>
    </w:pPr>
    <w:rPr>
      <w:szCs w:val="24"/>
    </w:rPr>
  </w:style>
  <w:style w:type="character" w:customStyle="1" w:styleId="tyhik">
    <w:name w:val="tyhik"/>
    <w:basedOn w:val="Liguvaikefont"/>
    <w:rsid w:val="00BC787A"/>
    <w:rPr>
      <w:rFonts w:cs="Times New Roman"/>
    </w:rPr>
  </w:style>
  <w:style w:type="paragraph" w:styleId="Normaallaadveeb">
    <w:name w:val="Normal (Web)"/>
    <w:basedOn w:val="Normaallaad"/>
    <w:uiPriority w:val="99"/>
    <w:unhideWhenUsed/>
    <w:rsid w:val="00BC787A"/>
    <w:pPr>
      <w:spacing w:before="240" w:after="100" w:afterAutospacing="1" w:line="240" w:lineRule="auto"/>
    </w:pPr>
    <w:rPr>
      <w:szCs w:val="24"/>
    </w:rPr>
  </w:style>
  <w:style w:type="character" w:styleId="Tugev">
    <w:name w:val="Strong"/>
    <w:basedOn w:val="Liguvaikefont"/>
    <w:uiPriority w:val="22"/>
    <w:qFormat/>
    <w:rsid w:val="00BC787A"/>
    <w:rPr>
      <w:rFonts w:cs="Times New Roman"/>
      <w:b/>
      <w:bCs/>
    </w:rPr>
  </w:style>
  <w:style w:type="character" w:styleId="Kommentaariviide">
    <w:name w:val="annotation reference"/>
    <w:basedOn w:val="Liguvaikefont"/>
    <w:uiPriority w:val="99"/>
    <w:semiHidden/>
    <w:unhideWhenUsed/>
    <w:rsid w:val="00194F97"/>
    <w:rPr>
      <w:rFonts w:cs="Times New Roman"/>
      <w:sz w:val="16"/>
      <w:szCs w:val="16"/>
    </w:rPr>
  </w:style>
  <w:style w:type="paragraph" w:styleId="Kommentaaritekst">
    <w:name w:val="annotation text"/>
    <w:basedOn w:val="Normaallaad"/>
    <w:link w:val="KommentaaritekstMrk"/>
    <w:uiPriority w:val="99"/>
    <w:unhideWhenUsed/>
    <w:rsid w:val="00194F97"/>
    <w:pPr>
      <w:spacing w:line="240" w:lineRule="auto"/>
    </w:pPr>
    <w:rPr>
      <w:sz w:val="20"/>
      <w:szCs w:val="20"/>
    </w:rPr>
  </w:style>
  <w:style w:type="character" w:customStyle="1" w:styleId="KommentaaritekstMrk">
    <w:name w:val="Kommentaari tekst Märk"/>
    <w:basedOn w:val="Liguvaikefont"/>
    <w:link w:val="Kommentaaritekst"/>
    <w:uiPriority w:val="99"/>
    <w:locked/>
    <w:rsid w:val="00194F97"/>
    <w:rPr>
      <w:rFonts w:cs="Times New Roman"/>
      <w:sz w:val="20"/>
      <w:szCs w:val="20"/>
    </w:rPr>
  </w:style>
  <w:style w:type="paragraph" w:styleId="Kommentaariteema">
    <w:name w:val="annotation subject"/>
    <w:basedOn w:val="Kommentaaritekst"/>
    <w:next w:val="Kommentaaritekst"/>
    <w:link w:val="KommentaariteemaMrk"/>
    <w:uiPriority w:val="99"/>
    <w:semiHidden/>
    <w:unhideWhenUsed/>
    <w:rsid w:val="00194F97"/>
    <w:rPr>
      <w:b/>
      <w:bCs/>
    </w:rPr>
  </w:style>
  <w:style w:type="character" w:customStyle="1" w:styleId="KommentaariteemaMrk">
    <w:name w:val="Kommentaari teema Märk"/>
    <w:basedOn w:val="KommentaaritekstMrk"/>
    <w:link w:val="Kommentaariteema"/>
    <w:uiPriority w:val="99"/>
    <w:semiHidden/>
    <w:locked/>
    <w:rsid w:val="00194F97"/>
    <w:rPr>
      <w:rFonts w:cs="Times New Roman"/>
      <w:b/>
      <w:bCs/>
      <w:sz w:val="20"/>
      <w:szCs w:val="20"/>
    </w:rPr>
  </w:style>
  <w:style w:type="paragraph" w:styleId="Jutumullitekst">
    <w:name w:val="Balloon Text"/>
    <w:basedOn w:val="Normaallaad"/>
    <w:link w:val="JutumullitekstMrk"/>
    <w:uiPriority w:val="99"/>
    <w:semiHidden/>
    <w:unhideWhenUsed/>
    <w:rsid w:val="00194F9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locked/>
    <w:rsid w:val="00194F97"/>
    <w:rPr>
      <w:rFonts w:ascii="Segoe UI" w:hAnsi="Segoe UI" w:cs="Segoe UI"/>
      <w:sz w:val="18"/>
      <w:szCs w:val="18"/>
    </w:rPr>
  </w:style>
  <w:style w:type="paragraph" w:styleId="Redaktsioon">
    <w:name w:val="Revision"/>
    <w:hidden/>
    <w:uiPriority w:val="99"/>
    <w:semiHidden/>
    <w:rsid w:val="00C43371"/>
    <w:pPr>
      <w:spacing w:after="0" w:line="240" w:lineRule="auto"/>
    </w:pPr>
    <w:rPr>
      <w:rFonts w:cs="Times New Roman"/>
    </w:rPr>
  </w:style>
  <w:style w:type="paragraph" w:styleId="Loendilik">
    <w:name w:val="List Paragraph"/>
    <w:basedOn w:val="Normaallaad"/>
    <w:uiPriority w:val="34"/>
    <w:qFormat/>
    <w:rsid w:val="00E2026B"/>
    <w:pPr>
      <w:ind w:left="720"/>
      <w:contextualSpacing/>
    </w:pPr>
  </w:style>
  <w:style w:type="paragraph" w:styleId="Pis">
    <w:name w:val="header"/>
    <w:basedOn w:val="Normaallaad"/>
    <w:link w:val="PisMrk"/>
    <w:uiPriority w:val="99"/>
    <w:unhideWhenUsed/>
    <w:rsid w:val="00973C5B"/>
    <w:pPr>
      <w:tabs>
        <w:tab w:val="center" w:pos="4703"/>
        <w:tab w:val="right" w:pos="9406"/>
      </w:tabs>
      <w:spacing w:after="0" w:line="240" w:lineRule="auto"/>
    </w:pPr>
  </w:style>
  <w:style w:type="character" w:customStyle="1" w:styleId="PisMrk">
    <w:name w:val="Päis Märk"/>
    <w:basedOn w:val="Liguvaikefont"/>
    <w:link w:val="Pis"/>
    <w:uiPriority w:val="99"/>
    <w:locked/>
    <w:rsid w:val="00973C5B"/>
    <w:rPr>
      <w:rFonts w:cs="Times New Roman"/>
    </w:rPr>
  </w:style>
  <w:style w:type="paragraph" w:styleId="Jalus">
    <w:name w:val="footer"/>
    <w:basedOn w:val="Normaallaad"/>
    <w:link w:val="JalusMrk"/>
    <w:uiPriority w:val="99"/>
    <w:unhideWhenUsed/>
    <w:rsid w:val="00973C5B"/>
    <w:pPr>
      <w:tabs>
        <w:tab w:val="center" w:pos="4703"/>
        <w:tab w:val="right" w:pos="9406"/>
      </w:tabs>
      <w:spacing w:after="0" w:line="240" w:lineRule="auto"/>
    </w:pPr>
  </w:style>
  <w:style w:type="character" w:customStyle="1" w:styleId="JalusMrk">
    <w:name w:val="Jalus Märk"/>
    <w:basedOn w:val="Liguvaikefont"/>
    <w:link w:val="Jalus"/>
    <w:uiPriority w:val="99"/>
    <w:locked/>
    <w:rsid w:val="00973C5B"/>
    <w:rPr>
      <w:rFonts w:cs="Times New Roman"/>
    </w:rPr>
  </w:style>
  <w:style w:type="character" w:customStyle="1" w:styleId="apple-converted-space">
    <w:name w:val="apple-converted-space"/>
    <w:basedOn w:val="Liguvaikefont"/>
    <w:rsid w:val="00EE7B6C"/>
    <w:rPr>
      <w:rFonts w:cs="Times New Roman"/>
    </w:rPr>
  </w:style>
  <w:style w:type="paragraph" w:styleId="Vahedeta">
    <w:name w:val="No Spacing"/>
    <w:uiPriority w:val="1"/>
    <w:qFormat/>
    <w:rsid w:val="00290D12"/>
    <w:pPr>
      <w:spacing w:after="0" w:line="240" w:lineRule="auto"/>
    </w:pPr>
    <w:rPr>
      <w:rFonts w:ascii="Times New Roman" w:hAnsi="Times New Roman" w:cs="Times New Roman"/>
      <w:sz w:val="24"/>
    </w:rPr>
  </w:style>
  <w:style w:type="paragraph" w:customStyle="1" w:styleId="AK">
    <w:name w:val="AK"/>
    <w:uiPriority w:val="99"/>
    <w:rsid w:val="00FA718D"/>
    <w:pPr>
      <w:keepNext/>
      <w:keepLines/>
      <w:widowControl w:val="0"/>
      <w:suppressLineNumbers/>
      <w:suppressAutoHyphens/>
      <w:spacing w:after="0" w:line="238" w:lineRule="exact"/>
    </w:pPr>
    <w:rPr>
      <w:rFonts w:ascii="Roboto Condensed" w:eastAsia="SimSun" w:hAnsi="Roboto Condensed" w:cs="Mangal"/>
      <w:kern w:val="1"/>
      <w:sz w:val="16"/>
      <w:szCs w:val="24"/>
      <w:lang w:val="et-EE" w:eastAsia="zh-CN" w:bidi="hi-IN"/>
    </w:rPr>
  </w:style>
  <w:style w:type="paragraph" w:customStyle="1" w:styleId="Adressaat">
    <w:name w:val="Adressaat"/>
    <w:uiPriority w:val="99"/>
    <w:rsid w:val="00FA718D"/>
    <w:pPr>
      <w:widowControl w:val="0"/>
      <w:suppressAutoHyphens/>
      <w:spacing w:after="0" w:line="240" w:lineRule="auto"/>
    </w:pPr>
    <w:rPr>
      <w:rFonts w:ascii="Roboto Condensed" w:eastAsia="SimSun" w:hAnsi="Roboto Condensed" w:cs="Mangal"/>
      <w:kern w:val="1"/>
      <w:sz w:val="20"/>
      <w:szCs w:val="24"/>
      <w:lang w:val="et-EE" w:eastAsia="zh-CN" w:bidi="hi-IN"/>
    </w:rPr>
  </w:style>
  <w:style w:type="paragraph" w:customStyle="1" w:styleId="TableContents">
    <w:name w:val="Table Contents"/>
    <w:basedOn w:val="Normaallaad"/>
    <w:uiPriority w:val="99"/>
    <w:rsid w:val="00FA718D"/>
    <w:pPr>
      <w:widowControl w:val="0"/>
      <w:suppressLineNumbers/>
      <w:suppressAutoHyphens/>
      <w:spacing w:after="0" w:line="238" w:lineRule="exact"/>
      <w:jc w:val="both"/>
    </w:pPr>
    <w:rPr>
      <w:rFonts w:eastAsia="SimSun"/>
      <w:kern w:val="1"/>
      <w:szCs w:val="24"/>
      <w:lang w:eastAsia="zh-CN" w:bidi="hi-IN"/>
    </w:rPr>
  </w:style>
  <w:style w:type="table" w:styleId="Kontuurtabel">
    <w:name w:val="Table Grid"/>
    <w:basedOn w:val="Normaaltabel"/>
    <w:uiPriority w:val="39"/>
    <w:rsid w:val="00DD79D3"/>
    <w:pPr>
      <w:spacing w:after="0" w:line="240" w:lineRule="auto"/>
    </w:pPr>
    <w:rPr>
      <w:rFonts w:eastAsiaTheme="minorHAnsi" w:cstheme="minorBidi"/>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3A1A1E"/>
    <w:rPr>
      <w:b w:val="0"/>
      <w:bCs w:val="0"/>
      <w:strike w:val="0"/>
      <w:dstrike w:val="0"/>
      <w:color w:val="2460AD"/>
      <w:u w:val="none"/>
      <w:effect w:val="none"/>
    </w:rPr>
  </w:style>
  <w:style w:type="character" w:customStyle="1" w:styleId="m">
    <w:name w:val="m"/>
    <w:basedOn w:val="Liguvaikefont"/>
    <w:rsid w:val="003A1A1E"/>
  </w:style>
  <w:style w:type="character" w:customStyle="1" w:styleId="grg">
    <w:name w:val="grg"/>
    <w:basedOn w:val="Liguvaikefont"/>
    <w:rsid w:val="003A1A1E"/>
  </w:style>
  <w:style w:type="character" w:customStyle="1" w:styleId="mt">
    <w:name w:val="mt"/>
    <w:basedOn w:val="Liguvaikefont"/>
    <w:rsid w:val="003A1A1E"/>
  </w:style>
  <w:style w:type="character" w:customStyle="1" w:styleId="mvq">
    <w:name w:val="mvq"/>
    <w:basedOn w:val="Liguvaikefont"/>
    <w:rsid w:val="003A1A1E"/>
  </w:style>
  <w:style w:type="character" w:customStyle="1" w:styleId="d1">
    <w:name w:val="d1"/>
    <w:basedOn w:val="Liguvaikefont"/>
    <w:rsid w:val="003A1A1E"/>
    <w:rPr>
      <w:i/>
      <w:iCs/>
    </w:rPr>
  </w:style>
  <w:style w:type="character" w:customStyle="1" w:styleId="kvm">
    <w:name w:val="kvm"/>
    <w:basedOn w:val="Liguvaikefont"/>
    <w:rsid w:val="003A1A1E"/>
  </w:style>
  <w:style w:type="character" w:customStyle="1" w:styleId="n">
    <w:name w:val="n"/>
    <w:basedOn w:val="Liguvaikefont"/>
    <w:rsid w:val="003A1A1E"/>
  </w:style>
  <w:style w:type="character" w:customStyle="1" w:styleId="leitudss1">
    <w:name w:val="leitud_ss1"/>
    <w:basedOn w:val="Liguvaikefont"/>
    <w:rsid w:val="003A1A1E"/>
    <w:rPr>
      <w:shd w:val="clear" w:color="auto" w:fill="FFD700"/>
    </w:rPr>
  </w:style>
  <w:style w:type="paragraph" w:customStyle="1" w:styleId="Default">
    <w:name w:val="Default"/>
    <w:rsid w:val="002316C3"/>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Lihttekst">
    <w:name w:val="Plain Text"/>
    <w:basedOn w:val="Normaallaad"/>
    <w:link w:val="LihttekstMrk"/>
    <w:uiPriority w:val="99"/>
    <w:unhideWhenUsed/>
    <w:rsid w:val="00366FA3"/>
    <w:pPr>
      <w:spacing w:after="0" w:line="240" w:lineRule="auto"/>
    </w:pPr>
    <w:rPr>
      <w:rFonts w:ascii="Calibri" w:eastAsiaTheme="minorHAnsi" w:hAnsi="Calibri" w:cstheme="minorBidi"/>
      <w:sz w:val="22"/>
      <w:szCs w:val="21"/>
    </w:rPr>
  </w:style>
  <w:style w:type="character" w:customStyle="1" w:styleId="LihttekstMrk">
    <w:name w:val="Lihttekst Märk"/>
    <w:basedOn w:val="Liguvaikefont"/>
    <w:link w:val="Lihttekst"/>
    <w:uiPriority w:val="99"/>
    <w:rsid w:val="00366FA3"/>
    <w:rPr>
      <w:rFonts w:ascii="Calibri" w:eastAsiaTheme="minorHAnsi" w:hAnsi="Calibri" w:cstheme="minorBidi"/>
      <w:szCs w:val="21"/>
      <w:lang w:val="et-EE"/>
    </w:rPr>
  </w:style>
  <w:style w:type="paragraph" w:styleId="Pealdis">
    <w:name w:val="caption"/>
    <w:basedOn w:val="Normaallaad"/>
    <w:next w:val="Normaallaad"/>
    <w:uiPriority w:val="35"/>
    <w:unhideWhenUsed/>
    <w:qFormat/>
    <w:rsid w:val="00A367BC"/>
    <w:pPr>
      <w:spacing w:after="200" w:line="240" w:lineRule="auto"/>
    </w:pPr>
    <w:rPr>
      <w:rFonts w:asciiTheme="minorHAnsi" w:eastAsiaTheme="minorHAnsi" w:hAnsiTheme="minorHAnsi" w:cstheme="minorBidi"/>
      <w:i/>
      <w:iCs/>
      <w:color w:val="44546A" w:themeColor="text2"/>
      <w:sz w:val="18"/>
      <w:szCs w:val="18"/>
    </w:rPr>
  </w:style>
  <w:style w:type="paragraph" w:customStyle="1" w:styleId="gmail-m-5593643494307834433gmail-m-2408868469042431465gmail-m9107866663792698715msolistparagraph">
    <w:name w:val="gmail-m_-5593643494307834433gmail-m-2408868469042431465gmail-m9107866663792698715msolistparagraph"/>
    <w:basedOn w:val="Normaallaad"/>
    <w:uiPriority w:val="99"/>
    <w:rsid w:val="00C6129A"/>
    <w:pPr>
      <w:spacing w:before="100" w:beforeAutospacing="1" w:after="100" w:afterAutospacing="1" w:line="240" w:lineRule="auto"/>
    </w:pPr>
    <w:rPr>
      <w:rFonts w:ascii="Calibri" w:eastAsiaTheme="minorHAnsi" w:hAnsi="Calibri" w:cs="Calibri"/>
      <w:sz w:val="22"/>
      <w:lang w:eastAsia="et-EE"/>
    </w:rPr>
  </w:style>
  <w:style w:type="character" w:customStyle="1" w:styleId="UnresolvedMention1">
    <w:name w:val="Unresolved Mention1"/>
    <w:basedOn w:val="Liguvaikefont"/>
    <w:uiPriority w:val="99"/>
    <w:unhideWhenUsed/>
    <w:rsid w:val="00540B52"/>
    <w:rPr>
      <w:color w:val="605E5C"/>
      <w:shd w:val="clear" w:color="auto" w:fill="E1DFDD"/>
    </w:rPr>
  </w:style>
  <w:style w:type="character" w:customStyle="1" w:styleId="Mention1">
    <w:name w:val="Mention1"/>
    <w:basedOn w:val="Liguvaikefont"/>
    <w:uiPriority w:val="99"/>
    <w:unhideWhenUsed/>
    <w:rsid w:val="00540B52"/>
    <w:rPr>
      <w:color w:val="2B579A"/>
      <w:shd w:val="clear" w:color="auto" w:fill="E1DFDD"/>
    </w:rPr>
  </w:style>
  <w:style w:type="paragraph" w:customStyle="1" w:styleId="paragraph">
    <w:name w:val="paragraph"/>
    <w:basedOn w:val="Normaallaad"/>
    <w:rsid w:val="0059059E"/>
    <w:pPr>
      <w:spacing w:before="100" w:beforeAutospacing="1" w:after="100" w:afterAutospacing="1" w:line="240" w:lineRule="auto"/>
    </w:pPr>
    <w:rPr>
      <w:rFonts w:eastAsiaTheme="minorHAnsi"/>
      <w:szCs w:val="24"/>
      <w:lang w:eastAsia="et-EE"/>
    </w:rPr>
  </w:style>
  <w:style w:type="character" w:customStyle="1" w:styleId="normaltextrun">
    <w:name w:val="normaltextrun"/>
    <w:basedOn w:val="Liguvaikefont"/>
    <w:rsid w:val="0059059E"/>
  </w:style>
  <w:style w:type="character" w:customStyle="1" w:styleId="eop">
    <w:name w:val="eop"/>
    <w:basedOn w:val="Liguvaikefont"/>
    <w:rsid w:val="0059059E"/>
  </w:style>
  <w:style w:type="character" w:customStyle="1" w:styleId="Lahendamatamainimine1">
    <w:name w:val="Lahendamata mainimine1"/>
    <w:basedOn w:val="Liguvaikefont"/>
    <w:uiPriority w:val="99"/>
    <w:unhideWhenUsed/>
    <w:rsid w:val="00B346A3"/>
    <w:rPr>
      <w:color w:val="605E5C"/>
      <w:shd w:val="clear" w:color="auto" w:fill="E1DFDD"/>
    </w:rPr>
  </w:style>
  <w:style w:type="character" w:customStyle="1" w:styleId="Mainimine1">
    <w:name w:val="Mainimine1"/>
    <w:basedOn w:val="Liguvaikefont"/>
    <w:uiPriority w:val="99"/>
    <w:unhideWhenUsed/>
    <w:rsid w:val="00B346A3"/>
    <w:rPr>
      <w:color w:val="2B579A"/>
      <w:shd w:val="clear" w:color="auto" w:fill="E1DFDD"/>
    </w:rPr>
  </w:style>
  <w:style w:type="character" w:styleId="Klastatudhperlink">
    <w:name w:val="FollowedHyperlink"/>
    <w:basedOn w:val="Liguvaikefont"/>
    <w:uiPriority w:val="99"/>
    <w:semiHidden/>
    <w:unhideWhenUsed/>
    <w:rsid w:val="00976487"/>
    <w:rPr>
      <w:color w:val="954F72" w:themeColor="followedHyperlink"/>
      <w:u w:val="single"/>
    </w:rPr>
  </w:style>
  <w:style w:type="character" w:customStyle="1" w:styleId="UnresolvedMention2">
    <w:name w:val="Unresolved Mention2"/>
    <w:basedOn w:val="Liguvaikefont"/>
    <w:uiPriority w:val="99"/>
    <w:unhideWhenUsed/>
    <w:rsid w:val="00ED7FBF"/>
    <w:rPr>
      <w:color w:val="605E5C"/>
      <w:shd w:val="clear" w:color="auto" w:fill="E1DFDD"/>
    </w:rPr>
  </w:style>
  <w:style w:type="character" w:customStyle="1" w:styleId="Mention2">
    <w:name w:val="Mention2"/>
    <w:basedOn w:val="Liguvaikefont"/>
    <w:uiPriority w:val="99"/>
    <w:unhideWhenUsed/>
    <w:rsid w:val="00ED7FBF"/>
    <w:rPr>
      <w:color w:val="2B579A"/>
      <w:shd w:val="clear" w:color="auto" w:fill="E1DFDD"/>
    </w:rPr>
  </w:style>
  <w:style w:type="character" w:styleId="Rhutus">
    <w:name w:val="Emphasis"/>
    <w:basedOn w:val="Liguvaikefont"/>
    <w:uiPriority w:val="20"/>
    <w:qFormat/>
    <w:rsid w:val="004063F1"/>
    <w:rPr>
      <w:i/>
      <w:iCs/>
    </w:rPr>
  </w:style>
  <w:style w:type="character" w:customStyle="1" w:styleId="Lahendamatamainimine2">
    <w:name w:val="Lahendamata mainimine2"/>
    <w:basedOn w:val="Liguvaikefont"/>
    <w:uiPriority w:val="99"/>
    <w:unhideWhenUsed/>
    <w:rsid w:val="009E325D"/>
    <w:rPr>
      <w:color w:val="605E5C"/>
      <w:shd w:val="clear" w:color="auto" w:fill="E1DFDD"/>
    </w:rPr>
  </w:style>
  <w:style w:type="character" w:customStyle="1" w:styleId="Mainimine2">
    <w:name w:val="Mainimine2"/>
    <w:basedOn w:val="Liguvaikefont"/>
    <w:uiPriority w:val="99"/>
    <w:unhideWhenUsed/>
    <w:rsid w:val="009E325D"/>
    <w:rPr>
      <w:color w:val="2B579A"/>
      <w:shd w:val="clear" w:color="auto" w:fill="E1DFDD"/>
    </w:rPr>
  </w:style>
  <w:style w:type="paragraph" w:customStyle="1" w:styleId="gmail-msocommenttext">
    <w:name w:val="gmail-msocommenttext"/>
    <w:basedOn w:val="Normaallaad"/>
    <w:rsid w:val="003C4CFC"/>
    <w:pPr>
      <w:spacing w:before="100" w:beforeAutospacing="1" w:after="100" w:afterAutospacing="1" w:line="240" w:lineRule="auto"/>
    </w:pPr>
    <w:rPr>
      <w:rFonts w:ascii="Calibri" w:eastAsiaTheme="minorHAnsi" w:hAnsi="Calibri" w:cs="Calibri"/>
      <w:sz w:val="22"/>
      <w:lang w:eastAsia="et-EE"/>
    </w:rPr>
  </w:style>
  <w:style w:type="character" w:customStyle="1" w:styleId="Lahendamatamainimine3">
    <w:name w:val="Lahendamata mainimine3"/>
    <w:basedOn w:val="Liguvaikefont"/>
    <w:uiPriority w:val="99"/>
    <w:unhideWhenUsed/>
    <w:rsid w:val="000F7180"/>
    <w:rPr>
      <w:color w:val="605E5C"/>
      <w:shd w:val="clear" w:color="auto" w:fill="E1DFDD"/>
    </w:rPr>
  </w:style>
  <w:style w:type="character" w:customStyle="1" w:styleId="Mainimine3">
    <w:name w:val="Mainimine3"/>
    <w:basedOn w:val="Liguvaikefont"/>
    <w:uiPriority w:val="99"/>
    <w:unhideWhenUsed/>
    <w:rsid w:val="000F7180"/>
    <w:rPr>
      <w:color w:val="2B579A"/>
      <w:shd w:val="clear" w:color="auto" w:fill="E1DFDD"/>
    </w:rPr>
  </w:style>
  <w:style w:type="paragraph" w:customStyle="1" w:styleId="msonormal0">
    <w:name w:val="msonormal"/>
    <w:basedOn w:val="Normaallaad"/>
    <w:rsid w:val="00C81FB6"/>
    <w:pPr>
      <w:spacing w:before="100" w:beforeAutospacing="1" w:after="100" w:afterAutospacing="1" w:line="240" w:lineRule="auto"/>
    </w:pPr>
    <w:rPr>
      <w:szCs w:val="24"/>
      <w:lang w:eastAsia="et-EE"/>
    </w:rPr>
  </w:style>
  <w:style w:type="paragraph" w:customStyle="1" w:styleId="xl65">
    <w:name w:val="xl65"/>
    <w:basedOn w:val="Normaallaad"/>
    <w:rsid w:val="00C81FB6"/>
    <w:pPr>
      <w:spacing w:before="100" w:beforeAutospacing="1" w:after="100" w:afterAutospacing="1" w:line="240" w:lineRule="auto"/>
    </w:pPr>
    <w:rPr>
      <w:szCs w:val="24"/>
      <w:lang w:eastAsia="et-EE"/>
    </w:rPr>
  </w:style>
  <w:style w:type="paragraph" w:customStyle="1" w:styleId="xl66">
    <w:name w:val="xl66"/>
    <w:basedOn w:val="Normaallaad"/>
    <w:rsid w:val="00C81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t-EE"/>
    </w:rPr>
  </w:style>
  <w:style w:type="paragraph" w:customStyle="1" w:styleId="xl67">
    <w:name w:val="xl67"/>
    <w:basedOn w:val="Normaallaad"/>
    <w:rsid w:val="00C81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t-EE"/>
    </w:rPr>
  </w:style>
  <w:style w:type="paragraph" w:customStyle="1" w:styleId="xl68">
    <w:name w:val="xl68"/>
    <w:basedOn w:val="Normaallaad"/>
    <w:rsid w:val="00C81FB6"/>
    <w:pPr>
      <w:spacing w:before="100" w:beforeAutospacing="1" w:after="100" w:afterAutospacing="1" w:line="240" w:lineRule="auto"/>
    </w:pPr>
    <w:rPr>
      <w:szCs w:val="24"/>
      <w:lang w:eastAsia="et-EE"/>
    </w:rPr>
  </w:style>
  <w:style w:type="paragraph" w:customStyle="1" w:styleId="xl69">
    <w:name w:val="xl69"/>
    <w:basedOn w:val="Normaallaad"/>
    <w:rsid w:val="00C81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Cs w:val="24"/>
      <w:lang w:eastAsia="et-EE"/>
    </w:rPr>
  </w:style>
  <w:style w:type="paragraph" w:customStyle="1" w:styleId="xl70">
    <w:name w:val="xl70"/>
    <w:basedOn w:val="Normaallaad"/>
    <w:rsid w:val="00C81FB6"/>
    <w:pPr>
      <w:spacing w:before="100" w:beforeAutospacing="1" w:after="100" w:afterAutospacing="1" w:line="240" w:lineRule="auto"/>
      <w:jc w:val="center"/>
    </w:pPr>
    <w:rPr>
      <w:szCs w:val="24"/>
      <w:lang w:eastAsia="et-EE"/>
    </w:rPr>
  </w:style>
  <w:style w:type="paragraph" w:customStyle="1" w:styleId="xl71">
    <w:name w:val="xl71"/>
    <w:basedOn w:val="Normaallaad"/>
    <w:rsid w:val="005A2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et-EE"/>
    </w:rPr>
  </w:style>
  <w:style w:type="paragraph" w:customStyle="1" w:styleId="xl72">
    <w:name w:val="xl72"/>
    <w:basedOn w:val="Normaallaad"/>
    <w:rsid w:val="005A2050"/>
    <w:pPr>
      <w:spacing w:before="100" w:beforeAutospacing="1" w:after="100" w:afterAutospacing="1" w:line="240" w:lineRule="auto"/>
      <w:jc w:val="center"/>
      <w:textAlignment w:val="center"/>
    </w:pPr>
    <w:rPr>
      <w:szCs w:val="24"/>
      <w:lang w:eastAsia="et-EE"/>
    </w:rPr>
  </w:style>
  <w:style w:type="paragraph" w:customStyle="1" w:styleId="Standard">
    <w:name w:val="Standard"/>
    <w:rsid w:val="00A3275A"/>
    <w:pPr>
      <w:widowControl w:val="0"/>
      <w:suppressAutoHyphens/>
      <w:autoSpaceDN w:val="0"/>
      <w:spacing w:after="0" w:line="238" w:lineRule="exact"/>
      <w:textAlignment w:val="baseline"/>
    </w:pPr>
    <w:rPr>
      <w:rFonts w:ascii="Roboto Condensed" w:eastAsia="SimSun" w:hAnsi="Roboto Condensed" w:cs="Mangal"/>
      <w:kern w:val="3"/>
      <w:szCs w:val="24"/>
      <w:lang w:val="et-EE" w:eastAsia="zh-CN" w:bidi="hi-IN"/>
    </w:rPr>
  </w:style>
  <w:style w:type="character" w:styleId="Mainimine">
    <w:name w:val="Mention"/>
    <w:basedOn w:val="Liguvaikefont"/>
    <w:uiPriority w:val="99"/>
    <w:unhideWhenUsed/>
    <w:rPr>
      <w:color w:val="2B579A"/>
      <w:shd w:val="clear" w:color="auto" w:fill="E6E6E6"/>
    </w:rPr>
  </w:style>
  <w:style w:type="character" w:styleId="Lahendamatamainimine">
    <w:name w:val="Unresolved Mention"/>
    <w:basedOn w:val="Liguvaikefont"/>
    <w:uiPriority w:val="99"/>
    <w:unhideWhenUsed/>
    <w:rsid w:val="00921244"/>
    <w:rPr>
      <w:color w:val="605E5C"/>
      <w:shd w:val="clear" w:color="auto" w:fill="E1DFDD"/>
    </w:rPr>
  </w:style>
  <w:style w:type="character" w:customStyle="1" w:styleId="ui-provider">
    <w:name w:val="ui-provider"/>
    <w:basedOn w:val="Liguvaikefont"/>
    <w:rsid w:val="007959E6"/>
  </w:style>
  <w:style w:type="character" w:customStyle="1" w:styleId="cf01">
    <w:name w:val="cf01"/>
    <w:basedOn w:val="Liguvaikefont"/>
    <w:rsid w:val="007959E6"/>
    <w:rPr>
      <w:rFonts w:ascii="Segoe UI" w:hAnsi="Segoe UI" w:cs="Segoe UI" w:hint="default"/>
      <w:sz w:val="18"/>
      <w:szCs w:val="18"/>
    </w:rPr>
  </w:style>
  <w:style w:type="character" w:customStyle="1" w:styleId="cf11">
    <w:name w:val="cf11"/>
    <w:basedOn w:val="Liguvaikefont"/>
    <w:rsid w:val="005E2B37"/>
    <w:rPr>
      <w:rFonts w:ascii="Segoe UI" w:hAnsi="Segoe UI" w:cs="Segoe UI" w:hint="default"/>
      <w:sz w:val="18"/>
      <w:szCs w:val="18"/>
    </w:rPr>
  </w:style>
  <w:style w:type="paragraph" w:customStyle="1" w:styleId="pf0">
    <w:name w:val="pf0"/>
    <w:basedOn w:val="Normaallaad"/>
    <w:rsid w:val="001A024F"/>
    <w:pPr>
      <w:spacing w:before="100" w:beforeAutospacing="1" w:after="100" w:afterAutospacing="1" w:line="240" w:lineRule="auto"/>
    </w:pPr>
    <w:rPr>
      <w:szCs w:val="24"/>
      <w:lang w:eastAsia="et-EE"/>
    </w:rPr>
  </w:style>
  <w:style w:type="character" w:customStyle="1" w:styleId="Pealkiri7Mrk">
    <w:name w:val="Pealkiri 7 Märk"/>
    <w:basedOn w:val="Liguvaikefont"/>
    <w:link w:val="Pealkiri7"/>
    <w:uiPriority w:val="9"/>
    <w:semiHidden/>
    <w:rsid w:val="00EC29D8"/>
    <w:rPr>
      <w:rFonts w:cs="Times New Roman"/>
      <w:color w:val="595959"/>
    </w:rPr>
  </w:style>
  <w:style w:type="character" w:customStyle="1" w:styleId="Pealkiri8Mrk">
    <w:name w:val="Pealkiri 8 Märk"/>
    <w:basedOn w:val="Liguvaikefont"/>
    <w:link w:val="Pealkiri8"/>
    <w:uiPriority w:val="9"/>
    <w:semiHidden/>
    <w:rsid w:val="00EC29D8"/>
    <w:rPr>
      <w:rFonts w:cs="Times New Roman"/>
      <w:i/>
      <w:iCs/>
      <w:color w:val="272727"/>
    </w:rPr>
  </w:style>
  <w:style w:type="character" w:customStyle="1" w:styleId="Pealkiri9Mrk">
    <w:name w:val="Pealkiri 9 Märk"/>
    <w:basedOn w:val="Liguvaikefont"/>
    <w:link w:val="Pealkiri9"/>
    <w:uiPriority w:val="9"/>
    <w:semiHidden/>
    <w:rsid w:val="00EC29D8"/>
    <w:rPr>
      <w:rFonts w:cs="Times New Roman"/>
      <w:color w:val="272727"/>
    </w:rPr>
  </w:style>
  <w:style w:type="paragraph" w:customStyle="1" w:styleId="Heading71">
    <w:name w:val="Heading 71"/>
    <w:basedOn w:val="Normaallaad"/>
    <w:next w:val="Normaallaad"/>
    <w:uiPriority w:val="9"/>
    <w:semiHidden/>
    <w:unhideWhenUsed/>
    <w:qFormat/>
    <w:rsid w:val="00EC29D8"/>
    <w:pPr>
      <w:keepNext/>
      <w:keepLines/>
      <w:spacing w:before="40" w:after="0"/>
      <w:outlineLvl w:val="6"/>
    </w:pPr>
    <w:rPr>
      <w:rFonts w:ascii="Calibri" w:hAnsi="Calibri"/>
      <w:color w:val="595959"/>
      <w:sz w:val="22"/>
    </w:rPr>
  </w:style>
  <w:style w:type="paragraph" w:customStyle="1" w:styleId="Heading81">
    <w:name w:val="Heading 81"/>
    <w:basedOn w:val="Normaallaad"/>
    <w:next w:val="Normaallaad"/>
    <w:uiPriority w:val="9"/>
    <w:semiHidden/>
    <w:unhideWhenUsed/>
    <w:qFormat/>
    <w:rsid w:val="00EC29D8"/>
    <w:pPr>
      <w:keepNext/>
      <w:keepLines/>
      <w:spacing w:after="0"/>
      <w:outlineLvl w:val="7"/>
    </w:pPr>
    <w:rPr>
      <w:rFonts w:ascii="Calibri" w:hAnsi="Calibri"/>
      <w:i/>
      <w:iCs/>
      <w:color w:val="272727"/>
      <w:sz w:val="22"/>
    </w:rPr>
  </w:style>
  <w:style w:type="paragraph" w:customStyle="1" w:styleId="Heading91">
    <w:name w:val="Heading 91"/>
    <w:basedOn w:val="Normaallaad"/>
    <w:next w:val="Normaallaad"/>
    <w:uiPriority w:val="9"/>
    <w:semiHidden/>
    <w:unhideWhenUsed/>
    <w:qFormat/>
    <w:rsid w:val="00EC29D8"/>
    <w:pPr>
      <w:keepNext/>
      <w:keepLines/>
      <w:spacing w:after="0"/>
      <w:outlineLvl w:val="8"/>
    </w:pPr>
    <w:rPr>
      <w:rFonts w:ascii="Calibri" w:hAnsi="Calibri"/>
      <w:color w:val="272727"/>
      <w:sz w:val="22"/>
    </w:rPr>
  </w:style>
  <w:style w:type="numbering" w:customStyle="1" w:styleId="NoList1">
    <w:name w:val="No List1"/>
    <w:next w:val="Loendita"/>
    <w:uiPriority w:val="99"/>
    <w:semiHidden/>
    <w:unhideWhenUsed/>
    <w:rsid w:val="00EC29D8"/>
  </w:style>
  <w:style w:type="paragraph" w:customStyle="1" w:styleId="Title1">
    <w:name w:val="Title1"/>
    <w:basedOn w:val="Normaallaad"/>
    <w:next w:val="Normaallaad"/>
    <w:uiPriority w:val="10"/>
    <w:qFormat/>
    <w:rsid w:val="00EC29D8"/>
    <w:pPr>
      <w:spacing w:after="80" w:line="240" w:lineRule="auto"/>
      <w:contextualSpacing/>
    </w:pPr>
    <w:rPr>
      <w:rFonts w:ascii="Calibri Light" w:hAnsi="Calibri Light"/>
      <w:spacing w:val="-10"/>
      <w:kern w:val="28"/>
      <w:sz w:val="56"/>
      <w:szCs w:val="56"/>
    </w:rPr>
  </w:style>
  <w:style w:type="character" w:customStyle="1" w:styleId="PealkiriMrk">
    <w:name w:val="Pealkiri Märk"/>
    <w:basedOn w:val="Liguvaikefont"/>
    <w:link w:val="Pealkiri"/>
    <w:uiPriority w:val="10"/>
    <w:rsid w:val="00EC29D8"/>
    <w:rPr>
      <w:rFonts w:ascii="Calibri Light" w:hAnsi="Calibri Light" w:cs="Times New Roman"/>
      <w:spacing w:val="-10"/>
      <w:kern w:val="28"/>
      <w:sz w:val="56"/>
      <w:szCs w:val="56"/>
    </w:rPr>
  </w:style>
  <w:style w:type="paragraph" w:customStyle="1" w:styleId="Subtitle1">
    <w:name w:val="Subtitle1"/>
    <w:basedOn w:val="Normaallaad"/>
    <w:next w:val="Normaallaad"/>
    <w:uiPriority w:val="11"/>
    <w:qFormat/>
    <w:rsid w:val="00EC29D8"/>
    <w:pPr>
      <w:numPr>
        <w:ilvl w:val="1"/>
      </w:numPr>
    </w:pPr>
    <w:rPr>
      <w:rFonts w:ascii="Calibri" w:hAnsi="Calibri"/>
      <w:color w:val="595959"/>
      <w:spacing w:val="15"/>
      <w:sz w:val="28"/>
      <w:szCs w:val="28"/>
    </w:rPr>
  </w:style>
  <w:style w:type="character" w:customStyle="1" w:styleId="AlapealkiriMrk">
    <w:name w:val="Alapealkiri Märk"/>
    <w:basedOn w:val="Liguvaikefont"/>
    <w:link w:val="Alapealkiri"/>
    <w:uiPriority w:val="11"/>
    <w:rsid w:val="00EC29D8"/>
    <w:rPr>
      <w:rFonts w:cs="Times New Roman"/>
      <w:color w:val="595959"/>
      <w:spacing w:val="15"/>
      <w:sz w:val="28"/>
      <w:szCs w:val="28"/>
    </w:rPr>
  </w:style>
  <w:style w:type="paragraph" w:customStyle="1" w:styleId="Quote1">
    <w:name w:val="Quote1"/>
    <w:basedOn w:val="Normaallaad"/>
    <w:next w:val="Normaallaad"/>
    <w:uiPriority w:val="29"/>
    <w:qFormat/>
    <w:rsid w:val="00EC29D8"/>
    <w:pPr>
      <w:spacing w:before="160"/>
      <w:jc w:val="center"/>
    </w:pPr>
    <w:rPr>
      <w:rFonts w:ascii="Calibri" w:eastAsia="Calibri" w:hAnsi="Calibri"/>
      <w:i/>
      <w:iCs/>
      <w:color w:val="404040"/>
      <w:sz w:val="22"/>
    </w:rPr>
  </w:style>
  <w:style w:type="character" w:customStyle="1" w:styleId="TsitaatMrk">
    <w:name w:val="Tsitaat Märk"/>
    <w:basedOn w:val="Liguvaikefont"/>
    <w:link w:val="Tsitaat"/>
    <w:uiPriority w:val="29"/>
    <w:rsid w:val="00EC29D8"/>
    <w:rPr>
      <w:i/>
      <w:iCs/>
      <w:color w:val="404040"/>
    </w:rPr>
  </w:style>
  <w:style w:type="character" w:customStyle="1" w:styleId="IntenseEmphasis1">
    <w:name w:val="Intense Emphasis1"/>
    <w:basedOn w:val="Liguvaikefont"/>
    <w:uiPriority w:val="21"/>
    <w:qFormat/>
    <w:rsid w:val="00EC29D8"/>
    <w:rPr>
      <w:i/>
      <w:iCs/>
      <w:color w:val="2F5496"/>
    </w:rPr>
  </w:style>
  <w:style w:type="paragraph" w:customStyle="1" w:styleId="IntenseQuote1">
    <w:name w:val="Intense Quote1"/>
    <w:basedOn w:val="Normaallaad"/>
    <w:next w:val="Normaallaad"/>
    <w:uiPriority w:val="30"/>
    <w:qFormat/>
    <w:rsid w:val="00EC29D8"/>
    <w:pPr>
      <w:pBdr>
        <w:top w:val="single" w:sz="4" w:space="10" w:color="2F5496"/>
        <w:bottom w:val="single" w:sz="4" w:space="10" w:color="2F5496"/>
      </w:pBdr>
      <w:spacing w:before="360" w:after="360"/>
      <w:ind w:left="864" w:right="864"/>
      <w:jc w:val="center"/>
    </w:pPr>
    <w:rPr>
      <w:rFonts w:ascii="Calibri" w:eastAsia="Calibri" w:hAnsi="Calibri"/>
      <w:i/>
      <w:iCs/>
      <w:color w:val="2F5496"/>
      <w:sz w:val="22"/>
    </w:rPr>
  </w:style>
  <w:style w:type="character" w:customStyle="1" w:styleId="SelgeltmrgatavtsitaatMrk">
    <w:name w:val="Selgelt märgatav tsitaat Märk"/>
    <w:basedOn w:val="Liguvaikefont"/>
    <w:link w:val="Selgeltmrgatavtsitaat"/>
    <w:uiPriority w:val="30"/>
    <w:rsid w:val="00EC29D8"/>
    <w:rPr>
      <w:i/>
      <w:iCs/>
      <w:color w:val="2F5496"/>
    </w:rPr>
  </w:style>
  <w:style w:type="character" w:customStyle="1" w:styleId="IntenseReference1">
    <w:name w:val="Intense Reference1"/>
    <w:basedOn w:val="Liguvaikefont"/>
    <w:uiPriority w:val="32"/>
    <w:qFormat/>
    <w:rsid w:val="00EC29D8"/>
    <w:rPr>
      <w:b/>
      <w:bCs/>
      <w:smallCaps/>
      <w:color w:val="2F5496"/>
      <w:spacing w:val="5"/>
    </w:rPr>
  </w:style>
  <w:style w:type="character" w:customStyle="1" w:styleId="Heading7Char1">
    <w:name w:val="Heading 7 Char1"/>
    <w:basedOn w:val="Liguvaikefont"/>
    <w:uiPriority w:val="9"/>
    <w:semiHidden/>
    <w:rsid w:val="00EC29D8"/>
    <w:rPr>
      <w:rFonts w:asciiTheme="majorHAnsi" w:eastAsiaTheme="majorEastAsia" w:hAnsiTheme="majorHAnsi" w:cstheme="majorBidi"/>
      <w:i/>
      <w:iCs/>
      <w:color w:val="1F4D78" w:themeColor="accent1" w:themeShade="7F"/>
      <w:sz w:val="24"/>
      <w:lang w:val="et-EE"/>
    </w:rPr>
  </w:style>
  <w:style w:type="character" w:customStyle="1" w:styleId="Heading8Char1">
    <w:name w:val="Heading 8 Char1"/>
    <w:basedOn w:val="Liguvaikefont"/>
    <w:uiPriority w:val="9"/>
    <w:semiHidden/>
    <w:rsid w:val="00EC29D8"/>
    <w:rPr>
      <w:rFonts w:asciiTheme="majorHAnsi" w:eastAsiaTheme="majorEastAsia" w:hAnsiTheme="majorHAnsi" w:cstheme="majorBidi"/>
      <w:color w:val="272727" w:themeColor="text1" w:themeTint="D8"/>
      <w:sz w:val="21"/>
      <w:szCs w:val="21"/>
      <w:lang w:val="et-EE"/>
    </w:rPr>
  </w:style>
  <w:style w:type="character" w:customStyle="1" w:styleId="Heading9Char1">
    <w:name w:val="Heading 9 Char1"/>
    <w:basedOn w:val="Liguvaikefont"/>
    <w:uiPriority w:val="9"/>
    <w:semiHidden/>
    <w:rsid w:val="00EC29D8"/>
    <w:rPr>
      <w:rFonts w:asciiTheme="majorHAnsi" w:eastAsiaTheme="majorEastAsia" w:hAnsiTheme="majorHAnsi" w:cstheme="majorBidi"/>
      <w:i/>
      <w:iCs/>
      <w:color w:val="272727" w:themeColor="text1" w:themeTint="D8"/>
      <w:sz w:val="21"/>
      <w:szCs w:val="21"/>
      <w:lang w:val="et-EE"/>
    </w:rPr>
  </w:style>
  <w:style w:type="paragraph" w:styleId="Pealkiri">
    <w:name w:val="Title"/>
    <w:basedOn w:val="Normaallaad"/>
    <w:next w:val="Normaallaad"/>
    <w:link w:val="PealkiriMrk"/>
    <w:uiPriority w:val="10"/>
    <w:qFormat/>
    <w:rsid w:val="00EC29D8"/>
    <w:pPr>
      <w:spacing w:after="0" w:line="240" w:lineRule="auto"/>
      <w:contextualSpacing/>
    </w:pPr>
    <w:rPr>
      <w:rFonts w:ascii="Calibri Light" w:hAnsi="Calibri Light"/>
      <w:spacing w:val="-10"/>
      <w:kern w:val="28"/>
      <w:sz w:val="56"/>
      <w:szCs w:val="56"/>
      <w:lang w:val="en-US"/>
    </w:rPr>
  </w:style>
  <w:style w:type="character" w:customStyle="1" w:styleId="TitleChar1">
    <w:name w:val="Title Char1"/>
    <w:basedOn w:val="Liguvaikefont"/>
    <w:uiPriority w:val="10"/>
    <w:rsid w:val="00EC29D8"/>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EC29D8"/>
    <w:pPr>
      <w:numPr>
        <w:ilvl w:val="1"/>
      </w:numPr>
    </w:pPr>
    <w:rPr>
      <w:rFonts w:asciiTheme="minorHAnsi" w:hAnsiTheme="minorHAnsi"/>
      <w:color w:val="595959"/>
      <w:spacing w:val="15"/>
      <w:sz w:val="28"/>
      <w:szCs w:val="28"/>
      <w:lang w:val="en-US"/>
    </w:rPr>
  </w:style>
  <w:style w:type="character" w:customStyle="1" w:styleId="SubtitleChar1">
    <w:name w:val="Subtitle Char1"/>
    <w:basedOn w:val="Liguvaikefont"/>
    <w:uiPriority w:val="11"/>
    <w:rsid w:val="00EC29D8"/>
    <w:rPr>
      <w:rFonts w:eastAsiaTheme="minorEastAsia" w:cstheme="minorBidi"/>
      <w:color w:val="5A5A5A" w:themeColor="text1" w:themeTint="A5"/>
      <w:spacing w:val="15"/>
      <w:lang w:val="et-EE"/>
    </w:rPr>
  </w:style>
  <w:style w:type="paragraph" w:styleId="Tsitaat">
    <w:name w:val="Quote"/>
    <w:basedOn w:val="Normaallaad"/>
    <w:next w:val="Normaallaad"/>
    <w:link w:val="TsitaatMrk"/>
    <w:uiPriority w:val="29"/>
    <w:qFormat/>
    <w:rsid w:val="00EC29D8"/>
    <w:pPr>
      <w:spacing w:before="200"/>
      <w:ind w:left="864" w:right="864"/>
      <w:jc w:val="center"/>
    </w:pPr>
    <w:rPr>
      <w:rFonts w:asciiTheme="minorHAnsi" w:hAnsiTheme="minorHAnsi" w:cstheme="minorHAnsi"/>
      <w:i/>
      <w:iCs/>
      <w:color w:val="404040"/>
      <w:sz w:val="22"/>
      <w:lang w:val="en-US"/>
    </w:rPr>
  </w:style>
  <w:style w:type="character" w:customStyle="1" w:styleId="QuoteChar1">
    <w:name w:val="Quote Char1"/>
    <w:basedOn w:val="Liguvaikefont"/>
    <w:uiPriority w:val="29"/>
    <w:rsid w:val="00EC29D8"/>
    <w:rPr>
      <w:rFonts w:ascii="Times New Roman" w:hAnsi="Times New Roman" w:cs="Times New Roman"/>
      <w:i/>
      <w:iCs/>
      <w:color w:val="404040" w:themeColor="text1" w:themeTint="BF"/>
      <w:sz w:val="24"/>
      <w:lang w:val="et-EE"/>
    </w:rPr>
  </w:style>
  <w:style w:type="character" w:styleId="Selgeltmrgatavrhutus">
    <w:name w:val="Intense Emphasis"/>
    <w:basedOn w:val="Liguvaikefont"/>
    <w:uiPriority w:val="21"/>
    <w:qFormat/>
    <w:rsid w:val="00EC29D8"/>
    <w:rPr>
      <w:i/>
      <w:iCs/>
      <w:color w:val="5B9BD5" w:themeColor="accent1"/>
    </w:rPr>
  </w:style>
  <w:style w:type="paragraph" w:styleId="Selgeltmrgatavtsitaat">
    <w:name w:val="Intense Quote"/>
    <w:basedOn w:val="Normaallaad"/>
    <w:next w:val="Normaallaad"/>
    <w:link w:val="SelgeltmrgatavtsitaatMrk"/>
    <w:uiPriority w:val="30"/>
    <w:qFormat/>
    <w:rsid w:val="00EC29D8"/>
    <w:pPr>
      <w:pBdr>
        <w:top w:val="single" w:sz="4" w:space="10" w:color="5B9BD5" w:themeColor="accent1"/>
        <w:bottom w:val="single" w:sz="4" w:space="10" w:color="5B9BD5" w:themeColor="accent1"/>
      </w:pBdr>
      <w:spacing w:before="360" w:after="360"/>
      <w:ind w:left="864" w:right="864"/>
      <w:jc w:val="center"/>
    </w:pPr>
    <w:rPr>
      <w:rFonts w:asciiTheme="minorHAnsi" w:hAnsiTheme="minorHAnsi" w:cstheme="minorHAnsi"/>
      <w:i/>
      <w:iCs/>
      <w:color w:val="2F5496"/>
      <w:sz w:val="22"/>
      <w:lang w:val="en-US"/>
    </w:rPr>
  </w:style>
  <w:style w:type="character" w:customStyle="1" w:styleId="IntenseQuoteChar1">
    <w:name w:val="Intense Quote Char1"/>
    <w:basedOn w:val="Liguvaikefont"/>
    <w:uiPriority w:val="30"/>
    <w:rsid w:val="00EC29D8"/>
    <w:rPr>
      <w:rFonts w:ascii="Times New Roman" w:hAnsi="Times New Roman" w:cs="Times New Roman"/>
      <w:i/>
      <w:iCs/>
      <w:color w:val="5B9BD5" w:themeColor="accent1"/>
      <w:sz w:val="24"/>
      <w:lang w:val="et-EE"/>
    </w:rPr>
  </w:style>
  <w:style w:type="character" w:styleId="Selgeltmrgatavviide">
    <w:name w:val="Intense Reference"/>
    <w:basedOn w:val="Liguvaikefont"/>
    <w:uiPriority w:val="32"/>
    <w:qFormat/>
    <w:rsid w:val="00EC29D8"/>
    <w:rPr>
      <w:b/>
      <w:bCs/>
      <w:smallCaps/>
      <w:color w:val="5B9BD5" w:themeColor="accent1"/>
      <w:spacing w:val="5"/>
    </w:rPr>
  </w:style>
  <w:style w:type="character" w:styleId="Allmrkuseviide">
    <w:name w:val="footnote reference"/>
    <w:basedOn w:val="Liguvaikefont"/>
    <w:uiPriority w:val="99"/>
    <w:semiHidden/>
    <w:unhideWhenUsed/>
    <w:rPr>
      <w:vertAlign w:val="superscript"/>
    </w:rPr>
  </w:style>
  <w:style w:type="character" w:customStyle="1" w:styleId="AllmrkusetekstMrk">
    <w:name w:val="Allmärkuse tekst Märk"/>
    <w:basedOn w:val="Liguvaikefont"/>
    <w:link w:val="Allmrkusetekst"/>
    <w:uiPriority w:val="99"/>
    <w:semiHidden/>
    <w:rPr>
      <w:sz w:val="20"/>
      <w:szCs w:val="20"/>
    </w:rPr>
  </w:style>
  <w:style w:type="paragraph" w:styleId="Allmrkusetekst">
    <w:name w:val="footnote text"/>
    <w:basedOn w:val="Normaallaad"/>
    <w:link w:val="AllmrkusetekstMrk"/>
    <w:uiPriority w:val="99"/>
    <w:semiHidden/>
    <w:unhideWhenUsed/>
    <w:pPr>
      <w:spacing w:after="0" w:line="240" w:lineRule="auto"/>
    </w:pPr>
    <w:rPr>
      <w:sz w:val="20"/>
      <w:szCs w:val="20"/>
    </w:rPr>
  </w:style>
  <w:style w:type="table" w:styleId="Helekontuurtabel">
    <w:name w:val="Grid Table Light"/>
    <w:basedOn w:val="Normaaltabel"/>
    <w:uiPriority w:val="40"/>
    <w:rsid w:val="00155B09"/>
    <w:pPr>
      <w:spacing w:after="0" w:line="240" w:lineRule="auto"/>
    </w:pPr>
    <w:tblPr/>
  </w:style>
  <w:style w:type="table" w:styleId="Heleruuttabel1">
    <w:name w:val="Grid Table 1 Light"/>
    <w:basedOn w:val="Normaaltabel"/>
    <w:uiPriority w:val="46"/>
    <w:rsid w:val="003F7758"/>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Tavatabel1">
    <w:name w:val="Plain Table 1"/>
    <w:basedOn w:val="Normaaltabel"/>
    <w:uiPriority w:val="41"/>
    <w:rsid w:val="003F7758"/>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Tavatabel2">
    <w:name w:val="Plain Table 2"/>
    <w:basedOn w:val="Normaaltabel"/>
    <w:uiPriority w:val="42"/>
    <w:rsid w:val="00031708"/>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NoList2">
    <w:name w:val="No List2"/>
    <w:next w:val="Loendita"/>
    <w:uiPriority w:val="99"/>
    <w:semiHidden/>
    <w:unhideWhenUsed/>
    <w:rsid w:val="002E1162"/>
  </w:style>
  <w:style w:type="numbering" w:customStyle="1" w:styleId="NoList11">
    <w:name w:val="No List11"/>
    <w:next w:val="Loendita"/>
    <w:uiPriority w:val="99"/>
    <w:semiHidden/>
    <w:unhideWhenUsed/>
    <w:rsid w:val="002E1162"/>
  </w:style>
  <w:style w:type="character" w:customStyle="1" w:styleId="textrun">
    <w:name w:val="textrun"/>
    <w:basedOn w:val="Liguvaikefont"/>
    <w:rsid w:val="002E1162"/>
  </w:style>
  <w:style w:type="table" w:customStyle="1" w:styleId="TableGrid1">
    <w:name w:val="Table Grid1"/>
    <w:basedOn w:val="Normaaltabel"/>
    <w:next w:val="Kontuurtabel"/>
    <w:uiPriority w:val="39"/>
    <w:rsid w:val="00FF0164"/>
    <w:pPr>
      <w:spacing w:after="0" w:line="240" w:lineRule="auto"/>
    </w:pPr>
    <w:rPr>
      <w:rFonts w:eastAsiaTheme="minorHAnsi" w:cstheme="minorBidi"/>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allaad"/>
    <w:next w:val="Lihttekst"/>
    <w:uiPriority w:val="99"/>
    <w:unhideWhenUsed/>
    <w:rsid w:val="00FF0164"/>
    <w:pPr>
      <w:spacing w:after="0" w:line="240" w:lineRule="auto"/>
    </w:pPr>
    <w:rPr>
      <w:rFonts w:ascii="Calibri" w:eastAsia="Calibri" w:hAnsi="Calibri" w:cs="Arial"/>
      <w:sz w:val="22"/>
      <w:szCs w:val="21"/>
    </w:rPr>
  </w:style>
  <w:style w:type="paragraph" w:customStyle="1" w:styleId="Caption1">
    <w:name w:val="Caption1"/>
    <w:basedOn w:val="Normaallaad"/>
    <w:next w:val="Normaallaad"/>
    <w:uiPriority w:val="35"/>
    <w:unhideWhenUsed/>
    <w:qFormat/>
    <w:rsid w:val="00FF0164"/>
    <w:pPr>
      <w:spacing w:after="200" w:line="240" w:lineRule="auto"/>
    </w:pPr>
    <w:rPr>
      <w:rFonts w:asciiTheme="minorHAnsi" w:eastAsiaTheme="minorHAnsi" w:hAnsiTheme="minorHAnsi" w:cstheme="minorBidi"/>
      <w:i/>
      <w:iCs/>
      <w:color w:val="44546A"/>
      <w:sz w:val="18"/>
      <w:szCs w:val="18"/>
    </w:rPr>
  </w:style>
  <w:style w:type="character" w:customStyle="1" w:styleId="FollowedHyperlink1">
    <w:name w:val="FollowedHyperlink1"/>
    <w:basedOn w:val="Liguvaikefont"/>
    <w:uiPriority w:val="99"/>
    <w:semiHidden/>
    <w:unhideWhenUsed/>
    <w:rsid w:val="00FF0164"/>
    <w:rPr>
      <w:color w:val="954F72"/>
      <w:u w:val="single"/>
    </w:rPr>
  </w:style>
  <w:style w:type="character" w:customStyle="1" w:styleId="FootnoteTextChar1">
    <w:name w:val="Footnote Text Char1"/>
    <w:basedOn w:val="Liguvaikefont"/>
    <w:uiPriority w:val="99"/>
    <w:semiHidden/>
    <w:rsid w:val="00FF0164"/>
    <w:rPr>
      <w:sz w:val="20"/>
      <w:szCs w:val="20"/>
    </w:rPr>
  </w:style>
  <w:style w:type="numbering" w:customStyle="1" w:styleId="NoList111">
    <w:name w:val="No List111"/>
    <w:next w:val="Loendita"/>
    <w:uiPriority w:val="99"/>
    <w:semiHidden/>
    <w:unhideWhenUsed/>
    <w:rsid w:val="00FF0164"/>
  </w:style>
  <w:style w:type="character" w:customStyle="1" w:styleId="PlainTextChar1">
    <w:name w:val="Plain Text Char1"/>
    <w:basedOn w:val="Liguvaikefont"/>
    <w:uiPriority w:val="99"/>
    <w:semiHidden/>
    <w:rsid w:val="00FF016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558">
      <w:bodyDiv w:val="1"/>
      <w:marLeft w:val="0"/>
      <w:marRight w:val="0"/>
      <w:marTop w:val="0"/>
      <w:marBottom w:val="0"/>
      <w:divBdr>
        <w:top w:val="none" w:sz="0" w:space="0" w:color="auto"/>
        <w:left w:val="none" w:sz="0" w:space="0" w:color="auto"/>
        <w:bottom w:val="none" w:sz="0" w:space="0" w:color="auto"/>
        <w:right w:val="none" w:sz="0" w:space="0" w:color="auto"/>
      </w:divBdr>
      <w:divsChild>
        <w:div w:id="1888758967">
          <w:marLeft w:val="0"/>
          <w:marRight w:val="0"/>
          <w:marTop w:val="0"/>
          <w:marBottom w:val="0"/>
          <w:divBdr>
            <w:top w:val="none" w:sz="0" w:space="0" w:color="auto"/>
            <w:left w:val="none" w:sz="0" w:space="0" w:color="auto"/>
            <w:bottom w:val="none" w:sz="0" w:space="0" w:color="auto"/>
            <w:right w:val="none" w:sz="0" w:space="0" w:color="auto"/>
          </w:divBdr>
        </w:div>
      </w:divsChild>
    </w:div>
    <w:div w:id="28536027">
      <w:bodyDiv w:val="1"/>
      <w:marLeft w:val="0"/>
      <w:marRight w:val="0"/>
      <w:marTop w:val="0"/>
      <w:marBottom w:val="0"/>
      <w:divBdr>
        <w:top w:val="none" w:sz="0" w:space="0" w:color="auto"/>
        <w:left w:val="none" w:sz="0" w:space="0" w:color="auto"/>
        <w:bottom w:val="none" w:sz="0" w:space="0" w:color="auto"/>
        <w:right w:val="none" w:sz="0" w:space="0" w:color="auto"/>
      </w:divBdr>
    </w:div>
    <w:div w:id="55934753">
      <w:bodyDiv w:val="1"/>
      <w:marLeft w:val="0"/>
      <w:marRight w:val="0"/>
      <w:marTop w:val="0"/>
      <w:marBottom w:val="0"/>
      <w:divBdr>
        <w:top w:val="none" w:sz="0" w:space="0" w:color="auto"/>
        <w:left w:val="none" w:sz="0" w:space="0" w:color="auto"/>
        <w:bottom w:val="none" w:sz="0" w:space="0" w:color="auto"/>
        <w:right w:val="none" w:sz="0" w:space="0" w:color="auto"/>
      </w:divBdr>
    </w:div>
    <w:div w:id="63526632">
      <w:bodyDiv w:val="1"/>
      <w:marLeft w:val="0"/>
      <w:marRight w:val="0"/>
      <w:marTop w:val="0"/>
      <w:marBottom w:val="0"/>
      <w:divBdr>
        <w:top w:val="none" w:sz="0" w:space="0" w:color="auto"/>
        <w:left w:val="none" w:sz="0" w:space="0" w:color="auto"/>
        <w:bottom w:val="none" w:sz="0" w:space="0" w:color="auto"/>
        <w:right w:val="none" w:sz="0" w:space="0" w:color="auto"/>
      </w:divBdr>
    </w:div>
    <w:div w:id="70783435">
      <w:bodyDiv w:val="1"/>
      <w:marLeft w:val="0"/>
      <w:marRight w:val="0"/>
      <w:marTop w:val="0"/>
      <w:marBottom w:val="0"/>
      <w:divBdr>
        <w:top w:val="none" w:sz="0" w:space="0" w:color="auto"/>
        <w:left w:val="none" w:sz="0" w:space="0" w:color="auto"/>
        <w:bottom w:val="none" w:sz="0" w:space="0" w:color="auto"/>
        <w:right w:val="none" w:sz="0" w:space="0" w:color="auto"/>
      </w:divBdr>
    </w:div>
    <w:div w:id="81925144">
      <w:bodyDiv w:val="1"/>
      <w:marLeft w:val="0"/>
      <w:marRight w:val="0"/>
      <w:marTop w:val="0"/>
      <w:marBottom w:val="0"/>
      <w:divBdr>
        <w:top w:val="none" w:sz="0" w:space="0" w:color="auto"/>
        <w:left w:val="none" w:sz="0" w:space="0" w:color="auto"/>
        <w:bottom w:val="none" w:sz="0" w:space="0" w:color="auto"/>
        <w:right w:val="none" w:sz="0" w:space="0" w:color="auto"/>
      </w:divBdr>
    </w:div>
    <w:div w:id="116141302">
      <w:bodyDiv w:val="1"/>
      <w:marLeft w:val="0"/>
      <w:marRight w:val="0"/>
      <w:marTop w:val="0"/>
      <w:marBottom w:val="0"/>
      <w:divBdr>
        <w:top w:val="none" w:sz="0" w:space="0" w:color="auto"/>
        <w:left w:val="none" w:sz="0" w:space="0" w:color="auto"/>
        <w:bottom w:val="none" w:sz="0" w:space="0" w:color="auto"/>
        <w:right w:val="none" w:sz="0" w:space="0" w:color="auto"/>
      </w:divBdr>
    </w:div>
    <w:div w:id="125467705">
      <w:bodyDiv w:val="1"/>
      <w:marLeft w:val="0"/>
      <w:marRight w:val="0"/>
      <w:marTop w:val="0"/>
      <w:marBottom w:val="0"/>
      <w:divBdr>
        <w:top w:val="none" w:sz="0" w:space="0" w:color="auto"/>
        <w:left w:val="none" w:sz="0" w:space="0" w:color="auto"/>
        <w:bottom w:val="none" w:sz="0" w:space="0" w:color="auto"/>
        <w:right w:val="none" w:sz="0" w:space="0" w:color="auto"/>
      </w:divBdr>
    </w:div>
    <w:div w:id="126819447">
      <w:bodyDiv w:val="1"/>
      <w:marLeft w:val="0"/>
      <w:marRight w:val="0"/>
      <w:marTop w:val="0"/>
      <w:marBottom w:val="0"/>
      <w:divBdr>
        <w:top w:val="none" w:sz="0" w:space="0" w:color="auto"/>
        <w:left w:val="none" w:sz="0" w:space="0" w:color="auto"/>
        <w:bottom w:val="none" w:sz="0" w:space="0" w:color="auto"/>
        <w:right w:val="none" w:sz="0" w:space="0" w:color="auto"/>
      </w:divBdr>
    </w:div>
    <w:div w:id="128713730">
      <w:bodyDiv w:val="1"/>
      <w:marLeft w:val="0"/>
      <w:marRight w:val="0"/>
      <w:marTop w:val="0"/>
      <w:marBottom w:val="0"/>
      <w:divBdr>
        <w:top w:val="none" w:sz="0" w:space="0" w:color="auto"/>
        <w:left w:val="none" w:sz="0" w:space="0" w:color="auto"/>
        <w:bottom w:val="none" w:sz="0" w:space="0" w:color="auto"/>
        <w:right w:val="none" w:sz="0" w:space="0" w:color="auto"/>
      </w:divBdr>
    </w:div>
    <w:div w:id="133110442">
      <w:bodyDiv w:val="1"/>
      <w:marLeft w:val="0"/>
      <w:marRight w:val="0"/>
      <w:marTop w:val="0"/>
      <w:marBottom w:val="0"/>
      <w:divBdr>
        <w:top w:val="none" w:sz="0" w:space="0" w:color="auto"/>
        <w:left w:val="none" w:sz="0" w:space="0" w:color="auto"/>
        <w:bottom w:val="none" w:sz="0" w:space="0" w:color="auto"/>
        <w:right w:val="none" w:sz="0" w:space="0" w:color="auto"/>
      </w:divBdr>
    </w:div>
    <w:div w:id="134419774">
      <w:bodyDiv w:val="1"/>
      <w:marLeft w:val="0"/>
      <w:marRight w:val="0"/>
      <w:marTop w:val="0"/>
      <w:marBottom w:val="0"/>
      <w:divBdr>
        <w:top w:val="none" w:sz="0" w:space="0" w:color="auto"/>
        <w:left w:val="none" w:sz="0" w:space="0" w:color="auto"/>
        <w:bottom w:val="none" w:sz="0" w:space="0" w:color="auto"/>
        <w:right w:val="none" w:sz="0" w:space="0" w:color="auto"/>
      </w:divBdr>
    </w:div>
    <w:div w:id="146746582">
      <w:bodyDiv w:val="1"/>
      <w:marLeft w:val="0"/>
      <w:marRight w:val="0"/>
      <w:marTop w:val="0"/>
      <w:marBottom w:val="0"/>
      <w:divBdr>
        <w:top w:val="none" w:sz="0" w:space="0" w:color="auto"/>
        <w:left w:val="none" w:sz="0" w:space="0" w:color="auto"/>
        <w:bottom w:val="none" w:sz="0" w:space="0" w:color="auto"/>
        <w:right w:val="none" w:sz="0" w:space="0" w:color="auto"/>
      </w:divBdr>
    </w:div>
    <w:div w:id="162862324">
      <w:bodyDiv w:val="1"/>
      <w:marLeft w:val="0"/>
      <w:marRight w:val="0"/>
      <w:marTop w:val="0"/>
      <w:marBottom w:val="0"/>
      <w:divBdr>
        <w:top w:val="none" w:sz="0" w:space="0" w:color="auto"/>
        <w:left w:val="none" w:sz="0" w:space="0" w:color="auto"/>
        <w:bottom w:val="none" w:sz="0" w:space="0" w:color="auto"/>
        <w:right w:val="none" w:sz="0" w:space="0" w:color="auto"/>
      </w:divBdr>
    </w:div>
    <w:div w:id="170922592">
      <w:bodyDiv w:val="1"/>
      <w:marLeft w:val="0"/>
      <w:marRight w:val="0"/>
      <w:marTop w:val="0"/>
      <w:marBottom w:val="0"/>
      <w:divBdr>
        <w:top w:val="none" w:sz="0" w:space="0" w:color="auto"/>
        <w:left w:val="none" w:sz="0" w:space="0" w:color="auto"/>
        <w:bottom w:val="none" w:sz="0" w:space="0" w:color="auto"/>
        <w:right w:val="none" w:sz="0" w:space="0" w:color="auto"/>
      </w:divBdr>
    </w:div>
    <w:div w:id="180901262">
      <w:bodyDiv w:val="1"/>
      <w:marLeft w:val="0"/>
      <w:marRight w:val="0"/>
      <w:marTop w:val="0"/>
      <w:marBottom w:val="0"/>
      <w:divBdr>
        <w:top w:val="none" w:sz="0" w:space="0" w:color="auto"/>
        <w:left w:val="none" w:sz="0" w:space="0" w:color="auto"/>
        <w:bottom w:val="none" w:sz="0" w:space="0" w:color="auto"/>
        <w:right w:val="none" w:sz="0" w:space="0" w:color="auto"/>
      </w:divBdr>
    </w:div>
    <w:div w:id="194655185">
      <w:bodyDiv w:val="1"/>
      <w:marLeft w:val="0"/>
      <w:marRight w:val="0"/>
      <w:marTop w:val="0"/>
      <w:marBottom w:val="0"/>
      <w:divBdr>
        <w:top w:val="none" w:sz="0" w:space="0" w:color="auto"/>
        <w:left w:val="none" w:sz="0" w:space="0" w:color="auto"/>
        <w:bottom w:val="none" w:sz="0" w:space="0" w:color="auto"/>
        <w:right w:val="none" w:sz="0" w:space="0" w:color="auto"/>
      </w:divBdr>
    </w:div>
    <w:div w:id="199901787">
      <w:bodyDiv w:val="1"/>
      <w:marLeft w:val="0"/>
      <w:marRight w:val="0"/>
      <w:marTop w:val="0"/>
      <w:marBottom w:val="0"/>
      <w:divBdr>
        <w:top w:val="none" w:sz="0" w:space="0" w:color="auto"/>
        <w:left w:val="none" w:sz="0" w:space="0" w:color="auto"/>
        <w:bottom w:val="none" w:sz="0" w:space="0" w:color="auto"/>
        <w:right w:val="none" w:sz="0" w:space="0" w:color="auto"/>
      </w:divBdr>
    </w:div>
    <w:div w:id="229006740">
      <w:bodyDiv w:val="1"/>
      <w:marLeft w:val="0"/>
      <w:marRight w:val="0"/>
      <w:marTop w:val="0"/>
      <w:marBottom w:val="0"/>
      <w:divBdr>
        <w:top w:val="none" w:sz="0" w:space="0" w:color="auto"/>
        <w:left w:val="none" w:sz="0" w:space="0" w:color="auto"/>
        <w:bottom w:val="none" w:sz="0" w:space="0" w:color="auto"/>
        <w:right w:val="none" w:sz="0" w:space="0" w:color="auto"/>
      </w:divBdr>
    </w:div>
    <w:div w:id="257175664">
      <w:bodyDiv w:val="1"/>
      <w:marLeft w:val="0"/>
      <w:marRight w:val="0"/>
      <w:marTop w:val="0"/>
      <w:marBottom w:val="0"/>
      <w:divBdr>
        <w:top w:val="none" w:sz="0" w:space="0" w:color="auto"/>
        <w:left w:val="none" w:sz="0" w:space="0" w:color="auto"/>
        <w:bottom w:val="none" w:sz="0" w:space="0" w:color="auto"/>
        <w:right w:val="none" w:sz="0" w:space="0" w:color="auto"/>
      </w:divBdr>
    </w:div>
    <w:div w:id="274212143">
      <w:bodyDiv w:val="1"/>
      <w:marLeft w:val="0"/>
      <w:marRight w:val="0"/>
      <w:marTop w:val="0"/>
      <w:marBottom w:val="0"/>
      <w:divBdr>
        <w:top w:val="none" w:sz="0" w:space="0" w:color="auto"/>
        <w:left w:val="none" w:sz="0" w:space="0" w:color="auto"/>
        <w:bottom w:val="none" w:sz="0" w:space="0" w:color="auto"/>
        <w:right w:val="none" w:sz="0" w:space="0" w:color="auto"/>
      </w:divBdr>
    </w:div>
    <w:div w:id="274556913">
      <w:bodyDiv w:val="1"/>
      <w:marLeft w:val="0"/>
      <w:marRight w:val="0"/>
      <w:marTop w:val="0"/>
      <w:marBottom w:val="0"/>
      <w:divBdr>
        <w:top w:val="none" w:sz="0" w:space="0" w:color="auto"/>
        <w:left w:val="none" w:sz="0" w:space="0" w:color="auto"/>
        <w:bottom w:val="none" w:sz="0" w:space="0" w:color="auto"/>
        <w:right w:val="none" w:sz="0" w:space="0" w:color="auto"/>
      </w:divBdr>
    </w:div>
    <w:div w:id="282200550">
      <w:bodyDiv w:val="1"/>
      <w:marLeft w:val="0"/>
      <w:marRight w:val="0"/>
      <w:marTop w:val="0"/>
      <w:marBottom w:val="0"/>
      <w:divBdr>
        <w:top w:val="none" w:sz="0" w:space="0" w:color="auto"/>
        <w:left w:val="none" w:sz="0" w:space="0" w:color="auto"/>
        <w:bottom w:val="none" w:sz="0" w:space="0" w:color="auto"/>
        <w:right w:val="none" w:sz="0" w:space="0" w:color="auto"/>
      </w:divBdr>
      <w:divsChild>
        <w:div w:id="1898004138">
          <w:marLeft w:val="0"/>
          <w:marRight w:val="0"/>
          <w:marTop w:val="0"/>
          <w:marBottom w:val="0"/>
          <w:divBdr>
            <w:top w:val="none" w:sz="0" w:space="0" w:color="auto"/>
            <w:left w:val="none" w:sz="0" w:space="0" w:color="auto"/>
            <w:bottom w:val="none" w:sz="0" w:space="0" w:color="auto"/>
            <w:right w:val="none" w:sz="0" w:space="0" w:color="auto"/>
          </w:divBdr>
        </w:div>
        <w:div w:id="2019186140">
          <w:marLeft w:val="0"/>
          <w:marRight w:val="0"/>
          <w:marTop w:val="0"/>
          <w:marBottom w:val="0"/>
          <w:divBdr>
            <w:top w:val="none" w:sz="0" w:space="0" w:color="auto"/>
            <w:left w:val="none" w:sz="0" w:space="0" w:color="auto"/>
            <w:bottom w:val="none" w:sz="0" w:space="0" w:color="auto"/>
            <w:right w:val="none" w:sz="0" w:space="0" w:color="auto"/>
          </w:divBdr>
        </w:div>
      </w:divsChild>
    </w:div>
    <w:div w:id="290284519">
      <w:bodyDiv w:val="1"/>
      <w:marLeft w:val="0"/>
      <w:marRight w:val="0"/>
      <w:marTop w:val="0"/>
      <w:marBottom w:val="0"/>
      <w:divBdr>
        <w:top w:val="none" w:sz="0" w:space="0" w:color="auto"/>
        <w:left w:val="none" w:sz="0" w:space="0" w:color="auto"/>
        <w:bottom w:val="none" w:sz="0" w:space="0" w:color="auto"/>
        <w:right w:val="none" w:sz="0" w:space="0" w:color="auto"/>
      </w:divBdr>
    </w:div>
    <w:div w:id="299924021">
      <w:bodyDiv w:val="1"/>
      <w:marLeft w:val="0"/>
      <w:marRight w:val="0"/>
      <w:marTop w:val="0"/>
      <w:marBottom w:val="0"/>
      <w:divBdr>
        <w:top w:val="none" w:sz="0" w:space="0" w:color="auto"/>
        <w:left w:val="none" w:sz="0" w:space="0" w:color="auto"/>
        <w:bottom w:val="none" w:sz="0" w:space="0" w:color="auto"/>
        <w:right w:val="none" w:sz="0" w:space="0" w:color="auto"/>
      </w:divBdr>
    </w:div>
    <w:div w:id="310327530">
      <w:bodyDiv w:val="1"/>
      <w:marLeft w:val="0"/>
      <w:marRight w:val="0"/>
      <w:marTop w:val="0"/>
      <w:marBottom w:val="0"/>
      <w:divBdr>
        <w:top w:val="none" w:sz="0" w:space="0" w:color="auto"/>
        <w:left w:val="none" w:sz="0" w:space="0" w:color="auto"/>
        <w:bottom w:val="none" w:sz="0" w:space="0" w:color="auto"/>
        <w:right w:val="none" w:sz="0" w:space="0" w:color="auto"/>
      </w:divBdr>
    </w:div>
    <w:div w:id="315381114">
      <w:bodyDiv w:val="1"/>
      <w:marLeft w:val="0"/>
      <w:marRight w:val="0"/>
      <w:marTop w:val="0"/>
      <w:marBottom w:val="0"/>
      <w:divBdr>
        <w:top w:val="none" w:sz="0" w:space="0" w:color="auto"/>
        <w:left w:val="none" w:sz="0" w:space="0" w:color="auto"/>
        <w:bottom w:val="none" w:sz="0" w:space="0" w:color="auto"/>
        <w:right w:val="none" w:sz="0" w:space="0" w:color="auto"/>
      </w:divBdr>
    </w:div>
    <w:div w:id="344357405">
      <w:bodyDiv w:val="1"/>
      <w:marLeft w:val="0"/>
      <w:marRight w:val="0"/>
      <w:marTop w:val="0"/>
      <w:marBottom w:val="0"/>
      <w:divBdr>
        <w:top w:val="none" w:sz="0" w:space="0" w:color="auto"/>
        <w:left w:val="none" w:sz="0" w:space="0" w:color="auto"/>
        <w:bottom w:val="none" w:sz="0" w:space="0" w:color="auto"/>
        <w:right w:val="none" w:sz="0" w:space="0" w:color="auto"/>
      </w:divBdr>
    </w:div>
    <w:div w:id="346062347">
      <w:bodyDiv w:val="1"/>
      <w:marLeft w:val="0"/>
      <w:marRight w:val="0"/>
      <w:marTop w:val="0"/>
      <w:marBottom w:val="0"/>
      <w:divBdr>
        <w:top w:val="none" w:sz="0" w:space="0" w:color="auto"/>
        <w:left w:val="none" w:sz="0" w:space="0" w:color="auto"/>
        <w:bottom w:val="none" w:sz="0" w:space="0" w:color="auto"/>
        <w:right w:val="none" w:sz="0" w:space="0" w:color="auto"/>
      </w:divBdr>
    </w:div>
    <w:div w:id="418672201">
      <w:bodyDiv w:val="1"/>
      <w:marLeft w:val="0"/>
      <w:marRight w:val="0"/>
      <w:marTop w:val="0"/>
      <w:marBottom w:val="0"/>
      <w:divBdr>
        <w:top w:val="none" w:sz="0" w:space="0" w:color="auto"/>
        <w:left w:val="none" w:sz="0" w:space="0" w:color="auto"/>
        <w:bottom w:val="none" w:sz="0" w:space="0" w:color="auto"/>
        <w:right w:val="none" w:sz="0" w:space="0" w:color="auto"/>
      </w:divBdr>
    </w:div>
    <w:div w:id="462161216">
      <w:bodyDiv w:val="1"/>
      <w:marLeft w:val="0"/>
      <w:marRight w:val="0"/>
      <w:marTop w:val="0"/>
      <w:marBottom w:val="0"/>
      <w:divBdr>
        <w:top w:val="none" w:sz="0" w:space="0" w:color="auto"/>
        <w:left w:val="none" w:sz="0" w:space="0" w:color="auto"/>
        <w:bottom w:val="none" w:sz="0" w:space="0" w:color="auto"/>
        <w:right w:val="none" w:sz="0" w:space="0" w:color="auto"/>
      </w:divBdr>
      <w:divsChild>
        <w:div w:id="663820537">
          <w:marLeft w:val="0"/>
          <w:marRight w:val="0"/>
          <w:marTop w:val="0"/>
          <w:marBottom w:val="0"/>
          <w:divBdr>
            <w:top w:val="none" w:sz="0" w:space="0" w:color="auto"/>
            <w:left w:val="none" w:sz="0" w:space="0" w:color="auto"/>
            <w:bottom w:val="none" w:sz="0" w:space="0" w:color="auto"/>
            <w:right w:val="none" w:sz="0" w:space="0" w:color="auto"/>
          </w:divBdr>
        </w:div>
      </w:divsChild>
    </w:div>
    <w:div w:id="483937834">
      <w:bodyDiv w:val="1"/>
      <w:marLeft w:val="0"/>
      <w:marRight w:val="0"/>
      <w:marTop w:val="0"/>
      <w:marBottom w:val="0"/>
      <w:divBdr>
        <w:top w:val="none" w:sz="0" w:space="0" w:color="auto"/>
        <w:left w:val="none" w:sz="0" w:space="0" w:color="auto"/>
        <w:bottom w:val="none" w:sz="0" w:space="0" w:color="auto"/>
        <w:right w:val="none" w:sz="0" w:space="0" w:color="auto"/>
      </w:divBdr>
    </w:div>
    <w:div w:id="495267881">
      <w:bodyDiv w:val="1"/>
      <w:marLeft w:val="0"/>
      <w:marRight w:val="0"/>
      <w:marTop w:val="0"/>
      <w:marBottom w:val="0"/>
      <w:divBdr>
        <w:top w:val="none" w:sz="0" w:space="0" w:color="auto"/>
        <w:left w:val="none" w:sz="0" w:space="0" w:color="auto"/>
        <w:bottom w:val="none" w:sz="0" w:space="0" w:color="auto"/>
        <w:right w:val="none" w:sz="0" w:space="0" w:color="auto"/>
      </w:divBdr>
    </w:div>
    <w:div w:id="501093608">
      <w:bodyDiv w:val="1"/>
      <w:marLeft w:val="0"/>
      <w:marRight w:val="0"/>
      <w:marTop w:val="0"/>
      <w:marBottom w:val="0"/>
      <w:divBdr>
        <w:top w:val="none" w:sz="0" w:space="0" w:color="auto"/>
        <w:left w:val="none" w:sz="0" w:space="0" w:color="auto"/>
        <w:bottom w:val="none" w:sz="0" w:space="0" w:color="auto"/>
        <w:right w:val="none" w:sz="0" w:space="0" w:color="auto"/>
      </w:divBdr>
    </w:div>
    <w:div w:id="511409526">
      <w:bodyDiv w:val="1"/>
      <w:marLeft w:val="0"/>
      <w:marRight w:val="0"/>
      <w:marTop w:val="0"/>
      <w:marBottom w:val="0"/>
      <w:divBdr>
        <w:top w:val="none" w:sz="0" w:space="0" w:color="auto"/>
        <w:left w:val="none" w:sz="0" w:space="0" w:color="auto"/>
        <w:bottom w:val="none" w:sz="0" w:space="0" w:color="auto"/>
        <w:right w:val="none" w:sz="0" w:space="0" w:color="auto"/>
      </w:divBdr>
    </w:div>
    <w:div w:id="530656576">
      <w:bodyDiv w:val="1"/>
      <w:marLeft w:val="0"/>
      <w:marRight w:val="0"/>
      <w:marTop w:val="0"/>
      <w:marBottom w:val="0"/>
      <w:divBdr>
        <w:top w:val="none" w:sz="0" w:space="0" w:color="auto"/>
        <w:left w:val="none" w:sz="0" w:space="0" w:color="auto"/>
        <w:bottom w:val="none" w:sz="0" w:space="0" w:color="auto"/>
        <w:right w:val="none" w:sz="0" w:space="0" w:color="auto"/>
      </w:divBdr>
    </w:div>
    <w:div w:id="531309731">
      <w:bodyDiv w:val="1"/>
      <w:marLeft w:val="0"/>
      <w:marRight w:val="0"/>
      <w:marTop w:val="0"/>
      <w:marBottom w:val="0"/>
      <w:divBdr>
        <w:top w:val="none" w:sz="0" w:space="0" w:color="auto"/>
        <w:left w:val="none" w:sz="0" w:space="0" w:color="auto"/>
        <w:bottom w:val="none" w:sz="0" w:space="0" w:color="auto"/>
        <w:right w:val="none" w:sz="0" w:space="0" w:color="auto"/>
      </w:divBdr>
    </w:div>
    <w:div w:id="599490478">
      <w:bodyDiv w:val="1"/>
      <w:marLeft w:val="0"/>
      <w:marRight w:val="0"/>
      <w:marTop w:val="0"/>
      <w:marBottom w:val="0"/>
      <w:divBdr>
        <w:top w:val="none" w:sz="0" w:space="0" w:color="auto"/>
        <w:left w:val="none" w:sz="0" w:space="0" w:color="auto"/>
        <w:bottom w:val="none" w:sz="0" w:space="0" w:color="auto"/>
        <w:right w:val="none" w:sz="0" w:space="0" w:color="auto"/>
      </w:divBdr>
      <w:divsChild>
        <w:div w:id="498153146">
          <w:marLeft w:val="0"/>
          <w:marRight w:val="0"/>
          <w:marTop w:val="0"/>
          <w:marBottom w:val="0"/>
          <w:divBdr>
            <w:top w:val="none" w:sz="0" w:space="0" w:color="auto"/>
            <w:left w:val="none" w:sz="0" w:space="0" w:color="auto"/>
            <w:bottom w:val="none" w:sz="0" w:space="0" w:color="auto"/>
            <w:right w:val="none" w:sz="0" w:space="0" w:color="auto"/>
          </w:divBdr>
        </w:div>
      </w:divsChild>
    </w:div>
    <w:div w:id="616563749">
      <w:bodyDiv w:val="1"/>
      <w:marLeft w:val="0"/>
      <w:marRight w:val="0"/>
      <w:marTop w:val="0"/>
      <w:marBottom w:val="0"/>
      <w:divBdr>
        <w:top w:val="none" w:sz="0" w:space="0" w:color="auto"/>
        <w:left w:val="none" w:sz="0" w:space="0" w:color="auto"/>
        <w:bottom w:val="none" w:sz="0" w:space="0" w:color="auto"/>
        <w:right w:val="none" w:sz="0" w:space="0" w:color="auto"/>
      </w:divBdr>
    </w:div>
    <w:div w:id="632178345">
      <w:bodyDiv w:val="1"/>
      <w:marLeft w:val="0"/>
      <w:marRight w:val="0"/>
      <w:marTop w:val="0"/>
      <w:marBottom w:val="0"/>
      <w:divBdr>
        <w:top w:val="none" w:sz="0" w:space="0" w:color="auto"/>
        <w:left w:val="none" w:sz="0" w:space="0" w:color="auto"/>
        <w:bottom w:val="none" w:sz="0" w:space="0" w:color="auto"/>
        <w:right w:val="none" w:sz="0" w:space="0" w:color="auto"/>
      </w:divBdr>
    </w:div>
    <w:div w:id="684018787">
      <w:bodyDiv w:val="1"/>
      <w:marLeft w:val="0"/>
      <w:marRight w:val="0"/>
      <w:marTop w:val="0"/>
      <w:marBottom w:val="0"/>
      <w:divBdr>
        <w:top w:val="none" w:sz="0" w:space="0" w:color="auto"/>
        <w:left w:val="none" w:sz="0" w:space="0" w:color="auto"/>
        <w:bottom w:val="none" w:sz="0" w:space="0" w:color="auto"/>
        <w:right w:val="none" w:sz="0" w:space="0" w:color="auto"/>
      </w:divBdr>
    </w:div>
    <w:div w:id="686102683">
      <w:bodyDiv w:val="1"/>
      <w:marLeft w:val="0"/>
      <w:marRight w:val="0"/>
      <w:marTop w:val="0"/>
      <w:marBottom w:val="0"/>
      <w:divBdr>
        <w:top w:val="none" w:sz="0" w:space="0" w:color="auto"/>
        <w:left w:val="none" w:sz="0" w:space="0" w:color="auto"/>
        <w:bottom w:val="none" w:sz="0" w:space="0" w:color="auto"/>
        <w:right w:val="none" w:sz="0" w:space="0" w:color="auto"/>
      </w:divBdr>
    </w:div>
    <w:div w:id="703561352">
      <w:bodyDiv w:val="1"/>
      <w:marLeft w:val="0"/>
      <w:marRight w:val="0"/>
      <w:marTop w:val="0"/>
      <w:marBottom w:val="0"/>
      <w:divBdr>
        <w:top w:val="none" w:sz="0" w:space="0" w:color="auto"/>
        <w:left w:val="none" w:sz="0" w:space="0" w:color="auto"/>
        <w:bottom w:val="none" w:sz="0" w:space="0" w:color="auto"/>
        <w:right w:val="none" w:sz="0" w:space="0" w:color="auto"/>
      </w:divBdr>
    </w:div>
    <w:div w:id="704403825">
      <w:bodyDiv w:val="1"/>
      <w:marLeft w:val="0"/>
      <w:marRight w:val="0"/>
      <w:marTop w:val="0"/>
      <w:marBottom w:val="0"/>
      <w:divBdr>
        <w:top w:val="none" w:sz="0" w:space="0" w:color="auto"/>
        <w:left w:val="none" w:sz="0" w:space="0" w:color="auto"/>
        <w:bottom w:val="none" w:sz="0" w:space="0" w:color="auto"/>
        <w:right w:val="none" w:sz="0" w:space="0" w:color="auto"/>
      </w:divBdr>
    </w:div>
    <w:div w:id="722018807">
      <w:bodyDiv w:val="1"/>
      <w:marLeft w:val="0"/>
      <w:marRight w:val="0"/>
      <w:marTop w:val="0"/>
      <w:marBottom w:val="0"/>
      <w:divBdr>
        <w:top w:val="none" w:sz="0" w:space="0" w:color="auto"/>
        <w:left w:val="none" w:sz="0" w:space="0" w:color="auto"/>
        <w:bottom w:val="none" w:sz="0" w:space="0" w:color="auto"/>
        <w:right w:val="none" w:sz="0" w:space="0" w:color="auto"/>
      </w:divBdr>
    </w:div>
    <w:div w:id="727805346">
      <w:bodyDiv w:val="1"/>
      <w:marLeft w:val="0"/>
      <w:marRight w:val="0"/>
      <w:marTop w:val="0"/>
      <w:marBottom w:val="0"/>
      <w:divBdr>
        <w:top w:val="none" w:sz="0" w:space="0" w:color="auto"/>
        <w:left w:val="none" w:sz="0" w:space="0" w:color="auto"/>
        <w:bottom w:val="none" w:sz="0" w:space="0" w:color="auto"/>
        <w:right w:val="none" w:sz="0" w:space="0" w:color="auto"/>
      </w:divBdr>
    </w:div>
    <w:div w:id="752625871">
      <w:bodyDiv w:val="1"/>
      <w:marLeft w:val="0"/>
      <w:marRight w:val="0"/>
      <w:marTop w:val="0"/>
      <w:marBottom w:val="0"/>
      <w:divBdr>
        <w:top w:val="none" w:sz="0" w:space="0" w:color="auto"/>
        <w:left w:val="none" w:sz="0" w:space="0" w:color="auto"/>
        <w:bottom w:val="none" w:sz="0" w:space="0" w:color="auto"/>
        <w:right w:val="none" w:sz="0" w:space="0" w:color="auto"/>
      </w:divBdr>
    </w:div>
    <w:div w:id="760838006">
      <w:bodyDiv w:val="1"/>
      <w:marLeft w:val="0"/>
      <w:marRight w:val="0"/>
      <w:marTop w:val="0"/>
      <w:marBottom w:val="0"/>
      <w:divBdr>
        <w:top w:val="none" w:sz="0" w:space="0" w:color="auto"/>
        <w:left w:val="none" w:sz="0" w:space="0" w:color="auto"/>
        <w:bottom w:val="none" w:sz="0" w:space="0" w:color="auto"/>
        <w:right w:val="none" w:sz="0" w:space="0" w:color="auto"/>
      </w:divBdr>
      <w:divsChild>
        <w:div w:id="1869760635">
          <w:marLeft w:val="0"/>
          <w:marRight w:val="0"/>
          <w:marTop w:val="0"/>
          <w:marBottom w:val="0"/>
          <w:divBdr>
            <w:top w:val="none" w:sz="0" w:space="0" w:color="auto"/>
            <w:left w:val="none" w:sz="0" w:space="0" w:color="auto"/>
            <w:bottom w:val="none" w:sz="0" w:space="0" w:color="auto"/>
            <w:right w:val="none" w:sz="0" w:space="0" w:color="auto"/>
          </w:divBdr>
        </w:div>
      </w:divsChild>
    </w:div>
    <w:div w:id="777602006">
      <w:bodyDiv w:val="1"/>
      <w:marLeft w:val="0"/>
      <w:marRight w:val="0"/>
      <w:marTop w:val="0"/>
      <w:marBottom w:val="0"/>
      <w:divBdr>
        <w:top w:val="none" w:sz="0" w:space="0" w:color="auto"/>
        <w:left w:val="none" w:sz="0" w:space="0" w:color="auto"/>
        <w:bottom w:val="none" w:sz="0" w:space="0" w:color="auto"/>
        <w:right w:val="none" w:sz="0" w:space="0" w:color="auto"/>
      </w:divBdr>
    </w:div>
    <w:div w:id="804127021">
      <w:bodyDiv w:val="1"/>
      <w:marLeft w:val="0"/>
      <w:marRight w:val="0"/>
      <w:marTop w:val="0"/>
      <w:marBottom w:val="0"/>
      <w:divBdr>
        <w:top w:val="none" w:sz="0" w:space="0" w:color="auto"/>
        <w:left w:val="none" w:sz="0" w:space="0" w:color="auto"/>
        <w:bottom w:val="none" w:sz="0" w:space="0" w:color="auto"/>
        <w:right w:val="none" w:sz="0" w:space="0" w:color="auto"/>
      </w:divBdr>
    </w:div>
    <w:div w:id="815798403">
      <w:bodyDiv w:val="1"/>
      <w:marLeft w:val="0"/>
      <w:marRight w:val="0"/>
      <w:marTop w:val="0"/>
      <w:marBottom w:val="0"/>
      <w:divBdr>
        <w:top w:val="none" w:sz="0" w:space="0" w:color="auto"/>
        <w:left w:val="none" w:sz="0" w:space="0" w:color="auto"/>
        <w:bottom w:val="none" w:sz="0" w:space="0" w:color="auto"/>
        <w:right w:val="none" w:sz="0" w:space="0" w:color="auto"/>
      </w:divBdr>
    </w:div>
    <w:div w:id="826167663">
      <w:bodyDiv w:val="1"/>
      <w:marLeft w:val="0"/>
      <w:marRight w:val="0"/>
      <w:marTop w:val="0"/>
      <w:marBottom w:val="0"/>
      <w:divBdr>
        <w:top w:val="none" w:sz="0" w:space="0" w:color="auto"/>
        <w:left w:val="none" w:sz="0" w:space="0" w:color="auto"/>
        <w:bottom w:val="none" w:sz="0" w:space="0" w:color="auto"/>
        <w:right w:val="none" w:sz="0" w:space="0" w:color="auto"/>
      </w:divBdr>
    </w:div>
    <w:div w:id="837040175">
      <w:bodyDiv w:val="1"/>
      <w:marLeft w:val="0"/>
      <w:marRight w:val="0"/>
      <w:marTop w:val="0"/>
      <w:marBottom w:val="0"/>
      <w:divBdr>
        <w:top w:val="none" w:sz="0" w:space="0" w:color="auto"/>
        <w:left w:val="none" w:sz="0" w:space="0" w:color="auto"/>
        <w:bottom w:val="none" w:sz="0" w:space="0" w:color="auto"/>
        <w:right w:val="none" w:sz="0" w:space="0" w:color="auto"/>
      </w:divBdr>
      <w:divsChild>
        <w:div w:id="997077293">
          <w:marLeft w:val="0"/>
          <w:marRight w:val="0"/>
          <w:marTop w:val="0"/>
          <w:marBottom w:val="0"/>
          <w:divBdr>
            <w:top w:val="none" w:sz="0" w:space="0" w:color="auto"/>
            <w:left w:val="none" w:sz="0" w:space="0" w:color="auto"/>
            <w:bottom w:val="none" w:sz="0" w:space="0" w:color="auto"/>
            <w:right w:val="none" w:sz="0" w:space="0" w:color="auto"/>
          </w:divBdr>
        </w:div>
      </w:divsChild>
    </w:div>
    <w:div w:id="893468068">
      <w:bodyDiv w:val="1"/>
      <w:marLeft w:val="0"/>
      <w:marRight w:val="0"/>
      <w:marTop w:val="0"/>
      <w:marBottom w:val="0"/>
      <w:divBdr>
        <w:top w:val="none" w:sz="0" w:space="0" w:color="auto"/>
        <w:left w:val="none" w:sz="0" w:space="0" w:color="auto"/>
        <w:bottom w:val="none" w:sz="0" w:space="0" w:color="auto"/>
        <w:right w:val="none" w:sz="0" w:space="0" w:color="auto"/>
      </w:divBdr>
    </w:div>
    <w:div w:id="912199215">
      <w:bodyDiv w:val="1"/>
      <w:marLeft w:val="0"/>
      <w:marRight w:val="0"/>
      <w:marTop w:val="0"/>
      <w:marBottom w:val="0"/>
      <w:divBdr>
        <w:top w:val="none" w:sz="0" w:space="0" w:color="auto"/>
        <w:left w:val="none" w:sz="0" w:space="0" w:color="auto"/>
        <w:bottom w:val="none" w:sz="0" w:space="0" w:color="auto"/>
        <w:right w:val="none" w:sz="0" w:space="0" w:color="auto"/>
      </w:divBdr>
    </w:div>
    <w:div w:id="933054935">
      <w:bodyDiv w:val="1"/>
      <w:marLeft w:val="0"/>
      <w:marRight w:val="0"/>
      <w:marTop w:val="0"/>
      <w:marBottom w:val="0"/>
      <w:divBdr>
        <w:top w:val="none" w:sz="0" w:space="0" w:color="auto"/>
        <w:left w:val="none" w:sz="0" w:space="0" w:color="auto"/>
        <w:bottom w:val="none" w:sz="0" w:space="0" w:color="auto"/>
        <w:right w:val="none" w:sz="0" w:space="0" w:color="auto"/>
      </w:divBdr>
    </w:div>
    <w:div w:id="935137898">
      <w:bodyDiv w:val="1"/>
      <w:marLeft w:val="0"/>
      <w:marRight w:val="0"/>
      <w:marTop w:val="0"/>
      <w:marBottom w:val="0"/>
      <w:divBdr>
        <w:top w:val="none" w:sz="0" w:space="0" w:color="auto"/>
        <w:left w:val="none" w:sz="0" w:space="0" w:color="auto"/>
        <w:bottom w:val="none" w:sz="0" w:space="0" w:color="auto"/>
        <w:right w:val="none" w:sz="0" w:space="0" w:color="auto"/>
      </w:divBdr>
    </w:div>
    <w:div w:id="944729379">
      <w:bodyDiv w:val="1"/>
      <w:marLeft w:val="0"/>
      <w:marRight w:val="0"/>
      <w:marTop w:val="0"/>
      <w:marBottom w:val="0"/>
      <w:divBdr>
        <w:top w:val="none" w:sz="0" w:space="0" w:color="auto"/>
        <w:left w:val="none" w:sz="0" w:space="0" w:color="auto"/>
        <w:bottom w:val="none" w:sz="0" w:space="0" w:color="auto"/>
        <w:right w:val="none" w:sz="0" w:space="0" w:color="auto"/>
      </w:divBdr>
    </w:div>
    <w:div w:id="947814283">
      <w:bodyDiv w:val="1"/>
      <w:marLeft w:val="0"/>
      <w:marRight w:val="0"/>
      <w:marTop w:val="0"/>
      <w:marBottom w:val="0"/>
      <w:divBdr>
        <w:top w:val="none" w:sz="0" w:space="0" w:color="auto"/>
        <w:left w:val="none" w:sz="0" w:space="0" w:color="auto"/>
        <w:bottom w:val="none" w:sz="0" w:space="0" w:color="auto"/>
        <w:right w:val="none" w:sz="0" w:space="0" w:color="auto"/>
      </w:divBdr>
    </w:div>
    <w:div w:id="960841798">
      <w:bodyDiv w:val="1"/>
      <w:marLeft w:val="0"/>
      <w:marRight w:val="0"/>
      <w:marTop w:val="0"/>
      <w:marBottom w:val="0"/>
      <w:divBdr>
        <w:top w:val="none" w:sz="0" w:space="0" w:color="auto"/>
        <w:left w:val="none" w:sz="0" w:space="0" w:color="auto"/>
        <w:bottom w:val="none" w:sz="0" w:space="0" w:color="auto"/>
        <w:right w:val="none" w:sz="0" w:space="0" w:color="auto"/>
      </w:divBdr>
    </w:div>
    <w:div w:id="989553517">
      <w:bodyDiv w:val="1"/>
      <w:marLeft w:val="0"/>
      <w:marRight w:val="0"/>
      <w:marTop w:val="0"/>
      <w:marBottom w:val="0"/>
      <w:divBdr>
        <w:top w:val="none" w:sz="0" w:space="0" w:color="auto"/>
        <w:left w:val="none" w:sz="0" w:space="0" w:color="auto"/>
        <w:bottom w:val="none" w:sz="0" w:space="0" w:color="auto"/>
        <w:right w:val="none" w:sz="0" w:space="0" w:color="auto"/>
      </w:divBdr>
    </w:div>
    <w:div w:id="990870540">
      <w:bodyDiv w:val="1"/>
      <w:marLeft w:val="0"/>
      <w:marRight w:val="0"/>
      <w:marTop w:val="0"/>
      <w:marBottom w:val="0"/>
      <w:divBdr>
        <w:top w:val="none" w:sz="0" w:space="0" w:color="auto"/>
        <w:left w:val="none" w:sz="0" w:space="0" w:color="auto"/>
        <w:bottom w:val="none" w:sz="0" w:space="0" w:color="auto"/>
        <w:right w:val="none" w:sz="0" w:space="0" w:color="auto"/>
      </w:divBdr>
    </w:div>
    <w:div w:id="994071319">
      <w:bodyDiv w:val="1"/>
      <w:marLeft w:val="0"/>
      <w:marRight w:val="0"/>
      <w:marTop w:val="0"/>
      <w:marBottom w:val="0"/>
      <w:divBdr>
        <w:top w:val="none" w:sz="0" w:space="0" w:color="auto"/>
        <w:left w:val="none" w:sz="0" w:space="0" w:color="auto"/>
        <w:bottom w:val="none" w:sz="0" w:space="0" w:color="auto"/>
        <w:right w:val="none" w:sz="0" w:space="0" w:color="auto"/>
      </w:divBdr>
    </w:div>
    <w:div w:id="1006711321">
      <w:bodyDiv w:val="1"/>
      <w:marLeft w:val="0"/>
      <w:marRight w:val="0"/>
      <w:marTop w:val="0"/>
      <w:marBottom w:val="0"/>
      <w:divBdr>
        <w:top w:val="none" w:sz="0" w:space="0" w:color="auto"/>
        <w:left w:val="none" w:sz="0" w:space="0" w:color="auto"/>
        <w:bottom w:val="none" w:sz="0" w:space="0" w:color="auto"/>
        <w:right w:val="none" w:sz="0" w:space="0" w:color="auto"/>
      </w:divBdr>
    </w:div>
    <w:div w:id="1028875675">
      <w:bodyDiv w:val="1"/>
      <w:marLeft w:val="0"/>
      <w:marRight w:val="0"/>
      <w:marTop w:val="0"/>
      <w:marBottom w:val="0"/>
      <w:divBdr>
        <w:top w:val="none" w:sz="0" w:space="0" w:color="auto"/>
        <w:left w:val="none" w:sz="0" w:space="0" w:color="auto"/>
        <w:bottom w:val="none" w:sz="0" w:space="0" w:color="auto"/>
        <w:right w:val="none" w:sz="0" w:space="0" w:color="auto"/>
      </w:divBdr>
    </w:div>
    <w:div w:id="1054505877">
      <w:bodyDiv w:val="1"/>
      <w:marLeft w:val="0"/>
      <w:marRight w:val="0"/>
      <w:marTop w:val="0"/>
      <w:marBottom w:val="0"/>
      <w:divBdr>
        <w:top w:val="none" w:sz="0" w:space="0" w:color="auto"/>
        <w:left w:val="none" w:sz="0" w:space="0" w:color="auto"/>
        <w:bottom w:val="none" w:sz="0" w:space="0" w:color="auto"/>
        <w:right w:val="none" w:sz="0" w:space="0" w:color="auto"/>
      </w:divBdr>
    </w:div>
    <w:div w:id="1095204821">
      <w:bodyDiv w:val="1"/>
      <w:marLeft w:val="0"/>
      <w:marRight w:val="0"/>
      <w:marTop w:val="0"/>
      <w:marBottom w:val="0"/>
      <w:divBdr>
        <w:top w:val="none" w:sz="0" w:space="0" w:color="auto"/>
        <w:left w:val="none" w:sz="0" w:space="0" w:color="auto"/>
        <w:bottom w:val="none" w:sz="0" w:space="0" w:color="auto"/>
        <w:right w:val="none" w:sz="0" w:space="0" w:color="auto"/>
      </w:divBdr>
    </w:div>
    <w:div w:id="1100950891">
      <w:bodyDiv w:val="1"/>
      <w:marLeft w:val="0"/>
      <w:marRight w:val="0"/>
      <w:marTop w:val="0"/>
      <w:marBottom w:val="0"/>
      <w:divBdr>
        <w:top w:val="none" w:sz="0" w:space="0" w:color="auto"/>
        <w:left w:val="none" w:sz="0" w:space="0" w:color="auto"/>
        <w:bottom w:val="none" w:sz="0" w:space="0" w:color="auto"/>
        <w:right w:val="none" w:sz="0" w:space="0" w:color="auto"/>
      </w:divBdr>
    </w:div>
    <w:div w:id="1106459620">
      <w:bodyDiv w:val="1"/>
      <w:marLeft w:val="0"/>
      <w:marRight w:val="0"/>
      <w:marTop w:val="0"/>
      <w:marBottom w:val="0"/>
      <w:divBdr>
        <w:top w:val="none" w:sz="0" w:space="0" w:color="auto"/>
        <w:left w:val="none" w:sz="0" w:space="0" w:color="auto"/>
        <w:bottom w:val="none" w:sz="0" w:space="0" w:color="auto"/>
        <w:right w:val="none" w:sz="0" w:space="0" w:color="auto"/>
      </w:divBdr>
    </w:div>
    <w:div w:id="1128086181">
      <w:bodyDiv w:val="1"/>
      <w:marLeft w:val="0"/>
      <w:marRight w:val="0"/>
      <w:marTop w:val="0"/>
      <w:marBottom w:val="0"/>
      <w:divBdr>
        <w:top w:val="none" w:sz="0" w:space="0" w:color="auto"/>
        <w:left w:val="none" w:sz="0" w:space="0" w:color="auto"/>
        <w:bottom w:val="none" w:sz="0" w:space="0" w:color="auto"/>
        <w:right w:val="none" w:sz="0" w:space="0" w:color="auto"/>
      </w:divBdr>
    </w:div>
    <w:div w:id="1150752253">
      <w:bodyDiv w:val="1"/>
      <w:marLeft w:val="0"/>
      <w:marRight w:val="0"/>
      <w:marTop w:val="0"/>
      <w:marBottom w:val="0"/>
      <w:divBdr>
        <w:top w:val="none" w:sz="0" w:space="0" w:color="auto"/>
        <w:left w:val="none" w:sz="0" w:space="0" w:color="auto"/>
        <w:bottom w:val="none" w:sz="0" w:space="0" w:color="auto"/>
        <w:right w:val="none" w:sz="0" w:space="0" w:color="auto"/>
      </w:divBdr>
    </w:div>
    <w:div w:id="1160118703">
      <w:bodyDiv w:val="1"/>
      <w:marLeft w:val="0"/>
      <w:marRight w:val="0"/>
      <w:marTop w:val="0"/>
      <w:marBottom w:val="0"/>
      <w:divBdr>
        <w:top w:val="none" w:sz="0" w:space="0" w:color="auto"/>
        <w:left w:val="none" w:sz="0" w:space="0" w:color="auto"/>
        <w:bottom w:val="none" w:sz="0" w:space="0" w:color="auto"/>
        <w:right w:val="none" w:sz="0" w:space="0" w:color="auto"/>
      </w:divBdr>
      <w:divsChild>
        <w:div w:id="1570187001">
          <w:marLeft w:val="0"/>
          <w:marRight w:val="0"/>
          <w:marTop w:val="0"/>
          <w:marBottom w:val="0"/>
          <w:divBdr>
            <w:top w:val="none" w:sz="0" w:space="0" w:color="auto"/>
            <w:left w:val="none" w:sz="0" w:space="0" w:color="auto"/>
            <w:bottom w:val="none" w:sz="0" w:space="0" w:color="auto"/>
            <w:right w:val="none" w:sz="0" w:space="0" w:color="auto"/>
          </w:divBdr>
        </w:div>
      </w:divsChild>
    </w:div>
    <w:div w:id="1172448143">
      <w:bodyDiv w:val="1"/>
      <w:marLeft w:val="0"/>
      <w:marRight w:val="0"/>
      <w:marTop w:val="0"/>
      <w:marBottom w:val="0"/>
      <w:divBdr>
        <w:top w:val="none" w:sz="0" w:space="0" w:color="auto"/>
        <w:left w:val="none" w:sz="0" w:space="0" w:color="auto"/>
        <w:bottom w:val="none" w:sz="0" w:space="0" w:color="auto"/>
        <w:right w:val="none" w:sz="0" w:space="0" w:color="auto"/>
      </w:divBdr>
    </w:div>
    <w:div w:id="1174762406">
      <w:bodyDiv w:val="1"/>
      <w:marLeft w:val="0"/>
      <w:marRight w:val="0"/>
      <w:marTop w:val="0"/>
      <w:marBottom w:val="0"/>
      <w:divBdr>
        <w:top w:val="none" w:sz="0" w:space="0" w:color="auto"/>
        <w:left w:val="none" w:sz="0" w:space="0" w:color="auto"/>
        <w:bottom w:val="none" w:sz="0" w:space="0" w:color="auto"/>
        <w:right w:val="none" w:sz="0" w:space="0" w:color="auto"/>
      </w:divBdr>
    </w:div>
    <w:div w:id="1180663565">
      <w:bodyDiv w:val="1"/>
      <w:marLeft w:val="0"/>
      <w:marRight w:val="0"/>
      <w:marTop w:val="0"/>
      <w:marBottom w:val="0"/>
      <w:divBdr>
        <w:top w:val="none" w:sz="0" w:space="0" w:color="auto"/>
        <w:left w:val="none" w:sz="0" w:space="0" w:color="auto"/>
        <w:bottom w:val="none" w:sz="0" w:space="0" w:color="auto"/>
        <w:right w:val="none" w:sz="0" w:space="0" w:color="auto"/>
      </w:divBdr>
    </w:div>
    <w:div w:id="1183126307">
      <w:bodyDiv w:val="1"/>
      <w:marLeft w:val="0"/>
      <w:marRight w:val="0"/>
      <w:marTop w:val="0"/>
      <w:marBottom w:val="0"/>
      <w:divBdr>
        <w:top w:val="none" w:sz="0" w:space="0" w:color="auto"/>
        <w:left w:val="none" w:sz="0" w:space="0" w:color="auto"/>
        <w:bottom w:val="none" w:sz="0" w:space="0" w:color="auto"/>
        <w:right w:val="none" w:sz="0" w:space="0" w:color="auto"/>
      </w:divBdr>
    </w:div>
    <w:div w:id="1194270999">
      <w:bodyDiv w:val="1"/>
      <w:marLeft w:val="0"/>
      <w:marRight w:val="0"/>
      <w:marTop w:val="0"/>
      <w:marBottom w:val="0"/>
      <w:divBdr>
        <w:top w:val="none" w:sz="0" w:space="0" w:color="auto"/>
        <w:left w:val="none" w:sz="0" w:space="0" w:color="auto"/>
        <w:bottom w:val="none" w:sz="0" w:space="0" w:color="auto"/>
        <w:right w:val="none" w:sz="0" w:space="0" w:color="auto"/>
      </w:divBdr>
    </w:div>
    <w:div w:id="1216048142">
      <w:bodyDiv w:val="1"/>
      <w:marLeft w:val="0"/>
      <w:marRight w:val="0"/>
      <w:marTop w:val="0"/>
      <w:marBottom w:val="0"/>
      <w:divBdr>
        <w:top w:val="none" w:sz="0" w:space="0" w:color="auto"/>
        <w:left w:val="none" w:sz="0" w:space="0" w:color="auto"/>
        <w:bottom w:val="none" w:sz="0" w:space="0" w:color="auto"/>
        <w:right w:val="none" w:sz="0" w:space="0" w:color="auto"/>
      </w:divBdr>
    </w:div>
    <w:div w:id="1229345998">
      <w:bodyDiv w:val="1"/>
      <w:marLeft w:val="0"/>
      <w:marRight w:val="0"/>
      <w:marTop w:val="0"/>
      <w:marBottom w:val="0"/>
      <w:divBdr>
        <w:top w:val="none" w:sz="0" w:space="0" w:color="auto"/>
        <w:left w:val="none" w:sz="0" w:space="0" w:color="auto"/>
        <w:bottom w:val="none" w:sz="0" w:space="0" w:color="auto"/>
        <w:right w:val="none" w:sz="0" w:space="0" w:color="auto"/>
      </w:divBdr>
    </w:div>
    <w:div w:id="1230070874">
      <w:bodyDiv w:val="1"/>
      <w:marLeft w:val="0"/>
      <w:marRight w:val="0"/>
      <w:marTop w:val="0"/>
      <w:marBottom w:val="0"/>
      <w:divBdr>
        <w:top w:val="none" w:sz="0" w:space="0" w:color="auto"/>
        <w:left w:val="none" w:sz="0" w:space="0" w:color="auto"/>
        <w:bottom w:val="none" w:sz="0" w:space="0" w:color="auto"/>
        <w:right w:val="none" w:sz="0" w:space="0" w:color="auto"/>
      </w:divBdr>
    </w:div>
    <w:div w:id="1245070391">
      <w:bodyDiv w:val="1"/>
      <w:marLeft w:val="0"/>
      <w:marRight w:val="0"/>
      <w:marTop w:val="0"/>
      <w:marBottom w:val="0"/>
      <w:divBdr>
        <w:top w:val="none" w:sz="0" w:space="0" w:color="auto"/>
        <w:left w:val="none" w:sz="0" w:space="0" w:color="auto"/>
        <w:bottom w:val="none" w:sz="0" w:space="0" w:color="auto"/>
        <w:right w:val="none" w:sz="0" w:space="0" w:color="auto"/>
      </w:divBdr>
    </w:div>
    <w:div w:id="1266690065">
      <w:bodyDiv w:val="1"/>
      <w:marLeft w:val="0"/>
      <w:marRight w:val="0"/>
      <w:marTop w:val="0"/>
      <w:marBottom w:val="0"/>
      <w:divBdr>
        <w:top w:val="none" w:sz="0" w:space="0" w:color="auto"/>
        <w:left w:val="none" w:sz="0" w:space="0" w:color="auto"/>
        <w:bottom w:val="none" w:sz="0" w:space="0" w:color="auto"/>
        <w:right w:val="none" w:sz="0" w:space="0" w:color="auto"/>
      </w:divBdr>
    </w:div>
    <w:div w:id="1271232246">
      <w:bodyDiv w:val="1"/>
      <w:marLeft w:val="0"/>
      <w:marRight w:val="0"/>
      <w:marTop w:val="0"/>
      <w:marBottom w:val="0"/>
      <w:divBdr>
        <w:top w:val="none" w:sz="0" w:space="0" w:color="auto"/>
        <w:left w:val="none" w:sz="0" w:space="0" w:color="auto"/>
        <w:bottom w:val="none" w:sz="0" w:space="0" w:color="auto"/>
        <w:right w:val="none" w:sz="0" w:space="0" w:color="auto"/>
      </w:divBdr>
    </w:div>
    <w:div w:id="1281575051">
      <w:bodyDiv w:val="1"/>
      <w:marLeft w:val="0"/>
      <w:marRight w:val="0"/>
      <w:marTop w:val="0"/>
      <w:marBottom w:val="0"/>
      <w:divBdr>
        <w:top w:val="none" w:sz="0" w:space="0" w:color="auto"/>
        <w:left w:val="none" w:sz="0" w:space="0" w:color="auto"/>
        <w:bottom w:val="none" w:sz="0" w:space="0" w:color="auto"/>
        <w:right w:val="none" w:sz="0" w:space="0" w:color="auto"/>
      </w:divBdr>
    </w:div>
    <w:div w:id="1293831001">
      <w:bodyDiv w:val="1"/>
      <w:marLeft w:val="0"/>
      <w:marRight w:val="0"/>
      <w:marTop w:val="0"/>
      <w:marBottom w:val="0"/>
      <w:divBdr>
        <w:top w:val="none" w:sz="0" w:space="0" w:color="auto"/>
        <w:left w:val="none" w:sz="0" w:space="0" w:color="auto"/>
        <w:bottom w:val="none" w:sz="0" w:space="0" w:color="auto"/>
        <w:right w:val="none" w:sz="0" w:space="0" w:color="auto"/>
      </w:divBdr>
    </w:div>
    <w:div w:id="1312519942">
      <w:bodyDiv w:val="1"/>
      <w:marLeft w:val="0"/>
      <w:marRight w:val="0"/>
      <w:marTop w:val="0"/>
      <w:marBottom w:val="0"/>
      <w:divBdr>
        <w:top w:val="none" w:sz="0" w:space="0" w:color="auto"/>
        <w:left w:val="none" w:sz="0" w:space="0" w:color="auto"/>
        <w:bottom w:val="none" w:sz="0" w:space="0" w:color="auto"/>
        <w:right w:val="none" w:sz="0" w:space="0" w:color="auto"/>
      </w:divBdr>
    </w:div>
    <w:div w:id="1316184729">
      <w:marLeft w:val="0"/>
      <w:marRight w:val="0"/>
      <w:marTop w:val="0"/>
      <w:marBottom w:val="0"/>
      <w:divBdr>
        <w:top w:val="none" w:sz="0" w:space="0" w:color="auto"/>
        <w:left w:val="none" w:sz="0" w:space="0" w:color="auto"/>
        <w:bottom w:val="none" w:sz="0" w:space="0" w:color="auto"/>
        <w:right w:val="none" w:sz="0" w:space="0" w:color="auto"/>
      </w:divBdr>
    </w:div>
    <w:div w:id="1316184730">
      <w:marLeft w:val="0"/>
      <w:marRight w:val="0"/>
      <w:marTop w:val="0"/>
      <w:marBottom w:val="0"/>
      <w:divBdr>
        <w:top w:val="none" w:sz="0" w:space="0" w:color="auto"/>
        <w:left w:val="none" w:sz="0" w:space="0" w:color="auto"/>
        <w:bottom w:val="none" w:sz="0" w:space="0" w:color="auto"/>
        <w:right w:val="none" w:sz="0" w:space="0" w:color="auto"/>
      </w:divBdr>
    </w:div>
    <w:div w:id="1316184732">
      <w:marLeft w:val="0"/>
      <w:marRight w:val="0"/>
      <w:marTop w:val="0"/>
      <w:marBottom w:val="0"/>
      <w:divBdr>
        <w:top w:val="none" w:sz="0" w:space="0" w:color="auto"/>
        <w:left w:val="none" w:sz="0" w:space="0" w:color="auto"/>
        <w:bottom w:val="none" w:sz="0" w:space="0" w:color="auto"/>
        <w:right w:val="none" w:sz="0" w:space="0" w:color="auto"/>
      </w:divBdr>
    </w:div>
    <w:div w:id="1316184733">
      <w:marLeft w:val="0"/>
      <w:marRight w:val="0"/>
      <w:marTop w:val="0"/>
      <w:marBottom w:val="0"/>
      <w:divBdr>
        <w:top w:val="none" w:sz="0" w:space="0" w:color="auto"/>
        <w:left w:val="none" w:sz="0" w:space="0" w:color="auto"/>
        <w:bottom w:val="none" w:sz="0" w:space="0" w:color="auto"/>
        <w:right w:val="none" w:sz="0" w:space="0" w:color="auto"/>
      </w:divBdr>
    </w:div>
    <w:div w:id="1316184734">
      <w:marLeft w:val="0"/>
      <w:marRight w:val="0"/>
      <w:marTop w:val="0"/>
      <w:marBottom w:val="0"/>
      <w:divBdr>
        <w:top w:val="none" w:sz="0" w:space="0" w:color="auto"/>
        <w:left w:val="none" w:sz="0" w:space="0" w:color="auto"/>
        <w:bottom w:val="none" w:sz="0" w:space="0" w:color="auto"/>
        <w:right w:val="none" w:sz="0" w:space="0" w:color="auto"/>
      </w:divBdr>
    </w:div>
    <w:div w:id="1316184735">
      <w:marLeft w:val="0"/>
      <w:marRight w:val="0"/>
      <w:marTop w:val="0"/>
      <w:marBottom w:val="0"/>
      <w:divBdr>
        <w:top w:val="none" w:sz="0" w:space="0" w:color="auto"/>
        <w:left w:val="none" w:sz="0" w:space="0" w:color="auto"/>
        <w:bottom w:val="none" w:sz="0" w:space="0" w:color="auto"/>
        <w:right w:val="none" w:sz="0" w:space="0" w:color="auto"/>
      </w:divBdr>
    </w:div>
    <w:div w:id="1316184736">
      <w:marLeft w:val="0"/>
      <w:marRight w:val="0"/>
      <w:marTop w:val="0"/>
      <w:marBottom w:val="0"/>
      <w:divBdr>
        <w:top w:val="none" w:sz="0" w:space="0" w:color="auto"/>
        <w:left w:val="none" w:sz="0" w:space="0" w:color="auto"/>
        <w:bottom w:val="none" w:sz="0" w:space="0" w:color="auto"/>
        <w:right w:val="none" w:sz="0" w:space="0" w:color="auto"/>
      </w:divBdr>
    </w:div>
    <w:div w:id="1316184737">
      <w:marLeft w:val="0"/>
      <w:marRight w:val="0"/>
      <w:marTop w:val="0"/>
      <w:marBottom w:val="0"/>
      <w:divBdr>
        <w:top w:val="none" w:sz="0" w:space="0" w:color="auto"/>
        <w:left w:val="none" w:sz="0" w:space="0" w:color="auto"/>
        <w:bottom w:val="none" w:sz="0" w:space="0" w:color="auto"/>
        <w:right w:val="none" w:sz="0" w:space="0" w:color="auto"/>
      </w:divBdr>
    </w:div>
    <w:div w:id="1316184738">
      <w:marLeft w:val="0"/>
      <w:marRight w:val="0"/>
      <w:marTop w:val="0"/>
      <w:marBottom w:val="0"/>
      <w:divBdr>
        <w:top w:val="none" w:sz="0" w:space="0" w:color="auto"/>
        <w:left w:val="none" w:sz="0" w:space="0" w:color="auto"/>
        <w:bottom w:val="none" w:sz="0" w:space="0" w:color="auto"/>
        <w:right w:val="none" w:sz="0" w:space="0" w:color="auto"/>
      </w:divBdr>
    </w:div>
    <w:div w:id="1316184739">
      <w:marLeft w:val="0"/>
      <w:marRight w:val="0"/>
      <w:marTop w:val="0"/>
      <w:marBottom w:val="0"/>
      <w:divBdr>
        <w:top w:val="none" w:sz="0" w:space="0" w:color="auto"/>
        <w:left w:val="none" w:sz="0" w:space="0" w:color="auto"/>
        <w:bottom w:val="none" w:sz="0" w:space="0" w:color="auto"/>
        <w:right w:val="none" w:sz="0" w:space="0" w:color="auto"/>
      </w:divBdr>
    </w:div>
    <w:div w:id="1316184741">
      <w:marLeft w:val="0"/>
      <w:marRight w:val="0"/>
      <w:marTop w:val="0"/>
      <w:marBottom w:val="0"/>
      <w:divBdr>
        <w:top w:val="none" w:sz="0" w:space="0" w:color="auto"/>
        <w:left w:val="none" w:sz="0" w:space="0" w:color="auto"/>
        <w:bottom w:val="none" w:sz="0" w:space="0" w:color="auto"/>
        <w:right w:val="none" w:sz="0" w:space="0" w:color="auto"/>
      </w:divBdr>
    </w:div>
    <w:div w:id="1316184742">
      <w:marLeft w:val="0"/>
      <w:marRight w:val="0"/>
      <w:marTop w:val="0"/>
      <w:marBottom w:val="0"/>
      <w:divBdr>
        <w:top w:val="none" w:sz="0" w:space="0" w:color="auto"/>
        <w:left w:val="none" w:sz="0" w:space="0" w:color="auto"/>
        <w:bottom w:val="none" w:sz="0" w:space="0" w:color="auto"/>
        <w:right w:val="none" w:sz="0" w:space="0" w:color="auto"/>
      </w:divBdr>
    </w:div>
    <w:div w:id="1316184743">
      <w:marLeft w:val="0"/>
      <w:marRight w:val="0"/>
      <w:marTop w:val="0"/>
      <w:marBottom w:val="0"/>
      <w:divBdr>
        <w:top w:val="none" w:sz="0" w:space="0" w:color="auto"/>
        <w:left w:val="none" w:sz="0" w:space="0" w:color="auto"/>
        <w:bottom w:val="none" w:sz="0" w:space="0" w:color="auto"/>
        <w:right w:val="none" w:sz="0" w:space="0" w:color="auto"/>
      </w:divBdr>
    </w:div>
    <w:div w:id="1316184744">
      <w:marLeft w:val="0"/>
      <w:marRight w:val="0"/>
      <w:marTop w:val="0"/>
      <w:marBottom w:val="0"/>
      <w:divBdr>
        <w:top w:val="none" w:sz="0" w:space="0" w:color="auto"/>
        <w:left w:val="none" w:sz="0" w:space="0" w:color="auto"/>
        <w:bottom w:val="none" w:sz="0" w:space="0" w:color="auto"/>
        <w:right w:val="none" w:sz="0" w:space="0" w:color="auto"/>
      </w:divBdr>
    </w:div>
    <w:div w:id="1316184745">
      <w:marLeft w:val="0"/>
      <w:marRight w:val="0"/>
      <w:marTop w:val="0"/>
      <w:marBottom w:val="0"/>
      <w:divBdr>
        <w:top w:val="none" w:sz="0" w:space="0" w:color="auto"/>
        <w:left w:val="none" w:sz="0" w:space="0" w:color="auto"/>
        <w:bottom w:val="none" w:sz="0" w:space="0" w:color="auto"/>
        <w:right w:val="none" w:sz="0" w:space="0" w:color="auto"/>
      </w:divBdr>
    </w:div>
    <w:div w:id="1316184746">
      <w:marLeft w:val="0"/>
      <w:marRight w:val="0"/>
      <w:marTop w:val="0"/>
      <w:marBottom w:val="0"/>
      <w:divBdr>
        <w:top w:val="none" w:sz="0" w:space="0" w:color="auto"/>
        <w:left w:val="none" w:sz="0" w:space="0" w:color="auto"/>
        <w:bottom w:val="none" w:sz="0" w:space="0" w:color="auto"/>
        <w:right w:val="none" w:sz="0" w:space="0" w:color="auto"/>
      </w:divBdr>
    </w:div>
    <w:div w:id="1316184747">
      <w:marLeft w:val="0"/>
      <w:marRight w:val="0"/>
      <w:marTop w:val="0"/>
      <w:marBottom w:val="0"/>
      <w:divBdr>
        <w:top w:val="none" w:sz="0" w:space="0" w:color="auto"/>
        <w:left w:val="none" w:sz="0" w:space="0" w:color="auto"/>
        <w:bottom w:val="none" w:sz="0" w:space="0" w:color="auto"/>
        <w:right w:val="none" w:sz="0" w:space="0" w:color="auto"/>
      </w:divBdr>
    </w:div>
    <w:div w:id="1316184748">
      <w:marLeft w:val="0"/>
      <w:marRight w:val="0"/>
      <w:marTop w:val="0"/>
      <w:marBottom w:val="0"/>
      <w:divBdr>
        <w:top w:val="none" w:sz="0" w:space="0" w:color="auto"/>
        <w:left w:val="none" w:sz="0" w:space="0" w:color="auto"/>
        <w:bottom w:val="none" w:sz="0" w:space="0" w:color="auto"/>
        <w:right w:val="none" w:sz="0" w:space="0" w:color="auto"/>
      </w:divBdr>
      <w:divsChild>
        <w:div w:id="1316184731">
          <w:marLeft w:val="0"/>
          <w:marRight w:val="0"/>
          <w:marTop w:val="0"/>
          <w:marBottom w:val="0"/>
          <w:divBdr>
            <w:top w:val="none" w:sz="0" w:space="0" w:color="auto"/>
            <w:left w:val="none" w:sz="0" w:space="0" w:color="auto"/>
            <w:bottom w:val="none" w:sz="0" w:space="0" w:color="auto"/>
            <w:right w:val="none" w:sz="0" w:space="0" w:color="auto"/>
          </w:divBdr>
          <w:divsChild>
            <w:div w:id="1316184740">
              <w:marLeft w:val="0"/>
              <w:marRight w:val="0"/>
              <w:marTop w:val="0"/>
              <w:marBottom w:val="0"/>
              <w:divBdr>
                <w:top w:val="none" w:sz="0" w:space="0" w:color="auto"/>
                <w:left w:val="none" w:sz="0" w:space="0" w:color="auto"/>
                <w:bottom w:val="none" w:sz="0" w:space="0" w:color="auto"/>
                <w:right w:val="none" w:sz="0" w:space="0" w:color="auto"/>
              </w:divBdr>
              <w:divsChild>
                <w:div w:id="13161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84750">
      <w:marLeft w:val="0"/>
      <w:marRight w:val="0"/>
      <w:marTop w:val="0"/>
      <w:marBottom w:val="0"/>
      <w:divBdr>
        <w:top w:val="none" w:sz="0" w:space="0" w:color="auto"/>
        <w:left w:val="none" w:sz="0" w:space="0" w:color="auto"/>
        <w:bottom w:val="none" w:sz="0" w:space="0" w:color="auto"/>
        <w:right w:val="none" w:sz="0" w:space="0" w:color="auto"/>
      </w:divBdr>
    </w:div>
    <w:div w:id="1316184751">
      <w:marLeft w:val="0"/>
      <w:marRight w:val="0"/>
      <w:marTop w:val="0"/>
      <w:marBottom w:val="0"/>
      <w:divBdr>
        <w:top w:val="none" w:sz="0" w:space="0" w:color="auto"/>
        <w:left w:val="none" w:sz="0" w:space="0" w:color="auto"/>
        <w:bottom w:val="none" w:sz="0" w:space="0" w:color="auto"/>
        <w:right w:val="none" w:sz="0" w:space="0" w:color="auto"/>
      </w:divBdr>
    </w:div>
    <w:div w:id="1316184752">
      <w:marLeft w:val="0"/>
      <w:marRight w:val="0"/>
      <w:marTop w:val="0"/>
      <w:marBottom w:val="0"/>
      <w:divBdr>
        <w:top w:val="none" w:sz="0" w:space="0" w:color="auto"/>
        <w:left w:val="none" w:sz="0" w:space="0" w:color="auto"/>
        <w:bottom w:val="none" w:sz="0" w:space="0" w:color="auto"/>
        <w:right w:val="none" w:sz="0" w:space="0" w:color="auto"/>
      </w:divBdr>
    </w:div>
    <w:div w:id="1316184753">
      <w:marLeft w:val="0"/>
      <w:marRight w:val="0"/>
      <w:marTop w:val="0"/>
      <w:marBottom w:val="0"/>
      <w:divBdr>
        <w:top w:val="none" w:sz="0" w:space="0" w:color="auto"/>
        <w:left w:val="none" w:sz="0" w:space="0" w:color="auto"/>
        <w:bottom w:val="none" w:sz="0" w:space="0" w:color="auto"/>
        <w:right w:val="none" w:sz="0" w:space="0" w:color="auto"/>
      </w:divBdr>
    </w:div>
    <w:div w:id="1316184754">
      <w:marLeft w:val="0"/>
      <w:marRight w:val="0"/>
      <w:marTop w:val="0"/>
      <w:marBottom w:val="0"/>
      <w:divBdr>
        <w:top w:val="none" w:sz="0" w:space="0" w:color="auto"/>
        <w:left w:val="none" w:sz="0" w:space="0" w:color="auto"/>
        <w:bottom w:val="none" w:sz="0" w:space="0" w:color="auto"/>
        <w:right w:val="none" w:sz="0" w:space="0" w:color="auto"/>
      </w:divBdr>
    </w:div>
    <w:div w:id="1316184755">
      <w:marLeft w:val="0"/>
      <w:marRight w:val="0"/>
      <w:marTop w:val="0"/>
      <w:marBottom w:val="0"/>
      <w:divBdr>
        <w:top w:val="none" w:sz="0" w:space="0" w:color="auto"/>
        <w:left w:val="none" w:sz="0" w:space="0" w:color="auto"/>
        <w:bottom w:val="none" w:sz="0" w:space="0" w:color="auto"/>
        <w:right w:val="none" w:sz="0" w:space="0" w:color="auto"/>
      </w:divBdr>
    </w:div>
    <w:div w:id="1316184756">
      <w:marLeft w:val="0"/>
      <w:marRight w:val="0"/>
      <w:marTop w:val="0"/>
      <w:marBottom w:val="0"/>
      <w:divBdr>
        <w:top w:val="none" w:sz="0" w:space="0" w:color="auto"/>
        <w:left w:val="none" w:sz="0" w:space="0" w:color="auto"/>
        <w:bottom w:val="none" w:sz="0" w:space="0" w:color="auto"/>
        <w:right w:val="none" w:sz="0" w:space="0" w:color="auto"/>
      </w:divBdr>
    </w:div>
    <w:div w:id="1316184757">
      <w:marLeft w:val="0"/>
      <w:marRight w:val="0"/>
      <w:marTop w:val="0"/>
      <w:marBottom w:val="0"/>
      <w:divBdr>
        <w:top w:val="none" w:sz="0" w:space="0" w:color="auto"/>
        <w:left w:val="none" w:sz="0" w:space="0" w:color="auto"/>
        <w:bottom w:val="none" w:sz="0" w:space="0" w:color="auto"/>
        <w:right w:val="none" w:sz="0" w:space="0" w:color="auto"/>
      </w:divBdr>
    </w:div>
    <w:div w:id="1316184758">
      <w:marLeft w:val="0"/>
      <w:marRight w:val="0"/>
      <w:marTop w:val="0"/>
      <w:marBottom w:val="0"/>
      <w:divBdr>
        <w:top w:val="none" w:sz="0" w:space="0" w:color="auto"/>
        <w:left w:val="none" w:sz="0" w:space="0" w:color="auto"/>
        <w:bottom w:val="none" w:sz="0" w:space="0" w:color="auto"/>
        <w:right w:val="none" w:sz="0" w:space="0" w:color="auto"/>
      </w:divBdr>
    </w:div>
    <w:div w:id="1316184759">
      <w:marLeft w:val="0"/>
      <w:marRight w:val="0"/>
      <w:marTop w:val="0"/>
      <w:marBottom w:val="0"/>
      <w:divBdr>
        <w:top w:val="none" w:sz="0" w:space="0" w:color="auto"/>
        <w:left w:val="none" w:sz="0" w:space="0" w:color="auto"/>
        <w:bottom w:val="none" w:sz="0" w:space="0" w:color="auto"/>
        <w:right w:val="none" w:sz="0" w:space="0" w:color="auto"/>
      </w:divBdr>
    </w:div>
    <w:div w:id="1316184760">
      <w:marLeft w:val="0"/>
      <w:marRight w:val="0"/>
      <w:marTop w:val="0"/>
      <w:marBottom w:val="0"/>
      <w:divBdr>
        <w:top w:val="none" w:sz="0" w:space="0" w:color="auto"/>
        <w:left w:val="none" w:sz="0" w:space="0" w:color="auto"/>
        <w:bottom w:val="none" w:sz="0" w:space="0" w:color="auto"/>
        <w:right w:val="none" w:sz="0" w:space="0" w:color="auto"/>
      </w:divBdr>
    </w:div>
    <w:div w:id="1321739041">
      <w:bodyDiv w:val="1"/>
      <w:marLeft w:val="0"/>
      <w:marRight w:val="0"/>
      <w:marTop w:val="0"/>
      <w:marBottom w:val="0"/>
      <w:divBdr>
        <w:top w:val="none" w:sz="0" w:space="0" w:color="auto"/>
        <w:left w:val="none" w:sz="0" w:space="0" w:color="auto"/>
        <w:bottom w:val="none" w:sz="0" w:space="0" w:color="auto"/>
        <w:right w:val="none" w:sz="0" w:space="0" w:color="auto"/>
      </w:divBdr>
    </w:div>
    <w:div w:id="1324164666">
      <w:bodyDiv w:val="1"/>
      <w:marLeft w:val="0"/>
      <w:marRight w:val="0"/>
      <w:marTop w:val="0"/>
      <w:marBottom w:val="0"/>
      <w:divBdr>
        <w:top w:val="none" w:sz="0" w:space="0" w:color="auto"/>
        <w:left w:val="none" w:sz="0" w:space="0" w:color="auto"/>
        <w:bottom w:val="none" w:sz="0" w:space="0" w:color="auto"/>
        <w:right w:val="none" w:sz="0" w:space="0" w:color="auto"/>
      </w:divBdr>
    </w:div>
    <w:div w:id="1328512109">
      <w:bodyDiv w:val="1"/>
      <w:marLeft w:val="0"/>
      <w:marRight w:val="0"/>
      <w:marTop w:val="0"/>
      <w:marBottom w:val="0"/>
      <w:divBdr>
        <w:top w:val="none" w:sz="0" w:space="0" w:color="auto"/>
        <w:left w:val="none" w:sz="0" w:space="0" w:color="auto"/>
        <w:bottom w:val="none" w:sz="0" w:space="0" w:color="auto"/>
        <w:right w:val="none" w:sz="0" w:space="0" w:color="auto"/>
      </w:divBdr>
    </w:div>
    <w:div w:id="1338465828">
      <w:bodyDiv w:val="1"/>
      <w:marLeft w:val="0"/>
      <w:marRight w:val="0"/>
      <w:marTop w:val="0"/>
      <w:marBottom w:val="0"/>
      <w:divBdr>
        <w:top w:val="none" w:sz="0" w:space="0" w:color="auto"/>
        <w:left w:val="none" w:sz="0" w:space="0" w:color="auto"/>
        <w:bottom w:val="none" w:sz="0" w:space="0" w:color="auto"/>
        <w:right w:val="none" w:sz="0" w:space="0" w:color="auto"/>
      </w:divBdr>
      <w:divsChild>
        <w:div w:id="1501191236">
          <w:marLeft w:val="0"/>
          <w:marRight w:val="0"/>
          <w:marTop w:val="0"/>
          <w:marBottom w:val="0"/>
          <w:divBdr>
            <w:top w:val="none" w:sz="0" w:space="0" w:color="auto"/>
            <w:left w:val="none" w:sz="0" w:space="0" w:color="auto"/>
            <w:bottom w:val="none" w:sz="0" w:space="0" w:color="auto"/>
            <w:right w:val="none" w:sz="0" w:space="0" w:color="auto"/>
          </w:divBdr>
          <w:divsChild>
            <w:div w:id="1144851963">
              <w:marLeft w:val="0"/>
              <w:marRight w:val="0"/>
              <w:marTop w:val="0"/>
              <w:marBottom w:val="0"/>
              <w:divBdr>
                <w:top w:val="none" w:sz="0" w:space="0" w:color="auto"/>
                <w:left w:val="none" w:sz="0" w:space="0" w:color="auto"/>
                <w:bottom w:val="none" w:sz="0" w:space="0" w:color="auto"/>
                <w:right w:val="none" w:sz="0" w:space="0" w:color="auto"/>
              </w:divBdr>
              <w:divsChild>
                <w:div w:id="740060670">
                  <w:marLeft w:val="0"/>
                  <w:marRight w:val="0"/>
                  <w:marTop w:val="0"/>
                  <w:marBottom w:val="0"/>
                  <w:divBdr>
                    <w:top w:val="none" w:sz="0" w:space="0" w:color="auto"/>
                    <w:left w:val="none" w:sz="0" w:space="0" w:color="auto"/>
                    <w:bottom w:val="none" w:sz="0" w:space="0" w:color="auto"/>
                    <w:right w:val="none" w:sz="0" w:space="0" w:color="auto"/>
                  </w:divBdr>
                  <w:divsChild>
                    <w:div w:id="1051536975">
                      <w:marLeft w:val="0"/>
                      <w:marRight w:val="0"/>
                      <w:marTop w:val="0"/>
                      <w:marBottom w:val="0"/>
                      <w:divBdr>
                        <w:top w:val="none" w:sz="0" w:space="0" w:color="auto"/>
                        <w:left w:val="none" w:sz="0" w:space="0" w:color="auto"/>
                        <w:bottom w:val="none" w:sz="0" w:space="0" w:color="auto"/>
                        <w:right w:val="none" w:sz="0" w:space="0" w:color="auto"/>
                      </w:divBdr>
                      <w:divsChild>
                        <w:div w:id="18744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329940">
      <w:bodyDiv w:val="1"/>
      <w:marLeft w:val="0"/>
      <w:marRight w:val="0"/>
      <w:marTop w:val="0"/>
      <w:marBottom w:val="0"/>
      <w:divBdr>
        <w:top w:val="none" w:sz="0" w:space="0" w:color="auto"/>
        <w:left w:val="none" w:sz="0" w:space="0" w:color="auto"/>
        <w:bottom w:val="none" w:sz="0" w:space="0" w:color="auto"/>
        <w:right w:val="none" w:sz="0" w:space="0" w:color="auto"/>
      </w:divBdr>
    </w:div>
    <w:div w:id="1359046084">
      <w:bodyDiv w:val="1"/>
      <w:marLeft w:val="0"/>
      <w:marRight w:val="0"/>
      <w:marTop w:val="0"/>
      <w:marBottom w:val="0"/>
      <w:divBdr>
        <w:top w:val="none" w:sz="0" w:space="0" w:color="auto"/>
        <w:left w:val="none" w:sz="0" w:space="0" w:color="auto"/>
        <w:bottom w:val="none" w:sz="0" w:space="0" w:color="auto"/>
        <w:right w:val="none" w:sz="0" w:space="0" w:color="auto"/>
      </w:divBdr>
    </w:div>
    <w:div w:id="1364599090">
      <w:bodyDiv w:val="1"/>
      <w:marLeft w:val="0"/>
      <w:marRight w:val="0"/>
      <w:marTop w:val="0"/>
      <w:marBottom w:val="0"/>
      <w:divBdr>
        <w:top w:val="none" w:sz="0" w:space="0" w:color="auto"/>
        <w:left w:val="none" w:sz="0" w:space="0" w:color="auto"/>
        <w:bottom w:val="none" w:sz="0" w:space="0" w:color="auto"/>
        <w:right w:val="none" w:sz="0" w:space="0" w:color="auto"/>
      </w:divBdr>
    </w:div>
    <w:div w:id="1373798324">
      <w:bodyDiv w:val="1"/>
      <w:marLeft w:val="0"/>
      <w:marRight w:val="0"/>
      <w:marTop w:val="0"/>
      <w:marBottom w:val="0"/>
      <w:divBdr>
        <w:top w:val="none" w:sz="0" w:space="0" w:color="auto"/>
        <w:left w:val="none" w:sz="0" w:space="0" w:color="auto"/>
        <w:bottom w:val="none" w:sz="0" w:space="0" w:color="auto"/>
        <w:right w:val="none" w:sz="0" w:space="0" w:color="auto"/>
      </w:divBdr>
    </w:div>
    <w:div w:id="1394354230">
      <w:bodyDiv w:val="1"/>
      <w:marLeft w:val="0"/>
      <w:marRight w:val="0"/>
      <w:marTop w:val="0"/>
      <w:marBottom w:val="0"/>
      <w:divBdr>
        <w:top w:val="none" w:sz="0" w:space="0" w:color="auto"/>
        <w:left w:val="none" w:sz="0" w:space="0" w:color="auto"/>
        <w:bottom w:val="none" w:sz="0" w:space="0" w:color="auto"/>
        <w:right w:val="none" w:sz="0" w:space="0" w:color="auto"/>
      </w:divBdr>
      <w:divsChild>
        <w:div w:id="1282609616">
          <w:marLeft w:val="0"/>
          <w:marRight w:val="0"/>
          <w:marTop w:val="0"/>
          <w:marBottom w:val="0"/>
          <w:divBdr>
            <w:top w:val="none" w:sz="0" w:space="0" w:color="auto"/>
            <w:left w:val="none" w:sz="0" w:space="0" w:color="auto"/>
            <w:bottom w:val="none" w:sz="0" w:space="0" w:color="auto"/>
            <w:right w:val="none" w:sz="0" w:space="0" w:color="auto"/>
          </w:divBdr>
        </w:div>
      </w:divsChild>
    </w:div>
    <w:div w:id="1406420442">
      <w:bodyDiv w:val="1"/>
      <w:marLeft w:val="0"/>
      <w:marRight w:val="0"/>
      <w:marTop w:val="0"/>
      <w:marBottom w:val="0"/>
      <w:divBdr>
        <w:top w:val="none" w:sz="0" w:space="0" w:color="auto"/>
        <w:left w:val="none" w:sz="0" w:space="0" w:color="auto"/>
        <w:bottom w:val="none" w:sz="0" w:space="0" w:color="auto"/>
        <w:right w:val="none" w:sz="0" w:space="0" w:color="auto"/>
      </w:divBdr>
    </w:div>
    <w:div w:id="1412392374">
      <w:bodyDiv w:val="1"/>
      <w:marLeft w:val="0"/>
      <w:marRight w:val="0"/>
      <w:marTop w:val="0"/>
      <w:marBottom w:val="0"/>
      <w:divBdr>
        <w:top w:val="none" w:sz="0" w:space="0" w:color="auto"/>
        <w:left w:val="none" w:sz="0" w:space="0" w:color="auto"/>
        <w:bottom w:val="none" w:sz="0" w:space="0" w:color="auto"/>
        <w:right w:val="none" w:sz="0" w:space="0" w:color="auto"/>
      </w:divBdr>
    </w:div>
    <w:div w:id="1429421374">
      <w:bodyDiv w:val="1"/>
      <w:marLeft w:val="0"/>
      <w:marRight w:val="0"/>
      <w:marTop w:val="0"/>
      <w:marBottom w:val="0"/>
      <w:divBdr>
        <w:top w:val="none" w:sz="0" w:space="0" w:color="auto"/>
        <w:left w:val="none" w:sz="0" w:space="0" w:color="auto"/>
        <w:bottom w:val="none" w:sz="0" w:space="0" w:color="auto"/>
        <w:right w:val="none" w:sz="0" w:space="0" w:color="auto"/>
      </w:divBdr>
    </w:div>
    <w:div w:id="1435978620">
      <w:bodyDiv w:val="1"/>
      <w:marLeft w:val="0"/>
      <w:marRight w:val="0"/>
      <w:marTop w:val="0"/>
      <w:marBottom w:val="0"/>
      <w:divBdr>
        <w:top w:val="none" w:sz="0" w:space="0" w:color="auto"/>
        <w:left w:val="none" w:sz="0" w:space="0" w:color="auto"/>
        <w:bottom w:val="none" w:sz="0" w:space="0" w:color="auto"/>
        <w:right w:val="none" w:sz="0" w:space="0" w:color="auto"/>
      </w:divBdr>
    </w:div>
    <w:div w:id="1451782200">
      <w:bodyDiv w:val="1"/>
      <w:marLeft w:val="0"/>
      <w:marRight w:val="0"/>
      <w:marTop w:val="0"/>
      <w:marBottom w:val="0"/>
      <w:divBdr>
        <w:top w:val="none" w:sz="0" w:space="0" w:color="auto"/>
        <w:left w:val="none" w:sz="0" w:space="0" w:color="auto"/>
        <w:bottom w:val="none" w:sz="0" w:space="0" w:color="auto"/>
        <w:right w:val="none" w:sz="0" w:space="0" w:color="auto"/>
      </w:divBdr>
    </w:div>
    <w:div w:id="1453327756">
      <w:bodyDiv w:val="1"/>
      <w:marLeft w:val="0"/>
      <w:marRight w:val="0"/>
      <w:marTop w:val="0"/>
      <w:marBottom w:val="0"/>
      <w:divBdr>
        <w:top w:val="none" w:sz="0" w:space="0" w:color="auto"/>
        <w:left w:val="none" w:sz="0" w:space="0" w:color="auto"/>
        <w:bottom w:val="none" w:sz="0" w:space="0" w:color="auto"/>
        <w:right w:val="none" w:sz="0" w:space="0" w:color="auto"/>
      </w:divBdr>
    </w:div>
    <w:div w:id="1458180729">
      <w:bodyDiv w:val="1"/>
      <w:marLeft w:val="0"/>
      <w:marRight w:val="0"/>
      <w:marTop w:val="0"/>
      <w:marBottom w:val="0"/>
      <w:divBdr>
        <w:top w:val="none" w:sz="0" w:space="0" w:color="auto"/>
        <w:left w:val="none" w:sz="0" w:space="0" w:color="auto"/>
        <w:bottom w:val="none" w:sz="0" w:space="0" w:color="auto"/>
        <w:right w:val="none" w:sz="0" w:space="0" w:color="auto"/>
      </w:divBdr>
    </w:div>
    <w:div w:id="1467507511">
      <w:bodyDiv w:val="1"/>
      <w:marLeft w:val="0"/>
      <w:marRight w:val="0"/>
      <w:marTop w:val="0"/>
      <w:marBottom w:val="0"/>
      <w:divBdr>
        <w:top w:val="none" w:sz="0" w:space="0" w:color="auto"/>
        <w:left w:val="none" w:sz="0" w:space="0" w:color="auto"/>
        <w:bottom w:val="none" w:sz="0" w:space="0" w:color="auto"/>
        <w:right w:val="none" w:sz="0" w:space="0" w:color="auto"/>
      </w:divBdr>
    </w:div>
    <w:div w:id="1488939805">
      <w:bodyDiv w:val="1"/>
      <w:marLeft w:val="0"/>
      <w:marRight w:val="0"/>
      <w:marTop w:val="0"/>
      <w:marBottom w:val="0"/>
      <w:divBdr>
        <w:top w:val="none" w:sz="0" w:space="0" w:color="auto"/>
        <w:left w:val="none" w:sz="0" w:space="0" w:color="auto"/>
        <w:bottom w:val="none" w:sz="0" w:space="0" w:color="auto"/>
        <w:right w:val="none" w:sz="0" w:space="0" w:color="auto"/>
      </w:divBdr>
    </w:div>
    <w:div w:id="1493331935">
      <w:bodyDiv w:val="1"/>
      <w:marLeft w:val="0"/>
      <w:marRight w:val="0"/>
      <w:marTop w:val="0"/>
      <w:marBottom w:val="0"/>
      <w:divBdr>
        <w:top w:val="none" w:sz="0" w:space="0" w:color="auto"/>
        <w:left w:val="none" w:sz="0" w:space="0" w:color="auto"/>
        <w:bottom w:val="none" w:sz="0" w:space="0" w:color="auto"/>
        <w:right w:val="none" w:sz="0" w:space="0" w:color="auto"/>
      </w:divBdr>
    </w:div>
    <w:div w:id="1501771156">
      <w:bodyDiv w:val="1"/>
      <w:marLeft w:val="0"/>
      <w:marRight w:val="0"/>
      <w:marTop w:val="0"/>
      <w:marBottom w:val="0"/>
      <w:divBdr>
        <w:top w:val="none" w:sz="0" w:space="0" w:color="auto"/>
        <w:left w:val="none" w:sz="0" w:space="0" w:color="auto"/>
        <w:bottom w:val="none" w:sz="0" w:space="0" w:color="auto"/>
        <w:right w:val="none" w:sz="0" w:space="0" w:color="auto"/>
      </w:divBdr>
    </w:div>
    <w:div w:id="1513569929">
      <w:bodyDiv w:val="1"/>
      <w:marLeft w:val="0"/>
      <w:marRight w:val="0"/>
      <w:marTop w:val="0"/>
      <w:marBottom w:val="0"/>
      <w:divBdr>
        <w:top w:val="none" w:sz="0" w:space="0" w:color="auto"/>
        <w:left w:val="none" w:sz="0" w:space="0" w:color="auto"/>
        <w:bottom w:val="none" w:sz="0" w:space="0" w:color="auto"/>
        <w:right w:val="none" w:sz="0" w:space="0" w:color="auto"/>
      </w:divBdr>
    </w:div>
    <w:div w:id="1527018549">
      <w:bodyDiv w:val="1"/>
      <w:marLeft w:val="0"/>
      <w:marRight w:val="0"/>
      <w:marTop w:val="0"/>
      <w:marBottom w:val="0"/>
      <w:divBdr>
        <w:top w:val="none" w:sz="0" w:space="0" w:color="auto"/>
        <w:left w:val="none" w:sz="0" w:space="0" w:color="auto"/>
        <w:bottom w:val="none" w:sz="0" w:space="0" w:color="auto"/>
        <w:right w:val="none" w:sz="0" w:space="0" w:color="auto"/>
      </w:divBdr>
    </w:div>
    <w:div w:id="1534149841">
      <w:bodyDiv w:val="1"/>
      <w:marLeft w:val="0"/>
      <w:marRight w:val="0"/>
      <w:marTop w:val="0"/>
      <w:marBottom w:val="0"/>
      <w:divBdr>
        <w:top w:val="none" w:sz="0" w:space="0" w:color="auto"/>
        <w:left w:val="none" w:sz="0" w:space="0" w:color="auto"/>
        <w:bottom w:val="none" w:sz="0" w:space="0" w:color="auto"/>
        <w:right w:val="none" w:sz="0" w:space="0" w:color="auto"/>
      </w:divBdr>
    </w:div>
    <w:div w:id="1589383924">
      <w:bodyDiv w:val="1"/>
      <w:marLeft w:val="0"/>
      <w:marRight w:val="0"/>
      <w:marTop w:val="0"/>
      <w:marBottom w:val="0"/>
      <w:divBdr>
        <w:top w:val="none" w:sz="0" w:space="0" w:color="auto"/>
        <w:left w:val="none" w:sz="0" w:space="0" w:color="auto"/>
        <w:bottom w:val="none" w:sz="0" w:space="0" w:color="auto"/>
        <w:right w:val="none" w:sz="0" w:space="0" w:color="auto"/>
      </w:divBdr>
    </w:div>
    <w:div w:id="1597061101">
      <w:bodyDiv w:val="1"/>
      <w:marLeft w:val="0"/>
      <w:marRight w:val="0"/>
      <w:marTop w:val="0"/>
      <w:marBottom w:val="0"/>
      <w:divBdr>
        <w:top w:val="none" w:sz="0" w:space="0" w:color="auto"/>
        <w:left w:val="none" w:sz="0" w:space="0" w:color="auto"/>
        <w:bottom w:val="none" w:sz="0" w:space="0" w:color="auto"/>
        <w:right w:val="none" w:sz="0" w:space="0" w:color="auto"/>
      </w:divBdr>
    </w:div>
    <w:div w:id="1624534034">
      <w:bodyDiv w:val="1"/>
      <w:marLeft w:val="0"/>
      <w:marRight w:val="0"/>
      <w:marTop w:val="0"/>
      <w:marBottom w:val="0"/>
      <w:divBdr>
        <w:top w:val="none" w:sz="0" w:space="0" w:color="auto"/>
        <w:left w:val="none" w:sz="0" w:space="0" w:color="auto"/>
        <w:bottom w:val="none" w:sz="0" w:space="0" w:color="auto"/>
        <w:right w:val="none" w:sz="0" w:space="0" w:color="auto"/>
      </w:divBdr>
    </w:div>
    <w:div w:id="1629316832">
      <w:bodyDiv w:val="1"/>
      <w:marLeft w:val="0"/>
      <w:marRight w:val="0"/>
      <w:marTop w:val="0"/>
      <w:marBottom w:val="0"/>
      <w:divBdr>
        <w:top w:val="none" w:sz="0" w:space="0" w:color="auto"/>
        <w:left w:val="none" w:sz="0" w:space="0" w:color="auto"/>
        <w:bottom w:val="none" w:sz="0" w:space="0" w:color="auto"/>
        <w:right w:val="none" w:sz="0" w:space="0" w:color="auto"/>
      </w:divBdr>
    </w:div>
    <w:div w:id="1673870125">
      <w:bodyDiv w:val="1"/>
      <w:marLeft w:val="0"/>
      <w:marRight w:val="0"/>
      <w:marTop w:val="0"/>
      <w:marBottom w:val="0"/>
      <w:divBdr>
        <w:top w:val="none" w:sz="0" w:space="0" w:color="auto"/>
        <w:left w:val="none" w:sz="0" w:space="0" w:color="auto"/>
        <w:bottom w:val="none" w:sz="0" w:space="0" w:color="auto"/>
        <w:right w:val="none" w:sz="0" w:space="0" w:color="auto"/>
      </w:divBdr>
    </w:div>
    <w:div w:id="1682196317">
      <w:bodyDiv w:val="1"/>
      <w:marLeft w:val="0"/>
      <w:marRight w:val="0"/>
      <w:marTop w:val="0"/>
      <w:marBottom w:val="0"/>
      <w:divBdr>
        <w:top w:val="none" w:sz="0" w:space="0" w:color="auto"/>
        <w:left w:val="none" w:sz="0" w:space="0" w:color="auto"/>
        <w:bottom w:val="none" w:sz="0" w:space="0" w:color="auto"/>
        <w:right w:val="none" w:sz="0" w:space="0" w:color="auto"/>
      </w:divBdr>
    </w:div>
    <w:div w:id="1687054978">
      <w:bodyDiv w:val="1"/>
      <w:marLeft w:val="0"/>
      <w:marRight w:val="0"/>
      <w:marTop w:val="0"/>
      <w:marBottom w:val="0"/>
      <w:divBdr>
        <w:top w:val="none" w:sz="0" w:space="0" w:color="auto"/>
        <w:left w:val="none" w:sz="0" w:space="0" w:color="auto"/>
        <w:bottom w:val="none" w:sz="0" w:space="0" w:color="auto"/>
        <w:right w:val="none" w:sz="0" w:space="0" w:color="auto"/>
      </w:divBdr>
    </w:div>
    <w:div w:id="1699238758">
      <w:bodyDiv w:val="1"/>
      <w:marLeft w:val="0"/>
      <w:marRight w:val="0"/>
      <w:marTop w:val="0"/>
      <w:marBottom w:val="0"/>
      <w:divBdr>
        <w:top w:val="none" w:sz="0" w:space="0" w:color="auto"/>
        <w:left w:val="none" w:sz="0" w:space="0" w:color="auto"/>
        <w:bottom w:val="none" w:sz="0" w:space="0" w:color="auto"/>
        <w:right w:val="none" w:sz="0" w:space="0" w:color="auto"/>
      </w:divBdr>
    </w:div>
    <w:div w:id="1721710145">
      <w:bodyDiv w:val="1"/>
      <w:marLeft w:val="0"/>
      <w:marRight w:val="0"/>
      <w:marTop w:val="0"/>
      <w:marBottom w:val="0"/>
      <w:divBdr>
        <w:top w:val="none" w:sz="0" w:space="0" w:color="auto"/>
        <w:left w:val="none" w:sz="0" w:space="0" w:color="auto"/>
        <w:bottom w:val="none" w:sz="0" w:space="0" w:color="auto"/>
        <w:right w:val="none" w:sz="0" w:space="0" w:color="auto"/>
      </w:divBdr>
    </w:div>
    <w:div w:id="1724673710">
      <w:bodyDiv w:val="1"/>
      <w:marLeft w:val="0"/>
      <w:marRight w:val="0"/>
      <w:marTop w:val="0"/>
      <w:marBottom w:val="0"/>
      <w:divBdr>
        <w:top w:val="none" w:sz="0" w:space="0" w:color="auto"/>
        <w:left w:val="none" w:sz="0" w:space="0" w:color="auto"/>
        <w:bottom w:val="none" w:sz="0" w:space="0" w:color="auto"/>
        <w:right w:val="none" w:sz="0" w:space="0" w:color="auto"/>
      </w:divBdr>
    </w:div>
    <w:div w:id="1730113471">
      <w:bodyDiv w:val="1"/>
      <w:marLeft w:val="0"/>
      <w:marRight w:val="0"/>
      <w:marTop w:val="0"/>
      <w:marBottom w:val="0"/>
      <w:divBdr>
        <w:top w:val="none" w:sz="0" w:space="0" w:color="auto"/>
        <w:left w:val="none" w:sz="0" w:space="0" w:color="auto"/>
        <w:bottom w:val="none" w:sz="0" w:space="0" w:color="auto"/>
        <w:right w:val="none" w:sz="0" w:space="0" w:color="auto"/>
      </w:divBdr>
    </w:div>
    <w:div w:id="1734353080">
      <w:bodyDiv w:val="1"/>
      <w:marLeft w:val="0"/>
      <w:marRight w:val="0"/>
      <w:marTop w:val="0"/>
      <w:marBottom w:val="0"/>
      <w:divBdr>
        <w:top w:val="none" w:sz="0" w:space="0" w:color="auto"/>
        <w:left w:val="none" w:sz="0" w:space="0" w:color="auto"/>
        <w:bottom w:val="none" w:sz="0" w:space="0" w:color="auto"/>
        <w:right w:val="none" w:sz="0" w:space="0" w:color="auto"/>
      </w:divBdr>
    </w:div>
    <w:div w:id="1745494863">
      <w:bodyDiv w:val="1"/>
      <w:marLeft w:val="0"/>
      <w:marRight w:val="0"/>
      <w:marTop w:val="0"/>
      <w:marBottom w:val="0"/>
      <w:divBdr>
        <w:top w:val="none" w:sz="0" w:space="0" w:color="auto"/>
        <w:left w:val="none" w:sz="0" w:space="0" w:color="auto"/>
        <w:bottom w:val="none" w:sz="0" w:space="0" w:color="auto"/>
        <w:right w:val="none" w:sz="0" w:space="0" w:color="auto"/>
      </w:divBdr>
    </w:div>
    <w:div w:id="1764374390">
      <w:bodyDiv w:val="1"/>
      <w:marLeft w:val="0"/>
      <w:marRight w:val="0"/>
      <w:marTop w:val="0"/>
      <w:marBottom w:val="0"/>
      <w:divBdr>
        <w:top w:val="none" w:sz="0" w:space="0" w:color="auto"/>
        <w:left w:val="none" w:sz="0" w:space="0" w:color="auto"/>
        <w:bottom w:val="none" w:sz="0" w:space="0" w:color="auto"/>
        <w:right w:val="none" w:sz="0" w:space="0" w:color="auto"/>
      </w:divBdr>
    </w:div>
    <w:div w:id="1766992593">
      <w:bodyDiv w:val="1"/>
      <w:marLeft w:val="0"/>
      <w:marRight w:val="0"/>
      <w:marTop w:val="0"/>
      <w:marBottom w:val="0"/>
      <w:divBdr>
        <w:top w:val="none" w:sz="0" w:space="0" w:color="auto"/>
        <w:left w:val="none" w:sz="0" w:space="0" w:color="auto"/>
        <w:bottom w:val="none" w:sz="0" w:space="0" w:color="auto"/>
        <w:right w:val="none" w:sz="0" w:space="0" w:color="auto"/>
      </w:divBdr>
    </w:div>
    <w:div w:id="1827211215">
      <w:bodyDiv w:val="1"/>
      <w:marLeft w:val="0"/>
      <w:marRight w:val="0"/>
      <w:marTop w:val="0"/>
      <w:marBottom w:val="0"/>
      <w:divBdr>
        <w:top w:val="none" w:sz="0" w:space="0" w:color="auto"/>
        <w:left w:val="none" w:sz="0" w:space="0" w:color="auto"/>
        <w:bottom w:val="none" w:sz="0" w:space="0" w:color="auto"/>
        <w:right w:val="none" w:sz="0" w:space="0" w:color="auto"/>
      </w:divBdr>
    </w:div>
    <w:div w:id="1828665559">
      <w:bodyDiv w:val="1"/>
      <w:marLeft w:val="0"/>
      <w:marRight w:val="0"/>
      <w:marTop w:val="0"/>
      <w:marBottom w:val="0"/>
      <w:divBdr>
        <w:top w:val="none" w:sz="0" w:space="0" w:color="auto"/>
        <w:left w:val="none" w:sz="0" w:space="0" w:color="auto"/>
        <w:bottom w:val="none" w:sz="0" w:space="0" w:color="auto"/>
        <w:right w:val="none" w:sz="0" w:space="0" w:color="auto"/>
      </w:divBdr>
    </w:div>
    <w:div w:id="1831406061">
      <w:bodyDiv w:val="1"/>
      <w:marLeft w:val="0"/>
      <w:marRight w:val="0"/>
      <w:marTop w:val="0"/>
      <w:marBottom w:val="0"/>
      <w:divBdr>
        <w:top w:val="none" w:sz="0" w:space="0" w:color="auto"/>
        <w:left w:val="none" w:sz="0" w:space="0" w:color="auto"/>
        <w:bottom w:val="none" w:sz="0" w:space="0" w:color="auto"/>
        <w:right w:val="none" w:sz="0" w:space="0" w:color="auto"/>
      </w:divBdr>
    </w:div>
    <w:div w:id="1833983388">
      <w:bodyDiv w:val="1"/>
      <w:marLeft w:val="0"/>
      <w:marRight w:val="0"/>
      <w:marTop w:val="0"/>
      <w:marBottom w:val="0"/>
      <w:divBdr>
        <w:top w:val="none" w:sz="0" w:space="0" w:color="auto"/>
        <w:left w:val="none" w:sz="0" w:space="0" w:color="auto"/>
        <w:bottom w:val="none" w:sz="0" w:space="0" w:color="auto"/>
        <w:right w:val="none" w:sz="0" w:space="0" w:color="auto"/>
      </w:divBdr>
    </w:div>
    <w:div w:id="1841192191">
      <w:bodyDiv w:val="1"/>
      <w:marLeft w:val="0"/>
      <w:marRight w:val="0"/>
      <w:marTop w:val="0"/>
      <w:marBottom w:val="0"/>
      <w:divBdr>
        <w:top w:val="none" w:sz="0" w:space="0" w:color="auto"/>
        <w:left w:val="none" w:sz="0" w:space="0" w:color="auto"/>
        <w:bottom w:val="none" w:sz="0" w:space="0" w:color="auto"/>
        <w:right w:val="none" w:sz="0" w:space="0" w:color="auto"/>
      </w:divBdr>
    </w:div>
    <w:div w:id="1850026273">
      <w:bodyDiv w:val="1"/>
      <w:marLeft w:val="0"/>
      <w:marRight w:val="0"/>
      <w:marTop w:val="0"/>
      <w:marBottom w:val="0"/>
      <w:divBdr>
        <w:top w:val="none" w:sz="0" w:space="0" w:color="auto"/>
        <w:left w:val="none" w:sz="0" w:space="0" w:color="auto"/>
        <w:bottom w:val="none" w:sz="0" w:space="0" w:color="auto"/>
        <w:right w:val="none" w:sz="0" w:space="0" w:color="auto"/>
      </w:divBdr>
    </w:div>
    <w:div w:id="1859999479">
      <w:bodyDiv w:val="1"/>
      <w:marLeft w:val="0"/>
      <w:marRight w:val="0"/>
      <w:marTop w:val="0"/>
      <w:marBottom w:val="0"/>
      <w:divBdr>
        <w:top w:val="none" w:sz="0" w:space="0" w:color="auto"/>
        <w:left w:val="none" w:sz="0" w:space="0" w:color="auto"/>
        <w:bottom w:val="none" w:sz="0" w:space="0" w:color="auto"/>
        <w:right w:val="none" w:sz="0" w:space="0" w:color="auto"/>
      </w:divBdr>
    </w:div>
    <w:div w:id="1860001468">
      <w:bodyDiv w:val="1"/>
      <w:marLeft w:val="0"/>
      <w:marRight w:val="0"/>
      <w:marTop w:val="0"/>
      <w:marBottom w:val="0"/>
      <w:divBdr>
        <w:top w:val="none" w:sz="0" w:space="0" w:color="auto"/>
        <w:left w:val="none" w:sz="0" w:space="0" w:color="auto"/>
        <w:bottom w:val="none" w:sz="0" w:space="0" w:color="auto"/>
        <w:right w:val="none" w:sz="0" w:space="0" w:color="auto"/>
      </w:divBdr>
    </w:div>
    <w:div w:id="1865703878">
      <w:bodyDiv w:val="1"/>
      <w:marLeft w:val="0"/>
      <w:marRight w:val="0"/>
      <w:marTop w:val="0"/>
      <w:marBottom w:val="0"/>
      <w:divBdr>
        <w:top w:val="none" w:sz="0" w:space="0" w:color="auto"/>
        <w:left w:val="none" w:sz="0" w:space="0" w:color="auto"/>
        <w:bottom w:val="none" w:sz="0" w:space="0" w:color="auto"/>
        <w:right w:val="none" w:sz="0" w:space="0" w:color="auto"/>
      </w:divBdr>
    </w:div>
    <w:div w:id="1877809709">
      <w:bodyDiv w:val="1"/>
      <w:marLeft w:val="0"/>
      <w:marRight w:val="0"/>
      <w:marTop w:val="0"/>
      <w:marBottom w:val="0"/>
      <w:divBdr>
        <w:top w:val="none" w:sz="0" w:space="0" w:color="auto"/>
        <w:left w:val="none" w:sz="0" w:space="0" w:color="auto"/>
        <w:bottom w:val="none" w:sz="0" w:space="0" w:color="auto"/>
        <w:right w:val="none" w:sz="0" w:space="0" w:color="auto"/>
      </w:divBdr>
    </w:div>
    <w:div w:id="1884512283">
      <w:bodyDiv w:val="1"/>
      <w:marLeft w:val="0"/>
      <w:marRight w:val="0"/>
      <w:marTop w:val="0"/>
      <w:marBottom w:val="0"/>
      <w:divBdr>
        <w:top w:val="none" w:sz="0" w:space="0" w:color="auto"/>
        <w:left w:val="none" w:sz="0" w:space="0" w:color="auto"/>
        <w:bottom w:val="none" w:sz="0" w:space="0" w:color="auto"/>
        <w:right w:val="none" w:sz="0" w:space="0" w:color="auto"/>
      </w:divBdr>
    </w:div>
    <w:div w:id="1914581509">
      <w:bodyDiv w:val="1"/>
      <w:marLeft w:val="0"/>
      <w:marRight w:val="0"/>
      <w:marTop w:val="0"/>
      <w:marBottom w:val="0"/>
      <w:divBdr>
        <w:top w:val="none" w:sz="0" w:space="0" w:color="auto"/>
        <w:left w:val="none" w:sz="0" w:space="0" w:color="auto"/>
        <w:bottom w:val="none" w:sz="0" w:space="0" w:color="auto"/>
        <w:right w:val="none" w:sz="0" w:space="0" w:color="auto"/>
      </w:divBdr>
    </w:div>
    <w:div w:id="1915050108">
      <w:bodyDiv w:val="1"/>
      <w:marLeft w:val="0"/>
      <w:marRight w:val="0"/>
      <w:marTop w:val="0"/>
      <w:marBottom w:val="0"/>
      <w:divBdr>
        <w:top w:val="none" w:sz="0" w:space="0" w:color="auto"/>
        <w:left w:val="none" w:sz="0" w:space="0" w:color="auto"/>
        <w:bottom w:val="none" w:sz="0" w:space="0" w:color="auto"/>
        <w:right w:val="none" w:sz="0" w:space="0" w:color="auto"/>
      </w:divBdr>
    </w:div>
    <w:div w:id="1916088946">
      <w:bodyDiv w:val="1"/>
      <w:marLeft w:val="0"/>
      <w:marRight w:val="0"/>
      <w:marTop w:val="0"/>
      <w:marBottom w:val="0"/>
      <w:divBdr>
        <w:top w:val="none" w:sz="0" w:space="0" w:color="auto"/>
        <w:left w:val="none" w:sz="0" w:space="0" w:color="auto"/>
        <w:bottom w:val="none" w:sz="0" w:space="0" w:color="auto"/>
        <w:right w:val="none" w:sz="0" w:space="0" w:color="auto"/>
      </w:divBdr>
    </w:div>
    <w:div w:id="1916432386">
      <w:bodyDiv w:val="1"/>
      <w:marLeft w:val="0"/>
      <w:marRight w:val="0"/>
      <w:marTop w:val="0"/>
      <w:marBottom w:val="0"/>
      <w:divBdr>
        <w:top w:val="none" w:sz="0" w:space="0" w:color="auto"/>
        <w:left w:val="none" w:sz="0" w:space="0" w:color="auto"/>
        <w:bottom w:val="none" w:sz="0" w:space="0" w:color="auto"/>
        <w:right w:val="none" w:sz="0" w:space="0" w:color="auto"/>
      </w:divBdr>
    </w:div>
    <w:div w:id="1925264472">
      <w:bodyDiv w:val="1"/>
      <w:marLeft w:val="0"/>
      <w:marRight w:val="0"/>
      <w:marTop w:val="0"/>
      <w:marBottom w:val="0"/>
      <w:divBdr>
        <w:top w:val="none" w:sz="0" w:space="0" w:color="auto"/>
        <w:left w:val="none" w:sz="0" w:space="0" w:color="auto"/>
        <w:bottom w:val="none" w:sz="0" w:space="0" w:color="auto"/>
        <w:right w:val="none" w:sz="0" w:space="0" w:color="auto"/>
      </w:divBdr>
      <w:divsChild>
        <w:div w:id="584458859">
          <w:marLeft w:val="0"/>
          <w:marRight w:val="0"/>
          <w:marTop w:val="0"/>
          <w:marBottom w:val="0"/>
          <w:divBdr>
            <w:top w:val="none" w:sz="0" w:space="0" w:color="auto"/>
            <w:left w:val="none" w:sz="0" w:space="0" w:color="auto"/>
            <w:bottom w:val="none" w:sz="0" w:space="0" w:color="auto"/>
            <w:right w:val="none" w:sz="0" w:space="0" w:color="auto"/>
          </w:divBdr>
        </w:div>
      </w:divsChild>
    </w:div>
    <w:div w:id="1926525609">
      <w:bodyDiv w:val="1"/>
      <w:marLeft w:val="0"/>
      <w:marRight w:val="0"/>
      <w:marTop w:val="0"/>
      <w:marBottom w:val="0"/>
      <w:divBdr>
        <w:top w:val="none" w:sz="0" w:space="0" w:color="auto"/>
        <w:left w:val="none" w:sz="0" w:space="0" w:color="auto"/>
        <w:bottom w:val="none" w:sz="0" w:space="0" w:color="auto"/>
        <w:right w:val="none" w:sz="0" w:space="0" w:color="auto"/>
      </w:divBdr>
    </w:div>
    <w:div w:id="1933515380">
      <w:bodyDiv w:val="1"/>
      <w:marLeft w:val="0"/>
      <w:marRight w:val="0"/>
      <w:marTop w:val="0"/>
      <w:marBottom w:val="0"/>
      <w:divBdr>
        <w:top w:val="none" w:sz="0" w:space="0" w:color="auto"/>
        <w:left w:val="none" w:sz="0" w:space="0" w:color="auto"/>
        <w:bottom w:val="none" w:sz="0" w:space="0" w:color="auto"/>
        <w:right w:val="none" w:sz="0" w:space="0" w:color="auto"/>
      </w:divBdr>
    </w:div>
    <w:div w:id="1935553717">
      <w:bodyDiv w:val="1"/>
      <w:marLeft w:val="0"/>
      <w:marRight w:val="0"/>
      <w:marTop w:val="0"/>
      <w:marBottom w:val="0"/>
      <w:divBdr>
        <w:top w:val="none" w:sz="0" w:space="0" w:color="auto"/>
        <w:left w:val="none" w:sz="0" w:space="0" w:color="auto"/>
        <w:bottom w:val="none" w:sz="0" w:space="0" w:color="auto"/>
        <w:right w:val="none" w:sz="0" w:space="0" w:color="auto"/>
      </w:divBdr>
    </w:div>
    <w:div w:id="1963345007">
      <w:bodyDiv w:val="1"/>
      <w:marLeft w:val="0"/>
      <w:marRight w:val="0"/>
      <w:marTop w:val="0"/>
      <w:marBottom w:val="0"/>
      <w:divBdr>
        <w:top w:val="none" w:sz="0" w:space="0" w:color="auto"/>
        <w:left w:val="none" w:sz="0" w:space="0" w:color="auto"/>
        <w:bottom w:val="none" w:sz="0" w:space="0" w:color="auto"/>
        <w:right w:val="none" w:sz="0" w:space="0" w:color="auto"/>
      </w:divBdr>
    </w:div>
    <w:div w:id="1974023296">
      <w:bodyDiv w:val="1"/>
      <w:marLeft w:val="0"/>
      <w:marRight w:val="0"/>
      <w:marTop w:val="0"/>
      <w:marBottom w:val="0"/>
      <w:divBdr>
        <w:top w:val="none" w:sz="0" w:space="0" w:color="auto"/>
        <w:left w:val="none" w:sz="0" w:space="0" w:color="auto"/>
        <w:bottom w:val="none" w:sz="0" w:space="0" w:color="auto"/>
        <w:right w:val="none" w:sz="0" w:space="0" w:color="auto"/>
      </w:divBdr>
    </w:div>
    <w:div w:id="1980067155">
      <w:bodyDiv w:val="1"/>
      <w:marLeft w:val="0"/>
      <w:marRight w:val="0"/>
      <w:marTop w:val="0"/>
      <w:marBottom w:val="0"/>
      <w:divBdr>
        <w:top w:val="none" w:sz="0" w:space="0" w:color="auto"/>
        <w:left w:val="none" w:sz="0" w:space="0" w:color="auto"/>
        <w:bottom w:val="none" w:sz="0" w:space="0" w:color="auto"/>
        <w:right w:val="none" w:sz="0" w:space="0" w:color="auto"/>
      </w:divBdr>
    </w:div>
    <w:div w:id="1985963470">
      <w:bodyDiv w:val="1"/>
      <w:marLeft w:val="0"/>
      <w:marRight w:val="0"/>
      <w:marTop w:val="0"/>
      <w:marBottom w:val="0"/>
      <w:divBdr>
        <w:top w:val="none" w:sz="0" w:space="0" w:color="auto"/>
        <w:left w:val="none" w:sz="0" w:space="0" w:color="auto"/>
        <w:bottom w:val="none" w:sz="0" w:space="0" w:color="auto"/>
        <w:right w:val="none" w:sz="0" w:space="0" w:color="auto"/>
      </w:divBdr>
    </w:div>
    <w:div w:id="2000425092">
      <w:bodyDiv w:val="1"/>
      <w:marLeft w:val="0"/>
      <w:marRight w:val="0"/>
      <w:marTop w:val="0"/>
      <w:marBottom w:val="0"/>
      <w:divBdr>
        <w:top w:val="none" w:sz="0" w:space="0" w:color="auto"/>
        <w:left w:val="none" w:sz="0" w:space="0" w:color="auto"/>
        <w:bottom w:val="none" w:sz="0" w:space="0" w:color="auto"/>
        <w:right w:val="none" w:sz="0" w:space="0" w:color="auto"/>
      </w:divBdr>
    </w:div>
    <w:div w:id="2008168500">
      <w:bodyDiv w:val="1"/>
      <w:marLeft w:val="0"/>
      <w:marRight w:val="0"/>
      <w:marTop w:val="0"/>
      <w:marBottom w:val="0"/>
      <w:divBdr>
        <w:top w:val="none" w:sz="0" w:space="0" w:color="auto"/>
        <w:left w:val="none" w:sz="0" w:space="0" w:color="auto"/>
        <w:bottom w:val="none" w:sz="0" w:space="0" w:color="auto"/>
        <w:right w:val="none" w:sz="0" w:space="0" w:color="auto"/>
      </w:divBdr>
    </w:div>
    <w:div w:id="2022124235">
      <w:bodyDiv w:val="1"/>
      <w:marLeft w:val="0"/>
      <w:marRight w:val="0"/>
      <w:marTop w:val="0"/>
      <w:marBottom w:val="0"/>
      <w:divBdr>
        <w:top w:val="none" w:sz="0" w:space="0" w:color="auto"/>
        <w:left w:val="none" w:sz="0" w:space="0" w:color="auto"/>
        <w:bottom w:val="none" w:sz="0" w:space="0" w:color="auto"/>
        <w:right w:val="none" w:sz="0" w:space="0" w:color="auto"/>
      </w:divBdr>
    </w:div>
    <w:div w:id="2027516354">
      <w:bodyDiv w:val="1"/>
      <w:marLeft w:val="0"/>
      <w:marRight w:val="0"/>
      <w:marTop w:val="0"/>
      <w:marBottom w:val="0"/>
      <w:divBdr>
        <w:top w:val="none" w:sz="0" w:space="0" w:color="auto"/>
        <w:left w:val="none" w:sz="0" w:space="0" w:color="auto"/>
        <w:bottom w:val="none" w:sz="0" w:space="0" w:color="auto"/>
        <w:right w:val="none" w:sz="0" w:space="0" w:color="auto"/>
      </w:divBdr>
    </w:div>
    <w:div w:id="2042901942">
      <w:bodyDiv w:val="1"/>
      <w:marLeft w:val="0"/>
      <w:marRight w:val="0"/>
      <w:marTop w:val="0"/>
      <w:marBottom w:val="0"/>
      <w:divBdr>
        <w:top w:val="none" w:sz="0" w:space="0" w:color="auto"/>
        <w:left w:val="none" w:sz="0" w:space="0" w:color="auto"/>
        <w:bottom w:val="none" w:sz="0" w:space="0" w:color="auto"/>
        <w:right w:val="none" w:sz="0" w:space="0" w:color="auto"/>
      </w:divBdr>
    </w:div>
    <w:div w:id="2046521006">
      <w:bodyDiv w:val="1"/>
      <w:marLeft w:val="0"/>
      <w:marRight w:val="0"/>
      <w:marTop w:val="0"/>
      <w:marBottom w:val="0"/>
      <w:divBdr>
        <w:top w:val="none" w:sz="0" w:space="0" w:color="auto"/>
        <w:left w:val="none" w:sz="0" w:space="0" w:color="auto"/>
        <w:bottom w:val="none" w:sz="0" w:space="0" w:color="auto"/>
        <w:right w:val="none" w:sz="0" w:space="0" w:color="auto"/>
      </w:divBdr>
    </w:div>
    <w:div w:id="2053920933">
      <w:bodyDiv w:val="1"/>
      <w:marLeft w:val="0"/>
      <w:marRight w:val="0"/>
      <w:marTop w:val="0"/>
      <w:marBottom w:val="0"/>
      <w:divBdr>
        <w:top w:val="none" w:sz="0" w:space="0" w:color="auto"/>
        <w:left w:val="none" w:sz="0" w:space="0" w:color="auto"/>
        <w:bottom w:val="none" w:sz="0" w:space="0" w:color="auto"/>
        <w:right w:val="none" w:sz="0" w:space="0" w:color="auto"/>
      </w:divBdr>
    </w:div>
    <w:div w:id="2068798443">
      <w:bodyDiv w:val="1"/>
      <w:marLeft w:val="0"/>
      <w:marRight w:val="0"/>
      <w:marTop w:val="0"/>
      <w:marBottom w:val="0"/>
      <w:divBdr>
        <w:top w:val="none" w:sz="0" w:space="0" w:color="auto"/>
        <w:left w:val="none" w:sz="0" w:space="0" w:color="auto"/>
        <w:bottom w:val="none" w:sz="0" w:space="0" w:color="auto"/>
        <w:right w:val="none" w:sz="0" w:space="0" w:color="auto"/>
      </w:divBdr>
    </w:div>
    <w:div w:id="2075008328">
      <w:bodyDiv w:val="1"/>
      <w:marLeft w:val="0"/>
      <w:marRight w:val="0"/>
      <w:marTop w:val="0"/>
      <w:marBottom w:val="0"/>
      <w:divBdr>
        <w:top w:val="none" w:sz="0" w:space="0" w:color="auto"/>
        <w:left w:val="none" w:sz="0" w:space="0" w:color="auto"/>
        <w:bottom w:val="none" w:sz="0" w:space="0" w:color="auto"/>
        <w:right w:val="none" w:sz="0" w:space="0" w:color="auto"/>
      </w:divBdr>
    </w:div>
    <w:div w:id="2098595993">
      <w:bodyDiv w:val="1"/>
      <w:marLeft w:val="0"/>
      <w:marRight w:val="0"/>
      <w:marTop w:val="0"/>
      <w:marBottom w:val="0"/>
      <w:divBdr>
        <w:top w:val="none" w:sz="0" w:space="0" w:color="auto"/>
        <w:left w:val="none" w:sz="0" w:space="0" w:color="auto"/>
        <w:bottom w:val="none" w:sz="0" w:space="0" w:color="auto"/>
        <w:right w:val="none" w:sz="0" w:space="0" w:color="auto"/>
      </w:divBdr>
    </w:div>
    <w:div w:id="2119176765">
      <w:bodyDiv w:val="1"/>
      <w:marLeft w:val="0"/>
      <w:marRight w:val="0"/>
      <w:marTop w:val="0"/>
      <w:marBottom w:val="0"/>
      <w:divBdr>
        <w:top w:val="none" w:sz="0" w:space="0" w:color="auto"/>
        <w:left w:val="none" w:sz="0" w:space="0" w:color="auto"/>
        <w:bottom w:val="none" w:sz="0" w:space="0" w:color="auto"/>
        <w:right w:val="none" w:sz="0" w:space="0" w:color="auto"/>
      </w:divBdr>
    </w:div>
    <w:div w:id="2135588163">
      <w:bodyDiv w:val="1"/>
      <w:marLeft w:val="0"/>
      <w:marRight w:val="0"/>
      <w:marTop w:val="0"/>
      <w:marBottom w:val="0"/>
      <w:divBdr>
        <w:top w:val="none" w:sz="0" w:space="0" w:color="auto"/>
        <w:left w:val="none" w:sz="0" w:space="0" w:color="auto"/>
        <w:bottom w:val="none" w:sz="0" w:space="0" w:color="auto"/>
        <w:right w:val="none" w:sz="0" w:space="0" w:color="auto"/>
      </w:divBdr>
    </w:div>
    <w:div w:id="2136175949">
      <w:bodyDiv w:val="1"/>
      <w:marLeft w:val="0"/>
      <w:marRight w:val="0"/>
      <w:marTop w:val="0"/>
      <w:marBottom w:val="0"/>
      <w:divBdr>
        <w:top w:val="none" w:sz="0" w:space="0" w:color="auto"/>
        <w:left w:val="none" w:sz="0" w:space="0" w:color="auto"/>
        <w:bottom w:val="none" w:sz="0" w:space="0" w:color="auto"/>
        <w:right w:val="none" w:sz="0" w:space="0" w:color="auto"/>
      </w:divBdr>
    </w:div>
    <w:div w:id="21417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D71FC6D1-F751-43C0-BBBD-DA019C5A24AA}">
    <t:Anchor>
      <t:Comment id="594687884"/>
    </t:Anchor>
    <t:History>
      <t:Event id="{5D10DDFA-0C51-474C-BFFB-D7D3816CEC01}" time="2022-10-25T18:44:07.623Z">
        <t:Attribution userId="S::kristiina.aavik@haigekassa.ee::a9d9e5b9-fd3e-4efa-b071-02f63153958f" userProvider="AD" userName="Kristiina Aavik"/>
        <t:Anchor>
          <t:Comment id="594687884"/>
        </t:Anchor>
        <t:Create/>
      </t:Event>
      <t:Event id="{D46D17EF-8AF0-43D8-927C-F49E5849285D}" time="2022-10-25T18:44:07.623Z">
        <t:Attribution userId="S::kristiina.aavik@haigekassa.ee::a9d9e5b9-fd3e-4efa-b071-02f63153958f" userProvider="AD" userName="Kristiina Aavik"/>
        <t:Anchor>
          <t:Comment id="594687884"/>
        </t:Anchor>
        <t:Assign userId="S::matis.ruutel@haigekassa.ee::e8303e20-14b5-4354-9c99-283f42d2ae90" userProvider="AD" userName="Matis Rüütel"/>
      </t:Event>
      <t:Event id="{1779EF44-FC7F-44D0-A092-D8638E0CE59E}" time="2022-10-25T18:44:07.623Z">
        <t:Attribution userId="S::kristiina.aavik@haigekassa.ee::a9d9e5b9-fd3e-4efa-b071-02f63153958f" userProvider="AD" userName="Kristiina Aavik"/>
        <t:Anchor>
          <t:Comment id="594687884"/>
        </t:Anchor>
        <t:SetTitle title="…, et &quot;sotsiaalministri 07.05.1999 määrus nr 32&quot;. Kui jätta nii nagu hetkel on, siis võib neid määrusi 32 olla ju erinevatest aastatest.  Kas see lg 21 on kindlasti vajalik sellisel kujul sisse kirjutada? @Matis Rüütel Mis seal RRL on või saab olema?"/>
      </t:Event>
    </t:History>
  </t:Task>
</t:Task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BDCA591B6A0C40A89A12FA092306CE" ma:contentTypeVersion="6" ma:contentTypeDescription="Loo uus dokument" ma:contentTypeScope="" ma:versionID="20f65ebf0f7fc2696eba8e2fc3224d0f">
  <xsd:schema xmlns:xsd="http://www.w3.org/2001/XMLSchema" xmlns:xs="http://www.w3.org/2001/XMLSchema" xmlns:p="http://schemas.microsoft.com/office/2006/metadata/properties" xmlns:ns2="ed1117d2-5fbc-45b8-89b7-8a266ac21c57" xmlns:ns3="e7bf95d9-f1f5-4b1c-adc1-ce49dd4ee1c2" targetNamespace="http://schemas.microsoft.com/office/2006/metadata/properties" ma:root="true" ma:fieldsID="757a56f1fe8814819e927a8b9ce2a2fe" ns2:_="" ns3:_="">
    <xsd:import namespace="ed1117d2-5fbc-45b8-89b7-8a266ac21c57"/>
    <xsd:import namespace="e7bf95d9-f1f5-4b1c-adc1-ce49dd4ee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117d2-5fbc-45b8-89b7-8a266ac21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f95d9-f1f5-4b1c-adc1-ce49dd4ee1c2"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774FF-ABB1-467A-AEA7-E26A6AF7E423}">
  <ds:schemaRefs>
    <ds:schemaRef ds:uri="http://schemas.openxmlformats.org/officeDocument/2006/bibliography"/>
  </ds:schemaRefs>
</ds:datastoreItem>
</file>

<file path=customXml/itemProps2.xml><?xml version="1.0" encoding="utf-8"?>
<ds:datastoreItem xmlns:ds="http://schemas.openxmlformats.org/officeDocument/2006/customXml" ds:itemID="{9885B576-DC9B-4BD6-AB0A-D73BB02CF0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2EC8F9-3976-41F5-BEE9-B9FCCE9A9365}">
  <ds:schemaRefs>
    <ds:schemaRef ds:uri="http://schemas.microsoft.com/sharepoint/v3/contenttype/forms"/>
  </ds:schemaRefs>
</ds:datastoreItem>
</file>

<file path=customXml/itemProps4.xml><?xml version="1.0" encoding="utf-8"?>
<ds:datastoreItem xmlns:ds="http://schemas.openxmlformats.org/officeDocument/2006/customXml" ds:itemID="{E3EA5E4E-42A3-431F-B01A-CADAC3334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117d2-5fbc-45b8-89b7-8a266ac21c57"/>
    <ds:schemaRef ds:uri="e7bf95d9-f1f5-4b1c-adc1-ce49dd4ee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252</Pages>
  <Words>66227</Words>
  <Characters>507118</Characters>
  <Application>Microsoft Office Word</Application>
  <DocSecurity>0</DocSecurity>
  <Lines>4225</Lines>
  <Paragraphs>1144</Paragraphs>
  <ScaleCrop>false</ScaleCrop>
  <HeadingPairs>
    <vt:vector size="2" baseType="variant">
      <vt:variant>
        <vt:lpstr>Pealkiri</vt:lpstr>
      </vt:variant>
      <vt:variant>
        <vt:i4>1</vt:i4>
      </vt:variant>
    </vt:vector>
  </HeadingPairs>
  <TitlesOfParts>
    <vt:vector size="1" baseType="lpstr">
      <vt:lpstr/>
    </vt:vector>
  </TitlesOfParts>
  <Company>Riigikantselei</Company>
  <LinksUpToDate>false</LinksUpToDate>
  <CharactersWithSpaces>572201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Kristina-Valeria Tobias</dc:creator>
  <cp:keywords/>
  <dc:description/>
  <cp:lastModifiedBy>Piret Eelmets - SOM</cp:lastModifiedBy>
  <cp:revision>17</cp:revision>
  <cp:lastPrinted>2019-07-18T15:21:00Z</cp:lastPrinted>
  <dcterms:created xsi:type="dcterms:W3CDTF">2026-02-21T05:57:00Z</dcterms:created>
  <dcterms:modified xsi:type="dcterms:W3CDTF">2026-02-23T12:39:00Z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AuthorIds_UIVersion_2048">
    <vt:lpwstr>25</vt:lpwstr>
  </property>
  <property fmtid="{D5CDD505-2E9C-101B-9397-08002B2CF9AE}" pid="4" name="MediaServiceImageTags">
    <vt:lpwstr/>
  </property>
  <property fmtid="{D5CDD505-2E9C-101B-9397-08002B2CF9AE}" pid="5" name="ContentTypeId">
    <vt:lpwstr>0x01010029BDCA591B6A0C40A89A12FA092306CE</vt:lpwstr>
  </property>
  <property fmtid="{D5CDD505-2E9C-101B-9397-08002B2CF9AE}" pid="6" name="_dlc_DocIdItemGuid">
    <vt:lpwstr>9d467299-09fa-46cf-9913-af6d0f83b91d</vt:lpwstr>
  </property>
  <property fmtid="{D5CDD505-2E9C-101B-9397-08002B2CF9AE}" pid="7" name="MSIP_Label_defa4170-0d19-0005-0004-bc88714345d2_Enabled">
    <vt:lpwstr>true</vt:lpwstr>
  </property>
  <property fmtid="{D5CDD505-2E9C-101B-9397-08002B2CF9AE}" pid="8" name="MSIP_Label_defa4170-0d19-0005-0004-bc88714345d2_SetDate">
    <vt:lpwstr>2024-11-21T10:37:42Z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c0c76881-e732-4080-b5aa-b55c80d0295f</vt:lpwstr>
  </property>
  <property fmtid="{D5CDD505-2E9C-101B-9397-08002B2CF9AE}" pid="13" name="MSIP_Label_defa4170-0d19-0005-0004-bc88714345d2_ContentBits">
    <vt:lpwstr>0</vt:lpwstr>
  </property>
  <property fmtid="{D5CDD505-2E9C-101B-9397-08002B2CF9AE}" pid="14" name="docLang">
    <vt:lpwstr>et</vt:lpwstr>
  </property>
</Properties>
</file>